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1AE07E">
      <w:pPr>
        <w:pStyle w:val="2"/>
        <w:spacing w:line="261" w:lineRule="auto"/>
      </w:pPr>
    </w:p>
    <w:p w14:paraId="22F07E5B">
      <w:pPr>
        <w:pStyle w:val="2"/>
        <w:spacing w:line="261" w:lineRule="auto"/>
      </w:pPr>
    </w:p>
    <w:p w14:paraId="17EF8057">
      <w:pPr>
        <w:pStyle w:val="2"/>
        <w:spacing w:line="261" w:lineRule="auto"/>
      </w:pPr>
    </w:p>
    <w:p w14:paraId="1BCBA6B9">
      <w:pPr>
        <w:pStyle w:val="2"/>
        <w:spacing w:line="261" w:lineRule="auto"/>
      </w:pPr>
    </w:p>
    <w:p w14:paraId="6EFC8DF5">
      <w:pPr>
        <w:pStyle w:val="2"/>
        <w:spacing w:line="262" w:lineRule="auto"/>
      </w:pPr>
    </w:p>
    <w:p w14:paraId="2B3B815E">
      <w:pPr>
        <w:spacing w:before="140" w:line="229" w:lineRule="auto"/>
        <w:ind w:left="1371"/>
        <w:rPr>
          <w:rFonts w:ascii="楷体" w:hAnsi="楷体" w:eastAsia="楷体" w:cs="楷体"/>
          <w:sz w:val="43"/>
          <w:szCs w:val="43"/>
        </w:rPr>
      </w:pPr>
      <w:r>
        <w:rPr>
          <w:rFonts w:ascii="楷体" w:hAnsi="楷体" w:eastAsia="楷体" w:cs="楷体"/>
          <w:b/>
          <w:bCs/>
          <w:spacing w:val="1"/>
          <w:sz w:val="43"/>
          <w:szCs w:val="43"/>
        </w:rPr>
        <w:t>内蒙古玉龙矿业股份有限公司</w:t>
      </w:r>
    </w:p>
    <w:p w14:paraId="5DCE3E55">
      <w:pPr>
        <w:spacing w:before="321" w:line="228" w:lineRule="auto"/>
        <w:ind w:left="510"/>
        <w:rPr>
          <w:rFonts w:ascii="楷体" w:hAnsi="楷体" w:eastAsia="楷体" w:cs="楷体"/>
          <w:sz w:val="43"/>
          <w:szCs w:val="43"/>
        </w:rPr>
      </w:pPr>
      <w:r>
        <w:rPr>
          <w:rFonts w:ascii="楷体" w:hAnsi="楷体" w:eastAsia="楷体" w:cs="楷体"/>
          <w:b/>
          <w:bCs/>
          <w:spacing w:val="8"/>
          <w:sz w:val="43"/>
          <w:szCs w:val="43"/>
        </w:rPr>
        <w:t>西乌珠穆沁旗花敖包特银铅矿2000t/d</w:t>
      </w:r>
    </w:p>
    <w:p w14:paraId="516DC2DE">
      <w:pPr>
        <w:spacing w:before="325" w:line="234" w:lineRule="auto"/>
        <w:ind w:left="2197"/>
        <w:rPr>
          <w:rFonts w:ascii="楷体" w:hAnsi="楷体" w:eastAsia="楷体" w:cs="楷体"/>
          <w:sz w:val="43"/>
          <w:szCs w:val="43"/>
        </w:rPr>
      </w:pPr>
      <w:r>
        <w:rPr>
          <w:rFonts w:ascii="楷体" w:hAnsi="楷体" w:eastAsia="楷体" w:cs="楷体"/>
          <w:b/>
          <w:bCs/>
          <w:spacing w:val="4"/>
          <w:sz w:val="43"/>
          <w:szCs w:val="43"/>
        </w:rPr>
        <w:t>选矿厂技术改造项目</w:t>
      </w:r>
    </w:p>
    <w:p w14:paraId="7DBDA561">
      <w:pPr>
        <w:spacing w:before="320" w:line="223" w:lineRule="auto"/>
        <w:ind w:left="2362"/>
        <w:rPr>
          <w:rFonts w:ascii="楷体" w:hAnsi="楷体" w:eastAsia="楷体" w:cs="楷体"/>
          <w:sz w:val="52"/>
          <w:szCs w:val="52"/>
        </w:rPr>
      </w:pPr>
      <w:r>
        <w:rPr>
          <w:rFonts w:ascii="楷体" w:hAnsi="楷体" w:eastAsia="楷体" w:cs="楷体"/>
          <w:b/>
          <w:bCs/>
          <w:spacing w:val="-7"/>
          <w:sz w:val="52"/>
          <w:szCs w:val="52"/>
        </w:rPr>
        <w:t>环境影响报告书</w:t>
      </w:r>
    </w:p>
    <w:p w14:paraId="7E9F543D">
      <w:pPr>
        <w:pStyle w:val="2"/>
        <w:spacing w:line="253" w:lineRule="auto"/>
      </w:pPr>
    </w:p>
    <w:p w14:paraId="309FB882">
      <w:pPr>
        <w:spacing w:before="101" w:line="238" w:lineRule="auto"/>
        <w:ind w:left="3402"/>
        <w:rPr>
          <w:rFonts w:ascii="楷体" w:hAnsi="楷体" w:eastAsia="楷体" w:cs="楷体"/>
          <w:sz w:val="31"/>
          <w:szCs w:val="31"/>
        </w:rPr>
      </w:pPr>
      <w:r>
        <w:rPr>
          <w:rFonts w:ascii="楷体" w:hAnsi="楷体" w:eastAsia="楷体" w:cs="楷体"/>
          <w:b/>
          <w:bCs/>
          <w:spacing w:val="-3"/>
          <w:sz w:val="31"/>
          <w:szCs w:val="31"/>
        </w:rPr>
        <w:t>（报批版）</w:t>
      </w:r>
    </w:p>
    <w:p w14:paraId="5B4B60F2">
      <w:pPr>
        <w:pStyle w:val="2"/>
      </w:pPr>
    </w:p>
    <w:p w14:paraId="448BD555">
      <w:pPr>
        <w:pStyle w:val="2"/>
      </w:pPr>
    </w:p>
    <w:p w14:paraId="20479A7B">
      <w:pPr>
        <w:pStyle w:val="2"/>
      </w:pPr>
    </w:p>
    <w:p w14:paraId="6D6F6A2D">
      <w:pPr>
        <w:pStyle w:val="2"/>
      </w:pPr>
    </w:p>
    <w:p w14:paraId="1CFA9E5E">
      <w:pPr>
        <w:pStyle w:val="2"/>
      </w:pPr>
    </w:p>
    <w:p w14:paraId="417D0B69">
      <w:pPr>
        <w:pStyle w:val="2"/>
      </w:pPr>
    </w:p>
    <w:p w14:paraId="773D5279">
      <w:pPr>
        <w:pStyle w:val="2"/>
      </w:pPr>
    </w:p>
    <w:p w14:paraId="0D887978">
      <w:pPr>
        <w:pStyle w:val="2"/>
        <w:spacing w:line="241" w:lineRule="auto"/>
      </w:pPr>
    </w:p>
    <w:p w14:paraId="17CD7F2A">
      <w:pPr>
        <w:pStyle w:val="2"/>
        <w:spacing w:line="241" w:lineRule="auto"/>
      </w:pPr>
    </w:p>
    <w:p w14:paraId="35BDCD2A">
      <w:pPr>
        <w:pStyle w:val="2"/>
        <w:spacing w:line="241" w:lineRule="auto"/>
      </w:pPr>
    </w:p>
    <w:p w14:paraId="40709EF4">
      <w:pPr>
        <w:pStyle w:val="2"/>
        <w:spacing w:line="241" w:lineRule="auto"/>
      </w:pPr>
    </w:p>
    <w:p w14:paraId="4C273E8E">
      <w:pPr>
        <w:pStyle w:val="2"/>
        <w:spacing w:line="241" w:lineRule="auto"/>
      </w:pPr>
    </w:p>
    <w:p w14:paraId="12346486">
      <w:pPr>
        <w:pStyle w:val="2"/>
        <w:spacing w:line="241" w:lineRule="auto"/>
      </w:pPr>
    </w:p>
    <w:p w14:paraId="3901B244">
      <w:pPr>
        <w:pStyle w:val="2"/>
        <w:spacing w:line="241" w:lineRule="auto"/>
      </w:pPr>
    </w:p>
    <w:p w14:paraId="6D66C647">
      <w:pPr>
        <w:pStyle w:val="2"/>
        <w:spacing w:line="241" w:lineRule="auto"/>
      </w:pPr>
    </w:p>
    <w:p w14:paraId="60631149">
      <w:pPr>
        <w:pStyle w:val="2"/>
        <w:spacing w:line="241" w:lineRule="auto"/>
      </w:pPr>
    </w:p>
    <w:p w14:paraId="59FA1870">
      <w:pPr>
        <w:pStyle w:val="2"/>
        <w:spacing w:line="241" w:lineRule="auto"/>
      </w:pPr>
    </w:p>
    <w:p w14:paraId="37B059CC">
      <w:pPr>
        <w:pStyle w:val="2"/>
        <w:spacing w:line="241" w:lineRule="auto"/>
      </w:pPr>
    </w:p>
    <w:p w14:paraId="792B5FEE">
      <w:pPr>
        <w:pStyle w:val="2"/>
        <w:spacing w:line="241" w:lineRule="auto"/>
      </w:pPr>
    </w:p>
    <w:p w14:paraId="537E6937">
      <w:pPr>
        <w:pStyle w:val="2"/>
        <w:spacing w:line="241" w:lineRule="auto"/>
      </w:pPr>
    </w:p>
    <w:p w14:paraId="7946B9A5">
      <w:pPr>
        <w:pStyle w:val="2"/>
        <w:spacing w:line="241" w:lineRule="auto"/>
      </w:pPr>
    </w:p>
    <w:p w14:paraId="59D02D3E">
      <w:pPr>
        <w:pStyle w:val="2"/>
        <w:spacing w:line="241" w:lineRule="auto"/>
      </w:pPr>
    </w:p>
    <w:p w14:paraId="2F9D60C0">
      <w:pPr>
        <w:pStyle w:val="2"/>
        <w:spacing w:line="241" w:lineRule="auto"/>
      </w:pPr>
    </w:p>
    <w:p w14:paraId="29EB3535">
      <w:pPr>
        <w:pStyle w:val="2"/>
        <w:spacing w:line="241" w:lineRule="auto"/>
      </w:pPr>
    </w:p>
    <w:p w14:paraId="77A413CE">
      <w:pPr>
        <w:pStyle w:val="2"/>
        <w:spacing w:line="241" w:lineRule="auto"/>
      </w:pPr>
    </w:p>
    <w:p w14:paraId="4EC536B5">
      <w:pPr>
        <w:spacing w:before="102" w:line="231" w:lineRule="auto"/>
        <w:ind w:left="2288"/>
        <w:rPr>
          <w:rFonts w:ascii="楷体" w:hAnsi="楷体" w:eastAsia="楷体" w:cs="楷体"/>
          <w:sz w:val="31"/>
          <w:szCs w:val="31"/>
        </w:rPr>
      </w:pPr>
      <w:r>
        <w:rPr>
          <w:rFonts w:ascii="楷体" w:hAnsi="楷体" w:eastAsia="楷体" w:cs="楷体"/>
          <w:b/>
          <w:bCs/>
          <w:spacing w:val="3"/>
          <w:sz w:val="31"/>
          <w:szCs w:val="31"/>
        </w:rPr>
        <w:t>中冶西北工程技术有限公司</w:t>
      </w:r>
    </w:p>
    <w:p w14:paraId="48C35A2C">
      <w:pPr>
        <w:spacing w:before="233" w:line="231" w:lineRule="auto"/>
        <w:ind w:left="3056"/>
        <w:rPr>
          <w:rFonts w:ascii="楷体" w:hAnsi="楷体" w:eastAsia="楷体" w:cs="楷体"/>
          <w:sz w:val="31"/>
          <w:szCs w:val="31"/>
        </w:rPr>
        <w:sectPr>
          <w:pgSz w:w="11906" w:h="16839"/>
          <w:pgMar w:top="1431" w:right="1785" w:bottom="0" w:left="1785" w:header="0" w:footer="0" w:gutter="0"/>
          <w:cols w:space="720" w:num="1"/>
        </w:sectPr>
      </w:pPr>
      <w:r>
        <w:rPr>
          <w:rFonts w:ascii="楷体" w:hAnsi="楷体" w:eastAsia="楷体" w:cs="楷体"/>
          <w:b/>
          <w:bCs/>
          <w:spacing w:val="8"/>
          <w:sz w:val="31"/>
          <w:szCs w:val="31"/>
        </w:rPr>
        <w:t>二〇二三年八月</w:t>
      </w:r>
    </w:p>
    <w:p w14:paraId="736968D0">
      <w:pPr>
        <w:spacing w:line="16820" w:lineRule="exact"/>
      </w:pPr>
      <w:r>
        <w:rPr>
          <w:position w:val="-336"/>
        </w:rPr>
        <w:drawing>
          <wp:inline distT="0" distB="0" distL="0" distR="0">
            <wp:extent cx="7559040" cy="106807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54"/>
                    <a:stretch>
                      <a:fillRect/>
                    </a:stretch>
                  </pic:blipFill>
                  <pic:spPr>
                    <a:xfrm>
                      <a:off x="0" y="0"/>
                      <a:ext cx="7559040" cy="10681234"/>
                    </a:xfrm>
                    <a:prstGeom prst="rect">
                      <a:avLst/>
                    </a:prstGeom>
                  </pic:spPr>
                </pic:pic>
              </a:graphicData>
            </a:graphic>
          </wp:inline>
        </w:drawing>
      </w:r>
    </w:p>
    <w:p w14:paraId="531B1893">
      <w:pPr>
        <w:spacing w:line="16820" w:lineRule="exact"/>
        <w:sectPr>
          <w:headerReference r:id="rId5" w:type="default"/>
          <w:footerReference r:id="rId6" w:type="default"/>
          <w:pgSz w:w="11905" w:h="16834"/>
          <w:pgMar w:top="1" w:right="0" w:bottom="1" w:left="0" w:header="0" w:footer="0" w:gutter="0"/>
          <w:cols w:space="720" w:num="1"/>
        </w:sectPr>
      </w:pPr>
    </w:p>
    <w:p w14:paraId="406A779A">
      <w:pPr>
        <w:spacing w:line="16820" w:lineRule="exact"/>
      </w:pPr>
    </w:p>
    <w:p w14:paraId="2180C5C5">
      <w:pPr>
        <w:spacing w:line="16820" w:lineRule="exact"/>
      </w:pPr>
      <w:r>
        <w:rPr>
          <w:position w:val="-336"/>
        </w:rPr>
        <w:drawing>
          <wp:inline distT="0" distB="0" distL="0" distR="0">
            <wp:extent cx="7559040" cy="10680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55"/>
                    <a:stretch>
                      <a:fillRect/>
                    </a:stretch>
                  </pic:blipFill>
                  <pic:spPr>
                    <a:xfrm>
                      <a:off x="0" y="0"/>
                      <a:ext cx="7559040" cy="10681234"/>
                    </a:xfrm>
                    <a:prstGeom prst="rect">
                      <a:avLst/>
                    </a:prstGeom>
                  </pic:spPr>
                </pic:pic>
              </a:graphicData>
            </a:graphic>
          </wp:inline>
        </w:drawing>
      </w:r>
    </w:p>
    <w:p w14:paraId="4D683806">
      <w:pPr>
        <w:spacing w:line="16820" w:lineRule="exact"/>
        <w:sectPr>
          <w:pgSz w:w="11905" w:h="16834"/>
          <w:pgMar w:top="1" w:right="0" w:bottom="1" w:left="0" w:header="0" w:footer="0" w:gutter="0"/>
          <w:cols w:space="720" w:num="1"/>
        </w:sectPr>
      </w:pPr>
    </w:p>
    <w:p w14:paraId="61BACA03">
      <w:pPr>
        <w:pStyle w:val="2"/>
        <w:spacing w:line="249" w:lineRule="auto"/>
      </w:pPr>
    </w:p>
    <w:p w14:paraId="77E4883B">
      <w:pPr>
        <w:pStyle w:val="2"/>
        <w:spacing w:line="250" w:lineRule="auto"/>
      </w:pPr>
    </w:p>
    <w:p w14:paraId="58E6D5DB">
      <w:pPr>
        <w:pStyle w:val="2"/>
        <w:spacing w:line="250" w:lineRule="auto"/>
      </w:pPr>
    </w:p>
    <w:p w14:paraId="73D1E60D">
      <w:pPr>
        <w:pStyle w:val="2"/>
        <w:spacing w:line="250" w:lineRule="auto"/>
      </w:pPr>
    </w:p>
    <w:sdt>
      <w:sdtPr>
        <w:rPr>
          <w:rFonts w:ascii="宋体" w:hAnsi="宋体" w:eastAsia="宋体" w:cs="宋体"/>
          <w:sz w:val="20"/>
          <w:szCs w:val="20"/>
        </w:rPr>
        <w:id w:val="147460338"/>
        <w:docPartObj>
          <w:docPartGallery w:val="Table of Contents"/>
          <w:docPartUnique/>
        </w:docPartObj>
      </w:sdtPr>
      <w:sdtEndPr>
        <w:rPr>
          <w:rFonts w:ascii="Times New Roman" w:hAnsi="Times New Roman" w:eastAsia="Times New Roman" w:cs="Times New Roman"/>
          <w:sz w:val="24"/>
          <w:szCs w:val="24"/>
        </w:rPr>
      </w:sdtEndPr>
      <w:sdtContent>
        <w:p w14:paraId="586BB3A8">
          <w:pPr>
            <w:spacing w:before="65" w:line="223" w:lineRule="auto"/>
            <w:ind w:left="4005"/>
            <w:rPr>
              <w:rFonts w:ascii="宋体" w:hAnsi="宋体" w:eastAsia="宋体" w:cs="宋体"/>
              <w:sz w:val="20"/>
              <w:szCs w:val="20"/>
            </w:rPr>
          </w:pPr>
          <w:r>
            <w:rPr>
              <w:rFonts w:ascii="宋体" w:hAnsi="宋体" w:eastAsia="宋体" w:cs="宋体"/>
              <w:spacing w:val="-16"/>
              <w:sz w:val="20"/>
              <w:szCs w:val="20"/>
            </w:rPr>
            <w:t>目录</w:t>
          </w:r>
        </w:p>
        <w:p w14:paraId="7F48CA0F">
          <w:pPr>
            <w:tabs>
              <w:tab w:val="right" w:leader="dot" w:pos="8314"/>
            </w:tabs>
            <w:spacing w:before="36" w:line="185" w:lineRule="auto"/>
            <w:ind w:left="519"/>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Times New Roman" w:hAnsi="Times New Roman" w:eastAsia="Times New Roman" w:cs="Times New Roman"/>
              <w:spacing w:val="-13"/>
              <w:sz w:val="24"/>
              <w:szCs w:val="24"/>
            </w:rPr>
            <w:t>1</w:t>
          </w:r>
          <w:r>
            <w:rPr>
              <w:rFonts w:ascii="Times New Roman" w:hAnsi="Times New Roman" w:eastAsia="Times New Roman" w:cs="Times New Roman"/>
              <w:spacing w:val="9"/>
              <w:sz w:val="24"/>
              <w:szCs w:val="24"/>
            </w:rPr>
            <w:t xml:space="preserve"> </w:t>
          </w:r>
          <w:r>
            <w:rPr>
              <w:rFonts w:ascii="宋体" w:hAnsi="宋体" w:eastAsia="宋体" w:cs="宋体"/>
              <w:spacing w:val="-13"/>
              <w:sz w:val="24"/>
              <w:szCs w:val="24"/>
            </w:rPr>
            <w:t>概述</w:t>
          </w:r>
          <w:r>
            <w:rPr>
              <w:rFonts w:ascii="宋体" w:hAnsi="宋体" w:eastAsia="宋体" w:cs="宋体"/>
              <w:sz w:val="24"/>
              <w:szCs w:val="24"/>
            </w:rPr>
            <w:tab/>
          </w:r>
          <w:r>
            <w:rPr>
              <w:rFonts w:ascii="Times New Roman" w:hAnsi="Times New Roman" w:eastAsia="Times New Roman" w:cs="Times New Roman"/>
              <w:spacing w:val="-5"/>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4"/>
              <w:szCs w:val="24"/>
            </w:rPr>
            <w:fldChar w:fldCharType="end"/>
          </w:r>
        </w:p>
        <w:p w14:paraId="0A23D88A">
          <w:pPr>
            <w:tabs>
              <w:tab w:val="right" w:leader="dot" w:pos="8314"/>
            </w:tabs>
            <w:spacing w:before="225" w:line="185" w:lineRule="auto"/>
            <w:ind w:left="999"/>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项目由来</w:t>
          </w:r>
          <w:r>
            <w:rPr>
              <w:rFonts w:ascii="宋体" w:hAnsi="宋体" w:eastAsia="宋体" w:cs="宋体"/>
              <w:sz w:val="24"/>
              <w:szCs w:val="24"/>
            </w:rPr>
            <w:tab/>
          </w:r>
          <w:r>
            <w:rPr>
              <w:rFonts w:ascii="Times New Roman" w:hAnsi="Times New Roman" w:eastAsia="Times New Roman" w:cs="Times New Roman"/>
              <w:spacing w:val="-5"/>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4"/>
              <w:szCs w:val="24"/>
            </w:rPr>
            <w:fldChar w:fldCharType="end"/>
          </w:r>
        </w:p>
        <w:p w14:paraId="6FBBA16B">
          <w:pPr>
            <w:tabs>
              <w:tab w:val="right" w:leader="dot" w:pos="8314"/>
            </w:tabs>
            <w:spacing w:before="227" w:line="184" w:lineRule="auto"/>
            <w:ind w:left="999"/>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项目建设特点</w:t>
          </w:r>
          <w:r>
            <w:rPr>
              <w:rFonts w:ascii="宋体" w:hAnsi="宋体" w:eastAsia="宋体" w:cs="宋体"/>
              <w:sz w:val="24"/>
              <w:szCs w:val="24"/>
            </w:rPr>
            <w:tab/>
          </w:r>
          <w:r>
            <w:rPr>
              <w:rFonts w:ascii="Times New Roman" w:hAnsi="Times New Roman" w:eastAsia="Times New Roman" w:cs="Times New Roman"/>
              <w:spacing w:val="3"/>
              <w:sz w:val="24"/>
              <w:szCs w:val="24"/>
            </w:rPr>
            <w:t>- 2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FEDAD5C">
          <w:pPr>
            <w:tabs>
              <w:tab w:val="right" w:leader="dot" w:pos="8314"/>
            </w:tabs>
            <w:spacing w:before="226" w:line="185" w:lineRule="auto"/>
            <w:ind w:left="999"/>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3"/>
              <w:sz w:val="24"/>
              <w:szCs w:val="24"/>
            </w:rPr>
            <w:t xml:space="preserve">1.3 </w:t>
          </w:r>
          <w:r>
            <w:rPr>
              <w:rFonts w:ascii="宋体" w:hAnsi="宋体" w:eastAsia="宋体" w:cs="宋体"/>
              <w:spacing w:val="-3"/>
              <w:sz w:val="24"/>
              <w:szCs w:val="24"/>
            </w:rPr>
            <w:t>产业政策及选址分析</w:t>
          </w:r>
          <w:r>
            <w:rPr>
              <w:rFonts w:ascii="宋体" w:hAnsi="宋体" w:eastAsia="宋体" w:cs="宋体"/>
              <w:sz w:val="24"/>
              <w:szCs w:val="24"/>
            </w:rPr>
            <w:tab/>
          </w:r>
          <w:r>
            <w:rPr>
              <w:rFonts w:ascii="Times New Roman" w:hAnsi="Times New Roman" w:eastAsia="Times New Roman" w:cs="Times New Roman"/>
              <w:spacing w:val="3"/>
              <w:sz w:val="24"/>
              <w:szCs w:val="24"/>
            </w:rPr>
            <w:t>- 2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6C7C107">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环境影响评价工作过程</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A945F92">
          <w:pPr>
            <w:tabs>
              <w:tab w:val="right" w:leader="dot" w:pos="8314"/>
            </w:tabs>
            <w:spacing w:before="225" w:line="185" w:lineRule="auto"/>
            <w:ind w:left="999"/>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关注的主要环境问题</w:t>
          </w:r>
          <w:r>
            <w:rPr>
              <w:rFonts w:ascii="宋体" w:hAnsi="宋体" w:eastAsia="宋体" w:cs="宋体"/>
              <w:sz w:val="24"/>
              <w:szCs w:val="24"/>
            </w:rPr>
            <w:tab/>
          </w:r>
          <w:r>
            <w:rPr>
              <w:rFonts w:ascii="Times New Roman" w:hAnsi="Times New Roman" w:eastAsia="Times New Roman" w:cs="Times New Roman"/>
              <w:spacing w:val="3"/>
              <w:sz w:val="24"/>
              <w:szCs w:val="24"/>
            </w:rPr>
            <w:t>- 4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74A059B">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环评主要结论</w:t>
          </w:r>
          <w:r>
            <w:rPr>
              <w:rFonts w:ascii="宋体" w:hAnsi="宋体" w:eastAsia="宋体" w:cs="宋体"/>
              <w:sz w:val="24"/>
              <w:szCs w:val="24"/>
            </w:rPr>
            <w:tab/>
          </w:r>
          <w:r>
            <w:rPr>
              <w:rFonts w:ascii="Times New Roman" w:hAnsi="Times New Roman" w:eastAsia="Times New Roman" w:cs="Times New Roman"/>
              <w:spacing w:val="3"/>
              <w:sz w:val="24"/>
              <w:szCs w:val="24"/>
            </w:rPr>
            <w:t>- 4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4ED58D2">
          <w:pPr>
            <w:tabs>
              <w:tab w:val="right" w:leader="dot" w:pos="8314"/>
            </w:tabs>
            <w:spacing w:before="225" w:line="185" w:lineRule="auto"/>
            <w:ind w:left="496"/>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7"/>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总则</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629FB299">
          <w:pPr>
            <w:tabs>
              <w:tab w:val="right" w:leader="dot" w:pos="8314"/>
            </w:tabs>
            <w:spacing w:before="227" w:line="185" w:lineRule="auto"/>
            <w:ind w:left="976"/>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3"/>
              <w:sz w:val="24"/>
              <w:szCs w:val="24"/>
            </w:rPr>
            <w:t>2.1</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编制依据</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38D60BC3">
          <w:pPr>
            <w:tabs>
              <w:tab w:val="right" w:leader="dot" w:pos="8314"/>
            </w:tabs>
            <w:spacing w:before="228" w:line="185" w:lineRule="auto"/>
            <w:ind w:left="1456"/>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1"/>
              <w:sz w:val="24"/>
              <w:szCs w:val="24"/>
            </w:rPr>
            <w:t xml:space="preserve">2.1.1 </w:t>
          </w:r>
          <w:r>
            <w:rPr>
              <w:rFonts w:ascii="宋体" w:hAnsi="宋体" w:eastAsia="宋体" w:cs="宋体"/>
              <w:spacing w:val="-1"/>
              <w:sz w:val="24"/>
              <w:szCs w:val="24"/>
            </w:rPr>
            <w:t>环境影响评价任务委托书</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EDD9864">
          <w:pPr>
            <w:tabs>
              <w:tab w:val="right" w:leader="dot" w:pos="8314"/>
            </w:tabs>
            <w:spacing w:before="225" w:line="184" w:lineRule="auto"/>
            <w:ind w:left="1456"/>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1"/>
              <w:sz w:val="24"/>
              <w:szCs w:val="24"/>
            </w:rPr>
            <w:t xml:space="preserve">2.1.2 </w:t>
          </w:r>
          <w:r>
            <w:rPr>
              <w:rFonts w:ascii="宋体" w:hAnsi="宋体" w:eastAsia="宋体" w:cs="宋体"/>
              <w:spacing w:val="-1"/>
              <w:sz w:val="24"/>
              <w:szCs w:val="24"/>
            </w:rPr>
            <w:t>环保法律</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DF0059A">
          <w:pPr>
            <w:tabs>
              <w:tab w:val="right" w:leader="dot" w:pos="8314"/>
            </w:tabs>
            <w:spacing w:before="226" w:line="185" w:lineRule="auto"/>
            <w:ind w:left="1456"/>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1"/>
              <w:sz w:val="24"/>
              <w:szCs w:val="24"/>
            </w:rPr>
            <w:t xml:space="preserve">2.1.3 </w:t>
          </w:r>
          <w:r>
            <w:rPr>
              <w:rFonts w:ascii="宋体" w:hAnsi="宋体" w:eastAsia="宋体" w:cs="宋体"/>
              <w:spacing w:val="-1"/>
              <w:sz w:val="24"/>
              <w:szCs w:val="24"/>
            </w:rPr>
            <w:t>政府部门规章</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05326F3">
          <w:pPr>
            <w:tabs>
              <w:tab w:val="right" w:leader="dot" w:pos="8314"/>
            </w:tabs>
            <w:spacing w:before="228" w:line="185" w:lineRule="auto"/>
            <w:ind w:left="1456"/>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1"/>
              <w:sz w:val="24"/>
              <w:szCs w:val="24"/>
            </w:rPr>
            <w:t xml:space="preserve">2.1.4 </w:t>
          </w:r>
          <w:r>
            <w:rPr>
              <w:rFonts w:ascii="宋体" w:hAnsi="宋体" w:eastAsia="宋体" w:cs="宋体"/>
              <w:spacing w:val="-1"/>
              <w:sz w:val="24"/>
              <w:szCs w:val="24"/>
            </w:rPr>
            <w:t>技术规范及导则</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4FF9F8D6">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1"/>
              <w:sz w:val="24"/>
              <w:szCs w:val="24"/>
            </w:rPr>
            <w:t xml:space="preserve">2.1.5 </w:t>
          </w:r>
          <w:r>
            <w:rPr>
              <w:rFonts w:ascii="宋体" w:hAnsi="宋体" w:eastAsia="宋体" w:cs="宋体"/>
              <w:spacing w:val="-1"/>
              <w:sz w:val="24"/>
              <w:szCs w:val="24"/>
            </w:rPr>
            <w:t>相关规划</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CCEB9FD">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1"/>
              <w:sz w:val="24"/>
              <w:szCs w:val="24"/>
            </w:rPr>
            <w:t xml:space="preserve">2.1.6 </w:t>
          </w:r>
          <w:r>
            <w:rPr>
              <w:rFonts w:ascii="宋体" w:hAnsi="宋体" w:eastAsia="宋体" w:cs="宋体"/>
              <w:spacing w:val="-1"/>
              <w:sz w:val="24"/>
              <w:szCs w:val="24"/>
            </w:rPr>
            <w:t>项目批复文件及其他资料</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32F03E2">
          <w:pPr>
            <w:tabs>
              <w:tab w:val="right" w:leader="dot" w:pos="8314"/>
            </w:tabs>
            <w:spacing w:before="228" w:line="185" w:lineRule="auto"/>
            <w:ind w:left="976"/>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环境影响识别与评价因子筛选</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25A38383">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1"/>
              <w:sz w:val="24"/>
              <w:szCs w:val="24"/>
            </w:rPr>
            <w:t xml:space="preserve">2.2.1 </w:t>
          </w:r>
          <w:r>
            <w:rPr>
              <w:rFonts w:ascii="宋体" w:hAnsi="宋体" w:eastAsia="宋体" w:cs="宋体"/>
              <w:spacing w:val="-1"/>
              <w:sz w:val="24"/>
              <w:szCs w:val="24"/>
            </w:rPr>
            <w:t>环境影响因素识别</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40D7D7E">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spacing w:val="-1"/>
              <w:sz w:val="24"/>
              <w:szCs w:val="24"/>
            </w:rPr>
            <w:t xml:space="preserve">2.2.2 </w:t>
          </w:r>
          <w:r>
            <w:rPr>
              <w:rFonts w:ascii="宋体" w:hAnsi="宋体" w:eastAsia="宋体" w:cs="宋体"/>
              <w:spacing w:val="-1"/>
              <w:sz w:val="24"/>
              <w:szCs w:val="24"/>
            </w:rPr>
            <w:t>评价因子筛选</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0B33EB80">
          <w:pPr>
            <w:tabs>
              <w:tab w:val="right" w:leader="dot" w:pos="8314"/>
            </w:tabs>
            <w:spacing w:before="226" w:line="184" w:lineRule="auto"/>
            <w:ind w:left="976"/>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 xml:space="preserve">2.3 </w:t>
          </w:r>
          <w:r>
            <w:rPr>
              <w:rFonts w:ascii="宋体" w:hAnsi="宋体" w:eastAsia="宋体" w:cs="宋体"/>
              <w:spacing w:val="-1"/>
              <w:sz w:val="24"/>
              <w:szCs w:val="24"/>
            </w:rPr>
            <w:t>评价标准</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C437829">
          <w:pPr>
            <w:tabs>
              <w:tab w:val="right" w:leader="dot" w:pos="8314"/>
            </w:tabs>
            <w:spacing w:before="228" w:line="185" w:lineRule="auto"/>
            <w:ind w:left="1456"/>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2.3.1 </w:t>
          </w:r>
          <w:r>
            <w:rPr>
              <w:rFonts w:ascii="宋体" w:hAnsi="宋体" w:eastAsia="宋体" w:cs="宋体"/>
              <w:spacing w:val="-1"/>
              <w:sz w:val="24"/>
              <w:szCs w:val="24"/>
            </w:rPr>
            <w:t>环境质量标准</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A018372">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2.3.2 </w:t>
          </w:r>
          <w:r>
            <w:rPr>
              <w:rFonts w:ascii="宋体" w:hAnsi="宋体" w:eastAsia="宋体" w:cs="宋体"/>
              <w:spacing w:val="-1"/>
              <w:sz w:val="24"/>
              <w:szCs w:val="24"/>
            </w:rPr>
            <w:t>污染物排放标准</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308BCFA">
          <w:pPr>
            <w:tabs>
              <w:tab w:val="right" w:leader="dot" w:pos="8314"/>
            </w:tabs>
            <w:spacing w:before="228" w:line="185" w:lineRule="auto"/>
            <w:ind w:left="976"/>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评价目的、评价内容及评价重点</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37A01E0A">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1"/>
              <w:sz w:val="24"/>
              <w:szCs w:val="24"/>
            </w:rPr>
            <w:t xml:space="preserve">2.4.1 </w:t>
          </w:r>
          <w:r>
            <w:rPr>
              <w:rFonts w:ascii="宋体" w:hAnsi="宋体" w:eastAsia="宋体" w:cs="宋体"/>
              <w:spacing w:val="-1"/>
              <w:sz w:val="24"/>
              <w:szCs w:val="24"/>
            </w:rPr>
            <w:t>评价目的</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516F90C9">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2.4.2 </w:t>
          </w:r>
          <w:r>
            <w:rPr>
              <w:rFonts w:ascii="宋体" w:hAnsi="宋体" w:eastAsia="宋体" w:cs="宋体"/>
              <w:spacing w:val="-1"/>
              <w:sz w:val="24"/>
              <w:szCs w:val="24"/>
            </w:rPr>
            <w:t>评价内容</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6A1194EB">
          <w:pPr>
            <w:tabs>
              <w:tab w:val="right" w:leader="dot" w:pos="8314"/>
            </w:tabs>
            <w:spacing w:before="226" w:line="185" w:lineRule="auto"/>
            <w:ind w:left="1456"/>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2.4.3 </w:t>
          </w:r>
          <w:r>
            <w:rPr>
              <w:rFonts w:ascii="宋体" w:hAnsi="宋体" w:eastAsia="宋体" w:cs="宋体"/>
              <w:spacing w:val="-1"/>
              <w:sz w:val="24"/>
              <w:szCs w:val="24"/>
            </w:rPr>
            <w:t>评价重点</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7350350A">
          <w:pPr>
            <w:tabs>
              <w:tab w:val="right" w:leader="dot" w:pos="8314"/>
            </w:tabs>
            <w:spacing w:before="227" w:line="185" w:lineRule="auto"/>
            <w:ind w:left="976"/>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7FD2225A">
          <w:pPr>
            <w:tabs>
              <w:tab w:val="right" w:leader="dot" w:pos="8314"/>
            </w:tabs>
            <w:spacing w:before="228" w:line="184" w:lineRule="auto"/>
            <w:ind w:left="1456"/>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sz w:val="24"/>
              <w:szCs w:val="24"/>
            </w:rPr>
            <w:t xml:space="preserve">2.5.1 </w:t>
          </w:r>
          <w:r>
            <w:rPr>
              <w:rFonts w:ascii="宋体" w:hAnsi="宋体" w:eastAsia="宋体" w:cs="宋体"/>
              <w:spacing w:val="-1"/>
              <w:sz w:val="24"/>
              <w:szCs w:val="24"/>
            </w:rPr>
            <w:t>环境空气评价工作等级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26DE7F57">
          <w:pPr>
            <w:tabs>
              <w:tab w:val="right" w:leader="dot" w:pos="8314"/>
            </w:tabs>
            <w:spacing w:before="226" w:line="185" w:lineRule="auto"/>
            <w:ind w:left="1456"/>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2.5.2 </w:t>
          </w:r>
          <w:r>
            <w:rPr>
              <w:rFonts w:ascii="宋体" w:hAnsi="宋体" w:eastAsia="宋体" w:cs="宋体"/>
              <w:spacing w:val="-1"/>
              <w:sz w:val="24"/>
              <w:szCs w:val="24"/>
            </w:rPr>
            <w:t>生态环境评价工作等级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7A565CC5">
          <w:pPr>
            <w:tabs>
              <w:tab w:val="right" w:leader="dot" w:pos="8314"/>
            </w:tabs>
            <w:spacing w:before="225" w:line="218" w:lineRule="auto"/>
            <w:ind w:left="1456"/>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2"/>
              <w:sz w:val="24"/>
              <w:szCs w:val="24"/>
            </w:rPr>
            <w:t>2.5.3</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噪声评价工作等级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sdtContent>
    </w:sdt>
    <w:p w14:paraId="0EB87A23">
      <w:pPr>
        <w:spacing w:line="218"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69852C16">
      <w:pPr>
        <w:pStyle w:val="2"/>
        <w:spacing w:line="247" w:lineRule="auto"/>
      </w:pPr>
    </w:p>
    <w:p w14:paraId="66B56AB0">
      <w:pPr>
        <w:pStyle w:val="2"/>
        <w:spacing w:line="248" w:lineRule="auto"/>
      </w:pPr>
    </w:p>
    <w:p w14:paraId="6A8493A5">
      <w:pPr>
        <w:pStyle w:val="2"/>
        <w:spacing w:line="248" w:lineRule="auto"/>
      </w:pPr>
    </w:p>
    <w:p w14:paraId="55F59E01">
      <w:pPr>
        <w:pStyle w:val="2"/>
        <w:spacing w:line="248" w:lineRule="auto"/>
      </w:pPr>
    </w:p>
    <w:sdt>
      <w:sdtPr>
        <w:rPr>
          <w:rFonts w:ascii="Times New Roman" w:hAnsi="Times New Roman" w:eastAsia="Times New Roman" w:cs="Times New Roman"/>
          <w:sz w:val="24"/>
          <w:szCs w:val="24"/>
        </w:rPr>
        <w:id w:val="147478159"/>
        <w:docPartObj>
          <w:docPartGallery w:val="Table of Contents"/>
          <w:docPartUnique/>
        </w:docPartObj>
      </w:sdtPr>
      <w:sdtEndPr>
        <w:rPr>
          <w:rFonts w:ascii="Times New Roman" w:hAnsi="Times New Roman" w:eastAsia="Times New Roman" w:cs="Times New Roman"/>
          <w:sz w:val="24"/>
          <w:szCs w:val="24"/>
        </w:rPr>
      </w:sdtEndPr>
      <w:sdtContent>
        <w:p w14:paraId="6D416168">
          <w:pPr>
            <w:tabs>
              <w:tab w:val="right" w:leader="dot" w:pos="8314"/>
            </w:tabs>
            <w:spacing w:before="78" w:line="184" w:lineRule="auto"/>
            <w:ind w:left="1456"/>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Times New Roman" w:hAnsi="Times New Roman" w:eastAsia="Times New Roman" w:cs="Times New Roman"/>
              <w:spacing w:val="-1"/>
              <w:sz w:val="24"/>
              <w:szCs w:val="24"/>
            </w:rPr>
            <w:t xml:space="preserve">2.5.4 </w:t>
          </w:r>
          <w:r>
            <w:rPr>
              <w:rFonts w:ascii="宋体" w:hAnsi="宋体" w:eastAsia="宋体" w:cs="宋体"/>
              <w:spacing w:val="-1"/>
              <w:sz w:val="24"/>
              <w:szCs w:val="24"/>
            </w:rPr>
            <w:t>环境风险评价工作等级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6E8598E6">
          <w:pPr>
            <w:tabs>
              <w:tab w:val="right" w:leader="dot" w:pos="8314"/>
            </w:tabs>
            <w:spacing w:before="228" w:line="185" w:lineRule="auto"/>
            <w:ind w:left="1456"/>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1"/>
              <w:sz w:val="24"/>
              <w:szCs w:val="24"/>
            </w:rPr>
            <w:t xml:space="preserve">2.5.5 </w:t>
          </w:r>
          <w:r>
            <w:rPr>
              <w:rFonts w:ascii="宋体" w:hAnsi="宋体" w:eastAsia="宋体" w:cs="宋体"/>
              <w:spacing w:val="-1"/>
              <w:sz w:val="24"/>
              <w:szCs w:val="24"/>
            </w:rPr>
            <w:t>地下水环境评价工作等级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30C3BDFF">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2.5.6 </w:t>
          </w:r>
          <w:r>
            <w:rPr>
              <w:rFonts w:ascii="宋体" w:hAnsi="宋体" w:eastAsia="宋体" w:cs="宋体"/>
              <w:spacing w:val="-1"/>
              <w:sz w:val="24"/>
              <w:szCs w:val="24"/>
            </w:rPr>
            <w:t>地表水评价工作等级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292D36FE">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1"/>
              <w:sz w:val="24"/>
              <w:szCs w:val="24"/>
            </w:rPr>
            <w:t xml:space="preserve">2.5.7 </w:t>
          </w:r>
          <w:r>
            <w:rPr>
              <w:rFonts w:ascii="宋体" w:hAnsi="宋体" w:eastAsia="宋体" w:cs="宋体"/>
              <w:spacing w:val="-1"/>
              <w:sz w:val="24"/>
              <w:szCs w:val="24"/>
            </w:rPr>
            <w:t>土壤评价工作等级</w:t>
          </w:r>
          <w:r>
            <w:rPr>
              <w:rFonts w:ascii="宋体" w:hAnsi="宋体" w:eastAsia="宋体" w:cs="宋体"/>
              <w:sz w:val="24"/>
              <w:szCs w:val="24"/>
            </w:rPr>
            <w:tab/>
          </w:r>
          <w:r>
            <w:rPr>
              <w:rFonts w:ascii="Times New Roman" w:hAnsi="Times New Roman" w:eastAsia="Times New Roman" w:cs="Times New Roman"/>
              <w:spacing w:val="-4"/>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
              <w:sz w:val="24"/>
              <w:szCs w:val="24"/>
            </w:rPr>
            <w:fldChar w:fldCharType="end"/>
          </w:r>
        </w:p>
        <w:p w14:paraId="379DD11D">
          <w:pPr>
            <w:tabs>
              <w:tab w:val="right" w:leader="dot" w:pos="8314"/>
            </w:tabs>
            <w:spacing w:before="225" w:line="185" w:lineRule="auto"/>
            <w:ind w:left="976"/>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 xml:space="preserve">2.6 </w:t>
          </w:r>
          <w:r>
            <w:rPr>
              <w:rFonts w:ascii="宋体" w:hAnsi="宋体" w:eastAsia="宋体" w:cs="宋体"/>
              <w:spacing w:val="-1"/>
              <w:sz w:val="24"/>
              <w:szCs w:val="24"/>
            </w:rPr>
            <w:t>评价范围及环境保护目标</w:t>
          </w:r>
          <w:r>
            <w:rPr>
              <w:rFonts w:ascii="宋体" w:hAnsi="宋体" w:eastAsia="宋体" w:cs="宋体"/>
              <w:sz w:val="24"/>
              <w:szCs w:val="24"/>
            </w:rPr>
            <w:tab/>
          </w:r>
          <w:r>
            <w:rPr>
              <w:rFonts w:ascii="Times New Roman" w:hAnsi="Times New Roman" w:eastAsia="Times New Roman" w:cs="Times New Roman"/>
              <w:spacing w:val="2"/>
              <w:sz w:val="24"/>
              <w:szCs w:val="24"/>
            </w:rPr>
            <w:t>- 20</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366B7FE">
          <w:pPr>
            <w:tabs>
              <w:tab w:val="right" w:leader="dot" w:pos="8314"/>
            </w:tabs>
            <w:spacing w:before="227" w:line="185" w:lineRule="auto"/>
            <w:ind w:left="1456"/>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sz w:val="24"/>
              <w:szCs w:val="24"/>
            </w:rPr>
            <w:t xml:space="preserve">2.6.1 </w:t>
          </w:r>
          <w:r>
            <w:rPr>
              <w:rFonts w:ascii="宋体" w:hAnsi="宋体" w:eastAsia="宋体" w:cs="宋体"/>
              <w:spacing w:val="-1"/>
              <w:sz w:val="24"/>
              <w:szCs w:val="24"/>
            </w:rPr>
            <w:t>评价范围</w:t>
          </w:r>
          <w:r>
            <w:rPr>
              <w:rFonts w:ascii="宋体" w:hAnsi="宋体" w:eastAsia="宋体" w:cs="宋体"/>
              <w:sz w:val="24"/>
              <w:szCs w:val="24"/>
            </w:rPr>
            <w:tab/>
          </w:r>
          <w:r>
            <w:rPr>
              <w:rFonts w:ascii="Times New Roman" w:hAnsi="Times New Roman" w:eastAsia="Times New Roman" w:cs="Times New Roman"/>
              <w:spacing w:val="2"/>
              <w:sz w:val="24"/>
              <w:szCs w:val="24"/>
            </w:rPr>
            <w:t>- 20</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C025BB7">
          <w:pPr>
            <w:tabs>
              <w:tab w:val="right" w:leader="dot" w:pos="8314"/>
            </w:tabs>
            <w:spacing w:before="225" w:line="185" w:lineRule="auto"/>
            <w:ind w:left="1456"/>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1"/>
              <w:sz w:val="24"/>
              <w:szCs w:val="24"/>
            </w:rPr>
            <w:t xml:space="preserve">2.6.2 </w:t>
          </w:r>
          <w:r>
            <w:rPr>
              <w:rFonts w:ascii="宋体" w:hAnsi="宋体" w:eastAsia="宋体" w:cs="宋体"/>
              <w:spacing w:val="-1"/>
              <w:sz w:val="24"/>
              <w:szCs w:val="24"/>
            </w:rPr>
            <w:t>环境保护目标</w:t>
          </w:r>
          <w:r>
            <w:rPr>
              <w:rFonts w:ascii="宋体" w:hAnsi="宋体" w:eastAsia="宋体" w:cs="宋体"/>
              <w:sz w:val="24"/>
              <w:szCs w:val="24"/>
            </w:rPr>
            <w:tab/>
          </w:r>
          <w:r>
            <w:rPr>
              <w:rFonts w:ascii="Times New Roman" w:hAnsi="Times New Roman" w:eastAsia="Times New Roman" w:cs="Times New Roman"/>
              <w:spacing w:val="2"/>
              <w:sz w:val="24"/>
              <w:szCs w:val="24"/>
            </w:rPr>
            <w:t>- 23</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FF6CB92">
          <w:pPr>
            <w:tabs>
              <w:tab w:val="right" w:leader="dot" w:pos="8314"/>
            </w:tabs>
            <w:spacing w:before="227" w:line="185" w:lineRule="auto"/>
            <w:ind w:left="501"/>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现有工程概况</w:t>
          </w:r>
          <w:r>
            <w:rPr>
              <w:rFonts w:ascii="宋体" w:hAnsi="宋体" w:eastAsia="宋体" w:cs="宋体"/>
              <w:sz w:val="24"/>
              <w:szCs w:val="24"/>
            </w:rPr>
            <w:tab/>
          </w:r>
          <w:r>
            <w:rPr>
              <w:rFonts w:ascii="Times New Roman" w:hAnsi="Times New Roman" w:eastAsia="Times New Roman" w:cs="Times New Roman"/>
              <w:spacing w:val="2"/>
              <w:sz w:val="24"/>
              <w:szCs w:val="24"/>
            </w:rPr>
            <w:t>- 29</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1786288">
          <w:pPr>
            <w:tabs>
              <w:tab w:val="right" w:leader="dot" w:pos="8314"/>
            </w:tabs>
            <w:spacing w:before="228" w:line="184" w:lineRule="auto"/>
            <w:ind w:left="981"/>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3"/>
              <w:sz w:val="24"/>
              <w:szCs w:val="24"/>
            </w:rPr>
            <w:t>3.1</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公司环保审批履行情况</w:t>
          </w:r>
          <w:r>
            <w:rPr>
              <w:rFonts w:ascii="宋体" w:hAnsi="宋体" w:eastAsia="宋体" w:cs="宋体"/>
              <w:sz w:val="24"/>
              <w:szCs w:val="24"/>
            </w:rPr>
            <w:tab/>
          </w:r>
          <w:r>
            <w:rPr>
              <w:rFonts w:ascii="Times New Roman" w:hAnsi="Times New Roman" w:eastAsia="Times New Roman" w:cs="Times New Roman"/>
              <w:spacing w:val="2"/>
              <w:sz w:val="24"/>
              <w:szCs w:val="24"/>
            </w:rPr>
            <w:t>- 29</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F88C561">
          <w:pPr>
            <w:tabs>
              <w:tab w:val="right" w:leader="dot" w:pos="8314"/>
            </w:tabs>
            <w:spacing w:before="226" w:line="185" w:lineRule="auto"/>
            <w:ind w:left="981"/>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1"/>
              <w:sz w:val="24"/>
              <w:szCs w:val="24"/>
            </w:rPr>
            <w:t xml:space="preserve">3.2 </w:t>
          </w:r>
          <w:r>
            <w:rPr>
              <w:rFonts w:ascii="宋体" w:hAnsi="宋体" w:eastAsia="宋体" w:cs="宋体"/>
              <w:spacing w:val="-1"/>
              <w:sz w:val="24"/>
              <w:szCs w:val="24"/>
            </w:rPr>
            <w:t>现有工程概况</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55A7794">
          <w:pPr>
            <w:tabs>
              <w:tab w:val="right" w:leader="dot" w:pos="8314"/>
            </w:tabs>
            <w:spacing w:before="225" w:line="185" w:lineRule="auto"/>
            <w:ind w:left="1461"/>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1"/>
              <w:sz w:val="24"/>
              <w:szCs w:val="24"/>
            </w:rPr>
            <w:t xml:space="preserve">3.2.1 </w:t>
          </w:r>
          <w:r>
            <w:rPr>
              <w:rFonts w:ascii="宋体" w:hAnsi="宋体" w:eastAsia="宋体" w:cs="宋体"/>
              <w:spacing w:val="-1"/>
              <w:sz w:val="24"/>
              <w:szCs w:val="24"/>
            </w:rPr>
            <w:t>现有工程项目组成</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0C70153F">
          <w:pPr>
            <w:tabs>
              <w:tab w:val="right" w:leader="dot" w:pos="8314"/>
            </w:tabs>
            <w:spacing w:before="228" w:line="185" w:lineRule="auto"/>
            <w:ind w:left="1461"/>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3"/>
              <w:sz w:val="24"/>
              <w:szCs w:val="24"/>
            </w:rPr>
            <w:t>3.2.2</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原辅材料消耗</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DF97E69">
          <w:pPr>
            <w:tabs>
              <w:tab w:val="right" w:leader="dot" w:pos="8314"/>
            </w:tabs>
            <w:spacing w:before="227" w:line="185" w:lineRule="auto"/>
            <w:ind w:left="1461"/>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Times New Roman" w:hAnsi="Times New Roman" w:eastAsia="Times New Roman" w:cs="Times New Roman"/>
              <w:spacing w:val="-1"/>
              <w:sz w:val="24"/>
              <w:szCs w:val="24"/>
            </w:rPr>
            <w:t xml:space="preserve">3.2.3 </w:t>
          </w:r>
          <w:r>
            <w:rPr>
              <w:rFonts w:ascii="宋体" w:hAnsi="宋体" w:eastAsia="宋体" w:cs="宋体"/>
              <w:spacing w:val="-1"/>
              <w:sz w:val="24"/>
              <w:szCs w:val="24"/>
            </w:rPr>
            <w:t>主要生产设备</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61F4DC75">
          <w:pPr>
            <w:tabs>
              <w:tab w:val="right" w:leader="dot" w:pos="8314"/>
            </w:tabs>
            <w:spacing w:before="225" w:line="185" w:lineRule="auto"/>
            <w:ind w:left="1461"/>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1"/>
              <w:sz w:val="24"/>
              <w:szCs w:val="24"/>
            </w:rPr>
            <w:t xml:space="preserve">3.2.4 </w:t>
          </w:r>
          <w:r>
            <w:rPr>
              <w:rFonts w:ascii="宋体" w:hAnsi="宋体" w:eastAsia="宋体" w:cs="宋体"/>
              <w:spacing w:val="-1"/>
              <w:sz w:val="24"/>
              <w:szCs w:val="24"/>
            </w:rPr>
            <w:t>物料平衡</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35727480">
          <w:pPr>
            <w:tabs>
              <w:tab w:val="right" w:leader="dot" w:pos="8314"/>
            </w:tabs>
            <w:spacing w:before="228" w:line="185" w:lineRule="auto"/>
            <w:ind w:left="1461"/>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Times New Roman" w:hAnsi="Times New Roman" w:eastAsia="Times New Roman" w:cs="Times New Roman"/>
              <w:spacing w:val="-1"/>
              <w:sz w:val="24"/>
              <w:szCs w:val="24"/>
            </w:rPr>
            <w:t xml:space="preserve">3.2.5 </w:t>
          </w:r>
          <w:r>
            <w:rPr>
              <w:rFonts w:ascii="宋体" w:hAnsi="宋体" w:eastAsia="宋体" w:cs="宋体"/>
              <w:spacing w:val="-1"/>
              <w:sz w:val="24"/>
              <w:szCs w:val="24"/>
            </w:rPr>
            <w:t>生产工艺</w:t>
          </w:r>
          <w:r>
            <w:rPr>
              <w:rFonts w:ascii="宋体" w:hAnsi="宋体" w:eastAsia="宋体" w:cs="宋体"/>
              <w:sz w:val="24"/>
              <w:szCs w:val="24"/>
            </w:rPr>
            <w:tab/>
          </w:r>
          <w:r>
            <w:rPr>
              <w:rFonts w:ascii="Times New Roman" w:hAnsi="Times New Roman" w:eastAsia="Times New Roman" w:cs="Times New Roman"/>
              <w:spacing w:val="2"/>
              <w:sz w:val="24"/>
              <w:szCs w:val="24"/>
            </w:rPr>
            <w:t>- 40</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182AAA2">
          <w:pPr>
            <w:tabs>
              <w:tab w:val="right" w:leader="dot" w:pos="8314"/>
            </w:tabs>
            <w:spacing w:before="225" w:line="185" w:lineRule="auto"/>
            <w:ind w:left="1461"/>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spacing w:val="-1"/>
              <w:sz w:val="24"/>
              <w:szCs w:val="24"/>
            </w:rPr>
            <w:t xml:space="preserve">3.2.6 </w:t>
          </w:r>
          <w:r>
            <w:rPr>
              <w:rFonts w:ascii="宋体" w:hAnsi="宋体" w:eastAsia="宋体" w:cs="宋体"/>
              <w:spacing w:val="-1"/>
              <w:sz w:val="24"/>
              <w:szCs w:val="24"/>
            </w:rPr>
            <w:t>工程污染物排放情况及污染防治措施</w:t>
          </w:r>
          <w:r>
            <w:rPr>
              <w:rFonts w:ascii="宋体" w:hAnsi="宋体" w:eastAsia="宋体" w:cs="宋体"/>
              <w:sz w:val="24"/>
              <w:szCs w:val="24"/>
            </w:rPr>
            <w:tab/>
          </w:r>
          <w:r>
            <w:rPr>
              <w:rFonts w:ascii="Times New Roman" w:hAnsi="Times New Roman" w:eastAsia="Times New Roman" w:cs="Times New Roman"/>
              <w:spacing w:val="2"/>
              <w:sz w:val="24"/>
              <w:szCs w:val="24"/>
            </w:rPr>
            <w:t>- 43</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B2A65ED">
          <w:pPr>
            <w:tabs>
              <w:tab w:val="right" w:leader="dot" w:pos="8314"/>
            </w:tabs>
            <w:spacing w:before="228" w:line="184" w:lineRule="auto"/>
            <w:ind w:left="981"/>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Times New Roman" w:hAnsi="Times New Roman" w:eastAsia="Times New Roman" w:cs="Times New Roman"/>
              <w:spacing w:val="-1"/>
              <w:sz w:val="24"/>
              <w:szCs w:val="24"/>
            </w:rPr>
            <w:t xml:space="preserve">3.3 </w:t>
          </w:r>
          <w:r>
            <w:rPr>
              <w:rFonts w:ascii="宋体" w:hAnsi="宋体" w:eastAsia="宋体" w:cs="宋体"/>
              <w:spacing w:val="-1"/>
              <w:sz w:val="24"/>
              <w:szCs w:val="24"/>
            </w:rPr>
            <w:t>现有环境问题及治理措施</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50</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2A23CE62">
          <w:pPr>
            <w:tabs>
              <w:tab w:val="right" w:leader="dot" w:pos="8314"/>
            </w:tabs>
            <w:spacing w:before="226" w:line="185" w:lineRule="auto"/>
            <w:ind w:left="495"/>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技改工程概况</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34A43C4B">
          <w:pPr>
            <w:tabs>
              <w:tab w:val="right" w:leader="dot" w:pos="8314"/>
            </w:tabs>
            <w:spacing w:before="227" w:line="185" w:lineRule="auto"/>
            <w:ind w:left="975"/>
            <w:rPr>
              <w:rFonts w:ascii="Times New Roman" w:hAnsi="Times New Roman" w:eastAsia="Times New Roman" w:cs="Times New Roman"/>
              <w:sz w:val="24"/>
              <w:szCs w:val="24"/>
            </w:rPr>
          </w:pPr>
          <w:r>
            <w:fldChar w:fldCharType="begin"/>
          </w:r>
          <w:r>
            <w:instrText xml:space="preserve"> HYPERLINK \l "bookmark48" </w:instrText>
          </w:r>
          <w:r>
            <w:fldChar w:fldCharType="separate"/>
          </w:r>
          <w:r>
            <w:rPr>
              <w:rFonts w:ascii="Times New Roman" w:hAnsi="Times New Roman" w:eastAsia="Times New Roman" w:cs="Times New Roman"/>
              <w:spacing w:val="-1"/>
              <w:sz w:val="24"/>
              <w:szCs w:val="24"/>
            </w:rPr>
            <w:t xml:space="preserve">4.1 </w:t>
          </w:r>
          <w:r>
            <w:rPr>
              <w:rFonts w:ascii="宋体" w:hAnsi="宋体" w:eastAsia="宋体" w:cs="宋体"/>
              <w:spacing w:val="-1"/>
              <w:sz w:val="24"/>
              <w:szCs w:val="24"/>
            </w:rPr>
            <w:t>项目名称、地点及建设性质</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103BFD5A">
          <w:pPr>
            <w:tabs>
              <w:tab w:val="right" w:leader="dot" w:pos="8314"/>
            </w:tabs>
            <w:spacing w:before="225" w:line="185" w:lineRule="auto"/>
            <w:ind w:left="975"/>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Times New Roman" w:hAnsi="Times New Roman" w:eastAsia="Times New Roman" w:cs="Times New Roman"/>
              <w:spacing w:val="-3"/>
              <w:sz w:val="24"/>
              <w:szCs w:val="24"/>
            </w:rPr>
            <w:t>4.2</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建设规模</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0045456E">
          <w:pPr>
            <w:tabs>
              <w:tab w:val="right" w:leader="dot" w:pos="8314"/>
            </w:tabs>
            <w:spacing w:before="228" w:line="185" w:lineRule="auto"/>
            <w:ind w:left="975"/>
            <w:rPr>
              <w:rFonts w:ascii="Times New Roman" w:hAnsi="Times New Roman" w:eastAsia="Times New Roman" w:cs="Times New Roman"/>
              <w:sz w:val="24"/>
              <w:szCs w:val="24"/>
            </w:rPr>
          </w:pPr>
          <w:r>
            <w:fldChar w:fldCharType="begin"/>
          </w:r>
          <w:r>
            <w:instrText xml:space="preserve"> HYPERLINK \l "bookmark50" </w:instrText>
          </w:r>
          <w:r>
            <w:fldChar w:fldCharType="separate"/>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主要建设内容</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2F15C904">
          <w:pPr>
            <w:tabs>
              <w:tab w:val="right" w:leader="dot" w:pos="8314"/>
            </w:tabs>
            <w:spacing w:before="225" w:line="185" w:lineRule="auto"/>
            <w:ind w:left="975"/>
            <w:rPr>
              <w:rFonts w:ascii="Times New Roman" w:hAnsi="Times New Roman" w:eastAsia="Times New Roman" w:cs="Times New Roman"/>
              <w:sz w:val="24"/>
              <w:szCs w:val="24"/>
            </w:rPr>
          </w:pPr>
          <w:r>
            <w:fldChar w:fldCharType="begin"/>
          </w:r>
          <w:r>
            <w:instrText xml:space="preserve"> HYPERLINK \l "bookmark51" </w:instrText>
          </w:r>
          <w:r>
            <w:fldChar w:fldCharType="separate"/>
          </w:r>
          <w:r>
            <w:rPr>
              <w:rFonts w:ascii="Times New Roman" w:hAnsi="Times New Roman" w:eastAsia="Times New Roman" w:cs="Times New Roman"/>
              <w:spacing w:val="-1"/>
              <w:sz w:val="24"/>
              <w:szCs w:val="24"/>
            </w:rPr>
            <w:t xml:space="preserve">4.4 </w:t>
          </w:r>
          <w:r>
            <w:rPr>
              <w:rFonts w:ascii="宋体" w:hAnsi="宋体" w:eastAsia="宋体" w:cs="宋体"/>
              <w:spacing w:val="-1"/>
              <w:sz w:val="24"/>
              <w:szCs w:val="24"/>
            </w:rPr>
            <w:t>主要生产设备</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59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04BCC1BF">
          <w:pPr>
            <w:tabs>
              <w:tab w:val="right" w:leader="dot" w:pos="8314"/>
            </w:tabs>
            <w:spacing w:before="227" w:line="185" w:lineRule="auto"/>
            <w:ind w:left="975"/>
            <w:rPr>
              <w:rFonts w:ascii="Times New Roman" w:hAnsi="Times New Roman" w:eastAsia="Times New Roman" w:cs="Times New Roman"/>
              <w:sz w:val="24"/>
              <w:szCs w:val="24"/>
            </w:rPr>
          </w:pPr>
          <w:r>
            <w:fldChar w:fldCharType="begin"/>
          </w:r>
          <w:r>
            <w:instrText xml:space="preserve"> HYPERLINK \l "bookmark52" </w:instrText>
          </w:r>
          <w:r>
            <w:fldChar w:fldCharType="separate"/>
          </w:r>
          <w:r>
            <w:rPr>
              <w:rFonts w:ascii="Times New Roman" w:hAnsi="Times New Roman" w:eastAsia="Times New Roman" w:cs="Times New Roman"/>
              <w:spacing w:val="-1"/>
              <w:sz w:val="24"/>
              <w:szCs w:val="24"/>
            </w:rPr>
            <w:t xml:space="preserve">4.5 </w:t>
          </w:r>
          <w:r>
            <w:rPr>
              <w:rFonts w:ascii="宋体" w:hAnsi="宋体" w:eastAsia="宋体" w:cs="宋体"/>
              <w:spacing w:val="-1"/>
              <w:sz w:val="24"/>
              <w:szCs w:val="24"/>
            </w:rPr>
            <w:t>工作制度、劳动定员</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68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0585F42A">
          <w:pPr>
            <w:tabs>
              <w:tab w:val="right" w:leader="dot" w:pos="8314"/>
            </w:tabs>
            <w:spacing w:before="228" w:line="185" w:lineRule="auto"/>
            <w:ind w:left="975"/>
            <w:rPr>
              <w:rFonts w:ascii="Times New Roman" w:hAnsi="Times New Roman" w:eastAsia="Times New Roman" w:cs="Times New Roman"/>
              <w:sz w:val="24"/>
              <w:szCs w:val="24"/>
            </w:rPr>
          </w:pPr>
          <w:r>
            <w:fldChar w:fldCharType="begin"/>
          </w:r>
          <w:r>
            <w:instrText xml:space="preserve"> HYPERLINK \l "bookmark53" </w:instrText>
          </w:r>
          <w:r>
            <w:fldChar w:fldCharType="separate"/>
          </w:r>
          <w:r>
            <w:rPr>
              <w:rFonts w:ascii="Times New Roman" w:hAnsi="Times New Roman" w:eastAsia="Times New Roman" w:cs="Times New Roman"/>
              <w:spacing w:val="-2"/>
              <w:sz w:val="24"/>
              <w:szCs w:val="24"/>
            </w:rPr>
            <w:t>4.6</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总投资、环保投资</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68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2360690">
          <w:pPr>
            <w:tabs>
              <w:tab w:val="right" w:leader="dot" w:pos="8314"/>
            </w:tabs>
            <w:spacing w:before="225" w:line="184" w:lineRule="auto"/>
            <w:ind w:left="975"/>
            <w:rPr>
              <w:rFonts w:ascii="Times New Roman" w:hAnsi="Times New Roman" w:eastAsia="Times New Roman" w:cs="Times New Roman"/>
              <w:sz w:val="24"/>
              <w:szCs w:val="24"/>
            </w:rPr>
          </w:pPr>
          <w:r>
            <w:fldChar w:fldCharType="begin"/>
          </w:r>
          <w:r>
            <w:instrText xml:space="preserve"> HYPERLINK \l "bookmark54" </w:instrText>
          </w:r>
          <w:r>
            <w:fldChar w:fldCharType="separate"/>
          </w:r>
          <w:r>
            <w:rPr>
              <w:rFonts w:ascii="Times New Roman" w:hAnsi="Times New Roman" w:eastAsia="Times New Roman" w:cs="Times New Roman"/>
              <w:spacing w:val="-1"/>
              <w:sz w:val="24"/>
              <w:szCs w:val="24"/>
            </w:rPr>
            <w:t xml:space="preserve">4.7 </w:t>
          </w:r>
          <w:r>
            <w:rPr>
              <w:rFonts w:ascii="宋体" w:hAnsi="宋体" w:eastAsia="宋体" w:cs="宋体"/>
              <w:spacing w:val="-1"/>
              <w:sz w:val="24"/>
              <w:szCs w:val="24"/>
            </w:rPr>
            <w:t>平面布置</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68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099C43CC">
          <w:pPr>
            <w:tabs>
              <w:tab w:val="right" w:leader="dot" w:pos="8314"/>
            </w:tabs>
            <w:spacing w:before="226" w:line="185" w:lineRule="auto"/>
            <w:ind w:left="975"/>
            <w:rPr>
              <w:rFonts w:ascii="Times New Roman" w:hAnsi="Times New Roman" w:eastAsia="Times New Roman" w:cs="Times New Roman"/>
              <w:sz w:val="24"/>
              <w:szCs w:val="24"/>
            </w:rPr>
          </w:pPr>
          <w:r>
            <w:fldChar w:fldCharType="begin"/>
          </w:r>
          <w:r>
            <w:instrText xml:space="preserve"> HYPERLINK \l "bookmark55" </w:instrText>
          </w:r>
          <w:r>
            <w:fldChar w:fldCharType="separate"/>
          </w:r>
          <w:r>
            <w:rPr>
              <w:rFonts w:ascii="Times New Roman" w:hAnsi="Times New Roman" w:eastAsia="Times New Roman" w:cs="Times New Roman"/>
              <w:spacing w:val="-1"/>
              <w:sz w:val="24"/>
              <w:szCs w:val="24"/>
            </w:rPr>
            <w:t xml:space="preserve">4.8 </w:t>
          </w:r>
          <w:r>
            <w:rPr>
              <w:rFonts w:ascii="宋体" w:hAnsi="宋体" w:eastAsia="宋体" w:cs="宋体"/>
              <w:spacing w:val="-1"/>
              <w:sz w:val="24"/>
              <w:szCs w:val="24"/>
            </w:rPr>
            <w:t>主要经济技术指标</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EE0C0C9">
          <w:pPr>
            <w:tabs>
              <w:tab w:val="right" w:leader="dot" w:pos="8314"/>
            </w:tabs>
            <w:spacing w:before="228" w:line="185" w:lineRule="auto"/>
            <w:ind w:left="503"/>
            <w:rPr>
              <w:rFonts w:ascii="Times New Roman" w:hAnsi="Times New Roman" w:eastAsia="Times New Roman" w:cs="Times New Roman"/>
              <w:sz w:val="24"/>
              <w:szCs w:val="24"/>
            </w:rPr>
          </w:pPr>
          <w:r>
            <w:fldChar w:fldCharType="begin"/>
          </w:r>
          <w:r>
            <w:instrText xml:space="preserve"> HYPERLINK \l "bookmark56" </w:instrText>
          </w:r>
          <w:r>
            <w:fldChar w:fldCharType="separate"/>
          </w:r>
          <w:r>
            <w:rPr>
              <w:rFonts w:ascii="Times New Roman" w:hAnsi="Times New Roman" w:eastAsia="Times New Roman" w:cs="Times New Roman"/>
              <w:spacing w:val="-5"/>
              <w:sz w:val="24"/>
              <w:szCs w:val="24"/>
            </w:rPr>
            <w:t>5</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工程分析</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345B9E9C">
          <w:pPr>
            <w:tabs>
              <w:tab w:val="right" w:leader="dot" w:pos="8314"/>
            </w:tabs>
            <w:spacing w:before="225" w:line="185" w:lineRule="auto"/>
            <w:ind w:left="983"/>
            <w:rPr>
              <w:rFonts w:ascii="Times New Roman" w:hAnsi="Times New Roman" w:eastAsia="Times New Roman" w:cs="Times New Roman"/>
              <w:sz w:val="24"/>
              <w:szCs w:val="24"/>
            </w:rPr>
          </w:pPr>
          <w:r>
            <w:fldChar w:fldCharType="begin"/>
          </w:r>
          <w:r>
            <w:instrText xml:space="preserve"> HYPERLINK \l "bookmark57" </w:instrText>
          </w:r>
          <w:r>
            <w:fldChar w:fldCharType="separate"/>
          </w:r>
          <w:r>
            <w:rPr>
              <w:rFonts w:ascii="Times New Roman" w:hAnsi="Times New Roman" w:eastAsia="Times New Roman" w:cs="Times New Roman"/>
              <w:spacing w:val="-3"/>
              <w:sz w:val="24"/>
              <w:szCs w:val="24"/>
            </w:rPr>
            <w:t>5.1</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原辅材料及能源消耗</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51DE574A">
          <w:pPr>
            <w:tabs>
              <w:tab w:val="right" w:leader="dot" w:pos="8314"/>
            </w:tabs>
            <w:spacing w:before="227" w:line="185" w:lineRule="auto"/>
            <w:ind w:left="1463"/>
            <w:rPr>
              <w:rFonts w:ascii="Times New Roman" w:hAnsi="Times New Roman" w:eastAsia="Times New Roman" w:cs="Times New Roman"/>
              <w:sz w:val="24"/>
              <w:szCs w:val="24"/>
            </w:rPr>
          </w:pPr>
          <w:r>
            <w:fldChar w:fldCharType="begin"/>
          </w:r>
          <w:r>
            <w:instrText xml:space="preserve"> HYPERLINK \l "bookmark58" </w:instrText>
          </w:r>
          <w:r>
            <w:fldChar w:fldCharType="separate"/>
          </w:r>
          <w:r>
            <w:rPr>
              <w:rFonts w:ascii="Times New Roman" w:hAnsi="Times New Roman" w:eastAsia="Times New Roman" w:cs="Times New Roman"/>
              <w:spacing w:val="-3"/>
              <w:sz w:val="24"/>
              <w:szCs w:val="24"/>
            </w:rPr>
            <w:t>5.1.1</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原辅材料消耗</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5A29060E">
          <w:pPr>
            <w:tabs>
              <w:tab w:val="right" w:leader="dot" w:pos="8314"/>
            </w:tabs>
            <w:spacing w:before="228" w:line="219" w:lineRule="auto"/>
            <w:ind w:left="1463"/>
            <w:rPr>
              <w:rFonts w:ascii="Times New Roman" w:hAnsi="Times New Roman" w:eastAsia="Times New Roman" w:cs="Times New Roman"/>
              <w:sz w:val="24"/>
              <w:szCs w:val="24"/>
            </w:rPr>
          </w:pPr>
          <w:r>
            <w:fldChar w:fldCharType="begin"/>
          </w:r>
          <w:r>
            <w:instrText xml:space="preserve"> HYPERLINK \l "bookmark59" </w:instrText>
          </w:r>
          <w:r>
            <w:fldChar w:fldCharType="separate"/>
          </w:r>
          <w:r>
            <w:rPr>
              <w:rFonts w:ascii="Times New Roman" w:hAnsi="Times New Roman" w:eastAsia="Times New Roman" w:cs="Times New Roman"/>
              <w:spacing w:val="-1"/>
              <w:sz w:val="24"/>
              <w:szCs w:val="24"/>
            </w:rPr>
            <w:t xml:space="preserve">5.1.2 </w:t>
          </w:r>
          <w:r>
            <w:rPr>
              <w:rFonts w:ascii="宋体" w:hAnsi="宋体" w:eastAsia="宋体" w:cs="宋体"/>
              <w:spacing w:val="-1"/>
              <w:sz w:val="24"/>
              <w:szCs w:val="24"/>
            </w:rPr>
            <w:t>矿石成分及产品方案</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sdtContent>
    </w:sdt>
    <w:p w14:paraId="0404BD47">
      <w:pPr>
        <w:spacing w:line="219"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1BA32DA3">
      <w:pPr>
        <w:pStyle w:val="2"/>
        <w:spacing w:line="247" w:lineRule="auto"/>
      </w:pPr>
    </w:p>
    <w:p w14:paraId="509D96CF">
      <w:pPr>
        <w:pStyle w:val="2"/>
        <w:spacing w:line="248" w:lineRule="auto"/>
      </w:pPr>
    </w:p>
    <w:p w14:paraId="3ECDD119">
      <w:pPr>
        <w:pStyle w:val="2"/>
        <w:spacing w:line="248" w:lineRule="auto"/>
      </w:pPr>
    </w:p>
    <w:p w14:paraId="5A56FA50">
      <w:pPr>
        <w:pStyle w:val="2"/>
        <w:spacing w:line="248" w:lineRule="auto"/>
      </w:pPr>
    </w:p>
    <w:sdt>
      <w:sdtPr>
        <w:rPr>
          <w:rFonts w:ascii="Times New Roman" w:hAnsi="Times New Roman" w:eastAsia="Times New Roman" w:cs="Times New Roman"/>
          <w:sz w:val="24"/>
          <w:szCs w:val="24"/>
        </w:rPr>
        <w:id w:val="147479964"/>
        <w:docPartObj>
          <w:docPartGallery w:val="Table of Contents"/>
          <w:docPartUnique/>
        </w:docPartObj>
      </w:sdtPr>
      <w:sdtEndPr>
        <w:rPr>
          <w:rFonts w:ascii="Times New Roman" w:hAnsi="Times New Roman" w:eastAsia="Times New Roman" w:cs="Times New Roman"/>
          <w:sz w:val="24"/>
          <w:szCs w:val="24"/>
        </w:rPr>
      </w:sdtEndPr>
      <w:sdtContent>
        <w:p w14:paraId="1DC99BDD">
          <w:pPr>
            <w:tabs>
              <w:tab w:val="right" w:leader="dot" w:pos="8314"/>
            </w:tabs>
            <w:spacing w:before="78" w:line="184" w:lineRule="auto"/>
            <w:ind w:left="1463"/>
            <w:rPr>
              <w:rFonts w:ascii="Times New Roman" w:hAnsi="Times New Roman" w:eastAsia="Times New Roman" w:cs="Times New Roman"/>
              <w:sz w:val="24"/>
              <w:szCs w:val="24"/>
            </w:rPr>
          </w:pPr>
          <w:r>
            <w:fldChar w:fldCharType="begin"/>
          </w:r>
          <w:r>
            <w:instrText xml:space="preserve"> HYPERLINK \l "bookmark60" </w:instrText>
          </w:r>
          <w:r>
            <w:fldChar w:fldCharType="separate"/>
          </w:r>
          <w:r>
            <w:rPr>
              <w:rFonts w:ascii="Times New Roman" w:hAnsi="Times New Roman" w:eastAsia="Times New Roman" w:cs="Times New Roman"/>
              <w:spacing w:val="-4"/>
              <w:sz w:val="24"/>
              <w:szCs w:val="24"/>
            </w:rPr>
            <w:t>5.1.3</w:t>
          </w:r>
          <w:r>
            <w:rPr>
              <w:rFonts w:ascii="Times New Roman" w:hAnsi="Times New Roman" w:eastAsia="Times New Roman" w:cs="Times New Roman"/>
              <w:spacing w:val="23"/>
              <w:sz w:val="24"/>
              <w:szCs w:val="24"/>
            </w:rPr>
            <w:t xml:space="preserve"> </w:t>
          </w:r>
          <w:r>
            <w:rPr>
              <w:rFonts w:ascii="宋体" w:hAnsi="宋体" w:eastAsia="宋体" w:cs="宋体"/>
              <w:spacing w:val="-4"/>
              <w:sz w:val="24"/>
              <w:szCs w:val="24"/>
            </w:rPr>
            <w:t>能源消耗</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66A1A82">
          <w:pPr>
            <w:tabs>
              <w:tab w:val="right" w:leader="dot" w:pos="8314"/>
            </w:tabs>
            <w:spacing w:before="228" w:line="185" w:lineRule="auto"/>
            <w:ind w:left="983"/>
            <w:rPr>
              <w:rFonts w:ascii="Times New Roman" w:hAnsi="Times New Roman" w:eastAsia="Times New Roman" w:cs="Times New Roman"/>
              <w:sz w:val="24"/>
              <w:szCs w:val="24"/>
            </w:rPr>
          </w:pPr>
          <w:r>
            <w:fldChar w:fldCharType="begin"/>
          </w:r>
          <w:r>
            <w:instrText xml:space="preserve"> HYPERLINK \l "bookmark61" </w:instrText>
          </w:r>
          <w:r>
            <w:fldChar w:fldCharType="separate"/>
          </w:r>
          <w:r>
            <w:rPr>
              <w:rFonts w:ascii="Times New Roman" w:hAnsi="Times New Roman" w:eastAsia="Times New Roman" w:cs="Times New Roman"/>
              <w:spacing w:val="-2"/>
              <w:sz w:val="24"/>
              <w:szCs w:val="24"/>
            </w:rPr>
            <w:t xml:space="preserve">5.2 </w:t>
          </w:r>
          <w:r>
            <w:rPr>
              <w:rFonts w:ascii="宋体" w:hAnsi="宋体" w:eastAsia="宋体" w:cs="宋体"/>
              <w:spacing w:val="-2"/>
              <w:sz w:val="24"/>
              <w:szCs w:val="24"/>
            </w:rPr>
            <w:t>物料及金属平衡</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54918E0">
          <w:pPr>
            <w:tabs>
              <w:tab w:val="right" w:leader="dot" w:pos="8314"/>
            </w:tabs>
            <w:spacing w:before="225" w:line="185" w:lineRule="auto"/>
            <w:ind w:left="983"/>
            <w:rPr>
              <w:rFonts w:ascii="Times New Roman" w:hAnsi="Times New Roman" w:eastAsia="Times New Roman" w:cs="Times New Roman"/>
              <w:sz w:val="24"/>
              <w:szCs w:val="24"/>
            </w:rPr>
          </w:pPr>
          <w:r>
            <w:fldChar w:fldCharType="begin"/>
          </w:r>
          <w:r>
            <w:instrText xml:space="preserve"> HYPERLINK \l "bookmark62" </w:instrText>
          </w:r>
          <w:r>
            <w:fldChar w:fldCharType="separate"/>
          </w:r>
          <w:r>
            <w:rPr>
              <w:rFonts w:ascii="Times New Roman" w:hAnsi="Times New Roman" w:eastAsia="Times New Roman" w:cs="Times New Roman"/>
              <w:spacing w:val="-4"/>
              <w:sz w:val="24"/>
              <w:szCs w:val="24"/>
            </w:rPr>
            <w:t>5.3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水量平衡</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79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CB31919">
          <w:pPr>
            <w:tabs>
              <w:tab w:val="right" w:leader="dot" w:pos="8314"/>
            </w:tabs>
            <w:spacing w:before="227" w:line="185" w:lineRule="auto"/>
            <w:ind w:left="983"/>
            <w:rPr>
              <w:rFonts w:ascii="Times New Roman" w:hAnsi="Times New Roman" w:eastAsia="Times New Roman" w:cs="Times New Roman"/>
              <w:sz w:val="24"/>
              <w:szCs w:val="24"/>
            </w:rPr>
          </w:pPr>
          <w:r>
            <w:fldChar w:fldCharType="begin"/>
          </w:r>
          <w:r>
            <w:instrText xml:space="preserve"> HYPERLINK \l "bookmark63" </w:instrText>
          </w:r>
          <w:r>
            <w:fldChar w:fldCharType="separate"/>
          </w:r>
          <w:r>
            <w:rPr>
              <w:rFonts w:ascii="Times New Roman" w:hAnsi="Times New Roman" w:eastAsia="Times New Roman" w:cs="Times New Roman"/>
              <w:spacing w:val="-1"/>
              <w:sz w:val="24"/>
              <w:szCs w:val="24"/>
            </w:rPr>
            <w:t xml:space="preserve">5.4 </w:t>
          </w:r>
          <w:r>
            <w:rPr>
              <w:rFonts w:ascii="宋体" w:hAnsi="宋体" w:eastAsia="宋体" w:cs="宋体"/>
              <w:spacing w:val="-1"/>
              <w:sz w:val="24"/>
              <w:szCs w:val="24"/>
            </w:rPr>
            <w:t>工艺流程及排污特点</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5C7CDAAF">
          <w:pPr>
            <w:tabs>
              <w:tab w:val="right" w:leader="dot" w:pos="8314"/>
            </w:tabs>
            <w:spacing w:before="225" w:line="185" w:lineRule="auto"/>
            <w:ind w:left="983"/>
            <w:rPr>
              <w:rFonts w:ascii="Times New Roman" w:hAnsi="Times New Roman" w:eastAsia="Times New Roman" w:cs="Times New Roman"/>
              <w:sz w:val="24"/>
              <w:szCs w:val="24"/>
            </w:rPr>
          </w:pPr>
          <w:r>
            <w:fldChar w:fldCharType="begin"/>
          </w:r>
          <w:r>
            <w:instrText xml:space="preserve"> HYPERLINK \l "bookmark64" </w:instrText>
          </w:r>
          <w:r>
            <w:fldChar w:fldCharType="separate"/>
          </w:r>
          <w:r>
            <w:rPr>
              <w:rFonts w:ascii="Times New Roman" w:hAnsi="Times New Roman" w:eastAsia="Times New Roman" w:cs="Times New Roman"/>
              <w:spacing w:val="-1"/>
              <w:sz w:val="24"/>
              <w:szCs w:val="24"/>
            </w:rPr>
            <w:t xml:space="preserve">5.5 </w:t>
          </w:r>
          <w:r>
            <w:rPr>
              <w:rFonts w:ascii="宋体" w:hAnsi="宋体" w:eastAsia="宋体" w:cs="宋体"/>
              <w:spacing w:val="-1"/>
              <w:sz w:val="24"/>
              <w:szCs w:val="24"/>
            </w:rPr>
            <w:t>污染源治理及污染物排放情况</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5B9998A5">
          <w:pPr>
            <w:tabs>
              <w:tab w:val="right" w:leader="dot" w:pos="8314"/>
            </w:tabs>
            <w:spacing w:before="227" w:line="185" w:lineRule="auto"/>
            <w:ind w:left="1463"/>
            <w:rPr>
              <w:rFonts w:ascii="Times New Roman" w:hAnsi="Times New Roman" w:eastAsia="Times New Roman" w:cs="Times New Roman"/>
              <w:sz w:val="24"/>
              <w:szCs w:val="24"/>
            </w:rPr>
          </w:pPr>
          <w:r>
            <w:fldChar w:fldCharType="begin"/>
          </w:r>
          <w:r>
            <w:instrText xml:space="preserve"> HYPERLINK \l "bookmark65" </w:instrText>
          </w:r>
          <w:r>
            <w:fldChar w:fldCharType="separate"/>
          </w:r>
          <w:r>
            <w:rPr>
              <w:rFonts w:ascii="Times New Roman" w:hAnsi="Times New Roman" w:eastAsia="Times New Roman" w:cs="Times New Roman"/>
              <w:spacing w:val="-3"/>
              <w:sz w:val="24"/>
              <w:szCs w:val="24"/>
            </w:rPr>
            <w:t>5.5.1</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废气</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4C9F105F">
          <w:pPr>
            <w:tabs>
              <w:tab w:val="right" w:leader="dot" w:pos="8314"/>
            </w:tabs>
            <w:spacing w:before="225" w:line="185" w:lineRule="auto"/>
            <w:ind w:left="1463"/>
            <w:rPr>
              <w:rFonts w:ascii="Times New Roman" w:hAnsi="Times New Roman" w:eastAsia="Times New Roman" w:cs="Times New Roman"/>
              <w:sz w:val="24"/>
              <w:szCs w:val="24"/>
            </w:rPr>
          </w:pPr>
          <w:r>
            <w:fldChar w:fldCharType="begin"/>
          </w:r>
          <w:r>
            <w:instrText xml:space="preserve"> HYPERLINK \l "bookmark66" </w:instrText>
          </w:r>
          <w:r>
            <w:fldChar w:fldCharType="separate"/>
          </w:r>
          <w:r>
            <w:rPr>
              <w:rFonts w:ascii="Times New Roman" w:hAnsi="Times New Roman" w:eastAsia="Times New Roman" w:cs="Times New Roman"/>
              <w:spacing w:val="-3"/>
              <w:sz w:val="24"/>
              <w:szCs w:val="24"/>
            </w:rPr>
            <w:t>5.5.2</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废水</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6A07CB37">
          <w:pPr>
            <w:tabs>
              <w:tab w:val="right" w:leader="dot" w:pos="8314"/>
            </w:tabs>
            <w:spacing w:before="227" w:line="185" w:lineRule="auto"/>
            <w:ind w:left="1463"/>
            <w:rPr>
              <w:rFonts w:ascii="Times New Roman" w:hAnsi="Times New Roman" w:eastAsia="Times New Roman" w:cs="Times New Roman"/>
              <w:sz w:val="24"/>
              <w:szCs w:val="24"/>
            </w:rPr>
          </w:pPr>
          <w:r>
            <w:fldChar w:fldCharType="begin"/>
          </w:r>
          <w:r>
            <w:instrText xml:space="preserve"> HYPERLINK \l "bookmark67" </w:instrText>
          </w:r>
          <w:r>
            <w:fldChar w:fldCharType="separate"/>
          </w:r>
          <w:r>
            <w:rPr>
              <w:rFonts w:ascii="Times New Roman" w:hAnsi="Times New Roman" w:eastAsia="Times New Roman" w:cs="Times New Roman"/>
              <w:spacing w:val="-5"/>
              <w:sz w:val="24"/>
              <w:szCs w:val="24"/>
            </w:rPr>
            <w:t>5.5.3</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噪声</w:t>
          </w:r>
          <w:r>
            <w:rPr>
              <w:rFonts w:ascii="宋体" w:hAnsi="宋体" w:eastAsia="宋体" w:cs="宋体"/>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89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fldChar w:fldCharType="end"/>
          </w:r>
        </w:p>
        <w:p w14:paraId="2B7F455D">
          <w:pPr>
            <w:tabs>
              <w:tab w:val="right" w:leader="dot" w:pos="8314"/>
            </w:tabs>
            <w:spacing w:before="228" w:line="184" w:lineRule="auto"/>
            <w:ind w:left="1463"/>
            <w:rPr>
              <w:rFonts w:ascii="Times New Roman" w:hAnsi="Times New Roman" w:eastAsia="Times New Roman" w:cs="Times New Roman"/>
              <w:sz w:val="24"/>
              <w:szCs w:val="24"/>
            </w:rPr>
          </w:pPr>
          <w:r>
            <w:fldChar w:fldCharType="begin"/>
          </w:r>
          <w:r>
            <w:instrText xml:space="preserve"> HYPERLINK \l "bookmark68" </w:instrText>
          </w:r>
          <w:r>
            <w:fldChar w:fldCharType="separate"/>
          </w:r>
          <w:r>
            <w:rPr>
              <w:rFonts w:ascii="Times New Roman" w:hAnsi="Times New Roman" w:eastAsia="Times New Roman" w:cs="Times New Roman"/>
              <w:spacing w:val="-5"/>
              <w:sz w:val="24"/>
              <w:szCs w:val="24"/>
            </w:rPr>
            <w:t>5.5.4</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固体废物</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10D22191">
          <w:pPr>
            <w:tabs>
              <w:tab w:val="right" w:leader="dot" w:pos="8314"/>
            </w:tabs>
            <w:spacing w:before="226" w:line="185" w:lineRule="auto"/>
            <w:ind w:left="983"/>
            <w:rPr>
              <w:rFonts w:ascii="Times New Roman" w:hAnsi="Times New Roman" w:eastAsia="Times New Roman" w:cs="Times New Roman"/>
              <w:sz w:val="24"/>
              <w:szCs w:val="24"/>
            </w:rPr>
          </w:pPr>
          <w:r>
            <w:fldChar w:fldCharType="begin"/>
          </w:r>
          <w:r>
            <w:instrText xml:space="preserve"> HYPERLINK \l "bookmark69" </w:instrText>
          </w:r>
          <w:r>
            <w:fldChar w:fldCharType="separate"/>
          </w:r>
          <w:r>
            <w:rPr>
              <w:rFonts w:ascii="Times New Roman" w:hAnsi="Times New Roman" w:eastAsia="Times New Roman" w:cs="Times New Roman"/>
              <w:spacing w:val="-4"/>
              <w:sz w:val="24"/>
              <w:szCs w:val="24"/>
            </w:rPr>
            <w:t>5.6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总量控制</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6C6D3D77">
          <w:pPr>
            <w:tabs>
              <w:tab w:val="right" w:leader="dot" w:pos="8314"/>
            </w:tabs>
            <w:spacing w:before="225" w:line="185" w:lineRule="auto"/>
            <w:ind w:left="1463"/>
            <w:rPr>
              <w:rFonts w:ascii="Times New Roman" w:hAnsi="Times New Roman" w:eastAsia="Times New Roman" w:cs="Times New Roman"/>
              <w:sz w:val="24"/>
              <w:szCs w:val="24"/>
            </w:rPr>
          </w:pPr>
          <w:r>
            <w:fldChar w:fldCharType="begin"/>
          </w:r>
          <w:r>
            <w:instrText xml:space="preserve"> HYPERLINK \l "bookmark70" </w:instrText>
          </w:r>
          <w:r>
            <w:fldChar w:fldCharType="separate"/>
          </w:r>
          <w:r>
            <w:rPr>
              <w:rFonts w:ascii="Times New Roman" w:hAnsi="Times New Roman" w:eastAsia="Times New Roman" w:cs="Times New Roman"/>
              <w:spacing w:val="-2"/>
              <w:sz w:val="24"/>
              <w:szCs w:val="24"/>
            </w:rPr>
            <w:t>5.6.1</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总量控制的目的和原则</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2AB4816C">
          <w:pPr>
            <w:tabs>
              <w:tab w:val="right" w:leader="dot" w:pos="8314"/>
            </w:tabs>
            <w:spacing w:before="228" w:line="185" w:lineRule="auto"/>
            <w:ind w:left="1463"/>
            <w:rPr>
              <w:rFonts w:ascii="Times New Roman" w:hAnsi="Times New Roman" w:eastAsia="Times New Roman" w:cs="Times New Roman"/>
              <w:sz w:val="24"/>
              <w:szCs w:val="24"/>
            </w:rPr>
          </w:pPr>
          <w:r>
            <w:fldChar w:fldCharType="begin"/>
          </w:r>
          <w:r>
            <w:instrText xml:space="preserve"> HYPERLINK \l "bookmark71" </w:instrText>
          </w:r>
          <w:r>
            <w:fldChar w:fldCharType="separate"/>
          </w:r>
          <w:r>
            <w:rPr>
              <w:rFonts w:ascii="Times New Roman" w:hAnsi="Times New Roman" w:eastAsia="Times New Roman" w:cs="Times New Roman"/>
              <w:spacing w:val="-1"/>
              <w:sz w:val="24"/>
              <w:szCs w:val="24"/>
            </w:rPr>
            <w:t xml:space="preserve">5.6.2 </w:t>
          </w:r>
          <w:r>
            <w:rPr>
              <w:rFonts w:ascii="宋体" w:hAnsi="宋体" w:eastAsia="宋体" w:cs="宋体"/>
              <w:spacing w:val="-1"/>
              <w:sz w:val="24"/>
              <w:szCs w:val="24"/>
            </w:rPr>
            <w:t>污染物总量控制指标</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00AAE62">
          <w:pPr>
            <w:tabs>
              <w:tab w:val="right" w:leader="dot" w:pos="8314"/>
            </w:tabs>
            <w:spacing w:before="227" w:line="185" w:lineRule="auto"/>
            <w:ind w:left="983"/>
            <w:rPr>
              <w:rFonts w:ascii="Times New Roman" w:hAnsi="Times New Roman" w:eastAsia="Times New Roman" w:cs="Times New Roman"/>
              <w:sz w:val="24"/>
              <w:szCs w:val="24"/>
            </w:rPr>
          </w:pPr>
          <w:r>
            <w:fldChar w:fldCharType="begin"/>
          </w:r>
          <w:r>
            <w:instrText xml:space="preserve"> HYPERLINK \l "bookmark72" </w:instrText>
          </w:r>
          <w:r>
            <w:fldChar w:fldCharType="separate"/>
          </w:r>
          <w:r>
            <w:rPr>
              <w:rFonts w:ascii="Times New Roman" w:hAnsi="Times New Roman" w:eastAsia="Times New Roman" w:cs="Times New Roman"/>
              <w:spacing w:val="-1"/>
              <w:sz w:val="24"/>
              <w:szCs w:val="24"/>
            </w:rPr>
            <w:t xml:space="preserve">5.7 </w:t>
          </w:r>
          <w:r>
            <w:rPr>
              <w:rFonts w:ascii="宋体" w:hAnsi="宋体" w:eastAsia="宋体" w:cs="宋体"/>
              <w:spacing w:val="-1"/>
              <w:sz w:val="24"/>
              <w:szCs w:val="24"/>
            </w:rPr>
            <w:t>污染物排放</w:t>
          </w:r>
          <w:r>
            <w:rPr>
              <w:rFonts w:ascii="Times New Roman" w:hAnsi="Times New Roman" w:eastAsia="Times New Roman" w:cs="Times New Roman"/>
              <w:spacing w:val="-1"/>
              <w:sz w:val="24"/>
              <w:szCs w:val="24"/>
            </w:rPr>
            <w:t>“</w:t>
          </w:r>
          <w:r>
            <w:rPr>
              <w:rFonts w:hint="eastAsia" w:ascii="宋体" w:hAnsi="宋体" w:eastAsia="宋体" w:cs="宋体"/>
              <w:spacing w:val="-1"/>
              <w:sz w:val="24"/>
              <w:szCs w:val="24"/>
            </w:rPr>
            <w:t>三本账</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5"/>
              <w:sz w:val="24"/>
              <w:szCs w:val="24"/>
            </w:rPr>
            <w:t>93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5"/>
              <w:sz w:val="24"/>
              <w:szCs w:val="24"/>
            </w:rPr>
            <w:fldChar w:fldCharType="end"/>
          </w:r>
        </w:p>
        <w:p w14:paraId="59FF07AA">
          <w:pPr>
            <w:tabs>
              <w:tab w:val="right" w:leader="dot" w:pos="8314"/>
            </w:tabs>
            <w:spacing w:before="225" w:line="185" w:lineRule="auto"/>
            <w:ind w:left="502"/>
            <w:rPr>
              <w:rFonts w:ascii="Times New Roman" w:hAnsi="Times New Roman" w:eastAsia="Times New Roman" w:cs="Times New Roman"/>
              <w:sz w:val="24"/>
              <w:szCs w:val="24"/>
            </w:rPr>
          </w:pPr>
          <w:r>
            <w:fldChar w:fldCharType="begin"/>
          </w:r>
          <w:r>
            <w:instrText xml:space="preserve"> HYPERLINK \l "bookmark73" </w:instrText>
          </w:r>
          <w:r>
            <w:fldChar w:fldCharType="separate"/>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环境现状调查与评价</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E0A1EBF">
          <w:pPr>
            <w:tabs>
              <w:tab w:val="right" w:leader="dot" w:pos="8314"/>
            </w:tabs>
            <w:spacing w:before="228" w:line="185" w:lineRule="auto"/>
            <w:ind w:left="982"/>
            <w:rPr>
              <w:rFonts w:ascii="Times New Roman" w:hAnsi="Times New Roman" w:eastAsia="Times New Roman" w:cs="Times New Roman"/>
              <w:sz w:val="24"/>
              <w:szCs w:val="24"/>
            </w:rPr>
          </w:pPr>
          <w:r>
            <w:fldChar w:fldCharType="begin"/>
          </w:r>
          <w:r>
            <w:instrText xml:space="preserve"> HYPERLINK \l "bookmark74" </w:instrText>
          </w:r>
          <w:r>
            <w:fldChar w:fldCharType="separate"/>
          </w:r>
          <w:r>
            <w:rPr>
              <w:rFonts w:ascii="Times New Roman" w:hAnsi="Times New Roman" w:eastAsia="Times New Roman" w:cs="Times New Roman"/>
              <w:spacing w:val="-5"/>
              <w:sz w:val="24"/>
              <w:szCs w:val="24"/>
            </w:rPr>
            <w:t>6.1</w:t>
          </w:r>
          <w:r>
            <w:rPr>
              <w:rFonts w:ascii="Times New Roman" w:hAnsi="Times New Roman" w:eastAsia="Times New Roman" w:cs="Times New Roman"/>
              <w:spacing w:val="58"/>
              <w:w w:val="101"/>
              <w:sz w:val="24"/>
              <w:szCs w:val="24"/>
            </w:rPr>
            <w:t xml:space="preserve"> </w:t>
          </w:r>
          <w:r>
            <w:rPr>
              <w:rFonts w:ascii="宋体" w:hAnsi="宋体" w:eastAsia="宋体" w:cs="宋体"/>
              <w:spacing w:val="-5"/>
              <w:sz w:val="24"/>
              <w:szCs w:val="24"/>
            </w:rPr>
            <w:t>自然环境现状调查与评价</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574DE01A">
          <w:pPr>
            <w:tabs>
              <w:tab w:val="right" w:leader="dot" w:pos="8314"/>
            </w:tabs>
            <w:spacing w:before="225" w:line="185" w:lineRule="auto"/>
            <w:ind w:left="1462"/>
            <w:rPr>
              <w:rFonts w:ascii="Times New Roman" w:hAnsi="Times New Roman" w:eastAsia="Times New Roman" w:cs="Times New Roman"/>
              <w:sz w:val="24"/>
              <w:szCs w:val="24"/>
            </w:rPr>
          </w:pPr>
          <w:r>
            <w:fldChar w:fldCharType="begin"/>
          </w:r>
          <w:r>
            <w:instrText xml:space="preserve"> HYPERLINK \l "bookmark75" </w:instrText>
          </w:r>
          <w:r>
            <w:fldChar w:fldCharType="separate"/>
          </w:r>
          <w:r>
            <w:rPr>
              <w:rFonts w:ascii="Times New Roman" w:hAnsi="Times New Roman" w:eastAsia="Times New Roman" w:cs="Times New Roman"/>
              <w:spacing w:val="-2"/>
              <w:sz w:val="24"/>
              <w:szCs w:val="24"/>
            </w:rPr>
            <w:t xml:space="preserve">6.1.1 </w:t>
          </w:r>
          <w:r>
            <w:rPr>
              <w:rFonts w:ascii="宋体" w:hAnsi="宋体" w:eastAsia="宋体" w:cs="宋体"/>
              <w:spacing w:val="-2"/>
              <w:sz w:val="24"/>
              <w:szCs w:val="24"/>
            </w:rPr>
            <w:t>地理位置</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013AE7F0">
          <w:pPr>
            <w:tabs>
              <w:tab w:val="right" w:leader="dot" w:pos="8314"/>
            </w:tabs>
            <w:spacing w:before="228" w:line="184" w:lineRule="auto"/>
            <w:ind w:left="1462"/>
            <w:rPr>
              <w:rFonts w:ascii="Times New Roman" w:hAnsi="Times New Roman" w:eastAsia="Times New Roman" w:cs="Times New Roman"/>
              <w:sz w:val="24"/>
              <w:szCs w:val="24"/>
            </w:rPr>
          </w:pPr>
          <w:r>
            <w:fldChar w:fldCharType="begin"/>
          </w:r>
          <w:r>
            <w:instrText xml:space="preserve"> HYPERLINK \l "bookmark76" </w:instrText>
          </w:r>
          <w:r>
            <w:fldChar w:fldCharType="separate"/>
          </w:r>
          <w:r>
            <w:rPr>
              <w:rFonts w:ascii="Times New Roman" w:hAnsi="Times New Roman" w:eastAsia="Times New Roman" w:cs="Times New Roman"/>
              <w:spacing w:val="-2"/>
              <w:sz w:val="24"/>
              <w:szCs w:val="24"/>
            </w:rPr>
            <w:t xml:space="preserve">6.1.2 </w:t>
          </w:r>
          <w:r>
            <w:rPr>
              <w:rFonts w:ascii="宋体" w:hAnsi="宋体" w:eastAsia="宋体" w:cs="宋体"/>
              <w:spacing w:val="-2"/>
              <w:sz w:val="24"/>
              <w:szCs w:val="24"/>
            </w:rPr>
            <w:t>地形地貌</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481FB0A6">
          <w:pPr>
            <w:tabs>
              <w:tab w:val="right" w:leader="dot" w:pos="8314"/>
            </w:tabs>
            <w:spacing w:before="226" w:line="185" w:lineRule="auto"/>
            <w:ind w:left="1462"/>
            <w:rPr>
              <w:rFonts w:ascii="Times New Roman" w:hAnsi="Times New Roman" w:eastAsia="Times New Roman" w:cs="Times New Roman"/>
              <w:sz w:val="24"/>
              <w:szCs w:val="24"/>
            </w:rPr>
          </w:pPr>
          <w:r>
            <w:fldChar w:fldCharType="begin"/>
          </w:r>
          <w:r>
            <w:instrText xml:space="preserve"> HYPERLINK \l "bookmark77" </w:instrText>
          </w:r>
          <w:r>
            <w:fldChar w:fldCharType="separate"/>
          </w:r>
          <w:r>
            <w:rPr>
              <w:rFonts w:ascii="Times New Roman" w:hAnsi="Times New Roman" w:eastAsia="Times New Roman" w:cs="Times New Roman"/>
              <w:spacing w:val="-2"/>
              <w:sz w:val="24"/>
              <w:szCs w:val="24"/>
            </w:rPr>
            <w:t xml:space="preserve">6.1.3 </w:t>
          </w:r>
          <w:r>
            <w:rPr>
              <w:rFonts w:ascii="宋体" w:hAnsi="宋体" w:eastAsia="宋体" w:cs="宋体"/>
              <w:spacing w:val="-2"/>
              <w:sz w:val="24"/>
              <w:szCs w:val="24"/>
            </w:rPr>
            <w:t>气候条件</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5016CBA8">
          <w:pPr>
            <w:tabs>
              <w:tab w:val="right" w:leader="dot" w:pos="8314"/>
            </w:tabs>
            <w:spacing w:before="227" w:line="185" w:lineRule="auto"/>
            <w:ind w:left="1462"/>
            <w:rPr>
              <w:rFonts w:ascii="Times New Roman" w:hAnsi="Times New Roman" w:eastAsia="Times New Roman" w:cs="Times New Roman"/>
              <w:sz w:val="24"/>
              <w:szCs w:val="24"/>
            </w:rPr>
          </w:pPr>
          <w:r>
            <w:fldChar w:fldCharType="begin"/>
          </w:r>
          <w:r>
            <w:instrText xml:space="preserve"> HYPERLINK \l "bookmark78" </w:instrText>
          </w:r>
          <w:r>
            <w:fldChar w:fldCharType="separate"/>
          </w:r>
          <w:r>
            <w:rPr>
              <w:rFonts w:ascii="Times New Roman" w:hAnsi="Times New Roman" w:eastAsia="Times New Roman" w:cs="Times New Roman"/>
              <w:spacing w:val="-5"/>
              <w:sz w:val="24"/>
              <w:szCs w:val="24"/>
            </w:rPr>
            <w:t>6.1.4</w:t>
          </w:r>
          <w:r>
            <w:rPr>
              <w:rFonts w:ascii="Times New Roman" w:hAnsi="Times New Roman" w:eastAsia="Times New Roman" w:cs="Times New Roman"/>
              <w:spacing w:val="33"/>
              <w:w w:val="101"/>
              <w:sz w:val="24"/>
              <w:szCs w:val="24"/>
            </w:rPr>
            <w:t xml:space="preserve"> </w:t>
          </w:r>
          <w:r>
            <w:rPr>
              <w:rFonts w:ascii="宋体" w:hAnsi="宋体" w:eastAsia="宋体" w:cs="宋体"/>
              <w:spacing w:val="-5"/>
              <w:sz w:val="24"/>
              <w:szCs w:val="24"/>
            </w:rPr>
            <w:t>区域地质</w:t>
          </w:r>
          <w:r>
            <w:rPr>
              <w:rFonts w:ascii="宋体" w:hAnsi="宋体" w:eastAsia="宋体" w:cs="宋体"/>
              <w:sz w:val="24"/>
              <w:szCs w:val="24"/>
            </w:rPr>
            <w:tab/>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96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fldChar w:fldCharType="end"/>
          </w:r>
        </w:p>
        <w:p w14:paraId="7D1CDA5A">
          <w:pPr>
            <w:tabs>
              <w:tab w:val="right" w:leader="dot" w:pos="8314"/>
            </w:tabs>
            <w:spacing w:before="225" w:line="185" w:lineRule="auto"/>
            <w:ind w:left="1462"/>
            <w:rPr>
              <w:rFonts w:ascii="Times New Roman" w:hAnsi="Times New Roman" w:eastAsia="Times New Roman" w:cs="Times New Roman"/>
              <w:sz w:val="24"/>
              <w:szCs w:val="24"/>
            </w:rPr>
          </w:pPr>
          <w:r>
            <w:fldChar w:fldCharType="begin"/>
          </w:r>
          <w:r>
            <w:instrText xml:space="preserve"> HYPERLINK \l "bookmark79" </w:instrText>
          </w:r>
          <w:r>
            <w:fldChar w:fldCharType="separate"/>
          </w:r>
          <w:r>
            <w:rPr>
              <w:rFonts w:ascii="Times New Roman" w:hAnsi="Times New Roman" w:eastAsia="Times New Roman" w:cs="Times New Roman"/>
              <w:spacing w:val="-2"/>
              <w:sz w:val="24"/>
              <w:szCs w:val="24"/>
            </w:rPr>
            <w:t xml:space="preserve">6.1.5 </w:t>
          </w:r>
          <w:r>
            <w:rPr>
              <w:rFonts w:ascii="宋体" w:hAnsi="宋体" w:eastAsia="宋体" w:cs="宋体"/>
              <w:spacing w:val="-2"/>
              <w:sz w:val="24"/>
              <w:szCs w:val="24"/>
            </w:rPr>
            <w:t>土地利用</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DD59E54">
          <w:pPr>
            <w:tabs>
              <w:tab w:val="right" w:leader="dot" w:pos="8314"/>
            </w:tabs>
            <w:spacing w:before="228" w:line="185" w:lineRule="auto"/>
            <w:ind w:left="1462"/>
            <w:rPr>
              <w:rFonts w:ascii="Times New Roman" w:hAnsi="Times New Roman" w:eastAsia="Times New Roman" w:cs="Times New Roman"/>
              <w:sz w:val="24"/>
              <w:szCs w:val="24"/>
            </w:rPr>
          </w:pPr>
          <w:r>
            <w:fldChar w:fldCharType="begin"/>
          </w:r>
          <w:r>
            <w:instrText xml:space="preserve"> HYPERLINK \l "bookmark80" </w:instrText>
          </w:r>
          <w:r>
            <w:fldChar w:fldCharType="separate"/>
          </w:r>
          <w:r>
            <w:rPr>
              <w:rFonts w:ascii="Times New Roman" w:hAnsi="Times New Roman" w:eastAsia="Times New Roman" w:cs="Times New Roman"/>
              <w:spacing w:val="-1"/>
              <w:sz w:val="24"/>
              <w:szCs w:val="24"/>
            </w:rPr>
            <w:t xml:space="preserve">6.1.6 </w:t>
          </w:r>
          <w:r>
            <w:rPr>
              <w:rFonts w:ascii="宋体" w:hAnsi="宋体" w:eastAsia="宋体" w:cs="宋体"/>
              <w:spacing w:val="-1"/>
              <w:sz w:val="24"/>
              <w:szCs w:val="24"/>
            </w:rPr>
            <w:t>土壤与植被</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4360767">
          <w:pPr>
            <w:tabs>
              <w:tab w:val="right" w:leader="dot" w:pos="8314"/>
            </w:tabs>
            <w:spacing w:before="225" w:line="185" w:lineRule="auto"/>
            <w:ind w:left="1462"/>
            <w:rPr>
              <w:rFonts w:ascii="Times New Roman" w:hAnsi="Times New Roman" w:eastAsia="Times New Roman" w:cs="Times New Roman"/>
              <w:sz w:val="24"/>
              <w:szCs w:val="24"/>
            </w:rPr>
          </w:pPr>
          <w:r>
            <w:fldChar w:fldCharType="begin"/>
          </w:r>
          <w:r>
            <w:instrText xml:space="preserve"> HYPERLINK \l "bookmark81" </w:instrText>
          </w:r>
          <w:r>
            <w:fldChar w:fldCharType="separate"/>
          </w:r>
          <w:r>
            <w:rPr>
              <w:rFonts w:ascii="Times New Roman" w:hAnsi="Times New Roman" w:eastAsia="Times New Roman" w:cs="Times New Roman"/>
              <w:spacing w:val="-2"/>
              <w:sz w:val="24"/>
              <w:szCs w:val="24"/>
            </w:rPr>
            <w:t xml:space="preserve">6.1.7 </w:t>
          </w:r>
          <w:r>
            <w:rPr>
              <w:rFonts w:ascii="宋体" w:hAnsi="宋体" w:eastAsia="宋体" w:cs="宋体"/>
              <w:spacing w:val="-2"/>
              <w:sz w:val="24"/>
              <w:szCs w:val="24"/>
            </w:rPr>
            <w:t>矿产资源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F27BF13">
          <w:pPr>
            <w:tabs>
              <w:tab w:val="right" w:leader="dot" w:pos="8314"/>
            </w:tabs>
            <w:spacing w:before="227" w:line="185" w:lineRule="auto"/>
            <w:ind w:left="982"/>
            <w:rPr>
              <w:rFonts w:ascii="Times New Roman" w:hAnsi="Times New Roman" w:eastAsia="Times New Roman" w:cs="Times New Roman"/>
              <w:sz w:val="24"/>
              <w:szCs w:val="24"/>
            </w:rPr>
          </w:pPr>
          <w:r>
            <w:fldChar w:fldCharType="begin"/>
          </w:r>
          <w:r>
            <w:instrText xml:space="preserve"> HYPERLINK \l "bookmark82" </w:instrText>
          </w:r>
          <w:r>
            <w:fldChar w:fldCharType="separate"/>
          </w:r>
          <w:r>
            <w:rPr>
              <w:rFonts w:ascii="Times New Roman" w:hAnsi="Times New Roman" w:eastAsia="Times New Roman" w:cs="Times New Roman"/>
              <w:spacing w:val="-4"/>
              <w:sz w:val="24"/>
              <w:szCs w:val="24"/>
            </w:rPr>
            <w:t>6.2</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区域主要环境问题</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A284BEB">
          <w:pPr>
            <w:tabs>
              <w:tab w:val="right" w:leader="dot" w:pos="8314"/>
            </w:tabs>
            <w:spacing w:before="228" w:line="185" w:lineRule="auto"/>
            <w:ind w:left="982"/>
            <w:rPr>
              <w:rFonts w:ascii="Times New Roman" w:hAnsi="Times New Roman" w:eastAsia="Times New Roman" w:cs="Times New Roman"/>
              <w:sz w:val="24"/>
              <w:szCs w:val="24"/>
            </w:rPr>
          </w:pPr>
          <w:r>
            <w:fldChar w:fldCharType="begin"/>
          </w:r>
          <w:r>
            <w:instrText xml:space="preserve"> HYPERLINK \l "bookmark83" </w:instrText>
          </w:r>
          <w:r>
            <w:fldChar w:fldCharType="separate"/>
          </w:r>
          <w:r>
            <w:rPr>
              <w:rFonts w:ascii="Times New Roman" w:hAnsi="Times New Roman" w:eastAsia="Times New Roman" w:cs="Times New Roman"/>
              <w:spacing w:val="-1"/>
              <w:sz w:val="24"/>
              <w:szCs w:val="24"/>
            </w:rPr>
            <w:t xml:space="preserve">6.3 </w:t>
          </w:r>
          <w:r>
            <w:rPr>
              <w:rFonts w:ascii="宋体" w:hAnsi="宋体" w:eastAsia="宋体" w:cs="宋体"/>
              <w:spacing w:val="-1"/>
              <w:sz w:val="24"/>
              <w:szCs w:val="24"/>
            </w:rPr>
            <w:t>环境质量现状调查与评价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EA8F546">
          <w:pPr>
            <w:tabs>
              <w:tab w:val="right" w:leader="dot" w:pos="8314"/>
            </w:tabs>
            <w:spacing w:before="225" w:line="184" w:lineRule="auto"/>
            <w:ind w:left="1462"/>
            <w:rPr>
              <w:rFonts w:ascii="Times New Roman" w:hAnsi="Times New Roman" w:eastAsia="Times New Roman" w:cs="Times New Roman"/>
              <w:sz w:val="24"/>
              <w:szCs w:val="24"/>
            </w:rPr>
          </w:pPr>
          <w:r>
            <w:fldChar w:fldCharType="begin"/>
          </w:r>
          <w:r>
            <w:instrText xml:space="preserve"> HYPERLINK \l "bookmark84" </w:instrText>
          </w:r>
          <w:r>
            <w:fldChar w:fldCharType="separate"/>
          </w:r>
          <w:r>
            <w:rPr>
              <w:rFonts w:ascii="Times New Roman" w:hAnsi="Times New Roman" w:eastAsia="Times New Roman" w:cs="Times New Roman"/>
              <w:spacing w:val="-1"/>
              <w:sz w:val="24"/>
              <w:szCs w:val="24"/>
            </w:rPr>
            <w:t xml:space="preserve">6.3.1 </w:t>
          </w:r>
          <w:r>
            <w:rPr>
              <w:rFonts w:ascii="宋体" w:hAnsi="宋体" w:eastAsia="宋体" w:cs="宋体"/>
              <w:spacing w:val="-1"/>
              <w:sz w:val="24"/>
              <w:szCs w:val="24"/>
            </w:rPr>
            <w:t>环境空气现状调查与评价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103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DC8D8D5">
          <w:pPr>
            <w:tabs>
              <w:tab w:val="right" w:leader="dot" w:pos="8312"/>
            </w:tabs>
            <w:spacing w:before="226" w:line="185" w:lineRule="auto"/>
            <w:ind w:left="1462"/>
            <w:rPr>
              <w:rFonts w:ascii="Times New Roman" w:hAnsi="Times New Roman" w:eastAsia="Times New Roman" w:cs="Times New Roman"/>
              <w:sz w:val="24"/>
              <w:szCs w:val="24"/>
            </w:rPr>
          </w:pPr>
          <w:r>
            <w:fldChar w:fldCharType="begin"/>
          </w:r>
          <w:r>
            <w:instrText xml:space="preserve"> HYPERLINK \l "bookmark85" </w:instrText>
          </w:r>
          <w:r>
            <w:fldChar w:fldCharType="separate"/>
          </w:r>
          <w:r>
            <w:rPr>
              <w:rFonts w:ascii="Times New Roman" w:hAnsi="Times New Roman" w:eastAsia="Times New Roman" w:cs="Times New Roman"/>
              <w:spacing w:val="-1"/>
              <w:sz w:val="24"/>
              <w:szCs w:val="24"/>
            </w:rPr>
            <w:t xml:space="preserve">6.3.2 </w:t>
          </w:r>
          <w:r>
            <w:rPr>
              <w:rFonts w:ascii="宋体" w:hAnsi="宋体" w:eastAsia="宋体" w:cs="宋体"/>
              <w:spacing w:val="-1"/>
              <w:sz w:val="24"/>
              <w:szCs w:val="24"/>
            </w:rPr>
            <w:t>地下水环境现状调查与评价</w:t>
          </w:r>
          <w:r>
            <w:rPr>
              <w:rFonts w:ascii="宋体" w:hAnsi="宋体" w:eastAsia="宋体" w:cs="宋体"/>
              <w:sz w:val="24"/>
              <w:szCs w:val="24"/>
            </w:rPr>
            <w:tab/>
          </w:r>
          <w:r>
            <w:rPr>
              <w:rFonts w:ascii="宋体" w:hAnsi="宋体" w:eastAsia="宋体" w:cs="宋体"/>
              <w:spacing w:val="-38"/>
              <w:sz w:val="24"/>
              <w:szCs w:val="24"/>
            </w:rPr>
            <w:t xml:space="preserve"> </w:t>
          </w:r>
          <w:r>
            <w:rPr>
              <w:rFonts w:ascii="Times New Roman" w:hAnsi="Times New Roman" w:eastAsia="Times New Roman" w:cs="Times New Roman"/>
              <w:spacing w:val="-10"/>
              <w:sz w:val="24"/>
              <w:szCs w:val="24"/>
            </w:rPr>
            <w:t>106</w:t>
          </w:r>
          <w:r>
            <w:rPr>
              <w:rFonts w:ascii="Times New Roman" w:hAnsi="Times New Roman" w:eastAsia="Times New Roman" w:cs="Times New Roman"/>
              <w:spacing w:val="-10"/>
              <w:sz w:val="24"/>
              <w:szCs w:val="24"/>
            </w:rPr>
            <w:fldChar w:fldCharType="end"/>
          </w:r>
        </w:p>
        <w:p w14:paraId="25FCBB42">
          <w:pPr>
            <w:tabs>
              <w:tab w:val="right" w:leader="dot" w:pos="8314"/>
            </w:tabs>
            <w:spacing w:before="228" w:line="185" w:lineRule="auto"/>
            <w:ind w:left="1462"/>
            <w:rPr>
              <w:rFonts w:ascii="Times New Roman" w:hAnsi="Times New Roman" w:eastAsia="Times New Roman" w:cs="Times New Roman"/>
              <w:sz w:val="24"/>
              <w:szCs w:val="24"/>
            </w:rPr>
          </w:pPr>
          <w:r>
            <w:fldChar w:fldCharType="begin"/>
          </w:r>
          <w:r>
            <w:instrText xml:space="preserve"> HYPERLINK \l "bookmark86" </w:instrText>
          </w:r>
          <w:r>
            <w:fldChar w:fldCharType="separate"/>
          </w:r>
          <w:r>
            <w:rPr>
              <w:rFonts w:ascii="Times New Roman" w:hAnsi="Times New Roman" w:eastAsia="Times New Roman" w:cs="Times New Roman"/>
              <w:spacing w:val="-1"/>
              <w:sz w:val="24"/>
              <w:szCs w:val="24"/>
            </w:rPr>
            <w:t xml:space="preserve">6.3.3 </w:t>
          </w:r>
          <w:r>
            <w:rPr>
              <w:rFonts w:ascii="宋体" w:hAnsi="宋体" w:eastAsia="宋体" w:cs="宋体"/>
              <w:spacing w:val="-1"/>
              <w:sz w:val="24"/>
              <w:szCs w:val="24"/>
            </w:rPr>
            <w:t>环境噪声现状测量与评价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121</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1959B71">
          <w:pPr>
            <w:tabs>
              <w:tab w:val="right" w:leader="dot" w:pos="8314"/>
            </w:tabs>
            <w:spacing w:before="225" w:line="185" w:lineRule="auto"/>
            <w:ind w:left="1462"/>
            <w:rPr>
              <w:rFonts w:ascii="Times New Roman" w:hAnsi="Times New Roman" w:eastAsia="Times New Roman" w:cs="Times New Roman"/>
              <w:sz w:val="24"/>
              <w:szCs w:val="24"/>
            </w:rPr>
          </w:pPr>
          <w:r>
            <w:fldChar w:fldCharType="begin"/>
          </w:r>
          <w:r>
            <w:instrText xml:space="preserve"> HYPERLINK \l "bookmark87" </w:instrText>
          </w:r>
          <w:r>
            <w:fldChar w:fldCharType="separate"/>
          </w:r>
          <w:r>
            <w:rPr>
              <w:rFonts w:ascii="Times New Roman" w:hAnsi="Times New Roman" w:eastAsia="Times New Roman" w:cs="Times New Roman"/>
              <w:spacing w:val="-1"/>
              <w:sz w:val="24"/>
              <w:szCs w:val="24"/>
            </w:rPr>
            <w:t xml:space="preserve">6.3.4 </w:t>
          </w:r>
          <w:r>
            <w:rPr>
              <w:rFonts w:ascii="宋体" w:hAnsi="宋体" w:eastAsia="宋体" w:cs="宋体"/>
              <w:spacing w:val="-1"/>
              <w:sz w:val="24"/>
              <w:szCs w:val="24"/>
            </w:rPr>
            <w:t>土壤现状监测及评价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122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481DEEC8">
          <w:pPr>
            <w:tabs>
              <w:tab w:val="right" w:leader="dot" w:pos="8314"/>
            </w:tabs>
            <w:spacing w:before="227" w:line="185" w:lineRule="auto"/>
            <w:ind w:left="500"/>
            <w:rPr>
              <w:rFonts w:ascii="Times New Roman" w:hAnsi="Times New Roman" w:eastAsia="Times New Roman" w:cs="Times New Roman"/>
              <w:sz w:val="24"/>
              <w:szCs w:val="24"/>
            </w:rPr>
          </w:pPr>
          <w:r>
            <w:fldChar w:fldCharType="begin"/>
          </w:r>
          <w:r>
            <w:instrText xml:space="preserve"> HYPERLINK \l "bookmark88" </w:instrText>
          </w:r>
          <w:r>
            <w:fldChar w:fldCharType="separate"/>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施工期环境影响分析及防治措施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E0938C2">
          <w:pPr>
            <w:tabs>
              <w:tab w:val="right" w:leader="dot" w:pos="8314"/>
            </w:tabs>
            <w:spacing w:before="228" w:line="220" w:lineRule="auto"/>
            <w:ind w:left="980"/>
            <w:rPr>
              <w:rFonts w:ascii="Times New Roman" w:hAnsi="Times New Roman" w:eastAsia="Times New Roman" w:cs="Times New Roman"/>
              <w:sz w:val="24"/>
              <w:szCs w:val="24"/>
            </w:rPr>
          </w:pPr>
          <w:r>
            <w:fldChar w:fldCharType="begin"/>
          </w:r>
          <w:r>
            <w:instrText xml:space="preserve"> HYPERLINK \l "bookmark89" </w:instrText>
          </w:r>
          <w:r>
            <w:fldChar w:fldCharType="separate"/>
          </w:r>
          <w:r>
            <w:rPr>
              <w:rFonts w:ascii="Times New Roman" w:hAnsi="Times New Roman" w:eastAsia="Times New Roman" w:cs="Times New Roman"/>
              <w:spacing w:val="-1"/>
              <w:sz w:val="24"/>
              <w:szCs w:val="24"/>
            </w:rPr>
            <w:t xml:space="preserve">7.1 </w:t>
          </w:r>
          <w:r>
            <w:rPr>
              <w:rFonts w:ascii="宋体" w:hAnsi="宋体" w:eastAsia="宋体" w:cs="宋体"/>
              <w:spacing w:val="-1"/>
              <w:sz w:val="24"/>
              <w:szCs w:val="24"/>
            </w:rPr>
            <w:t>扬尘污染影响及防治措施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sdtContent>
    </w:sdt>
    <w:p w14:paraId="3D9BAD0F">
      <w:pPr>
        <w:spacing w:line="220"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2451F0AD">
      <w:pPr>
        <w:pStyle w:val="2"/>
        <w:spacing w:line="247" w:lineRule="auto"/>
      </w:pPr>
    </w:p>
    <w:p w14:paraId="243D4CE5">
      <w:pPr>
        <w:pStyle w:val="2"/>
        <w:spacing w:line="248" w:lineRule="auto"/>
      </w:pPr>
    </w:p>
    <w:p w14:paraId="7D67DD1D">
      <w:pPr>
        <w:pStyle w:val="2"/>
        <w:spacing w:line="248" w:lineRule="auto"/>
      </w:pPr>
    </w:p>
    <w:p w14:paraId="6324B250">
      <w:pPr>
        <w:pStyle w:val="2"/>
        <w:spacing w:line="248" w:lineRule="auto"/>
      </w:pPr>
    </w:p>
    <w:sdt>
      <w:sdtPr>
        <w:rPr>
          <w:rFonts w:ascii="Times New Roman" w:hAnsi="Times New Roman" w:eastAsia="Times New Roman" w:cs="Times New Roman"/>
          <w:sz w:val="24"/>
          <w:szCs w:val="24"/>
        </w:rPr>
        <w:id w:val="147465305"/>
        <w:docPartObj>
          <w:docPartGallery w:val="Table of Contents"/>
          <w:docPartUnique/>
        </w:docPartObj>
      </w:sdtPr>
      <w:sdtEndPr>
        <w:rPr>
          <w:rFonts w:ascii="Times New Roman" w:hAnsi="Times New Roman" w:eastAsia="Times New Roman" w:cs="Times New Roman"/>
          <w:sz w:val="24"/>
          <w:szCs w:val="24"/>
        </w:rPr>
      </w:sdtEndPr>
      <w:sdtContent>
        <w:p w14:paraId="2763A01A">
          <w:pPr>
            <w:tabs>
              <w:tab w:val="right" w:leader="dot" w:pos="8314"/>
            </w:tabs>
            <w:spacing w:before="78" w:line="184" w:lineRule="auto"/>
            <w:ind w:left="1460"/>
            <w:rPr>
              <w:rFonts w:ascii="Times New Roman" w:hAnsi="Times New Roman" w:eastAsia="Times New Roman" w:cs="Times New Roman"/>
              <w:sz w:val="24"/>
              <w:szCs w:val="24"/>
            </w:rPr>
          </w:pPr>
          <w:r>
            <w:fldChar w:fldCharType="begin"/>
          </w:r>
          <w:r>
            <w:instrText xml:space="preserve"> HYPERLINK \l "bookmark90" </w:instrText>
          </w:r>
          <w:r>
            <w:fldChar w:fldCharType="separate"/>
          </w:r>
          <w:r>
            <w:rPr>
              <w:rFonts w:ascii="Times New Roman" w:hAnsi="Times New Roman" w:eastAsia="Times New Roman" w:cs="Times New Roman"/>
              <w:spacing w:val="-1"/>
              <w:sz w:val="24"/>
              <w:szCs w:val="24"/>
            </w:rPr>
            <w:t xml:space="preserve">7.1.1 </w:t>
          </w:r>
          <w:r>
            <w:rPr>
              <w:rFonts w:ascii="宋体" w:hAnsi="宋体" w:eastAsia="宋体" w:cs="宋体"/>
              <w:spacing w:val="-1"/>
              <w:sz w:val="24"/>
              <w:szCs w:val="24"/>
            </w:rPr>
            <w:t>扬尘污染特征</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B2C4E05">
          <w:pPr>
            <w:tabs>
              <w:tab w:val="right" w:leader="dot" w:pos="8314"/>
            </w:tabs>
            <w:spacing w:before="228" w:line="185" w:lineRule="auto"/>
            <w:ind w:left="1460"/>
            <w:rPr>
              <w:rFonts w:ascii="Times New Roman" w:hAnsi="Times New Roman" w:eastAsia="Times New Roman" w:cs="Times New Roman"/>
              <w:sz w:val="24"/>
              <w:szCs w:val="24"/>
            </w:rPr>
          </w:pPr>
          <w:r>
            <w:fldChar w:fldCharType="begin"/>
          </w:r>
          <w:r>
            <w:instrText xml:space="preserve"> HYPERLINK \l "bookmark91" </w:instrText>
          </w:r>
          <w:r>
            <w:fldChar w:fldCharType="separate"/>
          </w:r>
          <w:r>
            <w:rPr>
              <w:rFonts w:ascii="Times New Roman" w:hAnsi="Times New Roman" w:eastAsia="Times New Roman" w:cs="Times New Roman"/>
              <w:spacing w:val="-1"/>
              <w:sz w:val="24"/>
              <w:szCs w:val="24"/>
            </w:rPr>
            <w:t xml:space="preserve">7.1.2 </w:t>
          </w:r>
          <w:r>
            <w:rPr>
              <w:rFonts w:ascii="宋体" w:hAnsi="宋体" w:eastAsia="宋体" w:cs="宋体"/>
              <w:spacing w:val="-1"/>
              <w:sz w:val="24"/>
              <w:szCs w:val="24"/>
            </w:rPr>
            <w:t>影响分析及防治措施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581FD0A">
          <w:pPr>
            <w:tabs>
              <w:tab w:val="right" w:leader="dot" w:pos="8314"/>
            </w:tabs>
            <w:spacing w:before="225" w:line="185" w:lineRule="auto"/>
            <w:ind w:left="980"/>
            <w:rPr>
              <w:rFonts w:ascii="Times New Roman" w:hAnsi="Times New Roman" w:eastAsia="Times New Roman" w:cs="Times New Roman"/>
              <w:sz w:val="24"/>
              <w:szCs w:val="24"/>
            </w:rPr>
          </w:pPr>
          <w:r>
            <w:fldChar w:fldCharType="begin"/>
          </w:r>
          <w:r>
            <w:instrText xml:space="preserve"> HYPERLINK \l "bookmark92" </w:instrText>
          </w:r>
          <w:r>
            <w:fldChar w:fldCharType="separate"/>
          </w:r>
          <w:r>
            <w:rPr>
              <w:rFonts w:ascii="Times New Roman" w:hAnsi="Times New Roman" w:eastAsia="Times New Roman" w:cs="Times New Roman"/>
              <w:spacing w:val="-3"/>
              <w:sz w:val="24"/>
              <w:szCs w:val="24"/>
            </w:rPr>
            <w:t>7.2</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噪声污染影响及防治措施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46C9F596">
          <w:pPr>
            <w:tabs>
              <w:tab w:val="right" w:leader="dot" w:pos="8314"/>
            </w:tabs>
            <w:spacing w:before="227" w:line="185" w:lineRule="auto"/>
            <w:ind w:left="1460"/>
            <w:rPr>
              <w:rFonts w:ascii="Times New Roman" w:hAnsi="Times New Roman" w:eastAsia="Times New Roman" w:cs="Times New Roman"/>
              <w:sz w:val="24"/>
              <w:szCs w:val="24"/>
            </w:rPr>
          </w:pPr>
          <w:r>
            <w:fldChar w:fldCharType="begin"/>
          </w:r>
          <w:r>
            <w:instrText xml:space="preserve"> HYPERLINK \l "bookmark93" </w:instrText>
          </w:r>
          <w:r>
            <w:fldChar w:fldCharType="separate"/>
          </w:r>
          <w:r>
            <w:rPr>
              <w:rFonts w:ascii="Times New Roman" w:hAnsi="Times New Roman" w:eastAsia="Times New Roman" w:cs="Times New Roman"/>
              <w:spacing w:val="-3"/>
              <w:sz w:val="24"/>
              <w:szCs w:val="24"/>
            </w:rPr>
            <w:t>7.2.1</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噪声污染特征</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335CBA15">
          <w:pPr>
            <w:tabs>
              <w:tab w:val="right" w:leader="dot" w:pos="8314"/>
            </w:tabs>
            <w:spacing w:before="225" w:line="185" w:lineRule="auto"/>
            <w:ind w:left="1460"/>
            <w:rPr>
              <w:rFonts w:ascii="Times New Roman" w:hAnsi="Times New Roman" w:eastAsia="Times New Roman" w:cs="Times New Roman"/>
              <w:sz w:val="24"/>
              <w:szCs w:val="24"/>
            </w:rPr>
          </w:pPr>
          <w:r>
            <w:fldChar w:fldCharType="begin"/>
          </w:r>
          <w:r>
            <w:instrText xml:space="preserve"> HYPERLINK \l "bookmark94" </w:instrText>
          </w:r>
          <w:r>
            <w:fldChar w:fldCharType="separate"/>
          </w:r>
          <w:r>
            <w:rPr>
              <w:rFonts w:ascii="Times New Roman" w:hAnsi="Times New Roman" w:eastAsia="Times New Roman" w:cs="Times New Roman"/>
              <w:spacing w:val="-1"/>
              <w:sz w:val="24"/>
              <w:szCs w:val="24"/>
            </w:rPr>
            <w:t xml:space="preserve">7.2.2 </w:t>
          </w:r>
          <w:r>
            <w:rPr>
              <w:rFonts w:ascii="宋体" w:hAnsi="宋体" w:eastAsia="宋体" w:cs="宋体"/>
              <w:spacing w:val="-1"/>
              <w:sz w:val="24"/>
              <w:szCs w:val="24"/>
            </w:rPr>
            <w:t>影响分析及防治措施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079A9B0">
          <w:pPr>
            <w:tabs>
              <w:tab w:val="right" w:leader="dot" w:pos="8314"/>
            </w:tabs>
            <w:spacing w:before="227" w:line="185" w:lineRule="auto"/>
            <w:ind w:left="980"/>
            <w:rPr>
              <w:rFonts w:ascii="Times New Roman" w:hAnsi="Times New Roman" w:eastAsia="Times New Roman" w:cs="Times New Roman"/>
              <w:sz w:val="24"/>
              <w:szCs w:val="24"/>
            </w:rPr>
          </w:pPr>
          <w:r>
            <w:fldChar w:fldCharType="begin"/>
          </w:r>
          <w:r>
            <w:instrText xml:space="preserve"> HYPERLINK \l "bookmark95" </w:instrText>
          </w:r>
          <w:r>
            <w:fldChar w:fldCharType="separate"/>
          </w:r>
          <w:r>
            <w:rPr>
              <w:rFonts w:ascii="Times New Roman" w:hAnsi="Times New Roman" w:eastAsia="Times New Roman" w:cs="Times New Roman"/>
              <w:spacing w:val="-1"/>
              <w:sz w:val="24"/>
              <w:szCs w:val="24"/>
            </w:rPr>
            <w:t xml:space="preserve">7.3 </w:t>
          </w:r>
          <w:r>
            <w:rPr>
              <w:rFonts w:ascii="宋体" w:hAnsi="宋体" w:eastAsia="宋体" w:cs="宋体"/>
              <w:spacing w:val="-1"/>
              <w:sz w:val="24"/>
              <w:szCs w:val="24"/>
            </w:rPr>
            <w:t>废水污染影响及防治措施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741263A">
          <w:pPr>
            <w:tabs>
              <w:tab w:val="right" w:leader="dot" w:pos="8314"/>
            </w:tabs>
            <w:spacing w:before="225" w:line="185" w:lineRule="auto"/>
            <w:ind w:left="1460"/>
            <w:rPr>
              <w:rFonts w:ascii="Times New Roman" w:hAnsi="Times New Roman" w:eastAsia="Times New Roman" w:cs="Times New Roman"/>
              <w:sz w:val="24"/>
              <w:szCs w:val="24"/>
            </w:rPr>
          </w:pPr>
          <w:r>
            <w:fldChar w:fldCharType="begin"/>
          </w:r>
          <w:r>
            <w:instrText xml:space="preserve"> HYPERLINK \l "bookmark96" </w:instrText>
          </w:r>
          <w:r>
            <w:fldChar w:fldCharType="separate"/>
          </w:r>
          <w:r>
            <w:rPr>
              <w:rFonts w:ascii="Times New Roman" w:hAnsi="Times New Roman" w:eastAsia="Times New Roman" w:cs="Times New Roman"/>
              <w:spacing w:val="-1"/>
              <w:sz w:val="24"/>
              <w:szCs w:val="24"/>
            </w:rPr>
            <w:t xml:space="preserve">7.3.1 </w:t>
          </w:r>
          <w:r>
            <w:rPr>
              <w:rFonts w:ascii="宋体" w:hAnsi="宋体" w:eastAsia="宋体" w:cs="宋体"/>
              <w:spacing w:val="-1"/>
              <w:sz w:val="24"/>
              <w:szCs w:val="24"/>
            </w:rPr>
            <w:t>废水污染特征</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09E4E02">
          <w:pPr>
            <w:tabs>
              <w:tab w:val="right" w:leader="dot" w:pos="8314"/>
            </w:tabs>
            <w:spacing w:before="227" w:line="185" w:lineRule="auto"/>
            <w:ind w:left="1460"/>
            <w:rPr>
              <w:rFonts w:ascii="Times New Roman" w:hAnsi="Times New Roman" w:eastAsia="Times New Roman" w:cs="Times New Roman"/>
              <w:sz w:val="24"/>
              <w:szCs w:val="24"/>
            </w:rPr>
          </w:pPr>
          <w:r>
            <w:fldChar w:fldCharType="begin"/>
          </w:r>
          <w:r>
            <w:instrText xml:space="preserve"> HYPERLINK \l "bookmark97" </w:instrText>
          </w:r>
          <w:r>
            <w:fldChar w:fldCharType="separate"/>
          </w:r>
          <w:r>
            <w:rPr>
              <w:rFonts w:ascii="Times New Roman" w:hAnsi="Times New Roman" w:eastAsia="Times New Roman" w:cs="Times New Roman"/>
              <w:spacing w:val="-1"/>
              <w:sz w:val="24"/>
              <w:szCs w:val="24"/>
            </w:rPr>
            <w:t xml:space="preserve">7.3.2 </w:t>
          </w:r>
          <w:r>
            <w:rPr>
              <w:rFonts w:ascii="宋体" w:hAnsi="宋体" w:eastAsia="宋体" w:cs="宋体"/>
              <w:spacing w:val="-1"/>
              <w:sz w:val="24"/>
              <w:szCs w:val="24"/>
            </w:rPr>
            <w:t>影响分析及防治措施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6A78CEE">
          <w:pPr>
            <w:tabs>
              <w:tab w:val="right" w:leader="dot" w:pos="8314"/>
            </w:tabs>
            <w:spacing w:before="228" w:line="184" w:lineRule="auto"/>
            <w:ind w:left="980"/>
            <w:rPr>
              <w:rFonts w:ascii="Times New Roman" w:hAnsi="Times New Roman" w:eastAsia="Times New Roman" w:cs="Times New Roman"/>
              <w:sz w:val="24"/>
              <w:szCs w:val="24"/>
            </w:rPr>
          </w:pPr>
          <w:r>
            <w:fldChar w:fldCharType="begin"/>
          </w:r>
          <w:r>
            <w:instrText xml:space="preserve"> HYPERLINK \l "bookmark98" </w:instrText>
          </w:r>
          <w:r>
            <w:fldChar w:fldCharType="separate"/>
          </w:r>
          <w:r>
            <w:rPr>
              <w:rFonts w:ascii="Times New Roman" w:hAnsi="Times New Roman" w:eastAsia="Times New Roman" w:cs="Times New Roman"/>
              <w:spacing w:val="-3"/>
              <w:sz w:val="24"/>
              <w:szCs w:val="24"/>
            </w:rPr>
            <w:t>7.4</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固体废物影响及处置方法</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29F2427">
          <w:pPr>
            <w:tabs>
              <w:tab w:val="right" w:leader="dot" w:pos="8314"/>
            </w:tabs>
            <w:spacing w:before="226" w:line="185" w:lineRule="auto"/>
            <w:ind w:left="1460"/>
            <w:rPr>
              <w:rFonts w:ascii="Times New Roman" w:hAnsi="Times New Roman" w:eastAsia="Times New Roman" w:cs="Times New Roman"/>
              <w:sz w:val="24"/>
              <w:szCs w:val="24"/>
            </w:rPr>
          </w:pPr>
          <w:r>
            <w:fldChar w:fldCharType="begin"/>
          </w:r>
          <w:r>
            <w:instrText xml:space="preserve"> HYPERLINK \l "bookmark99" </w:instrText>
          </w:r>
          <w:r>
            <w:fldChar w:fldCharType="separate"/>
          </w:r>
          <w:r>
            <w:rPr>
              <w:rFonts w:ascii="Times New Roman" w:hAnsi="Times New Roman" w:eastAsia="Times New Roman" w:cs="Times New Roman"/>
              <w:spacing w:val="-1"/>
              <w:sz w:val="24"/>
              <w:szCs w:val="24"/>
            </w:rPr>
            <w:t xml:space="preserve">7.4.1 </w:t>
          </w:r>
          <w:r>
            <w:rPr>
              <w:rFonts w:ascii="宋体" w:hAnsi="宋体" w:eastAsia="宋体" w:cs="宋体"/>
              <w:spacing w:val="-1"/>
              <w:sz w:val="24"/>
              <w:szCs w:val="24"/>
            </w:rPr>
            <w:t>施工期产生的固体废物及其影响</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300730C3">
          <w:pPr>
            <w:tabs>
              <w:tab w:val="right" w:leader="dot" w:pos="8314"/>
            </w:tabs>
            <w:spacing w:before="225" w:line="185" w:lineRule="auto"/>
            <w:ind w:left="1460"/>
            <w:rPr>
              <w:rFonts w:ascii="Times New Roman" w:hAnsi="Times New Roman" w:eastAsia="Times New Roman" w:cs="Times New Roman"/>
              <w:sz w:val="24"/>
              <w:szCs w:val="24"/>
            </w:rPr>
          </w:pPr>
          <w:r>
            <w:fldChar w:fldCharType="begin"/>
          </w:r>
          <w:r>
            <w:instrText xml:space="preserve"> HYPERLINK \l "bookmark100" </w:instrText>
          </w:r>
          <w:r>
            <w:fldChar w:fldCharType="separate"/>
          </w:r>
          <w:r>
            <w:rPr>
              <w:rFonts w:ascii="Times New Roman" w:hAnsi="Times New Roman" w:eastAsia="Times New Roman" w:cs="Times New Roman"/>
              <w:spacing w:val="-3"/>
              <w:sz w:val="24"/>
              <w:szCs w:val="24"/>
            </w:rPr>
            <w:t>7.4.2</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处置方法</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9ADD585">
          <w:pPr>
            <w:tabs>
              <w:tab w:val="right" w:leader="dot" w:pos="8314"/>
            </w:tabs>
            <w:spacing w:before="228" w:line="185" w:lineRule="auto"/>
            <w:ind w:left="980"/>
            <w:rPr>
              <w:rFonts w:ascii="Times New Roman" w:hAnsi="Times New Roman" w:eastAsia="Times New Roman" w:cs="Times New Roman"/>
              <w:sz w:val="24"/>
              <w:szCs w:val="24"/>
            </w:rPr>
          </w:pPr>
          <w:r>
            <w:fldChar w:fldCharType="begin"/>
          </w:r>
          <w:r>
            <w:instrText xml:space="preserve"> HYPERLINK \l "bookmark101" </w:instrText>
          </w:r>
          <w:r>
            <w:fldChar w:fldCharType="separate"/>
          </w:r>
          <w:r>
            <w:rPr>
              <w:rFonts w:ascii="Times New Roman" w:hAnsi="Times New Roman" w:eastAsia="Times New Roman" w:cs="Times New Roman"/>
              <w:spacing w:val="-1"/>
              <w:sz w:val="24"/>
              <w:szCs w:val="24"/>
            </w:rPr>
            <w:t xml:space="preserve">7.5 </w:t>
          </w:r>
          <w:r>
            <w:rPr>
              <w:rFonts w:ascii="宋体" w:hAnsi="宋体" w:eastAsia="宋体" w:cs="宋体"/>
              <w:spacing w:val="-1"/>
              <w:sz w:val="24"/>
              <w:szCs w:val="24"/>
            </w:rPr>
            <w:t>生态环境影响及减缓措施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136</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D37B240">
          <w:pPr>
            <w:tabs>
              <w:tab w:val="right" w:leader="dot" w:pos="8314"/>
            </w:tabs>
            <w:spacing w:before="227" w:line="185" w:lineRule="auto"/>
            <w:ind w:left="1460"/>
            <w:rPr>
              <w:rFonts w:ascii="Times New Roman" w:hAnsi="Times New Roman" w:eastAsia="Times New Roman" w:cs="Times New Roman"/>
              <w:sz w:val="24"/>
              <w:szCs w:val="24"/>
            </w:rPr>
          </w:pPr>
          <w:r>
            <w:fldChar w:fldCharType="begin"/>
          </w:r>
          <w:r>
            <w:instrText xml:space="preserve"> HYPERLINK \l "bookmark102" </w:instrText>
          </w:r>
          <w:r>
            <w:fldChar w:fldCharType="separate"/>
          </w:r>
          <w:r>
            <w:rPr>
              <w:rFonts w:ascii="Times New Roman" w:hAnsi="Times New Roman" w:eastAsia="Times New Roman" w:cs="Times New Roman"/>
              <w:spacing w:val="-1"/>
              <w:sz w:val="24"/>
              <w:szCs w:val="24"/>
            </w:rPr>
            <w:t xml:space="preserve">7.5.1 </w:t>
          </w:r>
          <w:r>
            <w:rPr>
              <w:rFonts w:ascii="宋体" w:hAnsi="宋体" w:eastAsia="宋体" w:cs="宋体"/>
              <w:spacing w:val="-1"/>
              <w:sz w:val="24"/>
              <w:szCs w:val="24"/>
            </w:rPr>
            <w:t>土壤和植被的保护及影响的减缓措施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3E94EB8">
          <w:pPr>
            <w:tabs>
              <w:tab w:val="right" w:leader="dot" w:pos="8314"/>
            </w:tabs>
            <w:spacing w:before="225" w:line="185" w:lineRule="auto"/>
            <w:ind w:left="1460"/>
            <w:rPr>
              <w:rFonts w:ascii="Times New Roman" w:hAnsi="Times New Roman" w:eastAsia="Times New Roman" w:cs="Times New Roman"/>
              <w:sz w:val="24"/>
              <w:szCs w:val="24"/>
            </w:rPr>
          </w:pPr>
          <w:r>
            <w:fldChar w:fldCharType="begin"/>
          </w:r>
          <w:r>
            <w:instrText xml:space="preserve"> HYPERLINK \l "bookmark103" </w:instrText>
          </w:r>
          <w:r>
            <w:fldChar w:fldCharType="separate"/>
          </w:r>
          <w:r>
            <w:rPr>
              <w:rFonts w:ascii="Times New Roman" w:hAnsi="Times New Roman" w:eastAsia="Times New Roman" w:cs="Times New Roman"/>
              <w:spacing w:val="-1"/>
              <w:sz w:val="24"/>
              <w:szCs w:val="24"/>
            </w:rPr>
            <w:t xml:space="preserve">7.5.2 </w:t>
          </w:r>
          <w:r>
            <w:rPr>
              <w:rFonts w:ascii="宋体" w:hAnsi="宋体" w:eastAsia="宋体" w:cs="宋体"/>
              <w:spacing w:val="-1"/>
              <w:sz w:val="24"/>
              <w:szCs w:val="24"/>
            </w:rPr>
            <w:t>野生动物的保护措施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7C62977">
          <w:pPr>
            <w:tabs>
              <w:tab w:val="right" w:leader="dot" w:pos="8314"/>
            </w:tabs>
            <w:spacing w:before="228" w:line="185" w:lineRule="auto"/>
            <w:ind w:left="980"/>
            <w:rPr>
              <w:rFonts w:ascii="Times New Roman" w:hAnsi="Times New Roman" w:eastAsia="Times New Roman" w:cs="Times New Roman"/>
              <w:sz w:val="24"/>
              <w:szCs w:val="24"/>
            </w:rPr>
          </w:pPr>
          <w:r>
            <w:fldChar w:fldCharType="begin"/>
          </w:r>
          <w:r>
            <w:instrText xml:space="preserve"> HYPERLINK \l "bookmark104" </w:instrText>
          </w:r>
          <w:r>
            <w:fldChar w:fldCharType="separate"/>
          </w:r>
          <w:r>
            <w:rPr>
              <w:rFonts w:ascii="Times New Roman" w:hAnsi="Times New Roman" w:eastAsia="Times New Roman" w:cs="Times New Roman"/>
              <w:spacing w:val="-1"/>
              <w:sz w:val="24"/>
              <w:szCs w:val="24"/>
            </w:rPr>
            <w:t xml:space="preserve">7.6 </w:t>
          </w:r>
          <w:r>
            <w:rPr>
              <w:rFonts w:ascii="宋体" w:hAnsi="宋体" w:eastAsia="宋体" w:cs="宋体"/>
              <w:spacing w:val="-1"/>
              <w:sz w:val="24"/>
              <w:szCs w:val="24"/>
            </w:rPr>
            <w:t>土壤环境影响及防治对策措施</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3EADA001">
          <w:pPr>
            <w:tabs>
              <w:tab w:val="right" w:leader="dot" w:pos="8314"/>
            </w:tabs>
            <w:spacing w:before="225" w:line="185" w:lineRule="auto"/>
            <w:ind w:left="506"/>
            <w:rPr>
              <w:rFonts w:ascii="Times New Roman" w:hAnsi="Times New Roman" w:eastAsia="Times New Roman" w:cs="Times New Roman"/>
              <w:sz w:val="24"/>
              <w:szCs w:val="24"/>
            </w:rPr>
          </w:pPr>
          <w:r>
            <w:fldChar w:fldCharType="begin"/>
          </w:r>
          <w:r>
            <w:instrText xml:space="preserve"> HYPERLINK \l "bookmark105" </w:instrText>
          </w:r>
          <w:r>
            <w:fldChar w:fldCharType="separate"/>
          </w:r>
          <w:r>
            <w:rPr>
              <w:rFonts w:ascii="Times New Roman" w:hAnsi="Times New Roman" w:eastAsia="Times New Roman" w:cs="Times New Roman"/>
              <w:spacing w:val="-1"/>
              <w:sz w:val="24"/>
              <w:szCs w:val="24"/>
            </w:rPr>
            <w:t xml:space="preserve">8  </w:t>
          </w:r>
          <w:r>
            <w:rPr>
              <w:rFonts w:ascii="宋体" w:hAnsi="宋体" w:eastAsia="宋体" w:cs="宋体"/>
              <w:spacing w:val="-1"/>
              <w:sz w:val="24"/>
              <w:szCs w:val="24"/>
            </w:rPr>
            <w:t>运营期环境影响预测及评价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469E74E">
          <w:pPr>
            <w:tabs>
              <w:tab w:val="right" w:leader="dot" w:pos="8314"/>
            </w:tabs>
            <w:spacing w:before="228" w:line="184" w:lineRule="auto"/>
            <w:ind w:left="986"/>
            <w:rPr>
              <w:rFonts w:ascii="Times New Roman" w:hAnsi="Times New Roman" w:eastAsia="Times New Roman" w:cs="Times New Roman"/>
              <w:sz w:val="24"/>
              <w:szCs w:val="24"/>
            </w:rPr>
          </w:pPr>
          <w:r>
            <w:fldChar w:fldCharType="begin"/>
          </w:r>
          <w:r>
            <w:instrText xml:space="preserve"> HYPERLINK \l "bookmark106" </w:instrText>
          </w:r>
          <w:r>
            <w:fldChar w:fldCharType="separate"/>
          </w:r>
          <w:r>
            <w:rPr>
              <w:rFonts w:ascii="Times New Roman" w:hAnsi="Times New Roman" w:eastAsia="Times New Roman" w:cs="Times New Roman"/>
              <w:spacing w:val="-2"/>
              <w:sz w:val="24"/>
              <w:szCs w:val="24"/>
            </w:rPr>
            <w:t xml:space="preserve">8.1 </w:t>
          </w:r>
          <w:r>
            <w:rPr>
              <w:rFonts w:ascii="宋体" w:hAnsi="宋体" w:eastAsia="宋体" w:cs="宋体"/>
              <w:spacing w:val="-2"/>
              <w:sz w:val="24"/>
              <w:szCs w:val="24"/>
            </w:rPr>
            <w:t>环境空气影响评价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BF006B8">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"bookmark107" </w:instrText>
          </w:r>
          <w:r>
            <w:fldChar w:fldCharType="separate"/>
          </w:r>
          <w:r>
            <w:rPr>
              <w:rFonts w:ascii="Times New Roman" w:hAnsi="Times New Roman" w:eastAsia="Times New Roman" w:cs="Times New Roman"/>
              <w:spacing w:val="-1"/>
              <w:sz w:val="24"/>
              <w:szCs w:val="24"/>
            </w:rPr>
            <w:t xml:space="preserve">8.1.1 </w:t>
          </w:r>
          <w:r>
            <w:rPr>
              <w:rFonts w:ascii="宋体" w:hAnsi="宋体" w:eastAsia="宋体" w:cs="宋体"/>
              <w:spacing w:val="-1"/>
              <w:sz w:val="24"/>
              <w:szCs w:val="24"/>
            </w:rPr>
            <w:t>技改工程完成后污染源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138</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726B5D8">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"bookmark108" </w:instrText>
          </w:r>
          <w:r>
            <w:fldChar w:fldCharType="separate"/>
          </w:r>
          <w:r>
            <w:rPr>
              <w:rFonts w:ascii="Times New Roman" w:hAnsi="Times New Roman" w:eastAsia="Times New Roman" w:cs="Times New Roman"/>
              <w:spacing w:val="-2"/>
              <w:sz w:val="24"/>
              <w:szCs w:val="24"/>
            </w:rPr>
            <w:t>8.1.2</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常规地面气象资料分析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140</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A205B71">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"bookmark109" </w:instrText>
          </w:r>
          <w:r>
            <w:fldChar w:fldCharType="separate"/>
          </w:r>
          <w:r>
            <w:rPr>
              <w:rFonts w:ascii="Times New Roman" w:hAnsi="Times New Roman" w:eastAsia="Times New Roman" w:cs="Times New Roman"/>
              <w:spacing w:val="-2"/>
              <w:sz w:val="24"/>
              <w:szCs w:val="24"/>
            </w:rPr>
            <w:t xml:space="preserve">8.1.3 </w:t>
          </w:r>
          <w:r>
            <w:rPr>
              <w:rFonts w:ascii="宋体" w:hAnsi="宋体" w:eastAsia="宋体" w:cs="宋体"/>
              <w:spacing w:val="-2"/>
              <w:sz w:val="24"/>
              <w:szCs w:val="24"/>
            </w:rPr>
            <w:t>预测结果与分析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143</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F366C74">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"bookmark110" </w:instrText>
          </w:r>
          <w:r>
            <w:fldChar w:fldCharType="separate"/>
          </w:r>
          <w:r>
            <w:rPr>
              <w:rFonts w:ascii="Times New Roman" w:hAnsi="Times New Roman" w:eastAsia="Times New Roman" w:cs="Times New Roman"/>
              <w:spacing w:val="-2"/>
              <w:sz w:val="24"/>
              <w:szCs w:val="24"/>
            </w:rPr>
            <w:t xml:space="preserve">8.1.4 </w:t>
          </w:r>
          <w:r>
            <w:rPr>
              <w:rFonts w:ascii="宋体" w:hAnsi="宋体" w:eastAsia="宋体" w:cs="宋体"/>
              <w:spacing w:val="-2"/>
              <w:sz w:val="24"/>
              <w:szCs w:val="24"/>
            </w:rPr>
            <w:t>污染物排放量核算</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95CCFFF">
          <w:pPr>
            <w:tabs>
              <w:tab w:val="right" w:leader="dot" w:pos="8314"/>
            </w:tabs>
            <w:spacing w:before="225" w:line="185" w:lineRule="auto"/>
            <w:ind w:left="986"/>
            <w:rPr>
              <w:rFonts w:ascii="Times New Roman" w:hAnsi="Times New Roman" w:eastAsia="Times New Roman" w:cs="Times New Roman"/>
              <w:sz w:val="24"/>
              <w:szCs w:val="24"/>
            </w:rPr>
          </w:pPr>
          <w:r>
            <w:fldChar w:fldCharType="begin"/>
          </w:r>
          <w:r>
            <w:instrText xml:space="preserve"> HYPERLINK \l "bookmark111" </w:instrText>
          </w:r>
          <w:r>
            <w:fldChar w:fldCharType="separate"/>
          </w:r>
          <w:r>
            <w:rPr>
              <w:rFonts w:ascii="Times New Roman" w:hAnsi="Times New Roman" w:eastAsia="Times New Roman" w:cs="Times New Roman"/>
              <w:spacing w:val="-2"/>
              <w:sz w:val="24"/>
              <w:szCs w:val="24"/>
            </w:rPr>
            <w:t xml:space="preserve">8.2 </w:t>
          </w:r>
          <w:r>
            <w:rPr>
              <w:rFonts w:ascii="宋体" w:hAnsi="宋体" w:eastAsia="宋体" w:cs="宋体"/>
              <w:spacing w:val="-2"/>
              <w:sz w:val="24"/>
              <w:szCs w:val="24"/>
            </w:rPr>
            <w:t>地下水环境影响评价</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6F556DE">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"bookmark112" </w:instrText>
          </w:r>
          <w:r>
            <w:fldChar w:fldCharType="separate"/>
          </w:r>
          <w:r>
            <w:rPr>
              <w:rFonts w:ascii="Times New Roman" w:hAnsi="Times New Roman" w:eastAsia="Times New Roman" w:cs="Times New Roman"/>
              <w:spacing w:val="-2"/>
              <w:sz w:val="24"/>
              <w:szCs w:val="24"/>
            </w:rPr>
            <w:t xml:space="preserve">8.2.1 </w:t>
          </w:r>
          <w:r>
            <w:rPr>
              <w:rFonts w:ascii="宋体" w:hAnsi="宋体" w:eastAsia="宋体" w:cs="宋体"/>
              <w:spacing w:val="-2"/>
              <w:sz w:val="24"/>
              <w:szCs w:val="24"/>
            </w:rPr>
            <w:t>环境水文地质条件</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149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5839C99">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"bookmark113" </w:instrText>
          </w:r>
          <w:r>
            <w:fldChar w:fldCharType="separate"/>
          </w:r>
          <w:r>
            <w:rPr>
              <w:rFonts w:ascii="Times New Roman" w:hAnsi="Times New Roman" w:eastAsia="Times New Roman" w:cs="Times New Roman"/>
              <w:spacing w:val="-2"/>
              <w:sz w:val="24"/>
              <w:szCs w:val="24"/>
            </w:rPr>
            <w:t xml:space="preserve">8.2.2 </w:t>
          </w:r>
          <w:r>
            <w:rPr>
              <w:rFonts w:ascii="宋体" w:hAnsi="宋体" w:eastAsia="宋体" w:cs="宋体"/>
              <w:spacing w:val="-2"/>
              <w:sz w:val="24"/>
              <w:szCs w:val="24"/>
            </w:rPr>
            <w:t>地下水影响预测</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165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0E189FF">
          <w:pPr>
            <w:tabs>
              <w:tab w:val="right" w:leader="dot" w:pos="8314"/>
            </w:tabs>
            <w:spacing w:before="225" w:line="184" w:lineRule="auto"/>
            <w:ind w:left="1466"/>
            <w:rPr>
              <w:rFonts w:ascii="Times New Roman" w:hAnsi="Times New Roman" w:eastAsia="Times New Roman" w:cs="Times New Roman"/>
              <w:sz w:val="24"/>
              <w:szCs w:val="24"/>
            </w:rPr>
          </w:pPr>
          <w:r>
            <w:fldChar w:fldCharType="begin"/>
          </w:r>
          <w:r>
            <w:instrText xml:space="preserve"> HYPERLINK \l "bookmark114" </w:instrText>
          </w:r>
          <w:r>
            <w:fldChar w:fldCharType="separate"/>
          </w:r>
          <w:r>
            <w:rPr>
              <w:rFonts w:ascii="Times New Roman" w:hAnsi="Times New Roman" w:eastAsia="Times New Roman" w:cs="Times New Roman"/>
              <w:spacing w:val="-1"/>
              <w:sz w:val="24"/>
              <w:szCs w:val="24"/>
            </w:rPr>
            <w:t xml:space="preserve">8.2.3 </w:t>
          </w:r>
          <w:r>
            <w:rPr>
              <w:rFonts w:ascii="宋体" w:hAnsi="宋体" w:eastAsia="宋体" w:cs="宋体"/>
              <w:spacing w:val="-1"/>
              <w:sz w:val="24"/>
              <w:szCs w:val="24"/>
            </w:rPr>
            <w:t>地下水污染防治及环境监测</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182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F3DBF3C">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"bookmark115" </w:instrText>
          </w:r>
          <w:r>
            <w:fldChar w:fldCharType="separate"/>
          </w:r>
          <w:r>
            <w:rPr>
              <w:rFonts w:ascii="Times New Roman" w:hAnsi="Times New Roman" w:eastAsia="Times New Roman" w:cs="Times New Roman"/>
              <w:spacing w:val="-5"/>
              <w:sz w:val="24"/>
              <w:szCs w:val="24"/>
            </w:rPr>
            <w:t>8.2.6</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结论</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187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8E46E08">
          <w:pPr>
            <w:tabs>
              <w:tab w:val="right" w:leader="dot" w:pos="8314"/>
            </w:tabs>
            <w:spacing w:before="228" w:line="185" w:lineRule="auto"/>
            <w:ind w:left="986"/>
            <w:rPr>
              <w:rFonts w:ascii="Times New Roman" w:hAnsi="Times New Roman" w:eastAsia="Times New Roman" w:cs="Times New Roman"/>
              <w:sz w:val="24"/>
              <w:szCs w:val="24"/>
            </w:rPr>
          </w:pPr>
          <w:r>
            <w:fldChar w:fldCharType="begin"/>
          </w:r>
          <w:r>
            <w:instrText xml:space="preserve"> HYPERLINK \l "bookmark116" </w:instrText>
          </w:r>
          <w:r>
            <w:fldChar w:fldCharType="separate"/>
          </w:r>
          <w:r>
            <w:rPr>
              <w:rFonts w:ascii="Times New Roman" w:hAnsi="Times New Roman" w:eastAsia="Times New Roman" w:cs="Times New Roman"/>
              <w:spacing w:val="-2"/>
              <w:sz w:val="24"/>
              <w:szCs w:val="24"/>
            </w:rPr>
            <w:t xml:space="preserve">8.3 </w:t>
          </w:r>
          <w:r>
            <w:rPr>
              <w:rFonts w:ascii="宋体" w:hAnsi="宋体" w:eastAsia="宋体" w:cs="宋体"/>
              <w:spacing w:val="-2"/>
              <w:sz w:val="24"/>
              <w:szCs w:val="24"/>
            </w:rPr>
            <w:t>地表水环境影响分析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190</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2D3D8CE0">
          <w:pPr>
            <w:tabs>
              <w:tab w:val="right" w:leader="dot" w:pos="8314"/>
            </w:tabs>
            <w:spacing w:before="225" w:line="185" w:lineRule="auto"/>
            <w:ind w:left="986"/>
            <w:rPr>
              <w:rFonts w:ascii="Times New Roman" w:hAnsi="Times New Roman" w:eastAsia="Times New Roman" w:cs="Times New Roman"/>
              <w:sz w:val="24"/>
              <w:szCs w:val="24"/>
            </w:rPr>
          </w:pPr>
          <w:r>
            <w:fldChar w:fldCharType="begin"/>
          </w:r>
          <w:r>
            <w:instrText xml:space="preserve"> HYPERLINK \l "bookmark117" </w:instrText>
          </w:r>
          <w:r>
            <w:fldChar w:fldCharType="separate"/>
          </w:r>
          <w:r>
            <w:rPr>
              <w:rFonts w:ascii="Times New Roman" w:hAnsi="Times New Roman" w:eastAsia="Times New Roman" w:cs="Times New Roman"/>
              <w:spacing w:val="-1"/>
              <w:sz w:val="24"/>
              <w:szCs w:val="24"/>
            </w:rPr>
            <w:t xml:space="preserve">8.4 </w:t>
          </w:r>
          <w:r>
            <w:rPr>
              <w:rFonts w:ascii="宋体" w:hAnsi="宋体" w:eastAsia="宋体" w:cs="宋体"/>
              <w:spacing w:val="-1"/>
              <w:sz w:val="24"/>
              <w:szCs w:val="24"/>
            </w:rPr>
            <w:t>环境噪声现状及影响分析</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02B22B09">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"bookmark118" </w:instrText>
          </w:r>
          <w:r>
            <w:fldChar w:fldCharType="separate"/>
          </w:r>
          <w:r>
            <w:rPr>
              <w:rFonts w:ascii="Times New Roman" w:hAnsi="Times New Roman" w:eastAsia="Times New Roman" w:cs="Times New Roman"/>
              <w:spacing w:val="-1"/>
              <w:sz w:val="24"/>
              <w:szCs w:val="24"/>
            </w:rPr>
            <w:t xml:space="preserve">8.4.1 </w:t>
          </w:r>
          <w:r>
            <w:rPr>
              <w:rFonts w:ascii="宋体" w:hAnsi="宋体" w:eastAsia="宋体" w:cs="宋体"/>
              <w:spacing w:val="-1"/>
              <w:sz w:val="24"/>
              <w:szCs w:val="24"/>
            </w:rPr>
            <w:t>主要噪声源声学参数</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194</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FB93980">
          <w:pPr>
            <w:tabs>
              <w:tab w:val="right" w:leader="dot" w:pos="8314"/>
            </w:tabs>
            <w:spacing w:before="228" w:line="219" w:lineRule="auto"/>
            <w:ind w:left="1466"/>
            <w:rPr>
              <w:rFonts w:ascii="Times New Roman" w:hAnsi="Times New Roman" w:eastAsia="Times New Roman" w:cs="Times New Roman"/>
              <w:sz w:val="24"/>
              <w:szCs w:val="24"/>
            </w:rPr>
          </w:pPr>
          <w:r>
            <w:fldChar w:fldCharType="begin"/>
          </w:r>
          <w:r>
            <w:instrText xml:space="preserve"> HYPERLINK \l "bookmark119" </w:instrText>
          </w:r>
          <w:r>
            <w:fldChar w:fldCharType="separate"/>
          </w:r>
          <w:r>
            <w:rPr>
              <w:rFonts w:ascii="Times New Roman" w:hAnsi="Times New Roman" w:eastAsia="Times New Roman" w:cs="Times New Roman"/>
              <w:spacing w:val="-2"/>
              <w:sz w:val="24"/>
              <w:szCs w:val="24"/>
            </w:rPr>
            <w:t xml:space="preserve">8.4.2 </w:t>
          </w:r>
          <w:r>
            <w:rPr>
              <w:rFonts w:ascii="宋体" w:hAnsi="宋体" w:eastAsia="宋体" w:cs="宋体"/>
              <w:spacing w:val="-2"/>
              <w:sz w:val="24"/>
              <w:szCs w:val="24"/>
            </w:rPr>
            <w:t>预测模式与方法</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197</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sdtContent>
    </w:sdt>
    <w:p w14:paraId="4BBEC853">
      <w:pPr>
        <w:spacing w:line="219"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036273DC">
      <w:pPr>
        <w:pStyle w:val="2"/>
        <w:spacing w:line="247" w:lineRule="auto"/>
      </w:pPr>
    </w:p>
    <w:p w14:paraId="28E28385">
      <w:pPr>
        <w:pStyle w:val="2"/>
        <w:spacing w:line="248" w:lineRule="auto"/>
      </w:pPr>
    </w:p>
    <w:p w14:paraId="54DA3F7A">
      <w:pPr>
        <w:pStyle w:val="2"/>
        <w:spacing w:line="248" w:lineRule="auto"/>
      </w:pPr>
    </w:p>
    <w:p w14:paraId="356DCB2C">
      <w:pPr>
        <w:pStyle w:val="2"/>
        <w:spacing w:line="248" w:lineRule="auto"/>
      </w:pPr>
    </w:p>
    <w:sdt>
      <w:sdtPr>
        <w:rPr>
          <w:rFonts w:ascii="Times New Roman" w:hAnsi="Times New Roman" w:eastAsia="Times New Roman" w:cs="Times New Roman"/>
          <w:sz w:val="24"/>
          <w:szCs w:val="24"/>
        </w:rPr>
        <w:id w:val="147476931"/>
        <w:docPartObj>
          <w:docPartGallery w:val="Table of Contents"/>
          <w:docPartUnique/>
        </w:docPartObj>
      </w:sdtPr>
      <w:sdtEndPr>
        <w:rPr>
          <w:rFonts w:ascii="Times New Roman" w:hAnsi="Times New Roman" w:eastAsia="Times New Roman" w:cs="Times New Roman"/>
          <w:sz w:val="24"/>
          <w:szCs w:val="24"/>
        </w:rPr>
      </w:sdtEndPr>
      <w:sdtContent>
        <w:p w14:paraId="7F4263FF">
          <w:pPr>
            <w:tabs>
              <w:tab w:val="right" w:leader="dot" w:pos="8314"/>
            </w:tabs>
            <w:spacing w:before="78" w:line="184" w:lineRule="auto"/>
            <w:ind w:left="1466"/>
            <w:rPr>
              <w:rFonts w:ascii="Times New Roman" w:hAnsi="Times New Roman" w:eastAsia="Times New Roman" w:cs="Times New Roman"/>
              <w:sz w:val="24"/>
              <w:szCs w:val="24"/>
            </w:rPr>
          </w:pPr>
          <w:r>
            <w:fldChar w:fldCharType="begin"/>
          </w:r>
          <w:r>
            <w:instrText xml:space="preserve"> HYPERLINK \l "bookmark120" </w:instrText>
          </w:r>
          <w:r>
            <w:fldChar w:fldCharType="separate"/>
          </w:r>
          <w:r>
            <w:rPr>
              <w:rFonts w:ascii="Times New Roman" w:hAnsi="Times New Roman" w:eastAsia="Times New Roman" w:cs="Times New Roman"/>
              <w:spacing w:val="-2"/>
              <w:sz w:val="24"/>
              <w:szCs w:val="24"/>
            </w:rPr>
            <w:t xml:space="preserve">8.4.3 </w:t>
          </w:r>
          <w:r>
            <w:rPr>
              <w:rFonts w:ascii="宋体" w:hAnsi="宋体" w:eastAsia="宋体" w:cs="宋体"/>
              <w:spacing w:val="-2"/>
              <w:sz w:val="24"/>
              <w:szCs w:val="24"/>
            </w:rPr>
            <w:t>预测结果</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13B59EF5">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"bookmark121" </w:instrText>
          </w:r>
          <w:r>
            <w:fldChar w:fldCharType="separate"/>
          </w:r>
          <w:r>
            <w:rPr>
              <w:rFonts w:ascii="Times New Roman" w:hAnsi="Times New Roman" w:eastAsia="Times New Roman" w:cs="Times New Roman"/>
              <w:spacing w:val="-1"/>
              <w:sz w:val="24"/>
              <w:szCs w:val="24"/>
            </w:rPr>
            <w:t xml:space="preserve">8.4.4 </w:t>
          </w:r>
          <w:r>
            <w:rPr>
              <w:rFonts w:ascii="宋体" w:hAnsi="宋体" w:eastAsia="宋体" w:cs="宋体"/>
              <w:spacing w:val="-1"/>
              <w:sz w:val="24"/>
              <w:szCs w:val="24"/>
            </w:rPr>
            <w:t>运输噪声对敏感点的影响</w:t>
          </w:r>
          <w:r>
            <w:rPr>
              <w:rFonts w:ascii="宋体" w:hAnsi="宋体" w:eastAsia="宋体" w:cs="宋体"/>
              <w:sz w:val="24"/>
              <w:szCs w:val="24"/>
            </w:rPr>
            <w:tab/>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199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7D0DACF5">
          <w:pPr>
            <w:tabs>
              <w:tab w:val="right" w:leader="dot" w:pos="8314"/>
            </w:tabs>
            <w:spacing w:before="225" w:line="185" w:lineRule="auto"/>
            <w:ind w:left="986"/>
            <w:rPr>
              <w:rFonts w:ascii="Times New Roman" w:hAnsi="Times New Roman" w:eastAsia="Times New Roman" w:cs="Times New Roman"/>
              <w:sz w:val="24"/>
              <w:szCs w:val="24"/>
            </w:rPr>
          </w:pPr>
          <w:r>
            <w:fldChar w:fldCharType="begin"/>
          </w:r>
          <w:r>
            <w:instrText xml:space="preserve"> HYPERLINK \l "bookmark122" </w:instrText>
          </w:r>
          <w:r>
            <w:fldChar w:fldCharType="separate"/>
          </w:r>
          <w:r>
            <w:rPr>
              <w:rFonts w:ascii="Times New Roman" w:hAnsi="Times New Roman" w:eastAsia="Times New Roman" w:cs="Times New Roman"/>
              <w:spacing w:val="-4"/>
              <w:sz w:val="24"/>
              <w:szCs w:val="24"/>
            </w:rPr>
            <w:t>8.5</w:t>
          </w:r>
          <w:r>
            <w:rPr>
              <w:rFonts w:ascii="Times New Roman" w:hAnsi="Times New Roman" w:eastAsia="Times New Roman" w:cs="Times New Roman"/>
              <w:spacing w:val="36"/>
              <w:sz w:val="24"/>
              <w:szCs w:val="24"/>
            </w:rPr>
            <w:t xml:space="preserve"> </w:t>
          </w:r>
          <w:r>
            <w:rPr>
              <w:rFonts w:ascii="宋体" w:hAnsi="宋体" w:eastAsia="宋体" w:cs="宋体"/>
              <w:spacing w:val="-4"/>
              <w:sz w:val="24"/>
              <w:szCs w:val="24"/>
            </w:rPr>
            <w:t>固体废物环境影响分析</w:t>
          </w:r>
          <w:r>
            <w:rPr>
              <w:rFonts w:ascii="宋体" w:hAnsi="宋体" w:eastAsia="宋体" w:cs="宋体"/>
              <w:sz w:val="24"/>
              <w:szCs w:val="24"/>
            </w:rPr>
            <w:tab/>
          </w:r>
          <w:r>
            <w:rPr>
              <w:rFonts w:ascii="Times New Roman" w:hAnsi="Times New Roman" w:eastAsia="Times New Roman" w:cs="Times New Roman"/>
              <w:spacing w:val="2"/>
              <w:sz w:val="24"/>
              <w:szCs w:val="24"/>
            </w:rPr>
            <w:t>- 200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B836380">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"bookmark123" </w:instrText>
          </w:r>
          <w:r>
            <w:fldChar w:fldCharType="separate"/>
          </w:r>
          <w:r>
            <w:rPr>
              <w:rFonts w:ascii="Times New Roman" w:hAnsi="Times New Roman" w:eastAsia="Times New Roman" w:cs="Times New Roman"/>
              <w:spacing w:val="-3"/>
              <w:sz w:val="24"/>
              <w:szCs w:val="24"/>
            </w:rPr>
            <w:t>8.5.1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固体废物种类及产生量</w:t>
          </w:r>
          <w:r>
            <w:rPr>
              <w:rFonts w:ascii="宋体" w:hAnsi="宋体" w:eastAsia="宋体" w:cs="宋体"/>
              <w:sz w:val="24"/>
              <w:szCs w:val="24"/>
            </w:rPr>
            <w:tab/>
          </w:r>
          <w:r>
            <w:rPr>
              <w:rFonts w:ascii="Times New Roman" w:hAnsi="Times New Roman" w:eastAsia="Times New Roman" w:cs="Times New Roman"/>
              <w:spacing w:val="2"/>
              <w:sz w:val="24"/>
              <w:szCs w:val="24"/>
            </w:rPr>
            <w:t>- 200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FD3A39F">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"bookmark124" </w:instrText>
          </w:r>
          <w:r>
            <w:fldChar w:fldCharType="separate"/>
          </w:r>
          <w:r>
            <w:rPr>
              <w:rFonts w:ascii="Times New Roman" w:hAnsi="Times New Roman" w:eastAsia="Times New Roman" w:cs="Times New Roman"/>
              <w:spacing w:val="-4"/>
              <w:sz w:val="24"/>
              <w:szCs w:val="24"/>
            </w:rPr>
            <w:t>8.5.2</w:t>
          </w:r>
          <w:r>
            <w:rPr>
              <w:rFonts w:ascii="Times New Roman" w:hAnsi="Times New Roman" w:eastAsia="Times New Roman" w:cs="Times New Roman"/>
              <w:spacing w:val="36"/>
              <w:sz w:val="24"/>
              <w:szCs w:val="24"/>
            </w:rPr>
            <w:t xml:space="preserve"> </w:t>
          </w:r>
          <w:r>
            <w:rPr>
              <w:rFonts w:ascii="宋体" w:hAnsi="宋体" w:eastAsia="宋体" w:cs="宋体"/>
              <w:spacing w:val="-4"/>
              <w:sz w:val="24"/>
              <w:szCs w:val="24"/>
            </w:rPr>
            <w:t>固体废物影响分析</w:t>
          </w:r>
          <w:r>
            <w:rPr>
              <w:rFonts w:ascii="宋体" w:hAnsi="宋体" w:eastAsia="宋体" w:cs="宋体"/>
              <w:sz w:val="24"/>
              <w:szCs w:val="24"/>
            </w:rPr>
            <w:tab/>
          </w:r>
          <w:r>
            <w:rPr>
              <w:rFonts w:ascii="Times New Roman" w:hAnsi="Times New Roman" w:eastAsia="Times New Roman" w:cs="Times New Roman"/>
              <w:spacing w:val="2"/>
              <w:sz w:val="24"/>
              <w:szCs w:val="24"/>
            </w:rPr>
            <w:t>- 200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3B1047A">
          <w:pPr>
            <w:tabs>
              <w:tab w:val="right" w:leader="dot" w:pos="8314"/>
            </w:tabs>
            <w:spacing w:before="227" w:line="185" w:lineRule="auto"/>
            <w:ind w:left="986"/>
            <w:rPr>
              <w:rFonts w:ascii="Times New Roman" w:hAnsi="Times New Roman" w:eastAsia="Times New Roman" w:cs="Times New Roman"/>
              <w:sz w:val="24"/>
              <w:szCs w:val="24"/>
            </w:rPr>
          </w:pPr>
          <w:r>
            <w:fldChar w:fldCharType="begin"/>
          </w:r>
          <w:r>
            <w:instrText xml:space="preserve"> HYPERLINK \l "bookmark125" </w:instrText>
          </w:r>
          <w:r>
            <w:fldChar w:fldCharType="separate"/>
          </w:r>
          <w:r>
            <w:rPr>
              <w:rFonts w:ascii="Times New Roman" w:hAnsi="Times New Roman" w:eastAsia="Times New Roman" w:cs="Times New Roman"/>
              <w:spacing w:val="-2"/>
              <w:sz w:val="24"/>
              <w:szCs w:val="24"/>
            </w:rPr>
            <w:t xml:space="preserve">8.6 </w:t>
          </w:r>
          <w:r>
            <w:rPr>
              <w:rFonts w:ascii="宋体" w:hAnsi="宋体" w:eastAsia="宋体" w:cs="宋体"/>
              <w:spacing w:val="-2"/>
              <w:sz w:val="24"/>
              <w:szCs w:val="24"/>
            </w:rPr>
            <w:t>生态环境影响分析</w:t>
          </w:r>
          <w:r>
            <w:rPr>
              <w:rFonts w:ascii="宋体" w:hAnsi="宋体" w:eastAsia="宋体" w:cs="宋体"/>
              <w:sz w:val="24"/>
              <w:szCs w:val="24"/>
            </w:rPr>
            <w:tab/>
          </w:r>
          <w:r>
            <w:rPr>
              <w:rFonts w:ascii="Times New Roman" w:hAnsi="Times New Roman" w:eastAsia="Times New Roman" w:cs="Times New Roman"/>
              <w:spacing w:val="2"/>
              <w:sz w:val="24"/>
              <w:szCs w:val="24"/>
            </w:rPr>
            <w:t>- 202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C0FE105">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"bookmark126" </w:instrText>
          </w:r>
          <w:r>
            <w:fldChar w:fldCharType="separate"/>
          </w:r>
          <w:r>
            <w:rPr>
              <w:rFonts w:ascii="Times New Roman" w:hAnsi="Times New Roman" w:eastAsia="Times New Roman" w:cs="Times New Roman"/>
              <w:spacing w:val="-2"/>
              <w:sz w:val="24"/>
              <w:szCs w:val="24"/>
            </w:rPr>
            <w:t xml:space="preserve">8.6.1 </w:t>
          </w:r>
          <w:r>
            <w:rPr>
              <w:rFonts w:ascii="宋体" w:hAnsi="宋体" w:eastAsia="宋体" w:cs="宋体"/>
              <w:spacing w:val="-2"/>
              <w:sz w:val="24"/>
              <w:szCs w:val="24"/>
            </w:rPr>
            <w:t>土地利用影响分析</w:t>
          </w:r>
          <w:r>
            <w:rPr>
              <w:rFonts w:ascii="宋体" w:hAnsi="宋体" w:eastAsia="宋体" w:cs="宋体"/>
              <w:sz w:val="24"/>
              <w:szCs w:val="24"/>
            </w:rPr>
            <w:tab/>
          </w:r>
          <w:r>
            <w:rPr>
              <w:rFonts w:ascii="Times New Roman" w:hAnsi="Times New Roman" w:eastAsia="Times New Roman" w:cs="Times New Roman"/>
              <w:spacing w:val="2"/>
              <w:sz w:val="24"/>
              <w:szCs w:val="24"/>
            </w:rPr>
            <w:t>- 202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2506D2D">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"bookmark127" </w:instrText>
          </w:r>
          <w:r>
            <w:fldChar w:fldCharType="separate"/>
          </w:r>
          <w:r>
            <w:rPr>
              <w:rFonts w:ascii="Times New Roman" w:hAnsi="Times New Roman" w:eastAsia="Times New Roman" w:cs="Times New Roman"/>
              <w:spacing w:val="-2"/>
              <w:sz w:val="24"/>
              <w:szCs w:val="24"/>
            </w:rPr>
            <w:t xml:space="preserve">8.6.2 </w:t>
          </w:r>
          <w:r>
            <w:rPr>
              <w:rFonts w:ascii="宋体" w:hAnsi="宋体" w:eastAsia="宋体" w:cs="宋体"/>
              <w:spacing w:val="-2"/>
              <w:sz w:val="24"/>
              <w:szCs w:val="24"/>
            </w:rPr>
            <w:t>水土流失影响分析</w:t>
          </w:r>
          <w:r>
            <w:rPr>
              <w:rFonts w:ascii="宋体" w:hAnsi="宋体" w:eastAsia="宋体" w:cs="宋体"/>
              <w:sz w:val="24"/>
              <w:szCs w:val="24"/>
            </w:rPr>
            <w:tab/>
          </w:r>
          <w:r>
            <w:rPr>
              <w:rFonts w:ascii="Times New Roman" w:hAnsi="Times New Roman" w:eastAsia="Times New Roman" w:cs="Times New Roman"/>
              <w:spacing w:val="2"/>
              <w:sz w:val="24"/>
              <w:szCs w:val="24"/>
            </w:rPr>
            <w:t>- 202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D56C92D">
          <w:pPr>
            <w:tabs>
              <w:tab w:val="right" w:leader="dot" w:pos="8314"/>
            </w:tabs>
            <w:spacing w:before="228" w:line="184" w:lineRule="auto"/>
            <w:ind w:left="1466"/>
            <w:rPr>
              <w:rFonts w:ascii="Times New Roman" w:hAnsi="Times New Roman" w:eastAsia="Times New Roman" w:cs="Times New Roman"/>
              <w:sz w:val="24"/>
              <w:szCs w:val="24"/>
            </w:rPr>
          </w:pPr>
          <w:r>
            <w:fldChar w:fldCharType="begin"/>
          </w:r>
          <w:r>
            <w:instrText xml:space="preserve"> HYPERLINK \l "bookmark128" </w:instrText>
          </w:r>
          <w:r>
            <w:fldChar w:fldCharType="separate"/>
          </w:r>
          <w:r>
            <w:rPr>
              <w:rFonts w:ascii="Times New Roman" w:hAnsi="Times New Roman" w:eastAsia="Times New Roman" w:cs="Times New Roman"/>
              <w:spacing w:val="-1"/>
              <w:sz w:val="24"/>
              <w:szCs w:val="24"/>
            </w:rPr>
            <w:t xml:space="preserve">8.6.3 </w:t>
          </w:r>
          <w:r>
            <w:rPr>
              <w:rFonts w:ascii="宋体" w:hAnsi="宋体" w:eastAsia="宋体" w:cs="宋体"/>
              <w:spacing w:val="-1"/>
              <w:sz w:val="24"/>
              <w:szCs w:val="24"/>
            </w:rPr>
            <w:t>对生物多样性的影响</w:t>
          </w:r>
          <w:r>
            <w:rPr>
              <w:rFonts w:ascii="宋体" w:hAnsi="宋体" w:eastAsia="宋体" w:cs="宋体"/>
              <w:sz w:val="24"/>
              <w:szCs w:val="24"/>
            </w:rPr>
            <w:tab/>
          </w:r>
          <w:r>
            <w:rPr>
              <w:rFonts w:ascii="Times New Roman" w:hAnsi="Times New Roman" w:eastAsia="Times New Roman" w:cs="Times New Roman"/>
              <w:spacing w:val="2"/>
              <w:sz w:val="24"/>
              <w:szCs w:val="24"/>
            </w:rPr>
            <w:t>- 202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5DE8B60">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"bookmark129" </w:instrText>
          </w:r>
          <w:r>
            <w:fldChar w:fldCharType="separate"/>
          </w:r>
          <w:r>
            <w:rPr>
              <w:rFonts w:ascii="Times New Roman" w:hAnsi="Times New Roman" w:eastAsia="Times New Roman" w:cs="Times New Roman"/>
              <w:spacing w:val="-1"/>
              <w:sz w:val="24"/>
              <w:szCs w:val="24"/>
            </w:rPr>
            <w:t xml:space="preserve">8.6.4 </w:t>
          </w:r>
          <w:r>
            <w:rPr>
              <w:rFonts w:ascii="宋体" w:hAnsi="宋体" w:eastAsia="宋体" w:cs="宋体"/>
              <w:spacing w:val="-1"/>
              <w:sz w:val="24"/>
              <w:szCs w:val="24"/>
            </w:rPr>
            <w:t>对景观生态系统的影响</w:t>
          </w:r>
          <w:r>
            <w:rPr>
              <w:rFonts w:ascii="宋体" w:hAnsi="宋体" w:eastAsia="宋体" w:cs="宋体"/>
              <w:sz w:val="24"/>
              <w:szCs w:val="24"/>
            </w:rPr>
            <w:tab/>
          </w:r>
          <w:r>
            <w:rPr>
              <w:rFonts w:ascii="Times New Roman" w:hAnsi="Times New Roman" w:eastAsia="Times New Roman" w:cs="Times New Roman"/>
              <w:spacing w:val="2"/>
              <w:sz w:val="24"/>
              <w:szCs w:val="24"/>
            </w:rPr>
            <w:t>- 203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3AB610A">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"bookmark130" </w:instrText>
          </w:r>
          <w:r>
            <w:fldChar w:fldCharType="separate"/>
          </w:r>
          <w:r>
            <w:rPr>
              <w:rFonts w:ascii="Times New Roman" w:hAnsi="Times New Roman" w:eastAsia="Times New Roman" w:cs="Times New Roman"/>
              <w:spacing w:val="-1"/>
              <w:sz w:val="24"/>
              <w:szCs w:val="24"/>
            </w:rPr>
            <w:t xml:space="preserve">8.6.5 </w:t>
          </w:r>
          <w:r>
            <w:rPr>
              <w:rFonts w:ascii="宋体" w:hAnsi="宋体" w:eastAsia="宋体" w:cs="宋体"/>
              <w:spacing w:val="-1"/>
              <w:sz w:val="24"/>
              <w:szCs w:val="24"/>
            </w:rPr>
            <w:t>生态环境影响评价结论</w:t>
          </w:r>
          <w:r>
            <w:rPr>
              <w:rFonts w:ascii="宋体" w:hAnsi="宋体" w:eastAsia="宋体" w:cs="宋体"/>
              <w:sz w:val="24"/>
              <w:szCs w:val="24"/>
            </w:rPr>
            <w:tab/>
          </w:r>
          <w:r>
            <w:rPr>
              <w:rFonts w:ascii="Times New Roman" w:hAnsi="Times New Roman" w:eastAsia="Times New Roman" w:cs="Times New Roman"/>
              <w:spacing w:val="2"/>
              <w:sz w:val="24"/>
              <w:szCs w:val="24"/>
            </w:rPr>
            <w:t>- 204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45001160">
          <w:pPr>
            <w:tabs>
              <w:tab w:val="right" w:leader="dot" w:pos="8314"/>
            </w:tabs>
            <w:spacing w:before="228" w:line="185" w:lineRule="auto"/>
            <w:ind w:left="986"/>
            <w:rPr>
              <w:rFonts w:ascii="Times New Roman" w:hAnsi="Times New Roman" w:eastAsia="Times New Roman" w:cs="Times New Roman"/>
              <w:sz w:val="24"/>
              <w:szCs w:val="24"/>
            </w:rPr>
          </w:pPr>
          <w:r>
            <w:fldChar w:fldCharType="begin"/>
          </w:r>
          <w:r>
            <w:instrText xml:space="preserve"> HYPERLINK \l "bookmark131" </w:instrText>
          </w:r>
          <w:r>
            <w:fldChar w:fldCharType="separate"/>
          </w:r>
          <w:r>
            <w:rPr>
              <w:rFonts w:ascii="Times New Roman" w:hAnsi="Times New Roman" w:eastAsia="Times New Roman" w:cs="Times New Roman"/>
              <w:spacing w:val="-2"/>
              <w:sz w:val="24"/>
              <w:szCs w:val="24"/>
            </w:rPr>
            <w:t xml:space="preserve">8.7 </w:t>
          </w:r>
          <w:r>
            <w:rPr>
              <w:rFonts w:ascii="宋体" w:hAnsi="宋体" w:eastAsia="宋体" w:cs="宋体"/>
              <w:spacing w:val="-2"/>
              <w:sz w:val="24"/>
              <w:szCs w:val="24"/>
            </w:rPr>
            <w:t>环境风险评价</w:t>
          </w:r>
          <w:r>
            <w:rPr>
              <w:rFonts w:ascii="宋体" w:hAnsi="宋体" w:eastAsia="宋体" w:cs="宋体"/>
              <w:sz w:val="24"/>
              <w:szCs w:val="24"/>
            </w:rPr>
            <w:tab/>
          </w:r>
          <w:r>
            <w:rPr>
              <w:rFonts w:ascii="Times New Roman" w:hAnsi="Times New Roman" w:eastAsia="Times New Roman" w:cs="Times New Roman"/>
              <w:spacing w:val="2"/>
              <w:sz w:val="24"/>
              <w:szCs w:val="24"/>
            </w:rPr>
            <w:t>- 205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1121DB4">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"bookmark132" </w:instrText>
          </w:r>
          <w:r>
            <w:fldChar w:fldCharType="separate"/>
          </w:r>
          <w:r>
            <w:rPr>
              <w:rFonts w:ascii="Times New Roman" w:hAnsi="Times New Roman" w:eastAsia="Times New Roman" w:cs="Times New Roman"/>
              <w:spacing w:val="-2"/>
              <w:sz w:val="24"/>
              <w:szCs w:val="24"/>
            </w:rPr>
            <w:t xml:space="preserve">8.7.1 </w:t>
          </w:r>
          <w:r>
            <w:rPr>
              <w:rFonts w:ascii="宋体" w:hAnsi="宋体" w:eastAsia="宋体" w:cs="宋体"/>
              <w:spacing w:val="-2"/>
              <w:sz w:val="24"/>
              <w:szCs w:val="24"/>
            </w:rPr>
            <w:t>评价依据</w:t>
          </w:r>
          <w:r>
            <w:rPr>
              <w:rFonts w:ascii="宋体" w:hAnsi="宋体" w:eastAsia="宋体" w:cs="宋体"/>
              <w:sz w:val="24"/>
              <w:szCs w:val="24"/>
            </w:rPr>
            <w:tab/>
          </w:r>
          <w:r>
            <w:rPr>
              <w:rFonts w:ascii="Times New Roman" w:hAnsi="Times New Roman" w:eastAsia="Times New Roman" w:cs="Times New Roman"/>
              <w:spacing w:val="2"/>
              <w:sz w:val="24"/>
              <w:szCs w:val="24"/>
            </w:rPr>
            <w:t>- 205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0646B59">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"bookmark133" </w:instrText>
          </w:r>
          <w:r>
            <w:fldChar w:fldCharType="separate"/>
          </w:r>
          <w:r>
            <w:rPr>
              <w:rFonts w:ascii="Times New Roman" w:hAnsi="Times New Roman" w:eastAsia="Times New Roman" w:cs="Times New Roman"/>
              <w:spacing w:val="-2"/>
              <w:sz w:val="24"/>
              <w:szCs w:val="24"/>
            </w:rPr>
            <w:t xml:space="preserve">8.7.3 </w:t>
          </w:r>
          <w:r>
            <w:rPr>
              <w:rFonts w:ascii="宋体" w:hAnsi="宋体" w:eastAsia="宋体" w:cs="宋体"/>
              <w:spacing w:val="-2"/>
              <w:sz w:val="24"/>
              <w:szCs w:val="24"/>
            </w:rPr>
            <w:t>环境风险识别</w:t>
          </w:r>
          <w:r>
            <w:rPr>
              <w:rFonts w:ascii="宋体" w:hAnsi="宋体" w:eastAsia="宋体" w:cs="宋体"/>
              <w:sz w:val="24"/>
              <w:szCs w:val="24"/>
            </w:rPr>
            <w:tab/>
          </w:r>
          <w:r>
            <w:rPr>
              <w:rFonts w:ascii="Times New Roman" w:hAnsi="Times New Roman" w:eastAsia="Times New Roman" w:cs="Times New Roman"/>
              <w:spacing w:val="2"/>
              <w:sz w:val="24"/>
              <w:szCs w:val="24"/>
            </w:rPr>
            <w:t>- 206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BEA0761">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"bookmark134" </w:instrText>
          </w:r>
          <w:r>
            <w:fldChar w:fldCharType="separate"/>
          </w:r>
          <w:r>
            <w:rPr>
              <w:rFonts w:ascii="Times New Roman" w:hAnsi="Times New Roman" w:eastAsia="Times New Roman" w:cs="Times New Roman"/>
              <w:spacing w:val="-2"/>
              <w:sz w:val="24"/>
              <w:szCs w:val="24"/>
            </w:rPr>
            <w:t xml:space="preserve">8.7.4 </w:t>
          </w:r>
          <w:r>
            <w:rPr>
              <w:rFonts w:ascii="宋体" w:hAnsi="宋体" w:eastAsia="宋体" w:cs="宋体"/>
              <w:spacing w:val="-2"/>
              <w:sz w:val="24"/>
              <w:szCs w:val="24"/>
            </w:rPr>
            <w:t>环境风险分析</w:t>
          </w:r>
          <w:r>
            <w:rPr>
              <w:rFonts w:ascii="宋体" w:hAnsi="宋体" w:eastAsia="宋体" w:cs="宋体"/>
              <w:sz w:val="24"/>
              <w:szCs w:val="24"/>
            </w:rPr>
            <w:tab/>
          </w:r>
          <w:r>
            <w:rPr>
              <w:rFonts w:ascii="Times New Roman" w:hAnsi="Times New Roman" w:eastAsia="Times New Roman" w:cs="Times New Roman"/>
              <w:spacing w:val="2"/>
              <w:sz w:val="24"/>
              <w:szCs w:val="24"/>
            </w:rPr>
            <w:t>- 208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20891F2">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"bookmark135" </w:instrText>
          </w:r>
          <w:r>
            <w:fldChar w:fldCharType="separate"/>
          </w:r>
          <w:r>
            <w:rPr>
              <w:rFonts w:ascii="Times New Roman" w:hAnsi="Times New Roman" w:eastAsia="Times New Roman" w:cs="Times New Roman"/>
              <w:spacing w:val="-1"/>
              <w:sz w:val="24"/>
              <w:szCs w:val="24"/>
            </w:rPr>
            <w:t xml:space="preserve">8.7.5 </w:t>
          </w:r>
          <w:r>
            <w:rPr>
              <w:rFonts w:ascii="宋体" w:hAnsi="宋体" w:eastAsia="宋体" w:cs="宋体"/>
              <w:spacing w:val="-1"/>
              <w:sz w:val="24"/>
              <w:szCs w:val="24"/>
            </w:rPr>
            <w:t>环境风险防范措施及应急要求</w:t>
          </w:r>
          <w:r>
            <w:rPr>
              <w:rFonts w:ascii="宋体" w:hAnsi="宋体" w:eastAsia="宋体" w:cs="宋体"/>
              <w:sz w:val="24"/>
              <w:szCs w:val="24"/>
            </w:rPr>
            <w:tab/>
          </w:r>
          <w:r>
            <w:rPr>
              <w:rFonts w:ascii="Times New Roman" w:hAnsi="Times New Roman" w:eastAsia="Times New Roman" w:cs="Times New Roman"/>
              <w:spacing w:val="2"/>
              <w:sz w:val="24"/>
              <w:szCs w:val="24"/>
            </w:rPr>
            <w:t>- 208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4FA26B8C">
          <w:pPr>
            <w:tabs>
              <w:tab w:val="right" w:leader="dot" w:pos="8314"/>
            </w:tabs>
            <w:spacing w:before="228" w:line="184" w:lineRule="auto"/>
            <w:ind w:left="1466"/>
            <w:rPr>
              <w:rFonts w:ascii="Times New Roman" w:hAnsi="Times New Roman" w:eastAsia="Times New Roman" w:cs="Times New Roman"/>
              <w:sz w:val="24"/>
              <w:szCs w:val="24"/>
            </w:rPr>
          </w:pPr>
          <w:r>
            <w:fldChar w:fldCharType="begin"/>
          </w:r>
          <w:r>
            <w:instrText xml:space="preserve"> HYPERLINK \l "bookmark136" </w:instrText>
          </w:r>
          <w:r>
            <w:fldChar w:fldCharType="separate"/>
          </w:r>
          <w:r>
            <w:rPr>
              <w:rFonts w:ascii="Times New Roman" w:hAnsi="Times New Roman" w:eastAsia="Times New Roman" w:cs="Times New Roman"/>
              <w:spacing w:val="-1"/>
              <w:sz w:val="24"/>
              <w:szCs w:val="24"/>
            </w:rPr>
            <w:t xml:space="preserve">8.7.6 </w:t>
          </w:r>
          <w:r>
            <w:rPr>
              <w:rFonts w:ascii="宋体" w:hAnsi="宋体" w:eastAsia="宋体" w:cs="宋体"/>
              <w:spacing w:val="-1"/>
              <w:sz w:val="24"/>
              <w:szCs w:val="24"/>
            </w:rPr>
            <w:t>环境风险事故应急预案</w:t>
          </w:r>
          <w:r>
            <w:rPr>
              <w:rFonts w:ascii="宋体" w:hAnsi="宋体" w:eastAsia="宋体" w:cs="宋体"/>
              <w:sz w:val="24"/>
              <w:szCs w:val="24"/>
            </w:rPr>
            <w:tab/>
          </w:r>
          <w:r>
            <w:rPr>
              <w:rFonts w:ascii="Times New Roman" w:hAnsi="Times New Roman" w:eastAsia="Times New Roman" w:cs="Times New Roman"/>
              <w:spacing w:val="2"/>
              <w:sz w:val="24"/>
              <w:szCs w:val="24"/>
            </w:rPr>
            <w:t>- 209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E5DB27F">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"bookmark137" </w:instrText>
          </w:r>
          <w:r>
            <w:fldChar w:fldCharType="separate"/>
          </w:r>
          <w:r>
            <w:rPr>
              <w:rFonts w:ascii="Times New Roman" w:hAnsi="Times New Roman" w:eastAsia="Times New Roman" w:cs="Times New Roman"/>
              <w:spacing w:val="-2"/>
              <w:sz w:val="24"/>
              <w:szCs w:val="24"/>
            </w:rPr>
            <w:t xml:space="preserve">8.7.6 </w:t>
          </w:r>
          <w:r>
            <w:rPr>
              <w:rFonts w:ascii="宋体" w:hAnsi="宋体" w:eastAsia="宋体" w:cs="宋体"/>
              <w:spacing w:val="-2"/>
              <w:sz w:val="24"/>
              <w:szCs w:val="24"/>
            </w:rPr>
            <w:t>分析结论</w:t>
          </w:r>
          <w:r>
            <w:rPr>
              <w:rFonts w:ascii="宋体" w:hAnsi="宋体" w:eastAsia="宋体" w:cs="宋体"/>
              <w:sz w:val="24"/>
              <w:szCs w:val="24"/>
            </w:rPr>
            <w:tab/>
          </w:r>
          <w:r>
            <w:rPr>
              <w:rFonts w:ascii="Times New Roman" w:hAnsi="Times New Roman" w:eastAsia="Times New Roman" w:cs="Times New Roman"/>
              <w:spacing w:val="2"/>
              <w:sz w:val="24"/>
              <w:szCs w:val="24"/>
            </w:rPr>
            <w:t>- 214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95CBD9F">
          <w:pPr>
            <w:tabs>
              <w:tab w:val="right" w:leader="dot" w:pos="8314"/>
            </w:tabs>
            <w:spacing w:before="227" w:line="185" w:lineRule="auto"/>
            <w:ind w:left="986"/>
            <w:rPr>
              <w:rFonts w:ascii="Times New Roman" w:hAnsi="Times New Roman" w:eastAsia="Times New Roman" w:cs="Times New Roman"/>
              <w:sz w:val="24"/>
              <w:szCs w:val="24"/>
            </w:rPr>
          </w:pPr>
          <w:r>
            <w:fldChar w:fldCharType="begin"/>
          </w:r>
          <w:r>
            <w:instrText xml:space="preserve"> HYPERLINK \l "bookmark138" </w:instrText>
          </w:r>
          <w:r>
            <w:fldChar w:fldCharType="separate"/>
          </w:r>
          <w:r>
            <w:rPr>
              <w:rFonts w:ascii="Times New Roman" w:hAnsi="Times New Roman" w:eastAsia="Times New Roman" w:cs="Times New Roman"/>
              <w:spacing w:val="-2"/>
              <w:sz w:val="24"/>
              <w:szCs w:val="24"/>
            </w:rPr>
            <w:t xml:space="preserve">8.8 </w:t>
          </w:r>
          <w:r>
            <w:rPr>
              <w:rFonts w:ascii="宋体" w:hAnsi="宋体" w:eastAsia="宋体" w:cs="宋体"/>
              <w:spacing w:val="-2"/>
              <w:sz w:val="24"/>
              <w:szCs w:val="24"/>
            </w:rPr>
            <w:t>土壤环境影响评价</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3C1B861">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"bookmark139" </w:instrText>
          </w:r>
          <w:r>
            <w:fldChar w:fldCharType="separate"/>
          </w:r>
          <w:r>
            <w:rPr>
              <w:rFonts w:ascii="Times New Roman" w:hAnsi="Times New Roman" w:eastAsia="Times New Roman" w:cs="Times New Roman"/>
              <w:spacing w:val="-4"/>
              <w:sz w:val="24"/>
              <w:szCs w:val="24"/>
            </w:rPr>
            <w:t>8.8.1</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区域环境条件</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0BF0E94">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"bookmark140" </w:instrText>
          </w:r>
          <w:r>
            <w:fldChar w:fldCharType="separate"/>
          </w:r>
          <w:r>
            <w:rPr>
              <w:rFonts w:ascii="Times New Roman" w:hAnsi="Times New Roman" w:eastAsia="Times New Roman" w:cs="Times New Roman"/>
              <w:spacing w:val="-2"/>
              <w:sz w:val="24"/>
              <w:szCs w:val="24"/>
            </w:rPr>
            <w:t xml:space="preserve">8.8.2 </w:t>
          </w:r>
          <w:r>
            <w:rPr>
              <w:rFonts w:ascii="宋体" w:hAnsi="宋体" w:eastAsia="宋体" w:cs="宋体"/>
              <w:spacing w:val="-2"/>
              <w:sz w:val="24"/>
              <w:szCs w:val="24"/>
            </w:rPr>
            <w:t>土壤环境影响识别</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6DD6A0D">
          <w:pPr>
            <w:tabs>
              <w:tab w:val="right" w:leader="dot" w:pos="8314"/>
            </w:tabs>
            <w:spacing w:before="225" w:line="185" w:lineRule="auto"/>
            <w:ind w:left="1466"/>
            <w:rPr>
              <w:rFonts w:ascii="Times New Roman" w:hAnsi="Times New Roman" w:eastAsia="Times New Roman" w:cs="Times New Roman"/>
              <w:sz w:val="24"/>
              <w:szCs w:val="24"/>
            </w:rPr>
          </w:pPr>
          <w:r>
            <w:fldChar w:fldCharType="begin"/>
          </w:r>
          <w:r>
            <w:instrText xml:space="preserve"> HYPERLINK \l "bookmark141" </w:instrText>
          </w:r>
          <w:r>
            <w:fldChar w:fldCharType="separate"/>
          </w:r>
          <w:r>
            <w:rPr>
              <w:rFonts w:ascii="Times New Roman" w:hAnsi="Times New Roman" w:eastAsia="Times New Roman" w:cs="Times New Roman"/>
              <w:spacing w:val="-2"/>
              <w:sz w:val="24"/>
              <w:szCs w:val="24"/>
            </w:rPr>
            <w:t xml:space="preserve">8.8.3 </w:t>
          </w:r>
          <w:r>
            <w:rPr>
              <w:rFonts w:ascii="宋体" w:hAnsi="宋体" w:eastAsia="宋体" w:cs="宋体"/>
              <w:spacing w:val="-2"/>
              <w:sz w:val="24"/>
              <w:szCs w:val="24"/>
            </w:rPr>
            <w:t>土壤预测评价范围</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CC26A4D">
          <w:pPr>
            <w:tabs>
              <w:tab w:val="right" w:leader="dot" w:pos="8314"/>
            </w:tabs>
            <w:spacing w:before="227" w:line="185" w:lineRule="auto"/>
            <w:ind w:left="1466"/>
            <w:rPr>
              <w:rFonts w:ascii="Times New Roman" w:hAnsi="Times New Roman" w:eastAsia="Times New Roman" w:cs="Times New Roman"/>
              <w:sz w:val="24"/>
              <w:szCs w:val="24"/>
            </w:rPr>
          </w:pPr>
          <w:r>
            <w:fldChar w:fldCharType="begin"/>
          </w:r>
          <w:r>
            <w:instrText xml:space="preserve"> HYPERLINK \l "bookmark142" </w:instrText>
          </w:r>
          <w:r>
            <w:fldChar w:fldCharType="separate"/>
          </w:r>
          <w:r>
            <w:rPr>
              <w:rFonts w:ascii="Times New Roman" w:hAnsi="Times New Roman" w:eastAsia="Times New Roman" w:cs="Times New Roman"/>
              <w:spacing w:val="-1"/>
              <w:sz w:val="24"/>
              <w:szCs w:val="24"/>
            </w:rPr>
            <w:t xml:space="preserve">8.8.4 </w:t>
          </w:r>
          <w:r>
            <w:rPr>
              <w:rFonts w:ascii="宋体" w:hAnsi="宋体" w:eastAsia="宋体" w:cs="宋体"/>
              <w:spacing w:val="-1"/>
              <w:sz w:val="24"/>
              <w:szCs w:val="24"/>
            </w:rPr>
            <w:t>大气沉降壤环境影响预测与评价</w:t>
          </w:r>
          <w:r>
            <w:rPr>
              <w:rFonts w:ascii="宋体" w:hAnsi="宋体" w:eastAsia="宋体" w:cs="宋体"/>
              <w:sz w:val="24"/>
              <w:szCs w:val="24"/>
            </w:rPr>
            <w:tab/>
          </w:r>
          <w:r>
            <w:rPr>
              <w:rFonts w:ascii="Times New Roman" w:hAnsi="Times New Roman" w:eastAsia="Times New Roman" w:cs="Times New Roman"/>
              <w:spacing w:val="2"/>
              <w:sz w:val="24"/>
              <w:szCs w:val="24"/>
            </w:rPr>
            <w:t>- 217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98828B2">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"bookmark143" </w:instrText>
          </w:r>
          <w:r>
            <w:fldChar w:fldCharType="separate"/>
          </w:r>
          <w:r>
            <w:rPr>
              <w:rFonts w:ascii="Times New Roman" w:hAnsi="Times New Roman" w:eastAsia="Times New Roman" w:cs="Times New Roman"/>
              <w:spacing w:val="-1"/>
              <w:sz w:val="24"/>
              <w:szCs w:val="24"/>
            </w:rPr>
            <w:t xml:space="preserve">8.8.5 </w:t>
          </w:r>
          <w:r>
            <w:rPr>
              <w:rFonts w:ascii="宋体" w:hAnsi="宋体" w:eastAsia="宋体" w:cs="宋体"/>
              <w:spacing w:val="-1"/>
              <w:sz w:val="24"/>
              <w:szCs w:val="24"/>
            </w:rPr>
            <w:t>垂直入渗土壤环境影响预测与评价</w:t>
          </w:r>
          <w:r>
            <w:rPr>
              <w:rFonts w:ascii="宋体" w:hAnsi="宋体" w:eastAsia="宋体" w:cs="宋体"/>
              <w:sz w:val="24"/>
              <w:szCs w:val="24"/>
            </w:rPr>
            <w:tab/>
          </w:r>
          <w:r>
            <w:rPr>
              <w:rFonts w:ascii="Times New Roman" w:hAnsi="Times New Roman" w:eastAsia="Times New Roman" w:cs="Times New Roman"/>
              <w:spacing w:val="2"/>
              <w:sz w:val="24"/>
              <w:szCs w:val="24"/>
            </w:rPr>
            <w:t>- 221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AE70B9E">
          <w:pPr>
            <w:tabs>
              <w:tab w:val="right" w:leader="dot" w:pos="8314"/>
            </w:tabs>
            <w:spacing w:before="225" w:line="184" w:lineRule="auto"/>
            <w:ind w:left="1466"/>
            <w:rPr>
              <w:rFonts w:ascii="Times New Roman" w:hAnsi="Times New Roman" w:eastAsia="Times New Roman" w:cs="Times New Roman"/>
              <w:sz w:val="24"/>
              <w:szCs w:val="24"/>
            </w:rPr>
          </w:pPr>
          <w:r>
            <w:fldChar w:fldCharType="begin"/>
          </w:r>
          <w:r>
            <w:instrText xml:space="preserve"> HYPERLINK \l "bookmark144" </w:instrText>
          </w:r>
          <w:r>
            <w:fldChar w:fldCharType="separate"/>
          </w:r>
          <w:r>
            <w:rPr>
              <w:rFonts w:ascii="Times New Roman" w:hAnsi="Times New Roman" w:eastAsia="Times New Roman" w:cs="Times New Roman"/>
              <w:spacing w:val="-1"/>
              <w:sz w:val="24"/>
              <w:szCs w:val="24"/>
            </w:rPr>
            <w:t xml:space="preserve">8.8.6 </w:t>
          </w:r>
          <w:r>
            <w:rPr>
              <w:rFonts w:ascii="宋体" w:hAnsi="宋体" w:eastAsia="宋体" w:cs="宋体"/>
              <w:spacing w:val="-1"/>
              <w:sz w:val="24"/>
              <w:szCs w:val="24"/>
            </w:rPr>
            <w:t>土壤环境保护措施与对策</w:t>
          </w:r>
          <w:r>
            <w:rPr>
              <w:rFonts w:ascii="宋体" w:hAnsi="宋体" w:eastAsia="宋体" w:cs="宋体"/>
              <w:sz w:val="24"/>
              <w:szCs w:val="24"/>
            </w:rPr>
            <w:tab/>
          </w:r>
          <w:r>
            <w:rPr>
              <w:rFonts w:ascii="Times New Roman" w:hAnsi="Times New Roman" w:eastAsia="Times New Roman" w:cs="Times New Roman"/>
              <w:spacing w:val="2"/>
              <w:sz w:val="24"/>
              <w:szCs w:val="24"/>
            </w:rPr>
            <w:t>- 227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53A3B62">
          <w:pPr>
            <w:tabs>
              <w:tab w:val="right" w:leader="dot" w:pos="8314"/>
            </w:tabs>
            <w:spacing w:before="226" w:line="185" w:lineRule="auto"/>
            <w:ind w:left="1466"/>
            <w:rPr>
              <w:rFonts w:ascii="Times New Roman" w:hAnsi="Times New Roman" w:eastAsia="Times New Roman" w:cs="Times New Roman"/>
              <w:sz w:val="24"/>
              <w:szCs w:val="24"/>
            </w:rPr>
          </w:pPr>
          <w:r>
            <w:fldChar w:fldCharType="begin"/>
          </w:r>
          <w:r>
            <w:instrText xml:space="preserve"> HYPERLINK \l "bookmark145" </w:instrText>
          </w:r>
          <w:r>
            <w:fldChar w:fldCharType="separate"/>
          </w:r>
          <w:r>
            <w:rPr>
              <w:rFonts w:ascii="Times New Roman" w:hAnsi="Times New Roman" w:eastAsia="Times New Roman" w:cs="Times New Roman"/>
              <w:spacing w:val="-2"/>
              <w:sz w:val="24"/>
              <w:szCs w:val="24"/>
            </w:rPr>
            <w:t xml:space="preserve">8.8.7 </w:t>
          </w:r>
          <w:r>
            <w:rPr>
              <w:rFonts w:ascii="宋体" w:hAnsi="宋体" w:eastAsia="宋体" w:cs="宋体"/>
              <w:spacing w:val="-2"/>
              <w:sz w:val="24"/>
              <w:szCs w:val="24"/>
            </w:rPr>
            <w:t>跟踪监测</w:t>
          </w:r>
          <w:r>
            <w:rPr>
              <w:rFonts w:ascii="宋体" w:hAnsi="宋体" w:eastAsia="宋体" w:cs="宋体"/>
              <w:sz w:val="24"/>
              <w:szCs w:val="24"/>
            </w:rPr>
            <w:tab/>
          </w:r>
          <w:r>
            <w:rPr>
              <w:rFonts w:ascii="Times New Roman" w:hAnsi="Times New Roman" w:eastAsia="Times New Roman" w:cs="Times New Roman"/>
              <w:spacing w:val="2"/>
              <w:sz w:val="24"/>
              <w:szCs w:val="24"/>
            </w:rPr>
            <w:t>- 228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2FDA1CF">
          <w:pPr>
            <w:tabs>
              <w:tab w:val="right" w:leader="dot" w:pos="8314"/>
            </w:tabs>
            <w:spacing w:before="228" w:line="185" w:lineRule="auto"/>
            <w:ind w:left="1466"/>
            <w:rPr>
              <w:rFonts w:ascii="Times New Roman" w:hAnsi="Times New Roman" w:eastAsia="Times New Roman" w:cs="Times New Roman"/>
              <w:sz w:val="24"/>
              <w:szCs w:val="24"/>
            </w:rPr>
          </w:pPr>
          <w:r>
            <w:fldChar w:fldCharType="begin"/>
          </w:r>
          <w:r>
            <w:instrText xml:space="preserve"> HYPERLINK \l "bookmark146" </w:instrText>
          </w:r>
          <w:r>
            <w:fldChar w:fldCharType="separate"/>
          </w:r>
          <w:r>
            <w:rPr>
              <w:rFonts w:ascii="Times New Roman" w:hAnsi="Times New Roman" w:eastAsia="Times New Roman" w:cs="Times New Roman"/>
              <w:spacing w:val="-1"/>
              <w:sz w:val="24"/>
              <w:szCs w:val="24"/>
            </w:rPr>
            <w:t xml:space="preserve">8.8.8 </w:t>
          </w:r>
          <w:r>
            <w:rPr>
              <w:rFonts w:ascii="宋体" w:hAnsi="宋体" w:eastAsia="宋体" w:cs="宋体"/>
              <w:spacing w:val="-1"/>
              <w:sz w:val="24"/>
              <w:szCs w:val="24"/>
            </w:rPr>
            <w:t>土壤环境影响预测评价结论</w:t>
          </w:r>
          <w:r>
            <w:rPr>
              <w:rFonts w:ascii="宋体" w:hAnsi="宋体" w:eastAsia="宋体" w:cs="宋体"/>
              <w:sz w:val="24"/>
              <w:szCs w:val="24"/>
            </w:rPr>
            <w:tab/>
          </w:r>
          <w:r>
            <w:rPr>
              <w:rFonts w:ascii="Times New Roman" w:hAnsi="Times New Roman" w:eastAsia="Times New Roman" w:cs="Times New Roman"/>
              <w:spacing w:val="2"/>
              <w:sz w:val="24"/>
              <w:szCs w:val="24"/>
            </w:rPr>
            <w:t>- 229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FE4851D">
          <w:pPr>
            <w:tabs>
              <w:tab w:val="right" w:leader="dot" w:pos="8314"/>
            </w:tabs>
            <w:spacing w:before="225" w:line="185" w:lineRule="auto"/>
            <w:ind w:left="501"/>
            <w:rPr>
              <w:rFonts w:ascii="Times New Roman" w:hAnsi="Times New Roman" w:eastAsia="Times New Roman" w:cs="Times New Roman"/>
              <w:sz w:val="24"/>
              <w:szCs w:val="24"/>
            </w:rPr>
          </w:pPr>
          <w:r>
            <w:fldChar w:fldCharType="begin"/>
          </w:r>
          <w:r>
            <w:instrText xml:space="preserve"> HYPERLINK \l "bookmark147" </w:instrText>
          </w:r>
          <w:r>
            <w:fldChar w:fldCharType="separate"/>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污染防治对策及可行性分析</w:t>
          </w:r>
          <w:r>
            <w:rPr>
              <w:rFonts w:ascii="宋体" w:hAnsi="宋体" w:eastAsia="宋体" w:cs="宋体"/>
              <w:sz w:val="24"/>
              <w:szCs w:val="24"/>
            </w:rPr>
            <w:tab/>
          </w:r>
          <w:r>
            <w:rPr>
              <w:rFonts w:ascii="Times New Roman" w:hAnsi="Times New Roman" w:eastAsia="Times New Roman" w:cs="Times New Roman"/>
              <w:spacing w:val="2"/>
              <w:sz w:val="24"/>
              <w:szCs w:val="24"/>
            </w:rPr>
            <w:t>- 232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0EBD4D5">
          <w:pPr>
            <w:tabs>
              <w:tab w:val="right" w:leader="dot" w:pos="8314"/>
            </w:tabs>
            <w:spacing w:before="227" w:line="185" w:lineRule="auto"/>
            <w:ind w:left="981"/>
            <w:rPr>
              <w:rFonts w:ascii="Times New Roman" w:hAnsi="Times New Roman" w:eastAsia="Times New Roman" w:cs="Times New Roman"/>
              <w:sz w:val="24"/>
              <w:szCs w:val="24"/>
            </w:rPr>
          </w:pPr>
          <w:r>
            <w:fldChar w:fldCharType="begin"/>
          </w:r>
          <w:r>
            <w:instrText xml:space="preserve"> HYPERLINK \l "bookmark148" </w:instrText>
          </w:r>
          <w:r>
            <w:fldChar w:fldCharType="separate"/>
          </w:r>
          <w:r>
            <w:rPr>
              <w:rFonts w:ascii="Times New Roman" w:hAnsi="Times New Roman" w:eastAsia="Times New Roman" w:cs="Times New Roman"/>
              <w:spacing w:val="-1"/>
              <w:sz w:val="24"/>
              <w:szCs w:val="24"/>
            </w:rPr>
            <w:t xml:space="preserve">9.1 </w:t>
          </w:r>
          <w:r>
            <w:rPr>
              <w:rFonts w:ascii="宋体" w:hAnsi="宋体" w:eastAsia="宋体" w:cs="宋体"/>
              <w:spacing w:val="-1"/>
              <w:sz w:val="24"/>
              <w:szCs w:val="24"/>
            </w:rPr>
            <w:t>大气污染防治措施</w:t>
          </w:r>
          <w:r>
            <w:rPr>
              <w:rFonts w:ascii="宋体" w:hAnsi="宋体" w:eastAsia="宋体" w:cs="宋体"/>
              <w:sz w:val="24"/>
              <w:szCs w:val="24"/>
            </w:rPr>
            <w:tab/>
          </w:r>
          <w:r>
            <w:rPr>
              <w:rFonts w:ascii="Times New Roman" w:hAnsi="Times New Roman" w:eastAsia="Times New Roman" w:cs="Times New Roman"/>
              <w:spacing w:val="2"/>
              <w:sz w:val="24"/>
              <w:szCs w:val="24"/>
            </w:rPr>
            <w:t>- 232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81503BC">
          <w:pPr>
            <w:tabs>
              <w:tab w:val="right" w:leader="dot" w:pos="8314"/>
            </w:tabs>
            <w:spacing w:before="228" w:line="219" w:lineRule="auto"/>
            <w:ind w:left="981"/>
            <w:rPr>
              <w:rFonts w:ascii="Times New Roman" w:hAnsi="Times New Roman" w:eastAsia="Times New Roman" w:cs="Times New Roman"/>
              <w:sz w:val="24"/>
              <w:szCs w:val="24"/>
            </w:rPr>
          </w:pPr>
          <w:r>
            <w:fldChar w:fldCharType="begin"/>
          </w:r>
          <w:r>
            <w:instrText xml:space="preserve"> HYPERLINK \l "bookmark149" </w:instrText>
          </w:r>
          <w:r>
            <w:fldChar w:fldCharType="separate"/>
          </w:r>
          <w:r>
            <w:rPr>
              <w:rFonts w:ascii="Times New Roman" w:hAnsi="Times New Roman" w:eastAsia="Times New Roman" w:cs="Times New Roman"/>
              <w:spacing w:val="-1"/>
              <w:sz w:val="24"/>
              <w:szCs w:val="24"/>
            </w:rPr>
            <w:t xml:space="preserve">9.2 </w:t>
          </w:r>
          <w:r>
            <w:rPr>
              <w:rFonts w:ascii="宋体" w:hAnsi="宋体" w:eastAsia="宋体" w:cs="宋体"/>
              <w:spacing w:val="-1"/>
              <w:sz w:val="24"/>
              <w:szCs w:val="24"/>
            </w:rPr>
            <w:t>废水污染防治措施</w:t>
          </w:r>
          <w:r>
            <w:rPr>
              <w:rFonts w:ascii="宋体" w:hAnsi="宋体" w:eastAsia="宋体" w:cs="宋体"/>
              <w:sz w:val="24"/>
              <w:szCs w:val="24"/>
            </w:rPr>
            <w:tab/>
          </w:r>
          <w:r>
            <w:rPr>
              <w:rFonts w:ascii="Times New Roman" w:hAnsi="Times New Roman" w:eastAsia="Times New Roman" w:cs="Times New Roman"/>
              <w:spacing w:val="2"/>
              <w:sz w:val="24"/>
              <w:szCs w:val="24"/>
            </w:rPr>
            <w:t>- 233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sdtContent>
    </w:sdt>
    <w:p w14:paraId="656E5641">
      <w:pPr>
        <w:spacing w:line="219"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71A53C6B">
      <w:pPr>
        <w:pStyle w:val="2"/>
        <w:spacing w:line="247" w:lineRule="auto"/>
      </w:pPr>
    </w:p>
    <w:p w14:paraId="6F3BBD85">
      <w:pPr>
        <w:pStyle w:val="2"/>
        <w:spacing w:line="248" w:lineRule="auto"/>
      </w:pPr>
    </w:p>
    <w:p w14:paraId="0FE4DC20">
      <w:pPr>
        <w:pStyle w:val="2"/>
        <w:spacing w:line="248" w:lineRule="auto"/>
      </w:pPr>
    </w:p>
    <w:p w14:paraId="1561F7DB">
      <w:pPr>
        <w:pStyle w:val="2"/>
        <w:spacing w:line="248" w:lineRule="auto"/>
      </w:pPr>
    </w:p>
    <w:sdt>
      <w:sdtPr>
        <w:rPr>
          <w:rFonts w:ascii="Times New Roman" w:hAnsi="Times New Roman" w:eastAsia="Times New Roman" w:cs="Times New Roman"/>
          <w:sz w:val="24"/>
          <w:szCs w:val="24"/>
        </w:rPr>
        <w:id w:val="147473586"/>
        <w:docPartObj>
          <w:docPartGallery w:val="Table of Contents"/>
          <w:docPartUnique/>
        </w:docPartObj>
      </w:sdtPr>
      <w:sdtEndPr>
        <w:rPr>
          <w:rFonts w:ascii="Times New Roman" w:hAnsi="Times New Roman" w:eastAsia="Times New Roman" w:cs="Times New Roman"/>
          <w:sz w:val="24"/>
          <w:szCs w:val="24"/>
        </w:rPr>
      </w:sdtEndPr>
      <w:sdtContent>
        <w:p w14:paraId="120C5906">
          <w:pPr>
            <w:tabs>
              <w:tab w:val="right" w:leader="dot" w:pos="8314"/>
            </w:tabs>
            <w:spacing w:before="78" w:line="184" w:lineRule="auto"/>
            <w:ind w:left="981"/>
            <w:rPr>
              <w:rFonts w:ascii="Times New Roman" w:hAnsi="Times New Roman" w:eastAsia="Times New Roman" w:cs="Times New Roman"/>
              <w:sz w:val="24"/>
              <w:szCs w:val="24"/>
            </w:rPr>
          </w:pPr>
          <w:r>
            <w:fldChar w:fldCharType="begin"/>
          </w:r>
          <w:r>
            <w:instrText xml:space="preserve"> HYPERLINK \l "bookmark150" </w:instrText>
          </w:r>
          <w:r>
            <w:fldChar w:fldCharType="separate"/>
          </w:r>
          <w:r>
            <w:rPr>
              <w:rFonts w:ascii="Times New Roman" w:hAnsi="Times New Roman" w:eastAsia="Times New Roman" w:cs="Times New Roman"/>
              <w:spacing w:val="-1"/>
              <w:sz w:val="24"/>
              <w:szCs w:val="24"/>
            </w:rPr>
            <w:t xml:space="preserve">9.3 </w:t>
          </w:r>
          <w:r>
            <w:rPr>
              <w:rFonts w:ascii="宋体" w:hAnsi="宋体" w:eastAsia="宋体" w:cs="宋体"/>
              <w:spacing w:val="-1"/>
              <w:sz w:val="24"/>
              <w:szCs w:val="24"/>
            </w:rPr>
            <w:t>地下水污染防治</w:t>
          </w:r>
          <w:r>
            <w:rPr>
              <w:rFonts w:ascii="宋体" w:hAnsi="宋体" w:eastAsia="宋体" w:cs="宋体"/>
              <w:sz w:val="24"/>
              <w:szCs w:val="24"/>
            </w:rPr>
            <w:tab/>
          </w:r>
          <w:r>
            <w:rPr>
              <w:rFonts w:ascii="Times New Roman" w:hAnsi="Times New Roman" w:eastAsia="Times New Roman" w:cs="Times New Roman"/>
              <w:spacing w:val="2"/>
              <w:sz w:val="24"/>
              <w:szCs w:val="24"/>
            </w:rPr>
            <w:t>- 234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DCDF071">
          <w:pPr>
            <w:tabs>
              <w:tab w:val="right" w:leader="dot" w:pos="8314"/>
            </w:tabs>
            <w:spacing w:before="228" w:line="185" w:lineRule="auto"/>
            <w:ind w:left="981"/>
            <w:rPr>
              <w:rFonts w:ascii="Times New Roman" w:hAnsi="Times New Roman" w:eastAsia="Times New Roman" w:cs="Times New Roman"/>
              <w:sz w:val="24"/>
              <w:szCs w:val="24"/>
            </w:rPr>
          </w:pPr>
          <w:r>
            <w:fldChar w:fldCharType="begin"/>
          </w:r>
          <w:r>
            <w:instrText xml:space="preserve"> HYPERLINK \l "bookmark151" </w:instrText>
          </w:r>
          <w:r>
            <w:fldChar w:fldCharType="separate"/>
          </w:r>
          <w:r>
            <w:rPr>
              <w:rFonts w:ascii="Times New Roman" w:hAnsi="Times New Roman" w:eastAsia="Times New Roman" w:cs="Times New Roman"/>
              <w:spacing w:val="-4"/>
              <w:sz w:val="24"/>
              <w:szCs w:val="24"/>
            </w:rPr>
            <w:t>9.3</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噪声污染控制</w:t>
          </w:r>
          <w:r>
            <w:rPr>
              <w:rFonts w:ascii="宋体" w:hAnsi="宋体" w:eastAsia="宋体" w:cs="宋体"/>
              <w:sz w:val="24"/>
              <w:szCs w:val="24"/>
            </w:rPr>
            <w:tab/>
          </w:r>
          <w:r>
            <w:rPr>
              <w:rFonts w:ascii="Times New Roman" w:hAnsi="Times New Roman" w:eastAsia="Times New Roman" w:cs="Times New Roman"/>
              <w:spacing w:val="2"/>
              <w:sz w:val="24"/>
              <w:szCs w:val="24"/>
            </w:rPr>
            <w:t>- 235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9D24E4A">
          <w:pPr>
            <w:tabs>
              <w:tab w:val="right" w:leader="dot" w:pos="8314"/>
            </w:tabs>
            <w:spacing w:before="225" w:line="185" w:lineRule="auto"/>
            <w:ind w:left="981"/>
            <w:rPr>
              <w:rFonts w:ascii="Times New Roman" w:hAnsi="Times New Roman" w:eastAsia="Times New Roman" w:cs="Times New Roman"/>
              <w:sz w:val="24"/>
              <w:szCs w:val="24"/>
            </w:rPr>
          </w:pPr>
          <w:r>
            <w:fldChar w:fldCharType="begin"/>
          </w:r>
          <w:r>
            <w:instrText xml:space="preserve"> HYPERLINK \l "bookmark152" </w:instrText>
          </w:r>
          <w:r>
            <w:fldChar w:fldCharType="separate"/>
          </w:r>
          <w:r>
            <w:rPr>
              <w:rFonts w:ascii="Times New Roman" w:hAnsi="Times New Roman" w:eastAsia="Times New Roman" w:cs="Times New Roman"/>
              <w:spacing w:val="-4"/>
              <w:sz w:val="24"/>
              <w:szCs w:val="24"/>
            </w:rPr>
            <w:t>9.4</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固体废物处置对策</w:t>
          </w:r>
          <w:r>
            <w:rPr>
              <w:rFonts w:ascii="宋体" w:hAnsi="宋体" w:eastAsia="宋体" w:cs="宋体"/>
              <w:sz w:val="24"/>
              <w:szCs w:val="24"/>
            </w:rPr>
            <w:tab/>
          </w:r>
          <w:r>
            <w:rPr>
              <w:rFonts w:ascii="Times New Roman" w:hAnsi="Times New Roman" w:eastAsia="Times New Roman" w:cs="Times New Roman"/>
              <w:spacing w:val="2"/>
              <w:sz w:val="24"/>
              <w:szCs w:val="24"/>
            </w:rPr>
            <w:t>- 236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BFFC314">
          <w:pPr>
            <w:tabs>
              <w:tab w:val="right" w:leader="dot" w:pos="8314"/>
            </w:tabs>
            <w:spacing w:before="227" w:line="185" w:lineRule="auto"/>
            <w:ind w:left="981"/>
            <w:rPr>
              <w:rFonts w:ascii="Times New Roman" w:hAnsi="Times New Roman" w:eastAsia="Times New Roman" w:cs="Times New Roman"/>
              <w:sz w:val="24"/>
              <w:szCs w:val="24"/>
            </w:rPr>
          </w:pPr>
          <w:r>
            <w:fldChar w:fldCharType="begin"/>
          </w:r>
          <w:r>
            <w:instrText xml:space="preserve"> HYPERLINK \l "bookmark153" </w:instrText>
          </w:r>
          <w:r>
            <w:fldChar w:fldCharType="separate"/>
          </w:r>
          <w:r>
            <w:rPr>
              <w:rFonts w:ascii="Times New Roman" w:hAnsi="Times New Roman" w:eastAsia="Times New Roman" w:cs="Times New Roman"/>
              <w:spacing w:val="-1"/>
              <w:sz w:val="24"/>
              <w:szCs w:val="24"/>
            </w:rPr>
            <w:t xml:space="preserve">9.5 </w:t>
          </w:r>
          <w:r>
            <w:rPr>
              <w:rFonts w:ascii="宋体" w:hAnsi="宋体" w:eastAsia="宋体" w:cs="宋体"/>
              <w:spacing w:val="-1"/>
              <w:sz w:val="24"/>
              <w:szCs w:val="24"/>
            </w:rPr>
            <w:t>依托工程可行性分析</w:t>
          </w:r>
          <w:r>
            <w:rPr>
              <w:rFonts w:ascii="宋体" w:hAnsi="宋体" w:eastAsia="宋体" w:cs="宋体"/>
              <w:sz w:val="24"/>
              <w:szCs w:val="24"/>
            </w:rPr>
            <w:tab/>
          </w:r>
          <w:r>
            <w:rPr>
              <w:rFonts w:ascii="Times New Roman" w:hAnsi="Times New Roman" w:eastAsia="Times New Roman" w:cs="Times New Roman"/>
              <w:spacing w:val="2"/>
              <w:sz w:val="24"/>
              <w:szCs w:val="24"/>
            </w:rPr>
            <w:t>- 237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1E8DD06">
          <w:pPr>
            <w:tabs>
              <w:tab w:val="right" w:leader="dot" w:pos="8314"/>
            </w:tabs>
            <w:spacing w:before="225" w:line="185" w:lineRule="auto"/>
            <w:ind w:left="519"/>
            <w:rPr>
              <w:rFonts w:ascii="Times New Roman" w:hAnsi="Times New Roman" w:eastAsia="Times New Roman" w:cs="Times New Roman"/>
              <w:sz w:val="24"/>
              <w:szCs w:val="24"/>
            </w:rPr>
          </w:pPr>
          <w:r>
            <w:fldChar w:fldCharType="begin"/>
          </w:r>
          <w:r>
            <w:instrText xml:space="preserve"> HYPERLINK \l "bookmark154" </w:instrText>
          </w:r>
          <w:r>
            <w:fldChar w:fldCharType="separate"/>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产业政策符合性分析</w:t>
          </w:r>
          <w:r>
            <w:rPr>
              <w:rFonts w:ascii="宋体" w:hAnsi="宋体" w:eastAsia="宋体" w:cs="宋体"/>
              <w:sz w:val="24"/>
              <w:szCs w:val="24"/>
            </w:rPr>
            <w:tab/>
          </w:r>
          <w:r>
            <w:rPr>
              <w:rFonts w:ascii="Times New Roman" w:hAnsi="Times New Roman" w:eastAsia="Times New Roman" w:cs="Times New Roman"/>
              <w:spacing w:val="2"/>
              <w:sz w:val="24"/>
              <w:szCs w:val="24"/>
            </w:rPr>
            <w:t>- 239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00EA898">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"bookmark155" </w:instrText>
          </w:r>
          <w:r>
            <w:fldChar w:fldCharType="separate"/>
          </w:r>
          <w:r>
            <w:rPr>
              <w:rFonts w:ascii="Times New Roman" w:hAnsi="Times New Roman" w:eastAsia="Times New Roman" w:cs="Times New Roman"/>
              <w:spacing w:val="-3"/>
              <w:sz w:val="24"/>
              <w:szCs w:val="24"/>
            </w:rPr>
            <w:t xml:space="preserve">10.1 </w:t>
          </w:r>
          <w:r>
            <w:rPr>
              <w:rFonts w:ascii="宋体" w:hAnsi="宋体" w:eastAsia="宋体" w:cs="宋体"/>
              <w:spacing w:val="-3"/>
              <w:sz w:val="24"/>
              <w:szCs w:val="24"/>
            </w:rPr>
            <w:t>产业政策符合性分析</w:t>
          </w:r>
          <w:r>
            <w:rPr>
              <w:rFonts w:ascii="宋体" w:hAnsi="宋体" w:eastAsia="宋体" w:cs="宋体"/>
              <w:sz w:val="24"/>
              <w:szCs w:val="24"/>
            </w:rPr>
            <w:tab/>
          </w:r>
          <w:r>
            <w:rPr>
              <w:rFonts w:ascii="Times New Roman" w:hAnsi="Times New Roman" w:eastAsia="Times New Roman" w:cs="Times New Roman"/>
              <w:spacing w:val="2"/>
              <w:sz w:val="24"/>
              <w:szCs w:val="24"/>
            </w:rPr>
            <w:t>- 239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21993E7">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"bookmark156" </w:instrText>
          </w:r>
          <w:r>
            <w:fldChar w:fldCharType="separate"/>
          </w:r>
          <w:r>
            <w:rPr>
              <w:rFonts w:ascii="Times New Roman" w:hAnsi="Times New Roman" w:eastAsia="Times New Roman" w:cs="Times New Roman"/>
              <w:spacing w:val="-2"/>
              <w:sz w:val="24"/>
              <w:szCs w:val="24"/>
            </w:rPr>
            <w:t xml:space="preserve">10.2 </w:t>
          </w:r>
          <w:r>
            <w:rPr>
              <w:rFonts w:ascii="宋体" w:hAnsi="宋体" w:eastAsia="宋体" w:cs="宋体"/>
              <w:spacing w:val="-2"/>
              <w:sz w:val="24"/>
              <w:szCs w:val="24"/>
            </w:rPr>
            <w:t>与《铅锌行业规范条件》的符合性分析</w:t>
          </w:r>
          <w:r>
            <w:rPr>
              <w:rFonts w:ascii="宋体" w:hAnsi="宋体" w:eastAsia="宋体" w:cs="宋体"/>
              <w:sz w:val="24"/>
              <w:szCs w:val="24"/>
            </w:rPr>
            <w:tab/>
          </w:r>
          <w:r>
            <w:rPr>
              <w:rFonts w:ascii="Times New Roman" w:hAnsi="Times New Roman" w:eastAsia="Times New Roman" w:cs="Times New Roman"/>
              <w:spacing w:val="2"/>
              <w:sz w:val="24"/>
              <w:szCs w:val="24"/>
            </w:rPr>
            <w:t>- 239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96A4A6A">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"bookmark157" </w:instrText>
          </w:r>
          <w:r>
            <w:fldChar w:fldCharType="separate"/>
          </w:r>
          <w:r>
            <w:rPr>
              <w:rFonts w:ascii="Times New Roman" w:hAnsi="Times New Roman" w:eastAsia="Times New Roman" w:cs="Times New Roman"/>
              <w:spacing w:val="-2"/>
              <w:sz w:val="24"/>
              <w:szCs w:val="24"/>
            </w:rPr>
            <w:t xml:space="preserve">10.3 </w:t>
          </w:r>
          <w:r>
            <w:rPr>
              <w:rFonts w:ascii="宋体" w:hAnsi="宋体" w:eastAsia="宋体" w:cs="宋体"/>
              <w:spacing w:val="-2"/>
              <w:sz w:val="24"/>
              <w:szCs w:val="24"/>
            </w:rPr>
            <w:t>与《全国生态功能区划》符合性分析</w:t>
          </w:r>
          <w:r>
            <w:rPr>
              <w:rFonts w:ascii="宋体" w:hAnsi="宋体" w:eastAsia="宋体" w:cs="宋体"/>
              <w:sz w:val="24"/>
              <w:szCs w:val="24"/>
            </w:rPr>
            <w:tab/>
          </w:r>
          <w:r>
            <w:rPr>
              <w:rFonts w:ascii="Times New Roman" w:hAnsi="Times New Roman" w:eastAsia="Times New Roman" w:cs="Times New Roman"/>
              <w:spacing w:val="2"/>
              <w:sz w:val="24"/>
              <w:szCs w:val="24"/>
            </w:rPr>
            <w:t>- 239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227976A">
          <w:pPr>
            <w:tabs>
              <w:tab w:val="right" w:leader="dot" w:pos="8314"/>
            </w:tabs>
            <w:spacing w:before="228" w:line="184" w:lineRule="auto"/>
            <w:ind w:left="1479"/>
            <w:rPr>
              <w:rFonts w:ascii="Times New Roman" w:hAnsi="Times New Roman" w:eastAsia="Times New Roman" w:cs="Times New Roman"/>
              <w:sz w:val="24"/>
              <w:szCs w:val="24"/>
            </w:rPr>
          </w:pPr>
          <w:r>
            <w:fldChar w:fldCharType="begin"/>
          </w:r>
          <w:r>
            <w:instrText xml:space="preserve"> HYPERLINK \l "bookmark158" </w:instrText>
          </w:r>
          <w:r>
            <w:fldChar w:fldCharType="separate"/>
          </w:r>
          <w:r>
            <w:rPr>
              <w:rFonts w:ascii="Times New Roman" w:hAnsi="Times New Roman" w:eastAsia="Times New Roman" w:cs="Times New Roman"/>
              <w:spacing w:val="-1"/>
              <w:sz w:val="24"/>
              <w:szCs w:val="24"/>
            </w:rPr>
            <w:t xml:space="preserve">10.4 </w:t>
          </w:r>
          <w:r>
            <w:rPr>
              <w:rFonts w:ascii="宋体" w:hAnsi="宋体" w:eastAsia="宋体" w:cs="宋体"/>
              <w:spacing w:val="-1"/>
              <w:sz w:val="24"/>
              <w:szCs w:val="24"/>
            </w:rPr>
            <w:t>与《内蒙古自治区主体功能区规划》符</w:t>
          </w:r>
          <w:r>
            <w:rPr>
              <w:rFonts w:ascii="宋体" w:hAnsi="宋体" w:eastAsia="宋体" w:cs="宋体"/>
              <w:spacing w:val="-2"/>
              <w:sz w:val="24"/>
              <w:szCs w:val="24"/>
            </w:rPr>
            <w:t>合性分析</w:t>
          </w:r>
          <w:r>
            <w:rPr>
              <w:rFonts w:ascii="宋体" w:hAnsi="宋体" w:eastAsia="宋体" w:cs="宋体"/>
              <w:sz w:val="24"/>
              <w:szCs w:val="24"/>
            </w:rPr>
            <w:tab/>
          </w:r>
          <w:r>
            <w:rPr>
              <w:rFonts w:ascii="Times New Roman" w:hAnsi="Times New Roman" w:eastAsia="Times New Roman" w:cs="Times New Roman"/>
              <w:spacing w:val="2"/>
              <w:sz w:val="24"/>
              <w:szCs w:val="24"/>
            </w:rPr>
            <w:t>- 240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E20761A">
          <w:pPr>
            <w:tabs>
              <w:tab w:val="right" w:leader="dot" w:pos="8314"/>
            </w:tabs>
            <w:spacing w:before="226" w:line="185" w:lineRule="auto"/>
            <w:ind w:left="1479"/>
            <w:rPr>
              <w:rFonts w:ascii="Times New Roman" w:hAnsi="Times New Roman" w:eastAsia="Times New Roman" w:cs="Times New Roman"/>
              <w:sz w:val="24"/>
              <w:szCs w:val="24"/>
            </w:rPr>
          </w:pPr>
          <w:r>
            <w:fldChar w:fldCharType="begin"/>
          </w:r>
          <w:r>
            <w:instrText xml:space="preserve"> HYPERLINK \l "bookmark159" </w:instrText>
          </w:r>
          <w:r>
            <w:fldChar w:fldCharType="separate"/>
          </w:r>
          <w:r>
            <w:rPr>
              <w:rFonts w:ascii="Times New Roman" w:hAnsi="Times New Roman" w:eastAsia="Times New Roman" w:cs="Times New Roman"/>
              <w:spacing w:val="-2"/>
              <w:sz w:val="24"/>
              <w:szCs w:val="24"/>
            </w:rPr>
            <w:t xml:space="preserve">10.5 </w:t>
          </w:r>
          <w:r>
            <w:rPr>
              <w:rFonts w:ascii="宋体" w:hAnsi="宋体" w:eastAsia="宋体" w:cs="宋体"/>
              <w:spacing w:val="-2"/>
              <w:sz w:val="24"/>
              <w:szCs w:val="24"/>
            </w:rPr>
            <w:t>与“三线一单”符合性分析</w:t>
          </w:r>
          <w:r>
            <w:rPr>
              <w:rFonts w:ascii="宋体" w:hAnsi="宋体" w:eastAsia="宋体" w:cs="宋体"/>
              <w:sz w:val="24"/>
              <w:szCs w:val="24"/>
            </w:rPr>
            <w:tab/>
          </w:r>
          <w:r>
            <w:rPr>
              <w:rFonts w:ascii="Times New Roman" w:hAnsi="Times New Roman" w:eastAsia="Times New Roman" w:cs="Times New Roman"/>
              <w:spacing w:val="2"/>
              <w:sz w:val="24"/>
              <w:szCs w:val="24"/>
            </w:rPr>
            <w:t>- 240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1AE9A5E">
          <w:pPr>
            <w:tabs>
              <w:tab w:val="right" w:leader="dot" w:pos="8314"/>
            </w:tabs>
            <w:spacing w:before="225" w:line="185" w:lineRule="auto"/>
            <w:ind w:left="519"/>
            <w:rPr>
              <w:rFonts w:ascii="Times New Roman" w:hAnsi="Times New Roman" w:eastAsia="Times New Roman" w:cs="Times New Roman"/>
              <w:sz w:val="24"/>
              <w:szCs w:val="24"/>
            </w:rPr>
          </w:pPr>
          <w:r>
            <w:fldChar w:fldCharType="begin"/>
          </w:r>
          <w:r>
            <w:instrText xml:space="preserve"> HYPERLINK \l "bookmark160" </w:instrText>
          </w:r>
          <w:r>
            <w:fldChar w:fldCharType="separate"/>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环境经济损益分析</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3"/>
              <w:sz w:val="24"/>
              <w:szCs w:val="24"/>
            </w:rPr>
            <w:t>245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5C1DEF98">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"bookmark161" </w:instrText>
          </w:r>
          <w:r>
            <w:fldChar w:fldCharType="separate"/>
          </w:r>
          <w:r>
            <w:rPr>
              <w:rFonts w:ascii="Times New Roman" w:hAnsi="Times New Roman" w:eastAsia="Times New Roman" w:cs="Times New Roman"/>
              <w:spacing w:val="-4"/>
              <w:sz w:val="24"/>
              <w:szCs w:val="24"/>
            </w:rPr>
            <w:t xml:space="preserve">11.1 </w:t>
          </w:r>
          <w:r>
            <w:rPr>
              <w:rFonts w:ascii="宋体" w:hAnsi="宋体" w:eastAsia="宋体" w:cs="宋体"/>
              <w:spacing w:val="-4"/>
              <w:sz w:val="24"/>
              <w:szCs w:val="24"/>
            </w:rPr>
            <w:t>社会效益分析</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3"/>
              <w:sz w:val="24"/>
              <w:szCs w:val="24"/>
            </w:rPr>
            <w:t>245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04FA299">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"bookmark162" </w:instrText>
          </w:r>
          <w:r>
            <w:fldChar w:fldCharType="separate"/>
          </w:r>
          <w:r>
            <w:rPr>
              <w:rFonts w:ascii="Times New Roman" w:hAnsi="Times New Roman" w:eastAsia="Times New Roman" w:cs="Times New Roman"/>
              <w:spacing w:val="-4"/>
              <w:sz w:val="24"/>
              <w:szCs w:val="24"/>
            </w:rPr>
            <w:t xml:space="preserve">11.2 </w:t>
          </w:r>
          <w:r>
            <w:rPr>
              <w:rFonts w:ascii="宋体" w:hAnsi="宋体" w:eastAsia="宋体" w:cs="宋体"/>
              <w:spacing w:val="-4"/>
              <w:sz w:val="24"/>
              <w:szCs w:val="24"/>
            </w:rPr>
            <w:t>环境效益分析</w:t>
          </w:r>
          <w:r>
            <w:rPr>
              <w:rFonts w:ascii="宋体" w:hAnsi="宋体" w:eastAsia="宋体" w:cs="宋体"/>
              <w:sz w:val="24"/>
              <w:szCs w:val="24"/>
            </w:rPr>
            <w:tab/>
          </w:r>
          <w:r>
            <w:rPr>
              <w:rFonts w:ascii="宋体" w:hAnsi="宋体" w:eastAsia="宋体" w:cs="宋体"/>
              <w:spacing w:val="-86"/>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3"/>
              <w:sz w:val="24"/>
              <w:szCs w:val="24"/>
            </w:rPr>
            <w:t>245</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fldChar w:fldCharType="end"/>
          </w:r>
        </w:p>
        <w:p w14:paraId="69B9E4A6">
          <w:pPr>
            <w:tabs>
              <w:tab w:val="right" w:leader="dot" w:pos="8314"/>
            </w:tabs>
            <w:spacing w:before="225" w:line="185" w:lineRule="auto"/>
            <w:ind w:left="519"/>
            <w:rPr>
              <w:rFonts w:ascii="Times New Roman" w:hAnsi="Times New Roman" w:eastAsia="Times New Roman" w:cs="Times New Roman"/>
              <w:sz w:val="24"/>
              <w:szCs w:val="24"/>
            </w:rPr>
          </w:pPr>
          <w:r>
            <w:fldChar w:fldCharType="begin"/>
          </w:r>
          <w:r>
            <w:instrText xml:space="preserve"> HYPERLINK \l "bookmark163" </w:instrText>
          </w:r>
          <w:r>
            <w:fldChar w:fldCharType="separate"/>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环境管理与监测计划</w:t>
          </w:r>
          <w:r>
            <w:rPr>
              <w:rFonts w:ascii="宋体" w:hAnsi="宋体" w:eastAsia="宋体" w:cs="宋体"/>
              <w:sz w:val="24"/>
              <w:szCs w:val="24"/>
            </w:rPr>
            <w:tab/>
          </w:r>
          <w:r>
            <w:rPr>
              <w:rFonts w:ascii="Times New Roman" w:hAnsi="Times New Roman" w:eastAsia="Times New Roman" w:cs="Times New Roman"/>
              <w:spacing w:val="2"/>
              <w:sz w:val="24"/>
              <w:szCs w:val="24"/>
            </w:rPr>
            <w:t>- 247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4AE0BA0">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"bookmark164" </w:instrText>
          </w:r>
          <w:r>
            <w:fldChar w:fldCharType="separate"/>
          </w:r>
          <w:r>
            <w:rPr>
              <w:rFonts w:ascii="Times New Roman" w:hAnsi="Times New Roman" w:eastAsia="Times New Roman" w:cs="Times New Roman"/>
              <w:spacing w:val="-3"/>
              <w:sz w:val="24"/>
              <w:szCs w:val="24"/>
            </w:rPr>
            <w:t xml:space="preserve">12.1 </w:t>
          </w:r>
          <w:r>
            <w:rPr>
              <w:rFonts w:ascii="宋体" w:hAnsi="宋体" w:eastAsia="宋体" w:cs="宋体"/>
              <w:spacing w:val="-3"/>
              <w:sz w:val="24"/>
              <w:szCs w:val="24"/>
            </w:rPr>
            <w:t>环境管理计划</w:t>
          </w:r>
          <w:r>
            <w:rPr>
              <w:rFonts w:ascii="宋体" w:hAnsi="宋体" w:eastAsia="宋体" w:cs="宋体"/>
              <w:sz w:val="24"/>
              <w:szCs w:val="24"/>
            </w:rPr>
            <w:tab/>
          </w:r>
          <w:r>
            <w:rPr>
              <w:rFonts w:ascii="Times New Roman" w:hAnsi="Times New Roman" w:eastAsia="Times New Roman" w:cs="Times New Roman"/>
              <w:spacing w:val="2"/>
              <w:sz w:val="24"/>
              <w:szCs w:val="24"/>
            </w:rPr>
            <w:t>- 247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CC2DE69">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"bookmark165" </w:instrText>
          </w:r>
          <w:r>
            <w:fldChar w:fldCharType="separate"/>
          </w:r>
          <w:r>
            <w:rPr>
              <w:rFonts w:ascii="Times New Roman" w:hAnsi="Times New Roman" w:eastAsia="Times New Roman" w:cs="Times New Roman"/>
              <w:spacing w:val="-2"/>
              <w:sz w:val="24"/>
              <w:szCs w:val="24"/>
            </w:rPr>
            <w:t xml:space="preserve">12.1.1 </w:t>
          </w:r>
          <w:r>
            <w:rPr>
              <w:rFonts w:ascii="宋体" w:hAnsi="宋体" w:eastAsia="宋体" w:cs="宋体"/>
              <w:spacing w:val="-2"/>
              <w:sz w:val="24"/>
              <w:szCs w:val="24"/>
            </w:rPr>
            <w:t>环境管理机构设置</w:t>
          </w:r>
          <w:r>
            <w:rPr>
              <w:rFonts w:ascii="宋体" w:hAnsi="宋体" w:eastAsia="宋体" w:cs="宋体"/>
              <w:sz w:val="24"/>
              <w:szCs w:val="24"/>
            </w:rPr>
            <w:tab/>
          </w:r>
          <w:r>
            <w:rPr>
              <w:rFonts w:ascii="Times New Roman" w:hAnsi="Times New Roman" w:eastAsia="Times New Roman" w:cs="Times New Roman"/>
              <w:spacing w:val="2"/>
              <w:sz w:val="24"/>
              <w:szCs w:val="24"/>
            </w:rPr>
            <w:t>- 247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30A5C47">
          <w:pPr>
            <w:tabs>
              <w:tab w:val="right" w:leader="dot" w:pos="8314"/>
            </w:tabs>
            <w:spacing w:before="228" w:line="184" w:lineRule="auto"/>
            <w:ind w:left="1479"/>
            <w:rPr>
              <w:rFonts w:ascii="Times New Roman" w:hAnsi="Times New Roman" w:eastAsia="Times New Roman" w:cs="Times New Roman"/>
              <w:sz w:val="24"/>
              <w:szCs w:val="24"/>
            </w:rPr>
          </w:pPr>
          <w:r>
            <w:fldChar w:fldCharType="begin"/>
          </w:r>
          <w:r>
            <w:instrText xml:space="preserve"> HYPERLINK \l "bookmark166" </w:instrText>
          </w:r>
          <w:r>
            <w:fldChar w:fldCharType="separate"/>
          </w:r>
          <w:r>
            <w:rPr>
              <w:rFonts w:ascii="Times New Roman" w:hAnsi="Times New Roman" w:eastAsia="Times New Roman" w:cs="Times New Roman"/>
              <w:spacing w:val="-3"/>
              <w:sz w:val="24"/>
              <w:szCs w:val="24"/>
            </w:rPr>
            <w:t xml:space="preserve">12.1.2 </w:t>
          </w:r>
          <w:r>
            <w:rPr>
              <w:rFonts w:ascii="宋体" w:hAnsi="宋体" w:eastAsia="宋体" w:cs="宋体"/>
              <w:spacing w:val="-3"/>
              <w:sz w:val="24"/>
              <w:szCs w:val="24"/>
            </w:rPr>
            <w:t>环境管理职责</w:t>
          </w:r>
          <w:r>
            <w:rPr>
              <w:rFonts w:ascii="宋体" w:hAnsi="宋体" w:eastAsia="宋体" w:cs="宋体"/>
              <w:sz w:val="24"/>
              <w:szCs w:val="24"/>
            </w:rPr>
            <w:tab/>
          </w:r>
          <w:r>
            <w:rPr>
              <w:rFonts w:ascii="Times New Roman" w:hAnsi="Times New Roman" w:eastAsia="Times New Roman" w:cs="Times New Roman"/>
              <w:spacing w:val="2"/>
              <w:sz w:val="24"/>
              <w:szCs w:val="24"/>
            </w:rPr>
            <w:t>- 247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D52F35C">
          <w:pPr>
            <w:tabs>
              <w:tab w:val="right" w:leader="dot" w:pos="8314"/>
            </w:tabs>
            <w:spacing w:before="226" w:line="185" w:lineRule="auto"/>
            <w:ind w:left="1479"/>
            <w:rPr>
              <w:rFonts w:ascii="Times New Roman" w:hAnsi="Times New Roman" w:eastAsia="Times New Roman" w:cs="Times New Roman"/>
              <w:sz w:val="24"/>
              <w:szCs w:val="24"/>
            </w:rPr>
          </w:pPr>
          <w:r>
            <w:fldChar w:fldCharType="begin"/>
          </w:r>
          <w:r>
            <w:instrText xml:space="preserve"> HYPERLINK \l "bookmark167" </w:instrText>
          </w:r>
          <w:r>
            <w:fldChar w:fldCharType="separate"/>
          </w:r>
          <w:r>
            <w:rPr>
              <w:rFonts w:ascii="Times New Roman" w:hAnsi="Times New Roman" w:eastAsia="Times New Roman" w:cs="Times New Roman"/>
              <w:spacing w:val="-2"/>
              <w:sz w:val="24"/>
              <w:szCs w:val="24"/>
            </w:rPr>
            <w:t xml:space="preserve">12.1.3 </w:t>
          </w:r>
          <w:r>
            <w:rPr>
              <w:rFonts w:ascii="宋体" w:hAnsi="宋体" w:eastAsia="宋体" w:cs="宋体"/>
              <w:spacing w:val="-2"/>
              <w:sz w:val="24"/>
              <w:szCs w:val="24"/>
            </w:rPr>
            <w:t>排污口规范化管理</w:t>
          </w:r>
          <w:r>
            <w:rPr>
              <w:rFonts w:ascii="宋体" w:hAnsi="宋体" w:eastAsia="宋体" w:cs="宋体"/>
              <w:sz w:val="24"/>
              <w:szCs w:val="24"/>
            </w:rPr>
            <w:tab/>
          </w:r>
          <w:r>
            <w:rPr>
              <w:rFonts w:ascii="Times New Roman" w:hAnsi="Times New Roman" w:eastAsia="Times New Roman" w:cs="Times New Roman"/>
              <w:spacing w:val="2"/>
              <w:sz w:val="24"/>
              <w:szCs w:val="24"/>
            </w:rPr>
            <w:t>- 248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8035E05">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"bookmark168" </w:instrText>
          </w:r>
          <w:r>
            <w:fldChar w:fldCharType="separate"/>
          </w:r>
          <w:r>
            <w:rPr>
              <w:rFonts w:ascii="Times New Roman" w:hAnsi="Times New Roman" w:eastAsia="Times New Roman" w:cs="Times New Roman"/>
              <w:spacing w:val="-3"/>
              <w:sz w:val="24"/>
              <w:szCs w:val="24"/>
            </w:rPr>
            <w:t xml:space="preserve">12.2 </w:t>
          </w:r>
          <w:r>
            <w:rPr>
              <w:rFonts w:ascii="宋体" w:hAnsi="宋体" w:eastAsia="宋体" w:cs="宋体"/>
              <w:spacing w:val="-3"/>
              <w:sz w:val="24"/>
              <w:szCs w:val="24"/>
            </w:rPr>
            <w:t>环境监测计划</w:t>
          </w:r>
          <w:r>
            <w:rPr>
              <w:rFonts w:ascii="宋体" w:hAnsi="宋体" w:eastAsia="宋体" w:cs="宋体"/>
              <w:sz w:val="24"/>
              <w:szCs w:val="24"/>
            </w:rPr>
            <w:tab/>
          </w:r>
          <w:r>
            <w:rPr>
              <w:rFonts w:ascii="Times New Roman" w:hAnsi="Times New Roman" w:eastAsia="Times New Roman" w:cs="Times New Roman"/>
              <w:spacing w:val="2"/>
              <w:sz w:val="24"/>
              <w:szCs w:val="24"/>
            </w:rPr>
            <w:t>- 248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71FF0DF">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"bookmark169" </w:instrText>
          </w:r>
          <w:r>
            <w:fldChar w:fldCharType="separate"/>
          </w:r>
          <w:r>
            <w:rPr>
              <w:rFonts w:ascii="Times New Roman" w:hAnsi="Times New Roman" w:eastAsia="Times New Roman" w:cs="Times New Roman"/>
              <w:spacing w:val="-3"/>
              <w:sz w:val="24"/>
              <w:szCs w:val="24"/>
            </w:rPr>
            <w:t xml:space="preserve">12.2.1 </w:t>
          </w:r>
          <w:r>
            <w:rPr>
              <w:rFonts w:ascii="宋体" w:hAnsi="宋体" w:eastAsia="宋体" w:cs="宋体"/>
              <w:spacing w:val="-3"/>
              <w:sz w:val="24"/>
              <w:szCs w:val="24"/>
            </w:rPr>
            <w:t>监测机构设置</w:t>
          </w:r>
          <w:r>
            <w:rPr>
              <w:rFonts w:ascii="宋体" w:hAnsi="宋体" w:eastAsia="宋体" w:cs="宋体"/>
              <w:sz w:val="24"/>
              <w:szCs w:val="24"/>
            </w:rPr>
            <w:tab/>
          </w:r>
          <w:r>
            <w:rPr>
              <w:rFonts w:ascii="Times New Roman" w:hAnsi="Times New Roman" w:eastAsia="Times New Roman" w:cs="Times New Roman"/>
              <w:spacing w:val="2"/>
              <w:sz w:val="24"/>
              <w:szCs w:val="24"/>
            </w:rPr>
            <w:t>- 248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981D289">
          <w:pPr>
            <w:tabs>
              <w:tab w:val="right" w:leader="dot" w:pos="8314"/>
            </w:tabs>
            <w:spacing w:before="228" w:line="185" w:lineRule="auto"/>
            <w:ind w:left="1479"/>
            <w:rPr>
              <w:rFonts w:ascii="Times New Roman" w:hAnsi="Times New Roman" w:eastAsia="Times New Roman" w:cs="Times New Roman"/>
              <w:sz w:val="24"/>
              <w:szCs w:val="24"/>
            </w:rPr>
          </w:pPr>
          <w:r>
            <w:fldChar w:fldCharType="begin"/>
          </w:r>
          <w:r>
            <w:instrText xml:space="preserve"> HYPERLINK \l "bookmark170" </w:instrText>
          </w:r>
          <w:r>
            <w:fldChar w:fldCharType="separate"/>
          </w:r>
          <w:r>
            <w:rPr>
              <w:rFonts w:ascii="Times New Roman" w:hAnsi="Times New Roman" w:eastAsia="Times New Roman" w:cs="Times New Roman"/>
              <w:spacing w:val="-3"/>
              <w:sz w:val="24"/>
              <w:szCs w:val="24"/>
            </w:rPr>
            <w:t xml:space="preserve">12.2.2 </w:t>
          </w:r>
          <w:r>
            <w:rPr>
              <w:rFonts w:ascii="宋体" w:hAnsi="宋体" w:eastAsia="宋体" w:cs="宋体"/>
              <w:spacing w:val="-3"/>
              <w:sz w:val="24"/>
              <w:szCs w:val="24"/>
            </w:rPr>
            <w:t>监测机构的职责</w:t>
          </w:r>
          <w:r>
            <w:rPr>
              <w:rFonts w:ascii="宋体" w:hAnsi="宋体" w:eastAsia="宋体" w:cs="宋体"/>
              <w:sz w:val="24"/>
              <w:szCs w:val="24"/>
            </w:rPr>
            <w:tab/>
          </w:r>
          <w:r>
            <w:rPr>
              <w:rFonts w:ascii="Times New Roman" w:hAnsi="Times New Roman" w:eastAsia="Times New Roman" w:cs="Times New Roman"/>
              <w:spacing w:val="2"/>
              <w:sz w:val="24"/>
              <w:szCs w:val="24"/>
            </w:rPr>
            <w:t>- 249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AF7CEFB">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"bookmark171" </w:instrText>
          </w:r>
          <w:r>
            <w:fldChar w:fldCharType="separate"/>
          </w:r>
          <w:r>
            <w:rPr>
              <w:rFonts w:ascii="Times New Roman" w:hAnsi="Times New Roman" w:eastAsia="Times New Roman" w:cs="Times New Roman"/>
              <w:spacing w:val="-3"/>
              <w:sz w:val="24"/>
              <w:szCs w:val="24"/>
            </w:rPr>
            <w:t xml:space="preserve">12.2.3 </w:t>
          </w:r>
          <w:r>
            <w:rPr>
              <w:rFonts w:ascii="宋体" w:hAnsi="宋体" w:eastAsia="宋体" w:cs="宋体"/>
              <w:spacing w:val="-3"/>
              <w:sz w:val="24"/>
              <w:szCs w:val="24"/>
            </w:rPr>
            <w:t>污染物排放清单</w:t>
          </w:r>
          <w:r>
            <w:rPr>
              <w:rFonts w:ascii="宋体" w:hAnsi="宋体" w:eastAsia="宋体" w:cs="宋体"/>
              <w:sz w:val="24"/>
              <w:szCs w:val="24"/>
            </w:rPr>
            <w:tab/>
          </w:r>
          <w:r>
            <w:rPr>
              <w:rFonts w:ascii="Times New Roman" w:hAnsi="Times New Roman" w:eastAsia="Times New Roman" w:cs="Times New Roman"/>
              <w:spacing w:val="2"/>
              <w:sz w:val="24"/>
              <w:szCs w:val="24"/>
            </w:rPr>
            <w:t>- 249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D390B54">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"bookmark172" </w:instrText>
          </w:r>
          <w:r>
            <w:fldChar w:fldCharType="separate"/>
          </w:r>
          <w:r>
            <w:rPr>
              <w:rFonts w:ascii="Times New Roman" w:hAnsi="Times New Roman" w:eastAsia="Times New Roman" w:cs="Times New Roman"/>
              <w:spacing w:val="-3"/>
              <w:sz w:val="24"/>
              <w:szCs w:val="24"/>
            </w:rPr>
            <w:t xml:space="preserve">12.2.4 </w:t>
          </w:r>
          <w:r>
            <w:rPr>
              <w:rFonts w:ascii="宋体" w:hAnsi="宋体" w:eastAsia="宋体" w:cs="宋体"/>
              <w:spacing w:val="-3"/>
              <w:sz w:val="24"/>
              <w:szCs w:val="24"/>
            </w:rPr>
            <w:t>监测方案制定</w:t>
          </w:r>
          <w:r>
            <w:rPr>
              <w:rFonts w:ascii="宋体" w:hAnsi="宋体" w:eastAsia="宋体" w:cs="宋体"/>
              <w:sz w:val="24"/>
              <w:szCs w:val="24"/>
            </w:rPr>
            <w:tab/>
          </w:r>
          <w:r>
            <w:rPr>
              <w:rFonts w:ascii="Times New Roman" w:hAnsi="Times New Roman" w:eastAsia="Times New Roman" w:cs="Times New Roman"/>
              <w:spacing w:val="2"/>
              <w:sz w:val="24"/>
              <w:szCs w:val="24"/>
            </w:rPr>
            <w:t>- 252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8DE9107">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"bookmark173" </w:instrText>
          </w:r>
          <w:r>
            <w:fldChar w:fldCharType="separate"/>
          </w:r>
          <w:r>
            <w:rPr>
              <w:rFonts w:ascii="Times New Roman" w:hAnsi="Times New Roman" w:eastAsia="Times New Roman" w:cs="Times New Roman"/>
              <w:spacing w:val="-2"/>
              <w:sz w:val="24"/>
              <w:szCs w:val="24"/>
            </w:rPr>
            <w:t xml:space="preserve">12.3 </w:t>
          </w:r>
          <w:r>
            <w:rPr>
              <w:rFonts w:ascii="宋体" w:hAnsi="宋体" w:eastAsia="宋体" w:cs="宋体"/>
              <w:spacing w:val="-2"/>
              <w:sz w:val="24"/>
              <w:szCs w:val="24"/>
            </w:rPr>
            <w:t>建设项目环境保护验收内容</w:t>
          </w:r>
          <w:r>
            <w:rPr>
              <w:rFonts w:ascii="宋体" w:hAnsi="宋体" w:eastAsia="宋体" w:cs="宋体"/>
              <w:sz w:val="24"/>
              <w:szCs w:val="24"/>
            </w:rPr>
            <w:tab/>
          </w:r>
          <w:r>
            <w:rPr>
              <w:rFonts w:ascii="Times New Roman" w:hAnsi="Times New Roman" w:eastAsia="Times New Roman" w:cs="Times New Roman"/>
              <w:spacing w:val="2"/>
              <w:sz w:val="24"/>
              <w:szCs w:val="24"/>
            </w:rPr>
            <w:t>- 253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F9893EC">
          <w:pPr>
            <w:tabs>
              <w:tab w:val="right" w:leader="dot" w:pos="8314"/>
            </w:tabs>
            <w:spacing w:before="225" w:line="184" w:lineRule="auto"/>
            <w:ind w:left="519"/>
            <w:rPr>
              <w:rFonts w:ascii="Times New Roman" w:hAnsi="Times New Roman" w:eastAsia="Times New Roman" w:cs="Times New Roman"/>
              <w:sz w:val="24"/>
              <w:szCs w:val="24"/>
            </w:rPr>
          </w:pPr>
          <w:r>
            <w:fldChar w:fldCharType="begin"/>
          </w:r>
          <w:r>
            <w:instrText xml:space="preserve"> HYPERLINK \l "bookmark174" </w:instrText>
          </w:r>
          <w:r>
            <w:fldChar w:fldCharType="separate"/>
          </w:r>
          <w:r>
            <w:rPr>
              <w:rFonts w:ascii="Times New Roman" w:hAnsi="Times New Roman" w:eastAsia="Times New Roman" w:cs="Times New Roman"/>
              <w:spacing w:val="-7"/>
              <w:sz w:val="24"/>
              <w:szCs w:val="24"/>
            </w:rPr>
            <w:t>13</w:t>
          </w:r>
          <w:r>
            <w:rPr>
              <w:rFonts w:ascii="Times New Roman" w:hAnsi="Times New Roman" w:eastAsia="Times New Roman" w:cs="Times New Roman"/>
              <w:spacing w:val="19"/>
              <w:w w:val="101"/>
              <w:sz w:val="24"/>
              <w:szCs w:val="24"/>
            </w:rPr>
            <w:t xml:space="preserve"> </w:t>
          </w:r>
          <w:r>
            <w:rPr>
              <w:rFonts w:ascii="宋体" w:hAnsi="宋体" w:eastAsia="宋体" w:cs="宋体"/>
              <w:spacing w:val="-7"/>
              <w:sz w:val="24"/>
              <w:szCs w:val="24"/>
            </w:rPr>
            <w:t>结论与建议</w:t>
          </w:r>
          <w:r>
            <w:rPr>
              <w:rFonts w:ascii="宋体" w:hAnsi="宋体" w:eastAsia="宋体" w:cs="宋体"/>
              <w:sz w:val="24"/>
              <w:szCs w:val="24"/>
            </w:rPr>
            <w:tab/>
          </w:r>
          <w:r>
            <w:rPr>
              <w:rFonts w:ascii="Times New Roman" w:hAnsi="Times New Roman" w:eastAsia="Times New Roman" w:cs="Times New Roman"/>
              <w:spacing w:val="2"/>
              <w:sz w:val="24"/>
              <w:szCs w:val="24"/>
            </w:rPr>
            <w:t>- 256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463809E9">
          <w:pPr>
            <w:tabs>
              <w:tab w:val="right" w:leader="dot" w:pos="8314"/>
            </w:tabs>
            <w:spacing w:before="226" w:line="185" w:lineRule="auto"/>
            <w:ind w:left="999"/>
            <w:rPr>
              <w:rFonts w:ascii="Times New Roman" w:hAnsi="Times New Roman" w:eastAsia="Times New Roman" w:cs="Times New Roman"/>
              <w:sz w:val="24"/>
              <w:szCs w:val="24"/>
            </w:rPr>
          </w:pPr>
          <w:r>
            <w:fldChar w:fldCharType="begin"/>
          </w:r>
          <w:r>
            <w:instrText xml:space="preserve"> HYPERLINK \l "bookmark175" </w:instrText>
          </w:r>
          <w:r>
            <w:fldChar w:fldCharType="separate"/>
          </w:r>
          <w:r>
            <w:rPr>
              <w:rFonts w:ascii="Times New Roman" w:hAnsi="Times New Roman" w:eastAsia="Times New Roman" w:cs="Times New Roman"/>
              <w:spacing w:val="-2"/>
              <w:sz w:val="24"/>
              <w:szCs w:val="24"/>
            </w:rPr>
            <w:t xml:space="preserve">13.1 </w:t>
          </w:r>
          <w:r>
            <w:rPr>
              <w:rFonts w:ascii="宋体" w:hAnsi="宋体" w:eastAsia="宋体" w:cs="宋体"/>
              <w:spacing w:val="-2"/>
              <w:sz w:val="24"/>
              <w:szCs w:val="24"/>
            </w:rPr>
            <w:t>产业政策与选址合理性分析</w:t>
          </w:r>
          <w:r>
            <w:rPr>
              <w:rFonts w:ascii="宋体" w:hAnsi="宋体" w:eastAsia="宋体" w:cs="宋体"/>
              <w:sz w:val="24"/>
              <w:szCs w:val="24"/>
            </w:rPr>
            <w:tab/>
          </w:r>
          <w:r>
            <w:rPr>
              <w:rFonts w:ascii="Times New Roman" w:hAnsi="Times New Roman" w:eastAsia="Times New Roman" w:cs="Times New Roman"/>
              <w:spacing w:val="2"/>
              <w:sz w:val="24"/>
              <w:szCs w:val="24"/>
            </w:rPr>
            <w:t>- 256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9F80D49">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"bookmark176" </w:instrText>
          </w:r>
          <w:r>
            <w:fldChar w:fldCharType="separate"/>
          </w:r>
          <w:r>
            <w:rPr>
              <w:rFonts w:ascii="Times New Roman" w:hAnsi="Times New Roman" w:eastAsia="Times New Roman" w:cs="Times New Roman"/>
              <w:spacing w:val="-2"/>
              <w:sz w:val="24"/>
              <w:szCs w:val="24"/>
            </w:rPr>
            <w:t xml:space="preserve">13.2 </w:t>
          </w:r>
          <w:r>
            <w:rPr>
              <w:rFonts w:ascii="宋体" w:hAnsi="宋体" w:eastAsia="宋体" w:cs="宋体"/>
              <w:spacing w:val="-2"/>
              <w:sz w:val="24"/>
              <w:szCs w:val="24"/>
            </w:rPr>
            <w:t>周围环境质量现状评价结论</w:t>
          </w:r>
          <w:r>
            <w:rPr>
              <w:rFonts w:ascii="宋体" w:hAnsi="宋体" w:eastAsia="宋体" w:cs="宋体"/>
              <w:sz w:val="24"/>
              <w:szCs w:val="24"/>
            </w:rPr>
            <w:tab/>
          </w:r>
          <w:r>
            <w:rPr>
              <w:rFonts w:ascii="Times New Roman" w:hAnsi="Times New Roman" w:eastAsia="Times New Roman" w:cs="Times New Roman"/>
              <w:spacing w:val="2"/>
              <w:sz w:val="24"/>
              <w:szCs w:val="24"/>
            </w:rPr>
            <w:t>- 256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10E6C412">
          <w:pPr>
            <w:tabs>
              <w:tab w:val="right" w:leader="dot" w:pos="8314"/>
            </w:tabs>
            <w:spacing w:before="225" w:line="185" w:lineRule="auto"/>
            <w:ind w:left="999"/>
            <w:rPr>
              <w:rFonts w:ascii="Times New Roman" w:hAnsi="Times New Roman" w:eastAsia="Times New Roman" w:cs="Times New Roman"/>
              <w:sz w:val="24"/>
              <w:szCs w:val="24"/>
            </w:rPr>
          </w:pPr>
          <w:r>
            <w:fldChar w:fldCharType="begin"/>
          </w:r>
          <w:r>
            <w:instrText xml:space="preserve"> HYPERLINK \l "bookmark177" </w:instrText>
          </w:r>
          <w:r>
            <w:fldChar w:fldCharType="separate"/>
          </w:r>
          <w:r>
            <w:rPr>
              <w:rFonts w:ascii="Times New Roman" w:hAnsi="Times New Roman" w:eastAsia="Times New Roman" w:cs="Times New Roman"/>
              <w:spacing w:val="-2"/>
              <w:sz w:val="24"/>
              <w:szCs w:val="24"/>
            </w:rPr>
            <w:t xml:space="preserve">13.3 </w:t>
          </w:r>
          <w:r>
            <w:rPr>
              <w:rFonts w:ascii="宋体" w:hAnsi="宋体" w:eastAsia="宋体" w:cs="宋体"/>
              <w:spacing w:val="-2"/>
              <w:sz w:val="24"/>
              <w:szCs w:val="24"/>
            </w:rPr>
            <w:t>技改工程污染物排放与治理</w:t>
          </w:r>
          <w:r>
            <w:rPr>
              <w:rFonts w:ascii="宋体" w:hAnsi="宋体" w:eastAsia="宋体" w:cs="宋体"/>
              <w:sz w:val="24"/>
              <w:szCs w:val="24"/>
            </w:rPr>
            <w:tab/>
          </w:r>
          <w:r>
            <w:rPr>
              <w:rFonts w:ascii="Times New Roman" w:hAnsi="Times New Roman" w:eastAsia="Times New Roman" w:cs="Times New Roman"/>
              <w:spacing w:val="2"/>
              <w:sz w:val="24"/>
              <w:szCs w:val="24"/>
            </w:rPr>
            <w:t>- 257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64C530B9">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"bookmark178" </w:instrText>
          </w:r>
          <w:r>
            <w:fldChar w:fldCharType="separate"/>
          </w:r>
          <w:r>
            <w:rPr>
              <w:rFonts w:ascii="Times New Roman" w:hAnsi="Times New Roman" w:eastAsia="Times New Roman" w:cs="Times New Roman"/>
              <w:spacing w:val="-2"/>
              <w:sz w:val="24"/>
              <w:szCs w:val="24"/>
            </w:rPr>
            <w:t xml:space="preserve">13.3.1 </w:t>
          </w:r>
          <w:r>
            <w:rPr>
              <w:rFonts w:ascii="宋体" w:hAnsi="宋体" w:eastAsia="宋体" w:cs="宋体"/>
              <w:spacing w:val="-2"/>
              <w:sz w:val="24"/>
              <w:szCs w:val="24"/>
            </w:rPr>
            <w:t>大气污染控制措施</w:t>
          </w:r>
          <w:r>
            <w:rPr>
              <w:rFonts w:ascii="宋体" w:hAnsi="宋体" w:eastAsia="宋体" w:cs="宋体"/>
              <w:sz w:val="24"/>
              <w:szCs w:val="24"/>
            </w:rPr>
            <w:tab/>
          </w:r>
          <w:r>
            <w:rPr>
              <w:rFonts w:ascii="Times New Roman" w:hAnsi="Times New Roman" w:eastAsia="Times New Roman" w:cs="Times New Roman"/>
              <w:spacing w:val="2"/>
              <w:sz w:val="24"/>
              <w:szCs w:val="24"/>
            </w:rPr>
            <w:t>- 257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0FC8E13">
          <w:pPr>
            <w:tabs>
              <w:tab w:val="right" w:leader="dot" w:pos="8314"/>
            </w:tabs>
            <w:spacing w:before="228" w:line="219" w:lineRule="auto"/>
            <w:ind w:left="1479"/>
            <w:rPr>
              <w:rFonts w:ascii="Times New Roman" w:hAnsi="Times New Roman" w:eastAsia="Times New Roman" w:cs="Times New Roman"/>
              <w:sz w:val="24"/>
              <w:szCs w:val="24"/>
            </w:rPr>
          </w:pPr>
          <w:r>
            <w:fldChar w:fldCharType="begin"/>
          </w:r>
          <w:r>
            <w:instrText xml:space="preserve"> HYPERLINK \l "bookmark179" </w:instrText>
          </w:r>
          <w:r>
            <w:fldChar w:fldCharType="separate"/>
          </w:r>
          <w:r>
            <w:rPr>
              <w:rFonts w:ascii="Times New Roman" w:hAnsi="Times New Roman" w:eastAsia="Times New Roman" w:cs="Times New Roman"/>
              <w:spacing w:val="-2"/>
              <w:sz w:val="24"/>
              <w:szCs w:val="24"/>
            </w:rPr>
            <w:t xml:space="preserve">13.3.2 </w:t>
          </w:r>
          <w:r>
            <w:rPr>
              <w:rFonts w:ascii="宋体" w:hAnsi="宋体" w:eastAsia="宋体" w:cs="宋体"/>
              <w:spacing w:val="-2"/>
              <w:sz w:val="24"/>
              <w:szCs w:val="24"/>
            </w:rPr>
            <w:t>废水污染治理措施</w:t>
          </w:r>
          <w:r>
            <w:rPr>
              <w:rFonts w:ascii="宋体" w:hAnsi="宋体" w:eastAsia="宋体" w:cs="宋体"/>
              <w:sz w:val="24"/>
              <w:szCs w:val="24"/>
            </w:rPr>
            <w:tab/>
          </w:r>
          <w:r>
            <w:rPr>
              <w:rFonts w:ascii="Times New Roman" w:hAnsi="Times New Roman" w:eastAsia="Times New Roman" w:cs="Times New Roman"/>
              <w:spacing w:val="2"/>
              <w:sz w:val="24"/>
              <w:szCs w:val="24"/>
            </w:rPr>
            <w:t>- 257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sdtContent>
    </w:sdt>
    <w:p w14:paraId="7BAAF708">
      <w:pPr>
        <w:spacing w:line="219"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0852643E">
      <w:pPr>
        <w:pStyle w:val="2"/>
        <w:spacing w:line="247" w:lineRule="auto"/>
      </w:pPr>
    </w:p>
    <w:p w14:paraId="604CE378">
      <w:pPr>
        <w:pStyle w:val="2"/>
        <w:spacing w:line="248" w:lineRule="auto"/>
      </w:pPr>
    </w:p>
    <w:p w14:paraId="6A7455FC">
      <w:pPr>
        <w:pStyle w:val="2"/>
        <w:spacing w:line="248" w:lineRule="auto"/>
      </w:pPr>
    </w:p>
    <w:p w14:paraId="03AC5A2A">
      <w:pPr>
        <w:pStyle w:val="2"/>
        <w:spacing w:line="248" w:lineRule="auto"/>
      </w:pPr>
    </w:p>
    <w:sdt>
      <w:sdtPr>
        <w:rPr>
          <w:rFonts w:ascii="Times New Roman" w:hAnsi="Times New Roman" w:eastAsia="Times New Roman" w:cs="Times New Roman"/>
          <w:sz w:val="24"/>
          <w:szCs w:val="24"/>
        </w:rPr>
        <w:id w:val="147470893"/>
        <w:docPartObj>
          <w:docPartGallery w:val="Table of Contents"/>
          <w:docPartUnique/>
        </w:docPartObj>
      </w:sdtPr>
      <w:sdtEndPr>
        <w:rPr>
          <w:rFonts w:ascii="Times New Roman" w:hAnsi="Times New Roman" w:eastAsia="Times New Roman" w:cs="Times New Roman"/>
          <w:sz w:val="24"/>
          <w:szCs w:val="24"/>
        </w:rPr>
      </w:sdtEndPr>
      <w:sdtContent>
        <w:p w14:paraId="755F2A97">
          <w:pPr>
            <w:tabs>
              <w:tab w:val="right" w:leader="dot" w:pos="8314"/>
            </w:tabs>
            <w:spacing w:before="78" w:line="184" w:lineRule="auto"/>
            <w:ind w:left="1479"/>
            <w:rPr>
              <w:rFonts w:ascii="Times New Roman" w:hAnsi="Times New Roman" w:eastAsia="Times New Roman" w:cs="Times New Roman"/>
              <w:sz w:val="24"/>
              <w:szCs w:val="24"/>
            </w:rPr>
          </w:pPr>
          <w:r>
            <w:fldChar w:fldCharType="begin"/>
          </w:r>
          <w:r>
            <w:instrText xml:space="preserve"> HYPERLINK \l "bookmark180" </w:instrText>
          </w:r>
          <w:r>
            <w:fldChar w:fldCharType="separate"/>
          </w:r>
          <w:r>
            <w:rPr>
              <w:rFonts w:ascii="Times New Roman" w:hAnsi="Times New Roman" w:eastAsia="Times New Roman" w:cs="Times New Roman"/>
              <w:spacing w:val="-5"/>
              <w:sz w:val="24"/>
              <w:szCs w:val="24"/>
            </w:rPr>
            <w:t>13.3.3</w:t>
          </w:r>
          <w:r>
            <w:rPr>
              <w:rFonts w:ascii="Times New Roman" w:hAnsi="Times New Roman" w:eastAsia="Times New Roman" w:cs="Times New Roman"/>
              <w:spacing w:val="30"/>
              <w:w w:val="101"/>
              <w:sz w:val="24"/>
              <w:szCs w:val="24"/>
            </w:rPr>
            <w:t xml:space="preserve"> </w:t>
          </w:r>
          <w:r>
            <w:rPr>
              <w:rFonts w:ascii="宋体" w:hAnsi="宋体" w:eastAsia="宋体" w:cs="宋体"/>
              <w:spacing w:val="-5"/>
              <w:sz w:val="24"/>
              <w:szCs w:val="24"/>
            </w:rPr>
            <w:t>噪声污染控制</w:t>
          </w:r>
          <w:r>
            <w:rPr>
              <w:rFonts w:ascii="宋体" w:hAnsi="宋体" w:eastAsia="宋体" w:cs="宋体"/>
              <w:sz w:val="24"/>
              <w:szCs w:val="24"/>
            </w:rPr>
            <w:tab/>
          </w:r>
          <w:r>
            <w:rPr>
              <w:rFonts w:ascii="Times New Roman" w:hAnsi="Times New Roman" w:eastAsia="Times New Roman" w:cs="Times New Roman"/>
              <w:spacing w:val="2"/>
              <w:sz w:val="24"/>
              <w:szCs w:val="24"/>
            </w:rPr>
            <w:t>- 257</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9E462E5">
          <w:pPr>
            <w:tabs>
              <w:tab w:val="right" w:leader="dot" w:pos="8314"/>
            </w:tabs>
            <w:spacing w:before="228" w:line="185" w:lineRule="auto"/>
            <w:ind w:left="1479"/>
            <w:rPr>
              <w:rFonts w:ascii="Times New Roman" w:hAnsi="Times New Roman" w:eastAsia="Times New Roman" w:cs="Times New Roman"/>
              <w:sz w:val="24"/>
              <w:szCs w:val="24"/>
            </w:rPr>
          </w:pPr>
          <w:r>
            <w:fldChar w:fldCharType="begin"/>
          </w:r>
          <w:r>
            <w:instrText xml:space="preserve"> HYPERLINK \l "bookmark181" </w:instrText>
          </w:r>
          <w:r>
            <w:fldChar w:fldCharType="separate"/>
          </w:r>
          <w:r>
            <w:rPr>
              <w:rFonts w:ascii="Times New Roman" w:hAnsi="Times New Roman" w:eastAsia="Times New Roman" w:cs="Times New Roman"/>
              <w:spacing w:val="-5"/>
              <w:sz w:val="24"/>
              <w:szCs w:val="24"/>
            </w:rPr>
            <w:t>13.3.4</w:t>
          </w:r>
          <w:r>
            <w:rPr>
              <w:rFonts w:ascii="Times New Roman" w:hAnsi="Times New Roman" w:eastAsia="Times New Roman" w:cs="Times New Roman"/>
              <w:spacing w:val="40"/>
              <w:w w:val="101"/>
              <w:sz w:val="24"/>
              <w:szCs w:val="24"/>
            </w:rPr>
            <w:t xml:space="preserve"> </w:t>
          </w:r>
          <w:r>
            <w:rPr>
              <w:rFonts w:ascii="宋体" w:hAnsi="宋体" w:eastAsia="宋体" w:cs="宋体"/>
              <w:spacing w:val="-5"/>
              <w:sz w:val="24"/>
              <w:szCs w:val="24"/>
            </w:rPr>
            <w:t>固体废物处置措施</w:t>
          </w:r>
          <w:r>
            <w:rPr>
              <w:rFonts w:ascii="宋体" w:hAnsi="宋体" w:eastAsia="宋体" w:cs="宋体"/>
              <w:sz w:val="24"/>
              <w:szCs w:val="24"/>
            </w:rPr>
            <w:tab/>
          </w:r>
          <w:r>
            <w:rPr>
              <w:rFonts w:ascii="Times New Roman" w:hAnsi="Times New Roman" w:eastAsia="Times New Roman" w:cs="Times New Roman"/>
              <w:spacing w:val="2"/>
              <w:sz w:val="24"/>
              <w:szCs w:val="24"/>
            </w:rPr>
            <w:t>- 258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7BCB4F6">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"bookmark182" </w:instrText>
          </w:r>
          <w:r>
            <w:fldChar w:fldCharType="separate"/>
          </w:r>
          <w:r>
            <w:rPr>
              <w:rFonts w:ascii="Times New Roman" w:hAnsi="Times New Roman" w:eastAsia="Times New Roman" w:cs="Times New Roman"/>
              <w:spacing w:val="-2"/>
              <w:sz w:val="24"/>
              <w:szCs w:val="24"/>
            </w:rPr>
            <w:t xml:space="preserve">13.3.5 </w:t>
          </w:r>
          <w:r>
            <w:rPr>
              <w:rFonts w:ascii="宋体" w:hAnsi="宋体" w:eastAsia="宋体" w:cs="宋体"/>
              <w:spacing w:val="-2"/>
              <w:sz w:val="24"/>
              <w:szCs w:val="24"/>
            </w:rPr>
            <w:t>生态环境综合整治</w:t>
          </w:r>
          <w:r>
            <w:rPr>
              <w:rFonts w:ascii="宋体" w:hAnsi="宋体" w:eastAsia="宋体" w:cs="宋体"/>
              <w:sz w:val="24"/>
              <w:szCs w:val="24"/>
            </w:rPr>
            <w:tab/>
          </w:r>
          <w:r>
            <w:rPr>
              <w:rFonts w:ascii="Times New Roman" w:hAnsi="Times New Roman" w:eastAsia="Times New Roman" w:cs="Times New Roman"/>
              <w:spacing w:val="2"/>
              <w:sz w:val="24"/>
              <w:szCs w:val="24"/>
            </w:rPr>
            <w:t>- 258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4B75FF6">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"bookmark183" </w:instrText>
          </w:r>
          <w:r>
            <w:fldChar w:fldCharType="separate"/>
          </w:r>
          <w:r>
            <w:rPr>
              <w:rFonts w:ascii="Times New Roman" w:hAnsi="Times New Roman" w:eastAsia="Times New Roman" w:cs="Times New Roman"/>
              <w:spacing w:val="-3"/>
              <w:sz w:val="24"/>
              <w:szCs w:val="24"/>
            </w:rPr>
            <w:t xml:space="preserve">13.4 </w:t>
          </w:r>
          <w:r>
            <w:rPr>
              <w:rFonts w:ascii="宋体" w:hAnsi="宋体" w:eastAsia="宋体" w:cs="宋体"/>
              <w:spacing w:val="-3"/>
              <w:sz w:val="24"/>
              <w:szCs w:val="24"/>
            </w:rPr>
            <w:t>环境影响预测</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A2E82DF">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"bookmark184" </w:instrText>
          </w:r>
          <w:r>
            <w:fldChar w:fldCharType="separate"/>
          </w:r>
          <w:r>
            <w:rPr>
              <w:rFonts w:ascii="Times New Roman" w:hAnsi="Times New Roman" w:eastAsia="Times New Roman" w:cs="Times New Roman"/>
              <w:spacing w:val="-2"/>
              <w:sz w:val="24"/>
              <w:szCs w:val="24"/>
            </w:rPr>
            <w:t xml:space="preserve">13.4.1 </w:t>
          </w:r>
          <w:r>
            <w:rPr>
              <w:rFonts w:ascii="宋体" w:hAnsi="宋体" w:eastAsia="宋体" w:cs="宋体"/>
              <w:spacing w:val="-2"/>
              <w:sz w:val="24"/>
              <w:szCs w:val="24"/>
            </w:rPr>
            <w:t>环境空气影响预测</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5F6FE8C">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"bookmark185" </w:instrText>
          </w:r>
          <w:r>
            <w:fldChar w:fldCharType="separate"/>
          </w:r>
          <w:r>
            <w:rPr>
              <w:rFonts w:ascii="Times New Roman" w:hAnsi="Times New Roman" w:eastAsia="Times New Roman" w:cs="Times New Roman"/>
              <w:spacing w:val="-2"/>
              <w:sz w:val="24"/>
              <w:szCs w:val="24"/>
            </w:rPr>
            <w:t xml:space="preserve">13.4.2 </w:t>
          </w:r>
          <w:r>
            <w:rPr>
              <w:rFonts w:ascii="宋体" w:hAnsi="宋体" w:eastAsia="宋体" w:cs="宋体"/>
              <w:spacing w:val="-2"/>
              <w:sz w:val="24"/>
              <w:szCs w:val="24"/>
            </w:rPr>
            <w:t>地下水环境影响预测</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53229FC8">
          <w:pPr>
            <w:tabs>
              <w:tab w:val="right" w:leader="dot" w:pos="8314"/>
            </w:tabs>
            <w:spacing w:before="225" w:line="185" w:lineRule="auto"/>
            <w:ind w:left="1479"/>
            <w:rPr>
              <w:rFonts w:ascii="Times New Roman" w:hAnsi="Times New Roman" w:eastAsia="Times New Roman" w:cs="Times New Roman"/>
              <w:sz w:val="24"/>
              <w:szCs w:val="24"/>
            </w:rPr>
          </w:pPr>
          <w:r>
            <w:fldChar w:fldCharType="begin"/>
          </w:r>
          <w:r>
            <w:instrText xml:space="preserve"> HYPERLINK \l "bookmark186" </w:instrText>
          </w:r>
          <w:r>
            <w:fldChar w:fldCharType="separate"/>
          </w:r>
          <w:r>
            <w:rPr>
              <w:rFonts w:ascii="Times New Roman" w:hAnsi="Times New Roman" w:eastAsia="Times New Roman" w:cs="Times New Roman"/>
              <w:spacing w:val="-4"/>
              <w:sz w:val="24"/>
              <w:szCs w:val="24"/>
            </w:rPr>
            <w:t>13.4.3</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声环境影响预测</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B3DED79">
          <w:pPr>
            <w:tabs>
              <w:tab w:val="right" w:leader="dot" w:pos="8314"/>
            </w:tabs>
            <w:spacing w:before="227" w:line="185" w:lineRule="auto"/>
            <w:ind w:left="1479"/>
            <w:rPr>
              <w:rFonts w:ascii="Times New Roman" w:hAnsi="Times New Roman" w:eastAsia="Times New Roman" w:cs="Times New Roman"/>
              <w:sz w:val="24"/>
              <w:szCs w:val="24"/>
            </w:rPr>
          </w:pPr>
          <w:r>
            <w:fldChar w:fldCharType="begin"/>
          </w:r>
          <w:r>
            <w:instrText xml:space="preserve"> HYPERLINK \l "bookmark187" </w:instrText>
          </w:r>
          <w:r>
            <w:fldChar w:fldCharType="separate"/>
          </w:r>
          <w:r>
            <w:rPr>
              <w:rFonts w:ascii="Times New Roman" w:hAnsi="Times New Roman" w:eastAsia="Times New Roman" w:cs="Times New Roman"/>
              <w:spacing w:val="-4"/>
              <w:sz w:val="24"/>
              <w:szCs w:val="24"/>
            </w:rPr>
            <w:t>13.4.4</w:t>
          </w:r>
          <w:r>
            <w:rPr>
              <w:rFonts w:ascii="Times New Roman" w:hAnsi="Times New Roman" w:eastAsia="Times New Roman" w:cs="Times New Roman"/>
              <w:spacing w:val="38"/>
              <w:w w:val="101"/>
              <w:sz w:val="24"/>
              <w:szCs w:val="24"/>
            </w:rPr>
            <w:t xml:space="preserve"> </w:t>
          </w:r>
          <w:r>
            <w:rPr>
              <w:rFonts w:ascii="宋体" w:hAnsi="宋体" w:eastAsia="宋体" w:cs="宋体"/>
              <w:spacing w:val="-4"/>
              <w:sz w:val="24"/>
              <w:szCs w:val="24"/>
            </w:rPr>
            <w:t>固体废弃物环境影响分析</w:t>
          </w:r>
          <w:r>
            <w:rPr>
              <w:rFonts w:ascii="宋体" w:hAnsi="宋体" w:eastAsia="宋体" w:cs="宋体"/>
              <w:sz w:val="24"/>
              <w:szCs w:val="24"/>
            </w:rPr>
            <w:tab/>
          </w:r>
          <w:r>
            <w:rPr>
              <w:rFonts w:ascii="Times New Roman" w:hAnsi="Times New Roman" w:eastAsia="Times New Roman" w:cs="Times New Roman"/>
              <w:spacing w:val="2"/>
              <w:sz w:val="24"/>
              <w:szCs w:val="24"/>
            </w:rPr>
            <w:t>- 259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CEEB91F">
          <w:pPr>
            <w:tabs>
              <w:tab w:val="right" w:leader="dot" w:pos="8314"/>
            </w:tabs>
            <w:spacing w:before="228" w:line="184" w:lineRule="auto"/>
            <w:ind w:left="1479"/>
            <w:rPr>
              <w:rFonts w:ascii="Times New Roman" w:hAnsi="Times New Roman" w:eastAsia="Times New Roman" w:cs="Times New Roman"/>
              <w:sz w:val="24"/>
              <w:szCs w:val="24"/>
            </w:rPr>
          </w:pPr>
          <w:r>
            <w:fldChar w:fldCharType="begin"/>
          </w:r>
          <w:r>
            <w:instrText xml:space="preserve"> HYPERLINK \l "bookmark188" </w:instrText>
          </w:r>
          <w:r>
            <w:fldChar w:fldCharType="separate"/>
          </w:r>
          <w:r>
            <w:rPr>
              <w:rFonts w:ascii="Times New Roman" w:hAnsi="Times New Roman" w:eastAsia="Times New Roman" w:cs="Times New Roman"/>
              <w:spacing w:val="-2"/>
              <w:sz w:val="24"/>
              <w:szCs w:val="24"/>
            </w:rPr>
            <w:t xml:space="preserve">13.4.5 </w:t>
          </w:r>
          <w:r>
            <w:rPr>
              <w:rFonts w:ascii="宋体" w:hAnsi="宋体" w:eastAsia="宋体" w:cs="宋体"/>
              <w:spacing w:val="-2"/>
              <w:sz w:val="24"/>
              <w:szCs w:val="24"/>
            </w:rPr>
            <w:t>生态环境影响分析</w:t>
          </w:r>
          <w:r>
            <w:rPr>
              <w:rFonts w:ascii="宋体" w:hAnsi="宋体" w:eastAsia="宋体" w:cs="宋体"/>
              <w:sz w:val="24"/>
              <w:szCs w:val="24"/>
            </w:rPr>
            <w:tab/>
          </w:r>
          <w:r>
            <w:rPr>
              <w:rFonts w:ascii="Times New Roman" w:hAnsi="Times New Roman" w:eastAsia="Times New Roman" w:cs="Times New Roman"/>
              <w:spacing w:val="2"/>
              <w:sz w:val="24"/>
              <w:szCs w:val="24"/>
            </w:rPr>
            <w:t>- 260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46BBD23C">
          <w:pPr>
            <w:tabs>
              <w:tab w:val="right" w:leader="dot" w:pos="8314"/>
            </w:tabs>
            <w:spacing w:before="226" w:line="185" w:lineRule="auto"/>
            <w:ind w:left="999"/>
            <w:rPr>
              <w:rFonts w:ascii="Times New Roman" w:hAnsi="Times New Roman" w:eastAsia="Times New Roman" w:cs="Times New Roman"/>
              <w:sz w:val="24"/>
              <w:szCs w:val="24"/>
            </w:rPr>
          </w:pPr>
          <w:r>
            <w:fldChar w:fldCharType="begin"/>
          </w:r>
          <w:r>
            <w:instrText xml:space="preserve"> HYPERLINK \l "bookmark189" </w:instrText>
          </w:r>
          <w:r>
            <w:fldChar w:fldCharType="separate"/>
          </w:r>
          <w:r>
            <w:rPr>
              <w:rFonts w:ascii="Times New Roman" w:hAnsi="Times New Roman" w:eastAsia="Times New Roman" w:cs="Times New Roman"/>
              <w:spacing w:val="-4"/>
              <w:sz w:val="24"/>
              <w:szCs w:val="24"/>
            </w:rPr>
            <w:t>13.5</w:t>
          </w:r>
          <w:r>
            <w:rPr>
              <w:rFonts w:ascii="Times New Roman" w:hAnsi="Times New Roman" w:eastAsia="Times New Roman" w:cs="Times New Roman"/>
              <w:spacing w:val="18"/>
              <w:w w:val="101"/>
              <w:sz w:val="24"/>
              <w:szCs w:val="24"/>
            </w:rPr>
            <w:t xml:space="preserve"> </w:t>
          </w:r>
          <w:r>
            <w:rPr>
              <w:rFonts w:ascii="宋体" w:hAnsi="宋体" w:eastAsia="宋体" w:cs="宋体"/>
              <w:spacing w:val="-4"/>
              <w:sz w:val="24"/>
              <w:szCs w:val="24"/>
            </w:rPr>
            <w:t>公众意见采纳情况</w:t>
          </w:r>
          <w:r>
            <w:rPr>
              <w:rFonts w:ascii="宋体" w:hAnsi="宋体" w:eastAsia="宋体" w:cs="宋体"/>
              <w:sz w:val="24"/>
              <w:szCs w:val="24"/>
            </w:rPr>
            <w:tab/>
          </w:r>
          <w:r>
            <w:rPr>
              <w:rFonts w:ascii="Times New Roman" w:hAnsi="Times New Roman" w:eastAsia="Times New Roman" w:cs="Times New Roman"/>
              <w:spacing w:val="2"/>
              <w:sz w:val="24"/>
              <w:szCs w:val="24"/>
            </w:rPr>
            <w:t>- 260</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38C5A6AE">
          <w:pPr>
            <w:tabs>
              <w:tab w:val="right" w:leader="dot" w:pos="8314"/>
            </w:tabs>
            <w:spacing w:before="225" w:line="185" w:lineRule="auto"/>
            <w:ind w:left="999"/>
            <w:rPr>
              <w:rFonts w:ascii="Times New Roman" w:hAnsi="Times New Roman" w:eastAsia="Times New Roman" w:cs="Times New Roman"/>
              <w:sz w:val="24"/>
              <w:szCs w:val="24"/>
            </w:rPr>
          </w:pPr>
          <w:r>
            <w:fldChar w:fldCharType="begin"/>
          </w:r>
          <w:r>
            <w:instrText xml:space="preserve"> HYPERLINK \l "bookmark190" </w:instrText>
          </w:r>
          <w:r>
            <w:fldChar w:fldCharType="separate"/>
          </w:r>
          <w:r>
            <w:rPr>
              <w:rFonts w:ascii="Times New Roman" w:hAnsi="Times New Roman" w:eastAsia="Times New Roman" w:cs="Times New Roman"/>
              <w:spacing w:val="-3"/>
              <w:sz w:val="24"/>
              <w:szCs w:val="24"/>
            </w:rPr>
            <w:t xml:space="preserve">13.6 </w:t>
          </w:r>
          <w:r>
            <w:rPr>
              <w:rFonts w:ascii="宋体" w:hAnsi="宋体" w:eastAsia="宋体" w:cs="宋体"/>
              <w:spacing w:val="-3"/>
              <w:sz w:val="24"/>
              <w:szCs w:val="24"/>
            </w:rPr>
            <w:t>环境经济损益分析</w:t>
          </w:r>
          <w:r>
            <w:rPr>
              <w:rFonts w:ascii="宋体" w:hAnsi="宋体" w:eastAsia="宋体" w:cs="宋体"/>
              <w:sz w:val="24"/>
              <w:szCs w:val="24"/>
            </w:rPr>
            <w:tab/>
          </w:r>
          <w:r>
            <w:rPr>
              <w:rFonts w:ascii="Times New Roman" w:hAnsi="Times New Roman" w:eastAsia="Times New Roman" w:cs="Times New Roman"/>
              <w:spacing w:val="2"/>
              <w:sz w:val="24"/>
              <w:szCs w:val="24"/>
            </w:rPr>
            <w:t>- 261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09719489">
          <w:pPr>
            <w:tabs>
              <w:tab w:val="right" w:leader="dot" w:pos="8314"/>
            </w:tabs>
            <w:spacing w:before="228" w:line="185" w:lineRule="auto"/>
            <w:ind w:left="999"/>
            <w:rPr>
              <w:rFonts w:ascii="Times New Roman" w:hAnsi="Times New Roman" w:eastAsia="Times New Roman" w:cs="Times New Roman"/>
              <w:sz w:val="24"/>
              <w:szCs w:val="24"/>
            </w:rPr>
          </w:pPr>
          <w:r>
            <w:fldChar w:fldCharType="begin"/>
          </w:r>
          <w:r>
            <w:instrText xml:space="preserve"> HYPERLINK \l "bookmark191" </w:instrText>
          </w:r>
          <w:r>
            <w:fldChar w:fldCharType="separate"/>
          </w:r>
          <w:r>
            <w:rPr>
              <w:rFonts w:ascii="Times New Roman" w:hAnsi="Times New Roman" w:eastAsia="Times New Roman" w:cs="Times New Roman"/>
              <w:spacing w:val="-3"/>
              <w:sz w:val="24"/>
              <w:szCs w:val="24"/>
            </w:rPr>
            <w:t xml:space="preserve">13.7 </w:t>
          </w:r>
          <w:r>
            <w:rPr>
              <w:rFonts w:ascii="宋体" w:hAnsi="宋体" w:eastAsia="宋体" w:cs="宋体"/>
              <w:spacing w:val="-3"/>
              <w:sz w:val="24"/>
              <w:szCs w:val="24"/>
            </w:rPr>
            <w:t>环境管理与监测计划</w:t>
          </w:r>
          <w:r>
            <w:rPr>
              <w:rFonts w:ascii="宋体" w:hAnsi="宋体" w:eastAsia="宋体" w:cs="宋体"/>
              <w:sz w:val="24"/>
              <w:szCs w:val="24"/>
            </w:rPr>
            <w:tab/>
          </w:r>
          <w:r>
            <w:rPr>
              <w:rFonts w:ascii="Times New Roman" w:hAnsi="Times New Roman" w:eastAsia="Times New Roman" w:cs="Times New Roman"/>
              <w:spacing w:val="2"/>
              <w:sz w:val="24"/>
              <w:szCs w:val="24"/>
            </w:rPr>
            <w:t>- 261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2682A947">
          <w:pPr>
            <w:tabs>
              <w:tab w:val="right" w:leader="dot" w:pos="8314"/>
            </w:tabs>
            <w:spacing w:before="227" w:line="185" w:lineRule="auto"/>
            <w:ind w:left="999"/>
            <w:rPr>
              <w:rFonts w:ascii="Times New Roman" w:hAnsi="Times New Roman" w:eastAsia="Times New Roman" w:cs="Times New Roman"/>
              <w:sz w:val="24"/>
              <w:szCs w:val="24"/>
            </w:rPr>
          </w:pPr>
          <w:r>
            <w:fldChar w:fldCharType="begin"/>
          </w:r>
          <w:r>
            <w:instrText xml:space="preserve"> HYPERLINK \l "bookmark192" </w:instrText>
          </w:r>
          <w:r>
            <w:fldChar w:fldCharType="separate"/>
          </w:r>
          <w:r>
            <w:rPr>
              <w:rFonts w:ascii="Times New Roman" w:hAnsi="Times New Roman" w:eastAsia="Times New Roman" w:cs="Times New Roman"/>
              <w:spacing w:val="-4"/>
              <w:sz w:val="24"/>
              <w:szCs w:val="24"/>
            </w:rPr>
            <w:t xml:space="preserve">13.8 </w:t>
          </w:r>
          <w:r>
            <w:rPr>
              <w:rFonts w:ascii="宋体" w:hAnsi="宋体" w:eastAsia="宋体" w:cs="宋体"/>
              <w:spacing w:val="-4"/>
              <w:sz w:val="24"/>
              <w:szCs w:val="24"/>
            </w:rPr>
            <w:t>评价结论</w:t>
          </w:r>
          <w:r>
            <w:rPr>
              <w:rFonts w:ascii="宋体" w:hAnsi="宋体" w:eastAsia="宋体" w:cs="宋体"/>
              <w:sz w:val="24"/>
              <w:szCs w:val="24"/>
            </w:rPr>
            <w:tab/>
          </w:r>
          <w:r>
            <w:rPr>
              <w:rFonts w:ascii="Times New Roman" w:hAnsi="Times New Roman" w:eastAsia="Times New Roman" w:cs="Times New Roman"/>
              <w:spacing w:val="2"/>
              <w:sz w:val="24"/>
              <w:szCs w:val="24"/>
            </w:rPr>
            <w:t>- 261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p w14:paraId="72256408">
          <w:pPr>
            <w:tabs>
              <w:tab w:val="right" w:leader="dot" w:pos="8314"/>
            </w:tabs>
            <w:spacing w:before="225" w:line="220" w:lineRule="auto"/>
            <w:ind w:left="999"/>
            <w:rPr>
              <w:rFonts w:ascii="Times New Roman" w:hAnsi="Times New Roman" w:eastAsia="Times New Roman" w:cs="Times New Roman"/>
              <w:sz w:val="24"/>
              <w:szCs w:val="24"/>
            </w:rPr>
          </w:pPr>
          <w:r>
            <w:fldChar w:fldCharType="begin"/>
          </w:r>
          <w:r>
            <w:instrText xml:space="preserve"> HYPERLINK \l "bookmark193" </w:instrText>
          </w:r>
          <w:r>
            <w:fldChar w:fldCharType="separate"/>
          </w:r>
          <w:r>
            <w:rPr>
              <w:rFonts w:ascii="Times New Roman" w:hAnsi="Times New Roman" w:eastAsia="Times New Roman" w:cs="Times New Roman"/>
              <w:spacing w:val="-7"/>
              <w:sz w:val="24"/>
              <w:szCs w:val="24"/>
            </w:rPr>
            <w:t>13.9</w:t>
          </w:r>
          <w:r>
            <w:rPr>
              <w:rFonts w:ascii="Times New Roman" w:hAnsi="Times New Roman" w:eastAsia="Times New Roman" w:cs="Times New Roman"/>
              <w:spacing w:val="12"/>
              <w:sz w:val="24"/>
              <w:szCs w:val="24"/>
            </w:rPr>
            <w:t xml:space="preserve"> </w:t>
          </w:r>
          <w:r>
            <w:rPr>
              <w:rFonts w:ascii="宋体" w:hAnsi="宋体" w:eastAsia="宋体" w:cs="宋体"/>
              <w:spacing w:val="-7"/>
              <w:sz w:val="24"/>
              <w:szCs w:val="24"/>
            </w:rPr>
            <w:t>建议</w:t>
          </w:r>
          <w:r>
            <w:rPr>
              <w:rFonts w:ascii="宋体" w:hAnsi="宋体" w:eastAsia="宋体" w:cs="宋体"/>
              <w:sz w:val="24"/>
              <w:szCs w:val="24"/>
            </w:rPr>
            <w:tab/>
          </w:r>
          <w:r>
            <w:rPr>
              <w:rFonts w:ascii="Times New Roman" w:hAnsi="Times New Roman" w:eastAsia="Times New Roman" w:cs="Times New Roman"/>
              <w:spacing w:val="2"/>
              <w:sz w:val="24"/>
              <w:szCs w:val="24"/>
            </w:rPr>
            <w:t>- 262</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fldChar w:fldCharType="end"/>
          </w:r>
        </w:p>
      </w:sdtContent>
    </w:sdt>
    <w:p w14:paraId="1952BA12">
      <w:pPr>
        <w:spacing w:line="220" w:lineRule="auto"/>
        <w:rPr>
          <w:rFonts w:ascii="Times New Roman" w:hAnsi="Times New Roman" w:eastAsia="Times New Roman" w:cs="Times New Roman"/>
          <w:sz w:val="24"/>
          <w:szCs w:val="24"/>
        </w:rPr>
        <w:sectPr>
          <w:pgSz w:w="11906" w:h="16839"/>
          <w:pgMar w:top="400" w:right="1785" w:bottom="400" w:left="1785" w:header="0" w:footer="0" w:gutter="0"/>
          <w:cols w:space="720" w:num="1"/>
        </w:sectPr>
      </w:pPr>
    </w:p>
    <w:p w14:paraId="0FF1ABF7">
      <w:pPr>
        <w:spacing w:before="270" w:line="222" w:lineRule="auto"/>
        <w:ind w:left="36"/>
        <w:outlineLvl w:val="0"/>
        <w:rPr>
          <w:rFonts w:ascii="黑体" w:hAnsi="黑体" w:eastAsia="黑体" w:cs="黑体"/>
          <w:sz w:val="28"/>
          <w:szCs w:val="28"/>
        </w:rPr>
      </w:pPr>
      <w:bookmarkStart w:id="0" w:name="bookmark1"/>
      <w:bookmarkEnd w:id="0"/>
      <w:r>
        <w:rPr>
          <w:rFonts w:ascii="黑体" w:hAnsi="黑体" w:eastAsia="黑体" w:cs="黑体"/>
          <w:b/>
          <w:bCs/>
          <w:spacing w:val="-14"/>
          <w:sz w:val="28"/>
          <w:szCs w:val="28"/>
        </w:rPr>
        <w:t>1</w:t>
      </w:r>
      <w:r>
        <w:rPr>
          <w:rFonts w:ascii="黑体" w:hAnsi="黑体" w:eastAsia="黑体" w:cs="黑体"/>
          <w:spacing w:val="-61"/>
          <w:sz w:val="28"/>
          <w:szCs w:val="28"/>
        </w:rPr>
        <w:t xml:space="preserve"> </w:t>
      </w:r>
      <w:r>
        <w:rPr>
          <w:rFonts w:ascii="黑体" w:hAnsi="黑体" w:eastAsia="黑体" w:cs="黑体"/>
          <w:b/>
          <w:bCs/>
          <w:spacing w:val="-14"/>
          <w:sz w:val="28"/>
          <w:szCs w:val="28"/>
        </w:rPr>
        <w:t>概述</w:t>
      </w:r>
    </w:p>
    <w:p w14:paraId="5129F2A9">
      <w:pPr>
        <w:pStyle w:val="2"/>
        <w:spacing w:line="272" w:lineRule="auto"/>
      </w:pPr>
    </w:p>
    <w:p w14:paraId="088651A3">
      <w:pPr>
        <w:spacing w:before="91" w:line="222" w:lineRule="auto"/>
        <w:ind w:left="30"/>
        <w:outlineLvl w:val="1"/>
        <w:rPr>
          <w:rFonts w:ascii="黑体" w:hAnsi="黑体" w:eastAsia="黑体" w:cs="黑体"/>
          <w:sz w:val="28"/>
          <w:szCs w:val="28"/>
        </w:rPr>
      </w:pPr>
      <w:bookmarkStart w:id="1" w:name="bookmark2"/>
      <w:bookmarkEnd w:id="1"/>
      <w:r>
        <w:rPr>
          <w:rFonts w:ascii="Times New Roman" w:hAnsi="Times New Roman" w:eastAsia="Times New Roman" w:cs="Times New Roman"/>
          <w:b/>
          <w:bCs/>
          <w:spacing w:val="-4"/>
          <w:sz w:val="28"/>
          <w:szCs w:val="28"/>
        </w:rPr>
        <w:t xml:space="preserve">1.1 </w:t>
      </w:r>
      <w:r>
        <w:rPr>
          <w:rFonts w:ascii="黑体" w:hAnsi="黑体" w:eastAsia="黑体" w:cs="黑体"/>
          <w:b/>
          <w:bCs/>
          <w:spacing w:val="-4"/>
          <w:sz w:val="28"/>
          <w:szCs w:val="28"/>
        </w:rPr>
        <w:t>项目由来</w:t>
      </w:r>
    </w:p>
    <w:p w14:paraId="49B22CD7">
      <w:pPr>
        <w:spacing w:before="254" w:line="360" w:lineRule="auto"/>
        <w:ind w:left="21" w:right="162" w:firstLine="509"/>
        <w:jc w:val="both"/>
        <w:rPr>
          <w:rFonts w:ascii="宋体" w:hAnsi="宋体" w:eastAsia="宋体" w:cs="宋体"/>
          <w:sz w:val="24"/>
          <w:szCs w:val="24"/>
        </w:rPr>
      </w:pPr>
      <w:r>
        <w:rPr>
          <w:rFonts w:ascii="宋体" w:hAnsi="宋体" w:eastAsia="宋体" w:cs="宋体"/>
          <w:spacing w:val="-1"/>
          <w:sz w:val="24"/>
          <w:szCs w:val="24"/>
        </w:rPr>
        <w:t>内蒙古玉龙矿业股份有限公司花敖包特银铅矿位于内蒙</w:t>
      </w:r>
      <w:r>
        <w:rPr>
          <w:rFonts w:ascii="宋体" w:hAnsi="宋体" w:eastAsia="宋体" w:cs="宋体"/>
          <w:spacing w:val="-2"/>
          <w:sz w:val="24"/>
          <w:szCs w:val="24"/>
        </w:rPr>
        <w:t>古自治区西乌珠穆</w:t>
      </w:r>
      <w:r>
        <w:rPr>
          <w:rFonts w:ascii="宋体" w:hAnsi="宋体" w:eastAsia="宋体" w:cs="宋体"/>
          <w:sz w:val="24"/>
          <w:szCs w:val="24"/>
        </w:rPr>
        <w:t xml:space="preserve"> 沁旗巴彦花镇巴彦胡博嘎查，南西距西乌珠穆沁旗政</w:t>
      </w:r>
      <w:r>
        <w:rPr>
          <w:rFonts w:ascii="宋体" w:hAnsi="宋体" w:eastAsia="宋体" w:cs="宋体"/>
          <w:spacing w:val="-1"/>
          <w:sz w:val="24"/>
          <w:szCs w:val="24"/>
        </w:rPr>
        <w:t>府所在地—巴拉嘎尔高勒</w:t>
      </w:r>
      <w:r>
        <w:rPr>
          <w:rFonts w:ascii="宋体" w:hAnsi="宋体" w:eastAsia="宋体" w:cs="宋体"/>
          <w:sz w:val="24"/>
          <w:szCs w:val="24"/>
        </w:rPr>
        <w:t xml:space="preserve"> </w:t>
      </w:r>
      <w:r>
        <w:rPr>
          <w:rFonts w:ascii="宋体" w:hAnsi="宋体" w:eastAsia="宋体" w:cs="宋体"/>
          <w:spacing w:val="2"/>
          <w:sz w:val="24"/>
          <w:szCs w:val="24"/>
        </w:rPr>
        <w:t>镇</w:t>
      </w:r>
      <w:r>
        <w:rPr>
          <w:rFonts w:ascii="宋体" w:hAnsi="宋体" w:eastAsia="宋体" w:cs="宋体"/>
          <w:spacing w:val="-11"/>
          <w:sz w:val="24"/>
          <w:szCs w:val="24"/>
        </w:rPr>
        <w:t xml:space="preserve"> </w:t>
      </w:r>
      <w:r>
        <w:rPr>
          <w:rFonts w:ascii="宋体" w:hAnsi="宋体" w:eastAsia="宋体" w:cs="宋体"/>
          <w:spacing w:val="2"/>
          <w:sz w:val="24"/>
          <w:szCs w:val="24"/>
        </w:rPr>
        <w:t>138</w:t>
      </w:r>
      <w:r>
        <w:rPr>
          <w:rFonts w:ascii="宋体" w:hAnsi="宋体" w:eastAsia="宋体" w:cs="宋体"/>
          <w:sz w:val="24"/>
          <w:szCs w:val="24"/>
        </w:rPr>
        <w:t>km</w:t>
      </w:r>
      <w:r>
        <w:rPr>
          <w:rFonts w:ascii="宋体" w:hAnsi="宋体" w:eastAsia="宋体" w:cs="宋体"/>
          <w:spacing w:val="2"/>
          <w:sz w:val="24"/>
          <w:szCs w:val="24"/>
        </w:rPr>
        <w:t>，北东距霍林郭勒市</w:t>
      </w:r>
      <w:r>
        <w:rPr>
          <w:rFonts w:ascii="宋体" w:hAnsi="宋体" w:eastAsia="宋体" w:cs="宋体"/>
          <w:spacing w:val="-40"/>
          <w:sz w:val="24"/>
          <w:szCs w:val="24"/>
        </w:rPr>
        <w:t xml:space="preserve"> </w:t>
      </w:r>
      <w:r>
        <w:rPr>
          <w:rFonts w:ascii="宋体" w:hAnsi="宋体" w:eastAsia="宋体" w:cs="宋体"/>
          <w:spacing w:val="2"/>
          <w:sz w:val="24"/>
          <w:szCs w:val="24"/>
        </w:rPr>
        <w:t>75</w:t>
      </w:r>
      <w:r>
        <w:rPr>
          <w:rFonts w:ascii="宋体" w:hAnsi="宋体" w:eastAsia="宋体" w:cs="宋体"/>
          <w:sz w:val="24"/>
          <w:szCs w:val="24"/>
        </w:rPr>
        <w:t>km</w:t>
      </w:r>
      <w:r>
        <w:rPr>
          <w:rFonts w:ascii="宋体" w:hAnsi="宋体" w:eastAsia="宋体" w:cs="宋体"/>
          <w:spacing w:val="2"/>
          <w:sz w:val="24"/>
          <w:szCs w:val="24"/>
        </w:rPr>
        <w:t>，入厂区有水泥公路相连，厂区西南</w:t>
      </w:r>
      <w:r>
        <w:rPr>
          <w:rFonts w:ascii="宋体" w:hAnsi="宋体" w:eastAsia="宋体" w:cs="宋体"/>
          <w:spacing w:val="-26"/>
          <w:sz w:val="24"/>
          <w:szCs w:val="24"/>
        </w:rPr>
        <w:t xml:space="preserve"> </w:t>
      </w:r>
      <w:r>
        <w:rPr>
          <w:rFonts w:ascii="宋体" w:hAnsi="宋体" w:eastAsia="宋体" w:cs="宋体"/>
          <w:spacing w:val="2"/>
          <w:sz w:val="24"/>
          <w:szCs w:val="24"/>
        </w:rPr>
        <w:t>15</w:t>
      </w:r>
      <w:r>
        <w:rPr>
          <w:rFonts w:ascii="宋体" w:hAnsi="宋体" w:eastAsia="宋体" w:cs="宋体"/>
          <w:sz w:val="24"/>
          <w:szCs w:val="24"/>
        </w:rPr>
        <w:t xml:space="preserve">km </w:t>
      </w:r>
      <w:r>
        <w:rPr>
          <w:rFonts w:ascii="宋体" w:hAnsi="宋体" w:eastAsia="宋体" w:cs="宋体"/>
          <w:spacing w:val="-1"/>
          <w:sz w:val="24"/>
          <w:szCs w:val="24"/>
        </w:rPr>
        <w:t>处有一级公路可直达西乌珠穆沁旗政府所在地，交通较为方便。</w:t>
      </w:r>
    </w:p>
    <w:p w14:paraId="285A4F21">
      <w:pPr>
        <w:spacing w:before="27" w:line="359" w:lineRule="auto"/>
        <w:ind w:left="16" w:right="161" w:firstLine="483"/>
        <w:rPr>
          <w:rFonts w:ascii="宋体" w:hAnsi="宋体" w:eastAsia="宋体" w:cs="宋体"/>
          <w:sz w:val="24"/>
          <w:szCs w:val="24"/>
        </w:rPr>
      </w:pPr>
      <w:r>
        <w:rPr>
          <w:rFonts w:ascii="宋体" w:hAnsi="宋体" w:eastAsia="宋体" w:cs="宋体"/>
          <w:spacing w:val="-7"/>
          <w:sz w:val="24"/>
          <w:szCs w:val="24"/>
        </w:rPr>
        <w:t>矿山现有</w:t>
      </w:r>
      <w:r>
        <w:rPr>
          <w:rFonts w:ascii="宋体" w:hAnsi="宋体" w:eastAsia="宋体" w:cs="宋体"/>
          <w:spacing w:val="-59"/>
          <w:sz w:val="24"/>
          <w:szCs w:val="24"/>
        </w:rPr>
        <w:t xml:space="preserve"> </w:t>
      </w:r>
      <w:r>
        <w:rPr>
          <w:rFonts w:ascii="宋体" w:hAnsi="宋体" w:eastAsia="宋体" w:cs="宋体"/>
          <w:spacing w:val="-7"/>
          <w:sz w:val="24"/>
          <w:szCs w:val="24"/>
        </w:rPr>
        <w:t>1400t/d选矿厂</w:t>
      </w:r>
      <w:r>
        <w:rPr>
          <w:rFonts w:ascii="宋体" w:hAnsi="宋体" w:eastAsia="宋体" w:cs="宋体"/>
          <w:spacing w:val="-57"/>
          <w:sz w:val="24"/>
          <w:szCs w:val="24"/>
        </w:rPr>
        <w:t xml:space="preserve"> </w:t>
      </w:r>
      <w:r>
        <w:rPr>
          <w:rFonts w:ascii="宋体" w:hAnsi="宋体" w:eastAsia="宋体" w:cs="宋体"/>
          <w:spacing w:val="-7"/>
          <w:sz w:val="24"/>
          <w:szCs w:val="24"/>
        </w:rPr>
        <w:t>1座，2000t/d尾矿再选选矿厂</w:t>
      </w:r>
      <w:r>
        <w:rPr>
          <w:rFonts w:ascii="宋体" w:hAnsi="宋体" w:eastAsia="宋体" w:cs="宋体"/>
          <w:spacing w:val="-57"/>
          <w:sz w:val="24"/>
          <w:szCs w:val="24"/>
        </w:rPr>
        <w:t xml:space="preserve"> </w:t>
      </w:r>
      <w:r>
        <w:rPr>
          <w:rFonts w:ascii="宋体" w:hAnsi="宋体" w:eastAsia="宋体" w:cs="宋体"/>
          <w:spacing w:val="-7"/>
          <w:sz w:val="24"/>
          <w:szCs w:val="24"/>
        </w:rPr>
        <w:t>1座。其</w:t>
      </w:r>
      <w:r>
        <w:rPr>
          <w:rFonts w:ascii="宋体" w:hAnsi="宋体" w:eastAsia="宋体" w:cs="宋体"/>
          <w:spacing w:val="-8"/>
          <w:sz w:val="24"/>
          <w:szCs w:val="24"/>
        </w:rPr>
        <w:t>中，1400t/d</w:t>
      </w:r>
      <w:r>
        <w:rPr>
          <w:rFonts w:ascii="宋体" w:hAnsi="宋体" w:eastAsia="宋体" w:cs="宋体"/>
          <w:sz w:val="24"/>
          <w:szCs w:val="24"/>
        </w:rPr>
        <w:t xml:space="preserve"> </w:t>
      </w:r>
      <w:r>
        <w:rPr>
          <w:rFonts w:ascii="宋体" w:hAnsi="宋体" w:eastAsia="宋体" w:cs="宋体"/>
          <w:spacing w:val="16"/>
          <w:sz w:val="24"/>
          <w:szCs w:val="24"/>
        </w:rPr>
        <w:t>选矿厂于</w:t>
      </w:r>
      <w:r>
        <w:rPr>
          <w:rFonts w:ascii="宋体" w:hAnsi="宋体" w:eastAsia="宋体" w:cs="宋体"/>
          <w:spacing w:val="-27"/>
          <w:sz w:val="24"/>
          <w:szCs w:val="24"/>
        </w:rPr>
        <w:t xml:space="preserve"> </w:t>
      </w:r>
      <w:r>
        <w:rPr>
          <w:rFonts w:ascii="宋体" w:hAnsi="宋体" w:eastAsia="宋体" w:cs="宋体"/>
          <w:spacing w:val="16"/>
          <w:sz w:val="24"/>
          <w:szCs w:val="24"/>
        </w:rPr>
        <w:t>2005</w:t>
      </w:r>
      <w:r>
        <w:rPr>
          <w:rFonts w:ascii="宋体" w:hAnsi="宋体" w:eastAsia="宋体" w:cs="宋体"/>
          <w:spacing w:val="-28"/>
          <w:sz w:val="24"/>
          <w:szCs w:val="24"/>
        </w:rPr>
        <w:t xml:space="preserve"> </w:t>
      </w:r>
      <w:r>
        <w:rPr>
          <w:rFonts w:ascii="宋体" w:hAnsi="宋体" w:eastAsia="宋体" w:cs="宋体"/>
          <w:spacing w:val="16"/>
          <w:sz w:val="24"/>
          <w:szCs w:val="24"/>
        </w:rPr>
        <w:t>年取得内蒙古锡林郭勒盟环境保护局环评批复（锡署环审</w:t>
      </w:r>
      <w:r>
        <w:rPr>
          <w:rFonts w:ascii="宋体" w:hAnsi="宋体" w:eastAsia="宋体" w:cs="宋体"/>
          <w:sz w:val="24"/>
          <w:szCs w:val="24"/>
        </w:rPr>
        <w:t xml:space="preserve"> [2005]4</w:t>
      </w:r>
      <w:r>
        <w:rPr>
          <w:rFonts w:ascii="宋体" w:hAnsi="宋体" w:eastAsia="宋体" w:cs="宋体"/>
          <w:spacing w:val="-42"/>
          <w:sz w:val="24"/>
          <w:szCs w:val="24"/>
        </w:rPr>
        <w:t xml:space="preserve"> </w:t>
      </w:r>
      <w:r>
        <w:rPr>
          <w:rFonts w:ascii="宋体" w:hAnsi="宋体" w:eastAsia="宋体" w:cs="宋体"/>
          <w:sz w:val="24"/>
          <w:szCs w:val="24"/>
        </w:rPr>
        <w:t>号</w:t>
      </w:r>
      <w:r>
        <w:rPr>
          <w:rFonts w:ascii="宋体" w:hAnsi="宋体" w:eastAsia="宋体" w:cs="宋体"/>
          <w:spacing w:val="8"/>
          <w:sz w:val="24"/>
          <w:szCs w:val="24"/>
        </w:rPr>
        <w:t>），</w:t>
      </w:r>
      <w:r>
        <w:rPr>
          <w:rFonts w:ascii="宋体" w:hAnsi="宋体" w:eastAsia="宋体" w:cs="宋体"/>
          <w:sz w:val="24"/>
          <w:szCs w:val="24"/>
        </w:rPr>
        <w:t>2006</w:t>
      </w:r>
      <w:r>
        <w:rPr>
          <w:rFonts w:ascii="宋体" w:hAnsi="宋体" w:eastAsia="宋体" w:cs="宋体"/>
          <w:spacing w:val="-45"/>
          <w:sz w:val="24"/>
          <w:szCs w:val="24"/>
        </w:rPr>
        <w:t xml:space="preserve"> </w:t>
      </w:r>
      <w:r>
        <w:rPr>
          <w:rFonts w:ascii="宋体" w:hAnsi="宋体" w:eastAsia="宋体" w:cs="宋体"/>
          <w:sz w:val="24"/>
          <w:szCs w:val="24"/>
        </w:rPr>
        <w:t>年取得竣工环境保护验收意见（锡环验</w:t>
      </w:r>
      <w:r>
        <w:rPr>
          <w:rFonts w:ascii="宋体" w:hAnsi="宋体" w:eastAsia="宋体" w:cs="宋体"/>
          <w:spacing w:val="-1"/>
          <w:sz w:val="24"/>
          <w:szCs w:val="24"/>
        </w:rPr>
        <w:t>[2006]005</w:t>
      </w:r>
      <w:r>
        <w:rPr>
          <w:rFonts w:ascii="宋体" w:hAnsi="宋体" w:eastAsia="宋体" w:cs="宋体"/>
          <w:spacing w:val="-42"/>
          <w:sz w:val="24"/>
          <w:szCs w:val="24"/>
        </w:rPr>
        <w:t xml:space="preserve"> </w:t>
      </w:r>
      <w:r>
        <w:rPr>
          <w:rFonts w:ascii="宋体" w:hAnsi="宋体" w:eastAsia="宋体" w:cs="宋体"/>
          <w:spacing w:val="-1"/>
          <w:sz w:val="24"/>
          <w:szCs w:val="24"/>
        </w:rPr>
        <w:t>号）。</w:t>
      </w:r>
      <w:r>
        <w:rPr>
          <w:rFonts w:ascii="宋体" w:hAnsi="宋体" w:eastAsia="宋体" w:cs="宋体"/>
          <w:sz w:val="24"/>
          <w:szCs w:val="24"/>
        </w:rPr>
        <w:t xml:space="preserve"> </w:t>
      </w:r>
      <w:r>
        <w:rPr>
          <w:rFonts w:ascii="Times New Roman" w:hAnsi="Times New Roman" w:eastAsia="Times New Roman" w:cs="Times New Roman"/>
          <w:sz w:val="24"/>
          <w:szCs w:val="24"/>
        </w:rPr>
        <w:t>2019</w:t>
      </w:r>
      <w:r>
        <w:rPr>
          <w:rFonts w:ascii="Times New Roman" w:hAnsi="Times New Roman" w:eastAsia="Times New Roman" w:cs="Times New Roman"/>
          <w:spacing w:val="-7"/>
          <w:sz w:val="24"/>
          <w:szCs w:val="24"/>
        </w:rPr>
        <w:t xml:space="preserve"> </w:t>
      </w:r>
      <w:r>
        <w:rPr>
          <w:rFonts w:ascii="宋体" w:hAnsi="宋体" w:eastAsia="宋体" w:cs="宋体"/>
          <w:sz w:val="24"/>
          <w:szCs w:val="24"/>
        </w:rPr>
        <w:t>年</w:t>
      </w:r>
      <w:r>
        <w:rPr>
          <w:rFonts w:ascii="Times New Roman" w:hAnsi="Times New Roman" w:eastAsia="Times New Roman" w:cs="Times New Roman"/>
          <w:sz w:val="24"/>
          <w:szCs w:val="24"/>
        </w:rPr>
        <w:t xml:space="preserve">4 </w:t>
      </w:r>
      <w:r>
        <w:rPr>
          <w:rFonts w:ascii="宋体" w:hAnsi="宋体" w:eastAsia="宋体" w:cs="宋体"/>
          <w:sz w:val="24"/>
          <w:szCs w:val="24"/>
        </w:rPr>
        <w:t xml:space="preserve">月内蒙古玉龙矿业股份有限公司委托中冶东方控股有限公司编制完成 </w:t>
      </w:r>
      <w:r>
        <w:rPr>
          <w:rFonts w:ascii="宋体" w:hAnsi="宋体" w:eastAsia="宋体" w:cs="宋体"/>
          <w:spacing w:val="2"/>
          <w:sz w:val="24"/>
          <w:szCs w:val="24"/>
        </w:rPr>
        <w:t>了《内蒙古玉龙矿业股份有限公司花敖包特银铅矿</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1400t/d</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选矿厂技术改造项</w:t>
      </w:r>
      <w:r>
        <w:rPr>
          <w:rFonts w:ascii="宋体" w:hAnsi="宋体" w:eastAsia="宋体" w:cs="宋体"/>
          <w:sz w:val="24"/>
          <w:szCs w:val="24"/>
        </w:rPr>
        <w:t xml:space="preserve"> </w:t>
      </w:r>
      <w:r>
        <w:rPr>
          <w:rFonts w:ascii="宋体" w:hAnsi="宋体" w:eastAsia="宋体" w:cs="宋体"/>
          <w:spacing w:val="-4"/>
          <w:sz w:val="24"/>
          <w:szCs w:val="24"/>
        </w:rPr>
        <w:t>目环境影响报告书》，2019</w:t>
      </w:r>
      <w:r>
        <w:rPr>
          <w:rFonts w:ascii="宋体" w:hAnsi="宋体" w:eastAsia="宋体" w:cs="宋体"/>
          <w:spacing w:val="-35"/>
          <w:sz w:val="24"/>
          <w:szCs w:val="24"/>
        </w:rPr>
        <w:t xml:space="preserve"> </w:t>
      </w:r>
      <w:r>
        <w:rPr>
          <w:rFonts w:ascii="宋体" w:hAnsi="宋体" w:eastAsia="宋体" w:cs="宋体"/>
          <w:spacing w:val="-4"/>
          <w:sz w:val="24"/>
          <w:szCs w:val="24"/>
        </w:rPr>
        <w:t>年</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5"/>
          <w:sz w:val="24"/>
          <w:szCs w:val="24"/>
        </w:rPr>
        <w:t xml:space="preserve"> </w:t>
      </w:r>
      <w:r>
        <w:rPr>
          <w:rFonts w:ascii="宋体" w:hAnsi="宋体" w:eastAsia="宋体" w:cs="宋体"/>
          <w:spacing w:val="-4"/>
          <w:sz w:val="24"/>
          <w:szCs w:val="24"/>
        </w:rPr>
        <w:t>月</w:t>
      </w:r>
      <w:r>
        <w:rPr>
          <w:rFonts w:ascii="宋体" w:hAnsi="宋体" w:eastAsia="宋体" w:cs="宋体"/>
          <w:spacing w:val="-33"/>
          <w:sz w:val="24"/>
          <w:szCs w:val="24"/>
        </w:rPr>
        <w:t xml:space="preserve"> </w:t>
      </w:r>
      <w:r>
        <w:rPr>
          <w:rFonts w:ascii="宋体" w:hAnsi="宋体" w:eastAsia="宋体" w:cs="宋体"/>
          <w:spacing w:val="-4"/>
          <w:sz w:val="24"/>
          <w:szCs w:val="24"/>
        </w:rPr>
        <w:t>1400t/d</w:t>
      </w:r>
      <w:r>
        <w:rPr>
          <w:rFonts w:ascii="宋体" w:hAnsi="宋体" w:eastAsia="宋体" w:cs="宋体"/>
          <w:spacing w:val="-52"/>
          <w:sz w:val="24"/>
          <w:szCs w:val="24"/>
        </w:rPr>
        <w:t xml:space="preserve"> </w:t>
      </w:r>
      <w:r>
        <w:rPr>
          <w:rFonts w:ascii="宋体" w:hAnsi="宋体" w:eastAsia="宋体" w:cs="宋体"/>
          <w:spacing w:val="-4"/>
          <w:sz w:val="24"/>
          <w:szCs w:val="24"/>
        </w:rPr>
        <w:t>选矿厂技术改造取得内蒙古锡林郭</w:t>
      </w:r>
      <w:r>
        <w:rPr>
          <w:rFonts w:ascii="宋体" w:hAnsi="宋体" w:eastAsia="宋体" w:cs="宋体"/>
          <w:sz w:val="24"/>
          <w:szCs w:val="24"/>
        </w:rPr>
        <w:t xml:space="preserve"> </w:t>
      </w:r>
      <w:r>
        <w:rPr>
          <w:rFonts w:ascii="宋体" w:hAnsi="宋体" w:eastAsia="宋体" w:cs="宋体"/>
          <w:spacing w:val="-2"/>
          <w:sz w:val="24"/>
          <w:szCs w:val="24"/>
        </w:rPr>
        <w:t>勒盟生态环境局环评批复（锡署环审书[2019]7</w:t>
      </w:r>
      <w:r>
        <w:rPr>
          <w:rFonts w:ascii="宋体" w:hAnsi="宋体" w:eastAsia="宋体" w:cs="宋体"/>
          <w:spacing w:val="-44"/>
          <w:sz w:val="24"/>
          <w:szCs w:val="24"/>
        </w:rPr>
        <w:t xml:space="preserve"> </w:t>
      </w:r>
      <w:r>
        <w:rPr>
          <w:rFonts w:ascii="宋体" w:hAnsi="宋体" w:eastAsia="宋体" w:cs="宋体"/>
          <w:spacing w:val="-2"/>
          <w:sz w:val="24"/>
          <w:szCs w:val="24"/>
        </w:rPr>
        <w:t>号</w:t>
      </w:r>
      <w:r>
        <w:rPr>
          <w:rFonts w:ascii="宋体" w:hAnsi="宋体" w:eastAsia="宋体" w:cs="宋体"/>
          <w:spacing w:val="-34"/>
          <w:sz w:val="24"/>
          <w:szCs w:val="24"/>
        </w:rPr>
        <w:t>）；</w:t>
      </w:r>
      <w:r>
        <w:rPr>
          <w:rFonts w:ascii="宋体" w:hAnsi="宋体" w:eastAsia="宋体" w:cs="宋体"/>
          <w:spacing w:val="-2"/>
          <w:sz w:val="24"/>
          <w:szCs w:val="24"/>
        </w:rPr>
        <w:t>2000t/d</w:t>
      </w:r>
      <w:r>
        <w:rPr>
          <w:rFonts w:ascii="宋体" w:hAnsi="宋体" w:eastAsia="宋体" w:cs="宋体"/>
          <w:spacing w:val="-51"/>
          <w:sz w:val="24"/>
          <w:szCs w:val="24"/>
        </w:rPr>
        <w:t xml:space="preserve"> </w:t>
      </w:r>
      <w:r>
        <w:rPr>
          <w:rFonts w:ascii="宋体" w:hAnsi="宋体" w:eastAsia="宋体" w:cs="宋体"/>
          <w:spacing w:val="-2"/>
          <w:sz w:val="24"/>
          <w:szCs w:val="24"/>
        </w:rPr>
        <w:t>尾</w:t>
      </w:r>
      <w:r>
        <w:rPr>
          <w:rFonts w:ascii="宋体" w:hAnsi="宋体" w:eastAsia="宋体" w:cs="宋体"/>
          <w:spacing w:val="-3"/>
          <w:sz w:val="24"/>
          <w:szCs w:val="24"/>
        </w:rPr>
        <w:t>矿再选选矿厂</w:t>
      </w:r>
      <w:r>
        <w:rPr>
          <w:rFonts w:ascii="宋体" w:hAnsi="宋体" w:eastAsia="宋体" w:cs="宋体"/>
          <w:sz w:val="24"/>
          <w:szCs w:val="24"/>
        </w:rPr>
        <w:t xml:space="preserve"> </w:t>
      </w:r>
      <w:r>
        <w:rPr>
          <w:rFonts w:ascii="宋体" w:hAnsi="宋体" w:eastAsia="宋体" w:cs="宋体"/>
          <w:spacing w:val="-1"/>
          <w:sz w:val="24"/>
          <w:szCs w:val="24"/>
        </w:rPr>
        <w:t>于</w:t>
      </w:r>
      <w:r>
        <w:rPr>
          <w:rFonts w:ascii="宋体" w:hAnsi="宋体" w:eastAsia="宋体" w:cs="宋体"/>
          <w:spacing w:val="-47"/>
          <w:sz w:val="24"/>
          <w:szCs w:val="24"/>
        </w:rPr>
        <w:t xml:space="preserve"> </w:t>
      </w:r>
      <w:r>
        <w:rPr>
          <w:rFonts w:ascii="宋体" w:hAnsi="宋体" w:eastAsia="宋体" w:cs="宋体"/>
          <w:spacing w:val="-1"/>
          <w:sz w:val="24"/>
          <w:szCs w:val="24"/>
        </w:rPr>
        <w:t>2008</w:t>
      </w:r>
      <w:r>
        <w:rPr>
          <w:rFonts w:ascii="宋体" w:hAnsi="宋体" w:eastAsia="宋体" w:cs="宋体"/>
          <w:spacing w:val="-49"/>
          <w:sz w:val="24"/>
          <w:szCs w:val="24"/>
        </w:rPr>
        <w:t xml:space="preserve"> </w:t>
      </w:r>
      <w:r>
        <w:rPr>
          <w:rFonts w:ascii="宋体" w:hAnsi="宋体" w:eastAsia="宋体" w:cs="宋体"/>
          <w:spacing w:val="-1"/>
          <w:sz w:val="24"/>
          <w:szCs w:val="24"/>
        </w:rPr>
        <w:t>年取得内蒙古自治区环境保护局环评批复（内环审[2008</w:t>
      </w:r>
      <w:r>
        <w:rPr>
          <w:rFonts w:ascii="宋体" w:hAnsi="宋体" w:eastAsia="宋体" w:cs="宋体"/>
          <w:spacing w:val="-2"/>
          <w:sz w:val="24"/>
          <w:szCs w:val="24"/>
        </w:rPr>
        <w:t>]159</w:t>
      </w:r>
      <w:r>
        <w:rPr>
          <w:rFonts w:ascii="宋体" w:hAnsi="宋体" w:eastAsia="宋体" w:cs="宋体"/>
          <w:spacing w:val="-45"/>
          <w:sz w:val="24"/>
          <w:szCs w:val="24"/>
        </w:rPr>
        <w:t xml:space="preserve"> </w:t>
      </w:r>
      <w:r>
        <w:rPr>
          <w:rFonts w:ascii="宋体" w:hAnsi="宋体" w:eastAsia="宋体" w:cs="宋体"/>
          <w:spacing w:val="-2"/>
          <w:sz w:val="24"/>
          <w:szCs w:val="24"/>
        </w:rPr>
        <w:t>号文</w:t>
      </w:r>
      <w:r>
        <w:rPr>
          <w:rFonts w:ascii="宋体" w:hAnsi="宋体" w:eastAsia="宋体" w:cs="宋体"/>
          <w:spacing w:val="-30"/>
          <w:sz w:val="24"/>
          <w:szCs w:val="24"/>
        </w:rPr>
        <w:t>），</w:t>
      </w:r>
      <w:r>
        <w:rPr>
          <w:rFonts w:ascii="宋体" w:hAnsi="宋体" w:eastAsia="宋体" w:cs="宋体"/>
          <w:sz w:val="24"/>
          <w:szCs w:val="24"/>
        </w:rPr>
        <w:t xml:space="preserve"> </w:t>
      </w:r>
      <w:r>
        <w:rPr>
          <w:rFonts w:ascii="宋体" w:hAnsi="宋体" w:eastAsia="宋体" w:cs="宋体"/>
          <w:spacing w:val="-2"/>
          <w:sz w:val="24"/>
          <w:szCs w:val="24"/>
        </w:rPr>
        <w:t>2012</w:t>
      </w:r>
      <w:r>
        <w:rPr>
          <w:rFonts w:ascii="宋体" w:hAnsi="宋体" w:eastAsia="宋体" w:cs="宋体"/>
          <w:spacing w:val="-50"/>
          <w:sz w:val="24"/>
          <w:szCs w:val="24"/>
        </w:rPr>
        <w:t xml:space="preserve"> </w:t>
      </w:r>
      <w:r>
        <w:rPr>
          <w:rFonts w:ascii="宋体" w:hAnsi="宋体" w:eastAsia="宋体" w:cs="宋体"/>
          <w:spacing w:val="-2"/>
          <w:sz w:val="24"/>
          <w:szCs w:val="24"/>
        </w:rPr>
        <w:t>年，因原料运输、尾砂排放和破碎系统工艺发生变更，委托中</w:t>
      </w:r>
      <w:r>
        <w:rPr>
          <w:rFonts w:ascii="宋体" w:hAnsi="宋体" w:eastAsia="宋体" w:cs="宋体"/>
          <w:spacing w:val="-3"/>
          <w:sz w:val="24"/>
          <w:szCs w:val="24"/>
        </w:rPr>
        <w:t>冶东方工程</w:t>
      </w:r>
      <w:r>
        <w:rPr>
          <w:rFonts w:ascii="宋体" w:hAnsi="宋体" w:eastAsia="宋体" w:cs="宋体"/>
          <w:sz w:val="24"/>
          <w:szCs w:val="24"/>
        </w:rPr>
        <w:t xml:space="preserve"> </w:t>
      </w:r>
      <w:r>
        <w:rPr>
          <w:rFonts w:ascii="宋体" w:hAnsi="宋体" w:eastAsia="宋体" w:cs="宋体"/>
          <w:spacing w:val="-4"/>
          <w:sz w:val="24"/>
          <w:szCs w:val="24"/>
        </w:rPr>
        <w:t>技术有限公司编制了变更项目环境影响报告书，该变更项目于</w:t>
      </w:r>
      <w:r>
        <w:rPr>
          <w:rFonts w:ascii="宋体" w:hAnsi="宋体" w:eastAsia="宋体" w:cs="宋体"/>
          <w:spacing w:val="-48"/>
          <w:sz w:val="24"/>
          <w:szCs w:val="24"/>
        </w:rPr>
        <w:t xml:space="preserve"> </w:t>
      </w:r>
      <w:r>
        <w:rPr>
          <w:rFonts w:ascii="宋体" w:hAnsi="宋体" w:eastAsia="宋体" w:cs="宋体"/>
          <w:spacing w:val="-4"/>
          <w:sz w:val="24"/>
          <w:szCs w:val="24"/>
        </w:rPr>
        <w:t>2012</w:t>
      </w:r>
      <w:r>
        <w:rPr>
          <w:rFonts w:ascii="宋体" w:hAnsi="宋体" w:eastAsia="宋体" w:cs="宋体"/>
          <w:spacing w:val="-50"/>
          <w:sz w:val="24"/>
          <w:szCs w:val="24"/>
        </w:rPr>
        <w:t xml:space="preserve"> </w:t>
      </w:r>
      <w:r>
        <w:rPr>
          <w:rFonts w:ascii="宋体" w:hAnsi="宋体" w:eastAsia="宋体" w:cs="宋体"/>
          <w:spacing w:val="-5"/>
          <w:sz w:val="24"/>
          <w:szCs w:val="24"/>
        </w:rPr>
        <w:t>年取得内蒙</w:t>
      </w:r>
      <w:r>
        <w:rPr>
          <w:rFonts w:ascii="宋体" w:hAnsi="宋体" w:eastAsia="宋体" w:cs="宋体"/>
          <w:sz w:val="24"/>
          <w:szCs w:val="24"/>
        </w:rPr>
        <w:t xml:space="preserve"> 古自治区环境保护厅备案（内环函[2012]149</w:t>
      </w:r>
      <w:r>
        <w:rPr>
          <w:rFonts w:ascii="宋体" w:hAnsi="宋体" w:eastAsia="宋体" w:cs="宋体"/>
          <w:spacing w:val="-45"/>
          <w:sz w:val="24"/>
          <w:szCs w:val="24"/>
        </w:rPr>
        <w:t xml:space="preserve"> </w:t>
      </w:r>
      <w:r>
        <w:rPr>
          <w:rFonts w:ascii="宋体" w:hAnsi="宋体" w:eastAsia="宋体" w:cs="宋体"/>
          <w:sz w:val="24"/>
          <w:szCs w:val="24"/>
        </w:rPr>
        <w:t>号</w:t>
      </w:r>
      <w:r>
        <w:rPr>
          <w:rFonts w:ascii="宋体" w:hAnsi="宋体" w:eastAsia="宋体" w:cs="宋体"/>
          <w:spacing w:val="20"/>
          <w:sz w:val="24"/>
          <w:szCs w:val="24"/>
        </w:rPr>
        <w:t>）；</w:t>
      </w:r>
      <w:r>
        <w:rPr>
          <w:rFonts w:ascii="宋体" w:hAnsi="宋体" w:eastAsia="宋体" w:cs="宋体"/>
          <w:sz w:val="24"/>
          <w:szCs w:val="24"/>
        </w:rPr>
        <w:t>同年取得内蒙古</w:t>
      </w:r>
      <w:r>
        <w:rPr>
          <w:rFonts w:ascii="宋体" w:hAnsi="宋体" w:eastAsia="宋体" w:cs="宋体"/>
          <w:spacing w:val="-1"/>
          <w:sz w:val="24"/>
          <w:szCs w:val="24"/>
        </w:rPr>
        <w:t>自治区环</w:t>
      </w:r>
      <w:r>
        <w:rPr>
          <w:rFonts w:ascii="宋体" w:hAnsi="宋体" w:eastAsia="宋体" w:cs="宋体"/>
          <w:sz w:val="24"/>
          <w:szCs w:val="24"/>
        </w:rPr>
        <w:t xml:space="preserve"> </w:t>
      </w:r>
      <w:r>
        <w:rPr>
          <w:rFonts w:ascii="宋体" w:hAnsi="宋体" w:eastAsia="宋体" w:cs="宋体"/>
          <w:spacing w:val="-2"/>
          <w:sz w:val="24"/>
          <w:szCs w:val="24"/>
        </w:rPr>
        <w:t>境保护厅竣工环境保护验收意见（内环验[2012]73</w:t>
      </w:r>
      <w:r>
        <w:rPr>
          <w:rFonts w:ascii="宋体" w:hAnsi="宋体" w:eastAsia="宋体" w:cs="宋体"/>
          <w:spacing w:val="-45"/>
          <w:sz w:val="24"/>
          <w:szCs w:val="24"/>
        </w:rPr>
        <w:t xml:space="preserve"> </w:t>
      </w:r>
      <w:r>
        <w:rPr>
          <w:rFonts w:ascii="宋体" w:hAnsi="宋体" w:eastAsia="宋体" w:cs="宋体"/>
          <w:spacing w:val="-2"/>
          <w:sz w:val="24"/>
          <w:szCs w:val="24"/>
        </w:rPr>
        <w:t>号</w:t>
      </w:r>
      <w:r>
        <w:rPr>
          <w:rFonts w:ascii="宋体" w:hAnsi="宋体" w:eastAsia="宋体" w:cs="宋体"/>
          <w:spacing w:val="6"/>
          <w:sz w:val="24"/>
          <w:szCs w:val="24"/>
        </w:rPr>
        <w:t>）；</w:t>
      </w:r>
      <w:r>
        <w:rPr>
          <w:rFonts w:ascii="宋体" w:hAnsi="宋体" w:eastAsia="宋体" w:cs="宋体"/>
          <w:spacing w:val="-2"/>
          <w:sz w:val="24"/>
          <w:szCs w:val="24"/>
        </w:rPr>
        <w:t>2</w:t>
      </w:r>
      <w:r>
        <w:rPr>
          <w:rFonts w:ascii="宋体" w:hAnsi="宋体" w:eastAsia="宋体" w:cs="宋体"/>
          <w:spacing w:val="-3"/>
          <w:sz w:val="24"/>
          <w:szCs w:val="24"/>
        </w:rPr>
        <w:t>014</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pacing w:val="-33"/>
          <w:sz w:val="24"/>
          <w:szCs w:val="24"/>
        </w:rPr>
        <w:t xml:space="preserve"> </w:t>
      </w:r>
      <w:r>
        <w:rPr>
          <w:rFonts w:ascii="宋体" w:hAnsi="宋体" w:eastAsia="宋体" w:cs="宋体"/>
          <w:spacing w:val="-3"/>
          <w:sz w:val="24"/>
          <w:szCs w:val="24"/>
        </w:rPr>
        <w:t>11</w:t>
      </w:r>
      <w:r>
        <w:rPr>
          <w:rFonts w:ascii="宋体" w:hAnsi="宋体" w:eastAsia="宋体" w:cs="宋体"/>
          <w:spacing w:val="-45"/>
          <w:sz w:val="24"/>
          <w:szCs w:val="24"/>
        </w:rPr>
        <w:t xml:space="preserve"> </w:t>
      </w:r>
      <w:r>
        <w:rPr>
          <w:rFonts w:ascii="宋体" w:hAnsi="宋体" w:eastAsia="宋体" w:cs="宋体"/>
          <w:spacing w:val="-3"/>
          <w:sz w:val="24"/>
          <w:szCs w:val="24"/>
        </w:rPr>
        <w:t>月，公司</w:t>
      </w:r>
      <w:r>
        <w:rPr>
          <w:rFonts w:ascii="宋体" w:hAnsi="宋体" w:eastAsia="宋体" w:cs="宋体"/>
          <w:sz w:val="24"/>
          <w:szCs w:val="24"/>
        </w:rPr>
        <w:t xml:space="preserve"> 取得《内蒙古自治区环境保护厅关于内蒙古玉龙矿业股份有限</w:t>
      </w:r>
      <w:r>
        <w:rPr>
          <w:rFonts w:ascii="宋体" w:hAnsi="宋体" w:eastAsia="宋体" w:cs="宋体"/>
          <w:spacing w:val="-1"/>
          <w:sz w:val="24"/>
          <w:szCs w:val="24"/>
        </w:rPr>
        <w:t>公司西乌珠穆沁</w:t>
      </w:r>
      <w:r>
        <w:rPr>
          <w:rFonts w:ascii="宋体" w:hAnsi="宋体" w:eastAsia="宋体" w:cs="宋体"/>
          <w:sz w:val="24"/>
          <w:szCs w:val="24"/>
        </w:rPr>
        <w:t xml:space="preserve"> </w:t>
      </w:r>
      <w:r>
        <w:rPr>
          <w:rFonts w:ascii="宋体" w:hAnsi="宋体" w:eastAsia="宋体" w:cs="宋体"/>
          <w:spacing w:val="-3"/>
          <w:sz w:val="24"/>
          <w:szCs w:val="24"/>
        </w:rPr>
        <w:t>旗花敖包特银铅锌矿技术改造项目环境影响报告书的批复》（内环</w:t>
      </w:r>
      <w:r>
        <w:rPr>
          <w:rFonts w:ascii="宋体" w:hAnsi="宋体" w:eastAsia="宋体" w:cs="宋体"/>
          <w:spacing w:val="-4"/>
          <w:sz w:val="24"/>
          <w:szCs w:val="24"/>
        </w:rPr>
        <w:t>审[2014]182</w:t>
      </w:r>
      <w:r>
        <w:rPr>
          <w:rFonts w:ascii="宋体" w:hAnsi="宋体" w:eastAsia="宋体" w:cs="宋体"/>
          <w:sz w:val="24"/>
          <w:szCs w:val="24"/>
        </w:rPr>
        <w:t xml:space="preserve"> </w:t>
      </w:r>
      <w:r>
        <w:rPr>
          <w:rFonts w:ascii="宋体" w:hAnsi="宋体" w:eastAsia="宋体" w:cs="宋体"/>
          <w:spacing w:val="-1"/>
          <w:sz w:val="24"/>
          <w:szCs w:val="24"/>
        </w:rPr>
        <w:t>号</w:t>
      </w:r>
      <w:r>
        <w:rPr>
          <w:rFonts w:ascii="宋体" w:hAnsi="宋体" w:eastAsia="宋体" w:cs="宋体"/>
          <w:spacing w:val="4"/>
          <w:sz w:val="24"/>
          <w:szCs w:val="24"/>
        </w:rPr>
        <w:t>），</w:t>
      </w:r>
      <w:r>
        <w:rPr>
          <w:rFonts w:ascii="宋体" w:hAnsi="宋体" w:eastAsia="宋体" w:cs="宋体"/>
          <w:spacing w:val="-1"/>
          <w:sz w:val="24"/>
          <w:szCs w:val="24"/>
        </w:rPr>
        <w:t>根据环评批复内容，公司采矿规模扩至</w:t>
      </w:r>
      <w:r>
        <w:rPr>
          <w:rFonts w:ascii="宋体" w:hAnsi="宋体" w:eastAsia="宋体" w:cs="宋体"/>
          <w:spacing w:val="-44"/>
          <w:sz w:val="24"/>
          <w:szCs w:val="24"/>
        </w:rPr>
        <w:t xml:space="preserve"> </w:t>
      </w:r>
      <w:r>
        <w:rPr>
          <w:rFonts w:ascii="宋体" w:hAnsi="宋体" w:eastAsia="宋体" w:cs="宋体"/>
          <w:spacing w:val="-1"/>
          <w:sz w:val="24"/>
          <w:szCs w:val="24"/>
        </w:rPr>
        <w:t>72</w:t>
      </w:r>
      <w:r>
        <w:rPr>
          <w:rFonts w:ascii="宋体" w:hAnsi="宋体" w:eastAsia="宋体" w:cs="宋体"/>
          <w:spacing w:val="-45"/>
          <w:sz w:val="24"/>
          <w:szCs w:val="24"/>
        </w:rPr>
        <w:t xml:space="preserve"> </w:t>
      </w:r>
      <w:r>
        <w:rPr>
          <w:rFonts w:ascii="宋体" w:hAnsi="宋体" w:eastAsia="宋体" w:cs="宋体"/>
          <w:spacing w:val="-2"/>
          <w:sz w:val="24"/>
          <w:szCs w:val="24"/>
        </w:rPr>
        <w:t>万吨/年，依托矿区内现有矿</w:t>
      </w:r>
      <w:r>
        <w:rPr>
          <w:rFonts w:ascii="宋体" w:hAnsi="宋体" w:eastAsia="宋体" w:cs="宋体"/>
          <w:sz w:val="24"/>
          <w:szCs w:val="24"/>
        </w:rPr>
        <w:t xml:space="preserve"> 石选厂及尾矿选厂选矿。公司现有选矿废水排入现有尾矿库内</w:t>
      </w:r>
      <w:r>
        <w:rPr>
          <w:rFonts w:ascii="宋体" w:hAnsi="宋体" w:eastAsia="宋体" w:cs="宋体"/>
          <w:spacing w:val="-1"/>
          <w:sz w:val="24"/>
          <w:szCs w:val="24"/>
        </w:rPr>
        <w:t>循环利用，该尾</w:t>
      </w:r>
      <w:r>
        <w:rPr>
          <w:rFonts w:ascii="宋体" w:hAnsi="宋体" w:eastAsia="宋体" w:cs="宋体"/>
          <w:sz w:val="24"/>
          <w:szCs w:val="24"/>
        </w:rPr>
        <w:t xml:space="preserve"> </w:t>
      </w:r>
      <w:r>
        <w:rPr>
          <w:rFonts w:ascii="宋体" w:hAnsi="宋体" w:eastAsia="宋体" w:cs="宋体"/>
          <w:spacing w:val="-4"/>
          <w:sz w:val="24"/>
          <w:szCs w:val="24"/>
        </w:rPr>
        <w:t>矿库于</w:t>
      </w:r>
      <w:r>
        <w:rPr>
          <w:rFonts w:ascii="宋体" w:hAnsi="宋体" w:eastAsia="宋体" w:cs="宋体"/>
          <w:spacing w:val="-48"/>
          <w:sz w:val="24"/>
          <w:szCs w:val="24"/>
        </w:rPr>
        <w:t xml:space="preserve"> </w:t>
      </w:r>
      <w:r>
        <w:rPr>
          <w:rFonts w:ascii="宋体" w:hAnsi="宋体" w:eastAsia="宋体" w:cs="宋体"/>
          <w:spacing w:val="-4"/>
          <w:sz w:val="24"/>
          <w:szCs w:val="24"/>
        </w:rPr>
        <w:t>2018</w:t>
      </w:r>
      <w:r>
        <w:rPr>
          <w:rFonts w:ascii="宋体" w:hAnsi="宋体" w:eastAsia="宋体" w:cs="宋体"/>
          <w:spacing w:val="-50"/>
          <w:sz w:val="24"/>
          <w:szCs w:val="24"/>
        </w:rPr>
        <w:t xml:space="preserve"> </w:t>
      </w:r>
      <w:r>
        <w:rPr>
          <w:rFonts w:ascii="宋体" w:hAnsi="宋体" w:eastAsia="宋体" w:cs="宋体"/>
          <w:spacing w:val="-4"/>
          <w:sz w:val="24"/>
          <w:szCs w:val="24"/>
        </w:rPr>
        <w:t>年进行加高扩容，已取得锡林郭勒盟环境保护局环评批</w:t>
      </w:r>
      <w:r>
        <w:rPr>
          <w:rFonts w:ascii="宋体" w:hAnsi="宋体" w:eastAsia="宋体" w:cs="宋体"/>
          <w:spacing w:val="-5"/>
          <w:sz w:val="24"/>
          <w:szCs w:val="24"/>
        </w:rPr>
        <w:t>复（锡署环</w:t>
      </w:r>
      <w:r>
        <w:rPr>
          <w:rFonts w:ascii="宋体" w:hAnsi="宋体" w:eastAsia="宋体" w:cs="宋体"/>
          <w:sz w:val="24"/>
          <w:szCs w:val="24"/>
        </w:rPr>
        <w:t xml:space="preserve"> </w:t>
      </w:r>
      <w:r>
        <w:rPr>
          <w:rFonts w:ascii="宋体" w:hAnsi="宋体" w:eastAsia="宋体" w:cs="宋体"/>
          <w:spacing w:val="-3"/>
          <w:sz w:val="24"/>
          <w:szCs w:val="24"/>
        </w:rPr>
        <w:t>审书[2018]1</w:t>
      </w:r>
      <w:r>
        <w:rPr>
          <w:rFonts w:ascii="宋体" w:hAnsi="宋体" w:eastAsia="宋体" w:cs="宋体"/>
          <w:spacing w:val="-44"/>
          <w:sz w:val="24"/>
          <w:szCs w:val="24"/>
        </w:rPr>
        <w:t xml:space="preserve"> </w:t>
      </w:r>
      <w:r>
        <w:rPr>
          <w:rFonts w:ascii="宋体" w:hAnsi="宋体" w:eastAsia="宋体" w:cs="宋体"/>
          <w:spacing w:val="-3"/>
          <w:sz w:val="24"/>
          <w:szCs w:val="24"/>
        </w:rPr>
        <w:t>号）。加高扩容工程计划分三</w:t>
      </w:r>
      <w:r>
        <w:rPr>
          <w:rFonts w:ascii="宋体" w:hAnsi="宋体" w:eastAsia="宋体" w:cs="宋体"/>
          <w:spacing w:val="-4"/>
          <w:sz w:val="24"/>
          <w:szCs w:val="24"/>
        </w:rPr>
        <w:t>期进行，一期工程于</w:t>
      </w:r>
      <w:r>
        <w:rPr>
          <w:rFonts w:ascii="宋体" w:hAnsi="宋体" w:eastAsia="宋体" w:cs="宋体"/>
          <w:spacing w:val="-48"/>
          <w:sz w:val="24"/>
          <w:szCs w:val="24"/>
        </w:rPr>
        <w:t xml:space="preserve"> </w:t>
      </w:r>
      <w:r>
        <w:rPr>
          <w:rFonts w:ascii="宋体" w:hAnsi="宋体" w:eastAsia="宋体" w:cs="宋体"/>
          <w:spacing w:val="-4"/>
          <w:sz w:val="24"/>
          <w:szCs w:val="24"/>
        </w:rPr>
        <w:t>2018</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5"/>
          <w:sz w:val="24"/>
          <w:szCs w:val="24"/>
        </w:rPr>
        <w:t xml:space="preserve"> </w:t>
      </w:r>
      <w:r>
        <w:rPr>
          <w:rFonts w:ascii="宋体" w:hAnsi="宋体" w:eastAsia="宋体" w:cs="宋体"/>
          <w:spacing w:val="-4"/>
          <w:sz w:val="24"/>
          <w:szCs w:val="24"/>
        </w:rPr>
        <w:t>月开</w:t>
      </w:r>
      <w:r>
        <w:rPr>
          <w:rFonts w:ascii="宋体" w:hAnsi="宋体" w:eastAsia="宋体" w:cs="宋体"/>
          <w:sz w:val="24"/>
          <w:szCs w:val="24"/>
        </w:rPr>
        <w:t xml:space="preserve"> </w:t>
      </w:r>
      <w:r>
        <w:rPr>
          <w:rFonts w:ascii="宋体" w:hAnsi="宋体" w:eastAsia="宋体" w:cs="宋体"/>
          <w:spacing w:val="-5"/>
          <w:sz w:val="24"/>
          <w:szCs w:val="24"/>
        </w:rPr>
        <w:t>工建设，2019</w:t>
      </w:r>
      <w:r>
        <w:rPr>
          <w:rFonts w:ascii="宋体" w:hAnsi="宋体" w:eastAsia="宋体" w:cs="宋体"/>
          <w:spacing w:val="-34"/>
          <w:sz w:val="24"/>
          <w:szCs w:val="24"/>
        </w:rPr>
        <w:t xml:space="preserve">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宋体" w:hAnsi="宋体" w:eastAsia="宋体" w:cs="宋体"/>
          <w:spacing w:val="-5"/>
          <w:sz w:val="24"/>
          <w:szCs w:val="24"/>
        </w:rPr>
        <w:t>10</w:t>
      </w:r>
      <w:r>
        <w:rPr>
          <w:rFonts w:ascii="宋体" w:hAnsi="宋体" w:eastAsia="宋体" w:cs="宋体"/>
          <w:spacing w:val="-45"/>
          <w:sz w:val="24"/>
          <w:szCs w:val="24"/>
        </w:rPr>
        <w:t xml:space="preserve"> </w:t>
      </w:r>
      <w:r>
        <w:rPr>
          <w:rFonts w:ascii="宋体" w:hAnsi="宋体" w:eastAsia="宋体" w:cs="宋体"/>
          <w:spacing w:val="-5"/>
          <w:sz w:val="24"/>
          <w:szCs w:val="24"/>
        </w:rPr>
        <w:t>月建设完成，2019</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33"/>
          <w:sz w:val="24"/>
          <w:szCs w:val="24"/>
        </w:rPr>
        <w:t xml:space="preserve"> </w:t>
      </w:r>
      <w:r>
        <w:rPr>
          <w:rFonts w:ascii="宋体" w:hAnsi="宋体" w:eastAsia="宋体" w:cs="宋体"/>
          <w:spacing w:val="-5"/>
          <w:sz w:val="24"/>
          <w:szCs w:val="24"/>
        </w:rPr>
        <w:t>12</w:t>
      </w:r>
      <w:r>
        <w:rPr>
          <w:rFonts w:ascii="宋体" w:hAnsi="宋体" w:eastAsia="宋体" w:cs="宋体"/>
          <w:spacing w:val="-45"/>
          <w:sz w:val="24"/>
          <w:szCs w:val="24"/>
        </w:rPr>
        <w:t xml:space="preserve"> </w:t>
      </w:r>
      <w:r>
        <w:rPr>
          <w:rFonts w:ascii="宋体" w:hAnsi="宋体" w:eastAsia="宋体" w:cs="宋体"/>
          <w:spacing w:val="-5"/>
          <w:sz w:val="24"/>
          <w:szCs w:val="24"/>
        </w:rPr>
        <w:t>月</w:t>
      </w:r>
      <w:r>
        <w:rPr>
          <w:rFonts w:ascii="宋体" w:hAnsi="宋体" w:eastAsia="宋体" w:cs="宋体"/>
          <w:spacing w:val="-48"/>
          <w:sz w:val="24"/>
          <w:szCs w:val="24"/>
        </w:rPr>
        <w:t xml:space="preserve"> </w:t>
      </w:r>
      <w:r>
        <w:rPr>
          <w:rFonts w:ascii="宋体" w:hAnsi="宋体" w:eastAsia="宋体" w:cs="宋体"/>
          <w:spacing w:val="-5"/>
          <w:sz w:val="24"/>
          <w:szCs w:val="24"/>
        </w:rPr>
        <w:t>29 日通过竣工环境保护自主验</w:t>
      </w:r>
      <w:r>
        <w:rPr>
          <w:rFonts w:ascii="宋体" w:hAnsi="宋体" w:eastAsia="宋体" w:cs="宋体"/>
          <w:sz w:val="24"/>
          <w:szCs w:val="24"/>
        </w:rPr>
        <w:t xml:space="preserve"> </w:t>
      </w:r>
      <w:r>
        <w:rPr>
          <w:rFonts w:ascii="宋体" w:hAnsi="宋体" w:eastAsia="宋体" w:cs="宋体"/>
          <w:spacing w:val="-2"/>
          <w:sz w:val="24"/>
          <w:szCs w:val="24"/>
        </w:rPr>
        <w:t>收。二期工程于</w:t>
      </w:r>
      <w:r>
        <w:rPr>
          <w:rFonts w:ascii="宋体" w:hAnsi="宋体" w:eastAsia="宋体" w:cs="宋体"/>
          <w:spacing w:val="-43"/>
          <w:sz w:val="24"/>
          <w:szCs w:val="24"/>
        </w:rPr>
        <w:t xml:space="preserve"> </w:t>
      </w:r>
      <w:r>
        <w:rPr>
          <w:rFonts w:ascii="宋体" w:hAnsi="宋体" w:eastAsia="宋体" w:cs="宋体"/>
          <w:spacing w:val="-2"/>
          <w:sz w:val="24"/>
          <w:szCs w:val="24"/>
        </w:rPr>
        <w:t>2021</w:t>
      </w:r>
      <w:r>
        <w:rPr>
          <w:rFonts w:ascii="宋体" w:hAnsi="宋体" w:eastAsia="宋体" w:cs="宋体"/>
          <w:spacing w:val="-45"/>
          <w:sz w:val="24"/>
          <w:szCs w:val="24"/>
        </w:rPr>
        <w:t xml:space="preserve"> </w:t>
      </w:r>
      <w:r>
        <w:rPr>
          <w:rFonts w:ascii="宋体" w:hAnsi="宋体" w:eastAsia="宋体" w:cs="宋体"/>
          <w:spacing w:val="-2"/>
          <w:sz w:val="24"/>
          <w:szCs w:val="24"/>
        </w:rPr>
        <w:t>年</w:t>
      </w:r>
      <w:r>
        <w:rPr>
          <w:rFonts w:ascii="宋体" w:hAnsi="宋体" w:eastAsia="宋体" w:cs="宋体"/>
          <w:spacing w:val="-40"/>
          <w:sz w:val="24"/>
          <w:szCs w:val="24"/>
        </w:rPr>
        <w:t xml:space="preserve"> </w:t>
      </w:r>
      <w:r>
        <w:rPr>
          <w:rFonts w:ascii="宋体" w:hAnsi="宋体" w:eastAsia="宋体" w:cs="宋体"/>
          <w:spacing w:val="-2"/>
          <w:sz w:val="24"/>
          <w:szCs w:val="24"/>
        </w:rPr>
        <w:t>7</w:t>
      </w:r>
      <w:r>
        <w:rPr>
          <w:rFonts w:ascii="宋体" w:hAnsi="宋体" w:eastAsia="宋体" w:cs="宋体"/>
          <w:spacing w:val="-40"/>
          <w:sz w:val="24"/>
          <w:szCs w:val="24"/>
        </w:rPr>
        <w:t xml:space="preserve"> </w:t>
      </w:r>
      <w:r>
        <w:rPr>
          <w:rFonts w:ascii="宋体" w:hAnsi="宋体" w:eastAsia="宋体" w:cs="宋体"/>
          <w:spacing w:val="-2"/>
          <w:sz w:val="24"/>
          <w:szCs w:val="24"/>
        </w:rPr>
        <w:t>月开工建设，2021</w:t>
      </w:r>
      <w:r>
        <w:rPr>
          <w:rFonts w:ascii="宋体" w:hAnsi="宋体" w:eastAsia="宋体" w:cs="宋体"/>
          <w:spacing w:val="-45"/>
          <w:sz w:val="24"/>
          <w:szCs w:val="24"/>
        </w:rPr>
        <w:t xml:space="preserve"> </w:t>
      </w:r>
      <w:r>
        <w:rPr>
          <w:rFonts w:ascii="宋体" w:hAnsi="宋体" w:eastAsia="宋体" w:cs="宋体"/>
          <w:spacing w:val="-2"/>
          <w:sz w:val="24"/>
          <w:szCs w:val="24"/>
        </w:rPr>
        <w:t>年</w:t>
      </w:r>
      <w:r>
        <w:rPr>
          <w:rFonts w:ascii="宋体" w:hAnsi="宋体" w:eastAsia="宋体" w:cs="宋体"/>
          <w:spacing w:val="-28"/>
          <w:sz w:val="24"/>
          <w:szCs w:val="24"/>
        </w:rPr>
        <w:t xml:space="preserve"> </w:t>
      </w:r>
      <w:r>
        <w:rPr>
          <w:rFonts w:ascii="宋体" w:hAnsi="宋体" w:eastAsia="宋体" w:cs="宋体"/>
          <w:spacing w:val="-2"/>
          <w:sz w:val="24"/>
          <w:szCs w:val="24"/>
        </w:rPr>
        <w:t>11</w:t>
      </w:r>
      <w:r>
        <w:rPr>
          <w:rFonts w:ascii="宋体" w:hAnsi="宋体" w:eastAsia="宋体" w:cs="宋体"/>
          <w:spacing w:val="-40"/>
          <w:sz w:val="24"/>
          <w:szCs w:val="24"/>
        </w:rPr>
        <w:t xml:space="preserve"> </w:t>
      </w:r>
      <w:r>
        <w:rPr>
          <w:rFonts w:ascii="宋体" w:hAnsi="宋体" w:eastAsia="宋体" w:cs="宋体"/>
          <w:spacing w:val="-2"/>
          <w:sz w:val="24"/>
          <w:szCs w:val="24"/>
        </w:rPr>
        <w:t>月建设完成，2022</w:t>
      </w:r>
      <w:r>
        <w:rPr>
          <w:rFonts w:ascii="宋体" w:hAnsi="宋体" w:eastAsia="宋体" w:cs="宋体"/>
          <w:spacing w:val="-47"/>
          <w:sz w:val="24"/>
          <w:szCs w:val="24"/>
        </w:rPr>
        <w:t xml:space="preserve"> </w:t>
      </w:r>
      <w:r>
        <w:rPr>
          <w:rFonts w:ascii="宋体" w:hAnsi="宋体" w:eastAsia="宋体" w:cs="宋体"/>
          <w:spacing w:val="-2"/>
          <w:sz w:val="24"/>
          <w:szCs w:val="24"/>
        </w:rPr>
        <w:t>年</w:t>
      </w:r>
      <w:r>
        <w:rPr>
          <w:rFonts w:ascii="宋体" w:hAnsi="宋体" w:eastAsia="宋体" w:cs="宋体"/>
          <w:spacing w:val="-40"/>
          <w:sz w:val="24"/>
          <w:szCs w:val="24"/>
        </w:rPr>
        <w:t xml:space="preserve"> </w:t>
      </w:r>
      <w:r>
        <w:rPr>
          <w:rFonts w:ascii="宋体" w:hAnsi="宋体" w:eastAsia="宋体" w:cs="宋体"/>
          <w:spacing w:val="-2"/>
          <w:sz w:val="24"/>
          <w:szCs w:val="24"/>
        </w:rPr>
        <w:t>7</w:t>
      </w:r>
      <w:r>
        <w:rPr>
          <w:rFonts w:ascii="宋体" w:hAnsi="宋体" w:eastAsia="宋体" w:cs="宋体"/>
          <w:spacing w:val="-41"/>
          <w:sz w:val="24"/>
          <w:szCs w:val="24"/>
        </w:rPr>
        <w:t xml:space="preserve"> </w:t>
      </w:r>
      <w:r>
        <w:rPr>
          <w:rFonts w:ascii="宋体" w:hAnsi="宋体" w:eastAsia="宋体" w:cs="宋体"/>
          <w:spacing w:val="-2"/>
          <w:sz w:val="24"/>
          <w:szCs w:val="24"/>
        </w:rPr>
        <w:t>月</w:t>
      </w:r>
      <w:r>
        <w:rPr>
          <w:rFonts w:ascii="宋体" w:hAnsi="宋体" w:eastAsia="宋体" w:cs="宋体"/>
          <w:sz w:val="24"/>
          <w:szCs w:val="24"/>
        </w:rPr>
        <w:t xml:space="preserve"> </w:t>
      </w:r>
      <w:r>
        <w:rPr>
          <w:rFonts w:ascii="宋体" w:hAnsi="宋体" w:eastAsia="宋体" w:cs="宋体"/>
          <w:spacing w:val="-4"/>
          <w:sz w:val="24"/>
          <w:szCs w:val="24"/>
        </w:rPr>
        <w:t>14 日通过竣工环境保护自主验收。</w:t>
      </w:r>
    </w:p>
    <w:p w14:paraId="0DDB2C46">
      <w:pPr>
        <w:spacing w:line="362" w:lineRule="auto"/>
        <w:ind w:left="24" w:right="162" w:firstLine="521"/>
        <w:rPr>
          <w:rFonts w:ascii="宋体" w:hAnsi="宋体" w:eastAsia="宋体" w:cs="宋体"/>
          <w:sz w:val="24"/>
          <w:szCs w:val="24"/>
        </w:rPr>
      </w:pPr>
      <w:r>
        <w:rPr>
          <w:rFonts w:ascii="宋体" w:hAnsi="宋体" w:eastAsia="宋体" w:cs="宋体"/>
          <w:spacing w:val="-4"/>
          <w:sz w:val="24"/>
          <w:szCs w:val="24"/>
        </w:rPr>
        <w:t>目前</w:t>
      </w:r>
      <w:r>
        <w:rPr>
          <w:rFonts w:ascii="宋体" w:hAnsi="宋体" w:eastAsia="宋体" w:cs="宋体"/>
          <w:spacing w:val="-35"/>
          <w:sz w:val="24"/>
          <w:szCs w:val="24"/>
        </w:rPr>
        <w:t xml:space="preserve"> </w:t>
      </w:r>
      <w:r>
        <w:rPr>
          <w:rFonts w:ascii="宋体" w:hAnsi="宋体" w:eastAsia="宋体" w:cs="宋体"/>
          <w:spacing w:val="-4"/>
          <w:sz w:val="24"/>
          <w:szCs w:val="24"/>
        </w:rPr>
        <w:t>2000t/d</w:t>
      </w:r>
      <w:r>
        <w:rPr>
          <w:rFonts w:ascii="宋体" w:hAnsi="宋体" w:eastAsia="宋体" w:cs="宋体"/>
          <w:spacing w:val="-51"/>
          <w:sz w:val="24"/>
          <w:szCs w:val="24"/>
        </w:rPr>
        <w:t xml:space="preserve"> </w:t>
      </w:r>
      <w:r>
        <w:rPr>
          <w:rFonts w:ascii="宋体" w:hAnsi="宋体" w:eastAsia="宋体" w:cs="宋体"/>
          <w:spacing w:val="-4"/>
          <w:sz w:val="24"/>
          <w:szCs w:val="24"/>
        </w:rPr>
        <w:t>铅锌矿选矿厂存在设备产尘点多，</w:t>
      </w:r>
      <w:r>
        <w:rPr>
          <w:rFonts w:ascii="宋体" w:hAnsi="宋体" w:eastAsia="宋体" w:cs="宋体"/>
          <w:spacing w:val="-71"/>
          <w:sz w:val="24"/>
          <w:szCs w:val="24"/>
        </w:rPr>
        <w:t xml:space="preserve"> </w:t>
      </w:r>
      <w:r>
        <w:rPr>
          <w:rFonts w:ascii="宋体" w:hAnsi="宋体" w:eastAsia="宋体" w:cs="宋体"/>
          <w:spacing w:val="-4"/>
          <w:sz w:val="24"/>
          <w:szCs w:val="24"/>
        </w:rPr>
        <w:t>自动化程度低等缺点。由</w:t>
      </w:r>
      <w:r>
        <w:rPr>
          <w:rFonts w:ascii="宋体" w:hAnsi="宋体" w:eastAsia="宋体" w:cs="宋体"/>
          <w:sz w:val="24"/>
          <w:szCs w:val="24"/>
        </w:rPr>
        <w:t xml:space="preserve"> 于以上原因，为了实现安全、高效、节能、</w:t>
      </w:r>
      <w:r>
        <w:rPr>
          <w:rFonts w:ascii="宋体" w:hAnsi="宋体" w:eastAsia="宋体" w:cs="宋体"/>
          <w:spacing w:val="-1"/>
          <w:sz w:val="24"/>
          <w:szCs w:val="24"/>
        </w:rPr>
        <w:t>环保的绿色矿山建设要求，内蒙古</w:t>
      </w:r>
    </w:p>
    <w:p w14:paraId="41757658">
      <w:pPr>
        <w:spacing w:line="362" w:lineRule="auto"/>
        <w:rPr>
          <w:rFonts w:ascii="宋体" w:hAnsi="宋体" w:eastAsia="宋体" w:cs="宋体"/>
          <w:sz w:val="24"/>
          <w:szCs w:val="24"/>
        </w:rPr>
        <w:sectPr>
          <w:headerReference r:id="rId7" w:type="default"/>
          <w:footerReference r:id="rId8" w:type="default"/>
          <w:pgSz w:w="11906" w:h="16839"/>
          <w:pgMar w:top="1208" w:right="1785" w:bottom="1358" w:left="1785" w:header="825" w:footer="1195" w:gutter="0"/>
          <w:cols w:space="720" w:num="1"/>
        </w:sectPr>
      </w:pPr>
    </w:p>
    <w:p w14:paraId="3BAE9C70">
      <w:pPr>
        <w:pStyle w:val="2"/>
        <w:spacing w:line="265" w:lineRule="auto"/>
      </w:pPr>
    </w:p>
    <w:p w14:paraId="46F867AB">
      <w:pPr>
        <w:spacing w:before="78" w:line="360" w:lineRule="auto"/>
        <w:ind w:left="20" w:right="162" w:firstLine="1"/>
        <w:rPr>
          <w:rFonts w:ascii="宋体" w:hAnsi="宋体" w:eastAsia="宋体" w:cs="宋体"/>
          <w:sz w:val="24"/>
          <w:szCs w:val="24"/>
        </w:rPr>
      </w:pPr>
      <w:r>
        <w:rPr>
          <w:rFonts w:ascii="宋体" w:hAnsi="宋体" w:eastAsia="宋体" w:cs="宋体"/>
          <w:spacing w:val="-2"/>
          <w:sz w:val="24"/>
          <w:szCs w:val="24"/>
        </w:rPr>
        <w:t>玉龙矿业有限公司决定对现有</w:t>
      </w:r>
      <w:r>
        <w:rPr>
          <w:rFonts w:ascii="宋体" w:hAnsi="宋体" w:eastAsia="宋体" w:cs="宋体"/>
          <w:spacing w:val="-40"/>
          <w:sz w:val="24"/>
          <w:szCs w:val="24"/>
        </w:rPr>
        <w:t xml:space="preserve"> </w:t>
      </w:r>
      <w:r>
        <w:rPr>
          <w:rFonts w:ascii="宋体" w:hAnsi="宋体" w:eastAsia="宋体" w:cs="宋体"/>
          <w:spacing w:val="-2"/>
          <w:sz w:val="24"/>
          <w:szCs w:val="24"/>
        </w:rPr>
        <w:t>2000t</w:t>
      </w:r>
      <w:r>
        <w:rPr>
          <w:rFonts w:ascii="宋体" w:hAnsi="宋体" w:eastAsia="宋体" w:cs="宋体"/>
          <w:spacing w:val="-51"/>
          <w:sz w:val="24"/>
          <w:szCs w:val="24"/>
        </w:rPr>
        <w:t xml:space="preserve"> </w:t>
      </w:r>
      <w:r>
        <w:rPr>
          <w:rFonts w:ascii="宋体" w:hAnsi="宋体" w:eastAsia="宋体" w:cs="宋体"/>
          <w:spacing w:val="-2"/>
          <w:sz w:val="24"/>
          <w:szCs w:val="24"/>
        </w:rPr>
        <w:t>选厂产能置换，对</w:t>
      </w:r>
      <w:r>
        <w:rPr>
          <w:rFonts w:ascii="宋体" w:hAnsi="宋体" w:eastAsia="宋体" w:cs="宋体"/>
          <w:spacing w:val="-33"/>
          <w:sz w:val="24"/>
          <w:szCs w:val="24"/>
        </w:rPr>
        <w:t xml:space="preserve"> </w:t>
      </w:r>
      <w:r>
        <w:rPr>
          <w:rFonts w:ascii="宋体" w:hAnsi="宋体" w:eastAsia="宋体" w:cs="宋体"/>
          <w:spacing w:val="-2"/>
          <w:sz w:val="24"/>
          <w:szCs w:val="24"/>
        </w:rPr>
        <w:t>1400t/d</w:t>
      </w:r>
      <w:r>
        <w:rPr>
          <w:rFonts w:ascii="宋体" w:hAnsi="宋体" w:eastAsia="宋体" w:cs="宋体"/>
          <w:spacing w:val="-50"/>
          <w:sz w:val="24"/>
          <w:szCs w:val="24"/>
        </w:rPr>
        <w:t xml:space="preserve"> </w:t>
      </w:r>
      <w:r>
        <w:rPr>
          <w:rFonts w:ascii="宋体" w:hAnsi="宋体" w:eastAsia="宋体" w:cs="宋体"/>
          <w:spacing w:val="-2"/>
          <w:sz w:val="24"/>
          <w:szCs w:val="24"/>
        </w:rPr>
        <w:t>技改选厂厂房</w:t>
      </w:r>
      <w:r>
        <w:rPr>
          <w:rFonts w:ascii="宋体" w:hAnsi="宋体" w:eastAsia="宋体" w:cs="宋体"/>
          <w:sz w:val="24"/>
          <w:szCs w:val="24"/>
        </w:rPr>
        <w:t xml:space="preserve"> </w:t>
      </w:r>
      <w:r>
        <w:rPr>
          <w:rFonts w:ascii="宋体" w:hAnsi="宋体" w:eastAsia="宋体" w:cs="宋体"/>
          <w:spacing w:val="-1"/>
          <w:sz w:val="24"/>
          <w:szCs w:val="24"/>
        </w:rPr>
        <w:t>及设备进行升级改造，将</w:t>
      </w:r>
      <w:r>
        <w:rPr>
          <w:rFonts w:ascii="宋体" w:hAnsi="宋体" w:eastAsia="宋体" w:cs="宋体"/>
          <w:spacing w:val="-42"/>
          <w:sz w:val="24"/>
          <w:szCs w:val="24"/>
        </w:rPr>
        <w:t xml:space="preserve"> </w:t>
      </w:r>
      <w:r>
        <w:rPr>
          <w:rFonts w:ascii="宋体" w:hAnsi="宋体" w:eastAsia="宋体" w:cs="宋体"/>
          <w:spacing w:val="-1"/>
          <w:sz w:val="24"/>
          <w:szCs w:val="24"/>
        </w:rPr>
        <w:t>2000t</w:t>
      </w:r>
      <w:r>
        <w:rPr>
          <w:rFonts w:ascii="宋体" w:hAnsi="宋体" w:eastAsia="宋体" w:cs="宋体"/>
          <w:spacing w:val="-52"/>
          <w:sz w:val="24"/>
          <w:szCs w:val="24"/>
        </w:rPr>
        <w:t xml:space="preserve"> </w:t>
      </w:r>
      <w:r>
        <w:rPr>
          <w:rFonts w:ascii="宋体" w:hAnsi="宋体" w:eastAsia="宋体" w:cs="宋体"/>
          <w:spacing w:val="-1"/>
          <w:sz w:val="24"/>
          <w:szCs w:val="24"/>
        </w:rPr>
        <w:t>选厂产能置换至新选厂，只利用一座选厂便可</w:t>
      </w:r>
      <w:r>
        <w:rPr>
          <w:rFonts w:ascii="宋体" w:hAnsi="宋体" w:eastAsia="宋体" w:cs="宋体"/>
          <w:sz w:val="24"/>
          <w:szCs w:val="24"/>
        </w:rPr>
        <w:t xml:space="preserve"> </w:t>
      </w:r>
      <w:r>
        <w:rPr>
          <w:rFonts w:ascii="宋体" w:hAnsi="宋体" w:eastAsia="宋体" w:cs="宋体"/>
          <w:spacing w:val="-2"/>
          <w:sz w:val="24"/>
          <w:szCs w:val="24"/>
        </w:rPr>
        <w:t>形成</w:t>
      </w:r>
      <w:r>
        <w:rPr>
          <w:rFonts w:ascii="宋体" w:hAnsi="宋体" w:eastAsia="宋体" w:cs="宋体"/>
          <w:spacing w:val="-17"/>
          <w:sz w:val="24"/>
          <w:szCs w:val="24"/>
        </w:rPr>
        <w:t xml:space="preserve"> </w:t>
      </w:r>
      <w:r>
        <w:rPr>
          <w:rFonts w:ascii="宋体" w:hAnsi="宋体" w:eastAsia="宋体" w:cs="宋体"/>
          <w:spacing w:val="-2"/>
          <w:sz w:val="24"/>
          <w:szCs w:val="24"/>
        </w:rPr>
        <w:t>1400t/d+2000t/d</w:t>
      </w:r>
      <w:r>
        <w:rPr>
          <w:rFonts w:ascii="宋体" w:hAnsi="宋体" w:eastAsia="宋体" w:cs="宋体"/>
          <w:spacing w:val="-31"/>
          <w:sz w:val="24"/>
          <w:szCs w:val="24"/>
        </w:rPr>
        <w:t xml:space="preserve"> </w:t>
      </w:r>
      <w:r>
        <w:rPr>
          <w:rFonts w:ascii="宋体" w:hAnsi="宋体" w:eastAsia="宋体" w:cs="宋体"/>
          <w:spacing w:val="-2"/>
          <w:sz w:val="24"/>
          <w:szCs w:val="24"/>
        </w:rPr>
        <w:t>的规模。根据矿山地质资源情况，本次设计预留铜、硫</w:t>
      </w:r>
      <w:r>
        <w:rPr>
          <w:rFonts w:ascii="宋体" w:hAnsi="宋体" w:eastAsia="宋体" w:cs="宋体"/>
          <w:sz w:val="24"/>
          <w:szCs w:val="24"/>
        </w:rPr>
        <w:t xml:space="preserve"> </w:t>
      </w:r>
      <w:r>
        <w:rPr>
          <w:rFonts w:ascii="宋体" w:hAnsi="宋体" w:eastAsia="宋体" w:cs="宋体"/>
          <w:spacing w:val="-3"/>
          <w:sz w:val="24"/>
          <w:szCs w:val="24"/>
        </w:rPr>
        <w:t>选别工艺场地。改造后的生产线设计生产规模为</w:t>
      </w:r>
      <w:r>
        <w:rPr>
          <w:rFonts w:ascii="宋体" w:hAnsi="宋体" w:eastAsia="宋体" w:cs="宋体"/>
          <w:spacing w:val="-45"/>
          <w:sz w:val="24"/>
          <w:szCs w:val="24"/>
        </w:rPr>
        <w:t xml:space="preserve"> </w:t>
      </w:r>
      <w:r>
        <w:rPr>
          <w:rFonts w:ascii="宋体" w:hAnsi="宋体" w:eastAsia="宋体" w:cs="宋体"/>
          <w:spacing w:val="-3"/>
          <w:sz w:val="24"/>
          <w:szCs w:val="24"/>
        </w:rPr>
        <w:t>72</w:t>
      </w:r>
      <w:r>
        <w:rPr>
          <w:rFonts w:ascii="宋体" w:hAnsi="宋体" w:eastAsia="宋体" w:cs="宋体"/>
          <w:spacing w:val="-4"/>
          <w:sz w:val="24"/>
          <w:szCs w:val="24"/>
        </w:rPr>
        <w:t>×10</w:t>
      </w:r>
      <w:r>
        <w:rPr>
          <w:rFonts w:ascii="宋体" w:hAnsi="宋体" w:eastAsia="宋体" w:cs="宋体"/>
          <w:spacing w:val="-4"/>
          <w:position w:val="11"/>
          <w:sz w:val="12"/>
          <w:szCs w:val="12"/>
        </w:rPr>
        <w:t>4</w:t>
      </w:r>
      <w:r>
        <w:rPr>
          <w:rFonts w:ascii="宋体" w:hAnsi="宋体" w:eastAsia="宋体" w:cs="宋体"/>
          <w:spacing w:val="-4"/>
          <w:sz w:val="24"/>
          <w:szCs w:val="24"/>
        </w:rPr>
        <w:t>t/a（3400t/d）。本项</w:t>
      </w:r>
      <w:r>
        <w:rPr>
          <w:rFonts w:ascii="宋体" w:hAnsi="宋体" w:eastAsia="宋体" w:cs="宋体"/>
          <w:sz w:val="24"/>
          <w:szCs w:val="24"/>
        </w:rPr>
        <w:t xml:space="preserve"> 目不新建选厂，仅在现有选厂内更新选矿设备；本项目</w:t>
      </w:r>
      <w:r>
        <w:rPr>
          <w:rFonts w:ascii="宋体" w:hAnsi="宋体" w:eastAsia="宋体" w:cs="宋体"/>
          <w:spacing w:val="-1"/>
          <w:sz w:val="24"/>
          <w:szCs w:val="24"/>
        </w:rPr>
        <w:t>现有工程立项、环评、</w:t>
      </w:r>
      <w:r>
        <w:rPr>
          <w:rFonts w:ascii="宋体" w:hAnsi="宋体" w:eastAsia="宋体" w:cs="宋体"/>
          <w:sz w:val="24"/>
          <w:szCs w:val="24"/>
        </w:rPr>
        <w:t xml:space="preserve"> 安评手续齐全；本项目不涉及尾矿库建设内容，仅涉及</w:t>
      </w:r>
      <w:r>
        <w:rPr>
          <w:rFonts w:ascii="宋体" w:hAnsi="宋体" w:eastAsia="宋体" w:cs="宋体"/>
          <w:spacing w:val="-1"/>
          <w:sz w:val="24"/>
          <w:szCs w:val="24"/>
        </w:rPr>
        <w:t>选厂生产线升级；本项</w:t>
      </w:r>
      <w:r>
        <w:rPr>
          <w:rFonts w:ascii="宋体" w:hAnsi="宋体" w:eastAsia="宋体" w:cs="宋体"/>
          <w:sz w:val="24"/>
          <w:szCs w:val="24"/>
        </w:rPr>
        <w:t xml:space="preserve"> 目选用的选矿设备属于国内先进水平，工艺先进，不使</w:t>
      </w:r>
      <w:r>
        <w:rPr>
          <w:rFonts w:ascii="宋体" w:hAnsi="宋体" w:eastAsia="宋体" w:cs="宋体"/>
          <w:spacing w:val="-1"/>
          <w:sz w:val="24"/>
          <w:szCs w:val="24"/>
        </w:rPr>
        <w:t>用国家明令禁止的工艺</w:t>
      </w:r>
      <w:r>
        <w:rPr>
          <w:rFonts w:ascii="宋体" w:hAnsi="宋体" w:eastAsia="宋体" w:cs="宋体"/>
          <w:sz w:val="24"/>
          <w:szCs w:val="24"/>
        </w:rPr>
        <w:t xml:space="preserve"> </w:t>
      </w:r>
      <w:r>
        <w:rPr>
          <w:rFonts w:ascii="宋体" w:hAnsi="宋体" w:eastAsia="宋体" w:cs="宋体"/>
          <w:spacing w:val="-1"/>
          <w:sz w:val="24"/>
          <w:szCs w:val="24"/>
        </w:rPr>
        <w:t>和设备；本项目不涉及采矿。</w:t>
      </w:r>
    </w:p>
    <w:p w14:paraId="1EE53DB2">
      <w:pPr>
        <w:spacing w:before="3" w:line="360" w:lineRule="auto"/>
        <w:ind w:left="20" w:right="56" w:firstLine="480"/>
        <w:jc w:val="both"/>
        <w:rPr>
          <w:rFonts w:ascii="宋体" w:hAnsi="宋体" w:eastAsia="宋体" w:cs="宋体"/>
          <w:sz w:val="24"/>
          <w:szCs w:val="24"/>
        </w:rPr>
      </w:pPr>
      <w:r>
        <w:rPr>
          <w:rFonts w:ascii="宋体" w:hAnsi="宋体" w:eastAsia="宋体" w:cs="宋体"/>
          <w:spacing w:val="-4"/>
          <w:sz w:val="24"/>
          <w:szCs w:val="24"/>
        </w:rPr>
        <w:t>根据《中华人民共和国环境影响评价法》、《</w:t>
      </w:r>
      <w:r>
        <w:rPr>
          <w:rFonts w:ascii="宋体" w:hAnsi="宋体" w:eastAsia="宋体" w:cs="宋体"/>
          <w:spacing w:val="-5"/>
          <w:sz w:val="24"/>
          <w:szCs w:val="24"/>
        </w:rPr>
        <w:t>建设项目环境保护管理条例》</w:t>
      </w:r>
      <w:r>
        <w:rPr>
          <w:rFonts w:ascii="宋体" w:hAnsi="宋体" w:eastAsia="宋体" w:cs="宋体"/>
          <w:sz w:val="24"/>
          <w:szCs w:val="24"/>
        </w:rPr>
        <w:t xml:space="preserve"> 的有关规定，该项目需要进行环境影响评价工作。根据</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GB/T4754-2017</w:t>
      </w:r>
      <w:r>
        <w:rPr>
          <w:rFonts w:ascii="宋体" w:hAnsi="宋体" w:eastAsia="宋体" w:cs="宋体"/>
          <w:sz w:val="24"/>
          <w:szCs w:val="24"/>
        </w:rPr>
        <w:t xml:space="preserve">《国民  </w:t>
      </w:r>
      <w:r>
        <w:rPr>
          <w:rFonts w:ascii="宋体" w:hAnsi="宋体" w:eastAsia="宋体" w:cs="宋体"/>
          <w:spacing w:val="-5"/>
          <w:sz w:val="24"/>
          <w:szCs w:val="24"/>
        </w:rPr>
        <w:t>经济行业分类》（第</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号修改单</w:t>
      </w:r>
      <w:r>
        <w:rPr>
          <w:rFonts w:ascii="宋体" w:hAnsi="宋体" w:eastAsia="宋体" w:cs="宋体"/>
          <w:spacing w:val="-27"/>
          <w:sz w:val="24"/>
          <w:szCs w:val="24"/>
        </w:rPr>
        <w:t>），</w:t>
      </w:r>
      <w:r>
        <w:rPr>
          <w:rFonts w:ascii="宋体" w:hAnsi="宋体" w:eastAsia="宋体" w:cs="宋体"/>
          <w:spacing w:val="-5"/>
          <w:sz w:val="24"/>
          <w:szCs w:val="24"/>
        </w:rPr>
        <w:t>本项目属于</w:t>
      </w:r>
      <w:r>
        <w:rPr>
          <w:rFonts w:ascii="Times New Roman" w:hAnsi="Times New Roman" w:eastAsia="Times New Roman" w:cs="Times New Roman"/>
          <w:spacing w:val="-5"/>
          <w:sz w:val="24"/>
          <w:szCs w:val="24"/>
        </w:rPr>
        <w:t xml:space="preserve">“B0912 </w:t>
      </w:r>
      <w:r>
        <w:rPr>
          <w:rFonts w:ascii="宋体" w:hAnsi="宋体" w:eastAsia="宋体" w:cs="宋体"/>
          <w:spacing w:val="-5"/>
          <w:sz w:val="24"/>
          <w:szCs w:val="24"/>
        </w:rPr>
        <w:t>铅锌矿采</w:t>
      </w:r>
      <w:r>
        <w:rPr>
          <w:rFonts w:ascii="宋体" w:hAnsi="宋体" w:eastAsia="宋体" w:cs="宋体"/>
          <w:spacing w:val="-6"/>
          <w:sz w:val="24"/>
          <w:szCs w:val="24"/>
        </w:rPr>
        <w:t>选</w:t>
      </w:r>
      <w:r>
        <w:rPr>
          <w:rFonts w:ascii="Times New Roman" w:hAnsi="Times New Roman" w:eastAsia="Times New Roman" w:cs="Times New Roman"/>
          <w:spacing w:val="-6"/>
          <w:sz w:val="24"/>
          <w:szCs w:val="24"/>
        </w:rPr>
        <w:t>”</w:t>
      </w:r>
      <w:r>
        <w:rPr>
          <w:rFonts w:ascii="宋体" w:hAnsi="宋体" w:eastAsia="宋体" w:cs="宋体"/>
          <w:spacing w:val="-6"/>
          <w:sz w:val="24"/>
          <w:szCs w:val="24"/>
        </w:rPr>
        <w:t>。对照《建</w:t>
      </w:r>
      <w:r>
        <w:rPr>
          <w:rFonts w:ascii="宋体" w:hAnsi="宋体" w:eastAsia="宋体" w:cs="宋体"/>
          <w:sz w:val="24"/>
          <w:szCs w:val="24"/>
        </w:rPr>
        <w:t xml:space="preserve">  </w:t>
      </w:r>
      <w:r>
        <w:rPr>
          <w:rFonts w:ascii="宋体" w:hAnsi="宋体" w:eastAsia="宋体" w:cs="宋体"/>
          <w:spacing w:val="-3"/>
          <w:sz w:val="24"/>
          <w:szCs w:val="24"/>
        </w:rPr>
        <w:t>设项目环境影响评价分类管理名录》，本项目属于</w:t>
      </w:r>
      <w:r>
        <w:rPr>
          <w:rFonts w:ascii="Times New Roman" w:hAnsi="Times New Roman" w:eastAsia="Times New Roman" w:cs="Times New Roman"/>
          <w:spacing w:val="-3"/>
          <w:sz w:val="24"/>
          <w:szCs w:val="24"/>
        </w:rPr>
        <w:t>“</w:t>
      </w:r>
      <w:r>
        <w:rPr>
          <w:rFonts w:ascii="宋体" w:hAnsi="宋体" w:eastAsia="宋体" w:cs="宋体"/>
          <w:spacing w:val="-3"/>
          <w:sz w:val="24"/>
          <w:szCs w:val="24"/>
        </w:rPr>
        <w:t>七、</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091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常用有色金属</w:t>
      </w:r>
      <w:r>
        <w:rPr>
          <w:rFonts w:ascii="宋体" w:hAnsi="宋体" w:eastAsia="宋体" w:cs="宋体"/>
          <w:sz w:val="24"/>
          <w:szCs w:val="24"/>
        </w:rPr>
        <w:t xml:space="preserve">  </w:t>
      </w:r>
      <w:r>
        <w:rPr>
          <w:rFonts w:ascii="宋体" w:hAnsi="宋体" w:eastAsia="宋体" w:cs="宋体"/>
          <w:spacing w:val="-3"/>
          <w:sz w:val="24"/>
          <w:szCs w:val="24"/>
        </w:rPr>
        <w:t>矿采选</w:t>
      </w:r>
      <w:r>
        <w:rPr>
          <w:rFonts w:ascii="Times New Roman" w:hAnsi="Times New Roman" w:eastAsia="Times New Roman" w:cs="Times New Roman"/>
          <w:spacing w:val="-3"/>
          <w:sz w:val="24"/>
          <w:szCs w:val="24"/>
        </w:rPr>
        <w:t>”</w:t>
      </w:r>
      <w:r>
        <w:rPr>
          <w:rFonts w:ascii="宋体" w:hAnsi="宋体" w:eastAsia="宋体" w:cs="宋体"/>
          <w:spacing w:val="-3"/>
          <w:sz w:val="24"/>
          <w:szCs w:val="24"/>
        </w:rPr>
        <w:t>，确定本项目环境影响评价文件类型为环境影</w:t>
      </w:r>
      <w:r>
        <w:rPr>
          <w:rFonts w:ascii="宋体" w:hAnsi="宋体" w:eastAsia="宋体" w:cs="宋体"/>
          <w:spacing w:val="-4"/>
          <w:sz w:val="24"/>
          <w:szCs w:val="24"/>
        </w:rPr>
        <w:t>响报告书。根据《产业结</w:t>
      </w:r>
      <w:r>
        <w:rPr>
          <w:rFonts w:ascii="宋体" w:hAnsi="宋体" w:eastAsia="宋体" w:cs="宋体"/>
          <w:sz w:val="24"/>
          <w:szCs w:val="24"/>
        </w:rPr>
        <w:t xml:space="preserve">  </w:t>
      </w:r>
      <w:r>
        <w:rPr>
          <w:rFonts w:ascii="宋体" w:hAnsi="宋体" w:eastAsia="宋体" w:cs="宋体"/>
          <w:spacing w:val="-2"/>
          <w:sz w:val="24"/>
          <w:szCs w:val="24"/>
        </w:rPr>
        <w:t>构调整指导目录》（</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年本</w:t>
      </w:r>
      <w:r>
        <w:rPr>
          <w:rFonts w:ascii="宋体" w:hAnsi="宋体" w:eastAsia="宋体" w:cs="宋体"/>
          <w:sz w:val="24"/>
          <w:szCs w:val="24"/>
        </w:rPr>
        <w:t>），</w:t>
      </w:r>
      <w:r>
        <w:rPr>
          <w:rFonts w:ascii="宋体" w:hAnsi="宋体" w:eastAsia="宋体" w:cs="宋体"/>
          <w:spacing w:val="-2"/>
          <w:sz w:val="24"/>
          <w:szCs w:val="24"/>
        </w:rPr>
        <w:t>本项目不属于鼓励类、限制类和淘汰类，可</w:t>
      </w:r>
      <w:r>
        <w:rPr>
          <w:rFonts w:ascii="宋体" w:hAnsi="宋体" w:eastAsia="宋体" w:cs="宋体"/>
          <w:sz w:val="24"/>
          <w:szCs w:val="24"/>
        </w:rPr>
        <w:t xml:space="preserve">  视为允许类。为此，内蒙古玉龙矿业股份有限公司委托</w:t>
      </w:r>
      <w:r>
        <w:rPr>
          <w:rFonts w:ascii="宋体" w:hAnsi="宋体" w:eastAsia="宋体" w:cs="宋体"/>
          <w:spacing w:val="-1"/>
          <w:sz w:val="24"/>
          <w:szCs w:val="24"/>
        </w:rPr>
        <w:t>中冶西北工程技术有限</w:t>
      </w:r>
      <w:r>
        <w:rPr>
          <w:rFonts w:ascii="宋体" w:hAnsi="宋体" w:eastAsia="宋体" w:cs="宋体"/>
          <w:sz w:val="24"/>
          <w:szCs w:val="24"/>
        </w:rPr>
        <w:t xml:space="preserve">  公司承担该项目的环境影响评价工作。评价单位在接受</w:t>
      </w:r>
      <w:r>
        <w:rPr>
          <w:rFonts w:ascii="宋体" w:hAnsi="宋体" w:eastAsia="宋体" w:cs="宋体"/>
          <w:spacing w:val="-1"/>
          <w:sz w:val="24"/>
          <w:szCs w:val="24"/>
        </w:rPr>
        <w:t>委托后，立即组织专业</w:t>
      </w:r>
      <w:r>
        <w:rPr>
          <w:rFonts w:ascii="宋体" w:hAnsi="宋体" w:eastAsia="宋体" w:cs="宋体"/>
          <w:sz w:val="24"/>
          <w:szCs w:val="24"/>
        </w:rPr>
        <w:t xml:space="preserve">  技术人员到本项目场地及其周围进行了实地勘察与调研</w:t>
      </w:r>
      <w:r>
        <w:rPr>
          <w:rFonts w:ascii="宋体" w:hAnsi="宋体" w:eastAsia="宋体" w:cs="宋体"/>
          <w:spacing w:val="-1"/>
          <w:sz w:val="24"/>
          <w:szCs w:val="24"/>
        </w:rPr>
        <w:t>，并收集了项目有关的</w:t>
      </w:r>
      <w:r>
        <w:rPr>
          <w:rFonts w:ascii="宋体" w:hAnsi="宋体" w:eastAsia="宋体" w:cs="宋体"/>
          <w:sz w:val="24"/>
          <w:szCs w:val="24"/>
        </w:rPr>
        <w:t xml:space="preserve">  </w:t>
      </w:r>
      <w:r>
        <w:rPr>
          <w:rFonts w:ascii="宋体" w:hAnsi="宋体" w:eastAsia="宋体" w:cs="宋体"/>
          <w:spacing w:val="-5"/>
          <w:sz w:val="24"/>
          <w:szCs w:val="24"/>
        </w:rPr>
        <w:t>工程资料，依据环境影响评价技术导则的有关要求，编制完成环境影响报告书。</w:t>
      </w:r>
    </w:p>
    <w:p w14:paraId="7A0E3063">
      <w:pPr>
        <w:spacing w:before="79" w:line="222" w:lineRule="auto"/>
        <w:ind w:left="30"/>
        <w:outlineLvl w:val="1"/>
        <w:rPr>
          <w:rFonts w:ascii="黑体" w:hAnsi="黑体" w:eastAsia="黑体" w:cs="黑体"/>
          <w:sz w:val="28"/>
          <w:szCs w:val="28"/>
        </w:rPr>
      </w:pPr>
      <w:bookmarkStart w:id="2" w:name="bookmark3"/>
      <w:bookmarkEnd w:id="2"/>
      <w:r>
        <w:rPr>
          <w:rFonts w:ascii="Times New Roman" w:hAnsi="Times New Roman" w:eastAsia="Times New Roman" w:cs="Times New Roman"/>
          <w:b/>
          <w:bCs/>
          <w:spacing w:val="-3"/>
          <w:sz w:val="28"/>
          <w:szCs w:val="28"/>
        </w:rPr>
        <w:t xml:space="preserve">1.2 </w:t>
      </w:r>
      <w:r>
        <w:rPr>
          <w:rFonts w:ascii="黑体" w:hAnsi="黑体" w:eastAsia="黑体" w:cs="黑体"/>
          <w:b/>
          <w:bCs/>
          <w:spacing w:val="-3"/>
          <w:sz w:val="28"/>
          <w:szCs w:val="28"/>
        </w:rPr>
        <w:t>项目建设特点</w:t>
      </w:r>
    </w:p>
    <w:p w14:paraId="7CDCF7A0">
      <w:pPr>
        <w:spacing w:before="252" w:line="361" w:lineRule="auto"/>
        <w:ind w:left="20" w:right="162" w:firstLine="526"/>
        <w:rPr>
          <w:rFonts w:ascii="宋体" w:hAnsi="宋体" w:eastAsia="宋体" w:cs="宋体"/>
          <w:sz w:val="24"/>
          <w:szCs w:val="24"/>
        </w:rPr>
      </w:pPr>
      <w:r>
        <w:rPr>
          <w:rFonts w:ascii="宋体" w:hAnsi="宋体" w:eastAsia="宋体" w:cs="宋体"/>
          <w:spacing w:val="-7"/>
          <w:sz w:val="24"/>
          <w:szCs w:val="24"/>
        </w:rPr>
        <w:t>目前由于</w:t>
      </w:r>
      <w:r>
        <w:rPr>
          <w:rFonts w:ascii="宋体" w:hAnsi="宋体" w:eastAsia="宋体" w:cs="宋体"/>
          <w:spacing w:val="-38"/>
          <w:sz w:val="24"/>
          <w:szCs w:val="24"/>
        </w:rPr>
        <w:t xml:space="preserve"> </w:t>
      </w:r>
      <w:r>
        <w:rPr>
          <w:rFonts w:ascii="宋体" w:hAnsi="宋体" w:eastAsia="宋体" w:cs="宋体"/>
          <w:spacing w:val="-7"/>
          <w:sz w:val="24"/>
          <w:szCs w:val="24"/>
        </w:rPr>
        <w:t>2000t</w:t>
      </w:r>
      <w:r>
        <w:rPr>
          <w:rFonts w:ascii="宋体" w:hAnsi="宋体" w:eastAsia="宋体" w:cs="宋体"/>
          <w:spacing w:val="-51"/>
          <w:sz w:val="24"/>
          <w:szCs w:val="24"/>
        </w:rPr>
        <w:t xml:space="preserve"> </w:t>
      </w:r>
      <w:r>
        <w:rPr>
          <w:rFonts w:ascii="宋体" w:hAnsi="宋体" w:eastAsia="宋体" w:cs="宋体"/>
          <w:spacing w:val="-7"/>
          <w:sz w:val="24"/>
          <w:szCs w:val="24"/>
        </w:rPr>
        <w:t>选矿厂已生产</w:t>
      </w:r>
      <w:r>
        <w:rPr>
          <w:rFonts w:ascii="宋体" w:hAnsi="宋体" w:eastAsia="宋体" w:cs="宋体"/>
          <w:spacing w:val="-33"/>
          <w:sz w:val="24"/>
          <w:szCs w:val="24"/>
        </w:rPr>
        <w:t xml:space="preserve"> </w:t>
      </w:r>
      <w:r>
        <w:rPr>
          <w:rFonts w:ascii="宋体" w:hAnsi="宋体" w:eastAsia="宋体" w:cs="宋体"/>
          <w:spacing w:val="-7"/>
          <w:sz w:val="24"/>
          <w:szCs w:val="24"/>
        </w:rPr>
        <w:t>10</w:t>
      </w:r>
      <w:r>
        <w:rPr>
          <w:rFonts w:ascii="宋体" w:hAnsi="宋体" w:eastAsia="宋体" w:cs="宋体"/>
          <w:spacing w:val="-50"/>
          <w:sz w:val="24"/>
          <w:szCs w:val="24"/>
        </w:rPr>
        <w:t xml:space="preserve"> </w:t>
      </w:r>
      <w:r>
        <w:rPr>
          <w:rFonts w:ascii="宋体" w:hAnsi="宋体" w:eastAsia="宋体" w:cs="宋体"/>
          <w:spacing w:val="-7"/>
          <w:sz w:val="24"/>
          <w:szCs w:val="24"/>
        </w:rPr>
        <w:t>年，设备老化，曾超负荷运转；磨浮车间</w:t>
      </w:r>
      <w:r>
        <w:rPr>
          <w:rFonts w:ascii="宋体" w:hAnsi="宋体" w:eastAsia="宋体" w:cs="宋体"/>
          <w:sz w:val="24"/>
          <w:szCs w:val="24"/>
        </w:rPr>
        <w:t xml:space="preserve"> 设备规格小，系列配置多。管道等设施配置凌乱繁杂，</w:t>
      </w:r>
      <w:r>
        <w:rPr>
          <w:rFonts w:ascii="宋体" w:hAnsi="宋体" w:eastAsia="宋体" w:cs="宋体"/>
          <w:spacing w:val="-1"/>
          <w:sz w:val="24"/>
          <w:szCs w:val="24"/>
        </w:rPr>
        <w:t>操作及检修维护不便，</w:t>
      </w:r>
      <w:r>
        <w:rPr>
          <w:rFonts w:ascii="宋体" w:hAnsi="宋体" w:eastAsia="宋体" w:cs="宋体"/>
          <w:sz w:val="24"/>
          <w:szCs w:val="24"/>
        </w:rPr>
        <w:t xml:space="preserve"> 维修工作量大，人员岗位多，生产成本高，安全风险大</w:t>
      </w:r>
      <w:r>
        <w:rPr>
          <w:rFonts w:ascii="宋体" w:hAnsi="宋体" w:eastAsia="宋体" w:cs="宋体"/>
          <w:spacing w:val="-1"/>
          <w:sz w:val="24"/>
          <w:szCs w:val="24"/>
        </w:rPr>
        <w:t>等因素。企业拟对其进</w:t>
      </w:r>
      <w:r>
        <w:rPr>
          <w:rFonts w:ascii="宋体" w:hAnsi="宋体" w:eastAsia="宋体" w:cs="宋体"/>
          <w:sz w:val="24"/>
          <w:szCs w:val="24"/>
        </w:rPr>
        <w:t xml:space="preserve"> </w:t>
      </w:r>
      <w:r>
        <w:rPr>
          <w:rFonts w:ascii="宋体" w:hAnsi="宋体" w:eastAsia="宋体" w:cs="宋体"/>
          <w:spacing w:val="-3"/>
          <w:sz w:val="24"/>
          <w:szCs w:val="24"/>
        </w:rPr>
        <w:t>行产能置换，使企业选矿生产符合“设备大型化、</w:t>
      </w:r>
      <w:r>
        <w:rPr>
          <w:rFonts w:ascii="宋体" w:hAnsi="宋体" w:eastAsia="宋体" w:cs="宋体"/>
          <w:spacing w:val="-60"/>
          <w:sz w:val="24"/>
          <w:szCs w:val="24"/>
        </w:rPr>
        <w:t xml:space="preserve"> </w:t>
      </w:r>
      <w:r>
        <w:rPr>
          <w:rFonts w:ascii="宋体" w:hAnsi="宋体" w:eastAsia="宋体" w:cs="宋体"/>
          <w:spacing w:val="-3"/>
          <w:sz w:val="24"/>
          <w:szCs w:val="24"/>
        </w:rPr>
        <w:t>自动化和现代化</w:t>
      </w:r>
      <w:r>
        <w:rPr>
          <w:rFonts w:ascii="宋体" w:hAnsi="宋体" w:eastAsia="宋体" w:cs="宋体"/>
          <w:spacing w:val="-88"/>
          <w:sz w:val="24"/>
          <w:szCs w:val="24"/>
        </w:rPr>
        <w:t xml:space="preserve"> </w:t>
      </w:r>
      <w:r>
        <w:rPr>
          <w:rFonts w:ascii="宋体" w:hAnsi="宋体" w:eastAsia="宋体" w:cs="宋体"/>
          <w:spacing w:val="-3"/>
          <w:sz w:val="24"/>
          <w:szCs w:val="24"/>
        </w:rPr>
        <w:t>”的理念。</w:t>
      </w:r>
      <w:r>
        <w:rPr>
          <w:rFonts w:ascii="宋体" w:hAnsi="宋体" w:eastAsia="宋体" w:cs="宋体"/>
          <w:sz w:val="24"/>
          <w:szCs w:val="24"/>
        </w:rPr>
        <w:t xml:space="preserve"> </w:t>
      </w:r>
      <w:r>
        <w:rPr>
          <w:rFonts w:ascii="宋体" w:hAnsi="宋体" w:eastAsia="宋体" w:cs="宋体"/>
          <w:spacing w:val="-2"/>
          <w:sz w:val="24"/>
          <w:szCs w:val="24"/>
        </w:rPr>
        <w:t>本次技改采用</w:t>
      </w:r>
      <w:r>
        <w:rPr>
          <w:rFonts w:ascii="宋体" w:hAnsi="宋体" w:eastAsia="宋体" w:cs="宋体"/>
          <w:spacing w:val="-33"/>
          <w:sz w:val="24"/>
          <w:szCs w:val="24"/>
        </w:rPr>
        <w:t xml:space="preserve"> </w:t>
      </w:r>
      <w:r>
        <w:rPr>
          <w:rFonts w:ascii="宋体" w:hAnsi="宋体" w:eastAsia="宋体" w:cs="宋体"/>
          <w:spacing w:val="-2"/>
          <w:sz w:val="24"/>
          <w:szCs w:val="24"/>
        </w:rPr>
        <w:t>1400t/d</w:t>
      </w:r>
      <w:r>
        <w:rPr>
          <w:rFonts w:ascii="宋体" w:hAnsi="宋体" w:eastAsia="宋体" w:cs="宋体"/>
          <w:spacing w:val="-52"/>
          <w:sz w:val="24"/>
          <w:szCs w:val="24"/>
        </w:rPr>
        <w:t xml:space="preserve"> </w:t>
      </w:r>
      <w:r>
        <w:rPr>
          <w:rFonts w:ascii="宋体" w:hAnsi="宋体" w:eastAsia="宋体" w:cs="宋体"/>
          <w:spacing w:val="-2"/>
          <w:sz w:val="24"/>
          <w:szCs w:val="24"/>
        </w:rPr>
        <w:t>选矿生产线的“半自磨</w:t>
      </w:r>
      <w:r>
        <w:rPr>
          <w:rFonts w:ascii="宋体" w:hAnsi="宋体" w:eastAsia="宋体" w:cs="宋体"/>
          <w:spacing w:val="-88"/>
          <w:sz w:val="24"/>
          <w:szCs w:val="24"/>
        </w:rPr>
        <w:t xml:space="preserve"> </w:t>
      </w:r>
      <w:r>
        <w:rPr>
          <w:rFonts w:ascii="宋体" w:hAnsi="宋体" w:eastAsia="宋体" w:cs="宋体"/>
          <w:spacing w:val="-2"/>
          <w:sz w:val="24"/>
          <w:szCs w:val="24"/>
        </w:rPr>
        <w:t>”方案进行产能置换，较</w:t>
      </w:r>
      <w:r>
        <w:rPr>
          <w:rFonts w:ascii="宋体" w:hAnsi="宋体" w:eastAsia="宋体" w:cs="宋体"/>
          <w:spacing w:val="-3"/>
          <w:sz w:val="24"/>
          <w:szCs w:val="24"/>
        </w:rPr>
        <w:t>技改前</w:t>
      </w:r>
      <w:r>
        <w:rPr>
          <w:rFonts w:ascii="宋体" w:hAnsi="宋体" w:eastAsia="宋体" w:cs="宋体"/>
          <w:sz w:val="24"/>
          <w:szCs w:val="24"/>
        </w:rPr>
        <w:t xml:space="preserve"> 2000t/d</w:t>
      </w:r>
      <w:r>
        <w:rPr>
          <w:rFonts w:ascii="宋体" w:hAnsi="宋体" w:eastAsia="宋体" w:cs="宋体"/>
          <w:spacing w:val="-47"/>
          <w:sz w:val="24"/>
          <w:szCs w:val="24"/>
        </w:rPr>
        <w:t xml:space="preserve"> </w:t>
      </w:r>
      <w:r>
        <w:rPr>
          <w:rFonts w:ascii="宋体" w:hAnsi="宋体" w:eastAsia="宋体" w:cs="宋体"/>
          <w:sz w:val="24"/>
          <w:szCs w:val="24"/>
        </w:rPr>
        <w:t>选矿生产线的“三段一闭路</w:t>
      </w:r>
      <w:r>
        <w:rPr>
          <w:rFonts w:ascii="宋体" w:hAnsi="宋体" w:eastAsia="宋体" w:cs="宋体"/>
          <w:spacing w:val="-83"/>
          <w:sz w:val="24"/>
          <w:szCs w:val="24"/>
        </w:rPr>
        <w:t xml:space="preserve"> </w:t>
      </w:r>
      <w:r>
        <w:rPr>
          <w:rFonts w:ascii="宋体" w:hAnsi="宋体" w:eastAsia="宋体" w:cs="宋体"/>
          <w:sz w:val="24"/>
          <w:szCs w:val="24"/>
        </w:rPr>
        <w:t>”方案，产尘点明显减少，产尘车间只有 粗碎、中间堆场；而技改前干式作业多，产尘车间有粗</w:t>
      </w:r>
      <w:r>
        <w:rPr>
          <w:rFonts w:ascii="宋体" w:hAnsi="宋体" w:eastAsia="宋体" w:cs="宋体"/>
          <w:spacing w:val="-1"/>
          <w:sz w:val="24"/>
          <w:szCs w:val="24"/>
        </w:rPr>
        <w:t>碎、中细碎、筛分、粉</w:t>
      </w:r>
      <w:r>
        <w:rPr>
          <w:rFonts w:ascii="宋体" w:hAnsi="宋体" w:eastAsia="宋体" w:cs="宋体"/>
          <w:sz w:val="24"/>
          <w:szCs w:val="24"/>
        </w:rPr>
        <w:t xml:space="preserve"> </w:t>
      </w:r>
      <w:r>
        <w:rPr>
          <w:rFonts w:ascii="宋体" w:hAnsi="宋体" w:eastAsia="宋体" w:cs="宋体"/>
          <w:spacing w:val="-1"/>
          <w:sz w:val="24"/>
          <w:szCs w:val="24"/>
        </w:rPr>
        <w:t>矿仓。技改后粉尘减少，可使重金属污染也明显减少。</w:t>
      </w:r>
    </w:p>
    <w:p w14:paraId="49894692">
      <w:pPr>
        <w:spacing w:before="77" w:line="222" w:lineRule="auto"/>
        <w:ind w:left="30"/>
        <w:outlineLvl w:val="1"/>
        <w:rPr>
          <w:rFonts w:ascii="黑体" w:hAnsi="黑体" w:eastAsia="黑体" w:cs="黑体"/>
          <w:sz w:val="28"/>
          <w:szCs w:val="28"/>
        </w:rPr>
      </w:pPr>
      <w:bookmarkStart w:id="3" w:name="bookmark4"/>
      <w:bookmarkEnd w:id="3"/>
      <w:r>
        <w:rPr>
          <w:rFonts w:ascii="Times New Roman" w:hAnsi="Times New Roman" w:eastAsia="Times New Roman" w:cs="Times New Roman"/>
          <w:b/>
          <w:bCs/>
          <w:spacing w:val="-3"/>
          <w:sz w:val="28"/>
          <w:szCs w:val="28"/>
        </w:rPr>
        <w:t xml:space="preserve">1.3 </w:t>
      </w:r>
      <w:r>
        <w:rPr>
          <w:rFonts w:ascii="黑体" w:hAnsi="黑体" w:eastAsia="黑体" w:cs="黑体"/>
          <w:b/>
          <w:bCs/>
          <w:spacing w:val="-3"/>
          <w:sz w:val="28"/>
          <w:szCs w:val="28"/>
        </w:rPr>
        <w:t>产业政策及选址分析</w:t>
      </w:r>
    </w:p>
    <w:p w14:paraId="5045CDBA">
      <w:pPr>
        <w:spacing w:before="255"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）产业政策相符性分析</w:t>
      </w:r>
    </w:p>
    <w:p w14:paraId="625B52D9">
      <w:pPr>
        <w:spacing w:line="219" w:lineRule="auto"/>
        <w:rPr>
          <w:rFonts w:ascii="宋体" w:hAnsi="宋体" w:eastAsia="宋体" w:cs="宋体"/>
          <w:sz w:val="24"/>
          <w:szCs w:val="24"/>
        </w:rPr>
        <w:sectPr>
          <w:footerReference r:id="rId9" w:type="default"/>
          <w:pgSz w:w="11906" w:h="16839"/>
          <w:pgMar w:top="1208" w:right="1785" w:bottom="1358" w:left="1785" w:header="825" w:footer="1195" w:gutter="0"/>
          <w:cols w:space="720" w:num="1"/>
        </w:sectPr>
      </w:pPr>
    </w:p>
    <w:p w14:paraId="650AE58C">
      <w:pPr>
        <w:pStyle w:val="2"/>
        <w:spacing w:line="265" w:lineRule="auto"/>
      </w:pPr>
    </w:p>
    <w:p w14:paraId="401EFBFC">
      <w:pPr>
        <w:spacing w:before="78" w:line="360" w:lineRule="auto"/>
        <w:ind w:left="22" w:right="162" w:firstLine="479"/>
        <w:jc w:val="both"/>
        <w:rPr>
          <w:rFonts w:ascii="宋体" w:hAnsi="宋体" w:eastAsia="宋体" w:cs="宋体"/>
          <w:sz w:val="24"/>
          <w:szCs w:val="24"/>
        </w:rPr>
      </w:pPr>
      <w:r>
        <w:rPr>
          <w:rFonts w:ascii="宋体" w:hAnsi="宋体" w:eastAsia="宋体" w:cs="宋体"/>
          <w:sz w:val="24"/>
          <w:szCs w:val="24"/>
        </w:rPr>
        <w:t>本项目为铅锌矿选矿技术改造项目，项目生产</w:t>
      </w:r>
      <w:r>
        <w:rPr>
          <w:rFonts w:ascii="宋体" w:hAnsi="宋体" w:eastAsia="宋体" w:cs="宋体"/>
          <w:spacing w:val="-1"/>
          <w:sz w:val="24"/>
          <w:szCs w:val="24"/>
        </w:rPr>
        <w:t>工艺、设备未在《产业结构</w:t>
      </w:r>
      <w:r>
        <w:rPr>
          <w:rFonts w:ascii="宋体" w:hAnsi="宋体" w:eastAsia="宋体" w:cs="宋体"/>
          <w:sz w:val="24"/>
          <w:szCs w:val="24"/>
        </w:rPr>
        <w:t xml:space="preserve"> </w:t>
      </w:r>
      <w:r>
        <w:rPr>
          <w:rFonts w:ascii="宋体" w:hAnsi="宋体" w:eastAsia="宋体" w:cs="宋体"/>
          <w:spacing w:val="-2"/>
          <w:sz w:val="24"/>
          <w:szCs w:val="24"/>
        </w:rPr>
        <w:t>调整指导目录（</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年本）》的鼓励类、限制类、淘汰类中列出，属于允许类</w:t>
      </w:r>
      <w:r>
        <w:rPr>
          <w:rFonts w:ascii="宋体" w:hAnsi="宋体" w:eastAsia="宋体" w:cs="宋体"/>
          <w:spacing w:val="1"/>
          <w:sz w:val="24"/>
          <w:szCs w:val="24"/>
        </w:rPr>
        <w:t xml:space="preserve"> </w:t>
      </w:r>
      <w:r>
        <w:rPr>
          <w:rFonts w:ascii="宋体" w:hAnsi="宋体" w:eastAsia="宋体" w:cs="宋体"/>
          <w:spacing w:val="-1"/>
          <w:sz w:val="24"/>
          <w:szCs w:val="24"/>
        </w:rPr>
        <w:t>建设项目。因此，项目建设符合国家产业政策。</w:t>
      </w:r>
    </w:p>
    <w:p w14:paraId="4623DAE5">
      <w:pPr>
        <w:spacing w:before="1" w:line="217" w:lineRule="auto"/>
        <w:ind w:left="504"/>
        <w:rPr>
          <w:rFonts w:ascii="宋体" w:hAnsi="宋体" w:eastAsia="宋体" w:cs="宋体"/>
          <w:sz w:val="24"/>
          <w:szCs w:val="24"/>
        </w:rPr>
      </w:pPr>
      <w:r>
        <w:rPr>
          <w:rFonts w:ascii="宋体" w:hAnsi="宋体" w:eastAsia="宋体" w:cs="宋体"/>
          <w:spacing w:val="-1"/>
          <w:sz w:val="24"/>
          <w:szCs w:val="24"/>
        </w:rPr>
        <w:t>项目已获得西乌珠穆沁旗工业和信息化局的项目备案告知书，项目编号：</w:t>
      </w:r>
    </w:p>
    <w:p w14:paraId="0DB46628">
      <w:pPr>
        <w:spacing w:before="226" w:line="188" w:lineRule="auto"/>
        <w:ind w:left="1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2303-152526-07-02-705572</w:t>
      </w:r>
    </w:p>
    <w:p w14:paraId="1D5A95A6">
      <w:pPr>
        <w:spacing w:before="210"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）选址及“三线一单</w:t>
      </w:r>
      <w:r>
        <w:rPr>
          <w:rFonts w:ascii="宋体" w:hAnsi="宋体" w:eastAsia="宋体" w:cs="宋体"/>
          <w:spacing w:val="-74"/>
          <w:sz w:val="24"/>
          <w:szCs w:val="24"/>
        </w:rPr>
        <w:t xml:space="preserve"> </w:t>
      </w:r>
      <w:r>
        <w:rPr>
          <w:rFonts w:ascii="宋体" w:hAnsi="宋体" w:eastAsia="宋体" w:cs="宋体"/>
          <w:spacing w:val="-4"/>
          <w:sz w:val="24"/>
          <w:szCs w:val="24"/>
        </w:rPr>
        <w:t>”符合性分析</w:t>
      </w:r>
    </w:p>
    <w:p w14:paraId="66558602">
      <w:pPr>
        <w:spacing w:before="98" w:line="336" w:lineRule="auto"/>
        <w:ind w:left="21" w:right="162" w:firstLine="480"/>
        <w:rPr>
          <w:rFonts w:ascii="宋体" w:hAnsi="宋体" w:eastAsia="宋体" w:cs="宋体"/>
          <w:sz w:val="24"/>
          <w:szCs w:val="24"/>
        </w:rPr>
      </w:pPr>
      <w:r>
        <w:rPr>
          <w:rFonts w:ascii="宋体" w:hAnsi="宋体" w:eastAsia="宋体" w:cs="宋体"/>
          <w:sz w:val="24"/>
          <w:szCs w:val="24"/>
        </w:rPr>
        <w:t>本项目在现有厂区车间内进行技术改造，选址</w:t>
      </w:r>
      <w:r>
        <w:rPr>
          <w:rFonts w:ascii="宋体" w:hAnsi="宋体" w:eastAsia="宋体" w:cs="宋体"/>
          <w:spacing w:val="-1"/>
          <w:sz w:val="24"/>
          <w:szCs w:val="24"/>
        </w:rPr>
        <w:t>不涉及生态功能重要区域、</w:t>
      </w:r>
      <w:r>
        <w:rPr>
          <w:rFonts w:ascii="宋体" w:hAnsi="宋体" w:eastAsia="宋体" w:cs="宋体"/>
          <w:sz w:val="24"/>
          <w:szCs w:val="24"/>
        </w:rPr>
        <w:t xml:space="preserve"> </w:t>
      </w:r>
      <w:r>
        <w:rPr>
          <w:rFonts w:ascii="宋体" w:hAnsi="宋体" w:eastAsia="宋体" w:cs="宋体"/>
          <w:spacing w:val="-2"/>
          <w:sz w:val="24"/>
          <w:szCs w:val="24"/>
        </w:rPr>
        <w:t>生态环境敏感脆弱区域或国家级、</w:t>
      </w:r>
      <w:r>
        <w:rPr>
          <w:rFonts w:ascii="宋体" w:hAnsi="宋体" w:eastAsia="宋体" w:cs="宋体"/>
          <w:spacing w:val="-63"/>
          <w:sz w:val="24"/>
          <w:szCs w:val="24"/>
        </w:rPr>
        <w:t xml:space="preserve"> </w:t>
      </w:r>
      <w:r>
        <w:rPr>
          <w:rFonts w:ascii="宋体" w:hAnsi="宋体" w:eastAsia="宋体" w:cs="宋体"/>
          <w:spacing w:val="-2"/>
          <w:sz w:val="24"/>
          <w:szCs w:val="24"/>
        </w:rPr>
        <w:t>自治区级禁止开发区域，以及有必要严格保</w:t>
      </w:r>
      <w:r>
        <w:rPr>
          <w:rFonts w:ascii="宋体" w:hAnsi="宋体" w:eastAsia="宋体" w:cs="宋体"/>
          <w:sz w:val="24"/>
          <w:szCs w:val="24"/>
        </w:rPr>
        <w:t xml:space="preserve"> 护的其他各类保护地，不涉及生态保护红线；本项目</w:t>
      </w:r>
      <w:r>
        <w:rPr>
          <w:rFonts w:ascii="宋体" w:hAnsi="宋体" w:eastAsia="宋体" w:cs="宋体"/>
          <w:spacing w:val="-1"/>
          <w:sz w:val="24"/>
          <w:szCs w:val="24"/>
        </w:rPr>
        <w:t>的建设运营虽然会产生一</w:t>
      </w:r>
      <w:r>
        <w:rPr>
          <w:rFonts w:ascii="宋体" w:hAnsi="宋体" w:eastAsia="宋体" w:cs="宋体"/>
          <w:sz w:val="24"/>
          <w:szCs w:val="24"/>
        </w:rPr>
        <w:t xml:space="preserve"> 定的污染物，如废气、废水、生产设备运行时产生的</w:t>
      </w:r>
      <w:r>
        <w:rPr>
          <w:rFonts w:ascii="宋体" w:hAnsi="宋体" w:eastAsia="宋体" w:cs="宋体"/>
          <w:spacing w:val="-1"/>
          <w:sz w:val="24"/>
          <w:szCs w:val="24"/>
        </w:rPr>
        <w:t>噪声和固废等，但在采取</w:t>
      </w:r>
      <w:r>
        <w:rPr>
          <w:rFonts w:ascii="宋体" w:hAnsi="宋体" w:eastAsia="宋体" w:cs="宋体"/>
          <w:sz w:val="24"/>
          <w:szCs w:val="24"/>
        </w:rPr>
        <w:t xml:space="preserve"> 相应的污染防治措施后，各类污染物的达标排放，不</w:t>
      </w:r>
      <w:r>
        <w:rPr>
          <w:rFonts w:ascii="宋体" w:hAnsi="宋体" w:eastAsia="宋体" w:cs="宋体"/>
          <w:spacing w:val="-1"/>
          <w:sz w:val="24"/>
          <w:szCs w:val="24"/>
        </w:rPr>
        <w:t>会对周边的环境造成不良</w:t>
      </w:r>
      <w:r>
        <w:rPr>
          <w:rFonts w:ascii="宋体" w:hAnsi="宋体" w:eastAsia="宋体" w:cs="宋体"/>
          <w:sz w:val="24"/>
          <w:szCs w:val="24"/>
        </w:rPr>
        <w:t xml:space="preserve"> 影响。本工程运行过程中会消耗电能、水资源等，消</w:t>
      </w:r>
      <w:r>
        <w:rPr>
          <w:rFonts w:ascii="宋体" w:hAnsi="宋体" w:eastAsia="宋体" w:cs="宋体"/>
          <w:spacing w:val="-1"/>
          <w:sz w:val="24"/>
          <w:szCs w:val="24"/>
        </w:rPr>
        <w:t>耗量相对区域资源利用总</w:t>
      </w:r>
      <w:r>
        <w:rPr>
          <w:rFonts w:ascii="宋体" w:hAnsi="宋体" w:eastAsia="宋体" w:cs="宋体"/>
          <w:sz w:val="24"/>
          <w:szCs w:val="24"/>
        </w:rPr>
        <w:t xml:space="preserve"> 量较少，新增能耗在可接受范围内；项目位于西乌珠</w:t>
      </w:r>
      <w:r>
        <w:rPr>
          <w:rFonts w:ascii="宋体" w:hAnsi="宋体" w:eastAsia="宋体" w:cs="宋体"/>
          <w:spacing w:val="-1"/>
          <w:sz w:val="24"/>
          <w:szCs w:val="24"/>
        </w:rPr>
        <w:t>穆沁旗，属于采矿用地，</w:t>
      </w:r>
      <w:r>
        <w:rPr>
          <w:rFonts w:ascii="宋体" w:hAnsi="宋体" w:eastAsia="宋体" w:cs="宋体"/>
          <w:sz w:val="24"/>
          <w:szCs w:val="24"/>
        </w:rPr>
        <w:t xml:space="preserve"> </w:t>
      </w:r>
      <w:r>
        <w:rPr>
          <w:rFonts w:ascii="宋体" w:hAnsi="宋体" w:eastAsia="宋体" w:cs="宋体"/>
          <w:spacing w:val="-1"/>
          <w:sz w:val="24"/>
          <w:szCs w:val="24"/>
        </w:rPr>
        <w:t>依据《锡林郭勒盟生态环境准入清单》（</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月）中</w:t>
      </w:r>
      <w:r>
        <w:rPr>
          <w:rFonts w:ascii="Times New Roman" w:hAnsi="Times New Roman" w:eastAsia="Times New Roman" w:cs="Times New Roman"/>
          <w:spacing w:val="-1"/>
          <w:sz w:val="24"/>
          <w:szCs w:val="24"/>
        </w:rPr>
        <w:t>“</w:t>
      </w:r>
      <w:r>
        <w:rPr>
          <w:rFonts w:ascii="宋体" w:hAnsi="宋体" w:eastAsia="宋体" w:cs="宋体"/>
          <w:spacing w:val="-1"/>
          <w:sz w:val="24"/>
          <w:szCs w:val="24"/>
        </w:rPr>
        <w:t>锡林郭勒</w:t>
      </w:r>
      <w:r>
        <w:rPr>
          <w:rFonts w:ascii="宋体" w:hAnsi="宋体" w:eastAsia="宋体" w:cs="宋体"/>
          <w:spacing w:val="-2"/>
          <w:sz w:val="24"/>
          <w:szCs w:val="24"/>
        </w:rPr>
        <w:t>盟西乌珠</w:t>
      </w:r>
      <w:r>
        <w:rPr>
          <w:rFonts w:ascii="宋体" w:hAnsi="宋体" w:eastAsia="宋体" w:cs="宋体"/>
          <w:sz w:val="24"/>
          <w:szCs w:val="24"/>
        </w:rPr>
        <w:t xml:space="preserve"> 穆沁旗生态环境准入清单</w:t>
      </w:r>
      <w:r>
        <w:rPr>
          <w:rFonts w:ascii="Times New Roman" w:hAnsi="Times New Roman" w:eastAsia="Times New Roman" w:cs="Times New Roman"/>
          <w:sz w:val="24"/>
          <w:szCs w:val="24"/>
        </w:rPr>
        <w:t>”</w:t>
      </w:r>
      <w:r>
        <w:rPr>
          <w:rFonts w:ascii="宋体" w:hAnsi="宋体" w:eastAsia="宋体" w:cs="宋体"/>
          <w:sz w:val="24"/>
          <w:szCs w:val="24"/>
        </w:rPr>
        <w:t>：本项目位于</w:t>
      </w:r>
      <w:r>
        <w:rPr>
          <w:rFonts w:ascii="Times New Roman" w:hAnsi="Times New Roman" w:eastAsia="Times New Roman" w:cs="Times New Roman"/>
          <w:sz w:val="24"/>
          <w:szCs w:val="24"/>
        </w:rPr>
        <w:t>“</w:t>
      </w:r>
      <w:r>
        <w:rPr>
          <w:rFonts w:ascii="宋体" w:hAnsi="宋体" w:eastAsia="宋体" w:cs="宋体"/>
          <w:sz w:val="24"/>
          <w:szCs w:val="24"/>
        </w:rPr>
        <w:t>内蒙古锡林郭勒盟西乌珠穆沁旗采矿</w:t>
      </w:r>
      <w:r>
        <w:rPr>
          <w:rFonts w:ascii="宋体" w:hAnsi="宋体" w:eastAsia="宋体" w:cs="宋体"/>
          <w:spacing w:val="16"/>
          <w:sz w:val="24"/>
          <w:szCs w:val="24"/>
        </w:rPr>
        <w:t xml:space="preserve"> </w:t>
      </w:r>
      <w:r>
        <w:rPr>
          <w:rFonts w:ascii="宋体" w:hAnsi="宋体" w:eastAsia="宋体" w:cs="宋体"/>
          <w:spacing w:val="-3"/>
          <w:sz w:val="24"/>
          <w:szCs w:val="24"/>
        </w:rPr>
        <w:t>用地</w:t>
      </w:r>
      <w:r>
        <w:rPr>
          <w:rFonts w:ascii="Times New Roman" w:hAnsi="Times New Roman" w:eastAsia="Times New Roman" w:cs="Times New Roman"/>
          <w:spacing w:val="-3"/>
          <w:sz w:val="24"/>
          <w:szCs w:val="24"/>
        </w:rPr>
        <w:t>”</w:t>
      </w:r>
      <w:r>
        <w:rPr>
          <w:rFonts w:ascii="宋体" w:hAnsi="宋体" w:eastAsia="宋体" w:cs="宋体"/>
          <w:spacing w:val="-3"/>
          <w:sz w:val="24"/>
          <w:szCs w:val="24"/>
        </w:rPr>
        <w:t>管控单元，符合该环境管控单元的空间布局约</w:t>
      </w:r>
      <w:r>
        <w:rPr>
          <w:rFonts w:ascii="宋体" w:hAnsi="宋体" w:eastAsia="宋体" w:cs="宋体"/>
          <w:spacing w:val="-4"/>
          <w:sz w:val="24"/>
          <w:szCs w:val="24"/>
        </w:rPr>
        <w:t>束、污染物排放管控、环境</w:t>
      </w:r>
      <w:r>
        <w:rPr>
          <w:rFonts w:ascii="宋体" w:hAnsi="宋体" w:eastAsia="宋体" w:cs="宋体"/>
          <w:sz w:val="24"/>
          <w:szCs w:val="24"/>
        </w:rPr>
        <w:t xml:space="preserve"> </w:t>
      </w:r>
      <w:r>
        <w:rPr>
          <w:rFonts w:ascii="宋体" w:hAnsi="宋体" w:eastAsia="宋体" w:cs="宋体"/>
          <w:spacing w:val="-1"/>
          <w:sz w:val="24"/>
          <w:szCs w:val="24"/>
        </w:rPr>
        <w:t>风险防控、资源利用效率要求等管控要求。</w:t>
      </w:r>
    </w:p>
    <w:p w14:paraId="5C81540C">
      <w:pPr>
        <w:spacing w:before="157" w:line="222" w:lineRule="auto"/>
        <w:ind w:left="30"/>
        <w:outlineLvl w:val="1"/>
        <w:rPr>
          <w:rFonts w:ascii="黑体" w:hAnsi="黑体" w:eastAsia="黑体" w:cs="黑体"/>
          <w:sz w:val="28"/>
          <w:szCs w:val="28"/>
        </w:rPr>
      </w:pPr>
      <w:bookmarkStart w:id="4" w:name="bookmark5"/>
      <w:bookmarkEnd w:id="4"/>
      <w:r>
        <w:rPr>
          <w:rFonts w:ascii="Times New Roman" w:hAnsi="Times New Roman" w:eastAsia="Times New Roman" w:cs="Times New Roman"/>
          <w:b/>
          <w:bCs/>
          <w:spacing w:val="-3"/>
          <w:sz w:val="28"/>
          <w:szCs w:val="28"/>
        </w:rPr>
        <w:t xml:space="preserve">1.4 </w:t>
      </w:r>
      <w:r>
        <w:rPr>
          <w:rFonts w:ascii="黑体" w:hAnsi="黑体" w:eastAsia="黑体" w:cs="黑体"/>
          <w:b/>
          <w:bCs/>
          <w:spacing w:val="-3"/>
          <w:sz w:val="28"/>
          <w:szCs w:val="28"/>
        </w:rPr>
        <w:t>环境影响评价工作过程</w:t>
      </w:r>
    </w:p>
    <w:p w14:paraId="7B49DCA7">
      <w:pPr>
        <w:spacing w:before="255" w:line="360" w:lineRule="auto"/>
        <w:ind w:left="22" w:right="162" w:firstLine="478"/>
        <w:rPr>
          <w:rFonts w:ascii="宋体" w:hAnsi="宋体" w:eastAsia="宋体" w:cs="宋体"/>
          <w:sz w:val="24"/>
          <w:szCs w:val="24"/>
        </w:rPr>
      </w:pPr>
      <w:r>
        <w:rPr>
          <w:rFonts w:ascii="宋体" w:hAnsi="宋体" w:eastAsia="宋体" w:cs="宋体"/>
          <w:sz w:val="24"/>
          <w:szCs w:val="24"/>
        </w:rPr>
        <w:t>环境影响评价工作分为三个阶段，即调查分析和</w:t>
      </w:r>
      <w:r>
        <w:rPr>
          <w:rFonts w:ascii="宋体" w:hAnsi="宋体" w:eastAsia="宋体" w:cs="宋体"/>
          <w:spacing w:val="-1"/>
          <w:sz w:val="24"/>
          <w:szCs w:val="24"/>
        </w:rPr>
        <w:t>工作方案制定阶段，分析</w:t>
      </w:r>
      <w:r>
        <w:rPr>
          <w:rFonts w:ascii="宋体" w:hAnsi="宋体" w:eastAsia="宋体" w:cs="宋体"/>
          <w:sz w:val="24"/>
          <w:szCs w:val="24"/>
        </w:rPr>
        <w:t xml:space="preserve"> </w:t>
      </w:r>
      <w:r>
        <w:rPr>
          <w:rFonts w:ascii="宋体" w:hAnsi="宋体" w:eastAsia="宋体" w:cs="宋体"/>
          <w:spacing w:val="-1"/>
          <w:sz w:val="24"/>
          <w:szCs w:val="24"/>
        </w:rPr>
        <w:t>论证和预测评价阶段，环境影响报告书编制阶段。</w:t>
      </w:r>
    </w:p>
    <w:p w14:paraId="7A2B07C2">
      <w:pPr>
        <w:spacing w:before="1" w:line="217" w:lineRule="auto"/>
        <w:ind w:left="502"/>
        <w:rPr>
          <w:rFonts w:ascii="宋体" w:hAnsi="宋体" w:eastAsia="宋体" w:cs="宋体"/>
          <w:sz w:val="24"/>
          <w:szCs w:val="24"/>
        </w:rPr>
      </w:pPr>
      <w:r>
        <w:rPr>
          <w:rFonts w:ascii="宋体" w:hAnsi="宋体" w:eastAsia="宋体" w:cs="宋体"/>
          <w:spacing w:val="-2"/>
          <w:sz w:val="24"/>
          <w:szCs w:val="24"/>
        </w:rPr>
        <w:t>本项目环境影响评价工作过程及程序见图</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1.4-1</w:t>
      </w:r>
      <w:r>
        <w:rPr>
          <w:rFonts w:ascii="宋体" w:hAnsi="宋体" w:eastAsia="宋体" w:cs="宋体"/>
          <w:spacing w:val="-2"/>
          <w:sz w:val="24"/>
          <w:szCs w:val="24"/>
        </w:rPr>
        <w:t>。</w:t>
      </w:r>
    </w:p>
    <w:p w14:paraId="5723A04A">
      <w:pPr>
        <w:spacing w:line="217" w:lineRule="auto"/>
        <w:rPr>
          <w:rFonts w:ascii="宋体" w:hAnsi="宋体" w:eastAsia="宋体" w:cs="宋体"/>
          <w:sz w:val="24"/>
          <w:szCs w:val="24"/>
        </w:rPr>
        <w:sectPr>
          <w:footerReference r:id="rId10" w:type="default"/>
          <w:pgSz w:w="11906" w:h="16839"/>
          <w:pgMar w:top="1208" w:right="1785" w:bottom="1358" w:left="1785" w:header="825" w:footer="1195" w:gutter="0"/>
          <w:cols w:space="720" w:num="1"/>
        </w:sectPr>
      </w:pPr>
    </w:p>
    <w:p w14:paraId="67DA8C6C">
      <w:pPr>
        <w:pStyle w:val="2"/>
        <w:spacing w:line="296" w:lineRule="auto"/>
      </w:pPr>
    </w:p>
    <w:p w14:paraId="4500FF31">
      <w:pPr>
        <w:spacing w:line="7974" w:lineRule="exact"/>
        <w:ind w:firstLine="237"/>
      </w:pPr>
      <w:r>
        <w:rPr>
          <w:position w:val="-159"/>
        </w:rPr>
        <w:drawing>
          <wp:inline distT="0" distB="0" distL="0" distR="0">
            <wp:extent cx="4882515" cy="506349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56"/>
                    <a:stretch>
                      <a:fillRect/>
                    </a:stretch>
                  </pic:blipFill>
                  <pic:spPr>
                    <a:xfrm>
                      <a:off x="0" y="0"/>
                      <a:ext cx="4882933" cy="5063921"/>
                    </a:xfrm>
                    <a:prstGeom prst="rect">
                      <a:avLst/>
                    </a:prstGeom>
                  </pic:spPr>
                </pic:pic>
              </a:graphicData>
            </a:graphic>
          </wp:inline>
        </w:drawing>
      </w:r>
    </w:p>
    <w:p w14:paraId="76C91184">
      <w:pPr>
        <w:spacing w:before="122" w:line="226" w:lineRule="auto"/>
        <w:ind w:left="2298"/>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20"/>
          <w:sz w:val="20"/>
          <w:szCs w:val="20"/>
        </w:rPr>
        <w:t xml:space="preserve"> </w:t>
      </w:r>
      <w:r>
        <w:rPr>
          <w:rFonts w:ascii="Times New Roman" w:hAnsi="Times New Roman" w:eastAsia="Times New Roman" w:cs="Times New Roman"/>
          <w:spacing w:val="5"/>
          <w:sz w:val="20"/>
          <w:szCs w:val="20"/>
        </w:rPr>
        <w:t xml:space="preserve">1.4-1    </w:t>
      </w:r>
      <w:r>
        <w:rPr>
          <w:rFonts w:ascii="宋体" w:hAnsi="宋体" w:eastAsia="宋体" w:cs="宋体"/>
          <w:spacing w:val="5"/>
          <w:sz w:val="20"/>
          <w:szCs w:val="20"/>
        </w:rPr>
        <w:t>环境影响评价工作过程</w:t>
      </w:r>
      <w:r>
        <w:rPr>
          <w:rFonts w:ascii="宋体" w:hAnsi="宋体" w:eastAsia="宋体" w:cs="宋体"/>
          <w:spacing w:val="4"/>
          <w:sz w:val="20"/>
          <w:szCs w:val="20"/>
        </w:rPr>
        <w:t>示意图</w:t>
      </w:r>
    </w:p>
    <w:p w14:paraId="7F6055B0">
      <w:pPr>
        <w:spacing w:before="211" w:line="222" w:lineRule="auto"/>
        <w:ind w:left="30"/>
        <w:outlineLvl w:val="1"/>
        <w:rPr>
          <w:rFonts w:ascii="黑体" w:hAnsi="黑体" w:eastAsia="黑体" w:cs="黑体"/>
          <w:sz w:val="28"/>
          <w:szCs w:val="28"/>
        </w:rPr>
      </w:pPr>
      <w:bookmarkStart w:id="5" w:name="bookmark6"/>
      <w:bookmarkEnd w:id="5"/>
      <w:r>
        <w:rPr>
          <w:rFonts w:ascii="Times New Roman" w:hAnsi="Times New Roman" w:eastAsia="Times New Roman" w:cs="Times New Roman"/>
          <w:b/>
          <w:bCs/>
          <w:spacing w:val="-5"/>
          <w:sz w:val="28"/>
          <w:szCs w:val="28"/>
        </w:rPr>
        <w:t>1.5</w:t>
      </w:r>
      <w:r>
        <w:rPr>
          <w:rFonts w:ascii="Times New Roman" w:hAnsi="Times New Roman" w:eastAsia="Times New Roman" w:cs="Times New Roman"/>
          <w:b/>
          <w:bCs/>
          <w:spacing w:val="23"/>
          <w:w w:val="101"/>
          <w:sz w:val="28"/>
          <w:szCs w:val="28"/>
        </w:rPr>
        <w:t xml:space="preserve"> </w:t>
      </w:r>
      <w:r>
        <w:rPr>
          <w:rFonts w:ascii="黑体" w:hAnsi="黑体" w:eastAsia="黑体" w:cs="黑体"/>
          <w:b/>
          <w:bCs/>
          <w:spacing w:val="-5"/>
          <w:sz w:val="28"/>
          <w:szCs w:val="28"/>
        </w:rPr>
        <w:t>关注的主要环境问题</w:t>
      </w:r>
    </w:p>
    <w:p w14:paraId="6D48344A">
      <w:pPr>
        <w:spacing w:before="257" w:line="219" w:lineRule="auto"/>
        <w:ind w:left="502"/>
        <w:rPr>
          <w:rFonts w:ascii="宋体" w:hAnsi="宋体" w:eastAsia="宋体" w:cs="宋体"/>
          <w:sz w:val="24"/>
          <w:szCs w:val="24"/>
        </w:rPr>
      </w:pPr>
      <w:r>
        <w:rPr>
          <w:rFonts w:ascii="宋体" w:hAnsi="宋体" w:eastAsia="宋体" w:cs="宋体"/>
          <w:spacing w:val="-1"/>
          <w:sz w:val="24"/>
          <w:szCs w:val="24"/>
        </w:rPr>
        <w:t>本项目环评主要关注以下环境问题：</w:t>
      </w:r>
    </w:p>
    <w:p w14:paraId="13A7A728">
      <w:pPr>
        <w:spacing w:before="185" w:line="313" w:lineRule="auto"/>
        <w:ind w:left="22" w:right="162"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）根据项目建设内容及周围环境特点，分析项目</w:t>
      </w:r>
      <w:r>
        <w:rPr>
          <w:rFonts w:ascii="宋体" w:hAnsi="宋体" w:eastAsia="宋体" w:cs="宋体"/>
          <w:spacing w:val="-5"/>
          <w:sz w:val="24"/>
          <w:szCs w:val="24"/>
        </w:rPr>
        <w:t>污染物排放及对区域环</w:t>
      </w:r>
      <w:r>
        <w:rPr>
          <w:rFonts w:ascii="宋体" w:hAnsi="宋体" w:eastAsia="宋体" w:cs="宋体"/>
          <w:sz w:val="24"/>
          <w:szCs w:val="24"/>
        </w:rPr>
        <w:t xml:space="preserve"> 境影响范围及程度，选矿厂及依托尾矿库重点关注</w:t>
      </w:r>
      <w:r>
        <w:rPr>
          <w:rFonts w:ascii="宋体" w:hAnsi="宋体" w:eastAsia="宋体" w:cs="宋体"/>
          <w:spacing w:val="-1"/>
          <w:sz w:val="24"/>
          <w:szCs w:val="24"/>
        </w:rPr>
        <w:t>地下水、土壤的环境影响及</w:t>
      </w:r>
      <w:r>
        <w:rPr>
          <w:rFonts w:ascii="宋体" w:hAnsi="宋体" w:eastAsia="宋体" w:cs="宋体"/>
          <w:sz w:val="24"/>
          <w:szCs w:val="24"/>
        </w:rPr>
        <w:t xml:space="preserve"> </w:t>
      </w:r>
      <w:r>
        <w:rPr>
          <w:rFonts w:ascii="宋体" w:hAnsi="宋体" w:eastAsia="宋体" w:cs="宋体"/>
          <w:spacing w:val="-2"/>
          <w:sz w:val="24"/>
          <w:szCs w:val="24"/>
        </w:rPr>
        <w:t>现有环境问题。</w:t>
      </w:r>
    </w:p>
    <w:p w14:paraId="34C37677">
      <w:pPr>
        <w:spacing w:before="183" w:line="290" w:lineRule="auto"/>
        <w:ind w:left="23" w:right="162"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）根据污染物排放特点，分析项目污染防治措施</w:t>
      </w:r>
      <w:r>
        <w:rPr>
          <w:rFonts w:ascii="宋体" w:hAnsi="宋体" w:eastAsia="宋体" w:cs="宋体"/>
          <w:spacing w:val="-5"/>
          <w:sz w:val="24"/>
          <w:szCs w:val="24"/>
        </w:rPr>
        <w:t>及风险防范措施的可行</w:t>
      </w:r>
      <w:r>
        <w:rPr>
          <w:rFonts w:ascii="宋体" w:hAnsi="宋体" w:eastAsia="宋体" w:cs="宋体"/>
          <w:sz w:val="24"/>
          <w:szCs w:val="24"/>
        </w:rPr>
        <w:t xml:space="preserve"> </w:t>
      </w:r>
      <w:r>
        <w:rPr>
          <w:rFonts w:ascii="宋体" w:hAnsi="宋体" w:eastAsia="宋体" w:cs="宋体"/>
          <w:spacing w:val="-7"/>
          <w:sz w:val="24"/>
          <w:szCs w:val="24"/>
        </w:rPr>
        <w:t>性。</w:t>
      </w:r>
    </w:p>
    <w:p w14:paraId="47C46262">
      <w:pPr>
        <w:spacing w:before="181"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）对现有环境问题提出环保整改措施。</w:t>
      </w:r>
    </w:p>
    <w:p w14:paraId="0064C15C">
      <w:pPr>
        <w:spacing w:before="266" w:line="222" w:lineRule="auto"/>
        <w:ind w:left="30"/>
        <w:outlineLvl w:val="1"/>
        <w:rPr>
          <w:rFonts w:ascii="黑体" w:hAnsi="黑体" w:eastAsia="黑体" w:cs="黑体"/>
          <w:sz w:val="28"/>
          <w:szCs w:val="28"/>
        </w:rPr>
      </w:pPr>
      <w:bookmarkStart w:id="6" w:name="bookmark7"/>
      <w:bookmarkEnd w:id="6"/>
      <w:r>
        <w:rPr>
          <w:rFonts w:ascii="Times New Roman" w:hAnsi="Times New Roman" w:eastAsia="Times New Roman" w:cs="Times New Roman"/>
          <w:b/>
          <w:bCs/>
          <w:spacing w:val="-3"/>
          <w:sz w:val="28"/>
          <w:szCs w:val="28"/>
        </w:rPr>
        <w:t xml:space="preserve">1.6 </w:t>
      </w:r>
      <w:r>
        <w:rPr>
          <w:rFonts w:ascii="黑体" w:hAnsi="黑体" w:eastAsia="黑体" w:cs="黑体"/>
          <w:b/>
          <w:bCs/>
          <w:spacing w:val="-3"/>
          <w:sz w:val="28"/>
          <w:szCs w:val="28"/>
        </w:rPr>
        <w:t>环评主要结论</w:t>
      </w:r>
    </w:p>
    <w:p w14:paraId="65D8AE70">
      <w:pPr>
        <w:spacing w:before="253" w:line="333" w:lineRule="auto"/>
        <w:ind w:left="23" w:right="162" w:firstLine="478"/>
        <w:rPr>
          <w:rFonts w:ascii="宋体" w:hAnsi="宋体" w:eastAsia="宋体" w:cs="宋体"/>
          <w:sz w:val="24"/>
          <w:szCs w:val="24"/>
        </w:rPr>
      </w:pPr>
      <w:r>
        <w:rPr>
          <w:rFonts w:ascii="宋体" w:hAnsi="宋体" w:eastAsia="宋体" w:cs="宋体"/>
          <w:sz w:val="24"/>
          <w:szCs w:val="24"/>
        </w:rPr>
        <w:t>本项目符合国家产业政策要求，技改后工艺技</w:t>
      </w:r>
      <w:r>
        <w:rPr>
          <w:rFonts w:ascii="宋体" w:hAnsi="宋体" w:eastAsia="宋体" w:cs="宋体"/>
          <w:spacing w:val="-1"/>
          <w:sz w:val="24"/>
          <w:szCs w:val="24"/>
        </w:rPr>
        <w:t>术先进合理，符合清洁生产</w:t>
      </w:r>
      <w:r>
        <w:rPr>
          <w:rFonts w:ascii="宋体" w:hAnsi="宋体" w:eastAsia="宋体" w:cs="宋体"/>
          <w:sz w:val="24"/>
          <w:szCs w:val="24"/>
        </w:rPr>
        <w:t xml:space="preserve"> 水平要求。厂址选择符合当地发展规划和环保</w:t>
      </w:r>
      <w:r>
        <w:rPr>
          <w:rFonts w:ascii="宋体" w:hAnsi="宋体" w:eastAsia="宋体" w:cs="宋体"/>
          <w:spacing w:val="-1"/>
          <w:sz w:val="24"/>
          <w:szCs w:val="24"/>
        </w:rPr>
        <w:t>要求，工程建设对环境及主要环</w:t>
      </w:r>
    </w:p>
    <w:p w14:paraId="59474082">
      <w:pPr>
        <w:spacing w:line="333" w:lineRule="auto"/>
        <w:rPr>
          <w:rFonts w:ascii="宋体" w:hAnsi="宋体" w:eastAsia="宋体" w:cs="宋体"/>
          <w:sz w:val="24"/>
          <w:szCs w:val="24"/>
        </w:rPr>
        <w:sectPr>
          <w:footerReference r:id="rId11" w:type="default"/>
          <w:pgSz w:w="11906" w:h="16839"/>
          <w:pgMar w:top="1208" w:right="1785" w:bottom="1358" w:left="1785" w:header="825" w:footer="1195" w:gutter="0"/>
          <w:cols w:space="720" w:num="1"/>
        </w:sectPr>
      </w:pPr>
    </w:p>
    <w:p w14:paraId="6CF19A66">
      <w:pPr>
        <w:pStyle w:val="2"/>
        <w:spacing w:line="265" w:lineRule="auto"/>
      </w:pPr>
    </w:p>
    <w:p w14:paraId="1CF7BF96">
      <w:pPr>
        <w:spacing w:before="78" w:line="360" w:lineRule="auto"/>
        <w:ind w:left="22" w:right="162"/>
        <w:jc w:val="both"/>
        <w:rPr>
          <w:rFonts w:ascii="宋体" w:hAnsi="宋体" w:eastAsia="宋体" w:cs="宋体"/>
          <w:sz w:val="24"/>
          <w:szCs w:val="24"/>
        </w:rPr>
      </w:pPr>
      <w:r>
        <w:rPr>
          <w:rFonts w:ascii="宋体" w:hAnsi="宋体" w:eastAsia="宋体" w:cs="宋体"/>
          <w:sz w:val="24"/>
          <w:szCs w:val="24"/>
        </w:rPr>
        <w:t>境保护目标的影响均满足国家相关环境质量标准要</w:t>
      </w:r>
      <w:r>
        <w:rPr>
          <w:rFonts w:ascii="宋体" w:hAnsi="宋体" w:eastAsia="宋体" w:cs="宋体"/>
          <w:spacing w:val="-1"/>
          <w:sz w:val="24"/>
          <w:szCs w:val="24"/>
        </w:rPr>
        <w:t>求，不会对区域环境质量造</w:t>
      </w:r>
      <w:r>
        <w:rPr>
          <w:rFonts w:ascii="宋体" w:hAnsi="宋体" w:eastAsia="宋体" w:cs="宋体"/>
          <w:sz w:val="24"/>
          <w:szCs w:val="24"/>
        </w:rPr>
        <w:t xml:space="preserve"> 成大的影响。在严格采取本环评规定的环保治理</w:t>
      </w:r>
      <w:r>
        <w:rPr>
          <w:rFonts w:ascii="宋体" w:hAnsi="宋体" w:eastAsia="宋体" w:cs="宋体"/>
          <w:spacing w:val="-1"/>
          <w:sz w:val="24"/>
          <w:szCs w:val="24"/>
        </w:rPr>
        <w:t>对策后，各污染源可以实现稳</w:t>
      </w:r>
      <w:r>
        <w:rPr>
          <w:rFonts w:ascii="宋体" w:hAnsi="宋体" w:eastAsia="宋体" w:cs="宋体"/>
          <w:sz w:val="24"/>
          <w:szCs w:val="24"/>
        </w:rPr>
        <w:t xml:space="preserve"> 定达标排放，对区域环境质量影响轻微。公</w:t>
      </w:r>
      <w:r>
        <w:rPr>
          <w:rFonts w:ascii="宋体" w:hAnsi="宋体" w:eastAsia="宋体" w:cs="宋体"/>
          <w:spacing w:val="-1"/>
          <w:sz w:val="24"/>
          <w:szCs w:val="24"/>
        </w:rPr>
        <w:t>众参与调查未收到反馈意见。</w:t>
      </w:r>
    </w:p>
    <w:p w14:paraId="7E3B5FD3">
      <w:pPr>
        <w:spacing w:line="360" w:lineRule="auto"/>
        <w:ind w:left="24" w:right="162" w:firstLine="477"/>
        <w:jc w:val="both"/>
        <w:rPr>
          <w:rFonts w:ascii="宋体" w:hAnsi="宋体" w:eastAsia="宋体" w:cs="宋体"/>
          <w:sz w:val="24"/>
          <w:szCs w:val="24"/>
        </w:rPr>
      </w:pPr>
      <w:r>
        <w:rPr>
          <w:rFonts w:ascii="宋体" w:hAnsi="宋体" w:eastAsia="宋体" w:cs="宋体"/>
          <w:sz w:val="24"/>
          <w:szCs w:val="24"/>
        </w:rPr>
        <w:t>技改实施后，企业将实现集约化发展，对当地</w:t>
      </w:r>
      <w:r>
        <w:rPr>
          <w:rFonts w:ascii="宋体" w:hAnsi="宋体" w:eastAsia="宋体" w:cs="宋体"/>
          <w:spacing w:val="-1"/>
          <w:sz w:val="24"/>
          <w:szCs w:val="24"/>
        </w:rPr>
        <w:t>经济发展来讲作用显著。本</w:t>
      </w:r>
      <w:r>
        <w:rPr>
          <w:rFonts w:ascii="宋体" w:hAnsi="宋体" w:eastAsia="宋体" w:cs="宋体"/>
          <w:sz w:val="24"/>
          <w:szCs w:val="24"/>
        </w:rPr>
        <w:t xml:space="preserve"> 项目生产规模虽然增大，但采取了一系列的</w:t>
      </w:r>
      <w:r>
        <w:rPr>
          <w:rFonts w:ascii="宋体" w:hAnsi="宋体" w:eastAsia="宋体" w:cs="宋体"/>
          <w:spacing w:val="-1"/>
          <w:sz w:val="24"/>
          <w:szCs w:val="24"/>
        </w:rPr>
        <w:t>污染防治措施，确保了本项目对周</w:t>
      </w:r>
      <w:r>
        <w:rPr>
          <w:rFonts w:ascii="宋体" w:hAnsi="宋体" w:eastAsia="宋体" w:cs="宋体"/>
          <w:sz w:val="24"/>
          <w:szCs w:val="24"/>
        </w:rPr>
        <w:t xml:space="preserve"> </w:t>
      </w:r>
      <w:r>
        <w:rPr>
          <w:rFonts w:ascii="宋体" w:hAnsi="宋体" w:eastAsia="宋体" w:cs="宋体"/>
          <w:spacing w:val="-2"/>
          <w:sz w:val="24"/>
          <w:szCs w:val="24"/>
        </w:rPr>
        <w:t>围环境影响较小。</w:t>
      </w:r>
    </w:p>
    <w:p w14:paraId="144EE22F">
      <w:pPr>
        <w:spacing w:before="1" w:line="361" w:lineRule="auto"/>
        <w:ind w:left="22" w:right="162" w:firstLine="497"/>
        <w:rPr>
          <w:rFonts w:ascii="宋体" w:hAnsi="宋体" w:eastAsia="宋体" w:cs="宋体"/>
          <w:sz w:val="24"/>
          <w:szCs w:val="24"/>
        </w:rPr>
      </w:pPr>
      <w:r>
        <w:rPr>
          <w:rFonts w:ascii="宋体" w:hAnsi="宋体" w:eastAsia="宋体" w:cs="宋体"/>
          <w:spacing w:val="-1"/>
          <w:sz w:val="24"/>
          <w:szCs w:val="24"/>
        </w:rPr>
        <w:t>因此，在落实本评价报告所提出的各项环保措施下，本项目的建设从环境</w:t>
      </w:r>
      <w:r>
        <w:rPr>
          <w:rFonts w:ascii="宋体" w:hAnsi="宋体" w:eastAsia="宋体" w:cs="宋体"/>
          <w:spacing w:val="2"/>
          <w:sz w:val="24"/>
          <w:szCs w:val="24"/>
        </w:rPr>
        <w:t xml:space="preserve"> </w:t>
      </w:r>
      <w:r>
        <w:rPr>
          <w:rFonts w:ascii="宋体" w:hAnsi="宋体" w:eastAsia="宋体" w:cs="宋体"/>
          <w:spacing w:val="-2"/>
          <w:sz w:val="24"/>
          <w:szCs w:val="24"/>
        </w:rPr>
        <w:t>保护角度讲是可行的。</w:t>
      </w:r>
    </w:p>
    <w:p w14:paraId="48358728">
      <w:pPr>
        <w:spacing w:line="361" w:lineRule="auto"/>
        <w:rPr>
          <w:rFonts w:ascii="宋体" w:hAnsi="宋体" w:eastAsia="宋体" w:cs="宋体"/>
          <w:sz w:val="24"/>
          <w:szCs w:val="24"/>
        </w:rPr>
        <w:sectPr>
          <w:footerReference r:id="rId12" w:type="default"/>
          <w:pgSz w:w="11906" w:h="16839"/>
          <w:pgMar w:top="1208" w:right="1785" w:bottom="1355" w:left="1785" w:header="825" w:footer="1195" w:gutter="0"/>
          <w:cols w:space="720" w:num="1"/>
        </w:sectPr>
      </w:pPr>
    </w:p>
    <w:p w14:paraId="2CC1416D">
      <w:pPr>
        <w:spacing w:before="271" w:line="222" w:lineRule="auto"/>
        <w:ind w:left="20"/>
        <w:outlineLvl w:val="0"/>
        <w:rPr>
          <w:rFonts w:ascii="黑体" w:hAnsi="黑体" w:eastAsia="黑体" w:cs="黑体"/>
          <w:sz w:val="28"/>
          <w:szCs w:val="28"/>
        </w:rPr>
      </w:pPr>
      <w:bookmarkStart w:id="7" w:name="bookmark8"/>
      <w:bookmarkEnd w:id="7"/>
      <w:r>
        <w:rPr>
          <w:rFonts w:ascii="黑体" w:hAnsi="黑体" w:eastAsia="黑体" w:cs="黑体"/>
          <w:b/>
          <w:bCs/>
          <w:spacing w:val="-11"/>
          <w:sz w:val="28"/>
          <w:szCs w:val="28"/>
        </w:rPr>
        <w:t>2</w:t>
      </w:r>
      <w:r>
        <w:rPr>
          <w:rFonts w:ascii="黑体" w:hAnsi="黑体" w:eastAsia="黑体" w:cs="黑体"/>
          <w:spacing w:val="-53"/>
          <w:sz w:val="28"/>
          <w:szCs w:val="28"/>
        </w:rPr>
        <w:t xml:space="preserve"> </w:t>
      </w:r>
      <w:r>
        <w:rPr>
          <w:rFonts w:ascii="黑体" w:hAnsi="黑体" w:eastAsia="黑体" w:cs="黑体"/>
          <w:b/>
          <w:bCs/>
          <w:spacing w:val="-11"/>
          <w:sz w:val="28"/>
          <w:szCs w:val="28"/>
        </w:rPr>
        <w:t>总则</w:t>
      </w:r>
    </w:p>
    <w:p w14:paraId="245D1B27">
      <w:pPr>
        <w:pStyle w:val="2"/>
        <w:spacing w:line="270" w:lineRule="auto"/>
      </w:pPr>
    </w:p>
    <w:p w14:paraId="180A251B">
      <w:pPr>
        <w:spacing w:before="91" w:line="222" w:lineRule="auto"/>
        <w:ind w:left="18"/>
        <w:outlineLvl w:val="1"/>
        <w:rPr>
          <w:rFonts w:ascii="黑体" w:hAnsi="黑体" w:eastAsia="黑体" w:cs="黑体"/>
          <w:sz w:val="28"/>
          <w:szCs w:val="28"/>
        </w:rPr>
      </w:pPr>
      <w:bookmarkStart w:id="8" w:name="bookmark10"/>
      <w:bookmarkEnd w:id="8"/>
      <w:bookmarkStart w:id="9" w:name="bookmark9"/>
      <w:bookmarkEnd w:id="9"/>
      <w:r>
        <w:rPr>
          <w:rFonts w:ascii="Times New Roman" w:hAnsi="Times New Roman" w:eastAsia="Times New Roman" w:cs="Times New Roman"/>
          <w:b/>
          <w:bCs/>
          <w:spacing w:val="-2"/>
          <w:sz w:val="28"/>
          <w:szCs w:val="28"/>
        </w:rPr>
        <w:t xml:space="preserve">2.1 </w:t>
      </w:r>
      <w:r>
        <w:rPr>
          <w:rFonts w:ascii="黑体" w:hAnsi="黑体" w:eastAsia="黑体" w:cs="黑体"/>
          <w:b/>
          <w:bCs/>
          <w:spacing w:val="-2"/>
          <w:sz w:val="28"/>
          <w:szCs w:val="28"/>
        </w:rPr>
        <w:t>编制依据</w:t>
      </w:r>
    </w:p>
    <w:p w14:paraId="6E210D6A">
      <w:pPr>
        <w:spacing w:before="255" w:line="218" w:lineRule="auto"/>
        <w:ind w:left="497"/>
        <w:outlineLvl w:val="2"/>
        <w:rPr>
          <w:rFonts w:ascii="宋体" w:hAnsi="宋体" w:eastAsia="宋体" w:cs="宋体"/>
          <w:sz w:val="24"/>
          <w:szCs w:val="24"/>
        </w:rPr>
      </w:pPr>
      <w:bookmarkStart w:id="10" w:name="bookmark194"/>
      <w:bookmarkEnd w:id="10"/>
      <w:r>
        <w:rPr>
          <w:rFonts w:ascii="Times New Roman" w:hAnsi="Times New Roman" w:eastAsia="Times New Roman" w:cs="Times New Roman"/>
          <w:b/>
          <w:bCs/>
          <w:spacing w:val="-2"/>
          <w:sz w:val="24"/>
          <w:szCs w:val="24"/>
        </w:rPr>
        <w:t xml:space="preserve">2.1.1 </w:t>
      </w:r>
      <w:r>
        <w:rPr>
          <w:rFonts w:ascii="宋体" w:hAnsi="宋体" w:eastAsia="宋体" w:cs="宋体"/>
          <w:b/>
          <w:bCs/>
          <w:spacing w:val="-2"/>
          <w:sz w:val="24"/>
          <w:szCs w:val="24"/>
        </w:rPr>
        <w:t>环境影响评价任务委托书</w:t>
      </w:r>
    </w:p>
    <w:p w14:paraId="1EEEE89A">
      <w:pPr>
        <w:spacing w:before="184" w:line="360" w:lineRule="auto"/>
        <w:ind w:left="16" w:right="162" w:firstLine="488"/>
        <w:rPr>
          <w:rFonts w:ascii="宋体" w:hAnsi="宋体" w:eastAsia="宋体" w:cs="宋体"/>
          <w:sz w:val="24"/>
          <w:szCs w:val="24"/>
        </w:rPr>
      </w:pPr>
      <w:r>
        <w:rPr>
          <w:rFonts w:ascii="宋体" w:hAnsi="宋体" w:eastAsia="宋体" w:cs="宋体"/>
          <w:spacing w:val="7"/>
          <w:sz w:val="24"/>
          <w:szCs w:val="24"/>
        </w:rPr>
        <w:t>关于编制《内蒙古玉龙矿业股份有限公司西乌珠穆沁旗花敖包特银铅矿</w:t>
      </w:r>
      <w:r>
        <w:rPr>
          <w:rFonts w:ascii="宋体" w:hAnsi="宋体" w:eastAsia="宋体" w:cs="宋体"/>
          <w:spacing w:val="8"/>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选矿厂技改项目》的任务委托书。</w:t>
      </w:r>
    </w:p>
    <w:p w14:paraId="53B2F708">
      <w:pPr>
        <w:spacing w:before="1" w:line="219" w:lineRule="auto"/>
        <w:ind w:left="497"/>
        <w:outlineLvl w:val="2"/>
        <w:rPr>
          <w:rFonts w:ascii="宋体" w:hAnsi="宋体" w:eastAsia="宋体" w:cs="宋体"/>
          <w:sz w:val="24"/>
          <w:szCs w:val="24"/>
        </w:rPr>
      </w:pPr>
      <w:bookmarkStart w:id="11" w:name="bookmark11"/>
      <w:bookmarkEnd w:id="11"/>
      <w:r>
        <w:rPr>
          <w:rFonts w:ascii="Times New Roman" w:hAnsi="Times New Roman" w:eastAsia="Times New Roman" w:cs="Times New Roman"/>
          <w:b/>
          <w:bCs/>
          <w:spacing w:val="-2"/>
          <w:sz w:val="24"/>
          <w:szCs w:val="24"/>
        </w:rPr>
        <w:t xml:space="preserve">2.1.2 </w:t>
      </w:r>
      <w:r>
        <w:rPr>
          <w:rFonts w:ascii="宋体" w:hAnsi="宋体" w:eastAsia="宋体" w:cs="宋体"/>
          <w:b/>
          <w:bCs/>
          <w:spacing w:val="-2"/>
          <w:sz w:val="24"/>
          <w:szCs w:val="24"/>
        </w:rPr>
        <w:t>环保法律</w:t>
      </w:r>
    </w:p>
    <w:p w14:paraId="31C2770B">
      <w:pPr>
        <w:spacing w:before="183" w:line="219" w:lineRule="auto"/>
        <w:ind w:left="51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）《中华人民共和国环境保护法》（</w:t>
      </w:r>
      <w:r>
        <w:rPr>
          <w:rFonts w:ascii="Times New Roman" w:hAnsi="Times New Roman" w:eastAsia="Times New Roman" w:cs="Times New Roman"/>
          <w:spacing w:val="-5"/>
          <w:sz w:val="24"/>
          <w:szCs w:val="24"/>
        </w:rPr>
        <w:t xml:space="preserve">2015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日施行</w:t>
      </w:r>
      <w:r>
        <w:rPr>
          <w:rFonts w:ascii="宋体" w:hAnsi="宋体" w:eastAsia="宋体" w:cs="宋体"/>
          <w:spacing w:val="3"/>
          <w:sz w:val="24"/>
          <w:szCs w:val="24"/>
        </w:rPr>
        <w:t>）；</w:t>
      </w:r>
    </w:p>
    <w:p w14:paraId="7580057D">
      <w:pPr>
        <w:spacing w:before="183" w:line="218"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）《中华人民共和国环境影响评价法》（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29  </w:t>
      </w:r>
      <w:r>
        <w:rPr>
          <w:rFonts w:ascii="宋体" w:hAnsi="宋体" w:eastAsia="宋体" w:cs="宋体"/>
          <w:spacing w:val="-4"/>
          <w:sz w:val="24"/>
          <w:szCs w:val="24"/>
        </w:rPr>
        <w:t>日修订</w:t>
      </w:r>
      <w:r>
        <w:rPr>
          <w:rFonts w:ascii="宋体" w:hAnsi="宋体" w:eastAsia="宋体" w:cs="宋体"/>
          <w:spacing w:val="6"/>
          <w:sz w:val="24"/>
          <w:szCs w:val="24"/>
        </w:rPr>
        <w:t>）；</w:t>
      </w:r>
    </w:p>
    <w:p w14:paraId="5C74FBDB">
      <w:pPr>
        <w:spacing w:before="185" w:line="219" w:lineRule="auto"/>
        <w:ind w:left="51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）《中华人民共和国水污染防治法》（</w:t>
      </w:r>
      <w:r>
        <w:rPr>
          <w:rFonts w:ascii="Times New Roman" w:hAnsi="Times New Roman" w:eastAsia="Times New Roman" w:cs="Times New Roman"/>
          <w:spacing w:val="-5"/>
          <w:sz w:val="24"/>
          <w:szCs w:val="24"/>
        </w:rPr>
        <w:t xml:space="preserve">2018 </w:t>
      </w:r>
      <w:r>
        <w:rPr>
          <w:rFonts w:ascii="宋体" w:hAnsi="宋体" w:eastAsia="宋体" w:cs="宋体"/>
          <w:spacing w:val="-5"/>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日施行</w:t>
      </w:r>
      <w:r>
        <w:rPr>
          <w:rFonts w:ascii="宋体" w:hAnsi="宋体" w:eastAsia="宋体" w:cs="宋体"/>
          <w:spacing w:val="5"/>
          <w:sz w:val="24"/>
          <w:szCs w:val="24"/>
        </w:rPr>
        <w:t>）；</w:t>
      </w:r>
    </w:p>
    <w:p w14:paraId="163DA895">
      <w:pPr>
        <w:spacing w:before="183"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）《中华人民共和国大气污染防治法》（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26  </w:t>
      </w:r>
      <w:r>
        <w:rPr>
          <w:rFonts w:ascii="宋体" w:hAnsi="宋体" w:eastAsia="宋体" w:cs="宋体"/>
          <w:spacing w:val="-4"/>
          <w:sz w:val="24"/>
          <w:szCs w:val="24"/>
        </w:rPr>
        <w:t>日修订</w:t>
      </w:r>
      <w:r>
        <w:rPr>
          <w:rFonts w:ascii="宋体" w:hAnsi="宋体" w:eastAsia="宋体" w:cs="宋体"/>
          <w:spacing w:val="6"/>
          <w:sz w:val="24"/>
          <w:szCs w:val="24"/>
        </w:rPr>
        <w:t>）；</w:t>
      </w:r>
    </w:p>
    <w:p w14:paraId="294648E3">
      <w:pPr>
        <w:spacing w:before="184" w:line="219" w:lineRule="auto"/>
        <w:ind w:left="51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5</w:t>
      </w:r>
      <w:r>
        <w:rPr>
          <w:rFonts w:ascii="宋体" w:hAnsi="宋体" w:eastAsia="宋体" w:cs="宋体"/>
          <w:spacing w:val="-8"/>
          <w:sz w:val="24"/>
          <w:szCs w:val="24"/>
        </w:rPr>
        <w:t>）《</w:t>
      </w:r>
      <w:r>
        <w:rPr>
          <w:rFonts w:hint="eastAsia" w:ascii="宋体" w:hAnsi="宋体" w:eastAsia="宋体" w:cs="宋体"/>
          <w:spacing w:val="-8"/>
          <w:sz w:val="24"/>
          <w:szCs w:val="24"/>
        </w:rPr>
        <w:t>中华人民共和国噪声污染防治法</w:t>
      </w:r>
      <w:r>
        <w:rPr>
          <w:rFonts w:ascii="宋体" w:hAnsi="宋体" w:eastAsia="宋体" w:cs="宋体"/>
          <w:spacing w:val="-8"/>
          <w:sz w:val="24"/>
          <w:szCs w:val="24"/>
        </w:rPr>
        <w:t>》（</w:t>
      </w:r>
      <w:r>
        <w:rPr>
          <w:rFonts w:ascii="Times New Roman" w:hAnsi="Times New Roman" w:eastAsia="Times New Roman" w:cs="Times New Roman"/>
          <w:spacing w:val="-8"/>
          <w:sz w:val="24"/>
          <w:szCs w:val="24"/>
        </w:rPr>
        <w:t xml:space="preserve">2018 </w:t>
      </w:r>
      <w:r>
        <w:rPr>
          <w:rFonts w:ascii="宋体" w:hAnsi="宋体" w:eastAsia="宋体" w:cs="宋体"/>
          <w:spacing w:val="-8"/>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8"/>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29  </w:t>
      </w:r>
      <w:r>
        <w:rPr>
          <w:rFonts w:ascii="宋体" w:hAnsi="宋体" w:eastAsia="宋体" w:cs="宋体"/>
          <w:spacing w:val="-9"/>
          <w:sz w:val="24"/>
          <w:szCs w:val="24"/>
        </w:rPr>
        <w:t>日修订</w:t>
      </w:r>
      <w:r>
        <w:rPr>
          <w:rFonts w:ascii="宋体" w:hAnsi="宋体" w:eastAsia="宋体" w:cs="宋体"/>
          <w:spacing w:val="-62"/>
          <w:w w:val="97"/>
          <w:sz w:val="24"/>
          <w:szCs w:val="24"/>
        </w:rPr>
        <w:t>）；</w:t>
      </w:r>
    </w:p>
    <w:p w14:paraId="7B8E6E9B">
      <w:pPr>
        <w:spacing w:before="182" w:line="290" w:lineRule="auto"/>
        <w:ind w:left="23" w:right="162"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）《中华人民共和国固体废物污染环境防治法》（</w:t>
      </w: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29  </w:t>
      </w:r>
      <w:r>
        <w:rPr>
          <w:rFonts w:ascii="宋体" w:hAnsi="宋体" w:eastAsia="宋体" w:cs="宋体"/>
          <w:spacing w:val="-5"/>
          <w:sz w:val="24"/>
          <w:szCs w:val="24"/>
        </w:rPr>
        <w:t>日修</w:t>
      </w:r>
      <w:r>
        <w:rPr>
          <w:rFonts w:ascii="宋体" w:hAnsi="宋体" w:eastAsia="宋体" w:cs="宋体"/>
          <w:sz w:val="24"/>
          <w:szCs w:val="24"/>
        </w:rPr>
        <w:t xml:space="preserve"> </w:t>
      </w:r>
      <w:r>
        <w:rPr>
          <w:rFonts w:ascii="宋体" w:hAnsi="宋体" w:eastAsia="宋体" w:cs="宋体"/>
          <w:spacing w:val="-8"/>
          <w:sz w:val="24"/>
          <w:szCs w:val="24"/>
        </w:rPr>
        <w:t>订，</w:t>
      </w:r>
      <w:r>
        <w:rPr>
          <w:rFonts w:ascii="Times New Roman" w:hAnsi="Times New Roman" w:eastAsia="Times New Roman" w:cs="Times New Roman"/>
          <w:spacing w:val="-8"/>
          <w:sz w:val="24"/>
          <w:szCs w:val="24"/>
        </w:rPr>
        <w:t xml:space="preserve">2020 </w:t>
      </w:r>
      <w:r>
        <w:rPr>
          <w:rFonts w:ascii="宋体" w:hAnsi="宋体" w:eastAsia="宋体" w:cs="宋体"/>
          <w:spacing w:val="-8"/>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日起施行</w:t>
      </w:r>
      <w:r>
        <w:rPr>
          <w:rFonts w:ascii="宋体" w:hAnsi="宋体" w:eastAsia="宋体" w:cs="宋体"/>
          <w:spacing w:val="4"/>
          <w:sz w:val="24"/>
          <w:szCs w:val="24"/>
        </w:rPr>
        <w:t>）；</w:t>
      </w:r>
    </w:p>
    <w:p w14:paraId="25DC6DF7">
      <w:pPr>
        <w:spacing w:before="183" w:line="289" w:lineRule="auto"/>
        <w:ind w:left="44" w:right="162" w:firstLine="46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）《中华人民共和国土壤污染防治法》（</w:t>
      </w:r>
      <w:r>
        <w:rPr>
          <w:rFonts w:ascii="Times New Roman" w:hAnsi="Times New Roman" w:eastAsia="Times New Roman" w:cs="Times New Roman"/>
          <w:spacing w:val="-5"/>
          <w:sz w:val="24"/>
          <w:szCs w:val="24"/>
        </w:rPr>
        <w:t xml:space="preserve">2018 </w:t>
      </w:r>
      <w:r>
        <w:rPr>
          <w:rFonts w:ascii="宋体" w:hAnsi="宋体" w:eastAsia="宋体" w:cs="宋体"/>
          <w:spacing w:val="-5"/>
          <w:sz w:val="24"/>
          <w:szCs w:val="24"/>
        </w:rPr>
        <w:t>年</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31  </w:t>
      </w:r>
      <w:r>
        <w:rPr>
          <w:rFonts w:ascii="宋体" w:hAnsi="宋体" w:eastAsia="宋体" w:cs="宋体"/>
          <w:spacing w:val="-5"/>
          <w:sz w:val="24"/>
          <w:szCs w:val="24"/>
        </w:rPr>
        <w:t>日第十三届全</w:t>
      </w:r>
      <w:r>
        <w:rPr>
          <w:rFonts w:ascii="宋体" w:hAnsi="宋体" w:eastAsia="宋体" w:cs="宋体"/>
          <w:sz w:val="24"/>
          <w:szCs w:val="24"/>
        </w:rPr>
        <w:t xml:space="preserve"> </w:t>
      </w:r>
      <w:r>
        <w:rPr>
          <w:rFonts w:ascii="宋体" w:hAnsi="宋体" w:eastAsia="宋体" w:cs="宋体"/>
          <w:spacing w:val="-5"/>
          <w:sz w:val="24"/>
          <w:szCs w:val="24"/>
        </w:rPr>
        <w:t>国人民代表大会常务委员会第五次会议通过，</w:t>
      </w:r>
      <w:r>
        <w:rPr>
          <w:rFonts w:ascii="Times New Roman" w:hAnsi="Times New Roman" w:eastAsia="Times New Roman" w:cs="Times New Roman"/>
          <w:spacing w:val="-5"/>
          <w:sz w:val="24"/>
          <w:szCs w:val="24"/>
        </w:rPr>
        <w:t xml:space="preserve">2019 </w:t>
      </w:r>
      <w:r>
        <w:rPr>
          <w:rFonts w:ascii="宋体" w:hAnsi="宋体" w:eastAsia="宋体" w:cs="宋体"/>
          <w:spacing w:val="-5"/>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日起施行</w:t>
      </w:r>
      <w:r>
        <w:rPr>
          <w:rFonts w:ascii="宋体" w:hAnsi="宋体" w:eastAsia="宋体" w:cs="宋体"/>
          <w:spacing w:val="4"/>
          <w:sz w:val="24"/>
          <w:szCs w:val="24"/>
        </w:rPr>
        <w:t>）；</w:t>
      </w:r>
    </w:p>
    <w:p w14:paraId="0AB9CDC9">
      <w:pPr>
        <w:spacing w:before="184"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）《中华人民共和国水法》（</w:t>
      </w:r>
      <w:r>
        <w:rPr>
          <w:rFonts w:ascii="Times New Roman" w:hAnsi="Times New Roman" w:eastAsia="Times New Roman" w:cs="Times New Roman"/>
          <w:spacing w:val="-4"/>
          <w:sz w:val="24"/>
          <w:szCs w:val="24"/>
        </w:rPr>
        <w:t xml:space="preserve">2016 </w:t>
      </w:r>
      <w:r>
        <w:rPr>
          <w:rFonts w:ascii="宋体" w:hAnsi="宋体" w:eastAsia="宋体" w:cs="宋体"/>
          <w:spacing w:val="-4"/>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日修订通过</w:t>
      </w:r>
      <w:r>
        <w:rPr>
          <w:rFonts w:ascii="宋体" w:hAnsi="宋体" w:eastAsia="宋体" w:cs="宋体"/>
          <w:spacing w:val="6"/>
          <w:sz w:val="24"/>
          <w:szCs w:val="24"/>
        </w:rPr>
        <w:t>）；</w:t>
      </w:r>
    </w:p>
    <w:p w14:paraId="184A92AC">
      <w:pPr>
        <w:spacing w:before="184"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宋体" w:hAnsi="宋体" w:eastAsia="宋体" w:cs="宋体"/>
          <w:spacing w:val="-4"/>
          <w:sz w:val="24"/>
          <w:szCs w:val="24"/>
        </w:rPr>
        <w:t>）《中华人民共和国节约能源法》（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26  </w:t>
      </w:r>
      <w:r>
        <w:rPr>
          <w:rFonts w:ascii="宋体" w:hAnsi="宋体" w:eastAsia="宋体" w:cs="宋体"/>
          <w:spacing w:val="-4"/>
          <w:sz w:val="24"/>
          <w:szCs w:val="24"/>
        </w:rPr>
        <w:t>日修订</w:t>
      </w:r>
      <w:r>
        <w:rPr>
          <w:rFonts w:ascii="宋体" w:hAnsi="宋体" w:eastAsia="宋体" w:cs="宋体"/>
          <w:spacing w:val="2"/>
          <w:sz w:val="24"/>
          <w:szCs w:val="24"/>
        </w:rPr>
        <w:t>）；</w:t>
      </w:r>
    </w:p>
    <w:p w14:paraId="578226F4">
      <w:pPr>
        <w:spacing w:before="182"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10</w:t>
      </w:r>
      <w:r>
        <w:rPr>
          <w:rFonts w:ascii="宋体" w:hAnsi="宋体" w:eastAsia="宋体" w:cs="宋体"/>
          <w:spacing w:val="-4"/>
          <w:sz w:val="24"/>
          <w:szCs w:val="24"/>
        </w:rPr>
        <w:t>）《中华人民共和国清洁生产促进法》（</w:t>
      </w:r>
      <w:r>
        <w:rPr>
          <w:rFonts w:ascii="Times New Roman" w:hAnsi="Times New Roman" w:eastAsia="Times New Roman" w:cs="Times New Roman"/>
          <w:spacing w:val="-4"/>
          <w:sz w:val="24"/>
          <w:szCs w:val="24"/>
        </w:rPr>
        <w:t xml:space="preserve">2012 </w:t>
      </w:r>
      <w:r>
        <w:rPr>
          <w:rFonts w:ascii="宋体" w:hAnsi="宋体" w:eastAsia="宋体" w:cs="宋体"/>
          <w:spacing w:val="-4"/>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日实施</w:t>
      </w:r>
      <w:r>
        <w:rPr>
          <w:rFonts w:ascii="宋体" w:hAnsi="宋体" w:eastAsia="宋体" w:cs="宋体"/>
          <w:spacing w:val="3"/>
          <w:sz w:val="24"/>
          <w:szCs w:val="24"/>
        </w:rPr>
        <w:t>）；</w:t>
      </w:r>
    </w:p>
    <w:p w14:paraId="09401770">
      <w:pPr>
        <w:spacing w:before="184" w:line="219" w:lineRule="auto"/>
        <w:ind w:left="51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11</w:t>
      </w:r>
      <w:r>
        <w:rPr>
          <w:rFonts w:ascii="宋体" w:hAnsi="宋体" w:eastAsia="宋体" w:cs="宋体"/>
          <w:spacing w:val="-5"/>
          <w:sz w:val="24"/>
          <w:szCs w:val="24"/>
        </w:rPr>
        <w:t>）《中华人民共和国水土保持法》（</w:t>
      </w:r>
      <w:r>
        <w:rPr>
          <w:rFonts w:ascii="Times New Roman" w:hAnsi="Times New Roman" w:eastAsia="Times New Roman" w:cs="Times New Roman"/>
          <w:spacing w:val="-5"/>
          <w:sz w:val="24"/>
          <w:szCs w:val="24"/>
        </w:rPr>
        <w:t xml:space="preserve">2011 </w:t>
      </w:r>
      <w:r>
        <w:rPr>
          <w:rFonts w:ascii="宋体" w:hAnsi="宋体" w:eastAsia="宋体" w:cs="宋体"/>
          <w:spacing w:val="-5"/>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日施行</w:t>
      </w:r>
      <w:r>
        <w:rPr>
          <w:rFonts w:ascii="宋体" w:hAnsi="宋体" w:eastAsia="宋体" w:cs="宋体"/>
          <w:spacing w:val="5"/>
          <w:sz w:val="24"/>
          <w:szCs w:val="24"/>
        </w:rPr>
        <w:t>）；</w:t>
      </w:r>
    </w:p>
    <w:p w14:paraId="2048CCAC">
      <w:pPr>
        <w:spacing w:before="182" w:line="290" w:lineRule="auto"/>
        <w:ind w:left="39" w:right="162" w:firstLine="47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）《中华人民共和国土地管理法》（</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26  </w:t>
      </w:r>
      <w:r>
        <w:rPr>
          <w:rFonts w:ascii="宋体" w:hAnsi="宋体" w:eastAsia="宋体" w:cs="宋体"/>
          <w:spacing w:val="-3"/>
          <w:sz w:val="24"/>
          <w:szCs w:val="24"/>
        </w:rPr>
        <w:t>日修订，</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15"/>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1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 xml:space="preserve">1  </w:t>
      </w:r>
      <w:r>
        <w:rPr>
          <w:rFonts w:ascii="宋体" w:hAnsi="宋体" w:eastAsia="宋体" w:cs="宋体"/>
          <w:spacing w:val="-15"/>
          <w:sz w:val="24"/>
          <w:szCs w:val="24"/>
        </w:rPr>
        <w:t>日起施行</w:t>
      </w:r>
      <w:r>
        <w:rPr>
          <w:rFonts w:ascii="宋体" w:hAnsi="宋体" w:eastAsia="宋体" w:cs="宋体"/>
          <w:spacing w:val="1"/>
          <w:sz w:val="24"/>
          <w:szCs w:val="24"/>
        </w:rPr>
        <w:t>）；</w:t>
      </w:r>
    </w:p>
    <w:p w14:paraId="5DCDA5DA">
      <w:pPr>
        <w:spacing w:before="183"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13</w:t>
      </w:r>
      <w:r>
        <w:rPr>
          <w:rFonts w:ascii="宋体" w:hAnsi="宋体" w:eastAsia="宋体" w:cs="宋体"/>
          <w:spacing w:val="-4"/>
          <w:sz w:val="24"/>
          <w:szCs w:val="24"/>
        </w:rPr>
        <w:t>）《中华人民共和国循环经济促进法》（</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26  </w:t>
      </w:r>
      <w:r>
        <w:rPr>
          <w:rFonts w:ascii="宋体" w:hAnsi="宋体" w:eastAsia="宋体" w:cs="宋体"/>
          <w:spacing w:val="-4"/>
          <w:sz w:val="24"/>
          <w:szCs w:val="24"/>
        </w:rPr>
        <w:t>日修订</w:t>
      </w:r>
      <w:r>
        <w:rPr>
          <w:rFonts w:ascii="宋体" w:hAnsi="宋体" w:eastAsia="宋体" w:cs="宋体"/>
          <w:spacing w:val="8"/>
          <w:sz w:val="24"/>
          <w:szCs w:val="24"/>
        </w:rPr>
        <w:t>）；</w:t>
      </w:r>
    </w:p>
    <w:p w14:paraId="02398289">
      <w:pPr>
        <w:spacing w:before="184"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14</w:t>
      </w:r>
      <w:r>
        <w:rPr>
          <w:rFonts w:ascii="宋体" w:hAnsi="宋体" w:eastAsia="宋体" w:cs="宋体"/>
          <w:spacing w:val="-3"/>
          <w:sz w:val="24"/>
          <w:szCs w:val="24"/>
        </w:rPr>
        <w:t>）《中华人民共和国矿产资源法》（</w:t>
      </w:r>
      <w:r>
        <w:rPr>
          <w:rFonts w:ascii="Times New Roman" w:hAnsi="Times New Roman" w:eastAsia="Times New Roman" w:cs="Times New Roman"/>
          <w:spacing w:val="-4"/>
          <w:sz w:val="24"/>
          <w:szCs w:val="24"/>
        </w:rPr>
        <w:t xml:space="preserve">2009 </w:t>
      </w:r>
      <w:r>
        <w:rPr>
          <w:rFonts w:ascii="宋体" w:hAnsi="宋体" w:eastAsia="宋体" w:cs="宋体"/>
          <w:spacing w:val="-4"/>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27  </w:t>
      </w:r>
      <w:r>
        <w:rPr>
          <w:rFonts w:ascii="宋体" w:hAnsi="宋体" w:eastAsia="宋体" w:cs="宋体"/>
          <w:spacing w:val="-4"/>
          <w:sz w:val="24"/>
          <w:szCs w:val="24"/>
        </w:rPr>
        <w:t>日修订</w:t>
      </w:r>
      <w:r>
        <w:rPr>
          <w:rFonts w:ascii="宋体" w:hAnsi="宋体" w:eastAsia="宋体" w:cs="宋体"/>
          <w:sz w:val="24"/>
          <w:szCs w:val="24"/>
        </w:rPr>
        <w:t>）；</w:t>
      </w:r>
    </w:p>
    <w:p w14:paraId="75B12976">
      <w:pPr>
        <w:spacing w:before="183"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15</w:t>
      </w:r>
      <w:r>
        <w:rPr>
          <w:rFonts w:ascii="宋体" w:hAnsi="宋体" w:eastAsia="宋体" w:cs="宋体"/>
          <w:spacing w:val="-3"/>
          <w:sz w:val="24"/>
          <w:szCs w:val="24"/>
        </w:rPr>
        <w:t>）《中华人民共和国草原法》（</w:t>
      </w:r>
      <w:r>
        <w:rPr>
          <w:rFonts w:ascii="Times New Roman" w:hAnsi="Times New Roman" w:eastAsia="Times New Roman" w:cs="Times New Roman"/>
          <w:spacing w:val="-3"/>
          <w:sz w:val="24"/>
          <w:szCs w:val="24"/>
        </w:rPr>
        <w:t xml:space="preserve">2013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29  </w:t>
      </w:r>
      <w:r>
        <w:rPr>
          <w:rFonts w:ascii="宋体" w:hAnsi="宋体" w:eastAsia="宋体" w:cs="宋体"/>
          <w:spacing w:val="-4"/>
          <w:sz w:val="24"/>
          <w:szCs w:val="24"/>
        </w:rPr>
        <w:t>日修订）。</w:t>
      </w:r>
    </w:p>
    <w:p w14:paraId="68790D4F">
      <w:pPr>
        <w:spacing w:before="183" w:line="219" w:lineRule="auto"/>
        <w:ind w:left="497"/>
        <w:outlineLvl w:val="2"/>
        <w:rPr>
          <w:rFonts w:ascii="宋体" w:hAnsi="宋体" w:eastAsia="宋体" w:cs="宋体"/>
          <w:sz w:val="24"/>
          <w:szCs w:val="24"/>
        </w:rPr>
      </w:pPr>
      <w:bookmarkStart w:id="12" w:name="bookmark12"/>
      <w:bookmarkEnd w:id="12"/>
      <w:r>
        <w:rPr>
          <w:rFonts w:ascii="Times New Roman" w:hAnsi="Times New Roman" w:eastAsia="Times New Roman" w:cs="Times New Roman"/>
          <w:b/>
          <w:bCs/>
          <w:spacing w:val="-2"/>
          <w:sz w:val="24"/>
          <w:szCs w:val="24"/>
        </w:rPr>
        <w:t xml:space="preserve">2.1.3 </w:t>
      </w:r>
      <w:r>
        <w:rPr>
          <w:rFonts w:ascii="宋体" w:hAnsi="宋体" w:eastAsia="宋体" w:cs="宋体"/>
          <w:b/>
          <w:bCs/>
          <w:spacing w:val="-2"/>
          <w:sz w:val="24"/>
          <w:szCs w:val="24"/>
        </w:rPr>
        <w:t>政府部门规章</w:t>
      </w:r>
    </w:p>
    <w:p w14:paraId="29E76635">
      <w:pPr>
        <w:spacing w:before="183" w:line="313" w:lineRule="auto"/>
        <w:ind w:left="26" w:right="162" w:firstLine="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）《建设项目环境保护管理条例》（中华人民共和国国务院令第</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682</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2017 </w:t>
      </w:r>
      <w:r>
        <w:rPr>
          <w:rFonts w:ascii="宋体" w:hAnsi="宋体" w:eastAsia="宋体" w:cs="宋体"/>
          <w:spacing w:val="-3"/>
          <w:sz w:val="24"/>
          <w:szCs w:val="24"/>
        </w:rPr>
        <w:t>年</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日</w:t>
      </w:r>
      <w:r>
        <w:rPr>
          <w:rFonts w:ascii="宋体" w:hAnsi="宋体" w:eastAsia="宋体" w:cs="宋体"/>
          <w:spacing w:val="9"/>
          <w:sz w:val="24"/>
          <w:szCs w:val="24"/>
        </w:rPr>
        <w:t>），</w:t>
      </w:r>
      <w:r>
        <w:rPr>
          <w:rFonts w:ascii="宋体" w:hAnsi="宋体" w:eastAsia="宋体" w:cs="宋体"/>
          <w:spacing w:val="-3"/>
          <w:sz w:val="24"/>
          <w:szCs w:val="24"/>
        </w:rPr>
        <w:t>国务院关于修改《建设项目环境保护管理条例》的</w:t>
      </w:r>
      <w:r>
        <w:rPr>
          <w:rFonts w:ascii="宋体" w:hAnsi="宋体" w:eastAsia="宋体" w:cs="宋体"/>
          <w:sz w:val="24"/>
          <w:szCs w:val="24"/>
        </w:rPr>
        <w:t xml:space="preserve"> </w:t>
      </w:r>
      <w:r>
        <w:rPr>
          <w:rFonts w:ascii="宋体" w:hAnsi="宋体" w:eastAsia="宋体" w:cs="宋体"/>
          <w:spacing w:val="-5"/>
          <w:sz w:val="24"/>
          <w:szCs w:val="24"/>
        </w:rPr>
        <w:t>决定（中华人民共和国国务院令第</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682</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 xml:space="preserve">2017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日起施行</w:t>
      </w:r>
      <w:r>
        <w:rPr>
          <w:rFonts w:ascii="宋体" w:hAnsi="宋体" w:eastAsia="宋体" w:cs="宋体"/>
          <w:spacing w:val="3"/>
          <w:sz w:val="24"/>
          <w:szCs w:val="24"/>
        </w:rPr>
        <w:t>）；</w:t>
      </w:r>
    </w:p>
    <w:p w14:paraId="30013040">
      <w:pPr>
        <w:spacing w:before="183"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）《产业结构调整指导目录（</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年本）》（中华人民共和国国家发</w:t>
      </w:r>
    </w:p>
    <w:p w14:paraId="49D6C14A">
      <w:pPr>
        <w:spacing w:line="219" w:lineRule="auto"/>
        <w:rPr>
          <w:rFonts w:ascii="宋体" w:hAnsi="宋体" w:eastAsia="宋体" w:cs="宋体"/>
          <w:sz w:val="24"/>
          <w:szCs w:val="24"/>
        </w:rPr>
        <w:sectPr>
          <w:footerReference r:id="rId13" w:type="default"/>
          <w:pgSz w:w="11906" w:h="16839"/>
          <w:pgMar w:top="1208" w:right="1785" w:bottom="1358" w:left="1785" w:header="825" w:footer="1195" w:gutter="0"/>
          <w:cols w:space="720" w:num="1"/>
        </w:sectPr>
      </w:pPr>
    </w:p>
    <w:p w14:paraId="6C06EE80">
      <w:pPr>
        <w:pStyle w:val="2"/>
        <w:spacing w:line="265" w:lineRule="auto"/>
      </w:pPr>
    </w:p>
    <w:p w14:paraId="35F9ED30">
      <w:pPr>
        <w:spacing w:before="78" w:line="360" w:lineRule="auto"/>
        <w:ind w:left="22" w:right="162"/>
        <w:rPr>
          <w:rFonts w:ascii="宋体" w:hAnsi="宋体" w:eastAsia="宋体" w:cs="宋体"/>
          <w:sz w:val="24"/>
          <w:szCs w:val="24"/>
        </w:rPr>
      </w:pPr>
      <w:r>
        <w:rPr>
          <w:rFonts w:ascii="宋体" w:hAnsi="宋体" w:eastAsia="宋体" w:cs="宋体"/>
          <w:spacing w:val="-5"/>
          <w:sz w:val="24"/>
          <w:szCs w:val="24"/>
        </w:rPr>
        <w:t>展和改革委员会令第</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29</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 xml:space="preserve">2019 </w:t>
      </w:r>
      <w:r>
        <w:rPr>
          <w:rFonts w:ascii="宋体" w:hAnsi="宋体" w:eastAsia="宋体" w:cs="宋体"/>
          <w:spacing w:val="-5"/>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27  </w:t>
      </w:r>
      <w:r>
        <w:rPr>
          <w:rFonts w:ascii="宋体" w:hAnsi="宋体" w:eastAsia="宋体" w:cs="宋体"/>
          <w:spacing w:val="-5"/>
          <w:sz w:val="24"/>
          <w:szCs w:val="24"/>
        </w:rPr>
        <w:t>日第</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次委务会议审议通过，</w:t>
      </w:r>
      <w:r>
        <w:rPr>
          <w:rFonts w:ascii="Times New Roman" w:hAnsi="Times New Roman" w:eastAsia="Times New Roman" w:cs="Times New Roman"/>
          <w:spacing w:val="-5"/>
          <w:sz w:val="24"/>
          <w:szCs w:val="24"/>
        </w:rPr>
        <w:t>2020</w:t>
      </w:r>
      <w:r>
        <w:rPr>
          <w:rFonts w:ascii="Times New Roman" w:hAnsi="Times New Roman" w:eastAsia="Times New Roman" w:cs="Times New Roman"/>
          <w:sz w:val="24"/>
          <w:szCs w:val="24"/>
        </w:rPr>
        <w:t xml:space="preserve"> </w:t>
      </w:r>
      <w:r>
        <w:rPr>
          <w:rFonts w:ascii="宋体" w:hAnsi="宋体" w:eastAsia="宋体" w:cs="宋体"/>
          <w:spacing w:val="-15"/>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 xml:space="preserve">1  </w:t>
      </w:r>
      <w:r>
        <w:rPr>
          <w:rFonts w:ascii="宋体" w:hAnsi="宋体" w:eastAsia="宋体" w:cs="宋体"/>
          <w:spacing w:val="-15"/>
          <w:sz w:val="24"/>
          <w:szCs w:val="24"/>
        </w:rPr>
        <w:t>日起实施</w:t>
      </w:r>
      <w:r>
        <w:rPr>
          <w:rFonts w:ascii="宋体" w:hAnsi="宋体" w:eastAsia="宋体" w:cs="宋体"/>
          <w:spacing w:val="3"/>
          <w:sz w:val="24"/>
          <w:szCs w:val="24"/>
        </w:rPr>
        <w:t>）；</w:t>
      </w:r>
    </w:p>
    <w:p w14:paraId="022A17C8">
      <w:pPr>
        <w:spacing w:before="1" w:line="217"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）《建设项目环境影响评价分类管理名录》（</w:t>
      </w:r>
      <w:r>
        <w:rPr>
          <w:rFonts w:ascii="Times New Roman" w:hAnsi="Times New Roman" w:eastAsia="Times New Roman" w:cs="Times New Roman"/>
          <w:spacing w:val="-1"/>
          <w:sz w:val="24"/>
          <w:szCs w:val="24"/>
        </w:rPr>
        <w:t xml:space="preserve">2021 </w:t>
      </w:r>
      <w:r>
        <w:rPr>
          <w:rFonts w:ascii="宋体" w:hAnsi="宋体" w:eastAsia="宋体" w:cs="宋体"/>
          <w:spacing w:val="-1"/>
          <w:sz w:val="24"/>
          <w:szCs w:val="24"/>
        </w:rPr>
        <w:t>年版</w:t>
      </w:r>
      <w:r>
        <w:rPr>
          <w:rFonts w:ascii="宋体" w:hAnsi="宋体" w:eastAsia="宋体" w:cs="宋体"/>
          <w:spacing w:val="3"/>
          <w:sz w:val="24"/>
          <w:szCs w:val="24"/>
        </w:rPr>
        <w:t>）；</w:t>
      </w:r>
    </w:p>
    <w:p w14:paraId="70AA79A7">
      <w:pPr>
        <w:spacing w:before="183" w:line="290" w:lineRule="auto"/>
        <w:ind w:left="21" w:right="101" w:firstLine="491"/>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4</w:t>
      </w:r>
      <w:r>
        <w:rPr>
          <w:rFonts w:ascii="宋体" w:hAnsi="宋体" w:eastAsia="宋体" w:cs="宋体"/>
          <w:spacing w:val="-9"/>
          <w:sz w:val="24"/>
          <w:szCs w:val="24"/>
        </w:rPr>
        <w:t>）《关于加强资源开发生态环境监管工</w:t>
      </w:r>
      <w:r>
        <w:rPr>
          <w:rFonts w:ascii="宋体" w:hAnsi="宋体" w:eastAsia="宋体" w:cs="宋体"/>
          <w:spacing w:val="-10"/>
          <w:sz w:val="24"/>
          <w:szCs w:val="24"/>
        </w:rPr>
        <w:t>作的意见》（</w:t>
      </w:r>
      <w:bookmarkStart w:id="218" w:name="_GoBack"/>
      <w:bookmarkEnd w:id="218"/>
      <w:r>
        <w:rPr>
          <w:rFonts w:hint="eastAsia" w:ascii="宋体" w:hAnsi="宋体" w:eastAsia="宋体" w:cs="宋体"/>
          <w:spacing w:val="-10"/>
          <w:sz w:val="24"/>
          <w:szCs w:val="24"/>
          <w:lang w:eastAsia="zh-CN"/>
        </w:rPr>
        <w:t>中华人民共和国环境保护部</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4"/>
          <w:sz w:val="24"/>
          <w:szCs w:val="24"/>
        </w:rPr>
        <w:t>环发〔</w:t>
      </w:r>
      <w:r>
        <w:rPr>
          <w:rFonts w:ascii="Times New Roman" w:hAnsi="Times New Roman" w:eastAsia="Times New Roman" w:cs="Times New Roman"/>
          <w:spacing w:val="-4"/>
          <w:sz w:val="24"/>
          <w:szCs w:val="24"/>
        </w:rPr>
        <w:t>2004</w:t>
      </w:r>
      <w:r>
        <w:rPr>
          <w:rFonts w:ascii="宋体" w:hAnsi="宋体" w:eastAsia="宋体" w:cs="宋体"/>
          <w:spacing w:val="-4"/>
          <w:sz w:val="24"/>
          <w:szCs w:val="24"/>
        </w:rPr>
        <w:t>〕</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 xml:space="preserve">2004 </w:t>
      </w:r>
      <w:r>
        <w:rPr>
          <w:rFonts w:ascii="宋体" w:hAnsi="宋体" w:eastAsia="宋体" w:cs="宋体"/>
          <w:spacing w:val="-4"/>
          <w:sz w:val="24"/>
          <w:szCs w:val="24"/>
        </w:rPr>
        <w:t>年</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日</w:t>
      </w:r>
      <w:r>
        <w:rPr>
          <w:rFonts w:ascii="宋体" w:hAnsi="宋体" w:eastAsia="宋体" w:cs="宋体"/>
          <w:spacing w:val="-17"/>
          <w:sz w:val="24"/>
          <w:szCs w:val="24"/>
        </w:rPr>
        <w:t>）；</w:t>
      </w:r>
    </w:p>
    <w:p w14:paraId="331EE9CA">
      <w:pPr>
        <w:spacing w:before="183" w:line="289" w:lineRule="auto"/>
        <w:ind w:left="22" w:right="103"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）《矿山生态环境保护与污染防治技术政策的通</w:t>
      </w:r>
      <w:r>
        <w:rPr>
          <w:rFonts w:ascii="宋体" w:hAnsi="宋体" w:eastAsia="宋体" w:cs="宋体"/>
          <w:spacing w:val="-5"/>
          <w:sz w:val="24"/>
          <w:szCs w:val="24"/>
        </w:rPr>
        <w:t>知及附件》（国家环境</w:t>
      </w:r>
      <w:r>
        <w:rPr>
          <w:rFonts w:ascii="宋体" w:hAnsi="宋体" w:eastAsia="宋体" w:cs="宋体"/>
          <w:sz w:val="24"/>
          <w:szCs w:val="24"/>
        </w:rPr>
        <w:t xml:space="preserve"> </w:t>
      </w:r>
      <w:r>
        <w:rPr>
          <w:rFonts w:ascii="宋体" w:hAnsi="宋体" w:eastAsia="宋体" w:cs="宋体"/>
          <w:spacing w:val="-5"/>
          <w:sz w:val="24"/>
          <w:szCs w:val="24"/>
        </w:rPr>
        <w:t>保护总局、国土资源部、科技部环发〔</w:t>
      </w:r>
      <w:r>
        <w:rPr>
          <w:rFonts w:ascii="Times New Roman" w:hAnsi="Times New Roman" w:eastAsia="Times New Roman" w:cs="Times New Roman"/>
          <w:spacing w:val="-5"/>
          <w:sz w:val="24"/>
          <w:szCs w:val="24"/>
        </w:rPr>
        <w:t>2005</w:t>
      </w:r>
      <w:r>
        <w:rPr>
          <w:rFonts w:ascii="宋体" w:hAnsi="宋体" w:eastAsia="宋体" w:cs="宋体"/>
          <w:spacing w:val="-5"/>
          <w:sz w:val="24"/>
          <w:szCs w:val="24"/>
        </w:rPr>
        <w:t>〕</w:t>
      </w:r>
      <w:r>
        <w:rPr>
          <w:rFonts w:ascii="Times New Roman" w:hAnsi="Times New Roman" w:eastAsia="Times New Roman" w:cs="Times New Roman"/>
          <w:spacing w:val="-5"/>
          <w:sz w:val="24"/>
          <w:szCs w:val="24"/>
        </w:rPr>
        <w:t>109</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号文，</w:t>
      </w:r>
      <w:r>
        <w:rPr>
          <w:rFonts w:ascii="Times New Roman" w:hAnsi="Times New Roman" w:eastAsia="Times New Roman" w:cs="Times New Roman"/>
          <w:spacing w:val="-6"/>
          <w:sz w:val="24"/>
          <w:szCs w:val="24"/>
        </w:rPr>
        <w:t xml:space="preserve">2005 </w:t>
      </w:r>
      <w:r>
        <w:rPr>
          <w:rFonts w:ascii="宋体" w:hAnsi="宋体" w:eastAsia="宋体" w:cs="宋体"/>
          <w:spacing w:val="-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12  </w:t>
      </w:r>
      <w:r>
        <w:rPr>
          <w:rFonts w:ascii="宋体" w:hAnsi="宋体" w:eastAsia="宋体" w:cs="宋体"/>
          <w:spacing w:val="-6"/>
          <w:sz w:val="24"/>
          <w:szCs w:val="24"/>
        </w:rPr>
        <w:t>日</w:t>
      </w:r>
      <w:r>
        <w:rPr>
          <w:rFonts w:ascii="宋体" w:hAnsi="宋体" w:eastAsia="宋体" w:cs="宋体"/>
          <w:spacing w:val="-58"/>
          <w:sz w:val="24"/>
          <w:szCs w:val="24"/>
        </w:rPr>
        <w:t>）；</w:t>
      </w:r>
    </w:p>
    <w:p w14:paraId="0330DD6E">
      <w:pPr>
        <w:spacing w:before="183" w:line="290" w:lineRule="auto"/>
        <w:ind w:left="23" w:right="162" w:firstLine="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）《国土资源部关于贯彻落实全国矿产资源规划发展绿色矿业建设绿</w:t>
      </w:r>
      <w:r>
        <w:rPr>
          <w:rFonts w:ascii="宋体" w:hAnsi="宋体" w:eastAsia="宋体" w:cs="宋体"/>
          <w:spacing w:val="2"/>
          <w:sz w:val="24"/>
          <w:szCs w:val="24"/>
        </w:rPr>
        <w:t xml:space="preserve"> </w:t>
      </w:r>
      <w:r>
        <w:rPr>
          <w:rFonts w:ascii="宋体" w:hAnsi="宋体" w:eastAsia="宋体" w:cs="宋体"/>
          <w:spacing w:val="-3"/>
          <w:sz w:val="24"/>
          <w:szCs w:val="24"/>
        </w:rPr>
        <w:t>色矿山工作的指导意见》（国土资源部，</w:t>
      </w:r>
      <w:r>
        <w:rPr>
          <w:rFonts w:ascii="Times New Roman" w:hAnsi="Times New Roman" w:eastAsia="Times New Roman" w:cs="Times New Roman"/>
          <w:spacing w:val="-3"/>
          <w:sz w:val="24"/>
          <w:szCs w:val="24"/>
        </w:rPr>
        <w:t xml:space="preserve">2010 </w:t>
      </w:r>
      <w:r>
        <w:rPr>
          <w:rFonts w:ascii="宋体" w:hAnsi="宋体" w:eastAsia="宋体" w:cs="宋体"/>
          <w:spacing w:val="-3"/>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日</w:t>
      </w:r>
      <w:r>
        <w:rPr>
          <w:rFonts w:ascii="宋体" w:hAnsi="宋体" w:eastAsia="宋体" w:cs="宋体"/>
          <w:spacing w:val="-17"/>
          <w:sz w:val="24"/>
          <w:szCs w:val="24"/>
        </w:rPr>
        <w:t>）；</w:t>
      </w:r>
    </w:p>
    <w:p w14:paraId="00BB277B">
      <w:pPr>
        <w:spacing w:before="183" w:line="286" w:lineRule="auto"/>
        <w:ind w:left="32" w:right="56"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）《内蒙古自治区人民政府关于印发自治区绿色矿山建设方案</w:t>
      </w:r>
      <w:r>
        <w:rPr>
          <w:rFonts w:ascii="宋体" w:hAnsi="宋体" w:eastAsia="宋体" w:cs="宋体"/>
          <w:spacing w:val="-2"/>
          <w:sz w:val="24"/>
          <w:szCs w:val="24"/>
        </w:rPr>
        <w:t>的通知》</w:t>
      </w:r>
      <w:r>
        <w:rPr>
          <w:rFonts w:ascii="宋体" w:hAnsi="宋体" w:eastAsia="宋体" w:cs="宋体"/>
          <w:sz w:val="24"/>
          <w:szCs w:val="24"/>
        </w:rPr>
        <w:t xml:space="preserve"> </w:t>
      </w:r>
      <w:r>
        <w:rPr>
          <w:rFonts w:ascii="宋体" w:hAnsi="宋体" w:eastAsia="宋体" w:cs="宋体"/>
          <w:spacing w:val="-2"/>
          <w:sz w:val="24"/>
          <w:szCs w:val="24"/>
        </w:rPr>
        <w:t>（内政发</w:t>
      </w:r>
      <w:r>
        <w:rPr>
          <w:rFonts w:ascii="Times New Roman" w:hAnsi="Times New Roman" w:eastAsia="Times New Roman" w:cs="Times New Roman"/>
          <w:spacing w:val="-2"/>
          <w:sz w:val="24"/>
          <w:szCs w:val="24"/>
        </w:rPr>
        <w:t xml:space="preserve">[2020]18 </w:t>
      </w:r>
      <w:r>
        <w:rPr>
          <w:rFonts w:ascii="宋体" w:hAnsi="宋体" w:eastAsia="宋体" w:cs="宋体"/>
          <w:spacing w:val="-2"/>
          <w:sz w:val="24"/>
          <w:szCs w:val="24"/>
        </w:rPr>
        <w:t>号</w:t>
      </w:r>
      <w:r>
        <w:rPr>
          <w:rFonts w:ascii="宋体" w:hAnsi="宋体" w:eastAsia="宋体" w:cs="宋体"/>
          <w:spacing w:val="2"/>
          <w:sz w:val="24"/>
          <w:szCs w:val="24"/>
        </w:rPr>
        <w:t>）；</w:t>
      </w:r>
    </w:p>
    <w:p w14:paraId="0E27275D">
      <w:pPr>
        <w:spacing w:before="192"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）《内蒙古自治区环境保护条例》（</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年修正</w:t>
      </w:r>
      <w:r>
        <w:rPr>
          <w:rFonts w:ascii="宋体" w:hAnsi="宋体" w:eastAsia="宋体" w:cs="宋体"/>
          <w:spacing w:val="2"/>
          <w:sz w:val="24"/>
          <w:szCs w:val="24"/>
        </w:rPr>
        <w:t>）；</w:t>
      </w:r>
    </w:p>
    <w:p w14:paraId="2ED11744">
      <w:pPr>
        <w:spacing w:before="184"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）《内蒙古自治区矿产资源管理条例》（</w:t>
      </w:r>
      <w:r>
        <w:rPr>
          <w:rFonts w:ascii="Times New Roman" w:hAnsi="Times New Roman" w:eastAsia="Times New Roman" w:cs="Times New Roman"/>
          <w:spacing w:val="-1"/>
          <w:sz w:val="24"/>
          <w:szCs w:val="24"/>
        </w:rPr>
        <w:t xml:space="preserve">1999 </w:t>
      </w:r>
      <w:r>
        <w:rPr>
          <w:rFonts w:ascii="宋体" w:hAnsi="宋体" w:eastAsia="宋体" w:cs="宋体"/>
          <w:spacing w:val="-1"/>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w:t>
      </w:r>
      <w:r>
        <w:rPr>
          <w:rFonts w:ascii="宋体" w:hAnsi="宋体" w:eastAsia="宋体" w:cs="宋体"/>
          <w:spacing w:val="-9"/>
          <w:sz w:val="24"/>
          <w:szCs w:val="24"/>
        </w:rPr>
        <w:t>）；</w:t>
      </w:r>
    </w:p>
    <w:p w14:paraId="4E270152">
      <w:pPr>
        <w:spacing w:before="182" w:line="290" w:lineRule="auto"/>
        <w:ind w:left="20" w:right="162" w:firstLine="49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10</w:t>
      </w:r>
      <w:r>
        <w:rPr>
          <w:rFonts w:ascii="宋体" w:hAnsi="宋体" w:eastAsia="宋体" w:cs="宋体"/>
          <w:spacing w:val="-8"/>
          <w:sz w:val="24"/>
          <w:szCs w:val="24"/>
        </w:rPr>
        <w:t>）《内蒙古自治区人民政府关于划分水土流失重点防治区的通告》（内</w:t>
      </w:r>
      <w:r>
        <w:rPr>
          <w:rFonts w:ascii="宋体" w:hAnsi="宋体" w:eastAsia="宋体" w:cs="宋体"/>
          <w:spacing w:val="10"/>
          <w:sz w:val="24"/>
          <w:szCs w:val="24"/>
        </w:rPr>
        <w:t xml:space="preserve"> </w:t>
      </w:r>
      <w:r>
        <w:rPr>
          <w:rFonts w:ascii="宋体" w:hAnsi="宋体" w:eastAsia="宋体" w:cs="宋体"/>
          <w:spacing w:val="-4"/>
          <w:sz w:val="24"/>
          <w:szCs w:val="24"/>
        </w:rPr>
        <w:t>政发〔</w:t>
      </w:r>
      <w:r>
        <w:rPr>
          <w:rFonts w:ascii="Times New Roman" w:hAnsi="Times New Roman" w:eastAsia="Times New Roman" w:cs="Times New Roman"/>
          <w:spacing w:val="-4"/>
          <w:sz w:val="24"/>
          <w:szCs w:val="24"/>
        </w:rPr>
        <w:t>2016</w:t>
      </w:r>
      <w:r>
        <w:rPr>
          <w:rFonts w:ascii="宋体" w:hAnsi="宋体" w:eastAsia="宋体" w:cs="宋体"/>
          <w:spacing w:val="-4"/>
          <w:sz w:val="24"/>
          <w:szCs w:val="24"/>
        </w:rPr>
        <w:t>〕</w:t>
      </w:r>
      <w:r>
        <w:rPr>
          <w:rFonts w:ascii="Times New Roman" w:hAnsi="Times New Roman" w:eastAsia="Times New Roman" w:cs="Times New Roman"/>
          <w:spacing w:val="-4"/>
          <w:sz w:val="24"/>
          <w:szCs w:val="24"/>
        </w:rPr>
        <w:t>44</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 xml:space="preserve">2016 </w:t>
      </w:r>
      <w:r>
        <w:rPr>
          <w:rFonts w:ascii="宋体" w:hAnsi="宋体" w:eastAsia="宋体" w:cs="宋体"/>
          <w:spacing w:val="-4"/>
          <w:sz w:val="24"/>
          <w:szCs w:val="24"/>
        </w:rPr>
        <w:t>年</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19  </w:t>
      </w:r>
      <w:r>
        <w:rPr>
          <w:rFonts w:ascii="宋体" w:hAnsi="宋体" w:eastAsia="宋体" w:cs="宋体"/>
          <w:spacing w:val="-4"/>
          <w:sz w:val="24"/>
          <w:szCs w:val="24"/>
        </w:rPr>
        <w:t>日</w:t>
      </w:r>
      <w:r>
        <w:rPr>
          <w:rFonts w:ascii="宋体" w:hAnsi="宋体" w:eastAsia="宋体" w:cs="宋体"/>
          <w:spacing w:val="-16"/>
          <w:sz w:val="24"/>
          <w:szCs w:val="24"/>
        </w:rPr>
        <w:t>）；</w:t>
      </w:r>
    </w:p>
    <w:p w14:paraId="5DA00735">
      <w:pPr>
        <w:spacing w:before="183" w:line="289" w:lineRule="auto"/>
        <w:ind w:left="22" w:right="162"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宋体" w:hAnsi="宋体" w:eastAsia="宋体" w:cs="宋体"/>
          <w:spacing w:val="-1"/>
          <w:sz w:val="24"/>
          <w:szCs w:val="24"/>
        </w:rPr>
        <w:t>）《内蒙古自治区人民政府关于进一步规范矿业开发秩序依法保护环</w:t>
      </w:r>
      <w:r>
        <w:rPr>
          <w:rFonts w:ascii="宋体" w:hAnsi="宋体" w:eastAsia="宋体" w:cs="宋体"/>
          <w:spacing w:val="11"/>
          <w:sz w:val="24"/>
          <w:szCs w:val="24"/>
        </w:rPr>
        <w:t xml:space="preserve"> </w:t>
      </w:r>
      <w:r>
        <w:rPr>
          <w:rFonts w:ascii="宋体" w:hAnsi="宋体" w:eastAsia="宋体" w:cs="宋体"/>
          <w:spacing w:val="-3"/>
          <w:sz w:val="24"/>
          <w:szCs w:val="24"/>
        </w:rPr>
        <w:t>境保障民生的指导意见》（内蒙古自治区人民政府，</w:t>
      </w:r>
      <w:r>
        <w:rPr>
          <w:rFonts w:ascii="Times New Roman" w:hAnsi="Times New Roman" w:eastAsia="Times New Roman" w:cs="Times New Roman"/>
          <w:spacing w:val="-3"/>
          <w:sz w:val="24"/>
          <w:szCs w:val="24"/>
        </w:rPr>
        <w:t xml:space="preserve">2011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51"/>
          <w:sz w:val="24"/>
          <w:szCs w:val="24"/>
        </w:rPr>
        <w:t xml:space="preserve"> </w:t>
      </w:r>
      <w:r>
        <w:rPr>
          <w:rFonts w:ascii="宋体" w:hAnsi="宋体" w:eastAsia="宋体" w:cs="宋体"/>
          <w:spacing w:val="-3"/>
          <w:sz w:val="24"/>
          <w:szCs w:val="24"/>
        </w:rPr>
        <w:t>日</w:t>
      </w:r>
      <w:r>
        <w:rPr>
          <w:rFonts w:ascii="宋体" w:hAnsi="宋体" w:eastAsia="宋体" w:cs="宋体"/>
          <w:spacing w:val="-11"/>
          <w:sz w:val="24"/>
          <w:szCs w:val="24"/>
        </w:rPr>
        <w:t>）；</w:t>
      </w:r>
    </w:p>
    <w:p w14:paraId="3FAAC21B">
      <w:pPr>
        <w:spacing w:before="184" w:line="313" w:lineRule="auto"/>
        <w:ind w:left="19" w:right="162" w:firstLine="49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）《内蒙古自治区环境保护厅关于落实</w:t>
      </w:r>
      <w:r>
        <w:rPr>
          <w:rFonts w:ascii="Times New Roman" w:hAnsi="Times New Roman" w:eastAsia="Times New Roman" w:cs="Times New Roman"/>
          <w:spacing w:val="3"/>
          <w:sz w:val="24"/>
          <w:szCs w:val="24"/>
        </w:rPr>
        <w:t>“</w:t>
      </w:r>
      <w:r>
        <w:rPr>
          <w:rFonts w:ascii="宋体" w:hAnsi="宋体" w:eastAsia="宋体" w:cs="宋体"/>
          <w:spacing w:val="3"/>
          <w:sz w:val="24"/>
          <w:szCs w:val="24"/>
        </w:rPr>
        <w:t>内蒙古自治区人民政府关于</w:t>
      </w:r>
      <w:r>
        <w:rPr>
          <w:rFonts w:ascii="宋体" w:hAnsi="宋体" w:eastAsia="宋体" w:cs="宋体"/>
          <w:spacing w:val="12"/>
          <w:sz w:val="24"/>
          <w:szCs w:val="24"/>
        </w:rPr>
        <w:t xml:space="preserve"> </w:t>
      </w:r>
      <w:r>
        <w:rPr>
          <w:rFonts w:ascii="宋体" w:hAnsi="宋体" w:eastAsia="宋体" w:cs="宋体"/>
          <w:spacing w:val="-3"/>
          <w:sz w:val="24"/>
          <w:szCs w:val="24"/>
        </w:rPr>
        <w:t>进一步规范矿业开发秩序依法保护环境保障民生的指导意</w:t>
      </w:r>
      <w:r>
        <w:rPr>
          <w:rFonts w:ascii="宋体" w:hAnsi="宋体" w:eastAsia="宋体" w:cs="宋体"/>
          <w:spacing w:val="-4"/>
          <w:sz w:val="24"/>
          <w:szCs w:val="24"/>
        </w:rPr>
        <w:t>见</w:t>
      </w:r>
      <w:r>
        <w:rPr>
          <w:rFonts w:ascii="Times New Roman" w:hAnsi="Times New Roman" w:eastAsia="Times New Roman" w:cs="Times New Roman"/>
          <w:spacing w:val="-4"/>
          <w:sz w:val="24"/>
          <w:szCs w:val="24"/>
        </w:rPr>
        <w:t>”</w:t>
      </w:r>
      <w:r>
        <w:rPr>
          <w:rFonts w:ascii="宋体" w:hAnsi="宋体" w:eastAsia="宋体" w:cs="宋体"/>
          <w:spacing w:val="-4"/>
          <w:sz w:val="24"/>
          <w:szCs w:val="24"/>
        </w:rPr>
        <w:t>的通知》（内蒙古</w:t>
      </w:r>
      <w:r>
        <w:rPr>
          <w:rFonts w:ascii="宋体" w:hAnsi="宋体" w:eastAsia="宋体" w:cs="宋体"/>
          <w:sz w:val="24"/>
          <w:szCs w:val="24"/>
        </w:rPr>
        <w:t xml:space="preserve"> </w:t>
      </w:r>
      <w:r>
        <w:rPr>
          <w:rFonts w:ascii="宋体" w:hAnsi="宋体" w:eastAsia="宋体" w:cs="宋体"/>
          <w:spacing w:val="-3"/>
          <w:sz w:val="24"/>
          <w:szCs w:val="24"/>
        </w:rPr>
        <w:t>自治区环境保护厅，内环发〔</w:t>
      </w:r>
      <w:r>
        <w:rPr>
          <w:rFonts w:ascii="Times New Roman" w:hAnsi="Times New Roman" w:eastAsia="Times New Roman" w:cs="Times New Roman"/>
          <w:spacing w:val="-3"/>
          <w:sz w:val="24"/>
          <w:szCs w:val="24"/>
        </w:rPr>
        <w:t>2011</w:t>
      </w:r>
      <w:r>
        <w:rPr>
          <w:rFonts w:ascii="宋体" w:hAnsi="宋体" w:eastAsia="宋体" w:cs="宋体"/>
          <w:spacing w:val="-3"/>
          <w:sz w:val="24"/>
          <w:szCs w:val="24"/>
        </w:rPr>
        <w:t>〕</w:t>
      </w:r>
      <w:r>
        <w:rPr>
          <w:rFonts w:ascii="Times New Roman" w:hAnsi="Times New Roman" w:eastAsia="Times New Roman" w:cs="Times New Roman"/>
          <w:spacing w:val="-3"/>
          <w:sz w:val="24"/>
          <w:szCs w:val="24"/>
        </w:rPr>
        <w:t>166</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Times New Roman" w:hAnsi="Times New Roman" w:eastAsia="Times New Roman" w:cs="Times New Roman"/>
          <w:spacing w:val="-3"/>
          <w:sz w:val="24"/>
          <w:szCs w:val="24"/>
        </w:rPr>
        <w:t xml:space="preserve">2011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50"/>
          <w:w w:val="101"/>
          <w:sz w:val="24"/>
          <w:szCs w:val="24"/>
        </w:rPr>
        <w:t xml:space="preserve"> </w:t>
      </w:r>
      <w:r>
        <w:rPr>
          <w:rFonts w:ascii="宋体" w:hAnsi="宋体" w:eastAsia="宋体" w:cs="宋体"/>
          <w:spacing w:val="-3"/>
          <w:sz w:val="24"/>
          <w:szCs w:val="24"/>
        </w:rPr>
        <w:t>日</w:t>
      </w:r>
      <w:r>
        <w:rPr>
          <w:rFonts w:ascii="宋体" w:hAnsi="宋体" w:eastAsia="宋体" w:cs="宋体"/>
          <w:spacing w:val="-11"/>
          <w:sz w:val="24"/>
          <w:szCs w:val="24"/>
        </w:rPr>
        <w:t>）；</w:t>
      </w:r>
    </w:p>
    <w:p w14:paraId="74925D44">
      <w:pPr>
        <w:spacing w:before="184" w:line="289" w:lineRule="auto"/>
        <w:ind w:left="22" w:right="162"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13</w:t>
      </w:r>
      <w:r>
        <w:rPr>
          <w:rFonts w:ascii="宋体" w:hAnsi="宋体" w:eastAsia="宋体" w:cs="宋体"/>
          <w:spacing w:val="-1"/>
          <w:sz w:val="24"/>
          <w:szCs w:val="24"/>
        </w:rPr>
        <w:t>）《环境影响评价公众参与办法》（</w:t>
      </w:r>
      <w:r>
        <w:rPr>
          <w:rFonts w:hint="eastAsia" w:ascii="宋体" w:hAnsi="宋体" w:eastAsia="宋体" w:cs="宋体"/>
          <w:spacing w:val="-1"/>
          <w:sz w:val="24"/>
          <w:szCs w:val="24"/>
          <w:lang w:eastAsia="zh-CN"/>
        </w:rPr>
        <w:t>中华人民共和国环境保护部</w:t>
      </w:r>
      <w:r>
        <w:rPr>
          <w:rFonts w:ascii="宋体" w:hAnsi="宋体" w:eastAsia="宋体" w:cs="宋体"/>
          <w:spacing w:val="-1"/>
          <w:sz w:val="24"/>
          <w:szCs w:val="24"/>
        </w:rPr>
        <w:t>，生态环境部</w:t>
      </w:r>
      <w:r>
        <w:rPr>
          <w:rFonts w:ascii="宋体" w:hAnsi="宋体" w:eastAsia="宋体" w:cs="宋体"/>
          <w:spacing w:val="11"/>
          <w:sz w:val="24"/>
          <w:szCs w:val="24"/>
        </w:rPr>
        <w:t xml:space="preserve"> </w:t>
      </w:r>
      <w:r>
        <w:rPr>
          <w:rFonts w:ascii="宋体" w:hAnsi="宋体" w:eastAsia="宋体" w:cs="宋体"/>
          <w:spacing w:val="-9"/>
          <w:sz w:val="24"/>
          <w:szCs w:val="24"/>
        </w:rPr>
        <w:t>令第</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号，</w:t>
      </w:r>
      <w:r>
        <w:rPr>
          <w:rFonts w:ascii="Times New Roman" w:hAnsi="Times New Roman" w:eastAsia="Times New Roman" w:cs="Times New Roman"/>
          <w:spacing w:val="-9"/>
          <w:sz w:val="24"/>
          <w:szCs w:val="24"/>
        </w:rPr>
        <w:t xml:space="preserve">2019 </w:t>
      </w:r>
      <w:r>
        <w:rPr>
          <w:rFonts w:ascii="宋体" w:hAnsi="宋体" w:eastAsia="宋体" w:cs="宋体"/>
          <w:spacing w:val="-9"/>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日起施行</w:t>
      </w:r>
      <w:r>
        <w:rPr>
          <w:rFonts w:ascii="宋体" w:hAnsi="宋体" w:eastAsia="宋体" w:cs="宋体"/>
          <w:spacing w:val="9"/>
          <w:sz w:val="24"/>
          <w:szCs w:val="24"/>
        </w:rPr>
        <w:t>）；</w:t>
      </w:r>
    </w:p>
    <w:p w14:paraId="37E02D29">
      <w:pPr>
        <w:spacing w:before="184" w:line="290" w:lineRule="auto"/>
        <w:ind w:left="24" w:right="162"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14</w:t>
      </w:r>
      <w:r>
        <w:rPr>
          <w:rFonts w:ascii="宋体" w:hAnsi="宋体" w:eastAsia="宋体" w:cs="宋体"/>
          <w:spacing w:val="-1"/>
          <w:sz w:val="24"/>
          <w:szCs w:val="24"/>
        </w:rPr>
        <w:t>）关于印发《建设项目环境影响评价信息公开机制方案》的通知（环</w:t>
      </w:r>
      <w:r>
        <w:rPr>
          <w:rFonts w:ascii="宋体" w:hAnsi="宋体" w:eastAsia="宋体" w:cs="宋体"/>
          <w:spacing w:val="11"/>
          <w:sz w:val="24"/>
          <w:szCs w:val="24"/>
        </w:rPr>
        <w:t xml:space="preserve"> </w:t>
      </w:r>
      <w:r>
        <w:rPr>
          <w:rFonts w:ascii="宋体" w:hAnsi="宋体" w:eastAsia="宋体" w:cs="宋体"/>
          <w:spacing w:val="-3"/>
          <w:sz w:val="24"/>
          <w:szCs w:val="24"/>
        </w:rPr>
        <w:t>发〔</w:t>
      </w:r>
      <w:r>
        <w:rPr>
          <w:rFonts w:ascii="Times New Roman" w:hAnsi="Times New Roman" w:eastAsia="Times New Roman" w:cs="Times New Roman"/>
          <w:spacing w:val="-3"/>
          <w:sz w:val="24"/>
          <w:szCs w:val="24"/>
        </w:rPr>
        <w:t>2015</w:t>
      </w:r>
      <w:r>
        <w:rPr>
          <w:rFonts w:ascii="宋体" w:hAnsi="宋体" w:eastAsia="宋体" w:cs="宋体"/>
          <w:spacing w:val="-3"/>
          <w:sz w:val="24"/>
          <w:szCs w:val="24"/>
        </w:rPr>
        <w:t>〕</w:t>
      </w:r>
      <w:r>
        <w:rPr>
          <w:rFonts w:ascii="Times New Roman" w:hAnsi="Times New Roman" w:eastAsia="Times New Roman" w:cs="Times New Roman"/>
          <w:spacing w:val="-3"/>
          <w:sz w:val="24"/>
          <w:szCs w:val="24"/>
        </w:rPr>
        <w:t>162</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宋体" w:hAnsi="宋体" w:eastAsia="宋体" w:cs="宋体"/>
          <w:spacing w:val="1"/>
          <w:sz w:val="24"/>
          <w:szCs w:val="24"/>
        </w:rPr>
        <w:t>）；</w:t>
      </w:r>
    </w:p>
    <w:p w14:paraId="774F4D73">
      <w:pPr>
        <w:spacing w:before="182" w:line="286" w:lineRule="auto"/>
        <w:ind w:left="21" w:right="162"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15</w:t>
      </w:r>
      <w:r>
        <w:rPr>
          <w:rFonts w:ascii="宋体" w:hAnsi="宋体" w:eastAsia="宋体" w:cs="宋体"/>
          <w:spacing w:val="-1"/>
          <w:sz w:val="24"/>
          <w:szCs w:val="24"/>
        </w:rPr>
        <w:t>）《关于以改善环境质量为核心加强环境影响评价管理的通知》（环</w:t>
      </w:r>
      <w:r>
        <w:rPr>
          <w:rFonts w:ascii="宋体" w:hAnsi="宋体" w:eastAsia="宋体" w:cs="宋体"/>
          <w:spacing w:val="11"/>
          <w:sz w:val="24"/>
          <w:szCs w:val="24"/>
        </w:rPr>
        <w:t xml:space="preserve"> </w:t>
      </w:r>
      <w:r>
        <w:rPr>
          <w:rFonts w:ascii="宋体" w:hAnsi="宋体" w:eastAsia="宋体" w:cs="宋体"/>
          <w:spacing w:val="-1"/>
          <w:sz w:val="24"/>
          <w:szCs w:val="24"/>
        </w:rPr>
        <w:t>环评</w:t>
      </w:r>
      <w:r>
        <w:rPr>
          <w:rFonts w:ascii="Times New Roman" w:hAnsi="Times New Roman" w:eastAsia="Times New Roman" w:cs="Times New Roman"/>
          <w:spacing w:val="-1"/>
          <w:sz w:val="24"/>
          <w:szCs w:val="24"/>
        </w:rPr>
        <w:t xml:space="preserve">[2016]150 </w:t>
      </w:r>
      <w:r>
        <w:rPr>
          <w:rFonts w:ascii="宋体" w:hAnsi="宋体" w:eastAsia="宋体" w:cs="宋体"/>
          <w:spacing w:val="-1"/>
          <w:sz w:val="24"/>
          <w:szCs w:val="24"/>
        </w:rPr>
        <w:t>号</w:t>
      </w:r>
      <w:r>
        <w:rPr>
          <w:rFonts w:ascii="宋体" w:hAnsi="宋体" w:eastAsia="宋体" w:cs="宋体"/>
          <w:sz w:val="24"/>
          <w:szCs w:val="24"/>
        </w:rPr>
        <w:t>）；</w:t>
      </w:r>
    </w:p>
    <w:p w14:paraId="7CCA7AAE">
      <w:pPr>
        <w:spacing w:before="191" w:line="290" w:lineRule="auto"/>
        <w:ind w:left="39" w:right="206" w:firstLine="47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16</w:t>
      </w:r>
      <w:r>
        <w:rPr>
          <w:rFonts w:ascii="宋体" w:hAnsi="宋体" w:eastAsia="宋体" w:cs="宋体"/>
          <w:spacing w:val="-2"/>
          <w:sz w:val="24"/>
          <w:szCs w:val="24"/>
        </w:rPr>
        <w:t>）关于印发《国家突发环境事件应急预案》的通知（国办函〔</w:t>
      </w:r>
      <w:r>
        <w:rPr>
          <w:rFonts w:ascii="Times New Roman" w:hAnsi="Times New Roman" w:eastAsia="Times New Roman" w:cs="Times New Roman"/>
          <w:spacing w:val="-2"/>
          <w:sz w:val="24"/>
          <w:szCs w:val="24"/>
        </w:rPr>
        <w:t>2014</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Times New Roman" w:hAnsi="Times New Roman" w:eastAsia="Times New Roman" w:cs="Times New Roman"/>
          <w:spacing w:val="-7"/>
          <w:sz w:val="24"/>
          <w:szCs w:val="24"/>
        </w:rPr>
        <w:t>119</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号，</w:t>
      </w:r>
      <w:r>
        <w:rPr>
          <w:rFonts w:ascii="Times New Roman" w:hAnsi="Times New Roman" w:eastAsia="Times New Roman" w:cs="Times New Roman"/>
          <w:spacing w:val="-7"/>
          <w:sz w:val="24"/>
          <w:szCs w:val="24"/>
        </w:rPr>
        <w:t xml:space="preserve">2014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29  </w:t>
      </w:r>
      <w:r>
        <w:rPr>
          <w:rFonts w:ascii="宋体" w:hAnsi="宋体" w:eastAsia="宋体" w:cs="宋体"/>
          <w:spacing w:val="-7"/>
          <w:sz w:val="24"/>
          <w:szCs w:val="24"/>
        </w:rPr>
        <w:t>日</w:t>
      </w:r>
      <w:r>
        <w:rPr>
          <w:rFonts w:ascii="宋体" w:hAnsi="宋体" w:eastAsia="宋体" w:cs="宋体"/>
          <w:spacing w:val="-14"/>
          <w:sz w:val="24"/>
          <w:szCs w:val="24"/>
        </w:rPr>
        <w:t>）；</w:t>
      </w:r>
    </w:p>
    <w:p w14:paraId="07A2CFAE">
      <w:pPr>
        <w:spacing w:before="183" w:line="219" w:lineRule="auto"/>
        <w:ind w:left="512"/>
        <w:rPr>
          <w:rFonts w:ascii="Times New Roman" w:hAnsi="Times New Roman" w:eastAsia="Times New Roman" w:cs="Times New Roman"/>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17</w:t>
      </w:r>
      <w:r>
        <w:rPr>
          <w:rFonts w:ascii="宋体" w:hAnsi="宋体" w:eastAsia="宋体" w:cs="宋体"/>
          <w:spacing w:val="-5"/>
          <w:sz w:val="24"/>
          <w:szCs w:val="24"/>
        </w:rPr>
        <w:t>）《突发环境事件应急管理办法》（环境保护部令第</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34</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号，</w:t>
      </w:r>
      <w:r>
        <w:rPr>
          <w:rFonts w:ascii="Times New Roman" w:hAnsi="Times New Roman" w:eastAsia="Times New Roman" w:cs="Times New Roman"/>
          <w:spacing w:val="-5"/>
          <w:sz w:val="24"/>
          <w:szCs w:val="24"/>
        </w:rPr>
        <w:t xml:space="preserve">2015 </w:t>
      </w:r>
      <w:r>
        <w:rPr>
          <w:rFonts w:ascii="宋体" w:hAnsi="宋体" w:eastAsia="宋体" w:cs="宋体"/>
          <w:spacing w:val="-5"/>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3</w:t>
      </w:r>
    </w:p>
    <w:p w14:paraId="0DA16436">
      <w:pPr>
        <w:spacing w:line="219" w:lineRule="auto"/>
        <w:rPr>
          <w:rFonts w:ascii="Times New Roman" w:hAnsi="Times New Roman" w:eastAsia="Times New Roman" w:cs="Times New Roman"/>
          <w:sz w:val="24"/>
          <w:szCs w:val="24"/>
        </w:rPr>
        <w:sectPr>
          <w:footerReference r:id="rId14" w:type="default"/>
          <w:pgSz w:w="11906" w:h="16839"/>
          <w:pgMar w:top="1208" w:right="1785" w:bottom="1355" w:left="1785" w:header="825" w:footer="1195" w:gutter="0"/>
          <w:cols w:space="720" w:num="1"/>
        </w:sectPr>
      </w:pPr>
    </w:p>
    <w:p w14:paraId="59FF13E0">
      <w:pPr>
        <w:pStyle w:val="2"/>
        <w:spacing w:line="264" w:lineRule="auto"/>
      </w:pPr>
    </w:p>
    <w:p w14:paraId="6E8E53B3">
      <w:pPr>
        <w:spacing w:before="78" w:line="219" w:lineRule="auto"/>
        <w:ind w:left="26"/>
        <w:rPr>
          <w:rFonts w:ascii="宋体" w:hAnsi="宋体" w:eastAsia="宋体" w:cs="宋体"/>
          <w:sz w:val="24"/>
          <w:szCs w:val="24"/>
        </w:rPr>
      </w:pPr>
      <w:r>
        <w:rPr>
          <w:rFonts w:ascii="宋体" w:hAnsi="宋体" w:eastAsia="宋体" w:cs="宋体"/>
          <w:spacing w:val="-8"/>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19</w:t>
      </w:r>
      <w:r>
        <w:rPr>
          <w:rFonts w:ascii="Times New Roman" w:hAnsi="Times New Roman" w:eastAsia="Times New Roman" w:cs="Times New Roman"/>
          <w:spacing w:val="51"/>
          <w:sz w:val="24"/>
          <w:szCs w:val="24"/>
        </w:rPr>
        <w:t xml:space="preserve"> </w:t>
      </w:r>
      <w:r>
        <w:rPr>
          <w:rFonts w:ascii="宋体" w:hAnsi="宋体" w:eastAsia="宋体" w:cs="宋体"/>
          <w:spacing w:val="-8"/>
          <w:sz w:val="24"/>
          <w:szCs w:val="24"/>
        </w:rPr>
        <w:t>日由环境保护部部务会议通过，</w:t>
      </w:r>
      <w:r>
        <w:rPr>
          <w:rFonts w:ascii="宋体" w:hAnsi="宋体" w:eastAsia="宋体" w:cs="宋体"/>
          <w:spacing w:val="-72"/>
          <w:sz w:val="24"/>
          <w:szCs w:val="24"/>
        </w:rPr>
        <w:t xml:space="preserve"> </w:t>
      </w:r>
      <w:r>
        <w:rPr>
          <w:rFonts w:ascii="宋体" w:hAnsi="宋体" w:eastAsia="宋体" w:cs="宋体"/>
          <w:spacing w:val="-8"/>
          <w:sz w:val="24"/>
          <w:szCs w:val="24"/>
        </w:rPr>
        <w:t>自</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2015 </w:t>
      </w:r>
      <w:r>
        <w:rPr>
          <w:rFonts w:ascii="宋体" w:hAnsi="宋体" w:eastAsia="宋体" w:cs="宋体"/>
          <w:spacing w:val="-8"/>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 xml:space="preserve">5  </w:t>
      </w:r>
      <w:r>
        <w:rPr>
          <w:rFonts w:ascii="宋体" w:hAnsi="宋体" w:eastAsia="宋体" w:cs="宋体"/>
          <w:spacing w:val="-8"/>
          <w:sz w:val="24"/>
          <w:szCs w:val="24"/>
        </w:rPr>
        <w:t>日起施行</w:t>
      </w:r>
      <w:r>
        <w:rPr>
          <w:rFonts w:ascii="宋体" w:hAnsi="宋体" w:eastAsia="宋体" w:cs="宋体"/>
          <w:spacing w:val="9"/>
          <w:sz w:val="24"/>
          <w:szCs w:val="24"/>
        </w:rPr>
        <w:t>）；</w:t>
      </w:r>
    </w:p>
    <w:p w14:paraId="3F0B90F8">
      <w:pPr>
        <w:spacing w:before="184" w:line="219" w:lineRule="auto"/>
        <w:ind w:left="512"/>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18</w:t>
      </w:r>
      <w:r>
        <w:rPr>
          <w:rFonts w:ascii="宋体" w:hAnsi="宋体" w:eastAsia="宋体" w:cs="宋体"/>
          <w:spacing w:val="-9"/>
          <w:sz w:val="24"/>
          <w:szCs w:val="24"/>
        </w:rPr>
        <w:t>）国务院关于印发《土壤防治行动计划》的通</w:t>
      </w:r>
      <w:r>
        <w:rPr>
          <w:rFonts w:ascii="宋体" w:hAnsi="宋体" w:eastAsia="宋体" w:cs="宋体"/>
          <w:spacing w:val="-10"/>
          <w:sz w:val="24"/>
          <w:szCs w:val="24"/>
        </w:rPr>
        <w:t>知（国发〔</w:t>
      </w:r>
      <w:r>
        <w:rPr>
          <w:rFonts w:ascii="Times New Roman" w:hAnsi="Times New Roman" w:eastAsia="Times New Roman" w:cs="Times New Roman"/>
          <w:spacing w:val="-10"/>
          <w:sz w:val="24"/>
          <w:szCs w:val="24"/>
        </w:rPr>
        <w:t>2016</w:t>
      </w:r>
      <w:r>
        <w:rPr>
          <w:rFonts w:ascii="宋体" w:hAnsi="宋体" w:eastAsia="宋体" w:cs="宋体"/>
          <w:spacing w:val="-10"/>
          <w:sz w:val="24"/>
          <w:szCs w:val="24"/>
        </w:rPr>
        <w:t>〕</w:t>
      </w:r>
      <w:r>
        <w:rPr>
          <w:rFonts w:ascii="Times New Roman" w:hAnsi="Times New Roman" w:eastAsia="Times New Roman" w:cs="Times New Roman"/>
          <w:spacing w:val="-10"/>
          <w:sz w:val="24"/>
          <w:szCs w:val="24"/>
        </w:rPr>
        <w:t>31</w:t>
      </w:r>
      <w:r>
        <w:rPr>
          <w:rFonts w:ascii="Times New Roman" w:hAnsi="Times New Roman" w:eastAsia="Times New Roman" w:cs="Times New Roman"/>
          <w:spacing w:val="17"/>
          <w:w w:val="101"/>
          <w:sz w:val="24"/>
          <w:szCs w:val="24"/>
        </w:rPr>
        <w:t xml:space="preserve"> </w:t>
      </w:r>
      <w:r>
        <w:rPr>
          <w:rFonts w:ascii="宋体" w:hAnsi="宋体" w:eastAsia="宋体" w:cs="宋体"/>
          <w:spacing w:val="-10"/>
          <w:sz w:val="24"/>
          <w:szCs w:val="24"/>
        </w:rPr>
        <w:t>号</w:t>
      </w:r>
      <w:r>
        <w:rPr>
          <w:rFonts w:ascii="宋体" w:hAnsi="宋体" w:eastAsia="宋体" w:cs="宋体"/>
          <w:spacing w:val="-62"/>
          <w:w w:val="97"/>
          <w:sz w:val="24"/>
          <w:szCs w:val="24"/>
        </w:rPr>
        <w:t>）；</w:t>
      </w:r>
    </w:p>
    <w:p w14:paraId="0A935DED">
      <w:pPr>
        <w:spacing w:before="181" w:line="290" w:lineRule="auto"/>
        <w:ind w:left="23" w:right="225"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19</w:t>
      </w:r>
      <w:r>
        <w:rPr>
          <w:rFonts w:ascii="宋体" w:hAnsi="宋体" w:eastAsia="宋体" w:cs="宋体"/>
          <w:spacing w:val="-1"/>
          <w:sz w:val="24"/>
          <w:szCs w:val="24"/>
        </w:rPr>
        <w:t>）环境保护部关于印发《建设项目主要污染物排放总量指标审核及管</w:t>
      </w:r>
      <w:r>
        <w:rPr>
          <w:rFonts w:ascii="宋体" w:hAnsi="宋体" w:eastAsia="宋体" w:cs="宋体"/>
          <w:spacing w:val="11"/>
          <w:sz w:val="24"/>
          <w:szCs w:val="24"/>
        </w:rPr>
        <w:t xml:space="preserve"> </w:t>
      </w:r>
      <w:r>
        <w:rPr>
          <w:rFonts w:ascii="宋体" w:hAnsi="宋体" w:eastAsia="宋体" w:cs="宋体"/>
          <w:spacing w:val="-2"/>
          <w:sz w:val="24"/>
          <w:szCs w:val="24"/>
        </w:rPr>
        <w:t>理暂行办法》的通知（环发〔</w:t>
      </w:r>
      <w:r>
        <w:rPr>
          <w:rFonts w:ascii="Times New Roman" w:hAnsi="Times New Roman" w:eastAsia="Times New Roman" w:cs="Times New Roman"/>
          <w:spacing w:val="-2"/>
          <w:sz w:val="24"/>
          <w:szCs w:val="24"/>
        </w:rPr>
        <w:t>2014</w:t>
      </w:r>
      <w:r>
        <w:rPr>
          <w:rFonts w:ascii="宋体" w:hAnsi="宋体" w:eastAsia="宋体" w:cs="宋体"/>
          <w:spacing w:val="-2"/>
          <w:sz w:val="24"/>
          <w:szCs w:val="24"/>
        </w:rPr>
        <w:t>〕</w:t>
      </w:r>
      <w:r>
        <w:rPr>
          <w:rFonts w:ascii="Times New Roman" w:hAnsi="Times New Roman" w:eastAsia="Times New Roman" w:cs="Times New Roman"/>
          <w:spacing w:val="-2"/>
          <w:sz w:val="24"/>
          <w:szCs w:val="24"/>
        </w:rPr>
        <w:t>197</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号</w:t>
      </w:r>
      <w:r>
        <w:rPr>
          <w:rFonts w:ascii="宋体" w:hAnsi="宋体" w:eastAsia="宋体" w:cs="宋体"/>
          <w:spacing w:val="7"/>
          <w:sz w:val="24"/>
          <w:szCs w:val="24"/>
        </w:rPr>
        <w:t>）；</w:t>
      </w:r>
    </w:p>
    <w:p w14:paraId="25F6A097">
      <w:pPr>
        <w:spacing w:before="182" w:line="290" w:lineRule="auto"/>
        <w:ind w:left="32"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1"/>
          <w:sz w:val="24"/>
          <w:szCs w:val="24"/>
        </w:rPr>
        <w:t>）《关于全面加强生态环境保护坚决打好污染防治攻坚战的实施</w:t>
      </w:r>
      <w:r>
        <w:rPr>
          <w:rFonts w:ascii="宋体" w:hAnsi="宋体" w:eastAsia="宋体" w:cs="宋体"/>
          <w:spacing w:val="-2"/>
          <w:sz w:val="24"/>
          <w:szCs w:val="24"/>
        </w:rPr>
        <w:t>意见》</w:t>
      </w:r>
      <w:r>
        <w:rPr>
          <w:rFonts w:ascii="宋体" w:hAnsi="宋体" w:eastAsia="宋体" w:cs="宋体"/>
          <w:sz w:val="24"/>
          <w:szCs w:val="24"/>
        </w:rPr>
        <w:t xml:space="preserve"> </w:t>
      </w:r>
      <w:r>
        <w:rPr>
          <w:rFonts w:ascii="宋体" w:hAnsi="宋体" w:eastAsia="宋体" w:cs="宋体"/>
          <w:spacing w:val="-5"/>
          <w:sz w:val="24"/>
          <w:szCs w:val="24"/>
        </w:rPr>
        <w:t>（中共中央国务院</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2018 </w:t>
      </w:r>
      <w:r>
        <w:rPr>
          <w:rFonts w:ascii="宋体" w:hAnsi="宋体" w:eastAsia="宋体" w:cs="宋体"/>
          <w:spacing w:val="-5"/>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16  </w:t>
      </w:r>
      <w:r>
        <w:rPr>
          <w:rFonts w:ascii="宋体" w:hAnsi="宋体" w:eastAsia="宋体" w:cs="宋体"/>
          <w:spacing w:val="-5"/>
          <w:sz w:val="24"/>
          <w:szCs w:val="24"/>
        </w:rPr>
        <w:t>日</w:t>
      </w:r>
      <w:r>
        <w:rPr>
          <w:rFonts w:ascii="宋体" w:hAnsi="宋体" w:eastAsia="宋体" w:cs="宋体"/>
          <w:spacing w:val="-18"/>
          <w:sz w:val="24"/>
          <w:szCs w:val="24"/>
        </w:rPr>
        <w:t>）；</w:t>
      </w:r>
    </w:p>
    <w:p w14:paraId="265EA723">
      <w:pPr>
        <w:spacing w:before="182" w:line="290" w:lineRule="auto"/>
        <w:ind w:left="20" w:right="225"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21</w:t>
      </w:r>
      <w:r>
        <w:rPr>
          <w:rFonts w:ascii="宋体" w:hAnsi="宋体" w:eastAsia="宋体" w:cs="宋体"/>
          <w:spacing w:val="-1"/>
          <w:sz w:val="24"/>
          <w:szCs w:val="24"/>
        </w:rPr>
        <w:t>）《内蒙古自治区人民政府关于贯彻落实土壤污染防治行动计划的实</w:t>
      </w:r>
      <w:r>
        <w:rPr>
          <w:rFonts w:ascii="宋体" w:hAnsi="宋体" w:eastAsia="宋体" w:cs="宋体"/>
          <w:spacing w:val="11"/>
          <w:sz w:val="24"/>
          <w:szCs w:val="24"/>
        </w:rPr>
        <w:t xml:space="preserve"> </w:t>
      </w:r>
      <w:r>
        <w:rPr>
          <w:rFonts w:ascii="宋体" w:hAnsi="宋体" w:eastAsia="宋体" w:cs="宋体"/>
          <w:spacing w:val="-2"/>
          <w:sz w:val="24"/>
          <w:szCs w:val="24"/>
        </w:rPr>
        <w:t>施意见》（内政发〔</w:t>
      </w:r>
      <w:r>
        <w:rPr>
          <w:rFonts w:ascii="Times New Roman" w:hAnsi="Times New Roman" w:eastAsia="Times New Roman" w:cs="Times New Roman"/>
          <w:spacing w:val="-2"/>
          <w:sz w:val="24"/>
          <w:szCs w:val="24"/>
        </w:rPr>
        <w:t>2016</w:t>
      </w:r>
      <w:r>
        <w:rPr>
          <w:rFonts w:ascii="宋体" w:hAnsi="宋体" w:eastAsia="宋体" w:cs="宋体"/>
          <w:spacing w:val="-2"/>
          <w:sz w:val="24"/>
          <w:szCs w:val="24"/>
        </w:rPr>
        <w:t>〕</w:t>
      </w:r>
      <w:r>
        <w:rPr>
          <w:rFonts w:ascii="Times New Roman" w:hAnsi="Times New Roman" w:eastAsia="Times New Roman" w:cs="Times New Roman"/>
          <w:spacing w:val="-2"/>
          <w:sz w:val="24"/>
          <w:szCs w:val="24"/>
        </w:rPr>
        <w:t>127</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号</w:t>
      </w:r>
      <w:r>
        <w:rPr>
          <w:rFonts w:ascii="宋体" w:hAnsi="宋体" w:eastAsia="宋体" w:cs="宋体"/>
          <w:spacing w:val="5"/>
          <w:sz w:val="24"/>
          <w:szCs w:val="24"/>
        </w:rPr>
        <w:t>）；</w:t>
      </w:r>
    </w:p>
    <w:p w14:paraId="476641A2">
      <w:pPr>
        <w:spacing w:before="183" w:line="289" w:lineRule="auto"/>
        <w:ind w:left="32"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22</w:t>
      </w:r>
      <w:r>
        <w:rPr>
          <w:rFonts w:ascii="宋体" w:hAnsi="宋体" w:eastAsia="宋体" w:cs="宋体"/>
          <w:spacing w:val="-1"/>
          <w:sz w:val="24"/>
          <w:szCs w:val="24"/>
        </w:rPr>
        <w:t>）《关于全面加强生态环境保护坚决打好污染防治攻坚战的实施</w:t>
      </w:r>
      <w:r>
        <w:rPr>
          <w:rFonts w:ascii="宋体" w:hAnsi="宋体" w:eastAsia="宋体" w:cs="宋体"/>
          <w:spacing w:val="-2"/>
          <w:sz w:val="24"/>
          <w:szCs w:val="24"/>
        </w:rPr>
        <w:t>意见》</w:t>
      </w:r>
      <w:r>
        <w:rPr>
          <w:rFonts w:ascii="宋体" w:hAnsi="宋体" w:eastAsia="宋体" w:cs="宋体"/>
          <w:sz w:val="24"/>
          <w:szCs w:val="24"/>
        </w:rPr>
        <w:t xml:space="preserve"> </w:t>
      </w:r>
      <w:r>
        <w:rPr>
          <w:rFonts w:ascii="宋体" w:hAnsi="宋体" w:eastAsia="宋体" w:cs="宋体"/>
          <w:spacing w:val="-4"/>
          <w:sz w:val="24"/>
          <w:szCs w:val="24"/>
        </w:rPr>
        <w:t>（内蒙古自治区党委、</w:t>
      </w:r>
      <w:r>
        <w:rPr>
          <w:rFonts w:ascii="宋体" w:hAnsi="宋体" w:eastAsia="宋体" w:cs="宋体"/>
          <w:spacing w:val="-70"/>
          <w:sz w:val="24"/>
          <w:szCs w:val="24"/>
        </w:rPr>
        <w:t xml:space="preserve"> </w:t>
      </w:r>
      <w:r>
        <w:rPr>
          <w:rFonts w:ascii="宋体" w:hAnsi="宋体" w:eastAsia="宋体" w:cs="宋体"/>
          <w:spacing w:val="-4"/>
          <w:sz w:val="24"/>
          <w:szCs w:val="24"/>
        </w:rPr>
        <w:t>自治区人民政府，</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22  </w:t>
      </w:r>
      <w:r>
        <w:rPr>
          <w:rFonts w:ascii="宋体" w:hAnsi="宋体" w:eastAsia="宋体" w:cs="宋体"/>
          <w:spacing w:val="-5"/>
          <w:sz w:val="24"/>
          <w:szCs w:val="24"/>
        </w:rPr>
        <w:t>日</w:t>
      </w:r>
      <w:r>
        <w:rPr>
          <w:rFonts w:ascii="宋体" w:hAnsi="宋体" w:eastAsia="宋体" w:cs="宋体"/>
          <w:spacing w:val="-18"/>
          <w:sz w:val="24"/>
          <w:szCs w:val="24"/>
        </w:rPr>
        <w:t>）；</w:t>
      </w:r>
    </w:p>
    <w:p w14:paraId="2C9E0A96">
      <w:pPr>
        <w:spacing w:before="183" w:line="290" w:lineRule="auto"/>
        <w:ind w:left="24" w:right="225"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23</w:t>
      </w:r>
      <w:r>
        <w:rPr>
          <w:rFonts w:ascii="宋体" w:hAnsi="宋体" w:eastAsia="宋体" w:cs="宋体"/>
          <w:spacing w:val="-1"/>
          <w:sz w:val="24"/>
          <w:szCs w:val="24"/>
        </w:rPr>
        <w:t>）《内蒙古自治区人民政府关于加强地下水生态保护和治理的指导意</w:t>
      </w:r>
      <w:r>
        <w:rPr>
          <w:rFonts w:ascii="宋体" w:hAnsi="宋体" w:eastAsia="宋体" w:cs="宋体"/>
          <w:spacing w:val="11"/>
          <w:sz w:val="24"/>
          <w:szCs w:val="24"/>
        </w:rPr>
        <w:t xml:space="preserve"> </w:t>
      </w:r>
      <w:r>
        <w:rPr>
          <w:rFonts w:ascii="宋体" w:hAnsi="宋体" w:eastAsia="宋体" w:cs="宋体"/>
          <w:spacing w:val="-2"/>
          <w:sz w:val="24"/>
          <w:szCs w:val="24"/>
        </w:rPr>
        <w:t>见》（内政发〔</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w:t>
      </w:r>
      <w:r>
        <w:rPr>
          <w:rFonts w:ascii="Times New Roman" w:hAnsi="Times New Roman" w:eastAsia="Times New Roman" w:cs="Times New Roman"/>
          <w:spacing w:val="-2"/>
          <w:sz w:val="24"/>
          <w:szCs w:val="24"/>
        </w:rPr>
        <w:t>52</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号</w:t>
      </w:r>
      <w:r>
        <w:rPr>
          <w:rFonts w:ascii="宋体" w:hAnsi="宋体" w:eastAsia="宋体" w:cs="宋体"/>
          <w:sz w:val="24"/>
          <w:szCs w:val="24"/>
        </w:rPr>
        <w:t>）；</w:t>
      </w:r>
    </w:p>
    <w:p w14:paraId="5E2F6AE5">
      <w:pPr>
        <w:spacing w:before="184"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24</w:t>
      </w:r>
      <w:r>
        <w:rPr>
          <w:rFonts w:ascii="宋体" w:hAnsi="宋体" w:eastAsia="宋体" w:cs="宋体"/>
          <w:spacing w:val="-1"/>
          <w:sz w:val="24"/>
          <w:szCs w:val="24"/>
        </w:rPr>
        <w:t>）《内蒙古自治区建设项目环境保护管理办法实施细则》；</w:t>
      </w:r>
    </w:p>
    <w:p w14:paraId="3D632F99">
      <w:pPr>
        <w:spacing w:before="182"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25</w:t>
      </w:r>
      <w:r>
        <w:rPr>
          <w:rFonts w:ascii="宋体" w:hAnsi="宋体" w:eastAsia="宋体" w:cs="宋体"/>
          <w:spacing w:val="-3"/>
          <w:sz w:val="24"/>
          <w:szCs w:val="24"/>
        </w:rPr>
        <w:t>）内蒙古自治区基本草原保护条例（</w:t>
      </w:r>
      <w:r>
        <w:rPr>
          <w:rFonts w:ascii="Times New Roman" w:hAnsi="Times New Roman" w:eastAsia="Times New Roman" w:cs="Times New Roman"/>
          <w:spacing w:val="-3"/>
          <w:sz w:val="24"/>
          <w:szCs w:val="24"/>
        </w:rPr>
        <w:t>2011</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3"/>
          <w:sz w:val="24"/>
          <w:szCs w:val="24"/>
        </w:rPr>
        <w:t>日实施</w:t>
      </w:r>
      <w:r>
        <w:rPr>
          <w:rFonts w:ascii="宋体" w:hAnsi="宋体" w:eastAsia="宋体" w:cs="宋体"/>
          <w:sz w:val="24"/>
          <w:szCs w:val="24"/>
        </w:rPr>
        <w:t>）；</w:t>
      </w:r>
    </w:p>
    <w:p w14:paraId="72C4A19D">
      <w:pPr>
        <w:spacing w:before="184" w:line="290" w:lineRule="auto"/>
        <w:ind w:left="32" w:right="240" w:firstLine="48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26</w:t>
      </w:r>
      <w:r>
        <w:rPr>
          <w:rFonts w:ascii="宋体" w:hAnsi="宋体" w:eastAsia="宋体" w:cs="宋体"/>
          <w:spacing w:val="-2"/>
          <w:sz w:val="24"/>
          <w:szCs w:val="24"/>
        </w:rPr>
        <w:t>）《关于实施“三线一单</w:t>
      </w:r>
      <w:r>
        <w:rPr>
          <w:rFonts w:ascii="宋体" w:hAnsi="宋体" w:eastAsia="宋体" w:cs="宋体"/>
          <w:spacing w:val="-88"/>
          <w:sz w:val="24"/>
          <w:szCs w:val="24"/>
        </w:rPr>
        <w:t xml:space="preserve"> </w:t>
      </w:r>
      <w:r>
        <w:rPr>
          <w:rFonts w:ascii="宋体" w:hAnsi="宋体" w:eastAsia="宋体" w:cs="宋体"/>
          <w:spacing w:val="-2"/>
          <w:sz w:val="24"/>
          <w:szCs w:val="24"/>
        </w:rPr>
        <w:t>”生态环境分区管控的指导意见（试</w:t>
      </w:r>
      <w:r>
        <w:rPr>
          <w:rFonts w:ascii="宋体" w:hAnsi="宋体" w:eastAsia="宋体" w:cs="宋体"/>
          <w:spacing w:val="-3"/>
          <w:sz w:val="24"/>
          <w:szCs w:val="24"/>
        </w:rPr>
        <w:t>行）》</w:t>
      </w:r>
      <w:r>
        <w:rPr>
          <w:rFonts w:ascii="宋体" w:hAnsi="宋体" w:eastAsia="宋体" w:cs="宋体"/>
          <w:sz w:val="24"/>
          <w:szCs w:val="24"/>
        </w:rPr>
        <w:t xml:space="preserve"> </w:t>
      </w:r>
      <w:r>
        <w:rPr>
          <w:rFonts w:ascii="宋体" w:hAnsi="宋体" w:eastAsia="宋体" w:cs="宋体"/>
          <w:spacing w:val="-3"/>
          <w:sz w:val="24"/>
          <w:szCs w:val="24"/>
        </w:rPr>
        <w:t>（环环评〔</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w:t>
      </w:r>
      <w:r>
        <w:rPr>
          <w:rFonts w:ascii="Times New Roman" w:hAnsi="Times New Roman" w:eastAsia="Times New Roman" w:cs="Times New Roman"/>
          <w:spacing w:val="-3"/>
          <w:sz w:val="24"/>
          <w:szCs w:val="24"/>
        </w:rPr>
        <w:t>108</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号</w:t>
      </w:r>
      <w:r>
        <w:rPr>
          <w:rFonts w:ascii="宋体" w:hAnsi="宋体" w:eastAsia="宋体" w:cs="宋体"/>
          <w:spacing w:val="2"/>
          <w:sz w:val="24"/>
          <w:szCs w:val="24"/>
        </w:rPr>
        <w:t>）；</w:t>
      </w:r>
    </w:p>
    <w:p w14:paraId="25D245E4">
      <w:pPr>
        <w:spacing w:before="181" w:line="290" w:lineRule="auto"/>
        <w:ind w:left="40" w:right="225" w:firstLine="47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27</w:t>
      </w:r>
      <w:r>
        <w:rPr>
          <w:rFonts w:ascii="宋体" w:hAnsi="宋体" w:eastAsia="宋体" w:cs="宋体"/>
          <w:spacing w:val="-2"/>
          <w:sz w:val="24"/>
          <w:szCs w:val="24"/>
        </w:rPr>
        <w:t>）《内蒙古自治区人民政府关于实施“三线一单</w:t>
      </w:r>
      <w:r>
        <w:rPr>
          <w:rFonts w:ascii="宋体" w:hAnsi="宋体" w:eastAsia="宋体" w:cs="宋体"/>
          <w:spacing w:val="-76"/>
          <w:sz w:val="24"/>
          <w:szCs w:val="24"/>
        </w:rPr>
        <w:t xml:space="preserve"> </w:t>
      </w:r>
      <w:r>
        <w:rPr>
          <w:rFonts w:ascii="宋体" w:hAnsi="宋体" w:eastAsia="宋体" w:cs="宋体"/>
          <w:spacing w:val="-2"/>
          <w:sz w:val="24"/>
          <w:szCs w:val="24"/>
        </w:rPr>
        <w:t>”生态环境分区管控</w:t>
      </w:r>
      <w:r>
        <w:rPr>
          <w:rFonts w:ascii="宋体" w:hAnsi="宋体" w:eastAsia="宋体" w:cs="宋体"/>
          <w:sz w:val="24"/>
          <w:szCs w:val="24"/>
        </w:rPr>
        <w:t xml:space="preserve"> </w:t>
      </w:r>
      <w:r>
        <w:rPr>
          <w:rFonts w:ascii="宋体" w:hAnsi="宋体" w:eastAsia="宋体" w:cs="宋体"/>
          <w:spacing w:val="-3"/>
          <w:sz w:val="24"/>
          <w:szCs w:val="24"/>
        </w:rPr>
        <w:t>的意见》（内政发〔</w:t>
      </w:r>
      <w:r>
        <w:rPr>
          <w:rFonts w:ascii="Times New Roman" w:hAnsi="Times New Roman" w:eastAsia="Times New Roman" w:cs="Times New Roman"/>
          <w:spacing w:val="-3"/>
          <w:sz w:val="24"/>
          <w:szCs w:val="24"/>
        </w:rPr>
        <w:t>2020</w:t>
      </w:r>
      <w:r>
        <w:rPr>
          <w:rFonts w:ascii="宋体" w:hAnsi="宋体" w:eastAsia="宋体" w:cs="宋体"/>
          <w:spacing w:val="-3"/>
          <w:sz w:val="24"/>
          <w:szCs w:val="24"/>
        </w:rPr>
        <w:t>〕</w:t>
      </w:r>
      <w:r>
        <w:rPr>
          <w:rFonts w:ascii="Times New Roman" w:hAnsi="Times New Roman" w:eastAsia="Times New Roman" w:cs="Times New Roman"/>
          <w:spacing w:val="-3"/>
          <w:sz w:val="24"/>
          <w:szCs w:val="24"/>
        </w:rPr>
        <w:t>24</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宋体" w:hAnsi="宋体" w:eastAsia="宋体" w:cs="宋体"/>
          <w:spacing w:val="2"/>
          <w:sz w:val="24"/>
          <w:szCs w:val="24"/>
        </w:rPr>
        <w:t>）；</w:t>
      </w:r>
    </w:p>
    <w:p w14:paraId="1831E817">
      <w:pPr>
        <w:spacing w:before="183" w:line="286" w:lineRule="auto"/>
        <w:ind w:left="21" w:right="225"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28</w:t>
      </w:r>
      <w:r>
        <w:rPr>
          <w:rFonts w:ascii="宋体" w:hAnsi="宋体" w:eastAsia="宋体" w:cs="宋体"/>
          <w:spacing w:val="-1"/>
          <w:sz w:val="24"/>
          <w:szCs w:val="24"/>
        </w:rPr>
        <w:t>）《关于以改善环境质量为核心加强环境影响评价管理的通知》（环</w:t>
      </w:r>
      <w:r>
        <w:rPr>
          <w:rFonts w:ascii="宋体" w:hAnsi="宋体" w:eastAsia="宋体" w:cs="宋体"/>
          <w:spacing w:val="11"/>
          <w:sz w:val="24"/>
          <w:szCs w:val="24"/>
        </w:rPr>
        <w:t xml:space="preserve"> </w:t>
      </w:r>
      <w:r>
        <w:rPr>
          <w:rFonts w:ascii="宋体" w:hAnsi="宋体" w:eastAsia="宋体" w:cs="宋体"/>
          <w:spacing w:val="-3"/>
          <w:sz w:val="24"/>
          <w:szCs w:val="24"/>
        </w:rPr>
        <w:t>环评</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 xml:space="preserve">[2016]150  </w:t>
      </w:r>
      <w:r>
        <w:rPr>
          <w:rFonts w:ascii="宋体" w:hAnsi="宋体" w:eastAsia="宋体" w:cs="宋体"/>
          <w:spacing w:val="-3"/>
          <w:sz w:val="24"/>
          <w:szCs w:val="24"/>
        </w:rPr>
        <w:t>号</w:t>
      </w:r>
      <w:r>
        <w:rPr>
          <w:rFonts w:ascii="宋体" w:hAnsi="宋体" w:eastAsia="宋体" w:cs="宋体"/>
          <w:spacing w:val="5"/>
          <w:sz w:val="24"/>
          <w:szCs w:val="24"/>
        </w:rPr>
        <w:t>）；</w:t>
      </w:r>
    </w:p>
    <w:p w14:paraId="249F0C13">
      <w:pPr>
        <w:spacing w:before="192" w:line="286" w:lineRule="auto"/>
        <w:ind w:left="24" w:right="225"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29</w:t>
      </w:r>
      <w:r>
        <w:rPr>
          <w:rFonts w:ascii="宋体" w:hAnsi="宋体" w:eastAsia="宋体" w:cs="宋体"/>
          <w:sz w:val="24"/>
          <w:szCs w:val="24"/>
        </w:rPr>
        <w:t>）《锡林郭勒盟行政公署关于实施</w:t>
      </w:r>
      <w:r>
        <w:rPr>
          <w:rFonts w:ascii="Times New Roman" w:hAnsi="Times New Roman" w:eastAsia="Times New Roman" w:cs="Times New Roman"/>
          <w:sz w:val="24"/>
          <w:szCs w:val="24"/>
        </w:rPr>
        <w:t>“</w:t>
      </w:r>
      <w:r>
        <w:rPr>
          <w:rFonts w:ascii="宋体" w:hAnsi="宋体" w:eastAsia="宋体" w:cs="宋体"/>
          <w:sz w:val="24"/>
          <w:szCs w:val="24"/>
        </w:rPr>
        <w:t>三线一单</w:t>
      </w:r>
      <w:r>
        <w:rPr>
          <w:rFonts w:ascii="Times New Roman" w:hAnsi="Times New Roman" w:eastAsia="Times New Roman" w:cs="Times New Roman"/>
          <w:sz w:val="24"/>
          <w:szCs w:val="24"/>
        </w:rPr>
        <w:t>”</w:t>
      </w:r>
      <w:r>
        <w:rPr>
          <w:rFonts w:ascii="宋体" w:hAnsi="宋体" w:eastAsia="宋体" w:cs="宋体"/>
          <w:sz w:val="24"/>
          <w:szCs w:val="24"/>
        </w:rPr>
        <w:t>生态环境分区管控的意</w:t>
      </w:r>
      <w:r>
        <w:rPr>
          <w:rFonts w:ascii="宋体" w:hAnsi="宋体" w:eastAsia="宋体" w:cs="宋体"/>
          <w:spacing w:val="5"/>
          <w:sz w:val="24"/>
          <w:szCs w:val="24"/>
        </w:rPr>
        <w:t xml:space="preserve"> </w:t>
      </w:r>
      <w:r>
        <w:rPr>
          <w:rFonts w:ascii="宋体" w:hAnsi="宋体" w:eastAsia="宋体" w:cs="宋体"/>
          <w:spacing w:val="-2"/>
          <w:sz w:val="24"/>
          <w:szCs w:val="24"/>
        </w:rPr>
        <w:t>见》（锡署发</w:t>
      </w:r>
      <w:r>
        <w:rPr>
          <w:rFonts w:ascii="Times New Roman" w:hAnsi="Times New Roman" w:eastAsia="Times New Roman" w:cs="Times New Roman"/>
          <w:spacing w:val="-2"/>
          <w:sz w:val="24"/>
          <w:szCs w:val="24"/>
        </w:rPr>
        <w:t xml:space="preserve">[2021]117 </w:t>
      </w:r>
      <w:r>
        <w:rPr>
          <w:rFonts w:ascii="宋体" w:hAnsi="宋体" w:eastAsia="宋体" w:cs="宋体"/>
          <w:spacing w:val="-2"/>
          <w:sz w:val="24"/>
          <w:szCs w:val="24"/>
        </w:rPr>
        <w:t>号</w:t>
      </w:r>
      <w:r>
        <w:rPr>
          <w:rFonts w:ascii="宋体" w:hAnsi="宋体" w:eastAsia="宋体" w:cs="宋体"/>
          <w:spacing w:val="4"/>
          <w:sz w:val="24"/>
          <w:szCs w:val="24"/>
        </w:rPr>
        <w:t>）；</w:t>
      </w:r>
    </w:p>
    <w:p w14:paraId="14528C36">
      <w:pPr>
        <w:spacing w:before="192"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30</w:t>
      </w:r>
      <w:r>
        <w:rPr>
          <w:rFonts w:ascii="宋体" w:hAnsi="宋体" w:eastAsia="宋体" w:cs="宋体"/>
          <w:spacing w:val="-2"/>
          <w:sz w:val="24"/>
          <w:szCs w:val="24"/>
        </w:rPr>
        <w:t>）《锡林郭勒盟生态环境准入清单》（</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p>
    <w:p w14:paraId="0FE60E75">
      <w:pPr>
        <w:spacing w:before="184" w:line="219" w:lineRule="auto"/>
        <w:ind w:left="497"/>
        <w:outlineLvl w:val="2"/>
        <w:rPr>
          <w:rFonts w:ascii="宋体" w:hAnsi="宋体" w:eastAsia="宋体" w:cs="宋体"/>
          <w:sz w:val="24"/>
          <w:szCs w:val="24"/>
        </w:rPr>
      </w:pPr>
      <w:bookmarkStart w:id="13" w:name="bookmark13"/>
      <w:bookmarkEnd w:id="13"/>
      <w:r>
        <w:rPr>
          <w:rFonts w:ascii="Times New Roman" w:hAnsi="Times New Roman" w:eastAsia="Times New Roman" w:cs="Times New Roman"/>
          <w:b/>
          <w:bCs/>
          <w:spacing w:val="-2"/>
          <w:sz w:val="24"/>
          <w:szCs w:val="24"/>
        </w:rPr>
        <w:t xml:space="preserve">2.1.4 </w:t>
      </w:r>
      <w:r>
        <w:rPr>
          <w:rFonts w:ascii="宋体" w:hAnsi="宋体" w:eastAsia="宋体" w:cs="宋体"/>
          <w:b/>
          <w:bCs/>
          <w:spacing w:val="-2"/>
          <w:sz w:val="24"/>
          <w:szCs w:val="24"/>
        </w:rPr>
        <w:t>技术规范及导则</w:t>
      </w:r>
    </w:p>
    <w:p w14:paraId="4AA1968C">
      <w:pPr>
        <w:spacing w:before="183" w:line="218"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）《建设项目环境影响评价技术导则－总纲》（</w:t>
      </w:r>
      <w:r>
        <w:rPr>
          <w:rFonts w:ascii="Times New Roman" w:hAnsi="Times New Roman" w:eastAsia="Times New Roman" w:cs="Times New Roman"/>
          <w:spacing w:val="-2"/>
          <w:sz w:val="24"/>
          <w:szCs w:val="24"/>
        </w:rPr>
        <w:t>HJ 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1-2016</w:t>
      </w:r>
      <w:r>
        <w:rPr>
          <w:rFonts w:ascii="宋体" w:hAnsi="宋体" w:eastAsia="宋体" w:cs="宋体"/>
          <w:spacing w:val="8"/>
          <w:sz w:val="24"/>
          <w:szCs w:val="24"/>
        </w:rPr>
        <w:t>）；</w:t>
      </w:r>
    </w:p>
    <w:p w14:paraId="5263161E">
      <w:pPr>
        <w:spacing w:before="185" w:line="218"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）《环境影响评价技术导则－大气环境》（</w:t>
      </w:r>
      <w:r>
        <w:rPr>
          <w:rFonts w:ascii="Times New Roman" w:hAnsi="Times New Roman" w:eastAsia="Times New Roman" w:cs="Times New Roman"/>
          <w:spacing w:val="-1"/>
          <w:sz w:val="24"/>
          <w:szCs w:val="24"/>
        </w:rPr>
        <w:t>HJ 2.2-2018</w:t>
      </w:r>
      <w:r>
        <w:rPr>
          <w:rFonts w:ascii="宋体" w:hAnsi="宋体" w:eastAsia="宋体" w:cs="宋体"/>
          <w:spacing w:val="4"/>
          <w:sz w:val="24"/>
          <w:szCs w:val="24"/>
        </w:rPr>
        <w:t>）；</w:t>
      </w:r>
    </w:p>
    <w:p w14:paraId="5265DD55">
      <w:pPr>
        <w:spacing w:before="184" w:line="218"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）《环境影响评价技术导则－声环境》（</w:t>
      </w:r>
      <w:r>
        <w:rPr>
          <w:rFonts w:ascii="Times New Roman" w:hAnsi="Times New Roman" w:eastAsia="Times New Roman" w:cs="Times New Roman"/>
          <w:spacing w:val="-1"/>
          <w:sz w:val="24"/>
          <w:szCs w:val="24"/>
        </w:rPr>
        <w:t>HJ 2.4-2021</w:t>
      </w:r>
      <w:r>
        <w:rPr>
          <w:rFonts w:ascii="宋体" w:hAnsi="宋体" w:eastAsia="宋体" w:cs="宋体"/>
          <w:spacing w:val="4"/>
          <w:sz w:val="24"/>
          <w:szCs w:val="24"/>
        </w:rPr>
        <w:t>）；</w:t>
      </w:r>
    </w:p>
    <w:p w14:paraId="5422D6F7">
      <w:pPr>
        <w:spacing w:before="185" w:line="218"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）《环境影响评价技术导则－地下水环境》（</w:t>
      </w:r>
      <w:r>
        <w:rPr>
          <w:rFonts w:ascii="Times New Roman" w:hAnsi="Times New Roman" w:eastAsia="Times New Roman" w:cs="Times New Roman"/>
          <w:spacing w:val="-1"/>
          <w:sz w:val="24"/>
          <w:szCs w:val="24"/>
        </w:rPr>
        <w:t>HJ 610-2016</w:t>
      </w:r>
      <w:r>
        <w:rPr>
          <w:rFonts w:ascii="宋体" w:hAnsi="宋体" w:eastAsia="宋体" w:cs="宋体"/>
          <w:spacing w:val="5"/>
          <w:sz w:val="24"/>
          <w:szCs w:val="24"/>
        </w:rPr>
        <w:t>）；</w:t>
      </w:r>
    </w:p>
    <w:p w14:paraId="3DC09A89">
      <w:pPr>
        <w:spacing w:before="184" w:line="218"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）《环境影响评价技术导则－生态影响》（</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2"/>
          <w:sz w:val="24"/>
          <w:szCs w:val="24"/>
        </w:rPr>
        <w:t>19-2022</w:t>
      </w:r>
      <w:r>
        <w:rPr>
          <w:rFonts w:ascii="宋体" w:hAnsi="宋体" w:eastAsia="宋体" w:cs="宋体"/>
          <w:spacing w:val="4"/>
          <w:sz w:val="24"/>
          <w:szCs w:val="24"/>
        </w:rPr>
        <w:t>）；</w:t>
      </w:r>
    </w:p>
    <w:p w14:paraId="6256B4B2">
      <w:pPr>
        <w:spacing w:line="218" w:lineRule="auto"/>
        <w:rPr>
          <w:rFonts w:ascii="宋体" w:hAnsi="宋体" w:eastAsia="宋体" w:cs="宋体"/>
          <w:sz w:val="24"/>
          <w:szCs w:val="24"/>
        </w:rPr>
        <w:sectPr>
          <w:headerReference r:id="rId15" w:type="default"/>
          <w:footerReference r:id="rId16" w:type="default"/>
          <w:pgSz w:w="11906" w:h="16839"/>
          <w:pgMar w:top="1208" w:right="1722" w:bottom="1358" w:left="1785" w:header="825" w:footer="1195" w:gutter="0"/>
          <w:cols w:space="720" w:num="1"/>
        </w:sectPr>
      </w:pPr>
    </w:p>
    <w:p w14:paraId="26C87832">
      <w:pPr>
        <w:pStyle w:val="2"/>
        <w:spacing w:line="265" w:lineRule="auto"/>
      </w:pPr>
    </w:p>
    <w:p w14:paraId="1A7445A0">
      <w:pPr>
        <w:spacing w:before="78" w:line="218"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）《环境影响评价技术导则－土壤环境（试行）》（</w:t>
      </w:r>
      <w:r>
        <w:rPr>
          <w:rFonts w:ascii="Times New Roman" w:hAnsi="Times New Roman" w:eastAsia="Times New Roman" w:cs="Times New Roman"/>
          <w:spacing w:val="-1"/>
          <w:sz w:val="24"/>
          <w:szCs w:val="24"/>
        </w:rPr>
        <w:t>HJ964-2018</w:t>
      </w:r>
      <w:r>
        <w:rPr>
          <w:rFonts w:ascii="宋体" w:hAnsi="宋体" w:eastAsia="宋体" w:cs="宋体"/>
          <w:spacing w:val="6"/>
          <w:sz w:val="24"/>
          <w:szCs w:val="24"/>
        </w:rPr>
        <w:t>）；</w:t>
      </w:r>
    </w:p>
    <w:p w14:paraId="1AC7C657">
      <w:pPr>
        <w:spacing w:before="184" w:line="218"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）《环境影响评价技术导则－地表水环境》（</w:t>
      </w:r>
      <w:r>
        <w:rPr>
          <w:rFonts w:ascii="Times New Roman" w:hAnsi="Times New Roman" w:eastAsia="Times New Roman" w:cs="Times New Roman"/>
          <w:spacing w:val="-1"/>
          <w:sz w:val="24"/>
          <w:szCs w:val="24"/>
        </w:rPr>
        <w:t>HJ 2.3-2018</w:t>
      </w:r>
      <w:r>
        <w:rPr>
          <w:rFonts w:ascii="宋体" w:hAnsi="宋体" w:eastAsia="宋体" w:cs="宋体"/>
          <w:spacing w:val="5"/>
          <w:sz w:val="24"/>
          <w:szCs w:val="24"/>
        </w:rPr>
        <w:t>）；</w:t>
      </w:r>
    </w:p>
    <w:p w14:paraId="0FA18671">
      <w:pPr>
        <w:spacing w:before="184" w:line="218"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）《建设项目环境风险评价技术导则》（</w:t>
      </w:r>
      <w:r>
        <w:rPr>
          <w:rFonts w:ascii="Times New Roman" w:hAnsi="Times New Roman" w:eastAsia="Times New Roman" w:cs="Times New Roman"/>
          <w:spacing w:val="-1"/>
          <w:sz w:val="24"/>
          <w:szCs w:val="24"/>
        </w:rPr>
        <w:t>HJ169-2018</w:t>
      </w:r>
      <w:r>
        <w:rPr>
          <w:rFonts w:ascii="宋体" w:hAnsi="宋体" w:eastAsia="宋体" w:cs="宋体"/>
          <w:spacing w:val="3"/>
          <w:sz w:val="24"/>
          <w:szCs w:val="24"/>
        </w:rPr>
        <w:t>）；</w:t>
      </w:r>
    </w:p>
    <w:p w14:paraId="3266AB1C">
      <w:pPr>
        <w:spacing w:before="184" w:line="220"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）《固体废物鉴别标准通则》（</w:t>
      </w:r>
      <w:r>
        <w:rPr>
          <w:rFonts w:ascii="Times New Roman" w:hAnsi="Times New Roman" w:eastAsia="Times New Roman" w:cs="Times New Roman"/>
          <w:spacing w:val="-1"/>
          <w:sz w:val="24"/>
          <w:szCs w:val="24"/>
        </w:rPr>
        <w:t>GB34330-2017</w:t>
      </w:r>
      <w:r>
        <w:rPr>
          <w:rFonts w:ascii="宋体" w:hAnsi="宋体" w:eastAsia="宋体" w:cs="宋体"/>
          <w:spacing w:val="1"/>
          <w:sz w:val="24"/>
          <w:szCs w:val="24"/>
        </w:rPr>
        <w:t>）；</w:t>
      </w:r>
    </w:p>
    <w:p w14:paraId="6159728C">
      <w:pPr>
        <w:spacing w:before="182" w:line="219"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）《开发建设项目水土保持技术规范》（</w:t>
      </w:r>
      <w:r>
        <w:rPr>
          <w:rFonts w:ascii="Times New Roman" w:hAnsi="Times New Roman" w:eastAsia="Times New Roman" w:cs="Times New Roman"/>
          <w:spacing w:val="-1"/>
          <w:sz w:val="24"/>
          <w:szCs w:val="24"/>
        </w:rPr>
        <w:t>GB50433-2008</w:t>
      </w:r>
      <w:r>
        <w:rPr>
          <w:rFonts w:ascii="宋体" w:hAnsi="宋体" w:eastAsia="宋体" w:cs="宋体"/>
          <w:spacing w:val="4"/>
          <w:sz w:val="24"/>
          <w:szCs w:val="24"/>
        </w:rPr>
        <w:t>）；</w:t>
      </w:r>
    </w:p>
    <w:p w14:paraId="7EBCFA67">
      <w:pPr>
        <w:spacing w:before="183" w:line="219"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宋体" w:hAnsi="宋体" w:eastAsia="宋体" w:cs="宋体"/>
          <w:spacing w:val="-1"/>
          <w:sz w:val="24"/>
          <w:szCs w:val="24"/>
        </w:rPr>
        <w:t>）《污染源源强核算技术指南 准则》（</w:t>
      </w:r>
      <w:r>
        <w:rPr>
          <w:rFonts w:ascii="Times New Roman" w:hAnsi="Times New Roman" w:eastAsia="Times New Roman" w:cs="Times New Roman"/>
          <w:spacing w:val="-1"/>
          <w:sz w:val="24"/>
          <w:szCs w:val="24"/>
        </w:rPr>
        <w:t>HJ884-2018</w:t>
      </w:r>
      <w:r>
        <w:rPr>
          <w:rFonts w:ascii="宋体" w:hAnsi="宋体" w:eastAsia="宋体" w:cs="宋体"/>
          <w:spacing w:val="-1"/>
          <w:sz w:val="24"/>
          <w:szCs w:val="24"/>
        </w:rPr>
        <w:t>）。</w:t>
      </w:r>
    </w:p>
    <w:p w14:paraId="60AF46A8">
      <w:pPr>
        <w:spacing w:before="183" w:line="220" w:lineRule="auto"/>
        <w:ind w:left="588"/>
        <w:outlineLvl w:val="2"/>
        <w:rPr>
          <w:rFonts w:ascii="宋体" w:hAnsi="宋体" w:eastAsia="宋体" w:cs="宋体"/>
          <w:sz w:val="24"/>
          <w:szCs w:val="24"/>
        </w:rPr>
      </w:pPr>
      <w:bookmarkStart w:id="14" w:name="bookmark14"/>
      <w:bookmarkEnd w:id="14"/>
      <w:r>
        <w:rPr>
          <w:rFonts w:ascii="Times New Roman" w:hAnsi="Times New Roman" w:eastAsia="Times New Roman" w:cs="Times New Roman"/>
          <w:b/>
          <w:bCs/>
          <w:spacing w:val="-2"/>
          <w:sz w:val="24"/>
          <w:szCs w:val="24"/>
        </w:rPr>
        <w:t xml:space="preserve">2.1.5 </w:t>
      </w:r>
      <w:r>
        <w:rPr>
          <w:rFonts w:ascii="宋体" w:hAnsi="宋体" w:eastAsia="宋体" w:cs="宋体"/>
          <w:b/>
          <w:bCs/>
          <w:spacing w:val="-2"/>
          <w:sz w:val="24"/>
          <w:szCs w:val="24"/>
        </w:rPr>
        <w:t>相关规划</w:t>
      </w:r>
    </w:p>
    <w:p w14:paraId="3D45A2B8">
      <w:pPr>
        <w:spacing w:before="183" w:line="219"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）《内蒙古自治区矿产资源总体规划》（</w:t>
      </w:r>
      <w:r>
        <w:rPr>
          <w:rFonts w:ascii="Times New Roman" w:hAnsi="Times New Roman" w:eastAsia="Times New Roman" w:cs="Times New Roman"/>
          <w:spacing w:val="-1"/>
          <w:sz w:val="24"/>
          <w:szCs w:val="24"/>
        </w:rPr>
        <w:t xml:space="preserve">2016-2020 </w:t>
      </w:r>
      <w:r>
        <w:rPr>
          <w:rFonts w:ascii="宋体" w:hAnsi="宋体" w:eastAsia="宋体" w:cs="宋体"/>
          <w:spacing w:val="-1"/>
          <w:sz w:val="24"/>
          <w:szCs w:val="24"/>
        </w:rPr>
        <w:t>年</w:t>
      </w:r>
      <w:r>
        <w:rPr>
          <w:rFonts w:ascii="宋体" w:hAnsi="宋体" w:eastAsia="宋体" w:cs="宋体"/>
          <w:spacing w:val="4"/>
          <w:sz w:val="24"/>
          <w:szCs w:val="24"/>
        </w:rPr>
        <w:t>）；</w:t>
      </w:r>
    </w:p>
    <w:p w14:paraId="12ED8BD7">
      <w:pPr>
        <w:spacing w:before="182" w:line="219" w:lineRule="auto"/>
        <w:ind w:left="60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）《锡林郭勒盟</w:t>
      </w:r>
      <w:r>
        <w:rPr>
          <w:rFonts w:ascii="Times New Roman" w:hAnsi="Times New Roman" w:eastAsia="Times New Roman" w:cs="Times New Roman"/>
          <w:spacing w:val="-1"/>
          <w:sz w:val="24"/>
          <w:szCs w:val="24"/>
        </w:rPr>
        <w:t>“</w:t>
      </w:r>
      <w:r>
        <w:rPr>
          <w:rFonts w:ascii="宋体" w:hAnsi="宋体" w:eastAsia="宋体" w:cs="宋体"/>
          <w:spacing w:val="-1"/>
          <w:sz w:val="24"/>
          <w:szCs w:val="24"/>
        </w:rPr>
        <w:t>十四五</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生态环境保护规划》；</w:t>
      </w:r>
    </w:p>
    <w:p w14:paraId="48D79ACE">
      <w:pPr>
        <w:spacing w:before="184" w:line="290" w:lineRule="auto"/>
        <w:ind w:left="157" w:right="252" w:firstLine="44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）《锡林郭勒盟国民经济和社会发展第十四个五年规划和</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2035 </w:t>
      </w:r>
      <w:r>
        <w:rPr>
          <w:rFonts w:ascii="宋体" w:hAnsi="宋体" w:eastAsia="宋体" w:cs="宋体"/>
          <w:spacing w:val="-1"/>
          <w:sz w:val="24"/>
          <w:szCs w:val="24"/>
        </w:rPr>
        <w:t>年远景</w:t>
      </w:r>
      <w:r>
        <w:rPr>
          <w:rFonts w:ascii="宋体" w:hAnsi="宋体" w:eastAsia="宋体" w:cs="宋体"/>
          <w:sz w:val="24"/>
          <w:szCs w:val="24"/>
        </w:rPr>
        <w:t xml:space="preserve"> </w:t>
      </w:r>
      <w:r>
        <w:rPr>
          <w:rFonts w:ascii="宋体" w:hAnsi="宋体" w:eastAsia="宋体" w:cs="宋体"/>
          <w:spacing w:val="-10"/>
          <w:sz w:val="24"/>
          <w:szCs w:val="24"/>
        </w:rPr>
        <w:t>目标纲要》。</w:t>
      </w:r>
    </w:p>
    <w:p w14:paraId="03A0A080">
      <w:pPr>
        <w:spacing w:before="182" w:line="219" w:lineRule="auto"/>
        <w:ind w:left="588"/>
        <w:outlineLvl w:val="2"/>
        <w:rPr>
          <w:rFonts w:ascii="宋体" w:hAnsi="宋体" w:eastAsia="宋体" w:cs="宋体"/>
          <w:sz w:val="24"/>
          <w:szCs w:val="24"/>
        </w:rPr>
      </w:pPr>
      <w:bookmarkStart w:id="15" w:name="bookmark15"/>
      <w:bookmarkEnd w:id="15"/>
      <w:r>
        <w:rPr>
          <w:rFonts w:ascii="Times New Roman" w:hAnsi="Times New Roman" w:eastAsia="Times New Roman" w:cs="Times New Roman"/>
          <w:b/>
          <w:bCs/>
          <w:spacing w:val="-2"/>
          <w:sz w:val="24"/>
          <w:szCs w:val="24"/>
        </w:rPr>
        <w:t xml:space="preserve">2.1.6 </w:t>
      </w:r>
      <w:r>
        <w:rPr>
          <w:rFonts w:ascii="宋体" w:hAnsi="宋体" w:eastAsia="宋体" w:cs="宋体"/>
          <w:b/>
          <w:bCs/>
          <w:spacing w:val="-2"/>
          <w:sz w:val="24"/>
          <w:szCs w:val="24"/>
        </w:rPr>
        <w:t>项目批复文件及其他资料</w:t>
      </w:r>
    </w:p>
    <w:p w14:paraId="3F194C6C">
      <w:pPr>
        <w:spacing w:before="183" w:line="314" w:lineRule="auto"/>
        <w:ind w:left="107" w:right="252" w:firstLine="495"/>
        <w:rPr>
          <w:rFonts w:ascii="宋体" w:hAnsi="宋体" w:eastAsia="宋体" w:cs="宋体"/>
          <w:sz w:val="24"/>
          <w:szCs w:val="24"/>
        </w:rPr>
      </w:pPr>
      <w:r>
        <w:rPr>
          <w:rFonts w:ascii="宋体" w:hAnsi="宋体" w:eastAsia="宋体" w:cs="宋体"/>
          <w:spacing w:val="19"/>
          <w:sz w:val="24"/>
          <w:szCs w:val="24"/>
        </w:rPr>
        <w:t>（</w:t>
      </w:r>
      <w:r>
        <w:rPr>
          <w:rFonts w:ascii="Times New Roman" w:hAnsi="Times New Roman" w:eastAsia="Times New Roman" w:cs="Times New Roman"/>
          <w:spacing w:val="19"/>
          <w:sz w:val="24"/>
          <w:szCs w:val="24"/>
        </w:rPr>
        <w:t>1</w:t>
      </w:r>
      <w:r>
        <w:rPr>
          <w:rFonts w:ascii="宋体" w:hAnsi="宋体" w:eastAsia="宋体" w:cs="宋体"/>
          <w:spacing w:val="19"/>
          <w:sz w:val="24"/>
          <w:szCs w:val="24"/>
        </w:rPr>
        <w:t>）《内蒙古玉龙矿业股份有限公司西乌珠穆沁旗花敖包特银铅矿</w:t>
      </w:r>
      <w:r>
        <w:rPr>
          <w:rFonts w:ascii="宋体" w:hAnsi="宋体" w:eastAsia="宋体" w:cs="宋体"/>
          <w:spacing w:val="8"/>
          <w:sz w:val="24"/>
          <w:szCs w:val="24"/>
        </w:rPr>
        <w:t xml:space="preserve"> </w:t>
      </w:r>
      <w:r>
        <w:rPr>
          <w:rFonts w:ascii="宋体" w:hAnsi="宋体" w:eastAsia="宋体" w:cs="宋体"/>
          <w:spacing w:val="-11"/>
          <w:sz w:val="24"/>
          <w:szCs w:val="24"/>
        </w:rPr>
        <w:t>2000t/d</w:t>
      </w:r>
      <w:r>
        <w:rPr>
          <w:rFonts w:ascii="宋体" w:hAnsi="宋体" w:eastAsia="宋体" w:cs="宋体"/>
          <w:spacing w:val="64"/>
          <w:sz w:val="24"/>
          <w:szCs w:val="24"/>
        </w:rPr>
        <w:t xml:space="preserve"> </w:t>
      </w:r>
      <w:r>
        <w:rPr>
          <w:rFonts w:ascii="宋体" w:hAnsi="宋体" w:eastAsia="宋体" w:cs="宋体"/>
          <w:spacing w:val="-11"/>
          <w:sz w:val="24"/>
          <w:szCs w:val="24"/>
        </w:rPr>
        <w:t>选 矿 厂 技 术 改 造 项</w:t>
      </w:r>
      <w:r>
        <w:rPr>
          <w:rFonts w:ascii="宋体" w:hAnsi="宋体" w:eastAsia="宋体" w:cs="宋体"/>
          <w:spacing w:val="40"/>
          <w:sz w:val="24"/>
          <w:szCs w:val="24"/>
        </w:rPr>
        <w:t xml:space="preserve"> </w:t>
      </w:r>
      <w:r>
        <w:rPr>
          <w:rFonts w:ascii="宋体" w:hAnsi="宋体" w:eastAsia="宋体" w:cs="宋体"/>
          <w:spacing w:val="-11"/>
          <w:sz w:val="24"/>
          <w:szCs w:val="24"/>
        </w:rPr>
        <w:t>目 备 案 告</w:t>
      </w:r>
      <w:r>
        <w:rPr>
          <w:rFonts w:ascii="宋体" w:hAnsi="宋体" w:eastAsia="宋体" w:cs="宋体"/>
          <w:sz w:val="24"/>
          <w:szCs w:val="24"/>
        </w:rPr>
        <w:t xml:space="preserve"> </w:t>
      </w:r>
      <w:r>
        <w:rPr>
          <w:rFonts w:ascii="宋体" w:hAnsi="宋体" w:eastAsia="宋体" w:cs="宋体"/>
          <w:spacing w:val="-11"/>
          <w:sz w:val="24"/>
          <w:szCs w:val="24"/>
        </w:rPr>
        <w:t>知</w:t>
      </w:r>
      <w:r>
        <w:rPr>
          <w:rFonts w:ascii="宋体" w:hAnsi="宋体" w:eastAsia="宋体" w:cs="宋体"/>
          <w:sz w:val="24"/>
          <w:szCs w:val="24"/>
        </w:rPr>
        <w:t xml:space="preserve"> </w:t>
      </w:r>
      <w:r>
        <w:rPr>
          <w:rFonts w:ascii="宋体" w:hAnsi="宋体" w:eastAsia="宋体" w:cs="宋体"/>
          <w:spacing w:val="-11"/>
          <w:sz w:val="24"/>
          <w:szCs w:val="24"/>
        </w:rPr>
        <w:t>书</w:t>
      </w:r>
      <w:r>
        <w:rPr>
          <w:rFonts w:ascii="宋体" w:hAnsi="宋体" w:eastAsia="宋体" w:cs="宋体"/>
          <w:spacing w:val="8"/>
          <w:sz w:val="24"/>
          <w:szCs w:val="24"/>
        </w:rPr>
        <w:t xml:space="preserve"> </w:t>
      </w:r>
      <w:r>
        <w:rPr>
          <w:rFonts w:ascii="宋体" w:hAnsi="宋体" w:eastAsia="宋体" w:cs="宋体"/>
          <w:spacing w:val="-11"/>
          <w:sz w:val="24"/>
          <w:szCs w:val="24"/>
        </w:rPr>
        <w:t>》 （</w:t>
      </w:r>
      <w:r>
        <w:rPr>
          <w:rFonts w:ascii="宋体" w:hAnsi="宋体" w:eastAsia="宋体" w:cs="宋体"/>
          <w:spacing w:val="34"/>
          <w:sz w:val="24"/>
          <w:szCs w:val="24"/>
        </w:rPr>
        <w:t xml:space="preserve"> </w:t>
      </w:r>
      <w:r>
        <w:rPr>
          <w:rFonts w:ascii="宋体" w:hAnsi="宋体" w:eastAsia="宋体" w:cs="宋体"/>
          <w:spacing w:val="-11"/>
          <w:sz w:val="24"/>
          <w:szCs w:val="24"/>
        </w:rPr>
        <w:t>项</w:t>
      </w:r>
      <w:r>
        <w:rPr>
          <w:rFonts w:ascii="宋体" w:hAnsi="宋体" w:eastAsia="宋体" w:cs="宋体"/>
          <w:spacing w:val="43"/>
          <w:sz w:val="24"/>
          <w:szCs w:val="24"/>
        </w:rPr>
        <w:t xml:space="preserve"> </w:t>
      </w:r>
      <w:r>
        <w:rPr>
          <w:rFonts w:ascii="宋体" w:hAnsi="宋体" w:eastAsia="宋体" w:cs="宋体"/>
          <w:spacing w:val="-11"/>
          <w:sz w:val="24"/>
          <w:szCs w:val="24"/>
        </w:rPr>
        <w:t>目 代 码</w:t>
      </w:r>
      <w:r>
        <w:rPr>
          <w:rFonts w:ascii="宋体" w:hAnsi="宋体" w:eastAsia="宋体" w:cs="宋体"/>
          <w:spacing w:val="15"/>
          <w:sz w:val="24"/>
          <w:szCs w:val="24"/>
        </w:rPr>
        <w:t xml:space="preserve"> </w:t>
      </w:r>
      <w:r>
        <w:rPr>
          <w:rFonts w:ascii="宋体" w:hAnsi="宋体" w:eastAsia="宋体" w:cs="宋体"/>
          <w:spacing w:val="-11"/>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2303-152526-07-02-705572</w:t>
      </w:r>
      <w:r>
        <w:rPr>
          <w:rFonts w:ascii="宋体" w:hAnsi="宋体" w:eastAsia="宋体" w:cs="宋体"/>
          <w:spacing w:val="8"/>
          <w:sz w:val="24"/>
          <w:szCs w:val="24"/>
        </w:rPr>
        <w:t>）；</w:t>
      </w:r>
    </w:p>
    <w:p w14:paraId="411464CC">
      <w:pPr>
        <w:spacing w:before="180" w:line="313" w:lineRule="auto"/>
        <w:ind w:left="114" w:right="250" w:firstLine="488"/>
        <w:rPr>
          <w:rFonts w:ascii="宋体" w:hAnsi="宋体" w:eastAsia="宋体" w:cs="宋体"/>
          <w:sz w:val="24"/>
          <w:szCs w:val="24"/>
        </w:rPr>
      </w:pPr>
      <w:r>
        <w:rPr>
          <w:rFonts w:ascii="宋体" w:hAnsi="宋体" w:eastAsia="宋体" w:cs="宋体"/>
          <w:spacing w:val="18"/>
          <w:sz w:val="24"/>
          <w:szCs w:val="24"/>
        </w:rPr>
        <w:t>（</w:t>
      </w:r>
      <w:r>
        <w:rPr>
          <w:rFonts w:ascii="Times New Roman" w:hAnsi="Times New Roman" w:eastAsia="Times New Roman" w:cs="Times New Roman"/>
          <w:spacing w:val="18"/>
          <w:sz w:val="24"/>
          <w:szCs w:val="24"/>
        </w:rPr>
        <w:t>2</w:t>
      </w:r>
      <w:r>
        <w:rPr>
          <w:rFonts w:ascii="宋体" w:hAnsi="宋体" w:eastAsia="宋体" w:cs="宋体"/>
          <w:spacing w:val="18"/>
          <w:sz w:val="24"/>
          <w:szCs w:val="24"/>
        </w:rPr>
        <w:t>）</w:t>
      </w:r>
      <w:r>
        <w:rPr>
          <w:rFonts w:ascii="宋体" w:hAnsi="宋体" w:eastAsia="宋体" w:cs="宋体"/>
          <w:spacing w:val="-77"/>
          <w:sz w:val="24"/>
          <w:szCs w:val="24"/>
        </w:rPr>
        <w:t xml:space="preserve"> </w:t>
      </w:r>
      <w:r>
        <w:rPr>
          <w:rFonts w:ascii="宋体" w:hAnsi="宋体" w:eastAsia="宋体" w:cs="宋体"/>
          <w:spacing w:val="18"/>
          <w:sz w:val="24"/>
          <w:szCs w:val="24"/>
        </w:rPr>
        <w:t>《内蒙古玉龙矿业股份有限公司西乌珠穆沁旗花</w:t>
      </w:r>
      <w:r>
        <w:rPr>
          <w:rFonts w:ascii="宋体" w:hAnsi="宋体" w:eastAsia="宋体" w:cs="宋体"/>
          <w:spacing w:val="17"/>
          <w:sz w:val="24"/>
          <w:szCs w:val="24"/>
        </w:rPr>
        <w:t>敖包特银铅矿</w:t>
      </w:r>
      <w:r>
        <w:rPr>
          <w:rFonts w:ascii="宋体" w:hAnsi="宋体" w:eastAsia="宋体" w:cs="宋体"/>
          <w:sz w:val="24"/>
          <w:szCs w:val="24"/>
        </w:rPr>
        <w:t xml:space="preserve"> </w:t>
      </w:r>
      <w:r>
        <w:rPr>
          <w:rFonts w:ascii="宋体" w:hAnsi="宋体" w:eastAsia="宋体" w:cs="宋体"/>
          <w:spacing w:val="1"/>
          <w:sz w:val="24"/>
          <w:szCs w:val="24"/>
        </w:rPr>
        <w:t>2000t/d</w:t>
      </w:r>
      <w:r>
        <w:rPr>
          <w:rFonts w:ascii="宋体" w:hAnsi="宋体" w:eastAsia="宋体" w:cs="宋体"/>
          <w:spacing w:val="-49"/>
          <w:sz w:val="24"/>
          <w:szCs w:val="24"/>
        </w:rPr>
        <w:t xml:space="preserve"> </w:t>
      </w:r>
      <w:r>
        <w:rPr>
          <w:rFonts w:ascii="宋体" w:hAnsi="宋体" w:eastAsia="宋体" w:cs="宋体"/>
          <w:spacing w:val="1"/>
          <w:sz w:val="24"/>
          <w:szCs w:val="24"/>
        </w:rPr>
        <w:t>选矿厂技术改造项目可行性研究报告》（兰州有色冶金设计研究院有</w:t>
      </w:r>
      <w:r>
        <w:rPr>
          <w:rFonts w:ascii="宋体" w:hAnsi="宋体" w:eastAsia="宋体" w:cs="宋体"/>
          <w:sz w:val="24"/>
          <w:szCs w:val="24"/>
        </w:rPr>
        <w:t xml:space="preserve"> </w:t>
      </w:r>
      <w:r>
        <w:rPr>
          <w:rFonts w:ascii="宋体" w:hAnsi="宋体" w:eastAsia="宋体" w:cs="宋体"/>
          <w:spacing w:val="-4"/>
          <w:sz w:val="24"/>
          <w:szCs w:val="24"/>
        </w:rPr>
        <w:t>限公司，</w:t>
      </w: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p>
    <w:p w14:paraId="7B104CB8">
      <w:pPr>
        <w:spacing w:before="266" w:line="222" w:lineRule="auto"/>
        <w:ind w:left="109"/>
        <w:outlineLvl w:val="1"/>
        <w:rPr>
          <w:rFonts w:ascii="黑体" w:hAnsi="黑体" w:eastAsia="黑体" w:cs="黑体"/>
          <w:sz w:val="28"/>
          <w:szCs w:val="28"/>
        </w:rPr>
      </w:pPr>
      <w:bookmarkStart w:id="16" w:name="bookmark16"/>
      <w:bookmarkEnd w:id="16"/>
      <w:bookmarkStart w:id="17" w:name="bookmark17"/>
      <w:bookmarkEnd w:id="17"/>
      <w:r>
        <w:rPr>
          <w:rFonts w:ascii="Times New Roman" w:hAnsi="Times New Roman" w:eastAsia="Times New Roman" w:cs="Times New Roman"/>
          <w:b/>
          <w:bCs/>
          <w:spacing w:val="-2"/>
          <w:sz w:val="28"/>
          <w:szCs w:val="28"/>
        </w:rPr>
        <w:t xml:space="preserve">2.2 </w:t>
      </w:r>
      <w:r>
        <w:rPr>
          <w:rFonts w:ascii="黑体" w:hAnsi="黑体" w:eastAsia="黑体" w:cs="黑体"/>
          <w:b/>
          <w:bCs/>
          <w:spacing w:val="-2"/>
          <w:sz w:val="28"/>
          <w:szCs w:val="28"/>
        </w:rPr>
        <w:t>环境影响识别与评价因子筛选</w:t>
      </w:r>
    </w:p>
    <w:p w14:paraId="266E40F9">
      <w:pPr>
        <w:spacing w:before="257" w:line="219" w:lineRule="auto"/>
        <w:ind w:left="588"/>
        <w:outlineLvl w:val="2"/>
        <w:rPr>
          <w:rFonts w:ascii="宋体" w:hAnsi="宋体" w:eastAsia="宋体" w:cs="宋体"/>
          <w:sz w:val="24"/>
          <w:szCs w:val="24"/>
        </w:rPr>
      </w:pPr>
      <w:bookmarkStart w:id="18" w:name="bookmark195"/>
      <w:bookmarkEnd w:id="18"/>
      <w:r>
        <w:rPr>
          <w:rFonts w:ascii="Times New Roman" w:hAnsi="Times New Roman" w:eastAsia="Times New Roman" w:cs="Times New Roman"/>
          <w:b/>
          <w:bCs/>
          <w:spacing w:val="-2"/>
          <w:sz w:val="24"/>
          <w:szCs w:val="24"/>
        </w:rPr>
        <w:t xml:space="preserve">2.2.1 </w:t>
      </w:r>
      <w:r>
        <w:rPr>
          <w:rFonts w:ascii="宋体" w:hAnsi="宋体" w:eastAsia="宋体" w:cs="宋体"/>
          <w:b/>
          <w:bCs/>
          <w:spacing w:val="-2"/>
          <w:sz w:val="24"/>
          <w:szCs w:val="24"/>
        </w:rPr>
        <w:t>环境影响因素识别</w:t>
      </w:r>
    </w:p>
    <w:p w14:paraId="13D4C56E">
      <w:pPr>
        <w:spacing w:before="184" w:line="335" w:lineRule="auto"/>
        <w:ind w:left="110" w:right="252" w:firstLine="480"/>
        <w:rPr>
          <w:rFonts w:ascii="宋体" w:hAnsi="宋体" w:eastAsia="宋体" w:cs="宋体"/>
          <w:sz w:val="24"/>
          <w:szCs w:val="24"/>
        </w:rPr>
      </w:pPr>
      <w:r>
        <w:rPr>
          <w:rFonts w:ascii="宋体" w:hAnsi="宋体" w:eastAsia="宋体" w:cs="宋体"/>
          <w:sz w:val="24"/>
          <w:szCs w:val="24"/>
        </w:rPr>
        <w:t>根据项目特点和污染物排放特征以及建设项目所</w:t>
      </w:r>
      <w:r>
        <w:rPr>
          <w:rFonts w:ascii="宋体" w:hAnsi="宋体" w:eastAsia="宋体" w:cs="宋体"/>
          <w:spacing w:val="-1"/>
          <w:sz w:val="24"/>
          <w:szCs w:val="24"/>
        </w:rPr>
        <w:t>在地区的环境状况，采用</w:t>
      </w:r>
      <w:r>
        <w:rPr>
          <w:rFonts w:ascii="宋体" w:hAnsi="宋体" w:eastAsia="宋体" w:cs="宋体"/>
          <w:sz w:val="24"/>
          <w:szCs w:val="24"/>
        </w:rPr>
        <w:t xml:space="preserve"> </w:t>
      </w:r>
      <w:r>
        <w:rPr>
          <w:rFonts w:ascii="宋体" w:hAnsi="宋体" w:eastAsia="宋体" w:cs="宋体"/>
          <w:spacing w:val="-1"/>
          <w:sz w:val="24"/>
          <w:szCs w:val="24"/>
        </w:rPr>
        <w:t>矩阵法对可能受本项目影响的环境因素进行识别，结果见表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2.2-1</w:t>
      </w:r>
      <w:r>
        <w:rPr>
          <w:rFonts w:ascii="宋体" w:hAnsi="宋体" w:eastAsia="宋体" w:cs="宋体"/>
          <w:spacing w:val="-1"/>
          <w:sz w:val="24"/>
          <w:szCs w:val="24"/>
        </w:rPr>
        <w:t>。</w:t>
      </w:r>
    </w:p>
    <w:p w14:paraId="0B906BDC">
      <w:pPr>
        <w:spacing w:line="227" w:lineRule="auto"/>
        <w:ind w:left="247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spacing w:val="6"/>
          <w:sz w:val="20"/>
          <w:szCs w:val="20"/>
        </w:rPr>
        <w:t xml:space="preserve">2.2-1        </w:t>
      </w:r>
      <w:r>
        <w:rPr>
          <w:rFonts w:ascii="宋体" w:hAnsi="宋体" w:eastAsia="宋体" w:cs="宋体"/>
          <w:spacing w:val="6"/>
          <w:sz w:val="20"/>
          <w:szCs w:val="20"/>
        </w:rPr>
        <w:t>环境影响要素</w:t>
      </w:r>
      <w:r>
        <w:rPr>
          <w:rFonts w:ascii="宋体" w:hAnsi="宋体" w:eastAsia="宋体" w:cs="宋体"/>
          <w:spacing w:val="5"/>
          <w:sz w:val="20"/>
          <w:szCs w:val="20"/>
        </w:rPr>
        <w:t>识别矩阵表</w:t>
      </w:r>
    </w:p>
    <w:p w14:paraId="42452ADD">
      <w:pPr>
        <w:spacing w:line="1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34"/>
        <w:gridCol w:w="706"/>
        <w:gridCol w:w="706"/>
        <w:gridCol w:w="1267"/>
        <w:gridCol w:w="1712"/>
        <w:gridCol w:w="2174"/>
      </w:tblGrid>
      <w:tr w14:paraId="3A08A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10" w:type="dxa"/>
            <w:vMerge w:val="restart"/>
            <w:tcBorders>
              <w:bottom w:val="nil"/>
            </w:tcBorders>
            <w:vAlign w:val="top"/>
          </w:tcPr>
          <w:p w14:paraId="4349B121">
            <w:pPr>
              <w:pStyle w:val="6"/>
              <w:spacing w:before="89" w:line="226" w:lineRule="auto"/>
              <w:ind w:left="200"/>
            </w:pPr>
            <w:r>
              <w:rPr>
                <w:spacing w:val="5"/>
              </w:rPr>
              <w:t>评价</w:t>
            </w:r>
          </w:p>
          <w:p w14:paraId="5DF3BE94">
            <w:pPr>
              <w:pStyle w:val="6"/>
              <w:spacing w:before="67" w:line="229" w:lineRule="auto"/>
              <w:ind w:left="211"/>
            </w:pPr>
            <w:r>
              <w:rPr>
                <w:spacing w:val="-1"/>
              </w:rPr>
              <w:t>时段</w:t>
            </w:r>
          </w:p>
        </w:tc>
        <w:tc>
          <w:tcPr>
            <w:tcW w:w="1134" w:type="dxa"/>
            <w:vMerge w:val="restart"/>
            <w:tcBorders>
              <w:bottom w:val="nil"/>
            </w:tcBorders>
            <w:vAlign w:val="top"/>
          </w:tcPr>
          <w:p w14:paraId="43735F3B">
            <w:pPr>
              <w:pStyle w:val="6"/>
              <w:spacing w:before="245" w:line="228" w:lineRule="auto"/>
              <w:ind w:left="149"/>
            </w:pPr>
            <w:r>
              <w:rPr>
                <w:spacing w:val="7"/>
              </w:rPr>
              <w:t>环境影响</w:t>
            </w:r>
          </w:p>
        </w:tc>
        <w:tc>
          <w:tcPr>
            <w:tcW w:w="2679" w:type="dxa"/>
            <w:gridSpan w:val="3"/>
            <w:vAlign w:val="top"/>
          </w:tcPr>
          <w:p w14:paraId="717C2FA5">
            <w:pPr>
              <w:pStyle w:val="6"/>
              <w:spacing w:before="69" w:line="228" w:lineRule="auto"/>
              <w:ind w:left="923"/>
            </w:pPr>
            <w:r>
              <w:rPr>
                <w:spacing w:val="7"/>
              </w:rPr>
              <w:t>影响特征</w:t>
            </w:r>
          </w:p>
        </w:tc>
        <w:tc>
          <w:tcPr>
            <w:tcW w:w="1712" w:type="dxa"/>
            <w:vMerge w:val="restart"/>
            <w:tcBorders>
              <w:bottom w:val="nil"/>
            </w:tcBorders>
            <w:vAlign w:val="top"/>
          </w:tcPr>
          <w:p w14:paraId="2FCB8CF6">
            <w:pPr>
              <w:pStyle w:val="6"/>
              <w:spacing w:before="245" w:line="228" w:lineRule="auto"/>
              <w:ind w:left="440"/>
            </w:pPr>
            <w:r>
              <w:rPr>
                <w:spacing w:val="7"/>
              </w:rPr>
              <w:t>影响说明</w:t>
            </w:r>
          </w:p>
        </w:tc>
        <w:tc>
          <w:tcPr>
            <w:tcW w:w="2174" w:type="dxa"/>
            <w:vMerge w:val="restart"/>
            <w:tcBorders>
              <w:bottom w:val="nil"/>
            </w:tcBorders>
            <w:vAlign w:val="top"/>
          </w:tcPr>
          <w:p w14:paraId="6B998338">
            <w:pPr>
              <w:pStyle w:val="6"/>
              <w:spacing w:before="245" w:line="228" w:lineRule="auto"/>
              <w:ind w:left="461"/>
            </w:pPr>
            <w:r>
              <w:rPr>
                <w:spacing w:val="8"/>
              </w:rPr>
              <w:t>减免防治措施</w:t>
            </w:r>
          </w:p>
        </w:tc>
      </w:tr>
      <w:tr w14:paraId="3A2ED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0" w:type="dxa"/>
            <w:vMerge w:val="continue"/>
            <w:tcBorders>
              <w:top w:val="nil"/>
            </w:tcBorders>
            <w:vAlign w:val="top"/>
          </w:tcPr>
          <w:p w14:paraId="29F4A1CD">
            <w:pPr>
              <w:rPr>
                <w:rFonts w:ascii="Arial"/>
                <w:sz w:val="21"/>
              </w:rPr>
            </w:pPr>
          </w:p>
        </w:tc>
        <w:tc>
          <w:tcPr>
            <w:tcW w:w="1134" w:type="dxa"/>
            <w:vMerge w:val="continue"/>
            <w:tcBorders>
              <w:top w:val="nil"/>
            </w:tcBorders>
            <w:vAlign w:val="top"/>
          </w:tcPr>
          <w:p w14:paraId="71F64E3B">
            <w:pPr>
              <w:rPr>
                <w:rFonts w:ascii="Arial"/>
                <w:sz w:val="21"/>
              </w:rPr>
            </w:pPr>
          </w:p>
        </w:tc>
        <w:tc>
          <w:tcPr>
            <w:tcW w:w="706" w:type="dxa"/>
            <w:vAlign w:val="top"/>
          </w:tcPr>
          <w:p w14:paraId="31369C9B">
            <w:pPr>
              <w:pStyle w:val="6"/>
              <w:spacing w:before="67" w:line="228" w:lineRule="auto"/>
              <w:ind w:left="147"/>
            </w:pPr>
            <w:r>
              <w:rPr>
                <w:spacing w:val="5"/>
              </w:rPr>
              <w:t>程度</w:t>
            </w:r>
          </w:p>
        </w:tc>
        <w:tc>
          <w:tcPr>
            <w:tcW w:w="706" w:type="dxa"/>
            <w:vAlign w:val="top"/>
          </w:tcPr>
          <w:p w14:paraId="164F1C4B">
            <w:pPr>
              <w:pStyle w:val="6"/>
              <w:spacing w:before="66" w:line="230" w:lineRule="auto"/>
              <w:ind w:left="158"/>
            </w:pPr>
            <w:r>
              <w:rPr>
                <w:spacing w:val="-1"/>
              </w:rPr>
              <w:t>时间</w:t>
            </w:r>
          </w:p>
        </w:tc>
        <w:tc>
          <w:tcPr>
            <w:tcW w:w="1267" w:type="dxa"/>
            <w:vAlign w:val="top"/>
          </w:tcPr>
          <w:p w14:paraId="162DC01B">
            <w:pPr>
              <w:pStyle w:val="6"/>
              <w:spacing w:before="66" w:line="229" w:lineRule="auto"/>
              <w:ind w:left="114"/>
            </w:pPr>
            <w:r>
              <w:rPr>
                <w:spacing w:val="8"/>
              </w:rPr>
              <w:t>影响可能性</w:t>
            </w:r>
          </w:p>
        </w:tc>
        <w:tc>
          <w:tcPr>
            <w:tcW w:w="1712" w:type="dxa"/>
            <w:vMerge w:val="continue"/>
            <w:tcBorders>
              <w:top w:val="nil"/>
            </w:tcBorders>
            <w:vAlign w:val="top"/>
          </w:tcPr>
          <w:p w14:paraId="0F4DF3DE">
            <w:pPr>
              <w:rPr>
                <w:rFonts w:ascii="Arial"/>
                <w:sz w:val="21"/>
              </w:rPr>
            </w:pPr>
          </w:p>
        </w:tc>
        <w:tc>
          <w:tcPr>
            <w:tcW w:w="2174" w:type="dxa"/>
            <w:vMerge w:val="continue"/>
            <w:tcBorders>
              <w:top w:val="nil"/>
            </w:tcBorders>
            <w:vAlign w:val="top"/>
          </w:tcPr>
          <w:p w14:paraId="69DD589A">
            <w:pPr>
              <w:rPr>
                <w:rFonts w:ascii="Arial"/>
                <w:sz w:val="21"/>
              </w:rPr>
            </w:pPr>
          </w:p>
        </w:tc>
      </w:tr>
      <w:tr w14:paraId="0F944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0" w:type="dxa"/>
            <w:vMerge w:val="restart"/>
            <w:tcBorders>
              <w:bottom w:val="nil"/>
            </w:tcBorders>
            <w:vAlign w:val="top"/>
          </w:tcPr>
          <w:p w14:paraId="49363041">
            <w:pPr>
              <w:spacing w:line="268" w:lineRule="auto"/>
              <w:rPr>
                <w:rFonts w:ascii="Arial"/>
                <w:sz w:val="21"/>
              </w:rPr>
            </w:pPr>
          </w:p>
          <w:p w14:paraId="5CEC0B7A">
            <w:pPr>
              <w:spacing w:line="269" w:lineRule="auto"/>
              <w:rPr>
                <w:rFonts w:ascii="Arial"/>
                <w:sz w:val="21"/>
              </w:rPr>
            </w:pPr>
          </w:p>
          <w:p w14:paraId="0D3F0468">
            <w:pPr>
              <w:spacing w:line="269" w:lineRule="auto"/>
              <w:rPr>
                <w:rFonts w:ascii="Arial"/>
                <w:sz w:val="21"/>
              </w:rPr>
            </w:pPr>
          </w:p>
          <w:p w14:paraId="75037ED9">
            <w:pPr>
              <w:pStyle w:val="6"/>
              <w:spacing w:before="65" w:line="290" w:lineRule="auto"/>
              <w:ind w:left="306" w:right="193" w:hanging="106"/>
            </w:pPr>
            <w:r>
              <w:rPr>
                <w:spacing w:val="5"/>
              </w:rPr>
              <w:t>施工</w:t>
            </w:r>
            <w:r>
              <w:t xml:space="preserve"> 期</w:t>
            </w:r>
          </w:p>
        </w:tc>
        <w:tc>
          <w:tcPr>
            <w:tcW w:w="1134" w:type="dxa"/>
            <w:vAlign w:val="top"/>
          </w:tcPr>
          <w:p w14:paraId="16851B1E">
            <w:pPr>
              <w:pStyle w:val="6"/>
              <w:spacing w:before="68" w:line="228" w:lineRule="auto"/>
              <w:ind w:left="152"/>
            </w:pPr>
            <w:r>
              <w:rPr>
                <w:spacing w:val="6"/>
              </w:rPr>
              <w:t>大气环境</w:t>
            </w:r>
          </w:p>
        </w:tc>
        <w:tc>
          <w:tcPr>
            <w:tcW w:w="706" w:type="dxa"/>
            <w:vAlign w:val="top"/>
          </w:tcPr>
          <w:p w14:paraId="4A0B4D77">
            <w:pPr>
              <w:spacing w:before="104"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2CE366F5">
            <w:pPr>
              <w:pStyle w:val="6"/>
              <w:spacing w:before="68" w:line="228" w:lineRule="auto"/>
              <w:ind w:left="256"/>
            </w:pPr>
            <w:r>
              <w:t>短</w:t>
            </w:r>
          </w:p>
        </w:tc>
        <w:tc>
          <w:tcPr>
            <w:tcW w:w="1267" w:type="dxa"/>
            <w:vAlign w:val="top"/>
          </w:tcPr>
          <w:p w14:paraId="49E4D488">
            <w:pPr>
              <w:pStyle w:val="6"/>
              <w:spacing w:before="67" w:line="230" w:lineRule="auto"/>
              <w:ind w:left="539"/>
            </w:pPr>
            <w:r>
              <w:t>小</w:t>
            </w:r>
          </w:p>
        </w:tc>
        <w:tc>
          <w:tcPr>
            <w:tcW w:w="1712" w:type="dxa"/>
            <w:vAlign w:val="top"/>
          </w:tcPr>
          <w:p w14:paraId="353A67B0">
            <w:pPr>
              <w:pStyle w:val="6"/>
              <w:spacing w:before="67" w:line="230" w:lineRule="auto"/>
              <w:ind w:left="440"/>
            </w:pPr>
            <w:r>
              <w:rPr>
                <w:spacing w:val="7"/>
              </w:rPr>
              <w:t>施工扬尘</w:t>
            </w:r>
          </w:p>
        </w:tc>
        <w:tc>
          <w:tcPr>
            <w:tcW w:w="2174" w:type="dxa"/>
            <w:vAlign w:val="top"/>
          </w:tcPr>
          <w:p w14:paraId="381053E5">
            <w:pPr>
              <w:pStyle w:val="6"/>
              <w:spacing w:before="67" w:line="228" w:lineRule="auto"/>
              <w:ind w:left="675"/>
            </w:pPr>
            <w:r>
              <w:rPr>
                <w:spacing w:val="6"/>
              </w:rPr>
              <w:t>洒水抑尘</w:t>
            </w:r>
          </w:p>
        </w:tc>
      </w:tr>
      <w:tr w14:paraId="28F72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10" w:type="dxa"/>
            <w:vMerge w:val="continue"/>
            <w:tcBorders>
              <w:top w:val="nil"/>
              <w:bottom w:val="nil"/>
            </w:tcBorders>
            <w:vAlign w:val="top"/>
          </w:tcPr>
          <w:p w14:paraId="49DF0317">
            <w:pPr>
              <w:rPr>
                <w:rFonts w:ascii="Arial"/>
                <w:sz w:val="21"/>
              </w:rPr>
            </w:pPr>
          </w:p>
        </w:tc>
        <w:tc>
          <w:tcPr>
            <w:tcW w:w="1134" w:type="dxa"/>
            <w:vAlign w:val="top"/>
          </w:tcPr>
          <w:p w14:paraId="14FF4F98">
            <w:pPr>
              <w:spacing w:line="299" w:lineRule="auto"/>
              <w:rPr>
                <w:rFonts w:ascii="Arial"/>
                <w:sz w:val="21"/>
              </w:rPr>
            </w:pPr>
          </w:p>
          <w:p w14:paraId="18969E39">
            <w:pPr>
              <w:pStyle w:val="6"/>
              <w:spacing w:before="65" w:line="228" w:lineRule="auto"/>
              <w:ind w:left="258"/>
            </w:pPr>
            <w:r>
              <w:rPr>
                <w:spacing w:val="6"/>
              </w:rPr>
              <w:t>水环境</w:t>
            </w:r>
          </w:p>
        </w:tc>
        <w:tc>
          <w:tcPr>
            <w:tcW w:w="706" w:type="dxa"/>
            <w:vAlign w:val="top"/>
          </w:tcPr>
          <w:p w14:paraId="5A765335">
            <w:pPr>
              <w:spacing w:line="343" w:lineRule="auto"/>
              <w:rPr>
                <w:rFonts w:ascii="Arial"/>
                <w:sz w:val="21"/>
              </w:rPr>
            </w:pPr>
          </w:p>
          <w:p w14:paraId="4D1FF311">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6117D301">
            <w:pPr>
              <w:spacing w:line="300" w:lineRule="auto"/>
              <w:rPr>
                <w:rFonts w:ascii="Arial"/>
                <w:sz w:val="21"/>
              </w:rPr>
            </w:pPr>
          </w:p>
          <w:p w14:paraId="56C3F5B1">
            <w:pPr>
              <w:pStyle w:val="6"/>
              <w:spacing w:before="65" w:line="228" w:lineRule="auto"/>
              <w:ind w:left="256"/>
            </w:pPr>
            <w:r>
              <w:t>短</w:t>
            </w:r>
          </w:p>
        </w:tc>
        <w:tc>
          <w:tcPr>
            <w:tcW w:w="1267" w:type="dxa"/>
            <w:vAlign w:val="top"/>
          </w:tcPr>
          <w:p w14:paraId="0125C82E">
            <w:pPr>
              <w:spacing w:line="300" w:lineRule="auto"/>
              <w:rPr>
                <w:rFonts w:ascii="Arial"/>
                <w:sz w:val="21"/>
              </w:rPr>
            </w:pPr>
          </w:p>
          <w:p w14:paraId="37AB7EF8">
            <w:pPr>
              <w:pStyle w:val="6"/>
              <w:spacing w:before="65" w:line="230" w:lineRule="auto"/>
              <w:ind w:left="539"/>
            </w:pPr>
            <w:r>
              <w:t>小</w:t>
            </w:r>
          </w:p>
        </w:tc>
        <w:tc>
          <w:tcPr>
            <w:tcW w:w="1712" w:type="dxa"/>
            <w:vAlign w:val="top"/>
          </w:tcPr>
          <w:p w14:paraId="6F47DB3E">
            <w:pPr>
              <w:spacing w:line="299" w:lineRule="auto"/>
              <w:rPr>
                <w:rFonts w:ascii="Arial"/>
                <w:sz w:val="21"/>
              </w:rPr>
            </w:pPr>
          </w:p>
          <w:p w14:paraId="7543748E">
            <w:pPr>
              <w:pStyle w:val="6"/>
              <w:spacing w:before="65" w:line="228" w:lineRule="auto"/>
              <w:ind w:left="231"/>
            </w:pPr>
            <w:r>
              <w:rPr>
                <w:spacing w:val="8"/>
              </w:rPr>
              <w:t>施工生活污水</w:t>
            </w:r>
          </w:p>
        </w:tc>
        <w:tc>
          <w:tcPr>
            <w:tcW w:w="2174" w:type="dxa"/>
            <w:vAlign w:val="top"/>
          </w:tcPr>
          <w:p w14:paraId="000BAC0C">
            <w:pPr>
              <w:pStyle w:val="6"/>
              <w:spacing w:before="54" w:line="228" w:lineRule="auto"/>
              <w:ind w:left="149"/>
            </w:pPr>
            <w:r>
              <w:rPr>
                <w:spacing w:val="8"/>
              </w:rPr>
              <w:t>经一体化污水处理装</w:t>
            </w:r>
          </w:p>
          <w:p w14:paraId="65A3C872">
            <w:pPr>
              <w:pStyle w:val="6"/>
              <w:spacing w:before="65" w:line="228" w:lineRule="auto"/>
              <w:ind w:left="145"/>
            </w:pPr>
            <w:r>
              <w:rPr>
                <w:spacing w:val="9"/>
              </w:rPr>
              <w:t>置处理后用于厂区绿</w:t>
            </w:r>
          </w:p>
          <w:p w14:paraId="73368D29">
            <w:pPr>
              <w:pStyle w:val="6"/>
              <w:spacing w:before="64" w:line="229" w:lineRule="auto"/>
              <w:ind w:left="988"/>
            </w:pPr>
            <w:r>
              <w:t>化</w:t>
            </w:r>
          </w:p>
        </w:tc>
      </w:tr>
      <w:tr w14:paraId="04A89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10" w:type="dxa"/>
            <w:vMerge w:val="continue"/>
            <w:tcBorders>
              <w:top w:val="nil"/>
              <w:bottom w:val="nil"/>
            </w:tcBorders>
            <w:vAlign w:val="top"/>
          </w:tcPr>
          <w:p w14:paraId="5CAC28EA">
            <w:pPr>
              <w:rPr>
                <w:rFonts w:ascii="Arial"/>
                <w:sz w:val="21"/>
              </w:rPr>
            </w:pPr>
          </w:p>
        </w:tc>
        <w:tc>
          <w:tcPr>
            <w:tcW w:w="1134" w:type="dxa"/>
            <w:vAlign w:val="top"/>
          </w:tcPr>
          <w:p w14:paraId="46DAF749">
            <w:pPr>
              <w:pStyle w:val="6"/>
              <w:spacing w:before="212" w:line="228" w:lineRule="auto"/>
              <w:ind w:left="149"/>
            </w:pPr>
            <w:r>
              <w:rPr>
                <w:spacing w:val="7"/>
              </w:rPr>
              <w:t>环境噪声</w:t>
            </w:r>
          </w:p>
        </w:tc>
        <w:tc>
          <w:tcPr>
            <w:tcW w:w="706" w:type="dxa"/>
            <w:vAlign w:val="top"/>
          </w:tcPr>
          <w:p w14:paraId="164A51A2">
            <w:pPr>
              <w:spacing w:before="24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49D84F9A">
            <w:pPr>
              <w:pStyle w:val="6"/>
              <w:spacing w:before="212" w:line="228" w:lineRule="auto"/>
              <w:ind w:left="256"/>
            </w:pPr>
            <w:r>
              <w:t>短</w:t>
            </w:r>
          </w:p>
        </w:tc>
        <w:tc>
          <w:tcPr>
            <w:tcW w:w="1267" w:type="dxa"/>
            <w:vAlign w:val="top"/>
          </w:tcPr>
          <w:p w14:paraId="6CEB971A">
            <w:pPr>
              <w:pStyle w:val="6"/>
              <w:spacing w:before="211" w:line="230" w:lineRule="auto"/>
              <w:ind w:left="539"/>
            </w:pPr>
            <w:r>
              <w:t>小</w:t>
            </w:r>
          </w:p>
        </w:tc>
        <w:tc>
          <w:tcPr>
            <w:tcW w:w="1712" w:type="dxa"/>
            <w:vAlign w:val="top"/>
          </w:tcPr>
          <w:p w14:paraId="19252BC4">
            <w:pPr>
              <w:pStyle w:val="6"/>
              <w:spacing w:before="211" w:line="227" w:lineRule="auto"/>
              <w:ind w:left="231"/>
            </w:pPr>
            <w:r>
              <w:rPr>
                <w:spacing w:val="8"/>
              </w:rPr>
              <w:t>施工机械噪声</w:t>
            </w:r>
          </w:p>
        </w:tc>
        <w:tc>
          <w:tcPr>
            <w:tcW w:w="2174" w:type="dxa"/>
            <w:vAlign w:val="top"/>
          </w:tcPr>
          <w:p w14:paraId="5C7A0370">
            <w:pPr>
              <w:pStyle w:val="6"/>
              <w:spacing w:before="55" w:line="228" w:lineRule="auto"/>
              <w:ind w:left="146"/>
            </w:pPr>
            <w:r>
              <w:rPr>
                <w:spacing w:val="9"/>
              </w:rPr>
              <w:t>低噪声设备，夜间不</w:t>
            </w:r>
          </w:p>
          <w:p w14:paraId="40F2256A">
            <w:pPr>
              <w:pStyle w:val="6"/>
              <w:spacing w:before="64" w:line="231" w:lineRule="auto"/>
              <w:ind w:left="880"/>
            </w:pPr>
            <w:r>
              <w:rPr>
                <w:spacing w:val="5"/>
              </w:rPr>
              <w:t>施工</w:t>
            </w:r>
          </w:p>
        </w:tc>
      </w:tr>
      <w:tr w14:paraId="27509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10" w:type="dxa"/>
            <w:vMerge w:val="continue"/>
            <w:tcBorders>
              <w:top w:val="nil"/>
            </w:tcBorders>
            <w:vAlign w:val="top"/>
          </w:tcPr>
          <w:p w14:paraId="26677C7A">
            <w:pPr>
              <w:rPr>
                <w:rFonts w:ascii="Arial"/>
                <w:sz w:val="21"/>
              </w:rPr>
            </w:pPr>
          </w:p>
        </w:tc>
        <w:tc>
          <w:tcPr>
            <w:tcW w:w="1134" w:type="dxa"/>
            <w:vAlign w:val="top"/>
          </w:tcPr>
          <w:p w14:paraId="086AD75C">
            <w:pPr>
              <w:pStyle w:val="6"/>
              <w:spacing w:before="71" w:line="228" w:lineRule="auto"/>
              <w:ind w:left="167"/>
            </w:pPr>
            <w:r>
              <w:rPr>
                <w:spacing w:val="2"/>
              </w:rPr>
              <w:t>固体废物</w:t>
            </w:r>
          </w:p>
        </w:tc>
        <w:tc>
          <w:tcPr>
            <w:tcW w:w="706" w:type="dxa"/>
            <w:vAlign w:val="top"/>
          </w:tcPr>
          <w:p w14:paraId="5EC507B4">
            <w:pPr>
              <w:spacing w:before="10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470C05CE">
            <w:pPr>
              <w:pStyle w:val="6"/>
              <w:spacing w:before="71" w:line="228" w:lineRule="auto"/>
              <w:ind w:left="256"/>
            </w:pPr>
            <w:r>
              <w:t>短</w:t>
            </w:r>
          </w:p>
        </w:tc>
        <w:tc>
          <w:tcPr>
            <w:tcW w:w="1267" w:type="dxa"/>
            <w:vAlign w:val="top"/>
          </w:tcPr>
          <w:p w14:paraId="16D965D1">
            <w:pPr>
              <w:pStyle w:val="6"/>
              <w:spacing w:before="70" w:line="230" w:lineRule="auto"/>
              <w:ind w:left="539"/>
            </w:pPr>
            <w:r>
              <w:t>小</w:t>
            </w:r>
          </w:p>
        </w:tc>
        <w:tc>
          <w:tcPr>
            <w:tcW w:w="1712" w:type="dxa"/>
            <w:vAlign w:val="top"/>
          </w:tcPr>
          <w:p w14:paraId="541A264C">
            <w:pPr>
              <w:pStyle w:val="6"/>
              <w:spacing w:before="71" w:line="228" w:lineRule="auto"/>
              <w:ind w:left="125"/>
            </w:pPr>
            <w:r>
              <w:rPr>
                <w:spacing w:val="7"/>
              </w:rPr>
              <w:t>施工生活垃圾、</w:t>
            </w:r>
          </w:p>
        </w:tc>
        <w:tc>
          <w:tcPr>
            <w:tcW w:w="2174" w:type="dxa"/>
            <w:vAlign w:val="top"/>
          </w:tcPr>
          <w:p w14:paraId="3B98D603">
            <w:pPr>
              <w:pStyle w:val="6"/>
              <w:spacing w:before="70" w:line="228" w:lineRule="auto"/>
              <w:ind w:left="672"/>
            </w:pPr>
            <w:r>
              <w:rPr>
                <w:spacing w:val="7"/>
              </w:rPr>
              <w:t>加强管理</w:t>
            </w:r>
          </w:p>
        </w:tc>
      </w:tr>
    </w:tbl>
    <w:p w14:paraId="122D6EDE">
      <w:pPr>
        <w:pStyle w:val="2"/>
        <w:spacing w:line="227" w:lineRule="exact"/>
        <w:rPr>
          <w:sz w:val="19"/>
        </w:rPr>
      </w:pPr>
    </w:p>
    <w:p w14:paraId="338C9A8E">
      <w:pPr>
        <w:spacing w:line="227" w:lineRule="exact"/>
        <w:rPr>
          <w:sz w:val="19"/>
          <w:szCs w:val="19"/>
        </w:rPr>
        <w:sectPr>
          <w:headerReference r:id="rId17" w:type="default"/>
          <w:footerReference r:id="rId18" w:type="default"/>
          <w:pgSz w:w="11906" w:h="16839"/>
          <w:pgMar w:top="1208" w:right="1696" w:bottom="1358" w:left="1695" w:header="825" w:footer="1195" w:gutter="0"/>
          <w:cols w:space="720" w:num="1"/>
        </w:sectPr>
      </w:pPr>
    </w:p>
    <w:p w14:paraId="6224F956">
      <w:pPr>
        <w:spacing w:line="231" w:lineRule="exact"/>
      </w:pPr>
    </w:p>
    <w:tbl>
      <w:tblPr>
        <w:tblStyle w:val="5"/>
        <w:tblW w:w="8509"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34"/>
        <w:gridCol w:w="706"/>
        <w:gridCol w:w="706"/>
        <w:gridCol w:w="1267"/>
        <w:gridCol w:w="1712"/>
        <w:gridCol w:w="2174"/>
      </w:tblGrid>
      <w:tr w14:paraId="27C3F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10" w:type="dxa"/>
            <w:vAlign w:val="top"/>
          </w:tcPr>
          <w:p w14:paraId="0203308C">
            <w:pPr>
              <w:rPr>
                <w:rFonts w:ascii="Arial"/>
                <w:sz w:val="21"/>
              </w:rPr>
            </w:pPr>
          </w:p>
        </w:tc>
        <w:tc>
          <w:tcPr>
            <w:tcW w:w="1134" w:type="dxa"/>
            <w:vAlign w:val="top"/>
          </w:tcPr>
          <w:p w14:paraId="3D382D6B">
            <w:pPr>
              <w:rPr>
                <w:rFonts w:ascii="Arial"/>
                <w:sz w:val="21"/>
              </w:rPr>
            </w:pPr>
          </w:p>
        </w:tc>
        <w:tc>
          <w:tcPr>
            <w:tcW w:w="706" w:type="dxa"/>
            <w:vAlign w:val="top"/>
          </w:tcPr>
          <w:p w14:paraId="652A4B99">
            <w:pPr>
              <w:rPr>
                <w:rFonts w:ascii="Arial"/>
                <w:sz w:val="21"/>
              </w:rPr>
            </w:pPr>
          </w:p>
        </w:tc>
        <w:tc>
          <w:tcPr>
            <w:tcW w:w="706" w:type="dxa"/>
            <w:vAlign w:val="top"/>
          </w:tcPr>
          <w:p w14:paraId="6E677D25">
            <w:pPr>
              <w:rPr>
                <w:rFonts w:ascii="Arial"/>
                <w:sz w:val="21"/>
              </w:rPr>
            </w:pPr>
          </w:p>
        </w:tc>
        <w:tc>
          <w:tcPr>
            <w:tcW w:w="1267" w:type="dxa"/>
            <w:vAlign w:val="top"/>
          </w:tcPr>
          <w:p w14:paraId="50A86462">
            <w:pPr>
              <w:rPr>
                <w:rFonts w:ascii="Arial"/>
                <w:sz w:val="21"/>
              </w:rPr>
            </w:pPr>
          </w:p>
        </w:tc>
        <w:tc>
          <w:tcPr>
            <w:tcW w:w="1712" w:type="dxa"/>
            <w:vAlign w:val="top"/>
          </w:tcPr>
          <w:p w14:paraId="7BAAE887">
            <w:pPr>
              <w:pStyle w:val="6"/>
              <w:spacing w:before="56" w:line="228" w:lineRule="auto"/>
              <w:ind w:left="443"/>
            </w:pPr>
            <w:r>
              <w:rPr>
                <w:spacing w:val="6"/>
              </w:rPr>
              <w:t>建筑垃圾</w:t>
            </w:r>
          </w:p>
        </w:tc>
        <w:tc>
          <w:tcPr>
            <w:tcW w:w="2174" w:type="dxa"/>
            <w:vAlign w:val="top"/>
          </w:tcPr>
          <w:p w14:paraId="7D3B23C6">
            <w:pPr>
              <w:rPr>
                <w:rFonts w:ascii="Arial"/>
                <w:sz w:val="21"/>
              </w:rPr>
            </w:pPr>
          </w:p>
        </w:tc>
      </w:tr>
      <w:tr w14:paraId="18B16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0" w:type="dxa"/>
            <w:vMerge w:val="restart"/>
            <w:tcBorders>
              <w:bottom w:val="nil"/>
            </w:tcBorders>
            <w:vAlign w:val="top"/>
          </w:tcPr>
          <w:p w14:paraId="3B4291BE">
            <w:pPr>
              <w:spacing w:line="244" w:lineRule="auto"/>
              <w:rPr>
                <w:rFonts w:ascii="Arial"/>
                <w:sz w:val="21"/>
              </w:rPr>
            </w:pPr>
          </w:p>
          <w:p w14:paraId="692DB444">
            <w:pPr>
              <w:spacing w:line="245" w:lineRule="auto"/>
              <w:rPr>
                <w:rFonts w:ascii="Arial"/>
                <w:sz w:val="21"/>
              </w:rPr>
            </w:pPr>
          </w:p>
          <w:p w14:paraId="1F587B18">
            <w:pPr>
              <w:spacing w:line="245" w:lineRule="auto"/>
              <w:rPr>
                <w:rFonts w:ascii="Arial"/>
                <w:sz w:val="21"/>
              </w:rPr>
            </w:pPr>
          </w:p>
          <w:p w14:paraId="1E765055">
            <w:pPr>
              <w:spacing w:line="245" w:lineRule="auto"/>
              <w:rPr>
                <w:rFonts w:ascii="Arial"/>
                <w:sz w:val="21"/>
              </w:rPr>
            </w:pPr>
          </w:p>
          <w:p w14:paraId="6C2F1E52">
            <w:pPr>
              <w:pStyle w:val="6"/>
              <w:spacing w:before="65" w:line="290" w:lineRule="auto"/>
              <w:ind w:left="306" w:right="193" w:hanging="105"/>
            </w:pPr>
            <w:r>
              <w:rPr>
                <w:spacing w:val="4"/>
              </w:rPr>
              <w:t>运营</w:t>
            </w:r>
            <w:r>
              <w:t xml:space="preserve"> 期</w:t>
            </w:r>
          </w:p>
        </w:tc>
        <w:tc>
          <w:tcPr>
            <w:tcW w:w="1134" w:type="dxa"/>
            <w:vAlign w:val="top"/>
          </w:tcPr>
          <w:p w14:paraId="29965609">
            <w:pPr>
              <w:pStyle w:val="6"/>
              <w:spacing w:before="67" w:line="228" w:lineRule="auto"/>
              <w:ind w:left="152"/>
            </w:pPr>
            <w:r>
              <w:rPr>
                <w:spacing w:val="6"/>
              </w:rPr>
              <w:t>大气环境</w:t>
            </w:r>
          </w:p>
        </w:tc>
        <w:tc>
          <w:tcPr>
            <w:tcW w:w="706" w:type="dxa"/>
            <w:vAlign w:val="top"/>
          </w:tcPr>
          <w:p w14:paraId="3F47EC0B">
            <w:pPr>
              <w:spacing w:before="10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56507F76">
            <w:pPr>
              <w:pStyle w:val="6"/>
              <w:spacing w:before="67" w:line="231" w:lineRule="auto"/>
              <w:ind w:left="254"/>
            </w:pPr>
            <w:r>
              <w:t>长</w:t>
            </w:r>
          </w:p>
        </w:tc>
        <w:tc>
          <w:tcPr>
            <w:tcW w:w="1267" w:type="dxa"/>
            <w:vAlign w:val="top"/>
          </w:tcPr>
          <w:p w14:paraId="12C73C38">
            <w:pPr>
              <w:pStyle w:val="6"/>
              <w:spacing w:before="67" w:line="228" w:lineRule="auto"/>
              <w:ind w:left="536"/>
            </w:pPr>
            <w:r>
              <w:t>大</w:t>
            </w:r>
          </w:p>
        </w:tc>
        <w:tc>
          <w:tcPr>
            <w:tcW w:w="1712" w:type="dxa"/>
            <w:vAlign w:val="top"/>
          </w:tcPr>
          <w:p w14:paraId="247394A9">
            <w:pPr>
              <w:pStyle w:val="6"/>
              <w:spacing w:before="67" w:line="228" w:lineRule="auto"/>
              <w:ind w:left="651"/>
            </w:pPr>
            <w:r>
              <w:rPr>
                <w:spacing w:val="5"/>
              </w:rPr>
              <w:t>废气</w:t>
            </w:r>
          </w:p>
        </w:tc>
        <w:tc>
          <w:tcPr>
            <w:tcW w:w="2174" w:type="dxa"/>
            <w:vAlign w:val="top"/>
          </w:tcPr>
          <w:p w14:paraId="606215F4">
            <w:pPr>
              <w:pStyle w:val="6"/>
              <w:spacing w:before="67" w:line="228" w:lineRule="auto"/>
              <w:ind w:left="672"/>
            </w:pPr>
            <w:r>
              <w:rPr>
                <w:spacing w:val="7"/>
              </w:rPr>
              <w:t>废气治理</w:t>
            </w:r>
          </w:p>
        </w:tc>
      </w:tr>
      <w:tr w14:paraId="1C68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10" w:type="dxa"/>
            <w:vMerge w:val="continue"/>
            <w:tcBorders>
              <w:top w:val="nil"/>
              <w:bottom w:val="nil"/>
            </w:tcBorders>
            <w:vAlign w:val="top"/>
          </w:tcPr>
          <w:p w14:paraId="24BCEF06">
            <w:pPr>
              <w:rPr>
                <w:rFonts w:ascii="Arial"/>
                <w:sz w:val="21"/>
              </w:rPr>
            </w:pPr>
          </w:p>
        </w:tc>
        <w:tc>
          <w:tcPr>
            <w:tcW w:w="1134" w:type="dxa"/>
            <w:vAlign w:val="top"/>
          </w:tcPr>
          <w:p w14:paraId="6F9D5846">
            <w:pPr>
              <w:spacing w:line="299" w:lineRule="auto"/>
              <w:rPr>
                <w:rFonts w:ascii="Arial"/>
                <w:sz w:val="21"/>
              </w:rPr>
            </w:pPr>
          </w:p>
          <w:p w14:paraId="7682093F">
            <w:pPr>
              <w:pStyle w:val="6"/>
              <w:spacing w:before="65" w:line="228" w:lineRule="auto"/>
              <w:ind w:left="258"/>
            </w:pPr>
            <w:r>
              <w:rPr>
                <w:spacing w:val="6"/>
              </w:rPr>
              <w:t>水环境</w:t>
            </w:r>
          </w:p>
        </w:tc>
        <w:tc>
          <w:tcPr>
            <w:tcW w:w="706" w:type="dxa"/>
            <w:vAlign w:val="top"/>
          </w:tcPr>
          <w:p w14:paraId="0699F661">
            <w:pPr>
              <w:spacing w:line="342" w:lineRule="auto"/>
              <w:rPr>
                <w:rFonts w:ascii="Arial"/>
                <w:sz w:val="21"/>
              </w:rPr>
            </w:pPr>
          </w:p>
          <w:p w14:paraId="3289F852">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5521AFD5">
            <w:pPr>
              <w:spacing w:line="299" w:lineRule="auto"/>
              <w:rPr>
                <w:rFonts w:ascii="Arial"/>
                <w:sz w:val="21"/>
              </w:rPr>
            </w:pPr>
          </w:p>
          <w:p w14:paraId="2F1A3AE2">
            <w:pPr>
              <w:pStyle w:val="6"/>
              <w:spacing w:before="65" w:line="231" w:lineRule="auto"/>
              <w:ind w:left="254"/>
            </w:pPr>
            <w:r>
              <w:t>长</w:t>
            </w:r>
          </w:p>
        </w:tc>
        <w:tc>
          <w:tcPr>
            <w:tcW w:w="1267" w:type="dxa"/>
            <w:vAlign w:val="top"/>
          </w:tcPr>
          <w:p w14:paraId="5CD39F68">
            <w:pPr>
              <w:spacing w:line="299" w:lineRule="auto"/>
              <w:rPr>
                <w:rFonts w:ascii="Arial"/>
                <w:sz w:val="21"/>
              </w:rPr>
            </w:pPr>
          </w:p>
          <w:p w14:paraId="647321A6">
            <w:pPr>
              <w:pStyle w:val="6"/>
              <w:spacing w:before="65" w:line="230" w:lineRule="auto"/>
              <w:ind w:left="539"/>
            </w:pPr>
            <w:r>
              <w:t>小</w:t>
            </w:r>
          </w:p>
        </w:tc>
        <w:tc>
          <w:tcPr>
            <w:tcW w:w="1712" w:type="dxa"/>
            <w:vAlign w:val="top"/>
          </w:tcPr>
          <w:p w14:paraId="29619024">
            <w:pPr>
              <w:spacing w:line="299" w:lineRule="auto"/>
              <w:rPr>
                <w:rFonts w:ascii="Arial"/>
                <w:sz w:val="21"/>
              </w:rPr>
            </w:pPr>
          </w:p>
          <w:p w14:paraId="162A885D">
            <w:pPr>
              <w:pStyle w:val="6"/>
              <w:spacing w:before="65" w:line="228" w:lineRule="auto"/>
              <w:ind w:left="442"/>
            </w:pPr>
            <w:r>
              <w:rPr>
                <w:spacing w:val="6"/>
              </w:rPr>
              <w:t>生活污水</w:t>
            </w:r>
          </w:p>
        </w:tc>
        <w:tc>
          <w:tcPr>
            <w:tcW w:w="2174" w:type="dxa"/>
            <w:vAlign w:val="top"/>
          </w:tcPr>
          <w:p w14:paraId="4E56672F">
            <w:pPr>
              <w:pStyle w:val="6"/>
              <w:spacing w:before="53" w:line="228" w:lineRule="auto"/>
              <w:ind w:left="149"/>
            </w:pPr>
            <w:r>
              <w:rPr>
                <w:spacing w:val="8"/>
              </w:rPr>
              <w:t>经一体化污水处理装</w:t>
            </w:r>
          </w:p>
          <w:p w14:paraId="225BC755">
            <w:pPr>
              <w:pStyle w:val="6"/>
              <w:spacing w:before="65" w:line="228" w:lineRule="auto"/>
              <w:ind w:left="145"/>
            </w:pPr>
            <w:r>
              <w:rPr>
                <w:spacing w:val="9"/>
              </w:rPr>
              <w:t>置处理后用于厂区绿</w:t>
            </w:r>
          </w:p>
          <w:p w14:paraId="48CBEB96">
            <w:pPr>
              <w:pStyle w:val="6"/>
              <w:spacing w:before="64" w:line="229" w:lineRule="auto"/>
              <w:ind w:left="988"/>
            </w:pPr>
            <w:r>
              <w:t>化</w:t>
            </w:r>
          </w:p>
        </w:tc>
      </w:tr>
      <w:tr w14:paraId="7BB36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10" w:type="dxa"/>
            <w:vMerge w:val="continue"/>
            <w:tcBorders>
              <w:top w:val="nil"/>
              <w:bottom w:val="nil"/>
            </w:tcBorders>
            <w:vAlign w:val="top"/>
          </w:tcPr>
          <w:p w14:paraId="47A47FB7">
            <w:pPr>
              <w:rPr>
                <w:rFonts w:ascii="Arial"/>
                <w:sz w:val="21"/>
              </w:rPr>
            </w:pPr>
          </w:p>
        </w:tc>
        <w:tc>
          <w:tcPr>
            <w:tcW w:w="1134" w:type="dxa"/>
            <w:vAlign w:val="top"/>
          </w:tcPr>
          <w:p w14:paraId="24FA8DBE">
            <w:pPr>
              <w:pStyle w:val="6"/>
              <w:spacing w:before="69" w:line="228" w:lineRule="auto"/>
              <w:ind w:left="149"/>
            </w:pPr>
            <w:r>
              <w:rPr>
                <w:spacing w:val="7"/>
              </w:rPr>
              <w:t>环境噪声</w:t>
            </w:r>
          </w:p>
        </w:tc>
        <w:tc>
          <w:tcPr>
            <w:tcW w:w="706" w:type="dxa"/>
            <w:vAlign w:val="top"/>
          </w:tcPr>
          <w:p w14:paraId="2C3AF874">
            <w:pPr>
              <w:spacing w:before="105"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79A784C2">
            <w:pPr>
              <w:pStyle w:val="6"/>
              <w:spacing w:before="69" w:line="231" w:lineRule="auto"/>
              <w:ind w:left="254"/>
            </w:pPr>
            <w:r>
              <w:t>长</w:t>
            </w:r>
          </w:p>
        </w:tc>
        <w:tc>
          <w:tcPr>
            <w:tcW w:w="1267" w:type="dxa"/>
            <w:vAlign w:val="top"/>
          </w:tcPr>
          <w:p w14:paraId="21736232">
            <w:pPr>
              <w:pStyle w:val="6"/>
              <w:spacing w:before="69" w:line="230" w:lineRule="auto"/>
              <w:ind w:left="539"/>
            </w:pPr>
            <w:r>
              <w:t>小</w:t>
            </w:r>
          </w:p>
        </w:tc>
        <w:tc>
          <w:tcPr>
            <w:tcW w:w="1712" w:type="dxa"/>
            <w:vAlign w:val="top"/>
          </w:tcPr>
          <w:p w14:paraId="24FFFBC8">
            <w:pPr>
              <w:pStyle w:val="6"/>
              <w:spacing w:before="69" w:line="228" w:lineRule="auto"/>
              <w:ind w:left="444"/>
            </w:pPr>
            <w:r>
              <w:rPr>
                <w:spacing w:val="6"/>
              </w:rPr>
              <w:t>设备噪声</w:t>
            </w:r>
          </w:p>
        </w:tc>
        <w:tc>
          <w:tcPr>
            <w:tcW w:w="2174" w:type="dxa"/>
            <w:vAlign w:val="top"/>
          </w:tcPr>
          <w:p w14:paraId="4F06303C">
            <w:pPr>
              <w:pStyle w:val="6"/>
              <w:spacing w:before="69" w:line="227" w:lineRule="auto"/>
              <w:ind w:left="356"/>
            </w:pPr>
            <w:r>
              <w:rPr>
                <w:spacing w:val="8"/>
              </w:rPr>
              <w:t>合理布局、降噪</w:t>
            </w:r>
          </w:p>
        </w:tc>
      </w:tr>
      <w:tr w14:paraId="41572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10" w:type="dxa"/>
            <w:vMerge w:val="continue"/>
            <w:tcBorders>
              <w:top w:val="nil"/>
              <w:bottom w:val="nil"/>
            </w:tcBorders>
            <w:vAlign w:val="top"/>
          </w:tcPr>
          <w:p w14:paraId="7B5B0F1C">
            <w:pPr>
              <w:rPr>
                <w:rFonts w:ascii="Arial"/>
                <w:sz w:val="21"/>
              </w:rPr>
            </w:pPr>
          </w:p>
        </w:tc>
        <w:tc>
          <w:tcPr>
            <w:tcW w:w="1134" w:type="dxa"/>
            <w:vAlign w:val="top"/>
          </w:tcPr>
          <w:p w14:paraId="79087C15">
            <w:pPr>
              <w:pStyle w:val="6"/>
              <w:spacing w:before="212" w:line="228" w:lineRule="auto"/>
              <w:ind w:left="167"/>
            </w:pPr>
            <w:r>
              <w:rPr>
                <w:spacing w:val="2"/>
              </w:rPr>
              <w:t>固体废物</w:t>
            </w:r>
          </w:p>
        </w:tc>
        <w:tc>
          <w:tcPr>
            <w:tcW w:w="706" w:type="dxa"/>
            <w:vAlign w:val="top"/>
          </w:tcPr>
          <w:p w14:paraId="7A48CE2A">
            <w:pPr>
              <w:spacing w:before="24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7C597A51">
            <w:pPr>
              <w:pStyle w:val="6"/>
              <w:spacing w:before="212" w:line="231" w:lineRule="auto"/>
              <w:ind w:left="254"/>
            </w:pPr>
            <w:r>
              <w:t>长</w:t>
            </w:r>
          </w:p>
        </w:tc>
        <w:tc>
          <w:tcPr>
            <w:tcW w:w="1267" w:type="dxa"/>
            <w:vAlign w:val="top"/>
          </w:tcPr>
          <w:p w14:paraId="7B1B8B62">
            <w:pPr>
              <w:pStyle w:val="6"/>
              <w:spacing w:before="212" w:line="230" w:lineRule="auto"/>
              <w:ind w:left="539"/>
            </w:pPr>
            <w:r>
              <w:t>小</w:t>
            </w:r>
          </w:p>
        </w:tc>
        <w:tc>
          <w:tcPr>
            <w:tcW w:w="1712" w:type="dxa"/>
            <w:vAlign w:val="top"/>
          </w:tcPr>
          <w:p w14:paraId="5F15E005">
            <w:pPr>
              <w:pStyle w:val="6"/>
              <w:spacing w:before="56" w:line="259" w:lineRule="auto"/>
              <w:ind w:left="653" w:right="119" w:hanging="525"/>
            </w:pPr>
            <w:r>
              <w:rPr>
                <w:spacing w:val="8"/>
              </w:rPr>
              <w:t>生产固废、生活</w:t>
            </w:r>
            <w:r>
              <w:rPr>
                <w:spacing w:val="2"/>
              </w:rPr>
              <w:t xml:space="preserve"> </w:t>
            </w:r>
            <w:r>
              <w:rPr>
                <w:spacing w:val="3"/>
              </w:rPr>
              <w:t>垃圾</w:t>
            </w:r>
          </w:p>
        </w:tc>
        <w:tc>
          <w:tcPr>
            <w:tcW w:w="2174" w:type="dxa"/>
            <w:vAlign w:val="top"/>
          </w:tcPr>
          <w:p w14:paraId="21731112">
            <w:pPr>
              <w:pStyle w:val="6"/>
              <w:spacing w:before="211" w:line="228" w:lineRule="auto"/>
              <w:ind w:left="464"/>
            </w:pPr>
            <w:r>
              <w:rPr>
                <w:spacing w:val="7"/>
              </w:rPr>
              <w:t>分类处理处置</w:t>
            </w:r>
          </w:p>
        </w:tc>
      </w:tr>
      <w:tr w14:paraId="3AB0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10" w:type="dxa"/>
            <w:vMerge w:val="continue"/>
            <w:tcBorders>
              <w:top w:val="nil"/>
            </w:tcBorders>
            <w:vAlign w:val="top"/>
          </w:tcPr>
          <w:p w14:paraId="64DF53F6">
            <w:pPr>
              <w:rPr>
                <w:rFonts w:ascii="Arial"/>
                <w:sz w:val="21"/>
              </w:rPr>
            </w:pPr>
          </w:p>
        </w:tc>
        <w:tc>
          <w:tcPr>
            <w:tcW w:w="1134" w:type="dxa"/>
            <w:vAlign w:val="top"/>
          </w:tcPr>
          <w:p w14:paraId="3583536B">
            <w:pPr>
              <w:pStyle w:val="6"/>
              <w:spacing w:before="71" w:line="228" w:lineRule="auto"/>
              <w:ind w:left="150"/>
            </w:pPr>
            <w:r>
              <w:rPr>
                <w:spacing w:val="7"/>
              </w:rPr>
              <w:t>土壤环境</w:t>
            </w:r>
          </w:p>
        </w:tc>
        <w:tc>
          <w:tcPr>
            <w:tcW w:w="706" w:type="dxa"/>
            <w:vAlign w:val="top"/>
          </w:tcPr>
          <w:p w14:paraId="556E3CDF">
            <w:pPr>
              <w:spacing w:before="10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p>
        </w:tc>
        <w:tc>
          <w:tcPr>
            <w:tcW w:w="706" w:type="dxa"/>
            <w:vAlign w:val="top"/>
          </w:tcPr>
          <w:p w14:paraId="30DACB1A">
            <w:pPr>
              <w:pStyle w:val="6"/>
              <w:spacing w:before="71" w:line="231" w:lineRule="auto"/>
              <w:ind w:left="254"/>
            </w:pPr>
            <w:r>
              <w:t>长</w:t>
            </w:r>
          </w:p>
        </w:tc>
        <w:tc>
          <w:tcPr>
            <w:tcW w:w="1267" w:type="dxa"/>
            <w:vAlign w:val="top"/>
          </w:tcPr>
          <w:p w14:paraId="3C547AC9">
            <w:pPr>
              <w:pStyle w:val="6"/>
              <w:spacing w:before="71" w:line="228" w:lineRule="auto"/>
              <w:ind w:left="536"/>
            </w:pPr>
            <w:r>
              <w:t>大</w:t>
            </w:r>
          </w:p>
        </w:tc>
        <w:tc>
          <w:tcPr>
            <w:tcW w:w="1712" w:type="dxa"/>
            <w:vAlign w:val="top"/>
          </w:tcPr>
          <w:p w14:paraId="1AD22208">
            <w:pPr>
              <w:pStyle w:val="6"/>
              <w:spacing w:before="70" w:line="228" w:lineRule="auto"/>
              <w:ind w:left="234"/>
            </w:pPr>
            <w:r>
              <w:rPr>
                <w:spacing w:val="7"/>
              </w:rPr>
              <w:t>水污染物渗漏</w:t>
            </w:r>
          </w:p>
        </w:tc>
        <w:tc>
          <w:tcPr>
            <w:tcW w:w="2174" w:type="dxa"/>
            <w:vAlign w:val="top"/>
          </w:tcPr>
          <w:p w14:paraId="73695D5E">
            <w:pPr>
              <w:pStyle w:val="6"/>
              <w:spacing w:before="71" w:line="228" w:lineRule="auto"/>
              <w:ind w:left="686"/>
            </w:pPr>
            <w:r>
              <w:rPr>
                <w:spacing w:val="4"/>
              </w:rPr>
              <w:t>防渗处置</w:t>
            </w:r>
          </w:p>
        </w:tc>
      </w:tr>
    </w:tbl>
    <w:p w14:paraId="7986C8B6">
      <w:pPr>
        <w:spacing w:before="114" w:line="360" w:lineRule="auto"/>
        <w:ind w:left="153" w:right="239" w:firstLine="477"/>
        <w:rPr>
          <w:rFonts w:ascii="宋体" w:hAnsi="宋体" w:eastAsia="宋体" w:cs="宋体"/>
          <w:sz w:val="24"/>
          <w:szCs w:val="24"/>
        </w:rPr>
      </w:pPr>
      <w:r>
        <w:rPr>
          <w:rFonts w:ascii="宋体" w:hAnsi="宋体" w:eastAsia="宋体" w:cs="宋体"/>
          <w:sz w:val="24"/>
          <w:szCs w:val="24"/>
        </w:rPr>
        <w:t>注：</w:t>
      </w:r>
      <w:r>
        <w:rPr>
          <w:rFonts w:ascii="Times New Roman" w:hAnsi="Times New Roman" w:eastAsia="Times New Roman" w:cs="Times New Roman"/>
          <w:sz w:val="24"/>
          <w:szCs w:val="24"/>
        </w:rPr>
        <w:t>1-</w:t>
      </w:r>
      <w:r>
        <w:rPr>
          <w:rFonts w:ascii="宋体" w:hAnsi="宋体" w:eastAsia="宋体" w:cs="宋体"/>
          <w:sz w:val="24"/>
          <w:szCs w:val="24"/>
        </w:rPr>
        <w:t>一般（轻微、不显著的）影响；</w:t>
      </w:r>
      <w:r>
        <w:rPr>
          <w:rFonts w:ascii="Times New Roman" w:hAnsi="Times New Roman" w:eastAsia="Times New Roman" w:cs="Times New Roman"/>
          <w:sz w:val="24"/>
          <w:szCs w:val="24"/>
        </w:rPr>
        <w:t>2-</w:t>
      </w:r>
      <w:r>
        <w:rPr>
          <w:rFonts w:ascii="宋体" w:hAnsi="宋体" w:eastAsia="宋体" w:cs="宋体"/>
          <w:sz w:val="24"/>
          <w:szCs w:val="24"/>
        </w:rPr>
        <w:t>中等影</w:t>
      </w:r>
      <w:r>
        <w:rPr>
          <w:rFonts w:ascii="宋体" w:hAnsi="宋体" w:eastAsia="宋体" w:cs="宋体"/>
          <w:spacing w:val="-1"/>
          <w:sz w:val="24"/>
          <w:szCs w:val="24"/>
        </w:rPr>
        <w:t>响；</w:t>
      </w:r>
      <w:r>
        <w:rPr>
          <w:rFonts w:ascii="Times New Roman" w:hAnsi="Times New Roman" w:eastAsia="Times New Roman" w:cs="Times New Roman"/>
          <w:spacing w:val="-1"/>
          <w:sz w:val="24"/>
          <w:szCs w:val="24"/>
        </w:rPr>
        <w:t>3-</w:t>
      </w:r>
      <w:r>
        <w:rPr>
          <w:rFonts w:ascii="宋体" w:hAnsi="宋体" w:eastAsia="宋体" w:cs="宋体"/>
          <w:spacing w:val="-1"/>
          <w:sz w:val="24"/>
          <w:szCs w:val="24"/>
        </w:rPr>
        <w:t>重（较大）影响；</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为正效应，</w:t>
      </w:r>
      <w:r>
        <w:rPr>
          <w:rFonts w:ascii="Times New Roman" w:hAnsi="Times New Roman" w:eastAsia="Times New Roman" w:cs="Times New Roman"/>
          <w:spacing w:val="-2"/>
          <w:sz w:val="24"/>
          <w:szCs w:val="24"/>
        </w:rPr>
        <w:t>-</w:t>
      </w:r>
      <w:r>
        <w:rPr>
          <w:rFonts w:ascii="宋体" w:hAnsi="宋体" w:eastAsia="宋体" w:cs="宋体"/>
          <w:spacing w:val="-2"/>
          <w:sz w:val="24"/>
          <w:szCs w:val="24"/>
        </w:rPr>
        <w:t>为负效应。</w:t>
      </w:r>
    </w:p>
    <w:p w14:paraId="67DA6AF2">
      <w:pPr>
        <w:spacing w:line="360" w:lineRule="auto"/>
        <w:ind w:left="151" w:right="252" w:firstLine="508"/>
        <w:jc w:val="both"/>
        <w:rPr>
          <w:rFonts w:ascii="宋体" w:hAnsi="宋体" w:eastAsia="宋体" w:cs="宋体"/>
          <w:sz w:val="24"/>
          <w:szCs w:val="24"/>
        </w:rPr>
      </w:pPr>
      <w:r>
        <w:rPr>
          <w:rFonts w:ascii="宋体" w:hAnsi="宋体" w:eastAsia="宋体" w:cs="宋体"/>
          <w:spacing w:val="-1"/>
          <w:sz w:val="24"/>
          <w:szCs w:val="24"/>
        </w:rPr>
        <w:t>由上表可知：项目建设对环境的影响是多方面的，施工</w:t>
      </w:r>
      <w:r>
        <w:rPr>
          <w:rFonts w:ascii="宋体" w:hAnsi="宋体" w:eastAsia="宋体" w:cs="宋体"/>
          <w:spacing w:val="-2"/>
          <w:sz w:val="24"/>
          <w:szCs w:val="24"/>
        </w:rPr>
        <w:t>期主要表现在对环</w:t>
      </w:r>
      <w:r>
        <w:rPr>
          <w:rFonts w:ascii="宋体" w:hAnsi="宋体" w:eastAsia="宋体" w:cs="宋体"/>
          <w:sz w:val="24"/>
          <w:szCs w:val="24"/>
        </w:rPr>
        <w:t xml:space="preserve"> 境空气和声环境产生一定程度的负面影响；运营期</w:t>
      </w:r>
      <w:r>
        <w:rPr>
          <w:rFonts w:ascii="宋体" w:hAnsi="宋体" w:eastAsia="宋体" w:cs="宋体"/>
          <w:spacing w:val="-1"/>
          <w:sz w:val="24"/>
          <w:szCs w:val="24"/>
        </w:rPr>
        <w:t>对环境的影响是长期的，在</w:t>
      </w:r>
      <w:r>
        <w:rPr>
          <w:rFonts w:ascii="宋体" w:hAnsi="宋体" w:eastAsia="宋体" w:cs="宋体"/>
          <w:sz w:val="24"/>
          <w:szCs w:val="24"/>
        </w:rPr>
        <w:t xml:space="preserve"> </w:t>
      </w:r>
      <w:r>
        <w:rPr>
          <w:rFonts w:ascii="宋体" w:hAnsi="宋体" w:eastAsia="宋体" w:cs="宋体"/>
          <w:spacing w:val="-1"/>
          <w:sz w:val="24"/>
          <w:szCs w:val="24"/>
        </w:rPr>
        <w:t>生产过程中，可能对环境地下水、土壤等产生不同程度的负面影响。</w:t>
      </w:r>
    </w:p>
    <w:p w14:paraId="7760A1EA">
      <w:pPr>
        <w:spacing w:before="1" w:line="217" w:lineRule="auto"/>
        <w:ind w:left="627"/>
        <w:outlineLvl w:val="2"/>
        <w:rPr>
          <w:rFonts w:ascii="宋体" w:hAnsi="宋体" w:eastAsia="宋体" w:cs="宋体"/>
          <w:sz w:val="24"/>
          <w:szCs w:val="24"/>
        </w:rPr>
      </w:pPr>
      <w:bookmarkStart w:id="19" w:name="bookmark18"/>
      <w:bookmarkEnd w:id="19"/>
      <w:r>
        <w:rPr>
          <w:rFonts w:ascii="Times New Roman" w:hAnsi="Times New Roman" w:eastAsia="Times New Roman" w:cs="Times New Roman"/>
          <w:b/>
          <w:bCs/>
          <w:spacing w:val="-2"/>
          <w:sz w:val="24"/>
          <w:szCs w:val="24"/>
        </w:rPr>
        <w:t xml:space="preserve">2.2.2 </w:t>
      </w:r>
      <w:r>
        <w:rPr>
          <w:rFonts w:ascii="宋体" w:hAnsi="宋体" w:eastAsia="宋体" w:cs="宋体"/>
          <w:b/>
          <w:bCs/>
          <w:spacing w:val="-2"/>
          <w:sz w:val="24"/>
          <w:szCs w:val="24"/>
        </w:rPr>
        <w:t>评价因子筛选</w:t>
      </w:r>
    </w:p>
    <w:p w14:paraId="0094BA1C">
      <w:pPr>
        <w:spacing w:before="184" w:line="336" w:lineRule="auto"/>
        <w:ind w:left="150" w:right="252" w:firstLine="480"/>
        <w:rPr>
          <w:rFonts w:ascii="宋体" w:hAnsi="宋体" w:eastAsia="宋体" w:cs="宋体"/>
          <w:sz w:val="24"/>
          <w:szCs w:val="24"/>
        </w:rPr>
      </w:pPr>
      <w:r>
        <w:rPr>
          <w:rFonts w:ascii="宋体" w:hAnsi="宋体" w:eastAsia="宋体" w:cs="宋体"/>
          <w:sz w:val="24"/>
          <w:szCs w:val="24"/>
        </w:rPr>
        <w:t>根据项目环境影响因素识别结果、项目所处区域</w:t>
      </w:r>
      <w:r>
        <w:rPr>
          <w:rFonts w:ascii="宋体" w:hAnsi="宋体" w:eastAsia="宋体" w:cs="宋体"/>
          <w:spacing w:val="-1"/>
          <w:sz w:val="24"/>
          <w:szCs w:val="24"/>
        </w:rPr>
        <w:t>的环境特征，以及国家和</w:t>
      </w:r>
      <w:r>
        <w:rPr>
          <w:rFonts w:ascii="宋体" w:hAnsi="宋体" w:eastAsia="宋体" w:cs="宋体"/>
          <w:sz w:val="24"/>
          <w:szCs w:val="24"/>
        </w:rPr>
        <w:t xml:space="preserve"> </w:t>
      </w:r>
      <w:r>
        <w:rPr>
          <w:rFonts w:ascii="宋体" w:hAnsi="宋体" w:eastAsia="宋体" w:cs="宋体"/>
          <w:spacing w:val="-1"/>
          <w:sz w:val="24"/>
          <w:szCs w:val="24"/>
        </w:rPr>
        <w:t>地方有关环保标准、规定所列控制指标，筛选出的评价因子见表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2.2-2</w:t>
      </w:r>
      <w:r>
        <w:rPr>
          <w:rFonts w:ascii="宋体" w:hAnsi="宋体" w:eastAsia="宋体" w:cs="宋体"/>
          <w:spacing w:val="-1"/>
          <w:sz w:val="24"/>
          <w:szCs w:val="24"/>
        </w:rPr>
        <w:t>。</w:t>
      </w:r>
    </w:p>
    <w:p w14:paraId="54045178">
      <w:pPr>
        <w:spacing w:line="226" w:lineRule="auto"/>
        <w:ind w:left="2932"/>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43"/>
          <w:sz w:val="20"/>
          <w:szCs w:val="20"/>
        </w:rPr>
        <w:t xml:space="preserve"> </w:t>
      </w:r>
      <w:r>
        <w:rPr>
          <w:rFonts w:ascii="Times New Roman" w:hAnsi="Times New Roman" w:eastAsia="Times New Roman" w:cs="Times New Roman"/>
          <w:spacing w:val="5"/>
          <w:sz w:val="20"/>
          <w:szCs w:val="20"/>
        </w:rPr>
        <w:t xml:space="preserve">2.2-2        </w:t>
      </w:r>
      <w:r>
        <w:rPr>
          <w:rFonts w:ascii="宋体" w:hAnsi="宋体" w:eastAsia="宋体" w:cs="宋体"/>
          <w:spacing w:val="5"/>
          <w:sz w:val="20"/>
          <w:szCs w:val="20"/>
        </w:rPr>
        <w:t>评价因子一览表</w:t>
      </w:r>
    </w:p>
    <w:p w14:paraId="30A3230E">
      <w:pPr>
        <w:spacing w:line="15"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4"/>
        <w:gridCol w:w="1079"/>
        <w:gridCol w:w="6323"/>
      </w:tblGrid>
      <w:tr w14:paraId="586F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203" w:type="dxa"/>
            <w:gridSpan w:val="2"/>
            <w:vAlign w:val="top"/>
          </w:tcPr>
          <w:p w14:paraId="5D8F723B">
            <w:pPr>
              <w:pStyle w:val="6"/>
              <w:spacing w:before="69" w:line="228" w:lineRule="auto"/>
              <w:ind w:left="686"/>
            </w:pPr>
            <w:r>
              <w:rPr>
                <w:spacing w:val="7"/>
              </w:rPr>
              <w:t>环境要素</w:t>
            </w:r>
          </w:p>
        </w:tc>
        <w:tc>
          <w:tcPr>
            <w:tcW w:w="6323" w:type="dxa"/>
            <w:vAlign w:val="top"/>
          </w:tcPr>
          <w:p w14:paraId="6C9EDDA1">
            <w:pPr>
              <w:pStyle w:val="6"/>
              <w:spacing w:before="70" w:line="226" w:lineRule="auto"/>
              <w:ind w:left="2745"/>
            </w:pPr>
            <w:r>
              <w:rPr>
                <w:spacing w:val="7"/>
              </w:rPr>
              <w:t>评价因子</w:t>
            </w:r>
          </w:p>
        </w:tc>
      </w:tr>
      <w:tr w14:paraId="2D85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restart"/>
            <w:tcBorders>
              <w:bottom w:val="nil"/>
            </w:tcBorders>
            <w:vAlign w:val="top"/>
          </w:tcPr>
          <w:p w14:paraId="1EB1BCA7">
            <w:pPr>
              <w:pStyle w:val="6"/>
              <w:spacing w:before="242" w:line="228" w:lineRule="auto"/>
              <w:ind w:left="146"/>
            </w:pPr>
            <w:r>
              <w:rPr>
                <w:spacing w:val="7"/>
              </w:rPr>
              <w:t>环境空气</w:t>
            </w:r>
          </w:p>
        </w:tc>
        <w:tc>
          <w:tcPr>
            <w:tcW w:w="1079" w:type="dxa"/>
            <w:vAlign w:val="top"/>
          </w:tcPr>
          <w:p w14:paraId="196278F9">
            <w:pPr>
              <w:pStyle w:val="6"/>
              <w:spacing w:before="66" w:line="226" w:lineRule="auto"/>
              <w:ind w:left="126"/>
            </w:pPr>
            <w:r>
              <w:rPr>
                <w:spacing w:val="6"/>
              </w:rPr>
              <w:t>现状评价</w:t>
            </w:r>
          </w:p>
        </w:tc>
        <w:tc>
          <w:tcPr>
            <w:tcW w:w="6323" w:type="dxa"/>
            <w:vAlign w:val="top"/>
          </w:tcPr>
          <w:p w14:paraId="2BCF04DF">
            <w:pPr>
              <w:pStyle w:val="6"/>
              <w:spacing w:before="103" w:line="192" w:lineRule="auto"/>
              <w:ind w:left="1284"/>
              <w:rPr>
                <w:rFonts w:ascii="Times New Roman" w:hAnsi="Times New Roman" w:eastAsia="Times New Roman" w:cs="Times New Roman"/>
              </w:rPr>
            </w:pPr>
            <w:r>
              <w:rPr>
                <w:rFonts w:ascii="Times New Roman" w:hAnsi="Times New Roman" w:eastAsia="Times New Roman" w:cs="Times New Roman"/>
              </w:rPr>
              <w:t>PM</w:t>
            </w:r>
            <w:r>
              <w:rPr>
                <w:rFonts w:ascii="Times New Roman" w:hAnsi="Times New Roman" w:eastAsia="Times New Roman" w:cs="Times New Roman"/>
                <w:spacing w:val="2"/>
                <w:position w:val="-1"/>
                <w:sz w:val="13"/>
                <w:szCs w:val="13"/>
              </w:rPr>
              <w:t>10</w:t>
            </w:r>
            <w:r>
              <w:rPr>
                <w:rFonts w:ascii="Times New Roman" w:hAnsi="Times New Roman" w:eastAsia="Times New Roman" w:cs="Times New Roman"/>
                <w:spacing w:val="-6"/>
                <w:position w:val="-1"/>
                <w:sz w:val="13"/>
                <w:szCs w:val="13"/>
              </w:rPr>
              <w:t xml:space="preserve"> </w:t>
            </w:r>
            <w:r>
              <w:rPr>
                <w:spacing w:val="2"/>
              </w:rPr>
              <w:t>、</w:t>
            </w:r>
            <w:r>
              <w:rPr>
                <w:rFonts w:ascii="Times New Roman" w:hAnsi="Times New Roman" w:eastAsia="Times New Roman" w:cs="Times New Roman"/>
              </w:rPr>
              <w:t>PM</w:t>
            </w:r>
            <w:r>
              <w:rPr>
                <w:rFonts w:ascii="Times New Roman" w:hAnsi="Times New Roman" w:eastAsia="Times New Roman" w:cs="Times New Roman"/>
                <w:spacing w:val="2"/>
                <w:position w:val="-1"/>
                <w:sz w:val="13"/>
                <w:szCs w:val="13"/>
              </w:rPr>
              <w:t>2.5</w:t>
            </w:r>
            <w:r>
              <w:rPr>
                <w:rFonts w:ascii="Times New Roman" w:hAnsi="Times New Roman" w:eastAsia="Times New Roman" w:cs="Times New Roman"/>
                <w:spacing w:val="-9"/>
                <w:position w:val="-1"/>
                <w:sz w:val="13"/>
                <w:szCs w:val="13"/>
              </w:rPr>
              <w:t xml:space="preserve"> </w:t>
            </w:r>
            <w:r>
              <w:rPr>
                <w:spacing w:val="2"/>
              </w:rPr>
              <w:t>、</w:t>
            </w:r>
            <w:r>
              <w:rPr>
                <w:rFonts w:ascii="Times New Roman" w:hAnsi="Times New Roman" w:eastAsia="Times New Roman" w:cs="Times New Roman"/>
              </w:rPr>
              <w:t>SO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11"/>
                <w:position w:val="-1"/>
                <w:sz w:val="13"/>
                <w:szCs w:val="13"/>
              </w:rPr>
              <w:t xml:space="preserve"> </w:t>
            </w:r>
            <w:r>
              <w:rPr>
                <w:spacing w:val="2"/>
              </w:rPr>
              <w:t>、</w:t>
            </w:r>
            <w:r>
              <w:rPr>
                <w:rFonts w:ascii="Times New Roman" w:hAnsi="Times New Roman" w:eastAsia="Times New Roman" w:cs="Times New Roman"/>
              </w:rPr>
              <w:t>NO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11"/>
                <w:position w:val="-1"/>
                <w:sz w:val="13"/>
                <w:szCs w:val="13"/>
              </w:rPr>
              <w:t xml:space="preserve"> </w:t>
            </w:r>
            <w:r>
              <w:rPr>
                <w:spacing w:val="2"/>
              </w:rPr>
              <w:t>、</w:t>
            </w:r>
            <w:r>
              <w:rPr>
                <w:rFonts w:ascii="Times New Roman" w:hAnsi="Times New Roman" w:eastAsia="Times New Roman" w:cs="Times New Roman"/>
              </w:rPr>
              <w:t>CO</w:t>
            </w:r>
            <w:r>
              <w:rPr>
                <w:rFonts w:ascii="Times New Roman" w:hAnsi="Times New Roman" w:eastAsia="Times New Roman" w:cs="Times New Roman"/>
                <w:spacing w:val="-27"/>
              </w:rPr>
              <w:t xml:space="preserve"> </w:t>
            </w:r>
            <w:r>
              <w:rPr>
                <w:spacing w:val="2"/>
              </w:rPr>
              <w:t>、</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8"/>
                <w:position w:val="-1"/>
                <w:sz w:val="13"/>
                <w:szCs w:val="13"/>
              </w:rPr>
              <w:t xml:space="preserve"> </w:t>
            </w:r>
            <w:r>
              <w:rPr>
                <w:spacing w:val="2"/>
              </w:rPr>
              <w:t>、</w:t>
            </w:r>
            <w:r>
              <w:rPr>
                <w:rFonts w:ascii="Times New Roman" w:hAnsi="Times New Roman" w:eastAsia="Times New Roman" w:cs="Times New Roman"/>
              </w:rPr>
              <w:t>TSP</w:t>
            </w:r>
          </w:p>
        </w:tc>
      </w:tr>
      <w:tr w14:paraId="3FC86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Merge w:val="continue"/>
            <w:tcBorders>
              <w:top w:val="nil"/>
            </w:tcBorders>
            <w:vAlign w:val="top"/>
          </w:tcPr>
          <w:p w14:paraId="2B86DBF2">
            <w:pPr>
              <w:rPr>
                <w:rFonts w:ascii="Arial"/>
                <w:sz w:val="21"/>
              </w:rPr>
            </w:pPr>
          </w:p>
        </w:tc>
        <w:tc>
          <w:tcPr>
            <w:tcW w:w="1079" w:type="dxa"/>
            <w:vAlign w:val="top"/>
          </w:tcPr>
          <w:p w14:paraId="3B6ABCE9">
            <w:pPr>
              <w:pStyle w:val="6"/>
              <w:spacing w:before="68" w:line="228" w:lineRule="auto"/>
              <w:ind w:left="124"/>
            </w:pPr>
            <w:r>
              <w:rPr>
                <w:spacing w:val="7"/>
              </w:rPr>
              <w:t>影响分析</w:t>
            </w:r>
          </w:p>
        </w:tc>
        <w:tc>
          <w:tcPr>
            <w:tcW w:w="6323" w:type="dxa"/>
            <w:vAlign w:val="top"/>
          </w:tcPr>
          <w:p w14:paraId="6A351D56">
            <w:pPr>
              <w:pStyle w:val="6"/>
              <w:spacing w:before="104" w:line="192" w:lineRule="auto"/>
              <w:ind w:left="2655"/>
              <w:rPr>
                <w:rFonts w:ascii="Times New Roman" w:hAnsi="Times New Roman" w:eastAsia="Times New Roman" w:cs="Times New Roman"/>
              </w:rPr>
            </w:pP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10</w:t>
            </w:r>
            <w:r>
              <w:rPr>
                <w:rFonts w:ascii="Times New Roman" w:hAnsi="Times New Roman" w:eastAsia="Times New Roman" w:cs="Times New Roman"/>
                <w:spacing w:val="-10"/>
                <w:position w:val="-1"/>
                <w:sz w:val="13"/>
                <w:szCs w:val="13"/>
              </w:rPr>
              <w:t xml:space="preserve"> </w:t>
            </w:r>
            <w:r>
              <w:rPr>
                <w:spacing w:val="6"/>
              </w:rPr>
              <w:t>、</w:t>
            </w:r>
            <w:r>
              <w:rPr>
                <w:rFonts w:ascii="Times New Roman" w:hAnsi="Times New Roman" w:eastAsia="Times New Roman" w:cs="Times New Roman"/>
              </w:rPr>
              <w:t>TSP</w:t>
            </w:r>
          </w:p>
        </w:tc>
      </w:tr>
      <w:tr w14:paraId="1A76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7" w:hRule="atLeast"/>
        </w:trPr>
        <w:tc>
          <w:tcPr>
            <w:tcW w:w="1124" w:type="dxa"/>
            <w:vMerge w:val="restart"/>
            <w:tcBorders>
              <w:bottom w:val="nil"/>
            </w:tcBorders>
            <w:vAlign w:val="top"/>
          </w:tcPr>
          <w:p w14:paraId="39DAC141">
            <w:pPr>
              <w:spacing w:line="267" w:lineRule="auto"/>
              <w:rPr>
                <w:rFonts w:ascii="Arial"/>
                <w:sz w:val="21"/>
              </w:rPr>
            </w:pPr>
          </w:p>
          <w:p w14:paraId="509ADFC3">
            <w:pPr>
              <w:spacing w:line="268" w:lineRule="auto"/>
              <w:rPr>
                <w:rFonts w:ascii="Arial"/>
                <w:sz w:val="21"/>
              </w:rPr>
            </w:pPr>
          </w:p>
          <w:p w14:paraId="192D3E06">
            <w:pPr>
              <w:spacing w:line="268" w:lineRule="auto"/>
              <w:rPr>
                <w:rFonts w:ascii="Arial"/>
                <w:sz w:val="21"/>
              </w:rPr>
            </w:pPr>
          </w:p>
          <w:p w14:paraId="5AD420C0">
            <w:pPr>
              <w:spacing w:line="268" w:lineRule="auto"/>
              <w:rPr>
                <w:rFonts w:ascii="Arial"/>
                <w:sz w:val="21"/>
              </w:rPr>
            </w:pPr>
          </w:p>
          <w:p w14:paraId="30D09E95">
            <w:pPr>
              <w:pStyle w:val="6"/>
              <w:spacing w:before="65" w:line="228" w:lineRule="auto"/>
              <w:ind w:left="252"/>
            </w:pPr>
            <w:r>
              <w:rPr>
                <w:spacing w:val="6"/>
              </w:rPr>
              <w:t>地下水</w:t>
            </w:r>
          </w:p>
        </w:tc>
        <w:tc>
          <w:tcPr>
            <w:tcW w:w="1079" w:type="dxa"/>
            <w:vAlign w:val="top"/>
          </w:tcPr>
          <w:p w14:paraId="44E59434">
            <w:pPr>
              <w:spacing w:line="299" w:lineRule="auto"/>
              <w:rPr>
                <w:rFonts w:ascii="Arial"/>
                <w:sz w:val="21"/>
              </w:rPr>
            </w:pPr>
          </w:p>
          <w:p w14:paraId="79E8DB4D">
            <w:pPr>
              <w:spacing w:line="299" w:lineRule="auto"/>
              <w:rPr>
                <w:rFonts w:ascii="Arial"/>
                <w:sz w:val="21"/>
              </w:rPr>
            </w:pPr>
          </w:p>
          <w:p w14:paraId="3950245E">
            <w:pPr>
              <w:spacing w:line="300" w:lineRule="auto"/>
              <w:rPr>
                <w:rFonts w:ascii="Arial"/>
                <w:sz w:val="21"/>
              </w:rPr>
            </w:pPr>
          </w:p>
          <w:p w14:paraId="56379A25">
            <w:pPr>
              <w:pStyle w:val="6"/>
              <w:spacing w:before="65" w:line="226" w:lineRule="auto"/>
              <w:ind w:left="126"/>
            </w:pPr>
            <w:r>
              <w:rPr>
                <w:spacing w:val="6"/>
              </w:rPr>
              <w:t>现状评价</w:t>
            </w:r>
          </w:p>
        </w:tc>
        <w:tc>
          <w:tcPr>
            <w:tcW w:w="6323" w:type="dxa"/>
            <w:vAlign w:val="top"/>
          </w:tcPr>
          <w:p w14:paraId="7149D954">
            <w:pPr>
              <w:pStyle w:val="6"/>
              <w:spacing w:before="190" w:line="286" w:lineRule="auto"/>
              <w:ind w:left="108" w:right="72" w:firstLine="424"/>
              <w:jc w:val="both"/>
            </w:pPr>
            <w:r>
              <w:rPr>
                <w:spacing w:val="9"/>
              </w:rPr>
              <w:t xml:space="preserve">地下水水质： </w:t>
            </w:r>
            <w:r>
              <w:rPr>
                <w:rFonts w:ascii="Times New Roman" w:hAnsi="Times New Roman" w:eastAsia="Times New Roman" w:cs="Times New Roman"/>
              </w:rPr>
              <w:t>pH</w:t>
            </w:r>
            <w:r>
              <w:rPr>
                <w:rFonts w:ascii="Times New Roman" w:hAnsi="Times New Roman" w:eastAsia="Times New Roman" w:cs="Times New Roman"/>
                <w:spacing w:val="-27"/>
              </w:rPr>
              <w:t xml:space="preserve"> </w:t>
            </w:r>
            <w:r>
              <w:rPr>
                <w:spacing w:val="9"/>
              </w:rPr>
              <w:t>、总硬度、溶解性总固体、铁、锰、锌</w:t>
            </w:r>
            <w:r>
              <w:rPr>
                <w:spacing w:val="8"/>
              </w:rPr>
              <w:t>、挥</w:t>
            </w:r>
            <w:r>
              <w:t xml:space="preserve">  </w:t>
            </w:r>
            <w:r>
              <w:rPr>
                <w:spacing w:val="10"/>
              </w:rPr>
              <w:t>发酚、耗氧量、氨氮、总大肠菌群、细菌总数、亚硝</w:t>
            </w:r>
            <w:r>
              <w:rPr>
                <w:spacing w:val="9"/>
              </w:rPr>
              <w:t>酸盐氮、硝酸</w:t>
            </w:r>
            <w:r>
              <w:t xml:space="preserve"> </w:t>
            </w:r>
            <w:r>
              <w:rPr>
                <w:spacing w:val="6"/>
              </w:rPr>
              <w:t>盐氮、氟化物、汞、砷、镉、六价铬、铅、钠（</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 xml:space="preserve">+ </w:t>
            </w:r>
            <w:r>
              <w:rPr>
                <w:spacing w:val="6"/>
              </w:rPr>
              <w:t>）、</w:t>
            </w:r>
            <w:r>
              <w:rPr>
                <w:rFonts w:ascii="Times New Roman" w:hAnsi="Times New Roman" w:eastAsia="Times New Roman" w:cs="Times New Roman"/>
                <w:spacing w:val="6"/>
              </w:rPr>
              <w:t>K</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position w:val="6"/>
                <w:sz w:val="13"/>
                <w:szCs w:val="13"/>
              </w:rPr>
              <w:t xml:space="preserve"> </w:t>
            </w:r>
            <w:r>
              <w:rPr>
                <w:spacing w:val="6"/>
              </w:rPr>
              <w:t>、</w:t>
            </w: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spacing w:val="6"/>
              </w:rPr>
              <w:t>、</w:t>
            </w:r>
            <w:r>
              <w:t xml:space="preserve"> </w:t>
            </w:r>
            <w:r>
              <w:rPr>
                <w:rFonts w:ascii="Times New Roman" w:hAnsi="Times New Roman" w:eastAsia="Times New Roman" w:cs="Times New Roman"/>
              </w:rPr>
              <w:t>Mg</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1"/>
                <w:position w:val="6"/>
                <w:sz w:val="13"/>
                <w:szCs w:val="13"/>
              </w:rPr>
              <w:t xml:space="preserve"> </w:t>
            </w:r>
            <w:r>
              <w:rPr>
                <w:spacing w:val="7"/>
              </w:rPr>
              <w:t>、硫酸盐（</w:t>
            </w:r>
            <w:r>
              <w:rPr>
                <w:rFonts w:ascii="Times New Roman" w:hAnsi="Times New Roman" w:eastAsia="Times New Roman" w:cs="Times New Roman"/>
              </w:rPr>
              <w:t>SO</w:t>
            </w:r>
            <w:r>
              <w:rPr>
                <w:rFonts w:ascii="Times New Roman" w:hAnsi="Times New Roman" w:eastAsia="Times New Roman" w:cs="Times New Roman"/>
                <w:spacing w:val="7"/>
                <w:position w:val="-1"/>
                <w:sz w:val="13"/>
                <w:szCs w:val="13"/>
              </w:rPr>
              <w:t>4</w:t>
            </w:r>
            <w:r>
              <w:rPr>
                <w:rFonts w:ascii="Times New Roman" w:hAnsi="Times New Roman" w:eastAsia="Times New Roman" w:cs="Times New Roman"/>
                <w:spacing w:val="7"/>
                <w:sz w:val="13"/>
                <w:szCs w:val="13"/>
              </w:rPr>
              <w:t>2-</w:t>
            </w:r>
            <w:r>
              <w:rPr>
                <w:spacing w:val="7"/>
              </w:rPr>
              <w:t>）、氯化物（</w:t>
            </w:r>
            <w:r>
              <w:rPr>
                <w:rFonts w:ascii="Times New Roman" w:hAnsi="Times New Roman" w:eastAsia="Times New Roman" w:cs="Times New Roman"/>
              </w:rPr>
              <w:t>Cl</w:t>
            </w:r>
            <w:r>
              <w:rPr>
                <w:rFonts w:ascii="Times New Roman" w:hAnsi="Times New Roman" w:eastAsia="Times New Roman" w:cs="Times New Roman"/>
                <w:spacing w:val="7"/>
                <w:sz w:val="13"/>
                <w:szCs w:val="13"/>
              </w:rPr>
              <w:t>-</w:t>
            </w:r>
            <w:r>
              <w:rPr>
                <w:spacing w:val="7"/>
              </w:rPr>
              <w:t>）、</w:t>
            </w:r>
            <w:r>
              <w:rPr>
                <w:rFonts w:ascii="Times New Roman" w:hAnsi="Times New Roman" w:eastAsia="Times New Roman" w:cs="Times New Roman"/>
              </w:rPr>
              <w:t>CO</w:t>
            </w:r>
            <w:r>
              <w:rPr>
                <w:rFonts w:ascii="Times New Roman" w:hAnsi="Times New Roman" w:eastAsia="Times New Roman" w:cs="Times New Roman"/>
                <w:spacing w:val="7"/>
                <w:position w:val="-1"/>
                <w:sz w:val="13"/>
                <w:szCs w:val="13"/>
              </w:rPr>
              <w:t>3</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10"/>
                <w:position w:val="6"/>
                <w:sz w:val="13"/>
                <w:szCs w:val="13"/>
              </w:rPr>
              <w:t xml:space="preserve"> </w:t>
            </w:r>
            <w:r>
              <w:rPr>
                <w:spacing w:val="7"/>
              </w:rPr>
              <w:t>、</w:t>
            </w:r>
            <w:r>
              <w:rPr>
                <w:rFonts w:ascii="Times New Roman" w:hAnsi="Times New Roman" w:eastAsia="Times New Roman" w:cs="Times New Roman"/>
              </w:rPr>
              <w:t>HCO</w:t>
            </w:r>
            <w:r>
              <w:rPr>
                <w:rFonts w:ascii="Times New Roman" w:hAnsi="Times New Roman" w:eastAsia="Times New Roman" w:cs="Times New Roman"/>
                <w:spacing w:val="7"/>
                <w:position w:val="6"/>
                <w:sz w:val="13"/>
                <w:szCs w:val="13"/>
              </w:rPr>
              <w:t>-</w:t>
            </w:r>
            <w:r>
              <w:rPr>
                <w:spacing w:val="7"/>
              </w:rPr>
              <w:t>。</w:t>
            </w:r>
          </w:p>
          <w:p w14:paraId="414EC36F">
            <w:pPr>
              <w:pStyle w:val="6"/>
              <w:spacing w:before="6" w:line="221" w:lineRule="auto"/>
              <w:ind w:left="562"/>
            </w:pPr>
            <w:r>
              <w:rPr>
                <w:spacing w:val="8"/>
              </w:rPr>
              <w:t>包气带：</w:t>
            </w:r>
            <w:r>
              <w:rPr>
                <w:spacing w:val="37"/>
              </w:rPr>
              <w:t xml:space="preserve"> </w:t>
            </w:r>
            <w:r>
              <w:rPr>
                <w:rFonts w:ascii="Times New Roman" w:hAnsi="Times New Roman" w:eastAsia="Times New Roman" w:cs="Times New Roman"/>
              </w:rPr>
              <w:t>pH</w:t>
            </w:r>
            <w:r>
              <w:rPr>
                <w:rFonts w:ascii="Times New Roman" w:hAnsi="Times New Roman" w:eastAsia="Times New Roman" w:cs="Times New Roman"/>
                <w:spacing w:val="-29"/>
              </w:rPr>
              <w:t xml:space="preserve"> </w:t>
            </w:r>
            <w:r>
              <w:rPr>
                <w:spacing w:val="8"/>
              </w:rPr>
              <w:t>、锌、氨氮、硝酸盐氮、亚硝酸盐氮、氟化物、</w:t>
            </w:r>
          </w:p>
          <w:p w14:paraId="352293CF">
            <w:pPr>
              <w:pStyle w:val="6"/>
              <w:spacing w:before="72" w:line="226" w:lineRule="auto"/>
              <w:ind w:left="1905"/>
            </w:pPr>
            <w:r>
              <w:rPr>
                <w:spacing w:val="8"/>
              </w:rPr>
              <w:t>砷、汞、镉、六价铬、铅。</w:t>
            </w:r>
          </w:p>
        </w:tc>
      </w:tr>
      <w:tr w14:paraId="6CCBE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Merge w:val="continue"/>
            <w:tcBorders>
              <w:top w:val="nil"/>
            </w:tcBorders>
            <w:vAlign w:val="top"/>
          </w:tcPr>
          <w:p w14:paraId="72AE1928">
            <w:pPr>
              <w:rPr>
                <w:rFonts w:ascii="Arial"/>
                <w:sz w:val="21"/>
              </w:rPr>
            </w:pPr>
          </w:p>
        </w:tc>
        <w:tc>
          <w:tcPr>
            <w:tcW w:w="1079" w:type="dxa"/>
            <w:vAlign w:val="top"/>
          </w:tcPr>
          <w:p w14:paraId="3F50B578">
            <w:pPr>
              <w:pStyle w:val="6"/>
              <w:spacing w:before="69" w:line="228" w:lineRule="auto"/>
              <w:ind w:left="124"/>
            </w:pPr>
            <w:r>
              <w:rPr>
                <w:spacing w:val="7"/>
              </w:rPr>
              <w:t>影响分析</w:t>
            </w:r>
          </w:p>
        </w:tc>
        <w:tc>
          <w:tcPr>
            <w:tcW w:w="6323" w:type="dxa"/>
            <w:vAlign w:val="top"/>
          </w:tcPr>
          <w:p w14:paraId="48826CF0">
            <w:pPr>
              <w:pStyle w:val="6"/>
              <w:spacing w:before="69" w:line="228" w:lineRule="auto"/>
              <w:ind w:left="2851"/>
            </w:pPr>
            <w:r>
              <w:rPr>
                <w:spacing w:val="7"/>
              </w:rPr>
              <w:t>砷、铅</w:t>
            </w:r>
          </w:p>
        </w:tc>
      </w:tr>
      <w:tr w14:paraId="07237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Merge w:val="restart"/>
            <w:tcBorders>
              <w:bottom w:val="nil"/>
            </w:tcBorders>
            <w:vAlign w:val="top"/>
          </w:tcPr>
          <w:p w14:paraId="54ADC99A">
            <w:pPr>
              <w:pStyle w:val="6"/>
              <w:spacing w:before="245" w:line="228" w:lineRule="auto"/>
              <w:ind w:left="256"/>
            </w:pPr>
            <w:r>
              <w:rPr>
                <w:spacing w:val="5"/>
              </w:rPr>
              <w:t>声环境</w:t>
            </w:r>
          </w:p>
        </w:tc>
        <w:tc>
          <w:tcPr>
            <w:tcW w:w="1079" w:type="dxa"/>
            <w:vAlign w:val="top"/>
          </w:tcPr>
          <w:p w14:paraId="36B8FC80">
            <w:pPr>
              <w:pStyle w:val="6"/>
              <w:spacing w:before="69" w:line="226" w:lineRule="auto"/>
              <w:ind w:left="126"/>
            </w:pPr>
            <w:r>
              <w:rPr>
                <w:spacing w:val="6"/>
              </w:rPr>
              <w:t>现状评价</w:t>
            </w:r>
          </w:p>
        </w:tc>
        <w:tc>
          <w:tcPr>
            <w:tcW w:w="6323" w:type="dxa"/>
            <w:vAlign w:val="top"/>
          </w:tcPr>
          <w:p w14:paraId="43886207">
            <w:pPr>
              <w:pStyle w:val="6"/>
              <w:spacing w:before="69" w:line="228" w:lineRule="auto"/>
              <w:ind w:left="2409"/>
            </w:pPr>
            <w:r>
              <w:rPr>
                <w:spacing w:val="5"/>
              </w:rPr>
              <w:t>等效连续</w:t>
            </w:r>
            <w:r>
              <w:rPr>
                <w:spacing w:val="-44"/>
              </w:rPr>
              <w:t xml:space="preserve"> </w:t>
            </w:r>
            <w:r>
              <w:rPr>
                <w:rFonts w:ascii="Times New Roman" w:hAnsi="Times New Roman" w:eastAsia="Times New Roman" w:cs="Times New Roman"/>
                <w:spacing w:val="5"/>
              </w:rPr>
              <w:t>A</w:t>
            </w:r>
            <w:r>
              <w:rPr>
                <w:rFonts w:ascii="Times New Roman" w:hAnsi="Times New Roman" w:eastAsia="Times New Roman" w:cs="Times New Roman"/>
                <w:spacing w:val="15"/>
                <w:w w:val="101"/>
              </w:rPr>
              <w:t xml:space="preserve"> </w:t>
            </w:r>
            <w:r>
              <w:rPr>
                <w:spacing w:val="5"/>
              </w:rPr>
              <w:t>声级</w:t>
            </w:r>
          </w:p>
        </w:tc>
      </w:tr>
      <w:tr w14:paraId="09BE9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Merge w:val="continue"/>
            <w:tcBorders>
              <w:top w:val="nil"/>
            </w:tcBorders>
            <w:vAlign w:val="top"/>
          </w:tcPr>
          <w:p w14:paraId="18547137">
            <w:pPr>
              <w:rPr>
                <w:rFonts w:ascii="Arial"/>
                <w:sz w:val="21"/>
              </w:rPr>
            </w:pPr>
          </w:p>
        </w:tc>
        <w:tc>
          <w:tcPr>
            <w:tcW w:w="1079" w:type="dxa"/>
            <w:vAlign w:val="top"/>
          </w:tcPr>
          <w:p w14:paraId="4405BF04">
            <w:pPr>
              <w:pStyle w:val="6"/>
              <w:spacing w:before="70" w:line="228" w:lineRule="auto"/>
              <w:ind w:left="124"/>
            </w:pPr>
            <w:r>
              <w:rPr>
                <w:spacing w:val="7"/>
              </w:rPr>
              <w:t>影响分析</w:t>
            </w:r>
          </w:p>
        </w:tc>
        <w:tc>
          <w:tcPr>
            <w:tcW w:w="6323" w:type="dxa"/>
            <w:vAlign w:val="top"/>
          </w:tcPr>
          <w:p w14:paraId="6722DA10">
            <w:pPr>
              <w:pStyle w:val="6"/>
              <w:spacing w:before="69" w:line="228" w:lineRule="auto"/>
              <w:ind w:left="2409"/>
            </w:pPr>
            <w:r>
              <w:rPr>
                <w:spacing w:val="5"/>
              </w:rPr>
              <w:t>等效连续</w:t>
            </w:r>
            <w:r>
              <w:rPr>
                <w:spacing w:val="-44"/>
              </w:rPr>
              <w:t xml:space="preserve"> </w:t>
            </w:r>
            <w:r>
              <w:rPr>
                <w:rFonts w:ascii="Times New Roman" w:hAnsi="Times New Roman" w:eastAsia="Times New Roman" w:cs="Times New Roman"/>
                <w:spacing w:val="5"/>
              </w:rPr>
              <w:t>A</w:t>
            </w:r>
            <w:r>
              <w:rPr>
                <w:rFonts w:ascii="Times New Roman" w:hAnsi="Times New Roman" w:eastAsia="Times New Roman" w:cs="Times New Roman"/>
                <w:spacing w:val="15"/>
                <w:w w:val="101"/>
              </w:rPr>
              <w:t xml:space="preserve"> </w:t>
            </w:r>
            <w:r>
              <w:rPr>
                <w:spacing w:val="5"/>
              </w:rPr>
              <w:t>声级</w:t>
            </w:r>
          </w:p>
        </w:tc>
      </w:tr>
      <w:tr w14:paraId="3511F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24" w:type="dxa"/>
            <w:vAlign w:val="top"/>
          </w:tcPr>
          <w:p w14:paraId="21F26DE9">
            <w:pPr>
              <w:pStyle w:val="6"/>
              <w:spacing w:before="70" w:line="228" w:lineRule="auto"/>
              <w:ind w:left="164"/>
            </w:pPr>
            <w:r>
              <w:rPr>
                <w:spacing w:val="2"/>
              </w:rPr>
              <w:t>固体废物</w:t>
            </w:r>
          </w:p>
        </w:tc>
        <w:tc>
          <w:tcPr>
            <w:tcW w:w="1079" w:type="dxa"/>
            <w:vAlign w:val="top"/>
          </w:tcPr>
          <w:p w14:paraId="3F2771D9">
            <w:pPr>
              <w:pStyle w:val="6"/>
              <w:spacing w:before="70" w:line="228" w:lineRule="auto"/>
              <w:ind w:left="124"/>
            </w:pPr>
            <w:r>
              <w:rPr>
                <w:spacing w:val="7"/>
              </w:rPr>
              <w:t>影响分析</w:t>
            </w:r>
          </w:p>
        </w:tc>
        <w:tc>
          <w:tcPr>
            <w:tcW w:w="6323" w:type="dxa"/>
            <w:vAlign w:val="top"/>
          </w:tcPr>
          <w:p w14:paraId="17DDCBC4">
            <w:pPr>
              <w:pStyle w:val="6"/>
              <w:spacing w:before="70" w:line="228" w:lineRule="auto"/>
              <w:ind w:left="1804"/>
            </w:pPr>
            <w:r>
              <w:rPr>
                <w:spacing w:val="9"/>
              </w:rPr>
              <w:t>一般工业固体废物、危险废物</w:t>
            </w:r>
          </w:p>
        </w:tc>
      </w:tr>
      <w:tr w14:paraId="6418E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1124" w:type="dxa"/>
            <w:vAlign w:val="top"/>
          </w:tcPr>
          <w:p w14:paraId="02047D29">
            <w:pPr>
              <w:spacing w:line="307" w:lineRule="auto"/>
              <w:rPr>
                <w:rFonts w:ascii="Arial"/>
                <w:sz w:val="21"/>
              </w:rPr>
            </w:pPr>
          </w:p>
          <w:p w14:paraId="7F4C8463">
            <w:pPr>
              <w:spacing w:line="307" w:lineRule="auto"/>
              <w:rPr>
                <w:rFonts w:ascii="Arial"/>
                <w:sz w:val="21"/>
              </w:rPr>
            </w:pPr>
          </w:p>
          <w:p w14:paraId="06EFC730">
            <w:pPr>
              <w:spacing w:line="307" w:lineRule="auto"/>
              <w:rPr>
                <w:rFonts w:ascii="Arial"/>
                <w:sz w:val="21"/>
              </w:rPr>
            </w:pPr>
          </w:p>
          <w:p w14:paraId="647A9678">
            <w:pPr>
              <w:pStyle w:val="6"/>
              <w:spacing w:before="65" w:line="229" w:lineRule="auto"/>
              <w:ind w:left="358"/>
            </w:pPr>
            <w:r>
              <w:rPr>
                <w:spacing w:val="4"/>
              </w:rPr>
              <w:t>土壤</w:t>
            </w:r>
          </w:p>
        </w:tc>
        <w:tc>
          <w:tcPr>
            <w:tcW w:w="1079" w:type="dxa"/>
            <w:vAlign w:val="top"/>
          </w:tcPr>
          <w:p w14:paraId="113814B7">
            <w:pPr>
              <w:spacing w:line="307" w:lineRule="auto"/>
              <w:rPr>
                <w:rFonts w:ascii="Arial"/>
                <w:sz w:val="21"/>
              </w:rPr>
            </w:pPr>
          </w:p>
          <w:p w14:paraId="0C4DF6FE">
            <w:pPr>
              <w:spacing w:line="307" w:lineRule="auto"/>
              <w:rPr>
                <w:rFonts w:ascii="Arial"/>
                <w:sz w:val="21"/>
              </w:rPr>
            </w:pPr>
          </w:p>
          <w:p w14:paraId="44ACB4B0">
            <w:pPr>
              <w:spacing w:line="307" w:lineRule="auto"/>
              <w:rPr>
                <w:rFonts w:ascii="Arial"/>
                <w:sz w:val="21"/>
              </w:rPr>
            </w:pPr>
          </w:p>
          <w:p w14:paraId="1838AC15">
            <w:pPr>
              <w:pStyle w:val="6"/>
              <w:spacing w:before="65" w:line="226" w:lineRule="auto"/>
              <w:ind w:left="126"/>
            </w:pPr>
            <w:r>
              <w:rPr>
                <w:spacing w:val="6"/>
              </w:rPr>
              <w:t>现状评价</w:t>
            </w:r>
          </w:p>
        </w:tc>
        <w:tc>
          <w:tcPr>
            <w:tcW w:w="6323" w:type="dxa"/>
            <w:vAlign w:val="top"/>
          </w:tcPr>
          <w:p w14:paraId="1BE283FF">
            <w:pPr>
              <w:pStyle w:val="6"/>
              <w:spacing w:before="57" w:line="286" w:lineRule="auto"/>
              <w:ind w:left="133" w:right="38" w:hanging="10"/>
              <w:jc w:val="both"/>
            </w:pPr>
            <w:r>
              <w:rPr>
                <w:spacing w:val="9"/>
              </w:rPr>
              <w:t>工业用地：汞、砷、镉、铅、铬（六价）、铜、镍、四氯化碳、氯</w:t>
            </w:r>
            <w:r>
              <w:rPr>
                <w:spacing w:val="16"/>
              </w:rPr>
              <w:t xml:space="preserve"> </w:t>
            </w:r>
            <w:r>
              <w:rPr>
                <w:spacing w:val="6"/>
              </w:rPr>
              <w:t>仿、氯甲烷、</w:t>
            </w:r>
            <w:r>
              <w:rPr>
                <w:rFonts w:ascii="Times New Roman" w:hAnsi="Times New Roman" w:eastAsia="Times New Roman" w:cs="Times New Roman"/>
                <w:spacing w:val="6"/>
              </w:rPr>
              <w:t>1,</w:t>
            </w:r>
            <w:r>
              <w:rPr>
                <w:rFonts w:ascii="Times New Roman" w:hAnsi="Times New Roman" w:eastAsia="Times New Roman" w:cs="Times New Roman"/>
                <w:spacing w:val="-10"/>
              </w:rPr>
              <w:t xml:space="preserve"> </w:t>
            </w:r>
            <w:r>
              <w:rPr>
                <w:rFonts w:ascii="Times New Roman" w:hAnsi="Times New Roman" w:eastAsia="Times New Roman" w:cs="Times New Roman"/>
                <w:spacing w:val="6"/>
              </w:rPr>
              <w:t>1-</w:t>
            </w:r>
            <w:r>
              <w:rPr>
                <w:spacing w:val="6"/>
              </w:rPr>
              <w:t>二氯乙烷、</w:t>
            </w:r>
            <w:r>
              <w:rPr>
                <w:rFonts w:ascii="Times New Roman" w:hAnsi="Times New Roman" w:eastAsia="Times New Roman" w:cs="Times New Roman"/>
                <w:spacing w:val="6"/>
              </w:rPr>
              <w:t>1,2-</w:t>
            </w:r>
            <w:r>
              <w:rPr>
                <w:spacing w:val="6"/>
              </w:rPr>
              <w:t>二氯乙烷、</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spacing w:val="6"/>
              </w:rPr>
              <w:t>二氯乙烯、顺</w:t>
            </w:r>
            <w:r>
              <w:rPr>
                <w:rFonts w:ascii="Times New Roman" w:hAnsi="Times New Roman" w:eastAsia="Times New Roman" w:cs="Times New Roman"/>
                <w:spacing w:val="6"/>
              </w:rPr>
              <w:t>-1,2-</w:t>
            </w:r>
            <w:r>
              <w:rPr>
                <w:rFonts w:ascii="Times New Roman" w:hAnsi="Times New Roman" w:eastAsia="Times New Roman" w:cs="Times New Roman"/>
              </w:rPr>
              <w:t xml:space="preserve">   </w:t>
            </w:r>
            <w:r>
              <w:rPr>
                <w:spacing w:val="7"/>
              </w:rPr>
              <w:t>二氯乙烯、反</w:t>
            </w:r>
            <w:r>
              <w:rPr>
                <w:rFonts w:ascii="Times New Roman" w:hAnsi="Times New Roman" w:eastAsia="Times New Roman" w:cs="Times New Roman"/>
                <w:spacing w:val="7"/>
              </w:rPr>
              <w:t>-1,2-</w:t>
            </w:r>
            <w:r>
              <w:rPr>
                <w:spacing w:val="7"/>
              </w:rPr>
              <w:t>二氯乙烯、二氯甲烷、</w:t>
            </w:r>
            <w:r>
              <w:rPr>
                <w:rFonts w:ascii="Times New Roman" w:hAnsi="Times New Roman" w:eastAsia="Times New Roman" w:cs="Times New Roman"/>
                <w:spacing w:val="7"/>
              </w:rPr>
              <w:t>1,2-</w:t>
            </w:r>
            <w:r>
              <w:rPr>
                <w:spacing w:val="6"/>
              </w:rPr>
              <w:t>二氯丙烷、</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rPr>
              <w:t xml:space="preserve"> </w:t>
            </w:r>
            <w:r>
              <w:rPr>
                <w:rFonts w:ascii="Times New Roman" w:hAnsi="Times New Roman" w:eastAsia="Times New Roman" w:cs="Times New Roman"/>
                <w:spacing w:val="6"/>
              </w:rPr>
              <w:t>1,2-</w:t>
            </w:r>
            <w:r>
              <w:rPr>
                <w:spacing w:val="6"/>
              </w:rPr>
              <w:t>四</w:t>
            </w:r>
            <w:r>
              <w:t xml:space="preserve">  </w:t>
            </w:r>
            <w:r>
              <w:rPr>
                <w:spacing w:val="5"/>
              </w:rPr>
              <w:t>氯乙烷、</w:t>
            </w:r>
            <w:r>
              <w:rPr>
                <w:rFonts w:ascii="Times New Roman" w:hAnsi="Times New Roman" w:eastAsia="Times New Roman" w:cs="Times New Roman"/>
                <w:spacing w:val="5"/>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1,2,2-</w:t>
            </w:r>
            <w:r>
              <w:rPr>
                <w:spacing w:val="5"/>
              </w:rPr>
              <w:t>四氯乙烷、四氯乙烯、</w:t>
            </w:r>
            <w:r>
              <w:rPr>
                <w:rFonts w:ascii="Times New Roman" w:hAnsi="Times New Roman" w:eastAsia="Times New Roman" w:cs="Times New Roman"/>
                <w:spacing w:val="5"/>
              </w:rPr>
              <w:t>1</w:t>
            </w:r>
            <w:r>
              <w:rPr>
                <w:rFonts w:ascii="Times New Roman" w:hAnsi="Times New Roman" w:eastAsia="Times New Roman" w:cs="Times New Roman"/>
                <w:spacing w:val="4"/>
              </w:rPr>
              <w:t>,</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spacing w:val="4"/>
              </w:rPr>
              <w:t>三氯乙烷、</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1,2-</w:t>
            </w:r>
            <w:r>
              <w:rPr>
                <w:spacing w:val="4"/>
              </w:rPr>
              <w:t>三氯</w:t>
            </w:r>
            <w:r>
              <w:t xml:space="preserve">  </w:t>
            </w:r>
            <w:r>
              <w:rPr>
                <w:spacing w:val="4"/>
              </w:rPr>
              <w:t>乙烷、三氯乙烯、</w:t>
            </w:r>
            <w:r>
              <w:rPr>
                <w:rFonts w:ascii="Times New Roman" w:hAnsi="Times New Roman" w:eastAsia="Times New Roman" w:cs="Times New Roman"/>
                <w:spacing w:val="4"/>
              </w:rPr>
              <w:t>1,2,3-</w:t>
            </w:r>
            <w:r>
              <w:rPr>
                <w:spacing w:val="4"/>
              </w:rPr>
              <w:t>三氯丙烷、氯乙烯、苯、氯苯、</w:t>
            </w:r>
            <w:r>
              <w:rPr>
                <w:rFonts w:ascii="Times New Roman" w:hAnsi="Times New Roman" w:eastAsia="Times New Roman" w:cs="Times New Roman"/>
                <w:spacing w:val="4"/>
              </w:rPr>
              <w:t>1,2-</w:t>
            </w:r>
            <w:r>
              <w:rPr>
                <w:spacing w:val="4"/>
              </w:rPr>
              <w:t>二氯苯、</w:t>
            </w:r>
          </w:p>
          <w:p w14:paraId="29A7240F">
            <w:pPr>
              <w:pStyle w:val="6"/>
              <w:spacing w:before="10" w:line="260" w:lineRule="auto"/>
              <w:ind w:left="115" w:right="38" w:firstLine="14"/>
            </w:pPr>
            <w:r>
              <w:rPr>
                <w:rFonts w:ascii="Times New Roman" w:hAnsi="Times New Roman" w:eastAsia="Times New Roman" w:cs="Times New Roman"/>
                <w:spacing w:val="4"/>
              </w:rPr>
              <w:t>1,4-</w:t>
            </w:r>
            <w:r>
              <w:rPr>
                <w:spacing w:val="4"/>
              </w:rPr>
              <w:t>二氯苯、乙苯、苯乙烯、甲苯、间二</w:t>
            </w:r>
            <w:r>
              <w:rPr>
                <w:spacing w:val="3"/>
              </w:rPr>
              <w:t>甲苯</w:t>
            </w:r>
            <w:r>
              <w:rPr>
                <w:rFonts w:ascii="Times New Roman" w:hAnsi="Times New Roman" w:eastAsia="Times New Roman" w:cs="Times New Roman"/>
                <w:spacing w:val="3"/>
              </w:rPr>
              <w:t>+</w:t>
            </w:r>
            <w:r>
              <w:rPr>
                <w:spacing w:val="3"/>
              </w:rPr>
              <w:t>对二甲苯、邻二甲苯、</w:t>
            </w:r>
            <w:r>
              <w:t xml:space="preserve"> </w:t>
            </w:r>
            <w:r>
              <w:rPr>
                <w:spacing w:val="7"/>
              </w:rPr>
              <w:t>硝基苯、苯胺、</w:t>
            </w:r>
            <w:r>
              <w:rPr>
                <w:rFonts w:ascii="Times New Roman" w:hAnsi="Times New Roman" w:eastAsia="Times New Roman" w:cs="Times New Roman"/>
                <w:spacing w:val="7"/>
              </w:rPr>
              <w:t>2-</w:t>
            </w:r>
            <w:r>
              <w:rPr>
                <w:spacing w:val="7"/>
              </w:rPr>
              <w:t>氯酚、苯并</w:t>
            </w:r>
            <w:r>
              <w:rPr>
                <w:rFonts w:ascii="Times New Roman" w:hAnsi="Times New Roman" w:eastAsia="Times New Roman" w:cs="Times New Roman"/>
                <w:spacing w:val="7"/>
              </w:rPr>
              <w:t>[a]</w:t>
            </w:r>
            <w:r>
              <w:rPr>
                <w:spacing w:val="7"/>
              </w:rPr>
              <w:t>蒽、苯并</w:t>
            </w:r>
            <w:r>
              <w:rPr>
                <w:rFonts w:ascii="Times New Roman" w:hAnsi="Times New Roman" w:eastAsia="Times New Roman" w:cs="Times New Roman"/>
                <w:spacing w:val="7"/>
              </w:rPr>
              <w:t>[a]</w:t>
            </w:r>
            <w:r>
              <w:rPr>
                <w:spacing w:val="7"/>
              </w:rPr>
              <w:t>芘、苯并</w:t>
            </w:r>
            <w:r>
              <w:rPr>
                <w:rFonts w:ascii="Times New Roman" w:hAnsi="Times New Roman" w:eastAsia="Times New Roman" w:cs="Times New Roman"/>
                <w:spacing w:val="7"/>
              </w:rPr>
              <w:t>[b]</w:t>
            </w:r>
            <w:r>
              <w:rPr>
                <w:spacing w:val="7"/>
              </w:rPr>
              <w:t>荧</w:t>
            </w:r>
            <w:r>
              <w:rPr>
                <w:spacing w:val="6"/>
              </w:rPr>
              <w:t>蒽、苯并</w:t>
            </w:r>
          </w:p>
        </w:tc>
      </w:tr>
    </w:tbl>
    <w:p w14:paraId="7F574D55">
      <w:pPr>
        <w:pStyle w:val="2"/>
        <w:spacing w:line="178" w:lineRule="exact"/>
        <w:rPr>
          <w:sz w:val="15"/>
        </w:rPr>
      </w:pPr>
    </w:p>
    <w:p w14:paraId="57C10A2E">
      <w:pPr>
        <w:spacing w:line="178" w:lineRule="exact"/>
        <w:rPr>
          <w:sz w:val="15"/>
          <w:szCs w:val="15"/>
        </w:rPr>
        <w:sectPr>
          <w:headerReference r:id="rId19" w:type="default"/>
          <w:footerReference r:id="rId20" w:type="default"/>
          <w:pgSz w:w="11906" w:h="16839"/>
          <w:pgMar w:top="1208" w:right="1696" w:bottom="1358" w:left="1656" w:header="825" w:footer="1195" w:gutter="0"/>
          <w:cols w:space="720" w:num="1"/>
        </w:sectPr>
      </w:pPr>
    </w:p>
    <w:p w14:paraId="17572F35">
      <w:pPr>
        <w:spacing w:line="231"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4"/>
        <w:gridCol w:w="1079"/>
        <w:gridCol w:w="6323"/>
      </w:tblGrid>
      <w:tr w14:paraId="0A658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24" w:type="dxa"/>
            <w:vMerge w:val="restart"/>
            <w:tcBorders>
              <w:bottom w:val="nil"/>
            </w:tcBorders>
            <w:vAlign w:val="top"/>
          </w:tcPr>
          <w:p w14:paraId="76CF7FA2">
            <w:pPr>
              <w:rPr>
                <w:rFonts w:ascii="Arial"/>
                <w:sz w:val="21"/>
              </w:rPr>
            </w:pPr>
          </w:p>
        </w:tc>
        <w:tc>
          <w:tcPr>
            <w:tcW w:w="1079" w:type="dxa"/>
            <w:vAlign w:val="top"/>
          </w:tcPr>
          <w:p w14:paraId="12B1813B">
            <w:pPr>
              <w:rPr>
                <w:rFonts w:ascii="Arial"/>
                <w:sz w:val="21"/>
              </w:rPr>
            </w:pPr>
          </w:p>
        </w:tc>
        <w:tc>
          <w:tcPr>
            <w:tcW w:w="6323" w:type="dxa"/>
            <w:vAlign w:val="top"/>
          </w:tcPr>
          <w:p w14:paraId="6B5327D4">
            <w:pPr>
              <w:pStyle w:val="6"/>
              <w:spacing w:before="57" w:line="261" w:lineRule="auto"/>
              <w:ind w:left="780" w:right="803" w:hanging="17"/>
            </w:pPr>
            <w:r>
              <w:rPr>
                <w:rFonts w:ascii="Times New Roman" w:hAnsi="Times New Roman" w:eastAsia="Times New Roman" w:cs="Times New Roman"/>
                <w:spacing w:val="5"/>
              </w:rPr>
              <w:t>[k]</w:t>
            </w:r>
            <w:r>
              <w:rPr>
                <w:spacing w:val="5"/>
              </w:rPr>
              <w:t>荧蒽、䓛、二苯并</w:t>
            </w:r>
            <w:r>
              <w:rPr>
                <w:rFonts w:ascii="Times New Roman" w:hAnsi="Times New Roman" w:eastAsia="Times New Roman" w:cs="Times New Roman"/>
                <w:spacing w:val="5"/>
              </w:rPr>
              <w:t>[a,h]</w:t>
            </w:r>
            <w:r>
              <w:rPr>
                <w:spacing w:val="5"/>
              </w:rPr>
              <w:t>蒽、茚并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4"/>
              </w:rPr>
              <w:t>芘、萘；</w:t>
            </w:r>
            <w:r>
              <w:t xml:space="preserve"> </w:t>
            </w:r>
            <w:r>
              <w:rPr>
                <w:spacing w:val="6"/>
              </w:rPr>
              <w:t xml:space="preserve">农用地： </w:t>
            </w:r>
            <w:r>
              <w:rPr>
                <w:rFonts w:ascii="Times New Roman" w:hAnsi="Times New Roman" w:eastAsia="Times New Roman" w:cs="Times New Roman"/>
              </w:rPr>
              <w:t>pH</w:t>
            </w:r>
            <w:r>
              <w:rPr>
                <w:rFonts w:ascii="Times New Roman" w:hAnsi="Times New Roman" w:eastAsia="Times New Roman" w:cs="Times New Roman"/>
                <w:spacing w:val="-21"/>
              </w:rPr>
              <w:t xml:space="preserve"> </w:t>
            </w:r>
            <w:r>
              <w:rPr>
                <w:spacing w:val="6"/>
              </w:rPr>
              <w:t>、铅、锌、铜、汞、镉、铬、砷、镍；</w:t>
            </w:r>
          </w:p>
        </w:tc>
      </w:tr>
      <w:tr w14:paraId="5C657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continue"/>
            <w:tcBorders>
              <w:top w:val="nil"/>
            </w:tcBorders>
            <w:vAlign w:val="top"/>
          </w:tcPr>
          <w:p w14:paraId="3027BAE3">
            <w:pPr>
              <w:rPr>
                <w:rFonts w:ascii="Arial"/>
                <w:sz w:val="21"/>
              </w:rPr>
            </w:pPr>
          </w:p>
        </w:tc>
        <w:tc>
          <w:tcPr>
            <w:tcW w:w="1079" w:type="dxa"/>
            <w:vAlign w:val="top"/>
          </w:tcPr>
          <w:p w14:paraId="4CD5336D">
            <w:pPr>
              <w:pStyle w:val="6"/>
              <w:spacing w:before="66" w:line="228" w:lineRule="auto"/>
              <w:ind w:left="124"/>
            </w:pPr>
            <w:r>
              <w:rPr>
                <w:spacing w:val="7"/>
              </w:rPr>
              <w:t>影响分析</w:t>
            </w:r>
          </w:p>
        </w:tc>
        <w:tc>
          <w:tcPr>
            <w:tcW w:w="6323" w:type="dxa"/>
            <w:vAlign w:val="top"/>
          </w:tcPr>
          <w:p w14:paraId="6CC9FA49">
            <w:pPr>
              <w:pStyle w:val="6"/>
              <w:spacing w:before="66" w:line="228" w:lineRule="auto"/>
              <w:ind w:left="2851"/>
            </w:pPr>
            <w:r>
              <w:rPr>
                <w:spacing w:val="7"/>
              </w:rPr>
              <w:t>砷、铅</w:t>
            </w:r>
          </w:p>
        </w:tc>
      </w:tr>
      <w:tr w14:paraId="4221B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restart"/>
            <w:tcBorders>
              <w:bottom w:val="nil"/>
            </w:tcBorders>
            <w:vAlign w:val="top"/>
          </w:tcPr>
          <w:p w14:paraId="7D1E88F8">
            <w:pPr>
              <w:pStyle w:val="6"/>
              <w:spacing w:before="243" w:line="228" w:lineRule="auto"/>
              <w:ind w:left="148"/>
            </w:pPr>
            <w:r>
              <w:rPr>
                <w:spacing w:val="6"/>
              </w:rPr>
              <w:t>生态环境</w:t>
            </w:r>
          </w:p>
        </w:tc>
        <w:tc>
          <w:tcPr>
            <w:tcW w:w="1079" w:type="dxa"/>
            <w:vAlign w:val="top"/>
          </w:tcPr>
          <w:p w14:paraId="1344A6F7">
            <w:pPr>
              <w:pStyle w:val="6"/>
              <w:spacing w:before="68" w:line="226" w:lineRule="auto"/>
              <w:ind w:left="126"/>
            </w:pPr>
            <w:r>
              <w:rPr>
                <w:spacing w:val="6"/>
              </w:rPr>
              <w:t>现状评价</w:t>
            </w:r>
          </w:p>
        </w:tc>
        <w:tc>
          <w:tcPr>
            <w:tcW w:w="6323" w:type="dxa"/>
            <w:vAlign w:val="top"/>
          </w:tcPr>
          <w:p w14:paraId="16CFC22D">
            <w:pPr>
              <w:pStyle w:val="6"/>
              <w:spacing w:before="67" w:line="228" w:lineRule="auto"/>
              <w:ind w:left="1695"/>
            </w:pPr>
            <w:r>
              <w:rPr>
                <w:spacing w:val="9"/>
              </w:rPr>
              <w:t>土地利用、植物资源、动物资源</w:t>
            </w:r>
          </w:p>
        </w:tc>
      </w:tr>
      <w:tr w14:paraId="0E1F7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continue"/>
            <w:tcBorders>
              <w:top w:val="nil"/>
            </w:tcBorders>
            <w:vAlign w:val="top"/>
          </w:tcPr>
          <w:p w14:paraId="75152C78">
            <w:pPr>
              <w:rPr>
                <w:rFonts w:ascii="Arial"/>
                <w:sz w:val="21"/>
              </w:rPr>
            </w:pPr>
          </w:p>
        </w:tc>
        <w:tc>
          <w:tcPr>
            <w:tcW w:w="1079" w:type="dxa"/>
            <w:vAlign w:val="top"/>
          </w:tcPr>
          <w:p w14:paraId="651DA035">
            <w:pPr>
              <w:pStyle w:val="6"/>
              <w:spacing w:before="69" w:line="228" w:lineRule="auto"/>
              <w:ind w:left="124"/>
            </w:pPr>
            <w:r>
              <w:rPr>
                <w:spacing w:val="7"/>
              </w:rPr>
              <w:t>影响分析</w:t>
            </w:r>
          </w:p>
        </w:tc>
        <w:tc>
          <w:tcPr>
            <w:tcW w:w="6323" w:type="dxa"/>
            <w:vAlign w:val="top"/>
          </w:tcPr>
          <w:p w14:paraId="1E346B86">
            <w:pPr>
              <w:pStyle w:val="6"/>
              <w:spacing w:before="68" w:line="228" w:lineRule="auto"/>
              <w:ind w:left="1695"/>
            </w:pPr>
            <w:r>
              <w:rPr>
                <w:spacing w:val="9"/>
              </w:rPr>
              <w:t>土地利用、植物资源、动物资源</w:t>
            </w:r>
          </w:p>
        </w:tc>
      </w:tr>
      <w:tr w14:paraId="1EEDC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4" w:type="dxa"/>
            <w:vMerge w:val="restart"/>
            <w:tcBorders>
              <w:bottom w:val="nil"/>
            </w:tcBorders>
            <w:vAlign w:val="top"/>
          </w:tcPr>
          <w:p w14:paraId="107DFA06">
            <w:pPr>
              <w:pStyle w:val="6"/>
              <w:spacing w:before="243" w:line="228" w:lineRule="auto"/>
              <w:ind w:left="146"/>
            </w:pPr>
            <w:r>
              <w:rPr>
                <w:spacing w:val="7"/>
              </w:rPr>
              <w:t>环境风险</w:t>
            </w:r>
          </w:p>
        </w:tc>
        <w:tc>
          <w:tcPr>
            <w:tcW w:w="1079" w:type="dxa"/>
            <w:vAlign w:val="top"/>
          </w:tcPr>
          <w:p w14:paraId="1593F4DB">
            <w:pPr>
              <w:pStyle w:val="6"/>
              <w:spacing w:before="68" w:line="226" w:lineRule="auto"/>
              <w:ind w:left="126"/>
            </w:pPr>
            <w:r>
              <w:rPr>
                <w:spacing w:val="6"/>
              </w:rPr>
              <w:t>现状评价</w:t>
            </w:r>
          </w:p>
        </w:tc>
        <w:tc>
          <w:tcPr>
            <w:tcW w:w="6323" w:type="dxa"/>
            <w:vAlign w:val="top"/>
          </w:tcPr>
          <w:p w14:paraId="1C34C13E">
            <w:pPr>
              <w:pStyle w:val="6"/>
              <w:spacing w:before="68" w:line="227" w:lineRule="auto"/>
              <w:ind w:left="1843"/>
            </w:pPr>
            <w:r>
              <w:rPr>
                <w:spacing w:val="5"/>
              </w:rPr>
              <w:t>废机油（</w:t>
            </w:r>
            <w:r>
              <w:rPr>
                <w:rFonts w:ascii="Times New Roman" w:hAnsi="Times New Roman" w:eastAsia="Times New Roman" w:cs="Times New Roman"/>
              </w:rPr>
              <w:t>HW</w:t>
            </w:r>
            <w:r>
              <w:rPr>
                <w:rFonts w:ascii="Times New Roman" w:hAnsi="Times New Roman" w:eastAsia="Times New Roman" w:cs="Times New Roman"/>
                <w:spacing w:val="5"/>
              </w:rPr>
              <w:t>08 900-214-08</w:t>
            </w:r>
            <w:r>
              <w:rPr>
                <w:spacing w:val="5"/>
              </w:rPr>
              <w:t>）</w:t>
            </w:r>
          </w:p>
        </w:tc>
      </w:tr>
      <w:tr w14:paraId="0302E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24" w:type="dxa"/>
            <w:vMerge w:val="continue"/>
            <w:tcBorders>
              <w:top w:val="nil"/>
            </w:tcBorders>
            <w:vAlign w:val="top"/>
          </w:tcPr>
          <w:p w14:paraId="621D04CA">
            <w:pPr>
              <w:rPr>
                <w:rFonts w:ascii="Arial"/>
                <w:sz w:val="21"/>
              </w:rPr>
            </w:pPr>
          </w:p>
        </w:tc>
        <w:tc>
          <w:tcPr>
            <w:tcW w:w="1079" w:type="dxa"/>
            <w:vAlign w:val="top"/>
          </w:tcPr>
          <w:p w14:paraId="31AC5F08">
            <w:pPr>
              <w:pStyle w:val="6"/>
              <w:spacing w:before="70" w:line="228" w:lineRule="auto"/>
              <w:ind w:left="124"/>
            </w:pPr>
            <w:r>
              <w:rPr>
                <w:spacing w:val="7"/>
              </w:rPr>
              <w:t>影响分析</w:t>
            </w:r>
          </w:p>
        </w:tc>
        <w:tc>
          <w:tcPr>
            <w:tcW w:w="6323" w:type="dxa"/>
            <w:vAlign w:val="top"/>
          </w:tcPr>
          <w:p w14:paraId="5F03F0B5">
            <w:pPr>
              <w:pStyle w:val="6"/>
              <w:spacing w:before="69" w:line="227" w:lineRule="auto"/>
              <w:ind w:left="1843"/>
            </w:pPr>
            <w:r>
              <w:rPr>
                <w:spacing w:val="5"/>
              </w:rPr>
              <w:t>废机油（</w:t>
            </w:r>
            <w:r>
              <w:rPr>
                <w:rFonts w:ascii="Times New Roman" w:hAnsi="Times New Roman" w:eastAsia="Times New Roman" w:cs="Times New Roman"/>
              </w:rPr>
              <w:t>HW</w:t>
            </w:r>
            <w:r>
              <w:rPr>
                <w:rFonts w:ascii="Times New Roman" w:hAnsi="Times New Roman" w:eastAsia="Times New Roman" w:cs="Times New Roman"/>
                <w:spacing w:val="5"/>
              </w:rPr>
              <w:t>08 900-214-08</w:t>
            </w:r>
            <w:r>
              <w:rPr>
                <w:spacing w:val="5"/>
              </w:rPr>
              <w:t>）</w:t>
            </w:r>
          </w:p>
        </w:tc>
      </w:tr>
    </w:tbl>
    <w:p w14:paraId="2E0639B0">
      <w:pPr>
        <w:spacing w:before="198" w:line="222" w:lineRule="auto"/>
        <w:ind w:left="148"/>
        <w:outlineLvl w:val="1"/>
        <w:rPr>
          <w:rFonts w:ascii="黑体" w:hAnsi="黑体" w:eastAsia="黑体" w:cs="黑体"/>
          <w:sz w:val="28"/>
          <w:szCs w:val="28"/>
        </w:rPr>
      </w:pPr>
      <w:bookmarkStart w:id="20" w:name="bookmark20"/>
      <w:bookmarkEnd w:id="20"/>
      <w:bookmarkStart w:id="21" w:name="bookmark19"/>
      <w:bookmarkEnd w:id="21"/>
      <w:r>
        <w:rPr>
          <w:rFonts w:ascii="Times New Roman" w:hAnsi="Times New Roman" w:eastAsia="Times New Roman" w:cs="Times New Roman"/>
          <w:b/>
          <w:bCs/>
          <w:spacing w:val="-2"/>
          <w:sz w:val="28"/>
          <w:szCs w:val="28"/>
        </w:rPr>
        <w:t xml:space="preserve">2.3 </w:t>
      </w:r>
      <w:r>
        <w:rPr>
          <w:rFonts w:ascii="黑体" w:hAnsi="黑体" w:eastAsia="黑体" w:cs="黑体"/>
          <w:b/>
          <w:bCs/>
          <w:spacing w:val="-2"/>
          <w:sz w:val="28"/>
          <w:szCs w:val="28"/>
        </w:rPr>
        <w:t>评价标准</w:t>
      </w:r>
    </w:p>
    <w:p w14:paraId="76D581D3">
      <w:pPr>
        <w:spacing w:before="254" w:line="218" w:lineRule="auto"/>
        <w:ind w:left="631"/>
        <w:rPr>
          <w:rFonts w:ascii="宋体" w:hAnsi="宋体" w:eastAsia="宋体" w:cs="宋体"/>
          <w:sz w:val="24"/>
          <w:szCs w:val="24"/>
        </w:rPr>
      </w:pPr>
      <w:r>
        <w:rPr>
          <w:rFonts w:ascii="宋体" w:hAnsi="宋体" w:eastAsia="宋体" w:cs="宋体"/>
          <w:spacing w:val="-1"/>
          <w:sz w:val="24"/>
          <w:szCs w:val="24"/>
        </w:rPr>
        <w:t>本次评价工作执行如下标准：</w:t>
      </w:r>
    </w:p>
    <w:p w14:paraId="7285A7CC">
      <w:pPr>
        <w:spacing w:before="184" w:line="220" w:lineRule="auto"/>
        <w:ind w:left="627"/>
        <w:outlineLvl w:val="2"/>
        <w:rPr>
          <w:rFonts w:ascii="宋体" w:hAnsi="宋体" w:eastAsia="宋体" w:cs="宋体"/>
          <w:sz w:val="24"/>
          <w:szCs w:val="24"/>
        </w:rPr>
      </w:pPr>
      <w:bookmarkStart w:id="22" w:name="bookmark196"/>
      <w:bookmarkEnd w:id="22"/>
      <w:r>
        <w:rPr>
          <w:rFonts w:ascii="Times New Roman" w:hAnsi="Times New Roman" w:eastAsia="Times New Roman" w:cs="Times New Roman"/>
          <w:b/>
          <w:bCs/>
          <w:spacing w:val="-2"/>
          <w:sz w:val="24"/>
          <w:szCs w:val="24"/>
        </w:rPr>
        <w:t xml:space="preserve">2.3.1 </w:t>
      </w:r>
      <w:r>
        <w:rPr>
          <w:rFonts w:ascii="宋体" w:hAnsi="宋体" w:eastAsia="宋体" w:cs="宋体"/>
          <w:b/>
          <w:bCs/>
          <w:spacing w:val="-2"/>
          <w:sz w:val="24"/>
          <w:szCs w:val="24"/>
        </w:rPr>
        <w:t>环境质量标准</w:t>
      </w:r>
    </w:p>
    <w:p w14:paraId="6903DA1F">
      <w:pPr>
        <w:spacing w:before="182" w:line="219" w:lineRule="auto"/>
        <w:ind w:left="64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）《环境空气质量标准》（</w:t>
      </w:r>
      <w:r>
        <w:rPr>
          <w:rFonts w:ascii="Times New Roman" w:hAnsi="Times New Roman" w:eastAsia="Times New Roman" w:cs="Times New Roman"/>
          <w:spacing w:val="-1"/>
          <w:sz w:val="24"/>
          <w:szCs w:val="24"/>
        </w:rPr>
        <w:t>GB3095-2012</w:t>
      </w:r>
      <w:r>
        <w:rPr>
          <w:rFonts w:ascii="宋体" w:hAnsi="宋体" w:eastAsia="宋体" w:cs="宋体"/>
          <w:spacing w:val="4"/>
          <w:sz w:val="24"/>
          <w:szCs w:val="24"/>
        </w:rPr>
        <w:t>），</w:t>
      </w:r>
      <w:r>
        <w:rPr>
          <w:rFonts w:ascii="宋体" w:hAnsi="宋体" w:eastAsia="宋体" w:cs="宋体"/>
          <w:spacing w:val="-1"/>
          <w:sz w:val="24"/>
          <w:szCs w:val="24"/>
        </w:rPr>
        <w:t>执行二级标准；</w:t>
      </w:r>
    </w:p>
    <w:p w14:paraId="5B27B551">
      <w:pPr>
        <w:spacing w:before="183" w:line="219" w:lineRule="auto"/>
        <w:ind w:left="64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）《地下水质量标准》（</w:t>
      </w:r>
      <w:r>
        <w:rPr>
          <w:rFonts w:ascii="Times New Roman" w:hAnsi="Times New Roman" w:eastAsia="Times New Roman" w:cs="Times New Roman"/>
          <w:spacing w:val="-1"/>
          <w:sz w:val="24"/>
          <w:szCs w:val="24"/>
        </w:rPr>
        <w:t>GB/T14848-2017</w:t>
      </w:r>
      <w:r>
        <w:rPr>
          <w:rFonts w:ascii="宋体" w:hAnsi="宋体" w:eastAsia="宋体" w:cs="宋体"/>
          <w:spacing w:val="5"/>
          <w:sz w:val="24"/>
          <w:szCs w:val="24"/>
        </w:rPr>
        <w:t>），</w:t>
      </w:r>
      <w:r>
        <w:rPr>
          <w:rFonts w:ascii="宋体" w:hAnsi="宋体" w:eastAsia="宋体" w:cs="宋体"/>
          <w:spacing w:val="-1"/>
          <w:sz w:val="24"/>
          <w:szCs w:val="24"/>
        </w:rPr>
        <w:t>执行Ⅲ类标准；</w:t>
      </w:r>
    </w:p>
    <w:p w14:paraId="7EC61B58">
      <w:pPr>
        <w:spacing w:before="184" w:line="219" w:lineRule="auto"/>
        <w:ind w:left="64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）《声环境质量标准》（</w:t>
      </w:r>
      <w:r>
        <w:rPr>
          <w:rFonts w:ascii="Times New Roman" w:hAnsi="Times New Roman" w:eastAsia="Times New Roman" w:cs="Times New Roman"/>
          <w:spacing w:val="-1"/>
          <w:sz w:val="24"/>
          <w:szCs w:val="24"/>
        </w:rPr>
        <w:t>GB3096-2008</w:t>
      </w:r>
      <w:r>
        <w:rPr>
          <w:rFonts w:ascii="宋体" w:hAnsi="宋体" w:eastAsia="宋体" w:cs="宋体"/>
          <w:spacing w:val="4"/>
          <w:sz w:val="24"/>
          <w:szCs w:val="24"/>
        </w:rPr>
        <w:t>），</w:t>
      </w:r>
      <w:r>
        <w:rPr>
          <w:rFonts w:ascii="宋体" w:hAnsi="宋体" w:eastAsia="宋体" w:cs="宋体"/>
          <w:spacing w:val="-1"/>
          <w:sz w:val="24"/>
          <w:szCs w:val="24"/>
        </w:rPr>
        <w:t>执行</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类标准；</w:t>
      </w:r>
    </w:p>
    <w:p w14:paraId="41922BB0">
      <w:pPr>
        <w:spacing w:before="182" w:line="290" w:lineRule="auto"/>
        <w:ind w:left="162" w:right="276" w:firstLine="48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）《土壤环境质量标准 建设用地土壤污染风险管控标准（试行）》</w:t>
      </w:r>
      <w:r>
        <w:rPr>
          <w:rFonts w:ascii="宋体" w:hAnsi="宋体" w:eastAsia="宋体" w:cs="宋体"/>
          <w:spacing w:val="1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GB36600-2018</w:t>
      </w:r>
      <w:r>
        <w:rPr>
          <w:rFonts w:ascii="宋体" w:hAnsi="宋体" w:eastAsia="宋体" w:cs="宋体"/>
          <w:spacing w:val="10"/>
          <w:sz w:val="24"/>
          <w:szCs w:val="24"/>
        </w:rPr>
        <w:t>），</w:t>
      </w:r>
      <w:r>
        <w:rPr>
          <w:rFonts w:ascii="宋体" w:hAnsi="宋体" w:eastAsia="宋体" w:cs="宋体"/>
          <w:spacing w:val="-2"/>
          <w:sz w:val="24"/>
          <w:szCs w:val="24"/>
        </w:rPr>
        <w:t>第二类用地筛选值；</w:t>
      </w:r>
    </w:p>
    <w:p w14:paraId="0807F2B5">
      <w:pPr>
        <w:spacing w:before="182" w:line="290" w:lineRule="auto"/>
        <w:ind w:left="162" w:right="276" w:firstLine="480"/>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 xml:space="preserve">5 </w:t>
      </w:r>
      <w:r>
        <w:rPr>
          <w:rFonts w:ascii="宋体" w:hAnsi="宋体" w:eastAsia="宋体" w:cs="宋体"/>
          <w:spacing w:val="16"/>
          <w:sz w:val="24"/>
          <w:szCs w:val="24"/>
        </w:rPr>
        <w:t>）</w:t>
      </w:r>
      <w:r>
        <w:rPr>
          <w:rFonts w:ascii="宋体" w:hAnsi="宋体" w:eastAsia="宋体" w:cs="宋体"/>
          <w:spacing w:val="-87"/>
          <w:sz w:val="24"/>
          <w:szCs w:val="24"/>
        </w:rPr>
        <w:t xml:space="preserve"> </w:t>
      </w:r>
      <w:r>
        <w:rPr>
          <w:rFonts w:ascii="宋体" w:hAnsi="宋体" w:eastAsia="宋体" w:cs="宋体"/>
          <w:spacing w:val="16"/>
          <w:sz w:val="24"/>
          <w:szCs w:val="24"/>
        </w:rPr>
        <w:t>《</w:t>
      </w:r>
      <w:r>
        <w:rPr>
          <w:rFonts w:ascii="宋体" w:hAnsi="宋体" w:eastAsia="宋体" w:cs="宋体"/>
          <w:spacing w:val="-52"/>
          <w:sz w:val="24"/>
          <w:szCs w:val="24"/>
        </w:rPr>
        <w:t xml:space="preserve"> </w:t>
      </w:r>
      <w:r>
        <w:rPr>
          <w:rFonts w:ascii="宋体" w:hAnsi="宋体" w:eastAsia="宋体" w:cs="宋体"/>
          <w:spacing w:val="16"/>
          <w:sz w:val="24"/>
          <w:szCs w:val="24"/>
        </w:rPr>
        <w:t>土壤环境质量</w:t>
      </w:r>
      <w:r>
        <w:rPr>
          <w:rFonts w:ascii="宋体" w:hAnsi="宋体" w:eastAsia="宋体" w:cs="宋体"/>
          <w:spacing w:val="79"/>
          <w:sz w:val="24"/>
          <w:szCs w:val="24"/>
        </w:rPr>
        <w:t xml:space="preserve"> </w:t>
      </w:r>
      <w:r>
        <w:rPr>
          <w:rFonts w:ascii="宋体" w:hAnsi="宋体" w:eastAsia="宋体" w:cs="宋体"/>
          <w:spacing w:val="16"/>
          <w:sz w:val="24"/>
          <w:szCs w:val="24"/>
        </w:rPr>
        <w:t>农用地土壤污染风</w:t>
      </w:r>
      <w:r>
        <w:rPr>
          <w:rFonts w:ascii="宋体" w:hAnsi="宋体" w:eastAsia="宋体" w:cs="宋体"/>
          <w:spacing w:val="-64"/>
          <w:sz w:val="24"/>
          <w:szCs w:val="24"/>
        </w:rPr>
        <w:t xml:space="preserve"> </w:t>
      </w:r>
      <w:r>
        <w:rPr>
          <w:rFonts w:ascii="宋体" w:hAnsi="宋体" w:eastAsia="宋体" w:cs="宋体"/>
          <w:spacing w:val="16"/>
          <w:sz w:val="24"/>
          <w:szCs w:val="24"/>
        </w:rPr>
        <w:t>险</w:t>
      </w:r>
      <w:r>
        <w:rPr>
          <w:rFonts w:ascii="宋体" w:hAnsi="宋体" w:eastAsia="宋体" w:cs="宋体"/>
          <w:spacing w:val="-69"/>
          <w:sz w:val="24"/>
          <w:szCs w:val="24"/>
        </w:rPr>
        <w:t xml:space="preserve"> </w:t>
      </w:r>
      <w:r>
        <w:rPr>
          <w:rFonts w:ascii="宋体" w:hAnsi="宋体" w:eastAsia="宋体" w:cs="宋体"/>
          <w:spacing w:val="16"/>
          <w:sz w:val="24"/>
          <w:szCs w:val="24"/>
        </w:rPr>
        <w:t>管控标准（</w:t>
      </w:r>
      <w:r>
        <w:rPr>
          <w:rFonts w:ascii="宋体" w:hAnsi="宋体" w:eastAsia="宋体" w:cs="宋体"/>
          <w:spacing w:val="15"/>
          <w:sz w:val="24"/>
          <w:szCs w:val="24"/>
        </w:rPr>
        <w:t>试</w:t>
      </w:r>
      <w:r>
        <w:rPr>
          <w:rFonts w:ascii="宋体" w:hAnsi="宋体" w:eastAsia="宋体" w:cs="宋体"/>
          <w:spacing w:val="-71"/>
          <w:sz w:val="24"/>
          <w:szCs w:val="24"/>
        </w:rPr>
        <w:t xml:space="preserve"> </w:t>
      </w:r>
      <w:r>
        <w:rPr>
          <w:rFonts w:ascii="宋体" w:hAnsi="宋体" w:eastAsia="宋体" w:cs="宋体"/>
          <w:spacing w:val="15"/>
          <w:sz w:val="24"/>
          <w:szCs w:val="24"/>
        </w:rPr>
        <w:t>行）</w:t>
      </w:r>
      <w:r>
        <w:rPr>
          <w:rFonts w:ascii="宋体" w:hAnsi="宋体" w:eastAsia="宋体" w:cs="宋体"/>
          <w:spacing w:val="-53"/>
          <w:sz w:val="24"/>
          <w:szCs w:val="24"/>
        </w:rPr>
        <w:t xml:space="preserve"> </w:t>
      </w:r>
      <w:r>
        <w:rPr>
          <w:rFonts w:ascii="宋体" w:hAnsi="宋体" w:eastAsia="宋体" w:cs="宋体"/>
          <w:spacing w:val="15"/>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GB15618-2018</w:t>
      </w:r>
      <w:r>
        <w:rPr>
          <w:rFonts w:ascii="宋体" w:hAnsi="宋体" w:eastAsia="宋体" w:cs="宋体"/>
          <w:spacing w:val="4"/>
          <w:sz w:val="24"/>
          <w:szCs w:val="24"/>
        </w:rPr>
        <w:t>），</w:t>
      </w:r>
      <w:r>
        <w:rPr>
          <w:rFonts w:ascii="宋体" w:hAnsi="宋体" w:eastAsia="宋体" w:cs="宋体"/>
          <w:spacing w:val="-1"/>
          <w:sz w:val="24"/>
          <w:szCs w:val="24"/>
        </w:rPr>
        <w:t>农用地土壤污染</w:t>
      </w:r>
      <w:r>
        <w:rPr>
          <w:rFonts w:ascii="宋体" w:hAnsi="宋体" w:eastAsia="宋体" w:cs="宋体"/>
          <w:spacing w:val="-2"/>
          <w:sz w:val="24"/>
          <w:szCs w:val="24"/>
        </w:rPr>
        <w:t>风险筛选值。</w:t>
      </w:r>
    </w:p>
    <w:p w14:paraId="4F5A59FD">
      <w:pPr>
        <w:spacing w:before="182" w:line="220" w:lineRule="auto"/>
        <w:ind w:left="627"/>
        <w:outlineLvl w:val="2"/>
        <w:rPr>
          <w:rFonts w:ascii="宋体" w:hAnsi="宋体" w:eastAsia="宋体" w:cs="宋体"/>
          <w:sz w:val="24"/>
          <w:szCs w:val="24"/>
        </w:rPr>
      </w:pPr>
      <w:bookmarkStart w:id="23" w:name="bookmark21"/>
      <w:bookmarkEnd w:id="23"/>
      <w:r>
        <w:rPr>
          <w:rFonts w:ascii="Times New Roman" w:hAnsi="Times New Roman" w:eastAsia="Times New Roman" w:cs="Times New Roman"/>
          <w:b/>
          <w:bCs/>
          <w:spacing w:val="-2"/>
          <w:sz w:val="24"/>
          <w:szCs w:val="24"/>
        </w:rPr>
        <w:t xml:space="preserve">2.3.2 </w:t>
      </w:r>
      <w:r>
        <w:rPr>
          <w:rFonts w:ascii="宋体" w:hAnsi="宋体" w:eastAsia="宋体" w:cs="宋体"/>
          <w:b/>
          <w:bCs/>
          <w:spacing w:val="-2"/>
          <w:sz w:val="24"/>
          <w:szCs w:val="24"/>
        </w:rPr>
        <w:t>污染物排放标准</w:t>
      </w:r>
    </w:p>
    <w:p w14:paraId="07225446">
      <w:pPr>
        <w:spacing w:before="182" w:line="290" w:lineRule="auto"/>
        <w:ind w:left="162" w:right="276" w:firstLine="480"/>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 xml:space="preserve">1 </w:t>
      </w:r>
      <w:r>
        <w:rPr>
          <w:rFonts w:ascii="宋体" w:hAnsi="宋体" w:eastAsia="宋体" w:cs="宋体"/>
          <w:spacing w:val="16"/>
          <w:sz w:val="24"/>
          <w:szCs w:val="24"/>
        </w:rPr>
        <w:t>）选矿有组织和无组织粉尘执行《铅、锌工业污染物排放标准》</w:t>
      </w:r>
      <w:r>
        <w:rPr>
          <w:rFonts w:ascii="宋体" w:hAnsi="宋体" w:eastAsia="宋体" w:cs="宋体"/>
          <w:spacing w:val="7"/>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GB25466-2010</w:t>
      </w:r>
      <w:r>
        <w:rPr>
          <w:rFonts w:ascii="宋体" w:hAnsi="宋体" w:eastAsia="宋体" w:cs="宋体"/>
          <w:spacing w:val="-1"/>
          <w:sz w:val="24"/>
          <w:szCs w:val="24"/>
        </w:rPr>
        <w:t>）及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年修</w:t>
      </w:r>
      <w:r>
        <w:rPr>
          <w:rFonts w:ascii="宋体" w:hAnsi="宋体" w:eastAsia="宋体" w:cs="宋体"/>
          <w:spacing w:val="-2"/>
          <w:sz w:val="24"/>
          <w:szCs w:val="24"/>
        </w:rPr>
        <w:t>改单；</w:t>
      </w:r>
    </w:p>
    <w:p w14:paraId="21695ADE">
      <w:pPr>
        <w:spacing w:before="182" w:line="291" w:lineRule="auto"/>
        <w:ind w:left="169" w:right="259" w:firstLine="47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）生活污水回用执行《城市污水再生利用</w:t>
      </w:r>
      <w:r>
        <w:rPr>
          <w:rFonts w:ascii="Times New Roman" w:hAnsi="Times New Roman" w:eastAsia="Times New Roman" w:cs="Times New Roman"/>
          <w:spacing w:val="1"/>
          <w:sz w:val="24"/>
          <w:szCs w:val="24"/>
        </w:rPr>
        <w:t>—</w:t>
      </w:r>
      <w:r>
        <w:rPr>
          <w:rFonts w:ascii="宋体" w:hAnsi="宋体" w:eastAsia="宋体" w:cs="宋体"/>
          <w:spacing w:val="1"/>
          <w:sz w:val="24"/>
          <w:szCs w:val="24"/>
        </w:rPr>
        <w:t>城市杂用水水质》（</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 xml:space="preserve">/T </w:t>
      </w:r>
      <w:r>
        <w:rPr>
          <w:rFonts w:ascii="Times New Roman" w:hAnsi="Times New Roman" w:eastAsia="Times New Roman" w:cs="Times New Roman"/>
          <w:spacing w:val="-3"/>
          <w:sz w:val="24"/>
          <w:szCs w:val="24"/>
        </w:rPr>
        <w:t>18920—2020</w:t>
      </w:r>
      <w:r>
        <w:rPr>
          <w:rFonts w:ascii="宋体" w:hAnsi="宋体" w:eastAsia="宋体" w:cs="宋体"/>
          <w:sz w:val="24"/>
          <w:szCs w:val="24"/>
        </w:rPr>
        <w:t>）；</w:t>
      </w:r>
    </w:p>
    <w:p w14:paraId="08D1463F">
      <w:pPr>
        <w:spacing w:before="179" w:line="290" w:lineRule="auto"/>
        <w:ind w:left="146" w:right="163" w:firstLine="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）厂界噪声执行《工业企业厂界环境噪声</w:t>
      </w:r>
      <w:r>
        <w:rPr>
          <w:rFonts w:ascii="宋体" w:hAnsi="宋体" w:eastAsia="宋体" w:cs="宋体"/>
          <w:spacing w:val="-3"/>
          <w:sz w:val="24"/>
          <w:szCs w:val="24"/>
        </w:rPr>
        <w:t>排放标准》（</w:t>
      </w:r>
      <w:r>
        <w:rPr>
          <w:rFonts w:ascii="Times New Roman" w:hAnsi="Times New Roman" w:eastAsia="Times New Roman" w:cs="Times New Roman"/>
          <w:spacing w:val="-3"/>
          <w:sz w:val="24"/>
          <w:szCs w:val="24"/>
        </w:rPr>
        <w:t>GB12348-2008</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w:t>
      </w:r>
    </w:p>
    <w:p w14:paraId="027BF594">
      <w:pPr>
        <w:spacing w:before="183" w:line="219" w:lineRule="auto"/>
        <w:ind w:left="6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）施工期执行《建筑施工厂界环境噪声排放标准》（</w:t>
      </w:r>
      <w:r>
        <w:rPr>
          <w:rFonts w:ascii="Times New Roman" w:hAnsi="Times New Roman" w:eastAsia="Times New Roman" w:cs="Times New Roman"/>
          <w:spacing w:val="-4"/>
          <w:sz w:val="24"/>
          <w:szCs w:val="24"/>
        </w:rPr>
        <w:t>GB</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4"/>
          <w:sz w:val="24"/>
          <w:szCs w:val="24"/>
        </w:rPr>
        <w:t>12523-2011</w:t>
      </w:r>
      <w:r>
        <w:rPr>
          <w:rFonts w:ascii="宋体" w:hAnsi="宋体" w:eastAsia="宋体" w:cs="宋体"/>
          <w:spacing w:val="6"/>
          <w:sz w:val="24"/>
          <w:szCs w:val="24"/>
        </w:rPr>
        <w:t>）；</w:t>
      </w:r>
    </w:p>
    <w:p w14:paraId="6F5408A7">
      <w:pPr>
        <w:spacing w:before="182" w:line="291" w:lineRule="auto"/>
        <w:ind w:left="162" w:right="276" w:firstLine="48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）一般固体废物执行《一般工业固体废</w:t>
      </w:r>
      <w:r>
        <w:rPr>
          <w:rFonts w:ascii="宋体" w:hAnsi="宋体" w:eastAsia="宋体" w:cs="宋体"/>
          <w:spacing w:val="2"/>
          <w:sz w:val="24"/>
          <w:szCs w:val="24"/>
        </w:rPr>
        <w:t>物贮存和填埋污染控制标准》</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GB18599-2020</w:t>
      </w:r>
      <w:r>
        <w:rPr>
          <w:rFonts w:ascii="宋体" w:hAnsi="宋体" w:eastAsia="宋体" w:cs="宋体"/>
          <w:spacing w:val="1"/>
          <w:sz w:val="24"/>
          <w:szCs w:val="24"/>
        </w:rPr>
        <w:t>）；</w:t>
      </w:r>
    </w:p>
    <w:p w14:paraId="7FE7176E">
      <w:pPr>
        <w:spacing w:before="181" w:line="219" w:lineRule="auto"/>
        <w:ind w:left="64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）危险废物执行《危险废物贮存污染控制标准》（</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2"/>
          <w:sz w:val="24"/>
          <w:szCs w:val="24"/>
        </w:rPr>
        <w:t>18597-2023</w:t>
      </w:r>
      <w:r>
        <w:rPr>
          <w:rFonts w:ascii="宋体" w:hAnsi="宋体" w:eastAsia="宋体" w:cs="宋体"/>
          <w:spacing w:val="-2"/>
          <w:sz w:val="24"/>
          <w:szCs w:val="24"/>
        </w:rPr>
        <w:t>）。</w:t>
      </w:r>
    </w:p>
    <w:p w14:paraId="014B537E">
      <w:pPr>
        <w:spacing w:before="183" w:line="219" w:lineRule="auto"/>
        <w:ind w:left="657"/>
        <w:rPr>
          <w:rFonts w:ascii="宋体" w:hAnsi="宋体" w:eastAsia="宋体" w:cs="宋体"/>
          <w:sz w:val="24"/>
          <w:szCs w:val="24"/>
        </w:rPr>
      </w:pPr>
      <w:r>
        <w:rPr>
          <w:rFonts w:ascii="宋体" w:hAnsi="宋体" w:eastAsia="宋体" w:cs="宋体"/>
          <w:spacing w:val="-2"/>
          <w:sz w:val="24"/>
          <w:szCs w:val="24"/>
        </w:rPr>
        <w:t>以上各类标准摘录见表</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2.3-1 </w:t>
      </w:r>
      <w:r>
        <w:rPr>
          <w:rFonts w:ascii="宋体" w:hAnsi="宋体" w:eastAsia="宋体" w:cs="宋体"/>
          <w:spacing w:val="-2"/>
          <w:sz w:val="24"/>
          <w:szCs w:val="24"/>
        </w:rPr>
        <w:t>至表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2.3-10</w:t>
      </w:r>
      <w:r>
        <w:rPr>
          <w:rFonts w:ascii="宋体" w:hAnsi="宋体" w:eastAsia="宋体" w:cs="宋体"/>
          <w:spacing w:val="-2"/>
          <w:sz w:val="24"/>
          <w:szCs w:val="24"/>
        </w:rPr>
        <w:t>。</w:t>
      </w:r>
    </w:p>
    <w:p w14:paraId="14A61553">
      <w:pPr>
        <w:spacing w:before="106" w:line="212" w:lineRule="auto"/>
        <w:ind w:left="1582"/>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2.3-1    </w:t>
      </w:r>
      <w:r>
        <w:rPr>
          <w:rFonts w:ascii="宋体" w:hAnsi="宋体" w:eastAsia="宋体" w:cs="宋体"/>
          <w:sz w:val="24"/>
          <w:szCs w:val="24"/>
        </w:rPr>
        <w:t>《环境空气质量标准</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GB3095-2012</w:t>
      </w:r>
      <w:r>
        <w:rPr>
          <w:rFonts w:ascii="宋体" w:hAnsi="宋体" w:eastAsia="宋体" w:cs="宋体"/>
          <w:spacing w:val="-1"/>
          <w:sz w:val="24"/>
          <w:szCs w:val="24"/>
        </w:rPr>
        <w:t>）</w:t>
      </w:r>
    </w:p>
    <w:tbl>
      <w:tblPr>
        <w:tblStyle w:val="5"/>
        <w:tblW w:w="8529"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2376"/>
        <w:gridCol w:w="1379"/>
        <w:gridCol w:w="1663"/>
        <w:gridCol w:w="2052"/>
      </w:tblGrid>
      <w:tr w14:paraId="2C8B7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59" w:type="dxa"/>
            <w:vAlign w:val="top"/>
          </w:tcPr>
          <w:p w14:paraId="7EB834A1">
            <w:pPr>
              <w:pStyle w:val="6"/>
              <w:spacing w:before="55" w:line="261" w:lineRule="auto"/>
              <w:ind w:left="326" w:right="214" w:hanging="106"/>
            </w:pPr>
            <w:r>
              <w:rPr>
                <w:spacing w:val="6"/>
              </w:rPr>
              <w:t>污染物</w:t>
            </w:r>
            <w:r>
              <w:t xml:space="preserve"> </w:t>
            </w:r>
            <w:r>
              <w:rPr>
                <w:spacing w:val="3"/>
              </w:rPr>
              <w:t>名称</w:t>
            </w:r>
          </w:p>
        </w:tc>
        <w:tc>
          <w:tcPr>
            <w:tcW w:w="2376" w:type="dxa"/>
            <w:vAlign w:val="top"/>
          </w:tcPr>
          <w:p w14:paraId="49117565">
            <w:pPr>
              <w:pStyle w:val="6"/>
              <w:spacing w:before="211" w:line="228" w:lineRule="auto"/>
              <w:ind w:left="775"/>
            </w:pPr>
            <w:r>
              <w:rPr>
                <w:spacing w:val="6"/>
              </w:rPr>
              <w:t>取值时间</w:t>
            </w:r>
          </w:p>
        </w:tc>
        <w:tc>
          <w:tcPr>
            <w:tcW w:w="1379" w:type="dxa"/>
            <w:vAlign w:val="top"/>
          </w:tcPr>
          <w:p w14:paraId="05CF05B1">
            <w:pPr>
              <w:pStyle w:val="6"/>
              <w:spacing w:before="211" w:line="228" w:lineRule="auto"/>
              <w:ind w:left="275"/>
            </w:pPr>
            <w:r>
              <w:rPr>
                <w:spacing w:val="7"/>
              </w:rPr>
              <w:t>浓度限值</w:t>
            </w:r>
          </w:p>
        </w:tc>
        <w:tc>
          <w:tcPr>
            <w:tcW w:w="1663" w:type="dxa"/>
            <w:vAlign w:val="top"/>
          </w:tcPr>
          <w:p w14:paraId="53C25741">
            <w:pPr>
              <w:pStyle w:val="6"/>
              <w:spacing w:before="212" w:line="228" w:lineRule="auto"/>
              <w:ind w:left="418"/>
            </w:pPr>
            <w:r>
              <w:rPr>
                <w:spacing w:val="7"/>
              </w:rPr>
              <w:t>浓度单位</w:t>
            </w:r>
          </w:p>
        </w:tc>
        <w:tc>
          <w:tcPr>
            <w:tcW w:w="2052" w:type="dxa"/>
            <w:vAlign w:val="top"/>
          </w:tcPr>
          <w:p w14:paraId="39C05C27">
            <w:pPr>
              <w:pStyle w:val="6"/>
              <w:spacing w:before="212" w:line="228" w:lineRule="auto"/>
              <w:ind w:left="611"/>
            </w:pPr>
            <w:r>
              <w:rPr>
                <w:spacing w:val="7"/>
              </w:rPr>
              <w:t>标准名称</w:t>
            </w:r>
          </w:p>
        </w:tc>
      </w:tr>
    </w:tbl>
    <w:p w14:paraId="72968029">
      <w:pPr>
        <w:pStyle w:val="2"/>
        <w:spacing w:line="178" w:lineRule="exact"/>
        <w:rPr>
          <w:sz w:val="15"/>
        </w:rPr>
      </w:pPr>
    </w:p>
    <w:p w14:paraId="2CD6E64A">
      <w:pPr>
        <w:spacing w:line="178" w:lineRule="exact"/>
        <w:rPr>
          <w:sz w:val="15"/>
          <w:szCs w:val="15"/>
        </w:rPr>
        <w:sectPr>
          <w:headerReference r:id="rId21" w:type="default"/>
          <w:footerReference r:id="rId22" w:type="default"/>
          <w:pgSz w:w="11906" w:h="16839"/>
          <w:pgMar w:top="1208" w:right="1686" w:bottom="1358" w:left="1656" w:header="825" w:footer="1195" w:gutter="0"/>
          <w:cols w:space="720" w:num="1"/>
        </w:sectPr>
      </w:pPr>
    </w:p>
    <w:p w14:paraId="7913D0F8">
      <w:pPr>
        <w:spacing w:line="231" w:lineRule="exact"/>
      </w:pPr>
    </w:p>
    <w:tbl>
      <w:tblPr>
        <w:tblStyle w:val="5"/>
        <w:tblW w:w="8529"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2376"/>
        <w:gridCol w:w="1379"/>
        <w:gridCol w:w="1663"/>
        <w:gridCol w:w="2052"/>
      </w:tblGrid>
      <w:tr w14:paraId="5B500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59" w:type="dxa"/>
            <w:vAlign w:val="top"/>
          </w:tcPr>
          <w:p w14:paraId="2BFBC655">
            <w:pPr>
              <w:pStyle w:val="6"/>
              <w:spacing w:before="57" w:line="261" w:lineRule="auto"/>
              <w:ind w:left="326" w:right="214" w:hanging="106"/>
            </w:pPr>
            <w:r>
              <w:rPr>
                <w:spacing w:val="6"/>
              </w:rPr>
              <w:t>污染物</w:t>
            </w:r>
            <w:r>
              <w:t xml:space="preserve"> </w:t>
            </w:r>
            <w:r>
              <w:rPr>
                <w:spacing w:val="3"/>
              </w:rPr>
              <w:t>名称</w:t>
            </w:r>
          </w:p>
        </w:tc>
        <w:tc>
          <w:tcPr>
            <w:tcW w:w="2376" w:type="dxa"/>
            <w:vAlign w:val="top"/>
          </w:tcPr>
          <w:p w14:paraId="3A3D9322">
            <w:pPr>
              <w:pStyle w:val="6"/>
              <w:spacing w:before="212" w:line="228" w:lineRule="auto"/>
              <w:ind w:left="775"/>
            </w:pPr>
            <w:r>
              <w:rPr>
                <w:spacing w:val="6"/>
              </w:rPr>
              <w:t>取值时间</w:t>
            </w:r>
          </w:p>
        </w:tc>
        <w:tc>
          <w:tcPr>
            <w:tcW w:w="1379" w:type="dxa"/>
            <w:vAlign w:val="top"/>
          </w:tcPr>
          <w:p w14:paraId="2589997F">
            <w:pPr>
              <w:pStyle w:val="6"/>
              <w:spacing w:before="212" w:line="228" w:lineRule="auto"/>
              <w:ind w:left="275"/>
            </w:pPr>
            <w:r>
              <w:rPr>
                <w:spacing w:val="7"/>
              </w:rPr>
              <w:t>浓度限值</w:t>
            </w:r>
          </w:p>
        </w:tc>
        <w:tc>
          <w:tcPr>
            <w:tcW w:w="1663" w:type="dxa"/>
            <w:vAlign w:val="top"/>
          </w:tcPr>
          <w:p w14:paraId="5B2D333E">
            <w:pPr>
              <w:pStyle w:val="6"/>
              <w:spacing w:before="212" w:line="228" w:lineRule="auto"/>
              <w:ind w:left="418"/>
            </w:pPr>
            <w:r>
              <w:rPr>
                <w:spacing w:val="7"/>
              </w:rPr>
              <w:t>浓度单位</w:t>
            </w:r>
          </w:p>
        </w:tc>
        <w:tc>
          <w:tcPr>
            <w:tcW w:w="2052" w:type="dxa"/>
            <w:vAlign w:val="top"/>
          </w:tcPr>
          <w:p w14:paraId="43FE065B">
            <w:pPr>
              <w:pStyle w:val="6"/>
              <w:spacing w:before="212" w:line="228" w:lineRule="auto"/>
              <w:ind w:left="611"/>
            </w:pPr>
            <w:r>
              <w:rPr>
                <w:spacing w:val="7"/>
              </w:rPr>
              <w:t>标准名称</w:t>
            </w:r>
          </w:p>
        </w:tc>
      </w:tr>
      <w:tr w14:paraId="79FCE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9" w:type="dxa"/>
            <w:vMerge w:val="restart"/>
            <w:tcBorders>
              <w:bottom w:val="nil"/>
            </w:tcBorders>
            <w:vAlign w:val="top"/>
          </w:tcPr>
          <w:p w14:paraId="3D3A92B3">
            <w:pPr>
              <w:spacing w:line="276" w:lineRule="auto"/>
              <w:rPr>
                <w:rFonts w:ascii="Arial"/>
                <w:sz w:val="21"/>
              </w:rPr>
            </w:pPr>
          </w:p>
          <w:p w14:paraId="68D47C71">
            <w:pPr>
              <w:spacing w:before="57" w:line="202" w:lineRule="auto"/>
              <w:ind w:left="372"/>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2376" w:type="dxa"/>
            <w:vAlign w:val="top"/>
          </w:tcPr>
          <w:p w14:paraId="110B8684">
            <w:pPr>
              <w:pStyle w:val="6"/>
              <w:spacing w:before="95" w:line="228" w:lineRule="auto"/>
              <w:ind w:left="911"/>
            </w:pPr>
            <w:r>
              <w:rPr>
                <w:spacing w:val="-6"/>
              </w:rPr>
              <w:t>日平均</w:t>
            </w:r>
          </w:p>
        </w:tc>
        <w:tc>
          <w:tcPr>
            <w:tcW w:w="1379" w:type="dxa"/>
            <w:vAlign w:val="top"/>
          </w:tcPr>
          <w:p w14:paraId="43E5D9A3">
            <w:pPr>
              <w:spacing w:before="13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663" w:type="dxa"/>
            <w:vAlign w:val="top"/>
          </w:tcPr>
          <w:p w14:paraId="696B5FDA">
            <w:pPr>
              <w:spacing w:before="110"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restart"/>
            <w:tcBorders>
              <w:bottom w:val="nil"/>
            </w:tcBorders>
            <w:vAlign w:val="top"/>
          </w:tcPr>
          <w:p w14:paraId="11FB0DB3">
            <w:pPr>
              <w:spacing w:line="243" w:lineRule="auto"/>
              <w:rPr>
                <w:rFonts w:ascii="Arial"/>
                <w:sz w:val="21"/>
              </w:rPr>
            </w:pPr>
          </w:p>
          <w:p w14:paraId="4ECAEA66">
            <w:pPr>
              <w:spacing w:line="243" w:lineRule="auto"/>
              <w:rPr>
                <w:rFonts w:ascii="Arial"/>
                <w:sz w:val="21"/>
              </w:rPr>
            </w:pPr>
          </w:p>
          <w:p w14:paraId="1FDA230B">
            <w:pPr>
              <w:spacing w:line="243" w:lineRule="auto"/>
              <w:rPr>
                <w:rFonts w:ascii="Arial"/>
                <w:sz w:val="21"/>
              </w:rPr>
            </w:pPr>
          </w:p>
          <w:p w14:paraId="1555D722">
            <w:pPr>
              <w:spacing w:line="243" w:lineRule="auto"/>
              <w:rPr>
                <w:rFonts w:ascii="Arial"/>
                <w:sz w:val="21"/>
              </w:rPr>
            </w:pPr>
          </w:p>
          <w:p w14:paraId="406719CB">
            <w:pPr>
              <w:spacing w:line="243" w:lineRule="auto"/>
              <w:rPr>
                <w:rFonts w:ascii="Arial"/>
                <w:sz w:val="21"/>
              </w:rPr>
            </w:pPr>
          </w:p>
          <w:p w14:paraId="62A5B8B8">
            <w:pPr>
              <w:spacing w:line="243" w:lineRule="auto"/>
              <w:rPr>
                <w:rFonts w:ascii="Arial"/>
                <w:sz w:val="21"/>
              </w:rPr>
            </w:pPr>
          </w:p>
          <w:p w14:paraId="2E8577FE">
            <w:pPr>
              <w:spacing w:line="243" w:lineRule="auto"/>
              <w:rPr>
                <w:rFonts w:ascii="Arial"/>
                <w:sz w:val="21"/>
              </w:rPr>
            </w:pPr>
          </w:p>
          <w:p w14:paraId="6521DCB0">
            <w:pPr>
              <w:spacing w:line="244" w:lineRule="auto"/>
              <w:rPr>
                <w:rFonts w:ascii="Arial"/>
                <w:sz w:val="21"/>
              </w:rPr>
            </w:pPr>
          </w:p>
          <w:p w14:paraId="65303287">
            <w:pPr>
              <w:pStyle w:val="6"/>
              <w:spacing w:before="65" w:line="288" w:lineRule="auto"/>
              <w:ind w:left="115" w:right="55" w:firstLine="80"/>
            </w:pPr>
            <w:r>
              <w:rPr>
                <w:spacing w:val="8"/>
              </w:rPr>
              <w:t>《环境空气质量标</w:t>
            </w:r>
            <w:r>
              <w:t xml:space="preserve">  </w:t>
            </w:r>
            <w:r>
              <w:rPr>
                <w:spacing w:val="-10"/>
              </w:rPr>
              <w:t>准》（</w:t>
            </w:r>
            <w:r>
              <w:rPr>
                <w:rFonts w:ascii="Times New Roman" w:hAnsi="Times New Roman" w:eastAsia="Times New Roman" w:cs="Times New Roman"/>
                <w:spacing w:val="-10"/>
              </w:rPr>
              <w:t>GB3095-2012</w:t>
            </w:r>
            <w:r>
              <w:rPr>
                <w:spacing w:val="-48"/>
                <w:w w:val="91"/>
              </w:rPr>
              <w:t>），</w:t>
            </w:r>
          </w:p>
          <w:p w14:paraId="466D6228">
            <w:pPr>
              <w:pStyle w:val="6"/>
              <w:spacing w:line="228" w:lineRule="auto"/>
              <w:ind w:left="613"/>
            </w:pPr>
            <w:r>
              <w:rPr>
                <w:spacing w:val="6"/>
              </w:rPr>
              <w:t>二级标准</w:t>
            </w:r>
          </w:p>
        </w:tc>
      </w:tr>
      <w:tr w14:paraId="14EE7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continue"/>
            <w:tcBorders>
              <w:top w:val="nil"/>
            </w:tcBorders>
            <w:vAlign w:val="top"/>
          </w:tcPr>
          <w:p w14:paraId="4154FA52">
            <w:pPr>
              <w:rPr>
                <w:rFonts w:ascii="Arial"/>
                <w:sz w:val="21"/>
              </w:rPr>
            </w:pPr>
          </w:p>
        </w:tc>
        <w:tc>
          <w:tcPr>
            <w:tcW w:w="2376" w:type="dxa"/>
            <w:vAlign w:val="top"/>
          </w:tcPr>
          <w:p w14:paraId="1C9EBBCA">
            <w:pPr>
              <w:pStyle w:val="6"/>
              <w:spacing w:before="95" w:line="228" w:lineRule="auto"/>
              <w:ind w:left="709"/>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379" w:type="dxa"/>
            <w:vAlign w:val="top"/>
          </w:tcPr>
          <w:p w14:paraId="1FBAC50F">
            <w:pPr>
              <w:spacing w:before="130"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63" w:type="dxa"/>
            <w:vAlign w:val="top"/>
          </w:tcPr>
          <w:p w14:paraId="3C524770">
            <w:pPr>
              <w:spacing w:before="110"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229C725D">
            <w:pPr>
              <w:rPr>
                <w:rFonts w:ascii="Arial"/>
                <w:sz w:val="21"/>
              </w:rPr>
            </w:pPr>
          </w:p>
        </w:tc>
      </w:tr>
      <w:tr w14:paraId="3AC2D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9" w:type="dxa"/>
            <w:vMerge w:val="restart"/>
            <w:tcBorders>
              <w:bottom w:val="nil"/>
            </w:tcBorders>
            <w:vAlign w:val="top"/>
          </w:tcPr>
          <w:p w14:paraId="70CB4E68">
            <w:pPr>
              <w:spacing w:line="276" w:lineRule="auto"/>
              <w:rPr>
                <w:rFonts w:ascii="Arial"/>
                <w:sz w:val="21"/>
              </w:rPr>
            </w:pPr>
          </w:p>
          <w:p w14:paraId="762F03D4">
            <w:pPr>
              <w:spacing w:before="58" w:line="202" w:lineRule="auto"/>
              <w:ind w:left="34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2376" w:type="dxa"/>
            <w:vAlign w:val="top"/>
          </w:tcPr>
          <w:p w14:paraId="615356D1">
            <w:pPr>
              <w:pStyle w:val="6"/>
              <w:spacing w:before="96" w:line="228" w:lineRule="auto"/>
              <w:ind w:left="911"/>
            </w:pPr>
            <w:r>
              <w:rPr>
                <w:spacing w:val="-6"/>
              </w:rPr>
              <w:t>日平均</w:t>
            </w:r>
          </w:p>
        </w:tc>
        <w:tc>
          <w:tcPr>
            <w:tcW w:w="1379" w:type="dxa"/>
            <w:vAlign w:val="top"/>
          </w:tcPr>
          <w:p w14:paraId="15A5C114">
            <w:pPr>
              <w:spacing w:before="13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663" w:type="dxa"/>
            <w:vAlign w:val="top"/>
          </w:tcPr>
          <w:p w14:paraId="00E52858">
            <w:pPr>
              <w:spacing w:before="111"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7A801263">
            <w:pPr>
              <w:rPr>
                <w:rFonts w:ascii="Arial"/>
                <w:sz w:val="21"/>
              </w:rPr>
            </w:pPr>
          </w:p>
        </w:tc>
      </w:tr>
      <w:tr w14:paraId="312DF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9" w:type="dxa"/>
            <w:vMerge w:val="continue"/>
            <w:tcBorders>
              <w:top w:val="nil"/>
            </w:tcBorders>
            <w:vAlign w:val="top"/>
          </w:tcPr>
          <w:p w14:paraId="573E3F16">
            <w:pPr>
              <w:rPr>
                <w:rFonts w:ascii="Arial"/>
                <w:sz w:val="21"/>
              </w:rPr>
            </w:pPr>
          </w:p>
        </w:tc>
        <w:tc>
          <w:tcPr>
            <w:tcW w:w="2376" w:type="dxa"/>
            <w:vAlign w:val="top"/>
          </w:tcPr>
          <w:p w14:paraId="164D284D">
            <w:pPr>
              <w:pStyle w:val="6"/>
              <w:spacing w:before="95" w:line="228" w:lineRule="auto"/>
              <w:ind w:left="709"/>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379" w:type="dxa"/>
            <w:vAlign w:val="top"/>
          </w:tcPr>
          <w:p w14:paraId="5AB29C6C">
            <w:pPr>
              <w:spacing w:before="13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663" w:type="dxa"/>
            <w:vAlign w:val="top"/>
          </w:tcPr>
          <w:p w14:paraId="54217B74">
            <w:pPr>
              <w:spacing w:before="114" w:line="215"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2052" w:type="dxa"/>
            <w:vMerge w:val="continue"/>
            <w:tcBorders>
              <w:top w:val="nil"/>
              <w:bottom w:val="nil"/>
            </w:tcBorders>
            <w:vAlign w:val="top"/>
          </w:tcPr>
          <w:p w14:paraId="215DEFE4">
            <w:pPr>
              <w:rPr>
                <w:rFonts w:ascii="Arial"/>
                <w:sz w:val="21"/>
              </w:rPr>
            </w:pPr>
          </w:p>
        </w:tc>
      </w:tr>
      <w:tr w14:paraId="05180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Align w:val="top"/>
          </w:tcPr>
          <w:p w14:paraId="26930532">
            <w:pPr>
              <w:spacing w:before="136" w:line="199" w:lineRule="auto"/>
              <w:ind w:left="310"/>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376" w:type="dxa"/>
            <w:vAlign w:val="top"/>
          </w:tcPr>
          <w:p w14:paraId="529AF02C">
            <w:pPr>
              <w:pStyle w:val="6"/>
              <w:spacing w:before="97" w:line="228" w:lineRule="auto"/>
              <w:ind w:left="911"/>
            </w:pPr>
            <w:r>
              <w:rPr>
                <w:spacing w:val="-6"/>
              </w:rPr>
              <w:t>日平均</w:t>
            </w:r>
          </w:p>
        </w:tc>
        <w:tc>
          <w:tcPr>
            <w:tcW w:w="1379" w:type="dxa"/>
            <w:vAlign w:val="top"/>
          </w:tcPr>
          <w:p w14:paraId="3EE87F6B">
            <w:pPr>
              <w:spacing w:before="13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663" w:type="dxa"/>
            <w:vAlign w:val="top"/>
          </w:tcPr>
          <w:p w14:paraId="14EB0C7A">
            <w:pPr>
              <w:spacing w:before="113"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49A520C6">
            <w:pPr>
              <w:rPr>
                <w:rFonts w:ascii="Arial"/>
                <w:sz w:val="21"/>
              </w:rPr>
            </w:pPr>
          </w:p>
        </w:tc>
      </w:tr>
      <w:tr w14:paraId="3AEEA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Align w:val="top"/>
          </w:tcPr>
          <w:p w14:paraId="606AFD19">
            <w:pPr>
              <w:spacing w:before="137" w:line="199" w:lineRule="auto"/>
              <w:ind w:left="293"/>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376" w:type="dxa"/>
            <w:vAlign w:val="top"/>
          </w:tcPr>
          <w:p w14:paraId="6785AF23">
            <w:pPr>
              <w:pStyle w:val="6"/>
              <w:spacing w:before="98" w:line="228" w:lineRule="auto"/>
              <w:ind w:left="911"/>
            </w:pPr>
            <w:r>
              <w:rPr>
                <w:spacing w:val="-6"/>
              </w:rPr>
              <w:t>日平均</w:t>
            </w:r>
          </w:p>
        </w:tc>
        <w:tc>
          <w:tcPr>
            <w:tcW w:w="1379" w:type="dxa"/>
            <w:vAlign w:val="top"/>
          </w:tcPr>
          <w:p w14:paraId="5BEE95A4">
            <w:pPr>
              <w:spacing w:before="134"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663" w:type="dxa"/>
            <w:vAlign w:val="top"/>
          </w:tcPr>
          <w:p w14:paraId="32088AB6">
            <w:pPr>
              <w:spacing w:before="114"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1BC10647">
            <w:pPr>
              <w:rPr>
                <w:rFonts w:ascii="Arial"/>
                <w:sz w:val="21"/>
              </w:rPr>
            </w:pPr>
          </w:p>
        </w:tc>
      </w:tr>
      <w:tr w14:paraId="5FDE3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59" w:type="dxa"/>
            <w:vMerge w:val="restart"/>
            <w:tcBorders>
              <w:bottom w:val="nil"/>
            </w:tcBorders>
            <w:vAlign w:val="top"/>
          </w:tcPr>
          <w:p w14:paraId="258466BB">
            <w:pPr>
              <w:spacing w:line="277" w:lineRule="auto"/>
              <w:rPr>
                <w:rFonts w:ascii="Arial"/>
                <w:sz w:val="21"/>
              </w:rPr>
            </w:pPr>
          </w:p>
          <w:p w14:paraId="02DA674C">
            <w:pPr>
              <w:spacing w:before="5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2376" w:type="dxa"/>
            <w:vAlign w:val="top"/>
          </w:tcPr>
          <w:p w14:paraId="4EFE2D4D">
            <w:pPr>
              <w:pStyle w:val="6"/>
              <w:spacing w:before="97" w:line="228" w:lineRule="auto"/>
              <w:ind w:left="911"/>
            </w:pPr>
            <w:r>
              <w:rPr>
                <w:spacing w:val="-6"/>
              </w:rPr>
              <w:t>日平均</w:t>
            </w:r>
          </w:p>
        </w:tc>
        <w:tc>
          <w:tcPr>
            <w:tcW w:w="1379" w:type="dxa"/>
            <w:vAlign w:val="top"/>
          </w:tcPr>
          <w:p w14:paraId="764A9030">
            <w:pPr>
              <w:spacing w:before="133"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63" w:type="dxa"/>
            <w:vAlign w:val="top"/>
          </w:tcPr>
          <w:p w14:paraId="1B7775C9">
            <w:pPr>
              <w:spacing w:before="112"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5FF3BE8C">
            <w:pPr>
              <w:rPr>
                <w:rFonts w:ascii="Arial"/>
                <w:sz w:val="21"/>
              </w:rPr>
            </w:pPr>
          </w:p>
        </w:tc>
      </w:tr>
      <w:tr w14:paraId="706E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continue"/>
            <w:tcBorders>
              <w:top w:val="nil"/>
            </w:tcBorders>
            <w:vAlign w:val="top"/>
          </w:tcPr>
          <w:p w14:paraId="2A8570F8">
            <w:pPr>
              <w:rPr>
                <w:rFonts w:ascii="Arial"/>
                <w:sz w:val="21"/>
              </w:rPr>
            </w:pPr>
          </w:p>
        </w:tc>
        <w:tc>
          <w:tcPr>
            <w:tcW w:w="2376" w:type="dxa"/>
            <w:vAlign w:val="top"/>
          </w:tcPr>
          <w:p w14:paraId="07424544">
            <w:pPr>
              <w:pStyle w:val="6"/>
              <w:spacing w:before="99" w:line="228" w:lineRule="auto"/>
              <w:ind w:left="709"/>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379" w:type="dxa"/>
            <w:vAlign w:val="top"/>
          </w:tcPr>
          <w:p w14:paraId="3157CE41">
            <w:pPr>
              <w:spacing w:before="134"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63" w:type="dxa"/>
            <w:vAlign w:val="top"/>
          </w:tcPr>
          <w:p w14:paraId="4A768FA6">
            <w:pPr>
              <w:spacing w:before="114"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7987E22E">
            <w:pPr>
              <w:rPr>
                <w:rFonts w:ascii="Arial"/>
                <w:sz w:val="21"/>
              </w:rPr>
            </w:pPr>
          </w:p>
        </w:tc>
      </w:tr>
      <w:tr w14:paraId="26274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restart"/>
            <w:tcBorders>
              <w:bottom w:val="nil"/>
            </w:tcBorders>
            <w:vAlign w:val="top"/>
          </w:tcPr>
          <w:p w14:paraId="065A40ED">
            <w:pPr>
              <w:spacing w:line="278" w:lineRule="auto"/>
              <w:rPr>
                <w:rFonts w:ascii="Arial"/>
                <w:sz w:val="21"/>
              </w:rPr>
            </w:pPr>
          </w:p>
          <w:p w14:paraId="460510DE">
            <w:pPr>
              <w:spacing w:before="57" w:line="202" w:lineRule="auto"/>
              <w:ind w:left="424"/>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2376" w:type="dxa"/>
            <w:vAlign w:val="top"/>
          </w:tcPr>
          <w:p w14:paraId="07ED8286">
            <w:pPr>
              <w:pStyle w:val="6"/>
              <w:spacing w:before="97" w:line="228" w:lineRule="auto"/>
              <w:ind w:left="388"/>
            </w:pPr>
            <w:r>
              <w:t>日最大</w:t>
            </w:r>
            <w:r>
              <w:rPr>
                <w:spacing w:val="-35"/>
              </w:rPr>
              <w:t xml:space="preserve"> </w:t>
            </w:r>
            <w:r>
              <w:rPr>
                <w:rFonts w:ascii="Times New Roman" w:hAnsi="Times New Roman" w:eastAsia="Times New Roman" w:cs="Times New Roman"/>
              </w:rPr>
              <w:t>8</w:t>
            </w:r>
            <w:r>
              <w:rPr>
                <w:rFonts w:ascii="Times New Roman" w:hAnsi="Times New Roman" w:eastAsia="Times New Roman" w:cs="Times New Roman"/>
                <w:spacing w:val="17"/>
                <w:w w:val="101"/>
              </w:rPr>
              <w:t xml:space="preserve"> </w:t>
            </w:r>
            <w:r>
              <w:t>小时平均</w:t>
            </w:r>
          </w:p>
        </w:tc>
        <w:tc>
          <w:tcPr>
            <w:tcW w:w="1379" w:type="dxa"/>
            <w:vAlign w:val="top"/>
          </w:tcPr>
          <w:p w14:paraId="29A2141A">
            <w:pPr>
              <w:spacing w:before="13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63" w:type="dxa"/>
            <w:vAlign w:val="top"/>
          </w:tcPr>
          <w:p w14:paraId="49E1BC69">
            <w:pPr>
              <w:spacing w:before="116" w:line="215"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2052" w:type="dxa"/>
            <w:vMerge w:val="continue"/>
            <w:tcBorders>
              <w:top w:val="nil"/>
              <w:bottom w:val="nil"/>
            </w:tcBorders>
            <w:vAlign w:val="top"/>
          </w:tcPr>
          <w:p w14:paraId="0B9F07AC">
            <w:pPr>
              <w:rPr>
                <w:rFonts w:ascii="Arial"/>
                <w:sz w:val="21"/>
              </w:rPr>
            </w:pPr>
          </w:p>
        </w:tc>
      </w:tr>
      <w:tr w14:paraId="27BEF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continue"/>
            <w:tcBorders>
              <w:top w:val="nil"/>
            </w:tcBorders>
            <w:vAlign w:val="top"/>
          </w:tcPr>
          <w:p w14:paraId="3F55C5D2">
            <w:pPr>
              <w:rPr>
                <w:rFonts w:ascii="Arial"/>
                <w:sz w:val="21"/>
              </w:rPr>
            </w:pPr>
          </w:p>
        </w:tc>
        <w:tc>
          <w:tcPr>
            <w:tcW w:w="2376" w:type="dxa"/>
            <w:vAlign w:val="top"/>
          </w:tcPr>
          <w:p w14:paraId="2FB21DF3">
            <w:pPr>
              <w:pStyle w:val="6"/>
              <w:spacing w:before="99" w:line="228" w:lineRule="auto"/>
              <w:ind w:left="709"/>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1379" w:type="dxa"/>
            <w:vAlign w:val="top"/>
          </w:tcPr>
          <w:p w14:paraId="4AED258D">
            <w:pPr>
              <w:spacing w:before="13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663" w:type="dxa"/>
            <w:vAlign w:val="top"/>
          </w:tcPr>
          <w:p w14:paraId="7DC989DD">
            <w:pPr>
              <w:spacing w:before="114"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bottom w:val="nil"/>
            </w:tcBorders>
            <w:vAlign w:val="top"/>
          </w:tcPr>
          <w:p w14:paraId="3BC2D750">
            <w:pPr>
              <w:rPr>
                <w:rFonts w:ascii="Arial"/>
                <w:sz w:val="21"/>
              </w:rPr>
            </w:pPr>
          </w:p>
        </w:tc>
      </w:tr>
      <w:tr w14:paraId="1B0D0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59" w:type="dxa"/>
            <w:vMerge w:val="restart"/>
            <w:tcBorders>
              <w:bottom w:val="nil"/>
            </w:tcBorders>
            <w:vAlign w:val="top"/>
          </w:tcPr>
          <w:p w14:paraId="2C534293">
            <w:pPr>
              <w:spacing w:line="277" w:lineRule="auto"/>
              <w:rPr>
                <w:rFonts w:ascii="Arial"/>
                <w:sz w:val="21"/>
              </w:rPr>
            </w:pPr>
          </w:p>
          <w:p w14:paraId="1F227049">
            <w:pPr>
              <w:spacing w:before="58"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376" w:type="dxa"/>
            <w:vAlign w:val="top"/>
          </w:tcPr>
          <w:p w14:paraId="3A834C1E">
            <w:pPr>
              <w:pStyle w:val="6"/>
              <w:spacing w:before="97" w:line="228" w:lineRule="auto"/>
              <w:ind w:left="911"/>
            </w:pPr>
            <w:r>
              <w:rPr>
                <w:spacing w:val="-6"/>
              </w:rPr>
              <w:t>日平均</w:t>
            </w:r>
          </w:p>
        </w:tc>
        <w:tc>
          <w:tcPr>
            <w:tcW w:w="1379" w:type="dxa"/>
            <w:vAlign w:val="top"/>
          </w:tcPr>
          <w:p w14:paraId="3EFD0D06">
            <w:pPr>
              <w:spacing w:before="133"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663" w:type="dxa"/>
            <w:vAlign w:val="top"/>
          </w:tcPr>
          <w:p w14:paraId="29E70EE6">
            <w:pPr>
              <w:spacing w:before="115" w:line="215"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5"/>
                <w:sz w:val="13"/>
                <w:szCs w:val="13"/>
              </w:rPr>
              <w:t>3</w:t>
            </w:r>
          </w:p>
        </w:tc>
        <w:tc>
          <w:tcPr>
            <w:tcW w:w="2052" w:type="dxa"/>
            <w:vMerge w:val="continue"/>
            <w:tcBorders>
              <w:top w:val="nil"/>
              <w:bottom w:val="nil"/>
            </w:tcBorders>
            <w:vAlign w:val="top"/>
          </w:tcPr>
          <w:p w14:paraId="4D851886">
            <w:pPr>
              <w:rPr>
                <w:rFonts w:ascii="Arial"/>
                <w:sz w:val="21"/>
              </w:rPr>
            </w:pPr>
          </w:p>
        </w:tc>
      </w:tr>
      <w:tr w14:paraId="01175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59" w:type="dxa"/>
            <w:vMerge w:val="continue"/>
            <w:tcBorders>
              <w:top w:val="nil"/>
            </w:tcBorders>
            <w:vAlign w:val="top"/>
          </w:tcPr>
          <w:p w14:paraId="7BC2232B">
            <w:pPr>
              <w:rPr>
                <w:rFonts w:ascii="Arial"/>
                <w:sz w:val="21"/>
              </w:rPr>
            </w:pPr>
          </w:p>
        </w:tc>
        <w:tc>
          <w:tcPr>
            <w:tcW w:w="2376" w:type="dxa"/>
            <w:vAlign w:val="top"/>
          </w:tcPr>
          <w:p w14:paraId="7BB0D27F">
            <w:pPr>
              <w:pStyle w:val="6"/>
              <w:spacing w:before="97" w:line="228" w:lineRule="auto"/>
              <w:ind w:left="876"/>
            </w:pPr>
            <w:r>
              <w:rPr>
                <w:spacing w:val="6"/>
              </w:rPr>
              <w:t>年平均</w:t>
            </w:r>
          </w:p>
        </w:tc>
        <w:tc>
          <w:tcPr>
            <w:tcW w:w="1379" w:type="dxa"/>
            <w:vAlign w:val="top"/>
          </w:tcPr>
          <w:p w14:paraId="07C35A45">
            <w:pPr>
              <w:spacing w:before="134"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663" w:type="dxa"/>
            <w:vAlign w:val="top"/>
          </w:tcPr>
          <w:p w14:paraId="47A6F950">
            <w:pPr>
              <w:spacing w:before="113" w:line="218" w:lineRule="auto"/>
              <w:ind w:left="55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2052" w:type="dxa"/>
            <w:vMerge w:val="continue"/>
            <w:tcBorders>
              <w:top w:val="nil"/>
            </w:tcBorders>
            <w:vAlign w:val="top"/>
          </w:tcPr>
          <w:p w14:paraId="0A235CF3">
            <w:pPr>
              <w:rPr>
                <w:rFonts w:ascii="Arial"/>
                <w:sz w:val="21"/>
              </w:rPr>
            </w:pPr>
          </w:p>
        </w:tc>
      </w:tr>
    </w:tbl>
    <w:p w14:paraId="683B1A68">
      <w:pPr>
        <w:spacing w:before="36" w:line="212" w:lineRule="auto"/>
        <w:ind w:left="1134"/>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2.3-2                      </w:t>
      </w:r>
      <w:r>
        <w:rPr>
          <w:rFonts w:ascii="宋体" w:hAnsi="宋体" w:eastAsia="宋体" w:cs="宋体"/>
          <w:sz w:val="24"/>
          <w:szCs w:val="24"/>
        </w:rPr>
        <w:t>《声环境质量标准</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w:t>
      </w: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93"/>
        <w:gridCol w:w="2968"/>
        <w:gridCol w:w="2971"/>
      </w:tblGrid>
      <w:tr w14:paraId="1A157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93" w:type="dxa"/>
            <w:vMerge w:val="restart"/>
            <w:tcBorders>
              <w:bottom w:val="nil"/>
            </w:tcBorders>
            <w:vAlign w:val="top"/>
          </w:tcPr>
          <w:p w14:paraId="13A2AC86">
            <w:pPr>
              <w:pStyle w:val="6"/>
              <w:spacing w:before="259" w:line="228" w:lineRule="auto"/>
              <w:ind w:left="466"/>
            </w:pPr>
            <w:r>
              <w:rPr>
                <w:spacing w:val="8"/>
              </w:rPr>
              <w:t>声环境功能区类别</w:t>
            </w:r>
          </w:p>
        </w:tc>
        <w:tc>
          <w:tcPr>
            <w:tcW w:w="5939" w:type="dxa"/>
            <w:gridSpan w:val="2"/>
            <w:vAlign w:val="top"/>
          </w:tcPr>
          <w:p w14:paraId="1B0F3676">
            <w:pPr>
              <w:pStyle w:val="6"/>
              <w:spacing w:before="77" w:line="229" w:lineRule="auto"/>
              <w:ind w:left="2772"/>
            </w:pPr>
            <w:r>
              <w:rPr>
                <w:spacing w:val="-1"/>
              </w:rPr>
              <w:t>时段</w:t>
            </w:r>
          </w:p>
        </w:tc>
      </w:tr>
      <w:tr w14:paraId="1B164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593" w:type="dxa"/>
            <w:vMerge w:val="continue"/>
            <w:tcBorders>
              <w:top w:val="nil"/>
            </w:tcBorders>
            <w:vAlign w:val="top"/>
          </w:tcPr>
          <w:p w14:paraId="6C0F8173">
            <w:pPr>
              <w:rPr>
                <w:rFonts w:ascii="Arial"/>
                <w:sz w:val="21"/>
              </w:rPr>
            </w:pPr>
          </w:p>
        </w:tc>
        <w:tc>
          <w:tcPr>
            <w:tcW w:w="2968" w:type="dxa"/>
            <w:vAlign w:val="top"/>
          </w:tcPr>
          <w:p w14:paraId="0C9A3720">
            <w:pPr>
              <w:pStyle w:val="6"/>
              <w:spacing w:before="74" w:line="221" w:lineRule="auto"/>
              <w:ind w:left="983"/>
              <w:rPr>
                <w:rFonts w:ascii="Times New Roman" w:hAnsi="Times New Roman" w:eastAsia="Times New Roman" w:cs="Times New Roman"/>
              </w:rPr>
            </w:pPr>
            <w:r>
              <w:rPr>
                <w:spacing w:val="5"/>
              </w:rPr>
              <w:t>昼间</w:t>
            </w:r>
            <w:r>
              <w:rPr>
                <w:spacing w:val="-37"/>
              </w:rPr>
              <w:t xml:space="preserve"> </w:t>
            </w:r>
            <w:r>
              <w:rPr>
                <w:rFonts w:ascii="Times New Roman" w:hAnsi="Times New Roman" w:eastAsia="Times New Roman" w:cs="Times New Roman"/>
              </w:rPr>
              <w:t>dB</w:t>
            </w:r>
            <w:r>
              <w:rPr>
                <w:rFonts w:ascii="Times New Roman" w:hAnsi="Times New Roman" w:eastAsia="Times New Roman" w:cs="Times New Roman"/>
                <w:spacing w:val="5"/>
              </w:rPr>
              <w:t>(A)</w:t>
            </w:r>
          </w:p>
        </w:tc>
        <w:tc>
          <w:tcPr>
            <w:tcW w:w="2971" w:type="dxa"/>
            <w:vAlign w:val="top"/>
          </w:tcPr>
          <w:p w14:paraId="7D7D2E80">
            <w:pPr>
              <w:pStyle w:val="6"/>
              <w:spacing w:before="74" w:line="221" w:lineRule="auto"/>
              <w:ind w:left="988"/>
              <w:rPr>
                <w:rFonts w:ascii="Times New Roman" w:hAnsi="Times New Roman" w:eastAsia="Times New Roman" w:cs="Times New Roman"/>
              </w:rPr>
            </w:pPr>
            <w:r>
              <w:rPr>
                <w:spacing w:val="4"/>
              </w:rPr>
              <w:t>夜间</w:t>
            </w:r>
            <w:r>
              <w:rPr>
                <w:spacing w:val="-36"/>
              </w:rPr>
              <w:t xml:space="preserve"> </w:t>
            </w:r>
            <w:r>
              <w:rPr>
                <w:rFonts w:ascii="Times New Roman" w:hAnsi="Times New Roman" w:eastAsia="Times New Roman" w:cs="Times New Roman"/>
              </w:rPr>
              <w:t>dB</w:t>
            </w:r>
            <w:r>
              <w:rPr>
                <w:rFonts w:ascii="Times New Roman" w:hAnsi="Times New Roman" w:eastAsia="Times New Roman" w:cs="Times New Roman"/>
                <w:spacing w:val="4"/>
              </w:rPr>
              <w:t>(A)</w:t>
            </w:r>
          </w:p>
        </w:tc>
      </w:tr>
      <w:tr w14:paraId="0A572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93" w:type="dxa"/>
            <w:vAlign w:val="top"/>
          </w:tcPr>
          <w:p w14:paraId="57CD05A6">
            <w:pPr>
              <w:pStyle w:val="6"/>
              <w:spacing w:before="75" w:line="228" w:lineRule="auto"/>
              <w:ind w:left="1115"/>
            </w:pPr>
            <w:r>
              <w:rPr>
                <w:rFonts w:ascii="Times New Roman" w:hAnsi="Times New Roman" w:eastAsia="Times New Roman" w:cs="Times New Roman"/>
              </w:rPr>
              <w:t>2</w:t>
            </w:r>
            <w:r>
              <w:rPr>
                <w:rFonts w:ascii="Times New Roman" w:hAnsi="Times New Roman" w:eastAsia="Times New Roman" w:cs="Times New Roman"/>
                <w:spacing w:val="9"/>
              </w:rPr>
              <w:t xml:space="preserve"> </w:t>
            </w:r>
            <w:r>
              <w:t>类</w:t>
            </w:r>
          </w:p>
        </w:tc>
        <w:tc>
          <w:tcPr>
            <w:tcW w:w="2968" w:type="dxa"/>
            <w:vAlign w:val="top"/>
          </w:tcPr>
          <w:p w14:paraId="442FA212">
            <w:pPr>
              <w:spacing w:before="111" w:line="195" w:lineRule="auto"/>
              <w:ind w:left="138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971" w:type="dxa"/>
            <w:vAlign w:val="top"/>
          </w:tcPr>
          <w:p w14:paraId="676F392B">
            <w:pPr>
              <w:spacing w:before="111" w:line="195" w:lineRule="auto"/>
              <w:ind w:left="138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4E1A2688">
      <w:pPr>
        <w:spacing w:before="38" w:line="219" w:lineRule="auto"/>
        <w:ind w:left="501"/>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2.3-3    </w:t>
      </w:r>
      <w:r>
        <w:rPr>
          <w:rFonts w:ascii="宋体" w:hAnsi="宋体" w:eastAsia="宋体" w:cs="宋体"/>
          <w:sz w:val="24"/>
          <w:szCs w:val="24"/>
        </w:rPr>
        <w:t>《土壤环境质量 建设用</w:t>
      </w:r>
      <w:r>
        <w:rPr>
          <w:rFonts w:ascii="宋体" w:hAnsi="宋体" w:eastAsia="宋体" w:cs="宋体"/>
          <w:spacing w:val="-1"/>
          <w:sz w:val="24"/>
          <w:szCs w:val="24"/>
        </w:rPr>
        <w:t>地土壤污染风险管控标准（试行）》</w:t>
      </w:r>
    </w:p>
    <w:p w14:paraId="246860C0">
      <w:pPr>
        <w:spacing w:before="27" w:line="210" w:lineRule="auto"/>
        <w:ind w:left="2440"/>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GB36600-2018</w:t>
      </w:r>
      <w:r>
        <w:rPr>
          <w:rFonts w:ascii="宋体" w:hAnsi="宋体" w:eastAsia="宋体" w:cs="宋体"/>
          <w:spacing w:val="-1"/>
          <w:sz w:val="24"/>
          <w:szCs w:val="24"/>
        </w:rPr>
        <w:t>）  单位：</w:t>
      </w:r>
      <w:r>
        <w:rPr>
          <w:rFonts w:ascii="Times New Roman" w:hAnsi="Times New Roman" w:eastAsia="Times New Roman" w:cs="Times New Roman"/>
          <w:spacing w:val="-1"/>
          <w:sz w:val="24"/>
          <w:szCs w:val="24"/>
        </w:rPr>
        <w:t>mg/kg</w:t>
      </w: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7"/>
        <w:gridCol w:w="2129"/>
        <w:gridCol w:w="2129"/>
        <w:gridCol w:w="2144"/>
      </w:tblGrid>
      <w:tr w14:paraId="598E9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27" w:type="dxa"/>
            <w:vAlign w:val="top"/>
          </w:tcPr>
          <w:p w14:paraId="6FAB4B97">
            <w:pPr>
              <w:pStyle w:val="6"/>
              <w:spacing w:before="57" w:line="229" w:lineRule="auto"/>
              <w:ind w:left="859"/>
            </w:pPr>
            <w:r>
              <w:rPr>
                <w:spacing w:val="5"/>
              </w:rPr>
              <w:t>序号</w:t>
            </w:r>
          </w:p>
        </w:tc>
        <w:tc>
          <w:tcPr>
            <w:tcW w:w="2129" w:type="dxa"/>
            <w:vAlign w:val="top"/>
          </w:tcPr>
          <w:p w14:paraId="136DBE58">
            <w:pPr>
              <w:pStyle w:val="6"/>
              <w:spacing w:before="57" w:line="228" w:lineRule="auto"/>
              <w:ind w:left="547"/>
            </w:pPr>
            <w:r>
              <w:rPr>
                <w:spacing w:val="7"/>
              </w:rPr>
              <w:t>污染物项目</w:t>
            </w:r>
          </w:p>
        </w:tc>
        <w:tc>
          <w:tcPr>
            <w:tcW w:w="2129" w:type="dxa"/>
            <w:vAlign w:val="top"/>
          </w:tcPr>
          <w:p w14:paraId="2C538092">
            <w:pPr>
              <w:pStyle w:val="6"/>
              <w:spacing w:before="56" w:line="228" w:lineRule="auto"/>
              <w:ind w:left="602"/>
            </w:pPr>
            <w:r>
              <w:rPr>
                <w:rFonts w:ascii="Times New Roman" w:hAnsi="Times New Roman" w:eastAsia="Times New Roman" w:cs="Times New Roman"/>
              </w:rPr>
              <w:t>CAS</w:t>
            </w:r>
            <w:r>
              <w:rPr>
                <w:rFonts w:ascii="Times New Roman" w:hAnsi="Times New Roman" w:eastAsia="Times New Roman" w:cs="Times New Roman"/>
                <w:spacing w:val="8"/>
              </w:rPr>
              <w:t xml:space="preserve">  </w:t>
            </w:r>
            <w:r>
              <w:rPr>
                <w:spacing w:val="8"/>
              </w:rPr>
              <w:t>编号</w:t>
            </w:r>
          </w:p>
        </w:tc>
        <w:tc>
          <w:tcPr>
            <w:tcW w:w="2144" w:type="dxa"/>
            <w:vAlign w:val="top"/>
          </w:tcPr>
          <w:p w14:paraId="2C729342">
            <w:pPr>
              <w:pStyle w:val="6"/>
              <w:spacing w:before="56" w:line="228" w:lineRule="auto"/>
              <w:ind w:left="237"/>
            </w:pPr>
            <w:r>
              <w:rPr>
                <w:spacing w:val="8"/>
              </w:rPr>
              <w:t>第二类用地筛选值</w:t>
            </w:r>
          </w:p>
        </w:tc>
      </w:tr>
      <w:tr w14:paraId="47CDF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29" w:type="dxa"/>
            <w:gridSpan w:val="4"/>
            <w:vAlign w:val="top"/>
          </w:tcPr>
          <w:p w14:paraId="3A1D4FF2">
            <w:pPr>
              <w:pStyle w:val="6"/>
              <w:spacing w:before="52" w:line="227" w:lineRule="auto"/>
              <w:ind w:left="3534"/>
            </w:pPr>
            <w:r>
              <w:rPr>
                <w:spacing w:val="8"/>
              </w:rPr>
              <w:t>重金属和无机物</w:t>
            </w:r>
          </w:p>
        </w:tc>
      </w:tr>
      <w:tr w14:paraId="2763A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084AE57">
            <w:pPr>
              <w:spacing w:before="89"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29" w:type="dxa"/>
            <w:vAlign w:val="top"/>
          </w:tcPr>
          <w:p w14:paraId="5BAE0AAA">
            <w:pPr>
              <w:pStyle w:val="6"/>
              <w:spacing w:before="53" w:line="228" w:lineRule="auto"/>
              <w:ind w:left="964"/>
            </w:pPr>
            <w:r>
              <w:rPr>
                <w:spacing w:val="1"/>
              </w:rPr>
              <w:t>砷</w:t>
            </w:r>
          </w:p>
        </w:tc>
        <w:tc>
          <w:tcPr>
            <w:tcW w:w="2129" w:type="dxa"/>
            <w:vAlign w:val="top"/>
          </w:tcPr>
          <w:p w14:paraId="49183D87">
            <w:pPr>
              <w:spacing w:before="89"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7440-38-2</w:t>
            </w:r>
          </w:p>
        </w:tc>
        <w:tc>
          <w:tcPr>
            <w:tcW w:w="2144" w:type="dxa"/>
            <w:vAlign w:val="top"/>
          </w:tcPr>
          <w:p w14:paraId="528068E8">
            <w:pPr>
              <w:pStyle w:val="6"/>
              <w:spacing w:before="53" w:line="225" w:lineRule="auto"/>
              <w:ind w:left="867"/>
            </w:pPr>
            <w:r>
              <w:rPr>
                <w:rFonts w:ascii="Times New Roman" w:hAnsi="Times New Roman" w:eastAsia="Times New Roman" w:cs="Times New Roman"/>
                <w:spacing w:val="3"/>
              </w:rPr>
              <w:t>60</w:t>
            </w:r>
            <w:r>
              <w:rPr>
                <w:spacing w:val="3"/>
              </w:rPr>
              <w:t>①</w:t>
            </w:r>
          </w:p>
        </w:tc>
      </w:tr>
      <w:tr w14:paraId="10824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46FC0A6">
            <w:pPr>
              <w:spacing w:before="88" w:line="195" w:lineRule="auto"/>
              <w:ind w:left="10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29" w:type="dxa"/>
            <w:vAlign w:val="top"/>
          </w:tcPr>
          <w:p w14:paraId="2FAC1014">
            <w:pPr>
              <w:pStyle w:val="6"/>
              <w:spacing w:before="52" w:line="231" w:lineRule="auto"/>
              <w:ind w:left="963"/>
            </w:pPr>
            <w:r>
              <w:rPr>
                <w:spacing w:val="2"/>
              </w:rPr>
              <w:t>镉</w:t>
            </w:r>
          </w:p>
        </w:tc>
        <w:tc>
          <w:tcPr>
            <w:tcW w:w="2129" w:type="dxa"/>
            <w:vAlign w:val="top"/>
          </w:tcPr>
          <w:p w14:paraId="1B3C4320">
            <w:pPr>
              <w:spacing w:before="88"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7440-43-9</w:t>
            </w:r>
          </w:p>
        </w:tc>
        <w:tc>
          <w:tcPr>
            <w:tcW w:w="2144" w:type="dxa"/>
            <w:vAlign w:val="top"/>
          </w:tcPr>
          <w:p w14:paraId="6E324EB5">
            <w:pPr>
              <w:spacing w:before="88" w:line="195" w:lineRule="auto"/>
              <w:ind w:left="97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14:paraId="4EF9D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2B0EE429">
            <w:pPr>
              <w:spacing w:before="88" w:line="195" w:lineRule="auto"/>
              <w:ind w:left="10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29" w:type="dxa"/>
            <w:vAlign w:val="top"/>
          </w:tcPr>
          <w:p w14:paraId="7C37C66A">
            <w:pPr>
              <w:pStyle w:val="6"/>
              <w:spacing w:before="52" w:line="226" w:lineRule="auto"/>
              <w:ind w:left="544"/>
            </w:pPr>
            <w:r>
              <w:rPr>
                <w:spacing w:val="6"/>
              </w:rPr>
              <w:t>铬（六价）</w:t>
            </w:r>
          </w:p>
        </w:tc>
        <w:tc>
          <w:tcPr>
            <w:tcW w:w="2129" w:type="dxa"/>
            <w:vAlign w:val="top"/>
          </w:tcPr>
          <w:p w14:paraId="3F020E6F">
            <w:pPr>
              <w:spacing w:before="88"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18540-29-9</w:t>
            </w:r>
          </w:p>
        </w:tc>
        <w:tc>
          <w:tcPr>
            <w:tcW w:w="2144" w:type="dxa"/>
            <w:vAlign w:val="top"/>
          </w:tcPr>
          <w:p w14:paraId="72D1FA6A">
            <w:pPr>
              <w:spacing w:before="91" w:line="192" w:lineRule="auto"/>
              <w:ind w:left="947"/>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r>
      <w:tr w14:paraId="13744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D5787E0">
            <w:pPr>
              <w:spacing w:before="91" w:line="195" w:lineRule="auto"/>
              <w:ind w:left="10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29" w:type="dxa"/>
            <w:vAlign w:val="top"/>
          </w:tcPr>
          <w:p w14:paraId="1CD08ECA">
            <w:pPr>
              <w:pStyle w:val="6"/>
              <w:spacing w:before="55" w:line="229" w:lineRule="auto"/>
              <w:ind w:left="965"/>
            </w:pPr>
            <w:r>
              <w:t>铜</w:t>
            </w:r>
          </w:p>
        </w:tc>
        <w:tc>
          <w:tcPr>
            <w:tcW w:w="2129" w:type="dxa"/>
            <w:vAlign w:val="top"/>
          </w:tcPr>
          <w:p w14:paraId="0336B1A3">
            <w:pPr>
              <w:spacing w:before="91"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7440-50-8</w:t>
            </w:r>
          </w:p>
        </w:tc>
        <w:tc>
          <w:tcPr>
            <w:tcW w:w="2144" w:type="dxa"/>
            <w:vAlign w:val="top"/>
          </w:tcPr>
          <w:p w14:paraId="7D7E7740">
            <w:pPr>
              <w:spacing w:before="91" w:line="195" w:lineRule="auto"/>
              <w:ind w:left="830"/>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r>
      <w:tr w14:paraId="2F921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13E0E23C">
            <w:pPr>
              <w:spacing w:before="93" w:line="192" w:lineRule="auto"/>
              <w:ind w:left="10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29" w:type="dxa"/>
            <w:vAlign w:val="top"/>
          </w:tcPr>
          <w:p w14:paraId="3CC9839B">
            <w:pPr>
              <w:pStyle w:val="6"/>
              <w:spacing w:before="54" w:line="232" w:lineRule="auto"/>
              <w:ind w:left="965"/>
            </w:pPr>
            <w:r>
              <w:t>铅</w:t>
            </w:r>
          </w:p>
        </w:tc>
        <w:tc>
          <w:tcPr>
            <w:tcW w:w="2129" w:type="dxa"/>
            <w:vAlign w:val="top"/>
          </w:tcPr>
          <w:p w14:paraId="30C2E5D7">
            <w:pPr>
              <w:spacing w:before="90"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7439-92-1</w:t>
            </w:r>
          </w:p>
        </w:tc>
        <w:tc>
          <w:tcPr>
            <w:tcW w:w="2144" w:type="dxa"/>
            <w:vAlign w:val="top"/>
          </w:tcPr>
          <w:p w14:paraId="0D6098B3">
            <w:pPr>
              <w:spacing w:before="90" w:line="195" w:lineRule="auto"/>
              <w:ind w:left="924"/>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r>
      <w:tr w14:paraId="7616B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6A9587D">
            <w:pPr>
              <w:spacing w:before="91" w:line="195" w:lineRule="auto"/>
              <w:ind w:left="101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29" w:type="dxa"/>
            <w:vAlign w:val="top"/>
          </w:tcPr>
          <w:p w14:paraId="506918A3">
            <w:pPr>
              <w:pStyle w:val="6"/>
              <w:spacing w:before="56" w:line="228" w:lineRule="auto"/>
              <w:ind w:left="966"/>
            </w:pPr>
            <w:r>
              <w:t>汞</w:t>
            </w:r>
          </w:p>
        </w:tc>
        <w:tc>
          <w:tcPr>
            <w:tcW w:w="2129" w:type="dxa"/>
            <w:vAlign w:val="top"/>
          </w:tcPr>
          <w:p w14:paraId="3BADF5C9">
            <w:pPr>
              <w:spacing w:before="91"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7439-97-6</w:t>
            </w:r>
          </w:p>
        </w:tc>
        <w:tc>
          <w:tcPr>
            <w:tcW w:w="2144" w:type="dxa"/>
            <w:vAlign w:val="top"/>
          </w:tcPr>
          <w:p w14:paraId="67E03C12">
            <w:pPr>
              <w:spacing w:before="91" w:line="195" w:lineRule="auto"/>
              <w:ind w:left="97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r>
      <w:tr w14:paraId="64BF5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1AA3F70A">
            <w:pPr>
              <w:spacing w:before="94" w:line="192" w:lineRule="auto"/>
              <w:ind w:left="101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29" w:type="dxa"/>
            <w:vAlign w:val="top"/>
          </w:tcPr>
          <w:p w14:paraId="239F824D">
            <w:pPr>
              <w:pStyle w:val="6"/>
              <w:spacing w:before="55" w:line="228" w:lineRule="auto"/>
              <w:ind w:left="964"/>
            </w:pPr>
            <w:r>
              <w:rPr>
                <w:spacing w:val="1"/>
              </w:rPr>
              <w:t>镍</w:t>
            </w:r>
          </w:p>
        </w:tc>
        <w:tc>
          <w:tcPr>
            <w:tcW w:w="2129" w:type="dxa"/>
            <w:vAlign w:val="top"/>
          </w:tcPr>
          <w:p w14:paraId="61F3C5AB">
            <w:pPr>
              <w:spacing w:before="91"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7440-02-0</w:t>
            </w:r>
          </w:p>
        </w:tc>
        <w:tc>
          <w:tcPr>
            <w:tcW w:w="2144" w:type="dxa"/>
            <w:vAlign w:val="top"/>
          </w:tcPr>
          <w:p w14:paraId="0689D68D">
            <w:pPr>
              <w:spacing w:before="91" w:line="195" w:lineRule="auto"/>
              <w:ind w:left="9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r>
      <w:tr w14:paraId="421A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29" w:type="dxa"/>
            <w:gridSpan w:val="4"/>
            <w:vAlign w:val="top"/>
          </w:tcPr>
          <w:p w14:paraId="5EE58AC9">
            <w:pPr>
              <w:pStyle w:val="6"/>
              <w:spacing w:before="55" w:line="227" w:lineRule="auto"/>
              <w:ind w:left="3638"/>
            </w:pPr>
            <w:r>
              <w:rPr>
                <w:spacing w:val="8"/>
              </w:rPr>
              <w:t>挥发性有机物</w:t>
            </w:r>
          </w:p>
        </w:tc>
      </w:tr>
      <w:tr w14:paraId="26F63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3B68A307">
            <w:pPr>
              <w:spacing w:before="91" w:line="195" w:lineRule="auto"/>
              <w:ind w:left="102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29" w:type="dxa"/>
            <w:vAlign w:val="top"/>
          </w:tcPr>
          <w:p w14:paraId="5FF40F56">
            <w:pPr>
              <w:pStyle w:val="6"/>
              <w:spacing w:before="55" w:line="228" w:lineRule="auto"/>
              <w:ind w:left="668"/>
            </w:pPr>
            <w:r>
              <w:rPr>
                <w:spacing w:val="2"/>
              </w:rPr>
              <w:t>四氯化碳</w:t>
            </w:r>
          </w:p>
        </w:tc>
        <w:tc>
          <w:tcPr>
            <w:tcW w:w="2129" w:type="dxa"/>
            <w:vAlign w:val="top"/>
          </w:tcPr>
          <w:p w14:paraId="3422D084">
            <w:pPr>
              <w:spacing w:before="91"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56-23-5</w:t>
            </w:r>
          </w:p>
        </w:tc>
        <w:tc>
          <w:tcPr>
            <w:tcW w:w="2144" w:type="dxa"/>
            <w:vAlign w:val="top"/>
          </w:tcPr>
          <w:p w14:paraId="1E75C71F">
            <w:pPr>
              <w:spacing w:before="91"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10BED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4ED128CD">
            <w:pPr>
              <w:spacing w:before="93" w:line="195" w:lineRule="auto"/>
              <w:ind w:left="10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29" w:type="dxa"/>
            <w:vAlign w:val="top"/>
          </w:tcPr>
          <w:p w14:paraId="69BDE5EB">
            <w:pPr>
              <w:pStyle w:val="6"/>
              <w:spacing w:before="57" w:line="228" w:lineRule="auto"/>
              <w:ind w:left="863"/>
            </w:pPr>
            <w:r>
              <w:rPr>
                <w:spacing w:val="3"/>
              </w:rPr>
              <w:t>氯仿</w:t>
            </w:r>
          </w:p>
        </w:tc>
        <w:tc>
          <w:tcPr>
            <w:tcW w:w="2129" w:type="dxa"/>
            <w:vAlign w:val="top"/>
          </w:tcPr>
          <w:p w14:paraId="03399B26">
            <w:pPr>
              <w:spacing w:before="93"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67-66-3</w:t>
            </w:r>
          </w:p>
        </w:tc>
        <w:tc>
          <w:tcPr>
            <w:tcW w:w="2144" w:type="dxa"/>
            <w:vAlign w:val="top"/>
          </w:tcPr>
          <w:p w14:paraId="0951C3C2">
            <w:pPr>
              <w:spacing w:before="93" w:line="195" w:lineRule="auto"/>
              <w:ind w:left="9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r>
      <w:tr w14:paraId="2C8BF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20986F28">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29" w:type="dxa"/>
            <w:vAlign w:val="top"/>
          </w:tcPr>
          <w:p w14:paraId="3D5AB916">
            <w:pPr>
              <w:pStyle w:val="6"/>
              <w:spacing w:before="57" w:line="228" w:lineRule="auto"/>
              <w:ind w:left="757"/>
            </w:pPr>
            <w:r>
              <w:rPr>
                <w:spacing w:val="5"/>
              </w:rPr>
              <w:t>氯甲烷</w:t>
            </w:r>
          </w:p>
        </w:tc>
        <w:tc>
          <w:tcPr>
            <w:tcW w:w="2129" w:type="dxa"/>
            <w:vAlign w:val="top"/>
          </w:tcPr>
          <w:p w14:paraId="443060F9">
            <w:pPr>
              <w:spacing w:before="9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74-87-3</w:t>
            </w:r>
          </w:p>
        </w:tc>
        <w:tc>
          <w:tcPr>
            <w:tcW w:w="2144" w:type="dxa"/>
            <w:vAlign w:val="top"/>
          </w:tcPr>
          <w:p w14:paraId="4ADD070E">
            <w:pPr>
              <w:spacing w:before="92" w:line="195" w:lineRule="auto"/>
              <w:ind w:left="97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r>
      <w:tr w14:paraId="267D5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304ED212">
            <w:pPr>
              <w:spacing w:before="92" w:line="195" w:lineRule="auto"/>
              <w:ind w:left="98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29" w:type="dxa"/>
            <w:vAlign w:val="top"/>
          </w:tcPr>
          <w:p w14:paraId="58ABC2D5">
            <w:pPr>
              <w:pStyle w:val="6"/>
              <w:spacing w:before="56" w:line="221" w:lineRule="auto"/>
              <w:ind w:left="499"/>
            </w:pP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rFonts w:ascii="Times New Roman" w:hAnsi="Times New Roman" w:eastAsia="Times New Roman" w:cs="Times New Roman"/>
              </w:rPr>
              <w:t>1-</w:t>
            </w:r>
            <w:r>
              <w:t>二氯乙烷</w:t>
            </w:r>
          </w:p>
        </w:tc>
        <w:tc>
          <w:tcPr>
            <w:tcW w:w="2129" w:type="dxa"/>
            <w:vAlign w:val="top"/>
          </w:tcPr>
          <w:p w14:paraId="00794414">
            <w:pPr>
              <w:spacing w:before="9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75-34-3</w:t>
            </w:r>
          </w:p>
        </w:tc>
        <w:tc>
          <w:tcPr>
            <w:tcW w:w="2144" w:type="dxa"/>
            <w:vAlign w:val="top"/>
          </w:tcPr>
          <w:p w14:paraId="260DBE69">
            <w:pPr>
              <w:spacing w:before="92" w:line="195" w:lineRule="auto"/>
              <w:ind w:left="102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1A42E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6BBB3EC">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129" w:type="dxa"/>
            <w:vAlign w:val="top"/>
          </w:tcPr>
          <w:p w14:paraId="256255AB">
            <w:pPr>
              <w:pStyle w:val="6"/>
              <w:spacing w:before="55" w:line="221" w:lineRule="auto"/>
              <w:ind w:left="499"/>
            </w:pPr>
            <w:r>
              <w:rPr>
                <w:rFonts w:ascii="Times New Roman" w:hAnsi="Times New Roman" w:eastAsia="Times New Roman" w:cs="Times New Roman"/>
                <w:spacing w:val="3"/>
              </w:rPr>
              <w:t>1,2-</w:t>
            </w:r>
            <w:r>
              <w:rPr>
                <w:spacing w:val="3"/>
              </w:rPr>
              <w:t>二氯乙烷</w:t>
            </w:r>
          </w:p>
        </w:tc>
        <w:tc>
          <w:tcPr>
            <w:tcW w:w="2129" w:type="dxa"/>
            <w:vAlign w:val="top"/>
          </w:tcPr>
          <w:p w14:paraId="576A3AE8">
            <w:pPr>
              <w:spacing w:before="92"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107-06-2</w:t>
            </w:r>
          </w:p>
        </w:tc>
        <w:tc>
          <w:tcPr>
            <w:tcW w:w="2144" w:type="dxa"/>
            <w:vAlign w:val="top"/>
          </w:tcPr>
          <w:p w14:paraId="3BE50A40">
            <w:pPr>
              <w:spacing w:before="95" w:line="192" w:lineRule="auto"/>
              <w:ind w:left="102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AF6E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3C24ACF1">
            <w:pPr>
              <w:spacing w:before="91"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129" w:type="dxa"/>
            <w:vAlign w:val="top"/>
          </w:tcPr>
          <w:p w14:paraId="10C120FB">
            <w:pPr>
              <w:pStyle w:val="6"/>
              <w:spacing w:before="55" w:line="221" w:lineRule="auto"/>
              <w:ind w:left="499"/>
            </w:pP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rFonts w:ascii="Times New Roman" w:hAnsi="Times New Roman" w:eastAsia="Times New Roman" w:cs="Times New Roman"/>
              </w:rPr>
              <w:t>1-</w:t>
            </w:r>
            <w:r>
              <w:t>二氯乙烯</w:t>
            </w:r>
          </w:p>
        </w:tc>
        <w:tc>
          <w:tcPr>
            <w:tcW w:w="2129" w:type="dxa"/>
            <w:vAlign w:val="top"/>
          </w:tcPr>
          <w:p w14:paraId="148FA1EA">
            <w:pPr>
              <w:spacing w:before="91"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75-35-4</w:t>
            </w:r>
          </w:p>
        </w:tc>
        <w:tc>
          <w:tcPr>
            <w:tcW w:w="2144" w:type="dxa"/>
            <w:vAlign w:val="top"/>
          </w:tcPr>
          <w:p w14:paraId="7509DDB5">
            <w:pPr>
              <w:spacing w:before="91" w:line="195" w:lineRule="auto"/>
              <w:ind w:left="973"/>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r>
      <w:tr w14:paraId="47975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C4374F3">
            <w:pPr>
              <w:spacing w:before="91"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129" w:type="dxa"/>
            <w:vAlign w:val="top"/>
          </w:tcPr>
          <w:p w14:paraId="6B1A3E3F">
            <w:pPr>
              <w:pStyle w:val="6"/>
              <w:spacing w:before="55" w:line="221" w:lineRule="auto"/>
              <w:ind w:left="344"/>
            </w:pPr>
            <w:r>
              <w:rPr>
                <w:spacing w:val="5"/>
              </w:rPr>
              <w:t>顺</w:t>
            </w:r>
            <w:r>
              <w:rPr>
                <w:rFonts w:ascii="Times New Roman" w:hAnsi="Times New Roman" w:eastAsia="Times New Roman" w:cs="Times New Roman"/>
                <w:spacing w:val="5"/>
              </w:rPr>
              <w:t>-1,2-</w:t>
            </w:r>
            <w:r>
              <w:rPr>
                <w:spacing w:val="5"/>
              </w:rPr>
              <w:t>二氯乙烯</w:t>
            </w:r>
          </w:p>
        </w:tc>
        <w:tc>
          <w:tcPr>
            <w:tcW w:w="2129" w:type="dxa"/>
            <w:vAlign w:val="top"/>
          </w:tcPr>
          <w:p w14:paraId="67BF3FFF">
            <w:pPr>
              <w:spacing w:before="91"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156-59-2</w:t>
            </w:r>
          </w:p>
        </w:tc>
        <w:tc>
          <w:tcPr>
            <w:tcW w:w="2144" w:type="dxa"/>
            <w:vAlign w:val="top"/>
          </w:tcPr>
          <w:p w14:paraId="5FB87F12">
            <w:pPr>
              <w:spacing w:before="91"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596</w:t>
            </w:r>
          </w:p>
        </w:tc>
      </w:tr>
      <w:tr w14:paraId="75194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6F94F595">
            <w:pPr>
              <w:spacing w:before="93"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129" w:type="dxa"/>
            <w:vAlign w:val="top"/>
          </w:tcPr>
          <w:p w14:paraId="5B7FA2C1">
            <w:pPr>
              <w:pStyle w:val="6"/>
              <w:spacing w:before="57" w:line="221" w:lineRule="auto"/>
              <w:ind w:left="344"/>
            </w:pPr>
            <w:r>
              <w:rPr>
                <w:spacing w:val="5"/>
              </w:rPr>
              <w:t>反</w:t>
            </w:r>
            <w:r>
              <w:rPr>
                <w:rFonts w:ascii="Times New Roman" w:hAnsi="Times New Roman" w:eastAsia="Times New Roman" w:cs="Times New Roman"/>
                <w:spacing w:val="5"/>
              </w:rPr>
              <w:t>-1,2-</w:t>
            </w:r>
            <w:r>
              <w:rPr>
                <w:spacing w:val="5"/>
              </w:rPr>
              <w:t>二氯乙烯</w:t>
            </w:r>
          </w:p>
        </w:tc>
        <w:tc>
          <w:tcPr>
            <w:tcW w:w="2129" w:type="dxa"/>
            <w:vAlign w:val="top"/>
          </w:tcPr>
          <w:p w14:paraId="3CE51A32">
            <w:pPr>
              <w:spacing w:before="93"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156-60-5</w:t>
            </w:r>
          </w:p>
        </w:tc>
        <w:tc>
          <w:tcPr>
            <w:tcW w:w="2144" w:type="dxa"/>
            <w:vAlign w:val="top"/>
          </w:tcPr>
          <w:p w14:paraId="7AAAE646">
            <w:pPr>
              <w:spacing w:before="93" w:line="195" w:lineRule="auto"/>
              <w:ind w:left="97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r>
      <w:tr w14:paraId="53CFB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127" w:type="dxa"/>
            <w:vAlign w:val="top"/>
          </w:tcPr>
          <w:p w14:paraId="553726A1">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129" w:type="dxa"/>
            <w:vAlign w:val="top"/>
          </w:tcPr>
          <w:p w14:paraId="2CCEC0D3">
            <w:pPr>
              <w:pStyle w:val="6"/>
              <w:spacing w:before="57" w:line="228" w:lineRule="auto"/>
              <w:ind w:left="652"/>
            </w:pPr>
            <w:r>
              <w:rPr>
                <w:spacing w:val="6"/>
              </w:rPr>
              <w:t>二氯甲烷</w:t>
            </w:r>
          </w:p>
        </w:tc>
        <w:tc>
          <w:tcPr>
            <w:tcW w:w="2129" w:type="dxa"/>
            <w:vAlign w:val="top"/>
          </w:tcPr>
          <w:p w14:paraId="4E8ABF8F">
            <w:pPr>
              <w:spacing w:before="9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75-09-2</w:t>
            </w:r>
          </w:p>
        </w:tc>
        <w:tc>
          <w:tcPr>
            <w:tcW w:w="2144" w:type="dxa"/>
            <w:vAlign w:val="top"/>
          </w:tcPr>
          <w:p w14:paraId="7C495943">
            <w:pPr>
              <w:spacing w:before="92" w:line="195" w:lineRule="auto"/>
              <w:ind w:left="9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r>
    </w:tbl>
    <w:p w14:paraId="2FEF0F36">
      <w:pPr>
        <w:pStyle w:val="2"/>
      </w:pPr>
    </w:p>
    <w:p w14:paraId="34A5C277">
      <w:pPr>
        <w:sectPr>
          <w:headerReference r:id="rId23" w:type="default"/>
          <w:footerReference r:id="rId24" w:type="default"/>
          <w:pgSz w:w="11906" w:h="16839"/>
          <w:pgMar w:top="1208" w:right="1684" w:bottom="1358" w:left="1684" w:header="825" w:footer="1195" w:gutter="0"/>
          <w:cols w:space="720" w:num="1"/>
        </w:sectPr>
      </w:pPr>
    </w:p>
    <w:p w14:paraId="72FB23FB">
      <w:pPr>
        <w:spacing w:line="231"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7"/>
        <w:gridCol w:w="2129"/>
        <w:gridCol w:w="2129"/>
        <w:gridCol w:w="2144"/>
      </w:tblGrid>
      <w:tr w14:paraId="010FE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27" w:type="dxa"/>
            <w:vAlign w:val="top"/>
          </w:tcPr>
          <w:p w14:paraId="7E620C83">
            <w:pPr>
              <w:spacing w:before="92"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129" w:type="dxa"/>
            <w:vAlign w:val="top"/>
          </w:tcPr>
          <w:p w14:paraId="26B912A2">
            <w:pPr>
              <w:pStyle w:val="6"/>
              <w:spacing w:before="56" w:line="221" w:lineRule="auto"/>
              <w:ind w:left="499"/>
            </w:pPr>
            <w:r>
              <w:rPr>
                <w:rFonts w:ascii="Times New Roman" w:hAnsi="Times New Roman" w:eastAsia="Times New Roman" w:cs="Times New Roman"/>
                <w:spacing w:val="3"/>
              </w:rPr>
              <w:t>1,2-</w:t>
            </w:r>
            <w:r>
              <w:rPr>
                <w:spacing w:val="3"/>
              </w:rPr>
              <w:t>二氯丙烷</w:t>
            </w:r>
          </w:p>
        </w:tc>
        <w:tc>
          <w:tcPr>
            <w:tcW w:w="2129" w:type="dxa"/>
            <w:vAlign w:val="top"/>
          </w:tcPr>
          <w:p w14:paraId="75BAD6C4">
            <w:pPr>
              <w:spacing w:before="9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78-87-5</w:t>
            </w:r>
          </w:p>
        </w:tc>
        <w:tc>
          <w:tcPr>
            <w:tcW w:w="2144" w:type="dxa"/>
            <w:vAlign w:val="top"/>
          </w:tcPr>
          <w:p w14:paraId="2A96D9E6">
            <w:pPr>
              <w:spacing w:before="95" w:line="192" w:lineRule="auto"/>
              <w:ind w:left="102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4A464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0A7390B">
            <w:pPr>
              <w:spacing w:before="87"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129" w:type="dxa"/>
            <w:vAlign w:val="top"/>
          </w:tcPr>
          <w:p w14:paraId="1DCC06F2">
            <w:pPr>
              <w:pStyle w:val="6"/>
              <w:spacing w:before="51" w:line="221" w:lineRule="auto"/>
              <w:ind w:left="341"/>
            </w:pP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p>
        </w:tc>
        <w:tc>
          <w:tcPr>
            <w:tcW w:w="2129" w:type="dxa"/>
            <w:vAlign w:val="top"/>
          </w:tcPr>
          <w:p w14:paraId="05264675">
            <w:pPr>
              <w:spacing w:before="87"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630-20-6</w:t>
            </w:r>
          </w:p>
        </w:tc>
        <w:tc>
          <w:tcPr>
            <w:tcW w:w="2144" w:type="dxa"/>
            <w:vAlign w:val="top"/>
          </w:tcPr>
          <w:p w14:paraId="0EE62E44">
            <w:pPr>
              <w:spacing w:before="87"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7F3A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2FC3AFF4">
            <w:pPr>
              <w:spacing w:before="87" w:line="195" w:lineRule="auto"/>
              <w:ind w:left="9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129" w:type="dxa"/>
            <w:vAlign w:val="top"/>
          </w:tcPr>
          <w:p w14:paraId="6CDBB8D5">
            <w:pPr>
              <w:pStyle w:val="6"/>
              <w:spacing w:before="51" w:line="221" w:lineRule="auto"/>
              <w:ind w:left="341"/>
            </w:pP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rFonts w:ascii="Times New Roman" w:hAnsi="Times New Roman" w:eastAsia="Times New Roman" w:cs="Times New Roman"/>
                <w:spacing w:val="1"/>
              </w:rPr>
              <w:t>1,2,2-</w:t>
            </w:r>
            <w:r>
              <w:rPr>
                <w:spacing w:val="1"/>
              </w:rPr>
              <w:t>四氯乙烷</w:t>
            </w:r>
          </w:p>
        </w:tc>
        <w:tc>
          <w:tcPr>
            <w:tcW w:w="2129" w:type="dxa"/>
            <w:vAlign w:val="top"/>
          </w:tcPr>
          <w:p w14:paraId="72B159E9">
            <w:pPr>
              <w:spacing w:before="87"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79-34-5</w:t>
            </w:r>
          </w:p>
        </w:tc>
        <w:tc>
          <w:tcPr>
            <w:tcW w:w="2144" w:type="dxa"/>
            <w:vAlign w:val="top"/>
          </w:tcPr>
          <w:p w14:paraId="4A5E6076">
            <w:pPr>
              <w:spacing w:before="87" w:line="195" w:lineRule="auto"/>
              <w:ind w:left="9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r>
      <w:tr w14:paraId="1B5E1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606703C2">
            <w:pPr>
              <w:spacing w:before="87"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129" w:type="dxa"/>
            <w:vAlign w:val="top"/>
          </w:tcPr>
          <w:p w14:paraId="132B3919">
            <w:pPr>
              <w:pStyle w:val="6"/>
              <w:spacing w:before="50" w:line="228" w:lineRule="auto"/>
              <w:ind w:left="668"/>
            </w:pPr>
            <w:r>
              <w:rPr>
                <w:spacing w:val="2"/>
              </w:rPr>
              <w:t>四氯乙烯</w:t>
            </w:r>
          </w:p>
        </w:tc>
        <w:tc>
          <w:tcPr>
            <w:tcW w:w="2129" w:type="dxa"/>
            <w:vAlign w:val="top"/>
          </w:tcPr>
          <w:p w14:paraId="09EB49AE">
            <w:pPr>
              <w:spacing w:before="87"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127-18-4</w:t>
            </w:r>
          </w:p>
        </w:tc>
        <w:tc>
          <w:tcPr>
            <w:tcW w:w="2144" w:type="dxa"/>
            <w:vAlign w:val="top"/>
          </w:tcPr>
          <w:p w14:paraId="71AE758D">
            <w:pPr>
              <w:spacing w:before="87" w:line="195" w:lineRule="auto"/>
              <w:ind w:left="97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r>
      <w:tr w14:paraId="1D16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320D444D">
            <w:pPr>
              <w:spacing w:before="9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129" w:type="dxa"/>
            <w:vAlign w:val="top"/>
          </w:tcPr>
          <w:p w14:paraId="23572A9C">
            <w:pPr>
              <w:pStyle w:val="6"/>
              <w:spacing w:before="53" w:line="221" w:lineRule="auto"/>
              <w:ind w:left="420"/>
            </w:pP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spacing w:val="-2"/>
              </w:rPr>
              <w:t>三氯乙烷</w:t>
            </w:r>
          </w:p>
        </w:tc>
        <w:tc>
          <w:tcPr>
            <w:tcW w:w="2129" w:type="dxa"/>
            <w:vAlign w:val="top"/>
          </w:tcPr>
          <w:p w14:paraId="6454E5CA">
            <w:pPr>
              <w:spacing w:before="9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71-55-6</w:t>
            </w:r>
          </w:p>
        </w:tc>
        <w:tc>
          <w:tcPr>
            <w:tcW w:w="2144" w:type="dxa"/>
            <w:vAlign w:val="top"/>
          </w:tcPr>
          <w:p w14:paraId="6AC2FD9D">
            <w:pPr>
              <w:spacing w:before="90" w:line="195" w:lineRule="auto"/>
              <w:ind w:left="924"/>
              <w:rPr>
                <w:rFonts w:ascii="Times New Roman" w:hAnsi="Times New Roman" w:eastAsia="Times New Roman" w:cs="Times New Roman"/>
                <w:sz w:val="20"/>
                <w:szCs w:val="20"/>
              </w:rPr>
            </w:pPr>
            <w:r>
              <w:rPr>
                <w:rFonts w:ascii="Times New Roman" w:hAnsi="Times New Roman" w:eastAsia="Times New Roman" w:cs="Times New Roman"/>
                <w:sz w:val="20"/>
                <w:szCs w:val="20"/>
              </w:rPr>
              <w:t>840</w:t>
            </w:r>
          </w:p>
        </w:tc>
      </w:tr>
      <w:tr w14:paraId="24063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7" w:type="dxa"/>
            <w:vAlign w:val="top"/>
          </w:tcPr>
          <w:p w14:paraId="0FAE96C9">
            <w:pPr>
              <w:spacing w:before="9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129" w:type="dxa"/>
            <w:vAlign w:val="top"/>
          </w:tcPr>
          <w:p w14:paraId="3C931745">
            <w:pPr>
              <w:pStyle w:val="6"/>
              <w:spacing w:before="54" w:line="221" w:lineRule="auto"/>
              <w:ind w:left="420"/>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三氯乙烷</w:t>
            </w:r>
          </w:p>
        </w:tc>
        <w:tc>
          <w:tcPr>
            <w:tcW w:w="2129" w:type="dxa"/>
            <w:vAlign w:val="top"/>
          </w:tcPr>
          <w:p w14:paraId="4BFFFBA6">
            <w:pPr>
              <w:spacing w:before="9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79-00-5</w:t>
            </w:r>
          </w:p>
        </w:tc>
        <w:tc>
          <w:tcPr>
            <w:tcW w:w="2144" w:type="dxa"/>
            <w:vAlign w:val="top"/>
          </w:tcPr>
          <w:p w14:paraId="76D6C41F">
            <w:pPr>
              <w:spacing w:before="90"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16014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726BD52">
            <w:pPr>
              <w:spacing w:before="91"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129" w:type="dxa"/>
            <w:vAlign w:val="top"/>
          </w:tcPr>
          <w:p w14:paraId="01C06CCE">
            <w:pPr>
              <w:pStyle w:val="6"/>
              <w:spacing w:before="55" w:line="228" w:lineRule="auto"/>
              <w:ind w:left="648"/>
            </w:pPr>
            <w:r>
              <w:rPr>
                <w:spacing w:val="7"/>
              </w:rPr>
              <w:t>三氯乙烯</w:t>
            </w:r>
          </w:p>
        </w:tc>
        <w:tc>
          <w:tcPr>
            <w:tcW w:w="2129" w:type="dxa"/>
            <w:vAlign w:val="top"/>
          </w:tcPr>
          <w:p w14:paraId="53AEB0D4">
            <w:pPr>
              <w:spacing w:before="91"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79-01-6</w:t>
            </w:r>
          </w:p>
        </w:tc>
        <w:tc>
          <w:tcPr>
            <w:tcW w:w="2144" w:type="dxa"/>
            <w:vAlign w:val="top"/>
          </w:tcPr>
          <w:p w14:paraId="3A72099A">
            <w:pPr>
              <w:spacing w:before="91"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60AAF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C14AF6E">
            <w:pPr>
              <w:spacing w:before="91"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129" w:type="dxa"/>
            <w:vAlign w:val="top"/>
          </w:tcPr>
          <w:p w14:paraId="30453CFF">
            <w:pPr>
              <w:pStyle w:val="6"/>
              <w:spacing w:before="54" w:line="221" w:lineRule="auto"/>
              <w:ind w:left="420"/>
            </w:pPr>
            <w:r>
              <w:rPr>
                <w:rFonts w:ascii="Times New Roman" w:hAnsi="Times New Roman" w:eastAsia="Times New Roman" w:cs="Times New Roman"/>
                <w:spacing w:val="3"/>
              </w:rPr>
              <w:t>1,2,3-</w:t>
            </w:r>
            <w:r>
              <w:rPr>
                <w:spacing w:val="3"/>
              </w:rPr>
              <w:t>三氯丙烷</w:t>
            </w:r>
          </w:p>
        </w:tc>
        <w:tc>
          <w:tcPr>
            <w:tcW w:w="2129" w:type="dxa"/>
            <w:vAlign w:val="top"/>
          </w:tcPr>
          <w:p w14:paraId="0C45C2F0">
            <w:pPr>
              <w:spacing w:before="90"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96-18-4</w:t>
            </w:r>
          </w:p>
        </w:tc>
        <w:tc>
          <w:tcPr>
            <w:tcW w:w="2144" w:type="dxa"/>
            <w:vAlign w:val="top"/>
          </w:tcPr>
          <w:p w14:paraId="087E3AFA">
            <w:pPr>
              <w:spacing w:before="90" w:line="195" w:lineRule="auto"/>
              <w:ind w:left="9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5FCD1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DF3A668">
            <w:pPr>
              <w:spacing w:before="9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129" w:type="dxa"/>
            <w:vAlign w:val="top"/>
          </w:tcPr>
          <w:p w14:paraId="0314D0E9">
            <w:pPr>
              <w:pStyle w:val="6"/>
              <w:spacing w:before="54" w:line="228" w:lineRule="auto"/>
              <w:ind w:left="757"/>
            </w:pPr>
            <w:r>
              <w:rPr>
                <w:spacing w:val="5"/>
              </w:rPr>
              <w:t>氯乙烯</w:t>
            </w:r>
          </w:p>
        </w:tc>
        <w:tc>
          <w:tcPr>
            <w:tcW w:w="2129" w:type="dxa"/>
            <w:vAlign w:val="top"/>
          </w:tcPr>
          <w:p w14:paraId="3713ABF0">
            <w:pPr>
              <w:spacing w:before="9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75-01-4</w:t>
            </w:r>
          </w:p>
        </w:tc>
        <w:tc>
          <w:tcPr>
            <w:tcW w:w="2144" w:type="dxa"/>
            <w:vAlign w:val="top"/>
          </w:tcPr>
          <w:p w14:paraId="3B153878">
            <w:pPr>
              <w:spacing w:before="90" w:line="195" w:lineRule="auto"/>
              <w:ind w:left="8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r>
      <w:tr w14:paraId="32F18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EB6CFB9">
            <w:pPr>
              <w:spacing w:before="9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129" w:type="dxa"/>
            <w:vAlign w:val="top"/>
          </w:tcPr>
          <w:p w14:paraId="2329FA82">
            <w:pPr>
              <w:pStyle w:val="6"/>
              <w:spacing w:before="54" w:line="227" w:lineRule="auto"/>
              <w:ind w:left="968"/>
            </w:pPr>
            <w:r>
              <w:t>苯</w:t>
            </w:r>
          </w:p>
        </w:tc>
        <w:tc>
          <w:tcPr>
            <w:tcW w:w="2129" w:type="dxa"/>
            <w:vAlign w:val="top"/>
          </w:tcPr>
          <w:p w14:paraId="6F3A8445">
            <w:pPr>
              <w:spacing w:before="90"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71-43-2</w:t>
            </w:r>
          </w:p>
        </w:tc>
        <w:tc>
          <w:tcPr>
            <w:tcW w:w="2144" w:type="dxa"/>
            <w:vAlign w:val="top"/>
          </w:tcPr>
          <w:p w14:paraId="3799F46E">
            <w:pPr>
              <w:spacing w:before="90" w:line="195" w:lineRule="auto"/>
              <w:ind w:left="10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13B60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707FE89">
            <w:pPr>
              <w:spacing w:before="92"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129" w:type="dxa"/>
            <w:vAlign w:val="top"/>
          </w:tcPr>
          <w:p w14:paraId="5C5769C0">
            <w:pPr>
              <w:pStyle w:val="6"/>
              <w:spacing w:before="56" w:line="227" w:lineRule="auto"/>
              <w:ind w:left="863"/>
            </w:pPr>
            <w:r>
              <w:rPr>
                <w:spacing w:val="3"/>
              </w:rPr>
              <w:t>氯苯</w:t>
            </w:r>
          </w:p>
        </w:tc>
        <w:tc>
          <w:tcPr>
            <w:tcW w:w="2129" w:type="dxa"/>
            <w:vAlign w:val="top"/>
          </w:tcPr>
          <w:p w14:paraId="685F0B6B">
            <w:pPr>
              <w:spacing w:before="92"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108-90-7</w:t>
            </w:r>
          </w:p>
        </w:tc>
        <w:tc>
          <w:tcPr>
            <w:tcW w:w="2144" w:type="dxa"/>
            <w:vAlign w:val="top"/>
          </w:tcPr>
          <w:p w14:paraId="2699C712">
            <w:pPr>
              <w:spacing w:before="92" w:line="195" w:lineRule="auto"/>
              <w:ind w:left="9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r>
      <w:tr w14:paraId="6BCF9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649E8264">
            <w:pPr>
              <w:spacing w:before="91"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129" w:type="dxa"/>
            <w:vAlign w:val="top"/>
          </w:tcPr>
          <w:p w14:paraId="653CD49E">
            <w:pPr>
              <w:pStyle w:val="6"/>
              <w:spacing w:before="55" w:line="221" w:lineRule="auto"/>
              <w:ind w:left="605"/>
            </w:pPr>
            <w:r>
              <w:rPr>
                <w:rFonts w:ascii="Times New Roman" w:hAnsi="Times New Roman" w:eastAsia="Times New Roman" w:cs="Times New Roman"/>
                <w:spacing w:val="2"/>
              </w:rPr>
              <w:t>1,2-</w:t>
            </w:r>
            <w:r>
              <w:rPr>
                <w:spacing w:val="2"/>
              </w:rPr>
              <w:t>二氯苯</w:t>
            </w:r>
          </w:p>
        </w:tc>
        <w:tc>
          <w:tcPr>
            <w:tcW w:w="2129" w:type="dxa"/>
            <w:vAlign w:val="top"/>
          </w:tcPr>
          <w:p w14:paraId="6A36B643">
            <w:pPr>
              <w:spacing w:before="91"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95-50-1</w:t>
            </w:r>
          </w:p>
        </w:tc>
        <w:tc>
          <w:tcPr>
            <w:tcW w:w="2144" w:type="dxa"/>
            <w:vAlign w:val="top"/>
          </w:tcPr>
          <w:p w14:paraId="0BCCD0E7">
            <w:pPr>
              <w:spacing w:before="91"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r>
      <w:tr w14:paraId="08736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66952155">
            <w:pPr>
              <w:spacing w:before="91" w:line="195" w:lineRule="auto"/>
              <w:ind w:left="9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2129" w:type="dxa"/>
            <w:vAlign w:val="top"/>
          </w:tcPr>
          <w:p w14:paraId="1C2A5FF3">
            <w:pPr>
              <w:pStyle w:val="6"/>
              <w:spacing w:before="55" w:line="221" w:lineRule="auto"/>
              <w:ind w:left="605"/>
            </w:pPr>
            <w:r>
              <w:rPr>
                <w:rFonts w:ascii="Times New Roman" w:hAnsi="Times New Roman" w:eastAsia="Times New Roman" w:cs="Times New Roman"/>
                <w:spacing w:val="2"/>
              </w:rPr>
              <w:t>1,4-</w:t>
            </w:r>
            <w:r>
              <w:rPr>
                <w:spacing w:val="2"/>
              </w:rPr>
              <w:t>二氯苯</w:t>
            </w:r>
          </w:p>
        </w:tc>
        <w:tc>
          <w:tcPr>
            <w:tcW w:w="2129" w:type="dxa"/>
            <w:vAlign w:val="top"/>
          </w:tcPr>
          <w:p w14:paraId="66B60549">
            <w:pPr>
              <w:spacing w:before="91"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106-46-7</w:t>
            </w:r>
          </w:p>
        </w:tc>
        <w:tc>
          <w:tcPr>
            <w:tcW w:w="2144" w:type="dxa"/>
            <w:vAlign w:val="top"/>
          </w:tcPr>
          <w:p w14:paraId="6F2D6791">
            <w:pPr>
              <w:spacing w:before="91"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5BC4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4622EB8A">
            <w:pPr>
              <w:spacing w:before="90"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29" w:type="dxa"/>
            <w:vAlign w:val="top"/>
          </w:tcPr>
          <w:p w14:paraId="042C014E">
            <w:pPr>
              <w:pStyle w:val="6"/>
              <w:spacing w:before="54" w:line="227" w:lineRule="auto"/>
              <w:ind w:left="880"/>
            </w:pPr>
            <w:r>
              <w:rPr>
                <w:spacing w:val="-6"/>
              </w:rPr>
              <w:t>乙苯</w:t>
            </w:r>
          </w:p>
        </w:tc>
        <w:tc>
          <w:tcPr>
            <w:tcW w:w="2129" w:type="dxa"/>
            <w:vAlign w:val="top"/>
          </w:tcPr>
          <w:p w14:paraId="4B34CAA5">
            <w:pPr>
              <w:spacing w:before="90"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100-41-4</w:t>
            </w:r>
          </w:p>
        </w:tc>
        <w:tc>
          <w:tcPr>
            <w:tcW w:w="2144" w:type="dxa"/>
            <w:vAlign w:val="top"/>
          </w:tcPr>
          <w:p w14:paraId="342E009D">
            <w:pPr>
              <w:spacing w:before="90" w:line="195"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43671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5D2FA77">
            <w:pPr>
              <w:spacing w:before="90"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129" w:type="dxa"/>
            <w:vAlign w:val="top"/>
          </w:tcPr>
          <w:p w14:paraId="5335F416">
            <w:pPr>
              <w:pStyle w:val="6"/>
              <w:spacing w:before="54" w:line="227" w:lineRule="auto"/>
              <w:ind w:left="756"/>
            </w:pPr>
            <w:r>
              <w:rPr>
                <w:spacing w:val="6"/>
              </w:rPr>
              <w:t>苯乙烯</w:t>
            </w:r>
          </w:p>
        </w:tc>
        <w:tc>
          <w:tcPr>
            <w:tcW w:w="2129" w:type="dxa"/>
            <w:vAlign w:val="top"/>
          </w:tcPr>
          <w:p w14:paraId="689DD297">
            <w:pPr>
              <w:spacing w:before="90"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100-42-5</w:t>
            </w:r>
          </w:p>
        </w:tc>
        <w:tc>
          <w:tcPr>
            <w:tcW w:w="2144" w:type="dxa"/>
            <w:vAlign w:val="top"/>
          </w:tcPr>
          <w:p w14:paraId="06A7E7D9">
            <w:pPr>
              <w:spacing w:before="90"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w:t>
            </w:r>
          </w:p>
        </w:tc>
      </w:tr>
      <w:tr w14:paraId="0C2C3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D7839EC">
            <w:pPr>
              <w:spacing w:before="90"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129" w:type="dxa"/>
            <w:vAlign w:val="top"/>
          </w:tcPr>
          <w:p w14:paraId="01C78C7C">
            <w:pPr>
              <w:pStyle w:val="6"/>
              <w:spacing w:before="54" w:line="227" w:lineRule="auto"/>
              <w:ind w:left="886"/>
            </w:pPr>
            <w:r>
              <w:rPr>
                <w:spacing w:val="-9"/>
              </w:rPr>
              <w:t>甲苯</w:t>
            </w:r>
          </w:p>
        </w:tc>
        <w:tc>
          <w:tcPr>
            <w:tcW w:w="2129" w:type="dxa"/>
            <w:vAlign w:val="top"/>
          </w:tcPr>
          <w:p w14:paraId="308D69A6">
            <w:pPr>
              <w:spacing w:before="90"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108-88-3</w:t>
            </w:r>
          </w:p>
        </w:tc>
        <w:tc>
          <w:tcPr>
            <w:tcW w:w="2144" w:type="dxa"/>
            <w:vAlign w:val="top"/>
          </w:tcPr>
          <w:p w14:paraId="2A53280C">
            <w:pPr>
              <w:spacing w:before="90"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r>
      <w:tr w14:paraId="7AF37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27" w:type="dxa"/>
            <w:vAlign w:val="top"/>
          </w:tcPr>
          <w:p w14:paraId="66ED5FA2">
            <w:pPr>
              <w:spacing w:before="248"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129" w:type="dxa"/>
            <w:vAlign w:val="top"/>
          </w:tcPr>
          <w:p w14:paraId="1A3C7C5A">
            <w:pPr>
              <w:pStyle w:val="6"/>
              <w:spacing w:before="212" w:line="227" w:lineRule="auto"/>
              <w:ind w:left="187"/>
            </w:pPr>
            <w:r>
              <w:rPr>
                <w:spacing w:val="6"/>
              </w:rPr>
              <w:t>间二甲苯</w:t>
            </w:r>
            <w:r>
              <w:rPr>
                <w:rFonts w:ascii="Times New Roman" w:hAnsi="Times New Roman" w:eastAsia="Times New Roman" w:cs="Times New Roman"/>
                <w:spacing w:val="6"/>
              </w:rPr>
              <w:t>+</w:t>
            </w:r>
            <w:r>
              <w:rPr>
                <w:spacing w:val="6"/>
              </w:rPr>
              <w:t>对二甲苯</w:t>
            </w:r>
          </w:p>
        </w:tc>
        <w:tc>
          <w:tcPr>
            <w:tcW w:w="2129" w:type="dxa"/>
            <w:vAlign w:val="top"/>
          </w:tcPr>
          <w:p w14:paraId="6985B086">
            <w:pPr>
              <w:spacing w:before="92" w:line="196"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108-38-3,</w:t>
            </w:r>
          </w:p>
          <w:p w14:paraId="549FF274">
            <w:pPr>
              <w:spacing w:before="123"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106-42-3</w:t>
            </w:r>
          </w:p>
        </w:tc>
        <w:tc>
          <w:tcPr>
            <w:tcW w:w="2144" w:type="dxa"/>
            <w:vAlign w:val="top"/>
          </w:tcPr>
          <w:p w14:paraId="57804FEE">
            <w:pPr>
              <w:spacing w:before="248"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570</w:t>
            </w:r>
          </w:p>
        </w:tc>
      </w:tr>
      <w:tr w14:paraId="772C7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4AEF4423">
            <w:pPr>
              <w:spacing w:before="92"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2129" w:type="dxa"/>
            <w:vAlign w:val="top"/>
          </w:tcPr>
          <w:p w14:paraId="1C5CA1D0">
            <w:pPr>
              <w:pStyle w:val="6"/>
              <w:spacing w:before="56" w:line="227" w:lineRule="auto"/>
              <w:ind w:left="647"/>
            </w:pPr>
            <w:r>
              <w:rPr>
                <w:spacing w:val="7"/>
              </w:rPr>
              <w:t>邻二甲苯</w:t>
            </w:r>
          </w:p>
        </w:tc>
        <w:tc>
          <w:tcPr>
            <w:tcW w:w="2129" w:type="dxa"/>
            <w:vAlign w:val="top"/>
          </w:tcPr>
          <w:p w14:paraId="010F1BD6">
            <w:pPr>
              <w:spacing w:before="92"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95-47-6</w:t>
            </w:r>
          </w:p>
        </w:tc>
        <w:tc>
          <w:tcPr>
            <w:tcW w:w="2144" w:type="dxa"/>
            <w:vAlign w:val="top"/>
          </w:tcPr>
          <w:p w14:paraId="13E106BC">
            <w:pPr>
              <w:spacing w:before="92" w:line="195" w:lineRule="auto"/>
              <w:ind w:left="9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r>
      <w:tr w14:paraId="3304A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29" w:type="dxa"/>
            <w:gridSpan w:val="4"/>
            <w:vAlign w:val="top"/>
          </w:tcPr>
          <w:p w14:paraId="74A87B07">
            <w:pPr>
              <w:pStyle w:val="6"/>
              <w:spacing w:before="56" w:line="227" w:lineRule="auto"/>
              <w:ind w:left="3537"/>
            </w:pPr>
            <w:r>
              <w:rPr>
                <w:spacing w:val="8"/>
              </w:rPr>
              <w:t>半挥发性有机物</w:t>
            </w:r>
          </w:p>
        </w:tc>
      </w:tr>
      <w:tr w14:paraId="5EE91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7D04EECD">
            <w:pPr>
              <w:spacing w:before="91"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129" w:type="dxa"/>
            <w:vAlign w:val="top"/>
          </w:tcPr>
          <w:p w14:paraId="506CC5F7">
            <w:pPr>
              <w:pStyle w:val="6"/>
              <w:spacing w:before="55" w:line="227" w:lineRule="auto"/>
              <w:ind w:left="756"/>
            </w:pPr>
            <w:r>
              <w:rPr>
                <w:spacing w:val="6"/>
              </w:rPr>
              <w:t>硝基苯</w:t>
            </w:r>
          </w:p>
        </w:tc>
        <w:tc>
          <w:tcPr>
            <w:tcW w:w="2129" w:type="dxa"/>
            <w:vAlign w:val="top"/>
          </w:tcPr>
          <w:p w14:paraId="6B90BA1F">
            <w:pPr>
              <w:spacing w:before="91"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98-95-3</w:t>
            </w:r>
          </w:p>
        </w:tc>
        <w:tc>
          <w:tcPr>
            <w:tcW w:w="2144" w:type="dxa"/>
            <w:vAlign w:val="top"/>
          </w:tcPr>
          <w:p w14:paraId="45CACC51">
            <w:pPr>
              <w:spacing w:before="91" w:line="195"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r>
      <w:tr w14:paraId="4309D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24644E5A">
            <w:pPr>
              <w:spacing w:before="91"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2129" w:type="dxa"/>
            <w:vAlign w:val="top"/>
          </w:tcPr>
          <w:p w14:paraId="51568F04">
            <w:pPr>
              <w:pStyle w:val="6"/>
              <w:spacing w:before="55" w:line="227" w:lineRule="auto"/>
              <w:ind w:left="862"/>
            </w:pPr>
            <w:r>
              <w:rPr>
                <w:spacing w:val="3"/>
              </w:rPr>
              <w:t>苯胺</w:t>
            </w:r>
          </w:p>
        </w:tc>
        <w:tc>
          <w:tcPr>
            <w:tcW w:w="2129" w:type="dxa"/>
            <w:vAlign w:val="top"/>
          </w:tcPr>
          <w:p w14:paraId="1864D6C6">
            <w:pPr>
              <w:spacing w:before="91"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62-53-3</w:t>
            </w:r>
          </w:p>
        </w:tc>
        <w:tc>
          <w:tcPr>
            <w:tcW w:w="2144" w:type="dxa"/>
            <w:vAlign w:val="top"/>
          </w:tcPr>
          <w:p w14:paraId="013F3815">
            <w:pPr>
              <w:spacing w:before="91" w:line="195" w:lineRule="auto"/>
              <w:ind w:left="9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r>
      <w:tr w14:paraId="58015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54CC23F6">
            <w:pPr>
              <w:spacing w:before="91"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2129" w:type="dxa"/>
            <w:vAlign w:val="top"/>
          </w:tcPr>
          <w:p w14:paraId="73E98EDA">
            <w:pPr>
              <w:pStyle w:val="6"/>
              <w:spacing w:before="55" w:line="229" w:lineRule="auto"/>
              <w:ind w:left="767"/>
            </w:pPr>
            <w:r>
              <w:rPr>
                <w:rFonts w:ascii="Times New Roman" w:hAnsi="Times New Roman" w:eastAsia="Times New Roman" w:cs="Times New Roman"/>
                <w:spacing w:val="5"/>
              </w:rPr>
              <w:t>2-</w:t>
            </w:r>
            <w:r>
              <w:rPr>
                <w:spacing w:val="5"/>
              </w:rPr>
              <w:t>氯酚</w:t>
            </w:r>
          </w:p>
        </w:tc>
        <w:tc>
          <w:tcPr>
            <w:tcW w:w="2129" w:type="dxa"/>
            <w:vAlign w:val="top"/>
          </w:tcPr>
          <w:p w14:paraId="413B15D4">
            <w:pPr>
              <w:spacing w:before="91"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95-57-8</w:t>
            </w:r>
          </w:p>
        </w:tc>
        <w:tc>
          <w:tcPr>
            <w:tcW w:w="2144" w:type="dxa"/>
            <w:vAlign w:val="top"/>
          </w:tcPr>
          <w:p w14:paraId="5420CE70">
            <w:pPr>
              <w:spacing w:before="91"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w:t>
            </w:r>
          </w:p>
        </w:tc>
      </w:tr>
      <w:tr w14:paraId="3BE4C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4DFA5AB">
            <w:pPr>
              <w:spacing w:before="93"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129" w:type="dxa"/>
            <w:vAlign w:val="top"/>
          </w:tcPr>
          <w:p w14:paraId="7AFC7B66">
            <w:pPr>
              <w:pStyle w:val="6"/>
              <w:spacing w:before="57" w:line="221" w:lineRule="auto"/>
              <w:ind w:left="639"/>
            </w:pPr>
            <w:r>
              <w:rPr>
                <w:spacing w:val="5"/>
              </w:rPr>
              <w:t>苯并</w:t>
            </w:r>
            <w:r>
              <w:rPr>
                <w:rFonts w:ascii="Times New Roman" w:hAnsi="Times New Roman" w:eastAsia="Times New Roman" w:cs="Times New Roman"/>
                <w:spacing w:val="5"/>
              </w:rPr>
              <w:t>[a]</w:t>
            </w:r>
            <w:r>
              <w:rPr>
                <w:spacing w:val="5"/>
              </w:rPr>
              <w:t>蒽</w:t>
            </w:r>
          </w:p>
        </w:tc>
        <w:tc>
          <w:tcPr>
            <w:tcW w:w="2129" w:type="dxa"/>
            <w:vAlign w:val="top"/>
          </w:tcPr>
          <w:p w14:paraId="3E072D23">
            <w:pPr>
              <w:spacing w:before="93"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56-55-3</w:t>
            </w:r>
          </w:p>
        </w:tc>
        <w:tc>
          <w:tcPr>
            <w:tcW w:w="2144" w:type="dxa"/>
            <w:vAlign w:val="top"/>
          </w:tcPr>
          <w:p w14:paraId="1F13D563">
            <w:pPr>
              <w:spacing w:before="93"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38EF7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9298341">
            <w:pPr>
              <w:spacing w:before="92" w:line="195"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129" w:type="dxa"/>
            <w:vAlign w:val="top"/>
          </w:tcPr>
          <w:p w14:paraId="66DEFABC">
            <w:pPr>
              <w:pStyle w:val="6"/>
              <w:spacing w:before="56" w:line="221" w:lineRule="auto"/>
              <w:ind w:left="639"/>
            </w:pPr>
            <w:r>
              <w:rPr>
                <w:spacing w:val="5"/>
              </w:rPr>
              <w:t>苯并</w:t>
            </w:r>
            <w:r>
              <w:rPr>
                <w:rFonts w:ascii="Times New Roman" w:hAnsi="Times New Roman" w:eastAsia="Times New Roman" w:cs="Times New Roman"/>
                <w:spacing w:val="5"/>
              </w:rPr>
              <w:t>[a]</w:t>
            </w:r>
            <w:r>
              <w:rPr>
                <w:spacing w:val="5"/>
              </w:rPr>
              <w:t>芘</w:t>
            </w:r>
          </w:p>
        </w:tc>
        <w:tc>
          <w:tcPr>
            <w:tcW w:w="2129" w:type="dxa"/>
            <w:vAlign w:val="top"/>
          </w:tcPr>
          <w:p w14:paraId="1AEAE89B">
            <w:pPr>
              <w:spacing w:before="92"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50-32-8</w:t>
            </w:r>
          </w:p>
        </w:tc>
        <w:tc>
          <w:tcPr>
            <w:tcW w:w="2144" w:type="dxa"/>
            <w:vAlign w:val="top"/>
          </w:tcPr>
          <w:p w14:paraId="69ACA1B6">
            <w:pPr>
              <w:spacing w:before="92"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21EB2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0ED491AA">
            <w:pPr>
              <w:spacing w:before="92"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129" w:type="dxa"/>
            <w:vAlign w:val="top"/>
          </w:tcPr>
          <w:p w14:paraId="348DCD80">
            <w:pPr>
              <w:pStyle w:val="6"/>
              <w:spacing w:before="56" w:line="221" w:lineRule="auto"/>
              <w:ind w:left="528"/>
            </w:pPr>
            <w:r>
              <w:rPr>
                <w:spacing w:val="5"/>
              </w:rPr>
              <w:t>苯并</w:t>
            </w:r>
            <w:r>
              <w:rPr>
                <w:rFonts w:ascii="Times New Roman" w:hAnsi="Times New Roman" w:eastAsia="Times New Roman" w:cs="Times New Roman"/>
                <w:spacing w:val="5"/>
              </w:rPr>
              <w:t>[b]</w:t>
            </w:r>
            <w:r>
              <w:rPr>
                <w:spacing w:val="5"/>
              </w:rPr>
              <w:t>荧蒽</w:t>
            </w:r>
          </w:p>
        </w:tc>
        <w:tc>
          <w:tcPr>
            <w:tcW w:w="2129" w:type="dxa"/>
            <w:vAlign w:val="top"/>
          </w:tcPr>
          <w:p w14:paraId="5A3D6797">
            <w:pPr>
              <w:spacing w:before="92"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205-99-2</w:t>
            </w:r>
          </w:p>
        </w:tc>
        <w:tc>
          <w:tcPr>
            <w:tcW w:w="2144" w:type="dxa"/>
            <w:vAlign w:val="top"/>
          </w:tcPr>
          <w:p w14:paraId="3D500F83">
            <w:pPr>
              <w:spacing w:before="92"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310A4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8A97192">
            <w:pPr>
              <w:spacing w:before="92"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2129" w:type="dxa"/>
            <w:vAlign w:val="top"/>
          </w:tcPr>
          <w:p w14:paraId="78F1EB2A">
            <w:pPr>
              <w:pStyle w:val="6"/>
              <w:spacing w:before="55" w:line="221" w:lineRule="auto"/>
              <w:ind w:left="528"/>
            </w:pPr>
            <w:r>
              <w:rPr>
                <w:spacing w:val="5"/>
              </w:rPr>
              <w:t>苯并</w:t>
            </w:r>
            <w:r>
              <w:rPr>
                <w:rFonts w:ascii="Times New Roman" w:hAnsi="Times New Roman" w:eastAsia="Times New Roman" w:cs="Times New Roman"/>
                <w:spacing w:val="5"/>
              </w:rPr>
              <w:t>[k]</w:t>
            </w:r>
            <w:r>
              <w:rPr>
                <w:spacing w:val="5"/>
              </w:rPr>
              <w:t>荧蒽</w:t>
            </w:r>
          </w:p>
        </w:tc>
        <w:tc>
          <w:tcPr>
            <w:tcW w:w="2129" w:type="dxa"/>
            <w:vAlign w:val="top"/>
          </w:tcPr>
          <w:p w14:paraId="12D45387">
            <w:pPr>
              <w:spacing w:before="91"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207-08-9</w:t>
            </w:r>
          </w:p>
        </w:tc>
        <w:tc>
          <w:tcPr>
            <w:tcW w:w="2144" w:type="dxa"/>
            <w:vAlign w:val="top"/>
          </w:tcPr>
          <w:p w14:paraId="7F10ACB9">
            <w:pPr>
              <w:spacing w:before="91"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r>
      <w:tr w14:paraId="53924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6127DC0D">
            <w:pPr>
              <w:spacing w:before="91"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2129" w:type="dxa"/>
            <w:vAlign w:val="top"/>
          </w:tcPr>
          <w:p w14:paraId="338862AC">
            <w:pPr>
              <w:pStyle w:val="6"/>
              <w:spacing w:before="55" w:line="229" w:lineRule="auto"/>
              <w:ind w:left="963"/>
            </w:pPr>
            <w:r>
              <w:rPr>
                <w:spacing w:val="2"/>
              </w:rPr>
              <w:t>䓛</w:t>
            </w:r>
          </w:p>
        </w:tc>
        <w:tc>
          <w:tcPr>
            <w:tcW w:w="2129" w:type="dxa"/>
            <w:vAlign w:val="top"/>
          </w:tcPr>
          <w:p w14:paraId="378D74C2">
            <w:pPr>
              <w:spacing w:before="91"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218-01-9</w:t>
            </w:r>
          </w:p>
        </w:tc>
        <w:tc>
          <w:tcPr>
            <w:tcW w:w="2144" w:type="dxa"/>
            <w:vAlign w:val="top"/>
          </w:tcPr>
          <w:p w14:paraId="709BDFD2">
            <w:pPr>
              <w:spacing w:before="91" w:line="195" w:lineRule="auto"/>
              <w:ind w:left="8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1293</w:t>
            </w:r>
          </w:p>
        </w:tc>
      </w:tr>
      <w:tr w14:paraId="7B738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15BA320C">
            <w:pPr>
              <w:spacing w:before="91"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2129" w:type="dxa"/>
            <w:vAlign w:val="top"/>
          </w:tcPr>
          <w:p w14:paraId="05863B8D">
            <w:pPr>
              <w:pStyle w:val="6"/>
              <w:spacing w:before="55" w:line="221" w:lineRule="auto"/>
              <w:ind w:left="431"/>
            </w:pPr>
            <w:r>
              <w:rPr>
                <w:spacing w:val="4"/>
              </w:rPr>
              <w:t>二苯并</w:t>
            </w:r>
            <w:r>
              <w:rPr>
                <w:rFonts w:ascii="Times New Roman" w:hAnsi="Times New Roman" w:eastAsia="Times New Roman" w:cs="Times New Roman"/>
                <w:spacing w:val="4"/>
              </w:rPr>
              <w:t>[a, h]</w:t>
            </w:r>
            <w:r>
              <w:rPr>
                <w:spacing w:val="4"/>
              </w:rPr>
              <w:t>蒽</w:t>
            </w:r>
          </w:p>
        </w:tc>
        <w:tc>
          <w:tcPr>
            <w:tcW w:w="2129" w:type="dxa"/>
            <w:vAlign w:val="top"/>
          </w:tcPr>
          <w:p w14:paraId="2C7CD40A">
            <w:pPr>
              <w:spacing w:before="91"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53-70-3</w:t>
            </w:r>
          </w:p>
        </w:tc>
        <w:tc>
          <w:tcPr>
            <w:tcW w:w="2144" w:type="dxa"/>
            <w:vAlign w:val="top"/>
          </w:tcPr>
          <w:p w14:paraId="614DF0DF">
            <w:pPr>
              <w:spacing w:before="91" w:line="195" w:lineRule="auto"/>
              <w:ind w:left="9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r w14:paraId="1E760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127" w:type="dxa"/>
            <w:vAlign w:val="top"/>
          </w:tcPr>
          <w:p w14:paraId="2BCF778F">
            <w:pPr>
              <w:spacing w:before="93"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129" w:type="dxa"/>
            <w:vAlign w:val="top"/>
          </w:tcPr>
          <w:p w14:paraId="03B856E0">
            <w:pPr>
              <w:pStyle w:val="6"/>
              <w:spacing w:before="57" w:line="221" w:lineRule="auto"/>
              <w:ind w:left="345"/>
            </w:pPr>
            <w:r>
              <w:rPr>
                <w:spacing w:val="5"/>
              </w:rPr>
              <w:t>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w:t>
            </w:r>
          </w:p>
        </w:tc>
        <w:tc>
          <w:tcPr>
            <w:tcW w:w="2129" w:type="dxa"/>
            <w:vAlign w:val="top"/>
          </w:tcPr>
          <w:p w14:paraId="54743B23">
            <w:pPr>
              <w:spacing w:before="93"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193-39-5</w:t>
            </w:r>
          </w:p>
        </w:tc>
        <w:tc>
          <w:tcPr>
            <w:tcW w:w="2144" w:type="dxa"/>
            <w:vAlign w:val="top"/>
          </w:tcPr>
          <w:p w14:paraId="6559F20B">
            <w:pPr>
              <w:spacing w:before="93"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4B3FE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27" w:type="dxa"/>
            <w:vAlign w:val="top"/>
          </w:tcPr>
          <w:p w14:paraId="1404986C">
            <w:pPr>
              <w:spacing w:before="92" w:line="195"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129" w:type="dxa"/>
            <w:vAlign w:val="top"/>
          </w:tcPr>
          <w:p w14:paraId="1D4A581A">
            <w:pPr>
              <w:pStyle w:val="6"/>
              <w:spacing w:before="57" w:line="228" w:lineRule="auto"/>
              <w:ind w:left="966"/>
            </w:pPr>
            <w:r>
              <w:t>萘</w:t>
            </w:r>
          </w:p>
        </w:tc>
        <w:tc>
          <w:tcPr>
            <w:tcW w:w="2129" w:type="dxa"/>
            <w:vAlign w:val="top"/>
          </w:tcPr>
          <w:p w14:paraId="77778131">
            <w:pPr>
              <w:spacing w:before="92"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91-20-3</w:t>
            </w:r>
          </w:p>
        </w:tc>
        <w:tc>
          <w:tcPr>
            <w:tcW w:w="2144" w:type="dxa"/>
            <w:vAlign w:val="top"/>
          </w:tcPr>
          <w:p w14:paraId="24D91AE7">
            <w:pPr>
              <w:spacing w:before="92" w:line="195"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bl>
    <w:p w14:paraId="060AA028">
      <w:pPr>
        <w:spacing w:before="37" w:line="219" w:lineRule="auto"/>
        <w:ind w:left="621"/>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2.3-4    </w:t>
      </w:r>
      <w:r>
        <w:rPr>
          <w:rFonts w:ascii="宋体" w:hAnsi="宋体" w:eastAsia="宋体" w:cs="宋体"/>
          <w:sz w:val="24"/>
          <w:szCs w:val="24"/>
        </w:rPr>
        <w:t>《土壤环境质量 农用</w:t>
      </w:r>
      <w:r>
        <w:rPr>
          <w:rFonts w:ascii="宋体" w:hAnsi="宋体" w:eastAsia="宋体" w:cs="宋体"/>
          <w:spacing w:val="-1"/>
          <w:sz w:val="24"/>
          <w:szCs w:val="24"/>
        </w:rPr>
        <w:t>地土壤污染风险管控标准（试行）》</w:t>
      </w:r>
    </w:p>
    <w:p w14:paraId="426F6E83">
      <w:pPr>
        <w:spacing w:before="26" w:line="212" w:lineRule="auto"/>
        <w:ind w:left="2440"/>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GB15618-2018</w:t>
      </w:r>
      <w:r>
        <w:rPr>
          <w:rFonts w:ascii="宋体" w:hAnsi="宋体" w:eastAsia="宋体" w:cs="宋体"/>
          <w:spacing w:val="-1"/>
          <w:sz w:val="24"/>
          <w:szCs w:val="24"/>
        </w:rPr>
        <w:t>）  单位：</w:t>
      </w:r>
      <w:r>
        <w:rPr>
          <w:rFonts w:ascii="Times New Roman" w:hAnsi="Times New Roman" w:eastAsia="Times New Roman" w:cs="Times New Roman"/>
          <w:spacing w:val="-1"/>
          <w:sz w:val="24"/>
          <w:szCs w:val="24"/>
        </w:rPr>
        <w:t>mg/kg</w:t>
      </w: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882"/>
        <w:gridCol w:w="1420"/>
        <w:gridCol w:w="1420"/>
        <w:gridCol w:w="1421"/>
        <w:gridCol w:w="1426"/>
      </w:tblGrid>
      <w:tr w14:paraId="1CBB8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63" w:type="dxa"/>
            <w:vMerge w:val="restart"/>
            <w:tcBorders>
              <w:bottom w:val="nil"/>
            </w:tcBorders>
            <w:vAlign w:val="top"/>
          </w:tcPr>
          <w:p w14:paraId="68CBF34E">
            <w:pPr>
              <w:pStyle w:val="6"/>
              <w:spacing w:before="216" w:line="229" w:lineRule="auto"/>
              <w:ind w:left="276"/>
            </w:pPr>
            <w:r>
              <w:rPr>
                <w:spacing w:val="5"/>
              </w:rPr>
              <w:t>序号</w:t>
            </w:r>
          </w:p>
        </w:tc>
        <w:tc>
          <w:tcPr>
            <w:tcW w:w="1882" w:type="dxa"/>
            <w:vMerge w:val="restart"/>
            <w:tcBorders>
              <w:bottom w:val="nil"/>
            </w:tcBorders>
            <w:vAlign w:val="top"/>
          </w:tcPr>
          <w:p w14:paraId="28AF2DF8">
            <w:pPr>
              <w:pStyle w:val="6"/>
              <w:spacing w:before="217" w:line="228" w:lineRule="auto"/>
              <w:ind w:left="422"/>
            </w:pPr>
            <w:r>
              <w:rPr>
                <w:spacing w:val="7"/>
              </w:rPr>
              <w:t>污染物项目</w:t>
            </w:r>
          </w:p>
        </w:tc>
        <w:tc>
          <w:tcPr>
            <w:tcW w:w="5687" w:type="dxa"/>
            <w:gridSpan w:val="4"/>
            <w:vAlign w:val="top"/>
          </w:tcPr>
          <w:p w14:paraId="38774C48">
            <w:pPr>
              <w:pStyle w:val="6"/>
              <w:spacing w:before="55" w:line="228" w:lineRule="auto"/>
              <w:ind w:left="2324"/>
            </w:pPr>
            <w:r>
              <w:rPr>
                <w:spacing w:val="7"/>
              </w:rPr>
              <w:t>风险筛选值</w:t>
            </w:r>
          </w:p>
        </w:tc>
      </w:tr>
      <w:tr w14:paraId="1B5F1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Merge w:val="continue"/>
            <w:tcBorders>
              <w:top w:val="nil"/>
            </w:tcBorders>
            <w:vAlign w:val="top"/>
          </w:tcPr>
          <w:p w14:paraId="4DF045B1">
            <w:pPr>
              <w:rPr>
                <w:rFonts w:ascii="Arial"/>
                <w:sz w:val="21"/>
              </w:rPr>
            </w:pPr>
          </w:p>
        </w:tc>
        <w:tc>
          <w:tcPr>
            <w:tcW w:w="1882" w:type="dxa"/>
            <w:vMerge w:val="continue"/>
            <w:tcBorders>
              <w:top w:val="nil"/>
            </w:tcBorders>
            <w:vAlign w:val="top"/>
          </w:tcPr>
          <w:p w14:paraId="421D6703">
            <w:pPr>
              <w:rPr>
                <w:rFonts w:ascii="Arial"/>
                <w:sz w:val="21"/>
              </w:rPr>
            </w:pPr>
          </w:p>
        </w:tc>
        <w:tc>
          <w:tcPr>
            <w:tcW w:w="1420" w:type="dxa"/>
            <w:vAlign w:val="top"/>
          </w:tcPr>
          <w:p w14:paraId="2550E295">
            <w:pPr>
              <w:spacing w:before="90" w:line="194"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≤5.5</w:t>
            </w:r>
          </w:p>
        </w:tc>
        <w:tc>
          <w:tcPr>
            <w:tcW w:w="1420" w:type="dxa"/>
            <w:vAlign w:val="top"/>
          </w:tcPr>
          <w:p w14:paraId="578C5FCE">
            <w:pPr>
              <w:pStyle w:val="6"/>
              <w:spacing w:before="51" w:line="221" w:lineRule="auto"/>
              <w:ind w:left="163"/>
              <w:rPr>
                <w:rFonts w:ascii="Times New Roman" w:hAnsi="Times New Roman" w:eastAsia="Times New Roman" w:cs="Times New Roman"/>
              </w:rPr>
            </w:pPr>
            <w:r>
              <w:rPr>
                <w:rFonts w:ascii="Times New Roman" w:hAnsi="Times New Roman" w:eastAsia="Times New Roman" w:cs="Times New Roman"/>
                <w:spacing w:val="5"/>
              </w:rPr>
              <w:t>5.5</w:t>
            </w:r>
            <w:r>
              <w:rPr>
                <w:spacing w:val="5"/>
              </w:rPr>
              <w:t>＜</w:t>
            </w:r>
            <w:r>
              <w:rPr>
                <w:rFonts w:ascii="Times New Roman" w:hAnsi="Times New Roman" w:eastAsia="Times New Roman" w:cs="Times New Roman"/>
              </w:rPr>
              <w:t>pH</w:t>
            </w:r>
            <w:r>
              <w:rPr>
                <w:rFonts w:ascii="Times New Roman" w:hAnsi="Times New Roman" w:eastAsia="Times New Roman" w:cs="Times New Roman"/>
                <w:spacing w:val="5"/>
              </w:rPr>
              <w:t>≤6.5</w:t>
            </w:r>
          </w:p>
        </w:tc>
        <w:tc>
          <w:tcPr>
            <w:tcW w:w="1421" w:type="dxa"/>
            <w:vAlign w:val="top"/>
          </w:tcPr>
          <w:p w14:paraId="3FEBC68F">
            <w:pPr>
              <w:pStyle w:val="6"/>
              <w:spacing w:before="51" w:line="221" w:lineRule="auto"/>
              <w:ind w:left="163"/>
              <w:rPr>
                <w:rFonts w:ascii="Times New Roman" w:hAnsi="Times New Roman" w:eastAsia="Times New Roman" w:cs="Times New Roman"/>
              </w:rPr>
            </w:pPr>
            <w:r>
              <w:rPr>
                <w:rFonts w:ascii="Times New Roman" w:hAnsi="Times New Roman" w:eastAsia="Times New Roman" w:cs="Times New Roman"/>
                <w:spacing w:val="5"/>
              </w:rPr>
              <w:t>6.5</w:t>
            </w:r>
            <w:r>
              <w:rPr>
                <w:spacing w:val="5"/>
              </w:rPr>
              <w:t>＜</w:t>
            </w:r>
            <w:r>
              <w:rPr>
                <w:rFonts w:ascii="Times New Roman" w:hAnsi="Times New Roman" w:eastAsia="Times New Roman" w:cs="Times New Roman"/>
              </w:rPr>
              <w:t>pH</w:t>
            </w:r>
            <w:r>
              <w:rPr>
                <w:rFonts w:ascii="Times New Roman" w:hAnsi="Times New Roman" w:eastAsia="Times New Roman" w:cs="Times New Roman"/>
                <w:spacing w:val="5"/>
              </w:rPr>
              <w:t>≤7.5</w:t>
            </w:r>
          </w:p>
        </w:tc>
        <w:tc>
          <w:tcPr>
            <w:tcW w:w="1426" w:type="dxa"/>
            <w:vAlign w:val="top"/>
          </w:tcPr>
          <w:p w14:paraId="443C12E1">
            <w:pPr>
              <w:pStyle w:val="6"/>
              <w:spacing w:before="51" w:line="221" w:lineRule="auto"/>
              <w:ind w:left="345"/>
              <w:rPr>
                <w:rFonts w:ascii="Times New Roman" w:hAnsi="Times New Roman" w:eastAsia="Times New Roman" w:cs="Times New Roman"/>
              </w:rPr>
            </w:pPr>
            <w:r>
              <w:rPr>
                <w:rFonts w:ascii="Times New Roman" w:hAnsi="Times New Roman" w:eastAsia="Times New Roman" w:cs="Times New Roman"/>
              </w:rPr>
              <w:t>pH</w:t>
            </w:r>
            <w:r>
              <w:rPr>
                <w:spacing w:val="8"/>
              </w:rPr>
              <w:t>＞</w:t>
            </w:r>
            <w:r>
              <w:rPr>
                <w:rFonts w:ascii="Times New Roman" w:hAnsi="Times New Roman" w:eastAsia="Times New Roman" w:cs="Times New Roman"/>
                <w:spacing w:val="8"/>
              </w:rPr>
              <w:t>7.5</w:t>
            </w:r>
          </w:p>
        </w:tc>
      </w:tr>
      <w:tr w14:paraId="15AA4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14:paraId="2B097491">
            <w:pPr>
              <w:spacing w:before="8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82" w:type="dxa"/>
            <w:vAlign w:val="top"/>
          </w:tcPr>
          <w:p w14:paraId="0A86D844">
            <w:pPr>
              <w:pStyle w:val="6"/>
              <w:spacing w:before="50" w:line="231" w:lineRule="auto"/>
              <w:ind w:left="839"/>
            </w:pPr>
            <w:r>
              <w:rPr>
                <w:spacing w:val="2"/>
              </w:rPr>
              <w:t>镉</w:t>
            </w:r>
          </w:p>
        </w:tc>
        <w:tc>
          <w:tcPr>
            <w:tcW w:w="1420" w:type="dxa"/>
            <w:vAlign w:val="top"/>
          </w:tcPr>
          <w:p w14:paraId="0374E2DC">
            <w:pPr>
              <w:spacing w:before="87"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420" w:type="dxa"/>
            <w:vAlign w:val="top"/>
          </w:tcPr>
          <w:p w14:paraId="4B66F988">
            <w:pPr>
              <w:spacing w:before="87"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421" w:type="dxa"/>
            <w:vAlign w:val="top"/>
          </w:tcPr>
          <w:p w14:paraId="391BD471">
            <w:pPr>
              <w:spacing w:before="87"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426" w:type="dxa"/>
            <w:vAlign w:val="top"/>
          </w:tcPr>
          <w:p w14:paraId="4E3580D8">
            <w:pPr>
              <w:spacing w:before="87"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r>
      <w:tr w14:paraId="7D501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20557B35">
            <w:pPr>
              <w:spacing w:before="90"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82" w:type="dxa"/>
            <w:vAlign w:val="top"/>
          </w:tcPr>
          <w:p w14:paraId="38BE775A">
            <w:pPr>
              <w:pStyle w:val="6"/>
              <w:spacing w:before="54" w:line="228" w:lineRule="auto"/>
              <w:ind w:left="841"/>
            </w:pPr>
            <w:r>
              <w:t>汞</w:t>
            </w:r>
          </w:p>
        </w:tc>
        <w:tc>
          <w:tcPr>
            <w:tcW w:w="1420" w:type="dxa"/>
            <w:vAlign w:val="top"/>
          </w:tcPr>
          <w:p w14:paraId="2A9BB6FD">
            <w:pPr>
              <w:spacing w:before="90"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420" w:type="dxa"/>
            <w:vAlign w:val="top"/>
          </w:tcPr>
          <w:p w14:paraId="0A3805F6">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421" w:type="dxa"/>
            <w:vAlign w:val="top"/>
          </w:tcPr>
          <w:p w14:paraId="562DDCCA">
            <w:pPr>
              <w:spacing w:before="90"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426" w:type="dxa"/>
            <w:vAlign w:val="top"/>
          </w:tcPr>
          <w:p w14:paraId="73ACC0C8">
            <w:pPr>
              <w:spacing w:before="90"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r>
      <w:tr w14:paraId="442E3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14:paraId="3E7352D6">
            <w:pPr>
              <w:spacing w:before="8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82" w:type="dxa"/>
            <w:vAlign w:val="top"/>
          </w:tcPr>
          <w:p w14:paraId="54740530">
            <w:pPr>
              <w:pStyle w:val="6"/>
              <w:spacing w:before="54" w:line="228" w:lineRule="auto"/>
              <w:ind w:left="839"/>
            </w:pPr>
            <w:r>
              <w:rPr>
                <w:spacing w:val="1"/>
              </w:rPr>
              <w:t>砷</w:t>
            </w:r>
          </w:p>
        </w:tc>
        <w:tc>
          <w:tcPr>
            <w:tcW w:w="1420" w:type="dxa"/>
            <w:vAlign w:val="top"/>
          </w:tcPr>
          <w:p w14:paraId="2B86C890">
            <w:pPr>
              <w:spacing w:before="89"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20" w:type="dxa"/>
            <w:vAlign w:val="top"/>
          </w:tcPr>
          <w:p w14:paraId="2D68592C">
            <w:pPr>
              <w:spacing w:before="89"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21" w:type="dxa"/>
            <w:vAlign w:val="top"/>
          </w:tcPr>
          <w:p w14:paraId="727DB6BE">
            <w:pPr>
              <w:spacing w:before="89"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26" w:type="dxa"/>
            <w:vAlign w:val="top"/>
          </w:tcPr>
          <w:p w14:paraId="763B1A28">
            <w:pPr>
              <w:spacing w:before="89"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0979F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14:paraId="6563264D">
            <w:pPr>
              <w:spacing w:before="90"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82" w:type="dxa"/>
            <w:vAlign w:val="top"/>
          </w:tcPr>
          <w:p w14:paraId="7AE0D61F">
            <w:pPr>
              <w:pStyle w:val="6"/>
              <w:spacing w:before="54" w:line="232" w:lineRule="auto"/>
              <w:ind w:left="840"/>
            </w:pPr>
            <w:r>
              <w:t>铅</w:t>
            </w:r>
          </w:p>
        </w:tc>
        <w:tc>
          <w:tcPr>
            <w:tcW w:w="1420" w:type="dxa"/>
            <w:vAlign w:val="top"/>
          </w:tcPr>
          <w:p w14:paraId="37C7270A">
            <w:pPr>
              <w:spacing w:before="9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20" w:type="dxa"/>
            <w:vAlign w:val="top"/>
          </w:tcPr>
          <w:p w14:paraId="101D3C40">
            <w:pPr>
              <w:spacing w:before="90"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421" w:type="dxa"/>
            <w:vAlign w:val="top"/>
          </w:tcPr>
          <w:p w14:paraId="6A0293B7">
            <w:pPr>
              <w:spacing w:before="9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426" w:type="dxa"/>
            <w:vAlign w:val="top"/>
          </w:tcPr>
          <w:p w14:paraId="69D3CD91">
            <w:pPr>
              <w:spacing w:before="9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170</w:t>
            </w:r>
          </w:p>
        </w:tc>
      </w:tr>
      <w:tr w14:paraId="5F8A9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13365EC7">
            <w:pPr>
              <w:spacing w:before="93" w:line="192"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82" w:type="dxa"/>
            <w:vAlign w:val="top"/>
          </w:tcPr>
          <w:p w14:paraId="399BC50E">
            <w:pPr>
              <w:pStyle w:val="6"/>
              <w:spacing w:before="54" w:line="230" w:lineRule="auto"/>
              <w:ind w:left="839"/>
            </w:pPr>
            <w:r>
              <w:rPr>
                <w:spacing w:val="1"/>
              </w:rPr>
              <w:t>铬</w:t>
            </w:r>
          </w:p>
        </w:tc>
        <w:tc>
          <w:tcPr>
            <w:tcW w:w="1420" w:type="dxa"/>
            <w:vAlign w:val="top"/>
          </w:tcPr>
          <w:p w14:paraId="320E6DF3">
            <w:pPr>
              <w:spacing w:before="90"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420" w:type="dxa"/>
            <w:vAlign w:val="top"/>
          </w:tcPr>
          <w:p w14:paraId="22D7100E">
            <w:pPr>
              <w:spacing w:before="90"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421" w:type="dxa"/>
            <w:vAlign w:val="top"/>
          </w:tcPr>
          <w:p w14:paraId="4EF3E24E">
            <w:pPr>
              <w:spacing w:before="90"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26" w:type="dxa"/>
            <w:vAlign w:val="top"/>
          </w:tcPr>
          <w:p w14:paraId="795E713D">
            <w:pPr>
              <w:spacing w:before="90"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3DBF5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3" w:type="dxa"/>
            <w:vAlign w:val="top"/>
          </w:tcPr>
          <w:p w14:paraId="748F8F69">
            <w:pPr>
              <w:spacing w:before="90"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82" w:type="dxa"/>
            <w:vAlign w:val="top"/>
          </w:tcPr>
          <w:p w14:paraId="7950FF7C">
            <w:pPr>
              <w:pStyle w:val="6"/>
              <w:spacing w:before="54" w:line="229" w:lineRule="auto"/>
              <w:ind w:left="840"/>
            </w:pPr>
            <w:r>
              <w:t>铜</w:t>
            </w:r>
          </w:p>
        </w:tc>
        <w:tc>
          <w:tcPr>
            <w:tcW w:w="1420" w:type="dxa"/>
            <w:vAlign w:val="top"/>
          </w:tcPr>
          <w:p w14:paraId="1169A508">
            <w:pPr>
              <w:spacing w:before="90" w:line="195" w:lineRule="auto"/>
              <w:ind w:left="61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20" w:type="dxa"/>
            <w:vAlign w:val="top"/>
          </w:tcPr>
          <w:p w14:paraId="4BE80DDB">
            <w:pPr>
              <w:spacing w:before="90"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21" w:type="dxa"/>
            <w:vAlign w:val="top"/>
          </w:tcPr>
          <w:p w14:paraId="168E6B60">
            <w:pPr>
              <w:spacing w:before="9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26" w:type="dxa"/>
            <w:vAlign w:val="top"/>
          </w:tcPr>
          <w:p w14:paraId="4C09A43D">
            <w:pPr>
              <w:spacing w:before="9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2A539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63" w:type="dxa"/>
            <w:vAlign w:val="top"/>
          </w:tcPr>
          <w:p w14:paraId="20478C43">
            <w:pPr>
              <w:spacing w:before="94" w:line="192"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82" w:type="dxa"/>
            <w:vAlign w:val="top"/>
          </w:tcPr>
          <w:p w14:paraId="397EDBE4">
            <w:pPr>
              <w:pStyle w:val="6"/>
              <w:spacing w:before="55" w:line="228" w:lineRule="auto"/>
              <w:ind w:left="839"/>
            </w:pPr>
            <w:r>
              <w:rPr>
                <w:spacing w:val="1"/>
              </w:rPr>
              <w:t>镍</w:t>
            </w:r>
          </w:p>
        </w:tc>
        <w:tc>
          <w:tcPr>
            <w:tcW w:w="1420" w:type="dxa"/>
            <w:vAlign w:val="top"/>
          </w:tcPr>
          <w:p w14:paraId="3F9FC002">
            <w:pPr>
              <w:spacing w:before="91"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420" w:type="dxa"/>
            <w:vAlign w:val="top"/>
          </w:tcPr>
          <w:p w14:paraId="1CC583EF">
            <w:pPr>
              <w:spacing w:before="91"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21" w:type="dxa"/>
            <w:vAlign w:val="top"/>
          </w:tcPr>
          <w:p w14:paraId="59CD7789">
            <w:pPr>
              <w:spacing w:before="91"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26" w:type="dxa"/>
            <w:vAlign w:val="top"/>
          </w:tcPr>
          <w:p w14:paraId="4E74D38F">
            <w:pPr>
              <w:spacing w:before="9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r>
      <w:tr w14:paraId="35E56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63" w:type="dxa"/>
            <w:vAlign w:val="top"/>
          </w:tcPr>
          <w:p w14:paraId="6D158BA9">
            <w:pPr>
              <w:spacing w:before="9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82" w:type="dxa"/>
            <w:vAlign w:val="top"/>
          </w:tcPr>
          <w:p w14:paraId="74083CFF">
            <w:pPr>
              <w:pStyle w:val="6"/>
              <w:spacing w:before="57" w:line="228" w:lineRule="auto"/>
              <w:ind w:left="839"/>
            </w:pPr>
            <w:r>
              <w:rPr>
                <w:spacing w:val="1"/>
              </w:rPr>
              <w:t>锌</w:t>
            </w:r>
          </w:p>
        </w:tc>
        <w:tc>
          <w:tcPr>
            <w:tcW w:w="1420" w:type="dxa"/>
            <w:vAlign w:val="top"/>
          </w:tcPr>
          <w:p w14:paraId="576C8B3F">
            <w:pPr>
              <w:spacing w:before="93"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20" w:type="dxa"/>
            <w:vAlign w:val="top"/>
          </w:tcPr>
          <w:p w14:paraId="0755410E">
            <w:pPr>
              <w:spacing w:before="93"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21" w:type="dxa"/>
            <w:vAlign w:val="top"/>
          </w:tcPr>
          <w:p w14:paraId="7C553585">
            <w:pPr>
              <w:spacing w:before="93" w:line="195"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426" w:type="dxa"/>
            <w:vAlign w:val="top"/>
          </w:tcPr>
          <w:p w14:paraId="4D91BF8A">
            <w:pPr>
              <w:spacing w:before="9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bl>
    <w:p w14:paraId="623EFA1C">
      <w:pPr>
        <w:pStyle w:val="2"/>
        <w:spacing w:line="194" w:lineRule="exact"/>
        <w:rPr>
          <w:sz w:val="16"/>
        </w:rPr>
      </w:pPr>
    </w:p>
    <w:p w14:paraId="011277A9">
      <w:pPr>
        <w:spacing w:line="194" w:lineRule="exact"/>
        <w:rPr>
          <w:sz w:val="16"/>
          <w:szCs w:val="16"/>
        </w:rPr>
        <w:sectPr>
          <w:footerReference r:id="rId25" w:type="default"/>
          <w:pgSz w:w="11906" w:h="16839"/>
          <w:pgMar w:top="1208" w:right="1684" w:bottom="1358" w:left="1684" w:header="825" w:footer="1195" w:gutter="0"/>
          <w:cols w:space="720" w:num="1"/>
        </w:sectPr>
      </w:pPr>
    </w:p>
    <w:p w14:paraId="64850A36">
      <w:pPr>
        <w:spacing w:before="268" w:line="211" w:lineRule="auto"/>
        <w:ind w:left="1125"/>
        <w:rPr>
          <w:rFonts w:ascii="宋体" w:hAnsi="宋体" w:eastAsia="宋体" w:cs="宋体"/>
          <w:sz w:val="20"/>
          <w:szCs w:val="20"/>
        </w:rPr>
      </w:pPr>
      <w:r>
        <w:rPr>
          <w:rFonts w:ascii="宋体" w:hAnsi="宋体" w:eastAsia="宋体" w:cs="宋体"/>
          <w:spacing w:val="1"/>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2.3-5</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《地下水质量标准》（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/T1484</w:t>
      </w:r>
      <w:r>
        <w:rPr>
          <w:rFonts w:ascii="Times New Roman" w:hAnsi="Times New Roman" w:eastAsia="Times New Roman" w:cs="Times New Roman"/>
          <w:sz w:val="24"/>
          <w:szCs w:val="24"/>
        </w:rPr>
        <w:t>8-2017</w:t>
      </w:r>
      <w:r>
        <w:rPr>
          <w:rFonts w:ascii="宋体" w:hAnsi="宋体" w:eastAsia="宋体" w:cs="宋体"/>
          <w:sz w:val="24"/>
          <w:szCs w:val="24"/>
        </w:rPr>
        <w:t>）</w:t>
      </w:r>
      <w:r>
        <w:rPr>
          <w:rFonts w:ascii="宋体" w:hAnsi="宋体" w:eastAsia="宋体" w:cs="宋体"/>
          <w:sz w:val="20"/>
          <w:szCs w:val="20"/>
        </w:rPr>
        <w:t>Ⅲ类标准</w:t>
      </w:r>
    </w:p>
    <w:tbl>
      <w:tblPr>
        <w:tblStyle w:val="5"/>
        <w:tblW w:w="8544"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2"/>
        <w:gridCol w:w="3334"/>
        <w:gridCol w:w="1992"/>
        <w:gridCol w:w="2036"/>
      </w:tblGrid>
      <w:tr w14:paraId="2FE59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82" w:type="dxa"/>
            <w:vAlign w:val="top"/>
          </w:tcPr>
          <w:p w14:paraId="13C34454">
            <w:pPr>
              <w:pStyle w:val="6"/>
              <w:spacing w:before="56" w:line="229" w:lineRule="auto"/>
              <w:ind w:left="385"/>
            </w:pPr>
            <w:r>
              <w:rPr>
                <w:spacing w:val="5"/>
              </w:rPr>
              <w:t>序号</w:t>
            </w:r>
          </w:p>
        </w:tc>
        <w:tc>
          <w:tcPr>
            <w:tcW w:w="3334" w:type="dxa"/>
            <w:vAlign w:val="top"/>
          </w:tcPr>
          <w:p w14:paraId="717852B2">
            <w:pPr>
              <w:pStyle w:val="6"/>
              <w:spacing w:before="56" w:line="228" w:lineRule="auto"/>
              <w:ind w:left="1252"/>
            </w:pPr>
            <w:r>
              <w:rPr>
                <w:spacing w:val="7"/>
              </w:rPr>
              <w:t>监测项目</w:t>
            </w:r>
          </w:p>
        </w:tc>
        <w:tc>
          <w:tcPr>
            <w:tcW w:w="1992" w:type="dxa"/>
            <w:vAlign w:val="top"/>
          </w:tcPr>
          <w:p w14:paraId="719E219F">
            <w:pPr>
              <w:pStyle w:val="6"/>
              <w:spacing w:before="56" w:line="228" w:lineRule="auto"/>
              <w:ind w:left="583"/>
            </w:pPr>
            <w:r>
              <w:t>单</w:t>
            </w:r>
            <w:r>
              <w:rPr>
                <w:spacing w:val="7"/>
              </w:rPr>
              <w:t xml:space="preserve">    </w:t>
            </w:r>
            <w:r>
              <w:t>位</w:t>
            </w:r>
          </w:p>
        </w:tc>
        <w:tc>
          <w:tcPr>
            <w:tcW w:w="2036" w:type="dxa"/>
            <w:vAlign w:val="top"/>
          </w:tcPr>
          <w:p w14:paraId="7DE9EFEA">
            <w:pPr>
              <w:pStyle w:val="6"/>
              <w:spacing w:before="56" w:line="228" w:lineRule="auto"/>
              <w:ind w:left="602"/>
            </w:pPr>
            <w:r>
              <w:rPr>
                <w:spacing w:val="7"/>
              </w:rPr>
              <w:t>Ⅲ类标准</w:t>
            </w:r>
          </w:p>
        </w:tc>
      </w:tr>
      <w:tr w14:paraId="13B24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00446EC2">
            <w:pPr>
              <w:spacing w:before="8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34" w:type="dxa"/>
            <w:vAlign w:val="top"/>
          </w:tcPr>
          <w:p w14:paraId="0C5E2B91">
            <w:pPr>
              <w:spacing w:before="90" w:line="194" w:lineRule="auto"/>
              <w:ind w:left="153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992" w:type="dxa"/>
            <w:vAlign w:val="top"/>
          </w:tcPr>
          <w:p w14:paraId="7D70E8D8">
            <w:pPr>
              <w:pStyle w:val="6"/>
              <w:spacing w:before="52" w:line="228" w:lineRule="auto"/>
              <w:ind w:left="689"/>
            </w:pPr>
            <w:r>
              <w:rPr>
                <w:spacing w:val="6"/>
              </w:rPr>
              <w:t>无量纲</w:t>
            </w:r>
          </w:p>
        </w:tc>
        <w:tc>
          <w:tcPr>
            <w:tcW w:w="2036" w:type="dxa"/>
            <w:vAlign w:val="top"/>
          </w:tcPr>
          <w:p w14:paraId="050FE41D">
            <w:pPr>
              <w:pStyle w:val="6"/>
              <w:spacing w:before="52" w:line="235" w:lineRule="auto"/>
              <w:ind w:left="656"/>
              <w:rPr>
                <w:rFonts w:ascii="Times New Roman" w:hAnsi="Times New Roman" w:eastAsia="Times New Roman" w:cs="Times New Roman"/>
              </w:rPr>
            </w:pPr>
            <w:r>
              <w:rPr>
                <w:rFonts w:ascii="Times New Roman" w:hAnsi="Times New Roman" w:eastAsia="Times New Roman" w:cs="Times New Roman"/>
                <w:spacing w:val="3"/>
              </w:rPr>
              <w:t>6.5</w:t>
            </w:r>
            <w:r>
              <w:rPr>
                <w:spacing w:val="3"/>
              </w:rPr>
              <w:t>～</w:t>
            </w:r>
            <w:r>
              <w:rPr>
                <w:rFonts w:ascii="Times New Roman" w:hAnsi="Times New Roman" w:eastAsia="Times New Roman" w:cs="Times New Roman"/>
                <w:spacing w:val="3"/>
              </w:rPr>
              <w:t>8.5</w:t>
            </w:r>
          </w:p>
        </w:tc>
      </w:tr>
      <w:tr w14:paraId="78CBE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2" w:type="dxa"/>
            <w:vAlign w:val="top"/>
          </w:tcPr>
          <w:p w14:paraId="31242092">
            <w:pPr>
              <w:spacing w:before="8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34" w:type="dxa"/>
            <w:vAlign w:val="top"/>
          </w:tcPr>
          <w:p w14:paraId="364ED842">
            <w:pPr>
              <w:pStyle w:val="6"/>
              <w:spacing w:before="52" w:line="228" w:lineRule="auto"/>
              <w:ind w:left="1362"/>
            </w:pPr>
            <w:r>
              <w:rPr>
                <w:spacing w:val="5"/>
              </w:rPr>
              <w:t>总硬度</w:t>
            </w:r>
          </w:p>
        </w:tc>
        <w:tc>
          <w:tcPr>
            <w:tcW w:w="1992" w:type="dxa"/>
            <w:vAlign w:val="top"/>
          </w:tcPr>
          <w:p w14:paraId="617817A0">
            <w:pPr>
              <w:spacing w:before="83"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84460E6">
            <w:pPr>
              <w:spacing w:before="88"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r>
      <w:tr w14:paraId="51E75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2" w:type="dxa"/>
            <w:vAlign w:val="top"/>
          </w:tcPr>
          <w:p w14:paraId="5CD76510">
            <w:pPr>
              <w:spacing w:before="88"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334" w:type="dxa"/>
            <w:vAlign w:val="top"/>
          </w:tcPr>
          <w:p w14:paraId="43E870A1">
            <w:pPr>
              <w:pStyle w:val="6"/>
              <w:spacing w:before="52" w:line="228" w:lineRule="auto"/>
              <w:ind w:left="1045"/>
            </w:pPr>
            <w:r>
              <w:rPr>
                <w:spacing w:val="7"/>
              </w:rPr>
              <w:t>溶解性总固体</w:t>
            </w:r>
          </w:p>
        </w:tc>
        <w:tc>
          <w:tcPr>
            <w:tcW w:w="1992" w:type="dxa"/>
            <w:vAlign w:val="top"/>
          </w:tcPr>
          <w:p w14:paraId="0D93569A">
            <w:pPr>
              <w:spacing w:before="84"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2AEE115F">
            <w:pPr>
              <w:spacing w:before="88"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≤1000</w:t>
            </w:r>
          </w:p>
        </w:tc>
      </w:tr>
      <w:tr w14:paraId="4C8B6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2" w:type="dxa"/>
            <w:vAlign w:val="top"/>
          </w:tcPr>
          <w:p w14:paraId="14ACE4DF">
            <w:pPr>
              <w:spacing w:before="9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334" w:type="dxa"/>
            <w:vAlign w:val="top"/>
          </w:tcPr>
          <w:p w14:paraId="1C25F6B1">
            <w:pPr>
              <w:pStyle w:val="6"/>
              <w:spacing w:before="55" w:line="229" w:lineRule="auto"/>
              <w:ind w:left="1356"/>
            </w:pPr>
            <w:r>
              <w:rPr>
                <w:spacing w:val="7"/>
              </w:rPr>
              <w:t>硫酸盐</w:t>
            </w:r>
          </w:p>
        </w:tc>
        <w:tc>
          <w:tcPr>
            <w:tcW w:w="1992" w:type="dxa"/>
            <w:vAlign w:val="top"/>
          </w:tcPr>
          <w:p w14:paraId="5D66C967">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0377FA93">
            <w:pPr>
              <w:spacing w:before="91"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r>
      <w:tr w14:paraId="03504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82" w:type="dxa"/>
            <w:vAlign w:val="top"/>
          </w:tcPr>
          <w:p w14:paraId="717D72FC">
            <w:pPr>
              <w:spacing w:before="94" w:line="192"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334" w:type="dxa"/>
            <w:vAlign w:val="top"/>
          </w:tcPr>
          <w:p w14:paraId="5B5FD544">
            <w:pPr>
              <w:pStyle w:val="6"/>
              <w:spacing w:before="55" w:line="229" w:lineRule="auto"/>
              <w:ind w:left="1360"/>
            </w:pPr>
            <w:r>
              <w:rPr>
                <w:spacing w:val="5"/>
              </w:rPr>
              <w:t>氯化物</w:t>
            </w:r>
          </w:p>
        </w:tc>
        <w:tc>
          <w:tcPr>
            <w:tcW w:w="1992" w:type="dxa"/>
            <w:vAlign w:val="top"/>
          </w:tcPr>
          <w:p w14:paraId="2824EAA5">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0D2D9F90">
            <w:pPr>
              <w:spacing w:before="92"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w:t>
            </w:r>
          </w:p>
        </w:tc>
      </w:tr>
      <w:tr w14:paraId="1B3B2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11DF2645">
            <w:pPr>
              <w:spacing w:before="9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334" w:type="dxa"/>
            <w:vAlign w:val="top"/>
          </w:tcPr>
          <w:p w14:paraId="6C6CAE35">
            <w:pPr>
              <w:pStyle w:val="6"/>
              <w:spacing w:before="56" w:line="229" w:lineRule="auto"/>
              <w:ind w:left="809"/>
            </w:pPr>
            <w:r>
              <w:rPr>
                <w:spacing w:val="6"/>
              </w:rPr>
              <w:t>硝酸盐（以</w:t>
            </w:r>
            <w:r>
              <w:rPr>
                <w:spacing w:val="-45"/>
              </w:rPr>
              <w:t xml:space="preserve"> </w:t>
            </w:r>
            <w:r>
              <w:rPr>
                <w:rFonts w:ascii="Times New Roman" w:hAnsi="Times New Roman" w:eastAsia="Times New Roman" w:cs="Times New Roman"/>
                <w:spacing w:val="6"/>
              </w:rPr>
              <w:t xml:space="preserve">N </w:t>
            </w:r>
            <w:r>
              <w:rPr>
                <w:spacing w:val="6"/>
              </w:rPr>
              <w:t>计）</w:t>
            </w:r>
          </w:p>
        </w:tc>
        <w:tc>
          <w:tcPr>
            <w:tcW w:w="1992" w:type="dxa"/>
            <w:vAlign w:val="top"/>
          </w:tcPr>
          <w:p w14:paraId="1C6BD77D">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1A8E02B3">
            <w:pPr>
              <w:spacing w:before="92"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p>
        </w:tc>
      </w:tr>
      <w:tr w14:paraId="39967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0F35721B">
            <w:pPr>
              <w:spacing w:before="94"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334" w:type="dxa"/>
            <w:vAlign w:val="top"/>
          </w:tcPr>
          <w:p w14:paraId="71BA4243">
            <w:pPr>
              <w:pStyle w:val="6"/>
              <w:spacing w:before="56" w:line="229" w:lineRule="auto"/>
              <w:ind w:left="703"/>
            </w:pPr>
            <w:r>
              <w:rPr>
                <w:spacing w:val="6"/>
              </w:rPr>
              <w:t>亚硝酸盐（以</w:t>
            </w:r>
            <w:r>
              <w:rPr>
                <w:spacing w:val="-40"/>
              </w:rPr>
              <w:t xml:space="preserve"> </w:t>
            </w:r>
            <w:r>
              <w:rPr>
                <w:rFonts w:ascii="Times New Roman" w:hAnsi="Times New Roman" w:eastAsia="Times New Roman" w:cs="Times New Roman"/>
                <w:spacing w:val="6"/>
              </w:rPr>
              <w:t xml:space="preserve">N </w:t>
            </w:r>
            <w:r>
              <w:rPr>
                <w:spacing w:val="6"/>
              </w:rPr>
              <w:t>计）</w:t>
            </w:r>
          </w:p>
        </w:tc>
        <w:tc>
          <w:tcPr>
            <w:tcW w:w="1992" w:type="dxa"/>
            <w:vAlign w:val="top"/>
          </w:tcPr>
          <w:p w14:paraId="7DED6BBD">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6310EA27">
            <w:pPr>
              <w:spacing w:before="92"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r>
      <w:tr w14:paraId="5B325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657F1DE3">
            <w:pPr>
              <w:spacing w:before="91"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334" w:type="dxa"/>
            <w:vAlign w:val="top"/>
          </w:tcPr>
          <w:p w14:paraId="3B467732">
            <w:pPr>
              <w:pStyle w:val="6"/>
              <w:spacing w:before="55" w:line="227" w:lineRule="auto"/>
              <w:ind w:left="516"/>
            </w:pPr>
            <w:r>
              <w:rPr>
                <w:spacing w:val="8"/>
              </w:rPr>
              <w:t>挥发性酚类（以苯酚计）</w:t>
            </w:r>
          </w:p>
        </w:tc>
        <w:tc>
          <w:tcPr>
            <w:tcW w:w="1992" w:type="dxa"/>
            <w:vAlign w:val="top"/>
          </w:tcPr>
          <w:p w14:paraId="78208673">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FF45921">
            <w:pPr>
              <w:spacing w:before="92" w:line="19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w:t>
            </w:r>
          </w:p>
        </w:tc>
      </w:tr>
      <w:tr w14:paraId="770F1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0721945C">
            <w:pPr>
              <w:spacing w:before="9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334" w:type="dxa"/>
            <w:vAlign w:val="top"/>
          </w:tcPr>
          <w:p w14:paraId="2F88DF1E">
            <w:pPr>
              <w:pStyle w:val="6"/>
              <w:spacing w:before="55" w:line="227" w:lineRule="auto"/>
              <w:ind w:left="913"/>
            </w:pPr>
            <w:r>
              <w:rPr>
                <w:spacing w:val="6"/>
              </w:rPr>
              <w:t>氨氮（以</w:t>
            </w:r>
            <w:r>
              <w:rPr>
                <w:spacing w:val="-49"/>
              </w:rPr>
              <w:t xml:space="preserve"> </w:t>
            </w:r>
            <w:r>
              <w:rPr>
                <w:rFonts w:ascii="Times New Roman" w:hAnsi="Times New Roman" w:eastAsia="Times New Roman" w:cs="Times New Roman"/>
                <w:spacing w:val="6"/>
              </w:rPr>
              <w:t xml:space="preserve">N </w:t>
            </w:r>
            <w:r>
              <w:rPr>
                <w:spacing w:val="6"/>
              </w:rPr>
              <w:t>计）</w:t>
            </w:r>
          </w:p>
        </w:tc>
        <w:tc>
          <w:tcPr>
            <w:tcW w:w="1992" w:type="dxa"/>
            <w:vAlign w:val="top"/>
          </w:tcPr>
          <w:p w14:paraId="05D808F7">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48B80AA0">
            <w:pPr>
              <w:spacing w:before="91"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≤0.50</w:t>
            </w:r>
          </w:p>
        </w:tc>
      </w:tr>
      <w:tr w14:paraId="6025E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49EFBA6">
            <w:pPr>
              <w:spacing w:before="93"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334" w:type="dxa"/>
            <w:vAlign w:val="top"/>
          </w:tcPr>
          <w:p w14:paraId="56A58D81">
            <w:pPr>
              <w:pStyle w:val="6"/>
              <w:spacing w:before="57" w:line="227" w:lineRule="auto"/>
              <w:ind w:left="242"/>
            </w:pPr>
            <w:r>
              <w:rPr>
                <w:spacing w:val="4"/>
              </w:rPr>
              <w:t>耗氧量（</w:t>
            </w:r>
            <w:r>
              <w:rPr>
                <w:rFonts w:ascii="Times New Roman" w:hAnsi="Times New Roman" w:eastAsia="Times New Roman" w:cs="Times New Roman"/>
              </w:rPr>
              <w:t>COD</w:t>
            </w:r>
            <w:r>
              <w:rPr>
                <w:rFonts w:ascii="Times New Roman" w:hAnsi="Times New Roman" w:eastAsia="Times New Roman" w:cs="Times New Roman"/>
                <w:position w:val="-1"/>
                <w:sz w:val="13"/>
                <w:szCs w:val="13"/>
              </w:rPr>
              <w:t>Mn</w:t>
            </w:r>
            <w:r>
              <w:rPr>
                <w:rFonts w:ascii="Times New Roman" w:hAnsi="Times New Roman" w:eastAsia="Times New Roman" w:cs="Times New Roman"/>
                <w:spacing w:val="4"/>
                <w:position w:val="-1"/>
                <w:sz w:val="13"/>
                <w:szCs w:val="13"/>
              </w:rPr>
              <w:t xml:space="preserve"> </w:t>
            </w:r>
            <w:r>
              <w:rPr>
                <w:spacing w:val="4"/>
              </w:rPr>
              <w:t>法，</w:t>
            </w:r>
            <w:r>
              <w:rPr>
                <w:spacing w:val="-50"/>
              </w:rPr>
              <w:t xml:space="preserve"> </w:t>
            </w:r>
            <w:r>
              <w:rPr>
                <w:spacing w:val="4"/>
              </w:rPr>
              <w:t>以</w:t>
            </w:r>
            <w:r>
              <w:rPr>
                <w:spacing w:val="-40"/>
              </w:rPr>
              <w:t xml:space="preserve"> </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3"/>
                <w:szCs w:val="13"/>
              </w:rPr>
              <w:t xml:space="preserve">2 </w:t>
            </w:r>
            <w:r>
              <w:rPr>
                <w:spacing w:val="4"/>
              </w:rPr>
              <w:t>计）</w:t>
            </w:r>
          </w:p>
        </w:tc>
        <w:tc>
          <w:tcPr>
            <w:tcW w:w="1992" w:type="dxa"/>
            <w:vAlign w:val="top"/>
          </w:tcPr>
          <w:p w14:paraId="6B1B9509">
            <w:pPr>
              <w:spacing w:before="89"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05850662">
            <w:pPr>
              <w:spacing w:before="93"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r>
      <w:tr w14:paraId="27963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61163B2C">
            <w:pPr>
              <w:spacing w:before="92"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334" w:type="dxa"/>
            <w:vAlign w:val="top"/>
          </w:tcPr>
          <w:p w14:paraId="0CCEAFB4">
            <w:pPr>
              <w:pStyle w:val="6"/>
              <w:spacing w:before="57" w:line="228" w:lineRule="auto"/>
              <w:ind w:left="1566"/>
            </w:pPr>
            <w:r>
              <w:t>汞</w:t>
            </w:r>
          </w:p>
        </w:tc>
        <w:tc>
          <w:tcPr>
            <w:tcW w:w="1992" w:type="dxa"/>
            <w:vAlign w:val="top"/>
          </w:tcPr>
          <w:p w14:paraId="36C0F2BF">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7F493DD1">
            <w:pPr>
              <w:spacing w:before="93" w:line="19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≤0.001</w:t>
            </w:r>
          </w:p>
        </w:tc>
      </w:tr>
      <w:tr w14:paraId="1A81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176744FB">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334" w:type="dxa"/>
            <w:vAlign w:val="top"/>
          </w:tcPr>
          <w:p w14:paraId="46162777">
            <w:pPr>
              <w:pStyle w:val="6"/>
              <w:spacing w:before="56" w:line="229" w:lineRule="auto"/>
              <w:ind w:left="1565"/>
            </w:pPr>
            <w:r>
              <w:rPr>
                <w:spacing w:val="1"/>
              </w:rPr>
              <w:t>铁</w:t>
            </w:r>
          </w:p>
        </w:tc>
        <w:tc>
          <w:tcPr>
            <w:tcW w:w="1992" w:type="dxa"/>
            <w:vAlign w:val="top"/>
          </w:tcPr>
          <w:p w14:paraId="10ACA1BC">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00823AAE">
            <w:pPr>
              <w:spacing w:before="93"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w:t>
            </w:r>
          </w:p>
        </w:tc>
      </w:tr>
      <w:tr w14:paraId="32D30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2DDFBDD">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334" w:type="dxa"/>
            <w:vAlign w:val="top"/>
          </w:tcPr>
          <w:p w14:paraId="61201503">
            <w:pPr>
              <w:pStyle w:val="6"/>
              <w:spacing w:before="55" w:line="232" w:lineRule="auto"/>
              <w:ind w:left="1566"/>
            </w:pPr>
            <w:r>
              <w:t>锰</w:t>
            </w:r>
          </w:p>
        </w:tc>
        <w:tc>
          <w:tcPr>
            <w:tcW w:w="1992" w:type="dxa"/>
            <w:vAlign w:val="top"/>
          </w:tcPr>
          <w:p w14:paraId="514D232C">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1E2C44AA">
            <w:pPr>
              <w:spacing w:before="92"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≤0.10</w:t>
            </w:r>
          </w:p>
        </w:tc>
      </w:tr>
      <w:tr w14:paraId="7C290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FAD607C">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3334" w:type="dxa"/>
            <w:vAlign w:val="top"/>
          </w:tcPr>
          <w:p w14:paraId="271264B8">
            <w:pPr>
              <w:pStyle w:val="6"/>
              <w:spacing w:before="55" w:line="232" w:lineRule="auto"/>
              <w:ind w:left="1566"/>
            </w:pPr>
            <w:r>
              <w:t>铅</w:t>
            </w:r>
          </w:p>
        </w:tc>
        <w:tc>
          <w:tcPr>
            <w:tcW w:w="1992" w:type="dxa"/>
            <w:vAlign w:val="top"/>
          </w:tcPr>
          <w:p w14:paraId="402E7700">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264D07E3">
            <w:pPr>
              <w:spacing w:before="92"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≤0.01</w:t>
            </w:r>
          </w:p>
        </w:tc>
      </w:tr>
      <w:tr w14:paraId="6827E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4AD8BD5F">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3334" w:type="dxa"/>
            <w:vAlign w:val="top"/>
          </w:tcPr>
          <w:p w14:paraId="5CB12019">
            <w:pPr>
              <w:pStyle w:val="6"/>
              <w:spacing w:before="54" w:line="231" w:lineRule="auto"/>
              <w:ind w:left="1564"/>
            </w:pPr>
            <w:r>
              <w:rPr>
                <w:spacing w:val="2"/>
              </w:rPr>
              <w:t>镉</w:t>
            </w:r>
          </w:p>
        </w:tc>
        <w:tc>
          <w:tcPr>
            <w:tcW w:w="1992" w:type="dxa"/>
            <w:vAlign w:val="top"/>
          </w:tcPr>
          <w:p w14:paraId="43FDE1C8">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32A8834">
            <w:pPr>
              <w:spacing w:before="91" w:line="19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w:t>
            </w:r>
          </w:p>
        </w:tc>
      </w:tr>
      <w:tr w14:paraId="43366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1567C866">
            <w:pPr>
              <w:spacing w:before="93"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3334" w:type="dxa"/>
            <w:vAlign w:val="top"/>
          </w:tcPr>
          <w:p w14:paraId="0ACCA7E7">
            <w:pPr>
              <w:pStyle w:val="6"/>
              <w:spacing w:before="57" w:line="228" w:lineRule="auto"/>
              <w:ind w:left="1565"/>
            </w:pPr>
            <w:r>
              <w:rPr>
                <w:spacing w:val="1"/>
              </w:rPr>
              <w:t>砷</w:t>
            </w:r>
          </w:p>
        </w:tc>
        <w:tc>
          <w:tcPr>
            <w:tcW w:w="1992" w:type="dxa"/>
            <w:vAlign w:val="top"/>
          </w:tcPr>
          <w:p w14:paraId="3A072C89">
            <w:pPr>
              <w:spacing w:before="89"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A07DE6E">
            <w:pPr>
              <w:spacing w:before="93"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≤0.01</w:t>
            </w:r>
          </w:p>
        </w:tc>
      </w:tr>
      <w:tr w14:paraId="13F6B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3C416DAA">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3334" w:type="dxa"/>
            <w:vAlign w:val="top"/>
          </w:tcPr>
          <w:p w14:paraId="1D3A0EAA">
            <w:pPr>
              <w:pStyle w:val="6"/>
              <w:spacing w:before="56" w:line="229" w:lineRule="auto"/>
              <w:ind w:left="1565"/>
            </w:pPr>
            <w:r>
              <w:rPr>
                <w:spacing w:val="1"/>
              </w:rPr>
              <w:t>钠</w:t>
            </w:r>
          </w:p>
        </w:tc>
        <w:tc>
          <w:tcPr>
            <w:tcW w:w="1992" w:type="dxa"/>
            <w:vAlign w:val="top"/>
          </w:tcPr>
          <w:p w14:paraId="649A6505">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5AA84DA1">
            <w:pPr>
              <w:spacing w:before="9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p>
        </w:tc>
      </w:tr>
      <w:tr w14:paraId="1D862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284B1902">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3334" w:type="dxa"/>
            <w:vAlign w:val="top"/>
          </w:tcPr>
          <w:p w14:paraId="2AB709A2">
            <w:pPr>
              <w:pStyle w:val="6"/>
              <w:spacing w:before="56" w:line="226" w:lineRule="auto"/>
              <w:ind w:left="1145"/>
            </w:pPr>
            <w:r>
              <w:rPr>
                <w:spacing w:val="6"/>
              </w:rPr>
              <w:t>铬（六价）</w:t>
            </w:r>
          </w:p>
        </w:tc>
        <w:tc>
          <w:tcPr>
            <w:tcW w:w="1992" w:type="dxa"/>
            <w:vAlign w:val="top"/>
          </w:tcPr>
          <w:p w14:paraId="392C75EA">
            <w:pPr>
              <w:spacing w:before="88"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44B7EC08">
            <w:pPr>
              <w:spacing w:before="93"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r>
      <w:tr w14:paraId="49E22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B1F17BE">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3334" w:type="dxa"/>
            <w:vAlign w:val="top"/>
          </w:tcPr>
          <w:p w14:paraId="54BAC9CC">
            <w:pPr>
              <w:pStyle w:val="6"/>
              <w:spacing w:before="55" w:line="228" w:lineRule="auto"/>
              <w:ind w:left="1151"/>
            </w:pPr>
            <w:r>
              <w:rPr>
                <w:spacing w:val="7"/>
              </w:rPr>
              <w:t>总大肠菌群</w:t>
            </w:r>
          </w:p>
        </w:tc>
        <w:tc>
          <w:tcPr>
            <w:tcW w:w="1992" w:type="dxa"/>
            <w:vAlign w:val="top"/>
          </w:tcPr>
          <w:p w14:paraId="2B6B8D5D">
            <w:pPr>
              <w:spacing w:before="88" w:line="199"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MPN</w:t>
            </w:r>
            <w:r>
              <w:rPr>
                <w:rFonts w:ascii="Times New Roman" w:hAnsi="Times New Roman" w:eastAsia="Times New Roman" w:cs="Times New Roman"/>
                <w:spacing w:val="12"/>
                <w:sz w:val="20"/>
                <w:szCs w:val="20"/>
              </w:rPr>
              <w:t>/100</w:t>
            </w:r>
            <w:r>
              <w:rPr>
                <w:rFonts w:ascii="Times New Roman" w:hAnsi="Times New Roman" w:eastAsia="Times New Roman" w:cs="Times New Roman"/>
                <w:sz w:val="20"/>
                <w:szCs w:val="20"/>
              </w:rPr>
              <w:t>mL</w:t>
            </w:r>
          </w:p>
        </w:tc>
        <w:tc>
          <w:tcPr>
            <w:tcW w:w="2036" w:type="dxa"/>
            <w:vAlign w:val="top"/>
          </w:tcPr>
          <w:p w14:paraId="09CE7A3D">
            <w:pPr>
              <w:spacing w:before="92"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r>
      <w:tr w14:paraId="6BF0D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632752C2">
            <w:pPr>
              <w:spacing w:before="91"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334" w:type="dxa"/>
            <w:vAlign w:val="top"/>
          </w:tcPr>
          <w:p w14:paraId="0FC1CAE1">
            <w:pPr>
              <w:pStyle w:val="6"/>
              <w:spacing w:before="55" w:line="228" w:lineRule="auto"/>
              <w:ind w:left="1252"/>
            </w:pPr>
            <w:r>
              <w:rPr>
                <w:spacing w:val="7"/>
              </w:rPr>
              <w:t>细菌总数</w:t>
            </w:r>
          </w:p>
        </w:tc>
        <w:tc>
          <w:tcPr>
            <w:tcW w:w="1992" w:type="dxa"/>
            <w:vAlign w:val="top"/>
          </w:tcPr>
          <w:p w14:paraId="777F7E20">
            <w:pPr>
              <w:spacing w:before="87" w:line="199"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CFU/mL</w:t>
            </w:r>
          </w:p>
        </w:tc>
        <w:tc>
          <w:tcPr>
            <w:tcW w:w="2036" w:type="dxa"/>
            <w:vAlign w:val="top"/>
          </w:tcPr>
          <w:p w14:paraId="2DA6FC69">
            <w:pPr>
              <w:spacing w:before="92"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r>
      <w:tr w14:paraId="0EB9B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82" w:type="dxa"/>
            <w:vAlign w:val="top"/>
          </w:tcPr>
          <w:p w14:paraId="5CE38655">
            <w:pPr>
              <w:spacing w:before="91"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3334" w:type="dxa"/>
            <w:vAlign w:val="top"/>
          </w:tcPr>
          <w:p w14:paraId="7A6F4D9B">
            <w:pPr>
              <w:pStyle w:val="6"/>
              <w:spacing w:before="55" w:line="228" w:lineRule="auto"/>
              <w:ind w:left="1565"/>
            </w:pPr>
            <w:r>
              <w:rPr>
                <w:spacing w:val="1"/>
              </w:rPr>
              <w:t>锌</w:t>
            </w:r>
          </w:p>
        </w:tc>
        <w:tc>
          <w:tcPr>
            <w:tcW w:w="1992" w:type="dxa"/>
            <w:vAlign w:val="top"/>
          </w:tcPr>
          <w:p w14:paraId="3EA33EE2">
            <w:pPr>
              <w:spacing w:before="87"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7701F29D">
            <w:pPr>
              <w:spacing w:before="91"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r>
      <w:tr w14:paraId="5A697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82" w:type="dxa"/>
            <w:vAlign w:val="top"/>
          </w:tcPr>
          <w:p w14:paraId="2C274E36">
            <w:pPr>
              <w:spacing w:before="93"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3334" w:type="dxa"/>
            <w:vAlign w:val="top"/>
          </w:tcPr>
          <w:p w14:paraId="7BEA113E">
            <w:pPr>
              <w:pStyle w:val="6"/>
              <w:spacing w:before="56" w:line="228" w:lineRule="auto"/>
              <w:ind w:left="1358"/>
            </w:pPr>
            <w:r>
              <w:rPr>
                <w:spacing w:val="6"/>
              </w:rPr>
              <w:t>氟化物</w:t>
            </w:r>
          </w:p>
        </w:tc>
        <w:tc>
          <w:tcPr>
            <w:tcW w:w="1992" w:type="dxa"/>
            <w:vAlign w:val="top"/>
          </w:tcPr>
          <w:p w14:paraId="3347D1D0">
            <w:pPr>
              <w:spacing w:before="89" w:line="201" w:lineRule="auto"/>
              <w:ind w:left="76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2036" w:type="dxa"/>
            <w:vAlign w:val="top"/>
          </w:tcPr>
          <w:p w14:paraId="3BEE8372">
            <w:pPr>
              <w:spacing w:before="93" w:line="195" w:lineRule="auto"/>
              <w:ind w:left="8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r>
    </w:tbl>
    <w:p w14:paraId="546B6936">
      <w:pPr>
        <w:pStyle w:val="2"/>
        <w:spacing w:line="270" w:lineRule="auto"/>
      </w:pPr>
    </w:p>
    <w:p w14:paraId="46DAAE81">
      <w:pPr>
        <w:spacing w:before="78" w:line="211" w:lineRule="auto"/>
        <w:ind w:left="11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2.3-6    </w:t>
      </w:r>
      <w:r>
        <w:rPr>
          <w:rFonts w:ascii="宋体" w:hAnsi="宋体" w:eastAsia="宋体" w:cs="宋体"/>
          <w:spacing w:val="-1"/>
          <w:sz w:val="24"/>
          <w:szCs w:val="24"/>
        </w:rPr>
        <w:t>铅、锌行业现有和新建企业大气污染物浓度限值</w:t>
      </w:r>
    </w:p>
    <w:tbl>
      <w:tblPr>
        <w:tblStyle w:val="5"/>
        <w:tblW w:w="8574"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5"/>
        <w:gridCol w:w="3147"/>
        <w:gridCol w:w="3152"/>
      </w:tblGrid>
      <w:tr w14:paraId="50BD3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275" w:type="dxa"/>
            <w:vAlign w:val="top"/>
          </w:tcPr>
          <w:p w14:paraId="6ED90B45">
            <w:pPr>
              <w:pStyle w:val="6"/>
              <w:spacing w:before="210" w:line="228" w:lineRule="auto"/>
              <w:ind w:left="614"/>
            </w:pPr>
            <w:r>
              <w:rPr>
                <w:spacing w:val="7"/>
              </w:rPr>
              <w:t>污染物项目</w:t>
            </w:r>
          </w:p>
        </w:tc>
        <w:tc>
          <w:tcPr>
            <w:tcW w:w="3147" w:type="dxa"/>
            <w:vAlign w:val="top"/>
          </w:tcPr>
          <w:p w14:paraId="61992923">
            <w:pPr>
              <w:pStyle w:val="6"/>
              <w:spacing w:before="56" w:line="228" w:lineRule="auto"/>
              <w:ind w:left="216"/>
            </w:pPr>
            <w:r>
              <w:rPr>
                <w:spacing w:val="9"/>
              </w:rPr>
              <w:t>车间或生产设施排气筒污染物</w:t>
            </w:r>
          </w:p>
          <w:p w14:paraId="6F30825A">
            <w:pPr>
              <w:pStyle w:val="6"/>
              <w:spacing w:before="65" w:line="228" w:lineRule="auto"/>
              <w:ind w:left="1157"/>
            </w:pPr>
            <w:r>
              <w:rPr>
                <w:spacing w:val="7"/>
              </w:rPr>
              <w:t>浓度限值</w:t>
            </w:r>
          </w:p>
        </w:tc>
        <w:tc>
          <w:tcPr>
            <w:tcW w:w="3152" w:type="dxa"/>
            <w:vAlign w:val="top"/>
          </w:tcPr>
          <w:p w14:paraId="43B513BA">
            <w:pPr>
              <w:pStyle w:val="6"/>
              <w:spacing w:before="212" w:line="228" w:lineRule="auto"/>
              <w:ind w:left="424"/>
            </w:pPr>
            <w:r>
              <w:rPr>
                <w:spacing w:val="9"/>
              </w:rPr>
              <w:t>边界大气污染物浓度限值</w:t>
            </w:r>
          </w:p>
        </w:tc>
      </w:tr>
      <w:tr w14:paraId="4391D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275" w:type="dxa"/>
            <w:vAlign w:val="top"/>
          </w:tcPr>
          <w:p w14:paraId="3D2EE0DD">
            <w:pPr>
              <w:pStyle w:val="6"/>
              <w:spacing w:before="60" w:line="228" w:lineRule="auto"/>
              <w:ind w:left="823"/>
            </w:pPr>
            <w:r>
              <w:rPr>
                <w:spacing w:val="7"/>
              </w:rPr>
              <w:t>颗粒物</w:t>
            </w:r>
          </w:p>
        </w:tc>
        <w:tc>
          <w:tcPr>
            <w:tcW w:w="3147" w:type="dxa"/>
            <w:vAlign w:val="top"/>
          </w:tcPr>
          <w:p w14:paraId="71B9B8DF">
            <w:pPr>
              <w:spacing w:before="70" w:line="218" w:lineRule="auto"/>
              <w:ind w:left="1174"/>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 xml:space="preserve">80 </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3152" w:type="dxa"/>
            <w:vAlign w:val="top"/>
          </w:tcPr>
          <w:p w14:paraId="480C1834">
            <w:pPr>
              <w:spacing w:before="77" w:line="218" w:lineRule="auto"/>
              <w:ind w:left="1161"/>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 xml:space="preserve">1.0 </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r>
    </w:tbl>
    <w:p w14:paraId="749AFC49">
      <w:pPr>
        <w:pStyle w:val="2"/>
        <w:spacing w:line="269" w:lineRule="auto"/>
      </w:pPr>
    </w:p>
    <w:p w14:paraId="41674816">
      <w:pPr>
        <w:spacing w:before="78" w:line="212" w:lineRule="auto"/>
        <w:ind w:left="23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2.3-7        </w:t>
      </w:r>
      <w:r>
        <w:rPr>
          <w:rFonts w:ascii="宋体" w:hAnsi="宋体" w:eastAsia="宋体" w:cs="宋体"/>
          <w:spacing w:val="-1"/>
          <w:sz w:val="24"/>
          <w:szCs w:val="24"/>
        </w:rPr>
        <w:t>《城市污水再生利用</w:t>
      </w:r>
      <w:r>
        <w:rPr>
          <w:rFonts w:ascii="Times New Roman" w:hAnsi="Times New Roman" w:eastAsia="Times New Roman" w:cs="Times New Roman"/>
          <w:spacing w:val="-1"/>
          <w:sz w:val="24"/>
          <w:szCs w:val="24"/>
        </w:rPr>
        <w:t>—</w:t>
      </w:r>
      <w:r>
        <w:rPr>
          <w:rFonts w:ascii="宋体" w:hAnsi="宋体" w:eastAsia="宋体" w:cs="宋体"/>
          <w:spacing w:val="-1"/>
          <w:sz w:val="24"/>
          <w:szCs w:val="24"/>
        </w:rPr>
        <w:t>城市杂用水水质》（</w:t>
      </w:r>
      <w:r>
        <w:rPr>
          <w:rFonts w:ascii="Times New Roman" w:hAnsi="Times New Roman" w:eastAsia="Times New Roman" w:cs="Times New Roman"/>
          <w:spacing w:val="-1"/>
          <w:sz w:val="24"/>
          <w:szCs w:val="24"/>
        </w:rPr>
        <w:t>GB/T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18920—2020</w:t>
      </w:r>
      <w:r>
        <w:rPr>
          <w:rFonts w:ascii="宋体" w:hAnsi="宋体" w:eastAsia="宋体" w:cs="宋体"/>
          <w:spacing w:val="-1"/>
          <w:sz w:val="24"/>
          <w:szCs w:val="24"/>
        </w:rPr>
        <w:t>）</w:t>
      </w:r>
    </w:p>
    <w:tbl>
      <w:tblPr>
        <w:tblStyle w:val="5"/>
        <w:tblW w:w="86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4109"/>
        <w:gridCol w:w="3781"/>
      </w:tblGrid>
      <w:tr w14:paraId="6D3DF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16" w:type="dxa"/>
            <w:vAlign w:val="top"/>
          </w:tcPr>
          <w:p w14:paraId="448DD6CB">
            <w:pPr>
              <w:pStyle w:val="6"/>
              <w:spacing w:before="163" w:line="229" w:lineRule="auto"/>
              <w:ind w:left="147"/>
            </w:pPr>
            <w:r>
              <w:rPr>
                <w:spacing w:val="5"/>
              </w:rPr>
              <w:t>序号</w:t>
            </w:r>
          </w:p>
        </w:tc>
        <w:tc>
          <w:tcPr>
            <w:tcW w:w="4109" w:type="dxa"/>
            <w:vAlign w:val="top"/>
          </w:tcPr>
          <w:p w14:paraId="03F9D2B8">
            <w:pPr>
              <w:pStyle w:val="6"/>
              <w:spacing w:before="164" w:line="228" w:lineRule="auto"/>
              <w:ind w:left="1848"/>
            </w:pPr>
            <w:r>
              <w:rPr>
                <w:spacing w:val="3"/>
              </w:rPr>
              <w:t>项目</w:t>
            </w:r>
          </w:p>
        </w:tc>
        <w:tc>
          <w:tcPr>
            <w:tcW w:w="3781" w:type="dxa"/>
            <w:vAlign w:val="top"/>
          </w:tcPr>
          <w:p w14:paraId="30DCDB72">
            <w:pPr>
              <w:pStyle w:val="6"/>
              <w:spacing w:before="163" w:line="228" w:lineRule="auto"/>
              <w:ind w:left="104"/>
            </w:pPr>
            <w:r>
              <w:rPr>
                <w:spacing w:val="9"/>
              </w:rPr>
              <w:t>城市绿化、道路清扫、消防、建筑施工</w:t>
            </w:r>
          </w:p>
        </w:tc>
      </w:tr>
      <w:tr w14:paraId="04F32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6" w:type="dxa"/>
            <w:vAlign w:val="top"/>
          </w:tcPr>
          <w:p w14:paraId="34D81BAD">
            <w:pPr>
              <w:pStyle w:val="6"/>
              <w:spacing w:before="57" w:line="266" w:lineRule="exact"/>
              <w:ind w:left="320"/>
            </w:pPr>
            <w:r>
              <w:rPr>
                <w:position w:val="1"/>
              </w:rPr>
              <w:t>1</w:t>
            </w:r>
          </w:p>
        </w:tc>
        <w:tc>
          <w:tcPr>
            <w:tcW w:w="4109" w:type="dxa"/>
            <w:vAlign w:val="top"/>
          </w:tcPr>
          <w:p w14:paraId="33072BBA">
            <w:pPr>
              <w:pStyle w:val="6"/>
              <w:spacing w:before="92" w:line="188" w:lineRule="auto"/>
              <w:ind w:left="1945"/>
            </w:pPr>
            <w:r>
              <w:rPr>
                <w:spacing w:val="2"/>
              </w:rPr>
              <w:t>pH</w:t>
            </w:r>
          </w:p>
        </w:tc>
        <w:tc>
          <w:tcPr>
            <w:tcW w:w="3781" w:type="dxa"/>
            <w:vAlign w:val="top"/>
          </w:tcPr>
          <w:p w14:paraId="663278A8">
            <w:pPr>
              <w:pStyle w:val="6"/>
              <w:spacing w:before="57" w:line="266" w:lineRule="exact"/>
              <w:ind w:left="1524"/>
            </w:pPr>
            <w:r>
              <w:rPr>
                <w:spacing w:val="3"/>
                <w:position w:val="1"/>
              </w:rPr>
              <w:t>6.0-9.0</w:t>
            </w:r>
          </w:p>
        </w:tc>
      </w:tr>
      <w:tr w14:paraId="0BBCC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6" w:type="dxa"/>
            <w:vAlign w:val="top"/>
          </w:tcPr>
          <w:p w14:paraId="18DE6440">
            <w:pPr>
              <w:pStyle w:val="6"/>
              <w:spacing w:before="59" w:line="264" w:lineRule="exact"/>
              <w:ind w:left="307"/>
            </w:pPr>
            <w:r>
              <w:rPr>
                <w:position w:val="1"/>
              </w:rPr>
              <w:t>2</w:t>
            </w:r>
          </w:p>
        </w:tc>
        <w:tc>
          <w:tcPr>
            <w:tcW w:w="4109" w:type="dxa"/>
            <w:vAlign w:val="top"/>
          </w:tcPr>
          <w:p w14:paraId="20980799">
            <w:pPr>
              <w:pStyle w:val="6"/>
              <w:spacing w:before="59" w:line="228" w:lineRule="auto"/>
              <w:ind w:left="1688"/>
            </w:pPr>
            <w:r>
              <w:rPr>
                <w:spacing w:val="5"/>
              </w:rPr>
              <w:t>色/度≤</w:t>
            </w:r>
          </w:p>
        </w:tc>
        <w:tc>
          <w:tcPr>
            <w:tcW w:w="3781" w:type="dxa"/>
            <w:vAlign w:val="top"/>
          </w:tcPr>
          <w:p w14:paraId="0C2129DB">
            <w:pPr>
              <w:pStyle w:val="6"/>
              <w:spacing w:before="59" w:line="264" w:lineRule="exact"/>
              <w:ind w:left="1788"/>
            </w:pPr>
            <w:r>
              <w:rPr>
                <w:spacing w:val="-2"/>
                <w:position w:val="1"/>
              </w:rPr>
              <w:t>30</w:t>
            </w:r>
          </w:p>
        </w:tc>
      </w:tr>
      <w:tr w14:paraId="13B9A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16" w:type="dxa"/>
            <w:vAlign w:val="top"/>
          </w:tcPr>
          <w:p w14:paraId="09FA06CB">
            <w:pPr>
              <w:pStyle w:val="6"/>
              <w:spacing w:before="77" w:line="269" w:lineRule="exact"/>
              <w:ind w:left="308"/>
            </w:pPr>
            <w:r>
              <w:rPr>
                <w:position w:val="1"/>
              </w:rPr>
              <w:t>3</w:t>
            </w:r>
          </w:p>
        </w:tc>
        <w:tc>
          <w:tcPr>
            <w:tcW w:w="4109" w:type="dxa"/>
            <w:vAlign w:val="top"/>
          </w:tcPr>
          <w:p w14:paraId="6D551DAB">
            <w:pPr>
              <w:pStyle w:val="6"/>
              <w:spacing w:before="78" w:line="228" w:lineRule="auto"/>
              <w:ind w:left="1958"/>
            </w:pPr>
            <w:r>
              <w:t>嗅</w:t>
            </w:r>
          </w:p>
        </w:tc>
        <w:tc>
          <w:tcPr>
            <w:tcW w:w="3781" w:type="dxa"/>
            <w:vAlign w:val="top"/>
          </w:tcPr>
          <w:p w14:paraId="10BF976B">
            <w:pPr>
              <w:pStyle w:val="6"/>
              <w:spacing w:before="78" w:line="228" w:lineRule="auto"/>
              <w:ind w:left="1471"/>
            </w:pPr>
            <w:r>
              <w:rPr>
                <w:spacing w:val="6"/>
              </w:rPr>
              <w:t>无不快感</w:t>
            </w:r>
          </w:p>
        </w:tc>
      </w:tr>
      <w:tr w14:paraId="75803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6" w:type="dxa"/>
            <w:vAlign w:val="top"/>
          </w:tcPr>
          <w:p w14:paraId="787832C7">
            <w:pPr>
              <w:pStyle w:val="6"/>
              <w:spacing w:before="61" w:line="262" w:lineRule="exact"/>
              <w:ind w:left="303"/>
            </w:pPr>
            <w:r>
              <w:rPr>
                <w:position w:val="1"/>
              </w:rPr>
              <w:t>4</w:t>
            </w:r>
          </w:p>
        </w:tc>
        <w:tc>
          <w:tcPr>
            <w:tcW w:w="4109" w:type="dxa"/>
            <w:vAlign w:val="top"/>
          </w:tcPr>
          <w:p w14:paraId="44FDCB5E">
            <w:pPr>
              <w:pStyle w:val="6"/>
              <w:spacing w:before="61" w:line="228" w:lineRule="auto"/>
              <w:ind w:left="1530"/>
            </w:pPr>
            <w:r>
              <w:rPr>
                <w:spacing w:val="9"/>
              </w:rPr>
              <w:t>浊度/</w:t>
            </w:r>
            <w:r>
              <w:t>NTU</w:t>
            </w:r>
            <w:r>
              <w:rPr>
                <w:spacing w:val="9"/>
              </w:rPr>
              <w:t>≤</w:t>
            </w:r>
          </w:p>
        </w:tc>
        <w:tc>
          <w:tcPr>
            <w:tcW w:w="3781" w:type="dxa"/>
            <w:vAlign w:val="top"/>
          </w:tcPr>
          <w:p w14:paraId="3D090E4A">
            <w:pPr>
              <w:pStyle w:val="6"/>
              <w:spacing w:before="61" w:line="262" w:lineRule="exact"/>
              <w:ind w:left="1800"/>
            </w:pPr>
            <w:r>
              <w:rPr>
                <w:spacing w:val="-7"/>
                <w:position w:val="1"/>
              </w:rPr>
              <w:t>10</w:t>
            </w:r>
          </w:p>
        </w:tc>
      </w:tr>
      <w:tr w14:paraId="78259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72FAA1FD">
            <w:pPr>
              <w:pStyle w:val="6"/>
              <w:spacing w:before="62" w:line="242" w:lineRule="auto"/>
              <w:ind w:left="308"/>
            </w:pPr>
            <w:r>
              <w:t>5</w:t>
            </w:r>
          </w:p>
        </w:tc>
        <w:tc>
          <w:tcPr>
            <w:tcW w:w="4109" w:type="dxa"/>
            <w:vAlign w:val="top"/>
          </w:tcPr>
          <w:p w14:paraId="0A84DA75">
            <w:pPr>
              <w:pStyle w:val="6"/>
              <w:spacing w:before="63" w:line="235" w:lineRule="auto"/>
              <w:ind w:left="1287"/>
            </w:pPr>
            <w:r>
              <w:t>BOD</w:t>
            </w:r>
            <w:r>
              <w:rPr>
                <w:spacing w:val="7"/>
                <w:position w:val="-2"/>
                <w:sz w:val="10"/>
                <w:szCs w:val="10"/>
              </w:rPr>
              <w:t>5</w:t>
            </w:r>
            <w:r>
              <w:rPr>
                <w:spacing w:val="7"/>
              </w:rPr>
              <w:t>/（</w:t>
            </w:r>
            <w:r>
              <w:t>mg</w:t>
            </w:r>
            <w:r>
              <w:rPr>
                <w:spacing w:val="7"/>
              </w:rPr>
              <w:t>/L）</w:t>
            </w:r>
            <w:r>
              <w:rPr>
                <w:spacing w:val="-68"/>
              </w:rPr>
              <w:t xml:space="preserve"> </w:t>
            </w:r>
            <w:r>
              <w:rPr>
                <w:spacing w:val="7"/>
              </w:rPr>
              <w:t>≤</w:t>
            </w:r>
          </w:p>
        </w:tc>
        <w:tc>
          <w:tcPr>
            <w:tcW w:w="3781" w:type="dxa"/>
            <w:vAlign w:val="top"/>
          </w:tcPr>
          <w:p w14:paraId="3B5269E6">
            <w:pPr>
              <w:pStyle w:val="6"/>
              <w:spacing w:before="62" w:line="242" w:lineRule="auto"/>
              <w:ind w:left="1800"/>
            </w:pPr>
            <w:r>
              <w:rPr>
                <w:spacing w:val="-7"/>
              </w:rPr>
              <w:t>10</w:t>
            </w:r>
          </w:p>
        </w:tc>
      </w:tr>
      <w:tr w14:paraId="0E6BF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5DC93C77">
            <w:pPr>
              <w:pStyle w:val="6"/>
              <w:spacing w:before="61" w:line="263" w:lineRule="exact"/>
              <w:ind w:left="306"/>
            </w:pPr>
            <w:r>
              <w:rPr>
                <w:position w:val="1"/>
              </w:rPr>
              <w:t>6</w:t>
            </w:r>
          </w:p>
        </w:tc>
        <w:tc>
          <w:tcPr>
            <w:tcW w:w="4109" w:type="dxa"/>
            <w:vAlign w:val="top"/>
          </w:tcPr>
          <w:p w14:paraId="416CB69D">
            <w:pPr>
              <w:pStyle w:val="6"/>
              <w:spacing w:before="61" w:line="222" w:lineRule="auto"/>
              <w:ind w:left="1266"/>
            </w:pPr>
            <w:r>
              <w:rPr>
                <w:spacing w:val="5"/>
              </w:rPr>
              <w:t>氨氮/（</w:t>
            </w:r>
            <w:r>
              <w:t>mg</w:t>
            </w:r>
            <w:r>
              <w:rPr>
                <w:spacing w:val="5"/>
              </w:rPr>
              <w:t>/L）</w:t>
            </w:r>
            <w:r>
              <w:rPr>
                <w:spacing w:val="-61"/>
              </w:rPr>
              <w:t xml:space="preserve"> </w:t>
            </w:r>
            <w:r>
              <w:rPr>
                <w:spacing w:val="5"/>
              </w:rPr>
              <w:t>≤</w:t>
            </w:r>
          </w:p>
        </w:tc>
        <w:tc>
          <w:tcPr>
            <w:tcW w:w="3781" w:type="dxa"/>
            <w:vAlign w:val="top"/>
          </w:tcPr>
          <w:p w14:paraId="7951AB3A">
            <w:pPr>
              <w:pStyle w:val="6"/>
              <w:spacing w:before="61" w:line="263" w:lineRule="exact"/>
              <w:ind w:left="1838"/>
            </w:pPr>
            <w:r>
              <w:rPr>
                <w:position w:val="1"/>
              </w:rPr>
              <w:t>8</w:t>
            </w:r>
          </w:p>
        </w:tc>
      </w:tr>
      <w:tr w14:paraId="4D56B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60927583">
            <w:pPr>
              <w:pStyle w:val="6"/>
              <w:spacing w:before="62" w:line="262" w:lineRule="exact"/>
              <w:ind w:left="309"/>
            </w:pPr>
            <w:r>
              <w:rPr>
                <w:position w:val="1"/>
              </w:rPr>
              <w:t>7</w:t>
            </w:r>
          </w:p>
        </w:tc>
        <w:tc>
          <w:tcPr>
            <w:tcW w:w="4109" w:type="dxa"/>
            <w:vAlign w:val="top"/>
          </w:tcPr>
          <w:p w14:paraId="3276CEA5">
            <w:pPr>
              <w:pStyle w:val="6"/>
              <w:spacing w:before="62" w:line="222" w:lineRule="auto"/>
              <w:ind w:left="757"/>
            </w:pPr>
            <w:r>
              <w:rPr>
                <w:spacing w:val="7"/>
              </w:rPr>
              <w:t>阴离子表面活性剂/（</w:t>
            </w:r>
            <w:r>
              <w:t>mg</w:t>
            </w:r>
            <w:r>
              <w:rPr>
                <w:spacing w:val="7"/>
              </w:rPr>
              <w:t>/L）</w:t>
            </w:r>
          </w:p>
        </w:tc>
        <w:tc>
          <w:tcPr>
            <w:tcW w:w="3781" w:type="dxa"/>
            <w:vAlign w:val="top"/>
          </w:tcPr>
          <w:p w14:paraId="566E3EC9">
            <w:pPr>
              <w:pStyle w:val="6"/>
              <w:spacing w:before="62" w:line="262" w:lineRule="exact"/>
              <w:ind w:left="1733"/>
            </w:pPr>
            <w:r>
              <w:rPr>
                <w:spacing w:val="1"/>
                <w:position w:val="1"/>
              </w:rPr>
              <w:t>0.5</w:t>
            </w:r>
          </w:p>
        </w:tc>
      </w:tr>
      <w:tr w14:paraId="3290C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48C740FE">
            <w:pPr>
              <w:pStyle w:val="6"/>
              <w:spacing w:before="62" w:line="242" w:lineRule="auto"/>
              <w:ind w:left="305"/>
            </w:pPr>
            <w:r>
              <w:t>8</w:t>
            </w:r>
          </w:p>
        </w:tc>
        <w:tc>
          <w:tcPr>
            <w:tcW w:w="4109" w:type="dxa"/>
            <w:vAlign w:val="top"/>
          </w:tcPr>
          <w:p w14:paraId="0459842D">
            <w:pPr>
              <w:pStyle w:val="6"/>
              <w:spacing w:before="62" w:line="222" w:lineRule="auto"/>
              <w:ind w:left="1371"/>
            </w:pPr>
            <w:r>
              <w:rPr>
                <w:spacing w:val="5"/>
              </w:rPr>
              <w:t>铁/（</w:t>
            </w:r>
            <w:r>
              <w:t>mg</w:t>
            </w:r>
            <w:r>
              <w:rPr>
                <w:spacing w:val="5"/>
              </w:rPr>
              <w:t>/L）</w:t>
            </w:r>
            <w:r>
              <w:rPr>
                <w:spacing w:val="-67"/>
              </w:rPr>
              <w:t xml:space="preserve"> </w:t>
            </w:r>
            <w:r>
              <w:rPr>
                <w:spacing w:val="5"/>
              </w:rPr>
              <w:t>≤</w:t>
            </w:r>
          </w:p>
        </w:tc>
        <w:tc>
          <w:tcPr>
            <w:tcW w:w="3781" w:type="dxa"/>
            <w:vAlign w:val="top"/>
          </w:tcPr>
          <w:p w14:paraId="2FC7DBFD">
            <w:pPr>
              <w:pStyle w:val="6"/>
              <w:spacing w:before="62" w:line="233" w:lineRule="auto"/>
              <w:ind w:left="1836"/>
            </w:pPr>
            <w:r>
              <w:t>/</w:t>
            </w:r>
          </w:p>
        </w:tc>
      </w:tr>
      <w:tr w14:paraId="1F165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6" w:type="dxa"/>
            <w:vAlign w:val="top"/>
          </w:tcPr>
          <w:p w14:paraId="491B961E">
            <w:pPr>
              <w:pStyle w:val="6"/>
              <w:spacing w:before="61" w:line="263" w:lineRule="exact"/>
              <w:ind w:left="305"/>
            </w:pPr>
            <w:r>
              <w:rPr>
                <w:position w:val="1"/>
              </w:rPr>
              <w:t>9</w:t>
            </w:r>
          </w:p>
        </w:tc>
        <w:tc>
          <w:tcPr>
            <w:tcW w:w="4109" w:type="dxa"/>
            <w:vAlign w:val="top"/>
          </w:tcPr>
          <w:p w14:paraId="67E785E5">
            <w:pPr>
              <w:pStyle w:val="6"/>
              <w:spacing w:before="61" w:line="222" w:lineRule="auto"/>
              <w:ind w:left="1371"/>
            </w:pPr>
            <w:r>
              <w:rPr>
                <w:spacing w:val="5"/>
              </w:rPr>
              <w:t>锰/（</w:t>
            </w:r>
            <w:r>
              <w:t>mg</w:t>
            </w:r>
            <w:r>
              <w:rPr>
                <w:spacing w:val="5"/>
              </w:rPr>
              <w:t>/L）</w:t>
            </w:r>
            <w:r>
              <w:rPr>
                <w:spacing w:val="-67"/>
              </w:rPr>
              <w:t xml:space="preserve"> </w:t>
            </w:r>
            <w:r>
              <w:rPr>
                <w:spacing w:val="5"/>
              </w:rPr>
              <w:t>≤</w:t>
            </w:r>
          </w:p>
        </w:tc>
        <w:tc>
          <w:tcPr>
            <w:tcW w:w="3781" w:type="dxa"/>
            <w:vAlign w:val="top"/>
          </w:tcPr>
          <w:p w14:paraId="327DC478">
            <w:pPr>
              <w:pStyle w:val="6"/>
              <w:spacing w:before="61" w:line="233" w:lineRule="auto"/>
              <w:ind w:left="1836"/>
            </w:pPr>
            <w:r>
              <w:t>/</w:t>
            </w:r>
          </w:p>
        </w:tc>
      </w:tr>
      <w:tr w14:paraId="15A01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16" w:type="dxa"/>
            <w:vAlign w:val="top"/>
          </w:tcPr>
          <w:p w14:paraId="67862AB2">
            <w:pPr>
              <w:pStyle w:val="6"/>
              <w:spacing w:before="62" w:line="264" w:lineRule="exact"/>
              <w:ind w:left="269"/>
            </w:pPr>
            <w:r>
              <w:rPr>
                <w:spacing w:val="-7"/>
                <w:position w:val="1"/>
              </w:rPr>
              <w:t>10</w:t>
            </w:r>
          </w:p>
        </w:tc>
        <w:tc>
          <w:tcPr>
            <w:tcW w:w="4109" w:type="dxa"/>
            <w:vAlign w:val="top"/>
          </w:tcPr>
          <w:p w14:paraId="4B625227">
            <w:pPr>
              <w:pStyle w:val="6"/>
              <w:spacing w:before="62" w:line="222" w:lineRule="auto"/>
              <w:ind w:left="848"/>
            </w:pPr>
            <w:r>
              <w:rPr>
                <w:spacing w:val="7"/>
              </w:rPr>
              <w:t>溶解性总固体/（</w:t>
            </w:r>
            <w:r>
              <w:t>mg</w:t>
            </w:r>
            <w:r>
              <w:rPr>
                <w:spacing w:val="7"/>
              </w:rPr>
              <w:t>/L）</w:t>
            </w:r>
            <w:r>
              <w:rPr>
                <w:spacing w:val="-68"/>
              </w:rPr>
              <w:t xml:space="preserve"> </w:t>
            </w:r>
            <w:r>
              <w:rPr>
                <w:spacing w:val="7"/>
              </w:rPr>
              <w:t>≤</w:t>
            </w:r>
          </w:p>
        </w:tc>
        <w:tc>
          <w:tcPr>
            <w:tcW w:w="3781" w:type="dxa"/>
            <w:vAlign w:val="top"/>
          </w:tcPr>
          <w:p w14:paraId="3C0D0DB3">
            <w:pPr>
              <w:pStyle w:val="6"/>
              <w:spacing w:before="62" w:line="264" w:lineRule="exact"/>
              <w:ind w:left="1694"/>
            </w:pPr>
            <w:r>
              <w:rPr>
                <w:spacing w:val="-1"/>
                <w:position w:val="1"/>
              </w:rPr>
              <w:t>1000</w:t>
            </w:r>
          </w:p>
        </w:tc>
      </w:tr>
    </w:tbl>
    <w:p w14:paraId="50CB2DEB">
      <w:pPr>
        <w:pStyle w:val="2"/>
        <w:spacing w:line="87" w:lineRule="exact"/>
        <w:rPr>
          <w:sz w:val="7"/>
        </w:rPr>
      </w:pPr>
    </w:p>
    <w:p w14:paraId="6E5F7DEB">
      <w:pPr>
        <w:spacing w:line="87" w:lineRule="exact"/>
        <w:rPr>
          <w:sz w:val="7"/>
          <w:szCs w:val="7"/>
        </w:rPr>
        <w:sectPr>
          <w:headerReference r:id="rId26" w:type="default"/>
          <w:footerReference r:id="rId27" w:type="default"/>
          <w:pgSz w:w="11906" w:h="16839"/>
          <w:pgMar w:top="1208" w:right="1647" w:bottom="1358" w:left="1647" w:header="825" w:footer="1195" w:gutter="0"/>
          <w:cols w:space="720" w:num="1"/>
        </w:sectPr>
      </w:pPr>
    </w:p>
    <w:p w14:paraId="27EF0AC1">
      <w:pPr>
        <w:spacing w:line="231" w:lineRule="exact"/>
      </w:pPr>
    </w:p>
    <w:tbl>
      <w:tblPr>
        <w:tblStyle w:val="5"/>
        <w:tblW w:w="86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4109"/>
        <w:gridCol w:w="3781"/>
      </w:tblGrid>
      <w:tr w14:paraId="0DD1A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16" w:type="dxa"/>
            <w:vAlign w:val="top"/>
          </w:tcPr>
          <w:p w14:paraId="6AC08B5B">
            <w:pPr>
              <w:pStyle w:val="6"/>
              <w:spacing w:before="61" w:line="267" w:lineRule="exact"/>
              <w:ind w:left="269"/>
            </w:pPr>
            <w:r>
              <w:rPr>
                <w:spacing w:val="-7"/>
                <w:position w:val="1"/>
              </w:rPr>
              <w:t>11</w:t>
            </w:r>
          </w:p>
        </w:tc>
        <w:tc>
          <w:tcPr>
            <w:tcW w:w="4109" w:type="dxa"/>
            <w:vAlign w:val="top"/>
          </w:tcPr>
          <w:p w14:paraId="3452D787">
            <w:pPr>
              <w:pStyle w:val="6"/>
              <w:spacing w:before="61" w:line="222" w:lineRule="auto"/>
              <w:ind w:left="1163"/>
            </w:pPr>
            <w:r>
              <w:rPr>
                <w:spacing w:val="6"/>
              </w:rPr>
              <w:t>溶解氧/（</w:t>
            </w:r>
            <w:r>
              <w:t>mg</w:t>
            </w:r>
            <w:r>
              <w:rPr>
                <w:spacing w:val="6"/>
              </w:rPr>
              <w:t>/L）</w:t>
            </w:r>
            <w:r>
              <w:rPr>
                <w:spacing w:val="-61"/>
              </w:rPr>
              <w:t xml:space="preserve"> </w:t>
            </w:r>
            <w:r>
              <w:rPr>
                <w:spacing w:val="6"/>
              </w:rPr>
              <w:t>≥</w:t>
            </w:r>
          </w:p>
        </w:tc>
        <w:tc>
          <w:tcPr>
            <w:tcW w:w="3781" w:type="dxa"/>
            <w:vAlign w:val="top"/>
          </w:tcPr>
          <w:p w14:paraId="43113139">
            <w:pPr>
              <w:pStyle w:val="6"/>
              <w:spacing w:before="61" w:line="267" w:lineRule="exact"/>
              <w:ind w:left="1734"/>
            </w:pPr>
            <w:r>
              <w:rPr>
                <w:spacing w:val="1"/>
                <w:position w:val="1"/>
              </w:rPr>
              <w:t>2.0</w:t>
            </w:r>
          </w:p>
        </w:tc>
      </w:tr>
      <w:tr w14:paraId="2292E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16" w:type="dxa"/>
            <w:vAlign w:val="top"/>
          </w:tcPr>
          <w:p w14:paraId="24B1B034">
            <w:pPr>
              <w:pStyle w:val="6"/>
              <w:spacing w:before="59" w:line="264" w:lineRule="exact"/>
              <w:ind w:left="269"/>
            </w:pPr>
            <w:r>
              <w:rPr>
                <w:spacing w:val="-7"/>
                <w:position w:val="1"/>
              </w:rPr>
              <w:t>12</w:t>
            </w:r>
          </w:p>
        </w:tc>
        <w:tc>
          <w:tcPr>
            <w:tcW w:w="4109" w:type="dxa"/>
            <w:vAlign w:val="top"/>
          </w:tcPr>
          <w:p w14:paraId="2F5084BD">
            <w:pPr>
              <w:pStyle w:val="6"/>
              <w:spacing w:before="58" w:line="222" w:lineRule="auto"/>
              <w:ind w:left="1166"/>
            </w:pPr>
            <w:r>
              <w:rPr>
                <w:spacing w:val="5"/>
              </w:rPr>
              <w:t>总余氯/（</w:t>
            </w:r>
            <w:r>
              <w:t>mg</w:t>
            </w:r>
            <w:r>
              <w:rPr>
                <w:spacing w:val="5"/>
              </w:rPr>
              <w:t>/L）</w:t>
            </w:r>
            <w:r>
              <w:rPr>
                <w:spacing w:val="-55"/>
              </w:rPr>
              <w:t xml:space="preserve"> </w:t>
            </w:r>
            <w:r>
              <w:rPr>
                <w:spacing w:val="5"/>
              </w:rPr>
              <w:t>≥</w:t>
            </w:r>
          </w:p>
        </w:tc>
        <w:tc>
          <w:tcPr>
            <w:tcW w:w="3781" w:type="dxa"/>
            <w:vAlign w:val="top"/>
          </w:tcPr>
          <w:p w14:paraId="402045C3">
            <w:pPr>
              <w:pStyle w:val="6"/>
              <w:spacing w:before="58" w:line="228" w:lineRule="auto"/>
              <w:ind w:left="434"/>
            </w:pPr>
            <w:r>
              <w:rPr>
                <w:spacing w:val="5"/>
              </w:rPr>
              <w:t>1.0（出厂</w:t>
            </w:r>
            <w:r>
              <w:rPr>
                <w:spacing w:val="14"/>
              </w:rPr>
              <w:t>），</w:t>
            </w:r>
            <w:r>
              <w:rPr>
                <w:spacing w:val="5"/>
              </w:rPr>
              <w:t>0.2（管网末端）</w:t>
            </w:r>
          </w:p>
        </w:tc>
      </w:tr>
      <w:tr w14:paraId="73504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16" w:type="dxa"/>
            <w:vAlign w:val="top"/>
          </w:tcPr>
          <w:p w14:paraId="5545ECEC">
            <w:pPr>
              <w:pStyle w:val="6"/>
              <w:spacing w:before="90" w:line="269" w:lineRule="exact"/>
              <w:ind w:left="269"/>
            </w:pPr>
            <w:r>
              <w:rPr>
                <w:spacing w:val="-7"/>
                <w:position w:val="1"/>
              </w:rPr>
              <w:t>13</w:t>
            </w:r>
          </w:p>
        </w:tc>
        <w:tc>
          <w:tcPr>
            <w:tcW w:w="4109" w:type="dxa"/>
            <w:vAlign w:val="top"/>
          </w:tcPr>
          <w:p w14:paraId="43F23374">
            <w:pPr>
              <w:pStyle w:val="6"/>
              <w:spacing w:before="90" w:line="228" w:lineRule="auto"/>
              <w:ind w:left="104"/>
            </w:pPr>
            <w:r>
              <w:rPr>
                <w:spacing w:val="8"/>
              </w:rPr>
              <w:t>大肠埃希氏菌/（</w:t>
            </w:r>
            <w:r>
              <w:t>MPN</w:t>
            </w:r>
            <w:r>
              <w:rPr>
                <w:spacing w:val="8"/>
              </w:rPr>
              <w:t>/100</w:t>
            </w:r>
            <w:r>
              <w:t>mL</w:t>
            </w:r>
            <w:r>
              <w:rPr>
                <w:spacing w:val="-38"/>
              </w:rPr>
              <w:t xml:space="preserve"> </w:t>
            </w:r>
            <w:r>
              <w:rPr>
                <w:spacing w:val="8"/>
              </w:rPr>
              <w:t>或</w:t>
            </w:r>
            <w:r>
              <w:rPr>
                <w:spacing w:val="-39"/>
              </w:rPr>
              <w:t xml:space="preserve"> </w:t>
            </w:r>
            <w:r>
              <w:t>CFU</w:t>
            </w:r>
            <w:r>
              <w:rPr>
                <w:spacing w:val="8"/>
              </w:rPr>
              <w:t>/100</w:t>
            </w:r>
            <w:r>
              <w:t>mL</w:t>
            </w:r>
            <w:r>
              <w:rPr>
                <w:spacing w:val="8"/>
              </w:rPr>
              <w:t>）</w:t>
            </w:r>
          </w:p>
        </w:tc>
        <w:tc>
          <w:tcPr>
            <w:tcW w:w="3781" w:type="dxa"/>
            <w:vAlign w:val="top"/>
          </w:tcPr>
          <w:p w14:paraId="7714CA59">
            <w:pPr>
              <w:pStyle w:val="6"/>
              <w:spacing w:before="91" w:line="228" w:lineRule="auto"/>
              <w:ind w:left="1786"/>
            </w:pPr>
            <w:r>
              <w:t>无</w:t>
            </w:r>
          </w:p>
        </w:tc>
      </w:tr>
    </w:tbl>
    <w:p w14:paraId="0C1E9D5F">
      <w:pPr>
        <w:spacing w:before="38" w:line="211" w:lineRule="auto"/>
        <w:ind w:left="203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2.3-8    </w:t>
      </w:r>
      <w:r>
        <w:rPr>
          <w:rFonts w:ascii="宋体" w:hAnsi="宋体" w:eastAsia="宋体" w:cs="宋体"/>
          <w:spacing w:val="-1"/>
          <w:sz w:val="24"/>
          <w:szCs w:val="24"/>
        </w:rPr>
        <w:t>工业企业厂界环境噪声排放标准</w:t>
      </w:r>
    </w:p>
    <w:tbl>
      <w:tblPr>
        <w:tblStyle w:val="5"/>
        <w:tblW w:w="8532"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09"/>
        <w:gridCol w:w="2811"/>
        <w:gridCol w:w="3012"/>
      </w:tblGrid>
      <w:tr w14:paraId="48E9B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709" w:type="dxa"/>
            <w:vMerge w:val="restart"/>
            <w:tcBorders>
              <w:bottom w:val="nil"/>
            </w:tcBorders>
            <w:vAlign w:val="top"/>
          </w:tcPr>
          <w:p w14:paraId="521A9696">
            <w:pPr>
              <w:pStyle w:val="6"/>
              <w:spacing w:before="217" w:line="228" w:lineRule="auto"/>
              <w:ind w:left="939"/>
            </w:pPr>
            <w:r>
              <w:t>类</w:t>
            </w:r>
            <w:r>
              <w:rPr>
                <w:spacing w:val="8"/>
              </w:rPr>
              <w:t xml:space="preserve">    </w:t>
            </w:r>
            <w:r>
              <w:t>别</w:t>
            </w:r>
          </w:p>
        </w:tc>
        <w:tc>
          <w:tcPr>
            <w:tcW w:w="5823" w:type="dxa"/>
            <w:gridSpan w:val="2"/>
            <w:vAlign w:val="top"/>
          </w:tcPr>
          <w:p w14:paraId="5BE3A4AD">
            <w:pPr>
              <w:pStyle w:val="6"/>
              <w:spacing w:before="56" w:line="228" w:lineRule="auto"/>
              <w:ind w:left="2171"/>
            </w:pPr>
            <w:r>
              <w:rPr>
                <w:spacing w:val="7"/>
              </w:rPr>
              <w:t>噪声限值（</w:t>
            </w:r>
            <w:r>
              <w:rPr>
                <w:rFonts w:ascii="Times New Roman" w:hAnsi="Times New Roman" w:eastAsia="Times New Roman" w:cs="Times New Roman"/>
              </w:rPr>
              <w:t>dB</w:t>
            </w:r>
            <w:r>
              <w:rPr>
                <w:spacing w:val="7"/>
              </w:rPr>
              <w:t>）</w:t>
            </w:r>
          </w:p>
        </w:tc>
      </w:tr>
      <w:tr w14:paraId="0F0E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709" w:type="dxa"/>
            <w:vMerge w:val="continue"/>
            <w:tcBorders>
              <w:top w:val="nil"/>
            </w:tcBorders>
            <w:vAlign w:val="top"/>
          </w:tcPr>
          <w:p w14:paraId="4E7E7C2A">
            <w:pPr>
              <w:rPr>
                <w:rFonts w:ascii="Arial"/>
                <w:sz w:val="21"/>
              </w:rPr>
            </w:pPr>
          </w:p>
        </w:tc>
        <w:tc>
          <w:tcPr>
            <w:tcW w:w="2811" w:type="dxa"/>
            <w:vAlign w:val="top"/>
          </w:tcPr>
          <w:p w14:paraId="45D5929D">
            <w:pPr>
              <w:pStyle w:val="6"/>
              <w:spacing w:before="53" w:line="231" w:lineRule="auto"/>
              <w:ind w:left="1042"/>
            </w:pPr>
            <w:r>
              <w:t>昼</w:t>
            </w:r>
            <w:r>
              <w:rPr>
                <w:spacing w:val="13"/>
              </w:rPr>
              <w:t xml:space="preserve">   </w:t>
            </w:r>
            <w:r>
              <w:t>间</w:t>
            </w:r>
          </w:p>
        </w:tc>
        <w:tc>
          <w:tcPr>
            <w:tcW w:w="3012" w:type="dxa"/>
            <w:vAlign w:val="top"/>
          </w:tcPr>
          <w:p w14:paraId="7261B93A">
            <w:pPr>
              <w:pStyle w:val="6"/>
              <w:spacing w:before="53" w:line="228" w:lineRule="auto"/>
              <w:ind w:left="1147"/>
            </w:pPr>
            <w:r>
              <w:rPr>
                <w:spacing w:val="-2"/>
              </w:rPr>
              <w:t>夜</w:t>
            </w:r>
            <w:r>
              <w:rPr>
                <w:spacing w:val="13"/>
              </w:rPr>
              <w:t xml:space="preserve">   </w:t>
            </w:r>
            <w:r>
              <w:rPr>
                <w:spacing w:val="-2"/>
              </w:rPr>
              <w:t>间</w:t>
            </w:r>
          </w:p>
        </w:tc>
      </w:tr>
      <w:tr w14:paraId="577A0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709" w:type="dxa"/>
            <w:vAlign w:val="top"/>
          </w:tcPr>
          <w:p w14:paraId="2D597E6F">
            <w:pPr>
              <w:spacing w:before="91" w:line="195" w:lineRule="auto"/>
              <w:ind w:left="13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11" w:type="dxa"/>
            <w:vAlign w:val="top"/>
          </w:tcPr>
          <w:p w14:paraId="7E3EC149">
            <w:pPr>
              <w:spacing w:before="91" w:line="195" w:lineRule="auto"/>
              <w:ind w:left="130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3012" w:type="dxa"/>
            <w:vAlign w:val="top"/>
          </w:tcPr>
          <w:p w14:paraId="1DF9D7D8">
            <w:pPr>
              <w:spacing w:before="91" w:line="195" w:lineRule="auto"/>
              <w:ind w:left="140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4753A779">
      <w:pPr>
        <w:spacing w:before="36" w:line="212" w:lineRule="auto"/>
        <w:ind w:left="20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2.3-9  </w:t>
      </w:r>
      <w:r>
        <w:rPr>
          <w:rFonts w:ascii="宋体" w:hAnsi="宋体" w:eastAsia="宋体" w:cs="宋体"/>
          <w:spacing w:val="-1"/>
          <w:sz w:val="24"/>
          <w:szCs w:val="24"/>
        </w:rPr>
        <w:t>建筑施工场界环境噪声排放标准</w:t>
      </w:r>
    </w:p>
    <w:tbl>
      <w:tblPr>
        <w:tblStyle w:val="5"/>
        <w:tblW w:w="8532" w:type="dxa"/>
        <w:tblInd w:w="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9"/>
      </w:tblGrid>
      <w:tr w14:paraId="4BD04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532" w:type="dxa"/>
            <w:gridSpan w:val="2"/>
            <w:vAlign w:val="top"/>
          </w:tcPr>
          <w:p w14:paraId="13F83F67">
            <w:pPr>
              <w:pStyle w:val="6"/>
              <w:spacing w:before="117" w:line="221" w:lineRule="auto"/>
              <w:ind w:left="3332"/>
              <w:rPr>
                <w:rFonts w:ascii="Times New Roman" w:hAnsi="Times New Roman" w:eastAsia="Times New Roman" w:cs="Times New Roman"/>
              </w:rPr>
            </w:pPr>
            <w:r>
              <w:rPr>
                <w:spacing w:val="6"/>
              </w:rPr>
              <w:t>噪声限值</w:t>
            </w:r>
            <w:r>
              <w:rPr>
                <w:spacing w:val="-35"/>
              </w:rPr>
              <w:t xml:space="preserve"> </w:t>
            </w:r>
            <w:r>
              <w:rPr>
                <w:rFonts w:ascii="Times New Roman" w:hAnsi="Times New Roman" w:eastAsia="Times New Roman" w:cs="Times New Roman"/>
              </w:rPr>
              <w:t>Leq</w:t>
            </w:r>
            <w:r>
              <w:rPr>
                <w:rFonts w:ascii="Times New Roman" w:hAnsi="Times New Roman" w:eastAsia="Times New Roman" w:cs="Times New Roman"/>
                <w:spacing w:val="6"/>
              </w:rPr>
              <w:t>[</w:t>
            </w:r>
            <w:r>
              <w:rPr>
                <w:rFonts w:ascii="Times New Roman" w:hAnsi="Times New Roman" w:eastAsia="Times New Roman" w:cs="Times New Roman"/>
              </w:rPr>
              <w:t>dB</w:t>
            </w:r>
            <w:r>
              <w:rPr>
                <w:rFonts w:ascii="Times New Roman" w:hAnsi="Times New Roman" w:eastAsia="Times New Roman" w:cs="Times New Roman"/>
                <w:spacing w:val="6"/>
              </w:rPr>
              <w:t>(A)]</w:t>
            </w:r>
          </w:p>
        </w:tc>
      </w:tr>
      <w:tr w14:paraId="2DAB1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263" w:type="dxa"/>
            <w:vAlign w:val="top"/>
          </w:tcPr>
          <w:p w14:paraId="6BE86C37">
            <w:pPr>
              <w:pStyle w:val="6"/>
              <w:spacing w:before="53" w:line="231" w:lineRule="auto"/>
              <w:ind w:left="1927"/>
            </w:pPr>
            <w:r>
              <w:rPr>
                <w:spacing w:val="5"/>
              </w:rPr>
              <w:t>昼间</w:t>
            </w:r>
          </w:p>
        </w:tc>
        <w:tc>
          <w:tcPr>
            <w:tcW w:w="4269" w:type="dxa"/>
            <w:vAlign w:val="top"/>
          </w:tcPr>
          <w:p w14:paraId="7BFEDA36">
            <w:pPr>
              <w:pStyle w:val="6"/>
              <w:spacing w:before="53" w:line="228" w:lineRule="auto"/>
              <w:ind w:left="1931"/>
            </w:pPr>
            <w:r>
              <w:rPr>
                <w:spacing w:val="3"/>
              </w:rPr>
              <w:t>夜间</w:t>
            </w:r>
          </w:p>
        </w:tc>
      </w:tr>
      <w:tr w14:paraId="7A78E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263" w:type="dxa"/>
            <w:vAlign w:val="top"/>
          </w:tcPr>
          <w:p w14:paraId="315F4351">
            <w:pPr>
              <w:spacing w:before="91" w:line="195" w:lineRule="auto"/>
              <w:ind w:left="20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269" w:type="dxa"/>
            <w:vAlign w:val="top"/>
          </w:tcPr>
          <w:p w14:paraId="0B2FEF2E">
            <w:pPr>
              <w:spacing w:before="94" w:line="192" w:lineRule="auto"/>
              <w:ind w:left="203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6FA3093B">
      <w:pPr>
        <w:spacing w:before="199" w:line="222" w:lineRule="auto"/>
        <w:ind w:left="157"/>
        <w:outlineLvl w:val="1"/>
        <w:rPr>
          <w:rFonts w:ascii="黑体" w:hAnsi="黑体" w:eastAsia="黑体" w:cs="黑体"/>
          <w:sz w:val="28"/>
          <w:szCs w:val="28"/>
        </w:rPr>
      </w:pPr>
      <w:bookmarkStart w:id="24" w:name="bookmark22"/>
      <w:bookmarkEnd w:id="24"/>
      <w:bookmarkStart w:id="25" w:name="bookmark23"/>
      <w:bookmarkEnd w:id="25"/>
      <w:r>
        <w:rPr>
          <w:rFonts w:ascii="Times New Roman" w:hAnsi="Times New Roman" w:eastAsia="Times New Roman" w:cs="Times New Roman"/>
          <w:b/>
          <w:bCs/>
          <w:spacing w:val="-2"/>
          <w:sz w:val="28"/>
          <w:szCs w:val="28"/>
        </w:rPr>
        <w:t xml:space="preserve">2.4 </w:t>
      </w:r>
      <w:r>
        <w:rPr>
          <w:rFonts w:ascii="黑体" w:hAnsi="黑体" w:eastAsia="黑体" w:cs="黑体"/>
          <w:b/>
          <w:bCs/>
          <w:spacing w:val="-2"/>
          <w:sz w:val="28"/>
          <w:szCs w:val="28"/>
        </w:rPr>
        <w:t>评价目的、评价内容及评价重点</w:t>
      </w:r>
    </w:p>
    <w:p w14:paraId="31D63F89">
      <w:pPr>
        <w:spacing w:before="254" w:line="218" w:lineRule="auto"/>
        <w:ind w:left="636"/>
        <w:outlineLvl w:val="2"/>
        <w:rPr>
          <w:rFonts w:ascii="宋体" w:hAnsi="宋体" w:eastAsia="宋体" w:cs="宋体"/>
          <w:sz w:val="24"/>
          <w:szCs w:val="24"/>
        </w:rPr>
      </w:pPr>
      <w:bookmarkStart w:id="26" w:name="bookmark197"/>
      <w:bookmarkEnd w:id="26"/>
      <w:r>
        <w:rPr>
          <w:rFonts w:ascii="Times New Roman" w:hAnsi="Times New Roman" w:eastAsia="Times New Roman" w:cs="Times New Roman"/>
          <w:b/>
          <w:bCs/>
          <w:spacing w:val="-2"/>
          <w:sz w:val="24"/>
          <w:szCs w:val="24"/>
        </w:rPr>
        <w:t xml:space="preserve">2.4.1 </w:t>
      </w:r>
      <w:r>
        <w:rPr>
          <w:rFonts w:ascii="宋体" w:hAnsi="宋体" w:eastAsia="宋体" w:cs="宋体"/>
          <w:b/>
          <w:bCs/>
          <w:spacing w:val="-2"/>
          <w:sz w:val="24"/>
          <w:szCs w:val="24"/>
        </w:rPr>
        <w:t>评价目的</w:t>
      </w:r>
    </w:p>
    <w:p w14:paraId="22ED1A83">
      <w:pPr>
        <w:spacing w:before="184" w:line="360" w:lineRule="auto"/>
        <w:ind w:left="159" w:right="301" w:firstLine="480"/>
        <w:jc w:val="both"/>
        <w:rPr>
          <w:rFonts w:ascii="宋体" w:hAnsi="宋体" w:eastAsia="宋体" w:cs="宋体"/>
          <w:sz w:val="24"/>
          <w:szCs w:val="24"/>
        </w:rPr>
      </w:pPr>
      <w:r>
        <w:rPr>
          <w:rFonts w:ascii="宋体" w:hAnsi="宋体" w:eastAsia="宋体" w:cs="宋体"/>
          <w:sz w:val="24"/>
          <w:szCs w:val="24"/>
        </w:rPr>
        <w:t>通过对本项目的环境影响评价，了解项目周围地</w:t>
      </w:r>
      <w:r>
        <w:rPr>
          <w:rFonts w:ascii="宋体" w:hAnsi="宋体" w:eastAsia="宋体" w:cs="宋体"/>
          <w:spacing w:val="-1"/>
          <w:sz w:val="24"/>
          <w:szCs w:val="24"/>
        </w:rPr>
        <w:t>区的环境质量现状，提出</w:t>
      </w:r>
      <w:r>
        <w:rPr>
          <w:rFonts w:ascii="宋体" w:hAnsi="宋体" w:eastAsia="宋体" w:cs="宋体"/>
          <w:sz w:val="24"/>
          <w:szCs w:val="24"/>
        </w:rPr>
        <w:t xml:space="preserve"> </w:t>
      </w:r>
      <w:r>
        <w:rPr>
          <w:rFonts w:ascii="宋体" w:hAnsi="宋体" w:eastAsia="宋体" w:cs="宋体"/>
          <w:spacing w:val="-1"/>
          <w:sz w:val="24"/>
          <w:szCs w:val="24"/>
        </w:rPr>
        <w:t>现状存在的问题，核算污染物排放“三本账</w:t>
      </w:r>
      <w:r>
        <w:rPr>
          <w:rFonts w:ascii="宋体" w:hAnsi="宋体" w:eastAsia="宋体" w:cs="宋体"/>
          <w:spacing w:val="-88"/>
          <w:sz w:val="24"/>
          <w:szCs w:val="24"/>
        </w:rPr>
        <w:t xml:space="preserve"> </w:t>
      </w:r>
      <w:r>
        <w:rPr>
          <w:rFonts w:ascii="宋体" w:hAnsi="宋体" w:eastAsia="宋体" w:cs="宋体"/>
          <w:spacing w:val="-1"/>
          <w:sz w:val="24"/>
          <w:szCs w:val="24"/>
        </w:rPr>
        <w:t>”，预测项目</w:t>
      </w:r>
      <w:r>
        <w:rPr>
          <w:rFonts w:ascii="宋体" w:hAnsi="宋体" w:eastAsia="宋体" w:cs="宋体"/>
          <w:spacing w:val="-2"/>
          <w:sz w:val="24"/>
          <w:szCs w:val="24"/>
        </w:rPr>
        <w:t>实施后对周围环境的</w:t>
      </w:r>
      <w:r>
        <w:rPr>
          <w:rFonts w:ascii="宋体" w:hAnsi="宋体" w:eastAsia="宋体" w:cs="宋体"/>
          <w:sz w:val="24"/>
          <w:szCs w:val="24"/>
        </w:rPr>
        <w:t xml:space="preserve"> 影响程度和范围，论证项目污染治理措施的可行性，</w:t>
      </w:r>
      <w:r>
        <w:rPr>
          <w:rFonts w:ascii="宋体" w:hAnsi="宋体" w:eastAsia="宋体" w:cs="宋体"/>
          <w:spacing w:val="-1"/>
          <w:sz w:val="24"/>
          <w:szCs w:val="24"/>
        </w:rPr>
        <w:t>给出项目建设从环保角度</w:t>
      </w:r>
      <w:r>
        <w:rPr>
          <w:rFonts w:ascii="宋体" w:hAnsi="宋体" w:eastAsia="宋体" w:cs="宋体"/>
          <w:sz w:val="24"/>
          <w:szCs w:val="24"/>
        </w:rPr>
        <w:t xml:space="preserve"> 是否可行的结论，并提出进一步防治污染的措施建议</w:t>
      </w:r>
      <w:r>
        <w:rPr>
          <w:rFonts w:ascii="宋体" w:hAnsi="宋体" w:eastAsia="宋体" w:cs="宋体"/>
          <w:spacing w:val="-1"/>
          <w:sz w:val="24"/>
          <w:szCs w:val="24"/>
        </w:rPr>
        <w:t>，为领导决策、环境管理</w:t>
      </w:r>
      <w:r>
        <w:rPr>
          <w:rFonts w:ascii="宋体" w:hAnsi="宋体" w:eastAsia="宋体" w:cs="宋体"/>
          <w:sz w:val="24"/>
          <w:szCs w:val="24"/>
        </w:rPr>
        <w:t xml:space="preserve"> </w:t>
      </w:r>
      <w:r>
        <w:rPr>
          <w:rFonts w:ascii="宋体" w:hAnsi="宋体" w:eastAsia="宋体" w:cs="宋体"/>
          <w:spacing w:val="-1"/>
          <w:sz w:val="24"/>
          <w:szCs w:val="24"/>
        </w:rPr>
        <w:t>和工程设计提供科学依据。</w:t>
      </w:r>
    </w:p>
    <w:p w14:paraId="61184AE3">
      <w:pPr>
        <w:spacing w:before="1" w:line="217" w:lineRule="auto"/>
        <w:ind w:left="636"/>
        <w:outlineLvl w:val="2"/>
        <w:rPr>
          <w:rFonts w:ascii="宋体" w:hAnsi="宋体" w:eastAsia="宋体" w:cs="宋体"/>
          <w:sz w:val="24"/>
          <w:szCs w:val="24"/>
        </w:rPr>
      </w:pPr>
      <w:bookmarkStart w:id="27" w:name="bookmark24"/>
      <w:bookmarkEnd w:id="27"/>
      <w:r>
        <w:rPr>
          <w:rFonts w:ascii="Times New Roman" w:hAnsi="Times New Roman" w:eastAsia="Times New Roman" w:cs="Times New Roman"/>
          <w:b/>
          <w:bCs/>
          <w:spacing w:val="-2"/>
          <w:sz w:val="24"/>
          <w:szCs w:val="24"/>
        </w:rPr>
        <w:t xml:space="preserve">2.4.2 </w:t>
      </w:r>
      <w:r>
        <w:rPr>
          <w:rFonts w:ascii="宋体" w:hAnsi="宋体" w:eastAsia="宋体" w:cs="宋体"/>
          <w:b/>
          <w:bCs/>
          <w:spacing w:val="-2"/>
          <w:sz w:val="24"/>
          <w:szCs w:val="24"/>
        </w:rPr>
        <w:t>评价内容</w:t>
      </w:r>
    </w:p>
    <w:p w14:paraId="12127301">
      <w:pPr>
        <w:spacing w:before="185" w:line="360" w:lineRule="auto"/>
        <w:ind w:left="160" w:right="241" w:firstLine="479"/>
        <w:jc w:val="both"/>
        <w:rPr>
          <w:rFonts w:ascii="宋体" w:hAnsi="宋体" w:eastAsia="宋体" w:cs="宋体"/>
          <w:sz w:val="24"/>
          <w:szCs w:val="24"/>
        </w:rPr>
      </w:pPr>
      <w:r>
        <w:rPr>
          <w:rFonts w:ascii="宋体" w:hAnsi="宋体" w:eastAsia="宋体" w:cs="宋体"/>
          <w:spacing w:val="-6"/>
          <w:sz w:val="24"/>
          <w:szCs w:val="24"/>
        </w:rPr>
        <w:t>根据工程环境影响因素分析和评价因子筛选，本次评价工作的主要内容为：</w:t>
      </w:r>
      <w:r>
        <w:rPr>
          <w:rFonts w:ascii="宋体" w:hAnsi="宋体" w:eastAsia="宋体" w:cs="宋体"/>
          <w:spacing w:val="7"/>
          <w:sz w:val="24"/>
          <w:szCs w:val="24"/>
        </w:rPr>
        <w:t xml:space="preserve"> </w:t>
      </w:r>
      <w:r>
        <w:rPr>
          <w:rFonts w:ascii="宋体" w:hAnsi="宋体" w:eastAsia="宋体" w:cs="宋体"/>
          <w:sz w:val="24"/>
          <w:szCs w:val="24"/>
        </w:rPr>
        <w:t>现有工程情况、技改工程概况、工程分析、环境现</w:t>
      </w:r>
      <w:r>
        <w:rPr>
          <w:rFonts w:ascii="宋体" w:hAnsi="宋体" w:eastAsia="宋体" w:cs="宋体"/>
          <w:spacing w:val="-1"/>
          <w:sz w:val="24"/>
          <w:szCs w:val="24"/>
        </w:rPr>
        <w:t>状监测以及影响评价、环境</w:t>
      </w:r>
      <w:r>
        <w:rPr>
          <w:rFonts w:ascii="宋体" w:hAnsi="宋体" w:eastAsia="宋体" w:cs="宋体"/>
          <w:sz w:val="24"/>
          <w:szCs w:val="24"/>
        </w:rPr>
        <w:t xml:space="preserve"> 风险评价、污染防治对策及可行性分析、产业政策</w:t>
      </w:r>
      <w:r>
        <w:rPr>
          <w:rFonts w:ascii="宋体" w:hAnsi="宋体" w:eastAsia="宋体" w:cs="宋体"/>
          <w:spacing w:val="-1"/>
          <w:sz w:val="24"/>
          <w:szCs w:val="24"/>
        </w:rPr>
        <w:t>和规划的符合性分析、环境</w:t>
      </w:r>
      <w:r>
        <w:rPr>
          <w:rFonts w:ascii="宋体" w:hAnsi="宋体" w:eastAsia="宋体" w:cs="宋体"/>
          <w:sz w:val="24"/>
          <w:szCs w:val="24"/>
        </w:rPr>
        <w:t xml:space="preserve"> </w:t>
      </w:r>
      <w:r>
        <w:rPr>
          <w:rFonts w:ascii="宋体" w:hAnsi="宋体" w:eastAsia="宋体" w:cs="宋体"/>
          <w:spacing w:val="-1"/>
          <w:sz w:val="24"/>
          <w:szCs w:val="24"/>
        </w:rPr>
        <w:t>经济损益分析、环境管理与监测计划、结论与建议等。</w:t>
      </w:r>
    </w:p>
    <w:p w14:paraId="5305EB70">
      <w:pPr>
        <w:spacing w:before="1" w:line="217" w:lineRule="auto"/>
        <w:ind w:left="636"/>
        <w:outlineLvl w:val="2"/>
        <w:rPr>
          <w:rFonts w:ascii="宋体" w:hAnsi="宋体" w:eastAsia="宋体" w:cs="宋体"/>
          <w:sz w:val="24"/>
          <w:szCs w:val="24"/>
        </w:rPr>
      </w:pPr>
      <w:bookmarkStart w:id="28" w:name="bookmark25"/>
      <w:bookmarkEnd w:id="28"/>
      <w:r>
        <w:rPr>
          <w:rFonts w:ascii="Times New Roman" w:hAnsi="Times New Roman" w:eastAsia="Times New Roman" w:cs="Times New Roman"/>
          <w:b/>
          <w:bCs/>
          <w:spacing w:val="-2"/>
          <w:sz w:val="24"/>
          <w:szCs w:val="24"/>
        </w:rPr>
        <w:t xml:space="preserve">2.4.3 </w:t>
      </w:r>
      <w:r>
        <w:rPr>
          <w:rFonts w:ascii="宋体" w:hAnsi="宋体" w:eastAsia="宋体" w:cs="宋体"/>
          <w:b/>
          <w:bCs/>
          <w:spacing w:val="-2"/>
          <w:sz w:val="24"/>
          <w:szCs w:val="24"/>
        </w:rPr>
        <w:t>评价重点</w:t>
      </w:r>
    </w:p>
    <w:p w14:paraId="22410245">
      <w:pPr>
        <w:spacing w:before="186" w:line="361" w:lineRule="auto"/>
        <w:ind w:left="158" w:right="301" w:firstLine="480"/>
        <w:jc w:val="both"/>
        <w:rPr>
          <w:rFonts w:ascii="宋体" w:hAnsi="宋体" w:eastAsia="宋体" w:cs="宋体"/>
          <w:sz w:val="24"/>
          <w:szCs w:val="24"/>
        </w:rPr>
      </w:pPr>
      <w:r>
        <w:rPr>
          <w:rFonts w:ascii="宋体" w:hAnsi="宋体" w:eastAsia="宋体" w:cs="宋体"/>
          <w:sz w:val="24"/>
          <w:szCs w:val="24"/>
        </w:rPr>
        <w:t>针对本工程主要环境污染特点，本次评价对现有</w:t>
      </w:r>
      <w:r>
        <w:rPr>
          <w:rFonts w:ascii="宋体" w:hAnsi="宋体" w:eastAsia="宋体" w:cs="宋体"/>
          <w:spacing w:val="-1"/>
          <w:sz w:val="24"/>
          <w:szCs w:val="24"/>
        </w:rPr>
        <w:t>工程环境问题提出整改措</w:t>
      </w:r>
      <w:r>
        <w:rPr>
          <w:rFonts w:ascii="宋体" w:hAnsi="宋体" w:eastAsia="宋体" w:cs="宋体"/>
          <w:sz w:val="24"/>
          <w:szCs w:val="24"/>
        </w:rPr>
        <w:t xml:space="preserve"> 施，对技改项目生产工艺、排污流程进行详细调查分析</w:t>
      </w:r>
      <w:r>
        <w:rPr>
          <w:rFonts w:ascii="宋体" w:hAnsi="宋体" w:eastAsia="宋体" w:cs="宋体"/>
          <w:spacing w:val="-1"/>
          <w:sz w:val="24"/>
          <w:szCs w:val="24"/>
        </w:rPr>
        <w:t>的基础上，确定评价重</w:t>
      </w:r>
      <w:r>
        <w:rPr>
          <w:rFonts w:ascii="宋体" w:hAnsi="宋体" w:eastAsia="宋体" w:cs="宋体"/>
          <w:sz w:val="24"/>
          <w:szCs w:val="24"/>
        </w:rPr>
        <w:t xml:space="preserve"> </w:t>
      </w:r>
      <w:r>
        <w:rPr>
          <w:rFonts w:ascii="宋体" w:hAnsi="宋体" w:eastAsia="宋体" w:cs="宋体"/>
          <w:spacing w:val="-1"/>
          <w:sz w:val="24"/>
          <w:szCs w:val="24"/>
        </w:rPr>
        <w:t>点为：地下水、土壤等内容。</w:t>
      </w:r>
    </w:p>
    <w:p w14:paraId="78F3F777">
      <w:pPr>
        <w:spacing w:before="77" w:line="222" w:lineRule="auto"/>
        <w:ind w:left="157"/>
        <w:outlineLvl w:val="1"/>
        <w:rPr>
          <w:rFonts w:ascii="黑体" w:hAnsi="黑体" w:eastAsia="黑体" w:cs="黑体"/>
          <w:sz w:val="28"/>
          <w:szCs w:val="28"/>
        </w:rPr>
      </w:pPr>
      <w:bookmarkStart w:id="29" w:name="bookmark26"/>
      <w:bookmarkEnd w:id="29"/>
      <w:r>
        <w:rPr>
          <w:rFonts w:ascii="Times New Roman" w:hAnsi="Times New Roman" w:eastAsia="Times New Roman" w:cs="Times New Roman"/>
          <w:b/>
          <w:bCs/>
          <w:spacing w:val="-2"/>
          <w:sz w:val="28"/>
          <w:szCs w:val="28"/>
        </w:rPr>
        <w:t xml:space="preserve">2.5 </w:t>
      </w:r>
      <w:r>
        <w:rPr>
          <w:rFonts w:ascii="黑体" w:hAnsi="黑体" w:eastAsia="黑体" w:cs="黑体"/>
          <w:b/>
          <w:bCs/>
          <w:spacing w:val="-2"/>
          <w:sz w:val="28"/>
          <w:szCs w:val="28"/>
        </w:rPr>
        <w:t>评价工作等级</w:t>
      </w:r>
    </w:p>
    <w:p w14:paraId="69D46D0B">
      <w:pPr>
        <w:spacing w:before="178" w:line="361" w:lineRule="auto"/>
        <w:ind w:left="162" w:right="301" w:firstLine="477"/>
        <w:rPr>
          <w:rFonts w:ascii="宋体" w:hAnsi="宋体" w:eastAsia="宋体" w:cs="宋体"/>
          <w:sz w:val="24"/>
          <w:szCs w:val="24"/>
        </w:rPr>
      </w:pPr>
      <w:r>
        <w:rPr>
          <w:rFonts w:ascii="宋体" w:hAnsi="宋体" w:eastAsia="宋体" w:cs="宋体"/>
          <w:sz w:val="24"/>
          <w:szCs w:val="24"/>
        </w:rPr>
        <w:t>根据</w:t>
      </w:r>
      <w:r>
        <w:rPr>
          <w:rFonts w:ascii="Times New Roman" w:hAnsi="Times New Roman" w:eastAsia="Times New Roman" w:cs="Times New Roman"/>
          <w:sz w:val="24"/>
          <w:szCs w:val="24"/>
        </w:rPr>
        <w:t>“</w:t>
      </w:r>
      <w:r>
        <w:rPr>
          <w:rFonts w:ascii="宋体" w:hAnsi="宋体" w:eastAsia="宋体" w:cs="宋体"/>
          <w:sz w:val="24"/>
          <w:szCs w:val="24"/>
        </w:rPr>
        <w:t>环境影响评价技术导则</w:t>
      </w:r>
      <w:r>
        <w:rPr>
          <w:rFonts w:ascii="Times New Roman" w:hAnsi="Times New Roman" w:eastAsia="Times New Roman" w:cs="Times New Roman"/>
          <w:sz w:val="24"/>
          <w:szCs w:val="24"/>
        </w:rPr>
        <w:t>”</w:t>
      </w:r>
      <w:r>
        <w:rPr>
          <w:rFonts w:ascii="宋体" w:hAnsi="宋体" w:eastAsia="宋体" w:cs="宋体"/>
          <w:sz w:val="24"/>
          <w:szCs w:val="24"/>
        </w:rPr>
        <w:t>中关于环境影响评价等级划分规定，本评价</w:t>
      </w:r>
      <w:r>
        <w:rPr>
          <w:rFonts w:ascii="宋体" w:hAnsi="宋体" w:eastAsia="宋体" w:cs="宋体"/>
          <w:spacing w:val="16"/>
          <w:sz w:val="24"/>
          <w:szCs w:val="24"/>
        </w:rPr>
        <w:t xml:space="preserve"> </w:t>
      </w:r>
      <w:r>
        <w:rPr>
          <w:rFonts w:ascii="宋体" w:hAnsi="宋体" w:eastAsia="宋体" w:cs="宋体"/>
          <w:spacing w:val="-1"/>
          <w:sz w:val="24"/>
          <w:szCs w:val="24"/>
        </w:rPr>
        <w:t>各专题评价工作等级确定如下。</w:t>
      </w:r>
    </w:p>
    <w:p w14:paraId="20091315">
      <w:pPr>
        <w:spacing w:before="73" w:line="218" w:lineRule="auto"/>
        <w:ind w:left="636"/>
        <w:outlineLvl w:val="2"/>
        <w:rPr>
          <w:rFonts w:ascii="宋体" w:hAnsi="宋体" w:eastAsia="宋体" w:cs="宋体"/>
          <w:sz w:val="24"/>
          <w:szCs w:val="24"/>
        </w:rPr>
      </w:pPr>
      <w:bookmarkStart w:id="30" w:name="bookmark27"/>
      <w:bookmarkEnd w:id="30"/>
      <w:r>
        <w:rPr>
          <w:rFonts w:ascii="Times New Roman" w:hAnsi="Times New Roman" w:eastAsia="Times New Roman" w:cs="Times New Roman"/>
          <w:b/>
          <w:bCs/>
          <w:spacing w:val="-2"/>
          <w:sz w:val="24"/>
          <w:szCs w:val="24"/>
        </w:rPr>
        <w:t xml:space="preserve">2.5.1 </w:t>
      </w:r>
      <w:r>
        <w:rPr>
          <w:rFonts w:ascii="宋体" w:hAnsi="宋体" w:eastAsia="宋体" w:cs="宋体"/>
          <w:b/>
          <w:bCs/>
          <w:spacing w:val="-2"/>
          <w:sz w:val="24"/>
          <w:szCs w:val="24"/>
        </w:rPr>
        <w:t>环境空气评价工作等级</w:t>
      </w:r>
    </w:p>
    <w:p w14:paraId="3AD295A5">
      <w:pPr>
        <w:spacing w:before="185" w:line="219" w:lineRule="auto"/>
        <w:ind w:left="65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）等级确定方法</w:t>
      </w:r>
    </w:p>
    <w:p w14:paraId="7BFEF574">
      <w:pPr>
        <w:spacing w:line="219" w:lineRule="auto"/>
        <w:rPr>
          <w:rFonts w:ascii="宋体" w:hAnsi="宋体" w:eastAsia="宋体" w:cs="宋体"/>
          <w:sz w:val="24"/>
          <w:szCs w:val="24"/>
        </w:rPr>
        <w:sectPr>
          <w:footerReference r:id="rId28" w:type="default"/>
          <w:pgSz w:w="11906" w:h="16839"/>
          <w:pgMar w:top="1208" w:right="1647" w:bottom="1358" w:left="1647" w:header="825" w:footer="1195" w:gutter="0"/>
          <w:cols w:space="720" w:num="1"/>
        </w:sectPr>
      </w:pPr>
    </w:p>
    <w:p w14:paraId="40E3238E">
      <w:pPr>
        <w:pStyle w:val="2"/>
        <w:spacing w:line="265" w:lineRule="auto"/>
      </w:pPr>
    </w:p>
    <w:p w14:paraId="62E9CF60">
      <w:pPr>
        <w:spacing w:before="78" w:line="218" w:lineRule="auto"/>
        <w:ind w:left="760"/>
        <w:rPr>
          <w:rFonts w:ascii="宋体" w:hAnsi="宋体" w:eastAsia="宋体" w:cs="宋体"/>
          <w:sz w:val="24"/>
          <w:szCs w:val="24"/>
        </w:rPr>
      </w:pPr>
      <w:r>
        <w:rPr>
          <w:rFonts w:ascii="宋体" w:hAnsi="宋体" w:eastAsia="宋体" w:cs="宋体"/>
          <w:sz w:val="24"/>
          <w:szCs w:val="24"/>
        </w:rPr>
        <w:t>评价工作等级按照《环境影响评价技术导则</w:t>
      </w:r>
      <w:r>
        <w:rPr>
          <w:rFonts w:ascii="Times New Roman" w:hAnsi="Times New Roman" w:eastAsia="Times New Roman" w:cs="Times New Roman"/>
          <w:sz w:val="24"/>
          <w:szCs w:val="24"/>
        </w:rPr>
        <w:t>-</w:t>
      </w:r>
      <w:r>
        <w:rPr>
          <w:rFonts w:ascii="宋体" w:hAnsi="宋体" w:eastAsia="宋体" w:cs="宋体"/>
          <w:sz w:val="24"/>
          <w:szCs w:val="24"/>
        </w:rPr>
        <w:t>大气环境》（</w:t>
      </w:r>
      <w:r>
        <w:rPr>
          <w:rFonts w:ascii="Times New Roman" w:hAnsi="Times New Roman" w:eastAsia="Times New Roman" w:cs="Times New Roman"/>
          <w:sz w:val="24"/>
          <w:szCs w:val="24"/>
        </w:rPr>
        <w:t>HJ2.2-2018</w:t>
      </w:r>
      <w:r>
        <w:rPr>
          <w:rFonts w:ascii="宋体" w:hAnsi="宋体" w:eastAsia="宋体" w:cs="宋体"/>
          <w:sz w:val="24"/>
          <w:szCs w:val="24"/>
        </w:rPr>
        <w:t>）中</w:t>
      </w:r>
    </w:p>
    <w:p w14:paraId="6A76649F">
      <w:pPr>
        <w:spacing w:before="184" w:line="217" w:lineRule="auto"/>
        <w:ind w:left="28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的分级判据进行划分，具体划分要求见表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2.5-1</w:t>
      </w:r>
      <w:r>
        <w:rPr>
          <w:rFonts w:ascii="宋体" w:hAnsi="宋体" w:eastAsia="宋体" w:cs="宋体"/>
          <w:spacing w:val="-2"/>
          <w:sz w:val="24"/>
          <w:szCs w:val="24"/>
        </w:rPr>
        <w:t>。</w:t>
      </w:r>
    </w:p>
    <w:p w14:paraId="20DA9F56">
      <w:pPr>
        <w:spacing w:before="109" w:line="211" w:lineRule="auto"/>
        <w:ind w:left="252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2.5-1    </w:t>
      </w:r>
      <w:r>
        <w:rPr>
          <w:rFonts w:ascii="宋体" w:hAnsi="宋体" w:eastAsia="宋体" w:cs="宋体"/>
          <w:spacing w:val="-1"/>
          <w:sz w:val="24"/>
          <w:szCs w:val="24"/>
        </w:rPr>
        <w:t>大气评价工作等级判别表</w:t>
      </w:r>
    </w:p>
    <w:tbl>
      <w:tblPr>
        <w:tblStyle w:val="5"/>
        <w:tblW w:w="8532" w:type="dxa"/>
        <w:tblInd w:w="1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33"/>
        <w:gridCol w:w="5899"/>
      </w:tblGrid>
      <w:tr w14:paraId="4E2E5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633" w:type="dxa"/>
            <w:vAlign w:val="top"/>
          </w:tcPr>
          <w:p w14:paraId="068D704D">
            <w:pPr>
              <w:pStyle w:val="6"/>
              <w:spacing w:before="56" w:line="226" w:lineRule="auto"/>
              <w:ind w:left="691"/>
            </w:pPr>
            <w:r>
              <w:rPr>
                <w:spacing w:val="8"/>
              </w:rPr>
              <w:t>评价工作等级</w:t>
            </w:r>
          </w:p>
        </w:tc>
        <w:tc>
          <w:tcPr>
            <w:tcW w:w="5899" w:type="dxa"/>
            <w:vAlign w:val="top"/>
          </w:tcPr>
          <w:p w14:paraId="4548BA01">
            <w:pPr>
              <w:pStyle w:val="6"/>
              <w:spacing w:before="56" w:line="226" w:lineRule="auto"/>
              <w:ind w:left="2112"/>
            </w:pPr>
            <w:r>
              <w:rPr>
                <w:spacing w:val="8"/>
              </w:rPr>
              <w:t>评价工作分级判据</w:t>
            </w:r>
          </w:p>
        </w:tc>
      </w:tr>
      <w:tr w14:paraId="0D06E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33" w:type="dxa"/>
            <w:vAlign w:val="top"/>
          </w:tcPr>
          <w:p w14:paraId="0C19A3EF">
            <w:pPr>
              <w:pStyle w:val="6"/>
              <w:spacing w:before="52" w:line="230" w:lineRule="auto"/>
              <w:ind w:left="1115"/>
            </w:pPr>
            <w:r>
              <w:rPr>
                <w:spacing w:val="3"/>
              </w:rPr>
              <w:t>一级</w:t>
            </w:r>
          </w:p>
        </w:tc>
        <w:tc>
          <w:tcPr>
            <w:tcW w:w="5899" w:type="dxa"/>
            <w:vAlign w:val="top"/>
          </w:tcPr>
          <w:p w14:paraId="127800C7">
            <w:pPr>
              <w:spacing w:before="88" w:line="196" w:lineRule="auto"/>
              <w:ind w:left="2458"/>
              <w:rPr>
                <w:rFonts w:ascii="Times New Roman" w:hAnsi="Times New Roman" w:eastAsia="Times New Roman" w:cs="Times New Roman"/>
                <w:sz w:val="20"/>
                <w:szCs w:val="20"/>
              </w:rPr>
            </w:pPr>
            <w:r>
              <w:rPr>
                <w:rFonts w:ascii="Times New Roman" w:hAnsi="Times New Roman" w:eastAsia="Times New Roman" w:cs="Times New Roman"/>
                <w:sz w:val="20"/>
                <w:szCs w:val="20"/>
              </w:rPr>
              <w:t>Pmax</w:t>
            </w:r>
            <w:r>
              <w:rPr>
                <w:rFonts w:ascii="Times New Roman" w:hAnsi="Times New Roman" w:eastAsia="Times New Roman" w:cs="Times New Roman"/>
                <w:spacing w:val="10"/>
                <w:sz w:val="20"/>
                <w:szCs w:val="20"/>
              </w:rPr>
              <w:t>≥10%</w:t>
            </w:r>
          </w:p>
        </w:tc>
      </w:tr>
      <w:tr w14:paraId="1AB92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33" w:type="dxa"/>
            <w:vAlign w:val="top"/>
          </w:tcPr>
          <w:p w14:paraId="7AB3E3C0">
            <w:pPr>
              <w:pStyle w:val="6"/>
              <w:spacing w:before="53" w:line="230" w:lineRule="auto"/>
              <w:ind w:left="1115"/>
            </w:pPr>
            <w:r>
              <w:rPr>
                <w:spacing w:val="3"/>
              </w:rPr>
              <w:t>二级</w:t>
            </w:r>
          </w:p>
        </w:tc>
        <w:tc>
          <w:tcPr>
            <w:tcW w:w="5899" w:type="dxa"/>
            <w:vAlign w:val="top"/>
          </w:tcPr>
          <w:p w14:paraId="7B5B6803">
            <w:pPr>
              <w:spacing w:before="89" w:line="196" w:lineRule="auto"/>
              <w:ind w:left="22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Pmax</w:t>
            </w:r>
            <w:r>
              <w:rPr>
                <w:rFonts w:ascii="Times New Roman" w:hAnsi="Times New Roman" w:eastAsia="Times New Roman" w:cs="Times New Roman"/>
                <w:spacing w:val="5"/>
                <w:sz w:val="20"/>
                <w:szCs w:val="20"/>
              </w:rPr>
              <w:t>&lt;10%</w:t>
            </w:r>
          </w:p>
        </w:tc>
      </w:tr>
      <w:tr w14:paraId="34CD1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633" w:type="dxa"/>
            <w:vAlign w:val="top"/>
          </w:tcPr>
          <w:p w14:paraId="2F532925">
            <w:pPr>
              <w:pStyle w:val="6"/>
              <w:spacing w:before="54" w:line="230" w:lineRule="auto"/>
              <w:ind w:left="1112"/>
            </w:pPr>
            <w:r>
              <w:rPr>
                <w:spacing w:val="4"/>
              </w:rPr>
              <w:t>三级</w:t>
            </w:r>
          </w:p>
        </w:tc>
        <w:tc>
          <w:tcPr>
            <w:tcW w:w="5899" w:type="dxa"/>
            <w:vAlign w:val="top"/>
          </w:tcPr>
          <w:p w14:paraId="63EDD968">
            <w:pPr>
              <w:spacing w:before="90" w:line="195" w:lineRule="auto"/>
              <w:ind w:left="2509"/>
              <w:rPr>
                <w:rFonts w:ascii="Times New Roman" w:hAnsi="Times New Roman" w:eastAsia="Times New Roman" w:cs="Times New Roman"/>
                <w:sz w:val="20"/>
                <w:szCs w:val="20"/>
              </w:rPr>
            </w:pPr>
            <w:r>
              <w:rPr>
                <w:rFonts w:ascii="Times New Roman" w:hAnsi="Times New Roman" w:eastAsia="Times New Roman" w:cs="Times New Roman"/>
                <w:sz w:val="20"/>
                <w:szCs w:val="20"/>
              </w:rPr>
              <w:t>Pmax</w:t>
            </w:r>
            <w:r>
              <w:rPr>
                <w:rFonts w:ascii="Times New Roman" w:hAnsi="Times New Roman" w:eastAsia="Times New Roman" w:cs="Times New Roman"/>
                <w:spacing w:val="12"/>
                <w:sz w:val="20"/>
                <w:szCs w:val="20"/>
              </w:rPr>
              <w:t>&lt;1%</w:t>
            </w:r>
          </w:p>
        </w:tc>
      </w:tr>
    </w:tbl>
    <w:p w14:paraId="199A59B0">
      <w:pPr>
        <w:spacing w:before="116" w:line="306" w:lineRule="auto"/>
        <w:ind w:left="281" w:right="422" w:firstLine="481"/>
        <w:rPr>
          <w:rFonts w:ascii="宋体" w:hAnsi="宋体" w:eastAsia="宋体" w:cs="宋体"/>
          <w:sz w:val="24"/>
          <w:szCs w:val="24"/>
        </w:rPr>
      </w:pPr>
      <w:r>
        <w:rPr>
          <w:rFonts w:ascii="宋体" w:hAnsi="宋体" w:eastAsia="宋体" w:cs="宋体"/>
          <w:spacing w:val="-3"/>
          <w:sz w:val="24"/>
          <w:szCs w:val="24"/>
        </w:rPr>
        <w:t>按照污染源情况，分别计算各主要污染物最大地面浓度占标率</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Pi </w:t>
      </w:r>
      <w:r>
        <w:rPr>
          <w:rFonts w:ascii="宋体" w:hAnsi="宋体" w:eastAsia="宋体" w:cs="宋体"/>
          <w:spacing w:val="-3"/>
          <w:sz w:val="24"/>
          <w:szCs w:val="24"/>
        </w:rPr>
        <w:t>及其地面</w:t>
      </w:r>
      <w:r>
        <w:rPr>
          <w:rFonts w:ascii="宋体" w:hAnsi="宋体" w:eastAsia="宋体" w:cs="宋体"/>
          <w:sz w:val="24"/>
          <w:szCs w:val="24"/>
        </w:rPr>
        <w:t xml:space="preserve"> </w:t>
      </w:r>
      <w:r>
        <w:rPr>
          <w:rFonts w:ascii="宋体" w:hAnsi="宋体" w:eastAsia="宋体" w:cs="宋体"/>
          <w:spacing w:val="-2"/>
          <w:sz w:val="24"/>
          <w:szCs w:val="24"/>
        </w:rPr>
        <w:t>浓度达标准限值</w:t>
      </w:r>
      <w:r>
        <w:rPr>
          <w:rFonts w:ascii="宋体" w:hAnsi="宋体" w:eastAsia="宋体" w:cs="宋体"/>
          <w:spacing w:val="-17"/>
          <w:sz w:val="24"/>
          <w:szCs w:val="24"/>
        </w:rPr>
        <w:t xml:space="preserve"> </w:t>
      </w:r>
      <w:r>
        <w:rPr>
          <w:rFonts w:ascii="Times New Roman" w:hAnsi="Times New Roman" w:eastAsia="Times New Roman" w:cs="Times New Roman"/>
          <w:spacing w:val="-2"/>
          <w:sz w:val="24"/>
          <w:szCs w:val="24"/>
        </w:rPr>
        <w:t>10%</w:t>
      </w:r>
      <w:r>
        <w:rPr>
          <w:rFonts w:ascii="宋体" w:hAnsi="宋体" w:eastAsia="宋体" w:cs="宋体"/>
          <w:spacing w:val="-2"/>
          <w:sz w:val="24"/>
          <w:szCs w:val="24"/>
        </w:rPr>
        <w:t>时所对应的最远距离</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
          <w:position w:val="-1"/>
          <w:sz w:val="15"/>
          <w:szCs w:val="15"/>
        </w:rPr>
        <w:t>10%</w:t>
      </w:r>
      <w:r>
        <w:rPr>
          <w:rFonts w:ascii="宋体" w:hAnsi="宋体" w:eastAsia="宋体" w:cs="宋体"/>
          <w:spacing w:val="-2"/>
          <w:sz w:val="24"/>
          <w:szCs w:val="24"/>
        </w:rPr>
        <w:t>。</w:t>
      </w:r>
    </w:p>
    <w:p w14:paraId="488347DD">
      <w:pPr>
        <w:spacing w:line="322" w:lineRule="exact"/>
        <w:ind w:left="3893"/>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P</w:t>
      </w:r>
      <w:r>
        <w:rPr>
          <w:rFonts w:ascii="Times New Roman" w:hAnsi="Times New Roman" w:eastAsia="Times New Roman" w:cs="Times New Roman"/>
          <w:position w:val="1"/>
          <w:sz w:val="15"/>
          <w:szCs w:val="15"/>
        </w:rPr>
        <w:t>i</w:t>
      </w:r>
      <w:r>
        <w:rPr>
          <w:rFonts w:ascii="Times New Roman" w:hAnsi="Times New Roman" w:eastAsia="Times New Roman" w:cs="Times New Roman"/>
          <w:position w:val="2"/>
          <w:sz w:val="24"/>
          <w:szCs w:val="24"/>
        </w:rPr>
        <w:t>=C</w:t>
      </w:r>
      <w:r>
        <w:rPr>
          <w:rFonts w:ascii="Times New Roman" w:hAnsi="Times New Roman" w:eastAsia="Times New Roman" w:cs="Times New Roman"/>
          <w:position w:val="1"/>
          <w:sz w:val="15"/>
          <w:szCs w:val="15"/>
        </w:rPr>
        <w:t>i</w:t>
      </w:r>
      <w:r>
        <w:rPr>
          <w:rFonts w:ascii="Times New Roman" w:hAnsi="Times New Roman" w:eastAsia="Times New Roman" w:cs="Times New Roman"/>
          <w:position w:val="2"/>
          <w:sz w:val="24"/>
          <w:szCs w:val="24"/>
        </w:rPr>
        <w:t>/C</w:t>
      </w:r>
      <w:r>
        <w:rPr>
          <w:rFonts w:ascii="Times New Roman" w:hAnsi="Times New Roman" w:eastAsia="Times New Roman" w:cs="Times New Roman"/>
          <w:position w:val="1"/>
          <w:sz w:val="15"/>
          <w:szCs w:val="15"/>
        </w:rPr>
        <w:t>0i</w:t>
      </w:r>
      <w:r>
        <w:rPr>
          <w:rFonts w:ascii="Times New Roman" w:hAnsi="Times New Roman" w:eastAsia="Times New Roman" w:cs="Times New Roman"/>
          <w:position w:val="2"/>
          <w:sz w:val="24"/>
          <w:szCs w:val="24"/>
        </w:rPr>
        <w:t>×100%</w:t>
      </w:r>
    </w:p>
    <w:p w14:paraId="31233189">
      <w:pPr>
        <w:spacing w:before="229" w:line="217" w:lineRule="auto"/>
        <w:ind w:left="762"/>
        <w:rPr>
          <w:rFonts w:ascii="宋体" w:hAnsi="宋体" w:eastAsia="宋体" w:cs="宋体"/>
          <w:sz w:val="24"/>
          <w:szCs w:val="24"/>
        </w:rPr>
      </w:pPr>
      <w:r>
        <w:rPr>
          <w:rFonts w:ascii="宋体" w:hAnsi="宋体" w:eastAsia="宋体" w:cs="宋体"/>
          <w:spacing w:val="-1"/>
          <w:sz w:val="24"/>
          <w:szCs w:val="24"/>
        </w:rPr>
        <w:t>其中：</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
          <w:sz w:val="15"/>
          <w:szCs w:val="15"/>
        </w:rPr>
        <w:t>i</w:t>
      </w:r>
      <w:r>
        <w:rPr>
          <w:rFonts w:ascii="Times New Roman" w:hAnsi="Times New Roman" w:eastAsia="Times New Roman" w:cs="Times New Roman"/>
          <w:spacing w:val="-1"/>
          <w:sz w:val="24"/>
          <w:szCs w:val="24"/>
        </w:rPr>
        <w:t>-</w:t>
      </w:r>
      <w:r>
        <w:rPr>
          <w:rFonts w:ascii="宋体" w:hAnsi="宋体" w:eastAsia="宋体" w:cs="宋体"/>
          <w:spacing w:val="-1"/>
          <w:sz w:val="24"/>
          <w:szCs w:val="24"/>
        </w:rPr>
        <w:t>第</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个污染物的最大地面浓度占标率，</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45CD205D">
      <w:pPr>
        <w:spacing w:before="186" w:line="212" w:lineRule="auto"/>
        <w:ind w:left="1481"/>
        <w:rPr>
          <w:rFonts w:ascii="宋体" w:hAnsi="宋体" w:eastAsia="宋体" w:cs="宋体"/>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z w:val="15"/>
          <w:szCs w:val="15"/>
        </w:rPr>
        <w:t>i</w:t>
      </w:r>
      <w:r>
        <w:rPr>
          <w:rFonts w:ascii="Times New Roman" w:hAnsi="Times New Roman" w:eastAsia="Times New Roman" w:cs="Times New Roman"/>
          <w:sz w:val="24"/>
          <w:szCs w:val="24"/>
        </w:rPr>
        <w:t>-</w:t>
      </w:r>
      <w:r>
        <w:rPr>
          <w:rFonts w:ascii="宋体" w:hAnsi="宋体" w:eastAsia="宋体" w:cs="宋体"/>
          <w:sz w:val="24"/>
          <w:szCs w:val="24"/>
        </w:rPr>
        <w:t>采用估算模式计算出的第</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 xml:space="preserve">i </w:t>
      </w:r>
      <w:r>
        <w:rPr>
          <w:rFonts w:ascii="宋体" w:hAnsi="宋体" w:eastAsia="宋体" w:cs="宋体"/>
          <w:sz w:val="24"/>
          <w:szCs w:val="24"/>
        </w:rPr>
        <w:t>个污染</w:t>
      </w:r>
      <w:r>
        <w:rPr>
          <w:rFonts w:ascii="宋体" w:hAnsi="宋体" w:eastAsia="宋体" w:cs="宋体"/>
          <w:spacing w:val="-1"/>
          <w:sz w:val="24"/>
          <w:szCs w:val="24"/>
        </w:rPr>
        <w:t>物的最大地面浓度，</w:t>
      </w:r>
      <w:r>
        <w:rPr>
          <w:rFonts w:ascii="Times New Roman" w:hAnsi="Times New Roman" w:eastAsia="Times New Roman" w:cs="Times New Roman"/>
          <w:spacing w:val="-1"/>
          <w:sz w:val="24"/>
          <w:szCs w:val="24"/>
        </w:rPr>
        <w:t>μg/m</w:t>
      </w:r>
      <w:r>
        <w:rPr>
          <w:rFonts w:ascii="Times New Roman" w:hAnsi="Times New Roman" w:eastAsia="Times New Roman" w:cs="Times New Roman"/>
          <w:spacing w:val="-1"/>
          <w:position w:val="8"/>
          <w:sz w:val="15"/>
          <w:szCs w:val="15"/>
        </w:rPr>
        <w:t>3</w:t>
      </w:r>
      <w:r>
        <w:rPr>
          <w:rFonts w:ascii="宋体" w:hAnsi="宋体" w:eastAsia="宋体" w:cs="宋体"/>
          <w:spacing w:val="-1"/>
          <w:sz w:val="24"/>
          <w:szCs w:val="24"/>
        </w:rPr>
        <w:t>；</w:t>
      </w:r>
    </w:p>
    <w:p w14:paraId="48B7FBDC">
      <w:pPr>
        <w:spacing w:before="192" w:line="352" w:lineRule="auto"/>
        <w:ind w:left="280" w:right="422" w:firstLine="1200"/>
        <w:rPr>
          <w:rFonts w:ascii="宋体" w:hAnsi="宋体" w:eastAsia="宋体" w:cs="宋体"/>
          <w:sz w:val="24"/>
          <w:szCs w:val="24"/>
        </w:rPr>
      </w:pPr>
      <w:r>
        <w:rPr>
          <w:rFonts w:ascii="Times New Roman" w:hAnsi="Times New Roman" w:eastAsia="Times New Roman" w:cs="Times New Roman"/>
          <w:spacing w:val="7"/>
          <w:sz w:val="24"/>
          <w:szCs w:val="24"/>
        </w:rPr>
        <w:t>C</w:t>
      </w:r>
      <w:r>
        <w:rPr>
          <w:rFonts w:ascii="Times New Roman" w:hAnsi="Times New Roman" w:eastAsia="Times New Roman" w:cs="Times New Roman"/>
          <w:spacing w:val="7"/>
          <w:sz w:val="15"/>
          <w:szCs w:val="15"/>
        </w:rPr>
        <w:t>0i</w:t>
      </w:r>
      <w:r>
        <w:rPr>
          <w:rFonts w:ascii="Times New Roman" w:hAnsi="Times New Roman" w:eastAsia="Times New Roman" w:cs="Times New Roman"/>
          <w:spacing w:val="7"/>
          <w:sz w:val="24"/>
          <w:szCs w:val="24"/>
        </w:rPr>
        <w:t>-</w:t>
      </w:r>
      <w:r>
        <w:rPr>
          <w:rFonts w:ascii="宋体" w:hAnsi="宋体" w:eastAsia="宋体" w:cs="宋体"/>
          <w:spacing w:val="7"/>
          <w:sz w:val="24"/>
          <w:szCs w:val="24"/>
        </w:rPr>
        <w:t>第</w:t>
      </w:r>
      <w:r>
        <w:rPr>
          <w:rFonts w:ascii="宋体" w:hAnsi="宋体" w:eastAsia="宋体" w:cs="宋体"/>
          <w:spacing w:val="-24"/>
          <w:sz w:val="24"/>
          <w:szCs w:val="24"/>
        </w:rPr>
        <w:t xml:space="preserve"> </w:t>
      </w:r>
      <w:r>
        <w:rPr>
          <w:rFonts w:ascii="Times New Roman" w:hAnsi="Times New Roman" w:eastAsia="Times New Roman" w:cs="Times New Roman"/>
          <w:spacing w:val="7"/>
          <w:sz w:val="24"/>
          <w:szCs w:val="24"/>
        </w:rPr>
        <w:t>i</w:t>
      </w:r>
      <w:r>
        <w:rPr>
          <w:rFonts w:ascii="Times New Roman" w:hAnsi="Times New Roman" w:eastAsia="Times New Roman" w:cs="Times New Roman"/>
          <w:spacing w:val="29"/>
          <w:sz w:val="24"/>
          <w:szCs w:val="24"/>
        </w:rPr>
        <w:t xml:space="preserve"> </w:t>
      </w:r>
      <w:r>
        <w:rPr>
          <w:rFonts w:ascii="宋体" w:hAnsi="宋体" w:eastAsia="宋体" w:cs="宋体"/>
          <w:spacing w:val="7"/>
          <w:sz w:val="24"/>
          <w:szCs w:val="24"/>
        </w:rPr>
        <w:t>个污染物的环境空气质量标准值</w:t>
      </w:r>
      <w:r>
        <w:rPr>
          <w:rFonts w:ascii="宋体" w:hAnsi="宋体" w:eastAsia="宋体" w:cs="宋体"/>
          <w:spacing w:val="-72"/>
          <w:sz w:val="24"/>
          <w:szCs w:val="24"/>
        </w:rPr>
        <w:t xml:space="preserve"> </w:t>
      </w:r>
      <w:r>
        <w:rPr>
          <w:rFonts w:ascii="宋体" w:hAnsi="宋体" w:eastAsia="宋体" w:cs="宋体"/>
          <w:spacing w:val="7"/>
          <w:sz w:val="24"/>
          <w:szCs w:val="24"/>
        </w:rPr>
        <w:t>，</w:t>
      </w:r>
      <w:r>
        <w:rPr>
          <w:rFonts w:ascii="宋体" w:hAnsi="宋体" w:eastAsia="宋体" w:cs="宋体"/>
          <w:spacing w:val="-82"/>
          <w:sz w:val="24"/>
          <w:szCs w:val="24"/>
        </w:rPr>
        <w:t xml:space="preserve"> </w:t>
      </w:r>
      <w:r>
        <w:rPr>
          <w:rFonts w:ascii="Times New Roman" w:hAnsi="Times New Roman" w:eastAsia="Times New Roman" w:cs="Times New Roman"/>
          <w:spacing w:val="7"/>
          <w:sz w:val="24"/>
          <w:szCs w:val="24"/>
        </w:rPr>
        <w:t>μg/m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15"/>
          <w:w w:val="102"/>
          <w:position w:val="8"/>
          <w:sz w:val="15"/>
          <w:szCs w:val="15"/>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C</w:t>
      </w:r>
      <w:r>
        <w:rPr>
          <w:rFonts w:ascii="Times New Roman" w:hAnsi="Times New Roman" w:eastAsia="Times New Roman" w:cs="Times New Roman"/>
          <w:spacing w:val="7"/>
          <w:position w:val="-1"/>
          <w:sz w:val="15"/>
          <w:szCs w:val="15"/>
        </w:rPr>
        <w:t>0i</w:t>
      </w:r>
      <w:r>
        <w:rPr>
          <w:rFonts w:ascii="Times New Roman" w:hAnsi="Times New Roman" w:eastAsia="Times New Roman" w:cs="Times New Roman"/>
          <w:spacing w:val="33"/>
          <w:w w:val="101"/>
          <w:position w:val="-1"/>
          <w:sz w:val="15"/>
          <w:szCs w:val="15"/>
        </w:rPr>
        <w:t xml:space="preserve"> </w:t>
      </w:r>
      <w:r>
        <w:rPr>
          <w:rFonts w:ascii="宋体" w:hAnsi="宋体" w:eastAsia="宋体" w:cs="宋体"/>
          <w:spacing w:val="7"/>
          <w:sz w:val="24"/>
          <w:szCs w:val="24"/>
        </w:rPr>
        <w:t>一般选取</w:t>
      </w:r>
      <w:r>
        <w:rPr>
          <w:rFonts w:ascii="宋体" w:hAnsi="宋体" w:eastAsia="宋体" w:cs="宋体"/>
          <w:sz w:val="24"/>
          <w:szCs w:val="24"/>
        </w:rPr>
        <w:t xml:space="preserve"> </w:t>
      </w:r>
      <w:r>
        <w:rPr>
          <w:rFonts w:ascii="Times New Roman" w:hAnsi="Times New Roman" w:eastAsia="Times New Roman" w:cs="Times New Roman"/>
          <w:spacing w:val="-4"/>
          <w:sz w:val="24"/>
          <w:szCs w:val="24"/>
        </w:rPr>
        <w:t>GB3095</w:t>
      </w:r>
      <w:r>
        <w:rPr>
          <w:rFonts w:ascii="Times New Roman" w:hAnsi="Times New Roman" w:eastAsia="Times New Roman" w:cs="Times New Roman"/>
          <w:spacing w:val="40"/>
          <w:sz w:val="24"/>
          <w:szCs w:val="24"/>
        </w:rPr>
        <w:t xml:space="preserve"> </w:t>
      </w:r>
      <w:r>
        <w:rPr>
          <w:rFonts w:ascii="宋体" w:hAnsi="宋体" w:eastAsia="宋体" w:cs="宋体"/>
          <w:spacing w:val="-4"/>
          <w:sz w:val="24"/>
          <w:szCs w:val="24"/>
        </w:rPr>
        <w:t>中</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小时平均质量浓度的二级浓度限值。</w:t>
      </w:r>
    </w:p>
    <w:p w14:paraId="0F5705F8">
      <w:pPr>
        <w:spacing w:before="21" w:line="218" w:lineRule="auto"/>
        <w:ind w:left="77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）估算模型参数</w:t>
      </w:r>
    </w:p>
    <w:p w14:paraId="097565EB">
      <w:pPr>
        <w:spacing w:before="185" w:line="218" w:lineRule="auto"/>
        <w:ind w:left="762"/>
        <w:rPr>
          <w:rFonts w:ascii="宋体" w:hAnsi="宋体" w:eastAsia="宋体" w:cs="宋体"/>
          <w:sz w:val="24"/>
          <w:szCs w:val="24"/>
        </w:rPr>
      </w:pPr>
      <w:r>
        <w:rPr>
          <w:rFonts w:ascii="宋体" w:hAnsi="宋体" w:eastAsia="宋体" w:cs="宋体"/>
          <w:spacing w:val="-1"/>
          <w:sz w:val="24"/>
          <w:szCs w:val="24"/>
        </w:rPr>
        <w:t>本项目估算模式参数见表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2.5-2</w:t>
      </w:r>
      <w:r>
        <w:rPr>
          <w:rFonts w:ascii="宋体" w:hAnsi="宋体" w:eastAsia="宋体" w:cs="宋体"/>
          <w:spacing w:val="-1"/>
          <w:sz w:val="24"/>
          <w:szCs w:val="24"/>
        </w:rPr>
        <w:t>。</w:t>
      </w:r>
    </w:p>
    <w:p w14:paraId="5ADB6AA2">
      <w:pPr>
        <w:spacing w:before="107" w:line="213" w:lineRule="auto"/>
        <w:ind w:left="300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2.5-2    </w:t>
      </w:r>
      <w:r>
        <w:rPr>
          <w:rFonts w:ascii="宋体" w:hAnsi="宋体" w:eastAsia="宋体" w:cs="宋体"/>
          <w:spacing w:val="-1"/>
          <w:sz w:val="24"/>
          <w:szCs w:val="24"/>
        </w:rPr>
        <w:t>估算模式参数表</w:t>
      </w:r>
    </w:p>
    <w:tbl>
      <w:tblPr>
        <w:tblStyle w:val="5"/>
        <w:tblW w:w="8164" w:type="dxa"/>
        <w:tblInd w:w="2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1"/>
        <w:gridCol w:w="2754"/>
        <w:gridCol w:w="2759"/>
      </w:tblGrid>
      <w:tr w14:paraId="259BD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405" w:type="dxa"/>
            <w:gridSpan w:val="2"/>
            <w:vAlign w:val="top"/>
          </w:tcPr>
          <w:p w14:paraId="6EDF72D1">
            <w:pPr>
              <w:pStyle w:val="6"/>
              <w:spacing w:before="56" w:line="228" w:lineRule="auto"/>
              <w:ind w:left="2500"/>
            </w:pPr>
            <w:r>
              <w:rPr>
                <w:spacing w:val="3"/>
              </w:rPr>
              <w:t>参数</w:t>
            </w:r>
          </w:p>
        </w:tc>
        <w:tc>
          <w:tcPr>
            <w:tcW w:w="2759" w:type="dxa"/>
            <w:vAlign w:val="top"/>
          </w:tcPr>
          <w:p w14:paraId="4FC9CBE3">
            <w:pPr>
              <w:pStyle w:val="6"/>
              <w:spacing w:before="56" w:line="228" w:lineRule="auto"/>
              <w:ind w:left="1176"/>
            </w:pPr>
            <w:r>
              <w:rPr>
                <w:spacing w:val="3"/>
              </w:rPr>
              <w:t>取值</w:t>
            </w:r>
          </w:p>
        </w:tc>
      </w:tr>
      <w:tr w14:paraId="551AA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51" w:type="dxa"/>
            <w:vMerge w:val="restart"/>
            <w:tcBorders>
              <w:bottom w:val="nil"/>
            </w:tcBorders>
            <w:vAlign w:val="top"/>
          </w:tcPr>
          <w:p w14:paraId="3B06CA34">
            <w:pPr>
              <w:pStyle w:val="6"/>
              <w:spacing w:before="213" w:line="226" w:lineRule="auto"/>
              <w:ind w:left="672"/>
            </w:pPr>
            <w:r>
              <w:rPr>
                <w:spacing w:val="7"/>
              </w:rPr>
              <w:t>城市</w:t>
            </w:r>
            <w:r>
              <w:rPr>
                <w:rFonts w:ascii="Times New Roman" w:hAnsi="Times New Roman" w:eastAsia="Times New Roman" w:cs="Times New Roman"/>
                <w:spacing w:val="7"/>
              </w:rPr>
              <w:t>/</w:t>
            </w:r>
            <w:r>
              <w:rPr>
                <w:spacing w:val="7"/>
              </w:rPr>
              <w:t>农村选项</w:t>
            </w:r>
          </w:p>
        </w:tc>
        <w:tc>
          <w:tcPr>
            <w:tcW w:w="2754" w:type="dxa"/>
            <w:vAlign w:val="top"/>
          </w:tcPr>
          <w:p w14:paraId="6FFD35DB">
            <w:pPr>
              <w:pStyle w:val="6"/>
              <w:spacing w:before="52" w:line="226" w:lineRule="auto"/>
              <w:ind w:left="934"/>
            </w:pPr>
            <w:r>
              <w:rPr>
                <w:spacing w:val="6"/>
              </w:rPr>
              <w:t>城市</w:t>
            </w:r>
            <w:r>
              <w:rPr>
                <w:rFonts w:ascii="Times New Roman" w:hAnsi="Times New Roman" w:eastAsia="Times New Roman" w:cs="Times New Roman"/>
                <w:spacing w:val="6"/>
              </w:rPr>
              <w:t>/</w:t>
            </w:r>
            <w:r>
              <w:rPr>
                <w:spacing w:val="6"/>
              </w:rPr>
              <w:t>农村</w:t>
            </w:r>
          </w:p>
        </w:tc>
        <w:tc>
          <w:tcPr>
            <w:tcW w:w="2759" w:type="dxa"/>
            <w:vAlign w:val="top"/>
          </w:tcPr>
          <w:p w14:paraId="7C36301B">
            <w:pPr>
              <w:pStyle w:val="6"/>
              <w:spacing w:before="52" w:line="227" w:lineRule="auto"/>
              <w:ind w:left="1173"/>
            </w:pPr>
            <w:r>
              <w:rPr>
                <w:spacing w:val="4"/>
              </w:rPr>
              <w:t>农村</w:t>
            </w:r>
          </w:p>
        </w:tc>
      </w:tr>
      <w:tr w14:paraId="3708D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51" w:type="dxa"/>
            <w:vMerge w:val="continue"/>
            <w:tcBorders>
              <w:top w:val="nil"/>
            </w:tcBorders>
            <w:vAlign w:val="top"/>
          </w:tcPr>
          <w:p w14:paraId="3A2CB67B">
            <w:pPr>
              <w:rPr>
                <w:rFonts w:ascii="Arial"/>
                <w:sz w:val="21"/>
              </w:rPr>
            </w:pPr>
          </w:p>
        </w:tc>
        <w:tc>
          <w:tcPr>
            <w:tcW w:w="2754" w:type="dxa"/>
            <w:vAlign w:val="top"/>
          </w:tcPr>
          <w:p w14:paraId="60D5DE46">
            <w:pPr>
              <w:pStyle w:val="6"/>
              <w:spacing w:before="52" w:line="226" w:lineRule="auto"/>
              <w:ind w:left="334"/>
            </w:pPr>
            <w:r>
              <w:rPr>
                <w:spacing w:val="7"/>
              </w:rPr>
              <w:t>人口数（城市选项时）</w:t>
            </w:r>
          </w:p>
        </w:tc>
        <w:tc>
          <w:tcPr>
            <w:tcW w:w="2759" w:type="dxa"/>
            <w:vAlign w:val="top"/>
          </w:tcPr>
          <w:p w14:paraId="6D23D2B6">
            <w:pPr>
              <w:spacing w:before="84" w:line="199" w:lineRule="auto"/>
              <w:ind w:left="1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74FF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05" w:type="dxa"/>
            <w:gridSpan w:val="2"/>
            <w:vAlign w:val="top"/>
          </w:tcPr>
          <w:p w14:paraId="1DB46FEB">
            <w:pPr>
              <w:pStyle w:val="6"/>
              <w:spacing w:before="52" w:line="228" w:lineRule="auto"/>
              <w:ind w:left="1949"/>
            </w:pPr>
            <w:r>
              <w:rPr>
                <w:spacing w:val="7"/>
              </w:rPr>
              <w:t>最高环境温度</w:t>
            </w:r>
            <w:r>
              <w:rPr>
                <w:rFonts w:ascii="Times New Roman" w:hAnsi="Times New Roman" w:eastAsia="Times New Roman" w:cs="Times New Roman"/>
                <w:spacing w:val="7"/>
              </w:rPr>
              <w:t>/</w:t>
            </w:r>
            <w:r>
              <w:rPr>
                <w:spacing w:val="7"/>
              </w:rPr>
              <w:t>℃</w:t>
            </w:r>
          </w:p>
        </w:tc>
        <w:tc>
          <w:tcPr>
            <w:tcW w:w="2759" w:type="dxa"/>
            <w:vAlign w:val="top"/>
          </w:tcPr>
          <w:p w14:paraId="2FDAF405">
            <w:pPr>
              <w:spacing w:before="88" w:line="195" w:lineRule="auto"/>
              <w:ind w:left="1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32.8</w:t>
            </w:r>
          </w:p>
        </w:tc>
      </w:tr>
      <w:tr w14:paraId="25C33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05" w:type="dxa"/>
            <w:gridSpan w:val="2"/>
            <w:vAlign w:val="top"/>
          </w:tcPr>
          <w:p w14:paraId="39BE5DBD">
            <w:pPr>
              <w:pStyle w:val="6"/>
              <w:spacing w:before="52" w:line="226" w:lineRule="auto"/>
              <w:ind w:left="1949"/>
            </w:pPr>
            <w:r>
              <w:rPr>
                <w:spacing w:val="7"/>
              </w:rPr>
              <w:t>最低环境温度</w:t>
            </w:r>
            <w:r>
              <w:rPr>
                <w:rFonts w:ascii="Times New Roman" w:hAnsi="Times New Roman" w:eastAsia="Times New Roman" w:cs="Times New Roman"/>
                <w:spacing w:val="7"/>
              </w:rPr>
              <w:t>/</w:t>
            </w:r>
            <w:r>
              <w:rPr>
                <w:spacing w:val="7"/>
              </w:rPr>
              <w:t>℃</w:t>
            </w:r>
          </w:p>
        </w:tc>
        <w:tc>
          <w:tcPr>
            <w:tcW w:w="2759" w:type="dxa"/>
            <w:vAlign w:val="top"/>
          </w:tcPr>
          <w:p w14:paraId="53C99D01">
            <w:pPr>
              <w:spacing w:before="88" w:line="195"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-47.5</w:t>
            </w:r>
          </w:p>
        </w:tc>
      </w:tr>
      <w:tr w14:paraId="2F73B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05" w:type="dxa"/>
            <w:gridSpan w:val="2"/>
            <w:vAlign w:val="top"/>
          </w:tcPr>
          <w:p w14:paraId="388F1448">
            <w:pPr>
              <w:pStyle w:val="6"/>
              <w:spacing w:before="54" w:line="228" w:lineRule="auto"/>
              <w:ind w:left="2079"/>
            </w:pPr>
            <w:r>
              <w:rPr>
                <w:spacing w:val="8"/>
              </w:rPr>
              <w:t>土地利用类型</w:t>
            </w:r>
          </w:p>
        </w:tc>
        <w:tc>
          <w:tcPr>
            <w:tcW w:w="2759" w:type="dxa"/>
            <w:vAlign w:val="top"/>
          </w:tcPr>
          <w:p w14:paraId="3C951382">
            <w:pPr>
              <w:pStyle w:val="6"/>
              <w:spacing w:before="54" w:line="228" w:lineRule="auto"/>
              <w:ind w:left="1175"/>
            </w:pPr>
            <w:r>
              <w:rPr>
                <w:spacing w:val="3"/>
              </w:rPr>
              <w:t>草地</w:t>
            </w:r>
          </w:p>
        </w:tc>
      </w:tr>
      <w:tr w14:paraId="4CE4A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05" w:type="dxa"/>
            <w:gridSpan w:val="2"/>
            <w:vAlign w:val="top"/>
          </w:tcPr>
          <w:p w14:paraId="64205F69">
            <w:pPr>
              <w:pStyle w:val="6"/>
              <w:spacing w:before="53" w:line="228" w:lineRule="auto"/>
              <w:ind w:left="2094"/>
            </w:pPr>
            <w:r>
              <w:rPr>
                <w:spacing w:val="5"/>
              </w:rPr>
              <w:t>区域湿度条件</w:t>
            </w:r>
          </w:p>
        </w:tc>
        <w:tc>
          <w:tcPr>
            <w:tcW w:w="2759" w:type="dxa"/>
            <w:vAlign w:val="top"/>
          </w:tcPr>
          <w:p w14:paraId="550CC594">
            <w:pPr>
              <w:pStyle w:val="6"/>
              <w:spacing w:before="53" w:line="227" w:lineRule="auto"/>
              <w:ind w:left="964"/>
            </w:pPr>
            <w:r>
              <w:rPr>
                <w:spacing w:val="7"/>
              </w:rPr>
              <w:t>干燥气候</w:t>
            </w:r>
          </w:p>
        </w:tc>
      </w:tr>
      <w:tr w14:paraId="419F8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51" w:type="dxa"/>
            <w:vMerge w:val="restart"/>
            <w:tcBorders>
              <w:bottom w:val="nil"/>
            </w:tcBorders>
            <w:vAlign w:val="top"/>
          </w:tcPr>
          <w:p w14:paraId="31A274C1">
            <w:pPr>
              <w:pStyle w:val="6"/>
              <w:spacing w:before="214" w:line="227" w:lineRule="auto"/>
              <w:ind w:left="704"/>
            </w:pPr>
            <w:r>
              <w:rPr>
                <w:spacing w:val="7"/>
              </w:rPr>
              <w:t>是否考虑地形</w:t>
            </w:r>
          </w:p>
        </w:tc>
        <w:tc>
          <w:tcPr>
            <w:tcW w:w="2754" w:type="dxa"/>
            <w:vAlign w:val="top"/>
          </w:tcPr>
          <w:p w14:paraId="0B6FDD6E">
            <w:pPr>
              <w:pStyle w:val="6"/>
              <w:spacing w:before="53" w:line="227" w:lineRule="auto"/>
              <w:ind w:left="963"/>
            </w:pPr>
            <w:r>
              <w:rPr>
                <w:spacing w:val="7"/>
              </w:rPr>
              <w:t>考虑地形</w:t>
            </w:r>
          </w:p>
        </w:tc>
        <w:tc>
          <w:tcPr>
            <w:tcW w:w="2759" w:type="dxa"/>
            <w:vAlign w:val="top"/>
          </w:tcPr>
          <w:p w14:paraId="1B4A0FB7">
            <w:pPr>
              <w:pStyle w:val="6"/>
              <w:spacing w:before="53" w:line="231" w:lineRule="auto"/>
              <w:ind w:left="1282"/>
            </w:pPr>
            <w:r>
              <w:t>是</w:t>
            </w:r>
          </w:p>
        </w:tc>
      </w:tr>
      <w:tr w14:paraId="675ED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651" w:type="dxa"/>
            <w:vMerge w:val="continue"/>
            <w:tcBorders>
              <w:top w:val="nil"/>
            </w:tcBorders>
            <w:vAlign w:val="top"/>
          </w:tcPr>
          <w:p w14:paraId="64146D09">
            <w:pPr>
              <w:rPr>
                <w:rFonts w:ascii="Arial"/>
                <w:sz w:val="21"/>
              </w:rPr>
            </w:pPr>
          </w:p>
        </w:tc>
        <w:tc>
          <w:tcPr>
            <w:tcW w:w="2754" w:type="dxa"/>
            <w:vAlign w:val="top"/>
          </w:tcPr>
          <w:p w14:paraId="30816A09">
            <w:pPr>
              <w:pStyle w:val="6"/>
              <w:spacing w:before="53" w:line="228" w:lineRule="auto"/>
              <w:ind w:left="536"/>
              <w:rPr>
                <w:rFonts w:ascii="Times New Roman" w:hAnsi="Times New Roman" w:eastAsia="Times New Roman" w:cs="Times New Roman"/>
              </w:rPr>
            </w:pPr>
            <w:r>
              <w:rPr>
                <w:spacing w:val="7"/>
              </w:rPr>
              <w:t>地形数据分辨率</w:t>
            </w:r>
            <w:r>
              <w:rPr>
                <w:rFonts w:ascii="Times New Roman" w:hAnsi="Times New Roman" w:eastAsia="Times New Roman" w:cs="Times New Roman"/>
                <w:spacing w:val="7"/>
              </w:rPr>
              <w:t>/m</w:t>
            </w:r>
          </w:p>
        </w:tc>
        <w:tc>
          <w:tcPr>
            <w:tcW w:w="2759" w:type="dxa"/>
            <w:vAlign w:val="top"/>
          </w:tcPr>
          <w:p w14:paraId="72428A3B">
            <w:pPr>
              <w:spacing w:before="90" w:line="195" w:lineRule="auto"/>
              <w:ind w:left="1279"/>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64CEB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51" w:type="dxa"/>
            <w:vMerge w:val="restart"/>
            <w:tcBorders>
              <w:bottom w:val="nil"/>
            </w:tcBorders>
            <w:vAlign w:val="top"/>
          </w:tcPr>
          <w:p w14:paraId="66E9E04D">
            <w:pPr>
              <w:spacing w:line="308" w:lineRule="auto"/>
              <w:rPr>
                <w:rFonts w:ascii="Arial"/>
                <w:sz w:val="21"/>
              </w:rPr>
            </w:pPr>
          </w:p>
          <w:p w14:paraId="0094AC8D">
            <w:pPr>
              <w:pStyle w:val="6"/>
              <w:spacing w:before="65" w:line="224" w:lineRule="auto"/>
              <w:ind w:left="495"/>
            </w:pPr>
            <w:r>
              <w:rPr>
                <w:spacing w:val="8"/>
              </w:rPr>
              <w:t>是否考虑岸线熏烟</w:t>
            </w:r>
          </w:p>
        </w:tc>
        <w:tc>
          <w:tcPr>
            <w:tcW w:w="2754" w:type="dxa"/>
            <w:vAlign w:val="top"/>
          </w:tcPr>
          <w:p w14:paraId="7DA117F9">
            <w:pPr>
              <w:pStyle w:val="6"/>
              <w:spacing w:before="53" w:line="224" w:lineRule="auto"/>
              <w:ind w:left="752"/>
            </w:pPr>
            <w:r>
              <w:rPr>
                <w:spacing w:val="8"/>
              </w:rPr>
              <w:t>考虑岸线熏烟</w:t>
            </w:r>
          </w:p>
        </w:tc>
        <w:tc>
          <w:tcPr>
            <w:tcW w:w="2759" w:type="dxa"/>
            <w:vAlign w:val="top"/>
          </w:tcPr>
          <w:p w14:paraId="28518671">
            <w:pPr>
              <w:pStyle w:val="6"/>
              <w:spacing w:before="54" w:line="228" w:lineRule="auto"/>
              <w:ind w:left="1285"/>
            </w:pPr>
            <w:r>
              <w:t>否</w:t>
            </w:r>
          </w:p>
        </w:tc>
      </w:tr>
      <w:tr w14:paraId="29AF0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51" w:type="dxa"/>
            <w:vMerge w:val="continue"/>
            <w:tcBorders>
              <w:top w:val="nil"/>
              <w:bottom w:val="nil"/>
            </w:tcBorders>
            <w:vAlign w:val="top"/>
          </w:tcPr>
          <w:p w14:paraId="358B9B34">
            <w:pPr>
              <w:rPr>
                <w:rFonts w:ascii="Arial"/>
                <w:sz w:val="21"/>
              </w:rPr>
            </w:pPr>
          </w:p>
        </w:tc>
        <w:tc>
          <w:tcPr>
            <w:tcW w:w="2754" w:type="dxa"/>
            <w:vAlign w:val="top"/>
          </w:tcPr>
          <w:p w14:paraId="255B82C0">
            <w:pPr>
              <w:pStyle w:val="6"/>
              <w:spacing w:before="54" w:line="228" w:lineRule="auto"/>
              <w:ind w:left="798"/>
              <w:rPr>
                <w:rFonts w:ascii="Times New Roman" w:hAnsi="Times New Roman" w:eastAsia="Times New Roman" w:cs="Times New Roman"/>
              </w:rPr>
            </w:pPr>
            <w:r>
              <w:rPr>
                <w:spacing w:val="9"/>
              </w:rPr>
              <w:t>岸线距离</w:t>
            </w:r>
            <w:r>
              <w:rPr>
                <w:rFonts w:ascii="Times New Roman" w:hAnsi="Times New Roman" w:eastAsia="Times New Roman" w:cs="Times New Roman"/>
                <w:spacing w:val="9"/>
              </w:rPr>
              <w:t>/</w:t>
            </w:r>
            <w:r>
              <w:rPr>
                <w:rFonts w:ascii="Times New Roman" w:hAnsi="Times New Roman" w:eastAsia="Times New Roman" w:cs="Times New Roman"/>
              </w:rPr>
              <w:t>km</w:t>
            </w:r>
          </w:p>
        </w:tc>
        <w:tc>
          <w:tcPr>
            <w:tcW w:w="2759" w:type="dxa"/>
            <w:vAlign w:val="top"/>
          </w:tcPr>
          <w:p w14:paraId="2B5C86DD">
            <w:pPr>
              <w:spacing w:before="86" w:line="199" w:lineRule="auto"/>
              <w:ind w:left="1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1D61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651" w:type="dxa"/>
            <w:vMerge w:val="continue"/>
            <w:tcBorders>
              <w:top w:val="nil"/>
            </w:tcBorders>
            <w:vAlign w:val="top"/>
          </w:tcPr>
          <w:p w14:paraId="42A32360">
            <w:pPr>
              <w:rPr>
                <w:rFonts w:ascii="Arial"/>
                <w:sz w:val="21"/>
              </w:rPr>
            </w:pPr>
          </w:p>
        </w:tc>
        <w:tc>
          <w:tcPr>
            <w:tcW w:w="2754" w:type="dxa"/>
            <w:vAlign w:val="top"/>
          </w:tcPr>
          <w:p w14:paraId="51D18617">
            <w:pPr>
              <w:pStyle w:val="6"/>
              <w:spacing w:before="57" w:line="228" w:lineRule="auto"/>
              <w:ind w:left="901"/>
              <w:rPr>
                <w:rFonts w:ascii="Times New Roman" w:hAnsi="Times New Roman" w:eastAsia="Times New Roman" w:cs="Times New Roman"/>
              </w:rPr>
            </w:pPr>
            <w:r>
              <w:rPr>
                <w:spacing w:val="6"/>
              </w:rPr>
              <w:t>岸线方向</w:t>
            </w:r>
            <w:r>
              <w:rPr>
                <w:rFonts w:ascii="Times New Roman" w:hAnsi="Times New Roman" w:eastAsia="Times New Roman" w:cs="Times New Roman"/>
                <w:spacing w:val="6"/>
              </w:rPr>
              <w:t>/º</w:t>
            </w:r>
          </w:p>
        </w:tc>
        <w:tc>
          <w:tcPr>
            <w:tcW w:w="2759" w:type="dxa"/>
            <w:vAlign w:val="top"/>
          </w:tcPr>
          <w:p w14:paraId="34939824">
            <w:pPr>
              <w:spacing w:before="89" w:line="199" w:lineRule="auto"/>
              <w:ind w:left="13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141D335F">
      <w:pPr>
        <w:spacing w:before="118" w:line="219" w:lineRule="auto"/>
        <w:ind w:left="77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）源强参数</w:t>
      </w:r>
    </w:p>
    <w:p w14:paraId="7B09124A">
      <w:pPr>
        <w:spacing w:before="182" w:line="219" w:lineRule="auto"/>
        <w:ind w:left="762"/>
        <w:rPr>
          <w:rFonts w:ascii="宋体" w:hAnsi="宋体" w:eastAsia="宋体" w:cs="宋体"/>
          <w:sz w:val="24"/>
          <w:szCs w:val="24"/>
        </w:rPr>
      </w:pPr>
      <w:r>
        <w:rPr>
          <w:rFonts w:ascii="宋体" w:hAnsi="宋体" w:eastAsia="宋体" w:cs="宋体"/>
          <w:spacing w:val="-2"/>
          <w:sz w:val="24"/>
          <w:szCs w:val="24"/>
        </w:rPr>
        <w:t>本项目源强参数见表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2.5-3</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2.5-</w:t>
      </w:r>
      <w:r>
        <w:rPr>
          <w:rFonts w:ascii="Times New Roman" w:hAnsi="Times New Roman" w:eastAsia="Times New Roman" w:cs="Times New Roman"/>
          <w:spacing w:val="-3"/>
          <w:sz w:val="24"/>
          <w:szCs w:val="24"/>
        </w:rPr>
        <w:t>4</w:t>
      </w:r>
      <w:r>
        <w:rPr>
          <w:rFonts w:ascii="宋体" w:hAnsi="宋体" w:eastAsia="宋体" w:cs="宋体"/>
          <w:spacing w:val="-3"/>
          <w:sz w:val="24"/>
          <w:szCs w:val="24"/>
        </w:rPr>
        <w:t>。</w:t>
      </w:r>
    </w:p>
    <w:p w14:paraId="4098B049">
      <w:pPr>
        <w:spacing w:before="105" w:line="212" w:lineRule="auto"/>
        <w:ind w:left="21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2.5-3    </w:t>
      </w:r>
      <w:r>
        <w:rPr>
          <w:rFonts w:ascii="宋体" w:hAnsi="宋体" w:eastAsia="宋体" w:cs="宋体"/>
          <w:spacing w:val="-1"/>
          <w:sz w:val="24"/>
          <w:szCs w:val="24"/>
        </w:rPr>
        <w:t>项目有组织点源源强参数一览表</w:t>
      </w:r>
    </w:p>
    <w:tbl>
      <w:tblPr>
        <w:tblStyle w:val="5"/>
        <w:tblW w:w="88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
        <w:gridCol w:w="960"/>
        <w:gridCol w:w="1027"/>
        <w:gridCol w:w="763"/>
        <w:gridCol w:w="844"/>
        <w:gridCol w:w="536"/>
        <w:gridCol w:w="673"/>
        <w:gridCol w:w="748"/>
        <w:gridCol w:w="527"/>
        <w:gridCol w:w="894"/>
        <w:gridCol w:w="587"/>
        <w:gridCol w:w="951"/>
      </w:tblGrid>
      <w:tr w14:paraId="044C5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339" w:type="dxa"/>
            <w:vMerge w:val="restart"/>
            <w:tcBorders>
              <w:bottom w:val="nil"/>
            </w:tcBorders>
            <w:textDirection w:val="tbRlV"/>
            <w:vAlign w:val="top"/>
          </w:tcPr>
          <w:p w14:paraId="4C8E9429">
            <w:pPr>
              <w:pStyle w:val="6"/>
              <w:spacing w:before="64" w:line="214" w:lineRule="auto"/>
              <w:ind w:left="600"/>
            </w:pPr>
            <w:r>
              <w:rPr>
                <w:spacing w:val="6"/>
              </w:rPr>
              <w:t>编 号</w:t>
            </w:r>
          </w:p>
        </w:tc>
        <w:tc>
          <w:tcPr>
            <w:tcW w:w="960" w:type="dxa"/>
            <w:vMerge w:val="restart"/>
            <w:tcBorders>
              <w:bottom w:val="nil"/>
            </w:tcBorders>
            <w:vAlign w:val="top"/>
          </w:tcPr>
          <w:p w14:paraId="3DAFCB88">
            <w:pPr>
              <w:spacing w:line="343" w:lineRule="auto"/>
              <w:rPr>
                <w:rFonts w:ascii="Arial"/>
                <w:sz w:val="21"/>
              </w:rPr>
            </w:pPr>
          </w:p>
          <w:p w14:paraId="48222427">
            <w:pPr>
              <w:spacing w:line="344" w:lineRule="auto"/>
              <w:rPr>
                <w:rFonts w:ascii="Arial"/>
                <w:sz w:val="21"/>
              </w:rPr>
            </w:pPr>
          </w:p>
          <w:p w14:paraId="55FD4CA2">
            <w:pPr>
              <w:pStyle w:val="6"/>
              <w:spacing w:before="65" w:line="230" w:lineRule="auto"/>
              <w:ind w:left="275"/>
            </w:pPr>
            <w:r>
              <w:rPr>
                <w:spacing w:val="3"/>
              </w:rPr>
              <w:t>名称</w:t>
            </w:r>
          </w:p>
        </w:tc>
        <w:tc>
          <w:tcPr>
            <w:tcW w:w="1790" w:type="dxa"/>
            <w:gridSpan w:val="2"/>
            <w:vAlign w:val="top"/>
          </w:tcPr>
          <w:p w14:paraId="55F5B9BE">
            <w:pPr>
              <w:spacing w:line="331" w:lineRule="auto"/>
              <w:rPr>
                <w:rFonts w:ascii="Arial"/>
                <w:sz w:val="21"/>
              </w:rPr>
            </w:pPr>
          </w:p>
          <w:p w14:paraId="0CAEDE9F">
            <w:pPr>
              <w:pStyle w:val="6"/>
              <w:spacing w:before="65" w:line="290" w:lineRule="auto"/>
              <w:ind w:left="682" w:right="56" w:hanging="624"/>
              <w:rPr>
                <w:rFonts w:ascii="Times New Roman" w:hAnsi="Times New Roman" w:eastAsia="Times New Roman" w:cs="Times New Roman"/>
              </w:rPr>
            </w:pPr>
            <w:r>
              <w:rPr>
                <w:spacing w:val="8"/>
              </w:rPr>
              <w:t>排气筒底部中心坐</w:t>
            </w:r>
            <w:r>
              <w:rPr>
                <w:spacing w:val="4"/>
              </w:rPr>
              <w:t xml:space="preserve"> </w:t>
            </w:r>
            <w:r>
              <w:rPr>
                <w:spacing w:val="3"/>
              </w:rPr>
              <w:t>标</w:t>
            </w:r>
            <w:r>
              <w:rPr>
                <w:rFonts w:ascii="Times New Roman" w:hAnsi="Times New Roman" w:eastAsia="Times New Roman" w:cs="Times New Roman"/>
                <w:spacing w:val="3"/>
              </w:rPr>
              <w:t>/m</w:t>
            </w:r>
          </w:p>
        </w:tc>
        <w:tc>
          <w:tcPr>
            <w:tcW w:w="844" w:type="dxa"/>
            <w:vMerge w:val="restart"/>
            <w:tcBorders>
              <w:bottom w:val="nil"/>
            </w:tcBorders>
            <w:vAlign w:val="top"/>
          </w:tcPr>
          <w:p w14:paraId="003BBD4D">
            <w:pPr>
              <w:pStyle w:val="6"/>
              <w:spacing w:before="288" w:line="227" w:lineRule="auto"/>
              <w:ind w:left="112"/>
            </w:pPr>
            <w:r>
              <w:rPr>
                <w:spacing w:val="6"/>
              </w:rPr>
              <w:t>排气筒</w:t>
            </w:r>
          </w:p>
          <w:p w14:paraId="392035F6">
            <w:pPr>
              <w:pStyle w:val="6"/>
              <w:spacing w:before="66" w:line="226" w:lineRule="auto"/>
              <w:ind w:left="111"/>
            </w:pPr>
            <w:r>
              <w:rPr>
                <w:spacing w:val="7"/>
              </w:rPr>
              <w:t>底部海</w:t>
            </w:r>
          </w:p>
          <w:p w14:paraId="2E0CBA3A">
            <w:pPr>
              <w:pStyle w:val="6"/>
              <w:spacing w:before="66" w:line="228" w:lineRule="auto"/>
              <w:ind w:left="112"/>
            </w:pPr>
            <w:r>
              <w:rPr>
                <w:spacing w:val="6"/>
              </w:rPr>
              <w:t>拔高度</w:t>
            </w:r>
          </w:p>
          <w:p w14:paraId="6E3C0D14">
            <w:pPr>
              <w:spacing w:before="97"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536" w:type="dxa"/>
            <w:vMerge w:val="restart"/>
            <w:tcBorders>
              <w:bottom w:val="nil"/>
            </w:tcBorders>
            <w:vAlign w:val="top"/>
          </w:tcPr>
          <w:p w14:paraId="61630B43">
            <w:pPr>
              <w:spacing w:line="377" w:lineRule="auto"/>
              <w:rPr>
                <w:rFonts w:ascii="Arial"/>
                <w:sz w:val="21"/>
              </w:rPr>
            </w:pPr>
          </w:p>
          <w:p w14:paraId="11AA9573">
            <w:pPr>
              <w:pStyle w:val="6"/>
              <w:spacing w:before="65" w:line="227" w:lineRule="auto"/>
              <w:ind w:left="64"/>
            </w:pPr>
            <w:r>
              <w:rPr>
                <w:spacing w:val="4"/>
              </w:rPr>
              <w:t>排气</w:t>
            </w:r>
          </w:p>
          <w:p w14:paraId="4DB4BF26">
            <w:pPr>
              <w:pStyle w:val="6"/>
              <w:spacing w:before="65" w:line="290" w:lineRule="auto"/>
              <w:ind w:left="56" w:right="50" w:firstLine="11"/>
              <w:rPr>
                <w:rFonts w:ascii="Times New Roman" w:hAnsi="Times New Roman" w:eastAsia="Times New Roman" w:cs="Times New Roman"/>
              </w:rPr>
            </w:pPr>
            <w:r>
              <w:rPr>
                <w:spacing w:val="3"/>
              </w:rPr>
              <w:t>筒高</w:t>
            </w:r>
            <w:r>
              <w:t xml:space="preserve"> </w:t>
            </w:r>
            <w:r>
              <w:rPr>
                <w:spacing w:val="4"/>
              </w:rPr>
              <w:t>度</w:t>
            </w:r>
            <w:r>
              <w:rPr>
                <w:rFonts w:ascii="Times New Roman" w:hAnsi="Times New Roman" w:eastAsia="Times New Roman" w:cs="Times New Roman"/>
                <w:spacing w:val="4"/>
              </w:rPr>
              <w:t>/m</w:t>
            </w:r>
          </w:p>
        </w:tc>
        <w:tc>
          <w:tcPr>
            <w:tcW w:w="673" w:type="dxa"/>
            <w:vMerge w:val="restart"/>
            <w:tcBorders>
              <w:bottom w:val="nil"/>
            </w:tcBorders>
            <w:vAlign w:val="top"/>
          </w:tcPr>
          <w:p w14:paraId="5B4496EE">
            <w:pPr>
              <w:pStyle w:val="6"/>
              <w:spacing w:before="288" w:line="227" w:lineRule="auto"/>
              <w:ind w:left="133"/>
            </w:pPr>
            <w:r>
              <w:rPr>
                <w:spacing w:val="4"/>
              </w:rPr>
              <w:t>排气</w:t>
            </w:r>
          </w:p>
          <w:p w14:paraId="091074E5">
            <w:pPr>
              <w:pStyle w:val="6"/>
              <w:spacing w:before="65" w:line="228" w:lineRule="auto"/>
              <w:ind w:left="137"/>
            </w:pPr>
            <w:r>
              <w:rPr>
                <w:spacing w:val="3"/>
              </w:rPr>
              <w:t>筒出</w:t>
            </w:r>
          </w:p>
          <w:p w14:paraId="14359EC7">
            <w:pPr>
              <w:pStyle w:val="6"/>
              <w:spacing w:before="66" w:line="289" w:lineRule="auto"/>
              <w:ind w:left="126" w:right="118" w:firstLine="38"/>
              <w:rPr>
                <w:rFonts w:ascii="Times New Roman" w:hAnsi="Times New Roman" w:eastAsia="Times New Roman" w:cs="Times New Roman"/>
              </w:rPr>
            </w:pPr>
            <w:r>
              <w:rPr>
                <w:spacing w:val="-12"/>
              </w:rPr>
              <w:t>口内</w:t>
            </w:r>
            <w:r>
              <w:t xml:space="preserve"> </w:t>
            </w:r>
            <w:r>
              <w:rPr>
                <w:spacing w:val="3"/>
              </w:rPr>
              <w:t>径</w:t>
            </w:r>
            <w:r>
              <w:rPr>
                <w:rFonts w:ascii="Times New Roman" w:hAnsi="Times New Roman" w:eastAsia="Times New Roman" w:cs="Times New Roman"/>
                <w:spacing w:val="3"/>
              </w:rPr>
              <w:t>/m</w:t>
            </w:r>
          </w:p>
        </w:tc>
        <w:tc>
          <w:tcPr>
            <w:tcW w:w="748" w:type="dxa"/>
            <w:vMerge w:val="restart"/>
            <w:tcBorders>
              <w:bottom w:val="nil"/>
            </w:tcBorders>
            <w:vAlign w:val="top"/>
          </w:tcPr>
          <w:p w14:paraId="30DE1727">
            <w:pPr>
              <w:spacing w:line="377" w:lineRule="auto"/>
              <w:rPr>
                <w:rFonts w:ascii="Arial"/>
                <w:sz w:val="21"/>
              </w:rPr>
            </w:pPr>
          </w:p>
          <w:p w14:paraId="629FD976">
            <w:pPr>
              <w:pStyle w:val="6"/>
              <w:spacing w:before="65" w:line="227" w:lineRule="auto"/>
              <w:ind w:left="66"/>
            </w:pPr>
            <w:r>
              <w:rPr>
                <w:spacing w:val="6"/>
              </w:rPr>
              <w:t>烟气流</w:t>
            </w:r>
          </w:p>
          <w:p w14:paraId="21C0F60D">
            <w:pPr>
              <w:pStyle w:val="6"/>
              <w:spacing w:before="66" w:line="232" w:lineRule="auto"/>
              <w:ind w:left="247"/>
              <w:rPr>
                <w:rFonts w:ascii="Times New Roman" w:hAnsi="Times New Roman" w:eastAsia="Times New Roman" w:cs="Times New Roman"/>
              </w:rPr>
            </w:pPr>
            <w:r>
              <w:rPr>
                <w:spacing w:val="2"/>
              </w:rPr>
              <w:t>速</w:t>
            </w:r>
            <w:r>
              <w:rPr>
                <w:rFonts w:ascii="Times New Roman" w:hAnsi="Times New Roman" w:eastAsia="Times New Roman" w:cs="Times New Roman"/>
                <w:spacing w:val="2"/>
              </w:rPr>
              <w:t>/</w:t>
            </w:r>
          </w:p>
          <w:p w14:paraId="326B5299">
            <w:pPr>
              <w:pStyle w:val="6"/>
              <w:spacing w:before="60"/>
              <w:ind w:right="3"/>
              <w:jc w:val="right"/>
            </w:pPr>
            <w:r>
              <w:rPr>
                <w:spacing w:val="1"/>
              </w:rPr>
              <w:t>（</w:t>
            </w:r>
            <w:r>
              <w:rPr>
                <w:rFonts w:ascii="Times New Roman" w:hAnsi="Times New Roman" w:eastAsia="Times New Roman" w:cs="Times New Roman"/>
                <w:spacing w:val="1"/>
              </w:rPr>
              <w:t>m/s</w:t>
            </w:r>
            <w:r>
              <w:rPr>
                <w:spacing w:val="1"/>
              </w:rPr>
              <w:t>）</w:t>
            </w:r>
          </w:p>
        </w:tc>
        <w:tc>
          <w:tcPr>
            <w:tcW w:w="527" w:type="dxa"/>
            <w:vMerge w:val="restart"/>
            <w:tcBorders>
              <w:bottom w:val="nil"/>
            </w:tcBorders>
            <w:vAlign w:val="top"/>
          </w:tcPr>
          <w:p w14:paraId="17F10703">
            <w:pPr>
              <w:spacing w:line="377" w:lineRule="auto"/>
              <w:rPr>
                <w:rFonts w:ascii="Arial"/>
                <w:sz w:val="21"/>
              </w:rPr>
            </w:pPr>
          </w:p>
          <w:p w14:paraId="02B8A78D">
            <w:pPr>
              <w:pStyle w:val="6"/>
              <w:spacing w:before="65" w:line="227" w:lineRule="auto"/>
              <w:ind w:left="59"/>
            </w:pPr>
            <w:r>
              <w:rPr>
                <w:spacing w:val="4"/>
              </w:rPr>
              <w:t>烟气</w:t>
            </w:r>
          </w:p>
          <w:p w14:paraId="0D1A407B">
            <w:pPr>
              <w:pStyle w:val="6"/>
              <w:spacing w:before="66" w:line="228" w:lineRule="auto"/>
              <w:ind w:left="60"/>
            </w:pPr>
            <w:r>
              <w:rPr>
                <w:spacing w:val="3"/>
              </w:rPr>
              <w:t>温度</w:t>
            </w:r>
          </w:p>
          <w:p w14:paraId="2326C5E6">
            <w:pPr>
              <w:spacing w:before="96" w:line="199"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p>
        </w:tc>
        <w:tc>
          <w:tcPr>
            <w:tcW w:w="894" w:type="dxa"/>
            <w:vMerge w:val="restart"/>
            <w:tcBorders>
              <w:bottom w:val="nil"/>
            </w:tcBorders>
            <w:vAlign w:val="top"/>
          </w:tcPr>
          <w:p w14:paraId="02F46E19">
            <w:pPr>
              <w:spacing w:line="266" w:lineRule="auto"/>
              <w:rPr>
                <w:rFonts w:ascii="Arial"/>
                <w:sz w:val="21"/>
              </w:rPr>
            </w:pPr>
          </w:p>
          <w:p w14:paraId="0FEA631A">
            <w:pPr>
              <w:spacing w:line="267" w:lineRule="auto"/>
              <w:rPr>
                <w:rFonts w:ascii="Arial"/>
                <w:sz w:val="21"/>
              </w:rPr>
            </w:pPr>
          </w:p>
          <w:p w14:paraId="4D207535">
            <w:pPr>
              <w:pStyle w:val="6"/>
              <w:spacing w:before="65" w:line="289" w:lineRule="auto"/>
              <w:ind w:left="63" w:right="46" w:firstLine="76"/>
              <w:rPr>
                <w:rFonts w:ascii="Times New Roman" w:hAnsi="Times New Roman" w:eastAsia="Times New Roman" w:cs="Times New Roman"/>
              </w:rPr>
            </w:pPr>
            <w:r>
              <w:rPr>
                <w:spacing w:val="6"/>
              </w:rPr>
              <w:t>年排放</w:t>
            </w:r>
            <w:r>
              <w:t xml:space="preserve">  </w:t>
            </w:r>
            <w:r>
              <w:rPr>
                <w:spacing w:val="4"/>
              </w:rPr>
              <w:t>小时数</w:t>
            </w:r>
            <w:r>
              <w:rPr>
                <w:rFonts w:ascii="Times New Roman" w:hAnsi="Times New Roman" w:eastAsia="Times New Roman" w:cs="Times New Roman"/>
                <w:spacing w:val="4"/>
              </w:rPr>
              <w:t>/h</w:t>
            </w:r>
          </w:p>
        </w:tc>
        <w:tc>
          <w:tcPr>
            <w:tcW w:w="587" w:type="dxa"/>
            <w:vMerge w:val="restart"/>
            <w:tcBorders>
              <w:bottom w:val="nil"/>
            </w:tcBorders>
            <w:vAlign w:val="top"/>
          </w:tcPr>
          <w:p w14:paraId="3FFD6D09">
            <w:pPr>
              <w:spacing w:line="266" w:lineRule="auto"/>
              <w:rPr>
                <w:rFonts w:ascii="Arial"/>
                <w:sz w:val="21"/>
              </w:rPr>
            </w:pPr>
          </w:p>
          <w:p w14:paraId="74DC143A">
            <w:pPr>
              <w:spacing w:line="266" w:lineRule="auto"/>
              <w:rPr>
                <w:rFonts w:ascii="Arial"/>
                <w:sz w:val="21"/>
              </w:rPr>
            </w:pPr>
          </w:p>
          <w:p w14:paraId="5FD3AE95">
            <w:pPr>
              <w:pStyle w:val="6"/>
              <w:spacing w:before="65" w:line="229" w:lineRule="auto"/>
              <w:ind w:left="90"/>
            </w:pPr>
            <w:r>
              <w:rPr>
                <w:spacing w:val="4"/>
              </w:rPr>
              <w:t>排放</w:t>
            </w:r>
          </w:p>
          <w:p w14:paraId="72CBADF7">
            <w:pPr>
              <w:pStyle w:val="6"/>
              <w:spacing w:before="64" w:line="228" w:lineRule="auto"/>
              <w:ind w:left="92"/>
            </w:pPr>
            <w:r>
              <w:rPr>
                <w:spacing w:val="3"/>
              </w:rPr>
              <w:t>工况</w:t>
            </w:r>
          </w:p>
        </w:tc>
        <w:tc>
          <w:tcPr>
            <w:tcW w:w="951" w:type="dxa"/>
            <w:vAlign w:val="top"/>
          </w:tcPr>
          <w:p w14:paraId="73A59DB2">
            <w:pPr>
              <w:pStyle w:val="6"/>
              <w:spacing w:before="243" w:line="228" w:lineRule="auto"/>
              <w:ind w:left="61"/>
            </w:pPr>
            <w:r>
              <w:rPr>
                <w:spacing w:val="6"/>
              </w:rPr>
              <w:t>污染物排</w:t>
            </w:r>
          </w:p>
          <w:p w14:paraId="458B034A">
            <w:pPr>
              <w:pStyle w:val="6"/>
              <w:spacing w:before="64" w:line="228" w:lineRule="auto"/>
              <w:ind w:left="136"/>
              <w:rPr>
                <w:rFonts w:ascii="Times New Roman" w:hAnsi="Times New Roman" w:eastAsia="Times New Roman" w:cs="Times New Roman"/>
              </w:rPr>
            </w:pPr>
            <w:r>
              <w:rPr>
                <w:spacing w:val="6"/>
              </w:rPr>
              <w:t>放速率</w:t>
            </w:r>
            <w:r>
              <w:rPr>
                <w:rFonts w:ascii="Times New Roman" w:hAnsi="Times New Roman" w:eastAsia="Times New Roman" w:cs="Times New Roman"/>
                <w:spacing w:val="6"/>
              </w:rPr>
              <w:t>/</w:t>
            </w:r>
          </w:p>
          <w:p w14:paraId="5C565BCE">
            <w:pPr>
              <w:pStyle w:val="6"/>
              <w:spacing w:before="65" w:line="221" w:lineRule="auto"/>
              <w:ind w:left="94"/>
            </w:pP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r>
      <w:tr w14:paraId="0B302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339" w:type="dxa"/>
            <w:vMerge w:val="continue"/>
            <w:tcBorders>
              <w:top w:val="nil"/>
            </w:tcBorders>
            <w:textDirection w:val="tbRlV"/>
            <w:vAlign w:val="top"/>
          </w:tcPr>
          <w:p w14:paraId="0DDD60E2">
            <w:pPr>
              <w:rPr>
                <w:rFonts w:ascii="Arial"/>
                <w:sz w:val="21"/>
              </w:rPr>
            </w:pPr>
          </w:p>
        </w:tc>
        <w:tc>
          <w:tcPr>
            <w:tcW w:w="960" w:type="dxa"/>
            <w:vMerge w:val="continue"/>
            <w:tcBorders>
              <w:top w:val="nil"/>
            </w:tcBorders>
            <w:vAlign w:val="top"/>
          </w:tcPr>
          <w:p w14:paraId="279EC371">
            <w:pPr>
              <w:rPr>
                <w:rFonts w:ascii="Arial"/>
                <w:sz w:val="21"/>
              </w:rPr>
            </w:pPr>
          </w:p>
        </w:tc>
        <w:tc>
          <w:tcPr>
            <w:tcW w:w="1027" w:type="dxa"/>
            <w:vAlign w:val="top"/>
          </w:tcPr>
          <w:p w14:paraId="499FD99A">
            <w:pPr>
              <w:pStyle w:val="6"/>
              <w:spacing w:before="94" w:line="228" w:lineRule="auto"/>
              <w:ind w:left="310"/>
            </w:pPr>
            <w:r>
              <w:rPr>
                <w:spacing w:val="3"/>
              </w:rPr>
              <w:t>经度</w:t>
            </w:r>
          </w:p>
        </w:tc>
        <w:tc>
          <w:tcPr>
            <w:tcW w:w="763" w:type="dxa"/>
            <w:vAlign w:val="top"/>
          </w:tcPr>
          <w:p w14:paraId="072976E8">
            <w:pPr>
              <w:pStyle w:val="6"/>
              <w:spacing w:before="94" w:line="228" w:lineRule="auto"/>
              <w:ind w:left="177"/>
            </w:pPr>
            <w:r>
              <w:rPr>
                <w:spacing w:val="4"/>
              </w:rPr>
              <w:t>纬度</w:t>
            </w:r>
          </w:p>
        </w:tc>
        <w:tc>
          <w:tcPr>
            <w:tcW w:w="844" w:type="dxa"/>
            <w:vMerge w:val="continue"/>
            <w:tcBorders>
              <w:top w:val="nil"/>
            </w:tcBorders>
            <w:vAlign w:val="top"/>
          </w:tcPr>
          <w:p w14:paraId="0CA9DA2D">
            <w:pPr>
              <w:rPr>
                <w:rFonts w:ascii="Arial"/>
                <w:sz w:val="21"/>
              </w:rPr>
            </w:pPr>
          </w:p>
        </w:tc>
        <w:tc>
          <w:tcPr>
            <w:tcW w:w="536" w:type="dxa"/>
            <w:vMerge w:val="continue"/>
            <w:tcBorders>
              <w:top w:val="nil"/>
            </w:tcBorders>
            <w:vAlign w:val="top"/>
          </w:tcPr>
          <w:p w14:paraId="3AF55D11">
            <w:pPr>
              <w:rPr>
                <w:rFonts w:ascii="Arial"/>
                <w:sz w:val="21"/>
              </w:rPr>
            </w:pPr>
          </w:p>
        </w:tc>
        <w:tc>
          <w:tcPr>
            <w:tcW w:w="673" w:type="dxa"/>
            <w:vMerge w:val="continue"/>
            <w:tcBorders>
              <w:top w:val="nil"/>
            </w:tcBorders>
            <w:vAlign w:val="top"/>
          </w:tcPr>
          <w:p w14:paraId="42A76A0C">
            <w:pPr>
              <w:rPr>
                <w:rFonts w:ascii="Arial"/>
                <w:sz w:val="21"/>
              </w:rPr>
            </w:pPr>
          </w:p>
        </w:tc>
        <w:tc>
          <w:tcPr>
            <w:tcW w:w="748" w:type="dxa"/>
            <w:vMerge w:val="continue"/>
            <w:tcBorders>
              <w:top w:val="nil"/>
            </w:tcBorders>
            <w:vAlign w:val="top"/>
          </w:tcPr>
          <w:p w14:paraId="4E1B466C">
            <w:pPr>
              <w:rPr>
                <w:rFonts w:ascii="Arial"/>
                <w:sz w:val="21"/>
              </w:rPr>
            </w:pPr>
          </w:p>
        </w:tc>
        <w:tc>
          <w:tcPr>
            <w:tcW w:w="527" w:type="dxa"/>
            <w:vMerge w:val="continue"/>
            <w:tcBorders>
              <w:top w:val="nil"/>
            </w:tcBorders>
            <w:vAlign w:val="top"/>
          </w:tcPr>
          <w:p w14:paraId="59C77854">
            <w:pPr>
              <w:rPr>
                <w:rFonts w:ascii="Arial"/>
                <w:sz w:val="21"/>
              </w:rPr>
            </w:pPr>
          </w:p>
        </w:tc>
        <w:tc>
          <w:tcPr>
            <w:tcW w:w="894" w:type="dxa"/>
            <w:vMerge w:val="continue"/>
            <w:tcBorders>
              <w:top w:val="nil"/>
            </w:tcBorders>
            <w:vAlign w:val="top"/>
          </w:tcPr>
          <w:p w14:paraId="5971A5B5">
            <w:pPr>
              <w:rPr>
                <w:rFonts w:ascii="Arial"/>
                <w:sz w:val="21"/>
              </w:rPr>
            </w:pPr>
          </w:p>
        </w:tc>
        <w:tc>
          <w:tcPr>
            <w:tcW w:w="587" w:type="dxa"/>
            <w:vMerge w:val="continue"/>
            <w:tcBorders>
              <w:top w:val="nil"/>
            </w:tcBorders>
            <w:vAlign w:val="top"/>
          </w:tcPr>
          <w:p w14:paraId="18E74F38">
            <w:pPr>
              <w:rPr>
                <w:rFonts w:ascii="Arial"/>
                <w:sz w:val="21"/>
              </w:rPr>
            </w:pPr>
          </w:p>
        </w:tc>
        <w:tc>
          <w:tcPr>
            <w:tcW w:w="951" w:type="dxa"/>
            <w:vAlign w:val="top"/>
          </w:tcPr>
          <w:p w14:paraId="75674EB8">
            <w:pPr>
              <w:spacing w:before="133" w:line="199" w:lineRule="auto"/>
              <w:ind w:left="25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r>
    </w:tbl>
    <w:p w14:paraId="38E386C4">
      <w:pPr>
        <w:pStyle w:val="2"/>
        <w:spacing w:line="161" w:lineRule="exact"/>
        <w:rPr>
          <w:sz w:val="14"/>
        </w:rPr>
      </w:pPr>
    </w:p>
    <w:p w14:paraId="235129A4">
      <w:pPr>
        <w:spacing w:line="161" w:lineRule="exact"/>
        <w:rPr>
          <w:sz w:val="14"/>
          <w:szCs w:val="14"/>
        </w:rPr>
        <w:sectPr>
          <w:headerReference r:id="rId29" w:type="default"/>
          <w:footerReference r:id="rId30" w:type="default"/>
          <w:pgSz w:w="11906" w:h="16839"/>
          <w:pgMar w:top="1208" w:right="1526" w:bottom="1358" w:left="1525" w:header="825" w:footer="1195" w:gutter="0"/>
          <w:cols w:space="720" w:num="1"/>
        </w:sectPr>
      </w:pPr>
    </w:p>
    <w:p w14:paraId="76245D6B">
      <w:pPr>
        <w:spacing w:line="231" w:lineRule="exact"/>
      </w:pPr>
    </w:p>
    <w:tbl>
      <w:tblPr>
        <w:tblStyle w:val="5"/>
        <w:tblW w:w="8849" w:type="dxa"/>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
        <w:gridCol w:w="960"/>
        <w:gridCol w:w="1027"/>
        <w:gridCol w:w="763"/>
        <w:gridCol w:w="844"/>
        <w:gridCol w:w="536"/>
        <w:gridCol w:w="673"/>
        <w:gridCol w:w="748"/>
        <w:gridCol w:w="527"/>
        <w:gridCol w:w="894"/>
        <w:gridCol w:w="587"/>
        <w:gridCol w:w="951"/>
      </w:tblGrid>
      <w:tr w14:paraId="50D29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339" w:type="dxa"/>
            <w:vAlign w:val="top"/>
          </w:tcPr>
          <w:p w14:paraId="248E647A">
            <w:pPr>
              <w:spacing w:line="244" w:lineRule="auto"/>
              <w:rPr>
                <w:rFonts w:ascii="Arial"/>
                <w:sz w:val="21"/>
              </w:rPr>
            </w:pPr>
          </w:p>
          <w:p w14:paraId="687B0CD4">
            <w:pPr>
              <w:spacing w:before="5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60" w:type="dxa"/>
            <w:vAlign w:val="top"/>
          </w:tcPr>
          <w:p w14:paraId="060B453F">
            <w:pPr>
              <w:pStyle w:val="6"/>
              <w:spacing w:before="111" w:line="228" w:lineRule="auto"/>
              <w:ind w:left="63"/>
            </w:pPr>
            <w:r>
              <w:rPr>
                <w:spacing w:val="7"/>
              </w:rPr>
              <w:t>粗碎车间</w:t>
            </w:r>
          </w:p>
          <w:p w14:paraId="7720B7AF">
            <w:pPr>
              <w:pStyle w:val="6"/>
              <w:spacing w:before="65" w:line="227" w:lineRule="auto"/>
              <w:ind w:left="87"/>
              <w:rPr>
                <w:rFonts w:ascii="Times New Roman" w:hAnsi="Times New Roman" w:eastAsia="Times New Roman" w:cs="Times New Roman"/>
              </w:rPr>
            </w:pPr>
            <w:r>
              <w:rPr>
                <w:spacing w:val="5"/>
              </w:rPr>
              <w:t>排气筒</w:t>
            </w:r>
            <w:r>
              <w:rPr>
                <w:spacing w:val="-21"/>
              </w:rPr>
              <w:t xml:space="preserve"> </w:t>
            </w:r>
            <w:r>
              <w:rPr>
                <w:rFonts w:ascii="Times New Roman" w:hAnsi="Times New Roman" w:eastAsia="Times New Roman" w:cs="Times New Roman"/>
                <w:spacing w:val="5"/>
              </w:rPr>
              <w:t>1</w:t>
            </w:r>
          </w:p>
        </w:tc>
        <w:tc>
          <w:tcPr>
            <w:tcW w:w="1027" w:type="dxa"/>
            <w:vAlign w:val="top"/>
          </w:tcPr>
          <w:p w14:paraId="4643E6B6">
            <w:pPr>
              <w:spacing w:before="147"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118°57′36.</w:t>
            </w:r>
          </w:p>
          <w:p w14:paraId="019A3E1F">
            <w:pPr>
              <w:spacing w:before="125"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w:t>
            </w:r>
          </w:p>
        </w:tc>
        <w:tc>
          <w:tcPr>
            <w:tcW w:w="763" w:type="dxa"/>
            <w:vAlign w:val="top"/>
          </w:tcPr>
          <w:p w14:paraId="23D2AEDD">
            <w:pPr>
              <w:spacing w:before="147"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p w14:paraId="54348DBC">
            <w:pPr>
              <w:spacing w:before="125"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5.53″</w:t>
            </w:r>
          </w:p>
        </w:tc>
        <w:tc>
          <w:tcPr>
            <w:tcW w:w="844" w:type="dxa"/>
            <w:vAlign w:val="top"/>
          </w:tcPr>
          <w:p w14:paraId="5F825B81">
            <w:pPr>
              <w:spacing w:line="244" w:lineRule="auto"/>
              <w:rPr>
                <w:rFonts w:ascii="Arial"/>
                <w:sz w:val="21"/>
              </w:rPr>
            </w:pPr>
          </w:p>
          <w:p w14:paraId="342A5587">
            <w:pPr>
              <w:spacing w:before="5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c>
          <w:tcPr>
            <w:tcW w:w="536" w:type="dxa"/>
            <w:vAlign w:val="top"/>
          </w:tcPr>
          <w:p w14:paraId="50E19427">
            <w:pPr>
              <w:spacing w:line="244" w:lineRule="auto"/>
              <w:rPr>
                <w:rFonts w:ascii="Arial"/>
                <w:sz w:val="21"/>
              </w:rPr>
            </w:pPr>
          </w:p>
          <w:p w14:paraId="618D6AB5">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73" w:type="dxa"/>
            <w:vAlign w:val="top"/>
          </w:tcPr>
          <w:p w14:paraId="19F371DF">
            <w:pPr>
              <w:spacing w:line="244" w:lineRule="auto"/>
              <w:rPr>
                <w:rFonts w:ascii="Arial"/>
                <w:sz w:val="21"/>
              </w:rPr>
            </w:pPr>
          </w:p>
          <w:p w14:paraId="000E6F21">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p>
        </w:tc>
        <w:tc>
          <w:tcPr>
            <w:tcW w:w="748" w:type="dxa"/>
            <w:vAlign w:val="top"/>
          </w:tcPr>
          <w:p w14:paraId="1D4A512B">
            <w:pPr>
              <w:spacing w:line="244" w:lineRule="auto"/>
              <w:rPr>
                <w:rFonts w:ascii="Arial"/>
                <w:sz w:val="21"/>
              </w:rPr>
            </w:pPr>
          </w:p>
          <w:p w14:paraId="3C193D90">
            <w:pPr>
              <w:spacing w:before="5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18.40</w:t>
            </w:r>
          </w:p>
        </w:tc>
        <w:tc>
          <w:tcPr>
            <w:tcW w:w="527" w:type="dxa"/>
            <w:vAlign w:val="top"/>
          </w:tcPr>
          <w:p w14:paraId="0D5F6721">
            <w:pPr>
              <w:spacing w:line="244" w:lineRule="auto"/>
              <w:rPr>
                <w:rFonts w:ascii="Arial"/>
                <w:sz w:val="21"/>
              </w:rPr>
            </w:pPr>
          </w:p>
          <w:p w14:paraId="382A93B0">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94" w:type="dxa"/>
            <w:vAlign w:val="top"/>
          </w:tcPr>
          <w:p w14:paraId="6F5997FB">
            <w:pPr>
              <w:spacing w:line="244" w:lineRule="auto"/>
              <w:rPr>
                <w:rFonts w:ascii="Arial"/>
                <w:sz w:val="21"/>
              </w:rPr>
            </w:pPr>
          </w:p>
          <w:p w14:paraId="58EF65B7">
            <w:pPr>
              <w:spacing w:before="5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2717</w:t>
            </w:r>
          </w:p>
        </w:tc>
        <w:tc>
          <w:tcPr>
            <w:tcW w:w="587" w:type="dxa"/>
            <w:vAlign w:val="top"/>
          </w:tcPr>
          <w:p w14:paraId="23C991EB">
            <w:pPr>
              <w:pStyle w:val="6"/>
              <w:spacing w:before="112" w:line="228" w:lineRule="auto"/>
              <w:ind w:left="94"/>
            </w:pPr>
            <w:r>
              <w:rPr>
                <w:spacing w:val="2"/>
              </w:rPr>
              <w:t>正常</w:t>
            </w:r>
          </w:p>
          <w:p w14:paraId="0D130BBB">
            <w:pPr>
              <w:pStyle w:val="6"/>
              <w:spacing w:before="64" w:line="229" w:lineRule="auto"/>
              <w:ind w:left="90"/>
            </w:pPr>
            <w:r>
              <w:rPr>
                <w:spacing w:val="4"/>
              </w:rPr>
              <w:t>排放</w:t>
            </w:r>
          </w:p>
        </w:tc>
        <w:tc>
          <w:tcPr>
            <w:tcW w:w="951" w:type="dxa"/>
            <w:vAlign w:val="top"/>
          </w:tcPr>
          <w:p w14:paraId="2A5404DF">
            <w:pPr>
              <w:spacing w:line="244" w:lineRule="auto"/>
              <w:rPr>
                <w:rFonts w:ascii="Arial"/>
                <w:sz w:val="21"/>
              </w:rPr>
            </w:pPr>
          </w:p>
          <w:p w14:paraId="5227AFEB">
            <w:pPr>
              <w:spacing w:before="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0.289</w:t>
            </w:r>
          </w:p>
        </w:tc>
      </w:tr>
      <w:tr w14:paraId="428E3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339" w:type="dxa"/>
            <w:vAlign w:val="top"/>
          </w:tcPr>
          <w:p w14:paraId="288BA26F">
            <w:pPr>
              <w:spacing w:line="259" w:lineRule="auto"/>
              <w:rPr>
                <w:rFonts w:ascii="Arial"/>
                <w:sz w:val="21"/>
              </w:rPr>
            </w:pPr>
          </w:p>
          <w:p w14:paraId="34BF0C21">
            <w:pPr>
              <w:spacing w:before="5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60" w:type="dxa"/>
            <w:vAlign w:val="top"/>
          </w:tcPr>
          <w:p w14:paraId="30E78A9C">
            <w:pPr>
              <w:pStyle w:val="6"/>
              <w:spacing w:before="126" w:line="228" w:lineRule="auto"/>
              <w:ind w:left="83"/>
            </w:pPr>
            <w:r>
              <w:rPr>
                <w:spacing w:val="2"/>
              </w:rPr>
              <w:t>中间堆场</w:t>
            </w:r>
          </w:p>
          <w:p w14:paraId="5AC45229">
            <w:pPr>
              <w:pStyle w:val="6"/>
              <w:spacing w:before="64" w:line="227" w:lineRule="auto"/>
              <w:ind w:left="87"/>
              <w:rPr>
                <w:rFonts w:ascii="Times New Roman" w:hAnsi="Times New Roman" w:eastAsia="Times New Roman" w:cs="Times New Roman"/>
              </w:rPr>
            </w:pPr>
            <w:r>
              <w:rPr>
                <w:spacing w:val="5"/>
              </w:rPr>
              <w:t>排气筒</w:t>
            </w:r>
            <w:r>
              <w:rPr>
                <w:spacing w:val="-41"/>
              </w:rPr>
              <w:t xml:space="preserve"> </w:t>
            </w:r>
            <w:r>
              <w:rPr>
                <w:rFonts w:ascii="Times New Roman" w:hAnsi="Times New Roman" w:eastAsia="Times New Roman" w:cs="Times New Roman"/>
                <w:spacing w:val="5"/>
              </w:rPr>
              <w:t>2</w:t>
            </w:r>
          </w:p>
        </w:tc>
        <w:tc>
          <w:tcPr>
            <w:tcW w:w="1027" w:type="dxa"/>
            <w:vAlign w:val="top"/>
          </w:tcPr>
          <w:p w14:paraId="4D9557E6">
            <w:pPr>
              <w:spacing w:before="162" w:line="195" w:lineRule="auto"/>
              <w:ind w:left="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118°57′34.</w:t>
            </w:r>
          </w:p>
          <w:p w14:paraId="22A048B9">
            <w:pPr>
              <w:spacing w:before="125"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w:t>
            </w:r>
          </w:p>
        </w:tc>
        <w:tc>
          <w:tcPr>
            <w:tcW w:w="763" w:type="dxa"/>
            <w:vAlign w:val="top"/>
          </w:tcPr>
          <w:p w14:paraId="1C9DE116">
            <w:pPr>
              <w:spacing w:before="162"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p w14:paraId="10617FD1">
            <w:pPr>
              <w:spacing w:before="125"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8.56″</w:t>
            </w:r>
          </w:p>
        </w:tc>
        <w:tc>
          <w:tcPr>
            <w:tcW w:w="844" w:type="dxa"/>
            <w:vAlign w:val="top"/>
          </w:tcPr>
          <w:p w14:paraId="747BC034">
            <w:pPr>
              <w:spacing w:line="259" w:lineRule="auto"/>
              <w:rPr>
                <w:rFonts w:ascii="Arial"/>
                <w:sz w:val="21"/>
              </w:rPr>
            </w:pPr>
          </w:p>
          <w:p w14:paraId="3368736F">
            <w:pPr>
              <w:spacing w:before="57"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536" w:type="dxa"/>
            <w:vAlign w:val="top"/>
          </w:tcPr>
          <w:p w14:paraId="72EFC234">
            <w:pPr>
              <w:spacing w:line="259" w:lineRule="auto"/>
              <w:rPr>
                <w:rFonts w:ascii="Arial"/>
                <w:sz w:val="21"/>
              </w:rPr>
            </w:pPr>
          </w:p>
          <w:p w14:paraId="6215607A">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73" w:type="dxa"/>
            <w:vAlign w:val="top"/>
          </w:tcPr>
          <w:p w14:paraId="184BB059">
            <w:pPr>
              <w:spacing w:line="259" w:lineRule="auto"/>
              <w:rPr>
                <w:rFonts w:ascii="Arial"/>
                <w:sz w:val="21"/>
              </w:rPr>
            </w:pPr>
          </w:p>
          <w:p w14:paraId="44F07373">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748" w:type="dxa"/>
            <w:vAlign w:val="top"/>
          </w:tcPr>
          <w:p w14:paraId="29769510">
            <w:pPr>
              <w:spacing w:line="259" w:lineRule="auto"/>
              <w:rPr>
                <w:rFonts w:ascii="Arial"/>
                <w:sz w:val="21"/>
              </w:rPr>
            </w:pPr>
          </w:p>
          <w:p w14:paraId="78E89C1F">
            <w:pPr>
              <w:spacing w:before="57"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25.48</w:t>
            </w:r>
          </w:p>
        </w:tc>
        <w:tc>
          <w:tcPr>
            <w:tcW w:w="527" w:type="dxa"/>
            <w:vAlign w:val="top"/>
          </w:tcPr>
          <w:p w14:paraId="4F254163">
            <w:pPr>
              <w:spacing w:line="259" w:lineRule="auto"/>
              <w:rPr>
                <w:rFonts w:ascii="Arial"/>
                <w:sz w:val="21"/>
              </w:rPr>
            </w:pPr>
          </w:p>
          <w:p w14:paraId="5B7AB98C">
            <w:pPr>
              <w:spacing w:before="5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94" w:type="dxa"/>
            <w:vAlign w:val="top"/>
          </w:tcPr>
          <w:p w14:paraId="6D1E1EA6">
            <w:pPr>
              <w:spacing w:line="259" w:lineRule="auto"/>
              <w:rPr>
                <w:rFonts w:ascii="Arial"/>
                <w:sz w:val="21"/>
              </w:rPr>
            </w:pPr>
          </w:p>
          <w:p w14:paraId="67D99C81">
            <w:pPr>
              <w:spacing w:before="5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2717</w:t>
            </w:r>
          </w:p>
        </w:tc>
        <w:tc>
          <w:tcPr>
            <w:tcW w:w="587" w:type="dxa"/>
            <w:vAlign w:val="top"/>
          </w:tcPr>
          <w:p w14:paraId="77B72F4A">
            <w:pPr>
              <w:pStyle w:val="6"/>
              <w:spacing w:before="126" w:line="228" w:lineRule="auto"/>
              <w:ind w:left="94"/>
            </w:pPr>
            <w:r>
              <w:rPr>
                <w:spacing w:val="2"/>
              </w:rPr>
              <w:t>正常</w:t>
            </w:r>
          </w:p>
          <w:p w14:paraId="3955B885">
            <w:pPr>
              <w:pStyle w:val="6"/>
              <w:spacing w:before="64" w:line="229" w:lineRule="auto"/>
              <w:ind w:left="90"/>
            </w:pPr>
            <w:r>
              <w:rPr>
                <w:spacing w:val="4"/>
              </w:rPr>
              <w:t>排放</w:t>
            </w:r>
          </w:p>
        </w:tc>
        <w:tc>
          <w:tcPr>
            <w:tcW w:w="951" w:type="dxa"/>
            <w:vAlign w:val="top"/>
          </w:tcPr>
          <w:p w14:paraId="765DF5A2">
            <w:pPr>
              <w:spacing w:line="259" w:lineRule="auto"/>
              <w:rPr>
                <w:rFonts w:ascii="Arial"/>
                <w:sz w:val="21"/>
              </w:rPr>
            </w:pPr>
          </w:p>
          <w:p w14:paraId="65DD1FAF">
            <w:pPr>
              <w:spacing w:before="5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0.404</w:t>
            </w:r>
          </w:p>
        </w:tc>
      </w:tr>
    </w:tbl>
    <w:p w14:paraId="1F881EDF">
      <w:pPr>
        <w:spacing w:before="38" w:line="211" w:lineRule="auto"/>
        <w:ind w:left="252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2.5-4    </w:t>
      </w:r>
      <w:r>
        <w:rPr>
          <w:rFonts w:ascii="宋体" w:hAnsi="宋体" w:eastAsia="宋体" w:cs="宋体"/>
          <w:spacing w:val="-1"/>
          <w:sz w:val="24"/>
          <w:szCs w:val="24"/>
        </w:rPr>
        <w:t>项目无组织源强参数一览表</w:t>
      </w:r>
    </w:p>
    <w:tbl>
      <w:tblPr>
        <w:tblStyle w:val="5"/>
        <w:tblW w:w="91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1162"/>
        <w:gridCol w:w="992"/>
        <w:gridCol w:w="854"/>
        <w:gridCol w:w="924"/>
        <w:gridCol w:w="586"/>
        <w:gridCol w:w="736"/>
        <w:gridCol w:w="818"/>
        <w:gridCol w:w="736"/>
        <w:gridCol w:w="747"/>
        <w:gridCol w:w="1179"/>
      </w:tblGrid>
      <w:tr w14:paraId="1B203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71" w:type="dxa"/>
            <w:vMerge w:val="restart"/>
            <w:tcBorders>
              <w:bottom w:val="nil"/>
            </w:tcBorders>
            <w:textDirection w:val="tbRlV"/>
            <w:vAlign w:val="top"/>
          </w:tcPr>
          <w:p w14:paraId="7DBF9116">
            <w:pPr>
              <w:pStyle w:val="6"/>
              <w:spacing w:before="78" w:line="214" w:lineRule="auto"/>
              <w:ind w:left="217"/>
            </w:pPr>
            <w:r>
              <w:rPr>
                <w:spacing w:val="6"/>
              </w:rPr>
              <w:t>编 号</w:t>
            </w:r>
          </w:p>
        </w:tc>
        <w:tc>
          <w:tcPr>
            <w:tcW w:w="1162" w:type="dxa"/>
            <w:vMerge w:val="restart"/>
            <w:tcBorders>
              <w:bottom w:val="nil"/>
            </w:tcBorders>
            <w:vAlign w:val="top"/>
          </w:tcPr>
          <w:p w14:paraId="1E1B3381">
            <w:pPr>
              <w:spacing w:line="306" w:lineRule="auto"/>
              <w:rPr>
                <w:rFonts w:ascii="Arial"/>
                <w:sz w:val="21"/>
              </w:rPr>
            </w:pPr>
          </w:p>
          <w:p w14:paraId="63F56890">
            <w:pPr>
              <w:pStyle w:val="6"/>
              <w:spacing w:before="65" w:line="230" w:lineRule="auto"/>
              <w:ind w:left="375"/>
            </w:pPr>
            <w:r>
              <w:rPr>
                <w:spacing w:val="3"/>
              </w:rPr>
              <w:t>名称</w:t>
            </w:r>
          </w:p>
        </w:tc>
        <w:tc>
          <w:tcPr>
            <w:tcW w:w="1846" w:type="dxa"/>
            <w:gridSpan w:val="2"/>
            <w:vAlign w:val="top"/>
          </w:tcPr>
          <w:p w14:paraId="30382E7D">
            <w:pPr>
              <w:pStyle w:val="6"/>
              <w:spacing w:before="213" w:line="228" w:lineRule="auto"/>
              <w:ind w:left="83"/>
              <w:rPr>
                <w:rFonts w:ascii="Times New Roman" w:hAnsi="Times New Roman" w:eastAsia="Times New Roman" w:cs="Times New Roman"/>
              </w:rPr>
            </w:pPr>
            <w:r>
              <w:rPr>
                <w:spacing w:val="7"/>
              </w:rPr>
              <w:t>面源中心点坐标</w:t>
            </w:r>
            <w:r>
              <w:rPr>
                <w:rFonts w:ascii="Times New Roman" w:hAnsi="Times New Roman" w:eastAsia="Times New Roman" w:cs="Times New Roman"/>
                <w:spacing w:val="7"/>
              </w:rPr>
              <w:t>/m</w:t>
            </w:r>
          </w:p>
        </w:tc>
        <w:tc>
          <w:tcPr>
            <w:tcW w:w="924" w:type="dxa"/>
            <w:vMerge w:val="restart"/>
            <w:tcBorders>
              <w:bottom w:val="nil"/>
            </w:tcBorders>
            <w:vAlign w:val="top"/>
          </w:tcPr>
          <w:p w14:paraId="44A224B2">
            <w:pPr>
              <w:pStyle w:val="6"/>
              <w:spacing w:before="218" w:line="228" w:lineRule="auto"/>
              <w:ind w:left="49"/>
            </w:pPr>
            <w:r>
              <w:rPr>
                <w:spacing w:val="7"/>
              </w:rPr>
              <w:t>面源海拔</w:t>
            </w:r>
          </w:p>
          <w:p w14:paraId="65CC7503">
            <w:pPr>
              <w:pStyle w:val="6"/>
              <w:spacing w:before="64" w:line="228" w:lineRule="auto"/>
              <w:ind w:left="152"/>
              <w:rPr>
                <w:rFonts w:ascii="Times New Roman" w:hAnsi="Times New Roman" w:eastAsia="Times New Roman" w:cs="Times New Roman"/>
              </w:rPr>
            </w:pPr>
            <w:r>
              <w:rPr>
                <w:spacing w:val="3"/>
              </w:rPr>
              <w:t>高度</w:t>
            </w:r>
            <w:r>
              <w:rPr>
                <w:rFonts w:ascii="Times New Roman" w:hAnsi="Times New Roman" w:eastAsia="Times New Roman" w:cs="Times New Roman"/>
                <w:spacing w:val="3"/>
              </w:rPr>
              <w:t>/m</w:t>
            </w:r>
          </w:p>
        </w:tc>
        <w:tc>
          <w:tcPr>
            <w:tcW w:w="586" w:type="dxa"/>
            <w:vMerge w:val="restart"/>
            <w:tcBorders>
              <w:bottom w:val="nil"/>
            </w:tcBorders>
            <w:vAlign w:val="top"/>
          </w:tcPr>
          <w:p w14:paraId="72741A98">
            <w:pPr>
              <w:pStyle w:val="6"/>
              <w:spacing w:before="61" w:line="229" w:lineRule="auto"/>
              <w:ind w:left="90"/>
            </w:pPr>
            <w:r>
              <w:rPr>
                <w:spacing w:val="4"/>
              </w:rPr>
              <w:t>面源</w:t>
            </w:r>
          </w:p>
          <w:p w14:paraId="14FDA95E">
            <w:pPr>
              <w:pStyle w:val="6"/>
              <w:spacing w:before="64" w:line="228" w:lineRule="auto"/>
              <w:ind w:left="90"/>
            </w:pPr>
            <w:r>
              <w:rPr>
                <w:spacing w:val="4"/>
              </w:rPr>
              <w:t>长度</w:t>
            </w:r>
          </w:p>
          <w:p w14:paraId="3E46F8E2">
            <w:pPr>
              <w:spacing w:before="96" w:line="199"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736" w:type="dxa"/>
            <w:vMerge w:val="restart"/>
            <w:tcBorders>
              <w:bottom w:val="nil"/>
            </w:tcBorders>
            <w:vAlign w:val="top"/>
          </w:tcPr>
          <w:p w14:paraId="69B0E174">
            <w:pPr>
              <w:pStyle w:val="6"/>
              <w:spacing w:before="218" w:line="228" w:lineRule="auto"/>
              <w:ind w:left="60"/>
            </w:pPr>
            <w:r>
              <w:rPr>
                <w:spacing w:val="6"/>
              </w:rPr>
              <w:t>面源宽</w:t>
            </w:r>
          </w:p>
          <w:p w14:paraId="7E3AD2B0">
            <w:pPr>
              <w:pStyle w:val="6"/>
              <w:spacing w:before="64" w:line="228" w:lineRule="auto"/>
              <w:ind w:left="157"/>
              <w:rPr>
                <w:rFonts w:ascii="Times New Roman" w:hAnsi="Times New Roman" w:eastAsia="Times New Roman" w:cs="Times New Roman"/>
              </w:rPr>
            </w:pPr>
            <w:r>
              <w:rPr>
                <w:spacing w:val="4"/>
              </w:rPr>
              <w:t>度</w:t>
            </w:r>
            <w:r>
              <w:rPr>
                <w:rFonts w:ascii="Times New Roman" w:hAnsi="Times New Roman" w:eastAsia="Times New Roman" w:cs="Times New Roman"/>
                <w:spacing w:val="4"/>
              </w:rPr>
              <w:t>/m</w:t>
            </w:r>
          </w:p>
        </w:tc>
        <w:tc>
          <w:tcPr>
            <w:tcW w:w="818" w:type="dxa"/>
            <w:vMerge w:val="restart"/>
            <w:tcBorders>
              <w:bottom w:val="nil"/>
            </w:tcBorders>
            <w:vAlign w:val="top"/>
          </w:tcPr>
          <w:p w14:paraId="62C57710">
            <w:pPr>
              <w:pStyle w:val="6"/>
              <w:spacing w:before="62" w:line="228" w:lineRule="auto"/>
              <w:ind w:left="102"/>
            </w:pPr>
            <w:r>
              <w:rPr>
                <w:spacing w:val="6"/>
              </w:rPr>
              <w:t>面源有</w:t>
            </w:r>
          </w:p>
          <w:p w14:paraId="2D999BD0">
            <w:pPr>
              <w:pStyle w:val="6"/>
              <w:spacing w:before="64" w:line="263" w:lineRule="auto"/>
              <w:ind w:left="100" w:right="86" w:firstLine="6"/>
              <w:rPr>
                <w:rFonts w:ascii="Times New Roman" w:hAnsi="Times New Roman" w:eastAsia="Times New Roman" w:cs="Times New Roman"/>
              </w:rPr>
            </w:pPr>
            <w:r>
              <w:rPr>
                <w:spacing w:val="5"/>
              </w:rPr>
              <w:t>效排放</w:t>
            </w:r>
            <w:r>
              <w:t xml:space="preserve"> </w:t>
            </w:r>
            <w:r>
              <w:rPr>
                <w:spacing w:val="3"/>
              </w:rPr>
              <w:t>高度</w:t>
            </w:r>
            <w:r>
              <w:rPr>
                <w:rFonts w:ascii="Times New Roman" w:hAnsi="Times New Roman" w:eastAsia="Times New Roman" w:cs="Times New Roman"/>
                <w:spacing w:val="3"/>
              </w:rPr>
              <w:t>/m</w:t>
            </w:r>
          </w:p>
        </w:tc>
        <w:tc>
          <w:tcPr>
            <w:tcW w:w="736" w:type="dxa"/>
            <w:vMerge w:val="restart"/>
            <w:tcBorders>
              <w:bottom w:val="nil"/>
            </w:tcBorders>
            <w:vAlign w:val="top"/>
          </w:tcPr>
          <w:p w14:paraId="7DDABF18">
            <w:pPr>
              <w:pStyle w:val="6"/>
              <w:spacing w:before="61" w:line="228" w:lineRule="auto"/>
              <w:ind w:left="62"/>
            </w:pPr>
            <w:r>
              <w:rPr>
                <w:spacing w:val="6"/>
              </w:rPr>
              <w:t>年排放</w:t>
            </w:r>
          </w:p>
          <w:p w14:paraId="346C56FB">
            <w:pPr>
              <w:pStyle w:val="6"/>
              <w:spacing w:before="65" w:line="228" w:lineRule="auto"/>
              <w:ind w:left="66"/>
            </w:pPr>
            <w:r>
              <w:rPr>
                <w:spacing w:val="5"/>
              </w:rPr>
              <w:t>小时数</w:t>
            </w:r>
          </w:p>
          <w:p w14:paraId="0E6633F3">
            <w:pPr>
              <w:spacing w:before="97"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p>
        </w:tc>
        <w:tc>
          <w:tcPr>
            <w:tcW w:w="747" w:type="dxa"/>
            <w:vMerge w:val="restart"/>
            <w:tcBorders>
              <w:bottom w:val="nil"/>
            </w:tcBorders>
            <w:vAlign w:val="top"/>
          </w:tcPr>
          <w:p w14:paraId="1FFBC83E">
            <w:pPr>
              <w:pStyle w:val="6"/>
              <w:spacing w:before="217" w:line="229" w:lineRule="auto"/>
              <w:ind w:left="66"/>
            </w:pPr>
            <w:r>
              <w:rPr>
                <w:spacing w:val="6"/>
              </w:rPr>
              <w:t>排放工</w:t>
            </w:r>
          </w:p>
          <w:p w14:paraId="50A641F1">
            <w:pPr>
              <w:pStyle w:val="6"/>
              <w:spacing w:before="64" w:line="228" w:lineRule="auto"/>
              <w:ind w:left="277"/>
            </w:pPr>
            <w:r>
              <w:t>况</w:t>
            </w:r>
          </w:p>
        </w:tc>
        <w:tc>
          <w:tcPr>
            <w:tcW w:w="1179" w:type="dxa"/>
            <w:vAlign w:val="top"/>
          </w:tcPr>
          <w:p w14:paraId="720D3577">
            <w:pPr>
              <w:pStyle w:val="6"/>
              <w:spacing w:before="57" w:line="261" w:lineRule="auto"/>
              <w:ind w:left="34" w:firstLine="34"/>
            </w:pPr>
            <w:r>
              <w:rPr>
                <w:spacing w:val="-3"/>
              </w:rPr>
              <w:t>污染物排放</w:t>
            </w:r>
            <w:r>
              <w:rPr>
                <w:spacing w:val="1"/>
              </w:rPr>
              <w:t xml:space="preserve">  </w:t>
            </w:r>
            <w:r>
              <w:rPr>
                <w:spacing w:val="-8"/>
              </w:rPr>
              <w:t>速率</w:t>
            </w:r>
            <w:r>
              <w:rPr>
                <w:rFonts w:ascii="Times New Roman" w:hAnsi="Times New Roman" w:eastAsia="Times New Roman" w:cs="Times New Roman"/>
                <w:spacing w:val="-8"/>
              </w:rPr>
              <w:t>/</w:t>
            </w:r>
            <w:r>
              <w:rPr>
                <w:spacing w:val="-8"/>
              </w:rPr>
              <w:t>（</w:t>
            </w:r>
            <w:r>
              <w:rPr>
                <w:rFonts w:ascii="Times New Roman" w:hAnsi="Times New Roman" w:eastAsia="Times New Roman" w:cs="Times New Roman"/>
                <w:spacing w:val="-8"/>
              </w:rPr>
              <w:t>kg/h</w:t>
            </w:r>
            <w:r>
              <w:rPr>
                <w:spacing w:val="-8"/>
              </w:rPr>
              <w:t>）</w:t>
            </w:r>
          </w:p>
        </w:tc>
      </w:tr>
      <w:tr w14:paraId="59315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1" w:type="dxa"/>
            <w:vMerge w:val="continue"/>
            <w:tcBorders>
              <w:top w:val="nil"/>
            </w:tcBorders>
            <w:textDirection w:val="tbRlV"/>
            <w:vAlign w:val="top"/>
          </w:tcPr>
          <w:p w14:paraId="57387F35">
            <w:pPr>
              <w:rPr>
                <w:rFonts w:ascii="Arial"/>
                <w:sz w:val="21"/>
              </w:rPr>
            </w:pPr>
          </w:p>
        </w:tc>
        <w:tc>
          <w:tcPr>
            <w:tcW w:w="1162" w:type="dxa"/>
            <w:vMerge w:val="continue"/>
            <w:tcBorders>
              <w:top w:val="nil"/>
            </w:tcBorders>
            <w:vAlign w:val="top"/>
          </w:tcPr>
          <w:p w14:paraId="0B08591E">
            <w:pPr>
              <w:rPr>
                <w:rFonts w:ascii="Arial"/>
                <w:sz w:val="21"/>
              </w:rPr>
            </w:pPr>
          </w:p>
        </w:tc>
        <w:tc>
          <w:tcPr>
            <w:tcW w:w="992" w:type="dxa"/>
            <w:vAlign w:val="top"/>
          </w:tcPr>
          <w:p w14:paraId="277E7711">
            <w:pPr>
              <w:pStyle w:val="6"/>
              <w:spacing w:before="53" w:line="228" w:lineRule="auto"/>
              <w:ind w:left="290"/>
            </w:pPr>
            <w:r>
              <w:rPr>
                <w:spacing w:val="3"/>
              </w:rPr>
              <w:t>经度</w:t>
            </w:r>
          </w:p>
        </w:tc>
        <w:tc>
          <w:tcPr>
            <w:tcW w:w="854" w:type="dxa"/>
            <w:vAlign w:val="top"/>
          </w:tcPr>
          <w:p w14:paraId="5C66AB87">
            <w:pPr>
              <w:pStyle w:val="6"/>
              <w:spacing w:before="53" w:line="228" w:lineRule="auto"/>
              <w:ind w:left="221"/>
            </w:pPr>
            <w:r>
              <w:rPr>
                <w:spacing w:val="4"/>
              </w:rPr>
              <w:t>纬度</w:t>
            </w:r>
          </w:p>
        </w:tc>
        <w:tc>
          <w:tcPr>
            <w:tcW w:w="924" w:type="dxa"/>
            <w:vMerge w:val="continue"/>
            <w:tcBorders>
              <w:top w:val="nil"/>
            </w:tcBorders>
            <w:vAlign w:val="top"/>
          </w:tcPr>
          <w:p w14:paraId="74019817">
            <w:pPr>
              <w:rPr>
                <w:rFonts w:ascii="Arial"/>
                <w:sz w:val="21"/>
              </w:rPr>
            </w:pPr>
          </w:p>
        </w:tc>
        <w:tc>
          <w:tcPr>
            <w:tcW w:w="586" w:type="dxa"/>
            <w:vMerge w:val="continue"/>
            <w:tcBorders>
              <w:top w:val="nil"/>
            </w:tcBorders>
            <w:vAlign w:val="top"/>
          </w:tcPr>
          <w:p w14:paraId="208B6BB6">
            <w:pPr>
              <w:rPr>
                <w:rFonts w:ascii="Arial"/>
                <w:sz w:val="21"/>
              </w:rPr>
            </w:pPr>
          </w:p>
        </w:tc>
        <w:tc>
          <w:tcPr>
            <w:tcW w:w="736" w:type="dxa"/>
            <w:vMerge w:val="continue"/>
            <w:tcBorders>
              <w:top w:val="nil"/>
            </w:tcBorders>
            <w:vAlign w:val="top"/>
          </w:tcPr>
          <w:p w14:paraId="1EE72892">
            <w:pPr>
              <w:rPr>
                <w:rFonts w:ascii="Arial"/>
                <w:sz w:val="21"/>
              </w:rPr>
            </w:pPr>
          </w:p>
        </w:tc>
        <w:tc>
          <w:tcPr>
            <w:tcW w:w="818" w:type="dxa"/>
            <w:vMerge w:val="continue"/>
            <w:tcBorders>
              <w:top w:val="nil"/>
            </w:tcBorders>
            <w:vAlign w:val="top"/>
          </w:tcPr>
          <w:p w14:paraId="30113E0C">
            <w:pPr>
              <w:rPr>
                <w:rFonts w:ascii="Arial"/>
                <w:sz w:val="21"/>
              </w:rPr>
            </w:pPr>
          </w:p>
        </w:tc>
        <w:tc>
          <w:tcPr>
            <w:tcW w:w="736" w:type="dxa"/>
            <w:vMerge w:val="continue"/>
            <w:tcBorders>
              <w:top w:val="nil"/>
            </w:tcBorders>
            <w:vAlign w:val="top"/>
          </w:tcPr>
          <w:p w14:paraId="584240CC">
            <w:pPr>
              <w:rPr>
                <w:rFonts w:ascii="Arial"/>
                <w:sz w:val="21"/>
              </w:rPr>
            </w:pPr>
          </w:p>
        </w:tc>
        <w:tc>
          <w:tcPr>
            <w:tcW w:w="747" w:type="dxa"/>
            <w:vMerge w:val="continue"/>
            <w:tcBorders>
              <w:top w:val="nil"/>
            </w:tcBorders>
            <w:vAlign w:val="top"/>
          </w:tcPr>
          <w:p w14:paraId="61161F91">
            <w:pPr>
              <w:rPr>
                <w:rFonts w:ascii="Arial"/>
                <w:sz w:val="21"/>
              </w:rPr>
            </w:pPr>
          </w:p>
        </w:tc>
        <w:tc>
          <w:tcPr>
            <w:tcW w:w="1179" w:type="dxa"/>
            <w:vAlign w:val="top"/>
          </w:tcPr>
          <w:p w14:paraId="45988532">
            <w:pPr>
              <w:spacing w:before="88"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r>
      <w:tr w14:paraId="45BF5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1" w:type="dxa"/>
            <w:vAlign w:val="top"/>
          </w:tcPr>
          <w:p w14:paraId="5886BA87">
            <w:pPr>
              <w:spacing w:before="245"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62" w:type="dxa"/>
            <w:vAlign w:val="top"/>
          </w:tcPr>
          <w:p w14:paraId="28A72440">
            <w:pPr>
              <w:pStyle w:val="6"/>
              <w:spacing w:before="52" w:line="228" w:lineRule="auto"/>
              <w:ind w:left="58"/>
            </w:pPr>
            <w:r>
              <w:rPr>
                <w:spacing w:val="8"/>
              </w:rPr>
              <w:t>粗碎车间无</w:t>
            </w:r>
          </w:p>
          <w:p w14:paraId="42BDAB12">
            <w:pPr>
              <w:pStyle w:val="6"/>
              <w:spacing w:before="64" w:line="231" w:lineRule="auto"/>
              <w:ind w:left="375"/>
            </w:pPr>
            <w:r>
              <w:rPr>
                <w:spacing w:val="3"/>
              </w:rPr>
              <w:t>组织</w:t>
            </w:r>
          </w:p>
        </w:tc>
        <w:tc>
          <w:tcPr>
            <w:tcW w:w="992" w:type="dxa"/>
            <w:vAlign w:val="top"/>
          </w:tcPr>
          <w:p w14:paraId="1E2B8C4B">
            <w:pPr>
              <w:spacing w:before="89"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118°57′37.</w:t>
            </w:r>
          </w:p>
          <w:p w14:paraId="06CD5280">
            <w:pPr>
              <w:spacing w:before="125"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w:t>
            </w:r>
          </w:p>
        </w:tc>
        <w:tc>
          <w:tcPr>
            <w:tcW w:w="854" w:type="dxa"/>
            <w:vAlign w:val="top"/>
          </w:tcPr>
          <w:p w14:paraId="224C3058">
            <w:pPr>
              <w:spacing w:before="89"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15</w:t>
            </w:r>
          </w:p>
          <w:p w14:paraId="4D6A1749">
            <w:pPr>
              <w:spacing w:before="12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.70″</w:t>
            </w:r>
          </w:p>
        </w:tc>
        <w:tc>
          <w:tcPr>
            <w:tcW w:w="924" w:type="dxa"/>
            <w:vAlign w:val="top"/>
          </w:tcPr>
          <w:p w14:paraId="5FD46411">
            <w:pPr>
              <w:spacing w:before="24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c>
          <w:tcPr>
            <w:tcW w:w="586" w:type="dxa"/>
            <w:vAlign w:val="top"/>
          </w:tcPr>
          <w:p w14:paraId="0E60EA4F">
            <w:pPr>
              <w:spacing w:before="245"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36" w:type="dxa"/>
            <w:vAlign w:val="top"/>
          </w:tcPr>
          <w:p w14:paraId="742759A4">
            <w:pPr>
              <w:spacing w:before="245"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8" w:type="dxa"/>
            <w:vAlign w:val="top"/>
          </w:tcPr>
          <w:p w14:paraId="539D2624">
            <w:pPr>
              <w:spacing w:before="24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36" w:type="dxa"/>
            <w:vAlign w:val="top"/>
          </w:tcPr>
          <w:p w14:paraId="5FF1D0D6">
            <w:pPr>
              <w:spacing w:before="24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2717</w:t>
            </w:r>
          </w:p>
        </w:tc>
        <w:tc>
          <w:tcPr>
            <w:tcW w:w="747" w:type="dxa"/>
            <w:vAlign w:val="top"/>
          </w:tcPr>
          <w:p w14:paraId="154EACE5">
            <w:pPr>
              <w:pStyle w:val="6"/>
              <w:spacing w:before="52" w:line="261" w:lineRule="auto"/>
              <w:ind w:left="275" w:right="54" w:hanging="204"/>
            </w:pPr>
            <w:r>
              <w:rPr>
                <w:spacing w:val="5"/>
              </w:rPr>
              <w:t>正常排</w:t>
            </w:r>
            <w:r>
              <w:t xml:space="preserve"> 放</w:t>
            </w:r>
          </w:p>
        </w:tc>
        <w:tc>
          <w:tcPr>
            <w:tcW w:w="1179" w:type="dxa"/>
            <w:vAlign w:val="top"/>
          </w:tcPr>
          <w:p w14:paraId="0F2184FA">
            <w:pPr>
              <w:spacing w:before="245"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r>
      <w:tr w14:paraId="43718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1" w:type="dxa"/>
            <w:vAlign w:val="top"/>
          </w:tcPr>
          <w:p w14:paraId="04AFA576">
            <w:pPr>
              <w:spacing w:before="245"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62" w:type="dxa"/>
            <w:vAlign w:val="top"/>
          </w:tcPr>
          <w:p w14:paraId="1C0BBEE1">
            <w:pPr>
              <w:pStyle w:val="6"/>
              <w:spacing w:before="54" w:line="228" w:lineRule="auto"/>
              <w:ind w:left="78"/>
            </w:pPr>
            <w:r>
              <w:rPr>
                <w:spacing w:val="4"/>
              </w:rPr>
              <w:t>中间堆场无</w:t>
            </w:r>
          </w:p>
          <w:p w14:paraId="3F10F537">
            <w:pPr>
              <w:pStyle w:val="6"/>
              <w:spacing w:before="64" w:line="231" w:lineRule="auto"/>
              <w:ind w:left="375"/>
            </w:pPr>
            <w:r>
              <w:rPr>
                <w:spacing w:val="3"/>
              </w:rPr>
              <w:t>组织</w:t>
            </w:r>
          </w:p>
        </w:tc>
        <w:tc>
          <w:tcPr>
            <w:tcW w:w="992" w:type="dxa"/>
            <w:vAlign w:val="top"/>
          </w:tcPr>
          <w:p w14:paraId="461FC4ED">
            <w:pPr>
              <w:spacing w:before="89"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118°57′35.</w:t>
            </w:r>
          </w:p>
          <w:p w14:paraId="75EADDFC">
            <w:pPr>
              <w:spacing w:before="125"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w:t>
            </w:r>
          </w:p>
        </w:tc>
        <w:tc>
          <w:tcPr>
            <w:tcW w:w="854" w:type="dxa"/>
            <w:vAlign w:val="top"/>
          </w:tcPr>
          <w:p w14:paraId="27DDB1A9">
            <w:pPr>
              <w:spacing w:before="89"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18</w:t>
            </w:r>
          </w:p>
          <w:p w14:paraId="6366DC68">
            <w:pPr>
              <w:spacing w:before="12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24" w:type="dxa"/>
            <w:vAlign w:val="top"/>
          </w:tcPr>
          <w:p w14:paraId="5FD26A13">
            <w:pPr>
              <w:spacing w:before="24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586" w:type="dxa"/>
            <w:vAlign w:val="top"/>
          </w:tcPr>
          <w:p w14:paraId="359D6A63">
            <w:pPr>
              <w:spacing w:before="24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736" w:type="dxa"/>
            <w:vAlign w:val="top"/>
          </w:tcPr>
          <w:p w14:paraId="0EB40195">
            <w:pPr>
              <w:spacing w:before="24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8" w:type="dxa"/>
            <w:vAlign w:val="top"/>
          </w:tcPr>
          <w:p w14:paraId="572B9AD4">
            <w:pPr>
              <w:spacing w:before="24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36" w:type="dxa"/>
            <w:vAlign w:val="top"/>
          </w:tcPr>
          <w:p w14:paraId="2715ECD3">
            <w:pPr>
              <w:spacing w:before="8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2717</w:t>
            </w:r>
          </w:p>
        </w:tc>
        <w:tc>
          <w:tcPr>
            <w:tcW w:w="747" w:type="dxa"/>
            <w:vAlign w:val="top"/>
          </w:tcPr>
          <w:p w14:paraId="1D42701A">
            <w:pPr>
              <w:pStyle w:val="6"/>
              <w:spacing w:before="54" w:line="260" w:lineRule="auto"/>
              <w:ind w:left="275" w:right="54" w:hanging="204"/>
            </w:pPr>
            <w:r>
              <w:rPr>
                <w:spacing w:val="5"/>
              </w:rPr>
              <w:t>正常排</w:t>
            </w:r>
            <w:r>
              <w:t xml:space="preserve"> 放</w:t>
            </w:r>
          </w:p>
        </w:tc>
        <w:tc>
          <w:tcPr>
            <w:tcW w:w="1179" w:type="dxa"/>
            <w:vAlign w:val="top"/>
          </w:tcPr>
          <w:p w14:paraId="4B140871">
            <w:pPr>
              <w:spacing w:before="245"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122</w:t>
            </w:r>
          </w:p>
        </w:tc>
      </w:tr>
      <w:tr w14:paraId="4839D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371" w:type="dxa"/>
            <w:vAlign w:val="top"/>
          </w:tcPr>
          <w:p w14:paraId="7D309522">
            <w:pPr>
              <w:spacing w:line="342" w:lineRule="auto"/>
              <w:rPr>
                <w:rFonts w:ascii="Arial"/>
                <w:sz w:val="21"/>
              </w:rPr>
            </w:pPr>
          </w:p>
          <w:p w14:paraId="68300AFE">
            <w:pPr>
              <w:spacing w:before="5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62" w:type="dxa"/>
            <w:vAlign w:val="top"/>
          </w:tcPr>
          <w:p w14:paraId="02A4C6F1">
            <w:pPr>
              <w:pStyle w:val="6"/>
              <w:spacing w:before="54" w:line="228" w:lineRule="auto"/>
              <w:ind w:left="60"/>
            </w:pPr>
            <w:r>
              <w:rPr>
                <w:spacing w:val="7"/>
              </w:rPr>
              <w:t>浮选车间加</w:t>
            </w:r>
          </w:p>
          <w:p w14:paraId="777CD463">
            <w:pPr>
              <w:pStyle w:val="6"/>
              <w:spacing w:before="65" w:line="228" w:lineRule="auto"/>
              <w:ind w:left="61"/>
            </w:pPr>
            <w:r>
              <w:rPr>
                <w:spacing w:val="7"/>
              </w:rPr>
              <w:t>药粉尘无组</w:t>
            </w:r>
          </w:p>
          <w:p w14:paraId="5A2D56B4">
            <w:pPr>
              <w:pStyle w:val="6"/>
              <w:spacing w:before="64" w:line="231" w:lineRule="auto"/>
              <w:ind w:left="482"/>
            </w:pPr>
            <w:r>
              <w:t>织</w:t>
            </w:r>
          </w:p>
        </w:tc>
        <w:tc>
          <w:tcPr>
            <w:tcW w:w="992" w:type="dxa"/>
            <w:vAlign w:val="top"/>
          </w:tcPr>
          <w:p w14:paraId="3373BB84">
            <w:pPr>
              <w:spacing w:before="246"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118°57′30.</w:t>
            </w:r>
          </w:p>
          <w:p w14:paraId="6118A223">
            <w:pPr>
              <w:spacing w:before="12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61″</w:t>
            </w:r>
          </w:p>
        </w:tc>
        <w:tc>
          <w:tcPr>
            <w:tcW w:w="854" w:type="dxa"/>
            <w:vAlign w:val="top"/>
          </w:tcPr>
          <w:p w14:paraId="46A1EE9F">
            <w:pPr>
              <w:spacing w:before="246"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16′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17</w:t>
            </w:r>
          </w:p>
          <w:p w14:paraId="015C38A6">
            <w:pPr>
              <w:spacing w:before="12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7"/>
                <w:sz w:val="20"/>
                <w:szCs w:val="20"/>
              </w:rPr>
              <w:t>14″</w:t>
            </w:r>
          </w:p>
        </w:tc>
        <w:tc>
          <w:tcPr>
            <w:tcW w:w="924" w:type="dxa"/>
            <w:vAlign w:val="top"/>
          </w:tcPr>
          <w:p w14:paraId="1CEE3A5D">
            <w:pPr>
              <w:spacing w:line="342" w:lineRule="auto"/>
              <w:rPr>
                <w:rFonts w:ascii="Arial"/>
                <w:sz w:val="21"/>
              </w:rPr>
            </w:pPr>
          </w:p>
          <w:p w14:paraId="00C5565E">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1004</w:t>
            </w:r>
          </w:p>
        </w:tc>
        <w:tc>
          <w:tcPr>
            <w:tcW w:w="586" w:type="dxa"/>
            <w:vAlign w:val="top"/>
          </w:tcPr>
          <w:p w14:paraId="0BBDDB32">
            <w:pPr>
              <w:spacing w:line="342" w:lineRule="auto"/>
              <w:rPr>
                <w:rFonts w:ascii="Arial"/>
                <w:sz w:val="21"/>
              </w:rPr>
            </w:pPr>
          </w:p>
          <w:p w14:paraId="024C7F2C">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36" w:type="dxa"/>
            <w:vAlign w:val="top"/>
          </w:tcPr>
          <w:p w14:paraId="23897253">
            <w:pPr>
              <w:spacing w:line="342" w:lineRule="auto"/>
              <w:rPr>
                <w:rFonts w:ascii="Arial"/>
                <w:sz w:val="21"/>
              </w:rPr>
            </w:pPr>
          </w:p>
          <w:p w14:paraId="669DB10E">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8" w:type="dxa"/>
            <w:vAlign w:val="top"/>
          </w:tcPr>
          <w:p w14:paraId="096A5419">
            <w:pPr>
              <w:spacing w:line="342" w:lineRule="auto"/>
              <w:rPr>
                <w:rFonts w:ascii="Arial"/>
                <w:sz w:val="21"/>
              </w:rPr>
            </w:pPr>
          </w:p>
          <w:p w14:paraId="76874E63">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36" w:type="dxa"/>
            <w:vAlign w:val="top"/>
          </w:tcPr>
          <w:p w14:paraId="6BFB817D">
            <w:pPr>
              <w:spacing w:line="342" w:lineRule="auto"/>
              <w:rPr>
                <w:rFonts w:ascii="Arial"/>
                <w:sz w:val="21"/>
              </w:rPr>
            </w:pPr>
          </w:p>
          <w:p w14:paraId="1B99B29B">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747" w:type="dxa"/>
            <w:vAlign w:val="top"/>
          </w:tcPr>
          <w:p w14:paraId="524ACAE6">
            <w:pPr>
              <w:pStyle w:val="6"/>
              <w:spacing w:before="210" w:line="290" w:lineRule="auto"/>
              <w:ind w:left="275" w:right="54" w:hanging="204"/>
            </w:pPr>
            <w:r>
              <w:rPr>
                <w:spacing w:val="5"/>
              </w:rPr>
              <w:t>正常排</w:t>
            </w:r>
            <w:r>
              <w:t xml:space="preserve"> 放</w:t>
            </w:r>
          </w:p>
        </w:tc>
        <w:tc>
          <w:tcPr>
            <w:tcW w:w="1179" w:type="dxa"/>
            <w:vAlign w:val="top"/>
          </w:tcPr>
          <w:p w14:paraId="7D14040A">
            <w:pPr>
              <w:spacing w:line="342" w:lineRule="auto"/>
              <w:rPr>
                <w:rFonts w:ascii="Arial"/>
                <w:sz w:val="21"/>
              </w:rPr>
            </w:pPr>
          </w:p>
          <w:p w14:paraId="40CC08ED">
            <w:pPr>
              <w:spacing w:before="58"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w:t>
            </w:r>
          </w:p>
        </w:tc>
      </w:tr>
    </w:tbl>
    <w:p w14:paraId="3B6E799C">
      <w:pPr>
        <w:spacing w:before="114" w:line="218" w:lineRule="auto"/>
        <w:ind w:left="9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）估算结果</w:t>
      </w:r>
    </w:p>
    <w:p w14:paraId="53FC13FE">
      <w:pPr>
        <w:spacing w:before="184" w:line="218" w:lineRule="auto"/>
        <w:ind w:left="889"/>
        <w:rPr>
          <w:rFonts w:ascii="宋体" w:hAnsi="宋体" w:eastAsia="宋体" w:cs="宋体"/>
          <w:sz w:val="24"/>
          <w:szCs w:val="24"/>
        </w:rPr>
      </w:pPr>
      <w:r>
        <w:rPr>
          <w:rFonts w:ascii="宋体" w:hAnsi="宋体" w:eastAsia="宋体" w:cs="宋体"/>
          <w:spacing w:val="-1"/>
          <w:sz w:val="24"/>
          <w:szCs w:val="24"/>
        </w:rPr>
        <w:t>根据估算模型，对项目各污染源污染物估算模式筛选结果见图</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2.5-1</w:t>
      </w:r>
      <w:r>
        <w:rPr>
          <w:rFonts w:ascii="宋体" w:hAnsi="宋体" w:eastAsia="宋体" w:cs="宋体"/>
          <w:spacing w:val="-1"/>
          <w:sz w:val="24"/>
          <w:szCs w:val="24"/>
        </w:rPr>
        <w:t>。</w:t>
      </w:r>
    </w:p>
    <w:p w14:paraId="4D7DF052">
      <w:pPr>
        <w:spacing w:before="87" w:line="4008" w:lineRule="exact"/>
        <w:ind w:firstLine="400"/>
      </w:pPr>
      <w:r>
        <w:rPr>
          <w:position w:val="-80"/>
        </w:rPr>
        <w:drawing>
          <wp:inline distT="0" distB="0" distL="0" distR="0">
            <wp:extent cx="5277485" cy="25444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57"/>
                    <a:stretch>
                      <a:fillRect/>
                    </a:stretch>
                  </pic:blipFill>
                  <pic:spPr>
                    <a:xfrm>
                      <a:off x="0" y="0"/>
                      <a:ext cx="5277611" cy="2545079"/>
                    </a:xfrm>
                    <a:prstGeom prst="rect">
                      <a:avLst/>
                    </a:prstGeom>
                  </pic:spPr>
                </pic:pic>
              </a:graphicData>
            </a:graphic>
          </wp:inline>
        </w:drawing>
      </w:r>
    </w:p>
    <w:p w14:paraId="64E1F6BD">
      <w:pPr>
        <w:spacing w:before="83" w:line="226" w:lineRule="auto"/>
        <w:ind w:left="3265"/>
        <w:rPr>
          <w:rFonts w:ascii="宋体" w:hAnsi="宋体" w:eastAsia="宋体" w:cs="宋体"/>
          <w:sz w:val="20"/>
          <w:szCs w:val="20"/>
        </w:rPr>
      </w:pPr>
      <w:r>
        <w:rPr>
          <w:rFonts w:ascii="宋体" w:hAnsi="宋体" w:eastAsia="宋体" w:cs="宋体"/>
          <w:spacing w:val="4"/>
          <w:sz w:val="20"/>
          <w:szCs w:val="20"/>
        </w:rPr>
        <w:t>图</w:t>
      </w:r>
      <w:r>
        <w:rPr>
          <w:rFonts w:ascii="宋体" w:hAnsi="宋体" w:eastAsia="宋体" w:cs="宋体"/>
          <w:spacing w:val="-29"/>
          <w:sz w:val="20"/>
          <w:szCs w:val="20"/>
        </w:rPr>
        <w:t xml:space="preserve"> </w:t>
      </w:r>
      <w:r>
        <w:rPr>
          <w:rFonts w:ascii="Times New Roman" w:hAnsi="Times New Roman" w:eastAsia="Times New Roman" w:cs="Times New Roman"/>
          <w:spacing w:val="4"/>
          <w:sz w:val="20"/>
          <w:szCs w:val="20"/>
        </w:rPr>
        <w:t xml:space="preserve">2.5-1  </w:t>
      </w:r>
      <w:r>
        <w:rPr>
          <w:rFonts w:ascii="宋体" w:hAnsi="宋体" w:eastAsia="宋体" w:cs="宋体"/>
          <w:spacing w:val="4"/>
          <w:sz w:val="20"/>
          <w:szCs w:val="20"/>
        </w:rPr>
        <w:t>估算模式筛选结果</w:t>
      </w:r>
    </w:p>
    <w:p w14:paraId="2C730161">
      <w:pPr>
        <w:spacing w:line="226" w:lineRule="auto"/>
        <w:rPr>
          <w:rFonts w:ascii="宋体" w:hAnsi="宋体" w:eastAsia="宋体" w:cs="宋体"/>
          <w:sz w:val="20"/>
          <w:szCs w:val="20"/>
        </w:rPr>
        <w:sectPr>
          <w:headerReference r:id="rId31" w:type="default"/>
          <w:footerReference r:id="rId32" w:type="default"/>
          <w:pgSz w:w="11906" w:h="16839"/>
          <w:pgMar w:top="1208" w:right="1398" w:bottom="1358" w:left="1397" w:header="825" w:footer="1195" w:gutter="0"/>
          <w:cols w:space="720" w:num="1"/>
        </w:sectPr>
      </w:pPr>
    </w:p>
    <w:p w14:paraId="67CBDD43">
      <w:pPr>
        <w:pStyle w:val="2"/>
        <w:spacing w:line="265" w:lineRule="auto"/>
      </w:pPr>
    </w:p>
    <w:p w14:paraId="37B6B5D5">
      <w:pPr>
        <w:spacing w:before="78" w:line="218"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）评价等级</w:t>
      </w:r>
    </w:p>
    <w:p w14:paraId="46AE94B5">
      <w:pPr>
        <w:spacing w:before="184" w:line="360" w:lineRule="auto"/>
        <w:ind w:left="125" w:right="261" w:firstLine="480"/>
        <w:rPr>
          <w:rFonts w:ascii="宋体" w:hAnsi="宋体" w:eastAsia="宋体" w:cs="宋体"/>
          <w:sz w:val="24"/>
          <w:szCs w:val="24"/>
        </w:rPr>
      </w:pPr>
      <w:r>
        <w:rPr>
          <w:rFonts w:ascii="宋体" w:hAnsi="宋体" w:eastAsia="宋体" w:cs="宋体"/>
          <w:spacing w:val="-2"/>
          <w:sz w:val="24"/>
          <w:szCs w:val="24"/>
        </w:rPr>
        <w:t>从估算结果可以看出，粗碎车间无组织排放</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TSP </w:t>
      </w:r>
      <w:r>
        <w:rPr>
          <w:rFonts w:ascii="宋体" w:hAnsi="宋体" w:eastAsia="宋体" w:cs="宋体"/>
          <w:spacing w:val="-2"/>
          <w:sz w:val="24"/>
          <w:szCs w:val="24"/>
        </w:rPr>
        <w:t>最大小时浓</w:t>
      </w:r>
      <w:r>
        <w:rPr>
          <w:rFonts w:ascii="宋体" w:hAnsi="宋体" w:eastAsia="宋体" w:cs="宋体"/>
          <w:spacing w:val="-3"/>
          <w:sz w:val="24"/>
          <w:szCs w:val="24"/>
        </w:rPr>
        <w:t>度占标率值最</w:t>
      </w:r>
      <w:r>
        <w:rPr>
          <w:rFonts w:ascii="宋体" w:hAnsi="宋体" w:eastAsia="宋体" w:cs="宋体"/>
          <w:sz w:val="24"/>
          <w:szCs w:val="24"/>
        </w:rPr>
        <w:t xml:space="preserve"> </w:t>
      </w:r>
      <w:r>
        <w:rPr>
          <w:rFonts w:ascii="宋体" w:hAnsi="宋体" w:eastAsia="宋体" w:cs="宋体"/>
          <w:spacing w:val="-2"/>
          <w:sz w:val="24"/>
          <w:szCs w:val="24"/>
        </w:rPr>
        <w:t>大，为</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8.03%</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。根据上述计算结果，确定本项目环境空气评价等级为二级。</w:t>
      </w:r>
    </w:p>
    <w:p w14:paraId="1940BD59">
      <w:pPr>
        <w:spacing w:before="1" w:line="217" w:lineRule="auto"/>
        <w:ind w:left="599"/>
        <w:outlineLvl w:val="2"/>
        <w:rPr>
          <w:rFonts w:ascii="宋体" w:hAnsi="宋体" w:eastAsia="宋体" w:cs="宋体"/>
          <w:sz w:val="24"/>
          <w:szCs w:val="24"/>
        </w:rPr>
      </w:pPr>
      <w:bookmarkStart w:id="31" w:name="bookmark28"/>
      <w:bookmarkEnd w:id="31"/>
      <w:r>
        <w:rPr>
          <w:rFonts w:ascii="Times New Roman" w:hAnsi="Times New Roman" w:eastAsia="Times New Roman" w:cs="Times New Roman"/>
          <w:b/>
          <w:bCs/>
          <w:spacing w:val="-2"/>
          <w:sz w:val="24"/>
          <w:szCs w:val="24"/>
        </w:rPr>
        <w:t xml:space="preserve">2.5.2 </w:t>
      </w:r>
      <w:r>
        <w:rPr>
          <w:rFonts w:ascii="宋体" w:hAnsi="宋体" w:eastAsia="宋体" w:cs="宋体"/>
          <w:b/>
          <w:bCs/>
          <w:spacing w:val="-2"/>
          <w:sz w:val="24"/>
          <w:szCs w:val="24"/>
        </w:rPr>
        <w:t>生态环境评价工作等级</w:t>
      </w:r>
    </w:p>
    <w:p w14:paraId="631347B0">
      <w:pPr>
        <w:spacing w:before="182" w:line="360" w:lineRule="auto"/>
        <w:ind w:left="123" w:right="79" w:firstLine="480"/>
        <w:rPr>
          <w:rFonts w:ascii="宋体" w:hAnsi="宋体" w:eastAsia="宋体" w:cs="宋体"/>
          <w:sz w:val="24"/>
          <w:szCs w:val="24"/>
        </w:rPr>
      </w:pPr>
      <w:r>
        <w:rPr>
          <w:rFonts w:ascii="宋体" w:hAnsi="宋体" w:eastAsia="宋体" w:cs="宋体"/>
          <w:spacing w:val="-2"/>
          <w:sz w:val="24"/>
          <w:szCs w:val="24"/>
        </w:rPr>
        <w:t>本次技改工程主体建设内容位于内蒙古玉龙矿业股份有限公司现有</w:t>
      </w:r>
      <w:r>
        <w:rPr>
          <w:rFonts w:ascii="宋体" w:hAnsi="宋体" w:eastAsia="宋体" w:cs="宋体"/>
          <w:spacing w:val="-3"/>
          <w:sz w:val="24"/>
          <w:szCs w:val="24"/>
        </w:rPr>
        <w:t>厂址内，</w:t>
      </w:r>
      <w:r>
        <w:rPr>
          <w:rFonts w:ascii="宋体" w:hAnsi="宋体" w:eastAsia="宋体" w:cs="宋体"/>
          <w:sz w:val="24"/>
          <w:szCs w:val="24"/>
        </w:rPr>
        <w:t xml:space="preserve"> </w:t>
      </w:r>
      <w:r>
        <w:rPr>
          <w:rFonts w:ascii="宋体" w:hAnsi="宋体" w:eastAsia="宋体" w:cs="宋体"/>
          <w:spacing w:val="-1"/>
          <w:sz w:val="24"/>
          <w:szCs w:val="24"/>
        </w:rPr>
        <w:t>不新增占地。矿区总面积</w:t>
      </w:r>
      <w:r>
        <w:rPr>
          <w:rFonts w:ascii="宋体" w:hAnsi="宋体" w:eastAsia="宋体" w:cs="宋体"/>
          <w:spacing w:val="-33"/>
          <w:sz w:val="24"/>
          <w:szCs w:val="24"/>
        </w:rPr>
        <w:t xml:space="preserve"> </w:t>
      </w:r>
      <w:r>
        <w:rPr>
          <w:rFonts w:ascii="宋体" w:hAnsi="宋体" w:eastAsia="宋体" w:cs="宋体"/>
          <w:spacing w:val="-1"/>
          <w:sz w:val="24"/>
          <w:szCs w:val="24"/>
        </w:rPr>
        <w:t>1.7093km</w:t>
      </w:r>
      <w:r>
        <w:rPr>
          <w:rFonts w:ascii="宋体" w:hAnsi="宋体" w:eastAsia="宋体" w:cs="宋体"/>
          <w:spacing w:val="-1"/>
          <w:position w:val="11"/>
          <w:sz w:val="12"/>
          <w:szCs w:val="12"/>
        </w:rPr>
        <w:t>2</w:t>
      </w:r>
      <w:r>
        <w:rPr>
          <w:rFonts w:ascii="宋体" w:hAnsi="宋体" w:eastAsia="宋体" w:cs="宋体"/>
          <w:spacing w:val="-31"/>
          <w:position w:val="11"/>
          <w:sz w:val="12"/>
          <w:szCs w:val="12"/>
        </w:rPr>
        <w:t xml:space="preserve"> </w:t>
      </w:r>
      <w:r>
        <w:rPr>
          <w:rFonts w:ascii="宋体" w:hAnsi="宋体" w:eastAsia="宋体" w:cs="宋体"/>
          <w:spacing w:val="-1"/>
          <w:sz w:val="24"/>
          <w:szCs w:val="24"/>
        </w:rPr>
        <w:t>，本项目选矿厂及原矿堆场位于矿区中部，</w:t>
      </w:r>
      <w:r>
        <w:rPr>
          <w:rFonts w:ascii="宋体" w:hAnsi="宋体" w:eastAsia="宋体" w:cs="宋体"/>
          <w:sz w:val="24"/>
          <w:szCs w:val="24"/>
        </w:rPr>
        <w:t xml:space="preserve"> </w:t>
      </w:r>
      <w:r>
        <w:rPr>
          <w:rFonts w:ascii="宋体" w:hAnsi="宋体" w:eastAsia="宋体" w:cs="宋体"/>
          <w:spacing w:val="1"/>
          <w:sz w:val="24"/>
          <w:szCs w:val="24"/>
        </w:rPr>
        <w:t>占地面积约</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5.35</w:t>
      </w:r>
      <w:r>
        <w:rPr>
          <w:rFonts w:ascii="Times New Roman" w:hAnsi="Times New Roman" w:eastAsia="Times New Roman" w:cs="Times New Roman"/>
          <w:sz w:val="24"/>
          <w:szCs w:val="24"/>
        </w:rPr>
        <w:t>hm</w:t>
      </w:r>
      <w:r>
        <w:rPr>
          <w:rFonts w:ascii="Times New Roman" w:hAnsi="Times New Roman" w:eastAsia="Times New Roman" w:cs="Times New Roman"/>
          <w:spacing w:val="1"/>
          <w:position w:val="7"/>
          <w:sz w:val="15"/>
          <w:szCs w:val="15"/>
        </w:rPr>
        <w:t xml:space="preserve">2 </w:t>
      </w:r>
      <w:r>
        <w:rPr>
          <w:rFonts w:ascii="宋体" w:hAnsi="宋体" w:eastAsia="宋体" w:cs="宋体"/>
          <w:spacing w:val="1"/>
          <w:sz w:val="24"/>
          <w:szCs w:val="24"/>
        </w:rPr>
        <w:t>。项目周围不包含特殊生态敏感区与重要生态敏感区，属</w:t>
      </w:r>
      <w:r>
        <w:rPr>
          <w:rFonts w:ascii="宋体" w:hAnsi="宋体" w:eastAsia="宋体" w:cs="宋体"/>
          <w:sz w:val="24"/>
          <w:szCs w:val="24"/>
        </w:rPr>
        <w:t xml:space="preserve">  </w:t>
      </w:r>
      <w:r>
        <w:rPr>
          <w:rFonts w:ascii="宋体" w:hAnsi="宋体" w:eastAsia="宋体" w:cs="宋体"/>
          <w:spacing w:val="1"/>
          <w:sz w:val="24"/>
          <w:szCs w:val="24"/>
        </w:rPr>
        <w:t>一般区域，根据《环境影响评价技术导则</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w:t>
      </w:r>
      <w:r>
        <w:rPr>
          <w:rFonts w:ascii="宋体" w:hAnsi="宋体" w:eastAsia="宋体" w:cs="宋体"/>
          <w:sz w:val="24"/>
          <w:szCs w:val="24"/>
        </w:rPr>
        <w:t>（</w:t>
      </w:r>
      <w:r>
        <w:rPr>
          <w:rFonts w:ascii="Times New Roman" w:hAnsi="Times New Roman" w:eastAsia="Times New Roman" w:cs="Times New Roman"/>
          <w:sz w:val="24"/>
          <w:szCs w:val="24"/>
        </w:rPr>
        <w:t>HJ19-2022</w:t>
      </w:r>
      <w:r>
        <w:rPr>
          <w:rFonts w:ascii="宋体" w:hAnsi="宋体" w:eastAsia="宋体" w:cs="宋体"/>
          <w:spacing w:val="9"/>
          <w:sz w:val="24"/>
          <w:szCs w:val="24"/>
        </w:rPr>
        <w:t>），</w:t>
      </w:r>
      <w:r>
        <w:rPr>
          <w:rFonts w:ascii="宋体" w:hAnsi="宋体" w:eastAsia="宋体" w:cs="宋体"/>
          <w:sz w:val="24"/>
          <w:szCs w:val="24"/>
        </w:rPr>
        <w:t xml:space="preserve">本项目  </w:t>
      </w:r>
      <w:r>
        <w:rPr>
          <w:rFonts w:ascii="宋体" w:hAnsi="宋体" w:eastAsia="宋体" w:cs="宋体"/>
          <w:spacing w:val="-1"/>
          <w:sz w:val="24"/>
          <w:szCs w:val="24"/>
        </w:rPr>
        <w:t>技改位于原厂界范围内，不新增占地，可做生态影响分析。</w:t>
      </w:r>
    </w:p>
    <w:p w14:paraId="09168F57">
      <w:pPr>
        <w:spacing w:before="2" w:line="218" w:lineRule="auto"/>
        <w:ind w:left="599"/>
        <w:outlineLvl w:val="2"/>
        <w:rPr>
          <w:rFonts w:ascii="宋体" w:hAnsi="宋体" w:eastAsia="宋体" w:cs="宋体"/>
          <w:sz w:val="24"/>
          <w:szCs w:val="24"/>
        </w:rPr>
      </w:pPr>
      <w:bookmarkStart w:id="32" w:name="bookmark29"/>
      <w:bookmarkEnd w:id="32"/>
      <w:r>
        <w:rPr>
          <w:rFonts w:ascii="Times New Roman" w:hAnsi="Times New Roman" w:eastAsia="Times New Roman" w:cs="Times New Roman"/>
          <w:b/>
          <w:bCs/>
          <w:spacing w:val="-4"/>
          <w:sz w:val="24"/>
          <w:szCs w:val="24"/>
        </w:rPr>
        <w:t>2.5.3</w:t>
      </w:r>
      <w:r>
        <w:rPr>
          <w:rFonts w:ascii="Times New Roman" w:hAnsi="Times New Roman" w:eastAsia="Times New Roman" w:cs="Times New Roman"/>
          <w:b/>
          <w:bCs/>
          <w:spacing w:val="32"/>
          <w:sz w:val="24"/>
          <w:szCs w:val="24"/>
        </w:rPr>
        <w:t xml:space="preserve"> </w:t>
      </w:r>
      <w:r>
        <w:rPr>
          <w:rFonts w:ascii="宋体" w:hAnsi="宋体" w:eastAsia="宋体" w:cs="宋体"/>
          <w:b/>
          <w:bCs/>
          <w:spacing w:val="-4"/>
          <w:sz w:val="24"/>
          <w:szCs w:val="24"/>
        </w:rPr>
        <w:t>噪声评价工作等级</w:t>
      </w:r>
    </w:p>
    <w:p w14:paraId="09E3B203">
      <w:pPr>
        <w:spacing w:before="183" w:line="345" w:lineRule="auto"/>
        <w:ind w:left="126" w:right="261" w:firstLine="478"/>
        <w:jc w:val="both"/>
        <w:rPr>
          <w:rFonts w:ascii="宋体" w:hAnsi="宋体" w:eastAsia="宋体" w:cs="宋体"/>
          <w:sz w:val="24"/>
          <w:szCs w:val="24"/>
        </w:rPr>
      </w:pPr>
      <w:r>
        <w:rPr>
          <w:rFonts w:ascii="宋体" w:hAnsi="宋体" w:eastAsia="宋体" w:cs="宋体"/>
          <w:spacing w:val="-3"/>
          <w:sz w:val="24"/>
          <w:szCs w:val="24"/>
        </w:rPr>
        <w:t>依据《环境影响评价技术导则 声环境》（</w:t>
      </w:r>
      <w:r>
        <w:rPr>
          <w:rFonts w:ascii="Times New Roman" w:hAnsi="Times New Roman" w:eastAsia="Times New Roman" w:cs="Times New Roman"/>
          <w:spacing w:val="-3"/>
          <w:sz w:val="24"/>
          <w:szCs w:val="24"/>
        </w:rPr>
        <w:t>HJ/2.4-2021</w:t>
      </w:r>
      <w:r>
        <w:rPr>
          <w:rFonts w:ascii="宋体" w:hAnsi="宋体" w:eastAsia="宋体" w:cs="宋体"/>
          <w:spacing w:val="-4"/>
          <w:sz w:val="24"/>
          <w:szCs w:val="24"/>
        </w:rPr>
        <w:t>）中的有关规定：建</w:t>
      </w:r>
      <w:r>
        <w:rPr>
          <w:rFonts w:ascii="宋体" w:hAnsi="宋体" w:eastAsia="宋体" w:cs="宋体"/>
          <w:sz w:val="24"/>
          <w:szCs w:val="24"/>
        </w:rPr>
        <w:t xml:space="preserve"> </w:t>
      </w:r>
      <w:r>
        <w:rPr>
          <w:rFonts w:ascii="宋体" w:hAnsi="宋体" w:eastAsia="宋体" w:cs="宋体"/>
          <w:spacing w:val="-1"/>
          <w:sz w:val="24"/>
          <w:szCs w:val="24"/>
        </w:rPr>
        <w:t>设项目所处的声环境功能区为</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 xml:space="preserve">GB 3096 </w:t>
      </w:r>
      <w:r>
        <w:rPr>
          <w:rFonts w:ascii="宋体" w:hAnsi="宋体" w:eastAsia="宋体" w:cs="宋体"/>
          <w:spacing w:val="-1"/>
          <w:sz w:val="24"/>
          <w:szCs w:val="24"/>
        </w:rPr>
        <w:t>规定的</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类、</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类地区，或建设项目建</w:t>
      </w:r>
      <w:r>
        <w:rPr>
          <w:rFonts w:ascii="宋体" w:hAnsi="宋体" w:eastAsia="宋体" w:cs="宋体"/>
          <w:sz w:val="24"/>
          <w:szCs w:val="24"/>
        </w:rPr>
        <w:t xml:space="preserve"> </w:t>
      </w:r>
      <w:r>
        <w:rPr>
          <w:rFonts w:ascii="宋体" w:hAnsi="宋体" w:eastAsia="宋体" w:cs="宋体"/>
          <w:spacing w:val="-3"/>
          <w:sz w:val="24"/>
          <w:szCs w:val="24"/>
        </w:rPr>
        <w:t>设前后评价范围内敏感目标噪声级增高量达</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3~5dB(A)[</w:t>
      </w:r>
      <w:r>
        <w:rPr>
          <w:rFonts w:ascii="宋体" w:hAnsi="宋体" w:eastAsia="宋体" w:cs="宋体"/>
          <w:spacing w:val="-3"/>
          <w:sz w:val="24"/>
          <w:szCs w:val="24"/>
        </w:rPr>
        <w:t>含</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5dB(A)]</w:t>
      </w:r>
      <w:r>
        <w:rPr>
          <w:rFonts w:ascii="宋体" w:hAnsi="宋体" w:eastAsia="宋体" w:cs="宋体"/>
          <w:spacing w:val="-3"/>
          <w:sz w:val="24"/>
          <w:szCs w:val="24"/>
        </w:rPr>
        <w:t>，或受噪声影</w:t>
      </w:r>
      <w:r>
        <w:rPr>
          <w:rFonts w:ascii="宋体" w:hAnsi="宋体" w:eastAsia="宋体" w:cs="宋体"/>
          <w:sz w:val="24"/>
          <w:szCs w:val="24"/>
        </w:rPr>
        <w:t xml:space="preserve"> </w:t>
      </w:r>
      <w:r>
        <w:rPr>
          <w:rFonts w:ascii="宋体" w:hAnsi="宋体" w:eastAsia="宋体" w:cs="宋体"/>
          <w:spacing w:val="-1"/>
          <w:sz w:val="24"/>
          <w:szCs w:val="24"/>
        </w:rPr>
        <w:t>响人口数量增加较多时，按二级评价。</w:t>
      </w:r>
    </w:p>
    <w:p w14:paraId="5F291589">
      <w:pPr>
        <w:spacing w:before="4" w:line="359" w:lineRule="auto"/>
        <w:ind w:left="122" w:right="110" w:firstLine="483"/>
        <w:jc w:val="both"/>
        <w:rPr>
          <w:rFonts w:ascii="宋体" w:hAnsi="宋体" w:eastAsia="宋体" w:cs="宋体"/>
          <w:sz w:val="24"/>
          <w:szCs w:val="24"/>
        </w:rPr>
      </w:pPr>
      <w:r>
        <w:rPr>
          <w:rFonts w:ascii="宋体" w:hAnsi="宋体" w:eastAsia="宋体" w:cs="宋体"/>
          <w:spacing w:val="-4"/>
          <w:sz w:val="24"/>
          <w:szCs w:val="24"/>
        </w:rPr>
        <w:t>项目所在区域属</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类声环境功能区，选厂西南侧</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152m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处有</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户牧民，项目</w:t>
      </w:r>
      <w:r>
        <w:rPr>
          <w:rFonts w:ascii="宋体" w:hAnsi="宋体" w:eastAsia="宋体" w:cs="宋体"/>
          <w:sz w:val="24"/>
          <w:szCs w:val="24"/>
        </w:rPr>
        <w:t xml:space="preserve"> </w:t>
      </w:r>
      <w:r>
        <w:rPr>
          <w:rFonts w:ascii="宋体" w:hAnsi="宋体" w:eastAsia="宋体" w:cs="宋体"/>
          <w:spacing w:val="-1"/>
          <w:sz w:val="24"/>
          <w:szCs w:val="24"/>
        </w:rPr>
        <w:t>影响人口数很少，根据《环境影响评价技术导则声环境》（</w:t>
      </w:r>
      <w:r>
        <w:rPr>
          <w:rFonts w:ascii="Times New Roman" w:hAnsi="Times New Roman" w:eastAsia="Times New Roman" w:cs="Times New Roman"/>
          <w:spacing w:val="-1"/>
          <w:sz w:val="24"/>
          <w:szCs w:val="24"/>
        </w:rPr>
        <w:t>HJ2.4-2009</w:t>
      </w:r>
      <w:r>
        <w:rPr>
          <w:rFonts w:ascii="宋体" w:hAnsi="宋体" w:eastAsia="宋体" w:cs="宋体"/>
          <w:spacing w:val="6"/>
          <w:sz w:val="24"/>
          <w:szCs w:val="24"/>
        </w:rPr>
        <w:t>），</w:t>
      </w:r>
      <w:r>
        <w:rPr>
          <w:rFonts w:ascii="宋体" w:hAnsi="宋体" w:eastAsia="宋体" w:cs="宋体"/>
          <w:spacing w:val="-1"/>
          <w:sz w:val="24"/>
          <w:szCs w:val="24"/>
        </w:rPr>
        <w:t>声环</w:t>
      </w:r>
      <w:r>
        <w:rPr>
          <w:rFonts w:ascii="宋体" w:hAnsi="宋体" w:eastAsia="宋体" w:cs="宋体"/>
          <w:sz w:val="24"/>
          <w:szCs w:val="24"/>
        </w:rPr>
        <w:t xml:space="preserve"> </w:t>
      </w:r>
      <w:r>
        <w:rPr>
          <w:rFonts w:ascii="宋体" w:hAnsi="宋体" w:eastAsia="宋体" w:cs="宋体"/>
          <w:spacing w:val="-1"/>
          <w:sz w:val="24"/>
          <w:szCs w:val="24"/>
        </w:rPr>
        <w:t>境评价等级定为二级。</w:t>
      </w:r>
    </w:p>
    <w:p w14:paraId="654F0E2D">
      <w:pPr>
        <w:spacing w:before="76" w:line="218" w:lineRule="auto"/>
        <w:ind w:left="599"/>
        <w:outlineLvl w:val="2"/>
        <w:rPr>
          <w:rFonts w:ascii="宋体" w:hAnsi="宋体" w:eastAsia="宋体" w:cs="宋体"/>
          <w:sz w:val="24"/>
          <w:szCs w:val="24"/>
        </w:rPr>
      </w:pPr>
      <w:bookmarkStart w:id="33" w:name="bookmark30"/>
      <w:bookmarkEnd w:id="33"/>
      <w:r>
        <w:rPr>
          <w:rFonts w:ascii="Times New Roman" w:hAnsi="Times New Roman" w:eastAsia="Times New Roman" w:cs="Times New Roman"/>
          <w:b/>
          <w:bCs/>
          <w:spacing w:val="-2"/>
          <w:sz w:val="24"/>
          <w:szCs w:val="24"/>
        </w:rPr>
        <w:t xml:space="preserve">2.5.4 </w:t>
      </w:r>
      <w:r>
        <w:rPr>
          <w:rFonts w:ascii="宋体" w:hAnsi="宋体" w:eastAsia="宋体" w:cs="宋体"/>
          <w:b/>
          <w:bCs/>
          <w:spacing w:val="-2"/>
          <w:sz w:val="24"/>
          <w:szCs w:val="24"/>
        </w:rPr>
        <w:t>环境风险评价工作等级</w:t>
      </w:r>
    </w:p>
    <w:p w14:paraId="2685EFFB">
      <w:pPr>
        <w:spacing w:before="108" w:line="366" w:lineRule="auto"/>
        <w:ind w:left="125" w:right="261" w:firstLine="477"/>
        <w:jc w:val="both"/>
        <w:rPr>
          <w:rFonts w:ascii="宋体" w:hAnsi="宋体" w:eastAsia="宋体" w:cs="宋体"/>
          <w:sz w:val="24"/>
          <w:szCs w:val="24"/>
        </w:rPr>
      </w:pPr>
      <w:r>
        <w:rPr>
          <w:rFonts w:ascii="宋体" w:hAnsi="宋体" w:eastAsia="宋体" w:cs="宋体"/>
          <w:spacing w:val="-2"/>
          <w:sz w:val="24"/>
          <w:szCs w:val="24"/>
        </w:rPr>
        <w:t>通过对照《建设项目环境风险评价技术导则》（</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3"/>
          <w:sz w:val="24"/>
          <w:szCs w:val="24"/>
        </w:rPr>
        <w:t>169-2018</w:t>
      </w:r>
      <w:r>
        <w:rPr>
          <w:rFonts w:ascii="宋体" w:hAnsi="宋体" w:eastAsia="宋体" w:cs="宋体"/>
          <w:spacing w:val="-3"/>
          <w:sz w:val="24"/>
          <w:szCs w:val="24"/>
        </w:rPr>
        <w:t>）附录</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A.1</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内</w:t>
      </w:r>
      <w:r>
        <w:rPr>
          <w:rFonts w:ascii="宋体" w:hAnsi="宋体" w:eastAsia="宋体" w:cs="宋体"/>
          <w:sz w:val="24"/>
          <w:szCs w:val="24"/>
        </w:rPr>
        <w:t xml:space="preserve"> 容，对企业产品以及主要原辅材料的物性（危</w:t>
      </w:r>
      <w:r>
        <w:rPr>
          <w:rFonts w:ascii="宋体" w:hAnsi="宋体" w:eastAsia="宋体" w:cs="宋体"/>
          <w:spacing w:val="-1"/>
          <w:sz w:val="24"/>
          <w:szCs w:val="24"/>
        </w:rPr>
        <w:t>险性和毒性）的分析，项目运营</w:t>
      </w:r>
      <w:r>
        <w:rPr>
          <w:rFonts w:ascii="宋体" w:hAnsi="宋体" w:eastAsia="宋体" w:cs="宋体"/>
          <w:sz w:val="24"/>
          <w:szCs w:val="24"/>
        </w:rPr>
        <w:t xml:space="preserve"> </w:t>
      </w:r>
      <w:r>
        <w:rPr>
          <w:rFonts w:ascii="宋体" w:hAnsi="宋体" w:eastAsia="宋体" w:cs="宋体"/>
          <w:spacing w:val="2"/>
          <w:sz w:val="24"/>
          <w:szCs w:val="24"/>
        </w:rPr>
        <w:t>中涉及危险化学品为废机油。根据危险物质</w:t>
      </w:r>
      <w:r>
        <w:rPr>
          <w:rFonts w:ascii="宋体" w:hAnsi="宋体" w:eastAsia="宋体" w:cs="宋体"/>
          <w:spacing w:val="1"/>
          <w:sz w:val="24"/>
          <w:szCs w:val="24"/>
        </w:rPr>
        <w:t>数量与临界量比值（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）的计算结</w:t>
      </w:r>
      <w:r>
        <w:rPr>
          <w:rFonts w:ascii="宋体" w:hAnsi="宋体" w:eastAsia="宋体" w:cs="宋体"/>
          <w:sz w:val="24"/>
          <w:szCs w:val="24"/>
        </w:rPr>
        <w:t xml:space="preserve"> </w:t>
      </w:r>
      <w:r>
        <w:rPr>
          <w:rFonts w:ascii="宋体" w:hAnsi="宋体" w:eastAsia="宋体" w:cs="宋体"/>
          <w:spacing w:val="-3"/>
          <w:sz w:val="24"/>
          <w:szCs w:val="24"/>
        </w:rPr>
        <w:t>果得出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Q=0.0004</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。当</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Q</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时，该项目环境风险潜势为</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I</w:t>
      </w:r>
      <w:r>
        <w:rPr>
          <w:rFonts w:ascii="宋体" w:hAnsi="宋体" w:eastAsia="宋体" w:cs="宋体"/>
          <w:spacing w:val="-3"/>
          <w:sz w:val="24"/>
          <w:szCs w:val="24"/>
        </w:rPr>
        <w:t>。</w:t>
      </w:r>
    </w:p>
    <w:p w14:paraId="7B6407D0">
      <w:pPr>
        <w:spacing w:before="198" w:line="219" w:lineRule="auto"/>
        <w:ind w:left="108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2.5-5  </w:t>
      </w:r>
      <w:r>
        <w:rPr>
          <w:rFonts w:ascii="宋体" w:hAnsi="宋体" w:eastAsia="宋体" w:cs="宋体"/>
          <w:spacing w:val="-1"/>
          <w:sz w:val="24"/>
          <w:szCs w:val="24"/>
        </w:rPr>
        <w:t>建设项目环境风险物质最大储存量和临界量</w:t>
      </w:r>
    </w:p>
    <w:p w14:paraId="0DF46301">
      <w:pPr>
        <w:spacing w:line="188"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1822"/>
        <w:gridCol w:w="1951"/>
        <w:gridCol w:w="1431"/>
        <w:gridCol w:w="1431"/>
        <w:gridCol w:w="1143"/>
      </w:tblGrid>
      <w:tr w14:paraId="04018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1" w:type="dxa"/>
            <w:vAlign w:val="top"/>
          </w:tcPr>
          <w:p w14:paraId="67C6A4B0">
            <w:pPr>
              <w:pStyle w:val="6"/>
              <w:spacing w:before="57" w:line="229" w:lineRule="auto"/>
              <w:ind w:left="170"/>
            </w:pPr>
            <w:r>
              <w:rPr>
                <w:spacing w:val="5"/>
              </w:rPr>
              <w:t>序号</w:t>
            </w:r>
          </w:p>
        </w:tc>
        <w:tc>
          <w:tcPr>
            <w:tcW w:w="1822" w:type="dxa"/>
            <w:vAlign w:val="top"/>
          </w:tcPr>
          <w:p w14:paraId="73B414DF">
            <w:pPr>
              <w:pStyle w:val="6"/>
              <w:spacing w:before="57" w:line="228" w:lineRule="auto"/>
              <w:ind w:left="704"/>
            </w:pPr>
            <w:r>
              <w:rPr>
                <w:spacing w:val="4"/>
              </w:rPr>
              <w:t>物质</w:t>
            </w:r>
          </w:p>
        </w:tc>
        <w:tc>
          <w:tcPr>
            <w:tcW w:w="1951" w:type="dxa"/>
            <w:vAlign w:val="top"/>
          </w:tcPr>
          <w:p w14:paraId="03897C88">
            <w:pPr>
              <w:pStyle w:val="6"/>
              <w:spacing w:before="57" w:line="229" w:lineRule="auto"/>
              <w:ind w:left="617"/>
            </w:pPr>
            <w:r>
              <w:rPr>
                <w:rFonts w:ascii="Times New Roman" w:hAnsi="Times New Roman" w:eastAsia="Times New Roman" w:cs="Times New Roman"/>
              </w:rPr>
              <w:t>CAS</w:t>
            </w:r>
            <w:r>
              <w:rPr>
                <w:rFonts w:ascii="Times New Roman" w:hAnsi="Times New Roman" w:eastAsia="Times New Roman" w:cs="Times New Roman"/>
                <w:spacing w:val="10"/>
              </w:rPr>
              <w:t xml:space="preserve">  </w:t>
            </w:r>
            <w:r>
              <w:rPr>
                <w:spacing w:val="9"/>
              </w:rPr>
              <w:t>号</w:t>
            </w:r>
          </w:p>
        </w:tc>
        <w:tc>
          <w:tcPr>
            <w:tcW w:w="1431" w:type="dxa"/>
            <w:vAlign w:val="top"/>
          </w:tcPr>
          <w:p w14:paraId="7512EA87">
            <w:pPr>
              <w:pStyle w:val="6"/>
              <w:spacing w:before="56" w:line="228" w:lineRule="auto"/>
              <w:ind w:left="363"/>
              <w:rPr>
                <w:rFonts w:ascii="Times New Roman" w:hAnsi="Times New Roman" w:eastAsia="Times New Roman" w:cs="Times New Roman"/>
              </w:rPr>
            </w:pPr>
            <w:r>
              <w:rPr>
                <w:spacing w:val="2"/>
              </w:rPr>
              <w:t>临界量</w:t>
            </w:r>
            <w:r>
              <w:rPr>
                <w:spacing w:val="-45"/>
              </w:rPr>
              <w:t xml:space="preserve"> </w:t>
            </w:r>
            <w:r>
              <w:rPr>
                <w:rFonts w:ascii="Times New Roman" w:hAnsi="Times New Roman" w:eastAsia="Times New Roman" w:cs="Times New Roman"/>
                <w:spacing w:val="2"/>
              </w:rPr>
              <w:t>t</w:t>
            </w:r>
          </w:p>
        </w:tc>
        <w:tc>
          <w:tcPr>
            <w:tcW w:w="1431" w:type="dxa"/>
            <w:vAlign w:val="top"/>
          </w:tcPr>
          <w:p w14:paraId="693E2093">
            <w:pPr>
              <w:pStyle w:val="6"/>
              <w:spacing w:before="56" w:line="228" w:lineRule="auto"/>
              <w:ind w:left="144"/>
              <w:rPr>
                <w:rFonts w:ascii="Times New Roman" w:hAnsi="Times New Roman" w:eastAsia="Times New Roman" w:cs="Times New Roman"/>
              </w:rPr>
            </w:pPr>
            <w:r>
              <w:rPr>
                <w:spacing w:val="6"/>
              </w:rPr>
              <w:t>最大存储量</w:t>
            </w:r>
            <w:r>
              <w:rPr>
                <w:spacing w:val="-44"/>
              </w:rPr>
              <w:t xml:space="preserve"> </w:t>
            </w:r>
            <w:r>
              <w:rPr>
                <w:rFonts w:ascii="Times New Roman" w:hAnsi="Times New Roman" w:eastAsia="Times New Roman" w:cs="Times New Roman"/>
                <w:spacing w:val="6"/>
              </w:rPr>
              <w:t>t</w:t>
            </w:r>
          </w:p>
        </w:tc>
        <w:tc>
          <w:tcPr>
            <w:tcW w:w="1143" w:type="dxa"/>
            <w:vAlign w:val="top"/>
          </w:tcPr>
          <w:p w14:paraId="45F05C40">
            <w:pPr>
              <w:pStyle w:val="6"/>
              <w:spacing w:before="57" w:line="221" w:lineRule="auto"/>
              <w:ind w:left="368"/>
            </w:pPr>
            <w:r>
              <w:rPr>
                <w:rFonts w:ascii="Times New Roman" w:hAnsi="Times New Roman" w:eastAsia="Times New Roman" w:cs="Times New Roman"/>
                <w:spacing w:val="-1"/>
              </w:rPr>
              <w:t>Q</w:t>
            </w:r>
            <w:r>
              <w:rPr>
                <w:rFonts w:ascii="Times New Roman" w:hAnsi="Times New Roman" w:eastAsia="Times New Roman" w:cs="Times New Roman"/>
                <w:spacing w:val="12"/>
              </w:rPr>
              <w:t xml:space="preserve"> </w:t>
            </w:r>
            <w:r>
              <w:rPr>
                <w:spacing w:val="-1"/>
              </w:rPr>
              <w:t>值</w:t>
            </w:r>
          </w:p>
        </w:tc>
      </w:tr>
      <w:tr w14:paraId="3ED6C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51" w:type="dxa"/>
            <w:vAlign w:val="top"/>
          </w:tcPr>
          <w:p w14:paraId="734EF334">
            <w:pPr>
              <w:spacing w:before="89"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22" w:type="dxa"/>
            <w:vAlign w:val="top"/>
          </w:tcPr>
          <w:p w14:paraId="34A2E9F8">
            <w:pPr>
              <w:pStyle w:val="6"/>
              <w:spacing w:before="53" w:line="227" w:lineRule="auto"/>
              <w:ind w:left="598"/>
            </w:pPr>
            <w:r>
              <w:rPr>
                <w:spacing w:val="7"/>
              </w:rPr>
              <w:t>废机油</w:t>
            </w:r>
          </w:p>
        </w:tc>
        <w:tc>
          <w:tcPr>
            <w:tcW w:w="1951" w:type="dxa"/>
            <w:vAlign w:val="top"/>
          </w:tcPr>
          <w:p w14:paraId="45D1A122">
            <w:pPr>
              <w:spacing w:before="85" w:line="199"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31" w:type="dxa"/>
            <w:vAlign w:val="top"/>
          </w:tcPr>
          <w:p w14:paraId="1479CF49">
            <w:pPr>
              <w:spacing w:before="89"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431" w:type="dxa"/>
            <w:vAlign w:val="top"/>
          </w:tcPr>
          <w:p w14:paraId="3092FE84">
            <w:pPr>
              <w:spacing w:before="89" w:line="195" w:lineRule="auto"/>
              <w:ind w:left="6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14:paraId="6537869B">
            <w:pPr>
              <w:spacing w:before="8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r>
      <w:tr w14:paraId="656A9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1" w:type="dxa"/>
            <w:vAlign w:val="top"/>
          </w:tcPr>
          <w:p w14:paraId="225AA691">
            <w:pPr>
              <w:pStyle w:val="6"/>
              <w:spacing w:before="55" w:line="229" w:lineRule="auto"/>
              <w:ind w:left="172"/>
            </w:pPr>
            <w:r>
              <w:rPr>
                <w:spacing w:val="4"/>
              </w:rPr>
              <w:t>合计</w:t>
            </w:r>
          </w:p>
        </w:tc>
        <w:tc>
          <w:tcPr>
            <w:tcW w:w="6635" w:type="dxa"/>
            <w:gridSpan w:val="4"/>
            <w:vAlign w:val="top"/>
          </w:tcPr>
          <w:p w14:paraId="0EE48BC5">
            <w:pPr>
              <w:spacing w:before="91" w:line="197" w:lineRule="auto"/>
              <w:ind w:left="3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ΣQ</w:t>
            </w:r>
          </w:p>
        </w:tc>
        <w:tc>
          <w:tcPr>
            <w:tcW w:w="1143" w:type="dxa"/>
            <w:vAlign w:val="top"/>
          </w:tcPr>
          <w:p w14:paraId="1514D462">
            <w:pPr>
              <w:spacing w:before="9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r>
    </w:tbl>
    <w:p w14:paraId="4AAD0F3F">
      <w:pPr>
        <w:spacing w:before="37" w:line="219" w:lineRule="auto"/>
        <w:ind w:left="606"/>
        <w:rPr>
          <w:rFonts w:ascii="宋体" w:hAnsi="宋体" w:eastAsia="宋体" w:cs="宋体"/>
          <w:sz w:val="24"/>
          <w:szCs w:val="24"/>
        </w:rPr>
      </w:pPr>
      <w:r>
        <w:rPr>
          <w:rFonts w:ascii="宋体" w:hAnsi="宋体" w:eastAsia="宋体" w:cs="宋体"/>
          <w:spacing w:val="-1"/>
          <w:sz w:val="24"/>
          <w:szCs w:val="24"/>
        </w:rPr>
        <w:t>项目工作等级划分见表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2.5-6 </w:t>
      </w:r>
      <w:r>
        <w:rPr>
          <w:rFonts w:ascii="宋体" w:hAnsi="宋体" w:eastAsia="宋体" w:cs="宋体"/>
          <w:spacing w:val="-1"/>
          <w:sz w:val="24"/>
          <w:szCs w:val="24"/>
        </w:rPr>
        <w:t>所示。</w:t>
      </w:r>
    </w:p>
    <w:p w14:paraId="4597E2EA">
      <w:pPr>
        <w:spacing w:before="181" w:line="212" w:lineRule="auto"/>
        <w:ind w:left="2240"/>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2.5-6                    </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风险评价工作级别</w:t>
      </w:r>
    </w:p>
    <w:tbl>
      <w:tblPr>
        <w:tblStyle w:val="5"/>
        <w:tblW w:w="8459"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3"/>
        <w:gridCol w:w="1690"/>
        <w:gridCol w:w="1691"/>
        <w:gridCol w:w="1691"/>
        <w:gridCol w:w="1694"/>
      </w:tblGrid>
      <w:tr w14:paraId="4BEC2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693" w:type="dxa"/>
            <w:vAlign w:val="top"/>
          </w:tcPr>
          <w:p w14:paraId="55E37321">
            <w:pPr>
              <w:pStyle w:val="6"/>
              <w:spacing w:before="50" w:line="228" w:lineRule="auto"/>
              <w:ind w:left="221"/>
            </w:pPr>
            <w:r>
              <w:rPr>
                <w:spacing w:val="8"/>
              </w:rPr>
              <w:t>环境风险潜势</w:t>
            </w:r>
          </w:p>
        </w:tc>
        <w:tc>
          <w:tcPr>
            <w:tcW w:w="1690" w:type="dxa"/>
            <w:vAlign w:val="top"/>
          </w:tcPr>
          <w:p w14:paraId="7ABDC898">
            <w:pPr>
              <w:pStyle w:val="6"/>
              <w:spacing w:before="89" w:line="183" w:lineRule="auto"/>
              <w:ind w:left="436"/>
              <w:rPr>
                <w:rFonts w:ascii="Times New Roman" w:hAnsi="Times New Roman" w:eastAsia="Times New Roman" w:cs="Times New Roman"/>
              </w:rPr>
            </w:pPr>
            <w:r>
              <w:rPr>
                <w:rFonts w:ascii="Times New Roman" w:hAnsi="Times New Roman" w:eastAsia="Times New Roman" w:cs="Times New Roman"/>
              </w:rPr>
              <w:t>Ⅳ</w:t>
            </w:r>
            <w:r>
              <w:rPr>
                <w:rFonts w:ascii="Times New Roman" w:hAnsi="Times New Roman" w:eastAsia="Times New Roman" w:cs="Times New Roman"/>
                <w:spacing w:val="-27"/>
              </w:rPr>
              <w:t xml:space="preserve"> </w:t>
            </w:r>
            <w:r>
              <w:t>、</w:t>
            </w:r>
            <w:r>
              <w:rPr>
                <w:rFonts w:ascii="Times New Roman" w:hAnsi="Times New Roman" w:eastAsia="Times New Roman" w:cs="Times New Roman"/>
              </w:rPr>
              <w:t>Ⅳ</w:t>
            </w:r>
            <w:r>
              <w:rPr>
                <w:rFonts w:ascii="Times New Roman" w:hAnsi="Times New Roman" w:eastAsia="Times New Roman" w:cs="Times New Roman"/>
                <w:spacing w:val="8"/>
              </w:rPr>
              <w:t xml:space="preserve"> </w:t>
            </w:r>
            <w:r>
              <w:rPr>
                <w:rFonts w:ascii="Times New Roman" w:hAnsi="Times New Roman" w:eastAsia="Times New Roman" w:cs="Times New Roman"/>
              </w:rPr>
              <w:t>+</w:t>
            </w:r>
          </w:p>
        </w:tc>
        <w:tc>
          <w:tcPr>
            <w:tcW w:w="1691" w:type="dxa"/>
            <w:vAlign w:val="top"/>
          </w:tcPr>
          <w:p w14:paraId="4AFB006A">
            <w:pPr>
              <w:spacing w:before="89" w:line="192"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691" w:type="dxa"/>
            <w:vAlign w:val="top"/>
          </w:tcPr>
          <w:p w14:paraId="25897F93">
            <w:pPr>
              <w:spacing w:before="89" w:line="192"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694" w:type="dxa"/>
            <w:vAlign w:val="top"/>
          </w:tcPr>
          <w:p w14:paraId="13D3DD4D">
            <w:pPr>
              <w:spacing w:before="89" w:line="192" w:lineRule="auto"/>
              <w:ind w:left="814"/>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070E3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693" w:type="dxa"/>
            <w:vAlign w:val="top"/>
          </w:tcPr>
          <w:p w14:paraId="2A1A7D51">
            <w:pPr>
              <w:pStyle w:val="6"/>
              <w:spacing w:before="51" w:line="226" w:lineRule="auto"/>
              <w:ind w:left="220"/>
            </w:pPr>
            <w:r>
              <w:rPr>
                <w:spacing w:val="8"/>
              </w:rPr>
              <w:t>评价工作等级</w:t>
            </w:r>
          </w:p>
        </w:tc>
        <w:tc>
          <w:tcPr>
            <w:tcW w:w="1690" w:type="dxa"/>
            <w:vAlign w:val="top"/>
          </w:tcPr>
          <w:p w14:paraId="70AFAF29">
            <w:pPr>
              <w:pStyle w:val="6"/>
              <w:spacing w:before="129" w:line="156" w:lineRule="exact"/>
              <w:ind w:left="747"/>
            </w:pPr>
            <w:r>
              <w:rPr>
                <w:position w:val="-4"/>
              </w:rPr>
              <w:t>一</w:t>
            </w:r>
          </w:p>
        </w:tc>
        <w:tc>
          <w:tcPr>
            <w:tcW w:w="1691" w:type="dxa"/>
            <w:vAlign w:val="top"/>
          </w:tcPr>
          <w:p w14:paraId="58E0E8EB">
            <w:pPr>
              <w:pStyle w:val="6"/>
              <w:spacing w:before="90" w:line="183" w:lineRule="auto"/>
              <w:ind w:left="749"/>
            </w:pPr>
            <w:r>
              <w:t>二</w:t>
            </w:r>
          </w:p>
        </w:tc>
        <w:tc>
          <w:tcPr>
            <w:tcW w:w="1691" w:type="dxa"/>
            <w:vAlign w:val="top"/>
          </w:tcPr>
          <w:p w14:paraId="76F25BC4">
            <w:pPr>
              <w:pStyle w:val="6"/>
              <w:spacing w:before="51" w:line="265" w:lineRule="exact"/>
              <w:ind w:left="746"/>
            </w:pPr>
            <w:r>
              <w:rPr>
                <w:position w:val="1"/>
              </w:rPr>
              <w:t>三</w:t>
            </w:r>
          </w:p>
        </w:tc>
        <w:tc>
          <w:tcPr>
            <w:tcW w:w="1694" w:type="dxa"/>
            <w:vAlign w:val="top"/>
          </w:tcPr>
          <w:p w14:paraId="02BD3A83">
            <w:pPr>
              <w:pStyle w:val="6"/>
              <w:spacing w:before="51" w:line="227" w:lineRule="auto"/>
              <w:ind w:left="365"/>
              <w:rPr>
                <w:rFonts w:ascii="Times New Roman" w:hAnsi="Times New Roman" w:eastAsia="Times New Roman" w:cs="Times New Roman"/>
              </w:rPr>
            </w:pPr>
            <w:r>
              <w:rPr>
                <w:spacing w:val="5"/>
              </w:rPr>
              <w:t>简单分析</w:t>
            </w:r>
            <w:r>
              <w:rPr>
                <w:spacing w:val="-40"/>
              </w:rPr>
              <w:t xml:space="preserve"> </w:t>
            </w:r>
            <w:r>
              <w:rPr>
                <w:rFonts w:ascii="Times New Roman" w:hAnsi="Times New Roman" w:eastAsia="Times New Roman" w:cs="Times New Roman"/>
                <w:spacing w:val="5"/>
              </w:rPr>
              <w:t>a</w:t>
            </w:r>
          </w:p>
        </w:tc>
      </w:tr>
      <w:tr w14:paraId="3EA1A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459" w:type="dxa"/>
            <w:gridSpan w:val="5"/>
            <w:vAlign w:val="top"/>
          </w:tcPr>
          <w:p w14:paraId="5E3BE75D">
            <w:pPr>
              <w:pStyle w:val="6"/>
              <w:spacing w:before="52" w:line="226" w:lineRule="auto"/>
              <w:ind w:left="113"/>
            </w:pPr>
            <w:r>
              <w:rPr>
                <w:rFonts w:ascii="Times New Roman" w:hAnsi="Times New Roman" w:eastAsia="Times New Roman" w:cs="Times New Roman"/>
                <w:spacing w:val="9"/>
              </w:rPr>
              <w:t xml:space="preserve">a  </w:t>
            </w:r>
            <w:r>
              <w:rPr>
                <w:spacing w:val="9"/>
              </w:rPr>
              <w:t>是相对于详细评价工作内容而言，在描述危险物质、环境影响途径、环境危害后果、风</w:t>
            </w:r>
          </w:p>
        </w:tc>
      </w:tr>
    </w:tbl>
    <w:p w14:paraId="59A4E90A">
      <w:pPr>
        <w:pStyle w:val="2"/>
        <w:spacing w:line="210" w:lineRule="exact"/>
        <w:rPr>
          <w:sz w:val="18"/>
        </w:rPr>
      </w:pPr>
    </w:p>
    <w:p w14:paraId="7725EF67">
      <w:pPr>
        <w:spacing w:line="210" w:lineRule="exact"/>
        <w:rPr>
          <w:sz w:val="18"/>
          <w:szCs w:val="18"/>
        </w:rPr>
        <w:sectPr>
          <w:headerReference r:id="rId33" w:type="default"/>
          <w:footerReference r:id="rId34" w:type="default"/>
          <w:pgSz w:w="11906" w:h="16839"/>
          <w:pgMar w:top="1208" w:right="1687" w:bottom="1358" w:left="1684" w:header="825" w:footer="1195" w:gutter="0"/>
          <w:cols w:space="720" w:num="1"/>
        </w:sectPr>
      </w:pPr>
    </w:p>
    <w:p w14:paraId="5D98E8F4">
      <w:pPr>
        <w:spacing w:line="231" w:lineRule="exact"/>
      </w:pPr>
    </w:p>
    <w:tbl>
      <w:tblPr>
        <w:tblStyle w:val="5"/>
        <w:tblW w:w="8459" w:type="dxa"/>
        <w:tblInd w:w="3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459"/>
      </w:tblGrid>
      <w:tr w14:paraId="7F87042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42" w:hRule="atLeast"/>
        </w:trPr>
        <w:tc>
          <w:tcPr>
            <w:tcW w:w="8459" w:type="dxa"/>
            <w:vAlign w:val="top"/>
          </w:tcPr>
          <w:p w14:paraId="2609694E">
            <w:pPr>
              <w:pStyle w:val="6"/>
              <w:spacing w:before="51" w:line="227" w:lineRule="auto"/>
              <w:ind w:left="125"/>
            </w:pPr>
            <w:r>
              <w:rPr>
                <w:spacing w:val="7"/>
              </w:rPr>
              <w:t xml:space="preserve">险防范措施等方面给出定性的说明。见附录 </w:t>
            </w:r>
            <w:r>
              <w:rPr>
                <w:rFonts w:ascii="Times New Roman" w:hAnsi="Times New Roman" w:eastAsia="Times New Roman" w:cs="Times New Roman"/>
                <w:spacing w:val="7"/>
              </w:rPr>
              <w:t>A</w:t>
            </w:r>
            <w:r>
              <w:rPr>
                <w:spacing w:val="7"/>
              </w:rPr>
              <w:t>。</w:t>
            </w:r>
          </w:p>
        </w:tc>
      </w:tr>
    </w:tbl>
    <w:p w14:paraId="30DBB336">
      <w:pPr>
        <w:spacing w:before="113" w:line="219" w:lineRule="auto"/>
        <w:ind w:left="602"/>
        <w:rPr>
          <w:rFonts w:ascii="宋体" w:hAnsi="宋体" w:eastAsia="宋体" w:cs="宋体"/>
          <w:sz w:val="24"/>
          <w:szCs w:val="24"/>
        </w:rPr>
      </w:pPr>
      <w:r>
        <w:rPr>
          <w:rFonts w:ascii="宋体" w:hAnsi="宋体" w:eastAsia="宋体" w:cs="宋体"/>
          <w:spacing w:val="-2"/>
          <w:sz w:val="24"/>
          <w:szCs w:val="24"/>
        </w:rPr>
        <w:t>根据上表可知，项目风险潜势为</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I</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，仅需要对风险等级进行简单分析即可。</w:t>
      </w:r>
    </w:p>
    <w:p w14:paraId="743E19D9">
      <w:pPr>
        <w:spacing w:before="183" w:line="218" w:lineRule="auto"/>
        <w:ind w:left="599"/>
        <w:outlineLvl w:val="2"/>
        <w:rPr>
          <w:rFonts w:ascii="宋体" w:hAnsi="宋体" w:eastAsia="宋体" w:cs="宋体"/>
          <w:sz w:val="24"/>
          <w:szCs w:val="24"/>
        </w:rPr>
      </w:pPr>
      <w:bookmarkStart w:id="34" w:name="bookmark31"/>
      <w:bookmarkEnd w:id="34"/>
      <w:r>
        <w:rPr>
          <w:rFonts w:ascii="Times New Roman" w:hAnsi="Times New Roman" w:eastAsia="Times New Roman" w:cs="Times New Roman"/>
          <w:b/>
          <w:bCs/>
          <w:spacing w:val="-2"/>
          <w:sz w:val="24"/>
          <w:szCs w:val="24"/>
        </w:rPr>
        <w:t xml:space="preserve">2.5.5 </w:t>
      </w:r>
      <w:r>
        <w:rPr>
          <w:rFonts w:ascii="宋体" w:hAnsi="宋体" w:eastAsia="宋体" w:cs="宋体"/>
          <w:b/>
          <w:bCs/>
          <w:spacing w:val="-2"/>
          <w:sz w:val="24"/>
          <w:szCs w:val="24"/>
        </w:rPr>
        <w:t>地下水环境评价工作等级</w:t>
      </w:r>
    </w:p>
    <w:p w14:paraId="6DE66D8F">
      <w:pPr>
        <w:spacing w:before="184" w:line="360" w:lineRule="auto"/>
        <w:ind w:left="120" w:right="64" w:firstLine="481"/>
        <w:jc w:val="both"/>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610-2016)</w:t>
      </w:r>
      <w:r>
        <w:rPr>
          <w:rFonts w:ascii="Times New Roman" w:hAnsi="Times New Roman" w:eastAsia="Times New Roman" w:cs="Times New Roman"/>
          <w:spacing w:val="24"/>
          <w:w w:val="101"/>
          <w:sz w:val="24"/>
          <w:szCs w:val="24"/>
        </w:rPr>
        <w:t xml:space="preserve">  </w:t>
      </w:r>
      <w:r>
        <w:rPr>
          <w:rFonts w:ascii="宋体" w:hAnsi="宋体" w:eastAsia="宋体" w:cs="宋体"/>
          <w:spacing w:val="1"/>
          <w:sz w:val="24"/>
          <w:szCs w:val="24"/>
        </w:rPr>
        <w:t>，地下水评价</w:t>
      </w:r>
      <w:r>
        <w:rPr>
          <w:rFonts w:ascii="宋体" w:hAnsi="宋体" w:eastAsia="宋体" w:cs="宋体"/>
          <w:sz w:val="24"/>
          <w:szCs w:val="24"/>
        </w:rPr>
        <w:t xml:space="preserve">  </w:t>
      </w:r>
      <w:r>
        <w:rPr>
          <w:rFonts w:ascii="宋体" w:hAnsi="宋体" w:eastAsia="宋体" w:cs="宋体"/>
          <w:spacing w:val="-1"/>
          <w:sz w:val="24"/>
          <w:szCs w:val="24"/>
        </w:rPr>
        <w:t>工作等级的划分应依据建设项目行业分类和地下</w:t>
      </w:r>
      <w:r>
        <w:rPr>
          <w:rFonts w:ascii="宋体" w:hAnsi="宋体" w:eastAsia="宋体" w:cs="宋体"/>
          <w:spacing w:val="-2"/>
          <w:sz w:val="24"/>
          <w:szCs w:val="24"/>
        </w:rPr>
        <w:t>水环境敏感程度分级进行判定。</w:t>
      </w:r>
      <w:r>
        <w:rPr>
          <w:rFonts w:ascii="宋体" w:hAnsi="宋体" w:eastAsia="宋体" w:cs="宋体"/>
          <w:sz w:val="24"/>
          <w:szCs w:val="24"/>
        </w:rPr>
        <w:t xml:space="preserve"> </w:t>
      </w:r>
      <w:r>
        <w:rPr>
          <w:rFonts w:ascii="宋体" w:hAnsi="宋体" w:eastAsia="宋体" w:cs="宋体"/>
          <w:spacing w:val="-4"/>
          <w:sz w:val="24"/>
          <w:szCs w:val="24"/>
        </w:rPr>
        <w:t>本项目属于“</w:t>
      </w:r>
      <w:r>
        <w:rPr>
          <w:rFonts w:ascii="Times New Roman" w:hAnsi="Times New Roman" w:eastAsia="Times New Roman" w:cs="Times New Roman"/>
          <w:spacing w:val="-4"/>
          <w:sz w:val="24"/>
          <w:szCs w:val="24"/>
        </w:rPr>
        <w:t>H</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 xml:space="preserve">、有色金属 </w:t>
      </w:r>
      <w:r>
        <w:rPr>
          <w:rFonts w:ascii="Times New Roman" w:hAnsi="Times New Roman" w:eastAsia="Times New Roman" w:cs="Times New Roman"/>
          <w:spacing w:val="-4"/>
          <w:sz w:val="24"/>
          <w:szCs w:val="24"/>
        </w:rPr>
        <w:t>47</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、采选</w:t>
      </w:r>
      <w:r>
        <w:rPr>
          <w:rFonts w:ascii="宋体" w:hAnsi="宋体" w:eastAsia="宋体" w:cs="宋体"/>
          <w:spacing w:val="-88"/>
          <w:sz w:val="24"/>
          <w:szCs w:val="24"/>
        </w:rPr>
        <w:t xml:space="preserve"> </w:t>
      </w:r>
      <w:r>
        <w:rPr>
          <w:rFonts w:ascii="宋体" w:hAnsi="宋体" w:eastAsia="宋体" w:cs="宋体"/>
          <w:spacing w:val="-4"/>
          <w:sz w:val="24"/>
          <w:szCs w:val="24"/>
        </w:rPr>
        <w:t>”项目，地下水环境影响评价项目类</w:t>
      </w:r>
      <w:r>
        <w:rPr>
          <w:rFonts w:ascii="宋体" w:hAnsi="宋体" w:eastAsia="宋体" w:cs="宋体"/>
          <w:spacing w:val="-5"/>
          <w:sz w:val="24"/>
          <w:szCs w:val="24"/>
        </w:rPr>
        <w:t>别为</w:t>
      </w:r>
      <w:r>
        <w:rPr>
          <w:rFonts w:ascii="宋体" w:hAnsi="宋体" w:eastAsia="宋体" w:cs="宋体"/>
          <w:sz w:val="24"/>
          <w:szCs w:val="24"/>
        </w:rPr>
        <w:t xml:space="preserve">  报告书，本工程包括选矿车间及依托现有尾矿库等，根据</w:t>
      </w:r>
      <w:r>
        <w:rPr>
          <w:rFonts w:ascii="宋体" w:hAnsi="宋体" w:eastAsia="宋体" w:cs="宋体"/>
          <w:spacing w:val="-1"/>
          <w:sz w:val="24"/>
          <w:szCs w:val="24"/>
        </w:rPr>
        <w:t>地下水环境分类表可</w:t>
      </w:r>
      <w:r>
        <w:rPr>
          <w:rFonts w:ascii="宋体" w:hAnsi="宋体" w:eastAsia="宋体" w:cs="宋体"/>
          <w:sz w:val="24"/>
          <w:szCs w:val="24"/>
        </w:rPr>
        <w:t xml:space="preserve">  </w:t>
      </w:r>
      <w:r>
        <w:rPr>
          <w:rFonts w:ascii="宋体" w:hAnsi="宋体" w:eastAsia="宋体" w:cs="宋体"/>
          <w:spacing w:val="-9"/>
          <w:sz w:val="24"/>
          <w:szCs w:val="24"/>
        </w:rPr>
        <w:t>知，本项目为</w:t>
      </w:r>
      <w:r>
        <w:rPr>
          <w:rFonts w:ascii="宋体" w:hAnsi="宋体" w:eastAsia="宋体" w:cs="宋体"/>
          <w:spacing w:val="-30"/>
          <w:sz w:val="24"/>
          <w:szCs w:val="24"/>
        </w:rPr>
        <w:t xml:space="preserve"> </w:t>
      </w:r>
      <w:r>
        <w:rPr>
          <w:rFonts w:ascii="宋体" w:hAnsi="宋体" w:eastAsia="宋体" w:cs="宋体"/>
          <w:spacing w:val="-9"/>
          <w:sz w:val="24"/>
          <w:szCs w:val="24"/>
        </w:rPr>
        <w:t>Ⅰ类项目。</w:t>
      </w:r>
    </w:p>
    <w:p w14:paraId="3E7B370D">
      <w:pPr>
        <w:spacing w:line="344" w:lineRule="auto"/>
        <w:ind w:left="125" w:right="264" w:firstLine="480"/>
        <w:jc w:val="both"/>
        <w:rPr>
          <w:rFonts w:ascii="宋体" w:hAnsi="宋体" w:eastAsia="宋体" w:cs="宋体"/>
          <w:sz w:val="24"/>
          <w:szCs w:val="24"/>
        </w:rPr>
      </w:pPr>
      <w:r>
        <w:rPr>
          <w:rFonts w:ascii="宋体" w:hAnsi="宋体" w:eastAsia="宋体" w:cs="宋体"/>
          <w:spacing w:val="-1"/>
          <w:sz w:val="24"/>
          <w:szCs w:val="24"/>
        </w:rPr>
        <w:t>项目区周边无集中式供水水源地及保护区，项目区下游影响范围内有居民</w:t>
      </w:r>
      <w:r>
        <w:rPr>
          <w:rFonts w:ascii="宋体" w:hAnsi="宋体" w:eastAsia="宋体" w:cs="宋体"/>
          <w:spacing w:val="17"/>
          <w:sz w:val="24"/>
          <w:szCs w:val="24"/>
        </w:rPr>
        <w:t xml:space="preserve"> </w:t>
      </w:r>
      <w:r>
        <w:rPr>
          <w:rFonts w:ascii="宋体" w:hAnsi="宋体" w:eastAsia="宋体" w:cs="宋体"/>
          <w:spacing w:val="-1"/>
          <w:sz w:val="24"/>
          <w:szCs w:val="24"/>
        </w:rPr>
        <w:t>分散式开采井，因此判断本项目地下水环境敏感程</w:t>
      </w:r>
      <w:r>
        <w:rPr>
          <w:rFonts w:ascii="宋体" w:hAnsi="宋体" w:eastAsia="宋体" w:cs="宋体"/>
          <w:spacing w:val="-2"/>
          <w:sz w:val="24"/>
          <w:szCs w:val="24"/>
        </w:rPr>
        <w:t>度为“较敏感</w:t>
      </w:r>
      <w:r>
        <w:rPr>
          <w:rFonts w:ascii="宋体" w:hAnsi="宋体" w:eastAsia="宋体" w:cs="宋体"/>
          <w:spacing w:val="-88"/>
          <w:sz w:val="24"/>
          <w:szCs w:val="24"/>
        </w:rPr>
        <w:t xml:space="preserve"> </w:t>
      </w:r>
      <w:r>
        <w:rPr>
          <w:rFonts w:ascii="宋体" w:hAnsi="宋体" w:eastAsia="宋体" w:cs="宋体"/>
          <w:spacing w:val="-2"/>
          <w:sz w:val="24"/>
          <w:szCs w:val="24"/>
        </w:rPr>
        <w:t>”，本项目地</w:t>
      </w:r>
      <w:r>
        <w:rPr>
          <w:rFonts w:ascii="宋体" w:hAnsi="宋体" w:eastAsia="宋体" w:cs="宋体"/>
          <w:sz w:val="24"/>
          <w:szCs w:val="24"/>
        </w:rPr>
        <w:t xml:space="preserve"> </w:t>
      </w:r>
      <w:r>
        <w:rPr>
          <w:rFonts w:ascii="宋体" w:hAnsi="宋体" w:eastAsia="宋体" w:cs="宋体"/>
          <w:spacing w:val="-2"/>
          <w:sz w:val="24"/>
          <w:szCs w:val="24"/>
        </w:rPr>
        <w:t>下水评价等级为一级。</w:t>
      </w:r>
    </w:p>
    <w:p w14:paraId="328D8E56">
      <w:pPr>
        <w:spacing w:line="226" w:lineRule="auto"/>
        <w:ind w:left="2799"/>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spacing w:val="6"/>
          <w:sz w:val="20"/>
          <w:szCs w:val="20"/>
        </w:rPr>
        <w:t xml:space="preserve">2.5-4    </w:t>
      </w:r>
      <w:r>
        <w:rPr>
          <w:rFonts w:ascii="宋体" w:hAnsi="宋体" w:eastAsia="宋体" w:cs="宋体"/>
          <w:spacing w:val="6"/>
          <w:sz w:val="20"/>
          <w:szCs w:val="20"/>
        </w:rPr>
        <w:t>评价工作等级分级表</w:t>
      </w:r>
    </w:p>
    <w:p w14:paraId="0F03294F">
      <w:pPr>
        <w:spacing w:line="15"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66"/>
        <w:gridCol w:w="1787"/>
        <w:gridCol w:w="1787"/>
        <w:gridCol w:w="1792"/>
      </w:tblGrid>
      <w:tr w14:paraId="5A1D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3166" w:type="dxa"/>
            <w:vAlign w:val="top"/>
          </w:tcPr>
          <w:p w14:paraId="69316DEB">
            <w:pPr>
              <w:pStyle w:val="6"/>
              <w:spacing w:before="55" w:line="228" w:lineRule="auto"/>
              <w:ind w:left="1011"/>
            </w:pPr>
            <w:r>
              <w:rPr>
                <w:spacing w:val="8"/>
              </w:rPr>
              <w:t>环境敏感程度</w:t>
            </w:r>
          </w:p>
          <w:p w14:paraId="19DBB20E">
            <w:pPr>
              <w:pStyle w:val="6"/>
              <w:spacing w:before="64" w:line="228" w:lineRule="auto"/>
              <w:ind w:left="1171"/>
            </w:pPr>
            <w:r>
              <w:rPr>
                <w:spacing w:val="6"/>
              </w:rPr>
              <w:t>项目被别</w:t>
            </w:r>
          </w:p>
        </w:tc>
        <w:tc>
          <w:tcPr>
            <w:tcW w:w="1787" w:type="dxa"/>
            <w:vAlign w:val="top"/>
          </w:tcPr>
          <w:p w14:paraId="6E82EEF9">
            <w:pPr>
              <w:pStyle w:val="6"/>
              <w:spacing w:before="211" w:line="228" w:lineRule="auto"/>
              <w:ind w:left="510"/>
            </w:pPr>
            <w:r>
              <w:rPr>
                <w:rFonts w:ascii="Times New Roman" w:hAnsi="Times New Roman" w:eastAsia="Times New Roman" w:cs="Times New Roman"/>
                <w:b/>
                <w:bCs/>
                <w:spacing w:val="4"/>
              </w:rPr>
              <w:t>I</w:t>
            </w:r>
            <w:r>
              <w:rPr>
                <w:rFonts w:ascii="Times New Roman" w:hAnsi="Times New Roman" w:eastAsia="Times New Roman" w:cs="Times New Roman"/>
                <w:b/>
                <w:bCs/>
                <w:spacing w:val="11"/>
              </w:rPr>
              <w:t xml:space="preserve"> </w:t>
            </w:r>
            <w:r>
              <w:rPr>
                <w:b/>
                <w:bCs/>
                <w:spacing w:val="4"/>
              </w:rPr>
              <w:t>类项目</w:t>
            </w:r>
          </w:p>
        </w:tc>
        <w:tc>
          <w:tcPr>
            <w:tcW w:w="1787" w:type="dxa"/>
            <w:vAlign w:val="top"/>
          </w:tcPr>
          <w:p w14:paraId="358692C2">
            <w:pPr>
              <w:pStyle w:val="6"/>
              <w:spacing w:before="211" w:line="228" w:lineRule="auto"/>
              <w:ind w:left="486"/>
            </w:pPr>
            <w:r>
              <w:rPr>
                <w:rFonts w:ascii="Times New Roman" w:hAnsi="Times New Roman" w:eastAsia="Times New Roman" w:cs="Times New Roman"/>
              </w:rPr>
              <w:t>II</w:t>
            </w:r>
            <w:r>
              <w:rPr>
                <w:rFonts w:ascii="Times New Roman" w:hAnsi="Times New Roman" w:eastAsia="Times New Roman" w:cs="Times New Roman"/>
                <w:spacing w:val="10"/>
              </w:rPr>
              <w:t xml:space="preserve"> </w:t>
            </w:r>
            <w:r>
              <w:rPr>
                <w:spacing w:val="7"/>
              </w:rPr>
              <w:t>类项目</w:t>
            </w:r>
          </w:p>
        </w:tc>
        <w:tc>
          <w:tcPr>
            <w:tcW w:w="1792" w:type="dxa"/>
            <w:vAlign w:val="top"/>
          </w:tcPr>
          <w:p w14:paraId="70FE17A9">
            <w:pPr>
              <w:pStyle w:val="6"/>
              <w:spacing w:before="211" w:line="228" w:lineRule="auto"/>
              <w:ind w:left="451"/>
            </w:pPr>
            <w:r>
              <w:rPr>
                <w:rFonts w:ascii="Times New Roman" w:hAnsi="Times New Roman" w:eastAsia="Times New Roman" w:cs="Times New Roman"/>
              </w:rPr>
              <w:t>III</w:t>
            </w:r>
            <w:r>
              <w:rPr>
                <w:rFonts w:ascii="Times New Roman" w:hAnsi="Times New Roman" w:eastAsia="Times New Roman" w:cs="Times New Roman"/>
                <w:spacing w:val="10"/>
              </w:rPr>
              <w:t xml:space="preserve"> </w:t>
            </w:r>
            <w:r>
              <w:rPr>
                <w:spacing w:val="8"/>
              </w:rPr>
              <w:t>类项目</w:t>
            </w:r>
          </w:p>
        </w:tc>
      </w:tr>
      <w:tr w14:paraId="57954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166" w:type="dxa"/>
            <w:vAlign w:val="top"/>
          </w:tcPr>
          <w:p w14:paraId="13039D69">
            <w:pPr>
              <w:pStyle w:val="6"/>
              <w:spacing w:before="52" w:line="228" w:lineRule="auto"/>
              <w:ind w:left="1379"/>
            </w:pPr>
            <w:r>
              <w:rPr>
                <w:spacing w:val="4"/>
              </w:rPr>
              <w:t>敏感</w:t>
            </w:r>
          </w:p>
        </w:tc>
        <w:tc>
          <w:tcPr>
            <w:tcW w:w="1787" w:type="dxa"/>
            <w:vAlign w:val="top"/>
          </w:tcPr>
          <w:p w14:paraId="393E8380">
            <w:pPr>
              <w:pStyle w:val="6"/>
              <w:spacing w:before="131" w:line="156" w:lineRule="exact"/>
              <w:ind w:left="796"/>
            </w:pPr>
            <w:r>
              <w:rPr>
                <w:position w:val="-4"/>
              </w:rPr>
              <w:t>一</w:t>
            </w:r>
          </w:p>
        </w:tc>
        <w:tc>
          <w:tcPr>
            <w:tcW w:w="1787" w:type="dxa"/>
            <w:vAlign w:val="top"/>
          </w:tcPr>
          <w:p w14:paraId="1D2017AE">
            <w:pPr>
              <w:pStyle w:val="6"/>
              <w:spacing w:before="131" w:line="156" w:lineRule="exact"/>
              <w:ind w:left="797"/>
            </w:pPr>
            <w:r>
              <w:rPr>
                <w:position w:val="-4"/>
              </w:rPr>
              <w:t>一</w:t>
            </w:r>
          </w:p>
        </w:tc>
        <w:tc>
          <w:tcPr>
            <w:tcW w:w="1792" w:type="dxa"/>
            <w:vAlign w:val="top"/>
          </w:tcPr>
          <w:p w14:paraId="67C8E70C">
            <w:pPr>
              <w:pStyle w:val="6"/>
              <w:spacing w:before="92" w:line="183" w:lineRule="auto"/>
              <w:ind w:left="798"/>
            </w:pPr>
            <w:r>
              <w:t>二</w:t>
            </w:r>
          </w:p>
        </w:tc>
      </w:tr>
      <w:tr w14:paraId="2BBE1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166" w:type="dxa"/>
            <w:vAlign w:val="top"/>
          </w:tcPr>
          <w:p w14:paraId="4AF713FA">
            <w:pPr>
              <w:pStyle w:val="6"/>
              <w:spacing w:before="53" w:line="228" w:lineRule="auto"/>
              <w:ind w:left="1273"/>
            </w:pPr>
            <w:r>
              <w:rPr>
                <w:b/>
                <w:bCs/>
                <w:spacing w:val="5"/>
              </w:rPr>
              <w:t>较敏感</w:t>
            </w:r>
          </w:p>
        </w:tc>
        <w:tc>
          <w:tcPr>
            <w:tcW w:w="1787" w:type="dxa"/>
            <w:vAlign w:val="top"/>
          </w:tcPr>
          <w:p w14:paraId="35331EEA">
            <w:pPr>
              <w:tabs>
                <w:tab w:val="left" w:pos="993"/>
              </w:tabs>
              <w:spacing w:line="198" w:lineRule="auto"/>
              <w:ind w:left="796"/>
              <w:rPr>
                <w:rFonts w:ascii="Arial"/>
                <w:sz w:val="21"/>
              </w:rPr>
            </w:pPr>
            <w:r>
              <w:rPr>
                <w:rFonts w:ascii="Arial" w:hAnsi="Arial" w:eastAsia="Arial" w:cs="Arial"/>
                <w:sz w:val="21"/>
                <w:szCs w:val="21"/>
                <w:u w:val="single" w:color="auto"/>
              </w:rPr>
              <w:tab/>
            </w:r>
          </w:p>
        </w:tc>
        <w:tc>
          <w:tcPr>
            <w:tcW w:w="1787" w:type="dxa"/>
            <w:vAlign w:val="top"/>
          </w:tcPr>
          <w:p w14:paraId="3F899A80">
            <w:pPr>
              <w:pStyle w:val="6"/>
              <w:spacing w:before="92" w:line="183" w:lineRule="auto"/>
              <w:ind w:left="797"/>
            </w:pPr>
            <w:r>
              <w:t>二</w:t>
            </w:r>
          </w:p>
        </w:tc>
        <w:tc>
          <w:tcPr>
            <w:tcW w:w="1792" w:type="dxa"/>
            <w:vAlign w:val="top"/>
          </w:tcPr>
          <w:p w14:paraId="63788F3E">
            <w:pPr>
              <w:pStyle w:val="6"/>
              <w:spacing w:before="53" w:line="233" w:lineRule="auto"/>
              <w:ind w:left="794"/>
            </w:pPr>
            <w:r>
              <w:t>三</w:t>
            </w:r>
          </w:p>
        </w:tc>
      </w:tr>
      <w:tr w14:paraId="48CFE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166" w:type="dxa"/>
            <w:vAlign w:val="top"/>
          </w:tcPr>
          <w:p w14:paraId="7FC203CE">
            <w:pPr>
              <w:pStyle w:val="6"/>
              <w:spacing w:before="56" w:line="228" w:lineRule="auto"/>
              <w:ind w:left="1276"/>
            </w:pPr>
            <w:r>
              <w:rPr>
                <w:spacing w:val="5"/>
              </w:rPr>
              <w:t>不敏感</w:t>
            </w:r>
          </w:p>
        </w:tc>
        <w:tc>
          <w:tcPr>
            <w:tcW w:w="1787" w:type="dxa"/>
            <w:vAlign w:val="top"/>
          </w:tcPr>
          <w:p w14:paraId="01689C95">
            <w:pPr>
              <w:pStyle w:val="6"/>
              <w:spacing w:before="95" w:line="183" w:lineRule="auto"/>
              <w:ind w:left="796"/>
            </w:pPr>
            <w:r>
              <w:t>二</w:t>
            </w:r>
          </w:p>
        </w:tc>
        <w:tc>
          <w:tcPr>
            <w:tcW w:w="1787" w:type="dxa"/>
            <w:vAlign w:val="top"/>
          </w:tcPr>
          <w:p w14:paraId="70BE36FA">
            <w:pPr>
              <w:pStyle w:val="6"/>
              <w:spacing w:before="56" w:line="234" w:lineRule="auto"/>
              <w:ind w:left="793"/>
            </w:pPr>
            <w:r>
              <w:t>三</w:t>
            </w:r>
          </w:p>
        </w:tc>
        <w:tc>
          <w:tcPr>
            <w:tcW w:w="1792" w:type="dxa"/>
            <w:vAlign w:val="top"/>
          </w:tcPr>
          <w:p w14:paraId="7E765EDD">
            <w:pPr>
              <w:pStyle w:val="6"/>
              <w:spacing w:before="56" w:line="234" w:lineRule="auto"/>
              <w:ind w:left="794"/>
            </w:pPr>
            <w:r>
              <w:t>三</w:t>
            </w:r>
          </w:p>
        </w:tc>
      </w:tr>
    </w:tbl>
    <w:p w14:paraId="2A3D3AA4">
      <w:pPr>
        <w:spacing w:before="115" w:line="218" w:lineRule="auto"/>
        <w:ind w:left="599"/>
        <w:outlineLvl w:val="2"/>
        <w:rPr>
          <w:rFonts w:ascii="宋体" w:hAnsi="宋体" w:eastAsia="宋体" w:cs="宋体"/>
          <w:sz w:val="24"/>
          <w:szCs w:val="24"/>
        </w:rPr>
      </w:pPr>
      <w:bookmarkStart w:id="35" w:name="bookmark32"/>
      <w:bookmarkEnd w:id="35"/>
      <w:r>
        <w:rPr>
          <w:rFonts w:ascii="Times New Roman" w:hAnsi="Times New Roman" w:eastAsia="Times New Roman" w:cs="Times New Roman"/>
          <w:b/>
          <w:bCs/>
          <w:spacing w:val="-2"/>
          <w:sz w:val="24"/>
          <w:szCs w:val="24"/>
        </w:rPr>
        <w:t xml:space="preserve">2.5.6 </w:t>
      </w:r>
      <w:r>
        <w:rPr>
          <w:rFonts w:ascii="宋体" w:hAnsi="宋体" w:eastAsia="宋体" w:cs="宋体"/>
          <w:b/>
          <w:bCs/>
          <w:spacing w:val="-2"/>
          <w:sz w:val="24"/>
          <w:szCs w:val="24"/>
        </w:rPr>
        <w:t>地表水评价工作等级</w:t>
      </w:r>
    </w:p>
    <w:p w14:paraId="0223D57E">
      <w:pPr>
        <w:spacing w:before="185" w:line="348" w:lineRule="auto"/>
        <w:ind w:left="125" w:right="264" w:firstLine="480"/>
        <w:jc w:val="both"/>
        <w:rPr>
          <w:rFonts w:ascii="宋体" w:hAnsi="宋体" w:eastAsia="宋体" w:cs="宋体"/>
          <w:sz w:val="24"/>
          <w:szCs w:val="24"/>
        </w:rPr>
      </w:pPr>
      <w:r>
        <w:rPr>
          <w:rFonts w:ascii="宋体" w:hAnsi="宋体" w:eastAsia="宋体" w:cs="宋体"/>
          <w:spacing w:val="-1"/>
          <w:sz w:val="24"/>
          <w:szCs w:val="24"/>
        </w:rPr>
        <w:t>建设项目地表水环境影响评价等级按照影响类型、排放方式、排放量或影</w:t>
      </w:r>
      <w:r>
        <w:rPr>
          <w:rFonts w:ascii="宋体" w:hAnsi="宋体" w:eastAsia="宋体" w:cs="宋体"/>
          <w:spacing w:val="18"/>
          <w:sz w:val="24"/>
          <w:szCs w:val="24"/>
        </w:rPr>
        <w:t xml:space="preserve"> </w:t>
      </w:r>
      <w:r>
        <w:rPr>
          <w:rFonts w:ascii="宋体" w:hAnsi="宋体" w:eastAsia="宋体" w:cs="宋体"/>
          <w:sz w:val="24"/>
          <w:szCs w:val="24"/>
        </w:rPr>
        <w:t>响情况、受纳水体环境质量现状、水环境保护</w:t>
      </w:r>
      <w:r>
        <w:rPr>
          <w:rFonts w:ascii="宋体" w:hAnsi="宋体" w:eastAsia="宋体" w:cs="宋体"/>
          <w:spacing w:val="-1"/>
          <w:sz w:val="24"/>
          <w:szCs w:val="24"/>
        </w:rPr>
        <w:t>目标等综合确定。水污染影响型</w:t>
      </w:r>
      <w:r>
        <w:rPr>
          <w:rFonts w:ascii="宋体" w:hAnsi="宋体" w:eastAsia="宋体" w:cs="宋体"/>
          <w:sz w:val="24"/>
          <w:szCs w:val="24"/>
        </w:rPr>
        <w:t xml:space="preserve"> </w:t>
      </w:r>
      <w:r>
        <w:rPr>
          <w:rFonts w:ascii="宋体" w:hAnsi="宋体" w:eastAsia="宋体" w:cs="宋体"/>
          <w:spacing w:val="-3"/>
          <w:sz w:val="24"/>
          <w:szCs w:val="24"/>
        </w:rPr>
        <w:t>建设项目根据排放方式和废水排放量划分评价等级，见表</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2.5-6</w:t>
      </w:r>
      <w:r>
        <w:rPr>
          <w:rFonts w:ascii="宋体" w:hAnsi="宋体" w:eastAsia="宋体" w:cs="宋体"/>
          <w:spacing w:val="-3"/>
          <w:sz w:val="24"/>
          <w:szCs w:val="24"/>
        </w:rPr>
        <w:t>。间接排放建设</w:t>
      </w:r>
      <w:r>
        <w:rPr>
          <w:rFonts w:ascii="宋体" w:hAnsi="宋体" w:eastAsia="宋体" w:cs="宋体"/>
          <w:sz w:val="24"/>
          <w:szCs w:val="24"/>
        </w:rPr>
        <w:t xml:space="preserve"> </w:t>
      </w:r>
      <w:r>
        <w:rPr>
          <w:rFonts w:ascii="宋体" w:hAnsi="宋体" w:eastAsia="宋体" w:cs="宋体"/>
          <w:spacing w:val="-2"/>
          <w:sz w:val="24"/>
          <w:szCs w:val="24"/>
        </w:rPr>
        <w:t>项目评价等级为三级</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B</w:t>
      </w:r>
      <w:r>
        <w:rPr>
          <w:rFonts w:ascii="宋体" w:hAnsi="宋体" w:eastAsia="宋体" w:cs="宋体"/>
          <w:spacing w:val="-2"/>
          <w:sz w:val="24"/>
          <w:szCs w:val="24"/>
        </w:rPr>
        <w:t>。</w:t>
      </w:r>
    </w:p>
    <w:p w14:paraId="7CEC5839">
      <w:pPr>
        <w:spacing w:line="226" w:lineRule="auto"/>
        <w:ind w:left="2011"/>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41"/>
          <w:sz w:val="20"/>
          <w:szCs w:val="20"/>
        </w:rPr>
        <w:t xml:space="preserve"> </w:t>
      </w:r>
      <w:r>
        <w:rPr>
          <w:rFonts w:ascii="Times New Roman" w:hAnsi="Times New Roman" w:eastAsia="Times New Roman" w:cs="Times New Roman"/>
          <w:spacing w:val="7"/>
          <w:sz w:val="20"/>
          <w:szCs w:val="20"/>
        </w:rPr>
        <w:t xml:space="preserve">2.5-5      </w:t>
      </w:r>
      <w:r>
        <w:rPr>
          <w:rFonts w:ascii="宋体" w:hAnsi="宋体" w:eastAsia="宋体" w:cs="宋体"/>
          <w:spacing w:val="7"/>
          <w:sz w:val="20"/>
          <w:szCs w:val="20"/>
        </w:rPr>
        <w:t>水污染影响型建设</w:t>
      </w:r>
      <w:r>
        <w:rPr>
          <w:rFonts w:ascii="宋体" w:hAnsi="宋体" w:eastAsia="宋体" w:cs="宋体"/>
          <w:spacing w:val="6"/>
          <w:sz w:val="20"/>
          <w:szCs w:val="20"/>
        </w:rPr>
        <w:t>项目评价等级判定</w:t>
      </w:r>
    </w:p>
    <w:p w14:paraId="66C2FD47">
      <w:pPr>
        <w:spacing w:line="15" w:lineRule="exact"/>
      </w:pPr>
    </w:p>
    <w:tbl>
      <w:tblPr>
        <w:tblStyle w:val="5"/>
        <w:tblW w:w="850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0"/>
        <w:gridCol w:w="2402"/>
        <w:gridCol w:w="4017"/>
      </w:tblGrid>
      <w:tr w14:paraId="61948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0" w:type="dxa"/>
            <w:vMerge w:val="restart"/>
            <w:tcBorders>
              <w:bottom w:val="nil"/>
            </w:tcBorders>
            <w:vAlign w:val="top"/>
          </w:tcPr>
          <w:p w14:paraId="3BA671D7">
            <w:pPr>
              <w:spacing w:line="306" w:lineRule="auto"/>
              <w:rPr>
                <w:rFonts w:ascii="Arial"/>
                <w:sz w:val="21"/>
              </w:rPr>
            </w:pPr>
          </w:p>
          <w:p w14:paraId="529E23F2">
            <w:pPr>
              <w:pStyle w:val="6"/>
              <w:spacing w:before="65" w:line="226" w:lineRule="auto"/>
              <w:ind w:left="630"/>
            </w:pPr>
            <w:r>
              <w:rPr>
                <w:spacing w:val="7"/>
              </w:rPr>
              <w:t>评价等级</w:t>
            </w:r>
          </w:p>
        </w:tc>
        <w:tc>
          <w:tcPr>
            <w:tcW w:w="6419" w:type="dxa"/>
            <w:gridSpan w:val="2"/>
            <w:vAlign w:val="top"/>
          </w:tcPr>
          <w:p w14:paraId="60F1A606">
            <w:pPr>
              <w:pStyle w:val="6"/>
              <w:spacing w:before="56" w:line="227" w:lineRule="auto"/>
              <w:ind w:left="2793"/>
            </w:pPr>
            <w:r>
              <w:rPr>
                <w:spacing w:val="7"/>
              </w:rPr>
              <w:t>判定依据</w:t>
            </w:r>
          </w:p>
        </w:tc>
      </w:tr>
      <w:tr w14:paraId="5E675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090" w:type="dxa"/>
            <w:vMerge w:val="continue"/>
            <w:tcBorders>
              <w:top w:val="nil"/>
            </w:tcBorders>
            <w:vAlign w:val="top"/>
          </w:tcPr>
          <w:p w14:paraId="0ABF3815">
            <w:pPr>
              <w:rPr>
                <w:rFonts w:ascii="Arial"/>
                <w:sz w:val="21"/>
              </w:rPr>
            </w:pPr>
          </w:p>
        </w:tc>
        <w:tc>
          <w:tcPr>
            <w:tcW w:w="2402" w:type="dxa"/>
            <w:vAlign w:val="top"/>
          </w:tcPr>
          <w:p w14:paraId="0FEC0FFD">
            <w:pPr>
              <w:pStyle w:val="6"/>
              <w:spacing w:before="208" w:line="229" w:lineRule="auto"/>
              <w:ind w:left="785"/>
            </w:pPr>
            <w:r>
              <w:rPr>
                <w:spacing w:val="7"/>
              </w:rPr>
              <w:t>排放方式</w:t>
            </w:r>
          </w:p>
        </w:tc>
        <w:tc>
          <w:tcPr>
            <w:tcW w:w="4017" w:type="dxa"/>
            <w:vAlign w:val="top"/>
          </w:tcPr>
          <w:p w14:paraId="773C5B6B">
            <w:pPr>
              <w:pStyle w:val="6"/>
              <w:spacing w:before="52" w:line="221" w:lineRule="auto"/>
              <w:ind w:left="1089"/>
              <w:rPr>
                <w:rFonts w:ascii="Times New Roman" w:hAnsi="Times New Roman" w:eastAsia="Times New Roman" w:cs="Times New Roman"/>
              </w:rPr>
            </w:pPr>
            <w:r>
              <w:rPr>
                <w:spacing w:val="5"/>
              </w:rPr>
              <w:t>废水排放量</w:t>
            </w:r>
            <w:r>
              <w:rPr>
                <w:spacing w:val="-38"/>
              </w:rPr>
              <w:t xml:space="preserve"> </w:t>
            </w:r>
            <w:r>
              <w:rPr>
                <w:rFonts w:ascii="Times New Roman" w:hAnsi="Times New Roman" w:eastAsia="Times New Roman" w:cs="Times New Roman"/>
                <w:spacing w:val="5"/>
              </w:rPr>
              <w:t>Q/(m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rPr>
              <w:t>/d)</w:t>
            </w:r>
          </w:p>
          <w:p w14:paraId="3EAAC5AB">
            <w:pPr>
              <w:pStyle w:val="6"/>
              <w:spacing w:before="72" w:line="228" w:lineRule="auto"/>
              <w:ind w:left="600"/>
            </w:pPr>
            <w:r>
              <w:rPr>
                <w:spacing w:val="7"/>
              </w:rPr>
              <w:t>水污染物当量数</w:t>
            </w:r>
            <w:r>
              <w:rPr>
                <w:spacing w:val="-36"/>
              </w:rPr>
              <w:t xml:space="preserve"> </w:t>
            </w:r>
            <w:r>
              <w:rPr>
                <w:rFonts w:ascii="Times New Roman" w:hAnsi="Times New Roman" w:eastAsia="Times New Roman" w:cs="Times New Roman"/>
                <w:spacing w:val="7"/>
              </w:rPr>
              <w:t>W/</w:t>
            </w:r>
            <w:r>
              <w:rPr>
                <w:spacing w:val="7"/>
              </w:rPr>
              <w:t>（无量纲）</w:t>
            </w:r>
          </w:p>
        </w:tc>
      </w:tr>
      <w:tr w14:paraId="38E7E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0" w:type="dxa"/>
            <w:vAlign w:val="top"/>
          </w:tcPr>
          <w:p w14:paraId="5B08EF8A">
            <w:pPr>
              <w:pStyle w:val="6"/>
              <w:spacing w:before="52" w:line="230" w:lineRule="auto"/>
              <w:ind w:left="843"/>
            </w:pPr>
            <w:r>
              <w:rPr>
                <w:spacing w:val="3"/>
              </w:rPr>
              <w:t>一级</w:t>
            </w:r>
          </w:p>
        </w:tc>
        <w:tc>
          <w:tcPr>
            <w:tcW w:w="2402" w:type="dxa"/>
            <w:vAlign w:val="top"/>
          </w:tcPr>
          <w:p w14:paraId="526217AE">
            <w:pPr>
              <w:pStyle w:val="6"/>
              <w:spacing w:before="52" w:line="229" w:lineRule="auto"/>
              <w:ind w:left="786"/>
            </w:pPr>
            <w:r>
              <w:rPr>
                <w:spacing w:val="6"/>
              </w:rPr>
              <w:t>直接排放</w:t>
            </w:r>
          </w:p>
        </w:tc>
        <w:tc>
          <w:tcPr>
            <w:tcW w:w="4017" w:type="dxa"/>
            <w:vAlign w:val="top"/>
          </w:tcPr>
          <w:p w14:paraId="70D6B5D9">
            <w:pPr>
              <w:pStyle w:val="6"/>
              <w:spacing w:before="52" w:line="221" w:lineRule="auto"/>
              <w:ind w:left="986"/>
              <w:rPr>
                <w:rFonts w:ascii="Times New Roman" w:hAnsi="Times New Roman" w:eastAsia="Times New Roman" w:cs="Times New Roman"/>
              </w:rPr>
            </w:pPr>
            <w:r>
              <w:rPr>
                <w:rFonts w:ascii="Times New Roman" w:hAnsi="Times New Roman" w:eastAsia="Times New Roman" w:cs="Times New Roman"/>
                <w:spacing w:val="5"/>
              </w:rPr>
              <w:t xml:space="preserve">Q≥20000 </w:t>
            </w:r>
            <w:r>
              <w:rPr>
                <w:spacing w:val="5"/>
              </w:rPr>
              <w:t>或</w:t>
            </w:r>
            <w:r>
              <w:rPr>
                <w:spacing w:val="-45"/>
              </w:rPr>
              <w:t xml:space="preserve"> </w:t>
            </w:r>
            <w:r>
              <w:rPr>
                <w:rFonts w:ascii="Times New Roman" w:hAnsi="Times New Roman" w:eastAsia="Times New Roman" w:cs="Times New Roman"/>
                <w:spacing w:val="5"/>
              </w:rPr>
              <w:t>W≥600000</w:t>
            </w:r>
          </w:p>
        </w:tc>
      </w:tr>
      <w:tr w14:paraId="0097A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0" w:type="dxa"/>
            <w:vAlign w:val="top"/>
          </w:tcPr>
          <w:p w14:paraId="4EE90916">
            <w:pPr>
              <w:pStyle w:val="6"/>
              <w:spacing w:before="53" w:line="230" w:lineRule="auto"/>
              <w:ind w:left="843"/>
            </w:pPr>
            <w:r>
              <w:rPr>
                <w:spacing w:val="3"/>
              </w:rPr>
              <w:t>二级</w:t>
            </w:r>
          </w:p>
        </w:tc>
        <w:tc>
          <w:tcPr>
            <w:tcW w:w="2402" w:type="dxa"/>
            <w:vAlign w:val="top"/>
          </w:tcPr>
          <w:p w14:paraId="395C2055">
            <w:pPr>
              <w:pStyle w:val="6"/>
              <w:spacing w:before="53" w:line="229" w:lineRule="auto"/>
              <w:ind w:left="786"/>
            </w:pPr>
            <w:r>
              <w:rPr>
                <w:spacing w:val="6"/>
              </w:rPr>
              <w:t>直接排放</w:t>
            </w:r>
          </w:p>
        </w:tc>
        <w:tc>
          <w:tcPr>
            <w:tcW w:w="4017" w:type="dxa"/>
            <w:vAlign w:val="top"/>
          </w:tcPr>
          <w:p w14:paraId="399B5D77">
            <w:pPr>
              <w:pStyle w:val="6"/>
              <w:spacing w:before="53" w:line="228" w:lineRule="auto"/>
              <w:ind w:left="1803"/>
            </w:pPr>
            <w:r>
              <w:rPr>
                <w:spacing w:val="4"/>
              </w:rPr>
              <w:t>其他</w:t>
            </w:r>
          </w:p>
        </w:tc>
      </w:tr>
      <w:tr w14:paraId="131A2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0" w:type="dxa"/>
            <w:vAlign w:val="top"/>
          </w:tcPr>
          <w:p w14:paraId="1667285B">
            <w:pPr>
              <w:pStyle w:val="6"/>
              <w:spacing w:before="56" w:line="230" w:lineRule="auto"/>
              <w:ind w:left="739"/>
              <w:rPr>
                <w:rFonts w:ascii="Times New Roman" w:hAnsi="Times New Roman" w:eastAsia="Times New Roman" w:cs="Times New Roman"/>
              </w:rPr>
            </w:pPr>
            <w:r>
              <w:rPr>
                <w:spacing w:val="4"/>
              </w:rPr>
              <w:t>三级</w:t>
            </w:r>
            <w:r>
              <w:rPr>
                <w:spacing w:val="-42"/>
              </w:rPr>
              <w:t xml:space="preserve"> </w:t>
            </w:r>
            <w:r>
              <w:rPr>
                <w:rFonts w:ascii="Times New Roman" w:hAnsi="Times New Roman" w:eastAsia="Times New Roman" w:cs="Times New Roman"/>
                <w:spacing w:val="4"/>
              </w:rPr>
              <w:t>A</w:t>
            </w:r>
          </w:p>
        </w:tc>
        <w:tc>
          <w:tcPr>
            <w:tcW w:w="2402" w:type="dxa"/>
            <w:vAlign w:val="top"/>
          </w:tcPr>
          <w:p w14:paraId="50BB2860">
            <w:pPr>
              <w:pStyle w:val="6"/>
              <w:spacing w:before="56" w:line="229" w:lineRule="auto"/>
              <w:ind w:left="786"/>
            </w:pPr>
            <w:r>
              <w:rPr>
                <w:spacing w:val="6"/>
              </w:rPr>
              <w:t>直接排放</w:t>
            </w:r>
          </w:p>
        </w:tc>
        <w:tc>
          <w:tcPr>
            <w:tcW w:w="4017" w:type="dxa"/>
            <w:vAlign w:val="top"/>
          </w:tcPr>
          <w:p w14:paraId="5416033B">
            <w:pPr>
              <w:pStyle w:val="6"/>
              <w:spacing w:before="56" w:line="221" w:lineRule="auto"/>
              <w:ind w:left="1195"/>
              <w:rPr>
                <w:rFonts w:ascii="Times New Roman" w:hAnsi="Times New Roman" w:eastAsia="Times New Roman" w:cs="Times New Roman"/>
              </w:rPr>
            </w:pPr>
            <w:r>
              <w:rPr>
                <w:rFonts w:ascii="Times New Roman" w:hAnsi="Times New Roman" w:eastAsia="Times New Roman" w:cs="Times New Roman"/>
                <w:spacing w:val="4"/>
              </w:rPr>
              <w:t xml:space="preserve">Q&lt;200 </w:t>
            </w:r>
            <w:r>
              <w:rPr>
                <w:spacing w:val="4"/>
              </w:rPr>
              <w:t>且</w:t>
            </w:r>
            <w:r>
              <w:rPr>
                <w:spacing w:val="-34"/>
              </w:rPr>
              <w:t xml:space="preserve"> </w:t>
            </w:r>
            <w:r>
              <w:rPr>
                <w:rFonts w:ascii="Times New Roman" w:hAnsi="Times New Roman" w:eastAsia="Times New Roman" w:cs="Times New Roman"/>
                <w:spacing w:val="4"/>
              </w:rPr>
              <w:t>W&lt;6000</w:t>
            </w:r>
          </w:p>
        </w:tc>
      </w:tr>
      <w:tr w14:paraId="655E0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0" w:type="dxa"/>
            <w:vAlign w:val="top"/>
          </w:tcPr>
          <w:p w14:paraId="66BEB992">
            <w:pPr>
              <w:pStyle w:val="6"/>
              <w:spacing w:before="56" w:line="230" w:lineRule="auto"/>
              <w:ind w:left="743"/>
              <w:rPr>
                <w:rFonts w:ascii="Times New Roman" w:hAnsi="Times New Roman" w:eastAsia="Times New Roman" w:cs="Times New Roman"/>
              </w:rPr>
            </w:pPr>
            <w:r>
              <w:rPr>
                <w:spacing w:val="3"/>
              </w:rPr>
              <w:t>三级</w:t>
            </w:r>
            <w:r>
              <w:rPr>
                <w:spacing w:val="-40"/>
              </w:rPr>
              <w:t xml:space="preserve"> </w:t>
            </w:r>
            <w:r>
              <w:rPr>
                <w:rFonts w:ascii="Times New Roman" w:hAnsi="Times New Roman" w:eastAsia="Times New Roman" w:cs="Times New Roman"/>
                <w:spacing w:val="3"/>
              </w:rPr>
              <w:t>B</w:t>
            </w:r>
          </w:p>
        </w:tc>
        <w:tc>
          <w:tcPr>
            <w:tcW w:w="2402" w:type="dxa"/>
            <w:vAlign w:val="top"/>
          </w:tcPr>
          <w:p w14:paraId="1CA373EA">
            <w:pPr>
              <w:pStyle w:val="6"/>
              <w:spacing w:before="57" w:line="229" w:lineRule="auto"/>
              <w:ind w:left="801"/>
            </w:pPr>
            <w:r>
              <w:rPr>
                <w:spacing w:val="3"/>
              </w:rPr>
              <w:t>间接排放</w:t>
            </w:r>
          </w:p>
        </w:tc>
        <w:tc>
          <w:tcPr>
            <w:tcW w:w="4017" w:type="dxa"/>
            <w:vAlign w:val="top"/>
          </w:tcPr>
          <w:p w14:paraId="0C4F5BDB">
            <w:pPr>
              <w:spacing w:before="181" w:line="97" w:lineRule="exact"/>
              <w:ind w:left="197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67965809">
      <w:pPr>
        <w:spacing w:before="35" w:line="361" w:lineRule="auto"/>
        <w:ind w:left="122" w:right="264" w:firstLine="509"/>
        <w:jc w:val="both"/>
        <w:rPr>
          <w:rFonts w:ascii="宋体" w:hAnsi="宋体" w:eastAsia="宋体" w:cs="宋体"/>
          <w:sz w:val="24"/>
          <w:szCs w:val="24"/>
        </w:rPr>
      </w:pPr>
      <w:r>
        <w:rPr>
          <w:rFonts w:ascii="宋体" w:hAnsi="宋体" w:eastAsia="宋体" w:cs="宋体"/>
          <w:spacing w:val="-1"/>
          <w:sz w:val="24"/>
          <w:szCs w:val="24"/>
        </w:rPr>
        <w:t>本项目选矿生产废水经尾矿回水处理系统处理后回用</w:t>
      </w:r>
      <w:r>
        <w:rPr>
          <w:rFonts w:ascii="宋体" w:hAnsi="宋体" w:eastAsia="宋体" w:cs="宋体"/>
          <w:spacing w:val="-2"/>
          <w:sz w:val="24"/>
          <w:szCs w:val="24"/>
        </w:rPr>
        <w:t>，生活污水经一体化</w:t>
      </w:r>
      <w:r>
        <w:rPr>
          <w:rFonts w:ascii="宋体" w:hAnsi="宋体" w:eastAsia="宋体" w:cs="宋体"/>
          <w:sz w:val="24"/>
          <w:szCs w:val="24"/>
        </w:rPr>
        <w:t xml:space="preserve"> 污水处理设施处理后用于厂区绿化，属于间接排放，</w:t>
      </w:r>
      <w:r>
        <w:rPr>
          <w:rFonts w:ascii="宋体" w:hAnsi="宋体" w:eastAsia="宋体" w:cs="宋体"/>
          <w:spacing w:val="-1"/>
          <w:sz w:val="24"/>
          <w:szCs w:val="24"/>
        </w:rPr>
        <w:t>因此，地表水评价等级为</w:t>
      </w:r>
      <w:r>
        <w:rPr>
          <w:rFonts w:ascii="宋体" w:hAnsi="宋体" w:eastAsia="宋体" w:cs="宋体"/>
          <w:sz w:val="24"/>
          <w:szCs w:val="24"/>
        </w:rPr>
        <w:t xml:space="preserve"> </w:t>
      </w:r>
      <w:r>
        <w:rPr>
          <w:rFonts w:ascii="宋体" w:hAnsi="宋体" w:eastAsia="宋体" w:cs="宋体"/>
          <w:spacing w:val="-4"/>
          <w:sz w:val="24"/>
          <w:szCs w:val="24"/>
        </w:rPr>
        <w:t>三级</w:t>
      </w:r>
      <w:r>
        <w:rPr>
          <w:rFonts w:ascii="宋体" w:hAnsi="宋体" w:eastAsia="宋体" w:cs="宋体"/>
          <w:spacing w:val="-55"/>
          <w:sz w:val="24"/>
          <w:szCs w:val="24"/>
        </w:rPr>
        <w:t xml:space="preserve"> </w:t>
      </w:r>
      <w:r>
        <w:rPr>
          <w:rFonts w:ascii="宋体" w:hAnsi="宋体" w:eastAsia="宋体" w:cs="宋体"/>
          <w:spacing w:val="-4"/>
          <w:sz w:val="24"/>
          <w:szCs w:val="24"/>
        </w:rPr>
        <w:t>B。</w:t>
      </w:r>
    </w:p>
    <w:p w14:paraId="5A8F691A">
      <w:pPr>
        <w:spacing w:before="73" w:line="218" w:lineRule="auto"/>
        <w:ind w:left="599"/>
        <w:outlineLvl w:val="2"/>
        <w:rPr>
          <w:rFonts w:ascii="宋体" w:hAnsi="宋体" w:eastAsia="宋体" w:cs="宋体"/>
          <w:sz w:val="24"/>
          <w:szCs w:val="24"/>
        </w:rPr>
      </w:pPr>
      <w:bookmarkStart w:id="36" w:name="bookmark33"/>
      <w:bookmarkEnd w:id="36"/>
      <w:r>
        <w:rPr>
          <w:rFonts w:ascii="Times New Roman" w:hAnsi="Times New Roman" w:eastAsia="Times New Roman" w:cs="Times New Roman"/>
          <w:b/>
          <w:bCs/>
          <w:spacing w:val="-2"/>
          <w:sz w:val="24"/>
          <w:szCs w:val="24"/>
        </w:rPr>
        <w:t xml:space="preserve">2.5.7 </w:t>
      </w:r>
      <w:r>
        <w:rPr>
          <w:rFonts w:ascii="宋体" w:hAnsi="宋体" w:eastAsia="宋体" w:cs="宋体"/>
          <w:b/>
          <w:bCs/>
          <w:spacing w:val="-2"/>
          <w:sz w:val="24"/>
          <w:szCs w:val="24"/>
        </w:rPr>
        <w:t>土壤评价工作等级</w:t>
      </w:r>
    </w:p>
    <w:p w14:paraId="4D234710">
      <w:pPr>
        <w:spacing w:line="218" w:lineRule="auto"/>
        <w:rPr>
          <w:rFonts w:ascii="宋体" w:hAnsi="宋体" w:eastAsia="宋体" w:cs="宋体"/>
          <w:sz w:val="24"/>
          <w:szCs w:val="24"/>
        </w:rPr>
        <w:sectPr>
          <w:headerReference r:id="rId35" w:type="default"/>
          <w:footerReference r:id="rId36" w:type="default"/>
          <w:pgSz w:w="11906" w:h="16839"/>
          <w:pgMar w:top="1208" w:right="1684" w:bottom="1358" w:left="1684" w:header="825" w:footer="1195" w:gutter="0"/>
          <w:cols w:space="720" w:num="1"/>
        </w:sectPr>
      </w:pPr>
    </w:p>
    <w:p w14:paraId="2F2D516A">
      <w:pPr>
        <w:pStyle w:val="2"/>
        <w:spacing w:line="265" w:lineRule="auto"/>
      </w:pPr>
    </w:p>
    <w:p w14:paraId="05C29315">
      <w:pPr>
        <w:spacing w:before="78" w:line="360" w:lineRule="auto"/>
        <w:ind w:left="125" w:right="457" w:firstLine="477"/>
        <w:jc w:val="both"/>
        <w:rPr>
          <w:rFonts w:ascii="宋体" w:hAnsi="宋体" w:eastAsia="宋体" w:cs="宋体"/>
          <w:sz w:val="24"/>
          <w:szCs w:val="24"/>
        </w:rPr>
      </w:pPr>
      <w:r>
        <w:rPr>
          <w:rFonts w:ascii="宋体" w:hAnsi="宋体" w:eastAsia="宋体" w:cs="宋体"/>
          <w:spacing w:val="-3"/>
          <w:sz w:val="24"/>
          <w:szCs w:val="24"/>
        </w:rPr>
        <w:t>根据《环境影响评价技术导则 土壤环境（试行）》（</w:t>
      </w:r>
      <w:r>
        <w:rPr>
          <w:rFonts w:ascii="Times New Roman" w:hAnsi="Times New Roman" w:eastAsia="Times New Roman" w:cs="Times New Roman"/>
          <w:spacing w:val="-3"/>
          <w:sz w:val="24"/>
          <w:szCs w:val="24"/>
        </w:rPr>
        <w:t>HJ964-2018</w:t>
      </w:r>
      <w:r>
        <w:rPr>
          <w:rFonts w:ascii="宋体" w:hAnsi="宋体" w:eastAsia="宋体" w:cs="宋体"/>
          <w:spacing w:val="-5"/>
          <w:sz w:val="24"/>
          <w:szCs w:val="24"/>
        </w:rPr>
        <w:t>），</w:t>
      </w:r>
      <w:r>
        <w:rPr>
          <w:rFonts w:ascii="宋体" w:hAnsi="宋体" w:eastAsia="宋体" w:cs="宋体"/>
          <w:spacing w:val="-3"/>
          <w:sz w:val="24"/>
          <w:szCs w:val="24"/>
        </w:rPr>
        <w:t>本项</w:t>
      </w:r>
      <w:r>
        <w:rPr>
          <w:rFonts w:ascii="宋体" w:hAnsi="宋体" w:eastAsia="宋体" w:cs="宋体"/>
          <w:sz w:val="24"/>
          <w:szCs w:val="24"/>
        </w:rPr>
        <w:t xml:space="preserve"> </w:t>
      </w:r>
      <w:r>
        <w:rPr>
          <w:rFonts w:ascii="宋体" w:hAnsi="宋体" w:eastAsia="宋体" w:cs="宋体"/>
          <w:spacing w:val="-2"/>
          <w:sz w:val="24"/>
          <w:szCs w:val="24"/>
        </w:rPr>
        <w:t>目属于污染影响型，根据土壤环境影响评价项目类别、</w:t>
      </w:r>
      <w:r>
        <w:rPr>
          <w:rFonts w:ascii="宋体" w:hAnsi="宋体" w:eastAsia="宋体" w:cs="宋体"/>
          <w:spacing w:val="-66"/>
          <w:sz w:val="24"/>
          <w:szCs w:val="24"/>
        </w:rPr>
        <w:t xml:space="preserve"> </w:t>
      </w:r>
      <w:r>
        <w:rPr>
          <w:rFonts w:ascii="宋体" w:hAnsi="宋体" w:eastAsia="宋体" w:cs="宋体"/>
          <w:spacing w:val="-2"/>
          <w:sz w:val="24"/>
          <w:szCs w:val="24"/>
        </w:rPr>
        <w:t>占地规模与敏感程度划</w:t>
      </w:r>
      <w:r>
        <w:rPr>
          <w:rFonts w:ascii="宋体" w:hAnsi="宋体" w:eastAsia="宋体" w:cs="宋体"/>
          <w:sz w:val="24"/>
          <w:szCs w:val="24"/>
        </w:rPr>
        <w:t xml:space="preserve"> </w:t>
      </w:r>
      <w:r>
        <w:rPr>
          <w:rFonts w:ascii="宋体" w:hAnsi="宋体" w:eastAsia="宋体" w:cs="宋体"/>
          <w:spacing w:val="-2"/>
          <w:sz w:val="24"/>
          <w:szCs w:val="24"/>
        </w:rPr>
        <w:t>分评价工作等级。</w:t>
      </w:r>
    </w:p>
    <w:p w14:paraId="7E67A711">
      <w:pPr>
        <w:spacing w:line="219"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）项目类别</w:t>
      </w:r>
    </w:p>
    <w:p w14:paraId="10807683">
      <w:pPr>
        <w:spacing w:before="182" w:line="360" w:lineRule="auto"/>
        <w:ind w:left="115" w:right="457" w:firstLine="489"/>
        <w:rPr>
          <w:rFonts w:ascii="宋体" w:hAnsi="宋体" w:eastAsia="宋体" w:cs="宋体"/>
          <w:sz w:val="24"/>
          <w:szCs w:val="24"/>
        </w:rPr>
      </w:pPr>
      <w:r>
        <w:rPr>
          <w:rFonts w:ascii="宋体" w:hAnsi="宋体" w:eastAsia="宋体" w:cs="宋体"/>
          <w:spacing w:val="-3"/>
          <w:sz w:val="24"/>
          <w:szCs w:val="24"/>
        </w:rPr>
        <w:t>经对照《环境影响评价技术导则 土壤环境（试行）》（</w:t>
      </w:r>
      <w:r>
        <w:rPr>
          <w:rFonts w:ascii="Times New Roman" w:hAnsi="Times New Roman" w:eastAsia="Times New Roman" w:cs="Times New Roman"/>
          <w:spacing w:val="-3"/>
          <w:sz w:val="24"/>
          <w:szCs w:val="24"/>
        </w:rPr>
        <w:t>HJ964-20</w:t>
      </w:r>
      <w:r>
        <w:rPr>
          <w:rFonts w:ascii="Times New Roman" w:hAnsi="Times New Roman" w:eastAsia="Times New Roman" w:cs="Times New Roman"/>
          <w:spacing w:val="-4"/>
          <w:sz w:val="24"/>
          <w:szCs w:val="24"/>
        </w:rPr>
        <w:t>18</w:t>
      </w:r>
      <w:r>
        <w:rPr>
          <w:rFonts w:ascii="宋体" w:hAnsi="宋体" w:eastAsia="宋体" w:cs="宋体"/>
          <w:spacing w:val="-4"/>
          <w:sz w:val="24"/>
          <w:szCs w:val="24"/>
        </w:rPr>
        <w:t>）附录</w:t>
      </w:r>
      <w:r>
        <w:rPr>
          <w:rFonts w:ascii="宋体" w:hAnsi="宋体" w:eastAsia="宋体" w:cs="宋体"/>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，本项目行业类别为“采矿业</w:t>
      </w:r>
      <w:r>
        <w:rPr>
          <w:rFonts w:ascii="Times New Roman" w:hAnsi="Times New Roman" w:eastAsia="Times New Roman" w:cs="Times New Roman"/>
          <w:spacing w:val="-2"/>
          <w:sz w:val="24"/>
          <w:szCs w:val="24"/>
        </w:rPr>
        <w:t>-</w:t>
      </w:r>
      <w:r>
        <w:rPr>
          <w:rFonts w:ascii="宋体" w:hAnsi="宋体" w:eastAsia="宋体" w:cs="宋体"/>
          <w:spacing w:val="-2"/>
          <w:sz w:val="24"/>
          <w:szCs w:val="24"/>
        </w:rPr>
        <w:t>金属矿、石油、页岩油开采</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，土壤环境影响</w:t>
      </w:r>
      <w:r>
        <w:rPr>
          <w:rFonts w:ascii="宋体" w:hAnsi="宋体" w:eastAsia="宋体" w:cs="宋体"/>
          <w:sz w:val="24"/>
          <w:szCs w:val="24"/>
        </w:rPr>
        <w:t xml:space="preserve"> </w:t>
      </w:r>
      <w:r>
        <w:rPr>
          <w:rFonts w:ascii="宋体" w:hAnsi="宋体" w:eastAsia="宋体" w:cs="宋体"/>
          <w:spacing w:val="-1"/>
          <w:sz w:val="24"/>
          <w:szCs w:val="24"/>
        </w:rPr>
        <w:t>评价项目类别为</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I </w:t>
      </w:r>
      <w:r>
        <w:rPr>
          <w:rFonts w:ascii="宋体" w:hAnsi="宋体" w:eastAsia="宋体" w:cs="宋体"/>
          <w:spacing w:val="-1"/>
          <w:sz w:val="24"/>
          <w:szCs w:val="24"/>
        </w:rPr>
        <w:t>类。</w:t>
      </w:r>
    </w:p>
    <w:p w14:paraId="66B67258">
      <w:pPr>
        <w:spacing w:line="219" w:lineRule="auto"/>
        <w:ind w:left="614"/>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w:t>
      </w:r>
      <w:r>
        <w:rPr>
          <w:rFonts w:ascii="宋体" w:hAnsi="宋体" w:eastAsia="宋体" w:cs="宋体"/>
          <w:spacing w:val="-72"/>
          <w:sz w:val="24"/>
          <w:szCs w:val="24"/>
        </w:rPr>
        <w:t xml:space="preserve"> </w:t>
      </w:r>
      <w:r>
        <w:rPr>
          <w:rFonts w:ascii="宋体" w:hAnsi="宋体" w:eastAsia="宋体" w:cs="宋体"/>
          <w:spacing w:val="-10"/>
          <w:sz w:val="24"/>
          <w:szCs w:val="24"/>
        </w:rPr>
        <w:t>占地规模</w:t>
      </w:r>
    </w:p>
    <w:p w14:paraId="7EC7F111">
      <w:pPr>
        <w:spacing w:before="182" w:line="219" w:lineRule="auto"/>
        <w:ind w:left="603"/>
        <w:rPr>
          <w:rFonts w:ascii="宋体" w:hAnsi="宋体" w:eastAsia="宋体" w:cs="宋体"/>
          <w:sz w:val="24"/>
          <w:szCs w:val="24"/>
        </w:rPr>
      </w:pPr>
      <w:r>
        <w:rPr>
          <w:rFonts w:ascii="宋体" w:hAnsi="宋体" w:eastAsia="宋体" w:cs="宋体"/>
          <w:spacing w:val="-2"/>
          <w:sz w:val="24"/>
          <w:szCs w:val="24"/>
        </w:rPr>
        <w:t>本项目厂区占地面积约</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5.35hm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7"/>
          <w:position w:val="7"/>
          <w:sz w:val="15"/>
          <w:szCs w:val="15"/>
        </w:rPr>
        <w:t xml:space="preserve"> </w:t>
      </w:r>
      <w:r>
        <w:rPr>
          <w:rFonts w:ascii="宋体" w:hAnsi="宋体" w:eastAsia="宋体" w:cs="宋体"/>
          <w:spacing w:val="-2"/>
          <w:sz w:val="24"/>
          <w:szCs w:val="24"/>
        </w:rPr>
        <w:t>，厂区占地规模属于中型（</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
          <w:sz w:val="24"/>
          <w:szCs w:val="24"/>
        </w:rPr>
        <w:t>~50hm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4"/>
          <w:szCs w:val="24"/>
        </w:rPr>
        <w:t>）。</w:t>
      </w:r>
    </w:p>
    <w:p w14:paraId="0B5EE741">
      <w:pPr>
        <w:spacing w:before="184"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）土壤环境敏感程度</w:t>
      </w:r>
    </w:p>
    <w:p w14:paraId="265F418B">
      <w:pPr>
        <w:spacing w:before="183" w:line="344" w:lineRule="auto"/>
        <w:ind w:left="121" w:right="457" w:firstLine="480"/>
        <w:rPr>
          <w:rFonts w:ascii="宋体" w:hAnsi="宋体" w:eastAsia="宋体" w:cs="宋体"/>
          <w:sz w:val="24"/>
          <w:szCs w:val="24"/>
        </w:rPr>
      </w:pPr>
      <w:r>
        <w:rPr>
          <w:rFonts w:ascii="宋体" w:hAnsi="宋体" w:eastAsia="宋体" w:cs="宋体"/>
          <w:sz w:val="24"/>
          <w:szCs w:val="24"/>
        </w:rPr>
        <w:t>根据现场勘测，项目厂区周围存在天然牧草地，</w:t>
      </w:r>
      <w:r>
        <w:rPr>
          <w:rFonts w:ascii="宋体" w:hAnsi="宋体" w:eastAsia="宋体" w:cs="宋体"/>
          <w:spacing w:val="-1"/>
          <w:sz w:val="24"/>
          <w:szCs w:val="24"/>
        </w:rPr>
        <w:t>因此本项目厂区所在地周</w:t>
      </w:r>
      <w:r>
        <w:rPr>
          <w:rFonts w:ascii="宋体" w:hAnsi="宋体" w:eastAsia="宋体" w:cs="宋体"/>
          <w:sz w:val="24"/>
          <w:szCs w:val="24"/>
        </w:rPr>
        <w:t xml:space="preserve"> </w:t>
      </w:r>
      <w:r>
        <w:rPr>
          <w:rFonts w:ascii="宋体" w:hAnsi="宋体" w:eastAsia="宋体" w:cs="宋体"/>
          <w:spacing w:val="-3"/>
          <w:sz w:val="24"/>
          <w:szCs w:val="24"/>
        </w:rPr>
        <w:t>边的土壤环境敏感程度为</w:t>
      </w:r>
      <w:r>
        <w:rPr>
          <w:rFonts w:ascii="Times New Roman" w:hAnsi="Times New Roman" w:eastAsia="Times New Roman" w:cs="Times New Roman"/>
          <w:spacing w:val="-3"/>
          <w:sz w:val="24"/>
          <w:szCs w:val="24"/>
        </w:rPr>
        <w:t>“</w:t>
      </w:r>
      <w:r>
        <w:rPr>
          <w:rFonts w:ascii="宋体" w:hAnsi="宋体" w:eastAsia="宋体" w:cs="宋体"/>
          <w:spacing w:val="-3"/>
          <w:sz w:val="24"/>
          <w:szCs w:val="24"/>
        </w:rPr>
        <w:t>敏感</w:t>
      </w:r>
      <w:r>
        <w:rPr>
          <w:rFonts w:ascii="Times New Roman" w:hAnsi="Times New Roman" w:eastAsia="Times New Roman" w:cs="Times New Roman"/>
          <w:spacing w:val="-3"/>
          <w:sz w:val="24"/>
          <w:szCs w:val="24"/>
        </w:rPr>
        <w:t>”</w:t>
      </w:r>
      <w:r>
        <w:rPr>
          <w:rFonts w:ascii="宋体" w:hAnsi="宋体" w:eastAsia="宋体" w:cs="宋体"/>
          <w:spacing w:val="-3"/>
          <w:sz w:val="24"/>
          <w:szCs w:val="24"/>
        </w:rPr>
        <w:t>，根据《环境影响评价技术导则 土壤环境（试</w:t>
      </w:r>
      <w:r>
        <w:rPr>
          <w:rFonts w:ascii="宋体" w:hAnsi="宋体" w:eastAsia="宋体" w:cs="宋体"/>
          <w:spacing w:val="5"/>
          <w:sz w:val="24"/>
          <w:szCs w:val="24"/>
        </w:rPr>
        <w:t xml:space="preserve"> </w:t>
      </w:r>
      <w:r>
        <w:rPr>
          <w:rFonts w:ascii="宋体" w:hAnsi="宋体" w:eastAsia="宋体" w:cs="宋体"/>
          <w:spacing w:val="-1"/>
          <w:sz w:val="24"/>
          <w:szCs w:val="24"/>
        </w:rPr>
        <w:t>行）》（</w:t>
      </w:r>
      <w:r>
        <w:rPr>
          <w:rFonts w:ascii="Times New Roman" w:hAnsi="Times New Roman" w:eastAsia="Times New Roman" w:cs="Times New Roman"/>
          <w:spacing w:val="-1"/>
          <w:sz w:val="24"/>
          <w:szCs w:val="24"/>
        </w:rPr>
        <w:t>HJ964-2018</w:t>
      </w:r>
      <w:r>
        <w:rPr>
          <w:rFonts w:ascii="宋体" w:hAnsi="宋体" w:eastAsia="宋体" w:cs="宋体"/>
          <w:spacing w:val="11"/>
          <w:sz w:val="24"/>
          <w:szCs w:val="24"/>
        </w:rPr>
        <w:t>），</w:t>
      </w:r>
      <w:r>
        <w:rPr>
          <w:rFonts w:ascii="宋体" w:hAnsi="宋体" w:eastAsia="宋体" w:cs="宋体"/>
          <w:spacing w:val="-1"/>
          <w:sz w:val="24"/>
          <w:szCs w:val="24"/>
        </w:rPr>
        <w:t>污染影响型建设项目评价工作等级划分见表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2.5-6</w:t>
      </w:r>
      <w:r>
        <w:rPr>
          <w:rFonts w:ascii="宋体" w:hAnsi="宋体" w:eastAsia="宋体" w:cs="宋体"/>
          <w:spacing w:val="-1"/>
          <w:sz w:val="24"/>
          <w:szCs w:val="24"/>
        </w:rPr>
        <w:t>。</w:t>
      </w:r>
    </w:p>
    <w:p w14:paraId="4CC81E71">
      <w:pPr>
        <w:spacing w:before="1" w:line="226" w:lineRule="auto"/>
        <w:ind w:left="2275"/>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44"/>
          <w:sz w:val="20"/>
          <w:szCs w:val="20"/>
        </w:rPr>
        <w:t xml:space="preserve"> </w:t>
      </w:r>
      <w:r>
        <w:rPr>
          <w:rFonts w:ascii="Times New Roman" w:hAnsi="Times New Roman" w:eastAsia="Times New Roman" w:cs="Times New Roman"/>
          <w:spacing w:val="7"/>
          <w:sz w:val="20"/>
          <w:szCs w:val="20"/>
        </w:rPr>
        <w:t xml:space="preserve">2.5-6    </w:t>
      </w:r>
      <w:r>
        <w:rPr>
          <w:rFonts w:ascii="宋体" w:hAnsi="宋体" w:eastAsia="宋体" w:cs="宋体"/>
          <w:spacing w:val="7"/>
          <w:sz w:val="20"/>
          <w:szCs w:val="20"/>
        </w:rPr>
        <w:t>污染影响型评价工作</w:t>
      </w:r>
      <w:r>
        <w:rPr>
          <w:rFonts w:ascii="宋体" w:hAnsi="宋体" w:eastAsia="宋体" w:cs="宋体"/>
          <w:spacing w:val="6"/>
          <w:sz w:val="20"/>
          <w:szCs w:val="20"/>
        </w:rPr>
        <w:t>等级划分表</w:t>
      </w:r>
    </w:p>
    <w:p w14:paraId="11CB494F">
      <w:pPr>
        <w:spacing w:line="14" w:lineRule="exact"/>
      </w:pPr>
    </w:p>
    <w:tbl>
      <w:tblPr>
        <w:tblStyle w:val="5"/>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60"/>
        <w:gridCol w:w="707"/>
        <w:gridCol w:w="706"/>
        <w:gridCol w:w="707"/>
        <w:gridCol w:w="706"/>
        <w:gridCol w:w="706"/>
        <w:gridCol w:w="707"/>
        <w:gridCol w:w="706"/>
        <w:gridCol w:w="706"/>
        <w:gridCol w:w="714"/>
      </w:tblGrid>
      <w:tr w14:paraId="230BB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2360" w:type="dxa"/>
            <w:vMerge w:val="restart"/>
            <w:tcBorders>
              <w:bottom w:val="nil"/>
            </w:tcBorders>
            <w:vAlign w:val="top"/>
          </w:tcPr>
          <w:p w14:paraId="05300C13">
            <w:pPr>
              <w:pStyle w:val="6"/>
              <w:spacing w:before="57" w:line="233" w:lineRule="auto"/>
              <w:ind w:left="115" w:right="182" w:firstLine="1261"/>
            </w:pPr>
            <w:r>
              <w:drawing>
                <wp:anchor distT="0" distB="0" distL="0" distR="0" simplePos="0" relativeHeight="251660288" behindDoc="1" locked="0" layoutInCell="1" allowOverlap="1">
                  <wp:simplePos x="0" y="0"/>
                  <wp:positionH relativeFrom="column">
                    <wp:posOffset>636270</wp:posOffset>
                  </wp:positionH>
                  <wp:positionV relativeFrom="paragraph">
                    <wp:posOffset>-2540</wp:posOffset>
                  </wp:positionV>
                  <wp:extent cx="860425" cy="7874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58"/>
                          <a:stretch>
                            <a:fillRect/>
                          </a:stretch>
                        </pic:blipFill>
                        <pic:spPr>
                          <a:xfrm>
                            <a:off x="0" y="0"/>
                            <a:ext cx="860475" cy="787298"/>
                          </a:xfrm>
                          <a:prstGeom prst="rect">
                            <a:avLst/>
                          </a:prstGeom>
                        </pic:spPr>
                      </pic:pic>
                    </a:graphicData>
                  </a:graphic>
                </wp:anchor>
              </w:drawing>
            </w:r>
            <w:r>
              <w:rPr>
                <w:spacing w:val="-2"/>
              </w:rPr>
              <w:t>占地规模</w:t>
            </w:r>
            <w:r>
              <w:rPr>
                <w:spacing w:val="2"/>
              </w:rPr>
              <w:t xml:space="preserve"> </w:t>
            </w:r>
            <w:r>
              <w:rPr>
                <w:spacing w:val="8"/>
              </w:rPr>
              <w:t>评价工作等级</w:t>
            </w:r>
          </w:p>
          <w:p w14:paraId="58D84192">
            <w:pPr>
              <w:pStyle w:val="6"/>
              <w:spacing w:line="675" w:lineRule="exact"/>
              <w:ind w:firstLine="14"/>
            </w:pPr>
            <w:r>
              <w:rPr>
                <w:position w:val="-13"/>
              </w:rPr>
              <w:pict>
                <v:group id="_x0000_s1026" o:spid="_x0000_s1026" o:spt="203" style="height:33.8pt;width:117.05pt;" coordsize="2341,675">
                  <o:lock v:ext="edit"/>
                  <v:shape id="_x0000_s1027" o:spid="_x0000_s1027" o:spt="75" type="#_x0000_t75" style="position:absolute;left:0;top:-15;height:690;width:2341;" filled="f" stroked="f" coordsize="21600,21600">
                    <v:path/>
                    <v:fill on="f" focussize="0,0"/>
                    <v:stroke on="f"/>
                    <v:imagedata r:id="rId459" o:title=""/>
                    <o:lock v:ext="edit" aspectratio="t"/>
                  </v:shape>
                  <v:shape id="_x0000_s1028" o:spid="_x0000_s1028" o:spt="202" type="#_x0000_t202" style="position:absolute;left:-20;top:-35;height:730;width:2381;" filled="f" stroked="f" coordsize="21600,21600">
                    <v:path/>
                    <v:fill on="f" focussize="0,0"/>
                    <v:stroke on="f"/>
                    <v:imagedata o:title=""/>
                    <o:lock v:ext="edit" aspectratio="f"/>
                    <v:textbox inset="0mm,0mm,0mm,0mm">
                      <w:txbxContent>
                        <w:p w14:paraId="2592A891">
                          <w:pPr>
                            <w:spacing w:line="398" w:lineRule="auto"/>
                            <w:rPr>
                              <w:rFonts w:ascii="Arial"/>
                              <w:sz w:val="21"/>
                            </w:rPr>
                          </w:pPr>
                        </w:p>
                        <w:p w14:paraId="4B7097F2">
                          <w:pPr>
                            <w:spacing w:before="65" w:line="228" w:lineRule="auto"/>
                            <w:ind w:left="543"/>
                            <w:rPr>
                              <w:rFonts w:ascii="宋体" w:hAnsi="宋体" w:eastAsia="宋体" w:cs="宋体"/>
                              <w:sz w:val="20"/>
                              <w:szCs w:val="20"/>
                            </w:rPr>
                          </w:pPr>
                          <w:r>
                            <w:rPr>
                              <w:rFonts w:ascii="宋体" w:hAnsi="宋体" w:eastAsia="宋体" w:cs="宋体"/>
                              <w:spacing w:val="7"/>
                              <w:sz w:val="20"/>
                              <w:szCs w:val="20"/>
                            </w:rPr>
                            <w:t>敏感程度</w:t>
                          </w:r>
                        </w:p>
                      </w:txbxContent>
                    </v:textbox>
                  </v:shape>
                  <w10:wrap type="none"/>
                  <w10:anchorlock/>
                </v:group>
              </w:pict>
            </w:r>
          </w:p>
        </w:tc>
        <w:tc>
          <w:tcPr>
            <w:tcW w:w="2120" w:type="dxa"/>
            <w:gridSpan w:val="3"/>
            <w:vAlign w:val="top"/>
          </w:tcPr>
          <w:p w14:paraId="4A503401">
            <w:pPr>
              <w:pStyle w:val="6"/>
              <w:spacing w:before="291" w:line="228" w:lineRule="auto"/>
              <w:ind w:left="897"/>
            </w:pPr>
            <w:r>
              <w:rPr>
                <w:rFonts w:ascii="Times New Roman" w:hAnsi="Times New Roman" w:eastAsia="Times New Roman" w:cs="Times New Roman"/>
                <w:spacing w:val="-1"/>
              </w:rPr>
              <w:t>I</w:t>
            </w:r>
            <w:r>
              <w:rPr>
                <w:rFonts w:ascii="Times New Roman" w:hAnsi="Times New Roman" w:eastAsia="Times New Roman" w:cs="Times New Roman"/>
                <w:spacing w:val="10"/>
              </w:rPr>
              <w:t xml:space="preserve"> </w:t>
            </w:r>
            <w:r>
              <w:rPr>
                <w:spacing w:val="-1"/>
              </w:rPr>
              <w:t>类</w:t>
            </w:r>
          </w:p>
        </w:tc>
        <w:tc>
          <w:tcPr>
            <w:tcW w:w="2119" w:type="dxa"/>
            <w:gridSpan w:val="3"/>
            <w:vAlign w:val="top"/>
          </w:tcPr>
          <w:p w14:paraId="7EBCE6AF">
            <w:pPr>
              <w:pStyle w:val="6"/>
              <w:spacing w:before="291" w:line="228" w:lineRule="auto"/>
              <w:ind w:left="863"/>
            </w:pPr>
            <w:r>
              <w:rPr>
                <w:rFonts w:ascii="Times New Roman" w:hAnsi="Times New Roman" w:eastAsia="Times New Roman" w:cs="Times New Roman"/>
              </w:rPr>
              <w:t>II</w:t>
            </w:r>
            <w:r>
              <w:rPr>
                <w:rFonts w:ascii="Times New Roman" w:hAnsi="Times New Roman" w:eastAsia="Times New Roman" w:cs="Times New Roman"/>
                <w:spacing w:val="10"/>
              </w:rPr>
              <w:t xml:space="preserve"> </w:t>
            </w:r>
            <w:r>
              <w:rPr>
                <w:spacing w:val="1"/>
              </w:rPr>
              <w:t>类</w:t>
            </w:r>
          </w:p>
        </w:tc>
        <w:tc>
          <w:tcPr>
            <w:tcW w:w="2126" w:type="dxa"/>
            <w:gridSpan w:val="3"/>
            <w:vAlign w:val="top"/>
          </w:tcPr>
          <w:p w14:paraId="44A51D2D">
            <w:pPr>
              <w:pStyle w:val="6"/>
              <w:spacing w:before="291" w:line="228" w:lineRule="auto"/>
              <w:ind w:left="829"/>
            </w:pPr>
            <w:r>
              <w:rPr>
                <w:rFonts w:ascii="Times New Roman" w:hAnsi="Times New Roman" w:eastAsia="Times New Roman" w:cs="Times New Roman"/>
              </w:rPr>
              <w:t>III</w:t>
            </w:r>
            <w:r>
              <w:rPr>
                <w:rFonts w:ascii="Times New Roman" w:hAnsi="Times New Roman" w:eastAsia="Times New Roman" w:cs="Times New Roman"/>
                <w:spacing w:val="10"/>
              </w:rPr>
              <w:t xml:space="preserve"> </w:t>
            </w:r>
            <w:r>
              <w:rPr>
                <w:spacing w:val="4"/>
              </w:rPr>
              <w:t>类</w:t>
            </w:r>
          </w:p>
        </w:tc>
      </w:tr>
      <w:tr w14:paraId="14802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60" w:type="dxa"/>
            <w:vMerge w:val="continue"/>
            <w:tcBorders>
              <w:top w:val="nil"/>
            </w:tcBorders>
            <w:vAlign w:val="top"/>
          </w:tcPr>
          <w:p w14:paraId="4E59CEF5">
            <w:pPr>
              <w:rPr>
                <w:rFonts w:ascii="Arial"/>
                <w:sz w:val="21"/>
              </w:rPr>
            </w:pPr>
          </w:p>
        </w:tc>
        <w:tc>
          <w:tcPr>
            <w:tcW w:w="707" w:type="dxa"/>
            <w:vAlign w:val="top"/>
          </w:tcPr>
          <w:p w14:paraId="1E4E3BB2">
            <w:pPr>
              <w:pStyle w:val="6"/>
              <w:spacing w:before="125" w:line="228" w:lineRule="auto"/>
              <w:ind w:left="255"/>
            </w:pPr>
            <w:r>
              <w:t>大</w:t>
            </w:r>
          </w:p>
        </w:tc>
        <w:tc>
          <w:tcPr>
            <w:tcW w:w="706" w:type="dxa"/>
            <w:vAlign w:val="top"/>
          </w:tcPr>
          <w:p w14:paraId="18F5A91C">
            <w:pPr>
              <w:pStyle w:val="6"/>
              <w:spacing w:before="125" w:line="228" w:lineRule="auto"/>
              <w:ind w:left="273"/>
            </w:pPr>
            <w:r>
              <w:rPr>
                <w:b/>
                <w:bCs/>
                <w:spacing w:val="-3"/>
              </w:rPr>
              <w:t>中</w:t>
            </w:r>
          </w:p>
        </w:tc>
        <w:tc>
          <w:tcPr>
            <w:tcW w:w="707" w:type="dxa"/>
            <w:vAlign w:val="top"/>
          </w:tcPr>
          <w:p w14:paraId="18FBDD33">
            <w:pPr>
              <w:pStyle w:val="6"/>
              <w:spacing w:before="124" w:line="230" w:lineRule="auto"/>
              <w:ind w:left="261"/>
            </w:pPr>
            <w:r>
              <w:t>小</w:t>
            </w:r>
          </w:p>
        </w:tc>
        <w:tc>
          <w:tcPr>
            <w:tcW w:w="706" w:type="dxa"/>
            <w:vAlign w:val="top"/>
          </w:tcPr>
          <w:p w14:paraId="280E1CB1">
            <w:pPr>
              <w:pStyle w:val="6"/>
              <w:spacing w:before="125" w:line="228" w:lineRule="auto"/>
              <w:ind w:left="256"/>
            </w:pPr>
            <w:r>
              <w:t>大</w:t>
            </w:r>
          </w:p>
        </w:tc>
        <w:tc>
          <w:tcPr>
            <w:tcW w:w="706" w:type="dxa"/>
            <w:vAlign w:val="top"/>
          </w:tcPr>
          <w:p w14:paraId="196E322D">
            <w:pPr>
              <w:pStyle w:val="6"/>
              <w:spacing w:before="125" w:line="228" w:lineRule="auto"/>
              <w:ind w:left="273"/>
            </w:pPr>
            <w:r>
              <w:t>中</w:t>
            </w:r>
          </w:p>
        </w:tc>
        <w:tc>
          <w:tcPr>
            <w:tcW w:w="707" w:type="dxa"/>
            <w:vAlign w:val="top"/>
          </w:tcPr>
          <w:p w14:paraId="7532B40E">
            <w:pPr>
              <w:pStyle w:val="6"/>
              <w:spacing w:before="124" w:line="230" w:lineRule="auto"/>
              <w:ind w:left="261"/>
            </w:pPr>
            <w:r>
              <w:t>小</w:t>
            </w:r>
          </w:p>
        </w:tc>
        <w:tc>
          <w:tcPr>
            <w:tcW w:w="706" w:type="dxa"/>
            <w:vAlign w:val="top"/>
          </w:tcPr>
          <w:p w14:paraId="55DC4795">
            <w:pPr>
              <w:pStyle w:val="6"/>
              <w:spacing w:before="125" w:line="228" w:lineRule="auto"/>
              <w:ind w:left="259"/>
            </w:pPr>
            <w:r>
              <w:t>大</w:t>
            </w:r>
          </w:p>
        </w:tc>
        <w:tc>
          <w:tcPr>
            <w:tcW w:w="706" w:type="dxa"/>
            <w:vAlign w:val="top"/>
          </w:tcPr>
          <w:p w14:paraId="5007B1BC">
            <w:pPr>
              <w:pStyle w:val="6"/>
              <w:spacing w:before="125" w:line="228" w:lineRule="auto"/>
              <w:ind w:left="275"/>
            </w:pPr>
            <w:r>
              <w:t>中</w:t>
            </w:r>
          </w:p>
        </w:tc>
        <w:tc>
          <w:tcPr>
            <w:tcW w:w="714" w:type="dxa"/>
            <w:vAlign w:val="top"/>
          </w:tcPr>
          <w:p w14:paraId="6F0DA527">
            <w:pPr>
              <w:pStyle w:val="6"/>
              <w:spacing w:before="124" w:line="230" w:lineRule="auto"/>
              <w:ind w:left="263"/>
            </w:pPr>
            <w:r>
              <w:t>小</w:t>
            </w:r>
          </w:p>
        </w:tc>
      </w:tr>
      <w:tr w14:paraId="0CF0E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60" w:type="dxa"/>
            <w:vAlign w:val="top"/>
          </w:tcPr>
          <w:p w14:paraId="79591564">
            <w:pPr>
              <w:pStyle w:val="6"/>
              <w:spacing w:before="67" w:line="228" w:lineRule="auto"/>
              <w:ind w:left="976"/>
            </w:pPr>
            <w:r>
              <w:rPr>
                <w:b/>
                <w:bCs/>
                <w:spacing w:val="3"/>
              </w:rPr>
              <w:t>敏感</w:t>
            </w:r>
          </w:p>
        </w:tc>
        <w:tc>
          <w:tcPr>
            <w:tcW w:w="707" w:type="dxa"/>
            <w:vAlign w:val="top"/>
          </w:tcPr>
          <w:p w14:paraId="2BC01984">
            <w:pPr>
              <w:pStyle w:val="6"/>
              <w:spacing w:before="67" w:line="230" w:lineRule="auto"/>
              <w:ind w:left="150"/>
            </w:pPr>
            <w:r>
              <w:rPr>
                <w:spacing w:val="3"/>
              </w:rPr>
              <w:t>一级</w:t>
            </w:r>
          </w:p>
        </w:tc>
        <w:tc>
          <w:tcPr>
            <w:tcW w:w="706" w:type="dxa"/>
            <w:vAlign w:val="top"/>
          </w:tcPr>
          <w:p w14:paraId="2C625AB2">
            <w:pPr>
              <w:pStyle w:val="6"/>
              <w:spacing w:before="67" w:line="230" w:lineRule="auto"/>
              <w:ind w:left="151"/>
            </w:pPr>
            <w:r>
              <w:rPr>
                <w:b/>
                <w:bCs/>
                <w:spacing w:val="2"/>
              </w:rPr>
              <w:t>一级</w:t>
            </w:r>
          </w:p>
        </w:tc>
        <w:tc>
          <w:tcPr>
            <w:tcW w:w="707" w:type="dxa"/>
            <w:vAlign w:val="top"/>
          </w:tcPr>
          <w:p w14:paraId="4C8B6889">
            <w:pPr>
              <w:pStyle w:val="6"/>
              <w:spacing w:before="67" w:line="230" w:lineRule="auto"/>
              <w:ind w:left="153"/>
            </w:pPr>
            <w:r>
              <w:rPr>
                <w:spacing w:val="3"/>
              </w:rPr>
              <w:t>一级</w:t>
            </w:r>
          </w:p>
        </w:tc>
        <w:tc>
          <w:tcPr>
            <w:tcW w:w="706" w:type="dxa"/>
            <w:vAlign w:val="top"/>
          </w:tcPr>
          <w:p w14:paraId="293EBF97">
            <w:pPr>
              <w:pStyle w:val="6"/>
              <w:spacing w:before="67" w:line="230" w:lineRule="auto"/>
              <w:ind w:left="154"/>
            </w:pPr>
            <w:r>
              <w:rPr>
                <w:spacing w:val="3"/>
              </w:rPr>
              <w:t>二级</w:t>
            </w:r>
          </w:p>
        </w:tc>
        <w:tc>
          <w:tcPr>
            <w:tcW w:w="706" w:type="dxa"/>
            <w:vAlign w:val="top"/>
          </w:tcPr>
          <w:p w14:paraId="6C712A78">
            <w:pPr>
              <w:pStyle w:val="6"/>
              <w:spacing w:before="67" w:line="230" w:lineRule="auto"/>
              <w:ind w:left="153"/>
            </w:pPr>
            <w:r>
              <w:rPr>
                <w:spacing w:val="3"/>
              </w:rPr>
              <w:t>二级</w:t>
            </w:r>
          </w:p>
        </w:tc>
        <w:tc>
          <w:tcPr>
            <w:tcW w:w="707" w:type="dxa"/>
            <w:vAlign w:val="top"/>
          </w:tcPr>
          <w:p w14:paraId="20DFD112">
            <w:pPr>
              <w:pStyle w:val="6"/>
              <w:spacing w:before="67" w:line="230" w:lineRule="auto"/>
              <w:ind w:left="153"/>
            </w:pPr>
            <w:r>
              <w:rPr>
                <w:spacing w:val="3"/>
              </w:rPr>
              <w:t>二级</w:t>
            </w:r>
          </w:p>
        </w:tc>
        <w:tc>
          <w:tcPr>
            <w:tcW w:w="706" w:type="dxa"/>
            <w:vAlign w:val="top"/>
          </w:tcPr>
          <w:p w14:paraId="54436C43">
            <w:pPr>
              <w:pStyle w:val="6"/>
              <w:spacing w:before="67" w:line="230" w:lineRule="auto"/>
              <w:ind w:left="151"/>
            </w:pPr>
            <w:r>
              <w:rPr>
                <w:spacing w:val="4"/>
              </w:rPr>
              <w:t>三级</w:t>
            </w:r>
          </w:p>
        </w:tc>
        <w:tc>
          <w:tcPr>
            <w:tcW w:w="706" w:type="dxa"/>
            <w:vAlign w:val="top"/>
          </w:tcPr>
          <w:p w14:paraId="53985D1A">
            <w:pPr>
              <w:pStyle w:val="6"/>
              <w:spacing w:before="67" w:line="230" w:lineRule="auto"/>
              <w:ind w:left="150"/>
            </w:pPr>
            <w:r>
              <w:rPr>
                <w:spacing w:val="4"/>
              </w:rPr>
              <w:t>三级</w:t>
            </w:r>
          </w:p>
        </w:tc>
        <w:tc>
          <w:tcPr>
            <w:tcW w:w="714" w:type="dxa"/>
            <w:vAlign w:val="top"/>
          </w:tcPr>
          <w:p w14:paraId="75955BBA">
            <w:pPr>
              <w:pStyle w:val="6"/>
              <w:spacing w:before="67" w:line="230" w:lineRule="auto"/>
              <w:ind w:left="152"/>
            </w:pPr>
            <w:r>
              <w:rPr>
                <w:spacing w:val="4"/>
              </w:rPr>
              <w:t>三级</w:t>
            </w:r>
          </w:p>
        </w:tc>
      </w:tr>
      <w:tr w14:paraId="7DB0C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360" w:type="dxa"/>
            <w:vAlign w:val="top"/>
          </w:tcPr>
          <w:p w14:paraId="3B09D758">
            <w:pPr>
              <w:pStyle w:val="6"/>
              <w:spacing w:before="68" w:line="228" w:lineRule="auto"/>
              <w:ind w:left="870"/>
            </w:pPr>
            <w:r>
              <w:rPr>
                <w:spacing w:val="6"/>
              </w:rPr>
              <w:t>较敏感</w:t>
            </w:r>
          </w:p>
        </w:tc>
        <w:tc>
          <w:tcPr>
            <w:tcW w:w="707" w:type="dxa"/>
            <w:vAlign w:val="top"/>
          </w:tcPr>
          <w:p w14:paraId="3BC770AE">
            <w:pPr>
              <w:pStyle w:val="6"/>
              <w:spacing w:before="69" w:line="230" w:lineRule="auto"/>
              <w:ind w:left="150"/>
            </w:pPr>
            <w:r>
              <w:rPr>
                <w:spacing w:val="3"/>
              </w:rPr>
              <w:t>一级</w:t>
            </w:r>
          </w:p>
        </w:tc>
        <w:tc>
          <w:tcPr>
            <w:tcW w:w="706" w:type="dxa"/>
            <w:vAlign w:val="top"/>
          </w:tcPr>
          <w:p w14:paraId="5DCDF9E4">
            <w:pPr>
              <w:pStyle w:val="6"/>
              <w:spacing w:before="69" w:line="230" w:lineRule="auto"/>
              <w:ind w:left="151"/>
            </w:pPr>
            <w:r>
              <w:rPr>
                <w:spacing w:val="3"/>
              </w:rPr>
              <w:t>一级</w:t>
            </w:r>
          </w:p>
        </w:tc>
        <w:tc>
          <w:tcPr>
            <w:tcW w:w="707" w:type="dxa"/>
            <w:vAlign w:val="top"/>
          </w:tcPr>
          <w:p w14:paraId="0515FD7E">
            <w:pPr>
              <w:pStyle w:val="6"/>
              <w:spacing w:before="69" w:line="230" w:lineRule="auto"/>
              <w:ind w:left="153"/>
            </w:pPr>
            <w:r>
              <w:rPr>
                <w:spacing w:val="3"/>
              </w:rPr>
              <w:t>二级</w:t>
            </w:r>
          </w:p>
        </w:tc>
        <w:tc>
          <w:tcPr>
            <w:tcW w:w="706" w:type="dxa"/>
            <w:vAlign w:val="top"/>
          </w:tcPr>
          <w:p w14:paraId="11C9255A">
            <w:pPr>
              <w:pStyle w:val="6"/>
              <w:spacing w:before="69" w:line="230" w:lineRule="auto"/>
              <w:ind w:left="154"/>
            </w:pPr>
            <w:r>
              <w:rPr>
                <w:spacing w:val="3"/>
              </w:rPr>
              <w:t>二级</w:t>
            </w:r>
          </w:p>
        </w:tc>
        <w:tc>
          <w:tcPr>
            <w:tcW w:w="706" w:type="dxa"/>
            <w:vAlign w:val="top"/>
          </w:tcPr>
          <w:p w14:paraId="71040854">
            <w:pPr>
              <w:pStyle w:val="6"/>
              <w:spacing w:before="69" w:line="230" w:lineRule="auto"/>
              <w:ind w:left="153"/>
            </w:pPr>
            <w:r>
              <w:rPr>
                <w:spacing w:val="3"/>
              </w:rPr>
              <w:t>二级</w:t>
            </w:r>
          </w:p>
        </w:tc>
        <w:tc>
          <w:tcPr>
            <w:tcW w:w="707" w:type="dxa"/>
            <w:vAlign w:val="top"/>
          </w:tcPr>
          <w:p w14:paraId="730087FD">
            <w:pPr>
              <w:pStyle w:val="6"/>
              <w:spacing w:before="69" w:line="230" w:lineRule="auto"/>
              <w:ind w:left="150"/>
            </w:pPr>
            <w:r>
              <w:rPr>
                <w:spacing w:val="4"/>
              </w:rPr>
              <w:t>三级</w:t>
            </w:r>
          </w:p>
        </w:tc>
        <w:tc>
          <w:tcPr>
            <w:tcW w:w="706" w:type="dxa"/>
            <w:vAlign w:val="top"/>
          </w:tcPr>
          <w:p w14:paraId="3E2612D8">
            <w:pPr>
              <w:pStyle w:val="6"/>
              <w:spacing w:before="69" w:line="230" w:lineRule="auto"/>
              <w:ind w:left="151"/>
            </w:pPr>
            <w:r>
              <w:rPr>
                <w:spacing w:val="4"/>
              </w:rPr>
              <w:t>三级</w:t>
            </w:r>
          </w:p>
        </w:tc>
        <w:tc>
          <w:tcPr>
            <w:tcW w:w="706" w:type="dxa"/>
            <w:vAlign w:val="top"/>
          </w:tcPr>
          <w:p w14:paraId="791B65F5">
            <w:pPr>
              <w:pStyle w:val="6"/>
              <w:spacing w:before="69" w:line="230" w:lineRule="auto"/>
              <w:ind w:left="150"/>
            </w:pPr>
            <w:r>
              <w:rPr>
                <w:spacing w:val="4"/>
              </w:rPr>
              <w:t>三级</w:t>
            </w:r>
          </w:p>
        </w:tc>
        <w:tc>
          <w:tcPr>
            <w:tcW w:w="714" w:type="dxa"/>
            <w:vAlign w:val="top"/>
          </w:tcPr>
          <w:p w14:paraId="1774C3EE">
            <w:pPr>
              <w:spacing w:before="193" w:line="97"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7D0B0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360" w:type="dxa"/>
            <w:vAlign w:val="top"/>
          </w:tcPr>
          <w:p w14:paraId="4A1F3F34">
            <w:pPr>
              <w:pStyle w:val="6"/>
              <w:spacing w:before="70" w:line="228" w:lineRule="auto"/>
              <w:ind w:left="873"/>
            </w:pPr>
            <w:r>
              <w:rPr>
                <w:spacing w:val="5"/>
              </w:rPr>
              <w:t>不敏感</w:t>
            </w:r>
          </w:p>
        </w:tc>
        <w:tc>
          <w:tcPr>
            <w:tcW w:w="707" w:type="dxa"/>
            <w:vAlign w:val="top"/>
          </w:tcPr>
          <w:p w14:paraId="4595EB29">
            <w:pPr>
              <w:pStyle w:val="6"/>
              <w:spacing w:before="70" w:line="230" w:lineRule="auto"/>
              <w:ind w:left="150"/>
            </w:pPr>
            <w:r>
              <w:rPr>
                <w:spacing w:val="3"/>
              </w:rPr>
              <w:t>一级</w:t>
            </w:r>
          </w:p>
        </w:tc>
        <w:tc>
          <w:tcPr>
            <w:tcW w:w="706" w:type="dxa"/>
            <w:vAlign w:val="top"/>
          </w:tcPr>
          <w:p w14:paraId="120732A7">
            <w:pPr>
              <w:pStyle w:val="6"/>
              <w:spacing w:before="70" w:line="230" w:lineRule="auto"/>
              <w:ind w:left="151"/>
            </w:pPr>
            <w:r>
              <w:rPr>
                <w:spacing w:val="3"/>
              </w:rPr>
              <w:t>二级</w:t>
            </w:r>
          </w:p>
        </w:tc>
        <w:tc>
          <w:tcPr>
            <w:tcW w:w="707" w:type="dxa"/>
            <w:vAlign w:val="top"/>
          </w:tcPr>
          <w:p w14:paraId="256F1EE7">
            <w:pPr>
              <w:pStyle w:val="6"/>
              <w:spacing w:before="70" w:line="230" w:lineRule="auto"/>
              <w:ind w:left="153"/>
            </w:pPr>
            <w:r>
              <w:rPr>
                <w:spacing w:val="3"/>
              </w:rPr>
              <w:t>二级</w:t>
            </w:r>
          </w:p>
        </w:tc>
        <w:tc>
          <w:tcPr>
            <w:tcW w:w="706" w:type="dxa"/>
            <w:vAlign w:val="top"/>
          </w:tcPr>
          <w:p w14:paraId="6D84EFD3">
            <w:pPr>
              <w:pStyle w:val="6"/>
              <w:spacing w:before="70" w:line="230" w:lineRule="auto"/>
              <w:ind w:left="154"/>
            </w:pPr>
            <w:r>
              <w:rPr>
                <w:spacing w:val="3"/>
              </w:rPr>
              <w:t>二级</w:t>
            </w:r>
          </w:p>
        </w:tc>
        <w:tc>
          <w:tcPr>
            <w:tcW w:w="706" w:type="dxa"/>
            <w:vAlign w:val="top"/>
          </w:tcPr>
          <w:p w14:paraId="1CB37083">
            <w:pPr>
              <w:pStyle w:val="6"/>
              <w:spacing w:before="70" w:line="230" w:lineRule="auto"/>
              <w:ind w:left="150"/>
            </w:pPr>
            <w:r>
              <w:rPr>
                <w:spacing w:val="4"/>
              </w:rPr>
              <w:t>三级</w:t>
            </w:r>
          </w:p>
        </w:tc>
        <w:tc>
          <w:tcPr>
            <w:tcW w:w="707" w:type="dxa"/>
            <w:vAlign w:val="top"/>
          </w:tcPr>
          <w:p w14:paraId="61F2F8A7">
            <w:pPr>
              <w:pStyle w:val="6"/>
              <w:spacing w:before="70" w:line="230" w:lineRule="auto"/>
              <w:ind w:left="150"/>
            </w:pPr>
            <w:r>
              <w:rPr>
                <w:spacing w:val="4"/>
              </w:rPr>
              <w:t>三级</w:t>
            </w:r>
          </w:p>
        </w:tc>
        <w:tc>
          <w:tcPr>
            <w:tcW w:w="706" w:type="dxa"/>
            <w:vAlign w:val="top"/>
          </w:tcPr>
          <w:p w14:paraId="21DD56E0">
            <w:pPr>
              <w:pStyle w:val="6"/>
              <w:spacing w:before="70" w:line="230" w:lineRule="auto"/>
              <w:ind w:left="151"/>
            </w:pPr>
            <w:r>
              <w:rPr>
                <w:spacing w:val="4"/>
              </w:rPr>
              <w:t>三级</w:t>
            </w:r>
          </w:p>
        </w:tc>
        <w:tc>
          <w:tcPr>
            <w:tcW w:w="706" w:type="dxa"/>
            <w:vAlign w:val="top"/>
          </w:tcPr>
          <w:p w14:paraId="6ACDBBCA">
            <w:pPr>
              <w:spacing w:before="194" w:line="97"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714" w:type="dxa"/>
            <w:vAlign w:val="top"/>
          </w:tcPr>
          <w:p w14:paraId="4FC6EE51">
            <w:pPr>
              <w:spacing w:before="194" w:line="97" w:lineRule="exact"/>
              <w:ind w:left="3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28F98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725" w:type="dxa"/>
            <w:gridSpan w:val="10"/>
            <w:vAlign w:val="top"/>
          </w:tcPr>
          <w:p w14:paraId="55AE3647">
            <w:pPr>
              <w:pStyle w:val="6"/>
              <w:spacing w:before="68" w:line="226" w:lineRule="auto"/>
              <w:ind w:left="2245"/>
            </w:pPr>
            <w:r>
              <w:rPr>
                <w:spacing w:val="8"/>
              </w:rPr>
              <w:t>注：</w:t>
            </w:r>
            <w:r>
              <w:rPr>
                <w:rFonts w:ascii="Times New Roman" w:hAnsi="Times New Roman" w:eastAsia="Times New Roman" w:cs="Times New Roman"/>
                <w:spacing w:val="8"/>
              </w:rPr>
              <w:t>“-”</w:t>
            </w:r>
            <w:r>
              <w:rPr>
                <w:spacing w:val="8"/>
              </w:rPr>
              <w:t>表示可不开展土壤环境影响评价工作。</w:t>
            </w:r>
          </w:p>
        </w:tc>
      </w:tr>
    </w:tbl>
    <w:p w14:paraId="10028E8D">
      <w:pPr>
        <w:spacing w:before="116" w:line="361" w:lineRule="auto"/>
        <w:ind w:left="122" w:right="395" w:firstLine="482"/>
        <w:rPr>
          <w:rFonts w:ascii="宋体" w:hAnsi="宋体" w:eastAsia="宋体" w:cs="宋体"/>
          <w:sz w:val="24"/>
          <w:szCs w:val="24"/>
        </w:rPr>
      </w:pPr>
      <w:r>
        <w:rPr>
          <w:rFonts w:ascii="宋体" w:hAnsi="宋体" w:eastAsia="宋体" w:cs="宋体"/>
          <w:spacing w:val="-4"/>
          <w:sz w:val="24"/>
          <w:szCs w:val="24"/>
        </w:rPr>
        <w:t>综上，根据《环境影响评价技术导则 土壤环境（试行）》（</w:t>
      </w:r>
      <w:r>
        <w:rPr>
          <w:rFonts w:ascii="Times New Roman" w:hAnsi="Times New Roman" w:eastAsia="Times New Roman" w:cs="Times New Roman"/>
          <w:spacing w:val="-4"/>
          <w:sz w:val="24"/>
          <w:szCs w:val="24"/>
        </w:rPr>
        <w:t>HJ964-2018</w:t>
      </w:r>
      <w:r>
        <w:rPr>
          <w:rFonts w:ascii="宋体" w:hAnsi="宋体" w:eastAsia="宋体" w:cs="宋体"/>
          <w:spacing w:val="-58"/>
          <w:w w:val="92"/>
          <w:sz w:val="24"/>
          <w:szCs w:val="24"/>
        </w:rPr>
        <w:t>），</w:t>
      </w:r>
      <w:r>
        <w:rPr>
          <w:rFonts w:ascii="宋体" w:hAnsi="宋体" w:eastAsia="宋体" w:cs="宋体"/>
          <w:spacing w:val="3"/>
          <w:sz w:val="24"/>
          <w:szCs w:val="24"/>
        </w:rPr>
        <w:t xml:space="preserve"> </w:t>
      </w:r>
      <w:r>
        <w:rPr>
          <w:rFonts w:ascii="宋体" w:hAnsi="宋体" w:eastAsia="宋体" w:cs="宋体"/>
          <w:spacing w:val="-1"/>
          <w:sz w:val="24"/>
          <w:szCs w:val="24"/>
        </w:rPr>
        <w:t>判定本项目场地土壤环境影响评价工作等级为一级。</w:t>
      </w:r>
    </w:p>
    <w:p w14:paraId="0FBE5CEF">
      <w:pPr>
        <w:spacing w:before="80" w:line="222" w:lineRule="auto"/>
        <w:ind w:left="120"/>
        <w:outlineLvl w:val="1"/>
        <w:rPr>
          <w:rFonts w:ascii="黑体" w:hAnsi="黑体" w:eastAsia="黑体" w:cs="黑体"/>
          <w:sz w:val="28"/>
          <w:szCs w:val="28"/>
        </w:rPr>
      </w:pPr>
      <w:bookmarkStart w:id="37" w:name="bookmark35"/>
      <w:bookmarkEnd w:id="37"/>
      <w:bookmarkStart w:id="38" w:name="bookmark34"/>
      <w:bookmarkEnd w:id="38"/>
      <w:r>
        <w:rPr>
          <w:rFonts w:ascii="Times New Roman" w:hAnsi="Times New Roman" w:eastAsia="Times New Roman" w:cs="Times New Roman"/>
          <w:b/>
          <w:bCs/>
          <w:spacing w:val="-2"/>
          <w:sz w:val="28"/>
          <w:szCs w:val="28"/>
        </w:rPr>
        <w:t xml:space="preserve">2.6 </w:t>
      </w:r>
      <w:r>
        <w:rPr>
          <w:rFonts w:ascii="黑体" w:hAnsi="黑体" w:eastAsia="黑体" w:cs="黑体"/>
          <w:b/>
          <w:bCs/>
          <w:spacing w:val="-2"/>
          <w:sz w:val="28"/>
          <w:szCs w:val="28"/>
        </w:rPr>
        <w:t>评价范围及环境保护目标</w:t>
      </w:r>
    </w:p>
    <w:p w14:paraId="21917D5F">
      <w:pPr>
        <w:spacing w:before="254" w:line="218" w:lineRule="auto"/>
        <w:ind w:left="599"/>
        <w:outlineLvl w:val="2"/>
        <w:rPr>
          <w:rFonts w:ascii="宋体" w:hAnsi="宋体" w:eastAsia="宋体" w:cs="宋体"/>
          <w:sz w:val="24"/>
          <w:szCs w:val="24"/>
        </w:rPr>
      </w:pPr>
      <w:bookmarkStart w:id="39" w:name="bookmark198"/>
      <w:bookmarkEnd w:id="39"/>
      <w:r>
        <w:rPr>
          <w:rFonts w:ascii="Times New Roman" w:hAnsi="Times New Roman" w:eastAsia="Times New Roman" w:cs="Times New Roman"/>
          <w:b/>
          <w:bCs/>
          <w:spacing w:val="-2"/>
          <w:sz w:val="24"/>
          <w:szCs w:val="24"/>
        </w:rPr>
        <w:t xml:space="preserve">2.6.1 </w:t>
      </w:r>
      <w:r>
        <w:rPr>
          <w:rFonts w:ascii="宋体" w:hAnsi="宋体" w:eastAsia="宋体" w:cs="宋体"/>
          <w:b/>
          <w:bCs/>
          <w:spacing w:val="-2"/>
          <w:sz w:val="24"/>
          <w:szCs w:val="24"/>
        </w:rPr>
        <w:t>评价范围</w:t>
      </w:r>
    </w:p>
    <w:p w14:paraId="5D3F218F">
      <w:pPr>
        <w:spacing w:before="185" w:line="220"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）环境空气</w:t>
      </w:r>
    </w:p>
    <w:p w14:paraId="6A213545">
      <w:pPr>
        <w:spacing w:before="182" w:line="360" w:lineRule="auto"/>
        <w:ind w:left="122" w:right="457" w:firstLine="481"/>
        <w:rPr>
          <w:rFonts w:ascii="宋体" w:hAnsi="宋体" w:eastAsia="宋体" w:cs="宋体"/>
          <w:sz w:val="24"/>
          <w:szCs w:val="24"/>
        </w:rPr>
      </w:pPr>
      <w:r>
        <w:rPr>
          <w:rFonts w:ascii="宋体" w:hAnsi="宋体" w:eastAsia="宋体" w:cs="宋体"/>
          <w:sz w:val="24"/>
          <w:szCs w:val="24"/>
        </w:rPr>
        <w:t>依据《环境影响评价技术导则</w:t>
      </w:r>
      <w:r>
        <w:rPr>
          <w:rFonts w:ascii="Times New Roman" w:hAnsi="Times New Roman" w:eastAsia="Times New Roman" w:cs="Times New Roman"/>
          <w:sz w:val="24"/>
          <w:szCs w:val="24"/>
        </w:rPr>
        <w:t>-</w:t>
      </w:r>
      <w:r>
        <w:rPr>
          <w:rFonts w:ascii="宋体" w:hAnsi="宋体" w:eastAsia="宋体" w:cs="宋体"/>
          <w:sz w:val="24"/>
          <w:szCs w:val="24"/>
        </w:rPr>
        <w:t>大气环境》</w:t>
      </w:r>
      <w:r>
        <w:rPr>
          <w:rFonts w:ascii="宋体" w:hAnsi="宋体" w:eastAsia="宋体" w:cs="宋体"/>
          <w:spacing w:val="-1"/>
          <w:sz w:val="24"/>
          <w:szCs w:val="24"/>
        </w:rPr>
        <w:t>（</w:t>
      </w:r>
      <w:r>
        <w:rPr>
          <w:rFonts w:ascii="Times New Roman" w:hAnsi="Times New Roman" w:eastAsia="Times New Roman" w:cs="Times New Roman"/>
          <w:spacing w:val="-1"/>
          <w:sz w:val="24"/>
          <w:szCs w:val="24"/>
        </w:rPr>
        <w:t>HJ2.2-2018</w:t>
      </w:r>
      <w:r>
        <w:rPr>
          <w:rFonts w:ascii="宋体" w:hAnsi="宋体" w:eastAsia="宋体" w:cs="宋体"/>
          <w:spacing w:val="-1"/>
          <w:sz w:val="24"/>
          <w:szCs w:val="24"/>
        </w:rPr>
        <w:t>）判定项目大气环</w:t>
      </w:r>
      <w:r>
        <w:rPr>
          <w:rFonts w:ascii="宋体" w:hAnsi="宋体" w:eastAsia="宋体" w:cs="宋体"/>
          <w:sz w:val="24"/>
          <w:szCs w:val="24"/>
        </w:rPr>
        <w:t xml:space="preserve"> 境影响评价等级为二级，根据大气环境影响评价范围</w:t>
      </w:r>
      <w:r>
        <w:rPr>
          <w:rFonts w:ascii="宋体" w:hAnsi="宋体" w:eastAsia="宋体" w:cs="宋体"/>
          <w:spacing w:val="-1"/>
          <w:sz w:val="24"/>
          <w:szCs w:val="24"/>
        </w:rPr>
        <w:t>的确定原则，确定本项目</w:t>
      </w:r>
      <w:r>
        <w:rPr>
          <w:rFonts w:ascii="宋体" w:hAnsi="宋体" w:eastAsia="宋体" w:cs="宋体"/>
          <w:sz w:val="24"/>
          <w:szCs w:val="24"/>
        </w:rPr>
        <w:t xml:space="preserve"> </w:t>
      </w:r>
      <w:r>
        <w:rPr>
          <w:rFonts w:ascii="宋体" w:hAnsi="宋体" w:eastAsia="宋体" w:cs="宋体"/>
          <w:spacing w:val="-2"/>
          <w:sz w:val="24"/>
          <w:szCs w:val="24"/>
        </w:rPr>
        <w:t>环境空气评价范围边长取</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5km</w:t>
      </w:r>
      <w:r>
        <w:rPr>
          <w:rFonts w:ascii="宋体" w:hAnsi="宋体" w:eastAsia="宋体" w:cs="宋体"/>
          <w:spacing w:val="-2"/>
          <w:sz w:val="24"/>
          <w:szCs w:val="24"/>
        </w:rPr>
        <w:t>。</w:t>
      </w:r>
    </w:p>
    <w:p w14:paraId="2A639AF8">
      <w:pPr>
        <w:spacing w:before="1" w:line="219"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）地下水环境</w:t>
      </w:r>
    </w:p>
    <w:p w14:paraId="424067E4">
      <w:pPr>
        <w:spacing w:before="182" w:line="218" w:lineRule="auto"/>
        <w:ind w:left="603"/>
        <w:rPr>
          <w:rFonts w:ascii="宋体" w:hAnsi="宋体" w:eastAsia="宋体" w:cs="宋体"/>
          <w:sz w:val="24"/>
          <w:szCs w:val="24"/>
        </w:rPr>
      </w:pPr>
      <w:r>
        <w:rPr>
          <w:rFonts w:ascii="宋体" w:hAnsi="宋体" w:eastAsia="宋体" w:cs="宋体"/>
          <w:sz w:val="24"/>
          <w:szCs w:val="24"/>
        </w:rPr>
        <w:t>本项目的地下水评价范围根据建设项目所在地</w:t>
      </w:r>
      <w:r>
        <w:rPr>
          <w:rFonts w:ascii="宋体" w:hAnsi="宋体" w:eastAsia="宋体" w:cs="宋体"/>
          <w:spacing w:val="-1"/>
          <w:sz w:val="24"/>
          <w:szCs w:val="24"/>
        </w:rPr>
        <w:t>水文地质条件，在公式法计</w:t>
      </w:r>
    </w:p>
    <w:p w14:paraId="57A98A9D">
      <w:pPr>
        <w:spacing w:line="218" w:lineRule="auto"/>
        <w:rPr>
          <w:rFonts w:ascii="宋体" w:hAnsi="宋体" w:eastAsia="宋体" w:cs="宋体"/>
          <w:sz w:val="24"/>
          <w:szCs w:val="24"/>
        </w:rPr>
        <w:sectPr>
          <w:headerReference r:id="rId37" w:type="default"/>
          <w:footerReference r:id="rId38" w:type="default"/>
          <w:pgSz w:w="11906" w:h="16839"/>
          <w:pgMar w:top="1208" w:right="1491" w:bottom="1358" w:left="1684" w:header="825" w:footer="1195" w:gutter="0"/>
          <w:cols w:space="720" w:num="1"/>
        </w:sectPr>
      </w:pPr>
    </w:p>
    <w:p w14:paraId="493C0458">
      <w:pPr>
        <w:pStyle w:val="2"/>
        <w:spacing w:line="265" w:lineRule="auto"/>
      </w:pPr>
    </w:p>
    <w:p w14:paraId="5182F849">
      <w:pPr>
        <w:spacing w:before="78" w:line="219" w:lineRule="auto"/>
        <w:ind w:left="22"/>
        <w:rPr>
          <w:rFonts w:ascii="宋体" w:hAnsi="宋体" w:eastAsia="宋体" w:cs="宋体"/>
          <w:sz w:val="24"/>
          <w:szCs w:val="24"/>
        </w:rPr>
      </w:pPr>
      <w:r>
        <w:rPr>
          <w:rFonts w:ascii="宋体" w:hAnsi="宋体" w:eastAsia="宋体" w:cs="宋体"/>
          <w:spacing w:val="-1"/>
          <w:sz w:val="24"/>
          <w:szCs w:val="24"/>
        </w:rPr>
        <w:t>算的基础上结合自定义法进行确定，公式计算法如下：</w:t>
      </w:r>
    </w:p>
    <w:p w14:paraId="720C137E">
      <w:pPr>
        <w:spacing w:before="139" w:line="323" w:lineRule="exact"/>
        <w:ind w:left="496"/>
        <w:rPr>
          <w:rFonts w:ascii="Times New Roman" w:hAnsi="Times New Roman" w:eastAsia="Times New Roman" w:cs="Times New Roman"/>
          <w:sz w:val="24"/>
          <w:szCs w:val="24"/>
        </w:rPr>
      </w:pPr>
      <w:r>
        <w:rPr>
          <w:rFonts w:ascii="Times New Roman" w:hAnsi="Times New Roman" w:eastAsia="Times New Roman" w:cs="Times New Roman"/>
          <w:spacing w:val="-9"/>
          <w:position w:val="2"/>
          <w:sz w:val="24"/>
          <w:szCs w:val="24"/>
        </w:rPr>
        <w:t xml:space="preserve">L= </w:t>
      </w:r>
      <w:r>
        <w:rPr>
          <w:rFonts w:ascii="宋体" w:hAnsi="宋体" w:eastAsia="宋体" w:cs="宋体"/>
          <w:spacing w:val="-9"/>
          <w:position w:val="2"/>
          <w:sz w:val="24"/>
          <w:szCs w:val="24"/>
        </w:rPr>
        <w:t>α</w:t>
      </w:r>
      <w:r>
        <w:rPr>
          <w:rFonts w:ascii="宋体" w:hAnsi="宋体" w:eastAsia="宋体" w:cs="宋体"/>
          <w:spacing w:val="-69"/>
          <w:position w:val="2"/>
          <w:sz w:val="24"/>
          <w:szCs w:val="24"/>
        </w:rPr>
        <w:t xml:space="preserve"> </w:t>
      </w:r>
      <w:r>
        <w:rPr>
          <w:rFonts w:ascii="宋体" w:hAnsi="宋体" w:eastAsia="宋体" w:cs="宋体"/>
          <w:spacing w:val="-9"/>
          <w:position w:val="2"/>
          <w:sz w:val="24"/>
          <w:szCs w:val="24"/>
        </w:rPr>
        <w:t>×</w:t>
      </w:r>
      <w:r>
        <w:rPr>
          <w:rFonts w:ascii="Times New Roman" w:hAnsi="Times New Roman" w:eastAsia="Times New Roman" w:cs="Times New Roman"/>
          <w:spacing w:val="-9"/>
          <w:position w:val="2"/>
          <w:sz w:val="24"/>
          <w:szCs w:val="24"/>
        </w:rPr>
        <w:t>K</w:t>
      </w:r>
      <w:r>
        <w:rPr>
          <w:rFonts w:ascii="宋体" w:hAnsi="宋体" w:eastAsia="宋体" w:cs="宋体"/>
          <w:spacing w:val="-9"/>
          <w:position w:val="2"/>
          <w:sz w:val="24"/>
          <w:szCs w:val="24"/>
        </w:rPr>
        <w:t>×</w:t>
      </w:r>
      <w:r>
        <w:rPr>
          <w:rFonts w:ascii="Times New Roman" w:hAnsi="Times New Roman" w:eastAsia="Times New Roman" w:cs="Times New Roman"/>
          <w:spacing w:val="-9"/>
          <w:position w:val="2"/>
          <w:sz w:val="24"/>
          <w:szCs w:val="24"/>
        </w:rPr>
        <w:t>I</w:t>
      </w:r>
      <w:r>
        <w:rPr>
          <w:rFonts w:ascii="宋体" w:hAnsi="宋体" w:eastAsia="宋体" w:cs="宋体"/>
          <w:spacing w:val="-9"/>
          <w:position w:val="2"/>
          <w:sz w:val="24"/>
          <w:szCs w:val="24"/>
        </w:rPr>
        <w:t>×</w:t>
      </w:r>
      <w:r>
        <w:rPr>
          <w:rFonts w:ascii="Times New Roman" w:hAnsi="Times New Roman" w:eastAsia="Times New Roman" w:cs="Times New Roman"/>
          <w:spacing w:val="-9"/>
          <w:position w:val="2"/>
          <w:sz w:val="24"/>
          <w:szCs w:val="24"/>
        </w:rPr>
        <w:t>T/ne</w:t>
      </w:r>
    </w:p>
    <w:p w14:paraId="62445D2D">
      <w:pPr>
        <w:spacing w:before="188" w:line="220" w:lineRule="auto"/>
        <w:ind w:left="505"/>
        <w:rPr>
          <w:rFonts w:ascii="宋体" w:hAnsi="宋体" w:eastAsia="宋体" w:cs="宋体"/>
          <w:sz w:val="24"/>
          <w:szCs w:val="24"/>
        </w:rPr>
      </w:pPr>
      <w:r>
        <w:rPr>
          <w:rFonts w:ascii="宋体" w:hAnsi="宋体" w:eastAsia="宋体" w:cs="宋体"/>
          <w:spacing w:val="-5"/>
          <w:sz w:val="24"/>
          <w:szCs w:val="24"/>
        </w:rPr>
        <w:t>式中：</w:t>
      </w:r>
    </w:p>
    <w:p w14:paraId="6E0D2783">
      <w:pPr>
        <w:spacing w:before="181" w:line="220" w:lineRule="auto"/>
        <w:ind w:left="496"/>
        <w:rPr>
          <w:rFonts w:ascii="宋体" w:hAnsi="宋体" w:eastAsia="宋体" w:cs="宋体"/>
          <w:sz w:val="24"/>
          <w:szCs w:val="24"/>
        </w:rPr>
      </w:pPr>
      <w:r>
        <w:rPr>
          <w:rFonts w:ascii="Times New Roman" w:hAnsi="Times New Roman" w:eastAsia="Times New Roman" w:cs="Times New Roman"/>
          <w:spacing w:val="-1"/>
          <w:sz w:val="24"/>
          <w:szCs w:val="24"/>
        </w:rPr>
        <w:t>L</w:t>
      </w:r>
      <w:r>
        <w:rPr>
          <w:rFonts w:ascii="宋体" w:hAnsi="宋体" w:eastAsia="宋体" w:cs="宋体"/>
          <w:spacing w:val="-1"/>
          <w:sz w:val="24"/>
          <w:szCs w:val="24"/>
        </w:rPr>
        <w:t>—下游迁移距离，</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50BA320C">
      <w:pPr>
        <w:spacing w:before="183" w:line="219" w:lineRule="auto"/>
        <w:ind w:left="554"/>
        <w:rPr>
          <w:rFonts w:ascii="宋体" w:hAnsi="宋体" w:eastAsia="宋体" w:cs="宋体"/>
          <w:sz w:val="24"/>
          <w:szCs w:val="24"/>
        </w:rPr>
      </w:pPr>
      <w:r>
        <w:rPr>
          <w:rFonts w:ascii="宋体" w:hAnsi="宋体" w:eastAsia="宋体" w:cs="宋体"/>
          <w:spacing w:val="-8"/>
          <w:sz w:val="24"/>
          <w:szCs w:val="24"/>
        </w:rPr>
        <w:t>α—变化系数，</w:t>
      </w:r>
      <w:r>
        <w:rPr>
          <w:rFonts w:ascii="宋体" w:hAnsi="宋体" w:eastAsia="宋体" w:cs="宋体"/>
          <w:spacing w:val="-58"/>
          <w:sz w:val="24"/>
          <w:szCs w:val="24"/>
        </w:rPr>
        <w:t xml:space="preserve"> </w:t>
      </w:r>
      <w:r>
        <w:rPr>
          <w:rFonts w:ascii="宋体" w:hAnsi="宋体" w:eastAsia="宋体" w:cs="宋体"/>
          <w:spacing w:val="-8"/>
          <w:sz w:val="24"/>
          <w:szCs w:val="24"/>
        </w:rPr>
        <w:t>α</w:t>
      </w:r>
      <w:r>
        <w:rPr>
          <w:rFonts w:ascii="宋体" w:hAnsi="宋体" w:eastAsia="宋体" w:cs="宋体"/>
          <w:spacing w:val="-87"/>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8"/>
          <w:sz w:val="24"/>
          <w:szCs w:val="24"/>
        </w:rPr>
        <w:t>，一般取</w:t>
      </w:r>
      <w:r>
        <w:rPr>
          <w:rFonts w:ascii="Times New Roman" w:hAnsi="Times New Roman" w:eastAsia="Times New Roman" w:cs="Times New Roman"/>
          <w:spacing w:val="-8"/>
          <w:sz w:val="24"/>
          <w:szCs w:val="24"/>
        </w:rPr>
        <w:t>2</w:t>
      </w:r>
      <w:r>
        <w:rPr>
          <w:rFonts w:ascii="宋体" w:hAnsi="宋体" w:eastAsia="宋体" w:cs="宋体"/>
          <w:spacing w:val="-8"/>
          <w:sz w:val="24"/>
          <w:szCs w:val="24"/>
        </w:rPr>
        <w:t>；</w:t>
      </w:r>
    </w:p>
    <w:p w14:paraId="38B1B709">
      <w:pPr>
        <w:spacing w:before="183" w:line="219" w:lineRule="auto"/>
        <w:ind w:left="495"/>
        <w:rPr>
          <w:rFonts w:ascii="宋体" w:hAnsi="宋体" w:eastAsia="宋体" w:cs="宋体"/>
          <w:sz w:val="24"/>
          <w:szCs w:val="24"/>
        </w:rPr>
      </w:pPr>
      <w:r>
        <w:rPr>
          <w:rFonts w:ascii="Times New Roman" w:hAnsi="Times New Roman" w:eastAsia="Times New Roman" w:cs="Times New Roman"/>
          <w:spacing w:val="-1"/>
          <w:sz w:val="24"/>
          <w:szCs w:val="24"/>
        </w:rPr>
        <w:t>K</w:t>
      </w:r>
      <w:r>
        <w:rPr>
          <w:rFonts w:ascii="宋体" w:hAnsi="宋体" w:eastAsia="宋体" w:cs="宋体"/>
          <w:spacing w:val="-1"/>
          <w:sz w:val="24"/>
          <w:szCs w:val="24"/>
        </w:rPr>
        <w:t>—渗透系数，</w:t>
      </w:r>
      <w:r>
        <w:rPr>
          <w:rFonts w:ascii="Times New Roman" w:hAnsi="Times New Roman" w:eastAsia="Times New Roman" w:cs="Times New Roman"/>
          <w:spacing w:val="-1"/>
          <w:sz w:val="24"/>
          <w:szCs w:val="24"/>
        </w:rPr>
        <w:t>m/d</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，根据抽水试验成果，渗透系数取</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0.50m/d</w:t>
      </w:r>
      <w:r>
        <w:rPr>
          <w:rFonts w:ascii="宋体" w:hAnsi="宋体" w:eastAsia="宋体" w:cs="宋体"/>
          <w:spacing w:val="-2"/>
          <w:sz w:val="24"/>
          <w:szCs w:val="24"/>
        </w:rPr>
        <w:t>；</w:t>
      </w:r>
    </w:p>
    <w:p w14:paraId="3ACFC88A">
      <w:pPr>
        <w:spacing w:before="183" w:line="219" w:lineRule="auto"/>
        <w:ind w:left="497"/>
        <w:rPr>
          <w:rFonts w:ascii="宋体" w:hAnsi="宋体" w:eastAsia="宋体" w:cs="宋体"/>
          <w:sz w:val="24"/>
          <w:szCs w:val="24"/>
        </w:rPr>
      </w:pPr>
      <w:r>
        <w:rPr>
          <w:rFonts w:ascii="Times New Roman" w:hAnsi="Times New Roman" w:eastAsia="Times New Roman" w:cs="Times New Roman"/>
          <w:spacing w:val="-1"/>
          <w:sz w:val="24"/>
          <w:szCs w:val="24"/>
        </w:rPr>
        <w:t>I</w:t>
      </w:r>
      <w:r>
        <w:rPr>
          <w:rFonts w:ascii="宋体" w:hAnsi="宋体" w:eastAsia="宋体" w:cs="宋体"/>
          <w:spacing w:val="-1"/>
          <w:sz w:val="24"/>
          <w:szCs w:val="24"/>
        </w:rPr>
        <w:t>—水力坡度，根据等水位线图及井孔水位资料计算为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1.06%</w:t>
      </w:r>
      <w:r>
        <w:rPr>
          <w:rFonts w:ascii="宋体" w:hAnsi="宋体" w:eastAsia="宋体" w:cs="宋体"/>
          <w:spacing w:val="-2"/>
          <w:sz w:val="24"/>
          <w:szCs w:val="24"/>
        </w:rPr>
        <w:t>；</w:t>
      </w:r>
    </w:p>
    <w:p w14:paraId="53906BF6">
      <w:pPr>
        <w:spacing w:before="184" w:line="219" w:lineRule="auto"/>
        <w:ind w:left="498"/>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—质点迁移天数，取值不小于</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5000d</w:t>
      </w:r>
      <w:r>
        <w:rPr>
          <w:rFonts w:ascii="宋体" w:hAnsi="宋体" w:eastAsia="宋体" w:cs="宋体"/>
          <w:spacing w:val="-1"/>
          <w:sz w:val="24"/>
          <w:szCs w:val="24"/>
        </w:rPr>
        <w:t>；</w:t>
      </w:r>
    </w:p>
    <w:p w14:paraId="3DACECF4">
      <w:pPr>
        <w:spacing w:before="183" w:line="219" w:lineRule="auto"/>
        <w:ind w:left="493"/>
        <w:rPr>
          <w:rFonts w:ascii="宋体" w:hAnsi="宋体" w:eastAsia="宋体" w:cs="宋体"/>
          <w:sz w:val="24"/>
          <w:szCs w:val="24"/>
        </w:rPr>
      </w:pPr>
      <w:r>
        <w:rPr>
          <w:rFonts w:ascii="Times New Roman" w:hAnsi="Times New Roman" w:eastAsia="Times New Roman" w:cs="Times New Roman"/>
          <w:sz w:val="24"/>
          <w:szCs w:val="24"/>
        </w:rPr>
        <w:t>ne</w:t>
      </w:r>
      <w:r>
        <w:rPr>
          <w:rFonts w:ascii="宋体" w:hAnsi="宋体" w:eastAsia="宋体" w:cs="宋体"/>
          <w:spacing w:val="2"/>
          <w:sz w:val="24"/>
          <w:szCs w:val="24"/>
        </w:rPr>
        <w:t>—有效孔隙度，含水层为第四系含水层，岩性为粉细砂</w:t>
      </w:r>
      <w:r>
        <w:rPr>
          <w:rFonts w:ascii="宋体" w:hAnsi="宋体" w:eastAsia="宋体" w:cs="宋体"/>
          <w:spacing w:val="1"/>
          <w:sz w:val="24"/>
          <w:szCs w:val="24"/>
        </w:rPr>
        <w:t>，取值0.09。</w:t>
      </w:r>
    </w:p>
    <w:p w14:paraId="6E91506F">
      <w:pPr>
        <w:spacing w:before="183" w:line="360" w:lineRule="auto"/>
        <w:ind w:left="32" w:right="176" w:firstLine="468"/>
        <w:rPr>
          <w:rFonts w:ascii="宋体" w:hAnsi="宋体" w:eastAsia="宋体" w:cs="宋体"/>
          <w:sz w:val="24"/>
          <w:szCs w:val="24"/>
        </w:rPr>
      </w:pPr>
      <w:r>
        <w:rPr>
          <w:rFonts w:ascii="宋体" w:hAnsi="宋体" w:eastAsia="宋体" w:cs="宋体"/>
          <w:spacing w:val="6"/>
          <w:sz w:val="24"/>
          <w:szCs w:val="24"/>
        </w:rPr>
        <w:t>根据计算，</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21"/>
          <w:sz w:val="24"/>
          <w:szCs w:val="24"/>
        </w:rPr>
        <w:t xml:space="preserve"> </w:t>
      </w:r>
      <w:r>
        <w:rPr>
          <w:rFonts w:ascii="宋体" w:hAnsi="宋体" w:eastAsia="宋体" w:cs="宋体"/>
          <w:spacing w:val="6"/>
          <w:sz w:val="24"/>
          <w:szCs w:val="24"/>
        </w:rPr>
        <w:t>值为</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589m</w:t>
      </w:r>
      <w:r>
        <w:rPr>
          <w:rFonts w:ascii="Times New Roman" w:hAnsi="Times New Roman" w:eastAsia="Times New Roman" w:cs="Times New Roman"/>
          <w:spacing w:val="-20"/>
          <w:sz w:val="24"/>
          <w:szCs w:val="24"/>
        </w:rPr>
        <w:t xml:space="preserve"> </w:t>
      </w:r>
      <w:r>
        <w:rPr>
          <w:rFonts w:ascii="宋体" w:hAnsi="宋体" w:eastAsia="宋体" w:cs="宋体"/>
          <w:spacing w:val="6"/>
          <w:sz w:val="24"/>
          <w:szCs w:val="24"/>
        </w:rPr>
        <w:t>，根据《环境影响评价技术导则</w:t>
      </w:r>
      <w:r>
        <w:rPr>
          <w:rFonts w:ascii="Times New Roman" w:hAnsi="Times New Roman" w:eastAsia="Times New Roman" w:cs="Times New Roman"/>
          <w:spacing w:val="6"/>
          <w:sz w:val="24"/>
          <w:szCs w:val="24"/>
        </w:rPr>
        <w:t>-</w:t>
      </w:r>
      <w:r>
        <w:rPr>
          <w:rFonts w:ascii="宋体" w:hAnsi="宋体" w:eastAsia="宋体" w:cs="宋体"/>
          <w:spacing w:val="6"/>
          <w:sz w:val="24"/>
          <w:szCs w:val="24"/>
        </w:rPr>
        <w:t>地下水环境》</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HJ610-2016</w:t>
      </w:r>
      <w:r>
        <w:rPr>
          <w:rFonts w:ascii="宋体" w:hAnsi="宋体" w:eastAsia="宋体" w:cs="宋体"/>
          <w:spacing w:val="-2"/>
          <w:sz w:val="24"/>
          <w:szCs w:val="24"/>
        </w:rPr>
        <w:t>）规定，下游距离不小于</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589m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，上游及两侧不小于</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295m</w:t>
      </w:r>
      <w:r>
        <w:rPr>
          <w:rFonts w:ascii="宋体" w:hAnsi="宋体" w:eastAsia="宋体" w:cs="宋体"/>
          <w:spacing w:val="-2"/>
          <w:sz w:val="24"/>
          <w:szCs w:val="24"/>
        </w:rPr>
        <w:t>。</w:t>
      </w:r>
    </w:p>
    <w:p w14:paraId="2B200820">
      <w:pPr>
        <w:spacing w:before="2" w:line="359" w:lineRule="auto"/>
        <w:ind w:left="21" w:right="162" w:firstLine="479"/>
        <w:jc w:val="both"/>
        <w:rPr>
          <w:rFonts w:ascii="宋体" w:hAnsi="宋体" w:eastAsia="宋体" w:cs="宋体"/>
          <w:sz w:val="24"/>
          <w:szCs w:val="24"/>
        </w:rPr>
      </w:pPr>
      <w:r>
        <w:rPr>
          <w:rFonts w:ascii="宋体" w:hAnsi="宋体" w:eastAsia="宋体" w:cs="宋体"/>
          <w:sz w:val="24"/>
          <w:szCs w:val="24"/>
        </w:rPr>
        <w:t>据此，考虑项目区周边水文地质条件、地下水补迳</w:t>
      </w:r>
      <w:r>
        <w:rPr>
          <w:rFonts w:ascii="宋体" w:hAnsi="宋体" w:eastAsia="宋体" w:cs="宋体"/>
          <w:spacing w:val="-1"/>
          <w:sz w:val="24"/>
          <w:szCs w:val="24"/>
        </w:rPr>
        <w:t>排条件，结合周边居民</w:t>
      </w:r>
      <w:r>
        <w:rPr>
          <w:rFonts w:ascii="宋体" w:hAnsi="宋体" w:eastAsia="宋体" w:cs="宋体"/>
          <w:sz w:val="24"/>
          <w:szCs w:val="24"/>
        </w:rPr>
        <w:t xml:space="preserve"> 区等敏感点分布情况，将评价区范围确定为：西南边</w:t>
      </w:r>
      <w:r>
        <w:rPr>
          <w:rFonts w:ascii="宋体" w:hAnsi="宋体" w:eastAsia="宋体" w:cs="宋体"/>
          <w:spacing w:val="-1"/>
          <w:sz w:val="24"/>
          <w:szCs w:val="24"/>
        </w:rPr>
        <w:t>界沿项目区西南侧沟谷下</w:t>
      </w:r>
      <w:r>
        <w:rPr>
          <w:rFonts w:ascii="宋体" w:hAnsi="宋体" w:eastAsia="宋体" w:cs="宋体"/>
          <w:sz w:val="24"/>
          <w:szCs w:val="24"/>
        </w:rPr>
        <w:t xml:space="preserve"> 游外扩6050m，西边界沿项目区西北侧沟谷下游外扩924</w:t>
      </w:r>
      <w:r>
        <w:rPr>
          <w:rFonts w:ascii="宋体" w:hAnsi="宋体" w:eastAsia="宋体" w:cs="宋体"/>
          <w:spacing w:val="-1"/>
          <w:sz w:val="24"/>
          <w:szCs w:val="24"/>
        </w:rPr>
        <w:t>0m，其余边界均以分水</w:t>
      </w:r>
      <w:r>
        <w:rPr>
          <w:rFonts w:ascii="宋体" w:hAnsi="宋体" w:eastAsia="宋体" w:cs="宋体"/>
          <w:sz w:val="24"/>
          <w:szCs w:val="24"/>
        </w:rPr>
        <w:t xml:space="preserve"> </w:t>
      </w:r>
      <w:r>
        <w:rPr>
          <w:rFonts w:ascii="宋体" w:hAnsi="宋体" w:eastAsia="宋体" w:cs="宋体"/>
          <w:spacing w:val="1"/>
          <w:sz w:val="24"/>
          <w:szCs w:val="24"/>
        </w:rPr>
        <w:t>岭为界，评价区面积</w:t>
      </w:r>
      <w:r>
        <w:rPr>
          <w:rFonts w:ascii="宋体" w:hAnsi="宋体" w:eastAsia="宋体" w:cs="宋体"/>
          <w:spacing w:val="-30"/>
          <w:sz w:val="24"/>
          <w:szCs w:val="24"/>
        </w:rPr>
        <w:t xml:space="preserve"> </w:t>
      </w:r>
      <w:r>
        <w:rPr>
          <w:rFonts w:ascii="宋体" w:hAnsi="宋体" w:eastAsia="宋体" w:cs="宋体"/>
          <w:spacing w:val="1"/>
          <w:sz w:val="24"/>
          <w:szCs w:val="24"/>
        </w:rPr>
        <w:t>53.78</w:t>
      </w:r>
      <w:r>
        <w:rPr>
          <w:rFonts w:ascii="宋体" w:hAnsi="宋体" w:eastAsia="宋体" w:cs="宋体"/>
          <w:sz w:val="24"/>
          <w:szCs w:val="24"/>
        </w:rPr>
        <w:t>km</w:t>
      </w:r>
      <w:r>
        <w:rPr>
          <w:rFonts w:ascii="宋体" w:hAnsi="宋体" w:eastAsia="宋体" w:cs="宋体"/>
          <w:spacing w:val="1"/>
          <w:position w:val="11"/>
          <w:sz w:val="12"/>
          <w:szCs w:val="12"/>
        </w:rPr>
        <w:t>2</w:t>
      </w:r>
      <w:r>
        <w:rPr>
          <w:rFonts w:ascii="宋体" w:hAnsi="宋体" w:eastAsia="宋体" w:cs="宋体"/>
          <w:spacing w:val="-29"/>
          <w:position w:val="11"/>
          <w:sz w:val="12"/>
          <w:szCs w:val="12"/>
        </w:rPr>
        <w:t xml:space="preserve"> </w:t>
      </w:r>
      <w:r>
        <w:rPr>
          <w:rFonts w:ascii="宋体" w:hAnsi="宋体" w:eastAsia="宋体" w:cs="宋体"/>
          <w:spacing w:val="1"/>
          <w:sz w:val="24"/>
          <w:szCs w:val="24"/>
        </w:rPr>
        <w:t>，符合《环境影响评价技术导则-地下水环境》</w:t>
      </w:r>
      <w:r>
        <w:rPr>
          <w:rFonts w:ascii="宋体" w:hAnsi="宋体" w:eastAsia="宋体" w:cs="宋体"/>
          <w:sz w:val="24"/>
          <w:szCs w:val="24"/>
        </w:rPr>
        <w:t xml:space="preserve"> </w:t>
      </w:r>
      <w:r>
        <w:rPr>
          <w:rFonts w:ascii="宋体" w:hAnsi="宋体" w:eastAsia="宋体" w:cs="宋体"/>
          <w:spacing w:val="-1"/>
          <w:sz w:val="24"/>
          <w:szCs w:val="24"/>
        </w:rPr>
        <w:t>（HJ610-2016）的要求。</w:t>
      </w:r>
    </w:p>
    <w:p w14:paraId="40F09E0D">
      <w:pPr>
        <w:spacing w:line="359" w:lineRule="auto"/>
        <w:rPr>
          <w:rFonts w:ascii="宋体" w:hAnsi="宋体" w:eastAsia="宋体" w:cs="宋体"/>
          <w:sz w:val="24"/>
          <w:szCs w:val="24"/>
        </w:rPr>
        <w:sectPr>
          <w:headerReference r:id="rId39" w:type="default"/>
          <w:footerReference r:id="rId40" w:type="default"/>
          <w:pgSz w:w="11906" w:h="16839"/>
          <w:pgMar w:top="1208" w:right="1785" w:bottom="1358" w:left="1785" w:header="825" w:footer="1195" w:gutter="0"/>
          <w:cols w:space="720" w:num="1"/>
        </w:sectPr>
      </w:pPr>
    </w:p>
    <w:p w14:paraId="31D5815F">
      <w:pPr>
        <w:pStyle w:val="2"/>
        <w:spacing w:line="298" w:lineRule="auto"/>
      </w:pPr>
    </w:p>
    <w:p w14:paraId="598646DE">
      <w:pPr>
        <w:spacing w:line="7661" w:lineRule="exact"/>
        <w:ind w:firstLine="11"/>
      </w:pPr>
      <w:r>
        <w:rPr>
          <w:position w:val="-153"/>
        </w:rPr>
        <w:drawing>
          <wp:inline distT="0" distB="0" distL="0" distR="0">
            <wp:extent cx="5274310" cy="4864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60"/>
                    <a:stretch>
                      <a:fillRect/>
                    </a:stretch>
                  </pic:blipFill>
                  <pic:spPr>
                    <a:xfrm>
                      <a:off x="0" y="0"/>
                      <a:ext cx="5274563" cy="4864608"/>
                    </a:xfrm>
                    <a:prstGeom prst="rect">
                      <a:avLst/>
                    </a:prstGeom>
                  </pic:spPr>
                </pic:pic>
              </a:graphicData>
            </a:graphic>
          </wp:inline>
        </w:drawing>
      </w:r>
    </w:p>
    <w:p w14:paraId="1F396513">
      <w:pPr>
        <w:spacing w:before="183" w:line="218" w:lineRule="auto"/>
        <w:ind w:left="2593"/>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3"/>
          <w:sz w:val="24"/>
          <w:szCs w:val="24"/>
        </w:rPr>
        <w:t xml:space="preserve"> </w:t>
      </w:r>
      <w:r>
        <w:rPr>
          <w:rFonts w:ascii="宋体" w:hAnsi="宋体" w:eastAsia="宋体" w:cs="宋体"/>
          <w:spacing w:val="-3"/>
          <w:sz w:val="24"/>
          <w:szCs w:val="24"/>
        </w:rPr>
        <w:t>2.6-1    地下水评价范围</w:t>
      </w:r>
    </w:p>
    <w:p w14:paraId="1C385D86">
      <w:pPr>
        <w:spacing w:before="184" w:line="220"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）声环境</w:t>
      </w:r>
    </w:p>
    <w:p w14:paraId="30210453">
      <w:pPr>
        <w:spacing w:before="181" w:line="218" w:lineRule="auto"/>
        <w:ind w:left="505"/>
        <w:rPr>
          <w:rFonts w:ascii="宋体" w:hAnsi="宋体" w:eastAsia="宋体" w:cs="宋体"/>
          <w:sz w:val="24"/>
          <w:szCs w:val="24"/>
        </w:rPr>
      </w:pPr>
      <w:r>
        <w:rPr>
          <w:rFonts w:ascii="宋体" w:hAnsi="宋体" w:eastAsia="宋体" w:cs="宋体"/>
          <w:spacing w:val="-1"/>
          <w:sz w:val="24"/>
          <w:szCs w:val="24"/>
        </w:rPr>
        <w:t>声环境评价范围以场地边界外</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200m </w:t>
      </w:r>
      <w:r>
        <w:rPr>
          <w:rFonts w:ascii="宋体" w:hAnsi="宋体" w:eastAsia="宋体" w:cs="宋体"/>
          <w:spacing w:val="-1"/>
          <w:sz w:val="24"/>
          <w:szCs w:val="24"/>
        </w:rPr>
        <w:t>范围内。</w:t>
      </w:r>
    </w:p>
    <w:p w14:paraId="791AACF7">
      <w:pPr>
        <w:spacing w:before="185"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）生态环境</w:t>
      </w:r>
    </w:p>
    <w:p w14:paraId="1661E029">
      <w:pPr>
        <w:spacing w:before="182" w:line="360" w:lineRule="auto"/>
        <w:ind w:left="21" w:right="162" w:firstLine="480"/>
        <w:rPr>
          <w:rFonts w:ascii="宋体" w:hAnsi="宋体" w:eastAsia="宋体" w:cs="宋体"/>
          <w:sz w:val="24"/>
          <w:szCs w:val="24"/>
        </w:rPr>
      </w:pPr>
      <w:r>
        <w:rPr>
          <w:rFonts w:ascii="宋体" w:hAnsi="宋体" w:eastAsia="宋体" w:cs="宋体"/>
          <w:sz w:val="24"/>
          <w:szCs w:val="24"/>
        </w:rPr>
        <w:t>根据《环境影响评价技术导则 生态影响》（</w:t>
      </w:r>
      <w:r>
        <w:rPr>
          <w:rFonts w:ascii="Times New Roman" w:hAnsi="Times New Roman" w:eastAsia="Times New Roman" w:cs="Times New Roman"/>
          <w:sz w:val="24"/>
          <w:szCs w:val="24"/>
        </w:rPr>
        <w:t>HJ19</w:t>
      </w:r>
      <w:r>
        <w:rPr>
          <w:rFonts w:ascii="Times New Roman" w:hAnsi="Times New Roman" w:eastAsia="Times New Roman" w:cs="Times New Roman"/>
          <w:spacing w:val="-1"/>
          <w:sz w:val="24"/>
          <w:szCs w:val="24"/>
        </w:rPr>
        <w:t>-2022</w:t>
      </w:r>
      <w:r>
        <w:rPr>
          <w:rFonts w:ascii="宋体" w:hAnsi="宋体" w:eastAsia="宋体" w:cs="宋体"/>
          <w:spacing w:val="5"/>
          <w:sz w:val="24"/>
          <w:szCs w:val="24"/>
        </w:rPr>
        <w:t>），</w:t>
      </w:r>
      <w:r>
        <w:rPr>
          <w:rFonts w:ascii="宋体" w:hAnsi="宋体" w:eastAsia="宋体" w:cs="宋体"/>
          <w:spacing w:val="-1"/>
          <w:sz w:val="24"/>
          <w:szCs w:val="24"/>
        </w:rPr>
        <w:t>生态影响评价</w:t>
      </w:r>
      <w:r>
        <w:rPr>
          <w:rFonts w:ascii="宋体" w:hAnsi="宋体" w:eastAsia="宋体" w:cs="宋体"/>
          <w:spacing w:val="1"/>
          <w:sz w:val="24"/>
          <w:szCs w:val="24"/>
        </w:rPr>
        <w:t xml:space="preserve"> </w:t>
      </w:r>
      <w:r>
        <w:rPr>
          <w:rFonts w:ascii="宋体" w:hAnsi="宋体" w:eastAsia="宋体" w:cs="宋体"/>
          <w:sz w:val="24"/>
          <w:szCs w:val="24"/>
        </w:rPr>
        <w:t>应能够充分体现生态完整性，涵盖评价项目全部活动</w:t>
      </w:r>
      <w:r>
        <w:rPr>
          <w:rFonts w:ascii="宋体" w:hAnsi="宋体" w:eastAsia="宋体" w:cs="宋体"/>
          <w:spacing w:val="-1"/>
          <w:sz w:val="24"/>
          <w:szCs w:val="24"/>
        </w:rPr>
        <w:t>的直接影响区域和间接影</w:t>
      </w:r>
      <w:r>
        <w:rPr>
          <w:rFonts w:ascii="宋体" w:hAnsi="宋体" w:eastAsia="宋体" w:cs="宋体"/>
          <w:sz w:val="24"/>
          <w:szCs w:val="24"/>
        </w:rPr>
        <w:t xml:space="preserve"> 响区域。评价工作范围应依据项目对生态因子的影响</w:t>
      </w:r>
      <w:r>
        <w:rPr>
          <w:rFonts w:ascii="宋体" w:hAnsi="宋体" w:eastAsia="宋体" w:cs="宋体"/>
          <w:spacing w:val="-1"/>
          <w:sz w:val="24"/>
          <w:szCs w:val="24"/>
        </w:rPr>
        <w:t>方式、影响程度和生态因</w:t>
      </w:r>
      <w:r>
        <w:rPr>
          <w:rFonts w:ascii="宋体" w:hAnsi="宋体" w:eastAsia="宋体" w:cs="宋体"/>
          <w:sz w:val="24"/>
          <w:szCs w:val="24"/>
        </w:rPr>
        <w:t xml:space="preserve"> 子之间的相互影响和相互依存关系确定。可综合考虑</w:t>
      </w:r>
      <w:r>
        <w:rPr>
          <w:rFonts w:ascii="宋体" w:hAnsi="宋体" w:eastAsia="宋体" w:cs="宋体"/>
          <w:spacing w:val="-1"/>
          <w:sz w:val="24"/>
          <w:szCs w:val="24"/>
        </w:rPr>
        <w:t>评价项目与项目区的气候</w:t>
      </w:r>
      <w:r>
        <w:rPr>
          <w:rFonts w:ascii="宋体" w:hAnsi="宋体" w:eastAsia="宋体" w:cs="宋体"/>
          <w:sz w:val="24"/>
          <w:szCs w:val="24"/>
        </w:rPr>
        <w:t xml:space="preserve"> 过程、水文过程、生物过程等生物地球化学循环过程</w:t>
      </w:r>
      <w:r>
        <w:rPr>
          <w:rFonts w:ascii="宋体" w:hAnsi="宋体" w:eastAsia="宋体" w:cs="宋体"/>
          <w:spacing w:val="-1"/>
          <w:sz w:val="24"/>
          <w:szCs w:val="24"/>
        </w:rPr>
        <w:t>的相互作用关系，以评价</w:t>
      </w:r>
      <w:r>
        <w:rPr>
          <w:rFonts w:ascii="宋体" w:hAnsi="宋体" w:eastAsia="宋体" w:cs="宋体"/>
          <w:sz w:val="24"/>
          <w:szCs w:val="24"/>
        </w:rPr>
        <w:t xml:space="preserve"> 项目影响区域所涉及的完整气候单元、水文单元、生</w:t>
      </w:r>
      <w:r>
        <w:rPr>
          <w:rFonts w:ascii="宋体" w:hAnsi="宋体" w:eastAsia="宋体" w:cs="宋体"/>
          <w:spacing w:val="-1"/>
          <w:sz w:val="24"/>
          <w:szCs w:val="24"/>
        </w:rPr>
        <w:t>态单元、地理单元界限为</w:t>
      </w:r>
      <w:r>
        <w:rPr>
          <w:rFonts w:ascii="宋体" w:hAnsi="宋体" w:eastAsia="宋体" w:cs="宋体"/>
          <w:sz w:val="24"/>
          <w:szCs w:val="24"/>
        </w:rPr>
        <w:t xml:space="preserve"> </w:t>
      </w:r>
      <w:r>
        <w:rPr>
          <w:rFonts w:ascii="宋体" w:hAnsi="宋体" w:eastAsia="宋体" w:cs="宋体"/>
          <w:spacing w:val="-2"/>
          <w:sz w:val="24"/>
          <w:szCs w:val="24"/>
        </w:rPr>
        <w:t>参照边界。</w:t>
      </w:r>
    </w:p>
    <w:p w14:paraId="0BD67651">
      <w:pPr>
        <w:spacing w:before="1" w:line="362" w:lineRule="auto"/>
        <w:ind w:left="38" w:right="157" w:firstLine="463"/>
        <w:rPr>
          <w:rFonts w:ascii="宋体" w:hAnsi="宋体" w:eastAsia="宋体" w:cs="宋体"/>
          <w:sz w:val="24"/>
          <w:szCs w:val="24"/>
        </w:rPr>
      </w:pPr>
      <w:r>
        <w:rPr>
          <w:rFonts w:ascii="宋体" w:hAnsi="宋体" w:eastAsia="宋体" w:cs="宋体"/>
          <w:sz w:val="24"/>
          <w:szCs w:val="24"/>
        </w:rPr>
        <w:t>本次生态评价范围包括直接占用区域以及污染物排放产生</w:t>
      </w:r>
      <w:r>
        <w:rPr>
          <w:rFonts w:ascii="宋体" w:hAnsi="宋体" w:eastAsia="宋体" w:cs="宋体"/>
          <w:spacing w:val="-1"/>
          <w:sz w:val="24"/>
          <w:szCs w:val="24"/>
        </w:rPr>
        <w:t>的间接生态影响</w:t>
      </w:r>
      <w:r>
        <w:rPr>
          <w:rFonts w:ascii="宋体" w:hAnsi="宋体" w:eastAsia="宋体" w:cs="宋体"/>
          <w:sz w:val="24"/>
          <w:szCs w:val="24"/>
        </w:rPr>
        <w:t xml:space="preserve"> </w:t>
      </w:r>
      <w:r>
        <w:rPr>
          <w:rFonts w:ascii="宋体" w:hAnsi="宋体" w:eastAsia="宋体" w:cs="宋体"/>
          <w:spacing w:val="-12"/>
          <w:sz w:val="24"/>
          <w:szCs w:val="24"/>
        </w:rPr>
        <w:t>区域。</w:t>
      </w:r>
    </w:p>
    <w:p w14:paraId="59D79BF3">
      <w:pPr>
        <w:spacing w:line="362" w:lineRule="auto"/>
        <w:rPr>
          <w:rFonts w:ascii="宋体" w:hAnsi="宋体" w:eastAsia="宋体" w:cs="宋体"/>
          <w:sz w:val="24"/>
          <w:szCs w:val="24"/>
        </w:rPr>
        <w:sectPr>
          <w:footerReference r:id="rId41" w:type="default"/>
          <w:pgSz w:w="11906" w:h="16839"/>
          <w:pgMar w:top="1208" w:right="1785" w:bottom="1358" w:left="1785" w:header="825" w:footer="1195" w:gutter="0"/>
          <w:cols w:space="720" w:num="1"/>
        </w:sectPr>
      </w:pPr>
    </w:p>
    <w:p w14:paraId="4A10ADEB">
      <w:pPr>
        <w:pStyle w:val="2"/>
        <w:spacing w:line="265" w:lineRule="auto"/>
      </w:pPr>
    </w:p>
    <w:p w14:paraId="2133F60B">
      <w:pPr>
        <w:spacing w:before="78" w:line="220"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）环境风险</w:t>
      </w:r>
    </w:p>
    <w:p w14:paraId="1D59E562">
      <w:pPr>
        <w:spacing w:before="181" w:line="218" w:lineRule="auto"/>
        <w:ind w:left="603"/>
        <w:rPr>
          <w:rFonts w:ascii="宋体" w:hAnsi="宋体" w:eastAsia="宋体" w:cs="宋体"/>
          <w:sz w:val="24"/>
          <w:szCs w:val="24"/>
        </w:rPr>
      </w:pPr>
      <w:r>
        <w:rPr>
          <w:rFonts w:ascii="宋体" w:hAnsi="宋体" w:eastAsia="宋体" w:cs="宋体"/>
          <w:spacing w:val="-1"/>
          <w:sz w:val="24"/>
          <w:szCs w:val="24"/>
        </w:rPr>
        <w:t>本项目环境风险为简单分析，可不设置评价范围。</w:t>
      </w:r>
    </w:p>
    <w:p w14:paraId="58F713FC">
      <w:pPr>
        <w:spacing w:before="184" w:line="221" w:lineRule="auto"/>
        <w:ind w:left="61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）土壤</w:t>
      </w:r>
    </w:p>
    <w:p w14:paraId="64FB9E6F">
      <w:pPr>
        <w:spacing w:before="181" w:line="336" w:lineRule="auto"/>
        <w:ind w:left="122" w:right="258" w:firstLine="480"/>
        <w:rPr>
          <w:rFonts w:ascii="宋体" w:hAnsi="宋体" w:eastAsia="宋体" w:cs="宋体"/>
          <w:sz w:val="24"/>
          <w:szCs w:val="24"/>
        </w:rPr>
      </w:pPr>
      <w:r>
        <w:rPr>
          <w:rFonts w:ascii="宋体" w:hAnsi="宋体" w:eastAsia="宋体" w:cs="宋体"/>
          <w:spacing w:val="-3"/>
          <w:sz w:val="24"/>
          <w:szCs w:val="24"/>
        </w:rPr>
        <w:t>根据《环境影响评价技术导则 土壤环境（试行）》（</w:t>
      </w:r>
      <w:r>
        <w:rPr>
          <w:rFonts w:ascii="Times New Roman" w:hAnsi="Times New Roman" w:eastAsia="Times New Roman" w:cs="Times New Roman"/>
          <w:spacing w:val="-3"/>
          <w:sz w:val="24"/>
          <w:szCs w:val="24"/>
        </w:rPr>
        <w:t>HJ964-2018</w:t>
      </w:r>
      <w:r>
        <w:rPr>
          <w:rFonts w:ascii="宋体" w:hAnsi="宋体" w:eastAsia="宋体" w:cs="宋体"/>
          <w:spacing w:val="-5"/>
          <w:sz w:val="24"/>
          <w:szCs w:val="24"/>
        </w:rPr>
        <w:t>），</w:t>
      </w:r>
      <w:r>
        <w:rPr>
          <w:rFonts w:ascii="宋体" w:hAnsi="宋体" w:eastAsia="宋体" w:cs="宋体"/>
          <w:spacing w:val="-3"/>
          <w:sz w:val="24"/>
          <w:szCs w:val="24"/>
        </w:rPr>
        <w:t>土壤</w:t>
      </w:r>
      <w:r>
        <w:rPr>
          <w:rFonts w:ascii="宋体" w:hAnsi="宋体" w:eastAsia="宋体" w:cs="宋体"/>
          <w:sz w:val="24"/>
          <w:szCs w:val="24"/>
        </w:rPr>
        <w:t xml:space="preserve"> </w:t>
      </w:r>
      <w:r>
        <w:rPr>
          <w:rFonts w:ascii="宋体" w:hAnsi="宋体" w:eastAsia="宋体" w:cs="宋体"/>
          <w:spacing w:val="-1"/>
          <w:sz w:val="24"/>
          <w:szCs w:val="24"/>
        </w:rPr>
        <w:t>环境现状调查评价范围见表</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2.6-1</w:t>
      </w:r>
      <w:r>
        <w:rPr>
          <w:rFonts w:ascii="宋体" w:hAnsi="宋体" w:eastAsia="宋体" w:cs="宋体"/>
          <w:spacing w:val="-1"/>
          <w:sz w:val="24"/>
          <w:szCs w:val="24"/>
        </w:rPr>
        <w:t>。</w:t>
      </w:r>
    </w:p>
    <w:p w14:paraId="183B5F66">
      <w:pPr>
        <w:spacing w:line="227" w:lineRule="auto"/>
        <w:ind w:left="3115"/>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40"/>
          <w:sz w:val="20"/>
          <w:szCs w:val="20"/>
        </w:rPr>
        <w:t xml:space="preserve"> </w:t>
      </w:r>
      <w:r>
        <w:rPr>
          <w:rFonts w:ascii="Times New Roman" w:hAnsi="Times New Roman" w:eastAsia="Times New Roman" w:cs="Times New Roman"/>
          <w:spacing w:val="5"/>
          <w:sz w:val="20"/>
          <w:szCs w:val="20"/>
        </w:rPr>
        <w:t xml:space="preserve">2.6-1    </w:t>
      </w:r>
      <w:r>
        <w:rPr>
          <w:rFonts w:ascii="宋体" w:hAnsi="宋体" w:eastAsia="宋体" w:cs="宋体"/>
          <w:spacing w:val="5"/>
          <w:sz w:val="20"/>
          <w:szCs w:val="20"/>
        </w:rPr>
        <w:t>现状调查范围</w:t>
      </w:r>
    </w:p>
    <w:p w14:paraId="4D1AD884">
      <w:pPr>
        <w:spacing w:line="14"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5AF6C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33" w:type="dxa"/>
            <w:vMerge w:val="restart"/>
            <w:tcBorders>
              <w:bottom w:val="nil"/>
            </w:tcBorders>
            <w:vAlign w:val="top"/>
          </w:tcPr>
          <w:p w14:paraId="1B0DA640">
            <w:pPr>
              <w:pStyle w:val="6"/>
              <w:spacing w:before="246" w:line="226" w:lineRule="auto"/>
              <w:ind w:left="442"/>
            </w:pPr>
            <w:r>
              <w:rPr>
                <w:spacing w:val="8"/>
              </w:rPr>
              <w:t>评价工作等级</w:t>
            </w:r>
          </w:p>
        </w:tc>
        <w:tc>
          <w:tcPr>
            <w:tcW w:w="2129" w:type="dxa"/>
            <w:vMerge w:val="restart"/>
            <w:tcBorders>
              <w:bottom w:val="nil"/>
            </w:tcBorders>
            <w:vAlign w:val="top"/>
          </w:tcPr>
          <w:p w14:paraId="0EAC6E82">
            <w:pPr>
              <w:pStyle w:val="6"/>
              <w:spacing w:before="245" w:line="228" w:lineRule="auto"/>
              <w:ind w:left="649"/>
            </w:pPr>
            <w:r>
              <w:rPr>
                <w:spacing w:val="7"/>
              </w:rPr>
              <w:t>影响类型</w:t>
            </w:r>
          </w:p>
        </w:tc>
        <w:tc>
          <w:tcPr>
            <w:tcW w:w="4264" w:type="dxa"/>
            <w:gridSpan w:val="2"/>
            <w:vAlign w:val="top"/>
          </w:tcPr>
          <w:p w14:paraId="73C56292">
            <w:pPr>
              <w:pStyle w:val="6"/>
              <w:spacing w:before="71" w:line="228" w:lineRule="auto"/>
              <w:ind w:left="1645"/>
              <w:rPr>
                <w:rFonts w:ascii="Times New Roman" w:hAnsi="Times New Roman" w:eastAsia="Times New Roman" w:cs="Times New Roman"/>
              </w:rPr>
            </w:pPr>
            <w:r>
              <w:rPr>
                <w:spacing w:val="5"/>
              </w:rPr>
              <w:t>调查范围</w:t>
            </w:r>
            <w:r>
              <w:rPr>
                <w:spacing w:val="-36"/>
              </w:rPr>
              <w:t xml:space="preserve"> </w:t>
            </w:r>
            <w:r>
              <w:rPr>
                <w:rFonts w:ascii="Times New Roman" w:hAnsi="Times New Roman" w:eastAsia="Times New Roman" w:cs="Times New Roman"/>
                <w:spacing w:val="5"/>
              </w:rPr>
              <w:t>a</w:t>
            </w:r>
          </w:p>
        </w:tc>
      </w:tr>
      <w:tr w14:paraId="7967D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Merge w:val="continue"/>
            <w:tcBorders>
              <w:top w:val="nil"/>
            </w:tcBorders>
            <w:vAlign w:val="top"/>
          </w:tcPr>
          <w:p w14:paraId="6E98778D">
            <w:pPr>
              <w:rPr>
                <w:rFonts w:ascii="Arial"/>
                <w:sz w:val="21"/>
              </w:rPr>
            </w:pPr>
          </w:p>
        </w:tc>
        <w:tc>
          <w:tcPr>
            <w:tcW w:w="2129" w:type="dxa"/>
            <w:vMerge w:val="continue"/>
            <w:tcBorders>
              <w:top w:val="nil"/>
            </w:tcBorders>
            <w:vAlign w:val="top"/>
          </w:tcPr>
          <w:p w14:paraId="4206F615">
            <w:pPr>
              <w:rPr>
                <w:rFonts w:ascii="Arial"/>
                <w:sz w:val="21"/>
              </w:rPr>
            </w:pPr>
          </w:p>
        </w:tc>
        <w:tc>
          <w:tcPr>
            <w:tcW w:w="2130" w:type="dxa"/>
            <w:vAlign w:val="top"/>
          </w:tcPr>
          <w:p w14:paraId="6176EA27">
            <w:pPr>
              <w:pStyle w:val="6"/>
              <w:spacing w:before="66" w:line="228" w:lineRule="auto"/>
              <w:ind w:left="475"/>
            </w:pPr>
            <w:r>
              <w:rPr>
                <w:spacing w:val="-1"/>
              </w:rPr>
              <w:t>占地</w:t>
            </w:r>
            <w:r>
              <w:rPr>
                <w:spacing w:val="-45"/>
              </w:rPr>
              <w:t xml:space="preserve"> </w:t>
            </w:r>
            <w:r>
              <w:rPr>
                <w:rFonts w:ascii="Times New Roman" w:hAnsi="Times New Roman" w:eastAsia="Times New Roman" w:cs="Times New Roman"/>
                <w:spacing w:val="-1"/>
              </w:rPr>
              <w:t>b</w:t>
            </w:r>
            <w:r>
              <w:rPr>
                <w:rFonts w:ascii="Times New Roman" w:hAnsi="Times New Roman" w:eastAsia="Times New Roman" w:cs="Times New Roman"/>
                <w:spacing w:val="15"/>
              </w:rPr>
              <w:t xml:space="preserve"> </w:t>
            </w:r>
            <w:r>
              <w:rPr>
                <w:spacing w:val="-1"/>
              </w:rPr>
              <w:t>范围内</w:t>
            </w:r>
          </w:p>
        </w:tc>
        <w:tc>
          <w:tcPr>
            <w:tcW w:w="2134" w:type="dxa"/>
            <w:vAlign w:val="top"/>
          </w:tcPr>
          <w:p w14:paraId="460F9B8D">
            <w:pPr>
              <w:pStyle w:val="6"/>
              <w:spacing w:before="67" w:line="228" w:lineRule="auto"/>
              <w:ind w:left="582"/>
            </w:pPr>
            <w:r>
              <w:rPr>
                <w:spacing w:val="1"/>
              </w:rPr>
              <w:t>占地范围外</w:t>
            </w:r>
          </w:p>
        </w:tc>
      </w:tr>
      <w:tr w14:paraId="27A3C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Merge w:val="restart"/>
            <w:tcBorders>
              <w:bottom w:val="nil"/>
            </w:tcBorders>
            <w:vAlign w:val="top"/>
          </w:tcPr>
          <w:p w14:paraId="09D3500E">
            <w:pPr>
              <w:pStyle w:val="6"/>
              <w:spacing w:before="241" w:line="230" w:lineRule="auto"/>
              <w:ind w:left="866"/>
            </w:pPr>
            <w:r>
              <w:rPr>
                <w:spacing w:val="3"/>
              </w:rPr>
              <w:t>一级</w:t>
            </w:r>
          </w:p>
        </w:tc>
        <w:tc>
          <w:tcPr>
            <w:tcW w:w="2129" w:type="dxa"/>
            <w:vAlign w:val="top"/>
          </w:tcPr>
          <w:p w14:paraId="54B5DFD3">
            <w:pPr>
              <w:pStyle w:val="6"/>
              <w:spacing w:before="66" w:line="230" w:lineRule="auto"/>
              <w:ind w:left="546"/>
            </w:pPr>
            <w:r>
              <w:rPr>
                <w:spacing w:val="7"/>
              </w:rPr>
              <w:t>生态影响型</w:t>
            </w:r>
          </w:p>
        </w:tc>
        <w:tc>
          <w:tcPr>
            <w:tcW w:w="2130" w:type="dxa"/>
            <w:vMerge w:val="restart"/>
            <w:tcBorders>
              <w:bottom w:val="nil"/>
            </w:tcBorders>
            <w:vAlign w:val="top"/>
          </w:tcPr>
          <w:p w14:paraId="68F1D11C">
            <w:pPr>
              <w:spacing w:line="290" w:lineRule="auto"/>
              <w:rPr>
                <w:rFonts w:ascii="Arial"/>
                <w:sz w:val="21"/>
              </w:rPr>
            </w:pPr>
          </w:p>
          <w:p w14:paraId="12B1B164">
            <w:pPr>
              <w:spacing w:line="290" w:lineRule="auto"/>
              <w:rPr>
                <w:rFonts w:ascii="Arial"/>
                <w:sz w:val="21"/>
              </w:rPr>
            </w:pPr>
          </w:p>
          <w:p w14:paraId="58244CC8">
            <w:pPr>
              <w:spacing w:line="291" w:lineRule="auto"/>
              <w:rPr>
                <w:rFonts w:ascii="Arial"/>
                <w:sz w:val="21"/>
              </w:rPr>
            </w:pPr>
          </w:p>
          <w:p w14:paraId="629DDD2A">
            <w:pPr>
              <w:pStyle w:val="6"/>
              <w:spacing w:before="65" w:line="228" w:lineRule="auto"/>
              <w:ind w:left="860"/>
            </w:pPr>
            <w:r>
              <w:rPr>
                <w:spacing w:val="4"/>
              </w:rPr>
              <w:t>全部</w:t>
            </w:r>
          </w:p>
        </w:tc>
        <w:tc>
          <w:tcPr>
            <w:tcW w:w="2134" w:type="dxa"/>
            <w:vAlign w:val="top"/>
          </w:tcPr>
          <w:p w14:paraId="0C88E802">
            <w:pPr>
              <w:pStyle w:val="6"/>
              <w:spacing w:before="65" w:line="228" w:lineRule="auto"/>
              <w:ind w:left="544"/>
            </w:pPr>
            <w:r>
              <w:rPr>
                <w:rFonts w:ascii="Times New Roman" w:hAnsi="Times New Roman" w:eastAsia="Times New Roman" w:cs="Times New Roman"/>
                <w:spacing w:val="5"/>
              </w:rPr>
              <w:t>5</w:t>
            </w:r>
            <w:r>
              <w:rPr>
                <w:rFonts w:ascii="Times New Roman" w:hAnsi="Times New Roman" w:eastAsia="Times New Roman" w:cs="Times New Roman"/>
              </w:rPr>
              <w:t>km</w:t>
            </w:r>
            <w:r>
              <w:rPr>
                <w:rFonts w:ascii="Times New Roman" w:hAnsi="Times New Roman" w:eastAsia="Times New Roman" w:cs="Times New Roman"/>
                <w:spacing w:val="17"/>
              </w:rPr>
              <w:t xml:space="preserve"> </w:t>
            </w:r>
            <w:r>
              <w:rPr>
                <w:spacing w:val="5"/>
              </w:rPr>
              <w:t>范围内</w:t>
            </w:r>
          </w:p>
        </w:tc>
      </w:tr>
      <w:tr w14:paraId="48EEF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Merge w:val="continue"/>
            <w:tcBorders>
              <w:top w:val="nil"/>
            </w:tcBorders>
            <w:vAlign w:val="top"/>
          </w:tcPr>
          <w:p w14:paraId="7EAF8BD7">
            <w:pPr>
              <w:rPr>
                <w:rFonts w:ascii="Arial"/>
                <w:sz w:val="21"/>
              </w:rPr>
            </w:pPr>
          </w:p>
        </w:tc>
        <w:tc>
          <w:tcPr>
            <w:tcW w:w="2129" w:type="dxa"/>
            <w:vAlign w:val="top"/>
          </w:tcPr>
          <w:p w14:paraId="6908D3E4">
            <w:pPr>
              <w:pStyle w:val="6"/>
              <w:spacing w:before="68" w:line="228" w:lineRule="auto"/>
              <w:ind w:left="546"/>
            </w:pPr>
            <w:r>
              <w:rPr>
                <w:spacing w:val="7"/>
              </w:rPr>
              <w:t>污染影响型</w:t>
            </w:r>
          </w:p>
        </w:tc>
        <w:tc>
          <w:tcPr>
            <w:tcW w:w="2130" w:type="dxa"/>
            <w:vMerge w:val="continue"/>
            <w:tcBorders>
              <w:top w:val="nil"/>
              <w:bottom w:val="nil"/>
            </w:tcBorders>
            <w:vAlign w:val="top"/>
          </w:tcPr>
          <w:p w14:paraId="6A1799FA">
            <w:pPr>
              <w:rPr>
                <w:rFonts w:ascii="Arial"/>
                <w:sz w:val="21"/>
              </w:rPr>
            </w:pPr>
          </w:p>
        </w:tc>
        <w:tc>
          <w:tcPr>
            <w:tcW w:w="2134" w:type="dxa"/>
            <w:vAlign w:val="top"/>
          </w:tcPr>
          <w:p w14:paraId="439DCE65">
            <w:pPr>
              <w:pStyle w:val="6"/>
              <w:spacing w:before="67" w:line="228" w:lineRule="auto"/>
              <w:ind w:left="559"/>
            </w:pPr>
            <w:r>
              <w:rPr>
                <w:rFonts w:ascii="Times New Roman" w:hAnsi="Times New Roman" w:eastAsia="Times New Roman" w:cs="Times New Roman"/>
                <w:spacing w:val="1"/>
              </w:rPr>
              <w:t>1</w:t>
            </w:r>
            <w:r>
              <w:rPr>
                <w:rFonts w:ascii="Times New Roman" w:hAnsi="Times New Roman" w:eastAsia="Times New Roman" w:cs="Times New Roman"/>
              </w:rPr>
              <w:t>km</w:t>
            </w:r>
            <w:r>
              <w:rPr>
                <w:rFonts w:ascii="Times New Roman" w:hAnsi="Times New Roman" w:eastAsia="Times New Roman" w:cs="Times New Roman"/>
                <w:spacing w:val="18"/>
                <w:w w:val="101"/>
              </w:rPr>
              <w:t xml:space="preserve"> </w:t>
            </w:r>
            <w:r>
              <w:rPr>
                <w:spacing w:val="1"/>
              </w:rPr>
              <w:t>范围内</w:t>
            </w:r>
          </w:p>
        </w:tc>
      </w:tr>
      <w:tr w14:paraId="71A6E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Merge w:val="restart"/>
            <w:tcBorders>
              <w:bottom w:val="nil"/>
            </w:tcBorders>
            <w:vAlign w:val="top"/>
          </w:tcPr>
          <w:p w14:paraId="741702AE">
            <w:pPr>
              <w:pStyle w:val="6"/>
              <w:spacing w:before="244" w:line="230" w:lineRule="auto"/>
              <w:ind w:left="866"/>
            </w:pPr>
            <w:r>
              <w:rPr>
                <w:spacing w:val="3"/>
              </w:rPr>
              <w:t>二级</w:t>
            </w:r>
          </w:p>
        </w:tc>
        <w:tc>
          <w:tcPr>
            <w:tcW w:w="2129" w:type="dxa"/>
            <w:vAlign w:val="top"/>
          </w:tcPr>
          <w:p w14:paraId="0A7B1F62">
            <w:pPr>
              <w:pStyle w:val="6"/>
              <w:spacing w:before="68" w:line="230" w:lineRule="auto"/>
              <w:ind w:left="546"/>
            </w:pPr>
            <w:r>
              <w:rPr>
                <w:spacing w:val="7"/>
              </w:rPr>
              <w:t>生态影响型</w:t>
            </w:r>
          </w:p>
        </w:tc>
        <w:tc>
          <w:tcPr>
            <w:tcW w:w="2130" w:type="dxa"/>
            <w:vMerge w:val="continue"/>
            <w:tcBorders>
              <w:top w:val="nil"/>
              <w:bottom w:val="nil"/>
            </w:tcBorders>
            <w:vAlign w:val="top"/>
          </w:tcPr>
          <w:p w14:paraId="0F616142">
            <w:pPr>
              <w:rPr>
                <w:rFonts w:ascii="Arial"/>
                <w:sz w:val="21"/>
              </w:rPr>
            </w:pPr>
          </w:p>
        </w:tc>
        <w:tc>
          <w:tcPr>
            <w:tcW w:w="2134" w:type="dxa"/>
            <w:vAlign w:val="top"/>
          </w:tcPr>
          <w:p w14:paraId="18942E59">
            <w:pPr>
              <w:pStyle w:val="6"/>
              <w:spacing w:before="68" w:line="228" w:lineRule="auto"/>
              <w:ind w:left="539"/>
            </w:pPr>
            <w:r>
              <w:rPr>
                <w:rFonts w:ascii="Times New Roman" w:hAnsi="Times New Roman" w:eastAsia="Times New Roman" w:cs="Times New Roman"/>
                <w:spacing w:val="6"/>
              </w:rPr>
              <w:t>2</w:t>
            </w:r>
            <w:r>
              <w:rPr>
                <w:rFonts w:ascii="Times New Roman" w:hAnsi="Times New Roman" w:eastAsia="Times New Roman" w:cs="Times New Roman"/>
              </w:rPr>
              <w:t>km</w:t>
            </w:r>
            <w:r>
              <w:rPr>
                <w:rFonts w:ascii="Times New Roman" w:hAnsi="Times New Roman" w:eastAsia="Times New Roman" w:cs="Times New Roman"/>
                <w:spacing w:val="18"/>
                <w:w w:val="101"/>
              </w:rPr>
              <w:t xml:space="preserve"> </w:t>
            </w:r>
            <w:r>
              <w:rPr>
                <w:spacing w:val="6"/>
              </w:rPr>
              <w:t>范围内</w:t>
            </w:r>
          </w:p>
        </w:tc>
      </w:tr>
      <w:tr w14:paraId="5A19E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33" w:type="dxa"/>
            <w:vMerge w:val="continue"/>
            <w:tcBorders>
              <w:top w:val="nil"/>
            </w:tcBorders>
            <w:vAlign w:val="top"/>
          </w:tcPr>
          <w:p w14:paraId="3C51E24D">
            <w:pPr>
              <w:rPr>
                <w:rFonts w:ascii="Arial"/>
                <w:sz w:val="21"/>
              </w:rPr>
            </w:pPr>
          </w:p>
        </w:tc>
        <w:tc>
          <w:tcPr>
            <w:tcW w:w="2129" w:type="dxa"/>
            <w:vAlign w:val="top"/>
          </w:tcPr>
          <w:p w14:paraId="37EFF75A">
            <w:pPr>
              <w:pStyle w:val="6"/>
              <w:spacing w:before="70" w:line="228" w:lineRule="auto"/>
              <w:ind w:left="546"/>
            </w:pPr>
            <w:r>
              <w:rPr>
                <w:spacing w:val="7"/>
              </w:rPr>
              <w:t>污染影响型</w:t>
            </w:r>
          </w:p>
        </w:tc>
        <w:tc>
          <w:tcPr>
            <w:tcW w:w="2130" w:type="dxa"/>
            <w:vMerge w:val="continue"/>
            <w:tcBorders>
              <w:top w:val="nil"/>
              <w:bottom w:val="nil"/>
            </w:tcBorders>
            <w:vAlign w:val="top"/>
          </w:tcPr>
          <w:p w14:paraId="782C0C63">
            <w:pPr>
              <w:rPr>
                <w:rFonts w:ascii="Arial"/>
                <w:sz w:val="21"/>
              </w:rPr>
            </w:pPr>
          </w:p>
        </w:tc>
        <w:tc>
          <w:tcPr>
            <w:tcW w:w="2134" w:type="dxa"/>
            <w:vAlign w:val="top"/>
          </w:tcPr>
          <w:p w14:paraId="17707F96">
            <w:pPr>
              <w:pStyle w:val="6"/>
              <w:spacing w:before="70" w:line="228" w:lineRule="auto"/>
              <w:ind w:left="465"/>
            </w:pPr>
            <w:r>
              <w:rPr>
                <w:rFonts w:ascii="Times New Roman" w:hAnsi="Times New Roman" w:eastAsia="Times New Roman" w:cs="Times New Roman"/>
                <w:spacing w:val="5"/>
              </w:rPr>
              <w:t>0.2</w:t>
            </w:r>
            <w:r>
              <w:rPr>
                <w:rFonts w:ascii="Times New Roman" w:hAnsi="Times New Roman" w:eastAsia="Times New Roman" w:cs="Times New Roman"/>
              </w:rPr>
              <w:t>km</w:t>
            </w:r>
            <w:r>
              <w:rPr>
                <w:rFonts w:ascii="Times New Roman" w:hAnsi="Times New Roman" w:eastAsia="Times New Roman" w:cs="Times New Roman"/>
                <w:spacing w:val="18"/>
              </w:rPr>
              <w:t xml:space="preserve"> </w:t>
            </w:r>
            <w:r>
              <w:rPr>
                <w:spacing w:val="5"/>
              </w:rPr>
              <w:t>范围内</w:t>
            </w:r>
          </w:p>
        </w:tc>
      </w:tr>
      <w:tr w14:paraId="6C774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33" w:type="dxa"/>
            <w:vMerge w:val="restart"/>
            <w:tcBorders>
              <w:bottom w:val="nil"/>
            </w:tcBorders>
            <w:vAlign w:val="top"/>
          </w:tcPr>
          <w:p w14:paraId="152402AC">
            <w:pPr>
              <w:pStyle w:val="6"/>
              <w:spacing w:before="245" w:line="230" w:lineRule="auto"/>
              <w:ind w:left="862"/>
            </w:pPr>
            <w:r>
              <w:rPr>
                <w:spacing w:val="4"/>
              </w:rPr>
              <w:t>三级</w:t>
            </w:r>
          </w:p>
        </w:tc>
        <w:tc>
          <w:tcPr>
            <w:tcW w:w="2129" w:type="dxa"/>
            <w:vAlign w:val="top"/>
          </w:tcPr>
          <w:p w14:paraId="403450B7">
            <w:pPr>
              <w:pStyle w:val="6"/>
              <w:spacing w:before="70" w:line="230" w:lineRule="auto"/>
              <w:ind w:left="546"/>
            </w:pPr>
            <w:r>
              <w:rPr>
                <w:spacing w:val="7"/>
              </w:rPr>
              <w:t>生态影响型</w:t>
            </w:r>
          </w:p>
        </w:tc>
        <w:tc>
          <w:tcPr>
            <w:tcW w:w="2130" w:type="dxa"/>
            <w:vMerge w:val="continue"/>
            <w:tcBorders>
              <w:top w:val="nil"/>
              <w:bottom w:val="nil"/>
            </w:tcBorders>
            <w:vAlign w:val="top"/>
          </w:tcPr>
          <w:p w14:paraId="0056E7D6">
            <w:pPr>
              <w:rPr>
                <w:rFonts w:ascii="Arial"/>
                <w:sz w:val="21"/>
              </w:rPr>
            </w:pPr>
          </w:p>
        </w:tc>
        <w:tc>
          <w:tcPr>
            <w:tcW w:w="2134" w:type="dxa"/>
            <w:vAlign w:val="top"/>
          </w:tcPr>
          <w:p w14:paraId="2322D235">
            <w:pPr>
              <w:pStyle w:val="6"/>
              <w:spacing w:before="70" w:line="228" w:lineRule="auto"/>
              <w:ind w:left="559"/>
            </w:pPr>
            <w:r>
              <w:rPr>
                <w:rFonts w:ascii="Times New Roman" w:hAnsi="Times New Roman" w:eastAsia="Times New Roman" w:cs="Times New Roman"/>
                <w:spacing w:val="1"/>
              </w:rPr>
              <w:t>1</w:t>
            </w:r>
            <w:r>
              <w:rPr>
                <w:rFonts w:ascii="Times New Roman" w:hAnsi="Times New Roman" w:eastAsia="Times New Roman" w:cs="Times New Roman"/>
              </w:rPr>
              <w:t>km</w:t>
            </w:r>
            <w:r>
              <w:rPr>
                <w:rFonts w:ascii="Times New Roman" w:hAnsi="Times New Roman" w:eastAsia="Times New Roman" w:cs="Times New Roman"/>
                <w:spacing w:val="18"/>
                <w:w w:val="101"/>
              </w:rPr>
              <w:t xml:space="preserve"> </w:t>
            </w:r>
            <w:r>
              <w:rPr>
                <w:spacing w:val="1"/>
              </w:rPr>
              <w:t>范围内</w:t>
            </w:r>
          </w:p>
        </w:tc>
      </w:tr>
      <w:tr w14:paraId="41D75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33" w:type="dxa"/>
            <w:vMerge w:val="continue"/>
            <w:tcBorders>
              <w:top w:val="nil"/>
            </w:tcBorders>
            <w:vAlign w:val="top"/>
          </w:tcPr>
          <w:p w14:paraId="6A96B731">
            <w:pPr>
              <w:rPr>
                <w:rFonts w:ascii="Arial"/>
                <w:sz w:val="21"/>
              </w:rPr>
            </w:pPr>
          </w:p>
        </w:tc>
        <w:tc>
          <w:tcPr>
            <w:tcW w:w="2129" w:type="dxa"/>
            <w:vAlign w:val="top"/>
          </w:tcPr>
          <w:p w14:paraId="2CCA5675">
            <w:pPr>
              <w:pStyle w:val="6"/>
              <w:spacing w:before="71" w:line="228" w:lineRule="auto"/>
              <w:ind w:left="546"/>
            </w:pPr>
            <w:r>
              <w:rPr>
                <w:spacing w:val="7"/>
              </w:rPr>
              <w:t>污染影响型</w:t>
            </w:r>
          </w:p>
        </w:tc>
        <w:tc>
          <w:tcPr>
            <w:tcW w:w="2130" w:type="dxa"/>
            <w:vMerge w:val="continue"/>
            <w:tcBorders>
              <w:top w:val="nil"/>
            </w:tcBorders>
            <w:vAlign w:val="top"/>
          </w:tcPr>
          <w:p w14:paraId="25CA1306">
            <w:pPr>
              <w:rPr>
                <w:rFonts w:ascii="Arial"/>
                <w:sz w:val="21"/>
              </w:rPr>
            </w:pPr>
          </w:p>
        </w:tc>
        <w:tc>
          <w:tcPr>
            <w:tcW w:w="2134" w:type="dxa"/>
            <w:vAlign w:val="top"/>
          </w:tcPr>
          <w:p w14:paraId="5221B374">
            <w:pPr>
              <w:pStyle w:val="6"/>
              <w:spacing w:before="70" w:line="228" w:lineRule="auto"/>
              <w:ind w:left="412"/>
            </w:pPr>
            <w:r>
              <w:rPr>
                <w:rFonts w:ascii="Times New Roman" w:hAnsi="Times New Roman" w:eastAsia="Times New Roman" w:cs="Times New Roman"/>
                <w:spacing w:val="5"/>
              </w:rPr>
              <w:t>0.05</w:t>
            </w:r>
            <w:r>
              <w:rPr>
                <w:rFonts w:ascii="Times New Roman" w:hAnsi="Times New Roman" w:eastAsia="Times New Roman" w:cs="Times New Roman"/>
              </w:rPr>
              <w:t>km</w:t>
            </w:r>
            <w:r>
              <w:rPr>
                <w:rFonts w:ascii="Times New Roman" w:hAnsi="Times New Roman" w:eastAsia="Times New Roman" w:cs="Times New Roman"/>
                <w:spacing w:val="16"/>
                <w:w w:val="101"/>
              </w:rPr>
              <w:t xml:space="preserve"> </w:t>
            </w:r>
            <w:r>
              <w:rPr>
                <w:spacing w:val="5"/>
              </w:rPr>
              <w:t>范围内</w:t>
            </w:r>
          </w:p>
        </w:tc>
      </w:tr>
      <w:tr w14:paraId="013DE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26" w:type="dxa"/>
            <w:gridSpan w:val="4"/>
            <w:vAlign w:val="top"/>
          </w:tcPr>
          <w:p w14:paraId="599C638B">
            <w:pPr>
              <w:pStyle w:val="6"/>
              <w:spacing w:before="56" w:line="228" w:lineRule="auto"/>
              <w:ind w:left="519"/>
            </w:pPr>
            <w:r>
              <w:rPr>
                <w:rFonts w:ascii="Times New Roman" w:hAnsi="Times New Roman" w:eastAsia="Times New Roman" w:cs="Times New Roman"/>
                <w:spacing w:val="9"/>
              </w:rPr>
              <w:t xml:space="preserve">a </w:t>
            </w:r>
            <w:r>
              <w:rPr>
                <w:spacing w:val="9"/>
              </w:rPr>
              <w:t>涉及大气沉降途径影响的，可根据主导风向下风向的最大落地浓度点适当调整。</w:t>
            </w:r>
          </w:p>
          <w:p w14:paraId="77CB7A66">
            <w:pPr>
              <w:pStyle w:val="6"/>
              <w:spacing w:before="65" w:line="227" w:lineRule="auto"/>
              <w:ind w:left="295"/>
            </w:pPr>
            <w:r>
              <w:rPr>
                <w:rFonts w:ascii="Times New Roman" w:hAnsi="Times New Roman" w:eastAsia="Times New Roman" w:cs="Times New Roman"/>
                <w:spacing w:val="9"/>
              </w:rPr>
              <w:t xml:space="preserve">b </w:t>
            </w:r>
            <w:r>
              <w:rPr>
                <w:spacing w:val="9"/>
              </w:rPr>
              <w:t>矿山类项目指开采区与各场地的占地；改、扩建类的指现有工程与拟建工程的占地。</w:t>
            </w:r>
          </w:p>
        </w:tc>
      </w:tr>
    </w:tbl>
    <w:p w14:paraId="0812C02C">
      <w:pPr>
        <w:spacing w:before="114" w:line="360" w:lineRule="auto"/>
        <w:ind w:left="122" w:right="258" w:firstLine="480"/>
        <w:rPr>
          <w:rFonts w:ascii="宋体" w:hAnsi="宋体" w:eastAsia="宋体" w:cs="宋体"/>
          <w:sz w:val="24"/>
          <w:szCs w:val="24"/>
        </w:rPr>
      </w:pPr>
      <w:r>
        <w:rPr>
          <w:rFonts w:ascii="宋体" w:hAnsi="宋体" w:eastAsia="宋体" w:cs="宋体"/>
          <w:sz w:val="24"/>
          <w:szCs w:val="24"/>
        </w:rPr>
        <w:t>本项目土壤环境影响评价工作等级为一级，土</w:t>
      </w:r>
      <w:r>
        <w:rPr>
          <w:rFonts w:ascii="宋体" w:hAnsi="宋体" w:eastAsia="宋体" w:cs="宋体"/>
          <w:spacing w:val="-1"/>
          <w:sz w:val="24"/>
          <w:szCs w:val="24"/>
        </w:rPr>
        <w:t>壤环境现状调查评价范围为</w:t>
      </w:r>
      <w:r>
        <w:rPr>
          <w:rFonts w:ascii="宋体" w:hAnsi="宋体" w:eastAsia="宋体" w:cs="宋体"/>
          <w:sz w:val="24"/>
          <w:szCs w:val="24"/>
        </w:rPr>
        <w:t xml:space="preserve"> </w:t>
      </w:r>
      <w:r>
        <w:rPr>
          <w:rFonts w:ascii="宋体" w:hAnsi="宋体" w:eastAsia="宋体" w:cs="宋体"/>
          <w:spacing w:val="-2"/>
          <w:sz w:val="24"/>
          <w:szCs w:val="24"/>
        </w:rPr>
        <w:t>项目占地范围内及厂区外</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1km</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的范围内，土壤环境影响评价面</w:t>
      </w:r>
      <w:r>
        <w:rPr>
          <w:rFonts w:ascii="宋体" w:hAnsi="宋体" w:eastAsia="宋体" w:cs="宋体"/>
          <w:spacing w:val="-3"/>
          <w:sz w:val="24"/>
          <w:szCs w:val="24"/>
        </w:rPr>
        <w:t>积约</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5.05km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4"/>
          <w:szCs w:val="24"/>
        </w:rPr>
        <w:t>。</w:t>
      </w:r>
      <w:r>
        <w:rPr>
          <w:rFonts w:ascii="宋体" w:hAnsi="宋体" w:eastAsia="宋体" w:cs="宋体"/>
          <w:sz w:val="24"/>
          <w:szCs w:val="24"/>
        </w:rPr>
        <w:t xml:space="preserve"> 项目土壤环境影响预测评价范围同现状调查范围。土</w:t>
      </w:r>
      <w:r>
        <w:rPr>
          <w:rFonts w:ascii="宋体" w:hAnsi="宋体" w:eastAsia="宋体" w:cs="宋体"/>
          <w:spacing w:val="-1"/>
          <w:sz w:val="24"/>
          <w:szCs w:val="24"/>
        </w:rPr>
        <w:t>壤环境影响评价范围同土</w:t>
      </w:r>
      <w:r>
        <w:rPr>
          <w:rFonts w:ascii="宋体" w:hAnsi="宋体" w:eastAsia="宋体" w:cs="宋体"/>
          <w:sz w:val="24"/>
          <w:szCs w:val="24"/>
        </w:rPr>
        <w:t xml:space="preserve"> </w:t>
      </w:r>
      <w:r>
        <w:rPr>
          <w:rFonts w:ascii="宋体" w:hAnsi="宋体" w:eastAsia="宋体" w:cs="宋体"/>
          <w:spacing w:val="-1"/>
          <w:sz w:val="24"/>
          <w:szCs w:val="24"/>
        </w:rPr>
        <w:t>壤环境现状调查范围。</w:t>
      </w:r>
    </w:p>
    <w:p w14:paraId="745EB47A">
      <w:pPr>
        <w:spacing w:line="220" w:lineRule="auto"/>
        <w:ind w:left="599"/>
        <w:outlineLvl w:val="2"/>
        <w:rPr>
          <w:rFonts w:ascii="宋体" w:hAnsi="宋体" w:eastAsia="宋体" w:cs="宋体"/>
          <w:sz w:val="24"/>
          <w:szCs w:val="24"/>
        </w:rPr>
      </w:pPr>
      <w:bookmarkStart w:id="40" w:name="bookmark36"/>
      <w:bookmarkEnd w:id="40"/>
      <w:r>
        <w:rPr>
          <w:rFonts w:ascii="Times New Roman" w:hAnsi="Times New Roman" w:eastAsia="Times New Roman" w:cs="Times New Roman"/>
          <w:b/>
          <w:bCs/>
          <w:spacing w:val="-2"/>
          <w:sz w:val="24"/>
          <w:szCs w:val="24"/>
        </w:rPr>
        <w:t xml:space="preserve">2.6.2 </w:t>
      </w:r>
      <w:r>
        <w:rPr>
          <w:rFonts w:ascii="宋体" w:hAnsi="宋体" w:eastAsia="宋体" w:cs="宋体"/>
          <w:b/>
          <w:bCs/>
          <w:spacing w:val="-2"/>
          <w:sz w:val="24"/>
          <w:szCs w:val="24"/>
        </w:rPr>
        <w:t>环境保护目标</w:t>
      </w:r>
    </w:p>
    <w:p w14:paraId="16C7C413">
      <w:pPr>
        <w:spacing w:before="184" w:line="361" w:lineRule="auto"/>
        <w:ind w:left="121" w:right="258" w:firstLine="484"/>
        <w:jc w:val="both"/>
        <w:rPr>
          <w:rFonts w:ascii="宋体" w:hAnsi="宋体" w:eastAsia="宋体" w:cs="宋体"/>
          <w:sz w:val="24"/>
          <w:szCs w:val="24"/>
        </w:rPr>
      </w:pPr>
      <w:r>
        <w:rPr>
          <w:rFonts w:ascii="宋体" w:hAnsi="宋体" w:eastAsia="宋体" w:cs="宋体"/>
          <w:spacing w:val="-1"/>
          <w:sz w:val="24"/>
          <w:szCs w:val="24"/>
        </w:rPr>
        <w:t>项目周围不涉及自然保护区、风景名胜区、文物古迹区、旅游度假区等环</w:t>
      </w:r>
      <w:r>
        <w:rPr>
          <w:rFonts w:ascii="宋体" w:hAnsi="宋体" w:eastAsia="宋体" w:cs="宋体"/>
          <w:spacing w:val="17"/>
          <w:sz w:val="24"/>
          <w:szCs w:val="24"/>
        </w:rPr>
        <w:t xml:space="preserve"> </w:t>
      </w:r>
      <w:r>
        <w:rPr>
          <w:rFonts w:ascii="宋体" w:hAnsi="宋体" w:eastAsia="宋体" w:cs="宋体"/>
          <w:sz w:val="24"/>
          <w:szCs w:val="24"/>
        </w:rPr>
        <w:t>境敏感目标。各环境要素环境保护目标名称、相对方位</w:t>
      </w:r>
      <w:r>
        <w:rPr>
          <w:rFonts w:ascii="宋体" w:hAnsi="宋体" w:eastAsia="宋体" w:cs="宋体"/>
          <w:spacing w:val="-1"/>
          <w:sz w:val="24"/>
          <w:szCs w:val="24"/>
        </w:rPr>
        <w:t>、相对距离、环境功能</w:t>
      </w:r>
      <w:r>
        <w:rPr>
          <w:rFonts w:ascii="宋体" w:hAnsi="宋体" w:eastAsia="宋体" w:cs="宋体"/>
          <w:sz w:val="24"/>
          <w:szCs w:val="24"/>
        </w:rPr>
        <w:t xml:space="preserve"> 及保护级别详见表</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2.6-3</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。相关环境要素监测点位置及保护目标分布见图</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 xml:space="preserve">2.6-2 </w:t>
      </w:r>
      <w:r>
        <w:rPr>
          <w:rFonts w:ascii="宋体" w:hAnsi="宋体" w:eastAsia="宋体" w:cs="宋体"/>
          <w:spacing w:val="-2"/>
          <w:sz w:val="24"/>
          <w:szCs w:val="24"/>
        </w:rPr>
        <w:t>及图</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2.6-3</w:t>
      </w:r>
      <w:r>
        <w:rPr>
          <w:rFonts w:ascii="宋体" w:hAnsi="宋体" w:eastAsia="宋体" w:cs="宋体"/>
          <w:spacing w:val="-2"/>
          <w:sz w:val="24"/>
          <w:szCs w:val="24"/>
        </w:rPr>
        <w:t>。</w:t>
      </w:r>
    </w:p>
    <w:p w14:paraId="39FFBF18">
      <w:pPr>
        <w:spacing w:line="361" w:lineRule="auto"/>
        <w:rPr>
          <w:rFonts w:ascii="宋体" w:hAnsi="宋体" w:eastAsia="宋体" w:cs="宋体"/>
          <w:sz w:val="24"/>
          <w:szCs w:val="24"/>
        </w:rPr>
        <w:sectPr>
          <w:headerReference r:id="rId42" w:type="default"/>
          <w:footerReference r:id="rId43" w:type="default"/>
          <w:pgSz w:w="11906" w:h="16839"/>
          <w:pgMar w:top="1208" w:right="1690" w:bottom="1358" w:left="1684" w:header="825" w:footer="1195" w:gutter="0"/>
          <w:cols w:space="720" w:num="1"/>
        </w:sectPr>
      </w:pPr>
    </w:p>
    <w:p w14:paraId="47B0AF7C">
      <w:pPr>
        <w:pStyle w:val="2"/>
        <w:spacing w:line="287" w:lineRule="auto"/>
      </w:pPr>
    </w:p>
    <w:p w14:paraId="4E4DEA78">
      <w:pPr>
        <w:pStyle w:val="2"/>
        <w:spacing w:line="287" w:lineRule="auto"/>
      </w:pPr>
    </w:p>
    <w:p w14:paraId="429E8C85">
      <w:pPr>
        <w:spacing w:before="65" w:line="226" w:lineRule="auto"/>
        <w:ind w:left="5314"/>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27"/>
          <w:sz w:val="20"/>
          <w:szCs w:val="20"/>
        </w:rPr>
        <w:t xml:space="preserve"> </w:t>
      </w:r>
      <w:r>
        <w:rPr>
          <w:rFonts w:ascii="Times New Roman" w:hAnsi="Times New Roman" w:eastAsia="Times New Roman" w:cs="Times New Roman"/>
          <w:spacing w:val="5"/>
          <w:sz w:val="20"/>
          <w:szCs w:val="20"/>
        </w:rPr>
        <w:t xml:space="preserve">2.6-2          </w:t>
      </w:r>
      <w:r>
        <w:rPr>
          <w:rFonts w:ascii="宋体" w:hAnsi="宋体" w:eastAsia="宋体" w:cs="宋体"/>
          <w:spacing w:val="5"/>
          <w:sz w:val="20"/>
          <w:szCs w:val="20"/>
        </w:rPr>
        <w:t>评价区内环境保护目标表</w:t>
      </w:r>
    </w:p>
    <w:p w14:paraId="7E2E691A">
      <w:pPr>
        <w:spacing w:line="19" w:lineRule="exact"/>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1822"/>
        <w:gridCol w:w="1842"/>
        <w:gridCol w:w="1703"/>
        <w:gridCol w:w="1415"/>
        <w:gridCol w:w="1420"/>
        <w:gridCol w:w="1561"/>
        <w:gridCol w:w="3009"/>
      </w:tblGrid>
      <w:tr w14:paraId="3B90F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407" w:type="dxa"/>
            <w:vMerge w:val="restart"/>
            <w:tcBorders>
              <w:bottom w:val="nil"/>
            </w:tcBorders>
            <w:vAlign w:val="top"/>
          </w:tcPr>
          <w:p w14:paraId="2CF906BC">
            <w:pPr>
              <w:spacing w:line="316" w:lineRule="auto"/>
              <w:rPr>
                <w:rFonts w:ascii="Arial"/>
                <w:sz w:val="21"/>
              </w:rPr>
            </w:pPr>
          </w:p>
          <w:p w14:paraId="06329931">
            <w:pPr>
              <w:pStyle w:val="6"/>
              <w:spacing w:before="65" w:line="228" w:lineRule="auto"/>
              <w:ind w:left="289"/>
            </w:pPr>
            <w:r>
              <w:rPr>
                <w:spacing w:val="7"/>
              </w:rPr>
              <w:t>环境要素</w:t>
            </w:r>
          </w:p>
        </w:tc>
        <w:tc>
          <w:tcPr>
            <w:tcW w:w="1822" w:type="dxa"/>
            <w:vMerge w:val="restart"/>
            <w:tcBorders>
              <w:bottom w:val="nil"/>
            </w:tcBorders>
            <w:vAlign w:val="top"/>
          </w:tcPr>
          <w:p w14:paraId="344B21D2">
            <w:pPr>
              <w:spacing w:line="317" w:lineRule="auto"/>
              <w:rPr>
                <w:rFonts w:ascii="Arial"/>
                <w:sz w:val="21"/>
              </w:rPr>
            </w:pPr>
          </w:p>
          <w:p w14:paraId="7AF07961">
            <w:pPr>
              <w:pStyle w:val="6"/>
              <w:spacing w:before="65" w:line="228" w:lineRule="auto"/>
              <w:ind w:left="285"/>
            </w:pPr>
            <w:r>
              <w:rPr>
                <w:spacing w:val="8"/>
              </w:rPr>
              <w:t>保护目标名称</w:t>
            </w:r>
          </w:p>
        </w:tc>
        <w:tc>
          <w:tcPr>
            <w:tcW w:w="3545" w:type="dxa"/>
            <w:gridSpan w:val="2"/>
            <w:vAlign w:val="top"/>
          </w:tcPr>
          <w:p w14:paraId="4A39893B">
            <w:pPr>
              <w:pStyle w:val="6"/>
              <w:spacing w:before="139" w:line="228" w:lineRule="auto"/>
              <w:ind w:left="1568"/>
            </w:pPr>
            <w:r>
              <w:rPr>
                <w:spacing w:val="4"/>
              </w:rPr>
              <w:t>坐标</w:t>
            </w:r>
          </w:p>
        </w:tc>
        <w:tc>
          <w:tcPr>
            <w:tcW w:w="2835" w:type="dxa"/>
            <w:gridSpan w:val="2"/>
            <w:vAlign w:val="top"/>
          </w:tcPr>
          <w:p w14:paraId="4652E24C">
            <w:pPr>
              <w:pStyle w:val="6"/>
              <w:spacing w:before="138" w:line="228" w:lineRule="auto"/>
              <w:ind w:left="794"/>
            </w:pPr>
            <w:r>
              <w:rPr>
                <w:spacing w:val="8"/>
              </w:rPr>
              <w:t>相对选矿车间</w:t>
            </w:r>
          </w:p>
        </w:tc>
        <w:tc>
          <w:tcPr>
            <w:tcW w:w="1561" w:type="dxa"/>
            <w:vMerge w:val="restart"/>
            <w:tcBorders>
              <w:bottom w:val="nil"/>
            </w:tcBorders>
            <w:vAlign w:val="top"/>
          </w:tcPr>
          <w:p w14:paraId="284A57C3">
            <w:pPr>
              <w:spacing w:line="316" w:lineRule="auto"/>
              <w:rPr>
                <w:rFonts w:ascii="Arial"/>
                <w:sz w:val="21"/>
              </w:rPr>
            </w:pPr>
          </w:p>
          <w:p w14:paraId="1CC5C803">
            <w:pPr>
              <w:pStyle w:val="6"/>
              <w:spacing w:before="65" w:line="229" w:lineRule="auto"/>
              <w:ind w:left="580"/>
            </w:pPr>
            <w:r>
              <w:rPr>
                <w:spacing w:val="3"/>
              </w:rPr>
              <w:t>备注</w:t>
            </w:r>
          </w:p>
        </w:tc>
        <w:tc>
          <w:tcPr>
            <w:tcW w:w="3009" w:type="dxa"/>
            <w:vMerge w:val="restart"/>
            <w:tcBorders>
              <w:bottom w:val="nil"/>
            </w:tcBorders>
            <w:vAlign w:val="top"/>
          </w:tcPr>
          <w:p w14:paraId="38D710E5">
            <w:pPr>
              <w:spacing w:line="338" w:lineRule="auto"/>
              <w:rPr>
                <w:rFonts w:ascii="Arial"/>
                <w:sz w:val="21"/>
              </w:rPr>
            </w:pPr>
          </w:p>
          <w:p w14:paraId="56A999D2">
            <w:pPr>
              <w:pStyle w:val="6"/>
              <w:spacing w:before="65" w:line="228" w:lineRule="auto"/>
              <w:ind w:left="1091"/>
            </w:pPr>
            <w:r>
              <w:rPr>
                <w:spacing w:val="7"/>
              </w:rPr>
              <w:t>保护级别</w:t>
            </w:r>
          </w:p>
        </w:tc>
      </w:tr>
      <w:tr w14:paraId="07758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tcBorders>
            <w:vAlign w:val="top"/>
          </w:tcPr>
          <w:p w14:paraId="6B10D905">
            <w:pPr>
              <w:rPr>
                <w:rFonts w:ascii="Arial"/>
                <w:sz w:val="21"/>
              </w:rPr>
            </w:pPr>
          </w:p>
        </w:tc>
        <w:tc>
          <w:tcPr>
            <w:tcW w:w="1822" w:type="dxa"/>
            <w:vMerge w:val="continue"/>
            <w:tcBorders>
              <w:top w:val="nil"/>
            </w:tcBorders>
            <w:vAlign w:val="top"/>
          </w:tcPr>
          <w:p w14:paraId="6C471FAF">
            <w:pPr>
              <w:rPr>
                <w:rFonts w:ascii="Arial"/>
                <w:sz w:val="21"/>
              </w:rPr>
            </w:pPr>
          </w:p>
        </w:tc>
        <w:tc>
          <w:tcPr>
            <w:tcW w:w="1842" w:type="dxa"/>
            <w:vAlign w:val="top"/>
          </w:tcPr>
          <w:p w14:paraId="335AE477">
            <w:pPr>
              <w:pStyle w:val="6"/>
              <w:spacing w:before="135" w:line="228" w:lineRule="auto"/>
              <w:ind w:left="717"/>
            </w:pPr>
            <w:r>
              <w:rPr>
                <w:spacing w:val="3"/>
              </w:rPr>
              <w:t>经度</w:t>
            </w:r>
          </w:p>
        </w:tc>
        <w:tc>
          <w:tcPr>
            <w:tcW w:w="1703" w:type="dxa"/>
            <w:vAlign w:val="top"/>
          </w:tcPr>
          <w:p w14:paraId="022206E0">
            <w:pPr>
              <w:pStyle w:val="6"/>
              <w:spacing w:before="135" w:line="228" w:lineRule="auto"/>
              <w:ind w:left="648"/>
            </w:pPr>
            <w:r>
              <w:rPr>
                <w:spacing w:val="4"/>
              </w:rPr>
              <w:t>纬度</w:t>
            </w:r>
          </w:p>
        </w:tc>
        <w:tc>
          <w:tcPr>
            <w:tcW w:w="1415" w:type="dxa"/>
            <w:vAlign w:val="top"/>
          </w:tcPr>
          <w:p w14:paraId="492BFDFC">
            <w:pPr>
              <w:pStyle w:val="6"/>
              <w:spacing w:before="135" w:line="229" w:lineRule="auto"/>
              <w:ind w:left="505"/>
            </w:pPr>
            <w:r>
              <w:rPr>
                <w:spacing w:val="4"/>
              </w:rPr>
              <w:t>方位</w:t>
            </w:r>
          </w:p>
        </w:tc>
        <w:tc>
          <w:tcPr>
            <w:tcW w:w="1420" w:type="dxa"/>
            <w:vAlign w:val="top"/>
          </w:tcPr>
          <w:p w14:paraId="06859D7D">
            <w:pPr>
              <w:pStyle w:val="6"/>
              <w:spacing w:before="135" w:line="228" w:lineRule="auto"/>
              <w:ind w:left="190"/>
            </w:pPr>
            <w:r>
              <w:rPr>
                <w:spacing w:val="8"/>
              </w:rPr>
              <w:t>距离（</w:t>
            </w:r>
            <w:r>
              <w:t>km</w:t>
            </w:r>
            <w:r>
              <w:rPr>
                <w:spacing w:val="8"/>
              </w:rPr>
              <w:t>）</w:t>
            </w:r>
          </w:p>
        </w:tc>
        <w:tc>
          <w:tcPr>
            <w:tcW w:w="1561" w:type="dxa"/>
            <w:vMerge w:val="continue"/>
            <w:tcBorders>
              <w:top w:val="nil"/>
            </w:tcBorders>
            <w:vAlign w:val="top"/>
          </w:tcPr>
          <w:p w14:paraId="046C8573">
            <w:pPr>
              <w:rPr>
                <w:rFonts w:ascii="Arial"/>
                <w:sz w:val="21"/>
              </w:rPr>
            </w:pPr>
          </w:p>
        </w:tc>
        <w:tc>
          <w:tcPr>
            <w:tcW w:w="3009" w:type="dxa"/>
            <w:vMerge w:val="continue"/>
            <w:tcBorders>
              <w:top w:val="nil"/>
            </w:tcBorders>
            <w:vAlign w:val="top"/>
          </w:tcPr>
          <w:p w14:paraId="5EE6047B">
            <w:pPr>
              <w:rPr>
                <w:rFonts w:ascii="Arial"/>
                <w:sz w:val="21"/>
              </w:rPr>
            </w:pPr>
          </w:p>
        </w:tc>
      </w:tr>
      <w:tr w14:paraId="5D10D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restart"/>
            <w:tcBorders>
              <w:bottom w:val="nil"/>
            </w:tcBorders>
            <w:vAlign w:val="top"/>
          </w:tcPr>
          <w:p w14:paraId="2AA16EB1">
            <w:pPr>
              <w:spacing w:line="252" w:lineRule="auto"/>
              <w:rPr>
                <w:rFonts w:ascii="Arial"/>
                <w:sz w:val="21"/>
              </w:rPr>
            </w:pPr>
          </w:p>
          <w:p w14:paraId="052D0F2A">
            <w:pPr>
              <w:spacing w:line="252" w:lineRule="auto"/>
              <w:rPr>
                <w:rFonts w:ascii="Arial"/>
                <w:sz w:val="21"/>
              </w:rPr>
            </w:pPr>
          </w:p>
          <w:p w14:paraId="4E8B5CB5">
            <w:pPr>
              <w:spacing w:line="252" w:lineRule="auto"/>
              <w:rPr>
                <w:rFonts w:ascii="Arial"/>
                <w:sz w:val="21"/>
              </w:rPr>
            </w:pPr>
          </w:p>
          <w:p w14:paraId="2899E87E">
            <w:pPr>
              <w:spacing w:line="252" w:lineRule="auto"/>
              <w:rPr>
                <w:rFonts w:ascii="Arial"/>
                <w:sz w:val="21"/>
              </w:rPr>
            </w:pPr>
          </w:p>
          <w:p w14:paraId="1C49D8A7">
            <w:pPr>
              <w:spacing w:line="253" w:lineRule="auto"/>
              <w:rPr>
                <w:rFonts w:ascii="Arial"/>
                <w:sz w:val="21"/>
              </w:rPr>
            </w:pPr>
          </w:p>
          <w:p w14:paraId="58FE430A">
            <w:pPr>
              <w:spacing w:line="253" w:lineRule="auto"/>
              <w:rPr>
                <w:rFonts w:ascii="Arial"/>
                <w:sz w:val="21"/>
              </w:rPr>
            </w:pPr>
          </w:p>
          <w:p w14:paraId="20C55793">
            <w:pPr>
              <w:spacing w:line="253" w:lineRule="auto"/>
              <w:rPr>
                <w:rFonts w:ascii="Arial"/>
                <w:sz w:val="21"/>
              </w:rPr>
            </w:pPr>
          </w:p>
          <w:p w14:paraId="304FD273">
            <w:pPr>
              <w:pStyle w:val="6"/>
              <w:spacing w:before="65" w:line="228" w:lineRule="auto"/>
              <w:ind w:left="289"/>
            </w:pPr>
            <w:r>
              <w:rPr>
                <w:spacing w:val="7"/>
              </w:rPr>
              <w:t>环境空气</w:t>
            </w:r>
          </w:p>
        </w:tc>
        <w:tc>
          <w:tcPr>
            <w:tcW w:w="1822" w:type="dxa"/>
            <w:vAlign w:val="top"/>
          </w:tcPr>
          <w:p w14:paraId="6EF9A642">
            <w:pPr>
              <w:pStyle w:val="6"/>
              <w:spacing w:before="134" w:line="227" w:lineRule="auto"/>
              <w:ind w:left="389"/>
            </w:pPr>
            <w:r>
              <w:rPr>
                <w:spacing w:val="8"/>
              </w:rPr>
              <w:t>那布吉拉家</w:t>
            </w:r>
          </w:p>
        </w:tc>
        <w:tc>
          <w:tcPr>
            <w:tcW w:w="1842" w:type="dxa"/>
            <w:vAlign w:val="top"/>
          </w:tcPr>
          <w:p w14:paraId="72B1C6F4">
            <w:pPr>
              <w:spacing w:before="1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17.90″</w:t>
            </w:r>
          </w:p>
        </w:tc>
        <w:tc>
          <w:tcPr>
            <w:tcW w:w="1703" w:type="dxa"/>
            <w:vAlign w:val="top"/>
          </w:tcPr>
          <w:p w14:paraId="0014741C">
            <w:pPr>
              <w:spacing w:before="17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10.67″</w:t>
            </w:r>
          </w:p>
        </w:tc>
        <w:tc>
          <w:tcPr>
            <w:tcW w:w="1415" w:type="dxa"/>
            <w:vAlign w:val="top"/>
          </w:tcPr>
          <w:p w14:paraId="34DC3AAF">
            <w:pPr>
              <w:pStyle w:val="6"/>
              <w:spacing w:before="167" w:line="189" w:lineRule="auto"/>
              <w:ind w:left="608"/>
            </w:pPr>
            <w:r>
              <w:t>SW</w:t>
            </w:r>
          </w:p>
        </w:tc>
        <w:tc>
          <w:tcPr>
            <w:tcW w:w="1420" w:type="dxa"/>
            <w:vAlign w:val="top"/>
          </w:tcPr>
          <w:p w14:paraId="42B223B6">
            <w:pPr>
              <w:pStyle w:val="6"/>
              <w:spacing w:before="134" w:line="268" w:lineRule="exact"/>
              <w:ind w:left="509"/>
            </w:pPr>
            <w:r>
              <w:rPr>
                <w:spacing w:val="2"/>
                <w:position w:val="1"/>
              </w:rPr>
              <w:t>0.15</w:t>
            </w:r>
          </w:p>
        </w:tc>
        <w:tc>
          <w:tcPr>
            <w:tcW w:w="1561" w:type="dxa"/>
            <w:vAlign w:val="top"/>
          </w:tcPr>
          <w:p w14:paraId="42B5F49A">
            <w:pPr>
              <w:pStyle w:val="6"/>
              <w:spacing w:before="135"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restart"/>
            <w:tcBorders>
              <w:bottom w:val="nil"/>
            </w:tcBorders>
            <w:vAlign w:val="top"/>
          </w:tcPr>
          <w:p w14:paraId="5CC794C5">
            <w:pPr>
              <w:spacing w:line="255" w:lineRule="auto"/>
              <w:rPr>
                <w:rFonts w:ascii="Arial"/>
                <w:sz w:val="21"/>
              </w:rPr>
            </w:pPr>
          </w:p>
          <w:p w14:paraId="4E42A8D2">
            <w:pPr>
              <w:spacing w:line="255" w:lineRule="auto"/>
              <w:rPr>
                <w:rFonts w:ascii="Arial"/>
                <w:sz w:val="21"/>
              </w:rPr>
            </w:pPr>
          </w:p>
          <w:p w14:paraId="1B0BFECC">
            <w:pPr>
              <w:spacing w:line="255" w:lineRule="auto"/>
              <w:rPr>
                <w:rFonts w:ascii="Arial"/>
                <w:sz w:val="21"/>
              </w:rPr>
            </w:pPr>
          </w:p>
          <w:p w14:paraId="17A88858">
            <w:pPr>
              <w:spacing w:line="255" w:lineRule="auto"/>
              <w:rPr>
                <w:rFonts w:ascii="Arial"/>
                <w:sz w:val="21"/>
              </w:rPr>
            </w:pPr>
          </w:p>
          <w:p w14:paraId="256F2F26">
            <w:pPr>
              <w:spacing w:line="255" w:lineRule="auto"/>
              <w:rPr>
                <w:rFonts w:ascii="Arial"/>
                <w:sz w:val="21"/>
              </w:rPr>
            </w:pPr>
          </w:p>
          <w:p w14:paraId="1D873442">
            <w:pPr>
              <w:spacing w:line="256" w:lineRule="auto"/>
              <w:rPr>
                <w:rFonts w:ascii="Arial"/>
                <w:sz w:val="21"/>
              </w:rPr>
            </w:pPr>
          </w:p>
          <w:p w14:paraId="29484B93">
            <w:pPr>
              <w:pStyle w:val="6"/>
              <w:spacing w:before="65" w:line="228" w:lineRule="auto"/>
              <w:ind w:left="465"/>
            </w:pPr>
            <w:r>
              <w:rPr>
                <w:spacing w:val="7"/>
              </w:rPr>
              <w:t>《环境空气质量标准》</w:t>
            </w:r>
          </w:p>
          <w:p w14:paraId="3C35080D">
            <w:pPr>
              <w:pStyle w:val="6"/>
              <w:spacing w:before="230" w:line="228" w:lineRule="auto"/>
              <w:ind w:left="261"/>
            </w:pPr>
            <w:r>
              <w:rPr>
                <w:spacing w:val="6"/>
              </w:rPr>
              <w:t>（</w:t>
            </w:r>
            <w:r>
              <w:t>GB</w:t>
            </w:r>
            <w:r>
              <w:rPr>
                <w:spacing w:val="6"/>
              </w:rPr>
              <w:t>3095—2012）二级标准</w:t>
            </w:r>
          </w:p>
        </w:tc>
      </w:tr>
      <w:tr w14:paraId="32C0E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0CC84CB5">
            <w:pPr>
              <w:rPr>
                <w:rFonts w:ascii="Arial"/>
                <w:sz w:val="21"/>
              </w:rPr>
            </w:pPr>
          </w:p>
        </w:tc>
        <w:tc>
          <w:tcPr>
            <w:tcW w:w="1822" w:type="dxa"/>
            <w:vAlign w:val="top"/>
          </w:tcPr>
          <w:p w14:paraId="7427FF50">
            <w:pPr>
              <w:pStyle w:val="6"/>
              <w:spacing w:before="136" w:line="227" w:lineRule="auto"/>
              <w:ind w:left="389"/>
            </w:pPr>
            <w:r>
              <w:rPr>
                <w:spacing w:val="8"/>
              </w:rPr>
              <w:t>伊如勒图家</w:t>
            </w:r>
          </w:p>
        </w:tc>
        <w:tc>
          <w:tcPr>
            <w:tcW w:w="1842" w:type="dxa"/>
            <w:vAlign w:val="top"/>
          </w:tcPr>
          <w:p w14:paraId="3054F7C9">
            <w:pPr>
              <w:spacing w:before="169"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118°54′53.49″</w:t>
            </w:r>
          </w:p>
        </w:tc>
        <w:tc>
          <w:tcPr>
            <w:tcW w:w="1703" w:type="dxa"/>
            <w:vAlign w:val="top"/>
          </w:tcPr>
          <w:p w14:paraId="2688381D">
            <w:pPr>
              <w:spacing w:before="169"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16′53.83″</w:t>
            </w:r>
          </w:p>
        </w:tc>
        <w:tc>
          <w:tcPr>
            <w:tcW w:w="1415" w:type="dxa"/>
            <w:vAlign w:val="top"/>
          </w:tcPr>
          <w:p w14:paraId="06F012ED">
            <w:pPr>
              <w:pStyle w:val="6"/>
              <w:spacing w:before="171" w:line="187" w:lineRule="auto"/>
              <w:ind w:left="601"/>
            </w:pPr>
            <w:r>
              <w:rPr>
                <w:spacing w:val="4"/>
              </w:rPr>
              <w:t>NW</w:t>
            </w:r>
          </w:p>
        </w:tc>
        <w:tc>
          <w:tcPr>
            <w:tcW w:w="1420" w:type="dxa"/>
            <w:vAlign w:val="top"/>
          </w:tcPr>
          <w:p w14:paraId="1FBBA38C">
            <w:pPr>
              <w:pStyle w:val="6"/>
              <w:spacing w:before="136" w:line="267" w:lineRule="exact"/>
              <w:ind w:left="562"/>
            </w:pPr>
            <w:r>
              <w:rPr>
                <w:spacing w:val="1"/>
                <w:position w:val="1"/>
              </w:rPr>
              <w:t>3.5</w:t>
            </w:r>
          </w:p>
        </w:tc>
        <w:tc>
          <w:tcPr>
            <w:tcW w:w="1561" w:type="dxa"/>
            <w:vAlign w:val="top"/>
          </w:tcPr>
          <w:p w14:paraId="3797373F">
            <w:pPr>
              <w:pStyle w:val="6"/>
              <w:spacing w:before="136" w:line="228" w:lineRule="auto"/>
              <w:ind w:left="409"/>
            </w:pPr>
            <w:r>
              <w:rPr>
                <w:spacing w:val="-7"/>
              </w:rPr>
              <w:t>1</w:t>
            </w:r>
            <w:r>
              <w:rPr>
                <w:spacing w:val="-36"/>
              </w:rPr>
              <w:t xml:space="preserve"> </w:t>
            </w:r>
            <w:r>
              <w:rPr>
                <w:spacing w:val="-7"/>
              </w:rPr>
              <w:t>户</w:t>
            </w:r>
            <w:r>
              <w:rPr>
                <w:spacing w:val="-37"/>
              </w:rPr>
              <w:t xml:space="preserve"> </w:t>
            </w:r>
            <w:r>
              <w:rPr>
                <w:spacing w:val="-7"/>
              </w:rPr>
              <w:t>2</w:t>
            </w:r>
            <w:r>
              <w:rPr>
                <w:spacing w:val="-36"/>
              </w:rPr>
              <w:t xml:space="preserve"> </w:t>
            </w:r>
            <w:r>
              <w:rPr>
                <w:spacing w:val="-7"/>
              </w:rPr>
              <w:t>人</w:t>
            </w:r>
          </w:p>
        </w:tc>
        <w:tc>
          <w:tcPr>
            <w:tcW w:w="3009" w:type="dxa"/>
            <w:vMerge w:val="continue"/>
            <w:tcBorders>
              <w:top w:val="nil"/>
              <w:bottom w:val="nil"/>
            </w:tcBorders>
            <w:vAlign w:val="top"/>
          </w:tcPr>
          <w:p w14:paraId="64C19F29">
            <w:pPr>
              <w:rPr>
                <w:rFonts w:ascii="Arial"/>
                <w:sz w:val="21"/>
              </w:rPr>
            </w:pPr>
          </w:p>
        </w:tc>
      </w:tr>
      <w:tr w14:paraId="060B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74B97B6C">
            <w:pPr>
              <w:rPr>
                <w:rFonts w:ascii="Arial"/>
                <w:sz w:val="21"/>
              </w:rPr>
            </w:pPr>
          </w:p>
        </w:tc>
        <w:tc>
          <w:tcPr>
            <w:tcW w:w="1822" w:type="dxa"/>
            <w:vAlign w:val="top"/>
          </w:tcPr>
          <w:p w14:paraId="55D944FE">
            <w:pPr>
              <w:pStyle w:val="6"/>
              <w:spacing w:before="135" w:line="227" w:lineRule="auto"/>
              <w:ind w:left="389"/>
            </w:pPr>
            <w:r>
              <w:rPr>
                <w:spacing w:val="8"/>
              </w:rPr>
              <w:t>布和朝鲁家</w:t>
            </w:r>
          </w:p>
        </w:tc>
        <w:tc>
          <w:tcPr>
            <w:tcW w:w="1842" w:type="dxa"/>
            <w:vAlign w:val="top"/>
          </w:tcPr>
          <w:p w14:paraId="2E155702">
            <w:pPr>
              <w:spacing w:before="171"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118°54′44.52″</w:t>
            </w:r>
          </w:p>
        </w:tc>
        <w:tc>
          <w:tcPr>
            <w:tcW w:w="1703" w:type="dxa"/>
            <w:vAlign w:val="top"/>
          </w:tcPr>
          <w:p w14:paraId="7DCF3CF6">
            <w:pPr>
              <w:spacing w:before="171"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16′39.48″</w:t>
            </w:r>
          </w:p>
        </w:tc>
        <w:tc>
          <w:tcPr>
            <w:tcW w:w="1415" w:type="dxa"/>
            <w:vAlign w:val="top"/>
          </w:tcPr>
          <w:p w14:paraId="5BF68C25">
            <w:pPr>
              <w:pStyle w:val="6"/>
              <w:spacing w:before="170" w:line="187" w:lineRule="auto"/>
              <w:ind w:left="601"/>
            </w:pPr>
            <w:r>
              <w:rPr>
                <w:spacing w:val="4"/>
              </w:rPr>
              <w:t>NW</w:t>
            </w:r>
          </w:p>
        </w:tc>
        <w:tc>
          <w:tcPr>
            <w:tcW w:w="1420" w:type="dxa"/>
            <w:vAlign w:val="top"/>
          </w:tcPr>
          <w:p w14:paraId="21F5051B">
            <w:pPr>
              <w:pStyle w:val="6"/>
              <w:spacing w:before="135" w:line="268" w:lineRule="exact"/>
              <w:ind w:left="562"/>
            </w:pPr>
            <w:r>
              <w:rPr>
                <w:spacing w:val="1"/>
                <w:position w:val="1"/>
              </w:rPr>
              <w:t>3.5</w:t>
            </w:r>
          </w:p>
        </w:tc>
        <w:tc>
          <w:tcPr>
            <w:tcW w:w="1561" w:type="dxa"/>
            <w:vAlign w:val="top"/>
          </w:tcPr>
          <w:p w14:paraId="597C332D">
            <w:pPr>
              <w:pStyle w:val="6"/>
              <w:spacing w:before="135"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bottom w:val="nil"/>
            </w:tcBorders>
            <w:vAlign w:val="top"/>
          </w:tcPr>
          <w:p w14:paraId="7CE0ECA2">
            <w:pPr>
              <w:rPr>
                <w:rFonts w:ascii="Arial"/>
                <w:sz w:val="21"/>
              </w:rPr>
            </w:pPr>
          </w:p>
        </w:tc>
      </w:tr>
      <w:tr w14:paraId="1AD46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194D148A">
            <w:pPr>
              <w:rPr>
                <w:rFonts w:ascii="Arial"/>
                <w:sz w:val="21"/>
              </w:rPr>
            </w:pPr>
          </w:p>
        </w:tc>
        <w:tc>
          <w:tcPr>
            <w:tcW w:w="1822" w:type="dxa"/>
            <w:vAlign w:val="top"/>
          </w:tcPr>
          <w:p w14:paraId="73BC1EA6">
            <w:pPr>
              <w:pStyle w:val="6"/>
              <w:spacing w:before="136" w:line="228" w:lineRule="auto"/>
              <w:ind w:left="599"/>
            </w:pPr>
            <w:r>
              <w:rPr>
                <w:spacing w:val="6"/>
              </w:rPr>
              <w:t>敖毛家</w:t>
            </w:r>
          </w:p>
        </w:tc>
        <w:tc>
          <w:tcPr>
            <w:tcW w:w="1842" w:type="dxa"/>
            <w:vAlign w:val="top"/>
          </w:tcPr>
          <w:p w14:paraId="776E1851">
            <w:pPr>
              <w:spacing w:before="1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118°56′24.02″</w:t>
            </w:r>
          </w:p>
        </w:tc>
        <w:tc>
          <w:tcPr>
            <w:tcW w:w="1703" w:type="dxa"/>
            <w:vAlign w:val="top"/>
          </w:tcPr>
          <w:p w14:paraId="1F3714E1">
            <w:pPr>
              <w:spacing w:before="17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15′27.50″</w:t>
            </w:r>
          </w:p>
        </w:tc>
        <w:tc>
          <w:tcPr>
            <w:tcW w:w="1415" w:type="dxa"/>
            <w:vAlign w:val="top"/>
          </w:tcPr>
          <w:p w14:paraId="73984F54">
            <w:pPr>
              <w:pStyle w:val="6"/>
              <w:spacing w:before="169" w:line="189" w:lineRule="auto"/>
              <w:ind w:left="608"/>
            </w:pPr>
            <w:r>
              <w:t>SW</w:t>
            </w:r>
          </w:p>
        </w:tc>
        <w:tc>
          <w:tcPr>
            <w:tcW w:w="1420" w:type="dxa"/>
            <w:vAlign w:val="top"/>
          </w:tcPr>
          <w:p w14:paraId="26F118C9">
            <w:pPr>
              <w:pStyle w:val="6"/>
              <w:spacing w:before="137" w:line="267" w:lineRule="exact"/>
              <w:ind w:left="560"/>
            </w:pPr>
            <w:r>
              <w:rPr>
                <w:spacing w:val="1"/>
                <w:position w:val="1"/>
              </w:rPr>
              <w:t>2.1</w:t>
            </w:r>
          </w:p>
        </w:tc>
        <w:tc>
          <w:tcPr>
            <w:tcW w:w="1561" w:type="dxa"/>
            <w:vAlign w:val="top"/>
          </w:tcPr>
          <w:p w14:paraId="1D79B21D">
            <w:pPr>
              <w:pStyle w:val="6"/>
              <w:spacing w:before="137"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bottom w:val="nil"/>
            </w:tcBorders>
            <w:vAlign w:val="top"/>
          </w:tcPr>
          <w:p w14:paraId="39525C22">
            <w:pPr>
              <w:rPr>
                <w:rFonts w:ascii="Arial"/>
                <w:sz w:val="21"/>
              </w:rPr>
            </w:pPr>
          </w:p>
        </w:tc>
      </w:tr>
      <w:tr w14:paraId="1F59F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07" w:type="dxa"/>
            <w:vMerge w:val="continue"/>
            <w:tcBorders>
              <w:top w:val="nil"/>
              <w:bottom w:val="nil"/>
            </w:tcBorders>
            <w:vAlign w:val="top"/>
          </w:tcPr>
          <w:p w14:paraId="39252009">
            <w:pPr>
              <w:rPr>
                <w:rFonts w:ascii="Arial"/>
                <w:sz w:val="21"/>
              </w:rPr>
            </w:pPr>
          </w:p>
        </w:tc>
        <w:tc>
          <w:tcPr>
            <w:tcW w:w="1822" w:type="dxa"/>
            <w:vAlign w:val="top"/>
          </w:tcPr>
          <w:p w14:paraId="5290290E">
            <w:pPr>
              <w:pStyle w:val="6"/>
              <w:spacing w:before="135" w:line="228" w:lineRule="auto"/>
              <w:ind w:left="498"/>
            </w:pPr>
            <w:r>
              <w:rPr>
                <w:spacing w:val="6"/>
              </w:rPr>
              <w:t>莫奇德家</w:t>
            </w:r>
          </w:p>
        </w:tc>
        <w:tc>
          <w:tcPr>
            <w:tcW w:w="1842" w:type="dxa"/>
            <w:vAlign w:val="top"/>
          </w:tcPr>
          <w:p w14:paraId="1BAE8E42">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118°56′39.93″</w:t>
            </w:r>
          </w:p>
        </w:tc>
        <w:tc>
          <w:tcPr>
            <w:tcW w:w="1703" w:type="dxa"/>
            <w:vAlign w:val="top"/>
          </w:tcPr>
          <w:p w14:paraId="7AF954F7">
            <w:pPr>
              <w:spacing w:before="17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18.91″</w:t>
            </w:r>
          </w:p>
        </w:tc>
        <w:tc>
          <w:tcPr>
            <w:tcW w:w="1415" w:type="dxa"/>
            <w:vAlign w:val="top"/>
          </w:tcPr>
          <w:p w14:paraId="748DE2D9">
            <w:pPr>
              <w:pStyle w:val="6"/>
              <w:spacing w:before="169" w:line="189" w:lineRule="auto"/>
              <w:ind w:left="608"/>
            </w:pPr>
            <w:r>
              <w:t>SW</w:t>
            </w:r>
          </w:p>
        </w:tc>
        <w:tc>
          <w:tcPr>
            <w:tcW w:w="1420" w:type="dxa"/>
            <w:vAlign w:val="top"/>
          </w:tcPr>
          <w:p w14:paraId="7D2F8F5B">
            <w:pPr>
              <w:pStyle w:val="6"/>
              <w:spacing w:before="136" w:line="267" w:lineRule="exact"/>
              <w:ind w:left="560"/>
            </w:pPr>
            <w:r>
              <w:rPr>
                <w:spacing w:val="1"/>
                <w:position w:val="1"/>
              </w:rPr>
              <w:t>2.2</w:t>
            </w:r>
          </w:p>
        </w:tc>
        <w:tc>
          <w:tcPr>
            <w:tcW w:w="1561" w:type="dxa"/>
            <w:vAlign w:val="top"/>
          </w:tcPr>
          <w:p w14:paraId="22954E57">
            <w:pPr>
              <w:pStyle w:val="6"/>
              <w:spacing w:before="136" w:line="228" w:lineRule="auto"/>
              <w:ind w:left="409"/>
            </w:pPr>
            <w:r>
              <w:rPr>
                <w:spacing w:val="-7"/>
              </w:rPr>
              <w:t>1</w:t>
            </w:r>
            <w:r>
              <w:rPr>
                <w:spacing w:val="-36"/>
              </w:rPr>
              <w:t xml:space="preserve"> </w:t>
            </w:r>
            <w:r>
              <w:rPr>
                <w:spacing w:val="-7"/>
              </w:rPr>
              <w:t>户</w:t>
            </w:r>
            <w:r>
              <w:rPr>
                <w:spacing w:val="-37"/>
              </w:rPr>
              <w:t xml:space="preserve"> </w:t>
            </w:r>
            <w:r>
              <w:rPr>
                <w:spacing w:val="-7"/>
              </w:rPr>
              <w:t>2</w:t>
            </w:r>
            <w:r>
              <w:rPr>
                <w:spacing w:val="-36"/>
              </w:rPr>
              <w:t xml:space="preserve"> </w:t>
            </w:r>
            <w:r>
              <w:rPr>
                <w:spacing w:val="-7"/>
              </w:rPr>
              <w:t>人</w:t>
            </w:r>
          </w:p>
        </w:tc>
        <w:tc>
          <w:tcPr>
            <w:tcW w:w="3009" w:type="dxa"/>
            <w:vMerge w:val="continue"/>
            <w:tcBorders>
              <w:top w:val="nil"/>
              <w:bottom w:val="nil"/>
            </w:tcBorders>
            <w:vAlign w:val="top"/>
          </w:tcPr>
          <w:p w14:paraId="307E3C99">
            <w:pPr>
              <w:rPr>
                <w:rFonts w:ascii="Arial"/>
                <w:sz w:val="21"/>
              </w:rPr>
            </w:pPr>
          </w:p>
        </w:tc>
      </w:tr>
      <w:tr w14:paraId="7303A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2C6D4AF5">
            <w:pPr>
              <w:rPr>
                <w:rFonts w:ascii="Arial"/>
                <w:sz w:val="21"/>
              </w:rPr>
            </w:pPr>
          </w:p>
        </w:tc>
        <w:tc>
          <w:tcPr>
            <w:tcW w:w="1822" w:type="dxa"/>
            <w:vAlign w:val="top"/>
          </w:tcPr>
          <w:p w14:paraId="6A8C9912">
            <w:pPr>
              <w:pStyle w:val="6"/>
              <w:spacing w:before="136" w:line="228" w:lineRule="auto"/>
              <w:ind w:left="397"/>
            </w:pPr>
            <w:r>
              <w:rPr>
                <w:spacing w:val="6"/>
              </w:rPr>
              <w:t>东南牧民点</w:t>
            </w:r>
          </w:p>
        </w:tc>
        <w:tc>
          <w:tcPr>
            <w:tcW w:w="1842" w:type="dxa"/>
            <w:vAlign w:val="top"/>
          </w:tcPr>
          <w:p w14:paraId="3010EF65">
            <w:pPr>
              <w:spacing w:before="17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118°59′2.07″</w:t>
            </w:r>
          </w:p>
        </w:tc>
        <w:tc>
          <w:tcPr>
            <w:tcW w:w="1703" w:type="dxa"/>
            <w:vAlign w:val="top"/>
          </w:tcPr>
          <w:p w14:paraId="21540443">
            <w:pPr>
              <w:spacing w:before="17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15′57.95″</w:t>
            </w:r>
          </w:p>
        </w:tc>
        <w:tc>
          <w:tcPr>
            <w:tcW w:w="1415" w:type="dxa"/>
            <w:vAlign w:val="top"/>
          </w:tcPr>
          <w:p w14:paraId="27337001">
            <w:pPr>
              <w:pStyle w:val="6"/>
              <w:spacing w:before="169" w:line="189" w:lineRule="auto"/>
              <w:ind w:left="608"/>
            </w:pPr>
            <w:r>
              <w:t>SE</w:t>
            </w:r>
          </w:p>
        </w:tc>
        <w:tc>
          <w:tcPr>
            <w:tcW w:w="1420" w:type="dxa"/>
            <w:vAlign w:val="top"/>
          </w:tcPr>
          <w:p w14:paraId="4C6E108E">
            <w:pPr>
              <w:pStyle w:val="6"/>
              <w:spacing w:before="136" w:line="268" w:lineRule="exact"/>
              <w:ind w:left="560"/>
            </w:pPr>
            <w:r>
              <w:rPr>
                <w:spacing w:val="1"/>
                <w:position w:val="1"/>
              </w:rPr>
              <w:t>2.5</w:t>
            </w:r>
          </w:p>
        </w:tc>
        <w:tc>
          <w:tcPr>
            <w:tcW w:w="1561" w:type="dxa"/>
            <w:vAlign w:val="top"/>
          </w:tcPr>
          <w:p w14:paraId="5744EC53">
            <w:pPr>
              <w:pStyle w:val="6"/>
              <w:spacing w:before="137"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bottom w:val="nil"/>
            </w:tcBorders>
            <w:vAlign w:val="top"/>
          </w:tcPr>
          <w:p w14:paraId="669B57DA">
            <w:pPr>
              <w:rPr>
                <w:rFonts w:ascii="Arial"/>
                <w:sz w:val="21"/>
              </w:rPr>
            </w:pPr>
          </w:p>
        </w:tc>
      </w:tr>
      <w:tr w14:paraId="240C5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31DB6F31">
            <w:pPr>
              <w:rPr>
                <w:rFonts w:ascii="Arial"/>
                <w:sz w:val="21"/>
              </w:rPr>
            </w:pPr>
          </w:p>
        </w:tc>
        <w:tc>
          <w:tcPr>
            <w:tcW w:w="1822" w:type="dxa"/>
            <w:vAlign w:val="top"/>
          </w:tcPr>
          <w:p w14:paraId="75629586">
            <w:pPr>
              <w:pStyle w:val="6"/>
              <w:spacing w:before="138" w:line="228" w:lineRule="auto"/>
              <w:ind w:left="415"/>
            </w:pPr>
            <w:r>
              <w:rPr>
                <w:spacing w:val="4"/>
              </w:rPr>
              <w:t>4</w:t>
            </w:r>
            <w:r>
              <w:rPr>
                <w:spacing w:val="-35"/>
              </w:rPr>
              <w:t xml:space="preserve"> </w:t>
            </w:r>
            <w:r>
              <w:rPr>
                <w:spacing w:val="4"/>
              </w:rPr>
              <w:t>号牧民点</w:t>
            </w:r>
          </w:p>
        </w:tc>
        <w:tc>
          <w:tcPr>
            <w:tcW w:w="1842" w:type="dxa"/>
            <w:vAlign w:val="top"/>
          </w:tcPr>
          <w:p w14:paraId="25FF8F3A">
            <w:pPr>
              <w:spacing w:before="17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118°55′3.37″</w:t>
            </w:r>
          </w:p>
        </w:tc>
        <w:tc>
          <w:tcPr>
            <w:tcW w:w="1703" w:type="dxa"/>
            <w:vAlign w:val="top"/>
          </w:tcPr>
          <w:p w14:paraId="0AB1CE98">
            <w:pPr>
              <w:spacing w:before="17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17′5.57″</w:t>
            </w:r>
          </w:p>
        </w:tc>
        <w:tc>
          <w:tcPr>
            <w:tcW w:w="1415" w:type="dxa"/>
            <w:vAlign w:val="top"/>
          </w:tcPr>
          <w:p w14:paraId="07B9077B">
            <w:pPr>
              <w:pStyle w:val="6"/>
              <w:spacing w:before="173" w:line="187" w:lineRule="auto"/>
              <w:ind w:left="601"/>
            </w:pPr>
            <w:r>
              <w:rPr>
                <w:spacing w:val="4"/>
              </w:rPr>
              <w:t>NW</w:t>
            </w:r>
          </w:p>
        </w:tc>
        <w:tc>
          <w:tcPr>
            <w:tcW w:w="1420" w:type="dxa"/>
            <w:vAlign w:val="top"/>
          </w:tcPr>
          <w:p w14:paraId="5AD8FE68">
            <w:pPr>
              <w:pStyle w:val="6"/>
              <w:spacing w:before="138" w:line="268" w:lineRule="exact"/>
              <w:ind w:left="560"/>
            </w:pPr>
            <w:r>
              <w:rPr>
                <w:spacing w:val="1"/>
                <w:position w:val="1"/>
              </w:rPr>
              <w:t>2.7</w:t>
            </w:r>
          </w:p>
        </w:tc>
        <w:tc>
          <w:tcPr>
            <w:tcW w:w="1561" w:type="dxa"/>
            <w:vAlign w:val="top"/>
          </w:tcPr>
          <w:p w14:paraId="65DB07DC">
            <w:pPr>
              <w:pStyle w:val="6"/>
              <w:spacing w:before="138"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bottom w:val="nil"/>
            </w:tcBorders>
            <w:vAlign w:val="top"/>
          </w:tcPr>
          <w:p w14:paraId="4B03650D">
            <w:pPr>
              <w:rPr>
                <w:rFonts w:ascii="Arial"/>
                <w:sz w:val="21"/>
              </w:rPr>
            </w:pPr>
          </w:p>
        </w:tc>
      </w:tr>
      <w:tr w14:paraId="61C72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tcBorders>
            <w:vAlign w:val="top"/>
          </w:tcPr>
          <w:p w14:paraId="6AD6323B">
            <w:pPr>
              <w:rPr>
                <w:rFonts w:ascii="Arial"/>
                <w:sz w:val="21"/>
              </w:rPr>
            </w:pPr>
          </w:p>
        </w:tc>
        <w:tc>
          <w:tcPr>
            <w:tcW w:w="1822" w:type="dxa"/>
            <w:vAlign w:val="top"/>
          </w:tcPr>
          <w:p w14:paraId="06A66FA7">
            <w:pPr>
              <w:pStyle w:val="6"/>
              <w:spacing w:before="137" w:line="228" w:lineRule="auto"/>
              <w:ind w:left="421"/>
            </w:pPr>
            <w:r>
              <w:rPr>
                <w:spacing w:val="3"/>
              </w:rPr>
              <w:t>7</w:t>
            </w:r>
            <w:r>
              <w:rPr>
                <w:spacing w:val="-36"/>
              </w:rPr>
              <w:t xml:space="preserve"> </w:t>
            </w:r>
            <w:r>
              <w:rPr>
                <w:spacing w:val="3"/>
              </w:rPr>
              <w:t>号牧民点</w:t>
            </w:r>
          </w:p>
        </w:tc>
        <w:tc>
          <w:tcPr>
            <w:tcW w:w="1842" w:type="dxa"/>
            <w:vAlign w:val="top"/>
          </w:tcPr>
          <w:p w14:paraId="169FE7AA">
            <w:pPr>
              <w:spacing w:before="171"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118°55′32.</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11″</w:t>
            </w:r>
          </w:p>
        </w:tc>
        <w:tc>
          <w:tcPr>
            <w:tcW w:w="1703" w:type="dxa"/>
            <w:vAlign w:val="top"/>
          </w:tcPr>
          <w:p w14:paraId="4C09C75F">
            <w:pPr>
              <w:spacing w:before="171"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11.23″</w:t>
            </w:r>
          </w:p>
        </w:tc>
        <w:tc>
          <w:tcPr>
            <w:tcW w:w="1415" w:type="dxa"/>
            <w:vAlign w:val="top"/>
          </w:tcPr>
          <w:p w14:paraId="3A4675F6">
            <w:pPr>
              <w:pStyle w:val="6"/>
              <w:spacing w:before="172" w:line="187" w:lineRule="auto"/>
              <w:ind w:left="601"/>
            </w:pPr>
            <w:r>
              <w:rPr>
                <w:spacing w:val="4"/>
              </w:rPr>
              <w:t>NW</w:t>
            </w:r>
          </w:p>
        </w:tc>
        <w:tc>
          <w:tcPr>
            <w:tcW w:w="1420" w:type="dxa"/>
            <w:vAlign w:val="top"/>
          </w:tcPr>
          <w:p w14:paraId="5442BBB6">
            <w:pPr>
              <w:pStyle w:val="6"/>
              <w:spacing w:before="137" w:line="268" w:lineRule="exact"/>
              <w:ind w:left="560"/>
            </w:pPr>
            <w:r>
              <w:rPr>
                <w:spacing w:val="1"/>
                <w:position w:val="1"/>
              </w:rPr>
              <w:t>2.9</w:t>
            </w:r>
          </w:p>
        </w:tc>
        <w:tc>
          <w:tcPr>
            <w:tcW w:w="1561" w:type="dxa"/>
            <w:vAlign w:val="top"/>
          </w:tcPr>
          <w:p w14:paraId="32A24EF1">
            <w:pPr>
              <w:pStyle w:val="6"/>
              <w:spacing w:before="138"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Merge w:val="continue"/>
            <w:tcBorders>
              <w:top w:val="nil"/>
            </w:tcBorders>
            <w:vAlign w:val="top"/>
          </w:tcPr>
          <w:p w14:paraId="2428A073">
            <w:pPr>
              <w:rPr>
                <w:rFonts w:ascii="Arial"/>
                <w:sz w:val="21"/>
              </w:rPr>
            </w:pPr>
          </w:p>
        </w:tc>
      </w:tr>
      <w:tr w14:paraId="39589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07" w:type="dxa"/>
            <w:vMerge w:val="restart"/>
            <w:tcBorders>
              <w:bottom w:val="nil"/>
            </w:tcBorders>
            <w:vAlign w:val="top"/>
          </w:tcPr>
          <w:p w14:paraId="37504F83">
            <w:pPr>
              <w:spacing w:line="257" w:lineRule="auto"/>
              <w:rPr>
                <w:rFonts w:ascii="Arial"/>
                <w:sz w:val="21"/>
              </w:rPr>
            </w:pPr>
          </w:p>
          <w:p w14:paraId="158EE335">
            <w:pPr>
              <w:spacing w:line="257" w:lineRule="auto"/>
              <w:rPr>
                <w:rFonts w:ascii="Arial"/>
                <w:sz w:val="21"/>
              </w:rPr>
            </w:pPr>
          </w:p>
          <w:p w14:paraId="53562480">
            <w:pPr>
              <w:spacing w:line="257" w:lineRule="auto"/>
              <w:rPr>
                <w:rFonts w:ascii="Arial"/>
                <w:sz w:val="21"/>
              </w:rPr>
            </w:pPr>
          </w:p>
          <w:p w14:paraId="6C6AF2E8">
            <w:pPr>
              <w:spacing w:line="257" w:lineRule="auto"/>
              <w:rPr>
                <w:rFonts w:ascii="Arial"/>
                <w:sz w:val="21"/>
              </w:rPr>
            </w:pPr>
          </w:p>
          <w:p w14:paraId="6D9FF4E4">
            <w:pPr>
              <w:spacing w:line="257" w:lineRule="auto"/>
              <w:rPr>
                <w:rFonts w:ascii="Arial"/>
                <w:sz w:val="21"/>
              </w:rPr>
            </w:pPr>
          </w:p>
          <w:p w14:paraId="750A1FED">
            <w:pPr>
              <w:pStyle w:val="6"/>
              <w:spacing w:before="65" w:line="228" w:lineRule="auto"/>
              <w:ind w:left="392"/>
            </w:pPr>
            <w:r>
              <w:rPr>
                <w:spacing w:val="6"/>
              </w:rPr>
              <w:t>地下水</w:t>
            </w:r>
          </w:p>
        </w:tc>
        <w:tc>
          <w:tcPr>
            <w:tcW w:w="1822" w:type="dxa"/>
            <w:vAlign w:val="top"/>
          </w:tcPr>
          <w:p w14:paraId="76FA8A71">
            <w:pPr>
              <w:pStyle w:val="6"/>
              <w:spacing w:before="139" w:line="227" w:lineRule="auto"/>
              <w:ind w:left="76"/>
            </w:pPr>
            <w:r>
              <w:rPr>
                <w:spacing w:val="6"/>
              </w:rPr>
              <w:t>S3（伊如勒图家）</w:t>
            </w:r>
          </w:p>
        </w:tc>
        <w:tc>
          <w:tcPr>
            <w:tcW w:w="1842" w:type="dxa"/>
            <w:vAlign w:val="top"/>
          </w:tcPr>
          <w:p w14:paraId="76F9ED1B">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118°54′53.53″</w:t>
            </w:r>
          </w:p>
        </w:tc>
        <w:tc>
          <w:tcPr>
            <w:tcW w:w="1703" w:type="dxa"/>
            <w:vAlign w:val="top"/>
          </w:tcPr>
          <w:p w14:paraId="2D575EDE">
            <w:pPr>
              <w:spacing w:before="17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16′51.02″</w:t>
            </w:r>
          </w:p>
        </w:tc>
        <w:tc>
          <w:tcPr>
            <w:tcW w:w="1415" w:type="dxa"/>
            <w:vAlign w:val="top"/>
          </w:tcPr>
          <w:p w14:paraId="79A32304">
            <w:pPr>
              <w:pStyle w:val="6"/>
              <w:spacing w:before="133" w:line="224" w:lineRule="auto"/>
              <w:ind w:left="500"/>
              <w:rPr>
                <w:sz w:val="22"/>
                <w:szCs w:val="22"/>
              </w:rPr>
            </w:pPr>
            <w:r>
              <w:rPr>
                <w:spacing w:val="-7"/>
                <w:sz w:val="22"/>
                <w:szCs w:val="22"/>
              </w:rPr>
              <w:t>西北</w:t>
            </w:r>
          </w:p>
        </w:tc>
        <w:tc>
          <w:tcPr>
            <w:tcW w:w="1420" w:type="dxa"/>
            <w:vAlign w:val="top"/>
          </w:tcPr>
          <w:p w14:paraId="39E53C07">
            <w:pPr>
              <w:pStyle w:val="6"/>
              <w:spacing w:before="139" w:line="267" w:lineRule="exact"/>
              <w:ind w:left="562"/>
            </w:pPr>
            <w:r>
              <w:rPr>
                <w:spacing w:val="1"/>
                <w:position w:val="1"/>
              </w:rPr>
              <w:t>3.4</w:t>
            </w:r>
          </w:p>
        </w:tc>
        <w:tc>
          <w:tcPr>
            <w:tcW w:w="1561" w:type="dxa"/>
            <w:vAlign w:val="top"/>
          </w:tcPr>
          <w:p w14:paraId="1DA108B4">
            <w:pPr>
              <w:pStyle w:val="6"/>
              <w:spacing w:before="138" w:line="228" w:lineRule="auto"/>
              <w:ind w:left="367"/>
            </w:pPr>
            <w:r>
              <w:rPr>
                <w:spacing w:val="7"/>
              </w:rPr>
              <w:t>牧民水井</w:t>
            </w:r>
          </w:p>
        </w:tc>
        <w:tc>
          <w:tcPr>
            <w:tcW w:w="3009" w:type="dxa"/>
            <w:vMerge w:val="restart"/>
            <w:tcBorders>
              <w:bottom w:val="nil"/>
            </w:tcBorders>
            <w:vAlign w:val="top"/>
          </w:tcPr>
          <w:p w14:paraId="6A63AED0">
            <w:pPr>
              <w:spacing w:line="247" w:lineRule="auto"/>
              <w:rPr>
                <w:rFonts w:ascii="Arial"/>
                <w:sz w:val="21"/>
              </w:rPr>
            </w:pPr>
          </w:p>
          <w:p w14:paraId="5B1ECB30">
            <w:pPr>
              <w:spacing w:line="247" w:lineRule="auto"/>
              <w:rPr>
                <w:rFonts w:ascii="Arial"/>
                <w:sz w:val="21"/>
              </w:rPr>
            </w:pPr>
          </w:p>
          <w:p w14:paraId="39A2BA87">
            <w:pPr>
              <w:spacing w:line="247" w:lineRule="auto"/>
              <w:rPr>
                <w:rFonts w:ascii="Arial"/>
                <w:sz w:val="21"/>
              </w:rPr>
            </w:pPr>
          </w:p>
          <w:p w14:paraId="6808A002">
            <w:pPr>
              <w:spacing w:line="248" w:lineRule="auto"/>
              <w:rPr>
                <w:rFonts w:ascii="Arial"/>
                <w:sz w:val="21"/>
              </w:rPr>
            </w:pPr>
          </w:p>
          <w:p w14:paraId="4583259C">
            <w:pPr>
              <w:pStyle w:val="6"/>
              <w:spacing w:before="65" w:line="228" w:lineRule="auto"/>
              <w:ind w:left="43"/>
            </w:pPr>
            <w:r>
              <w:rPr>
                <w:spacing w:val="9"/>
              </w:rPr>
              <w:t>不影响居民饮用，水质达到《地</w:t>
            </w:r>
          </w:p>
          <w:p w14:paraId="7FE7F934">
            <w:pPr>
              <w:pStyle w:val="6"/>
              <w:spacing w:before="72" w:line="228" w:lineRule="auto"/>
              <w:ind w:left="99"/>
            </w:pPr>
            <w:r>
              <w:rPr>
                <w:spacing w:val="7"/>
              </w:rPr>
              <w:t>下水质量标准》（</w:t>
            </w:r>
            <w:r>
              <w:t>GB</w:t>
            </w:r>
            <w:r>
              <w:rPr>
                <w:spacing w:val="7"/>
              </w:rPr>
              <w:t>/T14848—</w:t>
            </w:r>
          </w:p>
          <w:p w14:paraId="4C45BBC8">
            <w:pPr>
              <w:pStyle w:val="6"/>
              <w:spacing w:before="72" w:line="228" w:lineRule="auto"/>
              <w:ind w:left="776"/>
            </w:pPr>
            <w:r>
              <w:rPr>
                <w:spacing w:val="6"/>
              </w:rPr>
              <w:t>2017）Ⅲ类标准</w:t>
            </w:r>
          </w:p>
        </w:tc>
      </w:tr>
      <w:tr w14:paraId="4D86C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724DA47E">
            <w:pPr>
              <w:rPr>
                <w:rFonts w:ascii="Arial"/>
                <w:sz w:val="21"/>
              </w:rPr>
            </w:pPr>
          </w:p>
        </w:tc>
        <w:tc>
          <w:tcPr>
            <w:tcW w:w="1822" w:type="dxa"/>
            <w:vAlign w:val="top"/>
          </w:tcPr>
          <w:p w14:paraId="23317687">
            <w:pPr>
              <w:pStyle w:val="6"/>
              <w:spacing w:before="137" w:line="227" w:lineRule="auto"/>
              <w:ind w:left="76"/>
            </w:pPr>
            <w:r>
              <w:rPr>
                <w:spacing w:val="6"/>
              </w:rPr>
              <w:t>S4（布和朝鲁家）</w:t>
            </w:r>
          </w:p>
        </w:tc>
        <w:tc>
          <w:tcPr>
            <w:tcW w:w="1842" w:type="dxa"/>
            <w:vAlign w:val="top"/>
          </w:tcPr>
          <w:p w14:paraId="5C699C73">
            <w:pPr>
              <w:spacing w:before="17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118°54′50.36″</w:t>
            </w:r>
          </w:p>
        </w:tc>
        <w:tc>
          <w:tcPr>
            <w:tcW w:w="1703" w:type="dxa"/>
            <w:vAlign w:val="top"/>
          </w:tcPr>
          <w:p w14:paraId="1A64105F">
            <w:pPr>
              <w:spacing w:before="17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16′41.15″</w:t>
            </w:r>
          </w:p>
        </w:tc>
        <w:tc>
          <w:tcPr>
            <w:tcW w:w="1415" w:type="dxa"/>
            <w:vAlign w:val="top"/>
          </w:tcPr>
          <w:p w14:paraId="03606A63">
            <w:pPr>
              <w:pStyle w:val="6"/>
              <w:spacing w:before="131" w:line="224" w:lineRule="auto"/>
              <w:ind w:left="500"/>
              <w:rPr>
                <w:sz w:val="22"/>
                <w:szCs w:val="22"/>
              </w:rPr>
            </w:pPr>
            <w:r>
              <w:rPr>
                <w:spacing w:val="-7"/>
                <w:sz w:val="22"/>
                <w:szCs w:val="22"/>
              </w:rPr>
              <w:t>西北</w:t>
            </w:r>
          </w:p>
        </w:tc>
        <w:tc>
          <w:tcPr>
            <w:tcW w:w="1420" w:type="dxa"/>
            <w:vAlign w:val="top"/>
          </w:tcPr>
          <w:p w14:paraId="51491B41">
            <w:pPr>
              <w:pStyle w:val="6"/>
              <w:spacing w:before="137" w:line="268" w:lineRule="exact"/>
              <w:ind w:left="562"/>
            </w:pPr>
            <w:r>
              <w:rPr>
                <w:spacing w:val="1"/>
                <w:position w:val="1"/>
              </w:rPr>
              <w:t>3.4</w:t>
            </w:r>
          </w:p>
        </w:tc>
        <w:tc>
          <w:tcPr>
            <w:tcW w:w="1561" w:type="dxa"/>
            <w:vAlign w:val="top"/>
          </w:tcPr>
          <w:p w14:paraId="18528E6B">
            <w:pPr>
              <w:pStyle w:val="6"/>
              <w:spacing w:before="137" w:line="228" w:lineRule="auto"/>
              <w:ind w:left="432"/>
            </w:pPr>
            <w:r>
              <w:rPr>
                <w:spacing w:val="7"/>
              </w:rPr>
              <w:t>牧民水井</w:t>
            </w:r>
          </w:p>
        </w:tc>
        <w:tc>
          <w:tcPr>
            <w:tcW w:w="3009" w:type="dxa"/>
            <w:vMerge w:val="continue"/>
            <w:tcBorders>
              <w:top w:val="nil"/>
              <w:bottom w:val="nil"/>
            </w:tcBorders>
            <w:vAlign w:val="top"/>
          </w:tcPr>
          <w:p w14:paraId="44AA7FB1">
            <w:pPr>
              <w:rPr>
                <w:rFonts w:ascii="Arial"/>
                <w:sz w:val="21"/>
              </w:rPr>
            </w:pPr>
          </w:p>
        </w:tc>
      </w:tr>
      <w:tr w14:paraId="7607B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5511F709">
            <w:pPr>
              <w:rPr>
                <w:rFonts w:ascii="Arial"/>
                <w:sz w:val="21"/>
              </w:rPr>
            </w:pPr>
          </w:p>
        </w:tc>
        <w:tc>
          <w:tcPr>
            <w:tcW w:w="1822" w:type="dxa"/>
            <w:vAlign w:val="top"/>
          </w:tcPr>
          <w:p w14:paraId="73E8FC2C">
            <w:pPr>
              <w:pStyle w:val="6"/>
              <w:spacing w:before="138" w:line="228" w:lineRule="auto"/>
              <w:ind w:left="155"/>
            </w:pPr>
            <w:r>
              <w:rPr>
                <w:spacing w:val="4"/>
              </w:rPr>
              <w:t>S10（牧民点</w:t>
            </w:r>
            <w:r>
              <w:rPr>
                <w:spacing w:val="-35"/>
              </w:rPr>
              <w:t xml:space="preserve"> </w:t>
            </w:r>
            <w:r>
              <w:rPr>
                <w:spacing w:val="4"/>
              </w:rPr>
              <w:t>6）</w:t>
            </w:r>
          </w:p>
        </w:tc>
        <w:tc>
          <w:tcPr>
            <w:tcW w:w="1842" w:type="dxa"/>
            <w:vAlign w:val="top"/>
          </w:tcPr>
          <w:p w14:paraId="38F88925">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118°55′32.49″</w:t>
            </w:r>
          </w:p>
        </w:tc>
        <w:tc>
          <w:tcPr>
            <w:tcW w:w="1703" w:type="dxa"/>
            <w:vAlign w:val="top"/>
          </w:tcPr>
          <w:p w14:paraId="7B7C225C">
            <w:pPr>
              <w:spacing w:before="17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10.87″</w:t>
            </w:r>
          </w:p>
        </w:tc>
        <w:tc>
          <w:tcPr>
            <w:tcW w:w="1415" w:type="dxa"/>
            <w:vAlign w:val="top"/>
          </w:tcPr>
          <w:p w14:paraId="7C93B6AD">
            <w:pPr>
              <w:pStyle w:val="6"/>
              <w:spacing w:before="133" w:line="224" w:lineRule="auto"/>
              <w:ind w:left="500"/>
              <w:rPr>
                <w:sz w:val="22"/>
                <w:szCs w:val="22"/>
              </w:rPr>
            </w:pPr>
            <w:r>
              <w:rPr>
                <w:spacing w:val="-7"/>
                <w:sz w:val="22"/>
                <w:szCs w:val="22"/>
              </w:rPr>
              <w:t>西北</w:t>
            </w:r>
          </w:p>
        </w:tc>
        <w:tc>
          <w:tcPr>
            <w:tcW w:w="1420" w:type="dxa"/>
            <w:vAlign w:val="top"/>
          </w:tcPr>
          <w:p w14:paraId="43CA97B8">
            <w:pPr>
              <w:pStyle w:val="6"/>
              <w:spacing w:before="139" w:line="267" w:lineRule="exact"/>
              <w:ind w:left="560"/>
            </w:pPr>
            <w:r>
              <w:rPr>
                <w:spacing w:val="1"/>
                <w:position w:val="1"/>
              </w:rPr>
              <w:t>6.0</w:t>
            </w:r>
          </w:p>
        </w:tc>
        <w:tc>
          <w:tcPr>
            <w:tcW w:w="1561" w:type="dxa"/>
            <w:vAlign w:val="top"/>
          </w:tcPr>
          <w:p w14:paraId="0B0D1A1A">
            <w:pPr>
              <w:pStyle w:val="6"/>
              <w:spacing w:before="138" w:line="228" w:lineRule="auto"/>
              <w:ind w:left="432"/>
            </w:pPr>
            <w:r>
              <w:rPr>
                <w:spacing w:val="7"/>
              </w:rPr>
              <w:t>牧民水井</w:t>
            </w:r>
          </w:p>
        </w:tc>
        <w:tc>
          <w:tcPr>
            <w:tcW w:w="3009" w:type="dxa"/>
            <w:vMerge w:val="continue"/>
            <w:tcBorders>
              <w:top w:val="nil"/>
              <w:bottom w:val="nil"/>
            </w:tcBorders>
            <w:vAlign w:val="top"/>
          </w:tcPr>
          <w:p w14:paraId="59B8C55E">
            <w:pPr>
              <w:rPr>
                <w:rFonts w:ascii="Arial"/>
                <w:sz w:val="21"/>
              </w:rPr>
            </w:pPr>
          </w:p>
        </w:tc>
      </w:tr>
      <w:tr w14:paraId="27E96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1B48AF2F">
            <w:pPr>
              <w:rPr>
                <w:rFonts w:ascii="Arial"/>
                <w:sz w:val="21"/>
              </w:rPr>
            </w:pPr>
          </w:p>
        </w:tc>
        <w:tc>
          <w:tcPr>
            <w:tcW w:w="1822" w:type="dxa"/>
            <w:vAlign w:val="top"/>
          </w:tcPr>
          <w:p w14:paraId="51A9FD81">
            <w:pPr>
              <w:pStyle w:val="6"/>
              <w:spacing w:before="137" w:line="228" w:lineRule="auto"/>
              <w:ind w:left="155"/>
            </w:pPr>
            <w:r>
              <w:rPr>
                <w:spacing w:val="3"/>
              </w:rPr>
              <w:t>S11（牧民点</w:t>
            </w:r>
            <w:r>
              <w:rPr>
                <w:spacing w:val="-26"/>
              </w:rPr>
              <w:t xml:space="preserve"> </w:t>
            </w:r>
            <w:r>
              <w:rPr>
                <w:spacing w:val="3"/>
              </w:rPr>
              <w:t>5）</w:t>
            </w:r>
          </w:p>
        </w:tc>
        <w:tc>
          <w:tcPr>
            <w:tcW w:w="1842" w:type="dxa"/>
            <w:vAlign w:val="top"/>
          </w:tcPr>
          <w:p w14:paraId="5F1AB485">
            <w:pPr>
              <w:spacing w:before="174"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10.51″</w:t>
            </w:r>
          </w:p>
        </w:tc>
        <w:tc>
          <w:tcPr>
            <w:tcW w:w="1703" w:type="dxa"/>
            <w:vAlign w:val="top"/>
          </w:tcPr>
          <w:p w14:paraId="553259D9">
            <w:pPr>
              <w:spacing w:before="17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14′20.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w:t>
            </w:r>
          </w:p>
        </w:tc>
        <w:tc>
          <w:tcPr>
            <w:tcW w:w="1415" w:type="dxa"/>
            <w:vAlign w:val="top"/>
          </w:tcPr>
          <w:p w14:paraId="0E7A8830">
            <w:pPr>
              <w:pStyle w:val="6"/>
              <w:spacing w:before="132" w:line="224" w:lineRule="auto"/>
              <w:ind w:left="500"/>
              <w:rPr>
                <w:sz w:val="22"/>
                <w:szCs w:val="22"/>
              </w:rPr>
            </w:pPr>
            <w:r>
              <w:rPr>
                <w:spacing w:val="-7"/>
                <w:sz w:val="22"/>
                <w:szCs w:val="22"/>
              </w:rPr>
              <w:t>西北</w:t>
            </w:r>
          </w:p>
        </w:tc>
        <w:tc>
          <w:tcPr>
            <w:tcW w:w="1420" w:type="dxa"/>
            <w:vAlign w:val="top"/>
          </w:tcPr>
          <w:p w14:paraId="237BE5EA">
            <w:pPr>
              <w:pStyle w:val="6"/>
              <w:spacing w:before="138" w:line="267" w:lineRule="exact"/>
              <w:ind w:left="560"/>
            </w:pPr>
            <w:r>
              <w:rPr>
                <w:spacing w:val="1"/>
                <w:position w:val="1"/>
              </w:rPr>
              <w:t>6.6</w:t>
            </w:r>
          </w:p>
        </w:tc>
        <w:tc>
          <w:tcPr>
            <w:tcW w:w="1561" w:type="dxa"/>
            <w:vAlign w:val="top"/>
          </w:tcPr>
          <w:p w14:paraId="2D22F7F3">
            <w:pPr>
              <w:pStyle w:val="6"/>
              <w:spacing w:before="137" w:line="228" w:lineRule="auto"/>
              <w:ind w:left="432"/>
            </w:pPr>
            <w:r>
              <w:rPr>
                <w:spacing w:val="7"/>
              </w:rPr>
              <w:t>牧民水井</w:t>
            </w:r>
          </w:p>
        </w:tc>
        <w:tc>
          <w:tcPr>
            <w:tcW w:w="3009" w:type="dxa"/>
            <w:vMerge w:val="continue"/>
            <w:tcBorders>
              <w:top w:val="nil"/>
              <w:bottom w:val="nil"/>
            </w:tcBorders>
            <w:vAlign w:val="top"/>
          </w:tcPr>
          <w:p w14:paraId="1E93896E">
            <w:pPr>
              <w:rPr>
                <w:rFonts w:ascii="Arial"/>
                <w:sz w:val="21"/>
              </w:rPr>
            </w:pPr>
          </w:p>
        </w:tc>
      </w:tr>
      <w:tr w14:paraId="65340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07" w:type="dxa"/>
            <w:vMerge w:val="continue"/>
            <w:tcBorders>
              <w:top w:val="nil"/>
              <w:bottom w:val="nil"/>
            </w:tcBorders>
            <w:vAlign w:val="top"/>
          </w:tcPr>
          <w:p w14:paraId="741EB873">
            <w:pPr>
              <w:rPr>
                <w:rFonts w:ascii="Arial"/>
                <w:sz w:val="21"/>
              </w:rPr>
            </w:pPr>
          </w:p>
        </w:tc>
        <w:tc>
          <w:tcPr>
            <w:tcW w:w="1822" w:type="dxa"/>
            <w:vAlign w:val="top"/>
          </w:tcPr>
          <w:p w14:paraId="43832F22">
            <w:pPr>
              <w:pStyle w:val="6"/>
              <w:spacing w:before="139" w:line="228" w:lineRule="auto"/>
              <w:ind w:left="155"/>
            </w:pPr>
            <w:r>
              <w:rPr>
                <w:spacing w:val="4"/>
              </w:rPr>
              <w:t>S13（牧民点</w:t>
            </w:r>
            <w:r>
              <w:rPr>
                <w:spacing w:val="-35"/>
              </w:rPr>
              <w:t xml:space="preserve"> </w:t>
            </w:r>
            <w:r>
              <w:rPr>
                <w:spacing w:val="4"/>
              </w:rPr>
              <w:t>4）</w:t>
            </w:r>
          </w:p>
        </w:tc>
        <w:tc>
          <w:tcPr>
            <w:tcW w:w="1842" w:type="dxa"/>
            <w:vAlign w:val="top"/>
          </w:tcPr>
          <w:p w14:paraId="793324D3">
            <w:pPr>
              <w:spacing w:before="17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118°52′50.43″</w:t>
            </w:r>
          </w:p>
        </w:tc>
        <w:tc>
          <w:tcPr>
            <w:tcW w:w="1703" w:type="dxa"/>
            <w:vAlign w:val="top"/>
          </w:tcPr>
          <w:p w14:paraId="59C2C518">
            <w:pPr>
              <w:spacing w:before="17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16′44.08″</w:t>
            </w:r>
          </w:p>
        </w:tc>
        <w:tc>
          <w:tcPr>
            <w:tcW w:w="1415" w:type="dxa"/>
            <w:vAlign w:val="top"/>
          </w:tcPr>
          <w:p w14:paraId="351D37EC">
            <w:pPr>
              <w:pStyle w:val="6"/>
              <w:spacing w:before="134" w:line="222" w:lineRule="auto"/>
              <w:ind w:left="500"/>
              <w:rPr>
                <w:sz w:val="22"/>
                <w:szCs w:val="22"/>
              </w:rPr>
            </w:pPr>
            <w:r>
              <w:rPr>
                <w:spacing w:val="-7"/>
                <w:sz w:val="22"/>
                <w:szCs w:val="22"/>
              </w:rPr>
              <w:t>西南</w:t>
            </w:r>
          </w:p>
        </w:tc>
        <w:tc>
          <w:tcPr>
            <w:tcW w:w="1420" w:type="dxa"/>
            <w:vAlign w:val="top"/>
          </w:tcPr>
          <w:p w14:paraId="6DE57FA4">
            <w:pPr>
              <w:pStyle w:val="6"/>
              <w:spacing w:before="139" w:line="268" w:lineRule="exact"/>
              <w:ind w:left="557"/>
            </w:pPr>
            <w:r>
              <w:rPr>
                <w:spacing w:val="2"/>
                <w:position w:val="1"/>
              </w:rPr>
              <w:t>4.6</w:t>
            </w:r>
          </w:p>
        </w:tc>
        <w:tc>
          <w:tcPr>
            <w:tcW w:w="1561" w:type="dxa"/>
            <w:vAlign w:val="top"/>
          </w:tcPr>
          <w:p w14:paraId="72EF0EF4">
            <w:pPr>
              <w:pStyle w:val="6"/>
              <w:spacing w:before="139" w:line="228" w:lineRule="auto"/>
              <w:ind w:left="432"/>
            </w:pPr>
            <w:r>
              <w:rPr>
                <w:spacing w:val="7"/>
              </w:rPr>
              <w:t>牧民水井</w:t>
            </w:r>
          </w:p>
        </w:tc>
        <w:tc>
          <w:tcPr>
            <w:tcW w:w="3009" w:type="dxa"/>
            <w:vMerge w:val="continue"/>
            <w:tcBorders>
              <w:top w:val="nil"/>
              <w:bottom w:val="nil"/>
            </w:tcBorders>
            <w:vAlign w:val="top"/>
          </w:tcPr>
          <w:p w14:paraId="039AA79B">
            <w:pPr>
              <w:rPr>
                <w:rFonts w:ascii="Arial"/>
                <w:sz w:val="21"/>
              </w:rPr>
            </w:pPr>
          </w:p>
        </w:tc>
      </w:tr>
      <w:tr w14:paraId="03F2C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07" w:type="dxa"/>
            <w:vMerge w:val="continue"/>
            <w:tcBorders>
              <w:top w:val="nil"/>
            </w:tcBorders>
            <w:vAlign w:val="top"/>
          </w:tcPr>
          <w:p w14:paraId="5463B6A4">
            <w:pPr>
              <w:rPr>
                <w:rFonts w:ascii="Arial"/>
                <w:sz w:val="21"/>
              </w:rPr>
            </w:pPr>
          </w:p>
        </w:tc>
        <w:tc>
          <w:tcPr>
            <w:tcW w:w="1822" w:type="dxa"/>
            <w:vAlign w:val="top"/>
          </w:tcPr>
          <w:p w14:paraId="4B3E43F2">
            <w:pPr>
              <w:pStyle w:val="6"/>
              <w:spacing w:before="137" w:line="228" w:lineRule="auto"/>
              <w:ind w:left="129"/>
            </w:pPr>
            <w:r>
              <w:rPr>
                <w:spacing w:val="6"/>
              </w:rPr>
              <w:t>S14（达林台家）</w:t>
            </w:r>
          </w:p>
        </w:tc>
        <w:tc>
          <w:tcPr>
            <w:tcW w:w="1842" w:type="dxa"/>
            <w:vAlign w:val="top"/>
          </w:tcPr>
          <w:p w14:paraId="04FCB655">
            <w:pPr>
              <w:spacing w:before="17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118°51′25.79″</w:t>
            </w:r>
          </w:p>
        </w:tc>
        <w:tc>
          <w:tcPr>
            <w:tcW w:w="1703" w:type="dxa"/>
            <w:vAlign w:val="top"/>
          </w:tcPr>
          <w:p w14:paraId="2FC8326B">
            <w:pPr>
              <w:spacing w:before="173"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11.26″</w:t>
            </w:r>
          </w:p>
        </w:tc>
        <w:tc>
          <w:tcPr>
            <w:tcW w:w="1415" w:type="dxa"/>
            <w:vAlign w:val="top"/>
          </w:tcPr>
          <w:p w14:paraId="08AB6B33">
            <w:pPr>
              <w:pStyle w:val="6"/>
              <w:spacing w:before="132" w:line="222" w:lineRule="auto"/>
              <w:ind w:left="500"/>
              <w:rPr>
                <w:sz w:val="22"/>
                <w:szCs w:val="22"/>
              </w:rPr>
            </w:pPr>
            <w:r>
              <w:rPr>
                <w:spacing w:val="-7"/>
                <w:sz w:val="22"/>
                <w:szCs w:val="22"/>
              </w:rPr>
              <w:t>西南</w:t>
            </w:r>
          </w:p>
        </w:tc>
        <w:tc>
          <w:tcPr>
            <w:tcW w:w="1420" w:type="dxa"/>
            <w:vAlign w:val="top"/>
          </w:tcPr>
          <w:p w14:paraId="1CB956C0">
            <w:pPr>
              <w:pStyle w:val="6"/>
              <w:spacing w:before="138" w:line="267" w:lineRule="exact"/>
              <w:ind w:left="560"/>
            </w:pPr>
            <w:r>
              <w:rPr>
                <w:spacing w:val="1"/>
                <w:position w:val="1"/>
              </w:rPr>
              <w:t>2.0</w:t>
            </w:r>
          </w:p>
        </w:tc>
        <w:tc>
          <w:tcPr>
            <w:tcW w:w="1561" w:type="dxa"/>
            <w:vAlign w:val="top"/>
          </w:tcPr>
          <w:p w14:paraId="4C125F8F">
            <w:pPr>
              <w:pStyle w:val="6"/>
              <w:spacing w:before="137" w:line="228" w:lineRule="auto"/>
              <w:ind w:left="432"/>
            </w:pPr>
            <w:r>
              <w:rPr>
                <w:spacing w:val="7"/>
              </w:rPr>
              <w:t>牧民水井</w:t>
            </w:r>
          </w:p>
        </w:tc>
        <w:tc>
          <w:tcPr>
            <w:tcW w:w="3009" w:type="dxa"/>
            <w:vMerge w:val="continue"/>
            <w:tcBorders>
              <w:top w:val="nil"/>
            </w:tcBorders>
            <w:vAlign w:val="top"/>
          </w:tcPr>
          <w:p w14:paraId="21EEA323">
            <w:pPr>
              <w:rPr>
                <w:rFonts w:ascii="Arial"/>
                <w:sz w:val="21"/>
              </w:rPr>
            </w:pPr>
          </w:p>
        </w:tc>
      </w:tr>
    </w:tbl>
    <w:p w14:paraId="71061119">
      <w:pPr>
        <w:pStyle w:val="2"/>
      </w:pPr>
    </w:p>
    <w:p w14:paraId="5E44ACE6">
      <w:pPr>
        <w:sectPr>
          <w:headerReference r:id="rId44" w:type="default"/>
          <w:footerReference r:id="rId45" w:type="default"/>
          <w:pgSz w:w="16839" w:h="11906"/>
          <w:pgMar w:top="1208" w:right="1327" w:bottom="1358" w:left="1326" w:header="825" w:footer="1195" w:gutter="0"/>
          <w:cols w:space="720" w:num="1"/>
        </w:sectPr>
      </w:pPr>
    </w:p>
    <w:p w14:paraId="2489C5A4">
      <w:pPr>
        <w:spacing w:before="53"/>
      </w:pPr>
    </w:p>
    <w:p w14:paraId="55B6E525">
      <w:pPr>
        <w:spacing w:before="52"/>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1822"/>
        <w:gridCol w:w="1842"/>
        <w:gridCol w:w="1703"/>
        <w:gridCol w:w="1415"/>
        <w:gridCol w:w="1420"/>
        <w:gridCol w:w="1561"/>
        <w:gridCol w:w="3009"/>
      </w:tblGrid>
      <w:tr w14:paraId="59503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407" w:type="dxa"/>
            <w:vMerge w:val="restart"/>
            <w:tcBorders>
              <w:bottom w:val="nil"/>
            </w:tcBorders>
            <w:vAlign w:val="top"/>
          </w:tcPr>
          <w:p w14:paraId="4906A22E">
            <w:pPr>
              <w:rPr>
                <w:rFonts w:ascii="Arial"/>
                <w:sz w:val="21"/>
              </w:rPr>
            </w:pPr>
          </w:p>
        </w:tc>
        <w:tc>
          <w:tcPr>
            <w:tcW w:w="1822" w:type="dxa"/>
            <w:vAlign w:val="top"/>
          </w:tcPr>
          <w:p w14:paraId="27DF467B">
            <w:pPr>
              <w:pStyle w:val="6"/>
              <w:spacing w:before="138" w:line="228" w:lineRule="auto"/>
              <w:ind w:left="152"/>
            </w:pPr>
            <w:r>
              <w:rPr>
                <w:rFonts w:ascii="Times New Roman" w:hAnsi="Times New Roman" w:eastAsia="Times New Roman" w:cs="Times New Roman"/>
                <w:spacing w:val="3"/>
              </w:rPr>
              <w:t>S15</w:t>
            </w:r>
            <w:r>
              <w:rPr>
                <w:spacing w:val="3"/>
              </w:rPr>
              <w:t>（牧民点</w:t>
            </w:r>
            <w:r>
              <w:rPr>
                <w:spacing w:val="-29"/>
              </w:rPr>
              <w:t xml:space="preserve"> </w:t>
            </w:r>
            <w:r>
              <w:rPr>
                <w:rFonts w:ascii="Times New Roman" w:hAnsi="Times New Roman" w:eastAsia="Times New Roman" w:cs="Times New Roman"/>
                <w:spacing w:val="3"/>
              </w:rPr>
              <w:t>8</w:t>
            </w:r>
            <w:r>
              <w:rPr>
                <w:spacing w:val="3"/>
              </w:rPr>
              <w:t>）</w:t>
            </w:r>
          </w:p>
        </w:tc>
        <w:tc>
          <w:tcPr>
            <w:tcW w:w="1842" w:type="dxa"/>
            <w:vAlign w:val="top"/>
          </w:tcPr>
          <w:p w14:paraId="6117B286">
            <w:pPr>
              <w:spacing w:before="17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118°56'9.73"</w:t>
            </w:r>
          </w:p>
        </w:tc>
        <w:tc>
          <w:tcPr>
            <w:tcW w:w="1703" w:type="dxa"/>
            <w:vAlign w:val="top"/>
          </w:tcPr>
          <w:p w14:paraId="5EC6C63E">
            <w:pPr>
              <w:spacing w:before="174"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15'9.55"</w:t>
            </w:r>
          </w:p>
        </w:tc>
        <w:tc>
          <w:tcPr>
            <w:tcW w:w="1415" w:type="dxa"/>
            <w:vAlign w:val="top"/>
          </w:tcPr>
          <w:p w14:paraId="675C9217">
            <w:pPr>
              <w:pStyle w:val="6"/>
              <w:spacing w:before="133" w:line="222" w:lineRule="auto"/>
              <w:ind w:left="500"/>
              <w:rPr>
                <w:sz w:val="22"/>
                <w:szCs w:val="22"/>
              </w:rPr>
            </w:pPr>
            <w:r>
              <w:rPr>
                <w:spacing w:val="-7"/>
                <w:sz w:val="22"/>
                <w:szCs w:val="22"/>
              </w:rPr>
              <w:t>西南</w:t>
            </w:r>
          </w:p>
        </w:tc>
        <w:tc>
          <w:tcPr>
            <w:tcW w:w="1420" w:type="dxa"/>
            <w:vAlign w:val="top"/>
          </w:tcPr>
          <w:p w14:paraId="21728342">
            <w:pPr>
              <w:pStyle w:val="6"/>
              <w:spacing w:before="138" w:line="268" w:lineRule="exact"/>
              <w:ind w:left="560"/>
            </w:pPr>
            <w:r>
              <w:rPr>
                <w:spacing w:val="1"/>
                <w:position w:val="1"/>
              </w:rPr>
              <w:t>2.6</w:t>
            </w:r>
          </w:p>
        </w:tc>
        <w:tc>
          <w:tcPr>
            <w:tcW w:w="1561" w:type="dxa"/>
            <w:vAlign w:val="top"/>
          </w:tcPr>
          <w:p w14:paraId="251CC775">
            <w:pPr>
              <w:pStyle w:val="6"/>
              <w:spacing w:before="138" w:line="228" w:lineRule="auto"/>
              <w:ind w:left="432"/>
            </w:pPr>
            <w:r>
              <w:rPr>
                <w:spacing w:val="7"/>
              </w:rPr>
              <w:t>牧民水井</w:t>
            </w:r>
          </w:p>
        </w:tc>
        <w:tc>
          <w:tcPr>
            <w:tcW w:w="3009" w:type="dxa"/>
            <w:vMerge w:val="restart"/>
            <w:tcBorders>
              <w:bottom w:val="nil"/>
            </w:tcBorders>
            <w:vAlign w:val="top"/>
          </w:tcPr>
          <w:p w14:paraId="0FE96B77">
            <w:pPr>
              <w:rPr>
                <w:rFonts w:ascii="Arial"/>
                <w:sz w:val="21"/>
              </w:rPr>
            </w:pPr>
          </w:p>
        </w:tc>
      </w:tr>
      <w:tr w14:paraId="12CCB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50042720">
            <w:pPr>
              <w:rPr>
                <w:rFonts w:ascii="Arial"/>
                <w:sz w:val="21"/>
              </w:rPr>
            </w:pPr>
          </w:p>
        </w:tc>
        <w:tc>
          <w:tcPr>
            <w:tcW w:w="1822" w:type="dxa"/>
            <w:vAlign w:val="top"/>
          </w:tcPr>
          <w:p w14:paraId="3F526195">
            <w:pPr>
              <w:pStyle w:val="6"/>
              <w:spacing w:before="134" w:line="228" w:lineRule="auto"/>
              <w:ind w:left="205"/>
            </w:pPr>
            <w:r>
              <w:rPr>
                <w:rFonts w:ascii="Times New Roman" w:hAnsi="Times New Roman" w:eastAsia="Times New Roman" w:cs="Times New Roman"/>
                <w:spacing w:val="3"/>
              </w:rPr>
              <w:t>S9</w:t>
            </w:r>
            <w:r>
              <w:rPr>
                <w:spacing w:val="3"/>
              </w:rPr>
              <w:t>（牧民点</w:t>
            </w:r>
            <w:r>
              <w:rPr>
                <w:spacing w:val="-32"/>
              </w:rPr>
              <w:t xml:space="preserve"> </w:t>
            </w:r>
            <w:r>
              <w:rPr>
                <w:rFonts w:ascii="Times New Roman" w:hAnsi="Times New Roman" w:eastAsia="Times New Roman" w:cs="Times New Roman"/>
                <w:spacing w:val="3"/>
              </w:rPr>
              <w:t>7</w:t>
            </w:r>
            <w:r>
              <w:rPr>
                <w:spacing w:val="3"/>
              </w:rPr>
              <w:t>）</w:t>
            </w:r>
          </w:p>
        </w:tc>
        <w:tc>
          <w:tcPr>
            <w:tcW w:w="1842" w:type="dxa"/>
            <w:vAlign w:val="top"/>
          </w:tcPr>
          <w:p w14:paraId="45364F35">
            <w:pPr>
              <w:spacing w:before="16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118°55′21.22″</w:t>
            </w:r>
          </w:p>
        </w:tc>
        <w:tc>
          <w:tcPr>
            <w:tcW w:w="1703" w:type="dxa"/>
            <w:vAlign w:val="top"/>
          </w:tcPr>
          <w:p w14:paraId="3058E62A">
            <w:pPr>
              <w:spacing w:before="171"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14′24.56″</w:t>
            </w:r>
          </w:p>
        </w:tc>
        <w:tc>
          <w:tcPr>
            <w:tcW w:w="1415" w:type="dxa"/>
            <w:vAlign w:val="top"/>
          </w:tcPr>
          <w:p w14:paraId="3752C282">
            <w:pPr>
              <w:pStyle w:val="6"/>
              <w:spacing w:before="135" w:line="230" w:lineRule="auto"/>
              <w:ind w:left="509"/>
            </w:pPr>
            <w:r>
              <w:rPr>
                <w:spacing w:val="2"/>
              </w:rPr>
              <w:t>西南</w:t>
            </w:r>
          </w:p>
        </w:tc>
        <w:tc>
          <w:tcPr>
            <w:tcW w:w="1420" w:type="dxa"/>
            <w:vAlign w:val="top"/>
          </w:tcPr>
          <w:p w14:paraId="218121A1">
            <w:pPr>
              <w:pStyle w:val="6"/>
              <w:spacing w:before="135" w:line="267" w:lineRule="exact"/>
              <w:ind w:left="559"/>
            </w:pPr>
            <w:r>
              <w:rPr>
                <w:spacing w:val="2"/>
                <w:position w:val="1"/>
              </w:rPr>
              <w:t>8.1</w:t>
            </w:r>
          </w:p>
        </w:tc>
        <w:tc>
          <w:tcPr>
            <w:tcW w:w="1561" w:type="dxa"/>
            <w:vAlign w:val="top"/>
          </w:tcPr>
          <w:p w14:paraId="2A6075CE">
            <w:pPr>
              <w:pStyle w:val="6"/>
              <w:spacing w:before="134" w:line="228" w:lineRule="auto"/>
              <w:ind w:left="432"/>
            </w:pPr>
            <w:r>
              <w:rPr>
                <w:spacing w:val="7"/>
              </w:rPr>
              <w:t>牧民水井</w:t>
            </w:r>
          </w:p>
        </w:tc>
        <w:tc>
          <w:tcPr>
            <w:tcW w:w="3009" w:type="dxa"/>
            <w:vMerge w:val="continue"/>
            <w:tcBorders>
              <w:top w:val="nil"/>
              <w:bottom w:val="nil"/>
            </w:tcBorders>
            <w:vAlign w:val="top"/>
          </w:tcPr>
          <w:p w14:paraId="0D4DA3AE">
            <w:pPr>
              <w:rPr>
                <w:rFonts w:ascii="Arial"/>
                <w:sz w:val="21"/>
              </w:rPr>
            </w:pPr>
          </w:p>
        </w:tc>
      </w:tr>
      <w:tr w14:paraId="77875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bottom w:val="nil"/>
            </w:tcBorders>
            <w:vAlign w:val="top"/>
          </w:tcPr>
          <w:p w14:paraId="0A5A8298">
            <w:pPr>
              <w:rPr>
                <w:rFonts w:ascii="Arial"/>
                <w:sz w:val="21"/>
              </w:rPr>
            </w:pPr>
          </w:p>
        </w:tc>
        <w:tc>
          <w:tcPr>
            <w:tcW w:w="1822" w:type="dxa"/>
            <w:vAlign w:val="top"/>
          </w:tcPr>
          <w:p w14:paraId="45CAB4F3">
            <w:pPr>
              <w:pStyle w:val="6"/>
              <w:spacing w:before="134" w:line="228" w:lineRule="auto"/>
              <w:ind w:left="205"/>
            </w:pPr>
            <w:r>
              <w:rPr>
                <w:rFonts w:ascii="Times New Roman" w:hAnsi="Times New Roman" w:eastAsia="Times New Roman" w:cs="Times New Roman"/>
                <w:spacing w:val="4"/>
              </w:rPr>
              <w:t>S1</w:t>
            </w:r>
            <w:r>
              <w:rPr>
                <w:spacing w:val="4"/>
              </w:rPr>
              <w:t>（牧民点</w:t>
            </w:r>
            <w:r>
              <w:rPr>
                <w:spacing w:val="-40"/>
              </w:rPr>
              <w:t xml:space="preserve"> </w:t>
            </w:r>
            <w:r>
              <w:rPr>
                <w:rFonts w:ascii="Times New Roman" w:hAnsi="Times New Roman" w:eastAsia="Times New Roman" w:cs="Times New Roman"/>
                <w:spacing w:val="4"/>
              </w:rPr>
              <w:t>2</w:t>
            </w:r>
            <w:r>
              <w:rPr>
                <w:spacing w:val="4"/>
              </w:rPr>
              <w:t>）</w:t>
            </w:r>
          </w:p>
        </w:tc>
        <w:tc>
          <w:tcPr>
            <w:tcW w:w="1842" w:type="dxa"/>
            <w:vAlign w:val="top"/>
          </w:tcPr>
          <w:p w14:paraId="25D4F467">
            <w:pPr>
              <w:spacing w:before="17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118°55′4.49″</w:t>
            </w:r>
          </w:p>
        </w:tc>
        <w:tc>
          <w:tcPr>
            <w:tcW w:w="1703" w:type="dxa"/>
            <w:vAlign w:val="top"/>
          </w:tcPr>
          <w:p w14:paraId="2BFF7863">
            <w:pPr>
              <w:spacing w:before="170"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1415" w:type="dxa"/>
            <w:vAlign w:val="top"/>
          </w:tcPr>
          <w:p w14:paraId="49639F11">
            <w:pPr>
              <w:pStyle w:val="6"/>
              <w:spacing w:before="128" w:line="224" w:lineRule="auto"/>
              <w:ind w:left="500"/>
              <w:rPr>
                <w:sz w:val="22"/>
                <w:szCs w:val="22"/>
              </w:rPr>
            </w:pPr>
            <w:r>
              <w:rPr>
                <w:spacing w:val="-7"/>
                <w:sz w:val="22"/>
                <w:szCs w:val="22"/>
              </w:rPr>
              <w:t>西北</w:t>
            </w:r>
          </w:p>
        </w:tc>
        <w:tc>
          <w:tcPr>
            <w:tcW w:w="1420" w:type="dxa"/>
            <w:vAlign w:val="top"/>
          </w:tcPr>
          <w:p w14:paraId="42C1C071">
            <w:pPr>
              <w:pStyle w:val="6"/>
              <w:spacing w:before="134" w:line="268" w:lineRule="exact"/>
              <w:ind w:left="562"/>
            </w:pPr>
            <w:r>
              <w:rPr>
                <w:spacing w:val="1"/>
                <w:position w:val="1"/>
              </w:rPr>
              <w:t>3.5</w:t>
            </w:r>
          </w:p>
        </w:tc>
        <w:tc>
          <w:tcPr>
            <w:tcW w:w="1561" w:type="dxa"/>
            <w:vAlign w:val="top"/>
          </w:tcPr>
          <w:p w14:paraId="244DCC15">
            <w:pPr>
              <w:pStyle w:val="6"/>
              <w:spacing w:before="134" w:line="228" w:lineRule="auto"/>
              <w:ind w:left="432"/>
            </w:pPr>
            <w:r>
              <w:rPr>
                <w:spacing w:val="7"/>
              </w:rPr>
              <w:t>牧民水井</w:t>
            </w:r>
          </w:p>
        </w:tc>
        <w:tc>
          <w:tcPr>
            <w:tcW w:w="3009" w:type="dxa"/>
            <w:vMerge w:val="continue"/>
            <w:tcBorders>
              <w:top w:val="nil"/>
              <w:bottom w:val="nil"/>
            </w:tcBorders>
            <w:vAlign w:val="top"/>
          </w:tcPr>
          <w:p w14:paraId="2022F1F3">
            <w:pPr>
              <w:rPr>
                <w:rFonts w:ascii="Arial"/>
                <w:sz w:val="21"/>
              </w:rPr>
            </w:pPr>
          </w:p>
        </w:tc>
      </w:tr>
      <w:tr w14:paraId="1472B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407" w:type="dxa"/>
            <w:vMerge w:val="continue"/>
            <w:tcBorders>
              <w:top w:val="nil"/>
              <w:bottom w:val="nil"/>
            </w:tcBorders>
            <w:vAlign w:val="top"/>
          </w:tcPr>
          <w:p w14:paraId="16631AC9">
            <w:pPr>
              <w:rPr>
                <w:rFonts w:ascii="Arial"/>
                <w:sz w:val="21"/>
              </w:rPr>
            </w:pPr>
          </w:p>
        </w:tc>
        <w:tc>
          <w:tcPr>
            <w:tcW w:w="1822" w:type="dxa"/>
            <w:vAlign w:val="top"/>
          </w:tcPr>
          <w:p w14:paraId="4955647D">
            <w:pPr>
              <w:pStyle w:val="6"/>
              <w:spacing w:before="135" w:line="228" w:lineRule="auto"/>
              <w:ind w:left="205"/>
            </w:pPr>
            <w:r>
              <w:rPr>
                <w:rFonts w:ascii="Times New Roman" w:hAnsi="Times New Roman" w:eastAsia="Times New Roman" w:cs="Times New Roman"/>
                <w:spacing w:val="1"/>
              </w:rPr>
              <w:t>S2</w:t>
            </w:r>
            <w:r>
              <w:rPr>
                <w:spacing w:val="1"/>
              </w:rPr>
              <w:t>（牧民点</w:t>
            </w:r>
            <w:r>
              <w:rPr>
                <w:spacing w:val="-16"/>
              </w:rPr>
              <w:t xml:space="preserve"> </w:t>
            </w:r>
            <w:r>
              <w:rPr>
                <w:rFonts w:ascii="Times New Roman" w:hAnsi="Times New Roman" w:eastAsia="Times New Roman" w:cs="Times New Roman"/>
                <w:spacing w:val="1"/>
              </w:rPr>
              <w:t>1</w:t>
            </w:r>
            <w:r>
              <w:rPr>
                <w:spacing w:val="1"/>
              </w:rPr>
              <w:t>）</w:t>
            </w:r>
          </w:p>
        </w:tc>
        <w:tc>
          <w:tcPr>
            <w:tcW w:w="1842" w:type="dxa"/>
            <w:vAlign w:val="top"/>
          </w:tcPr>
          <w:p w14:paraId="65F81A13">
            <w:pPr>
              <w:spacing w:before="16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1.95″</w:t>
            </w:r>
          </w:p>
        </w:tc>
        <w:tc>
          <w:tcPr>
            <w:tcW w:w="1703" w:type="dxa"/>
            <w:vAlign w:val="top"/>
          </w:tcPr>
          <w:p w14:paraId="425DAC16">
            <w:pPr>
              <w:spacing w:before="171"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11.05″</w:t>
            </w:r>
          </w:p>
        </w:tc>
        <w:tc>
          <w:tcPr>
            <w:tcW w:w="1415" w:type="dxa"/>
            <w:vAlign w:val="top"/>
          </w:tcPr>
          <w:p w14:paraId="29EBB171">
            <w:pPr>
              <w:pStyle w:val="6"/>
              <w:spacing w:before="130" w:line="224" w:lineRule="auto"/>
              <w:ind w:left="500"/>
              <w:rPr>
                <w:sz w:val="22"/>
                <w:szCs w:val="22"/>
              </w:rPr>
            </w:pPr>
            <w:r>
              <w:rPr>
                <w:spacing w:val="-7"/>
                <w:sz w:val="22"/>
                <w:szCs w:val="22"/>
              </w:rPr>
              <w:t>西北</w:t>
            </w:r>
          </w:p>
        </w:tc>
        <w:tc>
          <w:tcPr>
            <w:tcW w:w="1420" w:type="dxa"/>
            <w:vAlign w:val="top"/>
          </w:tcPr>
          <w:p w14:paraId="6A026393">
            <w:pPr>
              <w:pStyle w:val="6"/>
              <w:spacing w:before="136" w:line="267" w:lineRule="exact"/>
              <w:ind w:left="562"/>
            </w:pPr>
            <w:r>
              <w:rPr>
                <w:spacing w:val="1"/>
                <w:position w:val="1"/>
              </w:rPr>
              <w:t>3.3</w:t>
            </w:r>
          </w:p>
        </w:tc>
        <w:tc>
          <w:tcPr>
            <w:tcW w:w="1561" w:type="dxa"/>
            <w:vAlign w:val="top"/>
          </w:tcPr>
          <w:p w14:paraId="7CF8F21B">
            <w:pPr>
              <w:pStyle w:val="6"/>
              <w:spacing w:before="135" w:line="228" w:lineRule="auto"/>
              <w:ind w:left="432"/>
            </w:pPr>
            <w:r>
              <w:rPr>
                <w:spacing w:val="7"/>
              </w:rPr>
              <w:t>牧民水井</w:t>
            </w:r>
          </w:p>
        </w:tc>
        <w:tc>
          <w:tcPr>
            <w:tcW w:w="3009" w:type="dxa"/>
            <w:vMerge w:val="continue"/>
            <w:tcBorders>
              <w:top w:val="nil"/>
              <w:bottom w:val="nil"/>
            </w:tcBorders>
            <w:vAlign w:val="top"/>
          </w:tcPr>
          <w:p w14:paraId="25558F0A">
            <w:pPr>
              <w:rPr>
                <w:rFonts w:ascii="Arial"/>
                <w:sz w:val="21"/>
              </w:rPr>
            </w:pPr>
          </w:p>
        </w:tc>
      </w:tr>
      <w:tr w14:paraId="018B3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07" w:type="dxa"/>
            <w:vMerge w:val="continue"/>
            <w:tcBorders>
              <w:top w:val="nil"/>
              <w:bottom w:val="nil"/>
            </w:tcBorders>
            <w:vAlign w:val="top"/>
          </w:tcPr>
          <w:p w14:paraId="365AA75F">
            <w:pPr>
              <w:rPr>
                <w:rFonts w:ascii="Arial"/>
                <w:sz w:val="21"/>
              </w:rPr>
            </w:pPr>
          </w:p>
        </w:tc>
        <w:tc>
          <w:tcPr>
            <w:tcW w:w="1822" w:type="dxa"/>
            <w:vAlign w:val="top"/>
          </w:tcPr>
          <w:p w14:paraId="167E6628">
            <w:pPr>
              <w:pStyle w:val="6"/>
              <w:spacing w:before="135" w:line="228" w:lineRule="auto"/>
              <w:ind w:left="178"/>
            </w:pPr>
            <w:r>
              <w:rPr>
                <w:rFonts w:ascii="Times New Roman" w:hAnsi="Times New Roman" w:eastAsia="Times New Roman" w:cs="Times New Roman"/>
                <w:spacing w:val="5"/>
              </w:rPr>
              <w:t>S7</w:t>
            </w:r>
            <w:r>
              <w:rPr>
                <w:spacing w:val="5"/>
              </w:rPr>
              <w:t>（莫奇德家）</w:t>
            </w:r>
          </w:p>
        </w:tc>
        <w:tc>
          <w:tcPr>
            <w:tcW w:w="1842" w:type="dxa"/>
            <w:vAlign w:val="top"/>
          </w:tcPr>
          <w:p w14:paraId="31474458">
            <w:pPr>
              <w:spacing w:before="17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118°56′43.74″</w:t>
            </w:r>
          </w:p>
        </w:tc>
        <w:tc>
          <w:tcPr>
            <w:tcW w:w="1703" w:type="dxa"/>
            <w:vAlign w:val="top"/>
          </w:tcPr>
          <w:p w14:paraId="5CBDEB98">
            <w:pPr>
              <w:spacing w:before="17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10.17″</w:t>
            </w:r>
          </w:p>
        </w:tc>
        <w:tc>
          <w:tcPr>
            <w:tcW w:w="1415" w:type="dxa"/>
            <w:vAlign w:val="top"/>
          </w:tcPr>
          <w:p w14:paraId="150121C5">
            <w:pPr>
              <w:pStyle w:val="6"/>
              <w:spacing w:before="133" w:line="222" w:lineRule="auto"/>
              <w:ind w:left="500"/>
              <w:rPr>
                <w:sz w:val="22"/>
                <w:szCs w:val="22"/>
              </w:rPr>
            </w:pPr>
            <w:r>
              <w:rPr>
                <w:spacing w:val="-7"/>
                <w:sz w:val="22"/>
                <w:szCs w:val="22"/>
              </w:rPr>
              <w:t>西南</w:t>
            </w:r>
          </w:p>
        </w:tc>
        <w:tc>
          <w:tcPr>
            <w:tcW w:w="1420" w:type="dxa"/>
            <w:vAlign w:val="top"/>
          </w:tcPr>
          <w:p w14:paraId="751406AA">
            <w:pPr>
              <w:pStyle w:val="6"/>
              <w:spacing w:before="136" w:line="267" w:lineRule="exact"/>
              <w:ind w:left="560"/>
            </w:pPr>
            <w:r>
              <w:rPr>
                <w:spacing w:val="1"/>
                <w:position w:val="1"/>
              </w:rPr>
              <w:t>2.4</w:t>
            </w:r>
          </w:p>
        </w:tc>
        <w:tc>
          <w:tcPr>
            <w:tcW w:w="1561" w:type="dxa"/>
            <w:vAlign w:val="top"/>
          </w:tcPr>
          <w:p w14:paraId="6DFA95B1">
            <w:pPr>
              <w:pStyle w:val="6"/>
              <w:spacing w:before="135" w:line="228" w:lineRule="auto"/>
              <w:ind w:left="432"/>
            </w:pPr>
            <w:r>
              <w:rPr>
                <w:spacing w:val="7"/>
              </w:rPr>
              <w:t>牧民水井</w:t>
            </w:r>
          </w:p>
        </w:tc>
        <w:tc>
          <w:tcPr>
            <w:tcW w:w="3009" w:type="dxa"/>
            <w:vMerge w:val="continue"/>
            <w:tcBorders>
              <w:top w:val="nil"/>
              <w:bottom w:val="nil"/>
            </w:tcBorders>
            <w:vAlign w:val="top"/>
          </w:tcPr>
          <w:p w14:paraId="680AB5D8">
            <w:pPr>
              <w:rPr>
                <w:rFonts w:ascii="Arial"/>
                <w:sz w:val="21"/>
              </w:rPr>
            </w:pPr>
          </w:p>
        </w:tc>
      </w:tr>
      <w:tr w14:paraId="78868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407" w:type="dxa"/>
            <w:vMerge w:val="continue"/>
            <w:tcBorders>
              <w:top w:val="nil"/>
            </w:tcBorders>
            <w:vAlign w:val="top"/>
          </w:tcPr>
          <w:p w14:paraId="4D62C5A5">
            <w:pPr>
              <w:rPr>
                <w:rFonts w:ascii="Arial"/>
                <w:sz w:val="21"/>
              </w:rPr>
            </w:pPr>
          </w:p>
        </w:tc>
        <w:tc>
          <w:tcPr>
            <w:tcW w:w="1822" w:type="dxa"/>
            <w:vAlign w:val="top"/>
          </w:tcPr>
          <w:p w14:paraId="54911FA0">
            <w:pPr>
              <w:pStyle w:val="6"/>
              <w:spacing w:before="136" w:line="228" w:lineRule="auto"/>
              <w:ind w:left="205"/>
            </w:pPr>
            <w:r>
              <w:rPr>
                <w:rFonts w:ascii="Times New Roman" w:hAnsi="Times New Roman" w:eastAsia="Times New Roman" w:cs="Times New Roman"/>
                <w:spacing w:val="3"/>
              </w:rPr>
              <w:t>S8</w:t>
            </w:r>
            <w:r>
              <w:rPr>
                <w:spacing w:val="3"/>
              </w:rPr>
              <w:t>（牧民点</w:t>
            </w:r>
            <w:r>
              <w:rPr>
                <w:spacing w:val="-32"/>
              </w:rPr>
              <w:t xml:space="preserve"> </w:t>
            </w:r>
            <w:r>
              <w:rPr>
                <w:rFonts w:ascii="Times New Roman" w:hAnsi="Times New Roman" w:eastAsia="Times New Roman" w:cs="Times New Roman"/>
                <w:spacing w:val="3"/>
              </w:rPr>
              <w:t>3</w:t>
            </w:r>
            <w:r>
              <w:rPr>
                <w:spacing w:val="3"/>
              </w:rPr>
              <w:t>）</w:t>
            </w:r>
          </w:p>
        </w:tc>
        <w:tc>
          <w:tcPr>
            <w:tcW w:w="1842" w:type="dxa"/>
            <w:vAlign w:val="top"/>
          </w:tcPr>
          <w:p w14:paraId="3C3482AA">
            <w:pPr>
              <w:spacing w:before="1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118°56′23.45″</w:t>
            </w:r>
          </w:p>
        </w:tc>
        <w:tc>
          <w:tcPr>
            <w:tcW w:w="1703" w:type="dxa"/>
            <w:vAlign w:val="top"/>
          </w:tcPr>
          <w:p w14:paraId="0A419FB6">
            <w:pPr>
              <w:spacing w:before="17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15′25.42″</w:t>
            </w:r>
          </w:p>
        </w:tc>
        <w:tc>
          <w:tcPr>
            <w:tcW w:w="1415" w:type="dxa"/>
            <w:vAlign w:val="top"/>
          </w:tcPr>
          <w:p w14:paraId="6471E697">
            <w:pPr>
              <w:pStyle w:val="6"/>
              <w:spacing w:before="131" w:line="224" w:lineRule="auto"/>
              <w:ind w:left="500"/>
              <w:rPr>
                <w:sz w:val="22"/>
                <w:szCs w:val="22"/>
              </w:rPr>
            </w:pPr>
            <w:r>
              <w:rPr>
                <w:spacing w:val="-7"/>
                <w:sz w:val="22"/>
                <w:szCs w:val="22"/>
              </w:rPr>
              <w:t>西北</w:t>
            </w:r>
          </w:p>
        </w:tc>
        <w:tc>
          <w:tcPr>
            <w:tcW w:w="1420" w:type="dxa"/>
            <w:vAlign w:val="top"/>
          </w:tcPr>
          <w:p w14:paraId="20105172">
            <w:pPr>
              <w:pStyle w:val="6"/>
              <w:spacing w:before="136" w:line="268" w:lineRule="exact"/>
              <w:ind w:left="560"/>
            </w:pPr>
            <w:r>
              <w:rPr>
                <w:spacing w:val="1"/>
                <w:position w:val="1"/>
              </w:rPr>
              <w:t>2.9</w:t>
            </w:r>
          </w:p>
        </w:tc>
        <w:tc>
          <w:tcPr>
            <w:tcW w:w="1561" w:type="dxa"/>
            <w:vAlign w:val="top"/>
          </w:tcPr>
          <w:p w14:paraId="3E2575F3">
            <w:pPr>
              <w:pStyle w:val="6"/>
              <w:spacing w:before="136" w:line="228" w:lineRule="auto"/>
              <w:ind w:left="432"/>
            </w:pPr>
            <w:r>
              <w:rPr>
                <w:spacing w:val="7"/>
              </w:rPr>
              <w:t>牧民水井</w:t>
            </w:r>
          </w:p>
        </w:tc>
        <w:tc>
          <w:tcPr>
            <w:tcW w:w="3009" w:type="dxa"/>
            <w:vMerge w:val="continue"/>
            <w:tcBorders>
              <w:top w:val="nil"/>
            </w:tcBorders>
            <w:vAlign w:val="top"/>
          </w:tcPr>
          <w:p w14:paraId="04ABDCBA">
            <w:pPr>
              <w:rPr>
                <w:rFonts w:ascii="Arial"/>
                <w:sz w:val="21"/>
              </w:rPr>
            </w:pPr>
          </w:p>
        </w:tc>
      </w:tr>
      <w:tr w14:paraId="11B49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407" w:type="dxa"/>
            <w:vMerge w:val="restart"/>
            <w:tcBorders>
              <w:bottom w:val="nil"/>
            </w:tcBorders>
            <w:vAlign w:val="top"/>
          </w:tcPr>
          <w:p w14:paraId="7CE71D3D">
            <w:pPr>
              <w:spacing w:line="474" w:lineRule="auto"/>
              <w:rPr>
                <w:rFonts w:ascii="Arial"/>
                <w:sz w:val="21"/>
              </w:rPr>
            </w:pPr>
          </w:p>
          <w:p w14:paraId="5774A4B8">
            <w:pPr>
              <w:pStyle w:val="6"/>
              <w:spacing w:before="65" w:line="228" w:lineRule="auto"/>
              <w:ind w:left="437"/>
            </w:pPr>
            <w:r>
              <w:rPr>
                <w:spacing w:val="5"/>
              </w:rPr>
              <w:t>声环境</w:t>
            </w:r>
          </w:p>
        </w:tc>
        <w:tc>
          <w:tcPr>
            <w:tcW w:w="1822" w:type="dxa"/>
            <w:vAlign w:val="top"/>
          </w:tcPr>
          <w:p w14:paraId="3DEF52EE">
            <w:pPr>
              <w:pStyle w:val="6"/>
              <w:spacing w:before="217" w:line="227" w:lineRule="auto"/>
              <w:ind w:left="389"/>
            </w:pPr>
            <w:r>
              <w:rPr>
                <w:spacing w:val="8"/>
              </w:rPr>
              <w:t>那布吉拉家</w:t>
            </w:r>
          </w:p>
        </w:tc>
        <w:tc>
          <w:tcPr>
            <w:tcW w:w="1842" w:type="dxa"/>
            <w:vAlign w:val="top"/>
          </w:tcPr>
          <w:p w14:paraId="14808AC5">
            <w:pPr>
              <w:spacing w:before="25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17.90″</w:t>
            </w:r>
          </w:p>
        </w:tc>
        <w:tc>
          <w:tcPr>
            <w:tcW w:w="1703" w:type="dxa"/>
            <w:vAlign w:val="top"/>
          </w:tcPr>
          <w:p w14:paraId="1574F4DD">
            <w:pPr>
              <w:spacing w:before="25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10.67″</w:t>
            </w:r>
          </w:p>
        </w:tc>
        <w:tc>
          <w:tcPr>
            <w:tcW w:w="1415" w:type="dxa"/>
            <w:vAlign w:val="top"/>
          </w:tcPr>
          <w:p w14:paraId="5AC76D62">
            <w:pPr>
              <w:pStyle w:val="6"/>
              <w:spacing w:before="250" w:line="189" w:lineRule="auto"/>
              <w:ind w:left="608"/>
            </w:pPr>
            <w:r>
              <w:t>SW</w:t>
            </w:r>
          </w:p>
        </w:tc>
        <w:tc>
          <w:tcPr>
            <w:tcW w:w="1420" w:type="dxa"/>
            <w:vAlign w:val="top"/>
          </w:tcPr>
          <w:p w14:paraId="379F772E">
            <w:pPr>
              <w:pStyle w:val="6"/>
              <w:spacing w:before="217" w:line="268" w:lineRule="exact"/>
              <w:ind w:left="509"/>
            </w:pPr>
            <w:r>
              <w:rPr>
                <w:spacing w:val="2"/>
                <w:position w:val="1"/>
              </w:rPr>
              <w:t>0.15</w:t>
            </w:r>
          </w:p>
        </w:tc>
        <w:tc>
          <w:tcPr>
            <w:tcW w:w="1561" w:type="dxa"/>
            <w:vAlign w:val="top"/>
          </w:tcPr>
          <w:p w14:paraId="054633F5">
            <w:pPr>
              <w:pStyle w:val="6"/>
              <w:spacing w:before="218" w:line="228" w:lineRule="auto"/>
              <w:ind w:left="409"/>
            </w:pPr>
            <w:r>
              <w:rPr>
                <w:spacing w:val="-7"/>
              </w:rPr>
              <w:t>1</w:t>
            </w:r>
            <w:r>
              <w:rPr>
                <w:spacing w:val="-38"/>
              </w:rPr>
              <w:t xml:space="preserve"> </w:t>
            </w:r>
            <w:r>
              <w:rPr>
                <w:spacing w:val="-7"/>
              </w:rPr>
              <w:t>户</w:t>
            </w:r>
            <w:r>
              <w:rPr>
                <w:spacing w:val="-35"/>
              </w:rPr>
              <w:t xml:space="preserve"> </w:t>
            </w:r>
            <w:r>
              <w:rPr>
                <w:spacing w:val="-7"/>
              </w:rPr>
              <w:t>3</w:t>
            </w:r>
            <w:r>
              <w:rPr>
                <w:spacing w:val="-36"/>
              </w:rPr>
              <w:t xml:space="preserve"> </w:t>
            </w:r>
            <w:r>
              <w:rPr>
                <w:spacing w:val="-7"/>
              </w:rPr>
              <w:t>人</w:t>
            </w:r>
          </w:p>
        </w:tc>
        <w:tc>
          <w:tcPr>
            <w:tcW w:w="3009" w:type="dxa"/>
            <w:vAlign w:val="top"/>
          </w:tcPr>
          <w:p w14:paraId="07B7EE23">
            <w:pPr>
              <w:pStyle w:val="6"/>
              <w:spacing w:before="78" w:line="228" w:lineRule="auto"/>
              <w:ind w:left="45"/>
            </w:pPr>
            <w:r>
              <w:rPr>
                <w:spacing w:val="8"/>
              </w:rPr>
              <w:t>《声环境质量标准》（</w:t>
            </w:r>
            <w:r>
              <w:t>GB</w:t>
            </w:r>
            <w:r>
              <w:rPr>
                <w:spacing w:val="8"/>
              </w:rPr>
              <w:t>3096—</w:t>
            </w:r>
          </w:p>
          <w:p w14:paraId="00A398A0">
            <w:pPr>
              <w:pStyle w:val="6"/>
              <w:spacing w:before="74" w:line="216" w:lineRule="auto"/>
              <w:ind w:left="803"/>
            </w:pPr>
            <w:r>
              <w:rPr>
                <w:spacing w:val="5"/>
              </w:rPr>
              <w:t>2008）2</w:t>
            </w:r>
            <w:r>
              <w:rPr>
                <w:spacing w:val="-41"/>
              </w:rPr>
              <w:t xml:space="preserve"> </w:t>
            </w:r>
            <w:r>
              <w:rPr>
                <w:spacing w:val="5"/>
              </w:rPr>
              <w:t>类标准</w:t>
            </w:r>
          </w:p>
        </w:tc>
      </w:tr>
      <w:tr w14:paraId="354F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407" w:type="dxa"/>
            <w:vMerge w:val="continue"/>
            <w:tcBorders>
              <w:top w:val="nil"/>
            </w:tcBorders>
            <w:vAlign w:val="top"/>
          </w:tcPr>
          <w:p w14:paraId="233B5A04">
            <w:pPr>
              <w:rPr>
                <w:rFonts w:ascii="Arial"/>
                <w:sz w:val="21"/>
              </w:rPr>
            </w:pPr>
          </w:p>
        </w:tc>
        <w:tc>
          <w:tcPr>
            <w:tcW w:w="9763" w:type="dxa"/>
            <w:gridSpan w:val="6"/>
            <w:vAlign w:val="top"/>
          </w:tcPr>
          <w:p w14:paraId="3488B3D8">
            <w:pPr>
              <w:pStyle w:val="6"/>
              <w:spacing w:before="219" w:line="228" w:lineRule="auto"/>
              <w:ind w:left="4470"/>
            </w:pPr>
            <w:r>
              <w:rPr>
                <w:spacing w:val="6"/>
              </w:rPr>
              <w:t>厂界噪声</w:t>
            </w:r>
          </w:p>
        </w:tc>
        <w:tc>
          <w:tcPr>
            <w:tcW w:w="3009" w:type="dxa"/>
            <w:vAlign w:val="top"/>
          </w:tcPr>
          <w:p w14:paraId="7DFC4DE8">
            <w:pPr>
              <w:pStyle w:val="6"/>
              <w:spacing w:before="79" w:line="256" w:lineRule="auto"/>
              <w:ind w:left="67" w:right="34" w:hanging="22"/>
            </w:pPr>
            <w:r>
              <w:rPr>
                <w:spacing w:val="8"/>
              </w:rPr>
              <w:t>《工业企业厂界环境噪声排放标</w:t>
            </w:r>
            <w:r>
              <w:rPr>
                <w:spacing w:val="11"/>
              </w:rPr>
              <w:t xml:space="preserve"> </w:t>
            </w:r>
            <w:r>
              <w:rPr>
                <w:spacing w:val="6"/>
              </w:rPr>
              <w:t>准》（</w:t>
            </w:r>
            <w:r>
              <w:t>GB</w:t>
            </w:r>
            <w:r>
              <w:rPr>
                <w:spacing w:val="6"/>
              </w:rPr>
              <w:t>12348-2008）2</w:t>
            </w:r>
            <w:r>
              <w:rPr>
                <w:spacing w:val="-34"/>
              </w:rPr>
              <w:t xml:space="preserve"> </w:t>
            </w:r>
            <w:r>
              <w:rPr>
                <w:spacing w:val="6"/>
              </w:rPr>
              <w:t>类标准</w:t>
            </w:r>
          </w:p>
        </w:tc>
      </w:tr>
      <w:tr w14:paraId="1D3F3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407" w:type="dxa"/>
            <w:vAlign w:val="top"/>
          </w:tcPr>
          <w:p w14:paraId="345A0066">
            <w:pPr>
              <w:spacing w:line="312" w:lineRule="auto"/>
              <w:rPr>
                <w:rFonts w:ascii="Arial"/>
                <w:sz w:val="21"/>
              </w:rPr>
            </w:pPr>
          </w:p>
          <w:p w14:paraId="0D21C24D">
            <w:pPr>
              <w:pStyle w:val="6"/>
              <w:spacing w:before="65" w:line="229" w:lineRule="auto"/>
              <w:ind w:left="499"/>
            </w:pPr>
            <w:r>
              <w:rPr>
                <w:spacing w:val="4"/>
              </w:rPr>
              <w:t>土壤</w:t>
            </w:r>
          </w:p>
        </w:tc>
        <w:tc>
          <w:tcPr>
            <w:tcW w:w="9763" w:type="dxa"/>
            <w:gridSpan w:val="6"/>
            <w:vAlign w:val="top"/>
          </w:tcPr>
          <w:p w14:paraId="0C33D6DB">
            <w:pPr>
              <w:spacing w:line="311" w:lineRule="auto"/>
              <w:rPr>
                <w:rFonts w:ascii="Arial"/>
                <w:sz w:val="21"/>
              </w:rPr>
            </w:pPr>
          </w:p>
          <w:p w14:paraId="34C37EDE">
            <w:pPr>
              <w:pStyle w:val="6"/>
              <w:spacing w:before="65" w:line="228" w:lineRule="auto"/>
              <w:ind w:left="3313"/>
            </w:pPr>
            <w:r>
              <w:rPr>
                <w:spacing w:val="5"/>
              </w:rPr>
              <w:t>厂区边界外</w:t>
            </w:r>
            <w:r>
              <w:rPr>
                <w:spacing w:val="-13"/>
              </w:rPr>
              <w:t xml:space="preserve"> </w:t>
            </w:r>
            <w:r>
              <w:rPr>
                <w:spacing w:val="5"/>
              </w:rPr>
              <w:t>1000m</w:t>
            </w:r>
            <w:r>
              <w:rPr>
                <w:spacing w:val="-35"/>
              </w:rPr>
              <w:t xml:space="preserve"> </w:t>
            </w:r>
            <w:r>
              <w:rPr>
                <w:spacing w:val="5"/>
              </w:rPr>
              <w:t>范围天然牧草地</w:t>
            </w:r>
          </w:p>
        </w:tc>
        <w:tc>
          <w:tcPr>
            <w:tcW w:w="3009" w:type="dxa"/>
            <w:vAlign w:val="top"/>
          </w:tcPr>
          <w:p w14:paraId="53444E5D">
            <w:pPr>
              <w:pStyle w:val="6"/>
              <w:spacing w:before="81" w:line="228" w:lineRule="auto"/>
              <w:ind w:left="93"/>
            </w:pPr>
            <w:r>
              <w:rPr>
                <w:spacing w:val="8"/>
              </w:rPr>
              <w:t>土壤环境质量 农用地土壤污染</w:t>
            </w:r>
          </w:p>
          <w:p w14:paraId="417A6223">
            <w:pPr>
              <w:pStyle w:val="6"/>
              <w:spacing w:before="71" w:line="228" w:lineRule="auto"/>
              <w:ind w:left="460"/>
            </w:pPr>
            <w:r>
              <w:rPr>
                <w:spacing w:val="7"/>
              </w:rPr>
              <w:t>风险管控标准（试行）</w:t>
            </w:r>
          </w:p>
          <w:p w14:paraId="6F3DF35E">
            <w:pPr>
              <w:pStyle w:val="6"/>
              <w:spacing w:before="74" w:line="219" w:lineRule="auto"/>
              <w:ind w:left="681"/>
            </w:pPr>
            <w:r>
              <w:rPr>
                <w:spacing w:val="4"/>
              </w:rPr>
              <w:t>（</w:t>
            </w:r>
            <w:r>
              <w:t>GB</w:t>
            </w:r>
            <w:r>
              <w:rPr>
                <w:spacing w:val="4"/>
              </w:rPr>
              <w:t>15618-2018）</w:t>
            </w:r>
          </w:p>
        </w:tc>
      </w:tr>
    </w:tbl>
    <w:p w14:paraId="1E2F92C7">
      <w:pPr>
        <w:pStyle w:val="2"/>
      </w:pPr>
    </w:p>
    <w:p w14:paraId="48670895">
      <w:pPr>
        <w:sectPr>
          <w:footerReference r:id="rId46" w:type="default"/>
          <w:pgSz w:w="16839" w:h="11906"/>
          <w:pgMar w:top="1208" w:right="1327" w:bottom="1358" w:left="1326" w:header="825" w:footer="1195" w:gutter="0"/>
          <w:cols w:space="720" w:num="1"/>
        </w:sectPr>
      </w:pPr>
    </w:p>
    <w:p w14:paraId="365BB418">
      <w:pPr>
        <w:pStyle w:val="2"/>
        <w:spacing w:line="246" w:lineRule="auto"/>
      </w:pPr>
    </w:p>
    <w:p w14:paraId="40199C29">
      <w:pPr>
        <w:pStyle w:val="2"/>
        <w:spacing w:line="247" w:lineRule="auto"/>
      </w:pPr>
    </w:p>
    <w:p w14:paraId="3A28126E">
      <w:pPr>
        <w:pStyle w:val="2"/>
        <w:spacing w:line="247" w:lineRule="auto"/>
      </w:pPr>
    </w:p>
    <w:p w14:paraId="245EEF1E">
      <w:pPr>
        <w:spacing w:line="7660" w:lineRule="exact"/>
        <w:ind w:firstLine="705"/>
      </w:pPr>
      <w:r>
        <w:rPr>
          <w:position w:val="-153"/>
        </w:rPr>
        <w:drawing>
          <wp:inline distT="0" distB="0" distL="0" distR="0">
            <wp:extent cx="7942580" cy="4864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61"/>
                    <a:stretch>
                      <a:fillRect/>
                    </a:stretch>
                  </pic:blipFill>
                  <pic:spPr>
                    <a:xfrm>
                      <a:off x="0" y="0"/>
                      <a:ext cx="7943087" cy="4864608"/>
                    </a:xfrm>
                    <a:prstGeom prst="rect">
                      <a:avLst/>
                    </a:prstGeom>
                  </pic:spPr>
                </pic:pic>
              </a:graphicData>
            </a:graphic>
          </wp:inline>
        </w:drawing>
      </w:r>
    </w:p>
    <w:p w14:paraId="6C30FB80">
      <w:pPr>
        <w:spacing w:before="212" w:line="226" w:lineRule="auto"/>
        <w:ind w:left="4749"/>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33"/>
          <w:sz w:val="20"/>
          <w:szCs w:val="20"/>
        </w:rPr>
        <w:t xml:space="preserve"> </w:t>
      </w:r>
      <w:r>
        <w:rPr>
          <w:rFonts w:ascii="Times New Roman" w:hAnsi="Times New Roman" w:eastAsia="Times New Roman" w:cs="Times New Roman"/>
          <w:spacing w:val="6"/>
          <w:sz w:val="20"/>
          <w:szCs w:val="20"/>
        </w:rPr>
        <w:t xml:space="preserve">2.6-2    </w:t>
      </w:r>
      <w:r>
        <w:rPr>
          <w:rFonts w:ascii="宋体" w:hAnsi="宋体" w:eastAsia="宋体" w:cs="宋体"/>
          <w:spacing w:val="6"/>
          <w:sz w:val="20"/>
          <w:szCs w:val="20"/>
        </w:rPr>
        <w:t>本项目大气评价范围内大气保护目标图</w:t>
      </w:r>
    </w:p>
    <w:p w14:paraId="73A89F8B">
      <w:pPr>
        <w:spacing w:line="226" w:lineRule="auto"/>
        <w:rPr>
          <w:rFonts w:ascii="宋体" w:hAnsi="宋体" w:eastAsia="宋体" w:cs="宋体"/>
          <w:sz w:val="20"/>
          <w:szCs w:val="20"/>
        </w:rPr>
        <w:sectPr>
          <w:headerReference r:id="rId47" w:type="default"/>
          <w:footerReference r:id="rId48" w:type="default"/>
          <w:pgSz w:w="16839" w:h="11906"/>
          <w:pgMar w:top="1208" w:right="1440" w:bottom="1358" w:left="1440" w:header="825" w:footer="1195" w:gutter="0"/>
          <w:cols w:space="720" w:num="1"/>
        </w:sectPr>
      </w:pPr>
    </w:p>
    <w:p w14:paraId="59401B02">
      <w:pPr>
        <w:pStyle w:val="2"/>
        <w:spacing w:line="270" w:lineRule="auto"/>
      </w:pPr>
    </w:p>
    <w:p w14:paraId="16BE54A2">
      <w:pPr>
        <w:spacing w:before="78" w:line="219" w:lineRule="auto"/>
        <w:ind w:left="59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2.6.2.1 </w:t>
      </w:r>
      <w:r>
        <w:rPr>
          <w:rFonts w:ascii="宋体" w:hAnsi="宋体" w:eastAsia="宋体" w:cs="宋体"/>
          <w:spacing w:val="-1"/>
          <w:sz w:val="24"/>
          <w:szCs w:val="24"/>
        </w:rPr>
        <w:t>地下水保护目标</w:t>
      </w:r>
    </w:p>
    <w:p w14:paraId="7112A271">
      <w:pPr>
        <w:spacing w:before="194" w:line="368" w:lineRule="auto"/>
        <w:ind w:left="123" w:right="112" w:firstLine="478"/>
        <w:jc w:val="both"/>
        <w:rPr>
          <w:rFonts w:ascii="宋体" w:hAnsi="宋体" w:eastAsia="宋体" w:cs="宋体"/>
          <w:sz w:val="24"/>
          <w:szCs w:val="24"/>
        </w:rPr>
      </w:pPr>
      <w:r>
        <w:rPr>
          <w:rFonts w:ascii="宋体" w:hAnsi="宋体" w:eastAsia="宋体" w:cs="宋体"/>
          <w:spacing w:val="-3"/>
          <w:sz w:val="24"/>
          <w:szCs w:val="24"/>
        </w:rPr>
        <w:t>评价区位于丘陵及丘间洼地内，丘陵区主要赋存基岩裂隙水，丘间洼地主要</w:t>
      </w:r>
      <w:r>
        <w:rPr>
          <w:rFonts w:ascii="宋体" w:hAnsi="宋体" w:eastAsia="宋体" w:cs="宋体"/>
          <w:sz w:val="24"/>
          <w:szCs w:val="24"/>
        </w:rPr>
        <w:t xml:space="preserve"> </w:t>
      </w:r>
      <w:r>
        <w:rPr>
          <w:rFonts w:ascii="宋体" w:hAnsi="宋体" w:eastAsia="宋体" w:cs="宋体"/>
          <w:spacing w:val="-3"/>
          <w:sz w:val="24"/>
          <w:szCs w:val="24"/>
        </w:rPr>
        <w:t>赋存第四系松散岩类孔隙水和碎屑岩类孔隙裂隙水，其中第四系松散岩类孔隙水</w:t>
      </w:r>
      <w:r>
        <w:rPr>
          <w:rFonts w:ascii="宋体" w:hAnsi="宋体" w:eastAsia="宋体" w:cs="宋体"/>
          <w:spacing w:val="4"/>
          <w:sz w:val="24"/>
          <w:szCs w:val="24"/>
        </w:rPr>
        <w:t xml:space="preserve"> </w:t>
      </w:r>
      <w:r>
        <w:rPr>
          <w:rFonts w:ascii="宋体" w:hAnsi="宋体" w:eastAsia="宋体" w:cs="宋体"/>
          <w:spacing w:val="-3"/>
          <w:sz w:val="24"/>
          <w:szCs w:val="24"/>
        </w:rPr>
        <w:t>富水性相对较好，是本区主要供水目的层，根据分析，本项目对第四系松散岩类</w:t>
      </w:r>
      <w:r>
        <w:rPr>
          <w:rFonts w:ascii="宋体" w:hAnsi="宋体" w:eastAsia="宋体" w:cs="宋体"/>
          <w:spacing w:val="4"/>
          <w:sz w:val="24"/>
          <w:szCs w:val="24"/>
        </w:rPr>
        <w:t xml:space="preserve"> </w:t>
      </w:r>
      <w:r>
        <w:rPr>
          <w:rFonts w:ascii="宋体" w:hAnsi="宋体" w:eastAsia="宋体" w:cs="宋体"/>
          <w:spacing w:val="-1"/>
          <w:sz w:val="24"/>
          <w:szCs w:val="24"/>
        </w:rPr>
        <w:t>孔隙水和基岩裂隙水产生影响的可能性较大。</w:t>
      </w:r>
    </w:p>
    <w:p w14:paraId="19AD71F8">
      <w:pPr>
        <w:spacing w:before="1" w:line="368" w:lineRule="auto"/>
        <w:ind w:left="122" w:right="32" w:firstLine="480"/>
        <w:jc w:val="both"/>
        <w:rPr>
          <w:rFonts w:ascii="宋体" w:hAnsi="宋体" w:eastAsia="宋体" w:cs="宋体"/>
          <w:sz w:val="24"/>
          <w:szCs w:val="24"/>
        </w:rPr>
      </w:pPr>
      <w:r>
        <w:rPr>
          <w:rFonts w:ascii="宋体" w:hAnsi="宋体" w:eastAsia="宋体" w:cs="宋体"/>
          <w:spacing w:val="-3"/>
          <w:sz w:val="24"/>
          <w:szCs w:val="24"/>
        </w:rPr>
        <w:t>本项目不属于自然保护区范围，对自然保护区不会产生影响；项目区周</w:t>
      </w:r>
      <w:r>
        <w:rPr>
          <w:rFonts w:ascii="宋体" w:hAnsi="宋体" w:eastAsia="宋体" w:cs="宋体"/>
          <w:spacing w:val="-4"/>
          <w:sz w:val="24"/>
          <w:szCs w:val="24"/>
        </w:rPr>
        <w:t>边无</w:t>
      </w:r>
      <w:r>
        <w:rPr>
          <w:rFonts w:ascii="宋体" w:hAnsi="宋体" w:eastAsia="宋体" w:cs="宋体"/>
          <w:sz w:val="24"/>
          <w:szCs w:val="24"/>
        </w:rPr>
        <w:t xml:space="preserve"> </w:t>
      </w:r>
      <w:r>
        <w:rPr>
          <w:rFonts w:ascii="宋体" w:hAnsi="宋体" w:eastAsia="宋体" w:cs="宋体"/>
          <w:spacing w:val="-3"/>
          <w:sz w:val="24"/>
          <w:szCs w:val="24"/>
        </w:rPr>
        <w:t>集中供水水源地，评价区不属于地下水水源地一级和二级保护区，地下水用途多</w:t>
      </w:r>
      <w:r>
        <w:rPr>
          <w:rFonts w:ascii="宋体" w:hAnsi="宋体" w:eastAsia="宋体" w:cs="宋体"/>
          <w:spacing w:val="5"/>
          <w:sz w:val="24"/>
          <w:szCs w:val="24"/>
        </w:rPr>
        <w:t xml:space="preserve"> </w:t>
      </w:r>
      <w:r>
        <w:rPr>
          <w:rFonts w:ascii="宋体" w:hAnsi="宋体" w:eastAsia="宋体" w:cs="宋体"/>
          <w:spacing w:val="3"/>
          <w:sz w:val="24"/>
          <w:szCs w:val="24"/>
        </w:rPr>
        <w:t>以牧民分散式开采为主。根据调查，项目区下游有</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S3</w:t>
      </w:r>
      <w:r>
        <w:rPr>
          <w:rFonts w:ascii="宋体" w:hAnsi="宋体" w:eastAsia="宋体" w:cs="宋体"/>
          <w:spacing w:val="3"/>
          <w:sz w:val="24"/>
          <w:szCs w:val="24"/>
        </w:rPr>
        <w:t>（项目区西北</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3410m</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 xml:space="preserve">  </w:t>
      </w:r>
      <w:r>
        <w:rPr>
          <w:rFonts w:ascii="宋体" w:hAnsi="宋体" w:eastAsia="宋体" w:cs="宋体"/>
          <w:spacing w:val="-10"/>
          <w:sz w:val="24"/>
          <w:szCs w:val="24"/>
        </w:rPr>
        <w:t>眼井）、</w:t>
      </w:r>
      <w:r>
        <w:rPr>
          <w:rFonts w:ascii="Times New Roman" w:hAnsi="Times New Roman" w:eastAsia="Times New Roman" w:cs="Times New Roman"/>
          <w:spacing w:val="-10"/>
          <w:sz w:val="24"/>
          <w:szCs w:val="24"/>
        </w:rPr>
        <w:t>S4</w:t>
      </w:r>
      <w:r>
        <w:rPr>
          <w:rFonts w:ascii="宋体" w:hAnsi="宋体" w:eastAsia="宋体" w:cs="宋体"/>
          <w:spacing w:val="-10"/>
          <w:sz w:val="24"/>
          <w:szCs w:val="24"/>
        </w:rPr>
        <w:t>（项目区西北</w:t>
      </w:r>
      <w:r>
        <w:rPr>
          <w:rFonts w:ascii="宋体" w:hAnsi="宋体" w:eastAsia="宋体" w:cs="宋体"/>
          <w:spacing w:val="-44"/>
          <w:sz w:val="24"/>
          <w:szCs w:val="24"/>
        </w:rPr>
        <w:t xml:space="preserve"> </w:t>
      </w:r>
      <w:r>
        <w:rPr>
          <w:rFonts w:ascii="Times New Roman" w:hAnsi="Times New Roman" w:eastAsia="Times New Roman" w:cs="Times New Roman"/>
          <w:spacing w:val="-10"/>
          <w:sz w:val="24"/>
          <w:szCs w:val="24"/>
        </w:rPr>
        <w:t>3440m</w:t>
      </w:r>
      <w:r>
        <w:rPr>
          <w:rFonts w:ascii="Times New Roman" w:hAnsi="Times New Roman" w:eastAsia="Times New Roman" w:cs="Times New Roman"/>
          <w:spacing w:val="-33"/>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4"/>
          <w:w w:val="101"/>
          <w:sz w:val="24"/>
          <w:szCs w:val="24"/>
        </w:rPr>
        <w:t xml:space="preserve"> </w:t>
      </w:r>
      <w:r>
        <w:rPr>
          <w:rFonts w:ascii="宋体" w:hAnsi="宋体" w:eastAsia="宋体" w:cs="宋体"/>
          <w:spacing w:val="-10"/>
          <w:sz w:val="24"/>
          <w:szCs w:val="24"/>
        </w:rPr>
        <w:t>眼井）、</w:t>
      </w:r>
      <w:r>
        <w:rPr>
          <w:rFonts w:ascii="Times New Roman" w:hAnsi="Times New Roman" w:eastAsia="Times New Roman" w:cs="Times New Roman"/>
          <w:spacing w:val="-10"/>
          <w:sz w:val="24"/>
          <w:szCs w:val="24"/>
        </w:rPr>
        <w:t>S10</w:t>
      </w:r>
      <w:r>
        <w:rPr>
          <w:rFonts w:ascii="宋体" w:hAnsi="宋体" w:eastAsia="宋体" w:cs="宋体"/>
          <w:spacing w:val="-10"/>
          <w:sz w:val="24"/>
          <w:szCs w:val="24"/>
        </w:rPr>
        <w:t>（项目区西北</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5990m</w:t>
      </w:r>
      <w:r>
        <w:rPr>
          <w:rFonts w:ascii="Times New Roman" w:hAnsi="Times New Roman" w:eastAsia="Times New Roman" w:cs="Times New Roman"/>
          <w:spacing w:val="-33"/>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10"/>
          <w:sz w:val="24"/>
          <w:szCs w:val="24"/>
        </w:rPr>
        <w:t>眼井）、</w:t>
      </w:r>
      <w:r>
        <w:rPr>
          <w:rFonts w:ascii="宋体" w:hAnsi="宋体" w:eastAsia="宋体" w:cs="宋体"/>
          <w:sz w:val="24"/>
          <w:szCs w:val="24"/>
        </w:rPr>
        <w:t xml:space="preserve"> </w:t>
      </w:r>
      <w:r>
        <w:rPr>
          <w:rFonts w:ascii="Times New Roman" w:hAnsi="Times New Roman" w:eastAsia="Times New Roman" w:cs="Times New Roman"/>
          <w:spacing w:val="-1"/>
          <w:sz w:val="24"/>
          <w:szCs w:val="24"/>
        </w:rPr>
        <w:t>S11</w:t>
      </w:r>
      <w:r>
        <w:rPr>
          <w:rFonts w:ascii="宋体" w:hAnsi="宋体" w:eastAsia="宋体" w:cs="宋体"/>
          <w:spacing w:val="-1"/>
          <w:sz w:val="24"/>
          <w:szCs w:val="24"/>
        </w:rPr>
        <w:t>（项目区西北</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6560m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眼井）、</w:t>
      </w:r>
      <w:r>
        <w:rPr>
          <w:rFonts w:ascii="Times New Roman" w:hAnsi="Times New Roman" w:eastAsia="Times New Roman" w:cs="Times New Roman"/>
          <w:spacing w:val="-1"/>
          <w:sz w:val="24"/>
          <w:szCs w:val="24"/>
        </w:rPr>
        <w:t>S13</w:t>
      </w:r>
      <w:r>
        <w:rPr>
          <w:rFonts w:ascii="宋体" w:hAnsi="宋体" w:eastAsia="宋体" w:cs="宋体"/>
          <w:spacing w:val="-1"/>
          <w:sz w:val="24"/>
          <w:szCs w:val="24"/>
        </w:rPr>
        <w:t>（项目区西南</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455</w:t>
      </w:r>
      <w:r>
        <w:rPr>
          <w:rFonts w:ascii="Times New Roman" w:hAnsi="Times New Roman" w:eastAsia="Times New Roman" w:cs="Times New Roman"/>
          <w:spacing w:val="-2"/>
          <w:sz w:val="24"/>
          <w:szCs w:val="24"/>
        </w:rPr>
        <w:t>0m</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眼井）、</w:t>
      </w:r>
      <w:r>
        <w:rPr>
          <w:rFonts w:ascii="Times New Roman" w:hAnsi="Times New Roman" w:eastAsia="Times New Roman" w:cs="Times New Roman"/>
          <w:spacing w:val="-2"/>
          <w:sz w:val="24"/>
          <w:szCs w:val="24"/>
        </w:rPr>
        <w:t>S14</w:t>
      </w:r>
      <w:r>
        <w:rPr>
          <w:rFonts w:ascii="Times New Roman" w:hAnsi="Times New Roman" w:eastAsia="Times New Roman" w:cs="Times New Roman"/>
          <w:sz w:val="24"/>
          <w:szCs w:val="24"/>
        </w:rPr>
        <w:t xml:space="preserve">  </w:t>
      </w:r>
      <w:r>
        <w:rPr>
          <w:rFonts w:ascii="宋体" w:hAnsi="宋体" w:eastAsia="宋体" w:cs="宋体"/>
          <w:spacing w:val="-1"/>
          <w:sz w:val="24"/>
          <w:szCs w:val="24"/>
        </w:rPr>
        <w:t>（项目区西南</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1990m</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眼井）、</w:t>
      </w:r>
      <w:r>
        <w:rPr>
          <w:rFonts w:ascii="Times New Roman" w:hAnsi="Times New Roman" w:eastAsia="Times New Roman" w:cs="Times New Roman"/>
          <w:spacing w:val="-1"/>
          <w:sz w:val="24"/>
          <w:szCs w:val="24"/>
        </w:rPr>
        <w:t>S15</w:t>
      </w:r>
      <w:r>
        <w:rPr>
          <w:rFonts w:ascii="宋体" w:hAnsi="宋体" w:eastAsia="宋体" w:cs="宋体"/>
          <w:spacing w:val="-1"/>
          <w:sz w:val="24"/>
          <w:szCs w:val="24"/>
        </w:rPr>
        <w:t>（项目区西南</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550m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眼井）、</w:t>
      </w:r>
      <w:r>
        <w:rPr>
          <w:rFonts w:ascii="Times New Roman" w:hAnsi="Times New Roman" w:eastAsia="Times New Roman" w:cs="Times New Roman"/>
          <w:spacing w:val="-2"/>
          <w:sz w:val="24"/>
          <w:szCs w:val="24"/>
        </w:rPr>
        <w:t>S9</w:t>
      </w:r>
      <w:r>
        <w:rPr>
          <w:rFonts w:ascii="宋体" w:hAnsi="宋体" w:eastAsia="宋体" w:cs="宋体"/>
          <w:spacing w:val="-2"/>
          <w:sz w:val="24"/>
          <w:szCs w:val="24"/>
        </w:rPr>
        <w:t>（项</w:t>
      </w:r>
      <w:r>
        <w:rPr>
          <w:rFonts w:ascii="宋体" w:hAnsi="宋体" w:eastAsia="宋体" w:cs="宋体"/>
          <w:sz w:val="24"/>
          <w:szCs w:val="24"/>
        </w:rPr>
        <w:t xml:space="preserve"> 目区西南</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2550m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眼井</w:t>
      </w:r>
      <w:r>
        <w:rPr>
          <w:rFonts w:ascii="宋体" w:hAnsi="宋体" w:eastAsia="宋体" w:cs="宋体"/>
          <w:spacing w:val="17"/>
          <w:sz w:val="24"/>
          <w:szCs w:val="24"/>
        </w:rPr>
        <w:t>），</w:t>
      </w:r>
      <w:r>
        <w:rPr>
          <w:rFonts w:ascii="宋体" w:hAnsi="宋体" w:eastAsia="宋体" w:cs="宋体"/>
          <w:sz w:val="24"/>
          <w:szCs w:val="24"/>
        </w:rPr>
        <w:t>本项目产生影响的可能性较大；项目区侧向有</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 xml:space="preserve">S1  </w:t>
      </w:r>
      <w:r>
        <w:rPr>
          <w:rFonts w:ascii="宋体" w:hAnsi="宋体" w:eastAsia="宋体" w:cs="宋体"/>
          <w:spacing w:val="-3"/>
          <w:sz w:val="24"/>
          <w:szCs w:val="24"/>
        </w:rPr>
        <w:t>（项目区西北</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3460m</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眼井）、</w:t>
      </w:r>
      <w:r>
        <w:rPr>
          <w:rFonts w:ascii="Times New Roman" w:hAnsi="Times New Roman" w:eastAsia="Times New Roman" w:cs="Times New Roman"/>
          <w:spacing w:val="-3"/>
          <w:sz w:val="24"/>
          <w:szCs w:val="24"/>
        </w:rPr>
        <w:t>S2</w:t>
      </w:r>
      <w:r>
        <w:rPr>
          <w:rFonts w:ascii="宋体" w:hAnsi="宋体" w:eastAsia="宋体" w:cs="宋体"/>
          <w:spacing w:val="-3"/>
          <w:sz w:val="24"/>
          <w:szCs w:val="24"/>
        </w:rPr>
        <w:t>（项目区西</w:t>
      </w:r>
      <w:r>
        <w:rPr>
          <w:rFonts w:ascii="宋体" w:hAnsi="宋体" w:eastAsia="宋体" w:cs="宋体"/>
          <w:spacing w:val="-4"/>
          <w:sz w:val="24"/>
          <w:szCs w:val="24"/>
        </w:rPr>
        <w:t>北</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3340m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4"/>
          <w:sz w:val="24"/>
          <w:szCs w:val="24"/>
        </w:rPr>
        <w:t xml:space="preserve"> </w:t>
      </w:r>
      <w:r>
        <w:rPr>
          <w:rFonts w:ascii="宋体" w:hAnsi="宋体" w:eastAsia="宋体" w:cs="宋体"/>
          <w:spacing w:val="-4"/>
          <w:sz w:val="24"/>
          <w:szCs w:val="24"/>
        </w:rPr>
        <w:t>眼井）、</w:t>
      </w:r>
      <w:r>
        <w:rPr>
          <w:rFonts w:ascii="Times New Roman" w:hAnsi="Times New Roman" w:eastAsia="Times New Roman" w:cs="Times New Roman"/>
          <w:spacing w:val="-4"/>
          <w:sz w:val="24"/>
          <w:szCs w:val="24"/>
        </w:rPr>
        <w:t>S7</w:t>
      </w:r>
      <w:r>
        <w:rPr>
          <w:rFonts w:ascii="宋体" w:hAnsi="宋体" w:eastAsia="宋体" w:cs="宋体"/>
          <w:spacing w:val="-4"/>
          <w:sz w:val="24"/>
          <w:szCs w:val="24"/>
        </w:rPr>
        <w:t>（项目</w:t>
      </w:r>
      <w:r>
        <w:rPr>
          <w:rFonts w:ascii="宋体" w:hAnsi="宋体" w:eastAsia="宋体" w:cs="宋体"/>
          <w:sz w:val="24"/>
          <w:szCs w:val="24"/>
        </w:rPr>
        <w:t xml:space="preserve"> </w:t>
      </w:r>
      <w:r>
        <w:rPr>
          <w:rFonts w:ascii="宋体" w:hAnsi="宋体" w:eastAsia="宋体" w:cs="宋体"/>
          <w:spacing w:val="-3"/>
          <w:sz w:val="24"/>
          <w:szCs w:val="24"/>
        </w:rPr>
        <w:t>区西南</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2420m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眼井）、</w:t>
      </w:r>
      <w:r>
        <w:rPr>
          <w:rFonts w:ascii="Times New Roman" w:hAnsi="Times New Roman" w:eastAsia="Times New Roman" w:cs="Times New Roman"/>
          <w:spacing w:val="-3"/>
          <w:sz w:val="24"/>
          <w:szCs w:val="24"/>
        </w:rPr>
        <w:t>S8</w:t>
      </w:r>
      <w:r>
        <w:rPr>
          <w:rFonts w:ascii="宋体" w:hAnsi="宋体" w:eastAsia="宋体" w:cs="宋体"/>
          <w:spacing w:val="-3"/>
          <w:sz w:val="24"/>
          <w:szCs w:val="24"/>
        </w:rPr>
        <w:t>（项目区</w:t>
      </w:r>
      <w:r>
        <w:rPr>
          <w:rFonts w:ascii="宋体" w:hAnsi="宋体" w:eastAsia="宋体" w:cs="宋体"/>
          <w:spacing w:val="-4"/>
          <w:sz w:val="24"/>
          <w:szCs w:val="24"/>
        </w:rPr>
        <w:t>西北</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2930m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4"/>
          <w:w w:val="101"/>
          <w:sz w:val="24"/>
          <w:szCs w:val="24"/>
        </w:rPr>
        <w:t xml:space="preserve"> </w:t>
      </w:r>
      <w:r>
        <w:rPr>
          <w:rFonts w:ascii="宋体" w:hAnsi="宋体" w:eastAsia="宋体" w:cs="宋体"/>
          <w:spacing w:val="-4"/>
          <w:sz w:val="24"/>
          <w:szCs w:val="24"/>
        </w:rPr>
        <w:t>眼井</w:t>
      </w:r>
      <w:r>
        <w:rPr>
          <w:rFonts w:ascii="宋体" w:hAnsi="宋体" w:eastAsia="宋体" w:cs="宋体"/>
          <w:spacing w:val="5"/>
          <w:sz w:val="24"/>
          <w:szCs w:val="24"/>
        </w:rPr>
        <w:t>），</w:t>
      </w:r>
      <w:r>
        <w:rPr>
          <w:rFonts w:ascii="宋体" w:hAnsi="宋体" w:eastAsia="宋体" w:cs="宋体"/>
          <w:spacing w:val="-4"/>
          <w:sz w:val="24"/>
          <w:szCs w:val="24"/>
        </w:rPr>
        <w:t>本项目对其产生</w:t>
      </w:r>
      <w:r>
        <w:rPr>
          <w:rFonts w:ascii="宋体" w:hAnsi="宋体" w:eastAsia="宋体" w:cs="宋体"/>
          <w:sz w:val="24"/>
          <w:szCs w:val="24"/>
        </w:rPr>
        <w:t xml:space="preserve"> </w:t>
      </w:r>
      <w:r>
        <w:rPr>
          <w:rFonts w:ascii="宋体" w:hAnsi="宋体" w:eastAsia="宋体" w:cs="宋体"/>
          <w:spacing w:val="-1"/>
          <w:sz w:val="24"/>
          <w:szCs w:val="24"/>
        </w:rPr>
        <w:t>影响的可能性较小，除此之外，评价区内再无其他敏感点。</w:t>
      </w:r>
    </w:p>
    <w:p w14:paraId="6649773A">
      <w:pPr>
        <w:spacing w:before="1" w:line="217" w:lineRule="auto"/>
        <w:ind w:left="198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2.6-3          </w:t>
      </w:r>
      <w:r>
        <w:rPr>
          <w:rFonts w:ascii="宋体" w:hAnsi="宋体" w:eastAsia="宋体" w:cs="宋体"/>
          <w:spacing w:val="-1"/>
          <w:sz w:val="24"/>
          <w:szCs w:val="24"/>
        </w:rPr>
        <w:t>评价区地下水保护目标一览表</w:t>
      </w:r>
    </w:p>
    <w:p w14:paraId="1305ACCC">
      <w:pPr>
        <w:spacing w:line="75"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25"/>
        <w:gridCol w:w="1558"/>
        <w:gridCol w:w="709"/>
        <w:gridCol w:w="848"/>
        <w:gridCol w:w="708"/>
        <w:gridCol w:w="568"/>
        <w:gridCol w:w="710"/>
        <w:gridCol w:w="1193"/>
      </w:tblGrid>
      <w:tr w14:paraId="00540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13" w:type="dxa"/>
            <w:vMerge w:val="restart"/>
            <w:tcBorders>
              <w:bottom w:val="nil"/>
            </w:tcBorders>
            <w:vAlign w:val="top"/>
          </w:tcPr>
          <w:p w14:paraId="10A2ED3E">
            <w:pPr>
              <w:spacing w:line="418" w:lineRule="auto"/>
              <w:rPr>
                <w:rFonts w:ascii="Arial"/>
                <w:sz w:val="21"/>
              </w:rPr>
            </w:pPr>
          </w:p>
          <w:p w14:paraId="6BAE98F0">
            <w:pPr>
              <w:pStyle w:val="6"/>
              <w:spacing w:before="65" w:line="228" w:lineRule="auto"/>
              <w:ind w:left="152"/>
            </w:pPr>
            <w:r>
              <w:rPr>
                <w:spacing w:val="4"/>
              </w:rPr>
              <w:t>环境</w:t>
            </w:r>
          </w:p>
          <w:p w14:paraId="0C7EBC3A">
            <w:pPr>
              <w:pStyle w:val="6"/>
              <w:spacing w:before="71" w:line="228" w:lineRule="auto"/>
              <w:ind w:left="168"/>
            </w:pPr>
            <w:r>
              <w:rPr>
                <w:spacing w:val="-4"/>
              </w:rPr>
              <w:t>因素</w:t>
            </w:r>
          </w:p>
        </w:tc>
        <w:tc>
          <w:tcPr>
            <w:tcW w:w="1525" w:type="dxa"/>
            <w:vMerge w:val="restart"/>
            <w:tcBorders>
              <w:bottom w:val="nil"/>
            </w:tcBorders>
            <w:vAlign w:val="top"/>
          </w:tcPr>
          <w:p w14:paraId="4126FF6C">
            <w:pPr>
              <w:spacing w:line="288" w:lineRule="auto"/>
              <w:rPr>
                <w:rFonts w:ascii="Arial"/>
                <w:sz w:val="21"/>
              </w:rPr>
            </w:pPr>
          </w:p>
          <w:p w14:paraId="183B33DA">
            <w:pPr>
              <w:spacing w:line="288" w:lineRule="auto"/>
              <w:rPr>
                <w:rFonts w:ascii="Arial"/>
                <w:sz w:val="21"/>
              </w:rPr>
            </w:pPr>
          </w:p>
          <w:p w14:paraId="783B917D">
            <w:pPr>
              <w:pStyle w:val="6"/>
              <w:spacing w:before="65" w:line="228" w:lineRule="auto"/>
              <w:ind w:left="347"/>
            </w:pPr>
            <w:r>
              <w:rPr>
                <w:spacing w:val="7"/>
              </w:rPr>
              <w:t>保护目标</w:t>
            </w:r>
          </w:p>
        </w:tc>
        <w:tc>
          <w:tcPr>
            <w:tcW w:w="3115" w:type="dxa"/>
            <w:gridSpan w:val="3"/>
            <w:vAlign w:val="top"/>
          </w:tcPr>
          <w:p w14:paraId="3529D243">
            <w:pPr>
              <w:pStyle w:val="6"/>
              <w:spacing w:before="248" w:line="228" w:lineRule="auto"/>
              <w:ind w:left="828"/>
            </w:pPr>
            <w:r>
              <w:rPr>
                <w:spacing w:val="8"/>
              </w:rPr>
              <w:t>相对项目区边界</w:t>
            </w:r>
          </w:p>
        </w:tc>
        <w:tc>
          <w:tcPr>
            <w:tcW w:w="708" w:type="dxa"/>
            <w:vMerge w:val="restart"/>
            <w:tcBorders>
              <w:bottom w:val="nil"/>
            </w:tcBorders>
            <w:vAlign w:val="top"/>
          </w:tcPr>
          <w:p w14:paraId="276BB513">
            <w:pPr>
              <w:spacing w:line="418" w:lineRule="auto"/>
              <w:rPr>
                <w:rFonts w:ascii="Arial"/>
                <w:sz w:val="21"/>
              </w:rPr>
            </w:pPr>
          </w:p>
          <w:p w14:paraId="0F684E92">
            <w:pPr>
              <w:pStyle w:val="6"/>
              <w:spacing w:before="65" w:line="228" w:lineRule="auto"/>
              <w:ind w:left="151"/>
            </w:pPr>
            <w:r>
              <w:rPr>
                <w:spacing w:val="4"/>
              </w:rPr>
              <w:t>井深</w:t>
            </w:r>
          </w:p>
          <w:p w14:paraId="0AD35187">
            <w:pPr>
              <w:pStyle w:val="6"/>
              <w:spacing w:before="71"/>
              <w:ind w:left="125"/>
            </w:pPr>
            <w:r>
              <w:rPr>
                <w:spacing w:val="-1"/>
              </w:rPr>
              <w:t>（</w:t>
            </w:r>
            <w:r>
              <w:rPr>
                <w:rFonts w:ascii="Times New Roman" w:hAnsi="Times New Roman" w:eastAsia="Times New Roman" w:cs="Times New Roman"/>
                <w:spacing w:val="-1"/>
              </w:rPr>
              <w:t>m</w:t>
            </w:r>
            <w:r>
              <w:rPr>
                <w:spacing w:val="-1"/>
              </w:rPr>
              <w:t>）</w:t>
            </w:r>
          </w:p>
        </w:tc>
        <w:tc>
          <w:tcPr>
            <w:tcW w:w="568" w:type="dxa"/>
            <w:vMerge w:val="restart"/>
            <w:tcBorders>
              <w:bottom w:val="nil"/>
            </w:tcBorders>
            <w:textDirection w:val="tbRlV"/>
            <w:vAlign w:val="top"/>
          </w:tcPr>
          <w:p w14:paraId="0C6124C2">
            <w:pPr>
              <w:pStyle w:val="6"/>
              <w:spacing w:before="174" w:line="216" w:lineRule="auto"/>
              <w:ind w:left="166"/>
            </w:pPr>
            <w:r>
              <w:rPr>
                <w:spacing w:val="9"/>
              </w:rPr>
              <w:t>水 井</w:t>
            </w:r>
            <w:r>
              <w:rPr>
                <w:spacing w:val="10"/>
              </w:rPr>
              <w:t xml:space="preserve"> </w:t>
            </w:r>
            <w:r>
              <w:rPr>
                <w:spacing w:val="9"/>
              </w:rPr>
              <w:t>数</w:t>
            </w:r>
            <w:r>
              <w:rPr>
                <w:spacing w:val="10"/>
              </w:rPr>
              <w:t xml:space="preserve"> </w:t>
            </w:r>
            <w:r>
              <w:rPr>
                <w:spacing w:val="9"/>
              </w:rPr>
              <w:t>量</w:t>
            </w:r>
          </w:p>
        </w:tc>
        <w:tc>
          <w:tcPr>
            <w:tcW w:w="710" w:type="dxa"/>
            <w:vMerge w:val="restart"/>
            <w:tcBorders>
              <w:bottom w:val="nil"/>
            </w:tcBorders>
            <w:vAlign w:val="top"/>
          </w:tcPr>
          <w:p w14:paraId="4274DAE4">
            <w:pPr>
              <w:spacing w:line="418" w:lineRule="auto"/>
              <w:rPr>
                <w:rFonts w:ascii="Arial"/>
                <w:sz w:val="21"/>
              </w:rPr>
            </w:pPr>
          </w:p>
          <w:p w14:paraId="44B31ABD">
            <w:pPr>
              <w:pStyle w:val="6"/>
              <w:spacing w:before="65" w:line="228" w:lineRule="auto"/>
              <w:ind w:left="154"/>
            </w:pPr>
            <w:r>
              <w:rPr>
                <w:spacing w:val="3"/>
              </w:rPr>
              <w:t>水井</w:t>
            </w:r>
          </w:p>
          <w:p w14:paraId="6D20D130">
            <w:pPr>
              <w:pStyle w:val="6"/>
              <w:spacing w:before="72" w:line="229" w:lineRule="auto"/>
              <w:ind w:left="155"/>
            </w:pPr>
            <w:r>
              <w:rPr>
                <w:spacing w:val="3"/>
              </w:rPr>
              <w:t>功能</w:t>
            </w:r>
          </w:p>
        </w:tc>
        <w:tc>
          <w:tcPr>
            <w:tcW w:w="1193" w:type="dxa"/>
            <w:vMerge w:val="restart"/>
            <w:tcBorders>
              <w:bottom w:val="nil"/>
            </w:tcBorders>
            <w:vAlign w:val="top"/>
          </w:tcPr>
          <w:p w14:paraId="622A0BAF">
            <w:pPr>
              <w:spacing w:line="418" w:lineRule="auto"/>
              <w:rPr>
                <w:rFonts w:ascii="Arial"/>
                <w:sz w:val="21"/>
              </w:rPr>
            </w:pPr>
          </w:p>
          <w:p w14:paraId="0A58D8E6">
            <w:pPr>
              <w:pStyle w:val="6"/>
              <w:spacing w:before="65" w:line="228" w:lineRule="auto"/>
              <w:ind w:left="181"/>
            </w:pPr>
            <w:r>
              <w:rPr>
                <w:spacing w:val="7"/>
              </w:rPr>
              <w:t>环境保护</w:t>
            </w:r>
          </w:p>
          <w:p w14:paraId="4143D467">
            <w:pPr>
              <w:pStyle w:val="6"/>
              <w:spacing w:before="72" w:line="228" w:lineRule="auto"/>
              <w:ind w:left="396"/>
            </w:pPr>
            <w:r>
              <w:rPr>
                <w:spacing w:val="3"/>
              </w:rPr>
              <w:t>级别</w:t>
            </w:r>
          </w:p>
        </w:tc>
      </w:tr>
      <w:tr w14:paraId="2D509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tcBorders>
            <w:vAlign w:val="top"/>
          </w:tcPr>
          <w:p w14:paraId="5ABA184E">
            <w:pPr>
              <w:rPr>
                <w:rFonts w:ascii="Arial"/>
                <w:sz w:val="21"/>
              </w:rPr>
            </w:pPr>
          </w:p>
        </w:tc>
        <w:tc>
          <w:tcPr>
            <w:tcW w:w="1525" w:type="dxa"/>
            <w:vMerge w:val="continue"/>
            <w:tcBorders>
              <w:top w:val="nil"/>
            </w:tcBorders>
            <w:vAlign w:val="top"/>
          </w:tcPr>
          <w:p w14:paraId="4C301EFE">
            <w:pPr>
              <w:rPr>
                <w:rFonts w:ascii="Arial"/>
                <w:sz w:val="21"/>
              </w:rPr>
            </w:pPr>
          </w:p>
        </w:tc>
        <w:tc>
          <w:tcPr>
            <w:tcW w:w="1558" w:type="dxa"/>
            <w:vAlign w:val="top"/>
          </w:tcPr>
          <w:p w14:paraId="29065AB5">
            <w:pPr>
              <w:pStyle w:val="6"/>
              <w:spacing w:before="285" w:line="228" w:lineRule="auto"/>
              <w:ind w:left="574"/>
            </w:pPr>
            <w:r>
              <w:rPr>
                <w:spacing w:val="4"/>
              </w:rPr>
              <w:t>坐标</w:t>
            </w:r>
          </w:p>
        </w:tc>
        <w:tc>
          <w:tcPr>
            <w:tcW w:w="709" w:type="dxa"/>
            <w:vAlign w:val="top"/>
          </w:tcPr>
          <w:p w14:paraId="600193E0">
            <w:pPr>
              <w:pStyle w:val="6"/>
              <w:spacing w:before="285" w:line="229" w:lineRule="auto"/>
              <w:ind w:left="151"/>
            </w:pPr>
            <w:r>
              <w:rPr>
                <w:spacing w:val="4"/>
              </w:rPr>
              <w:t>方位</w:t>
            </w:r>
          </w:p>
        </w:tc>
        <w:tc>
          <w:tcPr>
            <w:tcW w:w="848" w:type="dxa"/>
            <w:vAlign w:val="top"/>
          </w:tcPr>
          <w:p w14:paraId="46F83F5B">
            <w:pPr>
              <w:pStyle w:val="6"/>
              <w:spacing w:before="127" w:line="228" w:lineRule="auto"/>
              <w:ind w:left="221"/>
            </w:pPr>
            <w:r>
              <w:rPr>
                <w:spacing w:val="5"/>
              </w:rPr>
              <w:t>距离</w:t>
            </w:r>
          </w:p>
          <w:p w14:paraId="3743B88A">
            <w:pPr>
              <w:pStyle w:val="6"/>
              <w:spacing w:before="71"/>
              <w:ind w:left="150"/>
            </w:pPr>
            <w:r>
              <w:rPr>
                <w:spacing w:val="-1"/>
              </w:rPr>
              <w:t>（</w:t>
            </w:r>
            <w:r>
              <w:rPr>
                <w:rFonts w:ascii="Times New Roman" w:hAnsi="Times New Roman" w:eastAsia="Times New Roman" w:cs="Times New Roman"/>
                <w:spacing w:val="-1"/>
              </w:rPr>
              <w:t>m</w:t>
            </w:r>
            <w:r>
              <w:rPr>
                <w:spacing w:val="-1"/>
              </w:rPr>
              <w:t>）</w:t>
            </w:r>
          </w:p>
        </w:tc>
        <w:tc>
          <w:tcPr>
            <w:tcW w:w="708" w:type="dxa"/>
            <w:vMerge w:val="continue"/>
            <w:tcBorders>
              <w:top w:val="nil"/>
            </w:tcBorders>
            <w:vAlign w:val="top"/>
          </w:tcPr>
          <w:p w14:paraId="2DDAB85C">
            <w:pPr>
              <w:rPr>
                <w:rFonts w:ascii="Arial"/>
                <w:sz w:val="21"/>
              </w:rPr>
            </w:pPr>
          </w:p>
        </w:tc>
        <w:tc>
          <w:tcPr>
            <w:tcW w:w="568" w:type="dxa"/>
            <w:vMerge w:val="continue"/>
            <w:tcBorders>
              <w:top w:val="nil"/>
            </w:tcBorders>
            <w:textDirection w:val="tbRlV"/>
            <w:vAlign w:val="top"/>
          </w:tcPr>
          <w:p w14:paraId="1863FCA5">
            <w:pPr>
              <w:rPr>
                <w:rFonts w:ascii="Arial"/>
                <w:sz w:val="21"/>
              </w:rPr>
            </w:pPr>
          </w:p>
        </w:tc>
        <w:tc>
          <w:tcPr>
            <w:tcW w:w="710" w:type="dxa"/>
            <w:vMerge w:val="continue"/>
            <w:tcBorders>
              <w:top w:val="nil"/>
            </w:tcBorders>
            <w:vAlign w:val="top"/>
          </w:tcPr>
          <w:p w14:paraId="3021C71B">
            <w:pPr>
              <w:rPr>
                <w:rFonts w:ascii="Arial"/>
                <w:sz w:val="21"/>
              </w:rPr>
            </w:pPr>
          </w:p>
        </w:tc>
        <w:tc>
          <w:tcPr>
            <w:tcW w:w="1193" w:type="dxa"/>
            <w:vMerge w:val="continue"/>
            <w:tcBorders>
              <w:top w:val="nil"/>
            </w:tcBorders>
            <w:vAlign w:val="top"/>
          </w:tcPr>
          <w:p w14:paraId="1859EF11">
            <w:pPr>
              <w:rPr>
                <w:rFonts w:ascii="Arial"/>
                <w:sz w:val="21"/>
              </w:rPr>
            </w:pPr>
          </w:p>
        </w:tc>
      </w:tr>
      <w:tr w14:paraId="55EA7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restart"/>
            <w:tcBorders>
              <w:bottom w:val="nil"/>
            </w:tcBorders>
            <w:vAlign w:val="top"/>
          </w:tcPr>
          <w:p w14:paraId="662AAD18">
            <w:pPr>
              <w:spacing w:line="253" w:lineRule="auto"/>
              <w:rPr>
                <w:rFonts w:ascii="Arial"/>
                <w:sz w:val="21"/>
              </w:rPr>
            </w:pPr>
          </w:p>
          <w:p w14:paraId="2D3A27FF">
            <w:pPr>
              <w:spacing w:line="253" w:lineRule="auto"/>
              <w:rPr>
                <w:rFonts w:ascii="Arial"/>
                <w:sz w:val="21"/>
              </w:rPr>
            </w:pPr>
          </w:p>
          <w:p w14:paraId="01C98737">
            <w:pPr>
              <w:spacing w:line="254" w:lineRule="auto"/>
              <w:rPr>
                <w:rFonts w:ascii="Arial"/>
                <w:sz w:val="21"/>
              </w:rPr>
            </w:pPr>
          </w:p>
          <w:p w14:paraId="0D335C16">
            <w:pPr>
              <w:spacing w:line="254" w:lineRule="auto"/>
              <w:rPr>
                <w:rFonts w:ascii="Arial"/>
                <w:sz w:val="21"/>
              </w:rPr>
            </w:pPr>
          </w:p>
          <w:p w14:paraId="630D34AE">
            <w:pPr>
              <w:spacing w:line="254" w:lineRule="auto"/>
              <w:rPr>
                <w:rFonts w:ascii="Arial"/>
                <w:sz w:val="21"/>
              </w:rPr>
            </w:pPr>
          </w:p>
          <w:p w14:paraId="326D81E1">
            <w:pPr>
              <w:spacing w:line="254" w:lineRule="auto"/>
              <w:rPr>
                <w:rFonts w:ascii="Arial"/>
                <w:sz w:val="21"/>
              </w:rPr>
            </w:pPr>
          </w:p>
          <w:p w14:paraId="1ADB2FF2">
            <w:pPr>
              <w:spacing w:line="254" w:lineRule="auto"/>
              <w:rPr>
                <w:rFonts w:ascii="Arial"/>
                <w:sz w:val="21"/>
              </w:rPr>
            </w:pPr>
          </w:p>
          <w:p w14:paraId="69EE9913">
            <w:pPr>
              <w:spacing w:line="254" w:lineRule="auto"/>
              <w:rPr>
                <w:rFonts w:ascii="Arial"/>
                <w:sz w:val="21"/>
              </w:rPr>
            </w:pPr>
          </w:p>
          <w:p w14:paraId="5BF2B294">
            <w:pPr>
              <w:pStyle w:val="6"/>
              <w:spacing w:before="65" w:line="296" w:lineRule="auto"/>
              <w:ind w:left="257" w:right="145" w:hanging="105"/>
            </w:pPr>
            <w:r>
              <w:rPr>
                <w:spacing w:val="4"/>
              </w:rPr>
              <w:t>地下</w:t>
            </w:r>
            <w:r>
              <w:t xml:space="preserve"> 水</w:t>
            </w:r>
          </w:p>
        </w:tc>
        <w:tc>
          <w:tcPr>
            <w:tcW w:w="1525" w:type="dxa"/>
            <w:vAlign w:val="top"/>
          </w:tcPr>
          <w:p w14:paraId="4B3687E0">
            <w:pPr>
              <w:pStyle w:val="6"/>
              <w:spacing w:before="127" w:line="227" w:lineRule="auto"/>
              <w:ind w:left="135"/>
            </w:pPr>
            <w:r>
              <w:rPr>
                <w:rFonts w:ascii="Times New Roman" w:hAnsi="Times New Roman" w:eastAsia="Times New Roman" w:cs="Times New Roman"/>
                <w:spacing w:val="6"/>
              </w:rPr>
              <w:t>S3</w:t>
            </w:r>
            <w:r>
              <w:rPr>
                <w:spacing w:val="6"/>
              </w:rPr>
              <w:t>（伊如勒图</w:t>
            </w:r>
          </w:p>
          <w:p w14:paraId="33ADBBAE">
            <w:pPr>
              <w:pStyle w:val="6"/>
              <w:spacing w:before="73" w:line="228" w:lineRule="auto"/>
              <w:ind w:left="559"/>
            </w:pPr>
            <w:r>
              <w:rPr>
                <w:spacing w:val="-1"/>
              </w:rPr>
              <w:t>家）</w:t>
            </w:r>
          </w:p>
        </w:tc>
        <w:tc>
          <w:tcPr>
            <w:tcW w:w="1558" w:type="dxa"/>
            <w:vAlign w:val="top"/>
          </w:tcPr>
          <w:p w14:paraId="281311DF">
            <w:pPr>
              <w:spacing w:before="163"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118°54′53.53″</w:t>
            </w:r>
          </w:p>
          <w:p w14:paraId="261CF2A5">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16′51.02″</w:t>
            </w:r>
          </w:p>
        </w:tc>
        <w:tc>
          <w:tcPr>
            <w:tcW w:w="709" w:type="dxa"/>
            <w:vAlign w:val="top"/>
          </w:tcPr>
          <w:p w14:paraId="3B999B7B">
            <w:pPr>
              <w:pStyle w:val="6"/>
              <w:spacing w:before="282" w:line="224" w:lineRule="auto"/>
              <w:ind w:left="147"/>
              <w:rPr>
                <w:sz w:val="22"/>
                <w:szCs w:val="22"/>
              </w:rPr>
            </w:pPr>
            <w:r>
              <w:rPr>
                <w:spacing w:val="-7"/>
                <w:sz w:val="22"/>
                <w:szCs w:val="22"/>
              </w:rPr>
              <w:t>西北</w:t>
            </w:r>
          </w:p>
        </w:tc>
        <w:tc>
          <w:tcPr>
            <w:tcW w:w="848" w:type="dxa"/>
            <w:vAlign w:val="top"/>
          </w:tcPr>
          <w:p w14:paraId="76AE059F">
            <w:pPr>
              <w:spacing w:line="254" w:lineRule="auto"/>
              <w:rPr>
                <w:rFonts w:ascii="Arial"/>
                <w:sz w:val="21"/>
              </w:rPr>
            </w:pPr>
          </w:p>
          <w:p w14:paraId="163758CD">
            <w:pPr>
              <w:spacing w:before="6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3410</w:t>
            </w:r>
          </w:p>
        </w:tc>
        <w:tc>
          <w:tcPr>
            <w:tcW w:w="708" w:type="dxa"/>
            <w:vAlign w:val="top"/>
          </w:tcPr>
          <w:p w14:paraId="3FF02929">
            <w:pPr>
              <w:spacing w:line="263" w:lineRule="auto"/>
              <w:rPr>
                <w:rFonts w:ascii="Arial"/>
                <w:sz w:val="21"/>
              </w:rPr>
            </w:pPr>
          </w:p>
          <w:p w14:paraId="4315A7E1">
            <w:pPr>
              <w:spacing w:before="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9.17</w:t>
            </w:r>
          </w:p>
        </w:tc>
        <w:tc>
          <w:tcPr>
            <w:tcW w:w="568" w:type="dxa"/>
            <w:vAlign w:val="top"/>
          </w:tcPr>
          <w:p w14:paraId="706063F0">
            <w:pPr>
              <w:spacing w:line="263" w:lineRule="auto"/>
              <w:rPr>
                <w:rFonts w:ascii="Arial"/>
                <w:sz w:val="21"/>
              </w:rPr>
            </w:pPr>
          </w:p>
          <w:p w14:paraId="0472E573">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7C15DF4B">
            <w:pPr>
              <w:pStyle w:val="6"/>
              <w:spacing w:before="128" w:line="228" w:lineRule="auto"/>
              <w:ind w:left="154"/>
            </w:pPr>
            <w:r>
              <w:rPr>
                <w:spacing w:val="3"/>
              </w:rPr>
              <w:t>生活</w:t>
            </w:r>
          </w:p>
          <w:p w14:paraId="25841DF5">
            <w:pPr>
              <w:pStyle w:val="6"/>
              <w:spacing w:before="71" w:line="228" w:lineRule="auto"/>
              <w:ind w:left="154"/>
            </w:pPr>
            <w:r>
              <w:rPr>
                <w:spacing w:val="3"/>
              </w:rPr>
              <w:t>用水</w:t>
            </w:r>
          </w:p>
        </w:tc>
        <w:tc>
          <w:tcPr>
            <w:tcW w:w="1193" w:type="dxa"/>
            <w:vMerge w:val="restart"/>
            <w:tcBorders>
              <w:bottom w:val="nil"/>
            </w:tcBorders>
            <w:textDirection w:val="tbRlV"/>
            <w:vAlign w:val="top"/>
          </w:tcPr>
          <w:p w14:paraId="2FF8CA65">
            <w:pPr>
              <w:pStyle w:val="6"/>
              <w:spacing w:before="109" w:line="184" w:lineRule="auto"/>
              <w:ind w:left="195" w:right="2110"/>
              <w:jc w:val="both"/>
            </w:pPr>
            <w:r>
              <w:pict>
                <v:shape id="_x0000_s1029" o:spid="_x0000_s1029" o:spt="202" type="#_x0000_t202" style="position:absolute;left:0pt;margin-left:5pt;margin-top:136.55pt;height:94.15pt;width:51.5pt;mso-position-horizontal-relative:page;mso-position-vertical-relative:page;z-index:251661312;mso-width-relative:page;mso-height-relative:page;" filled="f" stroked="f" coordsize="21600,21600">
                  <v:path/>
                  <v:fill on="f" focussize="0,0"/>
                  <v:stroke on="f"/>
                  <v:imagedata o:title=""/>
                  <o:lock v:ext="edit" aspectratio="f"/>
                  <v:textbox inset="0mm,0mm,0mm,0mm">
                    <w:txbxContent>
                      <w:p w14:paraId="40D2ABE1">
                        <w:pPr>
                          <w:pStyle w:val="6"/>
                          <w:spacing w:before="19" w:line="228" w:lineRule="auto"/>
                          <w:ind w:left="23"/>
                        </w:pPr>
                        <w:r>
                          <w:rPr>
                            <w:spacing w:val="-13"/>
                          </w:rPr>
                          <w:t>项 目</w:t>
                        </w:r>
                        <w:r>
                          <w:rPr>
                            <w:spacing w:val="-30"/>
                          </w:rPr>
                          <w:t xml:space="preserve"> </w:t>
                        </w:r>
                        <w:r>
                          <w:rPr>
                            <w:spacing w:val="-13"/>
                          </w:rPr>
                          <w:t>区</w:t>
                        </w:r>
                        <w:r>
                          <w:rPr>
                            <w:spacing w:val="-40"/>
                          </w:rPr>
                          <w:t xml:space="preserve"> </w:t>
                        </w:r>
                        <w:r>
                          <w:rPr>
                            <w:spacing w:val="-13"/>
                          </w:rPr>
                          <w:t>下</w:t>
                        </w:r>
                      </w:p>
                      <w:p w14:paraId="22EAA726">
                        <w:pPr>
                          <w:pStyle w:val="6"/>
                          <w:spacing w:before="72" w:line="227" w:lineRule="auto"/>
                          <w:ind w:left="20"/>
                        </w:pPr>
                        <w:r>
                          <w:rPr>
                            <w:spacing w:val="41"/>
                          </w:rPr>
                          <w:t>游村庄居</w:t>
                        </w:r>
                      </w:p>
                      <w:p w14:paraId="47FA513E">
                        <w:pPr>
                          <w:pStyle w:val="6"/>
                          <w:spacing w:before="72" w:line="295" w:lineRule="auto"/>
                          <w:ind w:left="20" w:right="20" w:firstLine="19"/>
                        </w:pPr>
                        <w:r>
                          <w:rPr>
                            <w:spacing w:val="-7"/>
                          </w:rPr>
                          <w:t>民饮水井，</w:t>
                        </w:r>
                        <w:r>
                          <w:rPr>
                            <w:spacing w:val="3"/>
                          </w:rPr>
                          <w:t xml:space="preserve"> </w:t>
                        </w:r>
                        <w:r>
                          <w:rPr>
                            <w:spacing w:val="42"/>
                          </w:rPr>
                          <w:t>保护地下</w:t>
                        </w:r>
                      </w:p>
                      <w:p w14:paraId="31CE08C0">
                        <w:pPr>
                          <w:pStyle w:val="6"/>
                          <w:spacing w:line="227" w:lineRule="auto"/>
                          <w:ind w:left="22"/>
                        </w:pPr>
                        <w:r>
                          <w:rPr>
                            <w:spacing w:val="12"/>
                          </w:rPr>
                          <w:t>水</w:t>
                        </w:r>
                        <w:r>
                          <w:rPr>
                            <w:spacing w:val="-42"/>
                          </w:rPr>
                          <w:t xml:space="preserve"> </w:t>
                        </w:r>
                        <w:r>
                          <w:rPr>
                            <w:spacing w:val="12"/>
                          </w:rPr>
                          <w:t>水</w:t>
                        </w:r>
                        <w:r>
                          <w:rPr>
                            <w:spacing w:val="-46"/>
                          </w:rPr>
                          <w:t xml:space="preserve"> </w:t>
                        </w:r>
                        <w:r>
                          <w:rPr>
                            <w:spacing w:val="12"/>
                          </w:rPr>
                          <w:t>质不</w:t>
                        </w:r>
                      </w:p>
                      <w:p w14:paraId="4BC78008">
                        <w:pPr>
                          <w:pStyle w:val="6"/>
                          <w:spacing w:before="72" w:line="228" w:lineRule="auto"/>
                          <w:ind w:left="36"/>
                        </w:pPr>
                        <w:r>
                          <w:rPr>
                            <w:spacing w:val="37"/>
                          </w:rPr>
                          <w:t>因项目建</w:t>
                        </w:r>
                      </w:p>
                    </w:txbxContent>
                  </v:textbox>
                </v:shape>
              </w:pict>
            </w:r>
            <w:r>
              <w:rPr>
                <w:spacing w:val="9"/>
              </w:rPr>
              <w:t>护 评 的 松</w:t>
            </w:r>
            <w:r>
              <w:rPr>
                <w:spacing w:val="10"/>
              </w:rPr>
              <w:t xml:space="preserve"> </w:t>
            </w:r>
            <w:r>
              <w:rPr>
                <w:spacing w:val="9"/>
              </w:rPr>
              <w:t>孔</w:t>
            </w:r>
            <w:r>
              <w:rPr>
                <w:spacing w:val="10"/>
              </w:rPr>
              <w:t xml:space="preserve"> </w:t>
            </w:r>
            <w:r>
              <w:rPr>
                <w:spacing w:val="9"/>
              </w:rPr>
              <w:t>岩</w:t>
            </w:r>
            <w:r>
              <w:rPr>
                <w:spacing w:val="10"/>
              </w:rPr>
              <w:t xml:space="preserve"> </w:t>
            </w:r>
            <w:r>
              <w:rPr>
                <w:spacing w:val="9"/>
              </w:rPr>
              <w:t>含</w:t>
            </w:r>
            <w:r>
              <w:rPr>
                <w:spacing w:val="10"/>
              </w:rPr>
              <w:t xml:space="preserve"> </w:t>
            </w:r>
            <w:r>
              <w:rPr>
                <w:spacing w:val="9"/>
              </w:rPr>
              <w:t>及</w:t>
            </w:r>
            <w:r>
              <w:t xml:space="preserve"> </w:t>
            </w:r>
            <w:r>
              <w:rPr>
                <w:spacing w:val="9"/>
              </w:rPr>
              <w:t>保 为 内 系</w:t>
            </w:r>
            <w:r>
              <w:rPr>
                <w:spacing w:val="10"/>
              </w:rPr>
              <w:t xml:space="preserve"> </w:t>
            </w:r>
            <w:r>
              <w:rPr>
                <w:spacing w:val="9"/>
              </w:rPr>
              <w:t>类</w:t>
            </w:r>
            <w:r>
              <w:rPr>
                <w:spacing w:val="10"/>
              </w:rPr>
              <w:t xml:space="preserve"> </w:t>
            </w:r>
            <w:r>
              <w:rPr>
                <w:spacing w:val="9"/>
                <w:position w:val="3"/>
              </w:rPr>
              <w:t>基</w:t>
            </w:r>
            <w:r>
              <w:rPr>
                <w:spacing w:val="10"/>
                <w:position w:val="3"/>
              </w:rPr>
              <w:t xml:space="preserve"> </w:t>
            </w:r>
            <w:r>
              <w:rPr>
                <w:spacing w:val="9"/>
              </w:rPr>
              <w:t>水</w:t>
            </w:r>
            <w:r>
              <w:rPr>
                <w:spacing w:val="10"/>
              </w:rPr>
              <w:t xml:space="preserve"> </w:t>
            </w:r>
            <w:r>
              <w:rPr>
                <w:spacing w:val="9"/>
              </w:rPr>
              <w:t>以</w:t>
            </w:r>
            <w:r>
              <w:t xml:space="preserve"> </w:t>
            </w:r>
            <w:r>
              <w:rPr>
                <w:spacing w:val="-10"/>
              </w:rPr>
              <w:t>要 标</w:t>
            </w:r>
            <w:r>
              <w:rPr>
                <w:spacing w:val="10"/>
              </w:rPr>
              <w:t xml:space="preserve"> </w:t>
            </w:r>
            <w:r>
              <w:rPr>
                <w:spacing w:val="-10"/>
              </w:rPr>
              <w:t>区</w:t>
            </w:r>
            <w:r>
              <w:rPr>
                <w:spacing w:val="8"/>
              </w:rPr>
              <w:t xml:space="preserve"> </w:t>
            </w:r>
            <w:r>
              <w:rPr>
                <w:spacing w:val="-10"/>
                <w:position w:val="1"/>
              </w:rPr>
              <w:t>四</w:t>
            </w:r>
            <w:r>
              <w:rPr>
                <w:spacing w:val="10"/>
                <w:position w:val="1"/>
              </w:rPr>
              <w:t xml:space="preserve"> </w:t>
            </w:r>
            <w:r>
              <w:rPr>
                <w:spacing w:val="-10"/>
              </w:rPr>
              <w:t>岩</w:t>
            </w:r>
            <w:r>
              <w:rPr>
                <w:spacing w:val="11"/>
              </w:rPr>
              <w:t xml:space="preserve"> </w:t>
            </w:r>
            <w:r>
              <w:rPr>
                <w:spacing w:val="-10"/>
                <w:position w:val="-4"/>
              </w:rPr>
              <w:t>水</w:t>
            </w:r>
            <w:r>
              <w:rPr>
                <w:spacing w:val="-10"/>
                <w:position w:val="10"/>
              </w:rPr>
              <w:t xml:space="preserve">、 </w:t>
            </w:r>
            <w:r>
              <w:rPr>
                <w:spacing w:val="-10"/>
              </w:rPr>
              <w:t>隙</w:t>
            </w:r>
            <w:r>
              <w:rPr>
                <w:spacing w:val="10"/>
              </w:rPr>
              <w:t xml:space="preserve"> </w:t>
            </w:r>
            <w:r>
              <w:rPr>
                <w:spacing w:val="-10"/>
              </w:rPr>
              <w:t>层</w:t>
            </w:r>
            <w:r>
              <w:t xml:space="preserve"> </w:t>
            </w:r>
            <w:r>
              <w:rPr>
                <w:spacing w:val="9"/>
              </w:rPr>
              <w:t xml:space="preserve">主 </w:t>
            </w:r>
            <w:r>
              <w:rPr>
                <w:spacing w:val="9"/>
                <w:position w:val="1"/>
              </w:rPr>
              <w:t xml:space="preserve">目 </w:t>
            </w:r>
            <w:r>
              <w:rPr>
                <w:spacing w:val="9"/>
              </w:rPr>
              <w:t>价 第</w:t>
            </w:r>
            <w:r>
              <w:rPr>
                <w:spacing w:val="10"/>
              </w:rPr>
              <w:t xml:space="preserve"> </w:t>
            </w:r>
            <w:r>
              <w:rPr>
                <w:spacing w:val="9"/>
              </w:rPr>
              <w:t>散</w:t>
            </w:r>
            <w:r>
              <w:rPr>
                <w:spacing w:val="10"/>
              </w:rPr>
              <w:t xml:space="preserve"> </w:t>
            </w:r>
            <w:r>
              <w:rPr>
                <w:spacing w:val="9"/>
              </w:rPr>
              <w:t>隙</w:t>
            </w:r>
            <w:r>
              <w:rPr>
                <w:spacing w:val="10"/>
              </w:rPr>
              <w:t xml:space="preserve"> </w:t>
            </w:r>
            <w:r>
              <w:rPr>
                <w:spacing w:val="9"/>
              </w:rPr>
              <w:t>裂</w:t>
            </w:r>
            <w:r>
              <w:rPr>
                <w:spacing w:val="10"/>
              </w:rPr>
              <w:t xml:space="preserve"> </w:t>
            </w:r>
            <w:r>
              <w:rPr>
                <w:spacing w:val="9"/>
              </w:rPr>
              <w:t>水</w:t>
            </w:r>
          </w:p>
        </w:tc>
      </w:tr>
      <w:tr w14:paraId="375A7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13" w:type="dxa"/>
            <w:vMerge w:val="continue"/>
            <w:tcBorders>
              <w:top w:val="nil"/>
              <w:bottom w:val="nil"/>
            </w:tcBorders>
            <w:vAlign w:val="top"/>
          </w:tcPr>
          <w:p w14:paraId="5648C3BA">
            <w:pPr>
              <w:rPr>
                <w:rFonts w:ascii="Arial"/>
                <w:sz w:val="21"/>
              </w:rPr>
            </w:pPr>
          </w:p>
        </w:tc>
        <w:tc>
          <w:tcPr>
            <w:tcW w:w="1525" w:type="dxa"/>
            <w:vAlign w:val="top"/>
          </w:tcPr>
          <w:p w14:paraId="18B8E2B4">
            <w:pPr>
              <w:pStyle w:val="6"/>
              <w:spacing w:before="128" w:line="227" w:lineRule="auto"/>
              <w:ind w:left="135"/>
            </w:pPr>
            <w:r>
              <w:rPr>
                <w:rFonts w:ascii="Times New Roman" w:hAnsi="Times New Roman" w:eastAsia="Times New Roman" w:cs="Times New Roman"/>
                <w:spacing w:val="6"/>
              </w:rPr>
              <w:t>S4</w:t>
            </w:r>
            <w:r>
              <w:rPr>
                <w:spacing w:val="6"/>
              </w:rPr>
              <w:t>（布和朝鲁</w:t>
            </w:r>
          </w:p>
          <w:p w14:paraId="48CD38F9">
            <w:pPr>
              <w:pStyle w:val="6"/>
              <w:spacing w:before="73" w:line="228" w:lineRule="auto"/>
              <w:ind w:left="559"/>
            </w:pPr>
            <w:r>
              <w:rPr>
                <w:spacing w:val="-1"/>
              </w:rPr>
              <w:t>家）</w:t>
            </w:r>
          </w:p>
        </w:tc>
        <w:tc>
          <w:tcPr>
            <w:tcW w:w="1558" w:type="dxa"/>
            <w:vAlign w:val="top"/>
          </w:tcPr>
          <w:p w14:paraId="3AA5DF6E">
            <w:pPr>
              <w:spacing w:before="164"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118°54′50.36″</w:t>
            </w:r>
          </w:p>
          <w:p w14:paraId="7CBA7082">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16′41.15″</w:t>
            </w:r>
          </w:p>
        </w:tc>
        <w:tc>
          <w:tcPr>
            <w:tcW w:w="709" w:type="dxa"/>
            <w:vAlign w:val="top"/>
          </w:tcPr>
          <w:p w14:paraId="00DDFA20">
            <w:pPr>
              <w:pStyle w:val="6"/>
              <w:spacing w:before="283" w:line="224" w:lineRule="auto"/>
              <w:ind w:left="147"/>
              <w:rPr>
                <w:sz w:val="22"/>
                <w:szCs w:val="22"/>
              </w:rPr>
            </w:pPr>
            <w:r>
              <w:rPr>
                <w:spacing w:val="-7"/>
                <w:sz w:val="22"/>
                <w:szCs w:val="22"/>
              </w:rPr>
              <w:t>西北</w:t>
            </w:r>
          </w:p>
        </w:tc>
        <w:tc>
          <w:tcPr>
            <w:tcW w:w="848" w:type="dxa"/>
            <w:vAlign w:val="top"/>
          </w:tcPr>
          <w:p w14:paraId="7EADAC92">
            <w:pPr>
              <w:spacing w:line="255" w:lineRule="auto"/>
              <w:rPr>
                <w:rFonts w:ascii="Arial"/>
                <w:sz w:val="21"/>
              </w:rPr>
            </w:pPr>
          </w:p>
          <w:p w14:paraId="593A5D3B">
            <w:pPr>
              <w:spacing w:before="6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3400</w:t>
            </w:r>
          </w:p>
        </w:tc>
        <w:tc>
          <w:tcPr>
            <w:tcW w:w="708" w:type="dxa"/>
            <w:vAlign w:val="top"/>
          </w:tcPr>
          <w:p w14:paraId="102F84C9">
            <w:pPr>
              <w:spacing w:line="264" w:lineRule="auto"/>
              <w:rPr>
                <w:rFonts w:ascii="Arial"/>
                <w:sz w:val="21"/>
              </w:rPr>
            </w:pPr>
          </w:p>
          <w:p w14:paraId="6023EB05">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568" w:type="dxa"/>
            <w:vAlign w:val="top"/>
          </w:tcPr>
          <w:p w14:paraId="3DDE38B7">
            <w:pPr>
              <w:spacing w:line="264" w:lineRule="auto"/>
              <w:rPr>
                <w:rFonts w:ascii="Arial"/>
                <w:sz w:val="21"/>
              </w:rPr>
            </w:pPr>
          </w:p>
          <w:p w14:paraId="083E1C0B">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69CC40A2">
            <w:pPr>
              <w:pStyle w:val="6"/>
              <w:spacing w:before="129" w:line="228" w:lineRule="auto"/>
              <w:ind w:left="154"/>
            </w:pPr>
            <w:r>
              <w:rPr>
                <w:spacing w:val="3"/>
              </w:rPr>
              <w:t>生活</w:t>
            </w:r>
          </w:p>
          <w:p w14:paraId="658A4C33">
            <w:pPr>
              <w:pStyle w:val="6"/>
              <w:spacing w:before="71" w:line="228" w:lineRule="auto"/>
              <w:ind w:left="154"/>
            </w:pPr>
            <w:r>
              <w:rPr>
                <w:spacing w:val="3"/>
              </w:rPr>
              <w:t>用水</w:t>
            </w:r>
          </w:p>
        </w:tc>
        <w:tc>
          <w:tcPr>
            <w:tcW w:w="1193" w:type="dxa"/>
            <w:vMerge w:val="continue"/>
            <w:tcBorders>
              <w:top w:val="nil"/>
              <w:bottom w:val="nil"/>
            </w:tcBorders>
            <w:textDirection w:val="tbRlV"/>
            <w:vAlign w:val="top"/>
          </w:tcPr>
          <w:p w14:paraId="641282BA">
            <w:pPr>
              <w:rPr>
                <w:rFonts w:ascii="Arial"/>
                <w:sz w:val="21"/>
              </w:rPr>
            </w:pPr>
          </w:p>
        </w:tc>
      </w:tr>
      <w:tr w14:paraId="3C27B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68BC7418">
            <w:pPr>
              <w:rPr>
                <w:rFonts w:ascii="Arial"/>
                <w:sz w:val="21"/>
              </w:rPr>
            </w:pPr>
          </w:p>
        </w:tc>
        <w:tc>
          <w:tcPr>
            <w:tcW w:w="1525" w:type="dxa"/>
            <w:vAlign w:val="top"/>
          </w:tcPr>
          <w:p w14:paraId="5AE4925D">
            <w:pPr>
              <w:pStyle w:val="6"/>
              <w:spacing w:before="286" w:line="228" w:lineRule="auto"/>
              <w:ind w:right="12"/>
              <w:jc w:val="right"/>
            </w:pPr>
            <w:r>
              <w:rPr>
                <w:rFonts w:ascii="Times New Roman" w:hAnsi="Times New Roman" w:eastAsia="Times New Roman" w:cs="Times New Roman"/>
                <w:spacing w:val="-8"/>
              </w:rPr>
              <w:t>S10</w:t>
            </w:r>
            <w:r>
              <w:rPr>
                <w:spacing w:val="-8"/>
              </w:rPr>
              <w:t>（牧民点</w:t>
            </w:r>
            <w:r>
              <w:rPr>
                <w:spacing w:val="-50"/>
              </w:rPr>
              <w:t xml:space="preserve"> </w:t>
            </w:r>
            <w:r>
              <w:rPr>
                <w:rFonts w:ascii="Times New Roman" w:hAnsi="Times New Roman" w:eastAsia="Times New Roman" w:cs="Times New Roman"/>
                <w:spacing w:val="-8"/>
              </w:rPr>
              <w:t>6</w:t>
            </w:r>
            <w:r>
              <w:rPr>
                <w:spacing w:val="-8"/>
              </w:rPr>
              <w:t>）</w:t>
            </w:r>
          </w:p>
        </w:tc>
        <w:tc>
          <w:tcPr>
            <w:tcW w:w="1558" w:type="dxa"/>
            <w:vAlign w:val="top"/>
          </w:tcPr>
          <w:p w14:paraId="43AC2A63">
            <w:pPr>
              <w:spacing w:before="164"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118°55′32.49″</w:t>
            </w:r>
          </w:p>
          <w:p w14:paraId="63A780EF">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10.87″</w:t>
            </w:r>
          </w:p>
        </w:tc>
        <w:tc>
          <w:tcPr>
            <w:tcW w:w="709" w:type="dxa"/>
            <w:vAlign w:val="top"/>
          </w:tcPr>
          <w:p w14:paraId="177FE336">
            <w:pPr>
              <w:pStyle w:val="6"/>
              <w:spacing w:before="283" w:line="224" w:lineRule="auto"/>
              <w:ind w:left="147"/>
              <w:rPr>
                <w:sz w:val="22"/>
                <w:szCs w:val="22"/>
              </w:rPr>
            </w:pPr>
            <w:r>
              <w:rPr>
                <w:spacing w:val="-7"/>
                <w:sz w:val="22"/>
                <w:szCs w:val="22"/>
              </w:rPr>
              <w:t>西北</w:t>
            </w:r>
          </w:p>
        </w:tc>
        <w:tc>
          <w:tcPr>
            <w:tcW w:w="848" w:type="dxa"/>
            <w:vAlign w:val="top"/>
          </w:tcPr>
          <w:p w14:paraId="1D849F4C">
            <w:pPr>
              <w:spacing w:line="255" w:lineRule="auto"/>
              <w:rPr>
                <w:rFonts w:ascii="Arial"/>
                <w:sz w:val="21"/>
              </w:rPr>
            </w:pPr>
          </w:p>
          <w:p w14:paraId="695F195B">
            <w:pPr>
              <w:spacing w:before="63" w:line="189" w:lineRule="auto"/>
              <w:ind w:left="21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5990</w:t>
            </w:r>
          </w:p>
        </w:tc>
        <w:tc>
          <w:tcPr>
            <w:tcW w:w="708" w:type="dxa"/>
            <w:vAlign w:val="top"/>
          </w:tcPr>
          <w:p w14:paraId="4CFF4CBE">
            <w:pPr>
              <w:spacing w:line="264" w:lineRule="auto"/>
              <w:rPr>
                <w:rFonts w:ascii="Arial"/>
                <w:sz w:val="21"/>
              </w:rPr>
            </w:pPr>
          </w:p>
          <w:p w14:paraId="04E6CEBB">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68" w:type="dxa"/>
            <w:vAlign w:val="top"/>
          </w:tcPr>
          <w:p w14:paraId="1BBA97C3">
            <w:pPr>
              <w:spacing w:line="264" w:lineRule="auto"/>
              <w:rPr>
                <w:rFonts w:ascii="Arial"/>
                <w:sz w:val="21"/>
              </w:rPr>
            </w:pPr>
          </w:p>
          <w:p w14:paraId="149B81A2">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312F6078">
            <w:pPr>
              <w:pStyle w:val="6"/>
              <w:spacing w:before="129" w:line="228" w:lineRule="auto"/>
              <w:ind w:left="154"/>
            </w:pPr>
            <w:r>
              <w:rPr>
                <w:spacing w:val="3"/>
              </w:rPr>
              <w:t>生活</w:t>
            </w:r>
          </w:p>
          <w:p w14:paraId="51BF82E1">
            <w:pPr>
              <w:pStyle w:val="6"/>
              <w:spacing w:before="71" w:line="228" w:lineRule="auto"/>
              <w:ind w:left="154"/>
            </w:pPr>
            <w:r>
              <w:rPr>
                <w:spacing w:val="3"/>
              </w:rPr>
              <w:t>用水</w:t>
            </w:r>
          </w:p>
        </w:tc>
        <w:tc>
          <w:tcPr>
            <w:tcW w:w="1193" w:type="dxa"/>
            <w:vMerge w:val="continue"/>
            <w:tcBorders>
              <w:top w:val="nil"/>
              <w:bottom w:val="nil"/>
            </w:tcBorders>
            <w:textDirection w:val="tbRlV"/>
            <w:vAlign w:val="top"/>
          </w:tcPr>
          <w:p w14:paraId="7236DAE8">
            <w:pPr>
              <w:rPr>
                <w:rFonts w:ascii="Arial"/>
                <w:sz w:val="21"/>
              </w:rPr>
            </w:pPr>
          </w:p>
        </w:tc>
      </w:tr>
      <w:tr w14:paraId="7E0F7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713" w:type="dxa"/>
            <w:vMerge w:val="continue"/>
            <w:tcBorders>
              <w:top w:val="nil"/>
              <w:bottom w:val="nil"/>
            </w:tcBorders>
            <w:vAlign w:val="top"/>
          </w:tcPr>
          <w:p w14:paraId="6AA19574">
            <w:pPr>
              <w:rPr>
                <w:rFonts w:ascii="Arial"/>
                <w:sz w:val="21"/>
              </w:rPr>
            </w:pPr>
          </w:p>
        </w:tc>
        <w:tc>
          <w:tcPr>
            <w:tcW w:w="1525" w:type="dxa"/>
            <w:vAlign w:val="top"/>
          </w:tcPr>
          <w:p w14:paraId="17C8B778">
            <w:pPr>
              <w:pStyle w:val="6"/>
              <w:spacing w:before="287" w:line="228" w:lineRule="auto"/>
              <w:ind w:right="12"/>
              <w:jc w:val="right"/>
            </w:pPr>
            <w:r>
              <w:rPr>
                <w:rFonts w:ascii="Times New Roman" w:hAnsi="Times New Roman" w:eastAsia="Times New Roman" w:cs="Times New Roman"/>
                <w:spacing w:val="-8"/>
              </w:rPr>
              <w:t>S11</w:t>
            </w:r>
            <w:r>
              <w:rPr>
                <w:spacing w:val="-8"/>
              </w:rPr>
              <w:t>（牧民点</w:t>
            </w:r>
            <w:r>
              <w:rPr>
                <w:spacing w:val="-50"/>
              </w:rPr>
              <w:t xml:space="preserve"> </w:t>
            </w:r>
            <w:r>
              <w:rPr>
                <w:rFonts w:ascii="Times New Roman" w:hAnsi="Times New Roman" w:eastAsia="Times New Roman" w:cs="Times New Roman"/>
                <w:spacing w:val="-8"/>
              </w:rPr>
              <w:t>5</w:t>
            </w:r>
            <w:r>
              <w:rPr>
                <w:spacing w:val="-8"/>
              </w:rPr>
              <w:t>）</w:t>
            </w:r>
          </w:p>
        </w:tc>
        <w:tc>
          <w:tcPr>
            <w:tcW w:w="1558" w:type="dxa"/>
            <w:vAlign w:val="top"/>
          </w:tcPr>
          <w:p w14:paraId="37289AAE">
            <w:pPr>
              <w:spacing w:before="16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118°55′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10.51″</w:t>
            </w:r>
          </w:p>
          <w:p w14:paraId="40C1A69F">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14′20.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w:t>
            </w:r>
          </w:p>
        </w:tc>
        <w:tc>
          <w:tcPr>
            <w:tcW w:w="709" w:type="dxa"/>
            <w:vAlign w:val="top"/>
          </w:tcPr>
          <w:p w14:paraId="1F0DA167">
            <w:pPr>
              <w:pStyle w:val="6"/>
              <w:spacing w:before="284" w:line="224" w:lineRule="auto"/>
              <w:ind w:left="147"/>
              <w:rPr>
                <w:sz w:val="22"/>
                <w:szCs w:val="22"/>
              </w:rPr>
            </w:pPr>
            <w:r>
              <w:rPr>
                <w:spacing w:val="-7"/>
                <w:sz w:val="22"/>
                <w:szCs w:val="22"/>
              </w:rPr>
              <w:t>西北</w:t>
            </w:r>
          </w:p>
        </w:tc>
        <w:tc>
          <w:tcPr>
            <w:tcW w:w="848" w:type="dxa"/>
            <w:vAlign w:val="top"/>
          </w:tcPr>
          <w:p w14:paraId="59CFF3CE">
            <w:pPr>
              <w:spacing w:line="255" w:lineRule="auto"/>
              <w:rPr>
                <w:rFonts w:ascii="Arial"/>
                <w:sz w:val="21"/>
              </w:rPr>
            </w:pPr>
          </w:p>
          <w:p w14:paraId="3371F325">
            <w:pPr>
              <w:spacing w:before="64"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6560</w:t>
            </w:r>
          </w:p>
        </w:tc>
        <w:tc>
          <w:tcPr>
            <w:tcW w:w="708" w:type="dxa"/>
            <w:vAlign w:val="top"/>
          </w:tcPr>
          <w:p w14:paraId="06C58FF7">
            <w:pPr>
              <w:spacing w:line="265" w:lineRule="auto"/>
              <w:rPr>
                <w:rFonts w:ascii="Arial"/>
                <w:sz w:val="21"/>
              </w:rPr>
            </w:pPr>
          </w:p>
          <w:p w14:paraId="1638F22B">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68" w:type="dxa"/>
            <w:vAlign w:val="top"/>
          </w:tcPr>
          <w:p w14:paraId="59F92C72">
            <w:pPr>
              <w:spacing w:line="265" w:lineRule="auto"/>
              <w:rPr>
                <w:rFonts w:ascii="Arial"/>
                <w:sz w:val="21"/>
              </w:rPr>
            </w:pPr>
          </w:p>
          <w:p w14:paraId="422D5DEA">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7506EC32">
            <w:pPr>
              <w:pStyle w:val="6"/>
              <w:spacing w:before="130" w:line="228" w:lineRule="auto"/>
              <w:ind w:left="154"/>
            </w:pPr>
            <w:r>
              <w:rPr>
                <w:spacing w:val="3"/>
              </w:rPr>
              <w:t>生活</w:t>
            </w:r>
          </w:p>
          <w:p w14:paraId="1C8462C7">
            <w:pPr>
              <w:pStyle w:val="6"/>
              <w:spacing w:before="71" w:line="228" w:lineRule="auto"/>
              <w:ind w:left="154"/>
            </w:pPr>
            <w:r>
              <w:rPr>
                <w:spacing w:val="3"/>
              </w:rPr>
              <w:t>用水</w:t>
            </w:r>
          </w:p>
        </w:tc>
        <w:tc>
          <w:tcPr>
            <w:tcW w:w="1193" w:type="dxa"/>
            <w:vMerge w:val="continue"/>
            <w:tcBorders>
              <w:top w:val="nil"/>
              <w:bottom w:val="nil"/>
            </w:tcBorders>
            <w:textDirection w:val="tbRlV"/>
            <w:vAlign w:val="top"/>
          </w:tcPr>
          <w:p w14:paraId="31093F9F">
            <w:pPr>
              <w:rPr>
                <w:rFonts w:ascii="Arial"/>
                <w:sz w:val="21"/>
              </w:rPr>
            </w:pPr>
          </w:p>
        </w:tc>
      </w:tr>
      <w:tr w14:paraId="03FEB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452692D3">
            <w:pPr>
              <w:rPr>
                <w:rFonts w:ascii="Arial"/>
                <w:sz w:val="21"/>
              </w:rPr>
            </w:pPr>
          </w:p>
        </w:tc>
        <w:tc>
          <w:tcPr>
            <w:tcW w:w="1525" w:type="dxa"/>
            <w:vAlign w:val="top"/>
          </w:tcPr>
          <w:p w14:paraId="322E8368">
            <w:pPr>
              <w:pStyle w:val="6"/>
              <w:spacing w:before="287" w:line="228" w:lineRule="auto"/>
              <w:ind w:right="12"/>
              <w:jc w:val="right"/>
            </w:pPr>
            <w:r>
              <w:rPr>
                <w:rFonts w:ascii="Times New Roman" w:hAnsi="Times New Roman" w:eastAsia="Times New Roman" w:cs="Times New Roman"/>
                <w:spacing w:val="-7"/>
              </w:rPr>
              <w:t>S13</w:t>
            </w:r>
            <w:r>
              <w:rPr>
                <w:spacing w:val="-7"/>
              </w:rPr>
              <w:t>（牧民点</w:t>
            </w:r>
            <w:r>
              <w:rPr>
                <w:spacing w:val="-59"/>
              </w:rPr>
              <w:t xml:space="preserve"> </w:t>
            </w:r>
            <w:r>
              <w:rPr>
                <w:rFonts w:ascii="Times New Roman" w:hAnsi="Times New Roman" w:eastAsia="Times New Roman" w:cs="Times New Roman"/>
                <w:spacing w:val="-7"/>
              </w:rPr>
              <w:t>4</w:t>
            </w:r>
            <w:r>
              <w:rPr>
                <w:spacing w:val="-7"/>
              </w:rPr>
              <w:t>）</w:t>
            </w:r>
          </w:p>
        </w:tc>
        <w:tc>
          <w:tcPr>
            <w:tcW w:w="1558" w:type="dxa"/>
            <w:vAlign w:val="top"/>
          </w:tcPr>
          <w:p w14:paraId="62082A65">
            <w:pPr>
              <w:spacing w:before="16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118°52′50.43″</w:t>
            </w:r>
          </w:p>
          <w:p w14:paraId="4B25C5AC">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16′44.08″</w:t>
            </w:r>
          </w:p>
        </w:tc>
        <w:tc>
          <w:tcPr>
            <w:tcW w:w="709" w:type="dxa"/>
            <w:vAlign w:val="top"/>
          </w:tcPr>
          <w:p w14:paraId="7BC41901">
            <w:pPr>
              <w:pStyle w:val="6"/>
              <w:spacing w:before="285" w:line="222" w:lineRule="auto"/>
              <w:ind w:left="147"/>
              <w:rPr>
                <w:sz w:val="22"/>
                <w:szCs w:val="22"/>
              </w:rPr>
            </w:pPr>
            <w:r>
              <w:rPr>
                <w:spacing w:val="-7"/>
                <w:sz w:val="22"/>
                <w:szCs w:val="22"/>
              </w:rPr>
              <w:t>西南</w:t>
            </w:r>
          </w:p>
        </w:tc>
        <w:tc>
          <w:tcPr>
            <w:tcW w:w="848" w:type="dxa"/>
            <w:vAlign w:val="top"/>
          </w:tcPr>
          <w:p w14:paraId="42BD8872">
            <w:pPr>
              <w:spacing w:line="255" w:lineRule="auto"/>
              <w:rPr>
                <w:rFonts w:ascii="Arial"/>
                <w:sz w:val="21"/>
              </w:rPr>
            </w:pPr>
          </w:p>
          <w:p w14:paraId="4B56F7E8">
            <w:pPr>
              <w:spacing w:before="64" w:line="189" w:lineRule="auto"/>
              <w:ind w:left="20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4550</w:t>
            </w:r>
          </w:p>
        </w:tc>
        <w:tc>
          <w:tcPr>
            <w:tcW w:w="708" w:type="dxa"/>
            <w:vAlign w:val="top"/>
          </w:tcPr>
          <w:p w14:paraId="6148768D">
            <w:pPr>
              <w:spacing w:line="265" w:lineRule="auto"/>
              <w:rPr>
                <w:rFonts w:ascii="Arial"/>
                <w:sz w:val="21"/>
              </w:rPr>
            </w:pPr>
          </w:p>
          <w:p w14:paraId="5AD02A77">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68" w:type="dxa"/>
            <w:vAlign w:val="top"/>
          </w:tcPr>
          <w:p w14:paraId="0E909529">
            <w:pPr>
              <w:spacing w:line="265" w:lineRule="auto"/>
              <w:rPr>
                <w:rFonts w:ascii="Arial"/>
                <w:sz w:val="21"/>
              </w:rPr>
            </w:pPr>
          </w:p>
          <w:p w14:paraId="431221EA">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50D995E1">
            <w:pPr>
              <w:pStyle w:val="6"/>
              <w:spacing w:before="130" w:line="228" w:lineRule="auto"/>
              <w:ind w:left="154"/>
            </w:pPr>
            <w:r>
              <w:rPr>
                <w:spacing w:val="3"/>
              </w:rPr>
              <w:t>生活</w:t>
            </w:r>
          </w:p>
          <w:p w14:paraId="04575CFB">
            <w:pPr>
              <w:pStyle w:val="6"/>
              <w:spacing w:before="71" w:line="228" w:lineRule="auto"/>
              <w:ind w:left="154"/>
            </w:pPr>
            <w:r>
              <w:rPr>
                <w:spacing w:val="3"/>
              </w:rPr>
              <w:t>用水</w:t>
            </w:r>
          </w:p>
        </w:tc>
        <w:tc>
          <w:tcPr>
            <w:tcW w:w="1193" w:type="dxa"/>
            <w:vMerge w:val="continue"/>
            <w:tcBorders>
              <w:top w:val="nil"/>
              <w:bottom w:val="nil"/>
            </w:tcBorders>
            <w:textDirection w:val="tbRlV"/>
            <w:vAlign w:val="top"/>
          </w:tcPr>
          <w:p w14:paraId="020C7062">
            <w:pPr>
              <w:rPr>
                <w:rFonts w:ascii="Arial"/>
                <w:sz w:val="21"/>
              </w:rPr>
            </w:pPr>
          </w:p>
        </w:tc>
      </w:tr>
      <w:tr w14:paraId="2591B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713" w:type="dxa"/>
            <w:vMerge w:val="continue"/>
            <w:tcBorders>
              <w:top w:val="nil"/>
            </w:tcBorders>
            <w:vAlign w:val="top"/>
          </w:tcPr>
          <w:p w14:paraId="535DC5D3">
            <w:pPr>
              <w:rPr>
                <w:rFonts w:ascii="Arial"/>
                <w:sz w:val="21"/>
              </w:rPr>
            </w:pPr>
          </w:p>
        </w:tc>
        <w:tc>
          <w:tcPr>
            <w:tcW w:w="1525" w:type="dxa"/>
            <w:vAlign w:val="top"/>
          </w:tcPr>
          <w:p w14:paraId="5E67D28D">
            <w:pPr>
              <w:pStyle w:val="6"/>
              <w:spacing w:before="130" w:line="228" w:lineRule="auto"/>
              <w:ind w:left="188"/>
            </w:pPr>
            <w:r>
              <w:rPr>
                <w:rFonts w:ascii="Times New Roman" w:hAnsi="Times New Roman" w:eastAsia="Times New Roman" w:cs="Times New Roman"/>
                <w:spacing w:val="5"/>
              </w:rPr>
              <w:t>S14</w:t>
            </w:r>
            <w:r>
              <w:rPr>
                <w:spacing w:val="5"/>
              </w:rPr>
              <w:t>（达林台</w:t>
            </w:r>
          </w:p>
          <w:p w14:paraId="10CD993A">
            <w:pPr>
              <w:pStyle w:val="6"/>
              <w:spacing w:before="73" w:line="228" w:lineRule="auto"/>
              <w:ind w:left="559"/>
            </w:pPr>
            <w:r>
              <w:rPr>
                <w:spacing w:val="-1"/>
              </w:rPr>
              <w:t>家）</w:t>
            </w:r>
          </w:p>
        </w:tc>
        <w:tc>
          <w:tcPr>
            <w:tcW w:w="1558" w:type="dxa"/>
            <w:vAlign w:val="top"/>
          </w:tcPr>
          <w:p w14:paraId="37F94AA0">
            <w:pPr>
              <w:spacing w:before="16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118°51′25.79″</w:t>
            </w:r>
          </w:p>
          <w:p w14:paraId="7D0E3178">
            <w:pPr>
              <w:spacing w:before="13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11.26″</w:t>
            </w:r>
          </w:p>
        </w:tc>
        <w:tc>
          <w:tcPr>
            <w:tcW w:w="709" w:type="dxa"/>
            <w:vAlign w:val="top"/>
          </w:tcPr>
          <w:p w14:paraId="6EA54898">
            <w:pPr>
              <w:pStyle w:val="6"/>
              <w:spacing w:before="286" w:line="222" w:lineRule="auto"/>
              <w:ind w:left="147"/>
              <w:rPr>
                <w:sz w:val="22"/>
                <w:szCs w:val="22"/>
              </w:rPr>
            </w:pPr>
            <w:r>
              <w:rPr>
                <w:spacing w:val="-7"/>
                <w:sz w:val="22"/>
                <w:szCs w:val="22"/>
              </w:rPr>
              <w:t>西南</w:t>
            </w:r>
          </w:p>
        </w:tc>
        <w:tc>
          <w:tcPr>
            <w:tcW w:w="848" w:type="dxa"/>
            <w:vAlign w:val="top"/>
          </w:tcPr>
          <w:p w14:paraId="523B87A3">
            <w:pPr>
              <w:spacing w:line="257" w:lineRule="auto"/>
              <w:rPr>
                <w:rFonts w:ascii="Arial"/>
                <w:sz w:val="21"/>
              </w:rPr>
            </w:pPr>
          </w:p>
          <w:p w14:paraId="44A125B4">
            <w:pPr>
              <w:spacing w:before="63" w:line="189" w:lineRule="auto"/>
              <w:ind w:left="227"/>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1990</w:t>
            </w:r>
          </w:p>
        </w:tc>
        <w:tc>
          <w:tcPr>
            <w:tcW w:w="708" w:type="dxa"/>
            <w:vAlign w:val="top"/>
          </w:tcPr>
          <w:p w14:paraId="76D4110B">
            <w:pPr>
              <w:spacing w:line="266" w:lineRule="auto"/>
              <w:rPr>
                <w:rFonts w:ascii="Arial"/>
                <w:sz w:val="21"/>
              </w:rPr>
            </w:pPr>
          </w:p>
          <w:p w14:paraId="26E1B5B8">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568" w:type="dxa"/>
            <w:vAlign w:val="top"/>
          </w:tcPr>
          <w:p w14:paraId="4FFBECF6">
            <w:pPr>
              <w:spacing w:line="266" w:lineRule="auto"/>
              <w:rPr>
                <w:rFonts w:ascii="Arial"/>
                <w:sz w:val="21"/>
              </w:rPr>
            </w:pPr>
          </w:p>
          <w:p w14:paraId="42216557">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46254A71">
            <w:pPr>
              <w:pStyle w:val="6"/>
              <w:spacing w:before="131" w:line="228" w:lineRule="auto"/>
              <w:ind w:left="154"/>
            </w:pPr>
            <w:r>
              <w:rPr>
                <w:spacing w:val="3"/>
              </w:rPr>
              <w:t>生活</w:t>
            </w:r>
          </w:p>
          <w:p w14:paraId="3A200CED">
            <w:pPr>
              <w:pStyle w:val="6"/>
              <w:spacing w:before="71" w:line="228" w:lineRule="auto"/>
              <w:ind w:left="154"/>
            </w:pPr>
            <w:r>
              <w:rPr>
                <w:spacing w:val="3"/>
              </w:rPr>
              <w:t>用水</w:t>
            </w:r>
          </w:p>
        </w:tc>
        <w:tc>
          <w:tcPr>
            <w:tcW w:w="1193" w:type="dxa"/>
            <w:vMerge w:val="continue"/>
            <w:tcBorders>
              <w:top w:val="nil"/>
            </w:tcBorders>
            <w:textDirection w:val="tbRlV"/>
            <w:vAlign w:val="top"/>
          </w:tcPr>
          <w:p w14:paraId="15EA7681">
            <w:pPr>
              <w:rPr>
                <w:rFonts w:ascii="Arial"/>
                <w:sz w:val="21"/>
              </w:rPr>
            </w:pPr>
          </w:p>
        </w:tc>
      </w:tr>
    </w:tbl>
    <w:p w14:paraId="3950ED81">
      <w:pPr>
        <w:spacing w:before="124" w:line="188"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p w14:paraId="77183332">
      <w:pPr>
        <w:spacing w:line="188" w:lineRule="auto"/>
        <w:rPr>
          <w:rFonts w:ascii="Times New Roman" w:hAnsi="Times New Roman" w:eastAsia="Times New Roman" w:cs="Times New Roman"/>
          <w:sz w:val="18"/>
          <w:szCs w:val="18"/>
        </w:rPr>
        <w:sectPr>
          <w:headerReference r:id="rId49" w:type="default"/>
          <w:footerReference r:id="rId50" w:type="default"/>
          <w:pgSz w:w="11906" w:h="16839"/>
          <w:pgMar w:top="1208" w:right="1684" w:bottom="400" w:left="1684" w:header="825" w:footer="0" w:gutter="0"/>
          <w:cols w:space="720" w:num="1"/>
        </w:sectPr>
      </w:pPr>
    </w:p>
    <w:p w14:paraId="4839BC9D">
      <w:pPr>
        <w:spacing w:line="231"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525"/>
        <w:gridCol w:w="1558"/>
        <w:gridCol w:w="709"/>
        <w:gridCol w:w="848"/>
        <w:gridCol w:w="708"/>
        <w:gridCol w:w="568"/>
        <w:gridCol w:w="710"/>
        <w:gridCol w:w="1193"/>
      </w:tblGrid>
      <w:tr w14:paraId="30A08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713" w:type="dxa"/>
            <w:vMerge w:val="restart"/>
            <w:tcBorders>
              <w:bottom w:val="nil"/>
            </w:tcBorders>
            <w:vAlign w:val="top"/>
          </w:tcPr>
          <w:p w14:paraId="0706EC10">
            <w:pPr>
              <w:rPr>
                <w:rFonts w:ascii="Arial"/>
                <w:sz w:val="21"/>
              </w:rPr>
            </w:pPr>
          </w:p>
        </w:tc>
        <w:tc>
          <w:tcPr>
            <w:tcW w:w="1525" w:type="dxa"/>
            <w:vAlign w:val="top"/>
          </w:tcPr>
          <w:p w14:paraId="735101F5">
            <w:pPr>
              <w:pStyle w:val="6"/>
              <w:spacing w:before="125" w:line="220" w:lineRule="auto"/>
              <w:ind w:left="160"/>
              <w:rPr>
                <w:sz w:val="22"/>
                <w:szCs w:val="22"/>
              </w:rPr>
            </w:pPr>
            <w:r>
              <w:rPr>
                <w:rFonts w:ascii="Times New Roman" w:hAnsi="Times New Roman" w:eastAsia="Times New Roman" w:cs="Times New Roman"/>
                <w:spacing w:val="-2"/>
                <w:sz w:val="22"/>
                <w:szCs w:val="22"/>
              </w:rPr>
              <w:t>S15</w:t>
            </w:r>
            <w:r>
              <w:rPr>
                <w:spacing w:val="-2"/>
                <w:sz w:val="22"/>
                <w:szCs w:val="22"/>
              </w:rPr>
              <w:t>（牧民点</w:t>
            </w:r>
          </w:p>
          <w:p w14:paraId="06228769">
            <w:pPr>
              <w:pStyle w:val="6"/>
              <w:spacing w:before="57" w:line="232" w:lineRule="auto"/>
              <w:ind w:left="606"/>
              <w:rPr>
                <w:sz w:val="22"/>
                <w:szCs w:val="22"/>
              </w:rPr>
            </w:pPr>
            <w:r>
              <w:rPr>
                <w:rFonts w:ascii="Times New Roman" w:hAnsi="Times New Roman" w:eastAsia="Times New Roman" w:cs="Times New Roman"/>
                <w:spacing w:val="-7"/>
                <w:sz w:val="22"/>
                <w:szCs w:val="22"/>
              </w:rPr>
              <w:t>8</w:t>
            </w:r>
            <w:r>
              <w:rPr>
                <w:spacing w:val="-7"/>
                <w:sz w:val="22"/>
                <w:szCs w:val="22"/>
              </w:rPr>
              <w:t>）</w:t>
            </w:r>
          </w:p>
        </w:tc>
        <w:tc>
          <w:tcPr>
            <w:tcW w:w="1558" w:type="dxa"/>
            <w:vAlign w:val="top"/>
          </w:tcPr>
          <w:p w14:paraId="6E104B11">
            <w:pPr>
              <w:spacing w:before="166"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118°56'9.73"</w:t>
            </w:r>
          </w:p>
          <w:p w14:paraId="6E0A1F04">
            <w:pPr>
              <w:spacing w:before="13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15'9.55"</w:t>
            </w:r>
          </w:p>
        </w:tc>
        <w:tc>
          <w:tcPr>
            <w:tcW w:w="709" w:type="dxa"/>
            <w:vAlign w:val="top"/>
          </w:tcPr>
          <w:p w14:paraId="0BAF8204">
            <w:pPr>
              <w:pStyle w:val="6"/>
              <w:spacing w:before="286" w:line="222" w:lineRule="auto"/>
              <w:ind w:left="147"/>
              <w:rPr>
                <w:sz w:val="22"/>
                <w:szCs w:val="22"/>
              </w:rPr>
            </w:pPr>
            <w:r>
              <w:rPr>
                <w:spacing w:val="-7"/>
                <w:sz w:val="22"/>
                <w:szCs w:val="22"/>
              </w:rPr>
              <w:t>西南</w:t>
            </w:r>
          </w:p>
        </w:tc>
        <w:tc>
          <w:tcPr>
            <w:tcW w:w="848" w:type="dxa"/>
            <w:vAlign w:val="top"/>
          </w:tcPr>
          <w:p w14:paraId="419D16A7">
            <w:pPr>
              <w:spacing w:line="256" w:lineRule="auto"/>
              <w:rPr>
                <w:rFonts w:ascii="Arial"/>
                <w:sz w:val="21"/>
              </w:rPr>
            </w:pPr>
          </w:p>
          <w:p w14:paraId="0AF3046E">
            <w:pPr>
              <w:spacing w:before="64"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2550</w:t>
            </w:r>
          </w:p>
        </w:tc>
        <w:tc>
          <w:tcPr>
            <w:tcW w:w="708" w:type="dxa"/>
            <w:vAlign w:val="top"/>
          </w:tcPr>
          <w:p w14:paraId="6354FE01">
            <w:pPr>
              <w:spacing w:line="266" w:lineRule="auto"/>
              <w:rPr>
                <w:rFonts w:ascii="Arial"/>
                <w:sz w:val="21"/>
              </w:rPr>
            </w:pPr>
          </w:p>
          <w:p w14:paraId="41CD9344">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568" w:type="dxa"/>
            <w:vAlign w:val="top"/>
          </w:tcPr>
          <w:p w14:paraId="3C981C95">
            <w:pPr>
              <w:spacing w:line="266" w:lineRule="auto"/>
              <w:rPr>
                <w:rFonts w:ascii="Arial"/>
                <w:sz w:val="21"/>
              </w:rPr>
            </w:pPr>
          </w:p>
          <w:p w14:paraId="5F9EB060">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1A7B126E">
            <w:pPr>
              <w:pStyle w:val="6"/>
              <w:spacing w:before="131" w:line="228" w:lineRule="auto"/>
              <w:ind w:left="154"/>
            </w:pPr>
            <w:r>
              <w:rPr>
                <w:spacing w:val="3"/>
              </w:rPr>
              <w:t>生活</w:t>
            </w:r>
          </w:p>
          <w:p w14:paraId="3B16138A">
            <w:pPr>
              <w:pStyle w:val="6"/>
              <w:spacing w:before="71" w:line="228" w:lineRule="auto"/>
              <w:ind w:left="154"/>
            </w:pPr>
            <w:r>
              <w:rPr>
                <w:spacing w:val="3"/>
              </w:rPr>
              <w:t>用水</w:t>
            </w:r>
          </w:p>
        </w:tc>
        <w:tc>
          <w:tcPr>
            <w:tcW w:w="1193" w:type="dxa"/>
            <w:vMerge w:val="restart"/>
            <w:tcBorders>
              <w:bottom w:val="nil"/>
            </w:tcBorders>
            <w:vAlign w:val="top"/>
          </w:tcPr>
          <w:p w14:paraId="6D6C791F">
            <w:pPr>
              <w:pStyle w:val="6"/>
              <w:spacing w:before="57" w:line="295" w:lineRule="auto"/>
              <w:ind w:left="117" w:right="43" w:firstLine="2"/>
              <w:jc w:val="both"/>
              <w:rPr>
                <w:rFonts w:ascii="Times New Roman" w:hAnsi="Times New Roman" w:eastAsia="Times New Roman" w:cs="Times New Roman"/>
              </w:rPr>
            </w:pPr>
            <w:r>
              <w:rPr>
                <w:spacing w:val="4"/>
              </w:rPr>
              <w:t>设而改变，</w:t>
            </w:r>
            <w:r>
              <w:rPr>
                <w:spacing w:val="3"/>
              </w:rPr>
              <w:t xml:space="preserve"> </w:t>
            </w:r>
            <w:r>
              <w:rPr>
                <w:spacing w:val="22"/>
              </w:rPr>
              <w:t>《</w:t>
            </w:r>
            <w:r>
              <w:rPr>
                <w:spacing w:val="-26"/>
              </w:rPr>
              <w:t xml:space="preserve"> </w:t>
            </w:r>
            <w:r>
              <w:rPr>
                <w:spacing w:val="22"/>
              </w:rPr>
              <w:t>地下水</w:t>
            </w:r>
            <w:r>
              <w:t xml:space="preserve"> </w:t>
            </w:r>
            <w:r>
              <w:rPr>
                <w:spacing w:val="5"/>
              </w:rPr>
              <w:t>质量标准》</w:t>
            </w:r>
            <w:r>
              <w:rPr>
                <w:spacing w:val="1"/>
              </w:rPr>
              <w:t xml:space="preserve"> </w:t>
            </w:r>
            <w:r>
              <w:rPr>
                <w:spacing w:val="4"/>
              </w:rPr>
              <w:t>（</w:t>
            </w:r>
            <w:r>
              <w:rPr>
                <w:spacing w:val="-15"/>
              </w:rPr>
              <w:t xml:space="preserve"> </w:t>
            </w:r>
            <w:r>
              <w:rPr>
                <w:rFonts w:ascii="Times New Roman" w:hAnsi="Times New Roman" w:eastAsia="Times New Roman" w:cs="Times New Roman"/>
              </w:rPr>
              <w:t>GB</w:t>
            </w:r>
            <w:r>
              <w:rPr>
                <w:rFonts w:ascii="Times New Roman" w:hAnsi="Times New Roman" w:eastAsia="Times New Roman" w:cs="Times New Roman"/>
                <w:spacing w:val="4"/>
              </w:rPr>
              <w:t>/T14</w:t>
            </w:r>
          </w:p>
          <w:p w14:paraId="1AAA070C">
            <w:pPr>
              <w:pStyle w:val="6"/>
              <w:spacing w:line="296" w:lineRule="auto"/>
              <w:ind w:left="113" w:right="74" w:firstLine="7"/>
            </w:pPr>
            <w:r>
              <w:rPr>
                <w:rFonts w:ascii="Times New Roman" w:hAnsi="Times New Roman" w:eastAsia="Times New Roman" w:cs="Times New Roman"/>
                <w:spacing w:val="2"/>
              </w:rPr>
              <w:t>848-2017</w:t>
            </w:r>
            <w:r>
              <w:rPr>
                <w:spacing w:val="2"/>
              </w:rPr>
              <w:t>）</w:t>
            </w:r>
            <w:r>
              <w:rPr>
                <w:spacing w:val="6"/>
              </w:rPr>
              <w:t xml:space="preserve"> </w:t>
            </w:r>
            <w:r>
              <w:rPr>
                <w:rFonts w:ascii="Times New Roman" w:hAnsi="Times New Roman" w:eastAsia="Times New Roman" w:cs="Times New Roman"/>
                <w:spacing w:val="1"/>
              </w:rPr>
              <w:t>Ⅲ</w:t>
            </w:r>
            <w:r>
              <w:rPr>
                <w:spacing w:val="1"/>
              </w:rPr>
              <w:t>类标准。</w:t>
            </w:r>
          </w:p>
        </w:tc>
      </w:tr>
      <w:tr w14:paraId="0BAF6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0AE705E4">
            <w:pPr>
              <w:rPr>
                <w:rFonts w:ascii="Arial"/>
                <w:sz w:val="21"/>
              </w:rPr>
            </w:pPr>
          </w:p>
        </w:tc>
        <w:tc>
          <w:tcPr>
            <w:tcW w:w="1525" w:type="dxa"/>
            <w:vAlign w:val="top"/>
          </w:tcPr>
          <w:p w14:paraId="2D541FDF">
            <w:pPr>
              <w:pStyle w:val="6"/>
              <w:spacing w:before="282" w:line="220" w:lineRule="auto"/>
              <w:jc w:val="right"/>
              <w:rPr>
                <w:sz w:val="22"/>
                <w:szCs w:val="22"/>
              </w:rPr>
            </w:pPr>
            <w:r>
              <w:rPr>
                <w:rFonts w:ascii="Times New Roman" w:hAnsi="Times New Roman" w:eastAsia="Times New Roman" w:cs="Times New Roman"/>
                <w:spacing w:val="-15"/>
                <w:sz w:val="22"/>
                <w:szCs w:val="22"/>
              </w:rPr>
              <w:t>S9</w:t>
            </w:r>
            <w:r>
              <w:rPr>
                <w:spacing w:val="-15"/>
                <w:sz w:val="22"/>
                <w:szCs w:val="22"/>
              </w:rPr>
              <w:t>（牧民点</w:t>
            </w:r>
            <w:r>
              <w:rPr>
                <w:spacing w:val="-42"/>
                <w:sz w:val="22"/>
                <w:szCs w:val="22"/>
              </w:rPr>
              <w:t xml:space="preserve"> </w:t>
            </w:r>
            <w:r>
              <w:rPr>
                <w:rFonts w:ascii="Times New Roman" w:hAnsi="Times New Roman" w:eastAsia="Times New Roman" w:cs="Times New Roman"/>
                <w:spacing w:val="-15"/>
                <w:sz w:val="22"/>
                <w:szCs w:val="22"/>
              </w:rPr>
              <w:t>7</w:t>
            </w:r>
            <w:r>
              <w:rPr>
                <w:spacing w:val="-15"/>
                <w:sz w:val="22"/>
                <w:szCs w:val="22"/>
              </w:rPr>
              <w:t>）</w:t>
            </w:r>
          </w:p>
        </w:tc>
        <w:tc>
          <w:tcPr>
            <w:tcW w:w="1558" w:type="dxa"/>
            <w:vAlign w:val="top"/>
          </w:tcPr>
          <w:p w14:paraId="0F16F543">
            <w:pPr>
              <w:spacing w:before="162"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118°55′21.22″</w:t>
            </w:r>
          </w:p>
          <w:p w14:paraId="1AD9FF3B">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14′24.56″</w:t>
            </w:r>
          </w:p>
        </w:tc>
        <w:tc>
          <w:tcPr>
            <w:tcW w:w="709" w:type="dxa"/>
            <w:vAlign w:val="top"/>
          </w:tcPr>
          <w:p w14:paraId="372C90E3">
            <w:pPr>
              <w:pStyle w:val="6"/>
              <w:spacing w:before="285" w:line="230" w:lineRule="auto"/>
              <w:ind w:left="155"/>
            </w:pPr>
            <w:r>
              <w:rPr>
                <w:spacing w:val="2"/>
              </w:rPr>
              <w:t>西南</w:t>
            </w:r>
          </w:p>
        </w:tc>
        <w:tc>
          <w:tcPr>
            <w:tcW w:w="848" w:type="dxa"/>
            <w:vAlign w:val="top"/>
          </w:tcPr>
          <w:p w14:paraId="45469530">
            <w:pPr>
              <w:spacing w:line="262" w:lineRule="auto"/>
              <w:rPr>
                <w:rFonts w:ascii="Arial"/>
                <w:sz w:val="21"/>
              </w:rPr>
            </w:pPr>
          </w:p>
          <w:p w14:paraId="78280582">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8050</w:t>
            </w:r>
          </w:p>
        </w:tc>
        <w:tc>
          <w:tcPr>
            <w:tcW w:w="708" w:type="dxa"/>
            <w:vAlign w:val="top"/>
          </w:tcPr>
          <w:p w14:paraId="00697FD6">
            <w:pPr>
              <w:spacing w:line="262" w:lineRule="auto"/>
              <w:rPr>
                <w:rFonts w:ascii="Arial"/>
                <w:sz w:val="21"/>
              </w:rPr>
            </w:pPr>
          </w:p>
          <w:p w14:paraId="69D19EB5">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68" w:type="dxa"/>
            <w:vAlign w:val="top"/>
          </w:tcPr>
          <w:p w14:paraId="5BDC7EAF">
            <w:pPr>
              <w:spacing w:line="262" w:lineRule="auto"/>
              <w:rPr>
                <w:rFonts w:ascii="Arial"/>
                <w:sz w:val="21"/>
              </w:rPr>
            </w:pPr>
          </w:p>
          <w:p w14:paraId="1A793707">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70862EE0">
            <w:pPr>
              <w:pStyle w:val="6"/>
              <w:spacing w:before="127" w:line="228" w:lineRule="auto"/>
              <w:ind w:left="154"/>
            </w:pPr>
            <w:r>
              <w:rPr>
                <w:spacing w:val="3"/>
              </w:rPr>
              <w:t>生活</w:t>
            </w:r>
          </w:p>
          <w:p w14:paraId="7293DC76">
            <w:pPr>
              <w:pStyle w:val="6"/>
              <w:spacing w:before="71" w:line="228" w:lineRule="auto"/>
              <w:ind w:left="154"/>
            </w:pPr>
            <w:r>
              <w:rPr>
                <w:spacing w:val="3"/>
              </w:rPr>
              <w:t>用水</w:t>
            </w:r>
          </w:p>
        </w:tc>
        <w:tc>
          <w:tcPr>
            <w:tcW w:w="1193" w:type="dxa"/>
            <w:vMerge w:val="continue"/>
            <w:tcBorders>
              <w:top w:val="nil"/>
              <w:bottom w:val="nil"/>
            </w:tcBorders>
            <w:vAlign w:val="top"/>
          </w:tcPr>
          <w:p w14:paraId="6C5BB028">
            <w:pPr>
              <w:rPr>
                <w:rFonts w:ascii="Arial"/>
                <w:sz w:val="21"/>
              </w:rPr>
            </w:pPr>
          </w:p>
        </w:tc>
      </w:tr>
      <w:tr w14:paraId="656D8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122853C1">
            <w:pPr>
              <w:rPr>
                <w:rFonts w:ascii="Arial"/>
                <w:sz w:val="21"/>
              </w:rPr>
            </w:pPr>
          </w:p>
        </w:tc>
        <w:tc>
          <w:tcPr>
            <w:tcW w:w="1525" w:type="dxa"/>
            <w:vAlign w:val="top"/>
          </w:tcPr>
          <w:p w14:paraId="38A0B1DB">
            <w:pPr>
              <w:pStyle w:val="6"/>
              <w:spacing w:before="283" w:line="220" w:lineRule="auto"/>
              <w:jc w:val="right"/>
              <w:rPr>
                <w:sz w:val="22"/>
                <w:szCs w:val="22"/>
              </w:rPr>
            </w:pPr>
            <w:r>
              <w:rPr>
                <w:rFonts w:ascii="Times New Roman" w:hAnsi="Times New Roman" w:eastAsia="Times New Roman" w:cs="Times New Roman"/>
                <w:spacing w:val="-14"/>
                <w:sz w:val="22"/>
                <w:szCs w:val="22"/>
              </w:rPr>
              <w:t>S1</w:t>
            </w:r>
            <w:r>
              <w:rPr>
                <w:spacing w:val="-14"/>
                <w:sz w:val="22"/>
                <w:szCs w:val="22"/>
              </w:rPr>
              <w:t>（牧民点</w:t>
            </w:r>
            <w:r>
              <w:rPr>
                <w:spacing w:val="-50"/>
                <w:sz w:val="22"/>
                <w:szCs w:val="22"/>
              </w:rPr>
              <w:t xml:space="preserve"> </w:t>
            </w:r>
            <w:r>
              <w:rPr>
                <w:rFonts w:ascii="Times New Roman" w:hAnsi="Times New Roman" w:eastAsia="Times New Roman" w:cs="Times New Roman"/>
                <w:spacing w:val="-14"/>
                <w:sz w:val="22"/>
                <w:szCs w:val="22"/>
              </w:rPr>
              <w:t>2</w:t>
            </w:r>
            <w:r>
              <w:rPr>
                <w:spacing w:val="-14"/>
                <w:sz w:val="22"/>
                <w:szCs w:val="22"/>
              </w:rPr>
              <w:t>）</w:t>
            </w:r>
          </w:p>
        </w:tc>
        <w:tc>
          <w:tcPr>
            <w:tcW w:w="1558" w:type="dxa"/>
            <w:vAlign w:val="top"/>
          </w:tcPr>
          <w:p w14:paraId="444ABFB5">
            <w:pPr>
              <w:spacing w:before="16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118°55′4.49″</w:t>
            </w:r>
          </w:p>
          <w:p w14:paraId="46840447">
            <w:pPr>
              <w:spacing w:before="132"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709" w:type="dxa"/>
            <w:vAlign w:val="top"/>
          </w:tcPr>
          <w:p w14:paraId="607FC6A2">
            <w:pPr>
              <w:pStyle w:val="6"/>
              <w:spacing w:before="282" w:line="224" w:lineRule="auto"/>
              <w:ind w:left="147"/>
              <w:rPr>
                <w:sz w:val="22"/>
                <w:szCs w:val="22"/>
              </w:rPr>
            </w:pPr>
            <w:r>
              <w:rPr>
                <w:spacing w:val="-7"/>
                <w:sz w:val="22"/>
                <w:szCs w:val="22"/>
              </w:rPr>
              <w:t>西北</w:t>
            </w:r>
          </w:p>
        </w:tc>
        <w:tc>
          <w:tcPr>
            <w:tcW w:w="848" w:type="dxa"/>
            <w:vAlign w:val="top"/>
          </w:tcPr>
          <w:p w14:paraId="634786A7">
            <w:pPr>
              <w:spacing w:line="254" w:lineRule="auto"/>
              <w:rPr>
                <w:rFonts w:ascii="Arial"/>
                <w:sz w:val="21"/>
              </w:rPr>
            </w:pPr>
          </w:p>
          <w:p w14:paraId="52135AD7">
            <w:pPr>
              <w:spacing w:before="6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3460</w:t>
            </w:r>
          </w:p>
        </w:tc>
        <w:tc>
          <w:tcPr>
            <w:tcW w:w="708" w:type="dxa"/>
            <w:vAlign w:val="top"/>
          </w:tcPr>
          <w:p w14:paraId="2F0A3388">
            <w:pPr>
              <w:spacing w:line="263" w:lineRule="auto"/>
              <w:rPr>
                <w:rFonts w:ascii="Arial"/>
                <w:sz w:val="21"/>
              </w:rPr>
            </w:pPr>
          </w:p>
          <w:p w14:paraId="509C4FF2">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68" w:type="dxa"/>
            <w:vAlign w:val="top"/>
          </w:tcPr>
          <w:p w14:paraId="4A738112">
            <w:pPr>
              <w:spacing w:line="263" w:lineRule="auto"/>
              <w:rPr>
                <w:rFonts w:ascii="Arial"/>
                <w:sz w:val="21"/>
              </w:rPr>
            </w:pPr>
          </w:p>
          <w:p w14:paraId="47B82006">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47FC2601">
            <w:pPr>
              <w:pStyle w:val="6"/>
              <w:spacing w:before="128" w:line="228" w:lineRule="auto"/>
              <w:ind w:left="154"/>
            </w:pPr>
            <w:r>
              <w:rPr>
                <w:spacing w:val="3"/>
              </w:rPr>
              <w:t>生活</w:t>
            </w:r>
          </w:p>
          <w:p w14:paraId="3D9A5D52">
            <w:pPr>
              <w:pStyle w:val="6"/>
              <w:spacing w:before="71" w:line="228" w:lineRule="auto"/>
              <w:ind w:left="154"/>
            </w:pPr>
            <w:r>
              <w:rPr>
                <w:spacing w:val="3"/>
              </w:rPr>
              <w:t>用水</w:t>
            </w:r>
          </w:p>
        </w:tc>
        <w:tc>
          <w:tcPr>
            <w:tcW w:w="1193" w:type="dxa"/>
            <w:vMerge w:val="continue"/>
            <w:tcBorders>
              <w:top w:val="nil"/>
              <w:bottom w:val="nil"/>
            </w:tcBorders>
            <w:vAlign w:val="top"/>
          </w:tcPr>
          <w:p w14:paraId="536BBD8B">
            <w:pPr>
              <w:rPr>
                <w:rFonts w:ascii="Arial"/>
                <w:sz w:val="21"/>
              </w:rPr>
            </w:pPr>
          </w:p>
        </w:tc>
      </w:tr>
      <w:tr w14:paraId="605E4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57409E47">
            <w:pPr>
              <w:rPr>
                <w:rFonts w:ascii="Arial"/>
                <w:sz w:val="21"/>
              </w:rPr>
            </w:pPr>
          </w:p>
        </w:tc>
        <w:tc>
          <w:tcPr>
            <w:tcW w:w="1525" w:type="dxa"/>
            <w:vAlign w:val="top"/>
          </w:tcPr>
          <w:p w14:paraId="478B598E">
            <w:pPr>
              <w:pStyle w:val="6"/>
              <w:spacing w:before="284" w:line="220" w:lineRule="auto"/>
              <w:jc w:val="right"/>
              <w:rPr>
                <w:sz w:val="22"/>
                <w:szCs w:val="22"/>
              </w:rPr>
            </w:pPr>
            <w:r>
              <w:rPr>
                <w:rFonts w:ascii="Times New Roman" w:hAnsi="Times New Roman" w:eastAsia="Times New Roman" w:cs="Times New Roman"/>
                <w:spacing w:val="-17"/>
                <w:sz w:val="22"/>
                <w:szCs w:val="22"/>
              </w:rPr>
              <w:t>S2</w:t>
            </w:r>
            <w:r>
              <w:rPr>
                <w:spacing w:val="-17"/>
                <w:sz w:val="22"/>
                <w:szCs w:val="22"/>
              </w:rPr>
              <w:t>（牧民点</w:t>
            </w:r>
            <w:r>
              <w:rPr>
                <w:spacing w:val="-26"/>
                <w:sz w:val="22"/>
                <w:szCs w:val="22"/>
              </w:rPr>
              <w:t xml:space="preserve"> </w:t>
            </w:r>
            <w:r>
              <w:rPr>
                <w:rFonts w:ascii="Times New Roman" w:hAnsi="Times New Roman" w:eastAsia="Times New Roman" w:cs="Times New Roman"/>
                <w:spacing w:val="-17"/>
                <w:sz w:val="22"/>
                <w:szCs w:val="22"/>
              </w:rPr>
              <w:t>1</w:t>
            </w:r>
            <w:r>
              <w:rPr>
                <w:spacing w:val="-17"/>
                <w:sz w:val="22"/>
                <w:szCs w:val="22"/>
              </w:rPr>
              <w:t>）</w:t>
            </w:r>
          </w:p>
        </w:tc>
        <w:tc>
          <w:tcPr>
            <w:tcW w:w="1558" w:type="dxa"/>
            <w:vAlign w:val="top"/>
          </w:tcPr>
          <w:p w14:paraId="7ADAABBD">
            <w:pPr>
              <w:spacing w:before="164"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1.95″</w:t>
            </w:r>
          </w:p>
          <w:p w14:paraId="67944F18">
            <w:pPr>
              <w:spacing w:before="13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11.05″</w:t>
            </w:r>
          </w:p>
        </w:tc>
        <w:tc>
          <w:tcPr>
            <w:tcW w:w="709" w:type="dxa"/>
            <w:vAlign w:val="top"/>
          </w:tcPr>
          <w:p w14:paraId="049AF9F2">
            <w:pPr>
              <w:pStyle w:val="6"/>
              <w:spacing w:before="283" w:line="224" w:lineRule="auto"/>
              <w:ind w:left="147"/>
              <w:rPr>
                <w:sz w:val="22"/>
                <w:szCs w:val="22"/>
              </w:rPr>
            </w:pPr>
            <w:r>
              <w:rPr>
                <w:spacing w:val="-7"/>
                <w:sz w:val="22"/>
                <w:szCs w:val="22"/>
              </w:rPr>
              <w:t>西北</w:t>
            </w:r>
          </w:p>
        </w:tc>
        <w:tc>
          <w:tcPr>
            <w:tcW w:w="848" w:type="dxa"/>
            <w:vAlign w:val="top"/>
          </w:tcPr>
          <w:p w14:paraId="406711DF">
            <w:pPr>
              <w:spacing w:line="255" w:lineRule="auto"/>
              <w:rPr>
                <w:rFonts w:ascii="Arial"/>
                <w:sz w:val="21"/>
              </w:rPr>
            </w:pPr>
          </w:p>
          <w:p w14:paraId="6E1C11D9">
            <w:pPr>
              <w:spacing w:before="63" w:line="189" w:lineRule="auto"/>
              <w:ind w:left="21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3340</w:t>
            </w:r>
          </w:p>
        </w:tc>
        <w:tc>
          <w:tcPr>
            <w:tcW w:w="708" w:type="dxa"/>
            <w:vAlign w:val="top"/>
          </w:tcPr>
          <w:p w14:paraId="3B0764D6">
            <w:pPr>
              <w:spacing w:line="264" w:lineRule="auto"/>
              <w:rPr>
                <w:rFonts w:ascii="Arial"/>
                <w:sz w:val="21"/>
              </w:rPr>
            </w:pPr>
          </w:p>
          <w:p w14:paraId="324C9FF0">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68" w:type="dxa"/>
            <w:vAlign w:val="top"/>
          </w:tcPr>
          <w:p w14:paraId="6497AB48">
            <w:pPr>
              <w:spacing w:line="264" w:lineRule="auto"/>
              <w:rPr>
                <w:rFonts w:ascii="Arial"/>
                <w:sz w:val="21"/>
              </w:rPr>
            </w:pPr>
          </w:p>
          <w:p w14:paraId="0C76C33D">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349B42B3">
            <w:pPr>
              <w:pStyle w:val="6"/>
              <w:spacing w:before="129" w:line="228" w:lineRule="auto"/>
              <w:ind w:left="154"/>
            </w:pPr>
            <w:r>
              <w:rPr>
                <w:spacing w:val="3"/>
              </w:rPr>
              <w:t>生活</w:t>
            </w:r>
          </w:p>
          <w:p w14:paraId="6DF51564">
            <w:pPr>
              <w:pStyle w:val="6"/>
              <w:spacing w:before="71" w:line="228" w:lineRule="auto"/>
              <w:ind w:left="154"/>
            </w:pPr>
            <w:r>
              <w:rPr>
                <w:spacing w:val="3"/>
              </w:rPr>
              <w:t>用水</w:t>
            </w:r>
          </w:p>
        </w:tc>
        <w:tc>
          <w:tcPr>
            <w:tcW w:w="1193" w:type="dxa"/>
            <w:vMerge w:val="continue"/>
            <w:tcBorders>
              <w:top w:val="nil"/>
              <w:bottom w:val="nil"/>
            </w:tcBorders>
            <w:vAlign w:val="top"/>
          </w:tcPr>
          <w:p w14:paraId="65292872">
            <w:pPr>
              <w:rPr>
                <w:rFonts w:ascii="Arial"/>
                <w:sz w:val="21"/>
              </w:rPr>
            </w:pPr>
          </w:p>
        </w:tc>
      </w:tr>
      <w:tr w14:paraId="1ACBB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bottom w:val="nil"/>
            </w:tcBorders>
            <w:vAlign w:val="top"/>
          </w:tcPr>
          <w:p w14:paraId="131B5994">
            <w:pPr>
              <w:rPr>
                <w:rFonts w:ascii="Arial"/>
                <w:sz w:val="21"/>
              </w:rPr>
            </w:pPr>
          </w:p>
        </w:tc>
        <w:tc>
          <w:tcPr>
            <w:tcW w:w="1525" w:type="dxa"/>
            <w:vAlign w:val="top"/>
          </w:tcPr>
          <w:p w14:paraId="5FB903E7">
            <w:pPr>
              <w:pStyle w:val="6"/>
              <w:spacing w:before="124" w:line="220" w:lineRule="auto"/>
              <w:ind w:left="215"/>
              <w:rPr>
                <w:sz w:val="22"/>
                <w:szCs w:val="22"/>
              </w:rPr>
            </w:pPr>
            <w:r>
              <w:rPr>
                <w:rFonts w:ascii="Times New Roman" w:hAnsi="Times New Roman" w:eastAsia="Times New Roman" w:cs="Times New Roman"/>
                <w:spacing w:val="-3"/>
                <w:sz w:val="22"/>
                <w:szCs w:val="22"/>
              </w:rPr>
              <w:t>S7</w:t>
            </w:r>
            <w:r>
              <w:rPr>
                <w:spacing w:val="-3"/>
                <w:sz w:val="22"/>
                <w:szCs w:val="22"/>
              </w:rPr>
              <w:t>（莫奇德</w:t>
            </w:r>
          </w:p>
          <w:p w14:paraId="766643F8">
            <w:pPr>
              <w:pStyle w:val="6"/>
              <w:spacing w:before="56" w:line="221" w:lineRule="auto"/>
              <w:ind w:left="548"/>
              <w:rPr>
                <w:sz w:val="22"/>
                <w:szCs w:val="22"/>
              </w:rPr>
            </w:pPr>
            <w:r>
              <w:rPr>
                <w:spacing w:val="-5"/>
                <w:sz w:val="22"/>
                <w:szCs w:val="22"/>
              </w:rPr>
              <w:t>家）</w:t>
            </w:r>
          </w:p>
        </w:tc>
        <w:tc>
          <w:tcPr>
            <w:tcW w:w="1558" w:type="dxa"/>
            <w:vAlign w:val="top"/>
          </w:tcPr>
          <w:p w14:paraId="3871621F">
            <w:pPr>
              <w:spacing w:before="165"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118°56′43.74″</w:t>
            </w:r>
          </w:p>
          <w:p w14:paraId="394A7F79">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10.17″</w:t>
            </w:r>
          </w:p>
        </w:tc>
        <w:tc>
          <w:tcPr>
            <w:tcW w:w="709" w:type="dxa"/>
            <w:vAlign w:val="top"/>
          </w:tcPr>
          <w:p w14:paraId="0FEA57B6">
            <w:pPr>
              <w:pStyle w:val="6"/>
              <w:spacing w:before="285" w:line="222" w:lineRule="auto"/>
              <w:ind w:left="147"/>
              <w:rPr>
                <w:sz w:val="22"/>
                <w:szCs w:val="22"/>
              </w:rPr>
            </w:pPr>
            <w:r>
              <w:rPr>
                <w:spacing w:val="-7"/>
                <w:sz w:val="22"/>
                <w:szCs w:val="22"/>
              </w:rPr>
              <w:t>西南</w:t>
            </w:r>
          </w:p>
        </w:tc>
        <w:tc>
          <w:tcPr>
            <w:tcW w:w="848" w:type="dxa"/>
            <w:vAlign w:val="top"/>
          </w:tcPr>
          <w:p w14:paraId="776E2CB4">
            <w:pPr>
              <w:spacing w:line="255" w:lineRule="auto"/>
              <w:rPr>
                <w:rFonts w:ascii="Arial"/>
                <w:sz w:val="21"/>
              </w:rPr>
            </w:pPr>
          </w:p>
          <w:p w14:paraId="2FC82937">
            <w:pPr>
              <w:spacing w:before="64"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2420</w:t>
            </w:r>
          </w:p>
        </w:tc>
        <w:tc>
          <w:tcPr>
            <w:tcW w:w="708" w:type="dxa"/>
            <w:vAlign w:val="top"/>
          </w:tcPr>
          <w:p w14:paraId="07208A88">
            <w:pPr>
              <w:spacing w:line="265" w:lineRule="auto"/>
              <w:rPr>
                <w:rFonts w:ascii="Arial"/>
                <w:sz w:val="21"/>
              </w:rPr>
            </w:pPr>
          </w:p>
          <w:p w14:paraId="2EF59160">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68" w:type="dxa"/>
            <w:vAlign w:val="top"/>
          </w:tcPr>
          <w:p w14:paraId="5DA67B41">
            <w:pPr>
              <w:spacing w:line="265" w:lineRule="auto"/>
              <w:rPr>
                <w:rFonts w:ascii="Arial"/>
                <w:sz w:val="21"/>
              </w:rPr>
            </w:pPr>
          </w:p>
          <w:p w14:paraId="68CD775A">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2097BB18">
            <w:pPr>
              <w:pStyle w:val="6"/>
              <w:spacing w:before="130" w:line="228" w:lineRule="auto"/>
              <w:ind w:left="154"/>
            </w:pPr>
            <w:r>
              <w:rPr>
                <w:spacing w:val="3"/>
              </w:rPr>
              <w:t>生活</w:t>
            </w:r>
          </w:p>
          <w:p w14:paraId="02A264B4">
            <w:pPr>
              <w:pStyle w:val="6"/>
              <w:spacing w:before="71" w:line="228" w:lineRule="auto"/>
              <w:ind w:left="154"/>
            </w:pPr>
            <w:r>
              <w:rPr>
                <w:spacing w:val="3"/>
              </w:rPr>
              <w:t>用水</w:t>
            </w:r>
          </w:p>
        </w:tc>
        <w:tc>
          <w:tcPr>
            <w:tcW w:w="1193" w:type="dxa"/>
            <w:vMerge w:val="continue"/>
            <w:tcBorders>
              <w:top w:val="nil"/>
              <w:bottom w:val="nil"/>
            </w:tcBorders>
            <w:vAlign w:val="top"/>
          </w:tcPr>
          <w:p w14:paraId="1F5E2C9E">
            <w:pPr>
              <w:rPr>
                <w:rFonts w:ascii="Arial"/>
                <w:sz w:val="21"/>
              </w:rPr>
            </w:pPr>
          </w:p>
        </w:tc>
      </w:tr>
      <w:tr w14:paraId="61BAF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713" w:type="dxa"/>
            <w:vMerge w:val="continue"/>
            <w:tcBorders>
              <w:top w:val="nil"/>
            </w:tcBorders>
            <w:vAlign w:val="top"/>
          </w:tcPr>
          <w:p w14:paraId="3A1791F2">
            <w:pPr>
              <w:rPr>
                <w:rFonts w:ascii="Arial"/>
                <w:sz w:val="21"/>
              </w:rPr>
            </w:pPr>
          </w:p>
        </w:tc>
        <w:tc>
          <w:tcPr>
            <w:tcW w:w="1525" w:type="dxa"/>
            <w:vAlign w:val="top"/>
          </w:tcPr>
          <w:p w14:paraId="36B2C703">
            <w:pPr>
              <w:pStyle w:val="6"/>
              <w:spacing w:before="286" w:line="220" w:lineRule="auto"/>
              <w:jc w:val="right"/>
              <w:rPr>
                <w:sz w:val="22"/>
                <w:szCs w:val="22"/>
              </w:rPr>
            </w:pPr>
            <w:r>
              <w:rPr>
                <w:rFonts w:ascii="Times New Roman" w:hAnsi="Times New Roman" w:eastAsia="Times New Roman" w:cs="Times New Roman"/>
                <w:spacing w:val="-15"/>
                <w:sz w:val="22"/>
                <w:szCs w:val="22"/>
              </w:rPr>
              <w:t>S8</w:t>
            </w:r>
            <w:r>
              <w:rPr>
                <w:spacing w:val="-15"/>
                <w:sz w:val="22"/>
                <w:szCs w:val="22"/>
              </w:rPr>
              <w:t>（牧民点</w:t>
            </w:r>
            <w:r>
              <w:rPr>
                <w:spacing w:val="-42"/>
                <w:sz w:val="22"/>
                <w:szCs w:val="22"/>
              </w:rPr>
              <w:t xml:space="preserve"> </w:t>
            </w:r>
            <w:r>
              <w:rPr>
                <w:rFonts w:ascii="Times New Roman" w:hAnsi="Times New Roman" w:eastAsia="Times New Roman" w:cs="Times New Roman"/>
                <w:spacing w:val="-15"/>
                <w:sz w:val="22"/>
                <w:szCs w:val="22"/>
              </w:rPr>
              <w:t>3</w:t>
            </w:r>
            <w:r>
              <w:rPr>
                <w:spacing w:val="-15"/>
                <w:sz w:val="22"/>
                <w:szCs w:val="22"/>
              </w:rPr>
              <w:t>）</w:t>
            </w:r>
          </w:p>
        </w:tc>
        <w:tc>
          <w:tcPr>
            <w:tcW w:w="1558" w:type="dxa"/>
            <w:vAlign w:val="top"/>
          </w:tcPr>
          <w:p w14:paraId="6BDBB9EA">
            <w:pPr>
              <w:spacing w:before="16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118°56′23.45″</w:t>
            </w:r>
          </w:p>
          <w:p w14:paraId="10D4AD67">
            <w:pPr>
              <w:spacing w:before="13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15′25.42″</w:t>
            </w:r>
          </w:p>
        </w:tc>
        <w:tc>
          <w:tcPr>
            <w:tcW w:w="709" w:type="dxa"/>
            <w:vAlign w:val="top"/>
          </w:tcPr>
          <w:p w14:paraId="0EBAA8E1">
            <w:pPr>
              <w:pStyle w:val="6"/>
              <w:spacing w:before="285" w:line="224" w:lineRule="auto"/>
              <w:ind w:left="147"/>
              <w:rPr>
                <w:sz w:val="22"/>
                <w:szCs w:val="22"/>
              </w:rPr>
            </w:pPr>
            <w:r>
              <w:rPr>
                <w:spacing w:val="-7"/>
                <w:sz w:val="22"/>
                <w:szCs w:val="22"/>
              </w:rPr>
              <w:t>西北</w:t>
            </w:r>
          </w:p>
        </w:tc>
        <w:tc>
          <w:tcPr>
            <w:tcW w:w="848" w:type="dxa"/>
            <w:vAlign w:val="top"/>
          </w:tcPr>
          <w:p w14:paraId="211A0F6D">
            <w:pPr>
              <w:spacing w:line="257" w:lineRule="auto"/>
              <w:rPr>
                <w:rFonts w:ascii="Arial"/>
                <w:sz w:val="21"/>
              </w:rPr>
            </w:pPr>
          </w:p>
          <w:p w14:paraId="596BF90F">
            <w:pPr>
              <w:spacing w:before="63" w:line="189" w:lineRule="auto"/>
              <w:ind w:left="20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2930</w:t>
            </w:r>
          </w:p>
        </w:tc>
        <w:tc>
          <w:tcPr>
            <w:tcW w:w="708" w:type="dxa"/>
            <w:vAlign w:val="top"/>
          </w:tcPr>
          <w:p w14:paraId="2C5D4AE4">
            <w:pPr>
              <w:spacing w:line="266" w:lineRule="auto"/>
              <w:rPr>
                <w:rFonts w:ascii="Arial"/>
                <w:sz w:val="21"/>
              </w:rPr>
            </w:pPr>
          </w:p>
          <w:p w14:paraId="3A6866D2">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568" w:type="dxa"/>
            <w:vAlign w:val="top"/>
          </w:tcPr>
          <w:p w14:paraId="148CE90E">
            <w:pPr>
              <w:spacing w:line="266" w:lineRule="auto"/>
              <w:rPr>
                <w:rFonts w:ascii="Arial"/>
                <w:sz w:val="21"/>
              </w:rPr>
            </w:pPr>
          </w:p>
          <w:p w14:paraId="41BF5BC8">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10" w:type="dxa"/>
            <w:vAlign w:val="top"/>
          </w:tcPr>
          <w:p w14:paraId="0C15C65A">
            <w:pPr>
              <w:pStyle w:val="6"/>
              <w:spacing w:before="131" w:line="228" w:lineRule="auto"/>
              <w:ind w:left="154"/>
            </w:pPr>
            <w:r>
              <w:rPr>
                <w:spacing w:val="3"/>
              </w:rPr>
              <w:t>生活</w:t>
            </w:r>
          </w:p>
          <w:p w14:paraId="346AC5BD">
            <w:pPr>
              <w:pStyle w:val="6"/>
              <w:spacing w:before="71" w:line="228" w:lineRule="auto"/>
              <w:ind w:left="154"/>
            </w:pPr>
            <w:r>
              <w:rPr>
                <w:spacing w:val="3"/>
              </w:rPr>
              <w:t>用水</w:t>
            </w:r>
          </w:p>
        </w:tc>
        <w:tc>
          <w:tcPr>
            <w:tcW w:w="1193" w:type="dxa"/>
            <w:vMerge w:val="continue"/>
            <w:tcBorders>
              <w:top w:val="nil"/>
            </w:tcBorders>
            <w:vAlign w:val="top"/>
          </w:tcPr>
          <w:p w14:paraId="40343AB6">
            <w:pPr>
              <w:rPr>
                <w:rFonts w:ascii="Arial"/>
                <w:sz w:val="21"/>
              </w:rPr>
            </w:pPr>
          </w:p>
        </w:tc>
      </w:tr>
      <w:tr w14:paraId="5A7FB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3" w:type="dxa"/>
            <w:vAlign w:val="top"/>
          </w:tcPr>
          <w:p w14:paraId="73B841DC">
            <w:pPr>
              <w:rPr>
                <w:rFonts w:ascii="Arial"/>
                <w:sz w:val="21"/>
              </w:rPr>
            </w:pPr>
          </w:p>
        </w:tc>
        <w:tc>
          <w:tcPr>
            <w:tcW w:w="5916" w:type="dxa"/>
            <w:gridSpan w:val="6"/>
            <w:vAlign w:val="top"/>
          </w:tcPr>
          <w:p w14:paraId="480F7756">
            <w:pPr>
              <w:pStyle w:val="6"/>
              <w:spacing w:before="124" w:line="226" w:lineRule="auto"/>
              <w:ind w:left="441"/>
            </w:pPr>
            <w:r>
              <w:rPr>
                <w:spacing w:val="9"/>
              </w:rPr>
              <w:t>评价区内的第四系松散岩类孔隙水、基岩裂隙水含水层</w:t>
            </w:r>
          </w:p>
        </w:tc>
        <w:tc>
          <w:tcPr>
            <w:tcW w:w="710" w:type="dxa"/>
            <w:vAlign w:val="top"/>
          </w:tcPr>
          <w:p w14:paraId="6BE5FFFB">
            <w:pPr>
              <w:rPr>
                <w:rFonts w:ascii="Arial"/>
                <w:sz w:val="21"/>
              </w:rPr>
            </w:pPr>
          </w:p>
        </w:tc>
        <w:tc>
          <w:tcPr>
            <w:tcW w:w="1193" w:type="dxa"/>
            <w:vAlign w:val="top"/>
          </w:tcPr>
          <w:p w14:paraId="55C01B9A">
            <w:pPr>
              <w:rPr>
                <w:rFonts w:ascii="Arial"/>
                <w:sz w:val="21"/>
              </w:rPr>
            </w:pPr>
          </w:p>
        </w:tc>
      </w:tr>
    </w:tbl>
    <w:p w14:paraId="2862E2C7">
      <w:pPr>
        <w:pStyle w:val="2"/>
        <w:spacing w:line="257" w:lineRule="auto"/>
      </w:pPr>
    </w:p>
    <w:p w14:paraId="0F0F7561">
      <w:pPr>
        <w:spacing w:line="7132" w:lineRule="exact"/>
        <w:ind w:firstLine="713"/>
      </w:pPr>
      <w:r>
        <w:rPr>
          <w:position w:val="-142"/>
        </w:rPr>
        <w:drawing>
          <wp:inline distT="0" distB="0" distL="0" distR="0">
            <wp:extent cx="4511040" cy="45288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62"/>
                    <a:stretch>
                      <a:fillRect/>
                    </a:stretch>
                  </pic:blipFill>
                  <pic:spPr>
                    <a:xfrm>
                      <a:off x="0" y="0"/>
                      <a:ext cx="4511040" cy="4529328"/>
                    </a:xfrm>
                    <a:prstGeom prst="rect">
                      <a:avLst/>
                    </a:prstGeom>
                  </pic:spPr>
                </pic:pic>
              </a:graphicData>
            </a:graphic>
          </wp:inline>
        </w:drawing>
      </w:r>
    </w:p>
    <w:p w14:paraId="20C2F9F6">
      <w:pPr>
        <w:spacing w:before="160" w:line="226" w:lineRule="auto"/>
        <w:ind w:left="2268"/>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41"/>
          <w:sz w:val="20"/>
          <w:szCs w:val="20"/>
        </w:rPr>
        <w:t xml:space="preserve"> </w:t>
      </w:r>
      <w:r>
        <w:rPr>
          <w:rFonts w:ascii="Times New Roman" w:hAnsi="Times New Roman" w:eastAsia="Times New Roman" w:cs="Times New Roman"/>
          <w:spacing w:val="6"/>
          <w:sz w:val="20"/>
          <w:szCs w:val="20"/>
        </w:rPr>
        <w:t xml:space="preserve">2.6-3    </w:t>
      </w:r>
      <w:r>
        <w:rPr>
          <w:rFonts w:ascii="宋体" w:hAnsi="宋体" w:eastAsia="宋体" w:cs="宋体"/>
          <w:spacing w:val="6"/>
          <w:sz w:val="20"/>
          <w:szCs w:val="20"/>
        </w:rPr>
        <w:t>项目地下水评价范围及保护目标图</w:t>
      </w:r>
    </w:p>
    <w:p w14:paraId="293791B7">
      <w:pPr>
        <w:spacing w:line="226" w:lineRule="auto"/>
        <w:rPr>
          <w:rFonts w:ascii="宋体" w:hAnsi="宋体" w:eastAsia="宋体" w:cs="宋体"/>
          <w:sz w:val="20"/>
          <w:szCs w:val="20"/>
        </w:rPr>
        <w:sectPr>
          <w:footerReference r:id="rId51" w:type="default"/>
          <w:pgSz w:w="11906" w:h="16839"/>
          <w:pgMar w:top="1208" w:right="1684" w:bottom="1358" w:left="1684" w:header="825" w:footer="1195" w:gutter="0"/>
          <w:cols w:space="720" w:num="1"/>
        </w:sectPr>
      </w:pPr>
    </w:p>
    <w:p w14:paraId="5011E8E2">
      <w:pPr>
        <w:spacing w:before="270" w:line="222" w:lineRule="auto"/>
        <w:ind w:left="22"/>
        <w:outlineLvl w:val="0"/>
        <w:rPr>
          <w:rFonts w:ascii="黑体" w:hAnsi="黑体" w:eastAsia="黑体" w:cs="黑体"/>
          <w:sz w:val="28"/>
          <w:szCs w:val="28"/>
        </w:rPr>
      </w:pPr>
      <w:bookmarkStart w:id="41" w:name="bookmark37"/>
      <w:bookmarkEnd w:id="41"/>
      <w:r>
        <w:rPr>
          <w:rFonts w:ascii="黑体" w:hAnsi="黑体" w:eastAsia="黑体" w:cs="黑体"/>
          <w:b/>
          <w:bCs/>
          <w:spacing w:val="-6"/>
          <w:sz w:val="28"/>
          <w:szCs w:val="28"/>
        </w:rPr>
        <w:t>3</w:t>
      </w:r>
      <w:r>
        <w:rPr>
          <w:rFonts w:ascii="黑体" w:hAnsi="黑体" w:eastAsia="黑体" w:cs="黑体"/>
          <w:spacing w:val="-55"/>
          <w:sz w:val="28"/>
          <w:szCs w:val="28"/>
        </w:rPr>
        <w:t xml:space="preserve"> </w:t>
      </w:r>
      <w:r>
        <w:rPr>
          <w:rFonts w:ascii="黑体" w:hAnsi="黑体" w:eastAsia="黑体" w:cs="黑体"/>
          <w:b/>
          <w:bCs/>
          <w:spacing w:val="-6"/>
          <w:sz w:val="28"/>
          <w:szCs w:val="28"/>
        </w:rPr>
        <w:t>现有工程概况</w:t>
      </w:r>
    </w:p>
    <w:p w14:paraId="14C34516">
      <w:pPr>
        <w:pStyle w:val="2"/>
        <w:spacing w:line="277" w:lineRule="auto"/>
      </w:pPr>
    </w:p>
    <w:p w14:paraId="78C8143F">
      <w:pPr>
        <w:spacing w:before="91" w:line="222" w:lineRule="auto"/>
        <w:ind w:left="16"/>
        <w:outlineLvl w:val="1"/>
        <w:rPr>
          <w:rFonts w:ascii="黑体" w:hAnsi="黑体" w:eastAsia="黑体" w:cs="黑体"/>
          <w:sz w:val="28"/>
          <w:szCs w:val="28"/>
        </w:rPr>
      </w:pPr>
      <w:bookmarkStart w:id="42" w:name="bookmark38"/>
      <w:bookmarkEnd w:id="42"/>
      <w:r>
        <w:rPr>
          <w:rFonts w:ascii="Times New Roman" w:hAnsi="Times New Roman" w:eastAsia="Times New Roman" w:cs="Times New Roman"/>
          <w:b/>
          <w:bCs/>
          <w:spacing w:val="-2"/>
          <w:sz w:val="28"/>
          <w:szCs w:val="28"/>
        </w:rPr>
        <w:t xml:space="preserve">3.1 </w:t>
      </w:r>
      <w:r>
        <w:rPr>
          <w:rFonts w:ascii="黑体" w:hAnsi="黑体" w:eastAsia="黑体" w:cs="黑体"/>
          <w:b/>
          <w:bCs/>
          <w:spacing w:val="-2"/>
          <w:sz w:val="28"/>
          <w:szCs w:val="28"/>
        </w:rPr>
        <w:t>公司环保审批履行情况</w:t>
      </w:r>
    </w:p>
    <w:p w14:paraId="1180A4CB">
      <w:pPr>
        <w:spacing w:before="177" w:line="359" w:lineRule="auto"/>
        <w:ind w:left="20" w:right="162" w:firstLine="538"/>
        <w:jc w:val="both"/>
        <w:rPr>
          <w:rFonts w:ascii="宋体" w:hAnsi="宋体" w:eastAsia="宋体" w:cs="宋体"/>
          <w:sz w:val="24"/>
          <w:szCs w:val="24"/>
        </w:rPr>
      </w:pPr>
      <w:r>
        <w:rPr>
          <w:rFonts w:ascii="宋体" w:hAnsi="宋体" w:eastAsia="宋体" w:cs="宋体"/>
          <w:spacing w:val="5"/>
          <w:sz w:val="24"/>
          <w:szCs w:val="24"/>
        </w:rPr>
        <w:t>内蒙古玉龙矿业股份有限公司前身是西乌珠穆沁旗鑫源矿业开发有限责</w:t>
      </w:r>
      <w:r>
        <w:rPr>
          <w:rFonts w:ascii="宋体" w:hAnsi="宋体" w:eastAsia="宋体" w:cs="宋体"/>
          <w:spacing w:val="16"/>
          <w:sz w:val="24"/>
          <w:szCs w:val="24"/>
        </w:rPr>
        <w:t xml:space="preserve"> </w:t>
      </w:r>
      <w:r>
        <w:rPr>
          <w:rFonts w:ascii="宋体" w:hAnsi="宋体" w:eastAsia="宋体" w:cs="宋体"/>
          <w:sz w:val="24"/>
          <w:szCs w:val="24"/>
        </w:rPr>
        <w:t>任公司，位于内蒙古自治区西乌珠穆沁旗境内。西乌珠</w:t>
      </w:r>
      <w:r>
        <w:rPr>
          <w:rFonts w:ascii="宋体" w:hAnsi="宋体" w:eastAsia="宋体" w:cs="宋体"/>
          <w:spacing w:val="-1"/>
          <w:sz w:val="24"/>
          <w:szCs w:val="24"/>
        </w:rPr>
        <w:t>穆沁旗花敖包特银铅矿</w:t>
      </w:r>
      <w:r>
        <w:rPr>
          <w:rFonts w:ascii="宋体" w:hAnsi="宋体" w:eastAsia="宋体" w:cs="宋体"/>
          <w:sz w:val="24"/>
          <w:szCs w:val="24"/>
        </w:rPr>
        <w:t xml:space="preserve"> </w:t>
      </w:r>
      <w:r>
        <w:rPr>
          <w:rFonts w:ascii="宋体" w:hAnsi="宋体" w:eastAsia="宋体" w:cs="宋体"/>
          <w:spacing w:val="-3"/>
          <w:sz w:val="24"/>
          <w:szCs w:val="24"/>
        </w:rPr>
        <w:t>始建于</w:t>
      </w:r>
      <w:r>
        <w:rPr>
          <w:rFonts w:ascii="宋体" w:hAnsi="宋体" w:eastAsia="宋体" w:cs="宋体"/>
          <w:spacing w:val="-48"/>
          <w:sz w:val="24"/>
          <w:szCs w:val="24"/>
        </w:rPr>
        <w:t xml:space="preserve"> </w:t>
      </w:r>
      <w:r>
        <w:rPr>
          <w:rFonts w:ascii="宋体" w:hAnsi="宋体" w:eastAsia="宋体" w:cs="宋体"/>
          <w:spacing w:val="-3"/>
          <w:sz w:val="24"/>
          <w:szCs w:val="24"/>
        </w:rPr>
        <w:t>2002</w:t>
      </w:r>
      <w:r>
        <w:rPr>
          <w:rFonts w:ascii="宋体" w:hAnsi="宋体" w:eastAsia="宋体" w:cs="宋体"/>
          <w:spacing w:val="-50"/>
          <w:sz w:val="24"/>
          <w:szCs w:val="24"/>
        </w:rPr>
        <w:t xml:space="preserve"> </w:t>
      </w:r>
      <w:r>
        <w:rPr>
          <w:rFonts w:ascii="宋体" w:hAnsi="宋体" w:eastAsia="宋体" w:cs="宋体"/>
          <w:spacing w:val="-3"/>
          <w:sz w:val="24"/>
          <w:szCs w:val="24"/>
        </w:rPr>
        <w:t>年，采矿生产规模为</w:t>
      </w:r>
      <w:r>
        <w:rPr>
          <w:rFonts w:ascii="宋体" w:hAnsi="宋体" w:eastAsia="宋体" w:cs="宋体"/>
          <w:spacing w:val="-48"/>
          <w:sz w:val="24"/>
          <w:szCs w:val="24"/>
        </w:rPr>
        <w:t xml:space="preserve"> </w:t>
      </w:r>
      <w:r>
        <w:rPr>
          <w:rFonts w:ascii="宋体" w:hAnsi="宋体" w:eastAsia="宋体" w:cs="宋体"/>
          <w:spacing w:val="-3"/>
          <w:sz w:val="24"/>
          <w:szCs w:val="24"/>
        </w:rPr>
        <w:t>0.72</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5"/>
          <w:sz w:val="24"/>
          <w:szCs w:val="24"/>
        </w:rPr>
        <w:t xml:space="preserve"> </w:t>
      </w:r>
      <w:r>
        <w:rPr>
          <w:rFonts w:ascii="宋体" w:hAnsi="宋体" w:eastAsia="宋体" w:cs="宋体"/>
          <w:spacing w:val="-3"/>
          <w:sz w:val="24"/>
          <w:szCs w:val="24"/>
        </w:rPr>
        <w:t>t/a，采矿</w:t>
      </w:r>
      <w:r>
        <w:rPr>
          <w:rFonts w:ascii="宋体" w:hAnsi="宋体" w:eastAsia="宋体" w:cs="宋体"/>
          <w:spacing w:val="-4"/>
          <w:sz w:val="24"/>
          <w:szCs w:val="24"/>
        </w:rPr>
        <w:t>区面积</w:t>
      </w:r>
      <w:r>
        <w:rPr>
          <w:rFonts w:ascii="宋体" w:hAnsi="宋体" w:eastAsia="宋体" w:cs="宋体"/>
          <w:spacing w:val="-49"/>
          <w:sz w:val="24"/>
          <w:szCs w:val="24"/>
        </w:rPr>
        <w:t xml:space="preserve"> </w:t>
      </w:r>
      <w:r>
        <w:rPr>
          <w:rFonts w:ascii="宋体" w:hAnsi="宋体" w:eastAsia="宋体" w:cs="宋体"/>
          <w:spacing w:val="-4"/>
          <w:sz w:val="24"/>
          <w:szCs w:val="24"/>
        </w:rPr>
        <w:t>0.9012km</w:t>
      </w:r>
      <w:r>
        <w:rPr>
          <w:rFonts w:ascii="宋体" w:hAnsi="宋体" w:eastAsia="宋体" w:cs="宋体"/>
          <w:spacing w:val="-4"/>
          <w:position w:val="12"/>
          <w:sz w:val="12"/>
          <w:szCs w:val="12"/>
        </w:rPr>
        <w:t>2</w:t>
      </w:r>
      <w:r>
        <w:rPr>
          <w:rFonts w:ascii="宋体" w:hAnsi="宋体" w:eastAsia="宋体" w:cs="宋体"/>
          <w:spacing w:val="-4"/>
          <w:sz w:val="24"/>
          <w:szCs w:val="24"/>
        </w:rPr>
        <w:t>，开采标</w:t>
      </w:r>
      <w:r>
        <w:rPr>
          <w:rFonts w:ascii="宋体" w:hAnsi="宋体" w:eastAsia="宋体" w:cs="宋体"/>
          <w:sz w:val="24"/>
          <w:szCs w:val="24"/>
        </w:rPr>
        <w:t xml:space="preserve"> </w:t>
      </w:r>
      <w:r>
        <w:rPr>
          <w:rFonts w:ascii="宋体" w:hAnsi="宋体" w:eastAsia="宋体" w:cs="宋体"/>
          <w:spacing w:val="1"/>
          <w:sz w:val="24"/>
          <w:szCs w:val="24"/>
        </w:rPr>
        <w:t>高</w:t>
      </w:r>
      <w:r>
        <w:rPr>
          <w:rFonts w:ascii="宋体" w:hAnsi="宋体" w:eastAsia="宋体" w:cs="宋体"/>
          <w:spacing w:val="-30"/>
          <w:sz w:val="24"/>
          <w:szCs w:val="24"/>
        </w:rPr>
        <w:t xml:space="preserve"> </w:t>
      </w:r>
      <w:r>
        <w:rPr>
          <w:rFonts w:ascii="宋体" w:hAnsi="宋体" w:eastAsia="宋体" w:cs="宋体"/>
          <w:spacing w:val="1"/>
          <w:sz w:val="24"/>
          <w:szCs w:val="24"/>
        </w:rPr>
        <w:t>1000~850m。采用地下开采，竖井</w:t>
      </w:r>
      <w:r>
        <w:rPr>
          <w:rFonts w:ascii="宋体" w:hAnsi="宋体" w:eastAsia="宋体" w:cs="宋体"/>
          <w:sz w:val="24"/>
          <w:szCs w:val="24"/>
        </w:rPr>
        <w:t xml:space="preserve">开拓，采矿方法为浅孔留矿法，开采对象 </w:t>
      </w:r>
      <w:r>
        <w:rPr>
          <w:rFonts w:ascii="宋体" w:hAnsi="宋体" w:eastAsia="宋体" w:cs="宋体"/>
          <w:spacing w:val="-17"/>
          <w:sz w:val="24"/>
          <w:szCs w:val="24"/>
        </w:rPr>
        <w:t>为</w:t>
      </w:r>
      <w:r>
        <w:rPr>
          <w:rFonts w:ascii="宋体" w:hAnsi="宋体" w:eastAsia="宋体" w:cs="宋体"/>
          <w:spacing w:val="-26"/>
          <w:sz w:val="24"/>
          <w:szCs w:val="24"/>
        </w:rPr>
        <w:t xml:space="preserve"> </w:t>
      </w:r>
      <w:r>
        <w:rPr>
          <w:rFonts w:ascii="宋体" w:hAnsi="宋体" w:eastAsia="宋体" w:cs="宋体"/>
          <w:spacing w:val="-17"/>
          <w:sz w:val="24"/>
          <w:szCs w:val="24"/>
        </w:rPr>
        <w:t>Ⅰ1、</w:t>
      </w:r>
      <w:r>
        <w:rPr>
          <w:rFonts w:ascii="宋体" w:hAnsi="宋体" w:eastAsia="宋体" w:cs="宋体"/>
          <w:spacing w:val="-69"/>
          <w:sz w:val="24"/>
          <w:szCs w:val="24"/>
        </w:rPr>
        <w:t xml:space="preserve"> </w:t>
      </w:r>
      <w:r>
        <w:rPr>
          <w:rFonts w:ascii="宋体" w:hAnsi="宋体" w:eastAsia="宋体" w:cs="宋体"/>
          <w:spacing w:val="-17"/>
          <w:sz w:val="24"/>
          <w:szCs w:val="24"/>
        </w:rPr>
        <w:t>Ⅱ2</w:t>
      </w:r>
      <w:r>
        <w:rPr>
          <w:rFonts w:ascii="宋体" w:hAnsi="宋体" w:eastAsia="宋体" w:cs="宋体"/>
          <w:spacing w:val="-45"/>
          <w:sz w:val="24"/>
          <w:szCs w:val="24"/>
        </w:rPr>
        <w:t xml:space="preserve"> </w:t>
      </w:r>
      <w:r>
        <w:rPr>
          <w:rFonts w:ascii="宋体" w:hAnsi="宋体" w:eastAsia="宋体" w:cs="宋体"/>
          <w:spacing w:val="-17"/>
          <w:sz w:val="24"/>
          <w:szCs w:val="24"/>
        </w:rPr>
        <w:t>号矿体。</w:t>
      </w:r>
    </w:p>
    <w:p w14:paraId="2072816C">
      <w:pPr>
        <w:spacing w:before="87" w:line="355" w:lineRule="auto"/>
        <w:ind w:left="20" w:right="162" w:firstLine="483"/>
        <w:jc w:val="both"/>
        <w:rPr>
          <w:rFonts w:ascii="宋体" w:hAnsi="宋体" w:eastAsia="宋体" w:cs="宋体"/>
          <w:sz w:val="24"/>
          <w:szCs w:val="24"/>
        </w:rPr>
      </w:pPr>
      <w:r>
        <w:rPr>
          <w:rFonts w:ascii="宋体" w:hAnsi="宋体" w:eastAsia="宋体" w:cs="宋体"/>
          <w:spacing w:val="-7"/>
          <w:sz w:val="24"/>
          <w:szCs w:val="24"/>
        </w:rPr>
        <w:t>2005</w:t>
      </w:r>
      <w:r>
        <w:rPr>
          <w:rFonts w:ascii="宋体" w:hAnsi="宋体" w:eastAsia="宋体" w:cs="宋体"/>
          <w:spacing w:val="-49"/>
          <w:sz w:val="24"/>
          <w:szCs w:val="24"/>
        </w:rPr>
        <w:t xml:space="preserve"> </w:t>
      </w:r>
      <w:r>
        <w:rPr>
          <w:rFonts w:ascii="宋体" w:hAnsi="宋体" w:eastAsia="宋体" w:cs="宋体"/>
          <w:spacing w:val="-7"/>
          <w:sz w:val="24"/>
          <w:szCs w:val="24"/>
        </w:rPr>
        <w:t>年</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33"/>
          <w:sz w:val="24"/>
          <w:szCs w:val="24"/>
        </w:rPr>
        <w:t xml:space="preserve"> </w:t>
      </w:r>
      <w:r>
        <w:rPr>
          <w:rFonts w:ascii="宋体" w:hAnsi="宋体" w:eastAsia="宋体" w:cs="宋体"/>
          <w:spacing w:val="-7"/>
          <w:sz w:val="24"/>
          <w:szCs w:val="24"/>
        </w:rPr>
        <w:t>17 日，内蒙古锡林郭勒盟环境保护局以锡署环审[2005]</w:t>
      </w:r>
      <w:r>
        <w:rPr>
          <w:rFonts w:ascii="宋体" w:hAnsi="宋体" w:eastAsia="宋体" w:cs="宋体"/>
          <w:spacing w:val="-8"/>
          <w:sz w:val="24"/>
          <w:szCs w:val="24"/>
        </w:rPr>
        <w:t>4</w:t>
      </w:r>
      <w:r>
        <w:rPr>
          <w:rFonts w:ascii="宋体" w:hAnsi="宋体" w:eastAsia="宋体" w:cs="宋体"/>
          <w:spacing w:val="-45"/>
          <w:sz w:val="24"/>
          <w:szCs w:val="24"/>
        </w:rPr>
        <w:t xml:space="preserve"> </w:t>
      </w:r>
      <w:r>
        <w:rPr>
          <w:rFonts w:ascii="宋体" w:hAnsi="宋体" w:eastAsia="宋体" w:cs="宋体"/>
          <w:spacing w:val="-8"/>
          <w:sz w:val="24"/>
          <w:szCs w:val="24"/>
        </w:rPr>
        <w:t>号文</w:t>
      </w:r>
      <w:r>
        <w:rPr>
          <w:rFonts w:ascii="宋体" w:hAnsi="宋体" w:eastAsia="宋体" w:cs="宋体"/>
          <w:sz w:val="24"/>
          <w:szCs w:val="24"/>
        </w:rPr>
        <w:t xml:space="preserve"> </w:t>
      </w:r>
      <w:r>
        <w:rPr>
          <w:rFonts w:ascii="宋体" w:hAnsi="宋体" w:eastAsia="宋体" w:cs="宋体"/>
          <w:spacing w:val="-1"/>
          <w:sz w:val="24"/>
          <w:szCs w:val="24"/>
        </w:rPr>
        <w:t>件批复了《西乌旗花敖包特铅锌矿新建</w:t>
      </w:r>
      <w:r>
        <w:rPr>
          <w:rFonts w:ascii="宋体" w:hAnsi="宋体" w:eastAsia="宋体" w:cs="宋体"/>
          <w:spacing w:val="-33"/>
          <w:sz w:val="24"/>
          <w:szCs w:val="24"/>
        </w:rPr>
        <w:t xml:space="preserve"> </w:t>
      </w:r>
      <w:r>
        <w:rPr>
          <w:rFonts w:ascii="宋体" w:hAnsi="宋体" w:eastAsia="宋体" w:cs="宋体"/>
          <w:spacing w:val="-1"/>
          <w:sz w:val="24"/>
          <w:szCs w:val="24"/>
        </w:rPr>
        <w:t>1400t/d</w:t>
      </w:r>
      <w:r>
        <w:rPr>
          <w:rFonts w:ascii="宋体" w:hAnsi="宋体" w:eastAsia="宋体" w:cs="宋体"/>
          <w:spacing w:val="-52"/>
          <w:sz w:val="24"/>
          <w:szCs w:val="24"/>
        </w:rPr>
        <w:t xml:space="preserve"> </w:t>
      </w:r>
      <w:r>
        <w:rPr>
          <w:rFonts w:ascii="宋体" w:hAnsi="宋体" w:eastAsia="宋体" w:cs="宋体"/>
          <w:spacing w:val="-1"/>
          <w:sz w:val="24"/>
          <w:szCs w:val="24"/>
        </w:rPr>
        <w:t>采选厂建设</w:t>
      </w:r>
      <w:r>
        <w:rPr>
          <w:rFonts w:ascii="宋体" w:hAnsi="宋体" w:eastAsia="宋体" w:cs="宋体"/>
          <w:spacing w:val="-2"/>
          <w:sz w:val="24"/>
          <w:szCs w:val="24"/>
        </w:rPr>
        <w:t>项目环境影响报告</w:t>
      </w:r>
      <w:r>
        <w:rPr>
          <w:rFonts w:ascii="宋体" w:hAnsi="宋体" w:eastAsia="宋体" w:cs="宋体"/>
          <w:sz w:val="24"/>
          <w:szCs w:val="24"/>
        </w:rPr>
        <w:t xml:space="preserve"> </w:t>
      </w:r>
      <w:r>
        <w:rPr>
          <w:rFonts w:ascii="宋体" w:hAnsi="宋体" w:eastAsia="宋体" w:cs="宋体"/>
          <w:spacing w:val="-2"/>
          <w:sz w:val="24"/>
          <w:szCs w:val="24"/>
        </w:rPr>
        <w:t>书》；</w:t>
      </w:r>
      <w:r>
        <w:rPr>
          <w:rFonts w:ascii="Times New Roman" w:hAnsi="Times New Roman" w:eastAsia="Times New Roman" w:cs="Times New Roman"/>
          <w:spacing w:val="-2"/>
          <w:sz w:val="24"/>
          <w:szCs w:val="24"/>
        </w:rPr>
        <w:t xml:space="preserve">2006 </w:t>
      </w:r>
      <w:r>
        <w:rPr>
          <w:rFonts w:ascii="宋体" w:hAnsi="宋体" w:eastAsia="宋体" w:cs="宋体"/>
          <w:spacing w:val="-2"/>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31  </w:t>
      </w:r>
      <w:r>
        <w:rPr>
          <w:rFonts w:ascii="宋体" w:hAnsi="宋体" w:eastAsia="宋体" w:cs="宋体"/>
          <w:spacing w:val="-2"/>
          <w:sz w:val="24"/>
          <w:szCs w:val="24"/>
        </w:rPr>
        <w:t>日，原内蒙古锡林郭</w:t>
      </w:r>
      <w:r>
        <w:rPr>
          <w:rFonts w:ascii="宋体" w:hAnsi="宋体" w:eastAsia="宋体" w:cs="宋体"/>
          <w:spacing w:val="-3"/>
          <w:sz w:val="24"/>
          <w:szCs w:val="24"/>
        </w:rPr>
        <w:t>勒盟环境保护局以锡署环验</w:t>
      </w:r>
      <w:r>
        <w:rPr>
          <w:rFonts w:ascii="Times New Roman" w:hAnsi="Times New Roman" w:eastAsia="Times New Roman" w:cs="Times New Roman"/>
          <w:spacing w:val="-3"/>
          <w:sz w:val="24"/>
          <w:szCs w:val="24"/>
        </w:rPr>
        <w:t>[2006]5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号文出具了《西乌旗花敖包特铅锌矿新建</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1400t/d </w:t>
      </w:r>
      <w:r>
        <w:rPr>
          <w:rFonts w:ascii="宋体" w:hAnsi="宋体" w:eastAsia="宋体" w:cs="宋体"/>
          <w:spacing w:val="1"/>
          <w:sz w:val="24"/>
          <w:szCs w:val="24"/>
        </w:rPr>
        <w:t>采选厂建设项目竣工环境保</w:t>
      </w:r>
      <w:r>
        <w:rPr>
          <w:rFonts w:ascii="宋体" w:hAnsi="宋体" w:eastAsia="宋体" w:cs="宋体"/>
          <w:sz w:val="24"/>
          <w:szCs w:val="24"/>
        </w:rPr>
        <w:t xml:space="preserve"> </w:t>
      </w:r>
      <w:r>
        <w:rPr>
          <w:rFonts w:ascii="宋体" w:hAnsi="宋体" w:eastAsia="宋体" w:cs="宋体"/>
          <w:spacing w:val="-2"/>
          <w:sz w:val="24"/>
          <w:szCs w:val="24"/>
        </w:rPr>
        <w:t>护验收的意见》。</w:t>
      </w:r>
    </w:p>
    <w:p w14:paraId="360E055F">
      <w:pPr>
        <w:spacing w:before="7" w:line="359" w:lineRule="auto"/>
        <w:ind w:left="20" w:right="11" w:firstLine="483"/>
        <w:jc w:val="both"/>
        <w:rPr>
          <w:rFonts w:ascii="宋体" w:hAnsi="宋体" w:eastAsia="宋体" w:cs="宋体"/>
          <w:sz w:val="24"/>
          <w:szCs w:val="24"/>
        </w:rPr>
      </w:pPr>
      <w:r>
        <w:rPr>
          <w:rFonts w:ascii="宋体" w:hAnsi="宋体" w:eastAsia="宋体" w:cs="宋体"/>
          <w:spacing w:val="-3"/>
          <w:sz w:val="24"/>
          <w:szCs w:val="24"/>
        </w:rPr>
        <w:t>2008年7月，内蒙古自治区环境保护局以内环审[2008]159号文件批复了《内</w:t>
      </w:r>
      <w:r>
        <w:rPr>
          <w:rFonts w:ascii="宋体" w:hAnsi="宋体" w:eastAsia="宋体" w:cs="宋体"/>
          <w:spacing w:val="17"/>
          <w:sz w:val="24"/>
          <w:szCs w:val="24"/>
        </w:rPr>
        <w:t xml:space="preserve"> </w:t>
      </w:r>
      <w:r>
        <w:rPr>
          <w:rFonts w:ascii="宋体" w:hAnsi="宋体" w:eastAsia="宋体" w:cs="宋体"/>
          <w:spacing w:val="1"/>
          <w:sz w:val="24"/>
          <w:szCs w:val="24"/>
        </w:rPr>
        <w:t>蒙古玉龙矿业股份有限公司花敖包特银铅锌</w:t>
      </w:r>
      <w:r>
        <w:rPr>
          <w:rFonts w:ascii="宋体" w:hAnsi="宋体" w:eastAsia="宋体" w:cs="宋体"/>
          <w:sz w:val="24"/>
          <w:szCs w:val="24"/>
        </w:rPr>
        <w:t xml:space="preserve">矿2000t/d尾矿选矿项目（资源综合 </w:t>
      </w:r>
      <w:r>
        <w:rPr>
          <w:rFonts w:ascii="宋体" w:hAnsi="宋体" w:eastAsia="宋体" w:cs="宋体"/>
          <w:spacing w:val="1"/>
          <w:sz w:val="24"/>
          <w:szCs w:val="24"/>
        </w:rPr>
        <w:t>利用项目）环境影响报告书》；2010年8月</w:t>
      </w:r>
      <w:r>
        <w:rPr>
          <w:rFonts w:ascii="宋体" w:hAnsi="宋体" w:eastAsia="宋体" w:cs="宋体"/>
          <w:sz w:val="24"/>
          <w:szCs w:val="24"/>
        </w:rPr>
        <w:t xml:space="preserve">，2000t/d尾矿选矿厂建成；2012年7 </w:t>
      </w:r>
      <w:r>
        <w:rPr>
          <w:rFonts w:ascii="宋体" w:hAnsi="宋体" w:eastAsia="宋体" w:cs="宋体"/>
          <w:spacing w:val="-3"/>
          <w:sz w:val="24"/>
          <w:szCs w:val="24"/>
        </w:rPr>
        <w:t>月13日，内蒙古自治区环境保护厅以《内蒙古自治区环境保护厅关于内蒙古玉龙</w:t>
      </w:r>
      <w:r>
        <w:rPr>
          <w:rFonts w:ascii="宋体" w:hAnsi="宋体" w:eastAsia="宋体" w:cs="宋体"/>
          <w:spacing w:val="9"/>
          <w:sz w:val="24"/>
          <w:szCs w:val="24"/>
        </w:rPr>
        <w:t xml:space="preserve"> </w:t>
      </w:r>
      <w:r>
        <w:rPr>
          <w:rFonts w:ascii="宋体" w:hAnsi="宋体" w:eastAsia="宋体" w:cs="宋体"/>
          <w:spacing w:val="1"/>
          <w:sz w:val="24"/>
          <w:szCs w:val="24"/>
        </w:rPr>
        <w:t>矿业股份有限公司西乌珠穆沁旗花敖包特银</w:t>
      </w:r>
      <w:r>
        <w:rPr>
          <w:rFonts w:ascii="宋体" w:hAnsi="宋体" w:eastAsia="宋体" w:cs="宋体"/>
          <w:sz w:val="24"/>
          <w:szCs w:val="24"/>
        </w:rPr>
        <w:t xml:space="preserve">铅锌矿2000t/d尾矿选矿项目变更备 </w:t>
      </w:r>
      <w:r>
        <w:rPr>
          <w:rFonts w:ascii="宋体" w:hAnsi="宋体" w:eastAsia="宋体" w:cs="宋体"/>
          <w:spacing w:val="1"/>
          <w:sz w:val="24"/>
          <w:szCs w:val="24"/>
        </w:rPr>
        <w:t>案的函》（内环函[2012]149号）</w:t>
      </w:r>
      <w:r>
        <w:rPr>
          <w:rFonts w:ascii="宋体" w:hAnsi="宋体" w:eastAsia="宋体" w:cs="宋体"/>
          <w:sz w:val="24"/>
          <w:szCs w:val="24"/>
        </w:rPr>
        <w:t xml:space="preserve">批复了由内蒙古新创环保科技发展有限公司编 </w:t>
      </w:r>
      <w:r>
        <w:rPr>
          <w:rFonts w:ascii="宋体" w:hAnsi="宋体" w:eastAsia="宋体" w:cs="宋体"/>
          <w:spacing w:val="1"/>
          <w:sz w:val="24"/>
          <w:szCs w:val="24"/>
        </w:rPr>
        <w:t>制的《内蒙古玉龙矿业股份有限公司西乌珠穆沁</w:t>
      </w:r>
      <w:r>
        <w:rPr>
          <w:rFonts w:ascii="宋体" w:hAnsi="宋体" w:eastAsia="宋体" w:cs="宋体"/>
          <w:sz w:val="24"/>
          <w:szCs w:val="24"/>
        </w:rPr>
        <w:t xml:space="preserve">旗花敖包特银铅锌矿2000t/d尾 </w:t>
      </w:r>
      <w:r>
        <w:rPr>
          <w:rFonts w:ascii="宋体" w:hAnsi="宋体" w:eastAsia="宋体" w:cs="宋体"/>
          <w:spacing w:val="1"/>
          <w:sz w:val="24"/>
          <w:szCs w:val="24"/>
        </w:rPr>
        <w:t>矿选矿项目环境影响补充分析》；2012年7</w:t>
      </w:r>
      <w:r>
        <w:rPr>
          <w:rFonts w:ascii="宋体" w:hAnsi="宋体" w:eastAsia="宋体" w:cs="宋体"/>
          <w:sz w:val="24"/>
          <w:szCs w:val="24"/>
        </w:rPr>
        <w:t xml:space="preserve">月23日，内蒙古自治区环境保护厅以 </w:t>
      </w:r>
      <w:r>
        <w:rPr>
          <w:rFonts w:ascii="宋体" w:hAnsi="宋体" w:eastAsia="宋体" w:cs="宋体"/>
          <w:spacing w:val="-3"/>
          <w:sz w:val="24"/>
          <w:szCs w:val="24"/>
        </w:rPr>
        <w:t>内环验[2012]73号文件批复了《内蒙古玉龙矿业股份有限公司花敖包特银铅锌矿</w:t>
      </w:r>
      <w:r>
        <w:rPr>
          <w:rFonts w:ascii="宋体" w:hAnsi="宋体" w:eastAsia="宋体" w:cs="宋体"/>
          <w:spacing w:val="18"/>
          <w:sz w:val="24"/>
          <w:szCs w:val="24"/>
        </w:rPr>
        <w:t xml:space="preserve"> </w:t>
      </w:r>
      <w:r>
        <w:rPr>
          <w:rFonts w:ascii="宋体" w:hAnsi="宋体" w:eastAsia="宋体" w:cs="宋体"/>
          <w:sz w:val="24"/>
          <w:szCs w:val="24"/>
        </w:rPr>
        <w:t>2000t/d尾矿选矿项目（资源综合利用项目）</w:t>
      </w:r>
      <w:r>
        <w:rPr>
          <w:rFonts w:ascii="宋体" w:hAnsi="宋体" w:eastAsia="宋体" w:cs="宋体"/>
          <w:spacing w:val="-1"/>
          <w:sz w:val="24"/>
          <w:szCs w:val="24"/>
        </w:rPr>
        <w:t>竣工环境保护验收》。</w:t>
      </w:r>
    </w:p>
    <w:p w14:paraId="2C183DC8">
      <w:pPr>
        <w:spacing w:before="81" w:line="361" w:lineRule="auto"/>
        <w:ind w:left="20" w:right="82" w:firstLine="483"/>
        <w:jc w:val="both"/>
        <w:rPr>
          <w:rFonts w:ascii="宋体" w:hAnsi="宋体" w:eastAsia="宋体" w:cs="宋体"/>
          <w:sz w:val="24"/>
          <w:szCs w:val="24"/>
        </w:rPr>
      </w:pPr>
      <w:r>
        <w:rPr>
          <w:rFonts w:ascii="宋体" w:hAnsi="宋体" w:eastAsia="宋体" w:cs="宋体"/>
          <w:spacing w:val="-7"/>
          <w:sz w:val="24"/>
          <w:szCs w:val="24"/>
        </w:rPr>
        <w:t>2012</w:t>
      </w:r>
      <w:r>
        <w:rPr>
          <w:rFonts w:ascii="宋体" w:hAnsi="宋体" w:eastAsia="宋体" w:cs="宋体"/>
          <w:spacing w:val="-46"/>
          <w:sz w:val="24"/>
          <w:szCs w:val="24"/>
        </w:rPr>
        <w:t xml:space="preserve"> </w:t>
      </w:r>
      <w:r>
        <w:rPr>
          <w:rFonts w:ascii="宋体" w:hAnsi="宋体" w:eastAsia="宋体" w:cs="宋体"/>
          <w:spacing w:val="-7"/>
          <w:sz w:val="24"/>
          <w:szCs w:val="24"/>
        </w:rPr>
        <w:t>年</w:t>
      </w:r>
      <w:r>
        <w:rPr>
          <w:rFonts w:ascii="宋体" w:hAnsi="宋体" w:eastAsia="宋体" w:cs="宋体"/>
          <w:spacing w:val="-45"/>
          <w:sz w:val="24"/>
          <w:szCs w:val="24"/>
        </w:rPr>
        <w:t xml:space="preserve"> </w:t>
      </w:r>
      <w:r>
        <w:rPr>
          <w:rFonts w:ascii="宋体" w:hAnsi="宋体" w:eastAsia="宋体" w:cs="宋体"/>
          <w:spacing w:val="-7"/>
          <w:sz w:val="24"/>
          <w:szCs w:val="24"/>
        </w:rPr>
        <w:t>7</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33"/>
          <w:sz w:val="24"/>
          <w:szCs w:val="24"/>
        </w:rPr>
        <w:t xml:space="preserve"> </w:t>
      </w:r>
      <w:r>
        <w:rPr>
          <w:rFonts w:ascii="宋体" w:hAnsi="宋体" w:eastAsia="宋体" w:cs="宋体"/>
          <w:spacing w:val="-7"/>
          <w:sz w:val="24"/>
          <w:szCs w:val="24"/>
        </w:rPr>
        <w:t>13 日，内蒙古自治区环境保护厅以内环审[2012]154</w:t>
      </w:r>
      <w:r>
        <w:rPr>
          <w:rFonts w:ascii="宋体" w:hAnsi="宋体" w:eastAsia="宋体" w:cs="宋体"/>
          <w:spacing w:val="-45"/>
          <w:sz w:val="24"/>
          <w:szCs w:val="24"/>
        </w:rPr>
        <w:t xml:space="preserve"> </w:t>
      </w:r>
      <w:r>
        <w:rPr>
          <w:rFonts w:ascii="宋体" w:hAnsi="宋体" w:eastAsia="宋体" w:cs="宋体"/>
          <w:spacing w:val="-7"/>
          <w:sz w:val="24"/>
          <w:szCs w:val="24"/>
        </w:rPr>
        <w:t>号文件批</w:t>
      </w:r>
      <w:r>
        <w:rPr>
          <w:rFonts w:ascii="宋体" w:hAnsi="宋体" w:eastAsia="宋体" w:cs="宋体"/>
          <w:sz w:val="24"/>
          <w:szCs w:val="24"/>
        </w:rPr>
        <w:t xml:space="preserve"> 复了《内蒙古玉龙矿业股份有限公司西乌珠穆沁旗花敖</w:t>
      </w:r>
      <w:r>
        <w:rPr>
          <w:rFonts w:ascii="宋体" w:hAnsi="宋体" w:eastAsia="宋体" w:cs="宋体"/>
          <w:spacing w:val="-1"/>
          <w:sz w:val="24"/>
          <w:szCs w:val="24"/>
        </w:rPr>
        <w:t>包特铅锌银矿技改一期</w:t>
      </w:r>
      <w:r>
        <w:rPr>
          <w:rFonts w:ascii="宋体" w:hAnsi="宋体" w:eastAsia="宋体" w:cs="宋体"/>
          <w:sz w:val="24"/>
          <w:szCs w:val="24"/>
        </w:rPr>
        <w:t xml:space="preserve"> </w:t>
      </w:r>
      <w:r>
        <w:rPr>
          <w:rFonts w:ascii="宋体" w:hAnsi="宋体" w:eastAsia="宋体" w:cs="宋体"/>
          <w:spacing w:val="-2"/>
          <w:sz w:val="24"/>
          <w:szCs w:val="24"/>
        </w:rPr>
        <w:t>采矿项目环境影响报告书》；2012</w:t>
      </w:r>
      <w:r>
        <w:rPr>
          <w:rFonts w:ascii="宋体" w:hAnsi="宋体" w:eastAsia="宋体" w:cs="宋体"/>
          <w:spacing w:val="-43"/>
          <w:sz w:val="24"/>
          <w:szCs w:val="24"/>
        </w:rPr>
        <w:t xml:space="preserve"> </w:t>
      </w:r>
      <w:r>
        <w:rPr>
          <w:rFonts w:ascii="宋体" w:hAnsi="宋体" w:eastAsia="宋体" w:cs="宋体"/>
          <w:spacing w:val="-2"/>
          <w:sz w:val="24"/>
          <w:szCs w:val="24"/>
        </w:rPr>
        <w:t>年</w:t>
      </w:r>
      <w:r>
        <w:rPr>
          <w:rFonts w:ascii="宋体" w:hAnsi="宋体" w:eastAsia="宋体" w:cs="宋体"/>
          <w:spacing w:val="-43"/>
          <w:sz w:val="24"/>
          <w:szCs w:val="24"/>
        </w:rPr>
        <w:t xml:space="preserve"> </w:t>
      </w:r>
      <w:r>
        <w:rPr>
          <w:rFonts w:ascii="宋体" w:hAnsi="宋体" w:eastAsia="宋体" w:cs="宋体"/>
          <w:spacing w:val="-2"/>
          <w:sz w:val="24"/>
          <w:szCs w:val="24"/>
        </w:rPr>
        <w:t>7</w:t>
      </w:r>
      <w:r>
        <w:rPr>
          <w:rFonts w:ascii="宋体" w:hAnsi="宋体" w:eastAsia="宋体" w:cs="宋体"/>
          <w:spacing w:val="-42"/>
          <w:sz w:val="24"/>
          <w:szCs w:val="24"/>
        </w:rPr>
        <w:t xml:space="preserve"> </w:t>
      </w:r>
      <w:r>
        <w:rPr>
          <w:rFonts w:ascii="宋体" w:hAnsi="宋体" w:eastAsia="宋体" w:cs="宋体"/>
          <w:spacing w:val="-2"/>
          <w:sz w:val="24"/>
          <w:szCs w:val="24"/>
        </w:rPr>
        <w:t>月</w:t>
      </w:r>
      <w:r>
        <w:rPr>
          <w:rFonts w:ascii="宋体" w:hAnsi="宋体" w:eastAsia="宋体" w:cs="宋体"/>
          <w:spacing w:val="-48"/>
          <w:sz w:val="24"/>
          <w:szCs w:val="24"/>
        </w:rPr>
        <w:t xml:space="preserve"> </w:t>
      </w:r>
      <w:r>
        <w:rPr>
          <w:rFonts w:ascii="宋体" w:hAnsi="宋体" w:eastAsia="宋体" w:cs="宋体"/>
          <w:spacing w:val="-2"/>
          <w:sz w:val="24"/>
          <w:szCs w:val="24"/>
        </w:rPr>
        <w:t>23 日，内蒙古自治区环境保护厅以</w:t>
      </w:r>
      <w:r>
        <w:rPr>
          <w:rFonts w:ascii="宋体" w:hAnsi="宋体" w:eastAsia="宋体" w:cs="宋体"/>
          <w:sz w:val="24"/>
          <w:szCs w:val="24"/>
        </w:rPr>
        <w:t xml:space="preserve"> </w:t>
      </w:r>
      <w:r>
        <w:rPr>
          <w:rFonts w:ascii="宋体" w:hAnsi="宋体" w:eastAsia="宋体" w:cs="宋体"/>
          <w:spacing w:val="-2"/>
          <w:sz w:val="24"/>
          <w:szCs w:val="24"/>
        </w:rPr>
        <w:t>内环验[2012]76</w:t>
      </w:r>
      <w:r>
        <w:rPr>
          <w:rFonts w:ascii="宋体" w:hAnsi="宋体" w:eastAsia="宋体" w:cs="宋体"/>
          <w:spacing w:val="-45"/>
          <w:sz w:val="24"/>
          <w:szCs w:val="24"/>
        </w:rPr>
        <w:t xml:space="preserve"> </w:t>
      </w:r>
      <w:r>
        <w:rPr>
          <w:rFonts w:ascii="宋体" w:hAnsi="宋体" w:eastAsia="宋体" w:cs="宋体"/>
          <w:spacing w:val="-2"/>
          <w:sz w:val="24"/>
          <w:szCs w:val="24"/>
        </w:rPr>
        <w:t>号文件批复了《内蒙古玉龙矿业股份有限</w:t>
      </w:r>
      <w:r>
        <w:rPr>
          <w:rFonts w:ascii="宋体" w:hAnsi="宋体" w:eastAsia="宋体" w:cs="宋体"/>
          <w:spacing w:val="-3"/>
          <w:sz w:val="24"/>
          <w:szCs w:val="24"/>
        </w:rPr>
        <w:t>公司西乌珠穆沁旗花</w:t>
      </w:r>
      <w:r>
        <w:rPr>
          <w:rFonts w:ascii="宋体" w:hAnsi="宋体" w:eastAsia="宋体" w:cs="宋体"/>
          <w:sz w:val="24"/>
          <w:szCs w:val="24"/>
        </w:rPr>
        <w:t xml:space="preserve"> </w:t>
      </w:r>
      <w:r>
        <w:rPr>
          <w:rFonts w:ascii="宋体" w:hAnsi="宋体" w:eastAsia="宋体" w:cs="宋体"/>
          <w:spacing w:val="-3"/>
          <w:sz w:val="24"/>
          <w:szCs w:val="24"/>
        </w:rPr>
        <w:t>敖包特银铅锌矿技改一期采矿项目竣工验收调查报告》。</w:t>
      </w: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17  </w:t>
      </w:r>
      <w:r>
        <w:rPr>
          <w:rFonts w:ascii="宋体" w:hAnsi="宋体" w:eastAsia="宋体" w:cs="宋体"/>
          <w:spacing w:val="-3"/>
          <w:sz w:val="24"/>
          <w:szCs w:val="24"/>
        </w:rPr>
        <w:t>日，</w:t>
      </w:r>
      <w:r>
        <w:rPr>
          <w:rFonts w:ascii="宋体" w:hAnsi="宋体" w:eastAsia="宋体" w:cs="宋体"/>
          <w:sz w:val="24"/>
          <w:szCs w:val="24"/>
        </w:rPr>
        <w:t xml:space="preserve"> </w:t>
      </w:r>
      <w:r>
        <w:rPr>
          <w:rFonts w:ascii="宋体" w:hAnsi="宋体" w:eastAsia="宋体" w:cs="宋体"/>
          <w:spacing w:val="1"/>
          <w:sz w:val="24"/>
          <w:szCs w:val="24"/>
        </w:rPr>
        <w:t>内蒙古自治区环境保护厅以内环审[2014]182</w:t>
      </w:r>
      <w:r>
        <w:rPr>
          <w:rFonts w:ascii="宋体" w:hAnsi="宋体" w:eastAsia="宋体" w:cs="宋体"/>
          <w:spacing w:val="-44"/>
          <w:sz w:val="24"/>
          <w:szCs w:val="24"/>
        </w:rPr>
        <w:t xml:space="preserve"> </w:t>
      </w:r>
      <w:r>
        <w:rPr>
          <w:rFonts w:ascii="宋体" w:hAnsi="宋体" w:eastAsia="宋体" w:cs="宋体"/>
          <w:spacing w:val="1"/>
          <w:sz w:val="24"/>
          <w:szCs w:val="24"/>
        </w:rPr>
        <w:t>号文件批复了《内</w:t>
      </w:r>
      <w:r>
        <w:rPr>
          <w:rFonts w:ascii="宋体" w:hAnsi="宋体" w:eastAsia="宋体" w:cs="宋体"/>
          <w:sz w:val="24"/>
          <w:szCs w:val="24"/>
        </w:rPr>
        <w:t xml:space="preserve">蒙古玉龙矿业 </w:t>
      </w:r>
      <w:r>
        <w:rPr>
          <w:rFonts w:ascii="宋体" w:hAnsi="宋体" w:eastAsia="宋体" w:cs="宋体"/>
          <w:spacing w:val="-5"/>
          <w:sz w:val="24"/>
          <w:szCs w:val="24"/>
        </w:rPr>
        <w:t>股份有限公司西乌珠穆沁旗花敖包特银铅锌矿技术改造项目环境影响报告书》。</w:t>
      </w:r>
    </w:p>
    <w:p w14:paraId="123F5CB9">
      <w:pPr>
        <w:spacing w:line="361" w:lineRule="auto"/>
        <w:rPr>
          <w:rFonts w:ascii="宋体" w:hAnsi="宋体" w:eastAsia="宋体" w:cs="宋体"/>
          <w:sz w:val="24"/>
          <w:szCs w:val="24"/>
        </w:rPr>
        <w:sectPr>
          <w:headerReference r:id="rId52" w:type="default"/>
          <w:footerReference r:id="rId53" w:type="default"/>
          <w:pgSz w:w="11906" w:h="16839"/>
          <w:pgMar w:top="1208" w:right="1785" w:bottom="1358" w:left="1785" w:header="825" w:footer="1195" w:gutter="0"/>
          <w:cols w:space="720" w:num="1"/>
        </w:sectPr>
      </w:pPr>
    </w:p>
    <w:p w14:paraId="7260EA1A">
      <w:pPr>
        <w:spacing w:before="265" w:line="359" w:lineRule="auto"/>
        <w:ind w:left="157" w:right="235" w:firstLine="503"/>
        <w:jc w:val="both"/>
        <w:rPr>
          <w:rFonts w:ascii="宋体" w:hAnsi="宋体" w:eastAsia="宋体" w:cs="宋体"/>
          <w:sz w:val="24"/>
          <w:szCs w:val="24"/>
        </w:rPr>
      </w:pP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月内蒙古新创环境科技有限公司</w:t>
      </w:r>
      <w:r>
        <w:rPr>
          <w:rFonts w:ascii="宋体" w:hAnsi="宋体" w:eastAsia="宋体" w:cs="宋体"/>
          <w:spacing w:val="-4"/>
          <w:sz w:val="24"/>
          <w:szCs w:val="24"/>
        </w:rPr>
        <w:t>编制《内蒙古玉龙矿业股份有限</w:t>
      </w:r>
      <w:r>
        <w:rPr>
          <w:rFonts w:ascii="宋体" w:hAnsi="宋体" w:eastAsia="宋体" w:cs="宋体"/>
          <w:sz w:val="24"/>
          <w:szCs w:val="24"/>
        </w:rPr>
        <w:t xml:space="preserve"> </w:t>
      </w:r>
      <w:r>
        <w:rPr>
          <w:rFonts w:ascii="宋体" w:hAnsi="宋体" w:eastAsia="宋体" w:cs="宋体"/>
          <w:spacing w:val="-4"/>
          <w:sz w:val="24"/>
          <w:szCs w:val="24"/>
        </w:rPr>
        <w:t xml:space="preserve">公司花敖包特银铅矿技术改造项目充填系统项目环境影响报告表》，并于 </w:t>
      </w:r>
      <w:r>
        <w:rPr>
          <w:rFonts w:ascii="Times New Roman" w:hAnsi="Times New Roman" w:eastAsia="Times New Roman" w:cs="Times New Roman"/>
          <w:spacing w:val="-4"/>
          <w:sz w:val="24"/>
          <w:szCs w:val="24"/>
        </w:rPr>
        <w:t>2014</w:t>
      </w:r>
      <w:r>
        <w:rPr>
          <w:rFonts w:ascii="Times New Roman" w:hAnsi="Times New Roman" w:eastAsia="Times New Roman" w:cs="Times New Roman"/>
          <w:spacing w:val="8"/>
          <w:sz w:val="24"/>
          <w:szCs w:val="24"/>
        </w:rPr>
        <w:t xml:space="preserve">  </w:t>
      </w:r>
      <w:r>
        <w:rPr>
          <w:rFonts w:ascii="宋体" w:hAnsi="宋体" w:eastAsia="宋体" w:cs="宋体"/>
          <w:spacing w:val="-5"/>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29</w:t>
      </w:r>
      <w:r>
        <w:rPr>
          <w:rFonts w:ascii="Times New Roman" w:hAnsi="Times New Roman" w:eastAsia="Times New Roman" w:cs="Times New Roman"/>
          <w:spacing w:val="50"/>
          <w:w w:val="101"/>
          <w:sz w:val="24"/>
          <w:szCs w:val="24"/>
        </w:rPr>
        <w:t xml:space="preserve"> </w:t>
      </w:r>
      <w:r>
        <w:rPr>
          <w:rFonts w:ascii="宋体" w:hAnsi="宋体" w:eastAsia="宋体" w:cs="宋体"/>
          <w:spacing w:val="-5"/>
          <w:sz w:val="24"/>
          <w:szCs w:val="24"/>
        </w:rPr>
        <w:t>日，由原内蒙古锡林郭勒盟环境保护局以锡署环审表</w:t>
      </w:r>
      <w:r>
        <w:rPr>
          <w:rFonts w:ascii="Times New Roman" w:hAnsi="Times New Roman" w:eastAsia="Times New Roman" w:cs="Times New Roman"/>
          <w:spacing w:val="-6"/>
          <w:sz w:val="24"/>
          <w:szCs w:val="24"/>
        </w:rPr>
        <w:t>[2014]82</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号文予</w:t>
      </w:r>
      <w:r>
        <w:rPr>
          <w:rFonts w:ascii="宋体" w:hAnsi="宋体" w:eastAsia="宋体" w:cs="宋体"/>
          <w:sz w:val="24"/>
          <w:szCs w:val="24"/>
        </w:rPr>
        <w:t xml:space="preserve"> 以批复。</w:t>
      </w:r>
      <w:r>
        <w:rPr>
          <w:rFonts w:ascii="Times New Roman" w:hAnsi="Times New Roman" w:eastAsia="Times New Roman" w:cs="Times New Roman"/>
          <w:sz w:val="24"/>
          <w:szCs w:val="24"/>
        </w:rPr>
        <w:t xml:space="preserve">2019 </w:t>
      </w:r>
      <w:r>
        <w:rPr>
          <w:rFonts w:ascii="宋体" w:hAnsi="宋体" w:eastAsia="宋体" w:cs="宋体"/>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 xml:space="preserve">月由内蒙古致远方略工程咨询有限公司编制完成《内蒙古 </w:t>
      </w:r>
      <w:r>
        <w:rPr>
          <w:rFonts w:ascii="宋体" w:hAnsi="宋体" w:eastAsia="宋体" w:cs="宋体"/>
          <w:spacing w:val="-5"/>
          <w:sz w:val="24"/>
          <w:szCs w:val="24"/>
        </w:rPr>
        <w:t>玉龙矿业股份有限公司花敖包特银铅移动式填</w:t>
      </w:r>
      <w:r>
        <w:rPr>
          <w:rFonts w:ascii="宋体" w:hAnsi="宋体" w:eastAsia="宋体" w:cs="宋体"/>
          <w:spacing w:val="-6"/>
          <w:sz w:val="24"/>
          <w:szCs w:val="24"/>
        </w:rPr>
        <w:t>充站建设项目环境影响报告表》，</w:t>
      </w:r>
      <w:r>
        <w:rPr>
          <w:rFonts w:ascii="宋体" w:hAnsi="宋体" w:eastAsia="宋体" w:cs="宋体"/>
          <w:sz w:val="24"/>
          <w:szCs w:val="24"/>
        </w:rPr>
        <w:t xml:space="preserve"> </w:t>
      </w:r>
      <w:r>
        <w:rPr>
          <w:rFonts w:ascii="宋体" w:hAnsi="宋体" w:eastAsia="宋体" w:cs="宋体"/>
          <w:spacing w:val="-5"/>
          <w:sz w:val="24"/>
          <w:szCs w:val="24"/>
        </w:rPr>
        <w:t>并于</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2019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11 </w:t>
      </w:r>
      <w:r>
        <w:rPr>
          <w:rFonts w:ascii="宋体" w:hAnsi="宋体" w:eastAsia="宋体" w:cs="宋体"/>
          <w:spacing w:val="-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29  </w:t>
      </w:r>
      <w:r>
        <w:rPr>
          <w:rFonts w:ascii="宋体" w:hAnsi="宋体" w:eastAsia="宋体" w:cs="宋体"/>
          <w:spacing w:val="-5"/>
          <w:sz w:val="24"/>
          <w:szCs w:val="24"/>
        </w:rPr>
        <w:t>日，由原西乌珠穆沁旗环境保护局以西环审表</w:t>
      </w:r>
      <w:r>
        <w:rPr>
          <w:rFonts w:ascii="Times New Roman" w:hAnsi="Times New Roman" w:eastAsia="Times New Roman" w:cs="Times New Roman"/>
          <w:spacing w:val="-5"/>
          <w:sz w:val="24"/>
          <w:szCs w:val="24"/>
        </w:rPr>
        <w:t>[2019]27</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号</w:t>
      </w:r>
      <w:r>
        <w:rPr>
          <w:rFonts w:ascii="宋体" w:hAnsi="宋体" w:eastAsia="宋体" w:cs="宋体"/>
          <w:sz w:val="24"/>
          <w:szCs w:val="24"/>
        </w:rPr>
        <w:t xml:space="preserve"> </w:t>
      </w:r>
      <w:r>
        <w:rPr>
          <w:rFonts w:ascii="宋体" w:hAnsi="宋体" w:eastAsia="宋体" w:cs="宋体"/>
          <w:spacing w:val="-2"/>
          <w:sz w:val="24"/>
          <w:szCs w:val="24"/>
        </w:rPr>
        <w:t>文予以批复。</w:t>
      </w:r>
    </w:p>
    <w:p w14:paraId="48B26A3E">
      <w:pPr>
        <w:spacing w:before="4" w:line="359" w:lineRule="auto"/>
        <w:ind w:left="156" w:right="297" w:firstLine="504"/>
        <w:jc w:val="both"/>
        <w:rPr>
          <w:rFonts w:ascii="宋体" w:hAnsi="宋体" w:eastAsia="宋体" w:cs="宋体"/>
          <w:sz w:val="24"/>
          <w:szCs w:val="24"/>
        </w:rPr>
      </w:pPr>
      <w:r>
        <w:rPr>
          <w:rFonts w:ascii="Times New Roman" w:hAnsi="Times New Roman" w:eastAsia="Times New Roman" w:cs="Times New Roman"/>
          <w:spacing w:val="-3"/>
          <w:sz w:val="24"/>
          <w:szCs w:val="24"/>
        </w:rPr>
        <w:t xml:space="preserve">2017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月玉龙公司委托内蒙古新创环境</w:t>
      </w:r>
      <w:r>
        <w:rPr>
          <w:rFonts w:ascii="宋体" w:hAnsi="宋体" w:eastAsia="宋体" w:cs="宋体"/>
          <w:spacing w:val="-4"/>
          <w:sz w:val="24"/>
          <w:szCs w:val="24"/>
        </w:rPr>
        <w:t>科技有限公司编制完成了《内蒙</w:t>
      </w:r>
      <w:r>
        <w:rPr>
          <w:rFonts w:ascii="宋体" w:hAnsi="宋体" w:eastAsia="宋体" w:cs="宋体"/>
          <w:sz w:val="24"/>
          <w:szCs w:val="24"/>
        </w:rPr>
        <w:t xml:space="preserve"> </w:t>
      </w:r>
      <w:r>
        <w:rPr>
          <w:rFonts w:ascii="宋体" w:hAnsi="宋体" w:eastAsia="宋体" w:cs="宋体"/>
          <w:spacing w:val="7"/>
          <w:sz w:val="24"/>
          <w:szCs w:val="24"/>
        </w:rPr>
        <w:t>古玉龙矿业股份有限公司花敖包特银铅矿尾矿库加高扩容工程环境影响</w:t>
      </w:r>
      <w:r>
        <w:rPr>
          <w:rFonts w:ascii="宋体" w:hAnsi="宋体" w:eastAsia="宋体" w:cs="宋体"/>
          <w:spacing w:val="6"/>
          <w:sz w:val="24"/>
          <w:szCs w:val="24"/>
        </w:rPr>
        <w:t>报告</w:t>
      </w:r>
      <w:r>
        <w:rPr>
          <w:rFonts w:ascii="宋体" w:hAnsi="宋体" w:eastAsia="宋体" w:cs="宋体"/>
          <w:sz w:val="24"/>
          <w:szCs w:val="24"/>
        </w:rPr>
        <w:t xml:space="preserve"> </w:t>
      </w:r>
      <w:r>
        <w:rPr>
          <w:rFonts w:ascii="宋体" w:hAnsi="宋体" w:eastAsia="宋体" w:cs="宋体"/>
          <w:spacing w:val="-3"/>
          <w:sz w:val="24"/>
          <w:szCs w:val="24"/>
        </w:rPr>
        <w:t>书》，</w:t>
      </w:r>
      <w:r>
        <w:rPr>
          <w:rFonts w:ascii="Times New Roman" w:hAnsi="Times New Roman" w:eastAsia="Times New Roman" w:cs="Times New Roman"/>
          <w:spacing w:val="-3"/>
          <w:sz w:val="24"/>
          <w:szCs w:val="24"/>
        </w:rPr>
        <w:t xml:space="preserve">2018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26  </w:t>
      </w:r>
      <w:r>
        <w:rPr>
          <w:rFonts w:ascii="宋体" w:hAnsi="宋体" w:eastAsia="宋体" w:cs="宋体"/>
          <w:spacing w:val="-3"/>
          <w:sz w:val="24"/>
          <w:szCs w:val="24"/>
        </w:rPr>
        <w:t>日取得了该报告书批复</w:t>
      </w:r>
      <w:r>
        <w:rPr>
          <w:rFonts w:ascii="宋体" w:hAnsi="宋体" w:eastAsia="宋体" w:cs="宋体"/>
          <w:spacing w:val="-4"/>
          <w:sz w:val="24"/>
          <w:szCs w:val="24"/>
        </w:rPr>
        <w:t>（锡署环审书</w:t>
      </w:r>
      <w:r>
        <w:rPr>
          <w:rFonts w:ascii="Times New Roman" w:hAnsi="Times New Roman" w:eastAsia="Times New Roman" w:cs="Times New Roman"/>
          <w:spacing w:val="-4"/>
          <w:sz w:val="24"/>
          <w:szCs w:val="24"/>
        </w:rPr>
        <w:t xml:space="preserve">[2018]1 </w:t>
      </w:r>
      <w:r>
        <w:rPr>
          <w:rFonts w:ascii="宋体" w:hAnsi="宋体" w:eastAsia="宋体" w:cs="宋体"/>
          <w:spacing w:val="-4"/>
          <w:sz w:val="24"/>
          <w:szCs w:val="24"/>
        </w:rPr>
        <w:t>号）。</w:t>
      </w:r>
      <w:r>
        <w:rPr>
          <w:rFonts w:ascii="Times New Roman" w:hAnsi="Times New Roman" w:eastAsia="Times New Roman" w:cs="Times New Roman"/>
          <w:spacing w:val="-4"/>
          <w:sz w:val="24"/>
          <w:szCs w:val="24"/>
        </w:rPr>
        <w:t>2019</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29</w:t>
      </w:r>
      <w:r>
        <w:rPr>
          <w:rFonts w:ascii="Times New Roman" w:hAnsi="Times New Roman" w:eastAsia="Times New Roman" w:cs="Times New Roman"/>
          <w:spacing w:val="51"/>
          <w:sz w:val="24"/>
          <w:szCs w:val="24"/>
        </w:rPr>
        <w:t xml:space="preserve"> </w:t>
      </w:r>
      <w:r>
        <w:rPr>
          <w:rFonts w:ascii="宋体" w:hAnsi="宋体" w:eastAsia="宋体" w:cs="宋体"/>
          <w:spacing w:val="-3"/>
          <w:sz w:val="24"/>
          <w:szCs w:val="24"/>
        </w:rPr>
        <w:t>日取得《内蒙古玉龙矿业股份有限公司花敖包特银铅矿</w:t>
      </w:r>
      <w:r>
        <w:rPr>
          <w:rFonts w:ascii="宋体" w:hAnsi="宋体" w:eastAsia="宋体" w:cs="宋体"/>
          <w:spacing w:val="-4"/>
          <w:sz w:val="24"/>
          <w:szCs w:val="24"/>
        </w:rPr>
        <w:t>尾矿库加高</w:t>
      </w:r>
      <w:r>
        <w:rPr>
          <w:rFonts w:ascii="宋体" w:hAnsi="宋体" w:eastAsia="宋体" w:cs="宋体"/>
          <w:sz w:val="24"/>
          <w:szCs w:val="24"/>
        </w:rPr>
        <w:t xml:space="preserve"> </w:t>
      </w:r>
      <w:r>
        <w:rPr>
          <w:rFonts w:ascii="宋体" w:hAnsi="宋体" w:eastAsia="宋体" w:cs="宋体"/>
          <w:spacing w:val="-2"/>
          <w:sz w:val="24"/>
          <w:szCs w:val="24"/>
        </w:rPr>
        <w:t>扩容工程一期工程竣工环境保护验收意见》，</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日取得《内蒙古</w:t>
      </w:r>
      <w:r>
        <w:rPr>
          <w:rFonts w:ascii="宋体" w:hAnsi="宋体" w:eastAsia="宋体" w:cs="宋体"/>
          <w:sz w:val="24"/>
          <w:szCs w:val="24"/>
        </w:rPr>
        <w:t xml:space="preserve"> 玉龙矿业股份有限公司花敖包特银铅矿尾矿库加高扩</w:t>
      </w:r>
      <w:r>
        <w:rPr>
          <w:rFonts w:ascii="宋体" w:hAnsi="宋体" w:eastAsia="宋体" w:cs="宋体"/>
          <w:spacing w:val="-1"/>
          <w:sz w:val="24"/>
          <w:szCs w:val="24"/>
        </w:rPr>
        <w:t>容工程二期工程竣工环境</w:t>
      </w:r>
      <w:r>
        <w:rPr>
          <w:rFonts w:ascii="宋体" w:hAnsi="宋体" w:eastAsia="宋体" w:cs="宋体"/>
          <w:sz w:val="24"/>
          <w:szCs w:val="24"/>
        </w:rPr>
        <w:t xml:space="preserve"> </w:t>
      </w:r>
      <w:r>
        <w:rPr>
          <w:rFonts w:ascii="宋体" w:hAnsi="宋体" w:eastAsia="宋体" w:cs="宋体"/>
          <w:spacing w:val="-2"/>
          <w:sz w:val="24"/>
          <w:szCs w:val="24"/>
        </w:rPr>
        <w:t>保护验收意见》。</w:t>
      </w:r>
    </w:p>
    <w:p w14:paraId="32365448">
      <w:pPr>
        <w:spacing w:before="7" w:line="358" w:lineRule="auto"/>
        <w:ind w:left="156" w:right="297" w:firstLine="504"/>
        <w:jc w:val="both"/>
        <w:rPr>
          <w:rFonts w:ascii="宋体" w:hAnsi="宋体" w:eastAsia="宋体" w:cs="宋体"/>
          <w:sz w:val="24"/>
          <w:szCs w:val="24"/>
        </w:rPr>
      </w:pPr>
      <w:r>
        <w:rPr>
          <w:rFonts w:ascii="Times New Roman" w:hAnsi="Times New Roman" w:eastAsia="Times New Roman" w:cs="Times New Roman"/>
          <w:sz w:val="24"/>
          <w:szCs w:val="24"/>
        </w:rPr>
        <w:t>2021</w:t>
      </w:r>
      <w:r>
        <w:rPr>
          <w:rFonts w:ascii="Times New Roman" w:hAnsi="Times New Roman" w:eastAsia="Times New Roman" w:cs="Times New Roman"/>
          <w:spacing w:val="-19"/>
          <w:sz w:val="24"/>
          <w:szCs w:val="24"/>
        </w:rPr>
        <w:t xml:space="preserve"> </w:t>
      </w:r>
      <w:r>
        <w:rPr>
          <w:rFonts w:ascii="宋体" w:hAnsi="宋体" w:eastAsia="宋体" w:cs="宋体"/>
          <w:sz w:val="24"/>
          <w:szCs w:val="24"/>
        </w:rPr>
        <w:t>年</w:t>
      </w:r>
      <w:r>
        <w:rPr>
          <w:rFonts w:ascii="Times New Roman" w:hAnsi="Times New Roman" w:eastAsia="Times New Roman" w:cs="Times New Roman"/>
          <w:sz w:val="24"/>
          <w:szCs w:val="24"/>
        </w:rPr>
        <w:t>5</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月内蒙古玉龙矿业股份有限公司委托锡林郭勒盟格林蓝环</w:t>
      </w:r>
      <w:r>
        <w:rPr>
          <w:rFonts w:ascii="宋体" w:hAnsi="宋体" w:eastAsia="宋体" w:cs="宋体"/>
          <w:spacing w:val="-1"/>
          <w:sz w:val="24"/>
          <w:szCs w:val="24"/>
        </w:rPr>
        <w:t>境科技</w:t>
      </w:r>
      <w:r>
        <w:rPr>
          <w:rFonts w:ascii="宋体" w:hAnsi="宋体" w:eastAsia="宋体" w:cs="宋体"/>
          <w:sz w:val="24"/>
          <w:szCs w:val="24"/>
        </w:rPr>
        <w:t xml:space="preserve"> 有限公司编制了《内蒙古玉龙矿业股份有限公司西乌</w:t>
      </w:r>
      <w:r>
        <w:rPr>
          <w:rFonts w:ascii="宋体" w:hAnsi="宋体" w:eastAsia="宋体" w:cs="宋体"/>
          <w:spacing w:val="-1"/>
          <w:sz w:val="24"/>
          <w:szCs w:val="24"/>
        </w:rPr>
        <w:t>珠穆沁旗花敖包特银铅矿</w:t>
      </w:r>
      <w:r>
        <w:rPr>
          <w:rFonts w:ascii="宋体" w:hAnsi="宋体" w:eastAsia="宋体" w:cs="宋体"/>
          <w:sz w:val="24"/>
          <w:szCs w:val="24"/>
        </w:rPr>
        <w:t xml:space="preserve"> </w:t>
      </w:r>
      <w:r>
        <w:rPr>
          <w:rFonts w:ascii="宋体" w:hAnsi="宋体" w:eastAsia="宋体" w:cs="宋体"/>
          <w:spacing w:val="-2"/>
          <w:sz w:val="24"/>
          <w:szCs w:val="24"/>
        </w:rPr>
        <w:t>技术改造项目（变更）环境影响报告书》，</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日锡林郭勒盟生态</w:t>
      </w:r>
      <w:r>
        <w:rPr>
          <w:rFonts w:ascii="宋体" w:hAnsi="宋体" w:eastAsia="宋体" w:cs="宋体"/>
          <w:sz w:val="24"/>
          <w:szCs w:val="24"/>
        </w:rPr>
        <w:t xml:space="preserve"> </w:t>
      </w:r>
      <w:r>
        <w:rPr>
          <w:rFonts w:ascii="宋体" w:hAnsi="宋体" w:eastAsia="宋体" w:cs="宋体"/>
          <w:spacing w:val="-2"/>
          <w:sz w:val="24"/>
          <w:szCs w:val="24"/>
        </w:rPr>
        <w:t>环境局以锡署环审书</w:t>
      </w:r>
      <w:r>
        <w:rPr>
          <w:rFonts w:ascii="Times New Roman" w:hAnsi="Times New Roman" w:eastAsia="Times New Roman" w:cs="Times New Roman"/>
          <w:spacing w:val="-2"/>
          <w:sz w:val="24"/>
          <w:szCs w:val="24"/>
        </w:rPr>
        <w:t xml:space="preserve">[2021]29  </w:t>
      </w:r>
      <w:r>
        <w:rPr>
          <w:rFonts w:ascii="宋体" w:hAnsi="宋体" w:eastAsia="宋体" w:cs="宋体"/>
          <w:spacing w:val="-2"/>
          <w:sz w:val="24"/>
          <w:szCs w:val="24"/>
        </w:rPr>
        <w:t>号文予以批</w:t>
      </w:r>
      <w:r>
        <w:rPr>
          <w:rFonts w:ascii="宋体" w:hAnsi="宋体" w:eastAsia="宋体" w:cs="宋体"/>
          <w:spacing w:val="-3"/>
          <w:sz w:val="24"/>
          <w:szCs w:val="24"/>
        </w:rPr>
        <w:t>复。</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日取得《内蒙古</w:t>
      </w:r>
      <w:r>
        <w:rPr>
          <w:rFonts w:ascii="宋体" w:hAnsi="宋体" w:eastAsia="宋体" w:cs="宋体"/>
          <w:sz w:val="24"/>
          <w:szCs w:val="24"/>
        </w:rPr>
        <w:t xml:space="preserve"> 玉龙矿业股份有限公司花敖包特银铅矿技术改造项目</w:t>
      </w:r>
      <w:r>
        <w:rPr>
          <w:rFonts w:ascii="宋体" w:hAnsi="宋体" w:eastAsia="宋体" w:cs="宋体"/>
          <w:spacing w:val="-1"/>
          <w:sz w:val="24"/>
          <w:szCs w:val="24"/>
        </w:rPr>
        <w:t>及变更竣工环境保护验收</w:t>
      </w:r>
      <w:r>
        <w:rPr>
          <w:rFonts w:ascii="宋体" w:hAnsi="宋体" w:eastAsia="宋体" w:cs="宋体"/>
          <w:sz w:val="24"/>
          <w:szCs w:val="24"/>
        </w:rPr>
        <w:t xml:space="preserve"> </w:t>
      </w:r>
      <w:r>
        <w:rPr>
          <w:rFonts w:ascii="宋体" w:hAnsi="宋体" w:eastAsia="宋体" w:cs="宋体"/>
          <w:spacing w:val="-3"/>
          <w:sz w:val="24"/>
          <w:szCs w:val="24"/>
        </w:rPr>
        <w:t>意见》。</w:t>
      </w:r>
    </w:p>
    <w:p w14:paraId="501B92FF">
      <w:pPr>
        <w:spacing w:before="2" w:line="359" w:lineRule="auto"/>
        <w:ind w:left="157" w:right="340" w:firstLine="504"/>
        <w:rPr>
          <w:rFonts w:ascii="宋体" w:hAnsi="宋体" w:eastAsia="宋体" w:cs="宋体"/>
          <w:sz w:val="24"/>
          <w:szCs w:val="24"/>
        </w:rPr>
      </w:pP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29  </w:t>
      </w:r>
      <w:r>
        <w:rPr>
          <w:rFonts w:ascii="宋体" w:hAnsi="宋体" w:eastAsia="宋体" w:cs="宋体"/>
          <w:spacing w:val="-3"/>
          <w:sz w:val="24"/>
          <w:szCs w:val="24"/>
        </w:rPr>
        <w:t>日内蒙古玉龙矿业股份有限公司取得排污许可证，编号：</w:t>
      </w:r>
      <w:r>
        <w:rPr>
          <w:rFonts w:ascii="宋体" w:hAnsi="宋体" w:eastAsia="宋体" w:cs="宋体"/>
          <w:sz w:val="24"/>
          <w:szCs w:val="24"/>
        </w:rPr>
        <w:t xml:space="preserve"> </w:t>
      </w:r>
      <w:r>
        <w:rPr>
          <w:rFonts w:ascii="Times New Roman" w:hAnsi="Times New Roman" w:eastAsia="Times New Roman" w:cs="Times New Roman"/>
          <w:spacing w:val="-2"/>
          <w:sz w:val="24"/>
          <w:szCs w:val="24"/>
        </w:rPr>
        <w:t>9115250073614700500</w:t>
      </w:r>
      <w:r>
        <w:rPr>
          <w:rFonts w:ascii="Times New Roman" w:hAnsi="Times New Roman" w:eastAsia="Times New Roman" w:cs="Times New Roman"/>
          <w:spacing w:val="-3"/>
          <w:sz w:val="24"/>
          <w:szCs w:val="24"/>
        </w:rPr>
        <w:t>01T</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27  </w:t>
      </w:r>
      <w:r>
        <w:rPr>
          <w:rFonts w:ascii="宋体" w:hAnsi="宋体" w:eastAsia="宋体" w:cs="宋体"/>
          <w:spacing w:val="-3"/>
          <w:sz w:val="24"/>
          <w:szCs w:val="24"/>
        </w:rPr>
        <w:t>日延续排污许可证，有效期：</w:t>
      </w:r>
      <w:r>
        <w:rPr>
          <w:rFonts w:ascii="Times New Roman" w:hAnsi="Times New Roman" w:eastAsia="Times New Roman" w:cs="Times New Roman"/>
          <w:spacing w:val="-3"/>
          <w:sz w:val="24"/>
          <w:szCs w:val="24"/>
        </w:rPr>
        <w:t>2022</w:t>
      </w:r>
      <w:r>
        <w:rPr>
          <w:rFonts w:ascii="Times New Roman" w:hAnsi="Times New Roman" w:eastAsia="Times New Roman" w:cs="Times New Roman"/>
          <w:sz w:val="24"/>
          <w:szCs w:val="24"/>
        </w:rPr>
        <w:t xml:space="preserve"> </w:t>
      </w:r>
      <w:r>
        <w:rPr>
          <w:rFonts w:ascii="宋体" w:hAnsi="宋体" w:eastAsia="宋体" w:cs="宋体"/>
          <w:spacing w:val="-9"/>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29</w:t>
      </w:r>
      <w:r>
        <w:rPr>
          <w:rFonts w:ascii="Times New Roman" w:hAnsi="Times New Roman" w:eastAsia="Times New Roman" w:cs="Times New Roman"/>
          <w:spacing w:val="51"/>
          <w:sz w:val="24"/>
          <w:szCs w:val="24"/>
        </w:rPr>
        <w:t xml:space="preserve"> </w:t>
      </w:r>
      <w:r>
        <w:rPr>
          <w:rFonts w:ascii="宋体" w:hAnsi="宋体" w:eastAsia="宋体" w:cs="宋体"/>
          <w:spacing w:val="-9"/>
          <w:sz w:val="24"/>
          <w:szCs w:val="24"/>
        </w:rPr>
        <w:t>日至</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2027 </w:t>
      </w:r>
      <w:r>
        <w:rPr>
          <w:rFonts w:ascii="宋体" w:hAnsi="宋体" w:eastAsia="宋体" w:cs="宋体"/>
          <w:spacing w:val="-9"/>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28  </w:t>
      </w:r>
      <w:r>
        <w:rPr>
          <w:rFonts w:ascii="宋体" w:hAnsi="宋体" w:eastAsia="宋体" w:cs="宋体"/>
          <w:spacing w:val="-9"/>
          <w:sz w:val="24"/>
          <w:szCs w:val="24"/>
        </w:rPr>
        <w:t>日。</w:t>
      </w:r>
    </w:p>
    <w:p w14:paraId="69DD623C">
      <w:pPr>
        <w:spacing w:line="360" w:lineRule="auto"/>
        <w:ind w:left="156" w:right="297" w:firstLine="537"/>
        <w:rPr>
          <w:rFonts w:ascii="宋体" w:hAnsi="宋体" w:eastAsia="宋体" w:cs="宋体"/>
          <w:sz w:val="24"/>
          <w:szCs w:val="24"/>
        </w:rPr>
      </w:pPr>
      <w:r>
        <w:rPr>
          <w:rFonts w:ascii="宋体" w:hAnsi="宋体" w:eastAsia="宋体" w:cs="宋体"/>
          <w:spacing w:val="5"/>
          <w:sz w:val="24"/>
          <w:szCs w:val="24"/>
        </w:rPr>
        <w:t>内蒙古玉龙矿业股份有限公司根据环评要求制定自行监测计划并定期委</w:t>
      </w:r>
      <w:r>
        <w:rPr>
          <w:rFonts w:ascii="宋体" w:hAnsi="宋体" w:eastAsia="宋体" w:cs="宋体"/>
          <w:spacing w:val="16"/>
          <w:sz w:val="24"/>
          <w:szCs w:val="24"/>
        </w:rPr>
        <w:t xml:space="preserve"> </w:t>
      </w:r>
      <w:r>
        <w:rPr>
          <w:rFonts w:ascii="宋体" w:hAnsi="宋体" w:eastAsia="宋体" w:cs="宋体"/>
          <w:spacing w:val="-2"/>
          <w:sz w:val="24"/>
          <w:szCs w:val="24"/>
        </w:rPr>
        <w:t>托监测，监测计划见表</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3.1-1</w:t>
      </w:r>
      <w:r>
        <w:rPr>
          <w:rFonts w:ascii="宋体" w:hAnsi="宋体" w:eastAsia="宋体" w:cs="宋体"/>
          <w:spacing w:val="-2"/>
          <w:sz w:val="24"/>
          <w:szCs w:val="24"/>
        </w:rPr>
        <w:t>。</w:t>
      </w:r>
    </w:p>
    <w:p w14:paraId="06E8A498">
      <w:pPr>
        <w:spacing w:before="78" w:line="220" w:lineRule="auto"/>
        <w:ind w:left="281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3.1-1  </w:t>
      </w:r>
      <w:r>
        <w:rPr>
          <w:rFonts w:ascii="宋体" w:hAnsi="宋体" w:eastAsia="宋体" w:cs="宋体"/>
          <w:spacing w:val="-2"/>
          <w:sz w:val="24"/>
          <w:szCs w:val="24"/>
        </w:rPr>
        <w:t>建设单位自行监测计划</w:t>
      </w:r>
    </w:p>
    <w:p w14:paraId="03C698B7">
      <w:pPr>
        <w:spacing w:line="74" w:lineRule="exact"/>
      </w:pPr>
    </w:p>
    <w:tbl>
      <w:tblPr>
        <w:tblStyle w:val="5"/>
        <w:tblW w:w="85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1747"/>
        <w:gridCol w:w="4111"/>
        <w:gridCol w:w="1634"/>
      </w:tblGrid>
      <w:tr w14:paraId="32392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07" w:type="dxa"/>
            <w:vAlign w:val="top"/>
          </w:tcPr>
          <w:p w14:paraId="41C67A81">
            <w:pPr>
              <w:pStyle w:val="6"/>
              <w:spacing w:before="35" w:line="218" w:lineRule="auto"/>
              <w:ind w:left="139"/>
            </w:pPr>
            <w:r>
              <w:rPr>
                <w:spacing w:val="7"/>
              </w:rPr>
              <w:t>监测要素</w:t>
            </w:r>
          </w:p>
        </w:tc>
        <w:tc>
          <w:tcPr>
            <w:tcW w:w="1747" w:type="dxa"/>
            <w:vAlign w:val="top"/>
          </w:tcPr>
          <w:p w14:paraId="08BD3CC2">
            <w:pPr>
              <w:pStyle w:val="6"/>
              <w:spacing w:before="35" w:line="218" w:lineRule="auto"/>
              <w:ind w:left="457"/>
            </w:pPr>
            <w:r>
              <w:rPr>
                <w:spacing w:val="7"/>
              </w:rPr>
              <w:t>监测点位</w:t>
            </w:r>
          </w:p>
        </w:tc>
        <w:tc>
          <w:tcPr>
            <w:tcW w:w="4111" w:type="dxa"/>
            <w:vAlign w:val="top"/>
          </w:tcPr>
          <w:p w14:paraId="6501AE92">
            <w:pPr>
              <w:pStyle w:val="6"/>
              <w:spacing w:before="35" w:line="218" w:lineRule="auto"/>
              <w:ind w:left="1643"/>
            </w:pPr>
            <w:r>
              <w:rPr>
                <w:spacing w:val="7"/>
              </w:rPr>
              <w:t>监测因子</w:t>
            </w:r>
          </w:p>
        </w:tc>
        <w:tc>
          <w:tcPr>
            <w:tcW w:w="1634" w:type="dxa"/>
            <w:vAlign w:val="top"/>
          </w:tcPr>
          <w:p w14:paraId="24E107CA">
            <w:pPr>
              <w:pStyle w:val="6"/>
              <w:spacing w:before="35" w:line="218" w:lineRule="auto"/>
              <w:ind w:left="403"/>
            </w:pPr>
            <w:r>
              <w:rPr>
                <w:spacing w:val="7"/>
              </w:rPr>
              <w:t>监测频次</w:t>
            </w:r>
          </w:p>
        </w:tc>
      </w:tr>
      <w:tr w14:paraId="62300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107" w:type="dxa"/>
            <w:vMerge w:val="restart"/>
            <w:tcBorders>
              <w:bottom w:val="nil"/>
            </w:tcBorders>
            <w:vAlign w:val="top"/>
          </w:tcPr>
          <w:p w14:paraId="7B019D30">
            <w:pPr>
              <w:spacing w:line="378" w:lineRule="auto"/>
              <w:rPr>
                <w:rFonts w:ascii="Arial"/>
                <w:sz w:val="21"/>
              </w:rPr>
            </w:pPr>
          </w:p>
          <w:p w14:paraId="01D90AE3">
            <w:pPr>
              <w:pStyle w:val="6"/>
              <w:spacing w:before="65" w:line="228" w:lineRule="auto"/>
              <w:ind w:left="348"/>
            </w:pPr>
            <w:r>
              <w:rPr>
                <w:spacing w:val="5"/>
              </w:rPr>
              <w:t>废气</w:t>
            </w:r>
          </w:p>
        </w:tc>
        <w:tc>
          <w:tcPr>
            <w:tcW w:w="1747" w:type="dxa"/>
            <w:vAlign w:val="top"/>
          </w:tcPr>
          <w:p w14:paraId="0226EEF1">
            <w:pPr>
              <w:pStyle w:val="6"/>
              <w:spacing w:before="167" w:line="228" w:lineRule="auto"/>
              <w:ind w:left="145"/>
            </w:pPr>
            <w:r>
              <w:rPr>
                <w:spacing w:val="8"/>
              </w:rPr>
              <w:t>厂界无组织排放</w:t>
            </w:r>
          </w:p>
        </w:tc>
        <w:tc>
          <w:tcPr>
            <w:tcW w:w="4111" w:type="dxa"/>
            <w:vAlign w:val="top"/>
          </w:tcPr>
          <w:p w14:paraId="7098824C">
            <w:pPr>
              <w:pStyle w:val="6"/>
              <w:spacing w:before="167" w:line="228" w:lineRule="auto"/>
              <w:ind w:left="1536"/>
            </w:pPr>
            <w:r>
              <w:rPr>
                <w:spacing w:val="8"/>
              </w:rPr>
              <w:t>颗粒物、铅</w:t>
            </w:r>
          </w:p>
        </w:tc>
        <w:tc>
          <w:tcPr>
            <w:tcW w:w="1634" w:type="dxa"/>
            <w:vAlign w:val="top"/>
          </w:tcPr>
          <w:p w14:paraId="7ED2261D">
            <w:pPr>
              <w:pStyle w:val="6"/>
              <w:spacing w:before="32" w:line="233" w:lineRule="auto"/>
              <w:ind w:left="179" w:right="139" w:hanging="63"/>
            </w:pPr>
            <w:r>
              <w:rPr>
                <w:spacing w:val="-1"/>
              </w:rPr>
              <w:t>每年</w:t>
            </w:r>
            <w:r>
              <w:rPr>
                <w:spacing w:val="-20"/>
              </w:rPr>
              <w:t xml:space="preserve"> </w:t>
            </w:r>
            <w:r>
              <w:rPr>
                <w:spacing w:val="-1"/>
              </w:rPr>
              <w:t>1、4、7、</w:t>
            </w:r>
            <w:r>
              <w:t xml:space="preserve"> </w:t>
            </w:r>
            <w:r>
              <w:rPr>
                <w:spacing w:val="3"/>
              </w:rPr>
              <w:t>10</w:t>
            </w:r>
            <w:r>
              <w:rPr>
                <w:spacing w:val="-33"/>
              </w:rPr>
              <w:t xml:space="preserve"> </w:t>
            </w:r>
            <w:r>
              <w:rPr>
                <w:spacing w:val="3"/>
              </w:rPr>
              <w:t>月监测一次</w:t>
            </w:r>
          </w:p>
        </w:tc>
      </w:tr>
      <w:tr w14:paraId="6D804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07" w:type="dxa"/>
            <w:vMerge w:val="continue"/>
            <w:tcBorders>
              <w:top w:val="nil"/>
            </w:tcBorders>
            <w:vAlign w:val="top"/>
          </w:tcPr>
          <w:p w14:paraId="585DFE55">
            <w:pPr>
              <w:rPr>
                <w:rFonts w:ascii="Arial"/>
                <w:sz w:val="21"/>
              </w:rPr>
            </w:pPr>
          </w:p>
        </w:tc>
        <w:tc>
          <w:tcPr>
            <w:tcW w:w="1747" w:type="dxa"/>
            <w:vAlign w:val="top"/>
          </w:tcPr>
          <w:p w14:paraId="1C02D7DB">
            <w:pPr>
              <w:pStyle w:val="6"/>
              <w:spacing w:before="169" w:line="228" w:lineRule="auto"/>
              <w:ind w:left="457"/>
            </w:pPr>
            <w:r>
              <w:rPr>
                <w:spacing w:val="7"/>
              </w:rPr>
              <w:t>锅炉烟囱</w:t>
            </w:r>
          </w:p>
        </w:tc>
        <w:tc>
          <w:tcPr>
            <w:tcW w:w="4111" w:type="dxa"/>
            <w:vAlign w:val="top"/>
          </w:tcPr>
          <w:p w14:paraId="0EE77337">
            <w:pPr>
              <w:pStyle w:val="6"/>
              <w:spacing w:before="169" w:line="264" w:lineRule="exact"/>
              <w:ind w:left="1272"/>
              <w:rPr>
                <w:sz w:val="10"/>
                <w:szCs w:val="10"/>
              </w:rPr>
            </w:pPr>
            <w:r>
              <w:rPr>
                <w:spacing w:val="7"/>
                <w:position w:val="1"/>
              </w:rPr>
              <w:t>颗粒物、</w:t>
            </w:r>
            <w:r>
              <w:rPr>
                <w:position w:val="1"/>
              </w:rPr>
              <w:t>SO</w:t>
            </w:r>
            <w:r>
              <w:rPr>
                <w:spacing w:val="7"/>
                <w:position w:val="-1"/>
                <w:sz w:val="10"/>
                <w:szCs w:val="10"/>
              </w:rPr>
              <w:t>2</w:t>
            </w:r>
            <w:r>
              <w:rPr>
                <w:spacing w:val="-26"/>
                <w:position w:val="-1"/>
                <w:sz w:val="10"/>
                <w:szCs w:val="10"/>
              </w:rPr>
              <w:t xml:space="preserve"> </w:t>
            </w:r>
            <w:r>
              <w:rPr>
                <w:spacing w:val="7"/>
                <w:position w:val="1"/>
              </w:rPr>
              <w:t>、</w:t>
            </w:r>
            <w:r>
              <w:rPr>
                <w:position w:val="1"/>
              </w:rPr>
              <w:t>NO</w:t>
            </w:r>
            <w:r>
              <w:rPr>
                <w:position w:val="-1"/>
                <w:sz w:val="10"/>
                <w:szCs w:val="10"/>
              </w:rPr>
              <w:t>X</w:t>
            </w:r>
          </w:p>
        </w:tc>
        <w:tc>
          <w:tcPr>
            <w:tcW w:w="1634" w:type="dxa"/>
            <w:vAlign w:val="top"/>
          </w:tcPr>
          <w:p w14:paraId="4E4E36DC">
            <w:pPr>
              <w:pStyle w:val="6"/>
              <w:spacing w:before="35" w:line="232" w:lineRule="auto"/>
              <w:ind w:left="179" w:right="139" w:hanging="63"/>
            </w:pPr>
            <w:r>
              <w:rPr>
                <w:spacing w:val="-1"/>
              </w:rPr>
              <w:t>每年</w:t>
            </w:r>
            <w:r>
              <w:rPr>
                <w:spacing w:val="-20"/>
              </w:rPr>
              <w:t xml:space="preserve"> </w:t>
            </w:r>
            <w:r>
              <w:rPr>
                <w:spacing w:val="-1"/>
              </w:rPr>
              <w:t>1、4、7、</w:t>
            </w:r>
            <w:r>
              <w:t xml:space="preserve"> </w:t>
            </w:r>
            <w:r>
              <w:rPr>
                <w:spacing w:val="3"/>
              </w:rPr>
              <w:t>10</w:t>
            </w:r>
            <w:r>
              <w:rPr>
                <w:spacing w:val="-33"/>
              </w:rPr>
              <w:t xml:space="preserve"> </w:t>
            </w:r>
            <w:r>
              <w:rPr>
                <w:spacing w:val="3"/>
              </w:rPr>
              <w:t>月监测一次</w:t>
            </w:r>
          </w:p>
        </w:tc>
      </w:tr>
      <w:tr w14:paraId="04694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107" w:type="dxa"/>
            <w:vAlign w:val="top"/>
          </w:tcPr>
          <w:p w14:paraId="41EFCB8A">
            <w:pPr>
              <w:pStyle w:val="6"/>
              <w:spacing w:before="36" w:line="215" w:lineRule="auto"/>
              <w:ind w:left="348"/>
            </w:pPr>
            <w:r>
              <w:rPr>
                <w:spacing w:val="5"/>
              </w:rPr>
              <w:t>废水</w:t>
            </w:r>
          </w:p>
        </w:tc>
        <w:tc>
          <w:tcPr>
            <w:tcW w:w="1747" w:type="dxa"/>
            <w:vAlign w:val="top"/>
          </w:tcPr>
          <w:p w14:paraId="46583C55">
            <w:pPr>
              <w:pStyle w:val="6"/>
              <w:spacing w:before="36" w:line="215" w:lineRule="auto"/>
              <w:ind w:left="142"/>
            </w:pPr>
            <w:r>
              <w:rPr>
                <w:spacing w:val="8"/>
              </w:rPr>
              <w:t>尾矿回水处理系</w:t>
            </w:r>
          </w:p>
        </w:tc>
        <w:tc>
          <w:tcPr>
            <w:tcW w:w="4111" w:type="dxa"/>
            <w:vAlign w:val="top"/>
          </w:tcPr>
          <w:p w14:paraId="454A7A68">
            <w:pPr>
              <w:pStyle w:val="6"/>
              <w:spacing w:before="36" w:line="214" w:lineRule="auto"/>
              <w:ind w:right="10"/>
              <w:jc w:val="right"/>
            </w:pPr>
            <w:r>
              <w:t>pH</w:t>
            </w:r>
            <w:r>
              <w:rPr>
                <w:spacing w:val="8"/>
              </w:rPr>
              <w:t xml:space="preserve"> 值、</w:t>
            </w:r>
            <w:r>
              <w:t>SS</w:t>
            </w:r>
            <w:r>
              <w:rPr>
                <w:spacing w:val="8"/>
              </w:rPr>
              <w:t>、</w:t>
            </w:r>
            <w:r>
              <w:t>COD</w:t>
            </w:r>
            <w:r>
              <w:rPr>
                <w:spacing w:val="8"/>
              </w:rPr>
              <w:t>、</w:t>
            </w:r>
            <w:r>
              <w:t>NH</w:t>
            </w:r>
            <w:r>
              <w:rPr>
                <w:spacing w:val="8"/>
                <w:position w:val="-3"/>
                <w:sz w:val="10"/>
                <w:szCs w:val="10"/>
              </w:rPr>
              <w:t>3</w:t>
            </w:r>
            <w:r>
              <w:rPr>
                <w:spacing w:val="8"/>
              </w:rPr>
              <w:t>-N、铅、锌、砷、镉、</w:t>
            </w:r>
          </w:p>
        </w:tc>
        <w:tc>
          <w:tcPr>
            <w:tcW w:w="1634" w:type="dxa"/>
            <w:vAlign w:val="top"/>
          </w:tcPr>
          <w:p w14:paraId="13501277">
            <w:pPr>
              <w:pStyle w:val="6"/>
              <w:spacing w:before="36" w:line="215" w:lineRule="auto"/>
              <w:ind w:left="117"/>
            </w:pPr>
            <w:r>
              <w:t>枯、平、丰水期</w:t>
            </w:r>
          </w:p>
        </w:tc>
      </w:tr>
    </w:tbl>
    <w:p w14:paraId="17DBB31D">
      <w:pPr>
        <w:pStyle w:val="2"/>
        <w:spacing w:line="199" w:lineRule="exact"/>
        <w:rPr>
          <w:sz w:val="17"/>
        </w:rPr>
      </w:pPr>
    </w:p>
    <w:p w14:paraId="2972B0EB">
      <w:pPr>
        <w:spacing w:line="199" w:lineRule="exact"/>
        <w:rPr>
          <w:sz w:val="17"/>
          <w:szCs w:val="17"/>
        </w:rPr>
        <w:sectPr>
          <w:headerReference r:id="rId54" w:type="default"/>
          <w:footerReference r:id="rId55" w:type="default"/>
          <w:pgSz w:w="11906" w:h="16839"/>
          <w:pgMar w:top="1208" w:right="1651" w:bottom="1358" w:left="1650" w:header="825" w:footer="1195" w:gutter="0"/>
          <w:cols w:space="720" w:num="1"/>
        </w:sectPr>
      </w:pPr>
    </w:p>
    <w:p w14:paraId="293588FD">
      <w:pPr>
        <w:spacing w:line="231" w:lineRule="exact"/>
      </w:pPr>
    </w:p>
    <w:tbl>
      <w:tblPr>
        <w:tblStyle w:val="5"/>
        <w:tblW w:w="85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1747"/>
        <w:gridCol w:w="4111"/>
        <w:gridCol w:w="1634"/>
      </w:tblGrid>
      <w:tr w14:paraId="36658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107" w:type="dxa"/>
            <w:vMerge w:val="restart"/>
            <w:tcBorders>
              <w:bottom w:val="nil"/>
            </w:tcBorders>
            <w:vAlign w:val="top"/>
          </w:tcPr>
          <w:p w14:paraId="785E3669">
            <w:pPr>
              <w:rPr>
                <w:rFonts w:ascii="Arial"/>
                <w:sz w:val="21"/>
              </w:rPr>
            </w:pPr>
          </w:p>
        </w:tc>
        <w:tc>
          <w:tcPr>
            <w:tcW w:w="1747" w:type="dxa"/>
            <w:vAlign w:val="top"/>
          </w:tcPr>
          <w:p w14:paraId="2AE3BF51">
            <w:pPr>
              <w:pStyle w:val="6"/>
              <w:spacing w:before="36" w:line="216" w:lineRule="auto"/>
              <w:ind w:left="462"/>
            </w:pPr>
            <w:r>
              <w:rPr>
                <w:spacing w:val="6"/>
              </w:rPr>
              <w:t>统排放口</w:t>
            </w:r>
          </w:p>
        </w:tc>
        <w:tc>
          <w:tcPr>
            <w:tcW w:w="4111" w:type="dxa"/>
            <w:vAlign w:val="top"/>
          </w:tcPr>
          <w:p w14:paraId="3DD08305">
            <w:pPr>
              <w:pStyle w:val="6"/>
              <w:spacing w:before="36" w:line="216" w:lineRule="auto"/>
              <w:ind w:left="110"/>
            </w:pPr>
            <w:r>
              <w:rPr>
                <w:spacing w:val="8"/>
              </w:rPr>
              <w:t>镍、铜、汞、铬</w:t>
            </w:r>
          </w:p>
        </w:tc>
        <w:tc>
          <w:tcPr>
            <w:tcW w:w="1634" w:type="dxa"/>
            <w:vAlign w:val="top"/>
          </w:tcPr>
          <w:p w14:paraId="00656E2F">
            <w:pPr>
              <w:pStyle w:val="6"/>
              <w:spacing w:before="36" w:line="216" w:lineRule="auto"/>
              <w:ind w:left="299"/>
            </w:pPr>
            <w:r>
              <w:rPr>
                <w:spacing w:val="7"/>
              </w:rPr>
              <w:t>各监测一次</w:t>
            </w:r>
          </w:p>
        </w:tc>
      </w:tr>
      <w:tr w14:paraId="79BA0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07" w:type="dxa"/>
            <w:vMerge w:val="continue"/>
            <w:tcBorders>
              <w:top w:val="nil"/>
            </w:tcBorders>
            <w:vAlign w:val="top"/>
          </w:tcPr>
          <w:p w14:paraId="6D825C33">
            <w:pPr>
              <w:rPr>
                <w:rFonts w:ascii="Arial"/>
                <w:sz w:val="21"/>
              </w:rPr>
            </w:pPr>
          </w:p>
        </w:tc>
        <w:tc>
          <w:tcPr>
            <w:tcW w:w="1747" w:type="dxa"/>
            <w:vAlign w:val="top"/>
          </w:tcPr>
          <w:p w14:paraId="19400B64">
            <w:pPr>
              <w:pStyle w:val="6"/>
              <w:spacing w:before="31" w:line="228" w:lineRule="auto"/>
              <w:ind w:left="144"/>
            </w:pPr>
            <w:r>
              <w:rPr>
                <w:spacing w:val="8"/>
              </w:rPr>
              <w:t>生活污水处理设</w:t>
            </w:r>
          </w:p>
          <w:p w14:paraId="295288D4">
            <w:pPr>
              <w:pStyle w:val="6"/>
              <w:spacing w:before="24" w:line="217" w:lineRule="auto"/>
              <w:ind w:left="456"/>
            </w:pPr>
            <w:r>
              <w:rPr>
                <w:spacing w:val="7"/>
              </w:rPr>
              <w:t>施排放口</w:t>
            </w:r>
          </w:p>
        </w:tc>
        <w:tc>
          <w:tcPr>
            <w:tcW w:w="4111" w:type="dxa"/>
            <w:vAlign w:val="top"/>
          </w:tcPr>
          <w:p w14:paraId="05970398">
            <w:pPr>
              <w:pStyle w:val="6"/>
              <w:spacing w:before="31" w:line="223" w:lineRule="auto"/>
              <w:ind w:left="116"/>
            </w:pPr>
            <w:r>
              <w:t>pH</w:t>
            </w:r>
            <w:r>
              <w:rPr>
                <w:spacing w:val="9"/>
              </w:rPr>
              <w:t xml:space="preserve"> 值、悬浮物、化学需氧量、氨氮、生化</w:t>
            </w:r>
          </w:p>
          <w:p w14:paraId="0B51B5B9">
            <w:pPr>
              <w:pStyle w:val="6"/>
              <w:spacing w:before="29" w:line="217" w:lineRule="auto"/>
              <w:ind w:left="1863"/>
            </w:pPr>
            <w:r>
              <w:rPr>
                <w:spacing w:val="-1"/>
              </w:rPr>
              <w:t>需氧</w:t>
            </w:r>
          </w:p>
        </w:tc>
        <w:tc>
          <w:tcPr>
            <w:tcW w:w="1634" w:type="dxa"/>
            <w:vAlign w:val="top"/>
          </w:tcPr>
          <w:p w14:paraId="7F5783E1">
            <w:pPr>
              <w:pStyle w:val="6"/>
              <w:spacing w:before="31" w:line="234" w:lineRule="auto"/>
              <w:ind w:left="613" w:right="109" w:hanging="497"/>
            </w:pPr>
            <w:r>
              <w:t>每季一次，每次</w:t>
            </w:r>
            <w:r>
              <w:rPr>
                <w:spacing w:val="2"/>
              </w:rPr>
              <w:t xml:space="preserve"> </w:t>
            </w:r>
            <w:r>
              <w:rPr>
                <w:spacing w:val="4"/>
              </w:rPr>
              <w:t>两天</w:t>
            </w:r>
          </w:p>
        </w:tc>
      </w:tr>
      <w:tr w14:paraId="0681E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7" w:type="dxa"/>
            <w:vAlign w:val="top"/>
          </w:tcPr>
          <w:p w14:paraId="6A809228">
            <w:pPr>
              <w:pStyle w:val="6"/>
              <w:spacing w:before="170" w:line="228" w:lineRule="auto"/>
              <w:ind w:left="359"/>
            </w:pPr>
            <w:r>
              <w:rPr>
                <w:spacing w:val="-1"/>
              </w:rPr>
              <w:t>噪声</w:t>
            </w:r>
          </w:p>
        </w:tc>
        <w:tc>
          <w:tcPr>
            <w:tcW w:w="1747" w:type="dxa"/>
            <w:vAlign w:val="top"/>
          </w:tcPr>
          <w:p w14:paraId="33A647D7">
            <w:pPr>
              <w:pStyle w:val="6"/>
              <w:spacing w:before="34" w:line="233" w:lineRule="auto"/>
              <w:ind w:left="646" w:right="138" w:hanging="505"/>
            </w:pPr>
            <w:r>
              <w:rPr>
                <w:spacing w:val="8"/>
              </w:rPr>
              <w:t>选矿工业场地边</w:t>
            </w:r>
            <w:r>
              <w:rPr>
                <w:spacing w:val="4"/>
              </w:rPr>
              <w:t xml:space="preserve"> </w:t>
            </w:r>
            <w:r>
              <w:rPr>
                <w:spacing w:val="-6"/>
              </w:rPr>
              <w:t>界</w:t>
            </w:r>
            <w:r>
              <w:rPr>
                <w:spacing w:val="-24"/>
              </w:rPr>
              <w:t xml:space="preserve"> </w:t>
            </w:r>
            <w:r>
              <w:rPr>
                <w:spacing w:val="-6"/>
              </w:rPr>
              <w:t>1m</w:t>
            </w:r>
          </w:p>
        </w:tc>
        <w:tc>
          <w:tcPr>
            <w:tcW w:w="4111" w:type="dxa"/>
            <w:vAlign w:val="top"/>
          </w:tcPr>
          <w:p w14:paraId="43EE18AD">
            <w:pPr>
              <w:pStyle w:val="6"/>
              <w:spacing w:before="169" w:line="228" w:lineRule="auto"/>
              <w:ind w:left="1539"/>
            </w:pPr>
            <w:r>
              <w:rPr>
                <w:spacing w:val="3"/>
              </w:rPr>
              <w:t>等效</w:t>
            </w:r>
            <w:r>
              <w:rPr>
                <w:spacing w:val="-46"/>
              </w:rPr>
              <w:t xml:space="preserve"> </w:t>
            </w:r>
            <w:r>
              <w:rPr>
                <w:spacing w:val="3"/>
              </w:rPr>
              <w:t>A</w:t>
            </w:r>
            <w:r>
              <w:rPr>
                <w:spacing w:val="-34"/>
              </w:rPr>
              <w:t xml:space="preserve"> </w:t>
            </w:r>
            <w:r>
              <w:rPr>
                <w:spacing w:val="3"/>
              </w:rPr>
              <w:t>声级</w:t>
            </w:r>
          </w:p>
        </w:tc>
        <w:tc>
          <w:tcPr>
            <w:tcW w:w="1634" w:type="dxa"/>
            <w:vAlign w:val="top"/>
          </w:tcPr>
          <w:p w14:paraId="452580E6">
            <w:pPr>
              <w:pStyle w:val="6"/>
              <w:spacing w:before="34" w:line="233" w:lineRule="auto"/>
              <w:ind w:left="613" w:right="109" w:hanging="497"/>
            </w:pPr>
            <w:r>
              <w:t>每季一次，每次</w:t>
            </w:r>
            <w:r>
              <w:rPr>
                <w:spacing w:val="2"/>
              </w:rPr>
              <w:t xml:space="preserve"> </w:t>
            </w:r>
            <w:r>
              <w:rPr>
                <w:spacing w:val="4"/>
              </w:rPr>
              <w:t>两天</w:t>
            </w:r>
          </w:p>
        </w:tc>
      </w:tr>
      <w:tr w14:paraId="07812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107" w:type="dxa"/>
            <w:vAlign w:val="top"/>
          </w:tcPr>
          <w:p w14:paraId="37F6A53F">
            <w:pPr>
              <w:spacing w:line="241" w:lineRule="auto"/>
              <w:rPr>
                <w:rFonts w:ascii="Arial"/>
                <w:sz w:val="21"/>
              </w:rPr>
            </w:pPr>
          </w:p>
          <w:p w14:paraId="3F68C669">
            <w:pPr>
              <w:pStyle w:val="6"/>
              <w:spacing w:before="65" w:line="228" w:lineRule="auto"/>
              <w:ind w:left="367"/>
            </w:pPr>
            <w:r>
              <w:rPr>
                <w:spacing w:val="-5"/>
              </w:rPr>
              <w:t>固废</w:t>
            </w:r>
          </w:p>
        </w:tc>
        <w:tc>
          <w:tcPr>
            <w:tcW w:w="1747" w:type="dxa"/>
            <w:vAlign w:val="top"/>
          </w:tcPr>
          <w:p w14:paraId="4FC6A6AF">
            <w:pPr>
              <w:rPr>
                <w:rFonts w:ascii="Arial"/>
                <w:sz w:val="21"/>
              </w:rPr>
            </w:pPr>
          </w:p>
          <w:p w14:paraId="660BB224">
            <w:pPr>
              <w:pStyle w:val="6"/>
              <w:spacing w:before="65" w:line="228" w:lineRule="auto"/>
              <w:ind w:left="371"/>
            </w:pPr>
            <w:r>
              <w:rPr>
                <w:spacing w:val="4"/>
              </w:rPr>
              <w:t>固废产生点</w:t>
            </w:r>
          </w:p>
        </w:tc>
        <w:tc>
          <w:tcPr>
            <w:tcW w:w="4111" w:type="dxa"/>
            <w:vAlign w:val="top"/>
          </w:tcPr>
          <w:p w14:paraId="640B08F1">
            <w:pPr>
              <w:pStyle w:val="6"/>
              <w:spacing w:before="33" w:line="227" w:lineRule="auto"/>
              <w:ind w:left="113"/>
            </w:pPr>
            <w:r>
              <w:rPr>
                <w:spacing w:val="8"/>
              </w:rPr>
              <w:t>调查统计尾矿、废弃包装材料、生活垃圾、</w:t>
            </w:r>
          </w:p>
          <w:p w14:paraId="509F465E">
            <w:pPr>
              <w:pStyle w:val="6"/>
              <w:spacing w:before="27" w:line="228" w:lineRule="auto"/>
              <w:ind w:left="110"/>
            </w:pPr>
            <w:r>
              <w:rPr>
                <w:spacing w:val="4"/>
              </w:rPr>
              <w:t>废油、锅炉灰渣、污泥的产生量、利用量和</w:t>
            </w:r>
          </w:p>
          <w:p w14:paraId="5E493965">
            <w:pPr>
              <w:pStyle w:val="6"/>
              <w:spacing w:before="24" w:line="218" w:lineRule="auto"/>
              <w:ind w:left="1749"/>
            </w:pPr>
            <w:r>
              <w:rPr>
                <w:spacing w:val="5"/>
              </w:rPr>
              <w:t>去向等</w:t>
            </w:r>
          </w:p>
        </w:tc>
        <w:tc>
          <w:tcPr>
            <w:tcW w:w="1634" w:type="dxa"/>
            <w:vAlign w:val="top"/>
          </w:tcPr>
          <w:p w14:paraId="28C1F1C0">
            <w:pPr>
              <w:rPr>
                <w:rFonts w:ascii="Arial"/>
                <w:sz w:val="21"/>
              </w:rPr>
            </w:pPr>
          </w:p>
          <w:p w14:paraId="7A616274">
            <w:pPr>
              <w:pStyle w:val="6"/>
              <w:spacing w:before="65" w:line="228" w:lineRule="auto"/>
              <w:ind w:left="402"/>
            </w:pPr>
            <w:r>
              <w:rPr>
                <w:spacing w:val="7"/>
              </w:rPr>
              <w:t>每季一次</w:t>
            </w:r>
          </w:p>
        </w:tc>
      </w:tr>
    </w:tbl>
    <w:p w14:paraId="6CB74F12">
      <w:pPr>
        <w:spacing w:before="36" w:line="219" w:lineRule="auto"/>
        <w:ind w:left="667"/>
        <w:rPr>
          <w:rFonts w:ascii="宋体" w:hAnsi="宋体" w:eastAsia="宋体" w:cs="宋体"/>
          <w:sz w:val="24"/>
          <w:szCs w:val="24"/>
        </w:rPr>
      </w:pPr>
      <w:r>
        <w:rPr>
          <w:rFonts w:ascii="宋体" w:hAnsi="宋体" w:eastAsia="宋体" w:cs="宋体"/>
          <w:spacing w:val="-3"/>
          <w:sz w:val="24"/>
          <w:szCs w:val="24"/>
        </w:rPr>
        <w:t>经监测，</w:t>
      </w:r>
      <w:r>
        <w:rPr>
          <w:rFonts w:ascii="宋体" w:hAnsi="宋体" w:eastAsia="宋体" w:cs="宋体"/>
          <w:spacing w:val="-64"/>
          <w:sz w:val="24"/>
          <w:szCs w:val="24"/>
        </w:rPr>
        <w:t xml:space="preserve"> </w:t>
      </w:r>
      <w:r>
        <w:rPr>
          <w:rFonts w:ascii="宋体" w:hAnsi="宋体" w:eastAsia="宋体" w:cs="宋体"/>
          <w:spacing w:val="-3"/>
          <w:sz w:val="24"/>
          <w:szCs w:val="24"/>
        </w:rPr>
        <w:t>目前企业各污染物均能满足达标排放要求。</w:t>
      </w:r>
    </w:p>
    <w:p w14:paraId="38A78CE6">
      <w:pPr>
        <w:spacing w:before="180" w:line="219" w:lineRule="auto"/>
        <w:ind w:left="669"/>
        <w:rPr>
          <w:rFonts w:ascii="宋体" w:hAnsi="宋体" w:eastAsia="宋体" w:cs="宋体"/>
          <w:sz w:val="24"/>
          <w:szCs w:val="24"/>
        </w:rPr>
      </w:pPr>
      <w:r>
        <w:rPr>
          <w:rFonts w:ascii="宋体" w:hAnsi="宋体" w:eastAsia="宋体" w:cs="宋体"/>
          <w:spacing w:val="-2"/>
          <w:sz w:val="24"/>
          <w:szCs w:val="24"/>
        </w:rPr>
        <w:t>企业至今未发生过环境事故。</w:t>
      </w:r>
    </w:p>
    <w:p w14:paraId="7A78347F">
      <w:pPr>
        <w:pStyle w:val="2"/>
        <w:spacing w:line="255" w:lineRule="auto"/>
      </w:pPr>
    </w:p>
    <w:p w14:paraId="2D117019">
      <w:pPr>
        <w:spacing w:before="91" w:line="222" w:lineRule="auto"/>
        <w:ind w:left="151"/>
        <w:outlineLvl w:val="1"/>
        <w:rPr>
          <w:rFonts w:ascii="黑体" w:hAnsi="黑体" w:eastAsia="黑体" w:cs="黑体"/>
          <w:sz w:val="28"/>
          <w:szCs w:val="28"/>
        </w:rPr>
      </w:pPr>
      <w:bookmarkStart w:id="43" w:name="bookmark39"/>
      <w:bookmarkEnd w:id="43"/>
      <w:r>
        <w:rPr>
          <w:rFonts w:ascii="Times New Roman" w:hAnsi="Times New Roman" w:eastAsia="Times New Roman" w:cs="Times New Roman"/>
          <w:b/>
          <w:bCs/>
          <w:spacing w:val="-2"/>
          <w:sz w:val="28"/>
          <w:szCs w:val="28"/>
        </w:rPr>
        <w:t xml:space="preserve">3.2 </w:t>
      </w:r>
      <w:r>
        <w:rPr>
          <w:rFonts w:ascii="黑体" w:hAnsi="黑体" w:eastAsia="黑体" w:cs="黑体"/>
          <w:b/>
          <w:bCs/>
          <w:spacing w:val="-2"/>
          <w:sz w:val="28"/>
          <w:szCs w:val="28"/>
        </w:rPr>
        <w:t>现有工程概况</w:t>
      </w:r>
    </w:p>
    <w:p w14:paraId="131B67FF">
      <w:pPr>
        <w:spacing w:before="264" w:line="368" w:lineRule="auto"/>
        <w:ind w:left="156" w:right="337" w:firstLine="480"/>
        <w:rPr>
          <w:rFonts w:ascii="宋体" w:hAnsi="宋体" w:eastAsia="宋体" w:cs="宋体"/>
          <w:sz w:val="24"/>
          <w:szCs w:val="24"/>
        </w:rPr>
      </w:pPr>
      <w:r>
        <w:rPr>
          <w:rFonts w:ascii="宋体" w:hAnsi="宋体" w:eastAsia="宋体" w:cs="宋体"/>
          <w:spacing w:val="-1"/>
          <w:sz w:val="24"/>
          <w:szCs w:val="24"/>
        </w:rPr>
        <w:t>本项目现有工程包括采矿场地、1400t/d</w:t>
      </w:r>
      <w:r>
        <w:rPr>
          <w:rFonts w:ascii="宋体" w:hAnsi="宋体" w:eastAsia="宋体" w:cs="宋体"/>
          <w:spacing w:val="-39"/>
          <w:sz w:val="24"/>
          <w:szCs w:val="24"/>
        </w:rPr>
        <w:t xml:space="preserve"> </w:t>
      </w:r>
      <w:r>
        <w:rPr>
          <w:rFonts w:ascii="宋体" w:hAnsi="宋体" w:eastAsia="宋体" w:cs="宋体"/>
          <w:spacing w:val="-1"/>
          <w:sz w:val="24"/>
          <w:szCs w:val="24"/>
        </w:rPr>
        <w:t>选矿车间和</w:t>
      </w:r>
      <w:r>
        <w:rPr>
          <w:rFonts w:ascii="宋体" w:hAnsi="宋体" w:eastAsia="宋体" w:cs="宋体"/>
          <w:spacing w:val="-45"/>
          <w:sz w:val="24"/>
          <w:szCs w:val="24"/>
        </w:rPr>
        <w:t xml:space="preserve"> </w:t>
      </w:r>
      <w:r>
        <w:rPr>
          <w:rFonts w:ascii="宋体" w:hAnsi="宋体" w:eastAsia="宋体" w:cs="宋体"/>
          <w:spacing w:val="-1"/>
          <w:sz w:val="24"/>
          <w:szCs w:val="24"/>
        </w:rPr>
        <w:t>2000t/d</w:t>
      </w:r>
      <w:r>
        <w:rPr>
          <w:rFonts w:ascii="宋体" w:hAnsi="宋体" w:eastAsia="宋体" w:cs="宋体"/>
          <w:spacing w:val="-50"/>
          <w:sz w:val="24"/>
          <w:szCs w:val="24"/>
        </w:rPr>
        <w:t xml:space="preserve"> </w:t>
      </w:r>
      <w:r>
        <w:rPr>
          <w:rFonts w:ascii="宋体" w:hAnsi="宋体" w:eastAsia="宋体" w:cs="宋体"/>
          <w:spacing w:val="-1"/>
          <w:sz w:val="24"/>
          <w:szCs w:val="24"/>
        </w:rPr>
        <w:t>选矿车间、</w:t>
      </w:r>
      <w:r>
        <w:rPr>
          <w:rFonts w:ascii="宋体" w:hAnsi="宋体" w:eastAsia="宋体" w:cs="宋体"/>
          <w:sz w:val="24"/>
          <w:szCs w:val="24"/>
        </w:rPr>
        <w:t xml:space="preserve"> </w:t>
      </w:r>
      <w:r>
        <w:rPr>
          <w:rFonts w:ascii="宋体" w:hAnsi="宋体" w:eastAsia="宋体" w:cs="宋体"/>
          <w:spacing w:val="-3"/>
          <w:sz w:val="24"/>
          <w:szCs w:val="24"/>
        </w:rPr>
        <w:t>尾矿库。</w:t>
      </w:r>
    </w:p>
    <w:p w14:paraId="12B009C1">
      <w:pPr>
        <w:spacing w:before="2" w:line="368" w:lineRule="auto"/>
        <w:ind w:left="159" w:right="297" w:firstLine="484"/>
        <w:jc w:val="both"/>
        <w:rPr>
          <w:rFonts w:ascii="宋体" w:hAnsi="宋体" w:eastAsia="宋体" w:cs="宋体"/>
          <w:sz w:val="24"/>
          <w:szCs w:val="24"/>
        </w:rPr>
      </w:pPr>
      <w:r>
        <w:rPr>
          <w:rFonts w:ascii="宋体" w:hAnsi="宋体" w:eastAsia="宋体" w:cs="宋体"/>
          <w:spacing w:val="-6"/>
          <w:sz w:val="24"/>
          <w:szCs w:val="24"/>
        </w:rPr>
        <w:t>公司现有采矿工程年产</w:t>
      </w:r>
      <w:r>
        <w:rPr>
          <w:rFonts w:ascii="宋体" w:hAnsi="宋体" w:eastAsia="宋体" w:cs="宋体"/>
          <w:spacing w:val="-41"/>
          <w:sz w:val="24"/>
          <w:szCs w:val="24"/>
        </w:rPr>
        <w:t xml:space="preserve"> </w:t>
      </w:r>
      <w:r>
        <w:rPr>
          <w:rFonts w:ascii="宋体" w:hAnsi="宋体" w:eastAsia="宋体" w:cs="宋体"/>
          <w:spacing w:val="-6"/>
          <w:sz w:val="24"/>
          <w:szCs w:val="24"/>
        </w:rPr>
        <w:t>72</w:t>
      </w:r>
      <w:r>
        <w:rPr>
          <w:rFonts w:ascii="宋体" w:hAnsi="宋体" w:eastAsia="宋体" w:cs="宋体"/>
          <w:spacing w:val="-45"/>
          <w:sz w:val="24"/>
          <w:szCs w:val="24"/>
        </w:rPr>
        <w:t xml:space="preserve"> </w:t>
      </w:r>
      <w:r>
        <w:rPr>
          <w:rFonts w:ascii="宋体" w:hAnsi="宋体" w:eastAsia="宋体" w:cs="宋体"/>
          <w:spacing w:val="-6"/>
          <w:sz w:val="24"/>
          <w:szCs w:val="24"/>
        </w:rPr>
        <w:t>万</w:t>
      </w:r>
      <w:r>
        <w:rPr>
          <w:rFonts w:ascii="宋体" w:hAnsi="宋体" w:eastAsia="宋体" w:cs="宋体"/>
          <w:spacing w:val="-45"/>
          <w:sz w:val="24"/>
          <w:szCs w:val="24"/>
        </w:rPr>
        <w:t xml:space="preserve"> </w:t>
      </w:r>
      <w:r>
        <w:rPr>
          <w:rFonts w:ascii="宋体" w:hAnsi="宋体" w:eastAsia="宋体" w:cs="宋体"/>
          <w:spacing w:val="-6"/>
          <w:sz w:val="24"/>
          <w:szCs w:val="24"/>
        </w:rPr>
        <w:t>t</w:t>
      </w:r>
      <w:r>
        <w:rPr>
          <w:rFonts w:ascii="宋体" w:hAnsi="宋体" w:eastAsia="宋体" w:cs="宋体"/>
          <w:spacing w:val="-49"/>
          <w:sz w:val="24"/>
          <w:szCs w:val="24"/>
        </w:rPr>
        <w:t xml:space="preserve"> </w:t>
      </w:r>
      <w:r>
        <w:rPr>
          <w:rFonts w:ascii="宋体" w:hAnsi="宋体" w:eastAsia="宋体" w:cs="宋体"/>
          <w:spacing w:val="-6"/>
          <w:sz w:val="24"/>
          <w:szCs w:val="24"/>
        </w:rPr>
        <w:t>银铅锌矿石。开采方式为地下开采，开拓系</w:t>
      </w:r>
      <w:r>
        <w:rPr>
          <w:rFonts w:ascii="宋体" w:hAnsi="宋体" w:eastAsia="宋体" w:cs="宋体"/>
          <w:sz w:val="24"/>
          <w:szCs w:val="24"/>
        </w:rPr>
        <w:t xml:space="preserve"> 统采用竖井开拓系统，采矿方法主要有：浅孔</w:t>
      </w:r>
      <w:r>
        <w:rPr>
          <w:rFonts w:ascii="宋体" w:hAnsi="宋体" w:eastAsia="宋体" w:cs="宋体"/>
          <w:spacing w:val="-1"/>
          <w:sz w:val="24"/>
          <w:szCs w:val="24"/>
        </w:rPr>
        <w:t>留矿采矿法、下向深孔空场嗣后</w:t>
      </w:r>
      <w:r>
        <w:rPr>
          <w:rFonts w:ascii="宋体" w:hAnsi="宋体" w:eastAsia="宋体" w:cs="宋体"/>
          <w:sz w:val="24"/>
          <w:szCs w:val="24"/>
        </w:rPr>
        <w:t xml:space="preserve"> 充填采矿法、水平深孔空场嗣后充填采矿法</w:t>
      </w:r>
      <w:r>
        <w:rPr>
          <w:rFonts w:ascii="宋体" w:hAnsi="宋体" w:eastAsia="宋体" w:cs="宋体"/>
          <w:spacing w:val="-1"/>
          <w:sz w:val="24"/>
          <w:szCs w:val="24"/>
        </w:rPr>
        <w:t>以及上向水平分层充填采矿法。</w:t>
      </w:r>
    </w:p>
    <w:p w14:paraId="557E520F">
      <w:pPr>
        <w:spacing w:before="3" w:line="363" w:lineRule="auto"/>
        <w:ind w:left="157" w:right="217" w:firstLine="486"/>
        <w:jc w:val="both"/>
        <w:rPr>
          <w:rFonts w:ascii="宋体" w:hAnsi="宋体" w:eastAsia="宋体" w:cs="宋体"/>
          <w:sz w:val="24"/>
          <w:szCs w:val="24"/>
        </w:rPr>
      </w:pPr>
      <w:r>
        <w:rPr>
          <w:rFonts w:ascii="宋体" w:hAnsi="宋体" w:eastAsia="宋体" w:cs="宋体"/>
          <w:spacing w:val="-1"/>
          <w:sz w:val="24"/>
          <w:szCs w:val="24"/>
        </w:rPr>
        <w:t>公司现有两个选矿车间，分别为</w:t>
      </w:r>
      <w:r>
        <w:rPr>
          <w:rFonts w:ascii="宋体" w:hAnsi="宋体" w:eastAsia="宋体" w:cs="宋体"/>
          <w:spacing w:val="-33"/>
          <w:sz w:val="24"/>
          <w:szCs w:val="24"/>
        </w:rPr>
        <w:t xml:space="preserve"> </w:t>
      </w:r>
      <w:r>
        <w:rPr>
          <w:rFonts w:ascii="宋体" w:hAnsi="宋体" w:eastAsia="宋体" w:cs="宋体"/>
          <w:spacing w:val="-1"/>
          <w:sz w:val="24"/>
          <w:szCs w:val="24"/>
        </w:rPr>
        <w:t>1400t/d</w:t>
      </w:r>
      <w:r>
        <w:rPr>
          <w:rFonts w:ascii="宋体" w:hAnsi="宋体" w:eastAsia="宋体" w:cs="宋体"/>
          <w:spacing w:val="-52"/>
          <w:sz w:val="24"/>
          <w:szCs w:val="24"/>
        </w:rPr>
        <w:t xml:space="preserve"> </w:t>
      </w:r>
      <w:r>
        <w:rPr>
          <w:rFonts w:ascii="宋体" w:hAnsi="宋体" w:eastAsia="宋体" w:cs="宋体"/>
          <w:spacing w:val="-1"/>
          <w:sz w:val="24"/>
          <w:szCs w:val="24"/>
        </w:rPr>
        <w:t>选矿车间和</w:t>
      </w:r>
      <w:r>
        <w:rPr>
          <w:rFonts w:ascii="宋体" w:hAnsi="宋体" w:eastAsia="宋体" w:cs="宋体"/>
          <w:spacing w:val="-48"/>
          <w:sz w:val="24"/>
          <w:szCs w:val="24"/>
        </w:rPr>
        <w:t xml:space="preserve"> </w:t>
      </w:r>
      <w:r>
        <w:rPr>
          <w:rFonts w:ascii="宋体" w:hAnsi="宋体" w:eastAsia="宋体" w:cs="宋体"/>
          <w:spacing w:val="-1"/>
          <w:sz w:val="24"/>
          <w:szCs w:val="24"/>
        </w:rPr>
        <w:t>2000t</w:t>
      </w:r>
      <w:r>
        <w:rPr>
          <w:rFonts w:ascii="宋体" w:hAnsi="宋体" w:eastAsia="宋体" w:cs="宋体"/>
          <w:spacing w:val="-2"/>
          <w:sz w:val="24"/>
          <w:szCs w:val="24"/>
        </w:rPr>
        <w:t>/d</w:t>
      </w:r>
      <w:r>
        <w:rPr>
          <w:rFonts w:ascii="宋体" w:hAnsi="宋体" w:eastAsia="宋体" w:cs="宋体"/>
          <w:spacing w:val="-51"/>
          <w:sz w:val="24"/>
          <w:szCs w:val="24"/>
        </w:rPr>
        <w:t xml:space="preserve"> </w:t>
      </w:r>
      <w:r>
        <w:rPr>
          <w:rFonts w:ascii="宋体" w:hAnsi="宋体" w:eastAsia="宋体" w:cs="宋体"/>
          <w:spacing w:val="-2"/>
          <w:sz w:val="24"/>
          <w:szCs w:val="24"/>
        </w:rPr>
        <w:t>选矿车间，</w:t>
      </w:r>
      <w:r>
        <w:rPr>
          <w:rFonts w:ascii="宋体" w:hAnsi="宋体" w:eastAsia="宋体" w:cs="宋体"/>
          <w:sz w:val="24"/>
          <w:szCs w:val="24"/>
        </w:rPr>
        <w:t xml:space="preserve"> 年均原矿处理量为</w:t>
      </w:r>
      <w:r>
        <w:rPr>
          <w:rFonts w:ascii="宋体" w:hAnsi="宋体" w:eastAsia="宋体" w:cs="宋体"/>
          <w:spacing w:val="-34"/>
          <w:sz w:val="24"/>
          <w:szCs w:val="24"/>
        </w:rPr>
        <w:t xml:space="preserve"> </w:t>
      </w:r>
      <w:r>
        <w:rPr>
          <w:rFonts w:ascii="宋体" w:hAnsi="宋体" w:eastAsia="宋体" w:cs="宋体"/>
          <w:sz w:val="24"/>
          <w:szCs w:val="24"/>
        </w:rPr>
        <w:t>72×10</w:t>
      </w:r>
      <w:r>
        <w:rPr>
          <w:rFonts w:ascii="宋体" w:hAnsi="宋体" w:eastAsia="宋体" w:cs="宋体"/>
          <w:position w:val="12"/>
          <w:sz w:val="12"/>
          <w:szCs w:val="12"/>
        </w:rPr>
        <w:t>4</w:t>
      </w:r>
      <w:r>
        <w:rPr>
          <w:rFonts w:ascii="宋体" w:hAnsi="宋体" w:eastAsia="宋体" w:cs="宋体"/>
          <w:sz w:val="24"/>
          <w:szCs w:val="24"/>
        </w:rPr>
        <w:t>t，尾矿产率约</w:t>
      </w:r>
      <w:r>
        <w:rPr>
          <w:rFonts w:ascii="宋体" w:hAnsi="宋体" w:eastAsia="宋体" w:cs="宋体"/>
          <w:spacing w:val="-45"/>
          <w:sz w:val="24"/>
          <w:szCs w:val="24"/>
        </w:rPr>
        <w:t xml:space="preserve"> </w:t>
      </w:r>
      <w:r>
        <w:rPr>
          <w:rFonts w:ascii="宋体" w:hAnsi="宋体" w:eastAsia="宋体" w:cs="宋体"/>
          <w:sz w:val="24"/>
          <w:szCs w:val="24"/>
        </w:rPr>
        <w:t>90%，产生尾矿量</w:t>
      </w:r>
      <w:r>
        <w:rPr>
          <w:rFonts w:ascii="宋体" w:hAnsi="宋体" w:eastAsia="宋体" w:cs="宋体"/>
          <w:spacing w:val="-41"/>
          <w:sz w:val="24"/>
          <w:szCs w:val="24"/>
        </w:rPr>
        <w:t xml:space="preserve"> </w:t>
      </w:r>
      <w:r>
        <w:rPr>
          <w:rFonts w:ascii="宋体" w:hAnsi="宋体" w:eastAsia="宋体" w:cs="宋体"/>
          <w:sz w:val="24"/>
          <w:szCs w:val="24"/>
        </w:rPr>
        <w:t>3060t/d（64.8</w:t>
      </w:r>
      <w:r>
        <w:rPr>
          <w:rFonts w:ascii="宋体" w:hAnsi="宋体" w:eastAsia="宋体" w:cs="宋体"/>
          <w:spacing w:val="-72"/>
          <w:sz w:val="24"/>
          <w:szCs w:val="24"/>
        </w:rPr>
        <w:t xml:space="preserve"> </w:t>
      </w:r>
      <w:r>
        <w:rPr>
          <w:rFonts w:ascii="宋体" w:hAnsi="宋体" w:eastAsia="宋体" w:cs="宋体"/>
          <w:sz w:val="24"/>
          <w:szCs w:val="24"/>
        </w:rPr>
        <w:t xml:space="preserve">× </w:t>
      </w:r>
      <w:r>
        <w:rPr>
          <w:rFonts w:ascii="宋体" w:hAnsi="宋体" w:eastAsia="宋体" w:cs="宋体"/>
          <w:spacing w:val="-2"/>
          <w:sz w:val="24"/>
          <w:szCs w:val="24"/>
        </w:rPr>
        <w:t>10</w:t>
      </w:r>
      <w:r>
        <w:rPr>
          <w:rFonts w:ascii="宋体" w:hAnsi="宋体" w:eastAsia="宋体" w:cs="宋体"/>
          <w:spacing w:val="-2"/>
          <w:position w:val="11"/>
          <w:sz w:val="12"/>
          <w:szCs w:val="12"/>
        </w:rPr>
        <w:t>4</w:t>
      </w:r>
      <w:r>
        <w:rPr>
          <w:rFonts w:ascii="宋体" w:hAnsi="宋体" w:eastAsia="宋体" w:cs="宋体"/>
          <w:spacing w:val="-2"/>
          <w:sz w:val="24"/>
          <w:szCs w:val="24"/>
        </w:rPr>
        <w:t>t/a</w:t>
      </w:r>
      <w:r>
        <w:rPr>
          <w:rFonts w:ascii="宋体" w:hAnsi="宋体" w:eastAsia="宋体" w:cs="宋体"/>
          <w:spacing w:val="5"/>
          <w:sz w:val="24"/>
          <w:szCs w:val="24"/>
        </w:rPr>
        <w:t>），</w:t>
      </w:r>
      <w:r>
        <w:rPr>
          <w:rFonts w:ascii="宋体" w:hAnsi="宋体" w:eastAsia="宋体" w:cs="宋体"/>
          <w:spacing w:val="-2"/>
          <w:sz w:val="24"/>
          <w:szCs w:val="24"/>
        </w:rPr>
        <w:t>其中有</w:t>
      </w:r>
      <w:r>
        <w:rPr>
          <w:rFonts w:ascii="宋体" w:hAnsi="宋体" w:eastAsia="宋体" w:cs="宋体"/>
          <w:spacing w:val="-46"/>
          <w:sz w:val="24"/>
          <w:szCs w:val="24"/>
        </w:rPr>
        <w:t xml:space="preserve"> </w:t>
      </w:r>
      <w:r>
        <w:rPr>
          <w:rFonts w:ascii="宋体" w:hAnsi="宋体" w:eastAsia="宋体" w:cs="宋体"/>
          <w:spacing w:val="-2"/>
          <w:sz w:val="24"/>
          <w:szCs w:val="24"/>
        </w:rPr>
        <w:t>35%的尾砂进入充填站填补采空区，剩余尾矿在尾矿库贮</w:t>
      </w:r>
      <w:r>
        <w:rPr>
          <w:rFonts w:ascii="宋体" w:hAnsi="宋体" w:eastAsia="宋体" w:cs="宋体"/>
          <w:spacing w:val="-3"/>
          <w:sz w:val="24"/>
          <w:szCs w:val="24"/>
        </w:rPr>
        <w:t>存。</w:t>
      </w:r>
    </w:p>
    <w:p w14:paraId="0ED55C4A">
      <w:pPr>
        <w:spacing w:before="12" w:line="368" w:lineRule="auto"/>
        <w:ind w:left="155" w:right="277" w:firstLine="488"/>
        <w:jc w:val="both"/>
        <w:rPr>
          <w:rFonts w:ascii="宋体" w:hAnsi="宋体" w:eastAsia="宋体" w:cs="宋体"/>
          <w:sz w:val="24"/>
          <w:szCs w:val="24"/>
        </w:rPr>
      </w:pPr>
      <w:r>
        <w:rPr>
          <w:rFonts w:ascii="宋体" w:hAnsi="宋体" w:eastAsia="宋体" w:cs="宋体"/>
          <w:spacing w:val="-5"/>
          <w:sz w:val="24"/>
          <w:szCs w:val="24"/>
        </w:rPr>
        <w:t>公司现有尾矿库</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pacing w:val="-48"/>
          <w:sz w:val="24"/>
          <w:szCs w:val="24"/>
        </w:rPr>
        <w:t xml:space="preserve"> </w:t>
      </w:r>
      <w:r>
        <w:rPr>
          <w:rFonts w:ascii="宋体" w:hAnsi="宋体" w:eastAsia="宋体" w:cs="宋体"/>
          <w:spacing w:val="-5"/>
          <w:sz w:val="24"/>
          <w:szCs w:val="24"/>
        </w:rPr>
        <w:t>座，该尾矿库于</w:t>
      </w:r>
      <w:r>
        <w:rPr>
          <w:rFonts w:ascii="宋体" w:hAnsi="宋体" w:eastAsia="宋体" w:cs="宋体"/>
          <w:spacing w:val="-48"/>
          <w:sz w:val="24"/>
          <w:szCs w:val="24"/>
        </w:rPr>
        <w:t xml:space="preserve"> </w:t>
      </w:r>
      <w:r>
        <w:rPr>
          <w:rFonts w:ascii="宋体" w:hAnsi="宋体" w:eastAsia="宋体" w:cs="宋体"/>
          <w:spacing w:val="-5"/>
          <w:sz w:val="24"/>
          <w:szCs w:val="24"/>
        </w:rPr>
        <w:t>2014</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33"/>
          <w:sz w:val="24"/>
          <w:szCs w:val="24"/>
        </w:rPr>
        <w:t xml:space="preserve"> </w:t>
      </w:r>
      <w:r>
        <w:rPr>
          <w:rFonts w:ascii="宋体" w:hAnsi="宋体" w:eastAsia="宋体" w:cs="宋体"/>
          <w:spacing w:val="-5"/>
          <w:sz w:val="24"/>
          <w:szCs w:val="24"/>
        </w:rPr>
        <w:t>12</w:t>
      </w:r>
      <w:r>
        <w:rPr>
          <w:rFonts w:ascii="宋体" w:hAnsi="宋体" w:eastAsia="宋体" w:cs="宋体"/>
          <w:spacing w:val="-45"/>
          <w:sz w:val="24"/>
          <w:szCs w:val="24"/>
        </w:rPr>
        <w:t xml:space="preserve"> </w:t>
      </w:r>
      <w:r>
        <w:rPr>
          <w:rFonts w:ascii="宋体" w:hAnsi="宋体" w:eastAsia="宋体" w:cs="宋体"/>
          <w:spacing w:val="-5"/>
          <w:sz w:val="24"/>
          <w:szCs w:val="24"/>
        </w:rPr>
        <w:t>月正</w:t>
      </w:r>
      <w:r>
        <w:rPr>
          <w:rFonts w:ascii="宋体" w:hAnsi="宋体" w:eastAsia="宋体" w:cs="宋体"/>
          <w:spacing w:val="-6"/>
          <w:sz w:val="24"/>
          <w:szCs w:val="24"/>
        </w:rPr>
        <w:t>式投入使用，2018</w:t>
      </w:r>
      <w:r>
        <w:rPr>
          <w:rFonts w:ascii="宋体" w:hAnsi="宋体" w:eastAsia="宋体" w:cs="宋体"/>
          <w:spacing w:val="-49"/>
          <w:sz w:val="24"/>
          <w:szCs w:val="24"/>
        </w:rPr>
        <w:t xml:space="preserve"> </w:t>
      </w:r>
      <w:r>
        <w:rPr>
          <w:rFonts w:ascii="宋体" w:hAnsi="宋体" w:eastAsia="宋体" w:cs="宋体"/>
          <w:spacing w:val="-6"/>
          <w:sz w:val="24"/>
          <w:szCs w:val="24"/>
        </w:rPr>
        <w:t>年对</w:t>
      </w:r>
      <w:r>
        <w:rPr>
          <w:rFonts w:ascii="宋体" w:hAnsi="宋体" w:eastAsia="宋体" w:cs="宋体"/>
          <w:sz w:val="24"/>
          <w:szCs w:val="24"/>
        </w:rPr>
        <w:t xml:space="preserve"> 其进行加高扩容，在现状尾矿坝库区边界东、北、南三</w:t>
      </w:r>
      <w:r>
        <w:rPr>
          <w:rFonts w:ascii="宋体" w:hAnsi="宋体" w:eastAsia="宋体" w:cs="宋体"/>
          <w:spacing w:val="-1"/>
          <w:sz w:val="24"/>
          <w:szCs w:val="24"/>
        </w:rPr>
        <w:t>个方向进行外扩，并在</w:t>
      </w:r>
      <w:r>
        <w:rPr>
          <w:rFonts w:ascii="宋体" w:hAnsi="宋体" w:eastAsia="宋体" w:cs="宋体"/>
          <w:sz w:val="24"/>
          <w:szCs w:val="24"/>
        </w:rPr>
        <w:t xml:space="preserve"> 库区南面和东面建设</w:t>
      </w:r>
      <w:r>
        <w:rPr>
          <w:rFonts w:ascii="宋体" w:hAnsi="宋体" w:eastAsia="宋体" w:cs="宋体"/>
          <w:spacing w:val="-33"/>
          <w:sz w:val="24"/>
          <w:szCs w:val="24"/>
        </w:rPr>
        <w:t xml:space="preserve"> </w:t>
      </w:r>
      <w:r>
        <w:rPr>
          <w:rFonts w:ascii="宋体" w:hAnsi="宋体" w:eastAsia="宋体" w:cs="宋体"/>
          <w:sz w:val="24"/>
          <w:szCs w:val="24"/>
        </w:rPr>
        <w:t>1</w:t>
      </w:r>
      <w:r>
        <w:rPr>
          <w:rFonts w:ascii="宋体" w:hAnsi="宋体" w:eastAsia="宋体" w:cs="宋体"/>
          <w:spacing w:val="-43"/>
          <w:sz w:val="24"/>
          <w:szCs w:val="24"/>
        </w:rPr>
        <w:t xml:space="preserve"> </w:t>
      </w:r>
      <w:r>
        <w:rPr>
          <w:rFonts w:ascii="宋体" w:hAnsi="宋体" w:eastAsia="宋体" w:cs="宋体"/>
          <w:sz w:val="24"/>
          <w:szCs w:val="24"/>
        </w:rPr>
        <w:t>号、2</w:t>
      </w:r>
      <w:r>
        <w:rPr>
          <w:rFonts w:ascii="宋体" w:hAnsi="宋体" w:eastAsia="宋体" w:cs="宋体"/>
          <w:spacing w:val="-42"/>
          <w:sz w:val="24"/>
          <w:szCs w:val="24"/>
        </w:rPr>
        <w:t xml:space="preserve"> </w:t>
      </w:r>
      <w:r>
        <w:rPr>
          <w:rFonts w:ascii="宋体" w:hAnsi="宋体" w:eastAsia="宋体" w:cs="宋体"/>
          <w:sz w:val="24"/>
          <w:szCs w:val="24"/>
        </w:rPr>
        <w:t>号副坝。尾矿坝采用</w:t>
      </w:r>
      <w:r>
        <w:rPr>
          <w:rFonts w:ascii="宋体" w:hAnsi="宋体" w:eastAsia="宋体" w:cs="宋体"/>
          <w:spacing w:val="-1"/>
          <w:sz w:val="24"/>
          <w:szCs w:val="24"/>
        </w:rPr>
        <w:t>坡洪积土一次筑坝，分三期</w:t>
      </w:r>
      <w:r>
        <w:rPr>
          <w:rFonts w:ascii="宋体" w:hAnsi="宋体" w:eastAsia="宋体" w:cs="宋体"/>
          <w:sz w:val="24"/>
          <w:szCs w:val="24"/>
        </w:rPr>
        <w:t xml:space="preserve"> </w:t>
      </w:r>
      <w:r>
        <w:rPr>
          <w:rFonts w:ascii="宋体" w:hAnsi="宋体" w:eastAsia="宋体" w:cs="宋体"/>
          <w:spacing w:val="-2"/>
          <w:sz w:val="24"/>
          <w:szCs w:val="24"/>
        </w:rPr>
        <w:t>建设，一期坝顶加高至</w:t>
      </w:r>
      <w:r>
        <w:rPr>
          <w:rFonts w:ascii="宋体" w:hAnsi="宋体" w:eastAsia="宋体" w:cs="宋体"/>
          <w:spacing w:val="-42"/>
          <w:sz w:val="24"/>
          <w:szCs w:val="24"/>
        </w:rPr>
        <w:t xml:space="preserve"> </w:t>
      </w:r>
      <w:r>
        <w:rPr>
          <w:rFonts w:ascii="宋体" w:hAnsi="宋体" w:eastAsia="宋体" w:cs="宋体"/>
          <w:spacing w:val="-2"/>
          <w:sz w:val="24"/>
          <w:szCs w:val="24"/>
        </w:rPr>
        <w:t>981.00m，二期加高至</w:t>
      </w:r>
      <w:r>
        <w:rPr>
          <w:rFonts w:ascii="宋体" w:hAnsi="宋体" w:eastAsia="宋体" w:cs="宋体"/>
          <w:spacing w:val="-50"/>
          <w:sz w:val="24"/>
          <w:szCs w:val="24"/>
        </w:rPr>
        <w:t xml:space="preserve"> </w:t>
      </w:r>
      <w:r>
        <w:rPr>
          <w:rFonts w:ascii="宋体" w:hAnsi="宋体" w:eastAsia="宋体" w:cs="宋体"/>
          <w:spacing w:val="-2"/>
          <w:sz w:val="24"/>
          <w:szCs w:val="24"/>
        </w:rPr>
        <w:t>985.00m，三期加高至</w:t>
      </w:r>
      <w:r>
        <w:rPr>
          <w:rFonts w:ascii="宋体" w:hAnsi="宋体" w:eastAsia="宋体" w:cs="宋体"/>
          <w:spacing w:val="-50"/>
          <w:sz w:val="24"/>
          <w:szCs w:val="24"/>
        </w:rPr>
        <w:t xml:space="preserve"> </w:t>
      </w:r>
      <w:r>
        <w:rPr>
          <w:rFonts w:ascii="宋体" w:hAnsi="宋体" w:eastAsia="宋体" w:cs="宋体"/>
          <w:spacing w:val="-2"/>
          <w:sz w:val="24"/>
          <w:szCs w:val="24"/>
        </w:rPr>
        <w:t>989.00m。</w:t>
      </w:r>
      <w:r>
        <w:rPr>
          <w:rFonts w:ascii="宋体" w:hAnsi="宋体" w:eastAsia="宋体" w:cs="宋体"/>
          <w:sz w:val="24"/>
          <w:szCs w:val="24"/>
        </w:rPr>
        <w:t xml:space="preserve"> </w:t>
      </w:r>
      <w:r>
        <w:rPr>
          <w:rFonts w:ascii="宋体" w:hAnsi="宋体" w:eastAsia="宋体" w:cs="宋体"/>
          <w:spacing w:val="-3"/>
          <w:sz w:val="24"/>
          <w:szCs w:val="24"/>
        </w:rPr>
        <w:t>坝体上游坡比</w:t>
      </w:r>
      <w:r>
        <w:rPr>
          <w:rFonts w:ascii="宋体" w:hAnsi="宋体" w:eastAsia="宋体" w:cs="宋体"/>
          <w:spacing w:val="-25"/>
          <w:sz w:val="24"/>
          <w:szCs w:val="24"/>
        </w:rPr>
        <w:t xml:space="preserve"> </w:t>
      </w:r>
      <w:r>
        <w:rPr>
          <w:rFonts w:ascii="宋体" w:hAnsi="宋体" w:eastAsia="宋体" w:cs="宋体"/>
          <w:spacing w:val="-3"/>
          <w:sz w:val="24"/>
          <w:szCs w:val="24"/>
        </w:rPr>
        <w:t>1:2.0，下游坡比</w:t>
      </w:r>
      <w:r>
        <w:rPr>
          <w:rFonts w:ascii="宋体" w:hAnsi="宋体" w:eastAsia="宋体" w:cs="宋体"/>
          <w:spacing w:val="-33"/>
          <w:sz w:val="24"/>
          <w:szCs w:val="24"/>
        </w:rPr>
        <w:t xml:space="preserve"> </w:t>
      </w:r>
      <w:r>
        <w:rPr>
          <w:rFonts w:ascii="宋体" w:hAnsi="宋体" w:eastAsia="宋体" w:cs="宋体"/>
          <w:spacing w:val="-3"/>
          <w:sz w:val="24"/>
          <w:szCs w:val="24"/>
        </w:rPr>
        <w:t>1:2.5，下游在</w:t>
      </w:r>
      <w:r>
        <w:rPr>
          <w:rFonts w:ascii="宋体" w:hAnsi="宋体" w:eastAsia="宋体" w:cs="宋体"/>
          <w:spacing w:val="-50"/>
          <w:sz w:val="24"/>
          <w:szCs w:val="24"/>
        </w:rPr>
        <w:t xml:space="preserve"> </w:t>
      </w:r>
      <w:r>
        <w:rPr>
          <w:rFonts w:ascii="宋体" w:hAnsi="宋体" w:eastAsia="宋体" w:cs="宋体"/>
          <w:spacing w:val="-3"/>
          <w:sz w:val="24"/>
          <w:szCs w:val="24"/>
        </w:rPr>
        <w:t>979.00m</w:t>
      </w:r>
      <w:r>
        <w:rPr>
          <w:rFonts w:ascii="宋体" w:hAnsi="宋体" w:eastAsia="宋体" w:cs="宋体"/>
          <w:spacing w:val="-50"/>
          <w:sz w:val="24"/>
          <w:szCs w:val="24"/>
        </w:rPr>
        <w:t xml:space="preserve"> </w:t>
      </w:r>
      <w:r>
        <w:rPr>
          <w:rFonts w:ascii="宋体" w:hAnsi="宋体" w:eastAsia="宋体" w:cs="宋体"/>
          <w:spacing w:val="-3"/>
          <w:sz w:val="24"/>
          <w:szCs w:val="24"/>
        </w:rPr>
        <w:t>标高设</w:t>
      </w:r>
      <w:r>
        <w:rPr>
          <w:rFonts w:ascii="宋体" w:hAnsi="宋体" w:eastAsia="宋体" w:cs="宋体"/>
          <w:spacing w:val="-48"/>
          <w:sz w:val="24"/>
          <w:szCs w:val="24"/>
        </w:rPr>
        <w:t xml:space="preserve"> </w:t>
      </w:r>
      <w:r>
        <w:rPr>
          <w:rFonts w:ascii="宋体" w:hAnsi="宋体" w:eastAsia="宋体" w:cs="宋体"/>
          <w:spacing w:val="-3"/>
          <w:sz w:val="24"/>
          <w:szCs w:val="24"/>
        </w:rPr>
        <w:t>2m</w:t>
      </w:r>
      <w:r>
        <w:rPr>
          <w:rFonts w:ascii="宋体" w:hAnsi="宋体" w:eastAsia="宋体" w:cs="宋体"/>
          <w:spacing w:val="-38"/>
          <w:sz w:val="24"/>
          <w:szCs w:val="24"/>
        </w:rPr>
        <w:t xml:space="preserve"> </w:t>
      </w:r>
      <w:r>
        <w:rPr>
          <w:rFonts w:ascii="宋体" w:hAnsi="宋体" w:eastAsia="宋体" w:cs="宋体"/>
          <w:spacing w:val="-3"/>
          <w:sz w:val="24"/>
          <w:szCs w:val="24"/>
        </w:rPr>
        <w:t>宽马道。总</w:t>
      </w:r>
      <w:r>
        <w:rPr>
          <w:rFonts w:ascii="宋体" w:hAnsi="宋体" w:eastAsia="宋体" w:cs="宋体"/>
          <w:sz w:val="24"/>
          <w:szCs w:val="24"/>
        </w:rPr>
        <w:t xml:space="preserve"> </w:t>
      </w:r>
      <w:r>
        <w:rPr>
          <w:rFonts w:ascii="宋体" w:hAnsi="宋体" w:eastAsia="宋体" w:cs="宋体"/>
          <w:spacing w:val="-2"/>
          <w:sz w:val="24"/>
          <w:szCs w:val="24"/>
        </w:rPr>
        <w:t>坝高为</w:t>
      </w:r>
      <w:r>
        <w:rPr>
          <w:rFonts w:ascii="宋体" w:hAnsi="宋体" w:eastAsia="宋体" w:cs="宋体"/>
          <w:spacing w:val="-30"/>
          <w:sz w:val="24"/>
          <w:szCs w:val="24"/>
        </w:rPr>
        <w:t xml:space="preserve"> </w:t>
      </w:r>
      <w:r>
        <w:rPr>
          <w:rFonts w:ascii="宋体" w:hAnsi="宋体" w:eastAsia="宋体" w:cs="宋体"/>
          <w:spacing w:val="-2"/>
          <w:sz w:val="24"/>
          <w:szCs w:val="24"/>
        </w:rPr>
        <w:t>19.5m，总有效库容为</w:t>
      </w:r>
      <w:r>
        <w:rPr>
          <w:rFonts w:ascii="宋体" w:hAnsi="宋体" w:eastAsia="宋体" w:cs="宋体"/>
          <w:spacing w:val="-43"/>
          <w:sz w:val="24"/>
          <w:szCs w:val="24"/>
        </w:rPr>
        <w:t xml:space="preserve"> </w:t>
      </w:r>
      <w:r>
        <w:rPr>
          <w:rFonts w:ascii="宋体" w:hAnsi="宋体" w:eastAsia="宋体" w:cs="宋体"/>
          <w:spacing w:val="-2"/>
          <w:sz w:val="24"/>
          <w:szCs w:val="24"/>
        </w:rPr>
        <w:t>799.53×10</w:t>
      </w:r>
      <w:r>
        <w:rPr>
          <w:rFonts w:ascii="宋体" w:hAnsi="宋体" w:eastAsia="宋体" w:cs="宋体"/>
          <w:spacing w:val="-2"/>
          <w:position w:val="12"/>
          <w:sz w:val="12"/>
          <w:szCs w:val="12"/>
        </w:rPr>
        <w:t>4</w:t>
      </w:r>
      <w:r>
        <w:rPr>
          <w:rFonts w:ascii="宋体" w:hAnsi="宋体" w:eastAsia="宋体" w:cs="宋体"/>
          <w:spacing w:val="-2"/>
          <w:sz w:val="24"/>
          <w:szCs w:val="24"/>
        </w:rPr>
        <w:t>m</w:t>
      </w:r>
      <w:r>
        <w:rPr>
          <w:rFonts w:ascii="宋体" w:hAnsi="宋体" w:eastAsia="宋体" w:cs="宋体"/>
          <w:spacing w:val="-2"/>
          <w:position w:val="12"/>
          <w:sz w:val="12"/>
          <w:szCs w:val="12"/>
        </w:rPr>
        <w:t>3</w:t>
      </w:r>
      <w:r>
        <w:rPr>
          <w:rFonts w:ascii="宋体" w:hAnsi="宋体" w:eastAsia="宋体" w:cs="宋体"/>
          <w:spacing w:val="-31"/>
          <w:position w:val="12"/>
          <w:sz w:val="12"/>
          <w:szCs w:val="12"/>
        </w:rPr>
        <w:t xml:space="preserve"> </w:t>
      </w:r>
      <w:r>
        <w:rPr>
          <w:rFonts w:ascii="宋体" w:hAnsi="宋体" w:eastAsia="宋体" w:cs="宋体"/>
          <w:spacing w:val="-2"/>
          <w:sz w:val="24"/>
          <w:szCs w:val="24"/>
        </w:rPr>
        <w:t>，坝体底部设置</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1m</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厚碾压堆石褥</w:t>
      </w:r>
      <w:r>
        <w:rPr>
          <w:rFonts w:ascii="宋体" w:hAnsi="宋体" w:eastAsia="宋体" w:cs="宋体"/>
          <w:sz w:val="24"/>
          <w:szCs w:val="24"/>
        </w:rPr>
        <w:t xml:space="preserve"> </w:t>
      </w:r>
      <w:r>
        <w:rPr>
          <w:rFonts w:ascii="宋体" w:hAnsi="宋体" w:eastAsia="宋体" w:cs="宋体"/>
          <w:spacing w:val="7"/>
          <w:sz w:val="24"/>
          <w:szCs w:val="24"/>
        </w:rPr>
        <w:t>垫层。褥垫层上下均铺设土工布反滤。库内边坡铺设有</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400</w:t>
      </w:r>
      <w:r>
        <w:rPr>
          <w:rFonts w:ascii="Times New Roman" w:hAnsi="Times New Roman" w:eastAsia="Times New Roman" w:cs="Times New Roman"/>
          <w:spacing w:val="6"/>
          <w:sz w:val="24"/>
          <w:szCs w:val="24"/>
        </w:rPr>
        <w:t>g/m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25"/>
          <w:position w:val="8"/>
          <w:sz w:val="15"/>
          <w:szCs w:val="15"/>
        </w:rPr>
        <w:t xml:space="preserve"> </w:t>
      </w:r>
      <w:r>
        <w:rPr>
          <w:rFonts w:ascii="宋体" w:hAnsi="宋体" w:eastAsia="宋体" w:cs="宋体"/>
          <w:spacing w:val="6"/>
          <w:sz w:val="24"/>
          <w:szCs w:val="24"/>
        </w:rPr>
        <w:t>复合土工膜</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1.5mmHDPE</w:t>
      </w:r>
      <w:r>
        <w:rPr>
          <w:rFonts w:ascii="宋体" w:hAnsi="宋体" w:eastAsia="宋体" w:cs="宋体"/>
          <w:spacing w:val="-3"/>
          <w:sz w:val="24"/>
          <w:szCs w:val="24"/>
        </w:rPr>
        <w:t>）用于防渗，库底铺设有</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 xml:space="preserve">1.5mmHDPE </w:t>
      </w:r>
      <w:r>
        <w:rPr>
          <w:rFonts w:ascii="宋体" w:hAnsi="宋体" w:eastAsia="宋体" w:cs="宋体"/>
          <w:spacing w:val="-3"/>
          <w:sz w:val="24"/>
          <w:szCs w:val="24"/>
        </w:rPr>
        <w:t>土工膜用于防渗，防渗系</w:t>
      </w:r>
      <w:r>
        <w:rPr>
          <w:rFonts w:ascii="宋体" w:hAnsi="宋体" w:eastAsia="宋体" w:cs="宋体"/>
          <w:sz w:val="24"/>
          <w:szCs w:val="24"/>
        </w:rPr>
        <w:t xml:space="preserve"> </w:t>
      </w:r>
      <w:r>
        <w:rPr>
          <w:rFonts w:ascii="宋体" w:hAnsi="宋体" w:eastAsia="宋体" w:cs="宋体"/>
          <w:spacing w:val="-3"/>
          <w:sz w:val="24"/>
          <w:szCs w:val="24"/>
        </w:rPr>
        <w:t>数</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K≤1.0×10</w:t>
      </w:r>
      <w:r>
        <w:rPr>
          <w:rFonts w:ascii="Times New Roman" w:hAnsi="Times New Roman" w:eastAsia="Times New Roman" w:cs="Times New Roman"/>
          <w:spacing w:val="-3"/>
          <w:position w:val="7"/>
          <w:sz w:val="15"/>
          <w:szCs w:val="15"/>
        </w:rPr>
        <w:t>-7</w:t>
      </w:r>
      <w:r>
        <w:rPr>
          <w:rFonts w:ascii="Times New Roman" w:hAnsi="Times New Roman" w:eastAsia="Times New Roman" w:cs="Times New Roman"/>
          <w:spacing w:val="-3"/>
          <w:sz w:val="24"/>
          <w:szCs w:val="24"/>
        </w:rPr>
        <w:t>cm/s</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。剩余库容可为选矿厂继续服务</w:t>
      </w:r>
      <w:r>
        <w:rPr>
          <w:rFonts w:ascii="宋体" w:hAnsi="宋体" w:eastAsia="宋体" w:cs="宋体"/>
          <w:spacing w:val="-32"/>
          <w:sz w:val="24"/>
          <w:szCs w:val="24"/>
        </w:rPr>
        <w:t xml:space="preserve"> </w:t>
      </w:r>
      <w:r>
        <w:rPr>
          <w:rFonts w:ascii="宋体" w:hAnsi="宋体" w:eastAsia="宋体" w:cs="宋体"/>
          <w:spacing w:val="-3"/>
          <w:sz w:val="24"/>
          <w:szCs w:val="24"/>
        </w:rPr>
        <w:t>14</w:t>
      </w:r>
      <w:r>
        <w:rPr>
          <w:rFonts w:ascii="宋体" w:hAnsi="宋体" w:eastAsia="宋体" w:cs="宋体"/>
          <w:spacing w:val="-50"/>
          <w:sz w:val="24"/>
          <w:szCs w:val="24"/>
        </w:rPr>
        <w:t xml:space="preserve"> </w:t>
      </w:r>
      <w:r>
        <w:rPr>
          <w:rFonts w:ascii="宋体" w:hAnsi="宋体" w:eastAsia="宋体" w:cs="宋体"/>
          <w:spacing w:val="-3"/>
          <w:sz w:val="24"/>
          <w:szCs w:val="24"/>
        </w:rPr>
        <w:t>年。</w:t>
      </w:r>
    </w:p>
    <w:p w14:paraId="7584CF39">
      <w:pPr>
        <w:spacing w:before="5" w:line="368" w:lineRule="auto"/>
        <w:ind w:left="155" w:right="217" w:firstLine="488"/>
        <w:jc w:val="both"/>
        <w:rPr>
          <w:rFonts w:ascii="宋体" w:hAnsi="宋体" w:eastAsia="宋体" w:cs="宋体"/>
          <w:sz w:val="24"/>
          <w:szCs w:val="24"/>
        </w:rPr>
      </w:pPr>
      <w:r>
        <w:rPr>
          <w:rFonts w:ascii="宋体" w:hAnsi="宋体" w:eastAsia="宋体" w:cs="宋体"/>
          <w:spacing w:val="-8"/>
          <w:sz w:val="24"/>
          <w:szCs w:val="24"/>
        </w:rPr>
        <w:t>公司职工总数</w:t>
      </w:r>
      <w:r>
        <w:rPr>
          <w:rFonts w:ascii="宋体" w:hAnsi="宋体" w:eastAsia="宋体" w:cs="宋体"/>
          <w:spacing w:val="-15"/>
          <w:sz w:val="24"/>
          <w:szCs w:val="24"/>
        </w:rPr>
        <w:t xml:space="preserve"> </w:t>
      </w:r>
      <w:r>
        <w:rPr>
          <w:rFonts w:ascii="宋体" w:hAnsi="宋体" w:eastAsia="宋体" w:cs="宋体"/>
          <w:spacing w:val="-8"/>
          <w:sz w:val="24"/>
          <w:szCs w:val="24"/>
        </w:rPr>
        <w:t>1277</w:t>
      </w:r>
      <w:r>
        <w:rPr>
          <w:rFonts w:ascii="宋体" w:hAnsi="宋体" w:eastAsia="宋体" w:cs="宋体"/>
          <w:spacing w:val="-49"/>
          <w:sz w:val="24"/>
          <w:szCs w:val="24"/>
        </w:rPr>
        <w:t xml:space="preserve"> </w:t>
      </w:r>
      <w:r>
        <w:rPr>
          <w:rFonts w:ascii="宋体" w:hAnsi="宋体" w:eastAsia="宋体" w:cs="宋体"/>
          <w:spacing w:val="-8"/>
          <w:sz w:val="24"/>
          <w:szCs w:val="24"/>
        </w:rPr>
        <w:t>人，其中：生产人员</w:t>
      </w:r>
      <w:r>
        <w:rPr>
          <w:rFonts w:ascii="宋体" w:hAnsi="宋体" w:eastAsia="宋体" w:cs="宋体"/>
          <w:spacing w:val="-33"/>
          <w:sz w:val="24"/>
          <w:szCs w:val="24"/>
        </w:rPr>
        <w:t xml:space="preserve"> </w:t>
      </w:r>
      <w:r>
        <w:rPr>
          <w:rFonts w:ascii="宋体" w:hAnsi="宋体" w:eastAsia="宋体" w:cs="宋体"/>
          <w:spacing w:val="-8"/>
          <w:sz w:val="24"/>
          <w:szCs w:val="24"/>
        </w:rPr>
        <w:t>1057</w:t>
      </w:r>
      <w:r>
        <w:rPr>
          <w:rFonts w:ascii="宋体" w:hAnsi="宋体" w:eastAsia="宋体" w:cs="宋体"/>
          <w:spacing w:val="-49"/>
          <w:sz w:val="24"/>
          <w:szCs w:val="24"/>
        </w:rPr>
        <w:t xml:space="preserve"> </w:t>
      </w:r>
      <w:r>
        <w:rPr>
          <w:rFonts w:ascii="宋体" w:hAnsi="宋体" w:eastAsia="宋体" w:cs="宋体"/>
          <w:spacing w:val="-8"/>
          <w:sz w:val="24"/>
          <w:szCs w:val="24"/>
        </w:rPr>
        <w:t>人，管理和服务人员</w:t>
      </w:r>
      <w:r>
        <w:rPr>
          <w:rFonts w:ascii="宋体" w:hAnsi="宋体" w:eastAsia="宋体" w:cs="宋体"/>
          <w:spacing w:val="-47"/>
          <w:sz w:val="24"/>
          <w:szCs w:val="24"/>
        </w:rPr>
        <w:t xml:space="preserve"> </w:t>
      </w:r>
      <w:r>
        <w:rPr>
          <w:rFonts w:ascii="宋体" w:hAnsi="宋体" w:eastAsia="宋体" w:cs="宋体"/>
          <w:spacing w:val="-8"/>
          <w:sz w:val="24"/>
          <w:szCs w:val="24"/>
        </w:rPr>
        <w:t>220</w:t>
      </w:r>
      <w:r>
        <w:rPr>
          <w:rFonts w:ascii="宋体" w:hAnsi="宋体" w:eastAsia="宋体" w:cs="宋体"/>
          <w:spacing w:val="-49"/>
          <w:sz w:val="24"/>
          <w:szCs w:val="24"/>
        </w:rPr>
        <w:t xml:space="preserve"> </w:t>
      </w:r>
      <w:r>
        <w:rPr>
          <w:rFonts w:ascii="宋体" w:hAnsi="宋体" w:eastAsia="宋体" w:cs="宋体"/>
          <w:spacing w:val="-8"/>
          <w:sz w:val="24"/>
          <w:szCs w:val="24"/>
        </w:rPr>
        <w:t>人。</w:t>
      </w:r>
      <w:r>
        <w:rPr>
          <w:rFonts w:ascii="宋体" w:hAnsi="宋体" w:eastAsia="宋体" w:cs="宋体"/>
          <w:sz w:val="24"/>
          <w:szCs w:val="24"/>
        </w:rPr>
        <w:t xml:space="preserve"> </w:t>
      </w:r>
      <w:r>
        <w:rPr>
          <w:rFonts w:ascii="宋体" w:hAnsi="宋体" w:eastAsia="宋体" w:cs="宋体"/>
          <w:spacing w:val="-5"/>
          <w:sz w:val="24"/>
          <w:szCs w:val="24"/>
        </w:rPr>
        <w:t>采矿作业年工作日</w:t>
      </w:r>
      <w:r>
        <w:rPr>
          <w:rFonts w:ascii="宋体" w:hAnsi="宋体" w:eastAsia="宋体" w:cs="宋体"/>
          <w:spacing w:val="-42"/>
          <w:sz w:val="24"/>
          <w:szCs w:val="24"/>
        </w:rPr>
        <w:t xml:space="preserve"> </w:t>
      </w:r>
      <w:r>
        <w:rPr>
          <w:rFonts w:ascii="宋体" w:hAnsi="宋体" w:eastAsia="宋体" w:cs="宋体"/>
          <w:spacing w:val="-5"/>
          <w:sz w:val="24"/>
          <w:szCs w:val="24"/>
        </w:rPr>
        <w:t>240</w:t>
      </w:r>
      <w:r>
        <w:rPr>
          <w:rFonts w:ascii="宋体" w:hAnsi="宋体" w:eastAsia="宋体" w:cs="宋体"/>
          <w:spacing w:val="-46"/>
          <w:sz w:val="24"/>
          <w:szCs w:val="24"/>
        </w:rPr>
        <w:t xml:space="preserve"> </w:t>
      </w:r>
      <w:r>
        <w:rPr>
          <w:rFonts w:ascii="宋体" w:hAnsi="宋体" w:eastAsia="宋体" w:cs="宋体"/>
          <w:spacing w:val="-5"/>
          <w:sz w:val="24"/>
          <w:szCs w:val="24"/>
        </w:rPr>
        <w:t>天，每天</w:t>
      </w:r>
      <w:r>
        <w:rPr>
          <w:rFonts w:ascii="宋体" w:hAnsi="宋体" w:eastAsia="宋体" w:cs="宋体"/>
          <w:spacing w:val="-46"/>
          <w:sz w:val="24"/>
          <w:szCs w:val="24"/>
        </w:rPr>
        <w:t xml:space="preserve"> </w:t>
      </w:r>
      <w:r>
        <w:rPr>
          <w:rFonts w:ascii="宋体" w:hAnsi="宋体" w:eastAsia="宋体" w:cs="宋体"/>
          <w:spacing w:val="-5"/>
          <w:sz w:val="24"/>
          <w:szCs w:val="24"/>
        </w:rPr>
        <w:t>3</w:t>
      </w:r>
      <w:r>
        <w:rPr>
          <w:rFonts w:ascii="宋体" w:hAnsi="宋体" w:eastAsia="宋体" w:cs="宋体"/>
          <w:spacing w:val="-52"/>
          <w:sz w:val="24"/>
          <w:szCs w:val="24"/>
        </w:rPr>
        <w:t xml:space="preserve"> </w:t>
      </w:r>
      <w:r>
        <w:rPr>
          <w:rFonts w:ascii="宋体" w:hAnsi="宋体" w:eastAsia="宋体" w:cs="宋体"/>
          <w:spacing w:val="-5"/>
          <w:sz w:val="24"/>
          <w:szCs w:val="24"/>
        </w:rPr>
        <w:t>班，每班8</w:t>
      </w:r>
      <w:r>
        <w:rPr>
          <w:rFonts w:ascii="宋体" w:hAnsi="宋体" w:eastAsia="宋体" w:cs="宋体"/>
          <w:spacing w:val="-44"/>
          <w:sz w:val="24"/>
          <w:szCs w:val="24"/>
        </w:rPr>
        <w:t xml:space="preserve"> </w:t>
      </w:r>
      <w:r>
        <w:rPr>
          <w:rFonts w:ascii="宋体" w:hAnsi="宋体" w:eastAsia="宋体" w:cs="宋体"/>
          <w:spacing w:val="-5"/>
          <w:sz w:val="24"/>
          <w:szCs w:val="24"/>
        </w:rPr>
        <w:t>小时。选矿作业采用连续工作制，</w:t>
      </w:r>
      <w:r>
        <w:rPr>
          <w:rFonts w:ascii="宋体" w:hAnsi="宋体" w:eastAsia="宋体" w:cs="宋体"/>
          <w:sz w:val="24"/>
          <w:szCs w:val="24"/>
        </w:rPr>
        <w:t xml:space="preserve"> </w:t>
      </w:r>
      <w:r>
        <w:rPr>
          <w:rFonts w:ascii="宋体" w:hAnsi="宋体" w:eastAsia="宋体" w:cs="宋体"/>
          <w:spacing w:val="-5"/>
          <w:sz w:val="24"/>
          <w:szCs w:val="24"/>
        </w:rPr>
        <w:t>年工作</w:t>
      </w:r>
      <w:r>
        <w:rPr>
          <w:rFonts w:ascii="宋体" w:hAnsi="宋体" w:eastAsia="宋体" w:cs="宋体"/>
          <w:spacing w:val="-38"/>
          <w:sz w:val="24"/>
          <w:szCs w:val="24"/>
        </w:rPr>
        <w:t xml:space="preserve"> </w:t>
      </w:r>
      <w:r>
        <w:rPr>
          <w:rFonts w:ascii="宋体" w:hAnsi="宋体" w:eastAsia="宋体" w:cs="宋体"/>
          <w:spacing w:val="-5"/>
          <w:sz w:val="24"/>
          <w:szCs w:val="24"/>
        </w:rPr>
        <w:t>210</w:t>
      </w:r>
      <w:r>
        <w:rPr>
          <w:rFonts w:ascii="宋体" w:hAnsi="宋体" w:eastAsia="宋体" w:cs="宋体"/>
          <w:spacing w:val="-46"/>
          <w:sz w:val="24"/>
          <w:szCs w:val="24"/>
        </w:rPr>
        <w:t xml:space="preserve"> </w:t>
      </w:r>
      <w:r>
        <w:rPr>
          <w:rFonts w:ascii="宋体" w:hAnsi="宋体" w:eastAsia="宋体" w:cs="宋体"/>
          <w:spacing w:val="-5"/>
          <w:sz w:val="24"/>
          <w:szCs w:val="24"/>
        </w:rPr>
        <w:t>天，每天</w:t>
      </w:r>
      <w:r>
        <w:rPr>
          <w:rFonts w:ascii="宋体" w:hAnsi="宋体" w:eastAsia="宋体" w:cs="宋体"/>
          <w:spacing w:val="-45"/>
          <w:sz w:val="24"/>
          <w:szCs w:val="24"/>
        </w:rPr>
        <w:t xml:space="preserve"> </w:t>
      </w:r>
      <w:r>
        <w:rPr>
          <w:rFonts w:ascii="宋体" w:hAnsi="宋体" w:eastAsia="宋体" w:cs="宋体"/>
          <w:spacing w:val="-5"/>
          <w:sz w:val="24"/>
          <w:szCs w:val="24"/>
        </w:rPr>
        <w:t>3</w:t>
      </w:r>
      <w:r>
        <w:rPr>
          <w:rFonts w:ascii="宋体" w:hAnsi="宋体" w:eastAsia="宋体" w:cs="宋体"/>
          <w:spacing w:val="-52"/>
          <w:sz w:val="24"/>
          <w:szCs w:val="24"/>
        </w:rPr>
        <w:t xml:space="preserve"> </w:t>
      </w:r>
      <w:r>
        <w:rPr>
          <w:rFonts w:ascii="宋体" w:hAnsi="宋体" w:eastAsia="宋体" w:cs="宋体"/>
          <w:spacing w:val="-5"/>
          <w:sz w:val="24"/>
          <w:szCs w:val="24"/>
        </w:rPr>
        <w:t>班，每班</w:t>
      </w:r>
      <w:r>
        <w:rPr>
          <w:rFonts w:ascii="宋体" w:hAnsi="宋体" w:eastAsia="宋体" w:cs="宋体"/>
          <w:spacing w:val="-50"/>
          <w:sz w:val="24"/>
          <w:szCs w:val="24"/>
        </w:rPr>
        <w:t xml:space="preserve"> </w:t>
      </w:r>
      <w:r>
        <w:rPr>
          <w:rFonts w:ascii="宋体" w:hAnsi="宋体" w:eastAsia="宋体" w:cs="宋体"/>
          <w:spacing w:val="-5"/>
          <w:sz w:val="24"/>
          <w:szCs w:val="24"/>
        </w:rPr>
        <w:t>8</w:t>
      </w:r>
      <w:r>
        <w:rPr>
          <w:rFonts w:ascii="宋体" w:hAnsi="宋体" w:eastAsia="宋体" w:cs="宋体"/>
          <w:spacing w:val="-44"/>
          <w:sz w:val="24"/>
          <w:szCs w:val="24"/>
        </w:rPr>
        <w:t xml:space="preserve"> </w:t>
      </w:r>
      <w:r>
        <w:rPr>
          <w:rFonts w:ascii="宋体" w:hAnsi="宋体" w:eastAsia="宋体" w:cs="宋体"/>
          <w:spacing w:val="-5"/>
          <w:sz w:val="24"/>
          <w:szCs w:val="24"/>
        </w:rPr>
        <w:t>小时。</w:t>
      </w:r>
    </w:p>
    <w:p w14:paraId="7F8D5A4A">
      <w:pPr>
        <w:spacing w:line="220" w:lineRule="auto"/>
        <w:ind w:left="631"/>
        <w:outlineLvl w:val="2"/>
        <w:rPr>
          <w:rFonts w:ascii="宋体" w:hAnsi="宋体" w:eastAsia="宋体" w:cs="宋体"/>
          <w:sz w:val="24"/>
          <w:szCs w:val="24"/>
        </w:rPr>
      </w:pPr>
      <w:bookmarkStart w:id="44" w:name="bookmark40"/>
      <w:bookmarkEnd w:id="44"/>
      <w:r>
        <w:rPr>
          <w:rFonts w:ascii="Times New Roman" w:hAnsi="Times New Roman" w:eastAsia="Times New Roman" w:cs="Times New Roman"/>
          <w:b/>
          <w:bCs/>
          <w:spacing w:val="-2"/>
          <w:sz w:val="24"/>
          <w:szCs w:val="24"/>
        </w:rPr>
        <w:t xml:space="preserve">3.2.1 </w:t>
      </w:r>
      <w:r>
        <w:rPr>
          <w:rFonts w:ascii="宋体" w:hAnsi="宋体" w:eastAsia="宋体" w:cs="宋体"/>
          <w:b/>
          <w:bCs/>
          <w:spacing w:val="-2"/>
          <w:sz w:val="24"/>
          <w:szCs w:val="24"/>
        </w:rPr>
        <w:t>现有工程项目组成</w:t>
      </w:r>
    </w:p>
    <w:p w14:paraId="322F3673">
      <w:pPr>
        <w:spacing w:line="220" w:lineRule="auto"/>
        <w:rPr>
          <w:rFonts w:ascii="宋体" w:hAnsi="宋体" w:eastAsia="宋体" w:cs="宋体"/>
          <w:sz w:val="24"/>
          <w:szCs w:val="24"/>
        </w:rPr>
        <w:sectPr>
          <w:footerReference r:id="rId56" w:type="default"/>
          <w:pgSz w:w="11906" w:h="16839"/>
          <w:pgMar w:top="1208" w:right="1651" w:bottom="1358" w:left="1650" w:header="825" w:footer="1195" w:gutter="0"/>
          <w:cols w:space="720" w:num="1"/>
        </w:sectPr>
      </w:pPr>
    </w:p>
    <w:p w14:paraId="61A432A7">
      <w:pPr>
        <w:pStyle w:val="2"/>
        <w:spacing w:line="270" w:lineRule="auto"/>
      </w:pPr>
    </w:p>
    <w:p w14:paraId="36BA6FB5">
      <w:pPr>
        <w:spacing w:before="79" w:line="368" w:lineRule="auto"/>
        <w:ind w:left="111" w:right="252" w:firstLine="484"/>
        <w:rPr>
          <w:rFonts w:ascii="宋体" w:hAnsi="宋体" w:eastAsia="宋体" w:cs="宋体"/>
          <w:sz w:val="24"/>
          <w:szCs w:val="24"/>
        </w:rPr>
      </w:pPr>
      <w:r>
        <w:rPr>
          <w:rFonts w:ascii="宋体" w:hAnsi="宋体" w:eastAsia="宋体" w:cs="宋体"/>
          <w:sz w:val="24"/>
          <w:szCs w:val="24"/>
        </w:rPr>
        <w:t>与本项目有关的现有工程主要为</w:t>
      </w:r>
      <w:r>
        <w:rPr>
          <w:rFonts w:ascii="宋体" w:hAnsi="宋体" w:eastAsia="宋体" w:cs="宋体"/>
          <w:spacing w:val="-30"/>
          <w:sz w:val="24"/>
          <w:szCs w:val="24"/>
        </w:rPr>
        <w:t xml:space="preserve"> </w:t>
      </w:r>
      <w:r>
        <w:rPr>
          <w:rFonts w:ascii="宋体" w:hAnsi="宋体" w:eastAsia="宋体" w:cs="宋体"/>
          <w:sz w:val="24"/>
          <w:szCs w:val="24"/>
        </w:rPr>
        <w:t>1400t/d</w:t>
      </w:r>
      <w:r>
        <w:rPr>
          <w:rFonts w:ascii="宋体" w:hAnsi="宋体" w:eastAsia="宋体" w:cs="宋体"/>
          <w:spacing w:val="-49"/>
          <w:sz w:val="24"/>
          <w:szCs w:val="24"/>
        </w:rPr>
        <w:t xml:space="preserve"> </w:t>
      </w:r>
      <w:r>
        <w:rPr>
          <w:rFonts w:ascii="宋体" w:hAnsi="宋体" w:eastAsia="宋体" w:cs="宋体"/>
          <w:sz w:val="24"/>
          <w:szCs w:val="24"/>
        </w:rPr>
        <w:t>选矿工程、2000t</w:t>
      </w:r>
      <w:r>
        <w:rPr>
          <w:rFonts w:ascii="宋体" w:hAnsi="宋体" w:eastAsia="宋体" w:cs="宋体"/>
          <w:spacing w:val="-1"/>
          <w:sz w:val="24"/>
          <w:szCs w:val="24"/>
        </w:rPr>
        <w:t>/d</w:t>
      </w:r>
      <w:r>
        <w:rPr>
          <w:rFonts w:ascii="宋体" w:hAnsi="宋体" w:eastAsia="宋体" w:cs="宋体"/>
          <w:spacing w:val="-50"/>
          <w:sz w:val="24"/>
          <w:szCs w:val="24"/>
        </w:rPr>
        <w:t xml:space="preserve"> </w:t>
      </w:r>
      <w:r>
        <w:rPr>
          <w:rFonts w:ascii="宋体" w:hAnsi="宋体" w:eastAsia="宋体" w:cs="宋体"/>
          <w:spacing w:val="-1"/>
          <w:sz w:val="24"/>
          <w:szCs w:val="24"/>
        </w:rPr>
        <w:t>选矿工程及</w:t>
      </w:r>
      <w:r>
        <w:rPr>
          <w:rFonts w:ascii="宋体" w:hAnsi="宋体" w:eastAsia="宋体" w:cs="宋体"/>
          <w:sz w:val="24"/>
          <w:szCs w:val="24"/>
        </w:rPr>
        <w:t xml:space="preserve"> </w:t>
      </w:r>
      <w:r>
        <w:rPr>
          <w:rFonts w:ascii="宋体" w:hAnsi="宋体" w:eastAsia="宋体" w:cs="宋体"/>
          <w:spacing w:val="-1"/>
          <w:sz w:val="24"/>
          <w:szCs w:val="24"/>
        </w:rPr>
        <w:t>尾矿库，项目组成如下：</w:t>
      </w:r>
    </w:p>
    <w:p w14:paraId="35C5DB01">
      <w:pPr>
        <w:spacing w:line="219" w:lineRule="auto"/>
        <w:ind w:left="603"/>
        <w:rPr>
          <w:rFonts w:ascii="宋体" w:hAnsi="宋体" w:eastAsia="宋体" w:cs="宋体"/>
          <w:sz w:val="24"/>
          <w:szCs w:val="24"/>
        </w:rPr>
      </w:pPr>
      <w:r>
        <w:rPr>
          <w:rFonts w:ascii="宋体" w:hAnsi="宋体" w:eastAsia="宋体" w:cs="宋体"/>
          <w:spacing w:val="-3"/>
          <w:sz w:val="24"/>
          <w:szCs w:val="24"/>
        </w:rPr>
        <w:t>（1）1400t/d</w:t>
      </w:r>
      <w:r>
        <w:rPr>
          <w:rFonts w:ascii="宋体" w:hAnsi="宋体" w:eastAsia="宋体" w:cs="宋体"/>
          <w:spacing w:val="-40"/>
          <w:sz w:val="24"/>
          <w:szCs w:val="24"/>
        </w:rPr>
        <w:t xml:space="preserve"> </w:t>
      </w:r>
      <w:r>
        <w:rPr>
          <w:rFonts w:ascii="宋体" w:hAnsi="宋体" w:eastAsia="宋体" w:cs="宋体"/>
          <w:spacing w:val="-3"/>
          <w:sz w:val="24"/>
          <w:szCs w:val="24"/>
        </w:rPr>
        <w:t>选矿工程</w:t>
      </w:r>
    </w:p>
    <w:p w14:paraId="19F82CCC">
      <w:pPr>
        <w:spacing w:before="190" w:line="369" w:lineRule="auto"/>
        <w:ind w:left="113" w:right="292" w:firstLine="495"/>
        <w:rPr>
          <w:rFonts w:ascii="宋体" w:hAnsi="宋体" w:eastAsia="宋体" w:cs="宋体"/>
          <w:sz w:val="24"/>
          <w:szCs w:val="24"/>
        </w:rPr>
      </w:pPr>
      <w:r>
        <w:rPr>
          <w:rFonts w:ascii="宋体" w:hAnsi="宋体" w:eastAsia="宋体" w:cs="宋体"/>
          <w:spacing w:val="-1"/>
          <w:sz w:val="24"/>
          <w:szCs w:val="24"/>
        </w:rPr>
        <w:t>1400t/d</w:t>
      </w:r>
      <w:r>
        <w:rPr>
          <w:rFonts w:ascii="宋体" w:hAnsi="宋体" w:eastAsia="宋体" w:cs="宋体"/>
          <w:spacing w:val="-33"/>
          <w:sz w:val="24"/>
          <w:szCs w:val="24"/>
        </w:rPr>
        <w:t xml:space="preserve"> </w:t>
      </w:r>
      <w:r>
        <w:rPr>
          <w:rFonts w:ascii="宋体" w:hAnsi="宋体" w:eastAsia="宋体" w:cs="宋体"/>
          <w:spacing w:val="-1"/>
          <w:sz w:val="24"/>
          <w:szCs w:val="24"/>
        </w:rPr>
        <w:t>选矿工程主要包括：原矿堆场、原矿仓、粗碎车间、中间料场、</w:t>
      </w:r>
      <w:r>
        <w:rPr>
          <w:rFonts w:ascii="宋体" w:hAnsi="宋体" w:eastAsia="宋体" w:cs="宋体"/>
          <w:sz w:val="24"/>
          <w:szCs w:val="24"/>
        </w:rPr>
        <w:t xml:space="preserve"> </w:t>
      </w:r>
      <w:r>
        <w:rPr>
          <w:rFonts w:ascii="宋体" w:hAnsi="宋体" w:eastAsia="宋体" w:cs="宋体"/>
          <w:spacing w:val="-2"/>
          <w:sz w:val="24"/>
          <w:szCs w:val="24"/>
        </w:rPr>
        <w:t>磨矿车间、浮选车间、脱水车间、精矿车间、尾矿浓密及尾矿回水处理车间、</w:t>
      </w:r>
      <w:r>
        <w:rPr>
          <w:rFonts w:ascii="宋体" w:hAnsi="宋体" w:eastAsia="宋体" w:cs="宋体"/>
          <w:spacing w:val="15"/>
          <w:sz w:val="24"/>
          <w:szCs w:val="24"/>
        </w:rPr>
        <w:t xml:space="preserve"> </w:t>
      </w:r>
      <w:r>
        <w:rPr>
          <w:rFonts w:ascii="宋体" w:hAnsi="宋体" w:eastAsia="宋体" w:cs="宋体"/>
          <w:spacing w:val="-1"/>
          <w:sz w:val="24"/>
          <w:szCs w:val="24"/>
        </w:rPr>
        <w:t>生活污水处理系统、锅炉房、危废暂存间及其它辅助工程。</w:t>
      </w:r>
    </w:p>
    <w:p w14:paraId="5FED4200">
      <w:pPr>
        <w:spacing w:line="219" w:lineRule="auto"/>
        <w:ind w:left="193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5"/>
          <w:sz w:val="24"/>
          <w:szCs w:val="24"/>
        </w:rPr>
        <w:t xml:space="preserve"> </w:t>
      </w:r>
      <w:r>
        <w:rPr>
          <w:rFonts w:ascii="宋体" w:hAnsi="宋体" w:eastAsia="宋体" w:cs="宋体"/>
          <w:spacing w:val="-2"/>
          <w:sz w:val="24"/>
          <w:szCs w:val="24"/>
        </w:rPr>
        <w:t>3.2-1    现有</w:t>
      </w:r>
      <w:r>
        <w:rPr>
          <w:rFonts w:ascii="宋体" w:hAnsi="宋体" w:eastAsia="宋体" w:cs="宋体"/>
          <w:spacing w:val="-33"/>
          <w:sz w:val="24"/>
          <w:szCs w:val="24"/>
        </w:rPr>
        <w:t xml:space="preserve"> </w:t>
      </w:r>
      <w:r>
        <w:rPr>
          <w:rFonts w:ascii="宋体" w:hAnsi="宋体" w:eastAsia="宋体" w:cs="宋体"/>
          <w:spacing w:val="-2"/>
          <w:sz w:val="24"/>
          <w:szCs w:val="24"/>
        </w:rPr>
        <w:t>1400t/d</w:t>
      </w:r>
      <w:r>
        <w:rPr>
          <w:rFonts w:ascii="宋体" w:hAnsi="宋体" w:eastAsia="宋体" w:cs="宋体"/>
          <w:spacing w:val="-52"/>
          <w:sz w:val="24"/>
          <w:szCs w:val="24"/>
        </w:rPr>
        <w:t xml:space="preserve"> </w:t>
      </w:r>
      <w:r>
        <w:rPr>
          <w:rFonts w:ascii="宋体" w:hAnsi="宋体" w:eastAsia="宋体" w:cs="宋体"/>
          <w:spacing w:val="-2"/>
          <w:sz w:val="24"/>
          <w:szCs w:val="24"/>
        </w:rPr>
        <w:t>选矿工程项</w:t>
      </w:r>
      <w:r>
        <w:rPr>
          <w:rFonts w:ascii="宋体" w:hAnsi="宋体" w:eastAsia="宋体" w:cs="宋体"/>
          <w:spacing w:val="-3"/>
          <w:sz w:val="24"/>
          <w:szCs w:val="24"/>
        </w:rPr>
        <w:t>目组成表</w:t>
      </w:r>
    </w:p>
    <w:p w14:paraId="534C830A">
      <w:pPr>
        <w:spacing w:line="73"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559"/>
        <w:gridCol w:w="6282"/>
      </w:tblGrid>
      <w:tr w14:paraId="4A0AF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227" w:type="dxa"/>
            <w:gridSpan w:val="2"/>
            <w:vAlign w:val="top"/>
          </w:tcPr>
          <w:p w14:paraId="1DAF9E7F">
            <w:pPr>
              <w:pStyle w:val="6"/>
              <w:spacing w:before="71" w:line="228" w:lineRule="auto"/>
              <w:ind w:left="704"/>
            </w:pPr>
            <w:r>
              <w:rPr>
                <w:spacing w:val="6"/>
              </w:rPr>
              <w:t>项目名称</w:t>
            </w:r>
          </w:p>
        </w:tc>
        <w:tc>
          <w:tcPr>
            <w:tcW w:w="6282" w:type="dxa"/>
            <w:vAlign w:val="top"/>
          </w:tcPr>
          <w:p w14:paraId="0604E078">
            <w:pPr>
              <w:pStyle w:val="6"/>
              <w:spacing w:before="70" w:line="228" w:lineRule="auto"/>
              <w:ind w:left="2517"/>
            </w:pPr>
            <w:r>
              <w:rPr>
                <w:spacing w:val="7"/>
              </w:rPr>
              <w:t>主要建设内容</w:t>
            </w:r>
          </w:p>
        </w:tc>
      </w:tr>
      <w:tr w14:paraId="39052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68" w:type="dxa"/>
            <w:vMerge w:val="restart"/>
            <w:tcBorders>
              <w:bottom w:val="nil"/>
            </w:tcBorders>
            <w:vAlign w:val="top"/>
          </w:tcPr>
          <w:p w14:paraId="72648E00">
            <w:pPr>
              <w:spacing w:line="244" w:lineRule="auto"/>
              <w:rPr>
                <w:rFonts w:ascii="Arial"/>
                <w:sz w:val="21"/>
              </w:rPr>
            </w:pPr>
          </w:p>
          <w:p w14:paraId="5E5C8471">
            <w:pPr>
              <w:spacing w:line="244" w:lineRule="auto"/>
              <w:rPr>
                <w:rFonts w:ascii="Arial"/>
                <w:sz w:val="21"/>
              </w:rPr>
            </w:pPr>
          </w:p>
          <w:p w14:paraId="1AF8A145">
            <w:pPr>
              <w:spacing w:line="244" w:lineRule="auto"/>
              <w:rPr>
                <w:rFonts w:ascii="Arial"/>
                <w:sz w:val="21"/>
              </w:rPr>
            </w:pPr>
          </w:p>
          <w:p w14:paraId="2536E8D9">
            <w:pPr>
              <w:spacing w:line="244" w:lineRule="auto"/>
              <w:rPr>
                <w:rFonts w:ascii="Arial"/>
                <w:sz w:val="21"/>
              </w:rPr>
            </w:pPr>
          </w:p>
          <w:p w14:paraId="129A5361">
            <w:pPr>
              <w:spacing w:line="244" w:lineRule="auto"/>
              <w:rPr>
                <w:rFonts w:ascii="Arial"/>
                <w:sz w:val="21"/>
              </w:rPr>
            </w:pPr>
          </w:p>
          <w:p w14:paraId="5F63E492">
            <w:pPr>
              <w:spacing w:line="244" w:lineRule="auto"/>
              <w:rPr>
                <w:rFonts w:ascii="Arial"/>
                <w:sz w:val="21"/>
              </w:rPr>
            </w:pPr>
          </w:p>
          <w:p w14:paraId="118E07E9">
            <w:pPr>
              <w:spacing w:line="244" w:lineRule="auto"/>
              <w:rPr>
                <w:rFonts w:ascii="Arial"/>
                <w:sz w:val="21"/>
              </w:rPr>
            </w:pPr>
          </w:p>
          <w:p w14:paraId="0A2EE921">
            <w:pPr>
              <w:spacing w:line="244" w:lineRule="auto"/>
              <w:rPr>
                <w:rFonts w:ascii="Arial"/>
                <w:sz w:val="21"/>
              </w:rPr>
            </w:pPr>
          </w:p>
          <w:p w14:paraId="4AB78217">
            <w:pPr>
              <w:spacing w:line="244" w:lineRule="auto"/>
              <w:rPr>
                <w:rFonts w:ascii="Arial"/>
                <w:sz w:val="21"/>
              </w:rPr>
            </w:pPr>
          </w:p>
          <w:p w14:paraId="3DACBA73">
            <w:pPr>
              <w:pStyle w:val="6"/>
              <w:spacing w:before="65" w:line="229" w:lineRule="auto"/>
              <w:ind w:left="131"/>
            </w:pPr>
            <w:r>
              <w:rPr>
                <w:spacing w:val="3"/>
              </w:rPr>
              <w:t>主体</w:t>
            </w:r>
          </w:p>
          <w:p w14:paraId="6DE6BF74">
            <w:pPr>
              <w:pStyle w:val="6"/>
              <w:spacing w:before="25" w:line="228" w:lineRule="auto"/>
              <w:ind w:left="132"/>
            </w:pPr>
            <w:r>
              <w:rPr>
                <w:spacing w:val="3"/>
              </w:rPr>
              <w:t>工程</w:t>
            </w:r>
          </w:p>
        </w:tc>
        <w:tc>
          <w:tcPr>
            <w:tcW w:w="1559" w:type="dxa"/>
            <w:vAlign w:val="top"/>
          </w:tcPr>
          <w:p w14:paraId="7EC3A003">
            <w:pPr>
              <w:pStyle w:val="6"/>
              <w:spacing w:before="301" w:line="228" w:lineRule="auto"/>
              <w:ind w:left="363"/>
            </w:pPr>
            <w:r>
              <w:rPr>
                <w:spacing w:val="7"/>
              </w:rPr>
              <w:t>粗碎车间</w:t>
            </w:r>
          </w:p>
        </w:tc>
        <w:tc>
          <w:tcPr>
            <w:tcW w:w="6282" w:type="dxa"/>
            <w:vAlign w:val="top"/>
          </w:tcPr>
          <w:p w14:paraId="675BD65A">
            <w:pPr>
              <w:pStyle w:val="6"/>
              <w:spacing w:before="31" w:line="250" w:lineRule="auto"/>
              <w:ind w:left="113" w:right="108" w:firstLine="434"/>
            </w:pPr>
            <w:r>
              <w:rPr>
                <w:spacing w:val="-2"/>
              </w:rPr>
              <w:t>1</w:t>
            </w:r>
            <w:r>
              <w:rPr>
                <w:spacing w:val="-39"/>
              </w:rPr>
              <w:t xml:space="preserve"> </w:t>
            </w:r>
            <w:r>
              <w:rPr>
                <w:spacing w:val="-2"/>
              </w:rPr>
              <w:t>座，建筑面积</w:t>
            </w:r>
            <w:r>
              <w:rPr>
                <w:spacing w:val="-21"/>
              </w:rPr>
              <w:t xml:space="preserve"> </w:t>
            </w:r>
            <w:r>
              <w:rPr>
                <w:spacing w:val="-2"/>
              </w:rPr>
              <w:t>135</w:t>
            </w:r>
            <w:r>
              <w:rPr>
                <w:spacing w:val="-31"/>
              </w:rPr>
              <w:t xml:space="preserve"> </w:t>
            </w:r>
            <w:r>
              <w:rPr>
                <w:spacing w:val="-2"/>
              </w:rPr>
              <w:t>㎡，为地下破碎。主要设备包括：</w:t>
            </w:r>
            <w:r>
              <w:rPr>
                <w:rFonts w:ascii="Times New Roman" w:hAnsi="Times New Roman" w:eastAsia="Times New Roman" w:cs="Times New Roman"/>
                <w:spacing w:val="-2"/>
              </w:rPr>
              <w:t>1</w:t>
            </w:r>
            <w:r>
              <w:rPr>
                <w:rFonts w:ascii="Times New Roman" w:hAnsi="Times New Roman" w:eastAsia="Times New Roman" w:cs="Times New Roman"/>
                <w:spacing w:val="28"/>
                <w:w w:val="101"/>
              </w:rPr>
              <w:t xml:space="preserve"> </w:t>
            </w:r>
            <w:r>
              <w:rPr>
                <w:spacing w:val="-2"/>
              </w:rPr>
              <w:t>台</w:t>
            </w:r>
            <w:r>
              <w:rPr>
                <w:spacing w:val="-40"/>
              </w:rPr>
              <w:t xml:space="preserve"> </w:t>
            </w:r>
            <w:r>
              <w:rPr>
                <w:rFonts w:ascii="Times New Roman" w:hAnsi="Times New Roman" w:eastAsia="Times New Roman" w:cs="Times New Roman"/>
                <w:spacing w:val="-2"/>
              </w:rPr>
              <w:t>C100</w:t>
            </w:r>
            <w:r>
              <w:rPr>
                <w:rFonts w:ascii="Times New Roman" w:hAnsi="Times New Roman" w:eastAsia="Times New Roman" w:cs="Times New Roman"/>
              </w:rPr>
              <w:t xml:space="preserve"> </w:t>
            </w:r>
            <w:r>
              <w:rPr>
                <w:spacing w:val="8"/>
              </w:rPr>
              <w:t>颚式破碎机、</w:t>
            </w:r>
            <w:r>
              <w:rPr>
                <w:rFonts w:ascii="Times New Roman" w:hAnsi="Times New Roman" w:eastAsia="Times New Roman" w:cs="Times New Roman"/>
                <w:spacing w:val="8"/>
              </w:rPr>
              <w:t>1</w:t>
            </w:r>
            <w:r>
              <w:rPr>
                <w:rFonts w:ascii="Times New Roman" w:hAnsi="Times New Roman" w:eastAsia="Times New Roman" w:cs="Times New Roman"/>
                <w:spacing w:val="26"/>
              </w:rPr>
              <w:t xml:space="preserve"> </w:t>
            </w:r>
            <w:r>
              <w:rPr>
                <w:spacing w:val="8"/>
              </w:rPr>
              <w:t>台</w:t>
            </w:r>
            <w:r>
              <w:rPr>
                <w:spacing w:val="-41"/>
              </w:rPr>
              <w:t xml:space="preserve"> </w:t>
            </w:r>
            <w:r>
              <w:rPr>
                <w:rFonts w:ascii="Times New Roman" w:hAnsi="Times New Roman" w:eastAsia="Times New Roman" w:cs="Times New Roman"/>
              </w:rPr>
              <w:t>RDL</w:t>
            </w:r>
            <w:r>
              <w:rPr>
                <w:rFonts w:ascii="Times New Roman" w:hAnsi="Times New Roman" w:eastAsia="Times New Roman" w:cs="Times New Roman"/>
                <w:spacing w:val="8"/>
              </w:rPr>
              <w:t xml:space="preserve"> </w:t>
            </w:r>
            <w:r>
              <w:rPr>
                <w:spacing w:val="8"/>
              </w:rPr>
              <w:t>滤筒式除尘器</w:t>
            </w:r>
            <w:r>
              <w:rPr>
                <w:rFonts w:ascii="Times New Roman" w:hAnsi="Times New Roman" w:eastAsia="Times New Roman" w:cs="Times New Roman"/>
                <w:spacing w:val="8"/>
              </w:rPr>
              <w:t xml:space="preserve">+15m </w:t>
            </w:r>
            <w:r>
              <w:rPr>
                <w:spacing w:val="8"/>
              </w:rPr>
              <w:t>排气筒，破碎</w:t>
            </w:r>
            <w:r>
              <w:rPr>
                <w:spacing w:val="7"/>
              </w:rPr>
              <w:t>能力</w:t>
            </w:r>
          </w:p>
          <w:p w14:paraId="3643EDBA">
            <w:pPr>
              <w:pStyle w:val="6"/>
              <w:spacing w:line="220" w:lineRule="auto"/>
              <w:ind w:left="115"/>
            </w:pPr>
            <w:r>
              <w:rPr>
                <w:spacing w:val="2"/>
              </w:rPr>
              <w:t>265t/h。</w:t>
            </w:r>
          </w:p>
        </w:tc>
      </w:tr>
      <w:tr w14:paraId="0F2ED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8" w:type="dxa"/>
            <w:vMerge w:val="continue"/>
            <w:tcBorders>
              <w:top w:val="nil"/>
              <w:bottom w:val="nil"/>
            </w:tcBorders>
            <w:vAlign w:val="top"/>
          </w:tcPr>
          <w:p w14:paraId="540EEABE">
            <w:pPr>
              <w:rPr>
                <w:rFonts w:ascii="Arial"/>
                <w:sz w:val="21"/>
              </w:rPr>
            </w:pPr>
          </w:p>
        </w:tc>
        <w:tc>
          <w:tcPr>
            <w:tcW w:w="1559" w:type="dxa"/>
            <w:vAlign w:val="top"/>
          </w:tcPr>
          <w:p w14:paraId="2ED36C24">
            <w:pPr>
              <w:spacing w:line="369" w:lineRule="auto"/>
              <w:rPr>
                <w:rFonts w:ascii="Arial"/>
                <w:sz w:val="21"/>
              </w:rPr>
            </w:pPr>
          </w:p>
          <w:p w14:paraId="1F6D002E">
            <w:pPr>
              <w:pStyle w:val="6"/>
              <w:spacing w:before="65" w:line="228" w:lineRule="auto"/>
              <w:ind w:left="366"/>
            </w:pPr>
            <w:r>
              <w:rPr>
                <w:spacing w:val="6"/>
              </w:rPr>
              <w:t>磨矿车间</w:t>
            </w:r>
          </w:p>
        </w:tc>
        <w:tc>
          <w:tcPr>
            <w:tcW w:w="6282" w:type="dxa"/>
            <w:vAlign w:val="top"/>
          </w:tcPr>
          <w:p w14:paraId="0BD975A9">
            <w:pPr>
              <w:pStyle w:val="6"/>
              <w:spacing w:before="13" w:line="255" w:lineRule="auto"/>
              <w:ind w:left="112" w:right="109" w:firstLine="435"/>
            </w:pPr>
            <w:r>
              <w:rPr>
                <w:spacing w:val="4"/>
              </w:rPr>
              <w:t>1</w:t>
            </w:r>
            <w:r>
              <w:rPr>
                <w:spacing w:val="-38"/>
              </w:rPr>
              <w:t xml:space="preserve"> </w:t>
            </w:r>
            <w:r>
              <w:rPr>
                <w:spacing w:val="4"/>
              </w:rPr>
              <w:t>座，建筑面积</w:t>
            </w:r>
            <w:r>
              <w:rPr>
                <w:spacing w:val="-35"/>
              </w:rPr>
              <w:t xml:space="preserve"> </w:t>
            </w:r>
            <w:r>
              <w:rPr>
                <w:spacing w:val="4"/>
              </w:rPr>
              <w:t>2160m</w:t>
            </w:r>
            <w:r>
              <w:rPr>
                <w:spacing w:val="4"/>
                <w:position w:val="10"/>
                <w:sz w:val="10"/>
                <w:szCs w:val="10"/>
              </w:rPr>
              <w:t>2</w:t>
            </w:r>
            <w:r>
              <w:rPr>
                <w:spacing w:val="-22"/>
                <w:position w:val="10"/>
                <w:sz w:val="10"/>
                <w:szCs w:val="10"/>
              </w:rPr>
              <w:t xml:space="preserve"> </w:t>
            </w:r>
            <w:r>
              <w:rPr>
                <w:spacing w:val="4"/>
              </w:rPr>
              <w:t>，处理能力</w:t>
            </w:r>
            <w:r>
              <w:rPr>
                <w:spacing w:val="-22"/>
              </w:rPr>
              <w:t xml:space="preserve"> </w:t>
            </w:r>
            <w:r>
              <w:rPr>
                <w:spacing w:val="4"/>
              </w:rPr>
              <w:t>1400t/d，采用半自磨+</w:t>
            </w:r>
            <w:r>
              <w:rPr>
                <w:spacing w:val="3"/>
              </w:rPr>
              <w:t>球磨</w:t>
            </w:r>
            <w:r>
              <w:t xml:space="preserve"> </w:t>
            </w:r>
            <w:r>
              <w:rPr>
                <w:spacing w:val="4"/>
              </w:rPr>
              <w:t>流程，入选磨矿粒度</w:t>
            </w:r>
            <w:r>
              <w:rPr>
                <w:spacing w:val="-37"/>
              </w:rPr>
              <w:t xml:space="preserve"> </w:t>
            </w:r>
            <w:r>
              <w:rPr>
                <w:spacing w:val="4"/>
              </w:rPr>
              <w:t>250～0</w:t>
            </w:r>
            <w:r>
              <w:t>mm</w:t>
            </w:r>
            <w:r>
              <w:rPr>
                <w:spacing w:val="4"/>
              </w:rPr>
              <w:t>，细度为-0.0</w:t>
            </w:r>
            <w:r>
              <w:rPr>
                <w:spacing w:val="3"/>
              </w:rPr>
              <w:t>74</w:t>
            </w:r>
            <w:r>
              <w:t>mm</w:t>
            </w:r>
            <w:r>
              <w:rPr>
                <w:spacing w:val="3"/>
              </w:rPr>
              <w:t xml:space="preserve"> 占</w:t>
            </w:r>
            <w:r>
              <w:rPr>
                <w:spacing w:val="-34"/>
              </w:rPr>
              <w:t xml:space="preserve"> </w:t>
            </w:r>
            <w:r>
              <w:rPr>
                <w:spacing w:val="3"/>
              </w:rPr>
              <w:t>75%；主要设备</w:t>
            </w:r>
            <w:r>
              <w:t xml:space="preserve"> </w:t>
            </w:r>
            <w:r>
              <w:rPr>
                <w:spacing w:val="5"/>
              </w:rPr>
              <w:t>包括：</w:t>
            </w:r>
            <w:r>
              <w:rPr>
                <w:rFonts w:ascii="Times New Roman" w:hAnsi="Times New Roman" w:eastAsia="Times New Roman" w:cs="Times New Roman"/>
                <w:spacing w:val="5"/>
              </w:rPr>
              <w:t>1</w:t>
            </w:r>
            <w:r>
              <w:rPr>
                <w:rFonts w:ascii="Times New Roman" w:hAnsi="Times New Roman" w:eastAsia="Times New Roman" w:cs="Times New Roman"/>
                <w:spacing w:val="36"/>
                <w:w w:val="101"/>
              </w:rPr>
              <w:t xml:space="preserve"> </w:t>
            </w:r>
            <w:r>
              <w:rPr>
                <w:spacing w:val="5"/>
              </w:rPr>
              <w:t>台湿式半自磨机</w:t>
            </w:r>
            <w:r>
              <w:rPr>
                <w:rFonts w:ascii="Times New Roman" w:hAnsi="Times New Roman" w:eastAsia="Times New Roman" w:cs="Times New Roman"/>
                <w:spacing w:val="5"/>
              </w:rPr>
              <w:t>φ5.49×3.05</w:t>
            </w:r>
            <w:r>
              <w:rPr>
                <w:rFonts w:ascii="Times New Roman" w:hAnsi="Times New Roman" w:eastAsia="Times New Roman" w:cs="Times New Roman"/>
                <w:spacing w:val="-24"/>
              </w:rPr>
              <w:t xml:space="preserve"> </w:t>
            </w:r>
            <w:r>
              <w:rPr>
                <w:spacing w:val="5"/>
              </w:rPr>
              <w:t>，</w:t>
            </w:r>
            <w:r>
              <w:rPr>
                <w:rFonts w:ascii="Times New Roman" w:hAnsi="Times New Roman" w:eastAsia="Times New Roman" w:cs="Times New Roman"/>
                <w:spacing w:val="5"/>
              </w:rPr>
              <w:t>1</w:t>
            </w:r>
            <w:r>
              <w:rPr>
                <w:rFonts w:ascii="Times New Roman" w:hAnsi="Times New Roman" w:eastAsia="Times New Roman" w:cs="Times New Roman"/>
                <w:spacing w:val="29"/>
              </w:rPr>
              <w:t xml:space="preserve"> </w:t>
            </w:r>
            <w:r>
              <w:rPr>
                <w:spacing w:val="5"/>
              </w:rPr>
              <w:t>台湿式溢流型球磨机</w:t>
            </w:r>
          </w:p>
          <w:p w14:paraId="4FA05894">
            <w:pPr>
              <w:spacing w:before="41" w:line="184" w:lineRule="auto"/>
              <w:ind w:left="111"/>
              <w:rPr>
                <w:rFonts w:ascii="仿宋" w:hAnsi="仿宋" w:eastAsia="仿宋" w:cs="仿宋"/>
                <w:sz w:val="20"/>
                <w:szCs w:val="20"/>
              </w:rPr>
            </w:pPr>
            <w:r>
              <w:rPr>
                <w:rFonts w:ascii="Times New Roman" w:hAnsi="Times New Roman" w:eastAsia="Times New Roman" w:cs="Times New Roman"/>
                <w:spacing w:val="3"/>
                <w:sz w:val="20"/>
                <w:szCs w:val="20"/>
              </w:rPr>
              <w:t>φ3800×6700</w:t>
            </w:r>
            <w:r>
              <w:rPr>
                <w:rFonts w:ascii="仿宋" w:hAnsi="仿宋" w:eastAsia="仿宋" w:cs="仿宋"/>
                <w:spacing w:val="3"/>
                <w:sz w:val="20"/>
                <w:szCs w:val="20"/>
              </w:rPr>
              <w:t>。</w:t>
            </w:r>
          </w:p>
        </w:tc>
      </w:tr>
      <w:tr w14:paraId="0196F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68" w:type="dxa"/>
            <w:vMerge w:val="continue"/>
            <w:tcBorders>
              <w:top w:val="nil"/>
              <w:bottom w:val="nil"/>
            </w:tcBorders>
            <w:vAlign w:val="top"/>
          </w:tcPr>
          <w:p w14:paraId="618F93A1">
            <w:pPr>
              <w:rPr>
                <w:rFonts w:ascii="Arial"/>
                <w:sz w:val="21"/>
              </w:rPr>
            </w:pPr>
          </w:p>
        </w:tc>
        <w:tc>
          <w:tcPr>
            <w:tcW w:w="1559" w:type="dxa"/>
            <w:vAlign w:val="top"/>
          </w:tcPr>
          <w:p w14:paraId="22BD0DDE">
            <w:pPr>
              <w:spacing w:line="321" w:lineRule="auto"/>
              <w:rPr>
                <w:rFonts w:ascii="Arial"/>
                <w:sz w:val="21"/>
              </w:rPr>
            </w:pPr>
          </w:p>
          <w:p w14:paraId="10B93A2B">
            <w:pPr>
              <w:spacing w:line="321" w:lineRule="auto"/>
              <w:rPr>
                <w:rFonts w:ascii="Arial"/>
                <w:sz w:val="21"/>
              </w:rPr>
            </w:pPr>
          </w:p>
          <w:p w14:paraId="7BDEA5CA">
            <w:pPr>
              <w:pStyle w:val="6"/>
              <w:spacing w:before="65" w:line="228" w:lineRule="auto"/>
              <w:ind w:left="365"/>
            </w:pPr>
            <w:r>
              <w:rPr>
                <w:spacing w:val="6"/>
              </w:rPr>
              <w:t>浮选车间</w:t>
            </w:r>
          </w:p>
        </w:tc>
        <w:tc>
          <w:tcPr>
            <w:tcW w:w="6282" w:type="dxa"/>
            <w:vAlign w:val="top"/>
          </w:tcPr>
          <w:p w14:paraId="0060065E">
            <w:pPr>
              <w:pStyle w:val="6"/>
              <w:spacing w:before="31" w:line="251" w:lineRule="auto"/>
              <w:ind w:left="112" w:right="38" w:firstLine="437"/>
            </w:pPr>
            <w:r>
              <w:rPr>
                <w:rFonts w:ascii="Times New Roman" w:hAnsi="Times New Roman" w:eastAsia="Times New Roman" w:cs="Times New Roman"/>
                <w:spacing w:val="5"/>
              </w:rPr>
              <w:t xml:space="preserve">1 </w:t>
            </w:r>
            <w:r>
              <w:rPr>
                <w:spacing w:val="5"/>
              </w:rPr>
              <w:t>座，建筑面积</w:t>
            </w:r>
            <w:r>
              <w:rPr>
                <w:spacing w:val="-33"/>
              </w:rPr>
              <w:t xml:space="preserve"> </w:t>
            </w:r>
            <w:r>
              <w:rPr>
                <w:rFonts w:ascii="Times New Roman" w:hAnsi="Times New Roman" w:eastAsia="Times New Roman" w:cs="Times New Roman"/>
                <w:spacing w:val="5"/>
              </w:rPr>
              <w:t>2160m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rPr>
              <w:t>，采用全优先浮选工艺流程。矿石磨至</w:t>
            </w:r>
            <w:r>
              <w:t xml:space="preserve"> </w:t>
            </w:r>
            <w:r>
              <w:rPr>
                <w:spacing w:val="6"/>
              </w:rPr>
              <w:t>细度</w:t>
            </w:r>
            <w:r>
              <w:rPr>
                <w:spacing w:val="-28"/>
              </w:rPr>
              <w:t xml:space="preserve"> </w:t>
            </w:r>
            <w:r>
              <w:rPr>
                <w:rFonts w:ascii="Times New Roman" w:hAnsi="Times New Roman" w:eastAsia="Times New Roman" w:cs="Times New Roman"/>
                <w:spacing w:val="6"/>
              </w:rPr>
              <w:t>75%-0.074</w:t>
            </w:r>
            <w:r>
              <w:rPr>
                <w:rFonts w:ascii="Times New Roman" w:hAnsi="Times New Roman" w:eastAsia="Times New Roman" w:cs="Times New Roman"/>
              </w:rPr>
              <w:t>mm</w:t>
            </w:r>
            <w:r>
              <w:rPr>
                <w:rFonts w:ascii="Times New Roman" w:hAnsi="Times New Roman" w:eastAsia="Times New Roman" w:cs="Times New Roman"/>
                <w:spacing w:val="16"/>
                <w:w w:val="101"/>
              </w:rPr>
              <w:t xml:space="preserve"> </w:t>
            </w:r>
            <w:r>
              <w:rPr>
                <w:spacing w:val="6"/>
              </w:rPr>
              <w:t>后，进入铅浮选回路，经一次粗选、三次扫选、</w:t>
            </w:r>
            <w:r>
              <w:t xml:space="preserve"> </w:t>
            </w:r>
            <w:r>
              <w:rPr>
                <w:spacing w:val="10"/>
              </w:rPr>
              <w:t>四次精选产出铅精矿；铅浮选尾矿进入锌浮选回路，经一次粗选、</w:t>
            </w:r>
            <w:r>
              <w:rPr>
                <w:spacing w:val="4"/>
              </w:rPr>
              <w:t xml:space="preserve"> </w:t>
            </w:r>
            <w:r>
              <w:rPr>
                <w:spacing w:val="10"/>
              </w:rPr>
              <w:t>三次扫选、四次精选产出锌精矿和最终尾矿。浮选产出的铅精矿、</w:t>
            </w:r>
            <w:r>
              <w:rPr>
                <w:spacing w:val="4"/>
              </w:rPr>
              <w:t xml:space="preserve"> </w:t>
            </w:r>
            <w:r>
              <w:rPr>
                <w:spacing w:val="9"/>
              </w:rPr>
              <w:t>锌精矿送精矿脱水作业，尾矿经厂前浓缩后送尾矿坝堆存；</w:t>
            </w:r>
          </w:p>
          <w:p w14:paraId="4611F3E0">
            <w:pPr>
              <w:pStyle w:val="6"/>
              <w:spacing w:line="218" w:lineRule="auto"/>
              <w:ind w:left="534"/>
            </w:pPr>
            <w:r>
              <w:rPr>
                <w:spacing w:val="4"/>
              </w:rPr>
              <w:t>主要设备包括：</w:t>
            </w:r>
            <w:r>
              <w:rPr>
                <w:rFonts w:ascii="Times New Roman" w:hAnsi="Times New Roman" w:eastAsia="Times New Roman" w:cs="Times New Roman"/>
                <w:spacing w:val="4"/>
              </w:rPr>
              <w:t>2</w:t>
            </w:r>
            <w:r>
              <w:rPr>
                <w:rFonts w:ascii="Times New Roman" w:hAnsi="Times New Roman" w:eastAsia="Times New Roman" w:cs="Times New Roman"/>
                <w:spacing w:val="46"/>
                <w:w w:val="101"/>
              </w:rPr>
              <w:t xml:space="preserve"> </w:t>
            </w:r>
            <w:r>
              <w:rPr>
                <w:spacing w:val="4"/>
              </w:rPr>
              <w:t>台提升搅拌槽</w:t>
            </w:r>
            <w:r>
              <w:rPr>
                <w:spacing w:val="-44"/>
              </w:rPr>
              <w:t xml:space="preserve"> </w:t>
            </w:r>
            <w:r>
              <w:rPr>
                <w:rFonts w:ascii="Times New Roman" w:hAnsi="Times New Roman" w:eastAsia="Times New Roman" w:cs="Times New Roman"/>
              </w:rPr>
              <w:t>XBT</w:t>
            </w:r>
            <w:r>
              <w:rPr>
                <w:rFonts w:ascii="Times New Roman" w:hAnsi="Times New Roman" w:eastAsia="Times New Roman" w:cs="Times New Roman"/>
                <w:spacing w:val="4"/>
              </w:rPr>
              <w:t>-3500</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43</w:t>
            </w:r>
            <w:r>
              <w:rPr>
                <w:rFonts w:ascii="Times New Roman" w:hAnsi="Times New Roman" w:eastAsia="Times New Roman" w:cs="Times New Roman"/>
                <w:spacing w:val="29"/>
              </w:rPr>
              <w:t xml:space="preserve"> </w:t>
            </w:r>
            <w:r>
              <w:rPr>
                <w:spacing w:val="4"/>
              </w:rPr>
              <w:t>台浮选槽。</w:t>
            </w:r>
          </w:p>
        </w:tc>
      </w:tr>
      <w:tr w14:paraId="1886A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68" w:type="dxa"/>
            <w:vMerge w:val="continue"/>
            <w:tcBorders>
              <w:top w:val="nil"/>
              <w:bottom w:val="nil"/>
            </w:tcBorders>
            <w:vAlign w:val="top"/>
          </w:tcPr>
          <w:p w14:paraId="7FC788F4">
            <w:pPr>
              <w:rPr>
                <w:rFonts w:ascii="Arial"/>
                <w:sz w:val="21"/>
              </w:rPr>
            </w:pPr>
          </w:p>
        </w:tc>
        <w:tc>
          <w:tcPr>
            <w:tcW w:w="1559" w:type="dxa"/>
            <w:vAlign w:val="top"/>
          </w:tcPr>
          <w:p w14:paraId="7C170DEC">
            <w:pPr>
              <w:pStyle w:val="6"/>
              <w:spacing w:before="304" w:line="228" w:lineRule="auto"/>
              <w:ind w:left="364"/>
            </w:pPr>
            <w:r>
              <w:rPr>
                <w:spacing w:val="7"/>
              </w:rPr>
              <w:t>脱水车间</w:t>
            </w:r>
          </w:p>
        </w:tc>
        <w:tc>
          <w:tcPr>
            <w:tcW w:w="6282" w:type="dxa"/>
            <w:vAlign w:val="top"/>
          </w:tcPr>
          <w:p w14:paraId="5935BC60">
            <w:pPr>
              <w:pStyle w:val="6"/>
              <w:spacing w:before="32" w:line="251" w:lineRule="auto"/>
              <w:ind w:left="112" w:right="109" w:firstLine="436"/>
            </w:pPr>
            <w:r>
              <w:rPr>
                <w:rFonts w:ascii="Times New Roman" w:hAnsi="Times New Roman" w:eastAsia="Times New Roman" w:cs="Times New Roman"/>
                <w:spacing w:val="5"/>
              </w:rPr>
              <w:t xml:space="preserve">1 </w:t>
            </w:r>
            <w:r>
              <w:rPr>
                <w:spacing w:val="5"/>
              </w:rPr>
              <w:t>座，建筑面积</w:t>
            </w:r>
            <w:r>
              <w:rPr>
                <w:spacing w:val="-33"/>
              </w:rPr>
              <w:t xml:space="preserve"> </w:t>
            </w:r>
            <w:r>
              <w:rPr>
                <w:rFonts w:ascii="Times New Roman" w:hAnsi="Times New Roman" w:eastAsia="Times New Roman" w:cs="Times New Roman"/>
                <w:spacing w:val="5"/>
              </w:rPr>
              <w:t>2160m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rPr>
              <w:t>，铅精矿、锌精矿脱水流程设计均采用</w:t>
            </w:r>
            <w:r>
              <w:t xml:space="preserve"> </w:t>
            </w:r>
            <w:r>
              <w:rPr>
                <w:spacing w:val="7"/>
              </w:rPr>
              <w:t>浓密、过滤两段脱水流程，精矿最终水分</w:t>
            </w:r>
            <w:r>
              <w:rPr>
                <w:spacing w:val="-16"/>
              </w:rPr>
              <w:t xml:space="preserve"> </w:t>
            </w:r>
            <w:r>
              <w:rPr>
                <w:rFonts w:ascii="Times New Roman" w:hAnsi="Times New Roman" w:eastAsia="Times New Roman" w:cs="Times New Roman"/>
                <w:spacing w:val="7"/>
              </w:rPr>
              <w:t>10</w:t>
            </w:r>
            <w:r>
              <w:rPr>
                <w:spacing w:val="7"/>
              </w:rPr>
              <w:t>～</w:t>
            </w:r>
            <w:r>
              <w:rPr>
                <w:rFonts w:ascii="Times New Roman" w:hAnsi="Times New Roman" w:eastAsia="Times New Roman" w:cs="Times New Roman"/>
                <w:spacing w:val="7"/>
              </w:rPr>
              <w:t>12%</w:t>
            </w:r>
            <w:r>
              <w:rPr>
                <w:spacing w:val="7"/>
              </w:rPr>
              <w:t>；</w:t>
            </w:r>
          </w:p>
          <w:p w14:paraId="72519421">
            <w:pPr>
              <w:pStyle w:val="6"/>
              <w:spacing w:line="216" w:lineRule="auto"/>
              <w:ind w:left="534"/>
            </w:pPr>
            <w:r>
              <w:rPr>
                <w:spacing w:val="6"/>
              </w:rPr>
              <w:t>主要设备包括：</w:t>
            </w:r>
            <w:r>
              <w:rPr>
                <w:rFonts w:ascii="Times New Roman" w:hAnsi="Times New Roman" w:eastAsia="Times New Roman" w:cs="Times New Roman"/>
                <w:spacing w:val="6"/>
              </w:rPr>
              <w:t>2</w:t>
            </w:r>
            <w:r>
              <w:rPr>
                <w:rFonts w:ascii="Times New Roman" w:hAnsi="Times New Roman" w:eastAsia="Times New Roman" w:cs="Times New Roman"/>
                <w:spacing w:val="42"/>
                <w:w w:val="101"/>
              </w:rPr>
              <w:t xml:space="preserve"> </w:t>
            </w:r>
            <w:r>
              <w:rPr>
                <w:spacing w:val="6"/>
              </w:rPr>
              <w:t>台中心传动浓缩机，</w:t>
            </w:r>
            <w:r>
              <w:rPr>
                <w:rFonts w:ascii="Times New Roman" w:hAnsi="Times New Roman" w:eastAsia="Times New Roman" w:cs="Times New Roman"/>
                <w:spacing w:val="6"/>
              </w:rPr>
              <w:t>2</w:t>
            </w:r>
            <w:r>
              <w:rPr>
                <w:rFonts w:ascii="Times New Roman" w:hAnsi="Times New Roman" w:eastAsia="Times New Roman" w:cs="Times New Roman"/>
                <w:spacing w:val="28"/>
                <w:w w:val="101"/>
              </w:rPr>
              <w:t xml:space="preserve"> </w:t>
            </w:r>
            <w:r>
              <w:rPr>
                <w:spacing w:val="6"/>
              </w:rPr>
              <w:t>台陶瓷过滤机。</w:t>
            </w:r>
          </w:p>
        </w:tc>
      </w:tr>
      <w:tr w14:paraId="26FDD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tcBorders>
            <w:vAlign w:val="top"/>
          </w:tcPr>
          <w:p w14:paraId="216CB1C5">
            <w:pPr>
              <w:rPr>
                <w:rFonts w:ascii="Arial"/>
                <w:sz w:val="21"/>
              </w:rPr>
            </w:pPr>
          </w:p>
        </w:tc>
        <w:tc>
          <w:tcPr>
            <w:tcW w:w="1559" w:type="dxa"/>
            <w:vAlign w:val="top"/>
          </w:tcPr>
          <w:p w14:paraId="2A6D8CA3">
            <w:pPr>
              <w:pStyle w:val="6"/>
              <w:spacing w:before="215" w:line="227" w:lineRule="auto"/>
              <w:ind w:left="363"/>
            </w:pPr>
            <w:r>
              <w:rPr>
                <w:spacing w:val="7"/>
              </w:rPr>
              <w:t>精矿车间</w:t>
            </w:r>
          </w:p>
        </w:tc>
        <w:tc>
          <w:tcPr>
            <w:tcW w:w="6282" w:type="dxa"/>
            <w:vAlign w:val="top"/>
          </w:tcPr>
          <w:p w14:paraId="5CFAAF4E">
            <w:pPr>
              <w:pStyle w:val="6"/>
              <w:spacing w:before="41" w:line="273" w:lineRule="auto"/>
              <w:ind w:left="112" w:right="173" w:firstLine="436"/>
            </w:pPr>
            <w:r>
              <w:rPr>
                <w:spacing w:val="6"/>
              </w:rPr>
              <w:t>1座，建筑面积2430 m</w:t>
            </w:r>
            <w:r>
              <w:rPr>
                <w:spacing w:val="6"/>
                <w:position w:val="10"/>
                <w:sz w:val="10"/>
                <w:szCs w:val="10"/>
              </w:rPr>
              <w:t>2</w:t>
            </w:r>
            <w:r>
              <w:rPr>
                <w:spacing w:val="-25"/>
                <w:position w:val="10"/>
                <w:sz w:val="10"/>
                <w:szCs w:val="10"/>
              </w:rPr>
              <w:t xml:space="preserve"> </w:t>
            </w:r>
            <w:r>
              <w:rPr>
                <w:spacing w:val="6"/>
              </w:rPr>
              <w:t>，用于暂存脱水车间脱</w:t>
            </w:r>
            <w:r>
              <w:rPr>
                <w:spacing w:val="5"/>
              </w:rPr>
              <w:t>水后的铅精矿、</w:t>
            </w:r>
            <w:r>
              <w:t xml:space="preserve"> </w:t>
            </w:r>
            <w:r>
              <w:rPr>
                <w:spacing w:val="5"/>
              </w:rPr>
              <w:t>锌精矿。</w:t>
            </w:r>
          </w:p>
        </w:tc>
      </w:tr>
      <w:tr w14:paraId="5D14E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68" w:type="dxa"/>
            <w:vMerge w:val="restart"/>
            <w:tcBorders>
              <w:bottom w:val="nil"/>
            </w:tcBorders>
            <w:vAlign w:val="top"/>
          </w:tcPr>
          <w:p w14:paraId="730B8657">
            <w:pPr>
              <w:spacing w:line="251" w:lineRule="auto"/>
              <w:rPr>
                <w:rFonts w:ascii="Arial"/>
                <w:sz w:val="21"/>
              </w:rPr>
            </w:pPr>
          </w:p>
          <w:p w14:paraId="345BB4AC">
            <w:pPr>
              <w:spacing w:line="251" w:lineRule="auto"/>
              <w:rPr>
                <w:rFonts w:ascii="Arial"/>
                <w:sz w:val="21"/>
              </w:rPr>
            </w:pPr>
          </w:p>
          <w:p w14:paraId="1161EB44">
            <w:pPr>
              <w:spacing w:line="252" w:lineRule="auto"/>
              <w:rPr>
                <w:rFonts w:ascii="Arial"/>
                <w:sz w:val="21"/>
              </w:rPr>
            </w:pPr>
          </w:p>
          <w:p w14:paraId="6FCED549">
            <w:pPr>
              <w:spacing w:line="252" w:lineRule="auto"/>
              <w:rPr>
                <w:rFonts w:ascii="Arial"/>
                <w:sz w:val="21"/>
              </w:rPr>
            </w:pPr>
          </w:p>
          <w:p w14:paraId="0063C6D7">
            <w:pPr>
              <w:spacing w:line="252" w:lineRule="auto"/>
              <w:rPr>
                <w:rFonts w:ascii="Arial"/>
                <w:sz w:val="21"/>
              </w:rPr>
            </w:pPr>
          </w:p>
          <w:p w14:paraId="33D8C7A8">
            <w:pPr>
              <w:spacing w:line="252" w:lineRule="auto"/>
              <w:rPr>
                <w:rFonts w:ascii="Arial"/>
                <w:sz w:val="21"/>
              </w:rPr>
            </w:pPr>
          </w:p>
          <w:p w14:paraId="63CFABFD">
            <w:pPr>
              <w:spacing w:line="252" w:lineRule="auto"/>
              <w:rPr>
                <w:rFonts w:ascii="Arial"/>
                <w:sz w:val="21"/>
              </w:rPr>
            </w:pPr>
          </w:p>
          <w:p w14:paraId="67858681">
            <w:pPr>
              <w:pStyle w:val="6"/>
              <w:spacing w:before="65" w:line="229" w:lineRule="auto"/>
              <w:ind w:left="136"/>
            </w:pPr>
            <w:r>
              <w:rPr>
                <w:spacing w:val="1"/>
              </w:rPr>
              <w:t>公用</w:t>
            </w:r>
          </w:p>
          <w:p w14:paraId="0A52D66F">
            <w:pPr>
              <w:pStyle w:val="6"/>
              <w:spacing w:before="25" w:line="228" w:lineRule="auto"/>
              <w:ind w:left="132"/>
            </w:pPr>
            <w:r>
              <w:rPr>
                <w:spacing w:val="3"/>
              </w:rPr>
              <w:t>工程</w:t>
            </w:r>
          </w:p>
        </w:tc>
        <w:tc>
          <w:tcPr>
            <w:tcW w:w="1559" w:type="dxa"/>
            <w:vAlign w:val="top"/>
          </w:tcPr>
          <w:p w14:paraId="6C1A93E4">
            <w:pPr>
              <w:rPr>
                <w:rFonts w:ascii="Arial"/>
                <w:sz w:val="21"/>
              </w:rPr>
            </w:pPr>
          </w:p>
          <w:p w14:paraId="6B1018B5">
            <w:pPr>
              <w:pStyle w:val="6"/>
              <w:spacing w:before="65" w:line="227" w:lineRule="auto"/>
              <w:ind w:left="363"/>
            </w:pPr>
            <w:r>
              <w:rPr>
                <w:spacing w:val="7"/>
              </w:rPr>
              <w:t>供水系统</w:t>
            </w:r>
          </w:p>
        </w:tc>
        <w:tc>
          <w:tcPr>
            <w:tcW w:w="6282" w:type="dxa"/>
            <w:vAlign w:val="top"/>
          </w:tcPr>
          <w:p w14:paraId="69EB8F53">
            <w:pPr>
              <w:pStyle w:val="6"/>
              <w:spacing w:before="34" w:line="239" w:lineRule="auto"/>
              <w:ind w:left="112" w:right="106" w:firstLine="421"/>
              <w:jc w:val="both"/>
            </w:pPr>
            <w:r>
              <w:rPr>
                <w:spacing w:val="9"/>
              </w:rPr>
              <w:t>生产用水来源于矿井疏干水，生活用水来源</w:t>
            </w:r>
            <w:r>
              <w:rPr>
                <w:spacing w:val="8"/>
              </w:rPr>
              <w:t>于水源地深井水，</w:t>
            </w:r>
            <w:r>
              <w:t xml:space="preserve"> </w:t>
            </w:r>
            <w:r>
              <w:rPr>
                <w:spacing w:val="-3"/>
              </w:rPr>
              <w:t>水房距办公生活区西</w:t>
            </w:r>
            <w:r>
              <w:rPr>
                <w:spacing w:val="-38"/>
              </w:rPr>
              <w:t xml:space="preserve"> </w:t>
            </w:r>
            <w:r>
              <w:rPr>
                <w:spacing w:val="-3"/>
              </w:rPr>
              <w:t>6km，已取得取水许可证（取水（西水）字[2018]</w:t>
            </w:r>
            <w:r>
              <w:t xml:space="preserve"> </w:t>
            </w:r>
            <w:r>
              <w:rPr>
                <w:spacing w:val="3"/>
              </w:rPr>
              <w:t>第</w:t>
            </w:r>
            <w:r>
              <w:rPr>
                <w:spacing w:val="-38"/>
              </w:rPr>
              <w:t xml:space="preserve"> </w:t>
            </w:r>
            <w:r>
              <w:rPr>
                <w:spacing w:val="3"/>
              </w:rPr>
              <w:t>01</w:t>
            </w:r>
            <w:r>
              <w:rPr>
                <w:spacing w:val="-33"/>
              </w:rPr>
              <w:t xml:space="preserve"> </w:t>
            </w:r>
            <w:r>
              <w:rPr>
                <w:spacing w:val="3"/>
              </w:rPr>
              <w:t>号</w:t>
            </w:r>
            <w:r>
              <w:rPr>
                <w:spacing w:val="13"/>
              </w:rPr>
              <w:t>），</w:t>
            </w:r>
            <w:r>
              <w:rPr>
                <w:spacing w:val="-49"/>
              </w:rPr>
              <w:t xml:space="preserve"> </w:t>
            </w:r>
            <w:r>
              <w:rPr>
                <w:spacing w:val="3"/>
              </w:rPr>
              <w:t>日常生活用水由水车拉运。</w:t>
            </w:r>
          </w:p>
        </w:tc>
      </w:tr>
      <w:tr w14:paraId="7D0D4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8" w:type="dxa"/>
            <w:vMerge w:val="continue"/>
            <w:tcBorders>
              <w:top w:val="nil"/>
              <w:bottom w:val="nil"/>
            </w:tcBorders>
            <w:vAlign w:val="top"/>
          </w:tcPr>
          <w:p w14:paraId="2671F76A">
            <w:pPr>
              <w:rPr>
                <w:rFonts w:ascii="Arial"/>
                <w:sz w:val="21"/>
              </w:rPr>
            </w:pPr>
          </w:p>
        </w:tc>
        <w:tc>
          <w:tcPr>
            <w:tcW w:w="1559" w:type="dxa"/>
            <w:vAlign w:val="top"/>
          </w:tcPr>
          <w:p w14:paraId="18758E15">
            <w:pPr>
              <w:spacing w:line="376" w:lineRule="auto"/>
              <w:rPr>
                <w:rFonts w:ascii="Arial"/>
                <w:sz w:val="21"/>
              </w:rPr>
            </w:pPr>
          </w:p>
          <w:p w14:paraId="6AB14F37">
            <w:pPr>
              <w:pStyle w:val="6"/>
              <w:spacing w:before="65" w:line="227" w:lineRule="auto"/>
              <w:ind w:left="363"/>
            </w:pPr>
            <w:r>
              <w:rPr>
                <w:spacing w:val="7"/>
              </w:rPr>
              <w:t>供电系统</w:t>
            </w:r>
          </w:p>
        </w:tc>
        <w:tc>
          <w:tcPr>
            <w:tcW w:w="6282" w:type="dxa"/>
            <w:vAlign w:val="top"/>
          </w:tcPr>
          <w:p w14:paraId="08FFA099">
            <w:pPr>
              <w:pStyle w:val="6"/>
              <w:spacing w:before="34" w:line="242" w:lineRule="auto"/>
              <w:ind w:left="114" w:right="107" w:firstLine="418"/>
              <w:jc w:val="both"/>
            </w:pPr>
            <w:r>
              <w:rPr>
                <w:spacing w:val="12"/>
              </w:rPr>
              <w:t>供电电源来自宝日格斯台</w:t>
            </w:r>
            <w:r>
              <w:rPr>
                <w:spacing w:val="-26"/>
              </w:rPr>
              <w:t xml:space="preserve"> </w:t>
            </w:r>
            <w:r>
              <w:rPr>
                <w:spacing w:val="12"/>
              </w:rPr>
              <w:t>35</w:t>
            </w:r>
            <w:r>
              <w:t>kV</w:t>
            </w:r>
            <w:r>
              <w:rPr>
                <w:spacing w:val="-33"/>
              </w:rPr>
              <w:t xml:space="preserve"> </w:t>
            </w:r>
            <w:r>
              <w:rPr>
                <w:spacing w:val="12"/>
              </w:rPr>
              <w:t>变电站，在选矿工业场地建</w:t>
            </w:r>
            <w:r>
              <w:rPr>
                <w:spacing w:val="-19"/>
              </w:rPr>
              <w:t xml:space="preserve"> </w:t>
            </w:r>
            <w:r>
              <w:rPr>
                <w:spacing w:val="12"/>
              </w:rPr>
              <w:t>1</w:t>
            </w:r>
            <w:r>
              <w:t xml:space="preserve"> </w:t>
            </w:r>
            <w:r>
              <w:rPr>
                <w:spacing w:val="11"/>
              </w:rPr>
              <w:t>座选矿</w:t>
            </w:r>
            <w:r>
              <w:rPr>
                <w:spacing w:val="-15"/>
              </w:rPr>
              <w:t xml:space="preserve"> </w:t>
            </w:r>
            <w:r>
              <w:rPr>
                <w:spacing w:val="11"/>
              </w:rPr>
              <w:t>10</w:t>
            </w:r>
            <w:r>
              <w:t>kV</w:t>
            </w:r>
            <w:r>
              <w:rPr>
                <w:spacing w:val="-31"/>
              </w:rPr>
              <w:t xml:space="preserve"> </w:t>
            </w:r>
            <w:r>
              <w:rPr>
                <w:spacing w:val="11"/>
              </w:rPr>
              <w:t>变配电所，</w:t>
            </w:r>
            <w:r>
              <w:rPr>
                <w:spacing w:val="-51"/>
              </w:rPr>
              <w:t xml:space="preserve"> </w:t>
            </w:r>
            <w:r>
              <w:rPr>
                <w:spacing w:val="11"/>
              </w:rPr>
              <w:t>电源采用双回路</w:t>
            </w:r>
            <w:r>
              <w:rPr>
                <w:spacing w:val="-16"/>
              </w:rPr>
              <w:t xml:space="preserve"> </w:t>
            </w:r>
            <w:r>
              <w:rPr>
                <w:spacing w:val="11"/>
              </w:rPr>
              <w:t>10</w:t>
            </w:r>
            <w:r>
              <w:t>kV</w:t>
            </w:r>
            <w:r>
              <w:rPr>
                <w:spacing w:val="-30"/>
              </w:rPr>
              <w:t xml:space="preserve"> </w:t>
            </w:r>
            <w:r>
              <w:rPr>
                <w:spacing w:val="11"/>
              </w:rPr>
              <w:t>架空线路引自矿区</w:t>
            </w:r>
            <w:r>
              <w:t xml:space="preserve"> </w:t>
            </w:r>
            <w:r>
              <w:rPr>
                <w:spacing w:val="8"/>
              </w:rPr>
              <w:t>110</w:t>
            </w:r>
            <w:r>
              <w:t>kV</w:t>
            </w:r>
            <w:r>
              <w:rPr>
                <w:spacing w:val="-36"/>
              </w:rPr>
              <w:t xml:space="preserve"> </w:t>
            </w:r>
            <w:r>
              <w:rPr>
                <w:spacing w:val="8"/>
              </w:rPr>
              <w:t>变电站。10</w:t>
            </w:r>
            <w:r>
              <w:t>kV</w:t>
            </w:r>
            <w:r>
              <w:rPr>
                <w:spacing w:val="-42"/>
              </w:rPr>
              <w:t xml:space="preserve"> </w:t>
            </w:r>
            <w:r>
              <w:rPr>
                <w:spacing w:val="8"/>
              </w:rPr>
              <w:t>侧采用两段单母线分段运行，并设置联络、分</w:t>
            </w:r>
            <w:r>
              <w:t xml:space="preserve"> </w:t>
            </w:r>
            <w:r>
              <w:rPr>
                <w:spacing w:val="8"/>
              </w:rPr>
              <w:t>别计量；10</w:t>
            </w:r>
            <w:r>
              <w:t>kV</w:t>
            </w:r>
            <w:r>
              <w:rPr>
                <w:spacing w:val="-25"/>
              </w:rPr>
              <w:t xml:space="preserve"> </w:t>
            </w:r>
            <w:r>
              <w:rPr>
                <w:spacing w:val="8"/>
              </w:rPr>
              <w:t>馈线以放射式电缆线路向各车间供电。</w:t>
            </w:r>
          </w:p>
        </w:tc>
      </w:tr>
      <w:tr w14:paraId="36F72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8" w:type="dxa"/>
            <w:vMerge w:val="continue"/>
            <w:tcBorders>
              <w:top w:val="nil"/>
              <w:bottom w:val="nil"/>
            </w:tcBorders>
            <w:vAlign w:val="top"/>
          </w:tcPr>
          <w:p w14:paraId="626003B3">
            <w:pPr>
              <w:rPr>
                <w:rFonts w:ascii="Arial"/>
                <w:sz w:val="21"/>
              </w:rPr>
            </w:pPr>
          </w:p>
        </w:tc>
        <w:tc>
          <w:tcPr>
            <w:tcW w:w="1559" w:type="dxa"/>
            <w:vAlign w:val="top"/>
          </w:tcPr>
          <w:p w14:paraId="74989D55">
            <w:pPr>
              <w:pStyle w:val="6"/>
              <w:spacing w:before="171" w:line="227" w:lineRule="auto"/>
              <w:ind w:left="363"/>
            </w:pPr>
            <w:r>
              <w:rPr>
                <w:spacing w:val="7"/>
              </w:rPr>
              <w:t>供暖系统</w:t>
            </w:r>
          </w:p>
        </w:tc>
        <w:tc>
          <w:tcPr>
            <w:tcW w:w="6282" w:type="dxa"/>
            <w:vAlign w:val="top"/>
          </w:tcPr>
          <w:p w14:paraId="7D9D8065">
            <w:pPr>
              <w:pStyle w:val="6"/>
              <w:spacing w:before="37" w:line="232" w:lineRule="auto"/>
              <w:ind w:left="112" w:right="109" w:firstLine="420"/>
            </w:pPr>
            <w:r>
              <w:rPr>
                <w:spacing w:val="4"/>
              </w:rPr>
              <w:t>锅炉房</w:t>
            </w:r>
            <w:r>
              <w:rPr>
                <w:spacing w:val="-24"/>
              </w:rPr>
              <w:t xml:space="preserve"> </w:t>
            </w:r>
            <w:r>
              <w:rPr>
                <w:spacing w:val="4"/>
              </w:rPr>
              <w:t>1</w:t>
            </w:r>
            <w:r>
              <w:rPr>
                <w:spacing w:val="-36"/>
              </w:rPr>
              <w:t xml:space="preserve"> </w:t>
            </w:r>
            <w:r>
              <w:rPr>
                <w:spacing w:val="4"/>
              </w:rPr>
              <w:t>座，内设</w:t>
            </w:r>
            <w:r>
              <w:rPr>
                <w:spacing w:val="-37"/>
              </w:rPr>
              <w:t xml:space="preserve"> </w:t>
            </w:r>
            <w:r>
              <w:rPr>
                <w:spacing w:val="4"/>
              </w:rPr>
              <w:t>2</w:t>
            </w:r>
            <w:r>
              <w:rPr>
                <w:spacing w:val="-22"/>
              </w:rPr>
              <w:t xml:space="preserve"> </w:t>
            </w:r>
            <w:r>
              <w:rPr>
                <w:spacing w:val="4"/>
              </w:rPr>
              <w:t>台</w:t>
            </w:r>
            <w:r>
              <w:rPr>
                <w:spacing w:val="-41"/>
              </w:rPr>
              <w:t xml:space="preserve"> </w:t>
            </w:r>
            <w:r>
              <w:t>CDZL</w:t>
            </w:r>
            <w:r>
              <w:rPr>
                <w:spacing w:val="4"/>
              </w:rPr>
              <w:t>4.2-0/90/65-T</w:t>
            </w:r>
            <w:r>
              <w:rPr>
                <w:spacing w:val="-31"/>
              </w:rPr>
              <w:t xml:space="preserve"> </w:t>
            </w:r>
            <w:r>
              <w:rPr>
                <w:spacing w:val="4"/>
              </w:rPr>
              <w:t>型生物质常压热水</w:t>
            </w:r>
            <w:r>
              <w:t xml:space="preserve"> </w:t>
            </w:r>
            <w:r>
              <w:rPr>
                <w:spacing w:val="3"/>
              </w:rPr>
              <w:t>锅炉。</w:t>
            </w:r>
          </w:p>
        </w:tc>
      </w:tr>
      <w:tr w14:paraId="05E41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8" w:type="dxa"/>
            <w:vMerge w:val="continue"/>
            <w:tcBorders>
              <w:top w:val="nil"/>
              <w:bottom w:val="nil"/>
            </w:tcBorders>
            <w:vAlign w:val="top"/>
          </w:tcPr>
          <w:p w14:paraId="22E7E513">
            <w:pPr>
              <w:rPr>
                <w:rFonts w:ascii="Arial"/>
                <w:sz w:val="21"/>
              </w:rPr>
            </w:pPr>
          </w:p>
        </w:tc>
        <w:tc>
          <w:tcPr>
            <w:tcW w:w="1559" w:type="dxa"/>
            <w:vAlign w:val="top"/>
          </w:tcPr>
          <w:p w14:paraId="6F019BC6">
            <w:pPr>
              <w:pStyle w:val="6"/>
              <w:spacing w:before="35" w:line="228" w:lineRule="auto"/>
              <w:ind w:left="156"/>
            </w:pPr>
            <w:r>
              <w:rPr>
                <w:spacing w:val="7"/>
              </w:rPr>
              <w:t>办公设施及生</w:t>
            </w:r>
          </w:p>
          <w:p w14:paraId="5D6CE2A5">
            <w:pPr>
              <w:pStyle w:val="6"/>
              <w:spacing w:before="24" w:line="215" w:lineRule="auto"/>
              <w:ind w:left="576"/>
            </w:pPr>
            <w:r>
              <w:rPr>
                <w:spacing w:val="3"/>
              </w:rPr>
              <w:t>活区</w:t>
            </w:r>
          </w:p>
        </w:tc>
        <w:tc>
          <w:tcPr>
            <w:tcW w:w="6282" w:type="dxa"/>
            <w:vAlign w:val="top"/>
          </w:tcPr>
          <w:p w14:paraId="1FBDEB7E">
            <w:pPr>
              <w:pStyle w:val="6"/>
              <w:spacing w:before="18" w:line="241" w:lineRule="auto"/>
              <w:ind w:left="117"/>
            </w:pPr>
            <w:r>
              <w:rPr>
                <w:spacing w:val="7"/>
              </w:rPr>
              <w:t>办公设施及生活区位于选厂东南侧，占地面积约</w:t>
            </w:r>
            <w:r>
              <w:rPr>
                <w:spacing w:val="-18"/>
              </w:rPr>
              <w:t xml:space="preserve"> </w:t>
            </w:r>
            <w:r>
              <w:rPr>
                <w:spacing w:val="7"/>
              </w:rPr>
              <w:t>2.22</w:t>
            </w:r>
            <w:r>
              <w:t>hm</w:t>
            </w:r>
            <w:r>
              <w:rPr>
                <w:spacing w:val="7"/>
                <w:position w:val="10"/>
                <w:sz w:val="10"/>
                <w:szCs w:val="10"/>
              </w:rPr>
              <w:t>2</w:t>
            </w:r>
            <w:r>
              <w:rPr>
                <w:spacing w:val="7"/>
              </w:rPr>
              <w:t>,包括办公</w:t>
            </w:r>
          </w:p>
          <w:p w14:paraId="6E5C496C">
            <w:pPr>
              <w:pStyle w:val="6"/>
              <w:spacing w:before="27" w:line="215" w:lineRule="auto"/>
              <w:ind w:left="2303"/>
            </w:pPr>
            <w:r>
              <w:rPr>
                <w:spacing w:val="8"/>
              </w:rPr>
              <w:t>楼、宿舍、食堂等</w:t>
            </w:r>
          </w:p>
        </w:tc>
      </w:tr>
      <w:tr w14:paraId="43EC3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4AE80FEE">
            <w:pPr>
              <w:rPr>
                <w:rFonts w:ascii="Arial"/>
                <w:sz w:val="21"/>
              </w:rPr>
            </w:pPr>
          </w:p>
        </w:tc>
        <w:tc>
          <w:tcPr>
            <w:tcW w:w="1559" w:type="dxa"/>
            <w:vAlign w:val="top"/>
          </w:tcPr>
          <w:p w14:paraId="5229CE83">
            <w:pPr>
              <w:pStyle w:val="6"/>
              <w:spacing w:before="81" w:line="227" w:lineRule="auto"/>
              <w:ind w:left="370"/>
            </w:pPr>
            <w:r>
              <w:rPr>
                <w:spacing w:val="5"/>
              </w:rPr>
              <w:t>空压机房</w:t>
            </w:r>
          </w:p>
        </w:tc>
        <w:tc>
          <w:tcPr>
            <w:tcW w:w="6282" w:type="dxa"/>
            <w:vAlign w:val="top"/>
          </w:tcPr>
          <w:p w14:paraId="04D660D3">
            <w:pPr>
              <w:pStyle w:val="6"/>
              <w:spacing w:before="66" w:line="241" w:lineRule="auto"/>
              <w:ind w:left="1086"/>
            </w:pPr>
            <w:r>
              <w:rPr>
                <w:spacing w:val="4"/>
              </w:rPr>
              <w:t>1</w:t>
            </w:r>
            <w:r>
              <w:rPr>
                <w:spacing w:val="-19"/>
              </w:rPr>
              <w:t xml:space="preserve"> </w:t>
            </w:r>
            <w:r>
              <w:rPr>
                <w:spacing w:val="4"/>
              </w:rPr>
              <w:t>座，建筑面积</w:t>
            </w:r>
            <w:r>
              <w:rPr>
                <w:spacing w:val="-32"/>
              </w:rPr>
              <w:t xml:space="preserve"> </w:t>
            </w:r>
            <w:r>
              <w:rPr>
                <w:spacing w:val="4"/>
              </w:rPr>
              <w:t>56.25 m</w:t>
            </w:r>
            <w:r>
              <w:rPr>
                <w:spacing w:val="4"/>
                <w:position w:val="10"/>
                <w:sz w:val="10"/>
                <w:szCs w:val="10"/>
              </w:rPr>
              <w:t>2</w:t>
            </w:r>
            <w:r>
              <w:rPr>
                <w:spacing w:val="-25"/>
                <w:position w:val="10"/>
                <w:sz w:val="10"/>
                <w:szCs w:val="10"/>
              </w:rPr>
              <w:t xml:space="preserve"> </w:t>
            </w:r>
            <w:r>
              <w:rPr>
                <w:spacing w:val="4"/>
              </w:rPr>
              <w:t>，用于提供压缩空气</w:t>
            </w:r>
          </w:p>
        </w:tc>
      </w:tr>
      <w:tr w14:paraId="4AFA3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3A80CAC5">
            <w:pPr>
              <w:rPr>
                <w:rFonts w:ascii="Arial"/>
                <w:sz w:val="21"/>
              </w:rPr>
            </w:pPr>
          </w:p>
        </w:tc>
        <w:tc>
          <w:tcPr>
            <w:tcW w:w="1559" w:type="dxa"/>
            <w:vAlign w:val="top"/>
          </w:tcPr>
          <w:p w14:paraId="5DA1A190">
            <w:pPr>
              <w:pStyle w:val="6"/>
              <w:spacing w:before="83" w:line="228" w:lineRule="auto"/>
              <w:ind w:left="277"/>
            </w:pPr>
            <w:r>
              <w:rPr>
                <w:spacing w:val="4"/>
              </w:rPr>
              <w:t>中央控制室</w:t>
            </w:r>
          </w:p>
        </w:tc>
        <w:tc>
          <w:tcPr>
            <w:tcW w:w="6282" w:type="dxa"/>
            <w:vAlign w:val="top"/>
          </w:tcPr>
          <w:p w14:paraId="39CB4B49">
            <w:pPr>
              <w:pStyle w:val="6"/>
              <w:spacing w:before="66" w:line="264" w:lineRule="exact"/>
              <w:ind w:left="824"/>
            </w:pPr>
            <w:r>
              <w:rPr>
                <w:spacing w:val="5"/>
              </w:rPr>
              <w:t>1</w:t>
            </w:r>
            <w:r>
              <w:rPr>
                <w:spacing w:val="-33"/>
              </w:rPr>
              <w:t xml:space="preserve"> </w:t>
            </w:r>
            <w:r>
              <w:rPr>
                <w:spacing w:val="5"/>
              </w:rPr>
              <w:t>座，建筑面积</w:t>
            </w:r>
            <w:r>
              <w:rPr>
                <w:spacing w:val="-32"/>
              </w:rPr>
              <w:t xml:space="preserve"> </w:t>
            </w:r>
            <w:r>
              <w:rPr>
                <w:spacing w:val="5"/>
              </w:rPr>
              <w:t>738.18 m</w:t>
            </w:r>
            <w:r>
              <w:rPr>
                <w:spacing w:val="5"/>
                <w:position w:val="10"/>
                <w:sz w:val="10"/>
                <w:szCs w:val="10"/>
              </w:rPr>
              <w:t>2</w:t>
            </w:r>
            <w:r>
              <w:rPr>
                <w:spacing w:val="-25"/>
                <w:position w:val="10"/>
                <w:sz w:val="10"/>
                <w:szCs w:val="10"/>
              </w:rPr>
              <w:t xml:space="preserve"> </w:t>
            </w:r>
            <w:r>
              <w:rPr>
                <w:spacing w:val="5"/>
              </w:rPr>
              <w:t>，用于选厂设备智能控制</w:t>
            </w:r>
          </w:p>
        </w:tc>
      </w:tr>
      <w:tr w14:paraId="4366E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tcBorders>
            <w:vAlign w:val="top"/>
          </w:tcPr>
          <w:p w14:paraId="4C1C2FAC">
            <w:pPr>
              <w:rPr>
                <w:rFonts w:ascii="Arial"/>
                <w:sz w:val="21"/>
              </w:rPr>
            </w:pPr>
          </w:p>
        </w:tc>
        <w:tc>
          <w:tcPr>
            <w:tcW w:w="1559" w:type="dxa"/>
            <w:vAlign w:val="top"/>
          </w:tcPr>
          <w:p w14:paraId="3BBC561E">
            <w:pPr>
              <w:pStyle w:val="6"/>
              <w:spacing w:before="83" w:line="227" w:lineRule="auto"/>
              <w:ind w:left="257"/>
            </w:pPr>
            <w:r>
              <w:rPr>
                <w:spacing w:val="8"/>
              </w:rPr>
              <w:t>机电修车间</w:t>
            </w:r>
          </w:p>
        </w:tc>
        <w:tc>
          <w:tcPr>
            <w:tcW w:w="6282" w:type="dxa"/>
            <w:vAlign w:val="top"/>
          </w:tcPr>
          <w:p w14:paraId="499AACDC">
            <w:pPr>
              <w:pStyle w:val="6"/>
              <w:spacing w:before="66" w:line="263" w:lineRule="exact"/>
              <w:ind w:left="1191"/>
            </w:pPr>
            <w:r>
              <w:rPr>
                <w:spacing w:val="5"/>
              </w:rPr>
              <w:t>1</w:t>
            </w:r>
            <w:r>
              <w:rPr>
                <w:spacing w:val="-39"/>
              </w:rPr>
              <w:t xml:space="preserve"> </w:t>
            </w:r>
            <w:r>
              <w:rPr>
                <w:spacing w:val="5"/>
              </w:rPr>
              <w:t>座，建筑面积</w:t>
            </w:r>
            <w:r>
              <w:rPr>
                <w:spacing w:val="-37"/>
              </w:rPr>
              <w:t xml:space="preserve"> </w:t>
            </w:r>
            <w:r>
              <w:rPr>
                <w:spacing w:val="5"/>
              </w:rPr>
              <w:t>486 m</w:t>
            </w:r>
            <w:r>
              <w:rPr>
                <w:spacing w:val="5"/>
                <w:position w:val="10"/>
                <w:sz w:val="10"/>
                <w:szCs w:val="10"/>
              </w:rPr>
              <w:t>2</w:t>
            </w:r>
            <w:r>
              <w:rPr>
                <w:spacing w:val="-25"/>
                <w:position w:val="10"/>
                <w:sz w:val="10"/>
                <w:szCs w:val="10"/>
              </w:rPr>
              <w:t xml:space="preserve"> </w:t>
            </w:r>
            <w:r>
              <w:rPr>
                <w:spacing w:val="5"/>
              </w:rPr>
              <w:t>，用于选厂设备维修</w:t>
            </w:r>
          </w:p>
        </w:tc>
      </w:tr>
      <w:tr w14:paraId="69F89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68" w:type="dxa"/>
            <w:vAlign w:val="top"/>
          </w:tcPr>
          <w:p w14:paraId="672AEFB4">
            <w:pPr>
              <w:pStyle w:val="6"/>
              <w:spacing w:before="241" w:line="228" w:lineRule="auto"/>
              <w:ind w:left="128"/>
            </w:pPr>
            <w:r>
              <w:rPr>
                <w:spacing w:val="5"/>
              </w:rPr>
              <w:t>储运</w:t>
            </w:r>
          </w:p>
          <w:p w14:paraId="7EB0E39A">
            <w:pPr>
              <w:pStyle w:val="6"/>
              <w:spacing w:before="24" w:line="228" w:lineRule="auto"/>
              <w:ind w:left="132"/>
            </w:pPr>
            <w:r>
              <w:rPr>
                <w:spacing w:val="3"/>
              </w:rPr>
              <w:t>工程</w:t>
            </w:r>
          </w:p>
        </w:tc>
        <w:tc>
          <w:tcPr>
            <w:tcW w:w="1559" w:type="dxa"/>
            <w:vAlign w:val="top"/>
          </w:tcPr>
          <w:p w14:paraId="7A3EB192">
            <w:pPr>
              <w:spacing w:line="310" w:lineRule="auto"/>
              <w:rPr>
                <w:rFonts w:ascii="Arial"/>
                <w:sz w:val="21"/>
              </w:rPr>
            </w:pPr>
          </w:p>
          <w:p w14:paraId="1CB3FFC8">
            <w:pPr>
              <w:pStyle w:val="6"/>
              <w:spacing w:before="65" w:line="228" w:lineRule="auto"/>
              <w:ind w:left="469"/>
            </w:pPr>
            <w:r>
              <w:rPr>
                <w:spacing w:val="6"/>
              </w:rPr>
              <w:t>尾矿库</w:t>
            </w:r>
          </w:p>
        </w:tc>
        <w:tc>
          <w:tcPr>
            <w:tcW w:w="6282" w:type="dxa"/>
            <w:vAlign w:val="top"/>
          </w:tcPr>
          <w:p w14:paraId="28496A3F">
            <w:pPr>
              <w:pStyle w:val="6"/>
              <w:spacing w:before="60" w:line="275" w:lineRule="auto"/>
              <w:ind w:left="115" w:right="107" w:firstLine="417"/>
              <w:jc w:val="both"/>
            </w:pPr>
            <w:r>
              <w:rPr>
                <w:spacing w:val="12"/>
              </w:rPr>
              <w:t>位于选厂西北侧，总坝高为</w:t>
            </w:r>
            <w:r>
              <w:rPr>
                <w:spacing w:val="-12"/>
              </w:rPr>
              <w:t xml:space="preserve"> </w:t>
            </w:r>
            <w:r>
              <w:rPr>
                <w:spacing w:val="12"/>
              </w:rPr>
              <w:t>19.5m，总有效库容为</w:t>
            </w:r>
            <w:r>
              <w:rPr>
                <w:spacing w:val="-25"/>
              </w:rPr>
              <w:t xml:space="preserve"> </w:t>
            </w:r>
            <w:r>
              <w:rPr>
                <w:spacing w:val="12"/>
              </w:rPr>
              <w:t>799.53×</w:t>
            </w:r>
            <w:r>
              <w:t xml:space="preserve"> </w:t>
            </w:r>
            <w:r>
              <w:rPr>
                <w:spacing w:val="7"/>
              </w:rPr>
              <w:t>10</w:t>
            </w:r>
            <w:r>
              <w:rPr>
                <w:spacing w:val="7"/>
                <w:position w:val="10"/>
                <w:sz w:val="10"/>
                <w:szCs w:val="10"/>
              </w:rPr>
              <w:t>4</w:t>
            </w:r>
            <w:r>
              <w:rPr>
                <w:spacing w:val="7"/>
              </w:rPr>
              <w:t>m</w:t>
            </w:r>
            <w:r>
              <w:rPr>
                <w:spacing w:val="7"/>
                <w:position w:val="10"/>
                <w:sz w:val="10"/>
                <w:szCs w:val="10"/>
              </w:rPr>
              <w:t>3</w:t>
            </w:r>
            <w:r>
              <w:rPr>
                <w:spacing w:val="-21"/>
                <w:position w:val="10"/>
                <w:sz w:val="10"/>
                <w:szCs w:val="10"/>
              </w:rPr>
              <w:t xml:space="preserve"> </w:t>
            </w:r>
            <w:r>
              <w:rPr>
                <w:spacing w:val="7"/>
              </w:rPr>
              <w:t>，坝体底部设置</w:t>
            </w:r>
            <w:r>
              <w:rPr>
                <w:spacing w:val="-23"/>
              </w:rPr>
              <w:t xml:space="preserve"> </w:t>
            </w:r>
            <w:r>
              <w:rPr>
                <w:rFonts w:ascii="Times New Roman" w:hAnsi="Times New Roman" w:eastAsia="Times New Roman" w:cs="Times New Roman"/>
                <w:spacing w:val="7"/>
              </w:rPr>
              <w:t>1m</w:t>
            </w:r>
            <w:r>
              <w:rPr>
                <w:rFonts w:ascii="Times New Roman" w:hAnsi="Times New Roman" w:eastAsia="Times New Roman" w:cs="Times New Roman"/>
                <w:spacing w:val="17"/>
                <w:w w:val="101"/>
              </w:rPr>
              <w:t xml:space="preserve"> </w:t>
            </w:r>
            <w:r>
              <w:rPr>
                <w:spacing w:val="7"/>
              </w:rPr>
              <w:t>厚碾压堆石褥垫层。褥垫层上下均铺设土</w:t>
            </w:r>
            <w:r>
              <w:t xml:space="preserve"> </w:t>
            </w:r>
            <w:r>
              <w:rPr>
                <w:spacing w:val="6"/>
              </w:rPr>
              <w:t>工布反滤。库内边坡铺设有</w:t>
            </w:r>
            <w:r>
              <w:rPr>
                <w:spacing w:val="-33"/>
              </w:rPr>
              <w:t xml:space="preserve"> </w:t>
            </w:r>
            <w:r>
              <w:rPr>
                <w:rFonts w:ascii="Times New Roman" w:hAnsi="Times New Roman" w:eastAsia="Times New Roman" w:cs="Times New Roman"/>
                <w:spacing w:val="6"/>
              </w:rPr>
              <w:t>400g/m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14"/>
                <w:position w:val="6"/>
                <w:sz w:val="13"/>
                <w:szCs w:val="13"/>
              </w:rPr>
              <w:t xml:space="preserve"> </w:t>
            </w:r>
            <w:r>
              <w:rPr>
                <w:spacing w:val="6"/>
              </w:rPr>
              <w:t>复合土工膜（</w:t>
            </w:r>
            <w:r>
              <w:rPr>
                <w:rFonts w:ascii="Times New Roman" w:hAnsi="Times New Roman" w:eastAsia="Times New Roman" w:cs="Times New Roman"/>
                <w:spacing w:val="6"/>
              </w:rPr>
              <w:t>1.5</w:t>
            </w:r>
            <w:r>
              <w:rPr>
                <w:rFonts w:ascii="Times New Roman" w:hAnsi="Times New Roman" w:eastAsia="Times New Roman" w:cs="Times New Roman"/>
              </w:rPr>
              <w:t>mmHDPE</w:t>
            </w:r>
            <w:r>
              <w:rPr>
                <w:spacing w:val="6"/>
              </w:rPr>
              <w:t>）用</w:t>
            </w:r>
          </w:p>
        </w:tc>
      </w:tr>
    </w:tbl>
    <w:p w14:paraId="7D2DB790">
      <w:pPr>
        <w:pStyle w:val="2"/>
        <w:spacing w:line="136" w:lineRule="exact"/>
        <w:rPr>
          <w:sz w:val="11"/>
        </w:rPr>
      </w:pPr>
    </w:p>
    <w:p w14:paraId="6FA2E28E">
      <w:pPr>
        <w:spacing w:line="136" w:lineRule="exact"/>
        <w:rPr>
          <w:sz w:val="11"/>
          <w:szCs w:val="11"/>
        </w:rPr>
        <w:sectPr>
          <w:headerReference r:id="rId57" w:type="default"/>
          <w:footerReference r:id="rId58" w:type="default"/>
          <w:pgSz w:w="11906" w:h="16839"/>
          <w:pgMar w:top="1208" w:right="1696" w:bottom="1358" w:left="1695" w:header="825" w:footer="1195" w:gutter="0"/>
          <w:cols w:space="720" w:num="1"/>
        </w:sectPr>
      </w:pPr>
    </w:p>
    <w:p w14:paraId="390CFA80">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559"/>
        <w:gridCol w:w="6282"/>
      </w:tblGrid>
      <w:tr w14:paraId="22713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68" w:type="dxa"/>
            <w:vMerge w:val="restart"/>
            <w:tcBorders>
              <w:bottom w:val="nil"/>
            </w:tcBorders>
            <w:vAlign w:val="top"/>
          </w:tcPr>
          <w:p w14:paraId="41AB689D">
            <w:pPr>
              <w:rPr>
                <w:rFonts w:ascii="Arial"/>
                <w:sz w:val="21"/>
              </w:rPr>
            </w:pPr>
          </w:p>
        </w:tc>
        <w:tc>
          <w:tcPr>
            <w:tcW w:w="1559" w:type="dxa"/>
            <w:vAlign w:val="top"/>
          </w:tcPr>
          <w:p w14:paraId="24C44A3D">
            <w:pPr>
              <w:rPr>
                <w:rFonts w:ascii="Arial"/>
                <w:sz w:val="21"/>
              </w:rPr>
            </w:pPr>
          </w:p>
        </w:tc>
        <w:tc>
          <w:tcPr>
            <w:tcW w:w="6282" w:type="dxa"/>
            <w:vAlign w:val="top"/>
          </w:tcPr>
          <w:p w14:paraId="63F6B081">
            <w:pPr>
              <w:pStyle w:val="6"/>
              <w:spacing w:before="58" w:line="267" w:lineRule="auto"/>
              <w:ind w:left="112" w:right="109" w:firstLine="4"/>
            </w:pPr>
            <w:r>
              <w:rPr>
                <w:spacing w:val="9"/>
              </w:rPr>
              <w:t>于防渗，库底铺设有</w:t>
            </w:r>
            <w:r>
              <w:rPr>
                <w:spacing w:val="-23"/>
              </w:rPr>
              <w:t xml:space="preserve"> </w:t>
            </w:r>
            <w:r>
              <w:rPr>
                <w:rFonts w:ascii="Times New Roman" w:hAnsi="Times New Roman" w:eastAsia="Times New Roman" w:cs="Times New Roman"/>
                <w:spacing w:val="9"/>
              </w:rPr>
              <w:t>1.5</w:t>
            </w:r>
            <w:r>
              <w:rPr>
                <w:rFonts w:ascii="Times New Roman" w:hAnsi="Times New Roman" w:eastAsia="Times New Roman" w:cs="Times New Roman"/>
              </w:rPr>
              <w:t>mmHDPE</w:t>
            </w:r>
            <w:r>
              <w:rPr>
                <w:rFonts w:ascii="Times New Roman" w:hAnsi="Times New Roman" w:eastAsia="Times New Roman" w:cs="Times New Roman"/>
                <w:spacing w:val="9"/>
              </w:rPr>
              <w:t xml:space="preserve"> </w:t>
            </w:r>
            <w:r>
              <w:rPr>
                <w:spacing w:val="9"/>
              </w:rPr>
              <w:t>土工膜用于防渗。尾矿</w:t>
            </w:r>
            <w:r>
              <w:rPr>
                <w:spacing w:val="8"/>
              </w:rPr>
              <w:t>浆通过选</w:t>
            </w:r>
            <w:r>
              <w:t xml:space="preserve"> </w:t>
            </w:r>
            <w:r>
              <w:rPr>
                <w:spacing w:val="9"/>
              </w:rPr>
              <w:t>矿车间加压泵自尾矿输送管道输送到坝上</w:t>
            </w:r>
          </w:p>
        </w:tc>
      </w:tr>
      <w:tr w14:paraId="3250B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3CDAE759">
            <w:pPr>
              <w:rPr>
                <w:rFonts w:ascii="Arial"/>
                <w:sz w:val="21"/>
              </w:rPr>
            </w:pPr>
          </w:p>
        </w:tc>
        <w:tc>
          <w:tcPr>
            <w:tcW w:w="1559" w:type="dxa"/>
            <w:vAlign w:val="top"/>
          </w:tcPr>
          <w:p w14:paraId="64FC7487">
            <w:pPr>
              <w:pStyle w:val="6"/>
              <w:spacing w:before="212" w:line="228" w:lineRule="auto"/>
              <w:ind w:left="474"/>
            </w:pPr>
            <w:r>
              <w:rPr>
                <w:spacing w:val="5"/>
              </w:rPr>
              <w:t>原矿仓</w:t>
            </w:r>
          </w:p>
        </w:tc>
        <w:tc>
          <w:tcPr>
            <w:tcW w:w="6282" w:type="dxa"/>
            <w:vAlign w:val="top"/>
          </w:tcPr>
          <w:p w14:paraId="7C1240ED">
            <w:pPr>
              <w:pStyle w:val="6"/>
              <w:spacing w:before="37" w:line="275" w:lineRule="auto"/>
              <w:ind w:left="112" w:right="55" w:firstLine="436"/>
            </w:pPr>
            <w:r>
              <w:rPr>
                <w:spacing w:val="-4"/>
              </w:rPr>
              <w:t>1座，建筑面积56.25m</w:t>
            </w:r>
            <w:r>
              <w:rPr>
                <w:spacing w:val="-4"/>
                <w:position w:val="10"/>
                <w:sz w:val="10"/>
                <w:szCs w:val="10"/>
              </w:rPr>
              <w:t>2</w:t>
            </w:r>
            <w:r>
              <w:rPr>
                <w:spacing w:val="-4"/>
              </w:rPr>
              <w:t>，为单槽正仓、底部卸料，有效容积100m</w:t>
            </w:r>
            <w:r>
              <w:rPr>
                <w:spacing w:val="-4"/>
                <w:position w:val="10"/>
                <w:sz w:val="10"/>
                <w:szCs w:val="10"/>
              </w:rPr>
              <w:t>3</w:t>
            </w:r>
            <w:r>
              <w:rPr>
                <w:spacing w:val="-4"/>
              </w:rPr>
              <w:t>，</w:t>
            </w:r>
            <w:r>
              <w:rPr>
                <w:spacing w:val="16"/>
              </w:rPr>
              <w:t xml:space="preserve"> </w:t>
            </w:r>
            <w:r>
              <w:rPr>
                <w:spacing w:val="5"/>
              </w:rPr>
              <w:t>储矿时间2.4h。</w:t>
            </w:r>
          </w:p>
        </w:tc>
      </w:tr>
      <w:tr w14:paraId="57B74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68" w:type="dxa"/>
            <w:vMerge w:val="continue"/>
            <w:tcBorders>
              <w:top w:val="nil"/>
              <w:bottom w:val="nil"/>
            </w:tcBorders>
            <w:vAlign w:val="top"/>
          </w:tcPr>
          <w:p w14:paraId="1C4C496F">
            <w:pPr>
              <w:rPr>
                <w:rFonts w:ascii="Arial"/>
                <w:sz w:val="21"/>
              </w:rPr>
            </w:pPr>
          </w:p>
        </w:tc>
        <w:tc>
          <w:tcPr>
            <w:tcW w:w="1559" w:type="dxa"/>
            <w:vAlign w:val="top"/>
          </w:tcPr>
          <w:p w14:paraId="6FBDD6A2">
            <w:pPr>
              <w:pStyle w:val="6"/>
              <w:spacing w:before="213" w:line="228" w:lineRule="auto"/>
              <w:ind w:left="168"/>
            </w:pPr>
            <w:r>
              <w:rPr>
                <w:spacing w:val="4"/>
              </w:rPr>
              <w:t>1#、2#转运站</w:t>
            </w:r>
          </w:p>
        </w:tc>
        <w:tc>
          <w:tcPr>
            <w:tcW w:w="6282" w:type="dxa"/>
            <w:vAlign w:val="top"/>
          </w:tcPr>
          <w:p w14:paraId="03B67FBF">
            <w:pPr>
              <w:pStyle w:val="6"/>
              <w:spacing w:before="38" w:line="274" w:lineRule="auto"/>
              <w:ind w:left="117" w:right="107" w:firstLine="417"/>
            </w:pPr>
            <w:r>
              <w:rPr>
                <w:spacing w:val="5"/>
              </w:rPr>
              <w:t>2座，建筑面积36m</w:t>
            </w:r>
            <w:r>
              <w:rPr>
                <w:spacing w:val="5"/>
                <w:position w:val="10"/>
                <w:sz w:val="10"/>
                <w:szCs w:val="10"/>
              </w:rPr>
              <w:t>2</w:t>
            </w:r>
            <w:r>
              <w:rPr>
                <w:spacing w:val="-22"/>
                <w:position w:val="10"/>
                <w:sz w:val="10"/>
                <w:szCs w:val="10"/>
              </w:rPr>
              <w:t xml:space="preserve"> </w:t>
            </w:r>
            <w:r>
              <w:rPr>
                <w:spacing w:val="5"/>
              </w:rPr>
              <w:t>，为地下矿仓，底部卸料，贮矿时间1h，有</w:t>
            </w:r>
            <w:r>
              <w:t xml:space="preserve"> </w:t>
            </w:r>
            <w:r>
              <w:rPr>
                <w:spacing w:val="4"/>
              </w:rPr>
              <w:t>效容积50m</w:t>
            </w:r>
            <w:r>
              <w:rPr>
                <w:spacing w:val="4"/>
                <w:position w:val="10"/>
                <w:sz w:val="10"/>
                <w:szCs w:val="10"/>
              </w:rPr>
              <w:t>3</w:t>
            </w:r>
            <w:r>
              <w:rPr>
                <w:spacing w:val="4"/>
              </w:rPr>
              <w:t>。</w:t>
            </w:r>
          </w:p>
        </w:tc>
      </w:tr>
      <w:tr w14:paraId="55626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77CDC97B">
            <w:pPr>
              <w:rPr>
                <w:rFonts w:ascii="Arial"/>
                <w:sz w:val="21"/>
              </w:rPr>
            </w:pPr>
          </w:p>
        </w:tc>
        <w:tc>
          <w:tcPr>
            <w:tcW w:w="1559" w:type="dxa"/>
            <w:vAlign w:val="top"/>
          </w:tcPr>
          <w:p w14:paraId="67F78055">
            <w:pPr>
              <w:pStyle w:val="6"/>
              <w:spacing w:before="214" w:line="228" w:lineRule="auto"/>
              <w:ind w:left="383"/>
            </w:pPr>
            <w:r>
              <w:rPr>
                <w:spacing w:val="2"/>
              </w:rPr>
              <w:t>中间料场</w:t>
            </w:r>
          </w:p>
        </w:tc>
        <w:tc>
          <w:tcPr>
            <w:tcW w:w="6282" w:type="dxa"/>
            <w:vAlign w:val="top"/>
          </w:tcPr>
          <w:p w14:paraId="6E0ACBDE">
            <w:pPr>
              <w:pStyle w:val="6"/>
              <w:spacing w:before="56" w:line="266" w:lineRule="auto"/>
              <w:ind w:left="115" w:right="174" w:firstLine="432"/>
            </w:pPr>
            <w:r>
              <w:rPr>
                <w:spacing w:val="7"/>
              </w:rPr>
              <w:t>1座，建筑面积</w:t>
            </w:r>
            <w:r>
              <w:rPr>
                <w:rFonts w:ascii="Times New Roman" w:hAnsi="Times New Roman" w:eastAsia="Times New Roman" w:cs="Times New Roman"/>
                <w:spacing w:val="7"/>
              </w:rPr>
              <w:t>1120m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7"/>
                <w:position w:val="6"/>
                <w:sz w:val="13"/>
                <w:szCs w:val="13"/>
              </w:rPr>
              <w:t xml:space="preserve"> </w:t>
            </w:r>
            <w:r>
              <w:rPr>
                <w:spacing w:val="7"/>
              </w:rPr>
              <w:t>，地面长槽型矿堆、底部卸料</w:t>
            </w:r>
            <w:r>
              <w:rPr>
                <w:spacing w:val="6"/>
              </w:rPr>
              <w:t>、为选矿</w:t>
            </w:r>
            <w:r>
              <w:t xml:space="preserve"> </w:t>
            </w:r>
            <w:r>
              <w:rPr>
                <w:spacing w:val="7"/>
              </w:rPr>
              <w:t>厂半自磨机给矿，有效容积</w:t>
            </w:r>
            <w:r>
              <w:rPr>
                <w:rFonts w:ascii="Times New Roman" w:hAnsi="Times New Roman" w:eastAsia="Times New Roman" w:cs="Times New Roman"/>
                <w:spacing w:val="7"/>
              </w:rPr>
              <w:t>1600m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9"/>
                <w:position w:val="6"/>
                <w:sz w:val="13"/>
                <w:szCs w:val="13"/>
              </w:rPr>
              <w:t xml:space="preserve"> </w:t>
            </w:r>
            <w:r>
              <w:rPr>
                <w:spacing w:val="7"/>
              </w:rPr>
              <w:t>，</w:t>
            </w:r>
            <w:r>
              <w:rPr>
                <w:spacing w:val="6"/>
              </w:rPr>
              <w:t>贮矿时间</w:t>
            </w:r>
            <w:r>
              <w:rPr>
                <w:rFonts w:ascii="Times New Roman" w:hAnsi="Times New Roman" w:eastAsia="Times New Roman" w:cs="Times New Roman"/>
                <w:spacing w:val="6"/>
              </w:rPr>
              <w:t>24h</w:t>
            </w:r>
            <w:r>
              <w:rPr>
                <w:spacing w:val="6"/>
              </w:rPr>
              <w:t>。</w:t>
            </w:r>
          </w:p>
        </w:tc>
      </w:tr>
      <w:tr w14:paraId="4F4E0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44F5C0F9">
            <w:pPr>
              <w:rPr>
                <w:rFonts w:ascii="Arial"/>
                <w:sz w:val="21"/>
              </w:rPr>
            </w:pPr>
          </w:p>
        </w:tc>
        <w:tc>
          <w:tcPr>
            <w:tcW w:w="1559" w:type="dxa"/>
            <w:vAlign w:val="top"/>
          </w:tcPr>
          <w:p w14:paraId="04D5F32A">
            <w:pPr>
              <w:pStyle w:val="6"/>
              <w:spacing w:before="79" w:line="228" w:lineRule="auto"/>
              <w:ind w:left="364"/>
            </w:pPr>
            <w:r>
              <w:rPr>
                <w:spacing w:val="7"/>
              </w:rPr>
              <w:t>石灰粉仓</w:t>
            </w:r>
          </w:p>
        </w:tc>
        <w:tc>
          <w:tcPr>
            <w:tcW w:w="6282" w:type="dxa"/>
            <w:vAlign w:val="top"/>
          </w:tcPr>
          <w:p w14:paraId="3EDBFB2C">
            <w:pPr>
              <w:pStyle w:val="6"/>
              <w:spacing w:before="55" w:line="228" w:lineRule="auto"/>
              <w:ind w:left="529"/>
              <w:rPr>
                <w:rFonts w:ascii="Times New Roman" w:hAnsi="Times New Roman" w:eastAsia="Times New Roman" w:cs="Times New Roman"/>
                <w:sz w:val="13"/>
                <w:szCs w:val="13"/>
              </w:rPr>
            </w:pPr>
            <w:r>
              <w:rPr>
                <w:rFonts w:ascii="Times New Roman" w:hAnsi="Times New Roman" w:eastAsia="Times New Roman" w:cs="Times New Roman"/>
                <w:spacing w:val="7"/>
              </w:rPr>
              <w:t>2</w:t>
            </w:r>
            <w:r>
              <w:rPr>
                <w:spacing w:val="7"/>
              </w:rPr>
              <w:t>个，单个容积</w:t>
            </w:r>
            <w:r>
              <w:rPr>
                <w:rFonts w:ascii="Times New Roman" w:hAnsi="Times New Roman" w:eastAsia="Times New Roman" w:cs="Times New Roman"/>
                <w:spacing w:val="7"/>
              </w:rPr>
              <w:t>80m</w:t>
            </w:r>
            <w:r>
              <w:rPr>
                <w:rFonts w:ascii="Times New Roman" w:hAnsi="Times New Roman" w:eastAsia="Times New Roman" w:cs="Times New Roman"/>
                <w:spacing w:val="7"/>
                <w:position w:val="6"/>
                <w:sz w:val="13"/>
                <w:szCs w:val="13"/>
              </w:rPr>
              <w:t>3</w:t>
            </w:r>
          </w:p>
        </w:tc>
      </w:tr>
      <w:tr w14:paraId="4B563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5916FEF2">
            <w:pPr>
              <w:rPr>
                <w:rFonts w:ascii="Arial"/>
                <w:sz w:val="21"/>
              </w:rPr>
            </w:pPr>
          </w:p>
        </w:tc>
        <w:tc>
          <w:tcPr>
            <w:tcW w:w="1559" w:type="dxa"/>
            <w:vAlign w:val="top"/>
          </w:tcPr>
          <w:p w14:paraId="6DA22E99">
            <w:pPr>
              <w:pStyle w:val="6"/>
              <w:spacing w:before="216" w:line="228" w:lineRule="auto"/>
              <w:ind w:left="154"/>
            </w:pPr>
            <w:r>
              <w:rPr>
                <w:spacing w:val="8"/>
              </w:rPr>
              <w:t>生物质储存库</w:t>
            </w:r>
          </w:p>
        </w:tc>
        <w:tc>
          <w:tcPr>
            <w:tcW w:w="6282" w:type="dxa"/>
            <w:vAlign w:val="top"/>
          </w:tcPr>
          <w:p w14:paraId="0C9B38AB">
            <w:pPr>
              <w:pStyle w:val="6"/>
              <w:spacing w:before="56" w:line="266" w:lineRule="auto"/>
              <w:ind w:left="112" w:right="107" w:firstLine="422"/>
              <w:rPr>
                <w:rFonts w:ascii="Times New Roman" w:hAnsi="Times New Roman" w:eastAsia="Times New Roman" w:cs="Times New Roman"/>
                <w:sz w:val="13"/>
                <w:szCs w:val="13"/>
              </w:rPr>
            </w:pPr>
            <w:r>
              <w:rPr>
                <w:spacing w:val="8"/>
              </w:rPr>
              <w:t>生物质锅炉配套，全封闭结构，混凝土地坪，并考虑有排水坡</w:t>
            </w:r>
            <w:r>
              <w:rPr>
                <w:spacing w:val="18"/>
              </w:rPr>
              <w:t xml:space="preserve"> </w:t>
            </w:r>
            <w:r>
              <w:rPr>
                <w:spacing w:val="2"/>
              </w:rPr>
              <w:t>度。</w:t>
            </w:r>
            <w:r>
              <w:rPr>
                <w:spacing w:val="-45"/>
              </w:rPr>
              <w:t xml:space="preserve"> </w:t>
            </w:r>
            <w:r>
              <w:rPr>
                <w:spacing w:val="2"/>
              </w:rPr>
              <w:t>占地面积</w:t>
            </w:r>
            <w:r>
              <w:rPr>
                <w:rFonts w:ascii="Times New Roman" w:hAnsi="Times New Roman" w:eastAsia="Times New Roman" w:cs="Times New Roman"/>
                <w:spacing w:val="2"/>
              </w:rPr>
              <w:t>345m</w:t>
            </w:r>
            <w:r>
              <w:rPr>
                <w:rFonts w:ascii="Times New Roman" w:hAnsi="Times New Roman" w:eastAsia="Times New Roman" w:cs="Times New Roman"/>
                <w:spacing w:val="2"/>
                <w:position w:val="6"/>
                <w:sz w:val="13"/>
                <w:szCs w:val="13"/>
              </w:rPr>
              <w:t>2</w:t>
            </w:r>
          </w:p>
        </w:tc>
      </w:tr>
      <w:tr w14:paraId="4BDE9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tcBorders>
            <w:vAlign w:val="top"/>
          </w:tcPr>
          <w:p w14:paraId="2B167983">
            <w:pPr>
              <w:rPr>
                <w:rFonts w:ascii="Arial"/>
                <w:sz w:val="21"/>
              </w:rPr>
            </w:pPr>
          </w:p>
        </w:tc>
        <w:tc>
          <w:tcPr>
            <w:tcW w:w="1559" w:type="dxa"/>
            <w:vAlign w:val="top"/>
          </w:tcPr>
          <w:p w14:paraId="1F6953A5">
            <w:pPr>
              <w:pStyle w:val="6"/>
              <w:spacing w:before="79" w:line="228" w:lineRule="auto"/>
              <w:ind w:left="151"/>
            </w:pPr>
            <w:r>
              <w:rPr>
                <w:spacing w:val="8"/>
              </w:rPr>
              <w:t>选厂综合仓库</w:t>
            </w:r>
          </w:p>
        </w:tc>
        <w:tc>
          <w:tcPr>
            <w:tcW w:w="6282" w:type="dxa"/>
            <w:vAlign w:val="top"/>
          </w:tcPr>
          <w:p w14:paraId="0BFAD769">
            <w:pPr>
              <w:pStyle w:val="6"/>
              <w:spacing w:before="40" w:line="242" w:lineRule="auto"/>
              <w:ind w:left="548"/>
            </w:pPr>
            <w:r>
              <w:rPr>
                <w:spacing w:val="3"/>
              </w:rPr>
              <w:t>1</w:t>
            </w:r>
            <w:r>
              <w:rPr>
                <w:spacing w:val="-34"/>
              </w:rPr>
              <w:t xml:space="preserve"> </w:t>
            </w:r>
            <w:r>
              <w:rPr>
                <w:spacing w:val="3"/>
              </w:rPr>
              <w:t>座，建筑面积</w:t>
            </w:r>
            <w:r>
              <w:rPr>
                <w:spacing w:val="-33"/>
              </w:rPr>
              <w:t xml:space="preserve"> </w:t>
            </w:r>
            <w:r>
              <w:rPr>
                <w:spacing w:val="3"/>
              </w:rPr>
              <w:t>388.8m</w:t>
            </w:r>
            <w:r>
              <w:rPr>
                <w:spacing w:val="3"/>
                <w:position w:val="10"/>
                <w:sz w:val="10"/>
                <w:szCs w:val="10"/>
              </w:rPr>
              <w:t>2</w:t>
            </w:r>
            <w:r>
              <w:rPr>
                <w:spacing w:val="3"/>
              </w:rPr>
              <w:t>。</w:t>
            </w:r>
          </w:p>
        </w:tc>
      </w:tr>
      <w:tr w14:paraId="1874C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68" w:type="dxa"/>
            <w:vMerge w:val="restart"/>
            <w:tcBorders>
              <w:bottom w:val="nil"/>
            </w:tcBorders>
            <w:vAlign w:val="top"/>
          </w:tcPr>
          <w:p w14:paraId="214D16B4">
            <w:pPr>
              <w:spacing w:line="244" w:lineRule="auto"/>
              <w:rPr>
                <w:rFonts w:ascii="Arial"/>
                <w:sz w:val="21"/>
              </w:rPr>
            </w:pPr>
          </w:p>
          <w:p w14:paraId="3AD8C2C5">
            <w:pPr>
              <w:spacing w:line="244" w:lineRule="auto"/>
              <w:rPr>
                <w:rFonts w:ascii="Arial"/>
                <w:sz w:val="21"/>
              </w:rPr>
            </w:pPr>
          </w:p>
          <w:p w14:paraId="43D58266">
            <w:pPr>
              <w:spacing w:line="244" w:lineRule="auto"/>
              <w:rPr>
                <w:rFonts w:ascii="Arial"/>
                <w:sz w:val="21"/>
              </w:rPr>
            </w:pPr>
          </w:p>
          <w:p w14:paraId="6160A7D3">
            <w:pPr>
              <w:spacing w:line="244" w:lineRule="auto"/>
              <w:rPr>
                <w:rFonts w:ascii="Arial"/>
                <w:sz w:val="21"/>
              </w:rPr>
            </w:pPr>
          </w:p>
          <w:p w14:paraId="704F1928">
            <w:pPr>
              <w:spacing w:line="245" w:lineRule="auto"/>
              <w:rPr>
                <w:rFonts w:ascii="Arial"/>
                <w:sz w:val="21"/>
              </w:rPr>
            </w:pPr>
          </w:p>
          <w:p w14:paraId="4E1FB7C9">
            <w:pPr>
              <w:spacing w:line="245" w:lineRule="auto"/>
              <w:rPr>
                <w:rFonts w:ascii="Arial"/>
                <w:sz w:val="21"/>
              </w:rPr>
            </w:pPr>
          </w:p>
          <w:p w14:paraId="1309C5B5">
            <w:pPr>
              <w:spacing w:line="245" w:lineRule="auto"/>
              <w:rPr>
                <w:rFonts w:ascii="Arial"/>
                <w:sz w:val="21"/>
              </w:rPr>
            </w:pPr>
          </w:p>
          <w:p w14:paraId="004DBF95">
            <w:pPr>
              <w:spacing w:line="245" w:lineRule="auto"/>
              <w:rPr>
                <w:rFonts w:ascii="Arial"/>
                <w:sz w:val="21"/>
              </w:rPr>
            </w:pPr>
          </w:p>
          <w:p w14:paraId="6A2A84BE">
            <w:pPr>
              <w:spacing w:line="245" w:lineRule="auto"/>
              <w:rPr>
                <w:rFonts w:ascii="Arial"/>
                <w:sz w:val="21"/>
              </w:rPr>
            </w:pPr>
          </w:p>
          <w:p w14:paraId="1426F7A5">
            <w:pPr>
              <w:spacing w:line="245" w:lineRule="auto"/>
              <w:rPr>
                <w:rFonts w:ascii="Arial"/>
                <w:sz w:val="21"/>
              </w:rPr>
            </w:pPr>
          </w:p>
          <w:p w14:paraId="59B1A136">
            <w:pPr>
              <w:spacing w:line="245" w:lineRule="auto"/>
              <w:rPr>
                <w:rFonts w:ascii="Arial"/>
                <w:sz w:val="21"/>
              </w:rPr>
            </w:pPr>
          </w:p>
          <w:p w14:paraId="522C08C9">
            <w:pPr>
              <w:spacing w:line="245" w:lineRule="auto"/>
              <w:rPr>
                <w:rFonts w:ascii="Arial"/>
                <w:sz w:val="21"/>
              </w:rPr>
            </w:pPr>
          </w:p>
          <w:p w14:paraId="3DF6FCC2">
            <w:pPr>
              <w:pStyle w:val="6"/>
              <w:spacing w:before="65" w:line="228" w:lineRule="auto"/>
              <w:ind w:left="129"/>
            </w:pPr>
            <w:r>
              <w:rPr>
                <w:spacing w:val="4"/>
              </w:rPr>
              <w:t>环保</w:t>
            </w:r>
          </w:p>
          <w:p w14:paraId="471F5990">
            <w:pPr>
              <w:pStyle w:val="6"/>
              <w:spacing w:before="24" w:line="228" w:lineRule="auto"/>
              <w:ind w:left="132"/>
            </w:pPr>
            <w:r>
              <w:rPr>
                <w:spacing w:val="3"/>
              </w:rPr>
              <w:t>工程</w:t>
            </w:r>
          </w:p>
        </w:tc>
        <w:tc>
          <w:tcPr>
            <w:tcW w:w="1559" w:type="dxa"/>
            <w:vMerge w:val="restart"/>
            <w:tcBorders>
              <w:bottom w:val="nil"/>
            </w:tcBorders>
            <w:vAlign w:val="top"/>
          </w:tcPr>
          <w:p w14:paraId="3DFF0374">
            <w:pPr>
              <w:spacing w:line="257" w:lineRule="auto"/>
              <w:rPr>
                <w:rFonts w:ascii="Arial"/>
                <w:sz w:val="21"/>
              </w:rPr>
            </w:pPr>
          </w:p>
          <w:p w14:paraId="5B5B611A">
            <w:pPr>
              <w:spacing w:line="258" w:lineRule="auto"/>
              <w:rPr>
                <w:rFonts w:ascii="Arial"/>
                <w:sz w:val="21"/>
              </w:rPr>
            </w:pPr>
          </w:p>
          <w:p w14:paraId="0338990B">
            <w:pPr>
              <w:pStyle w:val="6"/>
              <w:spacing w:before="65" w:line="228" w:lineRule="auto"/>
              <w:ind w:left="151"/>
            </w:pPr>
            <w:r>
              <w:rPr>
                <w:spacing w:val="8"/>
              </w:rPr>
              <w:t>废气治理工程</w:t>
            </w:r>
          </w:p>
        </w:tc>
        <w:tc>
          <w:tcPr>
            <w:tcW w:w="6282" w:type="dxa"/>
            <w:vAlign w:val="top"/>
          </w:tcPr>
          <w:p w14:paraId="5399EEFF">
            <w:pPr>
              <w:pStyle w:val="6"/>
              <w:spacing w:before="34" w:line="239" w:lineRule="auto"/>
              <w:ind w:left="112" w:right="109" w:firstLine="420"/>
              <w:jc w:val="both"/>
            </w:pPr>
            <w:r>
              <w:rPr>
                <w:spacing w:val="7"/>
              </w:rPr>
              <w:t>在中间料场下料点设置</w:t>
            </w:r>
            <w:r>
              <w:rPr>
                <w:spacing w:val="-12"/>
              </w:rPr>
              <w:t xml:space="preserve"> </w:t>
            </w:r>
            <w:r>
              <w:rPr>
                <w:rFonts w:ascii="Times New Roman" w:hAnsi="Times New Roman" w:eastAsia="Times New Roman" w:cs="Times New Roman"/>
                <w:spacing w:val="7"/>
              </w:rPr>
              <w:t xml:space="preserve">1 </w:t>
            </w:r>
            <w:r>
              <w:rPr>
                <w:spacing w:val="7"/>
              </w:rPr>
              <w:t>套微米干雾抑尘系统，板式给料机出</w:t>
            </w:r>
            <w:r>
              <w:t xml:space="preserve"> </w:t>
            </w:r>
            <w:r>
              <w:rPr>
                <w:spacing w:val="10"/>
              </w:rPr>
              <w:t>口设置集气罩，粉尘经</w:t>
            </w:r>
            <w:r>
              <w:rPr>
                <w:spacing w:val="-42"/>
              </w:rPr>
              <w:t xml:space="preserve"> </w:t>
            </w:r>
            <w:r>
              <w:rPr>
                <w:rFonts w:ascii="Times New Roman" w:hAnsi="Times New Roman" w:eastAsia="Times New Roman" w:cs="Times New Roman"/>
              </w:rPr>
              <w:t>RDL</w:t>
            </w:r>
            <w:r>
              <w:rPr>
                <w:rFonts w:ascii="Times New Roman" w:hAnsi="Times New Roman" w:eastAsia="Times New Roman" w:cs="Times New Roman"/>
                <w:spacing w:val="10"/>
              </w:rPr>
              <w:t xml:space="preserve"> </w:t>
            </w:r>
            <w:r>
              <w:rPr>
                <w:spacing w:val="10"/>
              </w:rPr>
              <w:t>滤筒式除尘器处理后达标排</w:t>
            </w:r>
            <w:r>
              <w:rPr>
                <w:spacing w:val="9"/>
              </w:rPr>
              <w:t>放；原矿</w:t>
            </w:r>
            <w:r>
              <w:t xml:space="preserve"> </w:t>
            </w:r>
            <w:r>
              <w:rPr>
                <w:spacing w:val="6"/>
              </w:rPr>
              <w:t>仓洒水降尘。</w:t>
            </w:r>
          </w:p>
        </w:tc>
      </w:tr>
      <w:tr w14:paraId="5A09B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8" w:type="dxa"/>
            <w:vMerge w:val="continue"/>
            <w:tcBorders>
              <w:top w:val="nil"/>
              <w:bottom w:val="nil"/>
            </w:tcBorders>
            <w:vAlign w:val="top"/>
          </w:tcPr>
          <w:p w14:paraId="1D511D1F">
            <w:pPr>
              <w:rPr>
                <w:rFonts w:ascii="Arial"/>
                <w:sz w:val="21"/>
              </w:rPr>
            </w:pPr>
          </w:p>
        </w:tc>
        <w:tc>
          <w:tcPr>
            <w:tcW w:w="1559" w:type="dxa"/>
            <w:vMerge w:val="continue"/>
            <w:tcBorders>
              <w:top w:val="nil"/>
            </w:tcBorders>
            <w:vAlign w:val="top"/>
          </w:tcPr>
          <w:p w14:paraId="11EC3DCB">
            <w:pPr>
              <w:rPr>
                <w:rFonts w:ascii="Arial"/>
                <w:sz w:val="21"/>
              </w:rPr>
            </w:pPr>
          </w:p>
        </w:tc>
        <w:tc>
          <w:tcPr>
            <w:tcW w:w="6282" w:type="dxa"/>
            <w:vAlign w:val="top"/>
          </w:tcPr>
          <w:p w14:paraId="3D220322">
            <w:pPr>
              <w:pStyle w:val="6"/>
              <w:spacing w:before="32" w:line="234" w:lineRule="auto"/>
              <w:ind w:left="125" w:right="107" w:firstLine="407"/>
            </w:pPr>
            <w:r>
              <w:rPr>
                <w:spacing w:val="10"/>
              </w:rPr>
              <w:t>锅炉烟气各设置</w:t>
            </w:r>
            <w:r>
              <w:rPr>
                <w:spacing w:val="-7"/>
              </w:rPr>
              <w:t xml:space="preserve"> </w:t>
            </w:r>
            <w:r>
              <w:rPr>
                <w:rFonts w:ascii="Times New Roman" w:hAnsi="Times New Roman" w:eastAsia="Times New Roman" w:cs="Times New Roman"/>
                <w:spacing w:val="10"/>
              </w:rPr>
              <w:t xml:space="preserve">1 </w:t>
            </w:r>
            <w:r>
              <w:rPr>
                <w:spacing w:val="10"/>
              </w:rPr>
              <w:t>套烟气净化系统，采用陶瓷多管除尘</w:t>
            </w:r>
            <w:r>
              <w:rPr>
                <w:rFonts w:ascii="Times New Roman" w:hAnsi="Times New Roman" w:eastAsia="Times New Roman" w:cs="Times New Roman"/>
                <w:spacing w:val="10"/>
              </w:rPr>
              <w:t>+</w:t>
            </w:r>
            <w:r>
              <w:rPr>
                <w:spacing w:val="10"/>
              </w:rPr>
              <w:t>布袋</w:t>
            </w:r>
            <w:r>
              <w:t xml:space="preserve"> </w:t>
            </w:r>
            <w:r>
              <w:rPr>
                <w:spacing w:val="7"/>
              </w:rPr>
              <w:t>除尘工艺，净化后的烟气通过</w:t>
            </w:r>
            <w:r>
              <w:rPr>
                <w:spacing w:val="-41"/>
              </w:rPr>
              <w:t xml:space="preserve"> </w:t>
            </w:r>
            <w:r>
              <w:rPr>
                <w:rFonts w:ascii="Times New Roman" w:hAnsi="Times New Roman" w:eastAsia="Times New Roman" w:cs="Times New Roman"/>
                <w:spacing w:val="7"/>
              </w:rPr>
              <w:t>45m</w:t>
            </w:r>
            <w:r>
              <w:rPr>
                <w:rFonts w:ascii="Times New Roman" w:hAnsi="Times New Roman" w:eastAsia="Times New Roman" w:cs="Times New Roman"/>
                <w:spacing w:val="17"/>
                <w:w w:val="101"/>
              </w:rPr>
              <w:t xml:space="preserve"> </w:t>
            </w:r>
            <w:r>
              <w:rPr>
                <w:spacing w:val="7"/>
              </w:rPr>
              <w:t>高烟囱排放。</w:t>
            </w:r>
          </w:p>
        </w:tc>
      </w:tr>
      <w:tr w14:paraId="79B17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668" w:type="dxa"/>
            <w:vMerge w:val="continue"/>
            <w:tcBorders>
              <w:top w:val="nil"/>
              <w:bottom w:val="nil"/>
            </w:tcBorders>
            <w:vAlign w:val="top"/>
          </w:tcPr>
          <w:p w14:paraId="19978D9A">
            <w:pPr>
              <w:rPr>
                <w:rFonts w:ascii="Arial"/>
                <w:sz w:val="21"/>
              </w:rPr>
            </w:pPr>
          </w:p>
        </w:tc>
        <w:tc>
          <w:tcPr>
            <w:tcW w:w="1559" w:type="dxa"/>
            <w:vAlign w:val="top"/>
          </w:tcPr>
          <w:p w14:paraId="095ADDE5">
            <w:pPr>
              <w:spacing w:line="275" w:lineRule="auto"/>
              <w:rPr>
                <w:rFonts w:ascii="Arial"/>
                <w:sz w:val="21"/>
              </w:rPr>
            </w:pPr>
          </w:p>
          <w:p w14:paraId="7B8EABC8">
            <w:pPr>
              <w:spacing w:line="275" w:lineRule="auto"/>
              <w:rPr>
                <w:rFonts w:ascii="Arial"/>
                <w:sz w:val="21"/>
              </w:rPr>
            </w:pPr>
          </w:p>
          <w:p w14:paraId="63C7678E">
            <w:pPr>
              <w:spacing w:line="275" w:lineRule="auto"/>
              <w:rPr>
                <w:rFonts w:ascii="Arial"/>
                <w:sz w:val="21"/>
              </w:rPr>
            </w:pPr>
          </w:p>
          <w:p w14:paraId="152719B8">
            <w:pPr>
              <w:spacing w:line="275" w:lineRule="auto"/>
              <w:rPr>
                <w:rFonts w:ascii="Arial"/>
                <w:sz w:val="21"/>
              </w:rPr>
            </w:pPr>
          </w:p>
          <w:p w14:paraId="1AC444B2">
            <w:pPr>
              <w:pStyle w:val="6"/>
              <w:spacing w:before="65" w:line="228" w:lineRule="auto"/>
              <w:ind w:left="151"/>
            </w:pPr>
            <w:r>
              <w:rPr>
                <w:spacing w:val="8"/>
              </w:rPr>
              <w:t>废水治理工程</w:t>
            </w:r>
          </w:p>
        </w:tc>
        <w:tc>
          <w:tcPr>
            <w:tcW w:w="6282" w:type="dxa"/>
            <w:vAlign w:val="top"/>
          </w:tcPr>
          <w:p w14:paraId="55EA142A">
            <w:pPr>
              <w:pStyle w:val="6"/>
              <w:spacing w:before="56" w:line="295" w:lineRule="auto"/>
              <w:ind w:left="112" w:right="107" w:firstLine="422"/>
            </w:pPr>
            <w:r>
              <w:rPr>
                <w:spacing w:val="5"/>
              </w:rPr>
              <w:t>现有选矿回水水处理系统</w:t>
            </w:r>
            <w:r>
              <w:rPr>
                <w:spacing w:val="-13"/>
              </w:rPr>
              <w:t xml:space="preserve"> </w:t>
            </w:r>
            <w:r>
              <w:rPr>
                <w:rFonts w:ascii="Times New Roman" w:hAnsi="Times New Roman" w:eastAsia="Times New Roman" w:cs="Times New Roman"/>
                <w:spacing w:val="5"/>
              </w:rPr>
              <w:t xml:space="preserve">1 </w:t>
            </w:r>
            <w:r>
              <w:rPr>
                <w:spacing w:val="5"/>
              </w:rPr>
              <w:t>套，处理规模为</w:t>
            </w:r>
            <w:r>
              <w:rPr>
                <w:spacing w:val="-39"/>
              </w:rPr>
              <w:t xml:space="preserve"> </w:t>
            </w:r>
            <w:r>
              <w:rPr>
                <w:rFonts w:ascii="Times New Roman" w:hAnsi="Times New Roman" w:eastAsia="Times New Roman" w:cs="Times New Roman"/>
                <w:spacing w:val="5"/>
              </w:rPr>
              <w:t>9000m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rPr>
              <w:t>/d</w:t>
            </w:r>
            <w:r>
              <w:rPr>
                <w:spacing w:val="5"/>
              </w:rPr>
              <w:t>，采用混</w:t>
            </w:r>
            <w:r>
              <w:t xml:space="preserve"> </w:t>
            </w:r>
            <w:r>
              <w:rPr>
                <w:spacing w:val="8"/>
              </w:rPr>
              <w:t>凝沉淀法去除回水中的重金属，不外排。</w:t>
            </w:r>
          </w:p>
          <w:p w14:paraId="0402986E">
            <w:pPr>
              <w:pStyle w:val="6"/>
              <w:spacing w:before="4" w:line="284" w:lineRule="auto"/>
              <w:ind w:left="113" w:right="107" w:firstLine="421"/>
              <w:jc w:val="both"/>
            </w:pPr>
            <w:r>
              <w:rPr>
                <w:spacing w:val="7"/>
              </w:rPr>
              <w:t>综合楼南侧现有生活污水处理系统</w:t>
            </w:r>
            <w:r>
              <w:rPr>
                <w:spacing w:val="-13"/>
              </w:rPr>
              <w:t xml:space="preserve"> </w:t>
            </w:r>
            <w:r>
              <w:rPr>
                <w:rFonts w:ascii="Times New Roman" w:hAnsi="Times New Roman" w:eastAsia="Times New Roman" w:cs="Times New Roman"/>
                <w:spacing w:val="7"/>
              </w:rPr>
              <w:t xml:space="preserve">1 </w:t>
            </w:r>
            <w:r>
              <w:rPr>
                <w:spacing w:val="7"/>
              </w:rPr>
              <w:t>套，用于处理办公生活区</w:t>
            </w:r>
            <w:r>
              <w:t xml:space="preserve"> </w:t>
            </w:r>
            <w:r>
              <w:rPr>
                <w:spacing w:val="8"/>
              </w:rPr>
              <w:t>生活污水，设计处理能力为</w:t>
            </w:r>
            <w:r>
              <w:rPr>
                <w:spacing w:val="-8"/>
              </w:rPr>
              <w:t xml:space="preserve"> </w:t>
            </w:r>
            <w:r>
              <w:rPr>
                <w:rFonts w:ascii="Times New Roman" w:hAnsi="Times New Roman" w:eastAsia="Times New Roman" w:cs="Times New Roman"/>
                <w:spacing w:val="8"/>
              </w:rPr>
              <w:t>150m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rPr>
              <w:t>/d</w:t>
            </w:r>
            <w:r>
              <w:rPr>
                <w:rFonts w:ascii="Times New Roman" w:hAnsi="Times New Roman" w:eastAsia="Times New Roman" w:cs="Times New Roman"/>
                <w:spacing w:val="-22"/>
              </w:rPr>
              <w:t xml:space="preserve"> </w:t>
            </w:r>
            <w:r>
              <w:rPr>
                <w:spacing w:val="8"/>
              </w:rPr>
              <w:t>，在选矿厂南侧现有生活污水</w:t>
            </w:r>
            <w:r>
              <w:t xml:space="preserve"> </w:t>
            </w:r>
            <w:r>
              <w:rPr>
                <w:spacing w:val="17"/>
              </w:rPr>
              <w:t xml:space="preserve">处理系统 </w:t>
            </w:r>
            <w:r>
              <w:rPr>
                <w:rFonts w:ascii="Times New Roman" w:hAnsi="Times New Roman" w:eastAsia="Times New Roman" w:cs="Times New Roman"/>
                <w:spacing w:val="17"/>
              </w:rPr>
              <w:t>1</w:t>
            </w:r>
            <w:r>
              <w:rPr>
                <w:rFonts w:ascii="Times New Roman" w:hAnsi="Times New Roman" w:eastAsia="Times New Roman" w:cs="Times New Roman"/>
                <w:spacing w:val="42"/>
                <w:w w:val="101"/>
              </w:rPr>
              <w:t xml:space="preserve"> </w:t>
            </w:r>
            <w:r>
              <w:rPr>
                <w:spacing w:val="17"/>
              </w:rPr>
              <w:t>套</w:t>
            </w:r>
            <w:r>
              <w:rPr>
                <w:spacing w:val="-58"/>
              </w:rPr>
              <w:t xml:space="preserve"> </w:t>
            </w:r>
            <w:r>
              <w:rPr>
                <w:spacing w:val="17"/>
              </w:rPr>
              <w:t>，用于处理选矿车间生活污水</w:t>
            </w:r>
            <w:r>
              <w:rPr>
                <w:spacing w:val="-59"/>
              </w:rPr>
              <w:t xml:space="preserve"> </w:t>
            </w:r>
            <w:r>
              <w:rPr>
                <w:spacing w:val="17"/>
              </w:rPr>
              <w:t>，设计处理能力为</w:t>
            </w:r>
            <w:r>
              <w:t xml:space="preserve"> </w:t>
            </w:r>
            <w:r>
              <w:rPr>
                <w:rFonts w:ascii="Times New Roman" w:hAnsi="Times New Roman" w:eastAsia="Times New Roman" w:cs="Times New Roman"/>
                <w:spacing w:val="6"/>
              </w:rPr>
              <w:t>15m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rPr>
              <w:t>/d</w:t>
            </w:r>
            <w:r>
              <w:rPr>
                <w:spacing w:val="6"/>
              </w:rPr>
              <w:t>，均采用</w:t>
            </w:r>
            <w:r>
              <w:rPr>
                <w:rFonts w:ascii="Times New Roman" w:hAnsi="Times New Roman" w:eastAsia="Times New Roman" w:cs="Times New Roman"/>
                <w:spacing w:val="6"/>
              </w:rPr>
              <w:t>“</w:t>
            </w:r>
            <w:r>
              <w:rPr>
                <w:spacing w:val="6"/>
              </w:rPr>
              <w:t>格栅</w:t>
            </w:r>
            <w:r>
              <w:rPr>
                <w:rFonts w:ascii="Times New Roman" w:hAnsi="Times New Roman" w:eastAsia="Times New Roman" w:cs="Times New Roman"/>
                <w:spacing w:val="6"/>
              </w:rPr>
              <w:t>+</w:t>
            </w:r>
            <w:r>
              <w:rPr>
                <w:spacing w:val="6"/>
              </w:rPr>
              <w:t>调节池</w:t>
            </w:r>
            <w:r>
              <w:rPr>
                <w:rFonts w:ascii="Times New Roman" w:hAnsi="Times New Roman" w:eastAsia="Times New Roman" w:cs="Times New Roman"/>
                <w:spacing w:val="6"/>
              </w:rPr>
              <w:t>+</w:t>
            </w:r>
            <w:r>
              <w:rPr>
                <w:spacing w:val="6"/>
              </w:rPr>
              <w:t>厌氧</w:t>
            </w:r>
            <w:r>
              <w:rPr>
                <w:rFonts w:ascii="Times New Roman" w:hAnsi="Times New Roman" w:eastAsia="Times New Roman" w:cs="Times New Roman"/>
                <w:spacing w:val="6"/>
              </w:rPr>
              <w:t>+</w:t>
            </w:r>
            <w:r>
              <w:rPr>
                <w:spacing w:val="6"/>
              </w:rPr>
              <w:t>缺氧</w:t>
            </w:r>
            <w:r>
              <w:rPr>
                <w:rFonts w:ascii="Times New Roman" w:hAnsi="Times New Roman" w:eastAsia="Times New Roman" w:cs="Times New Roman"/>
                <w:spacing w:val="6"/>
              </w:rPr>
              <w:t>+</w:t>
            </w:r>
            <w:r>
              <w:rPr>
                <w:spacing w:val="6"/>
              </w:rPr>
              <w:t>好氧</w:t>
            </w:r>
            <w:r>
              <w:rPr>
                <w:rFonts w:ascii="Times New Roman" w:hAnsi="Times New Roman" w:eastAsia="Times New Roman" w:cs="Times New Roman"/>
                <w:spacing w:val="6"/>
              </w:rPr>
              <w:t>+</w:t>
            </w:r>
            <w:r>
              <w:rPr>
                <w:spacing w:val="6"/>
              </w:rPr>
              <w:t>沉淀</w:t>
            </w:r>
            <w:r>
              <w:rPr>
                <w:rFonts w:ascii="Times New Roman" w:hAnsi="Times New Roman" w:eastAsia="Times New Roman" w:cs="Times New Roman"/>
                <w:spacing w:val="6"/>
              </w:rPr>
              <w:t>+</w:t>
            </w:r>
            <w:r>
              <w:rPr>
                <w:spacing w:val="6"/>
              </w:rPr>
              <w:t>消毒</w:t>
            </w:r>
            <w:r>
              <w:rPr>
                <w:rFonts w:ascii="Times New Roman" w:hAnsi="Times New Roman" w:eastAsia="Times New Roman" w:cs="Times New Roman"/>
                <w:spacing w:val="6"/>
              </w:rPr>
              <w:t>”</w:t>
            </w:r>
            <w:r>
              <w:rPr>
                <w:spacing w:val="6"/>
              </w:rPr>
              <w:t>工艺处</w:t>
            </w:r>
            <w:r>
              <w:rPr>
                <w:spacing w:val="8"/>
              </w:rPr>
              <w:t xml:space="preserve"> </w:t>
            </w:r>
            <w:r>
              <w:rPr>
                <w:spacing w:val="9"/>
              </w:rPr>
              <w:t>理，生活污水处理达标后用于厂区绿化、洒水</w:t>
            </w:r>
            <w:r>
              <w:rPr>
                <w:spacing w:val="8"/>
              </w:rPr>
              <w:t>降尘，冬季排入尾矿</w:t>
            </w:r>
            <w:r>
              <w:t xml:space="preserve"> </w:t>
            </w:r>
            <w:r>
              <w:rPr>
                <w:spacing w:val="6"/>
              </w:rPr>
              <w:t>库内，不外排。</w:t>
            </w:r>
          </w:p>
        </w:tc>
      </w:tr>
      <w:tr w14:paraId="2D984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3CDFA865">
            <w:pPr>
              <w:rPr>
                <w:rFonts w:ascii="Arial"/>
                <w:sz w:val="21"/>
              </w:rPr>
            </w:pPr>
          </w:p>
        </w:tc>
        <w:tc>
          <w:tcPr>
            <w:tcW w:w="1559" w:type="dxa"/>
            <w:vAlign w:val="top"/>
          </w:tcPr>
          <w:p w14:paraId="30EFA84E">
            <w:pPr>
              <w:pStyle w:val="6"/>
              <w:spacing w:before="80" w:line="228" w:lineRule="auto"/>
              <w:ind w:left="152"/>
            </w:pPr>
            <w:r>
              <w:rPr>
                <w:spacing w:val="8"/>
              </w:rPr>
              <w:t>地下水污染防</w:t>
            </w:r>
          </w:p>
          <w:p w14:paraId="18B1A330">
            <w:pPr>
              <w:pStyle w:val="6"/>
              <w:spacing w:before="24" w:line="233" w:lineRule="auto"/>
              <w:ind w:left="683"/>
            </w:pPr>
            <w:r>
              <w:t>治</w:t>
            </w:r>
          </w:p>
        </w:tc>
        <w:tc>
          <w:tcPr>
            <w:tcW w:w="6282" w:type="dxa"/>
            <w:vAlign w:val="top"/>
          </w:tcPr>
          <w:p w14:paraId="4572456D">
            <w:pPr>
              <w:pStyle w:val="6"/>
              <w:spacing w:before="56" w:line="266" w:lineRule="auto"/>
              <w:ind w:left="113" w:right="107" w:firstLine="1"/>
            </w:pPr>
            <w:r>
              <w:rPr>
                <w:spacing w:val="6"/>
              </w:rPr>
              <w:t>分区防渗，选厂上游现有监测井</w:t>
            </w:r>
            <w:r>
              <w:rPr>
                <w:spacing w:val="-21"/>
              </w:rPr>
              <w:t xml:space="preserve"> </w:t>
            </w:r>
            <w:r>
              <w:rPr>
                <w:rFonts w:ascii="Times New Roman" w:hAnsi="Times New Roman" w:eastAsia="Times New Roman" w:cs="Times New Roman"/>
                <w:spacing w:val="6"/>
              </w:rPr>
              <w:t xml:space="preserve">1 </w:t>
            </w:r>
            <w:r>
              <w:rPr>
                <w:spacing w:val="6"/>
              </w:rPr>
              <w:t>座，选矿厂处可依托尾矿</w:t>
            </w:r>
            <w:r>
              <w:rPr>
                <w:spacing w:val="5"/>
              </w:rPr>
              <w:t>库</w:t>
            </w:r>
            <w:r>
              <w:rPr>
                <w:spacing w:val="-2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7"/>
              </w:rPr>
              <w:t xml:space="preserve"> </w:t>
            </w:r>
            <w:r>
              <w:rPr>
                <w:spacing w:val="5"/>
              </w:rPr>
              <w:t>号</w:t>
            </w:r>
            <w:r>
              <w:t xml:space="preserve"> </w:t>
            </w:r>
            <w:r>
              <w:rPr>
                <w:spacing w:val="7"/>
              </w:rPr>
              <w:t>监测井，选矿厂下游可依托尾矿库</w:t>
            </w:r>
            <w:r>
              <w:rPr>
                <w:spacing w:val="-20"/>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17"/>
                <w:w w:val="101"/>
              </w:rPr>
              <w:t xml:space="preserve"> </w:t>
            </w:r>
            <w:r>
              <w:rPr>
                <w:spacing w:val="7"/>
              </w:rPr>
              <w:t>号监测井</w:t>
            </w:r>
          </w:p>
        </w:tc>
      </w:tr>
      <w:tr w14:paraId="3089C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668" w:type="dxa"/>
            <w:vMerge w:val="continue"/>
            <w:tcBorders>
              <w:top w:val="nil"/>
              <w:bottom w:val="nil"/>
            </w:tcBorders>
            <w:vAlign w:val="top"/>
          </w:tcPr>
          <w:p w14:paraId="0D112467">
            <w:pPr>
              <w:rPr>
                <w:rFonts w:ascii="Arial"/>
                <w:sz w:val="21"/>
              </w:rPr>
            </w:pPr>
          </w:p>
        </w:tc>
        <w:tc>
          <w:tcPr>
            <w:tcW w:w="1559" w:type="dxa"/>
            <w:vAlign w:val="top"/>
          </w:tcPr>
          <w:p w14:paraId="58009FBB">
            <w:pPr>
              <w:spacing w:line="466" w:lineRule="auto"/>
              <w:rPr>
                <w:rFonts w:ascii="Arial"/>
                <w:sz w:val="21"/>
              </w:rPr>
            </w:pPr>
          </w:p>
          <w:p w14:paraId="299D844D">
            <w:pPr>
              <w:pStyle w:val="6"/>
              <w:spacing w:before="65" w:line="228" w:lineRule="auto"/>
              <w:ind w:left="381"/>
            </w:pPr>
            <w:r>
              <w:rPr>
                <w:spacing w:val="2"/>
              </w:rPr>
              <w:t>固废治理</w:t>
            </w:r>
          </w:p>
        </w:tc>
        <w:tc>
          <w:tcPr>
            <w:tcW w:w="6282" w:type="dxa"/>
            <w:vAlign w:val="top"/>
          </w:tcPr>
          <w:p w14:paraId="2DC71C15">
            <w:pPr>
              <w:pStyle w:val="6"/>
              <w:spacing w:before="56" w:line="280" w:lineRule="auto"/>
              <w:ind w:left="112" w:right="107" w:firstLine="2"/>
              <w:jc w:val="both"/>
            </w:pPr>
            <w:r>
              <w:rPr>
                <w:spacing w:val="4"/>
              </w:rPr>
              <w:t>危废暂存间</w:t>
            </w:r>
            <w:r>
              <w:rPr>
                <w:spacing w:val="-8"/>
              </w:rPr>
              <w:t xml:space="preserve"> </w:t>
            </w:r>
            <w:r>
              <w:rPr>
                <w:rFonts w:ascii="Times New Roman" w:hAnsi="Times New Roman" w:eastAsia="Times New Roman" w:cs="Times New Roman"/>
                <w:spacing w:val="4"/>
              </w:rPr>
              <w:t xml:space="preserve">1 </w:t>
            </w:r>
            <w:r>
              <w:rPr>
                <w:spacing w:val="4"/>
              </w:rPr>
              <w:t>座，面积</w:t>
            </w:r>
            <w:r>
              <w:rPr>
                <w:spacing w:val="-40"/>
              </w:rPr>
              <w:t xml:space="preserve"> </w:t>
            </w:r>
            <w:r>
              <w:rPr>
                <w:rFonts w:ascii="Times New Roman" w:hAnsi="Times New Roman" w:eastAsia="Times New Roman" w:cs="Times New Roman"/>
                <w:spacing w:val="4"/>
              </w:rPr>
              <w:t>20m</w:t>
            </w:r>
            <w:r>
              <w:rPr>
                <w:rFonts w:ascii="Times New Roman" w:hAnsi="Times New Roman" w:eastAsia="Times New Roman" w:cs="Times New Roman"/>
                <w:spacing w:val="4"/>
                <w:position w:val="6"/>
                <w:sz w:val="13"/>
                <w:szCs w:val="13"/>
              </w:rPr>
              <w:t>2</w:t>
            </w:r>
            <w:r>
              <w:rPr>
                <w:spacing w:val="4"/>
              </w:rPr>
              <w:t>，用于暂存化验室废液及化学药剂包装</w:t>
            </w:r>
            <w:r>
              <w:t xml:space="preserve"> </w:t>
            </w:r>
            <w:r>
              <w:rPr>
                <w:spacing w:val="7"/>
              </w:rPr>
              <w:t>物，渗透系数小于</w:t>
            </w:r>
            <w:r>
              <w:rPr>
                <w:spacing w:val="-21"/>
              </w:rPr>
              <w:t xml:space="preserve"> </w:t>
            </w:r>
            <w:r>
              <w:rPr>
                <w:rFonts w:ascii="Times New Roman" w:hAnsi="Times New Roman" w:eastAsia="Times New Roman" w:cs="Times New Roman"/>
                <w:spacing w:val="7"/>
              </w:rPr>
              <w:t>1.0×10</w:t>
            </w:r>
            <w:r>
              <w:rPr>
                <w:rFonts w:ascii="Times New Roman" w:hAnsi="Times New Roman" w:eastAsia="Times New Roman" w:cs="Times New Roman"/>
                <w:spacing w:val="7"/>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7"/>
              </w:rPr>
              <w:t>/s</w:t>
            </w:r>
            <w:r>
              <w:rPr>
                <w:rFonts w:ascii="Times New Roman" w:hAnsi="Times New Roman" w:eastAsia="Times New Roman" w:cs="Times New Roman"/>
                <w:spacing w:val="-22"/>
              </w:rPr>
              <w:t xml:space="preserve"> </w:t>
            </w:r>
            <w:r>
              <w:rPr>
                <w:spacing w:val="7"/>
              </w:rPr>
              <w:t>，满足《危险废物贮存污</w:t>
            </w:r>
            <w:r>
              <w:rPr>
                <w:spacing w:val="6"/>
              </w:rPr>
              <w:t>染控制标</w:t>
            </w:r>
            <w:r>
              <w:t xml:space="preserve"> </w:t>
            </w:r>
            <w:r>
              <w:rPr>
                <w:spacing w:val="9"/>
              </w:rPr>
              <w:t>准》（</w:t>
            </w:r>
            <w:r>
              <w:rPr>
                <w:rFonts w:ascii="Times New Roman" w:hAnsi="Times New Roman" w:eastAsia="Times New Roman" w:cs="Times New Roman"/>
              </w:rPr>
              <w:t>GB</w:t>
            </w:r>
            <w:r>
              <w:rPr>
                <w:rFonts w:ascii="Times New Roman" w:hAnsi="Times New Roman" w:eastAsia="Times New Roman" w:cs="Times New Roman"/>
                <w:spacing w:val="9"/>
              </w:rPr>
              <w:t>18599—2001</w:t>
            </w:r>
            <w:r>
              <w:rPr>
                <w:spacing w:val="9"/>
              </w:rPr>
              <w:t>）要求。产生的废</w:t>
            </w:r>
            <w:r>
              <w:rPr>
                <w:spacing w:val="8"/>
              </w:rPr>
              <w:t>机油可依托矿区原有危废</w:t>
            </w:r>
            <w:r>
              <w:t xml:space="preserve"> </w:t>
            </w:r>
            <w:r>
              <w:rPr>
                <w:spacing w:val="6"/>
              </w:rPr>
              <w:t>暂存间储存。</w:t>
            </w:r>
          </w:p>
        </w:tc>
      </w:tr>
      <w:tr w14:paraId="1B5CE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668" w:type="dxa"/>
            <w:vMerge w:val="continue"/>
            <w:tcBorders>
              <w:top w:val="nil"/>
            </w:tcBorders>
            <w:vAlign w:val="top"/>
          </w:tcPr>
          <w:p w14:paraId="0E8DE106">
            <w:pPr>
              <w:rPr>
                <w:rFonts w:ascii="Arial"/>
                <w:sz w:val="21"/>
              </w:rPr>
            </w:pPr>
          </w:p>
        </w:tc>
        <w:tc>
          <w:tcPr>
            <w:tcW w:w="1559" w:type="dxa"/>
            <w:vAlign w:val="top"/>
          </w:tcPr>
          <w:p w14:paraId="36E5A042">
            <w:pPr>
              <w:pStyle w:val="6"/>
              <w:spacing w:before="216" w:line="228" w:lineRule="auto"/>
              <w:ind w:left="373"/>
            </w:pPr>
            <w:r>
              <w:rPr>
                <w:spacing w:val="4"/>
              </w:rPr>
              <w:t>噪声控制</w:t>
            </w:r>
          </w:p>
        </w:tc>
        <w:tc>
          <w:tcPr>
            <w:tcW w:w="6282" w:type="dxa"/>
            <w:vAlign w:val="top"/>
          </w:tcPr>
          <w:p w14:paraId="340E0CF8">
            <w:pPr>
              <w:pStyle w:val="6"/>
              <w:spacing w:before="58" w:line="267" w:lineRule="auto"/>
              <w:ind w:left="116" w:right="109"/>
            </w:pPr>
            <w:r>
              <w:rPr>
                <w:spacing w:val="8"/>
              </w:rPr>
              <w:t>设备采取基础减振、隔声等措施，对空气动力性的噪声设备加装消</w:t>
            </w:r>
            <w:r>
              <w:rPr>
                <w:spacing w:val="18"/>
              </w:rPr>
              <w:t xml:space="preserve"> </w:t>
            </w:r>
            <w:r>
              <w:rPr>
                <w:spacing w:val="9"/>
              </w:rPr>
              <w:t>声器，风机及水泵的接头应采用软性材料</w:t>
            </w:r>
          </w:p>
        </w:tc>
      </w:tr>
    </w:tbl>
    <w:p w14:paraId="76CD4133">
      <w:pPr>
        <w:spacing w:before="118" w:line="219" w:lineRule="auto"/>
        <w:ind w:left="603"/>
        <w:rPr>
          <w:rFonts w:ascii="宋体" w:hAnsi="宋体" w:eastAsia="宋体" w:cs="宋体"/>
          <w:sz w:val="24"/>
          <w:szCs w:val="24"/>
        </w:rPr>
      </w:pPr>
      <w:r>
        <w:rPr>
          <w:rFonts w:ascii="宋体" w:hAnsi="宋体" w:eastAsia="宋体" w:cs="宋体"/>
          <w:spacing w:val="-3"/>
          <w:sz w:val="24"/>
          <w:szCs w:val="24"/>
        </w:rPr>
        <w:t>（2）2000t/d</w:t>
      </w:r>
      <w:r>
        <w:rPr>
          <w:rFonts w:ascii="宋体" w:hAnsi="宋体" w:eastAsia="宋体" w:cs="宋体"/>
          <w:spacing w:val="-40"/>
          <w:sz w:val="24"/>
          <w:szCs w:val="24"/>
        </w:rPr>
        <w:t xml:space="preserve"> </w:t>
      </w:r>
      <w:r>
        <w:rPr>
          <w:rFonts w:ascii="宋体" w:hAnsi="宋体" w:eastAsia="宋体" w:cs="宋体"/>
          <w:spacing w:val="-3"/>
          <w:sz w:val="24"/>
          <w:szCs w:val="24"/>
        </w:rPr>
        <w:t>选矿工程</w:t>
      </w:r>
    </w:p>
    <w:p w14:paraId="2027693F">
      <w:pPr>
        <w:spacing w:before="193" w:line="369" w:lineRule="auto"/>
        <w:ind w:left="110" w:right="252" w:firstLine="482"/>
        <w:rPr>
          <w:rFonts w:ascii="宋体" w:hAnsi="宋体" w:eastAsia="宋体" w:cs="宋体"/>
          <w:sz w:val="24"/>
          <w:szCs w:val="24"/>
        </w:rPr>
      </w:pPr>
      <w:r>
        <w:rPr>
          <w:rFonts w:ascii="宋体" w:hAnsi="宋体" w:eastAsia="宋体" w:cs="宋体"/>
          <w:spacing w:val="-1"/>
          <w:sz w:val="24"/>
          <w:szCs w:val="24"/>
        </w:rPr>
        <w:t>现有</w:t>
      </w:r>
      <w:r>
        <w:rPr>
          <w:rFonts w:ascii="宋体" w:hAnsi="宋体" w:eastAsia="宋体" w:cs="宋体"/>
          <w:spacing w:val="-47"/>
          <w:sz w:val="24"/>
          <w:szCs w:val="24"/>
        </w:rPr>
        <w:t xml:space="preserve"> </w:t>
      </w:r>
      <w:r>
        <w:rPr>
          <w:rFonts w:ascii="宋体" w:hAnsi="宋体" w:eastAsia="宋体" w:cs="宋体"/>
          <w:spacing w:val="-1"/>
          <w:sz w:val="24"/>
          <w:szCs w:val="24"/>
        </w:rPr>
        <w:t>2000t/d</w:t>
      </w:r>
      <w:r>
        <w:rPr>
          <w:rFonts w:ascii="宋体" w:hAnsi="宋体" w:eastAsia="宋体" w:cs="宋体"/>
          <w:spacing w:val="-47"/>
          <w:sz w:val="24"/>
          <w:szCs w:val="24"/>
        </w:rPr>
        <w:t xml:space="preserve"> </w:t>
      </w:r>
      <w:r>
        <w:rPr>
          <w:rFonts w:ascii="宋体" w:hAnsi="宋体" w:eastAsia="宋体" w:cs="宋体"/>
          <w:spacing w:val="-1"/>
          <w:sz w:val="24"/>
          <w:szCs w:val="24"/>
        </w:rPr>
        <w:t>选矿工程于</w:t>
      </w:r>
      <w:r>
        <w:rPr>
          <w:rFonts w:ascii="宋体" w:hAnsi="宋体" w:eastAsia="宋体" w:cs="宋体"/>
          <w:spacing w:val="-45"/>
          <w:sz w:val="24"/>
          <w:szCs w:val="24"/>
        </w:rPr>
        <w:t xml:space="preserve"> </w:t>
      </w:r>
      <w:r>
        <w:rPr>
          <w:rFonts w:ascii="宋体" w:hAnsi="宋体" w:eastAsia="宋体" w:cs="宋体"/>
          <w:spacing w:val="-1"/>
          <w:sz w:val="24"/>
          <w:szCs w:val="24"/>
        </w:rPr>
        <w:t>2010</w:t>
      </w:r>
      <w:r>
        <w:rPr>
          <w:rFonts w:ascii="宋体" w:hAnsi="宋体" w:eastAsia="宋体" w:cs="宋体"/>
          <w:spacing w:val="-50"/>
          <w:sz w:val="24"/>
          <w:szCs w:val="24"/>
        </w:rPr>
        <w:t xml:space="preserve"> </w:t>
      </w:r>
      <w:r>
        <w:rPr>
          <w:rFonts w:ascii="宋体" w:hAnsi="宋体" w:eastAsia="宋体" w:cs="宋体"/>
          <w:spacing w:val="-1"/>
          <w:sz w:val="24"/>
          <w:szCs w:val="24"/>
        </w:rPr>
        <w:t>年</w:t>
      </w:r>
      <w:r>
        <w:rPr>
          <w:rFonts w:ascii="宋体" w:hAnsi="宋体" w:eastAsia="宋体" w:cs="宋体"/>
          <w:spacing w:val="-45"/>
          <w:sz w:val="24"/>
          <w:szCs w:val="24"/>
        </w:rPr>
        <w:t xml:space="preserve"> </w:t>
      </w:r>
      <w:r>
        <w:rPr>
          <w:rFonts w:ascii="宋体" w:hAnsi="宋体" w:eastAsia="宋体" w:cs="宋体"/>
          <w:spacing w:val="-1"/>
          <w:sz w:val="24"/>
          <w:szCs w:val="24"/>
        </w:rPr>
        <w:t>8</w:t>
      </w:r>
      <w:r>
        <w:rPr>
          <w:rFonts w:ascii="宋体" w:hAnsi="宋体" w:eastAsia="宋体" w:cs="宋体"/>
          <w:spacing w:val="-43"/>
          <w:sz w:val="24"/>
          <w:szCs w:val="24"/>
        </w:rPr>
        <w:t xml:space="preserve"> </w:t>
      </w:r>
      <w:r>
        <w:rPr>
          <w:rFonts w:ascii="宋体" w:hAnsi="宋体" w:eastAsia="宋体" w:cs="宋体"/>
          <w:spacing w:val="-1"/>
          <w:sz w:val="24"/>
          <w:szCs w:val="24"/>
        </w:rPr>
        <w:t>月建成，设计用</w:t>
      </w:r>
      <w:r>
        <w:rPr>
          <w:rFonts w:ascii="宋体" w:hAnsi="宋体" w:eastAsia="宋体" w:cs="宋体"/>
          <w:spacing w:val="-2"/>
          <w:sz w:val="24"/>
          <w:szCs w:val="24"/>
        </w:rPr>
        <w:t>于尾矿再选。2014</w:t>
      </w:r>
      <w:r>
        <w:rPr>
          <w:rFonts w:ascii="宋体" w:hAnsi="宋体" w:eastAsia="宋体" w:cs="宋体"/>
          <w:spacing w:val="-47"/>
          <w:sz w:val="24"/>
          <w:szCs w:val="24"/>
        </w:rPr>
        <w:t xml:space="preserve"> </w:t>
      </w:r>
      <w:r>
        <w:rPr>
          <w:rFonts w:ascii="宋体" w:hAnsi="宋体" w:eastAsia="宋体" w:cs="宋体"/>
          <w:spacing w:val="-2"/>
          <w:sz w:val="24"/>
          <w:szCs w:val="24"/>
        </w:rPr>
        <w:t>年</w:t>
      </w:r>
      <w:r>
        <w:rPr>
          <w:rFonts w:ascii="宋体" w:hAnsi="宋体" w:eastAsia="宋体" w:cs="宋体"/>
          <w:sz w:val="24"/>
          <w:szCs w:val="24"/>
        </w:rPr>
        <w:t xml:space="preserve"> </w:t>
      </w:r>
      <w:r>
        <w:rPr>
          <w:rFonts w:ascii="宋体" w:hAnsi="宋体" w:eastAsia="宋体" w:cs="宋体"/>
          <w:spacing w:val="-2"/>
          <w:sz w:val="24"/>
          <w:szCs w:val="24"/>
        </w:rPr>
        <w:t>11</w:t>
      </w:r>
      <w:r>
        <w:rPr>
          <w:rFonts w:ascii="宋体" w:hAnsi="宋体" w:eastAsia="宋体" w:cs="宋体"/>
          <w:spacing w:val="-45"/>
          <w:sz w:val="24"/>
          <w:szCs w:val="24"/>
        </w:rPr>
        <w:t xml:space="preserve"> </w:t>
      </w:r>
      <w:r>
        <w:rPr>
          <w:rFonts w:ascii="宋体" w:hAnsi="宋体" w:eastAsia="宋体" w:cs="宋体"/>
          <w:spacing w:val="-2"/>
          <w:sz w:val="24"/>
          <w:szCs w:val="24"/>
        </w:rPr>
        <w:t>月，公司取得《内蒙古自治区环境保护厅</w:t>
      </w:r>
      <w:r>
        <w:rPr>
          <w:rFonts w:ascii="宋体" w:hAnsi="宋体" w:eastAsia="宋体" w:cs="宋体"/>
          <w:spacing w:val="-3"/>
          <w:sz w:val="24"/>
          <w:szCs w:val="24"/>
        </w:rPr>
        <w:t>关于内蒙古玉龙矿业股份有限公司</w:t>
      </w:r>
      <w:r>
        <w:rPr>
          <w:rFonts w:ascii="宋体" w:hAnsi="宋体" w:eastAsia="宋体" w:cs="宋体"/>
          <w:sz w:val="24"/>
          <w:szCs w:val="24"/>
        </w:rPr>
        <w:t xml:space="preserve"> 西乌珠穆沁旗花敖包特银铅锌矿技术改造项目环境影响</w:t>
      </w:r>
      <w:r>
        <w:rPr>
          <w:rFonts w:ascii="宋体" w:hAnsi="宋体" w:eastAsia="宋体" w:cs="宋体"/>
          <w:spacing w:val="-1"/>
          <w:sz w:val="24"/>
          <w:szCs w:val="24"/>
        </w:rPr>
        <w:t>报告书的批复》（内环</w:t>
      </w:r>
      <w:r>
        <w:rPr>
          <w:rFonts w:ascii="宋体" w:hAnsi="宋体" w:eastAsia="宋体" w:cs="宋体"/>
          <w:sz w:val="24"/>
          <w:szCs w:val="24"/>
        </w:rPr>
        <w:t xml:space="preserve"> 审[2014]182</w:t>
      </w:r>
      <w:r>
        <w:rPr>
          <w:rFonts w:ascii="宋体" w:hAnsi="宋体" w:eastAsia="宋体" w:cs="宋体"/>
          <w:spacing w:val="-44"/>
          <w:sz w:val="24"/>
          <w:szCs w:val="24"/>
        </w:rPr>
        <w:t xml:space="preserve"> </w:t>
      </w:r>
      <w:r>
        <w:rPr>
          <w:rFonts w:ascii="宋体" w:hAnsi="宋体" w:eastAsia="宋体" w:cs="宋体"/>
          <w:sz w:val="24"/>
          <w:szCs w:val="24"/>
        </w:rPr>
        <w:t>号</w:t>
      </w:r>
      <w:r>
        <w:rPr>
          <w:rFonts w:ascii="宋体" w:hAnsi="宋体" w:eastAsia="宋体" w:cs="宋体"/>
          <w:spacing w:val="8"/>
          <w:sz w:val="24"/>
          <w:szCs w:val="24"/>
        </w:rPr>
        <w:t>），</w:t>
      </w:r>
      <w:r>
        <w:rPr>
          <w:rFonts w:ascii="宋体" w:hAnsi="宋体" w:eastAsia="宋体" w:cs="宋体"/>
          <w:sz w:val="24"/>
          <w:szCs w:val="24"/>
        </w:rPr>
        <w:t>根据环评批复内容，</w:t>
      </w:r>
      <w:r>
        <w:rPr>
          <w:rFonts w:ascii="宋体" w:hAnsi="宋体" w:eastAsia="宋体" w:cs="宋体"/>
          <w:spacing w:val="-1"/>
          <w:sz w:val="24"/>
          <w:szCs w:val="24"/>
        </w:rPr>
        <w:t>公司采矿规模扩至</w:t>
      </w:r>
      <w:r>
        <w:rPr>
          <w:rFonts w:ascii="宋体" w:hAnsi="宋体" w:eastAsia="宋体" w:cs="宋体"/>
          <w:spacing w:val="-42"/>
          <w:sz w:val="24"/>
          <w:szCs w:val="24"/>
        </w:rPr>
        <w:t xml:space="preserve"> </w:t>
      </w:r>
      <w:r>
        <w:rPr>
          <w:rFonts w:ascii="宋体" w:hAnsi="宋体" w:eastAsia="宋体" w:cs="宋体"/>
          <w:spacing w:val="-1"/>
          <w:sz w:val="24"/>
          <w:szCs w:val="24"/>
        </w:rPr>
        <w:t>72</w:t>
      </w:r>
      <w:r>
        <w:rPr>
          <w:rFonts w:ascii="宋体" w:hAnsi="宋体" w:eastAsia="宋体" w:cs="宋体"/>
          <w:spacing w:val="-43"/>
          <w:sz w:val="24"/>
          <w:szCs w:val="24"/>
        </w:rPr>
        <w:t xml:space="preserve"> </w:t>
      </w:r>
      <w:r>
        <w:rPr>
          <w:rFonts w:ascii="宋体" w:hAnsi="宋体" w:eastAsia="宋体" w:cs="宋体"/>
          <w:spacing w:val="-1"/>
          <w:sz w:val="24"/>
          <w:szCs w:val="24"/>
        </w:rPr>
        <w:t>万吨/年，依托</w:t>
      </w:r>
      <w:r>
        <w:rPr>
          <w:rFonts w:ascii="宋体" w:hAnsi="宋体" w:eastAsia="宋体" w:cs="宋体"/>
          <w:sz w:val="24"/>
          <w:szCs w:val="24"/>
        </w:rPr>
        <w:t xml:space="preserve"> </w:t>
      </w:r>
      <w:r>
        <w:rPr>
          <w:rFonts w:ascii="宋体" w:hAnsi="宋体" w:eastAsia="宋体" w:cs="宋体"/>
          <w:spacing w:val="1"/>
          <w:sz w:val="24"/>
          <w:szCs w:val="24"/>
        </w:rPr>
        <w:t>矿区内现有矿石选厂及尾矿选厂选矿。2000t/d</w:t>
      </w:r>
      <w:r>
        <w:rPr>
          <w:rFonts w:ascii="宋体" w:hAnsi="宋体" w:eastAsia="宋体" w:cs="宋体"/>
          <w:spacing w:val="-47"/>
          <w:sz w:val="24"/>
          <w:szCs w:val="24"/>
        </w:rPr>
        <w:t xml:space="preserve"> </w:t>
      </w:r>
      <w:r>
        <w:rPr>
          <w:rFonts w:ascii="宋体" w:hAnsi="宋体" w:eastAsia="宋体" w:cs="宋体"/>
          <w:spacing w:val="1"/>
          <w:sz w:val="24"/>
          <w:szCs w:val="24"/>
        </w:rPr>
        <w:t>选矿工程原料由尾矿变更为原</w:t>
      </w:r>
      <w:r>
        <w:rPr>
          <w:rFonts w:ascii="宋体" w:hAnsi="宋体" w:eastAsia="宋体" w:cs="宋体"/>
          <w:sz w:val="24"/>
          <w:szCs w:val="24"/>
        </w:rPr>
        <w:t xml:space="preserve"> </w:t>
      </w:r>
      <w:r>
        <w:rPr>
          <w:rFonts w:ascii="宋体" w:hAnsi="宋体" w:eastAsia="宋体" w:cs="宋体"/>
          <w:spacing w:val="-5"/>
          <w:sz w:val="24"/>
          <w:szCs w:val="24"/>
        </w:rPr>
        <w:t>矿。</w:t>
      </w:r>
    </w:p>
    <w:p w14:paraId="4EA55F82">
      <w:pPr>
        <w:spacing w:line="369" w:lineRule="auto"/>
        <w:rPr>
          <w:rFonts w:ascii="宋体" w:hAnsi="宋体" w:eastAsia="宋体" w:cs="宋体"/>
          <w:sz w:val="24"/>
          <w:szCs w:val="24"/>
        </w:rPr>
        <w:sectPr>
          <w:footerReference r:id="rId59" w:type="default"/>
          <w:pgSz w:w="11906" w:h="16839"/>
          <w:pgMar w:top="1208" w:right="1696" w:bottom="1358" w:left="1695" w:header="825" w:footer="1195" w:gutter="0"/>
          <w:cols w:space="720" w:num="1"/>
        </w:sectPr>
      </w:pPr>
    </w:p>
    <w:p w14:paraId="20168246">
      <w:pPr>
        <w:pStyle w:val="2"/>
        <w:spacing w:line="270" w:lineRule="auto"/>
      </w:pPr>
    </w:p>
    <w:p w14:paraId="5EA05BDB">
      <w:pPr>
        <w:spacing w:before="78" w:line="219" w:lineRule="auto"/>
        <w:ind w:left="199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7"/>
          <w:sz w:val="24"/>
          <w:szCs w:val="24"/>
        </w:rPr>
        <w:t xml:space="preserve"> </w:t>
      </w:r>
      <w:r>
        <w:rPr>
          <w:rFonts w:ascii="宋体" w:hAnsi="宋体" w:eastAsia="宋体" w:cs="宋体"/>
          <w:spacing w:val="-2"/>
          <w:sz w:val="24"/>
          <w:szCs w:val="24"/>
        </w:rPr>
        <w:t>3.2-2   现有</w:t>
      </w:r>
      <w:r>
        <w:rPr>
          <w:rFonts w:ascii="宋体" w:hAnsi="宋体" w:eastAsia="宋体" w:cs="宋体"/>
          <w:spacing w:val="-47"/>
          <w:sz w:val="24"/>
          <w:szCs w:val="24"/>
        </w:rPr>
        <w:t xml:space="preserve"> </w:t>
      </w:r>
      <w:r>
        <w:rPr>
          <w:rFonts w:ascii="宋体" w:hAnsi="宋体" w:eastAsia="宋体" w:cs="宋体"/>
          <w:spacing w:val="-2"/>
          <w:sz w:val="24"/>
          <w:szCs w:val="24"/>
        </w:rPr>
        <w:t>2000t/d</w:t>
      </w:r>
      <w:r>
        <w:rPr>
          <w:rFonts w:ascii="宋体" w:hAnsi="宋体" w:eastAsia="宋体" w:cs="宋体"/>
          <w:spacing w:val="-52"/>
          <w:sz w:val="24"/>
          <w:szCs w:val="24"/>
        </w:rPr>
        <w:t xml:space="preserve"> </w:t>
      </w:r>
      <w:r>
        <w:rPr>
          <w:rFonts w:ascii="宋体" w:hAnsi="宋体" w:eastAsia="宋体" w:cs="宋体"/>
          <w:spacing w:val="-2"/>
          <w:sz w:val="24"/>
          <w:szCs w:val="24"/>
        </w:rPr>
        <w:t>选矿工程项目组成表</w:t>
      </w:r>
    </w:p>
    <w:p w14:paraId="5CB8E654">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5"/>
        <w:gridCol w:w="1559"/>
        <w:gridCol w:w="5715"/>
      </w:tblGrid>
      <w:tr w14:paraId="4710F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794" w:type="dxa"/>
            <w:gridSpan w:val="2"/>
            <w:vAlign w:val="top"/>
          </w:tcPr>
          <w:p w14:paraId="05F1C8A0">
            <w:pPr>
              <w:pStyle w:val="6"/>
              <w:spacing w:before="72" w:line="228" w:lineRule="auto"/>
              <w:ind w:left="1196"/>
            </w:pPr>
            <w:r>
              <w:rPr>
                <w:spacing w:val="3"/>
              </w:rPr>
              <w:t>项目</w:t>
            </w:r>
          </w:p>
        </w:tc>
        <w:tc>
          <w:tcPr>
            <w:tcW w:w="5715" w:type="dxa"/>
            <w:vAlign w:val="top"/>
          </w:tcPr>
          <w:p w14:paraId="1294692C">
            <w:pPr>
              <w:pStyle w:val="6"/>
              <w:spacing w:before="71" w:line="228" w:lineRule="auto"/>
              <w:ind w:left="2234"/>
            </w:pPr>
            <w:r>
              <w:rPr>
                <w:spacing w:val="7"/>
              </w:rPr>
              <w:t>项目建设内容</w:t>
            </w:r>
          </w:p>
        </w:tc>
      </w:tr>
      <w:tr w14:paraId="45EB7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235" w:type="dxa"/>
            <w:vAlign w:val="top"/>
          </w:tcPr>
          <w:p w14:paraId="5C6269C6">
            <w:pPr>
              <w:pStyle w:val="6"/>
              <w:spacing w:before="299" w:line="228" w:lineRule="auto"/>
              <w:ind w:left="205"/>
            </w:pPr>
            <w:r>
              <w:rPr>
                <w:spacing w:val="6"/>
              </w:rPr>
              <w:t>主体工程</w:t>
            </w:r>
          </w:p>
        </w:tc>
        <w:tc>
          <w:tcPr>
            <w:tcW w:w="1559" w:type="dxa"/>
            <w:vAlign w:val="top"/>
          </w:tcPr>
          <w:p w14:paraId="46896817">
            <w:pPr>
              <w:pStyle w:val="6"/>
              <w:spacing w:before="298" w:line="228" w:lineRule="auto"/>
              <w:ind w:left="362"/>
            </w:pPr>
            <w:r>
              <w:rPr>
                <w:spacing w:val="7"/>
              </w:rPr>
              <w:t>选矿车间</w:t>
            </w:r>
          </w:p>
        </w:tc>
        <w:tc>
          <w:tcPr>
            <w:tcW w:w="5715" w:type="dxa"/>
            <w:vAlign w:val="top"/>
          </w:tcPr>
          <w:p w14:paraId="6493AE87">
            <w:pPr>
              <w:pStyle w:val="6"/>
              <w:spacing w:before="147" w:line="260" w:lineRule="auto"/>
              <w:ind w:left="114" w:right="38" w:firstLine="420"/>
            </w:pPr>
            <w:r>
              <w:rPr>
                <w:spacing w:val="4"/>
              </w:rPr>
              <w:t>建筑面积</w:t>
            </w:r>
            <w:r>
              <w:rPr>
                <w:spacing w:val="-30"/>
              </w:rPr>
              <w:t xml:space="preserve"> </w:t>
            </w:r>
            <w:r>
              <w:rPr>
                <w:spacing w:val="4"/>
              </w:rPr>
              <w:t>3600m</w:t>
            </w:r>
            <w:r>
              <w:rPr>
                <w:spacing w:val="4"/>
                <w:position w:val="10"/>
                <w:sz w:val="10"/>
                <w:szCs w:val="10"/>
              </w:rPr>
              <w:t>2</w:t>
            </w:r>
            <w:r>
              <w:rPr>
                <w:spacing w:val="-25"/>
                <w:position w:val="10"/>
                <w:sz w:val="10"/>
                <w:szCs w:val="10"/>
              </w:rPr>
              <w:t xml:space="preserve"> </w:t>
            </w:r>
            <w:r>
              <w:rPr>
                <w:spacing w:val="4"/>
              </w:rPr>
              <w:t>，选矿能力</w:t>
            </w:r>
            <w:r>
              <w:rPr>
                <w:spacing w:val="-34"/>
              </w:rPr>
              <w:t xml:space="preserve"> </w:t>
            </w:r>
            <w:r>
              <w:rPr>
                <w:spacing w:val="4"/>
              </w:rPr>
              <w:t>2000t/d，包括破碎、磨矿、</w:t>
            </w:r>
            <w:r>
              <w:t xml:space="preserve"> </w:t>
            </w:r>
            <w:r>
              <w:rPr>
                <w:spacing w:val="8"/>
              </w:rPr>
              <w:t>浮选和产品、尾矿及中矿脱水设备。</w:t>
            </w:r>
          </w:p>
        </w:tc>
      </w:tr>
      <w:tr w14:paraId="542BF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35" w:type="dxa"/>
            <w:vMerge w:val="restart"/>
            <w:tcBorders>
              <w:bottom w:val="nil"/>
            </w:tcBorders>
            <w:vAlign w:val="top"/>
          </w:tcPr>
          <w:p w14:paraId="2411400D">
            <w:pPr>
              <w:spacing w:line="349" w:lineRule="auto"/>
              <w:rPr>
                <w:rFonts w:ascii="Arial"/>
                <w:sz w:val="21"/>
              </w:rPr>
            </w:pPr>
          </w:p>
          <w:p w14:paraId="76D87BEB">
            <w:pPr>
              <w:spacing w:line="350" w:lineRule="auto"/>
              <w:rPr>
                <w:rFonts w:ascii="Arial"/>
                <w:sz w:val="21"/>
              </w:rPr>
            </w:pPr>
          </w:p>
          <w:p w14:paraId="1B308426">
            <w:pPr>
              <w:pStyle w:val="6"/>
              <w:spacing w:before="65" w:line="228" w:lineRule="auto"/>
              <w:ind w:left="210"/>
            </w:pPr>
            <w:r>
              <w:rPr>
                <w:spacing w:val="5"/>
              </w:rPr>
              <w:t>公用工程</w:t>
            </w:r>
          </w:p>
        </w:tc>
        <w:tc>
          <w:tcPr>
            <w:tcW w:w="1559" w:type="dxa"/>
            <w:vAlign w:val="top"/>
          </w:tcPr>
          <w:p w14:paraId="6B00B071">
            <w:pPr>
              <w:pStyle w:val="6"/>
              <w:spacing w:before="305" w:line="227" w:lineRule="auto"/>
              <w:ind w:left="363"/>
            </w:pPr>
            <w:r>
              <w:rPr>
                <w:spacing w:val="7"/>
              </w:rPr>
              <w:t>供水系统</w:t>
            </w:r>
          </w:p>
        </w:tc>
        <w:tc>
          <w:tcPr>
            <w:tcW w:w="5715" w:type="dxa"/>
            <w:vAlign w:val="top"/>
          </w:tcPr>
          <w:p w14:paraId="55B57927">
            <w:pPr>
              <w:pStyle w:val="6"/>
              <w:spacing w:before="30"/>
              <w:ind w:left="113" w:right="109" w:firstLine="444"/>
              <w:jc w:val="both"/>
            </w:pPr>
            <w:r>
              <w:rPr>
                <w:spacing w:val="6"/>
              </w:rPr>
              <w:t>由矿区原有供水总管接一路供水，管路长度</w:t>
            </w:r>
            <w:r>
              <w:rPr>
                <w:spacing w:val="-15"/>
              </w:rPr>
              <w:t xml:space="preserve"> </w:t>
            </w:r>
            <w:r>
              <w:rPr>
                <w:spacing w:val="6"/>
              </w:rPr>
              <w:t>700m。设置</w:t>
            </w:r>
            <w:r>
              <w:t xml:space="preserve"> </w:t>
            </w:r>
            <w:r>
              <w:rPr>
                <w:spacing w:val="7"/>
              </w:rPr>
              <w:t>高位水池（2000m</w:t>
            </w:r>
            <w:r>
              <w:rPr>
                <w:spacing w:val="7"/>
                <w:position w:val="10"/>
                <w:sz w:val="10"/>
                <w:szCs w:val="10"/>
              </w:rPr>
              <w:t>3</w:t>
            </w:r>
            <w:r>
              <w:rPr>
                <w:spacing w:val="-18"/>
                <w:position w:val="10"/>
                <w:sz w:val="10"/>
                <w:szCs w:val="10"/>
              </w:rPr>
              <w:t xml:space="preserve"> </w:t>
            </w:r>
            <w:r>
              <w:rPr>
                <w:spacing w:val="7"/>
              </w:rPr>
              <w:t>）和低位沉淀水池（2×1</w:t>
            </w:r>
            <w:r>
              <w:rPr>
                <w:spacing w:val="6"/>
              </w:rPr>
              <w:t>000m</w:t>
            </w:r>
            <w:r>
              <w:rPr>
                <w:spacing w:val="6"/>
                <w:position w:val="10"/>
                <w:sz w:val="10"/>
                <w:szCs w:val="10"/>
              </w:rPr>
              <w:t>3</w:t>
            </w:r>
            <w:r>
              <w:rPr>
                <w:spacing w:val="-17"/>
                <w:position w:val="10"/>
                <w:sz w:val="10"/>
                <w:szCs w:val="10"/>
              </w:rPr>
              <w:t xml:space="preserve"> </w:t>
            </w:r>
            <w:r>
              <w:rPr>
                <w:spacing w:val="6"/>
              </w:rPr>
              <w:t>）及供水泵</w:t>
            </w:r>
            <w:r>
              <w:t xml:space="preserve"> </w:t>
            </w:r>
            <w:r>
              <w:rPr>
                <w:spacing w:val="6"/>
              </w:rPr>
              <w:t>房（80m</w:t>
            </w:r>
            <w:r>
              <w:rPr>
                <w:spacing w:val="6"/>
                <w:position w:val="10"/>
                <w:sz w:val="10"/>
                <w:szCs w:val="10"/>
              </w:rPr>
              <w:t>2</w:t>
            </w:r>
            <w:r>
              <w:rPr>
                <w:spacing w:val="-4"/>
                <w:position w:val="10"/>
                <w:sz w:val="10"/>
                <w:szCs w:val="10"/>
              </w:rPr>
              <w:t xml:space="preserve"> </w:t>
            </w:r>
            <w:r>
              <w:rPr>
                <w:spacing w:val="6"/>
              </w:rPr>
              <w:t>）。供水水源利用矿山现有供水水源。</w:t>
            </w:r>
          </w:p>
        </w:tc>
      </w:tr>
      <w:tr w14:paraId="13ADD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35" w:type="dxa"/>
            <w:vMerge w:val="continue"/>
            <w:tcBorders>
              <w:top w:val="nil"/>
              <w:bottom w:val="nil"/>
            </w:tcBorders>
            <w:vAlign w:val="top"/>
          </w:tcPr>
          <w:p w14:paraId="057A4BD5">
            <w:pPr>
              <w:rPr>
                <w:rFonts w:ascii="Arial"/>
                <w:sz w:val="21"/>
              </w:rPr>
            </w:pPr>
          </w:p>
        </w:tc>
        <w:tc>
          <w:tcPr>
            <w:tcW w:w="1559" w:type="dxa"/>
            <w:vAlign w:val="top"/>
          </w:tcPr>
          <w:p w14:paraId="01C88E99">
            <w:pPr>
              <w:pStyle w:val="6"/>
              <w:spacing w:before="168" w:line="227" w:lineRule="auto"/>
              <w:ind w:left="363"/>
            </w:pPr>
            <w:r>
              <w:rPr>
                <w:spacing w:val="7"/>
              </w:rPr>
              <w:t>供电系统</w:t>
            </w:r>
          </w:p>
        </w:tc>
        <w:tc>
          <w:tcPr>
            <w:tcW w:w="5715" w:type="dxa"/>
            <w:vAlign w:val="top"/>
          </w:tcPr>
          <w:p w14:paraId="5D7B2FA5">
            <w:pPr>
              <w:pStyle w:val="6"/>
              <w:spacing w:before="34" w:line="233" w:lineRule="auto"/>
              <w:ind w:left="116" w:right="107" w:firstLine="441"/>
            </w:pPr>
            <w:r>
              <w:rPr>
                <w:spacing w:val="3"/>
              </w:rPr>
              <w:t>由矿区总变电所将</w:t>
            </w:r>
            <w:r>
              <w:rPr>
                <w:spacing w:val="-12"/>
              </w:rPr>
              <w:t xml:space="preserve"> </w:t>
            </w:r>
            <w:r>
              <w:rPr>
                <w:spacing w:val="3"/>
              </w:rPr>
              <w:t>10</w:t>
            </w:r>
            <w:r>
              <w:t>kv</w:t>
            </w:r>
            <w:r>
              <w:rPr>
                <w:spacing w:val="-16"/>
              </w:rPr>
              <w:t xml:space="preserve"> </w:t>
            </w:r>
            <w:r>
              <w:rPr>
                <w:spacing w:val="3"/>
              </w:rPr>
              <w:t>电源引至选矿车间变电所，内设</w:t>
            </w:r>
            <w:r>
              <w:t xml:space="preserve"> </w:t>
            </w:r>
            <w:r>
              <w:rPr>
                <w:spacing w:val="6"/>
              </w:rPr>
              <w:t>3200</w:t>
            </w:r>
            <w:r>
              <w:t>kVA</w:t>
            </w:r>
            <w:r>
              <w:rPr>
                <w:spacing w:val="-38"/>
              </w:rPr>
              <w:t xml:space="preserve"> </w:t>
            </w:r>
            <w:r>
              <w:rPr>
                <w:spacing w:val="6"/>
              </w:rPr>
              <w:t>变压器一台。</w:t>
            </w:r>
          </w:p>
        </w:tc>
      </w:tr>
      <w:tr w14:paraId="1E36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235" w:type="dxa"/>
            <w:vMerge w:val="continue"/>
            <w:tcBorders>
              <w:top w:val="nil"/>
            </w:tcBorders>
            <w:vAlign w:val="top"/>
          </w:tcPr>
          <w:p w14:paraId="1967ACD8">
            <w:pPr>
              <w:rPr>
                <w:rFonts w:ascii="Arial"/>
                <w:sz w:val="21"/>
              </w:rPr>
            </w:pPr>
          </w:p>
        </w:tc>
        <w:tc>
          <w:tcPr>
            <w:tcW w:w="1559" w:type="dxa"/>
            <w:vAlign w:val="top"/>
          </w:tcPr>
          <w:p w14:paraId="5DFFFD46">
            <w:pPr>
              <w:pStyle w:val="6"/>
              <w:spacing w:before="82" w:line="227" w:lineRule="auto"/>
              <w:ind w:left="574"/>
            </w:pPr>
            <w:r>
              <w:rPr>
                <w:spacing w:val="4"/>
              </w:rPr>
              <w:t>供暖</w:t>
            </w:r>
          </w:p>
        </w:tc>
        <w:tc>
          <w:tcPr>
            <w:tcW w:w="5715" w:type="dxa"/>
            <w:vAlign w:val="top"/>
          </w:tcPr>
          <w:p w14:paraId="0E1B29AA">
            <w:pPr>
              <w:pStyle w:val="6"/>
              <w:spacing w:before="82" w:line="227" w:lineRule="auto"/>
              <w:ind w:left="1285"/>
            </w:pPr>
            <w:r>
              <w:rPr>
                <w:spacing w:val="8"/>
              </w:rPr>
              <w:t>采用矿区原采暖锅炉房集中供给。</w:t>
            </w:r>
          </w:p>
        </w:tc>
      </w:tr>
      <w:tr w14:paraId="71D0B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794" w:type="dxa"/>
            <w:gridSpan w:val="2"/>
            <w:vMerge w:val="restart"/>
            <w:tcBorders>
              <w:bottom w:val="nil"/>
            </w:tcBorders>
            <w:vAlign w:val="top"/>
          </w:tcPr>
          <w:p w14:paraId="71A5DA96">
            <w:pPr>
              <w:pStyle w:val="6"/>
              <w:spacing w:before="269" w:line="228" w:lineRule="auto"/>
              <w:ind w:left="985"/>
            </w:pPr>
            <w:r>
              <w:rPr>
                <w:spacing w:val="6"/>
              </w:rPr>
              <w:t>辅助工程</w:t>
            </w:r>
          </w:p>
        </w:tc>
        <w:tc>
          <w:tcPr>
            <w:tcW w:w="5715" w:type="dxa"/>
            <w:vAlign w:val="top"/>
          </w:tcPr>
          <w:p w14:paraId="7320AA8A">
            <w:pPr>
              <w:pStyle w:val="6"/>
              <w:spacing w:before="81" w:line="228" w:lineRule="auto"/>
              <w:ind w:left="1287"/>
            </w:pPr>
            <w:r>
              <w:rPr>
                <w:spacing w:val="8"/>
              </w:rPr>
              <w:t>车间办公室（含化验室，更衣室）</w:t>
            </w:r>
          </w:p>
        </w:tc>
      </w:tr>
      <w:tr w14:paraId="04D55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794" w:type="dxa"/>
            <w:gridSpan w:val="2"/>
            <w:vMerge w:val="continue"/>
            <w:tcBorders>
              <w:top w:val="nil"/>
            </w:tcBorders>
            <w:vAlign w:val="top"/>
          </w:tcPr>
          <w:p w14:paraId="111C3ADF">
            <w:pPr>
              <w:rPr>
                <w:rFonts w:ascii="Arial"/>
                <w:sz w:val="21"/>
              </w:rPr>
            </w:pPr>
          </w:p>
        </w:tc>
        <w:tc>
          <w:tcPr>
            <w:tcW w:w="5715" w:type="dxa"/>
            <w:vAlign w:val="top"/>
          </w:tcPr>
          <w:p w14:paraId="426D0FC0">
            <w:pPr>
              <w:pStyle w:val="6"/>
              <w:spacing w:before="81" w:line="227" w:lineRule="auto"/>
              <w:ind w:left="136"/>
            </w:pPr>
            <w:r>
              <w:rPr>
                <w:spacing w:val="9"/>
              </w:rPr>
              <w:t>原料库、宿舍、浴室、食堂、车库等依托矿区原有辅助设施</w:t>
            </w:r>
          </w:p>
        </w:tc>
      </w:tr>
      <w:tr w14:paraId="6D9FA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2794" w:type="dxa"/>
            <w:gridSpan w:val="2"/>
            <w:vAlign w:val="top"/>
          </w:tcPr>
          <w:p w14:paraId="3FD2314F">
            <w:pPr>
              <w:spacing w:line="467" w:lineRule="auto"/>
              <w:rPr>
                <w:rFonts w:ascii="Arial"/>
                <w:sz w:val="21"/>
              </w:rPr>
            </w:pPr>
          </w:p>
          <w:p w14:paraId="2B68C631">
            <w:pPr>
              <w:pStyle w:val="6"/>
              <w:spacing w:before="65" w:line="228" w:lineRule="auto"/>
              <w:ind w:left="983"/>
            </w:pPr>
            <w:r>
              <w:rPr>
                <w:spacing w:val="7"/>
              </w:rPr>
              <w:t>储运工程</w:t>
            </w:r>
          </w:p>
        </w:tc>
        <w:tc>
          <w:tcPr>
            <w:tcW w:w="5715" w:type="dxa"/>
            <w:vAlign w:val="top"/>
          </w:tcPr>
          <w:p w14:paraId="4C4B1EE0">
            <w:pPr>
              <w:pStyle w:val="6"/>
              <w:spacing w:before="56" w:line="295" w:lineRule="auto"/>
              <w:ind w:left="114" w:right="145" w:firstLine="419"/>
            </w:pPr>
            <w:r>
              <w:rPr>
                <w:spacing w:val="8"/>
              </w:rPr>
              <w:t>专用汽车运输，同时设计从现有尾矿库到选厂的</w:t>
            </w:r>
            <w:r>
              <w:rPr>
                <w:spacing w:val="-16"/>
              </w:rPr>
              <w:t xml:space="preserve"> </w:t>
            </w:r>
            <w:r>
              <w:rPr>
                <w:spacing w:val="8"/>
              </w:rPr>
              <w:t>1</w:t>
            </w:r>
            <w:r>
              <w:t>km</w:t>
            </w:r>
            <w:r>
              <w:rPr>
                <w:spacing w:val="-38"/>
              </w:rPr>
              <w:t xml:space="preserve"> </w:t>
            </w:r>
            <w:r>
              <w:rPr>
                <w:spacing w:val="8"/>
              </w:rPr>
              <w:t>汽</w:t>
            </w:r>
            <w:r>
              <w:t xml:space="preserve"> </w:t>
            </w:r>
            <w:r>
              <w:rPr>
                <w:spacing w:val="8"/>
              </w:rPr>
              <w:t>车运输专用道路，路面结构为水泥路面，路面宽</w:t>
            </w:r>
            <w:r>
              <w:rPr>
                <w:spacing w:val="-32"/>
              </w:rPr>
              <w:t xml:space="preserve"> </w:t>
            </w:r>
            <w:r>
              <w:rPr>
                <w:spacing w:val="8"/>
              </w:rPr>
              <w:t>7m。</w:t>
            </w:r>
          </w:p>
          <w:p w14:paraId="174835C7">
            <w:pPr>
              <w:pStyle w:val="6"/>
              <w:spacing w:before="1" w:line="264" w:lineRule="auto"/>
              <w:ind w:left="113" w:right="148" w:firstLine="418"/>
            </w:pPr>
            <w:r>
              <w:rPr>
                <w:spacing w:val="9"/>
              </w:rPr>
              <w:t>选矿尾矿运输变更为采用管道输送至尾矿干排设施，通</w:t>
            </w:r>
            <w:r>
              <w:rPr>
                <w:spacing w:val="13"/>
              </w:rPr>
              <w:t xml:space="preserve"> </w:t>
            </w:r>
            <w:r>
              <w:rPr>
                <w:spacing w:val="9"/>
              </w:rPr>
              <w:t>过专用汽车运输至尾矿库堆存</w:t>
            </w:r>
          </w:p>
        </w:tc>
      </w:tr>
      <w:tr w14:paraId="19432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2794" w:type="dxa"/>
            <w:gridSpan w:val="2"/>
            <w:vAlign w:val="top"/>
          </w:tcPr>
          <w:p w14:paraId="7FDBEE6D">
            <w:pPr>
              <w:spacing w:line="375" w:lineRule="auto"/>
              <w:rPr>
                <w:rFonts w:ascii="Arial"/>
                <w:sz w:val="21"/>
              </w:rPr>
            </w:pPr>
          </w:p>
          <w:p w14:paraId="3D566C94">
            <w:pPr>
              <w:pStyle w:val="6"/>
              <w:spacing w:before="65" w:line="228" w:lineRule="auto"/>
              <w:ind w:left="985"/>
            </w:pPr>
            <w:r>
              <w:rPr>
                <w:spacing w:val="6"/>
              </w:rPr>
              <w:t>污水处理</w:t>
            </w:r>
          </w:p>
        </w:tc>
        <w:tc>
          <w:tcPr>
            <w:tcW w:w="5715" w:type="dxa"/>
            <w:vAlign w:val="top"/>
          </w:tcPr>
          <w:p w14:paraId="261A413E">
            <w:pPr>
              <w:pStyle w:val="6"/>
              <w:spacing w:before="18" w:line="246" w:lineRule="auto"/>
              <w:ind w:left="114" w:right="107" w:firstLine="417"/>
              <w:jc w:val="both"/>
            </w:pPr>
            <w:r>
              <w:rPr>
                <w:spacing w:val="5"/>
              </w:rPr>
              <w:t>选厂尾矿浆经过旋流除砂、浓密过滤后，滤液排入</w:t>
            </w:r>
            <w:r>
              <w:rPr>
                <w:spacing w:val="-15"/>
              </w:rPr>
              <w:t xml:space="preserve"> </w:t>
            </w:r>
            <w:r>
              <w:rPr>
                <w:spacing w:val="5"/>
              </w:rPr>
              <w:t>150m</w:t>
            </w:r>
            <w:r>
              <w:rPr>
                <w:spacing w:val="5"/>
                <w:position w:val="10"/>
                <w:sz w:val="10"/>
                <w:szCs w:val="10"/>
              </w:rPr>
              <w:t>3</w:t>
            </w:r>
            <w:r>
              <w:rPr>
                <w:position w:val="10"/>
                <w:sz w:val="10"/>
                <w:szCs w:val="10"/>
              </w:rPr>
              <w:t xml:space="preserve"> </w:t>
            </w:r>
            <w:r>
              <w:rPr>
                <w:spacing w:val="9"/>
              </w:rPr>
              <w:t>水池循环利用。精矿、中矿经过浓缩、过滤后，滤液循环使</w:t>
            </w:r>
            <w:r>
              <w:rPr>
                <w:spacing w:val="12"/>
              </w:rPr>
              <w:t xml:space="preserve"> </w:t>
            </w:r>
            <w:r>
              <w:rPr>
                <w:spacing w:val="9"/>
              </w:rPr>
              <w:t>用。生活污水经厂内污水处理设备处理后用于矿区绿化和道</w:t>
            </w:r>
            <w:r>
              <w:rPr>
                <w:spacing w:val="12"/>
              </w:rPr>
              <w:t xml:space="preserve"> </w:t>
            </w:r>
            <w:r>
              <w:rPr>
                <w:spacing w:val="8"/>
              </w:rPr>
              <w:t>路除尘。对外无废水排放。</w:t>
            </w:r>
          </w:p>
        </w:tc>
      </w:tr>
      <w:tr w14:paraId="15671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2794" w:type="dxa"/>
            <w:gridSpan w:val="2"/>
            <w:vAlign w:val="top"/>
          </w:tcPr>
          <w:p w14:paraId="3CCBCBEC">
            <w:pPr>
              <w:pStyle w:val="6"/>
              <w:spacing w:before="82" w:line="228" w:lineRule="auto"/>
              <w:ind w:left="983"/>
            </w:pPr>
            <w:r>
              <w:rPr>
                <w:spacing w:val="7"/>
              </w:rPr>
              <w:t>尾矿处置</w:t>
            </w:r>
          </w:p>
        </w:tc>
        <w:tc>
          <w:tcPr>
            <w:tcW w:w="5715" w:type="dxa"/>
            <w:vAlign w:val="top"/>
          </w:tcPr>
          <w:p w14:paraId="049CC805">
            <w:pPr>
              <w:pStyle w:val="6"/>
              <w:spacing w:before="83" w:line="227" w:lineRule="auto"/>
              <w:ind w:left="532"/>
            </w:pPr>
            <w:r>
              <w:rPr>
                <w:spacing w:val="8"/>
              </w:rPr>
              <w:t>尾砂全部干式堆存于现有Ⅱ号尾矿库内。</w:t>
            </w:r>
          </w:p>
        </w:tc>
      </w:tr>
    </w:tbl>
    <w:p w14:paraId="27DA490D">
      <w:pPr>
        <w:spacing w:before="119" w:line="219" w:lineRule="auto"/>
        <w:ind w:left="603"/>
        <w:rPr>
          <w:rFonts w:ascii="宋体" w:hAnsi="宋体" w:eastAsia="宋体" w:cs="宋体"/>
          <w:sz w:val="24"/>
          <w:szCs w:val="24"/>
        </w:rPr>
      </w:pPr>
      <w:r>
        <w:rPr>
          <w:rFonts w:ascii="宋体" w:hAnsi="宋体" w:eastAsia="宋体" w:cs="宋体"/>
          <w:spacing w:val="-4"/>
          <w:sz w:val="24"/>
          <w:szCs w:val="24"/>
        </w:rPr>
        <w:t>（3）尾矿库</w:t>
      </w:r>
    </w:p>
    <w:p w14:paraId="7D91C087">
      <w:pPr>
        <w:spacing w:before="195" w:line="367" w:lineRule="auto"/>
        <w:ind w:left="110" w:right="252" w:firstLine="480"/>
        <w:rPr>
          <w:rFonts w:ascii="宋体" w:hAnsi="宋体" w:eastAsia="宋体" w:cs="宋体"/>
          <w:sz w:val="24"/>
          <w:szCs w:val="24"/>
        </w:rPr>
      </w:pPr>
      <w:r>
        <w:rPr>
          <w:rFonts w:ascii="宋体" w:hAnsi="宋体" w:eastAsia="宋体" w:cs="宋体"/>
          <w:spacing w:val="-3"/>
          <w:sz w:val="24"/>
          <w:szCs w:val="24"/>
        </w:rPr>
        <w:t>尾矿库组成包括库区、主坝、1、2</w:t>
      </w:r>
      <w:r>
        <w:rPr>
          <w:rFonts w:ascii="宋体" w:hAnsi="宋体" w:eastAsia="宋体" w:cs="宋体"/>
          <w:spacing w:val="-32"/>
          <w:sz w:val="24"/>
          <w:szCs w:val="24"/>
        </w:rPr>
        <w:t xml:space="preserve"> </w:t>
      </w:r>
      <w:r>
        <w:rPr>
          <w:rFonts w:ascii="宋体" w:hAnsi="宋体" w:eastAsia="宋体" w:cs="宋体"/>
          <w:spacing w:val="-3"/>
          <w:sz w:val="24"/>
          <w:szCs w:val="24"/>
        </w:rPr>
        <w:t>号副坝、排洪输送系统、环保设施、尾</w:t>
      </w:r>
      <w:r>
        <w:rPr>
          <w:rFonts w:ascii="宋体" w:hAnsi="宋体" w:eastAsia="宋体" w:cs="宋体"/>
          <w:sz w:val="24"/>
          <w:szCs w:val="24"/>
        </w:rPr>
        <w:t xml:space="preserve"> </w:t>
      </w:r>
      <w:r>
        <w:rPr>
          <w:rFonts w:ascii="宋体" w:hAnsi="宋体" w:eastAsia="宋体" w:cs="宋体"/>
          <w:spacing w:val="-1"/>
          <w:sz w:val="24"/>
          <w:szCs w:val="24"/>
        </w:rPr>
        <w:t>矿回水及输送系统。尾矿库项目组成见表</w:t>
      </w:r>
      <w:r>
        <w:rPr>
          <w:rFonts w:ascii="宋体" w:hAnsi="宋体" w:eastAsia="宋体" w:cs="宋体"/>
          <w:spacing w:val="-46"/>
          <w:sz w:val="24"/>
          <w:szCs w:val="24"/>
        </w:rPr>
        <w:t xml:space="preserve"> </w:t>
      </w:r>
      <w:r>
        <w:rPr>
          <w:rFonts w:ascii="宋体" w:hAnsi="宋体" w:eastAsia="宋体" w:cs="宋体"/>
          <w:spacing w:val="-1"/>
          <w:sz w:val="24"/>
          <w:szCs w:val="24"/>
        </w:rPr>
        <w:t>3.2-3。</w:t>
      </w:r>
    </w:p>
    <w:p w14:paraId="4130323E">
      <w:pPr>
        <w:spacing w:line="219" w:lineRule="auto"/>
        <w:ind w:left="253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0"/>
          <w:sz w:val="24"/>
          <w:szCs w:val="24"/>
        </w:rPr>
        <w:t xml:space="preserve"> </w:t>
      </w:r>
      <w:r>
        <w:rPr>
          <w:rFonts w:ascii="宋体" w:hAnsi="宋体" w:eastAsia="宋体" w:cs="宋体"/>
          <w:spacing w:val="-2"/>
          <w:sz w:val="24"/>
          <w:szCs w:val="24"/>
        </w:rPr>
        <w:t>3.2-3    现有尾矿库工程组成表</w:t>
      </w:r>
    </w:p>
    <w:p w14:paraId="4FC1D63D">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3"/>
        <w:gridCol w:w="895"/>
        <w:gridCol w:w="991"/>
        <w:gridCol w:w="6080"/>
      </w:tblGrid>
      <w:tr w14:paraId="3FAE5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3" w:type="dxa"/>
            <w:vAlign w:val="top"/>
          </w:tcPr>
          <w:p w14:paraId="6ADC6F63">
            <w:pPr>
              <w:pStyle w:val="6"/>
              <w:spacing w:before="36" w:line="228" w:lineRule="auto"/>
              <w:ind w:left="69"/>
            </w:pPr>
            <w:r>
              <w:rPr>
                <w:spacing w:val="3"/>
              </w:rPr>
              <w:t>工程</w:t>
            </w:r>
          </w:p>
          <w:p w14:paraId="6463EDC0">
            <w:pPr>
              <w:pStyle w:val="6"/>
              <w:spacing w:before="23" w:line="218" w:lineRule="auto"/>
              <w:ind w:left="67"/>
            </w:pPr>
            <w:r>
              <w:rPr>
                <w:spacing w:val="4"/>
              </w:rPr>
              <w:t>类别</w:t>
            </w:r>
          </w:p>
        </w:tc>
        <w:tc>
          <w:tcPr>
            <w:tcW w:w="895" w:type="dxa"/>
            <w:vAlign w:val="top"/>
          </w:tcPr>
          <w:p w14:paraId="75DD791A">
            <w:pPr>
              <w:pStyle w:val="6"/>
              <w:spacing w:before="170" w:line="228" w:lineRule="auto"/>
              <w:ind w:left="32"/>
            </w:pPr>
            <w:r>
              <w:rPr>
                <w:spacing w:val="6"/>
              </w:rPr>
              <w:t>单项工程</w:t>
            </w:r>
          </w:p>
        </w:tc>
        <w:tc>
          <w:tcPr>
            <w:tcW w:w="7071" w:type="dxa"/>
            <w:gridSpan w:val="2"/>
            <w:vAlign w:val="top"/>
          </w:tcPr>
          <w:p w14:paraId="0AD13C70">
            <w:pPr>
              <w:pStyle w:val="6"/>
              <w:spacing w:before="169" w:line="228" w:lineRule="auto"/>
              <w:ind w:left="3122"/>
            </w:pPr>
            <w:r>
              <w:rPr>
                <w:spacing w:val="6"/>
              </w:rPr>
              <w:t>建设内容</w:t>
            </w:r>
          </w:p>
        </w:tc>
      </w:tr>
      <w:tr w14:paraId="351C2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3" w:type="dxa"/>
            <w:vMerge w:val="restart"/>
            <w:tcBorders>
              <w:bottom w:val="nil"/>
            </w:tcBorders>
            <w:vAlign w:val="top"/>
          </w:tcPr>
          <w:p w14:paraId="12C2A922">
            <w:pPr>
              <w:spacing w:line="281" w:lineRule="auto"/>
              <w:rPr>
                <w:rFonts w:ascii="Arial"/>
                <w:sz w:val="21"/>
              </w:rPr>
            </w:pPr>
          </w:p>
          <w:p w14:paraId="044EC896">
            <w:pPr>
              <w:spacing w:line="281" w:lineRule="auto"/>
              <w:rPr>
                <w:rFonts w:ascii="Arial"/>
                <w:sz w:val="21"/>
              </w:rPr>
            </w:pPr>
          </w:p>
          <w:p w14:paraId="5630A7FA">
            <w:pPr>
              <w:spacing w:line="282" w:lineRule="auto"/>
              <w:rPr>
                <w:rFonts w:ascii="Arial"/>
                <w:sz w:val="21"/>
              </w:rPr>
            </w:pPr>
          </w:p>
          <w:p w14:paraId="21F10EF8">
            <w:pPr>
              <w:spacing w:line="282" w:lineRule="auto"/>
              <w:rPr>
                <w:rFonts w:ascii="Arial"/>
                <w:sz w:val="21"/>
              </w:rPr>
            </w:pPr>
          </w:p>
          <w:p w14:paraId="2B596CBC">
            <w:pPr>
              <w:pStyle w:val="6"/>
              <w:spacing w:before="65" w:line="229" w:lineRule="auto"/>
              <w:ind w:left="68"/>
            </w:pPr>
            <w:r>
              <w:rPr>
                <w:spacing w:val="3"/>
              </w:rPr>
              <w:t>主体</w:t>
            </w:r>
          </w:p>
          <w:p w14:paraId="4E43EB9A">
            <w:pPr>
              <w:pStyle w:val="6"/>
              <w:spacing w:before="23" w:line="228" w:lineRule="auto"/>
              <w:ind w:left="69"/>
            </w:pPr>
            <w:r>
              <w:rPr>
                <w:spacing w:val="3"/>
              </w:rPr>
              <w:t>工程</w:t>
            </w:r>
          </w:p>
        </w:tc>
        <w:tc>
          <w:tcPr>
            <w:tcW w:w="895" w:type="dxa"/>
            <w:vMerge w:val="restart"/>
            <w:tcBorders>
              <w:bottom w:val="nil"/>
            </w:tcBorders>
            <w:vAlign w:val="top"/>
          </w:tcPr>
          <w:p w14:paraId="06BEE1A3">
            <w:pPr>
              <w:spacing w:line="252" w:lineRule="auto"/>
              <w:rPr>
                <w:rFonts w:ascii="Arial"/>
                <w:sz w:val="21"/>
              </w:rPr>
            </w:pPr>
          </w:p>
          <w:p w14:paraId="35E2659D">
            <w:pPr>
              <w:spacing w:line="252" w:lineRule="auto"/>
              <w:rPr>
                <w:rFonts w:ascii="Arial"/>
                <w:sz w:val="21"/>
              </w:rPr>
            </w:pPr>
          </w:p>
          <w:p w14:paraId="56A74EB1">
            <w:pPr>
              <w:spacing w:line="252" w:lineRule="auto"/>
              <w:rPr>
                <w:rFonts w:ascii="Arial"/>
                <w:sz w:val="21"/>
              </w:rPr>
            </w:pPr>
          </w:p>
          <w:p w14:paraId="3BEA27C3">
            <w:pPr>
              <w:spacing w:line="253" w:lineRule="auto"/>
              <w:rPr>
                <w:rFonts w:ascii="Arial"/>
                <w:sz w:val="21"/>
              </w:rPr>
            </w:pPr>
          </w:p>
          <w:p w14:paraId="70F097A6">
            <w:pPr>
              <w:spacing w:line="253" w:lineRule="auto"/>
              <w:rPr>
                <w:rFonts w:ascii="Arial"/>
                <w:sz w:val="21"/>
              </w:rPr>
            </w:pPr>
          </w:p>
          <w:p w14:paraId="6343AC4A">
            <w:pPr>
              <w:pStyle w:val="6"/>
              <w:spacing w:before="65" w:line="228" w:lineRule="auto"/>
              <w:ind w:left="136"/>
            </w:pPr>
            <w:r>
              <w:rPr>
                <w:spacing w:val="6"/>
              </w:rPr>
              <w:t>尾矿库</w:t>
            </w:r>
          </w:p>
        </w:tc>
        <w:tc>
          <w:tcPr>
            <w:tcW w:w="991" w:type="dxa"/>
            <w:vAlign w:val="top"/>
          </w:tcPr>
          <w:p w14:paraId="165ACD2B">
            <w:pPr>
              <w:pStyle w:val="6"/>
              <w:spacing w:before="32" w:line="234" w:lineRule="auto"/>
              <w:ind w:left="183" w:right="77" w:hanging="70"/>
            </w:pPr>
            <w:r>
              <w:rPr>
                <w:spacing w:val="-2"/>
              </w:rPr>
              <w:t>占地面积</w:t>
            </w:r>
            <w:r>
              <w:rPr>
                <w:spacing w:val="2"/>
              </w:rPr>
              <w:t xml:space="preserve"> </w:t>
            </w:r>
            <w:r>
              <w:rPr>
                <w:spacing w:val="7"/>
              </w:rPr>
              <w:t>及库容</w:t>
            </w:r>
          </w:p>
        </w:tc>
        <w:tc>
          <w:tcPr>
            <w:tcW w:w="6080" w:type="dxa"/>
            <w:vAlign w:val="top"/>
          </w:tcPr>
          <w:p w14:paraId="6BD78FB6">
            <w:pPr>
              <w:pStyle w:val="6"/>
              <w:spacing w:before="152" w:line="241" w:lineRule="auto"/>
              <w:ind w:left="498"/>
              <w:rPr>
                <w:sz w:val="10"/>
                <w:szCs w:val="10"/>
              </w:rPr>
            </w:pPr>
            <w:r>
              <w:rPr>
                <w:spacing w:val="6"/>
              </w:rPr>
              <w:t>尾矿库征地面积</w:t>
            </w:r>
            <w:r>
              <w:rPr>
                <w:spacing w:val="-39"/>
              </w:rPr>
              <w:t xml:space="preserve"> </w:t>
            </w:r>
            <w:r>
              <w:rPr>
                <w:spacing w:val="6"/>
              </w:rPr>
              <w:t>93.14</w:t>
            </w:r>
            <w:r>
              <w:t>hm</w:t>
            </w:r>
            <w:r>
              <w:rPr>
                <w:spacing w:val="6"/>
                <w:position w:val="10"/>
                <w:sz w:val="10"/>
                <w:szCs w:val="10"/>
              </w:rPr>
              <w:t>2</w:t>
            </w:r>
            <w:r>
              <w:rPr>
                <w:spacing w:val="-24"/>
                <w:position w:val="10"/>
                <w:sz w:val="10"/>
                <w:szCs w:val="10"/>
              </w:rPr>
              <w:t xml:space="preserve"> </w:t>
            </w:r>
            <w:r>
              <w:rPr>
                <w:spacing w:val="6"/>
              </w:rPr>
              <w:t>，总有效库容为</w:t>
            </w:r>
            <w:r>
              <w:rPr>
                <w:spacing w:val="-35"/>
              </w:rPr>
              <w:t xml:space="preserve"> </w:t>
            </w:r>
            <w:r>
              <w:rPr>
                <w:spacing w:val="6"/>
              </w:rPr>
              <w:t>7</w:t>
            </w:r>
            <w:r>
              <w:rPr>
                <w:spacing w:val="5"/>
              </w:rPr>
              <w:t>99.53×10</w:t>
            </w:r>
            <w:r>
              <w:rPr>
                <w:spacing w:val="5"/>
                <w:position w:val="10"/>
                <w:sz w:val="10"/>
                <w:szCs w:val="10"/>
              </w:rPr>
              <w:t>4</w:t>
            </w:r>
            <w:r>
              <w:rPr>
                <w:spacing w:val="5"/>
              </w:rPr>
              <w:t>m</w:t>
            </w:r>
            <w:r>
              <w:rPr>
                <w:spacing w:val="5"/>
                <w:position w:val="10"/>
                <w:sz w:val="10"/>
                <w:szCs w:val="10"/>
              </w:rPr>
              <w:t>3</w:t>
            </w:r>
          </w:p>
        </w:tc>
      </w:tr>
      <w:tr w14:paraId="39992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3" w:type="dxa"/>
            <w:vMerge w:val="continue"/>
            <w:tcBorders>
              <w:top w:val="nil"/>
              <w:bottom w:val="nil"/>
            </w:tcBorders>
            <w:vAlign w:val="top"/>
          </w:tcPr>
          <w:p w14:paraId="72793D29">
            <w:pPr>
              <w:rPr>
                <w:rFonts w:ascii="Arial"/>
                <w:sz w:val="21"/>
              </w:rPr>
            </w:pPr>
          </w:p>
        </w:tc>
        <w:tc>
          <w:tcPr>
            <w:tcW w:w="895" w:type="dxa"/>
            <w:vMerge w:val="continue"/>
            <w:tcBorders>
              <w:top w:val="nil"/>
              <w:bottom w:val="nil"/>
            </w:tcBorders>
            <w:vAlign w:val="top"/>
          </w:tcPr>
          <w:p w14:paraId="4D598B58">
            <w:pPr>
              <w:rPr>
                <w:rFonts w:ascii="Arial"/>
                <w:sz w:val="21"/>
              </w:rPr>
            </w:pPr>
          </w:p>
        </w:tc>
        <w:tc>
          <w:tcPr>
            <w:tcW w:w="991" w:type="dxa"/>
            <w:vAlign w:val="top"/>
          </w:tcPr>
          <w:p w14:paraId="40B700F6">
            <w:pPr>
              <w:spacing w:line="373" w:lineRule="auto"/>
              <w:rPr>
                <w:rFonts w:ascii="Arial"/>
                <w:sz w:val="21"/>
              </w:rPr>
            </w:pPr>
          </w:p>
          <w:p w14:paraId="5172DB75">
            <w:pPr>
              <w:pStyle w:val="6"/>
              <w:spacing w:before="65" w:line="228" w:lineRule="auto"/>
              <w:ind w:left="303"/>
            </w:pPr>
            <w:r>
              <w:rPr>
                <w:spacing w:val="-2"/>
              </w:rPr>
              <w:t>防渗</w:t>
            </w:r>
          </w:p>
        </w:tc>
        <w:tc>
          <w:tcPr>
            <w:tcW w:w="6080" w:type="dxa"/>
            <w:vAlign w:val="top"/>
          </w:tcPr>
          <w:p w14:paraId="02938EEB">
            <w:pPr>
              <w:pStyle w:val="6"/>
              <w:spacing w:before="33" w:line="251" w:lineRule="auto"/>
              <w:ind w:left="34" w:right="65" w:firstLine="420"/>
            </w:pPr>
            <w:r>
              <w:rPr>
                <w:spacing w:val="8"/>
              </w:rPr>
              <w:t>库盆、坝基和内坡面均采用</w:t>
            </w:r>
            <w:r>
              <w:rPr>
                <w:spacing w:val="46"/>
              </w:rPr>
              <w:t xml:space="preserve"> </w:t>
            </w:r>
            <w:r>
              <w:rPr>
                <w:spacing w:val="8"/>
              </w:rPr>
              <w:t>1.5</w:t>
            </w:r>
            <w:r>
              <w:t>mm</w:t>
            </w:r>
            <w:r>
              <w:rPr>
                <w:spacing w:val="8"/>
              </w:rPr>
              <w:t xml:space="preserve"> 厚的高密度聚乙烯(</w:t>
            </w:r>
            <w:r>
              <w:t>HDPE</w:t>
            </w:r>
            <w:r>
              <w:rPr>
                <w:spacing w:val="8"/>
              </w:rPr>
              <w:t>)</w:t>
            </w:r>
            <w:r>
              <w:t xml:space="preserve"> </w:t>
            </w:r>
            <w:r>
              <w:rPr>
                <w:spacing w:val="6"/>
              </w:rPr>
              <w:t>土工膜进行防渗，防渗系数</w:t>
            </w:r>
            <w:r>
              <w:rPr>
                <w:spacing w:val="-25"/>
              </w:rPr>
              <w:t xml:space="preserve"> </w:t>
            </w:r>
            <w:r>
              <w:rPr>
                <w:rFonts w:ascii="Times New Roman" w:hAnsi="Times New Roman" w:eastAsia="Times New Roman" w:cs="Times New Roman"/>
                <w:spacing w:val="6"/>
              </w:rPr>
              <w:t>K≤1.0×10</w:t>
            </w:r>
            <w:r>
              <w:rPr>
                <w:rFonts w:ascii="Times New Roman" w:hAnsi="Times New Roman" w:eastAsia="Times New Roman" w:cs="Times New Roman"/>
                <w:spacing w:val="6"/>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6"/>
              </w:rPr>
              <w:t>/s</w:t>
            </w:r>
            <w:r>
              <w:rPr>
                <w:spacing w:val="6"/>
              </w:rPr>
              <w:t>。</w:t>
            </w:r>
          </w:p>
          <w:p w14:paraId="672CA69F">
            <w:pPr>
              <w:pStyle w:val="6"/>
              <w:spacing w:line="233" w:lineRule="auto"/>
              <w:ind w:left="33" w:right="30" w:firstLine="419"/>
            </w:pPr>
            <w:r>
              <w:rPr>
                <w:spacing w:val="7"/>
              </w:rPr>
              <w:t>坝基埋设排渗盲沟，铺设三维复合土工排水网，形成反滤排渗</w:t>
            </w:r>
            <w:r>
              <w:rPr>
                <w:spacing w:val="2"/>
              </w:rPr>
              <w:t xml:space="preserve"> </w:t>
            </w:r>
            <w:r>
              <w:rPr>
                <w:spacing w:val="8"/>
              </w:rPr>
              <w:t>层，渗水流入渗水收集池中。</w:t>
            </w:r>
          </w:p>
        </w:tc>
      </w:tr>
      <w:tr w14:paraId="25848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43" w:type="dxa"/>
            <w:vMerge w:val="continue"/>
            <w:tcBorders>
              <w:top w:val="nil"/>
              <w:bottom w:val="nil"/>
            </w:tcBorders>
            <w:vAlign w:val="top"/>
          </w:tcPr>
          <w:p w14:paraId="1C57B953">
            <w:pPr>
              <w:rPr>
                <w:rFonts w:ascii="Arial"/>
                <w:sz w:val="21"/>
              </w:rPr>
            </w:pPr>
          </w:p>
        </w:tc>
        <w:tc>
          <w:tcPr>
            <w:tcW w:w="895" w:type="dxa"/>
            <w:vMerge w:val="continue"/>
            <w:tcBorders>
              <w:top w:val="nil"/>
              <w:bottom w:val="nil"/>
            </w:tcBorders>
            <w:vAlign w:val="top"/>
          </w:tcPr>
          <w:p w14:paraId="5DB62449">
            <w:pPr>
              <w:rPr>
                <w:rFonts w:ascii="Arial"/>
                <w:sz w:val="21"/>
              </w:rPr>
            </w:pPr>
          </w:p>
        </w:tc>
        <w:tc>
          <w:tcPr>
            <w:tcW w:w="991" w:type="dxa"/>
            <w:vAlign w:val="top"/>
          </w:tcPr>
          <w:p w14:paraId="00057FC0">
            <w:pPr>
              <w:spacing w:line="241" w:lineRule="auto"/>
              <w:rPr>
                <w:rFonts w:ascii="Arial"/>
                <w:sz w:val="21"/>
              </w:rPr>
            </w:pPr>
          </w:p>
          <w:p w14:paraId="54514249">
            <w:pPr>
              <w:pStyle w:val="6"/>
              <w:spacing w:before="65" w:line="228" w:lineRule="auto"/>
              <w:ind w:left="80"/>
            </w:pPr>
            <w:r>
              <w:rPr>
                <w:spacing w:val="6"/>
              </w:rPr>
              <w:t>筑坝方式</w:t>
            </w:r>
          </w:p>
        </w:tc>
        <w:tc>
          <w:tcPr>
            <w:tcW w:w="6080" w:type="dxa"/>
            <w:vAlign w:val="top"/>
          </w:tcPr>
          <w:p w14:paraId="47A51706">
            <w:pPr>
              <w:pStyle w:val="6"/>
              <w:spacing w:before="34" w:line="239" w:lineRule="auto"/>
              <w:ind w:left="33" w:right="28" w:firstLine="421"/>
              <w:jc w:val="both"/>
            </w:pPr>
            <w:r>
              <w:rPr>
                <w:spacing w:val="7"/>
              </w:rPr>
              <w:t>主坝加高，东、南两侧建设副坝，一面迎坡。尾矿坝采用坡洪</w:t>
            </w:r>
            <w:r>
              <w:rPr>
                <w:spacing w:val="1"/>
              </w:rPr>
              <w:t xml:space="preserve"> </w:t>
            </w:r>
            <w:r>
              <w:rPr>
                <w:spacing w:val="7"/>
              </w:rPr>
              <w:t xml:space="preserve">积土一次筑坝，主坝和副坝均分三期建设。筑坝材料选取库区内丰 </w:t>
            </w:r>
            <w:r>
              <w:rPr>
                <w:spacing w:val="8"/>
              </w:rPr>
              <w:t>富的第四系松散沉积物。</w:t>
            </w:r>
          </w:p>
        </w:tc>
      </w:tr>
      <w:tr w14:paraId="3E483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43" w:type="dxa"/>
            <w:vMerge w:val="continue"/>
            <w:tcBorders>
              <w:top w:val="nil"/>
            </w:tcBorders>
            <w:vAlign w:val="top"/>
          </w:tcPr>
          <w:p w14:paraId="5B2B84BF">
            <w:pPr>
              <w:rPr>
                <w:rFonts w:ascii="Arial"/>
                <w:sz w:val="21"/>
              </w:rPr>
            </w:pPr>
          </w:p>
        </w:tc>
        <w:tc>
          <w:tcPr>
            <w:tcW w:w="895" w:type="dxa"/>
            <w:vMerge w:val="continue"/>
            <w:tcBorders>
              <w:top w:val="nil"/>
            </w:tcBorders>
            <w:vAlign w:val="top"/>
          </w:tcPr>
          <w:p w14:paraId="0F339137">
            <w:pPr>
              <w:rPr>
                <w:rFonts w:ascii="Arial"/>
                <w:sz w:val="21"/>
              </w:rPr>
            </w:pPr>
          </w:p>
        </w:tc>
        <w:tc>
          <w:tcPr>
            <w:tcW w:w="991" w:type="dxa"/>
            <w:vAlign w:val="top"/>
          </w:tcPr>
          <w:p w14:paraId="572AC84A">
            <w:pPr>
              <w:pStyle w:val="6"/>
              <w:spacing w:before="97" w:line="228" w:lineRule="auto"/>
              <w:ind w:left="78"/>
            </w:pPr>
            <w:r>
              <w:rPr>
                <w:spacing w:val="7"/>
              </w:rPr>
              <w:t>放矿方式</w:t>
            </w:r>
          </w:p>
        </w:tc>
        <w:tc>
          <w:tcPr>
            <w:tcW w:w="6080" w:type="dxa"/>
            <w:vAlign w:val="top"/>
          </w:tcPr>
          <w:p w14:paraId="51B69EBE">
            <w:pPr>
              <w:pStyle w:val="6"/>
              <w:spacing w:before="97" w:line="228" w:lineRule="auto"/>
              <w:ind w:left="453"/>
            </w:pPr>
            <w:r>
              <w:rPr>
                <w:spacing w:val="9"/>
              </w:rPr>
              <w:t>尾矿浆直接经过放矿管道向库内进行分散放矿。</w:t>
            </w:r>
          </w:p>
        </w:tc>
      </w:tr>
      <w:tr w14:paraId="72BF5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43" w:type="dxa"/>
            <w:vMerge w:val="restart"/>
            <w:tcBorders>
              <w:bottom w:val="nil"/>
            </w:tcBorders>
            <w:vAlign w:val="top"/>
          </w:tcPr>
          <w:p w14:paraId="7681713C">
            <w:pPr>
              <w:spacing w:line="246" w:lineRule="auto"/>
              <w:rPr>
                <w:rFonts w:ascii="Arial"/>
                <w:sz w:val="21"/>
              </w:rPr>
            </w:pPr>
          </w:p>
          <w:p w14:paraId="43C3C958">
            <w:pPr>
              <w:pStyle w:val="6"/>
              <w:spacing w:before="65" w:line="228" w:lineRule="auto"/>
              <w:ind w:left="67"/>
            </w:pPr>
            <w:r>
              <w:rPr>
                <w:spacing w:val="4"/>
              </w:rPr>
              <w:t>配套</w:t>
            </w:r>
          </w:p>
          <w:p w14:paraId="1E66EFED">
            <w:pPr>
              <w:pStyle w:val="6"/>
              <w:spacing w:before="24" w:line="228" w:lineRule="auto"/>
              <w:ind w:left="69"/>
            </w:pPr>
            <w:r>
              <w:rPr>
                <w:spacing w:val="3"/>
              </w:rPr>
              <w:t>工程</w:t>
            </w:r>
          </w:p>
        </w:tc>
        <w:tc>
          <w:tcPr>
            <w:tcW w:w="895" w:type="dxa"/>
            <w:vAlign w:val="top"/>
          </w:tcPr>
          <w:p w14:paraId="0B73D25D">
            <w:pPr>
              <w:pStyle w:val="6"/>
              <w:spacing w:before="171" w:line="228" w:lineRule="auto"/>
              <w:ind w:left="30"/>
            </w:pPr>
            <w:r>
              <w:rPr>
                <w:spacing w:val="7"/>
              </w:rPr>
              <w:t>排渗系统</w:t>
            </w:r>
          </w:p>
        </w:tc>
        <w:tc>
          <w:tcPr>
            <w:tcW w:w="7071" w:type="dxa"/>
            <w:gridSpan w:val="2"/>
            <w:vAlign w:val="top"/>
          </w:tcPr>
          <w:p w14:paraId="25874C35">
            <w:pPr>
              <w:pStyle w:val="6"/>
              <w:spacing w:before="34" w:line="233" w:lineRule="auto"/>
              <w:ind w:left="31" w:right="114" w:firstLine="418"/>
            </w:pPr>
            <w:r>
              <w:rPr>
                <w:spacing w:val="10"/>
              </w:rPr>
              <w:t>截渗沟位于主坝外侧，在截渗沟下游建一个截渗</w:t>
            </w:r>
            <w:r>
              <w:rPr>
                <w:spacing w:val="9"/>
              </w:rPr>
              <w:t>池，用于回收主坝基底</w:t>
            </w:r>
            <w:r>
              <w:t xml:space="preserve"> </w:t>
            </w:r>
            <w:r>
              <w:rPr>
                <w:spacing w:val="6"/>
              </w:rPr>
              <w:t>渗流水</w:t>
            </w:r>
          </w:p>
        </w:tc>
      </w:tr>
      <w:tr w14:paraId="435A7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543" w:type="dxa"/>
            <w:vMerge w:val="continue"/>
            <w:tcBorders>
              <w:top w:val="nil"/>
            </w:tcBorders>
            <w:vAlign w:val="top"/>
          </w:tcPr>
          <w:p w14:paraId="09B54CF6">
            <w:pPr>
              <w:rPr>
                <w:rFonts w:ascii="Arial"/>
                <w:sz w:val="21"/>
              </w:rPr>
            </w:pPr>
          </w:p>
        </w:tc>
        <w:tc>
          <w:tcPr>
            <w:tcW w:w="895" w:type="dxa"/>
            <w:vAlign w:val="top"/>
          </w:tcPr>
          <w:p w14:paraId="2023F47D">
            <w:pPr>
              <w:pStyle w:val="6"/>
              <w:spacing w:before="172" w:line="228" w:lineRule="auto"/>
              <w:ind w:left="43"/>
            </w:pPr>
            <w:r>
              <w:rPr>
                <w:spacing w:val="4"/>
              </w:rPr>
              <w:t>防洪工程</w:t>
            </w:r>
          </w:p>
        </w:tc>
        <w:tc>
          <w:tcPr>
            <w:tcW w:w="7071" w:type="dxa"/>
            <w:gridSpan w:val="2"/>
            <w:vAlign w:val="top"/>
          </w:tcPr>
          <w:p w14:paraId="422CFB03">
            <w:pPr>
              <w:pStyle w:val="6"/>
              <w:spacing w:before="37" w:line="233" w:lineRule="auto"/>
              <w:ind w:left="34" w:right="28" w:firstLine="418"/>
            </w:pPr>
            <w:r>
              <w:rPr>
                <w:spacing w:val="9"/>
              </w:rPr>
              <w:t>分库内和库外两套排洪系统，库内排洪采用框架式排水井+排</w:t>
            </w:r>
            <w:r>
              <w:rPr>
                <w:spacing w:val="8"/>
              </w:rPr>
              <w:t>洪涵管，库</w:t>
            </w:r>
            <w:r>
              <w:t xml:space="preserve"> </w:t>
            </w:r>
            <w:r>
              <w:rPr>
                <w:spacing w:val="8"/>
              </w:rPr>
              <w:t>外排洪采用截洪沟+溢流井+排洪涵管</w:t>
            </w:r>
          </w:p>
        </w:tc>
      </w:tr>
    </w:tbl>
    <w:p w14:paraId="2189ECB7">
      <w:pPr>
        <w:pStyle w:val="2"/>
      </w:pPr>
    </w:p>
    <w:p w14:paraId="5154CC22">
      <w:pPr>
        <w:sectPr>
          <w:footerReference r:id="rId60" w:type="default"/>
          <w:pgSz w:w="11906" w:h="16839"/>
          <w:pgMar w:top="1208" w:right="1696" w:bottom="1358" w:left="1695" w:header="825" w:footer="1195" w:gutter="0"/>
          <w:cols w:space="720" w:num="1"/>
        </w:sectPr>
      </w:pPr>
    </w:p>
    <w:p w14:paraId="5D35281D">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895"/>
        <w:gridCol w:w="7072"/>
      </w:tblGrid>
      <w:tr w14:paraId="278C6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542" w:type="dxa"/>
            <w:vAlign w:val="top"/>
          </w:tcPr>
          <w:p w14:paraId="7665D9D2">
            <w:pPr>
              <w:rPr>
                <w:rFonts w:ascii="Arial"/>
                <w:sz w:val="21"/>
              </w:rPr>
            </w:pPr>
          </w:p>
        </w:tc>
        <w:tc>
          <w:tcPr>
            <w:tcW w:w="895" w:type="dxa"/>
            <w:vAlign w:val="top"/>
          </w:tcPr>
          <w:p w14:paraId="4ED524B3">
            <w:pPr>
              <w:pStyle w:val="6"/>
              <w:spacing w:before="219" w:line="228" w:lineRule="auto"/>
              <w:ind w:left="52"/>
            </w:pPr>
            <w:r>
              <w:rPr>
                <w:spacing w:val="2"/>
              </w:rPr>
              <w:t>回水系统</w:t>
            </w:r>
          </w:p>
        </w:tc>
        <w:tc>
          <w:tcPr>
            <w:tcW w:w="7072" w:type="dxa"/>
            <w:vAlign w:val="top"/>
          </w:tcPr>
          <w:p w14:paraId="545C1A84">
            <w:pPr>
              <w:pStyle w:val="6"/>
              <w:spacing w:before="86" w:line="251" w:lineRule="auto"/>
              <w:ind w:left="36" w:right="30" w:firstLine="414"/>
            </w:pPr>
            <w:r>
              <w:rPr>
                <w:spacing w:val="6"/>
              </w:rPr>
              <w:t>尾矿湿排，建引水渠和回水渠，回水泵站</w:t>
            </w:r>
            <w:r>
              <w:rPr>
                <w:spacing w:val="-22"/>
              </w:rPr>
              <w:t xml:space="preserve"> </w:t>
            </w:r>
            <w:r>
              <w:rPr>
                <w:spacing w:val="6"/>
              </w:rPr>
              <w:t>1</w:t>
            </w:r>
            <w:r>
              <w:rPr>
                <w:spacing w:val="-36"/>
              </w:rPr>
              <w:t xml:space="preserve"> </w:t>
            </w:r>
            <w:r>
              <w:rPr>
                <w:spacing w:val="6"/>
              </w:rPr>
              <w:t>座，共设计</w:t>
            </w:r>
            <w:r>
              <w:rPr>
                <w:spacing w:val="-24"/>
              </w:rPr>
              <w:t xml:space="preserve"> </w:t>
            </w:r>
            <w:r>
              <w:rPr>
                <w:spacing w:val="6"/>
              </w:rPr>
              <w:t>16</w:t>
            </w:r>
            <w:r>
              <w:rPr>
                <w:spacing w:val="-24"/>
              </w:rPr>
              <w:t xml:space="preserve"> </w:t>
            </w:r>
            <w:r>
              <w:rPr>
                <w:spacing w:val="6"/>
              </w:rPr>
              <w:t>台泵位</w:t>
            </w:r>
            <w:r>
              <w:rPr>
                <w:spacing w:val="5"/>
              </w:rPr>
              <w:t>，回水</w:t>
            </w:r>
            <w:r>
              <w:t xml:space="preserve"> </w:t>
            </w:r>
            <w:r>
              <w:rPr>
                <w:spacing w:val="9"/>
              </w:rPr>
              <w:t>管道采用两趟D325×7</w:t>
            </w:r>
            <w:r>
              <w:rPr>
                <w:spacing w:val="-7"/>
              </w:rPr>
              <w:t xml:space="preserve"> </w:t>
            </w:r>
            <w:r>
              <w:rPr>
                <w:spacing w:val="9"/>
              </w:rPr>
              <w:t>的无缝钢管，管道埋地敷设于冰冻线以下</w:t>
            </w:r>
          </w:p>
        </w:tc>
      </w:tr>
      <w:tr w14:paraId="627C2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42" w:type="dxa"/>
            <w:vMerge w:val="restart"/>
            <w:tcBorders>
              <w:bottom w:val="nil"/>
            </w:tcBorders>
            <w:vAlign w:val="top"/>
          </w:tcPr>
          <w:p w14:paraId="09EF3AB0">
            <w:pPr>
              <w:spacing w:line="345" w:lineRule="auto"/>
              <w:rPr>
                <w:rFonts w:ascii="Arial"/>
                <w:sz w:val="21"/>
              </w:rPr>
            </w:pPr>
          </w:p>
          <w:p w14:paraId="38388275">
            <w:pPr>
              <w:spacing w:line="345" w:lineRule="auto"/>
              <w:rPr>
                <w:rFonts w:ascii="Arial"/>
                <w:sz w:val="21"/>
              </w:rPr>
            </w:pPr>
          </w:p>
          <w:p w14:paraId="13867141">
            <w:pPr>
              <w:pStyle w:val="6"/>
              <w:spacing w:before="65" w:line="229" w:lineRule="auto"/>
              <w:ind w:left="73"/>
            </w:pPr>
            <w:r>
              <w:rPr>
                <w:spacing w:val="1"/>
              </w:rPr>
              <w:t>公用</w:t>
            </w:r>
          </w:p>
          <w:p w14:paraId="50B15530">
            <w:pPr>
              <w:pStyle w:val="6"/>
              <w:spacing w:before="23" w:line="228" w:lineRule="auto"/>
              <w:ind w:left="69"/>
            </w:pPr>
            <w:r>
              <w:rPr>
                <w:spacing w:val="3"/>
              </w:rPr>
              <w:t>工程</w:t>
            </w:r>
          </w:p>
        </w:tc>
        <w:tc>
          <w:tcPr>
            <w:tcW w:w="895" w:type="dxa"/>
            <w:vAlign w:val="top"/>
          </w:tcPr>
          <w:p w14:paraId="5CF27117">
            <w:pPr>
              <w:pStyle w:val="6"/>
              <w:spacing w:before="92" w:line="227" w:lineRule="auto"/>
              <w:ind w:left="31"/>
            </w:pPr>
            <w:r>
              <w:rPr>
                <w:spacing w:val="7"/>
              </w:rPr>
              <w:t>供电系统</w:t>
            </w:r>
          </w:p>
        </w:tc>
        <w:tc>
          <w:tcPr>
            <w:tcW w:w="7072" w:type="dxa"/>
            <w:vAlign w:val="top"/>
          </w:tcPr>
          <w:p w14:paraId="67895BA6">
            <w:pPr>
              <w:pStyle w:val="6"/>
              <w:spacing w:before="92" w:line="228" w:lineRule="auto"/>
              <w:ind w:left="1860"/>
            </w:pPr>
            <w:r>
              <w:rPr>
                <w:spacing w:val="9"/>
              </w:rPr>
              <w:t>尾矿库输电线路电源引自矿区变电站</w:t>
            </w:r>
          </w:p>
        </w:tc>
      </w:tr>
      <w:tr w14:paraId="5F194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542" w:type="dxa"/>
            <w:vMerge w:val="continue"/>
            <w:tcBorders>
              <w:top w:val="nil"/>
            </w:tcBorders>
            <w:vAlign w:val="top"/>
          </w:tcPr>
          <w:p w14:paraId="325FE8A8">
            <w:pPr>
              <w:rPr>
                <w:rFonts w:ascii="Arial"/>
                <w:sz w:val="21"/>
              </w:rPr>
            </w:pPr>
          </w:p>
        </w:tc>
        <w:tc>
          <w:tcPr>
            <w:tcW w:w="895" w:type="dxa"/>
            <w:vAlign w:val="top"/>
          </w:tcPr>
          <w:p w14:paraId="035BE54A">
            <w:pPr>
              <w:spacing w:line="244" w:lineRule="auto"/>
              <w:rPr>
                <w:rFonts w:ascii="Arial"/>
                <w:sz w:val="21"/>
              </w:rPr>
            </w:pPr>
          </w:p>
          <w:p w14:paraId="61E855A0">
            <w:pPr>
              <w:spacing w:line="244" w:lineRule="auto"/>
              <w:rPr>
                <w:rFonts w:ascii="Arial"/>
                <w:sz w:val="21"/>
              </w:rPr>
            </w:pPr>
          </w:p>
          <w:p w14:paraId="5BB7D092">
            <w:pPr>
              <w:pStyle w:val="6"/>
              <w:spacing w:before="65" w:line="228" w:lineRule="auto"/>
              <w:ind w:left="34"/>
            </w:pPr>
            <w:r>
              <w:rPr>
                <w:spacing w:val="6"/>
              </w:rPr>
              <w:t>厂内运输</w:t>
            </w:r>
          </w:p>
          <w:p w14:paraId="6856CF03">
            <w:pPr>
              <w:pStyle w:val="6"/>
              <w:spacing w:before="24" w:line="229" w:lineRule="auto"/>
              <w:ind w:left="246"/>
            </w:pPr>
            <w:r>
              <w:rPr>
                <w:spacing w:val="2"/>
              </w:rPr>
              <w:t>系统</w:t>
            </w:r>
          </w:p>
        </w:tc>
        <w:tc>
          <w:tcPr>
            <w:tcW w:w="7072" w:type="dxa"/>
            <w:vAlign w:val="top"/>
          </w:tcPr>
          <w:p w14:paraId="2479022C">
            <w:pPr>
              <w:pStyle w:val="6"/>
              <w:spacing w:before="55" w:line="283" w:lineRule="auto"/>
              <w:ind w:left="32" w:right="28" w:firstLine="419"/>
              <w:jc w:val="both"/>
            </w:pPr>
            <w:r>
              <w:rPr>
                <w:spacing w:val="8"/>
              </w:rPr>
              <w:t>尾矿库采用三面筑坝，坝顶兼作为环库道路，现有道路和</w:t>
            </w:r>
            <w:r>
              <w:rPr>
                <w:spacing w:val="-4"/>
              </w:rPr>
              <w:t xml:space="preserve"> </w:t>
            </w:r>
            <w:r>
              <w:rPr>
                <w:rFonts w:ascii="Times New Roman" w:hAnsi="Times New Roman" w:eastAsia="Times New Roman" w:cs="Times New Roman"/>
                <w:spacing w:val="8"/>
              </w:rPr>
              <w:t>1#</w:t>
            </w:r>
            <w:r>
              <w:rPr>
                <w:spacing w:val="8"/>
              </w:rPr>
              <w:t>副坝连接路</w:t>
            </w:r>
            <w:r>
              <w:t xml:space="preserve"> </w:t>
            </w:r>
            <w:r>
              <w:rPr>
                <w:spacing w:val="9"/>
              </w:rPr>
              <w:t>面采用泥结碎石路面，尾矿库与选厂之间采用泥结碎石道路连接，主坝、</w:t>
            </w:r>
            <w:r>
              <w:rPr>
                <w:rFonts w:ascii="Times New Roman" w:hAnsi="Times New Roman" w:eastAsia="Times New Roman" w:cs="Times New Roman"/>
                <w:spacing w:val="9"/>
              </w:rPr>
              <w:t>1#</w:t>
            </w:r>
            <w:r>
              <w:rPr>
                <w:rFonts w:ascii="Times New Roman" w:hAnsi="Times New Roman" w:eastAsia="Times New Roman" w:cs="Times New Roman"/>
                <w:spacing w:val="4"/>
              </w:rPr>
              <w:t xml:space="preserve">   </w:t>
            </w:r>
            <w:r>
              <w:rPr>
                <w:spacing w:val="11"/>
              </w:rPr>
              <w:t>副坝和</w:t>
            </w:r>
            <w:r>
              <w:rPr>
                <w:rFonts w:ascii="Times New Roman" w:hAnsi="Times New Roman" w:eastAsia="Times New Roman" w:cs="Times New Roman"/>
                <w:spacing w:val="11"/>
              </w:rPr>
              <w:t>2#</w:t>
            </w:r>
            <w:r>
              <w:rPr>
                <w:spacing w:val="11"/>
              </w:rPr>
              <w:t>副坝坝顶兼作库区巡查道路，尾矿库可直接通往各尾矿坝、</w:t>
            </w:r>
            <w:r>
              <w:rPr>
                <w:spacing w:val="10"/>
              </w:rPr>
              <w:t>排洪系</w:t>
            </w:r>
            <w:r>
              <w:t xml:space="preserve"> </w:t>
            </w:r>
            <w:r>
              <w:rPr>
                <w:spacing w:val="8"/>
              </w:rPr>
              <w:t>统和库内值班室，尾矿坝可供过车顶部宽度为</w:t>
            </w:r>
            <w:r>
              <w:rPr>
                <w:spacing w:val="-41"/>
              </w:rPr>
              <w:t xml:space="preserve"> </w:t>
            </w:r>
            <w:r>
              <w:rPr>
                <w:rFonts w:ascii="Times New Roman" w:hAnsi="Times New Roman" w:eastAsia="Times New Roman" w:cs="Times New Roman"/>
                <w:spacing w:val="8"/>
              </w:rPr>
              <w:t>4m</w:t>
            </w:r>
            <w:r>
              <w:rPr>
                <w:rFonts w:ascii="Times New Roman" w:hAnsi="Times New Roman" w:eastAsia="Times New Roman" w:cs="Times New Roman"/>
                <w:spacing w:val="-27"/>
              </w:rPr>
              <w:t xml:space="preserve"> </w:t>
            </w:r>
            <w:r>
              <w:rPr>
                <w:spacing w:val="8"/>
              </w:rPr>
              <w:t>，满足尾矿库日</w:t>
            </w:r>
            <w:r>
              <w:rPr>
                <w:spacing w:val="7"/>
              </w:rPr>
              <w:t>常管理及应</w:t>
            </w:r>
            <w:r>
              <w:t xml:space="preserve"> </w:t>
            </w:r>
            <w:r>
              <w:rPr>
                <w:spacing w:val="4"/>
              </w:rPr>
              <w:t>急要求。</w:t>
            </w:r>
          </w:p>
        </w:tc>
      </w:tr>
      <w:tr w14:paraId="006D6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42" w:type="dxa"/>
            <w:vMerge w:val="restart"/>
            <w:tcBorders>
              <w:bottom w:val="nil"/>
            </w:tcBorders>
            <w:vAlign w:val="top"/>
          </w:tcPr>
          <w:p w14:paraId="56896031">
            <w:pPr>
              <w:spacing w:line="372" w:lineRule="auto"/>
              <w:rPr>
                <w:rFonts w:ascii="Arial"/>
                <w:sz w:val="21"/>
              </w:rPr>
            </w:pPr>
          </w:p>
          <w:p w14:paraId="2D3895F0">
            <w:pPr>
              <w:pStyle w:val="6"/>
              <w:spacing w:before="65" w:line="228" w:lineRule="auto"/>
              <w:ind w:left="67"/>
            </w:pPr>
            <w:r>
              <w:rPr>
                <w:spacing w:val="4"/>
              </w:rPr>
              <w:t>环保</w:t>
            </w:r>
          </w:p>
          <w:p w14:paraId="1D84B9FB">
            <w:pPr>
              <w:pStyle w:val="6"/>
              <w:spacing w:before="24" w:line="228" w:lineRule="auto"/>
              <w:ind w:left="69"/>
            </w:pPr>
            <w:r>
              <w:rPr>
                <w:spacing w:val="3"/>
              </w:rPr>
              <w:t>工程</w:t>
            </w:r>
          </w:p>
        </w:tc>
        <w:tc>
          <w:tcPr>
            <w:tcW w:w="895" w:type="dxa"/>
            <w:vAlign w:val="top"/>
          </w:tcPr>
          <w:p w14:paraId="7B92175A">
            <w:pPr>
              <w:pStyle w:val="6"/>
              <w:spacing w:before="34" w:line="228" w:lineRule="auto"/>
              <w:ind w:left="34"/>
            </w:pPr>
            <w:r>
              <w:rPr>
                <w:spacing w:val="6"/>
              </w:rPr>
              <w:t>大气环境</w:t>
            </w:r>
          </w:p>
          <w:p w14:paraId="0D377ACE">
            <w:pPr>
              <w:pStyle w:val="6"/>
              <w:spacing w:before="23" w:line="215" w:lineRule="auto"/>
              <w:ind w:left="247"/>
            </w:pPr>
            <w:r>
              <w:rPr>
                <w:spacing w:val="2"/>
              </w:rPr>
              <w:t>治理</w:t>
            </w:r>
          </w:p>
        </w:tc>
        <w:tc>
          <w:tcPr>
            <w:tcW w:w="7072" w:type="dxa"/>
            <w:vAlign w:val="top"/>
          </w:tcPr>
          <w:p w14:paraId="555D41F5">
            <w:pPr>
              <w:pStyle w:val="6"/>
              <w:spacing w:before="168" w:line="227" w:lineRule="auto"/>
              <w:ind w:left="451"/>
            </w:pPr>
            <w:r>
              <w:rPr>
                <w:spacing w:val="9"/>
              </w:rPr>
              <w:t>尾矿干滩表面库铺设柔性防风抑尘网</w:t>
            </w:r>
          </w:p>
        </w:tc>
      </w:tr>
      <w:tr w14:paraId="0F04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42" w:type="dxa"/>
            <w:vMerge w:val="continue"/>
            <w:tcBorders>
              <w:top w:val="nil"/>
              <w:bottom w:val="nil"/>
            </w:tcBorders>
            <w:vAlign w:val="top"/>
          </w:tcPr>
          <w:p w14:paraId="4967A219">
            <w:pPr>
              <w:rPr>
                <w:rFonts w:ascii="Arial"/>
                <w:sz w:val="21"/>
              </w:rPr>
            </w:pPr>
          </w:p>
        </w:tc>
        <w:tc>
          <w:tcPr>
            <w:tcW w:w="895" w:type="dxa"/>
            <w:vAlign w:val="top"/>
          </w:tcPr>
          <w:p w14:paraId="5BB8DF5A">
            <w:pPr>
              <w:pStyle w:val="6"/>
              <w:spacing w:before="98" w:line="228" w:lineRule="auto"/>
              <w:ind w:left="41"/>
            </w:pPr>
            <w:r>
              <w:rPr>
                <w:spacing w:val="4"/>
              </w:rPr>
              <w:t>噪声控制</w:t>
            </w:r>
          </w:p>
        </w:tc>
        <w:tc>
          <w:tcPr>
            <w:tcW w:w="7072" w:type="dxa"/>
            <w:vAlign w:val="top"/>
          </w:tcPr>
          <w:p w14:paraId="6DF5D07F">
            <w:pPr>
              <w:pStyle w:val="6"/>
              <w:spacing w:before="97" w:line="227" w:lineRule="auto"/>
              <w:ind w:left="451"/>
            </w:pPr>
            <w:r>
              <w:rPr>
                <w:spacing w:val="9"/>
              </w:rPr>
              <w:t>修建回水泵房，减少噪声传播</w:t>
            </w:r>
          </w:p>
        </w:tc>
      </w:tr>
      <w:tr w14:paraId="6FB53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42" w:type="dxa"/>
            <w:vMerge w:val="continue"/>
            <w:tcBorders>
              <w:top w:val="nil"/>
            </w:tcBorders>
            <w:vAlign w:val="top"/>
          </w:tcPr>
          <w:p w14:paraId="5C458B39">
            <w:pPr>
              <w:rPr>
                <w:rFonts w:ascii="Arial"/>
                <w:sz w:val="21"/>
              </w:rPr>
            </w:pPr>
          </w:p>
        </w:tc>
        <w:tc>
          <w:tcPr>
            <w:tcW w:w="895" w:type="dxa"/>
            <w:vAlign w:val="top"/>
          </w:tcPr>
          <w:p w14:paraId="2D5C23FF">
            <w:pPr>
              <w:pStyle w:val="6"/>
              <w:spacing w:before="97" w:line="228" w:lineRule="auto"/>
              <w:ind w:left="33"/>
            </w:pPr>
            <w:r>
              <w:rPr>
                <w:spacing w:val="6"/>
              </w:rPr>
              <w:t>生态恢复</w:t>
            </w:r>
          </w:p>
        </w:tc>
        <w:tc>
          <w:tcPr>
            <w:tcW w:w="7072" w:type="dxa"/>
            <w:vAlign w:val="top"/>
          </w:tcPr>
          <w:p w14:paraId="519274FE">
            <w:pPr>
              <w:pStyle w:val="6"/>
              <w:spacing w:before="96" w:line="228" w:lineRule="auto"/>
              <w:ind w:left="451"/>
            </w:pPr>
            <w:r>
              <w:rPr>
                <w:spacing w:val="9"/>
              </w:rPr>
              <w:t>尾矿库下游坝坡植草护坡</w:t>
            </w:r>
          </w:p>
        </w:tc>
      </w:tr>
    </w:tbl>
    <w:p w14:paraId="601F55F2">
      <w:pPr>
        <w:spacing w:before="119" w:line="219" w:lineRule="auto"/>
        <w:ind w:left="586"/>
        <w:outlineLvl w:val="2"/>
        <w:rPr>
          <w:rFonts w:ascii="宋体" w:hAnsi="宋体" w:eastAsia="宋体" w:cs="宋体"/>
          <w:sz w:val="24"/>
          <w:szCs w:val="24"/>
        </w:rPr>
      </w:pPr>
      <w:bookmarkStart w:id="45" w:name="bookmark41"/>
      <w:bookmarkEnd w:id="45"/>
      <w:r>
        <w:rPr>
          <w:rFonts w:ascii="Times New Roman" w:hAnsi="Times New Roman" w:eastAsia="Times New Roman" w:cs="Times New Roman"/>
          <w:b/>
          <w:bCs/>
          <w:spacing w:val="-3"/>
          <w:sz w:val="24"/>
          <w:szCs w:val="24"/>
        </w:rPr>
        <w:t>3.2.2</w:t>
      </w:r>
      <w:r>
        <w:rPr>
          <w:rFonts w:ascii="Times New Roman" w:hAnsi="Times New Roman" w:eastAsia="Times New Roman" w:cs="Times New Roman"/>
          <w:b/>
          <w:bCs/>
          <w:spacing w:val="17"/>
          <w:w w:val="101"/>
          <w:sz w:val="24"/>
          <w:szCs w:val="24"/>
        </w:rPr>
        <w:t xml:space="preserve"> </w:t>
      </w:r>
      <w:r>
        <w:rPr>
          <w:rFonts w:ascii="宋体" w:hAnsi="宋体" w:eastAsia="宋体" w:cs="宋体"/>
          <w:b/>
          <w:bCs/>
          <w:spacing w:val="-3"/>
          <w:sz w:val="24"/>
          <w:szCs w:val="24"/>
        </w:rPr>
        <w:t>原辅材料消耗</w:t>
      </w:r>
    </w:p>
    <w:p w14:paraId="5635B4C6">
      <w:pPr>
        <w:spacing w:before="109" w:line="359" w:lineRule="auto"/>
        <w:ind w:left="113" w:right="252" w:firstLine="505"/>
        <w:rPr>
          <w:rFonts w:ascii="宋体" w:hAnsi="宋体" w:eastAsia="宋体" w:cs="宋体"/>
          <w:sz w:val="24"/>
          <w:szCs w:val="24"/>
        </w:rPr>
      </w:pPr>
      <w:r>
        <w:rPr>
          <w:rFonts w:ascii="宋体" w:hAnsi="宋体" w:eastAsia="宋体" w:cs="宋体"/>
          <w:spacing w:val="-1"/>
          <w:sz w:val="24"/>
          <w:szCs w:val="24"/>
        </w:rPr>
        <w:t>在矿山开采过程中，使用的原辅材料主要是炸药、雷管等</w:t>
      </w:r>
      <w:r>
        <w:rPr>
          <w:rFonts w:ascii="宋体" w:hAnsi="宋体" w:eastAsia="宋体" w:cs="宋体"/>
          <w:spacing w:val="-2"/>
          <w:sz w:val="24"/>
          <w:szCs w:val="24"/>
        </w:rPr>
        <w:t>；本项目采矿使</w:t>
      </w:r>
      <w:r>
        <w:rPr>
          <w:rFonts w:ascii="宋体" w:hAnsi="宋体" w:eastAsia="宋体" w:cs="宋体"/>
          <w:sz w:val="24"/>
          <w:szCs w:val="24"/>
        </w:rPr>
        <w:t xml:space="preserve"> </w:t>
      </w:r>
      <w:r>
        <w:rPr>
          <w:rFonts w:ascii="宋体" w:hAnsi="宋体" w:eastAsia="宋体" w:cs="宋体"/>
          <w:spacing w:val="-1"/>
          <w:sz w:val="24"/>
          <w:szCs w:val="24"/>
        </w:rPr>
        <w:t>用的炸药，主要成份是硝酸铵，还有少量的柴油、木粉和</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TNT</w:t>
      </w:r>
      <w:r>
        <w:rPr>
          <w:rFonts w:ascii="宋体" w:hAnsi="宋体" w:eastAsia="宋体" w:cs="宋体"/>
          <w:spacing w:val="-1"/>
          <w:sz w:val="24"/>
          <w:szCs w:val="24"/>
        </w:rPr>
        <w:t>。</w:t>
      </w:r>
    </w:p>
    <w:p w14:paraId="395008B3">
      <w:pPr>
        <w:spacing w:before="2" w:line="359" w:lineRule="auto"/>
        <w:ind w:left="114" w:right="252" w:firstLine="507"/>
        <w:rPr>
          <w:rFonts w:ascii="宋体" w:hAnsi="宋体" w:eastAsia="宋体" w:cs="宋体"/>
          <w:sz w:val="24"/>
          <w:szCs w:val="24"/>
        </w:rPr>
      </w:pPr>
      <w:r>
        <w:rPr>
          <w:rFonts w:ascii="宋体" w:hAnsi="宋体" w:eastAsia="宋体" w:cs="宋体"/>
          <w:spacing w:val="-1"/>
          <w:sz w:val="24"/>
          <w:szCs w:val="24"/>
        </w:rPr>
        <w:t>现有选矿车间消耗的原矿来自采矿项目，辅助材料</w:t>
      </w:r>
      <w:r>
        <w:rPr>
          <w:rFonts w:ascii="宋体" w:hAnsi="宋体" w:eastAsia="宋体" w:cs="宋体"/>
          <w:spacing w:val="-2"/>
          <w:sz w:val="24"/>
          <w:szCs w:val="24"/>
        </w:rPr>
        <w:t>主要是浮选药剂（丁黄</w:t>
      </w:r>
      <w:r>
        <w:rPr>
          <w:rFonts w:ascii="宋体" w:hAnsi="宋体" w:eastAsia="宋体" w:cs="宋体"/>
          <w:sz w:val="24"/>
          <w:szCs w:val="24"/>
        </w:rPr>
        <w:t xml:space="preserve"> </w:t>
      </w:r>
      <w:r>
        <w:rPr>
          <w:rFonts w:ascii="宋体" w:hAnsi="宋体" w:eastAsia="宋体" w:cs="宋体"/>
          <w:spacing w:val="-1"/>
          <w:sz w:val="24"/>
          <w:szCs w:val="24"/>
        </w:rPr>
        <w:t>药、硫酸铜、石灰、纯碱、2#油</w:t>
      </w:r>
      <w:r>
        <w:rPr>
          <w:rFonts w:ascii="宋体" w:hAnsi="宋体" w:eastAsia="宋体" w:cs="宋体"/>
          <w:spacing w:val="9"/>
          <w:sz w:val="24"/>
          <w:szCs w:val="24"/>
        </w:rPr>
        <w:t>），</w:t>
      </w:r>
      <w:r>
        <w:rPr>
          <w:rFonts w:ascii="宋体" w:hAnsi="宋体" w:eastAsia="宋体" w:cs="宋体"/>
          <w:spacing w:val="-1"/>
          <w:sz w:val="24"/>
          <w:szCs w:val="24"/>
        </w:rPr>
        <w:t>选矿药剂采用社会车辆运输，消耗指标见</w:t>
      </w:r>
    </w:p>
    <w:p w14:paraId="6132E08B">
      <w:pPr>
        <w:spacing w:before="1" w:line="220" w:lineRule="auto"/>
        <w:ind w:left="11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4"/>
          <w:sz w:val="24"/>
          <w:szCs w:val="24"/>
        </w:rPr>
        <w:t xml:space="preserve"> </w:t>
      </w:r>
      <w:r>
        <w:rPr>
          <w:rFonts w:ascii="宋体" w:hAnsi="宋体" w:eastAsia="宋体" w:cs="宋体"/>
          <w:spacing w:val="-2"/>
          <w:sz w:val="24"/>
          <w:szCs w:val="24"/>
        </w:rPr>
        <w:t>3.2-4、3.2-5。</w:t>
      </w:r>
    </w:p>
    <w:p w14:paraId="60520FD2">
      <w:pPr>
        <w:spacing w:before="262" w:line="219" w:lineRule="auto"/>
        <w:ind w:left="173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3.2-4    1400t/d</w:t>
      </w:r>
      <w:r>
        <w:rPr>
          <w:rFonts w:ascii="宋体" w:hAnsi="宋体" w:eastAsia="宋体" w:cs="宋体"/>
          <w:spacing w:val="-52"/>
          <w:sz w:val="24"/>
          <w:szCs w:val="24"/>
        </w:rPr>
        <w:t xml:space="preserve"> </w:t>
      </w:r>
      <w:r>
        <w:rPr>
          <w:rFonts w:ascii="宋体" w:hAnsi="宋体" w:eastAsia="宋体" w:cs="宋体"/>
          <w:spacing w:val="-1"/>
          <w:sz w:val="24"/>
          <w:szCs w:val="24"/>
        </w:rPr>
        <w:t>选矿车间原辅材料消耗统</w:t>
      </w:r>
      <w:r>
        <w:rPr>
          <w:rFonts w:ascii="宋体" w:hAnsi="宋体" w:eastAsia="宋体" w:cs="宋体"/>
          <w:spacing w:val="-2"/>
          <w:sz w:val="24"/>
          <w:szCs w:val="24"/>
        </w:rPr>
        <w:t>计表</w:t>
      </w:r>
    </w:p>
    <w:p w14:paraId="3E135A0C">
      <w:pPr>
        <w:spacing w:line="75" w:lineRule="exact"/>
      </w:pPr>
    </w:p>
    <w:tbl>
      <w:tblPr>
        <w:tblStyle w:val="5"/>
        <w:tblW w:w="7995" w:type="dxa"/>
        <w:tblInd w:w="2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6"/>
        <w:gridCol w:w="1295"/>
        <w:gridCol w:w="1946"/>
        <w:gridCol w:w="1981"/>
        <w:gridCol w:w="1617"/>
      </w:tblGrid>
      <w:tr w14:paraId="4373B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451" w:type="dxa"/>
            <w:gridSpan w:val="2"/>
            <w:vAlign w:val="top"/>
          </w:tcPr>
          <w:p w14:paraId="38A2C8EC">
            <w:pPr>
              <w:pStyle w:val="6"/>
              <w:spacing w:before="67" w:line="228" w:lineRule="auto"/>
              <w:ind w:left="1023"/>
            </w:pPr>
            <w:r>
              <w:rPr>
                <w:spacing w:val="3"/>
              </w:rPr>
              <w:t>分类</w:t>
            </w:r>
          </w:p>
        </w:tc>
        <w:tc>
          <w:tcPr>
            <w:tcW w:w="1946" w:type="dxa"/>
            <w:vAlign w:val="top"/>
          </w:tcPr>
          <w:p w14:paraId="3DB3D526">
            <w:pPr>
              <w:spacing w:before="67" w:line="230" w:lineRule="auto"/>
              <w:ind w:left="770"/>
              <w:rPr>
                <w:rFonts w:ascii="新宋体" w:hAnsi="新宋体" w:eastAsia="新宋体" w:cs="新宋体"/>
                <w:sz w:val="20"/>
                <w:szCs w:val="20"/>
              </w:rPr>
            </w:pPr>
            <w:r>
              <w:rPr>
                <w:rFonts w:ascii="新宋体" w:hAnsi="新宋体" w:eastAsia="新宋体" w:cs="新宋体"/>
                <w:spacing w:val="3"/>
                <w:sz w:val="20"/>
                <w:szCs w:val="20"/>
              </w:rPr>
              <w:t>名称</w:t>
            </w:r>
          </w:p>
        </w:tc>
        <w:tc>
          <w:tcPr>
            <w:tcW w:w="1981" w:type="dxa"/>
            <w:vAlign w:val="top"/>
          </w:tcPr>
          <w:p w14:paraId="643E57E1">
            <w:pPr>
              <w:pStyle w:val="6"/>
              <w:spacing w:before="67" w:line="222" w:lineRule="auto"/>
              <w:ind w:left="105"/>
              <w:rPr>
                <w:rFonts w:ascii="新宋体" w:hAnsi="新宋体" w:eastAsia="新宋体" w:cs="新宋体"/>
              </w:rPr>
            </w:pPr>
            <w:r>
              <w:rPr>
                <w:rFonts w:ascii="新宋体" w:hAnsi="新宋体" w:eastAsia="新宋体" w:cs="新宋体"/>
                <w:spacing w:val="2"/>
              </w:rPr>
              <w:t>单位消耗量（</w:t>
            </w:r>
            <w:r>
              <w:rPr>
                <w:rFonts w:ascii="新宋体" w:hAnsi="新宋体" w:eastAsia="新宋体" w:cs="新宋体"/>
                <w:spacing w:val="-56"/>
              </w:rPr>
              <w:t xml:space="preserve"> </w:t>
            </w:r>
            <w:r>
              <w:rPr>
                <w:spacing w:val="2"/>
              </w:rPr>
              <w:t>g/t</w:t>
            </w:r>
            <w:r>
              <w:rPr>
                <w:rFonts w:ascii="新宋体" w:hAnsi="新宋体" w:eastAsia="新宋体" w:cs="新宋体"/>
                <w:spacing w:val="2"/>
              </w:rPr>
              <w:t>）</w:t>
            </w:r>
          </w:p>
        </w:tc>
        <w:tc>
          <w:tcPr>
            <w:tcW w:w="1617" w:type="dxa"/>
            <w:vAlign w:val="top"/>
          </w:tcPr>
          <w:p w14:paraId="08FCAD3B">
            <w:pPr>
              <w:spacing w:before="67" w:line="228" w:lineRule="auto"/>
              <w:ind w:left="79"/>
              <w:rPr>
                <w:rFonts w:ascii="新宋体" w:hAnsi="新宋体" w:eastAsia="新宋体" w:cs="新宋体"/>
                <w:sz w:val="20"/>
                <w:szCs w:val="20"/>
              </w:rPr>
            </w:pPr>
            <w:r>
              <w:rPr>
                <w:rFonts w:ascii="新宋体" w:hAnsi="新宋体" w:eastAsia="新宋体" w:cs="新宋体"/>
                <w:spacing w:val="6"/>
                <w:sz w:val="20"/>
                <w:szCs w:val="20"/>
              </w:rPr>
              <w:t>年消耗量（吨）</w:t>
            </w:r>
          </w:p>
        </w:tc>
      </w:tr>
      <w:tr w14:paraId="13C9B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Align w:val="top"/>
          </w:tcPr>
          <w:p w14:paraId="04ED00D1">
            <w:pPr>
              <w:pStyle w:val="6"/>
              <w:spacing w:before="63" w:line="228" w:lineRule="auto"/>
              <w:ind w:left="1025"/>
            </w:pPr>
            <w:r>
              <w:rPr>
                <w:spacing w:val="2"/>
              </w:rPr>
              <w:t>原料</w:t>
            </w:r>
          </w:p>
        </w:tc>
        <w:tc>
          <w:tcPr>
            <w:tcW w:w="1946" w:type="dxa"/>
            <w:vAlign w:val="top"/>
          </w:tcPr>
          <w:p w14:paraId="54A31F7D">
            <w:pPr>
              <w:spacing w:before="63" w:line="228" w:lineRule="auto"/>
              <w:ind w:left="667"/>
              <w:rPr>
                <w:rFonts w:ascii="新宋体" w:hAnsi="新宋体" w:eastAsia="新宋体" w:cs="新宋体"/>
                <w:sz w:val="20"/>
                <w:szCs w:val="20"/>
              </w:rPr>
            </w:pPr>
            <w:r>
              <w:rPr>
                <w:rFonts w:ascii="新宋体" w:hAnsi="新宋体" w:eastAsia="新宋体" w:cs="新宋体"/>
                <w:spacing w:val="5"/>
                <w:sz w:val="20"/>
                <w:szCs w:val="20"/>
              </w:rPr>
              <w:t>原矿石</w:t>
            </w:r>
          </w:p>
        </w:tc>
        <w:tc>
          <w:tcPr>
            <w:tcW w:w="1981" w:type="dxa"/>
            <w:vAlign w:val="top"/>
          </w:tcPr>
          <w:p w14:paraId="37A0058B">
            <w:pPr>
              <w:pStyle w:val="6"/>
              <w:spacing w:before="63" w:line="233" w:lineRule="auto"/>
              <w:ind w:left="943"/>
            </w:pPr>
            <w:r>
              <w:t>/</w:t>
            </w:r>
          </w:p>
        </w:tc>
        <w:tc>
          <w:tcPr>
            <w:tcW w:w="1617" w:type="dxa"/>
            <w:vAlign w:val="top"/>
          </w:tcPr>
          <w:p w14:paraId="764A473D">
            <w:pPr>
              <w:pStyle w:val="6"/>
              <w:spacing w:before="63" w:line="268" w:lineRule="exact"/>
              <w:ind w:left="501"/>
            </w:pPr>
            <w:r>
              <w:rPr>
                <w:spacing w:val="3"/>
                <w:position w:val="1"/>
              </w:rPr>
              <w:t>294000</w:t>
            </w:r>
          </w:p>
        </w:tc>
      </w:tr>
      <w:tr w14:paraId="0AACD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restart"/>
            <w:tcBorders>
              <w:bottom w:val="nil"/>
            </w:tcBorders>
            <w:vAlign w:val="top"/>
          </w:tcPr>
          <w:p w14:paraId="6B2ABE33">
            <w:pPr>
              <w:spacing w:line="241" w:lineRule="auto"/>
              <w:rPr>
                <w:rFonts w:ascii="Arial"/>
                <w:sz w:val="21"/>
              </w:rPr>
            </w:pPr>
          </w:p>
          <w:p w14:paraId="3D736C3E">
            <w:pPr>
              <w:spacing w:line="241" w:lineRule="auto"/>
              <w:rPr>
                <w:rFonts w:ascii="Arial"/>
                <w:sz w:val="21"/>
              </w:rPr>
            </w:pPr>
          </w:p>
          <w:p w14:paraId="05B89DCE">
            <w:pPr>
              <w:spacing w:line="241" w:lineRule="auto"/>
              <w:rPr>
                <w:rFonts w:ascii="Arial"/>
                <w:sz w:val="21"/>
              </w:rPr>
            </w:pPr>
          </w:p>
          <w:p w14:paraId="0C6DB3CA">
            <w:pPr>
              <w:spacing w:line="242" w:lineRule="auto"/>
              <w:rPr>
                <w:rFonts w:ascii="Arial"/>
                <w:sz w:val="21"/>
              </w:rPr>
            </w:pPr>
          </w:p>
          <w:p w14:paraId="76EC67EF">
            <w:pPr>
              <w:spacing w:line="242" w:lineRule="auto"/>
              <w:rPr>
                <w:rFonts w:ascii="Arial"/>
                <w:sz w:val="21"/>
              </w:rPr>
            </w:pPr>
          </w:p>
          <w:p w14:paraId="75076B8D">
            <w:pPr>
              <w:pStyle w:val="6"/>
              <w:spacing w:before="65" w:line="227" w:lineRule="auto"/>
              <w:ind w:left="375"/>
            </w:pPr>
            <w:r>
              <w:rPr>
                <w:spacing w:val="3"/>
              </w:rPr>
              <w:t>药剂</w:t>
            </w:r>
          </w:p>
        </w:tc>
        <w:tc>
          <w:tcPr>
            <w:tcW w:w="1295" w:type="dxa"/>
            <w:vMerge w:val="restart"/>
            <w:tcBorders>
              <w:bottom w:val="nil"/>
            </w:tcBorders>
            <w:vAlign w:val="top"/>
          </w:tcPr>
          <w:p w14:paraId="60C3C2AA">
            <w:pPr>
              <w:spacing w:line="344" w:lineRule="auto"/>
              <w:rPr>
                <w:rFonts w:ascii="Arial"/>
                <w:sz w:val="21"/>
              </w:rPr>
            </w:pPr>
          </w:p>
          <w:p w14:paraId="43E2D9C4">
            <w:pPr>
              <w:pStyle w:val="6"/>
              <w:spacing w:before="65" w:line="227" w:lineRule="auto"/>
              <w:ind w:left="336"/>
            </w:pPr>
            <w:r>
              <w:rPr>
                <w:spacing w:val="7"/>
              </w:rPr>
              <w:t>捕收剂</w:t>
            </w:r>
          </w:p>
        </w:tc>
        <w:tc>
          <w:tcPr>
            <w:tcW w:w="1946" w:type="dxa"/>
            <w:vAlign w:val="top"/>
          </w:tcPr>
          <w:p w14:paraId="6E84DF4D">
            <w:pPr>
              <w:pStyle w:val="6"/>
              <w:spacing w:before="63" w:line="228" w:lineRule="auto"/>
              <w:ind w:left="560"/>
            </w:pPr>
            <w:r>
              <w:rPr>
                <w:spacing w:val="6"/>
              </w:rPr>
              <w:t>丁基黄药</w:t>
            </w:r>
          </w:p>
        </w:tc>
        <w:tc>
          <w:tcPr>
            <w:tcW w:w="1981" w:type="dxa"/>
            <w:vAlign w:val="top"/>
          </w:tcPr>
          <w:p w14:paraId="1F69D127">
            <w:pPr>
              <w:pStyle w:val="6"/>
              <w:spacing w:before="63" w:line="268" w:lineRule="exact"/>
              <w:ind w:left="843"/>
            </w:pPr>
            <w:r>
              <w:rPr>
                <w:spacing w:val="1"/>
                <w:position w:val="1"/>
              </w:rPr>
              <w:t>280</w:t>
            </w:r>
          </w:p>
        </w:tc>
        <w:tc>
          <w:tcPr>
            <w:tcW w:w="1617" w:type="dxa"/>
            <w:vAlign w:val="top"/>
          </w:tcPr>
          <w:p w14:paraId="58011944">
            <w:pPr>
              <w:pStyle w:val="6"/>
              <w:spacing w:before="63" w:line="268" w:lineRule="exact"/>
              <w:ind w:left="708"/>
            </w:pPr>
            <w:r>
              <w:rPr>
                <w:position w:val="1"/>
              </w:rPr>
              <w:t>83</w:t>
            </w:r>
          </w:p>
        </w:tc>
      </w:tr>
      <w:tr w14:paraId="4AD4C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3A693BA4">
            <w:pPr>
              <w:rPr>
                <w:rFonts w:ascii="Arial"/>
                <w:sz w:val="21"/>
              </w:rPr>
            </w:pPr>
          </w:p>
        </w:tc>
        <w:tc>
          <w:tcPr>
            <w:tcW w:w="1295" w:type="dxa"/>
            <w:vMerge w:val="continue"/>
            <w:tcBorders>
              <w:top w:val="nil"/>
              <w:bottom w:val="nil"/>
            </w:tcBorders>
            <w:vAlign w:val="top"/>
          </w:tcPr>
          <w:p w14:paraId="08310EC7">
            <w:pPr>
              <w:rPr>
                <w:rFonts w:ascii="Arial"/>
                <w:sz w:val="21"/>
              </w:rPr>
            </w:pPr>
          </w:p>
        </w:tc>
        <w:tc>
          <w:tcPr>
            <w:tcW w:w="1946" w:type="dxa"/>
            <w:vAlign w:val="top"/>
          </w:tcPr>
          <w:p w14:paraId="03CEF0D0">
            <w:pPr>
              <w:pStyle w:val="6"/>
              <w:spacing w:before="63" w:line="227" w:lineRule="auto"/>
              <w:ind w:left="683"/>
            </w:pPr>
            <w:r>
              <w:t>乙硫氮</w:t>
            </w:r>
          </w:p>
        </w:tc>
        <w:tc>
          <w:tcPr>
            <w:tcW w:w="1981" w:type="dxa"/>
            <w:vAlign w:val="top"/>
          </w:tcPr>
          <w:p w14:paraId="7D9CA9A4">
            <w:pPr>
              <w:pStyle w:val="6"/>
              <w:spacing w:before="63" w:line="268" w:lineRule="exact"/>
              <w:ind w:left="895"/>
            </w:pPr>
            <w:r>
              <w:rPr>
                <w:spacing w:val="-2"/>
                <w:position w:val="1"/>
              </w:rPr>
              <w:t>30</w:t>
            </w:r>
          </w:p>
        </w:tc>
        <w:tc>
          <w:tcPr>
            <w:tcW w:w="1617" w:type="dxa"/>
            <w:vAlign w:val="top"/>
          </w:tcPr>
          <w:p w14:paraId="49A81FE5">
            <w:pPr>
              <w:pStyle w:val="6"/>
              <w:spacing w:before="63" w:line="268" w:lineRule="exact"/>
              <w:ind w:left="763"/>
            </w:pPr>
            <w:r>
              <w:rPr>
                <w:position w:val="1"/>
              </w:rPr>
              <w:t>9</w:t>
            </w:r>
          </w:p>
        </w:tc>
      </w:tr>
      <w:tr w14:paraId="7A930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0BD02B9C">
            <w:pPr>
              <w:rPr>
                <w:rFonts w:ascii="Arial"/>
                <w:sz w:val="21"/>
              </w:rPr>
            </w:pPr>
          </w:p>
        </w:tc>
        <w:tc>
          <w:tcPr>
            <w:tcW w:w="1295" w:type="dxa"/>
            <w:vMerge w:val="continue"/>
            <w:tcBorders>
              <w:top w:val="nil"/>
            </w:tcBorders>
            <w:vAlign w:val="top"/>
          </w:tcPr>
          <w:p w14:paraId="498AB11A">
            <w:pPr>
              <w:rPr>
                <w:rFonts w:ascii="Arial"/>
                <w:sz w:val="21"/>
              </w:rPr>
            </w:pPr>
          </w:p>
        </w:tc>
        <w:tc>
          <w:tcPr>
            <w:tcW w:w="1946" w:type="dxa"/>
            <w:vAlign w:val="top"/>
          </w:tcPr>
          <w:p w14:paraId="5598CBDF">
            <w:pPr>
              <w:pStyle w:val="6"/>
              <w:spacing w:before="63" w:line="228" w:lineRule="auto"/>
              <w:ind w:left="560"/>
            </w:pPr>
            <w:r>
              <w:rPr>
                <w:spacing w:val="6"/>
              </w:rPr>
              <w:t>丁胺黑药</w:t>
            </w:r>
          </w:p>
        </w:tc>
        <w:tc>
          <w:tcPr>
            <w:tcW w:w="1981" w:type="dxa"/>
            <w:vAlign w:val="top"/>
          </w:tcPr>
          <w:p w14:paraId="18C872D5">
            <w:pPr>
              <w:pStyle w:val="6"/>
              <w:spacing w:before="63" w:line="268" w:lineRule="exact"/>
              <w:ind w:left="906"/>
            </w:pPr>
            <w:r>
              <w:rPr>
                <w:spacing w:val="-7"/>
                <w:position w:val="1"/>
              </w:rPr>
              <w:t>15</w:t>
            </w:r>
          </w:p>
        </w:tc>
        <w:tc>
          <w:tcPr>
            <w:tcW w:w="1617" w:type="dxa"/>
            <w:vAlign w:val="top"/>
          </w:tcPr>
          <w:p w14:paraId="6B7897AE">
            <w:pPr>
              <w:pStyle w:val="6"/>
              <w:spacing w:before="63" w:line="268" w:lineRule="exact"/>
              <w:ind w:left="656"/>
            </w:pPr>
            <w:r>
              <w:rPr>
                <w:spacing w:val="2"/>
                <w:position w:val="1"/>
              </w:rPr>
              <w:t>4.5</w:t>
            </w:r>
          </w:p>
        </w:tc>
      </w:tr>
      <w:tr w14:paraId="44FF0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1FC7B6DD">
            <w:pPr>
              <w:rPr>
                <w:rFonts w:ascii="Arial"/>
                <w:sz w:val="21"/>
              </w:rPr>
            </w:pPr>
          </w:p>
        </w:tc>
        <w:tc>
          <w:tcPr>
            <w:tcW w:w="1295" w:type="dxa"/>
            <w:vMerge w:val="restart"/>
            <w:tcBorders>
              <w:bottom w:val="nil"/>
            </w:tcBorders>
            <w:vAlign w:val="top"/>
          </w:tcPr>
          <w:p w14:paraId="69DA9785">
            <w:pPr>
              <w:spacing w:line="257" w:lineRule="auto"/>
              <w:rPr>
                <w:rFonts w:ascii="Arial"/>
                <w:sz w:val="21"/>
              </w:rPr>
            </w:pPr>
          </w:p>
          <w:p w14:paraId="4EC8C3D4">
            <w:pPr>
              <w:spacing w:line="258" w:lineRule="auto"/>
              <w:rPr>
                <w:rFonts w:ascii="Arial"/>
                <w:sz w:val="21"/>
              </w:rPr>
            </w:pPr>
          </w:p>
          <w:p w14:paraId="23D932F7">
            <w:pPr>
              <w:pStyle w:val="6"/>
              <w:spacing w:before="66" w:line="227" w:lineRule="auto"/>
              <w:ind w:left="339"/>
            </w:pPr>
            <w:r>
              <w:rPr>
                <w:spacing w:val="6"/>
              </w:rPr>
              <w:t>调整剂</w:t>
            </w:r>
          </w:p>
        </w:tc>
        <w:tc>
          <w:tcPr>
            <w:tcW w:w="1946" w:type="dxa"/>
            <w:vAlign w:val="top"/>
          </w:tcPr>
          <w:p w14:paraId="6A23F1B1">
            <w:pPr>
              <w:pStyle w:val="6"/>
              <w:spacing w:before="63" w:line="228" w:lineRule="auto"/>
              <w:ind w:left="661"/>
            </w:pPr>
            <w:r>
              <w:rPr>
                <w:spacing w:val="7"/>
              </w:rPr>
              <w:t>硫酸锌</w:t>
            </w:r>
          </w:p>
        </w:tc>
        <w:tc>
          <w:tcPr>
            <w:tcW w:w="1981" w:type="dxa"/>
            <w:vAlign w:val="top"/>
          </w:tcPr>
          <w:p w14:paraId="5F9CD09F">
            <w:pPr>
              <w:pStyle w:val="6"/>
              <w:spacing w:before="63" w:line="268" w:lineRule="exact"/>
              <w:ind w:left="856"/>
            </w:pPr>
            <w:r>
              <w:rPr>
                <w:spacing w:val="-3"/>
                <w:position w:val="1"/>
              </w:rPr>
              <w:t>190</w:t>
            </w:r>
          </w:p>
        </w:tc>
        <w:tc>
          <w:tcPr>
            <w:tcW w:w="1617" w:type="dxa"/>
            <w:vAlign w:val="top"/>
          </w:tcPr>
          <w:p w14:paraId="3D88C367">
            <w:pPr>
              <w:pStyle w:val="6"/>
              <w:spacing w:before="63" w:line="268" w:lineRule="exact"/>
              <w:ind w:left="711"/>
            </w:pPr>
            <w:r>
              <w:rPr>
                <w:spacing w:val="-2"/>
                <w:position w:val="1"/>
              </w:rPr>
              <w:t>56</w:t>
            </w:r>
          </w:p>
        </w:tc>
      </w:tr>
      <w:tr w14:paraId="4B44E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56" w:type="dxa"/>
            <w:vMerge w:val="continue"/>
            <w:tcBorders>
              <w:top w:val="nil"/>
              <w:bottom w:val="nil"/>
            </w:tcBorders>
            <w:vAlign w:val="top"/>
          </w:tcPr>
          <w:p w14:paraId="3F256E45">
            <w:pPr>
              <w:rPr>
                <w:rFonts w:ascii="Arial"/>
                <w:sz w:val="21"/>
              </w:rPr>
            </w:pPr>
          </w:p>
        </w:tc>
        <w:tc>
          <w:tcPr>
            <w:tcW w:w="1295" w:type="dxa"/>
            <w:vMerge w:val="continue"/>
            <w:tcBorders>
              <w:top w:val="nil"/>
              <w:bottom w:val="nil"/>
            </w:tcBorders>
            <w:vAlign w:val="top"/>
          </w:tcPr>
          <w:p w14:paraId="5D8CD42C">
            <w:pPr>
              <w:rPr>
                <w:rFonts w:ascii="Arial"/>
                <w:sz w:val="21"/>
              </w:rPr>
            </w:pPr>
          </w:p>
        </w:tc>
        <w:tc>
          <w:tcPr>
            <w:tcW w:w="1946" w:type="dxa"/>
            <w:vAlign w:val="top"/>
          </w:tcPr>
          <w:p w14:paraId="6E0DE0D2">
            <w:pPr>
              <w:pStyle w:val="6"/>
              <w:spacing w:before="63" w:line="229" w:lineRule="auto"/>
              <w:ind w:left="558"/>
            </w:pPr>
            <w:r>
              <w:rPr>
                <w:spacing w:val="6"/>
              </w:rPr>
              <w:t>亚硫酸钠</w:t>
            </w:r>
          </w:p>
        </w:tc>
        <w:tc>
          <w:tcPr>
            <w:tcW w:w="1981" w:type="dxa"/>
            <w:vAlign w:val="top"/>
          </w:tcPr>
          <w:p w14:paraId="3D16B8EA">
            <w:pPr>
              <w:pStyle w:val="6"/>
              <w:spacing w:before="63" w:line="268" w:lineRule="exact"/>
              <w:ind w:left="896"/>
            </w:pPr>
            <w:r>
              <w:rPr>
                <w:spacing w:val="-2"/>
                <w:position w:val="1"/>
              </w:rPr>
              <w:t>70</w:t>
            </w:r>
          </w:p>
        </w:tc>
        <w:tc>
          <w:tcPr>
            <w:tcW w:w="1617" w:type="dxa"/>
            <w:vAlign w:val="top"/>
          </w:tcPr>
          <w:p w14:paraId="3CAFD867">
            <w:pPr>
              <w:pStyle w:val="6"/>
              <w:spacing w:before="63" w:line="269" w:lineRule="exact"/>
              <w:ind w:left="710"/>
            </w:pPr>
            <w:r>
              <w:rPr>
                <w:spacing w:val="-1"/>
                <w:position w:val="1"/>
              </w:rPr>
              <w:t>21</w:t>
            </w:r>
          </w:p>
        </w:tc>
      </w:tr>
      <w:tr w14:paraId="2CA44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64E87B00">
            <w:pPr>
              <w:rPr>
                <w:rFonts w:ascii="Arial"/>
                <w:sz w:val="21"/>
              </w:rPr>
            </w:pPr>
          </w:p>
        </w:tc>
        <w:tc>
          <w:tcPr>
            <w:tcW w:w="1295" w:type="dxa"/>
            <w:vMerge w:val="continue"/>
            <w:tcBorders>
              <w:top w:val="nil"/>
              <w:bottom w:val="nil"/>
            </w:tcBorders>
            <w:vAlign w:val="top"/>
          </w:tcPr>
          <w:p w14:paraId="57EEA830">
            <w:pPr>
              <w:rPr>
                <w:rFonts w:ascii="Arial"/>
                <w:sz w:val="21"/>
              </w:rPr>
            </w:pPr>
          </w:p>
        </w:tc>
        <w:tc>
          <w:tcPr>
            <w:tcW w:w="1946" w:type="dxa"/>
            <w:vAlign w:val="top"/>
          </w:tcPr>
          <w:p w14:paraId="267C0F73">
            <w:pPr>
              <w:pStyle w:val="6"/>
              <w:spacing w:before="64" w:line="228" w:lineRule="auto"/>
              <w:ind w:left="769"/>
            </w:pPr>
            <w:r>
              <w:rPr>
                <w:spacing w:val="4"/>
              </w:rPr>
              <w:t>石灰</w:t>
            </w:r>
          </w:p>
        </w:tc>
        <w:tc>
          <w:tcPr>
            <w:tcW w:w="1981" w:type="dxa"/>
            <w:vAlign w:val="top"/>
          </w:tcPr>
          <w:p w14:paraId="60302775">
            <w:pPr>
              <w:pStyle w:val="6"/>
              <w:spacing w:before="64" w:line="268" w:lineRule="exact"/>
              <w:ind w:left="792"/>
            </w:pPr>
            <w:r>
              <w:rPr>
                <w:spacing w:val="1"/>
                <w:position w:val="1"/>
              </w:rPr>
              <w:t>5300</w:t>
            </w:r>
          </w:p>
        </w:tc>
        <w:tc>
          <w:tcPr>
            <w:tcW w:w="1617" w:type="dxa"/>
            <w:vAlign w:val="top"/>
          </w:tcPr>
          <w:p w14:paraId="19799EDF">
            <w:pPr>
              <w:pStyle w:val="6"/>
              <w:spacing w:before="64" w:line="268" w:lineRule="exact"/>
              <w:ind w:left="620"/>
            </w:pPr>
            <w:r>
              <w:rPr>
                <w:spacing w:val="-2"/>
                <w:position w:val="1"/>
              </w:rPr>
              <w:t>1559</w:t>
            </w:r>
          </w:p>
        </w:tc>
      </w:tr>
      <w:tr w14:paraId="10937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56" w:type="dxa"/>
            <w:vMerge w:val="continue"/>
            <w:tcBorders>
              <w:top w:val="nil"/>
              <w:bottom w:val="nil"/>
            </w:tcBorders>
            <w:vAlign w:val="top"/>
          </w:tcPr>
          <w:p w14:paraId="643672C9">
            <w:pPr>
              <w:rPr>
                <w:rFonts w:ascii="Arial"/>
                <w:sz w:val="21"/>
              </w:rPr>
            </w:pPr>
          </w:p>
        </w:tc>
        <w:tc>
          <w:tcPr>
            <w:tcW w:w="1295" w:type="dxa"/>
            <w:vMerge w:val="continue"/>
            <w:tcBorders>
              <w:top w:val="nil"/>
            </w:tcBorders>
            <w:vAlign w:val="top"/>
          </w:tcPr>
          <w:p w14:paraId="3E69306C">
            <w:pPr>
              <w:rPr>
                <w:rFonts w:ascii="Arial"/>
                <w:sz w:val="21"/>
              </w:rPr>
            </w:pPr>
          </w:p>
        </w:tc>
        <w:tc>
          <w:tcPr>
            <w:tcW w:w="1946" w:type="dxa"/>
            <w:vAlign w:val="top"/>
          </w:tcPr>
          <w:p w14:paraId="7967ED97">
            <w:pPr>
              <w:pStyle w:val="6"/>
              <w:spacing w:before="64" w:line="229" w:lineRule="auto"/>
              <w:ind w:left="661"/>
            </w:pPr>
            <w:r>
              <w:rPr>
                <w:spacing w:val="7"/>
              </w:rPr>
              <w:t>硫酸铜</w:t>
            </w:r>
          </w:p>
        </w:tc>
        <w:tc>
          <w:tcPr>
            <w:tcW w:w="1981" w:type="dxa"/>
            <w:vAlign w:val="top"/>
          </w:tcPr>
          <w:p w14:paraId="09BEFC1A">
            <w:pPr>
              <w:pStyle w:val="6"/>
              <w:spacing w:before="64" w:line="268" w:lineRule="exact"/>
              <w:ind w:left="844"/>
            </w:pPr>
            <w:r>
              <w:rPr>
                <w:spacing w:val="1"/>
                <w:position w:val="1"/>
              </w:rPr>
              <w:t>500</w:t>
            </w:r>
          </w:p>
        </w:tc>
        <w:tc>
          <w:tcPr>
            <w:tcW w:w="1617" w:type="dxa"/>
            <w:vAlign w:val="top"/>
          </w:tcPr>
          <w:p w14:paraId="55F39655">
            <w:pPr>
              <w:pStyle w:val="6"/>
              <w:spacing w:before="64" w:line="268" w:lineRule="exact"/>
              <w:ind w:left="672"/>
            </w:pPr>
            <w:r>
              <w:rPr>
                <w:spacing w:val="-3"/>
                <w:position w:val="1"/>
              </w:rPr>
              <w:t>147</w:t>
            </w:r>
          </w:p>
        </w:tc>
      </w:tr>
      <w:tr w14:paraId="62C93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56" w:type="dxa"/>
            <w:vMerge w:val="continue"/>
            <w:tcBorders>
              <w:top w:val="nil"/>
            </w:tcBorders>
            <w:vAlign w:val="top"/>
          </w:tcPr>
          <w:p w14:paraId="3C849756">
            <w:pPr>
              <w:rPr>
                <w:rFonts w:ascii="Arial"/>
                <w:sz w:val="21"/>
              </w:rPr>
            </w:pPr>
          </w:p>
        </w:tc>
        <w:tc>
          <w:tcPr>
            <w:tcW w:w="1295" w:type="dxa"/>
            <w:vAlign w:val="top"/>
          </w:tcPr>
          <w:p w14:paraId="20B4E278">
            <w:pPr>
              <w:pStyle w:val="6"/>
              <w:spacing w:before="64" w:line="227" w:lineRule="auto"/>
              <w:ind w:left="338"/>
            </w:pPr>
            <w:r>
              <w:rPr>
                <w:spacing w:val="6"/>
              </w:rPr>
              <w:t>起泡剂</w:t>
            </w:r>
          </w:p>
        </w:tc>
        <w:tc>
          <w:tcPr>
            <w:tcW w:w="1946" w:type="dxa"/>
            <w:vAlign w:val="top"/>
          </w:tcPr>
          <w:p w14:paraId="4E63F2F2">
            <w:pPr>
              <w:pStyle w:val="6"/>
              <w:spacing w:before="64" w:line="232" w:lineRule="auto"/>
              <w:ind w:left="770"/>
            </w:pPr>
            <w:r>
              <w:rPr>
                <w:spacing w:val="2"/>
              </w:rPr>
              <w:t>2#油</w:t>
            </w:r>
          </w:p>
        </w:tc>
        <w:tc>
          <w:tcPr>
            <w:tcW w:w="1981" w:type="dxa"/>
            <w:vAlign w:val="top"/>
          </w:tcPr>
          <w:p w14:paraId="675AFE00">
            <w:pPr>
              <w:pStyle w:val="6"/>
              <w:spacing w:before="64" w:line="268" w:lineRule="exact"/>
              <w:ind w:left="906"/>
            </w:pPr>
            <w:r>
              <w:rPr>
                <w:spacing w:val="-7"/>
                <w:position w:val="1"/>
              </w:rPr>
              <w:t>16</w:t>
            </w:r>
          </w:p>
        </w:tc>
        <w:tc>
          <w:tcPr>
            <w:tcW w:w="1617" w:type="dxa"/>
            <w:vAlign w:val="top"/>
          </w:tcPr>
          <w:p w14:paraId="4D31584C">
            <w:pPr>
              <w:pStyle w:val="6"/>
              <w:spacing w:before="64" w:line="268" w:lineRule="exact"/>
              <w:ind w:left="656"/>
            </w:pPr>
            <w:r>
              <w:rPr>
                <w:spacing w:val="2"/>
                <w:position w:val="1"/>
              </w:rPr>
              <w:t>4.7</w:t>
            </w:r>
          </w:p>
        </w:tc>
      </w:tr>
      <w:tr w14:paraId="3C278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restart"/>
            <w:tcBorders>
              <w:bottom w:val="nil"/>
            </w:tcBorders>
            <w:vAlign w:val="top"/>
          </w:tcPr>
          <w:p w14:paraId="6163B70B">
            <w:pPr>
              <w:spacing w:line="241" w:lineRule="auto"/>
              <w:rPr>
                <w:rFonts w:ascii="Arial"/>
                <w:sz w:val="21"/>
              </w:rPr>
            </w:pPr>
          </w:p>
          <w:p w14:paraId="0BB6BC06">
            <w:pPr>
              <w:spacing w:line="242" w:lineRule="auto"/>
              <w:rPr>
                <w:rFonts w:ascii="Arial"/>
                <w:sz w:val="21"/>
              </w:rPr>
            </w:pPr>
          </w:p>
          <w:p w14:paraId="6BE17608">
            <w:pPr>
              <w:spacing w:line="242" w:lineRule="auto"/>
              <w:rPr>
                <w:rFonts w:ascii="Arial"/>
                <w:sz w:val="21"/>
              </w:rPr>
            </w:pPr>
          </w:p>
          <w:p w14:paraId="74011E84">
            <w:pPr>
              <w:spacing w:line="242" w:lineRule="auto"/>
              <w:rPr>
                <w:rFonts w:ascii="Arial"/>
                <w:sz w:val="21"/>
              </w:rPr>
            </w:pPr>
          </w:p>
          <w:p w14:paraId="460BC4B1">
            <w:pPr>
              <w:spacing w:line="242" w:lineRule="auto"/>
              <w:rPr>
                <w:rFonts w:ascii="Arial"/>
                <w:sz w:val="21"/>
              </w:rPr>
            </w:pPr>
          </w:p>
          <w:p w14:paraId="1EE8D582">
            <w:pPr>
              <w:pStyle w:val="6"/>
              <w:spacing w:before="65" w:line="227" w:lineRule="auto"/>
              <w:ind w:left="600"/>
            </w:pPr>
            <w:r>
              <w:rPr>
                <w:spacing w:val="8"/>
              </w:rPr>
              <w:t>选矿辅助材料</w:t>
            </w:r>
          </w:p>
        </w:tc>
        <w:tc>
          <w:tcPr>
            <w:tcW w:w="1946" w:type="dxa"/>
            <w:vAlign w:val="top"/>
          </w:tcPr>
          <w:p w14:paraId="576F6D75">
            <w:pPr>
              <w:pStyle w:val="6"/>
              <w:spacing w:before="65" w:line="227" w:lineRule="auto"/>
              <w:ind w:left="768"/>
            </w:pPr>
            <w:r>
              <w:rPr>
                <w:spacing w:val="4"/>
              </w:rPr>
              <w:t>衬板</w:t>
            </w:r>
          </w:p>
        </w:tc>
        <w:tc>
          <w:tcPr>
            <w:tcW w:w="1981" w:type="dxa"/>
            <w:vAlign w:val="top"/>
          </w:tcPr>
          <w:p w14:paraId="0DA633B0">
            <w:pPr>
              <w:pStyle w:val="6"/>
              <w:spacing w:before="65" w:line="233" w:lineRule="auto"/>
              <w:ind w:left="943"/>
            </w:pPr>
            <w:r>
              <w:t>/</w:t>
            </w:r>
          </w:p>
        </w:tc>
        <w:tc>
          <w:tcPr>
            <w:tcW w:w="1617" w:type="dxa"/>
            <w:vAlign w:val="top"/>
          </w:tcPr>
          <w:p w14:paraId="752F643F">
            <w:pPr>
              <w:pStyle w:val="6"/>
              <w:spacing w:before="65" w:line="267" w:lineRule="exact"/>
              <w:ind w:left="708"/>
            </w:pPr>
            <w:r>
              <w:rPr>
                <w:position w:val="1"/>
              </w:rPr>
              <w:t>81</w:t>
            </w:r>
          </w:p>
        </w:tc>
      </w:tr>
      <w:tr w14:paraId="24BC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451" w:type="dxa"/>
            <w:gridSpan w:val="2"/>
            <w:vMerge w:val="continue"/>
            <w:tcBorders>
              <w:top w:val="nil"/>
              <w:bottom w:val="nil"/>
            </w:tcBorders>
            <w:vAlign w:val="top"/>
          </w:tcPr>
          <w:p w14:paraId="63C80603">
            <w:pPr>
              <w:rPr>
                <w:rFonts w:ascii="Arial"/>
                <w:sz w:val="21"/>
              </w:rPr>
            </w:pPr>
          </w:p>
        </w:tc>
        <w:tc>
          <w:tcPr>
            <w:tcW w:w="1946" w:type="dxa"/>
            <w:vAlign w:val="top"/>
          </w:tcPr>
          <w:p w14:paraId="38E88B70">
            <w:pPr>
              <w:pStyle w:val="6"/>
              <w:spacing w:before="65" w:line="228" w:lineRule="auto"/>
              <w:ind w:left="767"/>
            </w:pPr>
            <w:r>
              <w:rPr>
                <w:spacing w:val="5"/>
              </w:rPr>
              <w:t>胶带</w:t>
            </w:r>
          </w:p>
        </w:tc>
        <w:tc>
          <w:tcPr>
            <w:tcW w:w="1981" w:type="dxa"/>
            <w:vAlign w:val="top"/>
          </w:tcPr>
          <w:p w14:paraId="377E402E">
            <w:pPr>
              <w:pStyle w:val="6"/>
              <w:spacing w:before="65" w:line="233" w:lineRule="auto"/>
              <w:ind w:left="943"/>
            </w:pPr>
            <w:r>
              <w:t>/</w:t>
            </w:r>
          </w:p>
        </w:tc>
        <w:tc>
          <w:tcPr>
            <w:tcW w:w="1617" w:type="dxa"/>
            <w:vAlign w:val="top"/>
          </w:tcPr>
          <w:p w14:paraId="1824F60E">
            <w:pPr>
              <w:pStyle w:val="6"/>
              <w:spacing w:before="48" w:line="284" w:lineRule="exact"/>
              <w:ind w:left="582"/>
              <w:rPr>
                <w:sz w:val="10"/>
                <w:szCs w:val="10"/>
              </w:rPr>
            </w:pPr>
            <w:r>
              <w:rPr>
                <w:spacing w:val="2"/>
              </w:rPr>
              <w:t>500m</w:t>
            </w:r>
            <w:r>
              <w:rPr>
                <w:spacing w:val="2"/>
                <w:position w:val="9"/>
                <w:sz w:val="10"/>
                <w:szCs w:val="10"/>
              </w:rPr>
              <w:t>2</w:t>
            </w:r>
          </w:p>
        </w:tc>
      </w:tr>
      <w:tr w14:paraId="73FE5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bottom w:val="nil"/>
            </w:tcBorders>
            <w:vAlign w:val="top"/>
          </w:tcPr>
          <w:p w14:paraId="447D8E38">
            <w:pPr>
              <w:rPr>
                <w:rFonts w:ascii="Arial"/>
                <w:sz w:val="21"/>
              </w:rPr>
            </w:pPr>
          </w:p>
        </w:tc>
        <w:tc>
          <w:tcPr>
            <w:tcW w:w="1946" w:type="dxa"/>
            <w:vAlign w:val="top"/>
          </w:tcPr>
          <w:p w14:paraId="597C79DA">
            <w:pPr>
              <w:pStyle w:val="6"/>
              <w:spacing w:before="66" w:line="229" w:lineRule="auto"/>
              <w:ind w:left="766"/>
            </w:pPr>
            <w:r>
              <w:rPr>
                <w:spacing w:val="5"/>
              </w:rPr>
              <w:t>钢球</w:t>
            </w:r>
          </w:p>
        </w:tc>
        <w:tc>
          <w:tcPr>
            <w:tcW w:w="1981" w:type="dxa"/>
            <w:vAlign w:val="top"/>
          </w:tcPr>
          <w:p w14:paraId="1FC5BE9C">
            <w:pPr>
              <w:pStyle w:val="6"/>
              <w:spacing w:before="66" w:line="233" w:lineRule="auto"/>
              <w:ind w:left="943"/>
            </w:pPr>
            <w:r>
              <w:t>/</w:t>
            </w:r>
          </w:p>
        </w:tc>
        <w:tc>
          <w:tcPr>
            <w:tcW w:w="1617" w:type="dxa"/>
            <w:vAlign w:val="top"/>
          </w:tcPr>
          <w:p w14:paraId="1236B2A7">
            <w:pPr>
              <w:pStyle w:val="6"/>
              <w:spacing w:before="66" w:line="266" w:lineRule="exact"/>
              <w:ind w:left="656"/>
            </w:pPr>
            <w:r>
              <w:rPr>
                <w:spacing w:val="2"/>
                <w:position w:val="1"/>
              </w:rPr>
              <w:t>440</w:t>
            </w:r>
          </w:p>
        </w:tc>
      </w:tr>
      <w:tr w14:paraId="4A15C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bottom w:val="nil"/>
            </w:tcBorders>
            <w:vAlign w:val="top"/>
          </w:tcPr>
          <w:p w14:paraId="5CAC55F8">
            <w:pPr>
              <w:rPr>
                <w:rFonts w:ascii="Arial"/>
                <w:sz w:val="21"/>
              </w:rPr>
            </w:pPr>
          </w:p>
        </w:tc>
        <w:tc>
          <w:tcPr>
            <w:tcW w:w="1946" w:type="dxa"/>
            <w:vAlign w:val="top"/>
          </w:tcPr>
          <w:p w14:paraId="6286C199">
            <w:pPr>
              <w:pStyle w:val="6"/>
              <w:spacing w:before="66" w:line="227" w:lineRule="auto"/>
              <w:ind w:left="766"/>
            </w:pPr>
            <w:r>
              <w:rPr>
                <w:spacing w:val="5"/>
              </w:rPr>
              <w:t>钢材</w:t>
            </w:r>
          </w:p>
        </w:tc>
        <w:tc>
          <w:tcPr>
            <w:tcW w:w="1981" w:type="dxa"/>
            <w:vAlign w:val="top"/>
          </w:tcPr>
          <w:p w14:paraId="15BAFA3E">
            <w:pPr>
              <w:pStyle w:val="6"/>
              <w:spacing w:before="66" w:line="233" w:lineRule="auto"/>
              <w:ind w:left="943"/>
            </w:pPr>
            <w:r>
              <w:t>/</w:t>
            </w:r>
          </w:p>
        </w:tc>
        <w:tc>
          <w:tcPr>
            <w:tcW w:w="1617" w:type="dxa"/>
            <w:vAlign w:val="top"/>
          </w:tcPr>
          <w:p w14:paraId="26786EFC">
            <w:pPr>
              <w:pStyle w:val="6"/>
              <w:spacing w:before="66" w:line="266" w:lineRule="exact"/>
              <w:ind w:left="763"/>
            </w:pPr>
            <w:r>
              <w:rPr>
                <w:position w:val="1"/>
              </w:rPr>
              <w:t>9</w:t>
            </w:r>
          </w:p>
        </w:tc>
      </w:tr>
      <w:tr w14:paraId="1EBB5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451" w:type="dxa"/>
            <w:gridSpan w:val="2"/>
            <w:vMerge w:val="continue"/>
            <w:tcBorders>
              <w:top w:val="nil"/>
              <w:bottom w:val="nil"/>
            </w:tcBorders>
            <w:vAlign w:val="top"/>
          </w:tcPr>
          <w:p w14:paraId="1AD4C18B">
            <w:pPr>
              <w:rPr>
                <w:rFonts w:ascii="Arial"/>
                <w:sz w:val="21"/>
              </w:rPr>
            </w:pPr>
          </w:p>
        </w:tc>
        <w:tc>
          <w:tcPr>
            <w:tcW w:w="1946" w:type="dxa"/>
            <w:vAlign w:val="top"/>
          </w:tcPr>
          <w:p w14:paraId="735C6EA7">
            <w:pPr>
              <w:pStyle w:val="6"/>
              <w:spacing w:before="66" w:line="227" w:lineRule="auto"/>
              <w:ind w:left="767"/>
            </w:pPr>
            <w:r>
              <w:rPr>
                <w:spacing w:val="5"/>
              </w:rPr>
              <w:t>机油</w:t>
            </w:r>
          </w:p>
        </w:tc>
        <w:tc>
          <w:tcPr>
            <w:tcW w:w="1981" w:type="dxa"/>
            <w:vAlign w:val="top"/>
          </w:tcPr>
          <w:p w14:paraId="571E2759">
            <w:pPr>
              <w:pStyle w:val="6"/>
              <w:spacing w:before="66" w:line="233" w:lineRule="auto"/>
              <w:ind w:left="943"/>
            </w:pPr>
            <w:r>
              <w:t>/</w:t>
            </w:r>
          </w:p>
        </w:tc>
        <w:tc>
          <w:tcPr>
            <w:tcW w:w="1617" w:type="dxa"/>
            <w:vAlign w:val="top"/>
          </w:tcPr>
          <w:p w14:paraId="2ADB1727">
            <w:pPr>
              <w:pStyle w:val="6"/>
              <w:spacing w:before="66" w:line="266" w:lineRule="exact"/>
              <w:ind w:left="763"/>
            </w:pPr>
            <w:r>
              <w:rPr>
                <w:position w:val="1"/>
              </w:rPr>
              <w:t>9</w:t>
            </w:r>
          </w:p>
        </w:tc>
      </w:tr>
      <w:tr w14:paraId="2B871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bottom w:val="nil"/>
            </w:tcBorders>
            <w:vAlign w:val="top"/>
          </w:tcPr>
          <w:p w14:paraId="504B64E6">
            <w:pPr>
              <w:rPr>
                <w:rFonts w:ascii="Arial"/>
                <w:sz w:val="21"/>
              </w:rPr>
            </w:pPr>
          </w:p>
        </w:tc>
        <w:tc>
          <w:tcPr>
            <w:tcW w:w="1946" w:type="dxa"/>
            <w:vAlign w:val="top"/>
          </w:tcPr>
          <w:p w14:paraId="604176C5">
            <w:pPr>
              <w:pStyle w:val="6"/>
              <w:spacing w:before="67" w:line="228" w:lineRule="auto"/>
              <w:ind w:left="767"/>
            </w:pPr>
            <w:r>
              <w:rPr>
                <w:spacing w:val="5"/>
              </w:rPr>
              <w:t>黄油</w:t>
            </w:r>
          </w:p>
        </w:tc>
        <w:tc>
          <w:tcPr>
            <w:tcW w:w="1981" w:type="dxa"/>
            <w:vAlign w:val="top"/>
          </w:tcPr>
          <w:p w14:paraId="01359D8D">
            <w:pPr>
              <w:pStyle w:val="6"/>
              <w:spacing w:before="67" w:line="233" w:lineRule="auto"/>
              <w:ind w:left="943"/>
            </w:pPr>
            <w:r>
              <w:t>/</w:t>
            </w:r>
          </w:p>
        </w:tc>
        <w:tc>
          <w:tcPr>
            <w:tcW w:w="1617" w:type="dxa"/>
            <w:vAlign w:val="top"/>
          </w:tcPr>
          <w:p w14:paraId="37B747FD">
            <w:pPr>
              <w:pStyle w:val="6"/>
              <w:spacing w:before="67" w:line="266" w:lineRule="exact"/>
              <w:ind w:left="710"/>
            </w:pPr>
            <w:r>
              <w:rPr>
                <w:spacing w:val="-1"/>
                <w:position w:val="1"/>
              </w:rPr>
              <w:t>22</w:t>
            </w:r>
          </w:p>
        </w:tc>
      </w:tr>
      <w:tr w14:paraId="27F9A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bottom w:val="nil"/>
            </w:tcBorders>
            <w:vAlign w:val="top"/>
          </w:tcPr>
          <w:p w14:paraId="46A417C4">
            <w:pPr>
              <w:rPr>
                <w:rFonts w:ascii="Arial"/>
                <w:sz w:val="21"/>
              </w:rPr>
            </w:pPr>
          </w:p>
        </w:tc>
        <w:tc>
          <w:tcPr>
            <w:tcW w:w="1946" w:type="dxa"/>
            <w:vAlign w:val="top"/>
          </w:tcPr>
          <w:p w14:paraId="16F8814C">
            <w:pPr>
              <w:pStyle w:val="6"/>
              <w:spacing w:before="67" w:line="227" w:lineRule="auto"/>
              <w:ind w:left="570"/>
            </w:pPr>
            <w:r>
              <w:rPr>
                <w:spacing w:val="4"/>
              </w:rPr>
              <w:t>叶轮盖板</w:t>
            </w:r>
          </w:p>
        </w:tc>
        <w:tc>
          <w:tcPr>
            <w:tcW w:w="1981" w:type="dxa"/>
            <w:vAlign w:val="top"/>
          </w:tcPr>
          <w:p w14:paraId="367DD24D">
            <w:pPr>
              <w:pStyle w:val="6"/>
              <w:spacing w:before="67" w:line="233" w:lineRule="auto"/>
              <w:ind w:left="943"/>
            </w:pPr>
            <w:r>
              <w:t>/</w:t>
            </w:r>
          </w:p>
        </w:tc>
        <w:tc>
          <w:tcPr>
            <w:tcW w:w="1617" w:type="dxa"/>
            <w:vAlign w:val="top"/>
          </w:tcPr>
          <w:p w14:paraId="435DC94B">
            <w:pPr>
              <w:pStyle w:val="6"/>
              <w:spacing w:before="67" w:line="266" w:lineRule="exact"/>
              <w:ind w:left="708"/>
            </w:pPr>
            <w:r>
              <w:rPr>
                <w:position w:val="1"/>
              </w:rPr>
              <w:t>80</w:t>
            </w:r>
          </w:p>
        </w:tc>
      </w:tr>
      <w:tr w14:paraId="3AAFF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451" w:type="dxa"/>
            <w:gridSpan w:val="2"/>
            <w:vMerge w:val="continue"/>
            <w:tcBorders>
              <w:top w:val="nil"/>
            </w:tcBorders>
            <w:vAlign w:val="top"/>
          </w:tcPr>
          <w:p w14:paraId="55C16808">
            <w:pPr>
              <w:rPr>
                <w:rFonts w:ascii="Arial"/>
                <w:sz w:val="21"/>
              </w:rPr>
            </w:pPr>
          </w:p>
        </w:tc>
        <w:tc>
          <w:tcPr>
            <w:tcW w:w="1946" w:type="dxa"/>
            <w:vAlign w:val="top"/>
          </w:tcPr>
          <w:p w14:paraId="3CDBFD83">
            <w:pPr>
              <w:pStyle w:val="6"/>
              <w:spacing w:before="67" w:line="227" w:lineRule="auto"/>
              <w:ind w:left="770"/>
            </w:pPr>
            <w:r>
              <w:rPr>
                <w:spacing w:val="3"/>
              </w:rPr>
              <w:t>滤板</w:t>
            </w:r>
          </w:p>
        </w:tc>
        <w:tc>
          <w:tcPr>
            <w:tcW w:w="1981" w:type="dxa"/>
            <w:vAlign w:val="top"/>
          </w:tcPr>
          <w:p w14:paraId="3CB1EA0C">
            <w:pPr>
              <w:pStyle w:val="6"/>
              <w:spacing w:before="67" w:line="233" w:lineRule="auto"/>
              <w:ind w:left="943"/>
            </w:pPr>
            <w:r>
              <w:t>/</w:t>
            </w:r>
          </w:p>
        </w:tc>
        <w:tc>
          <w:tcPr>
            <w:tcW w:w="1617" w:type="dxa"/>
            <w:vAlign w:val="top"/>
          </w:tcPr>
          <w:p w14:paraId="029D6DCB">
            <w:pPr>
              <w:pStyle w:val="6"/>
              <w:spacing w:before="67" w:line="266" w:lineRule="exact"/>
              <w:ind w:left="711"/>
            </w:pPr>
            <w:r>
              <w:rPr>
                <w:spacing w:val="-2"/>
                <w:position w:val="1"/>
              </w:rPr>
              <w:t>35</w:t>
            </w:r>
          </w:p>
        </w:tc>
      </w:tr>
      <w:tr w14:paraId="356A0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397" w:type="dxa"/>
            <w:gridSpan w:val="3"/>
            <w:vAlign w:val="top"/>
          </w:tcPr>
          <w:p w14:paraId="46BC98DC">
            <w:pPr>
              <w:pStyle w:val="6"/>
              <w:spacing w:before="67" w:line="228" w:lineRule="auto"/>
              <w:ind w:left="1682"/>
            </w:pPr>
            <w:r>
              <w:rPr>
                <w:spacing w:val="7"/>
              </w:rPr>
              <w:t>生物质燃料</w:t>
            </w:r>
          </w:p>
        </w:tc>
        <w:tc>
          <w:tcPr>
            <w:tcW w:w="1981" w:type="dxa"/>
            <w:vAlign w:val="top"/>
          </w:tcPr>
          <w:p w14:paraId="090A2461">
            <w:pPr>
              <w:pStyle w:val="6"/>
              <w:spacing w:before="67" w:line="233" w:lineRule="auto"/>
              <w:ind w:left="943"/>
            </w:pPr>
            <w:r>
              <w:t>/</w:t>
            </w:r>
          </w:p>
        </w:tc>
        <w:tc>
          <w:tcPr>
            <w:tcW w:w="1617" w:type="dxa"/>
            <w:vAlign w:val="top"/>
          </w:tcPr>
          <w:p w14:paraId="2DF804DB">
            <w:pPr>
              <w:pStyle w:val="6"/>
              <w:spacing w:before="67" w:line="268" w:lineRule="exact"/>
              <w:ind w:left="620"/>
            </w:pPr>
            <w:r>
              <w:rPr>
                <w:spacing w:val="-2"/>
                <w:position w:val="1"/>
              </w:rPr>
              <w:t>1200</w:t>
            </w:r>
          </w:p>
        </w:tc>
      </w:tr>
    </w:tbl>
    <w:p w14:paraId="5619EFC7">
      <w:pPr>
        <w:pStyle w:val="2"/>
        <w:spacing w:line="75" w:lineRule="exact"/>
        <w:rPr>
          <w:sz w:val="6"/>
        </w:rPr>
      </w:pPr>
    </w:p>
    <w:p w14:paraId="01087FEC">
      <w:pPr>
        <w:spacing w:line="75" w:lineRule="exact"/>
        <w:rPr>
          <w:sz w:val="6"/>
          <w:szCs w:val="6"/>
        </w:rPr>
        <w:sectPr>
          <w:footerReference r:id="rId61" w:type="default"/>
          <w:pgSz w:w="11906" w:h="16839"/>
          <w:pgMar w:top="1208" w:right="1696" w:bottom="1358" w:left="1695" w:header="825" w:footer="1195" w:gutter="0"/>
          <w:cols w:space="720" w:num="1"/>
        </w:sectPr>
      </w:pPr>
    </w:p>
    <w:p w14:paraId="5E2A9469">
      <w:pPr>
        <w:pStyle w:val="2"/>
        <w:spacing w:line="269" w:lineRule="auto"/>
      </w:pPr>
    </w:p>
    <w:p w14:paraId="2BA4E8CE">
      <w:pPr>
        <w:spacing w:before="78" w:line="219" w:lineRule="auto"/>
        <w:ind w:left="164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3.2-5    2000t/d</w:t>
      </w:r>
      <w:r>
        <w:rPr>
          <w:rFonts w:ascii="宋体" w:hAnsi="宋体" w:eastAsia="宋体" w:cs="宋体"/>
          <w:spacing w:val="-52"/>
          <w:sz w:val="24"/>
          <w:szCs w:val="24"/>
        </w:rPr>
        <w:t xml:space="preserve"> </w:t>
      </w:r>
      <w:r>
        <w:rPr>
          <w:rFonts w:ascii="宋体" w:hAnsi="宋体" w:eastAsia="宋体" w:cs="宋体"/>
          <w:spacing w:val="-1"/>
          <w:sz w:val="24"/>
          <w:szCs w:val="24"/>
        </w:rPr>
        <w:t>选矿车间原辅材料消耗统</w:t>
      </w:r>
      <w:r>
        <w:rPr>
          <w:rFonts w:ascii="宋体" w:hAnsi="宋体" w:eastAsia="宋体" w:cs="宋体"/>
          <w:spacing w:val="-2"/>
          <w:sz w:val="24"/>
          <w:szCs w:val="24"/>
        </w:rPr>
        <w:t>计表</w:t>
      </w:r>
    </w:p>
    <w:p w14:paraId="74788524">
      <w:pPr>
        <w:spacing w:line="75" w:lineRule="exact"/>
      </w:pPr>
    </w:p>
    <w:tbl>
      <w:tblPr>
        <w:tblStyle w:val="5"/>
        <w:tblW w:w="8131"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1374"/>
        <w:gridCol w:w="684"/>
        <w:gridCol w:w="1369"/>
        <w:gridCol w:w="1542"/>
        <w:gridCol w:w="2196"/>
      </w:tblGrid>
      <w:tr w14:paraId="7F3A1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966" w:type="dxa"/>
            <w:vAlign w:val="top"/>
          </w:tcPr>
          <w:p w14:paraId="1CCBB4B5">
            <w:pPr>
              <w:pStyle w:val="6"/>
              <w:spacing w:before="98" w:line="229" w:lineRule="auto"/>
              <w:ind w:left="278"/>
            </w:pPr>
            <w:r>
              <w:rPr>
                <w:spacing w:val="5"/>
              </w:rPr>
              <w:t>序号</w:t>
            </w:r>
          </w:p>
        </w:tc>
        <w:tc>
          <w:tcPr>
            <w:tcW w:w="1374" w:type="dxa"/>
            <w:vAlign w:val="top"/>
          </w:tcPr>
          <w:p w14:paraId="0677BEF0">
            <w:pPr>
              <w:pStyle w:val="6"/>
              <w:spacing w:before="98" w:line="230" w:lineRule="auto"/>
              <w:ind w:left="273"/>
            </w:pPr>
            <w:r>
              <w:t>名</w:t>
            </w:r>
            <w:r>
              <w:rPr>
                <w:spacing w:val="7"/>
              </w:rPr>
              <w:t xml:space="preserve">    </w:t>
            </w:r>
            <w:r>
              <w:t>称</w:t>
            </w:r>
          </w:p>
        </w:tc>
        <w:tc>
          <w:tcPr>
            <w:tcW w:w="684" w:type="dxa"/>
            <w:vAlign w:val="top"/>
          </w:tcPr>
          <w:p w14:paraId="51EC5656">
            <w:pPr>
              <w:pStyle w:val="6"/>
              <w:spacing w:before="98" w:line="228" w:lineRule="auto"/>
              <w:ind w:left="139"/>
            </w:pPr>
            <w:r>
              <w:rPr>
                <w:spacing w:val="3"/>
              </w:rPr>
              <w:t>单位</w:t>
            </w:r>
          </w:p>
        </w:tc>
        <w:tc>
          <w:tcPr>
            <w:tcW w:w="1369" w:type="dxa"/>
            <w:vAlign w:val="top"/>
          </w:tcPr>
          <w:p w14:paraId="0D5F3EF3">
            <w:pPr>
              <w:pStyle w:val="6"/>
              <w:spacing w:before="97" w:line="228" w:lineRule="auto"/>
              <w:ind w:left="270"/>
            </w:pPr>
            <w:r>
              <w:rPr>
                <w:spacing w:val="7"/>
              </w:rPr>
              <w:t>年消耗量</w:t>
            </w:r>
          </w:p>
        </w:tc>
        <w:tc>
          <w:tcPr>
            <w:tcW w:w="1542" w:type="dxa"/>
            <w:vAlign w:val="top"/>
          </w:tcPr>
          <w:p w14:paraId="7D19F94B">
            <w:pPr>
              <w:pStyle w:val="6"/>
              <w:spacing w:before="97" w:line="228" w:lineRule="auto"/>
              <w:ind w:left="565"/>
            </w:pPr>
            <w:r>
              <w:rPr>
                <w:spacing w:val="4"/>
              </w:rPr>
              <w:t>产地</w:t>
            </w:r>
          </w:p>
        </w:tc>
        <w:tc>
          <w:tcPr>
            <w:tcW w:w="2196" w:type="dxa"/>
            <w:vAlign w:val="top"/>
          </w:tcPr>
          <w:p w14:paraId="01573DAD">
            <w:pPr>
              <w:pStyle w:val="6"/>
              <w:spacing w:before="98" w:line="229" w:lineRule="auto"/>
              <w:ind w:left="896"/>
            </w:pPr>
            <w:r>
              <w:rPr>
                <w:spacing w:val="3"/>
              </w:rPr>
              <w:t>备注</w:t>
            </w:r>
          </w:p>
        </w:tc>
      </w:tr>
      <w:tr w14:paraId="3C0E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175B9917">
            <w:pPr>
              <w:pStyle w:val="6"/>
              <w:spacing w:before="132" w:line="270" w:lineRule="exact"/>
              <w:ind w:left="450"/>
            </w:pPr>
            <w:r>
              <w:rPr>
                <w:position w:val="1"/>
              </w:rPr>
              <w:t>1</w:t>
            </w:r>
          </w:p>
        </w:tc>
        <w:tc>
          <w:tcPr>
            <w:tcW w:w="1374" w:type="dxa"/>
            <w:vAlign w:val="top"/>
          </w:tcPr>
          <w:p w14:paraId="3C5E423D">
            <w:pPr>
              <w:pStyle w:val="6"/>
              <w:spacing w:before="132" w:line="228" w:lineRule="auto"/>
              <w:ind w:left="486"/>
            </w:pPr>
            <w:r>
              <w:rPr>
                <w:spacing w:val="2"/>
              </w:rPr>
              <w:t>原矿</w:t>
            </w:r>
          </w:p>
        </w:tc>
        <w:tc>
          <w:tcPr>
            <w:tcW w:w="684" w:type="dxa"/>
            <w:vAlign w:val="top"/>
          </w:tcPr>
          <w:p w14:paraId="785223E9">
            <w:pPr>
              <w:pStyle w:val="6"/>
              <w:spacing w:before="132" w:line="233" w:lineRule="auto"/>
              <w:ind w:left="192"/>
            </w:pPr>
            <w:r>
              <w:t>t/a</w:t>
            </w:r>
          </w:p>
        </w:tc>
        <w:tc>
          <w:tcPr>
            <w:tcW w:w="1369" w:type="dxa"/>
            <w:vAlign w:val="top"/>
          </w:tcPr>
          <w:p w14:paraId="6D0CA756">
            <w:pPr>
              <w:pStyle w:val="6"/>
              <w:spacing w:before="117" w:line="283" w:lineRule="exact"/>
              <w:ind w:left="242"/>
              <w:rPr>
                <w:sz w:val="10"/>
                <w:szCs w:val="10"/>
              </w:rPr>
            </w:pPr>
            <w:r>
              <w:rPr>
                <w:spacing w:val="4"/>
              </w:rPr>
              <w:t>42.6×10</w:t>
            </w:r>
            <w:r>
              <w:rPr>
                <w:spacing w:val="4"/>
                <w:position w:val="9"/>
                <w:sz w:val="10"/>
                <w:szCs w:val="10"/>
              </w:rPr>
              <w:t>4</w:t>
            </w:r>
          </w:p>
        </w:tc>
        <w:tc>
          <w:tcPr>
            <w:tcW w:w="1542" w:type="dxa"/>
            <w:vAlign w:val="top"/>
          </w:tcPr>
          <w:p w14:paraId="3938F455">
            <w:pPr>
              <w:pStyle w:val="6"/>
              <w:spacing w:before="134" w:line="227" w:lineRule="auto"/>
              <w:ind w:left="565"/>
            </w:pPr>
            <w:r>
              <w:rPr>
                <w:spacing w:val="5"/>
              </w:rPr>
              <w:t>采场</w:t>
            </w:r>
          </w:p>
        </w:tc>
        <w:tc>
          <w:tcPr>
            <w:tcW w:w="2196" w:type="dxa"/>
            <w:vAlign w:val="top"/>
          </w:tcPr>
          <w:p w14:paraId="341E7378">
            <w:pPr>
              <w:pStyle w:val="6"/>
              <w:spacing w:before="134" w:line="233" w:lineRule="auto"/>
              <w:ind w:left="1051"/>
            </w:pPr>
            <w:r>
              <w:t>/</w:t>
            </w:r>
          </w:p>
        </w:tc>
      </w:tr>
      <w:tr w14:paraId="2199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1A5ECD94">
            <w:pPr>
              <w:pStyle w:val="6"/>
              <w:spacing w:before="134" w:line="270" w:lineRule="exact"/>
              <w:ind w:left="437"/>
            </w:pPr>
            <w:r>
              <w:rPr>
                <w:position w:val="1"/>
              </w:rPr>
              <w:t>2</w:t>
            </w:r>
          </w:p>
        </w:tc>
        <w:tc>
          <w:tcPr>
            <w:tcW w:w="1374" w:type="dxa"/>
            <w:vAlign w:val="top"/>
          </w:tcPr>
          <w:p w14:paraId="73E9D70D">
            <w:pPr>
              <w:pStyle w:val="6"/>
              <w:spacing w:before="133" w:line="228" w:lineRule="auto"/>
              <w:ind w:left="482"/>
            </w:pPr>
            <w:r>
              <w:rPr>
                <w:spacing w:val="4"/>
              </w:rPr>
              <w:t>石灰</w:t>
            </w:r>
          </w:p>
        </w:tc>
        <w:tc>
          <w:tcPr>
            <w:tcW w:w="684" w:type="dxa"/>
            <w:vAlign w:val="top"/>
          </w:tcPr>
          <w:p w14:paraId="30227D63">
            <w:pPr>
              <w:pStyle w:val="6"/>
              <w:spacing w:before="133" w:line="233" w:lineRule="auto"/>
              <w:ind w:left="192"/>
            </w:pPr>
            <w:r>
              <w:t>t/a</w:t>
            </w:r>
          </w:p>
        </w:tc>
        <w:tc>
          <w:tcPr>
            <w:tcW w:w="1369" w:type="dxa"/>
            <w:vAlign w:val="top"/>
          </w:tcPr>
          <w:p w14:paraId="624B631D">
            <w:pPr>
              <w:pStyle w:val="6"/>
              <w:spacing w:before="134" w:line="268" w:lineRule="exact"/>
              <w:ind w:left="484"/>
            </w:pPr>
            <w:r>
              <w:rPr>
                <w:spacing w:val="1"/>
                <w:position w:val="1"/>
              </w:rPr>
              <w:t>3100</w:t>
            </w:r>
          </w:p>
        </w:tc>
        <w:tc>
          <w:tcPr>
            <w:tcW w:w="1542" w:type="dxa"/>
            <w:vAlign w:val="top"/>
          </w:tcPr>
          <w:p w14:paraId="055F5F1E">
            <w:pPr>
              <w:pStyle w:val="6"/>
              <w:spacing w:before="133" w:line="228" w:lineRule="auto"/>
              <w:ind w:left="566"/>
            </w:pPr>
            <w:r>
              <w:rPr>
                <w:spacing w:val="4"/>
              </w:rPr>
              <w:t>林东</w:t>
            </w:r>
          </w:p>
        </w:tc>
        <w:tc>
          <w:tcPr>
            <w:tcW w:w="2196" w:type="dxa"/>
            <w:vAlign w:val="top"/>
          </w:tcPr>
          <w:p w14:paraId="7CCEC2CE">
            <w:pPr>
              <w:pStyle w:val="6"/>
              <w:spacing w:before="133" w:line="228" w:lineRule="auto"/>
              <w:ind w:left="895"/>
            </w:pPr>
            <w:r>
              <w:rPr>
                <w:spacing w:val="3"/>
              </w:rPr>
              <w:t>罐车</w:t>
            </w:r>
          </w:p>
        </w:tc>
      </w:tr>
      <w:tr w14:paraId="56DDD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66BE8DCD">
            <w:pPr>
              <w:pStyle w:val="6"/>
              <w:spacing w:before="133" w:line="268" w:lineRule="exact"/>
              <w:ind w:left="439"/>
            </w:pPr>
            <w:r>
              <w:rPr>
                <w:position w:val="1"/>
              </w:rPr>
              <w:t>3</w:t>
            </w:r>
          </w:p>
        </w:tc>
        <w:tc>
          <w:tcPr>
            <w:tcW w:w="1374" w:type="dxa"/>
            <w:vAlign w:val="top"/>
          </w:tcPr>
          <w:p w14:paraId="0FA3CE85">
            <w:pPr>
              <w:pStyle w:val="6"/>
              <w:spacing w:before="133" w:line="228" w:lineRule="auto"/>
              <w:ind w:left="379"/>
            </w:pPr>
            <w:r>
              <w:rPr>
                <w:spacing w:val="5"/>
              </w:rPr>
              <w:t>丁黄药</w:t>
            </w:r>
          </w:p>
        </w:tc>
        <w:tc>
          <w:tcPr>
            <w:tcW w:w="684" w:type="dxa"/>
            <w:vAlign w:val="top"/>
          </w:tcPr>
          <w:p w14:paraId="607CCC31">
            <w:pPr>
              <w:pStyle w:val="6"/>
              <w:spacing w:before="53" w:line="233" w:lineRule="auto"/>
              <w:ind w:left="192"/>
            </w:pPr>
            <w:r>
              <w:t>t/a</w:t>
            </w:r>
          </w:p>
        </w:tc>
        <w:tc>
          <w:tcPr>
            <w:tcW w:w="1369" w:type="dxa"/>
            <w:vAlign w:val="top"/>
          </w:tcPr>
          <w:p w14:paraId="196C7AE4">
            <w:pPr>
              <w:pStyle w:val="6"/>
              <w:spacing w:before="133" w:line="268" w:lineRule="exact"/>
              <w:ind w:left="481"/>
            </w:pPr>
            <w:r>
              <w:rPr>
                <w:spacing w:val="2"/>
                <w:position w:val="1"/>
              </w:rPr>
              <w:t>92.4</w:t>
            </w:r>
          </w:p>
        </w:tc>
        <w:tc>
          <w:tcPr>
            <w:tcW w:w="1542" w:type="dxa"/>
            <w:vAlign w:val="top"/>
          </w:tcPr>
          <w:p w14:paraId="3C8948BF">
            <w:pPr>
              <w:pStyle w:val="6"/>
              <w:spacing w:before="135" w:line="229" w:lineRule="auto"/>
              <w:ind w:left="570"/>
            </w:pPr>
            <w:r>
              <w:rPr>
                <w:spacing w:val="2"/>
              </w:rPr>
              <w:t>辽宁</w:t>
            </w:r>
          </w:p>
        </w:tc>
        <w:tc>
          <w:tcPr>
            <w:tcW w:w="2196" w:type="dxa"/>
            <w:vAlign w:val="top"/>
          </w:tcPr>
          <w:p w14:paraId="21D466F9">
            <w:pPr>
              <w:pStyle w:val="6"/>
              <w:spacing w:before="136" w:line="228" w:lineRule="auto"/>
              <w:ind w:left="893"/>
            </w:pPr>
            <w:r>
              <w:rPr>
                <w:spacing w:val="4"/>
              </w:rPr>
              <w:t>袋装</w:t>
            </w:r>
          </w:p>
        </w:tc>
      </w:tr>
      <w:tr w14:paraId="6E741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966" w:type="dxa"/>
            <w:vAlign w:val="top"/>
          </w:tcPr>
          <w:p w14:paraId="645A30F4">
            <w:pPr>
              <w:pStyle w:val="6"/>
              <w:spacing w:before="135" w:line="270" w:lineRule="exact"/>
              <w:ind w:left="434"/>
            </w:pPr>
            <w:r>
              <w:rPr>
                <w:position w:val="1"/>
              </w:rPr>
              <w:t>4</w:t>
            </w:r>
          </w:p>
        </w:tc>
        <w:tc>
          <w:tcPr>
            <w:tcW w:w="1374" w:type="dxa"/>
            <w:vAlign w:val="top"/>
          </w:tcPr>
          <w:p w14:paraId="4BF0818B">
            <w:pPr>
              <w:pStyle w:val="6"/>
              <w:spacing w:before="135" w:line="229" w:lineRule="auto"/>
              <w:ind w:left="375"/>
            </w:pPr>
            <w:r>
              <w:rPr>
                <w:spacing w:val="7"/>
              </w:rPr>
              <w:t>硫酸铜</w:t>
            </w:r>
          </w:p>
        </w:tc>
        <w:tc>
          <w:tcPr>
            <w:tcW w:w="684" w:type="dxa"/>
            <w:vAlign w:val="top"/>
          </w:tcPr>
          <w:p w14:paraId="0301F456">
            <w:pPr>
              <w:pStyle w:val="6"/>
              <w:spacing w:before="55" w:line="233" w:lineRule="auto"/>
              <w:ind w:left="192"/>
            </w:pPr>
            <w:r>
              <w:t>t/a</w:t>
            </w:r>
          </w:p>
        </w:tc>
        <w:tc>
          <w:tcPr>
            <w:tcW w:w="1369" w:type="dxa"/>
            <w:vAlign w:val="top"/>
          </w:tcPr>
          <w:p w14:paraId="544F2161">
            <w:pPr>
              <w:pStyle w:val="6"/>
              <w:spacing w:before="135" w:line="267" w:lineRule="exact"/>
              <w:ind w:left="443"/>
            </w:pPr>
            <w:r>
              <w:rPr>
                <w:position w:val="1"/>
              </w:rPr>
              <w:t>138.6</w:t>
            </w:r>
          </w:p>
        </w:tc>
        <w:tc>
          <w:tcPr>
            <w:tcW w:w="1542" w:type="dxa"/>
            <w:vAlign w:val="top"/>
          </w:tcPr>
          <w:p w14:paraId="40785760">
            <w:pPr>
              <w:pStyle w:val="6"/>
              <w:spacing w:before="137" w:line="229" w:lineRule="auto"/>
              <w:ind w:left="570"/>
            </w:pPr>
            <w:r>
              <w:rPr>
                <w:spacing w:val="2"/>
              </w:rPr>
              <w:t>辽宁</w:t>
            </w:r>
          </w:p>
        </w:tc>
        <w:tc>
          <w:tcPr>
            <w:tcW w:w="2196" w:type="dxa"/>
            <w:vAlign w:val="top"/>
          </w:tcPr>
          <w:p w14:paraId="460A25F9">
            <w:pPr>
              <w:pStyle w:val="6"/>
              <w:spacing w:before="137" w:line="228" w:lineRule="auto"/>
              <w:ind w:left="893"/>
            </w:pPr>
            <w:r>
              <w:rPr>
                <w:spacing w:val="4"/>
              </w:rPr>
              <w:t>袋装</w:t>
            </w:r>
          </w:p>
        </w:tc>
      </w:tr>
      <w:tr w14:paraId="56444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966" w:type="dxa"/>
            <w:vAlign w:val="top"/>
          </w:tcPr>
          <w:p w14:paraId="1C5A86CD">
            <w:pPr>
              <w:pStyle w:val="6"/>
              <w:spacing w:before="133" w:line="268" w:lineRule="exact"/>
              <w:ind w:left="439"/>
            </w:pPr>
            <w:r>
              <w:rPr>
                <w:position w:val="1"/>
              </w:rPr>
              <w:t>5</w:t>
            </w:r>
          </w:p>
        </w:tc>
        <w:tc>
          <w:tcPr>
            <w:tcW w:w="1374" w:type="dxa"/>
            <w:vAlign w:val="top"/>
          </w:tcPr>
          <w:p w14:paraId="361F019C">
            <w:pPr>
              <w:pStyle w:val="6"/>
              <w:spacing w:before="133" w:line="232" w:lineRule="auto"/>
              <w:ind w:left="484"/>
            </w:pPr>
            <w:r>
              <w:rPr>
                <w:spacing w:val="2"/>
              </w:rPr>
              <w:t>2#油</w:t>
            </w:r>
          </w:p>
        </w:tc>
        <w:tc>
          <w:tcPr>
            <w:tcW w:w="684" w:type="dxa"/>
            <w:vAlign w:val="top"/>
          </w:tcPr>
          <w:p w14:paraId="55AEAC24">
            <w:pPr>
              <w:pStyle w:val="6"/>
              <w:spacing w:before="56" w:line="233" w:lineRule="auto"/>
              <w:ind w:left="192"/>
            </w:pPr>
            <w:r>
              <w:t>t/a</w:t>
            </w:r>
          </w:p>
        </w:tc>
        <w:tc>
          <w:tcPr>
            <w:tcW w:w="1369" w:type="dxa"/>
            <w:vAlign w:val="top"/>
          </w:tcPr>
          <w:p w14:paraId="4B7E5B5F">
            <w:pPr>
              <w:pStyle w:val="6"/>
              <w:spacing w:before="133" w:line="267" w:lineRule="exact"/>
              <w:ind w:left="484"/>
            </w:pPr>
            <w:r>
              <w:rPr>
                <w:spacing w:val="1"/>
                <w:position w:val="1"/>
              </w:rPr>
              <w:t>36.3</w:t>
            </w:r>
          </w:p>
        </w:tc>
        <w:tc>
          <w:tcPr>
            <w:tcW w:w="1542" w:type="dxa"/>
            <w:vAlign w:val="top"/>
          </w:tcPr>
          <w:p w14:paraId="56B03F8D">
            <w:pPr>
              <w:pStyle w:val="6"/>
              <w:spacing w:before="135" w:line="229" w:lineRule="auto"/>
              <w:ind w:left="570"/>
            </w:pPr>
            <w:r>
              <w:rPr>
                <w:spacing w:val="2"/>
              </w:rPr>
              <w:t>辽宁</w:t>
            </w:r>
          </w:p>
        </w:tc>
        <w:tc>
          <w:tcPr>
            <w:tcW w:w="2196" w:type="dxa"/>
            <w:vAlign w:val="top"/>
          </w:tcPr>
          <w:p w14:paraId="6B81A91E">
            <w:pPr>
              <w:pStyle w:val="6"/>
              <w:spacing w:before="135" w:line="228" w:lineRule="auto"/>
              <w:ind w:left="895"/>
            </w:pPr>
            <w:r>
              <w:rPr>
                <w:spacing w:val="3"/>
              </w:rPr>
              <w:t>桶装</w:t>
            </w:r>
          </w:p>
        </w:tc>
      </w:tr>
      <w:tr w14:paraId="7B62C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36125E44">
            <w:pPr>
              <w:pStyle w:val="6"/>
              <w:spacing w:before="135" w:line="269" w:lineRule="exact"/>
              <w:ind w:left="436"/>
            </w:pPr>
            <w:r>
              <w:rPr>
                <w:position w:val="1"/>
              </w:rPr>
              <w:t>6</w:t>
            </w:r>
          </w:p>
        </w:tc>
        <w:tc>
          <w:tcPr>
            <w:tcW w:w="1374" w:type="dxa"/>
            <w:vAlign w:val="top"/>
          </w:tcPr>
          <w:p w14:paraId="67C4E4DC">
            <w:pPr>
              <w:pStyle w:val="6"/>
              <w:spacing w:before="136" w:line="228" w:lineRule="auto"/>
              <w:ind w:left="375"/>
            </w:pPr>
            <w:r>
              <w:rPr>
                <w:spacing w:val="7"/>
              </w:rPr>
              <w:t>硫酸锌</w:t>
            </w:r>
          </w:p>
        </w:tc>
        <w:tc>
          <w:tcPr>
            <w:tcW w:w="684" w:type="dxa"/>
            <w:vAlign w:val="top"/>
          </w:tcPr>
          <w:p w14:paraId="54CAD5BC">
            <w:pPr>
              <w:pStyle w:val="6"/>
              <w:spacing w:before="56" w:line="233" w:lineRule="auto"/>
              <w:ind w:left="192"/>
            </w:pPr>
            <w:r>
              <w:t>t/a</w:t>
            </w:r>
          </w:p>
        </w:tc>
        <w:tc>
          <w:tcPr>
            <w:tcW w:w="1369" w:type="dxa"/>
            <w:vAlign w:val="top"/>
          </w:tcPr>
          <w:p w14:paraId="15ABE387">
            <w:pPr>
              <w:pStyle w:val="6"/>
              <w:spacing w:before="135" w:line="268" w:lineRule="exact"/>
              <w:ind w:left="337"/>
            </w:pPr>
            <w:r>
              <w:rPr>
                <w:spacing w:val="1"/>
                <w:position w:val="1"/>
              </w:rPr>
              <w:t>1450.00</w:t>
            </w:r>
          </w:p>
        </w:tc>
        <w:tc>
          <w:tcPr>
            <w:tcW w:w="1542" w:type="dxa"/>
            <w:vAlign w:val="top"/>
          </w:tcPr>
          <w:p w14:paraId="53D5D4CA">
            <w:pPr>
              <w:pStyle w:val="6"/>
              <w:spacing w:before="138" w:line="229" w:lineRule="auto"/>
              <w:ind w:left="570"/>
            </w:pPr>
            <w:r>
              <w:rPr>
                <w:spacing w:val="2"/>
              </w:rPr>
              <w:t>辽宁</w:t>
            </w:r>
          </w:p>
        </w:tc>
        <w:tc>
          <w:tcPr>
            <w:tcW w:w="2196" w:type="dxa"/>
            <w:vAlign w:val="top"/>
          </w:tcPr>
          <w:p w14:paraId="72A1A258">
            <w:pPr>
              <w:pStyle w:val="6"/>
              <w:spacing w:before="138" w:line="228" w:lineRule="auto"/>
              <w:ind w:left="893"/>
            </w:pPr>
            <w:r>
              <w:rPr>
                <w:spacing w:val="4"/>
              </w:rPr>
              <w:t>袋装</w:t>
            </w:r>
          </w:p>
        </w:tc>
      </w:tr>
      <w:tr w14:paraId="5B3C0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72463DE2">
            <w:pPr>
              <w:pStyle w:val="6"/>
              <w:spacing w:before="137" w:line="268" w:lineRule="exact"/>
              <w:ind w:left="439"/>
            </w:pPr>
            <w:r>
              <w:rPr>
                <w:position w:val="1"/>
              </w:rPr>
              <w:t>7</w:t>
            </w:r>
          </w:p>
        </w:tc>
        <w:tc>
          <w:tcPr>
            <w:tcW w:w="1374" w:type="dxa"/>
            <w:vAlign w:val="top"/>
          </w:tcPr>
          <w:p w14:paraId="1F31712F">
            <w:pPr>
              <w:pStyle w:val="6"/>
              <w:spacing w:before="137" w:line="229" w:lineRule="auto"/>
              <w:ind w:left="272"/>
            </w:pPr>
            <w:r>
              <w:rPr>
                <w:spacing w:val="6"/>
              </w:rPr>
              <w:t>亚硫酸钠</w:t>
            </w:r>
          </w:p>
        </w:tc>
        <w:tc>
          <w:tcPr>
            <w:tcW w:w="684" w:type="dxa"/>
            <w:vAlign w:val="top"/>
          </w:tcPr>
          <w:p w14:paraId="0FA40BFA">
            <w:pPr>
              <w:pStyle w:val="6"/>
              <w:spacing w:before="57" w:line="233" w:lineRule="auto"/>
              <w:ind w:left="192"/>
            </w:pPr>
            <w:r>
              <w:t>t/a</w:t>
            </w:r>
          </w:p>
        </w:tc>
        <w:tc>
          <w:tcPr>
            <w:tcW w:w="1369" w:type="dxa"/>
            <w:vAlign w:val="top"/>
          </w:tcPr>
          <w:p w14:paraId="28E43E7C">
            <w:pPr>
              <w:pStyle w:val="6"/>
              <w:spacing w:before="137" w:line="268" w:lineRule="exact"/>
              <w:ind w:left="379"/>
            </w:pPr>
            <w:r>
              <w:rPr>
                <w:spacing w:val="2"/>
                <w:position w:val="1"/>
              </w:rPr>
              <w:t>525.00</w:t>
            </w:r>
          </w:p>
        </w:tc>
        <w:tc>
          <w:tcPr>
            <w:tcW w:w="1542" w:type="dxa"/>
            <w:vAlign w:val="top"/>
          </w:tcPr>
          <w:p w14:paraId="721A076D">
            <w:pPr>
              <w:pStyle w:val="6"/>
              <w:spacing w:before="137" w:line="229" w:lineRule="auto"/>
              <w:ind w:left="570"/>
            </w:pPr>
            <w:r>
              <w:rPr>
                <w:spacing w:val="2"/>
              </w:rPr>
              <w:t>辽宁</w:t>
            </w:r>
          </w:p>
        </w:tc>
        <w:tc>
          <w:tcPr>
            <w:tcW w:w="2196" w:type="dxa"/>
            <w:vAlign w:val="top"/>
          </w:tcPr>
          <w:p w14:paraId="6D90A2E1">
            <w:pPr>
              <w:pStyle w:val="6"/>
              <w:spacing w:before="137" w:line="228" w:lineRule="auto"/>
              <w:ind w:left="893"/>
            </w:pPr>
            <w:r>
              <w:rPr>
                <w:spacing w:val="4"/>
              </w:rPr>
              <w:t>袋装</w:t>
            </w:r>
          </w:p>
        </w:tc>
      </w:tr>
      <w:tr w14:paraId="4D934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66" w:type="dxa"/>
            <w:vAlign w:val="top"/>
          </w:tcPr>
          <w:p w14:paraId="547DFDA1">
            <w:pPr>
              <w:pStyle w:val="6"/>
              <w:spacing w:before="136" w:line="269" w:lineRule="exact"/>
              <w:ind w:left="435"/>
            </w:pPr>
            <w:r>
              <w:rPr>
                <w:position w:val="1"/>
              </w:rPr>
              <w:t>8</w:t>
            </w:r>
          </w:p>
        </w:tc>
        <w:tc>
          <w:tcPr>
            <w:tcW w:w="1374" w:type="dxa"/>
            <w:vAlign w:val="top"/>
          </w:tcPr>
          <w:p w14:paraId="64B2693C">
            <w:pPr>
              <w:pStyle w:val="6"/>
              <w:spacing w:before="137" w:line="228" w:lineRule="auto"/>
              <w:ind w:left="273"/>
            </w:pPr>
            <w:r>
              <w:rPr>
                <w:spacing w:val="6"/>
              </w:rPr>
              <w:t>丁胺黑药</w:t>
            </w:r>
          </w:p>
        </w:tc>
        <w:tc>
          <w:tcPr>
            <w:tcW w:w="684" w:type="dxa"/>
            <w:vAlign w:val="top"/>
          </w:tcPr>
          <w:p w14:paraId="2071E956">
            <w:pPr>
              <w:pStyle w:val="6"/>
              <w:spacing w:before="57" w:line="233" w:lineRule="auto"/>
              <w:ind w:left="192"/>
            </w:pPr>
            <w:r>
              <w:t>t/a</w:t>
            </w:r>
          </w:p>
        </w:tc>
        <w:tc>
          <w:tcPr>
            <w:tcW w:w="1369" w:type="dxa"/>
            <w:vAlign w:val="top"/>
          </w:tcPr>
          <w:p w14:paraId="5D7E48A7">
            <w:pPr>
              <w:pStyle w:val="6"/>
              <w:spacing w:before="136" w:line="269" w:lineRule="exact"/>
              <w:ind w:left="637"/>
            </w:pPr>
            <w:r>
              <w:rPr>
                <w:position w:val="1"/>
              </w:rPr>
              <w:t>9</w:t>
            </w:r>
          </w:p>
        </w:tc>
        <w:tc>
          <w:tcPr>
            <w:tcW w:w="1542" w:type="dxa"/>
            <w:vAlign w:val="top"/>
          </w:tcPr>
          <w:p w14:paraId="0105F53D">
            <w:pPr>
              <w:pStyle w:val="6"/>
              <w:spacing w:before="139" w:line="229" w:lineRule="auto"/>
              <w:ind w:left="570"/>
            </w:pPr>
            <w:r>
              <w:rPr>
                <w:spacing w:val="2"/>
              </w:rPr>
              <w:t>辽宁</w:t>
            </w:r>
          </w:p>
        </w:tc>
        <w:tc>
          <w:tcPr>
            <w:tcW w:w="2196" w:type="dxa"/>
            <w:vAlign w:val="top"/>
          </w:tcPr>
          <w:p w14:paraId="509BF448">
            <w:pPr>
              <w:pStyle w:val="6"/>
              <w:spacing w:before="139" w:line="228" w:lineRule="auto"/>
              <w:ind w:left="893"/>
            </w:pPr>
            <w:r>
              <w:rPr>
                <w:spacing w:val="4"/>
              </w:rPr>
              <w:t>袋装</w:t>
            </w:r>
          </w:p>
        </w:tc>
      </w:tr>
      <w:tr w14:paraId="1868A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66" w:type="dxa"/>
            <w:vAlign w:val="top"/>
          </w:tcPr>
          <w:p w14:paraId="7728C5AC">
            <w:pPr>
              <w:pStyle w:val="6"/>
              <w:spacing w:before="138" w:line="268" w:lineRule="exact"/>
              <w:ind w:left="435"/>
            </w:pPr>
            <w:r>
              <w:rPr>
                <w:position w:val="1"/>
              </w:rPr>
              <w:t>9</w:t>
            </w:r>
          </w:p>
        </w:tc>
        <w:tc>
          <w:tcPr>
            <w:tcW w:w="1374" w:type="dxa"/>
            <w:vAlign w:val="top"/>
          </w:tcPr>
          <w:p w14:paraId="7DA8FD08">
            <w:pPr>
              <w:pStyle w:val="6"/>
              <w:spacing w:before="138" w:line="227" w:lineRule="auto"/>
              <w:ind w:left="396"/>
            </w:pPr>
            <w:r>
              <w:t>乙硫氮</w:t>
            </w:r>
          </w:p>
        </w:tc>
        <w:tc>
          <w:tcPr>
            <w:tcW w:w="684" w:type="dxa"/>
            <w:vAlign w:val="top"/>
          </w:tcPr>
          <w:p w14:paraId="7B60C2B5">
            <w:pPr>
              <w:pStyle w:val="6"/>
              <w:spacing w:before="58" w:line="233" w:lineRule="auto"/>
              <w:ind w:left="192"/>
            </w:pPr>
            <w:r>
              <w:t>t/a</w:t>
            </w:r>
          </w:p>
        </w:tc>
        <w:tc>
          <w:tcPr>
            <w:tcW w:w="1369" w:type="dxa"/>
            <w:vAlign w:val="top"/>
          </w:tcPr>
          <w:p w14:paraId="241B2377">
            <w:pPr>
              <w:pStyle w:val="6"/>
              <w:spacing w:before="138" w:line="268" w:lineRule="exact"/>
              <w:ind w:left="599"/>
            </w:pPr>
            <w:r>
              <w:rPr>
                <w:spacing w:val="-7"/>
                <w:position w:val="1"/>
              </w:rPr>
              <w:t>15</w:t>
            </w:r>
          </w:p>
        </w:tc>
        <w:tc>
          <w:tcPr>
            <w:tcW w:w="1542" w:type="dxa"/>
            <w:vAlign w:val="top"/>
          </w:tcPr>
          <w:p w14:paraId="6E14BD1E">
            <w:pPr>
              <w:pStyle w:val="6"/>
              <w:spacing w:before="138" w:line="229" w:lineRule="auto"/>
              <w:ind w:left="570"/>
            </w:pPr>
            <w:r>
              <w:rPr>
                <w:spacing w:val="2"/>
              </w:rPr>
              <w:t>辽宁</w:t>
            </w:r>
          </w:p>
        </w:tc>
        <w:tc>
          <w:tcPr>
            <w:tcW w:w="2196" w:type="dxa"/>
            <w:vAlign w:val="top"/>
          </w:tcPr>
          <w:p w14:paraId="7B793198">
            <w:pPr>
              <w:pStyle w:val="6"/>
              <w:spacing w:before="138" w:line="228" w:lineRule="auto"/>
              <w:ind w:left="893"/>
            </w:pPr>
            <w:r>
              <w:rPr>
                <w:spacing w:val="4"/>
              </w:rPr>
              <w:t>袋装</w:t>
            </w:r>
          </w:p>
        </w:tc>
      </w:tr>
    </w:tbl>
    <w:p w14:paraId="77C9D12E">
      <w:pPr>
        <w:spacing w:before="121" w:line="219" w:lineRule="auto"/>
        <w:ind w:left="498"/>
        <w:outlineLvl w:val="2"/>
        <w:rPr>
          <w:rFonts w:ascii="宋体" w:hAnsi="宋体" w:eastAsia="宋体" w:cs="宋体"/>
          <w:sz w:val="24"/>
          <w:szCs w:val="24"/>
        </w:rPr>
      </w:pPr>
      <w:bookmarkStart w:id="46" w:name="bookmark42"/>
      <w:bookmarkEnd w:id="46"/>
      <w:r>
        <w:rPr>
          <w:rFonts w:ascii="Times New Roman" w:hAnsi="Times New Roman" w:eastAsia="Times New Roman" w:cs="Times New Roman"/>
          <w:b/>
          <w:bCs/>
          <w:spacing w:val="-2"/>
          <w:sz w:val="24"/>
          <w:szCs w:val="24"/>
        </w:rPr>
        <w:t xml:space="preserve">3.2.3 </w:t>
      </w:r>
      <w:r>
        <w:rPr>
          <w:rFonts w:ascii="宋体" w:hAnsi="宋体" w:eastAsia="宋体" w:cs="宋体"/>
          <w:b/>
          <w:bCs/>
          <w:spacing w:val="-2"/>
          <w:sz w:val="24"/>
          <w:szCs w:val="24"/>
        </w:rPr>
        <w:t>主要生产设备</w:t>
      </w:r>
    </w:p>
    <w:p w14:paraId="5BF08749">
      <w:pPr>
        <w:spacing w:before="108" w:line="359" w:lineRule="auto"/>
        <w:ind w:left="25" w:right="164" w:firstLine="511"/>
        <w:rPr>
          <w:rFonts w:ascii="宋体" w:hAnsi="宋体" w:eastAsia="宋体" w:cs="宋体"/>
          <w:sz w:val="24"/>
          <w:szCs w:val="24"/>
        </w:rPr>
      </w:pPr>
      <w:r>
        <w:rPr>
          <w:rFonts w:ascii="宋体" w:hAnsi="宋体" w:eastAsia="宋体" w:cs="宋体"/>
          <w:spacing w:val="-3"/>
          <w:sz w:val="24"/>
          <w:szCs w:val="24"/>
        </w:rPr>
        <w:t>与本项目有关的现有工程为</w:t>
      </w:r>
      <w:r>
        <w:rPr>
          <w:rFonts w:ascii="宋体" w:hAnsi="宋体" w:eastAsia="宋体" w:cs="宋体"/>
          <w:spacing w:val="-20"/>
          <w:sz w:val="24"/>
          <w:szCs w:val="24"/>
        </w:rPr>
        <w:t xml:space="preserve"> </w:t>
      </w:r>
      <w:r>
        <w:rPr>
          <w:rFonts w:ascii="宋体" w:hAnsi="宋体" w:eastAsia="宋体" w:cs="宋体"/>
          <w:spacing w:val="-3"/>
          <w:sz w:val="24"/>
          <w:szCs w:val="24"/>
        </w:rPr>
        <w:t>1400t/d</w:t>
      </w:r>
      <w:r>
        <w:rPr>
          <w:rFonts w:ascii="宋体" w:hAnsi="宋体" w:eastAsia="宋体" w:cs="宋体"/>
          <w:spacing w:val="-51"/>
          <w:sz w:val="24"/>
          <w:szCs w:val="24"/>
        </w:rPr>
        <w:t xml:space="preserve"> </w:t>
      </w:r>
      <w:r>
        <w:rPr>
          <w:rFonts w:ascii="宋体" w:hAnsi="宋体" w:eastAsia="宋体" w:cs="宋体"/>
          <w:spacing w:val="-3"/>
          <w:sz w:val="24"/>
          <w:szCs w:val="24"/>
        </w:rPr>
        <w:t>选矿工程和</w:t>
      </w:r>
      <w:r>
        <w:rPr>
          <w:rFonts w:ascii="宋体" w:hAnsi="宋体" w:eastAsia="宋体" w:cs="宋体"/>
          <w:spacing w:val="-48"/>
          <w:sz w:val="24"/>
          <w:szCs w:val="24"/>
        </w:rPr>
        <w:t xml:space="preserve"> </w:t>
      </w:r>
      <w:r>
        <w:rPr>
          <w:rFonts w:ascii="宋体" w:hAnsi="宋体" w:eastAsia="宋体" w:cs="宋体"/>
          <w:spacing w:val="-3"/>
          <w:sz w:val="24"/>
          <w:szCs w:val="24"/>
        </w:rPr>
        <w:t>2000t/d</w:t>
      </w:r>
      <w:r>
        <w:rPr>
          <w:rFonts w:ascii="宋体" w:hAnsi="宋体" w:eastAsia="宋体" w:cs="宋体"/>
          <w:spacing w:val="-51"/>
          <w:sz w:val="24"/>
          <w:szCs w:val="24"/>
        </w:rPr>
        <w:t xml:space="preserve"> </w:t>
      </w:r>
      <w:r>
        <w:rPr>
          <w:rFonts w:ascii="宋体" w:hAnsi="宋体" w:eastAsia="宋体" w:cs="宋体"/>
          <w:spacing w:val="-3"/>
          <w:sz w:val="24"/>
          <w:szCs w:val="24"/>
        </w:rPr>
        <w:t>选矿工程，主要</w:t>
      </w:r>
      <w:r>
        <w:rPr>
          <w:rFonts w:ascii="宋体" w:hAnsi="宋体" w:eastAsia="宋体" w:cs="宋体"/>
          <w:sz w:val="24"/>
          <w:szCs w:val="24"/>
        </w:rPr>
        <w:t xml:space="preserve"> </w:t>
      </w:r>
      <w:r>
        <w:rPr>
          <w:rFonts w:ascii="宋体" w:hAnsi="宋体" w:eastAsia="宋体" w:cs="宋体"/>
          <w:spacing w:val="-2"/>
          <w:sz w:val="24"/>
          <w:szCs w:val="24"/>
        </w:rPr>
        <w:t>生产设备见表</w:t>
      </w:r>
      <w:r>
        <w:rPr>
          <w:rFonts w:ascii="宋体" w:hAnsi="宋体" w:eastAsia="宋体" w:cs="宋体"/>
          <w:spacing w:val="-37"/>
          <w:sz w:val="24"/>
          <w:szCs w:val="24"/>
        </w:rPr>
        <w:t xml:space="preserve"> </w:t>
      </w:r>
      <w:r>
        <w:rPr>
          <w:rFonts w:ascii="宋体" w:hAnsi="宋体" w:eastAsia="宋体" w:cs="宋体"/>
          <w:spacing w:val="-2"/>
          <w:sz w:val="24"/>
          <w:szCs w:val="24"/>
        </w:rPr>
        <w:t>3.2-6、3.2-7。</w:t>
      </w:r>
    </w:p>
    <w:p w14:paraId="42D66863">
      <w:pPr>
        <w:spacing w:line="219" w:lineRule="auto"/>
        <w:ind w:left="189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3.2-6    1400t/d</w:t>
      </w:r>
      <w:r>
        <w:rPr>
          <w:rFonts w:ascii="宋体" w:hAnsi="宋体" w:eastAsia="宋体" w:cs="宋体"/>
          <w:spacing w:val="-52"/>
          <w:sz w:val="24"/>
          <w:szCs w:val="24"/>
        </w:rPr>
        <w:t xml:space="preserve"> </w:t>
      </w:r>
      <w:r>
        <w:rPr>
          <w:rFonts w:ascii="宋体" w:hAnsi="宋体" w:eastAsia="宋体" w:cs="宋体"/>
          <w:spacing w:val="-1"/>
          <w:sz w:val="24"/>
          <w:szCs w:val="24"/>
        </w:rPr>
        <w:t>选矿工程主要生</w:t>
      </w:r>
      <w:r>
        <w:rPr>
          <w:rFonts w:ascii="宋体" w:hAnsi="宋体" w:eastAsia="宋体" w:cs="宋体"/>
          <w:spacing w:val="-2"/>
          <w:sz w:val="24"/>
          <w:szCs w:val="24"/>
        </w:rPr>
        <w:t>产设备表</w:t>
      </w:r>
    </w:p>
    <w:p w14:paraId="7422CBBC">
      <w:pPr>
        <w:spacing w:line="147" w:lineRule="exact"/>
      </w:pPr>
    </w:p>
    <w:tbl>
      <w:tblPr>
        <w:tblStyle w:val="5"/>
        <w:tblW w:w="83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2490"/>
        <w:gridCol w:w="3804"/>
        <w:gridCol w:w="708"/>
        <w:gridCol w:w="691"/>
      </w:tblGrid>
      <w:tr w14:paraId="0B774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640" w:type="dxa"/>
            <w:vAlign w:val="top"/>
          </w:tcPr>
          <w:p w14:paraId="0FC30769">
            <w:pPr>
              <w:pStyle w:val="6"/>
              <w:spacing w:before="91" w:line="229" w:lineRule="auto"/>
              <w:ind w:left="115"/>
            </w:pPr>
            <w:r>
              <w:rPr>
                <w:spacing w:val="5"/>
              </w:rPr>
              <w:t>序号</w:t>
            </w:r>
          </w:p>
        </w:tc>
        <w:tc>
          <w:tcPr>
            <w:tcW w:w="2490" w:type="dxa"/>
            <w:vAlign w:val="top"/>
          </w:tcPr>
          <w:p w14:paraId="272F9377">
            <w:pPr>
              <w:pStyle w:val="6"/>
              <w:spacing w:before="91" w:line="229" w:lineRule="auto"/>
              <w:ind w:left="832"/>
            </w:pPr>
            <w:r>
              <w:rPr>
                <w:spacing w:val="6"/>
              </w:rPr>
              <w:t>设备名称</w:t>
            </w:r>
          </w:p>
        </w:tc>
        <w:tc>
          <w:tcPr>
            <w:tcW w:w="3804" w:type="dxa"/>
            <w:vAlign w:val="top"/>
          </w:tcPr>
          <w:p w14:paraId="0D26238E">
            <w:pPr>
              <w:pStyle w:val="6"/>
              <w:spacing w:before="91" w:line="228" w:lineRule="auto"/>
              <w:ind w:left="969"/>
            </w:pPr>
            <w:r>
              <w:rPr>
                <w:spacing w:val="8"/>
              </w:rPr>
              <w:t>型号规格及技术性能</w:t>
            </w:r>
          </w:p>
        </w:tc>
        <w:tc>
          <w:tcPr>
            <w:tcW w:w="708" w:type="dxa"/>
            <w:vAlign w:val="top"/>
          </w:tcPr>
          <w:p w14:paraId="2619C917">
            <w:pPr>
              <w:pStyle w:val="6"/>
              <w:spacing w:before="92" w:line="228" w:lineRule="auto"/>
              <w:ind w:left="153"/>
            </w:pPr>
            <w:r>
              <w:rPr>
                <w:spacing w:val="3"/>
              </w:rPr>
              <w:t>单位</w:t>
            </w:r>
          </w:p>
        </w:tc>
        <w:tc>
          <w:tcPr>
            <w:tcW w:w="691" w:type="dxa"/>
            <w:vAlign w:val="top"/>
          </w:tcPr>
          <w:p w14:paraId="145B9F4A">
            <w:pPr>
              <w:pStyle w:val="6"/>
              <w:spacing w:before="91" w:line="228" w:lineRule="auto"/>
              <w:ind w:left="143"/>
            </w:pPr>
            <w:r>
              <w:rPr>
                <w:spacing w:val="3"/>
              </w:rPr>
              <w:t>数量</w:t>
            </w:r>
          </w:p>
        </w:tc>
      </w:tr>
      <w:tr w14:paraId="6F329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2B51625">
            <w:pPr>
              <w:pStyle w:val="6"/>
              <w:spacing w:before="134" w:line="156" w:lineRule="exact"/>
              <w:ind w:left="224"/>
            </w:pPr>
            <w:r>
              <w:rPr>
                <w:position w:val="-4"/>
              </w:rPr>
              <w:t>一</w:t>
            </w:r>
          </w:p>
        </w:tc>
        <w:tc>
          <w:tcPr>
            <w:tcW w:w="7693" w:type="dxa"/>
            <w:gridSpan w:val="4"/>
            <w:vAlign w:val="top"/>
          </w:tcPr>
          <w:p w14:paraId="2D0C8B3F">
            <w:pPr>
              <w:pStyle w:val="6"/>
              <w:spacing w:before="56" w:line="228" w:lineRule="auto"/>
              <w:ind w:left="37"/>
            </w:pPr>
            <w:r>
              <w:rPr>
                <w:spacing w:val="8"/>
              </w:rPr>
              <w:t>原矿仓、粗碎车间</w:t>
            </w:r>
          </w:p>
        </w:tc>
      </w:tr>
      <w:tr w14:paraId="748B0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521BC93">
            <w:pPr>
              <w:pStyle w:val="6"/>
              <w:spacing w:before="56" w:line="238" w:lineRule="auto"/>
              <w:ind w:left="287"/>
            </w:pPr>
            <w:r>
              <w:t>1</w:t>
            </w:r>
          </w:p>
        </w:tc>
        <w:tc>
          <w:tcPr>
            <w:tcW w:w="2490" w:type="dxa"/>
            <w:vAlign w:val="top"/>
          </w:tcPr>
          <w:p w14:paraId="1BFB173A">
            <w:pPr>
              <w:pStyle w:val="6"/>
              <w:spacing w:before="56" w:line="227" w:lineRule="auto"/>
              <w:ind w:left="33"/>
            </w:pPr>
            <w:r>
              <w:rPr>
                <w:spacing w:val="8"/>
              </w:rPr>
              <w:t>重型板式给料机</w:t>
            </w:r>
          </w:p>
        </w:tc>
        <w:tc>
          <w:tcPr>
            <w:tcW w:w="3804" w:type="dxa"/>
            <w:vAlign w:val="top"/>
          </w:tcPr>
          <w:p w14:paraId="29DC7B2F">
            <w:pPr>
              <w:pStyle w:val="6"/>
              <w:spacing w:before="56" w:line="238" w:lineRule="auto"/>
              <w:ind w:left="1225"/>
            </w:pPr>
            <w:r>
              <w:t>ZBD</w:t>
            </w:r>
            <w:r>
              <w:rPr>
                <w:spacing w:val="6"/>
              </w:rPr>
              <w:t>1400×6000</w:t>
            </w:r>
          </w:p>
        </w:tc>
        <w:tc>
          <w:tcPr>
            <w:tcW w:w="708" w:type="dxa"/>
            <w:vAlign w:val="top"/>
          </w:tcPr>
          <w:p w14:paraId="4DC7DA6E">
            <w:pPr>
              <w:pStyle w:val="6"/>
              <w:spacing w:before="56" w:line="230" w:lineRule="auto"/>
              <w:ind w:left="273"/>
            </w:pPr>
            <w:r>
              <w:t>台</w:t>
            </w:r>
          </w:p>
        </w:tc>
        <w:tc>
          <w:tcPr>
            <w:tcW w:w="691" w:type="dxa"/>
            <w:vAlign w:val="top"/>
          </w:tcPr>
          <w:p w14:paraId="3BD68BD2">
            <w:pPr>
              <w:pStyle w:val="6"/>
              <w:spacing w:before="56" w:line="238" w:lineRule="auto"/>
              <w:ind w:left="313"/>
            </w:pPr>
            <w:r>
              <w:t>1</w:t>
            </w:r>
          </w:p>
        </w:tc>
      </w:tr>
      <w:tr w14:paraId="228D9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039B9EA">
            <w:pPr>
              <w:pStyle w:val="6"/>
              <w:spacing w:before="56" w:line="238" w:lineRule="auto"/>
              <w:ind w:left="274"/>
            </w:pPr>
            <w:r>
              <w:t>2</w:t>
            </w:r>
          </w:p>
        </w:tc>
        <w:tc>
          <w:tcPr>
            <w:tcW w:w="2490" w:type="dxa"/>
            <w:vAlign w:val="top"/>
          </w:tcPr>
          <w:p w14:paraId="2611972E">
            <w:pPr>
              <w:pStyle w:val="6"/>
              <w:spacing w:before="55" w:line="227" w:lineRule="auto"/>
              <w:ind w:left="33"/>
            </w:pPr>
            <w:r>
              <w:rPr>
                <w:spacing w:val="7"/>
              </w:rPr>
              <w:t>颚式破碎机</w:t>
            </w:r>
          </w:p>
        </w:tc>
        <w:tc>
          <w:tcPr>
            <w:tcW w:w="3804" w:type="dxa"/>
            <w:vAlign w:val="top"/>
          </w:tcPr>
          <w:p w14:paraId="24143BB3">
            <w:pPr>
              <w:pStyle w:val="6"/>
              <w:spacing w:before="56" w:line="238" w:lineRule="auto"/>
              <w:ind w:left="1697"/>
            </w:pPr>
            <w:r>
              <w:rPr>
                <w:spacing w:val="3"/>
              </w:rPr>
              <w:t>C100</w:t>
            </w:r>
          </w:p>
        </w:tc>
        <w:tc>
          <w:tcPr>
            <w:tcW w:w="708" w:type="dxa"/>
            <w:vAlign w:val="top"/>
          </w:tcPr>
          <w:p w14:paraId="026B0BD4">
            <w:pPr>
              <w:pStyle w:val="6"/>
              <w:spacing w:before="55" w:line="230" w:lineRule="auto"/>
              <w:ind w:left="273"/>
            </w:pPr>
            <w:r>
              <w:t>台</w:t>
            </w:r>
          </w:p>
        </w:tc>
        <w:tc>
          <w:tcPr>
            <w:tcW w:w="691" w:type="dxa"/>
            <w:vAlign w:val="top"/>
          </w:tcPr>
          <w:p w14:paraId="78B5F9FF">
            <w:pPr>
              <w:pStyle w:val="6"/>
              <w:spacing w:before="56" w:line="238" w:lineRule="auto"/>
              <w:ind w:left="313"/>
            </w:pPr>
            <w:r>
              <w:t>1</w:t>
            </w:r>
          </w:p>
        </w:tc>
      </w:tr>
      <w:tr w14:paraId="2C66B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7E6C2DD">
            <w:pPr>
              <w:pStyle w:val="6"/>
              <w:spacing w:before="95" w:line="183" w:lineRule="auto"/>
              <w:ind w:left="224"/>
            </w:pPr>
            <w:r>
              <w:t>二</w:t>
            </w:r>
          </w:p>
        </w:tc>
        <w:tc>
          <w:tcPr>
            <w:tcW w:w="7693" w:type="dxa"/>
            <w:gridSpan w:val="4"/>
            <w:vAlign w:val="top"/>
          </w:tcPr>
          <w:p w14:paraId="7EFE8337">
            <w:pPr>
              <w:pStyle w:val="6"/>
              <w:spacing w:before="55" w:line="228" w:lineRule="auto"/>
              <w:ind w:left="36"/>
            </w:pPr>
            <w:r>
              <w:rPr>
                <w:spacing w:val="9"/>
              </w:rPr>
              <w:t>皮带通廊、中间堆场及转运站</w:t>
            </w:r>
          </w:p>
        </w:tc>
      </w:tr>
      <w:tr w14:paraId="5A751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623512DF">
            <w:pPr>
              <w:pStyle w:val="6"/>
              <w:spacing w:before="56" w:line="238" w:lineRule="auto"/>
              <w:ind w:left="287"/>
            </w:pPr>
            <w:r>
              <w:t>1</w:t>
            </w:r>
          </w:p>
        </w:tc>
        <w:tc>
          <w:tcPr>
            <w:tcW w:w="2490" w:type="dxa"/>
            <w:vAlign w:val="top"/>
          </w:tcPr>
          <w:p w14:paraId="5109F2A4">
            <w:pPr>
              <w:pStyle w:val="6"/>
              <w:spacing w:before="55" w:line="227" w:lineRule="auto"/>
              <w:ind w:left="33"/>
            </w:pPr>
            <w:r>
              <w:rPr>
                <w:spacing w:val="8"/>
              </w:rPr>
              <w:t>重型板式给料机</w:t>
            </w:r>
          </w:p>
        </w:tc>
        <w:tc>
          <w:tcPr>
            <w:tcW w:w="3804" w:type="dxa"/>
            <w:vAlign w:val="top"/>
          </w:tcPr>
          <w:p w14:paraId="03013B25">
            <w:pPr>
              <w:pStyle w:val="6"/>
              <w:spacing w:before="56" w:line="238" w:lineRule="auto"/>
              <w:ind w:left="31"/>
            </w:pPr>
            <w:r>
              <w:t>GBZ</w:t>
            </w:r>
            <w:r>
              <w:rPr>
                <w:spacing w:val="6"/>
              </w:rPr>
              <w:t>1200×4500</w:t>
            </w:r>
          </w:p>
        </w:tc>
        <w:tc>
          <w:tcPr>
            <w:tcW w:w="708" w:type="dxa"/>
            <w:vAlign w:val="top"/>
          </w:tcPr>
          <w:p w14:paraId="77761AB6">
            <w:pPr>
              <w:pStyle w:val="6"/>
              <w:spacing w:before="55" w:line="230" w:lineRule="auto"/>
              <w:ind w:left="273"/>
            </w:pPr>
            <w:r>
              <w:t>台</w:t>
            </w:r>
          </w:p>
        </w:tc>
        <w:tc>
          <w:tcPr>
            <w:tcW w:w="691" w:type="dxa"/>
            <w:vAlign w:val="top"/>
          </w:tcPr>
          <w:p w14:paraId="6C8C982A">
            <w:pPr>
              <w:pStyle w:val="6"/>
              <w:spacing w:before="56" w:line="238" w:lineRule="auto"/>
              <w:ind w:left="297"/>
            </w:pPr>
            <w:r>
              <w:t>4</w:t>
            </w:r>
          </w:p>
        </w:tc>
      </w:tr>
      <w:tr w14:paraId="0BBF4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3826B7B5">
            <w:pPr>
              <w:pStyle w:val="6"/>
              <w:spacing w:before="55" w:line="238" w:lineRule="auto"/>
              <w:ind w:left="274"/>
            </w:pPr>
            <w:r>
              <w:t>2</w:t>
            </w:r>
          </w:p>
        </w:tc>
        <w:tc>
          <w:tcPr>
            <w:tcW w:w="2490" w:type="dxa"/>
            <w:vAlign w:val="top"/>
          </w:tcPr>
          <w:p w14:paraId="7D7441CB">
            <w:pPr>
              <w:pStyle w:val="6"/>
              <w:spacing w:before="55" w:line="227" w:lineRule="auto"/>
              <w:ind w:left="38"/>
            </w:pPr>
            <w:r>
              <w:rPr>
                <w:spacing w:val="4"/>
              </w:rPr>
              <w:t>№1</w:t>
            </w:r>
            <w:r>
              <w:rPr>
                <w:spacing w:val="-27"/>
              </w:rPr>
              <w:t xml:space="preserve"> </w:t>
            </w:r>
            <w:r>
              <w:rPr>
                <w:spacing w:val="4"/>
              </w:rPr>
              <w:t>带式输送机</w:t>
            </w:r>
          </w:p>
        </w:tc>
        <w:tc>
          <w:tcPr>
            <w:tcW w:w="3804" w:type="dxa"/>
            <w:vAlign w:val="top"/>
          </w:tcPr>
          <w:p w14:paraId="0EE4875E">
            <w:pPr>
              <w:pStyle w:val="6"/>
              <w:spacing w:before="55" w:line="233" w:lineRule="auto"/>
              <w:ind w:left="49"/>
            </w:pPr>
            <w:r>
              <w:rPr>
                <w:spacing w:val="4"/>
              </w:rPr>
              <w:t>10080，a=12</w:t>
            </w:r>
            <w:r>
              <w:rPr>
                <w:spacing w:val="-75"/>
              </w:rPr>
              <w:t xml:space="preserve"> </w:t>
            </w:r>
            <w:r>
              <w:rPr>
                <w:spacing w:val="4"/>
              </w:rPr>
              <w:t>°v=1.6m/</w:t>
            </w:r>
            <w:r>
              <w:t>s</w:t>
            </w:r>
            <w:r>
              <w:rPr>
                <w:spacing w:val="4"/>
              </w:rPr>
              <w:t xml:space="preserve"> </w:t>
            </w:r>
            <w:r>
              <w:t>Lh</w:t>
            </w:r>
            <w:r>
              <w:rPr>
                <w:spacing w:val="4"/>
              </w:rPr>
              <w:t>=11</w:t>
            </w:r>
            <w:r>
              <w:rPr>
                <w:spacing w:val="3"/>
              </w:rPr>
              <w:t>0m</w:t>
            </w:r>
          </w:p>
        </w:tc>
        <w:tc>
          <w:tcPr>
            <w:tcW w:w="708" w:type="dxa"/>
            <w:vAlign w:val="top"/>
          </w:tcPr>
          <w:p w14:paraId="3DC69ACD">
            <w:pPr>
              <w:pStyle w:val="6"/>
              <w:spacing w:before="55" w:line="230" w:lineRule="auto"/>
              <w:ind w:left="273"/>
            </w:pPr>
            <w:r>
              <w:t>台</w:t>
            </w:r>
          </w:p>
        </w:tc>
        <w:tc>
          <w:tcPr>
            <w:tcW w:w="691" w:type="dxa"/>
            <w:vAlign w:val="top"/>
          </w:tcPr>
          <w:p w14:paraId="0D80D55D">
            <w:pPr>
              <w:pStyle w:val="6"/>
              <w:spacing w:before="55" w:line="238" w:lineRule="auto"/>
              <w:ind w:left="313"/>
            </w:pPr>
            <w:r>
              <w:t>1</w:t>
            </w:r>
          </w:p>
        </w:tc>
      </w:tr>
      <w:tr w14:paraId="2C940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4BDAE83">
            <w:pPr>
              <w:pStyle w:val="6"/>
              <w:spacing w:before="56" w:line="238" w:lineRule="auto"/>
              <w:ind w:left="276"/>
            </w:pPr>
            <w:r>
              <w:t>3</w:t>
            </w:r>
          </w:p>
        </w:tc>
        <w:tc>
          <w:tcPr>
            <w:tcW w:w="2490" w:type="dxa"/>
            <w:vAlign w:val="top"/>
          </w:tcPr>
          <w:p w14:paraId="67D09967">
            <w:pPr>
              <w:pStyle w:val="6"/>
              <w:spacing w:before="56" w:line="227" w:lineRule="auto"/>
              <w:ind w:left="38"/>
            </w:pPr>
            <w:r>
              <w:rPr>
                <w:spacing w:val="6"/>
              </w:rPr>
              <w:t>№2</w:t>
            </w:r>
            <w:r>
              <w:rPr>
                <w:spacing w:val="-33"/>
              </w:rPr>
              <w:t xml:space="preserve"> </w:t>
            </w:r>
            <w:r>
              <w:rPr>
                <w:spacing w:val="6"/>
              </w:rPr>
              <w:t>往返胶带输送机</w:t>
            </w:r>
          </w:p>
        </w:tc>
        <w:tc>
          <w:tcPr>
            <w:tcW w:w="3804" w:type="dxa"/>
            <w:vAlign w:val="top"/>
          </w:tcPr>
          <w:p w14:paraId="4B1899B2">
            <w:pPr>
              <w:pStyle w:val="6"/>
              <w:spacing w:before="55" w:line="233" w:lineRule="auto"/>
              <w:ind w:left="49"/>
            </w:pPr>
            <w:r>
              <w:rPr>
                <w:spacing w:val="4"/>
              </w:rPr>
              <w:t>10063，a=0</w:t>
            </w:r>
            <w:r>
              <w:rPr>
                <w:spacing w:val="-75"/>
              </w:rPr>
              <w:t xml:space="preserve"> </w:t>
            </w:r>
            <w:r>
              <w:rPr>
                <w:spacing w:val="4"/>
              </w:rPr>
              <w:t>°v=1.25m/</w:t>
            </w:r>
            <w:r>
              <w:t>s</w:t>
            </w:r>
            <w:r>
              <w:rPr>
                <w:spacing w:val="4"/>
              </w:rPr>
              <w:t xml:space="preserve">  </w:t>
            </w:r>
            <w:r>
              <w:t>Lh</w:t>
            </w:r>
            <w:r>
              <w:rPr>
                <w:spacing w:val="4"/>
              </w:rPr>
              <w:t>=2</w:t>
            </w:r>
            <w:r>
              <w:rPr>
                <w:spacing w:val="3"/>
              </w:rPr>
              <w:t>0m</w:t>
            </w:r>
          </w:p>
        </w:tc>
        <w:tc>
          <w:tcPr>
            <w:tcW w:w="708" w:type="dxa"/>
            <w:vAlign w:val="top"/>
          </w:tcPr>
          <w:p w14:paraId="38D28E60">
            <w:pPr>
              <w:pStyle w:val="6"/>
              <w:spacing w:before="56" w:line="230" w:lineRule="auto"/>
              <w:ind w:left="273"/>
            </w:pPr>
            <w:r>
              <w:t>台</w:t>
            </w:r>
          </w:p>
        </w:tc>
        <w:tc>
          <w:tcPr>
            <w:tcW w:w="691" w:type="dxa"/>
            <w:vAlign w:val="top"/>
          </w:tcPr>
          <w:p w14:paraId="78F2EB77">
            <w:pPr>
              <w:pStyle w:val="6"/>
              <w:spacing w:before="56" w:line="238" w:lineRule="auto"/>
              <w:ind w:left="313"/>
            </w:pPr>
            <w:r>
              <w:t>1</w:t>
            </w:r>
          </w:p>
        </w:tc>
      </w:tr>
      <w:tr w14:paraId="43E97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762B5EDC">
            <w:pPr>
              <w:pStyle w:val="6"/>
              <w:spacing w:before="56" w:line="237" w:lineRule="auto"/>
              <w:ind w:left="221"/>
            </w:pPr>
            <w:r>
              <w:t>三</w:t>
            </w:r>
          </w:p>
        </w:tc>
        <w:tc>
          <w:tcPr>
            <w:tcW w:w="7693" w:type="dxa"/>
            <w:gridSpan w:val="4"/>
            <w:vAlign w:val="top"/>
          </w:tcPr>
          <w:p w14:paraId="5005B730">
            <w:pPr>
              <w:pStyle w:val="6"/>
              <w:spacing w:before="55" w:line="228" w:lineRule="auto"/>
              <w:ind w:left="35"/>
            </w:pPr>
            <w:r>
              <w:rPr>
                <w:spacing w:val="6"/>
              </w:rPr>
              <w:t>磨浮车间</w:t>
            </w:r>
          </w:p>
        </w:tc>
      </w:tr>
      <w:tr w14:paraId="479CE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55843BE">
            <w:pPr>
              <w:pStyle w:val="6"/>
              <w:spacing w:before="57" w:line="237" w:lineRule="auto"/>
              <w:ind w:left="287"/>
            </w:pPr>
            <w:r>
              <w:t>1</w:t>
            </w:r>
          </w:p>
        </w:tc>
        <w:tc>
          <w:tcPr>
            <w:tcW w:w="2490" w:type="dxa"/>
            <w:vAlign w:val="top"/>
          </w:tcPr>
          <w:p w14:paraId="11570064">
            <w:pPr>
              <w:pStyle w:val="6"/>
              <w:spacing w:before="56" w:line="227" w:lineRule="auto"/>
              <w:ind w:left="38"/>
            </w:pPr>
            <w:r>
              <w:rPr>
                <w:spacing w:val="5"/>
              </w:rPr>
              <w:t>№3</w:t>
            </w:r>
            <w:r>
              <w:rPr>
                <w:spacing w:val="-34"/>
              </w:rPr>
              <w:t xml:space="preserve"> </w:t>
            </w:r>
            <w:r>
              <w:rPr>
                <w:spacing w:val="5"/>
              </w:rPr>
              <w:t>胶带输送机</w:t>
            </w:r>
          </w:p>
        </w:tc>
        <w:tc>
          <w:tcPr>
            <w:tcW w:w="3804" w:type="dxa"/>
            <w:vAlign w:val="top"/>
          </w:tcPr>
          <w:p w14:paraId="7070607A">
            <w:pPr>
              <w:pStyle w:val="6"/>
              <w:spacing w:before="56" w:line="233" w:lineRule="auto"/>
              <w:ind w:left="49"/>
            </w:pPr>
            <w:r>
              <w:rPr>
                <w:spacing w:val="2"/>
              </w:rPr>
              <w:t>10080</w:t>
            </w:r>
            <w:r>
              <w:rPr>
                <w:spacing w:val="59"/>
              </w:rPr>
              <w:t xml:space="preserve"> </w:t>
            </w:r>
            <w:r>
              <w:rPr>
                <w:spacing w:val="2"/>
              </w:rPr>
              <w:t>α=12</w:t>
            </w:r>
            <w:r>
              <w:rPr>
                <w:spacing w:val="-74"/>
              </w:rPr>
              <w:t xml:space="preserve"> </w:t>
            </w:r>
            <w:r>
              <w:rPr>
                <w:spacing w:val="2"/>
              </w:rPr>
              <w:t>° V=1.25m/</w:t>
            </w:r>
            <w:r>
              <w:t>s</w:t>
            </w:r>
            <w:r>
              <w:rPr>
                <w:spacing w:val="2"/>
              </w:rPr>
              <w:t xml:space="preserve">  </w:t>
            </w:r>
            <w:r>
              <w:t>Lh</w:t>
            </w:r>
            <w:r>
              <w:rPr>
                <w:spacing w:val="2"/>
              </w:rPr>
              <w:t>=1</w:t>
            </w:r>
            <w:r>
              <w:rPr>
                <w:spacing w:val="1"/>
              </w:rPr>
              <w:t>12m</w:t>
            </w:r>
          </w:p>
        </w:tc>
        <w:tc>
          <w:tcPr>
            <w:tcW w:w="708" w:type="dxa"/>
            <w:vAlign w:val="top"/>
          </w:tcPr>
          <w:p w14:paraId="38B36E4B">
            <w:pPr>
              <w:pStyle w:val="6"/>
              <w:spacing w:before="56" w:line="230" w:lineRule="auto"/>
              <w:ind w:left="273"/>
            </w:pPr>
            <w:r>
              <w:t>台</w:t>
            </w:r>
          </w:p>
        </w:tc>
        <w:tc>
          <w:tcPr>
            <w:tcW w:w="691" w:type="dxa"/>
            <w:vAlign w:val="top"/>
          </w:tcPr>
          <w:p w14:paraId="05BEC1FA">
            <w:pPr>
              <w:pStyle w:val="6"/>
              <w:spacing w:before="57" w:line="237" w:lineRule="auto"/>
              <w:ind w:left="313"/>
            </w:pPr>
            <w:r>
              <w:t>1</w:t>
            </w:r>
          </w:p>
        </w:tc>
      </w:tr>
      <w:tr w14:paraId="69271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5286FDD7">
            <w:pPr>
              <w:pStyle w:val="6"/>
              <w:spacing w:before="56" w:line="237" w:lineRule="auto"/>
              <w:ind w:left="274"/>
            </w:pPr>
            <w:r>
              <w:t>2</w:t>
            </w:r>
          </w:p>
        </w:tc>
        <w:tc>
          <w:tcPr>
            <w:tcW w:w="2490" w:type="dxa"/>
            <w:vAlign w:val="top"/>
          </w:tcPr>
          <w:p w14:paraId="30CB0252">
            <w:pPr>
              <w:pStyle w:val="6"/>
              <w:spacing w:before="56" w:line="227" w:lineRule="auto"/>
              <w:ind w:left="32"/>
            </w:pPr>
            <w:r>
              <w:rPr>
                <w:spacing w:val="8"/>
              </w:rPr>
              <w:t>湿式半自磨机</w:t>
            </w:r>
          </w:p>
        </w:tc>
        <w:tc>
          <w:tcPr>
            <w:tcW w:w="3804" w:type="dxa"/>
            <w:vAlign w:val="top"/>
          </w:tcPr>
          <w:p w14:paraId="4F5E3544">
            <w:pPr>
              <w:pStyle w:val="6"/>
              <w:spacing w:before="56" w:line="228" w:lineRule="auto"/>
              <w:ind w:left="76"/>
            </w:pPr>
            <w:r>
              <w:rPr>
                <w:spacing w:val="7"/>
              </w:rPr>
              <w:t>φ5.49×3.05</w:t>
            </w:r>
            <w:r>
              <w:rPr>
                <w:spacing w:val="-17"/>
              </w:rPr>
              <w:t>，（</w:t>
            </w:r>
            <w:r>
              <w:rPr>
                <w:spacing w:val="7"/>
              </w:rPr>
              <w:t>变速带圆筒筛）</w:t>
            </w:r>
          </w:p>
        </w:tc>
        <w:tc>
          <w:tcPr>
            <w:tcW w:w="708" w:type="dxa"/>
            <w:vAlign w:val="top"/>
          </w:tcPr>
          <w:p w14:paraId="09A98DD8">
            <w:pPr>
              <w:pStyle w:val="6"/>
              <w:spacing w:before="56" w:line="230" w:lineRule="auto"/>
              <w:ind w:left="273"/>
            </w:pPr>
            <w:r>
              <w:t>台</w:t>
            </w:r>
          </w:p>
        </w:tc>
        <w:tc>
          <w:tcPr>
            <w:tcW w:w="691" w:type="dxa"/>
            <w:vAlign w:val="top"/>
          </w:tcPr>
          <w:p w14:paraId="77A632CC">
            <w:pPr>
              <w:pStyle w:val="6"/>
              <w:spacing w:before="56" w:line="237" w:lineRule="auto"/>
              <w:ind w:left="313"/>
            </w:pPr>
            <w:r>
              <w:t>1</w:t>
            </w:r>
          </w:p>
        </w:tc>
      </w:tr>
      <w:tr w14:paraId="246E9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31B1DC9">
            <w:pPr>
              <w:pStyle w:val="6"/>
              <w:spacing w:before="57" w:line="237" w:lineRule="auto"/>
              <w:ind w:left="276"/>
            </w:pPr>
            <w:r>
              <w:t>3</w:t>
            </w:r>
          </w:p>
        </w:tc>
        <w:tc>
          <w:tcPr>
            <w:tcW w:w="2490" w:type="dxa"/>
            <w:vAlign w:val="top"/>
          </w:tcPr>
          <w:p w14:paraId="36724592">
            <w:pPr>
              <w:pStyle w:val="6"/>
              <w:spacing w:before="57" w:line="227" w:lineRule="auto"/>
              <w:ind w:left="36"/>
            </w:pPr>
            <w:r>
              <w:rPr>
                <w:spacing w:val="8"/>
              </w:rPr>
              <w:t>半自磨机磁力弧</w:t>
            </w:r>
          </w:p>
        </w:tc>
        <w:tc>
          <w:tcPr>
            <w:tcW w:w="3804" w:type="dxa"/>
            <w:vAlign w:val="top"/>
          </w:tcPr>
          <w:p w14:paraId="1DE4878B">
            <w:pPr>
              <w:pStyle w:val="6"/>
              <w:spacing w:before="57" w:line="233" w:lineRule="auto"/>
              <w:ind w:left="1854"/>
            </w:pPr>
            <w:r>
              <w:t>/</w:t>
            </w:r>
          </w:p>
        </w:tc>
        <w:tc>
          <w:tcPr>
            <w:tcW w:w="708" w:type="dxa"/>
            <w:vAlign w:val="top"/>
          </w:tcPr>
          <w:p w14:paraId="6CB89118">
            <w:pPr>
              <w:pStyle w:val="6"/>
              <w:spacing w:before="57" w:line="237" w:lineRule="auto"/>
              <w:ind w:left="259"/>
            </w:pPr>
            <w:r>
              <w:t>组</w:t>
            </w:r>
          </w:p>
        </w:tc>
        <w:tc>
          <w:tcPr>
            <w:tcW w:w="691" w:type="dxa"/>
            <w:vAlign w:val="top"/>
          </w:tcPr>
          <w:p w14:paraId="4EC914C8">
            <w:pPr>
              <w:pStyle w:val="6"/>
              <w:spacing w:before="57" w:line="237" w:lineRule="auto"/>
              <w:ind w:left="313"/>
            </w:pPr>
            <w:r>
              <w:t>1</w:t>
            </w:r>
          </w:p>
        </w:tc>
      </w:tr>
      <w:tr w14:paraId="59BA1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6400AAFA">
            <w:pPr>
              <w:pStyle w:val="6"/>
              <w:spacing w:before="57" w:line="237" w:lineRule="auto"/>
              <w:ind w:left="271"/>
            </w:pPr>
            <w:r>
              <w:t>4</w:t>
            </w:r>
          </w:p>
        </w:tc>
        <w:tc>
          <w:tcPr>
            <w:tcW w:w="2490" w:type="dxa"/>
            <w:vAlign w:val="top"/>
          </w:tcPr>
          <w:p w14:paraId="1DC6456F">
            <w:pPr>
              <w:pStyle w:val="6"/>
              <w:spacing w:before="56" w:line="228" w:lineRule="auto"/>
              <w:ind w:left="32"/>
            </w:pPr>
            <w:r>
              <w:rPr>
                <w:spacing w:val="6"/>
              </w:rPr>
              <w:t>渣浆泵</w:t>
            </w:r>
          </w:p>
        </w:tc>
        <w:tc>
          <w:tcPr>
            <w:tcW w:w="3804" w:type="dxa"/>
            <w:vAlign w:val="top"/>
          </w:tcPr>
          <w:p w14:paraId="7BE30B1A">
            <w:pPr>
              <w:pStyle w:val="6"/>
              <w:spacing w:before="56" w:line="233" w:lineRule="auto"/>
              <w:ind w:left="1854"/>
            </w:pPr>
            <w:r>
              <w:t>/</w:t>
            </w:r>
          </w:p>
        </w:tc>
        <w:tc>
          <w:tcPr>
            <w:tcW w:w="708" w:type="dxa"/>
            <w:vAlign w:val="top"/>
          </w:tcPr>
          <w:p w14:paraId="58B52DF6">
            <w:pPr>
              <w:pStyle w:val="6"/>
              <w:spacing w:before="57" w:line="230" w:lineRule="auto"/>
              <w:ind w:left="273"/>
            </w:pPr>
            <w:r>
              <w:t>台</w:t>
            </w:r>
          </w:p>
        </w:tc>
        <w:tc>
          <w:tcPr>
            <w:tcW w:w="691" w:type="dxa"/>
            <w:vAlign w:val="top"/>
          </w:tcPr>
          <w:p w14:paraId="740DCFE5">
            <w:pPr>
              <w:pStyle w:val="6"/>
              <w:spacing w:before="57" w:line="237" w:lineRule="auto"/>
              <w:ind w:left="300"/>
            </w:pPr>
            <w:r>
              <w:t>2</w:t>
            </w:r>
          </w:p>
        </w:tc>
      </w:tr>
      <w:tr w14:paraId="29082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E921BE9">
            <w:pPr>
              <w:pStyle w:val="6"/>
              <w:spacing w:before="59" w:line="235" w:lineRule="auto"/>
              <w:ind w:left="276"/>
            </w:pPr>
            <w:r>
              <w:t>5</w:t>
            </w:r>
          </w:p>
        </w:tc>
        <w:tc>
          <w:tcPr>
            <w:tcW w:w="2490" w:type="dxa"/>
            <w:vAlign w:val="top"/>
          </w:tcPr>
          <w:p w14:paraId="5C367B7E">
            <w:pPr>
              <w:pStyle w:val="6"/>
              <w:spacing w:before="59" w:line="228" w:lineRule="auto"/>
              <w:ind w:left="35"/>
            </w:pPr>
            <w:r>
              <w:rPr>
                <w:spacing w:val="7"/>
              </w:rPr>
              <w:t>水力旋流器</w:t>
            </w:r>
          </w:p>
        </w:tc>
        <w:tc>
          <w:tcPr>
            <w:tcW w:w="3804" w:type="dxa"/>
            <w:vAlign w:val="top"/>
          </w:tcPr>
          <w:p w14:paraId="634D70F0">
            <w:pPr>
              <w:spacing w:before="95" w:line="195" w:lineRule="auto"/>
              <w:ind w:left="1464"/>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6"/>
                <w:sz w:val="20"/>
                <w:szCs w:val="20"/>
              </w:rPr>
              <w:t>-500×6</w:t>
            </w:r>
          </w:p>
        </w:tc>
        <w:tc>
          <w:tcPr>
            <w:tcW w:w="708" w:type="dxa"/>
            <w:vAlign w:val="top"/>
          </w:tcPr>
          <w:p w14:paraId="7A2BA9AC">
            <w:pPr>
              <w:pStyle w:val="6"/>
              <w:spacing w:before="59" w:line="230" w:lineRule="auto"/>
              <w:ind w:left="273"/>
            </w:pPr>
            <w:r>
              <w:t>台</w:t>
            </w:r>
          </w:p>
        </w:tc>
        <w:tc>
          <w:tcPr>
            <w:tcW w:w="691" w:type="dxa"/>
            <w:vAlign w:val="top"/>
          </w:tcPr>
          <w:p w14:paraId="76BDDA45">
            <w:pPr>
              <w:pStyle w:val="6"/>
              <w:spacing w:before="59" w:line="235" w:lineRule="auto"/>
              <w:ind w:left="313"/>
            </w:pPr>
            <w:r>
              <w:t>1</w:t>
            </w:r>
          </w:p>
        </w:tc>
      </w:tr>
      <w:tr w14:paraId="569A2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E508133">
            <w:pPr>
              <w:pStyle w:val="6"/>
              <w:spacing w:before="59" w:line="235" w:lineRule="auto"/>
              <w:ind w:left="273"/>
            </w:pPr>
            <w:r>
              <w:t>6</w:t>
            </w:r>
          </w:p>
        </w:tc>
        <w:tc>
          <w:tcPr>
            <w:tcW w:w="2490" w:type="dxa"/>
            <w:vAlign w:val="top"/>
          </w:tcPr>
          <w:p w14:paraId="22A7C7C8">
            <w:pPr>
              <w:pStyle w:val="6"/>
              <w:spacing w:before="59" w:line="227" w:lineRule="auto"/>
              <w:ind w:left="32"/>
            </w:pPr>
            <w:r>
              <w:rPr>
                <w:spacing w:val="8"/>
              </w:rPr>
              <w:t>湿式溢流型球磨机</w:t>
            </w:r>
          </w:p>
        </w:tc>
        <w:tc>
          <w:tcPr>
            <w:tcW w:w="3804" w:type="dxa"/>
            <w:vAlign w:val="top"/>
          </w:tcPr>
          <w:p w14:paraId="58F050D5">
            <w:pPr>
              <w:pStyle w:val="6"/>
              <w:spacing w:before="59" w:line="235" w:lineRule="auto"/>
              <w:ind w:left="1269"/>
            </w:pPr>
            <w:r>
              <w:rPr>
                <w:spacing w:val="1"/>
              </w:rPr>
              <w:t>φ3.81×6.71m</w:t>
            </w:r>
          </w:p>
        </w:tc>
        <w:tc>
          <w:tcPr>
            <w:tcW w:w="708" w:type="dxa"/>
            <w:vAlign w:val="top"/>
          </w:tcPr>
          <w:p w14:paraId="0C542B56">
            <w:pPr>
              <w:pStyle w:val="6"/>
              <w:spacing w:before="59" w:line="230" w:lineRule="auto"/>
              <w:ind w:left="273"/>
            </w:pPr>
            <w:r>
              <w:t>台</w:t>
            </w:r>
          </w:p>
        </w:tc>
        <w:tc>
          <w:tcPr>
            <w:tcW w:w="691" w:type="dxa"/>
            <w:vAlign w:val="top"/>
          </w:tcPr>
          <w:p w14:paraId="1BCFEF1A">
            <w:pPr>
              <w:pStyle w:val="6"/>
              <w:spacing w:before="59" w:line="235" w:lineRule="auto"/>
              <w:ind w:left="313"/>
            </w:pPr>
            <w:r>
              <w:t>1</w:t>
            </w:r>
          </w:p>
        </w:tc>
      </w:tr>
      <w:tr w14:paraId="358D3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3F4E280">
            <w:pPr>
              <w:pStyle w:val="6"/>
              <w:spacing w:before="59" w:line="235" w:lineRule="auto"/>
              <w:ind w:left="276"/>
            </w:pPr>
            <w:r>
              <w:t>7</w:t>
            </w:r>
          </w:p>
        </w:tc>
        <w:tc>
          <w:tcPr>
            <w:tcW w:w="2490" w:type="dxa"/>
            <w:vAlign w:val="top"/>
          </w:tcPr>
          <w:p w14:paraId="6F2FE9EA">
            <w:pPr>
              <w:pStyle w:val="6"/>
              <w:spacing w:before="58" w:line="227" w:lineRule="auto"/>
              <w:ind w:left="38"/>
            </w:pPr>
            <w:r>
              <w:rPr>
                <w:spacing w:val="6"/>
              </w:rPr>
              <w:t>№4</w:t>
            </w:r>
            <w:r>
              <w:rPr>
                <w:spacing w:val="-33"/>
              </w:rPr>
              <w:t xml:space="preserve"> </w:t>
            </w:r>
            <w:r>
              <w:rPr>
                <w:spacing w:val="6"/>
              </w:rPr>
              <w:t>往返胶带输送机</w:t>
            </w:r>
          </w:p>
        </w:tc>
        <w:tc>
          <w:tcPr>
            <w:tcW w:w="3804" w:type="dxa"/>
            <w:vAlign w:val="top"/>
          </w:tcPr>
          <w:p w14:paraId="34CEBE9D">
            <w:pPr>
              <w:pStyle w:val="6"/>
              <w:spacing w:before="58" w:line="233" w:lineRule="auto"/>
              <w:ind w:left="232"/>
            </w:pPr>
            <w:r>
              <w:rPr>
                <w:spacing w:val="2"/>
              </w:rPr>
              <w:t>5050</w:t>
            </w:r>
            <w:r>
              <w:rPr>
                <w:spacing w:val="65"/>
              </w:rPr>
              <w:t xml:space="preserve"> </w:t>
            </w:r>
            <w:r>
              <w:rPr>
                <w:spacing w:val="2"/>
              </w:rPr>
              <w:t>α=8.53</w:t>
            </w:r>
            <w:r>
              <w:rPr>
                <w:spacing w:val="-72"/>
              </w:rPr>
              <w:t xml:space="preserve"> </w:t>
            </w:r>
            <w:r>
              <w:rPr>
                <w:spacing w:val="2"/>
              </w:rPr>
              <w:t>°V=1.6m/s，</w:t>
            </w:r>
            <w:r>
              <w:t>Lh</w:t>
            </w:r>
            <w:r>
              <w:rPr>
                <w:spacing w:val="2"/>
              </w:rPr>
              <w:t>=43.7m</w:t>
            </w:r>
          </w:p>
        </w:tc>
        <w:tc>
          <w:tcPr>
            <w:tcW w:w="708" w:type="dxa"/>
            <w:vAlign w:val="top"/>
          </w:tcPr>
          <w:p w14:paraId="3587CA90">
            <w:pPr>
              <w:pStyle w:val="6"/>
              <w:spacing w:before="58" w:line="230" w:lineRule="auto"/>
              <w:ind w:left="273"/>
            </w:pPr>
            <w:r>
              <w:t>台</w:t>
            </w:r>
          </w:p>
        </w:tc>
        <w:tc>
          <w:tcPr>
            <w:tcW w:w="691" w:type="dxa"/>
            <w:vAlign w:val="top"/>
          </w:tcPr>
          <w:p w14:paraId="3CA9268A">
            <w:pPr>
              <w:pStyle w:val="6"/>
              <w:spacing w:before="59" w:line="235" w:lineRule="auto"/>
              <w:ind w:left="313"/>
            </w:pPr>
            <w:r>
              <w:t>1</w:t>
            </w:r>
          </w:p>
        </w:tc>
      </w:tr>
      <w:tr w14:paraId="7A773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8F1E21B">
            <w:pPr>
              <w:pStyle w:val="6"/>
              <w:spacing w:before="58" w:line="236" w:lineRule="auto"/>
              <w:ind w:left="272"/>
            </w:pPr>
            <w:r>
              <w:t>8</w:t>
            </w:r>
          </w:p>
        </w:tc>
        <w:tc>
          <w:tcPr>
            <w:tcW w:w="2490" w:type="dxa"/>
            <w:vAlign w:val="top"/>
          </w:tcPr>
          <w:p w14:paraId="39C99309">
            <w:pPr>
              <w:pStyle w:val="6"/>
              <w:spacing w:before="58" w:line="227" w:lineRule="auto"/>
              <w:ind w:left="38"/>
            </w:pPr>
            <w:r>
              <w:rPr>
                <w:spacing w:val="5"/>
              </w:rPr>
              <w:t>№5</w:t>
            </w:r>
            <w:r>
              <w:rPr>
                <w:spacing w:val="-34"/>
              </w:rPr>
              <w:t xml:space="preserve"> </w:t>
            </w:r>
            <w:r>
              <w:rPr>
                <w:spacing w:val="5"/>
              </w:rPr>
              <w:t>胶带输送机</w:t>
            </w:r>
          </w:p>
        </w:tc>
        <w:tc>
          <w:tcPr>
            <w:tcW w:w="3804" w:type="dxa"/>
            <w:vAlign w:val="top"/>
          </w:tcPr>
          <w:p w14:paraId="7F30A9C9">
            <w:pPr>
              <w:pStyle w:val="6"/>
              <w:spacing w:before="58" w:line="233" w:lineRule="auto"/>
              <w:ind w:left="285"/>
            </w:pPr>
            <w:r>
              <w:rPr>
                <w:spacing w:val="2"/>
              </w:rPr>
              <w:t>5050</w:t>
            </w:r>
            <w:r>
              <w:rPr>
                <w:spacing w:val="61"/>
              </w:rPr>
              <w:t xml:space="preserve"> </w:t>
            </w:r>
            <w:r>
              <w:rPr>
                <w:spacing w:val="2"/>
              </w:rPr>
              <w:t>α=10.66</w:t>
            </w:r>
            <w:r>
              <w:rPr>
                <w:spacing w:val="-72"/>
              </w:rPr>
              <w:t xml:space="preserve"> </w:t>
            </w:r>
            <w:r>
              <w:rPr>
                <w:spacing w:val="2"/>
              </w:rPr>
              <w:t>° V=1.6m/</w:t>
            </w:r>
            <w:r>
              <w:t>s</w:t>
            </w:r>
            <w:r>
              <w:rPr>
                <w:spacing w:val="2"/>
              </w:rPr>
              <w:t xml:space="preserve"> </w:t>
            </w:r>
            <w:r>
              <w:t>Lh</w:t>
            </w:r>
            <w:r>
              <w:rPr>
                <w:spacing w:val="2"/>
              </w:rPr>
              <w:t>=17m</w:t>
            </w:r>
          </w:p>
        </w:tc>
        <w:tc>
          <w:tcPr>
            <w:tcW w:w="708" w:type="dxa"/>
            <w:vAlign w:val="top"/>
          </w:tcPr>
          <w:p w14:paraId="5584F922">
            <w:pPr>
              <w:pStyle w:val="6"/>
              <w:spacing w:before="58" w:line="230" w:lineRule="auto"/>
              <w:ind w:left="273"/>
            </w:pPr>
            <w:r>
              <w:t>台</w:t>
            </w:r>
          </w:p>
        </w:tc>
        <w:tc>
          <w:tcPr>
            <w:tcW w:w="691" w:type="dxa"/>
            <w:vAlign w:val="top"/>
          </w:tcPr>
          <w:p w14:paraId="676B2A8F">
            <w:pPr>
              <w:pStyle w:val="6"/>
              <w:spacing w:before="58" w:line="236" w:lineRule="auto"/>
              <w:ind w:left="313"/>
            </w:pPr>
            <w:r>
              <w:t>1</w:t>
            </w:r>
          </w:p>
        </w:tc>
      </w:tr>
      <w:tr w14:paraId="63759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40" w:type="dxa"/>
            <w:vAlign w:val="top"/>
          </w:tcPr>
          <w:p w14:paraId="17442911">
            <w:pPr>
              <w:pStyle w:val="6"/>
              <w:spacing w:before="217" w:line="268" w:lineRule="exact"/>
              <w:ind w:left="272"/>
            </w:pPr>
            <w:r>
              <w:rPr>
                <w:position w:val="1"/>
              </w:rPr>
              <w:t>9</w:t>
            </w:r>
          </w:p>
        </w:tc>
        <w:tc>
          <w:tcPr>
            <w:tcW w:w="2490" w:type="dxa"/>
            <w:vAlign w:val="top"/>
          </w:tcPr>
          <w:p w14:paraId="349FB07B">
            <w:pPr>
              <w:pStyle w:val="6"/>
              <w:spacing w:before="57" w:line="265" w:lineRule="auto"/>
              <w:ind w:left="35" w:right="26" w:firstLine="31"/>
            </w:pPr>
            <w:r>
              <w:rPr>
                <w:spacing w:val="-1"/>
              </w:rPr>
              <w:t>自冷电磁除铁器（配电动行</w:t>
            </w:r>
            <w:r>
              <w:rPr>
                <w:spacing w:val="2"/>
              </w:rPr>
              <w:t xml:space="preserve"> </w:t>
            </w:r>
            <w:r>
              <w:rPr>
                <w:spacing w:val="4"/>
              </w:rPr>
              <w:t>走装置）</w:t>
            </w:r>
          </w:p>
        </w:tc>
        <w:tc>
          <w:tcPr>
            <w:tcW w:w="3804" w:type="dxa"/>
            <w:vAlign w:val="top"/>
          </w:tcPr>
          <w:p w14:paraId="515D12C1">
            <w:pPr>
              <w:pStyle w:val="6"/>
              <w:spacing w:before="217" w:line="268" w:lineRule="exact"/>
              <w:ind w:left="1539"/>
            </w:pPr>
            <w:r>
              <w:rPr>
                <w:position w:val="1"/>
              </w:rPr>
              <w:t>RCDD</w:t>
            </w:r>
            <w:r>
              <w:rPr>
                <w:spacing w:val="9"/>
                <w:position w:val="1"/>
              </w:rPr>
              <w:t>-14</w:t>
            </w:r>
          </w:p>
        </w:tc>
        <w:tc>
          <w:tcPr>
            <w:tcW w:w="708" w:type="dxa"/>
            <w:vAlign w:val="top"/>
          </w:tcPr>
          <w:p w14:paraId="0A8389B2">
            <w:pPr>
              <w:pStyle w:val="6"/>
              <w:spacing w:before="216" w:line="230" w:lineRule="auto"/>
              <w:ind w:left="273"/>
            </w:pPr>
            <w:r>
              <w:t>台</w:t>
            </w:r>
          </w:p>
        </w:tc>
        <w:tc>
          <w:tcPr>
            <w:tcW w:w="691" w:type="dxa"/>
            <w:vAlign w:val="top"/>
          </w:tcPr>
          <w:p w14:paraId="450C49BA">
            <w:pPr>
              <w:pStyle w:val="6"/>
              <w:spacing w:before="217" w:line="270" w:lineRule="exact"/>
              <w:ind w:left="313"/>
            </w:pPr>
            <w:r>
              <w:rPr>
                <w:position w:val="1"/>
              </w:rPr>
              <w:t>1</w:t>
            </w:r>
          </w:p>
        </w:tc>
      </w:tr>
      <w:tr w14:paraId="7BA6F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40" w:type="dxa"/>
            <w:vAlign w:val="top"/>
          </w:tcPr>
          <w:p w14:paraId="4E7AF71E">
            <w:pPr>
              <w:pStyle w:val="6"/>
              <w:spacing w:before="59" w:line="237" w:lineRule="auto"/>
              <w:ind w:left="237"/>
            </w:pPr>
            <w:r>
              <w:rPr>
                <w:spacing w:val="-7"/>
              </w:rPr>
              <w:t>10</w:t>
            </w:r>
          </w:p>
        </w:tc>
        <w:tc>
          <w:tcPr>
            <w:tcW w:w="2490" w:type="dxa"/>
            <w:vAlign w:val="top"/>
          </w:tcPr>
          <w:p w14:paraId="2A43C26C">
            <w:pPr>
              <w:pStyle w:val="6"/>
              <w:spacing w:before="59" w:line="228" w:lineRule="auto"/>
              <w:ind w:left="33"/>
            </w:pPr>
            <w:r>
              <w:rPr>
                <w:spacing w:val="7"/>
              </w:rPr>
              <w:t>提升搅拌槽</w:t>
            </w:r>
          </w:p>
        </w:tc>
        <w:tc>
          <w:tcPr>
            <w:tcW w:w="3804" w:type="dxa"/>
            <w:vAlign w:val="top"/>
          </w:tcPr>
          <w:p w14:paraId="22F38D1F">
            <w:pPr>
              <w:pStyle w:val="6"/>
              <w:spacing w:before="59" w:line="237" w:lineRule="auto"/>
              <w:ind w:left="1485"/>
            </w:pPr>
            <w:r>
              <w:t>XBT</w:t>
            </w:r>
            <w:r>
              <w:rPr>
                <w:spacing w:val="7"/>
              </w:rPr>
              <w:t>-3500</w:t>
            </w:r>
          </w:p>
        </w:tc>
        <w:tc>
          <w:tcPr>
            <w:tcW w:w="708" w:type="dxa"/>
            <w:vAlign w:val="top"/>
          </w:tcPr>
          <w:p w14:paraId="366FD38D">
            <w:pPr>
              <w:pStyle w:val="6"/>
              <w:spacing w:before="59" w:line="230" w:lineRule="auto"/>
              <w:ind w:left="273"/>
            </w:pPr>
            <w:r>
              <w:t>台</w:t>
            </w:r>
          </w:p>
        </w:tc>
        <w:tc>
          <w:tcPr>
            <w:tcW w:w="691" w:type="dxa"/>
            <w:vAlign w:val="top"/>
          </w:tcPr>
          <w:p w14:paraId="5F52F437">
            <w:pPr>
              <w:pStyle w:val="6"/>
              <w:spacing w:before="59" w:line="237" w:lineRule="auto"/>
              <w:ind w:left="300"/>
            </w:pPr>
            <w:r>
              <w:t>2</w:t>
            </w:r>
          </w:p>
        </w:tc>
      </w:tr>
    </w:tbl>
    <w:p w14:paraId="3D1CAC3D">
      <w:pPr>
        <w:pStyle w:val="2"/>
        <w:spacing w:line="213" w:lineRule="exact"/>
        <w:rPr>
          <w:sz w:val="18"/>
        </w:rPr>
      </w:pPr>
    </w:p>
    <w:p w14:paraId="480FA1E3">
      <w:pPr>
        <w:spacing w:line="213" w:lineRule="exact"/>
        <w:rPr>
          <w:sz w:val="18"/>
          <w:szCs w:val="18"/>
        </w:rPr>
        <w:sectPr>
          <w:headerReference r:id="rId62" w:type="default"/>
          <w:footerReference r:id="rId63" w:type="default"/>
          <w:pgSz w:w="11906" w:h="16839"/>
          <w:pgMar w:top="1208" w:right="1784" w:bottom="1358" w:left="1783" w:header="825" w:footer="1195" w:gutter="0"/>
          <w:cols w:space="720" w:num="1"/>
        </w:sectPr>
      </w:pPr>
    </w:p>
    <w:p w14:paraId="422A7F60">
      <w:pPr>
        <w:spacing w:line="231" w:lineRule="exact"/>
      </w:pPr>
    </w:p>
    <w:tbl>
      <w:tblPr>
        <w:tblStyle w:val="5"/>
        <w:tblW w:w="83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2490"/>
        <w:gridCol w:w="3804"/>
        <w:gridCol w:w="708"/>
        <w:gridCol w:w="691"/>
      </w:tblGrid>
      <w:tr w14:paraId="4764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40" w:type="dxa"/>
            <w:vAlign w:val="top"/>
          </w:tcPr>
          <w:p w14:paraId="69DFF8D9">
            <w:pPr>
              <w:pStyle w:val="6"/>
              <w:spacing w:before="59" w:line="239" w:lineRule="auto"/>
              <w:ind w:left="237"/>
            </w:pPr>
            <w:r>
              <w:rPr>
                <w:spacing w:val="-7"/>
              </w:rPr>
              <w:t>11</w:t>
            </w:r>
          </w:p>
        </w:tc>
        <w:tc>
          <w:tcPr>
            <w:tcW w:w="2490" w:type="dxa"/>
            <w:vAlign w:val="top"/>
          </w:tcPr>
          <w:p w14:paraId="7F1C96F9">
            <w:pPr>
              <w:pStyle w:val="6"/>
              <w:spacing w:before="58" w:line="227" w:lineRule="auto"/>
              <w:ind w:left="34"/>
            </w:pPr>
            <w:r>
              <w:rPr>
                <w:spacing w:val="6"/>
              </w:rPr>
              <w:t>浮选机</w:t>
            </w:r>
          </w:p>
        </w:tc>
        <w:tc>
          <w:tcPr>
            <w:tcW w:w="3804" w:type="dxa"/>
            <w:vAlign w:val="top"/>
          </w:tcPr>
          <w:p w14:paraId="16D6EF95">
            <w:pPr>
              <w:pStyle w:val="6"/>
              <w:spacing w:before="59" w:line="239" w:lineRule="auto"/>
              <w:ind w:left="1485"/>
            </w:pPr>
            <w:r>
              <w:t>XCFII</w:t>
            </w:r>
            <w:r>
              <w:rPr>
                <w:spacing w:val="11"/>
              </w:rPr>
              <w:t>-40</w:t>
            </w:r>
          </w:p>
        </w:tc>
        <w:tc>
          <w:tcPr>
            <w:tcW w:w="708" w:type="dxa"/>
            <w:vAlign w:val="top"/>
          </w:tcPr>
          <w:p w14:paraId="09BE5268">
            <w:pPr>
              <w:pStyle w:val="6"/>
              <w:spacing w:before="58" w:line="228" w:lineRule="auto"/>
              <w:ind w:left="256"/>
            </w:pPr>
            <w:r>
              <w:rPr>
                <w:spacing w:val="1"/>
              </w:rPr>
              <w:t>槽</w:t>
            </w:r>
          </w:p>
        </w:tc>
        <w:tc>
          <w:tcPr>
            <w:tcW w:w="691" w:type="dxa"/>
            <w:vAlign w:val="top"/>
          </w:tcPr>
          <w:p w14:paraId="1D2C26DE">
            <w:pPr>
              <w:pStyle w:val="6"/>
              <w:spacing w:before="59" w:line="239" w:lineRule="auto"/>
              <w:ind w:left="298"/>
            </w:pPr>
            <w:r>
              <w:t>8</w:t>
            </w:r>
          </w:p>
        </w:tc>
      </w:tr>
      <w:tr w14:paraId="6FDD2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51D244E">
            <w:pPr>
              <w:pStyle w:val="6"/>
              <w:spacing w:before="55" w:line="239" w:lineRule="auto"/>
              <w:ind w:left="237"/>
            </w:pPr>
            <w:r>
              <w:rPr>
                <w:spacing w:val="-7"/>
              </w:rPr>
              <w:t>12</w:t>
            </w:r>
          </w:p>
        </w:tc>
        <w:tc>
          <w:tcPr>
            <w:tcW w:w="2490" w:type="dxa"/>
            <w:vAlign w:val="top"/>
          </w:tcPr>
          <w:p w14:paraId="315E47DB">
            <w:pPr>
              <w:pStyle w:val="6"/>
              <w:spacing w:before="54" w:line="227" w:lineRule="auto"/>
              <w:ind w:left="34"/>
            </w:pPr>
            <w:r>
              <w:rPr>
                <w:spacing w:val="6"/>
              </w:rPr>
              <w:t>浮选机</w:t>
            </w:r>
          </w:p>
        </w:tc>
        <w:tc>
          <w:tcPr>
            <w:tcW w:w="3804" w:type="dxa"/>
            <w:vAlign w:val="top"/>
          </w:tcPr>
          <w:p w14:paraId="4BF56F6C">
            <w:pPr>
              <w:pStyle w:val="6"/>
              <w:spacing w:before="55" w:line="239" w:lineRule="auto"/>
              <w:ind w:left="1485"/>
            </w:pPr>
            <w:r>
              <w:t>KYFII</w:t>
            </w:r>
            <w:r>
              <w:rPr>
                <w:spacing w:val="12"/>
              </w:rPr>
              <w:t>-40</w:t>
            </w:r>
          </w:p>
        </w:tc>
        <w:tc>
          <w:tcPr>
            <w:tcW w:w="708" w:type="dxa"/>
            <w:vAlign w:val="top"/>
          </w:tcPr>
          <w:p w14:paraId="2547E128">
            <w:pPr>
              <w:pStyle w:val="6"/>
              <w:spacing w:before="54" w:line="228" w:lineRule="auto"/>
              <w:ind w:left="256"/>
            </w:pPr>
            <w:r>
              <w:rPr>
                <w:spacing w:val="1"/>
              </w:rPr>
              <w:t>槽</w:t>
            </w:r>
          </w:p>
        </w:tc>
        <w:tc>
          <w:tcPr>
            <w:tcW w:w="691" w:type="dxa"/>
            <w:vAlign w:val="top"/>
          </w:tcPr>
          <w:p w14:paraId="1673B546">
            <w:pPr>
              <w:pStyle w:val="6"/>
              <w:spacing w:before="55" w:line="239" w:lineRule="auto"/>
              <w:ind w:left="260"/>
            </w:pPr>
            <w:r>
              <w:rPr>
                <w:spacing w:val="-7"/>
              </w:rPr>
              <w:t>18</w:t>
            </w:r>
          </w:p>
        </w:tc>
      </w:tr>
      <w:tr w14:paraId="7151C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05A39242">
            <w:pPr>
              <w:pStyle w:val="6"/>
              <w:spacing w:before="54" w:line="239" w:lineRule="auto"/>
              <w:ind w:left="237"/>
            </w:pPr>
            <w:r>
              <w:rPr>
                <w:spacing w:val="-7"/>
              </w:rPr>
              <w:t>13</w:t>
            </w:r>
          </w:p>
        </w:tc>
        <w:tc>
          <w:tcPr>
            <w:tcW w:w="2490" w:type="dxa"/>
            <w:vAlign w:val="top"/>
          </w:tcPr>
          <w:p w14:paraId="59FC32F0">
            <w:pPr>
              <w:pStyle w:val="6"/>
              <w:spacing w:before="54" w:line="227" w:lineRule="auto"/>
              <w:ind w:left="34"/>
            </w:pPr>
            <w:r>
              <w:rPr>
                <w:spacing w:val="6"/>
              </w:rPr>
              <w:t>浮选机</w:t>
            </w:r>
          </w:p>
        </w:tc>
        <w:tc>
          <w:tcPr>
            <w:tcW w:w="3804" w:type="dxa"/>
            <w:vAlign w:val="top"/>
          </w:tcPr>
          <w:p w14:paraId="23C466A0">
            <w:pPr>
              <w:pStyle w:val="6"/>
              <w:spacing w:before="54" w:line="239" w:lineRule="auto"/>
              <w:ind w:left="1485"/>
            </w:pPr>
            <w:r>
              <w:t>XCFII</w:t>
            </w:r>
            <w:r>
              <w:rPr>
                <w:spacing w:val="11"/>
              </w:rPr>
              <w:t>-16</w:t>
            </w:r>
          </w:p>
        </w:tc>
        <w:tc>
          <w:tcPr>
            <w:tcW w:w="708" w:type="dxa"/>
            <w:vAlign w:val="top"/>
          </w:tcPr>
          <w:p w14:paraId="1C35CA2B">
            <w:pPr>
              <w:pStyle w:val="6"/>
              <w:spacing w:before="54" w:line="228" w:lineRule="auto"/>
              <w:ind w:left="256"/>
            </w:pPr>
            <w:r>
              <w:rPr>
                <w:spacing w:val="1"/>
              </w:rPr>
              <w:t>槽</w:t>
            </w:r>
          </w:p>
        </w:tc>
        <w:tc>
          <w:tcPr>
            <w:tcW w:w="691" w:type="dxa"/>
            <w:vAlign w:val="top"/>
          </w:tcPr>
          <w:p w14:paraId="1F527650">
            <w:pPr>
              <w:pStyle w:val="6"/>
              <w:spacing w:before="54" w:line="239" w:lineRule="auto"/>
              <w:ind w:left="298"/>
            </w:pPr>
            <w:r>
              <w:t>8</w:t>
            </w:r>
          </w:p>
        </w:tc>
      </w:tr>
      <w:tr w14:paraId="025CC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613F8DE">
            <w:pPr>
              <w:pStyle w:val="6"/>
              <w:spacing w:before="55" w:line="239" w:lineRule="auto"/>
              <w:ind w:left="237"/>
            </w:pPr>
            <w:r>
              <w:rPr>
                <w:spacing w:val="-7"/>
              </w:rPr>
              <w:t>14</w:t>
            </w:r>
          </w:p>
        </w:tc>
        <w:tc>
          <w:tcPr>
            <w:tcW w:w="2490" w:type="dxa"/>
            <w:vAlign w:val="top"/>
          </w:tcPr>
          <w:p w14:paraId="18A5EB74">
            <w:pPr>
              <w:pStyle w:val="6"/>
              <w:spacing w:before="55" w:line="227" w:lineRule="auto"/>
              <w:ind w:left="34"/>
            </w:pPr>
            <w:r>
              <w:rPr>
                <w:spacing w:val="6"/>
              </w:rPr>
              <w:t>浮选机</w:t>
            </w:r>
          </w:p>
        </w:tc>
        <w:tc>
          <w:tcPr>
            <w:tcW w:w="3804" w:type="dxa"/>
            <w:vAlign w:val="top"/>
          </w:tcPr>
          <w:p w14:paraId="270A923C">
            <w:pPr>
              <w:pStyle w:val="6"/>
              <w:spacing w:before="55" w:line="239" w:lineRule="auto"/>
              <w:ind w:left="1485"/>
            </w:pPr>
            <w:r>
              <w:t>KYFII</w:t>
            </w:r>
            <w:r>
              <w:rPr>
                <w:spacing w:val="12"/>
              </w:rPr>
              <w:t>-16</w:t>
            </w:r>
          </w:p>
        </w:tc>
        <w:tc>
          <w:tcPr>
            <w:tcW w:w="708" w:type="dxa"/>
            <w:vAlign w:val="top"/>
          </w:tcPr>
          <w:p w14:paraId="6A6CBBFD">
            <w:pPr>
              <w:pStyle w:val="6"/>
              <w:spacing w:before="54" w:line="228" w:lineRule="auto"/>
              <w:ind w:left="256"/>
            </w:pPr>
            <w:r>
              <w:rPr>
                <w:spacing w:val="1"/>
              </w:rPr>
              <w:t>槽</w:t>
            </w:r>
          </w:p>
        </w:tc>
        <w:tc>
          <w:tcPr>
            <w:tcW w:w="691" w:type="dxa"/>
            <w:vAlign w:val="top"/>
          </w:tcPr>
          <w:p w14:paraId="2BF5CDEB">
            <w:pPr>
              <w:pStyle w:val="6"/>
              <w:spacing w:before="55" w:line="239" w:lineRule="auto"/>
              <w:ind w:left="298"/>
            </w:pPr>
            <w:r>
              <w:t>9</w:t>
            </w:r>
          </w:p>
        </w:tc>
      </w:tr>
      <w:tr w14:paraId="6DD50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638F200C">
            <w:pPr>
              <w:pStyle w:val="6"/>
              <w:spacing w:before="57" w:line="236" w:lineRule="auto"/>
              <w:ind w:left="237"/>
            </w:pPr>
            <w:r>
              <w:rPr>
                <w:spacing w:val="-7"/>
              </w:rPr>
              <w:t>15</w:t>
            </w:r>
          </w:p>
        </w:tc>
        <w:tc>
          <w:tcPr>
            <w:tcW w:w="2490" w:type="dxa"/>
            <w:vAlign w:val="top"/>
          </w:tcPr>
          <w:p w14:paraId="3585718E">
            <w:pPr>
              <w:pStyle w:val="6"/>
              <w:spacing w:before="57" w:line="228" w:lineRule="auto"/>
              <w:ind w:left="32"/>
            </w:pPr>
            <w:r>
              <w:rPr>
                <w:spacing w:val="6"/>
              </w:rPr>
              <w:t>渣浆泵</w:t>
            </w:r>
          </w:p>
        </w:tc>
        <w:tc>
          <w:tcPr>
            <w:tcW w:w="3804" w:type="dxa"/>
            <w:vAlign w:val="top"/>
          </w:tcPr>
          <w:p w14:paraId="3ADD5316">
            <w:pPr>
              <w:pStyle w:val="6"/>
              <w:spacing w:before="57" w:line="233" w:lineRule="auto"/>
              <w:ind w:left="755"/>
            </w:pPr>
            <w:r>
              <w:rPr>
                <w:spacing w:val="6"/>
              </w:rPr>
              <w:t>65</w:t>
            </w:r>
            <w:r>
              <w:t>ZBD</w:t>
            </w:r>
            <w:r>
              <w:rPr>
                <w:spacing w:val="6"/>
              </w:rPr>
              <w:t>-315  n=1250r/</w:t>
            </w:r>
            <w:r>
              <w:t>min</w:t>
            </w:r>
          </w:p>
        </w:tc>
        <w:tc>
          <w:tcPr>
            <w:tcW w:w="708" w:type="dxa"/>
            <w:vAlign w:val="top"/>
          </w:tcPr>
          <w:p w14:paraId="2D48AFB7">
            <w:pPr>
              <w:pStyle w:val="6"/>
              <w:spacing w:before="57" w:line="230" w:lineRule="auto"/>
              <w:ind w:left="273"/>
            </w:pPr>
            <w:r>
              <w:t>台</w:t>
            </w:r>
          </w:p>
        </w:tc>
        <w:tc>
          <w:tcPr>
            <w:tcW w:w="691" w:type="dxa"/>
            <w:vAlign w:val="top"/>
          </w:tcPr>
          <w:p w14:paraId="5E4DA325">
            <w:pPr>
              <w:pStyle w:val="6"/>
              <w:spacing w:before="57" w:line="236" w:lineRule="auto"/>
              <w:ind w:left="300"/>
            </w:pPr>
            <w:r>
              <w:t>2</w:t>
            </w:r>
          </w:p>
        </w:tc>
      </w:tr>
      <w:tr w14:paraId="60BFE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773E4D96">
            <w:pPr>
              <w:pStyle w:val="6"/>
              <w:spacing w:before="58" w:line="235" w:lineRule="auto"/>
              <w:ind w:left="237"/>
            </w:pPr>
            <w:r>
              <w:rPr>
                <w:spacing w:val="-7"/>
              </w:rPr>
              <w:t>16</w:t>
            </w:r>
          </w:p>
        </w:tc>
        <w:tc>
          <w:tcPr>
            <w:tcW w:w="2490" w:type="dxa"/>
            <w:vAlign w:val="top"/>
          </w:tcPr>
          <w:p w14:paraId="1AB9BFDA">
            <w:pPr>
              <w:pStyle w:val="6"/>
              <w:spacing w:before="57" w:line="228" w:lineRule="auto"/>
              <w:ind w:left="32"/>
            </w:pPr>
            <w:r>
              <w:rPr>
                <w:spacing w:val="6"/>
              </w:rPr>
              <w:t>渣浆泵</w:t>
            </w:r>
          </w:p>
        </w:tc>
        <w:tc>
          <w:tcPr>
            <w:tcW w:w="3804" w:type="dxa"/>
            <w:vAlign w:val="top"/>
          </w:tcPr>
          <w:p w14:paraId="2F316DE0">
            <w:pPr>
              <w:pStyle w:val="6"/>
              <w:spacing w:before="57" w:line="233" w:lineRule="auto"/>
              <w:ind w:left="754"/>
            </w:pPr>
            <w:r>
              <w:rPr>
                <w:spacing w:val="6"/>
              </w:rPr>
              <w:t>80</w:t>
            </w:r>
            <w:r>
              <w:t>ZBD</w:t>
            </w:r>
            <w:r>
              <w:rPr>
                <w:spacing w:val="6"/>
              </w:rPr>
              <w:t>-400  n=1150r/</w:t>
            </w:r>
            <w:r>
              <w:t>min</w:t>
            </w:r>
          </w:p>
        </w:tc>
        <w:tc>
          <w:tcPr>
            <w:tcW w:w="708" w:type="dxa"/>
            <w:vAlign w:val="top"/>
          </w:tcPr>
          <w:p w14:paraId="7F8628BA">
            <w:pPr>
              <w:pStyle w:val="6"/>
              <w:spacing w:before="58" w:line="230" w:lineRule="auto"/>
              <w:ind w:left="273"/>
            </w:pPr>
            <w:r>
              <w:t>台</w:t>
            </w:r>
          </w:p>
        </w:tc>
        <w:tc>
          <w:tcPr>
            <w:tcW w:w="691" w:type="dxa"/>
            <w:vAlign w:val="top"/>
          </w:tcPr>
          <w:p w14:paraId="1BAE8F56">
            <w:pPr>
              <w:pStyle w:val="6"/>
              <w:spacing w:before="58" w:line="235" w:lineRule="auto"/>
              <w:ind w:left="300"/>
            </w:pPr>
            <w:r>
              <w:t>2</w:t>
            </w:r>
          </w:p>
        </w:tc>
      </w:tr>
      <w:tr w14:paraId="5ED75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4A2BF8C">
            <w:pPr>
              <w:pStyle w:val="6"/>
              <w:spacing w:before="59" w:line="235" w:lineRule="auto"/>
              <w:ind w:left="237"/>
            </w:pPr>
            <w:r>
              <w:rPr>
                <w:spacing w:val="-7"/>
              </w:rPr>
              <w:t>17</w:t>
            </w:r>
          </w:p>
        </w:tc>
        <w:tc>
          <w:tcPr>
            <w:tcW w:w="2490" w:type="dxa"/>
            <w:vAlign w:val="top"/>
          </w:tcPr>
          <w:p w14:paraId="6B98B219">
            <w:pPr>
              <w:pStyle w:val="6"/>
              <w:spacing w:before="58" w:line="228" w:lineRule="auto"/>
              <w:ind w:left="33"/>
            </w:pPr>
            <w:r>
              <w:rPr>
                <w:spacing w:val="8"/>
              </w:rPr>
              <w:t>石灰乳添加搅拌槽</w:t>
            </w:r>
          </w:p>
        </w:tc>
        <w:tc>
          <w:tcPr>
            <w:tcW w:w="3804" w:type="dxa"/>
            <w:vAlign w:val="top"/>
          </w:tcPr>
          <w:p w14:paraId="2C1BD227">
            <w:pPr>
              <w:pStyle w:val="6"/>
              <w:spacing w:before="59" w:line="235" w:lineRule="auto"/>
              <w:ind w:left="1483"/>
            </w:pPr>
            <w:r>
              <w:t>BC</w:t>
            </w:r>
            <w:r>
              <w:rPr>
                <w:spacing w:val="7"/>
              </w:rPr>
              <w:t>φ2500</w:t>
            </w:r>
          </w:p>
        </w:tc>
        <w:tc>
          <w:tcPr>
            <w:tcW w:w="708" w:type="dxa"/>
            <w:vAlign w:val="top"/>
          </w:tcPr>
          <w:p w14:paraId="27871C2E">
            <w:pPr>
              <w:pStyle w:val="6"/>
              <w:spacing w:before="58" w:line="230" w:lineRule="auto"/>
              <w:ind w:left="273"/>
            </w:pPr>
            <w:r>
              <w:t>台</w:t>
            </w:r>
          </w:p>
        </w:tc>
        <w:tc>
          <w:tcPr>
            <w:tcW w:w="691" w:type="dxa"/>
            <w:vAlign w:val="top"/>
          </w:tcPr>
          <w:p w14:paraId="2A059EA4">
            <w:pPr>
              <w:pStyle w:val="6"/>
              <w:spacing w:before="59" w:line="235" w:lineRule="auto"/>
              <w:ind w:left="313"/>
            </w:pPr>
            <w:r>
              <w:t>1</w:t>
            </w:r>
          </w:p>
        </w:tc>
      </w:tr>
      <w:tr w14:paraId="39AC0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3C4E4297">
            <w:pPr>
              <w:pStyle w:val="6"/>
              <w:spacing w:before="58" w:line="231" w:lineRule="auto"/>
              <w:ind w:left="241"/>
            </w:pPr>
            <w:r>
              <w:t>四</w:t>
            </w:r>
          </w:p>
        </w:tc>
        <w:tc>
          <w:tcPr>
            <w:tcW w:w="7693" w:type="dxa"/>
            <w:gridSpan w:val="4"/>
            <w:vAlign w:val="top"/>
          </w:tcPr>
          <w:p w14:paraId="1BCA4518">
            <w:pPr>
              <w:pStyle w:val="6"/>
              <w:spacing w:before="58" w:line="228" w:lineRule="auto"/>
              <w:ind w:left="33"/>
            </w:pPr>
            <w:r>
              <w:rPr>
                <w:spacing w:val="7"/>
              </w:rPr>
              <w:t>脱水车间</w:t>
            </w:r>
          </w:p>
        </w:tc>
      </w:tr>
      <w:tr w14:paraId="33338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6FCBB6F">
            <w:pPr>
              <w:pStyle w:val="6"/>
              <w:spacing w:before="59" w:line="235" w:lineRule="auto"/>
              <w:ind w:left="287"/>
            </w:pPr>
            <w:r>
              <w:t>1</w:t>
            </w:r>
          </w:p>
        </w:tc>
        <w:tc>
          <w:tcPr>
            <w:tcW w:w="2490" w:type="dxa"/>
            <w:vAlign w:val="top"/>
          </w:tcPr>
          <w:p w14:paraId="23B8307C">
            <w:pPr>
              <w:pStyle w:val="6"/>
              <w:spacing w:before="59" w:line="227" w:lineRule="auto"/>
              <w:ind w:left="52"/>
            </w:pPr>
            <w:r>
              <w:rPr>
                <w:spacing w:val="5"/>
              </w:rPr>
              <w:t>中心传动浓缩机</w:t>
            </w:r>
          </w:p>
        </w:tc>
        <w:tc>
          <w:tcPr>
            <w:tcW w:w="3804" w:type="dxa"/>
            <w:vAlign w:val="top"/>
          </w:tcPr>
          <w:p w14:paraId="68F6F760">
            <w:pPr>
              <w:pStyle w:val="6"/>
              <w:spacing w:before="59" w:line="235" w:lineRule="auto"/>
              <w:ind w:left="1587"/>
            </w:pPr>
            <w:r>
              <w:t>NXZ</w:t>
            </w:r>
            <w:r>
              <w:rPr>
                <w:spacing w:val="9"/>
              </w:rPr>
              <w:t>-18</w:t>
            </w:r>
          </w:p>
        </w:tc>
        <w:tc>
          <w:tcPr>
            <w:tcW w:w="708" w:type="dxa"/>
            <w:vAlign w:val="top"/>
          </w:tcPr>
          <w:p w14:paraId="6CC10FDC">
            <w:pPr>
              <w:pStyle w:val="6"/>
              <w:spacing w:before="59" w:line="230" w:lineRule="auto"/>
              <w:ind w:left="273"/>
            </w:pPr>
            <w:r>
              <w:t>台</w:t>
            </w:r>
          </w:p>
        </w:tc>
        <w:tc>
          <w:tcPr>
            <w:tcW w:w="691" w:type="dxa"/>
            <w:vAlign w:val="top"/>
          </w:tcPr>
          <w:p w14:paraId="79DB50AB">
            <w:pPr>
              <w:pStyle w:val="6"/>
              <w:spacing w:before="59" w:line="235" w:lineRule="auto"/>
              <w:ind w:left="313"/>
            </w:pPr>
            <w:r>
              <w:t>1</w:t>
            </w:r>
          </w:p>
        </w:tc>
      </w:tr>
      <w:tr w14:paraId="6B5B7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705F89E">
            <w:pPr>
              <w:pStyle w:val="6"/>
              <w:spacing w:before="59" w:line="235" w:lineRule="auto"/>
              <w:ind w:left="274"/>
            </w:pPr>
            <w:r>
              <w:t>2</w:t>
            </w:r>
          </w:p>
        </w:tc>
        <w:tc>
          <w:tcPr>
            <w:tcW w:w="2490" w:type="dxa"/>
            <w:vAlign w:val="top"/>
          </w:tcPr>
          <w:p w14:paraId="64A94E02">
            <w:pPr>
              <w:pStyle w:val="6"/>
              <w:spacing w:before="59" w:line="227" w:lineRule="auto"/>
              <w:ind w:left="52"/>
            </w:pPr>
            <w:r>
              <w:rPr>
                <w:spacing w:val="5"/>
              </w:rPr>
              <w:t>中心传动浓缩机</w:t>
            </w:r>
          </w:p>
        </w:tc>
        <w:tc>
          <w:tcPr>
            <w:tcW w:w="3804" w:type="dxa"/>
            <w:vAlign w:val="top"/>
          </w:tcPr>
          <w:p w14:paraId="1A74CB79">
            <w:pPr>
              <w:pStyle w:val="6"/>
              <w:spacing w:before="59" w:line="235" w:lineRule="auto"/>
              <w:ind w:left="1587"/>
            </w:pPr>
            <w:r>
              <w:t>NXZ</w:t>
            </w:r>
            <w:r>
              <w:rPr>
                <w:spacing w:val="9"/>
              </w:rPr>
              <w:t>-22</w:t>
            </w:r>
          </w:p>
        </w:tc>
        <w:tc>
          <w:tcPr>
            <w:tcW w:w="708" w:type="dxa"/>
            <w:vAlign w:val="top"/>
          </w:tcPr>
          <w:p w14:paraId="32D96682">
            <w:pPr>
              <w:pStyle w:val="6"/>
              <w:spacing w:before="59" w:line="230" w:lineRule="auto"/>
              <w:ind w:left="273"/>
            </w:pPr>
            <w:r>
              <w:t>台</w:t>
            </w:r>
          </w:p>
        </w:tc>
        <w:tc>
          <w:tcPr>
            <w:tcW w:w="691" w:type="dxa"/>
            <w:vAlign w:val="top"/>
          </w:tcPr>
          <w:p w14:paraId="66917E81">
            <w:pPr>
              <w:pStyle w:val="6"/>
              <w:spacing w:before="59" w:line="235" w:lineRule="auto"/>
              <w:ind w:left="300"/>
            </w:pPr>
            <w:r>
              <w:t>2</w:t>
            </w:r>
          </w:p>
        </w:tc>
      </w:tr>
      <w:tr w14:paraId="54330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24AAE38">
            <w:pPr>
              <w:pStyle w:val="6"/>
              <w:spacing w:before="59" w:line="235" w:lineRule="auto"/>
              <w:ind w:left="276"/>
            </w:pPr>
            <w:r>
              <w:t>3</w:t>
            </w:r>
          </w:p>
        </w:tc>
        <w:tc>
          <w:tcPr>
            <w:tcW w:w="2490" w:type="dxa"/>
            <w:vAlign w:val="top"/>
          </w:tcPr>
          <w:p w14:paraId="7905D4E5">
            <w:pPr>
              <w:pStyle w:val="6"/>
              <w:spacing w:before="58" w:line="228" w:lineRule="auto"/>
              <w:ind w:left="32"/>
            </w:pPr>
            <w:r>
              <w:rPr>
                <w:spacing w:val="6"/>
              </w:rPr>
              <w:t>渣浆泵</w:t>
            </w:r>
          </w:p>
        </w:tc>
        <w:tc>
          <w:tcPr>
            <w:tcW w:w="3804" w:type="dxa"/>
            <w:vAlign w:val="top"/>
          </w:tcPr>
          <w:p w14:paraId="478CAEB2">
            <w:pPr>
              <w:pStyle w:val="6"/>
              <w:spacing w:before="58" w:line="233" w:lineRule="auto"/>
              <w:ind w:left="758"/>
            </w:pPr>
            <w:r>
              <w:rPr>
                <w:spacing w:val="6"/>
              </w:rPr>
              <w:t>50</w:t>
            </w:r>
            <w:r>
              <w:t>ZBD</w:t>
            </w:r>
            <w:r>
              <w:rPr>
                <w:spacing w:val="6"/>
              </w:rPr>
              <w:t>-315  n=1200r/</w:t>
            </w:r>
            <w:r>
              <w:t>min</w:t>
            </w:r>
          </w:p>
        </w:tc>
        <w:tc>
          <w:tcPr>
            <w:tcW w:w="708" w:type="dxa"/>
            <w:vAlign w:val="top"/>
          </w:tcPr>
          <w:p w14:paraId="7CBCB085">
            <w:pPr>
              <w:pStyle w:val="6"/>
              <w:spacing w:before="59" w:line="230" w:lineRule="auto"/>
              <w:ind w:left="273"/>
            </w:pPr>
            <w:r>
              <w:t>台</w:t>
            </w:r>
          </w:p>
        </w:tc>
        <w:tc>
          <w:tcPr>
            <w:tcW w:w="691" w:type="dxa"/>
            <w:vAlign w:val="top"/>
          </w:tcPr>
          <w:p w14:paraId="5D2C2FC4">
            <w:pPr>
              <w:pStyle w:val="6"/>
              <w:spacing w:before="59" w:line="235" w:lineRule="auto"/>
              <w:ind w:left="297"/>
            </w:pPr>
            <w:r>
              <w:t>4</w:t>
            </w:r>
          </w:p>
        </w:tc>
      </w:tr>
      <w:tr w14:paraId="50E9C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3C67AB4">
            <w:pPr>
              <w:pStyle w:val="6"/>
              <w:spacing w:before="59" w:line="235" w:lineRule="auto"/>
              <w:ind w:left="271"/>
            </w:pPr>
            <w:r>
              <w:t>4</w:t>
            </w:r>
          </w:p>
        </w:tc>
        <w:tc>
          <w:tcPr>
            <w:tcW w:w="2490" w:type="dxa"/>
            <w:vAlign w:val="top"/>
          </w:tcPr>
          <w:p w14:paraId="6A09066A">
            <w:pPr>
              <w:pStyle w:val="6"/>
              <w:spacing w:before="58" w:line="227" w:lineRule="auto"/>
              <w:ind w:left="44"/>
            </w:pPr>
            <w:r>
              <w:rPr>
                <w:spacing w:val="5"/>
              </w:rPr>
              <w:t>陶瓷过滤机</w:t>
            </w:r>
          </w:p>
        </w:tc>
        <w:tc>
          <w:tcPr>
            <w:tcW w:w="3804" w:type="dxa"/>
            <w:vAlign w:val="top"/>
          </w:tcPr>
          <w:p w14:paraId="2851F2E9">
            <w:pPr>
              <w:pStyle w:val="6"/>
              <w:spacing w:before="41" w:line="273" w:lineRule="exact"/>
              <w:ind w:left="1730"/>
              <w:rPr>
                <w:sz w:val="10"/>
                <w:szCs w:val="10"/>
              </w:rPr>
            </w:pPr>
            <w:r>
              <w:rPr>
                <w:spacing w:val="1"/>
              </w:rPr>
              <w:t>35m</w:t>
            </w:r>
            <w:r>
              <w:rPr>
                <w:spacing w:val="1"/>
                <w:position w:val="9"/>
                <w:sz w:val="10"/>
                <w:szCs w:val="10"/>
              </w:rPr>
              <w:t>2</w:t>
            </w:r>
          </w:p>
        </w:tc>
        <w:tc>
          <w:tcPr>
            <w:tcW w:w="708" w:type="dxa"/>
            <w:vAlign w:val="top"/>
          </w:tcPr>
          <w:p w14:paraId="417D1B8A">
            <w:pPr>
              <w:pStyle w:val="6"/>
              <w:spacing w:before="58" w:line="230" w:lineRule="auto"/>
              <w:ind w:left="273"/>
            </w:pPr>
            <w:r>
              <w:t>台</w:t>
            </w:r>
          </w:p>
        </w:tc>
        <w:tc>
          <w:tcPr>
            <w:tcW w:w="691" w:type="dxa"/>
            <w:vAlign w:val="top"/>
          </w:tcPr>
          <w:p w14:paraId="0124578A">
            <w:pPr>
              <w:pStyle w:val="6"/>
              <w:spacing w:before="59" w:line="235" w:lineRule="auto"/>
              <w:ind w:left="313"/>
            </w:pPr>
            <w:r>
              <w:t>1</w:t>
            </w:r>
          </w:p>
        </w:tc>
      </w:tr>
      <w:tr w14:paraId="6C910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ED1FABA">
            <w:pPr>
              <w:pStyle w:val="6"/>
              <w:spacing w:before="58" w:line="236" w:lineRule="auto"/>
              <w:ind w:left="276"/>
            </w:pPr>
            <w:r>
              <w:t>5</w:t>
            </w:r>
          </w:p>
        </w:tc>
        <w:tc>
          <w:tcPr>
            <w:tcW w:w="2490" w:type="dxa"/>
            <w:vAlign w:val="top"/>
          </w:tcPr>
          <w:p w14:paraId="5ED13BE1">
            <w:pPr>
              <w:pStyle w:val="6"/>
              <w:spacing w:before="58" w:line="227" w:lineRule="auto"/>
              <w:ind w:left="44"/>
            </w:pPr>
            <w:r>
              <w:rPr>
                <w:spacing w:val="5"/>
              </w:rPr>
              <w:t>陶瓷过滤机</w:t>
            </w:r>
          </w:p>
        </w:tc>
        <w:tc>
          <w:tcPr>
            <w:tcW w:w="3804" w:type="dxa"/>
            <w:vAlign w:val="top"/>
          </w:tcPr>
          <w:p w14:paraId="55B79169">
            <w:pPr>
              <w:pStyle w:val="6"/>
              <w:spacing w:before="41" w:line="273" w:lineRule="exact"/>
              <w:ind w:left="1727"/>
              <w:rPr>
                <w:sz w:val="10"/>
                <w:szCs w:val="10"/>
              </w:rPr>
            </w:pPr>
            <w:r>
              <w:rPr>
                <w:spacing w:val="1"/>
              </w:rPr>
              <w:t>60m</w:t>
            </w:r>
            <w:r>
              <w:rPr>
                <w:spacing w:val="1"/>
                <w:position w:val="9"/>
                <w:sz w:val="10"/>
                <w:szCs w:val="10"/>
              </w:rPr>
              <w:t>2</w:t>
            </w:r>
          </w:p>
        </w:tc>
        <w:tc>
          <w:tcPr>
            <w:tcW w:w="708" w:type="dxa"/>
            <w:vAlign w:val="top"/>
          </w:tcPr>
          <w:p w14:paraId="53A1BEB5">
            <w:pPr>
              <w:pStyle w:val="6"/>
              <w:spacing w:before="58" w:line="230" w:lineRule="auto"/>
              <w:ind w:left="273"/>
            </w:pPr>
            <w:r>
              <w:t>台</w:t>
            </w:r>
          </w:p>
        </w:tc>
        <w:tc>
          <w:tcPr>
            <w:tcW w:w="691" w:type="dxa"/>
            <w:vAlign w:val="top"/>
          </w:tcPr>
          <w:p w14:paraId="4B4AFC61">
            <w:pPr>
              <w:pStyle w:val="6"/>
              <w:spacing w:before="58" w:line="236" w:lineRule="auto"/>
              <w:ind w:left="313"/>
            </w:pPr>
            <w:r>
              <w:t>1</w:t>
            </w:r>
          </w:p>
        </w:tc>
      </w:tr>
      <w:tr w14:paraId="0753F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4A04C8D">
            <w:pPr>
              <w:pStyle w:val="6"/>
              <w:spacing w:before="58" w:line="236" w:lineRule="auto"/>
              <w:ind w:left="224"/>
            </w:pPr>
            <w:r>
              <w:t>五</w:t>
            </w:r>
          </w:p>
        </w:tc>
        <w:tc>
          <w:tcPr>
            <w:tcW w:w="7693" w:type="dxa"/>
            <w:gridSpan w:val="4"/>
            <w:vAlign w:val="top"/>
          </w:tcPr>
          <w:p w14:paraId="48B752F4">
            <w:pPr>
              <w:pStyle w:val="6"/>
              <w:spacing w:before="58" w:line="227" w:lineRule="auto"/>
              <w:ind w:left="35"/>
            </w:pPr>
            <w:r>
              <w:rPr>
                <w:spacing w:val="6"/>
              </w:rPr>
              <w:t>药剂制备</w:t>
            </w:r>
          </w:p>
        </w:tc>
      </w:tr>
      <w:tr w14:paraId="4E7E1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C3BDEFA">
            <w:pPr>
              <w:pStyle w:val="6"/>
              <w:spacing w:before="58" w:line="236" w:lineRule="auto"/>
              <w:ind w:left="287"/>
            </w:pPr>
            <w:r>
              <w:t>1</w:t>
            </w:r>
          </w:p>
        </w:tc>
        <w:tc>
          <w:tcPr>
            <w:tcW w:w="2490" w:type="dxa"/>
            <w:vAlign w:val="top"/>
          </w:tcPr>
          <w:p w14:paraId="16E8926F">
            <w:pPr>
              <w:pStyle w:val="6"/>
              <w:spacing w:before="58" w:line="228" w:lineRule="auto"/>
              <w:ind w:left="32"/>
            </w:pPr>
            <w:r>
              <w:rPr>
                <w:spacing w:val="8"/>
              </w:rPr>
              <w:t>立式石灰仓罐</w:t>
            </w:r>
          </w:p>
        </w:tc>
        <w:tc>
          <w:tcPr>
            <w:tcW w:w="3804" w:type="dxa"/>
            <w:vAlign w:val="top"/>
          </w:tcPr>
          <w:p w14:paraId="4C525DAE">
            <w:pPr>
              <w:pStyle w:val="6"/>
              <w:spacing w:before="43" w:line="241" w:lineRule="auto"/>
              <w:ind w:left="886"/>
            </w:pPr>
            <w:r>
              <w:rPr>
                <w:spacing w:val="6"/>
              </w:rPr>
              <w:t>80m</w:t>
            </w:r>
            <w:r>
              <w:rPr>
                <w:spacing w:val="6"/>
                <w:position w:val="10"/>
                <w:sz w:val="10"/>
                <w:szCs w:val="10"/>
              </w:rPr>
              <w:t>3</w:t>
            </w:r>
            <w:r>
              <w:rPr>
                <w:spacing w:val="6"/>
              </w:rPr>
              <w:t>（配螺旋输送机）</w:t>
            </w:r>
          </w:p>
        </w:tc>
        <w:tc>
          <w:tcPr>
            <w:tcW w:w="708" w:type="dxa"/>
            <w:vAlign w:val="top"/>
          </w:tcPr>
          <w:p w14:paraId="322B284E">
            <w:pPr>
              <w:pStyle w:val="6"/>
              <w:spacing w:before="58" w:line="230" w:lineRule="auto"/>
              <w:ind w:left="273"/>
            </w:pPr>
            <w:r>
              <w:t>台</w:t>
            </w:r>
          </w:p>
        </w:tc>
        <w:tc>
          <w:tcPr>
            <w:tcW w:w="691" w:type="dxa"/>
            <w:vAlign w:val="top"/>
          </w:tcPr>
          <w:p w14:paraId="672E2538">
            <w:pPr>
              <w:pStyle w:val="6"/>
              <w:spacing w:before="58" w:line="236" w:lineRule="auto"/>
              <w:ind w:left="300"/>
            </w:pPr>
            <w:r>
              <w:t>2</w:t>
            </w:r>
          </w:p>
        </w:tc>
      </w:tr>
      <w:tr w14:paraId="0D537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D177C14">
            <w:pPr>
              <w:pStyle w:val="6"/>
              <w:spacing w:before="58" w:line="236" w:lineRule="auto"/>
              <w:ind w:left="274"/>
            </w:pPr>
            <w:r>
              <w:t>2</w:t>
            </w:r>
          </w:p>
        </w:tc>
        <w:tc>
          <w:tcPr>
            <w:tcW w:w="2490" w:type="dxa"/>
            <w:vAlign w:val="top"/>
          </w:tcPr>
          <w:p w14:paraId="1A5AE295">
            <w:pPr>
              <w:pStyle w:val="6"/>
              <w:spacing w:before="58" w:line="227" w:lineRule="auto"/>
              <w:ind w:left="31"/>
            </w:pPr>
            <w:r>
              <w:rPr>
                <w:spacing w:val="8"/>
              </w:rPr>
              <w:t>锥底药剂搅拌槽</w:t>
            </w:r>
          </w:p>
        </w:tc>
        <w:tc>
          <w:tcPr>
            <w:tcW w:w="3804" w:type="dxa"/>
            <w:vAlign w:val="top"/>
          </w:tcPr>
          <w:p w14:paraId="5DD4D691">
            <w:pPr>
              <w:pStyle w:val="6"/>
              <w:spacing w:before="58" w:line="236" w:lineRule="auto"/>
              <w:ind w:left="1386"/>
            </w:pPr>
            <w:r>
              <w:rPr>
                <w:spacing w:val="4"/>
              </w:rPr>
              <w:t>3000×3000</w:t>
            </w:r>
          </w:p>
        </w:tc>
        <w:tc>
          <w:tcPr>
            <w:tcW w:w="708" w:type="dxa"/>
            <w:vAlign w:val="top"/>
          </w:tcPr>
          <w:p w14:paraId="3D24CF74">
            <w:pPr>
              <w:pStyle w:val="6"/>
              <w:spacing w:before="58" w:line="230" w:lineRule="auto"/>
              <w:ind w:left="273"/>
            </w:pPr>
            <w:r>
              <w:t>台</w:t>
            </w:r>
          </w:p>
        </w:tc>
        <w:tc>
          <w:tcPr>
            <w:tcW w:w="691" w:type="dxa"/>
            <w:vAlign w:val="top"/>
          </w:tcPr>
          <w:p w14:paraId="48FA0307">
            <w:pPr>
              <w:pStyle w:val="6"/>
              <w:spacing w:before="58" w:line="236" w:lineRule="auto"/>
              <w:ind w:left="313"/>
            </w:pPr>
            <w:r>
              <w:t>1</w:t>
            </w:r>
          </w:p>
        </w:tc>
      </w:tr>
      <w:tr w14:paraId="2C61E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1677E2F">
            <w:pPr>
              <w:pStyle w:val="6"/>
              <w:spacing w:before="60" w:line="234" w:lineRule="auto"/>
              <w:ind w:left="276"/>
            </w:pPr>
            <w:r>
              <w:t>3</w:t>
            </w:r>
          </w:p>
        </w:tc>
        <w:tc>
          <w:tcPr>
            <w:tcW w:w="2490" w:type="dxa"/>
            <w:vAlign w:val="top"/>
          </w:tcPr>
          <w:p w14:paraId="46F53B98">
            <w:pPr>
              <w:pStyle w:val="6"/>
              <w:spacing w:before="60" w:line="227" w:lineRule="auto"/>
              <w:ind w:left="31"/>
            </w:pPr>
            <w:r>
              <w:rPr>
                <w:spacing w:val="8"/>
              </w:rPr>
              <w:t>平底药剂搅拌槽</w:t>
            </w:r>
          </w:p>
        </w:tc>
        <w:tc>
          <w:tcPr>
            <w:tcW w:w="3804" w:type="dxa"/>
            <w:vAlign w:val="top"/>
          </w:tcPr>
          <w:p w14:paraId="737EDB7C">
            <w:pPr>
              <w:pStyle w:val="6"/>
              <w:spacing w:before="60" w:line="234" w:lineRule="auto"/>
              <w:ind w:left="1386"/>
            </w:pPr>
            <w:r>
              <w:rPr>
                <w:spacing w:val="4"/>
              </w:rPr>
              <w:t>3000×3000</w:t>
            </w:r>
          </w:p>
        </w:tc>
        <w:tc>
          <w:tcPr>
            <w:tcW w:w="708" w:type="dxa"/>
            <w:vAlign w:val="top"/>
          </w:tcPr>
          <w:p w14:paraId="5EB1640A">
            <w:pPr>
              <w:pStyle w:val="6"/>
              <w:spacing w:before="60" w:line="230" w:lineRule="auto"/>
              <w:ind w:left="273"/>
            </w:pPr>
            <w:r>
              <w:t>台</w:t>
            </w:r>
          </w:p>
        </w:tc>
        <w:tc>
          <w:tcPr>
            <w:tcW w:w="691" w:type="dxa"/>
            <w:vAlign w:val="top"/>
          </w:tcPr>
          <w:p w14:paraId="4AFCEDB3">
            <w:pPr>
              <w:pStyle w:val="6"/>
              <w:spacing w:before="60" w:line="234" w:lineRule="auto"/>
              <w:ind w:left="300"/>
            </w:pPr>
            <w:r>
              <w:t>2</w:t>
            </w:r>
          </w:p>
        </w:tc>
      </w:tr>
      <w:tr w14:paraId="30617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A1FEE14">
            <w:pPr>
              <w:pStyle w:val="6"/>
              <w:spacing w:before="60" w:line="234" w:lineRule="auto"/>
              <w:ind w:left="271"/>
            </w:pPr>
            <w:r>
              <w:t>4</w:t>
            </w:r>
          </w:p>
        </w:tc>
        <w:tc>
          <w:tcPr>
            <w:tcW w:w="2490" w:type="dxa"/>
            <w:vAlign w:val="top"/>
          </w:tcPr>
          <w:p w14:paraId="2B6607A8">
            <w:pPr>
              <w:pStyle w:val="6"/>
              <w:spacing w:before="59" w:line="228" w:lineRule="auto"/>
              <w:ind w:left="32"/>
            </w:pPr>
            <w:r>
              <w:rPr>
                <w:spacing w:val="6"/>
              </w:rPr>
              <w:t>渣浆泵</w:t>
            </w:r>
          </w:p>
        </w:tc>
        <w:tc>
          <w:tcPr>
            <w:tcW w:w="3804" w:type="dxa"/>
            <w:vAlign w:val="top"/>
          </w:tcPr>
          <w:p w14:paraId="3000FA2E">
            <w:pPr>
              <w:pStyle w:val="6"/>
              <w:spacing w:before="59" w:line="233" w:lineRule="auto"/>
              <w:ind w:left="1854"/>
            </w:pPr>
            <w:r>
              <w:t>/</w:t>
            </w:r>
          </w:p>
        </w:tc>
        <w:tc>
          <w:tcPr>
            <w:tcW w:w="708" w:type="dxa"/>
            <w:vAlign w:val="top"/>
          </w:tcPr>
          <w:p w14:paraId="489BFA2C">
            <w:pPr>
              <w:pStyle w:val="6"/>
              <w:spacing w:before="60" w:line="230" w:lineRule="auto"/>
              <w:ind w:left="273"/>
            </w:pPr>
            <w:r>
              <w:t>台</w:t>
            </w:r>
          </w:p>
        </w:tc>
        <w:tc>
          <w:tcPr>
            <w:tcW w:w="691" w:type="dxa"/>
            <w:vAlign w:val="top"/>
          </w:tcPr>
          <w:p w14:paraId="7AC20310">
            <w:pPr>
              <w:pStyle w:val="6"/>
              <w:spacing w:before="60" w:line="234" w:lineRule="auto"/>
              <w:ind w:left="300"/>
            </w:pPr>
            <w:r>
              <w:t>2</w:t>
            </w:r>
          </w:p>
        </w:tc>
      </w:tr>
      <w:tr w14:paraId="5F866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DB5F3A1">
            <w:pPr>
              <w:pStyle w:val="6"/>
              <w:spacing w:before="60" w:line="234" w:lineRule="auto"/>
              <w:ind w:left="276"/>
            </w:pPr>
            <w:r>
              <w:t>5</w:t>
            </w:r>
          </w:p>
        </w:tc>
        <w:tc>
          <w:tcPr>
            <w:tcW w:w="2490" w:type="dxa"/>
            <w:vAlign w:val="top"/>
          </w:tcPr>
          <w:p w14:paraId="0406D497">
            <w:pPr>
              <w:pStyle w:val="6"/>
              <w:spacing w:before="59" w:line="228" w:lineRule="auto"/>
              <w:ind w:left="34"/>
            </w:pPr>
            <w:r>
              <w:rPr>
                <w:spacing w:val="6"/>
              </w:rPr>
              <w:t>液下泵</w:t>
            </w:r>
          </w:p>
        </w:tc>
        <w:tc>
          <w:tcPr>
            <w:tcW w:w="3804" w:type="dxa"/>
            <w:vAlign w:val="top"/>
          </w:tcPr>
          <w:p w14:paraId="54C56C56">
            <w:pPr>
              <w:pStyle w:val="6"/>
              <w:spacing w:before="60" w:line="234" w:lineRule="auto"/>
              <w:ind w:left="1593"/>
            </w:pPr>
            <w:r>
              <w:rPr>
                <w:spacing w:val="5"/>
              </w:rPr>
              <w:t>40P-</w:t>
            </w:r>
            <w:r>
              <w:t>LP</w:t>
            </w:r>
          </w:p>
        </w:tc>
        <w:tc>
          <w:tcPr>
            <w:tcW w:w="708" w:type="dxa"/>
            <w:vAlign w:val="top"/>
          </w:tcPr>
          <w:p w14:paraId="1DD754AB">
            <w:pPr>
              <w:pStyle w:val="6"/>
              <w:spacing w:before="59" w:line="230" w:lineRule="auto"/>
              <w:ind w:left="273"/>
            </w:pPr>
            <w:r>
              <w:t>台</w:t>
            </w:r>
          </w:p>
        </w:tc>
        <w:tc>
          <w:tcPr>
            <w:tcW w:w="691" w:type="dxa"/>
            <w:vAlign w:val="top"/>
          </w:tcPr>
          <w:p w14:paraId="41675FE0">
            <w:pPr>
              <w:pStyle w:val="6"/>
              <w:spacing w:before="60" w:line="234" w:lineRule="auto"/>
              <w:ind w:left="300"/>
            </w:pPr>
            <w:r>
              <w:t>2</w:t>
            </w:r>
          </w:p>
        </w:tc>
      </w:tr>
      <w:tr w14:paraId="7F886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0CA5BA7F">
            <w:pPr>
              <w:pStyle w:val="6"/>
              <w:spacing w:before="59" w:line="232" w:lineRule="auto"/>
              <w:ind w:left="223"/>
            </w:pPr>
            <w:r>
              <w:t>六</w:t>
            </w:r>
          </w:p>
        </w:tc>
        <w:tc>
          <w:tcPr>
            <w:tcW w:w="7693" w:type="dxa"/>
            <w:gridSpan w:val="4"/>
            <w:vAlign w:val="top"/>
          </w:tcPr>
          <w:p w14:paraId="424675FD">
            <w:pPr>
              <w:pStyle w:val="6"/>
              <w:spacing w:before="59" w:line="228" w:lineRule="auto"/>
              <w:ind w:left="32"/>
            </w:pPr>
            <w:r>
              <w:rPr>
                <w:spacing w:val="8"/>
              </w:rPr>
              <w:t>尾矿回水处理</w:t>
            </w:r>
          </w:p>
        </w:tc>
      </w:tr>
      <w:tr w14:paraId="74F75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77B15EB">
            <w:pPr>
              <w:pStyle w:val="6"/>
              <w:spacing w:before="59" w:line="235" w:lineRule="auto"/>
              <w:ind w:left="287"/>
            </w:pPr>
            <w:r>
              <w:t>1</w:t>
            </w:r>
          </w:p>
        </w:tc>
        <w:tc>
          <w:tcPr>
            <w:tcW w:w="2490" w:type="dxa"/>
            <w:vAlign w:val="top"/>
          </w:tcPr>
          <w:p w14:paraId="49DC595C">
            <w:pPr>
              <w:pStyle w:val="6"/>
              <w:spacing w:before="59" w:line="228" w:lineRule="auto"/>
              <w:ind w:left="67"/>
            </w:pPr>
            <w:r>
              <w:rPr>
                <w:spacing w:val="-5"/>
              </w:rPr>
              <w:t>自吸泵</w:t>
            </w:r>
          </w:p>
        </w:tc>
        <w:tc>
          <w:tcPr>
            <w:tcW w:w="3804" w:type="dxa"/>
            <w:vAlign w:val="top"/>
          </w:tcPr>
          <w:p w14:paraId="1CEA0749">
            <w:pPr>
              <w:pStyle w:val="6"/>
              <w:spacing w:before="42" w:line="269" w:lineRule="exact"/>
              <w:ind w:left="1093"/>
            </w:pPr>
            <w:r>
              <w:rPr>
                <w:spacing w:val="4"/>
              </w:rPr>
              <w:t>Q=200m</w:t>
            </w:r>
            <w:r>
              <w:rPr>
                <w:spacing w:val="4"/>
                <w:position w:val="10"/>
                <w:sz w:val="10"/>
                <w:szCs w:val="10"/>
              </w:rPr>
              <w:t>3</w:t>
            </w:r>
            <w:r>
              <w:rPr>
                <w:spacing w:val="4"/>
              </w:rPr>
              <w:t>/h，H=15m</w:t>
            </w:r>
          </w:p>
        </w:tc>
        <w:tc>
          <w:tcPr>
            <w:tcW w:w="708" w:type="dxa"/>
            <w:vAlign w:val="top"/>
          </w:tcPr>
          <w:p w14:paraId="6DF05DA7">
            <w:pPr>
              <w:pStyle w:val="6"/>
              <w:spacing w:before="59" w:line="230" w:lineRule="auto"/>
              <w:ind w:left="273"/>
            </w:pPr>
            <w:r>
              <w:t>台</w:t>
            </w:r>
          </w:p>
        </w:tc>
        <w:tc>
          <w:tcPr>
            <w:tcW w:w="691" w:type="dxa"/>
            <w:vAlign w:val="top"/>
          </w:tcPr>
          <w:p w14:paraId="447C8B5E">
            <w:pPr>
              <w:pStyle w:val="6"/>
              <w:spacing w:before="59" w:line="235" w:lineRule="auto"/>
              <w:ind w:left="300"/>
            </w:pPr>
            <w:r>
              <w:t>2</w:t>
            </w:r>
          </w:p>
        </w:tc>
      </w:tr>
      <w:tr w14:paraId="75D77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3A15F69">
            <w:pPr>
              <w:pStyle w:val="6"/>
              <w:spacing w:before="59" w:line="235" w:lineRule="auto"/>
              <w:ind w:left="274"/>
            </w:pPr>
            <w:r>
              <w:t>2</w:t>
            </w:r>
          </w:p>
        </w:tc>
        <w:tc>
          <w:tcPr>
            <w:tcW w:w="2490" w:type="dxa"/>
            <w:vAlign w:val="top"/>
          </w:tcPr>
          <w:p w14:paraId="52E3285B">
            <w:pPr>
              <w:pStyle w:val="6"/>
              <w:spacing w:before="59" w:line="227" w:lineRule="auto"/>
              <w:ind w:left="34"/>
            </w:pPr>
            <w:r>
              <w:rPr>
                <w:spacing w:val="6"/>
              </w:rPr>
              <w:t>罗茨风机</w:t>
            </w:r>
          </w:p>
        </w:tc>
        <w:tc>
          <w:tcPr>
            <w:tcW w:w="3804" w:type="dxa"/>
            <w:vAlign w:val="top"/>
          </w:tcPr>
          <w:p w14:paraId="5F0BD636">
            <w:pPr>
              <w:pStyle w:val="6"/>
              <w:spacing w:before="42" w:line="269" w:lineRule="exact"/>
              <w:ind w:left="1407"/>
            </w:pPr>
            <w:r>
              <w:rPr>
                <w:spacing w:val="5"/>
              </w:rPr>
              <w:t>Q=32m</w:t>
            </w:r>
            <w:r>
              <w:rPr>
                <w:spacing w:val="5"/>
                <w:position w:val="10"/>
                <w:sz w:val="10"/>
                <w:szCs w:val="10"/>
              </w:rPr>
              <w:t>3</w:t>
            </w:r>
            <w:r>
              <w:rPr>
                <w:spacing w:val="5"/>
              </w:rPr>
              <w:t>/</w:t>
            </w:r>
            <w:r>
              <w:t>min</w:t>
            </w:r>
          </w:p>
        </w:tc>
        <w:tc>
          <w:tcPr>
            <w:tcW w:w="708" w:type="dxa"/>
            <w:vAlign w:val="top"/>
          </w:tcPr>
          <w:p w14:paraId="25216708">
            <w:pPr>
              <w:pStyle w:val="6"/>
              <w:spacing w:before="59" w:line="230" w:lineRule="auto"/>
              <w:ind w:left="273"/>
            </w:pPr>
            <w:r>
              <w:t>台</w:t>
            </w:r>
          </w:p>
        </w:tc>
        <w:tc>
          <w:tcPr>
            <w:tcW w:w="691" w:type="dxa"/>
            <w:vAlign w:val="top"/>
          </w:tcPr>
          <w:p w14:paraId="2042AF28">
            <w:pPr>
              <w:pStyle w:val="6"/>
              <w:spacing w:before="59" w:line="235" w:lineRule="auto"/>
              <w:ind w:left="300"/>
            </w:pPr>
            <w:r>
              <w:t>2</w:t>
            </w:r>
          </w:p>
        </w:tc>
      </w:tr>
      <w:tr w14:paraId="4AA1F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09108D03">
            <w:pPr>
              <w:pStyle w:val="6"/>
              <w:spacing w:before="59" w:line="235" w:lineRule="auto"/>
              <w:ind w:left="276"/>
            </w:pPr>
            <w:r>
              <w:t>3</w:t>
            </w:r>
          </w:p>
        </w:tc>
        <w:tc>
          <w:tcPr>
            <w:tcW w:w="2490" w:type="dxa"/>
            <w:vAlign w:val="top"/>
          </w:tcPr>
          <w:p w14:paraId="76078378">
            <w:pPr>
              <w:pStyle w:val="6"/>
              <w:spacing w:before="59" w:line="227" w:lineRule="auto"/>
              <w:ind w:left="31"/>
            </w:pPr>
            <w:r>
              <w:rPr>
                <w:spacing w:val="8"/>
              </w:rPr>
              <w:t>潜水搅拌机</w:t>
            </w:r>
          </w:p>
        </w:tc>
        <w:tc>
          <w:tcPr>
            <w:tcW w:w="3804" w:type="dxa"/>
            <w:vAlign w:val="top"/>
          </w:tcPr>
          <w:p w14:paraId="1D5643AD">
            <w:pPr>
              <w:pStyle w:val="6"/>
              <w:spacing w:before="58" w:line="233" w:lineRule="auto"/>
              <w:ind w:left="1854"/>
            </w:pPr>
            <w:r>
              <w:t>/</w:t>
            </w:r>
          </w:p>
        </w:tc>
        <w:tc>
          <w:tcPr>
            <w:tcW w:w="708" w:type="dxa"/>
            <w:vAlign w:val="top"/>
          </w:tcPr>
          <w:p w14:paraId="1B47EAAF">
            <w:pPr>
              <w:pStyle w:val="6"/>
              <w:spacing w:before="59" w:line="230" w:lineRule="auto"/>
              <w:ind w:left="273"/>
            </w:pPr>
            <w:r>
              <w:t>台</w:t>
            </w:r>
          </w:p>
        </w:tc>
        <w:tc>
          <w:tcPr>
            <w:tcW w:w="691" w:type="dxa"/>
            <w:vAlign w:val="top"/>
          </w:tcPr>
          <w:p w14:paraId="381C78AE">
            <w:pPr>
              <w:pStyle w:val="6"/>
              <w:spacing w:before="59" w:line="235" w:lineRule="auto"/>
              <w:ind w:left="313"/>
            </w:pPr>
            <w:r>
              <w:t>1</w:t>
            </w:r>
          </w:p>
        </w:tc>
      </w:tr>
      <w:tr w14:paraId="20214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1888D02">
            <w:pPr>
              <w:pStyle w:val="6"/>
              <w:spacing w:before="59" w:line="235" w:lineRule="auto"/>
              <w:ind w:left="271"/>
            </w:pPr>
            <w:r>
              <w:t>4</w:t>
            </w:r>
          </w:p>
        </w:tc>
        <w:tc>
          <w:tcPr>
            <w:tcW w:w="2490" w:type="dxa"/>
            <w:vAlign w:val="top"/>
          </w:tcPr>
          <w:p w14:paraId="32B76F5C">
            <w:pPr>
              <w:pStyle w:val="6"/>
              <w:spacing w:before="58" w:line="227" w:lineRule="auto"/>
              <w:ind w:left="33"/>
            </w:pPr>
            <w:r>
              <w:rPr>
                <w:spacing w:val="8"/>
              </w:rPr>
              <w:t>反应池搅拌机</w:t>
            </w:r>
          </w:p>
        </w:tc>
        <w:tc>
          <w:tcPr>
            <w:tcW w:w="3804" w:type="dxa"/>
            <w:vAlign w:val="top"/>
          </w:tcPr>
          <w:p w14:paraId="7C1A449D">
            <w:pPr>
              <w:pStyle w:val="6"/>
              <w:spacing w:before="58" w:line="233" w:lineRule="auto"/>
              <w:ind w:left="1854"/>
            </w:pPr>
            <w:r>
              <w:t>/</w:t>
            </w:r>
          </w:p>
        </w:tc>
        <w:tc>
          <w:tcPr>
            <w:tcW w:w="708" w:type="dxa"/>
            <w:vAlign w:val="top"/>
          </w:tcPr>
          <w:p w14:paraId="0BB49BB6">
            <w:pPr>
              <w:pStyle w:val="6"/>
              <w:spacing w:before="58" w:line="230" w:lineRule="auto"/>
              <w:ind w:left="273"/>
            </w:pPr>
            <w:r>
              <w:t>台</w:t>
            </w:r>
          </w:p>
        </w:tc>
        <w:tc>
          <w:tcPr>
            <w:tcW w:w="691" w:type="dxa"/>
            <w:vAlign w:val="top"/>
          </w:tcPr>
          <w:p w14:paraId="15852028">
            <w:pPr>
              <w:pStyle w:val="6"/>
              <w:spacing w:before="59" w:line="235" w:lineRule="auto"/>
              <w:ind w:left="260"/>
            </w:pPr>
            <w:r>
              <w:rPr>
                <w:spacing w:val="-7"/>
              </w:rPr>
              <w:t>10</w:t>
            </w:r>
          </w:p>
        </w:tc>
      </w:tr>
      <w:tr w14:paraId="4F663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85A6B85">
            <w:pPr>
              <w:pStyle w:val="6"/>
              <w:spacing w:before="58" w:line="236" w:lineRule="auto"/>
              <w:ind w:left="276"/>
            </w:pPr>
            <w:r>
              <w:t>5</w:t>
            </w:r>
          </w:p>
        </w:tc>
        <w:tc>
          <w:tcPr>
            <w:tcW w:w="2490" w:type="dxa"/>
            <w:vAlign w:val="top"/>
          </w:tcPr>
          <w:p w14:paraId="3051E903">
            <w:pPr>
              <w:pStyle w:val="6"/>
              <w:spacing w:before="58" w:line="227" w:lineRule="auto"/>
              <w:ind w:left="33"/>
            </w:pPr>
            <w:r>
              <w:rPr>
                <w:spacing w:val="8"/>
              </w:rPr>
              <w:t>泵吸式刮泥机</w:t>
            </w:r>
          </w:p>
        </w:tc>
        <w:tc>
          <w:tcPr>
            <w:tcW w:w="3804" w:type="dxa"/>
            <w:vAlign w:val="top"/>
          </w:tcPr>
          <w:p w14:paraId="7F8827ED">
            <w:pPr>
              <w:pStyle w:val="6"/>
              <w:spacing w:before="58" w:line="233" w:lineRule="auto"/>
              <w:ind w:left="1854"/>
            </w:pPr>
            <w:r>
              <w:t>/</w:t>
            </w:r>
          </w:p>
        </w:tc>
        <w:tc>
          <w:tcPr>
            <w:tcW w:w="708" w:type="dxa"/>
            <w:vAlign w:val="top"/>
          </w:tcPr>
          <w:p w14:paraId="752A56A4">
            <w:pPr>
              <w:pStyle w:val="6"/>
              <w:spacing w:before="58" w:line="230" w:lineRule="auto"/>
              <w:ind w:left="273"/>
            </w:pPr>
            <w:r>
              <w:t>台</w:t>
            </w:r>
          </w:p>
        </w:tc>
        <w:tc>
          <w:tcPr>
            <w:tcW w:w="691" w:type="dxa"/>
            <w:vAlign w:val="top"/>
          </w:tcPr>
          <w:p w14:paraId="21AD3A60">
            <w:pPr>
              <w:pStyle w:val="6"/>
              <w:spacing w:before="58" w:line="236" w:lineRule="auto"/>
              <w:ind w:left="313"/>
            </w:pPr>
            <w:r>
              <w:t>1</w:t>
            </w:r>
          </w:p>
        </w:tc>
      </w:tr>
      <w:tr w14:paraId="7E558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FF0D406">
            <w:pPr>
              <w:pStyle w:val="6"/>
              <w:spacing w:before="58" w:line="236" w:lineRule="auto"/>
              <w:ind w:left="273"/>
            </w:pPr>
            <w:r>
              <w:t>6</w:t>
            </w:r>
          </w:p>
        </w:tc>
        <w:tc>
          <w:tcPr>
            <w:tcW w:w="2490" w:type="dxa"/>
            <w:vAlign w:val="top"/>
          </w:tcPr>
          <w:p w14:paraId="73DBC851">
            <w:pPr>
              <w:pStyle w:val="6"/>
              <w:spacing w:before="58" w:line="228" w:lineRule="auto"/>
              <w:ind w:left="35"/>
            </w:pPr>
            <w:r>
              <w:rPr>
                <w:spacing w:val="6"/>
              </w:rPr>
              <w:t>溶气水泵</w:t>
            </w:r>
          </w:p>
        </w:tc>
        <w:tc>
          <w:tcPr>
            <w:tcW w:w="3804" w:type="dxa"/>
            <w:vAlign w:val="top"/>
          </w:tcPr>
          <w:p w14:paraId="511B46AE">
            <w:pPr>
              <w:pStyle w:val="6"/>
              <w:spacing w:before="43" w:line="267" w:lineRule="exact"/>
              <w:ind w:left="1145"/>
            </w:pPr>
            <w:r>
              <w:rPr>
                <w:spacing w:val="4"/>
              </w:rPr>
              <w:t>Q=45m</w:t>
            </w:r>
            <w:r>
              <w:rPr>
                <w:spacing w:val="4"/>
                <w:position w:val="10"/>
                <w:sz w:val="10"/>
                <w:szCs w:val="10"/>
              </w:rPr>
              <w:t>3</w:t>
            </w:r>
            <w:r>
              <w:rPr>
                <w:spacing w:val="4"/>
              </w:rPr>
              <w:t>/h，H=40m</w:t>
            </w:r>
          </w:p>
        </w:tc>
        <w:tc>
          <w:tcPr>
            <w:tcW w:w="708" w:type="dxa"/>
            <w:vAlign w:val="top"/>
          </w:tcPr>
          <w:p w14:paraId="7C3CCAD8">
            <w:pPr>
              <w:pStyle w:val="6"/>
              <w:spacing w:before="58" w:line="230" w:lineRule="auto"/>
              <w:ind w:left="273"/>
            </w:pPr>
            <w:r>
              <w:t>台</w:t>
            </w:r>
          </w:p>
        </w:tc>
        <w:tc>
          <w:tcPr>
            <w:tcW w:w="691" w:type="dxa"/>
            <w:vAlign w:val="top"/>
          </w:tcPr>
          <w:p w14:paraId="2C9E9FE7">
            <w:pPr>
              <w:pStyle w:val="6"/>
              <w:spacing w:before="58" w:line="236" w:lineRule="auto"/>
              <w:ind w:left="302"/>
            </w:pPr>
            <w:r>
              <w:t>3</w:t>
            </w:r>
          </w:p>
        </w:tc>
      </w:tr>
      <w:tr w14:paraId="5F5CA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FF906F4">
            <w:pPr>
              <w:pStyle w:val="6"/>
              <w:spacing w:before="58" w:line="236" w:lineRule="auto"/>
              <w:ind w:left="276"/>
            </w:pPr>
            <w:r>
              <w:t>7</w:t>
            </w:r>
          </w:p>
        </w:tc>
        <w:tc>
          <w:tcPr>
            <w:tcW w:w="2490" w:type="dxa"/>
            <w:vAlign w:val="top"/>
          </w:tcPr>
          <w:p w14:paraId="4ACD75F3">
            <w:pPr>
              <w:pStyle w:val="6"/>
              <w:spacing w:before="58" w:line="227" w:lineRule="auto"/>
              <w:ind w:left="39"/>
            </w:pPr>
            <w:r>
              <w:rPr>
                <w:spacing w:val="4"/>
              </w:rPr>
              <w:t>空压机</w:t>
            </w:r>
          </w:p>
        </w:tc>
        <w:tc>
          <w:tcPr>
            <w:tcW w:w="3804" w:type="dxa"/>
            <w:vAlign w:val="top"/>
          </w:tcPr>
          <w:p w14:paraId="5471DE9B">
            <w:pPr>
              <w:pStyle w:val="6"/>
              <w:spacing w:before="58" w:line="236" w:lineRule="auto"/>
              <w:ind w:left="1641"/>
            </w:pPr>
            <w:r>
              <w:rPr>
                <w:spacing w:val="4"/>
              </w:rPr>
              <w:t>V-0.2</w:t>
            </w:r>
          </w:p>
        </w:tc>
        <w:tc>
          <w:tcPr>
            <w:tcW w:w="708" w:type="dxa"/>
            <w:vAlign w:val="top"/>
          </w:tcPr>
          <w:p w14:paraId="2BE00152">
            <w:pPr>
              <w:pStyle w:val="6"/>
              <w:spacing w:before="58" w:line="230" w:lineRule="auto"/>
              <w:ind w:left="273"/>
            </w:pPr>
            <w:r>
              <w:t>台</w:t>
            </w:r>
          </w:p>
        </w:tc>
        <w:tc>
          <w:tcPr>
            <w:tcW w:w="691" w:type="dxa"/>
            <w:vAlign w:val="top"/>
          </w:tcPr>
          <w:p w14:paraId="3009DAA8">
            <w:pPr>
              <w:pStyle w:val="6"/>
              <w:spacing w:before="58" w:line="236" w:lineRule="auto"/>
              <w:ind w:left="302"/>
            </w:pPr>
            <w:r>
              <w:t>3</w:t>
            </w:r>
          </w:p>
        </w:tc>
      </w:tr>
      <w:tr w14:paraId="1132F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448675A">
            <w:pPr>
              <w:pStyle w:val="6"/>
              <w:spacing w:before="58" w:line="236" w:lineRule="auto"/>
              <w:ind w:left="272"/>
            </w:pPr>
            <w:r>
              <w:t>8</w:t>
            </w:r>
          </w:p>
        </w:tc>
        <w:tc>
          <w:tcPr>
            <w:tcW w:w="2490" w:type="dxa"/>
            <w:vAlign w:val="top"/>
          </w:tcPr>
          <w:p w14:paraId="7908AAD2">
            <w:pPr>
              <w:pStyle w:val="6"/>
              <w:spacing w:before="58" w:line="228" w:lineRule="auto"/>
              <w:ind w:left="31"/>
            </w:pPr>
            <w:r>
              <w:rPr>
                <w:spacing w:val="7"/>
              </w:rPr>
              <w:t>超滤装置</w:t>
            </w:r>
          </w:p>
        </w:tc>
        <w:tc>
          <w:tcPr>
            <w:tcW w:w="3804" w:type="dxa"/>
            <w:vAlign w:val="top"/>
          </w:tcPr>
          <w:p w14:paraId="6942E3BD">
            <w:pPr>
              <w:pStyle w:val="6"/>
              <w:spacing w:before="43" w:line="267" w:lineRule="exact"/>
              <w:ind w:left="1513"/>
            </w:pPr>
            <w:r>
              <w:rPr>
                <w:spacing w:val="3"/>
                <w:position w:val="1"/>
              </w:rPr>
              <w:t>Q=50m</w:t>
            </w:r>
            <w:r>
              <w:rPr>
                <w:spacing w:val="3"/>
                <w:position w:val="10"/>
                <w:sz w:val="10"/>
                <w:szCs w:val="10"/>
              </w:rPr>
              <w:t>3</w:t>
            </w:r>
            <w:r>
              <w:rPr>
                <w:spacing w:val="3"/>
                <w:position w:val="1"/>
              </w:rPr>
              <w:t>/h</w:t>
            </w:r>
          </w:p>
        </w:tc>
        <w:tc>
          <w:tcPr>
            <w:tcW w:w="708" w:type="dxa"/>
            <w:vAlign w:val="top"/>
          </w:tcPr>
          <w:p w14:paraId="22B84879">
            <w:pPr>
              <w:pStyle w:val="6"/>
              <w:spacing w:before="58" w:line="228" w:lineRule="auto"/>
              <w:ind w:left="257"/>
            </w:pPr>
            <w:r>
              <w:t>套</w:t>
            </w:r>
          </w:p>
        </w:tc>
        <w:tc>
          <w:tcPr>
            <w:tcW w:w="691" w:type="dxa"/>
            <w:vAlign w:val="top"/>
          </w:tcPr>
          <w:p w14:paraId="54A3A4FB">
            <w:pPr>
              <w:pStyle w:val="6"/>
              <w:spacing w:before="58" w:line="236" w:lineRule="auto"/>
              <w:ind w:left="302"/>
            </w:pPr>
            <w:r>
              <w:t>3</w:t>
            </w:r>
          </w:p>
        </w:tc>
      </w:tr>
      <w:tr w14:paraId="13257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C357E01">
            <w:pPr>
              <w:pStyle w:val="6"/>
              <w:spacing w:before="60" w:line="234" w:lineRule="auto"/>
              <w:ind w:left="272"/>
            </w:pPr>
            <w:r>
              <w:t>9</w:t>
            </w:r>
          </w:p>
        </w:tc>
        <w:tc>
          <w:tcPr>
            <w:tcW w:w="2490" w:type="dxa"/>
            <w:vAlign w:val="top"/>
          </w:tcPr>
          <w:p w14:paraId="123CF486">
            <w:pPr>
              <w:pStyle w:val="6"/>
              <w:spacing w:before="60" w:line="228" w:lineRule="auto"/>
              <w:ind w:left="31"/>
            </w:pPr>
            <w:r>
              <w:rPr>
                <w:spacing w:val="8"/>
              </w:rPr>
              <w:t>超滤反洗泵</w:t>
            </w:r>
          </w:p>
        </w:tc>
        <w:tc>
          <w:tcPr>
            <w:tcW w:w="3804" w:type="dxa"/>
            <w:vAlign w:val="top"/>
          </w:tcPr>
          <w:p w14:paraId="53B804E3">
            <w:pPr>
              <w:pStyle w:val="6"/>
              <w:spacing w:before="43" w:line="269" w:lineRule="exact"/>
              <w:ind w:left="1093"/>
            </w:pPr>
            <w:r>
              <w:rPr>
                <w:spacing w:val="4"/>
              </w:rPr>
              <w:t>Q=150m</w:t>
            </w:r>
            <w:r>
              <w:rPr>
                <w:spacing w:val="4"/>
                <w:position w:val="10"/>
                <w:sz w:val="10"/>
                <w:szCs w:val="10"/>
              </w:rPr>
              <w:t>3</w:t>
            </w:r>
            <w:r>
              <w:rPr>
                <w:spacing w:val="4"/>
              </w:rPr>
              <w:t>/h，H=28m</w:t>
            </w:r>
          </w:p>
        </w:tc>
        <w:tc>
          <w:tcPr>
            <w:tcW w:w="708" w:type="dxa"/>
            <w:vAlign w:val="top"/>
          </w:tcPr>
          <w:p w14:paraId="2C3AC342">
            <w:pPr>
              <w:pStyle w:val="6"/>
              <w:spacing w:before="60" w:line="230" w:lineRule="auto"/>
              <w:ind w:left="273"/>
            </w:pPr>
            <w:r>
              <w:t>台</w:t>
            </w:r>
          </w:p>
        </w:tc>
        <w:tc>
          <w:tcPr>
            <w:tcW w:w="691" w:type="dxa"/>
            <w:vAlign w:val="top"/>
          </w:tcPr>
          <w:p w14:paraId="0390AED9">
            <w:pPr>
              <w:pStyle w:val="6"/>
              <w:spacing w:before="60" w:line="234" w:lineRule="auto"/>
              <w:ind w:left="300"/>
            </w:pPr>
            <w:r>
              <w:t>2</w:t>
            </w:r>
          </w:p>
        </w:tc>
      </w:tr>
      <w:tr w14:paraId="00112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61AC47E">
            <w:pPr>
              <w:pStyle w:val="6"/>
              <w:spacing w:before="60" w:line="234" w:lineRule="auto"/>
              <w:ind w:left="237"/>
            </w:pPr>
            <w:r>
              <w:rPr>
                <w:spacing w:val="-7"/>
              </w:rPr>
              <w:t>10</w:t>
            </w:r>
          </w:p>
        </w:tc>
        <w:tc>
          <w:tcPr>
            <w:tcW w:w="2490" w:type="dxa"/>
            <w:vAlign w:val="top"/>
          </w:tcPr>
          <w:p w14:paraId="2E634FBC">
            <w:pPr>
              <w:pStyle w:val="6"/>
              <w:spacing w:before="60" w:line="227" w:lineRule="auto"/>
              <w:ind w:left="39"/>
            </w:pPr>
            <w:r>
              <w:rPr>
                <w:spacing w:val="7"/>
              </w:rPr>
              <w:t>絮凝剂加药装置</w:t>
            </w:r>
          </w:p>
        </w:tc>
        <w:tc>
          <w:tcPr>
            <w:tcW w:w="3804" w:type="dxa"/>
            <w:vAlign w:val="top"/>
          </w:tcPr>
          <w:p w14:paraId="15B97198">
            <w:pPr>
              <w:pStyle w:val="6"/>
              <w:spacing w:before="59" w:line="233" w:lineRule="auto"/>
              <w:ind w:left="1854"/>
            </w:pPr>
            <w:r>
              <w:t>/</w:t>
            </w:r>
          </w:p>
        </w:tc>
        <w:tc>
          <w:tcPr>
            <w:tcW w:w="708" w:type="dxa"/>
            <w:vAlign w:val="top"/>
          </w:tcPr>
          <w:p w14:paraId="1455636A">
            <w:pPr>
              <w:pStyle w:val="6"/>
              <w:spacing w:before="60" w:line="228" w:lineRule="auto"/>
              <w:ind w:left="257"/>
            </w:pPr>
            <w:r>
              <w:t>套</w:t>
            </w:r>
          </w:p>
        </w:tc>
        <w:tc>
          <w:tcPr>
            <w:tcW w:w="691" w:type="dxa"/>
            <w:vAlign w:val="top"/>
          </w:tcPr>
          <w:p w14:paraId="2DE0EA2E">
            <w:pPr>
              <w:pStyle w:val="6"/>
              <w:spacing w:before="60" w:line="234" w:lineRule="auto"/>
              <w:ind w:left="300"/>
            </w:pPr>
            <w:r>
              <w:t>2</w:t>
            </w:r>
          </w:p>
        </w:tc>
      </w:tr>
      <w:tr w14:paraId="7E459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C8F471E">
            <w:pPr>
              <w:pStyle w:val="6"/>
              <w:spacing w:before="60" w:line="234" w:lineRule="auto"/>
              <w:ind w:left="237"/>
            </w:pPr>
            <w:r>
              <w:rPr>
                <w:spacing w:val="-7"/>
              </w:rPr>
              <w:t>11</w:t>
            </w:r>
          </w:p>
        </w:tc>
        <w:tc>
          <w:tcPr>
            <w:tcW w:w="2490" w:type="dxa"/>
            <w:vAlign w:val="top"/>
          </w:tcPr>
          <w:p w14:paraId="67750B14">
            <w:pPr>
              <w:pStyle w:val="6"/>
              <w:spacing w:before="59" w:line="227" w:lineRule="auto"/>
              <w:ind w:left="32"/>
            </w:pPr>
            <w:r>
              <w:rPr>
                <w:spacing w:val="8"/>
              </w:rPr>
              <w:t>助凝剂加药装置</w:t>
            </w:r>
          </w:p>
        </w:tc>
        <w:tc>
          <w:tcPr>
            <w:tcW w:w="3804" w:type="dxa"/>
            <w:vAlign w:val="top"/>
          </w:tcPr>
          <w:p w14:paraId="5C62A846">
            <w:pPr>
              <w:pStyle w:val="6"/>
              <w:spacing w:before="59" w:line="233" w:lineRule="auto"/>
              <w:ind w:left="1854"/>
            </w:pPr>
            <w:r>
              <w:t>/</w:t>
            </w:r>
          </w:p>
        </w:tc>
        <w:tc>
          <w:tcPr>
            <w:tcW w:w="708" w:type="dxa"/>
            <w:vAlign w:val="top"/>
          </w:tcPr>
          <w:p w14:paraId="177278F3">
            <w:pPr>
              <w:pStyle w:val="6"/>
              <w:spacing w:before="60" w:line="228" w:lineRule="auto"/>
              <w:ind w:left="257"/>
            </w:pPr>
            <w:r>
              <w:t>套</w:t>
            </w:r>
          </w:p>
        </w:tc>
        <w:tc>
          <w:tcPr>
            <w:tcW w:w="691" w:type="dxa"/>
            <w:vAlign w:val="top"/>
          </w:tcPr>
          <w:p w14:paraId="01006564">
            <w:pPr>
              <w:pStyle w:val="6"/>
              <w:spacing w:before="60" w:line="234" w:lineRule="auto"/>
              <w:ind w:left="313"/>
            </w:pPr>
            <w:r>
              <w:t>1</w:t>
            </w:r>
          </w:p>
        </w:tc>
      </w:tr>
      <w:tr w14:paraId="238DF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09818F31">
            <w:pPr>
              <w:pStyle w:val="6"/>
              <w:spacing w:before="59" w:line="235" w:lineRule="auto"/>
              <w:ind w:left="237"/>
            </w:pPr>
            <w:r>
              <w:rPr>
                <w:spacing w:val="-7"/>
              </w:rPr>
              <w:t>12</w:t>
            </w:r>
          </w:p>
        </w:tc>
        <w:tc>
          <w:tcPr>
            <w:tcW w:w="2490" w:type="dxa"/>
            <w:vAlign w:val="top"/>
          </w:tcPr>
          <w:p w14:paraId="1FDCB504">
            <w:pPr>
              <w:pStyle w:val="6"/>
              <w:spacing w:before="60" w:line="228" w:lineRule="auto"/>
              <w:ind w:left="31"/>
            </w:pPr>
            <w:r>
              <w:rPr>
                <w:spacing w:val="8"/>
              </w:rPr>
              <w:t>硫酸亚铁加药装置</w:t>
            </w:r>
          </w:p>
        </w:tc>
        <w:tc>
          <w:tcPr>
            <w:tcW w:w="3804" w:type="dxa"/>
            <w:vAlign w:val="top"/>
          </w:tcPr>
          <w:p w14:paraId="6CCE11FC">
            <w:pPr>
              <w:pStyle w:val="6"/>
              <w:spacing w:before="59" w:line="233" w:lineRule="auto"/>
              <w:ind w:left="1854"/>
            </w:pPr>
            <w:r>
              <w:t>/</w:t>
            </w:r>
          </w:p>
        </w:tc>
        <w:tc>
          <w:tcPr>
            <w:tcW w:w="708" w:type="dxa"/>
            <w:vAlign w:val="top"/>
          </w:tcPr>
          <w:p w14:paraId="611F32BD">
            <w:pPr>
              <w:pStyle w:val="6"/>
              <w:spacing w:before="60" w:line="228" w:lineRule="auto"/>
              <w:ind w:left="257"/>
            </w:pPr>
            <w:r>
              <w:t>套</w:t>
            </w:r>
          </w:p>
        </w:tc>
        <w:tc>
          <w:tcPr>
            <w:tcW w:w="691" w:type="dxa"/>
            <w:vAlign w:val="top"/>
          </w:tcPr>
          <w:p w14:paraId="6B5B40FA">
            <w:pPr>
              <w:pStyle w:val="6"/>
              <w:spacing w:before="59" w:line="235" w:lineRule="auto"/>
              <w:ind w:left="313"/>
            </w:pPr>
            <w:r>
              <w:t>1</w:t>
            </w:r>
          </w:p>
        </w:tc>
      </w:tr>
      <w:tr w14:paraId="5AFB0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9ACB0E1">
            <w:pPr>
              <w:pStyle w:val="6"/>
              <w:spacing w:before="59" w:line="235" w:lineRule="auto"/>
              <w:ind w:left="220"/>
            </w:pPr>
            <w:r>
              <w:rPr>
                <w:spacing w:val="1"/>
              </w:rPr>
              <w:t>七</w:t>
            </w:r>
          </w:p>
        </w:tc>
        <w:tc>
          <w:tcPr>
            <w:tcW w:w="7693" w:type="dxa"/>
            <w:gridSpan w:val="4"/>
            <w:vAlign w:val="top"/>
          </w:tcPr>
          <w:p w14:paraId="6C329D50">
            <w:pPr>
              <w:pStyle w:val="6"/>
              <w:spacing w:before="59" w:line="228" w:lineRule="auto"/>
              <w:ind w:left="32"/>
            </w:pPr>
            <w:r>
              <w:rPr>
                <w:spacing w:val="4"/>
              </w:rPr>
              <w:t>尾矿</w:t>
            </w:r>
          </w:p>
        </w:tc>
      </w:tr>
      <w:tr w14:paraId="1008C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55371821">
            <w:pPr>
              <w:pStyle w:val="6"/>
              <w:spacing w:before="59" w:line="235" w:lineRule="auto"/>
              <w:ind w:left="287"/>
            </w:pPr>
            <w:r>
              <w:t>1</w:t>
            </w:r>
          </w:p>
        </w:tc>
        <w:tc>
          <w:tcPr>
            <w:tcW w:w="2490" w:type="dxa"/>
            <w:vAlign w:val="top"/>
          </w:tcPr>
          <w:p w14:paraId="4557021F">
            <w:pPr>
              <w:pStyle w:val="6"/>
              <w:spacing w:before="59" w:line="227" w:lineRule="auto"/>
              <w:ind w:left="32"/>
            </w:pPr>
            <w:r>
              <w:rPr>
                <w:spacing w:val="8"/>
              </w:rPr>
              <w:t>深锥浓密机</w:t>
            </w:r>
          </w:p>
        </w:tc>
        <w:tc>
          <w:tcPr>
            <w:tcW w:w="3804" w:type="dxa"/>
            <w:vAlign w:val="top"/>
          </w:tcPr>
          <w:p w14:paraId="6E0CDC20">
            <w:pPr>
              <w:pStyle w:val="6"/>
              <w:spacing w:before="59" w:line="235" w:lineRule="auto"/>
              <w:ind w:left="1672"/>
            </w:pPr>
            <w:r>
              <w:rPr>
                <w:spacing w:val="-9"/>
              </w:rPr>
              <w:t>Φ</w:t>
            </w:r>
            <w:r>
              <w:rPr>
                <w:spacing w:val="-74"/>
              </w:rPr>
              <w:t xml:space="preserve"> </w:t>
            </w:r>
            <w:r>
              <w:rPr>
                <w:spacing w:val="-9"/>
              </w:rPr>
              <w:t>18m</w:t>
            </w:r>
          </w:p>
        </w:tc>
        <w:tc>
          <w:tcPr>
            <w:tcW w:w="708" w:type="dxa"/>
            <w:vAlign w:val="top"/>
          </w:tcPr>
          <w:p w14:paraId="5D4A97CC">
            <w:pPr>
              <w:pStyle w:val="6"/>
              <w:spacing w:before="59" w:line="228" w:lineRule="auto"/>
              <w:ind w:left="257"/>
            </w:pPr>
            <w:r>
              <w:t>套</w:t>
            </w:r>
          </w:p>
        </w:tc>
        <w:tc>
          <w:tcPr>
            <w:tcW w:w="691" w:type="dxa"/>
            <w:vAlign w:val="top"/>
          </w:tcPr>
          <w:p w14:paraId="75009650">
            <w:pPr>
              <w:pStyle w:val="6"/>
              <w:spacing w:before="59" w:line="235" w:lineRule="auto"/>
              <w:ind w:left="313"/>
            </w:pPr>
            <w:r>
              <w:t>1</w:t>
            </w:r>
          </w:p>
        </w:tc>
      </w:tr>
      <w:tr w14:paraId="192F0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0601B8B">
            <w:pPr>
              <w:pStyle w:val="6"/>
              <w:spacing w:before="59" w:line="235" w:lineRule="auto"/>
              <w:ind w:left="274"/>
            </w:pPr>
            <w:r>
              <w:t>2</w:t>
            </w:r>
          </w:p>
        </w:tc>
        <w:tc>
          <w:tcPr>
            <w:tcW w:w="2490" w:type="dxa"/>
            <w:vAlign w:val="top"/>
          </w:tcPr>
          <w:p w14:paraId="60D61B3B">
            <w:pPr>
              <w:pStyle w:val="6"/>
              <w:spacing w:before="58" w:line="228" w:lineRule="auto"/>
              <w:ind w:left="31"/>
            </w:pPr>
            <w:r>
              <w:rPr>
                <w:spacing w:val="8"/>
              </w:rPr>
              <w:t>矿浆稀释搅拌槽</w:t>
            </w:r>
          </w:p>
        </w:tc>
        <w:tc>
          <w:tcPr>
            <w:tcW w:w="3804" w:type="dxa"/>
            <w:vAlign w:val="top"/>
          </w:tcPr>
          <w:p w14:paraId="6880879F">
            <w:pPr>
              <w:pStyle w:val="6"/>
              <w:spacing w:before="58" w:line="233" w:lineRule="auto"/>
              <w:ind w:left="1854"/>
            </w:pPr>
            <w:r>
              <w:t>/</w:t>
            </w:r>
          </w:p>
        </w:tc>
        <w:tc>
          <w:tcPr>
            <w:tcW w:w="708" w:type="dxa"/>
            <w:vAlign w:val="top"/>
          </w:tcPr>
          <w:p w14:paraId="76BD3F69">
            <w:pPr>
              <w:pStyle w:val="6"/>
              <w:spacing w:before="59" w:line="230" w:lineRule="auto"/>
              <w:ind w:left="273"/>
            </w:pPr>
            <w:r>
              <w:t>台</w:t>
            </w:r>
          </w:p>
        </w:tc>
        <w:tc>
          <w:tcPr>
            <w:tcW w:w="691" w:type="dxa"/>
            <w:vAlign w:val="top"/>
          </w:tcPr>
          <w:p w14:paraId="212EFFD0">
            <w:pPr>
              <w:pStyle w:val="6"/>
              <w:spacing w:before="59" w:line="235" w:lineRule="auto"/>
              <w:ind w:left="313"/>
            </w:pPr>
            <w:r>
              <w:t>1</w:t>
            </w:r>
          </w:p>
        </w:tc>
      </w:tr>
      <w:tr w14:paraId="10E1F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7F05E45">
            <w:pPr>
              <w:pStyle w:val="6"/>
              <w:spacing w:before="59" w:line="228" w:lineRule="auto"/>
              <w:ind w:left="224"/>
            </w:pPr>
            <w:r>
              <w:t>八</w:t>
            </w:r>
          </w:p>
        </w:tc>
        <w:tc>
          <w:tcPr>
            <w:tcW w:w="7693" w:type="dxa"/>
            <w:gridSpan w:val="4"/>
            <w:vAlign w:val="top"/>
          </w:tcPr>
          <w:p w14:paraId="2CDAB5C9">
            <w:pPr>
              <w:pStyle w:val="6"/>
              <w:spacing w:before="58" w:line="228" w:lineRule="auto"/>
              <w:ind w:left="34"/>
            </w:pPr>
            <w:r>
              <w:rPr>
                <w:spacing w:val="7"/>
              </w:rPr>
              <w:t>生活污水处理</w:t>
            </w:r>
          </w:p>
        </w:tc>
      </w:tr>
      <w:tr w14:paraId="28EEC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E17262A">
            <w:pPr>
              <w:pStyle w:val="6"/>
              <w:spacing w:before="58" w:line="236" w:lineRule="auto"/>
              <w:ind w:left="287"/>
            </w:pPr>
            <w:r>
              <w:t>1</w:t>
            </w:r>
          </w:p>
        </w:tc>
        <w:tc>
          <w:tcPr>
            <w:tcW w:w="2490" w:type="dxa"/>
            <w:vAlign w:val="top"/>
          </w:tcPr>
          <w:p w14:paraId="44035602">
            <w:pPr>
              <w:pStyle w:val="6"/>
              <w:spacing w:before="58" w:line="228" w:lineRule="auto"/>
              <w:ind w:left="307"/>
            </w:pPr>
            <w:r>
              <w:rPr>
                <w:spacing w:val="8"/>
              </w:rPr>
              <w:t>一体化污水处理设备</w:t>
            </w:r>
          </w:p>
        </w:tc>
        <w:tc>
          <w:tcPr>
            <w:tcW w:w="3804" w:type="dxa"/>
            <w:vAlign w:val="top"/>
          </w:tcPr>
          <w:p w14:paraId="0355632B">
            <w:pPr>
              <w:pStyle w:val="6"/>
              <w:spacing w:before="41" w:line="264" w:lineRule="exact"/>
              <w:ind w:left="1125"/>
            </w:pPr>
            <w:r>
              <w:rPr>
                <w:spacing w:val="2"/>
              </w:rPr>
              <w:t>处理能力</w:t>
            </w:r>
            <w:r>
              <w:rPr>
                <w:spacing w:val="-13"/>
              </w:rPr>
              <w:t xml:space="preserve"> </w:t>
            </w:r>
            <w:r>
              <w:rPr>
                <w:spacing w:val="2"/>
              </w:rPr>
              <w:t>150m</w:t>
            </w:r>
            <w:r>
              <w:rPr>
                <w:spacing w:val="2"/>
                <w:position w:val="10"/>
                <w:sz w:val="10"/>
                <w:szCs w:val="10"/>
              </w:rPr>
              <w:t>3</w:t>
            </w:r>
            <w:r>
              <w:rPr>
                <w:spacing w:val="2"/>
              </w:rPr>
              <w:t>/d</w:t>
            </w:r>
          </w:p>
        </w:tc>
        <w:tc>
          <w:tcPr>
            <w:tcW w:w="708" w:type="dxa"/>
            <w:vAlign w:val="top"/>
          </w:tcPr>
          <w:p w14:paraId="3D250E05">
            <w:pPr>
              <w:pStyle w:val="6"/>
              <w:spacing w:before="59" w:line="228" w:lineRule="auto"/>
              <w:ind w:left="257"/>
            </w:pPr>
            <w:r>
              <w:t>套</w:t>
            </w:r>
          </w:p>
        </w:tc>
        <w:tc>
          <w:tcPr>
            <w:tcW w:w="691" w:type="dxa"/>
            <w:vAlign w:val="top"/>
          </w:tcPr>
          <w:p w14:paraId="507D4436">
            <w:pPr>
              <w:pStyle w:val="6"/>
              <w:spacing w:before="58" w:line="236" w:lineRule="auto"/>
              <w:ind w:left="313"/>
            </w:pPr>
            <w:r>
              <w:t>1</w:t>
            </w:r>
          </w:p>
        </w:tc>
      </w:tr>
      <w:tr w14:paraId="00B45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51ECE8D">
            <w:pPr>
              <w:pStyle w:val="6"/>
              <w:spacing w:before="58" w:line="236" w:lineRule="auto"/>
              <w:ind w:left="274"/>
            </w:pPr>
            <w:r>
              <w:t>2</w:t>
            </w:r>
          </w:p>
        </w:tc>
        <w:tc>
          <w:tcPr>
            <w:tcW w:w="2490" w:type="dxa"/>
            <w:vAlign w:val="top"/>
          </w:tcPr>
          <w:p w14:paraId="642420D4">
            <w:pPr>
              <w:pStyle w:val="6"/>
              <w:spacing w:before="58" w:line="228" w:lineRule="auto"/>
              <w:ind w:left="723"/>
            </w:pPr>
            <w:r>
              <w:rPr>
                <w:spacing w:val="8"/>
              </w:rPr>
              <w:t>潜水污水泵</w:t>
            </w:r>
          </w:p>
        </w:tc>
        <w:tc>
          <w:tcPr>
            <w:tcW w:w="3804" w:type="dxa"/>
            <w:vAlign w:val="top"/>
          </w:tcPr>
          <w:p w14:paraId="444E75C2">
            <w:pPr>
              <w:pStyle w:val="6"/>
              <w:spacing w:before="43" w:line="267" w:lineRule="exact"/>
              <w:ind w:left="433"/>
            </w:pPr>
            <w:r>
              <w:t>WQ</w:t>
            </w:r>
            <w:r>
              <w:rPr>
                <w:spacing w:val="5"/>
              </w:rPr>
              <w:t>2130-205</w:t>
            </w:r>
            <w:r>
              <w:rPr>
                <w:spacing w:val="-29"/>
              </w:rPr>
              <w:t xml:space="preserve"> </w:t>
            </w:r>
            <w:r>
              <w:rPr>
                <w:spacing w:val="5"/>
              </w:rPr>
              <w:t>型，Q=8m</w:t>
            </w:r>
            <w:r>
              <w:rPr>
                <w:spacing w:val="5"/>
                <w:position w:val="10"/>
                <w:sz w:val="10"/>
                <w:szCs w:val="10"/>
              </w:rPr>
              <w:t>3</w:t>
            </w:r>
            <w:r>
              <w:rPr>
                <w:spacing w:val="5"/>
              </w:rPr>
              <w:t>/h，H=24m</w:t>
            </w:r>
          </w:p>
        </w:tc>
        <w:tc>
          <w:tcPr>
            <w:tcW w:w="708" w:type="dxa"/>
            <w:vAlign w:val="top"/>
          </w:tcPr>
          <w:p w14:paraId="64BFF498">
            <w:pPr>
              <w:pStyle w:val="6"/>
              <w:spacing w:before="58" w:line="230" w:lineRule="auto"/>
              <w:ind w:left="273"/>
            </w:pPr>
            <w:r>
              <w:t>台</w:t>
            </w:r>
          </w:p>
        </w:tc>
        <w:tc>
          <w:tcPr>
            <w:tcW w:w="691" w:type="dxa"/>
            <w:vAlign w:val="top"/>
          </w:tcPr>
          <w:p w14:paraId="494D0616">
            <w:pPr>
              <w:pStyle w:val="6"/>
              <w:spacing w:before="58" w:line="236" w:lineRule="auto"/>
              <w:ind w:left="300"/>
            </w:pPr>
            <w:r>
              <w:t>2</w:t>
            </w:r>
          </w:p>
        </w:tc>
      </w:tr>
      <w:tr w14:paraId="3C61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1CAA0802">
            <w:pPr>
              <w:pStyle w:val="6"/>
              <w:spacing w:before="58" w:line="236" w:lineRule="auto"/>
              <w:ind w:left="276"/>
            </w:pPr>
            <w:r>
              <w:t>3</w:t>
            </w:r>
          </w:p>
        </w:tc>
        <w:tc>
          <w:tcPr>
            <w:tcW w:w="2490" w:type="dxa"/>
            <w:vAlign w:val="top"/>
          </w:tcPr>
          <w:p w14:paraId="1FBC7203">
            <w:pPr>
              <w:pStyle w:val="6"/>
              <w:spacing w:before="58" w:line="228" w:lineRule="auto"/>
              <w:ind w:left="723"/>
            </w:pPr>
            <w:r>
              <w:rPr>
                <w:spacing w:val="8"/>
              </w:rPr>
              <w:t>潜水污水泵</w:t>
            </w:r>
          </w:p>
        </w:tc>
        <w:tc>
          <w:tcPr>
            <w:tcW w:w="3804" w:type="dxa"/>
            <w:vAlign w:val="top"/>
          </w:tcPr>
          <w:p w14:paraId="7DA16B3A">
            <w:pPr>
              <w:pStyle w:val="6"/>
              <w:spacing w:before="43" w:line="267" w:lineRule="exact"/>
              <w:ind w:left="380"/>
            </w:pPr>
            <w:r>
              <w:t>WQ</w:t>
            </w:r>
            <w:r>
              <w:rPr>
                <w:spacing w:val="5"/>
              </w:rPr>
              <w:t>2120-202</w:t>
            </w:r>
            <w:r>
              <w:rPr>
                <w:spacing w:val="-29"/>
              </w:rPr>
              <w:t xml:space="preserve"> </w:t>
            </w:r>
            <w:r>
              <w:rPr>
                <w:spacing w:val="5"/>
              </w:rPr>
              <w:t>型，Q=10m</w:t>
            </w:r>
            <w:r>
              <w:rPr>
                <w:spacing w:val="5"/>
                <w:position w:val="10"/>
                <w:sz w:val="10"/>
                <w:szCs w:val="10"/>
              </w:rPr>
              <w:t>3</w:t>
            </w:r>
            <w:r>
              <w:rPr>
                <w:spacing w:val="5"/>
              </w:rPr>
              <w:t>/h，H=25m</w:t>
            </w:r>
          </w:p>
        </w:tc>
        <w:tc>
          <w:tcPr>
            <w:tcW w:w="708" w:type="dxa"/>
            <w:vAlign w:val="top"/>
          </w:tcPr>
          <w:p w14:paraId="2B4A4F79">
            <w:pPr>
              <w:pStyle w:val="6"/>
              <w:spacing w:before="58" w:line="230" w:lineRule="auto"/>
              <w:ind w:left="273"/>
            </w:pPr>
            <w:r>
              <w:t>台</w:t>
            </w:r>
          </w:p>
        </w:tc>
        <w:tc>
          <w:tcPr>
            <w:tcW w:w="691" w:type="dxa"/>
            <w:vAlign w:val="top"/>
          </w:tcPr>
          <w:p w14:paraId="24262E82">
            <w:pPr>
              <w:pStyle w:val="6"/>
              <w:spacing w:before="58" w:line="236" w:lineRule="auto"/>
              <w:ind w:left="300"/>
            </w:pPr>
            <w:r>
              <w:t>2</w:t>
            </w:r>
          </w:p>
        </w:tc>
      </w:tr>
      <w:tr w14:paraId="5DD6F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4C016A7F">
            <w:pPr>
              <w:pStyle w:val="6"/>
              <w:spacing w:before="57" w:line="231" w:lineRule="auto"/>
              <w:ind w:left="226"/>
            </w:pPr>
            <w:r>
              <w:t>九</w:t>
            </w:r>
          </w:p>
        </w:tc>
        <w:tc>
          <w:tcPr>
            <w:tcW w:w="7693" w:type="dxa"/>
            <w:gridSpan w:val="4"/>
            <w:vAlign w:val="top"/>
          </w:tcPr>
          <w:p w14:paraId="00BA37C8">
            <w:pPr>
              <w:pStyle w:val="6"/>
              <w:spacing w:before="57" w:line="228" w:lineRule="auto"/>
              <w:ind w:left="31"/>
            </w:pPr>
            <w:r>
              <w:rPr>
                <w:spacing w:val="9"/>
              </w:rPr>
              <w:t>选矿车间生活污水处理</w:t>
            </w:r>
          </w:p>
        </w:tc>
      </w:tr>
      <w:tr w14:paraId="6AFBD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F718648">
            <w:pPr>
              <w:pStyle w:val="6"/>
              <w:spacing w:before="60" w:line="234" w:lineRule="auto"/>
              <w:ind w:left="287"/>
            </w:pPr>
            <w:r>
              <w:t>1</w:t>
            </w:r>
          </w:p>
        </w:tc>
        <w:tc>
          <w:tcPr>
            <w:tcW w:w="2490" w:type="dxa"/>
            <w:vAlign w:val="top"/>
          </w:tcPr>
          <w:p w14:paraId="5CBA7392">
            <w:pPr>
              <w:pStyle w:val="6"/>
              <w:spacing w:before="60" w:line="228" w:lineRule="auto"/>
              <w:ind w:left="95"/>
            </w:pPr>
            <w:r>
              <w:rPr>
                <w:spacing w:val="9"/>
              </w:rPr>
              <w:t>地埋式一体化污水处理器</w:t>
            </w:r>
          </w:p>
        </w:tc>
        <w:tc>
          <w:tcPr>
            <w:tcW w:w="3804" w:type="dxa"/>
            <w:vAlign w:val="top"/>
          </w:tcPr>
          <w:p w14:paraId="0354F74A">
            <w:pPr>
              <w:pStyle w:val="6"/>
              <w:spacing w:before="43" w:line="264" w:lineRule="exact"/>
              <w:ind w:left="1178"/>
            </w:pPr>
            <w:r>
              <w:rPr>
                <w:spacing w:val="2"/>
              </w:rPr>
              <w:t>处理能力</w:t>
            </w:r>
            <w:r>
              <w:rPr>
                <w:spacing w:val="-14"/>
              </w:rPr>
              <w:t xml:space="preserve"> </w:t>
            </w:r>
            <w:r>
              <w:rPr>
                <w:spacing w:val="2"/>
              </w:rPr>
              <w:t>15m</w:t>
            </w:r>
            <w:r>
              <w:rPr>
                <w:spacing w:val="2"/>
                <w:position w:val="10"/>
                <w:sz w:val="10"/>
                <w:szCs w:val="10"/>
              </w:rPr>
              <w:t>3</w:t>
            </w:r>
            <w:r>
              <w:rPr>
                <w:spacing w:val="2"/>
              </w:rPr>
              <w:t>/d</w:t>
            </w:r>
          </w:p>
        </w:tc>
        <w:tc>
          <w:tcPr>
            <w:tcW w:w="708" w:type="dxa"/>
            <w:vAlign w:val="top"/>
          </w:tcPr>
          <w:p w14:paraId="493465A5">
            <w:pPr>
              <w:pStyle w:val="6"/>
              <w:spacing w:before="60" w:line="228" w:lineRule="auto"/>
              <w:ind w:left="257"/>
            </w:pPr>
            <w:r>
              <w:t>套</w:t>
            </w:r>
          </w:p>
        </w:tc>
        <w:tc>
          <w:tcPr>
            <w:tcW w:w="691" w:type="dxa"/>
            <w:vAlign w:val="top"/>
          </w:tcPr>
          <w:p w14:paraId="4C12CDB2">
            <w:pPr>
              <w:pStyle w:val="6"/>
              <w:spacing w:before="60" w:line="234" w:lineRule="auto"/>
              <w:ind w:left="313"/>
            </w:pPr>
            <w:r>
              <w:t>1</w:t>
            </w:r>
          </w:p>
        </w:tc>
      </w:tr>
      <w:tr w14:paraId="458B6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40" w:type="dxa"/>
            <w:vAlign w:val="top"/>
          </w:tcPr>
          <w:p w14:paraId="6A25A55E">
            <w:pPr>
              <w:pStyle w:val="6"/>
              <w:spacing w:before="60" w:line="229" w:lineRule="auto"/>
              <w:ind w:left="222"/>
            </w:pPr>
            <w:r>
              <w:t>十</w:t>
            </w:r>
          </w:p>
        </w:tc>
        <w:tc>
          <w:tcPr>
            <w:tcW w:w="7693" w:type="dxa"/>
            <w:gridSpan w:val="4"/>
            <w:vAlign w:val="top"/>
          </w:tcPr>
          <w:p w14:paraId="38E856EE">
            <w:pPr>
              <w:pStyle w:val="6"/>
              <w:spacing w:before="60" w:line="228" w:lineRule="auto"/>
              <w:ind w:left="32"/>
            </w:pPr>
            <w:r>
              <w:rPr>
                <w:spacing w:val="6"/>
              </w:rPr>
              <w:t>锅炉房</w:t>
            </w:r>
          </w:p>
        </w:tc>
      </w:tr>
    </w:tbl>
    <w:p w14:paraId="6D3B51CF">
      <w:pPr>
        <w:pStyle w:val="2"/>
        <w:spacing w:line="204" w:lineRule="exact"/>
        <w:rPr>
          <w:sz w:val="17"/>
        </w:rPr>
      </w:pPr>
    </w:p>
    <w:p w14:paraId="775C487D">
      <w:pPr>
        <w:spacing w:line="204" w:lineRule="exact"/>
        <w:rPr>
          <w:sz w:val="17"/>
          <w:szCs w:val="17"/>
        </w:rPr>
        <w:sectPr>
          <w:footerReference r:id="rId64" w:type="default"/>
          <w:pgSz w:w="11906" w:h="16839"/>
          <w:pgMar w:top="1208" w:right="1784" w:bottom="1358" w:left="1783" w:header="825" w:footer="1195" w:gutter="0"/>
          <w:cols w:space="720" w:num="1"/>
        </w:sectPr>
      </w:pPr>
    </w:p>
    <w:p w14:paraId="65FB1CEA">
      <w:pPr>
        <w:spacing w:line="231" w:lineRule="exact"/>
      </w:pPr>
    </w:p>
    <w:tbl>
      <w:tblPr>
        <w:tblStyle w:val="5"/>
        <w:tblW w:w="8333"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2490"/>
        <w:gridCol w:w="3804"/>
        <w:gridCol w:w="708"/>
        <w:gridCol w:w="691"/>
      </w:tblGrid>
      <w:tr w14:paraId="10A61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40" w:type="dxa"/>
            <w:vAlign w:val="top"/>
          </w:tcPr>
          <w:p w14:paraId="40C0137A">
            <w:pPr>
              <w:pStyle w:val="6"/>
              <w:spacing w:before="59" w:line="239" w:lineRule="auto"/>
              <w:ind w:left="287"/>
            </w:pPr>
            <w:r>
              <w:t>1</w:t>
            </w:r>
          </w:p>
        </w:tc>
        <w:tc>
          <w:tcPr>
            <w:tcW w:w="2490" w:type="dxa"/>
            <w:vAlign w:val="top"/>
          </w:tcPr>
          <w:p w14:paraId="186B8EE0">
            <w:pPr>
              <w:pStyle w:val="6"/>
              <w:spacing w:before="58" w:line="228" w:lineRule="auto"/>
              <w:ind w:left="34"/>
            </w:pPr>
            <w:r>
              <w:rPr>
                <w:spacing w:val="8"/>
              </w:rPr>
              <w:t>生物质常压热水锅炉</w:t>
            </w:r>
          </w:p>
        </w:tc>
        <w:tc>
          <w:tcPr>
            <w:tcW w:w="3804" w:type="dxa"/>
            <w:vAlign w:val="top"/>
          </w:tcPr>
          <w:p w14:paraId="667F9910">
            <w:pPr>
              <w:pStyle w:val="6"/>
              <w:spacing w:before="58" w:line="233" w:lineRule="auto"/>
              <w:ind w:left="1013"/>
            </w:pPr>
            <w:r>
              <w:t>CDZL</w:t>
            </w:r>
            <w:r>
              <w:rPr>
                <w:spacing w:val="5"/>
              </w:rPr>
              <w:t>4.2-0/90/65-T</w:t>
            </w:r>
          </w:p>
        </w:tc>
        <w:tc>
          <w:tcPr>
            <w:tcW w:w="708" w:type="dxa"/>
            <w:vAlign w:val="top"/>
          </w:tcPr>
          <w:p w14:paraId="1F14675B">
            <w:pPr>
              <w:pStyle w:val="6"/>
              <w:spacing w:before="58" w:line="230" w:lineRule="auto"/>
              <w:ind w:left="273"/>
            </w:pPr>
            <w:r>
              <w:t>台</w:t>
            </w:r>
          </w:p>
        </w:tc>
        <w:tc>
          <w:tcPr>
            <w:tcW w:w="691" w:type="dxa"/>
            <w:vAlign w:val="top"/>
          </w:tcPr>
          <w:p w14:paraId="0E06F5CA">
            <w:pPr>
              <w:pStyle w:val="6"/>
              <w:spacing w:before="59" w:line="239" w:lineRule="auto"/>
              <w:ind w:left="300"/>
            </w:pPr>
            <w:r>
              <w:t>2</w:t>
            </w:r>
          </w:p>
        </w:tc>
      </w:tr>
      <w:tr w14:paraId="0F9B1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6A504AF4">
            <w:pPr>
              <w:pStyle w:val="6"/>
              <w:spacing w:before="55" w:line="239" w:lineRule="auto"/>
              <w:ind w:left="274"/>
            </w:pPr>
            <w:r>
              <w:t>2</w:t>
            </w:r>
          </w:p>
        </w:tc>
        <w:tc>
          <w:tcPr>
            <w:tcW w:w="2490" w:type="dxa"/>
            <w:vAlign w:val="top"/>
          </w:tcPr>
          <w:p w14:paraId="4F6C1DAD">
            <w:pPr>
              <w:pStyle w:val="6"/>
              <w:spacing w:before="54" w:line="228" w:lineRule="auto"/>
              <w:ind w:left="43"/>
            </w:pPr>
            <w:r>
              <w:rPr>
                <w:spacing w:val="4"/>
              </w:rPr>
              <w:t>点火装置</w:t>
            </w:r>
          </w:p>
        </w:tc>
        <w:tc>
          <w:tcPr>
            <w:tcW w:w="3804" w:type="dxa"/>
            <w:vAlign w:val="top"/>
          </w:tcPr>
          <w:p w14:paraId="735E5608">
            <w:pPr>
              <w:pStyle w:val="6"/>
              <w:spacing w:before="54" w:line="233" w:lineRule="auto"/>
              <w:ind w:left="1854"/>
            </w:pPr>
            <w:r>
              <w:t>/</w:t>
            </w:r>
          </w:p>
        </w:tc>
        <w:tc>
          <w:tcPr>
            <w:tcW w:w="708" w:type="dxa"/>
            <w:vAlign w:val="top"/>
          </w:tcPr>
          <w:p w14:paraId="7DCA03C1">
            <w:pPr>
              <w:pStyle w:val="6"/>
              <w:spacing w:before="55" w:line="228" w:lineRule="auto"/>
              <w:ind w:left="257"/>
            </w:pPr>
            <w:r>
              <w:t>套</w:t>
            </w:r>
          </w:p>
        </w:tc>
        <w:tc>
          <w:tcPr>
            <w:tcW w:w="691" w:type="dxa"/>
            <w:vAlign w:val="top"/>
          </w:tcPr>
          <w:p w14:paraId="20F694E7">
            <w:pPr>
              <w:pStyle w:val="6"/>
              <w:spacing w:before="55" w:line="239" w:lineRule="auto"/>
              <w:ind w:left="300"/>
            </w:pPr>
            <w:r>
              <w:t>2</w:t>
            </w:r>
          </w:p>
        </w:tc>
      </w:tr>
      <w:tr w14:paraId="27DC2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747AEAF7">
            <w:pPr>
              <w:pStyle w:val="6"/>
              <w:spacing w:before="54" w:line="239" w:lineRule="auto"/>
              <w:ind w:left="276"/>
            </w:pPr>
            <w:r>
              <w:t>3</w:t>
            </w:r>
          </w:p>
        </w:tc>
        <w:tc>
          <w:tcPr>
            <w:tcW w:w="2490" w:type="dxa"/>
            <w:vAlign w:val="top"/>
          </w:tcPr>
          <w:p w14:paraId="50079B04">
            <w:pPr>
              <w:pStyle w:val="6"/>
              <w:spacing w:before="54" w:line="228" w:lineRule="auto"/>
              <w:ind w:left="32"/>
            </w:pPr>
            <w:r>
              <w:rPr>
                <w:spacing w:val="7"/>
              </w:rPr>
              <w:t>循环水泵</w:t>
            </w:r>
          </w:p>
        </w:tc>
        <w:tc>
          <w:tcPr>
            <w:tcW w:w="3804" w:type="dxa"/>
            <w:vAlign w:val="top"/>
          </w:tcPr>
          <w:p w14:paraId="406D75A1">
            <w:pPr>
              <w:pStyle w:val="6"/>
              <w:spacing w:before="54" w:line="233" w:lineRule="auto"/>
              <w:ind w:left="1854"/>
            </w:pPr>
            <w:r>
              <w:t>/</w:t>
            </w:r>
          </w:p>
        </w:tc>
        <w:tc>
          <w:tcPr>
            <w:tcW w:w="708" w:type="dxa"/>
            <w:vAlign w:val="top"/>
          </w:tcPr>
          <w:p w14:paraId="3E2BF904">
            <w:pPr>
              <w:pStyle w:val="6"/>
              <w:spacing w:before="54" w:line="230" w:lineRule="auto"/>
              <w:ind w:left="273"/>
            </w:pPr>
            <w:r>
              <w:t>台</w:t>
            </w:r>
          </w:p>
        </w:tc>
        <w:tc>
          <w:tcPr>
            <w:tcW w:w="691" w:type="dxa"/>
            <w:vAlign w:val="top"/>
          </w:tcPr>
          <w:p w14:paraId="4A5E674D">
            <w:pPr>
              <w:pStyle w:val="6"/>
              <w:spacing w:before="54" w:line="239" w:lineRule="auto"/>
              <w:ind w:left="302"/>
            </w:pPr>
            <w:r>
              <w:t>3</w:t>
            </w:r>
          </w:p>
        </w:tc>
      </w:tr>
      <w:tr w14:paraId="0B31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6AEDDC8E">
            <w:pPr>
              <w:pStyle w:val="6"/>
              <w:spacing w:before="55" w:line="239" w:lineRule="auto"/>
              <w:ind w:left="271"/>
            </w:pPr>
            <w:r>
              <w:t>4</w:t>
            </w:r>
          </w:p>
        </w:tc>
        <w:tc>
          <w:tcPr>
            <w:tcW w:w="2490" w:type="dxa"/>
            <w:vAlign w:val="top"/>
          </w:tcPr>
          <w:p w14:paraId="4A43EBB7">
            <w:pPr>
              <w:pStyle w:val="6"/>
              <w:spacing w:before="54" w:line="228" w:lineRule="auto"/>
              <w:ind w:left="32"/>
            </w:pPr>
            <w:r>
              <w:rPr>
                <w:spacing w:val="8"/>
              </w:rPr>
              <w:t>全自动软水器</w:t>
            </w:r>
          </w:p>
        </w:tc>
        <w:tc>
          <w:tcPr>
            <w:tcW w:w="3804" w:type="dxa"/>
            <w:vAlign w:val="top"/>
          </w:tcPr>
          <w:p w14:paraId="0A4FDBB6">
            <w:pPr>
              <w:pStyle w:val="6"/>
              <w:spacing w:before="54" w:line="233" w:lineRule="auto"/>
              <w:ind w:left="907"/>
            </w:pPr>
            <w:r>
              <w:rPr>
                <w:spacing w:val="6"/>
              </w:rPr>
              <w:t>G=15.0t/h，P=0.5</w:t>
            </w:r>
            <w:r>
              <w:t>MPa</w:t>
            </w:r>
          </w:p>
        </w:tc>
        <w:tc>
          <w:tcPr>
            <w:tcW w:w="708" w:type="dxa"/>
            <w:vAlign w:val="top"/>
          </w:tcPr>
          <w:p w14:paraId="2AAB5499">
            <w:pPr>
              <w:pStyle w:val="6"/>
              <w:spacing w:before="55" w:line="230" w:lineRule="auto"/>
              <w:ind w:left="273"/>
            </w:pPr>
            <w:r>
              <w:t>台</w:t>
            </w:r>
          </w:p>
        </w:tc>
        <w:tc>
          <w:tcPr>
            <w:tcW w:w="691" w:type="dxa"/>
            <w:vAlign w:val="top"/>
          </w:tcPr>
          <w:p w14:paraId="7E733410">
            <w:pPr>
              <w:pStyle w:val="6"/>
              <w:spacing w:before="55" w:line="239" w:lineRule="auto"/>
              <w:ind w:left="313"/>
            </w:pPr>
            <w:r>
              <w:t>1</w:t>
            </w:r>
          </w:p>
        </w:tc>
      </w:tr>
      <w:tr w14:paraId="3A04A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598CBB67">
            <w:pPr>
              <w:pStyle w:val="6"/>
              <w:spacing w:before="57" w:line="236" w:lineRule="auto"/>
              <w:ind w:left="276"/>
            </w:pPr>
            <w:r>
              <w:t>5</w:t>
            </w:r>
          </w:p>
        </w:tc>
        <w:tc>
          <w:tcPr>
            <w:tcW w:w="2490" w:type="dxa"/>
            <w:vAlign w:val="top"/>
          </w:tcPr>
          <w:p w14:paraId="65A83AB2">
            <w:pPr>
              <w:pStyle w:val="6"/>
              <w:spacing w:before="57" w:line="227" w:lineRule="auto"/>
              <w:ind w:left="37"/>
            </w:pPr>
            <w:r>
              <w:rPr>
                <w:spacing w:val="8"/>
              </w:rPr>
              <w:t>常温过滤式除氧器</w:t>
            </w:r>
          </w:p>
        </w:tc>
        <w:tc>
          <w:tcPr>
            <w:tcW w:w="3804" w:type="dxa"/>
            <w:vAlign w:val="top"/>
          </w:tcPr>
          <w:p w14:paraId="17E90230">
            <w:pPr>
              <w:pStyle w:val="6"/>
              <w:spacing w:before="57" w:line="233" w:lineRule="auto"/>
              <w:ind w:left="907"/>
            </w:pPr>
            <w:r>
              <w:rPr>
                <w:spacing w:val="6"/>
              </w:rPr>
              <w:t>G=15.0t/h，P=0.5</w:t>
            </w:r>
            <w:r>
              <w:t>MPa</w:t>
            </w:r>
          </w:p>
        </w:tc>
        <w:tc>
          <w:tcPr>
            <w:tcW w:w="708" w:type="dxa"/>
            <w:vAlign w:val="top"/>
          </w:tcPr>
          <w:p w14:paraId="382B971B">
            <w:pPr>
              <w:pStyle w:val="6"/>
              <w:spacing w:before="57" w:line="230" w:lineRule="auto"/>
              <w:ind w:left="273"/>
            </w:pPr>
            <w:r>
              <w:t>台</w:t>
            </w:r>
          </w:p>
        </w:tc>
        <w:tc>
          <w:tcPr>
            <w:tcW w:w="691" w:type="dxa"/>
            <w:vAlign w:val="top"/>
          </w:tcPr>
          <w:p w14:paraId="1EE270B6">
            <w:pPr>
              <w:pStyle w:val="6"/>
              <w:spacing w:before="57" w:line="236" w:lineRule="auto"/>
              <w:ind w:left="313"/>
            </w:pPr>
            <w:r>
              <w:t>1</w:t>
            </w:r>
          </w:p>
        </w:tc>
      </w:tr>
      <w:tr w14:paraId="23A4F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0" w:type="dxa"/>
            <w:vAlign w:val="top"/>
          </w:tcPr>
          <w:p w14:paraId="06DBA6D5">
            <w:pPr>
              <w:pStyle w:val="6"/>
              <w:spacing w:before="58" w:line="235" w:lineRule="auto"/>
              <w:ind w:left="273"/>
            </w:pPr>
            <w:r>
              <w:t>6</w:t>
            </w:r>
          </w:p>
        </w:tc>
        <w:tc>
          <w:tcPr>
            <w:tcW w:w="2490" w:type="dxa"/>
            <w:vAlign w:val="top"/>
          </w:tcPr>
          <w:p w14:paraId="2E8F66D5">
            <w:pPr>
              <w:pStyle w:val="6"/>
              <w:spacing w:before="57" w:line="228" w:lineRule="auto"/>
              <w:ind w:left="32"/>
            </w:pPr>
            <w:r>
              <w:rPr>
                <w:spacing w:val="6"/>
              </w:rPr>
              <w:t>补水箱</w:t>
            </w:r>
          </w:p>
        </w:tc>
        <w:tc>
          <w:tcPr>
            <w:tcW w:w="3804" w:type="dxa"/>
            <w:vAlign w:val="top"/>
          </w:tcPr>
          <w:p w14:paraId="1BC80B66">
            <w:pPr>
              <w:pStyle w:val="6"/>
              <w:spacing w:before="41" w:line="272" w:lineRule="exact"/>
              <w:ind w:left="1615"/>
              <w:rPr>
                <w:sz w:val="10"/>
                <w:szCs w:val="10"/>
              </w:rPr>
            </w:pPr>
            <w:r>
              <w:rPr>
                <w:spacing w:val="4"/>
              </w:rPr>
              <w:t>V=18m</w:t>
            </w:r>
            <w:r>
              <w:rPr>
                <w:spacing w:val="4"/>
                <w:position w:val="9"/>
                <w:sz w:val="10"/>
                <w:szCs w:val="10"/>
              </w:rPr>
              <w:t>3</w:t>
            </w:r>
          </w:p>
        </w:tc>
        <w:tc>
          <w:tcPr>
            <w:tcW w:w="708" w:type="dxa"/>
            <w:vAlign w:val="top"/>
          </w:tcPr>
          <w:p w14:paraId="5D481B15">
            <w:pPr>
              <w:pStyle w:val="6"/>
              <w:spacing w:before="58" w:line="230" w:lineRule="auto"/>
              <w:ind w:left="273"/>
            </w:pPr>
            <w:r>
              <w:t>台</w:t>
            </w:r>
          </w:p>
        </w:tc>
        <w:tc>
          <w:tcPr>
            <w:tcW w:w="691" w:type="dxa"/>
            <w:vAlign w:val="top"/>
          </w:tcPr>
          <w:p w14:paraId="78CCCCD7">
            <w:pPr>
              <w:pStyle w:val="6"/>
              <w:spacing w:before="58" w:line="235" w:lineRule="auto"/>
              <w:ind w:left="313"/>
            </w:pPr>
            <w:r>
              <w:t>1</w:t>
            </w:r>
          </w:p>
        </w:tc>
      </w:tr>
      <w:tr w14:paraId="242D4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40" w:type="dxa"/>
            <w:vAlign w:val="top"/>
          </w:tcPr>
          <w:p w14:paraId="16877193">
            <w:pPr>
              <w:pStyle w:val="6"/>
              <w:spacing w:before="217" w:line="268" w:lineRule="exact"/>
              <w:ind w:left="276"/>
            </w:pPr>
            <w:r>
              <w:rPr>
                <w:position w:val="1"/>
              </w:rPr>
              <w:t>7</w:t>
            </w:r>
          </w:p>
        </w:tc>
        <w:tc>
          <w:tcPr>
            <w:tcW w:w="2490" w:type="dxa"/>
            <w:vAlign w:val="top"/>
          </w:tcPr>
          <w:p w14:paraId="7AD5F4A8">
            <w:pPr>
              <w:pStyle w:val="6"/>
              <w:spacing w:before="217" w:line="228" w:lineRule="auto"/>
              <w:ind w:left="32"/>
            </w:pPr>
            <w:r>
              <w:rPr>
                <w:spacing w:val="6"/>
              </w:rPr>
              <w:t>补水泵</w:t>
            </w:r>
          </w:p>
        </w:tc>
        <w:tc>
          <w:tcPr>
            <w:tcW w:w="3804" w:type="dxa"/>
            <w:vAlign w:val="top"/>
          </w:tcPr>
          <w:p w14:paraId="46195E52">
            <w:pPr>
              <w:pStyle w:val="6"/>
              <w:spacing w:before="41" w:line="280" w:lineRule="exact"/>
              <w:ind w:left="67"/>
            </w:pPr>
            <w:r>
              <w:rPr>
                <w:spacing w:val="6"/>
                <w:position w:val="1"/>
              </w:rPr>
              <w:t>G=18m</w:t>
            </w:r>
            <w:r>
              <w:rPr>
                <w:spacing w:val="6"/>
                <w:position w:val="11"/>
                <w:sz w:val="10"/>
                <w:szCs w:val="10"/>
              </w:rPr>
              <w:t>3</w:t>
            </w:r>
            <w:r>
              <w:rPr>
                <w:spacing w:val="6"/>
                <w:position w:val="1"/>
              </w:rPr>
              <w:t>/h，H=36</w:t>
            </w:r>
            <w:r>
              <w:rPr>
                <w:position w:val="1"/>
              </w:rPr>
              <w:t>mH</w:t>
            </w:r>
            <w:r>
              <w:rPr>
                <w:spacing w:val="6"/>
                <w:position w:val="-1"/>
                <w:sz w:val="10"/>
                <w:szCs w:val="10"/>
              </w:rPr>
              <w:t>2</w:t>
            </w:r>
            <w:r>
              <w:rPr>
                <w:spacing w:val="6"/>
                <w:position w:val="1"/>
              </w:rPr>
              <w:t>O，N＝2.2</w:t>
            </w:r>
            <w:r>
              <w:rPr>
                <w:position w:val="1"/>
              </w:rPr>
              <w:t>kW</w:t>
            </w:r>
            <w:r>
              <w:rPr>
                <w:spacing w:val="6"/>
                <w:position w:val="1"/>
              </w:rPr>
              <w:t>，变频调</w:t>
            </w:r>
          </w:p>
          <w:p w14:paraId="21AF0531">
            <w:pPr>
              <w:pStyle w:val="6"/>
              <w:spacing w:before="56" w:line="232" w:lineRule="auto"/>
              <w:ind w:left="1801"/>
            </w:pPr>
            <w:r>
              <w:rPr>
                <w:spacing w:val="1"/>
              </w:rPr>
              <w:t>速</w:t>
            </w:r>
          </w:p>
        </w:tc>
        <w:tc>
          <w:tcPr>
            <w:tcW w:w="708" w:type="dxa"/>
            <w:vAlign w:val="top"/>
          </w:tcPr>
          <w:p w14:paraId="5CD25995">
            <w:pPr>
              <w:pStyle w:val="6"/>
              <w:spacing w:before="217" w:line="230" w:lineRule="auto"/>
              <w:ind w:left="273"/>
            </w:pPr>
            <w:r>
              <w:t>台</w:t>
            </w:r>
          </w:p>
        </w:tc>
        <w:tc>
          <w:tcPr>
            <w:tcW w:w="691" w:type="dxa"/>
            <w:vAlign w:val="top"/>
          </w:tcPr>
          <w:p w14:paraId="298BBAD5">
            <w:pPr>
              <w:pStyle w:val="6"/>
              <w:spacing w:before="217" w:line="270" w:lineRule="exact"/>
              <w:ind w:left="300"/>
            </w:pPr>
            <w:r>
              <w:rPr>
                <w:position w:val="1"/>
              </w:rPr>
              <w:t>2</w:t>
            </w:r>
          </w:p>
        </w:tc>
      </w:tr>
      <w:tr w14:paraId="6A9C0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0AB78ADE">
            <w:pPr>
              <w:pStyle w:val="6"/>
              <w:spacing w:before="60" w:line="234" w:lineRule="auto"/>
              <w:ind w:left="272"/>
            </w:pPr>
            <w:r>
              <w:t>8</w:t>
            </w:r>
          </w:p>
        </w:tc>
        <w:tc>
          <w:tcPr>
            <w:tcW w:w="2490" w:type="dxa"/>
            <w:vAlign w:val="top"/>
          </w:tcPr>
          <w:p w14:paraId="2C63C65E">
            <w:pPr>
              <w:pStyle w:val="6"/>
              <w:spacing w:before="59" w:line="228" w:lineRule="auto"/>
              <w:ind w:left="44"/>
            </w:pPr>
            <w:r>
              <w:rPr>
                <w:spacing w:val="7"/>
              </w:rPr>
              <w:t>卧式直通式除污器</w:t>
            </w:r>
          </w:p>
        </w:tc>
        <w:tc>
          <w:tcPr>
            <w:tcW w:w="3804" w:type="dxa"/>
            <w:vAlign w:val="top"/>
          </w:tcPr>
          <w:p w14:paraId="79266FF2">
            <w:pPr>
              <w:pStyle w:val="6"/>
              <w:spacing w:before="60" w:line="234" w:lineRule="auto"/>
              <w:ind w:left="1117"/>
            </w:pPr>
            <w:r>
              <w:t>DN</w:t>
            </w:r>
            <w:r>
              <w:rPr>
                <w:spacing w:val="7"/>
              </w:rPr>
              <w:t>300，P=1.6</w:t>
            </w:r>
            <w:r>
              <w:t>MPa</w:t>
            </w:r>
          </w:p>
        </w:tc>
        <w:tc>
          <w:tcPr>
            <w:tcW w:w="708" w:type="dxa"/>
            <w:vAlign w:val="top"/>
          </w:tcPr>
          <w:p w14:paraId="6A6D7050">
            <w:pPr>
              <w:pStyle w:val="6"/>
              <w:spacing w:before="59" w:line="230" w:lineRule="auto"/>
              <w:ind w:left="273"/>
            </w:pPr>
            <w:r>
              <w:t>台</w:t>
            </w:r>
          </w:p>
        </w:tc>
        <w:tc>
          <w:tcPr>
            <w:tcW w:w="691" w:type="dxa"/>
            <w:vAlign w:val="top"/>
          </w:tcPr>
          <w:p w14:paraId="4A8FA69B">
            <w:pPr>
              <w:pStyle w:val="6"/>
              <w:spacing w:before="60" w:line="234" w:lineRule="auto"/>
              <w:ind w:left="313"/>
            </w:pPr>
            <w:r>
              <w:t>1</w:t>
            </w:r>
          </w:p>
        </w:tc>
      </w:tr>
      <w:tr w14:paraId="0441E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F9E1408">
            <w:pPr>
              <w:pStyle w:val="6"/>
              <w:spacing w:before="59" w:line="235" w:lineRule="auto"/>
              <w:ind w:left="272"/>
            </w:pPr>
            <w:r>
              <w:t>9</w:t>
            </w:r>
          </w:p>
        </w:tc>
        <w:tc>
          <w:tcPr>
            <w:tcW w:w="2490" w:type="dxa"/>
            <w:vAlign w:val="top"/>
          </w:tcPr>
          <w:p w14:paraId="7A001286">
            <w:pPr>
              <w:pStyle w:val="6"/>
              <w:spacing w:before="59" w:line="227" w:lineRule="auto"/>
              <w:ind w:left="34"/>
            </w:pPr>
            <w:r>
              <w:rPr>
                <w:spacing w:val="6"/>
              </w:rPr>
              <w:t>鼓风机</w:t>
            </w:r>
          </w:p>
        </w:tc>
        <w:tc>
          <w:tcPr>
            <w:tcW w:w="3804" w:type="dxa"/>
            <w:vAlign w:val="top"/>
          </w:tcPr>
          <w:p w14:paraId="1C7BD964">
            <w:pPr>
              <w:pStyle w:val="6"/>
              <w:spacing w:before="59" w:line="233" w:lineRule="auto"/>
              <w:ind w:left="1854"/>
            </w:pPr>
            <w:r>
              <w:t>/</w:t>
            </w:r>
          </w:p>
        </w:tc>
        <w:tc>
          <w:tcPr>
            <w:tcW w:w="708" w:type="dxa"/>
            <w:vAlign w:val="top"/>
          </w:tcPr>
          <w:p w14:paraId="5E6DD542">
            <w:pPr>
              <w:pStyle w:val="6"/>
              <w:spacing w:before="59" w:line="230" w:lineRule="auto"/>
              <w:ind w:left="273"/>
            </w:pPr>
            <w:r>
              <w:t>台</w:t>
            </w:r>
          </w:p>
        </w:tc>
        <w:tc>
          <w:tcPr>
            <w:tcW w:w="691" w:type="dxa"/>
            <w:vAlign w:val="top"/>
          </w:tcPr>
          <w:p w14:paraId="237BE9BE">
            <w:pPr>
              <w:pStyle w:val="6"/>
              <w:spacing w:before="59" w:line="235" w:lineRule="auto"/>
              <w:ind w:left="300"/>
            </w:pPr>
            <w:r>
              <w:t>2</w:t>
            </w:r>
          </w:p>
        </w:tc>
      </w:tr>
      <w:tr w14:paraId="434D2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2E149566">
            <w:pPr>
              <w:pStyle w:val="6"/>
              <w:spacing w:before="59" w:line="235" w:lineRule="auto"/>
              <w:ind w:left="237"/>
            </w:pPr>
            <w:r>
              <w:rPr>
                <w:spacing w:val="-7"/>
              </w:rPr>
              <w:t>10</w:t>
            </w:r>
          </w:p>
        </w:tc>
        <w:tc>
          <w:tcPr>
            <w:tcW w:w="2490" w:type="dxa"/>
            <w:vAlign w:val="top"/>
          </w:tcPr>
          <w:p w14:paraId="46A9B902">
            <w:pPr>
              <w:pStyle w:val="6"/>
              <w:spacing w:before="59" w:line="227" w:lineRule="auto"/>
              <w:ind w:left="48"/>
            </w:pPr>
            <w:r>
              <w:rPr>
                <w:spacing w:val="1"/>
              </w:rPr>
              <w:t>引风机</w:t>
            </w:r>
          </w:p>
        </w:tc>
        <w:tc>
          <w:tcPr>
            <w:tcW w:w="3804" w:type="dxa"/>
            <w:vAlign w:val="top"/>
          </w:tcPr>
          <w:p w14:paraId="4BEC6B5D">
            <w:pPr>
              <w:pStyle w:val="6"/>
              <w:spacing w:before="59" w:line="233" w:lineRule="auto"/>
              <w:ind w:left="1854"/>
            </w:pPr>
            <w:r>
              <w:t>/</w:t>
            </w:r>
          </w:p>
        </w:tc>
        <w:tc>
          <w:tcPr>
            <w:tcW w:w="708" w:type="dxa"/>
            <w:vAlign w:val="top"/>
          </w:tcPr>
          <w:p w14:paraId="3A8CFD14">
            <w:pPr>
              <w:pStyle w:val="6"/>
              <w:spacing w:before="59" w:line="230" w:lineRule="auto"/>
              <w:ind w:left="273"/>
            </w:pPr>
            <w:r>
              <w:t>台</w:t>
            </w:r>
          </w:p>
        </w:tc>
        <w:tc>
          <w:tcPr>
            <w:tcW w:w="691" w:type="dxa"/>
            <w:vAlign w:val="top"/>
          </w:tcPr>
          <w:p w14:paraId="147689DD">
            <w:pPr>
              <w:pStyle w:val="6"/>
              <w:spacing w:before="59" w:line="235" w:lineRule="auto"/>
              <w:ind w:left="300"/>
            </w:pPr>
            <w:r>
              <w:t>2</w:t>
            </w:r>
          </w:p>
        </w:tc>
      </w:tr>
      <w:tr w14:paraId="7F56A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3D2E1E51">
            <w:pPr>
              <w:pStyle w:val="6"/>
              <w:spacing w:before="59" w:line="235" w:lineRule="auto"/>
              <w:ind w:left="237"/>
            </w:pPr>
            <w:r>
              <w:rPr>
                <w:spacing w:val="-7"/>
              </w:rPr>
              <w:t>11</w:t>
            </w:r>
          </w:p>
        </w:tc>
        <w:tc>
          <w:tcPr>
            <w:tcW w:w="2490" w:type="dxa"/>
            <w:vAlign w:val="top"/>
          </w:tcPr>
          <w:p w14:paraId="4A763EE3">
            <w:pPr>
              <w:pStyle w:val="6"/>
              <w:spacing w:before="59" w:line="227" w:lineRule="auto"/>
              <w:ind w:left="34"/>
            </w:pPr>
            <w:r>
              <w:rPr>
                <w:spacing w:val="6"/>
              </w:rPr>
              <w:t>罗茨风机</w:t>
            </w:r>
          </w:p>
        </w:tc>
        <w:tc>
          <w:tcPr>
            <w:tcW w:w="3804" w:type="dxa"/>
            <w:vAlign w:val="top"/>
          </w:tcPr>
          <w:p w14:paraId="5B1154D7">
            <w:pPr>
              <w:pStyle w:val="6"/>
              <w:spacing w:before="59" w:line="233" w:lineRule="auto"/>
              <w:ind w:left="1854"/>
            </w:pPr>
            <w:r>
              <w:t>/</w:t>
            </w:r>
          </w:p>
        </w:tc>
        <w:tc>
          <w:tcPr>
            <w:tcW w:w="708" w:type="dxa"/>
            <w:vAlign w:val="top"/>
          </w:tcPr>
          <w:p w14:paraId="152176A2">
            <w:pPr>
              <w:pStyle w:val="6"/>
              <w:spacing w:before="59" w:line="230" w:lineRule="auto"/>
              <w:ind w:left="273"/>
            </w:pPr>
            <w:r>
              <w:t>台</w:t>
            </w:r>
          </w:p>
        </w:tc>
        <w:tc>
          <w:tcPr>
            <w:tcW w:w="691" w:type="dxa"/>
            <w:vAlign w:val="top"/>
          </w:tcPr>
          <w:p w14:paraId="12C52159">
            <w:pPr>
              <w:pStyle w:val="6"/>
              <w:spacing w:before="59" w:line="235" w:lineRule="auto"/>
              <w:ind w:left="297"/>
            </w:pPr>
            <w:r>
              <w:t>4</w:t>
            </w:r>
          </w:p>
        </w:tc>
      </w:tr>
      <w:tr w14:paraId="39C02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40" w:type="dxa"/>
            <w:vAlign w:val="top"/>
          </w:tcPr>
          <w:p w14:paraId="745C924A">
            <w:pPr>
              <w:pStyle w:val="6"/>
              <w:spacing w:before="59" w:line="235" w:lineRule="auto"/>
              <w:ind w:left="237"/>
            </w:pPr>
            <w:r>
              <w:rPr>
                <w:spacing w:val="-7"/>
              </w:rPr>
              <w:t>12</w:t>
            </w:r>
          </w:p>
        </w:tc>
        <w:tc>
          <w:tcPr>
            <w:tcW w:w="2490" w:type="dxa"/>
            <w:vAlign w:val="top"/>
          </w:tcPr>
          <w:p w14:paraId="3DD55D7C">
            <w:pPr>
              <w:pStyle w:val="6"/>
              <w:spacing w:before="59" w:line="227" w:lineRule="auto"/>
              <w:ind w:left="32"/>
            </w:pPr>
            <w:r>
              <w:rPr>
                <w:spacing w:val="8"/>
              </w:rPr>
              <w:t>布袋除尘器</w:t>
            </w:r>
          </w:p>
        </w:tc>
        <w:tc>
          <w:tcPr>
            <w:tcW w:w="3804" w:type="dxa"/>
            <w:vAlign w:val="top"/>
          </w:tcPr>
          <w:p w14:paraId="20E838B4">
            <w:pPr>
              <w:pStyle w:val="6"/>
              <w:spacing w:before="58" w:line="233" w:lineRule="auto"/>
              <w:ind w:left="1854"/>
            </w:pPr>
            <w:r>
              <w:t>/</w:t>
            </w:r>
          </w:p>
        </w:tc>
        <w:tc>
          <w:tcPr>
            <w:tcW w:w="708" w:type="dxa"/>
            <w:vAlign w:val="top"/>
          </w:tcPr>
          <w:p w14:paraId="3C715FBF">
            <w:pPr>
              <w:pStyle w:val="6"/>
              <w:spacing w:before="59" w:line="230" w:lineRule="auto"/>
              <w:ind w:left="273"/>
            </w:pPr>
            <w:r>
              <w:t>台</w:t>
            </w:r>
          </w:p>
        </w:tc>
        <w:tc>
          <w:tcPr>
            <w:tcW w:w="691" w:type="dxa"/>
            <w:vAlign w:val="top"/>
          </w:tcPr>
          <w:p w14:paraId="7E1F3A28">
            <w:pPr>
              <w:pStyle w:val="6"/>
              <w:spacing w:before="59" w:line="235" w:lineRule="auto"/>
              <w:ind w:left="300"/>
            </w:pPr>
            <w:r>
              <w:t>2</w:t>
            </w:r>
          </w:p>
        </w:tc>
      </w:tr>
      <w:tr w14:paraId="77130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40" w:type="dxa"/>
            <w:vAlign w:val="top"/>
          </w:tcPr>
          <w:p w14:paraId="18E1A51D">
            <w:pPr>
              <w:pStyle w:val="6"/>
              <w:spacing w:before="59" w:line="239" w:lineRule="auto"/>
              <w:ind w:left="237"/>
            </w:pPr>
            <w:r>
              <w:rPr>
                <w:spacing w:val="-7"/>
              </w:rPr>
              <w:t>13</w:t>
            </w:r>
          </w:p>
        </w:tc>
        <w:tc>
          <w:tcPr>
            <w:tcW w:w="2490" w:type="dxa"/>
            <w:vAlign w:val="top"/>
          </w:tcPr>
          <w:p w14:paraId="3E67110D">
            <w:pPr>
              <w:pStyle w:val="6"/>
              <w:spacing w:before="58" w:line="228" w:lineRule="auto"/>
              <w:ind w:left="44"/>
            </w:pPr>
            <w:r>
              <w:rPr>
                <w:spacing w:val="7"/>
              </w:rPr>
              <w:t>陶瓷多管除尘器</w:t>
            </w:r>
          </w:p>
        </w:tc>
        <w:tc>
          <w:tcPr>
            <w:tcW w:w="3804" w:type="dxa"/>
            <w:vAlign w:val="top"/>
          </w:tcPr>
          <w:p w14:paraId="5A24CDAD">
            <w:pPr>
              <w:pStyle w:val="6"/>
              <w:spacing w:before="58" w:line="233" w:lineRule="auto"/>
              <w:ind w:left="1854"/>
            </w:pPr>
            <w:r>
              <w:t>/</w:t>
            </w:r>
          </w:p>
        </w:tc>
        <w:tc>
          <w:tcPr>
            <w:tcW w:w="708" w:type="dxa"/>
            <w:vAlign w:val="top"/>
          </w:tcPr>
          <w:p w14:paraId="1A081A15">
            <w:pPr>
              <w:pStyle w:val="6"/>
              <w:spacing w:before="58" w:line="230" w:lineRule="auto"/>
              <w:ind w:left="273"/>
            </w:pPr>
            <w:r>
              <w:t>台</w:t>
            </w:r>
          </w:p>
        </w:tc>
        <w:tc>
          <w:tcPr>
            <w:tcW w:w="691" w:type="dxa"/>
            <w:vAlign w:val="top"/>
          </w:tcPr>
          <w:p w14:paraId="64742F46">
            <w:pPr>
              <w:pStyle w:val="6"/>
              <w:spacing w:before="59" w:line="239" w:lineRule="auto"/>
              <w:ind w:left="300"/>
            </w:pPr>
            <w:r>
              <w:t>2</w:t>
            </w:r>
          </w:p>
        </w:tc>
      </w:tr>
    </w:tbl>
    <w:p w14:paraId="387BC495">
      <w:pPr>
        <w:spacing w:before="37" w:line="219" w:lineRule="auto"/>
        <w:ind w:left="171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1"/>
          <w:sz w:val="24"/>
          <w:szCs w:val="24"/>
        </w:rPr>
        <w:t xml:space="preserve"> </w:t>
      </w:r>
      <w:r>
        <w:rPr>
          <w:rFonts w:ascii="宋体" w:hAnsi="宋体" w:eastAsia="宋体" w:cs="宋体"/>
          <w:spacing w:val="-2"/>
          <w:sz w:val="24"/>
          <w:szCs w:val="24"/>
        </w:rPr>
        <w:t>3.2-7    现有</w:t>
      </w:r>
      <w:r>
        <w:rPr>
          <w:rFonts w:ascii="宋体" w:hAnsi="宋体" w:eastAsia="宋体" w:cs="宋体"/>
          <w:spacing w:val="-47"/>
          <w:sz w:val="24"/>
          <w:szCs w:val="24"/>
        </w:rPr>
        <w:t xml:space="preserve"> </w:t>
      </w:r>
      <w:r>
        <w:rPr>
          <w:rFonts w:ascii="宋体" w:hAnsi="宋体" w:eastAsia="宋体" w:cs="宋体"/>
          <w:spacing w:val="-2"/>
          <w:sz w:val="24"/>
          <w:szCs w:val="24"/>
        </w:rPr>
        <w:t>2000t/d</w:t>
      </w:r>
      <w:r>
        <w:rPr>
          <w:rFonts w:ascii="宋体" w:hAnsi="宋体" w:eastAsia="宋体" w:cs="宋体"/>
          <w:spacing w:val="-52"/>
          <w:sz w:val="24"/>
          <w:szCs w:val="24"/>
        </w:rPr>
        <w:t xml:space="preserve"> </w:t>
      </w:r>
      <w:r>
        <w:rPr>
          <w:rFonts w:ascii="宋体" w:hAnsi="宋体" w:eastAsia="宋体" w:cs="宋体"/>
          <w:spacing w:val="-2"/>
          <w:sz w:val="24"/>
          <w:szCs w:val="24"/>
        </w:rPr>
        <w:t>选矿车间主要生产设备表</w:t>
      </w:r>
    </w:p>
    <w:p w14:paraId="7ED23C65">
      <w:pPr>
        <w:spacing w:line="145" w:lineRule="exact"/>
      </w:pPr>
    </w:p>
    <w:tbl>
      <w:tblPr>
        <w:tblStyle w:val="5"/>
        <w:tblW w:w="82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2732"/>
        <w:gridCol w:w="2479"/>
        <w:gridCol w:w="1034"/>
        <w:gridCol w:w="1038"/>
      </w:tblGrid>
      <w:tr w14:paraId="7480C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37" w:type="dxa"/>
            <w:vAlign w:val="top"/>
          </w:tcPr>
          <w:p w14:paraId="66CEB553">
            <w:pPr>
              <w:pStyle w:val="6"/>
              <w:spacing w:before="66" w:line="229" w:lineRule="auto"/>
              <w:ind w:left="262"/>
            </w:pPr>
            <w:r>
              <w:rPr>
                <w:spacing w:val="5"/>
              </w:rPr>
              <w:t>序号</w:t>
            </w:r>
          </w:p>
        </w:tc>
        <w:tc>
          <w:tcPr>
            <w:tcW w:w="2732" w:type="dxa"/>
            <w:vAlign w:val="top"/>
          </w:tcPr>
          <w:p w14:paraId="3E57E090">
            <w:pPr>
              <w:pStyle w:val="6"/>
              <w:spacing w:before="66" w:line="230" w:lineRule="auto"/>
              <w:ind w:left="1164"/>
            </w:pPr>
            <w:r>
              <w:rPr>
                <w:spacing w:val="3"/>
              </w:rPr>
              <w:t>名称</w:t>
            </w:r>
          </w:p>
        </w:tc>
        <w:tc>
          <w:tcPr>
            <w:tcW w:w="2479" w:type="dxa"/>
            <w:vAlign w:val="top"/>
          </w:tcPr>
          <w:p w14:paraId="41CBEF79">
            <w:pPr>
              <w:pStyle w:val="6"/>
              <w:spacing w:before="66" w:line="228" w:lineRule="auto"/>
              <w:ind w:left="825"/>
            </w:pPr>
            <w:r>
              <w:rPr>
                <w:spacing w:val="7"/>
              </w:rPr>
              <w:t>规格型号</w:t>
            </w:r>
          </w:p>
        </w:tc>
        <w:tc>
          <w:tcPr>
            <w:tcW w:w="1034" w:type="dxa"/>
            <w:vAlign w:val="top"/>
          </w:tcPr>
          <w:p w14:paraId="1A20D003">
            <w:pPr>
              <w:pStyle w:val="6"/>
              <w:spacing w:before="59" w:line="228" w:lineRule="auto"/>
              <w:ind w:left="315"/>
            </w:pPr>
            <w:r>
              <w:rPr>
                <w:spacing w:val="3"/>
              </w:rPr>
              <w:t>单位</w:t>
            </w:r>
          </w:p>
        </w:tc>
        <w:tc>
          <w:tcPr>
            <w:tcW w:w="1038" w:type="dxa"/>
            <w:vAlign w:val="top"/>
          </w:tcPr>
          <w:p w14:paraId="437A3B49">
            <w:pPr>
              <w:pStyle w:val="6"/>
              <w:spacing w:before="66" w:line="228" w:lineRule="auto"/>
              <w:ind w:left="316"/>
            </w:pPr>
            <w:r>
              <w:rPr>
                <w:spacing w:val="3"/>
              </w:rPr>
              <w:t>数量</w:t>
            </w:r>
          </w:p>
        </w:tc>
      </w:tr>
      <w:tr w14:paraId="43B78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937" w:type="dxa"/>
            <w:vAlign w:val="top"/>
          </w:tcPr>
          <w:p w14:paraId="2BB240EF">
            <w:pPr>
              <w:pStyle w:val="6"/>
              <w:spacing w:before="111" w:line="270" w:lineRule="exact"/>
              <w:ind w:left="436"/>
            </w:pPr>
            <w:r>
              <w:rPr>
                <w:position w:val="1"/>
              </w:rPr>
              <w:t>1</w:t>
            </w:r>
          </w:p>
        </w:tc>
        <w:tc>
          <w:tcPr>
            <w:tcW w:w="2732" w:type="dxa"/>
            <w:vAlign w:val="top"/>
          </w:tcPr>
          <w:p w14:paraId="373E6B25">
            <w:pPr>
              <w:pStyle w:val="6"/>
              <w:spacing w:before="111" w:line="227" w:lineRule="auto"/>
              <w:ind w:left="637"/>
            </w:pPr>
            <w:r>
              <w:fldChar w:fldCharType="begin"/>
            </w:r>
            <w:r>
              <w:instrText xml:space="preserve"> HYPERLINK "GBZ125-4重型板式给矿机\\GBZ125-4重型板式给矿机.xlsx" </w:instrText>
            </w:r>
            <w:r>
              <w:fldChar w:fldCharType="separate"/>
            </w:r>
            <w:r>
              <w:rPr>
                <w:spacing w:val="8"/>
              </w:rPr>
              <w:t>重型板式给矿机</w:t>
            </w:r>
            <w:r>
              <w:rPr>
                <w:spacing w:val="8"/>
              </w:rPr>
              <w:fldChar w:fldCharType="end"/>
            </w:r>
          </w:p>
        </w:tc>
        <w:tc>
          <w:tcPr>
            <w:tcW w:w="2479" w:type="dxa"/>
            <w:vAlign w:val="top"/>
          </w:tcPr>
          <w:p w14:paraId="149060E3">
            <w:pPr>
              <w:pStyle w:val="6"/>
              <w:spacing w:before="111" w:line="268" w:lineRule="exact"/>
              <w:ind w:left="822"/>
            </w:pPr>
            <w:r>
              <w:rPr>
                <w:position w:val="1"/>
              </w:rPr>
              <w:t>GBZ</w:t>
            </w:r>
            <w:r>
              <w:rPr>
                <w:spacing w:val="7"/>
                <w:position w:val="1"/>
              </w:rPr>
              <w:t>125-4</w:t>
            </w:r>
          </w:p>
        </w:tc>
        <w:tc>
          <w:tcPr>
            <w:tcW w:w="1034" w:type="dxa"/>
            <w:vAlign w:val="top"/>
          </w:tcPr>
          <w:p w14:paraId="0DD7D428">
            <w:pPr>
              <w:pStyle w:val="6"/>
              <w:spacing w:before="111" w:line="230" w:lineRule="auto"/>
              <w:ind w:left="436"/>
            </w:pPr>
            <w:r>
              <w:t>台</w:t>
            </w:r>
          </w:p>
        </w:tc>
        <w:tc>
          <w:tcPr>
            <w:tcW w:w="1038" w:type="dxa"/>
            <w:vAlign w:val="top"/>
          </w:tcPr>
          <w:p w14:paraId="0B3572CA">
            <w:pPr>
              <w:pStyle w:val="6"/>
              <w:spacing w:before="111" w:line="270" w:lineRule="exact"/>
              <w:ind w:left="488"/>
            </w:pPr>
            <w:r>
              <w:rPr>
                <w:position w:val="1"/>
              </w:rPr>
              <w:t>1</w:t>
            </w:r>
          </w:p>
        </w:tc>
      </w:tr>
      <w:tr w14:paraId="4BE5F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37" w:type="dxa"/>
            <w:vAlign w:val="top"/>
          </w:tcPr>
          <w:p w14:paraId="798BD98A">
            <w:pPr>
              <w:pStyle w:val="6"/>
              <w:spacing w:before="105" w:line="270" w:lineRule="exact"/>
              <w:ind w:left="423"/>
            </w:pPr>
            <w:r>
              <w:rPr>
                <w:position w:val="1"/>
              </w:rPr>
              <w:t>2</w:t>
            </w:r>
          </w:p>
        </w:tc>
        <w:tc>
          <w:tcPr>
            <w:tcW w:w="2732" w:type="dxa"/>
            <w:vAlign w:val="top"/>
          </w:tcPr>
          <w:p w14:paraId="4B3FF560">
            <w:pPr>
              <w:pStyle w:val="6"/>
              <w:spacing w:before="105" w:line="227" w:lineRule="auto"/>
              <w:ind w:left="845"/>
            </w:pPr>
            <w:r>
              <w:fldChar w:fldCharType="begin"/>
            </w:r>
            <w:r>
              <w:instrText xml:space="preserve"> HYPERLINK "C100颚式破碎机\\C100颚式破碎机.xlsx" </w:instrText>
            </w:r>
            <w:r>
              <w:fldChar w:fldCharType="separate"/>
            </w:r>
            <w:r>
              <w:rPr>
                <w:spacing w:val="7"/>
              </w:rPr>
              <w:t>颚式破碎机</w:t>
            </w:r>
            <w:r>
              <w:rPr>
                <w:spacing w:val="7"/>
              </w:rPr>
              <w:fldChar w:fldCharType="end"/>
            </w:r>
          </w:p>
        </w:tc>
        <w:tc>
          <w:tcPr>
            <w:tcW w:w="2479" w:type="dxa"/>
            <w:vAlign w:val="top"/>
          </w:tcPr>
          <w:p w14:paraId="76AEAB79">
            <w:pPr>
              <w:pStyle w:val="6"/>
              <w:spacing w:before="105" w:line="269" w:lineRule="exact"/>
              <w:ind w:left="1034"/>
            </w:pPr>
            <w:r>
              <w:rPr>
                <w:spacing w:val="3"/>
                <w:position w:val="1"/>
              </w:rPr>
              <w:t>C100</w:t>
            </w:r>
          </w:p>
        </w:tc>
        <w:tc>
          <w:tcPr>
            <w:tcW w:w="1034" w:type="dxa"/>
            <w:vAlign w:val="top"/>
          </w:tcPr>
          <w:p w14:paraId="41CE50F4">
            <w:pPr>
              <w:pStyle w:val="6"/>
              <w:spacing w:before="105" w:line="230" w:lineRule="auto"/>
              <w:ind w:left="436"/>
            </w:pPr>
            <w:r>
              <w:t>台</w:t>
            </w:r>
          </w:p>
        </w:tc>
        <w:tc>
          <w:tcPr>
            <w:tcW w:w="1038" w:type="dxa"/>
            <w:vAlign w:val="top"/>
          </w:tcPr>
          <w:p w14:paraId="39AA161F">
            <w:pPr>
              <w:pStyle w:val="6"/>
              <w:spacing w:before="105" w:line="270" w:lineRule="exact"/>
              <w:ind w:left="488"/>
            </w:pPr>
            <w:r>
              <w:rPr>
                <w:position w:val="1"/>
              </w:rPr>
              <w:t>1</w:t>
            </w:r>
          </w:p>
        </w:tc>
      </w:tr>
      <w:tr w14:paraId="7DB61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7" w:type="dxa"/>
            <w:vAlign w:val="top"/>
          </w:tcPr>
          <w:p w14:paraId="3948E858">
            <w:pPr>
              <w:pStyle w:val="6"/>
              <w:spacing w:before="104" w:line="268" w:lineRule="exact"/>
              <w:ind w:left="425"/>
            </w:pPr>
            <w:r>
              <w:rPr>
                <w:position w:val="1"/>
              </w:rPr>
              <w:t>3</w:t>
            </w:r>
          </w:p>
        </w:tc>
        <w:tc>
          <w:tcPr>
            <w:tcW w:w="2732" w:type="dxa"/>
            <w:vAlign w:val="top"/>
          </w:tcPr>
          <w:p w14:paraId="288B71BB">
            <w:pPr>
              <w:pStyle w:val="6"/>
              <w:spacing w:before="104" w:line="227" w:lineRule="auto"/>
              <w:ind w:left="862"/>
            </w:pPr>
            <w:r>
              <w:fldChar w:fldCharType="begin"/>
            </w:r>
            <w:r>
              <w:instrText xml:space="preserve"> HYPERLINK "GP11F圆锥破碎机\\GP11F圆锥破碎机.xlsx" </w:instrText>
            </w:r>
            <w:r>
              <w:fldChar w:fldCharType="separate"/>
            </w:r>
            <w:r>
              <w:rPr>
                <w:spacing w:val="4"/>
              </w:rPr>
              <w:t>圆锥破碎机</w:t>
            </w:r>
            <w:r>
              <w:rPr>
                <w:spacing w:val="4"/>
              </w:rPr>
              <w:fldChar w:fldCharType="end"/>
            </w:r>
          </w:p>
        </w:tc>
        <w:tc>
          <w:tcPr>
            <w:tcW w:w="2479" w:type="dxa"/>
            <w:vAlign w:val="top"/>
          </w:tcPr>
          <w:p w14:paraId="699003DC">
            <w:pPr>
              <w:pStyle w:val="6"/>
              <w:spacing w:before="104" w:line="268" w:lineRule="exact"/>
              <w:ind w:left="981"/>
            </w:pPr>
            <w:r>
              <w:rPr>
                <w:position w:val="1"/>
              </w:rPr>
              <w:t>GP</w:t>
            </w:r>
            <w:r>
              <w:rPr>
                <w:spacing w:val="6"/>
                <w:position w:val="1"/>
              </w:rPr>
              <w:t>11F</w:t>
            </w:r>
          </w:p>
        </w:tc>
        <w:tc>
          <w:tcPr>
            <w:tcW w:w="1034" w:type="dxa"/>
            <w:vAlign w:val="top"/>
          </w:tcPr>
          <w:p w14:paraId="68E5FDF8">
            <w:pPr>
              <w:pStyle w:val="6"/>
              <w:spacing w:before="104" w:line="230" w:lineRule="auto"/>
              <w:ind w:left="436"/>
            </w:pPr>
            <w:r>
              <w:t>台</w:t>
            </w:r>
          </w:p>
        </w:tc>
        <w:tc>
          <w:tcPr>
            <w:tcW w:w="1038" w:type="dxa"/>
            <w:vAlign w:val="top"/>
          </w:tcPr>
          <w:p w14:paraId="5B2BFCAD">
            <w:pPr>
              <w:pStyle w:val="6"/>
              <w:spacing w:before="104" w:line="270" w:lineRule="exact"/>
              <w:ind w:left="488"/>
            </w:pPr>
            <w:r>
              <w:rPr>
                <w:position w:val="1"/>
              </w:rPr>
              <w:t>1</w:t>
            </w:r>
          </w:p>
        </w:tc>
      </w:tr>
      <w:tr w14:paraId="66D1F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937" w:type="dxa"/>
            <w:vAlign w:val="top"/>
          </w:tcPr>
          <w:p w14:paraId="6E91C254">
            <w:pPr>
              <w:pStyle w:val="6"/>
              <w:spacing w:before="92" w:line="270" w:lineRule="exact"/>
              <w:ind w:left="420"/>
            </w:pPr>
            <w:r>
              <w:rPr>
                <w:position w:val="1"/>
              </w:rPr>
              <w:t>4</w:t>
            </w:r>
          </w:p>
        </w:tc>
        <w:tc>
          <w:tcPr>
            <w:tcW w:w="2732" w:type="dxa"/>
            <w:vAlign w:val="top"/>
          </w:tcPr>
          <w:p w14:paraId="7012EF83">
            <w:pPr>
              <w:pStyle w:val="6"/>
              <w:spacing w:before="91" w:line="227" w:lineRule="auto"/>
              <w:ind w:left="862"/>
            </w:pPr>
            <w:r>
              <w:fldChar w:fldCharType="begin"/>
            </w:r>
            <w:r>
              <w:instrText xml:space="preserve"> HYPERLINK "GP11S圆锥破碎机\\GP11S圆锥破碎机.xlsx" </w:instrText>
            </w:r>
            <w:r>
              <w:fldChar w:fldCharType="separate"/>
            </w:r>
            <w:r>
              <w:rPr>
                <w:spacing w:val="4"/>
              </w:rPr>
              <w:t>圆锥破碎机</w:t>
            </w:r>
            <w:r>
              <w:rPr>
                <w:spacing w:val="4"/>
              </w:rPr>
              <w:fldChar w:fldCharType="end"/>
            </w:r>
          </w:p>
        </w:tc>
        <w:tc>
          <w:tcPr>
            <w:tcW w:w="2479" w:type="dxa"/>
            <w:vAlign w:val="top"/>
          </w:tcPr>
          <w:p w14:paraId="2C506C1D">
            <w:pPr>
              <w:pStyle w:val="6"/>
              <w:spacing w:before="92" w:line="268" w:lineRule="exact"/>
              <w:ind w:left="928"/>
            </w:pPr>
            <w:r>
              <w:rPr>
                <w:position w:val="1"/>
              </w:rPr>
              <w:t>GP</w:t>
            </w:r>
            <w:r>
              <w:rPr>
                <w:spacing w:val="6"/>
                <w:position w:val="1"/>
              </w:rPr>
              <w:t>100S</w:t>
            </w:r>
          </w:p>
        </w:tc>
        <w:tc>
          <w:tcPr>
            <w:tcW w:w="1034" w:type="dxa"/>
            <w:vAlign w:val="top"/>
          </w:tcPr>
          <w:p w14:paraId="583B45F2">
            <w:pPr>
              <w:pStyle w:val="6"/>
              <w:spacing w:before="91" w:line="230" w:lineRule="auto"/>
              <w:ind w:left="436"/>
            </w:pPr>
            <w:r>
              <w:t>台</w:t>
            </w:r>
          </w:p>
        </w:tc>
        <w:tc>
          <w:tcPr>
            <w:tcW w:w="1038" w:type="dxa"/>
            <w:vAlign w:val="top"/>
          </w:tcPr>
          <w:p w14:paraId="6E97CE42">
            <w:pPr>
              <w:pStyle w:val="6"/>
              <w:spacing w:before="92" w:line="270" w:lineRule="exact"/>
              <w:ind w:left="488"/>
            </w:pPr>
            <w:r>
              <w:rPr>
                <w:position w:val="1"/>
              </w:rPr>
              <w:t>1</w:t>
            </w:r>
          </w:p>
        </w:tc>
      </w:tr>
      <w:tr w14:paraId="459ED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937" w:type="dxa"/>
            <w:vAlign w:val="top"/>
          </w:tcPr>
          <w:p w14:paraId="70B99E66">
            <w:pPr>
              <w:pStyle w:val="6"/>
              <w:spacing w:before="101" w:line="268" w:lineRule="exact"/>
              <w:ind w:left="425"/>
            </w:pPr>
            <w:r>
              <w:rPr>
                <w:position w:val="1"/>
              </w:rPr>
              <w:t>5</w:t>
            </w:r>
          </w:p>
        </w:tc>
        <w:tc>
          <w:tcPr>
            <w:tcW w:w="2732" w:type="dxa"/>
            <w:vAlign w:val="top"/>
          </w:tcPr>
          <w:p w14:paraId="1C3C9319">
            <w:pPr>
              <w:pStyle w:val="6"/>
              <w:spacing w:before="101" w:line="228" w:lineRule="auto"/>
              <w:ind w:left="949"/>
            </w:pPr>
            <w:r>
              <w:fldChar w:fldCharType="begin"/>
            </w:r>
            <w:r>
              <w:instrText xml:space="preserve"> HYPERLINK "输送设备\\输送设备.xlsx" </w:instrText>
            </w:r>
            <w:r>
              <w:fldChar w:fldCharType="separate"/>
            </w:r>
            <w:r>
              <w:rPr>
                <w:spacing w:val="7"/>
              </w:rPr>
              <w:t>输送设备</w:t>
            </w:r>
            <w:r>
              <w:rPr>
                <w:spacing w:val="7"/>
              </w:rPr>
              <w:fldChar w:fldCharType="end"/>
            </w:r>
          </w:p>
        </w:tc>
        <w:tc>
          <w:tcPr>
            <w:tcW w:w="2479" w:type="dxa"/>
            <w:vAlign w:val="top"/>
          </w:tcPr>
          <w:p w14:paraId="42BC9C3A">
            <w:pPr>
              <w:pStyle w:val="6"/>
              <w:spacing w:before="101" w:line="233" w:lineRule="auto"/>
              <w:ind w:left="453"/>
            </w:pPr>
            <w:r>
              <w:rPr>
                <w:spacing w:val="4"/>
              </w:rPr>
              <w:t>B1000/B800/B500</w:t>
            </w:r>
          </w:p>
        </w:tc>
        <w:tc>
          <w:tcPr>
            <w:tcW w:w="1034" w:type="dxa"/>
            <w:vAlign w:val="top"/>
          </w:tcPr>
          <w:p w14:paraId="2DB1A427">
            <w:pPr>
              <w:pStyle w:val="6"/>
              <w:spacing w:before="101" w:line="230" w:lineRule="auto"/>
              <w:ind w:left="436"/>
            </w:pPr>
            <w:r>
              <w:t>台</w:t>
            </w:r>
          </w:p>
        </w:tc>
        <w:tc>
          <w:tcPr>
            <w:tcW w:w="1038" w:type="dxa"/>
            <w:vAlign w:val="top"/>
          </w:tcPr>
          <w:p w14:paraId="658D63F2">
            <w:pPr>
              <w:pStyle w:val="6"/>
              <w:spacing w:before="101" w:line="268" w:lineRule="exact"/>
              <w:ind w:left="477"/>
            </w:pPr>
            <w:r>
              <w:rPr>
                <w:position w:val="1"/>
              </w:rPr>
              <w:t>7</w:t>
            </w:r>
          </w:p>
        </w:tc>
      </w:tr>
      <w:tr w14:paraId="5C36C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937" w:type="dxa"/>
            <w:vAlign w:val="top"/>
          </w:tcPr>
          <w:p w14:paraId="60136FF2">
            <w:pPr>
              <w:pStyle w:val="6"/>
              <w:spacing w:before="105" w:line="268" w:lineRule="exact"/>
              <w:ind w:left="423"/>
            </w:pPr>
            <w:r>
              <w:rPr>
                <w:position w:val="1"/>
              </w:rPr>
              <w:t>6</w:t>
            </w:r>
          </w:p>
        </w:tc>
        <w:tc>
          <w:tcPr>
            <w:tcW w:w="2732" w:type="dxa"/>
            <w:vAlign w:val="top"/>
          </w:tcPr>
          <w:p w14:paraId="0F45218D">
            <w:pPr>
              <w:pStyle w:val="6"/>
              <w:spacing w:before="104" w:line="228" w:lineRule="auto"/>
              <w:ind w:left="1055"/>
            </w:pPr>
            <w:r>
              <w:fldChar w:fldCharType="begin"/>
            </w:r>
            <w:r>
              <w:instrText xml:space="preserve"> HYPERLINK "2YAHG1848\\2YAHG1848振动筛.xlsx" </w:instrText>
            </w:r>
            <w:r>
              <w:fldChar w:fldCharType="separate"/>
            </w:r>
            <w:r>
              <w:rPr>
                <w:spacing w:val="7"/>
              </w:rPr>
              <w:t>振动筛</w:t>
            </w:r>
            <w:r>
              <w:rPr>
                <w:spacing w:val="7"/>
              </w:rPr>
              <w:fldChar w:fldCharType="end"/>
            </w:r>
          </w:p>
        </w:tc>
        <w:tc>
          <w:tcPr>
            <w:tcW w:w="2479" w:type="dxa"/>
            <w:vAlign w:val="top"/>
          </w:tcPr>
          <w:p w14:paraId="3DBF68F5">
            <w:pPr>
              <w:pStyle w:val="6"/>
              <w:spacing w:before="105" w:line="268" w:lineRule="exact"/>
              <w:ind w:left="774"/>
            </w:pPr>
            <w:r>
              <w:rPr>
                <w:spacing w:val="6"/>
                <w:position w:val="1"/>
              </w:rPr>
              <w:t>2</w:t>
            </w:r>
            <w:r>
              <w:rPr>
                <w:position w:val="1"/>
              </w:rPr>
              <w:t>YAHG</w:t>
            </w:r>
            <w:r>
              <w:rPr>
                <w:spacing w:val="6"/>
                <w:position w:val="1"/>
              </w:rPr>
              <w:t>1848</w:t>
            </w:r>
          </w:p>
        </w:tc>
        <w:tc>
          <w:tcPr>
            <w:tcW w:w="1034" w:type="dxa"/>
            <w:vAlign w:val="top"/>
          </w:tcPr>
          <w:p w14:paraId="1EA5EC4E">
            <w:pPr>
              <w:pStyle w:val="6"/>
              <w:spacing w:before="105" w:line="230" w:lineRule="auto"/>
              <w:ind w:left="436"/>
            </w:pPr>
            <w:r>
              <w:t>台</w:t>
            </w:r>
          </w:p>
        </w:tc>
        <w:tc>
          <w:tcPr>
            <w:tcW w:w="1038" w:type="dxa"/>
            <w:vAlign w:val="top"/>
          </w:tcPr>
          <w:p w14:paraId="0F00A61E">
            <w:pPr>
              <w:pStyle w:val="6"/>
              <w:spacing w:before="105" w:line="270" w:lineRule="exact"/>
              <w:ind w:left="488"/>
            </w:pPr>
            <w:r>
              <w:rPr>
                <w:position w:val="1"/>
              </w:rPr>
              <w:t>1</w:t>
            </w:r>
          </w:p>
        </w:tc>
      </w:tr>
      <w:tr w14:paraId="641A8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37" w:type="dxa"/>
            <w:vAlign w:val="top"/>
          </w:tcPr>
          <w:p w14:paraId="53715EBF">
            <w:pPr>
              <w:pStyle w:val="6"/>
              <w:spacing w:before="100" w:line="268" w:lineRule="exact"/>
              <w:ind w:left="426"/>
            </w:pPr>
            <w:r>
              <w:rPr>
                <w:position w:val="1"/>
              </w:rPr>
              <w:t>7</w:t>
            </w:r>
          </w:p>
        </w:tc>
        <w:tc>
          <w:tcPr>
            <w:tcW w:w="2732" w:type="dxa"/>
            <w:vAlign w:val="top"/>
          </w:tcPr>
          <w:p w14:paraId="52C90960">
            <w:pPr>
              <w:pStyle w:val="6"/>
              <w:spacing w:before="100" w:line="227" w:lineRule="auto"/>
              <w:ind w:left="530"/>
            </w:pPr>
            <w:r>
              <w:fldChar w:fldCharType="begin"/>
            </w:r>
            <w:r>
              <w:instrText xml:space="preserve"> HYPERLINK "MQG2736\\MQG2736球磨机.xlsx" </w:instrText>
            </w:r>
            <w:r>
              <w:fldChar w:fldCharType="separate"/>
            </w:r>
            <w:r>
              <w:rPr>
                <w:spacing w:val="8"/>
              </w:rPr>
              <w:t>湿式格子型球磨机</w:t>
            </w:r>
            <w:r>
              <w:rPr>
                <w:spacing w:val="8"/>
              </w:rPr>
              <w:fldChar w:fldCharType="end"/>
            </w:r>
          </w:p>
        </w:tc>
        <w:tc>
          <w:tcPr>
            <w:tcW w:w="2479" w:type="dxa"/>
            <w:vAlign w:val="top"/>
          </w:tcPr>
          <w:p w14:paraId="7EBDE1BD">
            <w:pPr>
              <w:pStyle w:val="6"/>
              <w:spacing w:before="99" w:line="233" w:lineRule="auto"/>
              <w:ind w:left="871"/>
            </w:pPr>
            <w:r>
              <w:t>MQG</w:t>
            </w:r>
            <w:r>
              <w:rPr>
                <w:spacing w:val="8"/>
              </w:rPr>
              <w:t>2736</w:t>
            </w:r>
          </w:p>
        </w:tc>
        <w:tc>
          <w:tcPr>
            <w:tcW w:w="1034" w:type="dxa"/>
            <w:vAlign w:val="top"/>
          </w:tcPr>
          <w:p w14:paraId="75EC7AA5">
            <w:pPr>
              <w:pStyle w:val="6"/>
              <w:spacing w:before="100" w:line="230" w:lineRule="auto"/>
              <w:ind w:left="436"/>
            </w:pPr>
            <w:r>
              <w:t>台</w:t>
            </w:r>
          </w:p>
        </w:tc>
        <w:tc>
          <w:tcPr>
            <w:tcW w:w="1038" w:type="dxa"/>
            <w:vAlign w:val="top"/>
          </w:tcPr>
          <w:p w14:paraId="2DC8BB18">
            <w:pPr>
              <w:pStyle w:val="6"/>
              <w:spacing w:before="100" w:line="270" w:lineRule="exact"/>
              <w:ind w:left="475"/>
            </w:pPr>
            <w:r>
              <w:rPr>
                <w:position w:val="1"/>
              </w:rPr>
              <w:t>2</w:t>
            </w:r>
          </w:p>
        </w:tc>
      </w:tr>
      <w:tr w14:paraId="7C1E1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37" w:type="dxa"/>
            <w:vAlign w:val="top"/>
          </w:tcPr>
          <w:p w14:paraId="7DC30CB3">
            <w:pPr>
              <w:pStyle w:val="6"/>
              <w:spacing w:before="103" w:line="268" w:lineRule="exact"/>
              <w:ind w:left="422"/>
            </w:pPr>
            <w:r>
              <w:rPr>
                <w:position w:val="1"/>
              </w:rPr>
              <w:t>8</w:t>
            </w:r>
          </w:p>
        </w:tc>
        <w:tc>
          <w:tcPr>
            <w:tcW w:w="2732" w:type="dxa"/>
            <w:vAlign w:val="top"/>
          </w:tcPr>
          <w:p w14:paraId="2E72A73E">
            <w:pPr>
              <w:pStyle w:val="6"/>
              <w:spacing w:before="103" w:line="227" w:lineRule="auto"/>
              <w:ind w:left="536"/>
            </w:pPr>
            <w:r>
              <w:fldChar w:fldCharType="begin"/>
            </w:r>
            <w:r>
              <w:instrText xml:space="preserve"> HYPERLINK "FC-2400螺旋分级机\\FC2400螺旋分级机.xlsx" </w:instrText>
            </w:r>
            <w:r>
              <w:fldChar w:fldCharType="separate"/>
            </w:r>
            <w:r>
              <w:rPr>
                <w:spacing w:val="7"/>
              </w:rPr>
              <w:t>高堰式螺旋分级机</w:t>
            </w:r>
            <w:r>
              <w:rPr>
                <w:spacing w:val="7"/>
              </w:rPr>
              <w:fldChar w:fldCharType="end"/>
            </w:r>
          </w:p>
        </w:tc>
        <w:tc>
          <w:tcPr>
            <w:tcW w:w="2479" w:type="dxa"/>
            <w:vAlign w:val="top"/>
          </w:tcPr>
          <w:p w14:paraId="04C42484">
            <w:pPr>
              <w:pStyle w:val="6"/>
              <w:spacing w:before="103" w:line="268" w:lineRule="exact"/>
              <w:ind w:left="927"/>
            </w:pPr>
            <w:r>
              <w:rPr>
                <w:position w:val="1"/>
              </w:rPr>
              <w:t>FC</w:t>
            </w:r>
            <w:r>
              <w:rPr>
                <w:spacing w:val="6"/>
                <w:position w:val="1"/>
              </w:rPr>
              <w:t>2400</w:t>
            </w:r>
          </w:p>
        </w:tc>
        <w:tc>
          <w:tcPr>
            <w:tcW w:w="1034" w:type="dxa"/>
            <w:vAlign w:val="top"/>
          </w:tcPr>
          <w:p w14:paraId="74961267">
            <w:pPr>
              <w:pStyle w:val="6"/>
              <w:spacing w:before="103" w:line="230" w:lineRule="auto"/>
              <w:ind w:left="436"/>
            </w:pPr>
            <w:r>
              <w:t>台</w:t>
            </w:r>
          </w:p>
        </w:tc>
        <w:tc>
          <w:tcPr>
            <w:tcW w:w="1038" w:type="dxa"/>
            <w:vAlign w:val="top"/>
          </w:tcPr>
          <w:p w14:paraId="42DC82AF">
            <w:pPr>
              <w:pStyle w:val="6"/>
              <w:spacing w:before="103" w:line="270" w:lineRule="exact"/>
              <w:ind w:left="475"/>
            </w:pPr>
            <w:r>
              <w:rPr>
                <w:position w:val="1"/>
              </w:rPr>
              <w:t>2</w:t>
            </w:r>
          </w:p>
        </w:tc>
      </w:tr>
      <w:tr w14:paraId="4E086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37" w:type="dxa"/>
            <w:vAlign w:val="top"/>
          </w:tcPr>
          <w:p w14:paraId="444ADE9C">
            <w:pPr>
              <w:pStyle w:val="6"/>
              <w:spacing w:before="99" w:line="268" w:lineRule="exact"/>
              <w:ind w:left="422"/>
            </w:pPr>
            <w:r>
              <w:rPr>
                <w:position w:val="1"/>
              </w:rPr>
              <w:t>9</w:t>
            </w:r>
          </w:p>
        </w:tc>
        <w:tc>
          <w:tcPr>
            <w:tcW w:w="2732" w:type="dxa"/>
            <w:vAlign w:val="top"/>
          </w:tcPr>
          <w:p w14:paraId="46590FDF">
            <w:pPr>
              <w:pStyle w:val="6"/>
              <w:spacing w:before="98" w:line="228" w:lineRule="auto"/>
              <w:ind w:left="1059"/>
            </w:pPr>
            <w:r>
              <w:fldChar w:fldCharType="begin"/>
            </w:r>
            <w:r>
              <w:instrText xml:space="preserve"> HYPERLINK "ISG200-400清水泵\\ISG200-400.xlsx" </w:instrText>
            </w:r>
            <w:r>
              <w:fldChar w:fldCharType="separate"/>
            </w:r>
            <w:r>
              <w:rPr>
                <w:spacing w:val="5"/>
              </w:rPr>
              <w:t>离心泵</w:t>
            </w:r>
            <w:r>
              <w:rPr>
                <w:spacing w:val="5"/>
              </w:rPr>
              <w:fldChar w:fldCharType="end"/>
            </w:r>
          </w:p>
        </w:tc>
        <w:tc>
          <w:tcPr>
            <w:tcW w:w="2479" w:type="dxa"/>
            <w:vAlign w:val="top"/>
          </w:tcPr>
          <w:p w14:paraId="7AE9CB4F">
            <w:pPr>
              <w:pStyle w:val="6"/>
              <w:spacing w:before="99" w:line="268" w:lineRule="exact"/>
              <w:ind w:left="733"/>
            </w:pPr>
            <w:r>
              <w:rPr>
                <w:position w:val="1"/>
              </w:rPr>
              <w:t>ISG</w:t>
            </w:r>
            <w:r>
              <w:rPr>
                <w:spacing w:val="4"/>
                <w:position w:val="1"/>
              </w:rPr>
              <w:t>200-400</w:t>
            </w:r>
          </w:p>
        </w:tc>
        <w:tc>
          <w:tcPr>
            <w:tcW w:w="1034" w:type="dxa"/>
            <w:vAlign w:val="top"/>
          </w:tcPr>
          <w:p w14:paraId="42D876A6">
            <w:pPr>
              <w:pStyle w:val="6"/>
              <w:spacing w:before="99" w:line="230" w:lineRule="auto"/>
              <w:ind w:left="436"/>
            </w:pPr>
            <w:r>
              <w:t>台</w:t>
            </w:r>
          </w:p>
        </w:tc>
        <w:tc>
          <w:tcPr>
            <w:tcW w:w="1038" w:type="dxa"/>
            <w:vAlign w:val="top"/>
          </w:tcPr>
          <w:p w14:paraId="4B256C2C">
            <w:pPr>
              <w:pStyle w:val="6"/>
              <w:spacing w:before="99" w:line="270" w:lineRule="exact"/>
              <w:ind w:left="475"/>
            </w:pPr>
            <w:r>
              <w:rPr>
                <w:position w:val="1"/>
              </w:rPr>
              <w:t>2</w:t>
            </w:r>
          </w:p>
        </w:tc>
      </w:tr>
      <w:tr w14:paraId="36A17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937" w:type="dxa"/>
            <w:vAlign w:val="top"/>
          </w:tcPr>
          <w:p w14:paraId="2AAE3E63">
            <w:pPr>
              <w:pStyle w:val="6"/>
              <w:spacing w:before="103" w:line="268" w:lineRule="exact"/>
              <w:ind w:left="384"/>
            </w:pPr>
            <w:r>
              <w:rPr>
                <w:spacing w:val="-7"/>
                <w:position w:val="1"/>
              </w:rPr>
              <w:t>10</w:t>
            </w:r>
          </w:p>
        </w:tc>
        <w:tc>
          <w:tcPr>
            <w:tcW w:w="2732" w:type="dxa"/>
            <w:vAlign w:val="top"/>
          </w:tcPr>
          <w:p w14:paraId="78210225">
            <w:pPr>
              <w:pStyle w:val="6"/>
              <w:spacing w:before="103" w:line="227" w:lineRule="auto"/>
              <w:ind w:left="847"/>
            </w:pPr>
            <w:r>
              <w:fldChar w:fldCharType="begin"/>
            </w:r>
            <w:r>
              <w:instrText xml:space="preserve"> HYPERLINK "药台\\XB1500搅拌槽.xlsx" </w:instrText>
            </w:r>
            <w:r>
              <w:fldChar w:fldCharType="separate"/>
            </w:r>
            <w:r>
              <w:rPr>
                <w:spacing w:val="7"/>
              </w:rPr>
              <w:t>药剂搅拌槽</w:t>
            </w:r>
            <w:r>
              <w:rPr>
                <w:spacing w:val="7"/>
              </w:rPr>
              <w:fldChar w:fldCharType="end"/>
            </w:r>
          </w:p>
        </w:tc>
        <w:tc>
          <w:tcPr>
            <w:tcW w:w="2479" w:type="dxa"/>
            <w:vAlign w:val="top"/>
          </w:tcPr>
          <w:p w14:paraId="39946D1C">
            <w:pPr>
              <w:pStyle w:val="6"/>
              <w:spacing w:before="103" w:line="268" w:lineRule="exact"/>
              <w:ind w:left="928"/>
            </w:pPr>
            <w:r>
              <w:rPr>
                <w:position w:val="1"/>
              </w:rPr>
              <w:t>XB</w:t>
            </w:r>
            <w:r>
              <w:rPr>
                <w:spacing w:val="6"/>
                <w:position w:val="1"/>
              </w:rPr>
              <w:t>1500</w:t>
            </w:r>
          </w:p>
        </w:tc>
        <w:tc>
          <w:tcPr>
            <w:tcW w:w="1034" w:type="dxa"/>
            <w:vAlign w:val="top"/>
          </w:tcPr>
          <w:p w14:paraId="047BD46D">
            <w:pPr>
              <w:pStyle w:val="6"/>
              <w:spacing w:before="103" w:line="230" w:lineRule="auto"/>
              <w:ind w:left="436"/>
            </w:pPr>
            <w:r>
              <w:t>台</w:t>
            </w:r>
          </w:p>
        </w:tc>
        <w:tc>
          <w:tcPr>
            <w:tcW w:w="1038" w:type="dxa"/>
            <w:vAlign w:val="top"/>
          </w:tcPr>
          <w:p w14:paraId="79A6F218">
            <w:pPr>
              <w:pStyle w:val="6"/>
              <w:spacing w:before="103" w:line="268" w:lineRule="exact"/>
              <w:ind w:left="477"/>
            </w:pPr>
            <w:r>
              <w:rPr>
                <w:position w:val="1"/>
              </w:rPr>
              <w:t>7</w:t>
            </w:r>
          </w:p>
        </w:tc>
      </w:tr>
      <w:tr w14:paraId="2ADF2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37" w:type="dxa"/>
            <w:vAlign w:val="top"/>
          </w:tcPr>
          <w:p w14:paraId="1B8A5CDF">
            <w:pPr>
              <w:pStyle w:val="6"/>
              <w:spacing w:before="107" w:line="270" w:lineRule="exact"/>
              <w:ind w:left="384"/>
            </w:pPr>
            <w:r>
              <w:rPr>
                <w:spacing w:val="-7"/>
                <w:position w:val="1"/>
              </w:rPr>
              <w:t>11</w:t>
            </w:r>
          </w:p>
        </w:tc>
        <w:tc>
          <w:tcPr>
            <w:tcW w:w="2732" w:type="dxa"/>
            <w:vAlign w:val="top"/>
          </w:tcPr>
          <w:p w14:paraId="0D5B726F">
            <w:pPr>
              <w:pStyle w:val="6"/>
              <w:spacing w:before="106" w:line="228" w:lineRule="auto"/>
              <w:ind w:left="850"/>
            </w:pPr>
            <w:r>
              <w:fldChar w:fldCharType="begin"/>
            </w:r>
            <w:r>
              <w:instrText xml:space="preserve"> HYPERLINK "BX3000\\XB3000搅拌槽%20.xlsx" </w:instrText>
            </w:r>
            <w:r>
              <w:fldChar w:fldCharType="separate"/>
            </w:r>
            <w:r>
              <w:rPr>
                <w:spacing w:val="7"/>
              </w:rPr>
              <w:t>原矿搅拌槽</w:t>
            </w:r>
            <w:r>
              <w:rPr>
                <w:spacing w:val="7"/>
              </w:rPr>
              <w:fldChar w:fldCharType="end"/>
            </w:r>
          </w:p>
        </w:tc>
        <w:tc>
          <w:tcPr>
            <w:tcW w:w="2479" w:type="dxa"/>
            <w:vAlign w:val="top"/>
          </w:tcPr>
          <w:p w14:paraId="7CA4D07C">
            <w:pPr>
              <w:pStyle w:val="6"/>
              <w:spacing w:before="107" w:line="268" w:lineRule="exact"/>
              <w:ind w:left="928"/>
            </w:pPr>
            <w:r>
              <w:rPr>
                <w:position w:val="1"/>
              </w:rPr>
              <w:t>XB</w:t>
            </w:r>
            <w:r>
              <w:rPr>
                <w:spacing w:val="6"/>
                <w:position w:val="1"/>
              </w:rPr>
              <w:t>3000</w:t>
            </w:r>
          </w:p>
        </w:tc>
        <w:tc>
          <w:tcPr>
            <w:tcW w:w="1034" w:type="dxa"/>
            <w:vAlign w:val="top"/>
          </w:tcPr>
          <w:p w14:paraId="02299170">
            <w:pPr>
              <w:pStyle w:val="6"/>
              <w:spacing w:before="106" w:line="230" w:lineRule="auto"/>
              <w:ind w:left="436"/>
            </w:pPr>
            <w:r>
              <w:t>台</w:t>
            </w:r>
          </w:p>
        </w:tc>
        <w:tc>
          <w:tcPr>
            <w:tcW w:w="1038" w:type="dxa"/>
            <w:vAlign w:val="top"/>
          </w:tcPr>
          <w:p w14:paraId="4264BD1D">
            <w:pPr>
              <w:pStyle w:val="6"/>
              <w:spacing w:before="107" w:line="270" w:lineRule="exact"/>
              <w:ind w:left="475"/>
            </w:pPr>
            <w:r>
              <w:rPr>
                <w:position w:val="1"/>
              </w:rPr>
              <w:t>2</w:t>
            </w:r>
          </w:p>
        </w:tc>
      </w:tr>
      <w:tr w14:paraId="3AE4E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937" w:type="dxa"/>
            <w:vAlign w:val="top"/>
          </w:tcPr>
          <w:p w14:paraId="39D8C0F7">
            <w:pPr>
              <w:pStyle w:val="6"/>
              <w:spacing w:before="102" w:line="270" w:lineRule="exact"/>
              <w:ind w:left="384"/>
            </w:pPr>
            <w:r>
              <w:rPr>
                <w:spacing w:val="-7"/>
                <w:position w:val="1"/>
              </w:rPr>
              <w:t>12</w:t>
            </w:r>
          </w:p>
        </w:tc>
        <w:tc>
          <w:tcPr>
            <w:tcW w:w="2732" w:type="dxa"/>
            <w:vAlign w:val="top"/>
          </w:tcPr>
          <w:p w14:paraId="1BDDB7A1">
            <w:pPr>
              <w:pStyle w:val="6"/>
              <w:spacing w:before="102" w:line="228" w:lineRule="auto"/>
              <w:ind w:left="850"/>
            </w:pPr>
            <w:r>
              <w:fldChar w:fldCharType="begin"/>
            </w:r>
            <w:r>
              <w:instrText xml:space="preserve"> HYPERLINK "BX3000\\XBT3000搅拌槽.xlsx" </w:instrText>
            </w:r>
            <w:r>
              <w:fldChar w:fldCharType="separate"/>
            </w:r>
            <w:r>
              <w:rPr>
                <w:spacing w:val="7"/>
              </w:rPr>
              <w:t>原矿搅拌槽</w:t>
            </w:r>
            <w:r>
              <w:rPr>
                <w:spacing w:val="7"/>
              </w:rPr>
              <w:fldChar w:fldCharType="end"/>
            </w:r>
          </w:p>
        </w:tc>
        <w:tc>
          <w:tcPr>
            <w:tcW w:w="2479" w:type="dxa"/>
            <w:vAlign w:val="top"/>
          </w:tcPr>
          <w:p w14:paraId="05CA09D8">
            <w:pPr>
              <w:pStyle w:val="6"/>
              <w:spacing w:before="102" w:line="268" w:lineRule="exact"/>
              <w:ind w:left="875"/>
            </w:pPr>
            <w:r>
              <w:rPr>
                <w:position w:val="1"/>
              </w:rPr>
              <w:t>XBT</w:t>
            </w:r>
            <w:r>
              <w:rPr>
                <w:spacing w:val="7"/>
                <w:position w:val="1"/>
              </w:rPr>
              <w:t>3000</w:t>
            </w:r>
          </w:p>
        </w:tc>
        <w:tc>
          <w:tcPr>
            <w:tcW w:w="1034" w:type="dxa"/>
            <w:vAlign w:val="top"/>
          </w:tcPr>
          <w:p w14:paraId="7D66E29D">
            <w:pPr>
              <w:pStyle w:val="6"/>
              <w:spacing w:before="102" w:line="230" w:lineRule="auto"/>
              <w:ind w:left="436"/>
            </w:pPr>
            <w:r>
              <w:t>台</w:t>
            </w:r>
          </w:p>
        </w:tc>
        <w:tc>
          <w:tcPr>
            <w:tcW w:w="1038" w:type="dxa"/>
            <w:vAlign w:val="top"/>
          </w:tcPr>
          <w:p w14:paraId="58F5DF50">
            <w:pPr>
              <w:pStyle w:val="6"/>
              <w:spacing w:before="102" w:line="270" w:lineRule="exact"/>
              <w:ind w:left="488"/>
            </w:pPr>
            <w:r>
              <w:rPr>
                <w:position w:val="1"/>
              </w:rPr>
              <w:t>1</w:t>
            </w:r>
          </w:p>
        </w:tc>
      </w:tr>
      <w:tr w14:paraId="7A86A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937" w:type="dxa"/>
            <w:vAlign w:val="top"/>
          </w:tcPr>
          <w:p w14:paraId="26C215A1">
            <w:pPr>
              <w:pStyle w:val="6"/>
              <w:spacing w:before="102" w:line="268" w:lineRule="exact"/>
              <w:ind w:left="384"/>
            </w:pPr>
            <w:r>
              <w:rPr>
                <w:spacing w:val="-7"/>
                <w:position w:val="1"/>
              </w:rPr>
              <w:t>13</w:t>
            </w:r>
          </w:p>
        </w:tc>
        <w:tc>
          <w:tcPr>
            <w:tcW w:w="2732" w:type="dxa"/>
            <w:vAlign w:val="top"/>
          </w:tcPr>
          <w:p w14:paraId="7DD87435">
            <w:pPr>
              <w:pStyle w:val="6"/>
              <w:spacing w:before="102" w:line="227" w:lineRule="auto"/>
              <w:ind w:left="1058"/>
            </w:pPr>
            <w:r>
              <w:fldChar w:fldCharType="begin"/>
            </w:r>
            <w:r>
              <w:instrText xml:space="preserve"> HYPERLINK "SF-4\\SF-4浮选机.xlsx" </w:instrText>
            </w:r>
            <w:r>
              <w:fldChar w:fldCharType="separate"/>
            </w:r>
            <w:r>
              <w:rPr>
                <w:spacing w:val="6"/>
              </w:rPr>
              <w:t>浮选机</w:t>
            </w:r>
            <w:r>
              <w:rPr>
                <w:spacing w:val="6"/>
              </w:rPr>
              <w:fldChar w:fldCharType="end"/>
            </w:r>
          </w:p>
        </w:tc>
        <w:tc>
          <w:tcPr>
            <w:tcW w:w="2479" w:type="dxa"/>
            <w:vAlign w:val="top"/>
          </w:tcPr>
          <w:p w14:paraId="13B8E227">
            <w:pPr>
              <w:pStyle w:val="6"/>
              <w:spacing w:before="102" w:line="268" w:lineRule="exact"/>
              <w:ind w:left="1037"/>
            </w:pPr>
            <w:r>
              <w:rPr>
                <w:position w:val="1"/>
              </w:rPr>
              <w:t>SF</w:t>
            </w:r>
            <w:r>
              <w:rPr>
                <w:spacing w:val="6"/>
                <w:position w:val="1"/>
              </w:rPr>
              <w:t>-4</w:t>
            </w:r>
          </w:p>
        </w:tc>
        <w:tc>
          <w:tcPr>
            <w:tcW w:w="1034" w:type="dxa"/>
            <w:vAlign w:val="top"/>
          </w:tcPr>
          <w:p w14:paraId="6F9476F4">
            <w:pPr>
              <w:pStyle w:val="6"/>
              <w:spacing w:before="102" w:line="230" w:lineRule="auto"/>
              <w:ind w:left="436"/>
            </w:pPr>
            <w:r>
              <w:t>台</w:t>
            </w:r>
          </w:p>
        </w:tc>
        <w:tc>
          <w:tcPr>
            <w:tcW w:w="1038" w:type="dxa"/>
            <w:vAlign w:val="top"/>
          </w:tcPr>
          <w:p w14:paraId="73EF9048">
            <w:pPr>
              <w:pStyle w:val="6"/>
              <w:spacing w:before="102" w:line="268" w:lineRule="exact"/>
              <w:ind w:left="477"/>
            </w:pPr>
            <w:r>
              <w:rPr>
                <w:position w:val="1"/>
              </w:rPr>
              <w:t>3</w:t>
            </w:r>
          </w:p>
        </w:tc>
      </w:tr>
      <w:tr w14:paraId="4C3FC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937" w:type="dxa"/>
            <w:vAlign w:val="top"/>
          </w:tcPr>
          <w:p w14:paraId="7793C692">
            <w:pPr>
              <w:pStyle w:val="6"/>
              <w:spacing w:before="102" w:line="270" w:lineRule="exact"/>
              <w:ind w:left="384"/>
            </w:pPr>
            <w:r>
              <w:rPr>
                <w:spacing w:val="-7"/>
                <w:position w:val="1"/>
              </w:rPr>
              <w:t>14</w:t>
            </w:r>
          </w:p>
        </w:tc>
        <w:tc>
          <w:tcPr>
            <w:tcW w:w="2732" w:type="dxa"/>
            <w:vAlign w:val="top"/>
          </w:tcPr>
          <w:p w14:paraId="15351331">
            <w:pPr>
              <w:pStyle w:val="6"/>
              <w:spacing w:before="102" w:line="227" w:lineRule="auto"/>
              <w:ind w:left="1058"/>
            </w:pPr>
            <w:r>
              <w:fldChar w:fldCharType="begin"/>
            </w:r>
            <w:r>
              <w:instrText xml:space="preserve"> HYPERLINK "SF-8\\SF-8浮选机.xlsx" </w:instrText>
            </w:r>
            <w:r>
              <w:fldChar w:fldCharType="separate"/>
            </w:r>
            <w:r>
              <w:rPr>
                <w:spacing w:val="6"/>
              </w:rPr>
              <w:t>浮选机</w:t>
            </w:r>
            <w:r>
              <w:rPr>
                <w:spacing w:val="6"/>
              </w:rPr>
              <w:fldChar w:fldCharType="end"/>
            </w:r>
          </w:p>
        </w:tc>
        <w:tc>
          <w:tcPr>
            <w:tcW w:w="2479" w:type="dxa"/>
            <w:vAlign w:val="top"/>
          </w:tcPr>
          <w:p w14:paraId="2DEAA360">
            <w:pPr>
              <w:pStyle w:val="6"/>
              <w:spacing w:before="102" w:line="268" w:lineRule="exact"/>
              <w:ind w:left="1037"/>
            </w:pPr>
            <w:r>
              <w:rPr>
                <w:position w:val="1"/>
              </w:rPr>
              <w:t>SF</w:t>
            </w:r>
            <w:r>
              <w:rPr>
                <w:spacing w:val="6"/>
                <w:position w:val="1"/>
              </w:rPr>
              <w:t>-8</w:t>
            </w:r>
          </w:p>
        </w:tc>
        <w:tc>
          <w:tcPr>
            <w:tcW w:w="1034" w:type="dxa"/>
            <w:vAlign w:val="top"/>
          </w:tcPr>
          <w:p w14:paraId="4D6C11CF">
            <w:pPr>
              <w:pStyle w:val="6"/>
              <w:spacing w:before="102" w:line="230" w:lineRule="auto"/>
              <w:ind w:left="436"/>
            </w:pPr>
            <w:r>
              <w:t>台</w:t>
            </w:r>
          </w:p>
        </w:tc>
        <w:tc>
          <w:tcPr>
            <w:tcW w:w="1038" w:type="dxa"/>
            <w:vAlign w:val="top"/>
          </w:tcPr>
          <w:p w14:paraId="68CC74B7">
            <w:pPr>
              <w:pStyle w:val="6"/>
              <w:spacing w:before="102" w:line="268" w:lineRule="exact"/>
              <w:ind w:left="424"/>
            </w:pPr>
            <w:r>
              <w:rPr>
                <w:spacing w:val="-2"/>
                <w:position w:val="1"/>
              </w:rPr>
              <w:t>53</w:t>
            </w:r>
          </w:p>
        </w:tc>
      </w:tr>
      <w:tr w14:paraId="5576B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7" w:type="dxa"/>
            <w:vAlign w:val="top"/>
          </w:tcPr>
          <w:p w14:paraId="5890F549">
            <w:pPr>
              <w:pStyle w:val="6"/>
              <w:spacing w:before="107" w:line="268" w:lineRule="exact"/>
              <w:ind w:left="384"/>
            </w:pPr>
            <w:r>
              <w:rPr>
                <w:spacing w:val="-7"/>
                <w:position w:val="1"/>
              </w:rPr>
              <w:t>15</w:t>
            </w:r>
          </w:p>
        </w:tc>
        <w:tc>
          <w:tcPr>
            <w:tcW w:w="2732" w:type="dxa"/>
            <w:vAlign w:val="top"/>
          </w:tcPr>
          <w:p w14:paraId="232A108C">
            <w:pPr>
              <w:pStyle w:val="6"/>
              <w:spacing w:before="107" w:line="227" w:lineRule="auto"/>
              <w:ind w:left="1056"/>
            </w:pPr>
            <w:r>
              <w:fldChar w:fldCharType="begin"/>
            </w:r>
            <w:r>
              <w:instrText xml:space="preserve"> HYPERLINK "4PNJB\\4PNJB尾矿泵.xlsx" </w:instrText>
            </w:r>
            <w:r>
              <w:fldChar w:fldCharType="separate"/>
            </w:r>
            <w:r>
              <w:rPr>
                <w:spacing w:val="6"/>
              </w:rPr>
              <w:t>精矿泵</w:t>
            </w:r>
            <w:r>
              <w:rPr>
                <w:spacing w:val="6"/>
              </w:rPr>
              <w:fldChar w:fldCharType="end"/>
            </w:r>
          </w:p>
        </w:tc>
        <w:tc>
          <w:tcPr>
            <w:tcW w:w="2479" w:type="dxa"/>
            <w:vAlign w:val="top"/>
          </w:tcPr>
          <w:p w14:paraId="5200D466">
            <w:pPr>
              <w:pStyle w:val="6"/>
              <w:spacing w:before="107" w:line="226" w:lineRule="auto"/>
              <w:ind w:left="982"/>
            </w:pPr>
            <w:r>
              <w:rPr>
                <w:spacing w:val="17"/>
              </w:rPr>
              <w:t>4</w:t>
            </w:r>
            <w:r>
              <w:t>PNJB</w:t>
            </w:r>
          </w:p>
        </w:tc>
        <w:tc>
          <w:tcPr>
            <w:tcW w:w="1034" w:type="dxa"/>
            <w:vAlign w:val="top"/>
          </w:tcPr>
          <w:p w14:paraId="51F22F66">
            <w:pPr>
              <w:pStyle w:val="6"/>
              <w:spacing w:before="107" w:line="230" w:lineRule="auto"/>
              <w:ind w:left="436"/>
            </w:pPr>
            <w:r>
              <w:t>台</w:t>
            </w:r>
          </w:p>
        </w:tc>
        <w:tc>
          <w:tcPr>
            <w:tcW w:w="1038" w:type="dxa"/>
            <w:vAlign w:val="top"/>
          </w:tcPr>
          <w:p w14:paraId="68DAB051">
            <w:pPr>
              <w:pStyle w:val="6"/>
              <w:spacing w:before="107" w:line="270" w:lineRule="exact"/>
              <w:ind w:left="472"/>
            </w:pPr>
            <w:r>
              <w:rPr>
                <w:position w:val="1"/>
              </w:rPr>
              <w:t>4</w:t>
            </w:r>
          </w:p>
        </w:tc>
      </w:tr>
      <w:tr w14:paraId="1AA07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37" w:type="dxa"/>
            <w:vAlign w:val="top"/>
          </w:tcPr>
          <w:p w14:paraId="1271CDBC">
            <w:pPr>
              <w:pStyle w:val="6"/>
              <w:spacing w:before="96" w:line="268" w:lineRule="exact"/>
              <w:ind w:left="384"/>
            </w:pPr>
            <w:r>
              <w:rPr>
                <w:spacing w:val="-7"/>
                <w:position w:val="1"/>
              </w:rPr>
              <w:t>16</w:t>
            </w:r>
          </w:p>
        </w:tc>
        <w:tc>
          <w:tcPr>
            <w:tcW w:w="2732" w:type="dxa"/>
            <w:vAlign w:val="top"/>
          </w:tcPr>
          <w:p w14:paraId="47C417A2">
            <w:pPr>
              <w:pStyle w:val="6"/>
              <w:spacing w:before="96" w:line="228" w:lineRule="auto"/>
              <w:ind w:left="1076"/>
            </w:pPr>
            <w:r>
              <w:fldChar w:fldCharType="begin"/>
            </w:r>
            <w:r>
              <w:instrText xml:space="preserve"> HYPERLINK "2PNJB\\2PNJB精矿泵.xlsx" </w:instrText>
            </w:r>
            <w:r>
              <w:fldChar w:fldCharType="separate"/>
            </w:r>
            <w:r>
              <w:t>回收泵</w:t>
            </w:r>
            <w:r>
              <w:fldChar w:fldCharType="end"/>
            </w:r>
          </w:p>
        </w:tc>
        <w:tc>
          <w:tcPr>
            <w:tcW w:w="2479" w:type="dxa"/>
            <w:vAlign w:val="top"/>
          </w:tcPr>
          <w:p w14:paraId="4CBFBAEF">
            <w:pPr>
              <w:pStyle w:val="6"/>
              <w:spacing w:before="96" w:line="270" w:lineRule="exact"/>
              <w:ind w:left="1038"/>
            </w:pPr>
            <w:r>
              <w:rPr>
                <w:spacing w:val="10"/>
                <w:position w:val="1"/>
              </w:rPr>
              <w:t>2</w:t>
            </w:r>
            <w:r>
              <w:rPr>
                <w:position w:val="1"/>
              </w:rPr>
              <w:t>PNL</w:t>
            </w:r>
          </w:p>
        </w:tc>
        <w:tc>
          <w:tcPr>
            <w:tcW w:w="1034" w:type="dxa"/>
            <w:vAlign w:val="top"/>
          </w:tcPr>
          <w:p w14:paraId="29081AB2">
            <w:pPr>
              <w:pStyle w:val="6"/>
              <w:spacing w:before="96" w:line="230" w:lineRule="auto"/>
              <w:ind w:left="436"/>
            </w:pPr>
            <w:r>
              <w:t>台</w:t>
            </w:r>
          </w:p>
        </w:tc>
        <w:tc>
          <w:tcPr>
            <w:tcW w:w="1038" w:type="dxa"/>
            <w:vAlign w:val="top"/>
          </w:tcPr>
          <w:p w14:paraId="704C2165">
            <w:pPr>
              <w:pStyle w:val="6"/>
              <w:spacing w:before="96" w:line="268" w:lineRule="exact"/>
              <w:ind w:left="477"/>
            </w:pPr>
            <w:r>
              <w:rPr>
                <w:position w:val="1"/>
              </w:rPr>
              <w:t>3</w:t>
            </w:r>
          </w:p>
        </w:tc>
      </w:tr>
      <w:tr w14:paraId="334D3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37" w:type="dxa"/>
            <w:vAlign w:val="top"/>
          </w:tcPr>
          <w:p w14:paraId="50748587">
            <w:pPr>
              <w:pStyle w:val="6"/>
              <w:spacing w:before="94" w:line="268" w:lineRule="exact"/>
              <w:ind w:left="384"/>
            </w:pPr>
            <w:r>
              <w:rPr>
                <w:spacing w:val="-7"/>
                <w:position w:val="1"/>
              </w:rPr>
              <w:t>17</w:t>
            </w:r>
          </w:p>
        </w:tc>
        <w:tc>
          <w:tcPr>
            <w:tcW w:w="2732" w:type="dxa"/>
            <w:vAlign w:val="top"/>
          </w:tcPr>
          <w:p w14:paraId="0E549A61">
            <w:pPr>
              <w:pStyle w:val="6"/>
              <w:spacing w:before="94" w:line="227" w:lineRule="auto"/>
              <w:ind w:left="1056"/>
            </w:pPr>
            <w:r>
              <w:fldChar w:fldCharType="begin"/>
            </w:r>
            <w:r>
              <w:instrText xml:space="preserve"> HYPERLINK "NZS12\\NZS12浓密机.xlsx" </w:instrText>
            </w:r>
            <w:r>
              <w:fldChar w:fldCharType="separate"/>
            </w:r>
            <w:r>
              <w:rPr>
                <w:spacing w:val="6"/>
              </w:rPr>
              <w:t>浓密机</w:t>
            </w:r>
            <w:r>
              <w:rPr>
                <w:spacing w:val="6"/>
              </w:rPr>
              <w:fldChar w:fldCharType="end"/>
            </w:r>
          </w:p>
        </w:tc>
        <w:tc>
          <w:tcPr>
            <w:tcW w:w="2479" w:type="dxa"/>
            <w:vAlign w:val="top"/>
          </w:tcPr>
          <w:p w14:paraId="299321C2">
            <w:pPr>
              <w:pStyle w:val="6"/>
              <w:spacing w:before="94" w:line="268" w:lineRule="exact"/>
              <w:ind w:left="977"/>
            </w:pPr>
            <w:r>
              <w:rPr>
                <w:position w:val="1"/>
              </w:rPr>
              <w:t>NZS</w:t>
            </w:r>
            <w:r>
              <w:rPr>
                <w:spacing w:val="11"/>
                <w:position w:val="1"/>
              </w:rPr>
              <w:t>12</w:t>
            </w:r>
          </w:p>
        </w:tc>
        <w:tc>
          <w:tcPr>
            <w:tcW w:w="1034" w:type="dxa"/>
            <w:vAlign w:val="top"/>
          </w:tcPr>
          <w:p w14:paraId="3CFECC29">
            <w:pPr>
              <w:pStyle w:val="6"/>
              <w:spacing w:before="94" w:line="230" w:lineRule="auto"/>
              <w:ind w:left="436"/>
            </w:pPr>
            <w:r>
              <w:t>台</w:t>
            </w:r>
          </w:p>
        </w:tc>
        <w:tc>
          <w:tcPr>
            <w:tcW w:w="1038" w:type="dxa"/>
            <w:vAlign w:val="top"/>
          </w:tcPr>
          <w:p w14:paraId="5301A3B7">
            <w:pPr>
              <w:pStyle w:val="6"/>
              <w:spacing w:before="94" w:line="268" w:lineRule="exact"/>
              <w:ind w:left="477"/>
            </w:pPr>
            <w:r>
              <w:rPr>
                <w:position w:val="1"/>
              </w:rPr>
              <w:t>3</w:t>
            </w:r>
          </w:p>
        </w:tc>
      </w:tr>
      <w:tr w14:paraId="242C8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37" w:type="dxa"/>
            <w:vAlign w:val="top"/>
          </w:tcPr>
          <w:p w14:paraId="42DAB697">
            <w:pPr>
              <w:pStyle w:val="6"/>
              <w:spacing w:before="106" w:line="268" w:lineRule="exact"/>
              <w:ind w:left="384"/>
            </w:pPr>
            <w:r>
              <w:rPr>
                <w:spacing w:val="-7"/>
                <w:position w:val="1"/>
              </w:rPr>
              <w:t>18</w:t>
            </w:r>
          </w:p>
        </w:tc>
        <w:tc>
          <w:tcPr>
            <w:tcW w:w="2732" w:type="dxa"/>
            <w:vAlign w:val="top"/>
          </w:tcPr>
          <w:p w14:paraId="53FA6982">
            <w:pPr>
              <w:pStyle w:val="6"/>
              <w:spacing w:before="106" w:line="227" w:lineRule="auto"/>
              <w:ind w:left="847"/>
            </w:pPr>
            <w:r>
              <w:fldChar w:fldCharType="begin"/>
            </w:r>
            <w:r>
              <w:instrText xml:space="preserve"> HYPERLINK "GW-20\\GW20真空过滤机.xlsx" </w:instrText>
            </w:r>
            <w:r>
              <w:fldChar w:fldCharType="separate"/>
            </w:r>
            <w:r>
              <w:rPr>
                <w:spacing w:val="7"/>
              </w:rPr>
              <w:t>真空过滤机</w:t>
            </w:r>
            <w:r>
              <w:rPr>
                <w:spacing w:val="7"/>
              </w:rPr>
              <w:fldChar w:fldCharType="end"/>
            </w:r>
          </w:p>
        </w:tc>
        <w:tc>
          <w:tcPr>
            <w:tcW w:w="2479" w:type="dxa"/>
            <w:vAlign w:val="top"/>
          </w:tcPr>
          <w:p w14:paraId="7741E18B">
            <w:pPr>
              <w:pStyle w:val="6"/>
              <w:spacing w:before="106" w:line="268" w:lineRule="exact"/>
              <w:ind w:left="1033"/>
            </w:pPr>
            <w:r>
              <w:rPr>
                <w:position w:val="1"/>
              </w:rPr>
              <w:t>GW</w:t>
            </w:r>
            <w:r>
              <w:rPr>
                <w:spacing w:val="7"/>
                <w:position w:val="1"/>
              </w:rPr>
              <w:t>20</w:t>
            </w:r>
          </w:p>
        </w:tc>
        <w:tc>
          <w:tcPr>
            <w:tcW w:w="1034" w:type="dxa"/>
            <w:vAlign w:val="top"/>
          </w:tcPr>
          <w:p w14:paraId="175791EC">
            <w:pPr>
              <w:pStyle w:val="6"/>
              <w:spacing w:before="106" w:line="230" w:lineRule="auto"/>
              <w:ind w:left="436"/>
            </w:pPr>
            <w:r>
              <w:t>台</w:t>
            </w:r>
          </w:p>
        </w:tc>
        <w:tc>
          <w:tcPr>
            <w:tcW w:w="1038" w:type="dxa"/>
            <w:vAlign w:val="top"/>
          </w:tcPr>
          <w:p w14:paraId="351D0A66">
            <w:pPr>
              <w:pStyle w:val="6"/>
              <w:spacing w:before="106" w:line="270" w:lineRule="exact"/>
              <w:ind w:left="475"/>
            </w:pPr>
            <w:r>
              <w:rPr>
                <w:position w:val="1"/>
              </w:rPr>
              <w:t>2</w:t>
            </w:r>
          </w:p>
        </w:tc>
      </w:tr>
      <w:tr w14:paraId="10F28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37" w:type="dxa"/>
            <w:vAlign w:val="top"/>
          </w:tcPr>
          <w:p w14:paraId="4BE98BF0">
            <w:pPr>
              <w:pStyle w:val="6"/>
              <w:spacing w:before="102" w:line="268" w:lineRule="exact"/>
              <w:ind w:left="384"/>
            </w:pPr>
            <w:r>
              <w:rPr>
                <w:spacing w:val="-7"/>
                <w:position w:val="1"/>
              </w:rPr>
              <w:t>19</w:t>
            </w:r>
          </w:p>
        </w:tc>
        <w:tc>
          <w:tcPr>
            <w:tcW w:w="2732" w:type="dxa"/>
            <w:vAlign w:val="top"/>
          </w:tcPr>
          <w:p w14:paraId="79106531">
            <w:pPr>
              <w:pStyle w:val="6"/>
              <w:spacing w:before="102" w:line="228" w:lineRule="auto"/>
              <w:ind w:left="744"/>
            </w:pPr>
            <w:r>
              <w:fldChar w:fldCharType="begin"/>
            </w:r>
            <w:r>
              <w:instrText xml:space="preserve"> HYPERLINK "GW20真空系统\\GW20真空过滤系统.xlsx" </w:instrText>
            </w:r>
            <w:r>
              <w:fldChar w:fldCharType="separate"/>
            </w:r>
            <w:r>
              <w:rPr>
                <w:spacing w:val="7"/>
              </w:rPr>
              <w:t>真空过滤系统</w:t>
            </w:r>
            <w:r>
              <w:rPr>
                <w:spacing w:val="7"/>
              </w:rPr>
              <w:fldChar w:fldCharType="end"/>
            </w:r>
          </w:p>
        </w:tc>
        <w:tc>
          <w:tcPr>
            <w:tcW w:w="2479" w:type="dxa"/>
            <w:vAlign w:val="top"/>
          </w:tcPr>
          <w:p w14:paraId="44E296ED">
            <w:pPr>
              <w:rPr>
                <w:rFonts w:ascii="Arial"/>
                <w:sz w:val="21"/>
              </w:rPr>
            </w:pPr>
          </w:p>
        </w:tc>
        <w:tc>
          <w:tcPr>
            <w:tcW w:w="1034" w:type="dxa"/>
            <w:vAlign w:val="top"/>
          </w:tcPr>
          <w:p w14:paraId="136B88C3">
            <w:pPr>
              <w:pStyle w:val="6"/>
              <w:spacing w:before="102" w:line="228" w:lineRule="auto"/>
              <w:ind w:left="420"/>
            </w:pPr>
            <w:r>
              <w:t>套</w:t>
            </w:r>
          </w:p>
        </w:tc>
        <w:tc>
          <w:tcPr>
            <w:tcW w:w="1038" w:type="dxa"/>
            <w:vAlign w:val="top"/>
          </w:tcPr>
          <w:p w14:paraId="53B771B0">
            <w:pPr>
              <w:pStyle w:val="6"/>
              <w:spacing w:before="102" w:line="270" w:lineRule="exact"/>
              <w:ind w:left="488"/>
            </w:pPr>
            <w:r>
              <w:rPr>
                <w:position w:val="1"/>
              </w:rPr>
              <w:t>1</w:t>
            </w:r>
          </w:p>
        </w:tc>
      </w:tr>
      <w:tr w14:paraId="11784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37" w:type="dxa"/>
            <w:vAlign w:val="top"/>
          </w:tcPr>
          <w:p w14:paraId="3DBF3EB2">
            <w:pPr>
              <w:pStyle w:val="6"/>
              <w:spacing w:before="106" w:line="268" w:lineRule="exact"/>
              <w:ind w:left="371"/>
            </w:pPr>
            <w:r>
              <w:rPr>
                <w:spacing w:val="-1"/>
                <w:position w:val="1"/>
              </w:rPr>
              <w:t>20</w:t>
            </w:r>
          </w:p>
        </w:tc>
        <w:tc>
          <w:tcPr>
            <w:tcW w:w="2732" w:type="dxa"/>
            <w:vAlign w:val="top"/>
          </w:tcPr>
          <w:p w14:paraId="767945F6">
            <w:pPr>
              <w:pStyle w:val="6"/>
              <w:spacing w:before="106" w:line="227" w:lineRule="auto"/>
              <w:ind w:left="847"/>
            </w:pPr>
            <w:r>
              <w:fldChar w:fldCharType="begin"/>
            </w:r>
            <w:r>
              <w:instrText xml:space="preserve"> HYPERLINK "GW-30\\GW30真空过滤机.xlsx" </w:instrText>
            </w:r>
            <w:r>
              <w:fldChar w:fldCharType="separate"/>
            </w:r>
            <w:r>
              <w:rPr>
                <w:spacing w:val="7"/>
              </w:rPr>
              <w:t>真空过滤机</w:t>
            </w:r>
            <w:r>
              <w:rPr>
                <w:spacing w:val="7"/>
              </w:rPr>
              <w:fldChar w:fldCharType="end"/>
            </w:r>
          </w:p>
        </w:tc>
        <w:tc>
          <w:tcPr>
            <w:tcW w:w="2479" w:type="dxa"/>
            <w:vAlign w:val="top"/>
          </w:tcPr>
          <w:p w14:paraId="50C8A287">
            <w:pPr>
              <w:pStyle w:val="6"/>
              <w:spacing w:before="106" w:line="268" w:lineRule="exact"/>
              <w:ind w:left="1033"/>
            </w:pPr>
            <w:r>
              <w:rPr>
                <w:position w:val="1"/>
              </w:rPr>
              <w:t>GW</w:t>
            </w:r>
            <w:r>
              <w:rPr>
                <w:spacing w:val="7"/>
                <w:position w:val="1"/>
              </w:rPr>
              <w:t>30</w:t>
            </w:r>
          </w:p>
        </w:tc>
        <w:tc>
          <w:tcPr>
            <w:tcW w:w="1034" w:type="dxa"/>
            <w:vAlign w:val="top"/>
          </w:tcPr>
          <w:p w14:paraId="29B7B10D">
            <w:pPr>
              <w:pStyle w:val="6"/>
              <w:spacing w:before="106" w:line="230" w:lineRule="auto"/>
              <w:ind w:left="436"/>
            </w:pPr>
            <w:r>
              <w:t>台</w:t>
            </w:r>
          </w:p>
        </w:tc>
        <w:tc>
          <w:tcPr>
            <w:tcW w:w="1038" w:type="dxa"/>
            <w:vAlign w:val="top"/>
          </w:tcPr>
          <w:p w14:paraId="1C686107">
            <w:pPr>
              <w:pStyle w:val="6"/>
              <w:spacing w:before="106" w:line="270" w:lineRule="exact"/>
              <w:ind w:left="475"/>
            </w:pPr>
            <w:r>
              <w:rPr>
                <w:position w:val="1"/>
              </w:rPr>
              <w:t>2</w:t>
            </w:r>
          </w:p>
        </w:tc>
      </w:tr>
    </w:tbl>
    <w:p w14:paraId="4B8EA958">
      <w:pPr>
        <w:pStyle w:val="2"/>
        <w:spacing w:line="196" w:lineRule="exact"/>
        <w:rPr>
          <w:sz w:val="17"/>
        </w:rPr>
      </w:pPr>
    </w:p>
    <w:p w14:paraId="6A4B9155">
      <w:pPr>
        <w:spacing w:line="196" w:lineRule="exact"/>
        <w:rPr>
          <w:sz w:val="17"/>
          <w:szCs w:val="17"/>
        </w:rPr>
        <w:sectPr>
          <w:headerReference r:id="rId65" w:type="default"/>
          <w:footerReference r:id="rId66" w:type="default"/>
          <w:pgSz w:w="11906" w:h="16839"/>
          <w:pgMar w:top="1208" w:right="1784" w:bottom="1358" w:left="1684" w:header="825" w:footer="1195" w:gutter="0"/>
          <w:cols w:space="720" w:num="1"/>
        </w:sectPr>
      </w:pPr>
    </w:p>
    <w:p w14:paraId="46E7C421">
      <w:pPr>
        <w:spacing w:line="231" w:lineRule="exact"/>
      </w:pPr>
    </w:p>
    <w:tbl>
      <w:tblPr>
        <w:tblStyle w:val="5"/>
        <w:tblW w:w="82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2732"/>
        <w:gridCol w:w="2479"/>
        <w:gridCol w:w="1034"/>
        <w:gridCol w:w="1038"/>
      </w:tblGrid>
      <w:tr w14:paraId="0FDFA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5" w:hRule="atLeast"/>
        </w:trPr>
        <w:tc>
          <w:tcPr>
            <w:tcW w:w="937" w:type="dxa"/>
            <w:vAlign w:val="top"/>
          </w:tcPr>
          <w:p w14:paraId="3E8D63CA">
            <w:pPr>
              <w:pStyle w:val="6"/>
              <w:spacing w:before="174" w:line="270" w:lineRule="exact"/>
              <w:ind w:left="371"/>
            </w:pPr>
            <w:r>
              <w:rPr>
                <w:spacing w:val="-1"/>
                <w:position w:val="1"/>
              </w:rPr>
              <w:t>21</w:t>
            </w:r>
          </w:p>
        </w:tc>
        <w:tc>
          <w:tcPr>
            <w:tcW w:w="2732" w:type="dxa"/>
            <w:vAlign w:val="top"/>
          </w:tcPr>
          <w:p w14:paraId="57D29787">
            <w:pPr>
              <w:pStyle w:val="6"/>
              <w:spacing w:before="173" w:line="228" w:lineRule="auto"/>
              <w:ind w:left="744"/>
            </w:pPr>
            <w:r>
              <w:fldChar w:fldCharType="begin"/>
            </w:r>
            <w:r>
              <w:instrText xml:space="preserve"> HYPERLINK "GW30真空过滤系统\\GW30真空过滤系统.xlsx" </w:instrText>
            </w:r>
            <w:r>
              <w:fldChar w:fldCharType="separate"/>
            </w:r>
            <w:r>
              <w:rPr>
                <w:spacing w:val="7"/>
              </w:rPr>
              <w:t>真空过滤系统</w:t>
            </w:r>
            <w:r>
              <w:rPr>
                <w:spacing w:val="7"/>
              </w:rPr>
              <w:fldChar w:fldCharType="end"/>
            </w:r>
          </w:p>
        </w:tc>
        <w:tc>
          <w:tcPr>
            <w:tcW w:w="2479" w:type="dxa"/>
            <w:vAlign w:val="top"/>
          </w:tcPr>
          <w:p w14:paraId="1E79EE02">
            <w:pPr>
              <w:rPr>
                <w:rFonts w:ascii="Arial"/>
                <w:sz w:val="21"/>
              </w:rPr>
            </w:pPr>
          </w:p>
        </w:tc>
        <w:tc>
          <w:tcPr>
            <w:tcW w:w="1034" w:type="dxa"/>
            <w:vAlign w:val="top"/>
          </w:tcPr>
          <w:p w14:paraId="64E8C97F">
            <w:pPr>
              <w:pStyle w:val="6"/>
              <w:spacing w:before="174" w:line="228" w:lineRule="auto"/>
              <w:ind w:left="420"/>
            </w:pPr>
            <w:r>
              <w:t>套</w:t>
            </w:r>
          </w:p>
        </w:tc>
        <w:tc>
          <w:tcPr>
            <w:tcW w:w="1038" w:type="dxa"/>
            <w:vAlign w:val="top"/>
          </w:tcPr>
          <w:p w14:paraId="4C34372A">
            <w:pPr>
              <w:pStyle w:val="6"/>
              <w:spacing w:before="174" w:line="270" w:lineRule="exact"/>
              <w:ind w:left="475"/>
            </w:pPr>
            <w:r>
              <w:rPr>
                <w:position w:val="1"/>
              </w:rPr>
              <w:t>2</w:t>
            </w:r>
          </w:p>
        </w:tc>
      </w:tr>
      <w:tr w14:paraId="3579F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37" w:type="dxa"/>
            <w:vAlign w:val="top"/>
          </w:tcPr>
          <w:p w14:paraId="510CADFF">
            <w:pPr>
              <w:pStyle w:val="6"/>
              <w:spacing w:before="108" w:line="270" w:lineRule="exact"/>
              <w:ind w:left="371"/>
            </w:pPr>
            <w:r>
              <w:rPr>
                <w:spacing w:val="-1"/>
                <w:position w:val="1"/>
              </w:rPr>
              <w:t>22</w:t>
            </w:r>
          </w:p>
        </w:tc>
        <w:tc>
          <w:tcPr>
            <w:tcW w:w="2732" w:type="dxa"/>
            <w:vAlign w:val="top"/>
          </w:tcPr>
          <w:p w14:paraId="4F8638C9">
            <w:pPr>
              <w:pStyle w:val="6"/>
              <w:spacing w:before="108" w:line="228" w:lineRule="auto"/>
              <w:ind w:left="1056"/>
            </w:pPr>
            <w:r>
              <w:fldChar w:fldCharType="begin"/>
            </w:r>
            <w:r>
              <w:instrText xml:space="preserve"> HYPERLINK "6PNJB\\6PNJB尾矿泵.xlsx" </w:instrText>
            </w:r>
            <w:r>
              <w:fldChar w:fldCharType="separate"/>
            </w:r>
            <w:r>
              <w:rPr>
                <w:spacing w:val="6"/>
              </w:rPr>
              <w:t>尾矿泵</w:t>
            </w:r>
            <w:r>
              <w:rPr>
                <w:spacing w:val="6"/>
              </w:rPr>
              <w:fldChar w:fldCharType="end"/>
            </w:r>
          </w:p>
        </w:tc>
        <w:tc>
          <w:tcPr>
            <w:tcW w:w="2479" w:type="dxa"/>
            <w:vAlign w:val="top"/>
          </w:tcPr>
          <w:p w14:paraId="2587E817">
            <w:pPr>
              <w:pStyle w:val="6"/>
              <w:spacing w:before="108" w:line="226" w:lineRule="auto"/>
              <w:ind w:left="737"/>
            </w:pPr>
            <w:r>
              <w:rPr>
                <w:spacing w:val="3"/>
              </w:rPr>
              <w:t>150</w:t>
            </w:r>
            <w:r>
              <w:t>CZJ</w:t>
            </w:r>
            <w:r>
              <w:rPr>
                <w:spacing w:val="3"/>
              </w:rPr>
              <w:t>-A50</w:t>
            </w:r>
          </w:p>
        </w:tc>
        <w:tc>
          <w:tcPr>
            <w:tcW w:w="1034" w:type="dxa"/>
            <w:vAlign w:val="top"/>
          </w:tcPr>
          <w:p w14:paraId="5EFBB318">
            <w:pPr>
              <w:pStyle w:val="6"/>
              <w:spacing w:before="108" w:line="230" w:lineRule="auto"/>
              <w:ind w:left="436"/>
            </w:pPr>
            <w:r>
              <w:t>台</w:t>
            </w:r>
          </w:p>
        </w:tc>
        <w:tc>
          <w:tcPr>
            <w:tcW w:w="1038" w:type="dxa"/>
            <w:vAlign w:val="top"/>
          </w:tcPr>
          <w:p w14:paraId="6B171A29">
            <w:pPr>
              <w:pStyle w:val="6"/>
              <w:spacing w:before="108" w:line="270" w:lineRule="exact"/>
              <w:ind w:left="475"/>
            </w:pPr>
            <w:r>
              <w:rPr>
                <w:position w:val="1"/>
              </w:rPr>
              <w:t>2</w:t>
            </w:r>
          </w:p>
        </w:tc>
      </w:tr>
      <w:tr w14:paraId="18447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37" w:type="dxa"/>
            <w:vAlign w:val="top"/>
          </w:tcPr>
          <w:p w14:paraId="654A50ED">
            <w:pPr>
              <w:pStyle w:val="6"/>
              <w:spacing w:before="105" w:line="269" w:lineRule="exact"/>
              <w:ind w:left="371"/>
            </w:pPr>
            <w:r>
              <w:rPr>
                <w:spacing w:val="-1"/>
                <w:position w:val="1"/>
              </w:rPr>
              <w:t>23</w:t>
            </w:r>
          </w:p>
        </w:tc>
        <w:tc>
          <w:tcPr>
            <w:tcW w:w="2732" w:type="dxa"/>
            <w:vAlign w:val="top"/>
          </w:tcPr>
          <w:p w14:paraId="2AA8D5F3">
            <w:pPr>
              <w:pStyle w:val="6"/>
              <w:spacing w:before="105" w:line="227" w:lineRule="auto"/>
              <w:ind w:left="1056"/>
            </w:pPr>
            <w:r>
              <w:rPr>
                <w:spacing w:val="6"/>
              </w:rPr>
              <w:t>精矿泵</w:t>
            </w:r>
          </w:p>
        </w:tc>
        <w:tc>
          <w:tcPr>
            <w:tcW w:w="2479" w:type="dxa"/>
            <w:vAlign w:val="top"/>
          </w:tcPr>
          <w:p w14:paraId="1A4857CB">
            <w:pPr>
              <w:pStyle w:val="6"/>
              <w:spacing w:before="105" w:line="226" w:lineRule="auto"/>
              <w:ind w:left="1038"/>
            </w:pPr>
            <w:r>
              <w:rPr>
                <w:spacing w:val="10"/>
              </w:rPr>
              <w:t>2</w:t>
            </w:r>
            <w:r>
              <w:t>PJB</w:t>
            </w:r>
          </w:p>
        </w:tc>
        <w:tc>
          <w:tcPr>
            <w:tcW w:w="1034" w:type="dxa"/>
            <w:vAlign w:val="top"/>
          </w:tcPr>
          <w:p w14:paraId="1913D514">
            <w:pPr>
              <w:pStyle w:val="6"/>
              <w:spacing w:before="105" w:line="230" w:lineRule="auto"/>
              <w:ind w:left="436"/>
            </w:pPr>
            <w:r>
              <w:t>台</w:t>
            </w:r>
          </w:p>
        </w:tc>
        <w:tc>
          <w:tcPr>
            <w:tcW w:w="1038" w:type="dxa"/>
            <w:vAlign w:val="top"/>
          </w:tcPr>
          <w:p w14:paraId="614114D6">
            <w:pPr>
              <w:pStyle w:val="6"/>
              <w:spacing w:before="105" w:line="270" w:lineRule="exact"/>
              <w:ind w:left="475"/>
            </w:pPr>
            <w:r>
              <w:rPr>
                <w:position w:val="1"/>
              </w:rPr>
              <w:t>2</w:t>
            </w:r>
          </w:p>
        </w:tc>
      </w:tr>
    </w:tbl>
    <w:p w14:paraId="03D9F477">
      <w:pPr>
        <w:spacing w:before="119" w:line="220" w:lineRule="auto"/>
        <w:ind w:left="597"/>
        <w:outlineLvl w:val="2"/>
        <w:rPr>
          <w:rFonts w:ascii="宋体" w:hAnsi="宋体" w:eastAsia="宋体" w:cs="宋体"/>
          <w:sz w:val="24"/>
          <w:szCs w:val="24"/>
        </w:rPr>
      </w:pPr>
      <w:bookmarkStart w:id="47" w:name="bookmark43"/>
      <w:bookmarkEnd w:id="47"/>
      <w:r>
        <w:rPr>
          <w:rFonts w:ascii="Times New Roman" w:hAnsi="Times New Roman" w:eastAsia="Times New Roman" w:cs="Times New Roman"/>
          <w:b/>
          <w:bCs/>
          <w:spacing w:val="-2"/>
          <w:sz w:val="24"/>
          <w:szCs w:val="24"/>
        </w:rPr>
        <w:t xml:space="preserve">3.2.4 </w:t>
      </w:r>
      <w:r>
        <w:rPr>
          <w:rFonts w:ascii="宋体" w:hAnsi="宋体" w:eastAsia="宋体" w:cs="宋体"/>
          <w:b/>
          <w:bCs/>
          <w:spacing w:val="-2"/>
          <w:sz w:val="24"/>
          <w:szCs w:val="24"/>
        </w:rPr>
        <w:t>物料平衡</w:t>
      </w:r>
    </w:p>
    <w:p w14:paraId="30175C92">
      <w:pPr>
        <w:spacing w:before="90" w:line="365" w:lineRule="auto"/>
        <w:ind w:left="127" w:right="252" w:firstLine="505"/>
        <w:rPr>
          <w:rFonts w:ascii="宋体" w:hAnsi="宋体" w:eastAsia="宋体" w:cs="宋体"/>
          <w:sz w:val="24"/>
          <w:szCs w:val="24"/>
        </w:rPr>
      </w:pPr>
      <w:r>
        <w:rPr>
          <w:rFonts w:ascii="宋体" w:hAnsi="宋体" w:eastAsia="宋体" w:cs="宋体"/>
          <w:spacing w:val="6"/>
          <w:sz w:val="24"/>
          <w:szCs w:val="24"/>
        </w:rPr>
        <w:t>现有采矿工程年生产矿石量为</w:t>
      </w:r>
      <w:r>
        <w:rPr>
          <w:rFonts w:ascii="宋体" w:hAnsi="宋体" w:eastAsia="宋体" w:cs="宋体"/>
          <w:spacing w:val="-32"/>
          <w:sz w:val="24"/>
          <w:szCs w:val="24"/>
        </w:rPr>
        <w:t xml:space="preserve"> </w:t>
      </w:r>
      <w:r>
        <w:rPr>
          <w:rFonts w:ascii="宋体" w:hAnsi="宋体" w:eastAsia="宋体" w:cs="宋体"/>
          <w:spacing w:val="6"/>
          <w:sz w:val="24"/>
          <w:szCs w:val="24"/>
        </w:rPr>
        <w:t>72</w:t>
      </w:r>
      <w:r>
        <w:rPr>
          <w:rFonts w:ascii="宋体" w:hAnsi="宋体" w:eastAsia="宋体" w:cs="宋体"/>
          <w:spacing w:val="6"/>
          <w:sz w:val="20"/>
          <w:szCs w:val="20"/>
        </w:rPr>
        <w:t>×</w:t>
      </w:r>
      <w:r>
        <w:rPr>
          <w:rFonts w:ascii="宋体" w:hAnsi="宋体" w:eastAsia="宋体" w:cs="宋体"/>
          <w:spacing w:val="6"/>
          <w:sz w:val="24"/>
          <w:szCs w:val="24"/>
        </w:rPr>
        <w:t>10</w:t>
      </w:r>
      <w:r>
        <w:rPr>
          <w:rFonts w:ascii="宋体" w:hAnsi="宋体" w:eastAsia="宋体" w:cs="宋体"/>
          <w:spacing w:val="6"/>
          <w:position w:val="11"/>
          <w:sz w:val="12"/>
          <w:szCs w:val="12"/>
        </w:rPr>
        <w:t>4</w:t>
      </w:r>
      <w:r>
        <w:rPr>
          <w:rFonts w:ascii="宋体" w:hAnsi="宋体" w:eastAsia="宋体" w:cs="宋体"/>
          <w:spacing w:val="6"/>
          <w:sz w:val="24"/>
          <w:szCs w:val="24"/>
        </w:rPr>
        <w:t>t/a，现有选矿工程物料平衡见表</w:t>
      </w:r>
      <w:r>
        <w:rPr>
          <w:rFonts w:ascii="宋体" w:hAnsi="宋体" w:eastAsia="宋体" w:cs="宋体"/>
          <w:sz w:val="24"/>
          <w:szCs w:val="24"/>
        </w:rPr>
        <w:t xml:space="preserve"> </w:t>
      </w:r>
      <w:r>
        <w:rPr>
          <w:rFonts w:ascii="宋体" w:hAnsi="宋体" w:eastAsia="宋体" w:cs="宋体"/>
          <w:spacing w:val="-1"/>
          <w:sz w:val="24"/>
          <w:szCs w:val="24"/>
        </w:rPr>
        <w:t>3.2-8，现有工程水平衡见表</w:t>
      </w:r>
      <w:r>
        <w:rPr>
          <w:rFonts w:ascii="宋体" w:hAnsi="宋体" w:eastAsia="宋体" w:cs="宋体"/>
          <w:spacing w:val="-46"/>
          <w:sz w:val="24"/>
          <w:szCs w:val="24"/>
        </w:rPr>
        <w:t xml:space="preserve"> </w:t>
      </w:r>
      <w:r>
        <w:rPr>
          <w:rFonts w:ascii="宋体" w:hAnsi="宋体" w:eastAsia="宋体" w:cs="宋体"/>
          <w:spacing w:val="-1"/>
          <w:sz w:val="24"/>
          <w:szCs w:val="24"/>
        </w:rPr>
        <w:t>3.2-9，3.2-1</w:t>
      </w:r>
      <w:r>
        <w:rPr>
          <w:rFonts w:ascii="宋体" w:hAnsi="宋体" w:eastAsia="宋体" w:cs="宋体"/>
          <w:spacing w:val="-2"/>
          <w:sz w:val="24"/>
          <w:szCs w:val="24"/>
        </w:rPr>
        <w:t>0。</w:t>
      </w:r>
    </w:p>
    <w:p w14:paraId="559910D7">
      <w:pPr>
        <w:spacing w:before="4" w:line="219" w:lineRule="auto"/>
        <w:ind w:left="244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8"/>
          <w:sz w:val="24"/>
          <w:szCs w:val="24"/>
        </w:rPr>
        <w:t xml:space="preserve"> </w:t>
      </w:r>
      <w:r>
        <w:rPr>
          <w:rFonts w:ascii="宋体" w:hAnsi="宋体" w:eastAsia="宋体" w:cs="宋体"/>
          <w:spacing w:val="-2"/>
          <w:sz w:val="24"/>
          <w:szCs w:val="24"/>
        </w:rPr>
        <w:t>3.2-8    现有选矿工程物料平衡表</w:t>
      </w:r>
    </w:p>
    <w:p w14:paraId="124FDFD8">
      <w:pPr>
        <w:spacing w:line="145" w:lineRule="exact"/>
      </w:pPr>
    </w:p>
    <w:tbl>
      <w:tblPr>
        <w:tblStyle w:val="5"/>
        <w:tblW w:w="8176" w:type="dxa"/>
        <w:tblInd w:w="1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1569"/>
        <w:gridCol w:w="1676"/>
        <w:gridCol w:w="1676"/>
        <w:gridCol w:w="1681"/>
      </w:tblGrid>
      <w:tr w14:paraId="0F5F9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574" w:type="dxa"/>
            <w:vAlign w:val="top"/>
          </w:tcPr>
          <w:p w14:paraId="36ECD15E">
            <w:pPr>
              <w:pStyle w:val="6"/>
              <w:spacing w:before="59" w:line="230" w:lineRule="auto"/>
              <w:ind w:left="584"/>
            </w:pPr>
            <w:r>
              <w:rPr>
                <w:spacing w:val="3"/>
              </w:rPr>
              <w:t>名称</w:t>
            </w:r>
          </w:p>
        </w:tc>
        <w:tc>
          <w:tcPr>
            <w:tcW w:w="3245" w:type="dxa"/>
            <w:gridSpan w:val="2"/>
            <w:vAlign w:val="top"/>
          </w:tcPr>
          <w:p w14:paraId="4956CBA1">
            <w:pPr>
              <w:pStyle w:val="6"/>
              <w:spacing w:before="58" w:line="228" w:lineRule="auto"/>
              <w:ind w:left="1310"/>
            </w:pPr>
            <w:r>
              <w:rPr>
                <w:spacing w:val="7"/>
              </w:rPr>
              <w:t>输入项</w:t>
            </w:r>
          </w:p>
        </w:tc>
        <w:tc>
          <w:tcPr>
            <w:tcW w:w="3357" w:type="dxa"/>
            <w:gridSpan w:val="2"/>
            <w:vAlign w:val="top"/>
          </w:tcPr>
          <w:p w14:paraId="2D30DA6F">
            <w:pPr>
              <w:pStyle w:val="6"/>
              <w:spacing w:before="58" w:line="228" w:lineRule="auto"/>
              <w:ind w:left="1365"/>
            </w:pPr>
            <w:r>
              <w:rPr>
                <w:spacing w:val="7"/>
              </w:rPr>
              <w:t>输出项</w:t>
            </w:r>
          </w:p>
        </w:tc>
      </w:tr>
      <w:tr w14:paraId="71064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restart"/>
            <w:tcBorders>
              <w:bottom w:val="nil"/>
            </w:tcBorders>
            <w:vAlign w:val="top"/>
          </w:tcPr>
          <w:p w14:paraId="52F5EDC1">
            <w:pPr>
              <w:spacing w:line="271" w:lineRule="auto"/>
              <w:rPr>
                <w:rFonts w:ascii="Arial"/>
                <w:sz w:val="21"/>
              </w:rPr>
            </w:pPr>
          </w:p>
          <w:p w14:paraId="63256DFF">
            <w:pPr>
              <w:spacing w:line="272" w:lineRule="auto"/>
              <w:rPr>
                <w:rFonts w:ascii="Arial"/>
                <w:sz w:val="21"/>
              </w:rPr>
            </w:pPr>
          </w:p>
          <w:p w14:paraId="6413DAF5">
            <w:pPr>
              <w:spacing w:line="272" w:lineRule="auto"/>
              <w:rPr>
                <w:rFonts w:ascii="Arial"/>
                <w:sz w:val="21"/>
              </w:rPr>
            </w:pPr>
          </w:p>
          <w:p w14:paraId="712DC1D6">
            <w:pPr>
              <w:pStyle w:val="6"/>
              <w:spacing w:before="65" w:line="228" w:lineRule="auto"/>
              <w:ind w:left="146"/>
            </w:pPr>
            <w:r>
              <w:rPr>
                <w:rFonts w:ascii="Times New Roman" w:hAnsi="Times New Roman" w:eastAsia="Times New Roman" w:cs="Times New Roman"/>
                <w:spacing w:val="3"/>
              </w:rPr>
              <w:t xml:space="preserve">1400t/d </w:t>
            </w:r>
            <w:r>
              <w:rPr>
                <w:spacing w:val="3"/>
              </w:rPr>
              <w:t>选矿工</w:t>
            </w:r>
          </w:p>
          <w:p w14:paraId="6954820F">
            <w:pPr>
              <w:pStyle w:val="6"/>
              <w:spacing w:before="70" w:line="228" w:lineRule="auto"/>
              <w:ind w:left="686"/>
            </w:pPr>
            <w:r>
              <w:rPr>
                <w:spacing w:val="1"/>
              </w:rPr>
              <w:t>程</w:t>
            </w:r>
          </w:p>
        </w:tc>
        <w:tc>
          <w:tcPr>
            <w:tcW w:w="1569" w:type="dxa"/>
            <w:vAlign w:val="top"/>
          </w:tcPr>
          <w:p w14:paraId="0023F399">
            <w:pPr>
              <w:pStyle w:val="6"/>
              <w:spacing w:before="55" w:line="228" w:lineRule="auto"/>
              <w:ind w:left="368"/>
            </w:pPr>
            <w:r>
              <w:rPr>
                <w:spacing w:val="7"/>
              </w:rPr>
              <w:t>物料名称</w:t>
            </w:r>
          </w:p>
        </w:tc>
        <w:tc>
          <w:tcPr>
            <w:tcW w:w="1676" w:type="dxa"/>
            <w:vAlign w:val="top"/>
          </w:tcPr>
          <w:p w14:paraId="6680EDE4">
            <w:pPr>
              <w:pStyle w:val="6"/>
              <w:spacing w:before="54" w:line="228" w:lineRule="auto"/>
              <w:ind w:left="164"/>
            </w:pPr>
            <w:r>
              <w:rPr>
                <w:spacing w:val="5"/>
              </w:rPr>
              <w:t>消耗量（t/a）</w:t>
            </w:r>
          </w:p>
        </w:tc>
        <w:tc>
          <w:tcPr>
            <w:tcW w:w="1676" w:type="dxa"/>
            <w:vAlign w:val="top"/>
          </w:tcPr>
          <w:p w14:paraId="2A632C04">
            <w:pPr>
              <w:pStyle w:val="6"/>
              <w:spacing w:before="55" w:line="228" w:lineRule="auto"/>
              <w:ind w:left="423"/>
            </w:pPr>
            <w:r>
              <w:rPr>
                <w:spacing w:val="7"/>
              </w:rPr>
              <w:t>物料名称</w:t>
            </w:r>
          </w:p>
        </w:tc>
        <w:tc>
          <w:tcPr>
            <w:tcW w:w="1681" w:type="dxa"/>
            <w:vAlign w:val="top"/>
          </w:tcPr>
          <w:p w14:paraId="01A4C8EF">
            <w:pPr>
              <w:pStyle w:val="6"/>
              <w:spacing w:before="54" w:line="228" w:lineRule="auto"/>
              <w:ind w:left="163"/>
            </w:pPr>
            <w:r>
              <w:rPr>
                <w:spacing w:val="5"/>
              </w:rPr>
              <w:t>产出量（t/a）</w:t>
            </w:r>
          </w:p>
        </w:tc>
      </w:tr>
      <w:tr w14:paraId="174A0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63FF9A89">
            <w:pPr>
              <w:rPr>
                <w:rFonts w:ascii="Arial"/>
                <w:sz w:val="21"/>
              </w:rPr>
            </w:pPr>
          </w:p>
        </w:tc>
        <w:tc>
          <w:tcPr>
            <w:tcW w:w="1569" w:type="dxa"/>
            <w:vAlign w:val="top"/>
          </w:tcPr>
          <w:p w14:paraId="7965E3FA">
            <w:pPr>
              <w:pStyle w:val="6"/>
              <w:spacing w:before="56" w:line="228" w:lineRule="auto"/>
              <w:ind w:left="578"/>
            </w:pPr>
            <w:r>
              <w:rPr>
                <w:spacing w:val="5"/>
              </w:rPr>
              <w:t>矿石</w:t>
            </w:r>
          </w:p>
        </w:tc>
        <w:tc>
          <w:tcPr>
            <w:tcW w:w="1676" w:type="dxa"/>
            <w:vAlign w:val="top"/>
          </w:tcPr>
          <w:p w14:paraId="4358EC97">
            <w:pPr>
              <w:pStyle w:val="6"/>
              <w:spacing w:before="57" w:line="237" w:lineRule="auto"/>
              <w:ind w:left="530"/>
            </w:pPr>
            <w:r>
              <w:rPr>
                <w:spacing w:val="3"/>
              </w:rPr>
              <w:t>294000</w:t>
            </w:r>
          </w:p>
        </w:tc>
        <w:tc>
          <w:tcPr>
            <w:tcW w:w="1676" w:type="dxa"/>
            <w:vAlign w:val="top"/>
          </w:tcPr>
          <w:p w14:paraId="6DC1FB3F">
            <w:pPr>
              <w:pStyle w:val="6"/>
              <w:spacing w:before="57" w:line="227" w:lineRule="auto"/>
              <w:ind w:left="529"/>
            </w:pPr>
            <w:r>
              <w:rPr>
                <w:spacing w:val="6"/>
              </w:rPr>
              <w:t>铅精矿</w:t>
            </w:r>
          </w:p>
        </w:tc>
        <w:tc>
          <w:tcPr>
            <w:tcW w:w="1681" w:type="dxa"/>
            <w:vAlign w:val="top"/>
          </w:tcPr>
          <w:p w14:paraId="06CF1D3A">
            <w:pPr>
              <w:pStyle w:val="6"/>
              <w:spacing w:before="57" w:line="237" w:lineRule="auto"/>
              <w:ind w:left="531"/>
            </w:pPr>
            <w:r>
              <w:rPr>
                <w:spacing w:val="3"/>
              </w:rPr>
              <w:t>8437.8</w:t>
            </w:r>
          </w:p>
        </w:tc>
      </w:tr>
      <w:tr w14:paraId="5EB31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5784EF39">
            <w:pPr>
              <w:rPr>
                <w:rFonts w:ascii="Arial"/>
                <w:sz w:val="21"/>
              </w:rPr>
            </w:pPr>
          </w:p>
        </w:tc>
        <w:tc>
          <w:tcPr>
            <w:tcW w:w="1569" w:type="dxa"/>
            <w:vAlign w:val="top"/>
          </w:tcPr>
          <w:p w14:paraId="2D81FCB7">
            <w:pPr>
              <w:pStyle w:val="6"/>
              <w:spacing w:before="56" w:line="233" w:lineRule="auto"/>
              <w:ind w:left="734"/>
            </w:pPr>
            <w:r>
              <w:t>/</w:t>
            </w:r>
          </w:p>
        </w:tc>
        <w:tc>
          <w:tcPr>
            <w:tcW w:w="1676" w:type="dxa"/>
            <w:vAlign w:val="top"/>
          </w:tcPr>
          <w:p w14:paraId="6C78462A">
            <w:pPr>
              <w:pStyle w:val="6"/>
              <w:spacing w:before="56" w:line="233" w:lineRule="auto"/>
              <w:ind w:left="790"/>
            </w:pPr>
            <w:r>
              <w:t>/</w:t>
            </w:r>
          </w:p>
        </w:tc>
        <w:tc>
          <w:tcPr>
            <w:tcW w:w="1676" w:type="dxa"/>
            <w:vAlign w:val="top"/>
          </w:tcPr>
          <w:p w14:paraId="2F6CBCB7">
            <w:pPr>
              <w:pStyle w:val="6"/>
              <w:spacing w:before="56" w:line="227" w:lineRule="auto"/>
              <w:ind w:left="528"/>
            </w:pPr>
            <w:r>
              <w:rPr>
                <w:spacing w:val="7"/>
              </w:rPr>
              <w:t>锌精矿</w:t>
            </w:r>
          </w:p>
        </w:tc>
        <w:tc>
          <w:tcPr>
            <w:tcW w:w="1681" w:type="dxa"/>
            <w:vAlign w:val="top"/>
          </w:tcPr>
          <w:p w14:paraId="02C3B7ED">
            <w:pPr>
              <w:pStyle w:val="6"/>
              <w:spacing w:before="57" w:line="237" w:lineRule="auto"/>
              <w:ind w:left="599"/>
            </w:pPr>
            <w:r>
              <w:t>17640</w:t>
            </w:r>
          </w:p>
        </w:tc>
      </w:tr>
      <w:tr w14:paraId="0B8E9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78383C7D">
            <w:pPr>
              <w:rPr>
                <w:rFonts w:ascii="Arial"/>
                <w:sz w:val="21"/>
              </w:rPr>
            </w:pPr>
          </w:p>
        </w:tc>
        <w:tc>
          <w:tcPr>
            <w:tcW w:w="1569" w:type="dxa"/>
            <w:vAlign w:val="top"/>
          </w:tcPr>
          <w:p w14:paraId="5E9F9174">
            <w:pPr>
              <w:pStyle w:val="6"/>
              <w:spacing w:before="56" w:line="233" w:lineRule="auto"/>
              <w:ind w:left="734"/>
            </w:pPr>
            <w:r>
              <w:t>/</w:t>
            </w:r>
          </w:p>
        </w:tc>
        <w:tc>
          <w:tcPr>
            <w:tcW w:w="1676" w:type="dxa"/>
            <w:vAlign w:val="top"/>
          </w:tcPr>
          <w:p w14:paraId="17F87DDA">
            <w:pPr>
              <w:pStyle w:val="6"/>
              <w:spacing w:before="56" w:line="233" w:lineRule="auto"/>
              <w:ind w:left="790"/>
            </w:pPr>
            <w:r>
              <w:t>/</w:t>
            </w:r>
          </w:p>
        </w:tc>
        <w:tc>
          <w:tcPr>
            <w:tcW w:w="1676" w:type="dxa"/>
            <w:vAlign w:val="top"/>
          </w:tcPr>
          <w:p w14:paraId="10AC5B0D">
            <w:pPr>
              <w:pStyle w:val="6"/>
              <w:spacing w:before="56" w:line="228" w:lineRule="auto"/>
              <w:ind w:left="634"/>
            </w:pPr>
            <w:r>
              <w:rPr>
                <w:spacing w:val="4"/>
              </w:rPr>
              <w:t>尾矿</w:t>
            </w:r>
          </w:p>
        </w:tc>
        <w:tc>
          <w:tcPr>
            <w:tcW w:w="1681" w:type="dxa"/>
            <w:vAlign w:val="top"/>
          </w:tcPr>
          <w:p w14:paraId="2927AEE8">
            <w:pPr>
              <w:pStyle w:val="6"/>
              <w:spacing w:before="57" w:line="237" w:lineRule="auto"/>
              <w:ind w:left="427"/>
            </w:pPr>
            <w:r>
              <w:rPr>
                <w:spacing w:val="3"/>
              </w:rPr>
              <w:t>267914.3</w:t>
            </w:r>
          </w:p>
        </w:tc>
      </w:tr>
      <w:tr w14:paraId="7B90E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6F50BE9D">
            <w:pPr>
              <w:rPr>
                <w:rFonts w:ascii="Arial"/>
                <w:sz w:val="21"/>
              </w:rPr>
            </w:pPr>
          </w:p>
        </w:tc>
        <w:tc>
          <w:tcPr>
            <w:tcW w:w="1569" w:type="dxa"/>
            <w:vAlign w:val="top"/>
          </w:tcPr>
          <w:p w14:paraId="1C6C4A3F">
            <w:pPr>
              <w:pStyle w:val="6"/>
              <w:spacing w:before="56" w:line="233" w:lineRule="auto"/>
              <w:ind w:left="734"/>
            </w:pPr>
            <w:r>
              <w:t>/</w:t>
            </w:r>
          </w:p>
        </w:tc>
        <w:tc>
          <w:tcPr>
            <w:tcW w:w="1676" w:type="dxa"/>
            <w:vAlign w:val="top"/>
          </w:tcPr>
          <w:p w14:paraId="2970CA27">
            <w:pPr>
              <w:pStyle w:val="6"/>
              <w:spacing w:before="56" w:line="233" w:lineRule="auto"/>
              <w:ind w:left="790"/>
            </w:pPr>
            <w:r>
              <w:t>/</w:t>
            </w:r>
          </w:p>
        </w:tc>
        <w:tc>
          <w:tcPr>
            <w:tcW w:w="1676" w:type="dxa"/>
            <w:vAlign w:val="top"/>
          </w:tcPr>
          <w:p w14:paraId="0E3AE266">
            <w:pPr>
              <w:pStyle w:val="6"/>
              <w:spacing w:before="56" w:line="228" w:lineRule="auto"/>
              <w:ind w:left="318"/>
            </w:pPr>
            <w:r>
              <w:rPr>
                <w:spacing w:val="7"/>
              </w:rPr>
              <w:t>有组织粉尘</w:t>
            </w:r>
          </w:p>
        </w:tc>
        <w:tc>
          <w:tcPr>
            <w:tcW w:w="1681" w:type="dxa"/>
            <w:vAlign w:val="top"/>
          </w:tcPr>
          <w:p w14:paraId="73B8DE87">
            <w:pPr>
              <w:pStyle w:val="6"/>
              <w:spacing w:before="56" w:line="238" w:lineRule="auto"/>
              <w:ind w:left="688"/>
            </w:pPr>
            <w:r>
              <w:rPr>
                <w:spacing w:val="1"/>
              </w:rPr>
              <w:t>0.4</w:t>
            </w:r>
          </w:p>
        </w:tc>
      </w:tr>
      <w:tr w14:paraId="7E1C5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bottom w:val="nil"/>
            </w:tcBorders>
            <w:vAlign w:val="top"/>
          </w:tcPr>
          <w:p w14:paraId="7AE7F35A">
            <w:pPr>
              <w:rPr>
                <w:rFonts w:ascii="Arial"/>
                <w:sz w:val="21"/>
              </w:rPr>
            </w:pPr>
          </w:p>
        </w:tc>
        <w:tc>
          <w:tcPr>
            <w:tcW w:w="1569" w:type="dxa"/>
            <w:vAlign w:val="top"/>
          </w:tcPr>
          <w:p w14:paraId="12CD32D5">
            <w:pPr>
              <w:pStyle w:val="6"/>
              <w:spacing w:before="56" w:line="233" w:lineRule="auto"/>
              <w:ind w:left="734"/>
            </w:pPr>
            <w:r>
              <w:t>/</w:t>
            </w:r>
          </w:p>
        </w:tc>
        <w:tc>
          <w:tcPr>
            <w:tcW w:w="1676" w:type="dxa"/>
            <w:vAlign w:val="top"/>
          </w:tcPr>
          <w:p w14:paraId="1F3C85B4">
            <w:pPr>
              <w:pStyle w:val="6"/>
              <w:spacing w:before="56" w:line="233" w:lineRule="auto"/>
              <w:ind w:left="790"/>
            </w:pPr>
            <w:r>
              <w:t>/</w:t>
            </w:r>
          </w:p>
        </w:tc>
        <w:tc>
          <w:tcPr>
            <w:tcW w:w="1676" w:type="dxa"/>
            <w:vAlign w:val="top"/>
          </w:tcPr>
          <w:p w14:paraId="13334DDF">
            <w:pPr>
              <w:pStyle w:val="6"/>
              <w:spacing w:before="56" w:line="228" w:lineRule="auto"/>
              <w:ind w:left="319"/>
            </w:pPr>
            <w:r>
              <w:rPr>
                <w:spacing w:val="7"/>
              </w:rPr>
              <w:t>无组织粉尘</w:t>
            </w:r>
          </w:p>
        </w:tc>
        <w:tc>
          <w:tcPr>
            <w:tcW w:w="1681" w:type="dxa"/>
            <w:vAlign w:val="top"/>
          </w:tcPr>
          <w:p w14:paraId="2A6A7799">
            <w:pPr>
              <w:pStyle w:val="6"/>
              <w:spacing w:before="56" w:line="238" w:lineRule="auto"/>
              <w:ind w:left="691"/>
            </w:pPr>
            <w:r>
              <w:t>7.5</w:t>
            </w:r>
          </w:p>
        </w:tc>
      </w:tr>
      <w:tr w14:paraId="4F8E5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continue"/>
            <w:tcBorders>
              <w:top w:val="nil"/>
            </w:tcBorders>
            <w:vAlign w:val="top"/>
          </w:tcPr>
          <w:p w14:paraId="332C01C5">
            <w:pPr>
              <w:rPr>
                <w:rFonts w:ascii="Arial"/>
                <w:sz w:val="21"/>
              </w:rPr>
            </w:pPr>
          </w:p>
        </w:tc>
        <w:tc>
          <w:tcPr>
            <w:tcW w:w="1569" w:type="dxa"/>
            <w:vAlign w:val="top"/>
          </w:tcPr>
          <w:p w14:paraId="65B726DA">
            <w:pPr>
              <w:pStyle w:val="6"/>
              <w:spacing w:before="56" w:line="229" w:lineRule="auto"/>
              <w:ind w:left="585"/>
            </w:pPr>
            <w:r>
              <w:rPr>
                <w:spacing w:val="2"/>
              </w:rPr>
              <w:t>小计</w:t>
            </w:r>
          </w:p>
        </w:tc>
        <w:tc>
          <w:tcPr>
            <w:tcW w:w="1676" w:type="dxa"/>
            <w:vAlign w:val="top"/>
          </w:tcPr>
          <w:p w14:paraId="756FD965">
            <w:pPr>
              <w:pStyle w:val="6"/>
              <w:spacing w:before="56" w:line="238" w:lineRule="auto"/>
              <w:ind w:left="530"/>
            </w:pPr>
            <w:r>
              <w:rPr>
                <w:spacing w:val="3"/>
              </w:rPr>
              <w:t>294000</w:t>
            </w:r>
          </w:p>
        </w:tc>
        <w:tc>
          <w:tcPr>
            <w:tcW w:w="1676" w:type="dxa"/>
            <w:vAlign w:val="top"/>
          </w:tcPr>
          <w:p w14:paraId="2711DB15">
            <w:pPr>
              <w:pStyle w:val="6"/>
              <w:spacing w:before="56" w:line="229" w:lineRule="auto"/>
              <w:ind w:left="640"/>
            </w:pPr>
            <w:r>
              <w:rPr>
                <w:spacing w:val="2"/>
              </w:rPr>
              <w:t>小计</w:t>
            </w:r>
          </w:p>
        </w:tc>
        <w:tc>
          <w:tcPr>
            <w:tcW w:w="1681" w:type="dxa"/>
            <w:vAlign w:val="top"/>
          </w:tcPr>
          <w:p w14:paraId="3AEAACDC">
            <w:pPr>
              <w:pStyle w:val="6"/>
              <w:spacing w:before="56" w:line="238" w:lineRule="auto"/>
              <w:ind w:left="533"/>
            </w:pPr>
            <w:r>
              <w:rPr>
                <w:spacing w:val="3"/>
              </w:rPr>
              <w:t>294000</w:t>
            </w:r>
          </w:p>
        </w:tc>
      </w:tr>
      <w:tr w14:paraId="189A6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4" w:type="dxa"/>
            <w:vMerge w:val="restart"/>
            <w:tcBorders>
              <w:bottom w:val="nil"/>
            </w:tcBorders>
            <w:vAlign w:val="top"/>
          </w:tcPr>
          <w:p w14:paraId="6DF64341">
            <w:pPr>
              <w:spacing w:line="326" w:lineRule="auto"/>
              <w:rPr>
                <w:rFonts w:ascii="Arial"/>
                <w:sz w:val="21"/>
              </w:rPr>
            </w:pPr>
          </w:p>
          <w:p w14:paraId="3B34737E">
            <w:pPr>
              <w:spacing w:line="327" w:lineRule="auto"/>
              <w:rPr>
                <w:rFonts w:ascii="Arial"/>
                <w:sz w:val="21"/>
              </w:rPr>
            </w:pPr>
          </w:p>
          <w:p w14:paraId="313BF9AD">
            <w:pPr>
              <w:pStyle w:val="6"/>
              <w:spacing w:before="65" w:line="228" w:lineRule="auto"/>
              <w:ind w:left="126"/>
            </w:pPr>
            <w:r>
              <w:rPr>
                <w:rFonts w:ascii="Times New Roman" w:hAnsi="Times New Roman" w:eastAsia="Times New Roman" w:cs="Times New Roman"/>
                <w:spacing w:val="5"/>
              </w:rPr>
              <w:t xml:space="preserve">2000t/d </w:t>
            </w:r>
            <w:r>
              <w:rPr>
                <w:spacing w:val="5"/>
              </w:rPr>
              <w:t>选矿工</w:t>
            </w:r>
          </w:p>
          <w:p w14:paraId="23F3B584">
            <w:pPr>
              <w:pStyle w:val="6"/>
              <w:spacing w:before="72" w:line="228" w:lineRule="auto"/>
              <w:ind w:left="686"/>
            </w:pPr>
            <w:r>
              <w:rPr>
                <w:spacing w:val="1"/>
              </w:rPr>
              <w:t>程</w:t>
            </w:r>
          </w:p>
        </w:tc>
        <w:tc>
          <w:tcPr>
            <w:tcW w:w="1569" w:type="dxa"/>
            <w:vAlign w:val="top"/>
          </w:tcPr>
          <w:p w14:paraId="002E99C8">
            <w:pPr>
              <w:pStyle w:val="6"/>
              <w:spacing w:before="58" w:line="228" w:lineRule="auto"/>
              <w:ind w:left="578"/>
            </w:pPr>
            <w:r>
              <w:rPr>
                <w:spacing w:val="5"/>
              </w:rPr>
              <w:t>矿石</w:t>
            </w:r>
          </w:p>
        </w:tc>
        <w:tc>
          <w:tcPr>
            <w:tcW w:w="1676" w:type="dxa"/>
            <w:vAlign w:val="top"/>
          </w:tcPr>
          <w:p w14:paraId="4ECFA54D">
            <w:pPr>
              <w:pStyle w:val="6"/>
              <w:spacing w:before="58" w:line="236" w:lineRule="auto"/>
              <w:ind w:left="526"/>
            </w:pPr>
            <w:r>
              <w:rPr>
                <w:spacing w:val="3"/>
              </w:rPr>
              <w:t>426000</w:t>
            </w:r>
          </w:p>
        </w:tc>
        <w:tc>
          <w:tcPr>
            <w:tcW w:w="1676" w:type="dxa"/>
            <w:vAlign w:val="top"/>
          </w:tcPr>
          <w:p w14:paraId="7ACFDA78">
            <w:pPr>
              <w:pStyle w:val="6"/>
              <w:spacing w:before="58" w:line="227" w:lineRule="auto"/>
              <w:ind w:left="529"/>
            </w:pPr>
            <w:r>
              <w:rPr>
                <w:spacing w:val="6"/>
              </w:rPr>
              <w:t>铅精矿</w:t>
            </w:r>
          </w:p>
        </w:tc>
        <w:tc>
          <w:tcPr>
            <w:tcW w:w="1681" w:type="dxa"/>
            <w:vAlign w:val="top"/>
          </w:tcPr>
          <w:p w14:paraId="48478645">
            <w:pPr>
              <w:pStyle w:val="6"/>
              <w:spacing w:before="58" w:line="236" w:lineRule="auto"/>
              <w:ind w:left="599"/>
            </w:pPr>
            <w:r>
              <w:t>12054</w:t>
            </w:r>
          </w:p>
        </w:tc>
      </w:tr>
      <w:tr w14:paraId="2550D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bottom w:val="nil"/>
            </w:tcBorders>
            <w:vAlign w:val="top"/>
          </w:tcPr>
          <w:p w14:paraId="7F52BC3E">
            <w:pPr>
              <w:rPr>
                <w:rFonts w:ascii="Arial"/>
                <w:sz w:val="21"/>
              </w:rPr>
            </w:pPr>
          </w:p>
        </w:tc>
        <w:tc>
          <w:tcPr>
            <w:tcW w:w="1569" w:type="dxa"/>
            <w:vAlign w:val="top"/>
          </w:tcPr>
          <w:p w14:paraId="596F7D36">
            <w:pPr>
              <w:pStyle w:val="6"/>
              <w:spacing w:before="57" w:line="233" w:lineRule="auto"/>
              <w:ind w:left="734"/>
            </w:pPr>
            <w:r>
              <w:t>/</w:t>
            </w:r>
          </w:p>
        </w:tc>
        <w:tc>
          <w:tcPr>
            <w:tcW w:w="1676" w:type="dxa"/>
            <w:vAlign w:val="top"/>
          </w:tcPr>
          <w:p w14:paraId="76B69B43">
            <w:pPr>
              <w:pStyle w:val="6"/>
              <w:spacing w:before="57" w:line="233" w:lineRule="auto"/>
              <w:ind w:left="790"/>
            </w:pPr>
            <w:r>
              <w:t>/</w:t>
            </w:r>
          </w:p>
        </w:tc>
        <w:tc>
          <w:tcPr>
            <w:tcW w:w="1676" w:type="dxa"/>
            <w:vAlign w:val="top"/>
          </w:tcPr>
          <w:p w14:paraId="6A9BF0E2">
            <w:pPr>
              <w:pStyle w:val="6"/>
              <w:spacing w:before="58" w:line="227" w:lineRule="auto"/>
              <w:ind w:left="528"/>
            </w:pPr>
            <w:r>
              <w:rPr>
                <w:spacing w:val="7"/>
              </w:rPr>
              <w:t>锌精矿</w:t>
            </w:r>
          </w:p>
        </w:tc>
        <w:tc>
          <w:tcPr>
            <w:tcW w:w="1681" w:type="dxa"/>
            <w:vAlign w:val="top"/>
          </w:tcPr>
          <w:p w14:paraId="66D50FF9">
            <w:pPr>
              <w:pStyle w:val="6"/>
              <w:spacing w:before="58" w:line="237" w:lineRule="auto"/>
              <w:ind w:left="586"/>
            </w:pPr>
            <w:r>
              <w:rPr>
                <w:spacing w:val="2"/>
              </w:rPr>
              <w:t>25200</w:t>
            </w:r>
          </w:p>
        </w:tc>
      </w:tr>
      <w:tr w14:paraId="02503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bottom w:val="nil"/>
            </w:tcBorders>
            <w:vAlign w:val="top"/>
          </w:tcPr>
          <w:p w14:paraId="1AB9A5F9">
            <w:pPr>
              <w:rPr>
                <w:rFonts w:ascii="Arial"/>
                <w:sz w:val="21"/>
              </w:rPr>
            </w:pPr>
          </w:p>
        </w:tc>
        <w:tc>
          <w:tcPr>
            <w:tcW w:w="1569" w:type="dxa"/>
            <w:vAlign w:val="top"/>
          </w:tcPr>
          <w:p w14:paraId="02A33478">
            <w:pPr>
              <w:pStyle w:val="6"/>
              <w:spacing w:before="59" w:line="233" w:lineRule="auto"/>
              <w:ind w:left="734"/>
            </w:pPr>
            <w:r>
              <w:t>/</w:t>
            </w:r>
          </w:p>
        </w:tc>
        <w:tc>
          <w:tcPr>
            <w:tcW w:w="1676" w:type="dxa"/>
            <w:vAlign w:val="top"/>
          </w:tcPr>
          <w:p w14:paraId="4F008A1A">
            <w:pPr>
              <w:pStyle w:val="6"/>
              <w:spacing w:before="59" w:line="233" w:lineRule="auto"/>
              <w:ind w:left="790"/>
            </w:pPr>
            <w:r>
              <w:t>/</w:t>
            </w:r>
          </w:p>
        </w:tc>
        <w:tc>
          <w:tcPr>
            <w:tcW w:w="1676" w:type="dxa"/>
            <w:vAlign w:val="top"/>
          </w:tcPr>
          <w:p w14:paraId="41005F2E">
            <w:pPr>
              <w:pStyle w:val="6"/>
              <w:spacing w:before="59" w:line="228" w:lineRule="auto"/>
              <w:ind w:left="634"/>
            </w:pPr>
            <w:r>
              <w:rPr>
                <w:spacing w:val="4"/>
              </w:rPr>
              <w:t>尾矿</w:t>
            </w:r>
          </w:p>
        </w:tc>
        <w:tc>
          <w:tcPr>
            <w:tcW w:w="1681" w:type="dxa"/>
            <w:vAlign w:val="top"/>
          </w:tcPr>
          <w:p w14:paraId="7FA196E1">
            <w:pPr>
              <w:pStyle w:val="6"/>
              <w:spacing w:before="59" w:line="236" w:lineRule="auto"/>
              <w:ind w:left="376"/>
            </w:pPr>
            <w:r>
              <w:rPr>
                <w:spacing w:val="3"/>
              </w:rPr>
              <w:t>388736.16</w:t>
            </w:r>
          </w:p>
        </w:tc>
      </w:tr>
      <w:tr w14:paraId="0348D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bottom w:val="nil"/>
            </w:tcBorders>
            <w:vAlign w:val="top"/>
          </w:tcPr>
          <w:p w14:paraId="5978A4D0">
            <w:pPr>
              <w:rPr>
                <w:rFonts w:ascii="Arial"/>
                <w:sz w:val="21"/>
              </w:rPr>
            </w:pPr>
          </w:p>
        </w:tc>
        <w:tc>
          <w:tcPr>
            <w:tcW w:w="1569" w:type="dxa"/>
            <w:vAlign w:val="top"/>
          </w:tcPr>
          <w:p w14:paraId="3A293F22">
            <w:pPr>
              <w:pStyle w:val="6"/>
              <w:spacing w:before="57" w:line="233" w:lineRule="auto"/>
              <w:ind w:left="734"/>
            </w:pPr>
            <w:r>
              <w:t>/</w:t>
            </w:r>
          </w:p>
        </w:tc>
        <w:tc>
          <w:tcPr>
            <w:tcW w:w="1676" w:type="dxa"/>
            <w:vAlign w:val="top"/>
          </w:tcPr>
          <w:p w14:paraId="0DAEDE5A">
            <w:pPr>
              <w:pStyle w:val="6"/>
              <w:spacing w:before="57" w:line="233" w:lineRule="auto"/>
              <w:ind w:left="790"/>
            </w:pPr>
            <w:r>
              <w:t>/</w:t>
            </w:r>
          </w:p>
        </w:tc>
        <w:tc>
          <w:tcPr>
            <w:tcW w:w="1676" w:type="dxa"/>
            <w:vAlign w:val="top"/>
          </w:tcPr>
          <w:p w14:paraId="31A9DB8B">
            <w:pPr>
              <w:pStyle w:val="6"/>
              <w:spacing w:before="57" w:line="228" w:lineRule="auto"/>
              <w:ind w:left="318"/>
            </w:pPr>
            <w:r>
              <w:rPr>
                <w:spacing w:val="7"/>
              </w:rPr>
              <w:t>有组织粉尘</w:t>
            </w:r>
          </w:p>
        </w:tc>
        <w:tc>
          <w:tcPr>
            <w:tcW w:w="1681" w:type="dxa"/>
            <w:vAlign w:val="top"/>
          </w:tcPr>
          <w:p w14:paraId="71E2C948">
            <w:pPr>
              <w:pStyle w:val="6"/>
              <w:spacing w:before="58" w:line="237" w:lineRule="auto"/>
              <w:ind w:left="651"/>
            </w:pPr>
            <w:r>
              <w:rPr>
                <w:spacing w:val="-1"/>
              </w:rPr>
              <w:t>1.39</w:t>
            </w:r>
          </w:p>
        </w:tc>
      </w:tr>
      <w:tr w14:paraId="57FD7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bottom w:val="nil"/>
            </w:tcBorders>
            <w:vAlign w:val="top"/>
          </w:tcPr>
          <w:p w14:paraId="75557A5B">
            <w:pPr>
              <w:rPr>
                <w:rFonts w:ascii="Arial"/>
                <w:sz w:val="21"/>
              </w:rPr>
            </w:pPr>
          </w:p>
        </w:tc>
        <w:tc>
          <w:tcPr>
            <w:tcW w:w="1569" w:type="dxa"/>
            <w:vAlign w:val="top"/>
          </w:tcPr>
          <w:p w14:paraId="25018122">
            <w:pPr>
              <w:pStyle w:val="6"/>
              <w:spacing w:before="59" w:line="233" w:lineRule="auto"/>
              <w:ind w:left="734"/>
            </w:pPr>
            <w:r>
              <w:t>/</w:t>
            </w:r>
          </w:p>
        </w:tc>
        <w:tc>
          <w:tcPr>
            <w:tcW w:w="1676" w:type="dxa"/>
            <w:vAlign w:val="top"/>
          </w:tcPr>
          <w:p w14:paraId="4B6F2FF4">
            <w:pPr>
              <w:pStyle w:val="6"/>
              <w:spacing w:before="59" w:line="233" w:lineRule="auto"/>
              <w:ind w:left="790"/>
            </w:pPr>
            <w:r>
              <w:t>/</w:t>
            </w:r>
          </w:p>
        </w:tc>
        <w:tc>
          <w:tcPr>
            <w:tcW w:w="1676" w:type="dxa"/>
            <w:vAlign w:val="top"/>
          </w:tcPr>
          <w:p w14:paraId="2A8FEF00">
            <w:pPr>
              <w:pStyle w:val="6"/>
              <w:spacing w:before="59" w:line="228" w:lineRule="auto"/>
              <w:ind w:left="319"/>
            </w:pPr>
            <w:r>
              <w:rPr>
                <w:spacing w:val="7"/>
              </w:rPr>
              <w:t>无组织粉尘</w:t>
            </w:r>
          </w:p>
        </w:tc>
        <w:tc>
          <w:tcPr>
            <w:tcW w:w="1681" w:type="dxa"/>
            <w:vAlign w:val="top"/>
          </w:tcPr>
          <w:p w14:paraId="5BD769A6">
            <w:pPr>
              <w:pStyle w:val="6"/>
              <w:spacing w:before="59" w:line="236" w:lineRule="auto"/>
              <w:ind w:left="637"/>
            </w:pPr>
            <w:r>
              <w:rPr>
                <w:spacing w:val="3"/>
              </w:rPr>
              <w:t>8.45</w:t>
            </w:r>
          </w:p>
        </w:tc>
      </w:tr>
      <w:tr w14:paraId="1926D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574" w:type="dxa"/>
            <w:vMerge w:val="continue"/>
            <w:tcBorders>
              <w:top w:val="nil"/>
            </w:tcBorders>
            <w:vAlign w:val="top"/>
          </w:tcPr>
          <w:p w14:paraId="3249CA88">
            <w:pPr>
              <w:rPr>
                <w:rFonts w:ascii="Arial"/>
                <w:sz w:val="21"/>
              </w:rPr>
            </w:pPr>
          </w:p>
        </w:tc>
        <w:tc>
          <w:tcPr>
            <w:tcW w:w="1569" w:type="dxa"/>
            <w:vAlign w:val="top"/>
          </w:tcPr>
          <w:p w14:paraId="17291EF4">
            <w:pPr>
              <w:pStyle w:val="6"/>
              <w:spacing w:before="58" w:line="229" w:lineRule="auto"/>
              <w:ind w:left="585"/>
            </w:pPr>
            <w:r>
              <w:rPr>
                <w:spacing w:val="2"/>
              </w:rPr>
              <w:t>小计</w:t>
            </w:r>
          </w:p>
        </w:tc>
        <w:tc>
          <w:tcPr>
            <w:tcW w:w="1676" w:type="dxa"/>
            <w:vAlign w:val="top"/>
          </w:tcPr>
          <w:p w14:paraId="13DEC826">
            <w:pPr>
              <w:pStyle w:val="6"/>
              <w:spacing w:before="58" w:line="237" w:lineRule="auto"/>
              <w:ind w:left="526"/>
            </w:pPr>
            <w:r>
              <w:rPr>
                <w:spacing w:val="3"/>
              </w:rPr>
              <w:t>426000</w:t>
            </w:r>
          </w:p>
        </w:tc>
        <w:tc>
          <w:tcPr>
            <w:tcW w:w="1676" w:type="dxa"/>
            <w:vAlign w:val="top"/>
          </w:tcPr>
          <w:p w14:paraId="47F5C78B">
            <w:pPr>
              <w:pStyle w:val="6"/>
              <w:spacing w:before="58" w:line="229" w:lineRule="auto"/>
              <w:ind w:left="640"/>
            </w:pPr>
            <w:r>
              <w:rPr>
                <w:spacing w:val="2"/>
              </w:rPr>
              <w:t>小计</w:t>
            </w:r>
          </w:p>
        </w:tc>
        <w:tc>
          <w:tcPr>
            <w:tcW w:w="1681" w:type="dxa"/>
            <w:vAlign w:val="top"/>
          </w:tcPr>
          <w:p w14:paraId="6AD1DDA0">
            <w:pPr>
              <w:pStyle w:val="6"/>
              <w:spacing w:before="58" w:line="237" w:lineRule="auto"/>
              <w:ind w:left="529"/>
            </w:pPr>
            <w:r>
              <w:rPr>
                <w:spacing w:val="3"/>
              </w:rPr>
              <w:t>426000</w:t>
            </w:r>
          </w:p>
        </w:tc>
      </w:tr>
      <w:tr w14:paraId="72CAE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574" w:type="dxa"/>
            <w:vAlign w:val="top"/>
          </w:tcPr>
          <w:p w14:paraId="6A8C8D82">
            <w:pPr>
              <w:pStyle w:val="6"/>
              <w:spacing w:before="59" w:line="228" w:lineRule="auto"/>
              <w:ind w:left="372"/>
            </w:pPr>
            <w:r>
              <w:rPr>
                <w:spacing w:val="7"/>
              </w:rPr>
              <w:t>选矿工程</w:t>
            </w:r>
          </w:p>
        </w:tc>
        <w:tc>
          <w:tcPr>
            <w:tcW w:w="1569" w:type="dxa"/>
            <w:vAlign w:val="top"/>
          </w:tcPr>
          <w:p w14:paraId="08E675A7">
            <w:pPr>
              <w:pStyle w:val="6"/>
              <w:spacing w:before="59" w:line="229" w:lineRule="auto"/>
              <w:ind w:left="580"/>
            </w:pPr>
            <w:r>
              <w:rPr>
                <w:spacing w:val="4"/>
              </w:rPr>
              <w:t>合计</w:t>
            </w:r>
          </w:p>
        </w:tc>
        <w:tc>
          <w:tcPr>
            <w:tcW w:w="1676" w:type="dxa"/>
            <w:vAlign w:val="top"/>
          </w:tcPr>
          <w:p w14:paraId="38A1E9DA">
            <w:pPr>
              <w:pStyle w:val="6"/>
              <w:spacing w:before="59"/>
              <w:ind w:left="532"/>
            </w:pPr>
            <w:r>
              <w:rPr>
                <w:spacing w:val="2"/>
              </w:rPr>
              <w:t>720000</w:t>
            </w:r>
          </w:p>
        </w:tc>
        <w:tc>
          <w:tcPr>
            <w:tcW w:w="1676" w:type="dxa"/>
            <w:vAlign w:val="top"/>
          </w:tcPr>
          <w:p w14:paraId="05A6BAD9">
            <w:pPr>
              <w:pStyle w:val="6"/>
              <w:spacing w:before="59" w:line="229" w:lineRule="auto"/>
              <w:ind w:left="635"/>
            </w:pPr>
            <w:r>
              <w:rPr>
                <w:spacing w:val="4"/>
              </w:rPr>
              <w:t>合计</w:t>
            </w:r>
          </w:p>
        </w:tc>
        <w:tc>
          <w:tcPr>
            <w:tcW w:w="1681" w:type="dxa"/>
            <w:vAlign w:val="top"/>
          </w:tcPr>
          <w:p w14:paraId="13917F28">
            <w:pPr>
              <w:pStyle w:val="6"/>
              <w:spacing w:before="59"/>
              <w:ind w:left="535"/>
            </w:pPr>
            <w:r>
              <w:rPr>
                <w:spacing w:val="2"/>
              </w:rPr>
              <w:t>720000</w:t>
            </w:r>
          </w:p>
        </w:tc>
      </w:tr>
    </w:tbl>
    <w:p w14:paraId="1DAB0790">
      <w:pPr>
        <w:spacing w:before="17" w:line="234" w:lineRule="auto"/>
        <w:ind w:left="157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6"/>
          <w:sz w:val="24"/>
          <w:szCs w:val="24"/>
        </w:rPr>
        <w:t xml:space="preserve"> </w:t>
      </w:r>
      <w:r>
        <w:rPr>
          <w:rFonts w:ascii="宋体" w:hAnsi="宋体" w:eastAsia="宋体" w:cs="宋体"/>
          <w:spacing w:val="-1"/>
          <w:sz w:val="24"/>
          <w:szCs w:val="24"/>
        </w:rPr>
        <w:t>3.2-9   现有工程夏季用水指标        单位：m</w:t>
      </w:r>
      <w:r>
        <w:rPr>
          <w:rFonts w:ascii="宋体" w:hAnsi="宋体" w:eastAsia="宋体" w:cs="宋体"/>
          <w:spacing w:val="-1"/>
          <w:position w:val="12"/>
          <w:sz w:val="12"/>
          <w:szCs w:val="12"/>
        </w:rPr>
        <w:t>3</w:t>
      </w:r>
      <w:r>
        <w:rPr>
          <w:rFonts w:ascii="宋体" w:hAnsi="宋体" w:eastAsia="宋体" w:cs="宋体"/>
          <w:spacing w:val="-1"/>
          <w:sz w:val="24"/>
          <w:szCs w:val="24"/>
        </w:rPr>
        <w:t>/d</w:t>
      </w:r>
    </w:p>
    <w:p w14:paraId="1DA64BBE">
      <w:pPr>
        <w:spacing w:line="145" w:lineRule="exact"/>
      </w:pPr>
    </w:p>
    <w:tbl>
      <w:tblPr>
        <w:tblStyle w:val="5"/>
        <w:tblW w:w="8313"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842"/>
        <w:gridCol w:w="850"/>
        <w:gridCol w:w="992"/>
        <w:gridCol w:w="991"/>
        <w:gridCol w:w="991"/>
        <w:gridCol w:w="851"/>
        <w:gridCol w:w="1084"/>
      </w:tblGrid>
      <w:tr w14:paraId="75766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2" w:type="dxa"/>
            <w:vAlign w:val="top"/>
          </w:tcPr>
          <w:p w14:paraId="6BE0A505">
            <w:pPr>
              <w:pStyle w:val="6"/>
              <w:spacing w:before="63" w:line="229" w:lineRule="auto"/>
              <w:ind w:left="150"/>
            </w:pPr>
            <w:r>
              <w:rPr>
                <w:spacing w:val="5"/>
              </w:rPr>
              <w:t>序号</w:t>
            </w:r>
          </w:p>
        </w:tc>
        <w:tc>
          <w:tcPr>
            <w:tcW w:w="1842" w:type="dxa"/>
            <w:vAlign w:val="top"/>
          </w:tcPr>
          <w:p w14:paraId="73715C7B">
            <w:pPr>
              <w:pStyle w:val="6"/>
              <w:spacing w:before="64" w:line="228" w:lineRule="auto"/>
              <w:ind w:left="506"/>
            </w:pPr>
            <w:r>
              <w:rPr>
                <w:spacing w:val="6"/>
              </w:rPr>
              <w:t>用户名称</w:t>
            </w:r>
          </w:p>
        </w:tc>
        <w:tc>
          <w:tcPr>
            <w:tcW w:w="850" w:type="dxa"/>
            <w:vAlign w:val="top"/>
          </w:tcPr>
          <w:p w14:paraId="206F0A92">
            <w:pPr>
              <w:pStyle w:val="6"/>
              <w:spacing w:before="63" w:line="228" w:lineRule="auto"/>
              <w:ind w:left="120"/>
            </w:pPr>
            <w:r>
              <w:rPr>
                <w:spacing w:val="5"/>
              </w:rPr>
              <w:t>总水量</w:t>
            </w:r>
          </w:p>
        </w:tc>
        <w:tc>
          <w:tcPr>
            <w:tcW w:w="992" w:type="dxa"/>
            <w:vAlign w:val="top"/>
          </w:tcPr>
          <w:p w14:paraId="0B5C48EC">
            <w:pPr>
              <w:pStyle w:val="6"/>
              <w:spacing w:before="63" w:line="228" w:lineRule="auto"/>
              <w:ind w:left="187"/>
            </w:pPr>
            <w:r>
              <w:rPr>
                <w:spacing w:val="6"/>
              </w:rPr>
              <w:t>新水量</w:t>
            </w:r>
          </w:p>
        </w:tc>
        <w:tc>
          <w:tcPr>
            <w:tcW w:w="991" w:type="dxa"/>
            <w:vAlign w:val="top"/>
          </w:tcPr>
          <w:p w14:paraId="416606E8">
            <w:pPr>
              <w:pStyle w:val="6"/>
              <w:spacing w:before="58" w:line="228" w:lineRule="auto"/>
              <w:ind w:left="185"/>
            </w:pPr>
            <w:r>
              <w:rPr>
                <w:spacing w:val="6"/>
              </w:rPr>
              <w:t>循环水</w:t>
            </w:r>
          </w:p>
        </w:tc>
        <w:tc>
          <w:tcPr>
            <w:tcW w:w="991" w:type="dxa"/>
            <w:vAlign w:val="top"/>
          </w:tcPr>
          <w:p w14:paraId="727BAFA9">
            <w:pPr>
              <w:pStyle w:val="6"/>
              <w:spacing w:before="58" w:line="228" w:lineRule="auto"/>
              <w:ind w:left="188"/>
            </w:pPr>
            <w:r>
              <w:rPr>
                <w:spacing w:val="6"/>
              </w:rPr>
              <w:t>损耗水</w:t>
            </w:r>
          </w:p>
        </w:tc>
        <w:tc>
          <w:tcPr>
            <w:tcW w:w="851" w:type="dxa"/>
            <w:vAlign w:val="top"/>
          </w:tcPr>
          <w:p w14:paraId="278229AF">
            <w:pPr>
              <w:pStyle w:val="6"/>
              <w:spacing w:before="63" w:line="228" w:lineRule="auto"/>
              <w:ind w:left="222"/>
            </w:pPr>
            <w:r>
              <w:rPr>
                <w:spacing w:val="4"/>
              </w:rPr>
              <w:t>排水</w:t>
            </w:r>
          </w:p>
        </w:tc>
        <w:tc>
          <w:tcPr>
            <w:tcW w:w="1084" w:type="dxa"/>
            <w:vAlign w:val="top"/>
          </w:tcPr>
          <w:p w14:paraId="6FC6E300">
            <w:pPr>
              <w:pStyle w:val="6"/>
              <w:spacing w:before="63" w:line="228" w:lineRule="auto"/>
              <w:ind w:left="127"/>
            </w:pPr>
            <w:r>
              <w:rPr>
                <w:spacing w:val="7"/>
              </w:rPr>
              <w:t>排水去向</w:t>
            </w:r>
          </w:p>
        </w:tc>
      </w:tr>
      <w:tr w14:paraId="5BE91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60DE03D1">
            <w:pPr>
              <w:pStyle w:val="6"/>
              <w:spacing w:before="60" w:line="264" w:lineRule="exact"/>
              <w:ind w:left="325"/>
            </w:pPr>
            <w:r>
              <w:rPr>
                <w:position w:val="1"/>
              </w:rPr>
              <w:t>1</w:t>
            </w:r>
          </w:p>
        </w:tc>
        <w:tc>
          <w:tcPr>
            <w:tcW w:w="1842" w:type="dxa"/>
            <w:vAlign w:val="top"/>
          </w:tcPr>
          <w:p w14:paraId="47991CE2">
            <w:pPr>
              <w:pStyle w:val="6"/>
              <w:spacing w:before="60" w:line="227" w:lineRule="auto"/>
              <w:ind w:left="504"/>
            </w:pPr>
            <w:r>
              <w:rPr>
                <w:spacing w:val="7"/>
              </w:rPr>
              <w:t>采矿工艺</w:t>
            </w:r>
          </w:p>
        </w:tc>
        <w:tc>
          <w:tcPr>
            <w:tcW w:w="850" w:type="dxa"/>
            <w:vAlign w:val="top"/>
          </w:tcPr>
          <w:p w14:paraId="148C8B92">
            <w:pPr>
              <w:pStyle w:val="6"/>
              <w:spacing w:before="60" w:line="264" w:lineRule="exact"/>
              <w:ind w:left="286"/>
            </w:pPr>
            <w:r>
              <w:rPr>
                <w:spacing w:val="-3"/>
                <w:position w:val="1"/>
              </w:rPr>
              <w:t>150</w:t>
            </w:r>
          </w:p>
        </w:tc>
        <w:tc>
          <w:tcPr>
            <w:tcW w:w="992" w:type="dxa"/>
            <w:vAlign w:val="top"/>
          </w:tcPr>
          <w:p w14:paraId="2DD40618">
            <w:pPr>
              <w:pStyle w:val="6"/>
              <w:spacing w:before="60" w:line="264" w:lineRule="exact"/>
              <w:ind w:left="358"/>
            </w:pPr>
            <w:r>
              <w:rPr>
                <w:spacing w:val="-3"/>
                <w:position w:val="1"/>
              </w:rPr>
              <w:t>150</w:t>
            </w:r>
          </w:p>
        </w:tc>
        <w:tc>
          <w:tcPr>
            <w:tcW w:w="991" w:type="dxa"/>
            <w:vAlign w:val="top"/>
          </w:tcPr>
          <w:p w14:paraId="73420FFA">
            <w:pPr>
              <w:pStyle w:val="6"/>
              <w:spacing w:before="60" w:line="233" w:lineRule="auto"/>
              <w:ind w:left="449"/>
            </w:pPr>
            <w:r>
              <w:t>/</w:t>
            </w:r>
          </w:p>
        </w:tc>
        <w:tc>
          <w:tcPr>
            <w:tcW w:w="991" w:type="dxa"/>
            <w:vAlign w:val="top"/>
          </w:tcPr>
          <w:p w14:paraId="33B29EC9">
            <w:pPr>
              <w:pStyle w:val="6"/>
              <w:spacing w:before="60" w:line="264" w:lineRule="exact"/>
              <w:ind w:left="360"/>
            </w:pPr>
            <w:r>
              <w:rPr>
                <w:spacing w:val="-3"/>
                <w:position w:val="1"/>
              </w:rPr>
              <w:t>150</w:t>
            </w:r>
          </w:p>
        </w:tc>
        <w:tc>
          <w:tcPr>
            <w:tcW w:w="851" w:type="dxa"/>
            <w:vAlign w:val="top"/>
          </w:tcPr>
          <w:p w14:paraId="66AEB756">
            <w:pPr>
              <w:pStyle w:val="6"/>
              <w:spacing w:before="60" w:line="233" w:lineRule="auto"/>
              <w:ind w:left="379"/>
            </w:pPr>
            <w:r>
              <w:t>/</w:t>
            </w:r>
          </w:p>
        </w:tc>
        <w:tc>
          <w:tcPr>
            <w:tcW w:w="1084" w:type="dxa"/>
            <w:vAlign w:val="top"/>
          </w:tcPr>
          <w:p w14:paraId="23754BF2">
            <w:pPr>
              <w:pStyle w:val="6"/>
              <w:spacing w:before="60" w:line="233" w:lineRule="auto"/>
              <w:ind w:left="493"/>
            </w:pPr>
            <w:r>
              <w:t>/</w:t>
            </w:r>
          </w:p>
        </w:tc>
      </w:tr>
      <w:tr w14:paraId="341BC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5E1C447F">
            <w:pPr>
              <w:pStyle w:val="6"/>
              <w:spacing w:before="61" w:line="242" w:lineRule="auto"/>
              <w:ind w:left="312"/>
            </w:pPr>
            <w:r>
              <w:t>2</w:t>
            </w:r>
          </w:p>
        </w:tc>
        <w:tc>
          <w:tcPr>
            <w:tcW w:w="1842" w:type="dxa"/>
            <w:vAlign w:val="top"/>
          </w:tcPr>
          <w:p w14:paraId="62B7C683">
            <w:pPr>
              <w:pStyle w:val="6"/>
              <w:spacing w:before="61" w:line="228" w:lineRule="auto"/>
              <w:ind w:left="398"/>
            </w:pPr>
            <w:r>
              <w:rPr>
                <w:spacing w:val="8"/>
              </w:rPr>
              <w:t>废石场降尘</w:t>
            </w:r>
          </w:p>
        </w:tc>
        <w:tc>
          <w:tcPr>
            <w:tcW w:w="850" w:type="dxa"/>
            <w:vAlign w:val="top"/>
          </w:tcPr>
          <w:p w14:paraId="1338178A">
            <w:pPr>
              <w:pStyle w:val="6"/>
              <w:spacing w:before="61" w:line="242" w:lineRule="auto"/>
              <w:ind w:left="377"/>
            </w:pPr>
            <w:r>
              <w:t>8</w:t>
            </w:r>
          </w:p>
        </w:tc>
        <w:tc>
          <w:tcPr>
            <w:tcW w:w="992" w:type="dxa"/>
            <w:vAlign w:val="top"/>
          </w:tcPr>
          <w:p w14:paraId="2BF8B6D1">
            <w:pPr>
              <w:pStyle w:val="6"/>
              <w:spacing w:before="61" w:line="242" w:lineRule="auto"/>
              <w:ind w:left="449"/>
            </w:pPr>
            <w:r>
              <w:t>8</w:t>
            </w:r>
          </w:p>
        </w:tc>
        <w:tc>
          <w:tcPr>
            <w:tcW w:w="991" w:type="dxa"/>
            <w:vAlign w:val="top"/>
          </w:tcPr>
          <w:p w14:paraId="30E1BD82">
            <w:pPr>
              <w:pStyle w:val="6"/>
              <w:spacing w:before="61" w:line="233" w:lineRule="auto"/>
              <w:ind w:left="449"/>
            </w:pPr>
            <w:r>
              <w:t>/</w:t>
            </w:r>
          </w:p>
        </w:tc>
        <w:tc>
          <w:tcPr>
            <w:tcW w:w="991" w:type="dxa"/>
            <w:vAlign w:val="top"/>
          </w:tcPr>
          <w:p w14:paraId="4EC7E424">
            <w:pPr>
              <w:pStyle w:val="6"/>
              <w:spacing w:before="61" w:line="242" w:lineRule="auto"/>
              <w:ind w:left="450"/>
            </w:pPr>
            <w:r>
              <w:t>8</w:t>
            </w:r>
          </w:p>
        </w:tc>
        <w:tc>
          <w:tcPr>
            <w:tcW w:w="851" w:type="dxa"/>
            <w:vAlign w:val="top"/>
          </w:tcPr>
          <w:p w14:paraId="003E365B">
            <w:pPr>
              <w:pStyle w:val="6"/>
              <w:spacing w:before="61" w:line="233" w:lineRule="auto"/>
              <w:ind w:left="379"/>
            </w:pPr>
            <w:r>
              <w:t>/</w:t>
            </w:r>
          </w:p>
        </w:tc>
        <w:tc>
          <w:tcPr>
            <w:tcW w:w="1084" w:type="dxa"/>
            <w:vAlign w:val="top"/>
          </w:tcPr>
          <w:p w14:paraId="6A5C127A">
            <w:pPr>
              <w:pStyle w:val="6"/>
              <w:spacing w:before="61" w:line="233" w:lineRule="auto"/>
              <w:ind w:left="493"/>
            </w:pPr>
            <w:r>
              <w:t>/</w:t>
            </w:r>
          </w:p>
        </w:tc>
      </w:tr>
      <w:tr w14:paraId="78486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12" w:type="dxa"/>
            <w:vAlign w:val="top"/>
          </w:tcPr>
          <w:p w14:paraId="12BC947A">
            <w:pPr>
              <w:pStyle w:val="6"/>
              <w:spacing w:before="100" w:line="268" w:lineRule="exact"/>
              <w:ind w:left="314"/>
            </w:pPr>
            <w:r>
              <w:rPr>
                <w:position w:val="1"/>
              </w:rPr>
              <w:t>3</w:t>
            </w:r>
          </w:p>
        </w:tc>
        <w:tc>
          <w:tcPr>
            <w:tcW w:w="1842" w:type="dxa"/>
            <w:vAlign w:val="top"/>
          </w:tcPr>
          <w:p w14:paraId="50104171">
            <w:pPr>
              <w:pStyle w:val="6"/>
              <w:spacing w:before="99" w:line="228" w:lineRule="auto"/>
              <w:ind w:left="298"/>
            </w:pPr>
            <w:r>
              <w:rPr>
                <w:spacing w:val="7"/>
              </w:rPr>
              <w:t>原矿堆场降尘</w:t>
            </w:r>
          </w:p>
        </w:tc>
        <w:tc>
          <w:tcPr>
            <w:tcW w:w="850" w:type="dxa"/>
            <w:vAlign w:val="top"/>
          </w:tcPr>
          <w:p w14:paraId="06C6669E">
            <w:pPr>
              <w:pStyle w:val="6"/>
              <w:spacing w:before="100" w:line="268" w:lineRule="exact"/>
              <w:ind w:left="380"/>
            </w:pPr>
            <w:r>
              <w:rPr>
                <w:position w:val="1"/>
              </w:rPr>
              <w:t>5</w:t>
            </w:r>
          </w:p>
        </w:tc>
        <w:tc>
          <w:tcPr>
            <w:tcW w:w="992" w:type="dxa"/>
            <w:vAlign w:val="top"/>
          </w:tcPr>
          <w:p w14:paraId="716CDD67">
            <w:pPr>
              <w:pStyle w:val="6"/>
              <w:spacing w:before="100" w:line="268" w:lineRule="exact"/>
              <w:ind w:left="452"/>
            </w:pPr>
            <w:r>
              <w:rPr>
                <w:position w:val="1"/>
              </w:rPr>
              <w:t>5</w:t>
            </w:r>
          </w:p>
        </w:tc>
        <w:tc>
          <w:tcPr>
            <w:tcW w:w="991" w:type="dxa"/>
            <w:vAlign w:val="top"/>
          </w:tcPr>
          <w:p w14:paraId="37F29F9C">
            <w:pPr>
              <w:pStyle w:val="6"/>
              <w:spacing w:before="99" w:line="233" w:lineRule="auto"/>
              <w:ind w:left="449"/>
            </w:pPr>
            <w:r>
              <w:t>/</w:t>
            </w:r>
          </w:p>
        </w:tc>
        <w:tc>
          <w:tcPr>
            <w:tcW w:w="991" w:type="dxa"/>
            <w:vAlign w:val="top"/>
          </w:tcPr>
          <w:p w14:paraId="391C4373">
            <w:pPr>
              <w:pStyle w:val="6"/>
              <w:spacing w:before="100" w:line="268" w:lineRule="exact"/>
              <w:ind w:left="454"/>
            </w:pPr>
            <w:r>
              <w:rPr>
                <w:position w:val="1"/>
              </w:rPr>
              <w:t>5</w:t>
            </w:r>
          </w:p>
        </w:tc>
        <w:tc>
          <w:tcPr>
            <w:tcW w:w="851" w:type="dxa"/>
            <w:vAlign w:val="top"/>
          </w:tcPr>
          <w:p w14:paraId="65713C38">
            <w:pPr>
              <w:pStyle w:val="6"/>
              <w:spacing w:before="99" w:line="233" w:lineRule="auto"/>
              <w:ind w:left="379"/>
            </w:pPr>
            <w:r>
              <w:t>/</w:t>
            </w:r>
          </w:p>
        </w:tc>
        <w:tc>
          <w:tcPr>
            <w:tcW w:w="1084" w:type="dxa"/>
            <w:vAlign w:val="top"/>
          </w:tcPr>
          <w:p w14:paraId="220392F7">
            <w:pPr>
              <w:pStyle w:val="6"/>
              <w:spacing w:before="99" w:line="233" w:lineRule="auto"/>
              <w:ind w:left="493"/>
            </w:pPr>
            <w:r>
              <w:t>/</w:t>
            </w:r>
          </w:p>
        </w:tc>
      </w:tr>
      <w:tr w14:paraId="1A692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5E6FF937">
            <w:pPr>
              <w:pStyle w:val="6"/>
              <w:spacing w:before="62" w:line="241" w:lineRule="auto"/>
              <w:ind w:left="309"/>
            </w:pPr>
            <w:r>
              <w:t>4</w:t>
            </w:r>
          </w:p>
        </w:tc>
        <w:tc>
          <w:tcPr>
            <w:tcW w:w="1842" w:type="dxa"/>
            <w:vAlign w:val="top"/>
          </w:tcPr>
          <w:p w14:paraId="0A8A802F">
            <w:pPr>
              <w:pStyle w:val="6"/>
              <w:spacing w:before="62" w:line="228" w:lineRule="auto"/>
              <w:ind w:left="127"/>
            </w:pPr>
            <w:r>
              <w:rPr>
                <w:spacing w:val="3"/>
              </w:rPr>
              <w:t>1400t/d</w:t>
            </w:r>
            <w:r>
              <w:rPr>
                <w:spacing w:val="-33"/>
              </w:rPr>
              <w:t xml:space="preserve"> </w:t>
            </w:r>
            <w:r>
              <w:rPr>
                <w:spacing w:val="3"/>
              </w:rPr>
              <w:t>选矿用水</w:t>
            </w:r>
          </w:p>
        </w:tc>
        <w:tc>
          <w:tcPr>
            <w:tcW w:w="850" w:type="dxa"/>
            <w:vAlign w:val="top"/>
          </w:tcPr>
          <w:p w14:paraId="54846BC0">
            <w:pPr>
              <w:pStyle w:val="6"/>
              <w:spacing w:before="62" w:line="241" w:lineRule="auto"/>
              <w:ind w:left="223"/>
            </w:pPr>
            <w:r>
              <w:rPr>
                <w:spacing w:val="2"/>
              </w:rPr>
              <w:t>2730</w:t>
            </w:r>
          </w:p>
        </w:tc>
        <w:tc>
          <w:tcPr>
            <w:tcW w:w="992" w:type="dxa"/>
            <w:vAlign w:val="top"/>
          </w:tcPr>
          <w:p w14:paraId="3EF7F7B0">
            <w:pPr>
              <w:pStyle w:val="6"/>
              <w:spacing w:before="62" w:line="241" w:lineRule="auto"/>
              <w:ind w:left="358"/>
            </w:pPr>
            <w:r>
              <w:rPr>
                <w:spacing w:val="-3"/>
              </w:rPr>
              <w:t>140</w:t>
            </w:r>
          </w:p>
        </w:tc>
        <w:tc>
          <w:tcPr>
            <w:tcW w:w="991" w:type="dxa"/>
            <w:vAlign w:val="top"/>
          </w:tcPr>
          <w:p w14:paraId="42F425D6">
            <w:pPr>
              <w:pStyle w:val="6"/>
              <w:spacing w:before="62" w:line="241" w:lineRule="auto"/>
              <w:ind w:left="294"/>
            </w:pPr>
            <w:r>
              <w:rPr>
                <w:spacing w:val="2"/>
              </w:rPr>
              <w:t>2600</w:t>
            </w:r>
          </w:p>
        </w:tc>
        <w:tc>
          <w:tcPr>
            <w:tcW w:w="991" w:type="dxa"/>
            <w:vAlign w:val="top"/>
          </w:tcPr>
          <w:p w14:paraId="7FDEDA8F">
            <w:pPr>
              <w:pStyle w:val="6"/>
              <w:spacing w:before="62" w:line="241" w:lineRule="auto"/>
              <w:ind w:left="360"/>
            </w:pPr>
            <w:r>
              <w:rPr>
                <w:spacing w:val="-3"/>
              </w:rPr>
              <w:t>140</w:t>
            </w:r>
          </w:p>
        </w:tc>
        <w:tc>
          <w:tcPr>
            <w:tcW w:w="851" w:type="dxa"/>
            <w:vAlign w:val="top"/>
          </w:tcPr>
          <w:p w14:paraId="7678E243">
            <w:pPr>
              <w:pStyle w:val="6"/>
              <w:spacing w:before="62" w:line="233" w:lineRule="auto"/>
              <w:ind w:left="379"/>
            </w:pPr>
            <w:r>
              <w:t>/</w:t>
            </w:r>
          </w:p>
        </w:tc>
        <w:tc>
          <w:tcPr>
            <w:tcW w:w="1084" w:type="dxa"/>
            <w:vAlign w:val="top"/>
          </w:tcPr>
          <w:p w14:paraId="278F1821">
            <w:pPr>
              <w:pStyle w:val="6"/>
              <w:spacing w:before="62" w:line="233" w:lineRule="auto"/>
              <w:ind w:left="493"/>
            </w:pPr>
            <w:r>
              <w:t>/</w:t>
            </w:r>
          </w:p>
        </w:tc>
      </w:tr>
      <w:tr w14:paraId="4E446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0DC4D1BA">
            <w:pPr>
              <w:pStyle w:val="6"/>
              <w:spacing w:before="63" w:line="241" w:lineRule="auto"/>
              <w:ind w:left="314"/>
            </w:pPr>
            <w:r>
              <w:t>5</w:t>
            </w:r>
          </w:p>
        </w:tc>
        <w:tc>
          <w:tcPr>
            <w:tcW w:w="1842" w:type="dxa"/>
            <w:vAlign w:val="top"/>
          </w:tcPr>
          <w:p w14:paraId="6C458597">
            <w:pPr>
              <w:pStyle w:val="6"/>
              <w:spacing w:before="63" w:line="228" w:lineRule="auto"/>
              <w:ind w:left="114"/>
            </w:pPr>
            <w:r>
              <w:rPr>
                <w:spacing w:val="5"/>
              </w:rPr>
              <w:t>2000t/d</w:t>
            </w:r>
            <w:r>
              <w:rPr>
                <w:spacing w:val="-42"/>
              </w:rPr>
              <w:t xml:space="preserve"> </w:t>
            </w:r>
            <w:r>
              <w:rPr>
                <w:spacing w:val="5"/>
              </w:rPr>
              <w:t>选矿用水</w:t>
            </w:r>
          </w:p>
        </w:tc>
        <w:tc>
          <w:tcPr>
            <w:tcW w:w="850" w:type="dxa"/>
            <w:vAlign w:val="top"/>
          </w:tcPr>
          <w:p w14:paraId="347EF50E">
            <w:pPr>
              <w:pStyle w:val="6"/>
              <w:spacing w:before="63" w:line="241" w:lineRule="auto"/>
              <w:ind w:left="219"/>
            </w:pPr>
            <w:r>
              <w:rPr>
                <w:spacing w:val="2"/>
              </w:rPr>
              <w:t>4120</w:t>
            </w:r>
          </w:p>
        </w:tc>
        <w:tc>
          <w:tcPr>
            <w:tcW w:w="992" w:type="dxa"/>
            <w:vAlign w:val="top"/>
          </w:tcPr>
          <w:p w14:paraId="420C7261">
            <w:pPr>
              <w:pStyle w:val="6"/>
              <w:spacing w:before="63" w:line="241" w:lineRule="auto"/>
              <w:ind w:left="345"/>
            </w:pPr>
            <w:r>
              <w:rPr>
                <w:spacing w:val="1"/>
              </w:rPr>
              <w:t>210</w:t>
            </w:r>
          </w:p>
        </w:tc>
        <w:tc>
          <w:tcPr>
            <w:tcW w:w="991" w:type="dxa"/>
            <w:vAlign w:val="top"/>
          </w:tcPr>
          <w:p w14:paraId="4BDE781A">
            <w:pPr>
              <w:pStyle w:val="6"/>
              <w:spacing w:before="63" w:line="241" w:lineRule="auto"/>
              <w:ind w:left="295"/>
            </w:pPr>
            <w:r>
              <w:rPr>
                <w:spacing w:val="2"/>
              </w:rPr>
              <w:t>3900</w:t>
            </w:r>
          </w:p>
        </w:tc>
        <w:tc>
          <w:tcPr>
            <w:tcW w:w="991" w:type="dxa"/>
            <w:vAlign w:val="top"/>
          </w:tcPr>
          <w:p w14:paraId="29875AFC">
            <w:pPr>
              <w:pStyle w:val="6"/>
              <w:spacing w:before="63" w:line="241" w:lineRule="auto"/>
              <w:ind w:left="347"/>
            </w:pPr>
            <w:r>
              <w:rPr>
                <w:spacing w:val="1"/>
              </w:rPr>
              <w:t>210</w:t>
            </w:r>
          </w:p>
        </w:tc>
        <w:tc>
          <w:tcPr>
            <w:tcW w:w="851" w:type="dxa"/>
            <w:vAlign w:val="top"/>
          </w:tcPr>
          <w:p w14:paraId="313AD1B4">
            <w:pPr>
              <w:rPr>
                <w:rFonts w:ascii="Arial"/>
                <w:sz w:val="21"/>
              </w:rPr>
            </w:pPr>
          </w:p>
        </w:tc>
        <w:tc>
          <w:tcPr>
            <w:tcW w:w="1084" w:type="dxa"/>
            <w:vAlign w:val="top"/>
          </w:tcPr>
          <w:p w14:paraId="707729B4">
            <w:pPr>
              <w:rPr>
                <w:rFonts w:ascii="Arial"/>
                <w:sz w:val="21"/>
              </w:rPr>
            </w:pPr>
          </w:p>
        </w:tc>
      </w:tr>
      <w:tr w14:paraId="371C8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0C5DAA3C">
            <w:pPr>
              <w:pStyle w:val="6"/>
              <w:spacing w:before="65"/>
              <w:ind w:left="311"/>
            </w:pPr>
            <w:r>
              <w:t>6</w:t>
            </w:r>
          </w:p>
        </w:tc>
        <w:tc>
          <w:tcPr>
            <w:tcW w:w="1842" w:type="dxa"/>
            <w:vAlign w:val="top"/>
          </w:tcPr>
          <w:p w14:paraId="08BB9BB2">
            <w:pPr>
              <w:pStyle w:val="6"/>
              <w:spacing w:before="64" w:line="228" w:lineRule="auto"/>
              <w:ind w:left="399"/>
            </w:pPr>
            <w:r>
              <w:rPr>
                <w:spacing w:val="8"/>
              </w:rPr>
              <w:t>尾矿库降尘</w:t>
            </w:r>
          </w:p>
        </w:tc>
        <w:tc>
          <w:tcPr>
            <w:tcW w:w="850" w:type="dxa"/>
            <w:vAlign w:val="top"/>
          </w:tcPr>
          <w:p w14:paraId="0207BCB3">
            <w:pPr>
              <w:pStyle w:val="6"/>
              <w:spacing w:before="65"/>
              <w:ind w:left="380"/>
            </w:pPr>
            <w:r>
              <w:t>5</w:t>
            </w:r>
          </w:p>
        </w:tc>
        <w:tc>
          <w:tcPr>
            <w:tcW w:w="992" w:type="dxa"/>
            <w:vAlign w:val="top"/>
          </w:tcPr>
          <w:p w14:paraId="7B5EF691">
            <w:pPr>
              <w:pStyle w:val="6"/>
              <w:spacing w:before="65"/>
              <w:ind w:left="452"/>
            </w:pPr>
            <w:r>
              <w:t>5</w:t>
            </w:r>
          </w:p>
        </w:tc>
        <w:tc>
          <w:tcPr>
            <w:tcW w:w="991" w:type="dxa"/>
            <w:vAlign w:val="top"/>
          </w:tcPr>
          <w:p w14:paraId="49D60E34">
            <w:pPr>
              <w:pStyle w:val="6"/>
              <w:spacing w:before="64" w:line="233" w:lineRule="auto"/>
              <w:ind w:left="449"/>
            </w:pPr>
            <w:r>
              <w:t>/</w:t>
            </w:r>
          </w:p>
        </w:tc>
        <w:tc>
          <w:tcPr>
            <w:tcW w:w="991" w:type="dxa"/>
            <w:vAlign w:val="top"/>
          </w:tcPr>
          <w:p w14:paraId="15BA48FD">
            <w:pPr>
              <w:pStyle w:val="6"/>
              <w:spacing w:before="65"/>
              <w:ind w:left="454"/>
            </w:pPr>
            <w:r>
              <w:t>5</w:t>
            </w:r>
          </w:p>
        </w:tc>
        <w:tc>
          <w:tcPr>
            <w:tcW w:w="851" w:type="dxa"/>
            <w:vAlign w:val="top"/>
          </w:tcPr>
          <w:p w14:paraId="0D487A2C">
            <w:pPr>
              <w:pStyle w:val="6"/>
              <w:spacing w:before="64" w:line="233" w:lineRule="auto"/>
              <w:ind w:left="379"/>
            </w:pPr>
            <w:r>
              <w:t>/</w:t>
            </w:r>
          </w:p>
        </w:tc>
        <w:tc>
          <w:tcPr>
            <w:tcW w:w="1084" w:type="dxa"/>
            <w:vAlign w:val="top"/>
          </w:tcPr>
          <w:p w14:paraId="3171246D">
            <w:pPr>
              <w:pStyle w:val="6"/>
              <w:spacing w:before="64" w:line="233" w:lineRule="auto"/>
              <w:ind w:left="493"/>
            </w:pPr>
            <w:r>
              <w:t>/</w:t>
            </w:r>
          </w:p>
        </w:tc>
      </w:tr>
      <w:tr w14:paraId="68331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40A0FF92">
            <w:pPr>
              <w:pStyle w:val="6"/>
              <w:spacing w:before="63" w:line="241" w:lineRule="auto"/>
              <w:ind w:left="314"/>
            </w:pPr>
            <w:r>
              <w:t>7</w:t>
            </w:r>
          </w:p>
        </w:tc>
        <w:tc>
          <w:tcPr>
            <w:tcW w:w="1842" w:type="dxa"/>
            <w:vAlign w:val="top"/>
          </w:tcPr>
          <w:p w14:paraId="5151DD8D">
            <w:pPr>
              <w:pStyle w:val="6"/>
              <w:spacing w:before="63" w:line="228" w:lineRule="auto"/>
              <w:ind w:left="293"/>
            </w:pPr>
            <w:r>
              <w:rPr>
                <w:spacing w:val="8"/>
              </w:rPr>
              <w:t>运输道路降尘</w:t>
            </w:r>
          </w:p>
        </w:tc>
        <w:tc>
          <w:tcPr>
            <w:tcW w:w="850" w:type="dxa"/>
            <w:vAlign w:val="top"/>
          </w:tcPr>
          <w:p w14:paraId="7D1F3B30">
            <w:pPr>
              <w:pStyle w:val="6"/>
              <w:spacing w:before="63" w:line="241" w:lineRule="auto"/>
              <w:ind w:left="339"/>
            </w:pPr>
            <w:r>
              <w:rPr>
                <w:spacing w:val="-7"/>
              </w:rPr>
              <w:t>10</w:t>
            </w:r>
          </w:p>
        </w:tc>
        <w:tc>
          <w:tcPr>
            <w:tcW w:w="992" w:type="dxa"/>
            <w:vAlign w:val="top"/>
          </w:tcPr>
          <w:p w14:paraId="4CF112DE">
            <w:pPr>
              <w:pStyle w:val="6"/>
              <w:spacing w:before="63" w:line="241" w:lineRule="auto"/>
              <w:ind w:left="411"/>
            </w:pPr>
            <w:r>
              <w:rPr>
                <w:spacing w:val="-7"/>
              </w:rPr>
              <w:t>10</w:t>
            </w:r>
          </w:p>
        </w:tc>
        <w:tc>
          <w:tcPr>
            <w:tcW w:w="991" w:type="dxa"/>
            <w:vAlign w:val="top"/>
          </w:tcPr>
          <w:p w14:paraId="25A450C0">
            <w:pPr>
              <w:pStyle w:val="6"/>
              <w:spacing w:before="63" w:line="233" w:lineRule="auto"/>
              <w:ind w:left="449"/>
            </w:pPr>
            <w:r>
              <w:t>/</w:t>
            </w:r>
          </w:p>
        </w:tc>
        <w:tc>
          <w:tcPr>
            <w:tcW w:w="991" w:type="dxa"/>
            <w:vAlign w:val="top"/>
          </w:tcPr>
          <w:p w14:paraId="6CA0CA9F">
            <w:pPr>
              <w:pStyle w:val="6"/>
              <w:spacing w:before="63" w:line="241" w:lineRule="auto"/>
              <w:ind w:left="412"/>
            </w:pPr>
            <w:r>
              <w:rPr>
                <w:spacing w:val="-7"/>
              </w:rPr>
              <w:t>10</w:t>
            </w:r>
          </w:p>
        </w:tc>
        <w:tc>
          <w:tcPr>
            <w:tcW w:w="851" w:type="dxa"/>
            <w:vAlign w:val="top"/>
          </w:tcPr>
          <w:p w14:paraId="1C307FE9">
            <w:pPr>
              <w:pStyle w:val="6"/>
              <w:spacing w:before="63" w:line="233" w:lineRule="auto"/>
              <w:ind w:left="379"/>
            </w:pPr>
            <w:r>
              <w:t>/</w:t>
            </w:r>
          </w:p>
        </w:tc>
        <w:tc>
          <w:tcPr>
            <w:tcW w:w="1084" w:type="dxa"/>
            <w:vAlign w:val="top"/>
          </w:tcPr>
          <w:p w14:paraId="08DB5B0F">
            <w:pPr>
              <w:pStyle w:val="6"/>
              <w:spacing w:before="63" w:line="233" w:lineRule="auto"/>
              <w:ind w:left="493"/>
            </w:pPr>
            <w:r>
              <w:t>/</w:t>
            </w:r>
          </w:p>
        </w:tc>
      </w:tr>
      <w:tr w14:paraId="6DEAC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2BDF448E">
            <w:pPr>
              <w:pStyle w:val="6"/>
              <w:spacing w:before="63" w:line="241" w:lineRule="auto"/>
              <w:ind w:left="310"/>
            </w:pPr>
            <w:r>
              <w:t>8</w:t>
            </w:r>
          </w:p>
        </w:tc>
        <w:tc>
          <w:tcPr>
            <w:tcW w:w="1842" w:type="dxa"/>
            <w:vAlign w:val="top"/>
          </w:tcPr>
          <w:p w14:paraId="55A2212C">
            <w:pPr>
              <w:pStyle w:val="6"/>
              <w:spacing w:before="63" w:line="228" w:lineRule="auto"/>
              <w:ind w:left="293"/>
            </w:pPr>
            <w:r>
              <w:rPr>
                <w:spacing w:val="8"/>
              </w:rPr>
              <w:t>井下填充用水</w:t>
            </w:r>
          </w:p>
        </w:tc>
        <w:tc>
          <w:tcPr>
            <w:tcW w:w="850" w:type="dxa"/>
            <w:vAlign w:val="top"/>
          </w:tcPr>
          <w:p w14:paraId="077B3BCF">
            <w:pPr>
              <w:pStyle w:val="6"/>
              <w:spacing w:before="63" w:line="241" w:lineRule="auto"/>
              <w:ind w:left="273"/>
            </w:pPr>
            <w:r>
              <w:rPr>
                <w:spacing w:val="1"/>
              </w:rPr>
              <w:t>272</w:t>
            </w:r>
          </w:p>
        </w:tc>
        <w:tc>
          <w:tcPr>
            <w:tcW w:w="992" w:type="dxa"/>
            <w:vAlign w:val="top"/>
          </w:tcPr>
          <w:p w14:paraId="1F3B61B5">
            <w:pPr>
              <w:pStyle w:val="6"/>
              <w:spacing w:before="63" w:line="241" w:lineRule="auto"/>
              <w:ind w:left="345"/>
            </w:pPr>
            <w:r>
              <w:rPr>
                <w:spacing w:val="1"/>
              </w:rPr>
              <w:t>272</w:t>
            </w:r>
          </w:p>
        </w:tc>
        <w:tc>
          <w:tcPr>
            <w:tcW w:w="991" w:type="dxa"/>
            <w:vAlign w:val="top"/>
          </w:tcPr>
          <w:p w14:paraId="089FB3FF">
            <w:pPr>
              <w:pStyle w:val="6"/>
              <w:spacing w:before="63" w:line="233" w:lineRule="auto"/>
              <w:ind w:left="449"/>
            </w:pPr>
            <w:r>
              <w:t>/</w:t>
            </w:r>
          </w:p>
        </w:tc>
        <w:tc>
          <w:tcPr>
            <w:tcW w:w="991" w:type="dxa"/>
            <w:vAlign w:val="top"/>
          </w:tcPr>
          <w:p w14:paraId="58D2B39E">
            <w:pPr>
              <w:pStyle w:val="6"/>
              <w:spacing w:before="63" w:line="241" w:lineRule="auto"/>
              <w:ind w:left="347"/>
            </w:pPr>
            <w:r>
              <w:rPr>
                <w:spacing w:val="1"/>
              </w:rPr>
              <w:t>272</w:t>
            </w:r>
          </w:p>
        </w:tc>
        <w:tc>
          <w:tcPr>
            <w:tcW w:w="851" w:type="dxa"/>
            <w:vAlign w:val="top"/>
          </w:tcPr>
          <w:p w14:paraId="6743CB6B">
            <w:pPr>
              <w:pStyle w:val="6"/>
              <w:spacing w:before="63" w:line="233" w:lineRule="auto"/>
              <w:ind w:left="379"/>
            </w:pPr>
            <w:r>
              <w:t>/</w:t>
            </w:r>
          </w:p>
        </w:tc>
        <w:tc>
          <w:tcPr>
            <w:tcW w:w="1084" w:type="dxa"/>
            <w:vAlign w:val="top"/>
          </w:tcPr>
          <w:p w14:paraId="2ADB7000">
            <w:pPr>
              <w:pStyle w:val="6"/>
              <w:spacing w:before="63" w:line="233" w:lineRule="auto"/>
              <w:ind w:left="493"/>
            </w:pPr>
            <w:r>
              <w:t>/</w:t>
            </w:r>
          </w:p>
        </w:tc>
      </w:tr>
      <w:tr w14:paraId="1FB04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43C088E8">
            <w:pPr>
              <w:pStyle w:val="6"/>
              <w:spacing w:before="65"/>
              <w:ind w:left="310"/>
            </w:pPr>
            <w:r>
              <w:t>9</w:t>
            </w:r>
          </w:p>
        </w:tc>
        <w:tc>
          <w:tcPr>
            <w:tcW w:w="1842" w:type="dxa"/>
            <w:vAlign w:val="top"/>
          </w:tcPr>
          <w:p w14:paraId="6162885F">
            <w:pPr>
              <w:pStyle w:val="6"/>
              <w:spacing w:before="64" w:line="228" w:lineRule="auto"/>
              <w:ind w:left="506"/>
            </w:pPr>
            <w:r>
              <w:rPr>
                <w:spacing w:val="6"/>
              </w:rPr>
              <w:t>生活用水</w:t>
            </w:r>
          </w:p>
        </w:tc>
        <w:tc>
          <w:tcPr>
            <w:tcW w:w="850" w:type="dxa"/>
            <w:vAlign w:val="top"/>
          </w:tcPr>
          <w:p w14:paraId="28441ABE">
            <w:pPr>
              <w:pStyle w:val="6"/>
              <w:spacing w:before="65"/>
              <w:ind w:left="324"/>
            </w:pPr>
            <w:r>
              <w:t>80</w:t>
            </w:r>
          </w:p>
        </w:tc>
        <w:tc>
          <w:tcPr>
            <w:tcW w:w="992" w:type="dxa"/>
            <w:vAlign w:val="top"/>
          </w:tcPr>
          <w:p w14:paraId="5BCE3D87">
            <w:pPr>
              <w:pStyle w:val="6"/>
              <w:spacing w:before="65"/>
              <w:ind w:left="396"/>
            </w:pPr>
            <w:r>
              <w:t>80</w:t>
            </w:r>
          </w:p>
        </w:tc>
        <w:tc>
          <w:tcPr>
            <w:tcW w:w="991" w:type="dxa"/>
            <w:vAlign w:val="top"/>
          </w:tcPr>
          <w:p w14:paraId="2BB8FD07">
            <w:pPr>
              <w:pStyle w:val="6"/>
              <w:spacing w:before="64" w:line="233" w:lineRule="auto"/>
              <w:ind w:left="449"/>
            </w:pPr>
            <w:r>
              <w:t>/</w:t>
            </w:r>
          </w:p>
        </w:tc>
        <w:tc>
          <w:tcPr>
            <w:tcW w:w="991" w:type="dxa"/>
            <w:vAlign w:val="top"/>
          </w:tcPr>
          <w:p w14:paraId="50927E52">
            <w:pPr>
              <w:pStyle w:val="6"/>
              <w:spacing w:before="65"/>
              <w:ind w:left="412"/>
            </w:pPr>
            <w:r>
              <w:rPr>
                <w:spacing w:val="-7"/>
              </w:rPr>
              <w:t>16</w:t>
            </w:r>
          </w:p>
        </w:tc>
        <w:tc>
          <w:tcPr>
            <w:tcW w:w="851" w:type="dxa"/>
            <w:vAlign w:val="top"/>
          </w:tcPr>
          <w:p w14:paraId="5312F76F">
            <w:pPr>
              <w:pStyle w:val="6"/>
              <w:spacing w:before="65"/>
              <w:ind w:left="329"/>
            </w:pPr>
            <w:r>
              <w:t>64</w:t>
            </w:r>
          </w:p>
        </w:tc>
        <w:tc>
          <w:tcPr>
            <w:tcW w:w="1084" w:type="dxa"/>
            <w:vAlign w:val="top"/>
          </w:tcPr>
          <w:p w14:paraId="7D6EA574">
            <w:pPr>
              <w:pStyle w:val="6"/>
              <w:spacing w:before="64" w:line="228" w:lineRule="auto"/>
              <w:ind w:left="129"/>
            </w:pPr>
            <w:r>
              <w:rPr>
                <w:spacing w:val="6"/>
              </w:rPr>
              <w:t>绿化用水</w:t>
            </w:r>
          </w:p>
        </w:tc>
      </w:tr>
      <w:tr w14:paraId="44663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554" w:type="dxa"/>
            <w:gridSpan w:val="2"/>
            <w:vAlign w:val="top"/>
          </w:tcPr>
          <w:p w14:paraId="0C1FE613">
            <w:pPr>
              <w:pStyle w:val="6"/>
              <w:spacing w:before="159" w:line="229" w:lineRule="auto"/>
              <w:ind w:left="1073"/>
            </w:pPr>
            <w:r>
              <w:rPr>
                <w:spacing w:val="4"/>
              </w:rPr>
              <w:t>合计</w:t>
            </w:r>
          </w:p>
        </w:tc>
        <w:tc>
          <w:tcPr>
            <w:tcW w:w="850" w:type="dxa"/>
            <w:vAlign w:val="top"/>
          </w:tcPr>
          <w:p w14:paraId="1F681E16">
            <w:pPr>
              <w:pStyle w:val="6"/>
              <w:spacing w:before="159" w:line="268" w:lineRule="exact"/>
              <w:ind w:left="225"/>
            </w:pPr>
            <w:r>
              <w:rPr>
                <w:spacing w:val="1"/>
                <w:position w:val="1"/>
              </w:rPr>
              <w:t>7380</w:t>
            </w:r>
          </w:p>
        </w:tc>
        <w:tc>
          <w:tcPr>
            <w:tcW w:w="992" w:type="dxa"/>
            <w:vAlign w:val="top"/>
          </w:tcPr>
          <w:p w14:paraId="0671BDE5">
            <w:pPr>
              <w:pStyle w:val="6"/>
              <w:spacing w:before="159" w:line="268" w:lineRule="exact"/>
              <w:ind w:left="343"/>
            </w:pPr>
            <w:r>
              <w:rPr>
                <w:spacing w:val="2"/>
                <w:position w:val="1"/>
              </w:rPr>
              <w:t>880</w:t>
            </w:r>
          </w:p>
        </w:tc>
        <w:tc>
          <w:tcPr>
            <w:tcW w:w="991" w:type="dxa"/>
            <w:vAlign w:val="top"/>
          </w:tcPr>
          <w:p w14:paraId="27AE50E3">
            <w:pPr>
              <w:pStyle w:val="6"/>
              <w:spacing w:before="159" w:line="268" w:lineRule="exact"/>
              <w:ind w:left="293"/>
            </w:pPr>
            <w:r>
              <w:rPr>
                <w:spacing w:val="2"/>
                <w:position w:val="1"/>
              </w:rPr>
              <w:t>6500</w:t>
            </w:r>
          </w:p>
        </w:tc>
        <w:tc>
          <w:tcPr>
            <w:tcW w:w="991" w:type="dxa"/>
            <w:vAlign w:val="top"/>
          </w:tcPr>
          <w:p w14:paraId="0FFB16E2">
            <w:pPr>
              <w:pStyle w:val="6"/>
              <w:spacing w:before="159" w:line="268" w:lineRule="exact"/>
              <w:ind w:left="345"/>
            </w:pPr>
            <w:r>
              <w:rPr>
                <w:spacing w:val="2"/>
                <w:position w:val="1"/>
              </w:rPr>
              <w:t>816</w:t>
            </w:r>
          </w:p>
        </w:tc>
        <w:tc>
          <w:tcPr>
            <w:tcW w:w="851" w:type="dxa"/>
            <w:vAlign w:val="top"/>
          </w:tcPr>
          <w:p w14:paraId="24235745">
            <w:pPr>
              <w:pStyle w:val="6"/>
              <w:spacing w:before="159" w:line="268" w:lineRule="exact"/>
              <w:ind w:left="329"/>
            </w:pPr>
            <w:r>
              <w:rPr>
                <w:position w:val="1"/>
              </w:rPr>
              <w:t>64</w:t>
            </w:r>
          </w:p>
        </w:tc>
        <w:tc>
          <w:tcPr>
            <w:tcW w:w="1084" w:type="dxa"/>
            <w:vAlign w:val="top"/>
          </w:tcPr>
          <w:p w14:paraId="16B70B43">
            <w:pPr>
              <w:pStyle w:val="6"/>
              <w:spacing w:before="159" w:line="228" w:lineRule="auto"/>
              <w:ind w:left="129"/>
            </w:pPr>
            <w:r>
              <w:rPr>
                <w:spacing w:val="6"/>
              </w:rPr>
              <w:t>绿化用水</w:t>
            </w:r>
          </w:p>
        </w:tc>
      </w:tr>
    </w:tbl>
    <w:p w14:paraId="12B9F337">
      <w:pPr>
        <w:spacing w:before="264" w:line="232" w:lineRule="auto"/>
        <w:ind w:left="120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4"/>
          <w:sz w:val="24"/>
          <w:szCs w:val="24"/>
        </w:rPr>
        <w:t xml:space="preserve"> </w:t>
      </w:r>
      <w:r>
        <w:rPr>
          <w:rFonts w:ascii="宋体" w:hAnsi="宋体" w:eastAsia="宋体" w:cs="宋体"/>
          <w:spacing w:val="-1"/>
          <w:sz w:val="24"/>
          <w:szCs w:val="24"/>
        </w:rPr>
        <w:t>3.2-10    现有工程冬季用水指标        单位：m</w:t>
      </w:r>
      <w:r>
        <w:rPr>
          <w:rFonts w:ascii="宋体" w:hAnsi="宋体" w:eastAsia="宋体" w:cs="宋体"/>
          <w:spacing w:val="-1"/>
          <w:position w:val="11"/>
          <w:sz w:val="12"/>
          <w:szCs w:val="12"/>
        </w:rPr>
        <w:t>3</w:t>
      </w:r>
      <w:r>
        <w:rPr>
          <w:rFonts w:ascii="宋体" w:hAnsi="宋体" w:eastAsia="宋体" w:cs="宋体"/>
          <w:spacing w:val="-1"/>
          <w:sz w:val="24"/>
          <w:szCs w:val="24"/>
        </w:rPr>
        <w:t>/d</w:t>
      </w:r>
    </w:p>
    <w:p w14:paraId="12E42666">
      <w:pPr>
        <w:spacing w:line="74" w:lineRule="exact"/>
      </w:pPr>
    </w:p>
    <w:tbl>
      <w:tblPr>
        <w:tblStyle w:val="5"/>
        <w:tblW w:w="850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700"/>
        <w:gridCol w:w="1275"/>
        <w:gridCol w:w="850"/>
        <w:gridCol w:w="850"/>
        <w:gridCol w:w="991"/>
        <w:gridCol w:w="851"/>
        <w:gridCol w:w="1279"/>
      </w:tblGrid>
      <w:tr w14:paraId="7CF78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12" w:type="dxa"/>
            <w:vAlign w:val="top"/>
          </w:tcPr>
          <w:p w14:paraId="3B8223D6">
            <w:pPr>
              <w:pStyle w:val="6"/>
              <w:spacing w:before="63" w:line="229" w:lineRule="auto"/>
              <w:ind w:left="151"/>
            </w:pPr>
            <w:r>
              <w:rPr>
                <w:spacing w:val="5"/>
              </w:rPr>
              <w:t>序号</w:t>
            </w:r>
          </w:p>
        </w:tc>
        <w:tc>
          <w:tcPr>
            <w:tcW w:w="1700" w:type="dxa"/>
            <w:vAlign w:val="top"/>
          </w:tcPr>
          <w:p w14:paraId="58780971">
            <w:pPr>
              <w:pStyle w:val="6"/>
              <w:spacing w:before="63" w:line="228" w:lineRule="auto"/>
              <w:ind w:left="435"/>
            </w:pPr>
            <w:r>
              <w:rPr>
                <w:spacing w:val="6"/>
              </w:rPr>
              <w:t>用户名称</w:t>
            </w:r>
          </w:p>
        </w:tc>
        <w:tc>
          <w:tcPr>
            <w:tcW w:w="1275" w:type="dxa"/>
            <w:vAlign w:val="top"/>
          </w:tcPr>
          <w:p w14:paraId="66EAAACC">
            <w:pPr>
              <w:pStyle w:val="6"/>
              <w:spacing w:before="62" w:line="228" w:lineRule="auto"/>
              <w:ind w:left="333"/>
            </w:pPr>
            <w:r>
              <w:rPr>
                <w:spacing w:val="5"/>
              </w:rPr>
              <w:t>总水量</w:t>
            </w:r>
          </w:p>
        </w:tc>
        <w:tc>
          <w:tcPr>
            <w:tcW w:w="850" w:type="dxa"/>
            <w:vAlign w:val="top"/>
          </w:tcPr>
          <w:p w14:paraId="2A8735AA">
            <w:pPr>
              <w:pStyle w:val="6"/>
              <w:spacing w:before="62" w:line="228" w:lineRule="auto"/>
              <w:ind w:left="116"/>
            </w:pPr>
            <w:r>
              <w:rPr>
                <w:spacing w:val="6"/>
              </w:rPr>
              <w:t>新水量</w:t>
            </w:r>
          </w:p>
        </w:tc>
        <w:tc>
          <w:tcPr>
            <w:tcW w:w="850" w:type="dxa"/>
            <w:vAlign w:val="top"/>
          </w:tcPr>
          <w:p w14:paraId="5A28B179">
            <w:pPr>
              <w:pStyle w:val="6"/>
              <w:spacing w:before="58" w:line="228" w:lineRule="auto"/>
              <w:ind w:left="115"/>
            </w:pPr>
            <w:r>
              <w:rPr>
                <w:spacing w:val="6"/>
              </w:rPr>
              <w:t>循环水</w:t>
            </w:r>
          </w:p>
        </w:tc>
        <w:tc>
          <w:tcPr>
            <w:tcW w:w="991" w:type="dxa"/>
            <w:vAlign w:val="top"/>
          </w:tcPr>
          <w:p w14:paraId="5D72382F">
            <w:pPr>
              <w:pStyle w:val="6"/>
              <w:spacing w:before="62" w:line="228" w:lineRule="auto"/>
              <w:ind w:left="83"/>
            </w:pPr>
            <w:r>
              <w:rPr>
                <w:spacing w:val="7"/>
              </w:rPr>
              <w:t>损耗水量</w:t>
            </w:r>
          </w:p>
        </w:tc>
        <w:tc>
          <w:tcPr>
            <w:tcW w:w="851" w:type="dxa"/>
            <w:vAlign w:val="top"/>
          </w:tcPr>
          <w:p w14:paraId="7C66EE49">
            <w:pPr>
              <w:pStyle w:val="6"/>
              <w:spacing w:before="62" w:line="228" w:lineRule="auto"/>
              <w:ind w:left="223"/>
            </w:pPr>
            <w:r>
              <w:rPr>
                <w:spacing w:val="4"/>
              </w:rPr>
              <w:t>排水</w:t>
            </w:r>
          </w:p>
        </w:tc>
        <w:tc>
          <w:tcPr>
            <w:tcW w:w="1279" w:type="dxa"/>
            <w:vAlign w:val="top"/>
          </w:tcPr>
          <w:p w14:paraId="1A9CBDE0">
            <w:pPr>
              <w:pStyle w:val="6"/>
              <w:spacing w:before="62" w:line="228" w:lineRule="auto"/>
              <w:ind w:left="224"/>
            </w:pPr>
            <w:r>
              <w:rPr>
                <w:spacing w:val="7"/>
              </w:rPr>
              <w:t>排水去向</w:t>
            </w:r>
          </w:p>
        </w:tc>
      </w:tr>
    </w:tbl>
    <w:p w14:paraId="013A666C">
      <w:pPr>
        <w:pStyle w:val="2"/>
      </w:pPr>
    </w:p>
    <w:p w14:paraId="0D0FF484">
      <w:pPr>
        <w:sectPr>
          <w:headerReference r:id="rId67" w:type="default"/>
          <w:footerReference r:id="rId68" w:type="default"/>
          <w:pgSz w:w="11906" w:h="16839"/>
          <w:pgMar w:top="1208" w:right="1696" w:bottom="1358" w:left="1684" w:header="825" w:footer="1195" w:gutter="0"/>
          <w:cols w:space="720" w:num="1"/>
        </w:sectPr>
      </w:pPr>
    </w:p>
    <w:p w14:paraId="50A3D5F8">
      <w:pPr>
        <w:spacing w:line="231" w:lineRule="exact"/>
      </w:pPr>
    </w:p>
    <w:tbl>
      <w:tblPr>
        <w:tblStyle w:val="5"/>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700"/>
        <w:gridCol w:w="1275"/>
        <w:gridCol w:w="850"/>
        <w:gridCol w:w="850"/>
        <w:gridCol w:w="991"/>
        <w:gridCol w:w="851"/>
        <w:gridCol w:w="1279"/>
      </w:tblGrid>
      <w:tr w14:paraId="72CEB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2" w:type="dxa"/>
            <w:vAlign w:val="top"/>
          </w:tcPr>
          <w:p w14:paraId="4078038E">
            <w:pPr>
              <w:pStyle w:val="6"/>
              <w:spacing w:before="63" w:line="266" w:lineRule="exact"/>
              <w:ind w:left="324"/>
            </w:pPr>
            <w:r>
              <w:rPr>
                <w:position w:val="1"/>
              </w:rPr>
              <w:t>1</w:t>
            </w:r>
          </w:p>
        </w:tc>
        <w:tc>
          <w:tcPr>
            <w:tcW w:w="1700" w:type="dxa"/>
            <w:vAlign w:val="top"/>
          </w:tcPr>
          <w:p w14:paraId="3835CACB">
            <w:pPr>
              <w:pStyle w:val="6"/>
              <w:spacing w:before="63" w:line="227" w:lineRule="auto"/>
              <w:ind w:left="433"/>
            </w:pPr>
            <w:r>
              <w:rPr>
                <w:spacing w:val="7"/>
              </w:rPr>
              <w:t>采矿工艺</w:t>
            </w:r>
          </w:p>
        </w:tc>
        <w:tc>
          <w:tcPr>
            <w:tcW w:w="1275" w:type="dxa"/>
            <w:vAlign w:val="top"/>
          </w:tcPr>
          <w:p w14:paraId="2883B220">
            <w:pPr>
              <w:pStyle w:val="6"/>
              <w:spacing w:before="63" w:line="266" w:lineRule="exact"/>
              <w:ind w:left="499"/>
            </w:pPr>
            <w:r>
              <w:rPr>
                <w:spacing w:val="-3"/>
                <w:position w:val="1"/>
              </w:rPr>
              <w:t>150</w:t>
            </w:r>
          </w:p>
        </w:tc>
        <w:tc>
          <w:tcPr>
            <w:tcW w:w="850" w:type="dxa"/>
            <w:vAlign w:val="top"/>
          </w:tcPr>
          <w:p w14:paraId="0733C850">
            <w:pPr>
              <w:pStyle w:val="6"/>
              <w:spacing w:before="63" w:line="266" w:lineRule="exact"/>
              <w:ind w:left="287"/>
            </w:pPr>
            <w:r>
              <w:rPr>
                <w:spacing w:val="-3"/>
                <w:position w:val="1"/>
              </w:rPr>
              <w:t>150</w:t>
            </w:r>
          </w:p>
        </w:tc>
        <w:tc>
          <w:tcPr>
            <w:tcW w:w="850" w:type="dxa"/>
            <w:vAlign w:val="top"/>
          </w:tcPr>
          <w:p w14:paraId="1C6FCD81">
            <w:pPr>
              <w:pStyle w:val="6"/>
              <w:spacing w:before="63" w:line="233" w:lineRule="auto"/>
              <w:ind w:left="378"/>
            </w:pPr>
            <w:r>
              <w:t>/</w:t>
            </w:r>
          </w:p>
        </w:tc>
        <w:tc>
          <w:tcPr>
            <w:tcW w:w="991" w:type="dxa"/>
            <w:vAlign w:val="top"/>
          </w:tcPr>
          <w:p w14:paraId="18CCB57A">
            <w:pPr>
              <w:pStyle w:val="6"/>
              <w:spacing w:before="63" w:line="266" w:lineRule="exact"/>
              <w:ind w:left="361"/>
            </w:pPr>
            <w:r>
              <w:rPr>
                <w:spacing w:val="-4"/>
                <w:position w:val="1"/>
              </w:rPr>
              <w:t>150</w:t>
            </w:r>
          </w:p>
        </w:tc>
        <w:tc>
          <w:tcPr>
            <w:tcW w:w="851" w:type="dxa"/>
            <w:vAlign w:val="top"/>
          </w:tcPr>
          <w:p w14:paraId="78C253C4">
            <w:pPr>
              <w:pStyle w:val="6"/>
              <w:spacing w:before="63" w:line="233" w:lineRule="auto"/>
              <w:ind w:left="380"/>
            </w:pPr>
            <w:r>
              <w:t>/</w:t>
            </w:r>
          </w:p>
        </w:tc>
        <w:tc>
          <w:tcPr>
            <w:tcW w:w="1279" w:type="dxa"/>
            <w:vAlign w:val="top"/>
          </w:tcPr>
          <w:p w14:paraId="4575791F">
            <w:pPr>
              <w:pStyle w:val="6"/>
              <w:spacing w:before="63" w:line="233" w:lineRule="auto"/>
              <w:ind w:left="593"/>
            </w:pPr>
            <w:r>
              <w:t>/</w:t>
            </w:r>
          </w:p>
        </w:tc>
      </w:tr>
      <w:tr w14:paraId="5E4D1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67FE2676">
            <w:pPr>
              <w:pStyle w:val="6"/>
              <w:spacing w:before="60" w:line="264" w:lineRule="exact"/>
              <w:ind w:left="311"/>
            </w:pPr>
            <w:r>
              <w:rPr>
                <w:position w:val="1"/>
              </w:rPr>
              <w:t>2</w:t>
            </w:r>
          </w:p>
        </w:tc>
        <w:tc>
          <w:tcPr>
            <w:tcW w:w="1700" w:type="dxa"/>
            <w:vAlign w:val="top"/>
          </w:tcPr>
          <w:p w14:paraId="7FE59361">
            <w:pPr>
              <w:pStyle w:val="6"/>
              <w:spacing w:before="60" w:line="228" w:lineRule="auto"/>
              <w:ind w:left="327"/>
            </w:pPr>
            <w:r>
              <w:rPr>
                <w:spacing w:val="8"/>
              </w:rPr>
              <w:t>废石场降尘</w:t>
            </w:r>
          </w:p>
        </w:tc>
        <w:tc>
          <w:tcPr>
            <w:tcW w:w="1275" w:type="dxa"/>
            <w:vAlign w:val="top"/>
          </w:tcPr>
          <w:p w14:paraId="3ABAA086">
            <w:pPr>
              <w:pStyle w:val="6"/>
              <w:spacing w:before="60" w:line="264" w:lineRule="exact"/>
              <w:ind w:left="590"/>
            </w:pPr>
            <w:r>
              <w:rPr>
                <w:position w:val="1"/>
              </w:rPr>
              <w:t>8</w:t>
            </w:r>
          </w:p>
        </w:tc>
        <w:tc>
          <w:tcPr>
            <w:tcW w:w="850" w:type="dxa"/>
            <w:vAlign w:val="top"/>
          </w:tcPr>
          <w:p w14:paraId="684F7F85">
            <w:pPr>
              <w:pStyle w:val="6"/>
              <w:spacing w:before="60" w:line="264" w:lineRule="exact"/>
              <w:ind w:left="378"/>
            </w:pPr>
            <w:r>
              <w:rPr>
                <w:position w:val="1"/>
              </w:rPr>
              <w:t>8</w:t>
            </w:r>
          </w:p>
        </w:tc>
        <w:tc>
          <w:tcPr>
            <w:tcW w:w="850" w:type="dxa"/>
            <w:vAlign w:val="top"/>
          </w:tcPr>
          <w:p w14:paraId="5FF5B997">
            <w:pPr>
              <w:pStyle w:val="6"/>
              <w:spacing w:before="60" w:line="233" w:lineRule="auto"/>
              <w:ind w:left="378"/>
            </w:pPr>
            <w:r>
              <w:t>/</w:t>
            </w:r>
          </w:p>
        </w:tc>
        <w:tc>
          <w:tcPr>
            <w:tcW w:w="991" w:type="dxa"/>
            <w:vAlign w:val="top"/>
          </w:tcPr>
          <w:p w14:paraId="3E0753E6">
            <w:pPr>
              <w:pStyle w:val="6"/>
              <w:spacing w:before="60" w:line="264" w:lineRule="exact"/>
              <w:ind w:left="449"/>
            </w:pPr>
            <w:r>
              <w:rPr>
                <w:position w:val="1"/>
              </w:rPr>
              <w:t>8</w:t>
            </w:r>
          </w:p>
        </w:tc>
        <w:tc>
          <w:tcPr>
            <w:tcW w:w="851" w:type="dxa"/>
            <w:vAlign w:val="top"/>
          </w:tcPr>
          <w:p w14:paraId="0EF4EAF2">
            <w:pPr>
              <w:pStyle w:val="6"/>
              <w:spacing w:before="60" w:line="233" w:lineRule="auto"/>
              <w:ind w:left="380"/>
            </w:pPr>
            <w:r>
              <w:t>/</w:t>
            </w:r>
          </w:p>
        </w:tc>
        <w:tc>
          <w:tcPr>
            <w:tcW w:w="1279" w:type="dxa"/>
            <w:vAlign w:val="top"/>
          </w:tcPr>
          <w:p w14:paraId="543C8EC7">
            <w:pPr>
              <w:pStyle w:val="6"/>
              <w:spacing w:before="60" w:line="233" w:lineRule="auto"/>
              <w:ind w:left="593"/>
            </w:pPr>
            <w:r>
              <w:t>/</w:t>
            </w:r>
          </w:p>
        </w:tc>
      </w:tr>
      <w:tr w14:paraId="78A26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12" w:type="dxa"/>
            <w:vAlign w:val="top"/>
          </w:tcPr>
          <w:p w14:paraId="59C92536">
            <w:pPr>
              <w:pStyle w:val="6"/>
              <w:spacing w:before="98" w:line="268" w:lineRule="exact"/>
              <w:ind w:left="312"/>
            </w:pPr>
            <w:r>
              <w:rPr>
                <w:position w:val="1"/>
              </w:rPr>
              <w:t>3</w:t>
            </w:r>
          </w:p>
        </w:tc>
        <w:tc>
          <w:tcPr>
            <w:tcW w:w="1700" w:type="dxa"/>
            <w:vAlign w:val="top"/>
          </w:tcPr>
          <w:p w14:paraId="52446FF0">
            <w:pPr>
              <w:pStyle w:val="6"/>
              <w:spacing w:before="97" w:line="228" w:lineRule="auto"/>
              <w:ind w:left="227"/>
            </w:pPr>
            <w:r>
              <w:rPr>
                <w:spacing w:val="7"/>
              </w:rPr>
              <w:t>原矿堆场降尘</w:t>
            </w:r>
          </w:p>
        </w:tc>
        <w:tc>
          <w:tcPr>
            <w:tcW w:w="1275" w:type="dxa"/>
            <w:vAlign w:val="top"/>
          </w:tcPr>
          <w:p w14:paraId="06567D86">
            <w:pPr>
              <w:pStyle w:val="6"/>
              <w:spacing w:before="98" w:line="268" w:lineRule="exact"/>
              <w:ind w:left="593"/>
            </w:pPr>
            <w:r>
              <w:rPr>
                <w:position w:val="1"/>
              </w:rPr>
              <w:t>5</w:t>
            </w:r>
          </w:p>
        </w:tc>
        <w:tc>
          <w:tcPr>
            <w:tcW w:w="850" w:type="dxa"/>
            <w:vAlign w:val="top"/>
          </w:tcPr>
          <w:p w14:paraId="5E509E7C">
            <w:pPr>
              <w:pStyle w:val="6"/>
              <w:spacing w:before="98" w:line="268" w:lineRule="exact"/>
              <w:ind w:left="381"/>
            </w:pPr>
            <w:r>
              <w:rPr>
                <w:position w:val="1"/>
              </w:rPr>
              <w:t>5</w:t>
            </w:r>
          </w:p>
        </w:tc>
        <w:tc>
          <w:tcPr>
            <w:tcW w:w="850" w:type="dxa"/>
            <w:vAlign w:val="top"/>
          </w:tcPr>
          <w:p w14:paraId="631FD2A7">
            <w:pPr>
              <w:pStyle w:val="6"/>
              <w:spacing w:before="97" w:line="233" w:lineRule="auto"/>
              <w:ind w:left="378"/>
            </w:pPr>
            <w:r>
              <w:t>/</w:t>
            </w:r>
          </w:p>
        </w:tc>
        <w:tc>
          <w:tcPr>
            <w:tcW w:w="991" w:type="dxa"/>
            <w:vAlign w:val="top"/>
          </w:tcPr>
          <w:p w14:paraId="46BE9E37">
            <w:pPr>
              <w:pStyle w:val="6"/>
              <w:spacing w:before="98" w:line="268" w:lineRule="exact"/>
              <w:ind w:left="452"/>
            </w:pPr>
            <w:r>
              <w:rPr>
                <w:position w:val="1"/>
              </w:rPr>
              <w:t>5</w:t>
            </w:r>
          </w:p>
        </w:tc>
        <w:tc>
          <w:tcPr>
            <w:tcW w:w="851" w:type="dxa"/>
            <w:vAlign w:val="top"/>
          </w:tcPr>
          <w:p w14:paraId="7A03300A">
            <w:pPr>
              <w:pStyle w:val="6"/>
              <w:spacing w:before="97" w:line="233" w:lineRule="auto"/>
              <w:ind w:left="380"/>
            </w:pPr>
            <w:r>
              <w:t>/</w:t>
            </w:r>
          </w:p>
        </w:tc>
        <w:tc>
          <w:tcPr>
            <w:tcW w:w="1279" w:type="dxa"/>
            <w:vAlign w:val="top"/>
          </w:tcPr>
          <w:p w14:paraId="76BD3B2A">
            <w:pPr>
              <w:pStyle w:val="6"/>
              <w:spacing w:before="97" w:line="233" w:lineRule="auto"/>
              <w:ind w:left="593"/>
            </w:pPr>
            <w:r>
              <w:t>/</w:t>
            </w:r>
          </w:p>
        </w:tc>
      </w:tr>
      <w:tr w14:paraId="1A193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17406DEB">
            <w:pPr>
              <w:pStyle w:val="6"/>
              <w:spacing w:before="62" w:line="241" w:lineRule="auto"/>
              <w:ind w:left="307"/>
            </w:pPr>
            <w:r>
              <w:t>4</w:t>
            </w:r>
          </w:p>
        </w:tc>
        <w:tc>
          <w:tcPr>
            <w:tcW w:w="1700" w:type="dxa"/>
            <w:vAlign w:val="top"/>
          </w:tcPr>
          <w:p w14:paraId="712FA02F">
            <w:pPr>
              <w:pStyle w:val="6"/>
              <w:spacing w:before="62" w:line="228" w:lineRule="auto"/>
              <w:ind w:left="56"/>
            </w:pPr>
            <w:r>
              <w:rPr>
                <w:spacing w:val="3"/>
              </w:rPr>
              <w:t>1400t/d</w:t>
            </w:r>
            <w:r>
              <w:rPr>
                <w:spacing w:val="-33"/>
              </w:rPr>
              <w:t xml:space="preserve"> </w:t>
            </w:r>
            <w:r>
              <w:rPr>
                <w:spacing w:val="3"/>
              </w:rPr>
              <w:t>选矿用水</w:t>
            </w:r>
          </w:p>
        </w:tc>
        <w:tc>
          <w:tcPr>
            <w:tcW w:w="1275" w:type="dxa"/>
            <w:vAlign w:val="top"/>
          </w:tcPr>
          <w:p w14:paraId="419DB257">
            <w:pPr>
              <w:pStyle w:val="6"/>
              <w:spacing w:before="62" w:line="241" w:lineRule="auto"/>
              <w:ind w:left="435"/>
            </w:pPr>
            <w:r>
              <w:rPr>
                <w:spacing w:val="2"/>
              </w:rPr>
              <w:t>2730</w:t>
            </w:r>
          </w:p>
        </w:tc>
        <w:tc>
          <w:tcPr>
            <w:tcW w:w="850" w:type="dxa"/>
            <w:vAlign w:val="top"/>
          </w:tcPr>
          <w:p w14:paraId="622AB11B">
            <w:pPr>
              <w:pStyle w:val="6"/>
              <w:spacing w:before="62" w:line="241" w:lineRule="auto"/>
              <w:ind w:left="287"/>
            </w:pPr>
            <w:r>
              <w:rPr>
                <w:spacing w:val="-3"/>
              </w:rPr>
              <w:t>140</w:t>
            </w:r>
          </w:p>
        </w:tc>
        <w:tc>
          <w:tcPr>
            <w:tcW w:w="850" w:type="dxa"/>
            <w:vAlign w:val="top"/>
          </w:tcPr>
          <w:p w14:paraId="6375FD42">
            <w:pPr>
              <w:pStyle w:val="6"/>
              <w:spacing w:before="62" w:line="241" w:lineRule="auto"/>
              <w:ind w:left="223"/>
            </w:pPr>
            <w:r>
              <w:rPr>
                <w:spacing w:val="2"/>
              </w:rPr>
              <w:t>2600</w:t>
            </w:r>
          </w:p>
        </w:tc>
        <w:tc>
          <w:tcPr>
            <w:tcW w:w="991" w:type="dxa"/>
            <w:vAlign w:val="top"/>
          </w:tcPr>
          <w:p w14:paraId="14D990D9">
            <w:pPr>
              <w:pStyle w:val="6"/>
              <w:spacing w:before="62" w:line="241" w:lineRule="auto"/>
              <w:ind w:left="361"/>
            </w:pPr>
            <w:r>
              <w:rPr>
                <w:spacing w:val="-3"/>
              </w:rPr>
              <w:t>140</w:t>
            </w:r>
          </w:p>
        </w:tc>
        <w:tc>
          <w:tcPr>
            <w:tcW w:w="851" w:type="dxa"/>
            <w:vAlign w:val="top"/>
          </w:tcPr>
          <w:p w14:paraId="55FA550F">
            <w:pPr>
              <w:pStyle w:val="6"/>
              <w:spacing w:before="62" w:line="233" w:lineRule="auto"/>
              <w:ind w:left="380"/>
            </w:pPr>
            <w:r>
              <w:t>/</w:t>
            </w:r>
          </w:p>
        </w:tc>
        <w:tc>
          <w:tcPr>
            <w:tcW w:w="1279" w:type="dxa"/>
            <w:vAlign w:val="top"/>
          </w:tcPr>
          <w:p w14:paraId="666670E2">
            <w:pPr>
              <w:pStyle w:val="6"/>
              <w:spacing w:before="62" w:line="233" w:lineRule="auto"/>
              <w:ind w:left="593"/>
            </w:pPr>
            <w:r>
              <w:t>/</w:t>
            </w:r>
          </w:p>
        </w:tc>
      </w:tr>
      <w:tr w14:paraId="3AD6D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14FF7966">
            <w:pPr>
              <w:pStyle w:val="6"/>
              <w:spacing w:before="62" w:line="241" w:lineRule="auto"/>
              <w:ind w:left="312"/>
            </w:pPr>
            <w:r>
              <w:t>5</w:t>
            </w:r>
          </w:p>
        </w:tc>
        <w:tc>
          <w:tcPr>
            <w:tcW w:w="1700" w:type="dxa"/>
            <w:vAlign w:val="top"/>
          </w:tcPr>
          <w:p w14:paraId="0C705934">
            <w:pPr>
              <w:pStyle w:val="6"/>
              <w:spacing w:before="62" w:line="228" w:lineRule="auto"/>
              <w:ind w:left="43"/>
            </w:pPr>
            <w:r>
              <w:rPr>
                <w:spacing w:val="5"/>
              </w:rPr>
              <w:t>2000t/d</w:t>
            </w:r>
            <w:r>
              <w:rPr>
                <w:spacing w:val="-42"/>
              </w:rPr>
              <w:t xml:space="preserve"> </w:t>
            </w:r>
            <w:r>
              <w:rPr>
                <w:spacing w:val="5"/>
              </w:rPr>
              <w:t>选矿用水</w:t>
            </w:r>
          </w:p>
        </w:tc>
        <w:tc>
          <w:tcPr>
            <w:tcW w:w="1275" w:type="dxa"/>
            <w:vAlign w:val="top"/>
          </w:tcPr>
          <w:p w14:paraId="7C1B9B6D">
            <w:pPr>
              <w:pStyle w:val="6"/>
              <w:spacing w:before="62" w:line="241" w:lineRule="auto"/>
              <w:ind w:left="432"/>
            </w:pPr>
            <w:r>
              <w:rPr>
                <w:spacing w:val="3"/>
              </w:rPr>
              <w:t>4120</w:t>
            </w:r>
          </w:p>
        </w:tc>
        <w:tc>
          <w:tcPr>
            <w:tcW w:w="850" w:type="dxa"/>
            <w:vAlign w:val="top"/>
          </w:tcPr>
          <w:p w14:paraId="1BE1B337">
            <w:pPr>
              <w:pStyle w:val="6"/>
              <w:spacing w:before="62" w:line="241" w:lineRule="auto"/>
              <w:ind w:left="274"/>
            </w:pPr>
            <w:r>
              <w:rPr>
                <w:spacing w:val="1"/>
              </w:rPr>
              <w:t>210</w:t>
            </w:r>
          </w:p>
        </w:tc>
        <w:tc>
          <w:tcPr>
            <w:tcW w:w="850" w:type="dxa"/>
            <w:vAlign w:val="top"/>
          </w:tcPr>
          <w:p w14:paraId="3D46F902">
            <w:pPr>
              <w:pStyle w:val="6"/>
              <w:spacing w:before="62" w:line="241" w:lineRule="auto"/>
              <w:ind w:left="225"/>
            </w:pPr>
            <w:r>
              <w:rPr>
                <w:spacing w:val="2"/>
              </w:rPr>
              <w:t>3900</w:t>
            </w:r>
          </w:p>
        </w:tc>
        <w:tc>
          <w:tcPr>
            <w:tcW w:w="991" w:type="dxa"/>
            <w:vAlign w:val="top"/>
          </w:tcPr>
          <w:p w14:paraId="71C2A706">
            <w:pPr>
              <w:pStyle w:val="6"/>
              <w:spacing w:before="62" w:line="241" w:lineRule="auto"/>
              <w:ind w:left="348"/>
            </w:pPr>
            <w:r>
              <w:rPr>
                <w:spacing w:val="1"/>
              </w:rPr>
              <w:t>210</w:t>
            </w:r>
          </w:p>
        </w:tc>
        <w:tc>
          <w:tcPr>
            <w:tcW w:w="851" w:type="dxa"/>
            <w:vAlign w:val="top"/>
          </w:tcPr>
          <w:p w14:paraId="35BAB0BC">
            <w:pPr>
              <w:pStyle w:val="6"/>
              <w:spacing w:before="62" w:line="233" w:lineRule="auto"/>
              <w:ind w:left="380"/>
            </w:pPr>
            <w:r>
              <w:t>/</w:t>
            </w:r>
          </w:p>
        </w:tc>
        <w:tc>
          <w:tcPr>
            <w:tcW w:w="1279" w:type="dxa"/>
            <w:vAlign w:val="top"/>
          </w:tcPr>
          <w:p w14:paraId="6DD14454">
            <w:pPr>
              <w:pStyle w:val="6"/>
              <w:spacing w:before="62" w:line="233" w:lineRule="auto"/>
              <w:ind w:left="593"/>
            </w:pPr>
            <w:r>
              <w:t>/</w:t>
            </w:r>
          </w:p>
        </w:tc>
      </w:tr>
      <w:tr w14:paraId="00D5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1D04C058">
            <w:pPr>
              <w:pStyle w:val="6"/>
              <w:spacing w:before="63" w:line="241" w:lineRule="auto"/>
              <w:ind w:left="310"/>
            </w:pPr>
            <w:r>
              <w:t>6</w:t>
            </w:r>
          </w:p>
        </w:tc>
        <w:tc>
          <w:tcPr>
            <w:tcW w:w="1700" w:type="dxa"/>
            <w:vAlign w:val="top"/>
          </w:tcPr>
          <w:p w14:paraId="17B7B220">
            <w:pPr>
              <w:pStyle w:val="6"/>
              <w:spacing w:before="63" w:line="228" w:lineRule="auto"/>
              <w:ind w:left="328"/>
            </w:pPr>
            <w:r>
              <w:rPr>
                <w:spacing w:val="8"/>
              </w:rPr>
              <w:t>尾矿库降尘</w:t>
            </w:r>
          </w:p>
        </w:tc>
        <w:tc>
          <w:tcPr>
            <w:tcW w:w="1275" w:type="dxa"/>
            <w:vAlign w:val="top"/>
          </w:tcPr>
          <w:p w14:paraId="66C73775">
            <w:pPr>
              <w:pStyle w:val="6"/>
              <w:spacing w:before="63" w:line="241" w:lineRule="auto"/>
              <w:ind w:left="593"/>
            </w:pPr>
            <w:r>
              <w:t>5</w:t>
            </w:r>
          </w:p>
        </w:tc>
        <w:tc>
          <w:tcPr>
            <w:tcW w:w="850" w:type="dxa"/>
            <w:vAlign w:val="top"/>
          </w:tcPr>
          <w:p w14:paraId="6AE224E5">
            <w:pPr>
              <w:pStyle w:val="6"/>
              <w:spacing w:before="63" w:line="241" w:lineRule="auto"/>
              <w:ind w:left="381"/>
            </w:pPr>
            <w:r>
              <w:t>5</w:t>
            </w:r>
          </w:p>
        </w:tc>
        <w:tc>
          <w:tcPr>
            <w:tcW w:w="850" w:type="dxa"/>
            <w:vAlign w:val="top"/>
          </w:tcPr>
          <w:p w14:paraId="52D8CEB8">
            <w:pPr>
              <w:pStyle w:val="6"/>
              <w:spacing w:before="63" w:line="233" w:lineRule="auto"/>
              <w:ind w:left="378"/>
            </w:pPr>
            <w:r>
              <w:t>/</w:t>
            </w:r>
          </w:p>
        </w:tc>
        <w:tc>
          <w:tcPr>
            <w:tcW w:w="991" w:type="dxa"/>
            <w:vAlign w:val="top"/>
          </w:tcPr>
          <w:p w14:paraId="47D0717B">
            <w:pPr>
              <w:pStyle w:val="6"/>
              <w:spacing w:before="63" w:line="241" w:lineRule="auto"/>
              <w:ind w:left="452"/>
            </w:pPr>
            <w:r>
              <w:t>5</w:t>
            </w:r>
          </w:p>
        </w:tc>
        <w:tc>
          <w:tcPr>
            <w:tcW w:w="851" w:type="dxa"/>
            <w:vAlign w:val="top"/>
          </w:tcPr>
          <w:p w14:paraId="2BC6EDB8">
            <w:pPr>
              <w:pStyle w:val="6"/>
              <w:spacing w:before="63" w:line="233" w:lineRule="auto"/>
              <w:ind w:left="380"/>
            </w:pPr>
            <w:r>
              <w:t>/</w:t>
            </w:r>
          </w:p>
        </w:tc>
        <w:tc>
          <w:tcPr>
            <w:tcW w:w="1279" w:type="dxa"/>
            <w:vAlign w:val="top"/>
          </w:tcPr>
          <w:p w14:paraId="6487D9B0">
            <w:pPr>
              <w:pStyle w:val="6"/>
              <w:spacing w:before="63" w:line="233" w:lineRule="auto"/>
              <w:ind w:left="593"/>
            </w:pPr>
            <w:r>
              <w:t>/</w:t>
            </w:r>
          </w:p>
        </w:tc>
      </w:tr>
      <w:tr w14:paraId="63896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32DBB5B7">
            <w:pPr>
              <w:pStyle w:val="6"/>
              <w:spacing w:before="65"/>
              <w:ind w:left="313"/>
            </w:pPr>
            <w:r>
              <w:t>7</w:t>
            </w:r>
          </w:p>
        </w:tc>
        <w:tc>
          <w:tcPr>
            <w:tcW w:w="1700" w:type="dxa"/>
            <w:vAlign w:val="top"/>
          </w:tcPr>
          <w:p w14:paraId="6F6F83B4">
            <w:pPr>
              <w:pStyle w:val="6"/>
              <w:spacing w:before="64" w:line="228" w:lineRule="auto"/>
              <w:ind w:left="222"/>
            </w:pPr>
            <w:r>
              <w:rPr>
                <w:spacing w:val="8"/>
              </w:rPr>
              <w:t>运输道路降尘</w:t>
            </w:r>
          </w:p>
        </w:tc>
        <w:tc>
          <w:tcPr>
            <w:tcW w:w="1275" w:type="dxa"/>
            <w:vAlign w:val="top"/>
          </w:tcPr>
          <w:p w14:paraId="36D6242E">
            <w:pPr>
              <w:pStyle w:val="6"/>
              <w:spacing w:before="65"/>
              <w:ind w:left="554"/>
            </w:pPr>
            <w:r>
              <w:rPr>
                <w:spacing w:val="-7"/>
              </w:rPr>
              <w:t>10</w:t>
            </w:r>
          </w:p>
        </w:tc>
        <w:tc>
          <w:tcPr>
            <w:tcW w:w="850" w:type="dxa"/>
            <w:vAlign w:val="top"/>
          </w:tcPr>
          <w:p w14:paraId="5445DDDC">
            <w:pPr>
              <w:pStyle w:val="6"/>
              <w:spacing w:before="65"/>
              <w:ind w:left="340"/>
            </w:pPr>
            <w:r>
              <w:rPr>
                <w:spacing w:val="-7"/>
              </w:rPr>
              <w:t>10</w:t>
            </w:r>
          </w:p>
        </w:tc>
        <w:tc>
          <w:tcPr>
            <w:tcW w:w="850" w:type="dxa"/>
            <w:vAlign w:val="top"/>
          </w:tcPr>
          <w:p w14:paraId="4564E6E3">
            <w:pPr>
              <w:pStyle w:val="6"/>
              <w:spacing w:before="64" w:line="233" w:lineRule="auto"/>
              <w:ind w:left="378"/>
            </w:pPr>
            <w:r>
              <w:t>/</w:t>
            </w:r>
          </w:p>
        </w:tc>
        <w:tc>
          <w:tcPr>
            <w:tcW w:w="991" w:type="dxa"/>
            <w:vAlign w:val="top"/>
          </w:tcPr>
          <w:p w14:paraId="488FE44D">
            <w:pPr>
              <w:pStyle w:val="6"/>
              <w:spacing w:before="65"/>
              <w:ind w:left="413"/>
            </w:pPr>
            <w:r>
              <w:rPr>
                <w:spacing w:val="-7"/>
              </w:rPr>
              <w:t>10</w:t>
            </w:r>
          </w:p>
        </w:tc>
        <w:tc>
          <w:tcPr>
            <w:tcW w:w="851" w:type="dxa"/>
            <w:vAlign w:val="top"/>
          </w:tcPr>
          <w:p w14:paraId="7F47397E">
            <w:pPr>
              <w:pStyle w:val="6"/>
              <w:spacing w:before="64" w:line="233" w:lineRule="auto"/>
              <w:ind w:left="380"/>
            </w:pPr>
            <w:r>
              <w:t>/</w:t>
            </w:r>
          </w:p>
        </w:tc>
        <w:tc>
          <w:tcPr>
            <w:tcW w:w="1279" w:type="dxa"/>
            <w:vAlign w:val="top"/>
          </w:tcPr>
          <w:p w14:paraId="02C65CF7">
            <w:pPr>
              <w:pStyle w:val="6"/>
              <w:spacing w:before="64" w:line="233" w:lineRule="auto"/>
              <w:ind w:left="593"/>
            </w:pPr>
            <w:r>
              <w:t>/</w:t>
            </w:r>
          </w:p>
        </w:tc>
      </w:tr>
      <w:tr w14:paraId="68AD6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2441BB1F">
            <w:pPr>
              <w:pStyle w:val="6"/>
              <w:spacing w:before="63" w:line="241" w:lineRule="auto"/>
              <w:ind w:left="309"/>
            </w:pPr>
            <w:r>
              <w:t>8</w:t>
            </w:r>
          </w:p>
        </w:tc>
        <w:tc>
          <w:tcPr>
            <w:tcW w:w="1700" w:type="dxa"/>
            <w:vAlign w:val="top"/>
          </w:tcPr>
          <w:p w14:paraId="3F40D95A">
            <w:pPr>
              <w:pStyle w:val="6"/>
              <w:spacing w:before="63" w:line="228" w:lineRule="auto"/>
              <w:ind w:left="222"/>
            </w:pPr>
            <w:r>
              <w:rPr>
                <w:spacing w:val="8"/>
              </w:rPr>
              <w:t>井下填充用水</w:t>
            </w:r>
          </w:p>
        </w:tc>
        <w:tc>
          <w:tcPr>
            <w:tcW w:w="1275" w:type="dxa"/>
            <w:vAlign w:val="top"/>
          </w:tcPr>
          <w:p w14:paraId="5AEE243F">
            <w:pPr>
              <w:pStyle w:val="6"/>
              <w:spacing w:before="63" w:line="241" w:lineRule="auto"/>
              <w:ind w:left="486"/>
            </w:pPr>
            <w:r>
              <w:rPr>
                <w:spacing w:val="1"/>
              </w:rPr>
              <w:t>272</w:t>
            </w:r>
          </w:p>
        </w:tc>
        <w:tc>
          <w:tcPr>
            <w:tcW w:w="850" w:type="dxa"/>
            <w:vAlign w:val="top"/>
          </w:tcPr>
          <w:p w14:paraId="32773323">
            <w:pPr>
              <w:pStyle w:val="6"/>
              <w:spacing w:before="63" w:line="241" w:lineRule="auto"/>
              <w:ind w:left="274"/>
            </w:pPr>
            <w:r>
              <w:rPr>
                <w:spacing w:val="1"/>
              </w:rPr>
              <w:t>272</w:t>
            </w:r>
          </w:p>
        </w:tc>
        <w:tc>
          <w:tcPr>
            <w:tcW w:w="850" w:type="dxa"/>
            <w:vAlign w:val="top"/>
          </w:tcPr>
          <w:p w14:paraId="7BE9427F">
            <w:pPr>
              <w:pStyle w:val="6"/>
              <w:spacing w:before="63" w:line="233" w:lineRule="auto"/>
              <w:ind w:left="378"/>
            </w:pPr>
            <w:r>
              <w:t>/</w:t>
            </w:r>
          </w:p>
        </w:tc>
        <w:tc>
          <w:tcPr>
            <w:tcW w:w="991" w:type="dxa"/>
            <w:vAlign w:val="top"/>
          </w:tcPr>
          <w:p w14:paraId="775C469C">
            <w:pPr>
              <w:pStyle w:val="6"/>
              <w:spacing w:before="63" w:line="241" w:lineRule="auto"/>
              <w:ind w:left="348"/>
            </w:pPr>
            <w:r>
              <w:rPr>
                <w:spacing w:val="1"/>
              </w:rPr>
              <w:t>272</w:t>
            </w:r>
          </w:p>
        </w:tc>
        <w:tc>
          <w:tcPr>
            <w:tcW w:w="851" w:type="dxa"/>
            <w:vAlign w:val="top"/>
          </w:tcPr>
          <w:p w14:paraId="3EFD2360">
            <w:pPr>
              <w:pStyle w:val="6"/>
              <w:spacing w:before="63" w:line="233" w:lineRule="auto"/>
              <w:ind w:left="380"/>
            </w:pPr>
            <w:r>
              <w:t>/</w:t>
            </w:r>
          </w:p>
        </w:tc>
        <w:tc>
          <w:tcPr>
            <w:tcW w:w="1279" w:type="dxa"/>
            <w:vAlign w:val="top"/>
          </w:tcPr>
          <w:p w14:paraId="0C85BFCF">
            <w:pPr>
              <w:pStyle w:val="6"/>
              <w:spacing w:before="63" w:line="233" w:lineRule="auto"/>
              <w:ind w:left="593"/>
            </w:pPr>
            <w:r>
              <w:t>/</w:t>
            </w:r>
          </w:p>
        </w:tc>
      </w:tr>
      <w:tr w14:paraId="52069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40E31AC5">
            <w:pPr>
              <w:pStyle w:val="6"/>
              <w:spacing w:before="63" w:line="241" w:lineRule="auto"/>
              <w:ind w:left="309"/>
            </w:pPr>
            <w:r>
              <w:t>9</w:t>
            </w:r>
          </w:p>
        </w:tc>
        <w:tc>
          <w:tcPr>
            <w:tcW w:w="1700" w:type="dxa"/>
            <w:vAlign w:val="top"/>
          </w:tcPr>
          <w:p w14:paraId="32EA71DC">
            <w:pPr>
              <w:pStyle w:val="6"/>
              <w:spacing w:before="63" w:line="228" w:lineRule="auto"/>
              <w:ind w:left="436"/>
            </w:pPr>
            <w:r>
              <w:rPr>
                <w:spacing w:val="6"/>
              </w:rPr>
              <w:t>软水制备</w:t>
            </w:r>
          </w:p>
        </w:tc>
        <w:tc>
          <w:tcPr>
            <w:tcW w:w="1275" w:type="dxa"/>
            <w:vAlign w:val="top"/>
          </w:tcPr>
          <w:p w14:paraId="7A4D90D1">
            <w:pPr>
              <w:pStyle w:val="6"/>
              <w:spacing w:before="63" w:line="241" w:lineRule="auto"/>
              <w:ind w:left="499"/>
            </w:pPr>
            <w:r>
              <w:rPr>
                <w:spacing w:val="-3"/>
              </w:rPr>
              <w:t>144</w:t>
            </w:r>
          </w:p>
        </w:tc>
        <w:tc>
          <w:tcPr>
            <w:tcW w:w="850" w:type="dxa"/>
            <w:vAlign w:val="top"/>
          </w:tcPr>
          <w:p w14:paraId="3AB0C8BF">
            <w:pPr>
              <w:pStyle w:val="6"/>
              <w:spacing w:before="63" w:line="241" w:lineRule="auto"/>
              <w:ind w:left="287"/>
            </w:pPr>
            <w:r>
              <w:rPr>
                <w:spacing w:val="-3"/>
              </w:rPr>
              <w:t>144</w:t>
            </w:r>
          </w:p>
        </w:tc>
        <w:tc>
          <w:tcPr>
            <w:tcW w:w="850" w:type="dxa"/>
            <w:vAlign w:val="top"/>
          </w:tcPr>
          <w:p w14:paraId="13905723">
            <w:pPr>
              <w:pStyle w:val="6"/>
              <w:spacing w:before="63" w:line="233" w:lineRule="auto"/>
              <w:ind w:left="378"/>
            </w:pPr>
            <w:r>
              <w:t>/</w:t>
            </w:r>
          </w:p>
        </w:tc>
        <w:tc>
          <w:tcPr>
            <w:tcW w:w="991" w:type="dxa"/>
            <w:vAlign w:val="top"/>
          </w:tcPr>
          <w:p w14:paraId="230C2CAD">
            <w:pPr>
              <w:pStyle w:val="6"/>
              <w:spacing w:before="63" w:line="233" w:lineRule="auto"/>
              <w:ind w:left="447"/>
            </w:pPr>
            <w:r>
              <w:t>/</w:t>
            </w:r>
          </w:p>
        </w:tc>
        <w:tc>
          <w:tcPr>
            <w:tcW w:w="851" w:type="dxa"/>
            <w:vAlign w:val="top"/>
          </w:tcPr>
          <w:p w14:paraId="058558CB">
            <w:pPr>
              <w:pStyle w:val="6"/>
              <w:spacing w:before="63" w:line="241" w:lineRule="auto"/>
              <w:ind w:left="225"/>
            </w:pPr>
            <w:r>
              <w:rPr>
                <w:spacing w:val="2"/>
              </w:rPr>
              <w:t>28.8</w:t>
            </w:r>
          </w:p>
        </w:tc>
        <w:tc>
          <w:tcPr>
            <w:tcW w:w="1279" w:type="dxa"/>
            <w:vAlign w:val="top"/>
          </w:tcPr>
          <w:p w14:paraId="371EF1FF">
            <w:pPr>
              <w:pStyle w:val="6"/>
              <w:spacing w:before="64" w:line="228" w:lineRule="auto"/>
              <w:ind w:left="118"/>
            </w:pPr>
            <w:r>
              <w:rPr>
                <w:spacing w:val="8"/>
              </w:rPr>
              <w:t>锅炉房抑尘</w:t>
            </w:r>
          </w:p>
        </w:tc>
      </w:tr>
      <w:tr w14:paraId="169D6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1C81EB37">
            <w:pPr>
              <w:pStyle w:val="6"/>
              <w:spacing w:before="65"/>
              <w:ind w:left="271"/>
            </w:pPr>
            <w:r>
              <w:rPr>
                <w:spacing w:val="-7"/>
              </w:rPr>
              <w:t>10</w:t>
            </w:r>
          </w:p>
        </w:tc>
        <w:tc>
          <w:tcPr>
            <w:tcW w:w="1700" w:type="dxa"/>
            <w:vAlign w:val="top"/>
          </w:tcPr>
          <w:p w14:paraId="69793591">
            <w:pPr>
              <w:pStyle w:val="6"/>
              <w:spacing w:before="65" w:line="228" w:lineRule="auto"/>
              <w:ind w:left="642"/>
            </w:pPr>
            <w:r>
              <w:rPr>
                <w:spacing w:val="4"/>
              </w:rPr>
              <w:t>锅炉</w:t>
            </w:r>
          </w:p>
        </w:tc>
        <w:tc>
          <w:tcPr>
            <w:tcW w:w="1275" w:type="dxa"/>
            <w:vAlign w:val="top"/>
          </w:tcPr>
          <w:p w14:paraId="38F3E98B">
            <w:pPr>
              <w:pStyle w:val="6"/>
              <w:spacing w:before="59" w:line="228" w:lineRule="auto"/>
              <w:ind w:left="79"/>
            </w:pPr>
            <w:r>
              <w:rPr>
                <w:spacing w:val="3"/>
              </w:rPr>
              <w:t>115.2(软水)</w:t>
            </w:r>
          </w:p>
        </w:tc>
        <w:tc>
          <w:tcPr>
            <w:tcW w:w="850" w:type="dxa"/>
            <w:vAlign w:val="top"/>
          </w:tcPr>
          <w:p w14:paraId="10446EBC">
            <w:pPr>
              <w:pStyle w:val="6"/>
              <w:spacing w:before="59" w:line="233" w:lineRule="auto"/>
              <w:ind w:left="376"/>
            </w:pPr>
            <w:r>
              <w:t>/</w:t>
            </w:r>
          </w:p>
        </w:tc>
        <w:tc>
          <w:tcPr>
            <w:tcW w:w="850" w:type="dxa"/>
            <w:vAlign w:val="top"/>
          </w:tcPr>
          <w:p w14:paraId="6A10D2F8">
            <w:pPr>
              <w:pStyle w:val="6"/>
              <w:spacing w:before="65"/>
              <w:ind w:left="223"/>
            </w:pPr>
            <w:r>
              <w:rPr>
                <w:spacing w:val="2"/>
              </w:rPr>
              <w:t>2880</w:t>
            </w:r>
          </w:p>
        </w:tc>
        <w:tc>
          <w:tcPr>
            <w:tcW w:w="991" w:type="dxa"/>
            <w:vAlign w:val="top"/>
          </w:tcPr>
          <w:p w14:paraId="79D5C2E6">
            <w:pPr>
              <w:pStyle w:val="6"/>
              <w:spacing w:before="65"/>
              <w:ind w:left="240"/>
            </w:pPr>
            <w:r>
              <w:rPr>
                <w:spacing w:val="3"/>
              </w:rPr>
              <w:t>92.16</w:t>
            </w:r>
          </w:p>
        </w:tc>
        <w:tc>
          <w:tcPr>
            <w:tcW w:w="851" w:type="dxa"/>
            <w:vAlign w:val="top"/>
          </w:tcPr>
          <w:p w14:paraId="4457A866">
            <w:pPr>
              <w:pStyle w:val="6"/>
              <w:spacing w:before="65"/>
              <w:ind w:left="173"/>
            </w:pPr>
            <w:r>
              <w:rPr>
                <w:spacing w:val="2"/>
              </w:rPr>
              <w:t>23.04</w:t>
            </w:r>
          </w:p>
        </w:tc>
        <w:tc>
          <w:tcPr>
            <w:tcW w:w="1279" w:type="dxa"/>
            <w:vAlign w:val="top"/>
          </w:tcPr>
          <w:p w14:paraId="23A4240B">
            <w:pPr>
              <w:pStyle w:val="6"/>
              <w:spacing w:before="65" w:line="228" w:lineRule="auto"/>
              <w:ind w:left="118"/>
            </w:pPr>
            <w:r>
              <w:rPr>
                <w:spacing w:val="8"/>
              </w:rPr>
              <w:t>锅炉房抑尘</w:t>
            </w:r>
          </w:p>
        </w:tc>
      </w:tr>
      <w:tr w14:paraId="07ED4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36A56B2D">
            <w:pPr>
              <w:pStyle w:val="6"/>
              <w:spacing w:before="63" w:line="241" w:lineRule="auto"/>
              <w:ind w:left="271"/>
            </w:pPr>
            <w:r>
              <w:rPr>
                <w:spacing w:val="-7"/>
              </w:rPr>
              <w:t>11</w:t>
            </w:r>
          </w:p>
        </w:tc>
        <w:tc>
          <w:tcPr>
            <w:tcW w:w="1700" w:type="dxa"/>
            <w:vAlign w:val="top"/>
          </w:tcPr>
          <w:p w14:paraId="6A433A75">
            <w:pPr>
              <w:pStyle w:val="6"/>
              <w:spacing w:before="63" w:line="228" w:lineRule="auto"/>
              <w:ind w:left="435"/>
            </w:pPr>
            <w:r>
              <w:rPr>
                <w:spacing w:val="6"/>
              </w:rPr>
              <w:t>生活用水</w:t>
            </w:r>
          </w:p>
        </w:tc>
        <w:tc>
          <w:tcPr>
            <w:tcW w:w="1275" w:type="dxa"/>
            <w:vAlign w:val="top"/>
          </w:tcPr>
          <w:p w14:paraId="662A003B">
            <w:pPr>
              <w:pStyle w:val="6"/>
              <w:spacing w:before="63" w:line="241" w:lineRule="auto"/>
              <w:ind w:left="539"/>
            </w:pPr>
            <w:r>
              <w:t>80</w:t>
            </w:r>
          </w:p>
        </w:tc>
        <w:tc>
          <w:tcPr>
            <w:tcW w:w="850" w:type="dxa"/>
            <w:vAlign w:val="top"/>
          </w:tcPr>
          <w:p w14:paraId="57A9952B">
            <w:pPr>
              <w:pStyle w:val="6"/>
              <w:spacing w:before="63" w:line="241" w:lineRule="auto"/>
              <w:ind w:left="325"/>
            </w:pPr>
            <w:r>
              <w:t>80</w:t>
            </w:r>
          </w:p>
        </w:tc>
        <w:tc>
          <w:tcPr>
            <w:tcW w:w="850" w:type="dxa"/>
            <w:vAlign w:val="top"/>
          </w:tcPr>
          <w:p w14:paraId="4386F2D1">
            <w:pPr>
              <w:pStyle w:val="6"/>
              <w:spacing w:before="63" w:line="233" w:lineRule="auto"/>
              <w:ind w:left="378"/>
            </w:pPr>
            <w:r>
              <w:t>/</w:t>
            </w:r>
          </w:p>
        </w:tc>
        <w:tc>
          <w:tcPr>
            <w:tcW w:w="991" w:type="dxa"/>
            <w:vAlign w:val="top"/>
          </w:tcPr>
          <w:p w14:paraId="30A41261">
            <w:pPr>
              <w:pStyle w:val="6"/>
              <w:spacing w:before="63" w:line="241" w:lineRule="auto"/>
              <w:ind w:left="413"/>
            </w:pPr>
            <w:r>
              <w:rPr>
                <w:spacing w:val="-7"/>
              </w:rPr>
              <w:t>16</w:t>
            </w:r>
          </w:p>
        </w:tc>
        <w:tc>
          <w:tcPr>
            <w:tcW w:w="851" w:type="dxa"/>
            <w:vAlign w:val="top"/>
          </w:tcPr>
          <w:p w14:paraId="14AAB919">
            <w:pPr>
              <w:pStyle w:val="6"/>
              <w:spacing w:before="63" w:line="241" w:lineRule="auto"/>
              <w:ind w:left="330"/>
            </w:pPr>
            <w:r>
              <w:t>64</w:t>
            </w:r>
          </w:p>
        </w:tc>
        <w:tc>
          <w:tcPr>
            <w:tcW w:w="1279" w:type="dxa"/>
            <w:vAlign w:val="top"/>
          </w:tcPr>
          <w:p w14:paraId="4680AF17">
            <w:pPr>
              <w:pStyle w:val="6"/>
              <w:spacing w:before="63" w:line="228" w:lineRule="auto"/>
              <w:ind w:left="226"/>
            </w:pPr>
            <w:r>
              <w:rPr>
                <w:spacing w:val="6"/>
              </w:rPr>
              <w:t>绿化用水</w:t>
            </w:r>
          </w:p>
        </w:tc>
      </w:tr>
      <w:tr w14:paraId="5D479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412" w:type="dxa"/>
            <w:gridSpan w:val="2"/>
            <w:vAlign w:val="top"/>
          </w:tcPr>
          <w:p w14:paraId="7EFA9F9B">
            <w:pPr>
              <w:pStyle w:val="6"/>
              <w:spacing w:before="160" w:line="229" w:lineRule="auto"/>
              <w:ind w:left="1002"/>
            </w:pPr>
            <w:r>
              <w:rPr>
                <w:spacing w:val="4"/>
              </w:rPr>
              <w:t>合计</w:t>
            </w:r>
          </w:p>
        </w:tc>
        <w:tc>
          <w:tcPr>
            <w:tcW w:w="1275" w:type="dxa"/>
            <w:vAlign w:val="top"/>
          </w:tcPr>
          <w:p w14:paraId="14456C36">
            <w:pPr>
              <w:pStyle w:val="6"/>
              <w:spacing w:before="160" w:line="267" w:lineRule="exact"/>
              <w:ind w:left="332"/>
            </w:pPr>
            <w:r>
              <w:rPr>
                <w:spacing w:val="2"/>
                <w:position w:val="1"/>
              </w:rPr>
              <w:t>7639.2</w:t>
            </w:r>
          </w:p>
        </w:tc>
        <w:tc>
          <w:tcPr>
            <w:tcW w:w="850" w:type="dxa"/>
            <w:vAlign w:val="top"/>
          </w:tcPr>
          <w:p w14:paraId="72E4E2C4">
            <w:pPr>
              <w:pStyle w:val="6"/>
              <w:spacing w:before="160" w:line="268" w:lineRule="exact"/>
              <w:ind w:left="237"/>
            </w:pPr>
            <w:r>
              <w:rPr>
                <w:spacing w:val="-2"/>
                <w:position w:val="1"/>
              </w:rPr>
              <w:t>1024</w:t>
            </w:r>
          </w:p>
        </w:tc>
        <w:tc>
          <w:tcPr>
            <w:tcW w:w="850" w:type="dxa"/>
            <w:vAlign w:val="top"/>
          </w:tcPr>
          <w:p w14:paraId="1363714A">
            <w:pPr>
              <w:pStyle w:val="6"/>
              <w:spacing w:before="160" w:line="268" w:lineRule="exact"/>
              <w:ind w:left="221"/>
            </w:pPr>
            <w:r>
              <w:rPr>
                <w:spacing w:val="3"/>
                <w:position w:val="1"/>
              </w:rPr>
              <w:t>9380</w:t>
            </w:r>
          </w:p>
        </w:tc>
        <w:tc>
          <w:tcPr>
            <w:tcW w:w="991" w:type="dxa"/>
            <w:vAlign w:val="top"/>
          </w:tcPr>
          <w:p w14:paraId="1A29409E">
            <w:pPr>
              <w:pStyle w:val="6"/>
              <w:spacing w:before="160" w:line="267" w:lineRule="exact"/>
              <w:ind w:left="187"/>
            </w:pPr>
            <w:r>
              <w:rPr>
                <w:spacing w:val="3"/>
                <w:position w:val="1"/>
              </w:rPr>
              <w:t>908.16</w:t>
            </w:r>
          </w:p>
        </w:tc>
        <w:tc>
          <w:tcPr>
            <w:tcW w:w="851" w:type="dxa"/>
            <w:vAlign w:val="top"/>
          </w:tcPr>
          <w:p w14:paraId="113F14F4">
            <w:pPr>
              <w:pStyle w:val="6"/>
              <w:spacing w:before="160" w:line="267" w:lineRule="exact"/>
              <w:ind w:left="133"/>
            </w:pPr>
            <w:r>
              <w:rPr>
                <w:spacing w:val="1"/>
                <w:position w:val="1"/>
              </w:rPr>
              <w:t>115.84</w:t>
            </w:r>
          </w:p>
        </w:tc>
        <w:tc>
          <w:tcPr>
            <w:tcW w:w="1279" w:type="dxa"/>
            <w:vAlign w:val="top"/>
          </w:tcPr>
          <w:p w14:paraId="3B23EDAC">
            <w:pPr>
              <w:pStyle w:val="6"/>
              <w:spacing w:before="160" w:line="228" w:lineRule="auto"/>
              <w:ind w:left="120"/>
            </w:pPr>
            <w:r>
              <w:rPr>
                <w:spacing w:val="7"/>
              </w:rPr>
              <w:t>绿化、抑尘</w:t>
            </w:r>
          </w:p>
        </w:tc>
      </w:tr>
    </w:tbl>
    <w:p w14:paraId="5BE61FCF">
      <w:pPr>
        <w:spacing w:before="120" w:line="219" w:lineRule="auto"/>
        <w:ind w:left="585"/>
        <w:outlineLvl w:val="2"/>
        <w:rPr>
          <w:rFonts w:ascii="宋体" w:hAnsi="宋体" w:eastAsia="宋体" w:cs="宋体"/>
          <w:sz w:val="24"/>
          <w:szCs w:val="24"/>
        </w:rPr>
      </w:pPr>
      <w:bookmarkStart w:id="48" w:name="bookmark44"/>
      <w:bookmarkEnd w:id="48"/>
      <w:r>
        <w:rPr>
          <w:rFonts w:ascii="Times New Roman" w:hAnsi="Times New Roman" w:eastAsia="Times New Roman" w:cs="Times New Roman"/>
          <w:b/>
          <w:bCs/>
          <w:spacing w:val="-2"/>
          <w:sz w:val="24"/>
          <w:szCs w:val="24"/>
        </w:rPr>
        <w:t xml:space="preserve">3.2.5 </w:t>
      </w:r>
      <w:r>
        <w:rPr>
          <w:rFonts w:ascii="宋体" w:hAnsi="宋体" w:eastAsia="宋体" w:cs="宋体"/>
          <w:b/>
          <w:bCs/>
          <w:spacing w:val="-2"/>
          <w:sz w:val="24"/>
          <w:szCs w:val="24"/>
        </w:rPr>
        <w:t>生产工艺</w:t>
      </w:r>
    </w:p>
    <w:p w14:paraId="76A0BC67">
      <w:pPr>
        <w:spacing w:before="107" w:line="219" w:lineRule="auto"/>
        <w:ind w:left="631"/>
        <w:rPr>
          <w:rFonts w:ascii="宋体" w:hAnsi="宋体" w:eastAsia="宋体" w:cs="宋体"/>
          <w:sz w:val="24"/>
          <w:szCs w:val="24"/>
        </w:rPr>
      </w:pPr>
      <w:r>
        <w:rPr>
          <w:rFonts w:ascii="宋体" w:hAnsi="宋体" w:eastAsia="宋体" w:cs="宋体"/>
          <w:spacing w:val="-2"/>
          <w:sz w:val="24"/>
          <w:szCs w:val="24"/>
        </w:rPr>
        <w:t>（1）现有工程采矿生产工艺</w:t>
      </w:r>
    </w:p>
    <w:p w14:paraId="18F12BFE">
      <w:pPr>
        <w:spacing w:before="183" w:line="219" w:lineRule="auto"/>
        <w:ind w:left="621"/>
        <w:rPr>
          <w:rFonts w:ascii="宋体" w:hAnsi="宋体" w:eastAsia="宋体" w:cs="宋体"/>
          <w:sz w:val="24"/>
          <w:szCs w:val="24"/>
        </w:rPr>
      </w:pPr>
      <w:r>
        <w:rPr>
          <w:rFonts w:ascii="宋体" w:hAnsi="宋体" w:eastAsia="宋体" w:cs="宋体"/>
          <w:spacing w:val="-1"/>
          <w:sz w:val="24"/>
          <w:szCs w:val="24"/>
        </w:rPr>
        <w:t>现有工程采矿生产工艺及排污流程见图</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2"/>
          <w:sz w:val="24"/>
          <w:szCs w:val="24"/>
        </w:rPr>
        <w:t>2-1。</w:t>
      </w:r>
    </w:p>
    <w:p w14:paraId="5A030A60">
      <w:pPr>
        <w:pStyle w:val="2"/>
        <w:spacing w:line="266" w:lineRule="auto"/>
      </w:pPr>
    </w:p>
    <w:p w14:paraId="7C198F7E">
      <w:pPr>
        <w:spacing w:line="5488" w:lineRule="exact"/>
        <w:ind w:firstLine="381"/>
      </w:pPr>
      <w:r>
        <w:rPr>
          <w:position w:val="-109"/>
        </w:rPr>
        <w:drawing>
          <wp:inline distT="0" distB="0" distL="0" distR="0">
            <wp:extent cx="4819650" cy="34842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63"/>
                    <a:stretch>
                      <a:fillRect/>
                    </a:stretch>
                  </pic:blipFill>
                  <pic:spPr>
                    <a:xfrm>
                      <a:off x="0" y="0"/>
                      <a:ext cx="4819903" cy="3484879"/>
                    </a:xfrm>
                    <a:prstGeom prst="rect">
                      <a:avLst/>
                    </a:prstGeom>
                  </pic:spPr>
                </pic:pic>
              </a:graphicData>
            </a:graphic>
          </wp:inline>
        </w:drawing>
      </w:r>
    </w:p>
    <w:p w14:paraId="695C89A6">
      <w:pPr>
        <w:spacing w:before="170" w:line="219" w:lineRule="auto"/>
        <w:ind w:left="2433"/>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3.2-1      </w:t>
      </w:r>
      <w:r>
        <w:rPr>
          <w:rFonts w:ascii="宋体" w:hAnsi="宋体" w:eastAsia="宋体" w:cs="宋体"/>
          <w:spacing w:val="-2"/>
          <w:sz w:val="24"/>
          <w:szCs w:val="24"/>
        </w:rPr>
        <w:t>采矿工艺及排污节点示意图</w:t>
      </w:r>
    </w:p>
    <w:p w14:paraId="1D68467C">
      <w:pPr>
        <w:spacing w:before="117" w:line="219" w:lineRule="auto"/>
        <w:ind w:left="60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）现有</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 xml:space="preserve">1400t/d </w:t>
      </w:r>
      <w:r>
        <w:rPr>
          <w:rFonts w:ascii="宋体" w:hAnsi="宋体" w:eastAsia="宋体" w:cs="宋体"/>
          <w:spacing w:val="-3"/>
          <w:sz w:val="24"/>
          <w:szCs w:val="24"/>
        </w:rPr>
        <w:t>选矿工程生产工艺</w:t>
      </w:r>
    </w:p>
    <w:p w14:paraId="6AC8C5B9">
      <w:pPr>
        <w:spacing w:before="192" w:line="370" w:lineRule="auto"/>
        <w:ind w:left="111" w:right="252" w:firstLine="480"/>
        <w:rPr>
          <w:rFonts w:ascii="宋体" w:hAnsi="宋体" w:eastAsia="宋体" w:cs="宋体"/>
          <w:sz w:val="24"/>
          <w:szCs w:val="24"/>
        </w:rPr>
      </w:pPr>
      <w:r>
        <w:rPr>
          <w:rFonts w:ascii="宋体" w:hAnsi="宋体" w:eastAsia="宋体" w:cs="宋体"/>
          <w:spacing w:val="-1"/>
          <w:sz w:val="24"/>
          <w:szCs w:val="24"/>
        </w:rPr>
        <w:t>现有</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选矿工程生产工艺为碎磨流程采用“一段粗碎</w:t>
      </w:r>
      <w:r>
        <w:rPr>
          <w:rFonts w:ascii="Times New Roman" w:hAnsi="Times New Roman" w:eastAsia="Times New Roman" w:cs="Times New Roman"/>
          <w:spacing w:val="-1"/>
          <w:sz w:val="24"/>
          <w:szCs w:val="24"/>
        </w:rPr>
        <w:t>+</w:t>
      </w:r>
      <w:r>
        <w:rPr>
          <w:rFonts w:ascii="宋体" w:hAnsi="宋体" w:eastAsia="宋体" w:cs="宋体"/>
          <w:spacing w:val="-1"/>
          <w:sz w:val="24"/>
          <w:szCs w:val="24"/>
        </w:rPr>
        <w:t>半</w:t>
      </w:r>
      <w:r>
        <w:rPr>
          <w:rFonts w:ascii="宋体" w:hAnsi="宋体" w:eastAsia="宋体" w:cs="宋体"/>
          <w:spacing w:val="-2"/>
          <w:sz w:val="24"/>
          <w:szCs w:val="24"/>
        </w:rPr>
        <w:t>自磨</w:t>
      </w:r>
      <w:r>
        <w:rPr>
          <w:rFonts w:ascii="Times New Roman" w:hAnsi="Times New Roman" w:eastAsia="Times New Roman" w:cs="Times New Roman"/>
          <w:spacing w:val="-2"/>
          <w:sz w:val="24"/>
          <w:szCs w:val="24"/>
        </w:rPr>
        <w:t>+</w:t>
      </w:r>
      <w:r>
        <w:rPr>
          <w:rFonts w:ascii="宋体" w:hAnsi="宋体" w:eastAsia="宋体" w:cs="宋体"/>
          <w:spacing w:val="-2"/>
          <w:sz w:val="24"/>
          <w:szCs w:val="24"/>
        </w:rPr>
        <w:t>球磨</w:t>
      </w:r>
      <w:r>
        <w:rPr>
          <w:rFonts w:ascii="宋体" w:hAnsi="宋体" w:eastAsia="宋体" w:cs="宋体"/>
          <w:sz w:val="24"/>
          <w:szCs w:val="24"/>
        </w:rPr>
        <w:t xml:space="preserve"> </w:t>
      </w:r>
      <w:r>
        <w:rPr>
          <w:rFonts w:ascii="宋体" w:hAnsi="宋体" w:eastAsia="宋体" w:cs="宋体"/>
          <w:spacing w:val="-2"/>
          <w:sz w:val="24"/>
          <w:szCs w:val="24"/>
        </w:rPr>
        <w:t>流程</w:t>
      </w:r>
      <w:r>
        <w:rPr>
          <w:rFonts w:ascii="宋体" w:hAnsi="宋体" w:eastAsia="宋体" w:cs="宋体"/>
          <w:spacing w:val="-88"/>
          <w:sz w:val="24"/>
          <w:szCs w:val="24"/>
        </w:rPr>
        <w:t xml:space="preserve"> </w:t>
      </w:r>
      <w:r>
        <w:rPr>
          <w:rFonts w:ascii="宋体" w:hAnsi="宋体" w:eastAsia="宋体" w:cs="宋体"/>
          <w:spacing w:val="-2"/>
          <w:sz w:val="24"/>
          <w:szCs w:val="24"/>
        </w:rPr>
        <w:t>”，浮选流程采用“铅锌优先浮选的流程</w:t>
      </w:r>
      <w:r>
        <w:rPr>
          <w:rFonts w:ascii="宋体" w:hAnsi="宋体" w:eastAsia="宋体" w:cs="宋体"/>
          <w:spacing w:val="-88"/>
          <w:sz w:val="24"/>
          <w:szCs w:val="24"/>
        </w:rPr>
        <w:t xml:space="preserve"> </w:t>
      </w:r>
      <w:r>
        <w:rPr>
          <w:rFonts w:ascii="宋体" w:hAnsi="宋体" w:eastAsia="宋体" w:cs="宋体"/>
          <w:spacing w:val="-2"/>
          <w:sz w:val="24"/>
          <w:szCs w:val="24"/>
        </w:rPr>
        <w:t>”，精矿脱水</w:t>
      </w:r>
      <w:r>
        <w:rPr>
          <w:rFonts w:ascii="宋体" w:hAnsi="宋体" w:eastAsia="宋体" w:cs="宋体"/>
          <w:spacing w:val="-3"/>
          <w:sz w:val="24"/>
          <w:szCs w:val="24"/>
        </w:rPr>
        <w:t>流程采用“浓密</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过滤两段脱水流程</w:t>
      </w:r>
      <w:r>
        <w:rPr>
          <w:rFonts w:ascii="宋体" w:hAnsi="宋体" w:eastAsia="宋体" w:cs="宋体"/>
          <w:spacing w:val="-88"/>
          <w:sz w:val="24"/>
          <w:szCs w:val="24"/>
        </w:rPr>
        <w:t xml:space="preserve"> </w:t>
      </w:r>
      <w:r>
        <w:rPr>
          <w:rFonts w:ascii="宋体" w:hAnsi="宋体" w:eastAsia="宋体" w:cs="宋体"/>
          <w:spacing w:val="-1"/>
          <w:sz w:val="24"/>
          <w:szCs w:val="24"/>
        </w:rPr>
        <w:t>”，尾矿在井下充填作业时直接输送</w:t>
      </w:r>
      <w:r>
        <w:rPr>
          <w:rFonts w:ascii="宋体" w:hAnsi="宋体" w:eastAsia="宋体" w:cs="宋体"/>
          <w:spacing w:val="-2"/>
          <w:sz w:val="24"/>
          <w:szCs w:val="24"/>
        </w:rPr>
        <w:t>至充填站砂仓，在井下</w:t>
      </w:r>
    </w:p>
    <w:p w14:paraId="2FD0E286">
      <w:pPr>
        <w:spacing w:line="370" w:lineRule="auto"/>
        <w:rPr>
          <w:rFonts w:ascii="宋体" w:hAnsi="宋体" w:eastAsia="宋体" w:cs="宋体"/>
          <w:sz w:val="24"/>
          <w:szCs w:val="24"/>
        </w:rPr>
        <w:sectPr>
          <w:headerReference r:id="rId69" w:type="default"/>
          <w:footerReference r:id="rId70" w:type="default"/>
          <w:pgSz w:w="11906" w:h="16839"/>
          <w:pgMar w:top="1208" w:right="1696" w:bottom="1358" w:left="1696" w:header="825" w:footer="1195" w:gutter="0"/>
          <w:cols w:space="720" w:num="1"/>
        </w:sectPr>
      </w:pPr>
    </w:p>
    <w:p w14:paraId="113DB288">
      <w:pPr>
        <w:pStyle w:val="2"/>
        <w:spacing w:line="270" w:lineRule="auto"/>
      </w:pPr>
    </w:p>
    <w:p w14:paraId="3ADBB83A">
      <w:pPr>
        <w:spacing w:before="78" w:line="219" w:lineRule="auto"/>
        <w:ind w:left="23"/>
        <w:rPr>
          <w:rFonts w:ascii="宋体" w:hAnsi="宋体" w:eastAsia="宋体" w:cs="宋体"/>
          <w:sz w:val="24"/>
          <w:szCs w:val="24"/>
        </w:rPr>
      </w:pPr>
      <w:r>
        <w:rPr>
          <w:rFonts w:ascii="宋体" w:hAnsi="宋体" w:eastAsia="宋体" w:cs="宋体"/>
          <w:spacing w:val="-1"/>
          <w:sz w:val="24"/>
          <w:szCs w:val="24"/>
        </w:rPr>
        <w:t>充填不作业时经厂前浓密后高浓度输送至尾矿库内。</w:t>
      </w:r>
    </w:p>
    <w:p w14:paraId="6CE65A06">
      <w:pPr>
        <w:spacing w:before="195" w:line="219" w:lineRule="auto"/>
        <w:ind w:left="519"/>
        <w:rPr>
          <w:rFonts w:ascii="宋体" w:hAnsi="宋体" w:eastAsia="宋体" w:cs="宋体"/>
          <w:sz w:val="24"/>
          <w:szCs w:val="24"/>
        </w:rPr>
      </w:pPr>
      <w:r>
        <w:rPr>
          <w:rFonts w:ascii="Times New Roman" w:hAnsi="Times New Roman" w:eastAsia="Times New Roman" w:cs="Times New Roman"/>
          <w:spacing w:val="-2"/>
          <w:sz w:val="24"/>
          <w:szCs w:val="24"/>
        </w:rPr>
        <w:t xml:space="preserve">1400t/d </w:t>
      </w:r>
      <w:r>
        <w:rPr>
          <w:rFonts w:ascii="宋体" w:hAnsi="宋体" w:eastAsia="宋体" w:cs="宋体"/>
          <w:spacing w:val="-2"/>
          <w:sz w:val="24"/>
          <w:szCs w:val="24"/>
        </w:rPr>
        <w:t>选矿工程生产工艺见图</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3.2-2</w:t>
      </w:r>
      <w:r>
        <w:rPr>
          <w:rFonts w:ascii="宋体" w:hAnsi="宋体" w:eastAsia="宋体" w:cs="宋体"/>
          <w:spacing w:val="-2"/>
          <w:sz w:val="24"/>
          <w:szCs w:val="24"/>
        </w:rPr>
        <w:t>。</w:t>
      </w:r>
    </w:p>
    <w:p w14:paraId="1AE3D7E3">
      <w:pPr>
        <w:spacing w:line="219" w:lineRule="auto"/>
        <w:rPr>
          <w:rFonts w:ascii="宋体" w:hAnsi="宋体" w:eastAsia="宋体" w:cs="宋体"/>
          <w:sz w:val="24"/>
          <w:szCs w:val="24"/>
        </w:rPr>
        <w:sectPr>
          <w:headerReference r:id="rId71" w:type="default"/>
          <w:footerReference r:id="rId72" w:type="default"/>
          <w:pgSz w:w="11906" w:h="16839"/>
          <w:pgMar w:top="1208" w:right="1785" w:bottom="1358" w:left="1785" w:header="825" w:footer="1195" w:gutter="0"/>
          <w:cols w:space="720" w:num="1"/>
        </w:sectPr>
      </w:pPr>
    </w:p>
    <w:p w14:paraId="1101B1BB">
      <w:pPr>
        <w:pStyle w:val="2"/>
        <w:spacing w:line="313" w:lineRule="auto"/>
      </w:pPr>
    </w:p>
    <w:p w14:paraId="7A6F8D9F">
      <w:pPr>
        <w:pStyle w:val="2"/>
        <w:spacing w:line="314" w:lineRule="auto"/>
      </w:pPr>
    </w:p>
    <w:p w14:paraId="6422B516">
      <w:pPr>
        <w:spacing w:line="7568" w:lineRule="exact"/>
        <w:ind w:firstLine="813"/>
      </w:pPr>
      <w:r>
        <w:rPr>
          <w:position w:val="-151"/>
        </w:rPr>
        <w:drawing>
          <wp:inline distT="0" distB="0" distL="0" distR="0">
            <wp:extent cx="7825740" cy="48050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64"/>
                    <a:stretch>
                      <a:fillRect/>
                    </a:stretch>
                  </pic:blipFill>
                  <pic:spPr>
                    <a:xfrm>
                      <a:off x="0" y="0"/>
                      <a:ext cx="7825740" cy="4805171"/>
                    </a:xfrm>
                    <a:prstGeom prst="rect">
                      <a:avLst/>
                    </a:prstGeom>
                  </pic:spPr>
                </pic:pic>
              </a:graphicData>
            </a:graphic>
          </wp:inline>
        </w:drawing>
      </w:r>
    </w:p>
    <w:p w14:paraId="535A71A6">
      <w:pPr>
        <w:spacing w:before="164" w:line="219" w:lineRule="auto"/>
        <w:ind w:left="513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3.2-2</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3"/>
          <w:sz w:val="24"/>
          <w:szCs w:val="24"/>
        </w:rPr>
        <w:t xml:space="preserve">1400t/d </w:t>
      </w:r>
      <w:r>
        <w:rPr>
          <w:rFonts w:ascii="宋体" w:hAnsi="宋体" w:eastAsia="宋体" w:cs="宋体"/>
          <w:spacing w:val="-3"/>
          <w:sz w:val="24"/>
          <w:szCs w:val="24"/>
        </w:rPr>
        <w:t>选矿工程工艺</w:t>
      </w:r>
      <w:r>
        <w:rPr>
          <w:rFonts w:ascii="宋体" w:hAnsi="宋体" w:eastAsia="宋体" w:cs="宋体"/>
          <w:spacing w:val="-4"/>
          <w:sz w:val="24"/>
          <w:szCs w:val="24"/>
        </w:rPr>
        <w:t>流程图</w:t>
      </w:r>
    </w:p>
    <w:p w14:paraId="62204CCF">
      <w:pPr>
        <w:spacing w:line="219" w:lineRule="auto"/>
        <w:rPr>
          <w:rFonts w:ascii="宋体" w:hAnsi="宋体" w:eastAsia="宋体" w:cs="宋体"/>
          <w:sz w:val="24"/>
          <w:szCs w:val="24"/>
        </w:rPr>
        <w:sectPr>
          <w:headerReference r:id="rId73" w:type="default"/>
          <w:footerReference r:id="rId74" w:type="default"/>
          <w:pgSz w:w="16839" w:h="11906"/>
          <w:pgMar w:top="1208" w:right="1440" w:bottom="1358" w:left="1440" w:header="825" w:footer="1195" w:gutter="0"/>
          <w:cols w:space="720" w:num="1"/>
        </w:sectPr>
      </w:pPr>
    </w:p>
    <w:p w14:paraId="1EF85CF1">
      <w:pPr>
        <w:pStyle w:val="2"/>
        <w:spacing w:line="268" w:lineRule="auto"/>
      </w:pPr>
    </w:p>
    <w:p w14:paraId="38AECDDE">
      <w:pPr>
        <w:spacing w:before="78" w:line="336" w:lineRule="auto"/>
        <w:ind w:left="496" w:right="3990" w:firstLine="15"/>
        <w:rPr>
          <w:rFonts w:ascii="Times New Roman" w:hAnsi="Times New Roman" w:eastAsia="Times New Roman" w:cs="Times New Roman"/>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）现有</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选矿工程生产工艺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选矿工程生产工艺见图</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3.2-3</w:t>
      </w:r>
    </w:p>
    <w:p w14:paraId="60EC1230">
      <w:pPr>
        <w:spacing w:line="3120" w:lineRule="exact"/>
        <w:ind w:firstLine="11"/>
      </w:pPr>
      <w:r>
        <w:rPr>
          <w:position w:val="-62"/>
        </w:rPr>
        <w:drawing>
          <wp:inline distT="0" distB="0" distL="0" distR="0">
            <wp:extent cx="5254625" cy="19812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65"/>
                    <a:stretch>
                      <a:fillRect/>
                    </a:stretch>
                  </pic:blipFill>
                  <pic:spPr>
                    <a:xfrm>
                      <a:off x="0" y="0"/>
                      <a:ext cx="5254752" cy="1981200"/>
                    </a:xfrm>
                    <a:prstGeom prst="rect">
                      <a:avLst/>
                    </a:prstGeom>
                  </pic:spPr>
                </pic:pic>
              </a:graphicData>
            </a:graphic>
          </wp:inline>
        </w:drawing>
      </w:r>
    </w:p>
    <w:p w14:paraId="24A99F0A">
      <w:pPr>
        <w:spacing w:before="155" w:line="219" w:lineRule="auto"/>
        <w:ind w:left="2247"/>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3.2-3        2000t/d </w:t>
      </w:r>
      <w:r>
        <w:rPr>
          <w:rFonts w:ascii="宋体" w:hAnsi="宋体" w:eastAsia="宋体" w:cs="宋体"/>
          <w:spacing w:val="-2"/>
          <w:sz w:val="24"/>
          <w:szCs w:val="24"/>
        </w:rPr>
        <w:t>选矿工程工艺流程图</w:t>
      </w:r>
    </w:p>
    <w:p w14:paraId="5974BE44">
      <w:pPr>
        <w:spacing w:before="192" w:line="220" w:lineRule="auto"/>
        <w:ind w:left="15"/>
        <w:outlineLvl w:val="2"/>
        <w:rPr>
          <w:rFonts w:ascii="宋体" w:hAnsi="宋体" w:eastAsia="宋体" w:cs="宋体"/>
          <w:sz w:val="24"/>
          <w:szCs w:val="24"/>
        </w:rPr>
      </w:pPr>
      <w:bookmarkStart w:id="49" w:name="bookmark45"/>
      <w:bookmarkEnd w:id="49"/>
      <w:r>
        <w:rPr>
          <w:rFonts w:ascii="Times New Roman" w:hAnsi="Times New Roman" w:eastAsia="Times New Roman" w:cs="Times New Roman"/>
          <w:b/>
          <w:bCs/>
          <w:spacing w:val="-2"/>
          <w:sz w:val="24"/>
          <w:szCs w:val="24"/>
        </w:rPr>
        <w:t xml:space="preserve">3.2.6 </w:t>
      </w:r>
      <w:r>
        <w:rPr>
          <w:rFonts w:ascii="宋体" w:hAnsi="宋体" w:eastAsia="宋体" w:cs="宋体"/>
          <w:b/>
          <w:bCs/>
          <w:spacing w:val="-2"/>
          <w:sz w:val="24"/>
          <w:szCs w:val="24"/>
        </w:rPr>
        <w:t>工程污染物排放情况及污染防治措施</w:t>
      </w:r>
    </w:p>
    <w:p w14:paraId="1B71929D">
      <w:pPr>
        <w:spacing w:before="194" w:line="220" w:lineRule="auto"/>
        <w:ind w:left="501"/>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3.2.6.1 </w:t>
      </w:r>
      <w:r>
        <w:rPr>
          <w:rFonts w:ascii="宋体" w:hAnsi="宋体" w:eastAsia="宋体" w:cs="宋体"/>
          <w:spacing w:val="-1"/>
          <w:sz w:val="24"/>
          <w:szCs w:val="24"/>
        </w:rPr>
        <w:t>废气</w:t>
      </w:r>
    </w:p>
    <w:p w14:paraId="500E964F">
      <w:pPr>
        <w:spacing w:before="193" w:line="368" w:lineRule="auto"/>
        <w:ind w:left="21" w:right="162" w:firstLine="481"/>
        <w:jc w:val="both"/>
        <w:rPr>
          <w:rFonts w:ascii="宋体" w:hAnsi="宋体" w:eastAsia="宋体" w:cs="宋体"/>
          <w:sz w:val="24"/>
          <w:szCs w:val="24"/>
        </w:rPr>
      </w:pPr>
      <w:r>
        <w:rPr>
          <w:rFonts w:ascii="宋体" w:hAnsi="宋体" w:eastAsia="宋体" w:cs="宋体"/>
          <w:sz w:val="24"/>
          <w:szCs w:val="24"/>
        </w:rPr>
        <w:t>现有工程污染物排放主要为选矿过程物料运</w:t>
      </w:r>
      <w:r>
        <w:rPr>
          <w:rFonts w:ascii="宋体" w:hAnsi="宋体" w:eastAsia="宋体" w:cs="宋体"/>
          <w:spacing w:val="-1"/>
          <w:sz w:val="24"/>
          <w:szCs w:val="24"/>
        </w:rPr>
        <w:t>输、装卸、破碎粉尘和锅炉烟</w:t>
      </w:r>
      <w:r>
        <w:rPr>
          <w:rFonts w:ascii="宋体" w:hAnsi="宋体" w:eastAsia="宋体" w:cs="宋体"/>
          <w:sz w:val="24"/>
          <w:szCs w:val="24"/>
        </w:rPr>
        <w:t xml:space="preserve"> 气。采矿为井下作业，采用湿式凿岩；矿渣洒水；在</w:t>
      </w:r>
      <w:r>
        <w:rPr>
          <w:rFonts w:ascii="宋体" w:hAnsi="宋体" w:eastAsia="宋体" w:cs="宋体"/>
          <w:spacing w:val="-1"/>
          <w:sz w:val="24"/>
          <w:szCs w:val="24"/>
        </w:rPr>
        <w:t>溜井口、放矿口安装喷雾</w:t>
      </w:r>
      <w:r>
        <w:rPr>
          <w:rFonts w:ascii="宋体" w:hAnsi="宋体" w:eastAsia="宋体" w:cs="宋体"/>
          <w:sz w:val="24"/>
          <w:szCs w:val="24"/>
        </w:rPr>
        <w:t xml:space="preserve"> </w:t>
      </w:r>
      <w:r>
        <w:rPr>
          <w:rFonts w:ascii="宋体" w:hAnsi="宋体" w:eastAsia="宋体" w:cs="宋体"/>
          <w:spacing w:val="-2"/>
          <w:sz w:val="24"/>
          <w:szCs w:val="24"/>
        </w:rPr>
        <w:t>器；破碎硐室选用</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8"/>
          <w:w w:val="101"/>
          <w:sz w:val="24"/>
          <w:szCs w:val="24"/>
        </w:rPr>
        <w:t xml:space="preserve"> </w:t>
      </w:r>
      <w:r>
        <w:rPr>
          <w:rFonts w:ascii="宋体" w:hAnsi="宋体" w:eastAsia="宋体" w:cs="宋体"/>
          <w:spacing w:val="-2"/>
          <w:sz w:val="24"/>
          <w:szCs w:val="24"/>
        </w:rPr>
        <w:t>台</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DZF-150A </w:t>
      </w:r>
      <w:r>
        <w:rPr>
          <w:rFonts w:ascii="宋体" w:hAnsi="宋体" w:eastAsia="宋体" w:cs="宋体"/>
          <w:spacing w:val="-2"/>
          <w:sz w:val="24"/>
          <w:szCs w:val="24"/>
        </w:rPr>
        <w:t>袋式除尘器，经除尘器净化后的气体与其他</w:t>
      </w:r>
      <w:r>
        <w:rPr>
          <w:rFonts w:ascii="宋体" w:hAnsi="宋体" w:eastAsia="宋体" w:cs="宋体"/>
          <w:sz w:val="24"/>
          <w:szCs w:val="24"/>
        </w:rPr>
        <w:t xml:space="preserve"> </w:t>
      </w:r>
      <w:r>
        <w:rPr>
          <w:rFonts w:ascii="宋体" w:hAnsi="宋体" w:eastAsia="宋体" w:cs="宋体"/>
          <w:spacing w:val="-1"/>
          <w:sz w:val="24"/>
          <w:szCs w:val="24"/>
        </w:rPr>
        <w:t>井巷回风一同排入大气。</w:t>
      </w:r>
    </w:p>
    <w:p w14:paraId="7CA7ED30">
      <w:pPr>
        <w:spacing w:line="367" w:lineRule="auto"/>
        <w:ind w:left="26" w:right="101" w:firstLine="478"/>
        <w:rPr>
          <w:rFonts w:ascii="宋体" w:hAnsi="宋体" w:eastAsia="宋体" w:cs="宋体"/>
          <w:sz w:val="24"/>
          <w:szCs w:val="24"/>
        </w:rPr>
      </w:pPr>
      <w:r>
        <w:rPr>
          <w:rFonts w:ascii="宋体" w:hAnsi="宋体" w:eastAsia="宋体" w:cs="宋体"/>
          <w:spacing w:val="-6"/>
          <w:sz w:val="24"/>
          <w:szCs w:val="24"/>
        </w:rPr>
        <w:t>项目原矿堆场四周设置防风抑尘网，对原料装卸、运输过程进行洒水降尘，</w:t>
      </w:r>
      <w:r>
        <w:rPr>
          <w:rFonts w:ascii="宋体" w:hAnsi="宋体" w:eastAsia="宋体" w:cs="宋体"/>
          <w:spacing w:val="5"/>
          <w:sz w:val="24"/>
          <w:szCs w:val="24"/>
        </w:rPr>
        <w:t xml:space="preserve"> </w:t>
      </w:r>
      <w:r>
        <w:rPr>
          <w:rFonts w:ascii="宋体" w:hAnsi="宋体" w:eastAsia="宋体" w:cs="宋体"/>
          <w:spacing w:val="-1"/>
          <w:sz w:val="24"/>
          <w:szCs w:val="24"/>
        </w:rPr>
        <w:t>原料装卸粉尘排放量约</w:t>
      </w:r>
      <w:r>
        <w:rPr>
          <w:rFonts w:ascii="宋体" w:hAnsi="宋体" w:eastAsia="宋体" w:cs="宋体"/>
          <w:spacing w:val="-46"/>
          <w:sz w:val="24"/>
          <w:szCs w:val="24"/>
        </w:rPr>
        <w:t xml:space="preserve"> </w:t>
      </w:r>
      <w:r>
        <w:rPr>
          <w:rFonts w:ascii="宋体" w:hAnsi="宋体" w:eastAsia="宋体" w:cs="宋体"/>
          <w:spacing w:val="-1"/>
          <w:sz w:val="24"/>
          <w:szCs w:val="24"/>
        </w:rPr>
        <w:t>5.24 t/a，车辆运</w:t>
      </w:r>
      <w:r>
        <w:rPr>
          <w:rFonts w:ascii="宋体" w:hAnsi="宋体" w:eastAsia="宋体" w:cs="宋体"/>
          <w:spacing w:val="-2"/>
          <w:sz w:val="24"/>
          <w:szCs w:val="24"/>
        </w:rPr>
        <w:t>输粉尘排放量约</w:t>
      </w:r>
      <w:r>
        <w:rPr>
          <w:rFonts w:ascii="宋体" w:hAnsi="宋体" w:eastAsia="宋体" w:cs="宋体"/>
          <w:spacing w:val="-33"/>
          <w:sz w:val="24"/>
          <w:szCs w:val="24"/>
        </w:rPr>
        <w:t xml:space="preserve"> </w:t>
      </w:r>
      <w:r>
        <w:rPr>
          <w:rFonts w:ascii="宋体" w:hAnsi="宋体" w:eastAsia="宋体" w:cs="宋体"/>
          <w:spacing w:val="-2"/>
          <w:sz w:val="24"/>
          <w:szCs w:val="24"/>
        </w:rPr>
        <w:t>11.355 t/a。</w:t>
      </w:r>
    </w:p>
    <w:p w14:paraId="78981AB4">
      <w:pPr>
        <w:spacing w:before="1" w:line="368" w:lineRule="auto"/>
        <w:ind w:left="23" w:right="162" w:firstLine="494"/>
        <w:rPr>
          <w:rFonts w:ascii="宋体" w:hAnsi="宋体" w:eastAsia="宋体" w:cs="宋体"/>
          <w:sz w:val="24"/>
          <w:szCs w:val="24"/>
        </w:rPr>
      </w:pPr>
      <w:r>
        <w:rPr>
          <w:rFonts w:ascii="宋体" w:hAnsi="宋体" w:eastAsia="宋体" w:cs="宋体"/>
          <w:spacing w:val="-3"/>
          <w:sz w:val="24"/>
          <w:szCs w:val="24"/>
        </w:rPr>
        <w:t>1400t/d</w:t>
      </w:r>
      <w:r>
        <w:rPr>
          <w:rFonts w:ascii="宋体" w:hAnsi="宋体" w:eastAsia="宋体" w:cs="宋体"/>
          <w:spacing w:val="-52"/>
          <w:sz w:val="24"/>
          <w:szCs w:val="24"/>
        </w:rPr>
        <w:t xml:space="preserve"> </w:t>
      </w:r>
      <w:r>
        <w:rPr>
          <w:rFonts w:ascii="宋体" w:hAnsi="宋体" w:eastAsia="宋体" w:cs="宋体"/>
          <w:spacing w:val="-3"/>
          <w:sz w:val="24"/>
          <w:szCs w:val="24"/>
        </w:rPr>
        <w:t>选矿工程采用粗碎+半自磨+球磨即</w:t>
      </w:r>
      <w:r>
        <w:rPr>
          <w:rFonts w:ascii="宋体" w:hAnsi="宋体" w:eastAsia="宋体" w:cs="宋体"/>
          <w:spacing w:val="-4"/>
          <w:sz w:val="24"/>
          <w:szCs w:val="24"/>
        </w:rPr>
        <w:t>“SAB</w:t>
      </w:r>
      <w:r>
        <w:rPr>
          <w:rFonts w:ascii="宋体" w:hAnsi="宋体" w:eastAsia="宋体" w:cs="宋体"/>
          <w:spacing w:val="-88"/>
          <w:sz w:val="24"/>
          <w:szCs w:val="24"/>
        </w:rPr>
        <w:t xml:space="preserve"> </w:t>
      </w:r>
      <w:r>
        <w:rPr>
          <w:rFonts w:ascii="宋体" w:hAnsi="宋体" w:eastAsia="宋体" w:cs="宋体"/>
          <w:spacing w:val="-4"/>
          <w:sz w:val="24"/>
          <w:szCs w:val="24"/>
        </w:rPr>
        <w:t>”流程，粗碎和中间堆场</w:t>
      </w:r>
      <w:r>
        <w:rPr>
          <w:rFonts w:ascii="宋体" w:hAnsi="宋体" w:eastAsia="宋体" w:cs="宋体"/>
          <w:sz w:val="24"/>
          <w:szCs w:val="24"/>
        </w:rPr>
        <w:t xml:space="preserve"> </w:t>
      </w:r>
      <w:r>
        <w:rPr>
          <w:rFonts w:ascii="宋体" w:hAnsi="宋体" w:eastAsia="宋体" w:cs="宋体"/>
          <w:spacing w:val="-8"/>
          <w:sz w:val="24"/>
          <w:szCs w:val="24"/>
        </w:rPr>
        <w:t>各设有</w:t>
      </w:r>
      <w:r>
        <w:rPr>
          <w:rFonts w:ascii="宋体" w:hAnsi="宋体" w:eastAsia="宋体" w:cs="宋体"/>
          <w:spacing w:val="-22"/>
          <w:sz w:val="24"/>
          <w:szCs w:val="24"/>
        </w:rPr>
        <w:t xml:space="preserve"> </w:t>
      </w:r>
      <w:r>
        <w:rPr>
          <w:rFonts w:ascii="宋体" w:hAnsi="宋体" w:eastAsia="宋体" w:cs="宋体"/>
          <w:spacing w:val="-8"/>
          <w:sz w:val="24"/>
          <w:szCs w:val="24"/>
        </w:rPr>
        <w:t>1</w:t>
      </w:r>
      <w:r>
        <w:rPr>
          <w:rFonts w:ascii="宋体" w:hAnsi="宋体" w:eastAsia="宋体" w:cs="宋体"/>
          <w:spacing w:val="-51"/>
          <w:sz w:val="24"/>
          <w:szCs w:val="24"/>
        </w:rPr>
        <w:t xml:space="preserve"> </w:t>
      </w:r>
      <w:r>
        <w:rPr>
          <w:rFonts w:ascii="宋体" w:hAnsi="宋体" w:eastAsia="宋体" w:cs="宋体"/>
          <w:spacing w:val="-8"/>
          <w:sz w:val="24"/>
          <w:szCs w:val="24"/>
        </w:rPr>
        <w:t>根</w:t>
      </w:r>
      <w:r>
        <w:rPr>
          <w:rFonts w:ascii="宋体" w:hAnsi="宋体" w:eastAsia="宋体" w:cs="宋体"/>
          <w:spacing w:val="-33"/>
          <w:sz w:val="24"/>
          <w:szCs w:val="24"/>
        </w:rPr>
        <w:t xml:space="preserve"> </w:t>
      </w:r>
      <w:r>
        <w:rPr>
          <w:rFonts w:ascii="宋体" w:hAnsi="宋体" w:eastAsia="宋体" w:cs="宋体"/>
          <w:spacing w:val="-8"/>
          <w:sz w:val="24"/>
          <w:szCs w:val="24"/>
        </w:rPr>
        <w:t>15m</w:t>
      </w:r>
      <w:r>
        <w:rPr>
          <w:rFonts w:ascii="宋体" w:hAnsi="宋体" w:eastAsia="宋体" w:cs="宋体"/>
          <w:spacing w:val="-44"/>
          <w:sz w:val="24"/>
          <w:szCs w:val="24"/>
        </w:rPr>
        <w:t xml:space="preserve"> </w:t>
      </w:r>
      <w:r>
        <w:rPr>
          <w:rFonts w:ascii="宋体" w:hAnsi="宋体" w:eastAsia="宋体" w:cs="宋体"/>
          <w:spacing w:val="-8"/>
          <w:sz w:val="24"/>
          <w:szCs w:val="24"/>
        </w:rPr>
        <w:t>高排气筒。</w:t>
      </w:r>
    </w:p>
    <w:p w14:paraId="27E46BA9">
      <w:pPr>
        <w:spacing w:before="7" w:line="367" w:lineRule="auto"/>
        <w:ind w:left="20" w:right="101" w:firstLine="483"/>
        <w:jc w:val="both"/>
        <w:rPr>
          <w:rFonts w:ascii="宋体" w:hAnsi="宋体" w:eastAsia="宋体" w:cs="宋体"/>
          <w:sz w:val="24"/>
          <w:szCs w:val="24"/>
        </w:rPr>
      </w:pPr>
      <w:r>
        <w:rPr>
          <w:rFonts w:ascii="宋体" w:hAnsi="宋体" w:eastAsia="宋体" w:cs="宋体"/>
          <w:spacing w:val="-2"/>
          <w:sz w:val="24"/>
          <w:szCs w:val="24"/>
        </w:rPr>
        <w:t>2000t/d</w:t>
      </w:r>
      <w:r>
        <w:rPr>
          <w:rFonts w:ascii="宋体" w:hAnsi="宋体" w:eastAsia="宋体" w:cs="宋体"/>
          <w:spacing w:val="-50"/>
          <w:sz w:val="24"/>
          <w:szCs w:val="24"/>
        </w:rPr>
        <w:t xml:space="preserve"> </w:t>
      </w:r>
      <w:r>
        <w:rPr>
          <w:rFonts w:ascii="宋体" w:hAnsi="宋体" w:eastAsia="宋体" w:cs="宋体"/>
          <w:spacing w:val="-2"/>
          <w:sz w:val="24"/>
          <w:szCs w:val="24"/>
        </w:rPr>
        <w:t>选矿工程设有</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套布袋除尘器和</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根</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15m </w:t>
      </w:r>
      <w:r>
        <w:rPr>
          <w:rFonts w:ascii="宋体" w:hAnsi="宋体" w:eastAsia="宋体" w:cs="宋体"/>
          <w:spacing w:val="-2"/>
          <w:sz w:val="24"/>
          <w:szCs w:val="24"/>
        </w:rPr>
        <w:t>高排气筒，分别为粗碎</w:t>
      </w:r>
      <w:r>
        <w:rPr>
          <w:rFonts w:ascii="宋体" w:hAnsi="宋体" w:eastAsia="宋体" w:cs="宋体"/>
          <w:sz w:val="24"/>
          <w:szCs w:val="24"/>
        </w:rPr>
        <w:t xml:space="preserve"> </w:t>
      </w:r>
      <w:r>
        <w:rPr>
          <w:rFonts w:ascii="宋体" w:hAnsi="宋体" w:eastAsia="宋体" w:cs="宋体"/>
          <w:spacing w:val="-5"/>
          <w:sz w:val="24"/>
          <w:szCs w:val="24"/>
        </w:rPr>
        <w:t>除尘器排气筒、中碎除尘器排气筒和中细碎除尘器</w:t>
      </w:r>
      <w:r>
        <w:rPr>
          <w:rFonts w:ascii="宋体" w:hAnsi="宋体" w:eastAsia="宋体" w:cs="宋体"/>
          <w:spacing w:val="-6"/>
          <w:sz w:val="24"/>
          <w:szCs w:val="24"/>
        </w:rPr>
        <w:t>排气筒。根据日常监测数据，</w:t>
      </w:r>
      <w:r>
        <w:rPr>
          <w:rFonts w:ascii="宋体" w:hAnsi="宋体" w:eastAsia="宋体" w:cs="宋体"/>
          <w:sz w:val="24"/>
          <w:szCs w:val="24"/>
        </w:rPr>
        <w:t xml:space="preserve"> 破碎系统颗粒物排放速率为</w:t>
      </w:r>
      <w:r>
        <w:rPr>
          <w:rFonts w:ascii="宋体" w:hAnsi="宋体" w:eastAsia="宋体" w:cs="宋体"/>
          <w:spacing w:val="-11"/>
          <w:sz w:val="24"/>
          <w:szCs w:val="24"/>
        </w:rPr>
        <w:t xml:space="preserve"> </w:t>
      </w:r>
      <w:r>
        <w:rPr>
          <w:rFonts w:ascii="Times New Roman" w:hAnsi="Times New Roman" w:eastAsia="Times New Roman" w:cs="Times New Roman"/>
          <w:sz w:val="24"/>
          <w:szCs w:val="24"/>
        </w:rPr>
        <w:t>1.387kg/h</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，按平均运行</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5h/d </w:t>
      </w:r>
      <w:r>
        <w:rPr>
          <w:rFonts w:ascii="宋体" w:hAnsi="宋体" w:eastAsia="宋体" w:cs="宋体"/>
          <w:sz w:val="24"/>
          <w:szCs w:val="24"/>
        </w:rPr>
        <w:t xml:space="preserve">计，颗粒物排放量为 </w:t>
      </w:r>
      <w:r>
        <w:rPr>
          <w:rFonts w:ascii="Times New Roman" w:hAnsi="Times New Roman" w:eastAsia="Times New Roman" w:cs="Times New Roman"/>
          <w:spacing w:val="-1"/>
          <w:sz w:val="24"/>
          <w:szCs w:val="24"/>
        </w:rPr>
        <w:t>1.46 t/a</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。车间无组织粉尘通过车间天窗溢散到环境中，根据已批复环评</w:t>
      </w:r>
      <w:r>
        <w:rPr>
          <w:rFonts w:ascii="宋体" w:hAnsi="宋体" w:eastAsia="宋体" w:cs="宋体"/>
          <w:spacing w:val="-2"/>
          <w:sz w:val="24"/>
          <w:szCs w:val="24"/>
        </w:rPr>
        <w:t>，颗粒</w:t>
      </w:r>
      <w:r>
        <w:rPr>
          <w:rFonts w:ascii="宋体" w:hAnsi="宋体" w:eastAsia="宋体" w:cs="宋体"/>
          <w:sz w:val="24"/>
          <w:szCs w:val="24"/>
        </w:rPr>
        <w:t xml:space="preserve"> </w:t>
      </w:r>
      <w:r>
        <w:rPr>
          <w:rFonts w:ascii="宋体" w:hAnsi="宋体" w:eastAsia="宋体" w:cs="宋体"/>
          <w:spacing w:val="-2"/>
          <w:sz w:val="24"/>
          <w:szCs w:val="24"/>
        </w:rPr>
        <w:t>物无组织排放量为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8.45 t/a</w:t>
      </w:r>
      <w:r>
        <w:rPr>
          <w:rFonts w:ascii="宋体" w:hAnsi="宋体" w:eastAsia="宋体" w:cs="宋体"/>
          <w:spacing w:val="-2"/>
          <w:sz w:val="24"/>
          <w:szCs w:val="24"/>
        </w:rPr>
        <w:t>。</w:t>
      </w:r>
    </w:p>
    <w:p w14:paraId="1B4A8CE9">
      <w:pPr>
        <w:spacing w:before="1" w:line="367" w:lineRule="auto"/>
        <w:ind w:left="8" w:right="101" w:firstLine="538"/>
        <w:jc w:val="both"/>
        <w:rPr>
          <w:rFonts w:ascii="宋体" w:hAnsi="宋体" w:eastAsia="宋体" w:cs="宋体"/>
          <w:sz w:val="24"/>
          <w:szCs w:val="24"/>
        </w:rPr>
      </w:pPr>
      <w:r>
        <w:rPr>
          <w:rFonts w:ascii="宋体" w:hAnsi="宋体" w:eastAsia="宋体" w:cs="宋体"/>
          <w:spacing w:val="-4"/>
          <w:sz w:val="24"/>
          <w:szCs w:val="24"/>
        </w:rPr>
        <w:t>目前全厂共有</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台生物质锅炉，设有</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根排气筒。锅炉烟</w:t>
      </w:r>
      <w:r>
        <w:rPr>
          <w:rFonts w:ascii="宋体" w:hAnsi="宋体" w:eastAsia="宋体" w:cs="宋体"/>
          <w:spacing w:val="-5"/>
          <w:sz w:val="24"/>
          <w:szCs w:val="24"/>
        </w:rPr>
        <w:t>气采用</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SNCR </w:t>
      </w:r>
      <w:r>
        <w:rPr>
          <w:rFonts w:ascii="宋体" w:hAnsi="宋体" w:eastAsia="宋体" w:cs="宋体"/>
          <w:spacing w:val="-5"/>
          <w:sz w:val="24"/>
          <w:szCs w:val="24"/>
        </w:rPr>
        <w:t>脱</w:t>
      </w:r>
      <w:r>
        <w:rPr>
          <w:rFonts w:ascii="宋体" w:hAnsi="宋体" w:eastAsia="宋体" w:cs="宋体"/>
          <w:sz w:val="24"/>
          <w:szCs w:val="24"/>
        </w:rPr>
        <w:t xml:space="preserve"> </w:t>
      </w:r>
      <w:r>
        <w:rPr>
          <w:rFonts w:ascii="宋体" w:hAnsi="宋体" w:eastAsia="宋体" w:cs="宋体"/>
          <w:spacing w:val="3"/>
          <w:sz w:val="24"/>
          <w:szCs w:val="24"/>
        </w:rPr>
        <w:t>硝、布袋除尘器除尘、双碱法脱硫，净化后的烟气通过</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根</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30m </w:t>
      </w:r>
      <w:r>
        <w:rPr>
          <w:rFonts w:ascii="宋体" w:hAnsi="宋体" w:eastAsia="宋体" w:cs="宋体"/>
          <w:spacing w:val="2"/>
          <w:sz w:val="24"/>
          <w:szCs w:val="24"/>
        </w:rPr>
        <w:t>和</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根</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40m</w:t>
      </w:r>
      <w:r>
        <w:rPr>
          <w:rFonts w:ascii="Times New Roman" w:hAnsi="Times New Roman" w:eastAsia="Times New Roman" w:cs="Times New Roman"/>
          <w:sz w:val="24"/>
          <w:szCs w:val="24"/>
        </w:rPr>
        <w:t xml:space="preserve">  </w:t>
      </w:r>
      <w:r>
        <w:rPr>
          <w:rFonts w:ascii="宋体" w:hAnsi="宋体" w:eastAsia="宋体" w:cs="宋体"/>
          <w:spacing w:val="-7"/>
          <w:sz w:val="24"/>
          <w:szCs w:val="24"/>
        </w:rPr>
        <w:t>高烟囱排放，根据日常监测数据，</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35"/>
          <w:sz w:val="24"/>
          <w:szCs w:val="24"/>
        </w:rPr>
        <w:t xml:space="preserve"> </w:t>
      </w:r>
      <w:r>
        <w:rPr>
          <w:rFonts w:ascii="宋体" w:hAnsi="宋体" w:eastAsia="宋体" w:cs="宋体"/>
          <w:spacing w:val="-7"/>
          <w:sz w:val="24"/>
          <w:szCs w:val="24"/>
        </w:rPr>
        <w:t>台生物质锅炉颗粒物排放速率为</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0.437 kg/h</w:t>
      </w:r>
      <w:r>
        <w:rPr>
          <w:rFonts w:ascii="宋体" w:hAnsi="宋体" w:eastAsia="宋体" w:cs="宋体"/>
          <w:spacing w:val="-7"/>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x</w:t>
      </w:r>
      <w:r>
        <w:rPr>
          <w:rFonts w:ascii="Times New Roman" w:hAnsi="Times New Roman" w:eastAsia="Times New Roman" w:cs="Times New Roman"/>
          <w:spacing w:val="11"/>
          <w:w w:val="102"/>
          <w:position w:val="-1"/>
          <w:sz w:val="15"/>
          <w:szCs w:val="15"/>
        </w:rPr>
        <w:t xml:space="preserve"> </w:t>
      </w:r>
      <w:r>
        <w:rPr>
          <w:rFonts w:ascii="宋体" w:hAnsi="宋体" w:eastAsia="宋体" w:cs="宋体"/>
          <w:spacing w:val="-2"/>
          <w:sz w:val="24"/>
          <w:szCs w:val="24"/>
        </w:rPr>
        <w:t>排放速率为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1.80 kg/h</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1"/>
          <w:w w:val="102"/>
          <w:position w:val="-1"/>
          <w:sz w:val="15"/>
          <w:szCs w:val="15"/>
        </w:rPr>
        <w:t xml:space="preserve"> </w:t>
      </w:r>
      <w:r>
        <w:rPr>
          <w:rFonts w:ascii="宋体" w:hAnsi="宋体" w:eastAsia="宋体" w:cs="宋体"/>
          <w:spacing w:val="-2"/>
          <w:sz w:val="24"/>
          <w:szCs w:val="24"/>
        </w:rPr>
        <w:t>排放速率为</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0.765 kg/h</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，按运行</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432</w:t>
      </w:r>
      <w:r>
        <w:rPr>
          <w:rFonts w:ascii="Times New Roman" w:hAnsi="Times New Roman" w:eastAsia="Times New Roman" w:cs="Times New Roman"/>
          <w:spacing w:val="-3"/>
          <w:sz w:val="24"/>
          <w:szCs w:val="24"/>
        </w:rPr>
        <w:t xml:space="preserve">0h/a </w:t>
      </w:r>
      <w:r>
        <w:rPr>
          <w:rFonts w:ascii="宋体" w:hAnsi="宋体" w:eastAsia="宋体" w:cs="宋体"/>
          <w:spacing w:val="-3"/>
          <w:sz w:val="24"/>
          <w:szCs w:val="24"/>
        </w:rPr>
        <w:t>计算，</w:t>
      </w:r>
    </w:p>
    <w:p w14:paraId="13E76AA7">
      <w:pPr>
        <w:spacing w:line="367" w:lineRule="auto"/>
        <w:rPr>
          <w:rFonts w:ascii="宋体" w:hAnsi="宋体" w:eastAsia="宋体" w:cs="宋体"/>
          <w:sz w:val="24"/>
          <w:szCs w:val="24"/>
        </w:rPr>
        <w:sectPr>
          <w:headerReference r:id="rId75" w:type="default"/>
          <w:footerReference r:id="rId76" w:type="default"/>
          <w:pgSz w:w="11906" w:h="16839"/>
          <w:pgMar w:top="1208" w:right="1785" w:bottom="1358" w:left="1785" w:header="825" w:footer="1195" w:gutter="0"/>
          <w:cols w:space="720" w:num="1"/>
        </w:sectPr>
      </w:pPr>
    </w:p>
    <w:p w14:paraId="56733304">
      <w:pPr>
        <w:pStyle w:val="2"/>
        <w:spacing w:line="270" w:lineRule="auto"/>
      </w:pPr>
    </w:p>
    <w:p w14:paraId="2593EB60">
      <w:pPr>
        <w:spacing w:before="79" w:line="368" w:lineRule="auto"/>
        <w:ind w:left="21" w:right="200" w:hanging="1"/>
        <w:rPr>
          <w:rFonts w:ascii="宋体" w:hAnsi="宋体" w:eastAsia="宋体" w:cs="宋体"/>
          <w:sz w:val="24"/>
          <w:szCs w:val="24"/>
        </w:rPr>
      </w:pPr>
      <w:r>
        <w:rPr>
          <w:rFonts w:ascii="宋体" w:hAnsi="宋体" w:eastAsia="宋体" w:cs="宋体"/>
          <w:spacing w:val="-3"/>
          <w:sz w:val="24"/>
          <w:szCs w:val="24"/>
        </w:rPr>
        <w:t>颗粒物排放量为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1.89t/a</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x</w:t>
      </w:r>
      <w:r>
        <w:rPr>
          <w:rFonts w:ascii="Times New Roman" w:hAnsi="Times New Roman" w:eastAsia="Times New Roman" w:cs="Times New Roman"/>
          <w:spacing w:val="11"/>
          <w:w w:val="102"/>
          <w:position w:val="-1"/>
          <w:sz w:val="15"/>
          <w:szCs w:val="15"/>
        </w:rPr>
        <w:t xml:space="preserve"> </w:t>
      </w:r>
      <w:r>
        <w:rPr>
          <w:rFonts w:ascii="宋体" w:hAnsi="宋体" w:eastAsia="宋体" w:cs="宋体"/>
          <w:spacing w:val="-3"/>
          <w:sz w:val="24"/>
          <w:szCs w:val="24"/>
        </w:rPr>
        <w:t>排放量为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7.78 t/a</w:t>
      </w:r>
      <w:r>
        <w:rPr>
          <w:rFonts w:ascii="宋体" w:hAnsi="宋体" w:eastAsia="宋体" w:cs="宋体"/>
          <w:spacing w:val="-3"/>
          <w:sz w:val="24"/>
          <w:szCs w:val="24"/>
        </w:rPr>
        <w:t>，</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9"/>
          <w:w w:val="102"/>
          <w:position w:val="-1"/>
          <w:sz w:val="15"/>
          <w:szCs w:val="15"/>
        </w:rPr>
        <w:t xml:space="preserve"> </w:t>
      </w:r>
      <w:r>
        <w:rPr>
          <w:rFonts w:ascii="宋体" w:hAnsi="宋体" w:eastAsia="宋体" w:cs="宋体"/>
          <w:spacing w:val="-4"/>
          <w:sz w:val="24"/>
          <w:szCs w:val="24"/>
        </w:rPr>
        <w:t>排放量为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3.30t/a</w:t>
      </w:r>
      <w:r>
        <w:rPr>
          <w:rFonts w:ascii="宋体" w:hAnsi="宋体" w:eastAsia="宋体" w:cs="宋体"/>
          <w:spacing w:val="-4"/>
          <w:sz w:val="24"/>
          <w:szCs w:val="24"/>
        </w:rPr>
        <w:t>，汞及其</w:t>
      </w:r>
      <w:r>
        <w:rPr>
          <w:rFonts w:ascii="宋体" w:hAnsi="宋体" w:eastAsia="宋体" w:cs="宋体"/>
          <w:sz w:val="24"/>
          <w:szCs w:val="24"/>
        </w:rPr>
        <w:t xml:space="preserve"> </w:t>
      </w:r>
      <w:r>
        <w:rPr>
          <w:rFonts w:ascii="宋体" w:hAnsi="宋体" w:eastAsia="宋体" w:cs="宋体"/>
          <w:spacing w:val="-2"/>
          <w:sz w:val="24"/>
          <w:szCs w:val="24"/>
        </w:rPr>
        <w:t>化合物排放量为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0.0007 t/a</w:t>
      </w:r>
      <w:r>
        <w:rPr>
          <w:rFonts w:ascii="宋体" w:hAnsi="宋体" w:eastAsia="宋体" w:cs="宋体"/>
          <w:spacing w:val="-2"/>
          <w:sz w:val="24"/>
          <w:szCs w:val="24"/>
        </w:rPr>
        <w:t>。</w:t>
      </w:r>
    </w:p>
    <w:p w14:paraId="340085B2">
      <w:pPr>
        <w:spacing w:before="3" w:line="368" w:lineRule="auto"/>
        <w:ind w:left="21" w:firstLine="481"/>
        <w:jc w:val="both"/>
        <w:rPr>
          <w:rFonts w:ascii="宋体" w:hAnsi="宋体" w:eastAsia="宋体" w:cs="宋体"/>
          <w:sz w:val="24"/>
          <w:szCs w:val="24"/>
        </w:rPr>
      </w:pPr>
      <w:r>
        <w:rPr>
          <w:rFonts w:ascii="宋体" w:hAnsi="宋体" w:eastAsia="宋体" w:cs="宋体"/>
          <w:spacing w:val="2"/>
          <w:sz w:val="24"/>
          <w:szCs w:val="24"/>
        </w:rPr>
        <w:t>现有工程有组织污染物产生及排放量数据来源于</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 xml:space="preserve">1400t/d </w:t>
      </w:r>
      <w:r>
        <w:rPr>
          <w:rFonts w:ascii="宋体" w:hAnsi="宋体" w:eastAsia="宋体" w:cs="宋体"/>
          <w:spacing w:val="2"/>
          <w:sz w:val="24"/>
          <w:szCs w:val="24"/>
        </w:rPr>
        <w:t>选</w:t>
      </w:r>
      <w:r>
        <w:rPr>
          <w:rFonts w:ascii="宋体" w:hAnsi="宋体" w:eastAsia="宋体" w:cs="宋体"/>
          <w:spacing w:val="1"/>
          <w:sz w:val="24"/>
          <w:szCs w:val="24"/>
        </w:rPr>
        <w:t>矿工程验收监</w:t>
      </w:r>
      <w:r>
        <w:rPr>
          <w:rFonts w:ascii="宋体" w:hAnsi="宋体" w:eastAsia="宋体" w:cs="宋体"/>
          <w:sz w:val="24"/>
          <w:szCs w:val="24"/>
        </w:rPr>
        <w:t xml:space="preserve">  </w:t>
      </w:r>
      <w:r>
        <w:rPr>
          <w:rFonts w:ascii="宋体" w:hAnsi="宋体" w:eastAsia="宋体" w:cs="宋体"/>
          <w:spacing w:val="-2"/>
          <w:sz w:val="24"/>
          <w:szCs w:val="24"/>
        </w:rPr>
        <w:t>测数据、</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选矿工程日常监测数据及锅炉日常监测数据，选</w:t>
      </w:r>
      <w:r>
        <w:rPr>
          <w:rFonts w:ascii="宋体" w:hAnsi="宋体" w:eastAsia="宋体" w:cs="宋体"/>
          <w:spacing w:val="-3"/>
          <w:sz w:val="24"/>
          <w:szCs w:val="24"/>
        </w:rPr>
        <w:t>矿车间无组织</w:t>
      </w:r>
      <w:r>
        <w:rPr>
          <w:rFonts w:ascii="宋体" w:hAnsi="宋体" w:eastAsia="宋体" w:cs="宋体"/>
          <w:sz w:val="24"/>
          <w:szCs w:val="24"/>
        </w:rPr>
        <w:t xml:space="preserve">  排放数据根据有组织监测数据物料衡算，原料装卸及</w:t>
      </w:r>
      <w:r>
        <w:rPr>
          <w:rFonts w:ascii="宋体" w:hAnsi="宋体" w:eastAsia="宋体" w:cs="宋体"/>
          <w:spacing w:val="-1"/>
          <w:sz w:val="24"/>
          <w:szCs w:val="24"/>
        </w:rPr>
        <w:t>车辆运输无组织排放数据</w:t>
      </w:r>
      <w:r>
        <w:rPr>
          <w:rFonts w:ascii="宋体" w:hAnsi="宋体" w:eastAsia="宋体" w:cs="宋体"/>
          <w:sz w:val="24"/>
          <w:szCs w:val="24"/>
        </w:rPr>
        <w:t xml:space="preserve">  </w:t>
      </w:r>
      <w:r>
        <w:rPr>
          <w:rFonts w:ascii="宋体" w:hAnsi="宋体" w:eastAsia="宋体" w:cs="宋体"/>
          <w:spacing w:val="-3"/>
          <w:sz w:val="24"/>
          <w:szCs w:val="24"/>
        </w:rPr>
        <w:t>根据环评报告采用的逸散性工业粉尘控制技术计算结果。统计</w:t>
      </w:r>
      <w:r>
        <w:rPr>
          <w:rFonts w:ascii="宋体" w:hAnsi="宋体" w:eastAsia="宋体" w:cs="宋体"/>
          <w:spacing w:val="-4"/>
          <w:sz w:val="24"/>
          <w:szCs w:val="24"/>
        </w:rPr>
        <w:t>结果见表</w:t>
      </w:r>
      <w:r>
        <w:rPr>
          <w:rFonts w:ascii="宋体" w:hAnsi="宋体" w:eastAsia="宋体" w:cs="宋体"/>
          <w:spacing w:val="-46"/>
          <w:sz w:val="24"/>
          <w:szCs w:val="24"/>
        </w:rPr>
        <w:t xml:space="preserve"> </w:t>
      </w:r>
      <w:r>
        <w:rPr>
          <w:rFonts w:ascii="宋体" w:hAnsi="宋体" w:eastAsia="宋体" w:cs="宋体"/>
          <w:spacing w:val="-4"/>
          <w:sz w:val="24"/>
          <w:szCs w:val="24"/>
        </w:rPr>
        <w:t>3.2-14。</w:t>
      </w:r>
    </w:p>
    <w:p w14:paraId="37AD719E">
      <w:pPr>
        <w:spacing w:line="368" w:lineRule="auto"/>
        <w:rPr>
          <w:rFonts w:ascii="宋体" w:hAnsi="宋体" w:eastAsia="宋体" w:cs="宋体"/>
          <w:sz w:val="24"/>
          <w:szCs w:val="24"/>
        </w:rPr>
        <w:sectPr>
          <w:headerReference r:id="rId77" w:type="default"/>
          <w:footerReference r:id="rId78" w:type="default"/>
          <w:pgSz w:w="11906" w:h="16839"/>
          <w:pgMar w:top="1208" w:right="1748" w:bottom="1358" w:left="1785" w:header="825" w:footer="1195" w:gutter="0"/>
          <w:cols w:space="720" w:num="1"/>
        </w:sectPr>
      </w:pPr>
    </w:p>
    <w:p w14:paraId="6AC5AD13">
      <w:pPr>
        <w:pStyle w:val="2"/>
        <w:spacing w:line="286" w:lineRule="auto"/>
      </w:pPr>
    </w:p>
    <w:p w14:paraId="02C5A838">
      <w:pPr>
        <w:pStyle w:val="2"/>
        <w:spacing w:line="287" w:lineRule="auto"/>
      </w:pPr>
    </w:p>
    <w:p w14:paraId="0CD98791">
      <w:pPr>
        <w:spacing w:before="65" w:line="228" w:lineRule="auto"/>
        <w:ind w:left="4864"/>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4"/>
          <w:sz w:val="20"/>
          <w:szCs w:val="20"/>
        </w:rPr>
        <w:t xml:space="preserve"> </w:t>
      </w:r>
      <w:r>
        <w:rPr>
          <w:rFonts w:ascii="Times New Roman" w:hAnsi="Times New Roman" w:eastAsia="Times New Roman" w:cs="Times New Roman"/>
          <w:spacing w:val="6"/>
          <w:sz w:val="20"/>
          <w:szCs w:val="20"/>
        </w:rPr>
        <w:t xml:space="preserve">3.2-14      </w:t>
      </w:r>
      <w:r>
        <w:rPr>
          <w:rFonts w:ascii="宋体" w:hAnsi="宋体" w:eastAsia="宋体" w:cs="宋体"/>
          <w:spacing w:val="6"/>
          <w:sz w:val="20"/>
          <w:szCs w:val="20"/>
        </w:rPr>
        <w:t>现有工程大气污染物产生及排放量</w:t>
      </w:r>
    </w:p>
    <w:p w14:paraId="2A6463B7">
      <w:pPr>
        <w:spacing w:line="17" w:lineRule="exact"/>
      </w:pPr>
    </w:p>
    <w:tbl>
      <w:tblPr>
        <w:tblStyle w:val="5"/>
        <w:tblW w:w="13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0"/>
        <w:gridCol w:w="900"/>
        <w:gridCol w:w="981"/>
        <w:gridCol w:w="1132"/>
        <w:gridCol w:w="840"/>
        <w:gridCol w:w="978"/>
        <w:gridCol w:w="843"/>
        <w:gridCol w:w="700"/>
        <w:gridCol w:w="700"/>
        <w:gridCol w:w="840"/>
        <w:gridCol w:w="558"/>
        <w:gridCol w:w="843"/>
        <w:gridCol w:w="1188"/>
        <w:gridCol w:w="868"/>
        <w:gridCol w:w="748"/>
        <w:gridCol w:w="805"/>
      </w:tblGrid>
      <w:tr w14:paraId="2E9B4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030" w:type="dxa"/>
            <w:vMerge w:val="restart"/>
            <w:tcBorders>
              <w:bottom w:val="nil"/>
            </w:tcBorders>
            <w:vAlign w:val="top"/>
          </w:tcPr>
          <w:p w14:paraId="422DB64A">
            <w:pPr>
              <w:spacing w:line="317" w:lineRule="auto"/>
              <w:rPr>
                <w:rFonts w:ascii="Arial"/>
                <w:sz w:val="21"/>
              </w:rPr>
            </w:pPr>
          </w:p>
          <w:p w14:paraId="5FAE7ADD">
            <w:pPr>
              <w:pStyle w:val="6"/>
              <w:spacing w:before="65" w:line="228" w:lineRule="auto"/>
              <w:ind w:left="208"/>
            </w:pPr>
            <w:r>
              <w:rPr>
                <w:spacing w:val="6"/>
              </w:rPr>
              <w:t>污染源</w:t>
            </w:r>
          </w:p>
        </w:tc>
        <w:tc>
          <w:tcPr>
            <w:tcW w:w="900" w:type="dxa"/>
            <w:vMerge w:val="restart"/>
            <w:tcBorders>
              <w:bottom w:val="nil"/>
            </w:tcBorders>
            <w:vAlign w:val="top"/>
          </w:tcPr>
          <w:p w14:paraId="188121B3">
            <w:pPr>
              <w:spacing w:line="317" w:lineRule="auto"/>
              <w:rPr>
                <w:rFonts w:ascii="Arial"/>
                <w:sz w:val="21"/>
              </w:rPr>
            </w:pPr>
          </w:p>
          <w:p w14:paraId="4F9A4EA9">
            <w:pPr>
              <w:pStyle w:val="6"/>
              <w:spacing w:before="65" w:line="228" w:lineRule="auto"/>
              <w:ind w:left="140"/>
            </w:pPr>
            <w:r>
              <w:rPr>
                <w:spacing w:val="6"/>
              </w:rPr>
              <w:t>污染物</w:t>
            </w:r>
          </w:p>
        </w:tc>
        <w:tc>
          <w:tcPr>
            <w:tcW w:w="981" w:type="dxa"/>
            <w:vMerge w:val="restart"/>
            <w:tcBorders>
              <w:bottom w:val="nil"/>
            </w:tcBorders>
            <w:vAlign w:val="top"/>
          </w:tcPr>
          <w:p w14:paraId="4AF316DB">
            <w:pPr>
              <w:pStyle w:val="6"/>
              <w:spacing w:before="223" w:line="228" w:lineRule="auto"/>
              <w:ind w:left="75"/>
            </w:pPr>
            <w:r>
              <w:rPr>
                <w:spacing w:val="6"/>
              </w:rPr>
              <w:t>污染防治</w:t>
            </w:r>
          </w:p>
          <w:p w14:paraId="4C003173">
            <w:pPr>
              <w:pStyle w:val="6"/>
              <w:spacing w:before="72" w:line="228" w:lineRule="auto"/>
              <w:ind w:left="285"/>
            </w:pPr>
            <w:r>
              <w:rPr>
                <w:spacing w:val="4"/>
              </w:rPr>
              <w:t>措施</w:t>
            </w:r>
          </w:p>
        </w:tc>
        <w:tc>
          <w:tcPr>
            <w:tcW w:w="1132" w:type="dxa"/>
            <w:vMerge w:val="restart"/>
            <w:tcBorders>
              <w:bottom w:val="nil"/>
            </w:tcBorders>
            <w:vAlign w:val="top"/>
          </w:tcPr>
          <w:p w14:paraId="0CCF5CCE">
            <w:pPr>
              <w:spacing w:line="316" w:lineRule="auto"/>
              <w:rPr>
                <w:rFonts w:ascii="Arial"/>
                <w:sz w:val="21"/>
              </w:rPr>
            </w:pPr>
          </w:p>
          <w:p w14:paraId="75E701E3">
            <w:pPr>
              <w:pStyle w:val="6"/>
              <w:spacing w:before="65" w:line="228" w:lineRule="auto"/>
              <w:ind w:left="153"/>
            </w:pPr>
            <w:r>
              <w:rPr>
                <w:spacing w:val="6"/>
              </w:rPr>
              <w:t>核算方法</w:t>
            </w:r>
          </w:p>
        </w:tc>
        <w:tc>
          <w:tcPr>
            <w:tcW w:w="840" w:type="dxa"/>
            <w:vMerge w:val="restart"/>
            <w:tcBorders>
              <w:bottom w:val="nil"/>
            </w:tcBorders>
            <w:vAlign w:val="top"/>
          </w:tcPr>
          <w:p w14:paraId="7B6B3EF8">
            <w:pPr>
              <w:pStyle w:val="6"/>
              <w:spacing w:before="222" w:line="228" w:lineRule="auto"/>
              <w:ind w:left="111"/>
            </w:pPr>
            <w:r>
              <w:rPr>
                <w:spacing w:val="6"/>
              </w:rPr>
              <w:t>产生量</w:t>
            </w:r>
          </w:p>
          <w:p w14:paraId="23E83DB9">
            <w:pPr>
              <w:pStyle w:val="6"/>
              <w:spacing w:before="72" w:line="233" w:lineRule="auto"/>
              <w:ind w:left="68"/>
            </w:pPr>
            <w:r>
              <w:rPr>
                <w:spacing w:val="1"/>
              </w:rPr>
              <w:t>（t/a）</w:t>
            </w:r>
          </w:p>
        </w:tc>
        <w:tc>
          <w:tcPr>
            <w:tcW w:w="978" w:type="dxa"/>
            <w:vMerge w:val="restart"/>
            <w:tcBorders>
              <w:bottom w:val="nil"/>
            </w:tcBorders>
            <w:vAlign w:val="top"/>
          </w:tcPr>
          <w:p w14:paraId="1896758E">
            <w:pPr>
              <w:pStyle w:val="6"/>
              <w:spacing w:before="222" w:line="229" w:lineRule="auto"/>
              <w:ind w:left="194"/>
            </w:pPr>
            <w:r>
              <w:rPr>
                <w:spacing w:val="2"/>
              </w:rPr>
              <w:t>削减量</w:t>
            </w:r>
          </w:p>
          <w:p w14:paraId="6E3538D0">
            <w:pPr>
              <w:pStyle w:val="6"/>
              <w:spacing w:before="70" w:line="233" w:lineRule="auto"/>
              <w:ind w:left="138"/>
            </w:pPr>
            <w:r>
              <w:rPr>
                <w:spacing w:val="1"/>
              </w:rPr>
              <w:t>（t/a）</w:t>
            </w:r>
          </w:p>
        </w:tc>
        <w:tc>
          <w:tcPr>
            <w:tcW w:w="843" w:type="dxa"/>
            <w:vMerge w:val="restart"/>
            <w:tcBorders>
              <w:bottom w:val="nil"/>
            </w:tcBorders>
            <w:vAlign w:val="top"/>
          </w:tcPr>
          <w:p w14:paraId="6735C547">
            <w:pPr>
              <w:pStyle w:val="6"/>
              <w:spacing w:before="222" w:line="229" w:lineRule="auto"/>
              <w:ind w:left="112"/>
            </w:pPr>
            <w:r>
              <w:rPr>
                <w:spacing w:val="6"/>
              </w:rPr>
              <w:t>排放量</w:t>
            </w:r>
          </w:p>
          <w:p w14:paraId="76169AFB">
            <w:pPr>
              <w:pStyle w:val="6"/>
              <w:spacing w:before="70" w:line="233" w:lineRule="auto"/>
              <w:ind w:left="69"/>
            </w:pPr>
            <w:r>
              <w:rPr>
                <w:spacing w:val="1"/>
              </w:rPr>
              <w:t>（t/a）</w:t>
            </w:r>
          </w:p>
        </w:tc>
        <w:tc>
          <w:tcPr>
            <w:tcW w:w="3641" w:type="dxa"/>
            <w:gridSpan w:val="5"/>
            <w:vAlign w:val="top"/>
          </w:tcPr>
          <w:p w14:paraId="66121731">
            <w:pPr>
              <w:pStyle w:val="6"/>
              <w:spacing w:before="59" w:line="228" w:lineRule="auto"/>
              <w:ind w:left="1302"/>
            </w:pPr>
            <w:r>
              <w:rPr>
                <w:spacing w:val="8"/>
              </w:rPr>
              <w:t>排放源参数</w:t>
            </w:r>
          </w:p>
        </w:tc>
        <w:tc>
          <w:tcPr>
            <w:tcW w:w="1188" w:type="dxa"/>
            <w:vMerge w:val="restart"/>
            <w:tcBorders>
              <w:bottom w:val="nil"/>
            </w:tcBorders>
            <w:vAlign w:val="top"/>
          </w:tcPr>
          <w:p w14:paraId="260D3673">
            <w:pPr>
              <w:pStyle w:val="6"/>
              <w:spacing w:before="223" w:line="228" w:lineRule="auto"/>
              <w:ind w:left="182"/>
            </w:pPr>
            <w:r>
              <w:rPr>
                <w:spacing w:val="7"/>
              </w:rPr>
              <w:t>面源面积</w:t>
            </w:r>
          </w:p>
          <w:p w14:paraId="52F7F3AD">
            <w:pPr>
              <w:pStyle w:val="6"/>
              <w:spacing w:before="54" w:line="267" w:lineRule="exact"/>
              <w:ind w:left="453"/>
            </w:pPr>
            <w:r>
              <w:rPr>
                <w:spacing w:val="-9"/>
                <w:w w:val="91"/>
                <w:position w:val="1"/>
              </w:rPr>
              <w:t>(m</w:t>
            </w:r>
            <w:r>
              <w:rPr>
                <w:spacing w:val="3"/>
                <w:position w:val="10"/>
                <w:sz w:val="10"/>
                <w:szCs w:val="10"/>
              </w:rPr>
              <w:t>2</w:t>
            </w:r>
            <w:r>
              <w:rPr>
                <w:spacing w:val="3"/>
                <w:position w:val="1"/>
              </w:rPr>
              <w:t>)</w:t>
            </w:r>
          </w:p>
        </w:tc>
        <w:tc>
          <w:tcPr>
            <w:tcW w:w="868" w:type="dxa"/>
            <w:vMerge w:val="restart"/>
            <w:tcBorders>
              <w:bottom w:val="nil"/>
            </w:tcBorders>
            <w:vAlign w:val="top"/>
          </w:tcPr>
          <w:p w14:paraId="3F0F8C14">
            <w:pPr>
              <w:pStyle w:val="6"/>
              <w:spacing w:before="63" w:line="287" w:lineRule="auto"/>
              <w:ind w:left="336" w:right="116" w:hanging="210"/>
            </w:pPr>
            <w:r>
              <w:rPr>
                <w:spacing w:val="6"/>
              </w:rPr>
              <w:t>排放浓</w:t>
            </w:r>
            <w:r>
              <w:rPr>
                <w:spacing w:val="1"/>
              </w:rPr>
              <w:t xml:space="preserve"> 度</w:t>
            </w:r>
          </w:p>
          <w:p w14:paraId="04F5BDA4">
            <w:pPr>
              <w:pStyle w:val="6"/>
              <w:spacing w:line="237" w:lineRule="auto"/>
              <w:ind w:left="136"/>
            </w:pPr>
            <w:r>
              <w:rPr>
                <w:spacing w:val="-3"/>
              </w:rPr>
              <w:t>(mg/m</w:t>
            </w:r>
            <w:r>
              <w:rPr>
                <w:spacing w:val="-3"/>
                <w:position w:val="10"/>
                <w:sz w:val="10"/>
                <w:szCs w:val="10"/>
              </w:rPr>
              <w:t>3</w:t>
            </w:r>
            <w:r>
              <w:rPr>
                <w:spacing w:val="-3"/>
              </w:rPr>
              <w:t>)</w:t>
            </w:r>
          </w:p>
        </w:tc>
        <w:tc>
          <w:tcPr>
            <w:tcW w:w="748" w:type="dxa"/>
            <w:vMerge w:val="restart"/>
            <w:tcBorders>
              <w:bottom w:val="nil"/>
            </w:tcBorders>
            <w:vAlign w:val="top"/>
          </w:tcPr>
          <w:p w14:paraId="517FA34B">
            <w:pPr>
              <w:pStyle w:val="6"/>
              <w:spacing w:before="64" w:line="229" w:lineRule="auto"/>
              <w:ind w:left="66"/>
            </w:pPr>
            <w:r>
              <w:rPr>
                <w:spacing w:val="6"/>
              </w:rPr>
              <w:t>排放速</w:t>
            </w:r>
          </w:p>
          <w:p w14:paraId="7108B802">
            <w:pPr>
              <w:pStyle w:val="6"/>
              <w:spacing w:before="70" w:line="228" w:lineRule="auto"/>
              <w:ind w:left="277"/>
            </w:pPr>
            <w:r>
              <w:t>率</w:t>
            </w:r>
          </w:p>
          <w:p w14:paraId="7363868A">
            <w:pPr>
              <w:pStyle w:val="6"/>
              <w:spacing w:before="72" w:line="222" w:lineRule="auto"/>
              <w:ind w:left="103"/>
            </w:pPr>
            <w:r>
              <w:rPr>
                <w:spacing w:val="-3"/>
              </w:rPr>
              <w:t>(kg/h)</w:t>
            </w:r>
          </w:p>
        </w:tc>
        <w:tc>
          <w:tcPr>
            <w:tcW w:w="805" w:type="dxa"/>
            <w:vMerge w:val="restart"/>
            <w:tcBorders>
              <w:bottom w:val="nil"/>
            </w:tcBorders>
            <w:vAlign w:val="top"/>
          </w:tcPr>
          <w:p w14:paraId="7A60E724">
            <w:pPr>
              <w:pStyle w:val="6"/>
              <w:spacing w:before="223" w:line="228" w:lineRule="auto"/>
              <w:ind w:left="90"/>
            </w:pPr>
            <w:r>
              <w:rPr>
                <w:spacing w:val="7"/>
              </w:rPr>
              <w:t>达标情</w:t>
            </w:r>
          </w:p>
          <w:p w14:paraId="29905D87">
            <w:pPr>
              <w:pStyle w:val="6"/>
              <w:spacing w:before="72" w:line="228" w:lineRule="auto"/>
              <w:ind w:left="304"/>
            </w:pPr>
            <w:r>
              <w:t>况</w:t>
            </w:r>
          </w:p>
        </w:tc>
      </w:tr>
      <w:tr w14:paraId="50BB4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030" w:type="dxa"/>
            <w:vMerge w:val="continue"/>
            <w:tcBorders>
              <w:top w:val="nil"/>
            </w:tcBorders>
            <w:vAlign w:val="top"/>
          </w:tcPr>
          <w:p w14:paraId="7A40F003">
            <w:pPr>
              <w:rPr>
                <w:rFonts w:ascii="Arial"/>
                <w:sz w:val="21"/>
              </w:rPr>
            </w:pPr>
          </w:p>
        </w:tc>
        <w:tc>
          <w:tcPr>
            <w:tcW w:w="900" w:type="dxa"/>
            <w:vMerge w:val="continue"/>
            <w:tcBorders>
              <w:top w:val="nil"/>
            </w:tcBorders>
            <w:vAlign w:val="top"/>
          </w:tcPr>
          <w:p w14:paraId="5BB6EAF0">
            <w:pPr>
              <w:rPr>
                <w:rFonts w:ascii="Arial"/>
                <w:sz w:val="21"/>
              </w:rPr>
            </w:pPr>
          </w:p>
        </w:tc>
        <w:tc>
          <w:tcPr>
            <w:tcW w:w="981" w:type="dxa"/>
            <w:vMerge w:val="continue"/>
            <w:tcBorders>
              <w:top w:val="nil"/>
            </w:tcBorders>
            <w:vAlign w:val="top"/>
          </w:tcPr>
          <w:p w14:paraId="38C5AB70">
            <w:pPr>
              <w:rPr>
                <w:rFonts w:ascii="Arial"/>
                <w:sz w:val="21"/>
              </w:rPr>
            </w:pPr>
          </w:p>
        </w:tc>
        <w:tc>
          <w:tcPr>
            <w:tcW w:w="1132" w:type="dxa"/>
            <w:vMerge w:val="continue"/>
            <w:tcBorders>
              <w:top w:val="nil"/>
            </w:tcBorders>
            <w:vAlign w:val="top"/>
          </w:tcPr>
          <w:p w14:paraId="49126371">
            <w:pPr>
              <w:rPr>
                <w:rFonts w:ascii="Arial"/>
                <w:sz w:val="21"/>
              </w:rPr>
            </w:pPr>
          </w:p>
        </w:tc>
        <w:tc>
          <w:tcPr>
            <w:tcW w:w="840" w:type="dxa"/>
            <w:vMerge w:val="continue"/>
            <w:tcBorders>
              <w:top w:val="nil"/>
            </w:tcBorders>
            <w:vAlign w:val="top"/>
          </w:tcPr>
          <w:p w14:paraId="579BD6C9">
            <w:pPr>
              <w:rPr>
                <w:rFonts w:ascii="Arial"/>
                <w:sz w:val="21"/>
              </w:rPr>
            </w:pPr>
          </w:p>
        </w:tc>
        <w:tc>
          <w:tcPr>
            <w:tcW w:w="978" w:type="dxa"/>
            <w:vMerge w:val="continue"/>
            <w:tcBorders>
              <w:top w:val="nil"/>
            </w:tcBorders>
            <w:vAlign w:val="top"/>
          </w:tcPr>
          <w:p w14:paraId="3FAC08D4">
            <w:pPr>
              <w:rPr>
                <w:rFonts w:ascii="Arial"/>
                <w:sz w:val="21"/>
              </w:rPr>
            </w:pPr>
          </w:p>
        </w:tc>
        <w:tc>
          <w:tcPr>
            <w:tcW w:w="843" w:type="dxa"/>
            <w:vMerge w:val="continue"/>
            <w:tcBorders>
              <w:top w:val="nil"/>
            </w:tcBorders>
            <w:vAlign w:val="top"/>
          </w:tcPr>
          <w:p w14:paraId="46403AA7">
            <w:pPr>
              <w:rPr>
                <w:rFonts w:ascii="Arial"/>
                <w:sz w:val="21"/>
              </w:rPr>
            </w:pPr>
          </w:p>
        </w:tc>
        <w:tc>
          <w:tcPr>
            <w:tcW w:w="700" w:type="dxa"/>
            <w:vAlign w:val="top"/>
          </w:tcPr>
          <w:p w14:paraId="585E42D1">
            <w:pPr>
              <w:pStyle w:val="6"/>
              <w:spacing w:before="54" w:line="228" w:lineRule="auto"/>
              <w:ind w:left="153"/>
            </w:pPr>
            <w:r>
              <w:rPr>
                <w:spacing w:val="2"/>
              </w:rPr>
              <w:t>高度</w:t>
            </w:r>
          </w:p>
          <w:p w14:paraId="0902BAFF">
            <w:pPr>
              <w:pStyle w:val="6"/>
              <w:spacing w:before="72" w:line="231" w:lineRule="auto"/>
              <w:ind w:left="235"/>
            </w:pPr>
            <w:r>
              <w:rPr>
                <w:spacing w:val="-10"/>
              </w:rPr>
              <w:t>(m)</w:t>
            </w:r>
          </w:p>
        </w:tc>
        <w:tc>
          <w:tcPr>
            <w:tcW w:w="700" w:type="dxa"/>
            <w:vAlign w:val="top"/>
          </w:tcPr>
          <w:p w14:paraId="51BF0945">
            <w:pPr>
              <w:pStyle w:val="6"/>
              <w:spacing w:before="54" w:line="267" w:lineRule="auto"/>
              <w:ind w:left="39" w:right="32" w:firstLine="18"/>
            </w:pPr>
            <w:r>
              <w:t>出口温</w:t>
            </w:r>
            <w:r>
              <w:rPr>
                <w:spacing w:val="1"/>
              </w:rPr>
              <w:t xml:space="preserve"> </w:t>
            </w:r>
            <w:r>
              <w:rPr>
                <w:spacing w:val="5"/>
              </w:rPr>
              <w:t>度(℃)</w:t>
            </w:r>
          </w:p>
        </w:tc>
        <w:tc>
          <w:tcPr>
            <w:tcW w:w="840" w:type="dxa"/>
            <w:vAlign w:val="top"/>
          </w:tcPr>
          <w:p w14:paraId="009C0DEA">
            <w:pPr>
              <w:pStyle w:val="6"/>
              <w:spacing w:before="54" w:line="229" w:lineRule="auto"/>
              <w:ind w:left="111"/>
            </w:pPr>
            <w:r>
              <w:rPr>
                <w:spacing w:val="6"/>
              </w:rPr>
              <w:t>烟气量</w:t>
            </w:r>
          </w:p>
          <w:p w14:paraId="07D6EB15">
            <w:pPr>
              <w:pStyle w:val="6"/>
              <w:spacing w:before="53" w:line="267" w:lineRule="exact"/>
              <w:ind w:left="174"/>
            </w:pPr>
            <w:r>
              <w:rPr>
                <w:spacing w:val="-9"/>
                <w:w w:val="91"/>
              </w:rPr>
              <w:t>(m</w:t>
            </w:r>
            <w:r>
              <w:rPr>
                <w:spacing w:val="4"/>
                <w:position w:val="10"/>
                <w:sz w:val="10"/>
                <w:szCs w:val="10"/>
              </w:rPr>
              <w:t>3</w:t>
            </w:r>
            <w:r>
              <w:rPr>
                <w:spacing w:val="4"/>
              </w:rPr>
              <w:t>/h)</w:t>
            </w:r>
          </w:p>
        </w:tc>
        <w:tc>
          <w:tcPr>
            <w:tcW w:w="558" w:type="dxa"/>
            <w:vAlign w:val="top"/>
          </w:tcPr>
          <w:p w14:paraId="61FF2F81">
            <w:pPr>
              <w:pStyle w:val="6"/>
              <w:spacing w:before="54" w:line="228" w:lineRule="auto"/>
              <w:ind w:left="100"/>
            </w:pPr>
            <w:r>
              <w:rPr>
                <w:spacing w:val="-8"/>
              </w:rPr>
              <w:t>内径</w:t>
            </w:r>
          </w:p>
          <w:p w14:paraId="5B0A7DC4">
            <w:pPr>
              <w:pStyle w:val="6"/>
              <w:spacing w:before="72" w:line="231" w:lineRule="auto"/>
              <w:ind w:left="164"/>
            </w:pPr>
            <w:r>
              <w:rPr>
                <w:spacing w:val="-10"/>
              </w:rPr>
              <w:t>(m)</w:t>
            </w:r>
          </w:p>
        </w:tc>
        <w:tc>
          <w:tcPr>
            <w:tcW w:w="843" w:type="dxa"/>
            <w:vAlign w:val="top"/>
          </w:tcPr>
          <w:p w14:paraId="324E8199">
            <w:pPr>
              <w:pStyle w:val="6"/>
              <w:spacing w:before="54" w:line="267" w:lineRule="auto"/>
              <w:ind w:left="62" w:right="50" w:firstLine="52"/>
            </w:pPr>
            <w:r>
              <w:rPr>
                <w:spacing w:val="6"/>
              </w:rPr>
              <w:t>工作时</w:t>
            </w:r>
            <w:r>
              <w:t xml:space="preserve"> </w:t>
            </w:r>
            <w:r>
              <w:rPr>
                <w:spacing w:val="4"/>
              </w:rPr>
              <w:t>长(h/a)</w:t>
            </w:r>
          </w:p>
        </w:tc>
        <w:tc>
          <w:tcPr>
            <w:tcW w:w="1188" w:type="dxa"/>
            <w:vMerge w:val="continue"/>
            <w:tcBorders>
              <w:top w:val="nil"/>
            </w:tcBorders>
            <w:vAlign w:val="top"/>
          </w:tcPr>
          <w:p w14:paraId="2D43108C">
            <w:pPr>
              <w:rPr>
                <w:rFonts w:ascii="Arial"/>
                <w:sz w:val="21"/>
              </w:rPr>
            </w:pPr>
          </w:p>
        </w:tc>
        <w:tc>
          <w:tcPr>
            <w:tcW w:w="868" w:type="dxa"/>
            <w:vMerge w:val="continue"/>
            <w:tcBorders>
              <w:top w:val="nil"/>
            </w:tcBorders>
            <w:vAlign w:val="top"/>
          </w:tcPr>
          <w:p w14:paraId="564A4DED">
            <w:pPr>
              <w:rPr>
                <w:rFonts w:ascii="Arial"/>
                <w:sz w:val="21"/>
              </w:rPr>
            </w:pPr>
          </w:p>
        </w:tc>
        <w:tc>
          <w:tcPr>
            <w:tcW w:w="748" w:type="dxa"/>
            <w:vMerge w:val="continue"/>
            <w:tcBorders>
              <w:top w:val="nil"/>
            </w:tcBorders>
            <w:vAlign w:val="top"/>
          </w:tcPr>
          <w:p w14:paraId="4E57156B">
            <w:pPr>
              <w:rPr>
                <w:rFonts w:ascii="Arial"/>
                <w:sz w:val="21"/>
              </w:rPr>
            </w:pPr>
          </w:p>
        </w:tc>
        <w:tc>
          <w:tcPr>
            <w:tcW w:w="805" w:type="dxa"/>
            <w:vMerge w:val="continue"/>
            <w:tcBorders>
              <w:top w:val="nil"/>
            </w:tcBorders>
            <w:vAlign w:val="top"/>
          </w:tcPr>
          <w:p w14:paraId="75CAE174">
            <w:pPr>
              <w:rPr>
                <w:rFonts w:ascii="Arial"/>
                <w:sz w:val="21"/>
              </w:rPr>
            </w:pPr>
          </w:p>
        </w:tc>
      </w:tr>
      <w:tr w14:paraId="1A8D9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351BCFE2">
            <w:pPr>
              <w:spacing w:line="307" w:lineRule="auto"/>
              <w:rPr>
                <w:rFonts w:ascii="Arial"/>
                <w:sz w:val="21"/>
              </w:rPr>
            </w:pPr>
          </w:p>
          <w:p w14:paraId="58D4DFC6">
            <w:pPr>
              <w:pStyle w:val="6"/>
              <w:spacing w:before="65" w:line="228" w:lineRule="auto"/>
              <w:ind w:left="105"/>
            </w:pPr>
            <w:r>
              <w:rPr>
                <w:spacing w:val="6"/>
              </w:rPr>
              <w:t>原料装卸</w:t>
            </w:r>
          </w:p>
        </w:tc>
        <w:tc>
          <w:tcPr>
            <w:tcW w:w="900" w:type="dxa"/>
            <w:vAlign w:val="top"/>
          </w:tcPr>
          <w:p w14:paraId="61CB9246">
            <w:pPr>
              <w:spacing w:line="307" w:lineRule="auto"/>
              <w:rPr>
                <w:rFonts w:ascii="Arial"/>
                <w:sz w:val="21"/>
              </w:rPr>
            </w:pPr>
          </w:p>
          <w:p w14:paraId="27A721C5">
            <w:pPr>
              <w:pStyle w:val="6"/>
              <w:spacing w:before="65" w:line="228" w:lineRule="auto"/>
              <w:ind w:left="137"/>
            </w:pPr>
            <w:r>
              <w:rPr>
                <w:spacing w:val="7"/>
              </w:rPr>
              <w:t>颗粒物</w:t>
            </w:r>
          </w:p>
        </w:tc>
        <w:tc>
          <w:tcPr>
            <w:tcW w:w="981" w:type="dxa"/>
            <w:vAlign w:val="top"/>
          </w:tcPr>
          <w:p w14:paraId="3C5CE1CF">
            <w:pPr>
              <w:pStyle w:val="6"/>
              <w:spacing w:before="54" w:line="228" w:lineRule="auto"/>
              <w:ind w:left="87"/>
            </w:pPr>
            <w:r>
              <w:rPr>
                <w:spacing w:val="4"/>
              </w:rPr>
              <w:t>防风抑尘</w:t>
            </w:r>
          </w:p>
          <w:p w14:paraId="64F99A92">
            <w:pPr>
              <w:pStyle w:val="6"/>
              <w:spacing w:before="71" w:line="228" w:lineRule="auto"/>
              <w:ind w:left="143"/>
            </w:pPr>
            <w:r>
              <w:rPr>
                <w:spacing w:val="1"/>
              </w:rPr>
              <w:t>网+洒水</w:t>
            </w:r>
          </w:p>
          <w:p w14:paraId="6A39ABA1">
            <w:pPr>
              <w:pStyle w:val="6"/>
              <w:spacing w:before="72" w:line="228" w:lineRule="auto"/>
              <w:ind w:left="301"/>
            </w:pPr>
            <w:r>
              <w:rPr>
                <w:spacing w:val="-4"/>
              </w:rPr>
              <w:t>降尘</w:t>
            </w:r>
          </w:p>
        </w:tc>
        <w:tc>
          <w:tcPr>
            <w:tcW w:w="1132" w:type="dxa"/>
            <w:vAlign w:val="top"/>
          </w:tcPr>
          <w:p w14:paraId="5ADAFFFD">
            <w:pPr>
              <w:pStyle w:val="6"/>
              <w:spacing w:before="54" w:line="228" w:lineRule="auto"/>
              <w:ind w:left="45"/>
            </w:pPr>
            <w:r>
              <w:rPr>
                <w:spacing w:val="8"/>
              </w:rPr>
              <w:t>逸散性工业</w:t>
            </w:r>
          </w:p>
          <w:p w14:paraId="1677C734">
            <w:pPr>
              <w:pStyle w:val="6"/>
              <w:spacing w:before="72" w:line="228" w:lineRule="auto"/>
              <w:ind w:left="44"/>
            </w:pPr>
            <w:r>
              <w:rPr>
                <w:spacing w:val="8"/>
              </w:rPr>
              <w:t>粉尘控制技</w:t>
            </w:r>
          </w:p>
          <w:p w14:paraId="75D11BF8">
            <w:pPr>
              <w:pStyle w:val="6"/>
              <w:spacing w:before="72" w:line="228" w:lineRule="auto"/>
              <w:ind w:left="467"/>
            </w:pPr>
            <w:r>
              <w:t>术</w:t>
            </w:r>
          </w:p>
        </w:tc>
        <w:tc>
          <w:tcPr>
            <w:tcW w:w="840" w:type="dxa"/>
            <w:vAlign w:val="top"/>
          </w:tcPr>
          <w:p w14:paraId="21FD3D2D">
            <w:pPr>
              <w:spacing w:line="306" w:lineRule="auto"/>
              <w:rPr>
                <w:rFonts w:ascii="Arial"/>
                <w:sz w:val="21"/>
              </w:rPr>
            </w:pPr>
          </w:p>
          <w:p w14:paraId="41672F29">
            <w:pPr>
              <w:pStyle w:val="6"/>
              <w:spacing w:before="65" w:line="268" w:lineRule="exact"/>
              <w:ind w:left="217"/>
            </w:pPr>
            <w:r>
              <w:rPr>
                <w:spacing w:val="2"/>
                <w:position w:val="1"/>
              </w:rPr>
              <w:t>9.64</w:t>
            </w:r>
          </w:p>
        </w:tc>
        <w:tc>
          <w:tcPr>
            <w:tcW w:w="978" w:type="dxa"/>
            <w:vAlign w:val="top"/>
          </w:tcPr>
          <w:p w14:paraId="213DCA97">
            <w:pPr>
              <w:spacing w:line="306" w:lineRule="auto"/>
              <w:rPr>
                <w:rFonts w:ascii="Arial"/>
                <w:sz w:val="21"/>
              </w:rPr>
            </w:pPr>
          </w:p>
          <w:p w14:paraId="51C82116">
            <w:pPr>
              <w:pStyle w:val="6"/>
              <w:spacing w:before="65" w:line="268" w:lineRule="exact"/>
              <w:ind w:left="336"/>
            </w:pPr>
            <w:r>
              <w:rPr>
                <w:spacing w:val="2"/>
                <w:position w:val="1"/>
              </w:rPr>
              <w:t>4.4</w:t>
            </w:r>
          </w:p>
        </w:tc>
        <w:tc>
          <w:tcPr>
            <w:tcW w:w="843" w:type="dxa"/>
            <w:vAlign w:val="top"/>
          </w:tcPr>
          <w:p w14:paraId="63B5F630">
            <w:pPr>
              <w:spacing w:line="306" w:lineRule="auto"/>
              <w:rPr>
                <w:rFonts w:ascii="Arial"/>
                <w:sz w:val="21"/>
              </w:rPr>
            </w:pPr>
          </w:p>
          <w:p w14:paraId="32762A83">
            <w:pPr>
              <w:pStyle w:val="6"/>
              <w:spacing w:before="65" w:line="268" w:lineRule="exact"/>
              <w:ind w:left="222"/>
            </w:pPr>
            <w:r>
              <w:rPr>
                <w:spacing w:val="2"/>
                <w:position w:val="1"/>
              </w:rPr>
              <w:t>5.24</w:t>
            </w:r>
          </w:p>
        </w:tc>
        <w:tc>
          <w:tcPr>
            <w:tcW w:w="700" w:type="dxa"/>
            <w:vAlign w:val="top"/>
          </w:tcPr>
          <w:p w14:paraId="0454DA2A">
            <w:pPr>
              <w:spacing w:line="306" w:lineRule="auto"/>
              <w:rPr>
                <w:rFonts w:ascii="Arial"/>
                <w:sz w:val="21"/>
              </w:rPr>
            </w:pPr>
          </w:p>
          <w:p w14:paraId="028BD440">
            <w:pPr>
              <w:pStyle w:val="6"/>
              <w:spacing w:before="65" w:line="269" w:lineRule="exact"/>
              <w:ind w:left="308"/>
            </w:pPr>
            <w:r>
              <w:rPr>
                <w:position w:val="1"/>
              </w:rPr>
              <w:t>3</w:t>
            </w:r>
          </w:p>
        </w:tc>
        <w:tc>
          <w:tcPr>
            <w:tcW w:w="700" w:type="dxa"/>
            <w:vAlign w:val="top"/>
          </w:tcPr>
          <w:p w14:paraId="46B410DE">
            <w:pPr>
              <w:spacing w:line="306" w:lineRule="auto"/>
              <w:rPr>
                <w:rFonts w:ascii="Arial"/>
                <w:sz w:val="21"/>
              </w:rPr>
            </w:pPr>
          </w:p>
          <w:p w14:paraId="11E5705F">
            <w:pPr>
              <w:pStyle w:val="6"/>
              <w:spacing w:before="65" w:line="233" w:lineRule="auto"/>
              <w:ind w:left="303"/>
            </w:pPr>
            <w:r>
              <w:t>/</w:t>
            </w:r>
          </w:p>
        </w:tc>
        <w:tc>
          <w:tcPr>
            <w:tcW w:w="840" w:type="dxa"/>
            <w:vAlign w:val="top"/>
          </w:tcPr>
          <w:p w14:paraId="41D40955">
            <w:pPr>
              <w:spacing w:line="306" w:lineRule="auto"/>
              <w:rPr>
                <w:rFonts w:ascii="Arial"/>
                <w:sz w:val="21"/>
              </w:rPr>
            </w:pPr>
          </w:p>
          <w:p w14:paraId="4F9D707F">
            <w:pPr>
              <w:pStyle w:val="6"/>
              <w:spacing w:before="65" w:line="233" w:lineRule="auto"/>
              <w:ind w:left="371"/>
            </w:pPr>
            <w:r>
              <w:t>/</w:t>
            </w:r>
          </w:p>
        </w:tc>
        <w:tc>
          <w:tcPr>
            <w:tcW w:w="558" w:type="dxa"/>
            <w:vAlign w:val="top"/>
          </w:tcPr>
          <w:p w14:paraId="16BFA6C7">
            <w:pPr>
              <w:spacing w:line="306" w:lineRule="auto"/>
              <w:rPr>
                <w:rFonts w:ascii="Arial"/>
                <w:sz w:val="21"/>
              </w:rPr>
            </w:pPr>
          </w:p>
          <w:p w14:paraId="702126EE">
            <w:pPr>
              <w:pStyle w:val="6"/>
              <w:spacing w:before="65" w:line="233" w:lineRule="auto"/>
              <w:ind w:left="232"/>
            </w:pPr>
            <w:r>
              <w:t>/</w:t>
            </w:r>
          </w:p>
        </w:tc>
        <w:tc>
          <w:tcPr>
            <w:tcW w:w="843" w:type="dxa"/>
            <w:vAlign w:val="top"/>
          </w:tcPr>
          <w:p w14:paraId="5FBD31B6">
            <w:pPr>
              <w:spacing w:line="306" w:lineRule="auto"/>
              <w:rPr>
                <w:rFonts w:ascii="Arial"/>
                <w:sz w:val="21"/>
              </w:rPr>
            </w:pPr>
          </w:p>
          <w:p w14:paraId="31CAF050">
            <w:pPr>
              <w:pStyle w:val="6"/>
              <w:spacing w:before="65" w:line="233" w:lineRule="auto"/>
              <w:ind w:left="375"/>
            </w:pPr>
            <w:r>
              <w:t>/</w:t>
            </w:r>
          </w:p>
        </w:tc>
        <w:tc>
          <w:tcPr>
            <w:tcW w:w="1188" w:type="dxa"/>
            <w:vAlign w:val="top"/>
          </w:tcPr>
          <w:p w14:paraId="525C60AF">
            <w:pPr>
              <w:spacing w:line="306" w:lineRule="auto"/>
              <w:rPr>
                <w:rFonts w:ascii="Arial"/>
                <w:sz w:val="21"/>
              </w:rPr>
            </w:pPr>
          </w:p>
          <w:p w14:paraId="78BCCC62">
            <w:pPr>
              <w:pStyle w:val="6"/>
              <w:spacing w:before="65" w:line="233" w:lineRule="auto"/>
              <w:ind w:left="547"/>
            </w:pPr>
            <w:r>
              <w:t>/</w:t>
            </w:r>
          </w:p>
        </w:tc>
        <w:tc>
          <w:tcPr>
            <w:tcW w:w="868" w:type="dxa"/>
            <w:vAlign w:val="top"/>
          </w:tcPr>
          <w:p w14:paraId="2EEF56F0">
            <w:pPr>
              <w:spacing w:line="306" w:lineRule="auto"/>
              <w:rPr>
                <w:rFonts w:ascii="Arial"/>
                <w:sz w:val="21"/>
              </w:rPr>
            </w:pPr>
          </w:p>
          <w:p w14:paraId="3E707DF2">
            <w:pPr>
              <w:pStyle w:val="6"/>
              <w:spacing w:before="65" w:line="233" w:lineRule="auto"/>
              <w:ind w:left="386"/>
            </w:pPr>
            <w:r>
              <w:t>/</w:t>
            </w:r>
          </w:p>
        </w:tc>
        <w:tc>
          <w:tcPr>
            <w:tcW w:w="748" w:type="dxa"/>
            <w:vAlign w:val="top"/>
          </w:tcPr>
          <w:p w14:paraId="6E754E11">
            <w:pPr>
              <w:spacing w:line="306" w:lineRule="auto"/>
              <w:rPr>
                <w:rFonts w:ascii="Arial"/>
                <w:sz w:val="21"/>
              </w:rPr>
            </w:pPr>
          </w:p>
          <w:p w14:paraId="6470F71F">
            <w:pPr>
              <w:pStyle w:val="6"/>
              <w:spacing w:before="65" w:line="268" w:lineRule="exact"/>
              <w:ind w:left="122"/>
            </w:pPr>
            <w:r>
              <w:rPr>
                <w:spacing w:val="2"/>
                <w:position w:val="1"/>
              </w:rPr>
              <w:t>2.495</w:t>
            </w:r>
          </w:p>
        </w:tc>
        <w:tc>
          <w:tcPr>
            <w:tcW w:w="805" w:type="dxa"/>
            <w:vAlign w:val="top"/>
          </w:tcPr>
          <w:p w14:paraId="597F3790">
            <w:pPr>
              <w:spacing w:line="306" w:lineRule="auto"/>
              <w:rPr>
                <w:rFonts w:ascii="Arial"/>
                <w:sz w:val="21"/>
              </w:rPr>
            </w:pPr>
          </w:p>
          <w:p w14:paraId="2475D624">
            <w:pPr>
              <w:pStyle w:val="6"/>
              <w:spacing w:before="65" w:line="233" w:lineRule="auto"/>
              <w:ind w:left="354"/>
            </w:pPr>
            <w:r>
              <w:t>/</w:t>
            </w:r>
          </w:p>
        </w:tc>
      </w:tr>
      <w:tr w14:paraId="4ABED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7B42F54B">
            <w:pPr>
              <w:spacing w:line="307" w:lineRule="auto"/>
              <w:rPr>
                <w:rFonts w:ascii="Arial"/>
                <w:sz w:val="21"/>
              </w:rPr>
            </w:pPr>
          </w:p>
          <w:p w14:paraId="1B8359F8">
            <w:pPr>
              <w:pStyle w:val="6"/>
              <w:spacing w:before="65" w:line="228" w:lineRule="auto"/>
              <w:ind w:left="102"/>
            </w:pPr>
            <w:r>
              <w:rPr>
                <w:spacing w:val="6"/>
              </w:rPr>
              <w:t>车辆运输</w:t>
            </w:r>
          </w:p>
        </w:tc>
        <w:tc>
          <w:tcPr>
            <w:tcW w:w="900" w:type="dxa"/>
            <w:vAlign w:val="top"/>
          </w:tcPr>
          <w:p w14:paraId="41863079">
            <w:pPr>
              <w:spacing w:line="308" w:lineRule="auto"/>
              <w:rPr>
                <w:rFonts w:ascii="Arial"/>
                <w:sz w:val="21"/>
              </w:rPr>
            </w:pPr>
          </w:p>
          <w:p w14:paraId="0310306F">
            <w:pPr>
              <w:pStyle w:val="6"/>
              <w:spacing w:before="65" w:line="228" w:lineRule="auto"/>
              <w:ind w:left="137"/>
            </w:pPr>
            <w:r>
              <w:rPr>
                <w:spacing w:val="7"/>
              </w:rPr>
              <w:t>颗粒物</w:t>
            </w:r>
          </w:p>
        </w:tc>
        <w:tc>
          <w:tcPr>
            <w:tcW w:w="981" w:type="dxa"/>
            <w:vAlign w:val="top"/>
          </w:tcPr>
          <w:p w14:paraId="3159CFC5">
            <w:pPr>
              <w:spacing w:line="307" w:lineRule="auto"/>
              <w:rPr>
                <w:rFonts w:ascii="Arial"/>
                <w:sz w:val="21"/>
              </w:rPr>
            </w:pPr>
          </w:p>
          <w:p w14:paraId="68D168C6">
            <w:pPr>
              <w:pStyle w:val="6"/>
              <w:spacing w:before="65" w:line="228" w:lineRule="auto"/>
              <w:ind w:left="76"/>
            </w:pPr>
            <w:r>
              <w:rPr>
                <w:spacing w:val="6"/>
              </w:rPr>
              <w:t>洒水降尘</w:t>
            </w:r>
          </w:p>
        </w:tc>
        <w:tc>
          <w:tcPr>
            <w:tcW w:w="1132" w:type="dxa"/>
            <w:vAlign w:val="top"/>
          </w:tcPr>
          <w:p w14:paraId="02FEFD54">
            <w:pPr>
              <w:pStyle w:val="6"/>
              <w:spacing w:before="55" w:line="228" w:lineRule="auto"/>
              <w:ind w:left="45"/>
            </w:pPr>
            <w:r>
              <w:rPr>
                <w:spacing w:val="8"/>
              </w:rPr>
              <w:t>逸散性工业</w:t>
            </w:r>
          </w:p>
          <w:p w14:paraId="4441A82C">
            <w:pPr>
              <w:pStyle w:val="6"/>
              <w:spacing w:before="72" w:line="228" w:lineRule="auto"/>
              <w:ind w:left="44"/>
            </w:pPr>
            <w:r>
              <w:rPr>
                <w:spacing w:val="8"/>
              </w:rPr>
              <w:t>粉尘控制技</w:t>
            </w:r>
          </w:p>
          <w:p w14:paraId="2754679D">
            <w:pPr>
              <w:pStyle w:val="6"/>
              <w:spacing w:before="72" w:line="228" w:lineRule="auto"/>
              <w:ind w:left="467"/>
            </w:pPr>
            <w:r>
              <w:t>术</w:t>
            </w:r>
          </w:p>
        </w:tc>
        <w:tc>
          <w:tcPr>
            <w:tcW w:w="840" w:type="dxa"/>
            <w:vAlign w:val="top"/>
          </w:tcPr>
          <w:p w14:paraId="7D21B0BE">
            <w:pPr>
              <w:spacing w:line="307" w:lineRule="auto"/>
              <w:rPr>
                <w:rFonts w:ascii="Arial"/>
                <w:sz w:val="21"/>
              </w:rPr>
            </w:pPr>
          </w:p>
          <w:p w14:paraId="24D1B510">
            <w:pPr>
              <w:pStyle w:val="6"/>
              <w:spacing w:before="65" w:line="268" w:lineRule="exact"/>
              <w:ind w:left="164"/>
            </w:pPr>
            <w:r>
              <w:rPr>
                <w:spacing w:val="2"/>
                <w:position w:val="1"/>
              </w:rPr>
              <w:t>25.07</w:t>
            </w:r>
          </w:p>
        </w:tc>
        <w:tc>
          <w:tcPr>
            <w:tcW w:w="978" w:type="dxa"/>
            <w:vAlign w:val="top"/>
          </w:tcPr>
          <w:p w14:paraId="277DECFA">
            <w:pPr>
              <w:spacing w:line="307" w:lineRule="auto"/>
              <w:rPr>
                <w:rFonts w:ascii="Arial"/>
                <w:sz w:val="21"/>
              </w:rPr>
            </w:pPr>
          </w:p>
          <w:p w14:paraId="1111A863">
            <w:pPr>
              <w:pStyle w:val="6"/>
              <w:spacing w:before="65" w:line="268" w:lineRule="exact"/>
              <w:ind w:left="196"/>
            </w:pPr>
            <w:r>
              <w:rPr>
                <w:spacing w:val="1"/>
                <w:position w:val="1"/>
              </w:rPr>
              <w:t>13.715</w:t>
            </w:r>
          </w:p>
        </w:tc>
        <w:tc>
          <w:tcPr>
            <w:tcW w:w="843" w:type="dxa"/>
            <w:vAlign w:val="top"/>
          </w:tcPr>
          <w:p w14:paraId="2B5E431A">
            <w:pPr>
              <w:spacing w:line="307" w:lineRule="auto"/>
              <w:rPr>
                <w:rFonts w:ascii="Arial"/>
                <w:sz w:val="21"/>
              </w:rPr>
            </w:pPr>
          </w:p>
          <w:p w14:paraId="50788ED1">
            <w:pPr>
              <w:pStyle w:val="6"/>
              <w:spacing w:before="65" w:line="268" w:lineRule="exact"/>
              <w:ind w:left="128"/>
            </w:pPr>
            <w:r>
              <w:rPr>
                <w:spacing w:val="1"/>
                <w:position w:val="1"/>
              </w:rPr>
              <w:t>11.355</w:t>
            </w:r>
          </w:p>
        </w:tc>
        <w:tc>
          <w:tcPr>
            <w:tcW w:w="700" w:type="dxa"/>
            <w:vAlign w:val="top"/>
          </w:tcPr>
          <w:p w14:paraId="0BD962C4">
            <w:pPr>
              <w:spacing w:line="307" w:lineRule="auto"/>
              <w:rPr>
                <w:rFonts w:ascii="Arial"/>
                <w:sz w:val="21"/>
              </w:rPr>
            </w:pPr>
          </w:p>
          <w:p w14:paraId="7F78836D">
            <w:pPr>
              <w:pStyle w:val="6"/>
              <w:spacing w:before="65" w:line="233" w:lineRule="auto"/>
              <w:ind w:left="303"/>
            </w:pPr>
            <w:r>
              <w:t>/</w:t>
            </w:r>
          </w:p>
        </w:tc>
        <w:tc>
          <w:tcPr>
            <w:tcW w:w="700" w:type="dxa"/>
            <w:vAlign w:val="top"/>
          </w:tcPr>
          <w:p w14:paraId="7988E369">
            <w:pPr>
              <w:spacing w:line="307" w:lineRule="auto"/>
              <w:rPr>
                <w:rFonts w:ascii="Arial"/>
                <w:sz w:val="21"/>
              </w:rPr>
            </w:pPr>
          </w:p>
          <w:p w14:paraId="0488B81B">
            <w:pPr>
              <w:pStyle w:val="6"/>
              <w:spacing w:before="65" w:line="233" w:lineRule="auto"/>
              <w:ind w:left="303"/>
            </w:pPr>
            <w:r>
              <w:t>/</w:t>
            </w:r>
          </w:p>
        </w:tc>
        <w:tc>
          <w:tcPr>
            <w:tcW w:w="840" w:type="dxa"/>
            <w:vAlign w:val="top"/>
          </w:tcPr>
          <w:p w14:paraId="2FEF6145">
            <w:pPr>
              <w:spacing w:line="307" w:lineRule="auto"/>
              <w:rPr>
                <w:rFonts w:ascii="Arial"/>
                <w:sz w:val="21"/>
              </w:rPr>
            </w:pPr>
          </w:p>
          <w:p w14:paraId="5E2B5F9F">
            <w:pPr>
              <w:pStyle w:val="6"/>
              <w:spacing w:before="65" w:line="233" w:lineRule="auto"/>
              <w:ind w:left="371"/>
            </w:pPr>
            <w:r>
              <w:t>/</w:t>
            </w:r>
          </w:p>
        </w:tc>
        <w:tc>
          <w:tcPr>
            <w:tcW w:w="558" w:type="dxa"/>
            <w:vAlign w:val="top"/>
          </w:tcPr>
          <w:p w14:paraId="12785598">
            <w:pPr>
              <w:spacing w:line="307" w:lineRule="auto"/>
              <w:rPr>
                <w:rFonts w:ascii="Arial"/>
                <w:sz w:val="21"/>
              </w:rPr>
            </w:pPr>
          </w:p>
          <w:p w14:paraId="4B4EB94C">
            <w:pPr>
              <w:pStyle w:val="6"/>
              <w:spacing w:before="65" w:line="233" w:lineRule="auto"/>
              <w:ind w:left="232"/>
            </w:pPr>
            <w:r>
              <w:t>/</w:t>
            </w:r>
          </w:p>
        </w:tc>
        <w:tc>
          <w:tcPr>
            <w:tcW w:w="843" w:type="dxa"/>
            <w:vAlign w:val="top"/>
          </w:tcPr>
          <w:p w14:paraId="47862C87">
            <w:pPr>
              <w:spacing w:line="307" w:lineRule="auto"/>
              <w:rPr>
                <w:rFonts w:ascii="Arial"/>
                <w:sz w:val="21"/>
              </w:rPr>
            </w:pPr>
          </w:p>
          <w:p w14:paraId="3379AD14">
            <w:pPr>
              <w:pStyle w:val="6"/>
              <w:spacing w:before="65" w:line="233" w:lineRule="auto"/>
              <w:ind w:left="375"/>
            </w:pPr>
            <w:r>
              <w:t>/</w:t>
            </w:r>
          </w:p>
        </w:tc>
        <w:tc>
          <w:tcPr>
            <w:tcW w:w="1188" w:type="dxa"/>
            <w:vAlign w:val="top"/>
          </w:tcPr>
          <w:p w14:paraId="140A7A96">
            <w:pPr>
              <w:spacing w:line="307" w:lineRule="auto"/>
              <w:rPr>
                <w:rFonts w:ascii="Arial"/>
                <w:sz w:val="21"/>
              </w:rPr>
            </w:pPr>
          </w:p>
          <w:p w14:paraId="45C13765">
            <w:pPr>
              <w:pStyle w:val="6"/>
              <w:spacing w:before="65" w:line="233" w:lineRule="auto"/>
              <w:ind w:left="547"/>
            </w:pPr>
            <w:r>
              <w:t>/</w:t>
            </w:r>
          </w:p>
        </w:tc>
        <w:tc>
          <w:tcPr>
            <w:tcW w:w="868" w:type="dxa"/>
            <w:vAlign w:val="top"/>
          </w:tcPr>
          <w:p w14:paraId="467A4C59">
            <w:pPr>
              <w:spacing w:line="307" w:lineRule="auto"/>
              <w:rPr>
                <w:rFonts w:ascii="Arial"/>
                <w:sz w:val="21"/>
              </w:rPr>
            </w:pPr>
          </w:p>
          <w:p w14:paraId="5C311919">
            <w:pPr>
              <w:pStyle w:val="6"/>
              <w:spacing w:before="65" w:line="233" w:lineRule="auto"/>
              <w:ind w:left="386"/>
            </w:pPr>
            <w:r>
              <w:t>/</w:t>
            </w:r>
          </w:p>
        </w:tc>
        <w:tc>
          <w:tcPr>
            <w:tcW w:w="748" w:type="dxa"/>
            <w:vAlign w:val="top"/>
          </w:tcPr>
          <w:p w14:paraId="59A288C3">
            <w:pPr>
              <w:spacing w:line="307" w:lineRule="auto"/>
              <w:rPr>
                <w:rFonts w:ascii="Arial"/>
                <w:sz w:val="21"/>
              </w:rPr>
            </w:pPr>
          </w:p>
          <w:p w14:paraId="3AD8ECB1">
            <w:pPr>
              <w:pStyle w:val="6"/>
              <w:spacing w:before="65" w:line="268" w:lineRule="exact"/>
              <w:ind w:left="123"/>
            </w:pPr>
            <w:r>
              <w:rPr>
                <w:spacing w:val="2"/>
                <w:position w:val="1"/>
              </w:rPr>
              <w:t>5.407</w:t>
            </w:r>
          </w:p>
        </w:tc>
        <w:tc>
          <w:tcPr>
            <w:tcW w:w="805" w:type="dxa"/>
            <w:vAlign w:val="top"/>
          </w:tcPr>
          <w:p w14:paraId="0DE77FAD">
            <w:pPr>
              <w:spacing w:line="307" w:lineRule="auto"/>
              <w:rPr>
                <w:rFonts w:ascii="Arial"/>
                <w:sz w:val="21"/>
              </w:rPr>
            </w:pPr>
          </w:p>
          <w:p w14:paraId="10F0166C">
            <w:pPr>
              <w:pStyle w:val="6"/>
              <w:spacing w:before="65" w:line="233" w:lineRule="auto"/>
              <w:ind w:left="354"/>
            </w:pPr>
            <w:r>
              <w:t>/</w:t>
            </w:r>
          </w:p>
        </w:tc>
      </w:tr>
      <w:tr w14:paraId="04CDD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751FC6F7">
            <w:pPr>
              <w:pStyle w:val="6"/>
              <w:spacing w:before="56" w:line="233" w:lineRule="auto"/>
              <w:ind w:left="169"/>
            </w:pPr>
            <w:r>
              <w:rPr>
                <w:spacing w:val="1"/>
              </w:rPr>
              <w:t>1400t/d</w:t>
            </w:r>
          </w:p>
          <w:p w14:paraId="270891E5">
            <w:pPr>
              <w:pStyle w:val="6"/>
              <w:spacing w:before="66" w:line="228" w:lineRule="auto"/>
              <w:ind w:left="100"/>
            </w:pPr>
            <w:r>
              <w:rPr>
                <w:spacing w:val="7"/>
              </w:rPr>
              <w:t>粗碎车间</w:t>
            </w:r>
          </w:p>
          <w:p w14:paraId="3F229514">
            <w:pPr>
              <w:pStyle w:val="6"/>
              <w:spacing w:before="72" w:line="228" w:lineRule="auto"/>
              <w:ind w:left="206"/>
            </w:pPr>
            <w:r>
              <w:rPr>
                <w:spacing w:val="6"/>
              </w:rPr>
              <w:t>排气筒</w:t>
            </w:r>
          </w:p>
        </w:tc>
        <w:tc>
          <w:tcPr>
            <w:tcW w:w="900" w:type="dxa"/>
            <w:vAlign w:val="top"/>
          </w:tcPr>
          <w:p w14:paraId="23FA61BE">
            <w:pPr>
              <w:spacing w:line="309" w:lineRule="auto"/>
              <w:rPr>
                <w:rFonts w:ascii="Arial"/>
                <w:sz w:val="21"/>
              </w:rPr>
            </w:pPr>
          </w:p>
          <w:p w14:paraId="2170B87A">
            <w:pPr>
              <w:pStyle w:val="6"/>
              <w:spacing w:before="65" w:line="228" w:lineRule="auto"/>
              <w:ind w:left="137"/>
            </w:pPr>
            <w:r>
              <w:rPr>
                <w:spacing w:val="7"/>
              </w:rPr>
              <w:t>颗粒物</w:t>
            </w:r>
          </w:p>
        </w:tc>
        <w:tc>
          <w:tcPr>
            <w:tcW w:w="981" w:type="dxa"/>
            <w:vAlign w:val="top"/>
          </w:tcPr>
          <w:p w14:paraId="2659CF26">
            <w:pPr>
              <w:pStyle w:val="6"/>
              <w:spacing w:before="215" w:line="296" w:lineRule="auto"/>
              <w:ind w:left="77" w:right="46" w:hanging="35"/>
            </w:pPr>
            <w:r>
              <w:rPr>
                <w:rFonts w:ascii="Times New Roman" w:hAnsi="Times New Roman" w:eastAsia="Times New Roman" w:cs="Times New Roman"/>
              </w:rPr>
              <w:t>RDL</w:t>
            </w:r>
            <w:r>
              <w:rPr>
                <w:rFonts w:ascii="Times New Roman" w:hAnsi="Times New Roman" w:eastAsia="Times New Roman" w:cs="Times New Roman"/>
                <w:spacing w:val="14"/>
                <w:w w:val="101"/>
              </w:rPr>
              <w:t xml:space="preserve"> </w:t>
            </w:r>
            <w:r>
              <w:rPr>
                <w:spacing w:val="11"/>
              </w:rPr>
              <w:t>滤筒</w:t>
            </w:r>
            <w:r>
              <w:t xml:space="preserve"> </w:t>
            </w:r>
            <w:r>
              <w:rPr>
                <w:spacing w:val="6"/>
              </w:rPr>
              <w:t>式除尘器</w:t>
            </w:r>
          </w:p>
        </w:tc>
        <w:tc>
          <w:tcPr>
            <w:tcW w:w="1132" w:type="dxa"/>
            <w:vAlign w:val="top"/>
          </w:tcPr>
          <w:p w14:paraId="4576363C">
            <w:pPr>
              <w:spacing w:line="308" w:lineRule="auto"/>
              <w:rPr>
                <w:rFonts w:ascii="Arial"/>
                <w:sz w:val="21"/>
              </w:rPr>
            </w:pPr>
          </w:p>
          <w:p w14:paraId="49B9E02F">
            <w:pPr>
              <w:pStyle w:val="6"/>
              <w:spacing w:before="65" w:line="228" w:lineRule="auto"/>
              <w:ind w:left="150"/>
            </w:pPr>
            <w:r>
              <w:rPr>
                <w:spacing w:val="7"/>
              </w:rPr>
              <w:t>验收监测</w:t>
            </w:r>
          </w:p>
        </w:tc>
        <w:tc>
          <w:tcPr>
            <w:tcW w:w="840" w:type="dxa"/>
            <w:vAlign w:val="top"/>
          </w:tcPr>
          <w:p w14:paraId="4D4E633D">
            <w:pPr>
              <w:spacing w:line="309" w:lineRule="auto"/>
              <w:rPr>
                <w:rFonts w:ascii="Arial"/>
                <w:sz w:val="21"/>
              </w:rPr>
            </w:pPr>
          </w:p>
          <w:p w14:paraId="5E7528FF">
            <w:pPr>
              <w:pStyle w:val="6"/>
              <w:spacing w:before="65" w:line="267" w:lineRule="exact"/>
              <w:ind w:left="177"/>
            </w:pPr>
            <w:r>
              <w:rPr>
                <w:position w:val="1"/>
              </w:rPr>
              <w:t>14.20</w:t>
            </w:r>
          </w:p>
        </w:tc>
        <w:tc>
          <w:tcPr>
            <w:tcW w:w="978" w:type="dxa"/>
            <w:vAlign w:val="top"/>
          </w:tcPr>
          <w:p w14:paraId="4AA09806">
            <w:pPr>
              <w:spacing w:line="309" w:lineRule="auto"/>
              <w:rPr>
                <w:rFonts w:ascii="Arial"/>
                <w:sz w:val="21"/>
              </w:rPr>
            </w:pPr>
          </w:p>
          <w:p w14:paraId="305B4819">
            <w:pPr>
              <w:pStyle w:val="6"/>
              <w:spacing w:before="65" w:line="267" w:lineRule="exact"/>
              <w:ind w:left="249"/>
            </w:pPr>
            <w:r>
              <w:rPr>
                <w:position w:val="1"/>
              </w:rPr>
              <w:t>13.88</w:t>
            </w:r>
          </w:p>
        </w:tc>
        <w:tc>
          <w:tcPr>
            <w:tcW w:w="843" w:type="dxa"/>
            <w:vAlign w:val="top"/>
          </w:tcPr>
          <w:p w14:paraId="14CB29F2">
            <w:pPr>
              <w:spacing w:line="309" w:lineRule="auto"/>
              <w:rPr>
                <w:rFonts w:ascii="Arial"/>
                <w:sz w:val="21"/>
              </w:rPr>
            </w:pPr>
          </w:p>
          <w:p w14:paraId="3361AE37">
            <w:pPr>
              <w:pStyle w:val="6"/>
              <w:spacing w:before="65" w:line="267" w:lineRule="exact"/>
              <w:ind w:left="219"/>
            </w:pPr>
            <w:r>
              <w:rPr>
                <w:spacing w:val="2"/>
                <w:position w:val="1"/>
              </w:rPr>
              <w:t>0.32</w:t>
            </w:r>
          </w:p>
        </w:tc>
        <w:tc>
          <w:tcPr>
            <w:tcW w:w="700" w:type="dxa"/>
            <w:vAlign w:val="top"/>
          </w:tcPr>
          <w:p w14:paraId="0B3EF15E">
            <w:pPr>
              <w:spacing w:line="309" w:lineRule="auto"/>
              <w:rPr>
                <w:rFonts w:ascii="Arial"/>
                <w:sz w:val="21"/>
              </w:rPr>
            </w:pPr>
          </w:p>
          <w:p w14:paraId="0521E197">
            <w:pPr>
              <w:pStyle w:val="6"/>
              <w:spacing w:before="65" w:line="268" w:lineRule="exact"/>
              <w:ind w:left="266"/>
            </w:pPr>
            <w:r>
              <w:rPr>
                <w:spacing w:val="-7"/>
                <w:position w:val="1"/>
              </w:rPr>
              <w:t>15</w:t>
            </w:r>
          </w:p>
        </w:tc>
        <w:tc>
          <w:tcPr>
            <w:tcW w:w="700" w:type="dxa"/>
            <w:vAlign w:val="top"/>
          </w:tcPr>
          <w:p w14:paraId="457A6E87">
            <w:pPr>
              <w:spacing w:line="309" w:lineRule="auto"/>
              <w:rPr>
                <w:rFonts w:ascii="Arial"/>
                <w:sz w:val="21"/>
              </w:rPr>
            </w:pPr>
          </w:p>
          <w:p w14:paraId="34673E11">
            <w:pPr>
              <w:pStyle w:val="6"/>
              <w:spacing w:before="65" w:line="228" w:lineRule="auto"/>
              <w:ind w:left="151"/>
            </w:pPr>
            <w:r>
              <w:rPr>
                <w:spacing w:val="2"/>
              </w:rPr>
              <w:t>常温</w:t>
            </w:r>
          </w:p>
        </w:tc>
        <w:tc>
          <w:tcPr>
            <w:tcW w:w="840" w:type="dxa"/>
            <w:vAlign w:val="top"/>
          </w:tcPr>
          <w:p w14:paraId="61BC3AC8">
            <w:pPr>
              <w:spacing w:line="309" w:lineRule="auto"/>
              <w:rPr>
                <w:rFonts w:ascii="Arial"/>
                <w:sz w:val="21"/>
              </w:rPr>
            </w:pPr>
          </w:p>
          <w:p w14:paraId="18EB05AE">
            <w:pPr>
              <w:pStyle w:val="6"/>
              <w:spacing w:before="65" w:line="268" w:lineRule="exact"/>
              <w:ind w:left="179"/>
            </w:pPr>
            <w:r>
              <w:rPr>
                <w:position w:val="1"/>
              </w:rPr>
              <w:t>13000</w:t>
            </w:r>
          </w:p>
        </w:tc>
        <w:tc>
          <w:tcPr>
            <w:tcW w:w="558" w:type="dxa"/>
            <w:vAlign w:val="top"/>
          </w:tcPr>
          <w:p w14:paraId="6ACF10A8">
            <w:pPr>
              <w:spacing w:line="309" w:lineRule="auto"/>
              <w:rPr>
                <w:rFonts w:ascii="Arial"/>
                <w:sz w:val="21"/>
              </w:rPr>
            </w:pPr>
          </w:p>
          <w:p w14:paraId="334F4226">
            <w:pPr>
              <w:pStyle w:val="6"/>
              <w:spacing w:before="65" w:line="267" w:lineRule="exact"/>
              <w:ind w:left="129"/>
            </w:pPr>
            <w:r>
              <w:rPr>
                <w:spacing w:val="1"/>
                <w:position w:val="1"/>
              </w:rPr>
              <w:t>0.5</w:t>
            </w:r>
          </w:p>
        </w:tc>
        <w:tc>
          <w:tcPr>
            <w:tcW w:w="843" w:type="dxa"/>
            <w:vAlign w:val="top"/>
          </w:tcPr>
          <w:p w14:paraId="36FA50FB">
            <w:pPr>
              <w:spacing w:line="309" w:lineRule="auto"/>
              <w:rPr>
                <w:rFonts w:ascii="Arial"/>
                <w:sz w:val="21"/>
              </w:rPr>
            </w:pPr>
          </w:p>
          <w:p w14:paraId="211E296D">
            <w:pPr>
              <w:pStyle w:val="6"/>
              <w:spacing w:before="65" w:line="268" w:lineRule="exact"/>
              <w:ind w:left="233"/>
            </w:pPr>
            <w:r>
              <w:rPr>
                <w:spacing w:val="-1"/>
                <w:position w:val="1"/>
              </w:rPr>
              <w:t>1109</w:t>
            </w:r>
          </w:p>
        </w:tc>
        <w:tc>
          <w:tcPr>
            <w:tcW w:w="1188" w:type="dxa"/>
            <w:vAlign w:val="top"/>
          </w:tcPr>
          <w:p w14:paraId="211DF80E">
            <w:pPr>
              <w:spacing w:line="308" w:lineRule="auto"/>
              <w:rPr>
                <w:rFonts w:ascii="Arial"/>
                <w:sz w:val="21"/>
              </w:rPr>
            </w:pPr>
          </w:p>
          <w:p w14:paraId="3762BA06">
            <w:pPr>
              <w:pStyle w:val="6"/>
              <w:spacing w:before="65" w:line="233" w:lineRule="auto"/>
              <w:ind w:left="547"/>
            </w:pPr>
            <w:r>
              <w:t>/</w:t>
            </w:r>
          </w:p>
        </w:tc>
        <w:tc>
          <w:tcPr>
            <w:tcW w:w="868" w:type="dxa"/>
            <w:vAlign w:val="top"/>
          </w:tcPr>
          <w:p w14:paraId="57588896">
            <w:pPr>
              <w:spacing w:line="309" w:lineRule="auto"/>
              <w:rPr>
                <w:rFonts w:ascii="Arial"/>
                <w:sz w:val="21"/>
              </w:rPr>
            </w:pPr>
          </w:p>
          <w:p w14:paraId="598AF151">
            <w:pPr>
              <w:pStyle w:val="6"/>
              <w:spacing w:before="65" w:line="267" w:lineRule="exact"/>
              <w:ind w:left="247"/>
            </w:pPr>
            <w:r>
              <w:rPr>
                <w:spacing w:val="-1"/>
                <w:position w:val="1"/>
              </w:rPr>
              <w:t>17.7</w:t>
            </w:r>
          </w:p>
        </w:tc>
        <w:tc>
          <w:tcPr>
            <w:tcW w:w="748" w:type="dxa"/>
            <w:vAlign w:val="top"/>
          </w:tcPr>
          <w:p w14:paraId="421E6D3B">
            <w:pPr>
              <w:spacing w:line="309" w:lineRule="auto"/>
              <w:rPr>
                <w:rFonts w:ascii="Arial"/>
                <w:sz w:val="21"/>
              </w:rPr>
            </w:pPr>
          </w:p>
          <w:p w14:paraId="494A0811">
            <w:pPr>
              <w:pStyle w:val="6"/>
              <w:spacing w:before="65" w:line="267" w:lineRule="exact"/>
              <w:ind w:left="121"/>
            </w:pPr>
            <w:r>
              <w:rPr>
                <w:spacing w:val="2"/>
                <w:position w:val="1"/>
              </w:rPr>
              <w:t>0.289</w:t>
            </w:r>
          </w:p>
        </w:tc>
        <w:tc>
          <w:tcPr>
            <w:tcW w:w="805" w:type="dxa"/>
            <w:vAlign w:val="top"/>
          </w:tcPr>
          <w:p w14:paraId="5FFB476A">
            <w:pPr>
              <w:spacing w:line="309" w:lineRule="auto"/>
              <w:rPr>
                <w:rFonts w:ascii="Arial"/>
                <w:sz w:val="21"/>
              </w:rPr>
            </w:pPr>
          </w:p>
          <w:p w14:paraId="1643F230">
            <w:pPr>
              <w:pStyle w:val="6"/>
              <w:spacing w:before="65" w:line="228" w:lineRule="auto"/>
              <w:ind w:left="196"/>
            </w:pPr>
            <w:r>
              <w:rPr>
                <w:spacing w:val="5"/>
              </w:rPr>
              <w:t>达标</w:t>
            </w:r>
          </w:p>
        </w:tc>
      </w:tr>
      <w:tr w14:paraId="40E9B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4A917397">
            <w:pPr>
              <w:pStyle w:val="6"/>
              <w:spacing w:before="57" w:line="275" w:lineRule="auto"/>
              <w:ind w:left="120" w:right="94" w:firstLine="48"/>
              <w:jc w:val="both"/>
            </w:pPr>
            <w:r>
              <w:rPr>
                <w:spacing w:val="1"/>
              </w:rPr>
              <w:t>1400t/d</w:t>
            </w:r>
            <w:r>
              <w:rPr>
                <w:spacing w:val="4"/>
              </w:rPr>
              <w:t xml:space="preserve"> </w:t>
            </w:r>
            <w:r>
              <w:rPr>
                <w:spacing w:val="2"/>
              </w:rPr>
              <w:t>中间堆场</w:t>
            </w:r>
            <w:r>
              <w:t xml:space="preserve"> </w:t>
            </w:r>
            <w:r>
              <w:rPr>
                <w:spacing w:val="35"/>
              </w:rPr>
              <w:t>排气筒</w:t>
            </w:r>
          </w:p>
        </w:tc>
        <w:tc>
          <w:tcPr>
            <w:tcW w:w="900" w:type="dxa"/>
            <w:vAlign w:val="top"/>
          </w:tcPr>
          <w:p w14:paraId="18AEB9B7">
            <w:pPr>
              <w:spacing w:line="310" w:lineRule="auto"/>
              <w:rPr>
                <w:rFonts w:ascii="Arial"/>
                <w:sz w:val="21"/>
              </w:rPr>
            </w:pPr>
          </w:p>
          <w:p w14:paraId="2ED51CA9">
            <w:pPr>
              <w:pStyle w:val="6"/>
              <w:spacing w:before="65" w:line="228" w:lineRule="auto"/>
              <w:ind w:left="137"/>
            </w:pPr>
            <w:r>
              <w:rPr>
                <w:spacing w:val="7"/>
              </w:rPr>
              <w:t>颗粒物</w:t>
            </w:r>
          </w:p>
        </w:tc>
        <w:tc>
          <w:tcPr>
            <w:tcW w:w="981" w:type="dxa"/>
            <w:vAlign w:val="top"/>
          </w:tcPr>
          <w:p w14:paraId="62B22B23">
            <w:pPr>
              <w:pStyle w:val="6"/>
              <w:spacing w:before="216" w:line="296" w:lineRule="auto"/>
              <w:ind w:left="77" w:right="46" w:hanging="35"/>
            </w:pPr>
            <w:r>
              <w:rPr>
                <w:rFonts w:ascii="Times New Roman" w:hAnsi="Times New Roman" w:eastAsia="Times New Roman" w:cs="Times New Roman"/>
              </w:rPr>
              <w:t>RDL</w:t>
            </w:r>
            <w:r>
              <w:rPr>
                <w:rFonts w:ascii="Times New Roman" w:hAnsi="Times New Roman" w:eastAsia="Times New Roman" w:cs="Times New Roman"/>
                <w:spacing w:val="14"/>
                <w:w w:val="101"/>
              </w:rPr>
              <w:t xml:space="preserve"> </w:t>
            </w:r>
            <w:r>
              <w:rPr>
                <w:spacing w:val="11"/>
              </w:rPr>
              <w:t>滤筒</w:t>
            </w:r>
            <w:r>
              <w:t xml:space="preserve"> </w:t>
            </w:r>
            <w:r>
              <w:rPr>
                <w:spacing w:val="6"/>
              </w:rPr>
              <w:t>式除尘器</w:t>
            </w:r>
          </w:p>
        </w:tc>
        <w:tc>
          <w:tcPr>
            <w:tcW w:w="1132" w:type="dxa"/>
            <w:vAlign w:val="top"/>
          </w:tcPr>
          <w:p w14:paraId="7B92CDA7">
            <w:pPr>
              <w:spacing w:line="309" w:lineRule="auto"/>
              <w:rPr>
                <w:rFonts w:ascii="Arial"/>
                <w:sz w:val="21"/>
              </w:rPr>
            </w:pPr>
          </w:p>
          <w:p w14:paraId="3D948364">
            <w:pPr>
              <w:pStyle w:val="6"/>
              <w:spacing w:before="65" w:line="228" w:lineRule="auto"/>
              <w:ind w:left="150"/>
            </w:pPr>
            <w:r>
              <w:rPr>
                <w:spacing w:val="7"/>
              </w:rPr>
              <w:t>验收监测</w:t>
            </w:r>
          </w:p>
        </w:tc>
        <w:tc>
          <w:tcPr>
            <w:tcW w:w="840" w:type="dxa"/>
            <w:vAlign w:val="top"/>
          </w:tcPr>
          <w:p w14:paraId="40929280">
            <w:pPr>
              <w:spacing w:line="310" w:lineRule="auto"/>
              <w:rPr>
                <w:rFonts w:ascii="Arial"/>
                <w:sz w:val="21"/>
              </w:rPr>
            </w:pPr>
          </w:p>
          <w:p w14:paraId="561CD5AE">
            <w:pPr>
              <w:pStyle w:val="6"/>
              <w:spacing w:before="65" w:line="268" w:lineRule="exact"/>
              <w:ind w:left="164"/>
            </w:pPr>
            <w:r>
              <w:rPr>
                <w:spacing w:val="2"/>
                <w:position w:val="1"/>
              </w:rPr>
              <w:t>25.73</w:t>
            </w:r>
          </w:p>
        </w:tc>
        <w:tc>
          <w:tcPr>
            <w:tcW w:w="978" w:type="dxa"/>
            <w:vAlign w:val="top"/>
          </w:tcPr>
          <w:p w14:paraId="543328BB">
            <w:pPr>
              <w:spacing w:line="310" w:lineRule="auto"/>
              <w:rPr>
                <w:rFonts w:ascii="Arial"/>
                <w:sz w:val="21"/>
              </w:rPr>
            </w:pPr>
          </w:p>
          <w:p w14:paraId="7B29A3D5">
            <w:pPr>
              <w:pStyle w:val="6"/>
              <w:spacing w:before="65" w:line="268" w:lineRule="exact"/>
              <w:ind w:left="236"/>
            </w:pPr>
            <w:r>
              <w:rPr>
                <w:spacing w:val="2"/>
                <w:position w:val="1"/>
              </w:rPr>
              <w:t>25.28</w:t>
            </w:r>
          </w:p>
        </w:tc>
        <w:tc>
          <w:tcPr>
            <w:tcW w:w="843" w:type="dxa"/>
            <w:vAlign w:val="top"/>
          </w:tcPr>
          <w:p w14:paraId="6AD0E992">
            <w:pPr>
              <w:spacing w:line="310" w:lineRule="auto"/>
              <w:rPr>
                <w:rFonts w:ascii="Arial"/>
                <w:sz w:val="21"/>
              </w:rPr>
            </w:pPr>
          </w:p>
          <w:p w14:paraId="21150276">
            <w:pPr>
              <w:pStyle w:val="6"/>
              <w:spacing w:before="65" w:line="268" w:lineRule="exact"/>
              <w:ind w:left="219"/>
            </w:pPr>
            <w:r>
              <w:rPr>
                <w:spacing w:val="2"/>
                <w:position w:val="1"/>
              </w:rPr>
              <w:t>0.45</w:t>
            </w:r>
          </w:p>
        </w:tc>
        <w:tc>
          <w:tcPr>
            <w:tcW w:w="700" w:type="dxa"/>
            <w:vAlign w:val="top"/>
          </w:tcPr>
          <w:p w14:paraId="09B07A74">
            <w:pPr>
              <w:spacing w:line="310" w:lineRule="auto"/>
              <w:rPr>
                <w:rFonts w:ascii="Arial"/>
                <w:sz w:val="21"/>
              </w:rPr>
            </w:pPr>
          </w:p>
          <w:p w14:paraId="1F2CF632">
            <w:pPr>
              <w:pStyle w:val="6"/>
              <w:spacing w:before="65" w:line="268" w:lineRule="exact"/>
              <w:ind w:left="266"/>
            </w:pPr>
            <w:r>
              <w:rPr>
                <w:spacing w:val="-7"/>
                <w:position w:val="1"/>
              </w:rPr>
              <w:t>15</w:t>
            </w:r>
          </w:p>
        </w:tc>
        <w:tc>
          <w:tcPr>
            <w:tcW w:w="700" w:type="dxa"/>
            <w:vAlign w:val="top"/>
          </w:tcPr>
          <w:p w14:paraId="0E4181D8">
            <w:pPr>
              <w:spacing w:line="310" w:lineRule="auto"/>
              <w:rPr>
                <w:rFonts w:ascii="Arial"/>
                <w:sz w:val="21"/>
              </w:rPr>
            </w:pPr>
          </w:p>
          <w:p w14:paraId="5D933C92">
            <w:pPr>
              <w:pStyle w:val="6"/>
              <w:spacing w:before="65" w:line="228" w:lineRule="auto"/>
              <w:ind w:left="151"/>
            </w:pPr>
            <w:r>
              <w:rPr>
                <w:spacing w:val="2"/>
              </w:rPr>
              <w:t>常温</w:t>
            </w:r>
          </w:p>
        </w:tc>
        <w:tc>
          <w:tcPr>
            <w:tcW w:w="840" w:type="dxa"/>
            <w:vAlign w:val="top"/>
          </w:tcPr>
          <w:p w14:paraId="0DE5899E">
            <w:pPr>
              <w:spacing w:line="310" w:lineRule="auto"/>
              <w:rPr>
                <w:rFonts w:ascii="Arial"/>
                <w:sz w:val="21"/>
              </w:rPr>
            </w:pPr>
          </w:p>
          <w:p w14:paraId="17036705">
            <w:pPr>
              <w:pStyle w:val="6"/>
              <w:spacing w:before="65" w:line="268" w:lineRule="exact"/>
              <w:ind w:left="179"/>
            </w:pPr>
            <w:r>
              <w:rPr>
                <w:position w:val="1"/>
              </w:rPr>
              <w:t>18000</w:t>
            </w:r>
          </w:p>
        </w:tc>
        <w:tc>
          <w:tcPr>
            <w:tcW w:w="558" w:type="dxa"/>
            <w:vAlign w:val="top"/>
          </w:tcPr>
          <w:p w14:paraId="2FA15499">
            <w:pPr>
              <w:spacing w:line="310" w:lineRule="auto"/>
              <w:rPr>
                <w:rFonts w:ascii="Arial"/>
                <w:sz w:val="21"/>
              </w:rPr>
            </w:pPr>
          </w:p>
          <w:p w14:paraId="0EE433A2">
            <w:pPr>
              <w:pStyle w:val="6"/>
              <w:spacing w:before="65" w:line="268" w:lineRule="exact"/>
              <w:ind w:left="129"/>
            </w:pPr>
            <w:r>
              <w:rPr>
                <w:spacing w:val="1"/>
                <w:position w:val="1"/>
              </w:rPr>
              <w:t>0.5</w:t>
            </w:r>
          </w:p>
        </w:tc>
        <w:tc>
          <w:tcPr>
            <w:tcW w:w="843" w:type="dxa"/>
            <w:vAlign w:val="top"/>
          </w:tcPr>
          <w:p w14:paraId="6B2D965A">
            <w:pPr>
              <w:spacing w:line="310" w:lineRule="auto"/>
              <w:rPr>
                <w:rFonts w:ascii="Arial"/>
                <w:sz w:val="21"/>
              </w:rPr>
            </w:pPr>
          </w:p>
          <w:p w14:paraId="272A4B04">
            <w:pPr>
              <w:pStyle w:val="6"/>
              <w:spacing w:before="65" w:line="268" w:lineRule="exact"/>
              <w:ind w:left="233"/>
            </w:pPr>
            <w:r>
              <w:rPr>
                <w:spacing w:val="-1"/>
                <w:position w:val="1"/>
              </w:rPr>
              <w:t>1109</w:t>
            </w:r>
          </w:p>
        </w:tc>
        <w:tc>
          <w:tcPr>
            <w:tcW w:w="1188" w:type="dxa"/>
            <w:vAlign w:val="top"/>
          </w:tcPr>
          <w:p w14:paraId="23D58B74">
            <w:pPr>
              <w:spacing w:line="310" w:lineRule="auto"/>
              <w:rPr>
                <w:rFonts w:ascii="Arial"/>
                <w:sz w:val="21"/>
              </w:rPr>
            </w:pPr>
          </w:p>
          <w:p w14:paraId="58CDB4B3">
            <w:pPr>
              <w:pStyle w:val="6"/>
              <w:spacing w:before="65" w:line="233" w:lineRule="auto"/>
              <w:ind w:left="547"/>
            </w:pPr>
            <w:r>
              <w:t>/</w:t>
            </w:r>
          </w:p>
        </w:tc>
        <w:tc>
          <w:tcPr>
            <w:tcW w:w="868" w:type="dxa"/>
            <w:vAlign w:val="top"/>
          </w:tcPr>
          <w:p w14:paraId="560A3CD0">
            <w:pPr>
              <w:spacing w:line="310" w:lineRule="auto"/>
              <w:rPr>
                <w:rFonts w:ascii="Arial"/>
                <w:sz w:val="21"/>
              </w:rPr>
            </w:pPr>
          </w:p>
          <w:p w14:paraId="6B27CCBA">
            <w:pPr>
              <w:pStyle w:val="6"/>
              <w:spacing w:before="65" w:line="268" w:lineRule="exact"/>
              <w:ind w:left="247"/>
            </w:pPr>
            <w:r>
              <w:rPr>
                <w:spacing w:val="-1"/>
                <w:position w:val="1"/>
              </w:rPr>
              <w:t>17.0</w:t>
            </w:r>
          </w:p>
        </w:tc>
        <w:tc>
          <w:tcPr>
            <w:tcW w:w="748" w:type="dxa"/>
            <w:vAlign w:val="top"/>
          </w:tcPr>
          <w:p w14:paraId="678EDF03">
            <w:pPr>
              <w:spacing w:line="310" w:lineRule="auto"/>
              <w:rPr>
                <w:rFonts w:ascii="Arial"/>
                <w:sz w:val="21"/>
              </w:rPr>
            </w:pPr>
          </w:p>
          <w:p w14:paraId="6FB7F607">
            <w:pPr>
              <w:pStyle w:val="6"/>
              <w:spacing w:before="65" w:line="268" w:lineRule="exact"/>
              <w:ind w:left="121"/>
            </w:pPr>
            <w:r>
              <w:rPr>
                <w:spacing w:val="2"/>
                <w:position w:val="1"/>
              </w:rPr>
              <w:t>0.404</w:t>
            </w:r>
          </w:p>
        </w:tc>
        <w:tc>
          <w:tcPr>
            <w:tcW w:w="805" w:type="dxa"/>
            <w:vAlign w:val="top"/>
          </w:tcPr>
          <w:p w14:paraId="4B5866FE">
            <w:pPr>
              <w:spacing w:line="310" w:lineRule="auto"/>
              <w:rPr>
                <w:rFonts w:ascii="Arial"/>
                <w:sz w:val="21"/>
              </w:rPr>
            </w:pPr>
          </w:p>
          <w:p w14:paraId="08288FE9">
            <w:pPr>
              <w:pStyle w:val="6"/>
              <w:spacing w:before="65" w:line="228" w:lineRule="auto"/>
              <w:ind w:left="196"/>
            </w:pPr>
            <w:r>
              <w:rPr>
                <w:spacing w:val="5"/>
              </w:rPr>
              <w:t>达标</w:t>
            </w:r>
          </w:p>
        </w:tc>
      </w:tr>
      <w:tr w14:paraId="0B5E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1030" w:type="dxa"/>
            <w:vAlign w:val="top"/>
          </w:tcPr>
          <w:p w14:paraId="4A6291C4">
            <w:pPr>
              <w:pStyle w:val="6"/>
              <w:spacing w:before="58" w:line="233" w:lineRule="auto"/>
              <w:ind w:left="169"/>
            </w:pPr>
            <w:r>
              <w:rPr>
                <w:spacing w:val="1"/>
              </w:rPr>
              <w:t>1400t/d</w:t>
            </w:r>
          </w:p>
          <w:p w14:paraId="435C85A9">
            <w:pPr>
              <w:pStyle w:val="6"/>
              <w:spacing w:before="66" w:line="228" w:lineRule="auto"/>
              <w:ind w:left="100"/>
            </w:pPr>
            <w:r>
              <w:rPr>
                <w:spacing w:val="7"/>
              </w:rPr>
              <w:t>粗碎车间</w:t>
            </w:r>
          </w:p>
          <w:p w14:paraId="5EAD8011">
            <w:pPr>
              <w:pStyle w:val="6"/>
              <w:spacing w:before="70" w:line="228" w:lineRule="auto"/>
              <w:ind w:left="208"/>
            </w:pPr>
            <w:r>
              <w:rPr>
                <w:spacing w:val="6"/>
              </w:rPr>
              <w:t>无组织</w:t>
            </w:r>
          </w:p>
        </w:tc>
        <w:tc>
          <w:tcPr>
            <w:tcW w:w="900" w:type="dxa"/>
            <w:vAlign w:val="top"/>
          </w:tcPr>
          <w:p w14:paraId="49864CBA">
            <w:pPr>
              <w:spacing w:line="311" w:lineRule="auto"/>
              <w:rPr>
                <w:rFonts w:ascii="Arial"/>
                <w:sz w:val="21"/>
              </w:rPr>
            </w:pPr>
          </w:p>
          <w:p w14:paraId="1B5C95A1">
            <w:pPr>
              <w:pStyle w:val="6"/>
              <w:spacing w:before="65" w:line="228" w:lineRule="auto"/>
              <w:ind w:left="137"/>
            </w:pPr>
            <w:r>
              <w:rPr>
                <w:spacing w:val="7"/>
              </w:rPr>
              <w:t>颗粒物</w:t>
            </w:r>
          </w:p>
        </w:tc>
        <w:tc>
          <w:tcPr>
            <w:tcW w:w="981" w:type="dxa"/>
            <w:vAlign w:val="top"/>
          </w:tcPr>
          <w:p w14:paraId="735638CF">
            <w:pPr>
              <w:spacing w:line="311" w:lineRule="auto"/>
              <w:rPr>
                <w:rFonts w:ascii="Arial"/>
                <w:sz w:val="21"/>
              </w:rPr>
            </w:pPr>
          </w:p>
          <w:p w14:paraId="6F3B20BC">
            <w:pPr>
              <w:pStyle w:val="6"/>
              <w:spacing w:before="65" w:line="228" w:lineRule="auto"/>
              <w:ind w:left="75"/>
            </w:pPr>
            <w:r>
              <w:rPr>
                <w:spacing w:val="6"/>
              </w:rPr>
              <w:t>车间封闭</w:t>
            </w:r>
          </w:p>
        </w:tc>
        <w:tc>
          <w:tcPr>
            <w:tcW w:w="1132" w:type="dxa"/>
            <w:vAlign w:val="top"/>
          </w:tcPr>
          <w:p w14:paraId="2D9504C5">
            <w:pPr>
              <w:spacing w:line="311" w:lineRule="auto"/>
              <w:rPr>
                <w:rFonts w:ascii="Arial"/>
                <w:sz w:val="21"/>
              </w:rPr>
            </w:pPr>
          </w:p>
          <w:p w14:paraId="760E3B81">
            <w:pPr>
              <w:pStyle w:val="6"/>
              <w:spacing w:before="65" w:line="228" w:lineRule="auto"/>
              <w:ind w:left="151"/>
            </w:pPr>
            <w:r>
              <w:rPr>
                <w:spacing w:val="7"/>
              </w:rPr>
              <w:t>物料平衡</w:t>
            </w:r>
          </w:p>
        </w:tc>
        <w:tc>
          <w:tcPr>
            <w:tcW w:w="840" w:type="dxa"/>
            <w:vAlign w:val="top"/>
          </w:tcPr>
          <w:p w14:paraId="05F8E077">
            <w:pPr>
              <w:spacing w:line="311" w:lineRule="auto"/>
              <w:rPr>
                <w:rFonts w:ascii="Arial"/>
                <w:sz w:val="21"/>
              </w:rPr>
            </w:pPr>
          </w:p>
          <w:p w14:paraId="75F97A98">
            <w:pPr>
              <w:pStyle w:val="6"/>
              <w:spacing w:before="65" w:line="268" w:lineRule="exact"/>
              <w:ind w:left="218"/>
            </w:pPr>
            <w:r>
              <w:rPr>
                <w:spacing w:val="2"/>
                <w:position w:val="1"/>
              </w:rPr>
              <w:t>0.75</w:t>
            </w:r>
          </w:p>
        </w:tc>
        <w:tc>
          <w:tcPr>
            <w:tcW w:w="978" w:type="dxa"/>
            <w:vAlign w:val="top"/>
          </w:tcPr>
          <w:p w14:paraId="6BBB5CF7">
            <w:pPr>
              <w:spacing w:line="311" w:lineRule="auto"/>
              <w:rPr>
                <w:rFonts w:ascii="Arial"/>
                <w:sz w:val="21"/>
              </w:rPr>
            </w:pPr>
          </w:p>
          <w:p w14:paraId="5C38D0FB">
            <w:pPr>
              <w:pStyle w:val="6"/>
              <w:spacing w:before="65" w:line="268" w:lineRule="exact"/>
              <w:ind w:left="285"/>
            </w:pPr>
            <w:r>
              <w:rPr>
                <w:spacing w:val="2"/>
                <w:position w:val="1"/>
              </w:rPr>
              <w:t>0.60</w:t>
            </w:r>
          </w:p>
        </w:tc>
        <w:tc>
          <w:tcPr>
            <w:tcW w:w="843" w:type="dxa"/>
            <w:vAlign w:val="top"/>
          </w:tcPr>
          <w:p w14:paraId="0662BB87">
            <w:pPr>
              <w:spacing w:line="311" w:lineRule="auto"/>
              <w:rPr>
                <w:rFonts w:ascii="Arial"/>
                <w:sz w:val="21"/>
              </w:rPr>
            </w:pPr>
          </w:p>
          <w:p w14:paraId="682B0789">
            <w:pPr>
              <w:pStyle w:val="6"/>
              <w:spacing w:before="65" w:line="268" w:lineRule="exact"/>
              <w:ind w:left="219"/>
            </w:pPr>
            <w:r>
              <w:rPr>
                <w:spacing w:val="2"/>
                <w:position w:val="1"/>
              </w:rPr>
              <w:t>0.15</w:t>
            </w:r>
          </w:p>
        </w:tc>
        <w:tc>
          <w:tcPr>
            <w:tcW w:w="700" w:type="dxa"/>
            <w:vAlign w:val="top"/>
          </w:tcPr>
          <w:p w14:paraId="3A006F4E">
            <w:pPr>
              <w:spacing w:line="311" w:lineRule="auto"/>
              <w:rPr>
                <w:rFonts w:ascii="Arial"/>
                <w:sz w:val="21"/>
              </w:rPr>
            </w:pPr>
          </w:p>
          <w:p w14:paraId="3CAF5296">
            <w:pPr>
              <w:pStyle w:val="6"/>
              <w:spacing w:before="65" w:line="269" w:lineRule="exact"/>
              <w:ind w:left="305"/>
            </w:pPr>
            <w:r>
              <w:rPr>
                <w:position w:val="1"/>
              </w:rPr>
              <w:t>6</w:t>
            </w:r>
          </w:p>
        </w:tc>
        <w:tc>
          <w:tcPr>
            <w:tcW w:w="700" w:type="dxa"/>
            <w:vAlign w:val="top"/>
          </w:tcPr>
          <w:p w14:paraId="45EBB3EE">
            <w:pPr>
              <w:spacing w:line="311" w:lineRule="auto"/>
              <w:rPr>
                <w:rFonts w:ascii="Arial"/>
                <w:sz w:val="21"/>
              </w:rPr>
            </w:pPr>
          </w:p>
          <w:p w14:paraId="76180095">
            <w:pPr>
              <w:pStyle w:val="6"/>
              <w:spacing w:before="65" w:line="233" w:lineRule="auto"/>
              <w:ind w:left="303"/>
            </w:pPr>
            <w:r>
              <w:t>/</w:t>
            </w:r>
          </w:p>
        </w:tc>
        <w:tc>
          <w:tcPr>
            <w:tcW w:w="840" w:type="dxa"/>
            <w:vAlign w:val="top"/>
          </w:tcPr>
          <w:p w14:paraId="51067B48">
            <w:pPr>
              <w:spacing w:line="311" w:lineRule="auto"/>
              <w:rPr>
                <w:rFonts w:ascii="Arial"/>
                <w:sz w:val="21"/>
              </w:rPr>
            </w:pPr>
          </w:p>
          <w:p w14:paraId="3965A3C5">
            <w:pPr>
              <w:pStyle w:val="6"/>
              <w:spacing w:before="65" w:line="233" w:lineRule="auto"/>
              <w:ind w:left="371"/>
            </w:pPr>
            <w:r>
              <w:t>/</w:t>
            </w:r>
          </w:p>
        </w:tc>
        <w:tc>
          <w:tcPr>
            <w:tcW w:w="558" w:type="dxa"/>
            <w:vAlign w:val="top"/>
          </w:tcPr>
          <w:p w14:paraId="5677B45B">
            <w:pPr>
              <w:spacing w:line="311" w:lineRule="auto"/>
              <w:rPr>
                <w:rFonts w:ascii="Arial"/>
                <w:sz w:val="21"/>
              </w:rPr>
            </w:pPr>
          </w:p>
          <w:p w14:paraId="712B6386">
            <w:pPr>
              <w:pStyle w:val="6"/>
              <w:spacing w:before="65" w:line="233" w:lineRule="auto"/>
              <w:ind w:left="232"/>
            </w:pPr>
            <w:r>
              <w:t>/</w:t>
            </w:r>
          </w:p>
        </w:tc>
        <w:tc>
          <w:tcPr>
            <w:tcW w:w="843" w:type="dxa"/>
            <w:vAlign w:val="top"/>
          </w:tcPr>
          <w:p w14:paraId="761B1C7C">
            <w:pPr>
              <w:spacing w:line="311" w:lineRule="auto"/>
              <w:rPr>
                <w:rFonts w:ascii="Arial"/>
                <w:sz w:val="21"/>
              </w:rPr>
            </w:pPr>
          </w:p>
          <w:p w14:paraId="25741288">
            <w:pPr>
              <w:pStyle w:val="6"/>
              <w:spacing w:before="65" w:line="269" w:lineRule="exact"/>
              <w:ind w:left="233"/>
            </w:pPr>
            <w:r>
              <w:rPr>
                <w:spacing w:val="-1"/>
                <w:position w:val="1"/>
              </w:rPr>
              <w:t>1109</w:t>
            </w:r>
          </w:p>
        </w:tc>
        <w:tc>
          <w:tcPr>
            <w:tcW w:w="1188" w:type="dxa"/>
            <w:vAlign w:val="top"/>
          </w:tcPr>
          <w:p w14:paraId="74B8230B">
            <w:pPr>
              <w:spacing w:line="283" w:lineRule="auto"/>
              <w:rPr>
                <w:rFonts w:ascii="Arial"/>
                <w:sz w:val="21"/>
              </w:rPr>
            </w:pPr>
          </w:p>
          <w:p w14:paraId="24028953">
            <w:pPr>
              <w:pStyle w:val="6"/>
              <w:spacing w:before="78" w:line="23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r>
              <w:rPr>
                <w:spacing w:val="-8"/>
                <w:sz w:val="24"/>
                <w:szCs w:val="24"/>
              </w:rPr>
              <w:t>×</w:t>
            </w:r>
            <w:r>
              <w:rPr>
                <w:rFonts w:ascii="Times New Roman" w:hAnsi="Times New Roman" w:eastAsia="Times New Roman" w:cs="Times New Roman"/>
                <w:spacing w:val="-8"/>
                <w:sz w:val="24"/>
                <w:szCs w:val="24"/>
              </w:rPr>
              <w:t>9</w:t>
            </w:r>
          </w:p>
        </w:tc>
        <w:tc>
          <w:tcPr>
            <w:tcW w:w="868" w:type="dxa"/>
            <w:vAlign w:val="top"/>
          </w:tcPr>
          <w:p w14:paraId="7A9FD8B9">
            <w:pPr>
              <w:spacing w:line="311" w:lineRule="auto"/>
              <w:rPr>
                <w:rFonts w:ascii="Arial"/>
                <w:sz w:val="21"/>
              </w:rPr>
            </w:pPr>
          </w:p>
          <w:p w14:paraId="43AA2C69">
            <w:pPr>
              <w:pStyle w:val="6"/>
              <w:spacing w:before="65" w:line="233" w:lineRule="auto"/>
              <w:ind w:left="386"/>
            </w:pPr>
            <w:r>
              <w:t>/</w:t>
            </w:r>
          </w:p>
        </w:tc>
        <w:tc>
          <w:tcPr>
            <w:tcW w:w="748" w:type="dxa"/>
            <w:vAlign w:val="top"/>
          </w:tcPr>
          <w:p w14:paraId="372C0D45">
            <w:pPr>
              <w:spacing w:line="311" w:lineRule="auto"/>
              <w:rPr>
                <w:rFonts w:ascii="Arial"/>
                <w:sz w:val="21"/>
              </w:rPr>
            </w:pPr>
          </w:p>
          <w:p w14:paraId="02662828">
            <w:pPr>
              <w:pStyle w:val="6"/>
              <w:spacing w:before="65" w:line="268" w:lineRule="exact"/>
              <w:ind w:left="121"/>
            </w:pPr>
            <w:r>
              <w:rPr>
                <w:spacing w:val="2"/>
                <w:position w:val="1"/>
              </w:rPr>
              <w:t>0.135</w:t>
            </w:r>
          </w:p>
        </w:tc>
        <w:tc>
          <w:tcPr>
            <w:tcW w:w="805" w:type="dxa"/>
            <w:vAlign w:val="top"/>
          </w:tcPr>
          <w:p w14:paraId="15CF1DF7">
            <w:pPr>
              <w:spacing w:line="311" w:lineRule="auto"/>
              <w:rPr>
                <w:rFonts w:ascii="Arial"/>
                <w:sz w:val="21"/>
              </w:rPr>
            </w:pPr>
          </w:p>
          <w:p w14:paraId="0A5C2B25">
            <w:pPr>
              <w:pStyle w:val="6"/>
              <w:spacing w:before="65" w:line="228" w:lineRule="auto"/>
              <w:ind w:left="196"/>
            </w:pPr>
            <w:r>
              <w:rPr>
                <w:spacing w:val="5"/>
              </w:rPr>
              <w:t>达标</w:t>
            </w:r>
          </w:p>
        </w:tc>
      </w:tr>
      <w:tr w14:paraId="23041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030" w:type="dxa"/>
            <w:vAlign w:val="top"/>
          </w:tcPr>
          <w:p w14:paraId="78341112">
            <w:pPr>
              <w:pStyle w:val="6"/>
              <w:spacing w:before="60" w:line="274" w:lineRule="auto"/>
              <w:ind w:left="120" w:right="94" w:firstLine="48"/>
              <w:jc w:val="both"/>
            </w:pPr>
            <w:r>
              <w:rPr>
                <w:spacing w:val="1"/>
              </w:rPr>
              <w:t>1400t/d</w:t>
            </w:r>
            <w:r>
              <w:rPr>
                <w:spacing w:val="4"/>
              </w:rPr>
              <w:t xml:space="preserve"> </w:t>
            </w:r>
            <w:r>
              <w:rPr>
                <w:spacing w:val="2"/>
              </w:rPr>
              <w:t>中间堆场</w:t>
            </w:r>
            <w:r>
              <w:t xml:space="preserve"> </w:t>
            </w:r>
            <w:r>
              <w:rPr>
                <w:spacing w:val="35"/>
              </w:rPr>
              <w:t>无组织</w:t>
            </w:r>
          </w:p>
        </w:tc>
        <w:tc>
          <w:tcPr>
            <w:tcW w:w="900" w:type="dxa"/>
            <w:vAlign w:val="top"/>
          </w:tcPr>
          <w:p w14:paraId="6605DED9">
            <w:pPr>
              <w:spacing w:line="309" w:lineRule="auto"/>
              <w:rPr>
                <w:rFonts w:ascii="Arial"/>
                <w:sz w:val="21"/>
              </w:rPr>
            </w:pPr>
          </w:p>
          <w:p w14:paraId="2AB3E1E7">
            <w:pPr>
              <w:pStyle w:val="6"/>
              <w:spacing w:before="65" w:line="228" w:lineRule="auto"/>
              <w:ind w:left="137"/>
            </w:pPr>
            <w:r>
              <w:rPr>
                <w:spacing w:val="7"/>
              </w:rPr>
              <w:t>颗粒物</w:t>
            </w:r>
          </w:p>
        </w:tc>
        <w:tc>
          <w:tcPr>
            <w:tcW w:w="981" w:type="dxa"/>
            <w:vAlign w:val="top"/>
          </w:tcPr>
          <w:p w14:paraId="3103AE11">
            <w:pPr>
              <w:pStyle w:val="6"/>
              <w:spacing w:before="59" w:line="228" w:lineRule="auto"/>
              <w:ind w:left="75"/>
            </w:pPr>
            <w:r>
              <w:rPr>
                <w:spacing w:val="6"/>
              </w:rPr>
              <w:t>车间封闭</w:t>
            </w:r>
          </w:p>
          <w:p w14:paraId="4E089885">
            <w:pPr>
              <w:pStyle w:val="6"/>
              <w:spacing w:before="70" w:line="265" w:lineRule="auto"/>
              <w:ind w:left="180" w:right="115" w:hanging="63"/>
            </w:pPr>
            <w:r>
              <w:rPr>
                <w:rFonts w:ascii="Times New Roman" w:hAnsi="Times New Roman" w:eastAsia="Times New Roman" w:cs="Times New Roman"/>
                <w:spacing w:val="7"/>
              </w:rPr>
              <w:t>+</w:t>
            </w:r>
            <w:r>
              <w:rPr>
                <w:spacing w:val="7"/>
              </w:rPr>
              <w:t>微米干</w:t>
            </w:r>
            <w:r>
              <w:rPr>
                <w:spacing w:val="1"/>
              </w:rPr>
              <w:t xml:space="preserve"> </w:t>
            </w:r>
            <w:r>
              <w:rPr>
                <w:spacing w:val="6"/>
              </w:rPr>
              <w:t>雾抑尘</w:t>
            </w:r>
          </w:p>
        </w:tc>
        <w:tc>
          <w:tcPr>
            <w:tcW w:w="1132" w:type="dxa"/>
            <w:vAlign w:val="top"/>
          </w:tcPr>
          <w:p w14:paraId="2DB599BA">
            <w:pPr>
              <w:spacing w:line="309" w:lineRule="auto"/>
              <w:rPr>
                <w:rFonts w:ascii="Arial"/>
                <w:sz w:val="21"/>
              </w:rPr>
            </w:pPr>
          </w:p>
          <w:p w14:paraId="469C90AC">
            <w:pPr>
              <w:pStyle w:val="6"/>
              <w:spacing w:before="65" w:line="228" w:lineRule="auto"/>
              <w:ind w:left="151"/>
            </w:pPr>
            <w:r>
              <w:rPr>
                <w:spacing w:val="7"/>
              </w:rPr>
              <w:t>物料平衡</w:t>
            </w:r>
          </w:p>
        </w:tc>
        <w:tc>
          <w:tcPr>
            <w:tcW w:w="840" w:type="dxa"/>
            <w:vAlign w:val="top"/>
          </w:tcPr>
          <w:p w14:paraId="52CB1444">
            <w:pPr>
              <w:spacing w:line="309" w:lineRule="auto"/>
              <w:rPr>
                <w:rFonts w:ascii="Arial"/>
                <w:sz w:val="21"/>
              </w:rPr>
            </w:pPr>
          </w:p>
          <w:p w14:paraId="2E77A619">
            <w:pPr>
              <w:pStyle w:val="6"/>
              <w:spacing w:before="65" w:line="268" w:lineRule="exact"/>
              <w:ind w:left="219"/>
            </w:pPr>
            <w:r>
              <w:rPr>
                <w:spacing w:val="2"/>
                <w:position w:val="1"/>
              </w:rPr>
              <w:t>2.86</w:t>
            </w:r>
          </w:p>
        </w:tc>
        <w:tc>
          <w:tcPr>
            <w:tcW w:w="978" w:type="dxa"/>
            <w:vAlign w:val="top"/>
          </w:tcPr>
          <w:p w14:paraId="782C9B7F">
            <w:pPr>
              <w:spacing w:line="309" w:lineRule="auto"/>
              <w:rPr>
                <w:rFonts w:ascii="Arial"/>
                <w:sz w:val="21"/>
              </w:rPr>
            </w:pPr>
          </w:p>
          <w:p w14:paraId="6D1B2376">
            <w:pPr>
              <w:pStyle w:val="6"/>
              <w:spacing w:before="65" w:line="268" w:lineRule="exact"/>
              <w:ind w:left="286"/>
            </w:pPr>
            <w:r>
              <w:rPr>
                <w:spacing w:val="2"/>
                <w:position w:val="1"/>
              </w:rPr>
              <w:t>2.29</w:t>
            </w:r>
          </w:p>
        </w:tc>
        <w:tc>
          <w:tcPr>
            <w:tcW w:w="843" w:type="dxa"/>
            <w:vAlign w:val="top"/>
          </w:tcPr>
          <w:p w14:paraId="0EBA2EE6">
            <w:pPr>
              <w:spacing w:line="309" w:lineRule="auto"/>
              <w:rPr>
                <w:rFonts w:ascii="Arial"/>
                <w:sz w:val="21"/>
              </w:rPr>
            </w:pPr>
          </w:p>
          <w:p w14:paraId="7440EFCA">
            <w:pPr>
              <w:pStyle w:val="6"/>
              <w:spacing w:before="65" w:line="268" w:lineRule="exact"/>
              <w:ind w:left="219"/>
            </w:pPr>
            <w:r>
              <w:rPr>
                <w:spacing w:val="2"/>
                <w:position w:val="1"/>
              </w:rPr>
              <w:t>0.57</w:t>
            </w:r>
          </w:p>
        </w:tc>
        <w:tc>
          <w:tcPr>
            <w:tcW w:w="700" w:type="dxa"/>
            <w:vAlign w:val="top"/>
          </w:tcPr>
          <w:p w14:paraId="73488479">
            <w:pPr>
              <w:spacing w:line="309" w:lineRule="auto"/>
              <w:rPr>
                <w:rFonts w:ascii="Arial"/>
                <w:sz w:val="21"/>
              </w:rPr>
            </w:pPr>
          </w:p>
          <w:p w14:paraId="1249F875">
            <w:pPr>
              <w:pStyle w:val="6"/>
              <w:spacing w:before="65" w:line="268" w:lineRule="exact"/>
              <w:ind w:left="305"/>
            </w:pPr>
            <w:r>
              <w:rPr>
                <w:position w:val="1"/>
              </w:rPr>
              <w:t>6</w:t>
            </w:r>
          </w:p>
        </w:tc>
        <w:tc>
          <w:tcPr>
            <w:tcW w:w="700" w:type="dxa"/>
            <w:vAlign w:val="top"/>
          </w:tcPr>
          <w:p w14:paraId="68584C36">
            <w:pPr>
              <w:spacing w:line="309" w:lineRule="auto"/>
              <w:rPr>
                <w:rFonts w:ascii="Arial"/>
                <w:sz w:val="21"/>
              </w:rPr>
            </w:pPr>
          </w:p>
          <w:p w14:paraId="0A4B73E5">
            <w:pPr>
              <w:pStyle w:val="6"/>
              <w:spacing w:before="65" w:line="233" w:lineRule="auto"/>
              <w:ind w:left="303"/>
            </w:pPr>
            <w:r>
              <w:t>/</w:t>
            </w:r>
          </w:p>
        </w:tc>
        <w:tc>
          <w:tcPr>
            <w:tcW w:w="840" w:type="dxa"/>
            <w:vAlign w:val="top"/>
          </w:tcPr>
          <w:p w14:paraId="6DB33F3B">
            <w:pPr>
              <w:spacing w:line="309" w:lineRule="auto"/>
              <w:rPr>
                <w:rFonts w:ascii="Arial"/>
                <w:sz w:val="21"/>
              </w:rPr>
            </w:pPr>
          </w:p>
          <w:p w14:paraId="09FE5571">
            <w:pPr>
              <w:pStyle w:val="6"/>
              <w:spacing w:before="65" w:line="233" w:lineRule="auto"/>
              <w:ind w:left="371"/>
            </w:pPr>
            <w:r>
              <w:t>/</w:t>
            </w:r>
          </w:p>
        </w:tc>
        <w:tc>
          <w:tcPr>
            <w:tcW w:w="558" w:type="dxa"/>
            <w:vAlign w:val="top"/>
          </w:tcPr>
          <w:p w14:paraId="3BEEF0F1">
            <w:pPr>
              <w:spacing w:line="309" w:lineRule="auto"/>
              <w:rPr>
                <w:rFonts w:ascii="Arial"/>
                <w:sz w:val="21"/>
              </w:rPr>
            </w:pPr>
          </w:p>
          <w:p w14:paraId="733E46F5">
            <w:pPr>
              <w:pStyle w:val="6"/>
              <w:spacing w:before="65" w:line="233" w:lineRule="auto"/>
              <w:ind w:left="232"/>
            </w:pPr>
            <w:r>
              <w:t>/</w:t>
            </w:r>
          </w:p>
        </w:tc>
        <w:tc>
          <w:tcPr>
            <w:tcW w:w="843" w:type="dxa"/>
            <w:vAlign w:val="top"/>
          </w:tcPr>
          <w:p w14:paraId="5E14F4DD">
            <w:pPr>
              <w:spacing w:line="309" w:lineRule="auto"/>
              <w:rPr>
                <w:rFonts w:ascii="Arial"/>
                <w:sz w:val="21"/>
              </w:rPr>
            </w:pPr>
          </w:p>
          <w:p w14:paraId="7D09DA5F">
            <w:pPr>
              <w:pStyle w:val="6"/>
              <w:spacing w:before="65" w:line="268" w:lineRule="exact"/>
              <w:ind w:left="233"/>
            </w:pPr>
            <w:r>
              <w:rPr>
                <w:spacing w:val="-1"/>
                <w:position w:val="1"/>
              </w:rPr>
              <w:t>1109</w:t>
            </w:r>
          </w:p>
        </w:tc>
        <w:tc>
          <w:tcPr>
            <w:tcW w:w="1188" w:type="dxa"/>
            <w:vAlign w:val="top"/>
          </w:tcPr>
          <w:p w14:paraId="5021537F">
            <w:pPr>
              <w:spacing w:line="281" w:lineRule="auto"/>
              <w:rPr>
                <w:rFonts w:ascii="Arial"/>
                <w:sz w:val="21"/>
              </w:rPr>
            </w:pPr>
          </w:p>
          <w:p w14:paraId="68AF77AC">
            <w:pPr>
              <w:pStyle w:val="6"/>
              <w:spacing w:before="78" w:line="236"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w:t>
            </w:r>
            <w:r>
              <w:rPr>
                <w:spacing w:val="-3"/>
                <w:sz w:val="24"/>
                <w:szCs w:val="24"/>
              </w:rPr>
              <w:t>×</w:t>
            </w:r>
            <w:r>
              <w:rPr>
                <w:rFonts w:ascii="Times New Roman" w:hAnsi="Times New Roman" w:eastAsia="Times New Roman" w:cs="Times New Roman"/>
                <w:spacing w:val="-3"/>
                <w:sz w:val="24"/>
                <w:szCs w:val="24"/>
              </w:rPr>
              <w:t>20</w:t>
            </w:r>
          </w:p>
        </w:tc>
        <w:tc>
          <w:tcPr>
            <w:tcW w:w="868" w:type="dxa"/>
            <w:vAlign w:val="top"/>
          </w:tcPr>
          <w:p w14:paraId="65760607">
            <w:pPr>
              <w:spacing w:line="309" w:lineRule="auto"/>
              <w:rPr>
                <w:rFonts w:ascii="Arial"/>
                <w:sz w:val="21"/>
              </w:rPr>
            </w:pPr>
          </w:p>
          <w:p w14:paraId="43923372">
            <w:pPr>
              <w:pStyle w:val="6"/>
              <w:spacing w:before="65" w:line="233" w:lineRule="auto"/>
              <w:ind w:left="386"/>
            </w:pPr>
            <w:r>
              <w:t>/</w:t>
            </w:r>
          </w:p>
        </w:tc>
        <w:tc>
          <w:tcPr>
            <w:tcW w:w="748" w:type="dxa"/>
            <w:vAlign w:val="top"/>
          </w:tcPr>
          <w:p w14:paraId="6B1164B7">
            <w:pPr>
              <w:spacing w:line="309" w:lineRule="auto"/>
              <w:rPr>
                <w:rFonts w:ascii="Arial"/>
                <w:sz w:val="21"/>
              </w:rPr>
            </w:pPr>
          </w:p>
          <w:p w14:paraId="0282343C">
            <w:pPr>
              <w:pStyle w:val="6"/>
              <w:spacing w:before="65" w:line="268" w:lineRule="exact"/>
              <w:ind w:left="121"/>
            </w:pPr>
            <w:r>
              <w:rPr>
                <w:spacing w:val="2"/>
                <w:position w:val="1"/>
              </w:rPr>
              <w:t>0.514</w:t>
            </w:r>
          </w:p>
        </w:tc>
        <w:tc>
          <w:tcPr>
            <w:tcW w:w="805" w:type="dxa"/>
            <w:vAlign w:val="top"/>
          </w:tcPr>
          <w:p w14:paraId="0F46EC81">
            <w:pPr>
              <w:spacing w:line="309" w:lineRule="auto"/>
              <w:rPr>
                <w:rFonts w:ascii="Arial"/>
                <w:sz w:val="21"/>
              </w:rPr>
            </w:pPr>
          </w:p>
          <w:p w14:paraId="6964B23D">
            <w:pPr>
              <w:pStyle w:val="6"/>
              <w:spacing w:before="65" w:line="228" w:lineRule="auto"/>
              <w:ind w:left="196"/>
            </w:pPr>
            <w:r>
              <w:rPr>
                <w:spacing w:val="5"/>
              </w:rPr>
              <w:t>达标</w:t>
            </w:r>
          </w:p>
        </w:tc>
      </w:tr>
      <w:tr w14:paraId="3464A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030" w:type="dxa"/>
            <w:vAlign w:val="top"/>
          </w:tcPr>
          <w:p w14:paraId="2C8593CD">
            <w:pPr>
              <w:pStyle w:val="6"/>
              <w:spacing w:before="57" w:line="295" w:lineRule="auto"/>
              <w:ind w:left="99" w:right="94" w:firstLine="56"/>
            </w:pPr>
            <w:r>
              <w:rPr>
                <w:spacing w:val="3"/>
              </w:rPr>
              <w:t>2000t/d</w:t>
            </w:r>
            <w:r>
              <w:rPr>
                <w:spacing w:val="2"/>
              </w:rPr>
              <w:t xml:space="preserve"> </w:t>
            </w:r>
            <w:r>
              <w:rPr>
                <w:spacing w:val="7"/>
              </w:rPr>
              <w:t>选矿排气</w:t>
            </w:r>
          </w:p>
          <w:p w14:paraId="08FDC303">
            <w:pPr>
              <w:pStyle w:val="6"/>
              <w:spacing w:line="227" w:lineRule="auto"/>
              <w:ind w:left="418"/>
            </w:pPr>
            <w:r>
              <w:t>筒</w:t>
            </w:r>
          </w:p>
        </w:tc>
        <w:tc>
          <w:tcPr>
            <w:tcW w:w="900" w:type="dxa"/>
            <w:vAlign w:val="top"/>
          </w:tcPr>
          <w:p w14:paraId="5389AE86">
            <w:pPr>
              <w:spacing w:line="310" w:lineRule="auto"/>
              <w:rPr>
                <w:rFonts w:ascii="Arial"/>
                <w:sz w:val="21"/>
              </w:rPr>
            </w:pPr>
          </w:p>
          <w:p w14:paraId="1E105926">
            <w:pPr>
              <w:pStyle w:val="6"/>
              <w:spacing w:before="65" w:line="228" w:lineRule="auto"/>
              <w:ind w:left="137"/>
            </w:pPr>
            <w:r>
              <w:rPr>
                <w:spacing w:val="7"/>
              </w:rPr>
              <w:t>颗粒物</w:t>
            </w:r>
          </w:p>
        </w:tc>
        <w:tc>
          <w:tcPr>
            <w:tcW w:w="981" w:type="dxa"/>
            <w:vAlign w:val="top"/>
          </w:tcPr>
          <w:p w14:paraId="2BFFD444">
            <w:pPr>
              <w:pStyle w:val="6"/>
              <w:spacing w:before="218" w:line="228" w:lineRule="auto"/>
              <w:ind w:left="73"/>
            </w:pPr>
            <w:r>
              <w:rPr>
                <w:spacing w:val="7"/>
              </w:rPr>
              <w:t>袋式除尘</w:t>
            </w:r>
          </w:p>
          <w:p w14:paraId="1C935868">
            <w:pPr>
              <w:pStyle w:val="6"/>
              <w:spacing w:before="72" w:line="229" w:lineRule="auto"/>
              <w:ind w:left="289"/>
            </w:pPr>
            <w:r>
              <w:rPr>
                <w:spacing w:val="2"/>
              </w:rPr>
              <w:t>系统</w:t>
            </w:r>
          </w:p>
        </w:tc>
        <w:tc>
          <w:tcPr>
            <w:tcW w:w="1132" w:type="dxa"/>
            <w:vAlign w:val="top"/>
          </w:tcPr>
          <w:p w14:paraId="6762CDC6">
            <w:pPr>
              <w:spacing w:line="310" w:lineRule="auto"/>
              <w:rPr>
                <w:rFonts w:ascii="Arial"/>
                <w:sz w:val="21"/>
              </w:rPr>
            </w:pPr>
          </w:p>
          <w:p w14:paraId="29B3438F">
            <w:pPr>
              <w:pStyle w:val="6"/>
              <w:spacing w:before="65" w:line="228" w:lineRule="auto"/>
              <w:ind w:left="187"/>
            </w:pPr>
            <w:r>
              <w:rPr>
                <w:spacing w:val="-2"/>
              </w:rPr>
              <w:t>日常监测</w:t>
            </w:r>
          </w:p>
        </w:tc>
        <w:tc>
          <w:tcPr>
            <w:tcW w:w="840" w:type="dxa"/>
            <w:vAlign w:val="top"/>
          </w:tcPr>
          <w:p w14:paraId="4C376064">
            <w:pPr>
              <w:spacing w:line="310" w:lineRule="auto"/>
              <w:rPr>
                <w:rFonts w:ascii="Arial"/>
                <w:sz w:val="21"/>
              </w:rPr>
            </w:pPr>
          </w:p>
          <w:p w14:paraId="434A013B">
            <w:pPr>
              <w:pStyle w:val="6"/>
              <w:spacing w:before="65" w:line="269" w:lineRule="exact"/>
              <w:ind w:left="325"/>
            </w:pPr>
            <w:r>
              <w:rPr>
                <w:spacing w:val="-2"/>
                <w:position w:val="1"/>
              </w:rPr>
              <w:t>73</w:t>
            </w:r>
          </w:p>
        </w:tc>
        <w:tc>
          <w:tcPr>
            <w:tcW w:w="978" w:type="dxa"/>
            <w:vAlign w:val="top"/>
          </w:tcPr>
          <w:p w14:paraId="1E085E4F">
            <w:pPr>
              <w:spacing w:line="310" w:lineRule="auto"/>
              <w:rPr>
                <w:rFonts w:ascii="Arial"/>
                <w:sz w:val="21"/>
              </w:rPr>
            </w:pPr>
          </w:p>
          <w:p w14:paraId="6D88F537">
            <w:pPr>
              <w:pStyle w:val="6"/>
              <w:spacing w:before="65" w:line="268" w:lineRule="exact"/>
              <w:ind w:left="238"/>
            </w:pPr>
            <w:r>
              <w:rPr>
                <w:spacing w:val="2"/>
                <w:position w:val="1"/>
              </w:rPr>
              <w:t>71.54</w:t>
            </w:r>
          </w:p>
        </w:tc>
        <w:tc>
          <w:tcPr>
            <w:tcW w:w="843" w:type="dxa"/>
            <w:vAlign w:val="top"/>
          </w:tcPr>
          <w:p w14:paraId="55347109">
            <w:pPr>
              <w:spacing w:line="310" w:lineRule="auto"/>
              <w:rPr>
                <w:rFonts w:ascii="Arial"/>
                <w:sz w:val="21"/>
              </w:rPr>
            </w:pPr>
          </w:p>
          <w:p w14:paraId="7D1D4CD6">
            <w:pPr>
              <w:pStyle w:val="6"/>
              <w:spacing w:before="65" w:line="268" w:lineRule="exact"/>
              <w:ind w:left="233"/>
            </w:pPr>
            <w:r>
              <w:rPr>
                <w:spacing w:val="-1"/>
                <w:position w:val="1"/>
              </w:rPr>
              <w:t>1.46</w:t>
            </w:r>
          </w:p>
        </w:tc>
        <w:tc>
          <w:tcPr>
            <w:tcW w:w="700" w:type="dxa"/>
            <w:vAlign w:val="top"/>
          </w:tcPr>
          <w:p w14:paraId="39DBC128">
            <w:pPr>
              <w:pStyle w:val="6"/>
              <w:spacing w:before="219" w:line="296" w:lineRule="auto"/>
              <w:ind w:left="147" w:right="85" w:hanging="39"/>
            </w:pPr>
            <w:r>
              <w:t>15（3 根）</w:t>
            </w:r>
          </w:p>
        </w:tc>
        <w:tc>
          <w:tcPr>
            <w:tcW w:w="700" w:type="dxa"/>
            <w:vAlign w:val="top"/>
          </w:tcPr>
          <w:p w14:paraId="26BC1C2A">
            <w:pPr>
              <w:spacing w:line="310" w:lineRule="auto"/>
              <w:rPr>
                <w:rFonts w:ascii="Arial"/>
                <w:sz w:val="21"/>
              </w:rPr>
            </w:pPr>
          </w:p>
          <w:p w14:paraId="323A85A6">
            <w:pPr>
              <w:pStyle w:val="6"/>
              <w:spacing w:before="65" w:line="269" w:lineRule="exact"/>
              <w:ind w:left="254"/>
            </w:pPr>
            <w:r>
              <w:rPr>
                <w:spacing w:val="-1"/>
                <w:position w:val="1"/>
              </w:rPr>
              <w:t>20</w:t>
            </w:r>
          </w:p>
        </w:tc>
        <w:tc>
          <w:tcPr>
            <w:tcW w:w="840" w:type="dxa"/>
            <w:vAlign w:val="top"/>
          </w:tcPr>
          <w:p w14:paraId="514DFF2C">
            <w:pPr>
              <w:pStyle w:val="6"/>
              <w:spacing w:before="219" w:line="268" w:lineRule="exact"/>
              <w:ind w:left="73"/>
            </w:pPr>
            <w:r>
              <w:rPr>
                <w:spacing w:val="1"/>
              </w:rPr>
              <w:t>15000~2</w:t>
            </w:r>
          </w:p>
          <w:p w14:paraId="04BDEAED">
            <w:pPr>
              <w:pStyle w:val="6"/>
              <w:spacing w:before="50" w:line="269" w:lineRule="exact"/>
              <w:ind w:left="220"/>
            </w:pPr>
            <w:r>
              <w:rPr>
                <w:spacing w:val="2"/>
                <w:position w:val="1"/>
              </w:rPr>
              <w:t>5000</w:t>
            </w:r>
          </w:p>
        </w:tc>
        <w:tc>
          <w:tcPr>
            <w:tcW w:w="558" w:type="dxa"/>
            <w:vAlign w:val="top"/>
          </w:tcPr>
          <w:p w14:paraId="66EFF011">
            <w:pPr>
              <w:pStyle w:val="6"/>
              <w:spacing w:before="219" w:line="267" w:lineRule="exact"/>
              <w:ind w:left="76"/>
            </w:pPr>
            <w:r>
              <w:rPr>
                <w:spacing w:val="2"/>
              </w:rPr>
              <w:t>0.5~</w:t>
            </w:r>
          </w:p>
          <w:p w14:paraId="3903D448">
            <w:pPr>
              <w:pStyle w:val="6"/>
              <w:spacing w:before="51" w:line="268" w:lineRule="exact"/>
              <w:ind w:left="143"/>
            </w:pPr>
            <w:r>
              <w:rPr>
                <w:spacing w:val="-3"/>
                <w:position w:val="1"/>
              </w:rPr>
              <w:t>1.0</w:t>
            </w:r>
          </w:p>
        </w:tc>
        <w:tc>
          <w:tcPr>
            <w:tcW w:w="843" w:type="dxa"/>
            <w:vAlign w:val="top"/>
          </w:tcPr>
          <w:p w14:paraId="4E94EC24">
            <w:pPr>
              <w:spacing w:line="310" w:lineRule="auto"/>
              <w:rPr>
                <w:rFonts w:ascii="Arial"/>
                <w:sz w:val="21"/>
              </w:rPr>
            </w:pPr>
          </w:p>
          <w:p w14:paraId="4AD99488">
            <w:pPr>
              <w:pStyle w:val="6"/>
              <w:spacing w:before="65" w:line="269" w:lineRule="exact"/>
              <w:ind w:left="233"/>
            </w:pPr>
            <w:r>
              <w:rPr>
                <w:spacing w:val="-1"/>
                <w:position w:val="1"/>
              </w:rPr>
              <w:t>1050</w:t>
            </w:r>
          </w:p>
        </w:tc>
        <w:tc>
          <w:tcPr>
            <w:tcW w:w="1188" w:type="dxa"/>
            <w:vAlign w:val="top"/>
          </w:tcPr>
          <w:p w14:paraId="7D14F07A">
            <w:pPr>
              <w:spacing w:line="310" w:lineRule="auto"/>
              <w:rPr>
                <w:rFonts w:ascii="Arial"/>
                <w:sz w:val="21"/>
              </w:rPr>
            </w:pPr>
          </w:p>
          <w:p w14:paraId="7FEE7031">
            <w:pPr>
              <w:pStyle w:val="6"/>
              <w:spacing w:before="65" w:line="233" w:lineRule="auto"/>
              <w:ind w:left="547"/>
            </w:pPr>
            <w:r>
              <w:t>/</w:t>
            </w:r>
          </w:p>
        </w:tc>
        <w:tc>
          <w:tcPr>
            <w:tcW w:w="868" w:type="dxa"/>
            <w:vAlign w:val="top"/>
          </w:tcPr>
          <w:p w14:paraId="4CA5EBD7">
            <w:pPr>
              <w:spacing w:line="310" w:lineRule="auto"/>
              <w:rPr>
                <w:rFonts w:ascii="Arial"/>
                <w:sz w:val="21"/>
              </w:rPr>
            </w:pPr>
          </w:p>
          <w:p w14:paraId="55DADC3F">
            <w:pPr>
              <w:pStyle w:val="6"/>
              <w:spacing w:before="65" w:line="269" w:lineRule="exact"/>
              <w:ind w:left="194"/>
            </w:pPr>
            <w:r>
              <w:t>15~25</w:t>
            </w:r>
          </w:p>
        </w:tc>
        <w:tc>
          <w:tcPr>
            <w:tcW w:w="748" w:type="dxa"/>
            <w:vAlign w:val="top"/>
          </w:tcPr>
          <w:p w14:paraId="4831F360">
            <w:pPr>
              <w:pStyle w:val="6"/>
              <w:spacing w:before="219" w:line="267" w:lineRule="exact"/>
              <w:ind w:left="68"/>
            </w:pPr>
            <w:r>
              <w:rPr>
                <w:spacing w:val="6"/>
              </w:rPr>
              <w:t>0.45~1</w:t>
            </w:r>
          </w:p>
          <w:p w14:paraId="0E2A9CE1">
            <w:pPr>
              <w:pStyle w:val="6"/>
              <w:spacing w:before="51" w:line="268" w:lineRule="exact"/>
              <w:ind w:left="228"/>
            </w:pPr>
            <w:r>
              <w:rPr>
                <w:position w:val="1"/>
              </w:rPr>
              <w:t>.25</w:t>
            </w:r>
          </w:p>
        </w:tc>
        <w:tc>
          <w:tcPr>
            <w:tcW w:w="805" w:type="dxa"/>
            <w:vAlign w:val="top"/>
          </w:tcPr>
          <w:p w14:paraId="4757E657">
            <w:pPr>
              <w:spacing w:line="310" w:lineRule="auto"/>
              <w:rPr>
                <w:rFonts w:ascii="Arial"/>
                <w:sz w:val="21"/>
              </w:rPr>
            </w:pPr>
          </w:p>
          <w:p w14:paraId="4318D1CA">
            <w:pPr>
              <w:pStyle w:val="6"/>
              <w:spacing w:before="65" w:line="228" w:lineRule="auto"/>
              <w:ind w:left="196"/>
            </w:pPr>
            <w:r>
              <w:rPr>
                <w:spacing w:val="5"/>
              </w:rPr>
              <w:t>达标</w:t>
            </w:r>
          </w:p>
        </w:tc>
      </w:tr>
    </w:tbl>
    <w:p w14:paraId="796B2242">
      <w:pPr>
        <w:pStyle w:val="2"/>
      </w:pPr>
    </w:p>
    <w:p w14:paraId="24DEBAB4">
      <w:pPr>
        <w:sectPr>
          <w:headerReference r:id="rId79" w:type="default"/>
          <w:footerReference r:id="rId80" w:type="default"/>
          <w:pgSz w:w="16839" w:h="11906"/>
          <w:pgMar w:top="1208" w:right="1440" w:bottom="1358" w:left="1407" w:header="825" w:footer="1195" w:gutter="0"/>
          <w:cols w:space="720" w:num="1"/>
        </w:sectPr>
      </w:pPr>
    </w:p>
    <w:p w14:paraId="5933CB55">
      <w:pPr>
        <w:spacing w:before="53"/>
      </w:pPr>
    </w:p>
    <w:p w14:paraId="3D44D724">
      <w:pPr>
        <w:spacing w:before="52"/>
      </w:pPr>
    </w:p>
    <w:tbl>
      <w:tblPr>
        <w:tblStyle w:val="5"/>
        <w:tblW w:w="13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0"/>
        <w:gridCol w:w="900"/>
        <w:gridCol w:w="981"/>
        <w:gridCol w:w="1132"/>
        <w:gridCol w:w="840"/>
        <w:gridCol w:w="978"/>
        <w:gridCol w:w="843"/>
        <w:gridCol w:w="700"/>
        <w:gridCol w:w="700"/>
        <w:gridCol w:w="840"/>
        <w:gridCol w:w="558"/>
        <w:gridCol w:w="843"/>
        <w:gridCol w:w="1188"/>
        <w:gridCol w:w="868"/>
        <w:gridCol w:w="748"/>
        <w:gridCol w:w="805"/>
      </w:tblGrid>
      <w:tr w14:paraId="1D36E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1030" w:type="dxa"/>
            <w:vAlign w:val="top"/>
          </w:tcPr>
          <w:p w14:paraId="3BC1464E">
            <w:pPr>
              <w:pStyle w:val="6"/>
              <w:spacing w:before="59" w:line="233" w:lineRule="auto"/>
              <w:ind w:left="156"/>
            </w:pPr>
            <w:r>
              <w:rPr>
                <w:spacing w:val="3"/>
              </w:rPr>
              <w:t>2000t/d</w:t>
            </w:r>
          </w:p>
          <w:p w14:paraId="7C652738">
            <w:pPr>
              <w:pStyle w:val="6"/>
              <w:spacing w:before="66" w:line="228" w:lineRule="auto"/>
              <w:ind w:left="99"/>
            </w:pPr>
            <w:r>
              <w:rPr>
                <w:spacing w:val="7"/>
              </w:rPr>
              <w:t>选矿车间</w:t>
            </w:r>
          </w:p>
          <w:p w14:paraId="581AA61D">
            <w:pPr>
              <w:pStyle w:val="6"/>
              <w:spacing w:before="73" w:line="228" w:lineRule="auto"/>
              <w:ind w:left="208"/>
            </w:pPr>
            <w:r>
              <w:rPr>
                <w:spacing w:val="6"/>
              </w:rPr>
              <w:t>无组织</w:t>
            </w:r>
          </w:p>
        </w:tc>
        <w:tc>
          <w:tcPr>
            <w:tcW w:w="900" w:type="dxa"/>
            <w:vAlign w:val="top"/>
          </w:tcPr>
          <w:p w14:paraId="24626A8A">
            <w:pPr>
              <w:spacing w:line="312" w:lineRule="auto"/>
              <w:rPr>
                <w:rFonts w:ascii="Arial"/>
                <w:sz w:val="21"/>
              </w:rPr>
            </w:pPr>
          </w:p>
          <w:p w14:paraId="458BB0DD">
            <w:pPr>
              <w:pStyle w:val="6"/>
              <w:spacing w:before="65" w:line="228" w:lineRule="auto"/>
              <w:ind w:left="137"/>
            </w:pPr>
            <w:r>
              <w:rPr>
                <w:spacing w:val="7"/>
              </w:rPr>
              <w:t>颗粒物</w:t>
            </w:r>
          </w:p>
        </w:tc>
        <w:tc>
          <w:tcPr>
            <w:tcW w:w="981" w:type="dxa"/>
            <w:vAlign w:val="top"/>
          </w:tcPr>
          <w:p w14:paraId="4990A32F">
            <w:pPr>
              <w:spacing w:line="311" w:lineRule="auto"/>
              <w:rPr>
                <w:rFonts w:ascii="Arial"/>
                <w:sz w:val="21"/>
              </w:rPr>
            </w:pPr>
          </w:p>
          <w:p w14:paraId="3A36C514">
            <w:pPr>
              <w:pStyle w:val="6"/>
              <w:spacing w:before="65" w:line="233" w:lineRule="auto"/>
              <w:ind w:left="440"/>
            </w:pPr>
            <w:r>
              <w:t>/</w:t>
            </w:r>
          </w:p>
        </w:tc>
        <w:tc>
          <w:tcPr>
            <w:tcW w:w="1132" w:type="dxa"/>
            <w:vAlign w:val="top"/>
          </w:tcPr>
          <w:p w14:paraId="4D60B78D">
            <w:pPr>
              <w:spacing w:line="312" w:lineRule="auto"/>
              <w:rPr>
                <w:rFonts w:ascii="Arial"/>
                <w:sz w:val="21"/>
              </w:rPr>
            </w:pPr>
          </w:p>
          <w:p w14:paraId="4CF5F97C">
            <w:pPr>
              <w:pStyle w:val="6"/>
              <w:spacing w:before="65" w:line="228" w:lineRule="auto"/>
              <w:ind w:left="151"/>
            </w:pPr>
            <w:r>
              <w:rPr>
                <w:spacing w:val="7"/>
              </w:rPr>
              <w:t>物料平衡</w:t>
            </w:r>
          </w:p>
        </w:tc>
        <w:tc>
          <w:tcPr>
            <w:tcW w:w="840" w:type="dxa"/>
            <w:vAlign w:val="top"/>
          </w:tcPr>
          <w:p w14:paraId="1D31FB26">
            <w:pPr>
              <w:spacing w:line="311" w:lineRule="auto"/>
              <w:rPr>
                <w:rFonts w:ascii="Arial"/>
                <w:sz w:val="21"/>
              </w:rPr>
            </w:pPr>
          </w:p>
          <w:p w14:paraId="7546B4E5">
            <w:pPr>
              <w:pStyle w:val="6"/>
              <w:spacing w:before="65" w:line="268" w:lineRule="exact"/>
              <w:ind w:left="219"/>
            </w:pPr>
            <w:r>
              <w:rPr>
                <w:spacing w:val="2"/>
                <w:position w:val="1"/>
              </w:rPr>
              <w:t>2.98</w:t>
            </w:r>
          </w:p>
        </w:tc>
        <w:tc>
          <w:tcPr>
            <w:tcW w:w="978" w:type="dxa"/>
            <w:vAlign w:val="top"/>
          </w:tcPr>
          <w:p w14:paraId="3652D495">
            <w:pPr>
              <w:spacing w:line="311" w:lineRule="auto"/>
              <w:rPr>
                <w:rFonts w:ascii="Arial"/>
                <w:sz w:val="21"/>
              </w:rPr>
            </w:pPr>
          </w:p>
          <w:p w14:paraId="3EF0A002">
            <w:pPr>
              <w:pStyle w:val="6"/>
              <w:spacing w:before="65" w:line="269" w:lineRule="exact"/>
              <w:ind w:left="444"/>
            </w:pPr>
            <w:r>
              <w:rPr>
                <w:position w:val="1"/>
              </w:rPr>
              <w:t>0</w:t>
            </w:r>
          </w:p>
        </w:tc>
        <w:tc>
          <w:tcPr>
            <w:tcW w:w="843" w:type="dxa"/>
            <w:vAlign w:val="top"/>
          </w:tcPr>
          <w:p w14:paraId="07BE0794">
            <w:pPr>
              <w:spacing w:line="311" w:lineRule="auto"/>
              <w:rPr>
                <w:rFonts w:ascii="Arial"/>
                <w:sz w:val="21"/>
              </w:rPr>
            </w:pPr>
          </w:p>
          <w:p w14:paraId="122C09BD">
            <w:pPr>
              <w:pStyle w:val="6"/>
              <w:spacing w:before="65" w:line="268" w:lineRule="exact"/>
              <w:ind w:left="220"/>
            </w:pPr>
            <w:r>
              <w:rPr>
                <w:spacing w:val="2"/>
                <w:position w:val="1"/>
              </w:rPr>
              <w:t>2.98</w:t>
            </w:r>
          </w:p>
        </w:tc>
        <w:tc>
          <w:tcPr>
            <w:tcW w:w="700" w:type="dxa"/>
            <w:vAlign w:val="top"/>
          </w:tcPr>
          <w:p w14:paraId="33F78568">
            <w:pPr>
              <w:spacing w:line="311" w:lineRule="auto"/>
              <w:rPr>
                <w:rFonts w:ascii="Arial"/>
                <w:sz w:val="21"/>
              </w:rPr>
            </w:pPr>
          </w:p>
          <w:p w14:paraId="4CF8297F">
            <w:pPr>
              <w:pStyle w:val="6"/>
              <w:spacing w:before="65" w:line="269" w:lineRule="exact"/>
              <w:ind w:left="305"/>
            </w:pPr>
            <w:r>
              <w:rPr>
                <w:position w:val="1"/>
              </w:rPr>
              <w:t>6</w:t>
            </w:r>
          </w:p>
        </w:tc>
        <w:tc>
          <w:tcPr>
            <w:tcW w:w="700" w:type="dxa"/>
            <w:vAlign w:val="top"/>
          </w:tcPr>
          <w:p w14:paraId="4CE5F0F5">
            <w:pPr>
              <w:spacing w:line="311" w:lineRule="auto"/>
              <w:rPr>
                <w:rFonts w:ascii="Arial"/>
                <w:sz w:val="21"/>
              </w:rPr>
            </w:pPr>
          </w:p>
          <w:p w14:paraId="2169AB05">
            <w:pPr>
              <w:pStyle w:val="6"/>
              <w:spacing w:before="65" w:line="233" w:lineRule="auto"/>
              <w:ind w:left="303"/>
            </w:pPr>
            <w:r>
              <w:t>/</w:t>
            </w:r>
          </w:p>
        </w:tc>
        <w:tc>
          <w:tcPr>
            <w:tcW w:w="840" w:type="dxa"/>
            <w:vAlign w:val="top"/>
          </w:tcPr>
          <w:p w14:paraId="4FD2F0A5">
            <w:pPr>
              <w:spacing w:line="311" w:lineRule="auto"/>
              <w:rPr>
                <w:rFonts w:ascii="Arial"/>
                <w:sz w:val="21"/>
              </w:rPr>
            </w:pPr>
          </w:p>
          <w:p w14:paraId="22BF4136">
            <w:pPr>
              <w:pStyle w:val="6"/>
              <w:spacing w:before="65" w:line="233" w:lineRule="auto"/>
              <w:ind w:left="371"/>
            </w:pPr>
            <w:r>
              <w:t>/</w:t>
            </w:r>
          </w:p>
        </w:tc>
        <w:tc>
          <w:tcPr>
            <w:tcW w:w="558" w:type="dxa"/>
            <w:vAlign w:val="top"/>
          </w:tcPr>
          <w:p w14:paraId="269E06D9">
            <w:pPr>
              <w:spacing w:line="311" w:lineRule="auto"/>
              <w:rPr>
                <w:rFonts w:ascii="Arial"/>
                <w:sz w:val="21"/>
              </w:rPr>
            </w:pPr>
          </w:p>
          <w:p w14:paraId="2CAEA2B9">
            <w:pPr>
              <w:pStyle w:val="6"/>
              <w:spacing w:before="65" w:line="233" w:lineRule="auto"/>
              <w:ind w:left="232"/>
            </w:pPr>
            <w:r>
              <w:t>/</w:t>
            </w:r>
          </w:p>
        </w:tc>
        <w:tc>
          <w:tcPr>
            <w:tcW w:w="843" w:type="dxa"/>
            <w:vAlign w:val="top"/>
          </w:tcPr>
          <w:p w14:paraId="2535AE97">
            <w:pPr>
              <w:spacing w:line="311" w:lineRule="auto"/>
              <w:rPr>
                <w:rFonts w:ascii="Arial"/>
                <w:sz w:val="21"/>
              </w:rPr>
            </w:pPr>
          </w:p>
          <w:p w14:paraId="519EE12A">
            <w:pPr>
              <w:pStyle w:val="6"/>
              <w:spacing w:before="65" w:line="269" w:lineRule="exact"/>
              <w:ind w:left="233"/>
            </w:pPr>
            <w:r>
              <w:rPr>
                <w:spacing w:val="-1"/>
                <w:position w:val="1"/>
              </w:rPr>
              <w:t>1050</w:t>
            </w:r>
          </w:p>
        </w:tc>
        <w:tc>
          <w:tcPr>
            <w:tcW w:w="1188" w:type="dxa"/>
            <w:vAlign w:val="top"/>
          </w:tcPr>
          <w:p w14:paraId="56771DAE">
            <w:pPr>
              <w:pStyle w:val="6"/>
              <w:spacing w:before="59" w:line="268" w:lineRule="exact"/>
              <w:ind w:left="39"/>
            </w:pPr>
            <w:r>
              <w:rPr>
                <w:spacing w:val="4"/>
                <w:position w:val="1"/>
              </w:rPr>
              <w:t>24.8×47.1</w:t>
            </w:r>
          </w:p>
          <w:p w14:paraId="20B663C2">
            <w:pPr>
              <w:pStyle w:val="6"/>
              <w:spacing w:before="51" w:line="268" w:lineRule="exact"/>
              <w:ind w:left="41"/>
            </w:pPr>
            <w:r>
              <w:rPr>
                <w:spacing w:val="4"/>
                <w:position w:val="1"/>
              </w:rPr>
              <w:t>33.6×59.4</w:t>
            </w:r>
          </w:p>
          <w:p w14:paraId="2809CB00">
            <w:pPr>
              <w:pStyle w:val="6"/>
              <w:spacing w:before="51" w:line="238" w:lineRule="auto"/>
              <w:ind w:left="39"/>
            </w:pPr>
            <w:r>
              <w:rPr>
                <w:spacing w:val="4"/>
              </w:rPr>
              <w:t>69.7×67.1</w:t>
            </w:r>
          </w:p>
        </w:tc>
        <w:tc>
          <w:tcPr>
            <w:tcW w:w="868" w:type="dxa"/>
            <w:vAlign w:val="top"/>
          </w:tcPr>
          <w:p w14:paraId="294AE5F3">
            <w:pPr>
              <w:spacing w:line="311" w:lineRule="auto"/>
              <w:rPr>
                <w:rFonts w:ascii="Arial"/>
                <w:sz w:val="21"/>
              </w:rPr>
            </w:pPr>
          </w:p>
          <w:p w14:paraId="52D00FDD">
            <w:pPr>
              <w:pStyle w:val="6"/>
              <w:spacing w:before="65" w:line="233" w:lineRule="auto"/>
              <w:ind w:left="386"/>
            </w:pPr>
            <w:r>
              <w:t>/</w:t>
            </w:r>
          </w:p>
        </w:tc>
        <w:tc>
          <w:tcPr>
            <w:tcW w:w="748" w:type="dxa"/>
            <w:vAlign w:val="top"/>
          </w:tcPr>
          <w:p w14:paraId="4423046A">
            <w:pPr>
              <w:spacing w:line="311" w:lineRule="auto"/>
              <w:rPr>
                <w:rFonts w:ascii="Arial"/>
                <w:sz w:val="21"/>
              </w:rPr>
            </w:pPr>
          </w:p>
          <w:p w14:paraId="0904A5DA">
            <w:pPr>
              <w:pStyle w:val="6"/>
              <w:spacing w:before="65" w:line="268" w:lineRule="exact"/>
              <w:ind w:left="122"/>
            </w:pPr>
            <w:r>
              <w:rPr>
                <w:spacing w:val="2"/>
                <w:position w:val="1"/>
              </w:rPr>
              <w:t>2.838</w:t>
            </w:r>
          </w:p>
        </w:tc>
        <w:tc>
          <w:tcPr>
            <w:tcW w:w="805" w:type="dxa"/>
            <w:vAlign w:val="top"/>
          </w:tcPr>
          <w:p w14:paraId="1AEBF17A">
            <w:pPr>
              <w:spacing w:line="311" w:lineRule="auto"/>
              <w:rPr>
                <w:rFonts w:ascii="Arial"/>
                <w:sz w:val="21"/>
              </w:rPr>
            </w:pPr>
          </w:p>
          <w:p w14:paraId="2ABF6F22">
            <w:pPr>
              <w:pStyle w:val="6"/>
              <w:spacing w:before="65" w:line="233" w:lineRule="auto"/>
              <w:ind w:left="354"/>
            </w:pPr>
            <w:r>
              <w:t>/</w:t>
            </w:r>
          </w:p>
        </w:tc>
      </w:tr>
      <w:tr w14:paraId="7B083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30" w:type="dxa"/>
            <w:vMerge w:val="restart"/>
            <w:tcBorders>
              <w:bottom w:val="nil"/>
            </w:tcBorders>
            <w:vAlign w:val="top"/>
          </w:tcPr>
          <w:p w14:paraId="139952AB">
            <w:pPr>
              <w:spacing w:line="278" w:lineRule="auto"/>
              <w:rPr>
                <w:rFonts w:ascii="Arial"/>
                <w:sz w:val="21"/>
              </w:rPr>
            </w:pPr>
          </w:p>
          <w:p w14:paraId="61DEF8EF">
            <w:pPr>
              <w:spacing w:line="278" w:lineRule="auto"/>
              <w:rPr>
                <w:rFonts w:ascii="Arial"/>
                <w:sz w:val="21"/>
              </w:rPr>
            </w:pPr>
          </w:p>
          <w:p w14:paraId="4BBE060D">
            <w:pPr>
              <w:spacing w:line="279" w:lineRule="auto"/>
              <w:rPr>
                <w:rFonts w:ascii="Arial"/>
                <w:sz w:val="21"/>
              </w:rPr>
            </w:pPr>
          </w:p>
          <w:p w14:paraId="2217C87D">
            <w:pPr>
              <w:spacing w:line="279" w:lineRule="auto"/>
              <w:rPr>
                <w:rFonts w:ascii="Arial"/>
                <w:sz w:val="21"/>
              </w:rPr>
            </w:pPr>
          </w:p>
          <w:p w14:paraId="2A6DF131">
            <w:pPr>
              <w:pStyle w:val="6"/>
              <w:spacing w:before="65" w:line="228" w:lineRule="auto"/>
              <w:ind w:left="100"/>
            </w:pPr>
            <w:r>
              <w:rPr>
                <w:spacing w:val="7"/>
              </w:rPr>
              <w:t>锅炉烟气</w:t>
            </w:r>
          </w:p>
        </w:tc>
        <w:tc>
          <w:tcPr>
            <w:tcW w:w="900" w:type="dxa"/>
            <w:vAlign w:val="top"/>
          </w:tcPr>
          <w:p w14:paraId="49BFD36A">
            <w:pPr>
              <w:pStyle w:val="6"/>
              <w:spacing w:before="214" w:line="228" w:lineRule="auto"/>
              <w:ind w:left="137"/>
            </w:pPr>
            <w:r>
              <w:rPr>
                <w:spacing w:val="7"/>
              </w:rPr>
              <w:t>颗粒物</w:t>
            </w:r>
          </w:p>
        </w:tc>
        <w:tc>
          <w:tcPr>
            <w:tcW w:w="981" w:type="dxa"/>
            <w:vMerge w:val="restart"/>
            <w:tcBorders>
              <w:bottom w:val="nil"/>
            </w:tcBorders>
            <w:vAlign w:val="top"/>
          </w:tcPr>
          <w:p w14:paraId="57A69018">
            <w:pPr>
              <w:spacing w:line="319" w:lineRule="auto"/>
              <w:rPr>
                <w:rFonts w:ascii="Arial"/>
                <w:sz w:val="21"/>
              </w:rPr>
            </w:pPr>
          </w:p>
          <w:p w14:paraId="63C1730D">
            <w:pPr>
              <w:spacing w:line="319" w:lineRule="auto"/>
              <w:rPr>
                <w:rFonts w:ascii="Arial"/>
                <w:sz w:val="21"/>
              </w:rPr>
            </w:pPr>
          </w:p>
          <w:p w14:paraId="7BCC01B3">
            <w:pPr>
              <w:pStyle w:val="6"/>
              <w:spacing w:before="65" w:line="295" w:lineRule="auto"/>
              <w:ind w:left="75" w:right="72" w:firstLine="78"/>
            </w:pPr>
            <w:r>
              <w:t>SNCR</w:t>
            </w:r>
            <w:r>
              <w:rPr>
                <w:spacing w:val="-40"/>
              </w:rPr>
              <w:t xml:space="preserve"> </w:t>
            </w:r>
            <w:r>
              <w:rPr>
                <w:spacing w:val="12"/>
              </w:rPr>
              <w:t>脱</w:t>
            </w:r>
            <w:r>
              <w:t xml:space="preserve"> </w:t>
            </w:r>
            <w:r>
              <w:rPr>
                <w:spacing w:val="6"/>
              </w:rPr>
              <w:t>硝、布袋</w:t>
            </w:r>
          </w:p>
          <w:p w14:paraId="72D41E49">
            <w:pPr>
              <w:pStyle w:val="6"/>
              <w:spacing w:line="227" w:lineRule="auto"/>
              <w:ind w:left="86"/>
            </w:pPr>
            <w:r>
              <w:rPr>
                <w:spacing w:val="4"/>
              </w:rPr>
              <w:t>除尘、双</w:t>
            </w:r>
          </w:p>
          <w:p w14:paraId="36A1693A">
            <w:pPr>
              <w:pStyle w:val="6"/>
              <w:spacing w:before="72" w:line="229" w:lineRule="auto"/>
              <w:ind w:left="72"/>
            </w:pPr>
            <w:r>
              <w:rPr>
                <w:spacing w:val="7"/>
              </w:rPr>
              <w:t>碱法脱硫</w:t>
            </w:r>
          </w:p>
        </w:tc>
        <w:tc>
          <w:tcPr>
            <w:tcW w:w="1132" w:type="dxa"/>
            <w:vMerge w:val="restart"/>
            <w:tcBorders>
              <w:bottom w:val="nil"/>
            </w:tcBorders>
            <w:vAlign w:val="top"/>
          </w:tcPr>
          <w:p w14:paraId="284890FC">
            <w:pPr>
              <w:spacing w:line="278" w:lineRule="auto"/>
              <w:rPr>
                <w:rFonts w:ascii="Arial"/>
                <w:sz w:val="21"/>
              </w:rPr>
            </w:pPr>
          </w:p>
          <w:p w14:paraId="5B79342B">
            <w:pPr>
              <w:spacing w:line="278" w:lineRule="auto"/>
              <w:rPr>
                <w:rFonts w:ascii="Arial"/>
                <w:sz w:val="21"/>
              </w:rPr>
            </w:pPr>
          </w:p>
          <w:p w14:paraId="4EC1EC36">
            <w:pPr>
              <w:spacing w:line="279" w:lineRule="auto"/>
              <w:rPr>
                <w:rFonts w:ascii="Arial"/>
                <w:sz w:val="21"/>
              </w:rPr>
            </w:pPr>
          </w:p>
          <w:p w14:paraId="7E358B20">
            <w:pPr>
              <w:spacing w:line="279" w:lineRule="auto"/>
              <w:rPr>
                <w:rFonts w:ascii="Arial"/>
                <w:sz w:val="21"/>
              </w:rPr>
            </w:pPr>
          </w:p>
          <w:p w14:paraId="40E20F07">
            <w:pPr>
              <w:pStyle w:val="6"/>
              <w:spacing w:before="65" w:line="228" w:lineRule="auto"/>
              <w:ind w:left="187"/>
            </w:pPr>
            <w:r>
              <w:rPr>
                <w:spacing w:val="-2"/>
              </w:rPr>
              <w:t>日常监测</w:t>
            </w:r>
          </w:p>
        </w:tc>
        <w:tc>
          <w:tcPr>
            <w:tcW w:w="840" w:type="dxa"/>
            <w:vAlign w:val="top"/>
          </w:tcPr>
          <w:p w14:paraId="4A4C4165">
            <w:pPr>
              <w:pStyle w:val="6"/>
              <w:spacing w:before="214" w:line="268" w:lineRule="exact"/>
              <w:ind w:left="282"/>
            </w:pPr>
            <w:r>
              <w:rPr>
                <w:spacing w:val="-3"/>
                <w:position w:val="1"/>
              </w:rPr>
              <w:t>189</w:t>
            </w:r>
          </w:p>
        </w:tc>
        <w:tc>
          <w:tcPr>
            <w:tcW w:w="978" w:type="dxa"/>
            <w:vAlign w:val="top"/>
          </w:tcPr>
          <w:p w14:paraId="42B127E9">
            <w:pPr>
              <w:pStyle w:val="6"/>
              <w:spacing w:before="214" w:line="267" w:lineRule="exact"/>
              <w:ind w:left="196"/>
            </w:pPr>
            <w:r>
              <w:rPr>
                <w:spacing w:val="1"/>
                <w:position w:val="1"/>
              </w:rPr>
              <w:t>187.11</w:t>
            </w:r>
          </w:p>
        </w:tc>
        <w:tc>
          <w:tcPr>
            <w:tcW w:w="843" w:type="dxa"/>
            <w:vAlign w:val="top"/>
          </w:tcPr>
          <w:p w14:paraId="0466F317">
            <w:pPr>
              <w:pStyle w:val="6"/>
              <w:spacing w:before="214" w:line="267" w:lineRule="exact"/>
              <w:ind w:left="233"/>
            </w:pPr>
            <w:r>
              <w:rPr>
                <w:spacing w:val="-1"/>
                <w:position w:val="1"/>
              </w:rPr>
              <w:t>1.89</w:t>
            </w:r>
          </w:p>
        </w:tc>
        <w:tc>
          <w:tcPr>
            <w:tcW w:w="700" w:type="dxa"/>
            <w:vMerge w:val="restart"/>
            <w:tcBorders>
              <w:bottom w:val="nil"/>
            </w:tcBorders>
            <w:vAlign w:val="top"/>
          </w:tcPr>
          <w:p w14:paraId="3125ABB4">
            <w:pPr>
              <w:spacing w:line="319" w:lineRule="auto"/>
              <w:rPr>
                <w:rFonts w:ascii="Arial"/>
                <w:sz w:val="21"/>
              </w:rPr>
            </w:pPr>
          </w:p>
          <w:p w14:paraId="0663846E">
            <w:pPr>
              <w:spacing w:line="320" w:lineRule="auto"/>
              <w:rPr>
                <w:rFonts w:ascii="Arial"/>
                <w:sz w:val="21"/>
              </w:rPr>
            </w:pPr>
          </w:p>
          <w:p w14:paraId="6ED91D57">
            <w:pPr>
              <w:pStyle w:val="6"/>
              <w:spacing w:before="65" w:line="241" w:lineRule="auto"/>
              <w:ind w:left="96"/>
            </w:pPr>
            <w:r>
              <w:rPr>
                <w:spacing w:val="3"/>
              </w:rPr>
              <w:t>30（4</w:t>
            </w:r>
          </w:p>
          <w:p w14:paraId="27FCB4A5">
            <w:pPr>
              <w:pStyle w:val="6"/>
              <w:spacing w:before="58" w:line="228" w:lineRule="auto"/>
              <w:ind w:left="42"/>
            </w:pPr>
            <w:r>
              <w:t>根）、</w:t>
            </w:r>
          </w:p>
          <w:p w14:paraId="58B3F7CF">
            <w:pPr>
              <w:pStyle w:val="6"/>
              <w:spacing w:before="71" w:line="241" w:lineRule="auto"/>
              <w:ind w:left="91"/>
            </w:pPr>
            <w:r>
              <w:rPr>
                <w:spacing w:val="4"/>
              </w:rPr>
              <w:t>40（1</w:t>
            </w:r>
          </w:p>
          <w:p w14:paraId="09364182">
            <w:pPr>
              <w:pStyle w:val="6"/>
              <w:spacing w:before="58" w:line="228" w:lineRule="auto"/>
              <w:ind w:left="147"/>
            </w:pPr>
            <w:r>
              <w:t>根）</w:t>
            </w:r>
          </w:p>
        </w:tc>
        <w:tc>
          <w:tcPr>
            <w:tcW w:w="700" w:type="dxa"/>
            <w:vMerge w:val="restart"/>
            <w:tcBorders>
              <w:bottom w:val="nil"/>
            </w:tcBorders>
            <w:vAlign w:val="top"/>
          </w:tcPr>
          <w:p w14:paraId="542E2857">
            <w:pPr>
              <w:spacing w:line="278" w:lineRule="auto"/>
              <w:rPr>
                <w:rFonts w:ascii="Arial"/>
                <w:sz w:val="21"/>
              </w:rPr>
            </w:pPr>
          </w:p>
          <w:p w14:paraId="16DAD275">
            <w:pPr>
              <w:spacing w:line="278" w:lineRule="auto"/>
              <w:rPr>
                <w:rFonts w:ascii="Arial"/>
                <w:sz w:val="21"/>
              </w:rPr>
            </w:pPr>
          </w:p>
          <w:p w14:paraId="7C013A30">
            <w:pPr>
              <w:spacing w:line="279" w:lineRule="auto"/>
              <w:rPr>
                <w:rFonts w:ascii="Arial"/>
                <w:sz w:val="21"/>
              </w:rPr>
            </w:pPr>
          </w:p>
          <w:p w14:paraId="048B4400">
            <w:pPr>
              <w:spacing w:line="279" w:lineRule="auto"/>
              <w:rPr>
                <w:rFonts w:ascii="Arial"/>
                <w:sz w:val="21"/>
              </w:rPr>
            </w:pPr>
          </w:p>
          <w:p w14:paraId="045531B6">
            <w:pPr>
              <w:pStyle w:val="6"/>
              <w:spacing w:before="65" w:line="268" w:lineRule="exact"/>
              <w:ind w:left="214"/>
            </w:pPr>
            <w:r>
              <w:rPr>
                <w:spacing w:val="-3"/>
                <w:position w:val="1"/>
              </w:rPr>
              <w:t>120</w:t>
            </w:r>
          </w:p>
        </w:tc>
        <w:tc>
          <w:tcPr>
            <w:tcW w:w="840" w:type="dxa"/>
            <w:vMerge w:val="restart"/>
            <w:tcBorders>
              <w:bottom w:val="nil"/>
            </w:tcBorders>
            <w:vAlign w:val="top"/>
          </w:tcPr>
          <w:p w14:paraId="35196AD1">
            <w:pPr>
              <w:spacing w:line="318" w:lineRule="auto"/>
              <w:rPr>
                <w:rFonts w:ascii="Arial"/>
                <w:sz w:val="21"/>
              </w:rPr>
            </w:pPr>
          </w:p>
          <w:p w14:paraId="1BFEA77F">
            <w:pPr>
              <w:spacing w:line="319" w:lineRule="auto"/>
              <w:rPr>
                <w:rFonts w:ascii="Arial"/>
                <w:sz w:val="21"/>
              </w:rPr>
            </w:pPr>
          </w:p>
          <w:p w14:paraId="41B2B78D">
            <w:pPr>
              <w:spacing w:line="319" w:lineRule="auto"/>
              <w:rPr>
                <w:rFonts w:ascii="Arial"/>
                <w:sz w:val="21"/>
              </w:rPr>
            </w:pPr>
          </w:p>
          <w:p w14:paraId="2CD52D28">
            <w:pPr>
              <w:pStyle w:val="6"/>
              <w:spacing w:before="65" w:line="269" w:lineRule="exact"/>
              <w:ind w:left="62"/>
            </w:pPr>
            <w:r>
              <w:rPr>
                <w:spacing w:val="3"/>
              </w:rPr>
              <w:t>3500~80</w:t>
            </w:r>
          </w:p>
          <w:p w14:paraId="57E8D190">
            <w:pPr>
              <w:pStyle w:val="6"/>
              <w:spacing w:before="50" w:line="269" w:lineRule="exact"/>
              <w:ind w:left="324"/>
            </w:pPr>
            <w:r>
              <w:rPr>
                <w:position w:val="1"/>
              </w:rPr>
              <w:t>00</w:t>
            </w:r>
          </w:p>
        </w:tc>
        <w:tc>
          <w:tcPr>
            <w:tcW w:w="558" w:type="dxa"/>
            <w:vMerge w:val="restart"/>
            <w:tcBorders>
              <w:bottom w:val="nil"/>
            </w:tcBorders>
            <w:vAlign w:val="top"/>
          </w:tcPr>
          <w:p w14:paraId="59111394">
            <w:pPr>
              <w:spacing w:line="278" w:lineRule="auto"/>
              <w:rPr>
                <w:rFonts w:ascii="Arial"/>
                <w:sz w:val="21"/>
              </w:rPr>
            </w:pPr>
          </w:p>
          <w:p w14:paraId="5FE58233">
            <w:pPr>
              <w:spacing w:line="278" w:lineRule="auto"/>
              <w:rPr>
                <w:rFonts w:ascii="Arial"/>
                <w:sz w:val="21"/>
              </w:rPr>
            </w:pPr>
          </w:p>
          <w:p w14:paraId="46ABABAB">
            <w:pPr>
              <w:spacing w:line="279" w:lineRule="auto"/>
              <w:rPr>
                <w:rFonts w:ascii="Arial"/>
                <w:sz w:val="21"/>
              </w:rPr>
            </w:pPr>
          </w:p>
          <w:p w14:paraId="33EDA477">
            <w:pPr>
              <w:spacing w:line="279" w:lineRule="auto"/>
              <w:rPr>
                <w:rFonts w:ascii="Arial"/>
                <w:sz w:val="21"/>
              </w:rPr>
            </w:pPr>
          </w:p>
          <w:p w14:paraId="796B6FA3">
            <w:pPr>
              <w:pStyle w:val="6"/>
              <w:spacing w:before="65" w:line="267" w:lineRule="exact"/>
              <w:ind w:left="129"/>
            </w:pPr>
            <w:r>
              <w:rPr>
                <w:spacing w:val="1"/>
                <w:position w:val="1"/>
              </w:rPr>
              <w:t>0.3</w:t>
            </w:r>
          </w:p>
        </w:tc>
        <w:tc>
          <w:tcPr>
            <w:tcW w:w="843" w:type="dxa"/>
            <w:vMerge w:val="restart"/>
            <w:tcBorders>
              <w:bottom w:val="nil"/>
            </w:tcBorders>
            <w:vAlign w:val="top"/>
          </w:tcPr>
          <w:p w14:paraId="34501F61">
            <w:pPr>
              <w:spacing w:line="278" w:lineRule="auto"/>
              <w:rPr>
                <w:rFonts w:ascii="Arial"/>
                <w:sz w:val="21"/>
              </w:rPr>
            </w:pPr>
          </w:p>
          <w:p w14:paraId="2B7715B8">
            <w:pPr>
              <w:spacing w:line="278" w:lineRule="auto"/>
              <w:rPr>
                <w:rFonts w:ascii="Arial"/>
                <w:sz w:val="21"/>
              </w:rPr>
            </w:pPr>
          </w:p>
          <w:p w14:paraId="4155C8EF">
            <w:pPr>
              <w:spacing w:line="279" w:lineRule="auto"/>
              <w:rPr>
                <w:rFonts w:ascii="Arial"/>
                <w:sz w:val="21"/>
              </w:rPr>
            </w:pPr>
          </w:p>
          <w:p w14:paraId="5A483C6E">
            <w:pPr>
              <w:spacing w:line="279" w:lineRule="auto"/>
              <w:rPr>
                <w:rFonts w:ascii="Arial"/>
                <w:sz w:val="21"/>
              </w:rPr>
            </w:pPr>
          </w:p>
          <w:p w14:paraId="0CA5B6F6">
            <w:pPr>
              <w:pStyle w:val="6"/>
              <w:spacing w:before="65" w:line="268" w:lineRule="exact"/>
              <w:ind w:left="217"/>
            </w:pPr>
            <w:r>
              <w:rPr>
                <w:spacing w:val="3"/>
                <w:position w:val="1"/>
              </w:rPr>
              <w:t>4320</w:t>
            </w:r>
          </w:p>
        </w:tc>
        <w:tc>
          <w:tcPr>
            <w:tcW w:w="1188" w:type="dxa"/>
            <w:vMerge w:val="restart"/>
            <w:tcBorders>
              <w:bottom w:val="nil"/>
            </w:tcBorders>
            <w:vAlign w:val="top"/>
          </w:tcPr>
          <w:p w14:paraId="4B399BB3">
            <w:pPr>
              <w:spacing w:line="278" w:lineRule="auto"/>
              <w:rPr>
                <w:rFonts w:ascii="Arial"/>
                <w:sz w:val="21"/>
              </w:rPr>
            </w:pPr>
          </w:p>
          <w:p w14:paraId="72C0285B">
            <w:pPr>
              <w:spacing w:line="278" w:lineRule="auto"/>
              <w:rPr>
                <w:rFonts w:ascii="Arial"/>
                <w:sz w:val="21"/>
              </w:rPr>
            </w:pPr>
          </w:p>
          <w:p w14:paraId="4F660513">
            <w:pPr>
              <w:spacing w:line="278" w:lineRule="auto"/>
              <w:rPr>
                <w:rFonts w:ascii="Arial"/>
                <w:sz w:val="21"/>
              </w:rPr>
            </w:pPr>
          </w:p>
          <w:p w14:paraId="37F6C760">
            <w:pPr>
              <w:spacing w:line="279" w:lineRule="auto"/>
              <w:rPr>
                <w:rFonts w:ascii="Arial"/>
                <w:sz w:val="21"/>
              </w:rPr>
            </w:pPr>
          </w:p>
          <w:p w14:paraId="77D62652">
            <w:pPr>
              <w:pStyle w:val="6"/>
              <w:spacing w:before="65" w:line="233" w:lineRule="auto"/>
              <w:ind w:left="547"/>
            </w:pPr>
            <w:r>
              <w:t>/</w:t>
            </w:r>
          </w:p>
        </w:tc>
        <w:tc>
          <w:tcPr>
            <w:tcW w:w="868" w:type="dxa"/>
            <w:vAlign w:val="top"/>
          </w:tcPr>
          <w:p w14:paraId="54B3859B">
            <w:pPr>
              <w:pStyle w:val="6"/>
              <w:spacing w:before="55" w:line="268" w:lineRule="exact"/>
              <w:ind w:left="88"/>
            </w:pPr>
            <w:r>
              <w:rPr>
                <w:spacing w:val="1"/>
              </w:rPr>
              <w:t>18.8~21</w:t>
            </w:r>
          </w:p>
          <w:p w14:paraId="48912583">
            <w:pPr>
              <w:pStyle w:val="6"/>
              <w:spacing w:before="51" w:line="237" w:lineRule="auto"/>
              <w:ind w:left="342"/>
            </w:pPr>
            <w:r>
              <w:rPr>
                <w:spacing w:val="-2"/>
              </w:rPr>
              <w:t>.8</w:t>
            </w:r>
          </w:p>
        </w:tc>
        <w:tc>
          <w:tcPr>
            <w:tcW w:w="748" w:type="dxa"/>
            <w:vAlign w:val="top"/>
          </w:tcPr>
          <w:p w14:paraId="388F1DC4">
            <w:pPr>
              <w:pStyle w:val="6"/>
              <w:spacing w:before="55" w:line="268" w:lineRule="exact"/>
              <w:ind w:left="68"/>
            </w:pPr>
            <w:r>
              <w:rPr>
                <w:spacing w:val="3"/>
              </w:rPr>
              <w:t>0.066~</w:t>
            </w:r>
          </w:p>
          <w:p w14:paraId="35467DC7">
            <w:pPr>
              <w:pStyle w:val="6"/>
              <w:spacing w:before="51" w:line="237" w:lineRule="auto"/>
              <w:ind w:left="121"/>
            </w:pPr>
            <w:r>
              <w:rPr>
                <w:spacing w:val="2"/>
              </w:rPr>
              <w:t>0.152</w:t>
            </w:r>
          </w:p>
        </w:tc>
        <w:tc>
          <w:tcPr>
            <w:tcW w:w="805" w:type="dxa"/>
            <w:vAlign w:val="top"/>
          </w:tcPr>
          <w:p w14:paraId="4BAE5CCA">
            <w:pPr>
              <w:pStyle w:val="6"/>
              <w:spacing w:before="214" w:line="228" w:lineRule="auto"/>
              <w:ind w:left="196"/>
            </w:pPr>
            <w:r>
              <w:rPr>
                <w:spacing w:val="5"/>
              </w:rPr>
              <w:t>达标</w:t>
            </w:r>
          </w:p>
        </w:tc>
      </w:tr>
      <w:tr w14:paraId="2D72F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30" w:type="dxa"/>
            <w:vMerge w:val="continue"/>
            <w:tcBorders>
              <w:top w:val="nil"/>
              <w:bottom w:val="nil"/>
            </w:tcBorders>
            <w:vAlign w:val="top"/>
          </w:tcPr>
          <w:p w14:paraId="314ACE74">
            <w:pPr>
              <w:rPr>
                <w:rFonts w:ascii="Arial"/>
                <w:sz w:val="21"/>
              </w:rPr>
            </w:pPr>
          </w:p>
        </w:tc>
        <w:tc>
          <w:tcPr>
            <w:tcW w:w="900" w:type="dxa"/>
            <w:vAlign w:val="top"/>
          </w:tcPr>
          <w:p w14:paraId="286EFA07">
            <w:pPr>
              <w:pStyle w:val="6"/>
              <w:spacing w:before="248" w:line="214" w:lineRule="auto"/>
              <w:ind w:left="321"/>
              <w:rPr>
                <w:sz w:val="10"/>
                <w:szCs w:val="10"/>
              </w:rPr>
            </w:pPr>
            <w:r>
              <w:t>SO</w:t>
            </w:r>
            <w:r>
              <w:rPr>
                <w:spacing w:val="5"/>
                <w:position w:val="-2"/>
                <w:sz w:val="10"/>
                <w:szCs w:val="10"/>
              </w:rPr>
              <w:t>2</w:t>
            </w:r>
          </w:p>
        </w:tc>
        <w:tc>
          <w:tcPr>
            <w:tcW w:w="981" w:type="dxa"/>
            <w:vMerge w:val="continue"/>
            <w:tcBorders>
              <w:top w:val="nil"/>
              <w:bottom w:val="nil"/>
            </w:tcBorders>
            <w:vAlign w:val="top"/>
          </w:tcPr>
          <w:p w14:paraId="38D203F7">
            <w:pPr>
              <w:rPr>
                <w:rFonts w:ascii="Arial"/>
                <w:sz w:val="21"/>
              </w:rPr>
            </w:pPr>
          </w:p>
        </w:tc>
        <w:tc>
          <w:tcPr>
            <w:tcW w:w="1132" w:type="dxa"/>
            <w:vMerge w:val="continue"/>
            <w:tcBorders>
              <w:top w:val="nil"/>
              <w:bottom w:val="nil"/>
            </w:tcBorders>
            <w:vAlign w:val="top"/>
          </w:tcPr>
          <w:p w14:paraId="1A96C0B7">
            <w:pPr>
              <w:rPr>
                <w:rFonts w:ascii="Arial"/>
                <w:sz w:val="21"/>
              </w:rPr>
            </w:pPr>
          </w:p>
        </w:tc>
        <w:tc>
          <w:tcPr>
            <w:tcW w:w="840" w:type="dxa"/>
            <w:vAlign w:val="top"/>
          </w:tcPr>
          <w:p w14:paraId="54FEC452">
            <w:pPr>
              <w:pStyle w:val="6"/>
              <w:spacing w:before="214" w:line="233" w:lineRule="auto"/>
              <w:ind w:left="372"/>
            </w:pPr>
            <w:r>
              <w:t>/</w:t>
            </w:r>
          </w:p>
        </w:tc>
        <w:tc>
          <w:tcPr>
            <w:tcW w:w="978" w:type="dxa"/>
            <w:vAlign w:val="top"/>
          </w:tcPr>
          <w:p w14:paraId="6DCCD188">
            <w:pPr>
              <w:pStyle w:val="6"/>
              <w:spacing w:before="214" w:line="233" w:lineRule="auto"/>
              <w:ind w:left="441"/>
            </w:pPr>
            <w:r>
              <w:t>/</w:t>
            </w:r>
          </w:p>
        </w:tc>
        <w:tc>
          <w:tcPr>
            <w:tcW w:w="843" w:type="dxa"/>
            <w:vAlign w:val="top"/>
          </w:tcPr>
          <w:p w14:paraId="760B680A">
            <w:pPr>
              <w:pStyle w:val="6"/>
              <w:spacing w:before="215" w:line="267" w:lineRule="exact"/>
              <w:ind w:left="222"/>
            </w:pPr>
            <w:r>
              <w:rPr>
                <w:spacing w:val="2"/>
                <w:position w:val="1"/>
              </w:rPr>
              <w:t>3.30</w:t>
            </w:r>
          </w:p>
        </w:tc>
        <w:tc>
          <w:tcPr>
            <w:tcW w:w="700" w:type="dxa"/>
            <w:vMerge w:val="continue"/>
            <w:tcBorders>
              <w:top w:val="nil"/>
              <w:bottom w:val="nil"/>
            </w:tcBorders>
            <w:vAlign w:val="top"/>
          </w:tcPr>
          <w:p w14:paraId="622C1585">
            <w:pPr>
              <w:rPr>
                <w:rFonts w:ascii="Arial"/>
                <w:sz w:val="21"/>
              </w:rPr>
            </w:pPr>
          </w:p>
        </w:tc>
        <w:tc>
          <w:tcPr>
            <w:tcW w:w="700" w:type="dxa"/>
            <w:vMerge w:val="continue"/>
            <w:tcBorders>
              <w:top w:val="nil"/>
              <w:bottom w:val="nil"/>
            </w:tcBorders>
            <w:vAlign w:val="top"/>
          </w:tcPr>
          <w:p w14:paraId="48670421">
            <w:pPr>
              <w:rPr>
                <w:rFonts w:ascii="Arial"/>
                <w:sz w:val="21"/>
              </w:rPr>
            </w:pPr>
          </w:p>
        </w:tc>
        <w:tc>
          <w:tcPr>
            <w:tcW w:w="840" w:type="dxa"/>
            <w:vMerge w:val="continue"/>
            <w:tcBorders>
              <w:top w:val="nil"/>
              <w:bottom w:val="nil"/>
            </w:tcBorders>
            <w:vAlign w:val="top"/>
          </w:tcPr>
          <w:p w14:paraId="72D19115">
            <w:pPr>
              <w:rPr>
                <w:rFonts w:ascii="Arial"/>
                <w:sz w:val="21"/>
              </w:rPr>
            </w:pPr>
          </w:p>
        </w:tc>
        <w:tc>
          <w:tcPr>
            <w:tcW w:w="558" w:type="dxa"/>
            <w:vMerge w:val="continue"/>
            <w:tcBorders>
              <w:top w:val="nil"/>
              <w:bottom w:val="nil"/>
            </w:tcBorders>
            <w:vAlign w:val="top"/>
          </w:tcPr>
          <w:p w14:paraId="3B0ED406">
            <w:pPr>
              <w:rPr>
                <w:rFonts w:ascii="Arial"/>
                <w:sz w:val="21"/>
              </w:rPr>
            </w:pPr>
          </w:p>
        </w:tc>
        <w:tc>
          <w:tcPr>
            <w:tcW w:w="843" w:type="dxa"/>
            <w:vMerge w:val="continue"/>
            <w:tcBorders>
              <w:top w:val="nil"/>
              <w:bottom w:val="nil"/>
            </w:tcBorders>
            <w:vAlign w:val="top"/>
          </w:tcPr>
          <w:p w14:paraId="65B88C52">
            <w:pPr>
              <w:rPr>
                <w:rFonts w:ascii="Arial"/>
                <w:sz w:val="21"/>
              </w:rPr>
            </w:pPr>
          </w:p>
        </w:tc>
        <w:tc>
          <w:tcPr>
            <w:tcW w:w="1188" w:type="dxa"/>
            <w:vMerge w:val="continue"/>
            <w:tcBorders>
              <w:top w:val="nil"/>
              <w:bottom w:val="nil"/>
            </w:tcBorders>
            <w:vAlign w:val="top"/>
          </w:tcPr>
          <w:p w14:paraId="2DB8DD7C">
            <w:pPr>
              <w:rPr>
                <w:rFonts w:ascii="Arial"/>
                <w:sz w:val="21"/>
              </w:rPr>
            </w:pPr>
          </w:p>
        </w:tc>
        <w:tc>
          <w:tcPr>
            <w:tcW w:w="868" w:type="dxa"/>
            <w:vAlign w:val="top"/>
          </w:tcPr>
          <w:p w14:paraId="75510F03">
            <w:pPr>
              <w:pStyle w:val="6"/>
              <w:spacing w:before="215" w:line="268" w:lineRule="exact"/>
              <w:ind w:left="181"/>
            </w:pPr>
            <w:r>
              <w:rPr>
                <w:spacing w:val="2"/>
              </w:rPr>
              <w:t>28~39</w:t>
            </w:r>
          </w:p>
        </w:tc>
        <w:tc>
          <w:tcPr>
            <w:tcW w:w="748" w:type="dxa"/>
            <w:vAlign w:val="top"/>
          </w:tcPr>
          <w:p w14:paraId="3F4F933C">
            <w:pPr>
              <w:pStyle w:val="6"/>
              <w:spacing w:before="56" w:line="268" w:lineRule="exact"/>
              <w:ind w:left="68"/>
            </w:pPr>
            <w:r>
              <w:rPr>
                <w:spacing w:val="3"/>
              </w:rPr>
              <w:t>0.095~</w:t>
            </w:r>
          </w:p>
          <w:p w14:paraId="6A6C00F4">
            <w:pPr>
              <w:pStyle w:val="6"/>
              <w:spacing w:before="51" w:line="236" w:lineRule="auto"/>
              <w:ind w:left="121"/>
            </w:pPr>
            <w:r>
              <w:rPr>
                <w:spacing w:val="2"/>
              </w:rPr>
              <w:t>0.307</w:t>
            </w:r>
          </w:p>
        </w:tc>
        <w:tc>
          <w:tcPr>
            <w:tcW w:w="805" w:type="dxa"/>
            <w:vAlign w:val="top"/>
          </w:tcPr>
          <w:p w14:paraId="3954A2D5">
            <w:pPr>
              <w:pStyle w:val="6"/>
              <w:spacing w:before="215" w:line="228" w:lineRule="auto"/>
              <w:ind w:left="196"/>
            </w:pPr>
            <w:r>
              <w:rPr>
                <w:spacing w:val="5"/>
              </w:rPr>
              <w:t>达标</w:t>
            </w:r>
          </w:p>
        </w:tc>
      </w:tr>
      <w:tr w14:paraId="76565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30" w:type="dxa"/>
            <w:vMerge w:val="continue"/>
            <w:tcBorders>
              <w:top w:val="nil"/>
              <w:bottom w:val="nil"/>
            </w:tcBorders>
            <w:vAlign w:val="top"/>
          </w:tcPr>
          <w:p w14:paraId="4BD270A7">
            <w:pPr>
              <w:rPr>
                <w:rFonts w:ascii="Arial"/>
                <w:sz w:val="21"/>
              </w:rPr>
            </w:pPr>
          </w:p>
        </w:tc>
        <w:tc>
          <w:tcPr>
            <w:tcW w:w="900" w:type="dxa"/>
            <w:vAlign w:val="top"/>
          </w:tcPr>
          <w:p w14:paraId="14FAA262">
            <w:pPr>
              <w:pStyle w:val="6"/>
              <w:spacing w:before="249" w:line="214" w:lineRule="auto"/>
              <w:ind w:left="314"/>
              <w:rPr>
                <w:sz w:val="10"/>
                <w:szCs w:val="10"/>
              </w:rPr>
            </w:pPr>
            <w:r>
              <w:rPr>
                <w:spacing w:val="4"/>
              </w:rPr>
              <w:t>NO</w:t>
            </w:r>
            <w:r>
              <w:rPr>
                <w:spacing w:val="4"/>
                <w:position w:val="-2"/>
                <w:sz w:val="10"/>
                <w:szCs w:val="10"/>
              </w:rPr>
              <w:t>x</w:t>
            </w:r>
          </w:p>
        </w:tc>
        <w:tc>
          <w:tcPr>
            <w:tcW w:w="981" w:type="dxa"/>
            <w:vMerge w:val="continue"/>
            <w:tcBorders>
              <w:top w:val="nil"/>
              <w:bottom w:val="nil"/>
            </w:tcBorders>
            <w:vAlign w:val="top"/>
          </w:tcPr>
          <w:p w14:paraId="57AA5432">
            <w:pPr>
              <w:rPr>
                <w:rFonts w:ascii="Arial"/>
                <w:sz w:val="21"/>
              </w:rPr>
            </w:pPr>
          </w:p>
        </w:tc>
        <w:tc>
          <w:tcPr>
            <w:tcW w:w="1132" w:type="dxa"/>
            <w:vMerge w:val="continue"/>
            <w:tcBorders>
              <w:top w:val="nil"/>
              <w:bottom w:val="nil"/>
            </w:tcBorders>
            <w:vAlign w:val="top"/>
          </w:tcPr>
          <w:p w14:paraId="085AEA35">
            <w:pPr>
              <w:rPr>
                <w:rFonts w:ascii="Arial"/>
                <w:sz w:val="21"/>
              </w:rPr>
            </w:pPr>
          </w:p>
        </w:tc>
        <w:tc>
          <w:tcPr>
            <w:tcW w:w="840" w:type="dxa"/>
            <w:vAlign w:val="top"/>
          </w:tcPr>
          <w:p w14:paraId="2D973216">
            <w:pPr>
              <w:pStyle w:val="6"/>
              <w:spacing w:before="215" w:line="233" w:lineRule="auto"/>
              <w:ind w:left="372"/>
            </w:pPr>
            <w:r>
              <w:t>/</w:t>
            </w:r>
          </w:p>
        </w:tc>
        <w:tc>
          <w:tcPr>
            <w:tcW w:w="978" w:type="dxa"/>
            <w:vAlign w:val="top"/>
          </w:tcPr>
          <w:p w14:paraId="0F2B3851">
            <w:pPr>
              <w:pStyle w:val="6"/>
              <w:spacing w:before="215" w:line="233" w:lineRule="auto"/>
              <w:ind w:left="441"/>
            </w:pPr>
            <w:r>
              <w:t>/</w:t>
            </w:r>
          </w:p>
        </w:tc>
        <w:tc>
          <w:tcPr>
            <w:tcW w:w="843" w:type="dxa"/>
            <w:vAlign w:val="top"/>
          </w:tcPr>
          <w:p w14:paraId="50D15118">
            <w:pPr>
              <w:pStyle w:val="6"/>
              <w:spacing w:before="216" w:line="267" w:lineRule="exact"/>
              <w:ind w:left="223"/>
            </w:pPr>
            <w:r>
              <w:rPr>
                <w:spacing w:val="2"/>
                <w:position w:val="1"/>
              </w:rPr>
              <w:t>7.78</w:t>
            </w:r>
          </w:p>
        </w:tc>
        <w:tc>
          <w:tcPr>
            <w:tcW w:w="700" w:type="dxa"/>
            <w:vMerge w:val="continue"/>
            <w:tcBorders>
              <w:top w:val="nil"/>
              <w:bottom w:val="nil"/>
            </w:tcBorders>
            <w:vAlign w:val="top"/>
          </w:tcPr>
          <w:p w14:paraId="37C8CEE8">
            <w:pPr>
              <w:rPr>
                <w:rFonts w:ascii="Arial"/>
                <w:sz w:val="21"/>
              </w:rPr>
            </w:pPr>
          </w:p>
        </w:tc>
        <w:tc>
          <w:tcPr>
            <w:tcW w:w="700" w:type="dxa"/>
            <w:vMerge w:val="continue"/>
            <w:tcBorders>
              <w:top w:val="nil"/>
              <w:bottom w:val="nil"/>
            </w:tcBorders>
            <w:vAlign w:val="top"/>
          </w:tcPr>
          <w:p w14:paraId="33210BC9">
            <w:pPr>
              <w:rPr>
                <w:rFonts w:ascii="Arial"/>
                <w:sz w:val="21"/>
              </w:rPr>
            </w:pPr>
          </w:p>
        </w:tc>
        <w:tc>
          <w:tcPr>
            <w:tcW w:w="840" w:type="dxa"/>
            <w:vMerge w:val="continue"/>
            <w:tcBorders>
              <w:top w:val="nil"/>
              <w:bottom w:val="nil"/>
            </w:tcBorders>
            <w:vAlign w:val="top"/>
          </w:tcPr>
          <w:p w14:paraId="3A1CDE00">
            <w:pPr>
              <w:rPr>
                <w:rFonts w:ascii="Arial"/>
                <w:sz w:val="21"/>
              </w:rPr>
            </w:pPr>
          </w:p>
        </w:tc>
        <w:tc>
          <w:tcPr>
            <w:tcW w:w="558" w:type="dxa"/>
            <w:vMerge w:val="continue"/>
            <w:tcBorders>
              <w:top w:val="nil"/>
              <w:bottom w:val="nil"/>
            </w:tcBorders>
            <w:vAlign w:val="top"/>
          </w:tcPr>
          <w:p w14:paraId="561E0AFC">
            <w:pPr>
              <w:rPr>
                <w:rFonts w:ascii="Arial"/>
                <w:sz w:val="21"/>
              </w:rPr>
            </w:pPr>
          </w:p>
        </w:tc>
        <w:tc>
          <w:tcPr>
            <w:tcW w:w="843" w:type="dxa"/>
            <w:vMerge w:val="continue"/>
            <w:tcBorders>
              <w:top w:val="nil"/>
              <w:bottom w:val="nil"/>
            </w:tcBorders>
            <w:vAlign w:val="top"/>
          </w:tcPr>
          <w:p w14:paraId="7FD5ABA6">
            <w:pPr>
              <w:rPr>
                <w:rFonts w:ascii="Arial"/>
                <w:sz w:val="21"/>
              </w:rPr>
            </w:pPr>
          </w:p>
        </w:tc>
        <w:tc>
          <w:tcPr>
            <w:tcW w:w="1188" w:type="dxa"/>
            <w:vMerge w:val="continue"/>
            <w:tcBorders>
              <w:top w:val="nil"/>
              <w:bottom w:val="nil"/>
            </w:tcBorders>
            <w:vAlign w:val="top"/>
          </w:tcPr>
          <w:p w14:paraId="142348AD">
            <w:pPr>
              <w:rPr>
                <w:rFonts w:ascii="Arial"/>
                <w:sz w:val="21"/>
              </w:rPr>
            </w:pPr>
          </w:p>
        </w:tc>
        <w:tc>
          <w:tcPr>
            <w:tcW w:w="868" w:type="dxa"/>
            <w:vAlign w:val="top"/>
          </w:tcPr>
          <w:p w14:paraId="3E6A443D">
            <w:pPr>
              <w:pStyle w:val="6"/>
              <w:spacing w:before="216" w:line="268" w:lineRule="exact"/>
              <w:ind w:left="183"/>
            </w:pPr>
            <w:r>
              <w:rPr>
                <w:spacing w:val="2"/>
              </w:rPr>
              <w:t>73~93</w:t>
            </w:r>
          </w:p>
        </w:tc>
        <w:tc>
          <w:tcPr>
            <w:tcW w:w="748" w:type="dxa"/>
            <w:vAlign w:val="top"/>
          </w:tcPr>
          <w:p w14:paraId="0C4C31A5">
            <w:pPr>
              <w:pStyle w:val="6"/>
              <w:spacing w:before="57" w:line="268" w:lineRule="exact"/>
              <w:ind w:left="68"/>
            </w:pPr>
            <w:r>
              <w:rPr>
                <w:spacing w:val="3"/>
              </w:rPr>
              <w:t>0.247~</w:t>
            </w:r>
          </w:p>
          <w:p w14:paraId="7041F44F">
            <w:pPr>
              <w:pStyle w:val="6"/>
              <w:spacing w:before="50" w:line="236" w:lineRule="auto"/>
              <w:ind w:left="121"/>
            </w:pPr>
            <w:r>
              <w:rPr>
                <w:spacing w:val="2"/>
              </w:rPr>
              <w:t>0.752</w:t>
            </w:r>
          </w:p>
        </w:tc>
        <w:tc>
          <w:tcPr>
            <w:tcW w:w="805" w:type="dxa"/>
            <w:vAlign w:val="top"/>
          </w:tcPr>
          <w:p w14:paraId="564EAFE8">
            <w:pPr>
              <w:pStyle w:val="6"/>
              <w:spacing w:before="216" w:line="228" w:lineRule="auto"/>
              <w:ind w:left="196"/>
            </w:pPr>
            <w:r>
              <w:rPr>
                <w:spacing w:val="5"/>
              </w:rPr>
              <w:t>达标</w:t>
            </w:r>
          </w:p>
        </w:tc>
      </w:tr>
      <w:tr w14:paraId="5E67F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030" w:type="dxa"/>
            <w:vMerge w:val="continue"/>
            <w:tcBorders>
              <w:top w:val="nil"/>
            </w:tcBorders>
            <w:vAlign w:val="top"/>
          </w:tcPr>
          <w:p w14:paraId="21CD1E0A">
            <w:pPr>
              <w:rPr>
                <w:rFonts w:ascii="Arial"/>
                <w:sz w:val="21"/>
              </w:rPr>
            </w:pPr>
          </w:p>
        </w:tc>
        <w:tc>
          <w:tcPr>
            <w:tcW w:w="900" w:type="dxa"/>
            <w:vAlign w:val="top"/>
          </w:tcPr>
          <w:p w14:paraId="6264E488">
            <w:pPr>
              <w:pStyle w:val="6"/>
              <w:spacing w:before="59" w:line="228" w:lineRule="auto"/>
              <w:ind w:left="33"/>
            </w:pPr>
            <w:r>
              <w:rPr>
                <w:spacing w:val="7"/>
              </w:rPr>
              <w:t>汞及其化</w:t>
            </w:r>
          </w:p>
          <w:p w14:paraId="496BAA16">
            <w:pPr>
              <w:pStyle w:val="6"/>
              <w:spacing w:before="71" w:line="229" w:lineRule="auto"/>
              <w:ind w:left="245"/>
            </w:pPr>
            <w:r>
              <w:rPr>
                <w:spacing w:val="4"/>
              </w:rPr>
              <w:t>合物</w:t>
            </w:r>
          </w:p>
        </w:tc>
        <w:tc>
          <w:tcPr>
            <w:tcW w:w="981" w:type="dxa"/>
            <w:vMerge w:val="continue"/>
            <w:tcBorders>
              <w:top w:val="nil"/>
            </w:tcBorders>
            <w:vAlign w:val="top"/>
          </w:tcPr>
          <w:p w14:paraId="03899728">
            <w:pPr>
              <w:rPr>
                <w:rFonts w:ascii="Arial"/>
                <w:sz w:val="21"/>
              </w:rPr>
            </w:pPr>
          </w:p>
        </w:tc>
        <w:tc>
          <w:tcPr>
            <w:tcW w:w="1132" w:type="dxa"/>
            <w:vMerge w:val="continue"/>
            <w:tcBorders>
              <w:top w:val="nil"/>
            </w:tcBorders>
            <w:vAlign w:val="top"/>
          </w:tcPr>
          <w:p w14:paraId="4FA8794F">
            <w:pPr>
              <w:rPr>
                <w:rFonts w:ascii="Arial"/>
                <w:sz w:val="21"/>
              </w:rPr>
            </w:pPr>
          </w:p>
        </w:tc>
        <w:tc>
          <w:tcPr>
            <w:tcW w:w="840" w:type="dxa"/>
            <w:vAlign w:val="top"/>
          </w:tcPr>
          <w:p w14:paraId="21564BF9">
            <w:pPr>
              <w:pStyle w:val="6"/>
              <w:spacing w:before="216" w:line="233" w:lineRule="auto"/>
              <w:ind w:left="372"/>
            </w:pPr>
            <w:r>
              <w:t>/</w:t>
            </w:r>
          </w:p>
        </w:tc>
        <w:tc>
          <w:tcPr>
            <w:tcW w:w="978" w:type="dxa"/>
            <w:vAlign w:val="top"/>
          </w:tcPr>
          <w:p w14:paraId="4E74FA76">
            <w:pPr>
              <w:pStyle w:val="6"/>
              <w:spacing w:before="216" w:line="233" w:lineRule="auto"/>
              <w:ind w:left="441"/>
            </w:pPr>
            <w:r>
              <w:t>/</w:t>
            </w:r>
          </w:p>
        </w:tc>
        <w:tc>
          <w:tcPr>
            <w:tcW w:w="843" w:type="dxa"/>
            <w:vAlign w:val="top"/>
          </w:tcPr>
          <w:p w14:paraId="1C017CA9">
            <w:pPr>
              <w:pStyle w:val="6"/>
              <w:spacing w:before="217" w:line="267" w:lineRule="exact"/>
              <w:ind w:left="114"/>
            </w:pPr>
            <w:r>
              <w:rPr>
                <w:spacing w:val="3"/>
                <w:position w:val="1"/>
              </w:rPr>
              <w:t>0.0007</w:t>
            </w:r>
          </w:p>
        </w:tc>
        <w:tc>
          <w:tcPr>
            <w:tcW w:w="700" w:type="dxa"/>
            <w:vMerge w:val="continue"/>
            <w:tcBorders>
              <w:top w:val="nil"/>
            </w:tcBorders>
            <w:vAlign w:val="top"/>
          </w:tcPr>
          <w:p w14:paraId="238CD912">
            <w:pPr>
              <w:rPr>
                <w:rFonts w:ascii="Arial"/>
                <w:sz w:val="21"/>
              </w:rPr>
            </w:pPr>
          </w:p>
        </w:tc>
        <w:tc>
          <w:tcPr>
            <w:tcW w:w="700" w:type="dxa"/>
            <w:vMerge w:val="continue"/>
            <w:tcBorders>
              <w:top w:val="nil"/>
            </w:tcBorders>
            <w:vAlign w:val="top"/>
          </w:tcPr>
          <w:p w14:paraId="3335BBEE">
            <w:pPr>
              <w:rPr>
                <w:rFonts w:ascii="Arial"/>
                <w:sz w:val="21"/>
              </w:rPr>
            </w:pPr>
          </w:p>
        </w:tc>
        <w:tc>
          <w:tcPr>
            <w:tcW w:w="840" w:type="dxa"/>
            <w:vMerge w:val="continue"/>
            <w:tcBorders>
              <w:top w:val="nil"/>
            </w:tcBorders>
            <w:vAlign w:val="top"/>
          </w:tcPr>
          <w:p w14:paraId="691BDAA0">
            <w:pPr>
              <w:rPr>
                <w:rFonts w:ascii="Arial"/>
                <w:sz w:val="21"/>
              </w:rPr>
            </w:pPr>
          </w:p>
        </w:tc>
        <w:tc>
          <w:tcPr>
            <w:tcW w:w="558" w:type="dxa"/>
            <w:vMerge w:val="continue"/>
            <w:tcBorders>
              <w:top w:val="nil"/>
            </w:tcBorders>
            <w:vAlign w:val="top"/>
          </w:tcPr>
          <w:p w14:paraId="08293A16">
            <w:pPr>
              <w:rPr>
                <w:rFonts w:ascii="Arial"/>
                <w:sz w:val="21"/>
              </w:rPr>
            </w:pPr>
          </w:p>
        </w:tc>
        <w:tc>
          <w:tcPr>
            <w:tcW w:w="843" w:type="dxa"/>
            <w:vMerge w:val="continue"/>
            <w:tcBorders>
              <w:top w:val="nil"/>
            </w:tcBorders>
            <w:vAlign w:val="top"/>
          </w:tcPr>
          <w:p w14:paraId="5674740B">
            <w:pPr>
              <w:rPr>
                <w:rFonts w:ascii="Arial"/>
                <w:sz w:val="21"/>
              </w:rPr>
            </w:pPr>
          </w:p>
        </w:tc>
        <w:tc>
          <w:tcPr>
            <w:tcW w:w="1188" w:type="dxa"/>
            <w:vMerge w:val="continue"/>
            <w:tcBorders>
              <w:top w:val="nil"/>
            </w:tcBorders>
            <w:vAlign w:val="top"/>
          </w:tcPr>
          <w:p w14:paraId="64B92CF0">
            <w:pPr>
              <w:rPr>
                <w:rFonts w:ascii="Arial"/>
                <w:sz w:val="21"/>
              </w:rPr>
            </w:pPr>
          </w:p>
        </w:tc>
        <w:tc>
          <w:tcPr>
            <w:tcW w:w="868" w:type="dxa"/>
            <w:vAlign w:val="top"/>
          </w:tcPr>
          <w:p w14:paraId="6031C0E4">
            <w:pPr>
              <w:pStyle w:val="6"/>
              <w:spacing w:before="58" w:line="268" w:lineRule="exact"/>
              <w:ind w:left="75"/>
            </w:pPr>
            <w:r>
              <w:rPr>
                <w:spacing w:val="3"/>
                <w:position w:val="1"/>
              </w:rPr>
              <w:t>0.00000</w:t>
            </w:r>
          </w:p>
          <w:p w14:paraId="4A55ADE2">
            <w:pPr>
              <w:pStyle w:val="6"/>
              <w:spacing w:before="51" w:line="235" w:lineRule="auto"/>
              <w:ind w:left="392"/>
            </w:pPr>
            <w:r>
              <w:t>7</w:t>
            </w:r>
          </w:p>
        </w:tc>
        <w:tc>
          <w:tcPr>
            <w:tcW w:w="748" w:type="dxa"/>
            <w:vAlign w:val="top"/>
          </w:tcPr>
          <w:p w14:paraId="5F3102B9">
            <w:pPr>
              <w:pStyle w:val="6"/>
              <w:spacing w:before="58" w:line="268" w:lineRule="exact"/>
              <w:ind w:left="68"/>
            </w:pPr>
            <w:r>
              <w:rPr>
                <w:spacing w:val="3"/>
                <w:position w:val="1"/>
              </w:rPr>
              <w:t>0.0000</w:t>
            </w:r>
          </w:p>
          <w:p w14:paraId="092A7C3B">
            <w:pPr>
              <w:pStyle w:val="6"/>
              <w:spacing w:before="51" w:line="235" w:lineRule="auto"/>
              <w:ind w:left="330"/>
            </w:pPr>
            <w:r>
              <w:t>6</w:t>
            </w:r>
          </w:p>
        </w:tc>
        <w:tc>
          <w:tcPr>
            <w:tcW w:w="805" w:type="dxa"/>
            <w:vAlign w:val="top"/>
          </w:tcPr>
          <w:p w14:paraId="45F617F9">
            <w:pPr>
              <w:pStyle w:val="6"/>
              <w:spacing w:before="217" w:line="228" w:lineRule="auto"/>
              <w:ind w:left="196"/>
            </w:pPr>
            <w:r>
              <w:rPr>
                <w:spacing w:val="5"/>
              </w:rPr>
              <w:t>达标</w:t>
            </w:r>
          </w:p>
        </w:tc>
      </w:tr>
      <w:tr w14:paraId="2D15F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30" w:type="dxa"/>
            <w:vMerge w:val="restart"/>
            <w:tcBorders>
              <w:bottom w:val="nil"/>
            </w:tcBorders>
            <w:vAlign w:val="top"/>
          </w:tcPr>
          <w:p w14:paraId="512D0CCE">
            <w:pPr>
              <w:spacing w:line="321" w:lineRule="auto"/>
              <w:rPr>
                <w:rFonts w:ascii="Arial"/>
                <w:sz w:val="21"/>
              </w:rPr>
            </w:pPr>
          </w:p>
          <w:p w14:paraId="75B3190B">
            <w:pPr>
              <w:spacing w:line="322" w:lineRule="auto"/>
              <w:rPr>
                <w:rFonts w:ascii="Arial"/>
                <w:sz w:val="21"/>
              </w:rPr>
            </w:pPr>
          </w:p>
          <w:p w14:paraId="2E868A4C">
            <w:pPr>
              <w:pStyle w:val="6"/>
              <w:spacing w:before="65" w:line="229" w:lineRule="auto"/>
              <w:ind w:left="312"/>
            </w:pPr>
            <w:r>
              <w:rPr>
                <w:spacing w:val="4"/>
              </w:rPr>
              <w:t>合计</w:t>
            </w:r>
          </w:p>
        </w:tc>
        <w:tc>
          <w:tcPr>
            <w:tcW w:w="3013" w:type="dxa"/>
            <w:gridSpan w:val="3"/>
            <w:vAlign w:val="top"/>
          </w:tcPr>
          <w:p w14:paraId="049E4D1C">
            <w:pPr>
              <w:pStyle w:val="6"/>
              <w:spacing w:before="60" w:line="228" w:lineRule="auto"/>
              <w:ind w:left="1193"/>
            </w:pPr>
            <w:r>
              <w:rPr>
                <w:spacing w:val="7"/>
              </w:rPr>
              <w:t>颗粒物</w:t>
            </w:r>
          </w:p>
        </w:tc>
        <w:tc>
          <w:tcPr>
            <w:tcW w:w="840" w:type="dxa"/>
            <w:vAlign w:val="top"/>
          </w:tcPr>
          <w:p w14:paraId="54859F94">
            <w:pPr>
              <w:pStyle w:val="6"/>
              <w:spacing w:before="59" w:line="235" w:lineRule="auto"/>
              <w:ind w:left="115"/>
            </w:pPr>
            <w:r>
              <w:rPr>
                <w:spacing w:val="2"/>
              </w:rPr>
              <w:t>378.16</w:t>
            </w:r>
          </w:p>
        </w:tc>
        <w:tc>
          <w:tcPr>
            <w:tcW w:w="978" w:type="dxa"/>
            <w:vAlign w:val="top"/>
          </w:tcPr>
          <w:p w14:paraId="73A3E0A6">
            <w:pPr>
              <w:pStyle w:val="6"/>
              <w:spacing w:before="59" w:line="235" w:lineRule="auto"/>
              <w:ind w:left="132"/>
            </w:pPr>
            <w:r>
              <w:rPr>
                <w:spacing w:val="3"/>
              </w:rPr>
              <w:t>349.765</w:t>
            </w:r>
          </w:p>
        </w:tc>
        <w:tc>
          <w:tcPr>
            <w:tcW w:w="843" w:type="dxa"/>
            <w:vAlign w:val="top"/>
          </w:tcPr>
          <w:p w14:paraId="3E7BE10A">
            <w:pPr>
              <w:pStyle w:val="6"/>
              <w:spacing w:before="59" w:line="235" w:lineRule="auto"/>
              <w:ind w:left="115"/>
            </w:pPr>
            <w:r>
              <w:rPr>
                <w:spacing w:val="3"/>
              </w:rPr>
              <w:t>28.395</w:t>
            </w:r>
          </w:p>
        </w:tc>
        <w:tc>
          <w:tcPr>
            <w:tcW w:w="700" w:type="dxa"/>
            <w:vAlign w:val="top"/>
          </w:tcPr>
          <w:p w14:paraId="6404F5DD">
            <w:pPr>
              <w:pStyle w:val="6"/>
              <w:spacing w:before="59" w:line="233" w:lineRule="auto"/>
              <w:ind w:left="303"/>
            </w:pPr>
            <w:r>
              <w:t>/</w:t>
            </w:r>
          </w:p>
        </w:tc>
        <w:tc>
          <w:tcPr>
            <w:tcW w:w="700" w:type="dxa"/>
            <w:vAlign w:val="top"/>
          </w:tcPr>
          <w:p w14:paraId="26A9BE7F">
            <w:pPr>
              <w:pStyle w:val="6"/>
              <w:spacing w:before="59" w:line="233" w:lineRule="auto"/>
              <w:ind w:left="303"/>
            </w:pPr>
            <w:r>
              <w:t>/</w:t>
            </w:r>
          </w:p>
        </w:tc>
        <w:tc>
          <w:tcPr>
            <w:tcW w:w="840" w:type="dxa"/>
            <w:vAlign w:val="top"/>
          </w:tcPr>
          <w:p w14:paraId="031CA584">
            <w:pPr>
              <w:pStyle w:val="6"/>
              <w:spacing w:before="59" w:line="233" w:lineRule="auto"/>
              <w:ind w:left="371"/>
            </w:pPr>
            <w:r>
              <w:t>/</w:t>
            </w:r>
          </w:p>
        </w:tc>
        <w:tc>
          <w:tcPr>
            <w:tcW w:w="558" w:type="dxa"/>
            <w:vAlign w:val="top"/>
          </w:tcPr>
          <w:p w14:paraId="7080D6AD">
            <w:pPr>
              <w:pStyle w:val="6"/>
              <w:spacing w:before="59" w:line="233" w:lineRule="auto"/>
              <w:ind w:left="232"/>
            </w:pPr>
            <w:r>
              <w:t>/</w:t>
            </w:r>
          </w:p>
        </w:tc>
        <w:tc>
          <w:tcPr>
            <w:tcW w:w="843" w:type="dxa"/>
            <w:vAlign w:val="top"/>
          </w:tcPr>
          <w:p w14:paraId="7DCEFBF7">
            <w:pPr>
              <w:pStyle w:val="6"/>
              <w:spacing w:before="59" w:line="233" w:lineRule="auto"/>
              <w:ind w:left="375"/>
            </w:pPr>
            <w:r>
              <w:t>/</w:t>
            </w:r>
          </w:p>
        </w:tc>
        <w:tc>
          <w:tcPr>
            <w:tcW w:w="1188" w:type="dxa"/>
            <w:vAlign w:val="top"/>
          </w:tcPr>
          <w:p w14:paraId="00B96E2B">
            <w:pPr>
              <w:pStyle w:val="6"/>
              <w:spacing w:before="59" w:line="233" w:lineRule="auto"/>
              <w:ind w:left="547"/>
            </w:pPr>
            <w:r>
              <w:t>/</w:t>
            </w:r>
          </w:p>
        </w:tc>
        <w:tc>
          <w:tcPr>
            <w:tcW w:w="868" w:type="dxa"/>
            <w:vAlign w:val="top"/>
          </w:tcPr>
          <w:p w14:paraId="0774DB80">
            <w:pPr>
              <w:pStyle w:val="6"/>
              <w:spacing w:before="59" w:line="233" w:lineRule="auto"/>
              <w:ind w:left="386"/>
            </w:pPr>
            <w:r>
              <w:t>/</w:t>
            </w:r>
          </w:p>
        </w:tc>
        <w:tc>
          <w:tcPr>
            <w:tcW w:w="748" w:type="dxa"/>
            <w:vAlign w:val="top"/>
          </w:tcPr>
          <w:p w14:paraId="5A5E53FF">
            <w:pPr>
              <w:pStyle w:val="6"/>
              <w:spacing w:before="59" w:line="233" w:lineRule="auto"/>
              <w:ind w:left="327"/>
            </w:pPr>
            <w:r>
              <w:t>/</w:t>
            </w:r>
          </w:p>
        </w:tc>
        <w:tc>
          <w:tcPr>
            <w:tcW w:w="805" w:type="dxa"/>
            <w:vAlign w:val="top"/>
          </w:tcPr>
          <w:p w14:paraId="1D995BCB">
            <w:pPr>
              <w:pStyle w:val="6"/>
              <w:spacing w:before="60" w:line="228" w:lineRule="auto"/>
              <w:ind w:left="196"/>
            </w:pPr>
            <w:r>
              <w:rPr>
                <w:spacing w:val="5"/>
              </w:rPr>
              <w:t>达标</w:t>
            </w:r>
          </w:p>
        </w:tc>
      </w:tr>
      <w:tr w14:paraId="2827B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30" w:type="dxa"/>
            <w:vMerge w:val="continue"/>
            <w:tcBorders>
              <w:top w:val="nil"/>
              <w:bottom w:val="nil"/>
            </w:tcBorders>
            <w:vAlign w:val="top"/>
          </w:tcPr>
          <w:p w14:paraId="37CC24DC">
            <w:pPr>
              <w:rPr>
                <w:rFonts w:ascii="Arial"/>
                <w:sz w:val="21"/>
              </w:rPr>
            </w:pPr>
          </w:p>
        </w:tc>
        <w:tc>
          <w:tcPr>
            <w:tcW w:w="3013" w:type="dxa"/>
            <w:gridSpan w:val="3"/>
            <w:vAlign w:val="top"/>
          </w:tcPr>
          <w:p w14:paraId="31CC4554">
            <w:pPr>
              <w:pStyle w:val="6"/>
              <w:spacing w:before="93" w:line="204" w:lineRule="auto"/>
              <w:ind w:left="1380"/>
              <w:rPr>
                <w:sz w:val="10"/>
                <w:szCs w:val="10"/>
              </w:rPr>
            </w:pPr>
            <w:r>
              <w:t>SO</w:t>
            </w:r>
            <w:r>
              <w:rPr>
                <w:spacing w:val="5"/>
                <w:position w:val="-2"/>
                <w:sz w:val="10"/>
                <w:szCs w:val="10"/>
              </w:rPr>
              <w:t>2</w:t>
            </w:r>
          </w:p>
        </w:tc>
        <w:tc>
          <w:tcPr>
            <w:tcW w:w="840" w:type="dxa"/>
            <w:vAlign w:val="top"/>
          </w:tcPr>
          <w:p w14:paraId="5DD0EC14">
            <w:pPr>
              <w:pStyle w:val="6"/>
              <w:spacing w:before="59" w:line="233" w:lineRule="auto"/>
              <w:ind w:left="372"/>
            </w:pPr>
            <w:r>
              <w:t>/</w:t>
            </w:r>
          </w:p>
        </w:tc>
        <w:tc>
          <w:tcPr>
            <w:tcW w:w="978" w:type="dxa"/>
            <w:vAlign w:val="top"/>
          </w:tcPr>
          <w:p w14:paraId="6ECB333D">
            <w:pPr>
              <w:pStyle w:val="6"/>
              <w:spacing w:before="59" w:line="233" w:lineRule="auto"/>
              <w:ind w:left="441"/>
            </w:pPr>
            <w:r>
              <w:t>/</w:t>
            </w:r>
          </w:p>
        </w:tc>
        <w:tc>
          <w:tcPr>
            <w:tcW w:w="843" w:type="dxa"/>
            <w:vAlign w:val="top"/>
          </w:tcPr>
          <w:p w14:paraId="3A09C322">
            <w:pPr>
              <w:pStyle w:val="6"/>
              <w:spacing w:before="59" w:line="235" w:lineRule="auto"/>
              <w:ind w:left="222"/>
            </w:pPr>
            <w:r>
              <w:rPr>
                <w:spacing w:val="2"/>
              </w:rPr>
              <w:t>3.30</w:t>
            </w:r>
          </w:p>
        </w:tc>
        <w:tc>
          <w:tcPr>
            <w:tcW w:w="700" w:type="dxa"/>
            <w:vMerge w:val="restart"/>
            <w:tcBorders>
              <w:bottom w:val="nil"/>
            </w:tcBorders>
            <w:vAlign w:val="top"/>
          </w:tcPr>
          <w:p w14:paraId="77EB51EA">
            <w:pPr>
              <w:pStyle w:val="6"/>
              <w:spacing w:before="68" w:line="241" w:lineRule="auto"/>
              <w:ind w:left="96"/>
            </w:pPr>
            <w:r>
              <w:rPr>
                <w:spacing w:val="3"/>
              </w:rPr>
              <w:t>30（4</w:t>
            </w:r>
          </w:p>
          <w:p w14:paraId="11A8FA3B">
            <w:pPr>
              <w:pStyle w:val="6"/>
              <w:spacing w:before="58" w:line="228" w:lineRule="auto"/>
              <w:ind w:left="42"/>
            </w:pPr>
            <w:r>
              <w:t>根）、</w:t>
            </w:r>
          </w:p>
          <w:p w14:paraId="13AE7FDA">
            <w:pPr>
              <w:pStyle w:val="6"/>
              <w:spacing w:before="71" w:line="241" w:lineRule="auto"/>
              <w:ind w:left="91"/>
            </w:pPr>
            <w:r>
              <w:rPr>
                <w:spacing w:val="4"/>
              </w:rPr>
              <w:t>40（1</w:t>
            </w:r>
          </w:p>
          <w:p w14:paraId="28709544">
            <w:pPr>
              <w:pStyle w:val="6"/>
              <w:spacing w:before="58" w:line="228" w:lineRule="auto"/>
              <w:ind w:left="147"/>
            </w:pPr>
            <w:r>
              <w:t>根）</w:t>
            </w:r>
          </w:p>
        </w:tc>
        <w:tc>
          <w:tcPr>
            <w:tcW w:w="700" w:type="dxa"/>
            <w:vMerge w:val="restart"/>
            <w:tcBorders>
              <w:bottom w:val="nil"/>
            </w:tcBorders>
            <w:vAlign w:val="top"/>
          </w:tcPr>
          <w:p w14:paraId="6140E949">
            <w:pPr>
              <w:spacing w:line="478" w:lineRule="auto"/>
              <w:rPr>
                <w:rFonts w:ascii="Arial"/>
                <w:sz w:val="21"/>
              </w:rPr>
            </w:pPr>
          </w:p>
          <w:p w14:paraId="55B17BC1">
            <w:pPr>
              <w:pStyle w:val="6"/>
              <w:spacing w:before="65" w:line="269" w:lineRule="exact"/>
              <w:ind w:left="214"/>
            </w:pPr>
            <w:r>
              <w:rPr>
                <w:spacing w:val="-3"/>
                <w:position w:val="1"/>
              </w:rPr>
              <w:t>120</w:t>
            </w:r>
          </w:p>
        </w:tc>
        <w:tc>
          <w:tcPr>
            <w:tcW w:w="840" w:type="dxa"/>
            <w:vMerge w:val="restart"/>
            <w:tcBorders>
              <w:bottom w:val="nil"/>
            </w:tcBorders>
            <w:vAlign w:val="top"/>
          </w:tcPr>
          <w:p w14:paraId="2A0C4B57">
            <w:pPr>
              <w:spacing w:line="321" w:lineRule="auto"/>
              <w:rPr>
                <w:rFonts w:ascii="Arial"/>
                <w:sz w:val="21"/>
              </w:rPr>
            </w:pPr>
          </w:p>
          <w:p w14:paraId="7A34E16C">
            <w:pPr>
              <w:pStyle w:val="6"/>
              <w:spacing w:before="65" w:line="268" w:lineRule="exact"/>
              <w:ind w:left="62"/>
            </w:pPr>
            <w:r>
              <w:rPr>
                <w:spacing w:val="3"/>
              </w:rPr>
              <w:t>3500~80</w:t>
            </w:r>
          </w:p>
          <w:p w14:paraId="358E4B76">
            <w:pPr>
              <w:pStyle w:val="6"/>
              <w:spacing w:before="50" w:line="269" w:lineRule="exact"/>
              <w:ind w:left="324"/>
            </w:pPr>
            <w:r>
              <w:rPr>
                <w:position w:val="1"/>
              </w:rPr>
              <w:t>00</w:t>
            </w:r>
          </w:p>
        </w:tc>
        <w:tc>
          <w:tcPr>
            <w:tcW w:w="558" w:type="dxa"/>
            <w:vMerge w:val="restart"/>
            <w:tcBorders>
              <w:bottom w:val="nil"/>
            </w:tcBorders>
            <w:vAlign w:val="top"/>
          </w:tcPr>
          <w:p w14:paraId="5B7A11E8">
            <w:pPr>
              <w:spacing w:line="478" w:lineRule="auto"/>
              <w:rPr>
                <w:rFonts w:ascii="Arial"/>
                <w:sz w:val="21"/>
              </w:rPr>
            </w:pPr>
          </w:p>
          <w:p w14:paraId="36644671">
            <w:pPr>
              <w:pStyle w:val="6"/>
              <w:spacing w:before="65" w:line="268" w:lineRule="exact"/>
              <w:ind w:left="129"/>
            </w:pPr>
            <w:r>
              <w:rPr>
                <w:spacing w:val="1"/>
                <w:position w:val="1"/>
              </w:rPr>
              <w:t>0.3</w:t>
            </w:r>
          </w:p>
        </w:tc>
        <w:tc>
          <w:tcPr>
            <w:tcW w:w="843" w:type="dxa"/>
            <w:vMerge w:val="restart"/>
            <w:tcBorders>
              <w:bottom w:val="nil"/>
            </w:tcBorders>
            <w:vAlign w:val="top"/>
          </w:tcPr>
          <w:p w14:paraId="59DF309D">
            <w:pPr>
              <w:spacing w:line="478" w:lineRule="auto"/>
              <w:rPr>
                <w:rFonts w:ascii="Arial"/>
                <w:sz w:val="21"/>
              </w:rPr>
            </w:pPr>
          </w:p>
          <w:p w14:paraId="2104ADDC">
            <w:pPr>
              <w:pStyle w:val="6"/>
              <w:spacing w:before="65" w:line="269" w:lineRule="exact"/>
              <w:ind w:left="217"/>
            </w:pPr>
            <w:r>
              <w:rPr>
                <w:spacing w:val="3"/>
                <w:position w:val="1"/>
              </w:rPr>
              <w:t>4320</w:t>
            </w:r>
          </w:p>
        </w:tc>
        <w:tc>
          <w:tcPr>
            <w:tcW w:w="1188" w:type="dxa"/>
            <w:vAlign w:val="top"/>
          </w:tcPr>
          <w:p w14:paraId="3AC0CDC7">
            <w:pPr>
              <w:pStyle w:val="6"/>
              <w:spacing w:before="59" w:line="233" w:lineRule="auto"/>
              <w:ind w:left="547"/>
            </w:pPr>
            <w:r>
              <w:t>/</w:t>
            </w:r>
          </w:p>
        </w:tc>
        <w:tc>
          <w:tcPr>
            <w:tcW w:w="868" w:type="dxa"/>
            <w:vAlign w:val="top"/>
          </w:tcPr>
          <w:p w14:paraId="68B9878D">
            <w:pPr>
              <w:pStyle w:val="6"/>
              <w:spacing w:before="59" w:line="233" w:lineRule="auto"/>
              <w:ind w:left="386"/>
            </w:pPr>
            <w:r>
              <w:t>/</w:t>
            </w:r>
          </w:p>
        </w:tc>
        <w:tc>
          <w:tcPr>
            <w:tcW w:w="748" w:type="dxa"/>
            <w:vAlign w:val="top"/>
          </w:tcPr>
          <w:p w14:paraId="0DABC1BE">
            <w:pPr>
              <w:pStyle w:val="6"/>
              <w:spacing w:before="59" w:line="233" w:lineRule="auto"/>
              <w:ind w:left="327"/>
            </w:pPr>
            <w:r>
              <w:t>/</w:t>
            </w:r>
          </w:p>
        </w:tc>
        <w:tc>
          <w:tcPr>
            <w:tcW w:w="805" w:type="dxa"/>
            <w:vAlign w:val="top"/>
          </w:tcPr>
          <w:p w14:paraId="128DF685">
            <w:pPr>
              <w:pStyle w:val="6"/>
              <w:spacing w:before="59" w:line="228" w:lineRule="auto"/>
              <w:ind w:left="196"/>
            </w:pPr>
            <w:r>
              <w:rPr>
                <w:spacing w:val="5"/>
              </w:rPr>
              <w:t>达标</w:t>
            </w:r>
          </w:p>
        </w:tc>
      </w:tr>
      <w:tr w14:paraId="4D7CA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30" w:type="dxa"/>
            <w:vMerge w:val="continue"/>
            <w:tcBorders>
              <w:top w:val="nil"/>
              <w:bottom w:val="nil"/>
            </w:tcBorders>
            <w:vAlign w:val="top"/>
          </w:tcPr>
          <w:p w14:paraId="48FE7461">
            <w:pPr>
              <w:rPr>
                <w:rFonts w:ascii="Arial"/>
                <w:sz w:val="21"/>
              </w:rPr>
            </w:pPr>
          </w:p>
        </w:tc>
        <w:tc>
          <w:tcPr>
            <w:tcW w:w="3013" w:type="dxa"/>
            <w:gridSpan w:val="3"/>
            <w:vAlign w:val="top"/>
          </w:tcPr>
          <w:p w14:paraId="7276CB29">
            <w:pPr>
              <w:pStyle w:val="6"/>
              <w:spacing w:before="91" w:line="205" w:lineRule="auto"/>
              <w:ind w:left="1373"/>
              <w:rPr>
                <w:sz w:val="10"/>
                <w:szCs w:val="10"/>
              </w:rPr>
            </w:pPr>
            <w:r>
              <w:rPr>
                <w:spacing w:val="4"/>
              </w:rPr>
              <w:t>NO</w:t>
            </w:r>
            <w:r>
              <w:rPr>
                <w:spacing w:val="4"/>
                <w:position w:val="-2"/>
                <w:sz w:val="10"/>
                <w:szCs w:val="10"/>
              </w:rPr>
              <w:t>x</w:t>
            </w:r>
          </w:p>
        </w:tc>
        <w:tc>
          <w:tcPr>
            <w:tcW w:w="840" w:type="dxa"/>
            <w:vAlign w:val="top"/>
          </w:tcPr>
          <w:p w14:paraId="2F593FBD">
            <w:pPr>
              <w:pStyle w:val="6"/>
              <w:spacing w:before="58" w:line="233" w:lineRule="auto"/>
              <w:ind w:left="372"/>
            </w:pPr>
            <w:r>
              <w:t>/</w:t>
            </w:r>
          </w:p>
        </w:tc>
        <w:tc>
          <w:tcPr>
            <w:tcW w:w="978" w:type="dxa"/>
            <w:vAlign w:val="top"/>
          </w:tcPr>
          <w:p w14:paraId="185FB99A">
            <w:pPr>
              <w:pStyle w:val="6"/>
              <w:spacing w:before="58" w:line="233" w:lineRule="auto"/>
              <w:ind w:left="441"/>
            </w:pPr>
            <w:r>
              <w:t>/</w:t>
            </w:r>
          </w:p>
        </w:tc>
        <w:tc>
          <w:tcPr>
            <w:tcW w:w="843" w:type="dxa"/>
            <w:vAlign w:val="top"/>
          </w:tcPr>
          <w:p w14:paraId="4EF55D0B">
            <w:pPr>
              <w:pStyle w:val="6"/>
              <w:spacing w:before="59" w:line="235" w:lineRule="auto"/>
              <w:ind w:left="223"/>
            </w:pPr>
            <w:r>
              <w:rPr>
                <w:spacing w:val="2"/>
              </w:rPr>
              <w:t>7.78</w:t>
            </w:r>
          </w:p>
        </w:tc>
        <w:tc>
          <w:tcPr>
            <w:tcW w:w="700" w:type="dxa"/>
            <w:vMerge w:val="continue"/>
            <w:tcBorders>
              <w:top w:val="nil"/>
              <w:bottom w:val="nil"/>
            </w:tcBorders>
            <w:vAlign w:val="top"/>
          </w:tcPr>
          <w:p w14:paraId="5E13BBBE">
            <w:pPr>
              <w:rPr>
                <w:rFonts w:ascii="Arial"/>
                <w:sz w:val="21"/>
              </w:rPr>
            </w:pPr>
          </w:p>
        </w:tc>
        <w:tc>
          <w:tcPr>
            <w:tcW w:w="700" w:type="dxa"/>
            <w:vMerge w:val="continue"/>
            <w:tcBorders>
              <w:top w:val="nil"/>
              <w:bottom w:val="nil"/>
            </w:tcBorders>
            <w:vAlign w:val="top"/>
          </w:tcPr>
          <w:p w14:paraId="76FA024B">
            <w:pPr>
              <w:rPr>
                <w:rFonts w:ascii="Arial"/>
                <w:sz w:val="21"/>
              </w:rPr>
            </w:pPr>
          </w:p>
        </w:tc>
        <w:tc>
          <w:tcPr>
            <w:tcW w:w="840" w:type="dxa"/>
            <w:vMerge w:val="continue"/>
            <w:tcBorders>
              <w:top w:val="nil"/>
              <w:bottom w:val="nil"/>
            </w:tcBorders>
            <w:vAlign w:val="top"/>
          </w:tcPr>
          <w:p w14:paraId="709BBE92">
            <w:pPr>
              <w:rPr>
                <w:rFonts w:ascii="Arial"/>
                <w:sz w:val="21"/>
              </w:rPr>
            </w:pPr>
          </w:p>
        </w:tc>
        <w:tc>
          <w:tcPr>
            <w:tcW w:w="558" w:type="dxa"/>
            <w:vMerge w:val="continue"/>
            <w:tcBorders>
              <w:top w:val="nil"/>
              <w:bottom w:val="nil"/>
            </w:tcBorders>
            <w:vAlign w:val="top"/>
          </w:tcPr>
          <w:p w14:paraId="1CCA02B7">
            <w:pPr>
              <w:rPr>
                <w:rFonts w:ascii="Arial"/>
                <w:sz w:val="21"/>
              </w:rPr>
            </w:pPr>
          </w:p>
        </w:tc>
        <w:tc>
          <w:tcPr>
            <w:tcW w:w="843" w:type="dxa"/>
            <w:vMerge w:val="continue"/>
            <w:tcBorders>
              <w:top w:val="nil"/>
              <w:bottom w:val="nil"/>
            </w:tcBorders>
            <w:vAlign w:val="top"/>
          </w:tcPr>
          <w:p w14:paraId="5601CEC1">
            <w:pPr>
              <w:rPr>
                <w:rFonts w:ascii="Arial"/>
                <w:sz w:val="21"/>
              </w:rPr>
            </w:pPr>
          </w:p>
        </w:tc>
        <w:tc>
          <w:tcPr>
            <w:tcW w:w="1188" w:type="dxa"/>
            <w:vAlign w:val="top"/>
          </w:tcPr>
          <w:p w14:paraId="2F0C2FD7">
            <w:pPr>
              <w:pStyle w:val="6"/>
              <w:spacing w:before="58" w:line="233" w:lineRule="auto"/>
              <w:ind w:left="547"/>
            </w:pPr>
            <w:r>
              <w:t>/</w:t>
            </w:r>
          </w:p>
        </w:tc>
        <w:tc>
          <w:tcPr>
            <w:tcW w:w="868" w:type="dxa"/>
            <w:vAlign w:val="top"/>
          </w:tcPr>
          <w:p w14:paraId="275DD015">
            <w:pPr>
              <w:pStyle w:val="6"/>
              <w:spacing w:before="58" w:line="233" w:lineRule="auto"/>
              <w:ind w:left="386"/>
            </w:pPr>
            <w:r>
              <w:t>/</w:t>
            </w:r>
          </w:p>
        </w:tc>
        <w:tc>
          <w:tcPr>
            <w:tcW w:w="748" w:type="dxa"/>
            <w:vAlign w:val="top"/>
          </w:tcPr>
          <w:p w14:paraId="6E000CE4">
            <w:pPr>
              <w:pStyle w:val="6"/>
              <w:spacing w:before="58" w:line="233" w:lineRule="auto"/>
              <w:ind w:left="327"/>
            </w:pPr>
            <w:r>
              <w:t>/</w:t>
            </w:r>
          </w:p>
        </w:tc>
        <w:tc>
          <w:tcPr>
            <w:tcW w:w="805" w:type="dxa"/>
            <w:vAlign w:val="top"/>
          </w:tcPr>
          <w:p w14:paraId="0F18DC0D">
            <w:pPr>
              <w:pStyle w:val="6"/>
              <w:spacing w:before="59" w:line="228" w:lineRule="auto"/>
              <w:ind w:left="196"/>
            </w:pPr>
            <w:r>
              <w:rPr>
                <w:spacing w:val="5"/>
              </w:rPr>
              <w:t>达标</w:t>
            </w:r>
          </w:p>
        </w:tc>
      </w:tr>
      <w:tr w14:paraId="37D7D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030" w:type="dxa"/>
            <w:vMerge w:val="continue"/>
            <w:tcBorders>
              <w:top w:val="nil"/>
            </w:tcBorders>
            <w:vAlign w:val="top"/>
          </w:tcPr>
          <w:p w14:paraId="72B3386F">
            <w:pPr>
              <w:rPr>
                <w:rFonts w:ascii="Arial"/>
                <w:sz w:val="21"/>
              </w:rPr>
            </w:pPr>
          </w:p>
        </w:tc>
        <w:tc>
          <w:tcPr>
            <w:tcW w:w="3013" w:type="dxa"/>
            <w:gridSpan w:val="3"/>
            <w:vAlign w:val="top"/>
          </w:tcPr>
          <w:p w14:paraId="57B80FAA">
            <w:pPr>
              <w:pStyle w:val="6"/>
              <w:spacing w:before="217" w:line="228" w:lineRule="auto"/>
              <w:ind w:left="881"/>
            </w:pPr>
            <w:r>
              <w:rPr>
                <w:spacing w:val="8"/>
              </w:rPr>
              <w:t>汞及其化合物</w:t>
            </w:r>
          </w:p>
        </w:tc>
        <w:tc>
          <w:tcPr>
            <w:tcW w:w="840" w:type="dxa"/>
            <w:vAlign w:val="top"/>
          </w:tcPr>
          <w:p w14:paraId="024EB570">
            <w:pPr>
              <w:pStyle w:val="6"/>
              <w:spacing w:before="217" w:line="233" w:lineRule="auto"/>
              <w:ind w:left="372"/>
            </w:pPr>
            <w:r>
              <w:t>/</w:t>
            </w:r>
          </w:p>
        </w:tc>
        <w:tc>
          <w:tcPr>
            <w:tcW w:w="978" w:type="dxa"/>
            <w:vAlign w:val="top"/>
          </w:tcPr>
          <w:p w14:paraId="344AFBD3">
            <w:pPr>
              <w:pStyle w:val="6"/>
              <w:spacing w:before="217" w:line="233" w:lineRule="auto"/>
              <w:ind w:left="441"/>
            </w:pPr>
            <w:r>
              <w:t>/</w:t>
            </w:r>
          </w:p>
        </w:tc>
        <w:tc>
          <w:tcPr>
            <w:tcW w:w="843" w:type="dxa"/>
            <w:vAlign w:val="top"/>
          </w:tcPr>
          <w:p w14:paraId="61923A86">
            <w:pPr>
              <w:pStyle w:val="6"/>
              <w:spacing w:before="217" w:line="268" w:lineRule="exact"/>
              <w:ind w:left="114"/>
            </w:pPr>
            <w:r>
              <w:rPr>
                <w:spacing w:val="3"/>
                <w:position w:val="1"/>
              </w:rPr>
              <w:t>0.0007</w:t>
            </w:r>
          </w:p>
        </w:tc>
        <w:tc>
          <w:tcPr>
            <w:tcW w:w="700" w:type="dxa"/>
            <w:vMerge w:val="continue"/>
            <w:tcBorders>
              <w:top w:val="nil"/>
            </w:tcBorders>
            <w:vAlign w:val="top"/>
          </w:tcPr>
          <w:p w14:paraId="4E5D81ED">
            <w:pPr>
              <w:rPr>
                <w:rFonts w:ascii="Arial"/>
                <w:sz w:val="21"/>
              </w:rPr>
            </w:pPr>
          </w:p>
        </w:tc>
        <w:tc>
          <w:tcPr>
            <w:tcW w:w="700" w:type="dxa"/>
            <w:vMerge w:val="continue"/>
            <w:tcBorders>
              <w:top w:val="nil"/>
            </w:tcBorders>
            <w:vAlign w:val="top"/>
          </w:tcPr>
          <w:p w14:paraId="31196781">
            <w:pPr>
              <w:rPr>
                <w:rFonts w:ascii="Arial"/>
                <w:sz w:val="21"/>
              </w:rPr>
            </w:pPr>
          </w:p>
        </w:tc>
        <w:tc>
          <w:tcPr>
            <w:tcW w:w="840" w:type="dxa"/>
            <w:vMerge w:val="continue"/>
            <w:tcBorders>
              <w:top w:val="nil"/>
            </w:tcBorders>
            <w:vAlign w:val="top"/>
          </w:tcPr>
          <w:p w14:paraId="5B50F015">
            <w:pPr>
              <w:rPr>
                <w:rFonts w:ascii="Arial"/>
                <w:sz w:val="21"/>
              </w:rPr>
            </w:pPr>
          </w:p>
        </w:tc>
        <w:tc>
          <w:tcPr>
            <w:tcW w:w="558" w:type="dxa"/>
            <w:vMerge w:val="continue"/>
            <w:tcBorders>
              <w:top w:val="nil"/>
            </w:tcBorders>
            <w:vAlign w:val="top"/>
          </w:tcPr>
          <w:p w14:paraId="08DB66C5">
            <w:pPr>
              <w:rPr>
                <w:rFonts w:ascii="Arial"/>
                <w:sz w:val="21"/>
              </w:rPr>
            </w:pPr>
          </w:p>
        </w:tc>
        <w:tc>
          <w:tcPr>
            <w:tcW w:w="843" w:type="dxa"/>
            <w:vMerge w:val="continue"/>
            <w:tcBorders>
              <w:top w:val="nil"/>
            </w:tcBorders>
            <w:vAlign w:val="top"/>
          </w:tcPr>
          <w:p w14:paraId="4082EB22">
            <w:pPr>
              <w:rPr>
                <w:rFonts w:ascii="Arial"/>
                <w:sz w:val="21"/>
              </w:rPr>
            </w:pPr>
          </w:p>
        </w:tc>
        <w:tc>
          <w:tcPr>
            <w:tcW w:w="1188" w:type="dxa"/>
            <w:vAlign w:val="top"/>
          </w:tcPr>
          <w:p w14:paraId="743AA649">
            <w:pPr>
              <w:pStyle w:val="6"/>
              <w:spacing w:before="217" w:line="233" w:lineRule="auto"/>
              <w:ind w:left="547"/>
            </w:pPr>
            <w:r>
              <w:t>/</w:t>
            </w:r>
          </w:p>
        </w:tc>
        <w:tc>
          <w:tcPr>
            <w:tcW w:w="868" w:type="dxa"/>
            <w:vAlign w:val="top"/>
          </w:tcPr>
          <w:p w14:paraId="41287506">
            <w:pPr>
              <w:pStyle w:val="6"/>
              <w:spacing w:before="59" w:line="267" w:lineRule="exact"/>
              <w:ind w:left="75"/>
            </w:pPr>
            <w:r>
              <w:rPr>
                <w:spacing w:val="3"/>
                <w:position w:val="1"/>
              </w:rPr>
              <w:t>0.00000</w:t>
            </w:r>
          </w:p>
          <w:p w14:paraId="52699B8E">
            <w:pPr>
              <w:pStyle w:val="6"/>
              <w:spacing w:before="51" w:line="239" w:lineRule="auto"/>
              <w:ind w:left="392"/>
            </w:pPr>
            <w:r>
              <w:t>7</w:t>
            </w:r>
          </w:p>
        </w:tc>
        <w:tc>
          <w:tcPr>
            <w:tcW w:w="748" w:type="dxa"/>
            <w:vAlign w:val="top"/>
          </w:tcPr>
          <w:p w14:paraId="424EB0CE">
            <w:pPr>
              <w:pStyle w:val="6"/>
              <w:spacing w:before="59" w:line="267" w:lineRule="exact"/>
              <w:ind w:left="68"/>
            </w:pPr>
            <w:r>
              <w:rPr>
                <w:spacing w:val="3"/>
                <w:position w:val="1"/>
              </w:rPr>
              <w:t>0.0000</w:t>
            </w:r>
          </w:p>
          <w:p w14:paraId="21A6C010">
            <w:pPr>
              <w:pStyle w:val="6"/>
              <w:spacing w:before="51" w:line="239" w:lineRule="auto"/>
              <w:ind w:left="330"/>
            </w:pPr>
            <w:r>
              <w:t>6</w:t>
            </w:r>
          </w:p>
        </w:tc>
        <w:tc>
          <w:tcPr>
            <w:tcW w:w="805" w:type="dxa"/>
            <w:vAlign w:val="top"/>
          </w:tcPr>
          <w:p w14:paraId="3B580E19">
            <w:pPr>
              <w:pStyle w:val="6"/>
              <w:spacing w:before="217" w:line="228" w:lineRule="auto"/>
              <w:ind w:left="196"/>
            </w:pPr>
            <w:r>
              <w:rPr>
                <w:spacing w:val="5"/>
              </w:rPr>
              <w:t>达标</w:t>
            </w:r>
          </w:p>
        </w:tc>
      </w:tr>
    </w:tbl>
    <w:p w14:paraId="47E69ADB">
      <w:pPr>
        <w:pStyle w:val="2"/>
      </w:pPr>
    </w:p>
    <w:p w14:paraId="752E559F">
      <w:pPr>
        <w:sectPr>
          <w:footerReference r:id="rId81" w:type="default"/>
          <w:pgSz w:w="16839" w:h="11906"/>
          <w:pgMar w:top="1208" w:right="1440" w:bottom="1358" w:left="1407" w:header="825" w:footer="1195" w:gutter="0"/>
          <w:cols w:space="720" w:num="1"/>
        </w:sectPr>
      </w:pPr>
    </w:p>
    <w:p w14:paraId="225F5495">
      <w:pPr>
        <w:pStyle w:val="2"/>
        <w:spacing w:line="265" w:lineRule="auto"/>
      </w:pPr>
    </w:p>
    <w:p w14:paraId="173D54F4">
      <w:pPr>
        <w:spacing w:before="78" w:line="219" w:lineRule="auto"/>
        <w:ind w:left="501"/>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3.2.6.2 </w:t>
      </w:r>
      <w:r>
        <w:rPr>
          <w:rFonts w:ascii="宋体" w:hAnsi="宋体" w:eastAsia="宋体" w:cs="宋体"/>
          <w:spacing w:val="-1"/>
          <w:sz w:val="24"/>
          <w:szCs w:val="24"/>
        </w:rPr>
        <w:t>废水</w:t>
      </w:r>
    </w:p>
    <w:p w14:paraId="5FE61152">
      <w:pPr>
        <w:spacing w:before="183"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）生产废水</w:t>
      </w:r>
    </w:p>
    <w:p w14:paraId="35D7A872">
      <w:pPr>
        <w:spacing w:before="182" w:line="360" w:lineRule="auto"/>
        <w:ind w:left="21" w:right="162" w:firstLine="478"/>
        <w:rPr>
          <w:rFonts w:ascii="宋体" w:hAnsi="宋体" w:eastAsia="宋体" w:cs="宋体"/>
          <w:sz w:val="24"/>
          <w:szCs w:val="24"/>
        </w:rPr>
      </w:pPr>
      <w:r>
        <w:rPr>
          <w:rFonts w:ascii="宋体" w:hAnsi="宋体" w:eastAsia="宋体" w:cs="宋体"/>
          <w:spacing w:val="16"/>
          <w:sz w:val="24"/>
          <w:szCs w:val="24"/>
        </w:rPr>
        <w:t>选厂设置一套尾矿回水处理系统用于处理全厂</w:t>
      </w:r>
      <w:r>
        <w:rPr>
          <w:rFonts w:ascii="宋体" w:hAnsi="宋体" w:eastAsia="宋体" w:cs="宋体"/>
          <w:spacing w:val="15"/>
          <w:sz w:val="24"/>
          <w:szCs w:val="24"/>
        </w:rPr>
        <w:t>尾矿回水，处理规模为</w:t>
      </w:r>
      <w:r>
        <w:rPr>
          <w:rFonts w:ascii="宋体" w:hAnsi="宋体" w:eastAsia="宋体" w:cs="宋体"/>
          <w:sz w:val="24"/>
          <w:szCs w:val="24"/>
        </w:rPr>
        <w:t xml:space="preserve"> </w:t>
      </w:r>
      <w:r>
        <w:rPr>
          <w:rFonts w:ascii="Times New Roman" w:hAnsi="Times New Roman" w:eastAsia="Times New Roman" w:cs="Times New Roman"/>
          <w:sz w:val="24"/>
          <w:szCs w:val="24"/>
        </w:rPr>
        <w:t>9000m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，采用混凝沉淀法，经处理后用泵扬送至选厂高位</w:t>
      </w:r>
      <w:r>
        <w:rPr>
          <w:rFonts w:ascii="宋体" w:hAnsi="宋体" w:eastAsia="宋体" w:cs="宋体"/>
          <w:spacing w:val="-1"/>
          <w:sz w:val="24"/>
          <w:szCs w:val="24"/>
        </w:rPr>
        <w:t>回用水池，通过厂</w:t>
      </w:r>
      <w:r>
        <w:rPr>
          <w:rFonts w:ascii="宋体" w:hAnsi="宋体" w:eastAsia="宋体" w:cs="宋体"/>
          <w:sz w:val="24"/>
          <w:szCs w:val="24"/>
        </w:rPr>
        <w:t xml:space="preserve"> </w:t>
      </w:r>
      <w:r>
        <w:rPr>
          <w:rFonts w:ascii="宋体" w:hAnsi="宋体" w:eastAsia="宋体" w:cs="宋体"/>
          <w:spacing w:val="-1"/>
          <w:sz w:val="24"/>
          <w:szCs w:val="24"/>
        </w:rPr>
        <w:t>区生产回水管网送至生产回水用水点，生产废水不外排。</w:t>
      </w:r>
    </w:p>
    <w:p w14:paraId="0A4BC56D">
      <w:pPr>
        <w:spacing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）生活污水</w:t>
      </w:r>
    </w:p>
    <w:p w14:paraId="5431F1A9">
      <w:pPr>
        <w:spacing w:before="183" w:line="360" w:lineRule="auto"/>
        <w:ind w:left="22" w:right="101" w:firstLine="478"/>
        <w:rPr>
          <w:rFonts w:ascii="宋体" w:hAnsi="宋体" w:eastAsia="宋体" w:cs="宋体"/>
          <w:sz w:val="24"/>
          <w:szCs w:val="24"/>
        </w:rPr>
      </w:pPr>
      <w:r>
        <w:rPr>
          <w:rFonts w:ascii="宋体" w:hAnsi="宋体" w:eastAsia="宋体" w:cs="宋体"/>
          <w:spacing w:val="16"/>
          <w:sz w:val="24"/>
          <w:szCs w:val="24"/>
        </w:rPr>
        <w:t>选厂设置一套污水处理设施用于处理全厂生活</w:t>
      </w:r>
      <w:r>
        <w:rPr>
          <w:rFonts w:ascii="宋体" w:hAnsi="宋体" w:eastAsia="宋体" w:cs="宋体"/>
          <w:spacing w:val="15"/>
          <w:sz w:val="24"/>
          <w:szCs w:val="24"/>
        </w:rPr>
        <w:t>污水，设计处理能力为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 xml:space="preserve">/h  </w:t>
      </w:r>
      <w:r>
        <w:rPr>
          <w:rFonts w:ascii="宋体" w:hAnsi="宋体" w:eastAsia="宋体" w:cs="宋体"/>
          <w:spacing w:val="-1"/>
          <w:sz w:val="24"/>
          <w:szCs w:val="24"/>
        </w:rPr>
        <w:t>，采用</w:t>
      </w:r>
      <w:r>
        <w:rPr>
          <w:rFonts w:ascii="Times New Roman" w:hAnsi="Times New Roman" w:eastAsia="Times New Roman" w:cs="Times New Roman"/>
          <w:spacing w:val="-1"/>
          <w:sz w:val="24"/>
          <w:szCs w:val="24"/>
        </w:rPr>
        <w:t xml:space="preserve">MBR </w:t>
      </w:r>
      <w:r>
        <w:rPr>
          <w:rFonts w:ascii="宋体" w:hAnsi="宋体" w:eastAsia="宋体" w:cs="宋体"/>
          <w:spacing w:val="-1"/>
          <w:sz w:val="24"/>
          <w:szCs w:val="24"/>
        </w:rPr>
        <w:t>膜生物反应器工艺，生活污水经污水处理设施处理达标后，</w:t>
      </w:r>
      <w:r>
        <w:rPr>
          <w:rFonts w:ascii="宋体" w:hAnsi="宋体" w:eastAsia="宋体" w:cs="宋体"/>
          <w:spacing w:val="8"/>
          <w:sz w:val="24"/>
          <w:szCs w:val="24"/>
        </w:rPr>
        <w:t xml:space="preserve"> </w:t>
      </w:r>
      <w:r>
        <w:rPr>
          <w:rFonts w:ascii="宋体" w:hAnsi="宋体" w:eastAsia="宋体" w:cs="宋体"/>
          <w:spacing w:val="-1"/>
          <w:sz w:val="24"/>
          <w:szCs w:val="24"/>
        </w:rPr>
        <w:t>正常工况下完全回用于矿区绿化用水，不外排。</w:t>
      </w:r>
    </w:p>
    <w:p w14:paraId="103DC7C8">
      <w:pPr>
        <w:spacing w:line="220" w:lineRule="auto"/>
        <w:ind w:left="501"/>
        <w:outlineLvl w:val="3"/>
        <w:rPr>
          <w:rFonts w:ascii="宋体" w:hAnsi="宋体" w:eastAsia="宋体" w:cs="宋体"/>
          <w:sz w:val="24"/>
          <w:szCs w:val="24"/>
        </w:rPr>
      </w:pPr>
      <w:r>
        <w:rPr>
          <w:rFonts w:ascii="Times New Roman" w:hAnsi="Times New Roman" w:eastAsia="Times New Roman" w:cs="Times New Roman"/>
          <w:spacing w:val="-4"/>
          <w:sz w:val="24"/>
          <w:szCs w:val="24"/>
        </w:rPr>
        <w:t>3.2.6.3</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噪声</w:t>
      </w:r>
    </w:p>
    <w:p w14:paraId="0792D90B">
      <w:pPr>
        <w:spacing w:before="182" w:line="360" w:lineRule="auto"/>
        <w:ind w:left="21" w:right="82" w:firstLine="483"/>
        <w:jc w:val="both"/>
        <w:rPr>
          <w:rFonts w:ascii="宋体" w:hAnsi="宋体" w:eastAsia="宋体" w:cs="宋体"/>
          <w:sz w:val="24"/>
          <w:szCs w:val="24"/>
        </w:rPr>
      </w:pPr>
      <w:r>
        <w:rPr>
          <w:rFonts w:ascii="宋体" w:hAnsi="宋体" w:eastAsia="宋体" w:cs="宋体"/>
          <w:spacing w:val="-1"/>
          <w:sz w:val="24"/>
          <w:szCs w:val="24"/>
        </w:rPr>
        <w:t>项目采矿作业位于地下，工业场地卷扬机、空压机及通风机均处于密闭房</w:t>
      </w:r>
      <w:r>
        <w:rPr>
          <w:rFonts w:ascii="宋体" w:hAnsi="宋体" w:eastAsia="宋体" w:cs="宋体"/>
          <w:spacing w:val="17"/>
          <w:sz w:val="24"/>
          <w:szCs w:val="24"/>
        </w:rPr>
        <w:t xml:space="preserve"> </w:t>
      </w:r>
      <w:r>
        <w:rPr>
          <w:rFonts w:ascii="宋体" w:hAnsi="宋体" w:eastAsia="宋体" w:cs="宋体"/>
          <w:spacing w:val="-5"/>
          <w:sz w:val="24"/>
          <w:szCs w:val="24"/>
        </w:rPr>
        <w:t>间内。选矿生产区的主要噪声源有颚式破碎机、圆锥破碎机、振动筛、压滤机、</w:t>
      </w:r>
      <w:r>
        <w:rPr>
          <w:rFonts w:ascii="宋体" w:hAnsi="宋体" w:eastAsia="宋体" w:cs="宋体"/>
          <w:spacing w:val="4"/>
          <w:sz w:val="24"/>
          <w:szCs w:val="24"/>
        </w:rPr>
        <w:t xml:space="preserve"> </w:t>
      </w:r>
      <w:r>
        <w:rPr>
          <w:rFonts w:ascii="宋体" w:hAnsi="宋体" w:eastAsia="宋体" w:cs="宋体"/>
          <w:spacing w:val="2"/>
          <w:sz w:val="24"/>
          <w:szCs w:val="24"/>
        </w:rPr>
        <w:t>球磨机、浮选机、水泵、风机等设备，噪声值在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85</w:t>
      </w:r>
      <w:r>
        <w:rPr>
          <w:rFonts w:ascii="宋体" w:hAnsi="宋体" w:eastAsia="宋体" w:cs="宋体"/>
          <w:spacing w:val="2"/>
          <w:sz w:val="24"/>
          <w:szCs w:val="24"/>
        </w:rPr>
        <w:t>～</w:t>
      </w:r>
      <w:r>
        <w:rPr>
          <w:rFonts w:ascii="Times New Roman" w:hAnsi="Times New Roman" w:eastAsia="Times New Roman" w:cs="Times New Roman"/>
          <w:spacing w:val="1"/>
          <w:sz w:val="24"/>
          <w:szCs w:val="24"/>
        </w:rPr>
        <w:t>105</w:t>
      </w:r>
      <w:r>
        <w:rPr>
          <w:rFonts w:ascii="Times New Roman" w:hAnsi="Times New Roman" w:eastAsia="Times New Roman" w:cs="Times New Roman"/>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）之间，对主</w:t>
      </w:r>
      <w:r>
        <w:rPr>
          <w:rFonts w:ascii="宋体" w:hAnsi="宋体" w:eastAsia="宋体" w:cs="宋体"/>
          <w:sz w:val="24"/>
          <w:szCs w:val="24"/>
        </w:rPr>
        <w:t xml:space="preserve"> 要噪声源采用消声、隔声及减震等措施，并采用低噪</w:t>
      </w:r>
      <w:r>
        <w:rPr>
          <w:rFonts w:ascii="宋体" w:hAnsi="宋体" w:eastAsia="宋体" w:cs="宋体"/>
          <w:spacing w:val="-1"/>
          <w:sz w:val="24"/>
          <w:szCs w:val="24"/>
        </w:rPr>
        <w:t>声设备。选矿生产区所在</w:t>
      </w:r>
      <w:r>
        <w:rPr>
          <w:rFonts w:ascii="宋体" w:hAnsi="宋体" w:eastAsia="宋体" w:cs="宋体"/>
          <w:sz w:val="24"/>
          <w:szCs w:val="24"/>
        </w:rPr>
        <w:t xml:space="preserve"> </w:t>
      </w:r>
      <w:r>
        <w:rPr>
          <w:rFonts w:ascii="宋体" w:hAnsi="宋体" w:eastAsia="宋体" w:cs="宋体"/>
          <w:spacing w:val="1"/>
          <w:sz w:val="24"/>
          <w:szCs w:val="24"/>
        </w:rPr>
        <w:t>地较空旷，选矿厂周围</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范围内无噪声敏</w:t>
      </w:r>
      <w:r>
        <w:rPr>
          <w:rFonts w:ascii="宋体" w:hAnsi="宋体" w:eastAsia="宋体" w:cs="宋体"/>
          <w:sz w:val="24"/>
          <w:szCs w:val="24"/>
        </w:rPr>
        <w:t xml:space="preserve">感点，其噪声源产生的噪声经车 </w:t>
      </w:r>
      <w:r>
        <w:rPr>
          <w:rFonts w:ascii="宋体" w:hAnsi="宋体" w:eastAsia="宋体" w:cs="宋体"/>
          <w:spacing w:val="-1"/>
          <w:sz w:val="24"/>
          <w:szCs w:val="24"/>
        </w:rPr>
        <w:t>间隔声及距离衰减后，对周围环境影响很小。</w:t>
      </w:r>
    </w:p>
    <w:p w14:paraId="56F481F8">
      <w:pPr>
        <w:spacing w:line="220" w:lineRule="auto"/>
        <w:ind w:left="501"/>
        <w:outlineLvl w:val="3"/>
        <w:rPr>
          <w:rFonts w:ascii="宋体" w:hAnsi="宋体" w:eastAsia="宋体" w:cs="宋体"/>
          <w:sz w:val="24"/>
          <w:szCs w:val="24"/>
        </w:rPr>
      </w:pPr>
      <w:r>
        <w:rPr>
          <w:rFonts w:ascii="Times New Roman" w:hAnsi="Times New Roman" w:eastAsia="Times New Roman" w:cs="Times New Roman"/>
          <w:spacing w:val="-4"/>
          <w:sz w:val="24"/>
          <w:szCs w:val="24"/>
        </w:rPr>
        <w:t>3.2.6.4</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固体废物</w:t>
      </w:r>
    </w:p>
    <w:p w14:paraId="2FAB013B">
      <w:pPr>
        <w:spacing w:before="182" w:line="360" w:lineRule="auto"/>
        <w:ind w:left="21" w:right="162" w:firstLine="483"/>
        <w:rPr>
          <w:rFonts w:ascii="宋体" w:hAnsi="宋体" w:eastAsia="宋体" w:cs="宋体"/>
          <w:sz w:val="24"/>
          <w:szCs w:val="24"/>
        </w:rPr>
      </w:pPr>
      <w:r>
        <w:rPr>
          <w:rFonts w:ascii="宋体" w:hAnsi="宋体" w:eastAsia="宋体" w:cs="宋体"/>
          <w:spacing w:val="-1"/>
          <w:sz w:val="24"/>
          <w:szCs w:val="24"/>
        </w:rPr>
        <w:t>项目采矿固体废物主要为采矿废石，选矿车间营运期固体废物种类主要为</w:t>
      </w:r>
      <w:r>
        <w:rPr>
          <w:rFonts w:ascii="宋体" w:hAnsi="宋体" w:eastAsia="宋体" w:cs="宋体"/>
          <w:spacing w:val="17"/>
          <w:sz w:val="24"/>
          <w:szCs w:val="24"/>
        </w:rPr>
        <w:t xml:space="preserve"> </w:t>
      </w:r>
      <w:r>
        <w:rPr>
          <w:rFonts w:ascii="宋体" w:hAnsi="宋体" w:eastAsia="宋体" w:cs="宋体"/>
          <w:sz w:val="24"/>
          <w:szCs w:val="24"/>
        </w:rPr>
        <w:t>尾矿、浮选药品废弃包装材料、废机油、锅炉灰渣、</w:t>
      </w:r>
      <w:r>
        <w:rPr>
          <w:rFonts w:ascii="宋体" w:hAnsi="宋体" w:eastAsia="宋体" w:cs="宋体"/>
          <w:spacing w:val="-1"/>
          <w:sz w:val="24"/>
          <w:szCs w:val="24"/>
        </w:rPr>
        <w:t>尾矿回水处理系统污泥。</w:t>
      </w:r>
      <w:r>
        <w:rPr>
          <w:rFonts w:ascii="宋体" w:hAnsi="宋体" w:eastAsia="宋体" w:cs="宋体"/>
          <w:sz w:val="24"/>
          <w:szCs w:val="24"/>
        </w:rPr>
        <w:t xml:space="preserve"> </w:t>
      </w:r>
      <w:r>
        <w:rPr>
          <w:rFonts w:ascii="宋体" w:hAnsi="宋体" w:eastAsia="宋体" w:cs="宋体"/>
          <w:spacing w:val="-1"/>
          <w:sz w:val="24"/>
          <w:szCs w:val="24"/>
        </w:rPr>
        <w:t>职工日常生活产生生活垃圾。</w:t>
      </w:r>
    </w:p>
    <w:p w14:paraId="2A184860">
      <w:pPr>
        <w:spacing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）一般工业固废</w:t>
      </w:r>
    </w:p>
    <w:p w14:paraId="71B2204A">
      <w:pPr>
        <w:spacing w:before="182" w:line="217" w:lineRule="auto"/>
        <w:ind w:left="500"/>
        <w:rPr>
          <w:rFonts w:ascii="宋体" w:hAnsi="宋体" w:eastAsia="宋体" w:cs="宋体"/>
          <w:sz w:val="24"/>
          <w:szCs w:val="24"/>
        </w:rPr>
      </w:pPr>
      <w:r>
        <w:rPr>
          <w:rFonts w:ascii="宋体" w:hAnsi="宋体" w:eastAsia="宋体" w:cs="宋体"/>
          <w:spacing w:val="-2"/>
          <w:sz w:val="24"/>
          <w:szCs w:val="24"/>
        </w:rPr>
        <w:t>①采矿废石</w:t>
      </w:r>
    </w:p>
    <w:p w14:paraId="4C0D91C9">
      <w:pPr>
        <w:spacing w:before="182" w:line="361" w:lineRule="auto"/>
        <w:ind w:left="20" w:right="162" w:firstLine="482"/>
        <w:jc w:val="both"/>
        <w:rPr>
          <w:rFonts w:ascii="宋体" w:hAnsi="宋体" w:eastAsia="宋体" w:cs="宋体"/>
          <w:sz w:val="24"/>
          <w:szCs w:val="24"/>
        </w:rPr>
      </w:pPr>
      <w:r>
        <w:rPr>
          <w:rFonts w:ascii="宋体" w:hAnsi="宋体" w:eastAsia="宋体" w:cs="宋体"/>
          <w:sz w:val="24"/>
          <w:szCs w:val="24"/>
        </w:rPr>
        <w:t>现有工程采矿废石量约为</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72000t/a</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，堆存于废石场。根据采矿废石浸出液 各项指标均远小于《危险废物鉴别标准 浸出毒性鉴别》（</w:t>
      </w:r>
      <w:r>
        <w:rPr>
          <w:rFonts w:ascii="Times New Roman" w:hAnsi="Times New Roman" w:eastAsia="Times New Roman" w:cs="Times New Roman"/>
          <w:sz w:val="24"/>
          <w:szCs w:val="24"/>
        </w:rPr>
        <w:t>GB5085.</w:t>
      </w:r>
      <w:r>
        <w:rPr>
          <w:rFonts w:ascii="Times New Roman" w:hAnsi="Times New Roman" w:eastAsia="Times New Roman" w:cs="Times New Roman"/>
          <w:spacing w:val="-1"/>
          <w:sz w:val="24"/>
          <w:szCs w:val="24"/>
        </w:rPr>
        <w:t>3-2007</w:t>
      </w:r>
      <w:r>
        <w:rPr>
          <w:rFonts w:ascii="宋体" w:hAnsi="宋体" w:eastAsia="宋体" w:cs="宋体"/>
          <w:spacing w:val="1"/>
          <w:sz w:val="24"/>
          <w:szCs w:val="24"/>
        </w:rPr>
        <w:t xml:space="preserve">）， </w:t>
      </w:r>
      <w:r>
        <w:rPr>
          <w:rFonts w:ascii="宋体" w:hAnsi="宋体" w:eastAsia="宋体" w:cs="宋体"/>
          <w:sz w:val="24"/>
          <w:szCs w:val="24"/>
        </w:rPr>
        <w:t>可以得出本项目采矿废石不属于危险固体废物，属于一</w:t>
      </w:r>
      <w:r>
        <w:rPr>
          <w:rFonts w:ascii="宋体" w:hAnsi="宋体" w:eastAsia="宋体" w:cs="宋体"/>
          <w:spacing w:val="-1"/>
          <w:sz w:val="24"/>
          <w:szCs w:val="24"/>
        </w:rPr>
        <w:t>般工业固体废物。且浸</w:t>
      </w:r>
      <w:r>
        <w:rPr>
          <w:rFonts w:ascii="宋体" w:hAnsi="宋体" w:eastAsia="宋体" w:cs="宋体"/>
          <w:sz w:val="24"/>
          <w:szCs w:val="24"/>
        </w:rPr>
        <w:t xml:space="preserve"> </w:t>
      </w:r>
      <w:r>
        <w:rPr>
          <w:rFonts w:ascii="宋体" w:hAnsi="宋体" w:eastAsia="宋体" w:cs="宋体"/>
          <w:spacing w:val="2"/>
          <w:sz w:val="24"/>
          <w:szCs w:val="24"/>
        </w:rPr>
        <w:t>出液各项浓度指标均小于《污水综合排放标准</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8978-1996</w:t>
      </w:r>
      <w:r>
        <w:rPr>
          <w:rFonts w:ascii="宋体" w:hAnsi="宋体" w:eastAsia="宋体" w:cs="宋体"/>
          <w:spacing w:val="1"/>
          <w:sz w:val="24"/>
          <w:szCs w:val="24"/>
        </w:rPr>
        <w:t>）一级标准以</w:t>
      </w:r>
      <w:r>
        <w:rPr>
          <w:rFonts w:ascii="宋体" w:hAnsi="宋体" w:eastAsia="宋体" w:cs="宋体"/>
          <w:sz w:val="24"/>
          <w:szCs w:val="24"/>
        </w:rPr>
        <w:t xml:space="preserve"> </w:t>
      </w:r>
      <w:r>
        <w:rPr>
          <w:rFonts w:ascii="宋体" w:hAnsi="宋体" w:eastAsia="宋体" w:cs="宋体"/>
          <w:spacing w:val="-3"/>
          <w:sz w:val="24"/>
          <w:szCs w:val="24"/>
        </w:rPr>
        <w:t>及第一类污染物最高允许排放浓度限值，本项目采矿废石属于第</w:t>
      </w:r>
      <w:r>
        <w:rPr>
          <w:rFonts w:ascii="宋体" w:hAnsi="宋体" w:eastAsia="宋体" w:cs="宋体"/>
          <w:spacing w:val="-28"/>
          <w:sz w:val="24"/>
          <w:szCs w:val="24"/>
        </w:rPr>
        <w:t xml:space="preserve"> </w:t>
      </w:r>
      <w:r>
        <w:rPr>
          <w:rFonts w:ascii="宋体" w:hAnsi="宋体" w:eastAsia="宋体" w:cs="宋体"/>
          <w:spacing w:val="-3"/>
          <w:sz w:val="24"/>
          <w:szCs w:val="24"/>
        </w:rPr>
        <w:t>Ⅰ类一般工业</w:t>
      </w:r>
      <w:r>
        <w:rPr>
          <w:rFonts w:ascii="宋体" w:hAnsi="宋体" w:eastAsia="宋体" w:cs="宋体"/>
          <w:sz w:val="24"/>
          <w:szCs w:val="24"/>
        </w:rPr>
        <w:t xml:space="preserve"> </w:t>
      </w:r>
      <w:r>
        <w:rPr>
          <w:rFonts w:ascii="宋体" w:hAnsi="宋体" w:eastAsia="宋体" w:cs="宋体"/>
          <w:spacing w:val="-3"/>
          <w:sz w:val="24"/>
          <w:szCs w:val="24"/>
        </w:rPr>
        <w:t>固体废物，按照《一般工业固体废物贮存、处置场污染控制标准》中</w:t>
      </w:r>
      <w:r>
        <w:rPr>
          <w:rFonts w:ascii="宋体" w:hAnsi="宋体" w:eastAsia="宋体" w:cs="宋体"/>
          <w:spacing w:val="-28"/>
          <w:sz w:val="24"/>
          <w:szCs w:val="24"/>
        </w:rPr>
        <w:t xml:space="preserve"> </w:t>
      </w:r>
      <w:r>
        <w:rPr>
          <w:rFonts w:ascii="宋体" w:hAnsi="宋体" w:eastAsia="宋体" w:cs="宋体"/>
          <w:spacing w:val="-3"/>
          <w:sz w:val="24"/>
          <w:szCs w:val="24"/>
        </w:rPr>
        <w:t>Ⅰ类场要</w:t>
      </w:r>
      <w:r>
        <w:rPr>
          <w:rFonts w:ascii="宋体" w:hAnsi="宋体" w:eastAsia="宋体" w:cs="宋体"/>
          <w:sz w:val="24"/>
          <w:szCs w:val="24"/>
        </w:rPr>
        <w:t xml:space="preserve"> </w:t>
      </w:r>
      <w:r>
        <w:rPr>
          <w:rFonts w:ascii="宋体" w:hAnsi="宋体" w:eastAsia="宋体" w:cs="宋体"/>
          <w:spacing w:val="-1"/>
          <w:sz w:val="24"/>
          <w:szCs w:val="24"/>
        </w:rPr>
        <w:t>求运行和管理。不外排。</w:t>
      </w:r>
    </w:p>
    <w:p w14:paraId="2CB3F070">
      <w:pPr>
        <w:spacing w:line="361" w:lineRule="auto"/>
        <w:rPr>
          <w:rFonts w:ascii="宋体" w:hAnsi="宋体" w:eastAsia="宋体" w:cs="宋体"/>
          <w:sz w:val="24"/>
          <w:szCs w:val="24"/>
        </w:rPr>
        <w:sectPr>
          <w:headerReference r:id="rId82" w:type="default"/>
          <w:footerReference r:id="rId83" w:type="default"/>
          <w:pgSz w:w="11906" w:h="16839"/>
          <w:pgMar w:top="1208" w:right="1785" w:bottom="1358" w:left="1785" w:header="825" w:footer="1195" w:gutter="0"/>
          <w:cols w:space="720" w:num="1"/>
        </w:sectPr>
      </w:pPr>
    </w:p>
    <w:p w14:paraId="66987CEB">
      <w:pPr>
        <w:spacing w:before="268" w:line="211" w:lineRule="auto"/>
        <w:ind w:left="20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3.2-15    </w:t>
      </w:r>
      <w:r>
        <w:rPr>
          <w:rFonts w:ascii="宋体" w:hAnsi="宋体" w:eastAsia="宋体" w:cs="宋体"/>
          <w:spacing w:val="-1"/>
          <w:sz w:val="24"/>
          <w:szCs w:val="24"/>
        </w:rPr>
        <w:t>采矿废石浸出毒性实验结果表</w:t>
      </w: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347"/>
        <w:gridCol w:w="1076"/>
        <w:gridCol w:w="1656"/>
        <w:gridCol w:w="1417"/>
        <w:gridCol w:w="1172"/>
        <w:gridCol w:w="1066"/>
      </w:tblGrid>
      <w:tr w14:paraId="6A4C0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98" w:type="dxa"/>
            <w:vAlign w:val="top"/>
          </w:tcPr>
          <w:p w14:paraId="6CC5C06C">
            <w:pPr>
              <w:pStyle w:val="6"/>
              <w:spacing w:before="212" w:line="229" w:lineRule="auto"/>
              <w:ind w:left="194"/>
            </w:pPr>
            <w:r>
              <w:rPr>
                <w:spacing w:val="5"/>
              </w:rPr>
              <w:t>序号</w:t>
            </w:r>
          </w:p>
        </w:tc>
        <w:tc>
          <w:tcPr>
            <w:tcW w:w="1347" w:type="dxa"/>
            <w:vAlign w:val="top"/>
          </w:tcPr>
          <w:p w14:paraId="51B114C4">
            <w:pPr>
              <w:pStyle w:val="6"/>
              <w:spacing w:before="212" w:line="228" w:lineRule="auto"/>
              <w:ind w:left="256"/>
            </w:pPr>
            <w:r>
              <w:rPr>
                <w:spacing w:val="7"/>
              </w:rPr>
              <w:t>检验项目</w:t>
            </w:r>
          </w:p>
        </w:tc>
        <w:tc>
          <w:tcPr>
            <w:tcW w:w="1076" w:type="dxa"/>
            <w:vAlign w:val="top"/>
          </w:tcPr>
          <w:p w14:paraId="405A785B">
            <w:pPr>
              <w:pStyle w:val="6"/>
              <w:spacing w:before="212" w:line="228" w:lineRule="auto"/>
              <w:ind w:left="121"/>
            </w:pPr>
            <w:r>
              <w:rPr>
                <w:spacing w:val="7"/>
              </w:rPr>
              <w:t>计量单位</w:t>
            </w:r>
          </w:p>
        </w:tc>
        <w:tc>
          <w:tcPr>
            <w:tcW w:w="1656" w:type="dxa"/>
            <w:vAlign w:val="top"/>
          </w:tcPr>
          <w:p w14:paraId="041829A7">
            <w:pPr>
              <w:spacing w:before="9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5085.3-2007</w:t>
            </w:r>
          </w:p>
          <w:p w14:paraId="7B80BB49">
            <w:pPr>
              <w:pStyle w:val="6"/>
              <w:spacing w:before="89" w:line="228" w:lineRule="auto"/>
              <w:ind w:left="414"/>
            </w:pPr>
            <w:r>
              <w:rPr>
                <w:spacing w:val="7"/>
              </w:rPr>
              <w:t>标准要求</w:t>
            </w:r>
          </w:p>
        </w:tc>
        <w:tc>
          <w:tcPr>
            <w:tcW w:w="1417" w:type="dxa"/>
            <w:vAlign w:val="top"/>
          </w:tcPr>
          <w:p w14:paraId="08BD4DA6">
            <w:pPr>
              <w:spacing w:before="9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p>
          <w:p w14:paraId="04129703">
            <w:pPr>
              <w:pStyle w:val="6"/>
              <w:spacing w:before="89" w:line="228" w:lineRule="auto"/>
              <w:ind w:left="294"/>
            </w:pPr>
            <w:r>
              <w:rPr>
                <w:spacing w:val="7"/>
              </w:rPr>
              <w:t>标准要求</w:t>
            </w:r>
          </w:p>
        </w:tc>
        <w:tc>
          <w:tcPr>
            <w:tcW w:w="1172" w:type="dxa"/>
            <w:vAlign w:val="top"/>
          </w:tcPr>
          <w:p w14:paraId="5970DE8C">
            <w:pPr>
              <w:pStyle w:val="6"/>
              <w:spacing w:before="212" w:line="228" w:lineRule="auto"/>
              <w:ind w:left="177"/>
            </w:pPr>
            <w:r>
              <w:rPr>
                <w:spacing w:val="6"/>
              </w:rPr>
              <w:t>实测数据</w:t>
            </w:r>
          </w:p>
        </w:tc>
        <w:tc>
          <w:tcPr>
            <w:tcW w:w="1066" w:type="dxa"/>
            <w:vAlign w:val="top"/>
          </w:tcPr>
          <w:p w14:paraId="137A1AAF">
            <w:pPr>
              <w:pStyle w:val="6"/>
              <w:spacing w:before="212" w:line="228" w:lineRule="auto"/>
              <w:ind w:left="122"/>
            </w:pPr>
            <w:r>
              <w:rPr>
                <w:spacing w:val="6"/>
              </w:rPr>
              <w:t>是否达标</w:t>
            </w:r>
          </w:p>
        </w:tc>
      </w:tr>
      <w:tr w14:paraId="3F63C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98" w:type="dxa"/>
            <w:vAlign w:val="top"/>
          </w:tcPr>
          <w:p w14:paraId="28090ECB">
            <w:pPr>
              <w:spacing w:before="9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47" w:type="dxa"/>
            <w:vAlign w:val="top"/>
          </w:tcPr>
          <w:p w14:paraId="4B7BB20A">
            <w:pPr>
              <w:pStyle w:val="6"/>
              <w:spacing w:before="62" w:line="228" w:lineRule="auto"/>
              <w:ind w:left="781"/>
            </w:pPr>
            <w:r>
              <w:rPr>
                <w:spacing w:val="1"/>
              </w:rPr>
              <w:t>砷</w:t>
            </w:r>
          </w:p>
        </w:tc>
        <w:tc>
          <w:tcPr>
            <w:tcW w:w="1076" w:type="dxa"/>
            <w:vAlign w:val="top"/>
          </w:tcPr>
          <w:p w14:paraId="48E64B7C">
            <w:pPr>
              <w:spacing w:before="93"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1729558F">
            <w:pPr>
              <w:spacing w:before="98"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09D69FB5">
            <w:pPr>
              <w:spacing w:before="98"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72" w:type="dxa"/>
            <w:vAlign w:val="top"/>
          </w:tcPr>
          <w:p w14:paraId="0275120D">
            <w:pPr>
              <w:spacing w:before="97"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066" w:type="dxa"/>
            <w:vAlign w:val="top"/>
          </w:tcPr>
          <w:p w14:paraId="0E900F39">
            <w:pPr>
              <w:pStyle w:val="6"/>
              <w:spacing w:before="62" w:line="228" w:lineRule="auto"/>
              <w:ind w:left="327"/>
            </w:pPr>
            <w:r>
              <w:rPr>
                <w:spacing w:val="5"/>
              </w:rPr>
              <w:t>达标</w:t>
            </w:r>
          </w:p>
        </w:tc>
      </w:tr>
      <w:tr w14:paraId="14DE6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98" w:type="dxa"/>
            <w:vAlign w:val="top"/>
          </w:tcPr>
          <w:p w14:paraId="30A2C4A8">
            <w:pPr>
              <w:spacing w:before="99"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47" w:type="dxa"/>
            <w:vAlign w:val="top"/>
          </w:tcPr>
          <w:p w14:paraId="6B6301F3">
            <w:pPr>
              <w:pStyle w:val="6"/>
              <w:spacing w:before="53" w:line="228" w:lineRule="auto"/>
              <w:ind w:left="579"/>
            </w:pPr>
            <w:r>
              <w:rPr>
                <w:spacing w:val="5"/>
              </w:rPr>
              <w:t>总氰化</w:t>
            </w:r>
          </w:p>
        </w:tc>
        <w:tc>
          <w:tcPr>
            <w:tcW w:w="1076" w:type="dxa"/>
            <w:vAlign w:val="top"/>
          </w:tcPr>
          <w:p w14:paraId="11553BC6">
            <w:pPr>
              <w:spacing w:before="95"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3F0A8B49">
            <w:pPr>
              <w:spacing w:before="102"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66A12BA9">
            <w:pPr>
              <w:spacing w:before="99"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2" w:type="dxa"/>
            <w:vAlign w:val="top"/>
          </w:tcPr>
          <w:p w14:paraId="326F96CD">
            <w:pPr>
              <w:spacing w:before="99"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2E706EB0">
            <w:pPr>
              <w:pStyle w:val="6"/>
              <w:spacing w:before="63" w:line="228" w:lineRule="auto"/>
              <w:ind w:left="327"/>
            </w:pPr>
            <w:r>
              <w:rPr>
                <w:spacing w:val="5"/>
              </w:rPr>
              <w:t>达标</w:t>
            </w:r>
          </w:p>
        </w:tc>
      </w:tr>
      <w:tr w14:paraId="614DE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98" w:type="dxa"/>
            <w:vAlign w:val="top"/>
          </w:tcPr>
          <w:p w14:paraId="5662941B">
            <w:pPr>
              <w:spacing w:before="98"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47" w:type="dxa"/>
            <w:vAlign w:val="top"/>
          </w:tcPr>
          <w:p w14:paraId="5D1987A4">
            <w:pPr>
              <w:pStyle w:val="6"/>
              <w:spacing w:before="63" w:line="228" w:lineRule="auto"/>
              <w:ind w:left="682"/>
            </w:pPr>
            <w:r>
              <w:rPr>
                <w:spacing w:val="2"/>
              </w:rPr>
              <w:t>总砷</w:t>
            </w:r>
          </w:p>
        </w:tc>
        <w:tc>
          <w:tcPr>
            <w:tcW w:w="1076" w:type="dxa"/>
            <w:vAlign w:val="top"/>
          </w:tcPr>
          <w:p w14:paraId="1F10F15D">
            <w:pPr>
              <w:spacing w:before="94"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72E4F150">
            <w:pPr>
              <w:spacing w:before="102"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4611C2F8">
            <w:pPr>
              <w:spacing w:before="99"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2" w:type="dxa"/>
            <w:vAlign w:val="top"/>
          </w:tcPr>
          <w:p w14:paraId="0C595B7A">
            <w:pPr>
              <w:spacing w:before="98"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72ED62B2">
            <w:pPr>
              <w:pStyle w:val="6"/>
              <w:spacing w:before="63" w:line="228" w:lineRule="auto"/>
              <w:ind w:left="327"/>
            </w:pPr>
            <w:r>
              <w:rPr>
                <w:spacing w:val="5"/>
              </w:rPr>
              <w:t>达标</w:t>
            </w:r>
          </w:p>
        </w:tc>
      </w:tr>
      <w:tr w14:paraId="2FB5D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98" w:type="dxa"/>
            <w:vAlign w:val="top"/>
          </w:tcPr>
          <w:p w14:paraId="68CA40D2">
            <w:pPr>
              <w:spacing w:before="100"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47" w:type="dxa"/>
            <w:vAlign w:val="top"/>
          </w:tcPr>
          <w:p w14:paraId="020C987B">
            <w:pPr>
              <w:pStyle w:val="6"/>
              <w:spacing w:before="64" w:line="226" w:lineRule="auto"/>
              <w:ind w:left="575"/>
            </w:pPr>
            <w:r>
              <w:rPr>
                <w:spacing w:val="6"/>
              </w:rPr>
              <w:t>六价铬</w:t>
            </w:r>
          </w:p>
        </w:tc>
        <w:tc>
          <w:tcPr>
            <w:tcW w:w="1076" w:type="dxa"/>
            <w:vAlign w:val="top"/>
          </w:tcPr>
          <w:p w14:paraId="57F01DE4">
            <w:pPr>
              <w:spacing w:before="96"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4A3AC98F">
            <w:pPr>
              <w:spacing w:before="104"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48981F64">
            <w:pPr>
              <w:spacing w:before="101"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2" w:type="dxa"/>
            <w:vAlign w:val="top"/>
          </w:tcPr>
          <w:p w14:paraId="16DADEE0">
            <w:pPr>
              <w:spacing w:before="100"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23C99921">
            <w:pPr>
              <w:pStyle w:val="6"/>
              <w:spacing w:before="65" w:line="228" w:lineRule="auto"/>
              <w:ind w:left="327"/>
            </w:pPr>
            <w:r>
              <w:rPr>
                <w:spacing w:val="5"/>
              </w:rPr>
              <w:t>达标</w:t>
            </w:r>
          </w:p>
        </w:tc>
      </w:tr>
      <w:tr w14:paraId="7E583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98" w:type="dxa"/>
            <w:vAlign w:val="top"/>
          </w:tcPr>
          <w:p w14:paraId="3A926633">
            <w:pPr>
              <w:spacing w:before="105" w:line="192"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47" w:type="dxa"/>
            <w:vAlign w:val="top"/>
          </w:tcPr>
          <w:p w14:paraId="6A4AE553">
            <w:pPr>
              <w:pStyle w:val="6"/>
              <w:spacing w:before="66" w:line="230" w:lineRule="auto"/>
              <w:ind w:left="682"/>
            </w:pPr>
            <w:r>
              <w:rPr>
                <w:spacing w:val="2"/>
              </w:rPr>
              <w:t>总铬</w:t>
            </w:r>
          </w:p>
        </w:tc>
        <w:tc>
          <w:tcPr>
            <w:tcW w:w="1076" w:type="dxa"/>
            <w:vAlign w:val="top"/>
          </w:tcPr>
          <w:p w14:paraId="0FF346CE">
            <w:pPr>
              <w:spacing w:before="98"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083BEB46">
            <w:pPr>
              <w:spacing w:before="102"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417" w:type="dxa"/>
            <w:vAlign w:val="top"/>
          </w:tcPr>
          <w:p w14:paraId="06430936">
            <w:pPr>
              <w:spacing w:before="10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172" w:type="dxa"/>
            <w:vAlign w:val="top"/>
          </w:tcPr>
          <w:p w14:paraId="0ADA8CD3">
            <w:pPr>
              <w:spacing w:before="102"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18A063DC">
            <w:pPr>
              <w:pStyle w:val="6"/>
              <w:spacing w:before="66" w:line="228" w:lineRule="auto"/>
              <w:ind w:left="327"/>
            </w:pPr>
            <w:r>
              <w:rPr>
                <w:spacing w:val="5"/>
              </w:rPr>
              <w:t>达标</w:t>
            </w:r>
          </w:p>
        </w:tc>
      </w:tr>
      <w:tr w14:paraId="68DE4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98" w:type="dxa"/>
            <w:vAlign w:val="top"/>
          </w:tcPr>
          <w:p w14:paraId="3AE28FA1">
            <w:pPr>
              <w:spacing w:before="100"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47" w:type="dxa"/>
            <w:vAlign w:val="top"/>
          </w:tcPr>
          <w:p w14:paraId="5F6BAC38">
            <w:pPr>
              <w:pStyle w:val="6"/>
              <w:spacing w:before="64" w:line="232" w:lineRule="auto"/>
              <w:ind w:left="682"/>
            </w:pPr>
            <w:r>
              <w:rPr>
                <w:spacing w:val="2"/>
              </w:rPr>
              <w:t>总铅</w:t>
            </w:r>
          </w:p>
        </w:tc>
        <w:tc>
          <w:tcPr>
            <w:tcW w:w="1076" w:type="dxa"/>
            <w:vAlign w:val="top"/>
          </w:tcPr>
          <w:p w14:paraId="3AA34D46">
            <w:pPr>
              <w:spacing w:before="96"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79FEC447">
            <w:pPr>
              <w:spacing w:before="104" w:line="192"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4B39288C">
            <w:pPr>
              <w:spacing w:before="101"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172" w:type="dxa"/>
            <w:vAlign w:val="top"/>
          </w:tcPr>
          <w:p w14:paraId="443ED5E8">
            <w:pPr>
              <w:spacing w:before="100"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0525E335">
            <w:pPr>
              <w:pStyle w:val="6"/>
              <w:spacing w:before="65" w:line="228" w:lineRule="auto"/>
              <w:ind w:left="327"/>
            </w:pPr>
            <w:r>
              <w:rPr>
                <w:spacing w:val="5"/>
              </w:rPr>
              <w:t>达标</w:t>
            </w:r>
          </w:p>
        </w:tc>
      </w:tr>
      <w:tr w14:paraId="50BC6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98" w:type="dxa"/>
            <w:vAlign w:val="top"/>
          </w:tcPr>
          <w:p w14:paraId="67758774">
            <w:pPr>
              <w:spacing w:before="104" w:line="192"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47" w:type="dxa"/>
            <w:vAlign w:val="top"/>
          </w:tcPr>
          <w:p w14:paraId="62C1559F">
            <w:pPr>
              <w:pStyle w:val="6"/>
              <w:spacing w:before="65" w:line="229" w:lineRule="auto"/>
              <w:ind w:left="682"/>
            </w:pPr>
            <w:r>
              <w:rPr>
                <w:spacing w:val="2"/>
              </w:rPr>
              <w:t>总铜</w:t>
            </w:r>
          </w:p>
        </w:tc>
        <w:tc>
          <w:tcPr>
            <w:tcW w:w="1076" w:type="dxa"/>
            <w:vAlign w:val="top"/>
          </w:tcPr>
          <w:p w14:paraId="17648E57">
            <w:pPr>
              <w:spacing w:before="97"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3BAB9AC0">
            <w:pPr>
              <w:spacing w:before="102"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561C8834">
            <w:pPr>
              <w:spacing w:before="10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2" w:type="dxa"/>
            <w:vAlign w:val="top"/>
          </w:tcPr>
          <w:p w14:paraId="05B9C6DF">
            <w:pPr>
              <w:spacing w:before="101"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23722B7E">
            <w:pPr>
              <w:pStyle w:val="6"/>
              <w:spacing w:before="66" w:line="228" w:lineRule="auto"/>
              <w:ind w:left="327"/>
            </w:pPr>
            <w:r>
              <w:rPr>
                <w:spacing w:val="5"/>
              </w:rPr>
              <w:t>达标</w:t>
            </w:r>
          </w:p>
        </w:tc>
      </w:tr>
      <w:tr w14:paraId="0AC9F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98" w:type="dxa"/>
            <w:vAlign w:val="top"/>
          </w:tcPr>
          <w:p w14:paraId="5D7B1D70">
            <w:pPr>
              <w:spacing w:before="102"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47" w:type="dxa"/>
            <w:vAlign w:val="top"/>
          </w:tcPr>
          <w:p w14:paraId="2EE6455F">
            <w:pPr>
              <w:pStyle w:val="6"/>
              <w:spacing w:before="66" w:line="228" w:lineRule="auto"/>
              <w:ind w:left="682"/>
            </w:pPr>
            <w:r>
              <w:rPr>
                <w:spacing w:val="2"/>
              </w:rPr>
              <w:t>总锌</w:t>
            </w:r>
          </w:p>
        </w:tc>
        <w:tc>
          <w:tcPr>
            <w:tcW w:w="1076" w:type="dxa"/>
            <w:vAlign w:val="top"/>
          </w:tcPr>
          <w:p w14:paraId="19BED15A">
            <w:pPr>
              <w:spacing w:before="98" w:line="201"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6" w:type="dxa"/>
            <w:vAlign w:val="top"/>
          </w:tcPr>
          <w:p w14:paraId="0D01BE1B">
            <w:pPr>
              <w:spacing w:before="102"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5EE2C6BB">
            <w:pPr>
              <w:spacing w:before="10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p>
        </w:tc>
        <w:tc>
          <w:tcPr>
            <w:tcW w:w="1172" w:type="dxa"/>
            <w:vAlign w:val="top"/>
          </w:tcPr>
          <w:p w14:paraId="76FE63A5">
            <w:pPr>
              <w:spacing w:before="102"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066" w:type="dxa"/>
            <w:vAlign w:val="top"/>
          </w:tcPr>
          <w:p w14:paraId="52BAF0C7">
            <w:pPr>
              <w:pStyle w:val="6"/>
              <w:spacing w:before="66" w:line="228" w:lineRule="auto"/>
              <w:ind w:left="327"/>
            </w:pPr>
            <w:r>
              <w:rPr>
                <w:spacing w:val="5"/>
              </w:rPr>
              <w:t>达标</w:t>
            </w:r>
          </w:p>
        </w:tc>
      </w:tr>
    </w:tbl>
    <w:p w14:paraId="57F99C82">
      <w:pPr>
        <w:spacing w:before="115" w:line="217" w:lineRule="auto"/>
        <w:ind w:left="600"/>
        <w:rPr>
          <w:rFonts w:ascii="宋体" w:hAnsi="宋体" w:eastAsia="宋体" w:cs="宋体"/>
          <w:sz w:val="24"/>
          <w:szCs w:val="24"/>
        </w:rPr>
      </w:pPr>
      <w:r>
        <w:rPr>
          <w:rFonts w:ascii="宋体" w:hAnsi="宋体" w:eastAsia="宋体" w:cs="宋体"/>
          <w:spacing w:val="-3"/>
          <w:sz w:val="24"/>
          <w:szCs w:val="24"/>
        </w:rPr>
        <w:t>②尾矿</w:t>
      </w:r>
    </w:p>
    <w:p w14:paraId="3906EA89">
      <w:pPr>
        <w:spacing w:before="185" w:line="360" w:lineRule="auto"/>
        <w:ind w:left="122" w:right="264" w:firstLine="479"/>
        <w:rPr>
          <w:rFonts w:ascii="宋体" w:hAnsi="宋体" w:eastAsia="宋体" w:cs="宋体"/>
          <w:sz w:val="24"/>
          <w:szCs w:val="24"/>
        </w:rPr>
      </w:pPr>
      <w:r>
        <w:rPr>
          <w:rFonts w:ascii="宋体" w:hAnsi="宋体" w:eastAsia="宋体" w:cs="宋体"/>
          <w:spacing w:val="-1"/>
          <w:sz w:val="24"/>
          <w:szCs w:val="24"/>
        </w:rPr>
        <w:t>选矿车间产生的固体废物主要是选矿尾矿，尾矿年产生量</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63.694×10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t/a</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根据内蒙古自治区第十地质矿产勘查开发院实验室对</w:t>
      </w:r>
      <w:r>
        <w:rPr>
          <w:rFonts w:ascii="宋体" w:hAnsi="宋体" w:eastAsia="宋体" w:cs="宋体"/>
          <w:spacing w:val="-1"/>
          <w:sz w:val="24"/>
          <w:szCs w:val="24"/>
        </w:rPr>
        <w:t>玉龙矿业尾矿的浸出毒性</w:t>
      </w:r>
      <w:r>
        <w:rPr>
          <w:rFonts w:ascii="宋体" w:hAnsi="宋体" w:eastAsia="宋体" w:cs="宋体"/>
          <w:sz w:val="24"/>
          <w:szCs w:val="24"/>
        </w:rPr>
        <w:t xml:space="preserve"> </w:t>
      </w:r>
      <w:r>
        <w:rPr>
          <w:rFonts w:ascii="宋体" w:hAnsi="宋体" w:eastAsia="宋体" w:cs="宋体"/>
          <w:spacing w:val="20"/>
          <w:sz w:val="24"/>
          <w:szCs w:val="24"/>
        </w:rPr>
        <w:t>监测</w:t>
      </w:r>
      <w:r>
        <w:rPr>
          <w:rFonts w:ascii="宋体" w:hAnsi="宋体" w:eastAsia="宋体" w:cs="宋体"/>
          <w:spacing w:val="-49"/>
          <w:sz w:val="24"/>
          <w:szCs w:val="24"/>
        </w:rPr>
        <w:t xml:space="preserve"> </w:t>
      </w:r>
      <w:r>
        <w:rPr>
          <w:rFonts w:ascii="宋体" w:hAnsi="宋体" w:eastAsia="宋体" w:cs="宋体"/>
          <w:spacing w:val="20"/>
          <w:sz w:val="24"/>
          <w:szCs w:val="24"/>
        </w:rPr>
        <w:t>，所有项</w:t>
      </w:r>
      <w:r>
        <w:rPr>
          <w:rFonts w:ascii="宋体" w:hAnsi="宋体" w:eastAsia="宋体" w:cs="宋体"/>
          <w:spacing w:val="-36"/>
          <w:sz w:val="24"/>
          <w:szCs w:val="24"/>
        </w:rPr>
        <w:t xml:space="preserve"> </w:t>
      </w:r>
      <w:r>
        <w:rPr>
          <w:rFonts w:ascii="宋体" w:hAnsi="宋体" w:eastAsia="宋体" w:cs="宋体"/>
          <w:spacing w:val="20"/>
          <w:sz w:val="24"/>
          <w:szCs w:val="24"/>
        </w:rPr>
        <w:t>目检测值均未超过《危险废物鉴别标准</w:t>
      </w:r>
      <w:r>
        <w:rPr>
          <w:rFonts w:ascii="宋体" w:hAnsi="宋体" w:eastAsia="宋体" w:cs="宋体"/>
          <w:spacing w:val="65"/>
          <w:sz w:val="24"/>
          <w:szCs w:val="24"/>
        </w:rPr>
        <w:t xml:space="preserve"> </w:t>
      </w:r>
      <w:r>
        <w:rPr>
          <w:rFonts w:ascii="宋体" w:hAnsi="宋体" w:eastAsia="宋体" w:cs="宋体"/>
          <w:spacing w:val="20"/>
          <w:sz w:val="24"/>
          <w:szCs w:val="24"/>
        </w:rPr>
        <w:t>浸出毒性鉴别》</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GB5085.3-2007</w:t>
      </w:r>
      <w:r>
        <w:rPr>
          <w:rFonts w:ascii="Times New Roman" w:hAnsi="Times New Roman" w:eastAsia="Times New Roman" w:cs="Times New Roman"/>
          <w:spacing w:val="23"/>
          <w:w w:val="101"/>
          <w:sz w:val="24"/>
          <w:szCs w:val="24"/>
        </w:rPr>
        <w:t xml:space="preserve"> </w:t>
      </w:r>
      <w:r>
        <w:rPr>
          <w:rFonts w:ascii="宋体" w:hAnsi="宋体" w:eastAsia="宋体" w:cs="宋体"/>
          <w:spacing w:val="-10"/>
          <w:sz w:val="24"/>
          <w:szCs w:val="24"/>
        </w:rPr>
        <w:t>）</w:t>
      </w:r>
      <w:r>
        <w:rPr>
          <w:rFonts w:ascii="宋体" w:hAnsi="宋体" w:eastAsia="宋体" w:cs="宋体"/>
          <w:spacing w:val="-40"/>
          <w:sz w:val="24"/>
          <w:szCs w:val="24"/>
        </w:rPr>
        <w:t xml:space="preserve"> </w:t>
      </w:r>
      <w:r>
        <w:rPr>
          <w:rFonts w:ascii="宋体" w:hAnsi="宋体" w:eastAsia="宋体" w:cs="宋体"/>
          <w:spacing w:val="-10"/>
          <w:sz w:val="24"/>
          <w:szCs w:val="24"/>
        </w:rPr>
        <w:t>中</w:t>
      </w:r>
      <w:r>
        <w:rPr>
          <w:rFonts w:ascii="宋体" w:hAnsi="宋体" w:eastAsia="宋体" w:cs="宋体"/>
          <w:spacing w:val="-66"/>
          <w:sz w:val="24"/>
          <w:szCs w:val="24"/>
        </w:rPr>
        <w:t xml:space="preserve"> </w:t>
      </w:r>
      <w:r>
        <w:rPr>
          <w:rFonts w:ascii="宋体" w:hAnsi="宋体" w:eastAsia="宋体" w:cs="宋体"/>
          <w:spacing w:val="-10"/>
          <w:sz w:val="24"/>
          <w:szCs w:val="24"/>
        </w:rPr>
        <w:t>浸</w:t>
      </w:r>
      <w:r>
        <w:rPr>
          <w:rFonts w:ascii="宋体" w:hAnsi="宋体" w:eastAsia="宋体" w:cs="宋体"/>
          <w:spacing w:val="-42"/>
          <w:sz w:val="24"/>
          <w:szCs w:val="24"/>
        </w:rPr>
        <w:t xml:space="preserve"> </w:t>
      </w:r>
      <w:r>
        <w:rPr>
          <w:rFonts w:ascii="宋体" w:hAnsi="宋体" w:eastAsia="宋体" w:cs="宋体"/>
          <w:spacing w:val="-10"/>
          <w:sz w:val="24"/>
          <w:szCs w:val="24"/>
        </w:rPr>
        <w:t>出</w:t>
      </w:r>
      <w:r>
        <w:rPr>
          <w:rFonts w:ascii="宋体" w:hAnsi="宋体" w:eastAsia="宋体" w:cs="宋体"/>
          <w:spacing w:val="-60"/>
          <w:sz w:val="24"/>
          <w:szCs w:val="24"/>
        </w:rPr>
        <w:t xml:space="preserve"> </w:t>
      </w:r>
      <w:r>
        <w:rPr>
          <w:rFonts w:ascii="宋体" w:hAnsi="宋体" w:eastAsia="宋体" w:cs="宋体"/>
          <w:spacing w:val="-10"/>
          <w:sz w:val="24"/>
          <w:szCs w:val="24"/>
        </w:rPr>
        <w:t>毒</w:t>
      </w:r>
      <w:r>
        <w:rPr>
          <w:rFonts w:ascii="宋体" w:hAnsi="宋体" w:eastAsia="宋体" w:cs="宋体"/>
          <w:spacing w:val="-60"/>
          <w:sz w:val="24"/>
          <w:szCs w:val="24"/>
        </w:rPr>
        <w:t xml:space="preserve"> </w:t>
      </w:r>
      <w:r>
        <w:rPr>
          <w:rFonts w:ascii="宋体" w:hAnsi="宋体" w:eastAsia="宋体" w:cs="宋体"/>
          <w:spacing w:val="-10"/>
          <w:sz w:val="24"/>
          <w:szCs w:val="24"/>
        </w:rPr>
        <w:t>性</w:t>
      </w:r>
      <w:r>
        <w:rPr>
          <w:rFonts w:ascii="宋体" w:hAnsi="宋体" w:eastAsia="宋体" w:cs="宋体"/>
          <w:spacing w:val="-62"/>
          <w:sz w:val="24"/>
          <w:szCs w:val="24"/>
        </w:rPr>
        <w:t xml:space="preserve"> </w:t>
      </w:r>
      <w:r>
        <w:rPr>
          <w:rFonts w:ascii="宋体" w:hAnsi="宋体" w:eastAsia="宋体" w:cs="宋体"/>
          <w:spacing w:val="-10"/>
          <w:sz w:val="24"/>
          <w:szCs w:val="24"/>
        </w:rPr>
        <w:t>鉴</w:t>
      </w:r>
      <w:r>
        <w:rPr>
          <w:rFonts w:ascii="宋体" w:hAnsi="宋体" w:eastAsia="宋体" w:cs="宋体"/>
          <w:spacing w:val="-60"/>
          <w:sz w:val="24"/>
          <w:szCs w:val="24"/>
        </w:rPr>
        <w:t xml:space="preserve"> </w:t>
      </w:r>
      <w:r>
        <w:rPr>
          <w:rFonts w:ascii="宋体" w:hAnsi="宋体" w:eastAsia="宋体" w:cs="宋体"/>
          <w:spacing w:val="-10"/>
          <w:sz w:val="24"/>
          <w:szCs w:val="24"/>
        </w:rPr>
        <w:t>别</w:t>
      </w:r>
      <w:r>
        <w:rPr>
          <w:rFonts w:ascii="宋体" w:hAnsi="宋体" w:eastAsia="宋体" w:cs="宋体"/>
          <w:spacing w:val="-62"/>
          <w:sz w:val="24"/>
          <w:szCs w:val="24"/>
        </w:rPr>
        <w:t xml:space="preserve"> </w:t>
      </w:r>
      <w:r>
        <w:rPr>
          <w:rFonts w:ascii="宋体" w:hAnsi="宋体" w:eastAsia="宋体" w:cs="宋体"/>
          <w:spacing w:val="-10"/>
          <w:sz w:val="24"/>
          <w:szCs w:val="24"/>
        </w:rPr>
        <w:t>标</w:t>
      </w:r>
      <w:r>
        <w:rPr>
          <w:rFonts w:ascii="宋体" w:hAnsi="宋体" w:eastAsia="宋体" w:cs="宋体"/>
          <w:spacing w:val="-63"/>
          <w:sz w:val="24"/>
          <w:szCs w:val="24"/>
        </w:rPr>
        <w:t xml:space="preserve"> </w:t>
      </w:r>
      <w:r>
        <w:rPr>
          <w:rFonts w:ascii="宋体" w:hAnsi="宋体" w:eastAsia="宋体" w:cs="宋体"/>
          <w:spacing w:val="-10"/>
          <w:sz w:val="24"/>
          <w:szCs w:val="24"/>
        </w:rPr>
        <w:t>准</w:t>
      </w:r>
      <w:r>
        <w:rPr>
          <w:rFonts w:ascii="宋体" w:hAnsi="宋体" w:eastAsia="宋体" w:cs="宋体"/>
          <w:spacing w:val="-62"/>
          <w:sz w:val="24"/>
          <w:szCs w:val="24"/>
        </w:rPr>
        <w:t xml:space="preserve"> </w:t>
      </w:r>
      <w:r>
        <w:rPr>
          <w:rFonts w:ascii="宋体" w:hAnsi="宋体" w:eastAsia="宋体" w:cs="宋体"/>
          <w:spacing w:val="-10"/>
          <w:sz w:val="24"/>
          <w:szCs w:val="24"/>
        </w:rPr>
        <w:t>值</w:t>
      </w:r>
      <w:r>
        <w:rPr>
          <w:rFonts w:ascii="宋体" w:hAnsi="宋体" w:eastAsia="宋体" w:cs="宋体"/>
          <w:spacing w:val="-62"/>
          <w:sz w:val="24"/>
          <w:szCs w:val="24"/>
        </w:rPr>
        <w:t xml:space="preserve"> </w:t>
      </w:r>
      <w:r>
        <w:rPr>
          <w:rFonts w:ascii="宋体" w:hAnsi="宋体" w:eastAsia="宋体" w:cs="宋体"/>
          <w:spacing w:val="-10"/>
          <w:sz w:val="24"/>
          <w:szCs w:val="24"/>
        </w:rPr>
        <w:t>和</w:t>
      </w:r>
      <w:r>
        <w:rPr>
          <w:rFonts w:ascii="宋体" w:hAnsi="宋体" w:eastAsia="宋体" w:cs="宋体"/>
          <w:spacing w:val="-72"/>
          <w:sz w:val="24"/>
          <w:szCs w:val="24"/>
        </w:rPr>
        <w:t xml:space="preserve"> </w:t>
      </w:r>
      <w:r>
        <w:rPr>
          <w:rFonts w:ascii="宋体" w:hAnsi="宋体" w:eastAsia="宋体" w:cs="宋体"/>
          <w:spacing w:val="-10"/>
          <w:sz w:val="24"/>
          <w:szCs w:val="24"/>
        </w:rPr>
        <w:t>《</w:t>
      </w:r>
      <w:r>
        <w:rPr>
          <w:rFonts w:ascii="宋体" w:hAnsi="宋体" w:eastAsia="宋体" w:cs="宋体"/>
          <w:spacing w:val="-40"/>
          <w:sz w:val="24"/>
          <w:szCs w:val="24"/>
        </w:rPr>
        <w:t xml:space="preserve"> </w:t>
      </w:r>
      <w:r>
        <w:rPr>
          <w:rFonts w:ascii="宋体" w:hAnsi="宋体" w:eastAsia="宋体" w:cs="宋体"/>
          <w:spacing w:val="-10"/>
          <w:sz w:val="24"/>
          <w:szCs w:val="24"/>
        </w:rPr>
        <w:t>污</w:t>
      </w:r>
      <w:r>
        <w:rPr>
          <w:rFonts w:ascii="宋体" w:hAnsi="宋体" w:eastAsia="宋体" w:cs="宋体"/>
          <w:spacing w:val="-59"/>
          <w:sz w:val="24"/>
          <w:szCs w:val="24"/>
        </w:rPr>
        <w:t xml:space="preserve"> </w:t>
      </w:r>
      <w:r>
        <w:rPr>
          <w:rFonts w:ascii="宋体" w:hAnsi="宋体" w:eastAsia="宋体" w:cs="宋体"/>
          <w:spacing w:val="-10"/>
          <w:sz w:val="24"/>
          <w:szCs w:val="24"/>
        </w:rPr>
        <w:t>水</w:t>
      </w:r>
      <w:r>
        <w:rPr>
          <w:rFonts w:ascii="宋体" w:hAnsi="宋体" w:eastAsia="宋体" w:cs="宋体"/>
          <w:spacing w:val="-60"/>
          <w:sz w:val="24"/>
          <w:szCs w:val="24"/>
        </w:rPr>
        <w:t xml:space="preserve"> </w:t>
      </w:r>
      <w:r>
        <w:rPr>
          <w:rFonts w:ascii="宋体" w:hAnsi="宋体" w:eastAsia="宋体" w:cs="宋体"/>
          <w:spacing w:val="-10"/>
          <w:sz w:val="24"/>
          <w:szCs w:val="24"/>
        </w:rPr>
        <w:t>综</w:t>
      </w:r>
      <w:r>
        <w:rPr>
          <w:rFonts w:ascii="宋体" w:hAnsi="宋体" w:eastAsia="宋体" w:cs="宋体"/>
          <w:spacing w:val="-64"/>
          <w:sz w:val="24"/>
          <w:szCs w:val="24"/>
        </w:rPr>
        <w:t xml:space="preserve"> </w:t>
      </w:r>
      <w:r>
        <w:rPr>
          <w:rFonts w:ascii="宋体" w:hAnsi="宋体" w:eastAsia="宋体" w:cs="宋体"/>
          <w:spacing w:val="-10"/>
          <w:sz w:val="24"/>
          <w:szCs w:val="24"/>
        </w:rPr>
        <w:t>合</w:t>
      </w:r>
      <w:r>
        <w:rPr>
          <w:rFonts w:ascii="宋体" w:hAnsi="宋体" w:eastAsia="宋体" w:cs="宋体"/>
          <w:spacing w:val="-63"/>
          <w:sz w:val="24"/>
          <w:szCs w:val="24"/>
        </w:rPr>
        <w:t xml:space="preserve"> </w:t>
      </w:r>
      <w:r>
        <w:rPr>
          <w:rFonts w:ascii="宋体" w:hAnsi="宋体" w:eastAsia="宋体" w:cs="宋体"/>
          <w:spacing w:val="-10"/>
          <w:sz w:val="24"/>
          <w:szCs w:val="24"/>
        </w:rPr>
        <w:t>排</w:t>
      </w:r>
      <w:r>
        <w:rPr>
          <w:rFonts w:ascii="宋体" w:hAnsi="宋体" w:eastAsia="宋体" w:cs="宋体"/>
          <w:spacing w:val="-63"/>
          <w:sz w:val="24"/>
          <w:szCs w:val="24"/>
        </w:rPr>
        <w:t xml:space="preserve"> </w:t>
      </w:r>
      <w:r>
        <w:rPr>
          <w:rFonts w:ascii="宋体" w:hAnsi="宋体" w:eastAsia="宋体" w:cs="宋体"/>
          <w:spacing w:val="-10"/>
          <w:sz w:val="24"/>
          <w:szCs w:val="24"/>
        </w:rPr>
        <w:t>放</w:t>
      </w:r>
      <w:r>
        <w:rPr>
          <w:rFonts w:ascii="宋体" w:hAnsi="宋体" w:eastAsia="宋体" w:cs="宋体"/>
          <w:spacing w:val="-64"/>
          <w:sz w:val="24"/>
          <w:szCs w:val="24"/>
        </w:rPr>
        <w:t xml:space="preserve"> </w:t>
      </w:r>
      <w:r>
        <w:rPr>
          <w:rFonts w:ascii="宋体" w:hAnsi="宋体" w:eastAsia="宋体" w:cs="宋体"/>
          <w:spacing w:val="-10"/>
          <w:sz w:val="24"/>
          <w:szCs w:val="24"/>
        </w:rPr>
        <w:t>标</w:t>
      </w:r>
      <w:r>
        <w:rPr>
          <w:rFonts w:ascii="宋体" w:hAnsi="宋体" w:eastAsia="宋体" w:cs="宋体"/>
          <w:spacing w:val="-60"/>
          <w:sz w:val="24"/>
          <w:szCs w:val="24"/>
        </w:rPr>
        <w:t xml:space="preserve"> </w:t>
      </w:r>
      <w:r>
        <w:rPr>
          <w:rFonts w:ascii="宋体" w:hAnsi="宋体" w:eastAsia="宋体" w:cs="宋体"/>
          <w:spacing w:val="-10"/>
          <w:sz w:val="24"/>
          <w:szCs w:val="24"/>
        </w:rPr>
        <w:t>准</w:t>
      </w:r>
      <w:r>
        <w:rPr>
          <w:rFonts w:ascii="宋体" w:hAnsi="宋体" w:eastAsia="宋体" w:cs="宋体"/>
          <w:spacing w:val="-50"/>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GB8978-1996</w:t>
      </w:r>
      <w:r>
        <w:rPr>
          <w:rFonts w:ascii="宋体" w:hAnsi="宋体" w:eastAsia="宋体" w:cs="宋体"/>
          <w:spacing w:val="-1"/>
          <w:sz w:val="24"/>
          <w:szCs w:val="24"/>
        </w:rPr>
        <w:t>）中最高允许浓度限值，尾矿属于第</w:t>
      </w:r>
      <w:r>
        <w:rPr>
          <w:rFonts w:ascii="宋体" w:hAnsi="宋体" w:eastAsia="宋体" w:cs="宋体"/>
          <w:spacing w:val="-25"/>
          <w:sz w:val="24"/>
          <w:szCs w:val="24"/>
        </w:rPr>
        <w:t xml:space="preserve"> </w:t>
      </w:r>
      <w:r>
        <w:rPr>
          <w:rFonts w:ascii="宋体" w:hAnsi="宋体" w:eastAsia="宋体" w:cs="宋体"/>
          <w:spacing w:val="-1"/>
          <w:sz w:val="24"/>
          <w:szCs w:val="24"/>
        </w:rPr>
        <w:t>Ⅰ类一般工业固体废物并</w:t>
      </w:r>
      <w:r>
        <w:rPr>
          <w:rFonts w:ascii="宋体" w:hAnsi="宋体" w:eastAsia="宋体" w:cs="宋体"/>
          <w:sz w:val="24"/>
          <w:szCs w:val="24"/>
        </w:rPr>
        <w:t xml:space="preserve"> </w:t>
      </w:r>
      <w:r>
        <w:rPr>
          <w:rFonts w:ascii="宋体" w:hAnsi="宋体" w:eastAsia="宋体" w:cs="宋体"/>
          <w:spacing w:val="-1"/>
          <w:sz w:val="24"/>
          <w:szCs w:val="24"/>
        </w:rPr>
        <w:t>且不属于有浸出毒性的危险废物。尾矿浸出毒性鉴别结果见表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3.2-17</w:t>
      </w:r>
      <w:r>
        <w:rPr>
          <w:rFonts w:ascii="宋体" w:hAnsi="宋体" w:eastAsia="宋体" w:cs="宋体"/>
          <w:spacing w:val="-1"/>
          <w:sz w:val="24"/>
          <w:szCs w:val="24"/>
        </w:rPr>
        <w:t>。</w:t>
      </w:r>
    </w:p>
    <w:p w14:paraId="7D91A4AF">
      <w:pPr>
        <w:spacing w:before="2" w:line="359" w:lineRule="auto"/>
        <w:ind w:left="123" w:right="264" w:firstLine="480"/>
        <w:rPr>
          <w:rFonts w:ascii="宋体" w:hAnsi="宋体" w:eastAsia="宋体" w:cs="宋体"/>
          <w:sz w:val="24"/>
          <w:szCs w:val="24"/>
        </w:rPr>
      </w:pPr>
      <w:r>
        <w:rPr>
          <w:rFonts w:ascii="宋体" w:hAnsi="宋体" w:eastAsia="宋体" w:cs="宋体"/>
          <w:spacing w:val="-1"/>
          <w:sz w:val="24"/>
          <w:szCs w:val="24"/>
        </w:rPr>
        <w:t>本项目尾矿年产量为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63.694×10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t/a</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，尾矿经过厂前浓密后经管道输送至现</w:t>
      </w:r>
      <w:r>
        <w:rPr>
          <w:rFonts w:ascii="宋体" w:hAnsi="宋体" w:eastAsia="宋体" w:cs="宋体"/>
          <w:sz w:val="24"/>
          <w:szCs w:val="24"/>
        </w:rPr>
        <w:t xml:space="preserve"> </w:t>
      </w:r>
      <w:r>
        <w:rPr>
          <w:rFonts w:ascii="宋体" w:hAnsi="宋体" w:eastAsia="宋体" w:cs="宋体"/>
          <w:spacing w:val="-2"/>
          <w:sz w:val="24"/>
          <w:szCs w:val="24"/>
        </w:rPr>
        <w:t>有尾矿库贮存。</w:t>
      </w:r>
    </w:p>
    <w:p w14:paraId="6C9F9272">
      <w:pPr>
        <w:spacing w:line="219" w:lineRule="auto"/>
        <w:ind w:left="23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3.2-16          </w:t>
      </w:r>
      <w:r>
        <w:rPr>
          <w:rFonts w:ascii="宋体" w:hAnsi="宋体" w:eastAsia="宋体" w:cs="宋体"/>
          <w:spacing w:val="-1"/>
          <w:sz w:val="24"/>
          <w:szCs w:val="24"/>
        </w:rPr>
        <w:t>尾矿浸出毒性鉴别结果表</w:t>
      </w:r>
    </w:p>
    <w:p w14:paraId="3D4DE6E3">
      <w:pPr>
        <w:spacing w:line="68" w:lineRule="exact"/>
      </w:pPr>
    </w:p>
    <w:tbl>
      <w:tblPr>
        <w:tblStyle w:val="5"/>
        <w:tblW w:w="850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339"/>
        <w:gridCol w:w="1072"/>
        <w:gridCol w:w="1655"/>
        <w:gridCol w:w="1417"/>
        <w:gridCol w:w="1170"/>
        <w:gridCol w:w="1060"/>
      </w:tblGrid>
      <w:tr w14:paraId="17950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96" w:type="dxa"/>
            <w:vAlign w:val="top"/>
          </w:tcPr>
          <w:p w14:paraId="033832A3">
            <w:pPr>
              <w:pStyle w:val="6"/>
              <w:spacing w:before="213" w:line="229" w:lineRule="auto"/>
              <w:ind w:left="193"/>
            </w:pPr>
            <w:r>
              <w:rPr>
                <w:spacing w:val="5"/>
              </w:rPr>
              <w:t>序号</w:t>
            </w:r>
          </w:p>
        </w:tc>
        <w:tc>
          <w:tcPr>
            <w:tcW w:w="1339" w:type="dxa"/>
            <w:vAlign w:val="top"/>
          </w:tcPr>
          <w:p w14:paraId="22AD26CF">
            <w:pPr>
              <w:pStyle w:val="6"/>
              <w:spacing w:before="212" w:line="228" w:lineRule="auto"/>
              <w:ind w:left="252"/>
            </w:pPr>
            <w:r>
              <w:rPr>
                <w:spacing w:val="7"/>
              </w:rPr>
              <w:t>检验项目</w:t>
            </w:r>
          </w:p>
        </w:tc>
        <w:tc>
          <w:tcPr>
            <w:tcW w:w="1072" w:type="dxa"/>
            <w:vAlign w:val="top"/>
          </w:tcPr>
          <w:p w14:paraId="7768034B">
            <w:pPr>
              <w:pStyle w:val="6"/>
              <w:spacing w:before="213" w:line="228" w:lineRule="auto"/>
              <w:ind w:left="120"/>
            </w:pPr>
            <w:r>
              <w:rPr>
                <w:spacing w:val="7"/>
              </w:rPr>
              <w:t>计量单位</w:t>
            </w:r>
          </w:p>
        </w:tc>
        <w:tc>
          <w:tcPr>
            <w:tcW w:w="1655" w:type="dxa"/>
            <w:vAlign w:val="top"/>
          </w:tcPr>
          <w:p w14:paraId="59C1ADB2">
            <w:pPr>
              <w:spacing w:before="93"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5085.3-2007</w:t>
            </w:r>
          </w:p>
          <w:p w14:paraId="670CA969">
            <w:pPr>
              <w:pStyle w:val="6"/>
              <w:spacing w:before="89" w:line="228" w:lineRule="auto"/>
              <w:ind w:left="412"/>
            </w:pPr>
            <w:r>
              <w:rPr>
                <w:spacing w:val="7"/>
              </w:rPr>
              <w:t>标准要求</w:t>
            </w:r>
          </w:p>
        </w:tc>
        <w:tc>
          <w:tcPr>
            <w:tcW w:w="1417" w:type="dxa"/>
            <w:vAlign w:val="top"/>
          </w:tcPr>
          <w:p w14:paraId="25B2D4EE">
            <w:pPr>
              <w:spacing w:before="9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p>
          <w:p w14:paraId="4EE85310">
            <w:pPr>
              <w:pStyle w:val="6"/>
              <w:spacing w:before="89" w:line="228" w:lineRule="auto"/>
              <w:ind w:left="296"/>
            </w:pPr>
            <w:r>
              <w:rPr>
                <w:spacing w:val="7"/>
              </w:rPr>
              <w:t>标准要求</w:t>
            </w:r>
          </w:p>
        </w:tc>
        <w:tc>
          <w:tcPr>
            <w:tcW w:w="1170" w:type="dxa"/>
            <w:vAlign w:val="top"/>
          </w:tcPr>
          <w:p w14:paraId="082938AA">
            <w:pPr>
              <w:pStyle w:val="6"/>
              <w:spacing w:before="212" w:line="228" w:lineRule="auto"/>
              <w:ind w:left="177"/>
            </w:pPr>
            <w:r>
              <w:rPr>
                <w:spacing w:val="6"/>
              </w:rPr>
              <w:t>实测数据</w:t>
            </w:r>
          </w:p>
        </w:tc>
        <w:tc>
          <w:tcPr>
            <w:tcW w:w="1060" w:type="dxa"/>
            <w:vAlign w:val="top"/>
          </w:tcPr>
          <w:p w14:paraId="1B7A95A4">
            <w:pPr>
              <w:pStyle w:val="6"/>
              <w:spacing w:before="213" w:line="228" w:lineRule="auto"/>
              <w:ind w:left="119"/>
            </w:pPr>
            <w:r>
              <w:rPr>
                <w:spacing w:val="6"/>
              </w:rPr>
              <w:t>是否达标</w:t>
            </w:r>
          </w:p>
        </w:tc>
      </w:tr>
      <w:tr w14:paraId="3EFFC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50D169B5">
            <w:pPr>
              <w:spacing w:before="129"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39" w:type="dxa"/>
            <w:vAlign w:val="top"/>
          </w:tcPr>
          <w:p w14:paraId="3FE621E2">
            <w:pPr>
              <w:pStyle w:val="6"/>
              <w:spacing w:before="93" w:line="229" w:lineRule="auto"/>
              <w:ind w:left="569"/>
            </w:pPr>
            <w:r>
              <w:t>铜</w:t>
            </w:r>
          </w:p>
        </w:tc>
        <w:tc>
          <w:tcPr>
            <w:tcW w:w="1072" w:type="dxa"/>
            <w:vAlign w:val="top"/>
          </w:tcPr>
          <w:p w14:paraId="7F96CF5F">
            <w:pPr>
              <w:spacing w:before="125"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73035B06">
            <w:pPr>
              <w:spacing w:before="130"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5DB23F64">
            <w:pPr>
              <w:spacing w:before="13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p>
        </w:tc>
        <w:tc>
          <w:tcPr>
            <w:tcW w:w="1170" w:type="dxa"/>
            <w:vAlign w:val="top"/>
          </w:tcPr>
          <w:p w14:paraId="2EDF96AE">
            <w:pPr>
              <w:spacing w:before="12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060" w:type="dxa"/>
            <w:vAlign w:val="top"/>
          </w:tcPr>
          <w:p w14:paraId="5C50FACA">
            <w:pPr>
              <w:pStyle w:val="6"/>
              <w:spacing w:before="94" w:line="228" w:lineRule="auto"/>
              <w:ind w:left="326"/>
            </w:pPr>
            <w:r>
              <w:rPr>
                <w:spacing w:val="5"/>
              </w:rPr>
              <w:t>达标</w:t>
            </w:r>
          </w:p>
        </w:tc>
      </w:tr>
      <w:tr w14:paraId="0050B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14CDC1E4">
            <w:pPr>
              <w:spacing w:before="130"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39" w:type="dxa"/>
            <w:vAlign w:val="top"/>
          </w:tcPr>
          <w:p w14:paraId="4934E2EA">
            <w:pPr>
              <w:pStyle w:val="6"/>
              <w:spacing w:before="95" w:line="228" w:lineRule="auto"/>
              <w:ind w:left="568"/>
            </w:pPr>
            <w:r>
              <w:rPr>
                <w:spacing w:val="1"/>
              </w:rPr>
              <w:t>锌</w:t>
            </w:r>
          </w:p>
        </w:tc>
        <w:tc>
          <w:tcPr>
            <w:tcW w:w="1072" w:type="dxa"/>
            <w:vAlign w:val="top"/>
          </w:tcPr>
          <w:p w14:paraId="3D7E7C86">
            <w:pPr>
              <w:spacing w:before="126"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3389FE8D">
            <w:pPr>
              <w:spacing w:before="131"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6608932B">
            <w:pPr>
              <w:spacing w:before="13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w:t>
            </w:r>
          </w:p>
        </w:tc>
        <w:tc>
          <w:tcPr>
            <w:tcW w:w="1170" w:type="dxa"/>
            <w:vAlign w:val="top"/>
          </w:tcPr>
          <w:p w14:paraId="4A43779E">
            <w:pPr>
              <w:spacing w:before="130"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060" w:type="dxa"/>
            <w:vAlign w:val="top"/>
          </w:tcPr>
          <w:p w14:paraId="24A5FA99">
            <w:pPr>
              <w:pStyle w:val="6"/>
              <w:spacing w:before="95" w:line="228" w:lineRule="auto"/>
              <w:ind w:left="326"/>
            </w:pPr>
            <w:r>
              <w:rPr>
                <w:spacing w:val="5"/>
              </w:rPr>
              <w:t>达标</w:t>
            </w:r>
          </w:p>
        </w:tc>
      </w:tr>
      <w:tr w14:paraId="5435A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2DCBF021">
            <w:pPr>
              <w:spacing w:before="130"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39" w:type="dxa"/>
            <w:vAlign w:val="top"/>
          </w:tcPr>
          <w:p w14:paraId="7CC19EC2">
            <w:pPr>
              <w:pStyle w:val="6"/>
              <w:spacing w:before="93" w:line="231" w:lineRule="auto"/>
              <w:ind w:left="567"/>
            </w:pPr>
            <w:r>
              <w:rPr>
                <w:spacing w:val="2"/>
              </w:rPr>
              <w:t>镉</w:t>
            </w:r>
          </w:p>
        </w:tc>
        <w:tc>
          <w:tcPr>
            <w:tcW w:w="1072" w:type="dxa"/>
            <w:vAlign w:val="top"/>
          </w:tcPr>
          <w:p w14:paraId="786B9BC0">
            <w:pPr>
              <w:spacing w:before="126"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5415D946">
            <w:pPr>
              <w:spacing w:before="130"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p>
        </w:tc>
        <w:tc>
          <w:tcPr>
            <w:tcW w:w="1417" w:type="dxa"/>
            <w:vAlign w:val="top"/>
          </w:tcPr>
          <w:p w14:paraId="4E03D5BC">
            <w:pPr>
              <w:spacing w:before="13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170" w:type="dxa"/>
            <w:vAlign w:val="top"/>
          </w:tcPr>
          <w:p w14:paraId="4A7ECD09">
            <w:pPr>
              <w:spacing w:before="130"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060" w:type="dxa"/>
            <w:vAlign w:val="top"/>
          </w:tcPr>
          <w:p w14:paraId="07FEB63F">
            <w:pPr>
              <w:pStyle w:val="6"/>
              <w:spacing w:before="94" w:line="228" w:lineRule="auto"/>
              <w:ind w:left="326"/>
            </w:pPr>
            <w:r>
              <w:rPr>
                <w:spacing w:val="5"/>
              </w:rPr>
              <w:t>达标</w:t>
            </w:r>
          </w:p>
        </w:tc>
      </w:tr>
      <w:tr w14:paraId="345DD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2EF7E4D2">
            <w:pPr>
              <w:spacing w:before="131"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39" w:type="dxa"/>
            <w:vAlign w:val="top"/>
          </w:tcPr>
          <w:p w14:paraId="482518F9">
            <w:pPr>
              <w:pStyle w:val="6"/>
              <w:spacing w:before="95" w:line="232" w:lineRule="auto"/>
              <w:ind w:left="569"/>
            </w:pPr>
            <w:r>
              <w:t>铅</w:t>
            </w:r>
          </w:p>
        </w:tc>
        <w:tc>
          <w:tcPr>
            <w:tcW w:w="1072" w:type="dxa"/>
            <w:vAlign w:val="top"/>
          </w:tcPr>
          <w:p w14:paraId="58AD9724">
            <w:pPr>
              <w:spacing w:before="127"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2CC1BFBB">
            <w:pPr>
              <w:spacing w:before="134"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362AD5FB">
            <w:pPr>
              <w:spacing w:before="13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170" w:type="dxa"/>
            <w:vAlign w:val="top"/>
          </w:tcPr>
          <w:p w14:paraId="749414E7">
            <w:pPr>
              <w:spacing w:before="13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060" w:type="dxa"/>
            <w:vAlign w:val="top"/>
          </w:tcPr>
          <w:p w14:paraId="7E8C2369">
            <w:pPr>
              <w:pStyle w:val="6"/>
              <w:spacing w:before="95" w:line="228" w:lineRule="auto"/>
              <w:ind w:left="326"/>
            </w:pPr>
            <w:r>
              <w:rPr>
                <w:spacing w:val="5"/>
              </w:rPr>
              <w:t>达标</w:t>
            </w:r>
          </w:p>
        </w:tc>
      </w:tr>
      <w:tr w14:paraId="315F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0B1A0E58">
            <w:pPr>
              <w:spacing w:before="136" w:line="192"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39" w:type="dxa"/>
            <w:vAlign w:val="top"/>
          </w:tcPr>
          <w:p w14:paraId="582CF5F2">
            <w:pPr>
              <w:pStyle w:val="6"/>
              <w:spacing w:before="97" w:line="230" w:lineRule="auto"/>
              <w:ind w:left="469"/>
            </w:pPr>
            <w:r>
              <w:rPr>
                <w:spacing w:val="2"/>
              </w:rPr>
              <w:t>总铬</w:t>
            </w:r>
          </w:p>
        </w:tc>
        <w:tc>
          <w:tcPr>
            <w:tcW w:w="1072" w:type="dxa"/>
            <w:vAlign w:val="top"/>
          </w:tcPr>
          <w:p w14:paraId="5F93CED7">
            <w:pPr>
              <w:spacing w:before="129"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19D59F3D">
            <w:pPr>
              <w:spacing w:before="133"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417" w:type="dxa"/>
            <w:vAlign w:val="top"/>
          </w:tcPr>
          <w:p w14:paraId="5EA56F7D">
            <w:pPr>
              <w:spacing w:before="133"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w:t>
            </w:r>
          </w:p>
        </w:tc>
        <w:tc>
          <w:tcPr>
            <w:tcW w:w="1170" w:type="dxa"/>
            <w:vAlign w:val="top"/>
          </w:tcPr>
          <w:p w14:paraId="11E0BFB5">
            <w:pPr>
              <w:spacing w:before="13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060" w:type="dxa"/>
            <w:vAlign w:val="top"/>
          </w:tcPr>
          <w:p w14:paraId="2D0D1483">
            <w:pPr>
              <w:pStyle w:val="6"/>
              <w:spacing w:before="97" w:line="228" w:lineRule="auto"/>
              <w:ind w:left="326"/>
            </w:pPr>
            <w:r>
              <w:rPr>
                <w:spacing w:val="5"/>
              </w:rPr>
              <w:t>达标</w:t>
            </w:r>
          </w:p>
        </w:tc>
      </w:tr>
      <w:tr w14:paraId="5CEAF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0337ED74">
            <w:pPr>
              <w:spacing w:before="131"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39" w:type="dxa"/>
            <w:vAlign w:val="top"/>
          </w:tcPr>
          <w:p w14:paraId="28E8B737">
            <w:pPr>
              <w:pStyle w:val="6"/>
              <w:spacing w:before="96" w:line="226" w:lineRule="auto"/>
              <w:ind w:left="360"/>
            </w:pPr>
            <w:r>
              <w:rPr>
                <w:spacing w:val="6"/>
              </w:rPr>
              <w:t>六价铬</w:t>
            </w:r>
          </w:p>
        </w:tc>
        <w:tc>
          <w:tcPr>
            <w:tcW w:w="1072" w:type="dxa"/>
            <w:vAlign w:val="top"/>
          </w:tcPr>
          <w:p w14:paraId="15CBD7FC">
            <w:pPr>
              <w:spacing w:before="127"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33EBC26F">
            <w:pPr>
              <w:spacing w:before="135"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5D2BD29D">
            <w:pPr>
              <w:spacing w:before="132"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0" w:type="dxa"/>
            <w:vAlign w:val="top"/>
          </w:tcPr>
          <w:p w14:paraId="5591F924">
            <w:pPr>
              <w:pStyle w:val="6"/>
              <w:spacing w:before="95" w:line="228" w:lineRule="auto"/>
              <w:ind w:left="281"/>
            </w:pPr>
            <w:r>
              <w:rPr>
                <w:spacing w:val="5"/>
              </w:rPr>
              <w:t>未检出</w:t>
            </w:r>
          </w:p>
        </w:tc>
        <w:tc>
          <w:tcPr>
            <w:tcW w:w="1060" w:type="dxa"/>
            <w:vAlign w:val="top"/>
          </w:tcPr>
          <w:p w14:paraId="3F6B5EE6">
            <w:pPr>
              <w:pStyle w:val="6"/>
              <w:spacing w:before="96" w:line="228" w:lineRule="auto"/>
              <w:ind w:left="326"/>
            </w:pPr>
            <w:r>
              <w:rPr>
                <w:spacing w:val="5"/>
              </w:rPr>
              <w:t>达标</w:t>
            </w:r>
          </w:p>
        </w:tc>
      </w:tr>
      <w:tr w14:paraId="15CB5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4690A8CA">
            <w:pPr>
              <w:spacing w:before="136" w:line="192"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39" w:type="dxa"/>
            <w:vAlign w:val="top"/>
          </w:tcPr>
          <w:p w14:paraId="4282F152">
            <w:pPr>
              <w:pStyle w:val="6"/>
              <w:spacing w:before="98" w:line="228" w:lineRule="auto"/>
              <w:ind w:left="359"/>
            </w:pPr>
            <w:r>
              <w:rPr>
                <w:spacing w:val="6"/>
              </w:rPr>
              <w:t>烷基汞</w:t>
            </w:r>
          </w:p>
        </w:tc>
        <w:tc>
          <w:tcPr>
            <w:tcW w:w="1072" w:type="dxa"/>
            <w:vAlign w:val="top"/>
          </w:tcPr>
          <w:p w14:paraId="22452A0F">
            <w:pPr>
              <w:rPr>
                <w:rFonts w:ascii="Arial"/>
                <w:sz w:val="21"/>
              </w:rPr>
            </w:pPr>
          </w:p>
        </w:tc>
        <w:tc>
          <w:tcPr>
            <w:tcW w:w="1655" w:type="dxa"/>
            <w:vAlign w:val="top"/>
          </w:tcPr>
          <w:p w14:paraId="06892649">
            <w:pPr>
              <w:pStyle w:val="6"/>
              <w:spacing w:before="97" w:line="228" w:lineRule="auto"/>
              <w:ind w:left="415"/>
            </w:pPr>
            <w:r>
              <w:rPr>
                <w:spacing w:val="6"/>
              </w:rPr>
              <w:t>不得检出</w:t>
            </w:r>
          </w:p>
        </w:tc>
        <w:tc>
          <w:tcPr>
            <w:tcW w:w="1417" w:type="dxa"/>
            <w:vAlign w:val="top"/>
          </w:tcPr>
          <w:p w14:paraId="52033A24">
            <w:pPr>
              <w:pStyle w:val="6"/>
              <w:spacing w:before="97" w:line="228" w:lineRule="auto"/>
              <w:ind w:left="298"/>
            </w:pPr>
            <w:r>
              <w:rPr>
                <w:spacing w:val="6"/>
              </w:rPr>
              <w:t>不得检出</w:t>
            </w:r>
          </w:p>
        </w:tc>
        <w:tc>
          <w:tcPr>
            <w:tcW w:w="1170" w:type="dxa"/>
            <w:vAlign w:val="top"/>
          </w:tcPr>
          <w:p w14:paraId="54B04520">
            <w:pPr>
              <w:pStyle w:val="6"/>
              <w:spacing w:before="97" w:line="228" w:lineRule="auto"/>
              <w:ind w:left="281"/>
            </w:pPr>
            <w:r>
              <w:rPr>
                <w:spacing w:val="5"/>
              </w:rPr>
              <w:t>未检出</w:t>
            </w:r>
          </w:p>
        </w:tc>
        <w:tc>
          <w:tcPr>
            <w:tcW w:w="1060" w:type="dxa"/>
            <w:vAlign w:val="top"/>
          </w:tcPr>
          <w:p w14:paraId="456599A1">
            <w:pPr>
              <w:pStyle w:val="6"/>
              <w:spacing w:before="98" w:line="228" w:lineRule="auto"/>
              <w:ind w:left="326"/>
            </w:pPr>
            <w:r>
              <w:rPr>
                <w:spacing w:val="5"/>
              </w:rPr>
              <w:t>达标</w:t>
            </w:r>
          </w:p>
        </w:tc>
      </w:tr>
      <w:tr w14:paraId="77842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2695C5EF">
            <w:pPr>
              <w:spacing w:before="132" w:line="195"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39" w:type="dxa"/>
            <w:vAlign w:val="top"/>
          </w:tcPr>
          <w:p w14:paraId="740A5F82">
            <w:pPr>
              <w:pStyle w:val="6"/>
              <w:spacing w:before="96" w:line="228" w:lineRule="auto"/>
              <w:ind w:left="570"/>
            </w:pPr>
            <w:r>
              <w:t>汞</w:t>
            </w:r>
          </w:p>
        </w:tc>
        <w:tc>
          <w:tcPr>
            <w:tcW w:w="1072" w:type="dxa"/>
            <w:vAlign w:val="top"/>
          </w:tcPr>
          <w:p w14:paraId="6862A507">
            <w:pPr>
              <w:spacing w:before="128"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38167D32">
            <w:pPr>
              <w:spacing w:before="132" w:line="195"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417" w:type="dxa"/>
            <w:vAlign w:val="top"/>
          </w:tcPr>
          <w:p w14:paraId="429C68F5">
            <w:pPr>
              <w:spacing w:before="13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170" w:type="dxa"/>
            <w:vAlign w:val="top"/>
          </w:tcPr>
          <w:p w14:paraId="74753591">
            <w:pPr>
              <w:spacing w:before="132"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060" w:type="dxa"/>
            <w:vAlign w:val="top"/>
          </w:tcPr>
          <w:p w14:paraId="46930609">
            <w:pPr>
              <w:pStyle w:val="6"/>
              <w:spacing w:before="96" w:line="228" w:lineRule="auto"/>
              <w:ind w:left="326"/>
            </w:pPr>
            <w:r>
              <w:rPr>
                <w:spacing w:val="5"/>
              </w:rPr>
              <w:t>达标</w:t>
            </w:r>
          </w:p>
        </w:tc>
      </w:tr>
      <w:tr w14:paraId="6ED94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6DC37006">
            <w:pPr>
              <w:spacing w:before="134"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39" w:type="dxa"/>
            <w:vAlign w:val="top"/>
          </w:tcPr>
          <w:p w14:paraId="6D2C4BF3">
            <w:pPr>
              <w:pStyle w:val="6"/>
              <w:spacing w:before="98" w:line="228" w:lineRule="auto"/>
              <w:ind w:left="568"/>
            </w:pPr>
            <w:r>
              <w:rPr>
                <w:spacing w:val="1"/>
              </w:rPr>
              <w:t>铍</w:t>
            </w:r>
          </w:p>
        </w:tc>
        <w:tc>
          <w:tcPr>
            <w:tcW w:w="1072" w:type="dxa"/>
            <w:vAlign w:val="top"/>
          </w:tcPr>
          <w:p w14:paraId="1A927CBE">
            <w:pPr>
              <w:spacing w:before="130"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792AABFF">
            <w:pPr>
              <w:spacing w:before="134"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≤0.02</w:t>
            </w:r>
          </w:p>
        </w:tc>
        <w:tc>
          <w:tcPr>
            <w:tcW w:w="1417" w:type="dxa"/>
            <w:vAlign w:val="top"/>
          </w:tcPr>
          <w:p w14:paraId="4ACA0DE8">
            <w:pPr>
              <w:spacing w:before="134"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w:t>
            </w:r>
          </w:p>
        </w:tc>
        <w:tc>
          <w:tcPr>
            <w:tcW w:w="1170" w:type="dxa"/>
            <w:vAlign w:val="top"/>
          </w:tcPr>
          <w:p w14:paraId="1AD12AC6">
            <w:pPr>
              <w:pStyle w:val="6"/>
              <w:spacing w:before="98" w:line="228" w:lineRule="auto"/>
              <w:ind w:left="281"/>
            </w:pPr>
            <w:r>
              <w:rPr>
                <w:spacing w:val="5"/>
              </w:rPr>
              <w:t>未检出</w:t>
            </w:r>
          </w:p>
        </w:tc>
        <w:tc>
          <w:tcPr>
            <w:tcW w:w="1060" w:type="dxa"/>
            <w:vAlign w:val="top"/>
          </w:tcPr>
          <w:p w14:paraId="60230F79">
            <w:pPr>
              <w:pStyle w:val="6"/>
              <w:spacing w:before="98" w:line="228" w:lineRule="auto"/>
              <w:ind w:left="326"/>
            </w:pPr>
            <w:r>
              <w:rPr>
                <w:spacing w:val="5"/>
              </w:rPr>
              <w:t>达标</w:t>
            </w:r>
          </w:p>
        </w:tc>
      </w:tr>
      <w:tr w14:paraId="2144E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45B6B245">
            <w:pPr>
              <w:spacing w:before="135"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39" w:type="dxa"/>
            <w:vAlign w:val="top"/>
          </w:tcPr>
          <w:p w14:paraId="41F17E3B">
            <w:pPr>
              <w:pStyle w:val="6"/>
              <w:spacing w:before="99" w:line="230" w:lineRule="auto"/>
              <w:ind w:left="568"/>
            </w:pPr>
            <w:r>
              <w:rPr>
                <w:spacing w:val="1"/>
              </w:rPr>
              <w:t>钡</w:t>
            </w:r>
          </w:p>
        </w:tc>
        <w:tc>
          <w:tcPr>
            <w:tcW w:w="1072" w:type="dxa"/>
            <w:vAlign w:val="top"/>
          </w:tcPr>
          <w:p w14:paraId="0F6CF1B4">
            <w:pPr>
              <w:spacing w:before="131"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11AF1180">
            <w:pPr>
              <w:spacing w:before="135"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13DCF4D1">
            <w:pPr>
              <w:rPr>
                <w:rFonts w:ascii="Arial"/>
                <w:sz w:val="21"/>
              </w:rPr>
            </w:pPr>
          </w:p>
        </w:tc>
        <w:tc>
          <w:tcPr>
            <w:tcW w:w="1170" w:type="dxa"/>
            <w:vAlign w:val="top"/>
          </w:tcPr>
          <w:p w14:paraId="75B04DA3">
            <w:pPr>
              <w:spacing w:before="135"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6.48</w:t>
            </w:r>
          </w:p>
        </w:tc>
        <w:tc>
          <w:tcPr>
            <w:tcW w:w="1060" w:type="dxa"/>
            <w:vAlign w:val="top"/>
          </w:tcPr>
          <w:p w14:paraId="0AD4FA74">
            <w:pPr>
              <w:pStyle w:val="6"/>
              <w:spacing w:before="99" w:line="228" w:lineRule="auto"/>
              <w:ind w:left="326"/>
            </w:pPr>
            <w:r>
              <w:rPr>
                <w:spacing w:val="5"/>
              </w:rPr>
              <w:t>达标</w:t>
            </w:r>
          </w:p>
        </w:tc>
      </w:tr>
      <w:tr w14:paraId="20CA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96" w:type="dxa"/>
            <w:vAlign w:val="top"/>
          </w:tcPr>
          <w:p w14:paraId="3FDDCF56">
            <w:pPr>
              <w:spacing w:before="13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339" w:type="dxa"/>
            <w:vAlign w:val="top"/>
          </w:tcPr>
          <w:p w14:paraId="086B643F">
            <w:pPr>
              <w:pStyle w:val="6"/>
              <w:spacing w:before="98" w:line="228" w:lineRule="auto"/>
              <w:ind w:left="568"/>
            </w:pPr>
            <w:r>
              <w:rPr>
                <w:spacing w:val="1"/>
              </w:rPr>
              <w:t>镍</w:t>
            </w:r>
          </w:p>
        </w:tc>
        <w:tc>
          <w:tcPr>
            <w:tcW w:w="1072" w:type="dxa"/>
            <w:vAlign w:val="top"/>
          </w:tcPr>
          <w:p w14:paraId="13D1BD1B">
            <w:pPr>
              <w:spacing w:before="130"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11155CF9">
            <w:pPr>
              <w:spacing w:before="137"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2A34859A">
            <w:pPr>
              <w:spacing w:before="134"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170" w:type="dxa"/>
            <w:vAlign w:val="top"/>
          </w:tcPr>
          <w:p w14:paraId="26CC6530">
            <w:pPr>
              <w:spacing w:before="13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060" w:type="dxa"/>
            <w:vAlign w:val="top"/>
          </w:tcPr>
          <w:p w14:paraId="4A059D93">
            <w:pPr>
              <w:pStyle w:val="6"/>
              <w:spacing w:before="98" w:line="228" w:lineRule="auto"/>
              <w:ind w:left="326"/>
            </w:pPr>
            <w:r>
              <w:rPr>
                <w:spacing w:val="5"/>
              </w:rPr>
              <w:t>达标</w:t>
            </w:r>
          </w:p>
        </w:tc>
      </w:tr>
      <w:tr w14:paraId="223FE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96" w:type="dxa"/>
            <w:vAlign w:val="top"/>
          </w:tcPr>
          <w:p w14:paraId="408A71D5">
            <w:pPr>
              <w:spacing w:before="135"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339" w:type="dxa"/>
            <w:vAlign w:val="top"/>
          </w:tcPr>
          <w:p w14:paraId="0BA36CDA">
            <w:pPr>
              <w:pStyle w:val="6"/>
              <w:spacing w:before="99" w:line="231" w:lineRule="auto"/>
              <w:ind w:left="469"/>
            </w:pPr>
            <w:r>
              <w:rPr>
                <w:spacing w:val="2"/>
              </w:rPr>
              <w:t>总银</w:t>
            </w:r>
          </w:p>
        </w:tc>
        <w:tc>
          <w:tcPr>
            <w:tcW w:w="1072" w:type="dxa"/>
            <w:vAlign w:val="top"/>
          </w:tcPr>
          <w:p w14:paraId="20C71D84">
            <w:pPr>
              <w:spacing w:before="131"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36F2EAA9">
            <w:pPr>
              <w:spacing w:before="138"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21EA5154">
            <w:pPr>
              <w:spacing w:before="135"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0" w:type="dxa"/>
            <w:vAlign w:val="top"/>
          </w:tcPr>
          <w:p w14:paraId="66CCA3BF">
            <w:pPr>
              <w:spacing w:before="134"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60" w:type="dxa"/>
            <w:vAlign w:val="top"/>
          </w:tcPr>
          <w:p w14:paraId="37AC43E4">
            <w:pPr>
              <w:pStyle w:val="6"/>
              <w:spacing w:before="99" w:line="228" w:lineRule="auto"/>
              <w:ind w:left="326"/>
            </w:pPr>
            <w:r>
              <w:rPr>
                <w:spacing w:val="5"/>
              </w:rPr>
              <w:t>达标</w:t>
            </w:r>
          </w:p>
        </w:tc>
      </w:tr>
    </w:tbl>
    <w:p w14:paraId="43F139D5">
      <w:pPr>
        <w:pStyle w:val="2"/>
        <w:spacing w:line="149" w:lineRule="exact"/>
        <w:rPr>
          <w:sz w:val="12"/>
        </w:rPr>
      </w:pPr>
    </w:p>
    <w:p w14:paraId="40E9DEB3">
      <w:pPr>
        <w:spacing w:line="149" w:lineRule="exact"/>
        <w:rPr>
          <w:sz w:val="12"/>
          <w:szCs w:val="12"/>
        </w:rPr>
        <w:sectPr>
          <w:headerReference r:id="rId84" w:type="default"/>
          <w:footerReference r:id="rId85" w:type="default"/>
          <w:pgSz w:w="11906" w:h="16839"/>
          <w:pgMar w:top="1208" w:right="1684" w:bottom="1358" w:left="1684" w:header="825" w:footer="1195" w:gutter="0"/>
          <w:cols w:space="720" w:num="1"/>
        </w:sectPr>
      </w:pPr>
    </w:p>
    <w:p w14:paraId="1F4656B9">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339"/>
        <w:gridCol w:w="1072"/>
        <w:gridCol w:w="1655"/>
        <w:gridCol w:w="1417"/>
        <w:gridCol w:w="1170"/>
        <w:gridCol w:w="1060"/>
      </w:tblGrid>
      <w:tr w14:paraId="622F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96" w:type="dxa"/>
            <w:vAlign w:val="top"/>
          </w:tcPr>
          <w:p w14:paraId="635D2D5A">
            <w:pPr>
              <w:pStyle w:val="6"/>
              <w:spacing w:before="212" w:line="229" w:lineRule="auto"/>
              <w:ind w:left="193"/>
            </w:pPr>
            <w:r>
              <w:rPr>
                <w:spacing w:val="5"/>
              </w:rPr>
              <w:t>序号</w:t>
            </w:r>
          </w:p>
        </w:tc>
        <w:tc>
          <w:tcPr>
            <w:tcW w:w="1339" w:type="dxa"/>
            <w:vAlign w:val="top"/>
          </w:tcPr>
          <w:p w14:paraId="1F9958DA">
            <w:pPr>
              <w:pStyle w:val="6"/>
              <w:spacing w:before="212" w:line="228" w:lineRule="auto"/>
              <w:ind w:left="252"/>
            </w:pPr>
            <w:r>
              <w:rPr>
                <w:spacing w:val="7"/>
              </w:rPr>
              <w:t>检验项目</w:t>
            </w:r>
          </w:p>
        </w:tc>
        <w:tc>
          <w:tcPr>
            <w:tcW w:w="1072" w:type="dxa"/>
            <w:vAlign w:val="top"/>
          </w:tcPr>
          <w:p w14:paraId="4B9D526F">
            <w:pPr>
              <w:pStyle w:val="6"/>
              <w:spacing w:before="212" w:line="228" w:lineRule="auto"/>
              <w:ind w:left="120"/>
            </w:pPr>
            <w:r>
              <w:rPr>
                <w:spacing w:val="7"/>
              </w:rPr>
              <w:t>计量单位</w:t>
            </w:r>
          </w:p>
        </w:tc>
        <w:tc>
          <w:tcPr>
            <w:tcW w:w="1655" w:type="dxa"/>
            <w:vAlign w:val="top"/>
          </w:tcPr>
          <w:p w14:paraId="0FEB2E30">
            <w:pPr>
              <w:spacing w:before="92"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5085.3-2007</w:t>
            </w:r>
          </w:p>
          <w:p w14:paraId="4A0835C4">
            <w:pPr>
              <w:pStyle w:val="6"/>
              <w:spacing w:before="89" w:line="228" w:lineRule="auto"/>
              <w:ind w:left="412"/>
            </w:pPr>
            <w:r>
              <w:rPr>
                <w:spacing w:val="7"/>
              </w:rPr>
              <w:t>标准要求</w:t>
            </w:r>
          </w:p>
        </w:tc>
        <w:tc>
          <w:tcPr>
            <w:tcW w:w="1417" w:type="dxa"/>
            <w:vAlign w:val="top"/>
          </w:tcPr>
          <w:p w14:paraId="37F46E6F">
            <w:pPr>
              <w:spacing w:before="92"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p>
          <w:p w14:paraId="5CF4B1C6">
            <w:pPr>
              <w:pStyle w:val="6"/>
              <w:spacing w:before="89" w:line="228" w:lineRule="auto"/>
              <w:ind w:left="296"/>
            </w:pPr>
            <w:r>
              <w:rPr>
                <w:spacing w:val="7"/>
              </w:rPr>
              <w:t>标准要求</w:t>
            </w:r>
          </w:p>
        </w:tc>
        <w:tc>
          <w:tcPr>
            <w:tcW w:w="1170" w:type="dxa"/>
            <w:vAlign w:val="top"/>
          </w:tcPr>
          <w:p w14:paraId="3A9AEFB0">
            <w:pPr>
              <w:pStyle w:val="6"/>
              <w:spacing w:before="212" w:line="228" w:lineRule="auto"/>
              <w:ind w:left="177"/>
            </w:pPr>
            <w:r>
              <w:rPr>
                <w:spacing w:val="6"/>
              </w:rPr>
              <w:t>实测数据</w:t>
            </w:r>
          </w:p>
        </w:tc>
        <w:tc>
          <w:tcPr>
            <w:tcW w:w="1060" w:type="dxa"/>
            <w:vAlign w:val="top"/>
          </w:tcPr>
          <w:p w14:paraId="7E889B3C">
            <w:pPr>
              <w:pStyle w:val="6"/>
              <w:spacing w:before="212" w:line="228" w:lineRule="auto"/>
              <w:ind w:left="119"/>
            </w:pPr>
            <w:r>
              <w:rPr>
                <w:spacing w:val="6"/>
              </w:rPr>
              <w:t>是否达标</w:t>
            </w:r>
          </w:p>
        </w:tc>
      </w:tr>
      <w:tr w14:paraId="1A85C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3942046E">
            <w:pPr>
              <w:spacing w:before="131"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39" w:type="dxa"/>
            <w:vAlign w:val="top"/>
          </w:tcPr>
          <w:p w14:paraId="6D23D916">
            <w:pPr>
              <w:pStyle w:val="6"/>
              <w:spacing w:before="95" w:line="228" w:lineRule="auto"/>
              <w:ind w:left="568"/>
            </w:pPr>
            <w:r>
              <w:rPr>
                <w:spacing w:val="1"/>
              </w:rPr>
              <w:t>砷</w:t>
            </w:r>
          </w:p>
        </w:tc>
        <w:tc>
          <w:tcPr>
            <w:tcW w:w="1072" w:type="dxa"/>
            <w:vAlign w:val="top"/>
          </w:tcPr>
          <w:p w14:paraId="403A4AB5">
            <w:pPr>
              <w:spacing w:before="127"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6B492A1A">
            <w:pPr>
              <w:spacing w:before="134"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25BBE7D0">
            <w:pPr>
              <w:spacing w:before="13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0" w:type="dxa"/>
            <w:vAlign w:val="top"/>
          </w:tcPr>
          <w:p w14:paraId="644CE411">
            <w:pPr>
              <w:pStyle w:val="6"/>
              <w:spacing w:before="94" w:line="228" w:lineRule="auto"/>
              <w:ind w:left="281"/>
            </w:pPr>
            <w:r>
              <w:rPr>
                <w:spacing w:val="5"/>
              </w:rPr>
              <w:t>未检出</w:t>
            </w:r>
          </w:p>
        </w:tc>
        <w:tc>
          <w:tcPr>
            <w:tcW w:w="1060" w:type="dxa"/>
            <w:vAlign w:val="top"/>
          </w:tcPr>
          <w:p w14:paraId="75442099">
            <w:pPr>
              <w:pStyle w:val="6"/>
              <w:spacing w:before="95" w:line="228" w:lineRule="auto"/>
              <w:ind w:left="326"/>
            </w:pPr>
            <w:r>
              <w:rPr>
                <w:spacing w:val="5"/>
              </w:rPr>
              <w:t>达标</w:t>
            </w:r>
          </w:p>
        </w:tc>
      </w:tr>
      <w:tr w14:paraId="75EAE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1C7091BC">
            <w:pPr>
              <w:spacing w:before="13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339" w:type="dxa"/>
            <w:vAlign w:val="top"/>
          </w:tcPr>
          <w:p w14:paraId="1FDA96BC">
            <w:pPr>
              <w:pStyle w:val="6"/>
              <w:spacing w:before="94" w:line="231" w:lineRule="auto"/>
              <w:ind w:left="567"/>
            </w:pPr>
            <w:r>
              <w:rPr>
                <w:spacing w:val="2"/>
              </w:rPr>
              <w:t>硒</w:t>
            </w:r>
          </w:p>
        </w:tc>
        <w:tc>
          <w:tcPr>
            <w:tcW w:w="1072" w:type="dxa"/>
            <w:vAlign w:val="top"/>
          </w:tcPr>
          <w:p w14:paraId="3CBC2CB6">
            <w:pPr>
              <w:spacing w:before="126"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68286023">
            <w:pPr>
              <w:spacing w:before="131"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p>
        </w:tc>
        <w:tc>
          <w:tcPr>
            <w:tcW w:w="1417" w:type="dxa"/>
            <w:vAlign w:val="top"/>
          </w:tcPr>
          <w:p w14:paraId="206143D7">
            <w:pPr>
              <w:spacing w:before="13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170" w:type="dxa"/>
            <w:vAlign w:val="top"/>
          </w:tcPr>
          <w:p w14:paraId="4C7ED149">
            <w:pPr>
              <w:pStyle w:val="6"/>
              <w:spacing w:before="94" w:line="228" w:lineRule="auto"/>
              <w:ind w:left="281"/>
            </w:pPr>
            <w:r>
              <w:rPr>
                <w:spacing w:val="5"/>
              </w:rPr>
              <w:t>未检出</w:t>
            </w:r>
          </w:p>
        </w:tc>
        <w:tc>
          <w:tcPr>
            <w:tcW w:w="1060" w:type="dxa"/>
            <w:vAlign w:val="top"/>
          </w:tcPr>
          <w:p w14:paraId="1E74AD49">
            <w:pPr>
              <w:pStyle w:val="6"/>
              <w:spacing w:before="95" w:line="228" w:lineRule="auto"/>
              <w:ind w:left="326"/>
            </w:pPr>
            <w:r>
              <w:rPr>
                <w:spacing w:val="5"/>
              </w:rPr>
              <w:t>达标</w:t>
            </w:r>
          </w:p>
        </w:tc>
      </w:tr>
      <w:tr w14:paraId="19603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63C11026">
            <w:pPr>
              <w:spacing w:before="13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39" w:type="dxa"/>
            <w:vAlign w:val="top"/>
          </w:tcPr>
          <w:p w14:paraId="0081F8F9">
            <w:pPr>
              <w:pStyle w:val="6"/>
              <w:spacing w:before="96" w:line="227" w:lineRule="auto"/>
              <w:ind w:left="360"/>
            </w:pPr>
            <w:r>
              <w:rPr>
                <w:spacing w:val="6"/>
              </w:rPr>
              <w:t>无机砷</w:t>
            </w:r>
          </w:p>
        </w:tc>
        <w:tc>
          <w:tcPr>
            <w:tcW w:w="1072" w:type="dxa"/>
            <w:vAlign w:val="top"/>
          </w:tcPr>
          <w:p w14:paraId="4B35B97E">
            <w:pPr>
              <w:spacing w:before="128"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74FAF495">
            <w:pPr>
              <w:spacing w:before="133"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tc>
        <w:tc>
          <w:tcPr>
            <w:tcW w:w="1417" w:type="dxa"/>
            <w:vAlign w:val="top"/>
          </w:tcPr>
          <w:p w14:paraId="5FE5E353">
            <w:pPr>
              <w:spacing w:before="133"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70" w:type="dxa"/>
            <w:vAlign w:val="top"/>
          </w:tcPr>
          <w:p w14:paraId="06E1A39F">
            <w:pPr>
              <w:spacing w:before="13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60" w:type="dxa"/>
            <w:vAlign w:val="top"/>
          </w:tcPr>
          <w:p w14:paraId="7269F6AC">
            <w:pPr>
              <w:pStyle w:val="6"/>
              <w:spacing w:before="97" w:line="228" w:lineRule="auto"/>
              <w:ind w:left="326"/>
            </w:pPr>
            <w:r>
              <w:rPr>
                <w:spacing w:val="5"/>
              </w:rPr>
              <w:t>达标</w:t>
            </w:r>
          </w:p>
        </w:tc>
      </w:tr>
      <w:tr w14:paraId="6A0FC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96" w:type="dxa"/>
            <w:vAlign w:val="top"/>
          </w:tcPr>
          <w:p w14:paraId="1B80011C">
            <w:pPr>
              <w:spacing w:before="13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339" w:type="dxa"/>
            <w:vAlign w:val="top"/>
          </w:tcPr>
          <w:p w14:paraId="20256624">
            <w:pPr>
              <w:pStyle w:val="6"/>
              <w:spacing w:before="96" w:line="228" w:lineRule="auto"/>
              <w:ind w:left="357"/>
            </w:pPr>
            <w:r>
              <w:rPr>
                <w:spacing w:val="7"/>
              </w:rPr>
              <w:t>氰化物</w:t>
            </w:r>
          </w:p>
        </w:tc>
        <w:tc>
          <w:tcPr>
            <w:tcW w:w="1072" w:type="dxa"/>
            <w:vAlign w:val="top"/>
          </w:tcPr>
          <w:p w14:paraId="5D9CA091">
            <w:pPr>
              <w:spacing w:before="128" w:line="201"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655" w:type="dxa"/>
            <w:vAlign w:val="top"/>
          </w:tcPr>
          <w:p w14:paraId="2F047B5A">
            <w:pPr>
              <w:spacing w:before="135"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w:t>
            </w:r>
          </w:p>
        </w:tc>
        <w:tc>
          <w:tcPr>
            <w:tcW w:w="1417" w:type="dxa"/>
            <w:vAlign w:val="top"/>
          </w:tcPr>
          <w:p w14:paraId="42EBFCAC">
            <w:pPr>
              <w:spacing w:before="132"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170" w:type="dxa"/>
            <w:vAlign w:val="top"/>
          </w:tcPr>
          <w:p w14:paraId="51964A12">
            <w:pPr>
              <w:pStyle w:val="6"/>
              <w:spacing w:before="96" w:line="228" w:lineRule="auto"/>
              <w:ind w:left="281"/>
            </w:pPr>
            <w:r>
              <w:rPr>
                <w:spacing w:val="5"/>
              </w:rPr>
              <w:t>未检出</w:t>
            </w:r>
          </w:p>
        </w:tc>
        <w:tc>
          <w:tcPr>
            <w:tcW w:w="1060" w:type="dxa"/>
            <w:vAlign w:val="top"/>
          </w:tcPr>
          <w:p w14:paraId="479FD60A">
            <w:pPr>
              <w:pStyle w:val="6"/>
              <w:spacing w:before="96" w:line="228" w:lineRule="auto"/>
              <w:ind w:left="326"/>
            </w:pPr>
            <w:r>
              <w:rPr>
                <w:spacing w:val="5"/>
              </w:rPr>
              <w:t>达标</w:t>
            </w:r>
          </w:p>
        </w:tc>
      </w:tr>
      <w:tr w14:paraId="5E5A2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96" w:type="dxa"/>
            <w:vAlign w:val="top"/>
          </w:tcPr>
          <w:p w14:paraId="6C1869B0">
            <w:pPr>
              <w:spacing w:before="134"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339" w:type="dxa"/>
            <w:vAlign w:val="top"/>
          </w:tcPr>
          <w:p w14:paraId="67CEA03D">
            <w:pPr>
              <w:spacing w:before="137" w:line="194"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72" w:type="dxa"/>
            <w:vAlign w:val="top"/>
          </w:tcPr>
          <w:p w14:paraId="00243809">
            <w:pPr>
              <w:rPr>
                <w:rFonts w:ascii="Arial"/>
                <w:sz w:val="21"/>
              </w:rPr>
            </w:pPr>
          </w:p>
        </w:tc>
        <w:tc>
          <w:tcPr>
            <w:tcW w:w="1655" w:type="dxa"/>
            <w:vAlign w:val="top"/>
          </w:tcPr>
          <w:p w14:paraId="6B918764">
            <w:pPr>
              <w:pStyle w:val="6"/>
              <w:spacing w:before="134" w:line="187" w:lineRule="auto"/>
              <w:ind w:left="370"/>
              <w:rPr>
                <w:rFonts w:ascii="Times New Roman" w:hAnsi="Times New Roman" w:eastAsia="Times New Roman" w:cs="Times New Roman"/>
              </w:rPr>
            </w:pPr>
            <w:r>
              <w:rPr>
                <w:rFonts w:ascii="Times New Roman" w:hAnsi="Times New Roman" w:eastAsia="Times New Roman" w:cs="Times New Roman"/>
                <w:spacing w:val="1"/>
              </w:rPr>
              <w:t>≤2</w:t>
            </w:r>
            <w:r>
              <w:rPr>
                <w:rFonts w:ascii="Times New Roman" w:hAnsi="Times New Roman" w:eastAsia="Times New Roman" w:cs="Times New Roman"/>
                <w:spacing w:val="-18"/>
              </w:rPr>
              <w:t xml:space="preserve"> </w:t>
            </w:r>
            <w:r>
              <w:rPr>
                <w:spacing w:val="1"/>
              </w:rPr>
              <w:t>，</w:t>
            </w:r>
            <w:r>
              <w:rPr>
                <w:rFonts w:ascii="Times New Roman" w:hAnsi="Times New Roman" w:eastAsia="Times New Roman" w:cs="Times New Roman"/>
                <w:spacing w:val="1"/>
              </w:rPr>
              <w:t>≥12.5</w:t>
            </w:r>
          </w:p>
        </w:tc>
        <w:tc>
          <w:tcPr>
            <w:tcW w:w="1417" w:type="dxa"/>
            <w:vAlign w:val="top"/>
          </w:tcPr>
          <w:p w14:paraId="23010477">
            <w:pPr>
              <w:spacing w:before="134"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1170" w:type="dxa"/>
            <w:vAlign w:val="top"/>
          </w:tcPr>
          <w:p w14:paraId="1F7FACC3">
            <w:pPr>
              <w:spacing w:before="134"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060" w:type="dxa"/>
            <w:vAlign w:val="top"/>
          </w:tcPr>
          <w:p w14:paraId="57E0798F">
            <w:pPr>
              <w:pStyle w:val="6"/>
              <w:spacing w:before="98" w:line="228" w:lineRule="auto"/>
              <w:ind w:left="326"/>
            </w:pPr>
            <w:r>
              <w:rPr>
                <w:spacing w:val="5"/>
              </w:rPr>
              <w:t>达标</w:t>
            </w:r>
          </w:p>
        </w:tc>
      </w:tr>
    </w:tbl>
    <w:p w14:paraId="46DB381B">
      <w:pPr>
        <w:spacing w:before="116" w:line="217" w:lineRule="auto"/>
        <w:ind w:left="589"/>
        <w:rPr>
          <w:rFonts w:ascii="宋体" w:hAnsi="宋体" w:eastAsia="宋体" w:cs="宋体"/>
          <w:sz w:val="24"/>
          <w:szCs w:val="24"/>
        </w:rPr>
      </w:pPr>
      <w:r>
        <w:rPr>
          <w:rFonts w:ascii="宋体" w:hAnsi="宋体" w:eastAsia="宋体" w:cs="宋体"/>
          <w:spacing w:val="-2"/>
          <w:sz w:val="24"/>
          <w:szCs w:val="24"/>
        </w:rPr>
        <w:t>③废弃包装材料</w:t>
      </w:r>
    </w:p>
    <w:p w14:paraId="195643C6">
      <w:pPr>
        <w:spacing w:before="185" w:line="360" w:lineRule="auto"/>
        <w:ind w:left="112" w:right="310" w:firstLine="478"/>
        <w:rPr>
          <w:rFonts w:ascii="宋体" w:hAnsi="宋体" w:eastAsia="宋体" w:cs="宋体"/>
          <w:sz w:val="24"/>
          <w:szCs w:val="24"/>
        </w:rPr>
      </w:pPr>
      <w:r>
        <w:rPr>
          <w:rFonts w:ascii="宋体" w:hAnsi="宋体" w:eastAsia="宋体" w:cs="宋体"/>
          <w:sz w:val="24"/>
          <w:szCs w:val="24"/>
        </w:rPr>
        <w:t>选矿车间每年产生少量的浮选药品包装袋、包</w:t>
      </w:r>
      <w:r>
        <w:rPr>
          <w:rFonts w:ascii="宋体" w:hAnsi="宋体" w:eastAsia="宋体" w:cs="宋体"/>
          <w:spacing w:val="-1"/>
          <w:sz w:val="24"/>
          <w:szCs w:val="24"/>
        </w:rPr>
        <w:t>装铁桶，产生量约为</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2t/a</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这部分废品属于</w:t>
      </w:r>
      <w:r>
        <w:rPr>
          <w:rFonts w:ascii="宋体" w:hAnsi="宋体" w:eastAsia="宋体" w:cs="宋体"/>
          <w:spacing w:val="-33"/>
          <w:sz w:val="24"/>
          <w:szCs w:val="24"/>
        </w:rPr>
        <w:t xml:space="preserve"> </w:t>
      </w:r>
      <w:r>
        <w:rPr>
          <w:rFonts w:ascii="宋体" w:hAnsi="宋体" w:eastAsia="宋体" w:cs="宋体"/>
          <w:spacing w:val="-3"/>
          <w:sz w:val="24"/>
          <w:szCs w:val="24"/>
        </w:rPr>
        <w:t>Ⅰ类一般工业固体废物，暂存后定期外卖给废品回收企业。</w:t>
      </w:r>
    </w:p>
    <w:p w14:paraId="78F43996">
      <w:pPr>
        <w:spacing w:line="217" w:lineRule="auto"/>
        <w:ind w:left="589"/>
        <w:rPr>
          <w:rFonts w:ascii="宋体" w:hAnsi="宋体" w:eastAsia="宋体" w:cs="宋体"/>
          <w:sz w:val="24"/>
          <w:szCs w:val="24"/>
        </w:rPr>
      </w:pPr>
      <w:r>
        <w:rPr>
          <w:rFonts w:ascii="宋体" w:hAnsi="宋体" w:eastAsia="宋体" w:cs="宋体"/>
          <w:spacing w:val="-2"/>
          <w:sz w:val="24"/>
          <w:szCs w:val="24"/>
        </w:rPr>
        <w:t>④锅炉灰渣</w:t>
      </w:r>
    </w:p>
    <w:p w14:paraId="5457D214">
      <w:pPr>
        <w:spacing w:before="185" w:line="360" w:lineRule="auto"/>
        <w:ind w:left="111" w:right="249" w:firstLine="481"/>
        <w:rPr>
          <w:rFonts w:ascii="宋体" w:hAnsi="宋体" w:eastAsia="宋体" w:cs="宋体"/>
          <w:sz w:val="24"/>
          <w:szCs w:val="24"/>
        </w:rPr>
      </w:pPr>
      <w:r>
        <w:rPr>
          <w:rFonts w:ascii="宋体" w:hAnsi="宋体" w:eastAsia="宋体" w:cs="宋体"/>
          <w:spacing w:val="1"/>
          <w:sz w:val="24"/>
          <w:szCs w:val="24"/>
        </w:rPr>
        <w:t>生物质锅炉灰渣产生量为</w:t>
      </w:r>
      <w:r>
        <w:rPr>
          <w:rFonts w:ascii="宋体" w:hAnsi="宋体" w:eastAsia="宋体" w:cs="宋体"/>
          <w:spacing w:val="-46"/>
          <w:sz w:val="24"/>
          <w:szCs w:val="24"/>
        </w:rPr>
        <w:t xml:space="preserve"> </w:t>
      </w:r>
      <w:r>
        <w:rPr>
          <w:rFonts w:ascii="宋体" w:hAnsi="宋体" w:eastAsia="宋体" w:cs="宋体"/>
          <w:spacing w:val="1"/>
          <w:sz w:val="24"/>
          <w:szCs w:val="24"/>
        </w:rPr>
        <w:t>37.5t/a，产生的锅炉灰渣部分用于厂区绿化施</w:t>
      </w:r>
      <w:r>
        <w:rPr>
          <w:rFonts w:ascii="宋体" w:hAnsi="宋体" w:eastAsia="宋体" w:cs="宋体"/>
          <w:sz w:val="24"/>
          <w:szCs w:val="24"/>
        </w:rPr>
        <w:t xml:space="preserve"> 肥，剩余部分调湿后袋装暂存于矿区生活垃圾暂存池</w:t>
      </w:r>
      <w:r>
        <w:rPr>
          <w:rFonts w:ascii="宋体" w:hAnsi="宋体" w:eastAsia="宋体" w:cs="宋体"/>
          <w:spacing w:val="-1"/>
          <w:sz w:val="24"/>
          <w:szCs w:val="24"/>
        </w:rPr>
        <w:t>，暂存池三面围挡及地面</w:t>
      </w:r>
      <w:r>
        <w:rPr>
          <w:rFonts w:ascii="宋体" w:hAnsi="宋体" w:eastAsia="宋体" w:cs="宋体"/>
          <w:sz w:val="24"/>
          <w:szCs w:val="24"/>
        </w:rPr>
        <w:t xml:space="preserve"> </w:t>
      </w:r>
      <w:r>
        <w:rPr>
          <w:rFonts w:ascii="宋体" w:hAnsi="宋体" w:eastAsia="宋体" w:cs="宋体"/>
          <w:spacing w:val="-1"/>
          <w:sz w:val="24"/>
          <w:szCs w:val="24"/>
        </w:rPr>
        <w:t>均采用水泥进行硬化防渗处理。</w:t>
      </w:r>
    </w:p>
    <w:p w14:paraId="5C678A91">
      <w:pPr>
        <w:spacing w:line="217" w:lineRule="auto"/>
        <w:ind w:left="589"/>
        <w:rPr>
          <w:rFonts w:ascii="宋体" w:hAnsi="宋体" w:eastAsia="宋体" w:cs="宋体"/>
          <w:sz w:val="24"/>
          <w:szCs w:val="24"/>
        </w:rPr>
      </w:pPr>
      <w:r>
        <w:rPr>
          <w:rFonts w:ascii="宋体" w:hAnsi="宋体" w:eastAsia="宋体" w:cs="宋体"/>
          <w:spacing w:val="-2"/>
          <w:sz w:val="24"/>
          <w:szCs w:val="24"/>
        </w:rPr>
        <w:t>⑤尾矿回水污泥</w:t>
      </w:r>
    </w:p>
    <w:p w14:paraId="17C0682A">
      <w:pPr>
        <w:spacing w:before="184" w:line="330" w:lineRule="auto"/>
        <w:ind w:left="110" w:right="252" w:firstLine="480"/>
        <w:rPr>
          <w:rFonts w:ascii="宋体" w:hAnsi="宋体" w:eastAsia="宋体" w:cs="宋体"/>
          <w:sz w:val="24"/>
          <w:szCs w:val="24"/>
        </w:rPr>
      </w:pPr>
      <w:r>
        <w:rPr>
          <w:rFonts w:ascii="宋体" w:hAnsi="宋体" w:eastAsia="宋体" w:cs="宋体"/>
          <w:spacing w:val="-2"/>
          <w:sz w:val="24"/>
          <w:szCs w:val="24"/>
        </w:rPr>
        <w:t>选矿车间尾矿回水采用混凝沉淀工艺处理，产生</w:t>
      </w:r>
      <w:r>
        <w:rPr>
          <w:rFonts w:ascii="宋体" w:hAnsi="宋体" w:eastAsia="宋体" w:cs="宋体"/>
          <w:spacing w:val="-3"/>
          <w:sz w:val="24"/>
          <w:szCs w:val="24"/>
        </w:rPr>
        <w:t>污泥量约为</w:t>
      </w:r>
      <w:r>
        <w:rPr>
          <w:rFonts w:ascii="宋体" w:hAnsi="宋体" w:eastAsia="宋体" w:cs="宋体"/>
          <w:spacing w:val="-46"/>
          <w:sz w:val="24"/>
          <w:szCs w:val="24"/>
        </w:rPr>
        <w:t xml:space="preserve"> </w:t>
      </w:r>
      <w:r>
        <w:rPr>
          <w:rFonts w:ascii="宋体" w:hAnsi="宋体" w:eastAsia="宋体" w:cs="宋体"/>
          <w:spacing w:val="-3"/>
          <w:sz w:val="24"/>
          <w:szCs w:val="24"/>
        </w:rPr>
        <w:t>500t/a，与尾</w:t>
      </w:r>
      <w:r>
        <w:rPr>
          <w:rFonts w:ascii="宋体" w:hAnsi="宋体" w:eastAsia="宋体" w:cs="宋体"/>
          <w:sz w:val="24"/>
          <w:szCs w:val="24"/>
        </w:rPr>
        <w:t xml:space="preserve"> </w:t>
      </w:r>
      <w:r>
        <w:rPr>
          <w:rFonts w:ascii="宋体" w:hAnsi="宋体" w:eastAsia="宋体" w:cs="宋体"/>
          <w:spacing w:val="-1"/>
          <w:sz w:val="24"/>
          <w:szCs w:val="24"/>
        </w:rPr>
        <w:t>矿性质类似，堆存于尾矿库。</w:t>
      </w:r>
    </w:p>
    <w:p w14:paraId="65FD4BD6">
      <w:pPr>
        <w:spacing w:line="217" w:lineRule="auto"/>
        <w:ind w:left="589"/>
        <w:rPr>
          <w:rFonts w:ascii="宋体" w:hAnsi="宋体" w:eastAsia="宋体" w:cs="宋体"/>
          <w:sz w:val="24"/>
          <w:szCs w:val="24"/>
        </w:rPr>
      </w:pPr>
      <w:r>
        <w:rPr>
          <w:rFonts w:ascii="宋体" w:hAnsi="宋体" w:eastAsia="宋体" w:cs="宋体"/>
          <w:spacing w:val="-2"/>
          <w:sz w:val="24"/>
          <w:szCs w:val="24"/>
        </w:rPr>
        <w:t>⑥除尘灰</w:t>
      </w:r>
    </w:p>
    <w:p w14:paraId="3179E90D">
      <w:pPr>
        <w:spacing w:before="183" w:line="361" w:lineRule="auto"/>
        <w:ind w:left="157" w:right="252" w:firstLine="434"/>
        <w:rPr>
          <w:rFonts w:ascii="宋体" w:hAnsi="宋体" w:eastAsia="宋体" w:cs="宋体"/>
          <w:sz w:val="24"/>
          <w:szCs w:val="24"/>
        </w:rPr>
      </w:pPr>
      <w:r>
        <w:rPr>
          <w:rFonts w:ascii="宋体" w:hAnsi="宋体" w:eastAsia="宋体" w:cs="宋体"/>
          <w:spacing w:val="-4"/>
          <w:sz w:val="24"/>
          <w:szCs w:val="24"/>
        </w:rPr>
        <w:t>布袋除尘系统收集的除尘灰量约为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110.7t/a</w:t>
      </w:r>
      <w:r>
        <w:rPr>
          <w:rFonts w:ascii="宋体" w:hAnsi="宋体" w:eastAsia="宋体" w:cs="宋体"/>
          <w:spacing w:val="-4"/>
          <w:sz w:val="24"/>
          <w:szCs w:val="24"/>
        </w:rPr>
        <w:t>，为一</w:t>
      </w:r>
      <w:r>
        <w:rPr>
          <w:rFonts w:ascii="宋体" w:hAnsi="宋体" w:eastAsia="宋体" w:cs="宋体"/>
          <w:spacing w:val="-5"/>
          <w:sz w:val="24"/>
          <w:szCs w:val="24"/>
        </w:rPr>
        <w:t>般性固体废弃物，作为项</w:t>
      </w:r>
      <w:r>
        <w:rPr>
          <w:rFonts w:ascii="宋体" w:hAnsi="宋体" w:eastAsia="宋体" w:cs="宋体"/>
          <w:sz w:val="24"/>
          <w:szCs w:val="24"/>
        </w:rPr>
        <w:t xml:space="preserve"> </w:t>
      </w:r>
      <w:r>
        <w:rPr>
          <w:rFonts w:ascii="宋体" w:hAnsi="宋体" w:eastAsia="宋体" w:cs="宋体"/>
          <w:spacing w:val="-8"/>
          <w:sz w:val="24"/>
          <w:szCs w:val="24"/>
        </w:rPr>
        <w:t>目原料再利用。</w:t>
      </w:r>
    </w:p>
    <w:p w14:paraId="6742D259">
      <w:pPr>
        <w:spacing w:before="75" w:line="217" w:lineRule="auto"/>
        <w:ind w:left="589"/>
        <w:rPr>
          <w:rFonts w:ascii="宋体" w:hAnsi="宋体" w:eastAsia="宋体" w:cs="宋体"/>
          <w:sz w:val="24"/>
          <w:szCs w:val="24"/>
        </w:rPr>
      </w:pPr>
      <w:r>
        <w:rPr>
          <w:rFonts w:ascii="宋体" w:hAnsi="宋体" w:eastAsia="宋体" w:cs="宋体"/>
          <w:spacing w:val="-1"/>
          <w:sz w:val="24"/>
          <w:szCs w:val="24"/>
        </w:rPr>
        <w:t>⑦矿井水沉淀池污泥</w:t>
      </w:r>
    </w:p>
    <w:p w14:paraId="29A06BF7">
      <w:pPr>
        <w:spacing w:before="186" w:line="360" w:lineRule="auto"/>
        <w:ind w:left="110" w:right="252" w:firstLine="480"/>
        <w:rPr>
          <w:rFonts w:ascii="宋体" w:hAnsi="宋体" w:eastAsia="宋体" w:cs="宋体"/>
          <w:sz w:val="24"/>
          <w:szCs w:val="24"/>
        </w:rPr>
      </w:pPr>
      <w:r>
        <w:rPr>
          <w:rFonts w:ascii="宋体" w:hAnsi="宋体" w:eastAsia="宋体" w:cs="宋体"/>
          <w:spacing w:val="-1"/>
          <w:sz w:val="24"/>
          <w:szCs w:val="24"/>
        </w:rPr>
        <w:t>矿井水沉淀池产生污泥量为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7.04t/a</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，直接运往本</w:t>
      </w:r>
      <w:r>
        <w:rPr>
          <w:rFonts w:ascii="宋体" w:hAnsi="宋体" w:eastAsia="宋体" w:cs="宋体"/>
          <w:spacing w:val="-2"/>
          <w:sz w:val="24"/>
          <w:szCs w:val="24"/>
        </w:rPr>
        <w:t>项目配套的选矿厂进行洗</w:t>
      </w:r>
      <w:r>
        <w:rPr>
          <w:rFonts w:ascii="宋体" w:hAnsi="宋体" w:eastAsia="宋体" w:cs="宋体"/>
          <w:sz w:val="24"/>
          <w:szCs w:val="24"/>
        </w:rPr>
        <w:t xml:space="preserve"> </w:t>
      </w:r>
      <w:r>
        <w:rPr>
          <w:rFonts w:ascii="宋体" w:hAnsi="宋体" w:eastAsia="宋体" w:cs="宋体"/>
          <w:spacing w:val="-5"/>
          <w:sz w:val="24"/>
          <w:szCs w:val="24"/>
        </w:rPr>
        <w:t>选。</w:t>
      </w:r>
    </w:p>
    <w:p w14:paraId="777B415E">
      <w:pPr>
        <w:spacing w:line="220"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）生活垃圾</w:t>
      </w:r>
    </w:p>
    <w:p w14:paraId="1540A5B7">
      <w:pPr>
        <w:spacing w:before="182" w:line="360" w:lineRule="auto"/>
        <w:ind w:left="115" w:right="252" w:firstLine="478"/>
        <w:rPr>
          <w:rFonts w:ascii="宋体" w:hAnsi="宋体" w:eastAsia="宋体" w:cs="宋体"/>
          <w:sz w:val="24"/>
          <w:szCs w:val="24"/>
        </w:rPr>
      </w:pPr>
      <w:r>
        <w:rPr>
          <w:rFonts w:ascii="宋体" w:hAnsi="宋体" w:eastAsia="宋体" w:cs="宋体"/>
          <w:spacing w:val="-3"/>
          <w:sz w:val="24"/>
          <w:szCs w:val="24"/>
        </w:rPr>
        <w:t>现有工程定员为</w:t>
      </w:r>
      <w:r>
        <w:rPr>
          <w:rFonts w:ascii="宋体" w:hAnsi="宋体" w:eastAsia="宋体" w:cs="宋体"/>
          <w:spacing w:val="-16"/>
          <w:sz w:val="24"/>
          <w:szCs w:val="24"/>
        </w:rPr>
        <w:t xml:space="preserve"> </w:t>
      </w:r>
      <w:r>
        <w:rPr>
          <w:rFonts w:ascii="Times New Roman" w:hAnsi="Times New Roman" w:eastAsia="Times New Roman" w:cs="Times New Roman"/>
          <w:spacing w:val="-3"/>
          <w:sz w:val="24"/>
          <w:szCs w:val="24"/>
        </w:rPr>
        <w:t xml:space="preserve">1277 </w:t>
      </w:r>
      <w:r>
        <w:rPr>
          <w:rFonts w:ascii="宋体" w:hAnsi="宋体" w:eastAsia="宋体" w:cs="宋体"/>
          <w:spacing w:val="-3"/>
          <w:sz w:val="24"/>
          <w:szCs w:val="24"/>
        </w:rPr>
        <w:t>人，生活垃圾排放量约为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190.2t/a</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。通过厂内生活区</w:t>
      </w:r>
      <w:r>
        <w:rPr>
          <w:rFonts w:ascii="宋体" w:hAnsi="宋体" w:eastAsia="宋体" w:cs="宋体"/>
          <w:sz w:val="24"/>
          <w:szCs w:val="24"/>
        </w:rPr>
        <w:t xml:space="preserve"> </w:t>
      </w:r>
      <w:r>
        <w:rPr>
          <w:rFonts w:ascii="宋体" w:hAnsi="宋体" w:eastAsia="宋体" w:cs="宋体"/>
          <w:spacing w:val="-1"/>
          <w:sz w:val="24"/>
          <w:szCs w:val="24"/>
        </w:rPr>
        <w:t>设置的垃圾箱定点收集垃圾，后由环卫部门统一拉运清理。</w:t>
      </w:r>
    </w:p>
    <w:p w14:paraId="2D13322D">
      <w:pPr>
        <w:spacing w:line="220"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）危险废物</w:t>
      </w:r>
    </w:p>
    <w:p w14:paraId="7533E616">
      <w:pPr>
        <w:spacing w:before="181" w:line="219" w:lineRule="auto"/>
        <w:ind w:left="590"/>
        <w:rPr>
          <w:rFonts w:ascii="宋体" w:hAnsi="宋体" w:eastAsia="宋体" w:cs="宋体"/>
          <w:sz w:val="24"/>
          <w:szCs w:val="24"/>
        </w:rPr>
      </w:pPr>
      <w:r>
        <w:rPr>
          <w:rFonts w:ascii="宋体" w:hAnsi="宋体" w:eastAsia="宋体" w:cs="宋体"/>
          <w:spacing w:val="-1"/>
          <w:sz w:val="24"/>
          <w:szCs w:val="24"/>
        </w:rPr>
        <w:t>废机油（</w:t>
      </w:r>
      <w:r>
        <w:rPr>
          <w:rFonts w:ascii="Times New Roman" w:hAnsi="Times New Roman" w:eastAsia="Times New Roman" w:cs="Times New Roman"/>
          <w:spacing w:val="-1"/>
          <w:sz w:val="24"/>
          <w:szCs w:val="24"/>
        </w:rPr>
        <w:t>HW08 900-214-08</w:t>
      </w:r>
      <w:r>
        <w:rPr>
          <w:rFonts w:ascii="宋体" w:hAnsi="宋体" w:eastAsia="宋体" w:cs="宋体"/>
          <w:spacing w:val="-1"/>
          <w:sz w:val="24"/>
          <w:szCs w:val="24"/>
        </w:rPr>
        <w:t>）</w:t>
      </w:r>
    </w:p>
    <w:p w14:paraId="03A60B5F">
      <w:pPr>
        <w:spacing w:before="183" w:line="330" w:lineRule="auto"/>
        <w:ind w:left="117" w:right="190" w:firstLine="476"/>
        <w:rPr>
          <w:rFonts w:ascii="宋体" w:hAnsi="宋体" w:eastAsia="宋体" w:cs="宋体"/>
          <w:sz w:val="24"/>
          <w:szCs w:val="24"/>
        </w:rPr>
      </w:pPr>
      <w:r>
        <w:rPr>
          <w:rFonts w:ascii="宋体" w:hAnsi="宋体" w:eastAsia="宋体" w:cs="宋体"/>
          <w:spacing w:val="-5"/>
          <w:sz w:val="24"/>
          <w:szCs w:val="24"/>
        </w:rPr>
        <w:t>现有工程全厂设备维护产生废机油</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1t/a</w:t>
      </w:r>
      <w:r>
        <w:rPr>
          <w:rFonts w:ascii="宋体" w:hAnsi="宋体" w:eastAsia="宋体" w:cs="宋体"/>
          <w:spacing w:val="-5"/>
          <w:sz w:val="24"/>
          <w:szCs w:val="24"/>
        </w:rPr>
        <w:t>，由废油桶收集暂存于危废贮存间，</w:t>
      </w:r>
      <w:r>
        <w:rPr>
          <w:rFonts w:ascii="宋体" w:hAnsi="宋体" w:eastAsia="宋体" w:cs="宋体"/>
          <w:sz w:val="24"/>
          <w:szCs w:val="24"/>
        </w:rPr>
        <w:t xml:space="preserve"> </w:t>
      </w:r>
      <w:r>
        <w:rPr>
          <w:rFonts w:ascii="宋体" w:hAnsi="宋体" w:eastAsia="宋体" w:cs="宋体"/>
          <w:spacing w:val="-2"/>
          <w:sz w:val="24"/>
          <w:szCs w:val="24"/>
        </w:rPr>
        <w:t>定期送至有资质单位处理。</w:t>
      </w:r>
    </w:p>
    <w:p w14:paraId="26089998">
      <w:pPr>
        <w:spacing w:line="219" w:lineRule="auto"/>
        <w:ind w:left="169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3.2-17    </w:t>
      </w:r>
      <w:r>
        <w:rPr>
          <w:rFonts w:ascii="宋体" w:hAnsi="宋体" w:eastAsia="宋体" w:cs="宋体"/>
          <w:spacing w:val="-1"/>
          <w:sz w:val="24"/>
          <w:szCs w:val="24"/>
        </w:rPr>
        <w:t>现有工程全厂固体废弃物情况一览表</w:t>
      </w:r>
    </w:p>
    <w:p w14:paraId="53791E8E">
      <w:pPr>
        <w:spacing w:line="219" w:lineRule="auto"/>
        <w:rPr>
          <w:rFonts w:ascii="宋体" w:hAnsi="宋体" w:eastAsia="宋体" w:cs="宋体"/>
          <w:sz w:val="24"/>
          <w:szCs w:val="24"/>
        </w:rPr>
        <w:sectPr>
          <w:headerReference r:id="rId86" w:type="default"/>
          <w:footerReference r:id="rId87" w:type="default"/>
          <w:pgSz w:w="11906" w:h="16839"/>
          <w:pgMar w:top="1208" w:right="1696" w:bottom="1358" w:left="1695" w:header="825" w:footer="1195" w:gutter="0"/>
          <w:cols w:space="720" w:num="1"/>
        </w:sectPr>
      </w:pPr>
    </w:p>
    <w:p w14:paraId="663CED90">
      <w:pPr>
        <w:spacing w:line="231"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2"/>
        <w:gridCol w:w="1515"/>
        <w:gridCol w:w="1275"/>
        <w:gridCol w:w="1416"/>
        <w:gridCol w:w="1275"/>
        <w:gridCol w:w="2469"/>
      </w:tblGrid>
      <w:tr w14:paraId="43DC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2" w:type="dxa"/>
            <w:textDirection w:val="tbRlV"/>
            <w:vAlign w:val="top"/>
          </w:tcPr>
          <w:p w14:paraId="2732DA3E">
            <w:pPr>
              <w:pStyle w:val="6"/>
              <w:spacing w:before="184" w:line="218" w:lineRule="auto"/>
              <w:ind w:left="56"/>
            </w:pPr>
            <w:r>
              <w:rPr>
                <w:spacing w:val="6"/>
              </w:rPr>
              <w:t>序 号</w:t>
            </w:r>
          </w:p>
        </w:tc>
        <w:tc>
          <w:tcPr>
            <w:tcW w:w="1515" w:type="dxa"/>
            <w:vAlign w:val="top"/>
          </w:tcPr>
          <w:p w14:paraId="6883CE78">
            <w:pPr>
              <w:pStyle w:val="6"/>
              <w:spacing w:before="212" w:line="230" w:lineRule="auto"/>
              <w:ind w:left="552"/>
            </w:pPr>
            <w:r>
              <w:rPr>
                <w:spacing w:val="3"/>
              </w:rPr>
              <w:t>名称</w:t>
            </w:r>
          </w:p>
        </w:tc>
        <w:tc>
          <w:tcPr>
            <w:tcW w:w="1275" w:type="dxa"/>
            <w:vAlign w:val="top"/>
          </w:tcPr>
          <w:p w14:paraId="47272F90">
            <w:pPr>
              <w:pStyle w:val="6"/>
              <w:spacing w:before="56" w:line="228" w:lineRule="auto"/>
              <w:ind w:left="222"/>
            </w:pPr>
            <w:r>
              <w:rPr>
                <w:spacing w:val="7"/>
              </w:rPr>
              <w:t>产生数量</w:t>
            </w:r>
          </w:p>
          <w:p w14:paraId="629F5CDA">
            <w:pPr>
              <w:spacing w:before="97" w:line="199"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416" w:type="dxa"/>
            <w:vAlign w:val="top"/>
          </w:tcPr>
          <w:p w14:paraId="48FB2FDC">
            <w:pPr>
              <w:pStyle w:val="6"/>
              <w:spacing w:before="56" w:line="228" w:lineRule="auto"/>
              <w:ind w:left="191"/>
            </w:pPr>
            <w:r>
              <w:rPr>
                <w:spacing w:val="7"/>
              </w:rPr>
              <w:t>综合利用量</w:t>
            </w:r>
          </w:p>
          <w:p w14:paraId="2B0F4F85">
            <w:pPr>
              <w:spacing w:before="96" w:line="199"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275" w:type="dxa"/>
            <w:vAlign w:val="top"/>
          </w:tcPr>
          <w:p w14:paraId="4872CDD1">
            <w:pPr>
              <w:pStyle w:val="6"/>
              <w:spacing w:before="212" w:line="232" w:lineRule="auto"/>
              <w:ind w:left="202"/>
              <w:rPr>
                <w:rFonts w:ascii="Times New Roman" w:hAnsi="Times New Roman" w:eastAsia="Times New Roman" w:cs="Times New Roman"/>
              </w:rPr>
            </w:pPr>
            <w:r>
              <w:rPr>
                <w:spacing w:val="3"/>
              </w:rPr>
              <w:t>处置量</w:t>
            </w:r>
            <w:r>
              <w:rPr>
                <w:spacing w:val="-42"/>
              </w:rPr>
              <w:t xml:space="preserve"> </w:t>
            </w:r>
            <w:r>
              <w:rPr>
                <w:rFonts w:ascii="Times New Roman" w:hAnsi="Times New Roman" w:eastAsia="Times New Roman" w:cs="Times New Roman"/>
                <w:spacing w:val="3"/>
              </w:rPr>
              <w:t>t/a</w:t>
            </w:r>
          </w:p>
        </w:tc>
        <w:tc>
          <w:tcPr>
            <w:tcW w:w="2469" w:type="dxa"/>
            <w:vAlign w:val="top"/>
          </w:tcPr>
          <w:p w14:paraId="4A560981">
            <w:pPr>
              <w:pStyle w:val="6"/>
              <w:spacing w:before="212" w:line="228" w:lineRule="auto"/>
              <w:ind w:left="508"/>
            </w:pPr>
            <w:r>
              <w:rPr>
                <w:spacing w:val="8"/>
              </w:rPr>
              <w:t>去向或利用途径</w:t>
            </w:r>
          </w:p>
        </w:tc>
      </w:tr>
      <w:tr w14:paraId="10E87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32" w:type="dxa"/>
            <w:gridSpan w:val="6"/>
            <w:vAlign w:val="top"/>
          </w:tcPr>
          <w:p w14:paraId="49762098">
            <w:pPr>
              <w:pStyle w:val="6"/>
              <w:spacing w:before="52" w:line="228" w:lineRule="auto"/>
              <w:ind w:left="3645"/>
            </w:pPr>
            <w:r>
              <w:rPr>
                <w:spacing w:val="7"/>
              </w:rPr>
              <w:t>一般工业固废</w:t>
            </w:r>
          </w:p>
        </w:tc>
      </w:tr>
      <w:tr w14:paraId="4D436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2" w:type="dxa"/>
            <w:vAlign w:val="top"/>
          </w:tcPr>
          <w:p w14:paraId="03D77FDD">
            <w:pPr>
              <w:spacing w:before="8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15" w:type="dxa"/>
            <w:vAlign w:val="top"/>
          </w:tcPr>
          <w:p w14:paraId="4727C717">
            <w:pPr>
              <w:pStyle w:val="6"/>
              <w:spacing w:before="51" w:line="227" w:lineRule="auto"/>
              <w:ind w:left="340"/>
            </w:pPr>
            <w:r>
              <w:rPr>
                <w:spacing w:val="7"/>
              </w:rPr>
              <w:t>采矿废石</w:t>
            </w:r>
          </w:p>
        </w:tc>
        <w:tc>
          <w:tcPr>
            <w:tcW w:w="1275" w:type="dxa"/>
            <w:vAlign w:val="top"/>
          </w:tcPr>
          <w:p w14:paraId="51851473">
            <w:pPr>
              <w:spacing w:before="87"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72000</w:t>
            </w:r>
          </w:p>
        </w:tc>
        <w:tc>
          <w:tcPr>
            <w:tcW w:w="1416" w:type="dxa"/>
            <w:vAlign w:val="top"/>
          </w:tcPr>
          <w:p w14:paraId="0B52004C">
            <w:pPr>
              <w:spacing w:before="83"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1E5868D6">
            <w:pPr>
              <w:spacing w:before="87"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72000</w:t>
            </w:r>
          </w:p>
        </w:tc>
        <w:tc>
          <w:tcPr>
            <w:tcW w:w="2469" w:type="dxa"/>
            <w:vAlign w:val="top"/>
          </w:tcPr>
          <w:p w14:paraId="18C70200">
            <w:pPr>
              <w:pStyle w:val="6"/>
              <w:spacing w:before="51" w:line="228" w:lineRule="auto"/>
              <w:ind w:left="505"/>
            </w:pPr>
            <w:r>
              <w:rPr>
                <w:spacing w:val="8"/>
              </w:rPr>
              <w:t>堆存于废石场内</w:t>
            </w:r>
          </w:p>
        </w:tc>
      </w:tr>
      <w:tr w14:paraId="5B35E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2" w:type="dxa"/>
            <w:vAlign w:val="top"/>
          </w:tcPr>
          <w:p w14:paraId="1842DEFB">
            <w:pPr>
              <w:spacing w:before="8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15" w:type="dxa"/>
            <w:vAlign w:val="top"/>
          </w:tcPr>
          <w:p w14:paraId="5F76DAD4">
            <w:pPr>
              <w:pStyle w:val="6"/>
              <w:spacing w:before="50" w:line="228" w:lineRule="auto"/>
              <w:ind w:left="549"/>
            </w:pPr>
            <w:r>
              <w:rPr>
                <w:spacing w:val="4"/>
              </w:rPr>
              <w:t>尾矿</w:t>
            </w:r>
          </w:p>
        </w:tc>
        <w:tc>
          <w:tcPr>
            <w:tcW w:w="1275" w:type="dxa"/>
            <w:vAlign w:val="top"/>
          </w:tcPr>
          <w:p w14:paraId="20A0C9B3">
            <w:pPr>
              <w:spacing w:before="69" w:line="213" w:lineRule="auto"/>
              <w:ind w:left="15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63.694×10</w:t>
            </w:r>
            <w:r>
              <w:rPr>
                <w:rFonts w:ascii="Times New Roman" w:hAnsi="Times New Roman" w:eastAsia="Times New Roman" w:cs="Times New Roman"/>
                <w:spacing w:val="3"/>
                <w:position w:val="6"/>
                <w:sz w:val="13"/>
                <w:szCs w:val="13"/>
              </w:rPr>
              <w:t>4</w:t>
            </w:r>
          </w:p>
        </w:tc>
        <w:tc>
          <w:tcPr>
            <w:tcW w:w="1416" w:type="dxa"/>
            <w:vAlign w:val="top"/>
          </w:tcPr>
          <w:p w14:paraId="64EE97CA">
            <w:pPr>
              <w:spacing w:before="83"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7A5771D2">
            <w:pPr>
              <w:spacing w:before="69" w:line="213" w:lineRule="auto"/>
              <w:ind w:left="158"/>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63.694×10</w:t>
            </w:r>
            <w:r>
              <w:rPr>
                <w:rFonts w:ascii="Times New Roman" w:hAnsi="Times New Roman" w:eastAsia="Times New Roman" w:cs="Times New Roman"/>
                <w:spacing w:val="3"/>
                <w:position w:val="6"/>
                <w:sz w:val="13"/>
                <w:szCs w:val="13"/>
              </w:rPr>
              <w:t>4</w:t>
            </w:r>
          </w:p>
        </w:tc>
        <w:tc>
          <w:tcPr>
            <w:tcW w:w="2469" w:type="dxa"/>
            <w:vAlign w:val="top"/>
          </w:tcPr>
          <w:p w14:paraId="3312FB97">
            <w:pPr>
              <w:pStyle w:val="6"/>
              <w:spacing w:before="50" w:line="228" w:lineRule="auto"/>
              <w:ind w:left="505"/>
            </w:pPr>
            <w:r>
              <w:rPr>
                <w:spacing w:val="8"/>
              </w:rPr>
              <w:t>堆存于尾矿库内</w:t>
            </w:r>
          </w:p>
        </w:tc>
      </w:tr>
      <w:tr w14:paraId="3D540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82" w:type="dxa"/>
            <w:vAlign w:val="top"/>
          </w:tcPr>
          <w:p w14:paraId="1D814DE7">
            <w:pPr>
              <w:spacing w:line="248" w:lineRule="auto"/>
              <w:rPr>
                <w:rFonts w:ascii="Arial"/>
                <w:sz w:val="21"/>
              </w:rPr>
            </w:pPr>
          </w:p>
          <w:p w14:paraId="12244568">
            <w:pPr>
              <w:spacing w:line="248" w:lineRule="auto"/>
              <w:rPr>
                <w:rFonts w:ascii="Arial"/>
                <w:sz w:val="21"/>
              </w:rPr>
            </w:pPr>
          </w:p>
          <w:p w14:paraId="4C000B04">
            <w:pPr>
              <w:spacing w:before="5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15" w:type="dxa"/>
            <w:vAlign w:val="top"/>
          </w:tcPr>
          <w:p w14:paraId="446A809B">
            <w:pPr>
              <w:spacing w:line="453" w:lineRule="auto"/>
              <w:rPr>
                <w:rFonts w:ascii="Arial"/>
                <w:sz w:val="21"/>
              </w:rPr>
            </w:pPr>
          </w:p>
          <w:p w14:paraId="5957E20C">
            <w:pPr>
              <w:pStyle w:val="6"/>
              <w:spacing w:before="65" w:line="228" w:lineRule="auto"/>
              <w:ind w:left="340"/>
            </w:pPr>
            <w:r>
              <w:rPr>
                <w:spacing w:val="7"/>
              </w:rPr>
              <w:t>锅炉灰渣</w:t>
            </w:r>
          </w:p>
        </w:tc>
        <w:tc>
          <w:tcPr>
            <w:tcW w:w="1275" w:type="dxa"/>
            <w:vAlign w:val="top"/>
          </w:tcPr>
          <w:p w14:paraId="6FE9212D">
            <w:pPr>
              <w:spacing w:line="248" w:lineRule="auto"/>
              <w:rPr>
                <w:rFonts w:ascii="Arial"/>
                <w:sz w:val="21"/>
              </w:rPr>
            </w:pPr>
          </w:p>
          <w:p w14:paraId="616BA14B">
            <w:pPr>
              <w:spacing w:line="248" w:lineRule="auto"/>
              <w:rPr>
                <w:rFonts w:ascii="Arial"/>
                <w:sz w:val="21"/>
              </w:rPr>
            </w:pPr>
          </w:p>
          <w:p w14:paraId="007482A1">
            <w:pPr>
              <w:spacing w:before="58"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1416" w:type="dxa"/>
            <w:vAlign w:val="top"/>
          </w:tcPr>
          <w:p w14:paraId="60DE95AE">
            <w:pPr>
              <w:spacing w:line="246" w:lineRule="auto"/>
              <w:rPr>
                <w:rFonts w:ascii="Arial"/>
                <w:sz w:val="21"/>
              </w:rPr>
            </w:pPr>
          </w:p>
          <w:p w14:paraId="6F2716D2">
            <w:pPr>
              <w:spacing w:line="246" w:lineRule="auto"/>
              <w:rPr>
                <w:rFonts w:ascii="Arial"/>
                <w:sz w:val="21"/>
              </w:rPr>
            </w:pPr>
          </w:p>
          <w:p w14:paraId="1C72340F">
            <w:pPr>
              <w:spacing w:before="58"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0E653FF3">
            <w:pPr>
              <w:spacing w:line="248" w:lineRule="auto"/>
              <w:rPr>
                <w:rFonts w:ascii="Arial"/>
                <w:sz w:val="21"/>
              </w:rPr>
            </w:pPr>
          </w:p>
          <w:p w14:paraId="0B1CE018">
            <w:pPr>
              <w:spacing w:line="248" w:lineRule="auto"/>
              <w:rPr>
                <w:rFonts w:ascii="Arial"/>
                <w:sz w:val="21"/>
              </w:rPr>
            </w:pPr>
          </w:p>
          <w:p w14:paraId="0C9061B6">
            <w:pPr>
              <w:spacing w:before="58"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2469" w:type="dxa"/>
            <w:vAlign w:val="top"/>
          </w:tcPr>
          <w:p w14:paraId="5F5E0EFD">
            <w:pPr>
              <w:pStyle w:val="6"/>
              <w:spacing w:before="53" w:line="227" w:lineRule="auto"/>
              <w:ind w:left="118"/>
            </w:pPr>
            <w:r>
              <w:rPr>
                <w:spacing w:val="7"/>
              </w:rPr>
              <w:t>部分用于厂区绿化施肥，</w:t>
            </w:r>
          </w:p>
          <w:p w14:paraId="40FF40C4">
            <w:pPr>
              <w:pStyle w:val="6"/>
              <w:spacing w:before="65" w:line="228" w:lineRule="auto"/>
              <w:ind w:left="190"/>
            </w:pPr>
            <w:r>
              <w:rPr>
                <w:spacing w:val="8"/>
              </w:rPr>
              <w:t>剩余部分调湿后袋装暂</w:t>
            </w:r>
          </w:p>
          <w:p w14:paraId="2FCFAA46">
            <w:pPr>
              <w:pStyle w:val="6"/>
              <w:spacing w:before="64" w:line="228" w:lineRule="auto"/>
              <w:ind w:left="189"/>
            </w:pPr>
            <w:r>
              <w:rPr>
                <w:spacing w:val="9"/>
              </w:rPr>
              <w:t>存于矿区生活垃圾暂存</w:t>
            </w:r>
          </w:p>
          <w:p w14:paraId="0506DDDA">
            <w:pPr>
              <w:pStyle w:val="6"/>
              <w:spacing w:before="65" w:line="233" w:lineRule="auto"/>
              <w:ind w:left="1135"/>
            </w:pPr>
            <w:r>
              <w:t>池</w:t>
            </w:r>
          </w:p>
        </w:tc>
      </w:tr>
      <w:tr w14:paraId="624DE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82" w:type="dxa"/>
            <w:vAlign w:val="top"/>
          </w:tcPr>
          <w:p w14:paraId="73EA7AB4">
            <w:pPr>
              <w:spacing w:before="89"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15" w:type="dxa"/>
            <w:vAlign w:val="top"/>
          </w:tcPr>
          <w:p w14:paraId="3D607B3A">
            <w:pPr>
              <w:pStyle w:val="6"/>
              <w:spacing w:before="53" w:line="228" w:lineRule="auto"/>
              <w:ind w:left="129"/>
            </w:pPr>
            <w:r>
              <w:rPr>
                <w:spacing w:val="8"/>
              </w:rPr>
              <w:t>尾矿回水污泥</w:t>
            </w:r>
          </w:p>
        </w:tc>
        <w:tc>
          <w:tcPr>
            <w:tcW w:w="1275" w:type="dxa"/>
            <w:vAlign w:val="top"/>
          </w:tcPr>
          <w:p w14:paraId="137F2DFF">
            <w:pPr>
              <w:spacing w:before="8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416" w:type="dxa"/>
            <w:vAlign w:val="top"/>
          </w:tcPr>
          <w:p w14:paraId="397C4F74">
            <w:pPr>
              <w:spacing w:before="85" w:line="199"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2D9FCA9C">
            <w:pPr>
              <w:spacing w:before="89"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469" w:type="dxa"/>
            <w:vAlign w:val="top"/>
          </w:tcPr>
          <w:p w14:paraId="6CF08876">
            <w:pPr>
              <w:pStyle w:val="6"/>
              <w:spacing w:before="53" w:line="228" w:lineRule="auto"/>
              <w:ind w:left="611"/>
            </w:pPr>
            <w:r>
              <w:rPr>
                <w:spacing w:val="8"/>
              </w:rPr>
              <w:t>堆存于尾矿库</w:t>
            </w:r>
          </w:p>
        </w:tc>
      </w:tr>
      <w:tr w14:paraId="7538F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2" w:type="dxa"/>
            <w:vAlign w:val="top"/>
          </w:tcPr>
          <w:p w14:paraId="0B45E871">
            <w:pPr>
              <w:spacing w:before="92" w:line="192"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15" w:type="dxa"/>
            <w:vAlign w:val="top"/>
          </w:tcPr>
          <w:p w14:paraId="77FEA4AE">
            <w:pPr>
              <w:pStyle w:val="6"/>
              <w:spacing w:before="53" w:line="228" w:lineRule="auto"/>
              <w:ind w:left="458"/>
            </w:pPr>
            <w:r>
              <w:rPr>
                <w:spacing w:val="2"/>
              </w:rPr>
              <w:t>除尘灰</w:t>
            </w:r>
          </w:p>
        </w:tc>
        <w:tc>
          <w:tcPr>
            <w:tcW w:w="1275" w:type="dxa"/>
            <w:vAlign w:val="top"/>
          </w:tcPr>
          <w:p w14:paraId="461AE488">
            <w:pPr>
              <w:spacing w:before="8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110.7</w:t>
            </w:r>
          </w:p>
        </w:tc>
        <w:tc>
          <w:tcPr>
            <w:tcW w:w="1416" w:type="dxa"/>
            <w:vAlign w:val="top"/>
          </w:tcPr>
          <w:p w14:paraId="1C5FBAAE">
            <w:pPr>
              <w:spacing w:before="89"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110.7</w:t>
            </w:r>
          </w:p>
        </w:tc>
        <w:tc>
          <w:tcPr>
            <w:tcW w:w="1275" w:type="dxa"/>
            <w:vAlign w:val="top"/>
          </w:tcPr>
          <w:p w14:paraId="6A2E4CB2">
            <w:pPr>
              <w:spacing w:before="85" w:line="199"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69" w:type="dxa"/>
            <w:vAlign w:val="top"/>
          </w:tcPr>
          <w:p w14:paraId="3EBBA7A6">
            <w:pPr>
              <w:pStyle w:val="6"/>
              <w:spacing w:before="53" w:line="228" w:lineRule="auto"/>
              <w:ind w:left="296"/>
            </w:pPr>
            <w:r>
              <w:rPr>
                <w:spacing w:val="8"/>
              </w:rPr>
              <w:t>作为项目原料再利用</w:t>
            </w:r>
          </w:p>
        </w:tc>
      </w:tr>
      <w:tr w14:paraId="23A37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2" w:type="dxa"/>
            <w:vAlign w:val="top"/>
          </w:tcPr>
          <w:p w14:paraId="1C966452">
            <w:pPr>
              <w:spacing w:before="24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15" w:type="dxa"/>
            <w:vAlign w:val="top"/>
          </w:tcPr>
          <w:p w14:paraId="623B631F">
            <w:pPr>
              <w:pStyle w:val="6"/>
              <w:spacing w:before="52" w:line="228" w:lineRule="auto"/>
              <w:ind w:left="128"/>
            </w:pPr>
            <w:r>
              <w:rPr>
                <w:spacing w:val="8"/>
              </w:rPr>
              <w:t>矿井水沉淀池</w:t>
            </w:r>
          </w:p>
          <w:p w14:paraId="47D35100">
            <w:pPr>
              <w:pStyle w:val="6"/>
              <w:spacing w:before="65" w:line="230" w:lineRule="auto"/>
              <w:ind w:left="551"/>
            </w:pPr>
            <w:r>
              <w:rPr>
                <w:spacing w:val="3"/>
              </w:rPr>
              <w:t>污泥</w:t>
            </w:r>
          </w:p>
        </w:tc>
        <w:tc>
          <w:tcPr>
            <w:tcW w:w="1275" w:type="dxa"/>
            <w:vAlign w:val="top"/>
          </w:tcPr>
          <w:p w14:paraId="5514672B">
            <w:pPr>
              <w:spacing w:before="244"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7.04</w:t>
            </w:r>
          </w:p>
        </w:tc>
        <w:tc>
          <w:tcPr>
            <w:tcW w:w="1416" w:type="dxa"/>
            <w:vAlign w:val="top"/>
          </w:tcPr>
          <w:p w14:paraId="06289BA8">
            <w:pPr>
              <w:spacing w:before="244"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7.04</w:t>
            </w:r>
          </w:p>
        </w:tc>
        <w:tc>
          <w:tcPr>
            <w:tcW w:w="1275" w:type="dxa"/>
            <w:vAlign w:val="top"/>
          </w:tcPr>
          <w:p w14:paraId="51A71E3C">
            <w:pPr>
              <w:spacing w:before="241" w:line="199"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69" w:type="dxa"/>
            <w:vAlign w:val="top"/>
          </w:tcPr>
          <w:p w14:paraId="67DCAB3B">
            <w:pPr>
              <w:pStyle w:val="6"/>
              <w:spacing w:before="208" w:line="228" w:lineRule="auto"/>
              <w:ind w:left="295"/>
            </w:pPr>
            <w:r>
              <w:rPr>
                <w:spacing w:val="8"/>
              </w:rPr>
              <w:t>运往选矿厂进行洗选</w:t>
            </w:r>
          </w:p>
        </w:tc>
      </w:tr>
      <w:tr w14:paraId="3810A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32" w:type="dxa"/>
            <w:gridSpan w:val="6"/>
            <w:vAlign w:val="top"/>
          </w:tcPr>
          <w:p w14:paraId="1EC69F78">
            <w:pPr>
              <w:pStyle w:val="6"/>
              <w:spacing w:before="54" w:line="228" w:lineRule="auto"/>
              <w:ind w:left="3853"/>
            </w:pPr>
            <w:r>
              <w:rPr>
                <w:spacing w:val="6"/>
              </w:rPr>
              <w:t>危险废物</w:t>
            </w:r>
          </w:p>
        </w:tc>
      </w:tr>
      <w:tr w14:paraId="66BC7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82" w:type="dxa"/>
            <w:vAlign w:val="top"/>
          </w:tcPr>
          <w:p w14:paraId="062F4980">
            <w:pPr>
              <w:spacing w:line="249" w:lineRule="auto"/>
              <w:rPr>
                <w:rFonts w:ascii="Arial"/>
                <w:sz w:val="21"/>
              </w:rPr>
            </w:pPr>
          </w:p>
          <w:p w14:paraId="599A5542">
            <w:pPr>
              <w:spacing w:line="250" w:lineRule="auto"/>
              <w:rPr>
                <w:rFonts w:ascii="Arial"/>
                <w:sz w:val="21"/>
              </w:rPr>
            </w:pPr>
          </w:p>
          <w:p w14:paraId="2F59EDF7">
            <w:pPr>
              <w:spacing w:before="57" w:line="192"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15" w:type="dxa"/>
            <w:vAlign w:val="top"/>
          </w:tcPr>
          <w:p w14:paraId="1FABB743">
            <w:pPr>
              <w:spacing w:line="297" w:lineRule="auto"/>
              <w:rPr>
                <w:rFonts w:ascii="Arial"/>
                <w:sz w:val="21"/>
              </w:rPr>
            </w:pPr>
          </w:p>
          <w:p w14:paraId="5CFFF8CE">
            <w:pPr>
              <w:pStyle w:val="6"/>
              <w:spacing w:before="65" w:line="296" w:lineRule="auto"/>
              <w:ind w:left="165" w:right="110" w:hanging="56"/>
            </w:pPr>
            <w:r>
              <w:rPr>
                <w:spacing w:val="-6"/>
              </w:rPr>
              <w:t>废机油（</w:t>
            </w:r>
            <w:r>
              <w:rPr>
                <w:rFonts w:ascii="Times New Roman" w:hAnsi="Times New Roman" w:eastAsia="Times New Roman" w:cs="Times New Roman"/>
                <w:spacing w:val="-6"/>
              </w:rPr>
              <w:t>HW08</w:t>
            </w:r>
            <w:r>
              <w:rPr>
                <w:rFonts w:ascii="Times New Roman" w:hAnsi="Times New Roman" w:eastAsia="Times New Roman" w:cs="Times New Roman"/>
                <w:spacing w:val="3"/>
              </w:rPr>
              <w:t xml:space="preserve"> 900-214-08</w:t>
            </w:r>
            <w:r>
              <w:rPr>
                <w:spacing w:val="3"/>
              </w:rPr>
              <w:t>）</w:t>
            </w:r>
          </w:p>
        </w:tc>
        <w:tc>
          <w:tcPr>
            <w:tcW w:w="1275" w:type="dxa"/>
            <w:vAlign w:val="top"/>
          </w:tcPr>
          <w:p w14:paraId="4FB76D35">
            <w:pPr>
              <w:spacing w:line="248" w:lineRule="auto"/>
              <w:rPr>
                <w:rFonts w:ascii="Arial"/>
                <w:sz w:val="21"/>
              </w:rPr>
            </w:pPr>
          </w:p>
          <w:p w14:paraId="3418A690">
            <w:pPr>
              <w:spacing w:line="248" w:lineRule="auto"/>
              <w:rPr>
                <w:rFonts w:ascii="Arial"/>
                <w:sz w:val="21"/>
              </w:rPr>
            </w:pPr>
          </w:p>
          <w:p w14:paraId="7B05015D">
            <w:pPr>
              <w:spacing w:before="58"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6" w:type="dxa"/>
            <w:vAlign w:val="top"/>
          </w:tcPr>
          <w:p w14:paraId="3EFF21F6">
            <w:pPr>
              <w:spacing w:line="248" w:lineRule="auto"/>
              <w:rPr>
                <w:rFonts w:ascii="Arial"/>
                <w:sz w:val="21"/>
              </w:rPr>
            </w:pPr>
          </w:p>
          <w:p w14:paraId="2CC8D5E1">
            <w:pPr>
              <w:spacing w:line="248" w:lineRule="auto"/>
              <w:rPr>
                <w:rFonts w:ascii="Arial"/>
                <w:sz w:val="21"/>
              </w:rPr>
            </w:pPr>
          </w:p>
          <w:p w14:paraId="4CC088D4">
            <w:pPr>
              <w:spacing w:before="58"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226A078B">
            <w:pPr>
              <w:spacing w:line="248" w:lineRule="auto"/>
              <w:rPr>
                <w:rFonts w:ascii="Arial"/>
                <w:sz w:val="21"/>
              </w:rPr>
            </w:pPr>
          </w:p>
          <w:p w14:paraId="04210426">
            <w:pPr>
              <w:spacing w:line="248" w:lineRule="auto"/>
              <w:rPr>
                <w:rFonts w:ascii="Arial"/>
                <w:sz w:val="21"/>
              </w:rPr>
            </w:pPr>
          </w:p>
          <w:p w14:paraId="7E524280">
            <w:pPr>
              <w:spacing w:before="58" w:line="195"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69" w:type="dxa"/>
            <w:vAlign w:val="top"/>
          </w:tcPr>
          <w:p w14:paraId="0AA5A67A">
            <w:pPr>
              <w:pStyle w:val="6"/>
              <w:spacing w:before="52" w:line="228" w:lineRule="auto"/>
              <w:ind w:left="215"/>
            </w:pPr>
            <w:r>
              <w:rPr>
                <w:spacing w:val="6"/>
              </w:rPr>
              <w:t>由废油桶收集暂存于危</w:t>
            </w:r>
          </w:p>
          <w:p w14:paraId="50C01554">
            <w:pPr>
              <w:pStyle w:val="6"/>
              <w:spacing w:before="65" w:line="224" w:lineRule="auto"/>
              <w:ind w:left="115"/>
            </w:pPr>
            <w:r>
              <w:rPr>
                <w:spacing w:val="3"/>
              </w:rPr>
              <w:t>废贮存间，委托西乌旗洁</w:t>
            </w:r>
          </w:p>
          <w:p w14:paraId="22383FA8">
            <w:pPr>
              <w:pStyle w:val="6"/>
              <w:spacing w:before="69" w:line="226" w:lineRule="auto"/>
              <w:ind w:left="189"/>
            </w:pPr>
            <w:r>
              <w:rPr>
                <w:spacing w:val="9"/>
              </w:rPr>
              <w:t>源废旧资源回收有限公</w:t>
            </w:r>
          </w:p>
          <w:p w14:paraId="39105815">
            <w:pPr>
              <w:pStyle w:val="6"/>
              <w:spacing w:before="67" w:line="228" w:lineRule="auto"/>
              <w:ind w:left="724"/>
            </w:pPr>
            <w:r>
              <w:rPr>
                <w:spacing w:val="6"/>
              </w:rPr>
              <w:t>司进行处置</w:t>
            </w:r>
          </w:p>
        </w:tc>
      </w:tr>
      <w:tr w14:paraId="27446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82" w:type="dxa"/>
            <w:vAlign w:val="top"/>
          </w:tcPr>
          <w:p w14:paraId="2BAC868A">
            <w:pPr>
              <w:spacing w:line="344" w:lineRule="auto"/>
              <w:rPr>
                <w:rFonts w:ascii="Arial"/>
                <w:sz w:val="21"/>
              </w:rPr>
            </w:pPr>
          </w:p>
          <w:p w14:paraId="314EF8F8">
            <w:pPr>
              <w:spacing w:before="58"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15" w:type="dxa"/>
            <w:vAlign w:val="top"/>
          </w:tcPr>
          <w:p w14:paraId="467C335A">
            <w:pPr>
              <w:pStyle w:val="6"/>
              <w:spacing w:before="55" w:line="306" w:lineRule="auto"/>
              <w:ind w:left="143" w:right="146" w:hanging="34"/>
              <w:rPr>
                <w:rFonts w:ascii="Times New Roman" w:hAnsi="Times New Roman" w:eastAsia="Times New Roman" w:cs="Times New Roman"/>
              </w:rPr>
            </w:pPr>
            <w:r>
              <w:rPr>
                <w:spacing w:val="8"/>
              </w:rPr>
              <w:t>废弃包装材料</w:t>
            </w:r>
            <w:r>
              <w:rPr>
                <w:spacing w:val="3"/>
              </w:rPr>
              <w:t xml:space="preserve"> </w:t>
            </w:r>
            <w:r>
              <w:rPr>
                <w:rFonts w:ascii="Times New Roman" w:hAnsi="Times New Roman" w:eastAsia="Times New Roman" w:cs="Times New Roman"/>
              </w:rPr>
              <w:t>HW</w:t>
            </w:r>
            <w:r>
              <w:rPr>
                <w:rFonts w:ascii="Times New Roman" w:hAnsi="Times New Roman" w:eastAsia="Times New Roman" w:cs="Times New Roman"/>
                <w:spacing w:val="5"/>
              </w:rPr>
              <w:t>49(900-04</w:t>
            </w:r>
          </w:p>
          <w:p w14:paraId="648E8EF1">
            <w:pPr>
              <w:pStyle w:val="6"/>
              <w:spacing w:line="230" w:lineRule="auto"/>
              <w:ind w:left="462"/>
            </w:pPr>
            <w:r>
              <w:rPr>
                <w:rFonts w:ascii="Times New Roman" w:hAnsi="Times New Roman" w:eastAsia="Times New Roman" w:cs="Times New Roman"/>
                <w:spacing w:val="1"/>
              </w:rPr>
              <w:t>7-49</w:t>
            </w:r>
            <w:r>
              <w:rPr>
                <w:spacing w:val="1"/>
              </w:rPr>
              <w:t>）</w:t>
            </w:r>
          </w:p>
        </w:tc>
        <w:tc>
          <w:tcPr>
            <w:tcW w:w="1275" w:type="dxa"/>
            <w:vAlign w:val="top"/>
          </w:tcPr>
          <w:p w14:paraId="0CFF6AAE">
            <w:pPr>
              <w:spacing w:line="344" w:lineRule="auto"/>
              <w:rPr>
                <w:rFonts w:ascii="Arial"/>
                <w:sz w:val="21"/>
              </w:rPr>
            </w:pPr>
          </w:p>
          <w:p w14:paraId="66CA2FF2">
            <w:pPr>
              <w:spacing w:before="58"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16" w:type="dxa"/>
            <w:vAlign w:val="top"/>
          </w:tcPr>
          <w:p w14:paraId="26FBE69E">
            <w:pPr>
              <w:spacing w:line="344" w:lineRule="auto"/>
              <w:rPr>
                <w:rFonts w:ascii="Arial"/>
                <w:sz w:val="21"/>
              </w:rPr>
            </w:pPr>
          </w:p>
          <w:p w14:paraId="7C096280">
            <w:pPr>
              <w:spacing w:before="58"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76894CC0">
            <w:pPr>
              <w:spacing w:line="344" w:lineRule="auto"/>
              <w:rPr>
                <w:rFonts w:ascii="Arial"/>
                <w:sz w:val="21"/>
              </w:rPr>
            </w:pPr>
          </w:p>
          <w:p w14:paraId="15D07283">
            <w:pPr>
              <w:spacing w:before="58" w:line="195" w:lineRule="auto"/>
              <w:ind w:left="58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69" w:type="dxa"/>
            <w:vAlign w:val="top"/>
          </w:tcPr>
          <w:p w14:paraId="79E2575A">
            <w:pPr>
              <w:pStyle w:val="6"/>
              <w:spacing w:before="56" w:line="224" w:lineRule="auto"/>
              <w:ind w:left="122"/>
            </w:pPr>
            <w:r>
              <w:rPr>
                <w:spacing w:val="2"/>
              </w:rPr>
              <w:t>暂存于危废贮存间，委托</w:t>
            </w:r>
          </w:p>
          <w:p w14:paraId="5404542F">
            <w:pPr>
              <w:pStyle w:val="6"/>
              <w:spacing w:before="69" w:line="226" w:lineRule="auto"/>
              <w:ind w:left="191"/>
            </w:pPr>
            <w:r>
              <w:rPr>
                <w:spacing w:val="8"/>
              </w:rPr>
              <w:t>库伦旗金圆东蒙环保科</w:t>
            </w:r>
          </w:p>
          <w:p w14:paraId="2C9C38AE">
            <w:pPr>
              <w:pStyle w:val="6"/>
              <w:spacing w:before="66" w:line="228" w:lineRule="auto"/>
              <w:ind w:left="505"/>
            </w:pPr>
            <w:r>
              <w:rPr>
                <w:spacing w:val="8"/>
              </w:rPr>
              <w:t>技有限公司处置</w:t>
            </w:r>
          </w:p>
        </w:tc>
      </w:tr>
      <w:tr w14:paraId="545B7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32" w:type="dxa"/>
            <w:gridSpan w:val="6"/>
            <w:vAlign w:val="top"/>
          </w:tcPr>
          <w:p w14:paraId="2F378CB7">
            <w:pPr>
              <w:pStyle w:val="6"/>
              <w:spacing w:before="57" w:line="228" w:lineRule="auto"/>
              <w:ind w:left="3852"/>
            </w:pPr>
            <w:r>
              <w:rPr>
                <w:spacing w:val="6"/>
              </w:rPr>
              <w:t>生活垃圾</w:t>
            </w:r>
          </w:p>
        </w:tc>
      </w:tr>
      <w:tr w14:paraId="66DD8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582" w:type="dxa"/>
            <w:vAlign w:val="top"/>
          </w:tcPr>
          <w:p w14:paraId="017AD1D2">
            <w:pPr>
              <w:spacing w:line="249" w:lineRule="auto"/>
              <w:rPr>
                <w:rFonts w:ascii="Arial"/>
                <w:sz w:val="21"/>
              </w:rPr>
            </w:pPr>
          </w:p>
          <w:p w14:paraId="33B097FE">
            <w:pPr>
              <w:spacing w:line="250" w:lineRule="auto"/>
              <w:rPr>
                <w:rFonts w:ascii="Arial"/>
                <w:sz w:val="21"/>
              </w:rPr>
            </w:pPr>
          </w:p>
          <w:p w14:paraId="73A32C26">
            <w:pPr>
              <w:spacing w:before="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515" w:type="dxa"/>
            <w:vAlign w:val="top"/>
          </w:tcPr>
          <w:p w14:paraId="3E1D6797">
            <w:pPr>
              <w:spacing w:line="457" w:lineRule="auto"/>
              <w:rPr>
                <w:rFonts w:ascii="Arial"/>
                <w:sz w:val="21"/>
              </w:rPr>
            </w:pPr>
          </w:p>
          <w:p w14:paraId="47DE6B0E">
            <w:pPr>
              <w:pStyle w:val="6"/>
              <w:spacing w:before="65" w:line="228" w:lineRule="auto"/>
              <w:ind w:left="342"/>
            </w:pPr>
            <w:r>
              <w:rPr>
                <w:spacing w:val="6"/>
              </w:rPr>
              <w:t>生活垃圾</w:t>
            </w:r>
          </w:p>
        </w:tc>
        <w:tc>
          <w:tcPr>
            <w:tcW w:w="1275" w:type="dxa"/>
            <w:vAlign w:val="top"/>
          </w:tcPr>
          <w:p w14:paraId="6C368D18">
            <w:pPr>
              <w:spacing w:line="249" w:lineRule="auto"/>
              <w:rPr>
                <w:rFonts w:ascii="Arial"/>
                <w:sz w:val="21"/>
              </w:rPr>
            </w:pPr>
          </w:p>
          <w:p w14:paraId="186E6E30">
            <w:pPr>
              <w:spacing w:line="250" w:lineRule="auto"/>
              <w:rPr>
                <w:rFonts w:ascii="Arial"/>
                <w:sz w:val="21"/>
              </w:rPr>
            </w:pPr>
          </w:p>
          <w:p w14:paraId="734A3E28">
            <w:pPr>
              <w:spacing w:before="58"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1416" w:type="dxa"/>
            <w:vAlign w:val="top"/>
          </w:tcPr>
          <w:p w14:paraId="64351DEF">
            <w:pPr>
              <w:spacing w:line="249" w:lineRule="auto"/>
              <w:rPr>
                <w:rFonts w:ascii="Arial"/>
                <w:sz w:val="21"/>
              </w:rPr>
            </w:pPr>
          </w:p>
          <w:p w14:paraId="62B3C73F">
            <w:pPr>
              <w:spacing w:line="250" w:lineRule="auto"/>
              <w:rPr>
                <w:rFonts w:ascii="Arial"/>
                <w:sz w:val="21"/>
              </w:rPr>
            </w:pPr>
          </w:p>
          <w:p w14:paraId="5A122167">
            <w:pPr>
              <w:spacing w:before="58"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75" w:type="dxa"/>
            <w:vAlign w:val="top"/>
          </w:tcPr>
          <w:p w14:paraId="56E68442">
            <w:pPr>
              <w:spacing w:line="249" w:lineRule="auto"/>
              <w:rPr>
                <w:rFonts w:ascii="Arial"/>
                <w:sz w:val="21"/>
              </w:rPr>
            </w:pPr>
          </w:p>
          <w:p w14:paraId="2443D8F7">
            <w:pPr>
              <w:spacing w:line="250" w:lineRule="auto"/>
              <w:rPr>
                <w:rFonts w:ascii="Arial"/>
                <w:sz w:val="21"/>
              </w:rPr>
            </w:pPr>
          </w:p>
          <w:p w14:paraId="7234C1E8">
            <w:pPr>
              <w:spacing w:before="58"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2469" w:type="dxa"/>
            <w:vAlign w:val="top"/>
          </w:tcPr>
          <w:p w14:paraId="26927AA8">
            <w:pPr>
              <w:pStyle w:val="6"/>
              <w:spacing w:before="56" w:line="228" w:lineRule="auto"/>
              <w:ind w:left="190"/>
            </w:pPr>
            <w:r>
              <w:rPr>
                <w:spacing w:val="8"/>
              </w:rPr>
              <w:t>通过厂内生活区设置的</w:t>
            </w:r>
          </w:p>
          <w:p w14:paraId="0068836C">
            <w:pPr>
              <w:pStyle w:val="6"/>
              <w:spacing w:before="64" w:line="228" w:lineRule="auto"/>
              <w:ind w:left="117"/>
            </w:pPr>
            <w:r>
              <w:rPr>
                <w:spacing w:val="3"/>
              </w:rPr>
              <w:t>垃圾箱定点收集垃圾，后</w:t>
            </w:r>
          </w:p>
          <w:p w14:paraId="49328CAC">
            <w:pPr>
              <w:pStyle w:val="6"/>
              <w:spacing w:before="65" w:line="228" w:lineRule="auto"/>
              <w:ind w:left="215"/>
            </w:pPr>
            <w:r>
              <w:rPr>
                <w:spacing w:val="6"/>
              </w:rPr>
              <w:t>由环卫部门统一拉运清</w:t>
            </w:r>
          </w:p>
          <w:p w14:paraId="27BA2E7A">
            <w:pPr>
              <w:pStyle w:val="6"/>
              <w:spacing w:before="65" w:line="235" w:lineRule="auto"/>
              <w:ind w:left="1032"/>
            </w:pPr>
            <w:r>
              <w:rPr>
                <w:spacing w:val="-1"/>
              </w:rPr>
              <w:t>理。</w:t>
            </w:r>
          </w:p>
        </w:tc>
      </w:tr>
    </w:tbl>
    <w:p w14:paraId="3077A673">
      <w:pPr>
        <w:spacing w:before="116" w:line="220" w:lineRule="auto"/>
        <w:ind w:left="603"/>
        <w:outlineLvl w:val="3"/>
        <w:rPr>
          <w:rFonts w:ascii="宋体" w:hAnsi="宋体" w:eastAsia="宋体" w:cs="宋体"/>
          <w:sz w:val="24"/>
          <w:szCs w:val="24"/>
        </w:rPr>
      </w:pPr>
      <w:r>
        <w:rPr>
          <w:rFonts w:ascii="Times New Roman" w:hAnsi="Times New Roman" w:eastAsia="Times New Roman" w:cs="Times New Roman"/>
          <w:spacing w:val="-3"/>
          <w:sz w:val="24"/>
          <w:szCs w:val="24"/>
        </w:rPr>
        <w:t>3.2.6.5</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总量控制</w:t>
      </w:r>
    </w:p>
    <w:p w14:paraId="46A5250F">
      <w:pPr>
        <w:spacing w:before="104" w:line="360" w:lineRule="auto"/>
        <w:ind w:left="123" w:right="264" w:firstLine="536"/>
        <w:jc w:val="both"/>
        <w:rPr>
          <w:rFonts w:ascii="宋体" w:hAnsi="宋体" w:eastAsia="宋体" w:cs="宋体"/>
          <w:sz w:val="24"/>
          <w:szCs w:val="24"/>
        </w:rPr>
      </w:pPr>
      <w:r>
        <w:rPr>
          <w:rFonts w:ascii="宋体" w:hAnsi="宋体" w:eastAsia="宋体" w:cs="宋体"/>
          <w:spacing w:val="-2"/>
          <w:sz w:val="24"/>
          <w:szCs w:val="24"/>
        </w:rPr>
        <w:t>内蒙古玉龙矿业股份有限公司生产废水全部回用，生活污水处</w:t>
      </w:r>
      <w:r>
        <w:rPr>
          <w:rFonts w:ascii="宋体" w:hAnsi="宋体" w:eastAsia="宋体" w:cs="宋体"/>
          <w:spacing w:val="-3"/>
          <w:sz w:val="24"/>
          <w:szCs w:val="24"/>
        </w:rPr>
        <w:t>理达标后用</w:t>
      </w:r>
      <w:r>
        <w:rPr>
          <w:rFonts w:ascii="宋体" w:hAnsi="宋体" w:eastAsia="宋体" w:cs="宋体"/>
          <w:sz w:val="24"/>
          <w:szCs w:val="24"/>
        </w:rPr>
        <w:t xml:space="preserve"> </w:t>
      </w:r>
      <w:r>
        <w:rPr>
          <w:rFonts w:ascii="宋体" w:hAnsi="宋体" w:eastAsia="宋体" w:cs="宋体"/>
          <w:spacing w:val="-1"/>
          <w:sz w:val="24"/>
          <w:szCs w:val="24"/>
        </w:rPr>
        <w:t>于矿区绿化，不外排。涉及的总量控制指标为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0"/>
          <w:position w:val="-1"/>
          <w:sz w:val="15"/>
          <w:szCs w:val="15"/>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position w:val="-1"/>
          <w:sz w:val="15"/>
          <w:szCs w:val="15"/>
        </w:rPr>
        <w:t>X</w:t>
      </w:r>
      <w:r>
        <w:rPr>
          <w:rFonts w:ascii="Times New Roman" w:hAnsi="Times New Roman" w:eastAsia="Times New Roman" w:cs="Times New Roman"/>
          <w:spacing w:val="-8"/>
          <w:position w:val="-1"/>
          <w:sz w:val="15"/>
          <w:szCs w:val="15"/>
        </w:rPr>
        <w:t xml:space="preserve"> </w:t>
      </w:r>
      <w:r>
        <w:rPr>
          <w:rFonts w:ascii="宋体" w:hAnsi="宋体" w:eastAsia="宋体" w:cs="宋体"/>
          <w:spacing w:val="-1"/>
          <w:sz w:val="24"/>
          <w:szCs w:val="24"/>
        </w:rPr>
        <w:t>，来自于矿区锅炉烟</w:t>
      </w:r>
      <w:r>
        <w:rPr>
          <w:rFonts w:ascii="宋体" w:hAnsi="宋体" w:eastAsia="宋体" w:cs="宋体"/>
          <w:sz w:val="24"/>
          <w:szCs w:val="24"/>
        </w:rPr>
        <w:t xml:space="preserve"> </w:t>
      </w:r>
      <w:r>
        <w:rPr>
          <w:rFonts w:ascii="宋体" w:hAnsi="宋体" w:eastAsia="宋体" w:cs="宋体"/>
          <w:spacing w:val="-3"/>
          <w:sz w:val="24"/>
          <w:szCs w:val="24"/>
        </w:rPr>
        <w:t>气排放。企业目前申请的总量为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9"/>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12.71t/a</w:t>
      </w:r>
      <w:r>
        <w:rPr>
          <w:rFonts w:ascii="宋体" w:hAnsi="宋体" w:eastAsia="宋体" w:cs="宋体"/>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X</w:t>
      </w:r>
      <w:r>
        <w:rPr>
          <w:rFonts w:ascii="宋体" w:hAnsi="宋体" w:eastAsia="宋体" w:cs="宋体"/>
          <w:spacing w:val="-3"/>
          <w:sz w:val="24"/>
          <w:szCs w:val="24"/>
        </w:rPr>
        <w:t>：</w:t>
      </w:r>
      <w:r>
        <w:rPr>
          <w:rFonts w:ascii="Times New Roman" w:hAnsi="Times New Roman" w:eastAsia="Times New Roman" w:cs="Times New Roman"/>
          <w:spacing w:val="-3"/>
          <w:sz w:val="24"/>
          <w:szCs w:val="24"/>
        </w:rPr>
        <w:t>14.76t/a</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w:t>
      </w:r>
      <w:r>
        <w:rPr>
          <w:rFonts w:ascii="宋体" w:hAnsi="宋体" w:eastAsia="宋体" w:cs="宋体"/>
          <w:spacing w:val="-4"/>
          <w:sz w:val="24"/>
          <w:szCs w:val="24"/>
        </w:rPr>
        <w:t>根据日常监测</w:t>
      </w:r>
      <w:r>
        <w:rPr>
          <w:rFonts w:ascii="宋体" w:hAnsi="宋体" w:eastAsia="宋体" w:cs="宋体"/>
          <w:sz w:val="24"/>
          <w:szCs w:val="24"/>
        </w:rPr>
        <w:t xml:space="preserve"> </w:t>
      </w:r>
      <w:r>
        <w:rPr>
          <w:rFonts w:ascii="宋体" w:hAnsi="宋体" w:eastAsia="宋体" w:cs="宋体"/>
          <w:spacing w:val="-3"/>
          <w:sz w:val="24"/>
          <w:szCs w:val="24"/>
        </w:rPr>
        <w:t>结果计算，企业</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2"/>
          <w:position w:val="-1"/>
          <w:sz w:val="15"/>
          <w:szCs w:val="15"/>
        </w:rPr>
        <w:t xml:space="preserve"> </w:t>
      </w:r>
      <w:r>
        <w:rPr>
          <w:rFonts w:ascii="宋体" w:hAnsi="宋体" w:eastAsia="宋体" w:cs="宋体"/>
          <w:spacing w:val="-3"/>
          <w:sz w:val="24"/>
          <w:szCs w:val="24"/>
        </w:rPr>
        <w:t>排放量为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3.30 t/a</w:t>
      </w:r>
      <w:r>
        <w:rPr>
          <w:rFonts w:ascii="宋体" w:hAnsi="宋体" w:eastAsia="宋体" w:cs="宋体"/>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X</w:t>
      </w:r>
      <w:r>
        <w:rPr>
          <w:rFonts w:ascii="Times New Roman" w:hAnsi="Times New Roman" w:eastAsia="Times New Roman" w:cs="Times New Roman"/>
          <w:spacing w:val="11"/>
          <w:position w:val="-1"/>
          <w:sz w:val="15"/>
          <w:szCs w:val="15"/>
        </w:rPr>
        <w:t xml:space="preserve"> </w:t>
      </w:r>
      <w:r>
        <w:rPr>
          <w:rFonts w:ascii="宋体" w:hAnsi="宋体" w:eastAsia="宋体" w:cs="宋体"/>
          <w:spacing w:val="-3"/>
          <w:sz w:val="24"/>
          <w:szCs w:val="24"/>
        </w:rPr>
        <w:t>排放量为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7.78t/a</w:t>
      </w:r>
      <w:r>
        <w:rPr>
          <w:rFonts w:ascii="宋体" w:hAnsi="宋体" w:eastAsia="宋体" w:cs="宋体"/>
          <w:spacing w:val="-3"/>
          <w:sz w:val="24"/>
          <w:szCs w:val="24"/>
        </w:rPr>
        <w:t>，满足总</w:t>
      </w:r>
      <w:r>
        <w:rPr>
          <w:rFonts w:ascii="宋体" w:hAnsi="宋体" w:eastAsia="宋体" w:cs="宋体"/>
          <w:spacing w:val="-4"/>
          <w:sz w:val="24"/>
          <w:szCs w:val="24"/>
        </w:rPr>
        <w:t>量控制要</w:t>
      </w:r>
      <w:r>
        <w:rPr>
          <w:rFonts w:ascii="宋体" w:hAnsi="宋体" w:eastAsia="宋体" w:cs="宋体"/>
          <w:sz w:val="24"/>
          <w:szCs w:val="24"/>
        </w:rPr>
        <w:t xml:space="preserve"> </w:t>
      </w:r>
      <w:r>
        <w:rPr>
          <w:rFonts w:ascii="宋体" w:hAnsi="宋体" w:eastAsia="宋体" w:cs="宋体"/>
          <w:spacing w:val="-6"/>
          <w:sz w:val="24"/>
          <w:szCs w:val="24"/>
        </w:rPr>
        <w:t>求。</w:t>
      </w:r>
    </w:p>
    <w:p w14:paraId="4764F1D3">
      <w:pPr>
        <w:spacing w:before="153" w:line="222" w:lineRule="auto"/>
        <w:ind w:left="117"/>
        <w:outlineLvl w:val="1"/>
        <w:rPr>
          <w:rFonts w:ascii="黑体" w:hAnsi="黑体" w:eastAsia="黑体" w:cs="黑体"/>
          <w:sz w:val="28"/>
          <w:szCs w:val="28"/>
        </w:rPr>
      </w:pPr>
      <w:bookmarkStart w:id="50" w:name="bookmark46"/>
      <w:bookmarkEnd w:id="50"/>
      <w:r>
        <w:rPr>
          <w:rFonts w:ascii="Times New Roman" w:hAnsi="Times New Roman" w:eastAsia="Times New Roman" w:cs="Times New Roman"/>
          <w:b/>
          <w:bCs/>
          <w:spacing w:val="-2"/>
          <w:sz w:val="28"/>
          <w:szCs w:val="28"/>
        </w:rPr>
        <w:t xml:space="preserve">3.3 </w:t>
      </w:r>
      <w:r>
        <w:rPr>
          <w:rFonts w:ascii="黑体" w:hAnsi="黑体" w:eastAsia="黑体" w:cs="黑体"/>
          <w:b/>
          <w:bCs/>
          <w:spacing w:val="-2"/>
          <w:sz w:val="28"/>
          <w:szCs w:val="28"/>
        </w:rPr>
        <w:t>现有环境问题及治理措施</w:t>
      </w:r>
    </w:p>
    <w:p w14:paraId="20CF166E">
      <w:pPr>
        <w:spacing w:before="175" w:line="360" w:lineRule="auto"/>
        <w:ind w:left="120" w:right="264" w:firstLine="514"/>
        <w:rPr>
          <w:rFonts w:ascii="宋体" w:hAnsi="宋体" w:eastAsia="宋体" w:cs="宋体"/>
          <w:sz w:val="24"/>
          <w:szCs w:val="24"/>
        </w:rPr>
      </w:pPr>
      <w:r>
        <w:rPr>
          <w:rFonts w:ascii="宋体" w:hAnsi="宋体" w:eastAsia="宋体" w:cs="宋体"/>
          <w:spacing w:val="-2"/>
          <w:sz w:val="24"/>
          <w:szCs w:val="24"/>
        </w:rPr>
        <w:t>企业现有工程在设计、建设、投产时严格按照“</w:t>
      </w:r>
      <w:r>
        <w:rPr>
          <w:rFonts w:ascii="宋体" w:hAnsi="宋体" w:eastAsia="宋体" w:cs="宋体"/>
          <w:spacing w:val="-3"/>
          <w:sz w:val="24"/>
          <w:szCs w:val="24"/>
        </w:rPr>
        <w:t>三同时</w:t>
      </w:r>
      <w:r>
        <w:rPr>
          <w:rFonts w:ascii="宋体" w:hAnsi="宋体" w:eastAsia="宋体" w:cs="宋体"/>
          <w:spacing w:val="-89"/>
          <w:sz w:val="24"/>
          <w:szCs w:val="24"/>
        </w:rPr>
        <w:t xml:space="preserve"> </w:t>
      </w:r>
      <w:r>
        <w:rPr>
          <w:rFonts w:ascii="宋体" w:hAnsi="宋体" w:eastAsia="宋体" w:cs="宋体"/>
          <w:spacing w:val="-3"/>
          <w:sz w:val="24"/>
          <w:szCs w:val="24"/>
        </w:rPr>
        <w:t>”要求对环保设施</w:t>
      </w:r>
      <w:r>
        <w:rPr>
          <w:rFonts w:ascii="宋体" w:hAnsi="宋体" w:eastAsia="宋体" w:cs="宋体"/>
          <w:sz w:val="24"/>
          <w:szCs w:val="24"/>
        </w:rPr>
        <w:t xml:space="preserve"> </w:t>
      </w:r>
      <w:r>
        <w:rPr>
          <w:rFonts w:ascii="宋体" w:hAnsi="宋体" w:eastAsia="宋体" w:cs="宋体"/>
          <w:spacing w:val="-1"/>
          <w:sz w:val="24"/>
          <w:szCs w:val="24"/>
        </w:rPr>
        <w:t>进行了落实，各污染物排放均能满足环评要求。</w:t>
      </w:r>
    </w:p>
    <w:p w14:paraId="15589E38">
      <w:pPr>
        <w:spacing w:line="341" w:lineRule="auto"/>
        <w:ind w:left="123" w:right="264" w:firstLine="509"/>
        <w:jc w:val="both"/>
        <w:rPr>
          <w:rFonts w:ascii="宋体" w:hAnsi="宋体" w:eastAsia="宋体" w:cs="宋体"/>
          <w:sz w:val="24"/>
          <w:szCs w:val="24"/>
        </w:rPr>
      </w:pPr>
      <w:r>
        <w:rPr>
          <w:rFonts w:ascii="宋体" w:hAnsi="宋体" w:eastAsia="宋体" w:cs="宋体"/>
          <w:spacing w:val="-2"/>
          <w:sz w:val="24"/>
          <w:szCs w:val="24"/>
        </w:rPr>
        <w:t>现有</w:t>
      </w:r>
      <w:r>
        <w:rPr>
          <w:rFonts w:ascii="宋体" w:hAnsi="宋体" w:eastAsia="宋体" w:cs="宋体"/>
          <w:spacing w:val="-40"/>
          <w:sz w:val="24"/>
          <w:szCs w:val="24"/>
        </w:rPr>
        <w:t xml:space="preserve"> </w:t>
      </w:r>
      <w:r>
        <w:rPr>
          <w:rFonts w:ascii="宋体" w:hAnsi="宋体" w:eastAsia="宋体" w:cs="宋体"/>
          <w:spacing w:val="-2"/>
          <w:sz w:val="24"/>
          <w:szCs w:val="24"/>
        </w:rPr>
        <w:t>2000t/d</w:t>
      </w:r>
      <w:r>
        <w:rPr>
          <w:rFonts w:ascii="宋体" w:hAnsi="宋体" w:eastAsia="宋体" w:cs="宋体"/>
          <w:spacing w:val="-52"/>
          <w:sz w:val="24"/>
          <w:szCs w:val="24"/>
        </w:rPr>
        <w:t xml:space="preserve"> </w:t>
      </w:r>
      <w:r>
        <w:rPr>
          <w:rFonts w:ascii="宋体" w:hAnsi="宋体" w:eastAsia="宋体" w:cs="宋体"/>
          <w:spacing w:val="-2"/>
          <w:sz w:val="24"/>
          <w:szCs w:val="24"/>
        </w:rPr>
        <w:t>选矿工程由于设计和建设年代较早，存在设备产尘点多，自</w:t>
      </w:r>
      <w:r>
        <w:rPr>
          <w:rFonts w:ascii="宋体" w:hAnsi="宋体" w:eastAsia="宋体" w:cs="宋体"/>
          <w:sz w:val="24"/>
          <w:szCs w:val="24"/>
        </w:rPr>
        <w:t xml:space="preserve"> 动化程度低等缺点。为了实现安全、高效、节能、</w:t>
      </w:r>
      <w:r>
        <w:rPr>
          <w:rFonts w:ascii="宋体" w:hAnsi="宋体" w:eastAsia="宋体" w:cs="宋体"/>
          <w:spacing w:val="-1"/>
          <w:sz w:val="24"/>
          <w:szCs w:val="24"/>
        </w:rPr>
        <w:t>环保的绿色矿山建设要求，</w:t>
      </w:r>
      <w:r>
        <w:rPr>
          <w:rFonts w:ascii="宋体" w:hAnsi="宋体" w:eastAsia="宋体" w:cs="宋体"/>
          <w:sz w:val="24"/>
          <w:szCs w:val="24"/>
        </w:rPr>
        <w:t xml:space="preserve"> </w:t>
      </w:r>
      <w:r>
        <w:rPr>
          <w:rFonts w:ascii="宋体" w:hAnsi="宋体" w:eastAsia="宋体" w:cs="宋体"/>
          <w:spacing w:val="-2"/>
          <w:sz w:val="24"/>
          <w:szCs w:val="24"/>
        </w:rPr>
        <w:t>内蒙古玉龙矿业有限公司决定对现有</w:t>
      </w:r>
      <w:r>
        <w:rPr>
          <w:rFonts w:ascii="宋体" w:hAnsi="宋体" w:eastAsia="宋体" w:cs="宋体"/>
          <w:spacing w:val="-40"/>
          <w:sz w:val="24"/>
          <w:szCs w:val="24"/>
        </w:rPr>
        <w:t xml:space="preserve"> </w:t>
      </w:r>
      <w:r>
        <w:rPr>
          <w:rFonts w:ascii="宋体" w:hAnsi="宋体" w:eastAsia="宋体" w:cs="宋体"/>
          <w:spacing w:val="-2"/>
          <w:sz w:val="24"/>
          <w:szCs w:val="24"/>
        </w:rPr>
        <w:t>2000t</w:t>
      </w:r>
      <w:r>
        <w:rPr>
          <w:rFonts w:ascii="宋体" w:hAnsi="宋体" w:eastAsia="宋体" w:cs="宋体"/>
          <w:spacing w:val="-51"/>
          <w:sz w:val="24"/>
          <w:szCs w:val="24"/>
        </w:rPr>
        <w:t xml:space="preserve"> </w:t>
      </w:r>
      <w:r>
        <w:rPr>
          <w:rFonts w:ascii="宋体" w:hAnsi="宋体" w:eastAsia="宋体" w:cs="宋体"/>
          <w:spacing w:val="-2"/>
          <w:sz w:val="24"/>
          <w:szCs w:val="24"/>
        </w:rPr>
        <w:t>选厂产能置换，对</w:t>
      </w:r>
      <w:r>
        <w:rPr>
          <w:rFonts w:ascii="宋体" w:hAnsi="宋体" w:eastAsia="宋体" w:cs="宋体"/>
          <w:spacing w:val="-33"/>
          <w:sz w:val="24"/>
          <w:szCs w:val="24"/>
        </w:rPr>
        <w:t xml:space="preserve"> </w:t>
      </w:r>
      <w:r>
        <w:rPr>
          <w:rFonts w:ascii="宋体" w:hAnsi="宋体" w:eastAsia="宋体" w:cs="宋体"/>
          <w:spacing w:val="-2"/>
          <w:sz w:val="24"/>
          <w:szCs w:val="24"/>
        </w:rPr>
        <w:t>1400t/d</w:t>
      </w:r>
      <w:r>
        <w:rPr>
          <w:rFonts w:ascii="宋体" w:hAnsi="宋体" w:eastAsia="宋体" w:cs="宋体"/>
          <w:spacing w:val="-50"/>
          <w:sz w:val="24"/>
          <w:szCs w:val="24"/>
        </w:rPr>
        <w:t xml:space="preserve"> </w:t>
      </w:r>
      <w:r>
        <w:rPr>
          <w:rFonts w:ascii="宋体" w:hAnsi="宋体" w:eastAsia="宋体" w:cs="宋体"/>
          <w:spacing w:val="-2"/>
          <w:sz w:val="24"/>
          <w:szCs w:val="24"/>
        </w:rPr>
        <w:t>技改选</w:t>
      </w:r>
    </w:p>
    <w:p w14:paraId="7A0198A7">
      <w:pPr>
        <w:spacing w:line="341" w:lineRule="auto"/>
        <w:rPr>
          <w:rFonts w:ascii="宋体" w:hAnsi="宋体" w:eastAsia="宋体" w:cs="宋体"/>
          <w:sz w:val="24"/>
          <w:szCs w:val="24"/>
        </w:rPr>
        <w:sectPr>
          <w:headerReference r:id="rId88" w:type="default"/>
          <w:footerReference r:id="rId89" w:type="default"/>
          <w:pgSz w:w="11906" w:h="16839"/>
          <w:pgMar w:top="1208" w:right="1684" w:bottom="1358" w:left="1684" w:header="825" w:footer="1195" w:gutter="0"/>
          <w:cols w:space="720" w:num="1"/>
        </w:sectPr>
      </w:pPr>
    </w:p>
    <w:p w14:paraId="6E0544A1">
      <w:pPr>
        <w:spacing w:before="267" w:line="360" w:lineRule="auto"/>
        <w:ind w:left="23" w:right="162"/>
        <w:jc w:val="both"/>
        <w:rPr>
          <w:rFonts w:ascii="宋体" w:hAnsi="宋体" w:eastAsia="宋体" w:cs="宋体"/>
          <w:sz w:val="24"/>
          <w:szCs w:val="24"/>
        </w:rPr>
      </w:pPr>
      <w:r>
        <w:rPr>
          <w:rFonts w:ascii="宋体" w:hAnsi="宋体" w:eastAsia="宋体" w:cs="宋体"/>
          <w:spacing w:val="-1"/>
          <w:sz w:val="24"/>
          <w:szCs w:val="24"/>
        </w:rPr>
        <w:t>厂厂房及设备进行升级改造，将</w:t>
      </w:r>
      <w:r>
        <w:rPr>
          <w:rFonts w:ascii="宋体" w:hAnsi="宋体" w:eastAsia="宋体" w:cs="宋体"/>
          <w:spacing w:val="-46"/>
          <w:sz w:val="24"/>
          <w:szCs w:val="24"/>
        </w:rPr>
        <w:t xml:space="preserve"> </w:t>
      </w:r>
      <w:r>
        <w:rPr>
          <w:rFonts w:ascii="宋体" w:hAnsi="宋体" w:eastAsia="宋体" w:cs="宋体"/>
          <w:spacing w:val="-1"/>
          <w:sz w:val="24"/>
          <w:szCs w:val="24"/>
        </w:rPr>
        <w:t>2000t</w:t>
      </w:r>
      <w:r>
        <w:rPr>
          <w:rFonts w:ascii="宋体" w:hAnsi="宋体" w:eastAsia="宋体" w:cs="宋体"/>
          <w:spacing w:val="-52"/>
          <w:sz w:val="24"/>
          <w:szCs w:val="24"/>
        </w:rPr>
        <w:t xml:space="preserve"> </w:t>
      </w:r>
      <w:r>
        <w:rPr>
          <w:rFonts w:ascii="宋体" w:hAnsi="宋体" w:eastAsia="宋体" w:cs="宋体"/>
          <w:spacing w:val="-1"/>
          <w:sz w:val="24"/>
          <w:szCs w:val="24"/>
        </w:rPr>
        <w:t>选厂产能置换至新选厂，只利用一座选</w:t>
      </w:r>
      <w:r>
        <w:rPr>
          <w:rFonts w:ascii="宋体" w:hAnsi="宋体" w:eastAsia="宋体" w:cs="宋体"/>
          <w:sz w:val="24"/>
          <w:szCs w:val="24"/>
        </w:rPr>
        <w:t xml:space="preserve"> </w:t>
      </w:r>
      <w:r>
        <w:rPr>
          <w:rFonts w:ascii="宋体" w:hAnsi="宋体" w:eastAsia="宋体" w:cs="宋体"/>
          <w:spacing w:val="-2"/>
          <w:sz w:val="24"/>
          <w:szCs w:val="24"/>
        </w:rPr>
        <w:t>厂便可形成</w:t>
      </w:r>
      <w:r>
        <w:rPr>
          <w:rFonts w:ascii="宋体" w:hAnsi="宋体" w:eastAsia="宋体" w:cs="宋体"/>
          <w:spacing w:val="-21"/>
          <w:sz w:val="24"/>
          <w:szCs w:val="24"/>
        </w:rPr>
        <w:t xml:space="preserve"> </w:t>
      </w:r>
      <w:r>
        <w:rPr>
          <w:rFonts w:ascii="宋体" w:hAnsi="宋体" w:eastAsia="宋体" w:cs="宋体"/>
          <w:spacing w:val="-2"/>
          <w:sz w:val="24"/>
          <w:szCs w:val="24"/>
        </w:rPr>
        <w:t>1400t/d+2000t/d</w:t>
      </w:r>
      <w:r>
        <w:rPr>
          <w:rFonts w:ascii="宋体" w:hAnsi="宋体" w:eastAsia="宋体" w:cs="宋体"/>
          <w:spacing w:val="-31"/>
          <w:sz w:val="24"/>
          <w:szCs w:val="24"/>
        </w:rPr>
        <w:t xml:space="preserve"> </w:t>
      </w:r>
      <w:r>
        <w:rPr>
          <w:rFonts w:ascii="宋体" w:hAnsi="宋体" w:eastAsia="宋体" w:cs="宋体"/>
          <w:spacing w:val="-2"/>
          <w:sz w:val="24"/>
          <w:szCs w:val="24"/>
        </w:rPr>
        <w:t>的规模。工程实施后可有效降低粉尘产生量，提</w:t>
      </w:r>
      <w:r>
        <w:rPr>
          <w:rFonts w:ascii="宋体" w:hAnsi="宋体" w:eastAsia="宋体" w:cs="宋体"/>
          <w:sz w:val="24"/>
          <w:szCs w:val="24"/>
        </w:rPr>
        <w:t xml:space="preserve"> </w:t>
      </w:r>
      <w:r>
        <w:rPr>
          <w:rFonts w:ascii="宋体" w:hAnsi="宋体" w:eastAsia="宋体" w:cs="宋体"/>
          <w:spacing w:val="-2"/>
          <w:sz w:val="24"/>
          <w:szCs w:val="24"/>
        </w:rPr>
        <w:t>高设备自动化水平。</w:t>
      </w:r>
    </w:p>
    <w:p w14:paraId="28729A16">
      <w:pPr>
        <w:spacing w:line="360" w:lineRule="auto"/>
        <w:rPr>
          <w:rFonts w:ascii="宋体" w:hAnsi="宋体" w:eastAsia="宋体" w:cs="宋体"/>
          <w:sz w:val="24"/>
          <w:szCs w:val="24"/>
        </w:rPr>
        <w:sectPr>
          <w:headerReference r:id="rId90" w:type="default"/>
          <w:footerReference r:id="rId91" w:type="default"/>
          <w:pgSz w:w="11906" w:h="16839"/>
          <w:pgMar w:top="1208" w:right="1785" w:bottom="1358" w:left="1785" w:header="825" w:footer="1195" w:gutter="0"/>
          <w:cols w:space="720" w:num="1"/>
        </w:sectPr>
      </w:pPr>
    </w:p>
    <w:p w14:paraId="29540F5D">
      <w:pPr>
        <w:spacing w:before="270" w:line="222" w:lineRule="auto"/>
        <w:ind w:left="15"/>
        <w:outlineLvl w:val="0"/>
        <w:rPr>
          <w:rFonts w:ascii="黑体" w:hAnsi="黑体" w:eastAsia="黑体" w:cs="黑体"/>
          <w:sz w:val="28"/>
          <w:szCs w:val="28"/>
        </w:rPr>
      </w:pPr>
      <w:bookmarkStart w:id="51" w:name="bookmark47"/>
      <w:bookmarkEnd w:id="51"/>
      <w:r>
        <w:rPr>
          <w:rFonts w:ascii="黑体" w:hAnsi="黑体" w:eastAsia="黑体" w:cs="黑体"/>
          <w:b/>
          <w:bCs/>
          <w:spacing w:val="-5"/>
          <w:sz w:val="28"/>
          <w:szCs w:val="28"/>
        </w:rPr>
        <w:t>4</w:t>
      </w:r>
      <w:r>
        <w:rPr>
          <w:rFonts w:ascii="黑体" w:hAnsi="黑体" w:eastAsia="黑体" w:cs="黑体"/>
          <w:spacing w:val="-54"/>
          <w:sz w:val="28"/>
          <w:szCs w:val="28"/>
        </w:rPr>
        <w:t xml:space="preserve"> </w:t>
      </w:r>
      <w:r>
        <w:rPr>
          <w:rFonts w:ascii="黑体" w:hAnsi="黑体" w:eastAsia="黑体" w:cs="黑体"/>
          <w:b/>
          <w:bCs/>
          <w:spacing w:val="-5"/>
          <w:sz w:val="28"/>
          <w:szCs w:val="28"/>
        </w:rPr>
        <w:t>技改工程概况</w:t>
      </w:r>
    </w:p>
    <w:p w14:paraId="0578A336">
      <w:pPr>
        <w:pStyle w:val="2"/>
        <w:spacing w:line="277" w:lineRule="auto"/>
      </w:pPr>
    </w:p>
    <w:p w14:paraId="0104E498">
      <w:pPr>
        <w:spacing w:before="91" w:line="222" w:lineRule="auto"/>
        <w:ind w:left="18"/>
        <w:outlineLvl w:val="1"/>
        <w:rPr>
          <w:rFonts w:ascii="黑体" w:hAnsi="黑体" w:eastAsia="黑体" w:cs="黑体"/>
          <w:sz w:val="28"/>
          <w:szCs w:val="28"/>
        </w:rPr>
      </w:pPr>
      <w:bookmarkStart w:id="52" w:name="bookmark48"/>
      <w:bookmarkEnd w:id="52"/>
      <w:r>
        <w:rPr>
          <w:rFonts w:ascii="Times New Roman" w:hAnsi="Times New Roman" w:eastAsia="Times New Roman" w:cs="Times New Roman"/>
          <w:b/>
          <w:bCs/>
          <w:spacing w:val="-2"/>
          <w:sz w:val="28"/>
          <w:szCs w:val="28"/>
        </w:rPr>
        <w:t xml:space="preserve">4.1 </w:t>
      </w:r>
      <w:r>
        <w:rPr>
          <w:rFonts w:ascii="黑体" w:hAnsi="黑体" w:eastAsia="黑体" w:cs="黑体"/>
          <w:b/>
          <w:bCs/>
          <w:spacing w:val="-2"/>
          <w:sz w:val="28"/>
          <w:szCs w:val="28"/>
        </w:rPr>
        <w:t>项目名称、地点及建设性质</w:t>
      </w:r>
    </w:p>
    <w:p w14:paraId="6A2E644A">
      <w:pPr>
        <w:spacing w:before="265" w:line="367" w:lineRule="auto"/>
        <w:ind w:left="16" w:right="162" w:firstLine="488"/>
        <w:rPr>
          <w:rFonts w:ascii="宋体" w:hAnsi="宋体" w:eastAsia="宋体" w:cs="宋体"/>
          <w:sz w:val="24"/>
          <w:szCs w:val="24"/>
        </w:rPr>
      </w:pPr>
      <w:r>
        <w:rPr>
          <w:rFonts w:ascii="宋体" w:hAnsi="宋体" w:eastAsia="宋体" w:cs="宋体"/>
          <w:spacing w:val="5"/>
          <w:sz w:val="24"/>
          <w:szCs w:val="24"/>
        </w:rPr>
        <w:t>项目名称：</w:t>
      </w:r>
      <w:r>
        <w:rPr>
          <w:rFonts w:ascii="宋体" w:hAnsi="宋体" w:eastAsia="宋体" w:cs="宋体"/>
          <w:spacing w:val="-50"/>
          <w:sz w:val="24"/>
          <w:szCs w:val="24"/>
        </w:rPr>
        <w:t xml:space="preserve"> </w:t>
      </w:r>
      <w:r>
        <w:rPr>
          <w:rFonts w:ascii="宋体" w:hAnsi="宋体" w:eastAsia="宋体" w:cs="宋体"/>
          <w:spacing w:val="5"/>
          <w:sz w:val="24"/>
          <w:szCs w:val="24"/>
        </w:rPr>
        <w:t>内蒙古玉龙矿业股份有限公司西乌珠穆沁旗花敖包特银铅矿</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选矿厂技术改造项目</w:t>
      </w:r>
    </w:p>
    <w:p w14:paraId="7129B754">
      <w:pPr>
        <w:spacing w:line="219" w:lineRule="auto"/>
        <w:ind w:left="503"/>
        <w:rPr>
          <w:rFonts w:ascii="宋体" w:hAnsi="宋体" w:eastAsia="宋体" w:cs="宋体"/>
          <w:sz w:val="24"/>
          <w:szCs w:val="24"/>
        </w:rPr>
      </w:pPr>
      <w:r>
        <w:rPr>
          <w:rFonts w:ascii="宋体" w:hAnsi="宋体" w:eastAsia="宋体" w:cs="宋体"/>
          <w:spacing w:val="-1"/>
          <w:sz w:val="24"/>
          <w:szCs w:val="24"/>
        </w:rPr>
        <w:t>建设单位：内蒙古玉龙矿业股份有限公司</w:t>
      </w:r>
    </w:p>
    <w:p w14:paraId="3FB3678C">
      <w:pPr>
        <w:spacing w:before="195" w:line="219" w:lineRule="auto"/>
        <w:ind w:left="504"/>
        <w:rPr>
          <w:rFonts w:ascii="宋体" w:hAnsi="宋体" w:eastAsia="宋体" w:cs="宋体"/>
          <w:sz w:val="24"/>
          <w:szCs w:val="24"/>
        </w:rPr>
      </w:pPr>
      <w:r>
        <w:rPr>
          <w:rFonts w:ascii="宋体" w:hAnsi="宋体" w:eastAsia="宋体" w:cs="宋体"/>
          <w:spacing w:val="-2"/>
          <w:sz w:val="24"/>
          <w:szCs w:val="24"/>
        </w:rPr>
        <w:t>项目性质：技改</w:t>
      </w:r>
    </w:p>
    <w:p w14:paraId="6E7E1F69">
      <w:pPr>
        <w:spacing w:before="192" w:line="368" w:lineRule="auto"/>
        <w:ind w:left="20" w:right="162" w:firstLine="483"/>
        <w:rPr>
          <w:rFonts w:ascii="宋体" w:hAnsi="宋体" w:eastAsia="宋体" w:cs="宋体"/>
          <w:sz w:val="24"/>
          <w:szCs w:val="24"/>
        </w:rPr>
      </w:pPr>
      <w:r>
        <w:rPr>
          <w:rFonts w:ascii="宋体" w:hAnsi="宋体" w:eastAsia="宋体" w:cs="宋体"/>
          <w:spacing w:val="-1"/>
          <w:sz w:val="24"/>
          <w:szCs w:val="24"/>
        </w:rPr>
        <w:t>建设地点：项目位于内蒙古自治区锡林郭勒盟西乌珠穆沁旗巴彦花镇巴彦</w:t>
      </w:r>
      <w:r>
        <w:rPr>
          <w:rFonts w:ascii="宋体" w:hAnsi="宋体" w:eastAsia="宋体" w:cs="宋体"/>
          <w:spacing w:val="18"/>
          <w:sz w:val="24"/>
          <w:szCs w:val="24"/>
        </w:rPr>
        <w:t xml:space="preserve"> </w:t>
      </w:r>
      <w:r>
        <w:rPr>
          <w:rFonts w:ascii="宋体" w:hAnsi="宋体" w:eastAsia="宋体" w:cs="宋体"/>
          <w:sz w:val="24"/>
          <w:szCs w:val="24"/>
        </w:rPr>
        <w:t>胡博嘎查，建设地点位于现有矿区范围内。矿区南西距</w:t>
      </w:r>
      <w:r>
        <w:rPr>
          <w:rFonts w:ascii="宋体" w:hAnsi="宋体" w:eastAsia="宋体" w:cs="宋体"/>
          <w:spacing w:val="-1"/>
          <w:sz w:val="24"/>
          <w:szCs w:val="24"/>
        </w:rPr>
        <w:t>西乌珠穆沁旗政府所在</w:t>
      </w:r>
      <w:r>
        <w:rPr>
          <w:rFonts w:ascii="宋体" w:hAnsi="宋体" w:eastAsia="宋体" w:cs="宋体"/>
          <w:sz w:val="24"/>
          <w:szCs w:val="24"/>
        </w:rPr>
        <w:t xml:space="preserve"> </w:t>
      </w:r>
      <w:r>
        <w:rPr>
          <w:rFonts w:ascii="宋体" w:hAnsi="宋体" w:eastAsia="宋体" w:cs="宋体"/>
          <w:spacing w:val="-3"/>
          <w:sz w:val="24"/>
          <w:szCs w:val="24"/>
        </w:rPr>
        <w:t>地—巴拉嘎尔高勒镇</w:t>
      </w:r>
      <w:r>
        <w:rPr>
          <w:rFonts w:ascii="宋体" w:hAnsi="宋体" w:eastAsia="宋体" w:cs="宋体"/>
          <w:spacing w:val="-33"/>
          <w:sz w:val="24"/>
          <w:szCs w:val="24"/>
        </w:rPr>
        <w:t xml:space="preserve"> </w:t>
      </w:r>
      <w:r>
        <w:rPr>
          <w:rFonts w:ascii="宋体" w:hAnsi="宋体" w:eastAsia="宋体" w:cs="宋体"/>
          <w:spacing w:val="-3"/>
          <w:sz w:val="24"/>
          <w:szCs w:val="24"/>
        </w:rPr>
        <w:t>138km，西距高日罕镇</w:t>
      </w:r>
      <w:r>
        <w:rPr>
          <w:rFonts w:ascii="宋体" w:hAnsi="宋体" w:eastAsia="宋体" w:cs="宋体"/>
          <w:spacing w:val="-46"/>
          <w:sz w:val="24"/>
          <w:szCs w:val="24"/>
        </w:rPr>
        <w:t xml:space="preserve"> </w:t>
      </w:r>
      <w:r>
        <w:rPr>
          <w:rFonts w:ascii="宋体" w:hAnsi="宋体" w:eastAsia="宋体" w:cs="宋体"/>
          <w:spacing w:val="-3"/>
          <w:sz w:val="24"/>
          <w:szCs w:val="24"/>
        </w:rPr>
        <w:t>56km，南距宝日格斯</w:t>
      </w:r>
      <w:r>
        <w:rPr>
          <w:rFonts w:ascii="宋体" w:hAnsi="宋体" w:eastAsia="宋体" w:cs="宋体"/>
          <w:spacing w:val="-48"/>
          <w:sz w:val="24"/>
          <w:szCs w:val="24"/>
        </w:rPr>
        <w:t xml:space="preserve"> </w:t>
      </w:r>
      <w:r>
        <w:rPr>
          <w:rFonts w:ascii="宋体" w:hAnsi="宋体" w:eastAsia="宋体" w:cs="宋体"/>
          <w:spacing w:val="-3"/>
          <w:sz w:val="24"/>
          <w:szCs w:val="24"/>
        </w:rPr>
        <w:t>22km，</w:t>
      </w:r>
      <w:r>
        <w:rPr>
          <w:rFonts w:ascii="宋体" w:hAnsi="宋体" w:eastAsia="宋体" w:cs="宋体"/>
          <w:spacing w:val="-4"/>
          <w:sz w:val="24"/>
          <w:szCs w:val="24"/>
        </w:rPr>
        <w:t>北东距</w:t>
      </w:r>
      <w:r>
        <w:rPr>
          <w:rFonts w:ascii="宋体" w:hAnsi="宋体" w:eastAsia="宋体" w:cs="宋体"/>
          <w:sz w:val="24"/>
          <w:szCs w:val="24"/>
        </w:rPr>
        <w:t xml:space="preserve"> 霍林郭勒市</w:t>
      </w:r>
      <w:r>
        <w:rPr>
          <w:rFonts w:ascii="宋体" w:hAnsi="宋体" w:eastAsia="宋体" w:cs="宋体"/>
          <w:spacing w:val="-35"/>
          <w:sz w:val="24"/>
          <w:szCs w:val="24"/>
        </w:rPr>
        <w:t xml:space="preserve"> </w:t>
      </w:r>
      <w:r>
        <w:rPr>
          <w:rFonts w:ascii="宋体" w:hAnsi="宋体" w:eastAsia="宋体" w:cs="宋体"/>
          <w:sz w:val="24"/>
          <w:szCs w:val="24"/>
        </w:rPr>
        <w:t>75km，北距呼热图淖尔苏木</w:t>
      </w:r>
      <w:r>
        <w:rPr>
          <w:rFonts w:ascii="宋体" w:hAnsi="宋体" w:eastAsia="宋体" w:cs="宋体"/>
          <w:spacing w:val="-46"/>
          <w:sz w:val="24"/>
          <w:szCs w:val="24"/>
        </w:rPr>
        <w:t xml:space="preserve"> </w:t>
      </w:r>
      <w:r>
        <w:rPr>
          <w:rFonts w:ascii="宋体" w:hAnsi="宋体" w:eastAsia="宋体" w:cs="宋体"/>
          <w:sz w:val="24"/>
          <w:szCs w:val="24"/>
        </w:rPr>
        <w:t>22.5km，北东距霍林郭勒机场</w:t>
      </w:r>
      <w:r>
        <w:rPr>
          <w:rFonts w:ascii="宋体" w:hAnsi="宋体" w:eastAsia="宋体" w:cs="宋体"/>
          <w:spacing w:val="-49"/>
          <w:sz w:val="24"/>
          <w:szCs w:val="24"/>
        </w:rPr>
        <w:t xml:space="preserve"> </w:t>
      </w:r>
      <w:r>
        <w:rPr>
          <w:rFonts w:ascii="宋体" w:hAnsi="宋体" w:eastAsia="宋体" w:cs="宋体"/>
          <w:sz w:val="24"/>
          <w:szCs w:val="24"/>
        </w:rPr>
        <w:t xml:space="preserve">42km。 </w:t>
      </w:r>
      <w:r>
        <w:rPr>
          <w:rFonts w:ascii="宋体" w:hAnsi="宋体" w:eastAsia="宋体" w:cs="宋体"/>
          <w:spacing w:val="-5"/>
          <w:sz w:val="24"/>
          <w:szCs w:val="24"/>
        </w:rPr>
        <w:t>入矿区有水泥公路相连，矿区西南</w:t>
      </w:r>
      <w:r>
        <w:rPr>
          <w:rFonts w:ascii="宋体" w:hAnsi="宋体" w:eastAsia="宋体" w:cs="宋体"/>
          <w:spacing w:val="-24"/>
          <w:sz w:val="24"/>
          <w:szCs w:val="24"/>
        </w:rPr>
        <w:t xml:space="preserve"> </w:t>
      </w:r>
      <w:r>
        <w:rPr>
          <w:rFonts w:ascii="宋体" w:hAnsi="宋体" w:eastAsia="宋体" w:cs="宋体"/>
          <w:spacing w:val="-5"/>
          <w:sz w:val="24"/>
          <w:szCs w:val="24"/>
        </w:rPr>
        <w:t>15km</w:t>
      </w:r>
      <w:r>
        <w:rPr>
          <w:rFonts w:ascii="宋体" w:hAnsi="宋体" w:eastAsia="宋体" w:cs="宋体"/>
          <w:spacing w:val="-46"/>
          <w:sz w:val="24"/>
          <w:szCs w:val="24"/>
        </w:rPr>
        <w:t xml:space="preserve"> </w:t>
      </w:r>
      <w:r>
        <w:rPr>
          <w:rFonts w:ascii="宋体" w:hAnsi="宋体" w:eastAsia="宋体" w:cs="宋体"/>
          <w:spacing w:val="-5"/>
          <w:sz w:val="24"/>
          <w:szCs w:val="24"/>
        </w:rPr>
        <w:t>处有一级公路可直达西乌珠穆沁旗政府</w:t>
      </w:r>
      <w:r>
        <w:rPr>
          <w:rFonts w:ascii="宋体" w:hAnsi="宋体" w:eastAsia="宋体" w:cs="宋体"/>
          <w:sz w:val="24"/>
          <w:szCs w:val="24"/>
        </w:rPr>
        <w:t xml:space="preserve"> </w:t>
      </w:r>
      <w:r>
        <w:rPr>
          <w:rFonts w:ascii="宋体" w:hAnsi="宋体" w:eastAsia="宋体" w:cs="宋体"/>
          <w:spacing w:val="-2"/>
          <w:sz w:val="24"/>
          <w:szCs w:val="24"/>
        </w:rPr>
        <w:t>所在地。具体位置见图</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4.1-1</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。四邻关系见图</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4.1-2</w:t>
      </w:r>
      <w:r>
        <w:rPr>
          <w:rFonts w:ascii="宋体" w:hAnsi="宋体" w:eastAsia="宋体" w:cs="宋体"/>
          <w:spacing w:val="-2"/>
          <w:sz w:val="24"/>
          <w:szCs w:val="24"/>
        </w:rPr>
        <w:t>。</w:t>
      </w:r>
    </w:p>
    <w:p w14:paraId="0DA5808B">
      <w:pPr>
        <w:spacing w:before="1" w:line="368" w:lineRule="auto"/>
        <w:ind w:left="22" w:right="162" w:firstLine="479"/>
        <w:rPr>
          <w:rFonts w:ascii="宋体" w:hAnsi="宋体" w:eastAsia="宋体" w:cs="宋体"/>
          <w:sz w:val="24"/>
          <w:szCs w:val="24"/>
        </w:rPr>
      </w:pPr>
      <w:r>
        <w:rPr>
          <w:rFonts w:ascii="宋体" w:hAnsi="宋体" w:eastAsia="宋体" w:cs="宋体"/>
          <w:spacing w:val="-4"/>
          <w:sz w:val="24"/>
          <w:szCs w:val="24"/>
        </w:rPr>
        <w:t>技改原因：</w:t>
      </w:r>
      <w:r>
        <w:rPr>
          <w:rFonts w:ascii="宋体" w:hAnsi="宋体" w:eastAsia="宋体" w:cs="宋体"/>
          <w:spacing w:val="-62"/>
          <w:sz w:val="24"/>
          <w:szCs w:val="24"/>
        </w:rPr>
        <w:t xml:space="preserve"> </w:t>
      </w:r>
      <w:r>
        <w:rPr>
          <w:rFonts w:ascii="宋体" w:hAnsi="宋体" w:eastAsia="宋体" w:cs="宋体"/>
          <w:spacing w:val="-4"/>
          <w:sz w:val="24"/>
          <w:szCs w:val="24"/>
        </w:rPr>
        <w:t>目前</w:t>
      </w:r>
      <w:r>
        <w:rPr>
          <w:rFonts w:ascii="宋体" w:hAnsi="宋体" w:eastAsia="宋体" w:cs="宋体"/>
          <w:spacing w:val="-48"/>
          <w:sz w:val="24"/>
          <w:szCs w:val="24"/>
        </w:rPr>
        <w:t xml:space="preserve"> </w:t>
      </w:r>
      <w:r>
        <w:rPr>
          <w:rFonts w:ascii="宋体" w:hAnsi="宋体" w:eastAsia="宋体" w:cs="宋体"/>
          <w:spacing w:val="-4"/>
          <w:sz w:val="24"/>
          <w:szCs w:val="24"/>
        </w:rPr>
        <w:t>2000t/d</w:t>
      </w:r>
      <w:r>
        <w:rPr>
          <w:rFonts w:ascii="宋体" w:hAnsi="宋体" w:eastAsia="宋体" w:cs="宋体"/>
          <w:spacing w:val="-51"/>
          <w:sz w:val="24"/>
          <w:szCs w:val="24"/>
        </w:rPr>
        <w:t xml:space="preserve"> </w:t>
      </w:r>
      <w:r>
        <w:rPr>
          <w:rFonts w:ascii="宋体" w:hAnsi="宋体" w:eastAsia="宋体" w:cs="宋体"/>
          <w:spacing w:val="-4"/>
          <w:sz w:val="24"/>
          <w:szCs w:val="24"/>
        </w:rPr>
        <w:t>铅锌矿选矿厂存在设备产尘点多，</w:t>
      </w:r>
      <w:r>
        <w:rPr>
          <w:rFonts w:ascii="宋体" w:hAnsi="宋体" w:eastAsia="宋体" w:cs="宋体"/>
          <w:spacing w:val="-71"/>
          <w:sz w:val="24"/>
          <w:szCs w:val="24"/>
        </w:rPr>
        <w:t xml:space="preserve"> </w:t>
      </w:r>
      <w:r>
        <w:rPr>
          <w:rFonts w:ascii="宋体" w:hAnsi="宋体" w:eastAsia="宋体" w:cs="宋体"/>
          <w:spacing w:val="-4"/>
          <w:sz w:val="24"/>
          <w:szCs w:val="24"/>
        </w:rPr>
        <w:t>自动化程度低</w:t>
      </w:r>
      <w:r>
        <w:rPr>
          <w:rFonts w:ascii="宋体" w:hAnsi="宋体" w:eastAsia="宋体" w:cs="宋体"/>
          <w:sz w:val="24"/>
          <w:szCs w:val="24"/>
        </w:rPr>
        <w:t xml:space="preserve"> </w:t>
      </w:r>
      <w:r>
        <w:rPr>
          <w:rFonts w:ascii="宋体" w:hAnsi="宋体" w:eastAsia="宋体" w:cs="宋体"/>
          <w:spacing w:val="-1"/>
          <w:sz w:val="24"/>
          <w:szCs w:val="24"/>
        </w:rPr>
        <w:t>等缺点。不满足安全、高效、节能、环保的绿色矿山建设要求。</w:t>
      </w:r>
    </w:p>
    <w:p w14:paraId="03FB4011">
      <w:pPr>
        <w:spacing w:before="1" w:line="368" w:lineRule="auto"/>
        <w:ind w:left="48" w:right="161" w:firstLine="453"/>
        <w:rPr>
          <w:rFonts w:ascii="宋体" w:hAnsi="宋体" w:eastAsia="宋体" w:cs="宋体"/>
          <w:sz w:val="24"/>
          <w:szCs w:val="24"/>
        </w:rPr>
      </w:pPr>
      <w:r>
        <w:rPr>
          <w:rFonts w:ascii="宋体" w:hAnsi="宋体" w:eastAsia="宋体" w:cs="宋体"/>
          <w:spacing w:val="-6"/>
          <w:sz w:val="24"/>
          <w:szCs w:val="24"/>
        </w:rPr>
        <w:t>技改方案：</w:t>
      </w:r>
      <w:r>
        <w:rPr>
          <w:rFonts w:ascii="Times New Roman" w:hAnsi="Times New Roman" w:eastAsia="Times New Roman" w:cs="Times New Roman"/>
          <w:spacing w:val="-6"/>
          <w:sz w:val="24"/>
          <w:szCs w:val="24"/>
        </w:rPr>
        <w:t>1.</w:t>
      </w:r>
      <w:r>
        <w:rPr>
          <w:rFonts w:ascii="宋体" w:hAnsi="宋体" w:eastAsia="宋体" w:cs="宋体"/>
          <w:spacing w:val="-6"/>
          <w:sz w:val="24"/>
          <w:szCs w:val="24"/>
        </w:rPr>
        <w:t>延长供矿段设备运行时间；</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7"/>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7"/>
          <w:sz w:val="24"/>
          <w:szCs w:val="24"/>
        </w:rPr>
        <w:t>降低入磨产品粒度，由原</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250mm</w:t>
      </w:r>
      <w:r>
        <w:rPr>
          <w:rFonts w:ascii="Times New Roman" w:hAnsi="Times New Roman" w:eastAsia="Times New Roman" w:cs="Times New Roman"/>
          <w:sz w:val="24"/>
          <w:szCs w:val="24"/>
        </w:rPr>
        <w:t xml:space="preserve"> </w:t>
      </w:r>
      <w:r>
        <w:rPr>
          <w:rFonts w:ascii="宋体" w:hAnsi="宋体" w:eastAsia="宋体" w:cs="宋体"/>
          <w:spacing w:val="-5"/>
          <w:sz w:val="24"/>
          <w:szCs w:val="24"/>
        </w:rPr>
        <w:t>以下调整到</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110mm</w:t>
      </w:r>
      <w:r>
        <w:rPr>
          <w:rFonts w:ascii="Times New Roman" w:hAnsi="Times New Roman" w:eastAsia="Times New Roman" w:cs="Times New Roman"/>
          <w:spacing w:val="35"/>
          <w:sz w:val="24"/>
          <w:szCs w:val="24"/>
        </w:rPr>
        <w:t xml:space="preserve"> </w:t>
      </w:r>
      <w:r>
        <w:rPr>
          <w:rFonts w:ascii="宋体" w:hAnsi="宋体" w:eastAsia="宋体" w:cs="宋体"/>
          <w:spacing w:val="-5"/>
          <w:sz w:val="24"/>
          <w:szCs w:val="24"/>
        </w:rPr>
        <w:t>以下；</w:t>
      </w:r>
      <w:r>
        <w:rPr>
          <w:rFonts w:ascii="Times New Roman" w:hAnsi="Times New Roman" w:eastAsia="Times New Roman" w:cs="Times New Roman"/>
          <w:spacing w:val="-5"/>
          <w:sz w:val="24"/>
          <w:szCs w:val="24"/>
        </w:rPr>
        <w:t>3.</w:t>
      </w:r>
      <w:r>
        <w:rPr>
          <w:rFonts w:ascii="宋体" w:hAnsi="宋体" w:eastAsia="宋体" w:cs="宋体"/>
          <w:spacing w:val="-5"/>
          <w:sz w:val="24"/>
          <w:szCs w:val="24"/>
        </w:rPr>
        <w:t>新增振动筛，提高分级效率，减少半自磨循环量；</w:t>
      </w:r>
    </w:p>
    <w:p w14:paraId="23A75ED0">
      <w:pPr>
        <w:spacing w:before="1" w:line="318" w:lineRule="auto"/>
        <w:ind w:left="22" w:right="103" w:hanging="7"/>
        <w:rPr>
          <w:rFonts w:ascii="宋体" w:hAnsi="宋体" w:eastAsia="宋体" w:cs="宋体"/>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降低旋流器溢流（即最终入选矿浆）粒度，减少球磨机循环量；</w:t>
      </w:r>
      <w:r>
        <w:rPr>
          <w:rFonts w:ascii="Times New Roman" w:hAnsi="Times New Roman" w:eastAsia="Times New Roman" w:cs="Times New Roman"/>
          <w:spacing w:val="-4"/>
          <w:sz w:val="24"/>
          <w:szCs w:val="24"/>
        </w:rPr>
        <w:t>5.</w:t>
      </w:r>
      <w:r>
        <w:rPr>
          <w:rFonts w:ascii="宋体" w:hAnsi="宋体" w:eastAsia="宋体" w:cs="宋体"/>
          <w:spacing w:val="-5"/>
          <w:sz w:val="24"/>
          <w:szCs w:val="24"/>
        </w:rPr>
        <w:t>新增高效搅</w:t>
      </w:r>
      <w:r>
        <w:rPr>
          <w:rFonts w:ascii="宋体" w:hAnsi="宋体" w:eastAsia="宋体" w:cs="宋体"/>
          <w:sz w:val="24"/>
          <w:szCs w:val="24"/>
        </w:rPr>
        <w:t xml:space="preserve"> 拌槽及离心鼓风机、脉动式加药机、药剂搅拌槽</w:t>
      </w:r>
      <w:r>
        <w:rPr>
          <w:rFonts w:ascii="宋体" w:hAnsi="宋体" w:eastAsia="宋体" w:cs="宋体"/>
          <w:spacing w:val="-1"/>
          <w:sz w:val="24"/>
          <w:szCs w:val="24"/>
        </w:rPr>
        <w:t>，增加浮选浓度，采用新型高</w:t>
      </w:r>
      <w:r>
        <w:rPr>
          <w:rFonts w:ascii="宋体" w:hAnsi="宋体" w:eastAsia="宋体" w:cs="宋体"/>
          <w:sz w:val="24"/>
          <w:szCs w:val="24"/>
        </w:rPr>
        <w:t xml:space="preserve"> </w:t>
      </w:r>
      <w:r>
        <w:rPr>
          <w:rFonts w:ascii="宋体" w:hAnsi="宋体" w:eastAsia="宋体" w:cs="宋体"/>
          <w:spacing w:val="-4"/>
          <w:sz w:val="24"/>
          <w:szCs w:val="24"/>
        </w:rPr>
        <w:t>效药剂，缩短浮选时间；</w:t>
      </w:r>
      <w:r>
        <w:rPr>
          <w:rFonts w:ascii="Times New Roman" w:hAnsi="Times New Roman" w:eastAsia="Times New Roman" w:cs="Times New Roman"/>
          <w:spacing w:val="-4"/>
          <w:sz w:val="24"/>
          <w:szCs w:val="24"/>
        </w:rPr>
        <w:t>6.</w:t>
      </w:r>
      <w:r>
        <w:rPr>
          <w:rFonts w:ascii="宋体" w:hAnsi="宋体" w:eastAsia="宋体" w:cs="宋体"/>
          <w:spacing w:val="-4"/>
          <w:sz w:val="24"/>
          <w:szCs w:val="24"/>
        </w:rPr>
        <w:t>新增高浓度搅拌槽，并延长陶瓷过滤机的工作时间；</w:t>
      </w:r>
    </w:p>
    <w:p w14:paraId="3E13BB6D">
      <w:pPr>
        <w:spacing w:before="195" w:line="293" w:lineRule="auto"/>
        <w:ind w:left="38" w:right="162" w:hanging="18"/>
        <w:rPr>
          <w:rFonts w:ascii="宋体" w:hAnsi="宋体" w:eastAsia="宋体" w:cs="宋体"/>
          <w:sz w:val="24"/>
          <w:szCs w:val="24"/>
        </w:rPr>
      </w:pPr>
      <w:r>
        <w:rPr>
          <w:rFonts w:ascii="Times New Roman" w:hAnsi="Times New Roman" w:eastAsia="Times New Roman" w:cs="Times New Roman"/>
          <w:spacing w:val="-10"/>
          <w:sz w:val="24"/>
          <w:szCs w:val="24"/>
        </w:rPr>
        <w:t xml:space="preserve">7. </w:t>
      </w:r>
      <w:r>
        <w:rPr>
          <w:rFonts w:ascii="宋体" w:hAnsi="宋体" w:eastAsia="宋体" w:cs="宋体"/>
          <w:spacing w:val="-10"/>
          <w:sz w:val="24"/>
          <w:szCs w:val="24"/>
        </w:rPr>
        <w:t>新</w:t>
      </w:r>
      <w:r>
        <w:rPr>
          <w:rFonts w:ascii="宋体" w:hAnsi="宋体" w:eastAsia="宋体" w:cs="宋体"/>
          <w:spacing w:val="-38"/>
          <w:sz w:val="24"/>
          <w:szCs w:val="24"/>
        </w:rPr>
        <w:t xml:space="preserve"> </w:t>
      </w:r>
      <w:r>
        <w:rPr>
          <w:rFonts w:ascii="宋体" w:hAnsi="宋体" w:eastAsia="宋体" w:cs="宋体"/>
          <w:spacing w:val="-10"/>
          <w:sz w:val="24"/>
          <w:szCs w:val="24"/>
        </w:rPr>
        <w:t>增</w:t>
      </w:r>
      <w:r>
        <w:rPr>
          <w:rFonts w:ascii="宋体" w:hAnsi="宋体" w:eastAsia="宋体" w:cs="宋体"/>
          <w:spacing w:val="-54"/>
          <w:sz w:val="24"/>
          <w:szCs w:val="24"/>
        </w:rPr>
        <w:t xml:space="preserve"> </w:t>
      </w:r>
      <w:r>
        <w:rPr>
          <w:rFonts w:ascii="宋体" w:hAnsi="宋体" w:eastAsia="宋体" w:cs="宋体"/>
          <w:spacing w:val="-10"/>
          <w:sz w:val="24"/>
          <w:szCs w:val="24"/>
        </w:rPr>
        <w:t>泵</w:t>
      </w:r>
      <w:r>
        <w:rPr>
          <w:rFonts w:ascii="宋体" w:hAnsi="宋体" w:eastAsia="宋体" w:cs="宋体"/>
          <w:spacing w:val="-57"/>
          <w:sz w:val="24"/>
          <w:szCs w:val="24"/>
        </w:rPr>
        <w:t xml:space="preserve"> </w:t>
      </w:r>
      <w:r>
        <w:rPr>
          <w:rFonts w:ascii="宋体" w:hAnsi="宋体" w:eastAsia="宋体" w:cs="宋体"/>
          <w:spacing w:val="-10"/>
          <w:sz w:val="24"/>
          <w:szCs w:val="24"/>
        </w:rPr>
        <w:t>及</w:t>
      </w:r>
      <w:r>
        <w:rPr>
          <w:rFonts w:ascii="宋体" w:hAnsi="宋体" w:eastAsia="宋体" w:cs="宋体"/>
          <w:spacing w:val="-47"/>
          <w:sz w:val="24"/>
          <w:szCs w:val="24"/>
        </w:rPr>
        <w:t xml:space="preserve"> </w:t>
      </w:r>
      <w:r>
        <w:rPr>
          <w:rFonts w:ascii="宋体" w:hAnsi="宋体" w:eastAsia="宋体" w:cs="宋体"/>
          <w:spacing w:val="-10"/>
          <w:sz w:val="24"/>
          <w:szCs w:val="24"/>
        </w:rPr>
        <w:t>管</w:t>
      </w:r>
      <w:r>
        <w:rPr>
          <w:rFonts w:ascii="宋体" w:hAnsi="宋体" w:eastAsia="宋体" w:cs="宋体"/>
          <w:spacing w:val="-57"/>
          <w:sz w:val="24"/>
          <w:szCs w:val="24"/>
        </w:rPr>
        <w:t xml:space="preserve"> </w:t>
      </w:r>
      <w:r>
        <w:rPr>
          <w:rFonts w:ascii="宋体" w:hAnsi="宋体" w:eastAsia="宋体" w:cs="宋体"/>
          <w:spacing w:val="-10"/>
          <w:sz w:val="24"/>
          <w:szCs w:val="24"/>
        </w:rPr>
        <w:t>道</w:t>
      </w:r>
      <w:r>
        <w:rPr>
          <w:rFonts w:ascii="宋体" w:hAnsi="宋体" w:eastAsia="宋体" w:cs="宋体"/>
          <w:spacing w:val="-28"/>
          <w:sz w:val="24"/>
          <w:szCs w:val="24"/>
        </w:rPr>
        <w:t xml:space="preserve"> </w:t>
      </w:r>
      <w:r>
        <w:rPr>
          <w:rFonts w:ascii="宋体" w:hAnsi="宋体" w:eastAsia="宋体" w:cs="宋体"/>
          <w:spacing w:val="-10"/>
          <w:sz w:val="24"/>
          <w:szCs w:val="24"/>
        </w:rPr>
        <w:t>以</w:t>
      </w:r>
      <w:r>
        <w:rPr>
          <w:rFonts w:ascii="宋体" w:hAnsi="宋体" w:eastAsia="宋体" w:cs="宋体"/>
          <w:spacing w:val="-55"/>
          <w:sz w:val="24"/>
          <w:szCs w:val="24"/>
        </w:rPr>
        <w:t xml:space="preserve"> </w:t>
      </w:r>
      <w:r>
        <w:rPr>
          <w:rFonts w:ascii="宋体" w:hAnsi="宋体" w:eastAsia="宋体" w:cs="宋体"/>
          <w:spacing w:val="-10"/>
          <w:sz w:val="24"/>
          <w:szCs w:val="24"/>
        </w:rPr>
        <w:t>满</w:t>
      </w:r>
      <w:r>
        <w:rPr>
          <w:rFonts w:ascii="宋体" w:hAnsi="宋体" w:eastAsia="宋体" w:cs="宋体"/>
          <w:spacing w:val="-52"/>
          <w:sz w:val="24"/>
          <w:szCs w:val="24"/>
        </w:rPr>
        <w:t xml:space="preserve"> </w:t>
      </w:r>
      <w:r>
        <w:rPr>
          <w:rFonts w:ascii="宋体" w:hAnsi="宋体" w:eastAsia="宋体" w:cs="宋体"/>
          <w:spacing w:val="-10"/>
          <w:sz w:val="24"/>
          <w:szCs w:val="24"/>
        </w:rPr>
        <w:t>足</w:t>
      </w:r>
      <w:r>
        <w:rPr>
          <w:rFonts w:ascii="宋体" w:hAnsi="宋体" w:eastAsia="宋体" w:cs="宋体"/>
          <w:spacing w:val="-54"/>
          <w:sz w:val="24"/>
          <w:szCs w:val="24"/>
        </w:rPr>
        <w:t xml:space="preserve"> </w:t>
      </w:r>
      <w:r>
        <w:rPr>
          <w:rFonts w:ascii="宋体" w:hAnsi="宋体" w:eastAsia="宋体" w:cs="宋体"/>
          <w:spacing w:val="-10"/>
          <w:sz w:val="24"/>
          <w:szCs w:val="24"/>
        </w:rPr>
        <w:t>新</w:t>
      </w:r>
      <w:r>
        <w:rPr>
          <w:rFonts w:ascii="宋体" w:hAnsi="宋体" w:eastAsia="宋体" w:cs="宋体"/>
          <w:spacing w:val="-52"/>
          <w:sz w:val="24"/>
          <w:szCs w:val="24"/>
        </w:rPr>
        <w:t xml:space="preserve"> </w:t>
      </w:r>
      <w:r>
        <w:rPr>
          <w:rFonts w:ascii="宋体" w:hAnsi="宋体" w:eastAsia="宋体" w:cs="宋体"/>
          <w:spacing w:val="-10"/>
          <w:sz w:val="24"/>
          <w:szCs w:val="24"/>
        </w:rPr>
        <w:t>增</w:t>
      </w:r>
      <w:r>
        <w:rPr>
          <w:rFonts w:ascii="宋体" w:hAnsi="宋体" w:eastAsia="宋体" w:cs="宋体"/>
          <w:spacing w:val="-57"/>
          <w:sz w:val="24"/>
          <w:szCs w:val="24"/>
        </w:rPr>
        <w:t xml:space="preserve"> </w:t>
      </w:r>
      <w:r>
        <w:rPr>
          <w:rFonts w:ascii="宋体" w:hAnsi="宋体" w:eastAsia="宋体" w:cs="宋体"/>
          <w:spacing w:val="-10"/>
          <w:sz w:val="24"/>
          <w:szCs w:val="24"/>
        </w:rPr>
        <w:t>矿</w:t>
      </w:r>
      <w:r>
        <w:rPr>
          <w:rFonts w:ascii="宋体" w:hAnsi="宋体" w:eastAsia="宋体" w:cs="宋体"/>
          <w:spacing w:val="-55"/>
          <w:sz w:val="24"/>
          <w:szCs w:val="24"/>
        </w:rPr>
        <w:t xml:space="preserve"> </w:t>
      </w:r>
      <w:r>
        <w:rPr>
          <w:rFonts w:ascii="宋体" w:hAnsi="宋体" w:eastAsia="宋体" w:cs="宋体"/>
          <w:spacing w:val="-10"/>
          <w:sz w:val="24"/>
          <w:szCs w:val="24"/>
        </w:rPr>
        <w:t>量</w:t>
      </w:r>
      <w:r>
        <w:rPr>
          <w:rFonts w:ascii="宋体" w:hAnsi="宋体" w:eastAsia="宋体" w:cs="宋体"/>
          <w:spacing w:val="-36"/>
          <w:sz w:val="24"/>
          <w:szCs w:val="24"/>
        </w:rPr>
        <w:t xml:space="preserve"> </w:t>
      </w:r>
      <w:r>
        <w:rPr>
          <w:rFonts w:ascii="宋体" w:hAnsi="宋体" w:eastAsia="宋体" w:cs="宋体"/>
          <w:spacing w:val="-10"/>
          <w:sz w:val="24"/>
          <w:szCs w:val="24"/>
        </w:rPr>
        <w:t>的</w:t>
      </w:r>
      <w:r>
        <w:rPr>
          <w:rFonts w:ascii="宋体" w:hAnsi="宋体" w:eastAsia="宋体" w:cs="宋体"/>
          <w:spacing w:val="-57"/>
          <w:sz w:val="24"/>
          <w:szCs w:val="24"/>
        </w:rPr>
        <w:t xml:space="preserve"> </w:t>
      </w:r>
      <w:r>
        <w:rPr>
          <w:rFonts w:ascii="宋体" w:hAnsi="宋体" w:eastAsia="宋体" w:cs="宋体"/>
          <w:spacing w:val="-10"/>
          <w:sz w:val="24"/>
          <w:szCs w:val="24"/>
        </w:rPr>
        <w:t>输</w:t>
      </w:r>
      <w:r>
        <w:rPr>
          <w:rFonts w:ascii="宋体" w:hAnsi="宋体" w:eastAsia="宋体" w:cs="宋体"/>
          <w:spacing w:val="-57"/>
          <w:sz w:val="24"/>
          <w:szCs w:val="24"/>
        </w:rPr>
        <w:t xml:space="preserve"> </w:t>
      </w:r>
      <w:r>
        <w:rPr>
          <w:rFonts w:ascii="宋体" w:hAnsi="宋体" w:eastAsia="宋体" w:cs="宋体"/>
          <w:spacing w:val="-10"/>
          <w:sz w:val="24"/>
          <w:szCs w:val="24"/>
        </w:rPr>
        <w:t>送</w:t>
      </w:r>
      <w:r>
        <w:rPr>
          <w:rFonts w:ascii="宋体" w:hAnsi="宋体" w:eastAsia="宋体" w:cs="宋体"/>
          <w:spacing w:val="-52"/>
          <w:sz w:val="24"/>
          <w:szCs w:val="24"/>
        </w:rPr>
        <w:t xml:space="preserve"> </w:t>
      </w:r>
      <w:r>
        <w:rPr>
          <w:rFonts w:ascii="宋体" w:hAnsi="宋体" w:eastAsia="宋体" w:cs="宋体"/>
          <w:spacing w:val="-10"/>
          <w:sz w:val="24"/>
          <w:szCs w:val="24"/>
        </w:rPr>
        <w:t>要</w:t>
      </w:r>
      <w:r>
        <w:rPr>
          <w:rFonts w:ascii="宋体" w:hAnsi="宋体" w:eastAsia="宋体" w:cs="宋体"/>
          <w:spacing w:val="-54"/>
          <w:sz w:val="24"/>
          <w:szCs w:val="24"/>
        </w:rPr>
        <w:t xml:space="preserve"> </w:t>
      </w:r>
      <w:r>
        <w:rPr>
          <w:rFonts w:ascii="宋体" w:hAnsi="宋体" w:eastAsia="宋体" w:cs="宋体"/>
          <w:spacing w:val="-10"/>
          <w:sz w:val="24"/>
          <w:szCs w:val="24"/>
        </w:rPr>
        <w:t>求</w:t>
      </w:r>
      <w:r>
        <w:rPr>
          <w:rFonts w:ascii="宋体" w:hAnsi="宋体" w:eastAsia="宋体" w:cs="宋体"/>
          <w:spacing w:val="-34"/>
          <w:sz w:val="24"/>
          <w:szCs w:val="24"/>
        </w:rPr>
        <w:t xml:space="preserve"> </w:t>
      </w:r>
      <w:r>
        <w:rPr>
          <w:rFonts w:ascii="宋体" w:hAnsi="宋体" w:eastAsia="宋体" w:cs="宋体"/>
          <w:spacing w:val="-10"/>
          <w:sz w:val="24"/>
          <w:szCs w:val="24"/>
        </w:rPr>
        <w:t>；</w:t>
      </w:r>
      <w:r>
        <w:rPr>
          <w:rFonts w:ascii="宋体" w:hAnsi="宋体" w:eastAsia="宋体" w:cs="宋体"/>
          <w:spacing w:val="-55"/>
          <w:sz w:val="24"/>
          <w:szCs w:val="24"/>
        </w:rPr>
        <w:t xml:space="preserve"> </w:t>
      </w:r>
      <w:r>
        <w:rPr>
          <w:rFonts w:ascii="宋体" w:hAnsi="宋体" w:eastAsia="宋体" w:cs="宋体"/>
          <w:spacing w:val="-10"/>
          <w:sz w:val="24"/>
          <w:szCs w:val="24"/>
        </w:rPr>
        <w:t>利</w:t>
      </w:r>
      <w:r>
        <w:rPr>
          <w:rFonts w:ascii="宋体" w:hAnsi="宋体" w:eastAsia="宋体" w:cs="宋体"/>
          <w:spacing w:val="-53"/>
          <w:sz w:val="24"/>
          <w:szCs w:val="24"/>
        </w:rPr>
        <w:t xml:space="preserve"> </w:t>
      </w:r>
      <w:r>
        <w:rPr>
          <w:rFonts w:ascii="宋体" w:hAnsi="宋体" w:eastAsia="宋体" w:cs="宋体"/>
          <w:spacing w:val="-10"/>
          <w:sz w:val="24"/>
          <w:szCs w:val="24"/>
        </w:rPr>
        <w:t>用一</w:t>
      </w:r>
      <w:r>
        <w:rPr>
          <w:rFonts w:ascii="宋体" w:hAnsi="宋体" w:eastAsia="宋体" w:cs="宋体"/>
          <w:spacing w:val="-54"/>
          <w:sz w:val="24"/>
          <w:szCs w:val="24"/>
        </w:rPr>
        <w:t xml:space="preserve"> </w:t>
      </w:r>
      <w:r>
        <w:rPr>
          <w:rFonts w:ascii="宋体" w:hAnsi="宋体" w:eastAsia="宋体" w:cs="宋体"/>
          <w:spacing w:val="-10"/>
          <w:sz w:val="24"/>
          <w:szCs w:val="24"/>
        </w:rPr>
        <w:t>座</w:t>
      </w:r>
      <w:r>
        <w:rPr>
          <w:rFonts w:ascii="宋体" w:hAnsi="宋体" w:eastAsia="宋体" w:cs="宋体"/>
          <w:spacing w:val="-54"/>
          <w:sz w:val="24"/>
          <w:szCs w:val="24"/>
        </w:rPr>
        <w:t xml:space="preserve"> </w:t>
      </w:r>
      <w:r>
        <w:rPr>
          <w:rFonts w:ascii="宋体" w:hAnsi="宋体" w:eastAsia="宋体" w:cs="宋体"/>
          <w:spacing w:val="-10"/>
          <w:sz w:val="24"/>
          <w:szCs w:val="24"/>
        </w:rPr>
        <w:t>选</w:t>
      </w:r>
      <w:r>
        <w:rPr>
          <w:rFonts w:ascii="宋体" w:hAnsi="宋体" w:eastAsia="宋体" w:cs="宋体"/>
          <w:spacing w:val="-52"/>
          <w:sz w:val="24"/>
          <w:szCs w:val="24"/>
        </w:rPr>
        <w:t xml:space="preserve"> </w:t>
      </w:r>
      <w:r>
        <w:rPr>
          <w:rFonts w:ascii="宋体" w:hAnsi="宋体" w:eastAsia="宋体" w:cs="宋体"/>
          <w:spacing w:val="-10"/>
          <w:sz w:val="24"/>
          <w:szCs w:val="24"/>
        </w:rPr>
        <w:t>厂</w:t>
      </w:r>
      <w:r>
        <w:rPr>
          <w:rFonts w:ascii="宋体" w:hAnsi="宋体" w:eastAsia="宋体" w:cs="宋体"/>
          <w:spacing w:val="-53"/>
          <w:sz w:val="24"/>
          <w:szCs w:val="24"/>
        </w:rPr>
        <w:t xml:space="preserve"> </w:t>
      </w:r>
      <w:r>
        <w:rPr>
          <w:rFonts w:ascii="宋体" w:hAnsi="宋体" w:eastAsia="宋体" w:cs="宋体"/>
          <w:spacing w:val="-10"/>
          <w:sz w:val="24"/>
          <w:szCs w:val="24"/>
        </w:rPr>
        <w:t>形</w:t>
      </w:r>
      <w:r>
        <w:rPr>
          <w:rFonts w:ascii="宋体" w:hAnsi="宋体" w:eastAsia="宋体" w:cs="宋体"/>
          <w:spacing w:val="-53"/>
          <w:sz w:val="24"/>
          <w:szCs w:val="24"/>
        </w:rPr>
        <w:t xml:space="preserve"> </w:t>
      </w:r>
      <w:r>
        <w:rPr>
          <w:rFonts w:ascii="宋体" w:hAnsi="宋体" w:eastAsia="宋体" w:cs="宋体"/>
          <w:spacing w:val="-10"/>
          <w:sz w:val="24"/>
          <w:szCs w:val="24"/>
        </w:rPr>
        <w:t>成</w:t>
      </w:r>
      <w:r>
        <w:rPr>
          <w:rFonts w:ascii="宋体" w:hAnsi="宋体" w:eastAsia="宋体" w:cs="宋体"/>
          <w:sz w:val="24"/>
          <w:szCs w:val="24"/>
        </w:rPr>
        <w:t xml:space="preserve"> </w:t>
      </w:r>
      <w:r>
        <w:rPr>
          <w:rFonts w:ascii="宋体" w:hAnsi="宋体" w:eastAsia="宋体" w:cs="宋体"/>
          <w:spacing w:val="-3"/>
          <w:sz w:val="24"/>
          <w:szCs w:val="24"/>
        </w:rPr>
        <w:t>1400t/d+2000t/d</w:t>
      </w:r>
      <w:r>
        <w:rPr>
          <w:rFonts w:ascii="宋体" w:hAnsi="宋体" w:eastAsia="宋体" w:cs="宋体"/>
          <w:spacing w:val="-31"/>
          <w:sz w:val="24"/>
          <w:szCs w:val="24"/>
        </w:rPr>
        <w:t xml:space="preserve"> </w:t>
      </w:r>
      <w:r>
        <w:rPr>
          <w:rFonts w:ascii="宋体" w:hAnsi="宋体" w:eastAsia="宋体" w:cs="宋体"/>
          <w:spacing w:val="-3"/>
          <w:sz w:val="24"/>
          <w:szCs w:val="24"/>
        </w:rPr>
        <w:t>的规模。</w:t>
      </w:r>
    </w:p>
    <w:p w14:paraId="35F27379">
      <w:pPr>
        <w:spacing w:before="277" w:line="222" w:lineRule="auto"/>
        <w:ind w:left="18"/>
        <w:outlineLvl w:val="1"/>
        <w:rPr>
          <w:rFonts w:ascii="黑体" w:hAnsi="黑体" w:eastAsia="黑体" w:cs="黑体"/>
          <w:sz w:val="28"/>
          <w:szCs w:val="28"/>
        </w:rPr>
      </w:pPr>
      <w:bookmarkStart w:id="53" w:name="bookmark49"/>
      <w:bookmarkEnd w:id="53"/>
      <w:r>
        <w:rPr>
          <w:rFonts w:ascii="Times New Roman" w:hAnsi="Times New Roman" w:eastAsia="Times New Roman" w:cs="Times New Roman"/>
          <w:b/>
          <w:bCs/>
          <w:spacing w:val="-2"/>
          <w:sz w:val="28"/>
          <w:szCs w:val="28"/>
        </w:rPr>
        <w:t xml:space="preserve">4.2 </w:t>
      </w:r>
      <w:r>
        <w:rPr>
          <w:rFonts w:ascii="黑体" w:hAnsi="黑体" w:eastAsia="黑体" w:cs="黑体"/>
          <w:b/>
          <w:bCs/>
          <w:spacing w:val="-2"/>
          <w:sz w:val="28"/>
          <w:szCs w:val="28"/>
        </w:rPr>
        <w:t>建设规模</w:t>
      </w:r>
    </w:p>
    <w:p w14:paraId="51FEB614">
      <w:pPr>
        <w:spacing w:before="264" w:line="369" w:lineRule="auto"/>
        <w:ind w:left="22" w:right="162" w:firstLine="478"/>
        <w:jc w:val="both"/>
        <w:rPr>
          <w:rFonts w:ascii="宋体" w:hAnsi="宋体" w:eastAsia="宋体" w:cs="宋体"/>
          <w:sz w:val="24"/>
          <w:szCs w:val="24"/>
        </w:rPr>
      </w:pPr>
      <w:r>
        <w:rPr>
          <w:rFonts w:ascii="宋体" w:hAnsi="宋体" w:eastAsia="宋体" w:cs="宋体"/>
          <w:spacing w:val="-2"/>
          <w:sz w:val="24"/>
          <w:szCs w:val="24"/>
        </w:rPr>
        <w:t>对</w:t>
      </w:r>
      <w:r>
        <w:rPr>
          <w:rFonts w:ascii="宋体" w:hAnsi="宋体" w:eastAsia="宋体" w:cs="宋体"/>
          <w:spacing w:val="-25"/>
          <w:sz w:val="24"/>
          <w:szCs w:val="24"/>
        </w:rPr>
        <w:t xml:space="preserve"> </w:t>
      </w:r>
      <w:r>
        <w:rPr>
          <w:rFonts w:ascii="宋体" w:hAnsi="宋体" w:eastAsia="宋体" w:cs="宋体"/>
          <w:spacing w:val="-2"/>
          <w:sz w:val="24"/>
          <w:szCs w:val="24"/>
        </w:rPr>
        <w:t>1400t/d</w:t>
      </w:r>
      <w:r>
        <w:rPr>
          <w:rFonts w:ascii="宋体" w:hAnsi="宋体" w:eastAsia="宋体" w:cs="宋体"/>
          <w:spacing w:val="-52"/>
          <w:sz w:val="24"/>
          <w:szCs w:val="24"/>
        </w:rPr>
        <w:t xml:space="preserve"> </w:t>
      </w:r>
      <w:r>
        <w:rPr>
          <w:rFonts w:ascii="宋体" w:hAnsi="宋体" w:eastAsia="宋体" w:cs="宋体"/>
          <w:spacing w:val="-2"/>
          <w:sz w:val="24"/>
          <w:szCs w:val="24"/>
        </w:rPr>
        <w:t>选矿工程厂房及设备进行升级改造，将</w:t>
      </w:r>
      <w:r>
        <w:rPr>
          <w:rFonts w:ascii="宋体" w:hAnsi="宋体" w:eastAsia="宋体" w:cs="宋体"/>
          <w:spacing w:val="-47"/>
          <w:sz w:val="24"/>
          <w:szCs w:val="24"/>
        </w:rPr>
        <w:t xml:space="preserve"> </w:t>
      </w:r>
      <w:r>
        <w:rPr>
          <w:rFonts w:ascii="宋体" w:hAnsi="宋体" w:eastAsia="宋体" w:cs="宋体"/>
          <w:spacing w:val="-2"/>
          <w:sz w:val="24"/>
          <w:szCs w:val="24"/>
        </w:rPr>
        <w:t>2000t</w:t>
      </w:r>
      <w:r>
        <w:rPr>
          <w:rFonts w:ascii="宋体" w:hAnsi="宋体" w:eastAsia="宋体" w:cs="宋体"/>
          <w:spacing w:val="-52"/>
          <w:sz w:val="24"/>
          <w:szCs w:val="24"/>
        </w:rPr>
        <w:t xml:space="preserve"> </w:t>
      </w:r>
      <w:r>
        <w:rPr>
          <w:rFonts w:ascii="宋体" w:hAnsi="宋体" w:eastAsia="宋体" w:cs="宋体"/>
          <w:spacing w:val="-2"/>
          <w:sz w:val="24"/>
          <w:szCs w:val="24"/>
        </w:rPr>
        <w:t>选矿工程产能置</w:t>
      </w:r>
      <w:r>
        <w:rPr>
          <w:rFonts w:ascii="宋体" w:hAnsi="宋体" w:eastAsia="宋体" w:cs="宋体"/>
          <w:sz w:val="24"/>
          <w:szCs w:val="24"/>
        </w:rPr>
        <w:t xml:space="preserve"> </w:t>
      </w:r>
      <w:r>
        <w:rPr>
          <w:rFonts w:ascii="宋体" w:hAnsi="宋体" w:eastAsia="宋体" w:cs="宋体"/>
          <w:spacing w:val="-2"/>
          <w:sz w:val="24"/>
          <w:szCs w:val="24"/>
        </w:rPr>
        <w:t>换至新选厂，新选厂形成</w:t>
      </w:r>
      <w:r>
        <w:rPr>
          <w:rFonts w:ascii="宋体" w:hAnsi="宋体" w:eastAsia="宋体" w:cs="宋体"/>
          <w:spacing w:val="-33"/>
          <w:sz w:val="24"/>
          <w:szCs w:val="24"/>
        </w:rPr>
        <w:t xml:space="preserve"> </w:t>
      </w:r>
      <w:r>
        <w:rPr>
          <w:rFonts w:ascii="宋体" w:hAnsi="宋体" w:eastAsia="宋体" w:cs="宋体"/>
          <w:spacing w:val="-2"/>
          <w:sz w:val="24"/>
          <w:szCs w:val="24"/>
        </w:rPr>
        <w:t>1400t/d+2000t/d</w:t>
      </w:r>
      <w:r>
        <w:rPr>
          <w:rFonts w:ascii="宋体" w:hAnsi="宋体" w:eastAsia="宋体" w:cs="宋体"/>
          <w:spacing w:val="-31"/>
          <w:sz w:val="24"/>
          <w:szCs w:val="24"/>
        </w:rPr>
        <w:t xml:space="preserve"> </w:t>
      </w:r>
      <w:r>
        <w:rPr>
          <w:rFonts w:ascii="宋体" w:hAnsi="宋体" w:eastAsia="宋体" w:cs="宋体"/>
          <w:spacing w:val="-2"/>
          <w:sz w:val="24"/>
          <w:szCs w:val="24"/>
        </w:rPr>
        <w:t>的生产规模。原</w:t>
      </w:r>
      <w:r>
        <w:rPr>
          <w:rFonts w:ascii="宋体" w:hAnsi="宋体" w:eastAsia="宋体" w:cs="宋体"/>
          <w:spacing w:val="-48"/>
          <w:sz w:val="24"/>
          <w:szCs w:val="24"/>
        </w:rPr>
        <w:t xml:space="preserve"> </w:t>
      </w:r>
      <w:r>
        <w:rPr>
          <w:rFonts w:ascii="宋体" w:hAnsi="宋体" w:eastAsia="宋体" w:cs="宋体"/>
          <w:spacing w:val="-2"/>
          <w:sz w:val="24"/>
          <w:szCs w:val="24"/>
        </w:rPr>
        <w:t>2000t/d</w:t>
      </w:r>
      <w:r>
        <w:rPr>
          <w:rFonts w:ascii="宋体" w:hAnsi="宋体" w:eastAsia="宋体" w:cs="宋体"/>
          <w:spacing w:val="-52"/>
          <w:sz w:val="24"/>
          <w:szCs w:val="24"/>
        </w:rPr>
        <w:t xml:space="preserve"> </w:t>
      </w:r>
      <w:r>
        <w:rPr>
          <w:rFonts w:ascii="宋体" w:hAnsi="宋体" w:eastAsia="宋体" w:cs="宋体"/>
          <w:spacing w:val="-2"/>
          <w:sz w:val="24"/>
          <w:szCs w:val="24"/>
        </w:rPr>
        <w:t>选矿工程</w:t>
      </w:r>
      <w:r>
        <w:rPr>
          <w:rFonts w:ascii="宋体" w:hAnsi="宋体" w:eastAsia="宋体" w:cs="宋体"/>
          <w:sz w:val="24"/>
          <w:szCs w:val="24"/>
        </w:rPr>
        <w:t xml:space="preserve"> </w:t>
      </w:r>
      <w:r>
        <w:rPr>
          <w:rFonts w:ascii="宋体" w:hAnsi="宋体" w:eastAsia="宋体" w:cs="宋体"/>
          <w:spacing w:val="-1"/>
          <w:sz w:val="24"/>
          <w:szCs w:val="24"/>
        </w:rPr>
        <w:t>停用。选厂年处理原矿量不变，仍为</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72</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4</w:t>
      </w:r>
      <w:r>
        <w:rPr>
          <w:rFonts w:ascii="Times New Roman" w:hAnsi="Times New Roman" w:eastAsia="Times New Roman" w:cs="Times New Roman"/>
          <w:spacing w:val="23"/>
          <w:w w:val="102"/>
          <w:position w:val="7"/>
          <w:sz w:val="15"/>
          <w:szCs w:val="15"/>
        </w:rPr>
        <w:t xml:space="preserve"> </w:t>
      </w:r>
      <w:r>
        <w:rPr>
          <w:rFonts w:ascii="Times New Roman" w:hAnsi="Times New Roman" w:eastAsia="Times New Roman" w:cs="Times New Roman"/>
          <w:spacing w:val="-1"/>
          <w:sz w:val="24"/>
          <w:szCs w:val="24"/>
        </w:rPr>
        <w:t>t/a</w:t>
      </w:r>
      <w:r>
        <w:rPr>
          <w:rFonts w:ascii="宋体" w:hAnsi="宋体" w:eastAsia="宋体" w:cs="宋体"/>
          <w:spacing w:val="-1"/>
          <w:sz w:val="24"/>
          <w:szCs w:val="24"/>
        </w:rPr>
        <w:t>。</w:t>
      </w:r>
    </w:p>
    <w:p w14:paraId="73B9F33B">
      <w:pPr>
        <w:spacing w:before="77" w:line="222" w:lineRule="auto"/>
        <w:ind w:left="18"/>
        <w:outlineLvl w:val="1"/>
        <w:rPr>
          <w:rFonts w:ascii="黑体" w:hAnsi="黑体" w:eastAsia="黑体" w:cs="黑体"/>
          <w:sz w:val="28"/>
          <w:szCs w:val="28"/>
        </w:rPr>
      </w:pPr>
      <w:bookmarkStart w:id="54" w:name="bookmark50"/>
      <w:bookmarkEnd w:id="54"/>
      <w:r>
        <w:rPr>
          <w:rFonts w:ascii="Times New Roman" w:hAnsi="Times New Roman" w:eastAsia="Times New Roman" w:cs="Times New Roman"/>
          <w:b/>
          <w:bCs/>
          <w:spacing w:val="-2"/>
          <w:sz w:val="28"/>
          <w:szCs w:val="28"/>
        </w:rPr>
        <w:t xml:space="preserve">4.3 </w:t>
      </w:r>
      <w:r>
        <w:rPr>
          <w:rFonts w:ascii="黑体" w:hAnsi="黑体" w:eastAsia="黑体" w:cs="黑体"/>
          <w:b/>
          <w:bCs/>
          <w:spacing w:val="-2"/>
          <w:sz w:val="28"/>
          <w:szCs w:val="28"/>
        </w:rPr>
        <w:t>主要建设内容</w:t>
      </w:r>
    </w:p>
    <w:p w14:paraId="60356219">
      <w:pPr>
        <w:spacing w:before="264" w:line="219" w:lineRule="auto"/>
        <w:ind w:left="502"/>
        <w:rPr>
          <w:rFonts w:ascii="宋体" w:hAnsi="宋体" w:eastAsia="宋体" w:cs="宋体"/>
          <w:sz w:val="24"/>
          <w:szCs w:val="24"/>
        </w:rPr>
      </w:pPr>
      <w:r>
        <w:rPr>
          <w:rFonts w:ascii="宋体" w:hAnsi="宋体" w:eastAsia="宋体" w:cs="宋体"/>
          <w:spacing w:val="2"/>
          <w:sz w:val="24"/>
          <w:szCs w:val="24"/>
        </w:rPr>
        <w:t>本项目技改内容：本次技改项目在现有</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1400</w:t>
      </w:r>
      <w:r>
        <w:rPr>
          <w:rFonts w:ascii="Times New Roman" w:hAnsi="Times New Roman" w:eastAsia="Times New Roman" w:cs="Times New Roman"/>
          <w:spacing w:val="1"/>
          <w:sz w:val="24"/>
          <w:szCs w:val="24"/>
        </w:rPr>
        <w:t xml:space="preserve">t/d </w:t>
      </w:r>
      <w:r>
        <w:rPr>
          <w:rFonts w:ascii="宋体" w:hAnsi="宋体" w:eastAsia="宋体" w:cs="宋体"/>
          <w:spacing w:val="1"/>
          <w:sz w:val="24"/>
          <w:szCs w:val="24"/>
        </w:rPr>
        <w:t>选矿车间进行技术改造，</w:t>
      </w:r>
    </w:p>
    <w:p w14:paraId="71E0AA77">
      <w:pPr>
        <w:spacing w:line="219" w:lineRule="auto"/>
        <w:rPr>
          <w:rFonts w:ascii="宋体" w:hAnsi="宋体" w:eastAsia="宋体" w:cs="宋体"/>
          <w:sz w:val="24"/>
          <w:szCs w:val="24"/>
        </w:rPr>
        <w:sectPr>
          <w:footerReference r:id="rId92" w:type="default"/>
          <w:pgSz w:w="11906" w:h="16839"/>
          <w:pgMar w:top="1208" w:right="1785" w:bottom="1358" w:left="1785" w:header="825" w:footer="1195" w:gutter="0"/>
          <w:cols w:space="720" w:num="1"/>
        </w:sectPr>
      </w:pPr>
    </w:p>
    <w:p w14:paraId="41EC49B2">
      <w:pPr>
        <w:pStyle w:val="2"/>
        <w:spacing w:line="270" w:lineRule="auto"/>
      </w:pPr>
    </w:p>
    <w:p w14:paraId="57156F30">
      <w:pPr>
        <w:spacing w:before="78" w:line="219" w:lineRule="auto"/>
        <w:ind w:left="22"/>
        <w:rPr>
          <w:rFonts w:ascii="宋体" w:hAnsi="宋体" w:eastAsia="宋体" w:cs="宋体"/>
          <w:sz w:val="24"/>
          <w:szCs w:val="24"/>
        </w:rPr>
      </w:pPr>
      <w:r>
        <w:rPr>
          <w:rFonts w:ascii="宋体" w:hAnsi="宋体" w:eastAsia="宋体" w:cs="宋体"/>
          <w:spacing w:val="-2"/>
          <w:sz w:val="24"/>
          <w:szCs w:val="24"/>
        </w:rPr>
        <w:t>新增产能</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2000t/d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，改造后总产能</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3400t/d</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，淘汰原</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w:t>
      </w:r>
      <w:r>
        <w:rPr>
          <w:rFonts w:ascii="宋体" w:hAnsi="宋体" w:eastAsia="宋体" w:cs="宋体"/>
          <w:spacing w:val="-3"/>
          <w:sz w:val="24"/>
          <w:szCs w:val="24"/>
        </w:rPr>
        <w:t>矿车间。</w:t>
      </w:r>
    </w:p>
    <w:p w14:paraId="6B725921">
      <w:pPr>
        <w:spacing w:before="113" w:line="216" w:lineRule="auto"/>
        <w:ind w:left="2319"/>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4.3-1  </w:t>
      </w:r>
      <w:r>
        <w:rPr>
          <w:rFonts w:ascii="宋体" w:hAnsi="宋体" w:eastAsia="宋体" w:cs="宋体"/>
          <w:spacing w:val="-1"/>
          <w:sz w:val="24"/>
          <w:szCs w:val="24"/>
        </w:rPr>
        <w:t>技改工程建设内容一览表</w:t>
      </w:r>
    </w:p>
    <w:tbl>
      <w:tblPr>
        <w:tblStyle w:val="5"/>
        <w:tblW w:w="831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559"/>
        <w:gridCol w:w="5142"/>
        <w:gridCol w:w="943"/>
      </w:tblGrid>
      <w:tr w14:paraId="26C62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227" w:type="dxa"/>
            <w:gridSpan w:val="2"/>
            <w:vAlign w:val="top"/>
          </w:tcPr>
          <w:p w14:paraId="7E7A7C15">
            <w:pPr>
              <w:pStyle w:val="6"/>
              <w:spacing w:before="72" w:line="228" w:lineRule="auto"/>
              <w:ind w:left="703"/>
            </w:pPr>
            <w:r>
              <w:rPr>
                <w:spacing w:val="6"/>
              </w:rPr>
              <w:t>项目名称</w:t>
            </w:r>
          </w:p>
        </w:tc>
        <w:tc>
          <w:tcPr>
            <w:tcW w:w="5142" w:type="dxa"/>
            <w:vAlign w:val="top"/>
          </w:tcPr>
          <w:p w14:paraId="471F59A5">
            <w:pPr>
              <w:pStyle w:val="6"/>
              <w:spacing w:before="71" w:line="228" w:lineRule="auto"/>
              <w:ind w:left="1947"/>
            </w:pPr>
            <w:r>
              <w:rPr>
                <w:spacing w:val="7"/>
              </w:rPr>
              <w:t>主要建设内容</w:t>
            </w:r>
          </w:p>
        </w:tc>
        <w:tc>
          <w:tcPr>
            <w:tcW w:w="943" w:type="dxa"/>
            <w:vAlign w:val="top"/>
          </w:tcPr>
          <w:p w14:paraId="15F32F78">
            <w:pPr>
              <w:pStyle w:val="6"/>
              <w:spacing w:before="72" w:line="229" w:lineRule="auto"/>
              <w:ind w:left="269"/>
            </w:pPr>
            <w:r>
              <w:rPr>
                <w:spacing w:val="3"/>
              </w:rPr>
              <w:t>备注</w:t>
            </w:r>
          </w:p>
        </w:tc>
      </w:tr>
      <w:tr w14:paraId="1C051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68" w:type="dxa"/>
            <w:vMerge w:val="restart"/>
            <w:tcBorders>
              <w:bottom w:val="nil"/>
            </w:tcBorders>
            <w:vAlign w:val="top"/>
          </w:tcPr>
          <w:p w14:paraId="5B7096C8">
            <w:pPr>
              <w:spacing w:line="264" w:lineRule="auto"/>
              <w:rPr>
                <w:rFonts w:ascii="Arial"/>
                <w:sz w:val="21"/>
              </w:rPr>
            </w:pPr>
          </w:p>
          <w:p w14:paraId="78BDE379">
            <w:pPr>
              <w:spacing w:line="264" w:lineRule="auto"/>
              <w:rPr>
                <w:rFonts w:ascii="Arial"/>
                <w:sz w:val="21"/>
              </w:rPr>
            </w:pPr>
          </w:p>
          <w:p w14:paraId="3863CEA1">
            <w:pPr>
              <w:spacing w:line="264" w:lineRule="auto"/>
              <w:rPr>
                <w:rFonts w:ascii="Arial"/>
                <w:sz w:val="21"/>
              </w:rPr>
            </w:pPr>
          </w:p>
          <w:p w14:paraId="33818FE3">
            <w:pPr>
              <w:spacing w:line="264" w:lineRule="auto"/>
              <w:rPr>
                <w:rFonts w:ascii="Arial"/>
                <w:sz w:val="21"/>
              </w:rPr>
            </w:pPr>
          </w:p>
          <w:p w14:paraId="1B3CAFE2">
            <w:pPr>
              <w:spacing w:line="264" w:lineRule="auto"/>
              <w:rPr>
                <w:rFonts w:ascii="Arial"/>
                <w:sz w:val="21"/>
              </w:rPr>
            </w:pPr>
          </w:p>
          <w:p w14:paraId="79591C3D">
            <w:pPr>
              <w:spacing w:line="264" w:lineRule="auto"/>
              <w:rPr>
                <w:rFonts w:ascii="Arial"/>
                <w:sz w:val="21"/>
              </w:rPr>
            </w:pPr>
          </w:p>
          <w:p w14:paraId="04FCF376">
            <w:pPr>
              <w:spacing w:line="264" w:lineRule="auto"/>
              <w:rPr>
                <w:rFonts w:ascii="Arial"/>
                <w:sz w:val="21"/>
              </w:rPr>
            </w:pPr>
          </w:p>
          <w:p w14:paraId="1D6FA357">
            <w:pPr>
              <w:spacing w:line="265" w:lineRule="auto"/>
              <w:rPr>
                <w:rFonts w:ascii="Arial"/>
                <w:sz w:val="21"/>
              </w:rPr>
            </w:pPr>
          </w:p>
          <w:p w14:paraId="1EC3D617">
            <w:pPr>
              <w:spacing w:line="265" w:lineRule="auto"/>
              <w:rPr>
                <w:rFonts w:ascii="Arial"/>
                <w:sz w:val="21"/>
              </w:rPr>
            </w:pPr>
          </w:p>
          <w:p w14:paraId="1D6150CB">
            <w:pPr>
              <w:pStyle w:val="6"/>
              <w:spacing w:before="65" w:line="229" w:lineRule="auto"/>
              <w:ind w:left="130"/>
            </w:pPr>
            <w:r>
              <w:rPr>
                <w:spacing w:val="3"/>
              </w:rPr>
              <w:t>主体</w:t>
            </w:r>
          </w:p>
          <w:p w14:paraId="406E022F">
            <w:pPr>
              <w:pStyle w:val="6"/>
              <w:spacing w:before="23" w:line="228" w:lineRule="auto"/>
              <w:ind w:left="131"/>
            </w:pPr>
            <w:r>
              <w:rPr>
                <w:spacing w:val="3"/>
              </w:rPr>
              <w:t>工程</w:t>
            </w:r>
          </w:p>
        </w:tc>
        <w:tc>
          <w:tcPr>
            <w:tcW w:w="1559" w:type="dxa"/>
            <w:vAlign w:val="top"/>
          </w:tcPr>
          <w:p w14:paraId="7CA8C366">
            <w:pPr>
              <w:pStyle w:val="6"/>
              <w:spacing w:before="302" w:line="228" w:lineRule="auto"/>
              <w:ind w:left="363"/>
            </w:pPr>
            <w:r>
              <w:rPr>
                <w:spacing w:val="7"/>
              </w:rPr>
              <w:t>粗碎车间</w:t>
            </w:r>
          </w:p>
        </w:tc>
        <w:tc>
          <w:tcPr>
            <w:tcW w:w="5142" w:type="dxa"/>
            <w:vAlign w:val="top"/>
          </w:tcPr>
          <w:p w14:paraId="3AE68196">
            <w:pPr>
              <w:pStyle w:val="6"/>
              <w:spacing w:before="28" w:line="241" w:lineRule="auto"/>
              <w:ind w:left="117" w:right="34" w:firstLine="430"/>
              <w:jc w:val="both"/>
            </w:pPr>
            <w:r>
              <w:rPr>
                <w:spacing w:val="1"/>
              </w:rPr>
              <w:t>1</w:t>
            </w:r>
            <w:r>
              <w:rPr>
                <w:spacing w:val="-29"/>
              </w:rPr>
              <w:t xml:space="preserve"> </w:t>
            </w:r>
            <w:r>
              <w:rPr>
                <w:spacing w:val="1"/>
              </w:rPr>
              <w:t>座，建筑面积</w:t>
            </w:r>
            <w:r>
              <w:rPr>
                <w:spacing w:val="-22"/>
              </w:rPr>
              <w:t xml:space="preserve"> </w:t>
            </w:r>
            <w:r>
              <w:rPr>
                <w:spacing w:val="1"/>
              </w:rPr>
              <w:t>135</w:t>
            </w:r>
            <w:r>
              <w:rPr>
                <w:spacing w:val="-31"/>
              </w:rPr>
              <w:t xml:space="preserve"> </w:t>
            </w:r>
            <w:r>
              <w:rPr>
                <w:spacing w:val="1"/>
              </w:rPr>
              <w:t>㎡</w:t>
            </w:r>
            <w:r>
              <w:rPr>
                <w:spacing w:val="-58"/>
              </w:rPr>
              <w:t xml:space="preserve"> </w:t>
            </w:r>
            <w:r>
              <w:rPr>
                <w:spacing w:val="1"/>
              </w:rPr>
              <w:t>，设置</w:t>
            </w:r>
            <w:r>
              <w:rPr>
                <w:spacing w:val="-38"/>
              </w:rPr>
              <w:t xml:space="preserve"> </w:t>
            </w:r>
            <w:r>
              <w:rPr>
                <w:spacing w:val="1"/>
              </w:rPr>
              <w:t>C100</w:t>
            </w:r>
            <w:r>
              <w:rPr>
                <w:spacing w:val="-40"/>
              </w:rPr>
              <w:t xml:space="preserve"> </w:t>
            </w:r>
            <w:r>
              <w:rPr>
                <w:spacing w:val="1"/>
              </w:rPr>
              <w:t>颚式破碎机</w:t>
            </w:r>
            <w:r>
              <w:rPr>
                <w:spacing w:val="-21"/>
              </w:rPr>
              <w:t xml:space="preserve"> </w:t>
            </w:r>
            <w:r>
              <w:rPr>
                <w:spacing w:val="1"/>
              </w:rPr>
              <w:t>1</w:t>
            </w:r>
            <w:r>
              <w:t xml:space="preserve">  </w:t>
            </w:r>
            <w:r>
              <w:rPr>
                <w:spacing w:val="8"/>
              </w:rPr>
              <w:t>台，破碎能力</w:t>
            </w:r>
            <w:r>
              <w:rPr>
                <w:spacing w:val="-34"/>
              </w:rPr>
              <w:t xml:space="preserve"> </w:t>
            </w:r>
            <w:r>
              <w:rPr>
                <w:spacing w:val="8"/>
              </w:rPr>
              <w:t>265t/h。技改工程依托</w:t>
            </w:r>
            <w:r>
              <w:rPr>
                <w:spacing w:val="7"/>
              </w:rPr>
              <w:t>现有粗碎车间对</w:t>
            </w:r>
            <w:r>
              <w:t xml:space="preserve">  </w:t>
            </w:r>
            <w:r>
              <w:rPr>
                <w:spacing w:val="2"/>
              </w:rPr>
              <w:t>原矿进行破碎。破碎时间由</w:t>
            </w:r>
            <w:r>
              <w:rPr>
                <w:spacing w:val="-15"/>
              </w:rPr>
              <w:t xml:space="preserve"> </w:t>
            </w:r>
            <w:r>
              <w:rPr>
                <w:spacing w:val="2"/>
              </w:rPr>
              <w:t>5.28h/d</w:t>
            </w:r>
            <w:r>
              <w:rPr>
                <w:spacing w:val="-40"/>
              </w:rPr>
              <w:t xml:space="preserve"> </w:t>
            </w:r>
            <w:r>
              <w:rPr>
                <w:spacing w:val="2"/>
              </w:rPr>
              <w:t>延长至</w:t>
            </w:r>
            <w:r>
              <w:rPr>
                <w:spacing w:val="-23"/>
              </w:rPr>
              <w:t xml:space="preserve"> </w:t>
            </w:r>
            <w:r>
              <w:rPr>
                <w:spacing w:val="2"/>
              </w:rPr>
              <w:t>12.94h/d。</w:t>
            </w:r>
          </w:p>
        </w:tc>
        <w:tc>
          <w:tcPr>
            <w:tcW w:w="943" w:type="dxa"/>
            <w:vAlign w:val="top"/>
          </w:tcPr>
          <w:p w14:paraId="4E1DF7F4">
            <w:pPr>
              <w:pStyle w:val="6"/>
              <w:spacing w:before="302" w:line="227" w:lineRule="auto"/>
              <w:ind w:left="268"/>
            </w:pPr>
            <w:r>
              <w:rPr>
                <w:spacing w:val="3"/>
              </w:rPr>
              <w:t>依托</w:t>
            </w:r>
          </w:p>
        </w:tc>
      </w:tr>
      <w:tr w14:paraId="53EE5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8" w:type="dxa"/>
            <w:vMerge w:val="continue"/>
            <w:tcBorders>
              <w:top w:val="nil"/>
              <w:bottom w:val="nil"/>
            </w:tcBorders>
            <w:vAlign w:val="top"/>
          </w:tcPr>
          <w:p w14:paraId="1C24D485">
            <w:pPr>
              <w:rPr>
                <w:rFonts w:ascii="Arial"/>
                <w:sz w:val="21"/>
              </w:rPr>
            </w:pPr>
          </w:p>
        </w:tc>
        <w:tc>
          <w:tcPr>
            <w:tcW w:w="1559" w:type="dxa"/>
            <w:vAlign w:val="top"/>
          </w:tcPr>
          <w:p w14:paraId="5BC83C5D">
            <w:pPr>
              <w:spacing w:line="370" w:lineRule="auto"/>
              <w:rPr>
                <w:rFonts w:ascii="Arial"/>
                <w:sz w:val="21"/>
              </w:rPr>
            </w:pPr>
          </w:p>
          <w:p w14:paraId="76DDF6BC">
            <w:pPr>
              <w:pStyle w:val="6"/>
              <w:spacing w:before="65" w:line="228" w:lineRule="auto"/>
              <w:ind w:left="365"/>
            </w:pPr>
            <w:r>
              <w:rPr>
                <w:spacing w:val="6"/>
              </w:rPr>
              <w:t>磨矿车间</w:t>
            </w:r>
          </w:p>
        </w:tc>
        <w:tc>
          <w:tcPr>
            <w:tcW w:w="5142" w:type="dxa"/>
            <w:vAlign w:val="top"/>
          </w:tcPr>
          <w:p w14:paraId="7F4D70AF">
            <w:pPr>
              <w:pStyle w:val="6"/>
              <w:spacing w:before="30" w:line="243" w:lineRule="auto"/>
              <w:ind w:left="112" w:right="34" w:firstLine="420"/>
              <w:jc w:val="both"/>
            </w:pPr>
            <w:r>
              <w:rPr>
                <w:spacing w:val="7"/>
              </w:rPr>
              <w:t>新增振动筛，提高分级效率，减少半自磨循环量。</w:t>
            </w:r>
            <w:r>
              <w:rPr>
                <w:spacing w:val="14"/>
              </w:rPr>
              <w:t xml:space="preserve"> </w:t>
            </w:r>
            <w:r>
              <w:rPr>
                <w:spacing w:val="5"/>
              </w:rPr>
              <w:t>依托现有磨矿车间，新增处理能力</w:t>
            </w:r>
            <w:r>
              <w:rPr>
                <w:spacing w:val="-17"/>
              </w:rPr>
              <w:t xml:space="preserve"> </w:t>
            </w:r>
            <w:r>
              <w:rPr>
                <w:spacing w:val="5"/>
              </w:rPr>
              <w:t>2029t/d，技改后处</w:t>
            </w:r>
            <w:r>
              <w:t xml:space="preserve"> </w:t>
            </w:r>
            <w:r>
              <w:rPr>
                <w:spacing w:val="7"/>
              </w:rPr>
              <w:t>理能力为</w:t>
            </w:r>
            <w:r>
              <w:rPr>
                <w:spacing w:val="-33"/>
              </w:rPr>
              <w:t xml:space="preserve"> </w:t>
            </w:r>
            <w:r>
              <w:rPr>
                <w:spacing w:val="7"/>
              </w:rPr>
              <w:t>3429</w:t>
            </w:r>
            <w:r>
              <w:rPr>
                <w:spacing w:val="-35"/>
              </w:rPr>
              <w:t xml:space="preserve"> </w:t>
            </w:r>
            <w:r>
              <w:rPr>
                <w:spacing w:val="7"/>
              </w:rPr>
              <w:t>t/d，采用半自磨+球磨流程，入</w:t>
            </w:r>
            <w:r>
              <w:rPr>
                <w:spacing w:val="6"/>
              </w:rPr>
              <w:t>选磨矿</w:t>
            </w:r>
            <w:r>
              <w:t xml:space="preserve"> </w:t>
            </w:r>
            <w:r>
              <w:rPr>
                <w:spacing w:val="3"/>
              </w:rPr>
              <w:t>粒度</w:t>
            </w:r>
            <w:r>
              <w:rPr>
                <w:spacing w:val="-22"/>
              </w:rPr>
              <w:t xml:space="preserve"> </w:t>
            </w:r>
            <w:r>
              <w:rPr>
                <w:spacing w:val="3"/>
              </w:rPr>
              <w:t>110～0</w:t>
            </w:r>
            <w:r>
              <w:t>mm</w:t>
            </w:r>
            <w:r>
              <w:rPr>
                <w:spacing w:val="3"/>
              </w:rPr>
              <w:t>，细度为-0.074</w:t>
            </w:r>
            <w:r>
              <w:t>mm</w:t>
            </w:r>
            <w:r>
              <w:rPr>
                <w:spacing w:val="3"/>
              </w:rPr>
              <w:t xml:space="preserve"> 占</w:t>
            </w:r>
            <w:r>
              <w:rPr>
                <w:spacing w:val="-34"/>
              </w:rPr>
              <w:t xml:space="preserve"> </w:t>
            </w:r>
            <w:r>
              <w:rPr>
                <w:spacing w:val="3"/>
              </w:rPr>
              <w:t>75%。</w:t>
            </w:r>
          </w:p>
        </w:tc>
        <w:tc>
          <w:tcPr>
            <w:tcW w:w="943" w:type="dxa"/>
            <w:vAlign w:val="top"/>
          </w:tcPr>
          <w:p w14:paraId="7FFBC9BE">
            <w:pPr>
              <w:pStyle w:val="6"/>
              <w:spacing w:before="301" w:line="254" w:lineRule="auto"/>
              <w:ind w:left="274" w:right="206" w:hanging="111"/>
            </w:pPr>
            <w:r>
              <w:rPr>
                <w:spacing w:val="-11"/>
              </w:rPr>
              <w:t>依托，</w:t>
            </w:r>
            <w:r>
              <w:t xml:space="preserve"> </w:t>
            </w:r>
            <w:r>
              <w:rPr>
                <w:spacing w:val="1"/>
              </w:rPr>
              <w:t>改建</w:t>
            </w:r>
          </w:p>
        </w:tc>
      </w:tr>
      <w:tr w14:paraId="56178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668" w:type="dxa"/>
            <w:vMerge w:val="continue"/>
            <w:tcBorders>
              <w:top w:val="nil"/>
              <w:bottom w:val="nil"/>
            </w:tcBorders>
            <w:vAlign w:val="top"/>
          </w:tcPr>
          <w:p w14:paraId="1680CF46">
            <w:pPr>
              <w:rPr>
                <w:rFonts w:ascii="Arial"/>
                <w:sz w:val="21"/>
              </w:rPr>
            </w:pPr>
          </w:p>
        </w:tc>
        <w:tc>
          <w:tcPr>
            <w:tcW w:w="1559" w:type="dxa"/>
            <w:vAlign w:val="top"/>
          </w:tcPr>
          <w:p w14:paraId="42A30E14">
            <w:pPr>
              <w:spacing w:line="259" w:lineRule="auto"/>
              <w:rPr>
                <w:rFonts w:ascii="Arial"/>
                <w:sz w:val="21"/>
              </w:rPr>
            </w:pPr>
          </w:p>
          <w:p w14:paraId="27950D34">
            <w:pPr>
              <w:spacing w:line="259" w:lineRule="auto"/>
              <w:rPr>
                <w:rFonts w:ascii="Arial"/>
                <w:sz w:val="21"/>
              </w:rPr>
            </w:pPr>
          </w:p>
          <w:p w14:paraId="4866895E">
            <w:pPr>
              <w:spacing w:line="259" w:lineRule="auto"/>
              <w:rPr>
                <w:rFonts w:ascii="Arial"/>
                <w:sz w:val="21"/>
              </w:rPr>
            </w:pPr>
          </w:p>
          <w:p w14:paraId="3D43D02B">
            <w:pPr>
              <w:pStyle w:val="6"/>
              <w:spacing w:before="65" w:line="228" w:lineRule="auto"/>
              <w:ind w:left="365"/>
            </w:pPr>
            <w:r>
              <w:rPr>
                <w:spacing w:val="6"/>
              </w:rPr>
              <w:t>浮选车间</w:t>
            </w:r>
          </w:p>
        </w:tc>
        <w:tc>
          <w:tcPr>
            <w:tcW w:w="5142" w:type="dxa"/>
            <w:vAlign w:val="top"/>
          </w:tcPr>
          <w:p w14:paraId="529C2F96">
            <w:pPr>
              <w:pStyle w:val="6"/>
              <w:spacing w:before="31" w:line="227" w:lineRule="auto"/>
              <w:ind w:left="533"/>
            </w:pPr>
            <w:r>
              <w:rPr>
                <w:spacing w:val="9"/>
              </w:rPr>
              <w:t>新增高效搅拌槽及离心鼓风机、脉动式加药</w:t>
            </w:r>
            <w:r>
              <w:rPr>
                <w:spacing w:val="8"/>
              </w:rPr>
              <w:t>机、</w:t>
            </w:r>
          </w:p>
          <w:p w14:paraId="04875AC0">
            <w:pPr>
              <w:pStyle w:val="6"/>
              <w:spacing w:before="26" w:line="251" w:lineRule="auto"/>
              <w:ind w:left="114" w:right="203"/>
            </w:pPr>
            <w:r>
              <w:rPr>
                <w:spacing w:val="9"/>
              </w:rPr>
              <w:t>药剂搅拌槽，增加浮选浓度，采用新型高效药剂，缩</w:t>
            </w:r>
            <w:r>
              <w:rPr>
                <w:spacing w:val="10"/>
              </w:rPr>
              <w:t xml:space="preserve"> </w:t>
            </w:r>
            <w:r>
              <w:rPr>
                <w:spacing w:val="9"/>
              </w:rPr>
              <w:t>短浮选时间。依托现有浮选车间，新增处理能力</w:t>
            </w:r>
          </w:p>
          <w:p w14:paraId="2C53A724">
            <w:pPr>
              <w:pStyle w:val="6"/>
              <w:spacing w:before="3" w:line="242" w:lineRule="auto"/>
              <w:ind w:left="111" w:right="34" w:firstLine="3"/>
            </w:pPr>
            <w:r>
              <w:rPr>
                <w:spacing w:val="7"/>
              </w:rPr>
              <w:t>2029t/d，技改后处理能力为</w:t>
            </w:r>
            <w:r>
              <w:rPr>
                <w:spacing w:val="-33"/>
              </w:rPr>
              <w:t xml:space="preserve"> </w:t>
            </w:r>
            <w:r>
              <w:rPr>
                <w:spacing w:val="7"/>
              </w:rPr>
              <w:t>3429</w:t>
            </w:r>
            <w:r>
              <w:rPr>
                <w:spacing w:val="6"/>
              </w:rPr>
              <w:t>t/d，采用全优先浮</w:t>
            </w:r>
            <w:r>
              <w:t xml:space="preserve">  </w:t>
            </w:r>
            <w:r>
              <w:rPr>
                <w:spacing w:val="7"/>
              </w:rPr>
              <w:t>选工艺。矿石磨至细度</w:t>
            </w:r>
            <w:r>
              <w:rPr>
                <w:spacing w:val="-23"/>
              </w:rPr>
              <w:t xml:space="preserve"> </w:t>
            </w:r>
            <w:r>
              <w:rPr>
                <w:spacing w:val="7"/>
              </w:rPr>
              <w:t>75%-0.074</w:t>
            </w:r>
            <w:r>
              <w:t>mm</w:t>
            </w:r>
            <w:r>
              <w:rPr>
                <w:spacing w:val="-39"/>
              </w:rPr>
              <w:t xml:space="preserve"> </w:t>
            </w:r>
            <w:r>
              <w:rPr>
                <w:spacing w:val="7"/>
              </w:rPr>
              <w:t>后，进入浮选回</w:t>
            </w:r>
            <w:r>
              <w:t xml:space="preserve">  </w:t>
            </w:r>
            <w:r>
              <w:rPr>
                <w:spacing w:val="9"/>
              </w:rPr>
              <w:t>路，产出铅精矿、锌精矿和最终尾矿。浮选产出的精</w:t>
            </w:r>
            <w:r>
              <w:rPr>
                <w:spacing w:val="6"/>
              </w:rPr>
              <w:t xml:space="preserve">  </w:t>
            </w:r>
            <w:r>
              <w:rPr>
                <w:spacing w:val="8"/>
              </w:rPr>
              <w:t>矿送精矿脱水作业，尾矿经厂前浓缩后送尾矿坝</w:t>
            </w:r>
            <w:r>
              <w:rPr>
                <w:spacing w:val="7"/>
              </w:rPr>
              <w:t>堆存。</w:t>
            </w:r>
          </w:p>
        </w:tc>
        <w:tc>
          <w:tcPr>
            <w:tcW w:w="943" w:type="dxa"/>
            <w:vAlign w:val="top"/>
          </w:tcPr>
          <w:p w14:paraId="555D6131">
            <w:pPr>
              <w:spacing w:line="320" w:lineRule="auto"/>
              <w:rPr>
                <w:rFonts w:ascii="Arial"/>
                <w:sz w:val="21"/>
              </w:rPr>
            </w:pPr>
          </w:p>
          <w:p w14:paraId="123695F0">
            <w:pPr>
              <w:spacing w:line="321" w:lineRule="auto"/>
              <w:rPr>
                <w:rFonts w:ascii="Arial"/>
                <w:sz w:val="21"/>
              </w:rPr>
            </w:pPr>
          </w:p>
          <w:p w14:paraId="10D90857">
            <w:pPr>
              <w:pStyle w:val="6"/>
              <w:spacing w:before="65" w:line="254" w:lineRule="auto"/>
              <w:ind w:left="274" w:right="206" w:hanging="111"/>
            </w:pPr>
            <w:r>
              <w:rPr>
                <w:spacing w:val="-11"/>
              </w:rPr>
              <w:t>依托，</w:t>
            </w:r>
            <w:r>
              <w:t xml:space="preserve"> </w:t>
            </w:r>
            <w:r>
              <w:rPr>
                <w:spacing w:val="1"/>
              </w:rPr>
              <w:t>改建</w:t>
            </w:r>
          </w:p>
        </w:tc>
      </w:tr>
      <w:tr w14:paraId="5EBE5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68" w:type="dxa"/>
            <w:vMerge w:val="continue"/>
            <w:tcBorders>
              <w:top w:val="nil"/>
              <w:bottom w:val="nil"/>
            </w:tcBorders>
            <w:vAlign w:val="top"/>
          </w:tcPr>
          <w:p w14:paraId="0B06CBD1">
            <w:pPr>
              <w:rPr>
                <w:rFonts w:ascii="Arial"/>
                <w:sz w:val="21"/>
              </w:rPr>
            </w:pPr>
          </w:p>
        </w:tc>
        <w:tc>
          <w:tcPr>
            <w:tcW w:w="1559" w:type="dxa"/>
            <w:vAlign w:val="top"/>
          </w:tcPr>
          <w:p w14:paraId="2A5D220F">
            <w:pPr>
              <w:spacing w:line="374" w:lineRule="auto"/>
              <w:rPr>
                <w:rFonts w:ascii="Arial"/>
                <w:sz w:val="21"/>
              </w:rPr>
            </w:pPr>
          </w:p>
          <w:p w14:paraId="3CE604E9">
            <w:pPr>
              <w:pStyle w:val="6"/>
              <w:spacing w:before="65" w:line="228" w:lineRule="auto"/>
              <w:ind w:left="364"/>
            </w:pPr>
            <w:r>
              <w:rPr>
                <w:spacing w:val="7"/>
              </w:rPr>
              <w:t>脱水车间</w:t>
            </w:r>
          </w:p>
        </w:tc>
        <w:tc>
          <w:tcPr>
            <w:tcW w:w="5142" w:type="dxa"/>
            <w:vAlign w:val="top"/>
          </w:tcPr>
          <w:p w14:paraId="69AF535D">
            <w:pPr>
              <w:pStyle w:val="6"/>
              <w:spacing w:before="35" w:line="242" w:lineRule="auto"/>
              <w:ind w:left="114" w:right="105" w:firstLine="419"/>
              <w:jc w:val="both"/>
            </w:pPr>
            <w:r>
              <w:rPr>
                <w:spacing w:val="9"/>
              </w:rPr>
              <w:t>新增高浓度搅拌槽，并延长陶瓷过滤机的工作时</w:t>
            </w:r>
            <w:r>
              <w:rPr>
                <w:spacing w:val="4"/>
              </w:rPr>
              <w:t xml:space="preserve">  </w:t>
            </w:r>
            <w:r>
              <w:rPr>
                <w:spacing w:val="5"/>
              </w:rPr>
              <w:t>间。依托现有脱水车间，新增处理能力</w:t>
            </w:r>
            <w:r>
              <w:rPr>
                <w:spacing w:val="-19"/>
              </w:rPr>
              <w:t xml:space="preserve"> </w:t>
            </w:r>
            <w:r>
              <w:rPr>
                <w:spacing w:val="5"/>
              </w:rPr>
              <w:t>2029t/d，技改</w:t>
            </w:r>
            <w:r>
              <w:t xml:space="preserve"> </w:t>
            </w:r>
            <w:r>
              <w:rPr>
                <w:spacing w:val="5"/>
              </w:rPr>
              <w:t>后处理能力为</w:t>
            </w:r>
            <w:r>
              <w:rPr>
                <w:spacing w:val="-19"/>
              </w:rPr>
              <w:t xml:space="preserve"> </w:t>
            </w:r>
            <w:r>
              <w:rPr>
                <w:spacing w:val="5"/>
              </w:rPr>
              <w:t>3429t/d，精矿脱水流程均采用浓密、过</w:t>
            </w:r>
            <w:r>
              <w:t xml:space="preserve"> </w:t>
            </w:r>
            <w:r>
              <w:rPr>
                <w:spacing w:val="7"/>
              </w:rPr>
              <w:t>滤两段脱水流程，精矿最终水分</w:t>
            </w:r>
            <w:r>
              <w:rPr>
                <w:spacing w:val="-28"/>
              </w:rPr>
              <w:t xml:space="preserve"> </w:t>
            </w:r>
            <w:r>
              <w:rPr>
                <w:spacing w:val="7"/>
              </w:rPr>
              <w:t>8～10%。</w:t>
            </w:r>
          </w:p>
        </w:tc>
        <w:tc>
          <w:tcPr>
            <w:tcW w:w="943" w:type="dxa"/>
            <w:vAlign w:val="top"/>
          </w:tcPr>
          <w:p w14:paraId="7F84C07E">
            <w:pPr>
              <w:pStyle w:val="6"/>
              <w:spacing w:before="304" w:line="252" w:lineRule="auto"/>
              <w:ind w:left="274" w:right="206" w:hanging="111"/>
            </w:pPr>
            <w:r>
              <w:rPr>
                <w:spacing w:val="-11"/>
              </w:rPr>
              <w:t>依托，</w:t>
            </w:r>
            <w:r>
              <w:t xml:space="preserve"> </w:t>
            </w:r>
            <w:r>
              <w:rPr>
                <w:spacing w:val="1"/>
              </w:rPr>
              <w:t>改建</w:t>
            </w:r>
          </w:p>
        </w:tc>
      </w:tr>
      <w:tr w14:paraId="38373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668" w:type="dxa"/>
            <w:vMerge w:val="continue"/>
            <w:tcBorders>
              <w:top w:val="nil"/>
            </w:tcBorders>
            <w:vAlign w:val="top"/>
          </w:tcPr>
          <w:p w14:paraId="64F57E2F">
            <w:pPr>
              <w:rPr>
                <w:rFonts w:ascii="Arial"/>
                <w:sz w:val="21"/>
              </w:rPr>
            </w:pPr>
          </w:p>
        </w:tc>
        <w:tc>
          <w:tcPr>
            <w:tcW w:w="1559" w:type="dxa"/>
            <w:vAlign w:val="top"/>
          </w:tcPr>
          <w:p w14:paraId="4B0757B9">
            <w:pPr>
              <w:pStyle w:val="6"/>
              <w:spacing w:before="125" w:line="227" w:lineRule="auto"/>
              <w:ind w:left="363"/>
            </w:pPr>
            <w:r>
              <w:rPr>
                <w:spacing w:val="7"/>
              </w:rPr>
              <w:t>精矿车间</w:t>
            </w:r>
          </w:p>
        </w:tc>
        <w:tc>
          <w:tcPr>
            <w:tcW w:w="5142" w:type="dxa"/>
            <w:vAlign w:val="top"/>
          </w:tcPr>
          <w:p w14:paraId="3EEC653D">
            <w:pPr>
              <w:pStyle w:val="6"/>
              <w:spacing w:before="125" w:line="227" w:lineRule="auto"/>
              <w:ind w:left="793"/>
            </w:pPr>
            <w:r>
              <w:rPr>
                <w:spacing w:val="8"/>
              </w:rPr>
              <w:t>依托现有精矿车间暂存脱水后的各类精矿。</w:t>
            </w:r>
          </w:p>
        </w:tc>
        <w:tc>
          <w:tcPr>
            <w:tcW w:w="943" w:type="dxa"/>
            <w:vAlign w:val="top"/>
          </w:tcPr>
          <w:p w14:paraId="6A7F6D65">
            <w:pPr>
              <w:pStyle w:val="6"/>
              <w:spacing w:before="125" w:line="227" w:lineRule="auto"/>
              <w:ind w:left="268"/>
            </w:pPr>
            <w:r>
              <w:rPr>
                <w:spacing w:val="3"/>
              </w:rPr>
              <w:t>依托</w:t>
            </w:r>
          </w:p>
        </w:tc>
      </w:tr>
      <w:tr w14:paraId="44B8C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68" w:type="dxa"/>
            <w:vMerge w:val="restart"/>
            <w:tcBorders>
              <w:bottom w:val="nil"/>
            </w:tcBorders>
            <w:vAlign w:val="top"/>
          </w:tcPr>
          <w:p w14:paraId="4A55B35E">
            <w:pPr>
              <w:spacing w:line="254" w:lineRule="auto"/>
              <w:rPr>
                <w:rFonts w:ascii="Arial"/>
                <w:sz w:val="21"/>
              </w:rPr>
            </w:pPr>
          </w:p>
          <w:p w14:paraId="2B8E7E82">
            <w:pPr>
              <w:spacing w:line="254" w:lineRule="auto"/>
              <w:rPr>
                <w:rFonts w:ascii="Arial"/>
                <w:sz w:val="21"/>
              </w:rPr>
            </w:pPr>
          </w:p>
          <w:p w14:paraId="0B42B746">
            <w:pPr>
              <w:spacing w:line="254" w:lineRule="auto"/>
              <w:rPr>
                <w:rFonts w:ascii="Arial"/>
                <w:sz w:val="21"/>
              </w:rPr>
            </w:pPr>
          </w:p>
          <w:p w14:paraId="3CD7A6EE">
            <w:pPr>
              <w:spacing w:line="254" w:lineRule="auto"/>
              <w:rPr>
                <w:rFonts w:ascii="Arial"/>
                <w:sz w:val="21"/>
              </w:rPr>
            </w:pPr>
          </w:p>
          <w:p w14:paraId="4DE1CB44">
            <w:pPr>
              <w:spacing w:line="254" w:lineRule="auto"/>
              <w:rPr>
                <w:rFonts w:ascii="Arial"/>
                <w:sz w:val="21"/>
              </w:rPr>
            </w:pPr>
          </w:p>
          <w:p w14:paraId="674ADC83">
            <w:pPr>
              <w:spacing w:line="254" w:lineRule="auto"/>
              <w:rPr>
                <w:rFonts w:ascii="Arial"/>
                <w:sz w:val="21"/>
              </w:rPr>
            </w:pPr>
          </w:p>
          <w:p w14:paraId="58316C67">
            <w:pPr>
              <w:spacing w:line="255" w:lineRule="auto"/>
              <w:rPr>
                <w:rFonts w:ascii="Arial"/>
                <w:sz w:val="21"/>
              </w:rPr>
            </w:pPr>
          </w:p>
          <w:p w14:paraId="668ED915">
            <w:pPr>
              <w:spacing w:line="255" w:lineRule="auto"/>
              <w:rPr>
                <w:rFonts w:ascii="Arial"/>
                <w:sz w:val="21"/>
              </w:rPr>
            </w:pPr>
          </w:p>
          <w:p w14:paraId="2B53E8FD">
            <w:pPr>
              <w:pStyle w:val="6"/>
              <w:spacing w:before="65" w:line="229" w:lineRule="auto"/>
              <w:ind w:left="135"/>
            </w:pPr>
            <w:r>
              <w:rPr>
                <w:spacing w:val="1"/>
              </w:rPr>
              <w:t>公用</w:t>
            </w:r>
          </w:p>
          <w:p w14:paraId="4C04DC50">
            <w:pPr>
              <w:pStyle w:val="6"/>
              <w:spacing w:before="23" w:line="228" w:lineRule="auto"/>
              <w:ind w:left="131"/>
            </w:pPr>
            <w:r>
              <w:rPr>
                <w:spacing w:val="3"/>
              </w:rPr>
              <w:t>工程</w:t>
            </w:r>
          </w:p>
        </w:tc>
        <w:tc>
          <w:tcPr>
            <w:tcW w:w="1559" w:type="dxa"/>
            <w:vAlign w:val="top"/>
          </w:tcPr>
          <w:p w14:paraId="7E653DE5">
            <w:pPr>
              <w:spacing w:line="373" w:lineRule="auto"/>
              <w:rPr>
                <w:rFonts w:ascii="Arial"/>
                <w:sz w:val="21"/>
              </w:rPr>
            </w:pPr>
          </w:p>
          <w:p w14:paraId="09DA1139">
            <w:pPr>
              <w:pStyle w:val="6"/>
              <w:spacing w:before="65" w:line="227" w:lineRule="auto"/>
              <w:ind w:left="363"/>
            </w:pPr>
            <w:r>
              <w:rPr>
                <w:spacing w:val="7"/>
              </w:rPr>
              <w:t>供水系统</w:t>
            </w:r>
          </w:p>
        </w:tc>
        <w:tc>
          <w:tcPr>
            <w:tcW w:w="5142" w:type="dxa"/>
            <w:vAlign w:val="top"/>
          </w:tcPr>
          <w:p w14:paraId="06984A46">
            <w:pPr>
              <w:pStyle w:val="6"/>
              <w:spacing w:before="34" w:line="242" w:lineRule="auto"/>
              <w:ind w:left="113" w:right="105" w:firstLine="420"/>
              <w:jc w:val="both"/>
            </w:pPr>
            <w:r>
              <w:rPr>
                <w:spacing w:val="14"/>
              </w:rPr>
              <w:t>生产用水来源于矿井疏干水，生活用水来源于矿</w:t>
            </w:r>
            <w:r>
              <w:rPr>
                <w:spacing w:val="2"/>
              </w:rPr>
              <w:t xml:space="preserve"> </w:t>
            </w:r>
            <w:r>
              <w:rPr>
                <w:spacing w:val="6"/>
              </w:rPr>
              <w:t>区深井水，深井水房距办公生活区西</w:t>
            </w:r>
            <w:r>
              <w:rPr>
                <w:spacing w:val="-21"/>
              </w:rPr>
              <w:t xml:space="preserve"> </w:t>
            </w:r>
            <w:r>
              <w:rPr>
                <w:spacing w:val="6"/>
              </w:rPr>
              <w:t>6</w:t>
            </w:r>
            <w:r>
              <w:t>km</w:t>
            </w:r>
            <w:r>
              <w:rPr>
                <w:spacing w:val="6"/>
              </w:rPr>
              <w:t>，已取得取水</w:t>
            </w:r>
            <w:r>
              <w:t xml:space="preserve"> </w:t>
            </w:r>
            <w:r>
              <w:rPr>
                <w:spacing w:val="5"/>
              </w:rPr>
              <w:t>许可证（取水（西水）字[2018]第</w:t>
            </w:r>
            <w:r>
              <w:rPr>
                <w:spacing w:val="-37"/>
              </w:rPr>
              <w:t xml:space="preserve"> </w:t>
            </w:r>
            <w:r>
              <w:rPr>
                <w:spacing w:val="5"/>
              </w:rPr>
              <w:t>01</w:t>
            </w:r>
            <w:r>
              <w:rPr>
                <w:spacing w:val="-36"/>
              </w:rPr>
              <w:t xml:space="preserve"> </w:t>
            </w:r>
            <w:r>
              <w:rPr>
                <w:spacing w:val="5"/>
              </w:rPr>
              <w:t>号</w:t>
            </w:r>
            <w:r>
              <w:rPr>
                <w:spacing w:val="7"/>
              </w:rPr>
              <w:t>），</w:t>
            </w:r>
            <w:r>
              <w:rPr>
                <w:spacing w:val="-49"/>
              </w:rPr>
              <w:t xml:space="preserve"> </w:t>
            </w:r>
            <w:r>
              <w:rPr>
                <w:spacing w:val="5"/>
              </w:rPr>
              <w:t>日常生活</w:t>
            </w:r>
            <w:r>
              <w:t xml:space="preserve"> </w:t>
            </w:r>
            <w:r>
              <w:rPr>
                <w:spacing w:val="7"/>
              </w:rPr>
              <w:t>用水由水车拉运。</w:t>
            </w:r>
          </w:p>
        </w:tc>
        <w:tc>
          <w:tcPr>
            <w:tcW w:w="943" w:type="dxa"/>
            <w:vAlign w:val="top"/>
          </w:tcPr>
          <w:p w14:paraId="48203027">
            <w:pPr>
              <w:spacing w:line="373" w:lineRule="auto"/>
              <w:rPr>
                <w:rFonts w:ascii="Arial"/>
                <w:sz w:val="21"/>
              </w:rPr>
            </w:pPr>
          </w:p>
          <w:p w14:paraId="11129227">
            <w:pPr>
              <w:pStyle w:val="6"/>
              <w:spacing w:before="65" w:line="227" w:lineRule="auto"/>
              <w:ind w:left="268"/>
            </w:pPr>
            <w:r>
              <w:rPr>
                <w:spacing w:val="3"/>
              </w:rPr>
              <w:t>依托</w:t>
            </w:r>
          </w:p>
        </w:tc>
      </w:tr>
      <w:tr w14:paraId="41D1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668" w:type="dxa"/>
            <w:vMerge w:val="continue"/>
            <w:tcBorders>
              <w:top w:val="nil"/>
              <w:bottom w:val="nil"/>
            </w:tcBorders>
            <w:vAlign w:val="top"/>
          </w:tcPr>
          <w:p w14:paraId="315134FB">
            <w:pPr>
              <w:rPr>
                <w:rFonts w:ascii="Arial"/>
                <w:sz w:val="21"/>
              </w:rPr>
            </w:pPr>
          </w:p>
        </w:tc>
        <w:tc>
          <w:tcPr>
            <w:tcW w:w="1559" w:type="dxa"/>
            <w:vAlign w:val="top"/>
          </w:tcPr>
          <w:p w14:paraId="61BB9792">
            <w:pPr>
              <w:spacing w:line="255" w:lineRule="auto"/>
              <w:rPr>
                <w:rFonts w:ascii="Arial"/>
                <w:sz w:val="21"/>
              </w:rPr>
            </w:pPr>
          </w:p>
          <w:p w14:paraId="256D5102">
            <w:pPr>
              <w:spacing w:line="256" w:lineRule="auto"/>
              <w:rPr>
                <w:rFonts w:ascii="Arial"/>
                <w:sz w:val="21"/>
              </w:rPr>
            </w:pPr>
          </w:p>
          <w:p w14:paraId="36AC0F93">
            <w:pPr>
              <w:pStyle w:val="6"/>
              <w:spacing w:before="65" w:line="227" w:lineRule="auto"/>
              <w:ind w:left="363"/>
            </w:pPr>
            <w:r>
              <w:rPr>
                <w:spacing w:val="7"/>
              </w:rPr>
              <w:t>供电系统</w:t>
            </w:r>
          </w:p>
        </w:tc>
        <w:tc>
          <w:tcPr>
            <w:tcW w:w="5142" w:type="dxa"/>
            <w:vAlign w:val="top"/>
          </w:tcPr>
          <w:p w14:paraId="129ED676">
            <w:pPr>
              <w:pStyle w:val="6"/>
              <w:spacing w:before="34" w:line="244" w:lineRule="auto"/>
              <w:ind w:left="111" w:right="105" w:firstLine="420"/>
              <w:jc w:val="both"/>
            </w:pPr>
            <w:r>
              <w:rPr>
                <w:spacing w:val="8"/>
              </w:rPr>
              <w:t>供电电源来自宝日格斯台</w:t>
            </w:r>
            <w:r>
              <w:rPr>
                <w:spacing w:val="-30"/>
              </w:rPr>
              <w:t xml:space="preserve"> </w:t>
            </w:r>
            <w:r>
              <w:rPr>
                <w:spacing w:val="8"/>
              </w:rPr>
              <w:t>35</w:t>
            </w:r>
            <w:r>
              <w:t>kV</w:t>
            </w:r>
            <w:r>
              <w:rPr>
                <w:spacing w:val="-40"/>
              </w:rPr>
              <w:t xml:space="preserve"> </w:t>
            </w:r>
            <w:r>
              <w:rPr>
                <w:spacing w:val="8"/>
              </w:rPr>
              <w:t>变电站，在选矿工</w:t>
            </w:r>
            <w:r>
              <w:t xml:space="preserve"> </w:t>
            </w:r>
            <w:r>
              <w:rPr>
                <w:spacing w:val="9"/>
              </w:rPr>
              <w:t>业场地建 1</w:t>
            </w:r>
            <w:r>
              <w:rPr>
                <w:spacing w:val="-18"/>
              </w:rPr>
              <w:t xml:space="preserve"> </w:t>
            </w:r>
            <w:r>
              <w:rPr>
                <w:spacing w:val="9"/>
              </w:rPr>
              <w:t>座选矿 10</w:t>
            </w:r>
            <w:r>
              <w:t>kV</w:t>
            </w:r>
            <w:r>
              <w:rPr>
                <w:spacing w:val="-30"/>
              </w:rPr>
              <w:t xml:space="preserve"> </w:t>
            </w:r>
            <w:r>
              <w:rPr>
                <w:spacing w:val="9"/>
              </w:rPr>
              <w:t>变配电所，</w:t>
            </w:r>
            <w:r>
              <w:rPr>
                <w:spacing w:val="-49"/>
              </w:rPr>
              <w:t xml:space="preserve"> </w:t>
            </w:r>
            <w:r>
              <w:rPr>
                <w:spacing w:val="9"/>
              </w:rPr>
              <w:t>电源采用双回路</w:t>
            </w:r>
            <w:r>
              <w:t xml:space="preserve"> </w:t>
            </w:r>
            <w:r>
              <w:rPr>
                <w:spacing w:val="7"/>
              </w:rPr>
              <w:t>10</w:t>
            </w:r>
            <w:r>
              <w:t>kV</w:t>
            </w:r>
            <w:r>
              <w:rPr>
                <w:spacing w:val="-39"/>
              </w:rPr>
              <w:t xml:space="preserve"> </w:t>
            </w:r>
            <w:r>
              <w:rPr>
                <w:spacing w:val="7"/>
              </w:rPr>
              <w:t>架空线路引自矿区</w:t>
            </w:r>
            <w:r>
              <w:rPr>
                <w:spacing w:val="-21"/>
              </w:rPr>
              <w:t xml:space="preserve"> </w:t>
            </w:r>
            <w:r>
              <w:rPr>
                <w:spacing w:val="7"/>
              </w:rPr>
              <w:t>110</w:t>
            </w:r>
            <w:r>
              <w:t>kV</w:t>
            </w:r>
            <w:r>
              <w:rPr>
                <w:spacing w:val="-40"/>
              </w:rPr>
              <w:t xml:space="preserve"> </w:t>
            </w:r>
            <w:r>
              <w:rPr>
                <w:spacing w:val="7"/>
              </w:rPr>
              <w:t>变电站。10</w:t>
            </w:r>
            <w:r>
              <w:t>kV</w:t>
            </w:r>
            <w:r>
              <w:rPr>
                <w:spacing w:val="-42"/>
              </w:rPr>
              <w:t xml:space="preserve"> </w:t>
            </w:r>
            <w:r>
              <w:rPr>
                <w:spacing w:val="7"/>
              </w:rPr>
              <w:t>侧采用两</w:t>
            </w:r>
            <w:r>
              <w:t xml:space="preserve"> </w:t>
            </w:r>
            <w:r>
              <w:rPr>
                <w:spacing w:val="11"/>
              </w:rPr>
              <w:t>段单母线分段运行，并设置联络、分别计量；10</w:t>
            </w:r>
            <w:r>
              <w:t>kV</w:t>
            </w:r>
            <w:r>
              <w:rPr>
                <w:spacing w:val="-34"/>
              </w:rPr>
              <w:t xml:space="preserve"> </w:t>
            </w:r>
            <w:r>
              <w:rPr>
                <w:spacing w:val="11"/>
              </w:rPr>
              <w:t>馈</w:t>
            </w:r>
            <w:r>
              <w:t xml:space="preserve"> </w:t>
            </w:r>
            <w:r>
              <w:rPr>
                <w:spacing w:val="8"/>
              </w:rPr>
              <w:t>线以放射式电缆线路向各车间供电。</w:t>
            </w:r>
          </w:p>
        </w:tc>
        <w:tc>
          <w:tcPr>
            <w:tcW w:w="943" w:type="dxa"/>
            <w:vAlign w:val="top"/>
          </w:tcPr>
          <w:p w14:paraId="519BAB68">
            <w:pPr>
              <w:spacing w:line="255" w:lineRule="auto"/>
              <w:rPr>
                <w:rFonts w:ascii="Arial"/>
                <w:sz w:val="21"/>
              </w:rPr>
            </w:pPr>
          </w:p>
          <w:p w14:paraId="090168D9">
            <w:pPr>
              <w:spacing w:line="256" w:lineRule="auto"/>
              <w:rPr>
                <w:rFonts w:ascii="Arial"/>
                <w:sz w:val="21"/>
              </w:rPr>
            </w:pPr>
          </w:p>
          <w:p w14:paraId="11B25746">
            <w:pPr>
              <w:pStyle w:val="6"/>
              <w:spacing w:before="65" w:line="227" w:lineRule="auto"/>
              <w:ind w:left="268"/>
            </w:pPr>
            <w:r>
              <w:rPr>
                <w:spacing w:val="3"/>
              </w:rPr>
              <w:t>依托</w:t>
            </w:r>
          </w:p>
        </w:tc>
      </w:tr>
      <w:tr w14:paraId="08487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8" w:type="dxa"/>
            <w:vMerge w:val="continue"/>
            <w:tcBorders>
              <w:top w:val="nil"/>
              <w:bottom w:val="nil"/>
            </w:tcBorders>
            <w:vAlign w:val="top"/>
          </w:tcPr>
          <w:p w14:paraId="2BEB3D47">
            <w:pPr>
              <w:rPr>
                <w:rFonts w:ascii="Arial"/>
                <w:sz w:val="21"/>
              </w:rPr>
            </w:pPr>
          </w:p>
        </w:tc>
        <w:tc>
          <w:tcPr>
            <w:tcW w:w="1559" w:type="dxa"/>
            <w:vAlign w:val="top"/>
          </w:tcPr>
          <w:p w14:paraId="52408A4D">
            <w:pPr>
              <w:pStyle w:val="6"/>
              <w:spacing w:before="170" w:line="227" w:lineRule="auto"/>
              <w:ind w:left="363"/>
            </w:pPr>
            <w:r>
              <w:rPr>
                <w:spacing w:val="7"/>
              </w:rPr>
              <w:t>供暖系统</w:t>
            </w:r>
          </w:p>
        </w:tc>
        <w:tc>
          <w:tcPr>
            <w:tcW w:w="5142" w:type="dxa"/>
            <w:vAlign w:val="top"/>
          </w:tcPr>
          <w:p w14:paraId="7DE84ACC">
            <w:pPr>
              <w:pStyle w:val="6"/>
              <w:spacing w:before="36" w:line="232" w:lineRule="auto"/>
              <w:ind w:left="117" w:right="203" w:firstLine="414"/>
            </w:pPr>
            <w:r>
              <w:rPr>
                <w:spacing w:val="2"/>
              </w:rPr>
              <w:t>锅炉房</w:t>
            </w:r>
            <w:r>
              <w:rPr>
                <w:spacing w:val="-24"/>
              </w:rPr>
              <w:t xml:space="preserve"> </w:t>
            </w:r>
            <w:r>
              <w:rPr>
                <w:spacing w:val="2"/>
              </w:rPr>
              <w:t>1</w:t>
            </w:r>
            <w:r>
              <w:rPr>
                <w:spacing w:val="-37"/>
              </w:rPr>
              <w:t xml:space="preserve"> </w:t>
            </w:r>
            <w:r>
              <w:rPr>
                <w:spacing w:val="2"/>
              </w:rPr>
              <w:t>座，</w:t>
            </w:r>
            <w:r>
              <w:rPr>
                <w:spacing w:val="-57"/>
              </w:rPr>
              <w:t xml:space="preserve"> </w:t>
            </w:r>
            <w:r>
              <w:rPr>
                <w:spacing w:val="2"/>
              </w:rPr>
              <w:t>内设</w:t>
            </w:r>
            <w:r>
              <w:rPr>
                <w:spacing w:val="-35"/>
              </w:rPr>
              <w:t xml:space="preserve"> </w:t>
            </w:r>
            <w:r>
              <w:rPr>
                <w:spacing w:val="2"/>
              </w:rPr>
              <w:t>2</w:t>
            </w:r>
            <w:r>
              <w:rPr>
                <w:spacing w:val="-21"/>
              </w:rPr>
              <w:t xml:space="preserve"> </w:t>
            </w:r>
            <w:r>
              <w:rPr>
                <w:spacing w:val="2"/>
              </w:rPr>
              <w:t>台</w:t>
            </w:r>
            <w:r>
              <w:rPr>
                <w:spacing w:val="-41"/>
              </w:rPr>
              <w:t xml:space="preserve"> </w:t>
            </w:r>
            <w:r>
              <w:t>CDZL</w:t>
            </w:r>
            <w:r>
              <w:rPr>
                <w:spacing w:val="2"/>
              </w:rPr>
              <w:t>4.2/80/60</w:t>
            </w:r>
            <w:r>
              <w:rPr>
                <w:spacing w:val="-32"/>
              </w:rPr>
              <w:t xml:space="preserve"> </w:t>
            </w:r>
            <w:r>
              <w:rPr>
                <w:spacing w:val="2"/>
              </w:rPr>
              <w:t>型生物质</w:t>
            </w:r>
            <w:r>
              <w:t xml:space="preserve"> </w:t>
            </w:r>
            <w:r>
              <w:rPr>
                <w:spacing w:val="6"/>
              </w:rPr>
              <w:t>常压热水锅炉。</w:t>
            </w:r>
          </w:p>
        </w:tc>
        <w:tc>
          <w:tcPr>
            <w:tcW w:w="943" w:type="dxa"/>
            <w:vAlign w:val="top"/>
          </w:tcPr>
          <w:p w14:paraId="22C995B7">
            <w:pPr>
              <w:pStyle w:val="6"/>
              <w:spacing w:before="170" w:line="227" w:lineRule="auto"/>
              <w:ind w:left="268"/>
            </w:pPr>
            <w:r>
              <w:rPr>
                <w:spacing w:val="3"/>
              </w:rPr>
              <w:t>依托</w:t>
            </w:r>
          </w:p>
        </w:tc>
      </w:tr>
      <w:tr w14:paraId="4AD83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8" w:type="dxa"/>
            <w:vMerge w:val="continue"/>
            <w:tcBorders>
              <w:top w:val="nil"/>
              <w:bottom w:val="nil"/>
            </w:tcBorders>
            <w:vAlign w:val="top"/>
          </w:tcPr>
          <w:p w14:paraId="3A98AF8C">
            <w:pPr>
              <w:rPr>
                <w:rFonts w:ascii="Arial"/>
                <w:sz w:val="21"/>
              </w:rPr>
            </w:pPr>
          </w:p>
        </w:tc>
        <w:tc>
          <w:tcPr>
            <w:tcW w:w="1559" w:type="dxa"/>
            <w:vAlign w:val="top"/>
          </w:tcPr>
          <w:p w14:paraId="35C6ADC0">
            <w:pPr>
              <w:pStyle w:val="6"/>
              <w:spacing w:before="36" w:line="228" w:lineRule="auto"/>
              <w:ind w:left="158"/>
            </w:pPr>
            <w:r>
              <w:rPr>
                <w:spacing w:val="7"/>
              </w:rPr>
              <w:t>办公设施及生</w:t>
            </w:r>
          </w:p>
          <w:p w14:paraId="48BD64B2">
            <w:pPr>
              <w:pStyle w:val="6"/>
              <w:spacing w:before="24" w:line="214" w:lineRule="auto"/>
              <w:ind w:left="577"/>
            </w:pPr>
            <w:r>
              <w:rPr>
                <w:spacing w:val="3"/>
              </w:rPr>
              <w:t>活区</w:t>
            </w:r>
          </w:p>
        </w:tc>
        <w:tc>
          <w:tcPr>
            <w:tcW w:w="5142" w:type="dxa"/>
            <w:vAlign w:val="top"/>
          </w:tcPr>
          <w:p w14:paraId="13C1E3CC">
            <w:pPr>
              <w:pStyle w:val="6"/>
              <w:spacing w:before="36" w:line="228" w:lineRule="auto"/>
              <w:ind w:left="116"/>
            </w:pPr>
            <w:r>
              <w:rPr>
                <w:spacing w:val="9"/>
              </w:rPr>
              <w:t>办公设施及生活区位于选厂东南侧</w:t>
            </w:r>
          </w:p>
        </w:tc>
        <w:tc>
          <w:tcPr>
            <w:tcW w:w="943" w:type="dxa"/>
            <w:vAlign w:val="top"/>
          </w:tcPr>
          <w:p w14:paraId="7F5D1FFB">
            <w:pPr>
              <w:pStyle w:val="6"/>
              <w:spacing w:before="170" w:line="227" w:lineRule="auto"/>
              <w:ind w:left="268"/>
            </w:pPr>
            <w:r>
              <w:rPr>
                <w:spacing w:val="3"/>
              </w:rPr>
              <w:t>依托</w:t>
            </w:r>
          </w:p>
        </w:tc>
      </w:tr>
      <w:tr w14:paraId="09388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4DAF6D23">
            <w:pPr>
              <w:rPr>
                <w:rFonts w:ascii="Arial"/>
                <w:sz w:val="21"/>
              </w:rPr>
            </w:pPr>
          </w:p>
        </w:tc>
        <w:tc>
          <w:tcPr>
            <w:tcW w:w="1559" w:type="dxa"/>
            <w:vAlign w:val="top"/>
          </w:tcPr>
          <w:p w14:paraId="49868C18">
            <w:pPr>
              <w:pStyle w:val="6"/>
              <w:spacing w:before="83" w:line="227" w:lineRule="auto"/>
              <w:ind w:left="369"/>
            </w:pPr>
            <w:r>
              <w:rPr>
                <w:spacing w:val="5"/>
              </w:rPr>
              <w:t>空压机房</w:t>
            </w:r>
          </w:p>
        </w:tc>
        <w:tc>
          <w:tcPr>
            <w:tcW w:w="5142" w:type="dxa"/>
            <w:vAlign w:val="top"/>
          </w:tcPr>
          <w:p w14:paraId="4263EAB4">
            <w:pPr>
              <w:pStyle w:val="6"/>
              <w:spacing w:before="18" w:line="263" w:lineRule="exact"/>
              <w:ind w:left="127"/>
            </w:pPr>
            <w:r>
              <w:rPr>
                <w:spacing w:val="4"/>
              </w:rPr>
              <w:t>1</w:t>
            </w:r>
            <w:r>
              <w:rPr>
                <w:spacing w:val="-19"/>
              </w:rPr>
              <w:t xml:space="preserve"> </w:t>
            </w:r>
            <w:r>
              <w:rPr>
                <w:spacing w:val="4"/>
              </w:rPr>
              <w:t>座，建筑面积</w:t>
            </w:r>
            <w:r>
              <w:rPr>
                <w:spacing w:val="-32"/>
              </w:rPr>
              <w:t xml:space="preserve"> </w:t>
            </w:r>
            <w:r>
              <w:rPr>
                <w:spacing w:val="4"/>
              </w:rPr>
              <w:t>56.25 m</w:t>
            </w:r>
            <w:r>
              <w:rPr>
                <w:spacing w:val="4"/>
                <w:position w:val="10"/>
                <w:sz w:val="10"/>
                <w:szCs w:val="10"/>
              </w:rPr>
              <w:t>2</w:t>
            </w:r>
            <w:r>
              <w:rPr>
                <w:spacing w:val="-25"/>
                <w:position w:val="10"/>
                <w:sz w:val="10"/>
                <w:szCs w:val="10"/>
              </w:rPr>
              <w:t xml:space="preserve"> </w:t>
            </w:r>
            <w:r>
              <w:rPr>
                <w:spacing w:val="4"/>
              </w:rPr>
              <w:t>，用于提供压缩空气</w:t>
            </w:r>
          </w:p>
        </w:tc>
        <w:tc>
          <w:tcPr>
            <w:tcW w:w="943" w:type="dxa"/>
            <w:vAlign w:val="top"/>
          </w:tcPr>
          <w:p w14:paraId="07B31C83">
            <w:pPr>
              <w:pStyle w:val="6"/>
              <w:spacing w:before="83" w:line="227" w:lineRule="auto"/>
              <w:ind w:left="268"/>
            </w:pPr>
            <w:r>
              <w:rPr>
                <w:spacing w:val="3"/>
              </w:rPr>
              <w:t>依托</w:t>
            </w:r>
          </w:p>
        </w:tc>
      </w:tr>
      <w:tr w14:paraId="6913A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bottom w:val="nil"/>
            </w:tcBorders>
            <w:vAlign w:val="top"/>
          </w:tcPr>
          <w:p w14:paraId="16B7963D">
            <w:pPr>
              <w:rPr>
                <w:rFonts w:ascii="Arial"/>
                <w:sz w:val="21"/>
              </w:rPr>
            </w:pPr>
          </w:p>
        </w:tc>
        <w:tc>
          <w:tcPr>
            <w:tcW w:w="1559" w:type="dxa"/>
            <w:vAlign w:val="top"/>
          </w:tcPr>
          <w:p w14:paraId="05EDC26E">
            <w:pPr>
              <w:pStyle w:val="6"/>
              <w:spacing w:before="84" w:line="228" w:lineRule="auto"/>
              <w:ind w:left="277"/>
            </w:pPr>
            <w:r>
              <w:rPr>
                <w:spacing w:val="4"/>
              </w:rPr>
              <w:t>中央控制室</w:t>
            </w:r>
          </w:p>
        </w:tc>
        <w:tc>
          <w:tcPr>
            <w:tcW w:w="5142" w:type="dxa"/>
            <w:vAlign w:val="top"/>
          </w:tcPr>
          <w:p w14:paraId="1D8AE847">
            <w:pPr>
              <w:pStyle w:val="6"/>
              <w:spacing w:before="18" w:line="265" w:lineRule="exact"/>
              <w:ind w:left="127"/>
            </w:pPr>
            <w:r>
              <w:rPr>
                <w:spacing w:val="5"/>
              </w:rPr>
              <w:t>1</w:t>
            </w:r>
            <w:r>
              <w:rPr>
                <w:spacing w:val="-30"/>
              </w:rPr>
              <w:t xml:space="preserve"> </w:t>
            </w:r>
            <w:r>
              <w:rPr>
                <w:spacing w:val="5"/>
              </w:rPr>
              <w:t>座，建筑面积</w:t>
            </w:r>
            <w:r>
              <w:rPr>
                <w:spacing w:val="-32"/>
              </w:rPr>
              <w:t xml:space="preserve"> </w:t>
            </w:r>
            <w:r>
              <w:rPr>
                <w:spacing w:val="5"/>
              </w:rPr>
              <w:t>738.18 m</w:t>
            </w:r>
            <w:r>
              <w:rPr>
                <w:spacing w:val="5"/>
                <w:position w:val="10"/>
                <w:sz w:val="10"/>
                <w:szCs w:val="10"/>
              </w:rPr>
              <w:t>2</w:t>
            </w:r>
            <w:r>
              <w:rPr>
                <w:spacing w:val="-28"/>
                <w:position w:val="10"/>
                <w:sz w:val="10"/>
                <w:szCs w:val="10"/>
              </w:rPr>
              <w:t xml:space="preserve"> </w:t>
            </w:r>
            <w:r>
              <w:rPr>
                <w:spacing w:val="5"/>
              </w:rPr>
              <w:t>，用于选厂设备智能控制</w:t>
            </w:r>
          </w:p>
        </w:tc>
        <w:tc>
          <w:tcPr>
            <w:tcW w:w="943" w:type="dxa"/>
            <w:vAlign w:val="top"/>
          </w:tcPr>
          <w:p w14:paraId="2CD3CB5D">
            <w:pPr>
              <w:pStyle w:val="6"/>
              <w:spacing w:before="83" w:line="227" w:lineRule="auto"/>
              <w:ind w:left="268"/>
            </w:pPr>
            <w:r>
              <w:rPr>
                <w:spacing w:val="3"/>
              </w:rPr>
              <w:t>依托</w:t>
            </w:r>
          </w:p>
        </w:tc>
      </w:tr>
      <w:tr w14:paraId="14AB1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tcBorders>
            <w:vAlign w:val="top"/>
          </w:tcPr>
          <w:p w14:paraId="713344BB">
            <w:pPr>
              <w:rPr>
                <w:rFonts w:ascii="Arial"/>
                <w:sz w:val="21"/>
              </w:rPr>
            </w:pPr>
          </w:p>
        </w:tc>
        <w:tc>
          <w:tcPr>
            <w:tcW w:w="1559" w:type="dxa"/>
            <w:vAlign w:val="top"/>
          </w:tcPr>
          <w:p w14:paraId="386CDF69">
            <w:pPr>
              <w:pStyle w:val="6"/>
              <w:spacing w:before="83" w:line="227" w:lineRule="auto"/>
              <w:ind w:left="256"/>
            </w:pPr>
            <w:r>
              <w:rPr>
                <w:spacing w:val="8"/>
              </w:rPr>
              <w:t>机电修车间</w:t>
            </w:r>
          </w:p>
        </w:tc>
        <w:tc>
          <w:tcPr>
            <w:tcW w:w="5142" w:type="dxa"/>
            <w:vAlign w:val="top"/>
          </w:tcPr>
          <w:p w14:paraId="2423BFC6">
            <w:pPr>
              <w:pStyle w:val="6"/>
              <w:spacing w:before="21" w:line="241" w:lineRule="auto"/>
              <w:ind w:left="127"/>
            </w:pPr>
            <w:r>
              <w:rPr>
                <w:spacing w:val="5"/>
              </w:rPr>
              <w:t>1</w:t>
            </w:r>
            <w:r>
              <w:rPr>
                <w:spacing w:val="-36"/>
              </w:rPr>
              <w:t xml:space="preserve"> </w:t>
            </w:r>
            <w:r>
              <w:rPr>
                <w:spacing w:val="5"/>
              </w:rPr>
              <w:t>座，建筑面积</w:t>
            </w:r>
            <w:r>
              <w:rPr>
                <w:spacing w:val="-38"/>
              </w:rPr>
              <w:t xml:space="preserve"> </w:t>
            </w:r>
            <w:r>
              <w:rPr>
                <w:spacing w:val="5"/>
              </w:rPr>
              <w:t>486 m</w:t>
            </w:r>
            <w:r>
              <w:rPr>
                <w:spacing w:val="5"/>
                <w:position w:val="10"/>
                <w:sz w:val="10"/>
                <w:szCs w:val="10"/>
              </w:rPr>
              <w:t>2</w:t>
            </w:r>
            <w:r>
              <w:rPr>
                <w:spacing w:val="-25"/>
                <w:position w:val="10"/>
                <w:sz w:val="10"/>
                <w:szCs w:val="10"/>
              </w:rPr>
              <w:t xml:space="preserve"> </w:t>
            </w:r>
            <w:r>
              <w:rPr>
                <w:spacing w:val="5"/>
              </w:rPr>
              <w:t>，用于选厂设备维修</w:t>
            </w:r>
          </w:p>
        </w:tc>
        <w:tc>
          <w:tcPr>
            <w:tcW w:w="943" w:type="dxa"/>
            <w:vAlign w:val="top"/>
          </w:tcPr>
          <w:p w14:paraId="6B3C7464">
            <w:pPr>
              <w:pStyle w:val="6"/>
              <w:spacing w:before="83" w:line="227" w:lineRule="auto"/>
              <w:ind w:left="268"/>
            </w:pPr>
            <w:r>
              <w:rPr>
                <w:spacing w:val="3"/>
              </w:rPr>
              <w:t>依托</w:t>
            </w:r>
          </w:p>
        </w:tc>
      </w:tr>
      <w:tr w14:paraId="39B00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7" w:hRule="atLeast"/>
        </w:trPr>
        <w:tc>
          <w:tcPr>
            <w:tcW w:w="668" w:type="dxa"/>
            <w:vMerge w:val="restart"/>
            <w:tcBorders>
              <w:bottom w:val="nil"/>
            </w:tcBorders>
            <w:vAlign w:val="top"/>
          </w:tcPr>
          <w:p w14:paraId="13EFCE75">
            <w:pPr>
              <w:spacing w:line="249" w:lineRule="auto"/>
              <w:rPr>
                <w:rFonts w:ascii="Arial"/>
                <w:sz w:val="21"/>
              </w:rPr>
            </w:pPr>
          </w:p>
          <w:p w14:paraId="2A62D1AB">
            <w:pPr>
              <w:spacing w:line="249" w:lineRule="auto"/>
              <w:rPr>
                <w:rFonts w:ascii="Arial"/>
                <w:sz w:val="21"/>
              </w:rPr>
            </w:pPr>
          </w:p>
          <w:p w14:paraId="79C4EBFF">
            <w:pPr>
              <w:spacing w:line="249" w:lineRule="auto"/>
              <w:rPr>
                <w:rFonts w:ascii="Arial"/>
                <w:sz w:val="21"/>
              </w:rPr>
            </w:pPr>
          </w:p>
          <w:p w14:paraId="5F95A48E">
            <w:pPr>
              <w:spacing w:line="249" w:lineRule="auto"/>
              <w:rPr>
                <w:rFonts w:ascii="Arial"/>
                <w:sz w:val="21"/>
              </w:rPr>
            </w:pPr>
          </w:p>
          <w:p w14:paraId="3CEB35EC">
            <w:pPr>
              <w:pStyle w:val="6"/>
              <w:spacing w:before="65" w:line="228" w:lineRule="auto"/>
              <w:ind w:left="128"/>
            </w:pPr>
            <w:r>
              <w:rPr>
                <w:spacing w:val="5"/>
              </w:rPr>
              <w:t>储运</w:t>
            </w:r>
          </w:p>
          <w:p w14:paraId="7EC5F568">
            <w:pPr>
              <w:pStyle w:val="6"/>
              <w:spacing w:before="26" w:line="228" w:lineRule="auto"/>
              <w:ind w:left="131"/>
            </w:pPr>
            <w:r>
              <w:rPr>
                <w:spacing w:val="3"/>
              </w:rPr>
              <w:t>工程</w:t>
            </w:r>
          </w:p>
        </w:tc>
        <w:tc>
          <w:tcPr>
            <w:tcW w:w="1559" w:type="dxa"/>
            <w:vAlign w:val="top"/>
          </w:tcPr>
          <w:p w14:paraId="168C829F">
            <w:pPr>
              <w:spacing w:line="315" w:lineRule="auto"/>
              <w:rPr>
                <w:rFonts w:ascii="Arial"/>
                <w:sz w:val="21"/>
              </w:rPr>
            </w:pPr>
          </w:p>
          <w:p w14:paraId="6FF98F7E">
            <w:pPr>
              <w:spacing w:line="315" w:lineRule="auto"/>
              <w:rPr>
                <w:rFonts w:ascii="Arial"/>
                <w:sz w:val="21"/>
              </w:rPr>
            </w:pPr>
          </w:p>
          <w:p w14:paraId="4B7362DC">
            <w:pPr>
              <w:spacing w:line="315" w:lineRule="auto"/>
              <w:rPr>
                <w:rFonts w:ascii="Arial"/>
                <w:sz w:val="21"/>
              </w:rPr>
            </w:pPr>
          </w:p>
          <w:p w14:paraId="3D46A4CF">
            <w:pPr>
              <w:pStyle w:val="6"/>
              <w:spacing w:before="65" w:line="228" w:lineRule="auto"/>
              <w:ind w:left="468"/>
            </w:pPr>
            <w:r>
              <w:rPr>
                <w:spacing w:val="6"/>
              </w:rPr>
              <w:t>尾矿库</w:t>
            </w:r>
          </w:p>
        </w:tc>
        <w:tc>
          <w:tcPr>
            <w:tcW w:w="5142" w:type="dxa"/>
            <w:vAlign w:val="top"/>
          </w:tcPr>
          <w:p w14:paraId="7CA4A8CD">
            <w:pPr>
              <w:pStyle w:val="6"/>
              <w:spacing w:before="58" w:line="286" w:lineRule="auto"/>
              <w:ind w:left="107" w:right="105" w:firstLine="426"/>
              <w:jc w:val="both"/>
            </w:pPr>
            <w:r>
              <w:rPr>
                <w:spacing w:val="7"/>
              </w:rPr>
              <w:t>现状尾矿库位于选厂西北侧，该尾矿库于</w:t>
            </w:r>
            <w:r>
              <w:rPr>
                <w:spacing w:val="-25"/>
              </w:rPr>
              <w:t xml:space="preserve"> </w:t>
            </w:r>
            <w:r>
              <w:rPr>
                <w:spacing w:val="7"/>
              </w:rPr>
              <w:t>2018</w:t>
            </w:r>
            <w:r>
              <w:rPr>
                <w:spacing w:val="-40"/>
              </w:rPr>
              <w:t xml:space="preserve"> </w:t>
            </w:r>
            <w:r>
              <w:rPr>
                <w:spacing w:val="7"/>
              </w:rPr>
              <w:t>年</w:t>
            </w:r>
            <w:r>
              <w:t xml:space="preserve"> </w:t>
            </w:r>
            <w:r>
              <w:rPr>
                <w:spacing w:val="5"/>
              </w:rPr>
              <w:t>进行加高扩容，扩容后，总坝高为</w:t>
            </w:r>
            <w:r>
              <w:rPr>
                <w:spacing w:val="-7"/>
              </w:rPr>
              <w:t xml:space="preserve"> </w:t>
            </w:r>
            <w:r>
              <w:rPr>
                <w:spacing w:val="5"/>
              </w:rPr>
              <w:t>19.5m，总有效库容</w:t>
            </w:r>
            <w:r>
              <w:t xml:space="preserve"> </w:t>
            </w:r>
            <w:r>
              <w:rPr>
                <w:spacing w:val="6"/>
              </w:rPr>
              <w:t>为</w:t>
            </w:r>
            <w:r>
              <w:rPr>
                <w:spacing w:val="-21"/>
              </w:rPr>
              <w:t xml:space="preserve"> </w:t>
            </w:r>
            <w:r>
              <w:rPr>
                <w:spacing w:val="6"/>
              </w:rPr>
              <w:t>799.53×</w:t>
            </w:r>
            <w:r>
              <w:rPr>
                <w:spacing w:val="-69"/>
              </w:rPr>
              <w:t xml:space="preserve"> </w:t>
            </w:r>
            <w:r>
              <w:rPr>
                <w:spacing w:val="6"/>
              </w:rPr>
              <w:t>10</w:t>
            </w:r>
            <w:r>
              <w:rPr>
                <w:spacing w:val="6"/>
                <w:position w:val="10"/>
                <w:sz w:val="10"/>
                <w:szCs w:val="10"/>
              </w:rPr>
              <w:t>4</w:t>
            </w:r>
            <w:r>
              <w:rPr>
                <w:spacing w:val="6"/>
              </w:rPr>
              <w:t>m</w:t>
            </w:r>
            <w:r>
              <w:rPr>
                <w:spacing w:val="6"/>
                <w:position w:val="10"/>
                <w:sz w:val="10"/>
                <w:szCs w:val="10"/>
              </w:rPr>
              <w:t>3</w:t>
            </w:r>
            <w:r>
              <w:rPr>
                <w:spacing w:val="-20"/>
                <w:position w:val="10"/>
                <w:sz w:val="10"/>
                <w:szCs w:val="10"/>
              </w:rPr>
              <w:t xml:space="preserve"> </w:t>
            </w:r>
            <w:r>
              <w:rPr>
                <w:spacing w:val="6"/>
              </w:rPr>
              <w:t>，坝体底部设置</w:t>
            </w:r>
            <w:r>
              <w:rPr>
                <w:spacing w:val="-19"/>
              </w:rPr>
              <w:t xml:space="preserve"> </w:t>
            </w:r>
            <w:r>
              <w:rPr>
                <w:rFonts w:ascii="Times New Roman" w:hAnsi="Times New Roman" w:eastAsia="Times New Roman" w:cs="Times New Roman"/>
                <w:spacing w:val="6"/>
              </w:rPr>
              <w:t>1m</w:t>
            </w:r>
            <w:r>
              <w:rPr>
                <w:rFonts w:ascii="Times New Roman" w:hAnsi="Times New Roman" w:eastAsia="Times New Roman" w:cs="Times New Roman"/>
                <w:spacing w:val="22"/>
              </w:rPr>
              <w:t xml:space="preserve"> </w:t>
            </w:r>
            <w:r>
              <w:rPr>
                <w:spacing w:val="6"/>
              </w:rPr>
              <w:t>厚碾压堆石褥垫</w:t>
            </w:r>
            <w:r>
              <w:t xml:space="preserve"> </w:t>
            </w:r>
            <w:r>
              <w:rPr>
                <w:spacing w:val="14"/>
              </w:rPr>
              <w:t>层。褥垫层上下均铺设土工布反滤。库内边坡铺设有</w:t>
            </w:r>
            <w:r>
              <w:t xml:space="preserve"> </w:t>
            </w:r>
            <w:r>
              <w:rPr>
                <w:rFonts w:ascii="Times New Roman" w:hAnsi="Times New Roman" w:eastAsia="Times New Roman" w:cs="Times New Roman"/>
                <w:spacing w:val="4"/>
              </w:rPr>
              <w:t>400g/m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31"/>
                <w:position w:val="6"/>
                <w:sz w:val="13"/>
                <w:szCs w:val="13"/>
              </w:rPr>
              <w:t xml:space="preserve"> </w:t>
            </w:r>
            <w:r>
              <w:rPr>
                <w:spacing w:val="4"/>
              </w:rPr>
              <w:t>复合土工膜（</w:t>
            </w:r>
            <w:r>
              <w:rPr>
                <w:rFonts w:ascii="Times New Roman" w:hAnsi="Times New Roman" w:eastAsia="Times New Roman" w:cs="Times New Roman"/>
                <w:spacing w:val="4"/>
              </w:rPr>
              <w:t>1.5</w:t>
            </w:r>
            <w:r>
              <w:rPr>
                <w:rFonts w:ascii="Times New Roman" w:hAnsi="Times New Roman" w:eastAsia="Times New Roman" w:cs="Times New Roman"/>
              </w:rPr>
              <w:t>mmHDPE</w:t>
            </w:r>
            <w:r>
              <w:rPr>
                <w:spacing w:val="4"/>
              </w:rPr>
              <w:t>）用于防渗，库底铺</w:t>
            </w:r>
            <w:r>
              <w:t xml:space="preserve"> </w:t>
            </w:r>
            <w:r>
              <w:rPr>
                <w:spacing w:val="4"/>
              </w:rPr>
              <w:t>设有</w:t>
            </w:r>
            <w:r>
              <w:rPr>
                <w:spacing w:val="-9"/>
              </w:rPr>
              <w:t xml:space="preserve"> </w:t>
            </w:r>
            <w:r>
              <w:rPr>
                <w:rFonts w:ascii="Times New Roman" w:hAnsi="Times New Roman" w:eastAsia="Times New Roman" w:cs="Times New Roman"/>
                <w:spacing w:val="4"/>
              </w:rPr>
              <w:t>1.5</w:t>
            </w:r>
            <w:r>
              <w:rPr>
                <w:rFonts w:ascii="Times New Roman" w:hAnsi="Times New Roman" w:eastAsia="Times New Roman" w:cs="Times New Roman"/>
              </w:rPr>
              <w:t>mmHDPE</w:t>
            </w:r>
            <w:r>
              <w:rPr>
                <w:rFonts w:ascii="Times New Roman" w:hAnsi="Times New Roman" w:eastAsia="Times New Roman" w:cs="Times New Roman"/>
                <w:spacing w:val="14"/>
                <w:w w:val="101"/>
              </w:rPr>
              <w:t xml:space="preserve"> </w:t>
            </w:r>
            <w:r>
              <w:rPr>
                <w:spacing w:val="4"/>
              </w:rPr>
              <w:t>土工膜用于防渗。尾矿浆通过选矿车</w:t>
            </w:r>
            <w:r>
              <w:t xml:space="preserve"> </w:t>
            </w:r>
            <w:r>
              <w:rPr>
                <w:spacing w:val="9"/>
              </w:rPr>
              <w:t>间加压泵自尾矿输送管道输送到坝上</w:t>
            </w:r>
          </w:p>
        </w:tc>
        <w:tc>
          <w:tcPr>
            <w:tcW w:w="943" w:type="dxa"/>
            <w:vAlign w:val="top"/>
          </w:tcPr>
          <w:p w14:paraId="57002BDD">
            <w:pPr>
              <w:spacing w:line="315" w:lineRule="auto"/>
              <w:rPr>
                <w:rFonts w:ascii="Arial"/>
                <w:sz w:val="21"/>
              </w:rPr>
            </w:pPr>
          </w:p>
          <w:p w14:paraId="0D53E467">
            <w:pPr>
              <w:spacing w:line="315" w:lineRule="auto"/>
              <w:rPr>
                <w:rFonts w:ascii="Arial"/>
                <w:sz w:val="21"/>
              </w:rPr>
            </w:pPr>
          </w:p>
          <w:p w14:paraId="7D9DFDA8">
            <w:pPr>
              <w:spacing w:line="316" w:lineRule="auto"/>
              <w:rPr>
                <w:rFonts w:ascii="Arial"/>
                <w:sz w:val="21"/>
              </w:rPr>
            </w:pPr>
          </w:p>
          <w:p w14:paraId="3D68DDA9">
            <w:pPr>
              <w:pStyle w:val="6"/>
              <w:spacing w:before="65" w:line="227" w:lineRule="auto"/>
              <w:ind w:left="268"/>
            </w:pPr>
            <w:r>
              <w:rPr>
                <w:spacing w:val="3"/>
              </w:rPr>
              <w:t>依托</w:t>
            </w:r>
          </w:p>
        </w:tc>
      </w:tr>
      <w:tr w14:paraId="4055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668" w:type="dxa"/>
            <w:vMerge w:val="continue"/>
            <w:tcBorders>
              <w:top w:val="nil"/>
            </w:tcBorders>
            <w:vAlign w:val="top"/>
          </w:tcPr>
          <w:p w14:paraId="1C90A474">
            <w:pPr>
              <w:rPr>
                <w:rFonts w:ascii="Arial"/>
                <w:sz w:val="21"/>
              </w:rPr>
            </w:pPr>
          </w:p>
        </w:tc>
        <w:tc>
          <w:tcPr>
            <w:tcW w:w="1559" w:type="dxa"/>
            <w:vAlign w:val="top"/>
          </w:tcPr>
          <w:p w14:paraId="4D086A8B">
            <w:pPr>
              <w:pStyle w:val="6"/>
              <w:spacing w:before="85" w:line="228" w:lineRule="auto"/>
              <w:ind w:left="473"/>
            </w:pPr>
            <w:r>
              <w:rPr>
                <w:spacing w:val="5"/>
              </w:rPr>
              <w:t>原矿仓</w:t>
            </w:r>
          </w:p>
        </w:tc>
        <w:tc>
          <w:tcPr>
            <w:tcW w:w="5142" w:type="dxa"/>
            <w:vAlign w:val="top"/>
          </w:tcPr>
          <w:p w14:paraId="2FEC261F">
            <w:pPr>
              <w:pStyle w:val="6"/>
              <w:spacing w:before="44" w:line="264" w:lineRule="exact"/>
              <w:ind w:left="547"/>
            </w:pPr>
            <w:r>
              <w:rPr>
                <w:spacing w:val="6"/>
              </w:rPr>
              <w:t>1座，建筑面积56.25m</w:t>
            </w:r>
            <w:r>
              <w:rPr>
                <w:spacing w:val="6"/>
                <w:position w:val="10"/>
                <w:sz w:val="10"/>
                <w:szCs w:val="10"/>
              </w:rPr>
              <w:t>2</w:t>
            </w:r>
            <w:r>
              <w:rPr>
                <w:spacing w:val="-25"/>
                <w:position w:val="10"/>
                <w:sz w:val="10"/>
                <w:szCs w:val="10"/>
              </w:rPr>
              <w:t xml:space="preserve"> </w:t>
            </w:r>
            <w:r>
              <w:rPr>
                <w:spacing w:val="6"/>
              </w:rPr>
              <w:t>，为单槽正仓、底部卸料，</w:t>
            </w:r>
          </w:p>
        </w:tc>
        <w:tc>
          <w:tcPr>
            <w:tcW w:w="943" w:type="dxa"/>
            <w:vAlign w:val="top"/>
          </w:tcPr>
          <w:p w14:paraId="19B6B9AF">
            <w:pPr>
              <w:pStyle w:val="6"/>
              <w:spacing w:before="85" w:line="227" w:lineRule="auto"/>
              <w:ind w:left="268"/>
            </w:pPr>
            <w:r>
              <w:rPr>
                <w:spacing w:val="3"/>
              </w:rPr>
              <w:t>依托</w:t>
            </w:r>
          </w:p>
        </w:tc>
      </w:tr>
    </w:tbl>
    <w:p w14:paraId="1F0BEA69">
      <w:pPr>
        <w:pStyle w:val="2"/>
        <w:spacing w:line="125" w:lineRule="exact"/>
        <w:rPr>
          <w:sz w:val="10"/>
        </w:rPr>
      </w:pPr>
    </w:p>
    <w:p w14:paraId="08040436">
      <w:pPr>
        <w:spacing w:line="125" w:lineRule="exact"/>
        <w:rPr>
          <w:sz w:val="10"/>
          <w:szCs w:val="10"/>
        </w:rPr>
        <w:sectPr>
          <w:footerReference r:id="rId93" w:type="default"/>
          <w:pgSz w:w="11906" w:h="16839"/>
          <w:pgMar w:top="1208" w:right="1785" w:bottom="1358" w:left="1785" w:header="825" w:footer="1195" w:gutter="0"/>
          <w:cols w:space="720" w:num="1"/>
        </w:sectPr>
      </w:pPr>
    </w:p>
    <w:p w14:paraId="4998BB6F">
      <w:pPr>
        <w:spacing w:line="231" w:lineRule="exact"/>
      </w:pPr>
    </w:p>
    <w:tbl>
      <w:tblPr>
        <w:tblStyle w:val="5"/>
        <w:tblW w:w="831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559"/>
        <w:gridCol w:w="5142"/>
        <w:gridCol w:w="943"/>
      </w:tblGrid>
      <w:tr w14:paraId="51F22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668" w:type="dxa"/>
            <w:vMerge w:val="restart"/>
            <w:tcBorders>
              <w:bottom w:val="nil"/>
            </w:tcBorders>
            <w:vAlign w:val="top"/>
          </w:tcPr>
          <w:p w14:paraId="08E91C7C">
            <w:pPr>
              <w:rPr>
                <w:rFonts w:ascii="Arial"/>
                <w:sz w:val="21"/>
              </w:rPr>
            </w:pPr>
          </w:p>
        </w:tc>
        <w:tc>
          <w:tcPr>
            <w:tcW w:w="1559" w:type="dxa"/>
            <w:vAlign w:val="top"/>
          </w:tcPr>
          <w:p w14:paraId="7A62D2D4">
            <w:pPr>
              <w:rPr>
                <w:rFonts w:ascii="Arial"/>
                <w:sz w:val="21"/>
              </w:rPr>
            </w:pPr>
          </w:p>
        </w:tc>
        <w:tc>
          <w:tcPr>
            <w:tcW w:w="5142" w:type="dxa"/>
            <w:vAlign w:val="top"/>
          </w:tcPr>
          <w:p w14:paraId="77E11169">
            <w:pPr>
              <w:pStyle w:val="6"/>
              <w:spacing w:before="41" w:line="264" w:lineRule="exact"/>
              <w:ind w:left="113"/>
            </w:pPr>
            <w:r>
              <w:rPr>
                <w:spacing w:val="6"/>
              </w:rPr>
              <w:t>有效容积100m</w:t>
            </w:r>
            <w:r>
              <w:rPr>
                <w:spacing w:val="6"/>
                <w:position w:val="10"/>
                <w:sz w:val="10"/>
                <w:szCs w:val="10"/>
              </w:rPr>
              <w:t>3</w:t>
            </w:r>
            <w:r>
              <w:rPr>
                <w:spacing w:val="-25"/>
                <w:position w:val="10"/>
                <w:sz w:val="10"/>
                <w:szCs w:val="10"/>
              </w:rPr>
              <w:t xml:space="preserve"> </w:t>
            </w:r>
            <w:r>
              <w:rPr>
                <w:spacing w:val="6"/>
              </w:rPr>
              <w:t>，储矿时间由2.4h调整</w:t>
            </w:r>
            <w:r>
              <w:rPr>
                <w:spacing w:val="5"/>
              </w:rPr>
              <w:t>为1h。</w:t>
            </w:r>
          </w:p>
        </w:tc>
        <w:tc>
          <w:tcPr>
            <w:tcW w:w="943" w:type="dxa"/>
            <w:vAlign w:val="top"/>
          </w:tcPr>
          <w:p w14:paraId="57E0B19E">
            <w:pPr>
              <w:rPr>
                <w:rFonts w:ascii="Arial"/>
                <w:sz w:val="21"/>
              </w:rPr>
            </w:pPr>
          </w:p>
        </w:tc>
      </w:tr>
      <w:tr w14:paraId="07EBD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79880B4A">
            <w:pPr>
              <w:rPr>
                <w:rFonts w:ascii="Arial"/>
                <w:sz w:val="21"/>
              </w:rPr>
            </w:pPr>
          </w:p>
        </w:tc>
        <w:tc>
          <w:tcPr>
            <w:tcW w:w="1559" w:type="dxa"/>
            <w:vAlign w:val="top"/>
          </w:tcPr>
          <w:p w14:paraId="46334F29">
            <w:pPr>
              <w:pStyle w:val="6"/>
              <w:spacing w:before="215" w:line="228" w:lineRule="auto"/>
              <w:ind w:left="469"/>
            </w:pPr>
            <w:r>
              <w:rPr>
                <w:spacing w:val="6"/>
              </w:rPr>
              <w:t>转运站</w:t>
            </w:r>
          </w:p>
        </w:tc>
        <w:tc>
          <w:tcPr>
            <w:tcW w:w="5142" w:type="dxa"/>
            <w:vAlign w:val="top"/>
          </w:tcPr>
          <w:p w14:paraId="056B42FF">
            <w:pPr>
              <w:pStyle w:val="6"/>
              <w:spacing w:before="39" w:line="274" w:lineRule="auto"/>
              <w:ind w:left="111" w:right="151" w:firstLine="423"/>
            </w:pPr>
            <w:r>
              <w:rPr>
                <w:spacing w:val="7"/>
              </w:rPr>
              <w:t>2座，建筑面积36m</w:t>
            </w:r>
            <w:r>
              <w:rPr>
                <w:spacing w:val="7"/>
                <w:position w:val="10"/>
                <w:sz w:val="10"/>
                <w:szCs w:val="10"/>
              </w:rPr>
              <w:t>2</w:t>
            </w:r>
            <w:r>
              <w:rPr>
                <w:spacing w:val="-18"/>
                <w:position w:val="10"/>
                <w:sz w:val="10"/>
                <w:szCs w:val="10"/>
              </w:rPr>
              <w:t xml:space="preserve"> </w:t>
            </w:r>
            <w:r>
              <w:rPr>
                <w:spacing w:val="7"/>
              </w:rPr>
              <w:t>，为地下矿仓，底部卸料，贮</w:t>
            </w:r>
            <w:r>
              <w:t xml:space="preserve"> </w:t>
            </w:r>
            <w:r>
              <w:rPr>
                <w:spacing w:val="6"/>
              </w:rPr>
              <w:t>矿时间0.5h，有效容积50m</w:t>
            </w:r>
            <w:r>
              <w:rPr>
                <w:spacing w:val="6"/>
                <w:position w:val="10"/>
                <w:sz w:val="10"/>
                <w:szCs w:val="10"/>
              </w:rPr>
              <w:t>3</w:t>
            </w:r>
            <w:r>
              <w:rPr>
                <w:spacing w:val="6"/>
              </w:rPr>
              <w:t>。</w:t>
            </w:r>
          </w:p>
        </w:tc>
        <w:tc>
          <w:tcPr>
            <w:tcW w:w="943" w:type="dxa"/>
            <w:vAlign w:val="top"/>
          </w:tcPr>
          <w:p w14:paraId="6731D878">
            <w:pPr>
              <w:pStyle w:val="6"/>
              <w:spacing w:before="215" w:line="227" w:lineRule="auto"/>
              <w:ind w:left="268"/>
            </w:pPr>
            <w:r>
              <w:rPr>
                <w:spacing w:val="3"/>
              </w:rPr>
              <w:t>依托</w:t>
            </w:r>
          </w:p>
        </w:tc>
      </w:tr>
      <w:tr w14:paraId="4BB11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668" w:type="dxa"/>
            <w:vMerge w:val="continue"/>
            <w:tcBorders>
              <w:top w:val="nil"/>
              <w:bottom w:val="nil"/>
            </w:tcBorders>
            <w:vAlign w:val="top"/>
          </w:tcPr>
          <w:p w14:paraId="5DAB9B42">
            <w:pPr>
              <w:rPr>
                <w:rFonts w:ascii="Arial"/>
                <w:sz w:val="21"/>
              </w:rPr>
            </w:pPr>
          </w:p>
        </w:tc>
        <w:tc>
          <w:tcPr>
            <w:tcW w:w="1559" w:type="dxa"/>
            <w:vAlign w:val="top"/>
          </w:tcPr>
          <w:p w14:paraId="2F9F054C">
            <w:pPr>
              <w:spacing w:line="307" w:lineRule="auto"/>
              <w:rPr>
                <w:rFonts w:ascii="Arial"/>
                <w:sz w:val="21"/>
              </w:rPr>
            </w:pPr>
          </w:p>
          <w:p w14:paraId="452AF601">
            <w:pPr>
              <w:pStyle w:val="6"/>
              <w:spacing w:before="65" w:line="228" w:lineRule="auto"/>
              <w:ind w:left="382"/>
            </w:pPr>
            <w:r>
              <w:rPr>
                <w:spacing w:val="3"/>
              </w:rPr>
              <w:t>中间堆场</w:t>
            </w:r>
          </w:p>
        </w:tc>
        <w:tc>
          <w:tcPr>
            <w:tcW w:w="5142" w:type="dxa"/>
            <w:vAlign w:val="top"/>
          </w:tcPr>
          <w:p w14:paraId="4F2F17D0">
            <w:pPr>
              <w:pStyle w:val="6"/>
              <w:spacing w:before="38" w:line="294" w:lineRule="auto"/>
              <w:ind w:left="113" w:right="153" w:firstLine="434"/>
            </w:pPr>
            <w:r>
              <w:rPr>
                <w:spacing w:val="6"/>
              </w:rPr>
              <w:t>1座，建筑面积1440m</w:t>
            </w:r>
            <w:r>
              <w:rPr>
                <w:spacing w:val="6"/>
                <w:position w:val="10"/>
                <w:sz w:val="10"/>
                <w:szCs w:val="10"/>
              </w:rPr>
              <w:t>2</w:t>
            </w:r>
            <w:r>
              <w:rPr>
                <w:spacing w:val="-28"/>
                <w:position w:val="10"/>
                <w:sz w:val="10"/>
                <w:szCs w:val="10"/>
              </w:rPr>
              <w:t xml:space="preserve"> </w:t>
            </w:r>
            <w:r>
              <w:rPr>
                <w:spacing w:val="6"/>
              </w:rPr>
              <w:t>，堆高3~5m，地面长槽型矿</w:t>
            </w:r>
            <w:r>
              <w:t xml:space="preserve"> </w:t>
            </w:r>
            <w:r>
              <w:rPr>
                <w:spacing w:val="9"/>
              </w:rPr>
              <w:t>堆、底部卸料、为选矿厂半自磨机给矿，有效容积</w:t>
            </w:r>
          </w:p>
          <w:p w14:paraId="05F0E5B9">
            <w:pPr>
              <w:pStyle w:val="6"/>
              <w:spacing w:line="275" w:lineRule="exact"/>
              <w:ind w:left="127"/>
            </w:pPr>
            <w:r>
              <w:t>1500m</w:t>
            </w:r>
            <w:r>
              <w:rPr>
                <w:position w:val="10"/>
                <w:sz w:val="10"/>
                <w:szCs w:val="10"/>
              </w:rPr>
              <w:t>3</w:t>
            </w:r>
            <w:r>
              <w:t>。</w:t>
            </w:r>
          </w:p>
        </w:tc>
        <w:tc>
          <w:tcPr>
            <w:tcW w:w="943" w:type="dxa"/>
            <w:vAlign w:val="top"/>
          </w:tcPr>
          <w:p w14:paraId="1CB1B16C">
            <w:pPr>
              <w:spacing w:line="306" w:lineRule="auto"/>
              <w:rPr>
                <w:rFonts w:ascii="Arial"/>
                <w:sz w:val="21"/>
              </w:rPr>
            </w:pPr>
          </w:p>
          <w:p w14:paraId="5AFC4E71">
            <w:pPr>
              <w:pStyle w:val="6"/>
              <w:spacing w:before="65" w:line="227" w:lineRule="auto"/>
              <w:ind w:left="268"/>
            </w:pPr>
            <w:r>
              <w:rPr>
                <w:spacing w:val="3"/>
              </w:rPr>
              <w:t>依托</w:t>
            </w:r>
          </w:p>
        </w:tc>
      </w:tr>
      <w:tr w14:paraId="0D90B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68" w:type="dxa"/>
            <w:vMerge w:val="continue"/>
            <w:tcBorders>
              <w:top w:val="nil"/>
            </w:tcBorders>
            <w:vAlign w:val="top"/>
          </w:tcPr>
          <w:p w14:paraId="08550882">
            <w:pPr>
              <w:rPr>
                <w:rFonts w:ascii="Arial"/>
                <w:sz w:val="21"/>
              </w:rPr>
            </w:pPr>
          </w:p>
        </w:tc>
        <w:tc>
          <w:tcPr>
            <w:tcW w:w="1559" w:type="dxa"/>
            <w:vAlign w:val="top"/>
          </w:tcPr>
          <w:p w14:paraId="746507F9">
            <w:pPr>
              <w:pStyle w:val="6"/>
              <w:spacing w:before="79" w:line="228" w:lineRule="auto"/>
              <w:ind w:left="153"/>
            </w:pPr>
            <w:r>
              <w:rPr>
                <w:spacing w:val="8"/>
              </w:rPr>
              <w:t>选厂综合仓库</w:t>
            </w:r>
          </w:p>
        </w:tc>
        <w:tc>
          <w:tcPr>
            <w:tcW w:w="5142" w:type="dxa"/>
            <w:vAlign w:val="top"/>
          </w:tcPr>
          <w:p w14:paraId="28C43044">
            <w:pPr>
              <w:pStyle w:val="6"/>
              <w:spacing w:before="38" w:line="265" w:lineRule="exact"/>
              <w:ind w:left="1620"/>
            </w:pPr>
            <w:r>
              <w:rPr>
                <w:spacing w:val="3"/>
              </w:rPr>
              <w:t>1</w:t>
            </w:r>
            <w:r>
              <w:rPr>
                <w:spacing w:val="-34"/>
              </w:rPr>
              <w:t xml:space="preserve"> </w:t>
            </w:r>
            <w:r>
              <w:rPr>
                <w:spacing w:val="3"/>
              </w:rPr>
              <w:t>座，建筑面积</w:t>
            </w:r>
            <w:r>
              <w:rPr>
                <w:spacing w:val="-33"/>
              </w:rPr>
              <w:t xml:space="preserve"> </w:t>
            </w:r>
            <w:r>
              <w:rPr>
                <w:spacing w:val="3"/>
              </w:rPr>
              <w:t>388.8m</w:t>
            </w:r>
            <w:r>
              <w:rPr>
                <w:spacing w:val="3"/>
                <w:position w:val="10"/>
                <w:sz w:val="10"/>
                <w:szCs w:val="10"/>
              </w:rPr>
              <w:t>2</w:t>
            </w:r>
            <w:r>
              <w:rPr>
                <w:spacing w:val="3"/>
              </w:rPr>
              <w:t>。</w:t>
            </w:r>
          </w:p>
        </w:tc>
        <w:tc>
          <w:tcPr>
            <w:tcW w:w="943" w:type="dxa"/>
            <w:vAlign w:val="top"/>
          </w:tcPr>
          <w:p w14:paraId="4BE01EE3">
            <w:pPr>
              <w:pStyle w:val="6"/>
              <w:spacing w:before="79" w:line="227" w:lineRule="auto"/>
              <w:ind w:left="268"/>
            </w:pPr>
            <w:r>
              <w:rPr>
                <w:spacing w:val="3"/>
              </w:rPr>
              <w:t>依托</w:t>
            </w:r>
          </w:p>
        </w:tc>
      </w:tr>
      <w:tr w14:paraId="356D9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668" w:type="dxa"/>
            <w:vMerge w:val="restart"/>
            <w:tcBorders>
              <w:bottom w:val="nil"/>
            </w:tcBorders>
            <w:vAlign w:val="top"/>
          </w:tcPr>
          <w:p w14:paraId="33891A21">
            <w:pPr>
              <w:spacing w:line="254" w:lineRule="auto"/>
              <w:rPr>
                <w:rFonts w:ascii="Arial"/>
                <w:sz w:val="21"/>
              </w:rPr>
            </w:pPr>
          </w:p>
          <w:p w14:paraId="5EB1DCB3">
            <w:pPr>
              <w:spacing w:line="254" w:lineRule="auto"/>
              <w:rPr>
                <w:rFonts w:ascii="Arial"/>
                <w:sz w:val="21"/>
              </w:rPr>
            </w:pPr>
          </w:p>
          <w:p w14:paraId="317808F6">
            <w:pPr>
              <w:spacing w:line="254" w:lineRule="auto"/>
              <w:rPr>
                <w:rFonts w:ascii="Arial"/>
                <w:sz w:val="21"/>
              </w:rPr>
            </w:pPr>
          </w:p>
          <w:p w14:paraId="57763191">
            <w:pPr>
              <w:spacing w:line="254" w:lineRule="auto"/>
              <w:rPr>
                <w:rFonts w:ascii="Arial"/>
                <w:sz w:val="21"/>
              </w:rPr>
            </w:pPr>
          </w:p>
          <w:p w14:paraId="6C316815">
            <w:pPr>
              <w:spacing w:line="254" w:lineRule="auto"/>
              <w:rPr>
                <w:rFonts w:ascii="Arial"/>
                <w:sz w:val="21"/>
              </w:rPr>
            </w:pPr>
          </w:p>
          <w:p w14:paraId="0C8AC481">
            <w:pPr>
              <w:spacing w:line="254" w:lineRule="auto"/>
              <w:rPr>
                <w:rFonts w:ascii="Arial"/>
                <w:sz w:val="21"/>
              </w:rPr>
            </w:pPr>
          </w:p>
          <w:p w14:paraId="300D5E8B">
            <w:pPr>
              <w:spacing w:line="254" w:lineRule="auto"/>
              <w:rPr>
                <w:rFonts w:ascii="Arial"/>
                <w:sz w:val="21"/>
              </w:rPr>
            </w:pPr>
          </w:p>
          <w:p w14:paraId="7A06D714">
            <w:pPr>
              <w:spacing w:line="254" w:lineRule="auto"/>
              <w:rPr>
                <w:rFonts w:ascii="Arial"/>
                <w:sz w:val="21"/>
              </w:rPr>
            </w:pPr>
          </w:p>
          <w:p w14:paraId="4EEFDFCF">
            <w:pPr>
              <w:spacing w:line="254" w:lineRule="auto"/>
              <w:rPr>
                <w:rFonts w:ascii="Arial"/>
                <w:sz w:val="21"/>
              </w:rPr>
            </w:pPr>
          </w:p>
          <w:p w14:paraId="0615DDBA">
            <w:pPr>
              <w:spacing w:line="255" w:lineRule="auto"/>
              <w:rPr>
                <w:rFonts w:ascii="Arial"/>
                <w:sz w:val="21"/>
              </w:rPr>
            </w:pPr>
          </w:p>
          <w:p w14:paraId="2FFE80E0">
            <w:pPr>
              <w:spacing w:line="255" w:lineRule="auto"/>
              <w:rPr>
                <w:rFonts w:ascii="Arial"/>
                <w:sz w:val="21"/>
              </w:rPr>
            </w:pPr>
          </w:p>
          <w:p w14:paraId="5DE75D3E">
            <w:pPr>
              <w:pStyle w:val="6"/>
              <w:spacing w:before="65" w:line="228" w:lineRule="auto"/>
              <w:ind w:left="128"/>
            </w:pPr>
            <w:r>
              <w:rPr>
                <w:spacing w:val="4"/>
              </w:rPr>
              <w:t>环保</w:t>
            </w:r>
          </w:p>
          <w:p w14:paraId="7AC26FB5">
            <w:pPr>
              <w:pStyle w:val="6"/>
              <w:spacing w:before="24" w:line="228" w:lineRule="auto"/>
              <w:ind w:left="131"/>
            </w:pPr>
            <w:r>
              <w:rPr>
                <w:spacing w:val="3"/>
              </w:rPr>
              <w:t>工程</w:t>
            </w:r>
          </w:p>
        </w:tc>
        <w:tc>
          <w:tcPr>
            <w:tcW w:w="1559" w:type="dxa"/>
            <w:vAlign w:val="top"/>
          </w:tcPr>
          <w:p w14:paraId="04DD5F11">
            <w:pPr>
              <w:spacing w:line="420" w:lineRule="auto"/>
              <w:rPr>
                <w:rFonts w:ascii="Arial"/>
                <w:sz w:val="21"/>
              </w:rPr>
            </w:pPr>
          </w:p>
          <w:p w14:paraId="5A28C46F">
            <w:pPr>
              <w:pStyle w:val="6"/>
              <w:spacing w:before="65" w:line="228" w:lineRule="auto"/>
              <w:ind w:left="153"/>
            </w:pPr>
            <w:r>
              <w:rPr>
                <w:spacing w:val="8"/>
              </w:rPr>
              <w:t>废气治理工程</w:t>
            </w:r>
          </w:p>
        </w:tc>
        <w:tc>
          <w:tcPr>
            <w:tcW w:w="5142" w:type="dxa"/>
            <w:vAlign w:val="top"/>
          </w:tcPr>
          <w:p w14:paraId="7F7C1FD2">
            <w:pPr>
              <w:pStyle w:val="6"/>
              <w:spacing w:before="54" w:line="285" w:lineRule="auto"/>
              <w:ind w:left="114" w:right="203" w:firstLine="418"/>
            </w:pPr>
            <w:r>
              <w:rPr>
                <w:spacing w:val="9"/>
              </w:rPr>
              <w:t>粗碎车间和中间堆场粉尘集中收集后通过滤筒除</w:t>
            </w:r>
            <w:r>
              <w:rPr>
                <w:spacing w:val="10"/>
              </w:rPr>
              <w:t xml:space="preserve"> </w:t>
            </w:r>
            <w:r>
              <w:rPr>
                <w:spacing w:val="6"/>
              </w:rPr>
              <w:t>尘器净化，处置后的废气通过</w:t>
            </w:r>
            <w:r>
              <w:rPr>
                <w:spacing w:val="-8"/>
              </w:rPr>
              <w:t xml:space="preserve"> </w:t>
            </w:r>
            <w:r>
              <w:rPr>
                <w:spacing w:val="6"/>
              </w:rPr>
              <w:t>15m</w:t>
            </w:r>
            <w:r>
              <w:rPr>
                <w:spacing w:val="-32"/>
              </w:rPr>
              <w:t xml:space="preserve"> </w:t>
            </w:r>
            <w:r>
              <w:rPr>
                <w:spacing w:val="6"/>
              </w:rPr>
              <w:t>高排气筒排放。</w:t>
            </w:r>
          </w:p>
          <w:p w14:paraId="0A673DD7">
            <w:pPr>
              <w:pStyle w:val="6"/>
              <w:spacing w:before="1" w:line="232" w:lineRule="auto"/>
              <w:ind w:left="112" w:right="203" w:firstLine="419"/>
            </w:pPr>
            <w:r>
              <w:rPr>
                <w:spacing w:val="7"/>
              </w:rPr>
              <w:t>在转运站及中间堆场下料点各设置</w:t>
            </w:r>
            <w:r>
              <w:rPr>
                <w:spacing w:val="-10"/>
              </w:rPr>
              <w:t xml:space="preserve"> </w:t>
            </w:r>
            <w:r>
              <w:rPr>
                <w:spacing w:val="7"/>
              </w:rPr>
              <w:t>1</w:t>
            </w:r>
            <w:r>
              <w:rPr>
                <w:spacing w:val="-37"/>
              </w:rPr>
              <w:t xml:space="preserve"> </w:t>
            </w:r>
            <w:r>
              <w:rPr>
                <w:spacing w:val="7"/>
              </w:rPr>
              <w:t>套超声微雾</w:t>
            </w:r>
            <w:r>
              <w:t xml:space="preserve"> </w:t>
            </w:r>
            <w:r>
              <w:rPr>
                <w:spacing w:val="7"/>
              </w:rPr>
              <w:t>抑尘系统</w:t>
            </w:r>
          </w:p>
        </w:tc>
        <w:tc>
          <w:tcPr>
            <w:tcW w:w="943" w:type="dxa"/>
            <w:vAlign w:val="top"/>
          </w:tcPr>
          <w:p w14:paraId="6E8F8DFF">
            <w:pPr>
              <w:spacing w:line="419" w:lineRule="auto"/>
              <w:rPr>
                <w:rFonts w:ascii="Arial"/>
                <w:sz w:val="21"/>
              </w:rPr>
            </w:pPr>
          </w:p>
          <w:p w14:paraId="61FA55F3">
            <w:pPr>
              <w:pStyle w:val="6"/>
              <w:spacing w:before="65" w:line="227" w:lineRule="auto"/>
              <w:ind w:left="268"/>
            </w:pPr>
            <w:r>
              <w:rPr>
                <w:spacing w:val="3"/>
              </w:rPr>
              <w:t>依托</w:t>
            </w:r>
          </w:p>
        </w:tc>
      </w:tr>
      <w:tr w14:paraId="23DA1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668" w:type="dxa"/>
            <w:vMerge w:val="continue"/>
            <w:tcBorders>
              <w:top w:val="nil"/>
              <w:bottom w:val="nil"/>
            </w:tcBorders>
            <w:vAlign w:val="top"/>
          </w:tcPr>
          <w:p w14:paraId="6C4F794B">
            <w:pPr>
              <w:rPr>
                <w:rFonts w:ascii="Arial"/>
                <w:sz w:val="21"/>
              </w:rPr>
            </w:pPr>
          </w:p>
        </w:tc>
        <w:tc>
          <w:tcPr>
            <w:tcW w:w="1559" w:type="dxa"/>
            <w:vAlign w:val="top"/>
          </w:tcPr>
          <w:p w14:paraId="553C1CCE">
            <w:pPr>
              <w:spacing w:line="252" w:lineRule="auto"/>
              <w:rPr>
                <w:rFonts w:ascii="Arial"/>
                <w:sz w:val="21"/>
              </w:rPr>
            </w:pPr>
          </w:p>
          <w:p w14:paraId="506C9F83">
            <w:pPr>
              <w:spacing w:line="252" w:lineRule="auto"/>
              <w:rPr>
                <w:rFonts w:ascii="Arial"/>
                <w:sz w:val="21"/>
              </w:rPr>
            </w:pPr>
          </w:p>
          <w:p w14:paraId="74FB2608">
            <w:pPr>
              <w:spacing w:line="252" w:lineRule="auto"/>
              <w:rPr>
                <w:rFonts w:ascii="Arial"/>
                <w:sz w:val="21"/>
              </w:rPr>
            </w:pPr>
          </w:p>
          <w:p w14:paraId="63B18A19">
            <w:pPr>
              <w:spacing w:line="252" w:lineRule="auto"/>
              <w:rPr>
                <w:rFonts w:ascii="Arial"/>
                <w:sz w:val="21"/>
              </w:rPr>
            </w:pPr>
          </w:p>
          <w:p w14:paraId="18FC5395">
            <w:pPr>
              <w:spacing w:line="252" w:lineRule="auto"/>
              <w:rPr>
                <w:rFonts w:ascii="Arial"/>
                <w:sz w:val="21"/>
              </w:rPr>
            </w:pPr>
          </w:p>
          <w:p w14:paraId="3F8E053A">
            <w:pPr>
              <w:pStyle w:val="6"/>
              <w:spacing w:before="65" w:line="228" w:lineRule="auto"/>
              <w:ind w:left="153"/>
            </w:pPr>
            <w:r>
              <w:rPr>
                <w:spacing w:val="8"/>
              </w:rPr>
              <w:t>废水治理工程</w:t>
            </w:r>
          </w:p>
        </w:tc>
        <w:tc>
          <w:tcPr>
            <w:tcW w:w="5142" w:type="dxa"/>
            <w:vAlign w:val="top"/>
          </w:tcPr>
          <w:p w14:paraId="3643CB5F">
            <w:pPr>
              <w:pStyle w:val="6"/>
              <w:spacing w:before="56" w:line="294" w:lineRule="auto"/>
              <w:ind w:left="113" w:right="103" w:firstLine="418"/>
              <w:jc w:val="both"/>
            </w:pPr>
            <w:r>
              <w:rPr>
                <w:spacing w:val="14"/>
              </w:rPr>
              <w:t>选厂生产废水排入尾矿库内，设置一套尾矿回水</w:t>
            </w:r>
            <w:r>
              <w:rPr>
                <w:spacing w:val="7"/>
              </w:rPr>
              <w:t xml:space="preserve"> </w:t>
            </w:r>
            <w:r>
              <w:rPr>
                <w:spacing w:val="39"/>
              </w:rPr>
              <w:t>处理系统用于处理全厂尾矿回水</w:t>
            </w:r>
            <w:r>
              <w:rPr>
                <w:spacing w:val="-20"/>
              </w:rPr>
              <w:t xml:space="preserve"> </w:t>
            </w:r>
            <w:r>
              <w:rPr>
                <w:spacing w:val="39"/>
              </w:rPr>
              <w:t>，</w:t>
            </w:r>
            <w:r>
              <w:rPr>
                <w:spacing w:val="-43"/>
              </w:rPr>
              <w:t xml:space="preserve"> </w:t>
            </w:r>
            <w:r>
              <w:rPr>
                <w:spacing w:val="39"/>
              </w:rPr>
              <w:t>处理规模为</w:t>
            </w:r>
            <w:r>
              <w:t xml:space="preserve"> </w:t>
            </w:r>
            <w:r>
              <w:rPr>
                <w:spacing w:val="6"/>
              </w:rPr>
              <w:t>9000m</w:t>
            </w:r>
            <w:r>
              <w:rPr>
                <w:spacing w:val="6"/>
                <w:position w:val="10"/>
                <w:sz w:val="10"/>
                <w:szCs w:val="10"/>
              </w:rPr>
              <w:t>3</w:t>
            </w:r>
            <w:r>
              <w:rPr>
                <w:spacing w:val="6"/>
              </w:rPr>
              <w:t>/d，采用混凝沉淀法，经处理后用泵扬送至选厂</w:t>
            </w:r>
            <w:r>
              <w:t xml:space="preserve"> </w:t>
            </w:r>
            <w:r>
              <w:rPr>
                <w:spacing w:val="13"/>
              </w:rPr>
              <w:t>高位回用水池，通过厂区生产回水管网送至生产回水</w:t>
            </w:r>
            <w:r>
              <w:rPr>
                <w:spacing w:val="18"/>
              </w:rPr>
              <w:t xml:space="preserve"> </w:t>
            </w:r>
            <w:r>
              <w:rPr>
                <w:spacing w:val="7"/>
              </w:rPr>
              <w:t>用水点，不外排。</w:t>
            </w:r>
          </w:p>
          <w:p w14:paraId="70F9887E">
            <w:pPr>
              <w:pStyle w:val="6"/>
              <w:spacing w:before="1" w:line="280" w:lineRule="auto"/>
              <w:ind w:left="114" w:right="50" w:firstLine="416"/>
              <w:jc w:val="both"/>
            </w:pPr>
            <w:r>
              <w:rPr>
                <w:spacing w:val="14"/>
              </w:rPr>
              <w:t>选厂设置一套污水处理设施用于处理全厂生活污</w:t>
            </w:r>
            <w:r>
              <w:rPr>
                <w:spacing w:val="5"/>
              </w:rPr>
              <w:t xml:space="preserve"> </w:t>
            </w:r>
            <w:r>
              <w:rPr>
                <w:spacing w:val="10"/>
              </w:rPr>
              <w:t>水，设计处理能力为</w:t>
            </w:r>
            <w:r>
              <w:rPr>
                <w:spacing w:val="-27"/>
              </w:rPr>
              <w:t xml:space="preserve"> </w:t>
            </w:r>
            <w:r>
              <w:rPr>
                <w:spacing w:val="10"/>
              </w:rPr>
              <w:t>6m</w:t>
            </w:r>
            <w:r>
              <w:rPr>
                <w:spacing w:val="10"/>
                <w:position w:val="10"/>
                <w:sz w:val="10"/>
                <w:szCs w:val="10"/>
              </w:rPr>
              <w:t>3</w:t>
            </w:r>
            <w:r>
              <w:rPr>
                <w:spacing w:val="10"/>
              </w:rPr>
              <w:t>/h</w:t>
            </w:r>
            <w:r>
              <w:rPr>
                <w:spacing w:val="37"/>
              </w:rPr>
              <w:t xml:space="preserve"> </w:t>
            </w:r>
            <w:r>
              <w:rPr>
                <w:spacing w:val="10"/>
              </w:rPr>
              <w:t>，采用</w:t>
            </w:r>
            <w:r>
              <w:rPr>
                <w:spacing w:val="-38"/>
              </w:rPr>
              <w:t xml:space="preserve"> </w:t>
            </w:r>
            <w:r>
              <w:t>MBR</w:t>
            </w:r>
            <w:r>
              <w:rPr>
                <w:spacing w:val="-37"/>
              </w:rPr>
              <w:t xml:space="preserve"> </w:t>
            </w:r>
            <w:r>
              <w:rPr>
                <w:spacing w:val="10"/>
              </w:rPr>
              <w:t>膜生物反应器</w:t>
            </w:r>
            <w:r>
              <w:t xml:space="preserve"> </w:t>
            </w:r>
            <w:r>
              <w:rPr>
                <w:spacing w:val="7"/>
              </w:rPr>
              <w:t>工艺，生活污水经处理达标后，回用于矿区绿化用水，</w:t>
            </w:r>
            <w:r>
              <w:rPr>
                <w:spacing w:val="2"/>
              </w:rPr>
              <w:t xml:space="preserve"> </w:t>
            </w:r>
            <w:r>
              <w:rPr>
                <w:spacing w:val="4"/>
              </w:rPr>
              <w:t>不外排。</w:t>
            </w:r>
          </w:p>
        </w:tc>
        <w:tc>
          <w:tcPr>
            <w:tcW w:w="943" w:type="dxa"/>
            <w:vAlign w:val="top"/>
          </w:tcPr>
          <w:p w14:paraId="0640E521">
            <w:pPr>
              <w:spacing w:line="252" w:lineRule="auto"/>
              <w:rPr>
                <w:rFonts w:ascii="Arial"/>
                <w:sz w:val="21"/>
              </w:rPr>
            </w:pPr>
          </w:p>
          <w:p w14:paraId="58A24482">
            <w:pPr>
              <w:spacing w:line="252" w:lineRule="auto"/>
              <w:rPr>
                <w:rFonts w:ascii="Arial"/>
                <w:sz w:val="21"/>
              </w:rPr>
            </w:pPr>
          </w:p>
          <w:p w14:paraId="0675F3ED">
            <w:pPr>
              <w:spacing w:line="252" w:lineRule="auto"/>
              <w:rPr>
                <w:rFonts w:ascii="Arial"/>
                <w:sz w:val="21"/>
              </w:rPr>
            </w:pPr>
          </w:p>
          <w:p w14:paraId="23976493">
            <w:pPr>
              <w:spacing w:line="252" w:lineRule="auto"/>
              <w:rPr>
                <w:rFonts w:ascii="Arial"/>
                <w:sz w:val="21"/>
              </w:rPr>
            </w:pPr>
          </w:p>
          <w:p w14:paraId="55ABC628">
            <w:pPr>
              <w:spacing w:line="252" w:lineRule="auto"/>
              <w:rPr>
                <w:rFonts w:ascii="Arial"/>
                <w:sz w:val="21"/>
              </w:rPr>
            </w:pPr>
          </w:p>
          <w:p w14:paraId="5118B4A6">
            <w:pPr>
              <w:pStyle w:val="6"/>
              <w:spacing w:before="65" w:line="227" w:lineRule="auto"/>
              <w:ind w:left="268"/>
            </w:pPr>
            <w:r>
              <w:rPr>
                <w:spacing w:val="3"/>
              </w:rPr>
              <w:t>依托</w:t>
            </w:r>
          </w:p>
        </w:tc>
      </w:tr>
      <w:tr w14:paraId="6E307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8" w:type="dxa"/>
            <w:vMerge w:val="continue"/>
            <w:tcBorders>
              <w:top w:val="nil"/>
              <w:bottom w:val="nil"/>
            </w:tcBorders>
            <w:vAlign w:val="top"/>
          </w:tcPr>
          <w:p w14:paraId="2CC28D4D">
            <w:pPr>
              <w:rPr>
                <w:rFonts w:ascii="Arial"/>
                <w:sz w:val="21"/>
              </w:rPr>
            </w:pPr>
          </w:p>
        </w:tc>
        <w:tc>
          <w:tcPr>
            <w:tcW w:w="1559" w:type="dxa"/>
            <w:vAlign w:val="top"/>
          </w:tcPr>
          <w:p w14:paraId="4EBCCD9E">
            <w:pPr>
              <w:pStyle w:val="6"/>
              <w:spacing w:before="35" w:line="228" w:lineRule="auto"/>
              <w:ind w:left="154"/>
            </w:pPr>
            <w:r>
              <w:rPr>
                <w:spacing w:val="8"/>
              </w:rPr>
              <w:t>地下水污染防</w:t>
            </w:r>
          </w:p>
          <w:p w14:paraId="54033767">
            <w:pPr>
              <w:pStyle w:val="6"/>
              <w:spacing w:before="24" w:line="214" w:lineRule="auto"/>
              <w:ind w:left="682"/>
            </w:pPr>
            <w:r>
              <w:t>治</w:t>
            </w:r>
          </w:p>
        </w:tc>
        <w:tc>
          <w:tcPr>
            <w:tcW w:w="5142" w:type="dxa"/>
            <w:vAlign w:val="top"/>
          </w:tcPr>
          <w:p w14:paraId="5434FBE1">
            <w:pPr>
              <w:pStyle w:val="6"/>
              <w:spacing w:before="57" w:line="228" w:lineRule="auto"/>
              <w:ind w:left="114"/>
            </w:pPr>
            <w:r>
              <w:rPr>
                <w:spacing w:val="7"/>
              </w:rPr>
              <w:t>分区防渗，设置地下水污染监控井</w:t>
            </w:r>
            <w:r>
              <w:rPr>
                <w:spacing w:val="-25"/>
              </w:rPr>
              <w:t xml:space="preserve"> </w:t>
            </w:r>
            <w:r>
              <w:rPr>
                <w:spacing w:val="7"/>
              </w:rPr>
              <w:t>3</w:t>
            </w:r>
            <w:r>
              <w:rPr>
                <w:spacing w:val="-36"/>
              </w:rPr>
              <w:t xml:space="preserve"> </w:t>
            </w:r>
            <w:r>
              <w:rPr>
                <w:spacing w:val="7"/>
              </w:rPr>
              <w:t>座</w:t>
            </w:r>
          </w:p>
        </w:tc>
        <w:tc>
          <w:tcPr>
            <w:tcW w:w="943" w:type="dxa"/>
            <w:vAlign w:val="top"/>
          </w:tcPr>
          <w:p w14:paraId="4A3F94E8">
            <w:pPr>
              <w:pStyle w:val="6"/>
              <w:spacing w:before="170" w:line="227" w:lineRule="auto"/>
              <w:ind w:left="268"/>
            </w:pPr>
            <w:r>
              <w:rPr>
                <w:spacing w:val="3"/>
              </w:rPr>
              <w:t>依托</w:t>
            </w:r>
          </w:p>
        </w:tc>
      </w:tr>
      <w:tr w14:paraId="05502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668" w:type="dxa"/>
            <w:vMerge w:val="continue"/>
            <w:tcBorders>
              <w:top w:val="nil"/>
              <w:bottom w:val="nil"/>
            </w:tcBorders>
            <w:vAlign w:val="top"/>
          </w:tcPr>
          <w:p w14:paraId="15BE23C2">
            <w:pPr>
              <w:rPr>
                <w:rFonts w:ascii="Arial"/>
                <w:sz w:val="21"/>
              </w:rPr>
            </w:pPr>
          </w:p>
        </w:tc>
        <w:tc>
          <w:tcPr>
            <w:tcW w:w="1559" w:type="dxa"/>
            <w:vAlign w:val="top"/>
          </w:tcPr>
          <w:p w14:paraId="2370D117">
            <w:pPr>
              <w:pStyle w:val="6"/>
              <w:spacing w:before="219" w:line="228" w:lineRule="auto"/>
              <w:ind w:left="381"/>
            </w:pPr>
            <w:r>
              <w:rPr>
                <w:spacing w:val="2"/>
              </w:rPr>
              <w:t>固废治理</w:t>
            </w:r>
          </w:p>
        </w:tc>
        <w:tc>
          <w:tcPr>
            <w:tcW w:w="5142" w:type="dxa"/>
            <w:vAlign w:val="top"/>
          </w:tcPr>
          <w:p w14:paraId="7000806B">
            <w:pPr>
              <w:pStyle w:val="6"/>
              <w:spacing w:before="43" w:line="272" w:lineRule="auto"/>
              <w:ind w:left="115" w:right="105" w:hanging="1"/>
            </w:pPr>
            <w:r>
              <w:rPr>
                <w:spacing w:val="9"/>
              </w:rPr>
              <w:t>危废暂存间</w:t>
            </w:r>
            <w:r>
              <w:rPr>
                <w:spacing w:val="-19"/>
              </w:rPr>
              <w:t xml:space="preserve"> </w:t>
            </w:r>
            <w:r>
              <w:rPr>
                <w:spacing w:val="9"/>
              </w:rPr>
              <w:t>1</w:t>
            </w:r>
            <w:r>
              <w:rPr>
                <w:spacing w:val="-31"/>
              </w:rPr>
              <w:t xml:space="preserve"> </w:t>
            </w:r>
            <w:r>
              <w:rPr>
                <w:spacing w:val="9"/>
              </w:rPr>
              <w:t>座，面积</w:t>
            </w:r>
            <w:r>
              <w:rPr>
                <w:spacing w:val="-32"/>
              </w:rPr>
              <w:t xml:space="preserve"> </w:t>
            </w:r>
            <w:r>
              <w:rPr>
                <w:spacing w:val="9"/>
              </w:rPr>
              <w:t>20m</w:t>
            </w:r>
            <w:r>
              <w:rPr>
                <w:spacing w:val="9"/>
                <w:position w:val="10"/>
                <w:sz w:val="10"/>
                <w:szCs w:val="10"/>
              </w:rPr>
              <w:t>2</w:t>
            </w:r>
            <w:r>
              <w:rPr>
                <w:spacing w:val="-23"/>
                <w:position w:val="10"/>
                <w:sz w:val="10"/>
                <w:szCs w:val="10"/>
              </w:rPr>
              <w:t xml:space="preserve"> </w:t>
            </w:r>
            <w:r>
              <w:rPr>
                <w:spacing w:val="9"/>
              </w:rPr>
              <w:t>，用于暂存废</w:t>
            </w:r>
            <w:r>
              <w:rPr>
                <w:spacing w:val="8"/>
              </w:rPr>
              <w:t>机油，渗透</w:t>
            </w:r>
            <w:r>
              <w:t xml:space="preserve"> </w:t>
            </w:r>
            <w:r>
              <w:rPr>
                <w:spacing w:val="4"/>
              </w:rPr>
              <w:t>系数小于</w:t>
            </w:r>
            <w:r>
              <w:rPr>
                <w:spacing w:val="-17"/>
              </w:rPr>
              <w:t xml:space="preserve"> </w:t>
            </w:r>
            <w:r>
              <w:rPr>
                <w:spacing w:val="4"/>
              </w:rPr>
              <w:t>1.0×10</w:t>
            </w:r>
            <w:r>
              <w:rPr>
                <w:spacing w:val="4"/>
                <w:position w:val="10"/>
                <w:sz w:val="10"/>
                <w:szCs w:val="10"/>
              </w:rPr>
              <w:t>-10</w:t>
            </w:r>
            <w:r>
              <w:t>cm</w:t>
            </w:r>
            <w:r>
              <w:rPr>
                <w:spacing w:val="4"/>
              </w:rPr>
              <w:t>/s</w:t>
            </w:r>
          </w:p>
        </w:tc>
        <w:tc>
          <w:tcPr>
            <w:tcW w:w="943" w:type="dxa"/>
            <w:vAlign w:val="top"/>
          </w:tcPr>
          <w:p w14:paraId="1FAA3A6B">
            <w:pPr>
              <w:pStyle w:val="6"/>
              <w:spacing w:before="218" w:line="227" w:lineRule="auto"/>
              <w:ind w:left="268"/>
            </w:pPr>
            <w:r>
              <w:rPr>
                <w:spacing w:val="3"/>
              </w:rPr>
              <w:t>依托</w:t>
            </w:r>
          </w:p>
        </w:tc>
      </w:tr>
      <w:tr w14:paraId="5F84E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668" w:type="dxa"/>
            <w:vMerge w:val="continue"/>
            <w:tcBorders>
              <w:top w:val="nil"/>
            </w:tcBorders>
            <w:vAlign w:val="top"/>
          </w:tcPr>
          <w:p w14:paraId="2B034414">
            <w:pPr>
              <w:rPr>
                <w:rFonts w:ascii="Arial"/>
                <w:sz w:val="21"/>
              </w:rPr>
            </w:pPr>
          </w:p>
        </w:tc>
        <w:tc>
          <w:tcPr>
            <w:tcW w:w="1559" w:type="dxa"/>
            <w:vAlign w:val="top"/>
          </w:tcPr>
          <w:p w14:paraId="6C261155">
            <w:pPr>
              <w:spacing w:line="312" w:lineRule="auto"/>
              <w:rPr>
                <w:rFonts w:ascii="Arial"/>
                <w:sz w:val="21"/>
              </w:rPr>
            </w:pPr>
          </w:p>
          <w:p w14:paraId="6411888D">
            <w:pPr>
              <w:pStyle w:val="6"/>
              <w:spacing w:before="65" w:line="228" w:lineRule="auto"/>
              <w:ind w:left="373"/>
            </w:pPr>
            <w:r>
              <w:rPr>
                <w:spacing w:val="4"/>
              </w:rPr>
              <w:t>噪声控制</w:t>
            </w:r>
          </w:p>
        </w:tc>
        <w:tc>
          <w:tcPr>
            <w:tcW w:w="5142" w:type="dxa"/>
            <w:vAlign w:val="top"/>
          </w:tcPr>
          <w:p w14:paraId="1F34AF1A">
            <w:pPr>
              <w:pStyle w:val="6"/>
              <w:spacing w:before="58" w:line="276" w:lineRule="auto"/>
              <w:ind w:left="114" w:right="203" w:hanging="1"/>
              <w:jc w:val="both"/>
            </w:pPr>
            <w:r>
              <w:rPr>
                <w:spacing w:val="9"/>
              </w:rPr>
              <w:t>新增设备采取基础减振、隔声等措施，对空气动力性</w:t>
            </w:r>
            <w:r>
              <w:rPr>
                <w:spacing w:val="11"/>
              </w:rPr>
              <w:t xml:space="preserve"> </w:t>
            </w:r>
            <w:r>
              <w:rPr>
                <w:spacing w:val="9"/>
              </w:rPr>
              <w:t>的噪声设备加装消声器，风机及水泵的接头应采用软</w:t>
            </w:r>
            <w:r>
              <w:rPr>
                <w:spacing w:val="10"/>
              </w:rPr>
              <w:t xml:space="preserve"> </w:t>
            </w:r>
            <w:r>
              <w:rPr>
                <w:spacing w:val="6"/>
              </w:rPr>
              <w:t>性材料</w:t>
            </w:r>
          </w:p>
        </w:tc>
        <w:tc>
          <w:tcPr>
            <w:tcW w:w="943" w:type="dxa"/>
            <w:vAlign w:val="top"/>
          </w:tcPr>
          <w:p w14:paraId="09133531">
            <w:pPr>
              <w:pStyle w:val="6"/>
              <w:spacing w:before="218" w:line="228" w:lineRule="auto"/>
              <w:ind w:left="164"/>
            </w:pPr>
            <w:r>
              <w:rPr>
                <w:spacing w:val="6"/>
              </w:rPr>
              <w:t>部分新</w:t>
            </w:r>
          </w:p>
          <w:p w14:paraId="1309E705">
            <w:pPr>
              <w:pStyle w:val="6"/>
              <w:spacing w:before="72" w:line="229" w:lineRule="auto"/>
              <w:ind w:left="375"/>
            </w:pPr>
            <w:r>
              <w:t>建</w:t>
            </w:r>
          </w:p>
        </w:tc>
      </w:tr>
    </w:tbl>
    <w:p w14:paraId="076EBA8C">
      <w:pPr>
        <w:pStyle w:val="2"/>
      </w:pPr>
    </w:p>
    <w:p w14:paraId="38BC0752">
      <w:pPr>
        <w:sectPr>
          <w:footerReference r:id="rId94" w:type="default"/>
          <w:pgSz w:w="11906" w:h="16839"/>
          <w:pgMar w:top="1208" w:right="1785" w:bottom="1358" w:left="1785" w:header="825" w:footer="1195" w:gutter="0"/>
          <w:cols w:space="720" w:num="1"/>
        </w:sectPr>
      </w:pPr>
    </w:p>
    <w:p w14:paraId="7AC9425F">
      <w:pPr>
        <w:pStyle w:val="2"/>
        <w:spacing w:line="272" w:lineRule="auto"/>
      </w:pPr>
    </w:p>
    <w:p w14:paraId="7E6F3CC0">
      <w:pPr>
        <w:pStyle w:val="2"/>
        <w:spacing w:line="272" w:lineRule="auto"/>
      </w:pPr>
    </w:p>
    <w:p w14:paraId="72D2286A">
      <w:pPr>
        <w:spacing w:before="78" w:line="211" w:lineRule="auto"/>
        <w:ind w:left="517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4.3-2        </w:t>
      </w:r>
      <w:r>
        <w:rPr>
          <w:rFonts w:ascii="宋体" w:hAnsi="宋体" w:eastAsia="宋体" w:cs="宋体"/>
          <w:spacing w:val="-1"/>
          <w:sz w:val="24"/>
          <w:szCs w:val="24"/>
        </w:rPr>
        <w:t>技改前后项目组成一览表</w:t>
      </w: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897"/>
        <w:gridCol w:w="3970"/>
        <w:gridCol w:w="4057"/>
        <w:gridCol w:w="4057"/>
        <w:gridCol w:w="755"/>
      </w:tblGrid>
      <w:tr w14:paraId="498BA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51" w:type="dxa"/>
            <w:textDirection w:val="tbRlV"/>
            <w:vAlign w:val="top"/>
          </w:tcPr>
          <w:p w14:paraId="2169BCF7">
            <w:pPr>
              <w:pStyle w:val="6"/>
              <w:spacing w:before="168" w:line="204" w:lineRule="auto"/>
              <w:ind w:left="57"/>
            </w:pPr>
            <w:r>
              <w:rPr>
                <w:spacing w:val="6"/>
              </w:rPr>
              <w:t xml:space="preserve">项 </w:t>
            </w:r>
            <w:r>
              <w:rPr>
                <w:spacing w:val="6"/>
                <w:position w:val="1"/>
              </w:rPr>
              <w:t>目</w:t>
            </w:r>
          </w:p>
        </w:tc>
        <w:tc>
          <w:tcPr>
            <w:tcW w:w="897" w:type="dxa"/>
            <w:vAlign w:val="top"/>
          </w:tcPr>
          <w:p w14:paraId="6EBD9CC1">
            <w:pPr>
              <w:pStyle w:val="6"/>
              <w:spacing w:before="56" w:line="228" w:lineRule="auto"/>
              <w:ind w:left="138"/>
            </w:pPr>
            <w:r>
              <w:rPr>
                <w:spacing w:val="6"/>
              </w:rPr>
              <w:t>建设内</w:t>
            </w:r>
          </w:p>
          <w:p w14:paraId="2639E8C0">
            <w:pPr>
              <w:pStyle w:val="6"/>
              <w:spacing w:before="65" w:line="228" w:lineRule="auto"/>
              <w:ind w:left="347"/>
            </w:pPr>
            <w:r>
              <w:t>容</w:t>
            </w:r>
          </w:p>
        </w:tc>
        <w:tc>
          <w:tcPr>
            <w:tcW w:w="3970" w:type="dxa"/>
            <w:vAlign w:val="top"/>
          </w:tcPr>
          <w:p w14:paraId="30D8E0AD">
            <w:pPr>
              <w:pStyle w:val="6"/>
              <w:spacing w:before="213" w:line="228" w:lineRule="auto"/>
              <w:ind w:left="1148"/>
            </w:pPr>
            <w:r>
              <w:rPr>
                <w:spacing w:val="8"/>
              </w:rPr>
              <w:t>现有工程建设情况</w:t>
            </w:r>
          </w:p>
        </w:tc>
        <w:tc>
          <w:tcPr>
            <w:tcW w:w="4057" w:type="dxa"/>
            <w:vAlign w:val="top"/>
          </w:tcPr>
          <w:p w14:paraId="692E9F08">
            <w:pPr>
              <w:pStyle w:val="6"/>
              <w:spacing w:before="212" w:line="228" w:lineRule="auto"/>
              <w:ind w:left="1612"/>
            </w:pPr>
            <w:r>
              <w:rPr>
                <w:spacing w:val="7"/>
              </w:rPr>
              <w:t>技改工程</w:t>
            </w:r>
          </w:p>
        </w:tc>
        <w:tc>
          <w:tcPr>
            <w:tcW w:w="4057" w:type="dxa"/>
            <w:vAlign w:val="top"/>
          </w:tcPr>
          <w:p w14:paraId="5FE69925">
            <w:pPr>
              <w:pStyle w:val="6"/>
              <w:spacing w:before="212" w:line="228" w:lineRule="auto"/>
              <w:ind w:left="671"/>
            </w:pPr>
            <w:r>
              <w:rPr>
                <w:spacing w:val="9"/>
              </w:rPr>
              <w:t>技改工程完成后整体建设情况</w:t>
            </w:r>
          </w:p>
        </w:tc>
        <w:tc>
          <w:tcPr>
            <w:tcW w:w="755" w:type="dxa"/>
            <w:vAlign w:val="top"/>
          </w:tcPr>
          <w:p w14:paraId="2D4BF3D1">
            <w:pPr>
              <w:pStyle w:val="6"/>
              <w:spacing w:before="213" w:line="229" w:lineRule="auto"/>
              <w:ind w:left="175"/>
            </w:pPr>
            <w:r>
              <w:rPr>
                <w:spacing w:val="3"/>
              </w:rPr>
              <w:t>备注</w:t>
            </w:r>
          </w:p>
        </w:tc>
      </w:tr>
      <w:tr w14:paraId="71AB9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1" w:type="dxa"/>
            <w:vMerge w:val="restart"/>
            <w:tcBorders>
              <w:bottom w:val="nil"/>
            </w:tcBorders>
            <w:textDirection w:val="tbRlV"/>
            <w:vAlign w:val="top"/>
          </w:tcPr>
          <w:p w14:paraId="3362A09F">
            <w:pPr>
              <w:pStyle w:val="6"/>
              <w:spacing w:before="169" w:line="217" w:lineRule="auto"/>
              <w:ind w:left="2879"/>
            </w:pPr>
            <w:r>
              <w:rPr>
                <w:spacing w:val="6"/>
              </w:rPr>
              <w:t>主 体 工 程</w:t>
            </w:r>
          </w:p>
        </w:tc>
        <w:tc>
          <w:tcPr>
            <w:tcW w:w="897" w:type="dxa"/>
            <w:vAlign w:val="top"/>
          </w:tcPr>
          <w:p w14:paraId="35B4A8FA">
            <w:pPr>
              <w:pStyle w:val="6"/>
              <w:spacing w:before="208" w:line="228" w:lineRule="auto"/>
              <w:ind w:left="135"/>
            </w:pPr>
            <w:r>
              <w:rPr>
                <w:spacing w:val="6"/>
              </w:rPr>
              <w:t>粗碎车</w:t>
            </w:r>
          </w:p>
          <w:p w14:paraId="507D6272">
            <w:pPr>
              <w:pStyle w:val="6"/>
              <w:spacing w:before="64" w:line="231" w:lineRule="auto"/>
              <w:ind w:left="361"/>
            </w:pPr>
            <w:r>
              <w:t>间</w:t>
            </w:r>
          </w:p>
        </w:tc>
        <w:tc>
          <w:tcPr>
            <w:tcW w:w="3970" w:type="dxa"/>
            <w:vAlign w:val="top"/>
          </w:tcPr>
          <w:p w14:paraId="3FC6C393">
            <w:pPr>
              <w:pStyle w:val="6"/>
              <w:spacing w:before="35" w:line="265" w:lineRule="exact"/>
              <w:ind w:left="112"/>
            </w:pPr>
            <w:r>
              <w:rPr>
                <w:spacing w:val="-1"/>
              </w:rPr>
              <w:t>建筑面积</w:t>
            </w:r>
            <w:r>
              <w:rPr>
                <w:spacing w:val="-22"/>
              </w:rPr>
              <w:t xml:space="preserve"> </w:t>
            </w:r>
            <w:r>
              <w:rPr>
                <w:spacing w:val="-1"/>
              </w:rPr>
              <w:t>135m</w:t>
            </w:r>
            <w:r>
              <w:rPr>
                <w:spacing w:val="-1"/>
                <w:position w:val="10"/>
                <w:sz w:val="10"/>
                <w:szCs w:val="10"/>
              </w:rPr>
              <w:t>2</w:t>
            </w:r>
            <w:r>
              <w:rPr>
                <w:spacing w:val="-1"/>
              </w:rPr>
              <w:t>，主要设备包括：1</w:t>
            </w:r>
            <w:r>
              <w:rPr>
                <w:spacing w:val="-24"/>
              </w:rPr>
              <w:t xml:space="preserve"> </w:t>
            </w:r>
            <w:r>
              <w:rPr>
                <w:spacing w:val="-1"/>
              </w:rPr>
              <w:t>台</w:t>
            </w:r>
            <w:r>
              <w:rPr>
                <w:spacing w:val="-38"/>
              </w:rPr>
              <w:t xml:space="preserve"> </w:t>
            </w:r>
            <w:r>
              <w:rPr>
                <w:spacing w:val="-1"/>
              </w:rPr>
              <w:t>C100</w:t>
            </w:r>
          </w:p>
          <w:p w14:paraId="770BD0C4">
            <w:pPr>
              <w:pStyle w:val="6"/>
              <w:spacing w:before="64" w:line="227" w:lineRule="auto"/>
              <w:ind w:left="110"/>
            </w:pPr>
            <w:r>
              <w:rPr>
                <w:spacing w:val="3"/>
              </w:rPr>
              <w:t>颚式破碎机。破碎能力</w:t>
            </w:r>
            <w:r>
              <w:rPr>
                <w:spacing w:val="-20"/>
              </w:rPr>
              <w:t xml:space="preserve"> </w:t>
            </w:r>
            <w:r>
              <w:rPr>
                <w:spacing w:val="3"/>
              </w:rPr>
              <w:t>265t/h，日破碎量</w:t>
            </w:r>
          </w:p>
          <w:p w14:paraId="6786A06B">
            <w:pPr>
              <w:spacing w:before="98" w:line="199" w:lineRule="auto"/>
              <w:ind w:left="1684"/>
              <w:rPr>
                <w:rFonts w:ascii="Times New Roman" w:hAnsi="Times New Roman" w:eastAsia="Times New Roman" w:cs="Times New Roman"/>
                <w:sz w:val="20"/>
                <w:szCs w:val="20"/>
              </w:rPr>
            </w:pPr>
            <w:r>
              <w:rPr>
                <w:rFonts w:ascii="Times New Roman" w:hAnsi="Times New Roman" w:eastAsia="Times New Roman" w:cs="Times New Roman"/>
                <w:sz w:val="20"/>
                <w:szCs w:val="20"/>
              </w:rPr>
              <w:t>1400t/d</w:t>
            </w:r>
          </w:p>
        </w:tc>
        <w:tc>
          <w:tcPr>
            <w:tcW w:w="4057" w:type="dxa"/>
            <w:vAlign w:val="top"/>
          </w:tcPr>
          <w:p w14:paraId="3F66CBC1">
            <w:pPr>
              <w:pStyle w:val="6"/>
              <w:spacing w:before="209" w:line="289" w:lineRule="auto"/>
              <w:ind w:left="294" w:right="164" w:hanging="123"/>
              <w:rPr>
                <w:rFonts w:ascii="Times New Roman" w:hAnsi="Times New Roman" w:eastAsia="Times New Roman" w:cs="Times New Roman"/>
              </w:rPr>
            </w:pPr>
            <w:r>
              <w:rPr>
                <w:spacing w:val="7"/>
              </w:rPr>
              <w:t>依托现有粗碎车间，破碎时间由</w:t>
            </w:r>
            <w:r>
              <w:rPr>
                <w:spacing w:val="-32"/>
              </w:rPr>
              <w:t xml:space="preserve"> </w:t>
            </w:r>
            <w:r>
              <w:rPr>
                <w:spacing w:val="7"/>
              </w:rPr>
              <w:t>5.28h/d</w:t>
            </w:r>
            <w:r>
              <w:t xml:space="preserve"> </w:t>
            </w:r>
            <w:r>
              <w:rPr>
                <w:spacing w:val="5"/>
              </w:rPr>
              <w:t>延长至</w:t>
            </w:r>
            <w:r>
              <w:rPr>
                <w:spacing w:val="-24"/>
              </w:rPr>
              <w:t xml:space="preserve"> </w:t>
            </w:r>
            <w:r>
              <w:rPr>
                <w:spacing w:val="5"/>
              </w:rPr>
              <w:t>12.94h/d。新增破碎量</w:t>
            </w:r>
            <w:r>
              <w:rPr>
                <w:spacing w:val="-43"/>
              </w:rPr>
              <w:t xml:space="preserve"> </w:t>
            </w:r>
            <w:r>
              <w:rPr>
                <w:rFonts w:ascii="Times New Roman" w:hAnsi="Times New Roman" w:eastAsia="Times New Roman" w:cs="Times New Roman"/>
                <w:spacing w:val="5"/>
              </w:rPr>
              <w:t>2029t/d</w:t>
            </w:r>
          </w:p>
        </w:tc>
        <w:tc>
          <w:tcPr>
            <w:tcW w:w="4057" w:type="dxa"/>
            <w:vAlign w:val="top"/>
          </w:tcPr>
          <w:p w14:paraId="05AEC44A">
            <w:pPr>
              <w:pStyle w:val="6"/>
              <w:spacing w:before="35" w:line="265" w:lineRule="exact"/>
              <w:ind w:left="116"/>
            </w:pPr>
            <w:r>
              <w:rPr>
                <w:spacing w:val="1"/>
              </w:rPr>
              <w:t>建筑面积</w:t>
            </w:r>
            <w:r>
              <w:rPr>
                <w:spacing w:val="-4"/>
              </w:rPr>
              <w:t xml:space="preserve"> </w:t>
            </w:r>
            <w:r>
              <w:rPr>
                <w:spacing w:val="1"/>
              </w:rPr>
              <w:t>135m</w:t>
            </w:r>
            <w:r>
              <w:rPr>
                <w:spacing w:val="1"/>
                <w:position w:val="10"/>
                <w:sz w:val="10"/>
                <w:szCs w:val="10"/>
              </w:rPr>
              <w:t>2</w:t>
            </w:r>
            <w:r>
              <w:rPr>
                <w:spacing w:val="-25"/>
                <w:position w:val="10"/>
                <w:sz w:val="10"/>
                <w:szCs w:val="10"/>
              </w:rPr>
              <w:t xml:space="preserve"> </w:t>
            </w:r>
            <w:r>
              <w:rPr>
                <w:spacing w:val="1"/>
              </w:rPr>
              <w:t>，主要设备包括：1</w:t>
            </w:r>
            <w:r>
              <w:rPr>
                <w:spacing w:val="-22"/>
              </w:rPr>
              <w:t xml:space="preserve"> </w:t>
            </w:r>
            <w:r>
              <w:rPr>
                <w:spacing w:val="1"/>
              </w:rPr>
              <w:t>台</w:t>
            </w:r>
            <w:r>
              <w:rPr>
                <w:spacing w:val="-40"/>
              </w:rPr>
              <w:t xml:space="preserve"> </w:t>
            </w:r>
            <w:r>
              <w:rPr>
                <w:spacing w:val="1"/>
              </w:rPr>
              <w:t>C100</w:t>
            </w:r>
          </w:p>
          <w:p w14:paraId="3D90508A">
            <w:pPr>
              <w:pStyle w:val="6"/>
              <w:spacing w:before="64" w:line="227" w:lineRule="auto"/>
              <w:ind w:left="114"/>
            </w:pPr>
            <w:r>
              <w:rPr>
                <w:spacing w:val="5"/>
              </w:rPr>
              <w:t>颚式破碎机。破碎能力</w:t>
            </w:r>
            <w:r>
              <w:rPr>
                <w:spacing w:val="-37"/>
              </w:rPr>
              <w:t xml:space="preserve"> </w:t>
            </w:r>
            <w:r>
              <w:rPr>
                <w:spacing w:val="5"/>
              </w:rPr>
              <w:t>265t/h，</w:t>
            </w:r>
            <w:r>
              <w:rPr>
                <w:spacing w:val="-48"/>
              </w:rPr>
              <w:t xml:space="preserve"> </w:t>
            </w:r>
            <w:r>
              <w:rPr>
                <w:spacing w:val="5"/>
              </w:rPr>
              <w:t>日破碎量</w:t>
            </w:r>
          </w:p>
          <w:p w14:paraId="36E515F0">
            <w:pPr>
              <w:spacing w:before="98" w:line="199" w:lineRule="auto"/>
              <w:ind w:left="17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3400t/d</w:t>
            </w:r>
          </w:p>
        </w:tc>
        <w:tc>
          <w:tcPr>
            <w:tcW w:w="755" w:type="dxa"/>
            <w:vAlign w:val="top"/>
          </w:tcPr>
          <w:p w14:paraId="246FDA63">
            <w:pPr>
              <w:spacing w:line="297" w:lineRule="auto"/>
              <w:rPr>
                <w:rFonts w:ascii="Arial"/>
                <w:sz w:val="21"/>
              </w:rPr>
            </w:pPr>
          </w:p>
          <w:p w14:paraId="2051A5BE">
            <w:pPr>
              <w:pStyle w:val="6"/>
              <w:spacing w:before="65" w:line="227" w:lineRule="auto"/>
              <w:ind w:left="174"/>
            </w:pPr>
            <w:r>
              <w:rPr>
                <w:spacing w:val="3"/>
              </w:rPr>
              <w:t>依托</w:t>
            </w:r>
          </w:p>
        </w:tc>
      </w:tr>
      <w:tr w14:paraId="4A3FD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51" w:type="dxa"/>
            <w:vMerge w:val="continue"/>
            <w:tcBorders>
              <w:top w:val="nil"/>
              <w:bottom w:val="nil"/>
            </w:tcBorders>
            <w:textDirection w:val="tbRlV"/>
            <w:vAlign w:val="top"/>
          </w:tcPr>
          <w:p w14:paraId="69ADDFB2">
            <w:pPr>
              <w:rPr>
                <w:rFonts w:ascii="Arial"/>
                <w:sz w:val="21"/>
              </w:rPr>
            </w:pPr>
          </w:p>
        </w:tc>
        <w:tc>
          <w:tcPr>
            <w:tcW w:w="897" w:type="dxa"/>
            <w:vAlign w:val="top"/>
          </w:tcPr>
          <w:p w14:paraId="6AFCFB64">
            <w:pPr>
              <w:spacing w:line="453" w:lineRule="auto"/>
              <w:rPr>
                <w:rFonts w:ascii="Arial"/>
                <w:sz w:val="21"/>
              </w:rPr>
            </w:pPr>
          </w:p>
          <w:p w14:paraId="22B889DC">
            <w:pPr>
              <w:pStyle w:val="6"/>
              <w:spacing w:before="65" w:line="228" w:lineRule="auto"/>
              <w:ind w:left="138"/>
            </w:pPr>
            <w:r>
              <w:rPr>
                <w:spacing w:val="6"/>
              </w:rPr>
              <w:t>磨矿车</w:t>
            </w:r>
          </w:p>
          <w:p w14:paraId="0186D885">
            <w:pPr>
              <w:pStyle w:val="6"/>
              <w:spacing w:before="64" w:line="231" w:lineRule="auto"/>
              <w:ind w:left="361"/>
            </w:pPr>
            <w:r>
              <w:t>间</w:t>
            </w:r>
          </w:p>
        </w:tc>
        <w:tc>
          <w:tcPr>
            <w:tcW w:w="3970" w:type="dxa"/>
            <w:vAlign w:val="top"/>
          </w:tcPr>
          <w:p w14:paraId="3D8A4DE2">
            <w:pPr>
              <w:spacing w:line="281" w:lineRule="auto"/>
              <w:rPr>
                <w:rFonts w:ascii="Arial"/>
                <w:sz w:val="21"/>
              </w:rPr>
            </w:pPr>
          </w:p>
          <w:p w14:paraId="1C594BF3">
            <w:pPr>
              <w:pStyle w:val="6"/>
              <w:spacing w:before="65" w:line="264" w:lineRule="exact"/>
              <w:ind w:right="11"/>
              <w:jc w:val="right"/>
            </w:pPr>
            <w:r>
              <w:rPr>
                <w:spacing w:val="-4"/>
              </w:rPr>
              <w:t>1</w:t>
            </w:r>
            <w:r>
              <w:rPr>
                <w:spacing w:val="-45"/>
              </w:rPr>
              <w:t xml:space="preserve"> </w:t>
            </w:r>
            <w:r>
              <w:rPr>
                <w:spacing w:val="-4"/>
              </w:rPr>
              <w:t>座，建筑面积</w:t>
            </w:r>
            <w:r>
              <w:rPr>
                <w:spacing w:val="-43"/>
              </w:rPr>
              <w:t xml:space="preserve"> </w:t>
            </w:r>
            <w:r>
              <w:rPr>
                <w:spacing w:val="-4"/>
              </w:rPr>
              <w:t>2160m</w:t>
            </w:r>
            <w:r>
              <w:rPr>
                <w:spacing w:val="-4"/>
                <w:position w:val="10"/>
                <w:sz w:val="10"/>
                <w:szCs w:val="10"/>
              </w:rPr>
              <w:t>2</w:t>
            </w:r>
            <w:r>
              <w:rPr>
                <w:spacing w:val="-4"/>
              </w:rPr>
              <w:t>，处理能力</w:t>
            </w:r>
            <w:r>
              <w:rPr>
                <w:spacing w:val="-31"/>
              </w:rPr>
              <w:t xml:space="preserve"> </w:t>
            </w:r>
            <w:r>
              <w:rPr>
                <w:spacing w:val="-4"/>
              </w:rPr>
              <w:t>1400t/d，</w:t>
            </w:r>
          </w:p>
          <w:p w14:paraId="134AAE83">
            <w:pPr>
              <w:pStyle w:val="6"/>
              <w:spacing w:before="65" w:line="227" w:lineRule="auto"/>
              <w:ind w:left="255"/>
            </w:pPr>
            <w:r>
              <w:rPr>
                <w:spacing w:val="9"/>
              </w:rPr>
              <w:t>采用半自磨+球磨流程，入选磨矿粒度</w:t>
            </w:r>
          </w:p>
          <w:p w14:paraId="2552A535">
            <w:pPr>
              <w:pStyle w:val="6"/>
              <w:spacing w:before="66" w:line="228" w:lineRule="auto"/>
              <w:ind w:left="415"/>
            </w:pPr>
            <w:r>
              <w:rPr>
                <w:spacing w:val="3"/>
              </w:rPr>
              <w:t>250～0</w:t>
            </w:r>
            <w:r>
              <w:t>mm</w:t>
            </w:r>
            <w:r>
              <w:rPr>
                <w:spacing w:val="3"/>
              </w:rPr>
              <w:t>，细度为-0.074</w:t>
            </w:r>
            <w:r>
              <w:t>mm</w:t>
            </w:r>
            <w:r>
              <w:rPr>
                <w:spacing w:val="3"/>
              </w:rPr>
              <w:t xml:space="preserve"> 占</w:t>
            </w:r>
            <w:r>
              <w:rPr>
                <w:spacing w:val="-22"/>
              </w:rPr>
              <w:t xml:space="preserve"> </w:t>
            </w:r>
            <w:r>
              <w:rPr>
                <w:spacing w:val="3"/>
              </w:rPr>
              <w:t>75%</w:t>
            </w:r>
          </w:p>
        </w:tc>
        <w:tc>
          <w:tcPr>
            <w:tcW w:w="4057" w:type="dxa"/>
            <w:vAlign w:val="top"/>
          </w:tcPr>
          <w:p w14:paraId="63EE76C2">
            <w:pPr>
              <w:pStyle w:val="6"/>
              <w:spacing w:before="52" w:line="228" w:lineRule="auto"/>
              <w:ind w:left="144"/>
            </w:pPr>
            <w:r>
              <w:rPr>
                <w:spacing w:val="9"/>
              </w:rPr>
              <w:t>新增振动筛，提高分级效率，减少半自磨</w:t>
            </w:r>
          </w:p>
          <w:p w14:paraId="07829AFE">
            <w:pPr>
              <w:pStyle w:val="6"/>
              <w:spacing w:before="65" w:line="227" w:lineRule="auto"/>
              <w:ind w:left="143"/>
            </w:pPr>
            <w:r>
              <w:rPr>
                <w:spacing w:val="9"/>
              </w:rPr>
              <w:t>循环量。依托现有磨矿车间，新增处理能</w:t>
            </w:r>
          </w:p>
          <w:p w14:paraId="0E21F202">
            <w:pPr>
              <w:pStyle w:val="6"/>
              <w:spacing w:before="66" w:line="227" w:lineRule="auto"/>
              <w:ind w:left="120"/>
            </w:pPr>
            <w:r>
              <w:rPr>
                <w:spacing w:val="7"/>
              </w:rPr>
              <w:t>力</w:t>
            </w:r>
            <w:r>
              <w:rPr>
                <w:spacing w:val="-36"/>
              </w:rPr>
              <w:t xml:space="preserve"> </w:t>
            </w:r>
            <w:r>
              <w:rPr>
                <w:spacing w:val="7"/>
              </w:rPr>
              <w:t>2029t/d，采用半自磨+球磨流程，入选</w:t>
            </w:r>
          </w:p>
          <w:p w14:paraId="3F0C20AA">
            <w:pPr>
              <w:pStyle w:val="6"/>
              <w:spacing w:before="65" w:line="228" w:lineRule="auto"/>
              <w:ind w:left="198"/>
            </w:pPr>
            <w:r>
              <w:rPr>
                <w:spacing w:val="5"/>
              </w:rPr>
              <w:t>磨矿粒度</w:t>
            </w:r>
            <w:r>
              <w:rPr>
                <w:spacing w:val="-9"/>
              </w:rPr>
              <w:t xml:space="preserve"> </w:t>
            </w:r>
            <w:r>
              <w:rPr>
                <w:spacing w:val="5"/>
              </w:rPr>
              <w:t>110～0</w:t>
            </w:r>
            <w:r>
              <w:t>mm</w:t>
            </w:r>
            <w:r>
              <w:rPr>
                <w:spacing w:val="5"/>
              </w:rPr>
              <w:t>，细度为-0.074</w:t>
            </w:r>
            <w:r>
              <w:t>mm</w:t>
            </w:r>
            <w:r>
              <w:rPr>
                <w:spacing w:val="5"/>
              </w:rPr>
              <w:t xml:space="preserve"> 占</w:t>
            </w:r>
          </w:p>
          <w:p w14:paraId="3D285DBE">
            <w:pPr>
              <w:pStyle w:val="6"/>
              <w:spacing w:before="65" w:line="230" w:lineRule="auto"/>
              <w:ind w:left="1775"/>
            </w:pPr>
            <w:r>
              <w:t>75%；</w:t>
            </w:r>
          </w:p>
        </w:tc>
        <w:tc>
          <w:tcPr>
            <w:tcW w:w="4057" w:type="dxa"/>
            <w:vAlign w:val="top"/>
          </w:tcPr>
          <w:p w14:paraId="3B0C5B89">
            <w:pPr>
              <w:spacing w:line="281" w:lineRule="auto"/>
              <w:rPr>
                <w:rFonts w:ascii="Arial"/>
                <w:sz w:val="21"/>
              </w:rPr>
            </w:pPr>
          </w:p>
          <w:p w14:paraId="7C0D0F60">
            <w:pPr>
              <w:pStyle w:val="6"/>
              <w:spacing w:before="65" w:line="264" w:lineRule="exact"/>
              <w:ind w:right="8"/>
              <w:jc w:val="right"/>
            </w:pPr>
            <w:r>
              <w:rPr>
                <w:spacing w:val="-2"/>
              </w:rPr>
              <w:t>1</w:t>
            </w:r>
            <w:r>
              <w:rPr>
                <w:spacing w:val="-18"/>
              </w:rPr>
              <w:t xml:space="preserve"> </w:t>
            </w:r>
            <w:r>
              <w:rPr>
                <w:spacing w:val="-2"/>
              </w:rPr>
              <w:t>座，建筑面积</w:t>
            </w:r>
            <w:r>
              <w:rPr>
                <w:spacing w:val="-34"/>
              </w:rPr>
              <w:t xml:space="preserve"> </w:t>
            </w:r>
            <w:r>
              <w:rPr>
                <w:spacing w:val="-2"/>
              </w:rPr>
              <w:t>2160m</w:t>
            </w:r>
            <w:r>
              <w:rPr>
                <w:spacing w:val="-2"/>
                <w:position w:val="10"/>
                <w:sz w:val="10"/>
                <w:szCs w:val="10"/>
              </w:rPr>
              <w:t>2</w:t>
            </w:r>
            <w:r>
              <w:rPr>
                <w:spacing w:val="-2"/>
              </w:rPr>
              <w:t>，处理能力</w:t>
            </w:r>
            <w:r>
              <w:rPr>
                <w:spacing w:val="-33"/>
              </w:rPr>
              <w:t xml:space="preserve"> </w:t>
            </w:r>
            <w:r>
              <w:rPr>
                <w:spacing w:val="-2"/>
              </w:rPr>
              <w:t>3400t/d，</w:t>
            </w:r>
          </w:p>
          <w:p w14:paraId="000EA2DF">
            <w:pPr>
              <w:pStyle w:val="6"/>
              <w:spacing w:before="65" w:line="227" w:lineRule="auto"/>
              <w:ind w:left="302"/>
            </w:pPr>
            <w:r>
              <w:rPr>
                <w:spacing w:val="9"/>
              </w:rPr>
              <w:t>采用半自磨+球磨流程，入选磨矿粒度</w:t>
            </w:r>
          </w:p>
          <w:p w14:paraId="48B7182E">
            <w:pPr>
              <w:pStyle w:val="6"/>
              <w:spacing w:before="66" w:line="228" w:lineRule="auto"/>
              <w:ind w:left="461"/>
            </w:pPr>
            <w:r>
              <w:rPr>
                <w:spacing w:val="3"/>
              </w:rPr>
              <w:t>250～0</w:t>
            </w:r>
            <w:r>
              <w:t>mm</w:t>
            </w:r>
            <w:r>
              <w:rPr>
                <w:spacing w:val="3"/>
              </w:rPr>
              <w:t>，细度为-0.074</w:t>
            </w:r>
            <w:r>
              <w:t>mm</w:t>
            </w:r>
            <w:r>
              <w:rPr>
                <w:spacing w:val="3"/>
              </w:rPr>
              <w:t xml:space="preserve"> 占</w:t>
            </w:r>
            <w:r>
              <w:rPr>
                <w:spacing w:val="-20"/>
              </w:rPr>
              <w:t xml:space="preserve"> </w:t>
            </w:r>
            <w:r>
              <w:rPr>
                <w:spacing w:val="3"/>
              </w:rPr>
              <w:t>75%</w:t>
            </w:r>
          </w:p>
        </w:tc>
        <w:tc>
          <w:tcPr>
            <w:tcW w:w="755" w:type="dxa"/>
            <w:vAlign w:val="top"/>
          </w:tcPr>
          <w:p w14:paraId="0DD8C3D0">
            <w:pPr>
              <w:spacing w:line="454" w:lineRule="auto"/>
              <w:rPr>
                <w:rFonts w:ascii="Arial"/>
                <w:sz w:val="21"/>
              </w:rPr>
            </w:pPr>
          </w:p>
          <w:p w14:paraId="286EAF74">
            <w:pPr>
              <w:pStyle w:val="6"/>
              <w:spacing w:before="65" w:line="289" w:lineRule="auto"/>
              <w:ind w:left="115" w:right="65"/>
            </w:pPr>
            <w:r>
              <w:rPr>
                <w:spacing w:val="-11"/>
              </w:rPr>
              <w:t>依托，</w:t>
            </w:r>
            <w:r>
              <w:t xml:space="preserve"> </w:t>
            </w:r>
            <w:r>
              <w:rPr>
                <w:spacing w:val="4"/>
              </w:rPr>
              <w:t>技改</w:t>
            </w:r>
          </w:p>
        </w:tc>
      </w:tr>
      <w:tr w14:paraId="41228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551" w:type="dxa"/>
            <w:vMerge w:val="continue"/>
            <w:tcBorders>
              <w:top w:val="nil"/>
              <w:bottom w:val="nil"/>
            </w:tcBorders>
            <w:textDirection w:val="tbRlV"/>
            <w:vAlign w:val="top"/>
          </w:tcPr>
          <w:p w14:paraId="30FEC258">
            <w:pPr>
              <w:rPr>
                <w:rFonts w:ascii="Arial"/>
                <w:sz w:val="21"/>
              </w:rPr>
            </w:pPr>
          </w:p>
        </w:tc>
        <w:tc>
          <w:tcPr>
            <w:tcW w:w="897" w:type="dxa"/>
            <w:vAlign w:val="top"/>
          </w:tcPr>
          <w:p w14:paraId="5E6186B6">
            <w:pPr>
              <w:spacing w:line="306" w:lineRule="auto"/>
              <w:rPr>
                <w:rFonts w:ascii="Arial"/>
                <w:sz w:val="21"/>
              </w:rPr>
            </w:pPr>
          </w:p>
          <w:p w14:paraId="6F14E492">
            <w:pPr>
              <w:spacing w:line="306" w:lineRule="auto"/>
              <w:rPr>
                <w:rFonts w:ascii="Arial"/>
                <w:sz w:val="21"/>
              </w:rPr>
            </w:pPr>
          </w:p>
          <w:p w14:paraId="05C98D71">
            <w:pPr>
              <w:spacing w:line="306" w:lineRule="auto"/>
              <w:rPr>
                <w:rFonts w:ascii="Arial"/>
                <w:sz w:val="21"/>
              </w:rPr>
            </w:pPr>
          </w:p>
          <w:p w14:paraId="40E41726">
            <w:pPr>
              <w:pStyle w:val="6"/>
              <w:spacing w:before="65" w:line="228" w:lineRule="auto"/>
              <w:ind w:left="137"/>
            </w:pPr>
            <w:r>
              <w:rPr>
                <w:spacing w:val="6"/>
              </w:rPr>
              <w:t>浮选车</w:t>
            </w:r>
          </w:p>
          <w:p w14:paraId="10581467">
            <w:pPr>
              <w:pStyle w:val="6"/>
              <w:spacing w:before="64" w:line="231" w:lineRule="auto"/>
              <w:ind w:left="361"/>
            </w:pPr>
            <w:r>
              <w:t>间</w:t>
            </w:r>
          </w:p>
        </w:tc>
        <w:tc>
          <w:tcPr>
            <w:tcW w:w="3970" w:type="dxa"/>
            <w:vAlign w:val="top"/>
          </w:tcPr>
          <w:p w14:paraId="04A824C0">
            <w:pPr>
              <w:spacing w:line="282" w:lineRule="auto"/>
              <w:rPr>
                <w:rFonts w:ascii="Arial"/>
                <w:sz w:val="21"/>
              </w:rPr>
            </w:pPr>
          </w:p>
          <w:p w14:paraId="63C14DFD">
            <w:pPr>
              <w:pStyle w:val="6"/>
              <w:spacing w:before="65" w:line="263" w:lineRule="exact"/>
              <w:ind w:right="11"/>
              <w:jc w:val="right"/>
            </w:pPr>
            <w:r>
              <w:rPr>
                <w:spacing w:val="-4"/>
              </w:rPr>
              <w:t>1</w:t>
            </w:r>
            <w:r>
              <w:rPr>
                <w:spacing w:val="-45"/>
              </w:rPr>
              <w:t xml:space="preserve"> </w:t>
            </w:r>
            <w:r>
              <w:rPr>
                <w:spacing w:val="-4"/>
              </w:rPr>
              <w:t>座，建筑面积</w:t>
            </w:r>
            <w:r>
              <w:rPr>
                <w:spacing w:val="-43"/>
              </w:rPr>
              <w:t xml:space="preserve"> </w:t>
            </w:r>
            <w:r>
              <w:rPr>
                <w:spacing w:val="-4"/>
              </w:rPr>
              <w:t>2160m</w:t>
            </w:r>
            <w:r>
              <w:rPr>
                <w:spacing w:val="-4"/>
                <w:position w:val="10"/>
                <w:sz w:val="10"/>
                <w:szCs w:val="10"/>
              </w:rPr>
              <w:t>2</w:t>
            </w:r>
            <w:r>
              <w:rPr>
                <w:spacing w:val="-4"/>
              </w:rPr>
              <w:t>，处理能力</w:t>
            </w:r>
            <w:r>
              <w:rPr>
                <w:spacing w:val="-31"/>
              </w:rPr>
              <w:t xml:space="preserve"> </w:t>
            </w:r>
            <w:r>
              <w:rPr>
                <w:spacing w:val="-4"/>
              </w:rPr>
              <w:t>1400t/d，</w:t>
            </w:r>
          </w:p>
          <w:p w14:paraId="0AB96484">
            <w:pPr>
              <w:pStyle w:val="6"/>
              <w:spacing w:before="65" w:line="227" w:lineRule="auto"/>
              <w:ind w:left="306"/>
            </w:pPr>
            <w:r>
              <w:rPr>
                <w:spacing w:val="9"/>
              </w:rPr>
              <w:t>采用全优先浮选工艺。矿石磨至细度</w:t>
            </w:r>
          </w:p>
          <w:p w14:paraId="3C624A0F">
            <w:pPr>
              <w:pStyle w:val="6"/>
              <w:spacing w:before="65" w:line="228" w:lineRule="auto"/>
              <w:ind w:left="129"/>
            </w:pPr>
            <w:r>
              <w:rPr>
                <w:spacing w:val="7"/>
              </w:rPr>
              <w:t>75%-0.074</w:t>
            </w:r>
            <w:r>
              <w:t>mm</w:t>
            </w:r>
            <w:r>
              <w:rPr>
                <w:spacing w:val="-37"/>
              </w:rPr>
              <w:t xml:space="preserve"> </w:t>
            </w:r>
            <w:r>
              <w:rPr>
                <w:spacing w:val="7"/>
              </w:rPr>
              <w:t>后，进入浮选回路，产出铅</w:t>
            </w:r>
          </w:p>
          <w:p w14:paraId="13929747">
            <w:pPr>
              <w:pStyle w:val="6"/>
              <w:spacing w:before="65" w:line="227" w:lineRule="auto"/>
              <w:ind w:left="110"/>
            </w:pPr>
            <w:r>
              <w:rPr>
                <w:spacing w:val="8"/>
              </w:rPr>
              <w:t>精矿、锌精矿和最终尾矿。浮选产出的精</w:t>
            </w:r>
          </w:p>
          <w:p w14:paraId="0B6A6989">
            <w:pPr>
              <w:pStyle w:val="6"/>
              <w:spacing w:before="66" w:line="227" w:lineRule="auto"/>
              <w:ind w:left="109"/>
            </w:pPr>
            <w:r>
              <w:rPr>
                <w:spacing w:val="8"/>
              </w:rPr>
              <w:t>矿送精矿脱水作业，尾矿经厂前浓缩后送</w:t>
            </w:r>
          </w:p>
          <w:p w14:paraId="49873745">
            <w:pPr>
              <w:pStyle w:val="6"/>
              <w:spacing w:before="65" w:line="228" w:lineRule="auto"/>
              <w:ind w:left="1358"/>
            </w:pPr>
            <w:r>
              <w:rPr>
                <w:spacing w:val="6"/>
              </w:rPr>
              <w:t>尾矿坝堆存。</w:t>
            </w:r>
          </w:p>
        </w:tc>
        <w:tc>
          <w:tcPr>
            <w:tcW w:w="4057" w:type="dxa"/>
            <w:vAlign w:val="top"/>
          </w:tcPr>
          <w:p w14:paraId="4F0007A5">
            <w:pPr>
              <w:pStyle w:val="6"/>
              <w:spacing w:before="53" w:line="281" w:lineRule="auto"/>
              <w:ind w:left="111" w:right="105" w:firstLine="32"/>
              <w:jc w:val="both"/>
            </w:pPr>
            <w:r>
              <w:rPr>
                <w:spacing w:val="9"/>
              </w:rPr>
              <w:t>新增高效搅拌槽及离心鼓风机、脉动式加</w:t>
            </w:r>
            <w:r>
              <w:rPr>
                <w:spacing w:val="5"/>
              </w:rPr>
              <w:t xml:space="preserve"> </w:t>
            </w:r>
            <w:r>
              <w:rPr>
                <w:spacing w:val="11"/>
              </w:rPr>
              <w:t>药机、药剂搅拌槽，增加浮选浓度，采用</w:t>
            </w:r>
            <w:r>
              <w:rPr>
                <w:spacing w:val="2"/>
              </w:rPr>
              <w:t xml:space="preserve"> </w:t>
            </w:r>
            <w:r>
              <w:rPr>
                <w:spacing w:val="11"/>
              </w:rPr>
              <w:t>新型高效药剂，缩短浮选时间。依托现有</w:t>
            </w:r>
            <w:r>
              <w:rPr>
                <w:spacing w:val="2"/>
              </w:rPr>
              <w:t xml:space="preserve"> </w:t>
            </w:r>
            <w:r>
              <w:rPr>
                <w:spacing w:val="3"/>
              </w:rPr>
              <w:t>浮选车间，新增处理能力</w:t>
            </w:r>
            <w:r>
              <w:rPr>
                <w:spacing w:val="-32"/>
              </w:rPr>
              <w:t xml:space="preserve"> </w:t>
            </w:r>
            <w:r>
              <w:rPr>
                <w:spacing w:val="3"/>
              </w:rPr>
              <w:t>2000t/d，采用全</w:t>
            </w:r>
            <w:r>
              <w:t xml:space="preserve"> </w:t>
            </w:r>
            <w:r>
              <w:rPr>
                <w:spacing w:val="3"/>
              </w:rPr>
              <w:t>优先浮选工艺。矿石磨至细度</w:t>
            </w:r>
            <w:r>
              <w:rPr>
                <w:spacing w:val="-31"/>
              </w:rPr>
              <w:t xml:space="preserve"> </w:t>
            </w:r>
            <w:r>
              <w:rPr>
                <w:spacing w:val="3"/>
              </w:rPr>
              <w:t>75%-0.0</w:t>
            </w:r>
            <w:r>
              <w:rPr>
                <w:spacing w:val="2"/>
              </w:rPr>
              <w:t>74</w:t>
            </w:r>
            <w:r>
              <w:t xml:space="preserve">mm </w:t>
            </w:r>
            <w:r>
              <w:rPr>
                <w:spacing w:val="11"/>
              </w:rPr>
              <w:t>后，进入浮选回路，产出铅精矿、锌精矿</w:t>
            </w:r>
            <w:r>
              <w:rPr>
                <w:spacing w:val="2"/>
              </w:rPr>
              <w:t xml:space="preserve"> </w:t>
            </w:r>
            <w:r>
              <w:rPr>
                <w:spacing w:val="11"/>
              </w:rPr>
              <w:t>和最终尾矿。浮选产出的精矿送精矿脱水</w:t>
            </w:r>
            <w:r>
              <w:rPr>
                <w:spacing w:val="2"/>
              </w:rPr>
              <w:t xml:space="preserve"> </w:t>
            </w:r>
            <w:r>
              <w:rPr>
                <w:spacing w:val="10"/>
              </w:rPr>
              <w:t>作业，尾矿经厂前浓缩后送尾矿坝堆存。</w:t>
            </w:r>
          </w:p>
        </w:tc>
        <w:tc>
          <w:tcPr>
            <w:tcW w:w="4057" w:type="dxa"/>
            <w:vAlign w:val="top"/>
          </w:tcPr>
          <w:p w14:paraId="223D3D25">
            <w:pPr>
              <w:spacing w:line="282" w:lineRule="auto"/>
              <w:rPr>
                <w:rFonts w:ascii="Arial"/>
                <w:sz w:val="21"/>
              </w:rPr>
            </w:pPr>
          </w:p>
          <w:p w14:paraId="68129558">
            <w:pPr>
              <w:pStyle w:val="6"/>
              <w:spacing w:before="65" w:line="263" w:lineRule="exact"/>
              <w:ind w:right="8"/>
              <w:jc w:val="right"/>
            </w:pPr>
            <w:r>
              <w:rPr>
                <w:spacing w:val="-2"/>
              </w:rPr>
              <w:t>1</w:t>
            </w:r>
            <w:r>
              <w:rPr>
                <w:spacing w:val="-18"/>
              </w:rPr>
              <w:t xml:space="preserve"> </w:t>
            </w:r>
            <w:r>
              <w:rPr>
                <w:spacing w:val="-2"/>
              </w:rPr>
              <w:t>座，建筑面积</w:t>
            </w:r>
            <w:r>
              <w:rPr>
                <w:spacing w:val="-34"/>
              </w:rPr>
              <w:t xml:space="preserve"> </w:t>
            </w:r>
            <w:r>
              <w:rPr>
                <w:spacing w:val="-2"/>
              </w:rPr>
              <w:t>2160m</w:t>
            </w:r>
            <w:r>
              <w:rPr>
                <w:spacing w:val="-2"/>
                <w:position w:val="10"/>
                <w:sz w:val="10"/>
                <w:szCs w:val="10"/>
              </w:rPr>
              <w:t>2</w:t>
            </w:r>
            <w:r>
              <w:rPr>
                <w:spacing w:val="-2"/>
              </w:rPr>
              <w:t>，处理能力</w:t>
            </w:r>
            <w:r>
              <w:rPr>
                <w:spacing w:val="-33"/>
              </w:rPr>
              <w:t xml:space="preserve"> </w:t>
            </w:r>
            <w:r>
              <w:rPr>
                <w:spacing w:val="-2"/>
              </w:rPr>
              <w:t>3400t/d，</w:t>
            </w:r>
          </w:p>
          <w:p w14:paraId="28263802">
            <w:pPr>
              <w:pStyle w:val="6"/>
              <w:spacing w:before="65" w:line="227" w:lineRule="auto"/>
              <w:ind w:left="355"/>
            </w:pPr>
            <w:r>
              <w:rPr>
                <w:spacing w:val="9"/>
              </w:rPr>
              <w:t>采用全优先浮选工艺。矿石磨至细度</w:t>
            </w:r>
          </w:p>
          <w:p w14:paraId="425698CE">
            <w:pPr>
              <w:pStyle w:val="6"/>
              <w:spacing w:before="66" w:line="227" w:lineRule="auto"/>
              <w:ind w:left="118"/>
            </w:pPr>
            <w:r>
              <w:rPr>
                <w:spacing w:val="3"/>
              </w:rPr>
              <w:t>75%-0.074</w:t>
            </w:r>
            <w:r>
              <w:t>mm</w:t>
            </w:r>
            <w:r>
              <w:rPr>
                <w:spacing w:val="-38"/>
              </w:rPr>
              <w:t xml:space="preserve"> </w:t>
            </w:r>
            <w:r>
              <w:rPr>
                <w:spacing w:val="3"/>
              </w:rPr>
              <w:t>后，进入浮选回路，产出铅精</w:t>
            </w:r>
          </w:p>
          <w:p w14:paraId="66F6748A">
            <w:pPr>
              <w:pStyle w:val="6"/>
              <w:spacing w:before="66" w:line="227" w:lineRule="auto"/>
              <w:ind w:left="143"/>
            </w:pPr>
            <w:r>
              <w:rPr>
                <w:spacing w:val="9"/>
              </w:rPr>
              <w:t>矿、锌精矿和最终尾矿。浮选产出的精矿</w:t>
            </w:r>
          </w:p>
          <w:p w14:paraId="5F69DE58">
            <w:pPr>
              <w:pStyle w:val="6"/>
              <w:spacing w:before="66" w:line="227" w:lineRule="auto"/>
              <w:ind w:left="143"/>
            </w:pPr>
            <w:r>
              <w:rPr>
                <w:spacing w:val="9"/>
              </w:rPr>
              <w:t>送精矿脱水作业，尾矿经厂前浓缩后送尾</w:t>
            </w:r>
          </w:p>
          <w:p w14:paraId="648D8DE1">
            <w:pPr>
              <w:pStyle w:val="6"/>
              <w:spacing w:before="65" w:line="228" w:lineRule="auto"/>
              <w:ind w:left="1509"/>
            </w:pPr>
            <w:r>
              <w:rPr>
                <w:spacing w:val="6"/>
              </w:rPr>
              <w:t>矿坝堆存。</w:t>
            </w:r>
          </w:p>
        </w:tc>
        <w:tc>
          <w:tcPr>
            <w:tcW w:w="755" w:type="dxa"/>
            <w:vAlign w:val="top"/>
          </w:tcPr>
          <w:p w14:paraId="6FA70F09">
            <w:pPr>
              <w:spacing w:line="306" w:lineRule="auto"/>
              <w:rPr>
                <w:rFonts w:ascii="Arial"/>
                <w:sz w:val="21"/>
              </w:rPr>
            </w:pPr>
          </w:p>
          <w:p w14:paraId="42B5E09E">
            <w:pPr>
              <w:spacing w:line="307" w:lineRule="auto"/>
              <w:rPr>
                <w:rFonts w:ascii="Arial"/>
                <w:sz w:val="21"/>
              </w:rPr>
            </w:pPr>
          </w:p>
          <w:p w14:paraId="58C7293F">
            <w:pPr>
              <w:spacing w:line="307" w:lineRule="auto"/>
              <w:rPr>
                <w:rFonts w:ascii="Arial"/>
                <w:sz w:val="21"/>
              </w:rPr>
            </w:pPr>
          </w:p>
          <w:p w14:paraId="62E2C463">
            <w:pPr>
              <w:pStyle w:val="6"/>
              <w:spacing w:before="65" w:line="289" w:lineRule="auto"/>
              <w:ind w:left="172" w:right="65" w:hanging="56"/>
            </w:pPr>
            <w:r>
              <w:rPr>
                <w:spacing w:val="-11"/>
              </w:rPr>
              <w:t>依托，</w:t>
            </w:r>
            <w:r>
              <w:t xml:space="preserve"> </w:t>
            </w:r>
            <w:r>
              <w:rPr>
                <w:spacing w:val="4"/>
              </w:rPr>
              <w:t>技改</w:t>
            </w:r>
          </w:p>
        </w:tc>
      </w:tr>
      <w:tr w14:paraId="07E51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51" w:type="dxa"/>
            <w:vMerge w:val="continue"/>
            <w:tcBorders>
              <w:top w:val="nil"/>
              <w:bottom w:val="nil"/>
            </w:tcBorders>
            <w:textDirection w:val="tbRlV"/>
            <w:vAlign w:val="top"/>
          </w:tcPr>
          <w:p w14:paraId="2DCC7022">
            <w:pPr>
              <w:rPr>
                <w:rFonts w:ascii="Arial"/>
                <w:sz w:val="21"/>
              </w:rPr>
            </w:pPr>
          </w:p>
        </w:tc>
        <w:tc>
          <w:tcPr>
            <w:tcW w:w="897" w:type="dxa"/>
            <w:vAlign w:val="top"/>
          </w:tcPr>
          <w:p w14:paraId="5D53370B">
            <w:pPr>
              <w:spacing w:line="300" w:lineRule="auto"/>
              <w:rPr>
                <w:rFonts w:ascii="Arial"/>
                <w:sz w:val="21"/>
              </w:rPr>
            </w:pPr>
          </w:p>
          <w:p w14:paraId="658FB6EE">
            <w:pPr>
              <w:pStyle w:val="6"/>
              <w:spacing w:before="65" w:line="228" w:lineRule="auto"/>
              <w:ind w:left="136"/>
            </w:pPr>
            <w:r>
              <w:rPr>
                <w:spacing w:val="6"/>
              </w:rPr>
              <w:t>脱水车</w:t>
            </w:r>
          </w:p>
          <w:p w14:paraId="0ECD2660">
            <w:pPr>
              <w:pStyle w:val="6"/>
              <w:spacing w:before="64" w:line="231" w:lineRule="auto"/>
              <w:ind w:left="361"/>
            </w:pPr>
            <w:r>
              <w:t>间</w:t>
            </w:r>
          </w:p>
        </w:tc>
        <w:tc>
          <w:tcPr>
            <w:tcW w:w="3970" w:type="dxa"/>
            <w:vAlign w:val="top"/>
          </w:tcPr>
          <w:p w14:paraId="079FA6D7">
            <w:pPr>
              <w:pStyle w:val="6"/>
              <w:spacing w:before="196" w:line="241" w:lineRule="auto"/>
              <w:ind w:right="11"/>
              <w:jc w:val="right"/>
            </w:pPr>
            <w:r>
              <w:rPr>
                <w:spacing w:val="-1"/>
              </w:rPr>
              <w:t>1座，建筑面积2160</w:t>
            </w:r>
            <w:r>
              <w:rPr>
                <w:spacing w:val="-46"/>
              </w:rPr>
              <w:t xml:space="preserve"> </w:t>
            </w:r>
            <w:r>
              <w:rPr>
                <w:spacing w:val="-1"/>
              </w:rPr>
              <w:t>m</w:t>
            </w:r>
            <w:r>
              <w:rPr>
                <w:spacing w:val="-1"/>
                <w:position w:val="10"/>
                <w:sz w:val="10"/>
                <w:szCs w:val="10"/>
              </w:rPr>
              <w:t>2</w:t>
            </w:r>
            <w:r>
              <w:rPr>
                <w:spacing w:val="-1"/>
              </w:rPr>
              <w:t>，处理能力</w:t>
            </w:r>
            <w:r>
              <w:rPr>
                <w:spacing w:val="-47"/>
              </w:rPr>
              <w:t xml:space="preserve"> </w:t>
            </w:r>
            <w:r>
              <w:rPr>
                <w:spacing w:val="-1"/>
              </w:rPr>
              <w:t>1400</w:t>
            </w:r>
            <w:r>
              <w:rPr>
                <w:spacing w:val="-2"/>
              </w:rPr>
              <w:t>t/d，</w:t>
            </w:r>
          </w:p>
          <w:p w14:paraId="042F0DB6">
            <w:pPr>
              <w:pStyle w:val="6"/>
              <w:spacing w:before="65" w:line="227" w:lineRule="auto"/>
              <w:ind w:left="110"/>
            </w:pPr>
            <w:r>
              <w:rPr>
                <w:spacing w:val="8"/>
              </w:rPr>
              <w:t>精矿脱水流程均采用浓密、过滤两段脱水</w:t>
            </w:r>
          </w:p>
          <w:p w14:paraId="4736AE15">
            <w:pPr>
              <w:pStyle w:val="6"/>
              <w:spacing w:before="66" w:line="227" w:lineRule="auto"/>
              <w:ind w:left="703"/>
            </w:pPr>
            <w:r>
              <w:rPr>
                <w:spacing w:val="11"/>
              </w:rPr>
              <w:t>流程，精矿最终水分8～10%</w:t>
            </w:r>
          </w:p>
        </w:tc>
        <w:tc>
          <w:tcPr>
            <w:tcW w:w="4057" w:type="dxa"/>
            <w:vAlign w:val="top"/>
          </w:tcPr>
          <w:p w14:paraId="78C69B30">
            <w:pPr>
              <w:pStyle w:val="6"/>
              <w:spacing w:before="54" w:line="274" w:lineRule="auto"/>
              <w:ind w:left="117" w:right="46" w:firstLine="26"/>
              <w:jc w:val="both"/>
            </w:pPr>
            <w:r>
              <w:rPr>
                <w:spacing w:val="9"/>
              </w:rPr>
              <w:t>新增高浓度搅拌槽，并延长陶瓷过滤机的</w:t>
            </w:r>
            <w:r>
              <w:rPr>
                <w:spacing w:val="2"/>
              </w:rPr>
              <w:t xml:space="preserve">  </w:t>
            </w:r>
            <w:r>
              <w:rPr>
                <w:spacing w:val="10"/>
              </w:rPr>
              <w:t>工作时间。依托现有脱水车间，新增处理</w:t>
            </w:r>
            <w:r>
              <w:rPr>
                <w:spacing w:val="7"/>
              </w:rPr>
              <w:t xml:space="preserve">  </w:t>
            </w:r>
            <w:r>
              <w:rPr>
                <w:spacing w:val="5"/>
              </w:rPr>
              <w:t>能力</w:t>
            </w:r>
            <w:r>
              <w:rPr>
                <w:spacing w:val="-24"/>
              </w:rPr>
              <w:t xml:space="preserve"> </w:t>
            </w:r>
            <w:r>
              <w:rPr>
                <w:spacing w:val="5"/>
              </w:rPr>
              <w:t>2000t/d，精矿脱水流程均采用浓密、</w:t>
            </w:r>
            <w:r>
              <w:t xml:space="preserve"> </w:t>
            </w:r>
            <w:r>
              <w:rPr>
                <w:spacing w:val="11"/>
              </w:rPr>
              <w:t>过滤两段脱水流程，精矿最终水分8～10%</w:t>
            </w:r>
          </w:p>
        </w:tc>
        <w:tc>
          <w:tcPr>
            <w:tcW w:w="4057" w:type="dxa"/>
            <w:vAlign w:val="top"/>
          </w:tcPr>
          <w:p w14:paraId="133B787F">
            <w:pPr>
              <w:pStyle w:val="6"/>
              <w:spacing w:before="196" w:line="241" w:lineRule="auto"/>
              <w:ind w:right="8"/>
              <w:jc w:val="right"/>
            </w:pPr>
            <w:r>
              <w:rPr>
                <w:spacing w:val="-4"/>
              </w:rPr>
              <w:t>1</w:t>
            </w:r>
            <w:r>
              <w:rPr>
                <w:spacing w:val="-20"/>
              </w:rPr>
              <w:t xml:space="preserve"> </w:t>
            </w:r>
            <w:r>
              <w:rPr>
                <w:spacing w:val="-4"/>
              </w:rPr>
              <w:t>座，建筑面积</w:t>
            </w:r>
            <w:r>
              <w:rPr>
                <w:spacing w:val="-34"/>
              </w:rPr>
              <w:t xml:space="preserve"> </w:t>
            </w:r>
            <w:r>
              <w:rPr>
                <w:spacing w:val="-4"/>
              </w:rPr>
              <w:t>2160</w:t>
            </w:r>
            <w:r>
              <w:rPr>
                <w:spacing w:val="-46"/>
              </w:rPr>
              <w:t xml:space="preserve"> </w:t>
            </w:r>
            <w:r>
              <w:rPr>
                <w:spacing w:val="-4"/>
              </w:rPr>
              <w:t>m</w:t>
            </w:r>
            <w:r>
              <w:rPr>
                <w:spacing w:val="-4"/>
                <w:position w:val="10"/>
                <w:sz w:val="10"/>
                <w:szCs w:val="10"/>
              </w:rPr>
              <w:t>2</w:t>
            </w:r>
            <w:r>
              <w:rPr>
                <w:spacing w:val="-4"/>
              </w:rPr>
              <w:t>，处理能力</w:t>
            </w:r>
            <w:r>
              <w:rPr>
                <w:spacing w:val="-33"/>
              </w:rPr>
              <w:t xml:space="preserve"> </w:t>
            </w:r>
            <w:r>
              <w:rPr>
                <w:spacing w:val="-4"/>
              </w:rPr>
              <w:t>3400t/d，</w:t>
            </w:r>
          </w:p>
          <w:p w14:paraId="02E898F6">
            <w:pPr>
              <w:pStyle w:val="6"/>
              <w:spacing w:before="65" w:line="227" w:lineRule="auto"/>
              <w:ind w:left="144"/>
            </w:pPr>
            <w:r>
              <w:rPr>
                <w:spacing w:val="9"/>
              </w:rPr>
              <w:t>精矿脱水流程均采用浓密、过滤两段脱水</w:t>
            </w:r>
          </w:p>
          <w:p w14:paraId="659DDC95">
            <w:pPr>
              <w:pStyle w:val="6"/>
              <w:spacing w:before="66" w:line="227" w:lineRule="auto"/>
              <w:ind w:left="750"/>
            </w:pPr>
            <w:r>
              <w:rPr>
                <w:spacing w:val="11"/>
              </w:rPr>
              <w:t>流程，精矿最终水分8～10%</w:t>
            </w:r>
          </w:p>
        </w:tc>
        <w:tc>
          <w:tcPr>
            <w:tcW w:w="755" w:type="dxa"/>
            <w:vAlign w:val="top"/>
          </w:tcPr>
          <w:p w14:paraId="2CA1A221">
            <w:pPr>
              <w:spacing w:line="301" w:lineRule="auto"/>
              <w:rPr>
                <w:rFonts w:ascii="Arial"/>
                <w:sz w:val="21"/>
              </w:rPr>
            </w:pPr>
          </w:p>
          <w:p w14:paraId="5B0382D8">
            <w:pPr>
              <w:pStyle w:val="6"/>
              <w:spacing w:before="65" w:line="289" w:lineRule="auto"/>
              <w:ind w:left="172" w:right="65" w:hanging="56"/>
            </w:pPr>
            <w:r>
              <w:rPr>
                <w:spacing w:val="-11"/>
              </w:rPr>
              <w:t>依托，</w:t>
            </w:r>
            <w:r>
              <w:t xml:space="preserve"> </w:t>
            </w:r>
            <w:r>
              <w:rPr>
                <w:spacing w:val="4"/>
              </w:rPr>
              <w:t>技改</w:t>
            </w:r>
          </w:p>
        </w:tc>
      </w:tr>
      <w:tr w14:paraId="47322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51" w:type="dxa"/>
            <w:vMerge w:val="continue"/>
            <w:tcBorders>
              <w:top w:val="nil"/>
            </w:tcBorders>
            <w:textDirection w:val="tbRlV"/>
            <w:vAlign w:val="top"/>
          </w:tcPr>
          <w:p w14:paraId="4FEBD26E">
            <w:pPr>
              <w:rPr>
                <w:rFonts w:ascii="Arial"/>
                <w:sz w:val="21"/>
              </w:rPr>
            </w:pPr>
          </w:p>
        </w:tc>
        <w:tc>
          <w:tcPr>
            <w:tcW w:w="897" w:type="dxa"/>
            <w:vAlign w:val="top"/>
          </w:tcPr>
          <w:p w14:paraId="0E221631">
            <w:pPr>
              <w:pStyle w:val="6"/>
              <w:spacing w:before="58" w:line="227" w:lineRule="auto"/>
              <w:ind w:left="135"/>
            </w:pPr>
            <w:r>
              <w:rPr>
                <w:spacing w:val="6"/>
              </w:rPr>
              <w:t>精矿车</w:t>
            </w:r>
          </w:p>
          <w:p w14:paraId="7EE99E30">
            <w:pPr>
              <w:pStyle w:val="6"/>
              <w:spacing w:before="65" w:line="231" w:lineRule="auto"/>
              <w:ind w:left="361"/>
            </w:pPr>
            <w:r>
              <w:t>间</w:t>
            </w:r>
          </w:p>
        </w:tc>
        <w:tc>
          <w:tcPr>
            <w:tcW w:w="3970" w:type="dxa"/>
            <w:vAlign w:val="top"/>
          </w:tcPr>
          <w:p w14:paraId="4D1FEE2E">
            <w:pPr>
              <w:pStyle w:val="6"/>
              <w:spacing w:before="41" w:line="264" w:lineRule="exact"/>
              <w:ind w:left="125"/>
            </w:pPr>
            <w:r>
              <w:rPr>
                <w:spacing w:val="6"/>
              </w:rPr>
              <w:t>1</w:t>
            </w:r>
            <w:r>
              <w:rPr>
                <w:spacing w:val="-36"/>
              </w:rPr>
              <w:t xml:space="preserve"> </w:t>
            </w:r>
            <w:r>
              <w:rPr>
                <w:spacing w:val="6"/>
              </w:rPr>
              <w:t>座，建筑面积</w:t>
            </w:r>
            <w:r>
              <w:rPr>
                <w:spacing w:val="-36"/>
              </w:rPr>
              <w:t xml:space="preserve"> </w:t>
            </w:r>
            <w:r>
              <w:rPr>
                <w:spacing w:val="6"/>
              </w:rPr>
              <w:t>2430m</w:t>
            </w:r>
            <w:r>
              <w:rPr>
                <w:spacing w:val="6"/>
                <w:position w:val="10"/>
                <w:sz w:val="10"/>
                <w:szCs w:val="10"/>
              </w:rPr>
              <w:t>2</w:t>
            </w:r>
            <w:r>
              <w:rPr>
                <w:spacing w:val="-25"/>
                <w:position w:val="10"/>
                <w:sz w:val="10"/>
                <w:szCs w:val="10"/>
              </w:rPr>
              <w:t xml:space="preserve"> </w:t>
            </w:r>
            <w:r>
              <w:rPr>
                <w:spacing w:val="6"/>
              </w:rPr>
              <w:t>，用于暂存脱水车</w:t>
            </w:r>
          </w:p>
          <w:p w14:paraId="030B56AB">
            <w:pPr>
              <w:pStyle w:val="6"/>
              <w:spacing w:before="65" w:line="227" w:lineRule="auto"/>
              <w:ind w:left="954"/>
            </w:pPr>
            <w:r>
              <w:rPr>
                <w:spacing w:val="6"/>
              </w:rPr>
              <w:t>间脱水后的各类精矿。</w:t>
            </w:r>
          </w:p>
        </w:tc>
        <w:tc>
          <w:tcPr>
            <w:tcW w:w="4057" w:type="dxa"/>
            <w:vAlign w:val="top"/>
          </w:tcPr>
          <w:p w14:paraId="10A5A387">
            <w:pPr>
              <w:pStyle w:val="6"/>
              <w:spacing w:before="214" w:line="227" w:lineRule="auto"/>
              <w:ind w:left="1193"/>
            </w:pPr>
            <w:r>
              <w:rPr>
                <w:spacing w:val="8"/>
              </w:rPr>
              <w:t>依托现有精矿车间</w:t>
            </w:r>
          </w:p>
        </w:tc>
        <w:tc>
          <w:tcPr>
            <w:tcW w:w="4057" w:type="dxa"/>
            <w:vAlign w:val="top"/>
          </w:tcPr>
          <w:p w14:paraId="6446BD7A">
            <w:pPr>
              <w:pStyle w:val="6"/>
              <w:spacing w:before="41" w:line="264" w:lineRule="exact"/>
              <w:ind w:left="133"/>
            </w:pPr>
            <w:r>
              <w:rPr>
                <w:spacing w:val="4"/>
              </w:rPr>
              <w:t>1</w:t>
            </w:r>
            <w:r>
              <w:rPr>
                <w:spacing w:val="-23"/>
              </w:rPr>
              <w:t xml:space="preserve"> </w:t>
            </w:r>
            <w:r>
              <w:rPr>
                <w:spacing w:val="4"/>
              </w:rPr>
              <w:t>座，建筑面积</w:t>
            </w:r>
            <w:r>
              <w:rPr>
                <w:spacing w:val="-35"/>
              </w:rPr>
              <w:t xml:space="preserve"> </w:t>
            </w:r>
            <w:r>
              <w:rPr>
                <w:spacing w:val="4"/>
              </w:rPr>
              <w:t>2430 m</w:t>
            </w:r>
            <w:r>
              <w:rPr>
                <w:spacing w:val="4"/>
                <w:position w:val="10"/>
                <w:sz w:val="10"/>
                <w:szCs w:val="10"/>
              </w:rPr>
              <w:t>2</w:t>
            </w:r>
            <w:r>
              <w:rPr>
                <w:spacing w:val="-25"/>
                <w:position w:val="10"/>
                <w:sz w:val="10"/>
                <w:szCs w:val="10"/>
              </w:rPr>
              <w:t xml:space="preserve"> </w:t>
            </w:r>
            <w:r>
              <w:rPr>
                <w:spacing w:val="4"/>
              </w:rPr>
              <w:t>，用于暂存脱水车</w:t>
            </w:r>
          </w:p>
          <w:p w14:paraId="7C16481A">
            <w:pPr>
              <w:pStyle w:val="6"/>
              <w:spacing w:before="65" w:line="227" w:lineRule="auto"/>
              <w:ind w:left="1001"/>
            </w:pPr>
            <w:r>
              <w:rPr>
                <w:spacing w:val="6"/>
              </w:rPr>
              <w:t>间脱水后的各类精矿。</w:t>
            </w:r>
          </w:p>
        </w:tc>
        <w:tc>
          <w:tcPr>
            <w:tcW w:w="755" w:type="dxa"/>
            <w:vAlign w:val="top"/>
          </w:tcPr>
          <w:p w14:paraId="6B872EC7">
            <w:pPr>
              <w:pStyle w:val="6"/>
              <w:spacing w:before="214" w:line="227" w:lineRule="auto"/>
              <w:ind w:left="174"/>
            </w:pPr>
            <w:r>
              <w:rPr>
                <w:spacing w:val="3"/>
              </w:rPr>
              <w:t>依托</w:t>
            </w:r>
          </w:p>
        </w:tc>
      </w:tr>
    </w:tbl>
    <w:p w14:paraId="0DDB3B97">
      <w:pPr>
        <w:pStyle w:val="2"/>
      </w:pPr>
    </w:p>
    <w:p w14:paraId="1D3131AE">
      <w:pPr>
        <w:sectPr>
          <w:headerReference r:id="rId95" w:type="default"/>
          <w:footerReference r:id="rId96" w:type="default"/>
          <w:pgSz w:w="16839" w:h="11906"/>
          <w:pgMar w:top="1208" w:right="1273" w:bottom="1355" w:left="1272" w:header="825" w:footer="1195" w:gutter="0"/>
          <w:cols w:space="720" w:num="1"/>
        </w:sectPr>
      </w:pPr>
    </w:p>
    <w:p w14:paraId="18B1CE4D">
      <w:pPr>
        <w:spacing w:before="53"/>
      </w:pPr>
    </w:p>
    <w:p w14:paraId="6BD1F757">
      <w:pPr>
        <w:spacing w:before="52"/>
      </w:pP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897"/>
        <w:gridCol w:w="3970"/>
        <w:gridCol w:w="4057"/>
        <w:gridCol w:w="4057"/>
        <w:gridCol w:w="755"/>
      </w:tblGrid>
      <w:tr w14:paraId="0C8A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551" w:type="dxa"/>
            <w:vAlign w:val="top"/>
          </w:tcPr>
          <w:p w14:paraId="6C5E9C42">
            <w:pPr>
              <w:rPr>
                <w:rFonts w:ascii="Arial"/>
                <w:sz w:val="21"/>
              </w:rPr>
            </w:pPr>
          </w:p>
        </w:tc>
        <w:tc>
          <w:tcPr>
            <w:tcW w:w="897" w:type="dxa"/>
            <w:vAlign w:val="top"/>
          </w:tcPr>
          <w:p w14:paraId="4DB61D6A">
            <w:pPr>
              <w:pStyle w:val="6"/>
              <w:spacing w:before="206" w:line="290" w:lineRule="auto"/>
              <w:ind w:left="134" w:right="135" w:hanging="26"/>
            </w:pPr>
            <w:r>
              <w:rPr>
                <w:rFonts w:ascii="Times New Roman" w:hAnsi="Times New Roman" w:eastAsia="Times New Roman" w:cs="Times New Roman"/>
                <w:spacing w:val="3"/>
              </w:rPr>
              <w:t>2000t/d</w:t>
            </w:r>
            <w:r>
              <w:rPr>
                <w:rFonts w:ascii="Times New Roman" w:hAnsi="Times New Roman" w:eastAsia="Times New Roman" w:cs="Times New Roman"/>
                <w:spacing w:val="2"/>
              </w:rPr>
              <w:t xml:space="preserve"> </w:t>
            </w:r>
            <w:r>
              <w:rPr>
                <w:spacing w:val="7"/>
              </w:rPr>
              <w:t>选矿车</w:t>
            </w:r>
          </w:p>
          <w:p w14:paraId="3CB74C70">
            <w:pPr>
              <w:pStyle w:val="6"/>
              <w:spacing w:line="230" w:lineRule="auto"/>
              <w:ind w:left="361"/>
            </w:pPr>
            <w:r>
              <w:t>间</w:t>
            </w:r>
          </w:p>
        </w:tc>
        <w:tc>
          <w:tcPr>
            <w:tcW w:w="3970" w:type="dxa"/>
            <w:vAlign w:val="top"/>
          </w:tcPr>
          <w:p w14:paraId="7C444AEF">
            <w:pPr>
              <w:pStyle w:val="6"/>
              <w:spacing w:before="157" w:line="264" w:lineRule="exact"/>
              <w:ind w:left="127"/>
            </w:pPr>
            <w:r>
              <w:rPr>
                <w:spacing w:val="4"/>
              </w:rPr>
              <w:t>建筑面积</w:t>
            </w:r>
            <w:r>
              <w:rPr>
                <w:spacing w:val="-22"/>
              </w:rPr>
              <w:t xml:space="preserve"> </w:t>
            </w:r>
            <w:r>
              <w:rPr>
                <w:spacing w:val="4"/>
              </w:rPr>
              <w:t>3600m</w:t>
            </w:r>
            <w:r>
              <w:rPr>
                <w:spacing w:val="4"/>
                <w:position w:val="10"/>
                <w:sz w:val="10"/>
                <w:szCs w:val="10"/>
              </w:rPr>
              <w:t>2</w:t>
            </w:r>
            <w:r>
              <w:rPr>
                <w:spacing w:val="-24"/>
                <w:position w:val="10"/>
                <w:sz w:val="10"/>
                <w:szCs w:val="10"/>
              </w:rPr>
              <w:t xml:space="preserve"> </w:t>
            </w:r>
            <w:r>
              <w:rPr>
                <w:spacing w:val="4"/>
              </w:rPr>
              <w:t>，选矿能力</w:t>
            </w:r>
            <w:r>
              <w:rPr>
                <w:spacing w:val="-37"/>
              </w:rPr>
              <w:t xml:space="preserve"> </w:t>
            </w:r>
            <w:r>
              <w:rPr>
                <w:spacing w:val="4"/>
              </w:rPr>
              <w:t>2000t/d，包</w:t>
            </w:r>
          </w:p>
          <w:p w14:paraId="1807C3C2">
            <w:pPr>
              <w:pStyle w:val="6"/>
              <w:spacing w:before="64" w:line="228" w:lineRule="auto"/>
              <w:ind w:left="110"/>
            </w:pPr>
            <w:r>
              <w:rPr>
                <w:spacing w:val="8"/>
              </w:rPr>
              <w:t>括破碎、磨矿、浮选和产品、尾矿及中矿</w:t>
            </w:r>
          </w:p>
          <w:p w14:paraId="4EBFDC60">
            <w:pPr>
              <w:pStyle w:val="6"/>
              <w:spacing w:before="65" w:line="228" w:lineRule="auto"/>
              <w:ind w:left="1464"/>
            </w:pPr>
            <w:r>
              <w:rPr>
                <w:spacing w:val="5"/>
              </w:rPr>
              <w:t>脱水设备。</w:t>
            </w:r>
          </w:p>
        </w:tc>
        <w:tc>
          <w:tcPr>
            <w:tcW w:w="4057" w:type="dxa"/>
            <w:vAlign w:val="top"/>
          </w:tcPr>
          <w:p w14:paraId="66403A2F">
            <w:pPr>
              <w:spacing w:line="419" w:lineRule="auto"/>
              <w:rPr>
                <w:rFonts w:ascii="Arial"/>
                <w:sz w:val="21"/>
              </w:rPr>
            </w:pPr>
          </w:p>
          <w:p w14:paraId="20A81E8B">
            <w:pPr>
              <w:pStyle w:val="6"/>
              <w:spacing w:before="65" w:line="228" w:lineRule="auto"/>
              <w:ind w:left="1824"/>
            </w:pPr>
            <w:r>
              <w:rPr>
                <w:spacing w:val="4"/>
              </w:rPr>
              <w:t>停用</w:t>
            </w:r>
          </w:p>
        </w:tc>
        <w:tc>
          <w:tcPr>
            <w:tcW w:w="4057" w:type="dxa"/>
            <w:vAlign w:val="top"/>
          </w:tcPr>
          <w:p w14:paraId="247A0B20">
            <w:pPr>
              <w:spacing w:line="263" w:lineRule="auto"/>
              <w:rPr>
                <w:rFonts w:ascii="Arial"/>
                <w:sz w:val="21"/>
              </w:rPr>
            </w:pPr>
          </w:p>
          <w:p w14:paraId="4CB45028">
            <w:pPr>
              <w:pStyle w:val="6"/>
              <w:spacing w:before="65" w:line="228" w:lineRule="auto"/>
              <w:ind w:left="111"/>
              <w:rPr>
                <w:rFonts w:ascii="Times New Roman" w:hAnsi="Times New Roman" w:eastAsia="Times New Roman" w:cs="Times New Roman"/>
              </w:rPr>
            </w:pPr>
            <w:r>
              <w:rPr>
                <w:spacing w:val="7"/>
              </w:rPr>
              <w:t>将</w:t>
            </w:r>
            <w:r>
              <w:rPr>
                <w:rFonts w:ascii="Times New Roman" w:hAnsi="Times New Roman" w:eastAsia="Times New Roman" w:cs="Times New Roman"/>
                <w:spacing w:val="7"/>
              </w:rPr>
              <w:t>2000t</w:t>
            </w:r>
            <w:r>
              <w:rPr>
                <w:spacing w:val="7"/>
              </w:rPr>
              <w:t>选厂产能置换至新选厂，原</w:t>
            </w:r>
            <w:r>
              <w:rPr>
                <w:rFonts w:ascii="Times New Roman" w:hAnsi="Times New Roman" w:eastAsia="Times New Roman" w:cs="Times New Roman"/>
                <w:spacing w:val="7"/>
              </w:rPr>
              <w:t>2</w:t>
            </w:r>
            <w:r>
              <w:rPr>
                <w:rFonts w:ascii="Times New Roman" w:hAnsi="Times New Roman" w:eastAsia="Times New Roman" w:cs="Times New Roman"/>
                <w:spacing w:val="6"/>
              </w:rPr>
              <w:t>000t/d</w:t>
            </w:r>
          </w:p>
          <w:p w14:paraId="5B7A4DFB">
            <w:pPr>
              <w:pStyle w:val="6"/>
              <w:spacing w:before="64" w:line="228" w:lineRule="auto"/>
              <w:ind w:left="1298"/>
            </w:pPr>
            <w:r>
              <w:rPr>
                <w:spacing w:val="7"/>
              </w:rPr>
              <w:t>选矿车间停用。</w:t>
            </w:r>
          </w:p>
        </w:tc>
        <w:tc>
          <w:tcPr>
            <w:tcW w:w="755" w:type="dxa"/>
            <w:vAlign w:val="top"/>
          </w:tcPr>
          <w:p w14:paraId="1EEF899A">
            <w:pPr>
              <w:spacing w:line="419" w:lineRule="auto"/>
              <w:rPr>
                <w:rFonts w:ascii="Arial"/>
                <w:sz w:val="21"/>
              </w:rPr>
            </w:pPr>
          </w:p>
          <w:p w14:paraId="55CD6F37">
            <w:pPr>
              <w:pStyle w:val="6"/>
              <w:spacing w:before="65" w:line="228" w:lineRule="auto"/>
              <w:ind w:left="173"/>
            </w:pPr>
            <w:r>
              <w:rPr>
                <w:spacing w:val="4"/>
              </w:rPr>
              <w:t>停用</w:t>
            </w:r>
          </w:p>
        </w:tc>
      </w:tr>
      <w:tr w14:paraId="604CE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51" w:type="dxa"/>
            <w:vMerge w:val="restart"/>
            <w:tcBorders>
              <w:bottom w:val="nil"/>
            </w:tcBorders>
            <w:textDirection w:val="tbRlV"/>
            <w:vAlign w:val="top"/>
          </w:tcPr>
          <w:p w14:paraId="66C9F659">
            <w:pPr>
              <w:pStyle w:val="6"/>
              <w:spacing w:before="169" w:line="216" w:lineRule="auto"/>
              <w:ind w:left="1896"/>
            </w:pPr>
            <w:r>
              <w:rPr>
                <w:spacing w:val="6"/>
              </w:rPr>
              <w:t>公 用 工 程</w:t>
            </w:r>
          </w:p>
        </w:tc>
        <w:tc>
          <w:tcPr>
            <w:tcW w:w="897" w:type="dxa"/>
            <w:vAlign w:val="top"/>
          </w:tcPr>
          <w:p w14:paraId="03D0B29D">
            <w:pPr>
              <w:spacing w:line="472" w:lineRule="auto"/>
              <w:rPr>
                <w:rFonts w:ascii="Arial"/>
                <w:sz w:val="21"/>
              </w:rPr>
            </w:pPr>
          </w:p>
          <w:p w14:paraId="062D4C56">
            <w:pPr>
              <w:pStyle w:val="6"/>
              <w:spacing w:before="65" w:line="227" w:lineRule="auto"/>
              <w:ind w:left="135"/>
            </w:pPr>
            <w:r>
              <w:rPr>
                <w:spacing w:val="6"/>
              </w:rPr>
              <w:t>供水系</w:t>
            </w:r>
          </w:p>
          <w:p w14:paraId="7BC43A85">
            <w:pPr>
              <w:pStyle w:val="6"/>
              <w:spacing w:before="25" w:line="229" w:lineRule="auto"/>
              <w:ind w:left="349"/>
            </w:pPr>
            <w:r>
              <w:t>统</w:t>
            </w:r>
          </w:p>
        </w:tc>
        <w:tc>
          <w:tcPr>
            <w:tcW w:w="3970" w:type="dxa"/>
            <w:vAlign w:val="top"/>
          </w:tcPr>
          <w:p w14:paraId="098A634D">
            <w:pPr>
              <w:pStyle w:val="6"/>
              <w:spacing w:before="31" w:line="252" w:lineRule="auto"/>
              <w:ind w:left="112" w:right="109" w:firstLine="419"/>
              <w:jc w:val="both"/>
            </w:pPr>
            <w:r>
              <w:rPr>
                <w:spacing w:val="7"/>
              </w:rPr>
              <w:t>生产用水来源于矿井疏干水，生活用</w:t>
            </w:r>
            <w:r>
              <w:rPr>
                <w:spacing w:val="10"/>
              </w:rPr>
              <w:t xml:space="preserve"> </w:t>
            </w:r>
            <w:r>
              <w:rPr>
                <w:spacing w:val="7"/>
              </w:rPr>
              <w:t>水来源于水源地深井水，水房距办公生活</w:t>
            </w:r>
            <w:r>
              <w:rPr>
                <w:spacing w:val="16"/>
              </w:rPr>
              <w:t xml:space="preserve"> </w:t>
            </w:r>
            <w:r>
              <w:rPr>
                <w:spacing w:val="8"/>
              </w:rPr>
              <w:t>区西</w:t>
            </w:r>
            <w:r>
              <w:rPr>
                <w:spacing w:val="-36"/>
              </w:rPr>
              <w:t xml:space="preserve"> </w:t>
            </w:r>
            <w:r>
              <w:rPr>
                <w:spacing w:val="8"/>
              </w:rPr>
              <w:t>6</w:t>
            </w:r>
            <w:r>
              <w:t>km</w:t>
            </w:r>
            <w:r>
              <w:rPr>
                <w:spacing w:val="8"/>
              </w:rPr>
              <w:t>，</w:t>
            </w:r>
            <w:r>
              <w:rPr>
                <w:spacing w:val="-58"/>
              </w:rPr>
              <w:t xml:space="preserve"> </w:t>
            </w:r>
            <w:r>
              <w:rPr>
                <w:spacing w:val="8"/>
              </w:rPr>
              <w:t>已取得取水许可证（取水（西</w:t>
            </w:r>
            <w:r>
              <w:t xml:space="preserve"> </w:t>
            </w:r>
            <w:r>
              <w:rPr>
                <w:spacing w:val="6"/>
              </w:rPr>
              <w:t>水）字[2018]第</w:t>
            </w:r>
            <w:r>
              <w:rPr>
                <w:spacing w:val="-27"/>
              </w:rPr>
              <w:t xml:space="preserve"> </w:t>
            </w:r>
            <w:r>
              <w:rPr>
                <w:spacing w:val="6"/>
              </w:rPr>
              <w:t>01</w:t>
            </w:r>
            <w:r>
              <w:rPr>
                <w:spacing w:val="-31"/>
              </w:rPr>
              <w:t xml:space="preserve"> </w:t>
            </w:r>
            <w:r>
              <w:rPr>
                <w:spacing w:val="6"/>
              </w:rPr>
              <w:t>号</w:t>
            </w:r>
            <w:r>
              <w:rPr>
                <w:spacing w:val="-11"/>
              </w:rPr>
              <w:t>）</w:t>
            </w:r>
            <w:r>
              <w:rPr>
                <w:spacing w:val="-52"/>
              </w:rPr>
              <w:t xml:space="preserve"> </w:t>
            </w:r>
            <w:r>
              <w:rPr>
                <w:spacing w:val="-11"/>
              </w:rPr>
              <w:t>，</w:t>
            </w:r>
            <w:r>
              <w:rPr>
                <w:spacing w:val="-40"/>
              </w:rPr>
              <w:t xml:space="preserve"> </w:t>
            </w:r>
            <w:r>
              <w:rPr>
                <w:spacing w:val="6"/>
              </w:rPr>
              <w:t>日常生活用水</w:t>
            </w:r>
            <w:r>
              <w:t xml:space="preserve"> </w:t>
            </w:r>
            <w:r>
              <w:rPr>
                <w:spacing w:val="6"/>
              </w:rPr>
              <w:t>由水车拉运。</w:t>
            </w:r>
          </w:p>
        </w:tc>
        <w:tc>
          <w:tcPr>
            <w:tcW w:w="4057" w:type="dxa"/>
            <w:vAlign w:val="top"/>
          </w:tcPr>
          <w:p w14:paraId="2550685A">
            <w:pPr>
              <w:spacing w:line="304" w:lineRule="auto"/>
              <w:rPr>
                <w:rFonts w:ascii="Arial"/>
                <w:sz w:val="21"/>
              </w:rPr>
            </w:pPr>
          </w:p>
          <w:p w14:paraId="0BB47449">
            <w:pPr>
              <w:spacing w:line="304" w:lineRule="auto"/>
              <w:rPr>
                <w:rFonts w:ascii="Arial"/>
                <w:sz w:val="21"/>
              </w:rPr>
            </w:pPr>
          </w:p>
          <w:p w14:paraId="27869367">
            <w:pPr>
              <w:pStyle w:val="6"/>
              <w:spacing w:before="65" w:line="227" w:lineRule="auto"/>
              <w:ind w:left="1193"/>
            </w:pPr>
            <w:r>
              <w:rPr>
                <w:spacing w:val="8"/>
              </w:rPr>
              <w:t>依托现有供水系统</w:t>
            </w:r>
          </w:p>
        </w:tc>
        <w:tc>
          <w:tcPr>
            <w:tcW w:w="4057" w:type="dxa"/>
            <w:vAlign w:val="top"/>
          </w:tcPr>
          <w:p w14:paraId="35854BA2">
            <w:pPr>
              <w:pStyle w:val="6"/>
              <w:spacing w:before="53" w:line="277" w:lineRule="auto"/>
              <w:ind w:left="112" w:right="104" w:firstLine="2"/>
              <w:jc w:val="both"/>
            </w:pPr>
            <w:r>
              <w:rPr>
                <w:spacing w:val="9"/>
              </w:rPr>
              <w:t>生产用水来源于矿井疏干水，生活用水来</w:t>
            </w:r>
            <w:r>
              <w:rPr>
                <w:spacing w:val="4"/>
              </w:rPr>
              <w:t xml:space="preserve"> </w:t>
            </w:r>
            <w:r>
              <w:rPr>
                <w:spacing w:val="9"/>
              </w:rPr>
              <w:t>源于水源地深井水，水房距办公生活区西</w:t>
            </w:r>
            <w:r>
              <w:rPr>
                <w:spacing w:val="7"/>
              </w:rPr>
              <w:t xml:space="preserve"> 6</w:t>
            </w:r>
            <w:r>
              <w:t>km</w:t>
            </w:r>
            <w:r>
              <w:rPr>
                <w:spacing w:val="7"/>
              </w:rPr>
              <w:t>，已取得取水许可证（取水（西水）字</w:t>
            </w:r>
            <w:r>
              <w:rPr>
                <w:spacing w:val="8"/>
              </w:rPr>
              <w:t xml:space="preserve"> </w:t>
            </w:r>
            <w:r>
              <w:rPr>
                <w:spacing w:val="4"/>
              </w:rPr>
              <w:t>[2018]第</w:t>
            </w:r>
            <w:r>
              <w:rPr>
                <w:spacing w:val="-37"/>
              </w:rPr>
              <w:t xml:space="preserve"> </w:t>
            </w:r>
            <w:r>
              <w:rPr>
                <w:spacing w:val="4"/>
              </w:rPr>
              <w:t>01</w:t>
            </w:r>
            <w:r>
              <w:rPr>
                <w:spacing w:val="-36"/>
              </w:rPr>
              <w:t xml:space="preserve"> </w:t>
            </w:r>
            <w:r>
              <w:rPr>
                <w:spacing w:val="4"/>
              </w:rPr>
              <w:t>号</w:t>
            </w:r>
            <w:r>
              <w:rPr>
                <w:spacing w:val="12"/>
              </w:rPr>
              <w:t>），</w:t>
            </w:r>
            <w:r>
              <w:rPr>
                <w:spacing w:val="4"/>
              </w:rPr>
              <w:t>日常生活用水由水车拉</w:t>
            </w:r>
            <w:r>
              <w:t xml:space="preserve"> 运。</w:t>
            </w:r>
          </w:p>
        </w:tc>
        <w:tc>
          <w:tcPr>
            <w:tcW w:w="755" w:type="dxa"/>
            <w:vAlign w:val="top"/>
          </w:tcPr>
          <w:p w14:paraId="757962C1">
            <w:pPr>
              <w:spacing w:line="304" w:lineRule="auto"/>
              <w:rPr>
                <w:rFonts w:ascii="Arial"/>
                <w:sz w:val="21"/>
              </w:rPr>
            </w:pPr>
          </w:p>
          <w:p w14:paraId="3872AED0">
            <w:pPr>
              <w:spacing w:line="304" w:lineRule="auto"/>
              <w:rPr>
                <w:rFonts w:ascii="Arial"/>
                <w:sz w:val="21"/>
              </w:rPr>
            </w:pPr>
          </w:p>
          <w:p w14:paraId="24937616">
            <w:pPr>
              <w:pStyle w:val="6"/>
              <w:spacing w:before="65" w:line="227" w:lineRule="auto"/>
              <w:ind w:left="174"/>
            </w:pPr>
            <w:r>
              <w:rPr>
                <w:spacing w:val="3"/>
              </w:rPr>
              <w:t>依托</w:t>
            </w:r>
          </w:p>
        </w:tc>
      </w:tr>
      <w:tr w14:paraId="45C3B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551" w:type="dxa"/>
            <w:vMerge w:val="continue"/>
            <w:tcBorders>
              <w:top w:val="nil"/>
              <w:bottom w:val="nil"/>
            </w:tcBorders>
            <w:textDirection w:val="tbRlV"/>
            <w:vAlign w:val="top"/>
          </w:tcPr>
          <w:p w14:paraId="4BE41964">
            <w:pPr>
              <w:rPr>
                <w:rFonts w:ascii="Arial"/>
                <w:sz w:val="21"/>
              </w:rPr>
            </w:pPr>
          </w:p>
        </w:tc>
        <w:tc>
          <w:tcPr>
            <w:tcW w:w="897" w:type="dxa"/>
            <w:vAlign w:val="top"/>
          </w:tcPr>
          <w:p w14:paraId="3184D729">
            <w:pPr>
              <w:spacing w:line="322" w:lineRule="auto"/>
              <w:rPr>
                <w:rFonts w:ascii="Arial"/>
                <w:sz w:val="21"/>
              </w:rPr>
            </w:pPr>
          </w:p>
          <w:p w14:paraId="6919E452">
            <w:pPr>
              <w:spacing w:line="322" w:lineRule="auto"/>
              <w:rPr>
                <w:rFonts w:ascii="Arial"/>
                <w:sz w:val="21"/>
              </w:rPr>
            </w:pPr>
          </w:p>
          <w:p w14:paraId="02B76109">
            <w:pPr>
              <w:pStyle w:val="6"/>
              <w:spacing w:before="65" w:line="227" w:lineRule="auto"/>
              <w:ind w:left="135"/>
            </w:pPr>
            <w:r>
              <w:rPr>
                <w:spacing w:val="6"/>
              </w:rPr>
              <w:t>供电系</w:t>
            </w:r>
          </w:p>
          <w:p w14:paraId="0CA9EAE6">
            <w:pPr>
              <w:pStyle w:val="6"/>
              <w:spacing w:before="25" w:line="229" w:lineRule="auto"/>
              <w:ind w:left="349"/>
            </w:pPr>
            <w:r>
              <w:t>统</w:t>
            </w:r>
          </w:p>
        </w:tc>
        <w:tc>
          <w:tcPr>
            <w:tcW w:w="3970" w:type="dxa"/>
            <w:vAlign w:val="top"/>
          </w:tcPr>
          <w:p w14:paraId="1CC6AF26">
            <w:pPr>
              <w:pStyle w:val="6"/>
              <w:spacing w:before="34" w:line="246" w:lineRule="auto"/>
              <w:ind w:left="110" w:right="57" w:firstLine="420"/>
              <w:jc w:val="both"/>
            </w:pPr>
            <w:r>
              <w:rPr>
                <w:spacing w:val="12"/>
              </w:rPr>
              <w:t>供电电源来自宝日格斯台</w:t>
            </w:r>
            <w:r>
              <w:rPr>
                <w:spacing w:val="-20"/>
              </w:rPr>
              <w:t xml:space="preserve"> </w:t>
            </w:r>
            <w:r>
              <w:rPr>
                <w:spacing w:val="12"/>
              </w:rPr>
              <w:t>35</w:t>
            </w:r>
            <w:r>
              <w:t>kV</w:t>
            </w:r>
            <w:r>
              <w:rPr>
                <w:spacing w:val="-36"/>
              </w:rPr>
              <w:t xml:space="preserve"> </w:t>
            </w:r>
            <w:r>
              <w:rPr>
                <w:spacing w:val="12"/>
              </w:rPr>
              <w:t>变电</w:t>
            </w:r>
            <w:r>
              <w:t xml:space="preserve"> </w:t>
            </w:r>
            <w:r>
              <w:rPr>
                <w:spacing w:val="8"/>
              </w:rPr>
              <w:t>站，在选矿工业场地建</w:t>
            </w:r>
            <w:r>
              <w:rPr>
                <w:spacing w:val="-8"/>
              </w:rPr>
              <w:t xml:space="preserve"> </w:t>
            </w:r>
            <w:r>
              <w:rPr>
                <w:spacing w:val="8"/>
              </w:rPr>
              <w:t>1</w:t>
            </w:r>
            <w:r>
              <w:rPr>
                <w:spacing w:val="-32"/>
              </w:rPr>
              <w:t xml:space="preserve"> </w:t>
            </w:r>
            <w:r>
              <w:rPr>
                <w:spacing w:val="8"/>
              </w:rPr>
              <w:t>座选矿</w:t>
            </w:r>
            <w:r>
              <w:rPr>
                <w:spacing w:val="-16"/>
              </w:rPr>
              <w:t xml:space="preserve"> </w:t>
            </w:r>
            <w:r>
              <w:rPr>
                <w:spacing w:val="8"/>
              </w:rPr>
              <w:t>10</w:t>
            </w:r>
            <w:r>
              <w:t>kV</w:t>
            </w:r>
            <w:r>
              <w:rPr>
                <w:spacing w:val="-36"/>
              </w:rPr>
              <w:t xml:space="preserve"> </w:t>
            </w:r>
            <w:r>
              <w:rPr>
                <w:spacing w:val="8"/>
              </w:rPr>
              <w:t>变</w:t>
            </w:r>
            <w:r>
              <w:t xml:space="preserve"> </w:t>
            </w:r>
            <w:r>
              <w:rPr>
                <w:spacing w:val="8"/>
              </w:rPr>
              <w:t>配电所，</w:t>
            </w:r>
            <w:r>
              <w:rPr>
                <w:spacing w:val="-41"/>
              </w:rPr>
              <w:t xml:space="preserve"> </w:t>
            </w:r>
            <w:r>
              <w:rPr>
                <w:spacing w:val="8"/>
              </w:rPr>
              <w:t>电源采用双回路</w:t>
            </w:r>
            <w:r>
              <w:rPr>
                <w:spacing w:val="-16"/>
              </w:rPr>
              <w:t xml:space="preserve"> </w:t>
            </w:r>
            <w:r>
              <w:rPr>
                <w:spacing w:val="8"/>
              </w:rPr>
              <w:t>10</w:t>
            </w:r>
            <w:r>
              <w:t>kV</w:t>
            </w:r>
            <w:r>
              <w:rPr>
                <w:spacing w:val="-35"/>
              </w:rPr>
              <w:t xml:space="preserve"> </w:t>
            </w:r>
            <w:r>
              <w:rPr>
                <w:spacing w:val="8"/>
              </w:rPr>
              <w:t>架空线路</w:t>
            </w:r>
            <w:r>
              <w:t xml:space="preserve"> 引</w:t>
            </w:r>
            <w:r>
              <w:rPr>
                <w:spacing w:val="-55"/>
              </w:rPr>
              <w:t xml:space="preserve"> </w:t>
            </w:r>
            <w:r>
              <w:t>自矿区</w:t>
            </w:r>
            <w:r>
              <w:rPr>
                <w:spacing w:val="-21"/>
              </w:rPr>
              <w:t xml:space="preserve"> </w:t>
            </w:r>
            <w:r>
              <w:t>110kV</w:t>
            </w:r>
            <w:r>
              <w:rPr>
                <w:spacing w:val="-38"/>
              </w:rPr>
              <w:t xml:space="preserve"> </w:t>
            </w:r>
            <w:r>
              <w:t>变电站。10kV</w:t>
            </w:r>
            <w:r>
              <w:rPr>
                <w:spacing w:val="-42"/>
              </w:rPr>
              <w:t xml:space="preserve"> </w:t>
            </w:r>
            <w:r>
              <w:t xml:space="preserve">侧采用两段 </w:t>
            </w:r>
            <w:r>
              <w:rPr>
                <w:spacing w:val="-1"/>
              </w:rPr>
              <w:t>单母线分段运行，并设置联络、分别计量；</w:t>
            </w:r>
            <w:r>
              <w:rPr>
                <w:spacing w:val="15"/>
              </w:rPr>
              <w:t xml:space="preserve"> </w:t>
            </w:r>
            <w:r>
              <w:rPr>
                <w:spacing w:val="16"/>
              </w:rPr>
              <w:t>10</w:t>
            </w:r>
            <w:r>
              <w:t>kV</w:t>
            </w:r>
            <w:r>
              <w:rPr>
                <w:spacing w:val="-28"/>
              </w:rPr>
              <w:t xml:space="preserve"> </w:t>
            </w:r>
            <w:r>
              <w:rPr>
                <w:spacing w:val="16"/>
              </w:rPr>
              <w:t>馈线以放射式电缆线路向各车间供</w:t>
            </w:r>
            <w:r>
              <w:t xml:space="preserve"> 电。</w:t>
            </w:r>
          </w:p>
        </w:tc>
        <w:tc>
          <w:tcPr>
            <w:tcW w:w="4057" w:type="dxa"/>
            <w:vAlign w:val="top"/>
          </w:tcPr>
          <w:p w14:paraId="0679BE9D">
            <w:pPr>
              <w:spacing w:line="260" w:lineRule="auto"/>
              <w:rPr>
                <w:rFonts w:ascii="Arial"/>
                <w:sz w:val="21"/>
              </w:rPr>
            </w:pPr>
          </w:p>
          <w:p w14:paraId="00FA295F">
            <w:pPr>
              <w:spacing w:line="260" w:lineRule="auto"/>
              <w:rPr>
                <w:rFonts w:ascii="Arial"/>
                <w:sz w:val="21"/>
              </w:rPr>
            </w:pPr>
          </w:p>
          <w:p w14:paraId="1CECBAFB">
            <w:pPr>
              <w:spacing w:line="260" w:lineRule="auto"/>
              <w:rPr>
                <w:rFonts w:ascii="Arial"/>
                <w:sz w:val="21"/>
              </w:rPr>
            </w:pPr>
          </w:p>
          <w:p w14:paraId="55667656">
            <w:pPr>
              <w:pStyle w:val="6"/>
              <w:spacing w:before="65" w:line="227" w:lineRule="auto"/>
              <w:ind w:left="1193"/>
            </w:pPr>
            <w:r>
              <w:rPr>
                <w:spacing w:val="8"/>
              </w:rPr>
              <w:t>依托现有供电系统</w:t>
            </w:r>
          </w:p>
        </w:tc>
        <w:tc>
          <w:tcPr>
            <w:tcW w:w="4057" w:type="dxa"/>
            <w:vAlign w:val="top"/>
          </w:tcPr>
          <w:p w14:paraId="162D5522">
            <w:pPr>
              <w:pStyle w:val="6"/>
              <w:spacing w:before="70" w:line="227" w:lineRule="auto"/>
              <w:ind w:left="113"/>
            </w:pPr>
            <w:r>
              <w:rPr>
                <w:spacing w:val="6"/>
              </w:rPr>
              <w:t>供电电源来自宝日格斯台</w:t>
            </w:r>
            <w:r>
              <w:rPr>
                <w:spacing w:val="-35"/>
              </w:rPr>
              <w:t xml:space="preserve"> </w:t>
            </w:r>
            <w:r>
              <w:rPr>
                <w:spacing w:val="6"/>
              </w:rPr>
              <w:t>35</w:t>
            </w:r>
            <w:r>
              <w:t>kV</w:t>
            </w:r>
            <w:r>
              <w:rPr>
                <w:spacing w:val="-40"/>
              </w:rPr>
              <w:t xml:space="preserve"> </w:t>
            </w:r>
            <w:r>
              <w:rPr>
                <w:spacing w:val="6"/>
              </w:rPr>
              <w:t>变电站，在</w:t>
            </w:r>
          </w:p>
          <w:p w14:paraId="46043439">
            <w:pPr>
              <w:pStyle w:val="6"/>
              <w:spacing w:before="65" w:line="228" w:lineRule="auto"/>
              <w:ind w:left="112"/>
            </w:pPr>
            <w:r>
              <w:rPr>
                <w:spacing w:val="4"/>
              </w:rPr>
              <w:t>选矿工业场地建</w:t>
            </w:r>
            <w:r>
              <w:rPr>
                <w:spacing w:val="-8"/>
              </w:rPr>
              <w:t xml:space="preserve"> </w:t>
            </w:r>
            <w:r>
              <w:rPr>
                <w:spacing w:val="4"/>
              </w:rPr>
              <w:t>1</w:t>
            </w:r>
            <w:r>
              <w:rPr>
                <w:spacing w:val="-37"/>
              </w:rPr>
              <w:t xml:space="preserve"> </w:t>
            </w:r>
            <w:r>
              <w:rPr>
                <w:spacing w:val="4"/>
              </w:rPr>
              <w:t>座选矿</w:t>
            </w:r>
            <w:r>
              <w:rPr>
                <w:spacing w:val="-23"/>
              </w:rPr>
              <w:t xml:space="preserve"> </w:t>
            </w:r>
            <w:r>
              <w:rPr>
                <w:spacing w:val="4"/>
              </w:rPr>
              <w:t>10</w:t>
            </w:r>
            <w:r>
              <w:t>kV</w:t>
            </w:r>
            <w:r>
              <w:rPr>
                <w:spacing w:val="-41"/>
              </w:rPr>
              <w:t xml:space="preserve"> </w:t>
            </w:r>
            <w:r>
              <w:rPr>
                <w:spacing w:val="4"/>
              </w:rPr>
              <w:t>变配电所，</w:t>
            </w:r>
          </w:p>
          <w:p w14:paraId="2387AB15">
            <w:pPr>
              <w:pStyle w:val="6"/>
              <w:spacing w:before="65" w:line="227" w:lineRule="auto"/>
              <w:ind w:left="222"/>
            </w:pPr>
            <w:r>
              <w:rPr>
                <w:spacing w:val="6"/>
              </w:rPr>
              <w:t>电源采用双回路</w:t>
            </w:r>
            <w:r>
              <w:rPr>
                <w:spacing w:val="-24"/>
              </w:rPr>
              <w:t xml:space="preserve"> </w:t>
            </w:r>
            <w:r>
              <w:rPr>
                <w:spacing w:val="6"/>
              </w:rPr>
              <w:t>10</w:t>
            </w:r>
            <w:r>
              <w:t>kV</w:t>
            </w:r>
            <w:r>
              <w:rPr>
                <w:spacing w:val="-40"/>
              </w:rPr>
              <w:t xml:space="preserve"> </w:t>
            </w:r>
            <w:r>
              <w:rPr>
                <w:spacing w:val="6"/>
              </w:rPr>
              <w:t>架空线路引自矿区</w:t>
            </w:r>
          </w:p>
          <w:p w14:paraId="0E8560F0">
            <w:pPr>
              <w:pStyle w:val="6"/>
              <w:spacing w:before="66" w:line="227" w:lineRule="auto"/>
              <w:ind w:left="160"/>
            </w:pPr>
            <w:r>
              <w:rPr>
                <w:spacing w:val="7"/>
              </w:rPr>
              <w:t>110</w:t>
            </w:r>
            <w:r>
              <w:t>kV</w:t>
            </w:r>
            <w:r>
              <w:rPr>
                <w:spacing w:val="-31"/>
              </w:rPr>
              <w:t xml:space="preserve"> </w:t>
            </w:r>
            <w:r>
              <w:rPr>
                <w:spacing w:val="7"/>
              </w:rPr>
              <w:t>变电站。10</w:t>
            </w:r>
            <w:r>
              <w:t>kV</w:t>
            </w:r>
            <w:r>
              <w:rPr>
                <w:spacing w:val="-40"/>
              </w:rPr>
              <w:t xml:space="preserve"> </w:t>
            </w:r>
            <w:r>
              <w:rPr>
                <w:spacing w:val="7"/>
              </w:rPr>
              <w:t>侧采用两段单母线分</w:t>
            </w:r>
          </w:p>
          <w:p w14:paraId="1D3CC06C">
            <w:pPr>
              <w:pStyle w:val="6"/>
              <w:spacing w:before="66" w:line="227" w:lineRule="auto"/>
              <w:ind w:left="119"/>
            </w:pPr>
            <w:r>
              <w:rPr>
                <w:spacing w:val="9"/>
              </w:rPr>
              <w:t>段运行，并设置联络、分别计量；10</w:t>
            </w:r>
            <w:r>
              <w:t>kV</w:t>
            </w:r>
            <w:r>
              <w:rPr>
                <w:spacing w:val="-42"/>
              </w:rPr>
              <w:t xml:space="preserve"> </w:t>
            </w:r>
            <w:r>
              <w:rPr>
                <w:spacing w:val="9"/>
              </w:rPr>
              <w:t>馈</w:t>
            </w:r>
          </w:p>
          <w:p w14:paraId="0182AE21">
            <w:pPr>
              <w:pStyle w:val="6"/>
              <w:spacing w:before="66" w:line="227" w:lineRule="auto"/>
              <w:ind w:left="358"/>
            </w:pPr>
            <w:r>
              <w:rPr>
                <w:spacing w:val="8"/>
              </w:rPr>
              <w:t>线以放射式电缆线路向各车间供电。</w:t>
            </w:r>
          </w:p>
        </w:tc>
        <w:tc>
          <w:tcPr>
            <w:tcW w:w="755" w:type="dxa"/>
            <w:vAlign w:val="top"/>
          </w:tcPr>
          <w:p w14:paraId="3F243440">
            <w:pPr>
              <w:spacing w:line="260" w:lineRule="auto"/>
              <w:rPr>
                <w:rFonts w:ascii="Arial"/>
                <w:sz w:val="21"/>
              </w:rPr>
            </w:pPr>
          </w:p>
          <w:p w14:paraId="3E116C08">
            <w:pPr>
              <w:spacing w:line="260" w:lineRule="auto"/>
              <w:rPr>
                <w:rFonts w:ascii="Arial"/>
                <w:sz w:val="21"/>
              </w:rPr>
            </w:pPr>
          </w:p>
          <w:p w14:paraId="7347A996">
            <w:pPr>
              <w:spacing w:line="260" w:lineRule="auto"/>
              <w:rPr>
                <w:rFonts w:ascii="Arial"/>
                <w:sz w:val="21"/>
              </w:rPr>
            </w:pPr>
          </w:p>
          <w:p w14:paraId="4985809C">
            <w:pPr>
              <w:pStyle w:val="6"/>
              <w:spacing w:before="65" w:line="227" w:lineRule="auto"/>
              <w:ind w:left="174"/>
            </w:pPr>
            <w:r>
              <w:rPr>
                <w:spacing w:val="3"/>
              </w:rPr>
              <w:t>依托</w:t>
            </w:r>
          </w:p>
        </w:tc>
      </w:tr>
      <w:tr w14:paraId="69C23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1" w:type="dxa"/>
            <w:vMerge w:val="continue"/>
            <w:tcBorders>
              <w:top w:val="nil"/>
              <w:bottom w:val="nil"/>
            </w:tcBorders>
            <w:textDirection w:val="tbRlV"/>
            <w:vAlign w:val="top"/>
          </w:tcPr>
          <w:p w14:paraId="2DF25038">
            <w:pPr>
              <w:rPr>
                <w:rFonts w:ascii="Arial"/>
                <w:sz w:val="21"/>
              </w:rPr>
            </w:pPr>
          </w:p>
        </w:tc>
        <w:tc>
          <w:tcPr>
            <w:tcW w:w="897" w:type="dxa"/>
            <w:vAlign w:val="top"/>
          </w:tcPr>
          <w:p w14:paraId="7ACD6050">
            <w:pPr>
              <w:pStyle w:val="6"/>
              <w:spacing w:before="73" w:line="227" w:lineRule="auto"/>
              <w:ind w:left="135"/>
            </w:pPr>
            <w:r>
              <w:rPr>
                <w:spacing w:val="6"/>
              </w:rPr>
              <w:t>供暖系</w:t>
            </w:r>
          </w:p>
          <w:p w14:paraId="21202BA9">
            <w:pPr>
              <w:pStyle w:val="6"/>
              <w:spacing w:before="25" w:line="229" w:lineRule="auto"/>
              <w:ind w:left="349"/>
            </w:pPr>
            <w:r>
              <w:t>统</w:t>
            </w:r>
          </w:p>
        </w:tc>
        <w:tc>
          <w:tcPr>
            <w:tcW w:w="3970" w:type="dxa"/>
            <w:vAlign w:val="top"/>
          </w:tcPr>
          <w:p w14:paraId="6A3039FB">
            <w:pPr>
              <w:pStyle w:val="6"/>
              <w:spacing w:before="74" w:line="251" w:lineRule="auto"/>
              <w:ind w:left="944" w:right="108" w:hanging="414"/>
            </w:pPr>
            <w:r>
              <w:t>锅炉房</w:t>
            </w:r>
            <w:r>
              <w:rPr>
                <w:spacing w:val="-32"/>
              </w:rPr>
              <w:t xml:space="preserve"> </w:t>
            </w:r>
            <w:r>
              <w:t>1</w:t>
            </w:r>
            <w:r>
              <w:rPr>
                <w:spacing w:val="-53"/>
              </w:rPr>
              <w:t xml:space="preserve"> </w:t>
            </w:r>
            <w:r>
              <w:t>座，内设</w:t>
            </w:r>
            <w:r>
              <w:rPr>
                <w:spacing w:val="-51"/>
              </w:rPr>
              <w:t xml:space="preserve"> </w:t>
            </w:r>
            <w:r>
              <w:t>2</w:t>
            </w:r>
            <w:r>
              <w:rPr>
                <w:spacing w:val="-39"/>
              </w:rPr>
              <w:t xml:space="preserve"> </w:t>
            </w:r>
            <w:r>
              <w:t xml:space="preserve">台CDZL4.2/80/60 </w:t>
            </w:r>
            <w:r>
              <w:rPr>
                <w:spacing w:val="8"/>
              </w:rPr>
              <w:t>型生物质常压热水锅炉</w:t>
            </w:r>
          </w:p>
        </w:tc>
        <w:tc>
          <w:tcPr>
            <w:tcW w:w="4057" w:type="dxa"/>
            <w:vAlign w:val="top"/>
          </w:tcPr>
          <w:p w14:paraId="338A9170">
            <w:pPr>
              <w:pStyle w:val="6"/>
              <w:spacing w:before="209" w:line="227" w:lineRule="auto"/>
              <w:ind w:left="1193"/>
            </w:pPr>
            <w:r>
              <w:rPr>
                <w:spacing w:val="8"/>
              </w:rPr>
              <w:t>依托现有供暖系统</w:t>
            </w:r>
          </w:p>
        </w:tc>
        <w:tc>
          <w:tcPr>
            <w:tcW w:w="4057" w:type="dxa"/>
            <w:vAlign w:val="top"/>
          </w:tcPr>
          <w:p w14:paraId="76ED6F70">
            <w:pPr>
              <w:pStyle w:val="6"/>
              <w:spacing w:before="53" w:line="228" w:lineRule="auto"/>
              <w:ind w:left="144"/>
            </w:pPr>
            <w:r>
              <w:rPr>
                <w:spacing w:val="1"/>
              </w:rPr>
              <w:t>锅炉房</w:t>
            </w:r>
            <w:r>
              <w:rPr>
                <w:spacing w:val="-23"/>
              </w:rPr>
              <w:t xml:space="preserve"> </w:t>
            </w:r>
            <w:r>
              <w:rPr>
                <w:spacing w:val="1"/>
              </w:rPr>
              <w:t>1</w:t>
            </w:r>
            <w:r>
              <w:rPr>
                <w:spacing w:val="-36"/>
              </w:rPr>
              <w:t xml:space="preserve"> </w:t>
            </w:r>
            <w:r>
              <w:rPr>
                <w:spacing w:val="1"/>
              </w:rPr>
              <w:t>座，</w:t>
            </w:r>
            <w:r>
              <w:rPr>
                <w:spacing w:val="-56"/>
              </w:rPr>
              <w:t xml:space="preserve"> </w:t>
            </w:r>
            <w:r>
              <w:rPr>
                <w:spacing w:val="1"/>
              </w:rPr>
              <w:t>内设</w:t>
            </w:r>
            <w:r>
              <w:rPr>
                <w:spacing w:val="-35"/>
              </w:rPr>
              <w:t xml:space="preserve"> </w:t>
            </w:r>
            <w:r>
              <w:rPr>
                <w:spacing w:val="1"/>
              </w:rPr>
              <w:t>2</w:t>
            </w:r>
            <w:r>
              <w:rPr>
                <w:spacing w:val="-21"/>
              </w:rPr>
              <w:t xml:space="preserve"> </w:t>
            </w:r>
            <w:r>
              <w:rPr>
                <w:spacing w:val="1"/>
              </w:rPr>
              <w:t>台</w:t>
            </w:r>
            <w:r>
              <w:rPr>
                <w:spacing w:val="-41"/>
              </w:rPr>
              <w:t xml:space="preserve"> </w:t>
            </w:r>
            <w:r>
              <w:t>CDZL</w:t>
            </w:r>
            <w:r>
              <w:rPr>
                <w:spacing w:val="1"/>
              </w:rPr>
              <w:t>4.2/80/60</w:t>
            </w:r>
            <w:r>
              <w:rPr>
                <w:spacing w:val="-32"/>
              </w:rPr>
              <w:t xml:space="preserve"> </w:t>
            </w:r>
            <w:r>
              <w:rPr>
                <w:spacing w:val="1"/>
              </w:rPr>
              <w:t>型</w:t>
            </w:r>
          </w:p>
          <w:p w14:paraId="009582BD">
            <w:pPr>
              <w:pStyle w:val="6"/>
              <w:spacing w:before="64" w:line="228" w:lineRule="auto"/>
              <w:ind w:left="1092"/>
            </w:pPr>
            <w:r>
              <w:rPr>
                <w:spacing w:val="8"/>
              </w:rPr>
              <w:t>生物质常压热水锅炉</w:t>
            </w:r>
          </w:p>
        </w:tc>
        <w:tc>
          <w:tcPr>
            <w:tcW w:w="755" w:type="dxa"/>
            <w:vAlign w:val="top"/>
          </w:tcPr>
          <w:p w14:paraId="67639FFC">
            <w:pPr>
              <w:pStyle w:val="6"/>
              <w:spacing w:before="209" w:line="227" w:lineRule="auto"/>
              <w:ind w:left="174"/>
            </w:pPr>
            <w:r>
              <w:rPr>
                <w:spacing w:val="3"/>
              </w:rPr>
              <w:t>依托</w:t>
            </w:r>
          </w:p>
        </w:tc>
      </w:tr>
      <w:tr w14:paraId="0059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1" w:type="dxa"/>
            <w:vMerge w:val="continue"/>
            <w:tcBorders>
              <w:top w:val="nil"/>
            </w:tcBorders>
            <w:textDirection w:val="tbRlV"/>
            <w:vAlign w:val="top"/>
          </w:tcPr>
          <w:p w14:paraId="14B092F4">
            <w:pPr>
              <w:rPr>
                <w:rFonts w:ascii="Arial"/>
                <w:sz w:val="21"/>
              </w:rPr>
            </w:pPr>
          </w:p>
        </w:tc>
        <w:tc>
          <w:tcPr>
            <w:tcW w:w="897" w:type="dxa"/>
            <w:vAlign w:val="top"/>
          </w:tcPr>
          <w:p w14:paraId="5F891FD8">
            <w:pPr>
              <w:pStyle w:val="6"/>
              <w:spacing w:before="35" w:line="228" w:lineRule="auto"/>
              <w:ind w:left="140"/>
            </w:pPr>
            <w:r>
              <w:rPr>
                <w:spacing w:val="5"/>
              </w:rPr>
              <w:t>办公设</w:t>
            </w:r>
          </w:p>
          <w:p w14:paraId="3B6BBDED">
            <w:pPr>
              <w:pStyle w:val="6"/>
              <w:spacing w:before="24" w:line="233" w:lineRule="auto"/>
              <w:ind w:left="244" w:right="135" w:hanging="109"/>
            </w:pPr>
            <w:r>
              <w:rPr>
                <w:spacing w:val="7"/>
              </w:rPr>
              <w:t>施及生</w:t>
            </w:r>
            <w:r>
              <w:t xml:space="preserve"> </w:t>
            </w:r>
            <w:r>
              <w:rPr>
                <w:spacing w:val="3"/>
              </w:rPr>
              <w:t>活区</w:t>
            </w:r>
          </w:p>
        </w:tc>
        <w:tc>
          <w:tcPr>
            <w:tcW w:w="3970" w:type="dxa"/>
            <w:vAlign w:val="top"/>
          </w:tcPr>
          <w:p w14:paraId="6B7DB647">
            <w:pPr>
              <w:pStyle w:val="6"/>
              <w:spacing w:before="306" w:line="228" w:lineRule="auto"/>
              <w:ind w:left="522"/>
            </w:pPr>
            <w:r>
              <w:rPr>
                <w:spacing w:val="8"/>
              </w:rPr>
              <w:t>办公设施及生活区位于选厂东侧</w:t>
            </w:r>
          </w:p>
        </w:tc>
        <w:tc>
          <w:tcPr>
            <w:tcW w:w="4057" w:type="dxa"/>
            <w:vAlign w:val="top"/>
          </w:tcPr>
          <w:p w14:paraId="11971FD6">
            <w:pPr>
              <w:rPr>
                <w:rFonts w:ascii="Arial"/>
                <w:sz w:val="21"/>
              </w:rPr>
            </w:pPr>
          </w:p>
          <w:p w14:paraId="70FDA9C6">
            <w:pPr>
              <w:pStyle w:val="6"/>
              <w:spacing w:before="65" w:line="227" w:lineRule="auto"/>
              <w:ind w:left="773"/>
            </w:pPr>
            <w:r>
              <w:rPr>
                <w:spacing w:val="8"/>
              </w:rPr>
              <w:t>依托现有办公设施及生活区</w:t>
            </w:r>
          </w:p>
        </w:tc>
        <w:tc>
          <w:tcPr>
            <w:tcW w:w="4057" w:type="dxa"/>
            <w:vAlign w:val="top"/>
          </w:tcPr>
          <w:p w14:paraId="7F01D57D">
            <w:pPr>
              <w:pStyle w:val="6"/>
              <w:spacing w:before="306" w:line="228" w:lineRule="auto"/>
              <w:ind w:left="568"/>
            </w:pPr>
            <w:r>
              <w:rPr>
                <w:spacing w:val="8"/>
              </w:rPr>
              <w:t>办公设施及生活区位于选厂东侧</w:t>
            </w:r>
          </w:p>
        </w:tc>
        <w:tc>
          <w:tcPr>
            <w:tcW w:w="755" w:type="dxa"/>
            <w:vAlign w:val="top"/>
          </w:tcPr>
          <w:p w14:paraId="07155F2D">
            <w:pPr>
              <w:rPr>
                <w:rFonts w:ascii="Arial"/>
                <w:sz w:val="21"/>
              </w:rPr>
            </w:pPr>
          </w:p>
          <w:p w14:paraId="337FEA8A">
            <w:pPr>
              <w:pStyle w:val="6"/>
              <w:spacing w:before="65" w:line="227" w:lineRule="auto"/>
              <w:ind w:left="174"/>
            </w:pPr>
            <w:r>
              <w:rPr>
                <w:spacing w:val="3"/>
              </w:rPr>
              <w:t>依托</w:t>
            </w:r>
          </w:p>
        </w:tc>
      </w:tr>
      <w:tr w14:paraId="094F1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1" w:type="dxa"/>
            <w:vAlign w:val="top"/>
          </w:tcPr>
          <w:p w14:paraId="0D3AE21A">
            <w:pPr>
              <w:rPr>
                <w:rFonts w:ascii="Arial"/>
                <w:sz w:val="21"/>
              </w:rPr>
            </w:pPr>
          </w:p>
        </w:tc>
        <w:tc>
          <w:tcPr>
            <w:tcW w:w="897" w:type="dxa"/>
            <w:vAlign w:val="top"/>
          </w:tcPr>
          <w:p w14:paraId="4291DDA2">
            <w:pPr>
              <w:pStyle w:val="6"/>
              <w:spacing w:before="37" w:line="232" w:lineRule="auto"/>
              <w:ind w:left="345" w:right="135" w:hanging="203"/>
            </w:pPr>
            <w:r>
              <w:rPr>
                <w:spacing w:val="4"/>
              </w:rPr>
              <w:t>空压机</w:t>
            </w:r>
            <w:r>
              <w:rPr>
                <w:spacing w:val="1"/>
              </w:rPr>
              <w:t xml:space="preserve"> </w:t>
            </w:r>
            <w:r>
              <w:t>房</w:t>
            </w:r>
          </w:p>
        </w:tc>
        <w:tc>
          <w:tcPr>
            <w:tcW w:w="3970" w:type="dxa"/>
            <w:vAlign w:val="top"/>
          </w:tcPr>
          <w:p w14:paraId="5E08AE9E">
            <w:pPr>
              <w:pStyle w:val="6"/>
              <w:spacing w:before="20" w:line="263" w:lineRule="exact"/>
              <w:ind w:left="140"/>
            </w:pPr>
            <w:r>
              <w:rPr>
                <w:spacing w:val="4"/>
              </w:rPr>
              <w:t>1</w:t>
            </w:r>
            <w:r>
              <w:rPr>
                <w:spacing w:val="-31"/>
              </w:rPr>
              <w:t xml:space="preserve"> </w:t>
            </w:r>
            <w:r>
              <w:rPr>
                <w:spacing w:val="4"/>
              </w:rPr>
              <w:t>座，建筑面积</w:t>
            </w:r>
            <w:r>
              <w:rPr>
                <w:spacing w:val="-32"/>
              </w:rPr>
              <w:t xml:space="preserve"> </w:t>
            </w:r>
            <w:r>
              <w:rPr>
                <w:spacing w:val="4"/>
              </w:rPr>
              <w:t>56.25 m</w:t>
            </w:r>
            <w:r>
              <w:rPr>
                <w:spacing w:val="4"/>
                <w:position w:val="10"/>
                <w:sz w:val="10"/>
                <w:szCs w:val="10"/>
              </w:rPr>
              <w:t>2</w:t>
            </w:r>
            <w:r>
              <w:rPr>
                <w:spacing w:val="-25"/>
                <w:position w:val="10"/>
                <w:sz w:val="10"/>
                <w:szCs w:val="10"/>
              </w:rPr>
              <w:t xml:space="preserve"> </w:t>
            </w:r>
            <w:r>
              <w:rPr>
                <w:spacing w:val="4"/>
              </w:rPr>
              <w:t>，用于提供压缩</w:t>
            </w:r>
          </w:p>
          <w:p w14:paraId="19818841">
            <w:pPr>
              <w:pStyle w:val="6"/>
              <w:spacing w:before="24" w:line="214" w:lineRule="auto"/>
              <w:ind w:left="1784"/>
            </w:pPr>
            <w:r>
              <w:rPr>
                <w:spacing w:val="1"/>
              </w:rPr>
              <w:t>空气</w:t>
            </w:r>
          </w:p>
        </w:tc>
        <w:tc>
          <w:tcPr>
            <w:tcW w:w="4057" w:type="dxa"/>
            <w:vAlign w:val="top"/>
          </w:tcPr>
          <w:p w14:paraId="4B4C37C6">
            <w:pPr>
              <w:pStyle w:val="6"/>
              <w:spacing w:before="20" w:line="263" w:lineRule="exact"/>
              <w:ind w:left="127"/>
            </w:pPr>
            <w:r>
              <w:rPr>
                <w:spacing w:val="5"/>
              </w:rPr>
              <w:t>1</w:t>
            </w:r>
            <w:r>
              <w:rPr>
                <w:spacing w:val="-35"/>
              </w:rPr>
              <w:t xml:space="preserve"> </w:t>
            </w:r>
            <w:r>
              <w:rPr>
                <w:spacing w:val="5"/>
              </w:rPr>
              <w:t>座，建筑面积</w:t>
            </w:r>
            <w:r>
              <w:rPr>
                <w:spacing w:val="-33"/>
              </w:rPr>
              <w:t xml:space="preserve"> </w:t>
            </w:r>
            <w:r>
              <w:rPr>
                <w:spacing w:val="5"/>
              </w:rPr>
              <w:t>56.25m</w:t>
            </w:r>
            <w:r>
              <w:rPr>
                <w:spacing w:val="5"/>
                <w:position w:val="10"/>
                <w:sz w:val="10"/>
                <w:szCs w:val="10"/>
              </w:rPr>
              <w:t>2</w:t>
            </w:r>
            <w:r>
              <w:rPr>
                <w:spacing w:val="-25"/>
                <w:position w:val="10"/>
                <w:sz w:val="10"/>
                <w:szCs w:val="10"/>
              </w:rPr>
              <w:t xml:space="preserve"> </w:t>
            </w:r>
            <w:r>
              <w:rPr>
                <w:spacing w:val="5"/>
              </w:rPr>
              <w:t>，用于提供压缩空</w:t>
            </w:r>
          </w:p>
          <w:p w14:paraId="2B64A321">
            <w:pPr>
              <w:pStyle w:val="6"/>
              <w:spacing w:before="24" w:line="214" w:lineRule="auto"/>
              <w:ind w:left="1929"/>
            </w:pPr>
            <w:r>
              <w:t>气</w:t>
            </w:r>
          </w:p>
        </w:tc>
        <w:tc>
          <w:tcPr>
            <w:tcW w:w="4057" w:type="dxa"/>
            <w:vAlign w:val="top"/>
          </w:tcPr>
          <w:p w14:paraId="73A5C8DA">
            <w:pPr>
              <w:pStyle w:val="6"/>
              <w:spacing w:before="20" w:line="263" w:lineRule="exact"/>
              <w:ind w:left="129"/>
            </w:pPr>
            <w:r>
              <w:rPr>
                <w:spacing w:val="5"/>
              </w:rPr>
              <w:t>1</w:t>
            </w:r>
            <w:r>
              <w:rPr>
                <w:spacing w:val="-35"/>
              </w:rPr>
              <w:t xml:space="preserve"> </w:t>
            </w:r>
            <w:r>
              <w:rPr>
                <w:spacing w:val="5"/>
              </w:rPr>
              <w:t>座，建筑面积</w:t>
            </w:r>
            <w:r>
              <w:rPr>
                <w:spacing w:val="-33"/>
              </w:rPr>
              <w:t xml:space="preserve"> </w:t>
            </w:r>
            <w:r>
              <w:rPr>
                <w:spacing w:val="5"/>
              </w:rPr>
              <w:t>56.25m</w:t>
            </w:r>
            <w:r>
              <w:rPr>
                <w:spacing w:val="5"/>
                <w:position w:val="10"/>
                <w:sz w:val="10"/>
                <w:szCs w:val="10"/>
              </w:rPr>
              <w:t>2</w:t>
            </w:r>
            <w:r>
              <w:rPr>
                <w:spacing w:val="-25"/>
                <w:position w:val="10"/>
                <w:sz w:val="10"/>
                <w:szCs w:val="10"/>
              </w:rPr>
              <w:t xml:space="preserve"> </w:t>
            </w:r>
            <w:r>
              <w:rPr>
                <w:spacing w:val="5"/>
              </w:rPr>
              <w:t>，用于提供压缩空</w:t>
            </w:r>
          </w:p>
          <w:p w14:paraId="5EB7955E">
            <w:pPr>
              <w:pStyle w:val="6"/>
              <w:spacing w:before="24" w:line="214" w:lineRule="auto"/>
              <w:ind w:left="1931"/>
            </w:pPr>
            <w:r>
              <w:t>气</w:t>
            </w:r>
          </w:p>
        </w:tc>
        <w:tc>
          <w:tcPr>
            <w:tcW w:w="755" w:type="dxa"/>
            <w:vAlign w:val="top"/>
          </w:tcPr>
          <w:p w14:paraId="105A1CEB">
            <w:pPr>
              <w:pStyle w:val="6"/>
              <w:spacing w:before="56" w:line="227" w:lineRule="auto"/>
              <w:ind w:left="174"/>
            </w:pPr>
            <w:r>
              <w:rPr>
                <w:spacing w:val="3"/>
              </w:rPr>
              <w:t>依托</w:t>
            </w:r>
          </w:p>
        </w:tc>
      </w:tr>
      <w:tr w14:paraId="71D81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1" w:type="dxa"/>
            <w:vAlign w:val="top"/>
          </w:tcPr>
          <w:p w14:paraId="0C0CB0E9">
            <w:pPr>
              <w:rPr>
                <w:rFonts w:ascii="Arial"/>
                <w:sz w:val="21"/>
              </w:rPr>
            </w:pPr>
          </w:p>
        </w:tc>
        <w:tc>
          <w:tcPr>
            <w:tcW w:w="897" w:type="dxa"/>
            <w:vAlign w:val="top"/>
          </w:tcPr>
          <w:p w14:paraId="6203FB3F">
            <w:pPr>
              <w:pStyle w:val="6"/>
              <w:spacing w:before="37" w:line="232" w:lineRule="auto"/>
              <w:ind w:left="241" w:right="135" w:hanging="86"/>
            </w:pPr>
            <w:r>
              <w:t xml:space="preserve">中央控 </w:t>
            </w:r>
            <w:r>
              <w:rPr>
                <w:spacing w:val="4"/>
              </w:rPr>
              <w:t>制室</w:t>
            </w:r>
          </w:p>
        </w:tc>
        <w:tc>
          <w:tcPr>
            <w:tcW w:w="3970" w:type="dxa"/>
            <w:vAlign w:val="top"/>
          </w:tcPr>
          <w:p w14:paraId="73E1385E">
            <w:pPr>
              <w:pStyle w:val="6"/>
              <w:spacing w:before="19" w:line="265" w:lineRule="exact"/>
              <w:ind w:left="125"/>
            </w:pPr>
            <w:r>
              <w:rPr>
                <w:spacing w:val="3"/>
              </w:rPr>
              <w:t>1</w:t>
            </w:r>
            <w:r>
              <w:rPr>
                <w:spacing w:val="-32"/>
              </w:rPr>
              <w:t xml:space="preserve"> </w:t>
            </w:r>
            <w:r>
              <w:rPr>
                <w:spacing w:val="3"/>
              </w:rPr>
              <w:t>座，建筑面积</w:t>
            </w:r>
            <w:r>
              <w:rPr>
                <w:spacing w:val="-34"/>
              </w:rPr>
              <w:t xml:space="preserve"> </w:t>
            </w:r>
            <w:r>
              <w:rPr>
                <w:spacing w:val="3"/>
              </w:rPr>
              <w:t>738.18</w:t>
            </w:r>
            <w:r>
              <w:rPr>
                <w:spacing w:val="-44"/>
              </w:rPr>
              <w:t xml:space="preserve"> </w:t>
            </w:r>
            <w:r>
              <w:rPr>
                <w:spacing w:val="3"/>
              </w:rPr>
              <w:t>m</w:t>
            </w:r>
            <w:r>
              <w:rPr>
                <w:spacing w:val="3"/>
                <w:position w:val="10"/>
                <w:sz w:val="10"/>
                <w:szCs w:val="10"/>
              </w:rPr>
              <w:t>2</w:t>
            </w:r>
            <w:r>
              <w:rPr>
                <w:spacing w:val="-27"/>
                <w:position w:val="10"/>
                <w:sz w:val="10"/>
                <w:szCs w:val="10"/>
              </w:rPr>
              <w:t xml:space="preserve"> </w:t>
            </w:r>
            <w:r>
              <w:rPr>
                <w:spacing w:val="3"/>
              </w:rPr>
              <w:t>，用于选厂设备</w:t>
            </w:r>
          </w:p>
          <w:p w14:paraId="3693EDCB">
            <w:pPr>
              <w:pStyle w:val="6"/>
              <w:spacing w:before="23" w:line="214" w:lineRule="auto"/>
              <w:ind w:left="1571"/>
            </w:pPr>
            <w:r>
              <w:rPr>
                <w:spacing w:val="6"/>
              </w:rPr>
              <w:t>智能控制</w:t>
            </w:r>
          </w:p>
        </w:tc>
        <w:tc>
          <w:tcPr>
            <w:tcW w:w="4057" w:type="dxa"/>
            <w:vAlign w:val="top"/>
          </w:tcPr>
          <w:p w14:paraId="0226E2BF">
            <w:pPr>
              <w:pStyle w:val="6"/>
              <w:spacing w:before="19" w:line="265" w:lineRule="exact"/>
              <w:ind w:left="132"/>
            </w:pPr>
            <w:r>
              <w:rPr>
                <w:spacing w:val="4"/>
              </w:rPr>
              <w:t>1</w:t>
            </w:r>
            <w:r>
              <w:rPr>
                <w:spacing w:val="-30"/>
              </w:rPr>
              <w:t xml:space="preserve"> </w:t>
            </w:r>
            <w:r>
              <w:rPr>
                <w:spacing w:val="4"/>
              </w:rPr>
              <w:t>座，建筑面积</w:t>
            </w:r>
            <w:r>
              <w:rPr>
                <w:spacing w:val="-32"/>
              </w:rPr>
              <w:t xml:space="preserve"> </w:t>
            </w:r>
            <w:r>
              <w:rPr>
                <w:spacing w:val="4"/>
              </w:rPr>
              <w:t>738.18 m</w:t>
            </w:r>
            <w:r>
              <w:rPr>
                <w:spacing w:val="4"/>
                <w:position w:val="10"/>
                <w:sz w:val="10"/>
                <w:szCs w:val="10"/>
              </w:rPr>
              <w:t>2</w:t>
            </w:r>
            <w:r>
              <w:rPr>
                <w:spacing w:val="-25"/>
                <w:position w:val="10"/>
                <w:sz w:val="10"/>
                <w:szCs w:val="10"/>
              </w:rPr>
              <w:t xml:space="preserve"> </w:t>
            </w:r>
            <w:r>
              <w:rPr>
                <w:spacing w:val="4"/>
              </w:rPr>
              <w:t>，用于选厂设备</w:t>
            </w:r>
          </w:p>
          <w:p w14:paraId="63DC29E5">
            <w:pPr>
              <w:pStyle w:val="6"/>
              <w:spacing w:before="23" w:line="214" w:lineRule="auto"/>
              <w:ind w:left="1617"/>
            </w:pPr>
            <w:r>
              <w:rPr>
                <w:spacing w:val="6"/>
              </w:rPr>
              <w:t>智能控制</w:t>
            </w:r>
          </w:p>
        </w:tc>
        <w:tc>
          <w:tcPr>
            <w:tcW w:w="4057" w:type="dxa"/>
            <w:vAlign w:val="top"/>
          </w:tcPr>
          <w:p w14:paraId="57AC08D8">
            <w:pPr>
              <w:pStyle w:val="6"/>
              <w:spacing w:before="19" w:line="265" w:lineRule="exact"/>
              <w:ind w:left="133"/>
            </w:pPr>
            <w:r>
              <w:rPr>
                <w:spacing w:val="4"/>
              </w:rPr>
              <w:t>1</w:t>
            </w:r>
            <w:r>
              <w:rPr>
                <w:spacing w:val="-27"/>
              </w:rPr>
              <w:t xml:space="preserve"> </w:t>
            </w:r>
            <w:r>
              <w:rPr>
                <w:spacing w:val="4"/>
              </w:rPr>
              <w:t>座，建筑面积</w:t>
            </w:r>
            <w:r>
              <w:rPr>
                <w:spacing w:val="-32"/>
              </w:rPr>
              <w:t xml:space="preserve"> </w:t>
            </w:r>
            <w:r>
              <w:rPr>
                <w:spacing w:val="4"/>
              </w:rPr>
              <w:t>738.18 m</w:t>
            </w:r>
            <w:r>
              <w:rPr>
                <w:spacing w:val="4"/>
                <w:position w:val="10"/>
                <w:sz w:val="10"/>
                <w:szCs w:val="10"/>
              </w:rPr>
              <w:t>2</w:t>
            </w:r>
            <w:r>
              <w:rPr>
                <w:spacing w:val="-28"/>
                <w:position w:val="10"/>
                <w:sz w:val="10"/>
                <w:szCs w:val="10"/>
              </w:rPr>
              <w:t xml:space="preserve"> </w:t>
            </w:r>
            <w:r>
              <w:rPr>
                <w:spacing w:val="4"/>
              </w:rPr>
              <w:t>，用于选厂设备</w:t>
            </w:r>
          </w:p>
          <w:p w14:paraId="0F4DD333">
            <w:pPr>
              <w:pStyle w:val="6"/>
              <w:spacing w:before="23" w:line="214" w:lineRule="auto"/>
              <w:ind w:left="1620"/>
            </w:pPr>
            <w:r>
              <w:rPr>
                <w:spacing w:val="6"/>
              </w:rPr>
              <w:t>智能控制</w:t>
            </w:r>
          </w:p>
        </w:tc>
        <w:tc>
          <w:tcPr>
            <w:tcW w:w="755" w:type="dxa"/>
            <w:vAlign w:val="top"/>
          </w:tcPr>
          <w:p w14:paraId="581F344B">
            <w:pPr>
              <w:pStyle w:val="6"/>
              <w:spacing w:before="55" w:line="227" w:lineRule="auto"/>
              <w:ind w:left="174"/>
            </w:pPr>
            <w:r>
              <w:rPr>
                <w:spacing w:val="3"/>
              </w:rPr>
              <w:t>依托</w:t>
            </w:r>
          </w:p>
        </w:tc>
      </w:tr>
      <w:tr w14:paraId="4E75A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1" w:type="dxa"/>
            <w:vAlign w:val="top"/>
          </w:tcPr>
          <w:p w14:paraId="00465B39">
            <w:pPr>
              <w:rPr>
                <w:rFonts w:ascii="Arial"/>
                <w:sz w:val="21"/>
              </w:rPr>
            </w:pPr>
          </w:p>
        </w:tc>
        <w:tc>
          <w:tcPr>
            <w:tcW w:w="897" w:type="dxa"/>
            <w:vAlign w:val="top"/>
          </w:tcPr>
          <w:p w14:paraId="4FC88261">
            <w:pPr>
              <w:pStyle w:val="6"/>
              <w:spacing w:before="37" w:line="232" w:lineRule="auto"/>
              <w:ind w:left="243" w:right="135" w:hanging="108"/>
            </w:pPr>
            <w:r>
              <w:rPr>
                <w:spacing w:val="7"/>
              </w:rPr>
              <w:t>机电修</w:t>
            </w:r>
            <w:r>
              <w:t xml:space="preserve"> </w:t>
            </w:r>
            <w:r>
              <w:rPr>
                <w:spacing w:val="3"/>
              </w:rPr>
              <w:t>车间</w:t>
            </w:r>
          </w:p>
        </w:tc>
        <w:tc>
          <w:tcPr>
            <w:tcW w:w="3970" w:type="dxa"/>
            <w:vAlign w:val="top"/>
          </w:tcPr>
          <w:p w14:paraId="569A65BF">
            <w:pPr>
              <w:pStyle w:val="6"/>
              <w:spacing w:before="19" w:line="264" w:lineRule="exact"/>
              <w:ind w:left="140"/>
            </w:pPr>
            <w:r>
              <w:rPr>
                <w:spacing w:val="4"/>
              </w:rPr>
              <w:t>1</w:t>
            </w:r>
            <w:r>
              <w:rPr>
                <w:spacing w:val="-22"/>
              </w:rPr>
              <w:t xml:space="preserve"> </w:t>
            </w:r>
            <w:r>
              <w:rPr>
                <w:spacing w:val="4"/>
              </w:rPr>
              <w:t>座，建筑面积</w:t>
            </w:r>
            <w:r>
              <w:rPr>
                <w:spacing w:val="-37"/>
              </w:rPr>
              <w:t xml:space="preserve"> </w:t>
            </w:r>
            <w:r>
              <w:rPr>
                <w:spacing w:val="4"/>
              </w:rPr>
              <w:t>486 m</w:t>
            </w:r>
            <w:r>
              <w:rPr>
                <w:spacing w:val="4"/>
                <w:position w:val="10"/>
                <w:sz w:val="10"/>
                <w:szCs w:val="10"/>
              </w:rPr>
              <w:t>2</w:t>
            </w:r>
            <w:r>
              <w:rPr>
                <w:spacing w:val="-25"/>
                <w:position w:val="10"/>
                <w:sz w:val="10"/>
                <w:szCs w:val="10"/>
              </w:rPr>
              <w:t xml:space="preserve"> </w:t>
            </w:r>
            <w:r>
              <w:rPr>
                <w:spacing w:val="4"/>
              </w:rPr>
              <w:t>，用于选厂设备维</w:t>
            </w:r>
          </w:p>
          <w:p w14:paraId="49CBC5CD">
            <w:pPr>
              <w:pStyle w:val="6"/>
              <w:spacing w:before="23" w:line="215" w:lineRule="auto"/>
              <w:ind w:left="1883"/>
            </w:pPr>
            <w:r>
              <w:t>修</w:t>
            </w:r>
          </w:p>
        </w:tc>
        <w:tc>
          <w:tcPr>
            <w:tcW w:w="4057" w:type="dxa"/>
            <w:vAlign w:val="top"/>
          </w:tcPr>
          <w:p w14:paraId="195037AE">
            <w:pPr>
              <w:pStyle w:val="6"/>
              <w:spacing w:before="153" w:line="264" w:lineRule="exact"/>
              <w:ind w:left="127"/>
            </w:pPr>
            <w:r>
              <w:rPr>
                <w:spacing w:val="5"/>
              </w:rPr>
              <w:t>1</w:t>
            </w:r>
            <w:r>
              <w:rPr>
                <w:spacing w:val="-27"/>
              </w:rPr>
              <w:t xml:space="preserve"> </w:t>
            </w:r>
            <w:r>
              <w:rPr>
                <w:spacing w:val="5"/>
              </w:rPr>
              <w:t>座，建筑面积</w:t>
            </w:r>
            <w:r>
              <w:rPr>
                <w:spacing w:val="-38"/>
              </w:rPr>
              <w:t xml:space="preserve"> </w:t>
            </w:r>
            <w:r>
              <w:rPr>
                <w:spacing w:val="5"/>
              </w:rPr>
              <w:t>486m</w:t>
            </w:r>
            <w:r>
              <w:rPr>
                <w:spacing w:val="5"/>
                <w:position w:val="10"/>
                <w:sz w:val="10"/>
                <w:szCs w:val="10"/>
              </w:rPr>
              <w:t>2</w:t>
            </w:r>
            <w:r>
              <w:rPr>
                <w:spacing w:val="-25"/>
                <w:position w:val="10"/>
                <w:sz w:val="10"/>
                <w:szCs w:val="10"/>
              </w:rPr>
              <w:t xml:space="preserve"> </w:t>
            </w:r>
            <w:r>
              <w:rPr>
                <w:spacing w:val="5"/>
              </w:rPr>
              <w:t>，用于选厂设备维修</w:t>
            </w:r>
          </w:p>
        </w:tc>
        <w:tc>
          <w:tcPr>
            <w:tcW w:w="4057" w:type="dxa"/>
            <w:vAlign w:val="top"/>
          </w:tcPr>
          <w:p w14:paraId="4FB5921D">
            <w:pPr>
              <w:pStyle w:val="6"/>
              <w:spacing w:before="153" w:line="264" w:lineRule="exact"/>
              <w:ind w:left="129"/>
            </w:pPr>
            <w:r>
              <w:rPr>
                <w:spacing w:val="5"/>
              </w:rPr>
              <w:t>1</w:t>
            </w:r>
            <w:r>
              <w:rPr>
                <w:spacing w:val="-27"/>
              </w:rPr>
              <w:t xml:space="preserve"> </w:t>
            </w:r>
            <w:r>
              <w:rPr>
                <w:spacing w:val="5"/>
              </w:rPr>
              <w:t>座，建筑面积</w:t>
            </w:r>
            <w:r>
              <w:rPr>
                <w:spacing w:val="-38"/>
              </w:rPr>
              <w:t xml:space="preserve"> </w:t>
            </w:r>
            <w:r>
              <w:rPr>
                <w:spacing w:val="5"/>
              </w:rPr>
              <w:t>486m</w:t>
            </w:r>
            <w:r>
              <w:rPr>
                <w:spacing w:val="5"/>
                <w:position w:val="10"/>
                <w:sz w:val="10"/>
                <w:szCs w:val="10"/>
              </w:rPr>
              <w:t>2</w:t>
            </w:r>
            <w:r>
              <w:rPr>
                <w:spacing w:val="-25"/>
                <w:position w:val="10"/>
                <w:sz w:val="10"/>
                <w:szCs w:val="10"/>
              </w:rPr>
              <w:t xml:space="preserve"> </w:t>
            </w:r>
            <w:r>
              <w:rPr>
                <w:spacing w:val="5"/>
              </w:rPr>
              <w:t>，用于选厂设备维修</w:t>
            </w:r>
          </w:p>
        </w:tc>
        <w:tc>
          <w:tcPr>
            <w:tcW w:w="755" w:type="dxa"/>
            <w:vAlign w:val="top"/>
          </w:tcPr>
          <w:p w14:paraId="31B8EFA4">
            <w:pPr>
              <w:pStyle w:val="6"/>
              <w:spacing w:before="55" w:line="227" w:lineRule="auto"/>
              <w:ind w:left="174"/>
            </w:pPr>
            <w:r>
              <w:rPr>
                <w:spacing w:val="3"/>
              </w:rPr>
              <w:t>依托</w:t>
            </w:r>
          </w:p>
        </w:tc>
      </w:tr>
      <w:tr w14:paraId="27224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51" w:type="dxa"/>
            <w:vAlign w:val="top"/>
          </w:tcPr>
          <w:p w14:paraId="30576733">
            <w:pPr>
              <w:pStyle w:val="6"/>
              <w:spacing w:before="55" w:line="228" w:lineRule="auto"/>
              <w:ind w:left="174"/>
            </w:pPr>
            <w:r>
              <w:rPr>
                <w:spacing w:val="1"/>
              </w:rPr>
              <w:t>储</w:t>
            </w:r>
          </w:p>
        </w:tc>
        <w:tc>
          <w:tcPr>
            <w:tcW w:w="897" w:type="dxa"/>
            <w:vAlign w:val="top"/>
          </w:tcPr>
          <w:p w14:paraId="32C56DA0">
            <w:pPr>
              <w:pStyle w:val="6"/>
              <w:spacing w:before="54" w:line="228" w:lineRule="auto"/>
              <w:ind w:left="135"/>
            </w:pPr>
            <w:r>
              <w:rPr>
                <w:spacing w:val="6"/>
              </w:rPr>
              <w:t>尾矿库</w:t>
            </w:r>
          </w:p>
        </w:tc>
        <w:tc>
          <w:tcPr>
            <w:tcW w:w="3970" w:type="dxa"/>
            <w:vAlign w:val="top"/>
          </w:tcPr>
          <w:p w14:paraId="2E9891CD">
            <w:pPr>
              <w:pStyle w:val="6"/>
              <w:spacing w:before="54" w:line="228" w:lineRule="auto"/>
              <w:ind w:left="530"/>
            </w:pPr>
            <w:r>
              <w:rPr>
                <w:spacing w:val="7"/>
              </w:rPr>
              <w:t>位于选厂西北侧，总坝高为</w:t>
            </w:r>
            <w:r>
              <w:rPr>
                <w:spacing w:val="-14"/>
              </w:rPr>
              <w:t xml:space="preserve"> </w:t>
            </w:r>
            <w:r>
              <w:rPr>
                <w:spacing w:val="7"/>
              </w:rPr>
              <w:t>19.5m，</w:t>
            </w:r>
          </w:p>
        </w:tc>
        <w:tc>
          <w:tcPr>
            <w:tcW w:w="4057" w:type="dxa"/>
            <w:vAlign w:val="top"/>
          </w:tcPr>
          <w:p w14:paraId="5579364D">
            <w:pPr>
              <w:pStyle w:val="6"/>
              <w:spacing w:before="54" w:line="227" w:lineRule="auto"/>
              <w:ind w:left="1299"/>
            </w:pPr>
            <w:r>
              <w:rPr>
                <w:spacing w:val="8"/>
              </w:rPr>
              <w:t>依托现有尾矿库</w:t>
            </w:r>
          </w:p>
        </w:tc>
        <w:tc>
          <w:tcPr>
            <w:tcW w:w="4057" w:type="dxa"/>
            <w:vAlign w:val="top"/>
          </w:tcPr>
          <w:p w14:paraId="573F0ECA">
            <w:pPr>
              <w:pStyle w:val="6"/>
              <w:spacing w:before="54" w:line="228" w:lineRule="auto"/>
              <w:ind w:left="533"/>
            </w:pPr>
            <w:r>
              <w:rPr>
                <w:spacing w:val="2"/>
              </w:rPr>
              <w:t>位于选厂西北侧，总坝高为</w:t>
            </w:r>
            <w:r>
              <w:rPr>
                <w:spacing w:val="-20"/>
              </w:rPr>
              <w:t xml:space="preserve"> </w:t>
            </w:r>
            <w:r>
              <w:rPr>
                <w:spacing w:val="2"/>
              </w:rPr>
              <w:t>19.5m，总</w:t>
            </w:r>
          </w:p>
        </w:tc>
        <w:tc>
          <w:tcPr>
            <w:tcW w:w="755" w:type="dxa"/>
            <w:vAlign w:val="top"/>
          </w:tcPr>
          <w:p w14:paraId="5ACC61E4">
            <w:pPr>
              <w:pStyle w:val="6"/>
              <w:spacing w:before="54" w:line="227" w:lineRule="auto"/>
              <w:ind w:left="174"/>
            </w:pPr>
            <w:r>
              <w:rPr>
                <w:spacing w:val="3"/>
              </w:rPr>
              <w:t>依托</w:t>
            </w:r>
          </w:p>
        </w:tc>
      </w:tr>
    </w:tbl>
    <w:p w14:paraId="703960E1">
      <w:pPr>
        <w:pStyle w:val="2"/>
      </w:pPr>
    </w:p>
    <w:p w14:paraId="532BB7A1">
      <w:pPr>
        <w:sectPr>
          <w:footerReference r:id="rId97" w:type="default"/>
          <w:pgSz w:w="16839" w:h="11906"/>
          <w:pgMar w:top="1208" w:right="1273" w:bottom="1358" w:left="1272" w:header="825" w:footer="1195" w:gutter="0"/>
          <w:cols w:space="720" w:num="1"/>
        </w:sectPr>
      </w:pPr>
    </w:p>
    <w:p w14:paraId="056CAC7C">
      <w:pPr>
        <w:spacing w:before="53"/>
      </w:pPr>
    </w:p>
    <w:p w14:paraId="37EAEE18">
      <w:pPr>
        <w:spacing w:before="52"/>
      </w:pP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897"/>
        <w:gridCol w:w="3970"/>
        <w:gridCol w:w="4057"/>
        <w:gridCol w:w="4057"/>
        <w:gridCol w:w="755"/>
      </w:tblGrid>
      <w:tr w14:paraId="47097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551" w:type="dxa"/>
            <w:vMerge w:val="restart"/>
            <w:tcBorders>
              <w:bottom w:val="nil"/>
            </w:tcBorders>
            <w:textDirection w:val="tbRlV"/>
            <w:vAlign w:val="top"/>
          </w:tcPr>
          <w:p w14:paraId="77911D2A">
            <w:pPr>
              <w:pStyle w:val="6"/>
              <w:spacing w:before="169" w:line="217" w:lineRule="auto"/>
              <w:ind w:left="57"/>
            </w:pPr>
            <w:r>
              <w:rPr>
                <w:spacing w:val="6"/>
              </w:rPr>
              <w:t>运 工 程</w:t>
            </w:r>
          </w:p>
        </w:tc>
        <w:tc>
          <w:tcPr>
            <w:tcW w:w="897" w:type="dxa"/>
            <w:vAlign w:val="top"/>
          </w:tcPr>
          <w:p w14:paraId="31319AF3">
            <w:pPr>
              <w:rPr>
                <w:rFonts w:ascii="Arial"/>
                <w:sz w:val="21"/>
              </w:rPr>
            </w:pPr>
          </w:p>
        </w:tc>
        <w:tc>
          <w:tcPr>
            <w:tcW w:w="3970" w:type="dxa"/>
            <w:vAlign w:val="top"/>
          </w:tcPr>
          <w:p w14:paraId="06CD00EB">
            <w:pPr>
              <w:pStyle w:val="6"/>
              <w:spacing w:before="43" w:line="282" w:lineRule="auto"/>
              <w:ind w:left="105" w:right="109" w:firstLine="10"/>
              <w:jc w:val="both"/>
            </w:pPr>
            <w:r>
              <w:rPr>
                <w:spacing w:val="3"/>
              </w:rPr>
              <w:t>总有效库容为</w:t>
            </w:r>
            <w:r>
              <w:rPr>
                <w:spacing w:val="-31"/>
              </w:rPr>
              <w:t xml:space="preserve"> </w:t>
            </w:r>
            <w:r>
              <w:rPr>
                <w:spacing w:val="3"/>
              </w:rPr>
              <w:t>799.53×10</w:t>
            </w:r>
            <w:r>
              <w:rPr>
                <w:spacing w:val="3"/>
                <w:position w:val="10"/>
                <w:sz w:val="10"/>
                <w:szCs w:val="10"/>
              </w:rPr>
              <w:t>4</w:t>
            </w:r>
            <w:r>
              <w:rPr>
                <w:spacing w:val="3"/>
              </w:rPr>
              <w:t>m</w:t>
            </w:r>
            <w:r>
              <w:rPr>
                <w:spacing w:val="3"/>
                <w:position w:val="10"/>
                <w:sz w:val="10"/>
                <w:szCs w:val="10"/>
              </w:rPr>
              <w:t>3</w:t>
            </w:r>
            <w:r>
              <w:rPr>
                <w:spacing w:val="3"/>
              </w:rPr>
              <w:t>，坝体底</w:t>
            </w:r>
            <w:r>
              <w:rPr>
                <w:spacing w:val="2"/>
              </w:rPr>
              <w:t>部设</w:t>
            </w:r>
            <w:r>
              <w:t xml:space="preserve"> </w:t>
            </w:r>
            <w:r>
              <w:rPr>
                <w:spacing w:val="8"/>
              </w:rPr>
              <w:t>置</w:t>
            </w:r>
            <w:r>
              <w:rPr>
                <w:spacing w:val="-18"/>
              </w:rPr>
              <w:t xml:space="preserve"> </w:t>
            </w:r>
            <w:r>
              <w:rPr>
                <w:rFonts w:ascii="Times New Roman" w:hAnsi="Times New Roman" w:eastAsia="Times New Roman" w:cs="Times New Roman"/>
                <w:spacing w:val="8"/>
              </w:rPr>
              <w:t>1m</w:t>
            </w:r>
            <w:r>
              <w:rPr>
                <w:rFonts w:ascii="Times New Roman" w:hAnsi="Times New Roman" w:eastAsia="Times New Roman" w:cs="Times New Roman"/>
                <w:spacing w:val="17"/>
                <w:w w:val="101"/>
              </w:rPr>
              <w:t xml:space="preserve"> </w:t>
            </w:r>
            <w:r>
              <w:rPr>
                <w:spacing w:val="8"/>
              </w:rPr>
              <w:t>厚碾压堆石褥垫层。褥垫层上下均</w:t>
            </w:r>
            <w:r>
              <w:t xml:space="preserve"> </w:t>
            </w:r>
            <w:r>
              <w:rPr>
                <w:spacing w:val="41"/>
              </w:rPr>
              <w:t>铺设土工布反滤</w:t>
            </w:r>
            <w:r>
              <w:rPr>
                <w:spacing w:val="-25"/>
              </w:rPr>
              <w:t xml:space="preserve"> </w:t>
            </w:r>
            <w:r>
              <w:rPr>
                <w:spacing w:val="41"/>
              </w:rPr>
              <w:t>。</w:t>
            </w:r>
            <w:r>
              <w:rPr>
                <w:spacing w:val="-41"/>
              </w:rPr>
              <w:t xml:space="preserve"> </w:t>
            </w:r>
            <w:r>
              <w:rPr>
                <w:spacing w:val="41"/>
              </w:rPr>
              <w:t>库内边坡铺设有</w:t>
            </w:r>
            <w:r>
              <w:t xml:space="preserve"> </w:t>
            </w:r>
            <w:r>
              <w:rPr>
                <w:rFonts w:ascii="Times New Roman" w:hAnsi="Times New Roman" w:eastAsia="Times New Roman" w:cs="Times New Roman"/>
                <w:spacing w:val="7"/>
              </w:rPr>
              <w:t>400g/m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24"/>
                <w:w w:val="101"/>
                <w:position w:val="6"/>
                <w:sz w:val="13"/>
                <w:szCs w:val="13"/>
              </w:rPr>
              <w:t xml:space="preserve"> </w:t>
            </w:r>
            <w:r>
              <w:rPr>
                <w:spacing w:val="7"/>
              </w:rPr>
              <w:t>复合土工膜（</w:t>
            </w:r>
            <w:r>
              <w:rPr>
                <w:rFonts w:ascii="Times New Roman" w:hAnsi="Times New Roman" w:eastAsia="Times New Roman" w:cs="Times New Roman"/>
                <w:spacing w:val="7"/>
              </w:rPr>
              <w:t>1.5</w:t>
            </w:r>
            <w:r>
              <w:rPr>
                <w:rFonts w:ascii="Times New Roman" w:hAnsi="Times New Roman" w:eastAsia="Times New Roman" w:cs="Times New Roman"/>
              </w:rPr>
              <w:t>mmHDPE</w:t>
            </w:r>
            <w:r>
              <w:rPr>
                <w:spacing w:val="7"/>
              </w:rPr>
              <w:t>）用于</w:t>
            </w:r>
            <w:r>
              <w:t xml:space="preserve"> </w:t>
            </w:r>
            <w:r>
              <w:rPr>
                <w:spacing w:val="8"/>
              </w:rPr>
              <w:t>防渗，库底铺设有</w:t>
            </w:r>
            <w:r>
              <w:rPr>
                <w:spacing w:val="-12"/>
              </w:rPr>
              <w:t xml:space="preserve"> </w:t>
            </w:r>
            <w:r>
              <w:rPr>
                <w:rFonts w:ascii="Times New Roman" w:hAnsi="Times New Roman" w:eastAsia="Times New Roman" w:cs="Times New Roman"/>
                <w:spacing w:val="8"/>
              </w:rPr>
              <w:t>1.5</w:t>
            </w:r>
            <w:r>
              <w:rPr>
                <w:rFonts w:ascii="Times New Roman" w:hAnsi="Times New Roman" w:eastAsia="Times New Roman" w:cs="Times New Roman"/>
              </w:rPr>
              <w:t>mmHDPE</w:t>
            </w:r>
            <w:r>
              <w:rPr>
                <w:rFonts w:ascii="Times New Roman" w:hAnsi="Times New Roman" w:eastAsia="Times New Roman" w:cs="Times New Roman"/>
                <w:spacing w:val="8"/>
              </w:rPr>
              <w:t xml:space="preserve"> </w:t>
            </w:r>
            <w:r>
              <w:rPr>
                <w:spacing w:val="8"/>
              </w:rPr>
              <w:t>土工膜用</w:t>
            </w:r>
            <w:r>
              <w:t xml:space="preserve"> </w:t>
            </w:r>
            <w:r>
              <w:rPr>
                <w:spacing w:val="8"/>
              </w:rPr>
              <w:t>于防渗。尾矿浆通过选矿车间加压泵自尾</w:t>
            </w:r>
            <w:r>
              <w:rPr>
                <w:spacing w:val="5"/>
              </w:rPr>
              <w:t xml:space="preserve"> </w:t>
            </w:r>
            <w:r>
              <w:rPr>
                <w:spacing w:val="9"/>
              </w:rPr>
              <w:t>矿输送管道输送到坝上</w:t>
            </w:r>
          </w:p>
        </w:tc>
        <w:tc>
          <w:tcPr>
            <w:tcW w:w="4057" w:type="dxa"/>
            <w:vAlign w:val="top"/>
          </w:tcPr>
          <w:p w14:paraId="2DE7CA24">
            <w:pPr>
              <w:rPr>
                <w:rFonts w:ascii="Arial"/>
                <w:sz w:val="21"/>
              </w:rPr>
            </w:pPr>
          </w:p>
        </w:tc>
        <w:tc>
          <w:tcPr>
            <w:tcW w:w="4057" w:type="dxa"/>
            <w:vAlign w:val="top"/>
          </w:tcPr>
          <w:p w14:paraId="6DD64649">
            <w:pPr>
              <w:pStyle w:val="6"/>
              <w:spacing w:before="39" w:line="242" w:lineRule="auto"/>
              <w:ind w:left="114"/>
            </w:pPr>
            <w:r>
              <w:rPr>
                <w:spacing w:val="5"/>
              </w:rPr>
              <w:t>有效库容为</w:t>
            </w:r>
            <w:r>
              <w:rPr>
                <w:spacing w:val="-23"/>
              </w:rPr>
              <w:t xml:space="preserve"> </w:t>
            </w:r>
            <w:r>
              <w:rPr>
                <w:spacing w:val="5"/>
              </w:rPr>
              <w:t>799.53×10</w:t>
            </w:r>
            <w:r>
              <w:rPr>
                <w:spacing w:val="5"/>
                <w:position w:val="10"/>
                <w:sz w:val="10"/>
                <w:szCs w:val="10"/>
              </w:rPr>
              <w:t>4</w:t>
            </w:r>
            <w:r>
              <w:rPr>
                <w:spacing w:val="5"/>
              </w:rPr>
              <w:t>m</w:t>
            </w:r>
            <w:r>
              <w:rPr>
                <w:spacing w:val="5"/>
                <w:position w:val="10"/>
                <w:sz w:val="10"/>
                <w:szCs w:val="10"/>
              </w:rPr>
              <w:t>3</w:t>
            </w:r>
            <w:r>
              <w:rPr>
                <w:spacing w:val="-27"/>
                <w:position w:val="10"/>
                <w:sz w:val="10"/>
                <w:szCs w:val="10"/>
              </w:rPr>
              <w:t xml:space="preserve"> </w:t>
            </w:r>
            <w:r>
              <w:rPr>
                <w:spacing w:val="5"/>
              </w:rPr>
              <w:t>，坝体底部设置</w:t>
            </w:r>
          </w:p>
          <w:p w14:paraId="5D6845FE">
            <w:pPr>
              <w:pStyle w:val="6"/>
              <w:spacing w:before="66" w:line="227" w:lineRule="auto"/>
              <w:ind w:left="129"/>
            </w:pPr>
            <w:r>
              <w:rPr>
                <w:rFonts w:ascii="Times New Roman" w:hAnsi="Times New Roman" w:eastAsia="Times New Roman" w:cs="Times New Roman"/>
                <w:spacing w:val="5"/>
              </w:rPr>
              <w:t>1m</w:t>
            </w:r>
            <w:r>
              <w:rPr>
                <w:rFonts w:ascii="Times New Roman" w:hAnsi="Times New Roman" w:eastAsia="Times New Roman" w:cs="Times New Roman"/>
                <w:spacing w:val="14"/>
              </w:rPr>
              <w:t xml:space="preserve"> </w:t>
            </w:r>
            <w:r>
              <w:rPr>
                <w:spacing w:val="5"/>
              </w:rPr>
              <w:t>厚碾压堆石褥垫层。褥垫层上下均铺设</w:t>
            </w:r>
          </w:p>
          <w:p w14:paraId="58299257">
            <w:pPr>
              <w:pStyle w:val="6"/>
              <w:spacing w:before="66" w:line="221" w:lineRule="auto"/>
              <w:ind w:left="114"/>
            </w:pPr>
            <w:r>
              <w:rPr>
                <w:spacing w:val="2"/>
              </w:rPr>
              <w:t>土工布反滤。库内边坡铺设有</w:t>
            </w:r>
            <w:r>
              <w:rPr>
                <w:spacing w:val="-37"/>
              </w:rPr>
              <w:t xml:space="preserve"> </w:t>
            </w:r>
            <w:r>
              <w:rPr>
                <w:rFonts w:ascii="Times New Roman" w:hAnsi="Times New Roman" w:eastAsia="Times New Roman" w:cs="Times New Roman"/>
                <w:spacing w:val="2"/>
              </w:rPr>
              <w:t>400g/m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14"/>
                <w:w w:val="101"/>
                <w:position w:val="6"/>
                <w:sz w:val="13"/>
                <w:szCs w:val="13"/>
              </w:rPr>
              <w:t xml:space="preserve"> </w:t>
            </w:r>
            <w:r>
              <w:rPr>
                <w:spacing w:val="2"/>
              </w:rPr>
              <w:t>复合</w:t>
            </w:r>
          </w:p>
          <w:p w14:paraId="2B2A590E">
            <w:pPr>
              <w:pStyle w:val="6"/>
              <w:spacing w:before="72" w:line="226" w:lineRule="auto"/>
              <w:ind w:left="114"/>
            </w:pPr>
            <w:r>
              <w:rPr>
                <w:spacing w:val="9"/>
              </w:rPr>
              <w:t>土工膜（</w:t>
            </w:r>
            <w:r>
              <w:rPr>
                <w:rFonts w:ascii="Times New Roman" w:hAnsi="Times New Roman" w:eastAsia="Times New Roman" w:cs="Times New Roman"/>
                <w:spacing w:val="9"/>
              </w:rPr>
              <w:t>1.5</w:t>
            </w:r>
            <w:r>
              <w:rPr>
                <w:rFonts w:ascii="Times New Roman" w:hAnsi="Times New Roman" w:eastAsia="Times New Roman" w:cs="Times New Roman"/>
              </w:rPr>
              <w:t>mmHDPE</w:t>
            </w:r>
            <w:r>
              <w:rPr>
                <w:spacing w:val="9"/>
              </w:rPr>
              <w:t>）用于防渗，库底铺</w:t>
            </w:r>
          </w:p>
          <w:p w14:paraId="0BF735BB">
            <w:pPr>
              <w:pStyle w:val="6"/>
              <w:spacing w:before="67" w:line="228" w:lineRule="auto"/>
              <w:ind w:left="157"/>
            </w:pPr>
            <w:r>
              <w:rPr>
                <w:spacing w:val="8"/>
              </w:rPr>
              <w:t>设有</w:t>
            </w:r>
            <w:r>
              <w:rPr>
                <w:spacing w:val="-13"/>
              </w:rPr>
              <w:t xml:space="preserve"> </w:t>
            </w:r>
            <w:r>
              <w:rPr>
                <w:rFonts w:ascii="Times New Roman" w:hAnsi="Times New Roman" w:eastAsia="Times New Roman" w:cs="Times New Roman"/>
                <w:spacing w:val="8"/>
              </w:rPr>
              <w:t>1.5</w:t>
            </w:r>
            <w:r>
              <w:rPr>
                <w:rFonts w:ascii="Times New Roman" w:hAnsi="Times New Roman" w:eastAsia="Times New Roman" w:cs="Times New Roman"/>
              </w:rPr>
              <w:t>mmHDPE</w:t>
            </w:r>
            <w:r>
              <w:rPr>
                <w:rFonts w:ascii="Times New Roman" w:hAnsi="Times New Roman" w:eastAsia="Times New Roman" w:cs="Times New Roman"/>
                <w:spacing w:val="8"/>
              </w:rPr>
              <w:t xml:space="preserve"> </w:t>
            </w:r>
            <w:r>
              <w:rPr>
                <w:spacing w:val="8"/>
              </w:rPr>
              <w:t>土工膜用于防渗。尾矿</w:t>
            </w:r>
          </w:p>
          <w:p w14:paraId="38BCD147">
            <w:pPr>
              <w:pStyle w:val="6"/>
              <w:spacing w:before="65" w:line="228" w:lineRule="auto"/>
              <w:ind w:left="144"/>
            </w:pPr>
            <w:r>
              <w:rPr>
                <w:spacing w:val="9"/>
              </w:rPr>
              <w:t>浆通过选矿车间加压泵自尾矿输送管道输</w:t>
            </w:r>
          </w:p>
          <w:p w14:paraId="0A1B54D1">
            <w:pPr>
              <w:pStyle w:val="6"/>
              <w:spacing w:before="65" w:line="228" w:lineRule="auto"/>
              <w:ind w:left="1614"/>
            </w:pPr>
            <w:r>
              <w:rPr>
                <w:spacing w:val="7"/>
              </w:rPr>
              <w:t>送到坝上</w:t>
            </w:r>
          </w:p>
        </w:tc>
        <w:tc>
          <w:tcPr>
            <w:tcW w:w="755" w:type="dxa"/>
            <w:vAlign w:val="top"/>
          </w:tcPr>
          <w:p w14:paraId="5ED943E2">
            <w:pPr>
              <w:rPr>
                <w:rFonts w:ascii="Arial"/>
                <w:sz w:val="21"/>
              </w:rPr>
            </w:pPr>
          </w:p>
        </w:tc>
      </w:tr>
      <w:tr w14:paraId="4A398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1" w:type="dxa"/>
            <w:vMerge w:val="continue"/>
            <w:tcBorders>
              <w:top w:val="nil"/>
              <w:bottom w:val="nil"/>
            </w:tcBorders>
            <w:textDirection w:val="tbRlV"/>
            <w:vAlign w:val="top"/>
          </w:tcPr>
          <w:p w14:paraId="6DDAE242">
            <w:pPr>
              <w:rPr>
                <w:rFonts w:ascii="Arial"/>
                <w:sz w:val="21"/>
              </w:rPr>
            </w:pPr>
          </w:p>
        </w:tc>
        <w:tc>
          <w:tcPr>
            <w:tcW w:w="897" w:type="dxa"/>
            <w:vAlign w:val="top"/>
          </w:tcPr>
          <w:p w14:paraId="01C5AF63">
            <w:pPr>
              <w:pStyle w:val="6"/>
              <w:spacing w:before="206" w:line="228" w:lineRule="auto"/>
              <w:ind w:left="140"/>
            </w:pPr>
            <w:r>
              <w:rPr>
                <w:spacing w:val="5"/>
              </w:rPr>
              <w:t>原矿仓</w:t>
            </w:r>
          </w:p>
        </w:tc>
        <w:tc>
          <w:tcPr>
            <w:tcW w:w="3970" w:type="dxa"/>
            <w:vAlign w:val="top"/>
          </w:tcPr>
          <w:p w14:paraId="25620F5D">
            <w:pPr>
              <w:pStyle w:val="6"/>
              <w:spacing w:before="37" w:line="268" w:lineRule="auto"/>
              <w:ind w:left="109" w:right="38" w:firstLine="436"/>
            </w:pPr>
            <w:r>
              <w:rPr>
                <w:spacing w:val="1"/>
              </w:rPr>
              <w:t>1座，建筑面积56.25m</w:t>
            </w:r>
            <w:r>
              <w:rPr>
                <w:spacing w:val="1"/>
                <w:position w:val="10"/>
                <w:sz w:val="10"/>
                <w:szCs w:val="10"/>
              </w:rPr>
              <w:t>2</w:t>
            </w:r>
            <w:r>
              <w:rPr>
                <w:spacing w:val="1"/>
              </w:rPr>
              <w:t>，为单槽正仓、</w:t>
            </w:r>
            <w:r>
              <w:rPr>
                <w:spacing w:val="8"/>
              </w:rPr>
              <w:t xml:space="preserve"> </w:t>
            </w:r>
            <w:r>
              <w:rPr>
                <w:spacing w:val="-2"/>
              </w:rPr>
              <w:t>底部卸料，有效容积100m</w:t>
            </w:r>
            <w:r>
              <w:rPr>
                <w:spacing w:val="-2"/>
                <w:position w:val="10"/>
                <w:sz w:val="10"/>
                <w:szCs w:val="10"/>
              </w:rPr>
              <w:t>3</w:t>
            </w:r>
            <w:r>
              <w:rPr>
                <w:spacing w:val="-2"/>
              </w:rPr>
              <w:t>，储矿时间2.4h。</w:t>
            </w:r>
          </w:p>
        </w:tc>
        <w:tc>
          <w:tcPr>
            <w:tcW w:w="4057" w:type="dxa"/>
            <w:vAlign w:val="top"/>
          </w:tcPr>
          <w:p w14:paraId="381A3B92">
            <w:pPr>
              <w:pStyle w:val="6"/>
              <w:spacing w:before="209" w:line="227" w:lineRule="auto"/>
              <w:ind w:left="1299"/>
            </w:pPr>
            <w:r>
              <w:rPr>
                <w:spacing w:val="8"/>
              </w:rPr>
              <w:t>依托现有原矿仓</w:t>
            </w:r>
          </w:p>
        </w:tc>
        <w:tc>
          <w:tcPr>
            <w:tcW w:w="4057" w:type="dxa"/>
            <w:vAlign w:val="top"/>
          </w:tcPr>
          <w:p w14:paraId="1A59D432">
            <w:pPr>
              <w:pStyle w:val="6"/>
              <w:spacing w:before="37" w:line="268" w:lineRule="auto"/>
              <w:ind w:left="112" w:right="45" w:firstLine="436"/>
            </w:pPr>
            <w:r>
              <w:rPr>
                <w:spacing w:val="3"/>
              </w:rPr>
              <w:t>1座，建筑面积56.25m</w:t>
            </w:r>
            <w:r>
              <w:rPr>
                <w:spacing w:val="3"/>
                <w:position w:val="10"/>
                <w:sz w:val="10"/>
                <w:szCs w:val="10"/>
              </w:rPr>
              <w:t>2</w:t>
            </w:r>
            <w:r>
              <w:rPr>
                <w:spacing w:val="-7"/>
                <w:position w:val="10"/>
                <w:sz w:val="10"/>
                <w:szCs w:val="10"/>
              </w:rPr>
              <w:t xml:space="preserve"> </w:t>
            </w:r>
            <w:r>
              <w:rPr>
                <w:spacing w:val="3"/>
              </w:rPr>
              <w:t>，为单槽正仓、</w:t>
            </w:r>
            <w:r>
              <w:t xml:space="preserve"> </w:t>
            </w:r>
            <w:r>
              <w:rPr>
                <w:spacing w:val="6"/>
              </w:rPr>
              <w:t>底部卸料，有效容积100m</w:t>
            </w:r>
            <w:r>
              <w:rPr>
                <w:spacing w:val="6"/>
                <w:position w:val="10"/>
                <w:sz w:val="10"/>
                <w:szCs w:val="10"/>
              </w:rPr>
              <w:t>3</w:t>
            </w:r>
            <w:r>
              <w:rPr>
                <w:spacing w:val="-18"/>
                <w:position w:val="10"/>
                <w:sz w:val="10"/>
                <w:szCs w:val="10"/>
              </w:rPr>
              <w:t xml:space="preserve"> </w:t>
            </w:r>
            <w:r>
              <w:rPr>
                <w:spacing w:val="6"/>
              </w:rPr>
              <w:t>，储矿时间1h。</w:t>
            </w:r>
          </w:p>
        </w:tc>
        <w:tc>
          <w:tcPr>
            <w:tcW w:w="755" w:type="dxa"/>
            <w:vAlign w:val="top"/>
          </w:tcPr>
          <w:p w14:paraId="4C137735">
            <w:pPr>
              <w:pStyle w:val="6"/>
              <w:spacing w:before="209" w:line="227" w:lineRule="auto"/>
              <w:ind w:left="174"/>
            </w:pPr>
            <w:r>
              <w:rPr>
                <w:spacing w:val="3"/>
              </w:rPr>
              <w:t>依托</w:t>
            </w:r>
          </w:p>
        </w:tc>
      </w:tr>
      <w:tr w14:paraId="713C1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1" w:type="dxa"/>
            <w:vMerge w:val="continue"/>
            <w:tcBorders>
              <w:top w:val="nil"/>
              <w:bottom w:val="nil"/>
            </w:tcBorders>
            <w:textDirection w:val="tbRlV"/>
            <w:vAlign w:val="top"/>
          </w:tcPr>
          <w:p w14:paraId="64522F4D">
            <w:pPr>
              <w:rPr>
                <w:rFonts w:ascii="Arial"/>
                <w:sz w:val="21"/>
              </w:rPr>
            </w:pPr>
          </w:p>
        </w:tc>
        <w:tc>
          <w:tcPr>
            <w:tcW w:w="897" w:type="dxa"/>
            <w:vAlign w:val="top"/>
          </w:tcPr>
          <w:p w14:paraId="2C4BAA23">
            <w:pPr>
              <w:pStyle w:val="6"/>
              <w:spacing w:before="210" w:line="226" w:lineRule="auto"/>
              <w:ind w:left="136"/>
            </w:pPr>
            <w:r>
              <w:rPr>
                <w:spacing w:val="6"/>
              </w:rPr>
              <w:t>转运站</w:t>
            </w:r>
          </w:p>
        </w:tc>
        <w:tc>
          <w:tcPr>
            <w:tcW w:w="3970" w:type="dxa"/>
            <w:vAlign w:val="top"/>
          </w:tcPr>
          <w:p w14:paraId="39712FF5">
            <w:pPr>
              <w:pStyle w:val="6"/>
              <w:spacing w:before="36" w:line="269" w:lineRule="auto"/>
              <w:ind w:left="110" w:right="83" w:firstLine="421"/>
            </w:pPr>
            <w:r>
              <w:rPr>
                <w:spacing w:val="3"/>
              </w:rPr>
              <w:t>2座，建筑面积36m</w:t>
            </w:r>
            <w:r>
              <w:rPr>
                <w:spacing w:val="3"/>
                <w:position w:val="10"/>
                <w:sz w:val="10"/>
                <w:szCs w:val="10"/>
              </w:rPr>
              <w:t>2</w:t>
            </w:r>
            <w:r>
              <w:rPr>
                <w:spacing w:val="-16"/>
                <w:position w:val="10"/>
                <w:sz w:val="10"/>
                <w:szCs w:val="10"/>
              </w:rPr>
              <w:t xml:space="preserve"> </w:t>
            </w:r>
            <w:r>
              <w:rPr>
                <w:spacing w:val="3"/>
              </w:rPr>
              <w:t>，贮矿时间1.2h，</w:t>
            </w:r>
            <w:r>
              <w:t xml:space="preserve"> </w:t>
            </w:r>
            <w:r>
              <w:rPr>
                <w:spacing w:val="5"/>
              </w:rPr>
              <w:t>有效容积50m</w:t>
            </w:r>
            <w:r>
              <w:rPr>
                <w:spacing w:val="5"/>
                <w:position w:val="10"/>
                <w:sz w:val="10"/>
                <w:szCs w:val="10"/>
              </w:rPr>
              <w:t>3</w:t>
            </w:r>
            <w:r>
              <w:rPr>
                <w:spacing w:val="5"/>
              </w:rPr>
              <w:t>。</w:t>
            </w:r>
          </w:p>
        </w:tc>
        <w:tc>
          <w:tcPr>
            <w:tcW w:w="4057" w:type="dxa"/>
            <w:vAlign w:val="top"/>
          </w:tcPr>
          <w:p w14:paraId="3627EDB7">
            <w:pPr>
              <w:pStyle w:val="6"/>
              <w:spacing w:before="210" w:line="226" w:lineRule="auto"/>
              <w:ind w:left="1299"/>
            </w:pPr>
            <w:r>
              <w:rPr>
                <w:spacing w:val="8"/>
              </w:rPr>
              <w:t>依托现有转运站</w:t>
            </w:r>
          </w:p>
        </w:tc>
        <w:tc>
          <w:tcPr>
            <w:tcW w:w="4057" w:type="dxa"/>
            <w:vAlign w:val="top"/>
          </w:tcPr>
          <w:p w14:paraId="39BED3F1">
            <w:pPr>
              <w:pStyle w:val="6"/>
              <w:spacing w:before="36" w:line="269" w:lineRule="auto"/>
              <w:ind w:left="114" w:right="167" w:firstLine="421"/>
            </w:pPr>
            <w:r>
              <w:rPr>
                <w:spacing w:val="3"/>
              </w:rPr>
              <w:t>2座，建筑面积36m</w:t>
            </w:r>
            <w:r>
              <w:rPr>
                <w:spacing w:val="3"/>
                <w:position w:val="10"/>
                <w:sz w:val="10"/>
                <w:szCs w:val="10"/>
              </w:rPr>
              <w:t>2</w:t>
            </w:r>
            <w:r>
              <w:rPr>
                <w:spacing w:val="-16"/>
                <w:position w:val="10"/>
                <w:sz w:val="10"/>
                <w:szCs w:val="10"/>
              </w:rPr>
              <w:t xml:space="preserve"> </w:t>
            </w:r>
            <w:r>
              <w:rPr>
                <w:spacing w:val="3"/>
              </w:rPr>
              <w:t>，贮矿时间0.5h，</w:t>
            </w:r>
            <w:r>
              <w:t xml:space="preserve"> </w:t>
            </w:r>
            <w:r>
              <w:rPr>
                <w:spacing w:val="5"/>
              </w:rPr>
              <w:t>有效容积50m</w:t>
            </w:r>
            <w:r>
              <w:rPr>
                <w:spacing w:val="5"/>
                <w:position w:val="10"/>
                <w:sz w:val="10"/>
                <w:szCs w:val="10"/>
              </w:rPr>
              <w:t>3</w:t>
            </w:r>
            <w:r>
              <w:rPr>
                <w:spacing w:val="5"/>
              </w:rPr>
              <w:t>。</w:t>
            </w:r>
          </w:p>
        </w:tc>
        <w:tc>
          <w:tcPr>
            <w:tcW w:w="755" w:type="dxa"/>
            <w:vAlign w:val="top"/>
          </w:tcPr>
          <w:p w14:paraId="28E64F4D">
            <w:pPr>
              <w:pStyle w:val="6"/>
              <w:spacing w:before="210" w:line="227" w:lineRule="auto"/>
              <w:ind w:left="174"/>
            </w:pPr>
            <w:r>
              <w:rPr>
                <w:spacing w:val="3"/>
              </w:rPr>
              <w:t>依托</w:t>
            </w:r>
          </w:p>
        </w:tc>
      </w:tr>
      <w:tr w14:paraId="0C93A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1" w:type="dxa"/>
            <w:vMerge w:val="continue"/>
            <w:tcBorders>
              <w:top w:val="nil"/>
            </w:tcBorders>
            <w:textDirection w:val="tbRlV"/>
            <w:vAlign w:val="top"/>
          </w:tcPr>
          <w:p w14:paraId="0B1517D4">
            <w:pPr>
              <w:rPr>
                <w:rFonts w:ascii="Arial"/>
                <w:sz w:val="21"/>
              </w:rPr>
            </w:pPr>
          </w:p>
        </w:tc>
        <w:tc>
          <w:tcPr>
            <w:tcW w:w="897" w:type="dxa"/>
            <w:vAlign w:val="top"/>
          </w:tcPr>
          <w:p w14:paraId="154EFCC4">
            <w:pPr>
              <w:pStyle w:val="6"/>
              <w:spacing w:before="229" w:line="252" w:lineRule="auto"/>
              <w:ind w:left="343" w:right="135" w:hanging="188"/>
            </w:pPr>
            <w:r>
              <w:t xml:space="preserve">中间堆 </w:t>
            </w:r>
            <w:r>
              <w:rPr>
                <w:spacing w:val="1"/>
              </w:rPr>
              <w:t>场</w:t>
            </w:r>
          </w:p>
        </w:tc>
        <w:tc>
          <w:tcPr>
            <w:tcW w:w="3970" w:type="dxa"/>
            <w:vAlign w:val="top"/>
          </w:tcPr>
          <w:p w14:paraId="1C13FE2D">
            <w:pPr>
              <w:pStyle w:val="6"/>
              <w:spacing w:before="36" w:line="275" w:lineRule="auto"/>
              <w:ind w:left="110" w:right="109" w:firstLine="434"/>
              <w:jc w:val="both"/>
            </w:pPr>
            <w:r>
              <w:rPr>
                <w:spacing w:val="2"/>
              </w:rPr>
              <w:t>1座，建筑面积1440m</w:t>
            </w:r>
            <w:r>
              <w:rPr>
                <w:spacing w:val="2"/>
                <w:position w:val="10"/>
                <w:sz w:val="10"/>
                <w:szCs w:val="10"/>
              </w:rPr>
              <w:t>2</w:t>
            </w:r>
            <w:r>
              <w:rPr>
                <w:spacing w:val="2"/>
              </w:rPr>
              <w:t>，堆高3~5m，地</w:t>
            </w:r>
            <w:r>
              <w:rPr>
                <w:spacing w:val="15"/>
              </w:rPr>
              <w:t xml:space="preserve"> </w:t>
            </w:r>
            <w:r>
              <w:rPr>
                <w:spacing w:val="8"/>
              </w:rPr>
              <w:t>面长槽型矿堆、底部卸料、为选矿厂半自</w:t>
            </w:r>
            <w:r>
              <w:t xml:space="preserve"> </w:t>
            </w:r>
            <w:r>
              <w:rPr>
                <w:spacing w:val="6"/>
              </w:rPr>
              <w:t>磨机给矿，有效容积1500m</w:t>
            </w:r>
            <w:r>
              <w:rPr>
                <w:spacing w:val="6"/>
                <w:position w:val="10"/>
                <w:sz w:val="10"/>
                <w:szCs w:val="10"/>
              </w:rPr>
              <w:t>3</w:t>
            </w:r>
            <w:r>
              <w:rPr>
                <w:spacing w:val="6"/>
              </w:rPr>
              <w:t>。</w:t>
            </w:r>
          </w:p>
        </w:tc>
        <w:tc>
          <w:tcPr>
            <w:tcW w:w="4057" w:type="dxa"/>
            <w:vAlign w:val="top"/>
          </w:tcPr>
          <w:p w14:paraId="7997C2BC">
            <w:pPr>
              <w:spacing w:line="298" w:lineRule="auto"/>
              <w:rPr>
                <w:rFonts w:ascii="Arial"/>
                <w:sz w:val="21"/>
              </w:rPr>
            </w:pPr>
          </w:p>
          <w:p w14:paraId="54172954">
            <w:pPr>
              <w:pStyle w:val="6"/>
              <w:spacing w:before="65" w:line="227" w:lineRule="auto"/>
              <w:ind w:left="1193"/>
            </w:pPr>
            <w:r>
              <w:rPr>
                <w:spacing w:val="8"/>
              </w:rPr>
              <w:t>依托现有中间堆场</w:t>
            </w:r>
          </w:p>
        </w:tc>
        <w:tc>
          <w:tcPr>
            <w:tcW w:w="4057" w:type="dxa"/>
            <w:vAlign w:val="top"/>
          </w:tcPr>
          <w:p w14:paraId="1CF51902">
            <w:pPr>
              <w:pStyle w:val="6"/>
              <w:spacing w:before="36" w:line="275" w:lineRule="auto"/>
              <w:ind w:left="114" w:right="116" w:firstLine="434"/>
              <w:jc w:val="both"/>
            </w:pPr>
            <w:r>
              <w:rPr>
                <w:spacing w:val="5"/>
              </w:rPr>
              <w:t>1座，建筑面积1440m</w:t>
            </w:r>
            <w:r>
              <w:rPr>
                <w:spacing w:val="5"/>
                <w:position w:val="10"/>
                <w:sz w:val="10"/>
                <w:szCs w:val="10"/>
              </w:rPr>
              <w:t>2</w:t>
            </w:r>
            <w:r>
              <w:rPr>
                <w:spacing w:val="-25"/>
                <w:position w:val="10"/>
                <w:sz w:val="10"/>
                <w:szCs w:val="10"/>
              </w:rPr>
              <w:t xml:space="preserve"> </w:t>
            </w:r>
            <w:r>
              <w:rPr>
                <w:spacing w:val="5"/>
              </w:rPr>
              <w:t>，堆高3~5m，地</w:t>
            </w:r>
            <w:r>
              <w:t xml:space="preserve"> </w:t>
            </w:r>
            <w:r>
              <w:rPr>
                <w:spacing w:val="9"/>
              </w:rPr>
              <w:t>面长槽型矿堆、底部卸料、为选矿厂半自</w:t>
            </w:r>
            <w:r>
              <w:rPr>
                <w:spacing w:val="5"/>
              </w:rPr>
              <w:t xml:space="preserve"> </w:t>
            </w:r>
            <w:r>
              <w:rPr>
                <w:spacing w:val="6"/>
              </w:rPr>
              <w:t>磨机给矿，有效容积1500m</w:t>
            </w:r>
            <w:r>
              <w:rPr>
                <w:spacing w:val="6"/>
                <w:position w:val="10"/>
                <w:sz w:val="10"/>
                <w:szCs w:val="10"/>
              </w:rPr>
              <w:t>3</w:t>
            </w:r>
            <w:r>
              <w:rPr>
                <w:spacing w:val="6"/>
              </w:rPr>
              <w:t>。</w:t>
            </w:r>
          </w:p>
        </w:tc>
        <w:tc>
          <w:tcPr>
            <w:tcW w:w="755" w:type="dxa"/>
            <w:vAlign w:val="top"/>
          </w:tcPr>
          <w:p w14:paraId="23C807BB">
            <w:pPr>
              <w:spacing w:line="298" w:lineRule="auto"/>
              <w:rPr>
                <w:rFonts w:ascii="Arial"/>
                <w:sz w:val="21"/>
              </w:rPr>
            </w:pPr>
          </w:p>
          <w:p w14:paraId="6020D47D">
            <w:pPr>
              <w:pStyle w:val="6"/>
              <w:spacing w:before="65" w:line="227" w:lineRule="auto"/>
              <w:ind w:left="174"/>
            </w:pPr>
            <w:r>
              <w:rPr>
                <w:spacing w:val="3"/>
              </w:rPr>
              <w:t>依托</w:t>
            </w:r>
          </w:p>
        </w:tc>
      </w:tr>
      <w:tr w14:paraId="7A154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1" w:type="dxa"/>
            <w:vAlign w:val="top"/>
          </w:tcPr>
          <w:p w14:paraId="63D62DD9">
            <w:pPr>
              <w:rPr>
                <w:rFonts w:ascii="Arial"/>
                <w:sz w:val="21"/>
              </w:rPr>
            </w:pPr>
          </w:p>
        </w:tc>
        <w:tc>
          <w:tcPr>
            <w:tcW w:w="897" w:type="dxa"/>
            <w:vAlign w:val="top"/>
          </w:tcPr>
          <w:p w14:paraId="3E62F0B5">
            <w:pPr>
              <w:pStyle w:val="6"/>
              <w:spacing w:before="35" w:line="228" w:lineRule="auto"/>
              <w:ind w:left="135"/>
            </w:pPr>
            <w:r>
              <w:rPr>
                <w:spacing w:val="7"/>
              </w:rPr>
              <w:t>选厂综</w:t>
            </w:r>
          </w:p>
          <w:p w14:paraId="3A985AB8">
            <w:pPr>
              <w:pStyle w:val="6"/>
              <w:spacing w:before="23" w:line="216" w:lineRule="auto"/>
              <w:ind w:left="136"/>
            </w:pPr>
            <w:r>
              <w:rPr>
                <w:spacing w:val="6"/>
              </w:rPr>
              <w:t>合仓库</w:t>
            </w:r>
          </w:p>
        </w:tc>
        <w:tc>
          <w:tcPr>
            <w:tcW w:w="3970" w:type="dxa"/>
            <w:vAlign w:val="top"/>
          </w:tcPr>
          <w:p w14:paraId="142CFEB7">
            <w:pPr>
              <w:pStyle w:val="6"/>
              <w:spacing w:before="39" w:line="242" w:lineRule="auto"/>
              <w:ind w:left="545"/>
            </w:pPr>
            <w:r>
              <w:rPr>
                <w:spacing w:val="3"/>
              </w:rPr>
              <w:t>1</w:t>
            </w:r>
            <w:r>
              <w:rPr>
                <w:spacing w:val="-34"/>
              </w:rPr>
              <w:t xml:space="preserve"> </w:t>
            </w:r>
            <w:r>
              <w:rPr>
                <w:spacing w:val="3"/>
              </w:rPr>
              <w:t>座，建筑面积</w:t>
            </w:r>
            <w:r>
              <w:rPr>
                <w:spacing w:val="-33"/>
              </w:rPr>
              <w:t xml:space="preserve"> </w:t>
            </w:r>
            <w:r>
              <w:rPr>
                <w:spacing w:val="3"/>
              </w:rPr>
              <w:t>388.8m</w:t>
            </w:r>
            <w:r>
              <w:rPr>
                <w:spacing w:val="3"/>
                <w:position w:val="10"/>
                <w:sz w:val="10"/>
                <w:szCs w:val="10"/>
              </w:rPr>
              <w:t>2</w:t>
            </w:r>
            <w:r>
              <w:rPr>
                <w:spacing w:val="3"/>
              </w:rPr>
              <w:t>。</w:t>
            </w:r>
          </w:p>
        </w:tc>
        <w:tc>
          <w:tcPr>
            <w:tcW w:w="4057" w:type="dxa"/>
            <w:vAlign w:val="top"/>
          </w:tcPr>
          <w:p w14:paraId="5AAD679C">
            <w:pPr>
              <w:pStyle w:val="6"/>
              <w:spacing w:before="171" w:line="227" w:lineRule="auto"/>
              <w:ind w:left="1193"/>
            </w:pPr>
            <w:r>
              <w:rPr>
                <w:spacing w:val="8"/>
              </w:rPr>
              <w:t>依托现有综合仓库</w:t>
            </w:r>
          </w:p>
        </w:tc>
        <w:tc>
          <w:tcPr>
            <w:tcW w:w="4057" w:type="dxa"/>
            <w:vAlign w:val="top"/>
          </w:tcPr>
          <w:p w14:paraId="69DD7D0E">
            <w:pPr>
              <w:pStyle w:val="6"/>
              <w:spacing w:before="154" w:line="265" w:lineRule="exact"/>
              <w:ind w:left="868"/>
            </w:pPr>
            <w:r>
              <w:rPr>
                <w:spacing w:val="3"/>
              </w:rPr>
              <w:t>1</w:t>
            </w:r>
            <w:r>
              <w:rPr>
                <w:spacing w:val="-35"/>
              </w:rPr>
              <w:t xml:space="preserve"> </w:t>
            </w:r>
            <w:r>
              <w:rPr>
                <w:spacing w:val="3"/>
              </w:rPr>
              <w:t>座，建筑面积</w:t>
            </w:r>
            <w:r>
              <w:rPr>
                <w:spacing w:val="-32"/>
              </w:rPr>
              <w:t xml:space="preserve"> </w:t>
            </w:r>
            <w:r>
              <w:rPr>
                <w:spacing w:val="3"/>
              </w:rPr>
              <w:t>388.8m</w:t>
            </w:r>
            <w:r>
              <w:rPr>
                <w:spacing w:val="3"/>
                <w:position w:val="10"/>
                <w:sz w:val="10"/>
                <w:szCs w:val="10"/>
              </w:rPr>
              <w:t>2</w:t>
            </w:r>
            <w:r>
              <w:rPr>
                <w:spacing w:val="3"/>
              </w:rPr>
              <w:t>。</w:t>
            </w:r>
          </w:p>
        </w:tc>
        <w:tc>
          <w:tcPr>
            <w:tcW w:w="755" w:type="dxa"/>
            <w:vAlign w:val="top"/>
          </w:tcPr>
          <w:p w14:paraId="48CB533E">
            <w:pPr>
              <w:pStyle w:val="6"/>
              <w:spacing w:before="171" w:line="227" w:lineRule="auto"/>
              <w:ind w:left="174"/>
            </w:pPr>
            <w:r>
              <w:rPr>
                <w:spacing w:val="3"/>
              </w:rPr>
              <w:t>依托</w:t>
            </w:r>
          </w:p>
        </w:tc>
      </w:tr>
      <w:tr w14:paraId="42DBE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51" w:type="dxa"/>
            <w:vMerge w:val="restart"/>
            <w:tcBorders>
              <w:bottom w:val="nil"/>
            </w:tcBorders>
            <w:textDirection w:val="tbRlV"/>
            <w:vAlign w:val="top"/>
          </w:tcPr>
          <w:p w14:paraId="2A9DE527">
            <w:pPr>
              <w:pStyle w:val="6"/>
              <w:spacing w:before="169" w:line="217" w:lineRule="auto"/>
              <w:ind w:left="994"/>
            </w:pPr>
            <w:r>
              <w:rPr>
                <w:spacing w:val="6"/>
              </w:rPr>
              <w:t>环 保 工 程</w:t>
            </w:r>
          </w:p>
        </w:tc>
        <w:tc>
          <w:tcPr>
            <w:tcW w:w="897" w:type="dxa"/>
            <w:vAlign w:val="top"/>
          </w:tcPr>
          <w:p w14:paraId="776F2C0E">
            <w:pPr>
              <w:spacing w:line="453" w:lineRule="auto"/>
              <w:rPr>
                <w:rFonts w:ascii="Arial"/>
                <w:sz w:val="21"/>
              </w:rPr>
            </w:pPr>
          </w:p>
          <w:p w14:paraId="7E9E7D46">
            <w:pPr>
              <w:pStyle w:val="6"/>
              <w:spacing w:before="65" w:line="227" w:lineRule="auto"/>
              <w:ind w:left="135"/>
            </w:pPr>
            <w:r>
              <w:rPr>
                <w:spacing w:val="7"/>
              </w:rPr>
              <w:t>废气治</w:t>
            </w:r>
          </w:p>
          <w:p w14:paraId="0138AD2F">
            <w:pPr>
              <w:pStyle w:val="6"/>
              <w:spacing w:before="65" w:line="238" w:lineRule="auto"/>
              <w:ind w:left="347"/>
            </w:pPr>
            <w:r>
              <w:t>理</w:t>
            </w:r>
          </w:p>
        </w:tc>
        <w:tc>
          <w:tcPr>
            <w:tcW w:w="3970" w:type="dxa"/>
            <w:vAlign w:val="top"/>
          </w:tcPr>
          <w:p w14:paraId="7D4CAB0A">
            <w:pPr>
              <w:pStyle w:val="6"/>
              <w:spacing w:before="53" w:line="228" w:lineRule="auto"/>
              <w:ind w:left="203"/>
            </w:pPr>
            <w:r>
              <w:rPr>
                <w:spacing w:val="9"/>
              </w:rPr>
              <w:t>粗碎车间和中间堆场粉尘集中收集后通</w:t>
            </w:r>
          </w:p>
          <w:p w14:paraId="3C757068">
            <w:pPr>
              <w:pStyle w:val="6"/>
              <w:spacing w:before="65" w:line="227" w:lineRule="auto"/>
              <w:ind w:left="204"/>
            </w:pPr>
            <w:r>
              <w:rPr>
                <w:spacing w:val="9"/>
              </w:rPr>
              <w:t>过滤筒除尘器净化，处置后的废气通过</w:t>
            </w:r>
          </w:p>
          <w:p w14:paraId="7B06A2B0">
            <w:pPr>
              <w:pStyle w:val="6"/>
              <w:spacing w:before="66" w:line="227" w:lineRule="auto"/>
              <w:ind w:left="1083"/>
            </w:pPr>
            <w:r>
              <w:rPr>
                <w:spacing w:val="3"/>
              </w:rPr>
              <w:t>15m</w:t>
            </w:r>
            <w:r>
              <w:rPr>
                <w:spacing w:val="-30"/>
              </w:rPr>
              <w:t xml:space="preserve"> </w:t>
            </w:r>
            <w:r>
              <w:rPr>
                <w:spacing w:val="3"/>
              </w:rPr>
              <w:t>高排气筒排放。</w:t>
            </w:r>
          </w:p>
          <w:p w14:paraId="17CA0099">
            <w:pPr>
              <w:pStyle w:val="6"/>
              <w:spacing w:before="66" w:line="226" w:lineRule="auto"/>
              <w:ind w:left="109"/>
            </w:pPr>
            <w:r>
              <w:rPr>
                <w:spacing w:val="7"/>
              </w:rPr>
              <w:t>在转运站及中间堆场下料点各设置</w:t>
            </w:r>
            <w:r>
              <w:rPr>
                <w:spacing w:val="-32"/>
              </w:rPr>
              <w:t xml:space="preserve"> </w:t>
            </w:r>
            <w:r>
              <w:rPr>
                <w:spacing w:val="7"/>
              </w:rPr>
              <w:t>1</w:t>
            </w:r>
            <w:r>
              <w:rPr>
                <w:spacing w:val="-49"/>
              </w:rPr>
              <w:t xml:space="preserve"> </w:t>
            </w:r>
            <w:r>
              <w:rPr>
                <w:spacing w:val="7"/>
              </w:rPr>
              <w:t>套超</w:t>
            </w:r>
          </w:p>
          <w:p w14:paraId="3CBCA954">
            <w:pPr>
              <w:pStyle w:val="6"/>
              <w:spacing w:before="66" w:line="228" w:lineRule="auto"/>
              <w:ind w:left="1256"/>
            </w:pPr>
            <w:r>
              <w:rPr>
                <w:spacing w:val="8"/>
              </w:rPr>
              <w:t>声微雾抑尘系统</w:t>
            </w:r>
          </w:p>
        </w:tc>
        <w:tc>
          <w:tcPr>
            <w:tcW w:w="4057" w:type="dxa"/>
            <w:vAlign w:val="top"/>
          </w:tcPr>
          <w:p w14:paraId="6ACDFDC2">
            <w:pPr>
              <w:spacing w:line="453" w:lineRule="auto"/>
              <w:rPr>
                <w:rFonts w:ascii="Arial"/>
                <w:sz w:val="21"/>
              </w:rPr>
            </w:pPr>
          </w:p>
          <w:p w14:paraId="7F6591F3">
            <w:pPr>
              <w:pStyle w:val="6"/>
              <w:spacing w:before="65" w:line="227" w:lineRule="auto"/>
              <w:ind w:left="353"/>
            </w:pPr>
            <w:r>
              <w:rPr>
                <w:spacing w:val="9"/>
              </w:rPr>
              <w:t>依托现有废气治理设施，运行时间由</w:t>
            </w:r>
          </w:p>
          <w:p w14:paraId="56F191F7">
            <w:pPr>
              <w:pStyle w:val="6"/>
              <w:spacing w:before="66" w:line="231" w:lineRule="auto"/>
              <w:ind w:left="776"/>
            </w:pPr>
            <w:r>
              <w:rPr>
                <w:spacing w:val="3"/>
              </w:rPr>
              <w:t>5.28h/d</w:t>
            </w:r>
            <w:r>
              <w:rPr>
                <w:spacing w:val="-37"/>
              </w:rPr>
              <w:t xml:space="preserve"> </w:t>
            </w:r>
            <w:r>
              <w:rPr>
                <w:spacing w:val="3"/>
              </w:rPr>
              <w:t>延长至</w:t>
            </w:r>
            <w:r>
              <w:rPr>
                <w:spacing w:val="-21"/>
              </w:rPr>
              <w:t xml:space="preserve"> </w:t>
            </w:r>
            <w:r>
              <w:rPr>
                <w:spacing w:val="3"/>
              </w:rPr>
              <w:t>12.94h/d。</w:t>
            </w:r>
          </w:p>
        </w:tc>
        <w:tc>
          <w:tcPr>
            <w:tcW w:w="4057" w:type="dxa"/>
            <w:vAlign w:val="top"/>
          </w:tcPr>
          <w:p w14:paraId="72D636D7">
            <w:pPr>
              <w:pStyle w:val="6"/>
              <w:spacing w:before="53" w:line="228" w:lineRule="auto"/>
              <w:ind w:left="144"/>
            </w:pPr>
            <w:r>
              <w:rPr>
                <w:spacing w:val="9"/>
              </w:rPr>
              <w:t>粗碎车间和中间堆场粉尘集中收集后通过</w:t>
            </w:r>
          </w:p>
          <w:p w14:paraId="19C3E1A4">
            <w:pPr>
              <w:pStyle w:val="6"/>
              <w:spacing w:before="65" w:line="227" w:lineRule="auto"/>
              <w:ind w:left="172"/>
            </w:pPr>
            <w:r>
              <w:rPr>
                <w:spacing w:val="7"/>
              </w:rPr>
              <w:t>滤筒除尘器净化，处置后的废气通过</w:t>
            </w:r>
            <w:r>
              <w:rPr>
                <w:spacing w:val="-16"/>
              </w:rPr>
              <w:t xml:space="preserve"> </w:t>
            </w:r>
            <w:r>
              <w:rPr>
                <w:spacing w:val="7"/>
              </w:rPr>
              <w:t>15m</w:t>
            </w:r>
          </w:p>
          <w:p w14:paraId="282D8AC2">
            <w:pPr>
              <w:pStyle w:val="6"/>
              <w:spacing w:before="66" w:line="227" w:lineRule="auto"/>
              <w:ind w:left="1304"/>
            </w:pPr>
            <w:r>
              <w:rPr>
                <w:spacing w:val="6"/>
              </w:rPr>
              <w:t>高排气筒排放。</w:t>
            </w:r>
          </w:p>
          <w:p w14:paraId="120C3200">
            <w:pPr>
              <w:pStyle w:val="6"/>
              <w:spacing w:before="66" w:line="226" w:lineRule="auto"/>
              <w:ind w:left="143"/>
            </w:pPr>
            <w:r>
              <w:rPr>
                <w:spacing w:val="7"/>
              </w:rPr>
              <w:t>在转运站及中间堆场下料点各设置</w:t>
            </w:r>
            <w:r>
              <w:rPr>
                <w:spacing w:val="-20"/>
              </w:rPr>
              <w:t xml:space="preserve"> </w:t>
            </w:r>
            <w:r>
              <w:rPr>
                <w:spacing w:val="7"/>
              </w:rPr>
              <w:t>1</w:t>
            </w:r>
            <w:r>
              <w:rPr>
                <w:spacing w:val="-37"/>
              </w:rPr>
              <w:t xml:space="preserve"> </w:t>
            </w:r>
            <w:r>
              <w:rPr>
                <w:spacing w:val="7"/>
              </w:rPr>
              <w:t>套超</w:t>
            </w:r>
          </w:p>
          <w:p w14:paraId="5D7D3E06">
            <w:pPr>
              <w:pStyle w:val="6"/>
              <w:spacing w:before="66" w:line="228" w:lineRule="auto"/>
              <w:ind w:left="1303"/>
            </w:pPr>
            <w:r>
              <w:rPr>
                <w:spacing w:val="8"/>
              </w:rPr>
              <w:t>声微雾抑尘系统</w:t>
            </w:r>
          </w:p>
        </w:tc>
        <w:tc>
          <w:tcPr>
            <w:tcW w:w="755" w:type="dxa"/>
            <w:vAlign w:val="top"/>
          </w:tcPr>
          <w:p w14:paraId="15008FBA">
            <w:pPr>
              <w:spacing w:line="304" w:lineRule="auto"/>
              <w:rPr>
                <w:rFonts w:ascii="Arial"/>
                <w:sz w:val="21"/>
              </w:rPr>
            </w:pPr>
          </w:p>
          <w:p w14:paraId="5228A9E4">
            <w:pPr>
              <w:spacing w:line="305" w:lineRule="auto"/>
              <w:rPr>
                <w:rFonts w:ascii="Arial"/>
                <w:sz w:val="21"/>
              </w:rPr>
            </w:pPr>
          </w:p>
          <w:p w14:paraId="136482F6">
            <w:pPr>
              <w:pStyle w:val="6"/>
              <w:spacing w:before="65" w:line="227" w:lineRule="auto"/>
              <w:ind w:left="174"/>
            </w:pPr>
            <w:r>
              <w:rPr>
                <w:spacing w:val="3"/>
              </w:rPr>
              <w:t>依托</w:t>
            </w:r>
          </w:p>
        </w:tc>
      </w:tr>
      <w:tr w14:paraId="0ABA1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551" w:type="dxa"/>
            <w:vMerge w:val="continue"/>
            <w:tcBorders>
              <w:top w:val="nil"/>
            </w:tcBorders>
            <w:textDirection w:val="tbRlV"/>
            <w:vAlign w:val="top"/>
          </w:tcPr>
          <w:p w14:paraId="665326E0">
            <w:pPr>
              <w:rPr>
                <w:rFonts w:ascii="Arial"/>
                <w:sz w:val="21"/>
              </w:rPr>
            </w:pPr>
          </w:p>
        </w:tc>
        <w:tc>
          <w:tcPr>
            <w:tcW w:w="897" w:type="dxa"/>
            <w:vAlign w:val="top"/>
          </w:tcPr>
          <w:p w14:paraId="070A8E6A">
            <w:pPr>
              <w:spacing w:line="454" w:lineRule="auto"/>
              <w:rPr>
                <w:rFonts w:ascii="Arial"/>
                <w:sz w:val="21"/>
              </w:rPr>
            </w:pPr>
          </w:p>
          <w:p w14:paraId="74898D39">
            <w:pPr>
              <w:pStyle w:val="6"/>
              <w:spacing w:before="65" w:line="228" w:lineRule="auto"/>
              <w:ind w:left="135"/>
            </w:pPr>
            <w:r>
              <w:rPr>
                <w:spacing w:val="7"/>
              </w:rPr>
              <w:t>废水治</w:t>
            </w:r>
          </w:p>
          <w:p w14:paraId="6ED7A145">
            <w:pPr>
              <w:pStyle w:val="6"/>
              <w:spacing w:before="65" w:line="238" w:lineRule="auto"/>
              <w:ind w:left="347"/>
            </w:pPr>
            <w:r>
              <w:t>理</w:t>
            </w:r>
          </w:p>
        </w:tc>
        <w:tc>
          <w:tcPr>
            <w:tcW w:w="3970" w:type="dxa"/>
            <w:vAlign w:val="top"/>
          </w:tcPr>
          <w:p w14:paraId="7394218F">
            <w:pPr>
              <w:pStyle w:val="6"/>
              <w:spacing w:before="56" w:line="277" w:lineRule="auto"/>
              <w:ind w:left="110" w:right="109" w:firstLine="418"/>
              <w:jc w:val="both"/>
            </w:pPr>
            <w:r>
              <w:rPr>
                <w:spacing w:val="7"/>
              </w:rPr>
              <w:t>选厂生产废水排入尾矿库内，设置一</w:t>
            </w:r>
            <w:r>
              <w:rPr>
                <w:spacing w:val="13"/>
              </w:rPr>
              <w:t xml:space="preserve"> </w:t>
            </w:r>
            <w:r>
              <w:rPr>
                <w:spacing w:val="20"/>
              </w:rPr>
              <w:t>套尾矿回水处理系统用于处理全厂尾矿</w:t>
            </w:r>
            <w:r>
              <w:rPr>
                <w:spacing w:val="3"/>
              </w:rPr>
              <w:t xml:space="preserve"> </w:t>
            </w:r>
            <w:r>
              <w:rPr>
                <w:spacing w:val="6"/>
              </w:rPr>
              <w:t>回水，处理规模为</w:t>
            </w:r>
            <w:r>
              <w:rPr>
                <w:spacing w:val="-36"/>
              </w:rPr>
              <w:t xml:space="preserve"> </w:t>
            </w:r>
            <w:r>
              <w:rPr>
                <w:spacing w:val="6"/>
              </w:rPr>
              <w:t>9000m</w:t>
            </w:r>
            <w:r>
              <w:rPr>
                <w:spacing w:val="6"/>
                <w:position w:val="10"/>
                <w:sz w:val="10"/>
                <w:szCs w:val="10"/>
              </w:rPr>
              <w:t>3</w:t>
            </w:r>
            <w:r>
              <w:rPr>
                <w:spacing w:val="6"/>
              </w:rPr>
              <w:t>/d，采用</w:t>
            </w:r>
            <w:r>
              <w:rPr>
                <w:spacing w:val="5"/>
              </w:rPr>
              <w:t>混凝沉</w:t>
            </w:r>
            <w:r>
              <w:t xml:space="preserve"> </w:t>
            </w:r>
            <w:r>
              <w:rPr>
                <w:spacing w:val="8"/>
              </w:rPr>
              <w:t>淀法，经处理后用泵扬送至选厂高位回用</w:t>
            </w:r>
            <w:r>
              <w:t xml:space="preserve"> </w:t>
            </w:r>
            <w:r>
              <w:rPr>
                <w:spacing w:val="8"/>
              </w:rPr>
              <w:t>水池，通过厂区生产回水管网送至生产回</w:t>
            </w:r>
          </w:p>
        </w:tc>
        <w:tc>
          <w:tcPr>
            <w:tcW w:w="4057" w:type="dxa"/>
            <w:vAlign w:val="top"/>
          </w:tcPr>
          <w:p w14:paraId="0886532B">
            <w:pPr>
              <w:pStyle w:val="6"/>
              <w:spacing w:before="54" w:line="228" w:lineRule="auto"/>
              <w:ind w:left="190"/>
            </w:pPr>
            <w:r>
              <w:rPr>
                <w:spacing w:val="6"/>
              </w:rPr>
              <w:t>现有</w:t>
            </w:r>
            <w:r>
              <w:rPr>
                <w:spacing w:val="-20"/>
              </w:rPr>
              <w:t xml:space="preserve"> </w:t>
            </w:r>
            <w:r>
              <w:rPr>
                <w:rFonts w:ascii="Times New Roman" w:hAnsi="Times New Roman" w:eastAsia="Times New Roman" w:cs="Times New Roman"/>
                <w:spacing w:val="6"/>
              </w:rPr>
              <w:t xml:space="preserve">1400t/d </w:t>
            </w:r>
            <w:r>
              <w:rPr>
                <w:spacing w:val="6"/>
              </w:rPr>
              <w:t>选矿工程经技改后选矿能力</w:t>
            </w:r>
          </w:p>
          <w:p w14:paraId="7F9F66D0">
            <w:pPr>
              <w:pStyle w:val="6"/>
              <w:spacing w:before="65" w:line="228" w:lineRule="auto"/>
              <w:ind w:left="111"/>
            </w:pPr>
            <w:r>
              <w:rPr>
                <w:spacing w:val="6"/>
              </w:rPr>
              <w:t>达到</w:t>
            </w:r>
            <w:r>
              <w:rPr>
                <w:spacing w:val="-37"/>
              </w:rPr>
              <w:t xml:space="preserve"> </w:t>
            </w:r>
            <w:r>
              <w:rPr>
                <w:rFonts w:ascii="Times New Roman" w:hAnsi="Times New Roman" w:eastAsia="Times New Roman" w:cs="Times New Roman"/>
                <w:spacing w:val="6"/>
              </w:rPr>
              <w:t>3400t/d</w:t>
            </w:r>
            <w:r>
              <w:rPr>
                <w:rFonts w:ascii="Times New Roman" w:hAnsi="Times New Roman" w:eastAsia="Times New Roman" w:cs="Times New Roman"/>
                <w:spacing w:val="-24"/>
              </w:rPr>
              <w:t xml:space="preserve"> </w:t>
            </w:r>
            <w:r>
              <w:rPr>
                <w:spacing w:val="6"/>
              </w:rPr>
              <w:t>，废水量增加，对水泵及管路</w:t>
            </w:r>
          </w:p>
          <w:p w14:paraId="721DF47C">
            <w:pPr>
              <w:pStyle w:val="6"/>
              <w:spacing w:before="65" w:line="228" w:lineRule="auto"/>
              <w:ind w:left="141"/>
            </w:pPr>
            <w:r>
              <w:rPr>
                <w:spacing w:val="9"/>
              </w:rPr>
              <w:t>进行技改，使系统满足废水及尾矿输送要</w:t>
            </w:r>
          </w:p>
          <w:p w14:paraId="35960164">
            <w:pPr>
              <w:pStyle w:val="6"/>
              <w:spacing w:before="65" w:line="227" w:lineRule="auto"/>
              <w:ind w:left="145"/>
            </w:pPr>
            <w:r>
              <w:rPr>
                <w:spacing w:val="9"/>
              </w:rPr>
              <w:t>求。废水治理方式不变。生活污水处理设</w:t>
            </w:r>
          </w:p>
          <w:p w14:paraId="1F2CFDDB">
            <w:pPr>
              <w:pStyle w:val="6"/>
              <w:spacing w:before="66" w:line="229" w:lineRule="auto"/>
              <w:ind w:left="1611"/>
            </w:pPr>
            <w:r>
              <w:rPr>
                <w:spacing w:val="5"/>
              </w:rPr>
              <w:t>施不变。</w:t>
            </w:r>
          </w:p>
        </w:tc>
        <w:tc>
          <w:tcPr>
            <w:tcW w:w="4057" w:type="dxa"/>
            <w:vAlign w:val="top"/>
          </w:tcPr>
          <w:p w14:paraId="12C3D67C">
            <w:pPr>
              <w:pStyle w:val="6"/>
              <w:spacing w:before="56" w:line="277" w:lineRule="auto"/>
              <w:ind w:left="113" w:right="104" w:firstLine="419"/>
              <w:jc w:val="both"/>
            </w:pPr>
            <w:r>
              <w:rPr>
                <w:spacing w:val="13"/>
              </w:rPr>
              <w:t>选厂生产废水排入尾矿库内，设置一</w:t>
            </w:r>
            <w:r>
              <w:rPr>
                <w:spacing w:val="6"/>
              </w:rPr>
              <w:t xml:space="preserve"> </w:t>
            </w:r>
            <w:r>
              <w:rPr>
                <w:spacing w:val="13"/>
              </w:rPr>
              <w:t>套尾矿回水处理系统用于处理全厂尾矿回</w:t>
            </w:r>
            <w:r>
              <w:t xml:space="preserve"> </w:t>
            </w:r>
            <w:r>
              <w:rPr>
                <w:spacing w:val="9"/>
              </w:rPr>
              <w:t>水，处理规模为</w:t>
            </w:r>
            <w:r>
              <w:rPr>
                <w:spacing w:val="-15"/>
              </w:rPr>
              <w:t xml:space="preserve"> </w:t>
            </w:r>
            <w:r>
              <w:rPr>
                <w:spacing w:val="9"/>
              </w:rPr>
              <w:t>9000m</w:t>
            </w:r>
            <w:r>
              <w:rPr>
                <w:spacing w:val="9"/>
                <w:position w:val="10"/>
                <w:sz w:val="10"/>
                <w:szCs w:val="10"/>
              </w:rPr>
              <w:t>3</w:t>
            </w:r>
            <w:r>
              <w:rPr>
                <w:spacing w:val="9"/>
              </w:rPr>
              <w:t>/d，采用混凝沉淀</w:t>
            </w:r>
            <w:r>
              <w:t xml:space="preserve"> </w:t>
            </w:r>
            <w:r>
              <w:rPr>
                <w:spacing w:val="13"/>
              </w:rPr>
              <w:t>法，经处理后用泵扬送至选厂高位回用水</w:t>
            </w:r>
            <w:r>
              <w:t xml:space="preserve"> </w:t>
            </w:r>
            <w:r>
              <w:rPr>
                <w:spacing w:val="13"/>
              </w:rPr>
              <w:t>池，通过厂区生产回水管网送至生产回水</w:t>
            </w:r>
          </w:p>
        </w:tc>
        <w:tc>
          <w:tcPr>
            <w:tcW w:w="755" w:type="dxa"/>
            <w:vAlign w:val="top"/>
          </w:tcPr>
          <w:p w14:paraId="34548296">
            <w:pPr>
              <w:spacing w:line="304" w:lineRule="auto"/>
              <w:rPr>
                <w:rFonts w:ascii="Arial"/>
                <w:sz w:val="21"/>
              </w:rPr>
            </w:pPr>
          </w:p>
          <w:p w14:paraId="36E579AA">
            <w:pPr>
              <w:spacing w:line="305" w:lineRule="auto"/>
              <w:rPr>
                <w:rFonts w:ascii="Arial"/>
                <w:sz w:val="21"/>
              </w:rPr>
            </w:pPr>
          </w:p>
          <w:p w14:paraId="03BD6EAF">
            <w:pPr>
              <w:pStyle w:val="6"/>
              <w:spacing w:before="65" w:line="227" w:lineRule="auto"/>
              <w:ind w:left="174"/>
            </w:pPr>
            <w:r>
              <w:rPr>
                <w:spacing w:val="3"/>
              </w:rPr>
              <w:t>依托</w:t>
            </w:r>
          </w:p>
        </w:tc>
      </w:tr>
    </w:tbl>
    <w:p w14:paraId="7EA7E0F5">
      <w:pPr>
        <w:pStyle w:val="2"/>
      </w:pPr>
    </w:p>
    <w:p w14:paraId="5197A90E">
      <w:pPr>
        <w:sectPr>
          <w:footerReference r:id="rId98" w:type="default"/>
          <w:pgSz w:w="16839" w:h="11906"/>
          <w:pgMar w:top="1208" w:right="1273" w:bottom="1355" w:left="1272" w:header="825" w:footer="1195" w:gutter="0"/>
          <w:cols w:space="720" w:num="1"/>
        </w:sectPr>
      </w:pPr>
    </w:p>
    <w:p w14:paraId="3565647C">
      <w:pPr>
        <w:spacing w:before="53"/>
      </w:pPr>
    </w:p>
    <w:p w14:paraId="6867168A">
      <w:pPr>
        <w:spacing w:before="52"/>
      </w:pPr>
    </w:p>
    <w:tbl>
      <w:tblPr>
        <w:tblStyle w:val="5"/>
        <w:tblW w:w="142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897"/>
        <w:gridCol w:w="3970"/>
        <w:gridCol w:w="4057"/>
        <w:gridCol w:w="4057"/>
        <w:gridCol w:w="755"/>
      </w:tblGrid>
      <w:tr w14:paraId="0679D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551" w:type="dxa"/>
            <w:vMerge w:val="restart"/>
            <w:tcBorders>
              <w:bottom w:val="nil"/>
            </w:tcBorders>
            <w:vAlign w:val="top"/>
          </w:tcPr>
          <w:p w14:paraId="250E7E17">
            <w:pPr>
              <w:rPr>
                <w:rFonts w:ascii="Arial"/>
                <w:sz w:val="21"/>
              </w:rPr>
            </w:pPr>
          </w:p>
        </w:tc>
        <w:tc>
          <w:tcPr>
            <w:tcW w:w="897" w:type="dxa"/>
            <w:vAlign w:val="top"/>
          </w:tcPr>
          <w:p w14:paraId="34D066B1">
            <w:pPr>
              <w:rPr>
                <w:rFonts w:ascii="Arial"/>
                <w:sz w:val="21"/>
              </w:rPr>
            </w:pPr>
          </w:p>
        </w:tc>
        <w:tc>
          <w:tcPr>
            <w:tcW w:w="3970" w:type="dxa"/>
            <w:vAlign w:val="top"/>
          </w:tcPr>
          <w:p w14:paraId="5177169C">
            <w:pPr>
              <w:pStyle w:val="6"/>
              <w:spacing w:before="56" w:line="228" w:lineRule="auto"/>
              <w:ind w:left="112"/>
            </w:pPr>
            <w:r>
              <w:rPr>
                <w:spacing w:val="7"/>
              </w:rPr>
              <w:t>水用水点，不外排。</w:t>
            </w:r>
          </w:p>
          <w:p w14:paraId="0D77399D">
            <w:pPr>
              <w:pStyle w:val="6"/>
              <w:spacing w:before="65" w:line="228" w:lineRule="auto"/>
              <w:ind w:left="464"/>
            </w:pPr>
            <w:r>
              <w:rPr>
                <w:spacing w:val="9"/>
              </w:rPr>
              <w:t>选厂设置一套污水处理设施用于处理</w:t>
            </w:r>
          </w:p>
          <w:p w14:paraId="2E1BCF2C">
            <w:pPr>
              <w:pStyle w:val="6"/>
              <w:spacing w:before="48" w:line="264" w:lineRule="exact"/>
              <w:ind w:left="110"/>
            </w:pPr>
            <w:r>
              <w:rPr>
                <w:spacing w:val="7"/>
              </w:rPr>
              <w:t>全厂生活污水，设计处理能力为</w:t>
            </w:r>
            <w:r>
              <w:rPr>
                <w:spacing w:val="-34"/>
              </w:rPr>
              <w:t xml:space="preserve"> </w:t>
            </w:r>
            <w:r>
              <w:rPr>
                <w:spacing w:val="7"/>
              </w:rPr>
              <w:t>6m</w:t>
            </w:r>
            <w:r>
              <w:rPr>
                <w:spacing w:val="7"/>
                <w:position w:val="10"/>
                <w:sz w:val="10"/>
                <w:szCs w:val="10"/>
              </w:rPr>
              <w:t>3</w:t>
            </w:r>
            <w:r>
              <w:rPr>
                <w:spacing w:val="7"/>
              </w:rPr>
              <w:t>/h ，</w:t>
            </w:r>
          </w:p>
          <w:p w14:paraId="1186903F">
            <w:pPr>
              <w:pStyle w:val="6"/>
              <w:spacing w:before="65" w:line="227" w:lineRule="auto"/>
              <w:ind w:left="109"/>
            </w:pPr>
            <w:r>
              <w:rPr>
                <w:spacing w:val="11"/>
              </w:rPr>
              <w:t>采用</w:t>
            </w:r>
            <w:r>
              <w:t>MBR</w:t>
            </w:r>
            <w:r>
              <w:rPr>
                <w:spacing w:val="-31"/>
              </w:rPr>
              <w:t xml:space="preserve"> </w:t>
            </w:r>
            <w:r>
              <w:rPr>
                <w:spacing w:val="11"/>
              </w:rPr>
              <w:t>膜生物反应器工艺，生活污水经</w:t>
            </w:r>
          </w:p>
          <w:p w14:paraId="2C59F62B">
            <w:pPr>
              <w:pStyle w:val="6"/>
              <w:spacing w:before="65" w:line="228" w:lineRule="auto"/>
              <w:ind w:left="114"/>
            </w:pPr>
            <w:r>
              <w:rPr>
                <w:spacing w:val="7"/>
              </w:rPr>
              <w:t>处理达标后，回用于矿区绿化用水，不外</w:t>
            </w:r>
          </w:p>
          <w:p w14:paraId="20F20CB8">
            <w:pPr>
              <w:pStyle w:val="6"/>
              <w:spacing w:before="65" w:line="230" w:lineRule="auto"/>
              <w:ind w:left="1778"/>
            </w:pPr>
            <w:r>
              <w:t>排。</w:t>
            </w:r>
          </w:p>
        </w:tc>
        <w:tc>
          <w:tcPr>
            <w:tcW w:w="4057" w:type="dxa"/>
            <w:vAlign w:val="top"/>
          </w:tcPr>
          <w:p w14:paraId="56AE553E">
            <w:pPr>
              <w:rPr>
                <w:rFonts w:ascii="Arial"/>
                <w:sz w:val="21"/>
              </w:rPr>
            </w:pPr>
          </w:p>
        </w:tc>
        <w:tc>
          <w:tcPr>
            <w:tcW w:w="4057" w:type="dxa"/>
            <w:vAlign w:val="top"/>
          </w:tcPr>
          <w:p w14:paraId="0098CC63">
            <w:pPr>
              <w:pStyle w:val="6"/>
              <w:spacing w:before="56" w:line="228" w:lineRule="auto"/>
              <w:ind w:left="115"/>
            </w:pPr>
            <w:r>
              <w:rPr>
                <w:spacing w:val="7"/>
              </w:rPr>
              <w:t>用水点，不外排。</w:t>
            </w:r>
          </w:p>
          <w:p w14:paraId="00153F2F">
            <w:pPr>
              <w:pStyle w:val="6"/>
              <w:spacing w:before="65" w:line="228" w:lineRule="auto"/>
              <w:ind w:left="511"/>
            </w:pPr>
            <w:r>
              <w:rPr>
                <w:spacing w:val="9"/>
              </w:rPr>
              <w:t>选厂设置一套污水处理设施用于处理</w:t>
            </w:r>
          </w:p>
          <w:p w14:paraId="66A214EB">
            <w:pPr>
              <w:pStyle w:val="6"/>
              <w:spacing w:before="48" w:line="264" w:lineRule="exact"/>
              <w:ind w:left="144"/>
            </w:pPr>
            <w:r>
              <w:rPr>
                <w:spacing w:val="7"/>
              </w:rPr>
              <w:t>全厂生活污水，设计处理能力为</w:t>
            </w:r>
            <w:r>
              <w:rPr>
                <w:spacing w:val="-34"/>
              </w:rPr>
              <w:t xml:space="preserve"> </w:t>
            </w:r>
            <w:r>
              <w:rPr>
                <w:spacing w:val="7"/>
              </w:rPr>
              <w:t>6m</w:t>
            </w:r>
            <w:r>
              <w:rPr>
                <w:spacing w:val="7"/>
                <w:position w:val="10"/>
                <w:sz w:val="10"/>
                <w:szCs w:val="10"/>
              </w:rPr>
              <w:t>3</w:t>
            </w:r>
            <w:r>
              <w:rPr>
                <w:spacing w:val="7"/>
              </w:rPr>
              <w:t>/h ，</w:t>
            </w:r>
          </w:p>
          <w:p w14:paraId="0890EB95">
            <w:pPr>
              <w:pStyle w:val="6"/>
              <w:spacing w:before="65" w:line="227" w:lineRule="auto"/>
              <w:ind w:left="143"/>
            </w:pPr>
            <w:r>
              <w:rPr>
                <w:spacing w:val="13"/>
              </w:rPr>
              <w:t>采用</w:t>
            </w:r>
            <w:r>
              <w:t>MBR</w:t>
            </w:r>
            <w:r>
              <w:rPr>
                <w:spacing w:val="-39"/>
              </w:rPr>
              <w:t xml:space="preserve"> </w:t>
            </w:r>
            <w:r>
              <w:rPr>
                <w:spacing w:val="13"/>
              </w:rPr>
              <w:t>膜生物反应器工艺，生活污水经</w:t>
            </w:r>
          </w:p>
          <w:p w14:paraId="70A0192D">
            <w:pPr>
              <w:pStyle w:val="6"/>
              <w:spacing w:before="65" w:line="228" w:lineRule="auto"/>
              <w:ind w:left="148"/>
            </w:pPr>
            <w:r>
              <w:rPr>
                <w:spacing w:val="9"/>
              </w:rPr>
              <w:t>处理达标后，回用于矿区绿化用水，不外</w:t>
            </w:r>
          </w:p>
          <w:p w14:paraId="1592A50C">
            <w:pPr>
              <w:pStyle w:val="6"/>
              <w:spacing w:before="65" w:line="230" w:lineRule="auto"/>
              <w:ind w:left="1824"/>
            </w:pPr>
            <w:r>
              <w:t>排。</w:t>
            </w:r>
          </w:p>
        </w:tc>
        <w:tc>
          <w:tcPr>
            <w:tcW w:w="755" w:type="dxa"/>
            <w:vAlign w:val="top"/>
          </w:tcPr>
          <w:p w14:paraId="292500A9">
            <w:pPr>
              <w:rPr>
                <w:rFonts w:ascii="Arial"/>
                <w:sz w:val="21"/>
              </w:rPr>
            </w:pPr>
          </w:p>
        </w:tc>
      </w:tr>
      <w:tr w14:paraId="4B60A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1" w:type="dxa"/>
            <w:vMerge w:val="continue"/>
            <w:tcBorders>
              <w:top w:val="nil"/>
              <w:bottom w:val="nil"/>
            </w:tcBorders>
            <w:vAlign w:val="top"/>
          </w:tcPr>
          <w:p w14:paraId="2D9BB8FE">
            <w:pPr>
              <w:rPr>
                <w:rFonts w:ascii="Arial"/>
                <w:sz w:val="21"/>
              </w:rPr>
            </w:pPr>
          </w:p>
        </w:tc>
        <w:tc>
          <w:tcPr>
            <w:tcW w:w="897" w:type="dxa"/>
            <w:vAlign w:val="top"/>
          </w:tcPr>
          <w:p w14:paraId="2F05857B">
            <w:pPr>
              <w:pStyle w:val="6"/>
              <w:spacing w:before="35" w:line="228" w:lineRule="auto"/>
              <w:ind w:left="135"/>
            </w:pPr>
            <w:r>
              <w:rPr>
                <w:spacing w:val="6"/>
              </w:rPr>
              <w:t>地下水</w:t>
            </w:r>
          </w:p>
          <w:p w14:paraId="33304360">
            <w:pPr>
              <w:pStyle w:val="6"/>
              <w:spacing w:before="24" w:line="228" w:lineRule="auto"/>
              <w:ind w:left="137"/>
            </w:pPr>
            <w:r>
              <w:rPr>
                <w:spacing w:val="6"/>
              </w:rPr>
              <w:t>污染防</w:t>
            </w:r>
          </w:p>
          <w:p w14:paraId="1BBA54C4">
            <w:pPr>
              <w:pStyle w:val="6"/>
              <w:spacing w:before="24" w:line="215" w:lineRule="auto"/>
              <w:ind w:left="349"/>
            </w:pPr>
            <w:r>
              <w:t>治</w:t>
            </w:r>
          </w:p>
        </w:tc>
        <w:tc>
          <w:tcPr>
            <w:tcW w:w="3970" w:type="dxa"/>
            <w:vAlign w:val="top"/>
          </w:tcPr>
          <w:p w14:paraId="73BA556E">
            <w:pPr>
              <w:pStyle w:val="6"/>
              <w:spacing w:before="306" w:line="228" w:lineRule="auto"/>
              <w:ind w:left="206"/>
            </w:pPr>
            <w:r>
              <w:rPr>
                <w:spacing w:val="7"/>
              </w:rPr>
              <w:t>分区防渗，设置地下水污染监控井</w:t>
            </w:r>
            <w:r>
              <w:rPr>
                <w:spacing w:val="-25"/>
              </w:rPr>
              <w:t xml:space="preserve"> </w:t>
            </w:r>
            <w:r>
              <w:rPr>
                <w:spacing w:val="7"/>
              </w:rPr>
              <w:t>3</w:t>
            </w:r>
            <w:r>
              <w:rPr>
                <w:spacing w:val="-36"/>
              </w:rPr>
              <w:t xml:space="preserve"> </w:t>
            </w:r>
            <w:r>
              <w:rPr>
                <w:spacing w:val="7"/>
              </w:rPr>
              <w:t>座</w:t>
            </w:r>
          </w:p>
        </w:tc>
        <w:tc>
          <w:tcPr>
            <w:tcW w:w="4057" w:type="dxa"/>
            <w:vAlign w:val="top"/>
          </w:tcPr>
          <w:p w14:paraId="70BF01AB">
            <w:pPr>
              <w:pStyle w:val="6"/>
              <w:spacing w:before="306" w:line="228" w:lineRule="auto"/>
              <w:ind w:left="1406"/>
            </w:pPr>
            <w:r>
              <w:rPr>
                <w:spacing w:val="7"/>
              </w:rPr>
              <w:t>维持现有不变</w:t>
            </w:r>
          </w:p>
        </w:tc>
        <w:tc>
          <w:tcPr>
            <w:tcW w:w="4057" w:type="dxa"/>
            <w:vAlign w:val="top"/>
          </w:tcPr>
          <w:p w14:paraId="0F59A444">
            <w:pPr>
              <w:pStyle w:val="6"/>
              <w:spacing w:before="306" w:line="228" w:lineRule="auto"/>
              <w:ind w:left="252"/>
            </w:pPr>
            <w:r>
              <w:rPr>
                <w:spacing w:val="7"/>
              </w:rPr>
              <w:t>分区防渗，设置地下水污染监控井</w:t>
            </w:r>
            <w:r>
              <w:rPr>
                <w:spacing w:val="-25"/>
              </w:rPr>
              <w:t xml:space="preserve"> </w:t>
            </w:r>
            <w:r>
              <w:rPr>
                <w:spacing w:val="7"/>
              </w:rPr>
              <w:t>3</w:t>
            </w:r>
            <w:r>
              <w:rPr>
                <w:spacing w:val="-36"/>
              </w:rPr>
              <w:t xml:space="preserve"> </w:t>
            </w:r>
            <w:r>
              <w:rPr>
                <w:spacing w:val="7"/>
              </w:rPr>
              <w:t>座</w:t>
            </w:r>
          </w:p>
        </w:tc>
        <w:tc>
          <w:tcPr>
            <w:tcW w:w="755" w:type="dxa"/>
            <w:vAlign w:val="top"/>
          </w:tcPr>
          <w:p w14:paraId="6CDB52D6">
            <w:pPr>
              <w:rPr>
                <w:rFonts w:ascii="Arial"/>
                <w:sz w:val="21"/>
              </w:rPr>
            </w:pPr>
          </w:p>
          <w:p w14:paraId="28EB802A">
            <w:pPr>
              <w:pStyle w:val="6"/>
              <w:spacing w:before="65" w:line="227" w:lineRule="auto"/>
              <w:ind w:left="174"/>
            </w:pPr>
            <w:r>
              <w:rPr>
                <w:spacing w:val="3"/>
              </w:rPr>
              <w:t>依托</w:t>
            </w:r>
          </w:p>
        </w:tc>
      </w:tr>
      <w:tr w14:paraId="3315E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51" w:type="dxa"/>
            <w:vMerge w:val="continue"/>
            <w:tcBorders>
              <w:top w:val="nil"/>
              <w:bottom w:val="nil"/>
            </w:tcBorders>
            <w:vAlign w:val="top"/>
          </w:tcPr>
          <w:p w14:paraId="38FAECE0">
            <w:pPr>
              <w:rPr>
                <w:rFonts w:ascii="Arial"/>
                <w:sz w:val="21"/>
              </w:rPr>
            </w:pPr>
          </w:p>
        </w:tc>
        <w:tc>
          <w:tcPr>
            <w:tcW w:w="897" w:type="dxa"/>
            <w:vAlign w:val="top"/>
          </w:tcPr>
          <w:p w14:paraId="57E7FCA4">
            <w:pPr>
              <w:pStyle w:val="6"/>
              <w:spacing w:before="54" w:line="260" w:lineRule="auto"/>
              <w:ind w:left="346" w:right="135" w:hanging="193"/>
            </w:pPr>
            <w:r>
              <w:t>固废治</w:t>
            </w:r>
            <w:r>
              <w:rPr>
                <w:spacing w:val="1"/>
              </w:rPr>
              <w:t xml:space="preserve"> </w:t>
            </w:r>
            <w:r>
              <w:t>理</w:t>
            </w:r>
          </w:p>
        </w:tc>
        <w:tc>
          <w:tcPr>
            <w:tcW w:w="3970" w:type="dxa"/>
            <w:vAlign w:val="top"/>
          </w:tcPr>
          <w:p w14:paraId="6034148B">
            <w:pPr>
              <w:pStyle w:val="6"/>
              <w:spacing w:before="39" w:line="267" w:lineRule="auto"/>
              <w:ind w:left="358" w:right="109" w:hanging="246"/>
            </w:pPr>
            <w:r>
              <w:rPr>
                <w:spacing w:val="3"/>
              </w:rPr>
              <w:t>危废暂存间</w:t>
            </w:r>
            <w:r>
              <w:rPr>
                <w:spacing w:val="-23"/>
              </w:rPr>
              <w:t xml:space="preserve"> </w:t>
            </w:r>
            <w:r>
              <w:rPr>
                <w:spacing w:val="3"/>
              </w:rPr>
              <w:t>1</w:t>
            </w:r>
            <w:r>
              <w:rPr>
                <w:spacing w:val="-36"/>
              </w:rPr>
              <w:t xml:space="preserve"> </w:t>
            </w:r>
            <w:r>
              <w:rPr>
                <w:spacing w:val="3"/>
              </w:rPr>
              <w:t>座，面积</w:t>
            </w:r>
            <w:r>
              <w:rPr>
                <w:spacing w:val="-34"/>
              </w:rPr>
              <w:t xml:space="preserve"> </w:t>
            </w:r>
            <w:r>
              <w:rPr>
                <w:spacing w:val="3"/>
              </w:rPr>
              <w:t>20m</w:t>
            </w:r>
            <w:r>
              <w:rPr>
                <w:spacing w:val="3"/>
                <w:position w:val="10"/>
                <w:sz w:val="10"/>
                <w:szCs w:val="10"/>
              </w:rPr>
              <w:t>2</w:t>
            </w:r>
            <w:r>
              <w:rPr>
                <w:spacing w:val="-25"/>
                <w:position w:val="10"/>
                <w:sz w:val="10"/>
                <w:szCs w:val="10"/>
              </w:rPr>
              <w:t xml:space="preserve"> </w:t>
            </w:r>
            <w:r>
              <w:rPr>
                <w:spacing w:val="3"/>
              </w:rPr>
              <w:t>，用于暂存废</w:t>
            </w:r>
            <w:r>
              <w:t xml:space="preserve"> </w:t>
            </w:r>
            <w:r>
              <w:rPr>
                <w:spacing w:val="5"/>
              </w:rPr>
              <w:t>机油，渗透系数小于</w:t>
            </w:r>
            <w:r>
              <w:rPr>
                <w:spacing w:val="-3"/>
              </w:rPr>
              <w:t xml:space="preserve"> </w:t>
            </w:r>
            <w:r>
              <w:rPr>
                <w:spacing w:val="5"/>
              </w:rPr>
              <w:t>1.0×10</w:t>
            </w:r>
            <w:r>
              <w:rPr>
                <w:spacing w:val="5"/>
                <w:position w:val="10"/>
                <w:sz w:val="10"/>
                <w:szCs w:val="10"/>
              </w:rPr>
              <w:t>-10</w:t>
            </w:r>
            <w:r>
              <w:t>cm</w:t>
            </w:r>
            <w:r>
              <w:rPr>
                <w:spacing w:val="5"/>
              </w:rPr>
              <w:t>/s</w:t>
            </w:r>
          </w:p>
        </w:tc>
        <w:tc>
          <w:tcPr>
            <w:tcW w:w="4057" w:type="dxa"/>
            <w:vAlign w:val="top"/>
          </w:tcPr>
          <w:p w14:paraId="2A0AFE80">
            <w:pPr>
              <w:pStyle w:val="6"/>
              <w:spacing w:before="210" w:line="227" w:lineRule="auto"/>
              <w:ind w:left="1090"/>
            </w:pPr>
            <w:r>
              <w:rPr>
                <w:spacing w:val="8"/>
              </w:rPr>
              <w:t>依托现有危废暂存间</w:t>
            </w:r>
          </w:p>
        </w:tc>
        <w:tc>
          <w:tcPr>
            <w:tcW w:w="4057" w:type="dxa"/>
            <w:vAlign w:val="top"/>
          </w:tcPr>
          <w:p w14:paraId="5031B78E">
            <w:pPr>
              <w:pStyle w:val="6"/>
              <w:spacing w:before="39" w:line="267" w:lineRule="auto"/>
              <w:ind w:left="407" w:right="137" w:hanging="260"/>
            </w:pPr>
            <w:r>
              <w:rPr>
                <w:spacing w:val="4"/>
              </w:rPr>
              <w:t>危废暂存间</w:t>
            </w:r>
            <w:r>
              <w:rPr>
                <w:spacing w:val="-19"/>
              </w:rPr>
              <w:t xml:space="preserve"> </w:t>
            </w:r>
            <w:r>
              <w:rPr>
                <w:spacing w:val="4"/>
              </w:rPr>
              <w:t>1</w:t>
            </w:r>
            <w:r>
              <w:rPr>
                <w:spacing w:val="-36"/>
              </w:rPr>
              <w:t xml:space="preserve"> </w:t>
            </w:r>
            <w:r>
              <w:rPr>
                <w:spacing w:val="4"/>
              </w:rPr>
              <w:t>座，面积</w:t>
            </w:r>
            <w:r>
              <w:rPr>
                <w:spacing w:val="-34"/>
              </w:rPr>
              <w:t xml:space="preserve"> </w:t>
            </w:r>
            <w:r>
              <w:rPr>
                <w:spacing w:val="4"/>
              </w:rPr>
              <w:t>20m</w:t>
            </w:r>
            <w:r>
              <w:rPr>
                <w:spacing w:val="4"/>
                <w:position w:val="10"/>
                <w:sz w:val="10"/>
                <w:szCs w:val="10"/>
              </w:rPr>
              <w:t>2</w:t>
            </w:r>
            <w:r>
              <w:rPr>
                <w:spacing w:val="-25"/>
                <w:position w:val="10"/>
                <w:sz w:val="10"/>
                <w:szCs w:val="10"/>
              </w:rPr>
              <w:t xml:space="preserve"> </w:t>
            </w:r>
            <w:r>
              <w:rPr>
                <w:spacing w:val="4"/>
              </w:rPr>
              <w:t>，用于暂存废</w:t>
            </w:r>
            <w:r>
              <w:t xml:space="preserve"> </w:t>
            </w:r>
            <w:r>
              <w:rPr>
                <w:spacing w:val="6"/>
              </w:rPr>
              <w:t>机油，渗透系数小于</w:t>
            </w:r>
            <w:r>
              <w:rPr>
                <w:spacing w:val="-23"/>
              </w:rPr>
              <w:t xml:space="preserve"> </w:t>
            </w:r>
            <w:r>
              <w:rPr>
                <w:spacing w:val="6"/>
              </w:rPr>
              <w:t>1.0×10</w:t>
            </w:r>
            <w:r>
              <w:rPr>
                <w:spacing w:val="6"/>
                <w:position w:val="10"/>
                <w:sz w:val="10"/>
                <w:szCs w:val="10"/>
              </w:rPr>
              <w:t>-10</w:t>
            </w:r>
            <w:r>
              <w:t>cm</w:t>
            </w:r>
            <w:r>
              <w:rPr>
                <w:spacing w:val="6"/>
              </w:rPr>
              <w:t>/s</w:t>
            </w:r>
          </w:p>
        </w:tc>
        <w:tc>
          <w:tcPr>
            <w:tcW w:w="755" w:type="dxa"/>
            <w:vAlign w:val="top"/>
          </w:tcPr>
          <w:p w14:paraId="5AE687A7">
            <w:pPr>
              <w:pStyle w:val="6"/>
              <w:spacing w:before="210" w:line="227" w:lineRule="auto"/>
              <w:ind w:left="174"/>
            </w:pPr>
            <w:r>
              <w:rPr>
                <w:spacing w:val="3"/>
              </w:rPr>
              <w:t>依托</w:t>
            </w:r>
          </w:p>
        </w:tc>
      </w:tr>
      <w:tr w14:paraId="0E81B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51" w:type="dxa"/>
            <w:vMerge w:val="continue"/>
            <w:tcBorders>
              <w:top w:val="nil"/>
            </w:tcBorders>
            <w:vAlign w:val="top"/>
          </w:tcPr>
          <w:p w14:paraId="022484CA">
            <w:pPr>
              <w:rPr>
                <w:rFonts w:ascii="Arial"/>
                <w:sz w:val="21"/>
              </w:rPr>
            </w:pPr>
          </w:p>
        </w:tc>
        <w:tc>
          <w:tcPr>
            <w:tcW w:w="897" w:type="dxa"/>
            <w:vAlign w:val="top"/>
          </w:tcPr>
          <w:p w14:paraId="7F41EA88">
            <w:pPr>
              <w:pStyle w:val="6"/>
              <w:spacing w:before="232" w:line="252" w:lineRule="auto"/>
              <w:ind w:left="344" w:right="135" w:hanging="199"/>
            </w:pPr>
            <w:r>
              <w:rPr>
                <w:spacing w:val="3"/>
              </w:rPr>
              <w:t>噪声控</w:t>
            </w:r>
            <w:r>
              <w:rPr>
                <w:spacing w:val="1"/>
              </w:rPr>
              <w:t xml:space="preserve"> </w:t>
            </w:r>
            <w:r>
              <w:t>制</w:t>
            </w:r>
          </w:p>
        </w:tc>
        <w:tc>
          <w:tcPr>
            <w:tcW w:w="3970" w:type="dxa"/>
            <w:vAlign w:val="top"/>
          </w:tcPr>
          <w:p w14:paraId="1743A971">
            <w:pPr>
              <w:pStyle w:val="6"/>
              <w:spacing w:before="57" w:line="270" w:lineRule="auto"/>
              <w:ind w:left="110" w:right="109" w:firstLine="2"/>
              <w:jc w:val="both"/>
            </w:pPr>
            <w:r>
              <w:rPr>
                <w:spacing w:val="7"/>
              </w:rPr>
              <w:t>设备采取基础减振、隔声等措施，对空气</w:t>
            </w:r>
            <w:r>
              <w:rPr>
                <w:spacing w:val="15"/>
              </w:rPr>
              <w:t xml:space="preserve"> </w:t>
            </w:r>
            <w:r>
              <w:rPr>
                <w:spacing w:val="8"/>
              </w:rPr>
              <w:t>动力性的噪声设备加装消声器，风机及水</w:t>
            </w:r>
            <w:r>
              <w:t xml:space="preserve"> </w:t>
            </w:r>
            <w:r>
              <w:rPr>
                <w:spacing w:val="9"/>
              </w:rPr>
              <w:t>泵的接头应采用软性材料</w:t>
            </w:r>
          </w:p>
        </w:tc>
        <w:tc>
          <w:tcPr>
            <w:tcW w:w="4057" w:type="dxa"/>
            <w:vAlign w:val="top"/>
          </w:tcPr>
          <w:p w14:paraId="24033F8E">
            <w:pPr>
              <w:pStyle w:val="6"/>
              <w:spacing w:before="57" w:line="227" w:lineRule="auto"/>
              <w:ind w:left="146"/>
            </w:pPr>
            <w:r>
              <w:rPr>
                <w:spacing w:val="9"/>
              </w:rPr>
              <w:t>设备采取基础减振、隔声等措施，对空气</w:t>
            </w:r>
          </w:p>
          <w:p w14:paraId="37A13E3E">
            <w:pPr>
              <w:pStyle w:val="6"/>
              <w:spacing w:before="66" w:line="227" w:lineRule="auto"/>
              <w:ind w:left="144"/>
            </w:pPr>
            <w:r>
              <w:rPr>
                <w:spacing w:val="9"/>
              </w:rPr>
              <w:t>动力性的噪声设备加装消声器，风机及水</w:t>
            </w:r>
          </w:p>
          <w:p w14:paraId="47FABF34">
            <w:pPr>
              <w:pStyle w:val="6"/>
              <w:spacing w:before="66" w:line="227" w:lineRule="auto"/>
              <w:ind w:left="878"/>
            </w:pPr>
            <w:r>
              <w:rPr>
                <w:spacing w:val="9"/>
              </w:rPr>
              <w:t>泵的接头应采用软性材料</w:t>
            </w:r>
          </w:p>
        </w:tc>
        <w:tc>
          <w:tcPr>
            <w:tcW w:w="4057" w:type="dxa"/>
            <w:vAlign w:val="top"/>
          </w:tcPr>
          <w:p w14:paraId="72E63E8F">
            <w:pPr>
              <w:pStyle w:val="6"/>
              <w:spacing w:before="57" w:line="227" w:lineRule="auto"/>
              <w:ind w:left="148"/>
            </w:pPr>
            <w:r>
              <w:rPr>
                <w:spacing w:val="9"/>
              </w:rPr>
              <w:t>设备采取基础减振、隔声等措施，对空气</w:t>
            </w:r>
          </w:p>
          <w:p w14:paraId="75C464DC">
            <w:pPr>
              <w:pStyle w:val="6"/>
              <w:spacing w:before="66" w:line="227" w:lineRule="auto"/>
              <w:ind w:left="145"/>
            </w:pPr>
            <w:r>
              <w:rPr>
                <w:spacing w:val="9"/>
              </w:rPr>
              <w:t>动力性的噪声设备加装消声器，风机及水</w:t>
            </w:r>
          </w:p>
          <w:p w14:paraId="5B495BCF">
            <w:pPr>
              <w:pStyle w:val="6"/>
              <w:spacing w:before="66" w:line="227" w:lineRule="auto"/>
              <w:ind w:left="879"/>
            </w:pPr>
            <w:r>
              <w:rPr>
                <w:spacing w:val="9"/>
              </w:rPr>
              <w:t>泵的接头应采用软性材料</w:t>
            </w:r>
          </w:p>
        </w:tc>
        <w:tc>
          <w:tcPr>
            <w:tcW w:w="755" w:type="dxa"/>
            <w:vAlign w:val="top"/>
          </w:tcPr>
          <w:p w14:paraId="519E67E8">
            <w:pPr>
              <w:pStyle w:val="6"/>
              <w:spacing w:before="212" w:line="228" w:lineRule="auto"/>
              <w:ind w:left="175"/>
            </w:pPr>
            <w:r>
              <w:rPr>
                <w:spacing w:val="3"/>
              </w:rPr>
              <w:t>部分</w:t>
            </w:r>
          </w:p>
          <w:p w14:paraId="23CE5A27">
            <w:pPr>
              <w:pStyle w:val="6"/>
              <w:spacing w:before="65" w:line="228" w:lineRule="auto"/>
              <w:ind w:left="173"/>
            </w:pPr>
            <w:r>
              <w:rPr>
                <w:spacing w:val="4"/>
              </w:rPr>
              <w:t>新建</w:t>
            </w:r>
          </w:p>
        </w:tc>
      </w:tr>
    </w:tbl>
    <w:p w14:paraId="290C94C1">
      <w:pPr>
        <w:pStyle w:val="2"/>
      </w:pPr>
    </w:p>
    <w:p w14:paraId="61F01DB2">
      <w:pPr>
        <w:sectPr>
          <w:footerReference r:id="rId99" w:type="default"/>
          <w:pgSz w:w="16839" w:h="11906"/>
          <w:pgMar w:top="1208" w:right="1273" w:bottom="1358" w:left="1272" w:header="825" w:footer="1195" w:gutter="0"/>
          <w:cols w:space="720" w:num="1"/>
        </w:sectPr>
      </w:pPr>
    </w:p>
    <w:p w14:paraId="1D054D4E">
      <w:pPr>
        <w:spacing w:before="271" w:line="222" w:lineRule="auto"/>
        <w:ind w:left="18"/>
        <w:outlineLvl w:val="1"/>
        <w:rPr>
          <w:rFonts w:ascii="黑体" w:hAnsi="黑体" w:eastAsia="黑体" w:cs="黑体"/>
          <w:sz w:val="28"/>
          <w:szCs w:val="28"/>
        </w:rPr>
      </w:pPr>
      <w:bookmarkStart w:id="55" w:name="bookmark51"/>
      <w:bookmarkEnd w:id="55"/>
      <w:r>
        <w:rPr>
          <w:rFonts w:ascii="Times New Roman" w:hAnsi="Times New Roman" w:eastAsia="Times New Roman" w:cs="Times New Roman"/>
          <w:b/>
          <w:bCs/>
          <w:spacing w:val="-2"/>
          <w:sz w:val="28"/>
          <w:szCs w:val="28"/>
        </w:rPr>
        <w:t xml:space="preserve">4.4 </w:t>
      </w:r>
      <w:r>
        <w:rPr>
          <w:rFonts w:ascii="黑体" w:hAnsi="黑体" w:eastAsia="黑体" w:cs="黑体"/>
          <w:b/>
          <w:bCs/>
          <w:spacing w:val="-2"/>
          <w:sz w:val="28"/>
          <w:szCs w:val="28"/>
        </w:rPr>
        <w:t>主要生产设备</w:t>
      </w:r>
    </w:p>
    <w:p w14:paraId="35D899B3">
      <w:pPr>
        <w:spacing w:before="256" w:line="219" w:lineRule="auto"/>
        <w:ind w:left="502"/>
        <w:rPr>
          <w:rFonts w:ascii="宋体" w:hAnsi="宋体" w:eastAsia="宋体" w:cs="宋体"/>
          <w:sz w:val="24"/>
          <w:szCs w:val="24"/>
        </w:rPr>
      </w:pPr>
      <w:r>
        <w:rPr>
          <w:rFonts w:ascii="宋体" w:hAnsi="宋体" w:eastAsia="宋体" w:cs="宋体"/>
          <w:spacing w:val="-1"/>
          <w:sz w:val="24"/>
          <w:szCs w:val="24"/>
        </w:rPr>
        <w:t>本项目技改工程前后设备变化见表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4.4-1</w:t>
      </w:r>
      <w:r>
        <w:rPr>
          <w:rFonts w:ascii="宋体" w:hAnsi="宋体" w:eastAsia="宋体" w:cs="宋体"/>
          <w:spacing w:val="-1"/>
          <w:sz w:val="24"/>
          <w:szCs w:val="24"/>
        </w:rPr>
        <w:t>。</w:t>
      </w:r>
    </w:p>
    <w:p w14:paraId="7D3AE120">
      <w:pPr>
        <w:spacing w:line="219" w:lineRule="auto"/>
        <w:rPr>
          <w:rFonts w:ascii="宋体" w:hAnsi="宋体" w:eastAsia="宋体" w:cs="宋体"/>
          <w:sz w:val="24"/>
          <w:szCs w:val="24"/>
        </w:rPr>
        <w:sectPr>
          <w:headerReference r:id="rId100" w:type="default"/>
          <w:footerReference r:id="rId101" w:type="default"/>
          <w:pgSz w:w="11906" w:h="16839"/>
          <w:pgMar w:top="1208" w:right="1785" w:bottom="1358" w:left="1785" w:header="825" w:footer="1195" w:gutter="0"/>
          <w:cols w:space="720" w:num="1"/>
        </w:sectPr>
      </w:pPr>
    </w:p>
    <w:p w14:paraId="3E4344A2">
      <w:pPr>
        <w:pStyle w:val="2"/>
        <w:spacing w:line="272" w:lineRule="auto"/>
      </w:pPr>
    </w:p>
    <w:p w14:paraId="3EFF0DE7">
      <w:pPr>
        <w:pStyle w:val="2"/>
        <w:spacing w:line="272" w:lineRule="auto"/>
      </w:pPr>
    </w:p>
    <w:p w14:paraId="1E4C28E6">
      <w:pPr>
        <w:spacing w:before="78" w:line="211" w:lineRule="auto"/>
        <w:ind w:left="53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4.4-1        </w:t>
      </w:r>
      <w:r>
        <w:rPr>
          <w:rFonts w:ascii="宋体" w:hAnsi="宋体" w:eastAsia="宋体" w:cs="宋体"/>
          <w:spacing w:val="-1"/>
          <w:sz w:val="24"/>
          <w:szCs w:val="24"/>
        </w:rPr>
        <w:t>主要生产设备一览表</w:t>
      </w: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2CF04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0262EF02">
            <w:pPr>
              <w:pStyle w:val="6"/>
              <w:spacing w:before="210" w:line="218" w:lineRule="auto"/>
              <w:ind w:left="203"/>
            </w:pPr>
            <w:r>
              <w:rPr>
                <w:spacing w:val="6"/>
              </w:rPr>
              <w:t>序 号</w:t>
            </w:r>
          </w:p>
        </w:tc>
        <w:tc>
          <w:tcPr>
            <w:tcW w:w="4262" w:type="dxa"/>
            <w:gridSpan w:val="4"/>
            <w:vAlign w:val="top"/>
          </w:tcPr>
          <w:p w14:paraId="465F5BB9">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75438A6E">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7EBBFFD1">
            <w:pPr>
              <w:pStyle w:val="6"/>
              <w:spacing w:before="198" w:line="228" w:lineRule="auto"/>
              <w:ind w:left="1278"/>
            </w:pPr>
            <w:r>
              <w:rPr>
                <w:spacing w:val="9"/>
              </w:rPr>
              <w:t>技改工程完成后最终设备</w:t>
            </w:r>
          </w:p>
        </w:tc>
      </w:tr>
      <w:tr w14:paraId="7C702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41465FE0">
            <w:pPr>
              <w:rPr>
                <w:rFonts w:ascii="Arial"/>
                <w:sz w:val="21"/>
              </w:rPr>
            </w:pPr>
          </w:p>
        </w:tc>
        <w:tc>
          <w:tcPr>
            <w:tcW w:w="1606" w:type="dxa"/>
            <w:vAlign w:val="top"/>
          </w:tcPr>
          <w:p w14:paraId="296CED2B">
            <w:pPr>
              <w:pStyle w:val="6"/>
              <w:spacing w:before="53" w:line="230" w:lineRule="auto"/>
              <w:ind w:left="599"/>
            </w:pPr>
            <w:r>
              <w:rPr>
                <w:spacing w:val="3"/>
              </w:rPr>
              <w:t>名称</w:t>
            </w:r>
          </w:p>
        </w:tc>
        <w:tc>
          <w:tcPr>
            <w:tcW w:w="1275" w:type="dxa"/>
            <w:vAlign w:val="top"/>
          </w:tcPr>
          <w:p w14:paraId="41F70DE2">
            <w:pPr>
              <w:pStyle w:val="6"/>
              <w:spacing w:before="52" w:line="228" w:lineRule="auto"/>
              <w:ind w:left="116"/>
            </w:pPr>
            <w:r>
              <w:rPr>
                <w:spacing w:val="7"/>
              </w:rPr>
              <w:t>规格及型号</w:t>
            </w:r>
          </w:p>
        </w:tc>
        <w:tc>
          <w:tcPr>
            <w:tcW w:w="709" w:type="dxa"/>
            <w:vAlign w:val="top"/>
          </w:tcPr>
          <w:p w14:paraId="3217F0EB">
            <w:pPr>
              <w:pStyle w:val="6"/>
              <w:spacing w:before="52" w:line="228" w:lineRule="auto"/>
              <w:ind w:left="148"/>
            </w:pPr>
            <w:r>
              <w:rPr>
                <w:spacing w:val="3"/>
              </w:rPr>
              <w:t>数量</w:t>
            </w:r>
          </w:p>
        </w:tc>
        <w:tc>
          <w:tcPr>
            <w:tcW w:w="672" w:type="dxa"/>
            <w:vAlign w:val="top"/>
          </w:tcPr>
          <w:p w14:paraId="06D4A4B4">
            <w:pPr>
              <w:pStyle w:val="6"/>
              <w:spacing w:before="53" w:line="229" w:lineRule="auto"/>
              <w:ind w:left="131"/>
            </w:pPr>
            <w:r>
              <w:rPr>
                <w:spacing w:val="3"/>
              </w:rPr>
              <w:t>备注</w:t>
            </w:r>
          </w:p>
        </w:tc>
        <w:tc>
          <w:tcPr>
            <w:tcW w:w="1531" w:type="dxa"/>
            <w:vAlign w:val="top"/>
          </w:tcPr>
          <w:p w14:paraId="7F900BC3">
            <w:pPr>
              <w:pStyle w:val="6"/>
              <w:spacing w:before="53" w:line="230" w:lineRule="auto"/>
              <w:ind w:left="563"/>
            </w:pPr>
            <w:r>
              <w:rPr>
                <w:spacing w:val="3"/>
              </w:rPr>
              <w:t>名称</w:t>
            </w:r>
          </w:p>
        </w:tc>
        <w:tc>
          <w:tcPr>
            <w:tcW w:w="1481" w:type="dxa"/>
            <w:vAlign w:val="top"/>
          </w:tcPr>
          <w:p w14:paraId="33085F9A">
            <w:pPr>
              <w:pStyle w:val="6"/>
              <w:spacing w:before="52" w:line="228" w:lineRule="auto"/>
              <w:ind w:left="535"/>
            </w:pPr>
            <w:r>
              <w:rPr>
                <w:spacing w:val="4"/>
              </w:rPr>
              <w:t>规格</w:t>
            </w:r>
          </w:p>
        </w:tc>
        <w:tc>
          <w:tcPr>
            <w:tcW w:w="708" w:type="dxa"/>
            <w:vAlign w:val="top"/>
          </w:tcPr>
          <w:p w14:paraId="727446BF">
            <w:pPr>
              <w:pStyle w:val="6"/>
              <w:spacing w:before="52" w:line="228" w:lineRule="auto"/>
              <w:ind w:left="152"/>
            </w:pPr>
            <w:r>
              <w:rPr>
                <w:spacing w:val="3"/>
              </w:rPr>
              <w:t>数量</w:t>
            </w:r>
          </w:p>
        </w:tc>
        <w:tc>
          <w:tcPr>
            <w:tcW w:w="709" w:type="dxa"/>
            <w:vAlign w:val="top"/>
          </w:tcPr>
          <w:p w14:paraId="477EFFDF">
            <w:pPr>
              <w:pStyle w:val="6"/>
              <w:spacing w:before="53" w:line="229" w:lineRule="auto"/>
              <w:ind w:left="153"/>
            </w:pPr>
            <w:r>
              <w:rPr>
                <w:spacing w:val="3"/>
              </w:rPr>
              <w:t>备注</w:t>
            </w:r>
          </w:p>
        </w:tc>
        <w:tc>
          <w:tcPr>
            <w:tcW w:w="1700" w:type="dxa"/>
            <w:vAlign w:val="top"/>
          </w:tcPr>
          <w:p w14:paraId="0D415D16">
            <w:pPr>
              <w:pStyle w:val="6"/>
              <w:spacing w:before="53" w:line="230" w:lineRule="auto"/>
              <w:ind w:left="648"/>
            </w:pPr>
            <w:r>
              <w:rPr>
                <w:spacing w:val="3"/>
              </w:rPr>
              <w:t>名称</w:t>
            </w:r>
          </w:p>
        </w:tc>
        <w:tc>
          <w:tcPr>
            <w:tcW w:w="1558" w:type="dxa"/>
            <w:vAlign w:val="top"/>
          </w:tcPr>
          <w:p w14:paraId="2308A29F">
            <w:pPr>
              <w:pStyle w:val="6"/>
              <w:spacing w:before="52" w:line="228" w:lineRule="auto"/>
              <w:ind w:left="576"/>
            </w:pPr>
            <w:r>
              <w:rPr>
                <w:spacing w:val="4"/>
              </w:rPr>
              <w:t>规格</w:t>
            </w:r>
          </w:p>
        </w:tc>
        <w:tc>
          <w:tcPr>
            <w:tcW w:w="709" w:type="dxa"/>
            <w:vAlign w:val="top"/>
          </w:tcPr>
          <w:p w14:paraId="7058E15A">
            <w:pPr>
              <w:pStyle w:val="6"/>
              <w:spacing w:before="52" w:line="228" w:lineRule="auto"/>
              <w:ind w:left="152"/>
            </w:pPr>
            <w:r>
              <w:rPr>
                <w:spacing w:val="3"/>
              </w:rPr>
              <w:t>数量</w:t>
            </w:r>
          </w:p>
        </w:tc>
        <w:tc>
          <w:tcPr>
            <w:tcW w:w="887" w:type="dxa"/>
            <w:vAlign w:val="top"/>
          </w:tcPr>
          <w:p w14:paraId="172D6DCF">
            <w:pPr>
              <w:pStyle w:val="6"/>
              <w:spacing w:before="53" w:line="229" w:lineRule="auto"/>
              <w:ind w:left="241"/>
            </w:pPr>
            <w:r>
              <w:rPr>
                <w:spacing w:val="3"/>
              </w:rPr>
              <w:t>备注</w:t>
            </w:r>
          </w:p>
        </w:tc>
      </w:tr>
      <w:tr w14:paraId="1E6BC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7755FB51">
            <w:pPr>
              <w:pStyle w:val="6"/>
              <w:spacing w:before="52" w:line="228" w:lineRule="auto"/>
              <w:ind w:left="6467"/>
            </w:pPr>
            <w:r>
              <w:rPr>
                <w:spacing w:val="7"/>
              </w:rPr>
              <w:t>一、粗碎车间</w:t>
            </w:r>
          </w:p>
        </w:tc>
      </w:tr>
      <w:tr w14:paraId="7A2D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2A3A357F">
            <w:pPr>
              <w:spacing w:before="24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2F3D16E0">
            <w:pPr>
              <w:pStyle w:val="6"/>
              <w:spacing w:before="53" w:line="261" w:lineRule="auto"/>
              <w:ind w:left="279" w:right="107" w:hanging="178"/>
            </w:pPr>
            <w:r>
              <w:rPr>
                <w:spacing w:val="-6"/>
              </w:rPr>
              <w:t>“履带链</w:t>
            </w:r>
            <w:r>
              <w:rPr>
                <w:spacing w:val="-68"/>
              </w:rPr>
              <w:t xml:space="preserve"> </w:t>
            </w:r>
            <w:r>
              <w:rPr>
                <w:spacing w:val="-6"/>
              </w:rPr>
              <w:t>”重型</w:t>
            </w:r>
            <w:r>
              <w:t xml:space="preserve"> </w:t>
            </w:r>
            <w:r>
              <w:rPr>
                <w:spacing w:val="7"/>
              </w:rPr>
              <w:t>板式给料机</w:t>
            </w:r>
          </w:p>
        </w:tc>
        <w:tc>
          <w:tcPr>
            <w:tcW w:w="1275" w:type="dxa"/>
            <w:vAlign w:val="top"/>
          </w:tcPr>
          <w:p w14:paraId="7606A2EF">
            <w:pPr>
              <w:pStyle w:val="6"/>
              <w:spacing w:before="52" w:line="268" w:lineRule="exact"/>
              <w:ind w:left="115"/>
            </w:pPr>
            <w:r>
              <w:rPr>
                <w:position w:val="1"/>
              </w:rPr>
              <w:t>ZB</w:t>
            </w:r>
            <w:r>
              <w:rPr>
                <w:spacing w:val="6"/>
                <w:position w:val="1"/>
              </w:rPr>
              <w:t>1400×60</w:t>
            </w:r>
          </w:p>
          <w:p w14:paraId="57476392">
            <w:pPr>
              <w:pStyle w:val="6"/>
              <w:spacing w:before="43" w:line="235" w:lineRule="auto"/>
              <w:ind w:left="537"/>
            </w:pPr>
            <w:r>
              <w:t>00</w:t>
            </w:r>
          </w:p>
        </w:tc>
        <w:tc>
          <w:tcPr>
            <w:tcW w:w="709" w:type="dxa"/>
            <w:vAlign w:val="top"/>
          </w:tcPr>
          <w:p w14:paraId="1BEE706D">
            <w:pPr>
              <w:pStyle w:val="6"/>
              <w:spacing w:before="208"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4D287635">
            <w:pPr>
              <w:pStyle w:val="6"/>
              <w:spacing w:before="208" w:line="228" w:lineRule="auto"/>
              <w:ind w:left="129"/>
            </w:pPr>
            <w:r>
              <w:rPr>
                <w:spacing w:val="4"/>
              </w:rPr>
              <w:t>保留</w:t>
            </w:r>
          </w:p>
        </w:tc>
        <w:tc>
          <w:tcPr>
            <w:tcW w:w="1531" w:type="dxa"/>
            <w:vAlign w:val="top"/>
          </w:tcPr>
          <w:p w14:paraId="50D814B5">
            <w:pPr>
              <w:spacing w:before="240"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CB1BDA3">
            <w:pPr>
              <w:spacing w:before="240"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783F3A2B">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FE241F1">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0C28AFC">
            <w:pPr>
              <w:pStyle w:val="6"/>
              <w:spacing w:before="53" w:line="261" w:lineRule="auto"/>
              <w:ind w:left="332" w:right="113" w:hanging="222"/>
            </w:pPr>
            <w:r>
              <w:rPr>
                <w:spacing w:val="6"/>
              </w:rPr>
              <w:t>“履带链</w:t>
            </w:r>
            <w:r>
              <w:rPr>
                <w:spacing w:val="-73"/>
              </w:rPr>
              <w:t xml:space="preserve"> </w:t>
            </w:r>
            <w:r>
              <w:rPr>
                <w:spacing w:val="6"/>
              </w:rPr>
              <w:t>”重型</w:t>
            </w:r>
            <w:r>
              <w:t xml:space="preserve"> </w:t>
            </w:r>
            <w:r>
              <w:rPr>
                <w:spacing w:val="7"/>
              </w:rPr>
              <w:t>板式给料机</w:t>
            </w:r>
          </w:p>
        </w:tc>
        <w:tc>
          <w:tcPr>
            <w:tcW w:w="1558" w:type="dxa"/>
            <w:vAlign w:val="top"/>
          </w:tcPr>
          <w:p w14:paraId="2DD0DB05">
            <w:pPr>
              <w:pStyle w:val="6"/>
              <w:spacing w:before="208" w:line="268" w:lineRule="exact"/>
              <w:ind w:left="155"/>
            </w:pPr>
            <w:r>
              <w:rPr>
                <w:position w:val="1"/>
              </w:rPr>
              <w:t>ZB</w:t>
            </w:r>
            <w:r>
              <w:rPr>
                <w:spacing w:val="5"/>
                <w:position w:val="1"/>
              </w:rPr>
              <w:t>1400×6000</w:t>
            </w:r>
          </w:p>
        </w:tc>
        <w:tc>
          <w:tcPr>
            <w:tcW w:w="709" w:type="dxa"/>
            <w:vAlign w:val="top"/>
          </w:tcPr>
          <w:p w14:paraId="39607084">
            <w:pPr>
              <w:pStyle w:val="6"/>
              <w:spacing w:before="208"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2C812537">
            <w:pPr>
              <w:pStyle w:val="6"/>
              <w:spacing w:before="208" w:line="228" w:lineRule="auto"/>
              <w:ind w:left="243"/>
            </w:pPr>
            <w:r>
              <w:rPr>
                <w:spacing w:val="2"/>
              </w:rPr>
              <w:t>原有</w:t>
            </w:r>
          </w:p>
        </w:tc>
      </w:tr>
      <w:tr w14:paraId="68C02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39EFAFB8">
            <w:pPr>
              <w:spacing w:before="8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26442979">
            <w:pPr>
              <w:pStyle w:val="6"/>
              <w:spacing w:before="51" w:line="227" w:lineRule="auto"/>
              <w:ind w:left="280"/>
            </w:pPr>
            <w:r>
              <w:rPr>
                <w:spacing w:val="7"/>
              </w:rPr>
              <w:t>颚式破碎机</w:t>
            </w:r>
          </w:p>
        </w:tc>
        <w:tc>
          <w:tcPr>
            <w:tcW w:w="1275" w:type="dxa"/>
            <w:vAlign w:val="top"/>
          </w:tcPr>
          <w:p w14:paraId="2D642A1E">
            <w:pPr>
              <w:pStyle w:val="6"/>
              <w:spacing w:before="52" w:line="235" w:lineRule="auto"/>
              <w:ind w:left="428"/>
            </w:pPr>
            <w:r>
              <w:rPr>
                <w:spacing w:val="3"/>
              </w:rPr>
              <w:t>C100</w:t>
            </w:r>
          </w:p>
        </w:tc>
        <w:tc>
          <w:tcPr>
            <w:tcW w:w="709" w:type="dxa"/>
            <w:vAlign w:val="top"/>
          </w:tcPr>
          <w:p w14:paraId="7F609A0C">
            <w:pPr>
              <w:pStyle w:val="6"/>
              <w:spacing w:before="51"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4F86553D">
            <w:pPr>
              <w:pStyle w:val="6"/>
              <w:spacing w:before="52" w:line="228" w:lineRule="auto"/>
              <w:ind w:left="129"/>
            </w:pPr>
            <w:r>
              <w:rPr>
                <w:spacing w:val="4"/>
              </w:rPr>
              <w:t>保留</w:t>
            </w:r>
          </w:p>
        </w:tc>
        <w:tc>
          <w:tcPr>
            <w:tcW w:w="1531" w:type="dxa"/>
            <w:vAlign w:val="top"/>
          </w:tcPr>
          <w:p w14:paraId="158E2D1F">
            <w:pPr>
              <w:spacing w:before="84"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75730D91">
            <w:pPr>
              <w:spacing w:before="8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69EDFA0">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4BC15A0">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92AEE9B">
            <w:pPr>
              <w:pStyle w:val="6"/>
              <w:spacing w:before="51" w:line="227" w:lineRule="auto"/>
              <w:ind w:left="332"/>
            </w:pPr>
            <w:r>
              <w:rPr>
                <w:spacing w:val="7"/>
              </w:rPr>
              <w:t>颚式破碎机</w:t>
            </w:r>
          </w:p>
        </w:tc>
        <w:tc>
          <w:tcPr>
            <w:tcW w:w="1558" w:type="dxa"/>
            <w:vAlign w:val="top"/>
          </w:tcPr>
          <w:p w14:paraId="2D8A2E22">
            <w:pPr>
              <w:pStyle w:val="6"/>
              <w:spacing w:before="52" w:line="235" w:lineRule="auto"/>
              <w:ind w:left="574"/>
            </w:pPr>
            <w:r>
              <w:rPr>
                <w:spacing w:val="3"/>
              </w:rPr>
              <w:t>C100</w:t>
            </w:r>
          </w:p>
        </w:tc>
        <w:tc>
          <w:tcPr>
            <w:tcW w:w="709" w:type="dxa"/>
            <w:vAlign w:val="top"/>
          </w:tcPr>
          <w:p w14:paraId="32C4FB16">
            <w:pPr>
              <w:pStyle w:val="6"/>
              <w:spacing w:before="51"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56AD8DD1">
            <w:pPr>
              <w:pStyle w:val="6"/>
              <w:spacing w:before="52" w:line="228" w:lineRule="auto"/>
              <w:ind w:left="243"/>
            </w:pPr>
            <w:r>
              <w:rPr>
                <w:spacing w:val="2"/>
              </w:rPr>
              <w:t>原有</w:t>
            </w:r>
          </w:p>
        </w:tc>
      </w:tr>
      <w:tr w14:paraId="577A6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1064B8E8">
            <w:pPr>
              <w:spacing w:line="339" w:lineRule="auto"/>
              <w:rPr>
                <w:rFonts w:ascii="Arial"/>
                <w:sz w:val="21"/>
              </w:rPr>
            </w:pPr>
          </w:p>
          <w:p w14:paraId="10CD8CFC">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75836588">
            <w:pPr>
              <w:spacing w:line="317" w:lineRule="auto"/>
              <w:rPr>
                <w:rFonts w:ascii="Arial"/>
                <w:sz w:val="21"/>
              </w:rPr>
            </w:pPr>
          </w:p>
          <w:p w14:paraId="164C1161">
            <w:pPr>
              <w:pStyle w:val="6"/>
              <w:spacing w:before="65" w:line="228" w:lineRule="auto"/>
              <w:ind w:left="281"/>
            </w:pPr>
            <w:r>
              <w:rPr>
                <w:spacing w:val="7"/>
              </w:rPr>
              <w:t>滤筒除尘器</w:t>
            </w:r>
          </w:p>
        </w:tc>
        <w:tc>
          <w:tcPr>
            <w:tcW w:w="1275" w:type="dxa"/>
            <w:vAlign w:val="top"/>
          </w:tcPr>
          <w:p w14:paraId="34FBE641">
            <w:pPr>
              <w:pStyle w:val="6"/>
              <w:spacing w:before="50" w:line="285" w:lineRule="auto"/>
              <w:ind w:left="140" w:right="116" w:hanging="31"/>
            </w:pPr>
            <w:r>
              <w:rPr>
                <w:spacing w:val="-3"/>
              </w:rPr>
              <w:t>RDLC64</w:t>
            </w:r>
            <w:r>
              <w:rPr>
                <w:spacing w:val="-33"/>
              </w:rPr>
              <w:t xml:space="preserve"> </w:t>
            </w:r>
            <w:r>
              <w:rPr>
                <w:spacing w:val="-3"/>
              </w:rPr>
              <w:t>型，</w:t>
            </w:r>
            <w:r>
              <w:t xml:space="preserve"> </w:t>
            </w:r>
            <w:r>
              <w:rPr>
                <w:spacing w:val="3"/>
              </w:rPr>
              <w:t>L=13000m</w:t>
            </w:r>
            <w:r>
              <w:rPr>
                <w:spacing w:val="3"/>
                <w:position w:val="9"/>
                <w:sz w:val="10"/>
                <w:szCs w:val="10"/>
              </w:rPr>
              <w:t>3</w:t>
            </w:r>
            <w:r>
              <w:rPr>
                <w:spacing w:val="3"/>
              </w:rPr>
              <w:t>/</w:t>
            </w:r>
          </w:p>
          <w:p w14:paraId="4A176706">
            <w:pPr>
              <w:pStyle w:val="6"/>
              <w:spacing w:before="7" w:line="235" w:lineRule="auto"/>
              <w:ind w:left="586"/>
            </w:pPr>
            <w:r>
              <w:t>h</w:t>
            </w:r>
          </w:p>
        </w:tc>
        <w:tc>
          <w:tcPr>
            <w:tcW w:w="709" w:type="dxa"/>
            <w:vAlign w:val="top"/>
          </w:tcPr>
          <w:p w14:paraId="6A72A759">
            <w:pPr>
              <w:spacing w:line="296" w:lineRule="auto"/>
              <w:rPr>
                <w:rFonts w:ascii="Arial"/>
                <w:sz w:val="21"/>
              </w:rPr>
            </w:pPr>
          </w:p>
          <w:p w14:paraId="497BB28A">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0395F545">
            <w:pPr>
              <w:spacing w:line="297" w:lineRule="auto"/>
              <w:rPr>
                <w:rFonts w:ascii="Arial"/>
                <w:sz w:val="21"/>
              </w:rPr>
            </w:pPr>
          </w:p>
          <w:p w14:paraId="0CA6BC6D">
            <w:pPr>
              <w:pStyle w:val="6"/>
              <w:spacing w:before="65" w:line="228" w:lineRule="auto"/>
              <w:ind w:left="129"/>
            </w:pPr>
            <w:r>
              <w:rPr>
                <w:spacing w:val="4"/>
              </w:rPr>
              <w:t>保留</w:t>
            </w:r>
          </w:p>
        </w:tc>
        <w:tc>
          <w:tcPr>
            <w:tcW w:w="1531" w:type="dxa"/>
            <w:vAlign w:val="top"/>
          </w:tcPr>
          <w:p w14:paraId="31A75E90">
            <w:pPr>
              <w:spacing w:line="336" w:lineRule="auto"/>
              <w:rPr>
                <w:rFonts w:ascii="Arial"/>
                <w:sz w:val="21"/>
              </w:rPr>
            </w:pPr>
          </w:p>
          <w:p w14:paraId="32382B04">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7B7F0627">
            <w:pPr>
              <w:spacing w:line="336" w:lineRule="auto"/>
              <w:rPr>
                <w:rFonts w:ascii="Arial"/>
                <w:sz w:val="21"/>
              </w:rPr>
            </w:pPr>
          </w:p>
          <w:p w14:paraId="63C42DAA">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1260D67F">
            <w:pPr>
              <w:spacing w:line="336" w:lineRule="auto"/>
              <w:rPr>
                <w:rFonts w:ascii="Arial"/>
                <w:sz w:val="21"/>
              </w:rPr>
            </w:pPr>
          </w:p>
          <w:p w14:paraId="1AAE8048">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0D997EF4">
            <w:pPr>
              <w:spacing w:line="336" w:lineRule="auto"/>
              <w:rPr>
                <w:rFonts w:ascii="Arial"/>
                <w:sz w:val="21"/>
              </w:rPr>
            </w:pPr>
          </w:p>
          <w:p w14:paraId="5F8D9C9C">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26FABB3">
            <w:pPr>
              <w:spacing w:line="317" w:lineRule="auto"/>
              <w:rPr>
                <w:rFonts w:ascii="Arial"/>
                <w:sz w:val="21"/>
              </w:rPr>
            </w:pPr>
          </w:p>
          <w:p w14:paraId="05ECA2B7">
            <w:pPr>
              <w:pStyle w:val="6"/>
              <w:spacing w:before="65" w:line="228" w:lineRule="auto"/>
              <w:ind w:left="333"/>
            </w:pPr>
            <w:r>
              <w:rPr>
                <w:spacing w:val="7"/>
              </w:rPr>
              <w:t>滤筒除尘器</w:t>
            </w:r>
          </w:p>
        </w:tc>
        <w:tc>
          <w:tcPr>
            <w:tcW w:w="1558" w:type="dxa"/>
            <w:vAlign w:val="top"/>
          </w:tcPr>
          <w:p w14:paraId="6380D37F">
            <w:pPr>
              <w:pStyle w:val="6"/>
              <w:spacing w:before="206" w:line="285" w:lineRule="auto"/>
              <w:ind w:left="233" w:right="223"/>
            </w:pPr>
            <w:r>
              <w:t>RDLC</w:t>
            </w:r>
            <w:r>
              <w:rPr>
                <w:spacing w:val="7"/>
              </w:rPr>
              <w:t>64</w:t>
            </w:r>
            <w:r>
              <w:rPr>
                <w:spacing w:val="-33"/>
              </w:rPr>
              <w:t xml:space="preserve"> </w:t>
            </w:r>
            <w:r>
              <w:rPr>
                <w:spacing w:val="7"/>
              </w:rPr>
              <w:t>型，</w:t>
            </w:r>
            <w:r>
              <w:t xml:space="preserve"> </w:t>
            </w:r>
            <w:r>
              <w:rPr>
                <w:spacing w:val="4"/>
              </w:rPr>
              <w:t>L=13000m</w:t>
            </w:r>
            <w:r>
              <w:rPr>
                <w:spacing w:val="4"/>
                <w:position w:val="10"/>
                <w:sz w:val="10"/>
                <w:szCs w:val="10"/>
              </w:rPr>
              <w:t>3</w:t>
            </w:r>
            <w:r>
              <w:rPr>
                <w:spacing w:val="4"/>
              </w:rPr>
              <w:t>/h</w:t>
            </w:r>
          </w:p>
        </w:tc>
        <w:tc>
          <w:tcPr>
            <w:tcW w:w="709" w:type="dxa"/>
            <w:vAlign w:val="top"/>
          </w:tcPr>
          <w:p w14:paraId="54C104FE">
            <w:pPr>
              <w:spacing w:line="296" w:lineRule="auto"/>
              <w:rPr>
                <w:rFonts w:ascii="Arial"/>
                <w:sz w:val="21"/>
              </w:rPr>
            </w:pPr>
          </w:p>
          <w:p w14:paraId="5FF28EA8">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125D8C78">
            <w:pPr>
              <w:spacing w:line="297" w:lineRule="auto"/>
              <w:rPr>
                <w:rFonts w:ascii="Arial"/>
                <w:sz w:val="21"/>
              </w:rPr>
            </w:pPr>
          </w:p>
          <w:p w14:paraId="178BA6DC">
            <w:pPr>
              <w:pStyle w:val="6"/>
              <w:spacing w:before="65" w:line="228" w:lineRule="auto"/>
              <w:ind w:left="243"/>
            </w:pPr>
            <w:r>
              <w:rPr>
                <w:spacing w:val="2"/>
              </w:rPr>
              <w:t>原有</w:t>
            </w:r>
          </w:p>
        </w:tc>
      </w:tr>
      <w:tr w14:paraId="76435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4178" w:type="dxa"/>
            <w:gridSpan w:val="13"/>
            <w:vAlign w:val="top"/>
          </w:tcPr>
          <w:p w14:paraId="7DD4817C">
            <w:pPr>
              <w:pStyle w:val="6"/>
              <w:spacing w:before="64" w:line="226" w:lineRule="auto"/>
              <w:ind w:left="5524"/>
            </w:pPr>
            <w:r>
              <w:rPr>
                <w:spacing w:val="9"/>
              </w:rPr>
              <w:t>二、皮带通廊、中间堆场及转运站</w:t>
            </w:r>
          </w:p>
        </w:tc>
      </w:tr>
      <w:tr w14:paraId="0743E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34A75B63">
            <w:pPr>
              <w:spacing w:before="24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216F1F6D">
            <w:pPr>
              <w:pStyle w:val="6"/>
              <w:spacing w:before="52" w:line="227" w:lineRule="auto"/>
              <w:ind w:left="177"/>
            </w:pPr>
            <w:r>
              <w:rPr>
                <w:spacing w:val="8"/>
              </w:rPr>
              <w:t>重型板式给料</w:t>
            </w:r>
          </w:p>
          <w:p w14:paraId="46ED26F1">
            <w:pPr>
              <w:pStyle w:val="6"/>
              <w:spacing w:before="66" w:line="227" w:lineRule="auto"/>
              <w:ind w:left="698"/>
            </w:pPr>
            <w:r>
              <w:rPr>
                <w:spacing w:val="1"/>
              </w:rPr>
              <w:t>机</w:t>
            </w:r>
          </w:p>
        </w:tc>
        <w:tc>
          <w:tcPr>
            <w:tcW w:w="1275" w:type="dxa"/>
            <w:vAlign w:val="top"/>
          </w:tcPr>
          <w:p w14:paraId="616B3B0F">
            <w:pPr>
              <w:pStyle w:val="6"/>
              <w:spacing w:before="52" w:line="268" w:lineRule="exact"/>
              <w:ind w:left="166"/>
            </w:pPr>
            <w:r>
              <w:rPr>
                <w:position w:val="1"/>
              </w:rPr>
              <w:t>GBZ</w:t>
            </w:r>
            <w:r>
              <w:rPr>
                <w:spacing w:val="7"/>
                <w:position w:val="1"/>
              </w:rPr>
              <w:t>1200×</w:t>
            </w:r>
          </w:p>
          <w:p w14:paraId="55D79819">
            <w:pPr>
              <w:pStyle w:val="6"/>
              <w:spacing w:before="43" w:line="235" w:lineRule="auto"/>
              <w:ind w:left="429"/>
            </w:pPr>
            <w:r>
              <w:rPr>
                <w:spacing w:val="3"/>
              </w:rPr>
              <w:t>4500</w:t>
            </w:r>
          </w:p>
        </w:tc>
        <w:tc>
          <w:tcPr>
            <w:tcW w:w="709" w:type="dxa"/>
            <w:vAlign w:val="top"/>
          </w:tcPr>
          <w:p w14:paraId="15E9D8F1">
            <w:pPr>
              <w:pStyle w:val="6"/>
              <w:spacing w:before="208" w:line="230" w:lineRule="auto"/>
              <w:ind w:left="168"/>
            </w:pPr>
            <w:r>
              <w:rPr>
                <w:rFonts w:ascii="Times New Roman" w:hAnsi="Times New Roman" w:eastAsia="Times New Roman" w:cs="Times New Roman"/>
              </w:rPr>
              <w:t>4</w:t>
            </w:r>
            <w:r>
              <w:rPr>
                <w:rFonts w:ascii="Times New Roman" w:hAnsi="Times New Roman" w:eastAsia="Times New Roman" w:cs="Times New Roman"/>
                <w:spacing w:val="28"/>
                <w:w w:val="101"/>
              </w:rPr>
              <w:t xml:space="preserve"> </w:t>
            </w:r>
            <w:r>
              <w:t>台</w:t>
            </w:r>
          </w:p>
        </w:tc>
        <w:tc>
          <w:tcPr>
            <w:tcW w:w="672" w:type="dxa"/>
            <w:vAlign w:val="top"/>
          </w:tcPr>
          <w:p w14:paraId="1D44F381">
            <w:pPr>
              <w:pStyle w:val="6"/>
              <w:spacing w:before="208" w:line="228" w:lineRule="auto"/>
              <w:ind w:left="129"/>
            </w:pPr>
            <w:r>
              <w:rPr>
                <w:spacing w:val="4"/>
              </w:rPr>
              <w:t>保留</w:t>
            </w:r>
          </w:p>
        </w:tc>
        <w:tc>
          <w:tcPr>
            <w:tcW w:w="1531" w:type="dxa"/>
            <w:vAlign w:val="top"/>
          </w:tcPr>
          <w:p w14:paraId="1866E966">
            <w:pPr>
              <w:spacing w:before="240"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CD944E2">
            <w:pPr>
              <w:spacing w:before="240"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748A3B8">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37A3B394">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1CBBCFD">
            <w:pPr>
              <w:pStyle w:val="6"/>
              <w:spacing w:before="208" w:line="227" w:lineRule="auto"/>
              <w:ind w:left="121"/>
            </w:pPr>
            <w:r>
              <w:rPr>
                <w:spacing w:val="8"/>
              </w:rPr>
              <w:t>重型板式给料机</w:t>
            </w:r>
          </w:p>
        </w:tc>
        <w:tc>
          <w:tcPr>
            <w:tcW w:w="1558" w:type="dxa"/>
            <w:vAlign w:val="top"/>
          </w:tcPr>
          <w:p w14:paraId="42E15DBF">
            <w:pPr>
              <w:pStyle w:val="6"/>
              <w:spacing w:before="52" w:line="268" w:lineRule="exact"/>
              <w:ind w:left="311"/>
            </w:pPr>
            <w:r>
              <w:rPr>
                <w:position w:val="1"/>
              </w:rPr>
              <w:t>GBZ</w:t>
            </w:r>
            <w:r>
              <w:rPr>
                <w:spacing w:val="7"/>
                <w:position w:val="1"/>
              </w:rPr>
              <w:t>1200×</w:t>
            </w:r>
          </w:p>
          <w:p w14:paraId="70B90CBF">
            <w:pPr>
              <w:pStyle w:val="6"/>
              <w:spacing w:before="43" w:line="235" w:lineRule="auto"/>
              <w:ind w:left="575"/>
            </w:pPr>
            <w:r>
              <w:rPr>
                <w:spacing w:val="3"/>
              </w:rPr>
              <w:t>4500</w:t>
            </w:r>
          </w:p>
        </w:tc>
        <w:tc>
          <w:tcPr>
            <w:tcW w:w="709" w:type="dxa"/>
            <w:vAlign w:val="top"/>
          </w:tcPr>
          <w:p w14:paraId="36947368">
            <w:pPr>
              <w:pStyle w:val="6"/>
              <w:spacing w:before="208" w:line="230" w:lineRule="auto"/>
              <w:ind w:left="172"/>
            </w:pPr>
            <w:r>
              <w:rPr>
                <w:rFonts w:ascii="Times New Roman" w:hAnsi="Times New Roman" w:eastAsia="Times New Roman" w:cs="Times New Roman"/>
              </w:rPr>
              <w:t>4</w:t>
            </w:r>
            <w:r>
              <w:rPr>
                <w:rFonts w:ascii="Times New Roman" w:hAnsi="Times New Roman" w:eastAsia="Times New Roman" w:cs="Times New Roman"/>
                <w:spacing w:val="28"/>
                <w:w w:val="101"/>
              </w:rPr>
              <w:t xml:space="preserve"> </w:t>
            </w:r>
            <w:r>
              <w:t>台</w:t>
            </w:r>
          </w:p>
        </w:tc>
        <w:tc>
          <w:tcPr>
            <w:tcW w:w="887" w:type="dxa"/>
            <w:vAlign w:val="top"/>
          </w:tcPr>
          <w:p w14:paraId="1E84229A">
            <w:pPr>
              <w:pStyle w:val="6"/>
              <w:spacing w:before="208" w:line="228" w:lineRule="auto"/>
              <w:ind w:left="243"/>
            </w:pPr>
            <w:r>
              <w:rPr>
                <w:spacing w:val="2"/>
              </w:rPr>
              <w:t>原有</w:t>
            </w:r>
          </w:p>
        </w:tc>
      </w:tr>
      <w:tr w14:paraId="64AD5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59AAB928">
            <w:pPr>
              <w:spacing w:line="248" w:lineRule="auto"/>
              <w:rPr>
                <w:rFonts w:ascii="Arial"/>
                <w:sz w:val="21"/>
              </w:rPr>
            </w:pPr>
          </w:p>
          <w:p w14:paraId="18D49875">
            <w:pPr>
              <w:spacing w:line="249" w:lineRule="auto"/>
              <w:rPr>
                <w:rFonts w:ascii="Arial"/>
                <w:sz w:val="21"/>
              </w:rPr>
            </w:pPr>
          </w:p>
          <w:p w14:paraId="0B7F594A">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17BAC54D">
            <w:pPr>
              <w:spacing w:line="299" w:lineRule="auto"/>
              <w:rPr>
                <w:rFonts w:ascii="Arial"/>
                <w:sz w:val="21"/>
              </w:rPr>
            </w:pPr>
          </w:p>
          <w:p w14:paraId="270CBB89">
            <w:pPr>
              <w:pStyle w:val="6"/>
              <w:spacing w:before="65" w:line="227" w:lineRule="auto"/>
              <w:ind w:left="208"/>
            </w:pPr>
            <w:r>
              <w:rPr>
                <w:spacing w:val="3"/>
              </w:rPr>
              <w:t>№1</w:t>
            </w:r>
            <w:r>
              <w:rPr>
                <w:spacing w:val="-31"/>
              </w:rPr>
              <w:t xml:space="preserve"> </w:t>
            </w:r>
            <w:r>
              <w:rPr>
                <w:spacing w:val="3"/>
              </w:rPr>
              <w:t>带式输送</w:t>
            </w:r>
          </w:p>
          <w:p w14:paraId="56C1353A">
            <w:pPr>
              <w:pStyle w:val="6"/>
              <w:spacing w:before="66" w:line="227" w:lineRule="auto"/>
              <w:ind w:left="698"/>
            </w:pPr>
            <w:r>
              <w:rPr>
                <w:spacing w:val="1"/>
              </w:rPr>
              <w:t>机</w:t>
            </w:r>
          </w:p>
        </w:tc>
        <w:tc>
          <w:tcPr>
            <w:tcW w:w="1275" w:type="dxa"/>
            <w:vAlign w:val="top"/>
          </w:tcPr>
          <w:p w14:paraId="285BD6AB">
            <w:pPr>
              <w:pStyle w:val="6"/>
              <w:spacing w:before="54" w:line="239" w:lineRule="auto"/>
              <w:ind w:left="290"/>
            </w:pPr>
            <w:r>
              <w:t>10080，</w:t>
            </w:r>
          </w:p>
          <w:p w14:paraId="758D4AFE">
            <w:pPr>
              <w:pStyle w:val="6"/>
              <w:spacing w:before="52" w:line="268" w:lineRule="exact"/>
              <w:ind w:left="116"/>
            </w:pPr>
            <w:r>
              <w:rPr>
                <w:spacing w:val="2"/>
                <w:position w:val="1"/>
              </w:rPr>
              <w:t>a=12</w:t>
            </w:r>
            <w:r>
              <w:rPr>
                <w:spacing w:val="-69"/>
                <w:position w:val="1"/>
              </w:rPr>
              <w:t xml:space="preserve"> </w:t>
            </w:r>
            <w:r>
              <w:rPr>
                <w:spacing w:val="2"/>
                <w:position w:val="1"/>
              </w:rPr>
              <w:t>°v=1.</w:t>
            </w:r>
          </w:p>
          <w:p w14:paraId="2BE9ABD6">
            <w:pPr>
              <w:pStyle w:val="6"/>
              <w:spacing w:before="43" w:line="233" w:lineRule="auto"/>
              <w:ind w:left="432"/>
            </w:pPr>
            <w:r>
              <w:rPr>
                <w:spacing w:val="2"/>
              </w:rPr>
              <w:t>6m/s</w:t>
            </w:r>
          </w:p>
          <w:p w14:paraId="127FC33C">
            <w:pPr>
              <w:pStyle w:val="6"/>
              <w:spacing w:before="60" w:line="232" w:lineRule="auto"/>
              <w:ind w:left="272"/>
            </w:pPr>
            <w:r>
              <w:t>Lh</w:t>
            </w:r>
            <w:r>
              <w:rPr>
                <w:spacing w:val="5"/>
              </w:rPr>
              <w:t>=110m</w:t>
            </w:r>
          </w:p>
        </w:tc>
        <w:tc>
          <w:tcPr>
            <w:tcW w:w="709" w:type="dxa"/>
            <w:vAlign w:val="top"/>
          </w:tcPr>
          <w:p w14:paraId="22CE4097">
            <w:pPr>
              <w:spacing w:line="454" w:lineRule="auto"/>
              <w:rPr>
                <w:rFonts w:ascii="Arial"/>
                <w:sz w:val="21"/>
              </w:rPr>
            </w:pPr>
          </w:p>
          <w:p w14:paraId="274E7318">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379B92AF">
            <w:pPr>
              <w:spacing w:line="455" w:lineRule="auto"/>
              <w:rPr>
                <w:rFonts w:ascii="Arial"/>
                <w:sz w:val="21"/>
              </w:rPr>
            </w:pPr>
          </w:p>
          <w:p w14:paraId="5387F200">
            <w:pPr>
              <w:pStyle w:val="6"/>
              <w:spacing w:before="65" w:line="228" w:lineRule="auto"/>
              <w:ind w:left="129"/>
            </w:pPr>
            <w:r>
              <w:rPr>
                <w:spacing w:val="4"/>
              </w:rPr>
              <w:t>保留</w:t>
            </w:r>
          </w:p>
        </w:tc>
        <w:tc>
          <w:tcPr>
            <w:tcW w:w="1531" w:type="dxa"/>
            <w:vAlign w:val="top"/>
          </w:tcPr>
          <w:p w14:paraId="3274C51D">
            <w:pPr>
              <w:spacing w:line="247" w:lineRule="auto"/>
              <w:rPr>
                <w:rFonts w:ascii="Arial"/>
                <w:sz w:val="21"/>
              </w:rPr>
            </w:pPr>
          </w:p>
          <w:p w14:paraId="0F39C334">
            <w:pPr>
              <w:spacing w:line="247" w:lineRule="auto"/>
              <w:rPr>
                <w:rFonts w:ascii="Arial"/>
                <w:sz w:val="21"/>
              </w:rPr>
            </w:pPr>
          </w:p>
          <w:p w14:paraId="31270453">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49E886E">
            <w:pPr>
              <w:spacing w:line="247" w:lineRule="auto"/>
              <w:rPr>
                <w:rFonts w:ascii="Arial"/>
                <w:sz w:val="21"/>
              </w:rPr>
            </w:pPr>
          </w:p>
          <w:p w14:paraId="0651764D">
            <w:pPr>
              <w:spacing w:line="247" w:lineRule="auto"/>
              <w:rPr>
                <w:rFonts w:ascii="Arial"/>
                <w:sz w:val="21"/>
              </w:rPr>
            </w:pPr>
          </w:p>
          <w:p w14:paraId="74C72C99">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204C6066">
            <w:pPr>
              <w:spacing w:line="247" w:lineRule="auto"/>
              <w:rPr>
                <w:rFonts w:ascii="Arial"/>
                <w:sz w:val="21"/>
              </w:rPr>
            </w:pPr>
          </w:p>
          <w:p w14:paraId="3940BFFC">
            <w:pPr>
              <w:spacing w:line="247" w:lineRule="auto"/>
              <w:rPr>
                <w:rFonts w:ascii="Arial"/>
                <w:sz w:val="21"/>
              </w:rPr>
            </w:pPr>
          </w:p>
          <w:p w14:paraId="196B3902">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50F8C718">
            <w:pPr>
              <w:spacing w:line="247" w:lineRule="auto"/>
              <w:rPr>
                <w:rFonts w:ascii="Arial"/>
                <w:sz w:val="21"/>
              </w:rPr>
            </w:pPr>
          </w:p>
          <w:p w14:paraId="2299A90A">
            <w:pPr>
              <w:spacing w:line="247" w:lineRule="auto"/>
              <w:rPr>
                <w:rFonts w:ascii="Arial"/>
                <w:sz w:val="21"/>
              </w:rPr>
            </w:pPr>
          </w:p>
          <w:p w14:paraId="0722A072">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0ABBA8D">
            <w:pPr>
              <w:spacing w:line="454" w:lineRule="auto"/>
              <w:rPr>
                <w:rFonts w:ascii="Arial"/>
                <w:sz w:val="21"/>
              </w:rPr>
            </w:pPr>
          </w:p>
          <w:p w14:paraId="776359AB">
            <w:pPr>
              <w:pStyle w:val="6"/>
              <w:spacing w:before="65" w:line="227" w:lineRule="auto"/>
              <w:ind w:left="152"/>
            </w:pPr>
            <w:r>
              <w:rPr>
                <w:spacing w:val="4"/>
              </w:rPr>
              <w:t>№1</w:t>
            </w:r>
            <w:r>
              <w:rPr>
                <w:spacing w:val="-27"/>
              </w:rPr>
              <w:t xml:space="preserve"> </w:t>
            </w:r>
            <w:r>
              <w:rPr>
                <w:spacing w:val="4"/>
              </w:rPr>
              <w:t>带式输送机</w:t>
            </w:r>
          </w:p>
        </w:tc>
        <w:tc>
          <w:tcPr>
            <w:tcW w:w="1558" w:type="dxa"/>
            <w:vAlign w:val="top"/>
          </w:tcPr>
          <w:p w14:paraId="7E1D8330">
            <w:pPr>
              <w:pStyle w:val="6"/>
              <w:spacing w:before="210" w:line="239" w:lineRule="auto"/>
              <w:ind w:left="435"/>
            </w:pPr>
            <w:r>
              <w:t>10080，</w:t>
            </w:r>
          </w:p>
          <w:p w14:paraId="36EEF5DC">
            <w:pPr>
              <w:pStyle w:val="6"/>
              <w:spacing w:before="52" w:line="268" w:lineRule="exact"/>
              <w:ind w:left="156"/>
            </w:pPr>
            <w:r>
              <w:rPr>
                <w:spacing w:val="2"/>
                <w:position w:val="1"/>
              </w:rPr>
              <w:t>a=12</w:t>
            </w:r>
            <w:r>
              <w:rPr>
                <w:spacing w:val="-74"/>
                <w:position w:val="1"/>
              </w:rPr>
              <w:t xml:space="preserve"> </w:t>
            </w:r>
            <w:r>
              <w:rPr>
                <w:spacing w:val="2"/>
                <w:position w:val="1"/>
              </w:rPr>
              <w:t>°v=1.6m</w:t>
            </w:r>
          </w:p>
          <w:p w14:paraId="5C46FAFF">
            <w:pPr>
              <w:pStyle w:val="6"/>
              <w:spacing w:before="43" w:line="233" w:lineRule="auto"/>
              <w:ind w:left="260"/>
            </w:pPr>
            <w:r>
              <w:rPr>
                <w:spacing w:val="5"/>
              </w:rPr>
              <w:t>/</w:t>
            </w:r>
            <w:r>
              <w:t>s</w:t>
            </w:r>
            <w:r>
              <w:rPr>
                <w:spacing w:val="5"/>
              </w:rPr>
              <w:t xml:space="preserve"> </w:t>
            </w:r>
            <w:r>
              <w:t>Lh</w:t>
            </w:r>
            <w:r>
              <w:rPr>
                <w:spacing w:val="5"/>
              </w:rPr>
              <w:t>=110m</w:t>
            </w:r>
          </w:p>
        </w:tc>
        <w:tc>
          <w:tcPr>
            <w:tcW w:w="709" w:type="dxa"/>
            <w:vAlign w:val="top"/>
          </w:tcPr>
          <w:p w14:paraId="7F789711">
            <w:pPr>
              <w:spacing w:line="454" w:lineRule="auto"/>
              <w:rPr>
                <w:rFonts w:ascii="Arial"/>
                <w:sz w:val="21"/>
              </w:rPr>
            </w:pPr>
          </w:p>
          <w:p w14:paraId="08D9E82C">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48695111">
            <w:pPr>
              <w:spacing w:line="455" w:lineRule="auto"/>
              <w:rPr>
                <w:rFonts w:ascii="Arial"/>
                <w:sz w:val="21"/>
              </w:rPr>
            </w:pPr>
          </w:p>
          <w:p w14:paraId="61D35CA2">
            <w:pPr>
              <w:pStyle w:val="6"/>
              <w:spacing w:before="65" w:line="228" w:lineRule="auto"/>
              <w:ind w:left="243"/>
            </w:pPr>
            <w:r>
              <w:rPr>
                <w:spacing w:val="2"/>
              </w:rPr>
              <w:t>原有</w:t>
            </w:r>
          </w:p>
        </w:tc>
      </w:tr>
      <w:tr w14:paraId="6CDBD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45FA4108">
            <w:pPr>
              <w:spacing w:line="249" w:lineRule="auto"/>
              <w:rPr>
                <w:rFonts w:ascii="Arial"/>
                <w:sz w:val="21"/>
              </w:rPr>
            </w:pPr>
          </w:p>
          <w:p w14:paraId="6E5070FC">
            <w:pPr>
              <w:spacing w:line="249" w:lineRule="auto"/>
              <w:rPr>
                <w:rFonts w:ascii="Arial"/>
                <w:sz w:val="21"/>
              </w:rPr>
            </w:pPr>
          </w:p>
          <w:p w14:paraId="72D9F0CA">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03FF9463">
            <w:pPr>
              <w:spacing w:line="299" w:lineRule="auto"/>
              <w:rPr>
                <w:rFonts w:ascii="Arial"/>
                <w:sz w:val="21"/>
              </w:rPr>
            </w:pPr>
          </w:p>
          <w:p w14:paraId="52BF5505">
            <w:pPr>
              <w:pStyle w:val="6"/>
              <w:spacing w:before="65" w:line="228" w:lineRule="auto"/>
              <w:ind w:left="208"/>
            </w:pPr>
            <w:r>
              <w:rPr>
                <w:spacing w:val="4"/>
              </w:rPr>
              <w:t>№2</w:t>
            </w:r>
            <w:r>
              <w:rPr>
                <w:spacing w:val="-37"/>
              </w:rPr>
              <w:t xml:space="preserve"> </w:t>
            </w:r>
            <w:r>
              <w:rPr>
                <w:spacing w:val="4"/>
              </w:rPr>
              <w:t>往返胶带</w:t>
            </w:r>
          </w:p>
          <w:p w14:paraId="76E69C75">
            <w:pPr>
              <w:pStyle w:val="6"/>
              <w:spacing w:before="65" w:line="227" w:lineRule="auto"/>
              <w:ind w:left="490"/>
            </w:pPr>
            <w:r>
              <w:rPr>
                <w:spacing w:val="7"/>
              </w:rPr>
              <w:t>输送机</w:t>
            </w:r>
          </w:p>
        </w:tc>
        <w:tc>
          <w:tcPr>
            <w:tcW w:w="1275" w:type="dxa"/>
            <w:vAlign w:val="top"/>
          </w:tcPr>
          <w:p w14:paraId="2D8E5897">
            <w:pPr>
              <w:pStyle w:val="6"/>
              <w:spacing w:before="55" w:line="239" w:lineRule="auto"/>
              <w:ind w:left="290"/>
            </w:pPr>
            <w:r>
              <w:t>10063，</w:t>
            </w:r>
          </w:p>
          <w:p w14:paraId="46F3848B">
            <w:pPr>
              <w:pStyle w:val="6"/>
              <w:spacing w:before="52" w:line="268" w:lineRule="exact"/>
              <w:ind w:left="116"/>
            </w:pPr>
            <w:r>
              <w:rPr>
                <w:spacing w:val="1"/>
                <w:position w:val="1"/>
              </w:rPr>
              <w:t>a=0</w:t>
            </w:r>
            <w:r>
              <w:rPr>
                <w:spacing w:val="-69"/>
                <w:position w:val="1"/>
              </w:rPr>
              <w:t xml:space="preserve"> </w:t>
            </w:r>
            <w:r>
              <w:rPr>
                <w:spacing w:val="1"/>
                <w:position w:val="1"/>
              </w:rPr>
              <w:t>°v=1.2</w:t>
            </w:r>
          </w:p>
          <w:p w14:paraId="668AA7A6">
            <w:pPr>
              <w:pStyle w:val="6"/>
              <w:spacing w:before="43" w:line="233" w:lineRule="auto"/>
              <w:ind w:left="434"/>
            </w:pPr>
            <w:r>
              <w:rPr>
                <w:spacing w:val="2"/>
              </w:rPr>
              <w:t>5m/s</w:t>
            </w:r>
          </w:p>
          <w:p w14:paraId="29522492">
            <w:pPr>
              <w:pStyle w:val="6"/>
              <w:spacing w:before="59" w:line="232" w:lineRule="auto"/>
              <w:ind w:left="323"/>
            </w:pPr>
            <w:r>
              <w:t>Lh</w:t>
            </w:r>
            <w:r>
              <w:rPr>
                <w:spacing w:val="5"/>
              </w:rPr>
              <w:t>=20m</w:t>
            </w:r>
          </w:p>
        </w:tc>
        <w:tc>
          <w:tcPr>
            <w:tcW w:w="709" w:type="dxa"/>
            <w:vAlign w:val="top"/>
          </w:tcPr>
          <w:p w14:paraId="412E672A">
            <w:pPr>
              <w:spacing w:line="455" w:lineRule="auto"/>
              <w:rPr>
                <w:rFonts w:ascii="Arial"/>
                <w:sz w:val="21"/>
              </w:rPr>
            </w:pPr>
          </w:p>
          <w:p w14:paraId="49E9A924">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54B19FCB">
            <w:pPr>
              <w:spacing w:line="455" w:lineRule="auto"/>
              <w:rPr>
                <w:rFonts w:ascii="Arial"/>
                <w:sz w:val="21"/>
              </w:rPr>
            </w:pPr>
          </w:p>
          <w:p w14:paraId="1FBCFABE">
            <w:pPr>
              <w:pStyle w:val="6"/>
              <w:spacing w:before="65" w:line="228" w:lineRule="auto"/>
              <w:ind w:left="129"/>
            </w:pPr>
            <w:r>
              <w:rPr>
                <w:spacing w:val="4"/>
              </w:rPr>
              <w:t>保留</w:t>
            </w:r>
          </w:p>
        </w:tc>
        <w:tc>
          <w:tcPr>
            <w:tcW w:w="1531" w:type="dxa"/>
            <w:vAlign w:val="top"/>
          </w:tcPr>
          <w:p w14:paraId="184EFE91">
            <w:pPr>
              <w:spacing w:line="247" w:lineRule="auto"/>
              <w:rPr>
                <w:rFonts w:ascii="Arial"/>
                <w:sz w:val="21"/>
              </w:rPr>
            </w:pPr>
          </w:p>
          <w:p w14:paraId="240296F2">
            <w:pPr>
              <w:spacing w:line="247" w:lineRule="auto"/>
              <w:rPr>
                <w:rFonts w:ascii="Arial"/>
                <w:sz w:val="21"/>
              </w:rPr>
            </w:pPr>
          </w:p>
          <w:p w14:paraId="7086EE25">
            <w:pPr>
              <w:spacing w:before="58"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632856CA">
            <w:pPr>
              <w:spacing w:line="247" w:lineRule="auto"/>
              <w:rPr>
                <w:rFonts w:ascii="Arial"/>
                <w:sz w:val="21"/>
              </w:rPr>
            </w:pPr>
          </w:p>
          <w:p w14:paraId="685BAC2D">
            <w:pPr>
              <w:spacing w:line="247" w:lineRule="auto"/>
              <w:rPr>
                <w:rFonts w:ascii="Arial"/>
                <w:sz w:val="21"/>
              </w:rPr>
            </w:pPr>
          </w:p>
          <w:p w14:paraId="6179472F">
            <w:pPr>
              <w:spacing w:before="58"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683D28C">
            <w:pPr>
              <w:spacing w:line="247" w:lineRule="auto"/>
              <w:rPr>
                <w:rFonts w:ascii="Arial"/>
                <w:sz w:val="21"/>
              </w:rPr>
            </w:pPr>
          </w:p>
          <w:p w14:paraId="76A950FF">
            <w:pPr>
              <w:spacing w:line="247" w:lineRule="auto"/>
              <w:rPr>
                <w:rFonts w:ascii="Arial"/>
                <w:sz w:val="21"/>
              </w:rPr>
            </w:pPr>
          </w:p>
          <w:p w14:paraId="484DB572">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75F1D7DA">
            <w:pPr>
              <w:spacing w:line="247" w:lineRule="auto"/>
              <w:rPr>
                <w:rFonts w:ascii="Arial"/>
                <w:sz w:val="21"/>
              </w:rPr>
            </w:pPr>
          </w:p>
          <w:p w14:paraId="4B7D72D3">
            <w:pPr>
              <w:spacing w:line="247" w:lineRule="auto"/>
              <w:rPr>
                <w:rFonts w:ascii="Arial"/>
                <w:sz w:val="21"/>
              </w:rPr>
            </w:pPr>
          </w:p>
          <w:p w14:paraId="13FCAED0">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08041E2">
            <w:pPr>
              <w:spacing w:line="300" w:lineRule="auto"/>
              <w:rPr>
                <w:rFonts w:ascii="Arial"/>
                <w:sz w:val="21"/>
              </w:rPr>
            </w:pPr>
          </w:p>
          <w:p w14:paraId="6AAE11C7">
            <w:pPr>
              <w:pStyle w:val="6"/>
              <w:spacing w:before="65" w:line="289" w:lineRule="auto"/>
              <w:ind w:left="643" w:right="139" w:hanging="491"/>
            </w:pPr>
            <w:r>
              <w:rPr>
                <w:spacing w:val="5"/>
              </w:rPr>
              <w:t>№2</w:t>
            </w:r>
            <w:r>
              <w:rPr>
                <w:spacing w:val="-34"/>
              </w:rPr>
              <w:t xml:space="preserve"> </w:t>
            </w:r>
            <w:r>
              <w:rPr>
                <w:spacing w:val="5"/>
              </w:rPr>
              <w:t>往返胶带输</w:t>
            </w:r>
            <w:r>
              <w:t xml:space="preserve"> </w:t>
            </w:r>
            <w:r>
              <w:rPr>
                <w:spacing w:val="5"/>
              </w:rPr>
              <w:t>送机</w:t>
            </w:r>
          </w:p>
        </w:tc>
        <w:tc>
          <w:tcPr>
            <w:tcW w:w="1558" w:type="dxa"/>
            <w:vAlign w:val="top"/>
          </w:tcPr>
          <w:p w14:paraId="14F42506">
            <w:pPr>
              <w:pStyle w:val="6"/>
              <w:spacing w:before="211" w:line="239" w:lineRule="auto"/>
              <w:ind w:left="435"/>
            </w:pPr>
            <w:r>
              <w:t>10063，</w:t>
            </w:r>
          </w:p>
          <w:p w14:paraId="1EDDBE68">
            <w:pPr>
              <w:pStyle w:val="6"/>
              <w:spacing w:before="52" w:line="268" w:lineRule="exact"/>
              <w:ind w:left="156"/>
            </w:pPr>
            <w:r>
              <w:rPr>
                <w:spacing w:val="2"/>
                <w:position w:val="1"/>
              </w:rPr>
              <w:t>a=0</w:t>
            </w:r>
            <w:r>
              <w:rPr>
                <w:spacing w:val="-74"/>
                <w:position w:val="1"/>
              </w:rPr>
              <w:t xml:space="preserve"> </w:t>
            </w:r>
            <w:r>
              <w:rPr>
                <w:spacing w:val="2"/>
                <w:position w:val="1"/>
              </w:rPr>
              <w:t>°v=1.25m</w:t>
            </w:r>
          </w:p>
          <w:p w14:paraId="40BE7E65">
            <w:pPr>
              <w:pStyle w:val="6"/>
              <w:spacing w:before="43" w:line="233" w:lineRule="auto"/>
              <w:ind w:left="260"/>
            </w:pPr>
            <w:r>
              <w:rPr>
                <w:spacing w:val="5"/>
              </w:rPr>
              <w:t>/</w:t>
            </w:r>
            <w:r>
              <w:t>s</w:t>
            </w:r>
            <w:r>
              <w:rPr>
                <w:spacing w:val="8"/>
              </w:rPr>
              <w:t xml:space="preserve">  </w:t>
            </w:r>
            <w:r>
              <w:t>Lh</w:t>
            </w:r>
            <w:r>
              <w:rPr>
                <w:spacing w:val="5"/>
              </w:rPr>
              <w:t>=20m</w:t>
            </w:r>
          </w:p>
        </w:tc>
        <w:tc>
          <w:tcPr>
            <w:tcW w:w="709" w:type="dxa"/>
            <w:vAlign w:val="top"/>
          </w:tcPr>
          <w:p w14:paraId="6E55E3EC">
            <w:pPr>
              <w:spacing w:line="455" w:lineRule="auto"/>
              <w:rPr>
                <w:rFonts w:ascii="Arial"/>
                <w:sz w:val="21"/>
              </w:rPr>
            </w:pPr>
          </w:p>
          <w:p w14:paraId="2A34AE74">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5A48DA89">
            <w:pPr>
              <w:spacing w:line="455" w:lineRule="auto"/>
              <w:rPr>
                <w:rFonts w:ascii="Arial"/>
                <w:sz w:val="21"/>
              </w:rPr>
            </w:pPr>
          </w:p>
          <w:p w14:paraId="6231A383">
            <w:pPr>
              <w:pStyle w:val="6"/>
              <w:spacing w:before="65" w:line="228" w:lineRule="auto"/>
              <w:ind w:left="243"/>
            </w:pPr>
            <w:r>
              <w:rPr>
                <w:spacing w:val="2"/>
              </w:rPr>
              <w:t>原有</w:t>
            </w:r>
          </w:p>
        </w:tc>
      </w:tr>
      <w:tr w14:paraId="4D8C9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04308A85">
            <w:pPr>
              <w:spacing w:line="343" w:lineRule="auto"/>
              <w:rPr>
                <w:rFonts w:ascii="Arial"/>
                <w:sz w:val="21"/>
              </w:rPr>
            </w:pPr>
          </w:p>
          <w:p w14:paraId="26AAC942">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3D36FD47">
            <w:pPr>
              <w:spacing w:line="321" w:lineRule="auto"/>
              <w:rPr>
                <w:rFonts w:ascii="Arial"/>
                <w:sz w:val="21"/>
              </w:rPr>
            </w:pPr>
          </w:p>
          <w:p w14:paraId="34979F9B">
            <w:pPr>
              <w:pStyle w:val="6"/>
              <w:spacing w:before="65" w:line="228" w:lineRule="auto"/>
              <w:ind w:left="281"/>
            </w:pPr>
            <w:r>
              <w:rPr>
                <w:spacing w:val="7"/>
              </w:rPr>
              <w:t>滤筒除尘器</w:t>
            </w:r>
          </w:p>
        </w:tc>
        <w:tc>
          <w:tcPr>
            <w:tcW w:w="1275" w:type="dxa"/>
            <w:vAlign w:val="top"/>
          </w:tcPr>
          <w:p w14:paraId="0A316F77">
            <w:pPr>
              <w:pStyle w:val="6"/>
              <w:spacing w:before="56" w:line="283" w:lineRule="auto"/>
              <w:ind w:left="140" w:right="116" w:hanging="31"/>
            </w:pPr>
            <w:r>
              <w:rPr>
                <w:spacing w:val="-3"/>
              </w:rPr>
              <w:t>RDLC80</w:t>
            </w:r>
            <w:r>
              <w:rPr>
                <w:spacing w:val="-33"/>
              </w:rPr>
              <w:t xml:space="preserve"> </w:t>
            </w:r>
            <w:r>
              <w:rPr>
                <w:spacing w:val="-3"/>
              </w:rPr>
              <w:t>型，</w:t>
            </w:r>
            <w:r>
              <w:t xml:space="preserve"> </w:t>
            </w:r>
            <w:r>
              <w:rPr>
                <w:spacing w:val="3"/>
              </w:rPr>
              <w:t>L=18000m</w:t>
            </w:r>
            <w:r>
              <w:rPr>
                <w:spacing w:val="3"/>
                <w:position w:val="10"/>
                <w:sz w:val="10"/>
                <w:szCs w:val="10"/>
              </w:rPr>
              <w:t>3</w:t>
            </w:r>
            <w:r>
              <w:rPr>
                <w:spacing w:val="3"/>
              </w:rPr>
              <w:t>/</w:t>
            </w:r>
          </w:p>
          <w:p w14:paraId="54C4E422">
            <w:pPr>
              <w:pStyle w:val="6"/>
              <w:spacing w:before="10" w:line="231" w:lineRule="auto"/>
              <w:ind w:left="535"/>
            </w:pPr>
            <w:r>
              <w:rPr>
                <w:spacing w:val="1"/>
              </w:rPr>
              <w:t>/h</w:t>
            </w:r>
          </w:p>
        </w:tc>
        <w:tc>
          <w:tcPr>
            <w:tcW w:w="709" w:type="dxa"/>
            <w:vAlign w:val="top"/>
          </w:tcPr>
          <w:p w14:paraId="51E83A76">
            <w:pPr>
              <w:spacing w:line="300" w:lineRule="auto"/>
              <w:rPr>
                <w:rFonts w:ascii="Arial"/>
                <w:sz w:val="21"/>
              </w:rPr>
            </w:pPr>
          </w:p>
          <w:p w14:paraId="7C18B0B0">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6B06C239">
            <w:pPr>
              <w:spacing w:line="301" w:lineRule="auto"/>
              <w:rPr>
                <w:rFonts w:ascii="Arial"/>
                <w:sz w:val="21"/>
              </w:rPr>
            </w:pPr>
          </w:p>
          <w:p w14:paraId="7B6F727F">
            <w:pPr>
              <w:pStyle w:val="6"/>
              <w:spacing w:before="65" w:line="228" w:lineRule="auto"/>
              <w:ind w:left="129"/>
            </w:pPr>
            <w:r>
              <w:rPr>
                <w:spacing w:val="4"/>
              </w:rPr>
              <w:t>保留</w:t>
            </w:r>
          </w:p>
        </w:tc>
        <w:tc>
          <w:tcPr>
            <w:tcW w:w="1531" w:type="dxa"/>
            <w:vAlign w:val="top"/>
          </w:tcPr>
          <w:p w14:paraId="26D9DF6B">
            <w:pPr>
              <w:spacing w:line="340" w:lineRule="auto"/>
              <w:rPr>
                <w:rFonts w:ascii="Arial"/>
                <w:sz w:val="21"/>
              </w:rPr>
            </w:pPr>
          </w:p>
          <w:p w14:paraId="50F72CD4">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52E35B0">
            <w:pPr>
              <w:spacing w:line="340" w:lineRule="auto"/>
              <w:rPr>
                <w:rFonts w:ascii="Arial"/>
                <w:sz w:val="21"/>
              </w:rPr>
            </w:pPr>
          </w:p>
          <w:p w14:paraId="1C4E4BAC">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7D8C9430">
            <w:pPr>
              <w:spacing w:line="340" w:lineRule="auto"/>
              <w:rPr>
                <w:rFonts w:ascii="Arial"/>
                <w:sz w:val="21"/>
              </w:rPr>
            </w:pPr>
          </w:p>
          <w:p w14:paraId="1ECD4AB5">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714D1D6">
            <w:pPr>
              <w:spacing w:line="340" w:lineRule="auto"/>
              <w:rPr>
                <w:rFonts w:ascii="Arial"/>
                <w:sz w:val="21"/>
              </w:rPr>
            </w:pPr>
          </w:p>
          <w:p w14:paraId="44C338CA">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ED86633">
            <w:pPr>
              <w:spacing w:line="321" w:lineRule="auto"/>
              <w:rPr>
                <w:rFonts w:ascii="Arial"/>
                <w:sz w:val="21"/>
              </w:rPr>
            </w:pPr>
          </w:p>
          <w:p w14:paraId="35AA41DA">
            <w:pPr>
              <w:pStyle w:val="6"/>
              <w:spacing w:before="65" w:line="228" w:lineRule="auto"/>
              <w:ind w:left="333"/>
            </w:pPr>
            <w:r>
              <w:rPr>
                <w:spacing w:val="7"/>
              </w:rPr>
              <w:t>滤筒除尘器</w:t>
            </w:r>
          </w:p>
        </w:tc>
        <w:tc>
          <w:tcPr>
            <w:tcW w:w="1558" w:type="dxa"/>
            <w:vAlign w:val="top"/>
          </w:tcPr>
          <w:p w14:paraId="07D5986D">
            <w:pPr>
              <w:pStyle w:val="6"/>
              <w:spacing w:before="211" w:line="236" w:lineRule="auto"/>
              <w:ind w:left="233"/>
            </w:pPr>
            <w:r>
              <w:t>RDLC</w:t>
            </w:r>
            <w:r>
              <w:rPr>
                <w:spacing w:val="4"/>
              </w:rPr>
              <w:t>80</w:t>
            </w:r>
            <w:r>
              <w:rPr>
                <w:spacing w:val="-33"/>
              </w:rPr>
              <w:t xml:space="preserve"> </w:t>
            </w:r>
            <w:r>
              <w:rPr>
                <w:spacing w:val="4"/>
              </w:rPr>
              <w:t>型，</w:t>
            </w:r>
          </w:p>
          <w:p w14:paraId="018DB3A6">
            <w:pPr>
              <w:pStyle w:val="6"/>
              <w:spacing w:before="39" w:line="269" w:lineRule="exact"/>
              <w:ind w:left="180"/>
            </w:pPr>
            <w:r>
              <w:rPr>
                <w:spacing w:val="4"/>
              </w:rPr>
              <w:t>L=18000m</w:t>
            </w:r>
            <w:r>
              <w:rPr>
                <w:spacing w:val="4"/>
                <w:position w:val="10"/>
                <w:sz w:val="10"/>
                <w:szCs w:val="10"/>
              </w:rPr>
              <w:t>3</w:t>
            </w:r>
            <w:r>
              <w:rPr>
                <w:spacing w:val="4"/>
              </w:rPr>
              <w:t>//h</w:t>
            </w:r>
          </w:p>
        </w:tc>
        <w:tc>
          <w:tcPr>
            <w:tcW w:w="709" w:type="dxa"/>
            <w:vAlign w:val="top"/>
          </w:tcPr>
          <w:p w14:paraId="4CFA87BE">
            <w:pPr>
              <w:spacing w:line="300" w:lineRule="auto"/>
              <w:rPr>
                <w:rFonts w:ascii="Arial"/>
                <w:sz w:val="21"/>
              </w:rPr>
            </w:pPr>
          </w:p>
          <w:p w14:paraId="1EBF0CFB">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30DD6D68">
            <w:pPr>
              <w:spacing w:line="301" w:lineRule="auto"/>
              <w:rPr>
                <w:rFonts w:ascii="Arial"/>
                <w:sz w:val="21"/>
              </w:rPr>
            </w:pPr>
          </w:p>
          <w:p w14:paraId="47C5513A">
            <w:pPr>
              <w:pStyle w:val="6"/>
              <w:spacing w:before="65" w:line="228" w:lineRule="auto"/>
              <w:ind w:left="243"/>
            </w:pPr>
            <w:r>
              <w:rPr>
                <w:spacing w:val="2"/>
              </w:rPr>
              <w:t>原有</w:t>
            </w:r>
          </w:p>
        </w:tc>
      </w:tr>
      <w:tr w14:paraId="4E7A1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4178" w:type="dxa"/>
            <w:gridSpan w:val="13"/>
            <w:vAlign w:val="top"/>
          </w:tcPr>
          <w:p w14:paraId="17B66517">
            <w:pPr>
              <w:pStyle w:val="6"/>
              <w:spacing w:before="55" w:line="228" w:lineRule="auto"/>
              <w:ind w:left="6463"/>
            </w:pPr>
            <w:r>
              <w:rPr>
                <w:spacing w:val="8"/>
              </w:rPr>
              <w:t>三、磨浮车间</w:t>
            </w:r>
          </w:p>
        </w:tc>
      </w:tr>
    </w:tbl>
    <w:p w14:paraId="5F7FBDCD">
      <w:pPr>
        <w:pStyle w:val="2"/>
      </w:pPr>
    </w:p>
    <w:p w14:paraId="5149354F">
      <w:pPr>
        <w:sectPr>
          <w:headerReference r:id="rId102" w:type="default"/>
          <w:footerReference r:id="rId103" w:type="default"/>
          <w:pgSz w:w="16839" w:h="11906"/>
          <w:pgMar w:top="1208" w:right="1327" w:bottom="1358" w:left="1327" w:header="825" w:footer="1195" w:gutter="0"/>
          <w:cols w:space="720" w:num="1"/>
        </w:sectPr>
      </w:pPr>
    </w:p>
    <w:p w14:paraId="39EE14C3">
      <w:pPr>
        <w:spacing w:before="53"/>
      </w:pPr>
    </w:p>
    <w:p w14:paraId="6892A77E">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4A663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0BCCEDF6">
            <w:pPr>
              <w:pStyle w:val="6"/>
              <w:spacing w:before="210" w:line="218" w:lineRule="auto"/>
              <w:ind w:left="203"/>
            </w:pPr>
            <w:r>
              <w:rPr>
                <w:spacing w:val="6"/>
              </w:rPr>
              <w:t>序 号</w:t>
            </w:r>
          </w:p>
        </w:tc>
        <w:tc>
          <w:tcPr>
            <w:tcW w:w="4262" w:type="dxa"/>
            <w:gridSpan w:val="4"/>
            <w:vAlign w:val="top"/>
          </w:tcPr>
          <w:p w14:paraId="3CEC74D6">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004A0250">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5A6BB80A">
            <w:pPr>
              <w:pStyle w:val="6"/>
              <w:spacing w:before="198" w:line="228" w:lineRule="auto"/>
              <w:ind w:left="1278"/>
            </w:pPr>
            <w:r>
              <w:rPr>
                <w:spacing w:val="9"/>
              </w:rPr>
              <w:t>技改工程完成后最终设备</w:t>
            </w:r>
          </w:p>
        </w:tc>
      </w:tr>
      <w:tr w14:paraId="22076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4F82BDED">
            <w:pPr>
              <w:rPr>
                <w:rFonts w:ascii="Arial"/>
                <w:sz w:val="21"/>
              </w:rPr>
            </w:pPr>
          </w:p>
        </w:tc>
        <w:tc>
          <w:tcPr>
            <w:tcW w:w="1606" w:type="dxa"/>
            <w:vAlign w:val="top"/>
          </w:tcPr>
          <w:p w14:paraId="5516E4B1">
            <w:pPr>
              <w:pStyle w:val="6"/>
              <w:spacing w:before="53" w:line="230" w:lineRule="auto"/>
              <w:ind w:left="599"/>
            </w:pPr>
            <w:r>
              <w:rPr>
                <w:spacing w:val="3"/>
              </w:rPr>
              <w:t>名称</w:t>
            </w:r>
          </w:p>
        </w:tc>
        <w:tc>
          <w:tcPr>
            <w:tcW w:w="1275" w:type="dxa"/>
            <w:vAlign w:val="top"/>
          </w:tcPr>
          <w:p w14:paraId="05776242">
            <w:pPr>
              <w:pStyle w:val="6"/>
              <w:spacing w:before="52" w:line="228" w:lineRule="auto"/>
              <w:ind w:left="116"/>
            </w:pPr>
            <w:r>
              <w:rPr>
                <w:spacing w:val="7"/>
              </w:rPr>
              <w:t>规格及型号</w:t>
            </w:r>
          </w:p>
        </w:tc>
        <w:tc>
          <w:tcPr>
            <w:tcW w:w="709" w:type="dxa"/>
            <w:vAlign w:val="top"/>
          </w:tcPr>
          <w:p w14:paraId="5975E2C7">
            <w:pPr>
              <w:pStyle w:val="6"/>
              <w:spacing w:before="52" w:line="228" w:lineRule="auto"/>
              <w:ind w:left="148"/>
            </w:pPr>
            <w:r>
              <w:rPr>
                <w:spacing w:val="3"/>
              </w:rPr>
              <w:t>数量</w:t>
            </w:r>
          </w:p>
        </w:tc>
        <w:tc>
          <w:tcPr>
            <w:tcW w:w="672" w:type="dxa"/>
            <w:vAlign w:val="top"/>
          </w:tcPr>
          <w:p w14:paraId="475585B7">
            <w:pPr>
              <w:pStyle w:val="6"/>
              <w:spacing w:before="53" w:line="229" w:lineRule="auto"/>
              <w:ind w:left="131"/>
            </w:pPr>
            <w:r>
              <w:rPr>
                <w:spacing w:val="3"/>
              </w:rPr>
              <w:t>备注</w:t>
            </w:r>
          </w:p>
        </w:tc>
        <w:tc>
          <w:tcPr>
            <w:tcW w:w="1531" w:type="dxa"/>
            <w:vAlign w:val="top"/>
          </w:tcPr>
          <w:p w14:paraId="39EB73C6">
            <w:pPr>
              <w:pStyle w:val="6"/>
              <w:spacing w:before="53" w:line="230" w:lineRule="auto"/>
              <w:ind w:left="563"/>
            </w:pPr>
            <w:r>
              <w:rPr>
                <w:spacing w:val="3"/>
              </w:rPr>
              <w:t>名称</w:t>
            </w:r>
          </w:p>
        </w:tc>
        <w:tc>
          <w:tcPr>
            <w:tcW w:w="1481" w:type="dxa"/>
            <w:vAlign w:val="top"/>
          </w:tcPr>
          <w:p w14:paraId="0D182597">
            <w:pPr>
              <w:pStyle w:val="6"/>
              <w:spacing w:before="52" w:line="228" w:lineRule="auto"/>
              <w:ind w:left="535"/>
            </w:pPr>
            <w:r>
              <w:rPr>
                <w:spacing w:val="4"/>
              </w:rPr>
              <w:t>规格</w:t>
            </w:r>
          </w:p>
        </w:tc>
        <w:tc>
          <w:tcPr>
            <w:tcW w:w="708" w:type="dxa"/>
            <w:vAlign w:val="top"/>
          </w:tcPr>
          <w:p w14:paraId="56FFD03C">
            <w:pPr>
              <w:pStyle w:val="6"/>
              <w:spacing w:before="52" w:line="228" w:lineRule="auto"/>
              <w:ind w:left="152"/>
            </w:pPr>
            <w:r>
              <w:rPr>
                <w:spacing w:val="3"/>
              </w:rPr>
              <w:t>数量</w:t>
            </w:r>
          </w:p>
        </w:tc>
        <w:tc>
          <w:tcPr>
            <w:tcW w:w="709" w:type="dxa"/>
            <w:vAlign w:val="top"/>
          </w:tcPr>
          <w:p w14:paraId="0101D58C">
            <w:pPr>
              <w:pStyle w:val="6"/>
              <w:spacing w:before="53" w:line="229" w:lineRule="auto"/>
              <w:ind w:left="153"/>
            </w:pPr>
            <w:r>
              <w:rPr>
                <w:spacing w:val="3"/>
              </w:rPr>
              <w:t>备注</w:t>
            </w:r>
          </w:p>
        </w:tc>
        <w:tc>
          <w:tcPr>
            <w:tcW w:w="1700" w:type="dxa"/>
            <w:vAlign w:val="top"/>
          </w:tcPr>
          <w:p w14:paraId="55989C66">
            <w:pPr>
              <w:pStyle w:val="6"/>
              <w:spacing w:before="53" w:line="230" w:lineRule="auto"/>
              <w:ind w:left="648"/>
            </w:pPr>
            <w:r>
              <w:rPr>
                <w:spacing w:val="3"/>
              </w:rPr>
              <w:t>名称</w:t>
            </w:r>
          </w:p>
        </w:tc>
        <w:tc>
          <w:tcPr>
            <w:tcW w:w="1558" w:type="dxa"/>
            <w:vAlign w:val="top"/>
          </w:tcPr>
          <w:p w14:paraId="16A869EB">
            <w:pPr>
              <w:pStyle w:val="6"/>
              <w:spacing w:before="52" w:line="228" w:lineRule="auto"/>
              <w:ind w:left="576"/>
            </w:pPr>
            <w:r>
              <w:rPr>
                <w:spacing w:val="4"/>
              </w:rPr>
              <w:t>规格</w:t>
            </w:r>
          </w:p>
        </w:tc>
        <w:tc>
          <w:tcPr>
            <w:tcW w:w="709" w:type="dxa"/>
            <w:vAlign w:val="top"/>
          </w:tcPr>
          <w:p w14:paraId="7FF5B42A">
            <w:pPr>
              <w:pStyle w:val="6"/>
              <w:spacing w:before="52" w:line="228" w:lineRule="auto"/>
              <w:ind w:left="152"/>
            </w:pPr>
            <w:r>
              <w:rPr>
                <w:spacing w:val="3"/>
              </w:rPr>
              <w:t>数量</w:t>
            </w:r>
          </w:p>
        </w:tc>
        <w:tc>
          <w:tcPr>
            <w:tcW w:w="887" w:type="dxa"/>
            <w:vAlign w:val="top"/>
          </w:tcPr>
          <w:p w14:paraId="60EE67CF">
            <w:pPr>
              <w:pStyle w:val="6"/>
              <w:spacing w:before="53" w:line="229" w:lineRule="auto"/>
              <w:ind w:left="241"/>
            </w:pPr>
            <w:r>
              <w:rPr>
                <w:spacing w:val="3"/>
              </w:rPr>
              <w:t>备注</w:t>
            </w:r>
          </w:p>
        </w:tc>
      </w:tr>
      <w:tr w14:paraId="7FF4D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190053C7">
            <w:pPr>
              <w:spacing w:line="248" w:lineRule="auto"/>
              <w:rPr>
                <w:rFonts w:ascii="Arial"/>
                <w:sz w:val="21"/>
              </w:rPr>
            </w:pPr>
          </w:p>
          <w:p w14:paraId="44C7E91C">
            <w:pPr>
              <w:spacing w:line="248" w:lineRule="auto"/>
              <w:rPr>
                <w:rFonts w:ascii="Arial"/>
                <w:sz w:val="21"/>
              </w:rPr>
            </w:pPr>
          </w:p>
          <w:p w14:paraId="68B24450">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34F43B09">
            <w:pPr>
              <w:spacing w:line="297" w:lineRule="auto"/>
              <w:rPr>
                <w:rFonts w:ascii="Arial"/>
                <w:sz w:val="21"/>
              </w:rPr>
            </w:pPr>
          </w:p>
          <w:p w14:paraId="4EAA5965">
            <w:pPr>
              <w:pStyle w:val="6"/>
              <w:spacing w:before="65" w:line="228" w:lineRule="auto"/>
              <w:ind w:left="208"/>
            </w:pPr>
            <w:r>
              <w:rPr>
                <w:spacing w:val="4"/>
              </w:rPr>
              <w:t>№3</w:t>
            </w:r>
            <w:r>
              <w:rPr>
                <w:spacing w:val="-37"/>
              </w:rPr>
              <w:t xml:space="preserve"> </w:t>
            </w:r>
            <w:r>
              <w:rPr>
                <w:spacing w:val="4"/>
              </w:rPr>
              <w:t>胶带输送</w:t>
            </w:r>
          </w:p>
          <w:p w14:paraId="020116F5">
            <w:pPr>
              <w:pStyle w:val="6"/>
              <w:spacing w:before="65" w:line="227" w:lineRule="auto"/>
              <w:ind w:left="698"/>
            </w:pPr>
            <w:r>
              <w:rPr>
                <w:spacing w:val="1"/>
              </w:rPr>
              <w:t>机</w:t>
            </w:r>
          </w:p>
        </w:tc>
        <w:tc>
          <w:tcPr>
            <w:tcW w:w="1275" w:type="dxa"/>
            <w:vAlign w:val="top"/>
          </w:tcPr>
          <w:p w14:paraId="6F57E1F5">
            <w:pPr>
              <w:pStyle w:val="6"/>
              <w:spacing w:before="52" w:line="269" w:lineRule="exact"/>
              <w:ind w:left="393"/>
            </w:pPr>
            <w:r>
              <w:rPr>
                <w:position w:val="1"/>
              </w:rPr>
              <w:t>10080</w:t>
            </w:r>
          </w:p>
          <w:p w14:paraId="6C4DF2D7">
            <w:pPr>
              <w:pStyle w:val="6"/>
              <w:spacing w:before="43" w:line="288" w:lineRule="auto"/>
              <w:ind w:left="164" w:right="164" w:firstLine="157"/>
            </w:pPr>
            <w:r>
              <w:rPr>
                <w:spacing w:val="-10"/>
              </w:rPr>
              <w:t>α=12</w:t>
            </w:r>
            <w:r>
              <w:rPr>
                <w:spacing w:val="-74"/>
              </w:rPr>
              <w:t xml:space="preserve"> </w:t>
            </w:r>
            <w:r>
              <w:rPr>
                <w:spacing w:val="-10"/>
              </w:rPr>
              <w:t>°</w:t>
            </w:r>
            <w:r>
              <w:t xml:space="preserve">  </w:t>
            </w:r>
            <w:r>
              <w:rPr>
                <w:spacing w:val="4"/>
              </w:rPr>
              <w:t>V=1.25m/s</w:t>
            </w:r>
          </w:p>
          <w:p w14:paraId="254E36AF">
            <w:pPr>
              <w:pStyle w:val="6"/>
              <w:spacing w:line="233" w:lineRule="auto"/>
              <w:ind w:left="272"/>
            </w:pPr>
            <w:r>
              <w:t>Lh</w:t>
            </w:r>
            <w:r>
              <w:rPr>
                <w:spacing w:val="5"/>
              </w:rPr>
              <w:t>=112m</w:t>
            </w:r>
          </w:p>
        </w:tc>
        <w:tc>
          <w:tcPr>
            <w:tcW w:w="709" w:type="dxa"/>
            <w:vAlign w:val="top"/>
          </w:tcPr>
          <w:p w14:paraId="5FA6946D">
            <w:pPr>
              <w:spacing w:line="452" w:lineRule="auto"/>
              <w:rPr>
                <w:rFonts w:ascii="Arial"/>
                <w:sz w:val="21"/>
              </w:rPr>
            </w:pPr>
          </w:p>
          <w:p w14:paraId="25F02287">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3CFF33AC">
            <w:pPr>
              <w:spacing w:line="453" w:lineRule="auto"/>
              <w:rPr>
                <w:rFonts w:ascii="Arial"/>
                <w:sz w:val="21"/>
              </w:rPr>
            </w:pPr>
          </w:p>
          <w:p w14:paraId="7E1288A9">
            <w:pPr>
              <w:pStyle w:val="6"/>
              <w:spacing w:before="65" w:line="228" w:lineRule="auto"/>
              <w:ind w:left="129"/>
            </w:pPr>
            <w:r>
              <w:rPr>
                <w:spacing w:val="4"/>
              </w:rPr>
              <w:t>保留</w:t>
            </w:r>
          </w:p>
        </w:tc>
        <w:tc>
          <w:tcPr>
            <w:tcW w:w="1531" w:type="dxa"/>
            <w:vAlign w:val="top"/>
          </w:tcPr>
          <w:p w14:paraId="365D8397">
            <w:pPr>
              <w:spacing w:line="246" w:lineRule="auto"/>
              <w:rPr>
                <w:rFonts w:ascii="Arial"/>
                <w:sz w:val="21"/>
              </w:rPr>
            </w:pPr>
          </w:p>
          <w:p w14:paraId="1E4CCD5F">
            <w:pPr>
              <w:spacing w:line="246" w:lineRule="auto"/>
              <w:rPr>
                <w:rFonts w:ascii="Arial"/>
                <w:sz w:val="21"/>
              </w:rPr>
            </w:pPr>
          </w:p>
          <w:p w14:paraId="2B9F7F91">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58F0ABC0">
            <w:pPr>
              <w:spacing w:line="246" w:lineRule="auto"/>
              <w:rPr>
                <w:rFonts w:ascii="Arial"/>
                <w:sz w:val="21"/>
              </w:rPr>
            </w:pPr>
          </w:p>
          <w:p w14:paraId="015E5696">
            <w:pPr>
              <w:spacing w:line="246" w:lineRule="auto"/>
              <w:rPr>
                <w:rFonts w:ascii="Arial"/>
                <w:sz w:val="21"/>
              </w:rPr>
            </w:pPr>
          </w:p>
          <w:p w14:paraId="794BF6E8">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4E1F9F16">
            <w:pPr>
              <w:spacing w:line="246" w:lineRule="auto"/>
              <w:rPr>
                <w:rFonts w:ascii="Arial"/>
                <w:sz w:val="21"/>
              </w:rPr>
            </w:pPr>
          </w:p>
          <w:p w14:paraId="370E8CCB">
            <w:pPr>
              <w:spacing w:line="246" w:lineRule="auto"/>
              <w:rPr>
                <w:rFonts w:ascii="Arial"/>
                <w:sz w:val="21"/>
              </w:rPr>
            </w:pPr>
          </w:p>
          <w:p w14:paraId="5DE0E24C">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91926A5">
            <w:pPr>
              <w:spacing w:line="246" w:lineRule="auto"/>
              <w:rPr>
                <w:rFonts w:ascii="Arial"/>
                <w:sz w:val="21"/>
              </w:rPr>
            </w:pPr>
          </w:p>
          <w:p w14:paraId="7D3EC610">
            <w:pPr>
              <w:spacing w:line="246" w:lineRule="auto"/>
              <w:rPr>
                <w:rFonts w:ascii="Arial"/>
                <w:sz w:val="21"/>
              </w:rPr>
            </w:pPr>
          </w:p>
          <w:p w14:paraId="58C96A09">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ED818AB">
            <w:pPr>
              <w:spacing w:line="452" w:lineRule="auto"/>
              <w:rPr>
                <w:rFonts w:ascii="Arial"/>
                <w:sz w:val="21"/>
              </w:rPr>
            </w:pPr>
          </w:p>
          <w:p w14:paraId="622C506A">
            <w:pPr>
              <w:pStyle w:val="6"/>
              <w:spacing w:before="65" w:line="227" w:lineRule="auto"/>
              <w:ind w:left="152"/>
            </w:pPr>
            <w:r>
              <w:rPr>
                <w:spacing w:val="5"/>
              </w:rPr>
              <w:t>№3</w:t>
            </w:r>
            <w:r>
              <w:rPr>
                <w:spacing w:val="-34"/>
              </w:rPr>
              <w:t xml:space="preserve"> </w:t>
            </w:r>
            <w:r>
              <w:rPr>
                <w:spacing w:val="5"/>
              </w:rPr>
              <w:t>胶带输送机</w:t>
            </w:r>
          </w:p>
        </w:tc>
        <w:tc>
          <w:tcPr>
            <w:tcW w:w="1558" w:type="dxa"/>
            <w:vAlign w:val="top"/>
          </w:tcPr>
          <w:p w14:paraId="48594D16">
            <w:pPr>
              <w:pStyle w:val="6"/>
              <w:spacing w:before="208" w:line="288" w:lineRule="auto"/>
              <w:ind w:left="308" w:right="104" w:hanging="178"/>
            </w:pPr>
            <w:r>
              <w:rPr>
                <w:spacing w:val="-5"/>
              </w:rPr>
              <w:t>10080</w:t>
            </w:r>
            <w:r>
              <w:rPr>
                <w:spacing w:val="39"/>
              </w:rPr>
              <w:t xml:space="preserve"> </w:t>
            </w:r>
            <w:r>
              <w:rPr>
                <w:spacing w:val="-5"/>
              </w:rPr>
              <w:t>α=12</w:t>
            </w:r>
            <w:r>
              <w:rPr>
                <w:spacing w:val="-72"/>
              </w:rPr>
              <w:t xml:space="preserve"> </w:t>
            </w:r>
            <w:r>
              <w:rPr>
                <w:spacing w:val="-5"/>
              </w:rPr>
              <w:t>°</w:t>
            </w:r>
            <w:r>
              <w:t xml:space="preserve"> </w:t>
            </w:r>
            <w:r>
              <w:rPr>
                <w:spacing w:val="4"/>
              </w:rPr>
              <w:t>V=1.25m/s</w:t>
            </w:r>
          </w:p>
          <w:p w14:paraId="16AC0884">
            <w:pPr>
              <w:pStyle w:val="6"/>
              <w:spacing w:line="270" w:lineRule="exact"/>
              <w:ind w:left="418"/>
            </w:pPr>
            <w:r>
              <w:rPr>
                <w:position w:val="1"/>
              </w:rPr>
              <w:t>Lh</w:t>
            </w:r>
            <w:r>
              <w:rPr>
                <w:spacing w:val="5"/>
                <w:position w:val="1"/>
              </w:rPr>
              <w:t>=112m</w:t>
            </w:r>
          </w:p>
        </w:tc>
        <w:tc>
          <w:tcPr>
            <w:tcW w:w="709" w:type="dxa"/>
            <w:vAlign w:val="top"/>
          </w:tcPr>
          <w:p w14:paraId="5AA91E51">
            <w:pPr>
              <w:spacing w:line="452" w:lineRule="auto"/>
              <w:rPr>
                <w:rFonts w:ascii="Arial"/>
                <w:sz w:val="21"/>
              </w:rPr>
            </w:pPr>
          </w:p>
          <w:p w14:paraId="55F172DC">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1BB5B92F">
            <w:pPr>
              <w:spacing w:line="453" w:lineRule="auto"/>
              <w:rPr>
                <w:rFonts w:ascii="Arial"/>
                <w:sz w:val="21"/>
              </w:rPr>
            </w:pPr>
          </w:p>
          <w:p w14:paraId="296AF85B">
            <w:pPr>
              <w:pStyle w:val="6"/>
              <w:spacing w:before="65" w:line="228" w:lineRule="auto"/>
              <w:ind w:left="243"/>
            </w:pPr>
            <w:r>
              <w:rPr>
                <w:spacing w:val="2"/>
              </w:rPr>
              <w:t>原有</w:t>
            </w:r>
          </w:p>
        </w:tc>
      </w:tr>
      <w:tr w14:paraId="4D7E0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0C60C1FC">
            <w:pPr>
              <w:spacing w:line="341" w:lineRule="auto"/>
              <w:rPr>
                <w:rFonts w:ascii="Arial"/>
                <w:sz w:val="21"/>
              </w:rPr>
            </w:pPr>
          </w:p>
          <w:p w14:paraId="52B6962C">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6D2226DF">
            <w:pPr>
              <w:spacing w:line="298" w:lineRule="auto"/>
              <w:rPr>
                <w:rFonts w:ascii="Arial"/>
                <w:sz w:val="21"/>
              </w:rPr>
            </w:pPr>
          </w:p>
          <w:p w14:paraId="636223D2">
            <w:pPr>
              <w:pStyle w:val="6"/>
              <w:spacing w:before="65" w:line="227" w:lineRule="auto"/>
              <w:ind w:left="176"/>
            </w:pPr>
            <w:r>
              <w:rPr>
                <w:spacing w:val="8"/>
              </w:rPr>
              <w:t>湿式半自磨机</w:t>
            </w:r>
          </w:p>
        </w:tc>
        <w:tc>
          <w:tcPr>
            <w:tcW w:w="1275" w:type="dxa"/>
            <w:vAlign w:val="top"/>
          </w:tcPr>
          <w:p w14:paraId="7D19902D">
            <w:pPr>
              <w:pStyle w:val="6"/>
              <w:spacing w:before="52" w:line="270" w:lineRule="auto"/>
              <w:ind w:left="117" w:right="111" w:firstLine="40"/>
              <w:jc w:val="both"/>
            </w:pPr>
            <w:r>
              <w:rPr>
                <w:spacing w:val="-1"/>
              </w:rPr>
              <w:t>φ5.49×3.</w:t>
            </w:r>
            <w:r>
              <w:rPr>
                <w:spacing w:val="6"/>
              </w:rPr>
              <w:t xml:space="preserve"> </w:t>
            </w:r>
            <w:r>
              <w:rPr>
                <w:spacing w:val="18"/>
              </w:rPr>
              <w:t>05</w:t>
            </w:r>
            <w:r>
              <w:rPr>
                <w:spacing w:val="-17"/>
              </w:rPr>
              <w:t>，（</w:t>
            </w:r>
            <w:r>
              <w:rPr>
                <w:spacing w:val="18"/>
              </w:rPr>
              <w:t>变速</w:t>
            </w:r>
            <w:r>
              <w:t xml:space="preserve"> </w:t>
            </w:r>
            <w:r>
              <w:rPr>
                <w:spacing w:val="5"/>
              </w:rPr>
              <w:t>带圆筒筛）</w:t>
            </w:r>
          </w:p>
        </w:tc>
        <w:tc>
          <w:tcPr>
            <w:tcW w:w="709" w:type="dxa"/>
            <w:vAlign w:val="top"/>
          </w:tcPr>
          <w:p w14:paraId="1EC9D87A">
            <w:pPr>
              <w:spacing w:line="298" w:lineRule="auto"/>
              <w:rPr>
                <w:rFonts w:ascii="Arial"/>
                <w:sz w:val="21"/>
              </w:rPr>
            </w:pPr>
          </w:p>
          <w:p w14:paraId="016C5F79">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1BA8A714">
            <w:pPr>
              <w:spacing w:line="299" w:lineRule="auto"/>
              <w:rPr>
                <w:rFonts w:ascii="Arial"/>
                <w:sz w:val="21"/>
              </w:rPr>
            </w:pPr>
          </w:p>
          <w:p w14:paraId="6447C2C1">
            <w:pPr>
              <w:pStyle w:val="6"/>
              <w:spacing w:before="65" w:line="228" w:lineRule="auto"/>
              <w:ind w:left="129"/>
            </w:pPr>
            <w:r>
              <w:rPr>
                <w:spacing w:val="4"/>
              </w:rPr>
              <w:t>保留</w:t>
            </w:r>
          </w:p>
        </w:tc>
        <w:tc>
          <w:tcPr>
            <w:tcW w:w="1531" w:type="dxa"/>
            <w:vAlign w:val="top"/>
          </w:tcPr>
          <w:p w14:paraId="13231302">
            <w:pPr>
              <w:spacing w:line="337" w:lineRule="auto"/>
              <w:rPr>
                <w:rFonts w:ascii="Arial"/>
                <w:sz w:val="21"/>
              </w:rPr>
            </w:pPr>
          </w:p>
          <w:p w14:paraId="26916ABE">
            <w:pPr>
              <w:spacing w:before="58"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1AC2022F">
            <w:pPr>
              <w:spacing w:line="337" w:lineRule="auto"/>
              <w:rPr>
                <w:rFonts w:ascii="Arial"/>
                <w:sz w:val="21"/>
              </w:rPr>
            </w:pPr>
          </w:p>
          <w:p w14:paraId="2ADD3CA9">
            <w:pPr>
              <w:spacing w:before="58"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18C473F7">
            <w:pPr>
              <w:spacing w:line="337" w:lineRule="auto"/>
              <w:rPr>
                <w:rFonts w:ascii="Arial"/>
                <w:sz w:val="21"/>
              </w:rPr>
            </w:pPr>
          </w:p>
          <w:p w14:paraId="2234BA9A">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5878FD3C">
            <w:pPr>
              <w:spacing w:line="337" w:lineRule="auto"/>
              <w:rPr>
                <w:rFonts w:ascii="Arial"/>
                <w:sz w:val="21"/>
              </w:rPr>
            </w:pPr>
          </w:p>
          <w:p w14:paraId="308591AA">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C8EAF41">
            <w:pPr>
              <w:spacing w:line="298" w:lineRule="auto"/>
              <w:rPr>
                <w:rFonts w:ascii="Arial"/>
                <w:sz w:val="21"/>
              </w:rPr>
            </w:pPr>
          </w:p>
          <w:p w14:paraId="1B716F5E">
            <w:pPr>
              <w:pStyle w:val="6"/>
              <w:spacing w:before="65" w:line="227" w:lineRule="auto"/>
              <w:ind w:left="226"/>
            </w:pPr>
            <w:r>
              <w:rPr>
                <w:spacing w:val="8"/>
              </w:rPr>
              <w:t>湿式半自磨机</w:t>
            </w:r>
          </w:p>
        </w:tc>
        <w:tc>
          <w:tcPr>
            <w:tcW w:w="1558" w:type="dxa"/>
            <w:vAlign w:val="top"/>
          </w:tcPr>
          <w:p w14:paraId="5D5336D3">
            <w:pPr>
              <w:pStyle w:val="6"/>
              <w:spacing w:before="53" w:line="288" w:lineRule="auto"/>
              <w:ind w:left="173" w:right="146" w:firstLine="25"/>
            </w:pPr>
            <w:r>
              <w:t>φ5.49×3.05</w:t>
            </w:r>
            <w:r>
              <w:rPr>
                <w:spacing w:val="7"/>
              </w:rPr>
              <w:t xml:space="preserve"> </w:t>
            </w:r>
            <w:r>
              <w:rPr>
                <w:spacing w:val="-4"/>
              </w:rPr>
              <w:t>,</w:t>
            </w:r>
            <w:r>
              <w:rPr>
                <w:spacing w:val="55"/>
              </w:rPr>
              <w:t xml:space="preserve"> </w:t>
            </w:r>
            <w:r>
              <w:rPr>
                <w:spacing w:val="-4"/>
              </w:rPr>
              <w:t>（变速带圆</w:t>
            </w:r>
          </w:p>
          <w:p w14:paraId="0799AC1B">
            <w:pPr>
              <w:pStyle w:val="6"/>
              <w:spacing w:line="227" w:lineRule="auto"/>
              <w:ind w:left="473"/>
            </w:pPr>
            <w:r>
              <w:rPr>
                <w:spacing w:val="2"/>
              </w:rPr>
              <w:t>筒筛）</w:t>
            </w:r>
          </w:p>
        </w:tc>
        <w:tc>
          <w:tcPr>
            <w:tcW w:w="709" w:type="dxa"/>
            <w:vAlign w:val="top"/>
          </w:tcPr>
          <w:p w14:paraId="75709497">
            <w:pPr>
              <w:spacing w:line="298" w:lineRule="auto"/>
              <w:rPr>
                <w:rFonts w:ascii="Arial"/>
                <w:sz w:val="21"/>
              </w:rPr>
            </w:pPr>
          </w:p>
          <w:p w14:paraId="3782173D">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5A60BC82">
            <w:pPr>
              <w:spacing w:line="299" w:lineRule="auto"/>
              <w:rPr>
                <w:rFonts w:ascii="Arial"/>
                <w:sz w:val="21"/>
              </w:rPr>
            </w:pPr>
          </w:p>
          <w:p w14:paraId="0666B494">
            <w:pPr>
              <w:pStyle w:val="6"/>
              <w:spacing w:before="65" w:line="228" w:lineRule="auto"/>
              <w:ind w:left="243"/>
            </w:pPr>
            <w:r>
              <w:rPr>
                <w:spacing w:val="2"/>
              </w:rPr>
              <w:t>原有</w:t>
            </w:r>
          </w:p>
        </w:tc>
      </w:tr>
      <w:tr w14:paraId="68D42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15F3DD6E">
            <w:pPr>
              <w:spacing w:before="245"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17F33BF3">
            <w:pPr>
              <w:pStyle w:val="6"/>
              <w:spacing w:before="53" w:line="227" w:lineRule="auto"/>
              <w:ind w:left="179"/>
            </w:pPr>
            <w:r>
              <w:rPr>
                <w:spacing w:val="7"/>
              </w:rPr>
              <w:t>半自磨机磁力</w:t>
            </w:r>
          </w:p>
          <w:p w14:paraId="269C9B1D">
            <w:pPr>
              <w:pStyle w:val="6"/>
              <w:spacing w:before="66" w:line="231" w:lineRule="auto"/>
              <w:ind w:left="703"/>
            </w:pPr>
            <w:r>
              <w:t>弧</w:t>
            </w:r>
          </w:p>
        </w:tc>
        <w:tc>
          <w:tcPr>
            <w:tcW w:w="1275" w:type="dxa"/>
            <w:vAlign w:val="top"/>
          </w:tcPr>
          <w:p w14:paraId="0E53DEBF">
            <w:pPr>
              <w:pStyle w:val="6"/>
              <w:spacing w:before="209" w:line="233" w:lineRule="auto"/>
              <w:ind w:left="588"/>
            </w:pPr>
            <w:r>
              <w:t>/</w:t>
            </w:r>
          </w:p>
        </w:tc>
        <w:tc>
          <w:tcPr>
            <w:tcW w:w="709" w:type="dxa"/>
            <w:vAlign w:val="top"/>
          </w:tcPr>
          <w:p w14:paraId="6B92B22B">
            <w:pPr>
              <w:pStyle w:val="6"/>
              <w:spacing w:before="210" w:line="238"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14"/>
                <w:w w:val="101"/>
              </w:rPr>
              <w:t xml:space="preserve"> </w:t>
            </w:r>
            <w:r>
              <w:rPr>
                <w:spacing w:val="-10"/>
              </w:rPr>
              <w:t>组</w:t>
            </w:r>
          </w:p>
        </w:tc>
        <w:tc>
          <w:tcPr>
            <w:tcW w:w="672" w:type="dxa"/>
            <w:vAlign w:val="top"/>
          </w:tcPr>
          <w:p w14:paraId="115E2BB0">
            <w:pPr>
              <w:pStyle w:val="6"/>
              <w:spacing w:before="210" w:line="228" w:lineRule="auto"/>
              <w:ind w:left="129"/>
            </w:pPr>
            <w:r>
              <w:rPr>
                <w:spacing w:val="4"/>
              </w:rPr>
              <w:t>保留</w:t>
            </w:r>
          </w:p>
        </w:tc>
        <w:tc>
          <w:tcPr>
            <w:tcW w:w="1531" w:type="dxa"/>
            <w:vAlign w:val="top"/>
          </w:tcPr>
          <w:p w14:paraId="6759DCD3">
            <w:pPr>
              <w:spacing w:before="242"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B06723E">
            <w:pPr>
              <w:spacing w:before="242"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455DA7B">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EC51720">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E60A61B">
            <w:pPr>
              <w:pStyle w:val="6"/>
              <w:spacing w:before="209" w:line="227" w:lineRule="auto"/>
              <w:ind w:left="124"/>
            </w:pPr>
            <w:r>
              <w:rPr>
                <w:spacing w:val="8"/>
              </w:rPr>
              <w:t>半自磨机磁力弧</w:t>
            </w:r>
          </w:p>
        </w:tc>
        <w:tc>
          <w:tcPr>
            <w:tcW w:w="1558" w:type="dxa"/>
            <w:vAlign w:val="top"/>
          </w:tcPr>
          <w:p w14:paraId="05337A4E">
            <w:pPr>
              <w:pStyle w:val="6"/>
              <w:spacing w:before="209" w:line="233" w:lineRule="auto"/>
              <w:ind w:left="733"/>
            </w:pPr>
            <w:r>
              <w:t>/</w:t>
            </w:r>
          </w:p>
        </w:tc>
        <w:tc>
          <w:tcPr>
            <w:tcW w:w="709" w:type="dxa"/>
            <w:vAlign w:val="top"/>
          </w:tcPr>
          <w:p w14:paraId="28200C78">
            <w:pPr>
              <w:pStyle w:val="6"/>
              <w:spacing w:before="210" w:line="238"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14"/>
                <w:w w:val="101"/>
              </w:rPr>
              <w:t xml:space="preserve"> </w:t>
            </w:r>
            <w:r>
              <w:rPr>
                <w:spacing w:val="-10"/>
              </w:rPr>
              <w:t>组</w:t>
            </w:r>
          </w:p>
        </w:tc>
        <w:tc>
          <w:tcPr>
            <w:tcW w:w="887" w:type="dxa"/>
            <w:vAlign w:val="top"/>
          </w:tcPr>
          <w:p w14:paraId="0BE1DA71">
            <w:pPr>
              <w:pStyle w:val="6"/>
              <w:spacing w:before="210" w:line="228" w:lineRule="auto"/>
              <w:ind w:left="243"/>
            </w:pPr>
            <w:r>
              <w:rPr>
                <w:spacing w:val="2"/>
              </w:rPr>
              <w:t>原有</w:t>
            </w:r>
          </w:p>
        </w:tc>
      </w:tr>
      <w:tr w14:paraId="2658F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6590BACA">
            <w:pPr>
              <w:spacing w:before="8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22D50C38">
            <w:pPr>
              <w:pStyle w:val="6"/>
              <w:spacing w:before="53" w:line="228" w:lineRule="auto"/>
              <w:ind w:left="490"/>
            </w:pPr>
            <w:r>
              <w:rPr>
                <w:spacing w:val="6"/>
              </w:rPr>
              <w:t>渣浆泵</w:t>
            </w:r>
          </w:p>
        </w:tc>
        <w:tc>
          <w:tcPr>
            <w:tcW w:w="1275" w:type="dxa"/>
            <w:vAlign w:val="top"/>
          </w:tcPr>
          <w:p w14:paraId="4B7A5CAF">
            <w:pPr>
              <w:pStyle w:val="6"/>
              <w:spacing w:before="53" w:line="233" w:lineRule="auto"/>
              <w:ind w:left="588"/>
            </w:pPr>
            <w:r>
              <w:t>/</w:t>
            </w:r>
          </w:p>
        </w:tc>
        <w:tc>
          <w:tcPr>
            <w:tcW w:w="709" w:type="dxa"/>
            <w:vAlign w:val="top"/>
          </w:tcPr>
          <w:p w14:paraId="2ED5B571">
            <w:pPr>
              <w:pStyle w:val="6"/>
              <w:spacing w:before="53" w:line="230" w:lineRule="auto"/>
              <w:ind w:left="169"/>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672" w:type="dxa"/>
            <w:vAlign w:val="top"/>
          </w:tcPr>
          <w:p w14:paraId="79DAEBC1">
            <w:pPr>
              <w:pStyle w:val="6"/>
              <w:spacing w:before="54" w:line="228" w:lineRule="auto"/>
              <w:ind w:left="129"/>
            </w:pPr>
            <w:r>
              <w:rPr>
                <w:spacing w:val="4"/>
              </w:rPr>
              <w:t>保留</w:t>
            </w:r>
          </w:p>
        </w:tc>
        <w:tc>
          <w:tcPr>
            <w:tcW w:w="1531" w:type="dxa"/>
            <w:vAlign w:val="top"/>
          </w:tcPr>
          <w:p w14:paraId="38D95BE6">
            <w:pPr>
              <w:pStyle w:val="6"/>
              <w:spacing w:before="53" w:line="233" w:lineRule="auto"/>
              <w:ind w:left="716"/>
            </w:pPr>
            <w:r>
              <w:t>/</w:t>
            </w:r>
          </w:p>
        </w:tc>
        <w:tc>
          <w:tcPr>
            <w:tcW w:w="1481" w:type="dxa"/>
            <w:vAlign w:val="top"/>
          </w:tcPr>
          <w:p w14:paraId="634AD4E2">
            <w:pPr>
              <w:pStyle w:val="6"/>
              <w:spacing w:before="53" w:line="233" w:lineRule="auto"/>
              <w:ind w:left="692"/>
            </w:pPr>
            <w:r>
              <w:t>/</w:t>
            </w:r>
          </w:p>
        </w:tc>
        <w:tc>
          <w:tcPr>
            <w:tcW w:w="708" w:type="dxa"/>
            <w:vAlign w:val="top"/>
          </w:tcPr>
          <w:p w14:paraId="7878B29F">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BB1D341">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2ADDF32">
            <w:pPr>
              <w:pStyle w:val="6"/>
              <w:spacing w:before="53" w:line="228" w:lineRule="auto"/>
              <w:ind w:left="540"/>
            </w:pPr>
            <w:r>
              <w:rPr>
                <w:spacing w:val="6"/>
              </w:rPr>
              <w:t>渣浆泵</w:t>
            </w:r>
          </w:p>
        </w:tc>
        <w:tc>
          <w:tcPr>
            <w:tcW w:w="1558" w:type="dxa"/>
            <w:vAlign w:val="top"/>
          </w:tcPr>
          <w:p w14:paraId="22586D9A">
            <w:pPr>
              <w:pStyle w:val="6"/>
              <w:spacing w:before="53" w:line="233" w:lineRule="auto"/>
              <w:ind w:left="733"/>
            </w:pPr>
            <w:r>
              <w:t>/</w:t>
            </w:r>
          </w:p>
        </w:tc>
        <w:tc>
          <w:tcPr>
            <w:tcW w:w="709" w:type="dxa"/>
            <w:vAlign w:val="top"/>
          </w:tcPr>
          <w:p w14:paraId="25BAABC8">
            <w:pPr>
              <w:pStyle w:val="6"/>
              <w:spacing w:before="53" w:line="230" w:lineRule="auto"/>
              <w:ind w:left="173"/>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887" w:type="dxa"/>
            <w:vAlign w:val="top"/>
          </w:tcPr>
          <w:p w14:paraId="5E796C54">
            <w:pPr>
              <w:pStyle w:val="6"/>
              <w:spacing w:before="54" w:line="228" w:lineRule="auto"/>
              <w:ind w:left="243"/>
            </w:pPr>
            <w:r>
              <w:rPr>
                <w:spacing w:val="2"/>
              </w:rPr>
              <w:t>原有</w:t>
            </w:r>
          </w:p>
        </w:tc>
      </w:tr>
      <w:tr w14:paraId="5115B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4F932EE9">
            <w:pPr>
              <w:spacing w:before="92"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6" w:type="dxa"/>
            <w:vAlign w:val="top"/>
          </w:tcPr>
          <w:p w14:paraId="2DBBB4F8">
            <w:pPr>
              <w:pStyle w:val="6"/>
              <w:spacing w:before="52" w:line="228" w:lineRule="auto"/>
              <w:ind w:left="282"/>
            </w:pPr>
            <w:r>
              <w:rPr>
                <w:spacing w:val="7"/>
              </w:rPr>
              <w:t>水力旋流器</w:t>
            </w:r>
          </w:p>
        </w:tc>
        <w:tc>
          <w:tcPr>
            <w:tcW w:w="1275" w:type="dxa"/>
            <w:vAlign w:val="top"/>
          </w:tcPr>
          <w:p w14:paraId="6545C9D4">
            <w:pPr>
              <w:spacing w:before="8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6"/>
                <w:sz w:val="20"/>
                <w:szCs w:val="20"/>
              </w:rPr>
              <w:t>-500×6</w:t>
            </w:r>
          </w:p>
        </w:tc>
        <w:tc>
          <w:tcPr>
            <w:tcW w:w="709" w:type="dxa"/>
            <w:vAlign w:val="top"/>
          </w:tcPr>
          <w:p w14:paraId="198ADFF4">
            <w:pPr>
              <w:pStyle w:val="6"/>
              <w:spacing w:before="53"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7257EDEC">
            <w:pPr>
              <w:pStyle w:val="6"/>
              <w:spacing w:before="53" w:line="228" w:lineRule="auto"/>
              <w:ind w:left="129"/>
            </w:pPr>
            <w:r>
              <w:rPr>
                <w:spacing w:val="4"/>
              </w:rPr>
              <w:t>保留</w:t>
            </w:r>
          </w:p>
        </w:tc>
        <w:tc>
          <w:tcPr>
            <w:tcW w:w="1531" w:type="dxa"/>
            <w:vAlign w:val="top"/>
          </w:tcPr>
          <w:p w14:paraId="56D47812">
            <w:pPr>
              <w:spacing w:before="85"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245451BA">
            <w:pPr>
              <w:spacing w:before="85"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2A9E9357">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DB28349">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23D221B">
            <w:pPr>
              <w:pStyle w:val="6"/>
              <w:spacing w:before="52" w:line="228" w:lineRule="auto"/>
              <w:ind w:left="334"/>
            </w:pPr>
            <w:r>
              <w:rPr>
                <w:spacing w:val="7"/>
              </w:rPr>
              <w:t>水力旋流器</w:t>
            </w:r>
          </w:p>
        </w:tc>
        <w:tc>
          <w:tcPr>
            <w:tcW w:w="1558" w:type="dxa"/>
            <w:vAlign w:val="top"/>
          </w:tcPr>
          <w:p w14:paraId="50E28628">
            <w:pPr>
              <w:spacing w:before="89" w:line="195"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FX</w:t>
            </w:r>
            <w:r>
              <w:rPr>
                <w:rFonts w:ascii="Times New Roman" w:hAnsi="Times New Roman" w:eastAsia="Times New Roman" w:cs="Times New Roman"/>
                <w:spacing w:val="6"/>
                <w:sz w:val="20"/>
                <w:szCs w:val="20"/>
              </w:rPr>
              <w:t>-500×6</w:t>
            </w:r>
          </w:p>
        </w:tc>
        <w:tc>
          <w:tcPr>
            <w:tcW w:w="709" w:type="dxa"/>
            <w:vAlign w:val="top"/>
          </w:tcPr>
          <w:p w14:paraId="2BF49A2C">
            <w:pPr>
              <w:pStyle w:val="6"/>
              <w:spacing w:before="53"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3CEEFFC9">
            <w:pPr>
              <w:pStyle w:val="6"/>
              <w:spacing w:before="53" w:line="228" w:lineRule="auto"/>
              <w:ind w:left="243"/>
            </w:pPr>
            <w:r>
              <w:rPr>
                <w:spacing w:val="2"/>
              </w:rPr>
              <w:t>原有</w:t>
            </w:r>
          </w:p>
        </w:tc>
      </w:tr>
      <w:tr w14:paraId="24095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37865F7F">
            <w:pPr>
              <w:spacing w:before="24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6" w:type="dxa"/>
            <w:vAlign w:val="top"/>
          </w:tcPr>
          <w:p w14:paraId="11E6B3B8">
            <w:pPr>
              <w:pStyle w:val="6"/>
              <w:spacing w:before="55" w:line="227" w:lineRule="auto"/>
              <w:ind w:left="176"/>
            </w:pPr>
            <w:r>
              <w:rPr>
                <w:spacing w:val="8"/>
              </w:rPr>
              <w:t>湿式溢流型球</w:t>
            </w:r>
          </w:p>
          <w:p w14:paraId="0E0FCDFA">
            <w:pPr>
              <w:pStyle w:val="6"/>
              <w:spacing w:before="66" w:line="227" w:lineRule="auto"/>
              <w:ind w:left="599"/>
            </w:pPr>
            <w:r>
              <w:rPr>
                <w:spacing w:val="3"/>
              </w:rPr>
              <w:t>磨机</w:t>
            </w:r>
          </w:p>
        </w:tc>
        <w:tc>
          <w:tcPr>
            <w:tcW w:w="1275" w:type="dxa"/>
            <w:vAlign w:val="top"/>
          </w:tcPr>
          <w:p w14:paraId="4F67C868">
            <w:pPr>
              <w:pStyle w:val="6"/>
              <w:spacing w:before="55" w:line="263" w:lineRule="exact"/>
              <w:ind w:left="158"/>
            </w:pPr>
            <w:r>
              <w:rPr>
                <w:spacing w:val="1"/>
                <w:position w:val="1"/>
              </w:rPr>
              <w:t>φ3.81×6.</w:t>
            </w:r>
          </w:p>
          <w:p w14:paraId="2928BF7E">
            <w:pPr>
              <w:pStyle w:val="6"/>
              <w:spacing w:before="49" w:line="232" w:lineRule="auto"/>
              <w:ind w:left="488"/>
            </w:pPr>
            <w:r>
              <w:t>71m</w:t>
            </w:r>
          </w:p>
        </w:tc>
        <w:tc>
          <w:tcPr>
            <w:tcW w:w="709" w:type="dxa"/>
            <w:vAlign w:val="top"/>
          </w:tcPr>
          <w:p w14:paraId="7D644E84">
            <w:pPr>
              <w:pStyle w:val="6"/>
              <w:spacing w:before="211"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06A46FC1">
            <w:pPr>
              <w:pStyle w:val="6"/>
              <w:spacing w:before="211" w:line="228" w:lineRule="auto"/>
              <w:ind w:left="129"/>
            </w:pPr>
            <w:r>
              <w:rPr>
                <w:spacing w:val="4"/>
              </w:rPr>
              <w:t>保留</w:t>
            </w:r>
          </w:p>
        </w:tc>
        <w:tc>
          <w:tcPr>
            <w:tcW w:w="1531" w:type="dxa"/>
            <w:vAlign w:val="top"/>
          </w:tcPr>
          <w:p w14:paraId="6A14B0AD">
            <w:pPr>
              <w:spacing w:before="243"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61D90AE">
            <w:pPr>
              <w:spacing w:before="243"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5E091EA9">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3598441C">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0FDB7FD2">
            <w:pPr>
              <w:pStyle w:val="6"/>
              <w:spacing w:before="55" w:line="260" w:lineRule="auto"/>
              <w:ind w:left="750" w:right="113" w:hanging="630"/>
            </w:pPr>
            <w:r>
              <w:rPr>
                <w:spacing w:val="8"/>
              </w:rPr>
              <w:t>湿式溢流型球磨</w:t>
            </w:r>
            <w:r>
              <w:rPr>
                <w:spacing w:val="3"/>
              </w:rPr>
              <w:t xml:space="preserve"> </w:t>
            </w:r>
            <w:r>
              <w:rPr>
                <w:spacing w:val="1"/>
              </w:rPr>
              <w:t>机</w:t>
            </w:r>
          </w:p>
        </w:tc>
        <w:tc>
          <w:tcPr>
            <w:tcW w:w="1558" w:type="dxa"/>
            <w:vAlign w:val="top"/>
          </w:tcPr>
          <w:p w14:paraId="3E025A5A">
            <w:pPr>
              <w:pStyle w:val="6"/>
              <w:spacing w:before="55" w:line="263" w:lineRule="exact"/>
              <w:ind w:left="198"/>
            </w:pPr>
            <w:r>
              <w:rPr>
                <w:spacing w:val="1"/>
                <w:position w:val="1"/>
              </w:rPr>
              <w:t>φ3.81×6.71</w:t>
            </w:r>
          </w:p>
          <w:p w14:paraId="62AC289A">
            <w:pPr>
              <w:pStyle w:val="6"/>
              <w:spacing w:before="49" w:line="232" w:lineRule="auto"/>
              <w:ind w:left="728"/>
            </w:pPr>
            <w:r>
              <w:rPr>
                <w:spacing w:val="1"/>
              </w:rPr>
              <w:t>m</w:t>
            </w:r>
          </w:p>
        </w:tc>
        <w:tc>
          <w:tcPr>
            <w:tcW w:w="709" w:type="dxa"/>
            <w:vAlign w:val="top"/>
          </w:tcPr>
          <w:p w14:paraId="0DDD7138">
            <w:pPr>
              <w:pStyle w:val="6"/>
              <w:spacing w:before="211"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4947FE3E">
            <w:pPr>
              <w:pStyle w:val="6"/>
              <w:spacing w:before="211" w:line="228" w:lineRule="auto"/>
              <w:ind w:left="243"/>
            </w:pPr>
            <w:r>
              <w:rPr>
                <w:spacing w:val="2"/>
              </w:rPr>
              <w:t>原有</w:t>
            </w:r>
          </w:p>
        </w:tc>
      </w:tr>
      <w:tr w14:paraId="63B50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5BBCC161">
            <w:pPr>
              <w:spacing w:line="250" w:lineRule="auto"/>
              <w:rPr>
                <w:rFonts w:ascii="Arial"/>
                <w:sz w:val="21"/>
              </w:rPr>
            </w:pPr>
          </w:p>
          <w:p w14:paraId="69A63BC9">
            <w:pPr>
              <w:spacing w:line="251" w:lineRule="auto"/>
              <w:rPr>
                <w:rFonts w:ascii="Arial"/>
                <w:sz w:val="21"/>
              </w:rPr>
            </w:pPr>
          </w:p>
          <w:p w14:paraId="22DDCD0D">
            <w:pPr>
              <w:spacing w:before="57"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6" w:type="dxa"/>
            <w:vAlign w:val="top"/>
          </w:tcPr>
          <w:p w14:paraId="7A152B27">
            <w:pPr>
              <w:spacing w:line="299" w:lineRule="auto"/>
              <w:rPr>
                <w:rFonts w:ascii="Arial"/>
                <w:sz w:val="21"/>
              </w:rPr>
            </w:pPr>
          </w:p>
          <w:p w14:paraId="3ED71A05">
            <w:pPr>
              <w:pStyle w:val="6"/>
              <w:spacing w:before="65" w:line="228" w:lineRule="auto"/>
              <w:ind w:left="208"/>
            </w:pPr>
            <w:r>
              <w:rPr>
                <w:spacing w:val="4"/>
              </w:rPr>
              <w:t>№4</w:t>
            </w:r>
            <w:r>
              <w:rPr>
                <w:spacing w:val="-37"/>
              </w:rPr>
              <w:t xml:space="preserve"> </w:t>
            </w:r>
            <w:r>
              <w:rPr>
                <w:spacing w:val="4"/>
              </w:rPr>
              <w:t>往返胶带</w:t>
            </w:r>
          </w:p>
          <w:p w14:paraId="4A0E669A">
            <w:pPr>
              <w:pStyle w:val="6"/>
              <w:spacing w:before="65" w:line="227" w:lineRule="auto"/>
              <w:ind w:left="490"/>
            </w:pPr>
            <w:r>
              <w:rPr>
                <w:spacing w:val="7"/>
              </w:rPr>
              <w:t>输送机</w:t>
            </w:r>
          </w:p>
        </w:tc>
        <w:tc>
          <w:tcPr>
            <w:tcW w:w="1275" w:type="dxa"/>
            <w:vAlign w:val="top"/>
          </w:tcPr>
          <w:p w14:paraId="61F07775">
            <w:pPr>
              <w:pStyle w:val="6"/>
              <w:spacing w:before="54" w:line="269" w:lineRule="exact"/>
              <w:ind w:left="434"/>
            </w:pPr>
            <w:r>
              <w:rPr>
                <w:spacing w:val="2"/>
                <w:position w:val="1"/>
              </w:rPr>
              <w:t>5050</w:t>
            </w:r>
          </w:p>
          <w:p w14:paraId="5EB6E136">
            <w:pPr>
              <w:pStyle w:val="6"/>
              <w:spacing w:before="43" w:line="288" w:lineRule="auto"/>
              <w:ind w:left="111" w:right="164" w:firstLine="104"/>
            </w:pPr>
            <w:r>
              <w:rPr>
                <w:spacing w:val="-6"/>
              </w:rPr>
              <w:t>α=8.53</w:t>
            </w:r>
            <w:r>
              <w:rPr>
                <w:spacing w:val="-71"/>
              </w:rPr>
              <w:t xml:space="preserve"> </w:t>
            </w:r>
            <w:r>
              <w:rPr>
                <w:spacing w:val="-6"/>
              </w:rPr>
              <w:t>°</w:t>
            </w:r>
            <w:r>
              <w:t xml:space="preserve"> </w:t>
            </w:r>
            <w:r>
              <w:rPr>
                <w:spacing w:val="-1"/>
              </w:rPr>
              <w:t>V=1.6m/s，</w:t>
            </w:r>
          </w:p>
          <w:p w14:paraId="06504142">
            <w:pPr>
              <w:pStyle w:val="6"/>
              <w:spacing w:line="231" w:lineRule="auto"/>
              <w:ind w:left="220"/>
            </w:pPr>
            <w:r>
              <w:t>Lh</w:t>
            </w:r>
            <w:r>
              <w:rPr>
                <w:spacing w:val="5"/>
              </w:rPr>
              <w:t>=43.7m</w:t>
            </w:r>
          </w:p>
        </w:tc>
        <w:tc>
          <w:tcPr>
            <w:tcW w:w="709" w:type="dxa"/>
            <w:vAlign w:val="top"/>
          </w:tcPr>
          <w:p w14:paraId="68AC444D">
            <w:pPr>
              <w:spacing w:line="454" w:lineRule="auto"/>
              <w:rPr>
                <w:rFonts w:ascii="Arial"/>
                <w:sz w:val="21"/>
              </w:rPr>
            </w:pPr>
          </w:p>
          <w:p w14:paraId="0A991A2B">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2B98A4B4">
            <w:pPr>
              <w:spacing w:line="455" w:lineRule="auto"/>
              <w:rPr>
                <w:rFonts w:ascii="Arial"/>
                <w:sz w:val="21"/>
              </w:rPr>
            </w:pPr>
          </w:p>
          <w:p w14:paraId="392325B9">
            <w:pPr>
              <w:pStyle w:val="6"/>
              <w:spacing w:before="65" w:line="228" w:lineRule="auto"/>
              <w:ind w:left="129"/>
            </w:pPr>
            <w:r>
              <w:rPr>
                <w:spacing w:val="4"/>
              </w:rPr>
              <w:t>保留</w:t>
            </w:r>
          </w:p>
        </w:tc>
        <w:tc>
          <w:tcPr>
            <w:tcW w:w="1531" w:type="dxa"/>
            <w:vAlign w:val="top"/>
          </w:tcPr>
          <w:p w14:paraId="5C4A0C5E">
            <w:pPr>
              <w:spacing w:line="247" w:lineRule="auto"/>
              <w:rPr>
                <w:rFonts w:ascii="Arial"/>
                <w:sz w:val="21"/>
              </w:rPr>
            </w:pPr>
          </w:p>
          <w:p w14:paraId="38FCF640">
            <w:pPr>
              <w:spacing w:line="247" w:lineRule="auto"/>
              <w:rPr>
                <w:rFonts w:ascii="Arial"/>
                <w:sz w:val="21"/>
              </w:rPr>
            </w:pPr>
          </w:p>
          <w:p w14:paraId="27415374">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28CD8A5">
            <w:pPr>
              <w:spacing w:line="247" w:lineRule="auto"/>
              <w:rPr>
                <w:rFonts w:ascii="Arial"/>
                <w:sz w:val="21"/>
              </w:rPr>
            </w:pPr>
          </w:p>
          <w:p w14:paraId="2FEFC295">
            <w:pPr>
              <w:spacing w:line="247" w:lineRule="auto"/>
              <w:rPr>
                <w:rFonts w:ascii="Arial"/>
                <w:sz w:val="21"/>
              </w:rPr>
            </w:pPr>
          </w:p>
          <w:p w14:paraId="592DA8E5">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31DC694B">
            <w:pPr>
              <w:spacing w:line="247" w:lineRule="auto"/>
              <w:rPr>
                <w:rFonts w:ascii="Arial"/>
                <w:sz w:val="21"/>
              </w:rPr>
            </w:pPr>
          </w:p>
          <w:p w14:paraId="699CC9E2">
            <w:pPr>
              <w:spacing w:line="247" w:lineRule="auto"/>
              <w:rPr>
                <w:rFonts w:ascii="Arial"/>
                <w:sz w:val="21"/>
              </w:rPr>
            </w:pPr>
          </w:p>
          <w:p w14:paraId="7717F5C5">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C1FA00E">
            <w:pPr>
              <w:spacing w:line="247" w:lineRule="auto"/>
              <w:rPr>
                <w:rFonts w:ascii="Arial"/>
                <w:sz w:val="21"/>
              </w:rPr>
            </w:pPr>
          </w:p>
          <w:p w14:paraId="71561B2B">
            <w:pPr>
              <w:spacing w:line="247" w:lineRule="auto"/>
              <w:rPr>
                <w:rFonts w:ascii="Arial"/>
                <w:sz w:val="21"/>
              </w:rPr>
            </w:pPr>
          </w:p>
          <w:p w14:paraId="05B209A2">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B8B8180">
            <w:pPr>
              <w:spacing w:line="300" w:lineRule="auto"/>
              <w:rPr>
                <w:rFonts w:ascii="Arial"/>
                <w:sz w:val="21"/>
              </w:rPr>
            </w:pPr>
          </w:p>
          <w:p w14:paraId="44CC5450">
            <w:pPr>
              <w:pStyle w:val="6"/>
              <w:spacing w:before="65" w:line="289" w:lineRule="auto"/>
              <w:ind w:left="643" w:right="139" w:hanging="491"/>
            </w:pPr>
            <w:r>
              <w:rPr>
                <w:spacing w:val="5"/>
              </w:rPr>
              <w:t>№4</w:t>
            </w:r>
            <w:r>
              <w:rPr>
                <w:spacing w:val="-34"/>
              </w:rPr>
              <w:t xml:space="preserve"> </w:t>
            </w:r>
            <w:r>
              <w:rPr>
                <w:spacing w:val="5"/>
              </w:rPr>
              <w:t>往返胶带输</w:t>
            </w:r>
            <w:r>
              <w:t xml:space="preserve"> </w:t>
            </w:r>
            <w:r>
              <w:rPr>
                <w:spacing w:val="5"/>
              </w:rPr>
              <w:t>送机</w:t>
            </w:r>
          </w:p>
        </w:tc>
        <w:tc>
          <w:tcPr>
            <w:tcW w:w="1558" w:type="dxa"/>
            <w:vAlign w:val="top"/>
          </w:tcPr>
          <w:p w14:paraId="3A995ACC">
            <w:pPr>
              <w:pStyle w:val="6"/>
              <w:spacing w:before="54" w:line="269" w:lineRule="exact"/>
              <w:ind w:left="580"/>
            </w:pPr>
            <w:r>
              <w:rPr>
                <w:spacing w:val="2"/>
                <w:position w:val="1"/>
              </w:rPr>
              <w:t>5050</w:t>
            </w:r>
          </w:p>
          <w:p w14:paraId="4DCE7B2A">
            <w:pPr>
              <w:pStyle w:val="6"/>
              <w:spacing w:before="43" w:line="288" w:lineRule="auto"/>
              <w:ind w:left="256" w:right="301" w:firstLine="104"/>
            </w:pPr>
            <w:r>
              <w:rPr>
                <w:spacing w:val="-6"/>
              </w:rPr>
              <w:t>α=8.53</w:t>
            </w:r>
            <w:r>
              <w:rPr>
                <w:spacing w:val="-71"/>
              </w:rPr>
              <w:t xml:space="preserve"> </w:t>
            </w:r>
            <w:r>
              <w:rPr>
                <w:spacing w:val="-6"/>
              </w:rPr>
              <w:t>°</w:t>
            </w:r>
            <w:r>
              <w:t xml:space="preserve"> </w:t>
            </w:r>
            <w:r>
              <w:rPr>
                <w:spacing w:val="-1"/>
              </w:rPr>
              <w:t>V=1.6m/s，</w:t>
            </w:r>
          </w:p>
          <w:p w14:paraId="426A29CF">
            <w:pPr>
              <w:pStyle w:val="6"/>
              <w:spacing w:line="231" w:lineRule="auto"/>
              <w:ind w:left="363"/>
            </w:pPr>
            <w:r>
              <w:t>Lh</w:t>
            </w:r>
            <w:r>
              <w:rPr>
                <w:spacing w:val="5"/>
              </w:rPr>
              <w:t>=43.7m</w:t>
            </w:r>
          </w:p>
        </w:tc>
        <w:tc>
          <w:tcPr>
            <w:tcW w:w="709" w:type="dxa"/>
            <w:vAlign w:val="top"/>
          </w:tcPr>
          <w:p w14:paraId="36F70CC4">
            <w:pPr>
              <w:spacing w:line="454" w:lineRule="auto"/>
              <w:rPr>
                <w:rFonts w:ascii="Arial"/>
                <w:sz w:val="21"/>
              </w:rPr>
            </w:pPr>
          </w:p>
          <w:p w14:paraId="6CFCF7D3">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26849FDA">
            <w:pPr>
              <w:spacing w:line="455" w:lineRule="auto"/>
              <w:rPr>
                <w:rFonts w:ascii="Arial"/>
                <w:sz w:val="21"/>
              </w:rPr>
            </w:pPr>
          </w:p>
          <w:p w14:paraId="5734F3AC">
            <w:pPr>
              <w:pStyle w:val="6"/>
              <w:spacing w:before="65" w:line="228" w:lineRule="auto"/>
              <w:ind w:left="243"/>
            </w:pPr>
            <w:r>
              <w:rPr>
                <w:spacing w:val="2"/>
              </w:rPr>
              <w:t>原有</w:t>
            </w:r>
          </w:p>
        </w:tc>
      </w:tr>
      <w:tr w14:paraId="6D438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33" w:type="dxa"/>
            <w:vAlign w:val="top"/>
          </w:tcPr>
          <w:p w14:paraId="313A8385">
            <w:pPr>
              <w:spacing w:line="249" w:lineRule="auto"/>
              <w:rPr>
                <w:rFonts w:ascii="Arial"/>
                <w:sz w:val="21"/>
              </w:rPr>
            </w:pPr>
          </w:p>
          <w:p w14:paraId="23CF35F6">
            <w:pPr>
              <w:spacing w:line="249" w:lineRule="auto"/>
              <w:rPr>
                <w:rFonts w:ascii="Arial"/>
                <w:sz w:val="21"/>
              </w:rPr>
            </w:pPr>
          </w:p>
          <w:p w14:paraId="44CD7449">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6" w:type="dxa"/>
            <w:vAlign w:val="top"/>
          </w:tcPr>
          <w:p w14:paraId="65EA25FF">
            <w:pPr>
              <w:spacing w:line="300" w:lineRule="auto"/>
              <w:rPr>
                <w:rFonts w:ascii="Arial"/>
                <w:sz w:val="21"/>
              </w:rPr>
            </w:pPr>
          </w:p>
          <w:p w14:paraId="56E8078A">
            <w:pPr>
              <w:pStyle w:val="6"/>
              <w:spacing w:before="65" w:line="228" w:lineRule="auto"/>
              <w:ind w:left="208"/>
            </w:pPr>
            <w:r>
              <w:rPr>
                <w:spacing w:val="4"/>
              </w:rPr>
              <w:t>№5</w:t>
            </w:r>
            <w:r>
              <w:rPr>
                <w:spacing w:val="-37"/>
              </w:rPr>
              <w:t xml:space="preserve"> </w:t>
            </w:r>
            <w:r>
              <w:rPr>
                <w:spacing w:val="4"/>
              </w:rPr>
              <w:t>胶带输送</w:t>
            </w:r>
          </w:p>
          <w:p w14:paraId="42BEA969">
            <w:pPr>
              <w:pStyle w:val="6"/>
              <w:spacing w:before="65" w:line="227" w:lineRule="auto"/>
              <w:ind w:left="698"/>
            </w:pPr>
            <w:r>
              <w:rPr>
                <w:spacing w:val="1"/>
              </w:rPr>
              <w:t>机</w:t>
            </w:r>
          </w:p>
        </w:tc>
        <w:tc>
          <w:tcPr>
            <w:tcW w:w="1275" w:type="dxa"/>
            <w:vAlign w:val="top"/>
          </w:tcPr>
          <w:p w14:paraId="7C68F529">
            <w:pPr>
              <w:pStyle w:val="6"/>
              <w:spacing w:before="55" w:line="268" w:lineRule="exact"/>
              <w:ind w:left="434"/>
            </w:pPr>
            <w:r>
              <w:rPr>
                <w:spacing w:val="2"/>
                <w:position w:val="1"/>
              </w:rPr>
              <w:t>5050</w:t>
            </w:r>
          </w:p>
          <w:p w14:paraId="7D00B5F5">
            <w:pPr>
              <w:pStyle w:val="6"/>
              <w:spacing w:before="43" w:line="268" w:lineRule="exact"/>
              <w:ind w:left="162"/>
            </w:pPr>
            <w:r>
              <w:rPr>
                <w:spacing w:val="-2"/>
                <w:position w:val="1"/>
              </w:rPr>
              <w:t>α=10.66</w:t>
            </w:r>
            <w:r>
              <w:rPr>
                <w:spacing w:val="-73"/>
                <w:position w:val="1"/>
              </w:rPr>
              <w:t xml:space="preserve"> </w:t>
            </w:r>
            <w:r>
              <w:rPr>
                <w:spacing w:val="-2"/>
                <w:position w:val="1"/>
              </w:rPr>
              <w:t>°</w:t>
            </w:r>
          </w:p>
          <w:p w14:paraId="1DC18724">
            <w:pPr>
              <w:pStyle w:val="6"/>
              <w:spacing w:before="43" w:line="233" w:lineRule="auto"/>
              <w:ind w:left="216"/>
            </w:pPr>
            <w:r>
              <w:rPr>
                <w:spacing w:val="4"/>
              </w:rPr>
              <w:t>V=1.6m/s</w:t>
            </w:r>
          </w:p>
          <w:p w14:paraId="2AF7426F">
            <w:pPr>
              <w:pStyle w:val="6"/>
              <w:spacing w:before="60" w:line="231" w:lineRule="auto"/>
              <w:ind w:left="323"/>
            </w:pPr>
            <w:r>
              <w:t>Lh</w:t>
            </w:r>
            <w:r>
              <w:rPr>
                <w:spacing w:val="5"/>
              </w:rPr>
              <w:t>=17m</w:t>
            </w:r>
          </w:p>
        </w:tc>
        <w:tc>
          <w:tcPr>
            <w:tcW w:w="709" w:type="dxa"/>
            <w:vAlign w:val="top"/>
          </w:tcPr>
          <w:p w14:paraId="0D8B757B">
            <w:pPr>
              <w:spacing w:line="455" w:lineRule="auto"/>
              <w:rPr>
                <w:rFonts w:ascii="Arial"/>
                <w:sz w:val="21"/>
              </w:rPr>
            </w:pPr>
          </w:p>
          <w:p w14:paraId="5E5CA9B6">
            <w:pPr>
              <w:pStyle w:val="6"/>
              <w:spacing w:before="65" w:line="230"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672" w:type="dxa"/>
            <w:vAlign w:val="top"/>
          </w:tcPr>
          <w:p w14:paraId="3CEFB34D">
            <w:pPr>
              <w:spacing w:line="456" w:lineRule="auto"/>
              <w:rPr>
                <w:rFonts w:ascii="Arial"/>
                <w:sz w:val="21"/>
              </w:rPr>
            </w:pPr>
          </w:p>
          <w:p w14:paraId="42BAC802">
            <w:pPr>
              <w:pStyle w:val="6"/>
              <w:spacing w:before="65" w:line="228" w:lineRule="auto"/>
              <w:ind w:left="129"/>
            </w:pPr>
            <w:r>
              <w:rPr>
                <w:spacing w:val="4"/>
              </w:rPr>
              <w:t>保留</w:t>
            </w:r>
          </w:p>
        </w:tc>
        <w:tc>
          <w:tcPr>
            <w:tcW w:w="1531" w:type="dxa"/>
            <w:vAlign w:val="top"/>
          </w:tcPr>
          <w:p w14:paraId="3D69879F">
            <w:pPr>
              <w:spacing w:line="247" w:lineRule="auto"/>
              <w:rPr>
                <w:rFonts w:ascii="Arial"/>
                <w:sz w:val="21"/>
              </w:rPr>
            </w:pPr>
          </w:p>
          <w:p w14:paraId="5BF58343">
            <w:pPr>
              <w:spacing w:line="248" w:lineRule="auto"/>
              <w:rPr>
                <w:rFonts w:ascii="Arial"/>
                <w:sz w:val="21"/>
              </w:rPr>
            </w:pPr>
          </w:p>
          <w:p w14:paraId="5F692A25">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F6F099F">
            <w:pPr>
              <w:spacing w:line="247" w:lineRule="auto"/>
              <w:rPr>
                <w:rFonts w:ascii="Arial"/>
                <w:sz w:val="21"/>
              </w:rPr>
            </w:pPr>
          </w:p>
          <w:p w14:paraId="68058499">
            <w:pPr>
              <w:spacing w:line="248" w:lineRule="auto"/>
              <w:rPr>
                <w:rFonts w:ascii="Arial"/>
                <w:sz w:val="21"/>
              </w:rPr>
            </w:pPr>
          </w:p>
          <w:p w14:paraId="375F50DD">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49BFA77F">
            <w:pPr>
              <w:spacing w:line="247" w:lineRule="auto"/>
              <w:rPr>
                <w:rFonts w:ascii="Arial"/>
                <w:sz w:val="21"/>
              </w:rPr>
            </w:pPr>
          </w:p>
          <w:p w14:paraId="7ED46C69">
            <w:pPr>
              <w:spacing w:line="248" w:lineRule="auto"/>
              <w:rPr>
                <w:rFonts w:ascii="Arial"/>
                <w:sz w:val="21"/>
              </w:rPr>
            </w:pPr>
          </w:p>
          <w:p w14:paraId="220184E8">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7B119349">
            <w:pPr>
              <w:spacing w:line="247" w:lineRule="auto"/>
              <w:rPr>
                <w:rFonts w:ascii="Arial"/>
                <w:sz w:val="21"/>
              </w:rPr>
            </w:pPr>
          </w:p>
          <w:p w14:paraId="4FE4947A">
            <w:pPr>
              <w:spacing w:line="248" w:lineRule="auto"/>
              <w:rPr>
                <w:rFonts w:ascii="Arial"/>
                <w:sz w:val="21"/>
              </w:rPr>
            </w:pPr>
          </w:p>
          <w:p w14:paraId="48C24A28">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11B069A">
            <w:pPr>
              <w:spacing w:line="455" w:lineRule="auto"/>
              <w:rPr>
                <w:rFonts w:ascii="Arial"/>
                <w:sz w:val="21"/>
              </w:rPr>
            </w:pPr>
          </w:p>
          <w:p w14:paraId="77EC1263">
            <w:pPr>
              <w:pStyle w:val="6"/>
              <w:spacing w:before="65" w:line="227" w:lineRule="auto"/>
              <w:ind w:left="152"/>
            </w:pPr>
            <w:r>
              <w:rPr>
                <w:spacing w:val="5"/>
              </w:rPr>
              <w:t>№5</w:t>
            </w:r>
            <w:r>
              <w:rPr>
                <w:spacing w:val="-34"/>
              </w:rPr>
              <w:t xml:space="preserve"> </w:t>
            </w:r>
            <w:r>
              <w:rPr>
                <w:spacing w:val="5"/>
              </w:rPr>
              <w:t>胶带输送机</w:t>
            </w:r>
          </w:p>
        </w:tc>
        <w:tc>
          <w:tcPr>
            <w:tcW w:w="1558" w:type="dxa"/>
            <w:vAlign w:val="top"/>
          </w:tcPr>
          <w:p w14:paraId="54D79109">
            <w:pPr>
              <w:pStyle w:val="6"/>
              <w:spacing w:before="55" w:line="268" w:lineRule="exact"/>
              <w:ind w:left="580"/>
            </w:pPr>
            <w:r>
              <w:rPr>
                <w:spacing w:val="2"/>
                <w:position w:val="1"/>
              </w:rPr>
              <w:t>5050</w:t>
            </w:r>
          </w:p>
          <w:p w14:paraId="5607B9E5">
            <w:pPr>
              <w:pStyle w:val="6"/>
              <w:spacing w:before="43" w:line="268" w:lineRule="exact"/>
              <w:ind w:left="308"/>
            </w:pPr>
            <w:r>
              <w:rPr>
                <w:spacing w:val="-2"/>
                <w:position w:val="1"/>
              </w:rPr>
              <w:t>α=10.66</w:t>
            </w:r>
            <w:r>
              <w:rPr>
                <w:spacing w:val="-72"/>
                <w:position w:val="1"/>
              </w:rPr>
              <w:t xml:space="preserve"> </w:t>
            </w:r>
            <w:r>
              <w:rPr>
                <w:spacing w:val="-2"/>
                <w:position w:val="1"/>
              </w:rPr>
              <w:t>°</w:t>
            </w:r>
          </w:p>
          <w:p w14:paraId="63A1E0F1">
            <w:pPr>
              <w:pStyle w:val="6"/>
              <w:spacing w:before="43" w:line="233" w:lineRule="auto"/>
              <w:ind w:left="359"/>
            </w:pPr>
            <w:r>
              <w:rPr>
                <w:spacing w:val="4"/>
              </w:rPr>
              <w:t>V=1.6m/s</w:t>
            </w:r>
          </w:p>
          <w:p w14:paraId="2D26098A">
            <w:pPr>
              <w:pStyle w:val="6"/>
              <w:spacing w:before="60" w:line="231" w:lineRule="auto"/>
              <w:ind w:left="468"/>
            </w:pPr>
            <w:r>
              <w:t>Lh</w:t>
            </w:r>
            <w:r>
              <w:rPr>
                <w:spacing w:val="5"/>
              </w:rPr>
              <w:t>=17m</w:t>
            </w:r>
          </w:p>
        </w:tc>
        <w:tc>
          <w:tcPr>
            <w:tcW w:w="709" w:type="dxa"/>
            <w:vAlign w:val="top"/>
          </w:tcPr>
          <w:p w14:paraId="4370AA72">
            <w:pPr>
              <w:spacing w:line="455" w:lineRule="auto"/>
              <w:rPr>
                <w:rFonts w:ascii="Arial"/>
                <w:sz w:val="21"/>
              </w:rPr>
            </w:pPr>
          </w:p>
          <w:p w14:paraId="32764799">
            <w:pPr>
              <w:pStyle w:val="6"/>
              <w:spacing w:before="65"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6A45BB25">
            <w:pPr>
              <w:spacing w:line="456" w:lineRule="auto"/>
              <w:rPr>
                <w:rFonts w:ascii="Arial"/>
                <w:sz w:val="21"/>
              </w:rPr>
            </w:pPr>
          </w:p>
          <w:p w14:paraId="133379C3">
            <w:pPr>
              <w:pStyle w:val="6"/>
              <w:spacing w:before="65" w:line="228" w:lineRule="auto"/>
              <w:ind w:left="243"/>
            </w:pPr>
            <w:r>
              <w:rPr>
                <w:spacing w:val="2"/>
              </w:rPr>
              <w:t>原有</w:t>
            </w:r>
          </w:p>
        </w:tc>
      </w:tr>
      <w:tr w14:paraId="27FEB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33" w:type="dxa"/>
            <w:vAlign w:val="top"/>
          </w:tcPr>
          <w:p w14:paraId="69286A5F">
            <w:pPr>
              <w:spacing w:before="24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06" w:type="dxa"/>
            <w:vAlign w:val="top"/>
          </w:tcPr>
          <w:p w14:paraId="48DFD074">
            <w:pPr>
              <w:pStyle w:val="6"/>
              <w:spacing w:before="55" w:line="261" w:lineRule="auto"/>
              <w:ind w:left="111" w:right="107" w:firstLine="99"/>
            </w:pPr>
            <w:r>
              <w:rPr>
                <w:spacing w:val="2"/>
              </w:rPr>
              <w:t xml:space="preserve">自冷电磁除铁 </w:t>
            </w:r>
            <w:r>
              <w:rPr>
                <w:spacing w:val="-3"/>
              </w:rPr>
              <w:t>器（配电动行走</w:t>
            </w:r>
          </w:p>
        </w:tc>
        <w:tc>
          <w:tcPr>
            <w:tcW w:w="1275" w:type="dxa"/>
            <w:vAlign w:val="top"/>
          </w:tcPr>
          <w:p w14:paraId="296D90D5">
            <w:pPr>
              <w:pStyle w:val="6"/>
              <w:spacing w:before="212" w:line="268" w:lineRule="exact"/>
              <w:ind w:left="272"/>
            </w:pPr>
            <w:r>
              <w:rPr>
                <w:position w:val="1"/>
              </w:rPr>
              <w:t>RCDD</w:t>
            </w:r>
            <w:r>
              <w:rPr>
                <w:spacing w:val="8"/>
                <w:position w:val="1"/>
              </w:rPr>
              <w:t>-14</w:t>
            </w:r>
          </w:p>
        </w:tc>
        <w:tc>
          <w:tcPr>
            <w:tcW w:w="709" w:type="dxa"/>
            <w:vAlign w:val="top"/>
          </w:tcPr>
          <w:p w14:paraId="0202773B">
            <w:pPr>
              <w:pStyle w:val="6"/>
              <w:spacing w:before="211" w:line="230" w:lineRule="auto"/>
              <w:ind w:left="188"/>
            </w:pPr>
            <w:r>
              <w:rPr>
                <w:spacing w:val="-10"/>
              </w:rPr>
              <w:t>1</w:t>
            </w:r>
            <w:r>
              <w:rPr>
                <w:spacing w:val="-22"/>
              </w:rPr>
              <w:t xml:space="preserve"> </w:t>
            </w:r>
            <w:r>
              <w:rPr>
                <w:spacing w:val="-10"/>
              </w:rPr>
              <w:t>台</w:t>
            </w:r>
          </w:p>
        </w:tc>
        <w:tc>
          <w:tcPr>
            <w:tcW w:w="672" w:type="dxa"/>
            <w:vAlign w:val="top"/>
          </w:tcPr>
          <w:p w14:paraId="2374CD55">
            <w:pPr>
              <w:pStyle w:val="6"/>
              <w:spacing w:before="212" w:line="228" w:lineRule="auto"/>
              <w:ind w:left="129"/>
            </w:pPr>
            <w:r>
              <w:rPr>
                <w:spacing w:val="4"/>
              </w:rPr>
              <w:t>保留</w:t>
            </w:r>
          </w:p>
        </w:tc>
        <w:tc>
          <w:tcPr>
            <w:tcW w:w="1531" w:type="dxa"/>
            <w:vAlign w:val="top"/>
          </w:tcPr>
          <w:p w14:paraId="32549D50">
            <w:pPr>
              <w:spacing w:before="244"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E9F252C">
            <w:pPr>
              <w:spacing w:before="24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374B03FC">
            <w:pPr>
              <w:spacing w:before="24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78654DE">
            <w:pPr>
              <w:spacing w:before="24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0644952">
            <w:pPr>
              <w:pStyle w:val="6"/>
              <w:spacing w:before="55" w:line="261" w:lineRule="auto"/>
              <w:ind w:left="130" w:right="113" w:firstLine="24"/>
            </w:pPr>
            <w:r>
              <w:rPr>
                <w:spacing w:val="3"/>
              </w:rPr>
              <w:t>自冷电磁除铁器</w:t>
            </w:r>
            <w:r>
              <w:rPr>
                <w:spacing w:val="4"/>
              </w:rPr>
              <w:t xml:space="preserve"> </w:t>
            </w:r>
            <w:r>
              <w:rPr>
                <w:spacing w:val="7"/>
              </w:rPr>
              <w:t>（配电动行走装</w:t>
            </w:r>
          </w:p>
        </w:tc>
        <w:tc>
          <w:tcPr>
            <w:tcW w:w="1558" w:type="dxa"/>
            <w:vAlign w:val="top"/>
          </w:tcPr>
          <w:p w14:paraId="14DFCE76">
            <w:pPr>
              <w:pStyle w:val="6"/>
              <w:spacing w:before="212" w:line="268" w:lineRule="exact"/>
              <w:ind w:left="418"/>
            </w:pPr>
            <w:r>
              <w:rPr>
                <w:position w:val="1"/>
              </w:rPr>
              <w:t>RCDD</w:t>
            </w:r>
            <w:r>
              <w:rPr>
                <w:spacing w:val="8"/>
                <w:position w:val="1"/>
              </w:rPr>
              <w:t>-14</w:t>
            </w:r>
          </w:p>
        </w:tc>
        <w:tc>
          <w:tcPr>
            <w:tcW w:w="709" w:type="dxa"/>
            <w:vAlign w:val="top"/>
          </w:tcPr>
          <w:p w14:paraId="0DDB7853">
            <w:pPr>
              <w:pStyle w:val="6"/>
              <w:spacing w:before="211" w:line="230" w:lineRule="auto"/>
              <w:ind w:left="192"/>
            </w:pPr>
            <w:r>
              <w:rPr>
                <w:spacing w:val="-10"/>
              </w:rPr>
              <w:t>1</w:t>
            </w:r>
            <w:r>
              <w:rPr>
                <w:spacing w:val="-22"/>
              </w:rPr>
              <w:t xml:space="preserve"> </w:t>
            </w:r>
            <w:r>
              <w:rPr>
                <w:spacing w:val="-10"/>
              </w:rPr>
              <w:t>台</w:t>
            </w:r>
          </w:p>
        </w:tc>
        <w:tc>
          <w:tcPr>
            <w:tcW w:w="887" w:type="dxa"/>
            <w:vAlign w:val="top"/>
          </w:tcPr>
          <w:p w14:paraId="53C19119">
            <w:pPr>
              <w:pStyle w:val="6"/>
              <w:spacing w:before="212" w:line="228" w:lineRule="auto"/>
              <w:ind w:left="243"/>
            </w:pPr>
            <w:r>
              <w:rPr>
                <w:spacing w:val="2"/>
              </w:rPr>
              <w:t>原有</w:t>
            </w:r>
          </w:p>
        </w:tc>
      </w:tr>
    </w:tbl>
    <w:p w14:paraId="528A49C4">
      <w:pPr>
        <w:pStyle w:val="2"/>
      </w:pPr>
    </w:p>
    <w:p w14:paraId="4E9FFD80">
      <w:pPr>
        <w:sectPr>
          <w:footerReference r:id="rId104" w:type="default"/>
          <w:pgSz w:w="16839" w:h="11906"/>
          <w:pgMar w:top="1208" w:right="1327" w:bottom="1358" w:left="1327" w:header="825" w:footer="1195" w:gutter="0"/>
          <w:cols w:space="720" w:num="1"/>
        </w:sectPr>
      </w:pPr>
    </w:p>
    <w:p w14:paraId="13D9A9C6">
      <w:pPr>
        <w:spacing w:before="53"/>
      </w:pPr>
    </w:p>
    <w:p w14:paraId="5FB57690">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04543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7C7A193B">
            <w:pPr>
              <w:pStyle w:val="6"/>
              <w:spacing w:before="210" w:line="218" w:lineRule="auto"/>
              <w:ind w:left="203"/>
            </w:pPr>
            <w:r>
              <w:rPr>
                <w:spacing w:val="6"/>
              </w:rPr>
              <w:t>序 号</w:t>
            </w:r>
          </w:p>
        </w:tc>
        <w:tc>
          <w:tcPr>
            <w:tcW w:w="4262" w:type="dxa"/>
            <w:gridSpan w:val="4"/>
            <w:vAlign w:val="top"/>
          </w:tcPr>
          <w:p w14:paraId="226E481A">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18C6D891">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3943F138">
            <w:pPr>
              <w:pStyle w:val="6"/>
              <w:spacing w:before="198" w:line="228" w:lineRule="auto"/>
              <w:ind w:left="1278"/>
            </w:pPr>
            <w:r>
              <w:rPr>
                <w:spacing w:val="9"/>
              </w:rPr>
              <w:t>技改工程完成后最终设备</w:t>
            </w:r>
          </w:p>
        </w:tc>
      </w:tr>
      <w:tr w14:paraId="559AC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50F617D7">
            <w:pPr>
              <w:rPr>
                <w:rFonts w:ascii="Arial"/>
                <w:sz w:val="21"/>
              </w:rPr>
            </w:pPr>
          </w:p>
        </w:tc>
        <w:tc>
          <w:tcPr>
            <w:tcW w:w="1606" w:type="dxa"/>
            <w:vAlign w:val="top"/>
          </w:tcPr>
          <w:p w14:paraId="2176FFF7">
            <w:pPr>
              <w:pStyle w:val="6"/>
              <w:spacing w:before="53" w:line="230" w:lineRule="auto"/>
              <w:ind w:left="599"/>
            </w:pPr>
            <w:r>
              <w:rPr>
                <w:spacing w:val="3"/>
              </w:rPr>
              <w:t>名称</w:t>
            </w:r>
          </w:p>
        </w:tc>
        <w:tc>
          <w:tcPr>
            <w:tcW w:w="1275" w:type="dxa"/>
            <w:vAlign w:val="top"/>
          </w:tcPr>
          <w:p w14:paraId="26AE4023">
            <w:pPr>
              <w:pStyle w:val="6"/>
              <w:spacing w:before="52" w:line="228" w:lineRule="auto"/>
              <w:ind w:left="116"/>
            </w:pPr>
            <w:r>
              <w:rPr>
                <w:spacing w:val="7"/>
              </w:rPr>
              <w:t>规格及型号</w:t>
            </w:r>
          </w:p>
        </w:tc>
        <w:tc>
          <w:tcPr>
            <w:tcW w:w="709" w:type="dxa"/>
            <w:vAlign w:val="top"/>
          </w:tcPr>
          <w:p w14:paraId="550D49EF">
            <w:pPr>
              <w:pStyle w:val="6"/>
              <w:spacing w:before="52" w:line="228" w:lineRule="auto"/>
              <w:ind w:left="148"/>
            </w:pPr>
            <w:r>
              <w:rPr>
                <w:spacing w:val="3"/>
              </w:rPr>
              <w:t>数量</w:t>
            </w:r>
          </w:p>
        </w:tc>
        <w:tc>
          <w:tcPr>
            <w:tcW w:w="672" w:type="dxa"/>
            <w:vAlign w:val="top"/>
          </w:tcPr>
          <w:p w14:paraId="3D4DB9C2">
            <w:pPr>
              <w:pStyle w:val="6"/>
              <w:spacing w:before="53" w:line="229" w:lineRule="auto"/>
              <w:ind w:left="131"/>
            </w:pPr>
            <w:r>
              <w:rPr>
                <w:spacing w:val="3"/>
              </w:rPr>
              <w:t>备注</w:t>
            </w:r>
          </w:p>
        </w:tc>
        <w:tc>
          <w:tcPr>
            <w:tcW w:w="1531" w:type="dxa"/>
            <w:vAlign w:val="top"/>
          </w:tcPr>
          <w:p w14:paraId="3B1A97F8">
            <w:pPr>
              <w:pStyle w:val="6"/>
              <w:spacing w:before="53" w:line="230" w:lineRule="auto"/>
              <w:ind w:left="563"/>
            </w:pPr>
            <w:r>
              <w:rPr>
                <w:spacing w:val="3"/>
              </w:rPr>
              <w:t>名称</w:t>
            </w:r>
          </w:p>
        </w:tc>
        <w:tc>
          <w:tcPr>
            <w:tcW w:w="1481" w:type="dxa"/>
            <w:vAlign w:val="top"/>
          </w:tcPr>
          <w:p w14:paraId="3D691615">
            <w:pPr>
              <w:pStyle w:val="6"/>
              <w:spacing w:before="52" w:line="228" w:lineRule="auto"/>
              <w:ind w:left="535"/>
            </w:pPr>
            <w:r>
              <w:rPr>
                <w:spacing w:val="4"/>
              </w:rPr>
              <w:t>规格</w:t>
            </w:r>
          </w:p>
        </w:tc>
        <w:tc>
          <w:tcPr>
            <w:tcW w:w="708" w:type="dxa"/>
            <w:vAlign w:val="top"/>
          </w:tcPr>
          <w:p w14:paraId="28767934">
            <w:pPr>
              <w:pStyle w:val="6"/>
              <w:spacing w:before="52" w:line="228" w:lineRule="auto"/>
              <w:ind w:left="152"/>
            </w:pPr>
            <w:r>
              <w:rPr>
                <w:spacing w:val="3"/>
              </w:rPr>
              <w:t>数量</w:t>
            </w:r>
          </w:p>
        </w:tc>
        <w:tc>
          <w:tcPr>
            <w:tcW w:w="709" w:type="dxa"/>
            <w:vAlign w:val="top"/>
          </w:tcPr>
          <w:p w14:paraId="0670C116">
            <w:pPr>
              <w:pStyle w:val="6"/>
              <w:spacing w:before="53" w:line="229" w:lineRule="auto"/>
              <w:ind w:left="153"/>
            </w:pPr>
            <w:r>
              <w:rPr>
                <w:spacing w:val="3"/>
              </w:rPr>
              <w:t>备注</w:t>
            </w:r>
          </w:p>
        </w:tc>
        <w:tc>
          <w:tcPr>
            <w:tcW w:w="1700" w:type="dxa"/>
            <w:vAlign w:val="top"/>
          </w:tcPr>
          <w:p w14:paraId="32BF5B4A">
            <w:pPr>
              <w:pStyle w:val="6"/>
              <w:spacing w:before="53" w:line="230" w:lineRule="auto"/>
              <w:ind w:left="648"/>
            </w:pPr>
            <w:r>
              <w:rPr>
                <w:spacing w:val="3"/>
              </w:rPr>
              <w:t>名称</w:t>
            </w:r>
          </w:p>
        </w:tc>
        <w:tc>
          <w:tcPr>
            <w:tcW w:w="1558" w:type="dxa"/>
            <w:vAlign w:val="top"/>
          </w:tcPr>
          <w:p w14:paraId="14D5DDBE">
            <w:pPr>
              <w:pStyle w:val="6"/>
              <w:spacing w:before="52" w:line="228" w:lineRule="auto"/>
              <w:ind w:left="576"/>
            </w:pPr>
            <w:r>
              <w:rPr>
                <w:spacing w:val="4"/>
              </w:rPr>
              <w:t>规格</w:t>
            </w:r>
          </w:p>
        </w:tc>
        <w:tc>
          <w:tcPr>
            <w:tcW w:w="709" w:type="dxa"/>
            <w:vAlign w:val="top"/>
          </w:tcPr>
          <w:p w14:paraId="4546C217">
            <w:pPr>
              <w:pStyle w:val="6"/>
              <w:spacing w:before="52" w:line="228" w:lineRule="auto"/>
              <w:ind w:left="152"/>
            </w:pPr>
            <w:r>
              <w:rPr>
                <w:spacing w:val="3"/>
              </w:rPr>
              <w:t>数量</w:t>
            </w:r>
          </w:p>
        </w:tc>
        <w:tc>
          <w:tcPr>
            <w:tcW w:w="887" w:type="dxa"/>
            <w:vAlign w:val="top"/>
          </w:tcPr>
          <w:p w14:paraId="11411DA0">
            <w:pPr>
              <w:pStyle w:val="6"/>
              <w:spacing w:before="53" w:line="229" w:lineRule="auto"/>
              <w:ind w:left="241"/>
            </w:pPr>
            <w:r>
              <w:rPr>
                <w:spacing w:val="3"/>
              </w:rPr>
              <w:t>备注</w:t>
            </w:r>
          </w:p>
        </w:tc>
      </w:tr>
      <w:tr w14:paraId="3B39E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6EB3E2DA">
            <w:pPr>
              <w:rPr>
                <w:rFonts w:ascii="Arial"/>
                <w:sz w:val="21"/>
              </w:rPr>
            </w:pPr>
          </w:p>
        </w:tc>
        <w:tc>
          <w:tcPr>
            <w:tcW w:w="1606" w:type="dxa"/>
            <w:vAlign w:val="top"/>
          </w:tcPr>
          <w:p w14:paraId="176C8AEF">
            <w:pPr>
              <w:pStyle w:val="6"/>
              <w:spacing w:before="53" w:line="228" w:lineRule="auto"/>
              <w:ind w:left="490"/>
            </w:pPr>
            <w:r>
              <w:rPr>
                <w:spacing w:val="3"/>
              </w:rPr>
              <w:t>装置）</w:t>
            </w:r>
          </w:p>
        </w:tc>
        <w:tc>
          <w:tcPr>
            <w:tcW w:w="1275" w:type="dxa"/>
            <w:vAlign w:val="top"/>
          </w:tcPr>
          <w:p w14:paraId="365C195C">
            <w:pPr>
              <w:rPr>
                <w:rFonts w:ascii="Arial"/>
                <w:sz w:val="21"/>
              </w:rPr>
            </w:pPr>
          </w:p>
        </w:tc>
        <w:tc>
          <w:tcPr>
            <w:tcW w:w="709" w:type="dxa"/>
            <w:vAlign w:val="top"/>
          </w:tcPr>
          <w:p w14:paraId="50899172">
            <w:pPr>
              <w:rPr>
                <w:rFonts w:ascii="Arial"/>
                <w:sz w:val="21"/>
              </w:rPr>
            </w:pPr>
          </w:p>
        </w:tc>
        <w:tc>
          <w:tcPr>
            <w:tcW w:w="672" w:type="dxa"/>
            <w:vAlign w:val="top"/>
          </w:tcPr>
          <w:p w14:paraId="3C237F2A">
            <w:pPr>
              <w:rPr>
                <w:rFonts w:ascii="Arial"/>
                <w:sz w:val="21"/>
              </w:rPr>
            </w:pPr>
          </w:p>
        </w:tc>
        <w:tc>
          <w:tcPr>
            <w:tcW w:w="1531" w:type="dxa"/>
            <w:vAlign w:val="top"/>
          </w:tcPr>
          <w:p w14:paraId="69638F35">
            <w:pPr>
              <w:rPr>
                <w:rFonts w:ascii="Arial"/>
                <w:sz w:val="21"/>
              </w:rPr>
            </w:pPr>
          </w:p>
        </w:tc>
        <w:tc>
          <w:tcPr>
            <w:tcW w:w="1481" w:type="dxa"/>
            <w:vAlign w:val="top"/>
          </w:tcPr>
          <w:p w14:paraId="1D648C6D">
            <w:pPr>
              <w:rPr>
                <w:rFonts w:ascii="Arial"/>
                <w:sz w:val="21"/>
              </w:rPr>
            </w:pPr>
          </w:p>
        </w:tc>
        <w:tc>
          <w:tcPr>
            <w:tcW w:w="708" w:type="dxa"/>
            <w:vAlign w:val="top"/>
          </w:tcPr>
          <w:p w14:paraId="03EAD742">
            <w:pPr>
              <w:rPr>
                <w:rFonts w:ascii="Arial"/>
                <w:sz w:val="21"/>
              </w:rPr>
            </w:pPr>
          </w:p>
        </w:tc>
        <w:tc>
          <w:tcPr>
            <w:tcW w:w="709" w:type="dxa"/>
            <w:vAlign w:val="top"/>
          </w:tcPr>
          <w:p w14:paraId="2221C5E6">
            <w:pPr>
              <w:rPr>
                <w:rFonts w:ascii="Arial"/>
                <w:sz w:val="21"/>
              </w:rPr>
            </w:pPr>
          </w:p>
        </w:tc>
        <w:tc>
          <w:tcPr>
            <w:tcW w:w="1700" w:type="dxa"/>
            <w:vAlign w:val="top"/>
          </w:tcPr>
          <w:p w14:paraId="5B6F3198">
            <w:pPr>
              <w:pStyle w:val="6"/>
              <w:spacing w:before="53" w:line="233" w:lineRule="auto"/>
              <w:ind w:left="644"/>
            </w:pPr>
            <w:r>
              <w:rPr>
                <w:spacing w:val="1"/>
              </w:rPr>
              <w:t>置）</w:t>
            </w:r>
          </w:p>
        </w:tc>
        <w:tc>
          <w:tcPr>
            <w:tcW w:w="1558" w:type="dxa"/>
            <w:vAlign w:val="top"/>
          </w:tcPr>
          <w:p w14:paraId="5AF39A27">
            <w:pPr>
              <w:rPr>
                <w:rFonts w:ascii="Arial"/>
                <w:sz w:val="21"/>
              </w:rPr>
            </w:pPr>
          </w:p>
        </w:tc>
        <w:tc>
          <w:tcPr>
            <w:tcW w:w="709" w:type="dxa"/>
            <w:vAlign w:val="top"/>
          </w:tcPr>
          <w:p w14:paraId="6E449004">
            <w:pPr>
              <w:rPr>
                <w:rFonts w:ascii="Arial"/>
                <w:sz w:val="21"/>
              </w:rPr>
            </w:pPr>
          </w:p>
        </w:tc>
        <w:tc>
          <w:tcPr>
            <w:tcW w:w="887" w:type="dxa"/>
            <w:vAlign w:val="top"/>
          </w:tcPr>
          <w:p w14:paraId="66B7AE66">
            <w:pPr>
              <w:rPr>
                <w:rFonts w:ascii="Arial"/>
                <w:sz w:val="21"/>
              </w:rPr>
            </w:pPr>
          </w:p>
        </w:tc>
      </w:tr>
      <w:tr w14:paraId="0A531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01A44840">
            <w:pPr>
              <w:spacing w:before="8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06" w:type="dxa"/>
            <w:vAlign w:val="top"/>
          </w:tcPr>
          <w:p w14:paraId="147CD4C8">
            <w:pPr>
              <w:pStyle w:val="6"/>
              <w:spacing w:before="52" w:line="228" w:lineRule="auto"/>
              <w:ind w:left="280"/>
            </w:pPr>
            <w:r>
              <w:rPr>
                <w:spacing w:val="7"/>
              </w:rPr>
              <w:t>提升搅拌槽</w:t>
            </w:r>
          </w:p>
        </w:tc>
        <w:tc>
          <w:tcPr>
            <w:tcW w:w="1275" w:type="dxa"/>
            <w:vAlign w:val="top"/>
          </w:tcPr>
          <w:p w14:paraId="7B8B876A">
            <w:pPr>
              <w:pStyle w:val="6"/>
              <w:spacing w:before="52" w:line="235" w:lineRule="auto"/>
              <w:ind w:left="219"/>
            </w:pPr>
            <w:r>
              <w:t>XBT</w:t>
            </w:r>
            <w:r>
              <w:rPr>
                <w:spacing w:val="6"/>
              </w:rPr>
              <w:t>-3500</w:t>
            </w:r>
          </w:p>
        </w:tc>
        <w:tc>
          <w:tcPr>
            <w:tcW w:w="709" w:type="dxa"/>
            <w:vAlign w:val="top"/>
          </w:tcPr>
          <w:p w14:paraId="02FE3A5A">
            <w:pPr>
              <w:pStyle w:val="6"/>
              <w:spacing w:before="52" w:line="230" w:lineRule="auto"/>
              <w:ind w:left="175"/>
            </w:pPr>
            <w:r>
              <w:rPr>
                <w:spacing w:val="-4"/>
              </w:rPr>
              <w:t>2</w:t>
            </w:r>
            <w:r>
              <w:rPr>
                <w:spacing w:val="-21"/>
              </w:rPr>
              <w:t xml:space="preserve"> </w:t>
            </w:r>
            <w:r>
              <w:rPr>
                <w:spacing w:val="-4"/>
              </w:rPr>
              <w:t>台</w:t>
            </w:r>
          </w:p>
        </w:tc>
        <w:tc>
          <w:tcPr>
            <w:tcW w:w="672" w:type="dxa"/>
            <w:vAlign w:val="top"/>
          </w:tcPr>
          <w:p w14:paraId="58B9B6E9">
            <w:pPr>
              <w:pStyle w:val="6"/>
              <w:spacing w:before="52" w:line="228" w:lineRule="auto"/>
              <w:ind w:left="129"/>
            </w:pPr>
            <w:r>
              <w:rPr>
                <w:spacing w:val="4"/>
              </w:rPr>
              <w:t>保留</w:t>
            </w:r>
          </w:p>
        </w:tc>
        <w:tc>
          <w:tcPr>
            <w:tcW w:w="1531" w:type="dxa"/>
            <w:vAlign w:val="top"/>
          </w:tcPr>
          <w:p w14:paraId="7E495E32">
            <w:pPr>
              <w:spacing w:before="84"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B5685FD">
            <w:pPr>
              <w:spacing w:before="8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76A03D52">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D7B4A0A">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729906B">
            <w:pPr>
              <w:pStyle w:val="6"/>
              <w:spacing w:before="52" w:line="228" w:lineRule="auto"/>
              <w:ind w:left="332"/>
            </w:pPr>
            <w:r>
              <w:rPr>
                <w:spacing w:val="7"/>
              </w:rPr>
              <w:t>提升搅拌槽</w:t>
            </w:r>
          </w:p>
        </w:tc>
        <w:tc>
          <w:tcPr>
            <w:tcW w:w="1558" w:type="dxa"/>
            <w:vAlign w:val="top"/>
          </w:tcPr>
          <w:p w14:paraId="2E5FF927">
            <w:pPr>
              <w:pStyle w:val="6"/>
              <w:spacing w:before="52" w:line="235" w:lineRule="auto"/>
              <w:ind w:left="362"/>
            </w:pPr>
            <w:r>
              <w:t>XBT</w:t>
            </w:r>
            <w:r>
              <w:rPr>
                <w:spacing w:val="7"/>
              </w:rPr>
              <w:t>-3500</w:t>
            </w:r>
          </w:p>
        </w:tc>
        <w:tc>
          <w:tcPr>
            <w:tcW w:w="709" w:type="dxa"/>
            <w:vAlign w:val="top"/>
          </w:tcPr>
          <w:p w14:paraId="33CEB617">
            <w:pPr>
              <w:pStyle w:val="6"/>
              <w:spacing w:before="52" w:line="230" w:lineRule="auto"/>
              <w:ind w:left="179"/>
            </w:pPr>
            <w:r>
              <w:rPr>
                <w:spacing w:val="-4"/>
              </w:rPr>
              <w:t>2</w:t>
            </w:r>
            <w:r>
              <w:rPr>
                <w:spacing w:val="-21"/>
              </w:rPr>
              <w:t xml:space="preserve"> </w:t>
            </w:r>
            <w:r>
              <w:rPr>
                <w:spacing w:val="-4"/>
              </w:rPr>
              <w:t>台</w:t>
            </w:r>
          </w:p>
        </w:tc>
        <w:tc>
          <w:tcPr>
            <w:tcW w:w="887" w:type="dxa"/>
            <w:vAlign w:val="top"/>
          </w:tcPr>
          <w:p w14:paraId="1EBF091E">
            <w:pPr>
              <w:pStyle w:val="6"/>
              <w:spacing w:before="52" w:line="228" w:lineRule="auto"/>
              <w:ind w:left="243"/>
            </w:pPr>
            <w:r>
              <w:rPr>
                <w:spacing w:val="2"/>
              </w:rPr>
              <w:t>原有</w:t>
            </w:r>
          </w:p>
        </w:tc>
      </w:tr>
      <w:tr w14:paraId="2B12B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2535CC59">
            <w:pPr>
              <w:spacing w:before="8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606" w:type="dxa"/>
            <w:vAlign w:val="top"/>
          </w:tcPr>
          <w:p w14:paraId="1DA9B3E9">
            <w:pPr>
              <w:pStyle w:val="6"/>
              <w:spacing w:before="51" w:line="227" w:lineRule="auto"/>
              <w:ind w:left="492"/>
            </w:pPr>
            <w:r>
              <w:rPr>
                <w:spacing w:val="6"/>
              </w:rPr>
              <w:t>浮选机</w:t>
            </w:r>
          </w:p>
        </w:tc>
        <w:tc>
          <w:tcPr>
            <w:tcW w:w="1275" w:type="dxa"/>
            <w:vAlign w:val="top"/>
          </w:tcPr>
          <w:p w14:paraId="0C5EADA4">
            <w:pPr>
              <w:pStyle w:val="6"/>
              <w:spacing w:before="52" w:line="235" w:lineRule="auto"/>
              <w:ind w:left="219"/>
            </w:pPr>
            <w:r>
              <w:t>XCFII</w:t>
            </w:r>
            <w:r>
              <w:rPr>
                <w:spacing w:val="11"/>
              </w:rPr>
              <w:t>-40</w:t>
            </w:r>
          </w:p>
        </w:tc>
        <w:tc>
          <w:tcPr>
            <w:tcW w:w="709" w:type="dxa"/>
            <w:vAlign w:val="top"/>
          </w:tcPr>
          <w:p w14:paraId="477118D5">
            <w:pPr>
              <w:pStyle w:val="6"/>
              <w:spacing w:before="51" w:line="228" w:lineRule="auto"/>
              <w:ind w:left="173"/>
            </w:pPr>
            <w:r>
              <w:rPr>
                <w:spacing w:val="-2"/>
              </w:rPr>
              <w:t>8</w:t>
            </w:r>
            <w:r>
              <w:rPr>
                <w:spacing w:val="-39"/>
              </w:rPr>
              <w:t xml:space="preserve"> </w:t>
            </w:r>
            <w:r>
              <w:rPr>
                <w:spacing w:val="-2"/>
              </w:rPr>
              <w:t>槽</w:t>
            </w:r>
          </w:p>
        </w:tc>
        <w:tc>
          <w:tcPr>
            <w:tcW w:w="672" w:type="dxa"/>
            <w:vAlign w:val="top"/>
          </w:tcPr>
          <w:p w14:paraId="6643C532">
            <w:pPr>
              <w:pStyle w:val="6"/>
              <w:spacing w:before="52" w:line="228" w:lineRule="auto"/>
              <w:ind w:left="129"/>
            </w:pPr>
            <w:r>
              <w:rPr>
                <w:spacing w:val="4"/>
              </w:rPr>
              <w:t>保留</w:t>
            </w:r>
          </w:p>
        </w:tc>
        <w:tc>
          <w:tcPr>
            <w:tcW w:w="1531" w:type="dxa"/>
            <w:vAlign w:val="top"/>
          </w:tcPr>
          <w:p w14:paraId="62C70F00">
            <w:pPr>
              <w:spacing w:before="84"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31EDEB4">
            <w:pPr>
              <w:spacing w:before="84"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0B14FB8D">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1FF03D8">
            <w:pPr>
              <w:spacing w:before="8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9EAD0C8">
            <w:pPr>
              <w:pStyle w:val="6"/>
              <w:spacing w:before="51" w:line="227" w:lineRule="auto"/>
              <w:ind w:left="542"/>
            </w:pPr>
            <w:r>
              <w:rPr>
                <w:spacing w:val="6"/>
              </w:rPr>
              <w:t>浮选机</w:t>
            </w:r>
          </w:p>
        </w:tc>
        <w:tc>
          <w:tcPr>
            <w:tcW w:w="1558" w:type="dxa"/>
            <w:vAlign w:val="top"/>
          </w:tcPr>
          <w:p w14:paraId="4CAE10FF">
            <w:pPr>
              <w:pStyle w:val="6"/>
              <w:spacing w:before="52" w:line="235" w:lineRule="auto"/>
              <w:ind w:left="362"/>
            </w:pPr>
            <w:r>
              <w:t>XCFII</w:t>
            </w:r>
            <w:r>
              <w:rPr>
                <w:spacing w:val="11"/>
              </w:rPr>
              <w:t>-40</w:t>
            </w:r>
          </w:p>
        </w:tc>
        <w:tc>
          <w:tcPr>
            <w:tcW w:w="709" w:type="dxa"/>
            <w:vAlign w:val="top"/>
          </w:tcPr>
          <w:p w14:paraId="389BFE7D">
            <w:pPr>
              <w:pStyle w:val="6"/>
              <w:spacing w:before="51" w:line="228" w:lineRule="auto"/>
              <w:ind w:left="177"/>
            </w:pPr>
            <w:r>
              <w:rPr>
                <w:spacing w:val="-2"/>
              </w:rPr>
              <w:t>8</w:t>
            </w:r>
            <w:r>
              <w:rPr>
                <w:spacing w:val="-39"/>
              </w:rPr>
              <w:t xml:space="preserve"> </w:t>
            </w:r>
            <w:r>
              <w:rPr>
                <w:spacing w:val="-2"/>
              </w:rPr>
              <w:t>槽</w:t>
            </w:r>
          </w:p>
        </w:tc>
        <w:tc>
          <w:tcPr>
            <w:tcW w:w="887" w:type="dxa"/>
            <w:vAlign w:val="top"/>
          </w:tcPr>
          <w:p w14:paraId="5750429E">
            <w:pPr>
              <w:pStyle w:val="6"/>
              <w:spacing w:before="52" w:line="228" w:lineRule="auto"/>
              <w:ind w:left="243"/>
            </w:pPr>
            <w:r>
              <w:rPr>
                <w:spacing w:val="2"/>
              </w:rPr>
              <w:t>原有</w:t>
            </w:r>
          </w:p>
        </w:tc>
      </w:tr>
      <w:tr w14:paraId="6821E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3009F8E9">
            <w:pPr>
              <w:spacing w:before="8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606" w:type="dxa"/>
            <w:vAlign w:val="top"/>
          </w:tcPr>
          <w:p w14:paraId="26954589">
            <w:pPr>
              <w:pStyle w:val="6"/>
              <w:spacing w:before="51" w:line="227" w:lineRule="auto"/>
              <w:ind w:left="492"/>
            </w:pPr>
            <w:r>
              <w:rPr>
                <w:spacing w:val="6"/>
              </w:rPr>
              <w:t>浮选机</w:t>
            </w:r>
          </w:p>
        </w:tc>
        <w:tc>
          <w:tcPr>
            <w:tcW w:w="1275" w:type="dxa"/>
            <w:vAlign w:val="top"/>
          </w:tcPr>
          <w:p w14:paraId="355FAE52">
            <w:pPr>
              <w:pStyle w:val="6"/>
              <w:spacing w:before="51" w:line="236" w:lineRule="auto"/>
              <w:ind w:left="218"/>
            </w:pPr>
            <w:r>
              <w:t>KYFII</w:t>
            </w:r>
            <w:r>
              <w:rPr>
                <w:spacing w:val="11"/>
              </w:rPr>
              <w:t>-40</w:t>
            </w:r>
          </w:p>
        </w:tc>
        <w:tc>
          <w:tcPr>
            <w:tcW w:w="709" w:type="dxa"/>
            <w:vAlign w:val="top"/>
          </w:tcPr>
          <w:p w14:paraId="415E8382">
            <w:pPr>
              <w:pStyle w:val="6"/>
              <w:spacing w:before="51" w:line="228" w:lineRule="auto"/>
              <w:ind w:left="138"/>
            </w:pPr>
            <w:r>
              <w:rPr>
                <w:spacing w:val="-4"/>
              </w:rPr>
              <w:t>18</w:t>
            </w:r>
            <w:r>
              <w:rPr>
                <w:spacing w:val="-42"/>
              </w:rPr>
              <w:t xml:space="preserve"> </w:t>
            </w:r>
            <w:r>
              <w:rPr>
                <w:spacing w:val="-4"/>
              </w:rPr>
              <w:t>槽</w:t>
            </w:r>
          </w:p>
        </w:tc>
        <w:tc>
          <w:tcPr>
            <w:tcW w:w="672" w:type="dxa"/>
            <w:vAlign w:val="top"/>
          </w:tcPr>
          <w:p w14:paraId="1011D75F">
            <w:pPr>
              <w:pStyle w:val="6"/>
              <w:spacing w:before="52" w:line="228" w:lineRule="auto"/>
              <w:ind w:left="129"/>
            </w:pPr>
            <w:r>
              <w:rPr>
                <w:spacing w:val="4"/>
              </w:rPr>
              <w:t>保留</w:t>
            </w:r>
          </w:p>
        </w:tc>
        <w:tc>
          <w:tcPr>
            <w:tcW w:w="1531" w:type="dxa"/>
            <w:vAlign w:val="top"/>
          </w:tcPr>
          <w:p w14:paraId="24F147ED">
            <w:pPr>
              <w:spacing w:before="83"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3750D72B">
            <w:pPr>
              <w:spacing w:before="83"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3DA1D0DD">
            <w:pPr>
              <w:spacing w:before="8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044A4DFE">
            <w:pPr>
              <w:spacing w:before="8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BE395B9">
            <w:pPr>
              <w:pStyle w:val="6"/>
              <w:spacing w:before="51" w:line="227" w:lineRule="auto"/>
              <w:ind w:left="542"/>
            </w:pPr>
            <w:r>
              <w:rPr>
                <w:spacing w:val="6"/>
              </w:rPr>
              <w:t>浮选机</w:t>
            </w:r>
          </w:p>
        </w:tc>
        <w:tc>
          <w:tcPr>
            <w:tcW w:w="1558" w:type="dxa"/>
            <w:vAlign w:val="top"/>
          </w:tcPr>
          <w:p w14:paraId="1860DCA1">
            <w:pPr>
              <w:pStyle w:val="6"/>
              <w:spacing w:before="51" w:line="236" w:lineRule="auto"/>
              <w:ind w:left="361"/>
            </w:pPr>
            <w:r>
              <w:t>KYFII</w:t>
            </w:r>
            <w:r>
              <w:rPr>
                <w:spacing w:val="12"/>
              </w:rPr>
              <w:t>-40</w:t>
            </w:r>
          </w:p>
        </w:tc>
        <w:tc>
          <w:tcPr>
            <w:tcW w:w="709" w:type="dxa"/>
            <w:vAlign w:val="top"/>
          </w:tcPr>
          <w:p w14:paraId="0FE1D0B4">
            <w:pPr>
              <w:pStyle w:val="6"/>
              <w:spacing w:before="51" w:line="228" w:lineRule="auto"/>
              <w:ind w:left="142"/>
            </w:pPr>
            <w:r>
              <w:rPr>
                <w:spacing w:val="-4"/>
              </w:rPr>
              <w:t>18</w:t>
            </w:r>
            <w:r>
              <w:rPr>
                <w:spacing w:val="-42"/>
              </w:rPr>
              <w:t xml:space="preserve"> </w:t>
            </w:r>
            <w:r>
              <w:rPr>
                <w:spacing w:val="-4"/>
              </w:rPr>
              <w:t>槽</w:t>
            </w:r>
          </w:p>
        </w:tc>
        <w:tc>
          <w:tcPr>
            <w:tcW w:w="887" w:type="dxa"/>
            <w:vAlign w:val="top"/>
          </w:tcPr>
          <w:p w14:paraId="40F4FC56">
            <w:pPr>
              <w:pStyle w:val="6"/>
              <w:spacing w:before="52" w:line="228" w:lineRule="auto"/>
              <w:ind w:left="243"/>
            </w:pPr>
            <w:r>
              <w:rPr>
                <w:spacing w:val="2"/>
              </w:rPr>
              <w:t>原有</w:t>
            </w:r>
          </w:p>
        </w:tc>
      </w:tr>
      <w:tr w14:paraId="73094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2E56B58D">
            <w:pPr>
              <w:spacing w:before="8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606" w:type="dxa"/>
            <w:vAlign w:val="top"/>
          </w:tcPr>
          <w:p w14:paraId="34B92FB8">
            <w:pPr>
              <w:pStyle w:val="6"/>
              <w:spacing w:before="51" w:line="227" w:lineRule="auto"/>
              <w:ind w:left="492"/>
            </w:pPr>
            <w:r>
              <w:rPr>
                <w:spacing w:val="6"/>
              </w:rPr>
              <w:t>浮选机</w:t>
            </w:r>
          </w:p>
        </w:tc>
        <w:tc>
          <w:tcPr>
            <w:tcW w:w="1275" w:type="dxa"/>
            <w:vAlign w:val="top"/>
          </w:tcPr>
          <w:p w14:paraId="1959C8BD">
            <w:pPr>
              <w:pStyle w:val="6"/>
              <w:spacing w:before="51" w:line="236" w:lineRule="auto"/>
              <w:ind w:left="219"/>
            </w:pPr>
            <w:r>
              <w:t>XCFII</w:t>
            </w:r>
            <w:r>
              <w:rPr>
                <w:spacing w:val="11"/>
              </w:rPr>
              <w:t>-16</w:t>
            </w:r>
          </w:p>
        </w:tc>
        <w:tc>
          <w:tcPr>
            <w:tcW w:w="709" w:type="dxa"/>
            <w:vAlign w:val="top"/>
          </w:tcPr>
          <w:p w14:paraId="377A066B">
            <w:pPr>
              <w:pStyle w:val="6"/>
              <w:spacing w:before="50" w:line="228" w:lineRule="auto"/>
              <w:ind w:left="173"/>
            </w:pPr>
            <w:r>
              <w:rPr>
                <w:spacing w:val="-2"/>
              </w:rPr>
              <w:t>8</w:t>
            </w:r>
            <w:r>
              <w:rPr>
                <w:spacing w:val="-39"/>
              </w:rPr>
              <w:t xml:space="preserve"> </w:t>
            </w:r>
            <w:r>
              <w:rPr>
                <w:spacing w:val="-2"/>
              </w:rPr>
              <w:t>槽</w:t>
            </w:r>
          </w:p>
        </w:tc>
        <w:tc>
          <w:tcPr>
            <w:tcW w:w="672" w:type="dxa"/>
            <w:vAlign w:val="top"/>
          </w:tcPr>
          <w:p w14:paraId="65B67594">
            <w:pPr>
              <w:pStyle w:val="6"/>
              <w:spacing w:before="51" w:line="228" w:lineRule="auto"/>
              <w:ind w:left="129"/>
            </w:pPr>
            <w:r>
              <w:rPr>
                <w:spacing w:val="4"/>
              </w:rPr>
              <w:t>保留</w:t>
            </w:r>
          </w:p>
        </w:tc>
        <w:tc>
          <w:tcPr>
            <w:tcW w:w="1531" w:type="dxa"/>
            <w:vAlign w:val="top"/>
          </w:tcPr>
          <w:p w14:paraId="1F0E3E62">
            <w:pPr>
              <w:spacing w:before="83"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A912616">
            <w:pPr>
              <w:spacing w:before="83"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3D72A18A">
            <w:pPr>
              <w:spacing w:before="8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5B631076">
            <w:pPr>
              <w:spacing w:before="8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019B4B3">
            <w:pPr>
              <w:pStyle w:val="6"/>
              <w:spacing w:before="51" w:line="227" w:lineRule="auto"/>
              <w:ind w:left="542"/>
            </w:pPr>
            <w:r>
              <w:rPr>
                <w:spacing w:val="6"/>
              </w:rPr>
              <w:t>浮选机</w:t>
            </w:r>
          </w:p>
        </w:tc>
        <w:tc>
          <w:tcPr>
            <w:tcW w:w="1558" w:type="dxa"/>
            <w:vAlign w:val="top"/>
          </w:tcPr>
          <w:p w14:paraId="0708AABF">
            <w:pPr>
              <w:pStyle w:val="6"/>
              <w:spacing w:before="51" w:line="236" w:lineRule="auto"/>
              <w:ind w:left="362"/>
            </w:pPr>
            <w:r>
              <w:t>XCFII</w:t>
            </w:r>
            <w:r>
              <w:rPr>
                <w:spacing w:val="11"/>
              </w:rPr>
              <w:t>-16</w:t>
            </w:r>
          </w:p>
        </w:tc>
        <w:tc>
          <w:tcPr>
            <w:tcW w:w="709" w:type="dxa"/>
            <w:vAlign w:val="top"/>
          </w:tcPr>
          <w:p w14:paraId="20B21AA0">
            <w:pPr>
              <w:pStyle w:val="6"/>
              <w:spacing w:before="50" w:line="228" w:lineRule="auto"/>
              <w:ind w:left="177"/>
            </w:pPr>
            <w:r>
              <w:rPr>
                <w:spacing w:val="-2"/>
              </w:rPr>
              <w:t>8</w:t>
            </w:r>
            <w:r>
              <w:rPr>
                <w:spacing w:val="-39"/>
              </w:rPr>
              <w:t xml:space="preserve"> </w:t>
            </w:r>
            <w:r>
              <w:rPr>
                <w:spacing w:val="-2"/>
              </w:rPr>
              <w:t>槽</w:t>
            </w:r>
          </w:p>
        </w:tc>
        <w:tc>
          <w:tcPr>
            <w:tcW w:w="887" w:type="dxa"/>
            <w:vAlign w:val="top"/>
          </w:tcPr>
          <w:p w14:paraId="623BF470">
            <w:pPr>
              <w:pStyle w:val="6"/>
              <w:spacing w:before="51" w:line="228" w:lineRule="auto"/>
              <w:ind w:left="243"/>
            </w:pPr>
            <w:r>
              <w:rPr>
                <w:spacing w:val="2"/>
              </w:rPr>
              <w:t>原有</w:t>
            </w:r>
          </w:p>
        </w:tc>
      </w:tr>
      <w:tr w14:paraId="303CE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Align w:val="top"/>
          </w:tcPr>
          <w:p w14:paraId="7ED2E94F">
            <w:pPr>
              <w:spacing w:before="89"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606" w:type="dxa"/>
            <w:vAlign w:val="top"/>
          </w:tcPr>
          <w:p w14:paraId="097B5E53">
            <w:pPr>
              <w:pStyle w:val="6"/>
              <w:spacing w:before="53" w:line="227" w:lineRule="auto"/>
              <w:ind w:left="492"/>
            </w:pPr>
            <w:r>
              <w:rPr>
                <w:spacing w:val="6"/>
              </w:rPr>
              <w:t>浮选机</w:t>
            </w:r>
          </w:p>
        </w:tc>
        <w:tc>
          <w:tcPr>
            <w:tcW w:w="1275" w:type="dxa"/>
            <w:vAlign w:val="top"/>
          </w:tcPr>
          <w:p w14:paraId="3207C016">
            <w:pPr>
              <w:pStyle w:val="6"/>
              <w:spacing w:before="53" w:line="234" w:lineRule="auto"/>
              <w:ind w:left="218"/>
            </w:pPr>
            <w:r>
              <w:t>KYFII</w:t>
            </w:r>
            <w:r>
              <w:rPr>
                <w:spacing w:val="11"/>
              </w:rPr>
              <w:t>-16</w:t>
            </w:r>
          </w:p>
        </w:tc>
        <w:tc>
          <w:tcPr>
            <w:tcW w:w="709" w:type="dxa"/>
            <w:vAlign w:val="top"/>
          </w:tcPr>
          <w:p w14:paraId="4E7758D0">
            <w:pPr>
              <w:pStyle w:val="6"/>
              <w:spacing w:before="52" w:line="228" w:lineRule="auto"/>
              <w:ind w:left="173"/>
            </w:pPr>
            <w:r>
              <w:rPr>
                <w:spacing w:val="-2"/>
              </w:rPr>
              <w:t>9</w:t>
            </w:r>
            <w:r>
              <w:rPr>
                <w:spacing w:val="-39"/>
              </w:rPr>
              <w:t xml:space="preserve"> </w:t>
            </w:r>
            <w:r>
              <w:rPr>
                <w:spacing w:val="-2"/>
              </w:rPr>
              <w:t>槽</w:t>
            </w:r>
          </w:p>
        </w:tc>
        <w:tc>
          <w:tcPr>
            <w:tcW w:w="672" w:type="dxa"/>
            <w:vAlign w:val="top"/>
          </w:tcPr>
          <w:p w14:paraId="2C74C8CF">
            <w:pPr>
              <w:pStyle w:val="6"/>
              <w:spacing w:before="53" w:line="228" w:lineRule="auto"/>
              <w:ind w:left="129"/>
            </w:pPr>
            <w:r>
              <w:rPr>
                <w:spacing w:val="4"/>
              </w:rPr>
              <w:t>保留</w:t>
            </w:r>
          </w:p>
        </w:tc>
        <w:tc>
          <w:tcPr>
            <w:tcW w:w="1531" w:type="dxa"/>
            <w:vAlign w:val="top"/>
          </w:tcPr>
          <w:p w14:paraId="3DACAB3C">
            <w:pPr>
              <w:spacing w:before="85"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2CC2D703">
            <w:pPr>
              <w:spacing w:before="85"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18015695">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7DC2B871">
            <w:pPr>
              <w:spacing w:before="8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62D8A30">
            <w:pPr>
              <w:pStyle w:val="6"/>
              <w:spacing w:before="53" w:line="227" w:lineRule="auto"/>
              <w:ind w:left="542"/>
            </w:pPr>
            <w:r>
              <w:rPr>
                <w:spacing w:val="6"/>
              </w:rPr>
              <w:t>浮选机</w:t>
            </w:r>
          </w:p>
        </w:tc>
        <w:tc>
          <w:tcPr>
            <w:tcW w:w="1558" w:type="dxa"/>
            <w:vAlign w:val="top"/>
          </w:tcPr>
          <w:p w14:paraId="7343E664">
            <w:pPr>
              <w:pStyle w:val="6"/>
              <w:spacing w:before="53" w:line="234" w:lineRule="auto"/>
              <w:ind w:left="361"/>
            </w:pPr>
            <w:r>
              <w:t>KYFII</w:t>
            </w:r>
            <w:r>
              <w:rPr>
                <w:spacing w:val="12"/>
              </w:rPr>
              <w:t>-16</w:t>
            </w:r>
          </w:p>
        </w:tc>
        <w:tc>
          <w:tcPr>
            <w:tcW w:w="709" w:type="dxa"/>
            <w:vAlign w:val="top"/>
          </w:tcPr>
          <w:p w14:paraId="61D31192">
            <w:pPr>
              <w:pStyle w:val="6"/>
              <w:spacing w:before="52" w:line="228" w:lineRule="auto"/>
              <w:ind w:left="177"/>
            </w:pPr>
            <w:r>
              <w:rPr>
                <w:spacing w:val="-2"/>
              </w:rPr>
              <w:t>9</w:t>
            </w:r>
            <w:r>
              <w:rPr>
                <w:spacing w:val="-39"/>
              </w:rPr>
              <w:t xml:space="preserve"> </w:t>
            </w:r>
            <w:r>
              <w:rPr>
                <w:spacing w:val="-2"/>
              </w:rPr>
              <w:t>槽</w:t>
            </w:r>
          </w:p>
        </w:tc>
        <w:tc>
          <w:tcPr>
            <w:tcW w:w="887" w:type="dxa"/>
            <w:vAlign w:val="top"/>
          </w:tcPr>
          <w:p w14:paraId="0BD06D31">
            <w:pPr>
              <w:pStyle w:val="6"/>
              <w:spacing w:before="53" w:line="228" w:lineRule="auto"/>
              <w:ind w:left="243"/>
            </w:pPr>
            <w:r>
              <w:rPr>
                <w:spacing w:val="2"/>
              </w:rPr>
              <w:t>原有</w:t>
            </w:r>
          </w:p>
        </w:tc>
      </w:tr>
      <w:tr w14:paraId="47F44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68D1D843">
            <w:pPr>
              <w:spacing w:line="341" w:lineRule="auto"/>
              <w:rPr>
                <w:rFonts w:ascii="Arial"/>
                <w:sz w:val="21"/>
              </w:rPr>
            </w:pPr>
          </w:p>
          <w:p w14:paraId="531533B4">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606" w:type="dxa"/>
            <w:vAlign w:val="top"/>
          </w:tcPr>
          <w:p w14:paraId="3639E664">
            <w:pPr>
              <w:spacing w:line="297" w:lineRule="auto"/>
              <w:rPr>
                <w:rFonts w:ascii="Arial"/>
                <w:sz w:val="21"/>
              </w:rPr>
            </w:pPr>
          </w:p>
          <w:p w14:paraId="577F9BF3">
            <w:pPr>
              <w:pStyle w:val="6"/>
              <w:spacing w:before="65" w:line="228" w:lineRule="auto"/>
              <w:ind w:left="490"/>
            </w:pPr>
            <w:r>
              <w:rPr>
                <w:spacing w:val="6"/>
              </w:rPr>
              <w:t>渣浆泵</w:t>
            </w:r>
          </w:p>
        </w:tc>
        <w:tc>
          <w:tcPr>
            <w:tcW w:w="1275" w:type="dxa"/>
            <w:vAlign w:val="top"/>
          </w:tcPr>
          <w:p w14:paraId="04478C87">
            <w:pPr>
              <w:pStyle w:val="6"/>
              <w:spacing w:before="52" w:line="269" w:lineRule="exact"/>
              <w:ind w:left="170"/>
            </w:pPr>
            <w:r>
              <w:rPr>
                <w:spacing w:val="5"/>
                <w:position w:val="1"/>
              </w:rPr>
              <w:t>65</w:t>
            </w:r>
            <w:r>
              <w:rPr>
                <w:position w:val="1"/>
              </w:rPr>
              <w:t>ZBD</w:t>
            </w:r>
            <w:r>
              <w:rPr>
                <w:spacing w:val="5"/>
                <w:position w:val="1"/>
              </w:rPr>
              <w:t>-315</w:t>
            </w:r>
          </w:p>
          <w:p w14:paraId="3B697494">
            <w:pPr>
              <w:pStyle w:val="6"/>
              <w:spacing w:before="43" w:line="233" w:lineRule="auto"/>
              <w:ind w:left="114"/>
            </w:pPr>
            <w:r>
              <w:rPr>
                <w:spacing w:val="5"/>
              </w:rPr>
              <w:t>n=1250r/</w:t>
            </w:r>
            <w:r>
              <w:t>mi</w:t>
            </w:r>
          </w:p>
          <w:p w14:paraId="79363A9F">
            <w:pPr>
              <w:pStyle w:val="6"/>
              <w:spacing w:before="139" w:line="158" w:lineRule="exact"/>
              <w:ind w:left="587"/>
            </w:pPr>
            <w:r>
              <w:t>n</w:t>
            </w:r>
          </w:p>
        </w:tc>
        <w:tc>
          <w:tcPr>
            <w:tcW w:w="709" w:type="dxa"/>
            <w:vAlign w:val="top"/>
          </w:tcPr>
          <w:p w14:paraId="0175603F">
            <w:pPr>
              <w:spacing w:line="297" w:lineRule="auto"/>
              <w:rPr>
                <w:rFonts w:ascii="Arial"/>
                <w:sz w:val="21"/>
              </w:rPr>
            </w:pPr>
          </w:p>
          <w:p w14:paraId="43DD91AD">
            <w:pPr>
              <w:pStyle w:val="6"/>
              <w:spacing w:before="65" w:line="230" w:lineRule="auto"/>
              <w:ind w:left="175"/>
            </w:pPr>
            <w:r>
              <w:rPr>
                <w:spacing w:val="-4"/>
              </w:rPr>
              <w:t>2</w:t>
            </w:r>
            <w:r>
              <w:rPr>
                <w:spacing w:val="-21"/>
              </w:rPr>
              <w:t xml:space="preserve"> </w:t>
            </w:r>
            <w:r>
              <w:rPr>
                <w:spacing w:val="-4"/>
              </w:rPr>
              <w:t>台</w:t>
            </w:r>
          </w:p>
        </w:tc>
        <w:tc>
          <w:tcPr>
            <w:tcW w:w="672" w:type="dxa"/>
            <w:vAlign w:val="top"/>
          </w:tcPr>
          <w:p w14:paraId="0000B07C">
            <w:pPr>
              <w:spacing w:line="298" w:lineRule="auto"/>
              <w:rPr>
                <w:rFonts w:ascii="Arial"/>
                <w:sz w:val="21"/>
              </w:rPr>
            </w:pPr>
          </w:p>
          <w:p w14:paraId="4BDF8FCD">
            <w:pPr>
              <w:pStyle w:val="6"/>
              <w:spacing w:before="65" w:line="228" w:lineRule="auto"/>
              <w:ind w:left="129"/>
            </w:pPr>
            <w:r>
              <w:rPr>
                <w:spacing w:val="4"/>
              </w:rPr>
              <w:t>保留</w:t>
            </w:r>
          </w:p>
        </w:tc>
        <w:tc>
          <w:tcPr>
            <w:tcW w:w="1531" w:type="dxa"/>
            <w:vAlign w:val="top"/>
          </w:tcPr>
          <w:p w14:paraId="38B62C68">
            <w:pPr>
              <w:spacing w:line="337" w:lineRule="auto"/>
              <w:rPr>
                <w:rFonts w:ascii="Arial"/>
                <w:sz w:val="21"/>
              </w:rPr>
            </w:pPr>
          </w:p>
          <w:p w14:paraId="01476C27">
            <w:pPr>
              <w:spacing w:before="57"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F7C2BB2">
            <w:pPr>
              <w:spacing w:line="337" w:lineRule="auto"/>
              <w:rPr>
                <w:rFonts w:ascii="Arial"/>
                <w:sz w:val="21"/>
              </w:rPr>
            </w:pPr>
          </w:p>
          <w:p w14:paraId="04EBE679">
            <w:pPr>
              <w:spacing w:before="57"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184FED6C">
            <w:pPr>
              <w:spacing w:line="337" w:lineRule="auto"/>
              <w:rPr>
                <w:rFonts w:ascii="Arial"/>
                <w:sz w:val="21"/>
              </w:rPr>
            </w:pPr>
          </w:p>
          <w:p w14:paraId="06B7F76E">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47E0EEF2">
            <w:pPr>
              <w:spacing w:line="337" w:lineRule="auto"/>
              <w:rPr>
                <w:rFonts w:ascii="Arial"/>
                <w:sz w:val="21"/>
              </w:rPr>
            </w:pPr>
          </w:p>
          <w:p w14:paraId="1E81B48B">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2F534A1">
            <w:pPr>
              <w:spacing w:line="297" w:lineRule="auto"/>
              <w:rPr>
                <w:rFonts w:ascii="Arial"/>
                <w:sz w:val="21"/>
              </w:rPr>
            </w:pPr>
          </w:p>
          <w:p w14:paraId="08C7F9DF">
            <w:pPr>
              <w:pStyle w:val="6"/>
              <w:spacing w:before="65" w:line="228" w:lineRule="auto"/>
              <w:ind w:left="540"/>
            </w:pPr>
            <w:r>
              <w:rPr>
                <w:spacing w:val="6"/>
              </w:rPr>
              <w:t>渣浆泵</w:t>
            </w:r>
          </w:p>
        </w:tc>
        <w:tc>
          <w:tcPr>
            <w:tcW w:w="1558" w:type="dxa"/>
            <w:vAlign w:val="top"/>
          </w:tcPr>
          <w:p w14:paraId="6D3BB384">
            <w:pPr>
              <w:pStyle w:val="6"/>
              <w:spacing w:before="208" w:line="269" w:lineRule="exact"/>
              <w:ind w:left="316"/>
            </w:pPr>
            <w:r>
              <w:rPr>
                <w:spacing w:val="5"/>
                <w:position w:val="1"/>
              </w:rPr>
              <w:t>65</w:t>
            </w:r>
            <w:r>
              <w:rPr>
                <w:position w:val="1"/>
              </w:rPr>
              <w:t>ZBD</w:t>
            </w:r>
            <w:r>
              <w:rPr>
                <w:spacing w:val="5"/>
                <w:position w:val="1"/>
              </w:rPr>
              <w:t>-315</w:t>
            </w:r>
          </w:p>
          <w:p w14:paraId="205A3E98">
            <w:pPr>
              <w:pStyle w:val="6"/>
              <w:spacing w:before="43" w:line="233" w:lineRule="auto"/>
              <w:ind w:left="207"/>
            </w:pPr>
            <w:r>
              <w:rPr>
                <w:spacing w:val="6"/>
              </w:rPr>
              <w:t>n=1250r/</w:t>
            </w:r>
            <w:r>
              <w:t>min</w:t>
            </w:r>
          </w:p>
        </w:tc>
        <w:tc>
          <w:tcPr>
            <w:tcW w:w="709" w:type="dxa"/>
            <w:vAlign w:val="top"/>
          </w:tcPr>
          <w:p w14:paraId="42E1F907">
            <w:pPr>
              <w:spacing w:line="297" w:lineRule="auto"/>
              <w:rPr>
                <w:rFonts w:ascii="Arial"/>
                <w:sz w:val="21"/>
              </w:rPr>
            </w:pPr>
          </w:p>
          <w:p w14:paraId="3F6630A9">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40460270">
            <w:pPr>
              <w:spacing w:line="298" w:lineRule="auto"/>
              <w:rPr>
                <w:rFonts w:ascii="Arial"/>
                <w:sz w:val="21"/>
              </w:rPr>
            </w:pPr>
          </w:p>
          <w:p w14:paraId="52B88F91">
            <w:pPr>
              <w:pStyle w:val="6"/>
              <w:spacing w:before="65" w:line="228" w:lineRule="auto"/>
              <w:ind w:left="243"/>
            </w:pPr>
            <w:r>
              <w:rPr>
                <w:spacing w:val="2"/>
              </w:rPr>
              <w:t>原有</w:t>
            </w:r>
          </w:p>
        </w:tc>
      </w:tr>
      <w:tr w14:paraId="4856B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500C7499">
            <w:pPr>
              <w:spacing w:line="341" w:lineRule="auto"/>
              <w:rPr>
                <w:rFonts w:ascii="Arial"/>
                <w:sz w:val="21"/>
              </w:rPr>
            </w:pPr>
          </w:p>
          <w:p w14:paraId="2ECDDDC4">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606" w:type="dxa"/>
            <w:vAlign w:val="top"/>
          </w:tcPr>
          <w:p w14:paraId="78458FF4">
            <w:pPr>
              <w:spacing w:line="298" w:lineRule="auto"/>
              <w:rPr>
                <w:rFonts w:ascii="Arial"/>
                <w:sz w:val="21"/>
              </w:rPr>
            </w:pPr>
          </w:p>
          <w:p w14:paraId="5BF02913">
            <w:pPr>
              <w:pStyle w:val="6"/>
              <w:spacing w:before="65" w:line="228" w:lineRule="auto"/>
              <w:ind w:left="490"/>
            </w:pPr>
            <w:r>
              <w:rPr>
                <w:spacing w:val="6"/>
              </w:rPr>
              <w:t>渣浆泵</w:t>
            </w:r>
          </w:p>
        </w:tc>
        <w:tc>
          <w:tcPr>
            <w:tcW w:w="1275" w:type="dxa"/>
            <w:vAlign w:val="top"/>
          </w:tcPr>
          <w:p w14:paraId="79C13444">
            <w:pPr>
              <w:pStyle w:val="6"/>
              <w:spacing w:before="53" w:line="268" w:lineRule="exact"/>
              <w:ind w:left="169"/>
            </w:pPr>
            <w:r>
              <w:rPr>
                <w:spacing w:val="5"/>
                <w:position w:val="1"/>
              </w:rPr>
              <w:t>80</w:t>
            </w:r>
            <w:r>
              <w:rPr>
                <w:position w:val="1"/>
              </w:rPr>
              <w:t>ZBD</w:t>
            </w:r>
            <w:r>
              <w:rPr>
                <w:spacing w:val="5"/>
                <w:position w:val="1"/>
              </w:rPr>
              <w:t>-400</w:t>
            </w:r>
          </w:p>
          <w:p w14:paraId="6F0A182B">
            <w:pPr>
              <w:pStyle w:val="6"/>
              <w:spacing w:before="43" w:line="233" w:lineRule="auto"/>
              <w:ind w:left="114"/>
            </w:pPr>
            <w:r>
              <w:rPr>
                <w:spacing w:val="5"/>
              </w:rPr>
              <w:t>n=1150r/</w:t>
            </w:r>
            <w:r>
              <w:t>mi</w:t>
            </w:r>
          </w:p>
          <w:p w14:paraId="4903A64F">
            <w:pPr>
              <w:pStyle w:val="6"/>
              <w:spacing w:before="139" w:line="158" w:lineRule="exact"/>
              <w:ind w:left="587"/>
            </w:pPr>
            <w:r>
              <w:t>n</w:t>
            </w:r>
          </w:p>
        </w:tc>
        <w:tc>
          <w:tcPr>
            <w:tcW w:w="709" w:type="dxa"/>
            <w:vAlign w:val="top"/>
          </w:tcPr>
          <w:p w14:paraId="53710F6A">
            <w:pPr>
              <w:spacing w:line="298" w:lineRule="auto"/>
              <w:rPr>
                <w:rFonts w:ascii="Arial"/>
                <w:sz w:val="21"/>
              </w:rPr>
            </w:pPr>
          </w:p>
          <w:p w14:paraId="40210FF3">
            <w:pPr>
              <w:pStyle w:val="6"/>
              <w:spacing w:before="65" w:line="230" w:lineRule="auto"/>
              <w:ind w:left="175"/>
            </w:pPr>
            <w:r>
              <w:rPr>
                <w:spacing w:val="-4"/>
              </w:rPr>
              <w:t>2</w:t>
            </w:r>
            <w:r>
              <w:rPr>
                <w:spacing w:val="-21"/>
              </w:rPr>
              <w:t xml:space="preserve"> </w:t>
            </w:r>
            <w:r>
              <w:rPr>
                <w:spacing w:val="-4"/>
              </w:rPr>
              <w:t>台</w:t>
            </w:r>
          </w:p>
        </w:tc>
        <w:tc>
          <w:tcPr>
            <w:tcW w:w="672" w:type="dxa"/>
            <w:vAlign w:val="top"/>
          </w:tcPr>
          <w:p w14:paraId="25F6A6BF">
            <w:pPr>
              <w:spacing w:line="299" w:lineRule="auto"/>
              <w:rPr>
                <w:rFonts w:ascii="Arial"/>
                <w:sz w:val="21"/>
              </w:rPr>
            </w:pPr>
          </w:p>
          <w:p w14:paraId="75546747">
            <w:pPr>
              <w:pStyle w:val="6"/>
              <w:spacing w:before="65" w:line="228" w:lineRule="auto"/>
              <w:ind w:left="129"/>
            </w:pPr>
            <w:r>
              <w:rPr>
                <w:spacing w:val="4"/>
              </w:rPr>
              <w:t>保留</w:t>
            </w:r>
          </w:p>
        </w:tc>
        <w:tc>
          <w:tcPr>
            <w:tcW w:w="1531" w:type="dxa"/>
            <w:vAlign w:val="top"/>
          </w:tcPr>
          <w:p w14:paraId="6C6B3025">
            <w:pPr>
              <w:spacing w:line="337" w:lineRule="auto"/>
              <w:rPr>
                <w:rFonts w:ascii="Arial"/>
                <w:sz w:val="21"/>
              </w:rPr>
            </w:pPr>
          </w:p>
          <w:p w14:paraId="6AA3F940">
            <w:pPr>
              <w:spacing w:before="58"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1C2AF9C7">
            <w:pPr>
              <w:spacing w:line="337" w:lineRule="auto"/>
              <w:rPr>
                <w:rFonts w:ascii="Arial"/>
                <w:sz w:val="21"/>
              </w:rPr>
            </w:pPr>
          </w:p>
          <w:p w14:paraId="0C8A69F0">
            <w:pPr>
              <w:spacing w:before="58"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48DBCBD0">
            <w:pPr>
              <w:spacing w:line="337" w:lineRule="auto"/>
              <w:rPr>
                <w:rFonts w:ascii="Arial"/>
                <w:sz w:val="21"/>
              </w:rPr>
            </w:pPr>
          </w:p>
          <w:p w14:paraId="4DFF7F20">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68BF28D1">
            <w:pPr>
              <w:spacing w:line="337" w:lineRule="auto"/>
              <w:rPr>
                <w:rFonts w:ascii="Arial"/>
                <w:sz w:val="21"/>
              </w:rPr>
            </w:pPr>
          </w:p>
          <w:p w14:paraId="71B59923">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FB1D108">
            <w:pPr>
              <w:spacing w:line="298" w:lineRule="auto"/>
              <w:rPr>
                <w:rFonts w:ascii="Arial"/>
                <w:sz w:val="21"/>
              </w:rPr>
            </w:pPr>
          </w:p>
          <w:p w14:paraId="199B8252">
            <w:pPr>
              <w:pStyle w:val="6"/>
              <w:spacing w:before="65" w:line="228" w:lineRule="auto"/>
              <w:ind w:left="540"/>
            </w:pPr>
            <w:r>
              <w:rPr>
                <w:spacing w:val="6"/>
              </w:rPr>
              <w:t>渣浆泵</w:t>
            </w:r>
          </w:p>
        </w:tc>
        <w:tc>
          <w:tcPr>
            <w:tcW w:w="1558" w:type="dxa"/>
            <w:vAlign w:val="top"/>
          </w:tcPr>
          <w:p w14:paraId="171C268B">
            <w:pPr>
              <w:pStyle w:val="6"/>
              <w:spacing w:before="209" w:line="268" w:lineRule="exact"/>
              <w:ind w:left="315"/>
            </w:pPr>
            <w:r>
              <w:rPr>
                <w:spacing w:val="5"/>
                <w:position w:val="1"/>
              </w:rPr>
              <w:t>80</w:t>
            </w:r>
            <w:r>
              <w:rPr>
                <w:position w:val="1"/>
              </w:rPr>
              <w:t>ZBD</w:t>
            </w:r>
            <w:r>
              <w:rPr>
                <w:spacing w:val="5"/>
                <w:position w:val="1"/>
              </w:rPr>
              <w:t>-400</w:t>
            </w:r>
          </w:p>
          <w:p w14:paraId="0C94B85A">
            <w:pPr>
              <w:pStyle w:val="6"/>
              <w:spacing w:before="43" w:line="233" w:lineRule="auto"/>
              <w:ind w:left="207"/>
            </w:pPr>
            <w:r>
              <w:rPr>
                <w:spacing w:val="6"/>
              </w:rPr>
              <w:t>n=1150r/</w:t>
            </w:r>
            <w:r>
              <w:t>min</w:t>
            </w:r>
          </w:p>
        </w:tc>
        <w:tc>
          <w:tcPr>
            <w:tcW w:w="709" w:type="dxa"/>
            <w:vAlign w:val="top"/>
          </w:tcPr>
          <w:p w14:paraId="69D395F8">
            <w:pPr>
              <w:spacing w:line="298" w:lineRule="auto"/>
              <w:rPr>
                <w:rFonts w:ascii="Arial"/>
                <w:sz w:val="21"/>
              </w:rPr>
            </w:pPr>
          </w:p>
          <w:p w14:paraId="5CA1A2EC">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3C60177C">
            <w:pPr>
              <w:spacing w:line="299" w:lineRule="auto"/>
              <w:rPr>
                <w:rFonts w:ascii="Arial"/>
                <w:sz w:val="21"/>
              </w:rPr>
            </w:pPr>
          </w:p>
          <w:p w14:paraId="771ADB28">
            <w:pPr>
              <w:pStyle w:val="6"/>
              <w:spacing w:before="65" w:line="228" w:lineRule="auto"/>
              <w:ind w:left="243"/>
            </w:pPr>
            <w:r>
              <w:rPr>
                <w:spacing w:val="2"/>
              </w:rPr>
              <w:t>原有</w:t>
            </w:r>
          </w:p>
        </w:tc>
      </w:tr>
      <w:tr w14:paraId="317C4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4F63E0BA">
            <w:pPr>
              <w:spacing w:before="245"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606" w:type="dxa"/>
            <w:vAlign w:val="top"/>
          </w:tcPr>
          <w:p w14:paraId="72025FAC">
            <w:pPr>
              <w:pStyle w:val="6"/>
              <w:spacing w:before="53" w:line="228" w:lineRule="auto"/>
              <w:ind w:left="177"/>
            </w:pPr>
            <w:r>
              <w:rPr>
                <w:spacing w:val="8"/>
              </w:rPr>
              <w:t>石灰乳添加搅</w:t>
            </w:r>
          </w:p>
          <w:p w14:paraId="03516CD3">
            <w:pPr>
              <w:pStyle w:val="6"/>
              <w:spacing w:before="65" w:line="228" w:lineRule="auto"/>
              <w:ind w:left="598"/>
            </w:pPr>
            <w:r>
              <w:rPr>
                <w:spacing w:val="3"/>
              </w:rPr>
              <w:t>拌槽</w:t>
            </w:r>
          </w:p>
        </w:tc>
        <w:tc>
          <w:tcPr>
            <w:tcW w:w="1275" w:type="dxa"/>
            <w:vAlign w:val="top"/>
          </w:tcPr>
          <w:p w14:paraId="017D7164">
            <w:pPr>
              <w:pStyle w:val="6"/>
              <w:spacing w:before="210" w:line="263" w:lineRule="exact"/>
              <w:ind w:left="216"/>
            </w:pPr>
            <w:r>
              <w:rPr>
                <w:position w:val="1"/>
              </w:rPr>
              <w:t>BC</w:t>
            </w:r>
            <w:r>
              <w:rPr>
                <w:spacing w:val="7"/>
                <w:position w:val="1"/>
              </w:rPr>
              <w:t>φ2500</w:t>
            </w:r>
          </w:p>
        </w:tc>
        <w:tc>
          <w:tcPr>
            <w:tcW w:w="709" w:type="dxa"/>
            <w:vAlign w:val="top"/>
          </w:tcPr>
          <w:p w14:paraId="273FF7B8">
            <w:pPr>
              <w:pStyle w:val="6"/>
              <w:spacing w:before="209" w:line="230" w:lineRule="auto"/>
              <w:ind w:left="188"/>
            </w:pPr>
            <w:r>
              <w:rPr>
                <w:spacing w:val="-10"/>
              </w:rPr>
              <w:t>1</w:t>
            </w:r>
            <w:r>
              <w:rPr>
                <w:spacing w:val="-22"/>
              </w:rPr>
              <w:t xml:space="preserve"> </w:t>
            </w:r>
            <w:r>
              <w:rPr>
                <w:spacing w:val="-10"/>
              </w:rPr>
              <w:t>台</w:t>
            </w:r>
          </w:p>
        </w:tc>
        <w:tc>
          <w:tcPr>
            <w:tcW w:w="672" w:type="dxa"/>
            <w:vAlign w:val="top"/>
          </w:tcPr>
          <w:p w14:paraId="60333497">
            <w:pPr>
              <w:pStyle w:val="6"/>
              <w:spacing w:before="210" w:line="228" w:lineRule="auto"/>
              <w:ind w:left="129"/>
            </w:pPr>
            <w:r>
              <w:rPr>
                <w:spacing w:val="4"/>
              </w:rPr>
              <w:t>保留</w:t>
            </w:r>
          </w:p>
        </w:tc>
        <w:tc>
          <w:tcPr>
            <w:tcW w:w="1531" w:type="dxa"/>
            <w:vAlign w:val="top"/>
          </w:tcPr>
          <w:p w14:paraId="6264D8EC">
            <w:pPr>
              <w:spacing w:before="242"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7579F505">
            <w:pPr>
              <w:spacing w:before="242"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6618967C">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04B9DD6C">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B839DFE">
            <w:pPr>
              <w:pStyle w:val="6"/>
              <w:spacing w:before="54" w:line="260" w:lineRule="auto"/>
              <w:ind w:left="750" w:right="113" w:hanging="629"/>
            </w:pPr>
            <w:r>
              <w:rPr>
                <w:spacing w:val="8"/>
              </w:rPr>
              <w:t>石灰乳添加搅拌</w:t>
            </w:r>
            <w:r>
              <w:rPr>
                <w:spacing w:val="2"/>
              </w:rPr>
              <w:t xml:space="preserve"> </w:t>
            </w:r>
            <w:r>
              <w:rPr>
                <w:spacing w:val="1"/>
              </w:rPr>
              <w:t>槽</w:t>
            </w:r>
          </w:p>
        </w:tc>
        <w:tc>
          <w:tcPr>
            <w:tcW w:w="1558" w:type="dxa"/>
            <w:vAlign w:val="top"/>
          </w:tcPr>
          <w:p w14:paraId="5E839213">
            <w:pPr>
              <w:pStyle w:val="6"/>
              <w:spacing w:before="210" w:line="263" w:lineRule="exact"/>
              <w:ind w:left="359"/>
            </w:pPr>
            <w:r>
              <w:rPr>
                <w:position w:val="1"/>
              </w:rPr>
              <w:t>BC</w:t>
            </w:r>
            <w:r>
              <w:rPr>
                <w:spacing w:val="7"/>
                <w:position w:val="1"/>
              </w:rPr>
              <w:t>φ2500</w:t>
            </w:r>
          </w:p>
        </w:tc>
        <w:tc>
          <w:tcPr>
            <w:tcW w:w="709" w:type="dxa"/>
            <w:vAlign w:val="top"/>
          </w:tcPr>
          <w:p w14:paraId="2E2C1202">
            <w:pPr>
              <w:pStyle w:val="6"/>
              <w:spacing w:before="209" w:line="230" w:lineRule="auto"/>
              <w:ind w:left="192"/>
            </w:pPr>
            <w:r>
              <w:rPr>
                <w:spacing w:val="-10"/>
              </w:rPr>
              <w:t>1</w:t>
            </w:r>
            <w:r>
              <w:rPr>
                <w:spacing w:val="-22"/>
              </w:rPr>
              <w:t xml:space="preserve"> </w:t>
            </w:r>
            <w:r>
              <w:rPr>
                <w:spacing w:val="-10"/>
              </w:rPr>
              <w:t>台</w:t>
            </w:r>
          </w:p>
        </w:tc>
        <w:tc>
          <w:tcPr>
            <w:tcW w:w="887" w:type="dxa"/>
            <w:vAlign w:val="top"/>
          </w:tcPr>
          <w:p w14:paraId="70A2338E">
            <w:pPr>
              <w:pStyle w:val="6"/>
              <w:spacing w:before="210" w:line="228" w:lineRule="auto"/>
              <w:ind w:left="243"/>
            </w:pPr>
            <w:r>
              <w:rPr>
                <w:spacing w:val="2"/>
              </w:rPr>
              <w:t>原有</w:t>
            </w:r>
          </w:p>
        </w:tc>
      </w:tr>
      <w:tr w14:paraId="2DBAA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57FA4496">
            <w:pPr>
              <w:spacing w:before="124"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606" w:type="dxa"/>
            <w:vAlign w:val="top"/>
          </w:tcPr>
          <w:p w14:paraId="486F737F">
            <w:pPr>
              <w:pStyle w:val="6"/>
              <w:spacing w:before="129" w:line="227" w:lineRule="auto"/>
              <w:ind w:left="177"/>
            </w:pPr>
            <w:r>
              <w:rPr>
                <w:spacing w:val="8"/>
              </w:rPr>
              <w:t>石灰投加系统</w:t>
            </w:r>
          </w:p>
        </w:tc>
        <w:tc>
          <w:tcPr>
            <w:tcW w:w="1275" w:type="dxa"/>
            <w:vAlign w:val="top"/>
          </w:tcPr>
          <w:p w14:paraId="3321CD64">
            <w:pPr>
              <w:rPr>
                <w:rFonts w:ascii="Arial"/>
                <w:sz w:val="21"/>
              </w:rPr>
            </w:pPr>
          </w:p>
        </w:tc>
        <w:tc>
          <w:tcPr>
            <w:tcW w:w="709" w:type="dxa"/>
            <w:vAlign w:val="top"/>
          </w:tcPr>
          <w:p w14:paraId="1EA0BAF2">
            <w:pPr>
              <w:pStyle w:val="6"/>
              <w:spacing w:before="88" w:line="226" w:lineRule="auto"/>
              <w:ind w:left="188"/>
            </w:pPr>
            <w:r>
              <w:rPr>
                <w:spacing w:val="-10"/>
              </w:rPr>
              <w:t>1</w:t>
            </w:r>
            <w:r>
              <w:rPr>
                <w:spacing w:val="-38"/>
              </w:rPr>
              <w:t xml:space="preserve"> </w:t>
            </w:r>
            <w:r>
              <w:rPr>
                <w:spacing w:val="-10"/>
              </w:rPr>
              <w:t>套</w:t>
            </w:r>
          </w:p>
        </w:tc>
        <w:tc>
          <w:tcPr>
            <w:tcW w:w="672" w:type="dxa"/>
            <w:vAlign w:val="top"/>
          </w:tcPr>
          <w:p w14:paraId="0D30BC59">
            <w:pPr>
              <w:pStyle w:val="6"/>
              <w:spacing w:before="88" w:line="228" w:lineRule="auto"/>
              <w:ind w:left="129"/>
            </w:pPr>
            <w:r>
              <w:rPr>
                <w:spacing w:val="4"/>
              </w:rPr>
              <w:t>保留</w:t>
            </w:r>
          </w:p>
        </w:tc>
        <w:tc>
          <w:tcPr>
            <w:tcW w:w="1531" w:type="dxa"/>
            <w:vAlign w:val="top"/>
          </w:tcPr>
          <w:p w14:paraId="5C7E77C9">
            <w:pPr>
              <w:spacing w:before="120"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70953C10">
            <w:pPr>
              <w:spacing w:before="120"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6D9A2ACC">
            <w:pPr>
              <w:spacing w:before="12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C342C33">
            <w:pPr>
              <w:spacing w:before="12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CFB4E44">
            <w:pPr>
              <w:pStyle w:val="6"/>
              <w:spacing w:before="129" w:line="227" w:lineRule="auto"/>
              <w:ind w:left="227"/>
            </w:pPr>
            <w:r>
              <w:rPr>
                <w:spacing w:val="8"/>
              </w:rPr>
              <w:t>石灰投加系统</w:t>
            </w:r>
          </w:p>
        </w:tc>
        <w:tc>
          <w:tcPr>
            <w:tcW w:w="1558" w:type="dxa"/>
            <w:vAlign w:val="top"/>
          </w:tcPr>
          <w:p w14:paraId="07481D32">
            <w:pPr>
              <w:rPr>
                <w:rFonts w:ascii="Arial"/>
                <w:sz w:val="21"/>
              </w:rPr>
            </w:pPr>
          </w:p>
        </w:tc>
        <w:tc>
          <w:tcPr>
            <w:tcW w:w="709" w:type="dxa"/>
            <w:vAlign w:val="top"/>
          </w:tcPr>
          <w:p w14:paraId="0ED6892A">
            <w:pPr>
              <w:pStyle w:val="6"/>
              <w:spacing w:before="88" w:line="226" w:lineRule="auto"/>
              <w:ind w:left="192"/>
            </w:pPr>
            <w:r>
              <w:rPr>
                <w:spacing w:val="-10"/>
              </w:rPr>
              <w:t>1</w:t>
            </w:r>
            <w:r>
              <w:rPr>
                <w:spacing w:val="-38"/>
              </w:rPr>
              <w:t xml:space="preserve"> </w:t>
            </w:r>
            <w:r>
              <w:rPr>
                <w:spacing w:val="-10"/>
              </w:rPr>
              <w:t>套</w:t>
            </w:r>
          </w:p>
        </w:tc>
        <w:tc>
          <w:tcPr>
            <w:tcW w:w="887" w:type="dxa"/>
            <w:vAlign w:val="top"/>
          </w:tcPr>
          <w:p w14:paraId="7FE0A813">
            <w:pPr>
              <w:pStyle w:val="6"/>
              <w:spacing w:before="88" w:line="228" w:lineRule="auto"/>
              <w:ind w:left="243"/>
            </w:pPr>
            <w:r>
              <w:rPr>
                <w:spacing w:val="2"/>
              </w:rPr>
              <w:t>原有</w:t>
            </w:r>
          </w:p>
        </w:tc>
      </w:tr>
      <w:tr w14:paraId="10762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29837414">
            <w:pPr>
              <w:spacing w:before="125"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606" w:type="dxa"/>
            <w:vAlign w:val="top"/>
          </w:tcPr>
          <w:p w14:paraId="47468E4B">
            <w:pPr>
              <w:pStyle w:val="6"/>
              <w:spacing w:before="127" w:line="227" w:lineRule="auto"/>
              <w:ind w:left="706"/>
            </w:pPr>
            <w:r>
              <w:rPr>
                <w:spacing w:val="4"/>
              </w:rPr>
              <w:t>空压机</w:t>
            </w:r>
          </w:p>
        </w:tc>
        <w:tc>
          <w:tcPr>
            <w:tcW w:w="1275" w:type="dxa"/>
            <w:vAlign w:val="top"/>
          </w:tcPr>
          <w:p w14:paraId="177C27D0">
            <w:pPr>
              <w:rPr>
                <w:rFonts w:ascii="Arial"/>
                <w:sz w:val="21"/>
              </w:rPr>
            </w:pPr>
          </w:p>
        </w:tc>
        <w:tc>
          <w:tcPr>
            <w:tcW w:w="709" w:type="dxa"/>
            <w:vAlign w:val="top"/>
          </w:tcPr>
          <w:p w14:paraId="0EB3756C">
            <w:pPr>
              <w:pStyle w:val="6"/>
              <w:spacing w:before="89" w:line="230" w:lineRule="auto"/>
              <w:ind w:left="175"/>
            </w:pPr>
            <w:r>
              <w:rPr>
                <w:spacing w:val="-4"/>
              </w:rPr>
              <w:t>2</w:t>
            </w:r>
            <w:r>
              <w:rPr>
                <w:spacing w:val="-21"/>
              </w:rPr>
              <w:t xml:space="preserve"> </w:t>
            </w:r>
            <w:r>
              <w:rPr>
                <w:spacing w:val="-4"/>
              </w:rPr>
              <w:t>台</w:t>
            </w:r>
          </w:p>
        </w:tc>
        <w:tc>
          <w:tcPr>
            <w:tcW w:w="672" w:type="dxa"/>
            <w:vAlign w:val="top"/>
          </w:tcPr>
          <w:p w14:paraId="01CD5D82">
            <w:pPr>
              <w:pStyle w:val="6"/>
              <w:spacing w:before="89" w:line="228" w:lineRule="auto"/>
              <w:ind w:left="129"/>
            </w:pPr>
            <w:r>
              <w:rPr>
                <w:spacing w:val="4"/>
              </w:rPr>
              <w:t>保留</w:t>
            </w:r>
          </w:p>
        </w:tc>
        <w:tc>
          <w:tcPr>
            <w:tcW w:w="1531" w:type="dxa"/>
            <w:vAlign w:val="top"/>
          </w:tcPr>
          <w:p w14:paraId="34493337">
            <w:pPr>
              <w:spacing w:before="121" w:line="19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81" w:type="dxa"/>
            <w:vAlign w:val="top"/>
          </w:tcPr>
          <w:p w14:paraId="4494E81C">
            <w:pPr>
              <w:spacing w:before="121" w:line="199"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8" w:type="dxa"/>
            <w:vAlign w:val="top"/>
          </w:tcPr>
          <w:p w14:paraId="4F228A9D">
            <w:pPr>
              <w:spacing w:before="12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A232158">
            <w:pPr>
              <w:spacing w:before="12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81068A5">
            <w:pPr>
              <w:pStyle w:val="6"/>
              <w:spacing w:before="127" w:line="227" w:lineRule="auto"/>
              <w:ind w:left="758"/>
            </w:pPr>
            <w:r>
              <w:rPr>
                <w:spacing w:val="4"/>
              </w:rPr>
              <w:t>空压机</w:t>
            </w:r>
          </w:p>
        </w:tc>
        <w:tc>
          <w:tcPr>
            <w:tcW w:w="1558" w:type="dxa"/>
            <w:vAlign w:val="top"/>
          </w:tcPr>
          <w:p w14:paraId="03CB13D8">
            <w:pPr>
              <w:rPr>
                <w:rFonts w:ascii="Arial"/>
                <w:sz w:val="21"/>
              </w:rPr>
            </w:pPr>
          </w:p>
        </w:tc>
        <w:tc>
          <w:tcPr>
            <w:tcW w:w="709" w:type="dxa"/>
            <w:vAlign w:val="top"/>
          </w:tcPr>
          <w:p w14:paraId="24BB2AEA">
            <w:pPr>
              <w:pStyle w:val="6"/>
              <w:spacing w:before="89" w:line="230" w:lineRule="auto"/>
              <w:ind w:left="179"/>
            </w:pPr>
            <w:r>
              <w:rPr>
                <w:spacing w:val="-4"/>
              </w:rPr>
              <w:t>2</w:t>
            </w:r>
            <w:r>
              <w:rPr>
                <w:spacing w:val="-21"/>
              </w:rPr>
              <w:t xml:space="preserve"> </w:t>
            </w:r>
            <w:r>
              <w:rPr>
                <w:spacing w:val="-4"/>
              </w:rPr>
              <w:t>台</w:t>
            </w:r>
          </w:p>
        </w:tc>
        <w:tc>
          <w:tcPr>
            <w:tcW w:w="887" w:type="dxa"/>
            <w:vAlign w:val="top"/>
          </w:tcPr>
          <w:p w14:paraId="3343E523">
            <w:pPr>
              <w:pStyle w:val="6"/>
              <w:spacing w:before="89" w:line="228" w:lineRule="auto"/>
              <w:ind w:left="243"/>
            </w:pPr>
            <w:r>
              <w:rPr>
                <w:spacing w:val="2"/>
              </w:rPr>
              <w:t>原有</w:t>
            </w:r>
          </w:p>
        </w:tc>
      </w:tr>
      <w:tr w14:paraId="47394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11ED11F7">
            <w:pPr>
              <w:spacing w:line="342" w:lineRule="auto"/>
              <w:rPr>
                <w:rFonts w:ascii="Arial"/>
                <w:sz w:val="21"/>
              </w:rPr>
            </w:pPr>
          </w:p>
          <w:p w14:paraId="3C946A8D">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06" w:type="dxa"/>
            <w:vAlign w:val="top"/>
          </w:tcPr>
          <w:p w14:paraId="124B6BA1">
            <w:pPr>
              <w:spacing w:line="339" w:lineRule="auto"/>
              <w:rPr>
                <w:rFonts w:ascii="Arial"/>
                <w:sz w:val="21"/>
              </w:rPr>
            </w:pPr>
          </w:p>
          <w:p w14:paraId="0118A990">
            <w:pPr>
              <w:pStyle w:val="6"/>
              <w:spacing w:before="65" w:line="228" w:lineRule="auto"/>
              <w:ind w:left="279"/>
            </w:pPr>
            <w:r>
              <w:rPr>
                <w:spacing w:val="8"/>
              </w:rPr>
              <w:t>尾矿提升泵</w:t>
            </w:r>
          </w:p>
        </w:tc>
        <w:tc>
          <w:tcPr>
            <w:tcW w:w="1275" w:type="dxa"/>
            <w:vAlign w:val="top"/>
          </w:tcPr>
          <w:p w14:paraId="378B47B3">
            <w:pPr>
              <w:pStyle w:val="6"/>
              <w:spacing w:before="54" w:line="269" w:lineRule="exact"/>
              <w:ind w:left="131"/>
            </w:pPr>
            <w:r>
              <w:rPr>
                <w:spacing w:val="3"/>
                <w:position w:val="1"/>
              </w:rPr>
              <w:t>100</w:t>
            </w:r>
            <w:r>
              <w:rPr>
                <w:position w:val="1"/>
              </w:rPr>
              <w:t>CZX</w:t>
            </w:r>
            <w:r>
              <w:rPr>
                <w:spacing w:val="3"/>
                <w:position w:val="1"/>
              </w:rPr>
              <w:t>-500</w:t>
            </w:r>
          </w:p>
          <w:p w14:paraId="1176899E">
            <w:pPr>
              <w:pStyle w:val="6"/>
              <w:spacing w:before="28" w:line="267" w:lineRule="exact"/>
              <w:ind w:left="109"/>
            </w:pPr>
            <w:r>
              <w:rPr>
                <w:spacing w:val="3"/>
                <w:position w:val="1"/>
              </w:rPr>
              <w:t>Q=180m</w:t>
            </w:r>
            <w:r>
              <w:rPr>
                <w:spacing w:val="3"/>
                <w:position w:val="10"/>
                <w:sz w:val="10"/>
                <w:szCs w:val="10"/>
              </w:rPr>
              <w:t>3</w:t>
            </w:r>
            <w:r>
              <w:rPr>
                <w:spacing w:val="3"/>
                <w:position w:val="1"/>
              </w:rPr>
              <w:t>/h，</w:t>
            </w:r>
          </w:p>
          <w:p w14:paraId="23EB47AA">
            <w:pPr>
              <w:pStyle w:val="6"/>
              <w:spacing w:before="59" w:line="232" w:lineRule="auto"/>
              <w:ind w:left="372"/>
            </w:pPr>
            <w:r>
              <w:rPr>
                <w:spacing w:val="4"/>
              </w:rPr>
              <w:t>H=42m</w:t>
            </w:r>
          </w:p>
        </w:tc>
        <w:tc>
          <w:tcPr>
            <w:tcW w:w="709" w:type="dxa"/>
            <w:vAlign w:val="top"/>
          </w:tcPr>
          <w:p w14:paraId="165F262F">
            <w:pPr>
              <w:spacing w:line="299" w:lineRule="auto"/>
              <w:rPr>
                <w:rFonts w:ascii="Arial"/>
                <w:sz w:val="21"/>
              </w:rPr>
            </w:pPr>
          </w:p>
          <w:p w14:paraId="0B5F31BD">
            <w:pPr>
              <w:pStyle w:val="6"/>
              <w:spacing w:before="65" w:line="230" w:lineRule="auto"/>
              <w:ind w:left="177"/>
            </w:pPr>
            <w:r>
              <w:rPr>
                <w:spacing w:val="-4"/>
              </w:rPr>
              <w:t>3</w:t>
            </w:r>
            <w:r>
              <w:rPr>
                <w:spacing w:val="-22"/>
              </w:rPr>
              <w:t xml:space="preserve"> </w:t>
            </w:r>
            <w:r>
              <w:rPr>
                <w:spacing w:val="-4"/>
              </w:rPr>
              <w:t>台</w:t>
            </w:r>
          </w:p>
        </w:tc>
        <w:tc>
          <w:tcPr>
            <w:tcW w:w="672" w:type="dxa"/>
            <w:vAlign w:val="top"/>
          </w:tcPr>
          <w:p w14:paraId="35DA069E">
            <w:pPr>
              <w:spacing w:line="300" w:lineRule="auto"/>
              <w:rPr>
                <w:rFonts w:ascii="Arial"/>
                <w:sz w:val="21"/>
              </w:rPr>
            </w:pPr>
          </w:p>
          <w:p w14:paraId="2750FFD6">
            <w:pPr>
              <w:pStyle w:val="6"/>
              <w:spacing w:before="65" w:line="228" w:lineRule="auto"/>
              <w:ind w:left="129"/>
            </w:pPr>
            <w:r>
              <w:rPr>
                <w:spacing w:val="4"/>
              </w:rPr>
              <w:t>保留</w:t>
            </w:r>
          </w:p>
        </w:tc>
        <w:tc>
          <w:tcPr>
            <w:tcW w:w="1531" w:type="dxa"/>
            <w:vAlign w:val="top"/>
          </w:tcPr>
          <w:p w14:paraId="6C1F9077">
            <w:pPr>
              <w:spacing w:line="332" w:lineRule="auto"/>
              <w:rPr>
                <w:rFonts w:ascii="Arial"/>
                <w:sz w:val="21"/>
              </w:rPr>
            </w:pPr>
          </w:p>
          <w:p w14:paraId="3F721CF1">
            <w:pPr>
              <w:pStyle w:val="6"/>
              <w:spacing w:before="65" w:line="233" w:lineRule="auto"/>
              <w:ind w:left="716"/>
            </w:pPr>
            <w:r>
              <w:t>/</w:t>
            </w:r>
          </w:p>
        </w:tc>
        <w:tc>
          <w:tcPr>
            <w:tcW w:w="1481" w:type="dxa"/>
            <w:vAlign w:val="top"/>
          </w:tcPr>
          <w:p w14:paraId="32755C3E">
            <w:pPr>
              <w:spacing w:line="299" w:lineRule="auto"/>
              <w:rPr>
                <w:rFonts w:ascii="Arial"/>
                <w:sz w:val="21"/>
              </w:rPr>
            </w:pPr>
          </w:p>
          <w:p w14:paraId="62E4A223">
            <w:pPr>
              <w:pStyle w:val="6"/>
              <w:spacing w:before="65" w:line="233" w:lineRule="auto"/>
              <w:ind w:left="692"/>
            </w:pPr>
            <w:r>
              <w:t>/</w:t>
            </w:r>
          </w:p>
        </w:tc>
        <w:tc>
          <w:tcPr>
            <w:tcW w:w="708" w:type="dxa"/>
            <w:vAlign w:val="top"/>
          </w:tcPr>
          <w:p w14:paraId="781E27D6">
            <w:pPr>
              <w:spacing w:line="339" w:lineRule="auto"/>
              <w:rPr>
                <w:rFonts w:ascii="Arial"/>
                <w:sz w:val="21"/>
              </w:rPr>
            </w:pPr>
          </w:p>
          <w:p w14:paraId="2AA0531C">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2A83934">
            <w:pPr>
              <w:spacing w:line="339" w:lineRule="auto"/>
              <w:rPr>
                <w:rFonts w:ascii="Arial"/>
                <w:sz w:val="21"/>
              </w:rPr>
            </w:pPr>
          </w:p>
          <w:p w14:paraId="2CEEFE14">
            <w:pPr>
              <w:spacing w:before="57"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3B9F559">
            <w:pPr>
              <w:spacing w:line="339" w:lineRule="auto"/>
              <w:rPr>
                <w:rFonts w:ascii="Arial"/>
                <w:sz w:val="21"/>
              </w:rPr>
            </w:pPr>
          </w:p>
          <w:p w14:paraId="18C898F2">
            <w:pPr>
              <w:pStyle w:val="6"/>
              <w:spacing w:before="65" w:line="228" w:lineRule="auto"/>
              <w:ind w:left="331"/>
            </w:pPr>
            <w:r>
              <w:rPr>
                <w:spacing w:val="8"/>
              </w:rPr>
              <w:t>尾矿提升泵</w:t>
            </w:r>
          </w:p>
        </w:tc>
        <w:tc>
          <w:tcPr>
            <w:tcW w:w="1558" w:type="dxa"/>
            <w:vAlign w:val="top"/>
          </w:tcPr>
          <w:p w14:paraId="60A4CEB6">
            <w:pPr>
              <w:pStyle w:val="6"/>
              <w:spacing w:before="54" w:line="269" w:lineRule="exact"/>
              <w:ind w:left="277"/>
            </w:pPr>
            <w:r>
              <w:rPr>
                <w:spacing w:val="3"/>
                <w:position w:val="1"/>
              </w:rPr>
              <w:t>100</w:t>
            </w:r>
            <w:r>
              <w:rPr>
                <w:position w:val="1"/>
              </w:rPr>
              <w:t>CZX</w:t>
            </w:r>
            <w:r>
              <w:rPr>
                <w:spacing w:val="3"/>
                <w:position w:val="1"/>
              </w:rPr>
              <w:t>-500</w:t>
            </w:r>
          </w:p>
          <w:p w14:paraId="4D6A919F">
            <w:pPr>
              <w:pStyle w:val="6"/>
              <w:spacing w:before="28" w:line="267" w:lineRule="exact"/>
              <w:ind w:left="233"/>
            </w:pPr>
            <w:r>
              <w:rPr>
                <w:spacing w:val="3"/>
                <w:position w:val="1"/>
              </w:rPr>
              <w:t>Q=180m</w:t>
            </w:r>
            <w:r>
              <w:rPr>
                <w:spacing w:val="3"/>
                <w:position w:val="10"/>
                <w:sz w:val="10"/>
                <w:szCs w:val="10"/>
              </w:rPr>
              <w:t>3</w:t>
            </w:r>
            <w:r>
              <w:rPr>
                <w:spacing w:val="3"/>
                <w:position w:val="1"/>
              </w:rPr>
              <w:t>/h，</w:t>
            </w:r>
          </w:p>
          <w:p w14:paraId="1A1F1380">
            <w:pPr>
              <w:pStyle w:val="6"/>
              <w:spacing w:before="59" w:line="232" w:lineRule="auto"/>
              <w:ind w:left="518"/>
            </w:pPr>
            <w:r>
              <w:rPr>
                <w:spacing w:val="4"/>
              </w:rPr>
              <w:t>H=42m</w:t>
            </w:r>
          </w:p>
        </w:tc>
        <w:tc>
          <w:tcPr>
            <w:tcW w:w="709" w:type="dxa"/>
            <w:vAlign w:val="top"/>
          </w:tcPr>
          <w:p w14:paraId="320F1593">
            <w:pPr>
              <w:spacing w:line="299" w:lineRule="auto"/>
              <w:rPr>
                <w:rFonts w:ascii="Arial"/>
                <w:sz w:val="21"/>
              </w:rPr>
            </w:pPr>
          </w:p>
          <w:p w14:paraId="4497AA0B">
            <w:pPr>
              <w:pStyle w:val="6"/>
              <w:spacing w:before="65" w:line="230" w:lineRule="auto"/>
              <w:ind w:left="181"/>
            </w:pPr>
            <w:r>
              <w:rPr>
                <w:spacing w:val="-4"/>
              </w:rPr>
              <w:t>3</w:t>
            </w:r>
            <w:r>
              <w:rPr>
                <w:spacing w:val="-22"/>
              </w:rPr>
              <w:t xml:space="preserve"> </w:t>
            </w:r>
            <w:r>
              <w:rPr>
                <w:spacing w:val="-4"/>
              </w:rPr>
              <w:t>台</w:t>
            </w:r>
          </w:p>
        </w:tc>
        <w:tc>
          <w:tcPr>
            <w:tcW w:w="887" w:type="dxa"/>
            <w:vAlign w:val="top"/>
          </w:tcPr>
          <w:p w14:paraId="04535A6D">
            <w:pPr>
              <w:spacing w:line="300" w:lineRule="auto"/>
              <w:rPr>
                <w:rFonts w:ascii="Arial"/>
                <w:sz w:val="21"/>
              </w:rPr>
            </w:pPr>
          </w:p>
          <w:p w14:paraId="18C2970C">
            <w:pPr>
              <w:pStyle w:val="6"/>
              <w:spacing w:before="65" w:line="228" w:lineRule="auto"/>
              <w:ind w:left="243"/>
            </w:pPr>
            <w:r>
              <w:rPr>
                <w:spacing w:val="2"/>
              </w:rPr>
              <w:t>原有</w:t>
            </w:r>
          </w:p>
        </w:tc>
      </w:tr>
      <w:tr w14:paraId="5110D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633" w:type="dxa"/>
            <w:vAlign w:val="top"/>
          </w:tcPr>
          <w:p w14:paraId="0C73FBC4">
            <w:pPr>
              <w:spacing w:line="343" w:lineRule="auto"/>
              <w:rPr>
                <w:rFonts w:ascii="Arial"/>
                <w:sz w:val="21"/>
              </w:rPr>
            </w:pPr>
          </w:p>
          <w:p w14:paraId="0791BE39">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606" w:type="dxa"/>
            <w:vAlign w:val="top"/>
          </w:tcPr>
          <w:p w14:paraId="4C5AFF3C">
            <w:pPr>
              <w:spacing w:line="340" w:lineRule="auto"/>
              <w:rPr>
                <w:rFonts w:ascii="Arial"/>
                <w:sz w:val="21"/>
              </w:rPr>
            </w:pPr>
          </w:p>
          <w:p w14:paraId="157137EF">
            <w:pPr>
              <w:pStyle w:val="6"/>
              <w:spacing w:before="65" w:line="233" w:lineRule="auto"/>
              <w:ind w:left="754"/>
            </w:pPr>
            <w:r>
              <w:t>/</w:t>
            </w:r>
          </w:p>
        </w:tc>
        <w:tc>
          <w:tcPr>
            <w:tcW w:w="1275" w:type="dxa"/>
            <w:vAlign w:val="top"/>
          </w:tcPr>
          <w:p w14:paraId="098B594B">
            <w:pPr>
              <w:spacing w:line="300" w:lineRule="auto"/>
              <w:rPr>
                <w:rFonts w:ascii="Arial"/>
                <w:sz w:val="21"/>
              </w:rPr>
            </w:pPr>
          </w:p>
          <w:p w14:paraId="29FB3AB2">
            <w:pPr>
              <w:pStyle w:val="6"/>
              <w:spacing w:before="65" w:line="233" w:lineRule="auto"/>
              <w:ind w:left="588"/>
            </w:pPr>
            <w:r>
              <w:t>/</w:t>
            </w:r>
          </w:p>
        </w:tc>
        <w:tc>
          <w:tcPr>
            <w:tcW w:w="709" w:type="dxa"/>
            <w:vAlign w:val="top"/>
          </w:tcPr>
          <w:p w14:paraId="4BA61AE8">
            <w:pPr>
              <w:spacing w:line="300" w:lineRule="auto"/>
              <w:rPr>
                <w:rFonts w:ascii="Arial"/>
                <w:sz w:val="21"/>
              </w:rPr>
            </w:pPr>
          </w:p>
          <w:p w14:paraId="63400F5E">
            <w:pPr>
              <w:pStyle w:val="6"/>
              <w:spacing w:before="65" w:line="233" w:lineRule="auto"/>
              <w:ind w:left="304"/>
            </w:pPr>
            <w:r>
              <w:t>/</w:t>
            </w:r>
          </w:p>
        </w:tc>
        <w:tc>
          <w:tcPr>
            <w:tcW w:w="672" w:type="dxa"/>
            <w:vAlign w:val="top"/>
          </w:tcPr>
          <w:p w14:paraId="6E8254F8">
            <w:pPr>
              <w:spacing w:line="300" w:lineRule="auto"/>
              <w:rPr>
                <w:rFonts w:ascii="Arial"/>
                <w:sz w:val="21"/>
              </w:rPr>
            </w:pPr>
          </w:p>
          <w:p w14:paraId="38DD7579">
            <w:pPr>
              <w:pStyle w:val="6"/>
              <w:spacing w:before="65" w:line="233" w:lineRule="auto"/>
              <w:ind w:left="286"/>
            </w:pPr>
            <w:r>
              <w:t>/</w:t>
            </w:r>
          </w:p>
        </w:tc>
        <w:tc>
          <w:tcPr>
            <w:tcW w:w="1531" w:type="dxa"/>
            <w:vAlign w:val="top"/>
          </w:tcPr>
          <w:p w14:paraId="35E8794E">
            <w:pPr>
              <w:spacing w:line="333" w:lineRule="auto"/>
              <w:rPr>
                <w:rFonts w:ascii="Arial"/>
                <w:sz w:val="21"/>
              </w:rPr>
            </w:pPr>
          </w:p>
          <w:p w14:paraId="48D07190">
            <w:pPr>
              <w:pStyle w:val="6"/>
              <w:spacing w:before="65" w:line="228" w:lineRule="auto"/>
              <w:ind w:left="244"/>
            </w:pPr>
            <w:r>
              <w:rPr>
                <w:spacing w:val="8"/>
              </w:rPr>
              <w:t>尾矿输送泵</w:t>
            </w:r>
          </w:p>
        </w:tc>
        <w:tc>
          <w:tcPr>
            <w:tcW w:w="1481" w:type="dxa"/>
            <w:vAlign w:val="top"/>
          </w:tcPr>
          <w:p w14:paraId="5EA09220">
            <w:pPr>
              <w:pStyle w:val="6"/>
              <w:spacing w:before="54" w:line="233" w:lineRule="auto"/>
              <w:ind w:right="16"/>
              <w:jc w:val="right"/>
            </w:pPr>
            <w:r>
              <w:rPr>
                <w:spacing w:val="3"/>
              </w:rPr>
              <w:t>100/80E-</w:t>
            </w:r>
            <w:r>
              <w:t>HHK</w:t>
            </w:r>
            <w:r>
              <w:rPr>
                <w:spacing w:val="3"/>
              </w:rPr>
              <w:t>，</w:t>
            </w:r>
          </w:p>
          <w:p w14:paraId="32859FEB">
            <w:pPr>
              <w:pStyle w:val="6"/>
              <w:spacing w:before="45" w:line="267" w:lineRule="exact"/>
              <w:ind w:left="245"/>
            </w:pPr>
            <w:r>
              <w:rPr>
                <w:spacing w:val="3"/>
                <w:position w:val="1"/>
              </w:rPr>
              <w:t>Q=70m</w:t>
            </w:r>
            <w:r>
              <w:rPr>
                <w:spacing w:val="3"/>
                <w:position w:val="10"/>
                <w:sz w:val="10"/>
                <w:szCs w:val="10"/>
              </w:rPr>
              <w:t>3</w:t>
            </w:r>
            <w:r>
              <w:rPr>
                <w:spacing w:val="3"/>
                <w:position w:val="1"/>
              </w:rPr>
              <w:t>/h，</w:t>
            </w:r>
          </w:p>
          <w:p w14:paraId="7C5F88B2">
            <w:pPr>
              <w:pStyle w:val="6"/>
              <w:spacing w:before="60" w:line="234" w:lineRule="auto"/>
              <w:ind w:left="477"/>
            </w:pPr>
            <w:r>
              <w:rPr>
                <w:spacing w:val="4"/>
              </w:rPr>
              <w:t>H=75m</w:t>
            </w:r>
          </w:p>
        </w:tc>
        <w:tc>
          <w:tcPr>
            <w:tcW w:w="708" w:type="dxa"/>
            <w:vAlign w:val="top"/>
          </w:tcPr>
          <w:p w14:paraId="72C7E615">
            <w:pPr>
              <w:spacing w:line="300" w:lineRule="auto"/>
              <w:rPr>
                <w:rFonts w:ascii="Arial"/>
                <w:sz w:val="21"/>
              </w:rPr>
            </w:pPr>
          </w:p>
          <w:p w14:paraId="4E044543">
            <w:pPr>
              <w:pStyle w:val="6"/>
              <w:spacing w:before="65" w:line="230" w:lineRule="auto"/>
              <w:ind w:left="179"/>
            </w:pPr>
            <w:r>
              <w:rPr>
                <w:spacing w:val="-4"/>
              </w:rPr>
              <w:t>2</w:t>
            </w:r>
            <w:r>
              <w:rPr>
                <w:spacing w:val="-24"/>
              </w:rPr>
              <w:t xml:space="preserve"> </w:t>
            </w:r>
            <w:r>
              <w:rPr>
                <w:spacing w:val="-4"/>
              </w:rPr>
              <w:t>台</w:t>
            </w:r>
          </w:p>
        </w:tc>
        <w:tc>
          <w:tcPr>
            <w:tcW w:w="709" w:type="dxa"/>
            <w:vAlign w:val="top"/>
          </w:tcPr>
          <w:p w14:paraId="2137BD44">
            <w:pPr>
              <w:spacing w:line="300" w:lineRule="auto"/>
              <w:rPr>
                <w:rFonts w:ascii="Arial"/>
                <w:sz w:val="21"/>
              </w:rPr>
            </w:pPr>
          </w:p>
          <w:p w14:paraId="11460CEA">
            <w:pPr>
              <w:pStyle w:val="6"/>
              <w:spacing w:before="65" w:line="228" w:lineRule="auto"/>
              <w:ind w:left="151"/>
            </w:pPr>
            <w:r>
              <w:rPr>
                <w:spacing w:val="4"/>
              </w:rPr>
              <w:t>新增</w:t>
            </w:r>
          </w:p>
        </w:tc>
        <w:tc>
          <w:tcPr>
            <w:tcW w:w="1700" w:type="dxa"/>
            <w:vAlign w:val="top"/>
          </w:tcPr>
          <w:p w14:paraId="747CFF55">
            <w:pPr>
              <w:spacing w:line="333" w:lineRule="auto"/>
              <w:rPr>
                <w:rFonts w:ascii="Arial"/>
                <w:sz w:val="21"/>
              </w:rPr>
            </w:pPr>
          </w:p>
          <w:p w14:paraId="613F2594">
            <w:pPr>
              <w:pStyle w:val="6"/>
              <w:spacing w:before="65" w:line="228" w:lineRule="auto"/>
              <w:ind w:left="331"/>
            </w:pPr>
            <w:r>
              <w:rPr>
                <w:spacing w:val="8"/>
              </w:rPr>
              <w:t>尾矿输送泵</w:t>
            </w:r>
          </w:p>
        </w:tc>
        <w:tc>
          <w:tcPr>
            <w:tcW w:w="1558" w:type="dxa"/>
            <w:vAlign w:val="top"/>
          </w:tcPr>
          <w:p w14:paraId="194BA6B0">
            <w:pPr>
              <w:pStyle w:val="6"/>
              <w:spacing w:before="210" w:line="233" w:lineRule="auto"/>
              <w:ind w:left="171"/>
            </w:pPr>
            <w:r>
              <w:rPr>
                <w:spacing w:val="4"/>
              </w:rPr>
              <w:t>100/80E-</w:t>
            </w:r>
            <w:r>
              <w:t>HHKQ</w:t>
            </w:r>
          </w:p>
          <w:p w14:paraId="163BD769">
            <w:pPr>
              <w:pStyle w:val="6"/>
              <w:spacing w:before="45" w:line="266" w:lineRule="exact"/>
              <w:ind w:left="113"/>
            </w:pPr>
            <w:r>
              <w:rPr>
                <w:spacing w:val="-2"/>
              </w:rPr>
              <w:t>=70m</w:t>
            </w:r>
            <w:r>
              <w:rPr>
                <w:spacing w:val="-2"/>
                <w:position w:val="10"/>
                <w:sz w:val="10"/>
                <w:szCs w:val="10"/>
              </w:rPr>
              <w:t>3</w:t>
            </w:r>
            <w:r>
              <w:rPr>
                <w:spacing w:val="-2"/>
              </w:rPr>
              <w:t>/h，H=75m</w:t>
            </w:r>
          </w:p>
        </w:tc>
        <w:tc>
          <w:tcPr>
            <w:tcW w:w="709" w:type="dxa"/>
            <w:vAlign w:val="top"/>
          </w:tcPr>
          <w:p w14:paraId="6075F526">
            <w:pPr>
              <w:spacing w:line="300" w:lineRule="auto"/>
              <w:rPr>
                <w:rFonts w:ascii="Arial"/>
                <w:sz w:val="21"/>
              </w:rPr>
            </w:pPr>
          </w:p>
          <w:p w14:paraId="02F8E016">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5C7F5D59">
            <w:pPr>
              <w:spacing w:line="300" w:lineRule="auto"/>
              <w:rPr>
                <w:rFonts w:ascii="Arial"/>
                <w:sz w:val="21"/>
              </w:rPr>
            </w:pPr>
          </w:p>
          <w:p w14:paraId="092622E2">
            <w:pPr>
              <w:pStyle w:val="6"/>
              <w:spacing w:before="65" w:line="228" w:lineRule="auto"/>
              <w:ind w:left="239"/>
            </w:pPr>
            <w:r>
              <w:rPr>
                <w:spacing w:val="4"/>
              </w:rPr>
              <w:t>新增</w:t>
            </w:r>
          </w:p>
        </w:tc>
      </w:tr>
    </w:tbl>
    <w:p w14:paraId="2E599DEF">
      <w:pPr>
        <w:pStyle w:val="2"/>
      </w:pPr>
    </w:p>
    <w:p w14:paraId="5ABA91E2">
      <w:pPr>
        <w:sectPr>
          <w:footerReference r:id="rId105" w:type="default"/>
          <w:pgSz w:w="16839" w:h="11906"/>
          <w:pgMar w:top="1208" w:right="1327" w:bottom="1358" w:left="1327" w:header="825" w:footer="1195" w:gutter="0"/>
          <w:cols w:space="720" w:num="1"/>
        </w:sectPr>
      </w:pPr>
    </w:p>
    <w:p w14:paraId="5A199AC4">
      <w:pPr>
        <w:spacing w:before="53"/>
      </w:pPr>
    </w:p>
    <w:p w14:paraId="16A011CF">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6546B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7BB725DE">
            <w:pPr>
              <w:pStyle w:val="6"/>
              <w:spacing w:before="210" w:line="218" w:lineRule="auto"/>
              <w:ind w:left="203"/>
            </w:pPr>
            <w:r>
              <w:rPr>
                <w:spacing w:val="6"/>
              </w:rPr>
              <w:t>序 号</w:t>
            </w:r>
          </w:p>
        </w:tc>
        <w:tc>
          <w:tcPr>
            <w:tcW w:w="4262" w:type="dxa"/>
            <w:gridSpan w:val="4"/>
            <w:vAlign w:val="top"/>
          </w:tcPr>
          <w:p w14:paraId="50D33536">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4DF8978E">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2E4737CE">
            <w:pPr>
              <w:pStyle w:val="6"/>
              <w:spacing w:before="198" w:line="228" w:lineRule="auto"/>
              <w:ind w:left="1278"/>
            </w:pPr>
            <w:r>
              <w:rPr>
                <w:spacing w:val="9"/>
              </w:rPr>
              <w:t>技改工程完成后最终设备</w:t>
            </w:r>
          </w:p>
        </w:tc>
      </w:tr>
      <w:tr w14:paraId="29FA9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17B89346">
            <w:pPr>
              <w:rPr>
                <w:rFonts w:ascii="Arial"/>
                <w:sz w:val="21"/>
              </w:rPr>
            </w:pPr>
          </w:p>
        </w:tc>
        <w:tc>
          <w:tcPr>
            <w:tcW w:w="1606" w:type="dxa"/>
            <w:vAlign w:val="top"/>
          </w:tcPr>
          <w:p w14:paraId="39E60F39">
            <w:pPr>
              <w:pStyle w:val="6"/>
              <w:spacing w:before="53" w:line="230" w:lineRule="auto"/>
              <w:ind w:left="599"/>
            </w:pPr>
            <w:r>
              <w:rPr>
                <w:spacing w:val="3"/>
              </w:rPr>
              <w:t>名称</w:t>
            </w:r>
          </w:p>
        </w:tc>
        <w:tc>
          <w:tcPr>
            <w:tcW w:w="1275" w:type="dxa"/>
            <w:vAlign w:val="top"/>
          </w:tcPr>
          <w:p w14:paraId="2A03184A">
            <w:pPr>
              <w:pStyle w:val="6"/>
              <w:spacing w:before="52" w:line="228" w:lineRule="auto"/>
              <w:ind w:left="116"/>
            </w:pPr>
            <w:r>
              <w:rPr>
                <w:spacing w:val="7"/>
              </w:rPr>
              <w:t>规格及型号</w:t>
            </w:r>
          </w:p>
        </w:tc>
        <w:tc>
          <w:tcPr>
            <w:tcW w:w="709" w:type="dxa"/>
            <w:vAlign w:val="top"/>
          </w:tcPr>
          <w:p w14:paraId="1DE7108F">
            <w:pPr>
              <w:pStyle w:val="6"/>
              <w:spacing w:before="52" w:line="228" w:lineRule="auto"/>
              <w:ind w:left="148"/>
            </w:pPr>
            <w:r>
              <w:rPr>
                <w:spacing w:val="3"/>
              </w:rPr>
              <w:t>数量</w:t>
            </w:r>
          </w:p>
        </w:tc>
        <w:tc>
          <w:tcPr>
            <w:tcW w:w="672" w:type="dxa"/>
            <w:vAlign w:val="top"/>
          </w:tcPr>
          <w:p w14:paraId="55609963">
            <w:pPr>
              <w:pStyle w:val="6"/>
              <w:spacing w:before="53" w:line="229" w:lineRule="auto"/>
              <w:ind w:left="131"/>
            </w:pPr>
            <w:r>
              <w:rPr>
                <w:spacing w:val="3"/>
              </w:rPr>
              <w:t>备注</w:t>
            </w:r>
          </w:p>
        </w:tc>
        <w:tc>
          <w:tcPr>
            <w:tcW w:w="1531" w:type="dxa"/>
            <w:vAlign w:val="top"/>
          </w:tcPr>
          <w:p w14:paraId="13482197">
            <w:pPr>
              <w:pStyle w:val="6"/>
              <w:spacing w:before="53" w:line="230" w:lineRule="auto"/>
              <w:ind w:left="563"/>
            </w:pPr>
            <w:r>
              <w:rPr>
                <w:spacing w:val="3"/>
              </w:rPr>
              <w:t>名称</w:t>
            </w:r>
          </w:p>
        </w:tc>
        <w:tc>
          <w:tcPr>
            <w:tcW w:w="1481" w:type="dxa"/>
            <w:vAlign w:val="top"/>
          </w:tcPr>
          <w:p w14:paraId="3EEA49F5">
            <w:pPr>
              <w:pStyle w:val="6"/>
              <w:spacing w:before="52" w:line="228" w:lineRule="auto"/>
              <w:ind w:left="535"/>
            </w:pPr>
            <w:r>
              <w:rPr>
                <w:spacing w:val="4"/>
              </w:rPr>
              <w:t>规格</w:t>
            </w:r>
          </w:p>
        </w:tc>
        <w:tc>
          <w:tcPr>
            <w:tcW w:w="708" w:type="dxa"/>
            <w:vAlign w:val="top"/>
          </w:tcPr>
          <w:p w14:paraId="6A64431E">
            <w:pPr>
              <w:pStyle w:val="6"/>
              <w:spacing w:before="52" w:line="228" w:lineRule="auto"/>
              <w:ind w:left="152"/>
            </w:pPr>
            <w:r>
              <w:rPr>
                <w:spacing w:val="3"/>
              </w:rPr>
              <w:t>数量</w:t>
            </w:r>
          </w:p>
        </w:tc>
        <w:tc>
          <w:tcPr>
            <w:tcW w:w="709" w:type="dxa"/>
            <w:vAlign w:val="top"/>
          </w:tcPr>
          <w:p w14:paraId="4DD2F542">
            <w:pPr>
              <w:pStyle w:val="6"/>
              <w:spacing w:before="53" w:line="229" w:lineRule="auto"/>
              <w:ind w:left="153"/>
            </w:pPr>
            <w:r>
              <w:rPr>
                <w:spacing w:val="3"/>
              </w:rPr>
              <w:t>备注</w:t>
            </w:r>
          </w:p>
        </w:tc>
        <w:tc>
          <w:tcPr>
            <w:tcW w:w="1700" w:type="dxa"/>
            <w:vAlign w:val="top"/>
          </w:tcPr>
          <w:p w14:paraId="0CB6682B">
            <w:pPr>
              <w:pStyle w:val="6"/>
              <w:spacing w:before="53" w:line="230" w:lineRule="auto"/>
              <w:ind w:left="648"/>
            </w:pPr>
            <w:r>
              <w:rPr>
                <w:spacing w:val="3"/>
              </w:rPr>
              <w:t>名称</w:t>
            </w:r>
          </w:p>
        </w:tc>
        <w:tc>
          <w:tcPr>
            <w:tcW w:w="1558" w:type="dxa"/>
            <w:vAlign w:val="top"/>
          </w:tcPr>
          <w:p w14:paraId="1066D7A5">
            <w:pPr>
              <w:pStyle w:val="6"/>
              <w:spacing w:before="52" w:line="228" w:lineRule="auto"/>
              <w:ind w:left="576"/>
            </w:pPr>
            <w:r>
              <w:rPr>
                <w:spacing w:val="4"/>
              </w:rPr>
              <w:t>规格</w:t>
            </w:r>
          </w:p>
        </w:tc>
        <w:tc>
          <w:tcPr>
            <w:tcW w:w="709" w:type="dxa"/>
            <w:vAlign w:val="top"/>
          </w:tcPr>
          <w:p w14:paraId="3191B047">
            <w:pPr>
              <w:pStyle w:val="6"/>
              <w:spacing w:before="52" w:line="228" w:lineRule="auto"/>
              <w:ind w:left="152"/>
            </w:pPr>
            <w:r>
              <w:rPr>
                <w:spacing w:val="3"/>
              </w:rPr>
              <w:t>数量</w:t>
            </w:r>
          </w:p>
        </w:tc>
        <w:tc>
          <w:tcPr>
            <w:tcW w:w="887" w:type="dxa"/>
            <w:vAlign w:val="top"/>
          </w:tcPr>
          <w:p w14:paraId="31E8BB5D">
            <w:pPr>
              <w:pStyle w:val="6"/>
              <w:spacing w:before="53" w:line="229" w:lineRule="auto"/>
              <w:ind w:left="241"/>
            </w:pPr>
            <w:r>
              <w:rPr>
                <w:spacing w:val="3"/>
              </w:rPr>
              <w:t>备注</w:t>
            </w:r>
          </w:p>
        </w:tc>
      </w:tr>
      <w:tr w14:paraId="316F7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5947A813">
            <w:pPr>
              <w:spacing w:line="341" w:lineRule="auto"/>
              <w:rPr>
                <w:rFonts w:ascii="Arial"/>
                <w:sz w:val="21"/>
              </w:rPr>
            </w:pPr>
          </w:p>
          <w:p w14:paraId="67DDAEB5">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606" w:type="dxa"/>
            <w:vAlign w:val="top"/>
          </w:tcPr>
          <w:p w14:paraId="328A7D78">
            <w:pPr>
              <w:spacing w:line="335" w:lineRule="auto"/>
              <w:rPr>
                <w:rFonts w:ascii="Arial"/>
                <w:sz w:val="21"/>
              </w:rPr>
            </w:pPr>
          </w:p>
          <w:p w14:paraId="5282DC51">
            <w:pPr>
              <w:pStyle w:val="6"/>
              <w:spacing w:before="65" w:line="233" w:lineRule="auto"/>
              <w:ind w:left="754"/>
            </w:pPr>
            <w:r>
              <w:t>/</w:t>
            </w:r>
          </w:p>
        </w:tc>
        <w:tc>
          <w:tcPr>
            <w:tcW w:w="1275" w:type="dxa"/>
            <w:vAlign w:val="top"/>
          </w:tcPr>
          <w:p w14:paraId="52BEC515">
            <w:pPr>
              <w:spacing w:line="297" w:lineRule="auto"/>
              <w:rPr>
                <w:rFonts w:ascii="Arial"/>
                <w:sz w:val="21"/>
              </w:rPr>
            </w:pPr>
          </w:p>
          <w:p w14:paraId="4DCFDE89">
            <w:pPr>
              <w:pStyle w:val="6"/>
              <w:spacing w:before="65" w:line="233" w:lineRule="auto"/>
              <w:ind w:left="588"/>
            </w:pPr>
            <w:r>
              <w:t>/</w:t>
            </w:r>
          </w:p>
        </w:tc>
        <w:tc>
          <w:tcPr>
            <w:tcW w:w="709" w:type="dxa"/>
            <w:vAlign w:val="top"/>
          </w:tcPr>
          <w:p w14:paraId="1FCBD678">
            <w:pPr>
              <w:spacing w:line="297" w:lineRule="auto"/>
              <w:rPr>
                <w:rFonts w:ascii="Arial"/>
                <w:sz w:val="21"/>
              </w:rPr>
            </w:pPr>
          </w:p>
          <w:p w14:paraId="0A8DC8FD">
            <w:pPr>
              <w:pStyle w:val="6"/>
              <w:spacing w:before="65" w:line="233" w:lineRule="auto"/>
              <w:ind w:left="304"/>
            </w:pPr>
            <w:r>
              <w:t>/</w:t>
            </w:r>
          </w:p>
        </w:tc>
        <w:tc>
          <w:tcPr>
            <w:tcW w:w="672" w:type="dxa"/>
            <w:vAlign w:val="top"/>
          </w:tcPr>
          <w:p w14:paraId="7C18653E">
            <w:pPr>
              <w:spacing w:line="297" w:lineRule="auto"/>
              <w:rPr>
                <w:rFonts w:ascii="Arial"/>
                <w:sz w:val="21"/>
              </w:rPr>
            </w:pPr>
          </w:p>
          <w:p w14:paraId="13BC8088">
            <w:pPr>
              <w:pStyle w:val="6"/>
              <w:spacing w:before="65" w:line="233" w:lineRule="auto"/>
              <w:ind w:left="286"/>
            </w:pPr>
            <w:r>
              <w:t>/</w:t>
            </w:r>
          </w:p>
        </w:tc>
        <w:tc>
          <w:tcPr>
            <w:tcW w:w="1531" w:type="dxa"/>
            <w:vAlign w:val="top"/>
          </w:tcPr>
          <w:p w14:paraId="20DAC1E5">
            <w:pPr>
              <w:spacing w:line="331" w:lineRule="auto"/>
              <w:rPr>
                <w:rFonts w:ascii="Arial"/>
                <w:sz w:val="21"/>
              </w:rPr>
            </w:pPr>
          </w:p>
          <w:p w14:paraId="6ED49695">
            <w:pPr>
              <w:pStyle w:val="6"/>
              <w:spacing w:before="65" w:line="228" w:lineRule="auto"/>
              <w:ind w:left="244"/>
            </w:pPr>
            <w:r>
              <w:rPr>
                <w:spacing w:val="8"/>
              </w:rPr>
              <w:t>尾矿输送泵</w:t>
            </w:r>
          </w:p>
        </w:tc>
        <w:tc>
          <w:tcPr>
            <w:tcW w:w="1481" w:type="dxa"/>
            <w:vAlign w:val="top"/>
          </w:tcPr>
          <w:p w14:paraId="5611021A">
            <w:pPr>
              <w:pStyle w:val="6"/>
              <w:spacing w:before="52" w:line="233" w:lineRule="auto"/>
              <w:ind w:left="215"/>
            </w:pPr>
            <w:r>
              <w:t>HGB</w:t>
            </w:r>
            <w:r>
              <w:rPr>
                <w:spacing w:val="6"/>
              </w:rPr>
              <w:t>-90/1，</w:t>
            </w:r>
          </w:p>
          <w:p w14:paraId="78C42EE6">
            <w:pPr>
              <w:pStyle w:val="6"/>
              <w:spacing w:before="42" w:line="269" w:lineRule="auto"/>
              <w:ind w:left="426" w:right="292" w:hanging="181"/>
            </w:pPr>
            <w:r>
              <w:rPr>
                <w:spacing w:val="-2"/>
              </w:rPr>
              <w:t>Q=70m</w:t>
            </w:r>
            <w:r>
              <w:rPr>
                <w:spacing w:val="-2"/>
                <w:position w:val="10"/>
                <w:sz w:val="10"/>
                <w:szCs w:val="10"/>
              </w:rPr>
              <w:t>3</w:t>
            </w:r>
            <w:r>
              <w:rPr>
                <w:spacing w:val="-2"/>
              </w:rPr>
              <w:t>/h，</w:t>
            </w:r>
            <w:r>
              <w:rPr>
                <w:spacing w:val="5"/>
              </w:rPr>
              <w:t xml:space="preserve"> </w:t>
            </w:r>
            <w:r>
              <w:rPr>
                <w:spacing w:val="4"/>
              </w:rPr>
              <w:t>H=100m</w:t>
            </w:r>
          </w:p>
        </w:tc>
        <w:tc>
          <w:tcPr>
            <w:tcW w:w="708" w:type="dxa"/>
            <w:vAlign w:val="top"/>
          </w:tcPr>
          <w:p w14:paraId="6E74A994">
            <w:pPr>
              <w:spacing w:line="297" w:lineRule="auto"/>
              <w:rPr>
                <w:rFonts w:ascii="Arial"/>
                <w:sz w:val="21"/>
              </w:rPr>
            </w:pPr>
          </w:p>
          <w:p w14:paraId="3E909D67">
            <w:pPr>
              <w:pStyle w:val="6"/>
              <w:spacing w:before="65" w:line="230" w:lineRule="auto"/>
              <w:ind w:left="192"/>
            </w:pPr>
            <w:r>
              <w:rPr>
                <w:spacing w:val="-10"/>
              </w:rPr>
              <w:t>1</w:t>
            </w:r>
            <w:r>
              <w:rPr>
                <w:spacing w:val="-25"/>
              </w:rPr>
              <w:t xml:space="preserve"> </w:t>
            </w:r>
            <w:r>
              <w:rPr>
                <w:spacing w:val="-10"/>
              </w:rPr>
              <w:t>台</w:t>
            </w:r>
          </w:p>
        </w:tc>
        <w:tc>
          <w:tcPr>
            <w:tcW w:w="709" w:type="dxa"/>
            <w:vAlign w:val="top"/>
          </w:tcPr>
          <w:p w14:paraId="457CCEF8">
            <w:pPr>
              <w:spacing w:line="298" w:lineRule="auto"/>
              <w:rPr>
                <w:rFonts w:ascii="Arial"/>
                <w:sz w:val="21"/>
              </w:rPr>
            </w:pPr>
          </w:p>
          <w:p w14:paraId="0121A403">
            <w:pPr>
              <w:pStyle w:val="6"/>
              <w:spacing w:before="65" w:line="228" w:lineRule="auto"/>
              <w:ind w:left="151"/>
            </w:pPr>
            <w:r>
              <w:rPr>
                <w:spacing w:val="4"/>
              </w:rPr>
              <w:t>新增</w:t>
            </w:r>
          </w:p>
        </w:tc>
        <w:tc>
          <w:tcPr>
            <w:tcW w:w="1700" w:type="dxa"/>
            <w:vAlign w:val="top"/>
          </w:tcPr>
          <w:p w14:paraId="006A4333">
            <w:pPr>
              <w:spacing w:line="331" w:lineRule="auto"/>
              <w:rPr>
                <w:rFonts w:ascii="Arial"/>
                <w:sz w:val="21"/>
              </w:rPr>
            </w:pPr>
          </w:p>
          <w:p w14:paraId="0DD95083">
            <w:pPr>
              <w:pStyle w:val="6"/>
              <w:spacing w:before="65" w:line="228" w:lineRule="auto"/>
              <w:ind w:left="331"/>
            </w:pPr>
            <w:r>
              <w:rPr>
                <w:spacing w:val="8"/>
              </w:rPr>
              <w:t>尾矿输送泵</w:t>
            </w:r>
          </w:p>
        </w:tc>
        <w:tc>
          <w:tcPr>
            <w:tcW w:w="1558" w:type="dxa"/>
            <w:vAlign w:val="top"/>
          </w:tcPr>
          <w:p w14:paraId="47722B45">
            <w:pPr>
              <w:pStyle w:val="6"/>
              <w:spacing w:before="52" w:line="233" w:lineRule="auto"/>
              <w:ind w:left="256"/>
            </w:pPr>
            <w:r>
              <w:t>HGB</w:t>
            </w:r>
            <w:r>
              <w:rPr>
                <w:spacing w:val="5"/>
              </w:rPr>
              <w:t>-90/1，</w:t>
            </w:r>
          </w:p>
          <w:p w14:paraId="2B593B1C">
            <w:pPr>
              <w:pStyle w:val="6"/>
              <w:spacing w:before="42" w:line="270" w:lineRule="exact"/>
              <w:ind w:left="286"/>
            </w:pPr>
            <w:r>
              <w:rPr>
                <w:spacing w:val="3"/>
              </w:rPr>
              <w:t>Q=70m</w:t>
            </w:r>
            <w:r>
              <w:rPr>
                <w:spacing w:val="3"/>
                <w:position w:val="10"/>
                <w:sz w:val="10"/>
                <w:szCs w:val="10"/>
              </w:rPr>
              <w:t>3</w:t>
            </w:r>
            <w:r>
              <w:rPr>
                <w:spacing w:val="3"/>
              </w:rPr>
              <w:t>/h，</w:t>
            </w:r>
          </w:p>
          <w:p w14:paraId="3FC038D1">
            <w:pPr>
              <w:pStyle w:val="6"/>
              <w:spacing w:before="59" w:line="234" w:lineRule="auto"/>
              <w:ind w:left="465"/>
            </w:pPr>
            <w:r>
              <w:rPr>
                <w:spacing w:val="4"/>
              </w:rPr>
              <w:t>H=100m</w:t>
            </w:r>
          </w:p>
        </w:tc>
        <w:tc>
          <w:tcPr>
            <w:tcW w:w="709" w:type="dxa"/>
            <w:vAlign w:val="top"/>
          </w:tcPr>
          <w:p w14:paraId="223898F8">
            <w:pPr>
              <w:spacing w:line="297" w:lineRule="auto"/>
              <w:rPr>
                <w:rFonts w:ascii="Arial"/>
                <w:sz w:val="21"/>
              </w:rPr>
            </w:pPr>
          </w:p>
          <w:p w14:paraId="2A702046">
            <w:pPr>
              <w:pStyle w:val="6"/>
              <w:spacing w:before="65" w:line="230" w:lineRule="auto"/>
              <w:ind w:left="192"/>
            </w:pPr>
            <w:r>
              <w:rPr>
                <w:spacing w:val="-10"/>
              </w:rPr>
              <w:t>1</w:t>
            </w:r>
            <w:r>
              <w:rPr>
                <w:spacing w:val="-22"/>
              </w:rPr>
              <w:t xml:space="preserve"> </w:t>
            </w:r>
            <w:r>
              <w:rPr>
                <w:spacing w:val="-10"/>
              </w:rPr>
              <w:t>台</w:t>
            </w:r>
          </w:p>
        </w:tc>
        <w:tc>
          <w:tcPr>
            <w:tcW w:w="887" w:type="dxa"/>
            <w:vAlign w:val="top"/>
          </w:tcPr>
          <w:p w14:paraId="404C9BA9">
            <w:pPr>
              <w:spacing w:line="298" w:lineRule="auto"/>
              <w:rPr>
                <w:rFonts w:ascii="Arial"/>
                <w:sz w:val="21"/>
              </w:rPr>
            </w:pPr>
          </w:p>
          <w:p w14:paraId="310CC3AF">
            <w:pPr>
              <w:pStyle w:val="6"/>
              <w:spacing w:before="65" w:line="228" w:lineRule="auto"/>
              <w:ind w:left="239"/>
            </w:pPr>
            <w:r>
              <w:rPr>
                <w:spacing w:val="4"/>
              </w:rPr>
              <w:t>新增</w:t>
            </w:r>
          </w:p>
        </w:tc>
      </w:tr>
      <w:tr w14:paraId="210F8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33" w:type="dxa"/>
            <w:vAlign w:val="top"/>
          </w:tcPr>
          <w:p w14:paraId="0ED4625C">
            <w:pPr>
              <w:spacing w:before="12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606" w:type="dxa"/>
            <w:vAlign w:val="top"/>
          </w:tcPr>
          <w:p w14:paraId="616621D5">
            <w:pPr>
              <w:pStyle w:val="6"/>
              <w:spacing w:before="125" w:line="229" w:lineRule="auto"/>
              <w:ind w:left="754"/>
            </w:pPr>
            <w:r>
              <w:t>/</w:t>
            </w:r>
          </w:p>
        </w:tc>
        <w:tc>
          <w:tcPr>
            <w:tcW w:w="1275" w:type="dxa"/>
            <w:vAlign w:val="top"/>
          </w:tcPr>
          <w:p w14:paraId="2A1788ED">
            <w:pPr>
              <w:pStyle w:val="6"/>
              <w:spacing w:before="86" w:line="233" w:lineRule="auto"/>
              <w:ind w:left="588"/>
            </w:pPr>
            <w:r>
              <w:t>/</w:t>
            </w:r>
          </w:p>
        </w:tc>
        <w:tc>
          <w:tcPr>
            <w:tcW w:w="709" w:type="dxa"/>
            <w:vAlign w:val="top"/>
          </w:tcPr>
          <w:p w14:paraId="311F9E13">
            <w:pPr>
              <w:pStyle w:val="6"/>
              <w:spacing w:before="86" w:line="233" w:lineRule="auto"/>
              <w:ind w:left="304"/>
            </w:pPr>
            <w:r>
              <w:t>/</w:t>
            </w:r>
          </w:p>
        </w:tc>
        <w:tc>
          <w:tcPr>
            <w:tcW w:w="672" w:type="dxa"/>
            <w:vAlign w:val="top"/>
          </w:tcPr>
          <w:p w14:paraId="6B9A3B45">
            <w:pPr>
              <w:pStyle w:val="6"/>
              <w:spacing w:before="86" w:line="233" w:lineRule="auto"/>
              <w:ind w:left="286"/>
            </w:pPr>
            <w:r>
              <w:t>/</w:t>
            </w:r>
          </w:p>
        </w:tc>
        <w:tc>
          <w:tcPr>
            <w:tcW w:w="1531" w:type="dxa"/>
            <w:vAlign w:val="top"/>
          </w:tcPr>
          <w:p w14:paraId="577EF467">
            <w:pPr>
              <w:pStyle w:val="6"/>
              <w:spacing w:before="86" w:line="228" w:lineRule="auto"/>
              <w:ind w:left="245"/>
            </w:pPr>
            <w:r>
              <w:rPr>
                <w:spacing w:val="7"/>
              </w:rPr>
              <w:t>直线振动筛</w:t>
            </w:r>
          </w:p>
        </w:tc>
        <w:tc>
          <w:tcPr>
            <w:tcW w:w="1481" w:type="dxa"/>
            <w:vAlign w:val="top"/>
          </w:tcPr>
          <w:p w14:paraId="3B28E0D6">
            <w:pPr>
              <w:pStyle w:val="6"/>
              <w:spacing w:before="87" w:line="268" w:lineRule="exact"/>
              <w:ind w:left="326"/>
            </w:pPr>
            <w:r>
              <w:rPr>
                <w:position w:val="1"/>
              </w:rPr>
              <w:t>SLG</w:t>
            </w:r>
            <w:r>
              <w:rPr>
                <w:spacing w:val="6"/>
                <w:position w:val="1"/>
              </w:rPr>
              <w:t>1848W</w:t>
            </w:r>
          </w:p>
        </w:tc>
        <w:tc>
          <w:tcPr>
            <w:tcW w:w="708" w:type="dxa"/>
            <w:vAlign w:val="top"/>
          </w:tcPr>
          <w:p w14:paraId="3C274BEA">
            <w:pPr>
              <w:pStyle w:val="6"/>
              <w:spacing w:before="86" w:line="230" w:lineRule="auto"/>
              <w:ind w:left="173"/>
            </w:pPr>
            <w:r>
              <w:rPr>
                <w:rFonts w:ascii="Times New Roman" w:hAnsi="Times New Roman" w:eastAsia="Times New Roman" w:cs="Times New Roman"/>
              </w:rPr>
              <w:t>2</w:t>
            </w:r>
            <w:r>
              <w:rPr>
                <w:rFonts w:ascii="Times New Roman" w:hAnsi="Times New Roman" w:eastAsia="Times New Roman" w:cs="Times New Roman"/>
                <w:spacing w:val="25"/>
                <w:w w:val="101"/>
              </w:rPr>
              <w:t xml:space="preserve"> </w:t>
            </w:r>
            <w:r>
              <w:t>台</w:t>
            </w:r>
          </w:p>
        </w:tc>
        <w:tc>
          <w:tcPr>
            <w:tcW w:w="709" w:type="dxa"/>
            <w:vAlign w:val="top"/>
          </w:tcPr>
          <w:p w14:paraId="02754CFD">
            <w:pPr>
              <w:pStyle w:val="6"/>
              <w:spacing w:before="87" w:line="228" w:lineRule="auto"/>
              <w:ind w:left="151"/>
            </w:pPr>
            <w:r>
              <w:rPr>
                <w:spacing w:val="4"/>
              </w:rPr>
              <w:t>新增</w:t>
            </w:r>
          </w:p>
        </w:tc>
        <w:tc>
          <w:tcPr>
            <w:tcW w:w="1700" w:type="dxa"/>
            <w:vAlign w:val="top"/>
          </w:tcPr>
          <w:p w14:paraId="781C6B80">
            <w:pPr>
              <w:pStyle w:val="6"/>
              <w:spacing w:before="86" w:line="228" w:lineRule="auto"/>
              <w:ind w:left="333"/>
            </w:pPr>
            <w:r>
              <w:rPr>
                <w:spacing w:val="7"/>
              </w:rPr>
              <w:t>直线振动筛</w:t>
            </w:r>
          </w:p>
        </w:tc>
        <w:tc>
          <w:tcPr>
            <w:tcW w:w="1558" w:type="dxa"/>
            <w:vAlign w:val="top"/>
          </w:tcPr>
          <w:p w14:paraId="7AB552C6">
            <w:pPr>
              <w:pStyle w:val="6"/>
              <w:spacing w:before="87" w:line="268" w:lineRule="exact"/>
              <w:ind w:left="365"/>
            </w:pPr>
            <w:r>
              <w:rPr>
                <w:position w:val="1"/>
              </w:rPr>
              <w:t>SLG</w:t>
            </w:r>
            <w:r>
              <w:rPr>
                <w:spacing w:val="6"/>
                <w:position w:val="1"/>
              </w:rPr>
              <w:t>1848W</w:t>
            </w:r>
          </w:p>
        </w:tc>
        <w:tc>
          <w:tcPr>
            <w:tcW w:w="709" w:type="dxa"/>
            <w:vAlign w:val="top"/>
          </w:tcPr>
          <w:p w14:paraId="225A71D6">
            <w:pPr>
              <w:pStyle w:val="6"/>
              <w:spacing w:before="86" w:line="230" w:lineRule="auto"/>
              <w:ind w:left="173"/>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887" w:type="dxa"/>
            <w:vAlign w:val="top"/>
          </w:tcPr>
          <w:p w14:paraId="48DC26FD">
            <w:pPr>
              <w:pStyle w:val="6"/>
              <w:spacing w:before="87" w:line="228" w:lineRule="auto"/>
              <w:ind w:left="239"/>
            </w:pPr>
            <w:r>
              <w:rPr>
                <w:spacing w:val="4"/>
              </w:rPr>
              <w:t>新增</w:t>
            </w:r>
          </w:p>
        </w:tc>
      </w:tr>
      <w:tr w14:paraId="05D8F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613DEB6C">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606" w:type="dxa"/>
            <w:vAlign w:val="top"/>
          </w:tcPr>
          <w:p w14:paraId="6E312D29">
            <w:pPr>
              <w:pStyle w:val="6"/>
              <w:spacing w:before="128" w:line="228" w:lineRule="auto"/>
              <w:ind w:left="754"/>
            </w:pPr>
            <w:r>
              <w:t>/</w:t>
            </w:r>
          </w:p>
        </w:tc>
        <w:tc>
          <w:tcPr>
            <w:tcW w:w="1275" w:type="dxa"/>
            <w:vAlign w:val="top"/>
          </w:tcPr>
          <w:p w14:paraId="33576CA9">
            <w:pPr>
              <w:pStyle w:val="6"/>
              <w:spacing w:before="88" w:line="233" w:lineRule="auto"/>
              <w:ind w:left="588"/>
            </w:pPr>
            <w:r>
              <w:t>/</w:t>
            </w:r>
          </w:p>
        </w:tc>
        <w:tc>
          <w:tcPr>
            <w:tcW w:w="709" w:type="dxa"/>
            <w:vAlign w:val="top"/>
          </w:tcPr>
          <w:p w14:paraId="22AB59D7">
            <w:pPr>
              <w:pStyle w:val="6"/>
              <w:spacing w:before="88" w:line="233" w:lineRule="auto"/>
              <w:ind w:left="304"/>
            </w:pPr>
            <w:r>
              <w:t>/</w:t>
            </w:r>
          </w:p>
        </w:tc>
        <w:tc>
          <w:tcPr>
            <w:tcW w:w="672" w:type="dxa"/>
            <w:vAlign w:val="top"/>
          </w:tcPr>
          <w:p w14:paraId="3CE141E8">
            <w:pPr>
              <w:pStyle w:val="6"/>
              <w:spacing w:before="88" w:line="233" w:lineRule="auto"/>
              <w:ind w:left="286"/>
            </w:pPr>
            <w:r>
              <w:t>/</w:t>
            </w:r>
          </w:p>
        </w:tc>
        <w:tc>
          <w:tcPr>
            <w:tcW w:w="1531" w:type="dxa"/>
            <w:vAlign w:val="top"/>
          </w:tcPr>
          <w:p w14:paraId="601886BF">
            <w:pPr>
              <w:pStyle w:val="6"/>
              <w:spacing w:before="88" w:line="228" w:lineRule="auto"/>
              <w:ind w:left="245"/>
            </w:pPr>
            <w:r>
              <w:rPr>
                <w:spacing w:val="7"/>
              </w:rPr>
              <w:t>直线振动筛</w:t>
            </w:r>
          </w:p>
        </w:tc>
        <w:tc>
          <w:tcPr>
            <w:tcW w:w="1481" w:type="dxa"/>
            <w:vAlign w:val="top"/>
          </w:tcPr>
          <w:p w14:paraId="33C6B86A">
            <w:pPr>
              <w:pStyle w:val="6"/>
              <w:spacing w:before="89" w:line="268" w:lineRule="exact"/>
              <w:ind w:left="326"/>
            </w:pPr>
            <w:r>
              <w:rPr>
                <w:position w:val="1"/>
              </w:rPr>
              <w:t>SLG</w:t>
            </w:r>
            <w:r>
              <w:rPr>
                <w:spacing w:val="6"/>
                <w:position w:val="1"/>
              </w:rPr>
              <w:t>1536W</w:t>
            </w:r>
          </w:p>
        </w:tc>
        <w:tc>
          <w:tcPr>
            <w:tcW w:w="708" w:type="dxa"/>
            <w:vAlign w:val="top"/>
          </w:tcPr>
          <w:p w14:paraId="046B696C">
            <w:pPr>
              <w:pStyle w:val="6"/>
              <w:spacing w:before="89"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5"/>
                <w:w w:val="101"/>
              </w:rPr>
              <w:t xml:space="preserve"> </w:t>
            </w:r>
            <w:r>
              <w:rPr>
                <w:spacing w:val="-10"/>
              </w:rPr>
              <w:t>台</w:t>
            </w:r>
          </w:p>
        </w:tc>
        <w:tc>
          <w:tcPr>
            <w:tcW w:w="709" w:type="dxa"/>
            <w:vAlign w:val="top"/>
          </w:tcPr>
          <w:p w14:paraId="25923683">
            <w:pPr>
              <w:pStyle w:val="6"/>
              <w:spacing w:before="89" w:line="228" w:lineRule="auto"/>
              <w:ind w:left="151"/>
            </w:pPr>
            <w:r>
              <w:rPr>
                <w:spacing w:val="4"/>
              </w:rPr>
              <w:t>新增</w:t>
            </w:r>
          </w:p>
        </w:tc>
        <w:tc>
          <w:tcPr>
            <w:tcW w:w="1700" w:type="dxa"/>
            <w:vAlign w:val="top"/>
          </w:tcPr>
          <w:p w14:paraId="070AD8CC">
            <w:pPr>
              <w:pStyle w:val="6"/>
              <w:spacing w:before="88" w:line="228" w:lineRule="auto"/>
              <w:ind w:left="333"/>
            </w:pPr>
            <w:r>
              <w:rPr>
                <w:spacing w:val="7"/>
              </w:rPr>
              <w:t>直线振动筛</w:t>
            </w:r>
          </w:p>
        </w:tc>
        <w:tc>
          <w:tcPr>
            <w:tcW w:w="1558" w:type="dxa"/>
            <w:vAlign w:val="top"/>
          </w:tcPr>
          <w:p w14:paraId="50DE2B42">
            <w:pPr>
              <w:pStyle w:val="6"/>
              <w:spacing w:before="89" w:line="268" w:lineRule="exact"/>
              <w:ind w:left="365"/>
            </w:pPr>
            <w:r>
              <w:rPr>
                <w:position w:val="1"/>
              </w:rPr>
              <w:t>SLG</w:t>
            </w:r>
            <w:r>
              <w:rPr>
                <w:spacing w:val="6"/>
                <w:position w:val="1"/>
              </w:rPr>
              <w:t>1536W</w:t>
            </w:r>
          </w:p>
        </w:tc>
        <w:tc>
          <w:tcPr>
            <w:tcW w:w="709" w:type="dxa"/>
            <w:vAlign w:val="top"/>
          </w:tcPr>
          <w:p w14:paraId="16B1A478">
            <w:pPr>
              <w:pStyle w:val="6"/>
              <w:spacing w:before="89" w:line="230"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887" w:type="dxa"/>
            <w:vAlign w:val="top"/>
          </w:tcPr>
          <w:p w14:paraId="0941D229">
            <w:pPr>
              <w:pStyle w:val="6"/>
              <w:spacing w:before="89" w:line="228" w:lineRule="auto"/>
              <w:ind w:left="239"/>
            </w:pPr>
            <w:r>
              <w:rPr>
                <w:spacing w:val="4"/>
              </w:rPr>
              <w:t>新增</w:t>
            </w:r>
          </w:p>
        </w:tc>
      </w:tr>
      <w:tr w14:paraId="3C369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6779F9C9">
            <w:pPr>
              <w:spacing w:before="123"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606" w:type="dxa"/>
            <w:vAlign w:val="top"/>
          </w:tcPr>
          <w:p w14:paraId="4139AF8B">
            <w:pPr>
              <w:pStyle w:val="6"/>
              <w:spacing w:before="126" w:line="229" w:lineRule="auto"/>
              <w:ind w:left="754"/>
            </w:pPr>
            <w:r>
              <w:t>/</w:t>
            </w:r>
          </w:p>
        </w:tc>
        <w:tc>
          <w:tcPr>
            <w:tcW w:w="1275" w:type="dxa"/>
            <w:vAlign w:val="top"/>
          </w:tcPr>
          <w:p w14:paraId="77064075">
            <w:pPr>
              <w:pStyle w:val="6"/>
              <w:spacing w:before="87" w:line="233" w:lineRule="auto"/>
              <w:ind w:left="588"/>
            </w:pPr>
            <w:r>
              <w:t>/</w:t>
            </w:r>
          </w:p>
        </w:tc>
        <w:tc>
          <w:tcPr>
            <w:tcW w:w="709" w:type="dxa"/>
            <w:vAlign w:val="top"/>
          </w:tcPr>
          <w:p w14:paraId="30177B47">
            <w:pPr>
              <w:pStyle w:val="6"/>
              <w:spacing w:before="87" w:line="233" w:lineRule="auto"/>
              <w:ind w:left="304"/>
            </w:pPr>
            <w:r>
              <w:t>/</w:t>
            </w:r>
          </w:p>
        </w:tc>
        <w:tc>
          <w:tcPr>
            <w:tcW w:w="672" w:type="dxa"/>
            <w:vAlign w:val="top"/>
          </w:tcPr>
          <w:p w14:paraId="1BB1D4E6">
            <w:pPr>
              <w:pStyle w:val="6"/>
              <w:spacing w:before="87" w:line="233" w:lineRule="auto"/>
              <w:ind w:left="286"/>
            </w:pPr>
            <w:r>
              <w:t>/</w:t>
            </w:r>
          </w:p>
        </w:tc>
        <w:tc>
          <w:tcPr>
            <w:tcW w:w="1531" w:type="dxa"/>
            <w:vAlign w:val="top"/>
          </w:tcPr>
          <w:p w14:paraId="7BF673F4">
            <w:pPr>
              <w:pStyle w:val="6"/>
              <w:spacing w:before="87" w:line="228" w:lineRule="auto"/>
              <w:ind w:left="249"/>
            </w:pPr>
            <w:r>
              <w:rPr>
                <w:spacing w:val="7"/>
              </w:rPr>
              <w:t>高效搅拌槽</w:t>
            </w:r>
          </w:p>
        </w:tc>
        <w:tc>
          <w:tcPr>
            <w:tcW w:w="1481" w:type="dxa"/>
            <w:vAlign w:val="top"/>
          </w:tcPr>
          <w:p w14:paraId="582444A7">
            <w:pPr>
              <w:pStyle w:val="6"/>
              <w:spacing w:before="88" w:line="268" w:lineRule="exact"/>
              <w:ind w:left="376"/>
            </w:pPr>
            <w:r>
              <w:rPr>
                <w:position w:val="1"/>
              </w:rPr>
              <w:t>XB</w:t>
            </w:r>
            <w:r>
              <w:rPr>
                <w:spacing w:val="6"/>
                <w:position w:val="1"/>
              </w:rPr>
              <w:t>-3500</w:t>
            </w:r>
          </w:p>
        </w:tc>
        <w:tc>
          <w:tcPr>
            <w:tcW w:w="708" w:type="dxa"/>
            <w:vAlign w:val="top"/>
          </w:tcPr>
          <w:p w14:paraId="5E81AA14">
            <w:pPr>
              <w:pStyle w:val="6"/>
              <w:spacing w:before="87" w:line="230" w:lineRule="auto"/>
              <w:ind w:left="179"/>
            </w:pPr>
            <w:r>
              <w:rPr>
                <w:spacing w:val="-4"/>
              </w:rPr>
              <w:t>2</w:t>
            </w:r>
            <w:r>
              <w:rPr>
                <w:spacing w:val="-24"/>
              </w:rPr>
              <w:t xml:space="preserve"> </w:t>
            </w:r>
            <w:r>
              <w:rPr>
                <w:spacing w:val="-4"/>
              </w:rPr>
              <w:t>台</w:t>
            </w:r>
          </w:p>
        </w:tc>
        <w:tc>
          <w:tcPr>
            <w:tcW w:w="709" w:type="dxa"/>
            <w:vAlign w:val="top"/>
          </w:tcPr>
          <w:p w14:paraId="63E3E2B7">
            <w:pPr>
              <w:pStyle w:val="6"/>
              <w:spacing w:before="88" w:line="228" w:lineRule="auto"/>
              <w:ind w:left="151"/>
            </w:pPr>
            <w:r>
              <w:rPr>
                <w:spacing w:val="4"/>
              </w:rPr>
              <w:t>新增</w:t>
            </w:r>
          </w:p>
        </w:tc>
        <w:tc>
          <w:tcPr>
            <w:tcW w:w="1700" w:type="dxa"/>
            <w:vAlign w:val="top"/>
          </w:tcPr>
          <w:p w14:paraId="114365F5">
            <w:pPr>
              <w:pStyle w:val="6"/>
              <w:spacing w:before="87" w:line="228" w:lineRule="auto"/>
              <w:ind w:left="337"/>
            </w:pPr>
            <w:r>
              <w:rPr>
                <w:spacing w:val="7"/>
              </w:rPr>
              <w:t>高效搅拌槽</w:t>
            </w:r>
          </w:p>
        </w:tc>
        <w:tc>
          <w:tcPr>
            <w:tcW w:w="1558" w:type="dxa"/>
            <w:vAlign w:val="top"/>
          </w:tcPr>
          <w:p w14:paraId="370F5EC8">
            <w:pPr>
              <w:pStyle w:val="6"/>
              <w:spacing w:before="88" w:line="268" w:lineRule="exact"/>
              <w:ind w:left="417"/>
            </w:pPr>
            <w:r>
              <w:rPr>
                <w:position w:val="1"/>
              </w:rPr>
              <w:t>XB</w:t>
            </w:r>
            <w:r>
              <w:rPr>
                <w:spacing w:val="6"/>
                <w:position w:val="1"/>
              </w:rPr>
              <w:t>-3500</w:t>
            </w:r>
          </w:p>
        </w:tc>
        <w:tc>
          <w:tcPr>
            <w:tcW w:w="709" w:type="dxa"/>
            <w:vAlign w:val="top"/>
          </w:tcPr>
          <w:p w14:paraId="5DE513A9">
            <w:pPr>
              <w:pStyle w:val="6"/>
              <w:spacing w:before="87" w:line="230" w:lineRule="auto"/>
              <w:ind w:left="179"/>
            </w:pPr>
            <w:r>
              <w:rPr>
                <w:spacing w:val="-4"/>
              </w:rPr>
              <w:t>2</w:t>
            </w:r>
            <w:r>
              <w:rPr>
                <w:spacing w:val="-21"/>
              </w:rPr>
              <w:t xml:space="preserve"> </w:t>
            </w:r>
            <w:r>
              <w:rPr>
                <w:spacing w:val="-4"/>
              </w:rPr>
              <w:t>台</w:t>
            </w:r>
          </w:p>
        </w:tc>
        <w:tc>
          <w:tcPr>
            <w:tcW w:w="887" w:type="dxa"/>
            <w:vAlign w:val="top"/>
          </w:tcPr>
          <w:p w14:paraId="041F5288">
            <w:pPr>
              <w:pStyle w:val="6"/>
              <w:spacing w:before="88" w:line="228" w:lineRule="auto"/>
              <w:ind w:left="239"/>
            </w:pPr>
            <w:r>
              <w:rPr>
                <w:spacing w:val="4"/>
              </w:rPr>
              <w:t>新增</w:t>
            </w:r>
          </w:p>
        </w:tc>
      </w:tr>
      <w:tr w14:paraId="58DF6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66F365AB">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606" w:type="dxa"/>
            <w:vAlign w:val="top"/>
          </w:tcPr>
          <w:p w14:paraId="13FE0A33">
            <w:pPr>
              <w:pStyle w:val="6"/>
              <w:spacing w:before="128" w:line="228" w:lineRule="auto"/>
              <w:ind w:left="754"/>
            </w:pPr>
            <w:r>
              <w:t>/</w:t>
            </w:r>
          </w:p>
        </w:tc>
        <w:tc>
          <w:tcPr>
            <w:tcW w:w="1275" w:type="dxa"/>
            <w:vAlign w:val="top"/>
          </w:tcPr>
          <w:p w14:paraId="76B3F2D6">
            <w:pPr>
              <w:pStyle w:val="6"/>
              <w:spacing w:before="88" w:line="233" w:lineRule="auto"/>
              <w:ind w:left="588"/>
            </w:pPr>
            <w:r>
              <w:t>/</w:t>
            </w:r>
          </w:p>
        </w:tc>
        <w:tc>
          <w:tcPr>
            <w:tcW w:w="709" w:type="dxa"/>
            <w:vAlign w:val="top"/>
          </w:tcPr>
          <w:p w14:paraId="17222633">
            <w:pPr>
              <w:pStyle w:val="6"/>
              <w:spacing w:before="88" w:line="233" w:lineRule="auto"/>
              <w:ind w:left="304"/>
            </w:pPr>
            <w:r>
              <w:t>/</w:t>
            </w:r>
          </w:p>
        </w:tc>
        <w:tc>
          <w:tcPr>
            <w:tcW w:w="672" w:type="dxa"/>
            <w:vAlign w:val="top"/>
          </w:tcPr>
          <w:p w14:paraId="38A2B9B3">
            <w:pPr>
              <w:pStyle w:val="6"/>
              <w:spacing w:before="88" w:line="233" w:lineRule="auto"/>
              <w:ind w:left="286"/>
            </w:pPr>
            <w:r>
              <w:t>/</w:t>
            </w:r>
          </w:p>
        </w:tc>
        <w:tc>
          <w:tcPr>
            <w:tcW w:w="1531" w:type="dxa"/>
            <w:vAlign w:val="top"/>
          </w:tcPr>
          <w:p w14:paraId="3246938B">
            <w:pPr>
              <w:pStyle w:val="6"/>
              <w:spacing w:before="120" w:line="227" w:lineRule="auto"/>
              <w:ind w:left="247"/>
            </w:pPr>
            <w:r>
              <w:rPr>
                <w:spacing w:val="7"/>
              </w:rPr>
              <w:t>离心鼓风机</w:t>
            </w:r>
          </w:p>
        </w:tc>
        <w:tc>
          <w:tcPr>
            <w:tcW w:w="1481" w:type="dxa"/>
            <w:vAlign w:val="top"/>
          </w:tcPr>
          <w:p w14:paraId="51C743E5">
            <w:pPr>
              <w:pStyle w:val="6"/>
              <w:spacing w:before="89" w:line="268" w:lineRule="exact"/>
              <w:ind w:left="429"/>
            </w:pPr>
            <w:r>
              <w:rPr>
                <w:position w:val="1"/>
              </w:rPr>
              <w:t>GM</w:t>
            </w:r>
            <w:r>
              <w:rPr>
                <w:spacing w:val="6"/>
                <w:position w:val="1"/>
              </w:rPr>
              <w:t>9004</w:t>
            </w:r>
          </w:p>
        </w:tc>
        <w:tc>
          <w:tcPr>
            <w:tcW w:w="708" w:type="dxa"/>
            <w:vAlign w:val="top"/>
          </w:tcPr>
          <w:p w14:paraId="6995BBB3">
            <w:pPr>
              <w:pStyle w:val="6"/>
              <w:spacing w:before="89" w:line="230" w:lineRule="auto"/>
              <w:ind w:left="179"/>
            </w:pPr>
            <w:r>
              <w:rPr>
                <w:spacing w:val="-4"/>
              </w:rPr>
              <w:t>2</w:t>
            </w:r>
            <w:r>
              <w:rPr>
                <w:spacing w:val="-24"/>
              </w:rPr>
              <w:t xml:space="preserve"> </w:t>
            </w:r>
            <w:r>
              <w:rPr>
                <w:spacing w:val="-4"/>
              </w:rPr>
              <w:t>台</w:t>
            </w:r>
          </w:p>
        </w:tc>
        <w:tc>
          <w:tcPr>
            <w:tcW w:w="709" w:type="dxa"/>
            <w:vAlign w:val="top"/>
          </w:tcPr>
          <w:p w14:paraId="11821CC8">
            <w:pPr>
              <w:pStyle w:val="6"/>
              <w:spacing w:before="89" w:line="228" w:lineRule="auto"/>
              <w:ind w:left="151"/>
            </w:pPr>
            <w:r>
              <w:rPr>
                <w:spacing w:val="4"/>
              </w:rPr>
              <w:t>新增</w:t>
            </w:r>
          </w:p>
        </w:tc>
        <w:tc>
          <w:tcPr>
            <w:tcW w:w="1700" w:type="dxa"/>
            <w:vAlign w:val="top"/>
          </w:tcPr>
          <w:p w14:paraId="2A1398DC">
            <w:pPr>
              <w:pStyle w:val="6"/>
              <w:spacing w:before="120" w:line="227" w:lineRule="auto"/>
              <w:ind w:left="335"/>
            </w:pPr>
            <w:r>
              <w:rPr>
                <w:spacing w:val="7"/>
              </w:rPr>
              <w:t>离心鼓风机</w:t>
            </w:r>
          </w:p>
        </w:tc>
        <w:tc>
          <w:tcPr>
            <w:tcW w:w="1558" w:type="dxa"/>
            <w:vAlign w:val="top"/>
          </w:tcPr>
          <w:p w14:paraId="7D07A3C0">
            <w:pPr>
              <w:pStyle w:val="6"/>
              <w:spacing w:before="89" w:line="268" w:lineRule="exact"/>
              <w:ind w:left="467"/>
            </w:pPr>
            <w:r>
              <w:rPr>
                <w:position w:val="1"/>
              </w:rPr>
              <w:t>GM</w:t>
            </w:r>
            <w:r>
              <w:rPr>
                <w:spacing w:val="6"/>
                <w:position w:val="1"/>
              </w:rPr>
              <w:t>9004</w:t>
            </w:r>
          </w:p>
        </w:tc>
        <w:tc>
          <w:tcPr>
            <w:tcW w:w="709" w:type="dxa"/>
            <w:vAlign w:val="top"/>
          </w:tcPr>
          <w:p w14:paraId="5052C848">
            <w:pPr>
              <w:pStyle w:val="6"/>
              <w:spacing w:before="89" w:line="230" w:lineRule="auto"/>
              <w:ind w:left="179"/>
            </w:pPr>
            <w:r>
              <w:rPr>
                <w:spacing w:val="-4"/>
              </w:rPr>
              <w:t>2</w:t>
            </w:r>
            <w:r>
              <w:rPr>
                <w:spacing w:val="-21"/>
              </w:rPr>
              <w:t xml:space="preserve"> </w:t>
            </w:r>
            <w:r>
              <w:rPr>
                <w:spacing w:val="-4"/>
              </w:rPr>
              <w:t>台</w:t>
            </w:r>
          </w:p>
        </w:tc>
        <w:tc>
          <w:tcPr>
            <w:tcW w:w="887" w:type="dxa"/>
            <w:vAlign w:val="top"/>
          </w:tcPr>
          <w:p w14:paraId="62F55327">
            <w:pPr>
              <w:pStyle w:val="6"/>
              <w:spacing w:before="89" w:line="228" w:lineRule="auto"/>
              <w:ind w:left="239"/>
            </w:pPr>
            <w:r>
              <w:rPr>
                <w:spacing w:val="4"/>
              </w:rPr>
              <w:t>新增</w:t>
            </w:r>
          </w:p>
        </w:tc>
      </w:tr>
      <w:tr w14:paraId="0304D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3DD59F52">
            <w:pPr>
              <w:spacing w:line="342" w:lineRule="auto"/>
              <w:rPr>
                <w:rFonts w:ascii="Arial"/>
                <w:sz w:val="21"/>
              </w:rPr>
            </w:pPr>
          </w:p>
          <w:p w14:paraId="41E17742">
            <w:pPr>
              <w:spacing w:before="5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606" w:type="dxa"/>
            <w:vAlign w:val="top"/>
          </w:tcPr>
          <w:p w14:paraId="16A53EC3">
            <w:pPr>
              <w:spacing w:line="337" w:lineRule="auto"/>
              <w:rPr>
                <w:rFonts w:ascii="Arial"/>
                <w:sz w:val="21"/>
              </w:rPr>
            </w:pPr>
          </w:p>
          <w:p w14:paraId="5A1C3BD7">
            <w:pPr>
              <w:pStyle w:val="6"/>
              <w:spacing w:before="65" w:line="233" w:lineRule="auto"/>
              <w:ind w:left="754"/>
            </w:pPr>
            <w:r>
              <w:t>/</w:t>
            </w:r>
          </w:p>
        </w:tc>
        <w:tc>
          <w:tcPr>
            <w:tcW w:w="1275" w:type="dxa"/>
            <w:vAlign w:val="top"/>
          </w:tcPr>
          <w:p w14:paraId="0503C04B">
            <w:pPr>
              <w:spacing w:line="299" w:lineRule="auto"/>
              <w:rPr>
                <w:rFonts w:ascii="Arial"/>
                <w:sz w:val="21"/>
              </w:rPr>
            </w:pPr>
          </w:p>
          <w:p w14:paraId="22096F8A">
            <w:pPr>
              <w:pStyle w:val="6"/>
              <w:spacing w:before="65" w:line="233" w:lineRule="auto"/>
              <w:ind w:left="588"/>
            </w:pPr>
            <w:r>
              <w:t>/</w:t>
            </w:r>
          </w:p>
        </w:tc>
        <w:tc>
          <w:tcPr>
            <w:tcW w:w="709" w:type="dxa"/>
            <w:vAlign w:val="top"/>
          </w:tcPr>
          <w:p w14:paraId="51D4623C">
            <w:pPr>
              <w:spacing w:line="299" w:lineRule="auto"/>
              <w:rPr>
                <w:rFonts w:ascii="Arial"/>
                <w:sz w:val="21"/>
              </w:rPr>
            </w:pPr>
          </w:p>
          <w:p w14:paraId="1A5F40DC">
            <w:pPr>
              <w:pStyle w:val="6"/>
              <w:spacing w:before="65" w:line="233" w:lineRule="auto"/>
              <w:ind w:left="304"/>
            </w:pPr>
            <w:r>
              <w:t>/</w:t>
            </w:r>
          </w:p>
        </w:tc>
        <w:tc>
          <w:tcPr>
            <w:tcW w:w="672" w:type="dxa"/>
            <w:vAlign w:val="top"/>
          </w:tcPr>
          <w:p w14:paraId="51D64C38">
            <w:pPr>
              <w:spacing w:line="299" w:lineRule="auto"/>
              <w:rPr>
                <w:rFonts w:ascii="Arial"/>
                <w:sz w:val="21"/>
              </w:rPr>
            </w:pPr>
          </w:p>
          <w:p w14:paraId="4BEFFA0C">
            <w:pPr>
              <w:pStyle w:val="6"/>
              <w:spacing w:before="65" w:line="233" w:lineRule="auto"/>
              <w:ind w:left="286"/>
            </w:pPr>
            <w:r>
              <w:t>/</w:t>
            </w:r>
          </w:p>
        </w:tc>
        <w:tc>
          <w:tcPr>
            <w:tcW w:w="1531" w:type="dxa"/>
            <w:vAlign w:val="top"/>
          </w:tcPr>
          <w:p w14:paraId="63AADDC5">
            <w:pPr>
              <w:spacing w:line="337" w:lineRule="auto"/>
              <w:rPr>
                <w:rFonts w:ascii="Arial"/>
                <w:sz w:val="21"/>
              </w:rPr>
            </w:pPr>
          </w:p>
          <w:p w14:paraId="31F4DF1C">
            <w:pPr>
              <w:pStyle w:val="6"/>
              <w:spacing w:before="65" w:line="227" w:lineRule="auto"/>
              <w:ind w:left="244"/>
            </w:pPr>
            <w:r>
              <w:rPr>
                <w:spacing w:val="8"/>
              </w:rPr>
              <w:t>立式渣浆泵</w:t>
            </w:r>
          </w:p>
        </w:tc>
        <w:tc>
          <w:tcPr>
            <w:tcW w:w="1481" w:type="dxa"/>
            <w:vAlign w:val="top"/>
          </w:tcPr>
          <w:p w14:paraId="4AF723D9">
            <w:pPr>
              <w:pStyle w:val="6"/>
              <w:spacing w:before="54" w:line="233" w:lineRule="auto"/>
              <w:ind w:left="433"/>
            </w:pPr>
            <w:r>
              <w:rPr>
                <w:spacing w:val="5"/>
              </w:rPr>
              <w:t>65Q-</w:t>
            </w:r>
            <w:r>
              <w:t>LP</w:t>
            </w:r>
          </w:p>
          <w:p w14:paraId="5C1D2735">
            <w:pPr>
              <w:pStyle w:val="6"/>
              <w:spacing w:before="42" w:line="270" w:lineRule="exact"/>
              <w:ind w:left="350"/>
            </w:pPr>
            <w:r>
              <w:rPr>
                <w:spacing w:val="3"/>
              </w:rPr>
              <w:t>Q=62m</w:t>
            </w:r>
            <w:r>
              <w:rPr>
                <w:spacing w:val="3"/>
                <w:position w:val="10"/>
                <w:sz w:val="10"/>
                <w:szCs w:val="10"/>
              </w:rPr>
              <w:t>3</w:t>
            </w:r>
            <w:r>
              <w:rPr>
                <w:spacing w:val="3"/>
              </w:rPr>
              <w:t>/h</w:t>
            </w:r>
          </w:p>
          <w:p w14:paraId="6F938B31">
            <w:pPr>
              <w:pStyle w:val="6"/>
              <w:spacing w:before="60" w:line="232" w:lineRule="auto"/>
              <w:ind w:left="477"/>
            </w:pPr>
            <w:r>
              <w:rPr>
                <w:spacing w:val="4"/>
              </w:rPr>
              <w:t>H=20m</w:t>
            </w:r>
          </w:p>
        </w:tc>
        <w:tc>
          <w:tcPr>
            <w:tcW w:w="708" w:type="dxa"/>
            <w:vAlign w:val="top"/>
          </w:tcPr>
          <w:p w14:paraId="624E2AEC">
            <w:pPr>
              <w:spacing w:line="299" w:lineRule="auto"/>
              <w:rPr>
                <w:rFonts w:ascii="Arial"/>
                <w:sz w:val="21"/>
              </w:rPr>
            </w:pPr>
          </w:p>
          <w:p w14:paraId="6D01AD70">
            <w:pPr>
              <w:pStyle w:val="6"/>
              <w:spacing w:before="65" w:line="230" w:lineRule="auto"/>
              <w:ind w:left="177"/>
            </w:pPr>
            <w:r>
              <w:rPr>
                <w:spacing w:val="-3"/>
              </w:rPr>
              <w:t>8</w:t>
            </w:r>
            <w:r>
              <w:rPr>
                <w:spacing w:val="-24"/>
              </w:rPr>
              <w:t xml:space="preserve"> </w:t>
            </w:r>
            <w:r>
              <w:rPr>
                <w:spacing w:val="-3"/>
              </w:rPr>
              <w:t>台</w:t>
            </w:r>
          </w:p>
        </w:tc>
        <w:tc>
          <w:tcPr>
            <w:tcW w:w="709" w:type="dxa"/>
            <w:vAlign w:val="top"/>
          </w:tcPr>
          <w:p w14:paraId="48504A41">
            <w:pPr>
              <w:spacing w:line="300" w:lineRule="auto"/>
              <w:rPr>
                <w:rFonts w:ascii="Arial"/>
                <w:sz w:val="21"/>
              </w:rPr>
            </w:pPr>
          </w:p>
          <w:p w14:paraId="5A2202D6">
            <w:pPr>
              <w:pStyle w:val="6"/>
              <w:spacing w:before="65" w:line="228" w:lineRule="auto"/>
              <w:ind w:left="151"/>
            </w:pPr>
            <w:r>
              <w:rPr>
                <w:spacing w:val="4"/>
              </w:rPr>
              <w:t>新增</w:t>
            </w:r>
          </w:p>
        </w:tc>
        <w:tc>
          <w:tcPr>
            <w:tcW w:w="1700" w:type="dxa"/>
            <w:vAlign w:val="top"/>
          </w:tcPr>
          <w:p w14:paraId="017D9DDD">
            <w:pPr>
              <w:spacing w:line="337" w:lineRule="auto"/>
              <w:rPr>
                <w:rFonts w:ascii="Arial"/>
                <w:sz w:val="21"/>
              </w:rPr>
            </w:pPr>
          </w:p>
          <w:p w14:paraId="72CAF2E6">
            <w:pPr>
              <w:pStyle w:val="6"/>
              <w:spacing w:before="65" w:line="227" w:lineRule="auto"/>
              <w:ind w:left="331"/>
            </w:pPr>
            <w:r>
              <w:rPr>
                <w:spacing w:val="8"/>
              </w:rPr>
              <w:t>立式渣浆泵</w:t>
            </w:r>
          </w:p>
        </w:tc>
        <w:tc>
          <w:tcPr>
            <w:tcW w:w="1558" w:type="dxa"/>
            <w:vAlign w:val="top"/>
          </w:tcPr>
          <w:p w14:paraId="687C2C51">
            <w:pPr>
              <w:pStyle w:val="6"/>
              <w:spacing w:before="54" w:line="233" w:lineRule="auto"/>
              <w:ind w:left="472"/>
            </w:pPr>
            <w:r>
              <w:rPr>
                <w:spacing w:val="5"/>
              </w:rPr>
              <w:t>65Q-</w:t>
            </w:r>
            <w:r>
              <w:t>LP</w:t>
            </w:r>
          </w:p>
          <w:p w14:paraId="2F602C11">
            <w:pPr>
              <w:pStyle w:val="6"/>
              <w:spacing w:before="42" w:line="270" w:lineRule="exact"/>
              <w:ind w:left="389"/>
            </w:pPr>
            <w:r>
              <w:rPr>
                <w:spacing w:val="4"/>
              </w:rPr>
              <w:t>Q=62m</w:t>
            </w:r>
            <w:r>
              <w:rPr>
                <w:spacing w:val="4"/>
                <w:position w:val="10"/>
                <w:sz w:val="10"/>
                <w:szCs w:val="10"/>
              </w:rPr>
              <w:t>3</w:t>
            </w:r>
            <w:r>
              <w:rPr>
                <w:spacing w:val="4"/>
              </w:rPr>
              <w:t>/h</w:t>
            </w:r>
          </w:p>
          <w:p w14:paraId="084A7C8C">
            <w:pPr>
              <w:pStyle w:val="6"/>
              <w:spacing w:before="60" w:line="232" w:lineRule="auto"/>
              <w:ind w:left="518"/>
            </w:pPr>
            <w:r>
              <w:rPr>
                <w:spacing w:val="4"/>
              </w:rPr>
              <w:t>H=20m</w:t>
            </w:r>
          </w:p>
        </w:tc>
        <w:tc>
          <w:tcPr>
            <w:tcW w:w="709" w:type="dxa"/>
            <w:vAlign w:val="top"/>
          </w:tcPr>
          <w:p w14:paraId="2C0958DE">
            <w:pPr>
              <w:spacing w:line="299" w:lineRule="auto"/>
              <w:rPr>
                <w:rFonts w:ascii="Arial"/>
                <w:sz w:val="21"/>
              </w:rPr>
            </w:pPr>
          </w:p>
          <w:p w14:paraId="2B88CD73">
            <w:pPr>
              <w:pStyle w:val="6"/>
              <w:spacing w:before="65" w:line="230" w:lineRule="auto"/>
              <w:ind w:left="177"/>
            </w:pPr>
            <w:r>
              <w:rPr>
                <w:spacing w:val="-3"/>
              </w:rPr>
              <w:t>8</w:t>
            </w:r>
            <w:r>
              <w:rPr>
                <w:spacing w:val="-22"/>
              </w:rPr>
              <w:t xml:space="preserve"> </w:t>
            </w:r>
            <w:r>
              <w:rPr>
                <w:spacing w:val="-3"/>
              </w:rPr>
              <w:t>台</w:t>
            </w:r>
          </w:p>
        </w:tc>
        <w:tc>
          <w:tcPr>
            <w:tcW w:w="887" w:type="dxa"/>
            <w:vAlign w:val="top"/>
          </w:tcPr>
          <w:p w14:paraId="7A68C025">
            <w:pPr>
              <w:spacing w:line="300" w:lineRule="auto"/>
              <w:rPr>
                <w:rFonts w:ascii="Arial"/>
                <w:sz w:val="21"/>
              </w:rPr>
            </w:pPr>
          </w:p>
          <w:p w14:paraId="76A1CED3">
            <w:pPr>
              <w:pStyle w:val="6"/>
              <w:spacing w:before="65" w:line="228" w:lineRule="auto"/>
              <w:ind w:left="239"/>
            </w:pPr>
            <w:r>
              <w:rPr>
                <w:spacing w:val="4"/>
              </w:rPr>
              <w:t>新增</w:t>
            </w:r>
          </w:p>
        </w:tc>
      </w:tr>
      <w:tr w14:paraId="34553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173AC1D1">
            <w:pPr>
              <w:spacing w:line="343" w:lineRule="auto"/>
              <w:rPr>
                <w:rFonts w:ascii="Arial"/>
                <w:sz w:val="21"/>
              </w:rPr>
            </w:pPr>
          </w:p>
          <w:p w14:paraId="56087A9D">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606" w:type="dxa"/>
            <w:vAlign w:val="top"/>
          </w:tcPr>
          <w:p w14:paraId="2BA248B3">
            <w:pPr>
              <w:spacing w:line="338" w:lineRule="auto"/>
              <w:rPr>
                <w:rFonts w:ascii="Arial"/>
                <w:sz w:val="21"/>
              </w:rPr>
            </w:pPr>
          </w:p>
          <w:p w14:paraId="74417BBF">
            <w:pPr>
              <w:pStyle w:val="6"/>
              <w:spacing w:before="65" w:line="233" w:lineRule="auto"/>
              <w:ind w:left="754"/>
            </w:pPr>
            <w:r>
              <w:t>/</w:t>
            </w:r>
          </w:p>
        </w:tc>
        <w:tc>
          <w:tcPr>
            <w:tcW w:w="1275" w:type="dxa"/>
            <w:vAlign w:val="top"/>
          </w:tcPr>
          <w:p w14:paraId="113547BB">
            <w:pPr>
              <w:spacing w:line="299" w:lineRule="auto"/>
              <w:rPr>
                <w:rFonts w:ascii="Arial"/>
                <w:sz w:val="21"/>
              </w:rPr>
            </w:pPr>
          </w:p>
          <w:p w14:paraId="02A996AA">
            <w:pPr>
              <w:pStyle w:val="6"/>
              <w:spacing w:before="65" w:line="233" w:lineRule="auto"/>
              <w:ind w:left="588"/>
            </w:pPr>
            <w:r>
              <w:t>/</w:t>
            </w:r>
          </w:p>
        </w:tc>
        <w:tc>
          <w:tcPr>
            <w:tcW w:w="709" w:type="dxa"/>
            <w:vAlign w:val="top"/>
          </w:tcPr>
          <w:p w14:paraId="2FF875E3">
            <w:pPr>
              <w:spacing w:line="299" w:lineRule="auto"/>
              <w:rPr>
                <w:rFonts w:ascii="Arial"/>
                <w:sz w:val="21"/>
              </w:rPr>
            </w:pPr>
          </w:p>
          <w:p w14:paraId="12B2DAD9">
            <w:pPr>
              <w:pStyle w:val="6"/>
              <w:spacing w:before="65" w:line="233" w:lineRule="auto"/>
              <w:ind w:left="304"/>
            </w:pPr>
            <w:r>
              <w:t>/</w:t>
            </w:r>
          </w:p>
        </w:tc>
        <w:tc>
          <w:tcPr>
            <w:tcW w:w="672" w:type="dxa"/>
            <w:vAlign w:val="top"/>
          </w:tcPr>
          <w:p w14:paraId="756EF228">
            <w:pPr>
              <w:spacing w:line="299" w:lineRule="auto"/>
              <w:rPr>
                <w:rFonts w:ascii="Arial"/>
                <w:sz w:val="21"/>
              </w:rPr>
            </w:pPr>
          </w:p>
          <w:p w14:paraId="6CF49AAC">
            <w:pPr>
              <w:pStyle w:val="6"/>
              <w:spacing w:before="65" w:line="233" w:lineRule="auto"/>
              <w:ind w:left="286"/>
            </w:pPr>
            <w:r>
              <w:t>/</w:t>
            </w:r>
          </w:p>
        </w:tc>
        <w:tc>
          <w:tcPr>
            <w:tcW w:w="1531" w:type="dxa"/>
            <w:vAlign w:val="top"/>
          </w:tcPr>
          <w:p w14:paraId="440020E5">
            <w:pPr>
              <w:spacing w:line="338" w:lineRule="auto"/>
              <w:rPr>
                <w:rFonts w:ascii="Arial"/>
                <w:sz w:val="21"/>
              </w:rPr>
            </w:pPr>
          </w:p>
          <w:p w14:paraId="431CCBDE">
            <w:pPr>
              <w:pStyle w:val="6"/>
              <w:spacing w:before="65" w:line="227" w:lineRule="auto"/>
              <w:ind w:left="244"/>
            </w:pPr>
            <w:r>
              <w:rPr>
                <w:spacing w:val="8"/>
              </w:rPr>
              <w:t>立式渣浆泵</w:t>
            </w:r>
          </w:p>
        </w:tc>
        <w:tc>
          <w:tcPr>
            <w:tcW w:w="1481" w:type="dxa"/>
            <w:vAlign w:val="top"/>
          </w:tcPr>
          <w:p w14:paraId="1A4D7CB4">
            <w:pPr>
              <w:pStyle w:val="6"/>
              <w:spacing w:before="55" w:line="268" w:lineRule="exact"/>
              <w:ind w:left="341"/>
            </w:pPr>
            <w:r>
              <w:rPr>
                <w:spacing w:val="3"/>
                <w:position w:val="1"/>
              </w:rPr>
              <w:t>100R-</w:t>
            </w:r>
            <w:r>
              <w:rPr>
                <w:position w:val="1"/>
              </w:rPr>
              <w:t>LPR</w:t>
            </w:r>
          </w:p>
          <w:p w14:paraId="606D289C">
            <w:pPr>
              <w:pStyle w:val="6"/>
              <w:spacing w:before="26" w:line="269" w:lineRule="exact"/>
              <w:ind w:left="297"/>
            </w:pPr>
            <w:r>
              <w:rPr>
                <w:spacing w:val="3"/>
              </w:rPr>
              <w:t>Q=142m</w:t>
            </w:r>
            <w:r>
              <w:rPr>
                <w:spacing w:val="3"/>
                <w:position w:val="10"/>
                <w:sz w:val="10"/>
                <w:szCs w:val="10"/>
              </w:rPr>
              <w:t>3</w:t>
            </w:r>
            <w:r>
              <w:rPr>
                <w:spacing w:val="3"/>
              </w:rPr>
              <w:t>/h</w:t>
            </w:r>
          </w:p>
          <w:p w14:paraId="23F4CE6B">
            <w:pPr>
              <w:pStyle w:val="6"/>
              <w:spacing w:before="59" w:line="232" w:lineRule="auto"/>
              <w:ind w:left="477"/>
            </w:pPr>
            <w:r>
              <w:rPr>
                <w:spacing w:val="4"/>
              </w:rPr>
              <w:t>H=24m</w:t>
            </w:r>
          </w:p>
        </w:tc>
        <w:tc>
          <w:tcPr>
            <w:tcW w:w="708" w:type="dxa"/>
            <w:vAlign w:val="top"/>
          </w:tcPr>
          <w:p w14:paraId="29C14E8D">
            <w:pPr>
              <w:spacing w:line="300" w:lineRule="auto"/>
              <w:rPr>
                <w:rFonts w:ascii="Arial"/>
                <w:sz w:val="21"/>
              </w:rPr>
            </w:pPr>
          </w:p>
          <w:p w14:paraId="21C95A66">
            <w:pPr>
              <w:pStyle w:val="6"/>
              <w:spacing w:before="65" w:line="230" w:lineRule="auto"/>
              <w:ind w:left="179"/>
            </w:pPr>
            <w:r>
              <w:rPr>
                <w:spacing w:val="-4"/>
              </w:rPr>
              <w:t>2</w:t>
            </w:r>
            <w:r>
              <w:rPr>
                <w:spacing w:val="-24"/>
              </w:rPr>
              <w:t xml:space="preserve"> </w:t>
            </w:r>
            <w:r>
              <w:rPr>
                <w:spacing w:val="-4"/>
              </w:rPr>
              <w:t>台</w:t>
            </w:r>
          </w:p>
        </w:tc>
        <w:tc>
          <w:tcPr>
            <w:tcW w:w="709" w:type="dxa"/>
            <w:vAlign w:val="top"/>
          </w:tcPr>
          <w:p w14:paraId="19AAF4AC">
            <w:pPr>
              <w:spacing w:line="300" w:lineRule="auto"/>
              <w:rPr>
                <w:rFonts w:ascii="Arial"/>
                <w:sz w:val="21"/>
              </w:rPr>
            </w:pPr>
          </w:p>
          <w:p w14:paraId="1B8B999C">
            <w:pPr>
              <w:pStyle w:val="6"/>
              <w:spacing w:before="65" w:line="228" w:lineRule="auto"/>
              <w:ind w:left="151"/>
            </w:pPr>
            <w:r>
              <w:rPr>
                <w:spacing w:val="4"/>
              </w:rPr>
              <w:t>新增</w:t>
            </w:r>
          </w:p>
        </w:tc>
        <w:tc>
          <w:tcPr>
            <w:tcW w:w="1700" w:type="dxa"/>
            <w:vAlign w:val="top"/>
          </w:tcPr>
          <w:p w14:paraId="525D3FCD">
            <w:pPr>
              <w:spacing w:line="338" w:lineRule="auto"/>
              <w:rPr>
                <w:rFonts w:ascii="Arial"/>
                <w:sz w:val="21"/>
              </w:rPr>
            </w:pPr>
          </w:p>
          <w:p w14:paraId="50C3F8A9">
            <w:pPr>
              <w:pStyle w:val="6"/>
              <w:spacing w:before="65" w:line="227" w:lineRule="auto"/>
              <w:ind w:left="331"/>
            </w:pPr>
            <w:r>
              <w:rPr>
                <w:spacing w:val="8"/>
              </w:rPr>
              <w:t>立式渣浆泵</w:t>
            </w:r>
          </w:p>
        </w:tc>
        <w:tc>
          <w:tcPr>
            <w:tcW w:w="1558" w:type="dxa"/>
            <w:vAlign w:val="top"/>
          </w:tcPr>
          <w:p w14:paraId="1EDD0DAE">
            <w:pPr>
              <w:pStyle w:val="6"/>
              <w:spacing w:before="55" w:line="268" w:lineRule="exact"/>
              <w:ind w:left="380"/>
            </w:pPr>
            <w:r>
              <w:rPr>
                <w:spacing w:val="3"/>
                <w:position w:val="1"/>
              </w:rPr>
              <w:t>100R-</w:t>
            </w:r>
            <w:r>
              <w:rPr>
                <w:position w:val="1"/>
              </w:rPr>
              <w:t>LPR</w:t>
            </w:r>
          </w:p>
          <w:p w14:paraId="6DD1A0A4">
            <w:pPr>
              <w:pStyle w:val="6"/>
              <w:spacing w:before="26" w:line="269" w:lineRule="exact"/>
              <w:ind w:left="339"/>
            </w:pPr>
            <w:r>
              <w:rPr>
                <w:spacing w:val="3"/>
              </w:rPr>
              <w:t>Q=142m</w:t>
            </w:r>
            <w:r>
              <w:rPr>
                <w:spacing w:val="3"/>
                <w:position w:val="10"/>
                <w:sz w:val="10"/>
                <w:szCs w:val="10"/>
              </w:rPr>
              <w:t>3</w:t>
            </w:r>
            <w:r>
              <w:rPr>
                <w:spacing w:val="3"/>
              </w:rPr>
              <w:t>/h</w:t>
            </w:r>
          </w:p>
          <w:p w14:paraId="03DDA3EE">
            <w:pPr>
              <w:pStyle w:val="6"/>
              <w:spacing w:before="59" w:line="232" w:lineRule="auto"/>
              <w:ind w:left="518"/>
            </w:pPr>
            <w:r>
              <w:rPr>
                <w:spacing w:val="4"/>
              </w:rPr>
              <w:t>H=24m</w:t>
            </w:r>
          </w:p>
        </w:tc>
        <w:tc>
          <w:tcPr>
            <w:tcW w:w="709" w:type="dxa"/>
            <w:vAlign w:val="top"/>
          </w:tcPr>
          <w:p w14:paraId="0EAEAE69">
            <w:pPr>
              <w:spacing w:line="300" w:lineRule="auto"/>
              <w:rPr>
                <w:rFonts w:ascii="Arial"/>
                <w:sz w:val="21"/>
              </w:rPr>
            </w:pPr>
          </w:p>
          <w:p w14:paraId="6C871A81">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4FEEA5C2">
            <w:pPr>
              <w:spacing w:line="300" w:lineRule="auto"/>
              <w:rPr>
                <w:rFonts w:ascii="Arial"/>
                <w:sz w:val="21"/>
              </w:rPr>
            </w:pPr>
          </w:p>
          <w:p w14:paraId="7C33EEDB">
            <w:pPr>
              <w:pStyle w:val="6"/>
              <w:spacing w:before="65" w:line="228" w:lineRule="auto"/>
              <w:ind w:left="239"/>
            </w:pPr>
            <w:r>
              <w:rPr>
                <w:spacing w:val="4"/>
              </w:rPr>
              <w:t>新增</w:t>
            </w:r>
          </w:p>
        </w:tc>
      </w:tr>
      <w:tr w14:paraId="13861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5B30EE90">
            <w:pPr>
              <w:pStyle w:val="6"/>
              <w:spacing w:before="55" w:line="228" w:lineRule="auto"/>
              <w:ind w:left="6483"/>
            </w:pPr>
            <w:r>
              <w:rPr>
                <w:spacing w:val="4"/>
              </w:rPr>
              <w:t>四、脱水车间</w:t>
            </w:r>
          </w:p>
        </w:tc>
      </w:tr>
      <w:tr w14:paraId="3F454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6C04ACD4">
            <w:pPr>
              <w:spacing w:before="115"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29CDEC53">
            <w:pPr>
              <w:pStyle w:val="6"/>
              <w:spacing w:before="112" w:line="224" w:lineRule="auto"/>
              <w:ind w:right="18"/>
              <w:jc w:val="right"/>
            </w:pPr>
            <w:r>
              <w:rPr>
                <w:spacing w:val="5"/>
              </w:rPr>
              <w:t>中心传动浓缩机</w:t>
            </w:r>
          </w:p>
        </w:tc>
        <w:tc>
          <w:tcPr>
            <w:tcW w:w="1275" w:type="dxa"/>
            <w:vAlign w:val="top"/>
          </w:tcPr>
          <w:p w14:paraId="38FD2CD2">
            <w:pPr>
              <w:pStyle w:val="6"/>
              <w:spacing w:before="79" w:line="268" w:lineRule="exact"/>
              <w:ind w:left="318"/>
            </w:pPr>
            <w:r>
              <w:rPr>
                <w:position w:val="1"/>
              </w:rPr>
              <w:t>NXZ</w:t>
            </w:r>
            <w:r>
              <w:rPr>
                <w:spacing w:val="9"/>
                <w:position w:val="1"/>
              </w:rPr>
              <w:t>-18</w:t>
            </w:r>
          </w:p>
        </w:tc>
        <w:tc>
          <w:tcPr>
            <w:tcW w:w="709" w:type="dxa"/>
            <w:vAlign w:val="top"/>
          </w:tcPr>
          <w:p w14:paraId="4A9F097D">
            <w:pPr>
              <w:pStyle w:val="6"/>
              <w:spacing w:before="79" w:line="230" w:lineRule="auto"/>
              <w:ind w:left="188"/>
            </w:pPr>
            <w:r>
              <w:rPr>
                <w:spacing w:val="-10"/>
              </w:rPr>
              <w:t>1</w:t>
            </w:r>
            <w:r>
              <w:rPr>
                <w:spacing w:val="-22"/>
              </w:rPr>
              <w:t xml:space="preserve"> </w:t>
            </w:r>
            <w:r>
              <w:rPr>
                <w:spacing w:val="-10"/>
              </w:rPr>
              <w:t>台</w:t>
            </w:r>
          </w:p>
        </w:tc>
        <w:tc>
          <w:tcPr>
            <w:tcW w:w="672" w:type="dxa"/>
            <w:vAlign w:val="top"/>
          </w:tcPr>
          <w:p w14:paraId="6B1BF608">
            <w:pPr>
              <w:pStyle w:val="6"/>
              <w:spacing w:before="79" w:line="228" w:lineRule="auto"/>
              <w:ind w:left="129"/>
            </w:pPr>
            <w:r>
              <w:rPr>
                <w:spacing w:val="4"/>
              </w:rPr>
              <w:t>保留</w:t>
            </w:r>
          </w:p>
        </w:tc>
        <w:tc>
          <w:tcPr>
            <w:tcW w:w="1531" w:type="dxa"/>
            <w:vAlign w:val="top"/>
          </w:tcPr>
          <w:p w14:paraId="6E90F679">
            <w:pPr>
              <w:pStyle w:val="6"/>
              <w:spacing w:before="112" w:line="224" w:lineRule="auto"/>
              <w:ind w:left="716"/>
            </w:pPr>
            <w:r>
              <w:t>/</w:t>
            </w:r>
          </w:p>
        </w:tc>
        <w:tc>
          <w:tcPr>
            <w:tcW w:w="1481" w:type="dxa"/>
            <w:vAlign w:val="top"/>
          </w:tcPr>
          <w:p w14:paraId="2A86E83E">
            <w:pPr>
              <w:pStyle w:val="6"/>
              <w:spacing w:before="78" w:line="233" w:lineRule="auto"/>
              <w:ind w:left="692"/>
            </w:pPr>
            <w:r>
              <w:t>/</w:t>
            </w:r>
          </w:p>
        </w:tc>
        <w:tc>
          <w:tcPr>
            <w:tcW w:w="708" w:type="dxa"/>
            <w:vAlign w:val="top"/>
          </w:tcPr>
          <w:p w14:paraId="39F40554">
            <w:pPr>
              <w:spacing w:before="11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168AA35">
            <w:pPr>
              <w:spacing w:before="11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CAA94A0">
            <w:pPr>
              <w:pStyle w:val="6"/>
              <w:spacing w:before="112" w:line="224" w:lineRule="auto"/>
              <w:ind w:left="190"/>
            </w:pPr>
            <w:r>
              <w:rPr>
                <w:spacing w:val="5"/>
              </w:rPr>
              <w:t>中心传动浓缩机</w:t>
            </w:r>
          </w:p>
        </w:tc>
        <w:tc>
          <w:tcPr>
            <w:tcW w:w="1558" w:type="dxa"/>
            <w:vAlign w:val="top"/>
          </w:tcPr>
          <w:p w14:paraId="2F0ABAB9">
            <w:pPr>
              <w:pStyle w:val="6"/>
              <w:spacing w:before="79" w:line="268" w:lineRule="exact"/>
              <w:ind w:left="463"/>
            </w:pPr>
            <w:r>
              <w:rPr>
                <w:position w:val="1"/>
              </w:rPr>
              <w:t>NXZ</w:t>
            </w:r>
            <w:r>
              <w:rPr>
                <w:spacing w:val="9"/>
                <w:position w:val="1"/>
              </w:rPr>
              <w:t>-18</w:t>
            </w:r>
          </w:p>
        </w:tc>
        <w:tc>
          <w:tcPr>
            <w:tcW w:w="709" w:type="dxa"/>
            <w:vAlign w:val="top"/>
          </w:tcPr>
          <w:p w14:paraId="711D9295">
            <w:pPr>
              <w:pStyle w:val="6"/>
              <w:spacing w:before="79" w:line="230" w:lineRule="auto"/>
              <w:ind w:left="192"/>
            </w:pPr>
            <w:r>
              <w:rPr>
                <w:spacing w:val="-10"/>
              </w:rPr>
              <w:t>1</w:t>
            </w:r>
            <w:r>
              <w:rPr>
                <w:spacing w:val="-22"/>
              </w:rPr>
              <w:t xml:space="preserve"> </w:t>
            </w:r>
            <w:r>
              <w:rPr>
                <w:spacing w:val="-10"/>
              </w:rPr>
              <w:t>台</w:t>
            </w:r>
          </w:p>
        </w:tc>
        <w:tc>
          <w:tcPr>
            <w:tcW w:w="887" w:type="dxa"/>
            <w:vAlign w:val="top"/>
          </w:tcPr>
          <w:p w14:paraId="3D1C237A">
            <w:pPr>
              <w:pStyle w:val="6"/>
              <w:spacing w:before="79" w:line="228" w:lineRule="auto"/>
              <w:ind w:left="243"/>
            </w:pPr>
            <w:r>
              <w:rPr>
                <w:spacing w:val="2"/>
              </w:rPr>
              <w:t>原有</w:t>
            </w:r>
          </w:p>
        </w:tc>
      </w:tr>
      <w:tr w14:paraId="106DE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1272AD39">
            <w:pPr>
              <w:spacing w:before="11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097E5095">
            <w:pPr>
              <w:pStyle w:val="6"/>
              <w:spacing w:before="112" w:line="224" w:lineRule="auto"/>
              <w:ind w:right="18"/>
              <w:jc w:val="right"/>
            </w:pPr>
            <w:r>
              <w:rPr>
                <w:spacing w:val="5"/>
              </w:rPr>
              <w:t>中心传动浓缩机</w:t>
            </w:r>
          </w:p>
        </w:tc>
        <w:tc>
          <w:tcPr>
            <w:tcW w:w="1275" w:type="dxa"/>
            <w:vAlign w:val="top"/>
          </w:tcPr>
          <w:p w14:paraId="0373A427">
            <w:pPr>
              <w:pStyle w:val="6"/>
              <w:spacing w:before="81" w:line="270" w:lineRule="exact"/>
              <w:ind w:left="318"/>
            </w:pPr>
            <w:r>
              <w:rPr>
                <w:position w:val="1"/>
              </w:rPr>
              <w:t>NXZ</w:t>
            </w:r>
            <w:r>
              <w:rPr>
                <w:spacing w:val="9"/>
                <w:position w:val="1"/>
              </w:rPr>
              <w:t>-22</w:t>
            </w:r>
          </w:p>
        </w:tc>
        <w:tc>
          <w:tcPr>
            <w:tcW w:w="709" w:type="dxa"/>
            <w:vAlign w:val="top"/>
          </w:tcPr>
          <w:p w14:paraId="267494E6">
            <w:pPr>
              <w:pStyle w:val="6"/>
              <w:spacing w:before="81" w:line="230" w:lineRule="auto"/>
              <w:ind w:left="175"/>
            </w:pPr>
            <w:r>
              <w:rPr>
                <w:spacing w:val="-4"/>
              </w:rPr>
              <w:t>2</w:t>
            </w:r>
            <w:r>
              <w:rPr>
                <w:spacing w:val="-21"/>
              </w:rPr>
              <w:t xml:space="preserve"> </w:t>
            </w:r>
            <w:r>
              <w:rPr>
                <w:spacing w:val="-4"/>
              </w:rPr>
              <w:t>台</w:t>
            </w:r>
          </w:p>
        </w:tc>
        <w:tc>
          <w:tcPr>
            <w:tcW w:w="672" w:type="dxa"/>
            <w:vAlign w:val="top"/>
          </w:tcPr>
          <w:p w14:paraId="6EFE0EB4">
            <w:pPr>
              <w:pStyle w:val="6"/>
              <w:spacing w:before="81" w:line="228" w:lineRule="auto"/>
              <w:ind w:left="129"/>
            </w:pPr>
            <w:r>
              <w:rPr>
                <w:spacing w:val="4"/>
              </w:rPr>
              <w:t>保留</w:t>
            </w:r>
          </w:p>
        </w:tc>
        <w:tc>
          <w:tcPr>
            <w:tcW w:w="1531" w:type="dxa"/>
            <w:vAlign w:val="top"/>
          </w:tcPr>
          <w:p w14:paraId="212DC247">
            <w:pPr>
              <w:pStyle w:val="6"/>
              <w:spacing w:before="112" w:line="224" w:lineRule="auto"/>
              <w:ind w:left="716"/>
            </w:pPr>
            <w:r>
              <w:t>/</w:t>
            </w:r>
          </w:p>
        </w:tc>
        <w:tc>
          <w:tcPr>
            <w:tcW w:w="1481" w:type="dxa"/>
            <w:vAlign w:val="top"/>
          </w:tcPr>
          <w:p w14:paraId="406D8371">
            <w:pPr>
              <w:pStyle w:val="6"/>
              <w:spacing w:before="80" w:line="233" w:lineRule="auto"/>
              <w:ind w:left="692"/>
            </w:pPr>
            <w:r>
              <w:t>/</w:t>
            </w:r>
          </w:p>
        </w:tc>
        <w:tc>
          <w:tcPr>
            <w:tcW w:w="708" w:type="dxa"/>
            <w:vAlign w:val="top"/>
          </w:tcPr>
          <w:p w14:paraId="6B7CEF7D">
            <w:pPr>
              <w:spacing w:before="11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764507C6">
            <w:pPr>
              <w:spacing w:before="11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881B3B4">
            <w:pPr>
              <w:pStyle w:val="6"/>
              <w:spacing w:before="112" w:line="224" w:lineRule="auto"/>
              <w:ind w:left="190"/>
            </w:pPr>
            <w:r>
              <w:rPr>
                <w:spacing w:val="5"/>
              </w:rPr>
              <w:t>中心传动浓缩机</w:t>
            </w:r>
          </w:p>
        </w:tc>
        <w:tc>
          <w:tcPr>
            <w:tcW w:w="1558" w:type="dxa"/>
            <w:vAlign w:val="top"/>
          </w:tcPr>
          <w:p w14:paraId="6881B215">
            <w:pPr>
              <w:pStyle w:val="6"/>
              <w:spacing w:before="81" w:line="270" w:lineRule="exact"/>
              <w:ind w:left="463"/>
            </w:pPr>
            <w:r>
              <w:rPr>
                <w:position w:val="1"/>
              </w:rPr>
              <w:t>NXZ</w:t>
            </w:r>
            <w:r>
              <w:rPr>
                <w:spacing w:val="9"/>
                <w:position w:val="1"/>
              </w:rPr>
              <w:t>-22</w:t>
            </w:r>
          </w:p>
        </w:tc>
        <w:tc>
          <w:tcPr>
            <w:tcW w:w="709" w:type="dxa"/>
            <w:vAlign w:val="top"/>
          </w:tcPr>
          <w:p w14:paraId="1D71EFC5">
            <w:pPr>
              <w:pStyle w:val="6"/>
              <w:spacing w:before="81" w:line="230" w:lineRule="auto"/>
              <w:ind w:left="179"/>
            </w:pPr>
            <w:r>
              <w:rPr>
                <w:spacing w:val="-4"/>
              </w:rPr>
              <w:t>2</w:t>
            </w:r>
            <w:r>
              <w:rPr>
                <w:spacing w:val="-21"/>
              </w:rPr>
              <w:t xml:space="preserve"> </w:t>
            </w:r>
            <w:r>
              <w:rPr>
                <w:spacing w:val="-4"/>
              </w:rPr>
              <w:t>台</w:t>
            </w:r>
          </w:p>
        </w:tc>
        <w:tc>
          <w:tcPr>
            <w:tcW w:w="887" w:type="dxa"/>
            <w:vAlign w:val="top"/>
          </w:tcPr>
          <w:p w14:paraId="58A0449D">
            <w:pPr>
              <w:pStyle w:val="6"/>
              <w:spacing w:before="81" w:line="228" w:lineRule="auto"/>
              <w:ind w:left="243"/>
            </w:pPr>
            <w:r>
              <w:rPr>
                <w:spacing w:val="2"/>
              </w:rPr>
              <w:t>原有</w:t>
            </w:r>
          </w:p>
        </w:tc>
      </w:tr>
      <w:tr w14:paraId="33273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0AAB2AE5">
            <w:pPr>
              <w:spacing w:before="11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42E75753">
            <w:pPr>
              <w:pStyle w:val="6"/>
              <w:spacing w:before="114" w:line="222" w:lineRule="auto"/>
              <w:ind w:left="291"/>
            </w:pPr>
            <w:r>
              <w:rPr>
                <w:spacing w:val="5"/>
              </w:rPr>
              <w:t>陶瓷过滤机</w:t>
            </w:r>
          </w:p>
        </w:tc>
        <w:tc>
          <w:tcPr>
            <w:tcW w:w="1275" w:type="dxa"/>
            <w:vAlign w:val="top"/>
          </w:tcPr>
          <w:p w14:paraId="76C0C349">
            <w:pPr>
              <w:pStyle w:val="6"/>
              <w:spacing w:before="63" w:line="286" w:lineRule="exact"/>
              <w:ind w:left="461"/>
              <w:rPr>
                <w:sz w:val="10"/>
                <w:szCs w:val="10"/>
              </w:rPr>
            </w:pPr>
            <w:r>
              <w:rPr>
                <w:spacing w:val="1"/>
                <w:position w:val="1"/>
              </w:rPr>
              <w:t>35m</w:t>
            </w:r>
            <w:r>
              <w:rPr>
                <w:spacing w:val="1"/>
                <w:position w:val="10"/>
                <w:sz w:val="10"/>
                <w:szCs w:val="10"/>
              </w:rPr>
              <w:t>2</w:t>
            </w:r>
          </w:p>
        </w:tc>
        <w:tc>
          <w:tcPr>
            <w:tcW w:w="709" w:type="dxa"/>
            <w:vAlign w:val="top"/>
          </w:tcPr>
          <w:p w14:paraId="46CD1F5C">
            <w:pPr>
              <w:pStyle w:val="6"/>
              <w:spacing w:before="80" w:line="230" w:lineRule="auto"/>
              <w:ind w:left="188"/>
            </w:pPr>
            <w:r>
              <w:rPr>
                <w:spacing w:val="-10"/>
              </w:rPr>
              <w:t>1</w:t>
            </w:r>
            <w:r>
              <w:rPr>
                <w:spacing w:val="-22"/>
              </w:rPr>
              <w:t xml:space="preserve"> </w:t>
            </w:r>
            <w:r>
              <w:rPr>
                <w:spacing w:val="-10"/>
              </w:rPr>
              <w:t>台</w:t>
            </w:r>
          </w:p>
        </w:tc>
        <w:tc>
          <w:tcPr>
            <w:tcW w:w="672" w:type="dxa"/>
            <w:vAlign w:val="top"/>
          </w:tcPr>
          <w:p w14:paraId="6B072237">
            <w:pPr>
              <w:pStyle w:val="6"/>
              <w:spacing w:before="81" w:line="228" w:lineRule="auto"/>
              <w:ind w:left="129"/>
            </w:pPr>
            <w:r>
              <w:rPr>
                <w:spacing w:val="4"/>
              </w:rPr>
              <w:t>保留</w:t>
            </w:r>
          </w:p>
        </w:tc>
        <w:tc>
          <w:tcPr>
            <w:tcW w:w="1531" w:type="dxa"/>
            <w:vAlign w:val="top"/>
          </w:tcPr>
          <w:p w14:paraId="20CFAE29">
            <w:pPr>
              <w:pStyle w:val="6"/>
              <w:spacing w:before="114" w:line="222" w:lineRule="auto"/>
              <w:ind w:left="716"/>
            </w:pPr>
            <w:r>
              <w:t>/</w:t>
            </w:r>
          </w:p>
        </w:tc>
        <w:tc>
          <w:tcPr>
            <w:tcW w:w="1481" w:type="dxa"/>
            <w:vAlign w:val="top"/>
          </w:tcPr>
          <w:p w14:paraId="177BD3FB">
            <w:pPr>
              <w:pStyle w:val="6"/>
              <w:spacing w:before="80" w:line="233" w:lineRule="auto"/>
              <w:ind w:left="692"/>
            </w:pPr>
            <w:r>
              <w:t>/</w:t>
            </w:r>
          </w:p>
        </w:tc>
        <w:tc>
          <w:tcPr>
            <w:tcW w:w="708" w:type="dxa"/>
            <w:vAlign w:val="top"/>
          </w:tcPr>
          <w:p w14:paraId="6AC25C74">
            <w:pPr>
              <w:spacing w:before="11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6385B255">
            <w:pPr>
              <w:spacing w:before="11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7E11D4A">
            <w:pPr>
              <w:pStyle w:val="6"/>
              <w:spacing w:before="114" w:line="222" w:lineRule="auto"/>
              <w:ind w:left="343"/>
            </w:pPr>
            <w:r>
              <w:rPr>
                <w:spacing w:val="5"/>
              </w:rPr>
              <w:t>陶瓷过滤机</w:t>
            </w:r>
          </w:p>
        </w:tc>
        <w:tc>
          <w:tcPr>
            <w:tcW w:w="1558" w:type="dxa"/>
            <w:vAlign w:val="top"/>
          </w:tcPr>
          <w:p w14:paraId="2134CC4C">
            <w:pPr>
              <w:pStyle w:val="6"/>
              <w:spacing w:before="63" w:line="286" w:lineRule="exact"/>
              <w:ind w:left="606"/>
              <w:rPr>
                <w:sz w:val="10"/>
                <w:szCs w:val="10"/>
              </w:rPr>
            </w:pPr>
            <w:r>
              <w:rPr>
                <w:spacing w:val="1"/>
                <w:position w:val="1"/>
              </w:rPr>
              <w:t>35m</w:t>
            </w:r>
            <w:r>
              <w:rPr>
                <w:spacing w:val="1"/>
                <w:position w:val="10"/>
                <w:sz w:val="10"/>
                <w:szCs w:val="10"/>
              </w:rPr>
              <w:t>2</w:t>
            </w:r>
          </w:p>
        </w:tc>
        <w:tc>
          <w:tcPr>
            <w:tcW w:w="709" w:type="dxa"/>
            <w:vAlign w:val="top"/>
          </w:tcPr>
          <w:p w14:paraId="36CAD655">
            <w:pPr>
              <w:pStyle w:val="6"/>
              <w:spacing w:before="80" w:line="230" w:lineRule="auto"/>
              <w:ind w:left="192"/>
            </w:pPr>
            <w:r>
              <w:rPr>
                <w:spacing w:val="-10"/>
              </w:rPr>
              <w:t>1</w:t>
            </w:r>
            <w:r>
              <w:rPr>
                <w:spacing w:val="-22"/>
              </w:rPr>
              <w:t xml:space="preserve"> </w:t>
            </w:r>
            <w:r>
              <w:rPr>
                <w:spacing w:val="-10"/>
              </w:rPr>
              <w:t>台</w:t>
            </w:r>
          </w:p>
        </w:tc>
        <w:tc>
          <w:tcPr>
            <w:tcW w:w="887" w:type="dxa"/>
            <w:vAlign w:val="top"/>
          </w:tcPr>
          <w:p w14:paraId="40383C7A">
            <w:pPr>
              <w:pStyle w:val="6"/>
              <w:spacing w:before="81" w:line="228" w:lineRule="auto"/>
              <w:ind w:left="243"/>
            </w:pPr>
            <w:r>
              <w:rPr>
                <w:spacing w:val="2"/>
              </w:rPr>
              <w:t>原有</w:t>
            </w:r>
          </w:p>
        </w:tc>
      </w:tr>
      <w:tr w14:paraId="36F03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155F977B">
            <w:pPr>
              <w:spacing w:before="126"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71D34E64">
            <w:pPr>
              <w:pStyle w:val="6"/>
              <w:spacing w:before="128" w:line="227" w:lineRule="auto"/>
              <w:ind w:left="291"/>
            </w:pPr>
            <w:r>
              <w:rPr>
                <w:spacing w:val="5"/>
              </w:rPr>
              <w:t>陶瓷过滤机</w:t>
            </w:r>
          </w:p>
        </w:tc>
        <w:tc>
          <w:tcPr>
            <w:tcW w:w="1275" w:type="dxa"/>
            <w:vAlign w:val="top"/>
          </w:tcPr>
          <w:p w14:paraId="2DF667F4">
            <w:pPr>
              <w:pStyle w:val="6"/>
              <w:spacing w:before="72" w:line="286" w:lineRule="exact"/>
              <w:ind w:left="458"/>
              <w:rPr>
                <w:sz w:val="10"/>
                <w:szCs w:val="10"/>
              </w:rPr>
            </w:pPr>
            <w:r>
              <w:rPr>
                <w:spacing w:val="1"/>
                <w:position w:val="1"/>
              </w:rPr>
              <w:t>60m</w:t>
            </w:r>
            <w:r>
              <w:rPr>
                <w:spacing w:val="1"/>
                <w:position w:val="10"/>
                <w:sz w:val="10"/>
                <w:szCs w:val="10"/>
              </w:rPr>
              <w:t>2</w:t>
            </w:r>
          </w:p>
        </w:tc>
        <w:tc>
          <w:tcPr>
            <w:tcW w:w="709" w:type="dxa"/>
            <w:vAlign w:val="top"/>
          </w:tcPr>
          <w:p w14:paraId="578CDC09">
            <w:pPr>
              <w:pStyle w:val="6"/>
              <w:spacing w:before="89" w:line="230" w:lineRule="auto"/>
              <w:ind w:left="188"/>
            </w:pPr>
            <w:r>
              <w:rPr>
                <w:spacing w:val="-10"/>
              </w:rPr>
              <w:t>1</w:t>
            </w:r>
            <w:r>
              <w:rPr>
                <w:spacing w:val="-22"/>
              </w:rPr>
              <w:t xml:space="preserve"> </w:t>
            </w:r>
            <w:r>
              <w:rPr>
                <w:spacing w:val="-10"/>
              </w:rPr>
              <w:t>台</w:t>
            </w:r>
          </w:p>
        </w:tc>
        <w:tc>
          <w:tcPr>
            <w:tcW w:w="672" w:type="dxa"/>
            <w:vAlign w:val="top"/>
          </w:tcPr>
          <w:p w14:paraId="6E197883">
            <w:pPr>
              <w:pStyle w:val="6"/>
              <w:spacing w:before="90" w:line="228" w:lineRule="auto"/>
              <w:ind w:left="129"/>
            </w:pPr>
            <w:r>
              <w:rPr>
                <w:spacing w:val="4"/>
              </w:rPr>
              <w:t>保留</w:t>
            </w:r>
          </w:p>
        </w:tc>
        <w:tc>
          <w:tcPr>
            <w:tcW w:w="1531" w:type="dxa"/>
            <w:vAlign w:val="top"/>
          </w:tcPr>
          <w:p w14:paraId="4381CB24">
            <w:pPr>
              <w:pStyle w:val="6"/>
              <w:spacing w:before="123" w:line="232" w:lineRule="auto"/>
              <w:ind w:left="716"/>
            </w:pPr>
            <w:r>
              <w:t>/</w:t>
            </w:r>
          </w:p>
        </w:tc>
        <w:tc>
          <w:tcPr>
            <w:tcW w:w="1481" w:type="dxa"/>
            <w:vAlign w:val="top"/>
          </w:tcPr>
          <w:p w14:paraId="59FCC9A7">
            <w:pPr>
              <w:pStyle w:val="6"/>
              <w:spacing w:before="89" w:line="233" w:lineRule="auto"/>
              <w:ind w:left="692"/>
            </w:pPr>
            <w:r>
              <w:t>/</w:t>
            </w:r>
          </w:p>
        </w:tc>
        <w:tc>
          <w:tcPr>
            <w:tcW w:w="708" w:type="dxa"/>
            <w:vAlign w:val="top"/>
          </w:tcPr>
          <w:p w14:paraId="238DAEF0">
            <w:pPr>
              <w:spacing w:before="12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04898B6">
            <w:pPr>
              <w:spacing w:before="12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A714E76">
            <w:pPr>
              <w:pStyle w:val="6"/>
              <w:spacing w:before="128" w:line="227" w:lineRule="auto"/>
              <w:ind w:left="343"/>
            </w:pPr>
            <w:r>
              <w:rPr>
                <w:spacing w:val="5"/>
              </w:rPr>
              <w:t>陶瓷过滤机</w:t>
            </w:r>
          </w:p>
        </w:tc>
        <w:tc>
          <w:tcPr>
            <w:tcW w:w="1558" w:type="dxa"/>
            <w:vAlign w:val="top"/>
          </w:tcPr>
          <w:p w14:paraId="2A6ADC7D">
            <w:pPr>
              <w:pStyle w:val="6"/>
              <w:spacing w:before="72" w:line="286" w:lineRule="exact"/>
              <w:ind w:left="604"/>
              <w:rPr>
                <w:sz w:val="10"/>
                <w:szCs w:val="10"/>
              </w:rPr>
            </w:pPr>
            <w:r>
              <w:rPr>
                <w:spacing w:val="1"/>
                <w:position w:val="1"/>
              </w:rPr>
              <w:t>60m</w:t>
            </w:r>
            <w:r>
              <w:rPr>
                <w:spacing w:val="1"/>
                <w:position w:val="10"/>
                <w:sz w:val="10"/>
                <w:szCs w:val="10"/>
              </w:rPr>
              <w:t>2</w:t>
            </w:r>
          </w:p>
        </w:tc>
        <w:tc>
          <w:tcPr>
            <w:tcW w:w="709" w:type="dxa"/>
            <w:vAlign w:val="top"/>
          </w:tcPr>
          <w:p w14:paraId="32A224E6">
            <w:pPr>
              <w:pStyle w:val="6"/>
              <w:spacing w:before="89" w:line="230" w:lineRule="auto"/>
              <w:ind w:left="192"/>
            </w:pPr>
            <w:r>
              <w:rPr>
                <w:spacing w:val="-10"/>
              </w:rPr>
              <w:t>1</w:t>
            </w:r>
            <w:r>
              <w:rPr>
                <w:spacing w:val="-22"/>
              </w:rPr>
              <w:t xml:space="preserve"> </w:t>
            </w:r>
            <w:r>
              <w:rPr>
                <w:spacing w:val="-10"/>
              </w:rPr>
              <w:t>台</w:t>
            </w:r>
          </w:p>
        </w:tc>
        <w:tc>
          <w:tcPr>
            <w:tcW w:w="887" w:type="dxa"/>
            <w:vAlign w:val="top"/>
          </w:tcPr>
          <w:p w14:paraId="59D0F49C">
            <w:pPr>
              <w:pStyle w:val="6"/>
              <w:spacing w:before="90" w:line="228" w:lineRule="auto"/>
              <w:ind w:left="243"/>
            </w:pPr>
            <w:r>
              <w:rPr>
                <w:spacing w:val="2"/>
              </w:rPr>
              <w:t>原有</w:t>
            </w:r>
          </w:p>
        </w:tc>
      </w:tr>
      <w:tr w14:paraId="52C02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5DD25877">
            <w:pPr>
              <w:spacing w:before="118"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6" w:type="dxa"/>
            <w:vAlign w:val="top"/>
          </w:tcPr>
          <w:p w14:paraId="5FF8F9AC">
            <w:pPr>
              <w:pStyle w:val="6"/>
              <w:spacing w:before="112" w:line="224" w:lineRule="auto"/>
              <w:ind w:left="754"/>
            </w:pPr>
            <w:r>
              <w:t>/</w:t>
            </w:r>
          </w:p>
        </w:tc>
        <w:tc>
          <w:tcPr>
            <w:tcW w:w="1275" w:type="dxa"/>
            <w:vAlign w:val="top"/>
          </w:tcPr>
          <w:p w14:paraId="4453CCC9">
            <w:pPr>
              <w:pStyle w:val="6"/>
              <w:spacing w:before="78" w:line="233" w:lineRule="auto"/>
              <w:ind w:left="588"/>
            </w:pPr>
            <w:r>
              <w:t>/</w:t>
            </w:r>
          </w:p>
        </w:tc>
        <w:tc>
          <w:tcPr>
            <w:tcW w:w="709" w:type="dxa"/>
            <w:vAlign w:val="top"/>
          </w:tcPr>
          <w:p w14:paraId="1E108BC7">
            <w:pPr>
              <w:spacing w:before="111" w:line="199"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2" w:type="dxa"/>
            <w:vAlign w:val="top"/>
          </w:tcPr>
          <w:p w14:paraId="373848BF">
            <w:pPr>
              <w:spacing w:before="111" w:line="199"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1" w:type="dxa"/>
            <w:vAlign w:val="top"/>
          </w:tcPr>
          <w:p w14:paraId="1C9C0648">
            <w:pPr>
              <w:pStyle w:val="6"/>
              <w:spacing w:before="112" w:line="224" w:lineRule="auto"/>
              <w:ind w:left="146"/>
            </w:pPr>
            <w:r>
              <w:rPr>
                <w:spacing w:val="7"/>
              </w:rPr>
              <w:t>高浓度搅拌槽</w:t>
            </w:r>
          </w:p>
        </w:tc>
        <w:tc>
          <w:tcPr>
            <w:tcW w:w="1481" w:type="dxa"/>
            <w:vAlign w:val="top"/>
          </w:tcPr>
          <w:p w14:paraId="0A5AC4A0">
            <w:pPr>
              <w:pStyle w:val="6"/>
              <w:spacing w:before="79" w:line="268" w:lineRule="exact"/>
              <w:ind w:left="323"/>
            </w:pPr>
            <w:r>
              <w:rPr>
                <w:position w:val="1"/>
              </w:rPr>
              <w:t>XBN</w:t>
            </w:r>
            <w:r>
              <w:rPr>
                <w:spacing w:val="7"/>
                <w:position w:val="1"/>
              </w:rPr>
              <w:t>-1500</w:t>
            </w:r>
          </w:p>
        </w:tc>
        <w:tc>
          <w:tcPr>
            <w:tcW w:w="708" w:type="dxa"/>
            <w:vAlign w:val="top"/>
          </w:tcPr>
          <w:p w14:paraId="1DE2BCA7">
            <w:pPr>
              <w:pStyle w:val="6"/>
              <w:spacing w:before="79" w:line="230" w:lineRule="auto"/>
              <w:ind w:left="192"/>
            </w:pPr>
            <w:r>
              <w:rPr>
                <w:spacing w:val="-10"/>
              </w:rPr>
              <w:t>1</w:t>
            </w:r>
            <w:r>
              <w:rPr>
                <w:spacing w:val="-25"/>
              </w:rPr>
              <w:t xml:space="preserve"> </w:t>
            </w:r>
            <w:r>
              <w:rPr>
                <w:spacing w:val="-10"/>
              </w:rPr>
              <w:t>台</w:t>
            </w:r>
          </w:p>
        </w:tc>
        <w:tc>
          <w:tcPr>
            <w:tcW w:w="709" w:type="dxa"/>
            <w:vAlign w:val="top"/>
          </w:tcPr>
          <w:p w14:paraId="18D8F8A5">
            <w:pPr>
              <w:pStyle w:val="6"/>
              <w:spacing w:before="79" w:line="228" w:lineRule="auto"/>
              <w:ind w:left="151"/>
            </w:pPr>
            <w:r>
              <w:rPr>
                <w:spacing w:val="4"/>
              </w:rPr>
              <w:t>新增</w:t>
            </w:r>
          </w:p>
        </w:tc>
        <w:tc>
          <w:tcPr>
            <w:tcW w:w="1700" w:type="dxa"/>
            <w:vAlign w:val="top"/>
          </w:tcPr>
          <w:p w14:paraId="5521445B">
            <w:pPr>
              <w:pStyle w:val="6"/>
              <w:spacing w:before="112" w:line="224" w:lineRule="auto"/>
              <w:ind w:left="231"/>
            </w:pPr>
            <w:r>
              <w:rPr>
                <w:spacing w:val="7"/>
              </w:rPr>
              <w:t>高浓度搅拌槽</w:t>
            </w:r>
          </w:p>
        </w:tc>
        <w:tc>
          <w:tcPr>
            <w:tcW w:w="1558" w:type="dxa"/>
            <w:vAlign w:val="top"/>
          </w:tcPr>
          <w:p w14:paraId="51CD72A2">
            <w:pPr>
              <w:pStyle w:val="6"/>
              <w:spacing w:before="79" w:line="268" w:lineRule="exact"/>
              <w:ind w:left="362"/>
            </w:pPr>
            <w:r>
              <w:rPr>
                <w:position w:val="1"/>
              </w:rPr>
              <w:t>XBN</w:t>
            </w:r>
            <w:r>
              <w:rPr>
                <w:spacing w:val="7"/>
                <w:position w:val="1"/>
              </w:rPr>
              <w:t>-1500</w:t>
            </w:r>
          </w:p>
        </w:tc>
        <w:tc>
          <w:tcPr>
            <w:tcW w:w="709" w:type="dxa"/>
            <w:vAlign w:val="top"/>
          </w:tcPr>
          <w:p w14:paraId="48D58221">
            <w:pPr>
              <w:pStyle w:val="6"/>
              <w:spacing w:before="79" w:line="230" w:lineRule="auto"/>
              <w:ind w:left="192"/>
            </w:pPr>
            <w:r>
              <w:rPr>
                <w:spacing w:val="-10"/>
              </w:rPr>
              <w:t>1</w:t>
            </w:r>
            <w:r>
              <w:rPr>
                <w:spacing w:val="-22"/>
              </w:rPr>
              <w:t xml:space="preserve"> </w:t>
            </w:r>
            <w:r>
              <w:rPr>
                <w:spacing w:val="-10"/>
              </w:rPr>
              <w:t>台</w:t>
            </w:r>
          </w:p>
        </w:tc>
        <w:tc>
          <w:tcPr>
            <w:tcW w:w="887" w:type="dxa"/>
            <w:vAlign w:val="top"/>
          </w:tcPr>
          <w:p w14:paraId="0BBE4387">
            <w:pPr>
              <w:pStyle w:val="6"/>
              <w:spacing w:before="79" w:line="228" w:lineRule="auto"/>
              <w:ind w:left="239"/>
            </w:pPr>
            <w:r>
              <w:rPr>
                <w:spacing w:val="4"/>
              </w:rPr>
              <w:t>新增</w:t>
            </w:r>
          </w:p>
        </w:tc>
      </w:tr>
      <w:tr w14:paraId="1DF42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33" w:type="dxa"/>
            <w:vAlign w:val="top"/>
          </w:tcPr>
          <w:p w14:paraId="4E05B65F">
            <w:pPr>
              <w:spacing w:before="11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6" w:type="dxa"/>
            <w:vAlign w:val="top"/>
          </w:tcPr>
          <w:p w14:paraId="2D739D35">
            <w:pPr>
              <w:pStyle w:val="6"/>
              <w:spacing w:before="112" w:line="226" w:lineRule="auto"/>
              <w:ind w:left="754"/>
            </w:pPr>
            <w:r>
              <w:t>/</w:t>
            </w:r>
          </w:p>
        </w:tc>
        <w:tc>
          <w:tcPr>
            <w:tcW w:w="1275" w:type="dxa"/>
            <w:vAlign w:val="top"/>
          </w:tcPr>
          <w:p w14:paraId="1532F1BA">
            <w:pPr>
              <w:pStyle w:val="6"/>
              <w:spacing w:before="80" w:line="233" w:lineRule="auto"/>
              <w:ind w:left="588"/>
            </w:pPr>
            <w:r>
              <w:t>/</w:t>
            </w:r>
          </w:p>
        </w:tc>
        <w:tc>
          <w:tcPr>
            <w:tcW w:w="709" w:type="dxa"/>
            <w:vAlign w:val="top"/>
          </w:tcPr>
          <w:p w14:paraId="4F0D779F">
            <w:pPr>
              <w:spacing w:before="113" w:line="199"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2" w:type="dxa"/>
            <w:vAlign w:val="top"/>
          </w:tcPr>
          <w:p w14:paraId="75B26F36">
            <w:pPr>
              <w:spacing w:before="113" w:line="199"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1" w:type="dxa"/>
            <w:vAlign w:val="top"/>
          </w:tcPr>
          <w:p w14:paraId="5B4580EC">
            <w:pPr>
              <w:pStyle w:val="6"/>
              <w:spacing w:before="112" w:line="226" w:lineRule="auto"/>
              <w:ind w:left="146"/>
            </w:pPr>
            <w:r>
              <w:rPr>
                <w:spacing w:val="7"/>
              </w:rPr>
              <w:t>高浓度搅拌槽</w:t>
            </w:r>
          </w:p>
        </w:tc>
        <w:tc>
          <w:tcPr>
            <w:tcW w:w="1481" w:type="dxa"/>
            <w:vAlign w:val="top"/>
          </w:tcPr>
          <w:p w14:paraId="650DC47B">
            <w:pPr>
              <w:pStyle w:val="6"/>
              <w:spacing w:before="81" w:line="268" w:lineRule="exact"/>
              <w:ind w:left="323"/>
            </w:pPr>
            <w:r>
              <w:rPr>
                <w:position w:val="1"/>
              </w:rPr>
              <w:t>XBN</w:t>
            </w:r>
            <w:r>
              <w:rPr>
                <w:spacing w:val="7"/>
                <w:position w:val="1"/>
              </w:rPr>
              <w:t>-2000</w:t>
            </w:r>
          </w:p>
        </w:tc>
        <w:tc>
          <w:tcPr>
            <w:tcW w:w="708" w:type="dxa"/>
            <w:vAlign w:val="top"/>
          </w:tcPr>
          <w:p w14:paraId="239518A9">
            <w:pPr>
              <w:pStyle w:val="6"/>
              <w:spacing w:before="81" w:line="230" w:lineRule="auto"/>
              <w:ind w:left="192"/>
            </w:pPr>
            <w:r>
              <w:rPr>
                <w:spacing w:val="-10"/>
              </w:rPr>
              <w:t>1</w:t>
            </w:r>
            <w:r>
              <w:rPr>
                <w:spacing w:val="-25"/>
              </w:rPr>
              <w:t xml:space="preserve"> </w:t>
            </w:r>
            <w:r>
              <w:rPr>
                <w:spacing w:val="-10"/>
              </w:rPr>
              <w:t>台</w:t>
            </w:r>
          </w:p>
        </w:tc>
        <w:tc>
          <w:tcPr>
            <w:tcW w:w="709" w:type="dxa"/>
            <w:vAlign w:val="top"/>
          </w:tcPr>
          <w:p w14:paraId="08DBC728">
            <w:pPr>
              <w:pStyle w:val="6"/>
              <w:spacing w:before="81" w:line="228" w:lineRule="auto"/>
              <w:ind w:left="151"/>
            </w:pPr>
            <w:r>
              <w:rPr>
                <w:spacing w:val="4"/>
              </w:rPr>
              <w:t>新增</w:t>
            </w:r>
          </w:p>
        </w:tc>
        <w:tc>
          <w:tcPr>
            <w:tcW w:w="1700" w:type="dxa"/>
            <w:vAlign w:val="top"/>
          </w:tcPr>
          <w:p w14:paraId="1882412F">
            <w:pPr>
              <w:pStyle w:val="6"/>
              <w:spacing w:before="112" w:line="226" w:lineRule="auto"/>
              <w:ind w:left="231"/>
            </w:pPr>
            <w:r>
              <w:rPr>
                <w:spacing w:val="7"/>
              </w:rPr>
              <w:t>高浓度搅拌槽</w:t>
            </w:r>
          </w:p>
        </w:tc>
        <w:tc>
          <w:tcPr>
            <w:tcW w:w="1558" w:type="dxa"/>
            <w:vAlign w:val="top"/>
          </w:tcPr>
          <w:p w14:paraId="1035C919">
            <w:pPr>
              <w:pStyle w:val="6"/>
              <w:spacing w:before="81" w:line="268" w:lineRule="exact"/>
              <w:ind w:left="362"/>
            </w:pPr>
            <w:r>
              <w:rPr>
                <w:position w:val="1"/>
              </w:rPr>
              <w:t>XBN</w:t>
            </w:r>
            <w:r>
              <w:rPr>
                <w:spacing w:val="7"/>
                <w:position w:val="1"/>
              </w:rPr>
              <w:t>-2000</w:t>
            </w:r>
          </w:p>
        </w:tc>
        <w:tc>
          <w:tcPr>
            <w:tcW w:w="709" w:type="dxa"/>
            <w:vAlign w:val="top"/>
          </w:tcPr>
          <w:p w14:paraId="7AAFD71F">
            <w:pPr>
              <w:pStyle w:val="6"/>
              <w:spacing w:before="81" w:line="230" w:lineRule="auto"/>
              <w:ind w:left="192"/>
            </w:pPr>
            <w:r>
              <w:rPr>
                <w:spacing w:val="-10"/>
              </w:rPr>
              <w:t>1</w:t>
            </w:r>
            <w:r>
              <w:rPr>
                <w:spacing w:val="-22"/>
              </w:rPr>
              <w:t xml:space="preserve"> </w:t>
            </w:r>
            <w:r>
              <w:rPr>
                <w:spacing w:val="-10"/>
              </w:rPr>
              <w:t>台</w:t>
            </w:r>
          </w:p>
        </w:tc>
        <w:tc>
          <w:tcPr>
            <w:tcW w:w="887" w:type="dxa"/>
            <w:vAlign w:val="top"/>
          </w:tcPr>
          <w:p w14:paraId="2892FCB0">
            <w:pPr>
              <w:pStyle w:val="6"/>
              <w:spacing w:before="81" w:line="228" w:lineRule="auto"/>
              <w:ind w:left="239"/>
            </w:pPr>
            <w:r>
              <w:rPr>
                <w:spacing w:val="4"/>
              </w:rPr>
              <w:t>新增</w:t>
            </w:r>
          </w:p>
        </w:tc>
      </w:tr>
    </w:tbl>
    <w:p w14:paraId="49BFE5A5">
      <w:pPr>
        <w:pStyle w:val="2"/>
      </w:pPr>
    </w:p>
    <w:p w14:paraId="5D978F79">
      <w:pPr>
        <w:sectPr>
          <w:footerReference r:id="rId106" w:type="default"/>
          <w:pgSz w:w="16839" w:h="11906"/>
          <w:pgMar w:top="1208" w:right="1327" w:bottom="1358" w:left="1327" w:header="825" w:footer="1195" w:gutter="0"/>
          <w:cols w:space="720" w:num="1"/>
        </w:sectPr>
      </w:pPr>
    </w:p>
    <w:p w14:paraId="45EBCD0C">
      <w:pPr>
        <w:spacing w:before="53"/>
      </w:pPr>
    </w:p>
    <w:p w14:paraId="2E9B329D">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55E06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2AC2825D">
            <w:pPr>
              <w:pStyle w:val="6"/>
              <w:spacing w:before="210" w:line="218" w:lineRule="auto"/>
              <w:ind w:left="203"/>
            </w:pPr>
            <w:r>
              <w:rPr>
                <w:spacing w:val="6"/>
              </w:rPr>
              <w:t>序 号</w:t>
            </w:r>
          </w:p>
        </w:tc>
        <w:tc>
          <w:tcPr>
            <w:tcW w:w="4262" w:type="dxa"/>
            <w:gridSpan w:val="4"/>
            <w:vAlign w:val="top"/>
          </w:tcPr>
          <w:p w14:paraId="364A0174">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062A17A8">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726BD17A">
            <w:pPr>
              <w:pStyle w:val="6"/>
              <w:spacing w:before="198" w:line="228" w:lineRule="auto"/>
              <w:ind w:left="1278"/>
            </w:pPr>
            <w:r>
              <w:rPr>
                <w:spacing w:val="9"/>
              </w:rPr>
              <w:t>技改工程完成后最终设备</w:t>
            </w:r>
          </w:p>
        </w:tc>
      </w:tr>
      <w:tr w14:paraId="27274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2C7034BD">
            <w:pPr>
              <w:rPr>
                <w:rFonts w:ascii="Arial"/>
                <w:sz w:val="21"/>
              </w:rPr>
            </w:pPr>
          </w:p>
        </w:tc>
        <w:tc>
          <w:tcPr>
            <w:tcW w:w="1606" w:type="dxa"/>
            <w:vAlign w:val="top"/>
          </w:tcPr>
          <w:p w14:paraId="5C8BC014">
            <w:pPr>
              <w:pStyle w:val="6"/>
              <w:spacing w:before="53" w:line="230" w:lineRule="auto"/>
              <w:ind w:left="599"/>
            </w:pPr>
            <w:r>
              <w:rPr>
                <w:spacing w:val="3"/>
              </w:rPr>
              <w:t>名称</w:t>
            </w:r>
          </w:p>
        </w:tc>
        <w:tc>
          <w:tcPr>
            <w:tcW w:w="1275" w:type="dxa"/>
            <w:vAlign w:val="top"/>
          </w:tcPr>
          <w:p w14:paraId="44D6E496">
            <w:pPr>
              <w:pStyle w:val="6"/>
              <w:spacing w:before="52" w:line="228" w:lineRule="auto"/>
              <w:ind w:left="116"/>
            </w:pPr>
            <w:r>
              <w:rPr>
                <w:spacing w:val="7"/>
              </w:rPr>
              <w:t>规格及型号</w:t>
            </w:r>
          </w:p>
        </w:tc>
        <w:tc>
          <w:tcPr>
            <w:tcW w:w="709" w:type="dxa"/>
            <w:vAlign w:val="top"/>
          </w:tcPr>
          <w:p w14:paraId="103F0209">
            <w:pPr>
              <w:pStyle w:val="6"/>
              <w:spacing w:before="52" w:line="228" w:lineRule="auto"/>
              <w:ind w:left="148"/>
            </w:pPr>
            <w:r>
              <w:rPr>
                <w:spacing w:val="3"/>
              </w:rPr>
              <w:t>数量</w:t>
            </w:r>
          </w:p>
        </w:tc>
        <w:tc>
          <w:tcPr>
            <w:tcW w:w="672" w:type="dxa"/>
            <w:vAlign w:val="top"/>
          </w:tcPr>
          <w:p w14:paraId="1901F8B8">
            <w:pPr>
              <w:pStyle w:val="6"/>
              <w:spacing w:before="53" w:line="229" w:lineRule="auto"/>
              <w:ind w:left="131"/>
            </w:pPr>
            <w:r>
              <w:rPr>
                <w:spacing w:val="3"/>
              </w:rPr>
              <w:t>备注</w:t>
            </w:r>
          </w:p>
        </w:tc>
        <w:tc>
          <w:tcPr>
            <w:tcW w:w="1531" w:type="dxa"/>
            <w:vAlign w:val="top"/>
          </w:tcPr>
          <w:p w14:paraId="3A23698C">
            <w:pPr>
              <w:pStyle w:val="6"/>
              <w:spacing w:before="53" w:line="230" w:lineRule="auto"/>
              <w:ind w:left="563"/>
            </w:pPr>
            <w:r>
              <w:rPr>
                <w:spacing w:val="3"/>
              </w:rPr>
              <w:t>名称</w:t>
            </w:r>
          </w:p>
        </w:tc>
        <w:tc>
          <w:tcPr>
            <w:tcW w:w="1481" w:type="dxa"/>
            <w:vAlign w:val="top"/>
          </w:tcPr>
          <w:p w14:paraId="7532AABF">
            <w:pPr>
              <w:pStyle w:val="6"/>
              <w:spacing w:before="52" w:line="228" w:lineRule="auto"/>
              <w:ind w:left="535"/>
            </w:pPr>
            <w:r>
              <w:rPr>
                <w:spacing w:val="4"/>
              </w:rPr>
              <w:t>规格</w:t>
            </w:r>
          </w:p>
        </w:tc>
        <w:tc>
          <w:tcPr>
            <w:tcW w:w="708" w:type="dxa"/>
            <w:vAlign w:val="top"/>
          </w:tcPr>
          <w:p w14:paraId="7384AD31">
            <w:pPr>
              <w:pStyle w:val="6"/>
              <w:spacing w:before="52" w:line="228" w:lineRule="auto"/>
              <w:ind w:left="152"/>
            </w:pPr>
            <w:r>
              <w:rPr>
                <w:spacing w:val="3"/>
              </w:rPr>
              <w:t>数量</w:t>
            </w:r>
          </w:p>
        </w:tc>
        <w:tc>
          <w:tcPr>
            <w:tcW w:w="709" w:type="dxa"/>
            <w:vAlign w:val="top"/>
          </w:tcPr>
          <w:p w14:paraId="4D223FFF">
            <w:pPr>
              <w:pStyle w:val="6"/>
              <w:spacing w:before="53" w:line="229" w:lineRule="auto"/>
              <w:ind w:left="153"/>
            </w:pPr>
            <w:r>
              <w:rPr>
                <w:spacing w:val="3"/>
              </w:rPr>
              <w:t>备注</w:t>
            </w:r>
          </w:p>
        </w:tc>
        <w:tc>
          <w:tcPr>
            <w:tcW w:w="1700" w:type="dxa"/>
            <w:vAlign w:val="top"/>
          </w:tcPr>
          <w:p w14:paraId="4C3E9374">
            <w:pPr>
              <w:pStyle w:val="6"/>
              <w:spacing w:before="53" w:line="230" w:lineRule="auto"/>
              <w:ind w:left="648"/>
            </w:pPr>
            <w:r>
              <w:rPr>
                <w:spacing w:val="3"/>
              </w:rPr>
              <w:t>名称</w:t>
            </w:r>
          </w:p>
        </w:tc>
        <w:tc>
          <w:tcPr>
            <w:tcW w:w="1558" w:type="dxa"/>
            <w:vAlign w:val="top"/>
          </w:tcPr>
          <w:p w14:paraId="761FA963">
            <w:pPr>
              <w:pStyle w:val="6"/>
              <w:spacing w:before="52" w:line="228" w:lineRule="auto"/>
              <w:ind w:left="576"/>
            </w:pPr>
            <w:r>
              <w:rPr>
                <w:spacing w:val="4"/>
              </w:rPr>
              <w:t>规格</w:t>
            </w:r>
          </w:p>
        </w:tc>
        <w:tc>
          <w:tcPr>
            <w:tcW w:w="709" w:type="dxa"/>
            <w:vAlign w:val="top"/>
          </w:tcPr>
          <w:p w14:paraId="72E4B5AE">
            <w:pPr>
              <w:pStyle w:val="6"/>
              <w:spacing w:before="52" w:line="228" w:lineRule="auto"/>
              <w:ind w:left="152"/>
            </w:pPr>
            <w:r>
              <w:rPr>
                <w:spacing w:val="3"/>
              </w:rPr>
              <w:t>数量</w:t>
            </w:r>
          </w:p>
        </w:tc>
        <w:tc>
          <w:tcPr>
            <w:tcW w:w="887" w:type="dxa"/>
            <w:vAlign w:val="top"/>
          </w:tcPr>
          <w:p w14:paraId="316A7EC6">
            <w:pPr>
              <w:pStyle w:val="6"/>
              <w:spacing w:before="53" w:line="229" w:lineRule="auto"/>
              <w:ind w:left="241"/>
            </w:pPr>
            <w:r>
              <w:rPr>
                <w:spacing w:val="3"/>
              </w:rPr>
              <w:t>备注</w:t>
            </w:r>
          </w:p>
        </w:tc>
      </w:tr>
      <w:tr w14:paraId="21B42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6D6436E3">
            <w:pPr>
              <w:spacing w:line="344" w:lineRule="auto"/>
              <w:rPr>
                <w:rFonts w:ascii="Arial"/>
                <w:sz w:val="21"/>
              </w:rPr>
            </w:pPr>
          </w:p>
          <w:p w14:paraId="335E1F44">
            <w:pPr>
              <w:spacing w:before="57"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6" w:type="dxa"/>
            <w:vAlign w:val="top"/>
          </w:tcPr>
          <w:p w14:paraId="510AFBE1">
            <w:pPr>
              <w:spacing w:line="354" w:lineRule="auto"/>
              <w:rPr>
                <w:rFonts w:ascii="Arial"/>
                <w:sz w:val="21"/>
              </w:rPr>
            </w:pPr>
          </w:p>
          <w:p w14:paraId="6F374AB6">
            <w:pPr>
              <w:pStyle w:val="6"/>
              <w:spacing w:before="65" w:line="228" w:lineRule="auto"/>
              <w:ind w:left="490"/>
            </w:pPr>
            <w:r>
              <w:rPr>
                <w:spacing w:val="6"/>
              </w:rPr>
              <w:t>渣浆泵</w:t>
            </w:r>
          </w:p>
        </w:tc>
        <w:tc>
          <w:tcPr>
            <w:tcW w:w="1275" w:type="dxa"/>
            <w:vAlign w:val="top"/>
          </w:tcPr>
          <w:p w14:paraId="417280E0">
            <w:pPr>
              <w:pStyle w:val="6"/>
              <w:spacing w:before="52" w:line="269" w:lineRule="exact"/>
              <w:ind w:left="173"/>
            </w:pPr>
            <w:r>
              <w:rPr>
                <w:spacing w:val="5"/>
                <w:position w:val="1"/>
              </w:rPr>
              <w:t>50</w:t>
            </w:r>
            <w:r>
              <w:rPr>
                <w:position w:val="1"/>
              </w:rPr>
              <w:t>ZBD</w:t>
            </w:r>
            <w:r>
              <w:rPr>
                <w:spacing w:val="5"/>
                <w:position w:val="1"/>
              </w:rPr>
              <w:t>-315</w:t>
            </w:r>
          </w:p>
          <w:p w14:paraId="1271996F">
            <w:pPr>
              <w:pStyle w:val="6"/>
              <w:spacing w:before="26" w:line="269" w:lineRule="exact"/>
              <w:ind w:left="244"/>
            </w:pPr>
            <w:r>
              <w:rPr>
                <w:spacing w:val="3"/>
              </w:rPr>
              <w:t>Q=27m</w:t>
            </w:r>
            <w:r>
              <w:rPr>
                <w:spacing w:val="3"/>
                <w:position w:val="10"/>
                <w:sz w:val="10"/>
                <w:szCs w:val="10"/>
              </w:rPr>
              <w:t>3</w:t>
            </w:r>
            <w:r>
              <w:rPr>
                <w:spacing w:val="3"/>
              </w:rPr>
              <w:t>/h</w:t>
            </w:r>
          </w:p>
          <w:p w14:paraId="5F55DEFE">
            <w:pPr>
              <w:pStyle w:val="6"/>
              <w:spacing w:before="59" w:line="234" w:lineRule="auto"/>
              <w:ind w:left="372"/>
            </w:pPr>
            <w:r>
              <w:rPr>
                <w:spacing w:val="4"/>
              </w:rPr>
              <w:t>H=22m</w:t>
            </w:r>
          </w:p>
        </w:tc>
        <w:tc>
          <w:tcPr>
            <w:tcW w:w="709" w:type="dxa"/>
            <w:vAlign w:val="top"/>
          </w:tcPr>
          <w:p w14:paraId="343EA574">
            <w:pPr>
              <w:spacing w:line="270" w:lineRule="auto"/>
              <w:rPr>
                <w:rFonts w:ascii="Arial"/>
                <w:sz w:val="21"/>
              </w:rPr>
            </w:pPr>
          </w:p>
          <w:p w14:paraId="150D85FB">
            <w:pPr>
              <w:pStyle w:val="6"/>
              <w:spacing w:before="78" w:line="224" w:lineRule="auto"/>
              <w:ind w:left="167"/>
            </w:pPr>
            <w:r>
              <w:rPr>
                <w:spacing w:val="-7"/>
                <w:sz w:val="24"/>
                <w:szCs w:val="24"/>
              </w:rPr>
              <w:t>2</w:t>
            </w:r>
            <w:r>
              <w:rPr>
                <w:spacing w:val="-35"/>
                <w:sz w:val="24"/>
                <w:szCs w:val="24"/>
              </w:rPr>
              <w:t xml:space="preserve"> </w:t>
            </w:r>
            <w:r>
              <w:rPr>
                <w:spacing w:val="-7"/>
              </w:rPr>
              <w:t>台</w:t>
            </w:r>
          </w:p>
        </w:tc>
        <w:tc>
          <w:tcPr>
            <w:tcW w:w="672" w:type="dxa"/>
            <w:vAlign w:val="top"/>
          </w:tcPr>
          <w:p w14:paraId="2F2F2191">
            <w:pPr>
              <w:spacing w:line="298" w:lineRule="auto"/>
              <w:rPr>
                <w:rFonts w:ascii="Arial"/>
                <w:sz w:val="21"/>
              </w:rPr>
            </w:pPr>
          </w:p>
          <w:p w14:paraId="6CA2C009">
            <w:pPr>
              <w:pStyle w:val="6"/>
              <w:spacing w:before="65" w:line="228" w:lineRule="auto"/>
              <w:ind w:left="129"/>
            </w:pPr>
            <w:r>
              <w:rPr>
                <w:spacing w:val="4"/>
              </w:rPr>
              <w:t>保留</w:t>
            </w:r>
          </w:p>
        </w:tc>
        <w:tc>
          <w:tcPr>
            <w:tcW w:w="1531" w:type="dxa"/>
            <w:vAlign w:val="top"/>
          </w:tcPr>
          <w:p w14:paraId="4551128C">
            <w:pPr>
              <w:rPr>
                <w:rFonts w:ascii="Arial"/>
                <w:sz w:val="21"/>
              </w:rPr>
            </w:pPr>
          </w:p>
        </w:tc>
        <w:tc>
          <w:tcPr>
            <w:tcW w:w="1481" w:type="dxa"/>
            <w:vAlign w:val="top"/>
          </w:tcPr>
          <w:p w14:paraId="58D581AB">
            <w:pPr>
              <w:rPr>
                <w:rFonts w:ascii="Arial"/>
                <w:sz w:val="21"/>
              </w:rPr>
            </w:pPr>
          </w:p>
        </w:tc>
        <w:tc>
          <w:tcPr>
            <w:tcW w:w="708" w:type="dxa"/>
            <w:vAlign w:val="top"/>
          </w:tcPr>
          <w:p w14:paraId="37F18119">
            <w:pPr>
              <w:rPr>
                <w:rFonts w:ascii="Arial"/>
                <w:sz w:val="21"/>
              </w:rPr>
            </w:pPr>
          </w:p>
        </w:tc>
        <w:tc>
          <w:tcPr>
            <w:tcW w:w="709" w:type="dxa"/>
            <w:vAlign w:val="top"/>
          </w:tcPr>
          <w:p w14:paraId="21DF3D66">
            <w:pPr>
              <w:rPr>
                <w:rFonts w:ascii="Arial"/>
                <w:sz w:val="21"/>
              </w:rPr>
            </w:pPr>
          </w:p>
        </w:tc>
        <w:tc>
          <w:tcPr>
            <w:tcW w:w="1700" w:type="dxa"/>
            <w:vAlign w:val="top"/>
          </w:tcPr>
          <w:p w14:paraId="5BBBEDA2">
            <w:pPr>
              <w:spacing w:line="354" w:lineRule="auto"/>
              <w:rPr>
                <w:rFonts w:ascii="Arial"/>
                <w:sz w:val="21"/>
              </w:rPr>
            </w:pPr>
          </w:p>
          <w:p w14:paraId="160967CC">
            <w:pPr>
              <w:pStyle w:val="6"/>
              <w:spacing w:before="65" w:line="228" w:lineRule="auto"/>
              <w:ind w:left="540"/>
            </w:pPr>
            <w:r>
              <w:rPr>
                <w:spacing w:val="6"/>
              </w:rPr>
              <w:t>渣浆泵</w:t>
            </w:r>
          </w:p>
        </w:tc>
        <w:tc>
          <w:tcPr>
            <w:tcW w:w="1558" w:type="dxa"/>
            <w:vAlign w:val="top"/>
          </w:tcPr>
          <w:p w14:paraId="2820003C">
            <w:pPr>
              <w:pStyle w:val="6"/>
              <w:spacing w:before="52" w:line="269" w:lineRule="exact"/>
              <w:ind w:left="318"/>
            </w:pPr>
            <w:r>
              <w:rPr>
                <w:spacing w:val="5"/>
                <w:position w:val="1"/>
              </w:rPr>
              <w:t>50</w:t>
            </w:r>
            <w:r>
              <w:rPr>
                <w:position w:val="1"/>
              </w:rPr>
              <w:t>ZBD</w:t>
            </w:r>
            <w:r>
              <w:rPr>
                <w:spacing w:val="5"/>
                <w:position w:val="1"/>
              </w:rPr>
              <w:t>-315</w:t>
            </w:r>
          </w:p>
          <w:p w14:paraId="1B94AC9E">
            <w:pPr>
              <w:pStyle w:val="6"/>
              <w:spacing w:before="26" w:line="269" w:lineRule="exact"/>
              <w:ind w:left="389"/>
            </w:pPr>
            <w:r>
              <w:rPr>
                <w:spacing w:val="4"/>
              </w:rPr>
              <w:t>Q=27m</w:t>
            </w:r>
            <w:r>
              <w:rPr>
                <w:spacing w:val="4"/>
                <w:position w:val="10"/>
                <w:sz w:val="10"/>
                <w:szCs w:val="10"/>
              </w:rPr>
              <w:t>3</w:t>
            </w:r>
            <w:r>
              <w:rPr>
                <w:spacing w:val="4"/>
              </w:rPr>
              <w:t>/h</w:t>
            </w:r>
          </w:p>
          <w:p w14:paraId="2D4A67BA">
            <w:pPr>
              <w:pStyle w:val="6"/>
              <w:spacing w:before="59" w:line="234" w:lineRule="auto"/>
              <w:ind w:left="518"/>
            </w:pPr>
            <w:r>
              <w:rPr>
                <w:spacing w:val="4"/>
              </w:rPr>
              <w:t>H=22m</w:t>
            </w:r>
          </w:p>
        </w:tc>
        <w:tc>
          <w:tcPr>
            <w:tcW w:w="709" w:type="dxa"/>
            <w:vAlign w:val="top"/>
          </w:tcPr>
          <w:p w14:paraId="548AE784">
            <w:pPr>
              <w:spacing w:line="270" w:lineRule="auto"/>
              <w:rPr>
                <w:rFonts w:ascii="Arial"/>
                <w:sz w:val="21"/>
              </w:rPr>
            </w:pPr>
          </w:p>
          <w:p w14:paraId="0EF5A9F8">
            <w:pPr>
              <w:pStyle w:val="6"/>
              <w:spacing w:before="78" w:line="224" w:lineRule="auto"/>
              <w:ind w:left="171"/>
            </w:pPr>
            <w:r>
              <w:rPr>
                <w:spacing w:val="-7"/>
                <w:sz w:val="24"/>
                <w:szCs w:val="24"/>
              </w:rPr>
              <w:t>2</w:t>
            </w:r>
            <w:r>
              <w:rPr>
                <w:spacing w:val="-35"/>
                <w:sz w:val="24"/>
                <w:szCs w:val="24"/>
              </w:rPr>
              <w:t xml:space="preserve"> </w:t>
            </w:r>
            <w:r>
              <w:rPr>
                <w:spacing w:val="-7"/>
              </w:rPr>
              <w:t>台</w:t>
            </w:r>
          </w:p>
        </w:tc>
        <w:tc>
          <w:tcPr>
            <w:tcW w:w="887" w:type="dxa"/>
            <w:vAlign w:val="top"/>
          </w:tcPr>
          <w:p w14:paraId="439A4723">
            <w:pPr>
              <w:spacing w:line="298" w:lineRule="auto"/>
              <w:rPr>
                <w:rFonts w:ascii="Arial"/>
                <w:sz w:val="21"/>
              </w:rPr>
            </w:pPr>
          </w:p>
          <w:p w14:paraId="73A060A1">
            <w:pPr>
              <w:pStyle w:val="6"/>
              <w:spacing w:before="65" w:line="228" w:lineRule="auto"/>
              <w:ind w:left="243"/>
            </w:pPr>
            <w:r>
              <w:rPr>
                <w:spacing w:val="2"/>
              </w:rPr>
              <w:t>原有</w:t>
            </w:r>
          </w:p>
        </w:tc>
      </w:tr>
      <w:tr w14:paraId="6F409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3CA5F72B">
            <w:pPr>
              <w:spacing w:line="341" w:lineRule="auto"/>
              <w:rPr>
                <w:rFonts w:ascii="Arial"/>
                <w:sz w:val="21"/>
              </w:rPr>
            </w:pPr>
          </w:p>
          <w:p w14:paraId="1DF670BE">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6" w:type="dxa"/>
            <w:vAlign w:val="top"/>
          </w:tcPr>
          <w:p w14:paraId="62131530">
            <w:pPr>
              <w:spacing w:line="298" w:lineRule="auto"/>
              <w:rPr>
                <w:rFonts w:ascii="Arial"/>
                <w:sz w:val="21"/>
              </w:rPr>
            </w:pPr>
          </w:p>
          <w:p w14:paraId="356900F6">
            <w:pPr>
              <w:pStyle w:val="6"/>
              <w:spacing w:before="65" w:line="228" w:lineRule="auto"/>
              <w:ind w:left="490"/>
            </w:pPr>
            <w:r>
              <w:rPr>
                <w:spacing w:val="6"/>
              </w:rPr>
              <w:t>渣浆泵</w:t>
            </w:r>
          </w:p>
        </w:tc>
        <w:tc>
          <w:tcPr>
            <w:tcW w:w="1275" w:type="dxa"/>
            <w:vAlign w:val="top"/>
          </w:tcPr>
          <w:p w14:paraId="59C27A2B">
            <w:pPr>
              <w:pStyle w:val="6"/>
              <w:spacing w:before="53" w:line="268" w:lineRule="exact"/>
              <w:ind w:left="173"/>
            </w:pPr>
            <w:r>
              <w:rPr>
                <w:spacing w:val="5"/>
                <w:position w:val="1"/>
              </w:rPr>
              <w:t>50</w:t>
            </w:r>
            <w:r>
              <w:rPr>
                <w:position w:val="1"/>
              </w:rPr>
              <w:t>ZBD</w:t>
            </w:r>
            <w:r>
              <w:rPr>
                <w:spacing w:val="5"/>
                <w:position w:val="1"/>
              </w:rPr>
              <w:t>-315</w:t>
            </w:r>
          </w:p>
          <w:p w14:paraId="70D4D3E8">
            <w:pPr>
              <w:pStyle w:val="6"/>
              <w:spacing w:before="26" w:line="269" w:lineRule="exact"/>
              <w:ind w:left="244"/>
            </w:pPr>
            <w:r>
              <w:rPr>
                <w:spacing w:val="3"/>
              </w:rPr>
              <w:t>Q=45m</w:t>
            </w:r>
            <w:r>
              <w:rPr>
                <w:spacing w:val="3"/>
                <w:position w:val="10"/>
                <w:sz w:val="10"/>
                <w:szCs w:val="10"/>
              </w:rPr>
              <w:t>3</w:t>
            </w:r>
            <w:r>
              <w:rPr>
                <w:spacing w:val="3"/>
              </w:rPr>
              <w:t>/h</w:t>
            </w:r>
          </w:p>
          <w:p w14:paraId="6781C14F">
            <w:pPr>
              <w:pStyle w:val="6"/>
              <w:spacing w:before="60" w:line="233" w:lineRule="auto"/>
              <w:ind w:left="372"/>
            </w:pPr>
            <w:r>
              <w:rPr>
                <w:spacing w:val="4"/>
              </w:rPr>
              <w:t>H=21m</w:t>
            </w:r>
          </w:p>
        </w:tc>
        <w:tc>
          <w:tcPr>
            <w:tcW w:w="709" w:type="dxa"/>
            <w:vAlign w:val="top"/>
          </w:tcPr>
          <w:p w14:paraId="1FFBE65E">
            <w:pPr>
              <w:spacing w:line="298" w:lineRule="auto"/>
              <w:rPr>
                <w:rFonts w:ascii="Arial"/>
                <w:sz w:val="21"/>
              </w:rPr>
            </w:pPr>
          </w:p>
          <w:p w14:paraId="0DC41101">
            <w:pPr>
              <w:pStyle w:val="6"/>
              <w:spacing w:before="65" w:line="230" w:lineRule="auto"/>
              <w:ind w:left="175"/>
            </w:pPr>
            <w:r>
              <w:rPr>
                <w:spacing w:val="-4"/>
              </w:rPr>
              <w:t>2</w:t>
            </w:r>
            <w:r>
              <w:rPr>
                <w:spacing w:val="-21"/>
              </w:rPr>
              <w:t xml:space="preserve"> </w:t>
            </w:r>
            <w:r>
              <w:rPr>
                <w:spacing w:val="-4"/>
              </w:rPr>
              <w:t>台</w:t>
            </w:r>
          </w:p>
        </w:tc>
        <w:tc>
          <w:tcPr>
            <w:tcW w:w="672" w:type="dxa"/>
            <w:vAlign w:val="top"/>
          </w:tcPr>
          <w:p w14:paraId="6264EA6C">
            <w:pPr>
              <w:spacing w:line="299" w:lineRule="auto"/>
              <w:rPr>
                <w:rFonts w:ascii="Arial"/>
                <w:sz w:val="21"/>
              </w:rPr>
            </w:pPr>
          </w:p>
          <w:p w14:paraId="334F9905">
            <w:pPr>
              <w:pStyle w:val="6"/>
              <w:spacing w:before="65" w:line="228" w:lineRule="auto"/>
              <w:ind w:left="129"/>
            </w:pPr>
            <w:r>
              <w:rPr>
                <w:spacing w:val="4"/>
              </w:rPr>
              <w:t>保留</w:t>
            </w:r>
          </w:p>
        </w:tc>
        <w:tc>
          <w:tcPr>
            <w:tcW w:w="1531" w:type="dxa"/>
            <w:vAlign w:val="top"/>
          </w:tcPr>
          <w:p w14:paraId="42629C09">
            <w:pPr>
              <w:spacing w:line="336" w:lineRule="auto"/>
              <w:rPr>
                <w:rFonts w:ascii="Arial"/>
                <w:sz w:val="21"/>
              </w:rPr>
            </w:pPr>
          </w:p>
          <w:p w14:paraId="3373AE86">
            <w:pPr>
              <w:pStyle w:val="6"/>
              <w:spacing w:before="65" w:line="233" w:lineRule="auto"/>
              <w:ind w:left="716"/>
            </w:pPr>
            <w:r>
              <w:t>/</w:t>
            </w:r>
          </w:p>
        </w:tc>
        <w:tc>
          <w:tcPr>
            <w:tcW w:w="1481" w:type="dxa"/>
            <w:vAlign w:val="top"/>
          </w:tcPr>
          <w:p w14:paraId="32A4B6E3">
            <w:pPr>
              <w:spacing w:line="298" w:lineRule="auto"/>
              <w:rPr>
                <w:rFonts w:ascii="Arial"/>
                <w:sz w:val="21"/>
              </w:rPr>
            </w:pPr>
          </w:p>
          <w:p w14:paraId="5F109F02">
            <w:pPr>
              <w:pStyle w:val="6"/>
              <w:spacing w:before="65" w:line="233" w:lineRule="auto"/>
              <w:ind w:left="692"/>
            </w:pPr>
            <w:r>
              <w:t>/</w:t>
            </w:r>
          </w:p>
        </w:tc>
        <w:tc>
          <w:tcPr>
            <w:tcW w:w="708" w:type="dxa"/>
            <w:vAlign w:val="top"/>
          </w:tcPr>
          <w:p w14:paraId="0FB271AB">
            <w:pPr>
              <w:spacing w:line="317" w:lineRule="auto"/>
              <w:rPr>
                <w:rFonts w:ascii="Arial"/>
                <w:sz w:val="21"/>
              </w:rPr>
            </w:pPr>
          </w:p>
          <w:p w14:paraId="7584E194">
            <w:pPr>
              <w:spacing w:before="69"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2ACE8C84">
            <w:pPr>
              <w:spacing w:line="337" w:lineRule="auto"/>
              <w:rPr>
                <w:rFonts w:ascii="Arial"/>
                <w:sz w:val="21"/>
              </w:rPr>
            </w:pPr>
          </w:p>
          <w:p w14:paraId="197AC447">
            <w:pPr>
              <w:spacing w:before="5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F78C1A8">
            <w:pPr>
              <w:spacing w:line="298" w:lineRule="auto"/>
              <w:rPr>
                <w:rFonts w:ascii="Arial"/>
                <w:sz w:val="21"/>
              </w:rPr>
            </w:pPr>
          </w:p>
          <w:p w14:paraId="5E290DA6">
            <w:pPr>
              <w:pStyle w:val="6"/>
              <w:spacing w:before="65" w:line="228" w:lineRule="auto"/>
              <w:ind w:left="540"/>
            </w:pPr>
            <w:r>
              <w:rPr>
                <w:spacing w:val="6"/>
              </w:rPr>
              <w:t>渣浆泵</w:t>
            </w:r>
          </w:p>
        </w:tc>
        <w:tc>
          <w:tcPr>
            <w:tcW w:w="1558" w:type="dxa"/>
            <w:vAlign w:val="top"/>
          </w:tcPr>
          <w:p w14:paraId="176679A0">
            <w:pPr>
              <w:pStyle w:val="6"/>
              <w:spacing w:before="53" w:line="268" w:lineRule="exact"/>
              <w:ind w:left="318"/>
            </w:pPr>
            <w:r>
              <w:rPr>
                <w:spacing w:val="5"/>
                <w:position w:val="1"/>
              </w:rPr>
              <w:t>50</w:t>
            </w:r>
            <w:r>
              <w:rPr>
                <w:position w:val="1"/>
              </w:rPr>
              <w:t>ZBD</w:t>
            </w:r>
            <w:r>
              <w:rPr>
                <w:spacing w:val="5"/>
                <w:position w:val="1"/>
              </w:rPr>
              <w:t>-315</w:t>
            </w:r>
          </w:p>
          <w:p w14:paraId="1387AAEB">
            <w:pPr>
              <w:pStyle w:val="6"/>
              <w:spacing w:before="26" w:line="269" w:lineRule="exact"/>
              <w:ind w:left="389"/>
            </w:pPr>
            <w:r>
              <w:rPr>
                <w:spacing w:val="4"/>
              </w:rPr>
              <w:t>Q=45m</w:t>
            </w:r>
            <w:r>
              <w:rPr>
                <w:spacing w:val="4"/>
                <w:position w:val="10"/>
                <w:sz w:val="10"/>
                <w:szCs w:val="10"/>
              </w:rPr>
              <w:t>3</w:t>
            </w:r>
            <w:r>
              <w:rPr>
                <w:spacing w:val="4"/>
              </w:rPr>
              <w:t>/h</w:t>
            </w:r>
          </w:p>
          <w:p w14:paraId="6FF88799">
            <w:pPr>
              <w:pStyle w:val="6"/>
              <w:spacing w:before="60" w:line="233" w:lineRule="auto"/>
              <w:ind w:left="518"/>
            </w:pPr>
            <w:r>
              <w:rPr>
                <w:spacing w:val="4"/>
              </w:rPr>
              <w:t>H=21m</w:t>
            </w:r>
          </w:p>
        </w:tc>
        <w:tc>
          <w:tcPr>
            <w:tcW w:w="709" w:type="dxa"/>
            <w:vAlign w:val="top"/>
          </w:tcPr>
          <w:p w14:paraId="6EC766DB">
            <w:pPr>
              <w:spacing w:line="298" w:lineRule="auto"/>
              <w:rPr>
                <w:rFonts w:ascii="Arial"/>
                <w:sz w:val="21"/>
              </w:rPr>
            </w:pPr>
          </w:p>
          <w:p w14:paraId="79230648">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54E82665">
            <w:pPr>
              <w:spacing w:line="299" w:lineRule="auto"/>
              <w:rPr>
                <w:rFonts w:ascii="Arial"/>
                <w:sz w:val="21"/>
              </w:rPr>
            </w:pPr>
          </w:p>
          <w:p w14:paraId="4B6DA906">
            <w:pPr>
              <w:pStyle w:val="6"/>
              <w:spacing w:before="65" w:line="228" w:lineRule="auto"/>
              <w:ind w:left="243"/>
            </w:pPr>
            <w:r>
              <w:rPr>
                <w:spacing w:val="2"/>
              </w:rPr>
              <w:t>原有</w:t>
            </w:r>
          </w:p>
        </w:tc>
      </w:tr>
      <w:tr w14:paraId="0EFD3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328E4F04">
            <w:pPr>
              <w:spacing w:line="342" w:lineRule="auto"/>
              <w:rPr>
                <w:rFonts w:ascii="Arial"/>
                <w:sz w:val="21"/>
              </w:rPr>
            </w:pPr>
          </w:p>
          <w:p w14:paraId="263D8426">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06" w:type="dxa"/>
            <w:vAlign w:val="top"/>
          </w:tcPr>
          <w:p w14:paraId="4DFD0EEF">
            <w:pPr>
              <w:spacing w:line="298" w:lineRule="auto"/>
              <w:rPr>
                <w:rFonts w:ascii="Arial"/>
                <w:sz w:val="21"/>
              </w:rPr>
            </w:pPr>
          </w:p>
          <w:p w14:paraId="66958830">
            <w:pPr>
              <w:pStyle w:val="6"/>
              <w:spacing w:before="65" w:line="233" w:lineRule="auto"/>
              <w:ind w:left="754"/>
            </w:pPr>
            <w:r>
              <w:t>/</w:t>
            </w:r>
          </w:p>
        </w:tc>
        <w:tc>
          <w:tcPr>
            <w:tcW w:w="1275" w:type="dxa"/>
            <w:vAlign w:val="top"/>
          </w:tcPr>
          <w:p w14:paraId="3E34AFE1">
            <w:pPr>
              <w:spacing w:line="298" w:lineRule="auto"/>
              <w:rPr>
                <w:rFonts w:ascii="Arial"/>
                <w:sz w:val="21"/>
              </w:rPr>
            </w:pPr>
          </w:p>
          <w:p w14:paraId="1D1FAA6A">
            <w:pPr>
              <w:pStyle w:val="6"/>
              <w:spacing w:before="65" w:line="233" w:lineRule="auto"/>
              <w:ind w:left="588"/>
            </w:pPr>
            <w:r>
              <w:t>/</w:t>
            </w:r>
          </w:p>
        </w:tc>
        <w:tc>
          <w:tcPr>
            <w:tcW w:w="709" w:type="dxa"/>
            <w:vAlign w:val="top"/>
          </w:tcPr>
          <w:p w14:paraId="52E8DED7">
            <w:pPr>
              <w:spacing w:line="338" w:lineRule="auto"/>
              <w:rPr>
                <w:rFonts w:ascii="Arial"/>
                <w:sz w:val="21"/>
              </w:rPr>
            </w:pPr>
          </w:p>
          <w:p w14:paraId="1F0DD1E2">
            <w:pPr>
              <w:spacing w:before="58" w:line="199"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2" w:type="dxa"/>
            <w:vAlign w:val="top"/>
          </w:tcPr>
          <w:p w14:paraId="16A89F9F">
            <w:pPr>
              <w:spacing w:line="338" w:lineRule="auto"/>
              <w:rPr>
                <w:rFonts w:ascii="Arial"/>
                <w:sz w:val="21"/>
              </w:rPr>
            </w:pPr>
          </w:p>
          <w:p w14:paraId="2FEBC76C">
            <w:pPr>
              <w:spacing w:before="58" w:line="199"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1" w:type="dxa"/>
            <w:vAlign w:val="top"/>
          </w:tcPr>
          <w:p w14:paraId="1D4FE5AB">
            <w:pPr>
              <w:spacing w:line="336" w:lineRule="auto"/>
              <w:rPr>
                <w:rFonts w:ascii="Arial"/>
                <w:sz w:val="21"/>
              </w:rPr>
            </w:pPr>
          </w:p>
          <w:p w14:paraId="7A2555AF">
            <w:pPr>
              <w:pStyle w:val="6"/>
              <w:spacing w:before="66" w:line="228" w:lineRule="auto"/>
              <w:ind w:left="455"/>
            </w:pPr>
            <w:r>
              <w:rPr>
                <w:spacing w:val="6"/>
              </w:rPr>
              <w:t>渣浆泵</w:t>
            </w:r>
          </w:p>
        </w:tc>
        <w:tc>
          <w:tcPr>
            <w:tcW w:w="1481" w:type="dxa"/>
            <w:vAlign w:val="top"/>
          </w:tcPr>
          <w:p w14:paraId="630E1E75">
            <w:pPr>
              <w:pStyle w:val="6"/>
              <w:spacing w:before="53" w:line="233" w:lineRule="auto"/>
              <w:ind w:left="433"/>
            </w:pPr>
            <w:r>
              <w:rPr>
                <w:spacing w:val="5"/>
              </w:rPr>
              <w:t>65Q-</w:t>
            </w:r>
            <w:r>
              <w:t>LP</w:t>
            </w:r>
          </w:p>
          <w:p w14:paraId="3BC9AC44">
            <w:pPr>
              <w:pStyle w:val="6"/>
              <w:spacing w:before="42" w:line="270" w:lineRule="exact"/>
              <w:ind w:left="350"/>
            </w:pPr>
            <w:r>
              <w:rPr>
                <w:spacing w:val="3"/>
              </w:rPr>
              <w:t>Q=62m</w:t>
            </w:r>
            <w:r>
              <w:rPr>
                <w:spacing w:val="3"/>
                <w:position w:val="10"/>
                <w:sz w:val="10"/>
                <w:szCs w:val="10"/>
              </w:rPr>
              <w:t>3</w:t>
            </w:r>
            <w:r>
              <w:rPr>
                <w:spacing w:val="3"/>
              </w:rPr>
              <w:t>/h</w:t>
            </w:r>
          </w:p>
          <w:p w14:paraId="06C9571C">
            <w:pPr>
              <w:pStyle w:val="6"/>
              <w:spacing w:before="59" w:line="233" w:lineRule="auto"/>
              <w:ind w:left="477"/>
            </w:pPr>
            <w:r>
              <w:rPr>
                <w:spacing w:val="4"/>
              </w:rPr>
              <w:t>H=20m</w:t>
            </w:r>
          </w:p>
        </w:tc>
        <w:tc>
          <w:tcPr>
            <w:tcW w:w="708" w:type="dxa"/>
            <w:vAlign w:val="top"/>
          </w:tcPr>
          <w:p w14:paraId="59B90298">
            <w:pPr>
              <w:spacing w:line="272" w:lineRule="auto"/>
              <w:rPr>
                <w:rFonts w:ascii="Arial"/>
                <w:sz w:val="21"/>
              </w:rPr>
            </w:pPr>
          </w:p>
          <w:p w14:paraId="49D674D2">
            <w:pPr>
              <w:pStyle w:val="6"/>
              <w:spacing w:before="78" w:line="224" w:lineRule="auto"/>
              <w:ind w:left="169"/>
            </w:pPr>
            <w:r>
              <w:rPr>
                <w:spacing w:val="-7"/>
                <w:sz w:val="24"/>
                <w:szCs w:val="24"/>
              </w:rPr>
              <w:t>2</w:t>
            </w:r>
            <w:r>
              <w:rPr>
                <w:spacing w:val="-35"/>
                <w:sz w:val="24"/>
                <w:szCs w:val="24"/>
              </w:rPr>
              <w:t xml:space="preserve"> </w:t>
            </w:r>
            <w:r>
              <w:rPr>
                <w:spacing w:val="-7"/>
              </w:rPr>
              <w:t>台</w:t>
            </w:r>
          </w:p>
        </w:tc>
        <w:tc>
          <w:tcPr>
            <w:tcW w:w="709" w:type="dxa"/>
            <w:vAlign w:val="top"/>
          </w:tcPr>
          <w:p w14:paraId="6CFB6A18">
            <w:pPr>
              <w:spacing w:line="299" w:lineRule="auto"/>
              <w:rPr>
                <w:rFonts w:ascii="Arial"/>
                <w:sz w:val="21"/>
              </w:rPr>
            </w:pPr>
          </w:p>
          <w:p w14:paraId="2CE99A24">
            <w:pPr>
              <w:pStyle w:val="6"/>
              <w:spacing w:before="65" w:line="228" w:lineRule="auto"/>
              <w:ind w:left="151"/>
            </w:pPr>
            <w:r>
              <w:rPr>
                <w:spacing w:val="4"/>
              </w:rPr>
              <w:t>新增</w:t>
            </w:r>
          </w:p>
        </w:tc>
        <w:tc>
          <w:tcPr>
            <w:tcW w:w="1700" w:type="dxa"/>
            <w:vAlign w:val="top"/>
          </w:tcPr>
          <w:p w14:paraId="4CC7D3CA">
            <w:pPr>
              <w:spacing w:line="336" w:lineRule="auto"/>
              <w:rPr>
                <w:rFonts w:ascii="Arial"/>
                <w:sz w:val="21"/>
              </w:rPr>
            </w:pPr>
          </w:p>
          <w:p w14:paraId="1CD06599">
            <w:pPr>
              <w:pStyle w:val="6"/>
              <w:spacing w:before="66" w:line="228" w:lineRule="auto"/>
              <w:ind w:left="540"/>
            </w:pPr>
            <w:r>
              <w:rPr>
                <w:spacing w:val="6"/>
              </w:rPr>
              <w:t>渣浆泵</w:t>
            </w:r>
          </w:p>
        </w:tc>
        <w:tc>
          <w:tcPr>
            <w:tcW w:w="1558" w:type="dxa"/>
            <w:vAlign w:val="top"/>
          </w:tcPr>
          <w:p w14:paraId="4293324A">
            <w:pPr>
              <w:pStyle w:val="6"/>
              <w:spacing w:before="53" w:line="233" w:lineRule="auto"/>
              <w:ind w:left="472"/>
            </w:pPr>
            <w:r>
              <w:rPr>
                <w:spacing w:val="5"/>
              </w:rPr>
              <w:t>65Q-</w:t>
            </w:r>
            <w:r>
              <w:t>LP</w:t>
            </w:r>
          </w:p>
          <w:p w14:paraId="51FA1A58">
            <w:pPr>
              <w:pStyle w:val="6"/>
              <w:spacing w:before="42" w:line="270" w:lineRule="exact"/>
              <w:ind w:left="389"/>
            </w:pPr>
            <w:r>
              <w:rPr>
                <w:spacing w:val="4"/>
              </w:rPr>
              <w:t>Q=62m</w:t>
            </w:r>
            <w:r>
              <w:rPr>
                <w:spacing w:val="4"/>
                <w:position w:val="10"/>
                <w:sz w:val="10"/>
                <w:szCs w:val="10"/>
              </w:rPr>
              <w:t>3</w:t>
            </w:r>
            <w:r>
              <w:rPr>
                <w:spacing w:val="4"/>
              </w:rPr>
              <w:t>/h</w:t>
            </w:r>
          </w:p>
          <w:p w14:paraId="025BACE9">
            <w:pPr>
              <w:pStyle w:val="6"/>
              <w:spacing w:before="59" w:line="233" w:lineRule="auto"/>
              <w:ind w:left="518"/>
            </w:pPr>
            <w:r>
              <w:rPr>
                <w:spacing w:val="4"/>
              </w:rPr>
              <w:t>H=20m</w:t>
            </w:r>
          </w:p>
        </w:tc>
        <w:tc>
          <w:tcPr>
            <w:tcW w:w="709" w:type="dxa"/>
            <w:vAlign w:val="top"/>
          </w:tcPr>
          <w:p w14:paraId="6984D41B">
            <w:pPr>
              <w:spacing w:line="272" w:lineRule="auto"/>
              <w:rPr>
                <w:rFonts w:ascii="Arial"/>
                <w:sz w:val="21"/>
              </w:rPr>
            </w:pPr>
          </w:p>
          <w:p w14:paraId="093C933D">
            <w:pPr>
              <w:pStyle w:val="6"/>
              <w:spacing w:before="78" w:line="224" w:lineRule="auto"/>
              <w:ind w:left="171"/>
            </w:pPr>
            <w:r>
              <w:rPr>
                <w:spacing w:val="-7"/>
                <w:sz w:val="24"/>
                <w:szCs w:val="24"/>
              </w:rPr>
              <w:t>2</w:t>
            </w:r>
            <w:r>
              <w:rPr>
                <w:spacing w:val="-35"/>
                <w:sz w:val="24"/>
                <w:szCs w:val="24"/>
              </w:rPr>
              <w:t xml:space="preserve"> </w:t>
            </w:r>
            <w:r>
              <w:rPr>
                <w:spacing w:val="-7"/>
              </w:rPr>
              <w:t>台</w:t>
            </w:r>
          </w:p>
        </w:tc>
        <w:tc>
          <w:tcPr>
            <w:tcW w:w="887" w:type="dxa"/>
            <w:vAlign w:val="top"/>
          </w:tcPr>
          <w:p w14:paraId="46A89B41">
            <w:pPr>
              <w:spacing w:line="299" w:lineRule="auto"/>
              <w:rPr>
                <w:rFonts w:ascii="Arial"/>
                <w:sz w:val="21"/>
              </w:rPr>
            </w:pPr>
          </w:p>
          <w:p w14:paraId="6E639391">
            <w:pPr>
              <w:pStyle w:val="6"/>
              <w:spacing w:before="65" w:line="228" w:lineRule="auto"/>
              <w:ind w:left="239"/>
            </w:pPr>
            <w:r>
              <w:rPr>
                <w:spacing w:val="4"/>
              </w:rPr>
              <w:t>新增</w:t>
            </w:r>
          </w:p>
        </w:tc>
      </w:tr>
      <w:tr w14:paraId="50D56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2E8BB8C5">
            <w:pPr>
              <w:pStyle w:val="6"/>
              <w:spacing w:before="54" w:line="227" w:lineRule="auto"/>
              <w:ind w:left="6467"/>
            </w:pPr>
            <w:r>
              <w:rPr>
                <w:spacing w:val="7"/>
              </w:rPr>
              <w:t>五、药剂制备</w:t>
            </w:r>
          </w:p>
        </w:tc>
      </w:tr>
      <w:tr w14:paraId="3A412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4CC2F9AB">
            <w:pPr>
              <w:spacing w:before="246"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2EE8650A">
            <w:pPr>
              <w:pStyle w:val="6"/>
              <w:spacing w:before="210" w:line="227" w:lineRule="auto"/>
              <w:ind w:left="176"/>
            </w:pPr>
            <w:r>
              <w:rPr>
                <w:spacing w:val="8"/>
              </w:rPr>
              <w:t>立式石灰仓罐</w:t>
            </w:r>
          </w:p>
        </w:tc>
        <w:tc>
          <w:tcPr>
            <w:tcW w:w="1275" w:type="dxa"/>
            <w:vAlign w:val="top"/>
          </w:tcPr>
          <w:p w14:paraId="2E3D449A">
            <w:pPr>
              <w:pStyle w:val="6"/>
              <w:spacing w:before="40" w:line="267" w:lineRule="auto"/>
              <w:ind w:left="117" w:right="131" w:firstLine="25"/>
            </w:pPr>
            <w:r>
              <w:rPr>
                <w:spacing w:val="5"/>
              </w:rPr>
              <w:t>80m</w:t>
            </w:r>
            <w:r>
              <w:rPr>
                <w:spacing w:val="5"/>
                <w:position w:val="9"/>
                <w:sz w:val="10"/>
                <w:szCs w:val="10"/>
              </w:rPr>
              <w:t>3</w:t>
            </w:r>
            <w:r>
              <w:rPr>
                <w:spacing w:val="5"/>
              </w:rPr>
              <w:t>（配螺</w:t>
            </w:r>
            <w:r>
              <w:rPr>
                <w:spacing w:val="1"/>
              </w:rPr>
              <w:t xml:space="preserve"> </w:t>
            </w:r>
            <w:r>
              <w:rPr>
                <w:spacing w:val="4"/>
              </w:rPr>
              <w:t>旋输送机）</w:t>
            </w:r>
          </w:p>
        </w:tc>
        <w:tc>
          <w:tcPr>
            <w:tcW w:w="709" w:type="dxa"/>
            <w:vAlign w:val="top"/>
          </w:tcPr>
          <w:p w14:paraId="512E29B7">
            <w:pPr>
              <w:pStyle w:val="6"/>
              <w:spacing w:before="210" w:line="230" w:lineRule="auto"/>
              <w:ind w:left="175"/>
            </w:pPr>
            <w:r>
              <w:rPr>
                <w:spacing w:val="-4"/>
              </w:rPr>
              <w:t>2</w:t>
            </w:r>
            <w:r>
              <w:rPr>
                <w:spacing w:val="-21"/>
              </w:rPr>
              <w:t xml:space="preserve"> </w:t>
            </w:r>
            <w:r>
              <w:rPr>
                <w:spacing w:val="-4"/>
              </w:rPr>
              <w:t>台</w:t>
            </w:r>
          </w:p>
        </w:tc>
        <w:tc>
          <w:tcPr>
            <w:tcW w:w="672" w:type="dxa"/>
            <w:vAlign w:val="top"/>
          </w:tcPr>
          <w:p w14:paraId="5425EC43">
            <w:pPr>
              <w:pStyle w:val="6"/>
              <w:spacing w:before="210" w:line="228" w:lineRule="auto"/>
              <w:ind w:left="129"/>
            </w:pPr>
            <w:r>
              <w:rPr>
                <w:spacing w:val="4"/>
              </w:rPr>
              <w:t>保留</w:t>
            </w:r>
          </w:p>
        </w:tc>
        <w:tc>
          <w:tcPr>
            <w:tcW w:w="1531" w:type="dxa"/>
            <w:vAlign w:val="top"/>
          </w:tcPr>
          <w:p w14:paraId="6E5BE983">
            <w:pPr>
              <w:pStyle w:val="6"/>
              <w:spacing w:before="243" w:line="233" w:lineRule="auto"/>
              <w:ind w:left="716"/>
            </w:pPr>
            <w:r>
              <w:t>/</w:t>
            </w:r>
          </w:p>
        </w:tc>
        <w:tc>
          <w:tcPr>
            <w:tcW w:w="1481" w:type="dxa"/>
            <w:vAlign w:val="top"/>
          </w:tcPr>
          <w:p w14:paraId="06C206BF">
            <w:pPr>
              <w:pStyle w:val="6"/>
              <w:spacing w:before="209" w:line="233" w:lineRule="auto"/>
              <w:ind w:left="692"/>
            </w:pPr>
            <w:r>
              <w:t>/</w:t>
            </w:r>
          </w:p>
        </w:tc>
        <w:tc>
          <w:tcPr>
            <w:tcW w:w="708" w:type="dxa"/>
            <w:vAlign w:val="top"/>
          </w:tcPr>
          <w:p w14:paraId="3927BA91">
            <w:pPr>
              <w:spacing w:before="232"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CDC8EF3">
            <w:pPr>
              <w:spacing w:before="242"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9A10964">
            <w:pPr>
              <w:pStyle w:val="6"/>
              <w:spacing w:before="210" w:line="227" w:lineRule="auto"/>
              <w:ind w:left="226"/>
            </w:pPr>
            <w:r>
              <w:rPr>
                <w:spacing w:val="8"/>
              </w:rPr>
              <w:t>立式石灰仓罐</w:t>
            </w:r>
          </w:p>
        </w:tc>
        <w:tc>
          <w:tcPr>
            <w:tcW w:w="1558" w:type="dxa"/>
            <w:vAlign w:val="top"/>
          </w:tcPr>
          <w:p w14:paraId="2361671C">
            <w:pPr>
              <w:pStyle w:val="6"/>
              <w:spacing w:before="39" w:line="241" w:lineRule="auto"/>
              <w:ind w:left="115"/>
            </w:pPr>
            <w:r>
              <w:rPr>
                <w:spacing w:val="-3"/>
              </w:rPr>
              <w:t>80m</w:t>
            </w:r>
            <w:r>
              <w:rPr>
                <w:spacing w:val="-3"/>
                <w:position w:val="9"/>
                <w:sz w:val="10"/>
                <w:szCs w:val="10"/>
              </w:rPr>
              <w:t>3</w:t>
            </w:r>
            <w:r>
              <w:rPr>
                <w:spacing w:val="-3"/>
              </w:rPr>
              <w:t>（配螺旋输</w:t>
            </w:r>
          </w:p>
          <w:p w14:paraId="34F804D7">
            <w:pPr>
              <w:pStyle w:val="6"/>
              <w:spacing w:before="65" w:line="227" w:lineRule="auto"/>
              <w:ind w:left="468"/>
            </w:pPr>
            <w:r>
              <w:rPr>
                <w:spacing w:val="3"/>
              </w:rPr>
              <w:t>送机）</w:t>
            </w:r>
          </w:p>
        </w:tc>
        <w:tc>
          <w:tcPr>
            <w:tcW w:w="709" w:type="dxa"/>
            <w:vAlign w:val="top"/>
          </w:tcPr>
          <w:p w14:paraId="1ED810AE">
            <w:pPr>
              <w:pStyle w:val="6"/>
              <w:spacing w:before="210" w:line="230" w:lineRule="auto"/>
              <w:ind w:left="179"/>
            </w:pPr>
            <w:r>
              <w:rPr>
                <w:spacing w:val="-4"/>
              </w:rPr>
              <w:t>2</w:t>
            </w:r>
            <w:r>
              <w:rPr>
                <w:spacing w:val="-21"/>
              </w:rPr>
              <w:t xml:space="preserve"> </w:t>
            </w:r>
            <w:r>
              <w:rPr>
                <w:spacing w:val="-4"/>
              </w:rPr>
              <w:t>台</w:t>
            </w:r>
          </w:p>
        </w:tc>
        <w:tc>
          <w:tcPr>
            <w:tcW w:w="887" w:type="dxa"/>
            <w:vAlign w:val="top"/>
          </w:tcPr>
          <w:p w14:paraId="5239434F">
            <w:pPr>
              <w:pStyle w:val="6"/>
              <w:spacing w:before="210" w:line="228" w:lineRule="auto"/>
              <w:ind w:left="243"/>
            </w:pPr>
            <w:r>
              <w:rPr>
                <w:spacing w:val="2"/>
              </w:rPr>
              <w:t>原有</w:t>
            </w:r>
          </w:p>
        </w:tc>
      </w:tr>
      <w:tr w14:paraId="41B60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0DED5E0C">
            <w:pPr>
              <w:spacing w:before="24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41C8476D">
            <w:pPr>
              <w:pStyle w:val="6"/>
              <w:spacing w:before="56" w:line="226" w:lineRule="auto"/>
              <w:ind w:left="175"/>
            </w:pPr>
            <w:r>
              <w:rPr>
                <w:spacing w:val="8"/>
              </w:rPr>
              <w:t>锥底药剂搅拌</w:t>
            </w:r>
          </w:p>
          <w:p w14:paraId="18C83CA8">
            <w:pPr>
              <w:pStyle w:val="6"/>
              <w:spacing w:before="66" w:line="228" w:lineRule="auto"/>
              <w:ind w:left="698"/>
            </w:pPr>
            <w:r>
              <w:rPr>
                <w:spacing w:val="1"/>
              </w:rPr>
              <w:t>槽</w:t>
            </w:r>
          </w:p>
        </w:tc>
        <w:tc>
          <w:tcPr>
            <w:tcW w:w="1275" w:type="dxa"/>
            <w:vAlign w:val="top"/>
          </w:tcPr>
          <w:p w14:paraId="26B502F1">
            <w:pPr>
              <w:pStyle w:val="6"/>
              <w:spacing w:before="212" w:line="268" w:lineRule="exact"/>
              <w:ind w:left="120"/>
            </w:pPr>
            <w:r>
              <w:rPr>
                <w:spacing w:val="4"/>
                <w:position w:val="1"/>
              </w:rPr>
              <w:t>3000×3000</w:t>
            </w:r>
          </w:p>
        </w:tc>
        <w:tc>
          <w:tcPr>
            <w:tcW w:w="709" w:type="dxa"/>
            <w:vAlign w:val="top"/>
          </w:tcPr>
          <w:p w14:paraId="7225BB4F">
            <w:pPr>
              <w:pStyle w:val="6"/>
              <w:spacing w:before="212" w:line="230" w:lineRule="auto"/>
              <w:ind w:left="188"/>
            </w:pPr>
            <w:r>
              <w:rPr>
                <w:spacing w:val="-10"/>
              </w:rPr>
              <w:t>1</w:t>
            </w:r>
            <w:r>
              <w:rPr>
                <w:spacing w:val="-22"/>
              </w:rPr>
              <w:t xml:space="preserve"> </w:t>
            </w:r>
            <w:r>
              <w:rPr>
                <w:spacing w:val="-10"/>
              </w:rPr>
              <w:t>台</w:t>
            </w:r>
          </w:p>
        </w:tc>
        <w:tc>
          <w:tcPr>
            <w:tcW w:w="672" w:type="dxa"/>
            <w:vAlign w:val="top"/>
          </w:tcPr>
          <w:p w14:paraId="7146B8C2">
            <w:pPr>
              <w:pStyle w:val="6"/>
              <w:spacing w:before="212" w:line="228" w:lineRule="auto"/>
              <w:ind w:left="129"/>
            </w:pPr>
            <w:r>
              <w:rPr>
                <w:spacing w:val="4"/>
              </w:rPr>
              <w:t>保留</w:t>
            </w:r>
          </w:p>
        </w:tc>
        <w:tc>
          <w:tcPr>
            <w:tcW w:w="1531" w:type="dxa"/>
            <w:vAlign w:val="top"/>
          </w:tcPr>
          <w:p w14:paraId="55E66397">
            <w:pPr>
              <w:pStyle w:val="6"/>
              <w:spacing w:before="243" w:line="233" w:lineRule="auto"/>
              <w:ind w:left="716"/>
            </w:pPr>
            <w:r>
              <w:t>/</w:t>
            </w:r>
          </w:p>
        </w:tc>
        <w:tc>
          <w:tcPr>
            <w:tcW w:w="1481" w:type="dxa"/>
            <w:vAlign w:val="top"/>
          </w:tcPr>
          <w:p w14:paraId="496AA84F">
            <w:pPr>
              <w:pStyle w:val="6"/>
              <w:spacing w:before="211" w:line="233" w:lineRule="auto"/>
              <w:ind w:left="692"/>
            </w:pPr>
            <w:r>
              <w:t>/</w:t>
            </w:r>
          </w:p>
        </w:tc>
        <w:tc>
          <w:tcPr>
            <w:tcW w:w="708" w:type="dxa"/>
            <w:vAlign w:val="top"/>
          </w:tcPr>
          <w:p w14:paraId="71E31798">
            <w:pPr>
              <w:spacing w:before="232"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4512C3F5">
            <w:pPr>
              <w:spacing w:before="24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935DC4E">
            <w:pPr>
              <w:pStyle w:val="6"/>
              <w:spacing w:before="212" w:line="226" w:lineRule="auto"/>
              <w:ind w:left="119"/>
            </w:pPr>
            <w:r>
              <w:rPr>
                <w:spacing w:val="8"/>
              </w:rPr>
              <w:t>锥底药剂搅拌槽</w:t>
            </w:r>
          </w:p>
        </w:tc>
        <w:tc>
          <w:tcPr>
            <w:tcW w:w="1558" w:type="dxa"/>
            <w:vAlign w:val="top"/>
          </w:tcPr>
          <w:p w14:paraId="625F4E82">
            <w:pPr>
              <w:pStyle w:val="6"/>
              <w:spacing w:before="212" w:line="268" w:lineRule="exact"/>
              <w:ind w:left="265"/>
            </w:pPr>
            <w:r>
              <w:rPr>
                <w:spacing w:val="4"/>
                <w:position w:val="1"/>
              </w:rPr>
              <w:t>3000×3000</w:t>
            </w:r>
          </w:p>
        </w:tc>
        <w:tc>
          <w:tcPr>
            <w:tcW w:w="709" w:type="dxa"/>
            <w:vAlign w:val="top"/>
          </w:tcPr>
          <w:p w14:paraId="0570363E">
            <w:pPr>
              <w:pStyle w:val="6"/>
              <w:spacing w:before="212" w:line="230" w:lineRule="auto"/>
              <w:ind w:left="192"/>
            </w:pPr>
            <w:r>
              <w:rPr>
                <w:spacing w:val="-10"/>
              </w:rPr>
              <w:t>1</w:t>
            </w:r>
            <w:r>
              <w:rPr>
                <w:spacing w:val="-22"/>
              </w:rPr>
              <w:t xml:space="preserve"> </w:t>
            </w:r>
            <w:r>
              <w:rPr>
                <w:spacing w:val="-10"/>
              </w:rPr>
              <w:t>台</w:t>
            </w:r>
          </w:p>
        </w:tc>
        <w:tc>
          <w:tcPr>
            <w:tcW w:w="887" w:type="dxa"/>
            <w:vAlign w:val="top"/>
          </w:tcPr>
          <w:p w14:paraId="5B2E7DF6">
            <w:pPr>
              <w:pStyle w:val="6"/>
              <w:spacing w:before="212" w:line="228" w:lineRule="auto"/>
              <w:ind w:left="243"/>
            </w:pPr>
            <w:r>
              <w:rPr>
                <w:spacing w:val="2"/>
              </w:rPr>
              <w:t>原有</w:t>
            </w:r>
          </w:p>
        </w:tc>
      </w:tr>
      <w:tr w14:paraId="519C8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1D5E754A">
            <w:pPr>
              <w:spacing w:before="24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627840D6">
            <w:pPr>
              <w:pStyle w:val="6"/>
              <w:spacing w:before="56" w:line="226" w:lineRule="auto"/>
              <w:ind w:left="175"/>
            </w:pPr>
            <w:r>
              <w:rPr>
                <w:spacing w:val="8"/>
              </w:rPr>
              <w:t>平底药剂搅拌</w:t>
            </w:r>
          </w:p>
          <w:p w14:paraId="06D40CF8">
            <w:pPr>
              <w:pStyle w:val="6"/>
              <w:spacing w:before="66" w:line="228" w:lineRule="auto"/>
              <w:ind w:left="698"/>
            </w:pPr>
            <w:r>
              <w:rPr>
                <w:spacing w:val="1"/>
              </w:rPr>
              <w:t>槽</w:t>
            </w:r>
          </w:p>
        </w:tc>
        <w:tc>
          <w:tcPr>
            <w:tcW w:w="1275" w:type="dxa"/>
            <w:vAlign w:val="top"/>
          </w:tcPr>
          <w:p w14:paraId="22A47E95">
            <w:pPr>
              <w:pStyle w:val="6"/>
              <w:spacing w:before="211" w:line="269" w:lineRule="exact"/>
              <w:ind w:left="120"/>
            </w:pPr>
            <w:r>
              <w:rPr>
                <w:spacing w:val="4"/>
                <w:position w:val="1"/>
              </w:rPr>
              <w:t>3000×3000</w:t>
            </w:r>
          </w:p>
        </w:tc>
        <w:tc>
          <w:tcPr>
            <w:tcW w:w="709" w:type="dxa"/>
            <w:vAlign w:val="top"/>
          </w:tcPr>
          <w:p w14:paraId="13EA6E02">
            <w:pPr>
              <w:pStyle w:val="6"/>
              <w:spacing w:before="211" w:line="230" w:lineRule="auto"/>
              <w:ind w:left="175"/>
            </w:pPr>
            <w:r>
              <w:rPr>
                <w:spacing w:val="-4"/>
              </w:rPr>
              <w:t>2</w:t>
            </w:r>
            <w:r>
              <w:rPr>
                <w:spacing w:val="-21"/>
              </w:rPr>
              <w:t xml:space="preserve"> </w:t>
            </w:r>
            <w:r>
              <w:rPr>
                <w:spacing w:val="-4"/>
              </w:rPr>
              <w:t>台</w:t>
            </w:r>
          </w:p>
        </w:tc>
        <w:tc>
          <w:tcPr>
            <w:tcW w:w="672" w:type="dxa"/>
            <w:vAlign w:val="top"/>
          </w:tcPr>
          <w:p w14:paraId="2F715673">
            <w:pPr>
              <w:pStyle w:val="6"/>
              <w:spacing w:before="212" w:line="228" w:lineRule="auto"/>
              <w:ind w:left="129"/>
            </w:pPr>
            <w:r>
              <w:rPr>
                <w:spacing w:val="4"/>
              </w:rPr>
              <w:t>保留</w:t>
            </w:r>
          </w:p>
        </w:tc>
        <w:tc>
          <w:tcPr>
            <w:tcW w:w="1531" w:type="dxa"/>
            <w:vAlign w:val="top"/>
          </w:tcPr>
          <w:p w14:paraId="755E84B0">
            <w:pPr>
              <w:pStyle w:val="6"/>
              <w:spacing w:before="245" w:line="233" w:lineRule="auto"/>
              <w:ind w:left="716"/>
            </w:pPr>
            <w:r>
              <w:t>/</w:t>
            </w:r>
          </w:p>
        </w:tc>
        <w:tc>
          <w:tcPr>
            <w:tcW w:w="1481" w:type="dxa"/>
            <w:vAlign w:val="top"/>
          </w:tcPr>
          <w:p w14:paraId="6A97D03A">
            <w:pPr>
              <w:pStyle w:val="6"/>
              <w:spacing w:before="211" w:line="233" w:lineRule="auto"/>
              <w:ind w:left="692"/>
            </w:pPr>
            <w:r>
              <w:t>/</w:t>
            </w:r>
          </w:p>
        </w:tc>
        <w:tc>
          <w:tcPr>
            <w:tcW w:w="708" w:type="dxa"/>
            <w:vAlign w:val="top"/>
          </w:tcPr>
          <w:p w14:paraId="36AD9CDE">
            <w:pPr>
              <w:spacing w:before="231"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F24ACD5">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7ABD641">
            <w:pPr>
              <w:pStyle w:val="6"/>
              <w:spacing w:before="212" w:line="226" w:lineRule="auto"/>
              <w:ind w:left="119"/>
            </w:pPr>
            <w:r>
              <w:rPr>
                <w:spacing w:val="8"/>
              </w:rPr>
              <w:t>平底药剂搅拌槽</w:t>
            </w:r>
          </w:p>
        </w:tc>
        <w:tc>
          <w:tcPr>
            <w:tcW w:w="1558" w:type="dxa"/>
            <w:vAlign w:val="top"/>
          </w:tcPr>
          <w:p w14:paraId="3E1F6633">
            <w:pPr>
              <w:pStyle w:val="6"/>
              <w:spacing w:before="211" w:line="269" w:lineRule="exact"/>
              <w:ind w:left="265"/>
            </w:pPr>
            <w:r>
              <w:rPr>
                <w:spacing w:val="4"/>
                <w:position w:val="1"/>
              </w:rPr>
              <w:t>3000×3000</w:t>
            </w:r>
          </w:p>
        </w:tc>
        <w:tc>
          <w:tcPr>
            <w:tcW w:w="709" w:type="dxa"/>
            <w:vAlign w:val="top"/>
          </w:tcPr>
          <w:p w14:paraId="136B6E45">
            <w:pPr>
              <w:pStyle w:val="6"/>
              <w:spacing w:before="211" w:line="230" w:lineRule="auto"/>
              <w:ind w:left="179"/>
            </w:pPr>
            <w:r>
              <w:rPr>
                <w:spacing w:val="-4"/>
              </w:rPr>
              <w:t>2</w:t>
            </w:r>
            <w:r>
              <w:rPr>
                <w:spacing w:val="-21"/>
              </w:rPr>
              <w:t xml:space="preserve"> </w:t>
            </w:r>
            <w:r>
              <w:rPr>
                <w:spacing w:val="-4"/>
              </w:rPr>
              <w:t>台</w:t>
            </w:r>
          </w:p>
        </w:tc>
        <w:tc>
          <w:tcPr>
            <w:tcW w:w="887" w:type="dxa"/>
            <w:vAlign w:val="top"/>
          </w:tcPr>
          <w:p w14:paraId="4D49421F">
            <w:pPr>
              <w:pStyle w:val="6"/>
              <w:spacing w:before="212" w:line="228" w:lineRule="auto"/>
              <w:ind w:left="243"/>
            </w:pPr>
            <w:r>
              <w:rPr>
                <w:spacing w:val="2"/>
              </w:rPr>
              <w:t>原有</w:t>
            </w:r>
          </w:p>
        </w:tc>
      </w:tr>
      <w:tr w14:paraId="40D79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594C3859">
            <w:pPr>
              <w:spacing w:before="16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782D9DF7">
            <w:pPr>
              <w:pStyle w:val="6"/>
              <w:spacing w:before="131" w:line="228" w:lineRule="auto"/>
              <w:ind w:left="490"/>
            </w:pPr>
            <w:r>
              <w:rPr>
                <w:spacing w:val="6"/>
              </w:rPr>
              <w:t>渣浆泵</w:t>
            </w:r>
          </w:p>
        </w:tc>
        <w:tc>
          <w:tcPr>
            <w:tcW w:w="1275" w:type="dxa"/>
            <w:vAlign w:val="top"/>
          </w:tcPr>
          <w:p w14:paraId="7E202257">
            <w:pPr>
              <w:pStyle w:val="6"/>
              <w:spacing w:before="131" w:line="233" w:lineRule="auto"/>
              <w:ind w:left="588"/>
            </w:pPr>
            <w:r>
              <w:t>/</w:t>
            </w:r>
          </w:p>
        </w:tc>
        <w:tc>
          <w:tcPr>
            <w:tcW w:w="709" w:type="dxa"/>
            <w:vAlign w:val="top"/>
          </w:tcPr>
          <w:p w14:paraId="3F630AE8">
            <w:pPr>
              <w:pStyle w:val="6"/>
              <w:spacing w:before="132" w:line="230" w:lineRule="auto"/>
              <w:ind w:left="175"/>
            </w:pPr>
            <w:r>
              <w:rPr>
                <w:spacing w:val="-4"/>
              </w:rPr>
              <w:t>2</w:t>
            </w:r>
            <w:r>
              <w:rPr>
                <w:spacing w:val="-21"/>
              </w:rPr>
              <w:t xml:space="preserve"> </w:t>
            </w:r>
            <w:r>
              <w:rPr>
                <w:spacing w:val="-4"/>
              </w:rPr>
              <w:t>台</w:t>
            </w:r>
          </w:p>
        </w:tc>
        <w:tc>
          <w:tcPr>
            <w:tcW w:w="672" w:type="dxa"/>
            <w:vAlign w:val="top"/>
          </w:tcPr>
          <w:p w14:paraId="68218059">
            <w:pPr>
              <w:pStyle w:val="6"/>
              <w:spacing w:before="132" w:line="228" w:lineRule="auto"/>
              <w:ind w:left="129"/>
            </w:pPr>
            <w:r>
              <w:rPr>
                <w:spacing w:val="4"/>
              </w:rPr>
              <w:t>保留</w:t>
            </w:r>
          </w:p>
        </w:tc>
        <w:tc>
          <w:tcPr>
            <w:tcW w:w="1531" w:type="dxa"/>
            <w:vAlign w:val="top"/>
          </w:tcPr>
          <w:p w14:paraId="50BF7B33">
            <w:pPr>
              <w:pStyle w:val="6"/>
              <w:spacing w:before="165" w:line="233" w:lineRule="auto"/>
              <w:ind w:left="716"/>
            </w:pPr>
            <w:r>
              <w:t>/</w:t>
            </w:r>
          </w:p>
        </w:tc>
        <w:tc>
          <w:tcPr>
            <w:tcW w:w="1481" w:type="dxa"/>
            <w:vAlign w:val="top"/>
          </w:tcPr>
          <w:p w14:paraId="4456FC21">
            <w:pPr>
              <w:pStyle w:val="6"/>
              <w:spacing w:before="131" w:line="233" w:lineRule="auto"/>
              <w:ind w:left="692"/>
            </w:pPr>
            <w:r>
              <w:t>/</w:t>
            </w:r>
          </w:p>
        </w:tc>
        <w:tc>
          <w:tcPr>
            <w:tcW w:w="708" w:type="dxa"/>
            <w:vAlign w:val="top"/>
          </w:tcPr>
          <w:p w14:paraId="7C7B189A">
            <w:pPr>
              <w:spacing w:before="15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4EEB6DD5">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4978A250">
            <w:pPr>
              <w:pStyle w:val="6"/>
              <w:spacing w:before="131" w:line="228" w:lineRule="auto"/>
              <w:ind w:left="540"/>
            </w:pPr>
            <w:r>
              <w:rPr>
                <w:spacing w:val="6"/>
              </w:rPr>
              <w:t>渣浆泵</w:t>
            </w:r>
          </w:p>
        </w:tc>
        <w:tc>
          <w:tcPr>
            <w:tcW w:w="1558" w:type="dxa"/>
            <w:vAlign w:val="top"/>
          </w:tcPr>
          <w:p w14:paraId="0A39B68B">
            <w:pPr>
              <w:pStyle w:val="6"/>
              <w:spacing w:before="131" w:line="233" w:lineRule="auto"/>
              <w:ind w:left="733"/>
            </w:pPr>
            <w:r>
              <w:t>/</w:t>
            </w:r>
          </w:p>
        </w:tc>
        <w:tc>
          <w:tcPr>
            <w:tcW w:w="709" w:type="dxa"/>
            <w:vAlign w:val="top"/>
          </w:tcPr>
          <w:p w14:paraId="2A825C76">
            <w:pPr>
              <w:pStyle w:val="6"/>
              <w:spacing w:before="132" w:line="230" w:lineRule="auto"/>
              <w:ind w:left="179"/>
            </w:pPr>
            <w:r>
              <w:rPr>
                <w:spacing w:val="-4"/>
              </w:rPr>
              <w:t>2</w:t>
            </w:r>
            <w:r>
              <w:rPr>
                <w:spacing w:val="-21"/>
              </w:rPr>
              <w:t xml:space="preserve"> </w:t>
            </w:r>
            <w:r>
              <w:rPr>
                <w:spacing w:val="-4"/>
              </w:rPr>
              <w:t>台</w:t>
            </w:r>
          </w:p>
        </w:tc>
        <w:tc>
          <w:tcPr>
            <w:tcW w:w="887" w:type="dxa"/>
            <w:vAlign w:val="top"/>
          </w:tcPr>
          <w:p w14:paraId="7AC86816">
            <w:pPr>
              <w:pStyle w:val="6"/>
              <w:spacing w:before="132" w:line="228" w:lineRule="auto"/>
              <w:ind w:left="243"/>
            </w:pPr>
            <w:r>
              <w:rPr>
                <w:spacing w:val="2"/>
              </w:rPr>
              <w:t>原有</w:t>
            </w:r>
          </w:p>
        </w:tc>
      </w:tr>
      <w:tr w14:paraId="00FEE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012211D4">
            <w:pPr>
              <w:spacing w:before="173"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6" w:type="dxa"/>
            <w:vAlign w:val="top"/>
          </w:tcPr>
          <w:p w14:paraId="291C49F0">
            <w:pPr>
              <w:pStyle w:val="6"/>
              <w:spacing w:before="133" w:line="228" w:lineRule="auto"/>
              <w:ind w:left="492"/>
            </w:pPr>
            <w:r>
              <w:rPr>
                <w:spacing w:val="6"/>
              </w:rPr>
              <w:t>液下泵</w:t>
            </w:r>
          </w:p>
        </w:tc>
        <w:tc>
          <w:tcPr>
            <w:tcW w:w="1275" w:type="dxa"/>
            <w:vAlign w:val="top"/>
          </w:tcPr>
          <w:p w14:paraId="3AD72D9C">
            <w:pPr>
              <w:pStyle w:val="6"/>
              <w:spacing w:before="134" w:line="268" w:lineRule="exact"/>
              <w:ind w:left="324"/>
            </w:pPr>
            <w:r>
              <w:rPr>
                <w:spacing w:val="5"/>
                <w:position w:val="1"/>
              </w:rPr>
              <w:t>40P-</w:t>
            </w:r>
            <w:r>
              <w:rPr>
                <w:position w:val="1"/>
              </w:rPr>
              <w:t>LP</w:t>
            </w:r>
          </w:p>
        </w:tc>
        <w:tc>
          <w:tcPr>
            <w:tcW w:w="709" w:type="dxa"/>
            <w:vAlign w:val="top"/>
          </w:tcPr>
          <w:p w14:paraId="236A76FC">
            <w:pPr>
              <w:pStyle w:val="6"/>
              <w:spacing w:before="134" w:line="230" w:lineRule="auto"/>
              <w:ind w:left="175"/>
            </w:pPr>
            <w:r>
              <w:rPr>
                <w:spacing w:val="-4"/>
              </w:rPr>
              <w:t>2</w:t>
            </w:r>
            <w:r>
              <w:rPr>
                <w:spacing w:val="-21"/>
              </w:rPr>
              <w:t xml:space="preserve"> </w:t>
            </w:r>
            <w:r>
              <w:rPr>
                <w:spacing w:val="-4"/>
              </w:rPr>
              <w:t>台</w:t>
            </w:r>
          </w:p>
        </w:tc>
        <w:tc>
          <w:tcPr>
            <w:tcW w:w="672" w:type="dxa"/>
            <w:vAlign w:val="top"/>
          </w:tcPr>
          <w:p w14:paraId="62A4A31B">
            <w:pPr>
              <w:pStyle w:val="6"/>
              <w:spacing w:before="134" w:line="228" w:lineRule="auto"/>
              <w:ind w:left="129"/>
            </w:pPr>
            <w:r>
              <w:rPr>
                <w:spacing w:val="4"/>
              </w:rPr>
              <w:t>保留</w:t>
            </w:r>
          </w:p>
        </w:tc>
        <w:tc>
          <w:tcPr>
            <w:tcW w:w="1531" w:type="dxa"/>
            <w:vAlign w:val="top"/>
          </w:tcPr>
          <w:p w14:paraId="0E4130BB">
            <w:pPr>
              <w:pStyle w:val="6"/>
              <w:spacing w:before="165" w:line="233" w:lineRule="auto"/>
              <w:ind w:left="716"/>
            </w:pPr>
            <w:r>
              <w:t>/</w:t>
            </w:r>
          </w:p>
        </w:tc>
        <w:tc>
          <w:tcPr>
            <w:tcW w:w="1481" w:type="dxa"/>
            <w:vAlign w:val="top"/>
          </w:tcPr>
          <w:p w14:paraId="10A74939">
            <w:pPr>
              <w:pStyle w:val="6"/>
              <w:spacing w:before="133" w:line="233" w:lineRule="auto"/>
              <w:ind w:left="692"/>
            </w:pPr>
            <w:r>
              <w:t>/</w:t>
            </w:r>
          </w:p>
        </w:tc>
        <w:tc>
          <w:tcPr>
            <w:tcW w:w="708" w:type="dxa"/>
            <w:vAlign w:val="top"/>
          </w:tcPr>
          <w:p w14:paraId="4F0AAF71">
            <w:pPr>
              <w:spacing w:before="15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743BBAE">
            <w:pPr>
              <w:spacing w:before="166"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8005AD1">
            <w:pPr>
              <w:pStyle w:val="6"/>
              <w:spacing w:before="133" w:line="228" w:lineRule="auto"/>
              <w:ind w:left="542"/>
            </w:pPr>
            <w:r>
              <w:rPr>
                <w:spacing w:val="6"/>
              </w:rPr>
              <w:t>液下泵</w:t>
            </w:r>
          </w:p>
        </w:tc>
        <w:tc>
          <w:tcPr>
            <w:tcW w:w="1558" w:type="dxa"/>
            <w:vAlign w:val="top"/>
          </w:tcPr>
          <w:p w14:paraId="47F5ED0D">
            <w:pPr>
              <w:pStyle w:val="6"/>
              <w:spacing w:before="134" w:line="268" w:lineRule="exact"/>
              <w:ind w:left="469"/>
            </w:pPr>
            <w:r>
              <w:rPr>
                <w:spacing w:val="5"/>
                <w:position w:val="1"/>
              </w:rPr>
              <w:t>40P-</w:t>
            </w:r>
            <w:r>
              <w:rPr>
                <w:position w:val="1"/>
              </w:rPr>
              <w:t>LP</w:t>
            </w:r>
          </w:p>
        </w:tc>
        <w:tc>
          <w:tcPr>
            <w:tcW w:w="709" w:type="dxa"/>
            <w:vAlign w:val="top"/>
          </w:tcPr>
          <w:p w14:paraId="3206EEA9">
            <w:pPr>
              <w:pStyle w:val="6"/>
              <w:spacing w:before="134" w:line="230" w:lineRule="auto"/>
              <w:ind w:left="179"/>
            </w:pPr>
            <w:r>
              <w:rPr>
                <w:spacing w:val="-4"/>
              </w:rPr>
              <w:t>2</w:t>
            </w:r>
            <w:r>
              <w:rPr>
                <w:spacing w:val="-21"/>
              </w:rPr>
              <w:t xml:space="preserve"> </w:t>
            </w:r>
            <w:r>
              <w:rPr>
                <w:spacing w:val="-4"/>
              </w:rPr>
              <w:t>台</w:t>
            </w:r>
          </w:p>
        </w:tc>
        <w:tc>
          <w:tcPr>
            <w:tcW w:w="887" w:type="dxa"/>
            <w:vAlign w:val="top"/>
          </w:tcPr>
          <w:p w14:paraId="06D5902A">
            <w:pPr>
              <w:pStyle w:val="6"/>
              <w:spacing w:before="134" w:line="228" w:lineRule="auto"/>
              <w:ind w:left="243"/>
            </w:pPr>
            <w:r>
              <w:rPr>
                <w:spacing w:val="2"/>
              </w:rPr>
              <w:t>原有</w:t>
            </w:r>
          </w:p>
        </w:tc>
      </w:tr>
      <w:tr w14:paraId="67373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3" w:type="dxa"/>
            <w:vAlign w:val="top"/>
          </w:tcPr>
          <w:p w14:paraId="7E4B727C">
            <w:pPr>
              <w:spacing w:before="29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6" w:type="dxa"/>
            <w:vAlign w:val="top"/>
          </w:tcPr>
          <w:p w14:paraId="56FABD8B">
            <w:pPr>
              <w:pStyle w:val="6"/>
              <w:spacing w:before="258" w:line="233" w:lineRule="auto"/>
              <w:ind w:left="754"/>
            </w:pPr>
            <w:r>
              <w:t>/</w:t>
            </w:r>
          </w:p>
        </w:tc>
        <w:tc>
          <w:tcPr>
            <w:tcW w:w="1275" w:type="dxa"/>
            <w:vAlign w:val="top"/>
          </w:tcPr>
          <w:p w14:paraId="0001DDB9">
            <w:pPr>
              <w:pStyle w:val="6"/>
              <w:spacing w:before="258" w:line="233" w:lineRule="auto"/>
              <w:ind w:left="588"/>
            </w:pPr>
            <w:r>
              <w:t>/</w:t>
            </w:r>
          </w:p>
        </w:tc>
        <w:tc>
          <w:tcPr>
            <w:tcW w:w="709" w:type="dxa"/>
            <w:vAlign w:val="top"/>
          </w:tcPr>
          <w:p w14:paraId="3EB923EA">
            <w:pPr>
              <w:pStyle w:val="6"/>
              <w:spacing w:before="258" w:line="233" w:lineRule="auto"/>
              <w:ind w:left="304"/>
            </w:pPr>
            <w:r>
              <w:t>/</w:t>
            </w:r>
          </w:p>
        </w:tc>
        <w:tc>
          <w:tcPr>
            <w:tcW w:w="672" w:type="dxa"/>
            <w:vAlign w:val="top"/>
          </w:tcPr>
          <w:p w14:paraId="40E771ED">
            <w:pPr>
              <w:pStyle w:val="6"/>
              <w:spacing w:before="258" w:line="233" w:lineRule="auto"/>
              <w:ind w:left="286"/>
            </w:pPr>
            <w:r>
              <w:t>/</w:t>
            </w:r>
          </w:p>
        </w:tc>
        <w:tc>
          <w:tcPr>
            <w:tcW w:w="1531" w:type="dxa"/>
            <w:vAlign w:val="top"/>
          </w:tcPr>
          <w:p w14:paraId="63B317AB">
            <w:pPr>
              <w:pStyle w:val="6"/>
              <w:spacing w:before="112" w:line="227" w:lineRule="auto"/>
              <w:ind w:left="143"/>
            </w:pPr>
            <w:r>
              <w:rPr>
                <w:spacing w:val="7"/>
              </w:rPr>
              <w:t>药剂防腐搅拌</w:t>
            </w:r>
          </w:p>
          <w:p w14:paraId="4BA3F9ED">
            <w:pPr>
              <w:pStyle w:val="6"/>
              <w:spacing w:before="114" w:line="223" w:lineRule="auto"/>
              <w:ind w:left="663"/>
            </w:pPr>
            <w:r>
              <w:rPr>
                <w:spacing w:val="1"/>
              </w:rPr>
              <w:t>槽</w:t>
            </w:r>
          </w:p>
        </w:tc>
        <w:tc>
          <w:tcPr>
            <w:tcW w:w="1481" w:type="dxa"/>
            <w:vAlign w:val="top"/>
          </w:tcPr>
          <w:p w14:paraId="6A9F0FA0">
            <w:pPr>
              <w:pStyle w:val="6"/>
              <w:spacing w:before="258" w:line="226" w:lineRule="auto"/>
              <w:ind w:left="324"/>
            </w:pPr>
            <w:r>
              <w:t>RJW</w:t>
            </w:r>
            <w:r>
              <w:rPr>
                <w:spacing w:val="6"/>
              </w:rPr>
              <w:t>-2500</w:t>
            </w:r>
          </w:p>
        </w:tc>
        <w:tc>
          <w:tcPr>
            <w:tcW w:w="708" w:type="dxa"/>
            <w:vAlign w:val="top"/>
          </w:tcPr>
          <w:p w14:paraId="3A42221A">
            <w:pPr>
              <w:pStyle w:val="6"/>
              <w:spacing w:before="244" w:line="224" w:lineRule="auto"/>
              <w:ind w:left="170"/>
            </w:pPr>
            <w:r>
              <w:rPr>
                <w:spacing w:val="-8"/>
                <w:sz w:val="24"/>
                <w:szCs w:val="24"/>
              </w:rPr>
              <w:t>3</w:t>
            </w:r>
            <w:r>
              <w:rPr>
                <w:spacing w:val="-35"/>
                <w:sz w:val="24"/>
                <w:szCs w:val="24"/>
              </w:rPr>
              <w:t xml:space="preserve"> </w:t>
            </w:r>
            <w:r>
              <w:rPr>
                <w:spacing w:val="-8"/>
              </w:rPr>
              <w:t>台</w:t>
            </w:r>
          </w:p>
        </w:tc>
        <w:tc>
          <w:tcPr>
            <w:tcW w:w="709" w:type="dxa"/>
            <w:vAlign w:val="top"/>
          </w:tcPr>
          <w:p w14:paraId="46A02E45">
            <w:pPr>
              <w:pStyle w:val="6"/>
              <w:spacing w:before="259" w:line="228" w:lineRule="auto"/>
              <w:ind w:left="151"/>
            </w:pPr>
            <w:r>
              <w:rPr>
                <w:spacing w:val="4"/>
              </w:rPr>
              <w:t>新增</w:t>
            </w:r>
          </w:p>
        </w:tc>
        <w:tc>
          <w:tcPr>
            <w:tcW w:w="1700" w:type="dxa"/>
            <w:vAlign w:val="top"/>
          </w:tcPr>
          <w:p w14:paraId="0223A7E5">
            <w:pPr>
              <w:pStyle w:val="6"/>
              <w:spacing w:before="292" w:line="227" w:lineRule="auto"/>
              <w:ind w:left="123"/>
            </w:pPr>
            <w:r>
              <w:rPr>
                <w:spacing w:val="8"/>
              </w:rPr>
              <w:t>药剂防腐搅拌槽</w:t>
            </w:r>
          </w:p>
        </w:tc>
        <w:tc>
          <w:tcPr>
            <w:tcW w:w="1558" w:type="dxa"/>
            <w:vAlign w:val="top"/>
          </w:tcPr>
          <w:p w14:paraId="32B08904">
            <w:pPr>
              <w:pStyle w:val="6"/>
              <w:spacing w:before="258" w:line="226" w:lineRule="auto"/>
              <w:ind w:left="363"/>
            </w:pPr>
            <w:r>
              <w:t>RJW</w:t>
            </w:r>
            <w:r>
              <w:rPr>
                <w:spacing w:val="6"/>
              </w:rPr>
              <w:t>-2500</w:t>
            </w:r>
          </w:p>
        </w:tc>
        <w:tc>
          <w:tcPr>
            <w:tcW w:w="709" w:type="dxa"/>
            <w:vAlign w:val="top"/>
          </w:tcPr>
          <w:p w14:paraId="5AAD4090">
            <w:pPr>
              <w:pStyle w:val="6"/>
              <w:spacing w:before="244"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2FAECE9F">
            <w:pPr>
              <w:pStyle w:val="6"/>
              <w:spacing w:before="259" w:line="228" w:lineRule="auto"/>
              <w:ind w:left="239"/>
            </w:pPr>
            <w:r>
              <w:rPr>
                <w:spacing w:val="4"/>
              </w:rPr>
              <w:t>新增</w:t>
            </w:r>
          </w:p>
        </w:tc>
      </w:tr>
      <w:tr w14:paraId="162F9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33" w:type="dxa"/>
            <w:vAlign w:val="top"/>
          </w:tcPr>
          <w:p w14:paraId="2424DD3E">
            <w:pPr>
              <w:spacing w:before="173"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6" w:type="dxa"/>
            <w:vAlign w:val="top"/>
          </w:tcPr>
          <w:p w14:paraId="127AB438">
            <w:pPr>
              <w:pStyle w:val="6"/>
              <w:spacing w:before="134" w:line="233" w:lineRule="auto"/>
              <w:ind w:left="754"/>
            </w:pPr>
            <w:r>
              <w:t>/</w:t>
            </w:r>
          </w:p>
        </w:tc>
        <w:tc>
          <w:tcPr>
            <w:tcW w:w="1275" w:type="dxa"/>
            <w:vAlign w:val="top"/>
          </w:tcPr>
          <w:p w14:paraId="7E4ED917">
            <w:pPr>
              <w:pStyle w:val="6"/>
              <w:spacing w:before="134" w:line="233" w:lineRule="auto"/>
              <w:ind w:left="588"/>
            </w:pPr>
            <w:r>
              <w:t>/</w:t>
            </w:r>
          </w:p>
        </w:tc>
        <w:tc>
          <w:tcPr>
            <w:tcW w:w="709" w:type="dxa"/>
            <w:vAlign w:val="top"/>
          </w:tcPr>
          <w:p w14:paraId="4A629B40">
            <w:pPr>
              <w:pStyle w:val="6"/>
              <w:spacing w:before="134" w:line="233" w:lineRule="auto"/>
              <w:ind w:left="304"/>
            </w:pPr>
            <w:r>
              <w:t>/</w:t>
            </w:r>
          </w:p>
        </w:tc>
        <w:tc>
          <w:tcPr>
            <w:tcW w:w="672" w:type="dxa"/>
            <w:vAlign w:val="top"/>
          </w:tcPr>
          <w:p w14:paraId="5BD8BD79">
            <w:pPr>
              <w:pStyle w:val="6"/>
              <w:spacing w:before="134" w:line="233" w:lineRule="auto"/>
              <w:ind w:left="286"/>
            </w:pPr>
            <w:r>
              <w:t>/</w:t>
            </w:r>
          </w:p>
        </w:tc>
        <w:tc>
          <w:tcPr>
            <w:tcW w:w="1531" w:type="dxa"/>
            <w:vAlign w:val="top"/>
          </w:tcPr>
          <w:p w14:paraId="7907AB1A">
            <w:pPr>
              <w:pStyle w:val="6"/>
              <w:spacing w:before="167" w:line="227" w:lineRule="auto"/>
              <w:ind w:left="143"/>
            </w:pPr>
            <w:r>
              <w:rPr>
                <w:spacing w:val="7"/>
              </w:rPr>
              <w:t>药剂防腐搅拌</w:t>
            </w:r>
          </w:p>
        </w:tc>
        <w:tc>
          <w:tcPr>
            <w:tcW w:w="1481" w:type="dxa"/>
            <w:vAlign w:val="top"/>
          </w:tcPr>
          <w:p w14:paraId="5024478F">
            <w:pPr>
              <w:pStyle w:val="6"/>
              <w:spacing w:before="134" w:line="226" w:lineRule="auto"/>
              <w:ind w:left="324"/>
            </w:pPr>
            <w:r>
              <w:t>RJW</w:t>
            </w:r>
            <w:r>
              <w:rPr>
                <w:spacing w:val="6"/>
              </w:rPr>
              <w:t>-1500</w:t>
            </w:r>
          </w:p>
        </w:tc>
        <w:tc>
          <w:tcPr>
            <w:tcW w:w="708" w:type="dxa"/>
            <w:vAlign w:val="top"/>
          </w:tcPr>
          <w:p w14:paraId="377E9068">
            <w:pPr>
              <w:pStyle w:val="6"/>
              <w:spacing w:before="120" w:line="224" w:lineRule="auto"/>
              <w:ind w:left="170"/>
            </w:pPr>
            <w:r>
              <w:rPr>
                <w:spacing w:val="-8"/>
                <w:sz w:val="24"/>
                <w:szCs w:val="24"/>
              </w:rPr>
              <w:t>3</w:t>
            </w:r>
            <w:r>
              <w:rPr>
                <w:spacing w:val="-35"/>
                <w:sz w:val="24"/>
                <w:szCs w:val="24"/>
              </w:rPr>
              <w:t xml:space="preserve"> </w:t>
            </w:r>
            <w:r>
              <w:rPr>
                <w:spacing w:val="-8"/>
              </w:rPr>
              <w:t>台</w:t>
            </w:r>
          </w:p>
        </w:tc>
        <w:tc>
          <w:tcPr>
            <w:tcW w:w="709" w:type="dxa"/>
            <w:vAlign w:val="top"/>
          </w:tcPr>
          <w:p w14:paraId="576E18B7">
            <w:pPr>
              <w:pStyle w:val="6"/>
              <w:spacing w:before="134" w:line="228" w:lineRule="auto"/>
              <w:ind w:left="151"/>
            </w:pPr>
            <w:r>
              <w:rPr>
                <w:spacing w:val="4"/>
              </w:rPr>
              <w:t>新增</w:t>
            </w:r>
          </w:p>
        </w:tc>
        <w:tc>
          <w:tcPr>
            <w:tcW w:w="1700" w:type="dxa"/>
            <w:vAlign w:val="top"/>
          </w:tcPr>
          <w:p w14:paraId="0221A7D5">
            <w:pPr>
              <w:pStyle w:val="6"/>
              <w:spacing w:before="167" w:line="227" w:lineRule="auto"/>
              <w:ind w:left="123"/>
            </w:pPr>
            <w:r>
              <w:rPr>
                <w:spacing w:val="8"/>
              </w:rPr>
              <w:t>药剂防腐搅拌槽</w:t>
            </w:r>
          </w:p>
        </w:tc>
        <w:tc>
          <w:tcPr>
            <w:tcW w:w="1558" w:type="dxa"/>
            <w:vAlign w:val="top"/>
          </w:tcPr>
          <w:p w14:paraId="727745A1">
            <w:pPr>
              <w:pStyle w:val="6"/>
              <w:spacing w:before="134" w:line="226" w:lineRule="auto"/>
              <w:ind w:left="363"/>
            </w:pPr>
            <w:r>
              <w:t>RJW</w:t>
            </w:r>
            <w:r>
              <w:rPr>
                <w:spacing w:val="6"/>
              </w:rPr>
              <w:t>-1500</w:t>
            </w:r>
          </w:p>
        </w:tc>
        <w:tc>
          <w:tcPr>
            <w:tcW w:w="709" w:type="dxa"/>
            <w:vAlign w:val="top"/>
          </w:tcPr>
          <w:p w14:paraId="28D0266C">
            <w:pPr>
              <w:pStyle w:val="6"/>
              <w:spacing w:before="120"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15A81BFA">
            <w:pPr>
              <w:pStyle w:val="6"/>
              <w:spacing w:before="134" w:line="228" w:lineRule="auto"/>
              <w:ind w:left="239"/>
            </w:pPr>
            <w:r>
              <w:rPr>
                <w:spacing w:val="4"/>
              </w:rPr>
              <w:t>新增</w:t>
            </w:r>
          </w:p>
        </w:tc>
      </w:tr>
    </w:tbl>
    <w:p w14:paraId="1D5E8974">
      <w:pPr>
        <w:pStyle w:val="2"/>
      </w:pPr>
    </w:p>
    <w:p w14:paraId="27712C52">
      <w:pPr>
        <w:sectPr>
          <w:footerReference r:id="rId107" w:type="default"/>
          <w:pgSz w:w="16839" w:h="11906"/>
          <w:pgMar w:top="1208" w:right="1327" w:bottom="1358" w:left="1327" w:header="825" w:footer="1195" w:gutter="0"/>
          <w:cols w:space="720" w:num="1"/>
        </w:sectPr>
      </w:pPr>
    </w:p>
    <w:p w14:paraId="791C35D0">
      <w:pPr>
        <w:spacing w:before="53"/>
      </w:pPr>
    </w:p>
    <w:p w14:paraId="4881B6A0">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5EB74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4D5F4CD1">
            <w:pPr>
              <w:pStyle w:val="6"/>
              <w:spacing w:before="210" w:line="218" w:lineRule="auto"/>
              <w:ind w:left="203"/>
            </w:pPr>
            <w:r>
              <w:rPr>
                <w:spacing w:val="6"/>
              </w:rPr>
              <w:t>序 号</w:t>
            </w:r>
          </w:p>
        </w:tc>
        <w:tc>
          <w:tcPr>
            <w:tcW w:w="4262" w:type="dxa"/>
            <w:gridSpan w:val="4"/>
            <w:vAlign w:val="top"/>
          </w:tcPr>
          <w:p w14:paraId="05F95881">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4B5B6550">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372C1209">
            <w:pPr>
              <w:pStyle w:val="6"/>
              <w:spacing w:before="198" w:line="228" w:lineRule="auto"/>
              <w:ind w:left="1278"/>
            </w:pPr>
            <w:r>
              <w:rPr>
                <w:spacing w:val="9"/>
              </w:rPr>
              <w:t>技改工程完成后最终设备</w:t>
            </w:r>
          </w:p>
        </w:tc>
      </w:tr>
      <w:tr w14:paraId="45137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4D359A7E">
            <w:pPr>
              <w:rPr>
                <w:rFonts w:ascii="Arial"/>
                <w:sz w:val="21"/>
              </w:rPr>
            </w:pPr>
          </w:p>
        </w:tc>
        <w:tc>
          <w:tcPr>
            <w:tcW w:w="1606" w:type="dxa"/>
            <w:vAlign w:val="top"/>
          </w:tcPr>
          <w:p w14:paraId="2AB9C5B8">
            <w:pPr>
              <w:pStyle w:val="6"/>
              <w:spacing w:before="53" w:line="230" w:lineRule="auto"/>
              <w:ind w:left="599"/>
            </w:pPr>
            <w:r>
              <w:rPr>
                <w:spacing w:val="3"/>
              </w:rPr>
              <w:t>名称</w:t>
            </w:r>
          </w:p>
        </w:tc>
        <w:tc>
          <w:tcPr>
            <w:tcW w:w="1275" w:type="dxa"/>
            <w:vAlign w:val="top"/>
          </w:tcPr>
          <w:p w14:paraId="039888BF">
            <w:pPr>
              <w:pStyle w:val="6"/>
              <w:spacing w:before="52" w:line="228" w:lineRule="auto"/>
              <w:ind w:left="116"/>
            </w:pPr>
            <w:r>
              <w:rPr>
                <w:spacing w:val="7"/>
              </w:rPr>
              <w:t>规格及型号</w:t>
            </w:r>
          </w:p>
        </w:tc>
        <w:tc>
          <w:tcPr>
            <w:tcW w:w="709" w:type="dxa"/>
            <w:vAlign w:val="top"/>
          </w:tcPr>
          <w:p w14:paraId="3A528DA7">
            <w:pPr>
              <w:pStyle w:val="6"/>
              <w:spacing w:before="52" w:line="228" w:lineRule="auto"/>
              <w:ind w:left="148"/>
            </w:pPr>
            <w:r>
              <w:rPr>
                <w:spacing w:val="3"/>
              </w:rPr>
              <w:t>数量</w:t>
            </w:r>
          </w:p>
        </w:tc>
        <w:tc>
          <w:tcPr>
            <w:tcW w:w="672" w:type="dxa"/>
            <w:vAlign w:val="top"/>
          </w:tcPr>
          <w:p w14:paraId="50E24683">
            <w:pPr>
              <w:pStyle w:val="6"/>
              <w:spacing w:before="53" w:line="229" w:lineRule="auto"/>
              <w:ind w:left="131"/>
            </w:pPr>
            <w:r>
              <w:rPr>
                <w:spacing w:val="3"/>
              </w:rPr>
              <w:t>备注</w:t>
            </w:r>
          </w:p>
        </w:tc>
        <w:tc>
          <w:tcPr>
            <w:tcW w:w="1531" w:type="dxa"/>
            <w:vAlign w:val="top"/>
          </w:tcPr>
          <w:p w14:paraId="0C39AB15">
            <w:pPr>
              <w:pStyle w:val="6"/>
              <w:spacing w:before="53" w:line="230" w:lineRule="auto"/>
              <w:ind w:left="563"/>
            </w:pPr>
            <w:r>
              <w:rPr>
                <w:spacing w:val="3"/>
              </w:rPr>
              <w:t>名称</w:t>
            </w:r>
          </w:p>
        </w:tc>
        <w:tc>
          <w:tcPr>
            <w:tcW w:w="1481" w:type="dxa"/>
            <w:vAlign w:val="top"/>
          </w:tcPr>
          <w:p w14:paraId="5301E362">
            <w:pPr>
              <w:pStyle w:val="6"/>
              <w:spacing w:before="52" w:line="228" w:lineRule="auto"/>
              <w:ind w:left="535"/>
            </w:pPr>
            <w:r>
              <w:rPr>
                <w:spacing w:val="4"/>
              </w:rPr>
              <w:t>规格</w:t>
            </w:r>
          </w:p>
        </w:tc>
        <w:tc>
          <w:tcPr>
            <w:tcW w:w="708" w:type="dxa"/>
            <w:vAlign w:val="top"/>
          </w:tcPr>
          <w:p w14:paraId="662BF699">
            <w:pPr>
              <w:pStyle w:val="6"/>
              <w:spacing w:before="52" w:line="228" w:lineRule="auto"/>
              <w:ind w:left="152"/>
            </w:pPr>
            <w:r>
              <w:rPr>
                <w:spacing w:val="3"/>
              </w:rPr>
              <w:t>数量</w:t>
            </w:r>
          </w:p>
        </w:tc>
        <w:tc>
          <w:tcPr>
            <w:tcW w:w="709" w:type="dxa"/>
            <w:vAlign w:val="top"/>
          </w:tcPr>
          <w:p w14:paraId="57ABC941">
            <w:pPr>
              <w:pStyle w:val="6"/>
              <w:spacing w:before="53" w:line="229" w:lineRule="auto"/>
              <w:ind w:left="153"/>
            </w:pPr>
            <w:r>
              <w:rPr>
                <w:spacing w:val="3"/>
              </w:rPr>
              <w:t>备注</w:t>
            </w:r>
          </w:p>
        </w:tc>
        <w:tc>
          <w:tcPr>
            <w:tcW w:w="1700" w:type="dxa"/>
            <w:vAlign w:val="top"/>
          </w:tcPr>
          <w:p w14:paraId="14733E7E">
            <w:pPr>
              <w:pStyle w:val="6"/>
              <w:spacing w:before="53" w:line="230" w:lineRule="auto"/>
              <w:ind w:left="648"/>
            </w:pPr>
            <w:r>
              <w:rPr>
                <w:spacing w:val="3"/>
              </w:rPr>
              <w:t>名称</w:t>
            </w:r>
          </w:p>
        </w:tc>
        <w:tc>
          <w:tcPr>
            <w:tcW w:w="1558" w:type="dxa"/>
            <w:vAlign w:val="top"/>
          </w:tcPr>
          <w:p w14:paraId="2BD841F9">
            <w:pPr>
              <w:pStyle w:val="6"/>
              <w:spacing w:before="52" w:line="228" w:lineRule="auto"/>
              <w:ind w:left="576"/>
            </w:pPr>
            <w:r>
              <w:rPr>
                <w:spacing w:val="4"/>
              </w:rPr>
              <w:t>规格</w:t>
            </w:r>
          </w:p>
        </w:tc>
        <w:tc>
          <w:tcPr>
            <w:tcW w:w="709" w:type="dxa"/>
            <w:vAlign w:val="top"/>
          </w:tcPr>
          <w:p w14:paraId="1BC6F009">
            <w:pPr>
              <w:pStyle w:val="6"/>
              <w:spacing w:before="52" w:line="228" w:lineRule="auto"/>
              <w:ind w:left="152"/>
            </w:pPr>
            <w:r>
              <w:rPr>
                <w:spacing w:val="3"/>
              </w:rPr>
              <w:t>数量</w:t>
            </w:r>
          </w:p>
        </w:tc>
        <w:tc>
          <w:tcPr>
            <w:tcW w:w="887" w:type="dxa"/>
            <w:vAlign w:val="top"/>
          </w:tcPr>
          <w:p w14:paraId="48DACA1F">
            <w:pPr>
              <w:pStyle w:val="6"/>
              <w:spacing w:before="53" w:line="229" w:lineRule="auto"/>
              <w:ind w:left="241"/>
            </w:pPr>
            <w:r>
              <w:rPr>
                <w:spacing w:val="3"/>
              </w:rPr>
              <w:t>备注</w:t>
            </w:r>
          </w:p>
        </w:tc>
      </w:tr>
      <w:tr w14:paraId="6F5DA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04C9F1A4">
            <w:pPr>
              <w:rPr>
                <w:rFonts w:ascii="Arial"/>
                <w:sz w:val="21"/>
              </w:rPr>
            </w:pPr>
          </w:p>
        </w:tc>
        <w:tc>
          <w:tcPr>
            <w:tcW w:w="1606" w:type="dxa"/>
            <w:vAlign w:val="top"/>
          </w:tcPr>
          <w:p w14:paraId="12583079">
            <w:pPr>
              <w:rPr>
                <w:rFonts w:ascii="Arial"/>
                <w:sz w:val="21"/>
              </w:rPr>
            </w:pPr>
          </w:p>
        </w:tc>
        <w:tc>
          <w:tcPr>
            <w:tcW w:w="1275" w:type="dxa"/>
            <w:vAlign w:val="top"/>
          </w:tcPr>
          <w:p w14:paraId="335BEA17">
            <w:pPr>
              <w:rPr>
                <w:rFonts w:ascii="Arial"/>
                <w:sz w:val="21"/>
              </w:rPr>
            </w:pPr>
          </w:p>
        </w:tc>
        <w:tc>
          <w:tcPr>
            <w:tcW w:w="709" w:type="dxa"/>
            <w:vAlign w:val="top"/>
          </w:tcPr>
          <w:p w14:paraId="3A92D277">
            <w:pPr>
              <w:rPr>
                <w:rFonts w:ascii="Arial"/>
                <w:sz w:val="21"/>
              </w:rPr>
            </w:pPr>
          </w:p>
        </w:tc>
        <w:tc>
          <w:tcPr>
            <w:tcW w:w="672" w:type="dxa"/>
            <w:vAlign w:val="top"/>
          </w:tcPr>
          <w:p w14:paraId="4A40BCDE">
            <w:pPr>
              <w:rPr>
                <w:rFonts w:ascii="Arial"/>
                <w:sz w:val="21"/>
              </w:rPr>
            </w:pPr>
          </w:p>
        </w:tc>
        <w:tc>
          <w:tcPr>
            <w:tcW w:w="1531" w:type="dxa"/>
            <w:vAlign w:val="top"/>
          </w:tcPr>
          <w:p w14:paraId="3BB283C0">
            <w:pPr>
              <w:pStyle w:val="6"/>
              <w:spacing w:before="110" w:line="226" w:lineRule="auto"/>
              <w:ind w:left="663"/>
            </w:pPr>
            <w:r>
              <w:rPr>
                <w:spacing w:val="1"/>
              </w:rPr>
              <w:t>槽</w:t>
            </w:r>
          </w:p>
        </w:tc>
        <w:tc>
          <w:tcPr>
            <w:tcW w:w="1481" w:type="dxa"/>
            <w:vAlign w:val="top"/>
          </w:tcPr>
          <w:p w14:paraId="49246F13">
            <w:pPr>
              <w:rPr>
                <w:rFonts w:ascii="Arial"/>
                <w:sz w:val="21"/>
              </w:rPr>
            </w:pPr>
          </w:p>
        </w:tc>
        <w:tc>
          <w:tcPr>
            <w:tcW w:w="708" w:type="dxa"/>
            <w:vAlign w:val="top"/>
          </w:tcPr>
          <w:p w14:paraId="6F9DDC91">
            <w:pPr>
              <w:rPr>
                <w:rFonts w:ascii="Arial"/>
                <w:sz w:val="21"/>
              </w:rPr>
            </w:pPr>
          </w:p>
        </w:tc>
        <w:tc>
          <w:tcPr>
            <w:tcW w:w="709" w:type="dxa"/>
            <w:vAlign w:val="top"/>
          </w:tcPr>
          <w:p w14:paraId="561E4934">
            <w:pPr>
              <w:rPr>
                <w:rFonts w:ascii="Arial"/>
                <w:sz w:val="21"/>
              </w:rPr>
            </w:pPr>
          </w:p>
        </w:tc>
        <w:tc>
          <w:tcPr>
            <w:tcW w:w="1700" w:type="dxa"/>
            <w:vAlign w:val="top"/>
          </w:tcPr>
          <w:p w14:paraId="69B0E230">
            <w:pPr>
              <w:rPr>
                <w:rFonts w:ascii="Arial"/>
                <w:sz w:val="21"/>
              </w:rPr>
            </w:pPr>
          </w:p>
        </w:tc>
        <w:tc>
          <w:tcPr>
            <w:tcW w:w="1558" w:type="dxa"/>
            <w:vAlign w:val="top"/>
          </w:tcPr>
          <w:p w14:paraId="67EE5014">
            <w:pPr>
              <w:rPr>
                <w:rFonts w:ascii="Arial"/>
                <w:sz w:val="21"/>
              </w:rPr>
            </w:pPr>
          </w:p>
        </w:tc>
        <w:tc>
          <w:tcPr>
            <w:tcW w:w="709" w:type="dxa"/>
            <w:vAlign w:val="top"/>
          </w:tcPr>
          <w:p w14:paraId="636E1CC9">
            <w:pPr>
              <w:rPr>
                <w:rFonts w:ascii="Arial"/>
                <w:sz w:val="21"/>
              </w:rPr>
            </w:pPr>
          </w:p>
        </w:tc>
        <w:tc>
          <w:tcPr>
            <w:tcW w:w="887" w:type="dxa"/>
            <w:vAlign w:val="top"/>
          </w:tcPr>
          <w:p w14:paraId="6E421D1F">
            <w:pPr>
              <w:rPr>
                <w:rFonts w:ascii="Arial"/>
                <w:sz w:val="21"/>
              </w:rPr>
            </w:pPr>
          </w:p>
        </w:tc>
      </w:tr>
      <w:tr w14:paraId="79FA1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3" w:type="dxa"/>
            <w:vAlign w:val="top"/>
          </w:tcPr>
          <w:p w14:paraId="41888D48">
            <w:pPr>
              <w:spacing w:before="29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6" w:type="dxa"/>
            <w:vAlign w:val="top"/>
          </w:tcPr>
          <w:p w14:paraId="17710F65">
            <w:pPr>
              <w:pStyle w:val="6"/>
              <w:spacing w:before="256" w:line="233" w:lineRule="auto"/>
              <w:ind w:left="754"/>
            </w:pPr>
            <w:r>
              <w:t>/</w:t>
            </w:r>
          </w:p>
        </w:tc>
        <w:tc>
          <w:tcPr>
            <w:tcW w:w="1275" w:type="dxa"/>
            <w:vAlign w:val="top"/>
          </w:tcPr>
          <w:p w14:paraId="516EED45">
            <w:pPr>
              <w:pStyle w:val="6"/>
              <w:spacing w:before="256" w:line="233" w:lineRule="auto"/>
              <w:ind w:left="588"/>
            </w:pPr>
            <w:r>
              <w:t>/</w:t>
            </w:r>
          </w:p>
        </w:tc>
        <w:tc>
          <w:tcPr>
            <w:tcW w:w="709" w:type="dxa"/>
            <w:vAlign w:val="top"/>
          </w:tcPr>
          <w:p w14:paraId="5C47905A">
            <w:pPr>
              <w:pStyle w:val="6"/>
              <w:spacing w:before="256" w:line="233" w:lineRule="auto"/>
              <w:ind w:left="304"/>
            </w:pPr>
            <w:r>
              <w:t>/</w:t>
            </w:r>
          </w:p>
        </w:tc>
        <w:tc>
          <w:tcPr>
            <w:tcW w:w="672" w:type="dxa"/>
            <w:vAlign w:val="top"/>
          </w:tcPr>
          <w:p w14:paraId="0A6F8974">
            <w:pPr>
              <w:pStyle w:val="6"/>
              <w:spacing w:before="256" w:line="233" w:lineRule="auto"/>
              <w:ind w:left="286"/>
            </w:pPr>
            <w:r>
              <w:t>/</w:t>
            </w:r>
          </w:p>
        </w:tc>
        <w:tc>
          <w:tcPr>
            <w:tcW w:w="1531" w:type="dxa"/>
            <w:vAlign w:val="top"/>
          </w:tcPr>
          <w:p w14:paraId="0507023F">
            <w:pPr>
              <w:pStyle w:val="6"/>
              <w:spacing w:before="109" w:line="227" w:lineRule="auto"/>
              <w:ind w:left="142"/>
            </w:pPr>
            <w:r>
              <w:rPr>
                <w:spacing w:val="7"/>
              </w:rPr>
              <w:t>脉动式自动加</w:t>
            </w:r>
          </w:p>
          <w:p w14:paraId="7E064334">
            <w:pPr>
              <w:pStyle w:val="6"/>
              <w:spacing w:before="114" w:line="225" w:lineRule="auto"/>
              <w:ind w:left="563"/>
            </w:pPr>
            <w:r>
              <w:rPr>
                <w:spacing w:val="3"/>
              </w:rPr>
              <w:t>药机</w:t>
            </w:r>
          </w:p>
        </w:tc>
        <w:tc>
          <w:tcPr>
            <w:tcW w:w="1481" w:type="dxa"/>
            <w:vAlign w:val="top"/>
          </w:tcPr>
          <w:p w14:paraId="60C88E63">
            <w:pPr>
              <w:pStyle w:val="6"/>
              <w:spacing w:before="256" w:line="226" w:lineRule="auto"/>
              <w:ind w:left="219"/>
            </w:pPr>
            <w:r>
              <w:t>JDI</w:t>
            </w:r>
            <w:r>
              <w:rPr>
                <w:spacing w:val="6"/>
              </w:rPr>
              <w:t>-X-P-32</w:t>
            </w:r>
          </w:p>
        </w:tc>
        <w:tc>
          <w:tcPr>
            <w:tcW w:w="708" w:type="dxa"/>
            <w:vAlign w:val="top"/>
          </w:tcPr>
          <w:p w14:paraId="7A2299A6">
            <w:pPr>
              <w:pStyle w:val="6"/>
              <w:spacing w:before="242"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2F492EF1">
            <w:pPr>
              <w:pStyle w:val="6"/>
              <w:spacing w:before="256" w:line="228" w:lineRule="auto"/>
              <w:ind w:left="151"/>
            </w:pPr>
            <w:r>
              <w:rPr>
                <w:spacing w:val="4"/>
              </w:rPr>
              <w:t>新增</w:t>
            </w:r>
          </w:p>
        </w:tc>
        <w:tc>
          <w:tcPr>
            <w:tcW w:w="1700" w:type="dxa"/>
            <w:vAlign w:val="top"/>
          </w:tcPr>
          <w:p w14:paraId="77616E53">
            <w:pPr>
              <w:pStyle w:val="6"/>
              <w:spacing w:before="109" w:line="279" w:lineRule="auto"/>
              <w:ind w:left="750" w:right="113" w:hanging="628"/>
            </w:pPr>
            <w:r>
              <w:rPr>
                <w:spacing w:val="8"/>
              </w:rPr>
              <w:t>脉动式自动加药</w:t>
            </w:r>
            <w:r>
              <w:rPr>
                <w:spacing w:val="2"/>
              </w:rPr>
              <w:t xml:space="preserve"> </w:t>
            </w:r>
            <w:r>
              <w:rPr>
                <w:spacing w:val="1"/>
              </w:rPr>
              <w:t>机</w:t>
            </w:r>
          </w:p>
        </w:tc>
        <w:tc>
          <w:tcPr>
            <w:tcW w:w="1558" w:type="dxa"/>
            <w:vAlign w:val="top"/>
          </w:tcPr>
          <w:p w14:paraId="52EEB6E5">
            <w:pPr>
              <w:pStyle w:val="6"/>
              <w:spacing w:before="256" w:line="226" w:lineRule="auto"/>
              <w:ind w:left="260"/>
            </w:pPr>
            <w:r>
              <w:t>JDI</w:t>
            </w:r>
            <w:r>
              <w:rPr>
                <w:spacing w:val="6"/>
              </w:rPr>
              <w:t>-X-P-32</w:t>
            </w:r>
          </w:p>
        </w:tc>
        <w:tc>
          <w:tcPr>
            <w:tcW w:w="709" w:type="dxa"/>
            <w:vAlign w:val="top"/>
          </w:tcPr>
          <w:p w14:paraId="6B584471">
            <w:pPr>
              <w:pStyle w:val="6"/>
              <w:spacing w:before="242"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143A65A6">
            <w:pPr>
              <w:pStyle w:val="6"/>
              <w:spacing w:before="256" w:line="228" w:lineRule="auto"/>
              <w:ind w:left="239"/>
            </w:pPr>
            <w:r>
              <w:rPr>
                <w:spacing w:val="4"/>
              </w:rPr>
              <w:t>新增</w:t>
            </w:r>
          </w:p>
        </w:tc>
      </w:tr>
      <w:tr w14:paraId="13858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33" w:type="dxa"/>
            <w:vAlign w:val="top"/>
          </w:tcPr>
          <w:p w14:paraId="5B0F00B1">
            <w:pPr>
              <w:spacing w:before="122"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06" w:type="dxa"/>
            <w:vAlign w:val="top"/>
          </w:tcPr>
          <w:p w14:paraId="3C432EDD">
            <w:pPr>
              <w:pStyle w:val="6"/>
              <w:spacing w:before="86" w:line="233" w:lineRule="auto"/>
              <w:ind w:left="754"/>
            </w:pPr>
            <w:r>
              <w:t>/</w:t>
            </w:r>
          </w:p>
        </w:tc>
        <w:tc>
          <w:tcPr>
            <w:tcW w:w="1275" w:type="dxa"/>
            <w:vAlign w:val="top"/>
          </w:tcPr>
          <w:p w14:paraId="29C51189">
            <w:pPr>
              <w:pStyle w:val="6"/>
              <w:spacing w:before="86" w:line="233" w:lineRule="auto"/>
              <w:ind w:left="588"/>
            </w:pPr>
            <w:r>
              <w:t>/</w:t>
            </w:r>
          </w:p>
        </w:tc>
        <w:tc>
          <w:tcPr>
            <w:tcW w:w="709" w:type="dxa"/>
            <w:vAlign w:val="top"/>
          </w:tcPr>
          <w:p w14:paraId="5823F860">
            <w:pPr>
              <w:pStyle w:val="6"/>
              <w:spacing w:before="86" w:line="233" w:lineRule="auto"/>
              <w:ind w:left="304"/>
            </w:pPr>
            <w:r>
              <w:t>/</w:t>
            </w:r>
          </w:p>
        </w:tc>
        <w:tc>
          <w:tcPr>
            <w:tcW w:w="672" w:type="dxa"/>
            <w:vAlign w:val="top"/>
          </w:tcPr>
          <w:p w14:paraId="0665171B">
            <w:pPr>
              <w:pStyle w:val="6"/>
              <w:spacing w:before="86" w:line="233" w:lineRule="auto"/>
              <w:ind w:left="286"/>
            </w:pPr>
            <w:r>
              <w:t>/</w:t>
            </w:r>
          </w:p>
        </w:tc>
        <w:tc>
          <w:tcPr>
            <w:tcW w:w="1531" w:type="dxa"/>
            <w:vAlign w:val="top"/>
          </w:tcPr>
          <w:p w14:paraId="73D44313">
            <w:pPr>
              <w:pStyle w:val="6"/>
              <w:spacing w:before="127" w:line="228" w:lineRule="auto"/>
              <w:ind w:left="143"/>
            </w:pPr>
            <w:r>
              <w:rPr>
                <w:spacing w:val="7"/>
              </w:rPr>
              <w:t>耐腐蚀液下泵</w:t>
            </w:r>
          </w:p>
        </w:tc>
        <w:tc>
          <w:tcPr>
            <w:tcW w:w="1481" w:type="dxa"/>
            <w:vAlign w:val="top"/>
          </w:tcPr>
          <w:p w14:paraId="34C3B587">
            <w:pPr>
              <w:pStyle w:val="6"/>
              <w:spacing w:before="86" w:line="269" w:lineRule="exact"/>
              <w:ind w:left="321"/>
            </w:pPr>
            <w:r>
              <w:rPr>
                <w:position w:val="1"/>
              </w:rPr>
              <w:t>DB</w:t>
            </w:r>
            <w:r>
              <w:rPr>
                <w:spacing w:val="6"/>
                <w:position w:val="1"/>
              </w:rPr>
              <w:t>25Y-16</w:t>
            </w:r>
          </w:p>
        </w:tc>
        <w:tc>
          <w:tcPr>
            <w:tcW w:w="708" w:type="dxa"/>
            <w:vAlign w:val="top"/>
          </w:tcPr>
          <w:p w14:paraId="75EE8949">
            <w:pPr>
              <w:pStyle w:val="6"/>
              <w:spacing w:before="72"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524F0247">
            <w:pPr>
              <w:pStyle w:val="6"/>
              <w:spacing w:before="87" w:line="228" w:lineRule="auto"/>
              <w:ind w:left="151"/>
            </w:pPr>
            <w:r>
              <w:rPr>
                <w:spacing w:val="4"/>
              </w:rPr>
              <w:t>新增</w:t>
            </w:r>
          </w:p>
        </w:tc>
        <w:tc>
          <w:tcPr>
            <w:tcW w:w="1700" w:type="dxa"/>
            <w:vAlign w:val="top"/>
          </w:tcPr>
          <w:p w14:paraId="16104665">
            <w:pPr>
              <w:pStyle w:val="6"/>
              <w:spacing w:before="127" w:line="228" w:lineRule="auto"/>
              <w:ind w:left="228"/>
            </w:pPr>
            <w:r>
              <w:rPr>
                <w:spacing w:val="7"/>
              </w:rPr>
              <w:t>耐腐蚀液下泵</w:t>
            </w:r>
          </w:p>
        </w:tc>
        <w:tc>
          <w:tcPr>
            <w:tcW w:w="1558" w:type="dxa"/>
            <w:vAlign w:val="top"/>
          </w:tcPr>
          <w:p w14:paraId="33366F31">
            <w:pPr>
              <w:pStyle w:val="6"/>
              <w:spacing w:before="86" w:line="269" w:lineRule="exact"/>
              <w:ind w:left="360"/>
            </w:pPr>
            <w:r>
              <w:rPr>
                <w:position w:val="1"/>
              </w:rPr>
              <w:t>DB</w:t>
            </w:r>
            <w:r>
              <w:rPr>
                <w:spacing w:val="6"/>
                <w:position w:val="1"/>
              </w:rPr>
              <w:t>25Y-16</w:t>
            </w:r>
          </w:p>
        </w:tc>
        <w:tc>
          <w:tcPr>
            <w:tcW w:w="709" w:type="dxa"/>
            <w:vAlign w:val="top"/>
          </w:tcPr>
          <w:p w14:paraId="29777E05">
            <w:pPr>
              <w:pStyle w:val="6"/>
              <w:spacing w:before="72"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3498A62A">
            <w:pPr>
              <w:pStyle w:val="6"/>
              <w:spacing w:before="87" w:line="228" w:lineRule="auto"/>
              <w:ind w:left="239"/>
            </w:pPr>
            <w:r>
              <w:rPr>
                <w:spacing w:val="4"/>
              </w:rPr>
              <w:t>新增</w:t>
            </w:r>
          </w:p>
        </w:tc>
      </w:tr>
      <w:tr w14:paraId="32615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3EAF08DA">
            <w:pPr>
              <w:pStyle w:val="6"/>
              <w:spacing w:before="53" w:line="228" w:lineRule="auto"/>
              <w:ind w:left="6256"/>
            </w:pPr>
            <w:r>
              <w:rPr>
                <w:spacing w:val="8"/>
              </w:rPr>
              <w:t>六、尾矿回水处理</w:t>
            </w:r>
          </w:p>
        </w:tc>
      </w:tr>
      <w:tr w14:paraId="2AF2F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71F28726">
            <w:pPr>
              <w:spacing w:before="245"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6" w:type="dxa"/>
            <w:vAlign w:val="top"/>
          </w:tcPr>
          <w:p w14:paraId="78CBE97E">
            <w:pPr>
              <w:pStyle w:val="6"/>
              <w:spacing w:before="209" w:line="228" w:lineRule="auto"/>
              <w:ind w:left="525"/>
            </w:pPr>
            <w:r>
              <w:rPr>
                <w:spacing w:val="-5"/>
              </w:rPr>
              <w:t>自吸泵</w:t>
            </w:r>
          </w:p>
        </w:tc>
        <w:tc>
          <w:tcPr>
            <w:tcW w:w="1275" w:type="dxa"/>
            <w:vAlign w:val="top"/>
          </w:tcPr>
          <w:p w14:paraId="39115E3D">
            <w:pPr>
              <w:pStyle w:val="6"/>
              <w:spacing w:before="36" w:line="269" w:lineRule="exact"/>
              <w:ind w:left="109"/>
            </w:pPr>
            <w:r>
              <w:rPr>
                <w:spacing w:val="3"/>
              </w:rPr>
              <w:t>Q=200m</w:t>
            </w:r>
            <w:r>
              <w:rPr>
                <w:spacing w:val="3"/>
                <w:position w:val="10"/>
                <w:sz w:val="10"/>
                <w:szCs w:val="10"/>
              </w:rPr>
              <w:t>3</w:t>
            </w:r>
            <w:r>
              <w:rPr>
                <w:spacing w:val="3"/>
              </w:rPr>
              <w:t>/h，</w:t>
            </w:r>
          </w:p>
          <w:p w14:paraId="7D30F510">
            <w:pPr>
              <w:pStyle w:val="6"/>
              <w:spacing w:before="59" w:line="233" w:lineRule="auto"/>
              <w:ind w:left="372"/>
            </w:pPr>
            <w:r>
              <w:rPr>
                <w:spacing w:val="4"/>
              </w:rPr>
              <w:t>H=15m</w:t>
            </w:r>
          </w:p>
        </w:tc>
        <w:tc>
          <w:tcPr>
            <w:tcW w:w="709" w:type="dxa"/>
            <w:vAlign w:val="top"/>
          </w:tcPr>
          <w:p w14:paraId="2F233735">
            <w:pPr>
              <w:pStyle w:val="6"/>
              <w:spacing w:before="195" w:line="224" w:lineRule="auto"/>
              <w:ind w:left="167"/>
            </w:pPr>
            <w:r>
              <w:rPr>
                <w:spacing w:val="-7"/>
                <w:sz w:val="24"/>
                <w:szCs w:val="24"/>
              </w:rPr>
              <w:t>2</w:t>
            </w:r>
            <w:r>
              <w:rPr>
                <w:spacing w:val="-35"/>
                <w:sz w:val="24"/>
                <w:szCs w:val="24"/>
              </w:rPr>
              <w:t xml:space="preserve"> </w:t>
            </w:r>
            <w:r>
              <w:rPr>
                <w:spacing w:val="-7"/>
              </w:rPr>
              <w:t>台</w:t>
            </w:r>
          </w:p>
        </w:tc>
        <w:tc>
          <w:tcPr>
            <w:tcW w:w="672" w:type="dxa"/>
            <w:vAlign w:val="top"/>
          </w:tcPr>
          <w:p w14:paraId="59B5CB75">
            <w:pPr>
              <w:pStyle w:val="6"/>
              <w:spacing w:before="210" w:line="228" w:lineRule="auto"/>
              <w:ind w:left="129"/>
            </w:pPr>
            <w:r>
              <w:rPr>
                <w:spacing w:val="4"/>
              </w:rPr>
              <w:t>保留</w:t>
            </w:r>
          </w:p>
        </w:tc>
        <w:tc>
          <w:tcPr>
            <w:tcW w:w="1531" w:type="dxa"/>
            <w:vAlign w:val="top"/>
          </w:tcPr>
          <w:p w14:paraId="60C9C3E6">
            <w:pPr>
              <w:pStyle w:val="6"/>
              <w:spacing w:before="243" w:line="233" w:lineRule="auto"/>
              <w:ind w:left="716"/>
            </w:pPr>
            <w:r>
              <w:t>/</w:t>
            </w:r>
          </w:p>
        </w:tc>
        <w:tc>
          <w:tcPr>
            <w:tcW w:w="1481" w:type="dxa"/>
            <w:vAlign w:val="top"/>
          </w:tcPr>
          <w:p w14:paraId="2938498E">
            <w:pPr>
              <w:pStyle w:val="6"/>
              <w:spacing w:before="209" w:line="233" w:lineRule="auto"/>
              <w:ind w:left="692"/>
            </w:pPr>
            <w:r>
              <w:t>/</w:t>
            </w:r>
          </w:p>
        </w:tc>
        <w:tc>
          <w:tcPr>
            <w:tcW w:w="708" w:type="dxa"/>
            <w:vAlign w:val="top"/>
          </w:tcPr>
          <w:p w14:paraId="249C987B">
            <w:pPr>
              <w:spacing w:before="229"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C86D45C">
            <w:pPr>
              <w:spacing w:before="241"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C7351B3">
            <w:pPr>
              <w:pStyle w:val="6"/>
              <w:spacing w:before="209" w:line="228" w:lineRule="auto"/>
              <w:ind w:left="575"/>
            </w:pPr>
            <w:r>
              <w:rPr>
                <w:spacing w:val="-5"/>
              </w:rPr>
              <w:t>自吸泵</w:t>
            </w:r>
          </w:p>
        </w:tc>
        <w:tc>
          <w:tcPr>
            <w:tcW w:w="1558" w:type="dxa"/>
            <w:vAlign w:val="top"/>
          </w:tcPr>
          <w:p w14:paraId="01E347BC">
            <w:pPr>
              <w:pStyle w:val="6"/>
              <w:spacing w:before="36" w:line="269" w:lineRule="exact"/>
              <w:ind w:left="233"/>
            </w:pPr>
            <w:r>
              <w:rPr>
                <w:spacing w:val="3"/>
              </w:rPr>
              <w:t>Q=200m</w:t>
            </w:r>
            <w:r>
              <w:rPr>
                <w:spacing w:val="3"/>
                <w:position w:val="10"/>
                <w:sz w:val="10"/>
                <w:szCs w:val="10"/>
              </w:rPr>
              <w:t>3</w:t>
            </w:r>
            <w:r>
              <w:rPr>
                <w:spacing w:val="3"/>
              </w:rPr>
              <w:t>/h，</w:t>
            </w:r>
          </w:p>
          <w:p w14:paraId="20A73712">
            <w:pPr>
              <w:pStyle w:val="6"/>
              <w:spacing w:before="59" w:line="233" w:lineRule="auto"/>
              <w:ind w:left="518"/>
            </w:pPr>
            <w:r>
              <w:rPr>
                <w:spacing w:val="4"/>
              </w:rPr>
              <w:t>H=15m</w:t>
            </w:r>
          </w:p>
        </w:tc>
        <w:tc>
          <w:tcPr>
            <w:tcW w:w="709" w:type="dxa"/>
            <w:vAlign w:val="top"/>
          </w:tcPr>
          <w:p w14:paraId="06B40EEC">
            <w:pPr>
              <w:pStyle w:val="6"/>
              <w:spacing w:before="195" w:line="224" w:lineRule="auto"/>
              <w:ind w:left="171"/>
            </w:pPr>
            <w:r>
              <w:rPr>
                <w:spacing w:val="-7"/>
                <w:sz w:val="24"/>
                <w:szCs w:val="24"/>
              </w:rPr>
              <w:t>2</w:t>
            </w:r>
            <w:r>
              <w:rPr>
                <w:spacing w:val="-35"/>
                <w:sz w:val="24"/>
                <w:szCs w:val="24"/>
              </w:rPr>
              <w:t xml:space="preserve"> </w:t>
            </w:r>
            <w:r>
              <w:rPr>
                <w:spacing w:val="-7"/>
              </w:rPr>
              <w:t>台</w:t>
            </w:r>
          </w:p>
        </w:tc>
        <w:tc>
          <w:tcPr>
            <w:tcW w:w="887" w:type="dxa"/>
            <w:vAlign w:val="top"/>
          </w:tcPr>
          <w:p w14:paraId="4D066472">
            <w:pPr>
              <w:pStyle w:val="6"/>
              <w:spacing w:before="210" w:line="228" w:lineRule="auto"/>
              <w:ind w:left="243"/>
            </w:pPr>
            <w:r>
              <w:rPr>
                <w:spacing w:val="2"/>
              </w:rPr>
              <w:t>原有</w:t>
            </w:r>
          </w:p>
        </w:tc>
      </w:tr>
      <w:tr w14:paraId="192B5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00BE9304">
            <w:pPr>
              <w:spacing w:before="16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06" w:type="dxa"/>
            <w:vAlign w:val="top"/>
          </w:tcPr>
          <w:p w14:paraId="649F048C">
            <w:pPr>
              <w:pStyle w:val="6"/>
              <w:spacing w:before="131" w:line="227" w:lineRule="auto"/>
              <w:ind w:left="387"/>
            </w:pPr>
            <w:r>
              <w:rPr>
                <w:spacing w:val="6"/>
              </w:rPr>
              <w:t>罗茨风机</w:t>
            </w:r>
          </w:p>
        </w:tc>
        <w:tc>
          <w:tcPr>
            <w:tcW w:w="1275" w:type="dxa"/>
            <w:vAlign w:val="top"/>
          </w:tcPr>
          <w:p w14:paraId="75A9C252">
            <w:pPr>
              <w:pStyle w:val="6"/>
              <w:spacing w:before="116" w:line="267" w:lineRule="exact"/>
              <w:ind w:left="140"/>
            </w:pPr>
            <w:r>
              <w:rPr>
                <w:spacing w:val="5"/>
                <w:position w:val="1"/>
              </w:rPr>
              <w:t>Q=32m</w:t>
            </w:r>
            <w:r>
              <w:rPr>
                <w:spacing w:val="5"/>
                <w:position w:val="10"/>
                <w:sz w:val="10"/>
                <w:szCs w:val="10"/>
              </w:rPr>
              <w:t>3</w:t>
            </w:r>
            <w:r>
              <w:rPr>
                <w:spacing w:val="5"/>
                <w:position w:val="1"/>
              </w:rPr>
              <w:t>/</w:t>
            </w:r>
            <w:r>
              <w:rPr>
                <w:position w:val="1"/>
              </w:rPr>
              <w:t>min</w:t>
            </w:r>
          </w:p>
        </w:tc>
        <w:tc>
          <w:tcPr>
            <w:tcW w:w="709" w:type="dxa"/>
            <w:vAlign w:val="top"/>
          </w:tcPr>
          <w:p w14:paraId="780A298A">
            <w:pPr>
              <w:pStyle w:val="6"/>
              <w:spacing w:before="116" w:line="224" w:lineRule="auto"/>
              <w:ind w:left="167"/>
            </w:pPr>
            <w:r>
              <w:rPr>
                <w:spacing w:val="-7"/>
                <w:sz w:val="24"/>
                <w:szCs w:val="24"/>
              </w:rPr>
              <w:t>2</w:t>
            </w:r>
            <w:r>
              <w:rPr>
                <w:spacing w:val="-35"/>
                <w:sz w:val="24"/>
                <w:szCs w:val="24"/>
              </w:rPr>
              <w:t xml:space="preserve"> </w:t>
            </w:r>
            <w:r>
              <w:rPr>
                <w:spacing w:val="-7"/>
              </w:rPr>
              <w:t>台</w:t>
            </w:r>
          </w:p>
        </w:tc>
        <w:tc>
          <w:tcPr>
            <w:tcW w:w="672" w:type="dxa"/>
            <w:vAlign w:val="top"/>
          </w:tcPr>
          <w:p w14:paraId="3184829F">
            <w:pPr>
              <w:pStyle w:val="6"/>
              <w:spacing w:before="131" w:line="228" w:lineRule="auto"/>
              <w:ind w:left="129"/>
            </w:pPr>
            <w:r>
              <w:rPr>
                <w:spacing w:val="4"/>
              </w:rPr>
              <w:t>保留</w:t>
            </w:r>
          </w:p>
        </w:tc>
        <w:tc>
          <w:tcPr>
            <w:tcW w:w="1531" w:type="dxa"/>
            <w:vAlign w:val="top"/>
          </w:tcPr>
          <w:p w14:paraId="0DC038A6">
            <w:pPr>
              <w:pStyle w:val="6"/>
              <w:spacing w:before="164" w:line="233" w:lineRule="auto"/>
              <w:ind w:left="716"/>
            </w:pPr>
            <w:r>
              <w:t>/</w:t>
            </w:r>
          </w:p>
        </w:tc>
        <w:tc>
          <w:tcPr>
            <w:tcW w:w="1481" w:type="dxa"/>
            <w:vAlign w:val="top"/>
          </w:tcPr>
          <w:p w14:paraId="35E0A265">
            <w:pPr>
              <w:pStyle w:val="6"/>
              <w:spacing w:before="130" w:line="233" w:lineRule="auto"/>
              <w:ind w:left="692"/>
            </w:pPr>
            <w:r>
              <w:t>/</w:t>
            </w:r>
          </w:p>
        </w:tc>
        <w:tc>
          <w:tcPr>
            <w:tcW w:w="708" w:type="dxa"/>
            <w:vAlign w:val="top"/>
          </w:tcPr>
          <w:p w14:paraId="2C17EA04">
            <w:pPr>
              <w:spacing w:before="15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32377464">
            <w:pPr>
              <w:spacing w:before="16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573AE7F">
            <w:pPr>
              <w:pStyle w:val="6"/>
              <w:spacing w:before="131" w:line="227" w:lineRule="auto"/>
              <w:ind w:left="436"/>
            </w:pPr>
            <w:r>
              <w:rPr>
                <w:spacing w:val="6"/>
              </w:rPr>
              <w:t>罗茨风机</w:t>
            </w:r>
          </w:p>
        </w:tc>
        <w:tc>
          <w:tcPr>
            <w:tcW w:w="1558" w:type="dxa"/>
            <w:vAlign w:val="top"/>
          </w:tcPr>
          <w:p w14:paraId="01F749BA">
            <w:pPr>
              <w:pStyle w:val="6"/>
              <w:spacing w:before="116" w:line="267" w:lineRule="exact"/>
              <w:ind w:left="286"/>
            </w:pPr>
            <w:r>
              <w:rPr>
                <w:spacing w:val="5"/>
                <w:position w:val="1"/>
              </w:rPr>
              <w:t>Q=32m</w:t>
            </w:r>
            <w:r>
              <w:rPr>
                <w:spacing w:val="5"/>
                <w:position w:val="10"/>
                <w:sz w:val="10"/>
                <w:szCs w:val="10"/>
              </w:rPr>
              <w:t>3</w:t>
            </w:r>
            <w:r>
              <w:rPr>
                <w:spacing w:val="5"/>
                <w:position w:val="1"/>
              </w:rPr>
              <w:t>/</w:t>
            </w:r>
            <w:r>
              <w:rPr>
                <w:position w:val="1"/>
              </w:rPr>
              <w:t>min</w:t>
            </w:r>
          </w:p>
        </w:tc>
        <w:tc>
          <w:tcPr>
            <w:tcW w:w="709" w:type="dxa"/>
            <w:vAlign w:val="top"/>
          </w:tcPr>
          <w:p w14:paraId="1659C664">
            <w:pPr>
              <w:pStyle w:val="6"/>
              <w:spacing w:before="116" w:line="224" w:lineRule="auto"/>
              <w:ind w:left="171"/>
            </w:pPr>
            <w:r>
              <w:rPr>
                <w:spacing w:val="-7"/>
                <w:sz w:val="24"/>
                <w:szCs w:val="24"/>
              </w:rPr>
              <w:t>2</w:t>
            </w:r>
            <w:r>
              <w:rPr>
                <w:spacing w:val="-35"/>
                <w:sz w:val="24"/>
                <w:szCs w:val="24"/>
              </w:rPr>
              <w:t xml:space="preserve"> </w:t>
            </w:r>
            <w:r>
              <w:rPr>
                <w:spacing w:val="-7"/>
              </w:rPr>
              <w:t>台</w:t>
            </w:r>
          </w:p>
        </w:tc>
        <w:tc>
          <w:tcPr>
            <w:tcW w:w="887" w:type="dxa"/>
            <w:vAlign w:val="top"/>
          </w:tcPr>
          <w:p w14:paraId="231822BD">
            <w:pPr>
              <w:pStyle w:val="6"/>
              <w:spacing w:before="131" w:line="228" w:lineRule="auto"/>
              <w:ind w:left="243"/>
            </w:pPr>
            <w:r>
              <w:rPr>
                <w:spacing w:val="2"/>
              </w:rPr>
              <w:t>原有</w:t>
            </w:r>
          </w:p>
        </w:tc>
      </w:tr>
      <w:tr w14:paraId="3AA2E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4C8F4F76">
            <w:pPr>
              <w:spacing w:before="16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06" w:type="dxa"/>
            <w:vAlign w:val="top"/>
          </w:tcPr>
          <w:p w14:paraId="7767AEF5">
            <w:pPr>
              <w:pStyle w:val="6"/>
              <w:spacing w:before="133" w:line="227" w:lineRule="auto"/>
              <w:ind w:left="278"/>
            </w:pPr>
            <w:r>
              <w:rPr>
                <w:spacing w:val="8"/>
              </w:rPr>
              <w:t>潜水搅拌机</w:t>
            </w:r>
          </w:p>
        </w:tc>
        <w:tc>
          <w:tcPr>
            <w:tcW w:w="1275" w:type="dxa"/>
            <w:vAlign w:val="top"/>
          </w:tcPr>
          <w:p w14:paraId="060247A6">
            <w:pPr>
              <w:pStyle w:val="6"/>
              <w:spacing w:before="132" w:line="233" w:lineRule="auto"/>
              <w:ind w:left="588"/>
            </w:pPr>
            <w:r>
              <w:t>/</w:t>
            </w:r>
          </w:p>
        </w:tc>
        <w:tc>
          <w:tcPr>
            <w:tcW w:w="709" w:type="dxa"/>
            <w:vAlign w:val="top"/>
          </w:tcPr>
          <w:p w14:paraId="34FA97CB">
            <w:pPr>
              <w:pStyle w:val="6"/>
              <w:spacing w:before="118" w:line="224" w:lineRule="auto"/>
              <w:ind w:left="182"/>
            </w:pPr>
            <w:r>
              <w:rPr>
                <w:spacing w:val="-14"/>
                <w:sz w:val="24"/>
                <w:szCs w:val="24"/>
              </w:rPr>
              <w:t>1</w:t>
            </w:r>
            <w:r>
              <w:rPr>
                <w:spacing w:val="-36"/>
                <w:sz w:val="24"/>
                <w:szCs w:val="24"/>
              </w:rPr>
              <w:t xml:space="preserve"> </w:t>
            </w:r>
            <w:r>
              <w:rPr>
                <w:spacing w:val="-14"/>
              </w:rPr>
              <w:t>台</w:t>
            </w:r>
          </w:p>
        </w:tc>
        <w:tc>
          <w:tcPr>
            <w:tcW w:w="672" w:type="dxa"/>
            <w:vAlign w:val="top"/>
          </w:tcPr>
          <w:p w14:paraId="3B69ED8B">
            <w:pPr>
              <w:pStyle w:val="6"/>
              <w:spacing w:before="133" w:line="228" w:lineRule="auto"/>
              <w:ind w:left="129"/>
            </w:pPr>
            <w:r>
              <w:rPr>
                <w:spacing w:val="4"/>
              </w:rPr>
              <w:t>保留</w:t>
            </w:r>
          </w:p>
        </w:tc>
        <w:tc>
          <w:tcPr>
            <w:tcW w:w="1531" w:type="dxa"/>
            <w:vAlign w:val="top"/>
          </w:tcPr>
          <w:p w14:paraId="266D65D1">
            <w:pPr>
              <w:pStyle w:val="6"/>
              <w:spacing w:before="164" w:line="233" w:lineRule="auto"/>
              <w:ind w:left="716"/>
            </w:pPr>
            <w:r>
              <w:t>/</w:t>
            </w:r>
          </w:p>
        </w:tc>
        <w:tc>
          <w:tcPr>
            <w:tcW w:w="1481" w:type="dxa"/>
            <w:vAlign w:val="top"/>
          </w:tcPr>
          <w:p w14:paraId="09E56632">
            <w:pPr>
              <w:pStyle w:val="6"/>
              <w:spacing w:before="132" w:line="233" w:lineRule="auto"/>
              <w:ind w:left="692"/>
            </w:pPr>
            <w:r>
              <w:t>/</w:t>
            </w:r>
          </w:p>
        </w:tc>
        <w:tc>
          <w:tcPr>
            <w:tcW w:w="708" w:type="dxa"/>
            <w:vAlign w:val="top"/>
          </w:tcPr>
          <w:p w14:paraId="1C08DF10">
            <w:pPr>
              <w:spacing w:before="15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1205640B">
            <w:pPr>
              <w:spacing w:before="16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D3142E5">
            <w:pPr>
              <w:pStyle w:val="6"/>
              <w:spacing w:before="133" w:line="227" w:lineRule="auto"/>
              <w:ind w:left="331"/>
            </w:pPr>
            <w:r>
              <w:rPr>
                <w:spacing w:val="8"/>
              </w:rPr>
              <w:t>潜水搅拌机</w:t>
            </w:r>
          </w:p>
        </w:tc>
        <w:tc>
          <w:tcPr>
            <w:tcW w:w="1558" w:type="dxa"/>
            <w:vAlign w:val="top"/>
          </w:tcPr>
          <w:p w14:paraId="36DDB5F2">
            <w:pPr>
              <w:pStyle w:val="6"/>
              <w:spacing w:before="132" w:line="233" w:lineRule="auto"/>
              <w:ind w:left="733"/>
            </w:pPr>
            <w:r>
              <w:t>/</w:t>
            </w:r>
          </w:p>
        </w:tc>
        <w:tc>
          <w:tcPr>
            <w:tcW w:w="709" w:type="dxa"/>
            <w:vAlign w:val="top"/>
          </w:tcPr>
          <w:p w14:paraId="0BC4A03A">
            <w:pPr>
              <w:pStyle w:val="6"/>
              <w:spacing w:before="118"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0E547A7D">
            <w:pPr>
              <w:pStyle w:val="6"/>
              <w:spacing w:before="133" w:line="228" w:lineRule="auto"/>
              <w:ind w:left="243"/>
            </w:pPr>
            <w:r>
              <w:rPr>
                <w:spacing w:val="2"/>
              </w:rPr>
              <w:t>原有</w:t>
            </w:r>
          </w:p>
        </w:tc>
      </w:tr>
      <w:tr w14:paraId="34D25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276E3848">
            <w:pPr>
              <w:spacing w:before="16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06" w:type="dxa"/>
            <w:vAlign w:val="top"/>
          </w:tcPr>
          <w:p w14:paraId="13095FA1">
            <w:pPr>
              <w:pStyle w:val="6"/>
              <w:spacing w:before="132" w:line="227" w:lineRule="auto"/>
              <w:ind w:left="177"/>
            </w:pPr>
            <w:r>
              <w:rPr>
                <w:spacing w:val="8"/>
              </w:rPr>
              <w:t>反应池搅拌机</w:t>
            </w:r>
          </w:p>
        </w:tc>
        <w:tc>
          <w:tcPr>
            <w:tcW w:w="1275" w:type="dxa"/>
            <w:vAlign w:val="top"/>
          </w:tcPr>
          <w:p w14:paraId="6969E75A">
            <w:pPr>
              <w:pStyle w:val="6"/>
              <w:spacing w:before="132" w:line="233" w:lineRule="auto"/>
              <w:ind w:left="588"/>
            </w:pPr>
            <w:r>
              <w:t>/</w:t>
            </w:r>
          </w:p>
        </w:tc>
        <w:tc>
          <w:tcPr>
            <w:tcW w:w="709" w:type="dxa"/>
            <w:vAlign w:val="top"/>
          </w:tcPr>
          <w:p w14:paraId="0CED2F18">
            <w:pPr>
              <w:pStyle w:val="6"/>
              <w:spacing w:before="118" w:line="224" w:lineRule="auto"/>
              <w:ind w:left="129"/>
            </w:pPr>
            <w:r>
              <w:rPr>
                <w:spacing w:val="-10"/>
                <w:sz w:val="24"/>
                <w:szCs w:val="24"/>
              </w:rPr>
              <w:t>10</w:t>
            </w:r>
            <w:r>
              <w:rPr>
                <w:spacing w:val="-51"/>
                <w:sz w:val="24"/>
                <w:szCs w:val="24"/>
              </w:rPr>
              <w:t xml:space="preserve"> </w:t>
            </w:r>
            <w:r>
              <w:rPr>
                <w:spacing w:val="-10"/>
              </w:rPr>
              <w:t>台</w:t>
            </w:r>
          </w:p>
        </w:tc>
        <w:tc>
          <w:tcPr>
            <w:tcW w:w="672" w:type="dxa"/>
            <w:vAlign w:val="top"/>
          </w:tcPr>
          <w:p w14:paraId="5AA34DCC">
            <w:pPr>
              <w:pStyle w:val="6"/>
              <w:spacing w:before="133" w:line="228" w:lineRule="auto"/>
              <w:ind w:left="129"/>
            </w:pPr>
            <w:r>
              <w:rPr>
                <w:spacing w:val="4"/>
              </w:rPr>
              <w:t>保留</w:t>
            </w:r>
          </w:p>
        </w:tc>
        <w:tc>
          <w:tcPr>
            <w:tcW w:w="1531" w:type="dxa"/>
            <w:vAlign w:val="top"/>
          </w:tcPr>
          <w:p w14:paraId="61C6DC24">
            <w:pPr>
              <w:pStyle w:val="6"/>
              <w:spacing w:before="166" w:line="233" w:lineRule="auto"/>
              <w:ind w:left="716"/>
            </w:pPr>
            <w:r>
              <w:t>/</w:t>
            </w:r>
          </w:p>
        </w:tc>
        <w:tc>
          <w:tcPr>
            <w:tcW w:w="1481" w:type="dxa"/>
            <w:vAlign w:val="top"/>
          </w:tcPr>
          <w:p w14:paraId="28CBBFA8">
            <w:pPr>
              <w:pStyle w:val="6"/>
              <w:spacing w:before="132" w:line="233" w:lineRule="auto"/>
              <w:ind w:left="692"/>
            </w:pPr>
            <w:r>
              <w:t>/</w:t>
            </w:r>
          </w:p>
        </w:tc>
        <w:tc>
          <w:tcPr>
            <w:tcW w:w="708" w:type="dxa"/>
            <w:vAlign w:val="top"/>
          </w:tcPr>
          <w:p w14:paraId="50E60E0A">
            <w:pPr>
              <w:spacing w:before="152"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3F480FD8">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36BDCEC">
            <w:pPr>
              <w:pStyle w:val="6"/>
              <w:spacing w:before="132" w:line="227" w:lineRule="auto"/>
              <w:ind w:left="227"/>
            </w:pPr>
            <w:r>
              <w:rPr>
                <w:spacing w:val="8"/>
              </w:rPr>
              <w:t>反应池搅拌机</w:t>
            </w:r>
          </w:p>
        </w:tc>
        <w:tc>
          <w:tcPr>
            <w:tcW w:w="1558" w:type="dxa"/>
            <w:vAlign w:val="top"/>
          </w:tcPr>
          <w:p w14:paraId="4A10F571">
            <w:pPr>
              <w:pStyle w:val="6"/>
              <w:spacing w:before="132" w:line="233" w:lineRule="auto"/>
              <w:ind w:left="733"/>
            </w:pPr>
            <w:r>
              <w:t>/</w:t>
            </w:r>
          </w:p>
        </w:tc>
        <w:tc>
          <w:tcPr>
            <w:tcW w:w="709" w:type="dxa"/>
            <w:vAlign w:val="top"/>
          </w:tcPr>
          <w:p w14:paraId="229DF3E3">
            <w:pPr>
              <w:pStyle w:val="6"/>
              <w:spacing w:before="118" w:line="224" w:lineRule="auto"/>
              <w:ind w:left="133"/>
            </w:pPr>
            <w:r>
              <w:rPr>
                <w:spacing w:val="-10"/>
                <w:sz w:val="24"/>
                <w:szCs w:val="24"/>
              </w:rPr>
              <w:t>10</w:t>
            </w:r>
            <w:r>
              <w:rPr>
                <w:spacing w:val="-51"/>
                <w:sz w:val="24"/>
                <w:szCs w:val="24"/>
              </w:rPr>
              <w:t xml:space="preserve"> </w:t>
            </w:r>
            <w:r>
              <w:rPr>
                <w:spacing w:val="-10"/>
              </w:rPr>
              <w:t>台</w:t>
            </w:r>
          </w:p>
        </w:tc>
        <w:tc>
          <w:tcPr>
            <w:tcW w:w="887" w:type="dxa"/>
            <w:vAlign w:val="top"/>
          </w:tcPr>
          <w:p w14:paraId="1D1C1D87">
            <w:pPr>
              <w:pStyle w:val="6"/>
              <w:spacing w:before="133" w:line="228" w:lineRule="auto"/>
              <w:ind w:left="243"/>
            </w:pPr>
            <w:r>
              <w:rPr>
                <w:spacing w:val="2"/>
              </w:rPr>
              <w:t>原有</w:t>
            </w:r>
          </w:p>
        </w:tc>
      </w:tr>
      <w:tr w14:paraId="1173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6D8001C7">
            <w:pPr>
              <w:spacing w:before="171"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06" w:type="dxa"/>
            <w:vAlign w:val="top"/>
          </w:tcPr>
          <w:p w14:paraId="505FD9A6">
            <w:pPr>
              <w:pStyle w:val="6"/>
              <w:spacing w:before="132" w:line="227" w:lineRule="auto"/>
              <w:ind w:left="177"/>
            </w:pPr>
            <w:r>
              <w:rPr>
                <w:spacing w:val="8"/>
              </w:rPr>
              <w:t>泵吸式刮泥机</w:t>
            </w:r>
          </w:p>
        </w:tc>
        <w:tc>
          <w:tcPr>
            <w:tcW w:w="1275" w:type="dxa"/>
            <w:vAlign w:val="top"/>
          </w:tcPr>
          <w:p w14:paraId="42044C4A">
            <w:pPr>
              <w:pStyle w:val="6"/>
              <w:spacing w:before="132" w:line="233" w:lineRule="auto"/>
              <w:ind w:left="588"/>
            </w:pPr>
            <w:r>
              <w:t>/</w:t>
            </w:r>
          </w:p>
        </w:tc>
        <w:tc>
          <w:tcPr>
            <w:tcW w:w="709" w:type="dxa"/>
            <w:vAlign w:val="top"/>
          </w:tcPr>
          <w:p w14:paraId="7A4ADAAC">
            <w:pPr>
              <w:pStyle w:val="6"/>
              <w:spacing w:before="118" w:line="224" w:lineRule="auto"/>
              <w:ind w:left="182"/>
            </w:pPr>
            <w:r>
              <w:rPr>
                <w:spacing w:val="-14"/>
                <w:sz w:val="24"/>
                <w:szCs w:val="24"/>
              </w:rPr>
              <w:t>1</w:t>
            </w:r>
            <w:r>
              <w:rPr>
                <w:spacing w:val="-36"/>
                <w:sz w:val="24"/>
                <w:szCs w:val="24"/>
              </w:rPr>
              <w:t xml:space="preserve"> </w:t>
            </w:r>
            <w:r>
              <w:rPr>
                <w:spacing w:val="-14"/>
              </w:rPr>
              <w:t>台</w:t>
            </w:r>
          </w:p>
        </w:tc>
        <w:tc>
          <w:tcPr>
            <w:tcW w:w="672" w:type="dxa"/>
            <w:vAlign w:val="top"/>
          </w:tcPr>
          <w:p w14:paraId="1F9286DC">
            <w:pPr>
              <w:pStyle w:val="6"/>
              <w:spacing w:before="132" w:line="228" w:lineRule="auto"/>
              <w:ind w:left="129"/>
            </w:pPr>
            <w:r>
              <w:rPr>
                <w:spacing w:val="4"/>
              </w:rPr>
              <w:t>保留</w:t>
            </w:r>
          </w:p>
        </w:tc>
        <w:tc>
          <w:tcPr>
            <w:tcW w:w="1531" w:type="dxa"/>
            <w:vAlign w:val="top"/>
          </w:tcPr>
          <w:p w14:paraId="7D6DB724">
            <w:pPr>
              <w:pStyle w:val="6"/>
              <w:spacing w:before="165" w:line="233" w:lineRule="auto"/>
              <w:ind w:left="716"/>
            </w:pPr>
            <w:r>
              <w:t>/</w:t>
            </w:r>
          </w:p>
        </w:tc>
        <w:tc>
          <w:tcPr>
            <w:tcW w:w="1481" w:type="dxa"/>
            <w:vAlign w:val="top"/>
          </w:tcPr>
          <w:p w14:paraId="33FB06C0">
            <w:pPr>
              <w:pStyle w:val="6"/>
              <w:spacing w:before="132" w:line="233" w:lineRule="auto"/>
              <w:ind w:left="692"/>
            </w:pPr>
            <w:r>
              <w:t>/</w:t>
            </w:r>
          </w:p>
        </w:tc>
        <w:tc>
          <w:tcPr>
            <w:tcW w:w="708" w:type="dxa"/>
            <w:vAlign w:val="top"/>
          </w:tcPr>
          <w:p w14:paraId="3828F8B4">
            <w:pPr>
              <w:spacing w:before="15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0F4B5E5F">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03203407">
            <w:pPr>
              <w:pStyle w:val="6"/>
              <w:spacing w:before="132" w:line="227" w:lineRule="auto"/>
              <w:ind w:left="227"/>
            </w:pPr>
            <w:r>
              <w:rPr>
                <w:spacing w:val="8"/>
              </w:rPr>
              <w:t>泵吸式刮泥机</w:t>
            </w:r>
          </w:p>
        </w:tc>
        <w:tc>
          <w:tcPr>
            <w:tcW w:w="1558" w:type="dxa"/>
            <w:vAlign w:val="top"/>
          </w:tcPr>
          <w:p w14:paraId="750A5A31">
            <w:pPr>
              <w:pStyle w:val="6"/>
              <w:spacing w:before="132" w:line="233" w:lineRule="auto"/>
              <w:ind w:left="733"/>
            </w:pPr>
            <w:r>
              <w:t>/</w:t>
            </w:r>
          </w:p>
        </w:tc>
        <w:tc>
          <w:tcPr>
            <w:tcW w:w="709" w:type="dxa"/>
            <w:vAlign w:val="top"/>
          </w:tcPr>
          <w:p w14:paraId="7464975A">
            <w:pPr>
              <w:pStyle w:val="6"/>
              <w:spacing w:before="118"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16F8323F">
            <w:pPr>
              <w:pStyle w:val="6"/>
              <w:spacing w:before="132" w:line="228" w:lineRule="auto"/>
              <w:ind w:left="243"/>
            </w:pPr>
            <w:r>
              <w:rPr>
                <w:spacing w:val="2"/>
              </w:rPr>
              <w:t>原有</w:t>
            </w:r>
          </w:p>
        </w:tc>
      </w:tr>
      <w:tr w14:paraId="3D25B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4142B00E">
            <w:pPr>
              <w:spacing w:before="24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06" w:type="dxa"/>
            <w:vAlign w:val="top"/>
          </w:tcPr>
          <w:p w14:paraId="0403C99F">
            <w:pPr>
              <w:pStyle w:val="6"/>
              <w:spacing w:before="211" w:line="227" w:lineRule="auto"/>
              <w:ind w:left="387"/>
            </w:pPr>
            <w:r>
              <w:rPr>
                <w:spacing w:val="6"/>
              </w:rPr>
              <w:t>溶气水泵</w:t>
            </w:r>
          </w:p>
        </w:tc>
        <w:tc>
          <w:tcPr>
            <w:tcW w:w="1275" w:type="dxa"/>
            <w:vAlign w:val="top"/>
          </w:tcPr>
          <w:p w14:paraId="3B1AB812">
            <w:pPr>
              <w:pStyle w:val="6"/>
              <w:spacing w:before="38" w:line="269" w:lineRule="exact"/>
              <w:ind w:left="140"/>
            </w:pPr>
            <w:r>
              <w:rPr>
                <w:spacing w:val="3"/>
              </w:rPr>
              <w:t>Q=45m</w:t>
            </w:r>
            <w:r>
              <w:rPr>
                <w:spacing w:val="3"/>
                <w:position w:val="10"/>
                <w:sz w:val="10"/>
                <w:szCs w:val="10"/>
              </w:rPr>
              <w:t>3</w:t>
            </w:r>
            <w:r>
              <w:rPr>
                <w:spacing w:val="3"/>
              </w:rPr>
              <w:t>/h，</w:t>
            </w:r>
          </w:p>
          <w:p w14:paraId="11E29DA3">
            <w:pPr>
              <w:pStyle w:val="6"/>
              <w:spacing w:before="60" w:line="231" w:lineRule="auto"/>
              <w:ind w:left="372"/>
            </w:pPr>
            <w:r>
              <w:rPr>
                <w:spacing w:val="4"/>
              </w:rPr>
              <w:t>H=40m</w:t>
            </w:r>
          </w:p>
        </w:tc>
        <w:tc>
          <w:tcPr>
            <w:tcW w:w="709" w:type="dxa"/>
            <w:vAlign w:val="top"/>
          </w:tcPr>
          <w:p w14:paraId="1C38A175">
            <w:pPr>
              <w:pStyle w:val="6"/>
              <w:spacing w:before="196" w:line="224" w:lineRule="auto"/>
              <w:ind w:left="169"/>
            </w:pPr>
            <w:r>
              <w:rPr>
                <w:spacing w:val="-8"/>
                <w:sz w:val="24"/>
                <w:szCs w:val="24"/>
              </w:rPr>
              <w:t>3</w:t>
            </w:r>
            <w:r>
              <w:rPr>
                <w:spacing w:val="-35"/>
                <w:sz w:val="24"/>
                <w:szCs w:val="24"/>
              </w:rPr>
              <w:t xml:space="preserve"> </w:t>
            </w:r>
            <w:r>
              <w:rPr>
                <w:spacing w:val="-8"/>
              </w:rPr>
              <w:t>台</w:t>
            </w:r>
          </w:p>
        </w:tc>
        <w:tc>
          <w:tcPr>
            <w:tcW w:w="672" w:type="dxa"/>
            <w:vAlign w:val="top"/>
          </w:tcPr>
          <w:p w14:paraId="31CD7D8E">
            <w:pPr>
              <w:pStyle w:val="6"/>
              <w:spacing w:before="211" w:line="228" w:lineRule="auto"/>
              <w:ind w:left="129"/>
            </w:pPr>
            <w:r>
              <w:rPr>
                <w:spacing w:val="4"/>
              </w:rPr>
              <w:t>保留</w:t>
            </w:r>
          </w:p>
        </w:tc>
        <w:tc>
          <w:tcPr>
            <w:tcW w:w="1531" w:type="dxa"/>
            <w:vAlign w:val="top"/>
          </w:tcPr>
          <w:p w14:paraId="3269BAE2">
            <w:pPr>
              <w:pStyle w:val="6"/>
              <w:spacing w:before="242" w:line="233" w:lineRule="auto"/>
              <w:ind w:left="716"/>
            </w:pPr>
            <w:r>
              <w:t>/</w:t>
            </w:r>
          </w:p>
        </w:tc>
        <w:tc>
          <w:tcPr>
            <w:tcW w:w="1481" w:type="dxa"/>
            <w:vAlign w:val="top"/>
          </w:tcPr>
          <w:p w14:paraId="44E3E7AD">
            <w:pPr>
              <w:pStyle w:val="6"/>
              <w:spacing w:before="210" w:line="233" w:lineRule="auto"/>
              <w:ind w:left="692"/>
            </w:pPr>
            <w:r>
              <w:t>/</w:t>
            </w:r>
          </w:p>
        </w:tc>
        <w:tc>
          <w:tcPr>
            <w:tcW w:w="708" w:type="dxa"/>
            <w:vAlign w:val="top"/>
          </w:tcPr>
          <w:p w14:paraId="542BF8D4">
            <w:pPr>
              <w:spacing w:before="231"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1FB725A5">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6893AFD">
            <w:pPr>
              <w:pStyle w:val="6"/>
              <w:spacing w:before="211" w:line="227" w:lineRule="auto"/>
              <w:ind w:left="437"/>
            </w:pPr>
            <w:r>
              <w:rPr>
                <w:spacing w:val="6"/>
              </w:rPr>
              <w:t>溶气水泵</w:t>
            </w:r>
          </w:p>
        </w:tc>
        <w:tc>
          <w:tcPr>
            <w:tcW w:w="1558" w:type="dxa"/>
            <w:vAlign w:val="top"/>
          </w:tcPr>
          <w:p w14:paraId="36C8C5B8">
            <w:pPr>
              <w:pStyle w:val="6"/>
              <w:spacing w:before="38" w:line="269" w:lineRule="exact"/>
              <w:ind w:left="286"/>
            </w:pPr>
            <w:r>
              <w:rPr>
                <w:spacing w:val="3"/>
              </w:rPr>
              <w:t>Q=45m</w:t>
            </w:r>
            <w:r>
              <w:rPr>
                <w:spacing w:val="3"/>
                <w:position w:val="10"/>
                <w:sz w:val="10"/>
                <w:szCs w:val="10"/>
              </w:rPr>
              <w:t>3</w:t>
            </w:r>
            <w:r>
              <w:rPr>
                <w:spacing w:val="3"/>
              </w:rPr>
              <w:t>/h，</w:t>
            </w:r>
          </w:p>
          <w:p w14:paraId="29D48E21">
            <w:pPr>
              <w:pStyle w:val="6"/>
              <w:spacing w:before="60" w:line="231" w:lineRule="auto"/>
              <w:ind w:left="518"/>
            </w:pPr>
            <w:r>
              <w:rPr>
                <w:spacing w:val="4"/>
              </w:rPr>
              <w:t>H=40m</w:t>
            </w:r>
          </w:p>
        </w:tc>
        <w:tc>
          <w:tcPr>
            <w:tcW w:w="709" w:type="dxa"/>
            <w:vAlign w:val="top"/>
          </w:tcPr>
          <w:p w14:paraId="00F11E11">
            <w:pPr>
              <w:pStyle w:val="6"/>
              <w:spacing w:before="196"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093C2A1A">
            <w:pPr>
              <w:pStyle w:val="6"/>
              <w:spacing w:before="211" w:line="228" w:lineRule="auto"/>
              <w:ind w:left="243"/>
            </w:pPr>
            <w:r>
              <w:rPr>
                <w:spacing w:val="2"/>
              </w:rPr>
              <w:t>原有</w:t>
            </w:r>
          </w:p>
        </w:tc>
      </w:tr>
      <w:tr w14:paraId="11E39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08CF43E2">
            <w:pPr>
              <w:spacing w:before="171" w:line="192"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06" w:type="dxa"/>
            <w:vAlign w:val="top"/>
          </w:tcPr>
          <w:p w14:paraId="74427178">
            <w:pPr>
              <w:pStyle w:val="6"/>
              <w:spacing w:before="132" w:line="227" w:lineRule="auto"/>
              <w:ind w:left="497"/>
            </w:pPr>
            <w:r>
              <w:rPr>
                <w:spacing w:val="4"/>
              </w:rPr>
              <w:t>空压机</w:t>
            </w:r>
          </w:p>
        </w:tc>
        <w:tc>
          <w:tcPr>
            <w:tcW w:w="1275" w:type="dxa"/>
            <w:vAlign w:val="top"/>
          </w:tcPr>
          <w:p w14:paraId="4FBE50C5">
            <w:pPr>
              <w:pStyle w:val="6"/>
              <w:spacing w:before="132" w:line="268" w:lineRule="exact"/>
              <w:ind w:left="372"/>
            </w:pPr>
            <w:r>
              <w:rPr>
                <w:spacing w:val="4"/>
                <w:position w:val="1"/>
              </w:rPr>
              <w:t>V-0.2</w:t>
            </w:r>
          </w:p>
        </w:tc>
        <w:tc>
          <w:tcPr>
            <w:tcW w:w="709" w:type="dxa"/>
            <w:vAlign w:val="top"/>
          </w:tcPr>
          <w:p w14:paraId="6AF9133B">
            <w:pPr>
              <w:pStyle w:val="6"/>
              <w:spacing w:before="118" w:line="224" w:lineRule="auto"/>
              <w:ind w:left="169"/>
            </w:pPr>
            <w:r>
              <w:rPr>
                <w:spacing w:val="-8"/>
                <w:sz w:val="24"/>
                <w:szCs w:val="24"/>
              </w:rPr>
              <w:t>3</w:t>
            </w:r>
            <w:r>
              <w:rPr>
                <w:spacing w:val="-35"/>
                <w:sz w:val="24"/>
                <w:szCs w:val="24"/>
              </w:rPr>
              <w:t xml:space="preserve"> </w:t>
            </w:r>
            <w:r>
              <w:rPr>
                <w:spacing w:val="-8"/>
              </w:rPr>
              <w:t>台</w:t>
            </w:r>
          </w:p>
        </w:tc>
        <w:tc>
          <w:tcPr>
            <w:tcW w:w="672" w:type="dxa"/>
            <w:vAlign w:val="top"/>
          </w:tcPr>
          <w:p w14:paraId="75D73D54">
            <w:pPr>
              <w:pStyle w:val="6"/>
              <w:spacing w:before="133" w:line="228" w:lineRule="auto"/>
              <w:ind w:left="129"/>
            </w:pPr>
            <w:r>
              <w:rPr>
                <w:spacing w:val="4"/>
              </w:rPr>
              <w:t>保留</w:t>
            </w:r>
          </w:p>
        </w:tc>
        <w:tc>
          <w:tcPr>
            <w:tcW w:w="1531" w:type="dxa"/>
            <w:vAlign w:val="top"/>
          </w:tcPr>
          <w:p w14:paraId="74E17F3C">
            <w:pPr>
              <w:pStyle w:val="6"/>
              <w:spacing w:before="165" w:line="233" w:lineRule="auto"/>
              <w:ind w:left="716"/>
            </w:pPr>
            <w:r>
              <w:t>/</w:t>
            </w:r>
          </w:p>
        </w:tc>
        <w:tc>
          <w:tcPr>
            <w:tcW w:w="1481" w:type="dxa"/>
            <w:vAlign w:val="top"/>
          </w:tcPr>
          <w:p w14:paraId="5780A114">
            <w:pPr>
              <w:pStyle w:val="6"/>
              <w:spacing w:before="132" w:line="233" w:lineRule="auto"/>
              <w:ind w:left="692"/>
            </w:pPr>
            <w:r>
              <w:t>/</w:t>
            </w:r>
          </w:p>
        </w:tc>
        <w:tc>
          <w:tcPr>
            <w:tcW w:w="708" w:type="dxa"/>
            <w:vAlign w:val="top"/>
          </w:tcPr>
          <w:p w14:paraId="061AA152">
            <w:pPr>
              <w:spacing w:before="155"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3A2666EF">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2F2CFB6">
            <w:pPr>
              <w:pStyle w:val="6"/>
              <w:spacing w:before="132" w:line="227" w:lineRule="auto"/>
              <w:ind w:left="547"/>
            </w:pPr>
            <w:r>
              <w:rPr>
                <w:spacing w:val="4"/>
              </w:rPr>
              <w:t>空压机</w:t>
            </w:r>
          </w:p>
        </w:tc>
        <w:tc>
          <w:tcPr>
            <w:tcW w:w="1558" w:type="dxa"/>
            <w:vAlign w:val="top"/>
          </w:tcPr>
          <w:p w14:paraId="24138FD0">
            <w:pPr>
              <w:pStyle w:val="6"/>
              <w:spacing w:before="132" w:line="268" w:lineRule="exact"/>
              <w:ind w:left="518"/>
            </w:pPr>
            <w:r>
              <w:rPr>
                <w:spacing w:val="4"/>
                <w:position w:val="1"/>
              </w:rPr>
              <w:t>V-0.2</w:t>
            </w:r>
          </w:p>
        </w:tc>
        <w:tc>
          <w:tcPr>
            <w:tcW w:w="709" w:type="dxa"/>
            <w:vAlign w:val="top"/>
          </w:tcPr>
          <w:p w14:paraId="16183F04">
            <w:pPr>
              <w:pStyle w:val="6"/>
              <w:spacing w:before="118"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6DF038B9">
            <w:pPr>
              <w:pStyle w:val="6"/>
              <w:spacing w:before="133" w:line="228" w:lineRule="auto"/>
              <w:ind w:left="243"/>
            </w:pPr>
            <w:r>
              <w:rPr>
                <w:spacing w:val="2"/>
              </w:rPr>
              <w:t>原有</w:t>
            </w:r>
          </w:p>
        </w:tc>
      </w:tr>
      <w:tr w14:paraId="383C1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2EF918BA">
            <w:pPr>
              <w:spacing w:before="16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06" w:type="dxa"/>
            <w:vAlign w:val="top"/>
          </w:tcPr>
          <w:p w14:paraId="766840ED">
            <w:pPr>
              <w:pStyle w:val="6"/>
              <w:spacing w:before="132" w:line="228" w:lineRule="auto"/>
              <w:ind w:left="384"/>
            </w:pPr>
            <w:r>
              <w:rPr>
                <w:spacing w:val="7"/>
              </w:rPr>
              <w:t>超滤装置</w:t>
            </w:r>
          </w:p>
        </w:tc>
        <w:tc>
          <w:tcPr>
            <w:tcW w:w="1275" w:type="dxa"/>
            <w:vAlign w:val="top"/>
          </w:tcPr>
          <w:p w14:paraId="133568E9">
            <w:pPr>
              <w:pStyle w:val="6"/>
              <w:spacing w:before="117" w:line="267" w:lineRule="exact"/>
              <w:ind w:left="244"/>
            </w:pPr>
            <w:r>
              <w:rPr>
                <w:spacing w:val="3"/>
                <w:position w:val="1"/>
              </w:rPr>
              <w:t>Q=50m</w:t>
            </w:r>
            <w:r>
              <w:rPr>
                <w:spacing w:val="3"/>
                <w:position w:val="10"/>
                <w:sz w:val="10"/>
                <w:szCs w:val="10"/>
              </w:rPr>
              <w:t>3</w:t>
            </w:r>
            <w:r>
              <w:rPr>
                <w:spacing w:val="3"/>
                <w:position w:val="1"/>
              </w:rPr>
              <w:t>/h</w:t>
            </w:r>
          </w:p>
        </w:tc>
        <w:tc>
          <w:tcPr>
            <w:tcW w:w="709" w:type="dxa"/>
            <w:vAlign w:val="top"/>
          </w:tcPr>
          <w:p w14:paraId="0583778D">
            <w:pPr>
              <w:pStyle w:val="6"/>
              <w:spacing w:before="117" w:line="218" w:lineRule="auto"/>
              <w:ind w:left="152"/>
              <w:rPr>
                <w:sz w:val="24"/>
                <w:szCs w:val="24"/>
              </w:rPr>
            </w:pPr>
            <w:r>
              <w:rPr>
                <w:spacing w:val="-8"/>
                <w:sz w:val="24"/>
                <w:szCs w:val="24"/>
              </w:rPr>
              <w:t>3</w:t>
            </w:r>
            <w:r>
              <w:rPr>
                <w:spacing w:val="-49"/>
                <w:sz w:val="24"/>
                <w:szCs w:val="24"/>
              </w:rPr>
              <w:t xml:space="preserve"> </w:t>
            </w:r>
            <w:r>
              <w:rPr>
                <w:spacing w:val="-8"/>
                <w:sz w:val="24"/>
                <w:szCs w:val="24"/>
              </w:rPr>
              <w:t>套</w:t>
            </w:r>
          </w:p>
        </w:tc>
        <w:tc>
          <w:tcPr>
            <w:tcW w:w="672" w:type="dxa"/>
            <w:vAlign w:val="top"/>
          </w:tcPr>
          <w:p w14:paraId="26F9A1CC">
            <w:pPr>
              <w:pStyle w:val="6"/>
              <w:spacing w:before="132" w:line="228" w:lineRule="auto"/>
              <w:ind w:left="129"/>
            </w:pPr>
            <w:r>
              <w:rPr>
                <w:spacing w:val="4"/>
              </w:rPr>
              <w:t>保留</w:t>
            </w:r>
          </w:p>
        </w:tc>
        <w:tc>
          <w:tcPr>
            <w:tcW w:w="1531" w:type="dxa"/>
            <w:vAlign w:val="top"/>
          </w:tcPr>
          <w:p w14:paraId="4E149281">
            <w:pPr>
              <w:pStyle w:val="6"/>
              <w:spacing w:before="165" w:line="233" w:lineRule="auto"/>
              <w:ind w:left="716"/>
            </w:pPr>
            <w:r>
              <w:t>/</w:t>
            </w:r>
          </w:p>
        </w:tc>
        <w:tc>
          <w:tcPr>
            <w:tcW w:w="1481" w:type="dxa"/>
            <w:vAlign w:val="top"/>
          </w:tcPr>
          <w:p w14:paraId="191E5952">
            <w:pPr>
              <w:pStyle w:val="6"/>
              <w:spacing w:before="131" w:line="233" w:lineRule="auto"/>
              <w:ind w:left="692"/>
            </w:pPr>
            <w:r>
              <w:t>/</w:t>
            </w:r>
          </w:p>
        </w:tc>
        <w:tc>
          <w:tcPr>
            <w:tcW w:w="708" w:type="dxa"/>
            <w:vAlign w:val="top"/>
          </w:tcPr>
          <w:p w14:paraId="32B70C8E">
            <w:pPr>
              <w:spacing w:before="15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389965DD">
            <w:pPr>
              <w:spacing w:before="164"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626780B9">
            <w:pPr>
              <w:pStyle w:val="6"/>
              <w:spacing w:before="132" w:line="228" w:lineRule="auto"/>
              <w:ind w:left="434"/>
            </w:pPr>
            <w:r>
              <w:rPr>
                <w:spacing w:val="7"/>
              </w:rPr>
              <w:t>超滤装置</w:t>
            </w:r>
          </w:p>
        </w:tc>
        <w:tc>
          <w:tcPr>
            <w:tcW w:w="1558" w:type="dxa"/>
            <w:vAlign w:val="top"/>
          </w:tcPr>
          <w:p w14:paraId="082D10E1">
            <w:pPr>
              <w:pStyle w:val="6"/>
              <w:spacing w:before="117" w:line="267" w:lineRule="exact"/>
              <w:ind w:left="389"/>
            </w:pPr>
            <w:r>
              <w:rPr>
                <w:spacing w:val="4"/>
                <w:position w:val="1"/>
              </w:rPr>
              <w:t>Q=50m</w:t>
            </w:r>
            <w:r>
              <w:rPr>
                <w:spacing w:val="4"/>
                <w:position w:val="10"/>
                <w:sz w:val="10"/>
                <w:szCs w:val="10"/>
              </w:rPr>
              <w:t>3</w:t>
            </w:r>
            <w:r>
              <w:rPr>
                <w:spacing w:val="4"/>
                <w:position w:val="1"/>
              </w:rPr>
              <w:t>/h</w:t>
            </w:r>
          </w:p>
        </w:tc>
        <w:tc>
          <w:tcPr>
            <w:tcW w:w="709" w:type="dxa"/>
            <w:vAlign w:val="top"/>
          </w:tcPr>
          <w:p w14:paraId="56F5DA90">
            <w:pPr>
              <w:pStyle w:val="6"/>
              <w:spacing w:before="117" w:line="218" w:lineRule="auto"/>
              <w:ind w:left="156"/>
              <w:rPr>
                <w:sz w:val="24"/>
                <w:szCs w:val="24"/>
              </w:rPr>
            </w:pPr>
            <w:r>
              <w:rPr>
                <w:spacing w:val="-8"/>
                <w:sz w:val="24"/>
                <w:szCs w:val="24"/>
              </w:rPr>
              <w:t>3</w:t>
            </w:r>
            <w:r>
              <w:rPr>
                <w:spacing w:val="-49"/>
                <w:sz w:val="24"/>
                <w:szCs w:val="24"/>
              </w:rPr>
              <w:t xml:space="preserve"> </w:t>
            </w:r>
            <w:r>
              <w:rPr>
                <w:spacing w:val="-8"/>
                <w:sz w:val="24"/>
                <w:szCs w:val="24"/>
              </w:rPr>
              <w:t>套</w:t>
            </w:r>
          </w:p>
        </w:tc>
        <w:tc>
          <w:tcPr>
            <w:tcW w:w="887" w:type="dxa"/>
            <w:vAlign w:val="top"/>
          </w:tcPr>
          <w:p w14:paraId="1AC14EA2">
            <w:pPr>
              <w:pStyle w:val="6"/>
              <w:spacing w:before="132" w:line="228" w:lineRule="auto"/>
              <w:ind w:left="243"/>
            </w:pPr>
            <w:r>
              <w:rPr>
                <w:spacing w:val="2"/>
              </w:rPr>
              <w:t>原有</w:t>
            </w:r>
          </w:p>
        </w:tc>
      </w:tr>
      <w:tr w14:paraId="7449A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7B7C1906">
            <w:pPr>
              <w:spacing w:before="246"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06" w:type="dxa"/>
            <w:vAlign w:val="top"/>
          </w:tcPr>
          <w:p w14:paraId="24FB4BDC">
            <w:pPr>
              <w:pStyle w:val="6"/>
              <w:spacing w:before="210" w:line="228" w:lineRule="auto"/>
              <w:ind w:left="278"/>
            </w:pPr>
            <w:r>
              <w:rPr>
                <w:spacing w:val="8"/>
              </w:rPr>
              <w:t>超滤反洗泵</w:t>
            </w:r>
          </w:p>
        </w:tc>
        <w:tc>
          <w:tcPr>
            <w:tcW w:w="1275" w:type="dxa"/>
            <w:vAlign w:val="top"/>
          </w:tcPr>
          <w:p w14:paraId="262DCC5A">
            <w:pPr>
              <w:pStyle w:val="6"/>
              <w:spacing w:before="37" w:line="270" w:lineRule="exact"/>
              <w:ind w:left="109"/>
            </w:pPr>
            <w:r>
              <w:rPr>
                <w:spacing w:val="3"/>
              </w:rPr>
              <w:t>Q=150m</w:t>
            </w:r>
            <w:r>
              <w:rPr>
                <w:spacing w:val="3"/>
                <w:position w:val="10"/>
                <w:sz w:val="10"/>
                <w:szCs w:val="10"/>
              </w:rPr>
              <w:t>3</w:t>
            </w:r>
            <w:r>
              <w:rPr>
                <w:spacing w:val="3"/>
              </w:rPr>
              <w:t>/h，</w:t>
            </w:r>
          </w:p>
          <w:p w14:paraId="796C7909">
            <w:pPr>
              <w:pStyle w:val="6"/>
              <w:spacing w:before="59" w:line="232" w:lineRule="auto"/>
              <w:ind w:left="372"/>
            </w:pPr>
            <w:r>
              <w:rPr>
                <w:spacing w:val="4"/>
              </w:rPr>
              <w:t>H=28m</w:t>
            </w:r>
          </w:p>
        </w:tc>
        <w:tc>
          <w:tcPr>
            <w:tcW w:w="709" w:type="dxa"/>
            <w:vAlign w:val="top"/>
          </w:tcPr>
          <w:p w14:paraId="7F907D1F">
            <w:pPr>
              <w:pStyle w:val="6"/>
              <w:spacing w:before="197" w:line="221" w:lineRule="auto"/>
              <w:ind w:left="150"/>
              <w:rPr>
                <w:sz w:val="24"/>
                <w:szCs w:val="24"/>
              </w:rPr>
            </w:pPr>
            <w:r>
              <w:rPr>
                <w:spacing w:val="-7"/>
                <w:sz w:val="24"/>
                <w:szCs w:val="24"/>
              </w:rPr>
              <w:t>2</w:t>
            </w:r>
            <w:r>
              <w:rPr>
                <w:spacing w:val="-32"/>
                <w:sz w:val="24"/>
                <w:szCs w:val="24"/>
              </w:rPr>
              <w:t xml:space="preserve"> </w:t>
            </w:r>
            <w:r>
              <w:rPr>
                <w:spacing w:val="-7"/>
                <w:sz w:val="24"/>
                <w:szCs w:val="24"/>
              </w:rPr>
              <w:t>台</w:t>
            </w:r>
          </w:p>
        </w:tc>
        <w:tc>
          <w:tcPr>
            <w:tcW w:w="672" w:type="dxa"/>
            <w:vAlign w:val="top"/>
          </w:tcPr>
          <w:p w14:paraId="73C752B2">
            <w:pPr>
              <w:pStyle w:val="6"/>
              <w:spacing w:before="211" w:line="228" w:lineRule="auto"/>
              <w:ind w:left="129"/>
            </w:pPr>
            <w:r>
              <w:rPr>
                <w:spacing w:val="4"/>
              </w:rPr>
              <w:t>保留</w:t>
            </w:r>
          </w:p>
        </w:tc>
        <w:tc>
          <w:tcPr>
            <w:tcW w:w="1531" w:type="dxa"/>
            <w:vAlign w:val="top"/>
          </w:tcPr>
          <w:p w14:paraId="02C8E689">
            <w:pPr>
              <w:pStyle w:val="6"/>
              <w:spacing w:before="244" w:line="233" w:lineRule="auto"/>
              <w:ind w:left="716"/>
            </w:pPr>
            <w:r>
              <w:t>/</w:t>
            </w:r>
          </w:p>
        </w:tc>
        <w:tc>
          <w:tcPr>
            <w:tcW w:w="1481" w:type="dxa"/>
            <w:vAlign w:val="top"/>
          </w:tcPr>
          <w:p w14:paraId="07834776">
            <w:pPr>
              <w:pStyle w:val="6"/>
              <w:spacing w:before="210" w:line="233" w:lineRule="auto"/>
              <w:ind w:left="692"/>
            </w:pPr>
            <w:r>
              <w:t>/</w:t>
            </w:r>
          </w:p>
        </w:tc>
        <w:tc>
          <w:tcPr>
            <w:tcW w:w="708" w:type="dxa"/>
            <w:vAlign w:val="top"/>
          </w:tcPr>
          <w:p w14:paraId="06F3E06E">
            <w:pPr>
              <w:spacing w:before="23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5B8E1CDD">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7C365CAE">
            <w:pPr>
              <w:pStyle w:val="6"/>
              <w:spacing w:before="210" w:line="228" w:lineRule="auto"/>
              <w:ind w:left="331"/>
            </w:pPr>
            <w:r>
              <w:rPr>
                <w:spacing w:val="8"/>
              </w:rPr>
              <w:t>超滤反洗泵</w:t>
            </w:r>
          </w:p>
        </w:tc>
        <w:tc>
          <w:tcPr>
            <w:tcW w:w="1558" w:type="dxa"/>
            <w:vAlign w:val="top"/>
          </w:tcPr>
          <w:p w14:paraId="398E641C">
            <w:pPr>
              <w:pStyle w:val="6"/>
              <w:spacing w:before="37" w:line="270" w:lineRule="exact"/>
              <w:ind w:left="233"/>
            </w:pPr>
            <w:r>
              <w:rPr>
                <w:spacing w:val="3"/>
              </w:rPr>
              <w:t>Q=150m</w:t>
            </w:r>
            <w:r>
              <w:rPr>
                <w:spacing w:val="3"/>
                <w:position w:val="10"/>
                <w:sz w:val="10"/>
                <w:szCs w:val="10"/>
              </w:rPr>
              <w:t>3</w:t>
            </w:r>
            <w:r>
              <w:rPr>
                <w:spacing w:val="3"/>
              </w:rPr>
              <w:t>/h，</w:t>
            </w:r>
          </w:p>
          <w:p w14:paraId="10A38A62">
            <w:pPr>
              <w:pStyle w:val="6"/>
              <w:spacing w:before="59" w:line="232" w:lineRule="auto"/>
              <w:ind w:left="518"/>
            </w:pPr>
            <w:r>
              <w:rPr>
                <w:spacing w:val="4"/>
              </w:rPr>
              <w:t>H=28m</w:t>
            </w:r>
          </w:p>
        </w:tc>
        <w:tc>
          <w:tcPr>
            <w:tcW w:w="709" w:type="dxa"/>
            <w:vAlign w:val="top"/>
          </w:tcPr>
          <w:p w14:paraId="4B785149">
            <w:pPr>
              <w:pStyle w:val="6"/>
              <w:spacing w:before="197" w:line="221" w:lineRule="auto"/>
              <w:ind w:left="154"/>
              <w:rPr>
                <w:sz w:val="24"/>
                <w:szCs w:val="24"/>
              </w:rPr>
            </w:pPr>
            <w:r>
              <w:rPr>
                <w:spacing w:val="-7"/>
                <w:sz w:val="24"/>
                <w:szCs w:val="24"/>
              </w:rPr>
              <w:t>2</w:t>
            </w:r>
            <w:r>
              <w:rPr>
                <w:spacing w:val="-32"/>
                <w:sz w:val="24"/>
                <w:szCs w:val="24"/>
              </w:rPr>
              <w:t xml:space="preserve"> </w:t>
            </w:r>
            <w:r>
              <w:rPr>
                <w:spacing w:val="-7"/>
                <w:sz w:val="24"/>
                <w:szCs w:val="24"/>
              </w:rPr>
              <w:t>台</w:t>
            </w:r>
          </w:p>
        </w:tc>
        <w:tc>
          <w:tcPr>
            <w:tcW w:w="887" w:type="dxa"/>
            <w:vAlign w:val="top"/>
          </w:tcPr>
          <w:p w14:paraId="55526035">
            <w:pPr>
              <w:pStyle w:val="6"/>
              <w:spacing w:before="211" w:line="228" w:lineRule="auto"/>
              <w:ind w:left="243"/>
            </w:pPr>
            <w:r>
              <w:rPr>
                <w:spacing w:val="2"/>
              </w:rPr>
              <w:t>原有</w:t>
            </w:r>
          </w:p>
        </w:tc>
      </w:tr>
      <w:tr w14:paraId="327DD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33" w:type="dxa"/>
            <w:vAlign w:val="top"/>
          </w:tcPr>
          <w:p w14:paraId="0BF68884">
            <w:pPr>
              <w:spacing w:before="24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06" w:type="dxa"/>
            <w:vAlign w:val="top"/>
          </w:tcPr>
          <w:p w14:paraId="7BBD034A">
            <w:pPr>
              <w:pStyle w:val="6"/>
              <w:spacing w:before="55" w:line="227" w:lineRule="auto"/>
              <w:ind w:left="183"/>
            </w:pPr>
            <w:r>
              <w:rPr>
                <w:spacing w:val="7"/>
              </w:rPr>
              <w:t>絮凝剂加药装</w:t>
            </w:r>
          </w:p>
          <w:p w14:paraId="59B81FDB">
            <w:pPr>
              <w:pStyle w:val="6"/>
              <w:spacing w:before="66" w:line="233" w:lineRule="auto"/>
              <w:ind w:left="698"/>
            </w:pPr>
            <w:r>
              <w:rPr>
                <w:spacing w:val="2"/>
              </w:rPr>
              <w:t>置</w:t>
            </w:r>
          </w:p>
        </w:tc>
        <w:tc>
          <w:tcPr>
            <w:tcW w:w="1275" w:type="dxa"/>
            <w:vAlign w:val="top"/>
          </w:tcPr>
          <w:p w14:paraId="7170DC8A">
            <w:pPr>
              <w:pStyle w:val="6"/>
              <w:spacing w:before="211" w:line="233" w:lineRule="auto"/>
              <w:ind w:left="588"/>
            </w:pPr>
            <w:r>
              <w:t>/</w:t>
            </w:r>
          </w:p>
        </w:tc>
        <w:tc>
          <w:tcPr>
            <w:tcW w:w="709" w:type="dxa"/>
            <w:vAlign w:val="top"/>
          </w:tcPr>
          <w:p w14:paraId="663295E9">
            <w:pPr>
              <w:pStyle w:val="6"/>
              <w:spacing w:before="196" w:line="218" w:lineRule="auto"/>
              <w:ind w:left="150"/>
              <w:rPr>
                <w:sz w:val="24"/>
                <w:szCs w:val="24"/>
              </w:rPr>
            </w:pPr>
            <w:r>
              <w:rPr>
                <w:spacing w:val="-7"/>
                <w:sz w:val="24"/>
                <w:szCs w:val="24"/>
              </w:rPr>
              <w:t>2</w:t>
            </w:r>
            <w:r>
              <w:rPr>
                <w:spacing w:val="-49"/>
                <w:sz w:val="24"/>
                <w:szCs w:val="24"/>
              </w:rPr>
              <w:t xml:space="preserve"> </w:t>
            </w:r>
            <w:r>
              <w:rPr>
                <w:spacing w:val="-7"/>
                <w:sz w:val="24"/>
                <w:szCs w:val="24"/>
              </w:rPr>
              <w:t>套</w:t>
            </w:r>
          </w:p>
        </w:tc>
        <w:tc>
          <w:tcPr>
            <w:tcW w:w="672" w:type="dxa"/>
            <w:vAlign w:val="top"/>
          </w:tcPr>
          <w:p w14:paraId="38843231">
            <w:pPr>
              <w:pStyle w:val="6"/>
              <w:spacing w:before="212" w:line="228" w:lineRule="auto"/>
              <w:ind w:left="129"/>
            </w:pPr>
            <w:r>
              <w:rPr>
                <w:spacing w:val="4"/>
              </w:rPr>
              <w:t>保留</w:t>
            </w:r>
          </w:p>
        </w:tc>
        <w:tc>
          <w:tcPr>
            <w:tcW w:w="1531" w:type="dxa"/>
            <w:vAlign w:val="top"/>
          </w:tcPr>
          <w:p w14:paraId="4D9D78FF">
            <w:pPr>
              <w:pStyle w:val="6"/>
              <w:spacing w:before="244" w:line="233" w:lineRule="auto"/>
              <w:ind w:left="716"/>
            </w:pPr>
            <w:r>
              <w:t>/</w:t>
            </w:r>
          </w:p>
        </w:tc>
        <w:tc>
          <w:tcPr>
            <w:tcW w:w="1481" w:type="dxa"/>
            <w:vAlign w:val="top"/>
          </w:tcPr>
          <w:p w14:paraId="1D902A27">
            <w:pPr>
              <w:pStyle w:val="6"/>
              <w:spacing w:before="211" w:line="233" w:lineRule="auto"/>
              <w:ind w:left="692"/>
            </w:pPr>
            <w:r>
              <w:t>/</w:t>
            </w:r>
          </w:p>
        </w:tc>
        <w:tc>
          <w:tcPr>
            <w:tcW w:w="708" w:type="dxa"/>
            <w:vAlign w:val="top"/>
          </w:tcPr>
          <w:p w14:paraId="171D1855">
            <w:pPr>
              <w:spacing w:before="234"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7C00110F">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3E157453">
            <w:pPr>
              <w:pStyle w:val="6"/>
              <w:spacing w:before="211" w:line="227" w:lineRule="auto"/>
              <w:ind w:left="127"/>
            </w:pPr>
            <w:r>
              <w:rPr>
                <w:spacing w:val="7"/>
              </w:rPr>
              <w:t>絮凝剂加药装置</w:t>
            </w:r>
          </w:p>
        </w:tc>
        <w:tc>
          <w:tcPr>
            <w:tcW w:w="1558" w:type="dxa"/>
            <w:vAlign w:val="top"/>
          </w:tcPr>
          <w:p w14:paraId="73E90E60">
            <w:pPr>
              <w:pStyle w:val="6"/>
              <w:spacing w:before="211" w:line="233" w:lineRule="auto"/>
              <w:ind w:left="733"/>
            </w:pPr>
            <w:r>
              <w:t>/</w:t>
            </w:r>
          </w:p>
        </w:tc>
        <w:tc>
          <w:tcPr>
            <w:tcW w:w="709" w:type="dxa"/>
            <w:vAlign w:val="top"/>
          </w:tcPr>
          <w:p w14:paraId="5DC01CFA">
            <w:pPr>
              <w:pStyle w:val="6"/>
              <w:spacing w:before="196" w:line="218" w:lineRule="auto"/>
              <w:ind w:left="154"/>
              <w:rPr>
                <w:sz w:val="24"/>
                <w:szCs w:val="24"/>
              </w:rPr>
            </w:pPr>
            <w:r>
              <w:rPr>
                <w:spacing w:val="-7"/>
                <w:sz w:val="24"/>
                <w:szCs w:val="24"/>
              </w:rPr>
              <w:t>2</w:t>
            </w:r>
            <w:r>
              <w:rPr>
                <w:spacing w:val="-49"/>
                <w:sz w:val="24"/>
                <w:szCs w:val="24"/>
              </w:rPr>
              <w:t xml:space="preserve"> </w:t>
            </w:r>
            <w:r>
              <w:rPr>
                <w:spacing w:val="-7"/>
                <w:sz w:val="24"/>
                <w:szCs w:val="24"/>
              </w:rPr>
              <w:t>套</w:t>
            </w:r>
          </w:p>
        </w:tc>
        <w:tc>
          <w:tcPr>
            <w:tcW w:w="887" w:type="dxa"/>
            <w:vAlign w:val="top"/>
          </w:tcPr>
          <w:p w14:paraId="693F2652">
            <w:pPr>
              <w:pStyle w:val="6"/>
              <w:spacing w:before="212" w:line="228" w:lineRule="auto"/>
              <w:ind w:left="243"/>
            </w:pPr>
            <w:r>
              <w:rPr>
                <w:spacing w:val="2"/>
              </w:rPr>
              <w:t>原有</w:t>
            </w:r>
          </w:p>
        </w:tc>
      </w:tr>
    </w:tbl>
    <w:p w14:paraId="3195D0DA">
      <w:pPr>
        <w:pStyle w:val="2"/>
      </w:pPr>
    </w:p>
    <w:p w14:paraId="46B4C04A">
      <w:pPr>
        <w:sectPr>
          <w:footerReference r:id="rId108" w:type="default"/>
          <w:pgSz w:w="16839" w:h="11906"/>
          <w:pgMar w:top="1208" w:right="1327" w:bottom="1358" w:left="1327" w:header="825" w:footer="1195" w:gutter="0"/>
          <w:cols w:space="720" w:num="1"/>
        </w:sectPr>
      </w:pPr>
    </w:p>
    <w:p w14:paraId="65B0E08C">
      <w:pPr>
        <w:spacing w:before="53"/>
      </w:pPr>
    </w:p>
    <w:p w14:paraId="31EAAA76">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1481B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3505FEDC">
            <w:pPr>
              <w:pStyle w:val="6"/>
              <w:spacing w:before="210" w:line="218" w:lineRule="auto"/>
              <w:ind w:left="203"/>
            </w:pPr>
            <w:r>
              <w:rPr>
                <w:spacing w:val="6"/>
              </w:rPr>
              <w:t>序 号</w:t>
            </w:r>
          </w:p>
        </w:tc>
        <w:tc>
          <w:tcPr>
            <w:tcW w:w="4262" w:type="dxa"/>
            <w:gridSpan w:val="4"/>
            <w:vAlign w:val="top"/>
          </w:tcPr>
          <w:p w14:paraId="04B58BEE">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6E06DEFE">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6C1FD593">
            <w:pPr>
              <w:pStyle w:val="6"/>
              <w:spacing w:before="198" w:line="228" w:lineRule="auto"/>
              <w:ind w:left="1278"/>
            </w:pPr>
            <w:r>
              <w:rPr>
                <w:spacing w:val="9"/>
              </w:rPr>
              <w:t>技改工程完成后最终设备</w:t>
            </w:r>
          </w:p>
        </w:tc>
      </w:tr>
      <w:tr w14:paraId="3771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33" w:type="dxa"/>
            <w:vMerge w:val="continue"/>
            <w:tcBorders>
              <w:top w:val="nil"/>
            </w:tcBorders>
            <w:textDirection w:val="tbRlV"/>
            <w:vAlign w:val="top"/>
          </w:tcPr>
          <w:p w14:paraId="6F4F2B4A">
            <w:pPr>
              <w:rPr>
                <w:rFonts w:ascii="Arial"/>
                <w:sz w:val="21"/>
              </w:rPr>
            </w:pPr>
          </w:p>
        </w:tc>
        <w:tc>
          <w:tcPr>
            <w:tcW w:w="1606" w:type="dxa"/>
            <w:vAlign w:val="top"/>
          </w:tcPr>
          <w:p w14:paraId="09AD5166">
            <w:pPr>
              <w:pStyle w:val="6"/>
              <w:spacing w:before="53" w:line="230" w:lineRule="auto"/>
              <w:ind w:left="599"/>
            </w:pPr>
            <w:r>
              <w:rPr>
                <w:spacing w:val="3"/>
              </w:rPr>
              <w:t>名称</w:t>
            </w:r>
          </w:p>
        </w:tc>
        <w:tc>
          <w:tcPr>
            <w:tcW w:w="1275" w:type="dxa"/>
            <w:vAlign w:val="top"/>
          </w:tcPr>
          <w:p w14:paraId="49E831D0">
            <w:pPr>
              <w:pStyle w:val="6"/>
              <w:spacing w:before="52" w:line="228" w:lineRule="auto"/>
              <w:ind w:left="116"/>
            </w:pPr>
            <w:r>
              <w:rPr>
                <w:spacing w:val="7"/>
              </w:rPr>
              <w:t>规格及型号</w:t>
            </w:r>
          </w:p>
        </w:tc>
        <w:tc>
          <w:tcPr>
            <w:tcW w:w="709" w:type="dxa"/>
            <w:vAlign w:val="top"/>
          </w:tcPr>
          <w:p w14:paraId="3ED81DCA">
            <w:pPr>
              <w:pStyle w:val="6"/>
              <w:spacing w:before="52" w:line="228" w:lineRule="auto"/>
              <w:ind w:left="148"/>
            </w:pPr>
            <w:r>
              <w:rPr>
                <w:spacing w:val="3"/>
              </w:rPr>
              <w:t>数量</w:t>
            </w:r>
          </w:p>
        </w:tc>
        <w:tc>
          <w:tcPr>
            <w:tcW w:w="672" w:type="dxa"/>
            <w:vAlign w:val="top"/>
          </w:tcPr>
          <w:p w14:paraId="651F6B1A">
            <w:pPr>
              <w:pStyle w:val="6"/>
              <w:spacing w:before="53" w:line="229" w:lineRule="auto"/>
              <w:ind w:left="131"/>
            </w:pPr>
            <w:r>
              <w:rPr>
                <w:spacing w:val="3"/>
              </w:rPr>
              <w:t>备注</w:t>
            </w:r>
          </w:p>
        </w:tc>
        <w:tc>
          <w:tcPr>
            <w:tcW w:w="1531" w:type="dxa"/>
            <w:vAlign w:val="top"/>
          </w:tcPr>
          <w:p w14:paraId="569CA6AB">
            <w:pPr>
              <w:pStyle w:val="6"/>
              <w:spacing w:before="53" w:line="230" w:lineRule="auto"/>
              <w:ind w:left="563"/>
            </w:pPr>
            <w:r>
              <w:rPr>
                <w:spacing w:val="3"/>
              </w:rPr>
              <w:t>名称</w:t>
            </w:r>
          </w:p>
        </w:tc>
        <w:tc>
          <w:tcPr>
            <w:tcW w:w="1481" w:type="dxa"/>
            <w:vAlign w:val="top"/>
          </w:tcPr>
          <w:p w14:paraId="6AC2B67E">
            <w:pPr>
              <w:pStyle w:val="6"/>
              <w:spacing w:before="52" w:line="228" w:lineRule="auto"/>
              <w:ind w:left="535"/>
            </w:pPr>
            <w:r>
              <w:rPr>
                <w:spacing w:val="4"/>
              </w:rPr>
              <w:t>规格</w:t>
            </w:r>
          </w:p>
        </w:tc>
        <w:tc>
          <w:tcPr>
            <w:tcW w:w="708" w:type="dxa"/>
            <w:vAlign w:val="top"/>
          </w:tcPr>
          <w:p w14:paraId="3E0D581B">
            <w:pPr>
              <w:pStyle w:val="6"/>
              <w:spacing w:before="52" w:line="228" w:lineRule="auto"/>
              <w:ind w:left="152"/>
            </w:pPr>
            <w:r>
              <w:rPr>
                <w:spacing w:val="3"/>
              </w:rPr>
              <w:t>数量</w:t>
            </w:r>
          </w:p>
        </w:tc>
        <w:tc>
          <w:tcPr>
            <w:tcW w:w="709" w:type="dxa"/>
            <w:vAlign w:val="top"/>
          </w:tcPr>
          <w:p w14:paraId="2F3A4551">
            <w:pPr>
              <w:pStyle w:val="6"/>
              <w:spacing w:before="53" w:line="229" w:lineRule="auto"/>
              <w:ind w:left="153"/>
            </w:pPr>
            <w:r>
              <w:rPr>
                <w:spacing w:val="3"/>
              </w:rPr>
              <w:t>备注</w:t>
            </w:r>
          </w:p>
        </w:tc>
        <w:tc>
          <w:tcPr>
            <w:tcW w:w="1700" w:type="dxa"/>
            <w:vAlign w:val="top"/>
          </w:tcPr>
          <w:p w14:paraId="3DA5F1A8">
            <w:pPr>
              <w:pStyle w:val="6"/>
              <w:spacing w:before="53" w:line="230" w:lineRule="auto"/>
              <w:ind w:left="648"/>
            </w:pPr>
            <w:r>
              <w:rPr>
                <w:spacing w:val="3"/>
              </w:rPr>
              <w:t>名称</w:t>
            </w:r>
          </w:p>
        </w:tc>
        <w:tc>
          <w:tcPr>
            <w:tcW w:w="1558" w:type="dxa"/>
            <w:vAlign w:val="top"/>
          </w:tcPr>
          <w:p w14:paraId="21E595D3">
            <w:pPr>
              <w:pStyle w:val="6"/>
              <w:spacing w:before="52" w:line="228" w:lineRule="auto"/>
              <w:ind w:left="576"/>
            </w:pPr>
            <w:r>
              <w:rPr>
                <w:spacing w:val="4"/>
              </w:rPr>
              <w:t>规格</w:t>
            </w:r>
          </w:p>
        </w:tc>
        <w:tc>
          <w:tcPr>
            <w:tcW w:w="709" w:type="dxa"/>
            <w:vAlign w:val="top"/>
          </w:tcPr>
          <w:p w14:paraId="2175B673">
            <w:pPr>
              <w:pStyle w:val="6"/>
              <w:spacing w:before="52" w:line="228" w:lineRule="auto"/>
              <w:ind w:left="152"/>
            </w:pPr>
            <w:r>
              <w:rPr>
                <w:spacing w:val="3"/>
              </w:rPr>
              <w:t>数量</w:t>
            </w:r>
          </w:p>
        </w:tc>
        <w:tc>
          <w:tcPr>
            <w:tcW w:w="887" w:type="dxa"/>
            <w:vAlign w:val="top"/>
          </w:tcPr>
          <w:p w14:paraId="219AB794">
            <w:pPr>
              <w:pStyle w:val="6"/>
              <w:spacing w:before="53" w:line="229" w:lineRule="auto"/>
              <w:ind w:left="241"/>
            </w:pPr>
            <w:r>
              <w:rPr>
                <w:spacing w:val="3"/>
              </w:rPr>
              <w:t>备注</w:t>
            </w:r>
          </w:p>
        </w:tc>
      </w:tr>
      <w:tr w14:paraId="54892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65386903">
            <w:pPr>
              <w:spacing w:before="244"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606" w:type="dxa"/>
            <w:vAlign w:val="top"/>
          </w:tcPr>
          <w:p w14:paraId="748BD80B">
            <w:pPr>
              <w:pStyle w:val="6"/>
              <w:spacing w:before="52" w:line="227" w:lineRule="auto"/>
              <w:ind w:left="176"/>
            </w:pPr>
            <w:r>
              <w:rPr>
                <w:spacing w:val="8"/>
              </w:rPr>
              <w:t>助凝剂加药装</w:t>
            </w:r>
          </w:p>
          <w:p w14:paraId="5A0381DF">
            <w:pPr>
              <w:pStyle w:val="6"/>
              <w:spacing w:before="66" w:line="233" w:lineRule="auto"/>
              <w:ind w:left="698"/>
            </w:pPr>
            <w:r>
              <w:rPr>
                <w:spacing w:val="2"/>
              </w:rPr>
              <w:t>置</w:t>
            </w:r>
          </w:p>
        </w:tc>
        <w:tc>
          <w:tcPr>
            <w:tcW w:w="1275" w:type="dxa"/>
            <w:vAlign w:val="top"/>
          </w:tcPr>
          <w:p w14:paraId="0532DF6D">
            <w:pPr>
              <w:pStyle w:val="6"/>
              <w:spacing w:before="208" w:line="233" w:lineRule="auto"/>
              <w:ind w:left="588"/>
            </w:pPr>
            <w:r>
              <w:t>/</w:t>
            </w:r>
          </w:p>
        </w:tc>
        <w:tc>
          <w:tcPr>
            <w:tcW w:w="709" w:type="dxa"/>
            <w:vAlign w:val="top"/>
          </w:tcPr>
          <w:p w14:paraId="11921299">
            <w:pPr>
              <w:pStyle w:val="6"/>
              <w:spacing w:before="209" w:line="226" w:lineRule="auto"/>
              <w:ind w:left="188"/>
            </w:pPr>
            <w:r>
              <w:rPr>
                <w:spacing w:val="-10"/>
              </w:rPr>
              <w:t>1</w:t>
            </w:r>
            <w:r>
              <w:rPr>
                <w:spacing w:val="-38"/>
              </w:rPr>
              <w:t xml:space="preserve"> </w:t>
            </w:r>
            <w:r>
              <w:rPr>
                <w:spacing w:val="-10"/>
              </w:rPr>
              <w:t>套</w:t>
            </w:r>
          </w:p>
        </w:tc>
        <w:tc>
          <w:tcPr>
            <w:tcW w:w="672" w:type="dxa"/>
            <w:vAlign w:val="top"/>
          </w:tcPr>
          <w:p w14:paraId="091CE81B">
            <w:pPr>
              <w:pStyle w:val="6"/>
              <w:spacing w:before="209" w:line="228" w:lineRule="auto"/>
              <w:ind w:left="129"/>
            </w:pPr>
            <w:r>
              <w:rPr>
                <w:spacing w:val="4"/>
              </w:rPr>
              <w:t>保留</w:t>
            </w:r>
          </w:p>
        </w:tc>
        <w:tc>
          <w:tcPr>
            <w:tcW w:w="1531" w:type="dxa"/>
            <w:vAlign w:val="top"/>
          </w:tcPr>
          <w:p w14:paraId="22449A78">
            <w:pPr>
              <w:pStyle w:val="6"/>
              <w:spacing w:before="242" w:line="233" w:lineRule="auto"/>
              <w:ind w:left="716"/>
            </w:pPr>
            <w:r>
              <w:t>/</w:t>
            </w:r>
          </w:p>
        </w:tc>
        <w:tc>
          <w:tcPr>
            <w:tcW w:w="1481" w:type="dxa"/>
            <w:vAlign w:val="top"/>
          </w:tcPr>
          <w:p w14:paraId="295B0364">
            <w:pPr>
              <w:pStyle w:val="6"/>
              <w:spacing w:before="208" w:line="233" w:lineRule="auto"/>
              <w:ind w:left="692"/>
            </w:pPr>
            <w:r>
              <w:t>/</w:t>
            </w:r>
          </w:p>
        </w:tc>
        <w:tc>
          <w:tcPr>
            <w:tcW w:w="708" w:type="dxa"/>
            <w:vAlign w:val="top"/>
          </w:tcPr>
          <w:p w14:paraId="470C0EA0">
            <w:pPr>
              <w:spacing w:before="228"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68382509">
            <w:pPr>
              <w:spacing w:before="240"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2E1E1706">
            <w:pPr>
              <w:pStyle w:val="6"/>
              <w:spacing w:before="208" w:line="227" w:lineRule="auto"/>
              <w:ind w:left="120"/>
            </w:pPr>
            <w:r>
              <w:rPr>
                <w:spacing w:val="8"/>
              </w:rPr>
              <w:t>助凝剂加药装置</w:t>
            </w:r>
          </w:p>
        </w:tc>
        <w:tc>
          <w:tcPr>
            <w:tcW w:w="1558" w:type="dxa"/>
            <w:vAlign w:val="top"/>
          </w:tcPr>
          <w:p w14:paraId="3196770B">
            <w:pPr>
              <w:pStyle w:val="6"/>
              <w:spacing w:before="208" w:line="233" w:lineRule="auto"/>
              <w:ind w:left="733"/>
            </w:pPr>
            <w:r>
              <w:t>/</w:t>
            </w:r>
          </w:p>
        </w:tc>
        <w:tc>
          <w:tcPr>
            <w:tcW w:w="709" w:type="dxa"/>
            <w:vAlign w:val="top"/>
          </w:tcPr>
          <w:p w14:paraId="5FA71A9E">
            <w:pPr>
              <w:pStyle w:val="6"/>
              <w:spacing w:before="209" w:line="226" w:lineRule="auto"/>
              <w:ind w:left="192"/>
            </w:pPr>
            <w:r>
              <w:rPr>
                <w:spacing w:val="-10"/>
              </w:rPr>
              <w:t>1</w:t>
            </w:r>
            <w:r>
              <w:rPr>
                <w:spacing w:val="-38"/>
              </w:rPr>
              <w:t xml:space="preserve"> </w:t>
            </w:r>
            <w:r>
              <w:rPr>
                <w:spacing w:val="-10"/>
              </w:rPr>
              <w:t>套</w:t>
            </w:r>
          </w:p>
        </w:tc>
        <w:tc>
          <w:tcPr>
            <w:tcW w:w="887" w:type="dxa"/>
            <w:vAlign w:val="top"/>
          </w:tcPr>
          <w:p w14:paraId="5387E8BA">
            <w:pPr>
              <w:pStyle w:val="6"/>
              <w:spacing w:before="209" w:line="228" w:lineRule="auto"/>
              <w:ind w:left="243"/>
            </w:pPr>
            <w:r>
              <w:rPr>
                <w:spacing w:val="2"/>
              </w:rPr>
              <w:t>原有</w:t>
            </w:r>
          </w:p>
        </w:tc>
      </w:tr>
      <w:tr w14:paraId="6205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3" w:type="dxa"/>
            <w:vAlign w:val="top"/>
          </w:tcPr>
          <w:p w14:paraId="6C601147">
            <w:pPr>
              <w:spacing w:before="292"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606" w:type="dxa"/>
            <w:vAlign w:val="top"/>
          </w:tcPr>
          <w:p w14:paraId="6BBB523D">
            <w:pPr>
              <w:pStyle w:val="6"/>
              <w:spacing w:before="110" w:line="228" w:lineRule="auto"/>
              <w:ind w:left="175"/>
            </w:pPr>
            <w:r>
              <w:rPr>
                <w:spacing w:val="8"/>
              </w:rPr>
              <w:t>硫酸亚铁加药</w:t>
            </w:r>
          </w:p>
          <w:p w14:paraId="780D9C23">
            <w:pPr>
              <w:pStyle w:val="6"/>
              <w:spacing w:before="112" w:line="225" w:lineRule="auto"/>
              <w:ind w:left="596"/>
            </w:pPr>
            <w:r>
              <w:rPr>
                <w:spacing w:val="4"/>
              </w:rPr>
              <w:t>装置</w:t>
            </w:r>
          </w:p>
        </w:tc>
        <w:tc>
          <w:tcPr>
            <w:tcW w:w="1275" w:type="dxa"/>
            <w:vAlign w:val="top"/>
          </w:tcPr>
          <w:p w14:paraId="3FF9D987">
            <w:pPr>
              <w:rPr>
                <w:rFonts w:ascii="Arial"/>
                <w:sz w:val="21"/>
              </w:rPr>
            </w:pPr>
          </w:p>
        </w:tc>
        <w:tc>
          <w:tcPr>
            <w:tcW w:w="709" w:type="dxa"/>
            <w:vAlign w:val="top"/>
          </w:tcPr>
          <w:p w14:paraId="24BB3A5D">
            <w:pPr>
              <w:pStyle w:val="6"/>
              <w:spacing w:before="256" w:line="226" w:lineRule="auto"/>
              <w:ind w:left="189"/>
            </w:pPr>
            <w:r>
              <w:rPr>
                <w:rFonts w:ascii="Times New Roman" w:hAnsi="Times New Roman" w:eastAsia="Times New Roman" w:cs="Times New Roman"/>
                <w:spacing w:val="-10"/>
              </w:rPr>
              <w:t>1</w:t>
            </w:r>
            <w:r>
              <w:rPr>
                <w:rFonts w:ascii="Times New Roman" w:hAnsi="Times New Roman" w:eastAsia="Times New Roman" w:cs="Times New Roman"/>
                <w:spacing w:val="12"/>
                <w:w w:val="101"/>
              </w:rPr>
              <w:t xml:space="preserve"> </w:t>
            </w:r>
            <w:r>
              <w:rPr>
                <w:spacing w:val="-10"/>
              </w:rPr>
              <w:t>套</w:t>
            </w:r>
          </w:p>
        </w:tc>
        <w:tc>
          <w:tcPr>
            <w:tcW w:w="672" w:type="dxa"/>
            <w:vAlign w:val="top"/>
          </w:tcPr>
          <w:p w14:paraId="4342F295">
            <w:pPr>
              <w:pStyle w:val="6"/>
              <w:spacing w:before="256" w:line="228" w:lineRule="auto"/>
              <w:ind w:left="129"/>
            </w:pPr>
            <w:r>
              <w:rPr>
                <w:spacing w:val="4"/>
              </w:rPr>
              <w:t>保留</w:t>
            </w:r>
          </w:p>
        </w:tc>
        <w:tc>
          <w:tcPr>
            <w:tcW w:w="1531" w:type="dxa"/>
            <w:vAlign w:val="top"/>
          </w:tcPr>
          <w:p w14:paraId="6AFAE0E9">
            <w:pPr>
              <w:pStyle w:val="6"/>
              <w:spacing w:before="289" w:line="233" w:lineRule="auto"/>
              <w:ind w:left="716"/>
            </w:pPr>
            <w:r>
              <w:t>/</w:t>
            </w:r>
          </w:p>
        </w:tc>
        <w:tc>
          <w:tcPr>
            <w:tcW w:w="1481" w:type="dxa"/>
            <w:vAlign w:val="top"/>
          </w:tcPr>
          <w:p w14:paraId="444F32FB">
            <w:pPr>
              <w:pStyle w:val="6"/>
              <w:spacing w:before="256" w:line="233" w:lineRule="auto"/>
              <w:ind w:left="692"/>
            </w:pPr>
            <w:r>
              <w:t>/</w:t>
            </w:r>
          </w:p>
        </w:tc>
        <w:tc>
          <w:tcPr>
            <w:tcW w:w="708" w:type="dxa"/>
            <w:vAlign w:val="top"/>
          </w:tcPr>
          <w:p w14:paraId="26C3768C">
            <w:pPr>
              <w:spacing w:before="278"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71472248">
            <w:pPr>
              <w:spacing w:before="288"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09B2CF2">
            <w:pPr>
              <w:pStyle w:val="6"/>
              <w:spacing w:before="109" w:line="279" w:lineRule="auto"/>
              <w:ind w:left="749" w:right="113" w:hanging="630"/>
            </w:pPr>
            <w:r>
              <w:rPr>
                <w:spacing w:val="8"/>
              </w:rPr>
              <w:t>硫酸亚铁加药装</w:t>
            </w:r>
            <w:r>
              <w:rPr>
                <w:spacing w:val="4"/>
              </w:rPr>
              <w:t xml:space="preserve"> </w:t>
            </w:r>
            <w:r>
              <w:rPr>
                <w:spacing w:val="2"/>
              </w:rPr>
              <w:t>置</w:t>
            </w:r>
          </w:p>
        </w:tc>
        <w:tc>
          <w:tcPr>
            <w:tcW w:w="1558" w:type="dxa"/>
            <w:vAlign w:val="top"/>
          </w:tcPr>
          <w:p w14:paraId="002CB2EE">
            <w:pPr>
              <w:rPr>
                <w:rFonts w:ascii="Arial"/>
                <w:sz w:val="21"/>
              </w:rPr>
            </w:pPr>
          </w:p>
        </w:tc>
        <w:tc>
          <w:tcPr>
            <w:tcW w:w="709" w:type="dxa"/>
            <w:vAlign w:val="top"/>
          </w:tcPr>
          <w:p w14:paraId="72772EC6">
            <w:pPr>
              <w:pStyle w:val="6"/>
              <w:spacing w:before="256" w:line="226" w:lineRule="auto"/>
              <w:ind w:left="193"/>
            </w:pPr>
            <w:r>
              <w:rPr>
                <w:rFonts w:ascii="Times New Roman" w:hAnsi="Times New Roman" w:eastAsia="Times New Roman" w:cs="Times New Roman"/>
                <w:spacing w:val="-10"/>
              </w:rPr>
              <w:t>1</w:t>
            </w:r>
            <w:r>
              <w:rPr>
                <w:rFonts w:ascii="Times New Roman" w:hAnsi="Times New Roman" w:eastAsia="Times New Roman" w:cs="Times New Roman"/>
                <w:spacing w:val="12"/>
                <w:w w:val="101"/>
              </w:rPr>
              <w:t xml:space="preserve"> </w:t>
            </w:r>
            <w:r>
              <w:rPr>
                <w:spacing w:val="-10"/>
              </w:rPr>
              <w:t>套</w:t>
            </w:r>
          </w:p>
        </w:tc>
        <w:tc>
          <w:tcPr>
            <w:tcW w:w="887" w:type="dxa"/>
            <w:vAlign w:val="top"/>
          </w:tcPr>
          <w:p w14:paraId="0BBD6044">
            <w:pPr>
              <w:pStyle w:val="6"/>
              <w:spacing w:before="256" w:line="228" w:lineRule="auto"/>
              <w:ind w:left="243"/>
            </w:pPr>
            <w:r>
              <w:rPr>
                <w:spacing w:val="2"/>
              </w:rPr>
              <w:t>原有</w:t>
            </w:r>
          </w:p>
        </w:tc>
      </w:tr>
      <w:tr w14:paraId="757CA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22425F04">
            <w:pPr>
              <w:rPr>
                <w:rFonts w:ascii="Arial"/>
                <w:sz w:val="21"/>
              </w:rPr>
            </w:pPr>
          </w:p>
        </w:tc>
        <w:tc>
          <w:tcPr>
            <w:tcW w:w="1606" w:type="dxa"/>
            <w:vAlign w:val="top"/>
          </w:tcPr>
          <w:p w14:paraId="779B8673">
            <w:pPr>
              <w:rPr>
                <w:rFonts w:ascii="Arial"/>
                <w:sz w:val="21"/>
              </w:rPr>
            </w:pPr>
          </w:p>
        </w:tc>
        <w:tc>
          <w:tcPr>
            <w:tcW w:w="1275" w:type="dxa"/>
            <w:vAlign w:val="top"/>
          </w:tcPr>
          <w:p w14:paraId="7F5B55DA">
            <w:pPr>
              <w:rPr>
                <w:rFonts w:ascii="Arial"/>
                <w:sz w:val="21"/>
              </w:rPr>
            </w:pPr>
          </w:p>
        </w:tc>
        <w:tc>
          <w:tcPr>
            <w:tcW w:w="709" w:type="dxa"/>
            <w:vAlign w:val="top"/>
          </w:tcPr>
          <w:p w14:paraId="15EEB98F">
            <w:pPr>
              <w:rPr>
                <w:rFonts w:ascii="Arial"/>
                <w:sz w:val="21"/>
              </w:rPr>
            </w:pPr>
          </w:p>
        </w:tc>
        <w:tc>
          <w:tcPr>
            <w:tcW w:w="672" w:type="dxa"/>
            <w:vAlign w:val="top"/>
          </w:tcPr>
          <w:p w14:paraId="34BF0CBC">
            <w:pPr>
              <w:rPr>
                <w:rFonts w:ascii="Arial"/>
                <w:sz w:val="21"/>
              </w:rPr>
            </w:pPr>
          </w:p>
        </w:tc>
        <w:tc>
          <w:tcPr>
            <w:tcW w:w="1531" w:type="dxa"/>
            <w:vAlign w:val="top"/>
          </w:tcPr>
          <w:p w14:paraId="3C560117">
            <w:pPr>
              <w:pStyle w:val="6"/>
              <w:spacing w:before="242" w:line="227" w:lineRule="auto"/>
              <w:ind w:left="352"/>
            </w:pPr>
            <w:r>
              <w:rPr>
                <w:spacing w:val="6"/>
              </w:rPr>
              <w:t>溶气水泵</w:t>
            </w:r>
          </w:p>
        </w:tc>
        <w:tc>
          <w:tcPr>
            <w:tcW w:w="1481" w:type="dxa"/>
            <w:vAlign w:val="top"/>
          </w:tcPr>
          <w:p w14:paraId="10ABF1D1">
            <w:pPr>
              <w:pStyle w:val="6"/>
              <w:spacing w:before="35" w:line="270" w:lineRule="exact"/>
              <w:ind w:left="245"/>
            </w:pPr>
            <w:r>
              <w:rPr>
                <w:spacing w:val="3"/>
              </w:rPr>
              <w:t>Q=90m</w:t>
            </w:r>
            <w:r>
              <w:rPr>
                <w:spacing w:val="3"/>
                <w:position w:val="10"/>
                <w:sz w:val="10"/>
                <w:szCs w:val="10"/>
              </w:rPr>
              <w:t>3</w:t>
            </w:r>
            <w:r>
              <w:rPr>
                <w:spacing w:val="3"/>
              </w:rPr>
              <w:t>/h，</w:t>
            </w:r>
          </w:p>
          <w:p w14:paraId="675FC316">
            <w:pPr>
              <w:pStyle w:val="6"/>
              <w:spacing w:before="60" w:line="234" w:lineRule="auto"/>
              <w:ind w:left="477"/>
            </w:pPr>
            <w:r>
              <w:rPr>
                <w:spacing w:val="4"/>
              </w:rPr>
              <w:t>H=44m</w:t>
            </w:r>
          </w:p>
        </w:tc>
        <w:tc>
          <w:tcPr>
            <w:tcW w:w="708" w:type="dxa"/>
            <w:vAlign w:val="top"/>
          </w:tcPr>
          <w:p w14:paraId="675B91D9">
            <w:pPr>
              <w:pStyle w:val="6"/>
              <w:spacing w:before="194"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26CE40DD">
            <w:pPr>
              <w:pStyle w:val="6"/>
              <w:spacing w:before="209" w:line="228" w:lineRule="auto"/>
              <w:ind w:left="151"/>
            </w:pPr>
            <w:r>
              <w:rPr>
                <w:spacing w:val="4"/>
              </w:rPr>
              <w:t>新增</w:t>
            </w:r>
          </w:p>
        </w:tc>
        <w:tc>
          <w:tcPr>
            <w:tcW w:w="1700" w:type="dxa"/>
            <w:vAlign w:val="top"/>
          </w:tcPr>
          <w:p w14:paraId="755C19E9">
            <w:pPr>
              <w:pStyle w:val="6"/>
              <w:spacing w:before="242" w:line="227" w:lineRule="auto"/>
              <w:ind w:left="437"/>
            </w:pPr>
            <w:r>
              <w:rPr>
                <w:spacing w:val="6"/>
              </w:rPr>
              <w:t>溶气水泵</w:t>
            </w:r>
          </w:p>
        </w:tc>
        <w:tc>
          <w:tcPr>
            <w:tcW w:w="1558" w:type="dxa"/>
            <w:vAlign w:val="top"/>
          </w:tcPr>
          <w:p w14:paraId="758FAF47">
            <w:pPr>
              <w:pStyle w:val="6"/>
              <w:spacing w:before="35" w:line="270" w:lineRule="exact"/>
              <w:ind w:left="286"/>
            </w:pPr>
            <w:r>
              <w:rPr>
                <w:spacing w:val="3"/>
              </w:rPr>
              <w:t>Q=90m</w:t>
            </w:r>
            <w:r>
              <w:rPr>
                <w:spacing w:val="3"/>
                <w:position w:val="10"/>
                <w:sz w:val="10"/>
                <w:szCs w:val="10"/>
              </w:rPr>
              <w:t>3</w:t>
            </w:r>
            <w:r>
              <w:rPr>
                <w:spacing w:val="3"/>
              </w:rPr>
              <w:t>/h，</w:t>
            </w:r>
          </w:p>
          <w:p w14:paraId="7EC2D540">
            <w:pPr>
              <w:pStyle w:val="6"/>
              <w:spacing w:before="60" w:line="234" w:lineRule="auto"/>
              <w:ind w:left="518"/>
            </w:pPr>
            <w:r>
              <w:rPr>
                <w:spacing w:val="4"/>
              </w:rPr>
              <w:t>H=44m</w:t>
            </w:r>
          </w:p>
        </w:tc>
        <w:tc>
          <w:tcPr>
            <w:tcW w:w="709" w:type="dxa"/>
            <w:vAlign w:val="top"/>
          </w:tcPr>
          <w:p w14:paraId="171AC3DB">
            <w:pPr>
              <w:pStyle w:val="6"/>
              <w:spacing w:before="194"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346FDA5F">
            <w:pPr>
              <w:pStyle w:val="6"/>
              <w:spacing w:before="209" w:line="228" w:lineRule="auto"/>
              <w:ind w:left="239"/>
            </w:pPr>
            <w:r>
              <w:rPr>
                <w:spacing w:val="4"/>
              </w:rPr>
              <w:t>新增</w:t>
            </w:r>
          </w:p>
        </w:tc>
      </w:tr>
      <w:tr w14:paraId="6FA34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3" w:type="dxa"/>
            <w:vAlign w:val="top"/>
          </w:tcPr>
          <w:p w14:paraId="2543FD34">
            <w:pPr>
              <w:rPr>
                <w:rFonts w:ascii="Arial"/>
                <w:sz w:val="21"/>
              </w:rPr>
            </w:pPr>
          </w:p>
        </w:tc>
        <w:tc>
          <w:tcPr>
            <w:tcW w:w="1606" w:type="dxa"/>
            <w:vAlign w:val="top"/>
          </w:tcPr>
          <w:p w14:paraId="650A0CA0">
            <w:pPr>
              <w:rPr>
                <w:rFonts w:ascii="Arial"/>
                <w:sz w:val="21"/>
              </w:rPr>
            </w:pPr>
          </w:p>
        </w:tc>
        <w:tc>
          <w:tcPr>
            <w:tcW w:w="1275" w:type="dxa"/>
            <w:vAlign w:val="top"/>
          </w:tcPr>
          <w:p w14:paraId="09EE98C1">
            <w:pPr>
              <w:rPr>
                <w:rFonts w:ascii="Arial"/>
                <w:sz w:val="21"/>
              </w:rPr>
            </w:pPr>
          </w:p>
        </w:tc>
        <w:tc>
          <w:tcPr>
            <w:tcW w:w="709" w:type="dxa"/>
            <w:vAlign w:val="top"/>
          </w:tcPr>
          <w:p w14:paraId="6601EF48">
            <w:pPr>
              <w:rPr>
                <w:rFonts w:ascii="Arial"/>
                <w:sz w:val="21"/>
              </w:rPr>
            </w:pPr>
          </w:p>
        </w:tc>
        <w:tc>
          <w:tcPr>
            <w:tcW w:w="672" w:type="dxa"/>
            <w:vAlign w:val="top"/>
          </w:tcPr>
          <w:p w14:paraId="338EE8FE">
            <w:pPr>
              <w:rPr>
                <w:rFonts w:ascii="Arial"/>
                <w:sz w:val="21"/>
              </w:rPr>
            </w:pPr>
          </w:p>
        </w:tc>
        <w:tc>
          <w:tcPr>
            <w:tcW w:w="1531" w:type="dxa"/>
            <w:vAlign w:val="top"/>
          </w:tcPr>
          <w:p w14:paraId="225D5CF5">
            <w:pPr>
              <w:pStyle w:val="6"/>
              <w:spacing w:before="110" w:line="226" w:lineRule="auto"/>
              <w:ind w:left="461"/>
            </w:pPr>
            <w:r>
              <w:rPr>
                <w:spacing w:val="4"/>
              </w:rPr>
              <w:t>空压机</w:t>
            </w:r>
          </w:p>
        </w:tc>
        <w:tc>
          <w:tcPr>
            <w:tcW w:w="1481" w:type="dxa"/>
            <w:vAlign w:val="top"/>
          </w:tcPr>
          <w:p w14:paraId="6ABB2F44">
            <w:pPr>
              <w:pStyle w:val="6"/>
              <w:spacing w:before="76" w:line="268" w:lineRule="exact"/>
              <w:ind w:left="109"/>
            </w:pPr>
            <w:r>
              <w:rPr>
                <w:spacing w:val="6"/>
                <w:position w:val="1"/>
              </w:rPr>
              <w:t>V-1 P=0.8</w:t>
            </w:r>
            <w:r>
              <w:rPr>
                <w:position w:val="1"/>
              </w:rPr>
              <w:t>MPa</w:t>
            </w:r>
          </w:p>
        </w:tc>
        <w:tc>
          <w:tcPr>
            <w:tcW w:w="708" w:type="dxa"/>
            <w:vAlign w:val="top"/>
          </w:tcPr>
          <w:p w14:paraId="61749BC0">
            <w:pPr>
              <w:pStyle w:val="6"/>
              <w:spacing w:before="62"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209EEEF6">
            <w:pPr>
              <w:pStyle w:val="6"/>
              <w:spacing w:before="77" w:line="228" w:lineRule="auto"/>
              <w:ind w:left="151"/>
            </w:pPr>
            <w:r>
              <w:rPr>
                <w:spacing w:val="4"/>
              </w:rPr>
              <w:t>新增</w:t>
            </w:r>
          </w:p>
        </w:tc>
        <w:tc>
          <w:tcPr>
            <w:tcW w:w="1700" w:type="dxa"/>
            <w:vAlign w:val="top"/>
          </w:tcPr>
          <w:p w14:paraId="3F90DF37">
            <w:pPr>
              <w:pStyle w:val="6"/>
              <w:spacing w:before="110" w:line="226" w:lineRule="auto"/>
              <w:ind w:left="547"/>
            </w:pPr>
            <w:r>
              <w:rPr>
                <w:spacing w:val="4"/>
              </w:rPr>
              <w:t>空压机</w:t>
            </w:r>
          </w:p>
        </w:tc>
        <w:tc>
          <w:tcPr>
            <w:tcW w:w="1558" w:type="dxa"/>
            <w:vAlign w:val="top"/>
          </w:tcPr>
          <w:p w14:paraId="4566C7A5">
            <w:pPr>
              <w:pStyle w:val="6"/>
              <w:spacing w:before="76" w:line="268" w:lineRule="exact"/>
              <w:ind w:left="151"/>
            </w:pPr>
            <w:r>
              <w:rPr>
                <w:spacing w:val="6"/>
                <w:position w:val="1"/>
              </w:rPr>
              <w:t>V-1 P=0.8</w:t>
            </w:r>
            <w:r>
              <w:rPr>
                <w:position w:val="1"/>
              </w:rPr>
              <w:t>MPa</w:t>
            </w:r>
          </w:p>
        </w:tc>
        <w:tc>
          <w:tcPr>
            <w:tcW w:w="709" w:type="dxa"/>
            <w:vAlign w:val="top"/>
          </w:tcPr>
          <w:p w14:paraId="5159FD28">
            <w:pPr>
              <w:pStyle w:val="6"/>
              <w:spacing w:before="62"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098F1CB1">
            <w:pPr>
              <w:pStyle w:val="6"/>
              <w:spacing w:before="77" w:line="228" w:lineRule="auto"/>
              <w:ind w:left="239"/>
            </w:pPr>
            <w:r>
              <w:rPr>
                <w:spacing w:val="4"/>
              </w:rPr>
              <w:t>新增</w:t>
            </w:r>
          </w:p>
        </w:tc>
      </w:tr>
      <w:tr w14:paraId="5BD0B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496D0CB4">
            <w:pPr>
              <w:rPr>
                <w:rFonts w:ascii="Arial"/>
                <w:sz w:val="21"/>
              </w:rPr>
            </w:pPr>
          </w:p>
        </w:tc>
        <w:tc>
          <w:tcPr>
            <w:tcW w:w="1606" w:type="dxa"/>
            <w:vAlign w:val="top"/>
          </w:tcPr>
          <w:p w14:paraId="1DC4AB1D">
            <w:pPr>
              <w:rPr>
                <w:rFonts w:ascii="Arial"/>
                <w:sz w:val="21"/>
              </w:rPr>
            </w:pPr>
          </w:p>
        </w:tc>
        <w:tc>
          <w:tcPr>
            <w:tcW w:w="1275" w:type="dxa"/>
            <w:vAlign w:val="top"/>
          </w:tcPr>
          <w:p w14:paraId="5FC7E8CD">
            <w:pPr>
              <w:rPr>
                <w:rFonts w:ascii="Arial"/>
                <w:sz w:val="21"/>
              </w:rPr>
            </w:pPr>
          </w:p>
        </w:tc>
        <w:tc>
          <w:tcPr>
            <w:tcW w:w="709" w:type="dxa"/>
            <w:vAlign w:val="top"/>
          </w:tcPr>
          <w:p w14:paraId="0E3ABD57">
            <w:pPr>
              <w:rPr>
                <w:rFonts w:ascii="Arial"/>
                <w:sz w:val="21"/>
              </w:rPr>
            </w:pPr>
          </w:p>
        </w:tc>
        <w:tc>
          <w:tcPr>
            <w:tcW w:w="672" w:type="dxa"/>
            <w:vAlign w:val="top"/>
          </w:tcPr>
          <w:p w14:paraId="4651899D">
            <w:pPr>
              <w:rPr>
                <w:rFonts w:ascii="Arial"/>
                <w:sz w:val="21"/>
              </w:rPr>
            </w:pPr>
          </w:p>
        </w:tc>
        <w:tc>
          <w:tcPr>
            <w:tcW w:w="1531" w:type="dxa"/>
            <w:vAlign w:val="top"/>
          </w:tcPr>
          <w:p w14:paraId="65A0E080">
            <w:pPr>
              <w:pStyle w:val="6"/>
              <w:spacing w:before="164" w:line="227" w:lineRule="auto"/>
              <w:ind w:left="455"/>
            </w:pPr>
            <w:r>
              <w:rPr>
                <w:spacing w:val="6"/>
              </w:rPr>
              <w:t>刮渣机</w:t>
            </w:r>
          </w:p>
        </w:tc>
        <w:tc>
          <w:tcPr>
            <w:tcW w:w="1481" w:type="dxa"/>
            <w:vAlign w:val="top"/>
          </w:tcPr>
          <w:p w14:paraId="209AB278">
            <w:pPr>
              <w:rPr>
                <w:rFonts w:ascii="Arial"/>
                <w:sz w:val="21"/>
              </w:rPr>
            </w:pPr>
          </w:p>
        </w:tc>
        <w:tc>
          <w:tcPr>
            <w:tcW w:w="708" w:type="dxa"/>
            <w:vAlign w:val="top"/>
          </w:tcPr>
          <w:p w14:paraId="6FE77254">
            <w:pPr>
              <w:pStyle w:val="6"/>
              <w:spacing w:before="117" w:line="224" w:lineRule="auto"/>
              <w:ind w:left="183"/>
            </w:pPr>
            <w:r>
              <w:rPr>
                <w:spacing w:val="-14"/>
                <w:sz w:val="24"/>
                <w:szCs w:val="24"/>
              </w:rPr>
              <w:t>1</w:t>
            </w:r>
            <w:r>
              <w:rPr>
                <w:spacing w:val="-36"/>
                <w:sz w:val="24"/>
                <w:szCs w:val="24"/>
              </w:rPr>
              <w:t xml:space="preserve"> </w:t>
            </w:r>
            <w:r>
              <w:rPr>
                <w:spacing w:val="-14"/>
              </w:rPr>
              <w:t>台</w:t>
            </w:r>
          </w:p>
        </w:tc>
        <w:tc>
          <w:tcPr>
            <w:tcW w:w="709" w:type="dxa"/>
            <w:vAlign w:val="top"/>
          </w:tcPr>
          <w:p w14:paraId="68383595">
            <w:pPr>
              <w:pStyle w:val="6"/>
              <w:spacing w:before="131" w:line="228" w:lineRule="auto"/>
              <w:ind w:left="151"/>
            </w:pPr>
            <w:r>
              <w:rPr>
                <w:spacing w:val="4"/>
              </w:rPr>
              <w:t>新增</w:t>
            </w:r>
          </w:p>
        </w:tc>
        <w:tc>
          <w:tcPr>
            <w:tcW w:w="1700" w:type="dxa"/>
            <w:vAlign w:val="top"/>
          </w:tcPr>
          <w:p w14:paraId="5CE28622">
            <w:pPr>
              <w:pStyle w:val="6"/>
              <w:spacing w:before="164" w:line="227" w:lineRule="auto"/>
              <w:ind w:left="540"/>
            </w:pPr>
            <w:r>
              <w:rPr>
                <w:spacing w:val="6"/>
              </w:rPr>
              <w:t>刮渣机</w:t>
            </w:r>
          </w:p>
        </w:tc>
        <w:tc>
          <w:tcPr>
            <w:tcW w:w="1558" w:type="dxa"/>
            <w:vAlign w:val="top"/>
          </w:tcPr>
          <w:p w14:paraId="45152509">
            <w:pPr>
              <w:rPr>
                <w:rFonts w:ascii="Arial"/>
                <w:sz w:val="21"/>
              </w:rPr>
            </w:pPr>
          </w:p>
        </w:tc>
        <w:tc>
          <w:tcPr>
            <w:tcW w:w="709" w:type="dxa"/>
            <w:vAlign w:val="top"/>
          </w:tcPr>
          <w:p w14:paraId="5530894E">
            <w:pPr>
              <w:pStyle w:val="6"/>
              <w:spacing w:before="117" w:line="224" w:lineRule="auto"/>
              <w:ind w:left="186"/>
            </w:pPr>
            <w:r>
              <w:rPr>
                <w:spacing w:val="-14"/>
                <w:sz w:val="24"/>
                <w:szCs w:val="24"/>
              </w:rPr>
              <w:t>1</w:t>
            </w:r>
            <w:r>
              <w:rPr>
                <w:spacing w:val="-36"/>
                <w:sz w:val="24"/>
                <w:szCs w:val="24"/>
              </w:rPr>
              <w:t xml:space="preserve"> </w:t>
            </w:r>
            <w:r>
              <w:rPr>
                <w:spacing w:val="-14"/>
              </w:rPr>
              <w:t>台</w:t>
            </w:r>
          </w:p>
        </w:tc>
        <w:tc>
          <w:tcPr>
            <w:tcW w:w="887" w:type="dxa"/>
            <w:vAlign w:val="top"/>
          </w:tcPr>
          <w:p w14:paraId="24C8FCFA">
            <w:pPr>
              <w:pStyle w:val="6"/>
              <w:spacing w:before="131" w:line="228" w:lineRule="auto"/>
              <w:ind w:left="239"/>
            </w:pPr>
            <w:r>
              <w:rPr>
                <w:spacing w:val="4"/>
              </w:rPr>
              <w:t>新增</w:t>
            </w:r>
          </w:p>
        </w:tc>
      </w:tr>
      <w:tr w14:paraId="1B780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33" w:type="dxa"/>
            <w:vAlign w:val="top"/>
          </w:tcPr>
          <w:p w14:paraId="1C908852">
            <w:pPr>
              <w:rPr>
                <w:rFonts w:ascii="Arial"/>
                <w:sz w:val="21"/>
              </w:rPr>
            </w:pPr>
          </w:p>
        </w:tc>
        <w:tc>
          <w:tcPr>
            <w:tcW w:w="1606" w:type="dxa"/>
            <w:vAlign w:val="top"/>
          </w:tcPr>
          <w:p w14:paraId="3F1E1F61">
            <w:pPr>
              <w:rPr>
                <w:rFonts w:ascii="Arial"/>
                <w:sz w:val="21"/>
              </w:rPr>
            </w:pPr>
          </w:p>
        </w:tc>
        <w:tc>
          <w:tcPr>
            <w:tcW w:w="1275" w:type="dxa"/>
            <w:vAlign w:val="top"/>
          </w:tcPr>
          <w:p w14:paraId="3C287F0C">
            <w:pPr>
              <w:rPr>
                <w:rFonts w:ascii="Arial"/>
                <w:sz w:val="21"/>
              </w:rPr>
            </w:pPr>
          </w:p>
        </w:tc>
        <w:tc>
          <w:tcPr>
            <w:tcW w:w="709" w:type="dxa"/>
            <w:vAlign w:val="top"/>
          </w:tcPr>
          <w:p w14:paraId="387B01A9">
            <w:pPr>
              <w:rPr>
                <w:rFonts w:ascii="Arial"/>
                <w:sz w:val="21"/>
              </w:rPr>
            </w:pPr>
          </w:p>
        </w:tc>
        <w:tc>
          <w:tcPr>
            <w:tcW w:w="672" w:type="dxa"/>
            <w:vAlign w:val="top"/>
          </w:tcPr>
          <w:p w14:paraId="355F9BBB">
            <w:pPr>
              <w:rPr>
                <w:rFonts w:ascii="Arial"/>
                <w:sz w:val="21"/>
              </w:rPr>
            </w:pPr>
          </w:p>
        </w:tc>
        <w:tc>
          <w:tcPr>
            <w:tcW w:w="1531" w:type="dxa"/>
            <w:vAlign w:val="top"/>
          </w:tcPr>
          <w:p w14:paraId="23771E56">
            <w:pPr>
              <w:pStyle w:val="6"/>
              <w:spacing w:before="241" w:line="228" w:lineRule="auto"/>
              <w:ind w:left="243"/>
            </w:pPr>
            <w:r>
              <w:rPr>
                <w:spacing w:val="8"/>
              </w:rPr>
              <w:t>废水增压泵</w:t>
            </w:r>
          </w:p>
        </w:tc>
        <w:tc>
          <w:tcPr>
            <w:tcW w:w="1481" w:type="dxa"/>
            <w:vAlign w:val="top"/>
          </w:tcPr>
          <w:p w14:paraId="20AA178A">
            <w:pPr>
              <w:pStyle w:val="6"/>
              <w:spacing w:before="37" w:line="269" w:lineRule="exact"/>
              <w:ind w:left="192"/>
            </w:pPr>
            <w:r>
              <w:rPr>
                <w:spacing w:val="3"/>
              </w:rPr>
              <w:t>Q=120m</w:t>
            </w:r>
            <w:r>
              <w:rPr>
                <w:spacing w:val="3"/>
                <w:position w:val="10"/>
                <w:sz w:val="10"/>
                <w:szCs w:val="10"/>
              </w:rPr>
              <w:t>3</w:t>
            </w:r>
            <w:r>
              <w:rPr>
                <w:spacing w:val="3"/>
              </w:rPr>
              <w:t>/h，</w:t>
            </w:r>
          </w:p>
          <w:p w14:paraId="49E1FD1D">
            <w:pPr>
              <w:pStyle w:val="6"/>
              <w:spacing w:before="60" w:line="233" w:lineRule="auto"/>
              <w:ind w:left="477"/>
            </w:pPr>
            <w:r>
              <w:rPr>
                <w:spacing w:val="4"/>
              </w:rPr>
              <w:t>H=35m</w:t>
            </w:r>
          </w:p>
        </w:tc>
        <w:tc>
          <w:tcPr>
            <w:tcW w:w="708" w:type="dxa"/>
            <w:vAlign w:val="top"/>
          </w:tcPr>
          <w:p w14:paraId="51010A3C">
            <w:pPr>
              <w:pStyle w:val="6"/>
              <w:spacing w:before="195" w:line="224" w:lineRule="auto"/>
              <w:ind w:left="165"/>
            </w:pPr>
            <w:r>
              <w:rPr>
                <w:spacing w:val="-5"/>
                <w:sz w:val="24"/>
                <w:szCs w:val="24"/>
              </w:rPr>
              <w:t>4</w:t>
            </w:r>
            <w:r>
              <w:rPr>
                <w:spacing w:val="-35"/>
                <w:sz w:val="24"/>
                <w:szCs w:val="24"/>
              </w:rPr>
              <w:t xml:space="preserve"> </w:t>
            </w:r>
            <w:r>
              <w:rPr>
                <w:spacing w:val="-5"/>
              </w:rPr>
              <w:t>台</w:t>
            </w:r>
          </w:p>
        </w:tc>
        <w:tc>
          <w:tcPr>
            <w:tcW w:w="709" w:type="dxa"/>
            <w:vAlign w:val="top"/>
          </w:tcPr>
          <w:p w14:paraId="4072D084">
            <w:pPr>
              <w:pStyle w:val="6"/>
              <w:spacing w:before="210" w:line="228" w:lineRule="auto"/>
              <w:ind w:left="151"/>
            </w:pPr>
            <w:r>
              <w:rPr>
                <w:spacing w:val="4"/>
              </w:rPr>
              <w:t>新增</w:t>
            </w:r>
          </w:p>
        </w:tc>
        <w:tc>
          <w:tcPr>
            <w:tcW w:w="1700" w:type="dxa"/>
            <w:vAlign w:val="top"/>
          </w:tcPr>
          <w:p w14:paraId="58994EEC">
            <w:pPr>
              <w:pStyle w:val="6"/>
              <w:spacing w:before="241" w:line="228" w:lineRule="auto"/>
              <w:ind w:left="331"/>
            </w:pPr>
            <w:r>
              <w:rPr>
                <w:spacing w:val="8"/>
              </w:rPr>
              <w:t>废水增压泵</w:t>
            </w:r>
          </w:p>
        </w:tc>
        <w:tc>
          <w:tcPr>
            <w:tcW w:w="1558" w:type="dxa"/>
            <w:vAlign w:val="top"/>
          </w:tcPr>
          <w:p w14:paraId="024E215E">
            <w:pPr>
              <w:pStyle w:val="6"/>
              <w:spacing w:before="37" w:line="269" w:lineRule="exact"/>
              <w:ind w:left="233"/>
            </w:pPr>
            <w:r>
              <w:rPr>
                <w:spacing w:val="3"/>
              </w:rPr>
              <w:t>Q=120m</w:t>
            </w:r>
            <w:r>
              <w:rPr>
                <w:spacing w:val="3"/>
                <w:position w:val="10"/>
                <w:sz w:val="10"/>
                <w:szCs w:val="10"/>
              </w:rPr>
              <w:t>3</w:t>
            </w:r>
            <w:r>
              <w:rPr>
                <w:spacing w:val="3"/>
              </w:rPr>
              <w:t>/h，</w:t>
            </w:r>
          </w:p>
          <w:p w14:paraId="680295C0">
            <w:pPr>
              <w:pStyle w:val="6"/>
              <w:spacing w:before="60" w:line="233" w:lineRule="auto"/>
              <w:ind w:left="518"/>
            </w:pPr>
            <w:r>
              <w:rPr>
                <w:spacing w:val="4"/>
              </w:rPr>
              <w:t>H=35m</w:t>
            </w:r>
          </w:p>
        </w:tc>
        <w:tc>
          <w:tcPr>
            <w:tcW w:w="709" w:type="dxa"/>
            <w:vAlign w:val="top"/>
          </w:tcPr>
          <w:p w14:paraId="06FB5817">
            <w:pPr>
              <w:pStyle w:val="6"/>
              <w:spacing w:before="195" w:line="224" w:lineRule="auto"/>
              <w:ind w:left="167"/>
            </w:pPr>
            <w:r>
              <w:rPr>
                <w:spacing w:val="-5"/>
                <w:sz w:val="24"/>
                <w:szCs w:val="24"/>
              </w:rPr>
              <w:t>4</w:t>
            </w:r>
            <w:r>
              <w:rPr>
                <w:spacing w:val="-35"/>
                <w:sz w:val="24"/>
                <w:szCs w:val="24"/>
              </w:rPr>
              <w:t xml:space="preserve"> </w:t>
            </w:r>
            <w:r>
              <w:rPr>
                <w:spacing w:val="-5"/>
              </w:rPr>
              <w:t>台</w:t>
            </w:r>
          </w:p>
        </w:tc>
        <w:tc>
          <w:tcPr>
            <w:tcW w:w="887" w:type="dxa"/>
            <w:vAlign w:val="top"/>
          </w:tcPr>
          <w:p w14:paraId="332605A9">
            <w:pPr>
              <w:pStyle w:val="6"/>
              <w:spacing w:before="210" w:line="228" w:lineRule="auto"/>
              <w:ind w:left="239"/>
            </w:pPr>
            <w:r>
              <w:rPr>
                <w:spacing w:val="4"/>
              </w:rPr>
              <w:t>新增</w:t>
            </w:r>
          </w:p>
        </w:tc>
      </w:tr>
      <w:tr w14:paraId="3EAC8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33" w:type="dxa"/>
            <w:vAlign w:val="top"/>
          </w:tcPr>
          <w:p w14:paraId="604B33A7">
            <w:pPr>
              <w:rPr>
                <w:rFonts w:ascii="Arial"/>
                <w:sz w:val="21"/>
              </w:rPr>
            </w:pPr>
          </w:p>
        </w:tc>
        <w:tc>
          <w:tcPr>
            <w:tcW w:w="1606" w:type="dxa"/>
            <w:vAlign w:val="top"/>
          </w:tcPr>
          <w:p w14:paraId="45A2EF77">
            <w:pPr>
              <w:rPr>
                <w:rFonts w:ascii="Arial"/>
                <w:sz w:val="21"/>
              </w:rPr>
            </w:pPr>
          </w:p>
        </w:tc>
        <w:tc>
          <w:tcPr>
            <w:tcW w:w="1275" w:type="dxa"/>
            <w:vAlign w:val="top"/>
          </w:tcPr>
          <w:p w14:paraId="13C59AF0">
            <w:pPr>
              <w:rPr>
                <w:rFonts w:ascii="Arial"/>
                <w:sz w:val="21"/>
              </w:rPr>
            </w:pPr>
          </w:p>
        </w:tc>
        <w:tc>
          <w:tcPr>
            <w:tcW w:w="709" w:type="dxa"/>
            <w:vAlign w:val="top"/>
          </w:tcPr>
          <w:p w14:paraId="50C13EFB">
            <w:pPr>
              <w:rPr>
                <w:rFonts w:ascii="Arial"/>
                <w:sz w:val="21"/>
              </w:rPr>
            </w:pPr>
          </w:p>
        </w:tc>
        <w:tc>
          <w:tcPr>
            <w:tcW w:w="672" w:type="dxa"/>
            <w:vAlign w:val="top"/>
          </w:tcPr>
          <w:p w14:paraId="19904820">
            <w:pPr>
              <w:rPr>
                <w:rFonts w:ascii="Arial"/>
                <w:sz w:val="21"/>
              </w:rPr>
            </w:pPr>
          </w:p>
        </w:tc>
        <w:tc>
          <w:tcPr>
            <w:tcW w:w="1531" w:type="dxa"/>
            <w:vAlign w:val="top"/>
          </w:tcPr>
          <w:p w14:paraId="2421D09B">
            <w:pPr>
              <w:pStyle w:val="6"/>
              <w:spacing w:before="111" w:line="227" w:lineRule="auto"/>
              <w:ind w:left="140"/>
            </w:pPr>
            <w:r>
              <w:rPr>
                <w:spacing w:val="8"/>
              </w:rPr>
              <w:t>全自动多介质</w:t>
            </w:r>
          </w:p>
          <w:p w14:paraId="5B8D0D63">
            <w:pPr>
              <w:pStyle w:val="6"/>
              <w:spacing w:before="114" w:line="224" w:lineRule="auto"/>
              <w:ind w:left="456"/>
            </w:pPr>
            <w:r>
              <w:rPr>
                <w:spacing w:val="6"/>
              </w:rPr>
              <w:t>过滤器</w:t>
            </w:r>
          </w:p>
        </w:tc>
        <w:tc>
          <w:tcPr>
            <w:tcW w:w="1481" w:type="dxa"/>
            <w:vAlign w:val="top"/>
          </w:tcPr>
          <w:p w14:paraId="21095117">
            <w:pPr>
              <w:pStyle w:val="6"/>
              <w:spacing w:before="101" w:line="269" w:lineRule="exact"/>
              <w:ind w:left="140"/>
            </w:pPr>
            <w:r>
              <w:rPr>
                <w:spacing w:val="2"/>
                <w:position w:val="1"/>
              </w:rPr>
              <w:t>Φ2800×4680</w:t>
            </w:r>
          </w:p>
          <w:p w14:paraId="4E882ED2">
            <w:pPr>
              <w:pStyle w:val="6"/>
              <w:spacing w:before="43" w:line="270" w:lineRule="exact"/>
              <w:ind w:left="634"/>
            </w:pPr>
            <w:r>
              <w:rPr>
                <w:spacing w:val="3"/>
                <w:position w:val="3"/>
              </w:rPr>
              <w:t>mm</w:t>
            </w:r>
          </w:p>
        </w:tc>
        <w:tc>
          <w:tcPr>
            <w:tcW w:w="708" w:type="dxa"/>
            <w:vAlign w:val="top"/>
          </w:tcPr>
          <w:p w14:paraId="308B3255">
            <w:pPr>
              <w:pStyle w:val="6"/>
              <w:spacing w:before="243" w:line="224" w:lineRule="auto"/>
              <w:ind w:left="168"/>
            </w:pPr>
            <w:r>
              <w:rPr>
                <w:spacing w:val="-6"/>
                <w:sz w:val="24"/>
                <w:szCs w:val="24"/>
              </w:rPr>
              <w:t>6</w:t>
            </w:r>
            <w:r>
              <w:rPr>
                <w:spacing w:val="-36"/>
                <w:sz w:val="24"/>
                <w:szCs w:val="24"/>
              </w:rPr>
              <w:t xml:space="preserve"> </w:t>
            </w:r>
            <w:r>
              <w:rPr>
                <w:spacing w:val="-6"/>
              </w:rPr>
              <w:t>台</w:t>
            </w:r>
          </w:p>
        </w:tc>
        <w:tc>
          <w:tcPr>
            <w:tcW w:w="709" w:type="dxa"/>
            <w:vAlign w:val="top"/>
          </w:tcPr>
          <w:p w14:paraId="6E4E6396">
            <w:pPr>
              <w:pStyle w:val="6"/>
              <w:spacing w:before="258" w:line="228" w:lineRule="auto"/>
              <w:ind w:left="151"/>
            </w:pPr>
            <w:r>
              <w:rPr>
                <w:spacing w:val="4"/>
              </w:rPr>
              <w:t>新增</w:t>
            </w:r>
          </w:p>
        </w:tc>
        <w:tc>
          <w:tcPr>
            <w:tcW w:w="1700" w:type="dxa"/>
            <w:vAlign w:val="top"/>
          </w:tcPr>
          <w:p w14:paraId="63BF7A09">
            <w:pPr>
              <w:pStyle w:val="6"/>
              <w:spacing w:before="111" w:line="278" w:lineRule="auto"/>
              <w:ind w:left="647" w:right="113" w:hanging="527"/>
            </w:pPr>
            <w:r>
              <w:rPr>
                <w:spacing w:val="8"/>
              </w:rPr>
              <w:t>全自动多介质过</w:t>
            </w:r>
            <w:r>
              <w:rPr>
                <w:spacing w:val="3"/>
              </w:rPr>
              <w:t xml:space="preserve"> 滤器</w:t>
            </w:r>
          </w:p>
        </w:tc>
        <w:tc>
          <w:tcPr>
            <w:tcW w:w="1558" w:type="dxa"/>
            <w:vAlign w:val="top"/>
          </w:tcPr>
          <w:p w14:paraId="55AE17A6">
            <w:pPr>
              <w:pStyle w:val="6"/>
              <w:spacing w:before="101" w:line="269" w:lineRule="exact"/>
              <w:ind w:left="181"/>
            </w:pPr>
            <w:r>
              <w:rPr>
                <w:spacing w:val="2"/>
                <w:position w:val="1"/>
              </w:rPr>
              <w:t>Φ2800×4680</w:t>
            </w:r>
          </w:p>
          <w:p w14:paraId="126158AF">
            <w:pPr>
              <w:pStyle w:val="6"/>
              <w:spacing w:before="43" w:line="270" w:lineRule="exact"/>
              <w:ind w:left="675"/>
            </w:pPr>
            <w:r>
              <w:rPr>
                <w:spacing w:val="3"/>
                <w:position w:val="3"/>
              </w:rPr>
              <w:t>mm</w:t>
            </w:r>
          </w:p>
        </w:tc>
        <w:tc>
          <w:tcPr>
            <w:tcW w:w="709" w:type="dxa"/>
            <w:vAlign w:val="top"/>
          </w:tcPr>
          <w:p w14:paraId="66D4D03A">
            <w:pPr>
              <w:pStyle w:val="6"/>
              <w:spacing w:before="243" w:line="224" w:lineRule="auto"/>
              <w:ind w:left="170"/>
            </w:pPr>
            <w:r>
              <w:rPr>
                <w:spacing w:val="-6"/>
                <w:sz w:val="24"/>
                <w:szCs w:val="24"/>
              </w:rPr>
              <w:t>6</w:t>
            </w:r>
            <w:r>
              <w:rPr>
                <w:spacing w:val="-36"/>
                <w:sz w:val="24"/>
                <w:szCs w:val="24"/>
              </w:rPr>
              <w:t xml:space="preserve"> </w:t>
            </w:r>
            <w:r>
              <w:rPr>
                <w:spacing w:val="-6"/>
              </w:rPr>
              <w:t>台</w:t>
            </w:r>
          </w:p>
        </w:tc>
        <w:tc>
          <w:tcPr>
            <w:tcW w:w="887" w:type="dxa"/>
            <w:vAlign w:val="top"/>
          </w:tcPr>
          <w:p w14:paraId="713BECF2">
            <w:pPr>
              <w:pStyle w:val="6"/>
              <w:spacing w:before="258" w:line="228" w:lineRule="auto"/>
              <w:ind w:left="239"/>
            </w:pPr>
            <w:r>
              <w:rPr>
                <w:spacing w:val="4"/>
              </w:rPr>
              <w:t>新增</w:t>
            </w:r>
          </w:p>
        </w:tc>
      </w:tr>
      <w:tr w14:paraId="370C1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33" w:type="dxa"/>
            <w:vAlign w:val="top"/>
          </w:tcPr>
          <w:p w14:paraId="53D73BFD">
            <w:pPr>
              <w:rPr>
                <w:rFonts w:ascii="Arial"/>
                <w:sz w:val="21"/>
              </w:rPr>
            </w:pPr>
          </w:p>
        </w:tc>
        <w:tc>
          <w:tcPr>
            <w:tcW w:w="1606" w:type="dxa"/>
            <w:vAlign w:val="top"/>
          </w:tcPr>
          <w:p w14:paraId="19239EE5">
            <w:pPr>
              <w:rPr>
                <w:rFonts w:ascii="Arial"/>
                <w:sz w:val="21"/>
              </w:rPr>
            </w:pPr>
          </w:p>
        </w:tc>
        <w:tc>
          <w:tcPr>
            <w:tcW w:w="1275" w:type="dxa"/>
            <w:vAlign w:val="top"/>
          </w:tcPr>
          <w:p w14:paraId="577331EB">
            <w:pPr>
              <w:rPr>
                <w:rFonts w:ascii="Arial"/>
                <w:sz w:val="21"/>
              </w:rPr>
            </w:pPr>
          </w:p>
        </w:tc>
        <w:tc>
          <w:tcPr>
            <w:tcW w:w="709" w:type="dxa"/>
            <w:vAlign w:val="top"/>
          </w:tcPr>
          <w:p w14:paraId="1368FD20">
            <w:pPr>
              <w:rPr>
                <w:rFonts w:ascii="Arial"/>
                <w:sz w:val="21"/>
              </w:rPr>
            </w:pPr>
          </w:p>
        </w:tc>
        <w:tc>
          <w:tcPr>
            <w:tcW w:w="672" w:type="dxa"/>
            <w:vAlign w:val="top"/>
          </w:tcPr>
          <w:p w14:paraId="54914753">
            <w:pPr>
              <w:rPr>
                <w:rFonts w:ascii="Arial"/>
                <w:sz w:val="21"/>
              </w:rPr>
            </w:pPr>
          </w:p>
        </w:tc>
        <w:tc>
          <w:tcPr>
            <w:tcW w:w="1531" w:type="dxa"/>
            <w:vAlign w:val="top"/>
          </w:tcPr>
          <w:p w14:paraId="72D68D07">
            <w:pPr>
              <w:pStyle w:val="6"/>
              <w:spacing w:before="165" w:line="228" w:lineRule="auto"/>
              <w:ind w:left="175"/>
            </w:pPr>
            <w:r>
              <w:rPr>
                <w:spacing w:val="2"/>
              </w:rPr>
              <w:t>自清洗过滤器</w:t>
            </w:r>
          </w:p>
        </w:tc>
        <w:tc>
          <w:tcPr>
            <w:tcW w:w="1481" w:type="dxa"/>
            <w:vAlign w:val="top"/>
          </w:tcPr>
          <w:p w14:paraId="46A07DF1">
            <w:pPr>
              <w:pStyle w:val="6"/>
              <w:spacing w:before="116" w:line="267" w:lineRule="exact"/>
              <w:ind w:left="459"/>
            </w:pPr>
            <w:r>
              <w:rPr>
                <w:spacing w:val="2"/>
                <w:position w:val="1"/>
              </w:rPr>
              <w:t>60m</w:t>
            </w:r>
            <w:r>
              <w:rPr>
                <w:spacing w:val="2"/>
                <w:position w:val="10"/>
                <w:sz w:val="10"/>
                <w:szCs w:val="10"/>
              </w:rPr>
              <w:t>3</w:t>
            </w:r>
            <w:r>
              <w:rPr>
                <w:spacing w:val="2"/>
                <w:position w:val="1"/>
              </w:rPr>
              <w:t>/h</w:t>
            </w:r>
          </w:p>
        </w:tc>
        <w:tc>
          <w:tcPr>
            <w:tcW w:w="708" w:type="dxa"/>
            <w:vAlign w:val="top"/>
          </w:tcPr>
          <w:p w14:paraId="06FC9A42">
            <w:pPr>
              <w:pStyle w:val="6"/>
              <w:spacing w:before="116" w:line="224" w:lineRule="auto"/>
              <w:ind w:left="170"/>
            </w:pPr>
            <w:r>
              <w:rPr>
                <w:spacing w:val="-8"/>
                <w:sz w:val="24"/>
                <w:szCs w:val="24"/>
              </w:rPr>
              <w:t>3</w:t>
            </w:r>
            <w:r>
              <w:rPr>
                <w:spacing w:val="-35"/>
                <w:sz w:val="24"/>
                <w:szCs w:val="24"/>
              </w:rPr>
              <w:t xml:space="preserve"> </w:t>
            </w:r>
            <w:r>
              <w:rPr>
                <w:spacing w:val="-8"/>
              </w:rPr>
              <w:t>台</w:t>
            </w:r>
          </w:p>
        </w:tc>
        <w:tc>
          <w:tcPr>
            <w:tcW w:w="709" w:type="dxa"/>
            <w:vAlign w:val="top"/>
          </w:tcPr>
          <w:p w14:paraId="6A677193">
            <w:pPr>
              <w:pStyle w:val="6"/>
              <w:spacing w:before="131" w:line="228" w:lineRule="auto"/>
              <w:ind w:left="151"/>
            </w:pPr>
            <w:r>
              <w:rPr>
                <w:spacing w:val="4"/>
              </w:rPr>
              <w:t>新增</w:t>
            </w:r>
          </w:p>
        </w:tc>
        <w:tc>
          <w:tcPr>
            <w:tcW w:w="1700" w:type="dxa"/>
            <w:vAlign w:val="top"/>
          </w:tcPr>
          <w:p w14:paraId="03F2EA10">
            <w:pPr>
              <w:pStyle w:val="6"/>
              <w:spacing w:before="165" w:line="228" w:lineRule="auto"/>
              <w:ind w:left="260"/>
            </w:pPr>
            <w:r>
              <w:rPr>
                <w:spacing w:val="2"/>
              </w:rPr>
              <w:t>自清洗过滤器</w:t>
            </w:r>
          </w:p>
        </w:tc>
        <w:tc>
          <w:tcPr>
            <w:tcW w:w="1558" w:type="dxa"/>
            <w:vAlign w:val="top"/>
          </w:tcPr>
          <w:p w14:paraId="57DBD2C7">
            <w:pPr>
              <w:pStyle w:val="6"/>
              <w:spacing w:before="116" w:line="267" w:lineRule="exact"/>
              <w:ind w:left="498"/>
            </w:pPr>
            <w:r>
              <w:rPr>
                <w:spacing w:val="2"/>
                <w:position w:val="1"/>
              </w:rPr>
              <w:t>60m</w:t>
            </w:r>
            <w:r>
              <w:rPr>
                <w:spacing w:val="2"/>
                <w:position w:val="10"/>
                <w:sz w:val="10"/>
                <w:szCs w:val="10"/>
              </w:rPr>
              <w:t>3</w:t>
            </w:r>
            <w:r>
              <w:rPr>
                <w:spacing w:val="2"/>
                <w:position w:val="1"/>
              </w:rPr>
              <w:t>/h</w:t>
            </w:r>
          </w:p>
        </w:tc>
        <w:tc>
          <w:tcPr>
            <w:tcW w:w="709" w:type="dxa"/>
            <w:vAlign w:val="top"/>
          </w:tcPr>
          <w:p w14:paraId="7EF6EE46">
            <w:pPr>
              <w:pStyle w:val="6"/>
              <w:spacing w:before="116" w:line="224" w:lineRule="auto"/>
              <w:ind w:left="173"/>
            </w:pPr>
            <w:r>
              <w:rPr>
                <w:spacing w:val="-8"/>
                <w:sz w:val="24"/>
                <w:szCs w:val="24"/>
              </w:rPr>
              <w:t>3</w:t>
            </w:r>
            <w:r>
              <w:rPr>
                <w:spacing w:val="-35"/>
                <w:sz w:val="24"/>
                <w:szCs w:val="24"/>
              </w:rPr>
              <w:t xml:space="preserve"> </w:t>
            </w:r>
            <w:r>
              <w:rPr>
                <w:spacing w:val="-8"/>
              </w:rPr>
              <w:t>台</w:t>
            </w:r>
          </w:p>
        </w:tc>
        <w:tc>
          <w:tcPr>
            <w:tcW w:w="887" w:type="dxa"/>
            <w:vAlign w:val="top"/>
          </w:tcPr>
          <w:p w14:paraId="40DA8919">
            <w:pPr>
              <w:pStyle w:val="6"/>
              <w:spacing w:before="131" w:line="228" w:lineRule="auto"/>
              <w:ind w:left="239"/>
            </w:pPr>
            <w:r>
              <w:rPr>
                <w:spacing w:val="4"/>
              </w:rPr>
              <w:t>新增</w:t>
            </w:r>
          </w:p>
        </w:tc>
      </w:tr>
      <w:tr w14:paraId="150CA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0A7220CE">
            <w:pPr>
              <w:rPr>
                <w:rFonts w:ascii="Arial"/>
                <w:sz w:val="21"/>
              </w:rPr>
            </w:pPr>
          </w:p>
        </w:tc>
        <w:tc>
          <w:tcPr>
            <w:tcW w:w="1606" w:type="dxa"/>
            <w:vAlign w:val="top"/>
          </w:tcPr>
          <w:p w14:paraId="499F29B0">
            <w:pPr>
              <w:rPr>
                <w:rFonts w:ascii="Arial"/>
                <w:sz w:val="21"/>
              </w:rPr>
            </w:pPr>
          </w:p>
        </w:tc>
        <w:tc>
          <w:tcPr>
            <w:tcW w:w="1275" w:type="dxa"/>
            <w:vAlign w:val="top"/>
          </w:tcPr>
          <w:p w14:paraId="7D8FCE84">
            <w:pPr>
              <w:rPr>
                <w:rFonts w:ascii="Arial"/>
                <w:sz w:val="21"/>
              </w:rPr>
            </w:pPr>
          </w:p>
        </w:tc>
        <w:tc>
          <w:tcPr>
            <w:tcW w:w="709" w:type="dxa"/>
            <w:vAlign w:val="top"/>
          </w:tcPr>
          <w:p w14:paraId="1CFD70D4">
            <w:pPr>
              <w:rPr>
                <w:rFonts w:ascii="Arial"/>
                <w:sz w:val="21"/>
              </w:rPr>
            </w:pPr>
          </w:p>
        </w:tc>
        <w:tc>
          <w:tcPr>
            <w:tcW w:w="672" w:type="dxa"/>
            <w:vAlign w:val="top"/>
          </w:tcPr>
          <w:p w14:paraId="79B23EDC">
            <w:pPr>
              <w:rPr>
                <w:rFonts w:ascii="Arial"/>
                <w:sz w:val="21"/>
              </w:rPr>
            </w:pPr>
          </w:p>
        </w:tc>
        <w:tc>
          <w:tcPr>
            <w:tcW w:w="1531" w:type="dxa"/>
            <w:vAlign w:val="top"/>
          </w:tcPr>
          <w:p w14:paraId="26BD4D36">
            <w:pPr>
              <w:spacing w:line="332" w:lineRule="auto"/>
              <w:rPr>
                <w:rFonts w:ascii="Arial"/>
                <w:sz w:val="21"/>
              </w:rPr>
            </w:pPr>
          </w:p>
          <w:p w14:paraId="4881B2BF">
            <w:pPr>
              <w:pStyle w:val="6"/>
              <w:spacing w:before="65" w:line="228" w:lineRule="auto"/>
              <w:ind w:left="455"/>
            </w:pPr>
            <w:r>
              <w:rPr>
                <w:spacing w:val="6"/>
              </w:rPr>
              <w:t>双吸泵</w:t>
            </w:r>
          </w:p>
        </w:tc>
        <w:tc>
          <w:tcPr>
            <w:tcW w:w="1481" w:type="dxa"/>
            <w:vAlign w:val="top"/>
          </w:tcPr>
          <w:p w14:paraId="0DDEC73E">
            <w:pPr>
              <w:pStyle w:val="6"/>
              <w:spacing w:before="54" w:line="268" w:lineRule="exact"/>
              <w:ind w:left="115"/>
            </w:pPr>
            <w:r>
              <w:rPr>
                <w:position w:val="1"/>
              </w:rPr>
              <w:t>SLOW</w:t>
            </w:r>
            <w:r>
              <w:rPr>
                <w:spacing w:val="6"/>
                <w:position w:val="1"/>
              </w:rPr>
              <w:t>125-240A</w:t>
            </w:r>
          </w:p>
          <w:p w14:paraId="23BE9004">
            <w:pPr>
              <w:pStyle w:val="6"/>
              <w:spacing w:before="25" w:line="241" w:lineRule="auto"/>
              <w:ind w:left="129"/>
            </w:pPr>
            <w:r>
              <w:rPr>
                <w:spacing w:val="-7"/>
              </w:rPr>
              <w:t>,</w:t>
            </w:r>
            <w:r>
              <w:rPr>
                <w:spacing w:val="63"/>
              </w:rPr>
              <w:t xml:space="preserve"> </w:t>
            </w:r>
            <w:r>
              <w:rPr>
                <w:spacing w:val="-7"/>
              </w:rPr>
              <w:t>Q=320m</w:t>
            </w:r>
            <w:r>
              <w:rPr>
                <w:spacing w:val="3"/>
                <w:position w:val="10"/>
                <w:sz w:val="10"/>
                <w:szCs w:val="10"/>
              </w:rPr>
              <w:t>3</w:t>
            </w:r>
            <w:r>
              <w:rPr>
                <w:spacing w:val="3"/>
              </w:rPr>
              <w:t>/h，</w:t>
            </w:r>
          </w:p>
          <w:p w14:paraId="7C14107C">
            <w:pPr>
              <w:pStyle w:val="6"/>
              <w:spacing w:before="68" w:line="233" w:lineRule="auto"/>
              <w:ind w:left="477"/>
            </w:pPr>
            <w:r>
              <w:rPr>
                <w:spacing w:val="4"/>
              </w:rPr>
              <w:t>H=55m</w:t>
            </w:r>
          </w:p>
        </w:tc>
        <w:tc>
          <w:tcPr>
            <w:tcW w:w="708" w:type="dxa"/>
            <w:vAlign w:val="top"/>
          </w:tcPr>
          <w:p w14:paraId="5008E460">
            <w:pPr>
              <w:spacing w:line="272" w:lineRule="auto"/>
              <w:rPr>
                <w:rFonts w:ascii="Arial"/>
                <w:sz w:val="21"/>
              </w:rPr>
            </w:pPr>
          </w:p>
          <w:p w14:paraId="66C67FEF">
            <w:pPr>
              <w:pStyle w:val="6"/>
              <w:spacing w:before="78"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709" w:type="dxa"/>
            <w:vAlign w:val="top"/>
          </w:tcPr>
          <w:p w14:paraId="3B4FC7F9">
            <w:pPr>
              <w:spacing w:line="299" w:lineRule="auto"/>
              <w:rPr>
                <w:rFonts w:ascii="Arial"/>
                <w:sz w:val="21"/>
              </w:rPr>
            </w:pPr>
          </w:p>
          <w:p w14:paraId="4023E886">
            <w:pPr>
              <w:pStyle w:val="6"/>
              <w:spacing w:before="65" w:line="228" w:lineRule="auto"/>
              <w:ind w:left="151"/>
            </w:pPr>
            <w:r>
              <w:rPr>
                <w:spacing w:val="4"/>
              </w:rPr>
              <w:t>新增</w:t>
            </w:r>
          </w:p>
        </w:tc>
        <w:tc>
          <w:tcPr>
            <w:tcW w:w="1700" w:type="dxa"/>
            <w:vAlign w:val="top"/>
          </w:tcPr>
          <w:p w14:paraId="15BBD0F0">
            <w:pPr>
              <w:spacing w:line="332" w:lineRule="auto"/>
              <w:rPr>
                <w:rFonts w:ascii="Arial"/>
                <w:sz w:val="21"/>
              </w:rPr>
            </w:pPr>
          </w:p>
          <w:p w14:paraId="73F1B900">
            <w:pPr>
              <w:pStyle w:val="6"/>
              <w:spacing w:before="65" w:line="228" w:lineRule="auto"/>
              <w:ind w:left="540"/>
            </w:pPr>
            <w:r>
              <w:rPr>
                <w:spacing w:val="6"/>
              </w:rPr>
              <w:t>双吸泵</w:t>
            </w:r>
          </w:p>
        </w:tc>
        <w:tc>
          <w:tcPr>
            <w:tcW w:w="1558" w:type="dxa"/>
            <w:vAlign w:val="top"/>
          </w:tcPr>
          <w:p w14:paraId="5717FB02">
            <w:pPr>
              <w:pStyle w:val="6"/>
              <w:spacing w:before="54" w:line="268" w:lineRule="exact"/>
              <w:ind w:left="156"/>
            </w:pPr>
            <w:r>
              <w:rPr>
                <w:position w:val="1"/>
              </w:rPr>
              <w:t>SLOW</w:t>
            </w:r>
            <w:r>
              <w:rPr>
                <w:spacing w:val="6"/>
                <w:position w:val="1"/>
              </w:rPr>
              <w:t>125-240A</w:t>
            </w:r>
          </w:p>
          <w:p w14:paraId="75F8623B">
            <w:pPr>
              <w:pStyle w:val="6"/>
              <w:spacing w:before="25" w:line="241" w:lineRule="auto"/>
              <w:ind w:left="146"/>
            </w:pPr>
            <w:r>
              <w:rPr>
                <w:spacing w:val="-7"/>
              </w:rPr>
              <w:t>,</w:t>
            </w:r>
            <w:r>
              <w:rPr>
                <w:spacing w:val="63"/>
              </w:rPr>
              <w:t xml:space="preserve"> </w:t>
            </w:r>
            <w:r>
              <w:rPr>
                <w:spacing w:val="-7"/>
              </w:rPr>
              <w:t>Q=320m</w:t>
            </w:r>
            <w:r>
              <w:rPr>
                <w:spacing w:val="3"/>
                <w:position w:val="10"/>
                <w:sz w:val="10"/>
                <w:szCs w:val="10"/>
              </w:rPr>
              <w:t>3</w:t>
            </w:r>
            <w:r>
              <w:rPr>
                <w:spacing w:val="3"/>
              </w:rPr>
              <w:t>/h，</w:t>
            </w:r>
          </w:p>
          <w:p w14:paraId="3CBB2842">
            <w:pPr>
              <w:pStyle w:val="6"/>
              <w:spacing w:before="68" w:line="233" w:lineRule="auto"/>
              <w:ind w:left="518"/>
            </w:pPr>
            <w:r>
              <w:rPr>
                <w:spacing w:val="4"/>
              </w:rPr>
              <w:t>H=55m</w:t>
            </w:r>
          </w:p>
        </w:tc>
        <w:tc>
          <w:tcPr>
            <w:tcW w:w="709" w:type="dxa"/>
            <w:vAlign w:val="top"/>
          </w:tcPr>
          <w:p w14:paraId="0DC1CE07">
            <w:pPr>
              <w:spacing w:line="272" w:lineRule="auto"/>
              <w:rPr>
                <w:rFonts w:ascii="Arial"/>
                <w:sz w:val="21"/>
              </w:rPr>
            </w:pPr>
          </w:p>
          <w:p w14:paraId="3417BDB5">
            <w:pPr>
              <w:pStyle w:val="6"/>
              <w:spacing w:before="78"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887" w:type="dxa"/>
            <w:vAlign w:val="top"/>
          </w:tcPr>
          <w:p w14:paraId="729E1DD5">
            <w:pPr>
              <w:spacing w:line="299" w:lineRule="auto"/>
              <w:rPr>
                <w:rFonts w:ascii="Arial"/>
                <w:sz w:val="21"/>
              </w:rPr>
            </w:pPr>
          </w:p>
          <w:p w14:paraId="189A7F75">
            <w:pPr>
              <w:pStyle w:val="6"/>
              <w:spacing w:before="65" w:line="228" w:lineRule="auto"/>
              <w:ind w:left="239"/>
            </w:pPr>
            <w:r>
              <w:rPr>
                <w:spacing w:val="4"/>
              </w:rPr>
              <w:t>新增</w:t>
            </w:r>
          </w:p>
        </w:tc>
      </w:tr>
      <w:tr w14:paraId="6AF49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13215512">
            <w:pPr>
              <w:rPr>
                <w:rFonts w:ascii="Arial"/>
                <w:sz w:val="21"/>
              </w:rPr>
            </w:pPr>
          </w:p>
        </w:tc>
        <w:tc>
          <w:tcPr>
            <w:tcW w:w="1606" w:type="dxa"/>
            <w:vAlign w:val="top"/>
          </w:tcPr>
          <w:p w14:paraId="2282F397">
            <w:pPr>
              <w:rPr>
                <w:rFonts w:ascii="Arial"/>
                <w:sz w:val="21"/>
              </w:rPr>
            </w:pPr>
          </w:p>
        </w:tc>
        <w:tc>
          <w:tcPr>
            <w:tcW w:w="1275" w:type="dxa"/>
            <w:vAlign w:val="top"/>
          </w:tcPr>
          <w:p w14:paraId="657BF49C">
            <w:pPr>
              <w:rPr>
                <w:rFonts w:ascii="Arial"/>
                <w:sz w:val="21"/>
              </w:rPr>
            </w:pPr>
          </w:p>
        </w:tc>
        <w:tc>
          <w:tcPr>
            <w:tcW w:w="709" w:type="dxa"/>
            <w:vAlign w:val="top"/>
          </w:tcPr>
          <w:p w14:paraId="559F2246">
            <w:pPr>
              <w:rPr>
                <w:rFonts w:ascii="Arial"/>
                <w:sz w:val="21"/>
              </w:rPr>
            </w:pPr>
          </w:p>
        </w:tc>
        <w:tc>
          <w:tcPr>
            <w:tcW w:w="672" w:type="dxa"/>
            <w:vAlign w:val="top"/>
          </w:tcPr>
          <w:p w14:paraId="16CE191C">
            <w:pPr>
              <w:rPr>
                <w:rFonts w:ascii="Arial"/>
                <w:sz w:val="21"/>
              </w:rPr>
            </w:pPr>
          </w:p>
        </w:tc>
        <w:tc>
          <w:tcPr>
            <w:tcW w:w="1531" w:type="dxa"/>
            <w:vAlign w:val="top"/>
          </w:tcPr>
          <w:p w14:paraId="5A32F845">
            <w:pPr>
              <w:spacing w:line="332" w:lineRule="auto"/>
              <w:rPr>
                <w:rFonts w:ascii="Arial"/>
                <w:sz w:val="21"/>
              </w:rPr>
            </w:pPr>
          </w:p>
          <w:p w14:paraId="1CFC08EB">
            <w:pPr>
              <w:pStyle w:val="6"/>
              <w:spacing w:before="65" w:line="228" w:lineRule="auto"/>
              <w:ind w:left="455"/>
            </w:pPr>
            <w:r>
              <w:rPr>
                <w:spacing w:val="6"/>
              </w:rPr>
              <w:t>双吸泵</w:t>
            </w:r>
          </w:p>
        </w:tc>
        <w:tc>
          <w:tcPr>
            <w:tcW w:w="1481" w:type="dxa"/>
            <w:vAlign w:val="top"/>
          </w:tcPr>
          <w:p w14:paraId="02715BA6">
            <w:pPr>
              <w:pStyle w:val="6"/>
              <w:spacing w:before="54" w:line="239" w:lineRule="auto"/>
              <w:ind w:right="16"/>
              <w:jc w:val="right"/>
            </w:pPr>
            <w:r>
              <w:t>SLOW</w:t>
            </w:r>
            <w:r>
              <w:rPr>
                <w:spacing w:val="5"/>
              </w:rPr>
              <w:t>80-280B，</w:t>
            </w:r>
          </w:p>
          <w:p w14:paraId="66E2297C">
            <w:pPr>
              <w:pStyle w:val="6"/>
              <w:spacing w:before="38" w:line="266" w:lineRule="exact"/>
              <w:ind w:left="192"/>
            </w:pPr>
            <w:r>
              <w:rPr>
                <w:spacing w:val="3"/>
                <w:position w:val="1"/>
              </w:rPr>
              <w:t>Q=130m</w:t>
            </w:r>
            <w:r>
              <w:rPr>
                <w:spacing w:val="3"/>
                <w:position w:val="10"/>
                <w:sz w:val="10"/>
                <w:szCs w:val="10"/>
              </w:rPr>
              <w:t>3</w:t>
            </w:r>
            <w:r>
              <w:rPr>
                <w:spacing w:val="3"/>
                <w:position w:val="1"/>
              </w:rPr>
              <w:t>/h，</w:t>
            </w:r>
          </w:p>
          <w:p w14:paraId="1B115F5B">
            <w:pPr>
              <w:pStyle w:val="6"/>
              <w:spacing w:before="59" w:line="232" w:lineRule="auto"/>
              <w:ind w:left="477"/>
            </w:pPr>
            <w:r>
              <w:rPr>
                <w:spacing w:val="4"/>
              </w:rPr>
              <w:t>H=65m</w:t>
            </w:r>
          </w:p>
        </w:tc>
        <w:tc>
          <w:tcPr>
            <w:tcW w:w="708" w:type="dxa"/>
            <w:vAlign w:val="top"/>
          </w:tcPr>
          <w:p w14:paraId="3FFB050E">
            <w:pPr>
              <w:spacing w:line="272" w:lineRule="auto"/>
              <w:rPr>
                <w:rFonts w:ascii="Arial"/>
                <w:sz w:val="21"/>
              </w:rPr>
            </w:pPr>
          </w:p>
          <w:p w14:paraId="74059B50">
            <w:pPr>
              <w:pStyle w:val="6"/>
              <w:spacing w:before="78"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709" w:type="dxa"/>
            <w:vAlign w:val="top"/>
          </w:tcPr>
          <w:p w14:paraId="5790A665">
            <w:pPr>
              <w:spacing w:line="300" w:lineRule="auto"/>
              <w:rPr>
                <w:rFonts w:ascii="Arial"/>
                <w:sz w:val="21"/>
              </w:rPr>
            </w:pPr>
          </w:p>
          <w:p w14:paraId="42CCA45D">
            <w:pPr>
              <w:pStyle w:val="6"/>
              <w:spacing w:before="65" w:line="228" w:lineRule="auto"/>
              <w:ind w:left="151"/>
            </w:pPr>
            <w:r>
              <w:rPr>
                <w:spacing w:val="4"/>
              </w:rPr>
              <w:t>新增</w:t>
            </w:r>
          </w:p>
        </w:tc>
        <w:tc>
          <w:tcPr>
            <w:tcW w:w="1700" w:type="dxa"/>
            <w:vAlign w:val="top"/>
          </w:tcPr>
          <w:p w14:paraId="1EE1881D">
            <w:pPr>
              <w:spacing w:line="332" w:lineRule="auto"/>
              <w:rPr>
                <w:rFonts w:ascii="Arial"/>
                <w:sz w:val="21"/>
              </w:rPr>
            </w:pPr>
          </w:p>
          <w:p w14:paraId="6612510C">
            <w:pPr>
              <w:pStyle w:val="6"/>
              <w:spacing w:before="65" w:line="228" w:lineRule="auto"/>
              <w:ind w:left="540"/>
            </w:pPr>
            <w:r>
              <w:rPr>
                <w:spacing w:val="6"/>
              </w:rPr>
              <w:t>双吸泵</w:t>
            </w:r>
          </w:p>
        </w:tc>
        <w:tc>
          <w:tcPr>
            <w:tcW w:w="1558" w:type="dxa"/>
            <w:vAlign w:val="top"/>
          </w:tcPr>
          <w:p w14:paraId="4CE0264F">
            <w:pPr>
              <w:pStyle w:val="6"/>
              <w:spacing w:before="54" w:line="239" w:lineRule="auto"/>
              <w:ind w:left="115"/>
            </w:pPr>
            <w:r>
              <w:t>SLOW</w:t>
            </w:r>
            <w:r>
              <w:rPr>
                <w:spacing w:val="5"/>
              </w:rPr>
              <w:t>80-280B，</w:t>
            </w:r>
          </w:p>
          <w:p w14:paraId="1DBC0724">
            <w:pPr>
              <w:pStyle w:val="6"/>
              <w:spacing w:before="38" w:line="266" w:lineRule="exact"/>
              <w:ind w:left="233"/>
            </w:pPr>
            <w:r>
              <w:rPr>
                <w:spacing w:val="3"/>
                <w:position w:val="1"/>
              </w:rPr>
              <w:t>Q=130m</w:t>
            </w:r>
            <w:r>
              <w:rPr>
                <w:spacing w:val="3"/>
                <w:position w:val="10"/>
                <w:sz w:val="10"/>
                <w:szCs w:val="10"/>
              </w:rPr>
              <w:t>3</w:t>
            </w:r>
            <w:r>
              <w:rPr>
                <w:spacing w:val="3"/>
                <w:position w:val="1"/>
              </w:rPr>
              <w:t>/h，</w:t>
            </w:r>
          </w:p>
          <w:p w14:paraId="36D7F1CF">
            <w:pPr>
              <w:pStyle w:val="6"/>
              <w:spacing w:before="59" w:line="232" w:lineRule="auto"/>
              <w:ind w:left="518"/>
            </w:pPr>
            <w:r>
              <w:rPr>
                <w:spacing w:val="4"/>
              </w:rPr>
              <w:t>H=65m</w:t>
            </w:r>
          </w:p>
        </w:tc>
        <w:tc>
          <w:tcPr>
            <w:tcW w:w="709" w:type="dxa"/>
            <w:vAlign w:val="top"/>
          </w:tcPr>
          <w:p w14:paraId="4345F8CE">
            <w:pPr>
              <w:spacing w:line="272" w:lineRule="auto"/>
              <w:rPr>
                <w:rFonts w:ascii="Arial"/>
                <w:sz w:val="21"/>
              </w:rPr>
            </w:pPr>
          </w:p>
          <w:p w14:paraId="00DE345A">
            <w:pPr>
              <w:pStyle w:val="6"/>
              <w:spacing w:before="78"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887" w:type="dxa"/>
            <w:vAlign w:val="top"/>
          </w:tcPr>
          <w:p w14:paraId="6B23A83A">
            <w:pPr>
              <w:spacing w:line="300" w:lineRule="auto"/>
              <w:rPr>
                <w:rFonts w:ascii="Arial"/>
                <w:sz w:val="21"/>
              </w:rPr>
            </w:pPr>
          </w:p>
          <w:p w14:paraId="609C141F">
            <w:pPr>
              <w:pStyle w:val="6"/>
              <w:spacing w:before="65" w:line="228" w:lineRule="auto"/>
              <w:ind w:left="239"/>
            </w:pPr>
            <w:r>
              <w:rPr>
                <w:spacing w:val="4"/>
              </w:rPr>
              <w:t>新增</w:t>
            </w:r>
          </w:p>
        </w:tc>
      </w:tr>
      <w:tr w14:paraId="1E804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33" w:type="dxa"/>
            <w:vAlign w:val="top"/>
          </w:tcPr>
          <w:p w14:paraId="37DF2740">
            <w:pPr>
              <w:rPr>
                <w:rFonts w:ascii="Arial"/>
                <w:sz w:val="21"/>
              </w:rPr>
            </w:pPr>
          </w:p>
        </w:tc>
        <w:tc>
          <w:tcPr>
            <w:tcW w:w="1606" w:type="dxa"/>
            <w:vAlign w:val="top"/>
          </w:tcPr>
          <w:p w14:paraId="535B2160">
            <w:pPr>
              <w:rPr>
                <w:rFonts w:ascii="Arial"/>
                <w:sz w:val="21"/>
              </w:rPr>
            </w:pPr>
          </w:p>
        </w:tc>
        <w:tc>
          <w:tcPr>
            <w:tcW w:w="1275" w:type="dxa"/>
            <w:vAlign w:val="top"/>
          </w:tcPr>
          <w:p w14:paraId="1F8B821E">
            <w:pPr>
              <w:rPr>
                <w:rFonts w:ascii="Arial"/>
                <w:sz w:val="21"/>
              </w:rPr>
            </w:pPr>
          </w:p>
        </w:tc>
        <w:tc>
          <w:tcPr>
            <w:tcW w:w="709" w:type="dxa"/>
            <w:vAlign w:val="top"/>
          </w:tcPr>
          <w:p w14:paraId="5F68CC12">
            <w:pPr>
              <w:rPr>
                <w:rFonts w:ascii="Arial"/>
                <w:sz w:val="21"/>
              </w:rPr>
            </w:pPr>
          </w:p>
        </w:tc>
        <w:tc>
          <w:tcPr>
            <w:tcW w:w="672" w:type="dxa"/>
            <w:vAlign w:val="top"/>
          </w:tcPr>
          <w:p w14:paraId="43D8F91C">
            <w:pPr>
              <w:rPr>
                <w:rFonts w:ascii="Arial"/>
                <w:sz w:val="21"/>
              </w:rPr>
            </w:pPr>
          </w:p>
        </w:tc>
        <w:tc>
          <w:tcPr>
            <w:tcW w:w="1531" w:type="dxa"/>
            <w:vAlign w:val="top"/>
          </w:tcPr>
          <w:p w14:paraId="6E38669D">
            <w:pPr>
              <w:pStyle w:val="6"/>
              <w:spacing w:before="244" w:line="228" w:lineRule="auto"/>
              <w:ind w:left="455"/>
            </w:pPr>
            <w:r>
              <w:rPr>
                <w:spacing w:val="6"/>
              </w:rPr>
              <w:t>双吸泵</w:t>
            </w:r>
          </w:p>
        </w:tc>
        <w:tc>
          <w:tcPr>
            <w:tcW w:w="1481" w:type="dxa"/>
            <w:vAlign w:val="top"/>
          </w:tcPr>
          <w:p w14:paraId="4D61E0BC">
            <w:pPr>
              <w:pStyle w:val="6"/>
              <w:spacing w:before="55" w:line="268" w:lineRule="exact"/>
              <w:ind w:left="221"/>
            </w:pPr>
            <w:r>
              <w:rPr>
                <w:position w:val="1"/>
              </w:rPr>
              <w:t>SLOW</w:t>
            </w:r>
            <w:r>
              <w:rPr>
                <w:spacing w:val="6"/>
                <w:position w:val="1"/>
              </w:rPr>
              <w:t>80-280</w:t>
            </w:r>
          </w:p>
          <w:p w14:paraId="750E3DE8">
            <w:pPr>
              <w:pStyle w:val="6"/>
              <w:spacing w:before="43" w:line="234" w:lineRule="auto"/>
              <w:ind w:left="336"/>
            </w:pPr>
            <w:r>
              <w:rPr>
                <w:spacing w:val="2"/>
              </w:rPr>
              <w:t>（I）C，</w:t>
            </w:r>
          </w:p>
        </w:tc>
        <w:tc>
          <w:tcPr>
            <w:tcW w:w="708" w:type="dxa"/>
            <w:vAlign w:val="top"/>
          </w:tcPr>
          <w:p w14:paraId="0F418125">
            <w:pPr>
              <w:pStyle w:val="6"/>
              <w:spacing w:before="197"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709" w:type="dxa"/>
            <w:vAlign w:val="top"/>
          </w:tcPr>
          <w:p w14:paraId="2C31A17D">
            <w:pPr>
              <w:pStyle w:val="6"/>
              <w:spacing w:before="211" w:line="228" w:lineRule="auto"/>
              <w:ind w:left="151"/>
            </w:pPr>
            <w:r>
              <w:rPr>
                <w:spacing w:val="4"/>
              </w:rPr>
              <w:t>新增</w:t>
            </w:r>
          </w:p>
        </w:tc>
        <w:tc>
          <w:tcPr>
            <w:tcW w:w="1700" w:type="dxa"/>
            <w:vAlign w:val="top"/>
          </w:tcPr>
          <w:p w14:paraId="3740FFA9">
            <w:pPr>
              <w:pStyle w:val="6"/>
              <w:spacing w:before="244" w:line="228" w:lineRule="auto"/>
              <w:ind w:left="540"/>
            </w:pPr>
            <w:r>
              <w:rPr>
                <w:spacing w:val="6"/>
              </w:rPr>
              <w:t>双吸泵</w:t>
            </w:r>
          </w:p>
        </w:tc>
        <w:tc>
          <w:tcPr>
            <w:tcW w:w="1558" w:type="dxa"/>
            <w:vAlign w:val="top"/>
          </w:tcPr>
          <w:p w14:paraId="01E4D427">
            <w:pPr>
              <w:pStyle w:val="6"/>
              <w:spacing w:before="55" w:line="268" w:lineRule="exact"/>
              <w:ind w:left="262"/>
            </w:pPr>
            <w:r>
              <w:rPr>
                <w:position w:val="1"/>
              </w:rPr>
              <w:t>SLOW</w:t>
            </w:r>
            <w:r>
              <w:rPr>
                <w:spacing w:val="6"/>
                <w:position w:val="1"/>
              </w:rPr>
              <w:t>80-280</w:t>
            </w:r>
          </w:p>
          <w:p w14:paraId="2F2B2329">
            <w:pPr>
              <w:pStyle w:val="6"/>
              <w:spacing w:before="43" w:line="234" w:lineRule="auto"/>
              <w:ind w:left="374"/>
            </w:pPr>
            <w:r>
              <w:rPr>
                <w:spacing w:val="2"/>
              </w:rPr>
              <w:t>（I）C，</w:t>
            </w:r>
          </w:p>
        </w:tc>
        <w:tc>
          <w:tcPr>
            <w:tcW w:w="709" w:type="dxa"/>
            <w:vAlign w:val="top"/>
          </w:tcPr>
          <w:p w14:paraId="41717E29">
            <w:pPr>
              <w:pStyle w:val="6"/>
              <w:spacing w:before="197" w:line="221" w:lineRule="auto"/>
              <w:ind w:left="156"/>
              <w:rPr>
                <w:sz w:val="24"/>
                <w:szCs w:val="24"/>
              </w:rPr>
            </w:pPr>
            <w:r>
              <w:rPr>
                <w:spacing w:val="-8"/>
                <w:sz w:val="24"/>
                <w:szCs w:val="24"/>
              </w:rPr>
              <w:t>3</w:t>
            </w:r>
            <w:r>
              <w:rPr>
                <w:spacing w:val="-32"/>
                <w:sz w:val="24"/>
                <w:szCs w:val="24"/>
              </w:rPr>
              <w:t xml:space="preserve"> </w:t>
            </w:r>
            <w:r>
              <w:rPr>
                <w:spacing w:val="-8"/>
                <w:sz w:val="24"/>
                <w:szCs w:val="24"/>
              </w:rPr>
              <w:t>台</w:t>
            </w:r>
          </w:p>
        </w:tc>
        <w:tc>
          <w:tcPr>
            <w:tcW w:w="887" w:type="dxa"/>
            <w:vAlign w:val="top"/>
          </w:tcPr>
          <w:p w14:paraId="58463F65">
            <w:pPr>
              <w:pStyle w:val="6"/>
              <w:spacing w:before="211" w:line="228" w:lineRule="auto"/>
              <w:ind w:left="239"/>
            </w:pPr>
            <w:r>
              <w:rPr>
                <w:spacing w:val="4"/>
              </w:rPr>
              <w:t>新增</w:t>
            </w:r>
          </w:p>
        </w:tc>
      </w:tr>
    </w:tbl>
    <w:p w14:paraId="2C2EACC3">
      <w:pPr>
        <w:pStyle w:val="2"/>
      </w:pPr>
    </w:p>
    <w:p w14:paraId="477F9140">
      <w:pPr>
        <w:sectPr>
          <w:footerReference r:id="rId109" w:type="default"/>
          <w:pgSz w:w="16839" w:h="11906"/>
          <w:pgMar w:top="1208" w:right="1327" w:bottom="1358" w:left="1327" w:header="825" w:footer="1195" w:gutter="0"/>
          <w:cols w:space="720" w:num="1"/>
        </w:sectPr>
      </w:pPr>
    </w:p>
    <w:p w14:paraId="75C0C7A5">
      <w:pPr>
        <w:spacing w:before="53"/>
      </w:pPr>
    </w:p>
    <w:p w14:paraId="508D8543">
      <w:pPr>
        <w:spacing w:before="52"/>
      </w:pP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606"/>
        <w:gridCol w:w="1275"/>
        <w:gridCol w:w="709"/>
        <w:gridCol w:w="672"/>
        <w:gridCol w:w="1531"/>
        <w:gridCol w:w="1481"/>
        <w:gridCol w:w="708"/>
        <w:gridCol w:w="709"/>
        <w:gridCol w:w="1700"/>
        <w:gridCol w:w="1558"/>
        <w:gridCol w:w="709"/>
        <w:gridCol w:w="887"/>
      </w:tblGrid>
      <w:tr w14:paraId="25BDA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33" w:type="dxa"/>
            <w:vMerge w:val="restart"/>
            <w:tcBorders>
              <w:bottom w:val="nil"/>
            </w:tcBorders>
            <w:textDirection w:val="tbRlV"/>
            <w:vAlign w:val="top"/>
          </w:tcPr>
          <w:p w14:paraId="6873565E">
            <w:pPr>
              <w:pStyle w:val="6"/>
              <w:spacing w:before="210" w:line="218" w:lineRule="auto"/>
              <w:ind w:left="203"/>
            </w:pPr>
            <w:r>
              <w:rPr>
                <w:spacing w:val="6"/>
              </w:rPr>
              <w:t>序 号</w:t>
            </w:r>
          </w:p>
        </w:tc>
        <w:tc>
          <w:tcPr>
            <w:tcW w:w="4262" w:type="dxa"/>
            <w:gridSpan w:val="4"/>
            <w:vAlign w:val="top"/>
          </w:tcPr>
          <w:p w14:paraId="3C14A504">
            <w:pPr>
              <w:pStyle w:val="6"/>
              <w:spacing w:before="198" w:line="228" w:lineRule="auto"/>
              <w:ind w:left="922"/>
            </w:pPr>
            <w:r>
              <w:rPr>
                <w:spacing w:val="4"/>
              </w:rPr>
              <w:t>现有</w:t>
            </w:r>
            <w:r>
              <w:rPr>
                <w:spacing w:val="-12"/>
              </w:rPr>
              <w:t xml:space="preserve"> </w:t>
            </w:r>
            <w:r>
              <w:rPr>
                <w:rFonts w:ascii="Times New Roman" w:hAnsi="Times New Roman" w:eastAsia="Times New Roman" w:cs="Times New Roman"/>
                <w:spacing w:val="4"/>
              </w:rPr>
              <w:t xml:space="preserve">1400t/d </w:t>
            </w:r>
            <w:r>
              <w:rPr>
                <w:spacing w:val="4"/>
              </w:rPr>
              <w:t>选矿工程设备</w:t>
            </w:r>
          </w:p>
        </w:tc>
        <w:tc>
          <w:tcPr>
            <w:tcW w:w="4429" w:type="dxa"/>
            <w:gridSpan w:val="4"/>
            <w:vAlign w:val="top"/>
          </w:tcPr>
          <w:p w14:paraId="6237C3D5">
            <w:pPr>
              <w:pStyle w:val="6"/>
              <w:spacing w:before="198" w:line="228" w:lineRule="auto"/>
              <w:ind w:left="1027"/>
            </w:pPr>
            <w:r>
              <w:rPr>
                <w:rFonts w:ascii="Times New Roman" w:hAnsi="Times New Roman" w:eastAsia="Times New Roman" w:cs="Times New Roman"/>
                <w:spacing w:val="6"/>
              </w:rPr>
              <w:t xml:space="preserve">2000t/d </w:t>
            </w:r>
            <w:r>
              <w:rPr>
                <w:spacing w:val="6"/>
              </w:rPr>
              <w:t>技改工程新增设备</w:t>
            </w:r>
          </w:p>
        </w:tc>
        <w:tc>
          <w:tcPr>
            <w:tcW w:w="4854" w:type="dxa"/>
            <w:gridSpan w:val="4"/>
            <w:vAlign w:val="top"/>
          </w:tcPr>
          <w:p w14:paraId="7ACCECB7">
            <w:pPr>
              <w:pStyle w:val="6"/>
              <w:spacing w:before="198" w:line="228" w:lineRule="auto"/>
              <w:ind w:left="1278"/>
            </w:pPr>
            <w:r>
              <w:rPr>
                <w:spacing w:val="9"/>
              </w:rPr>
              <w:t>技改工程完成后最终设备</w:t>
            </w:r>
          </w:p>
        </w:tc>
      </w:tr>
      <w:tr w14:paraId="685FA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33" w:type="dxa"/>
            <w:vMerge w:val="continue"/>
            <w:tcBorders>
              <w:top w:val="nil"/>
            </w:tcBorders>
            <w:textDirection w:val="tbRlV"/>
            <w:vAlign w:val="top"/>
          </w:tcPr>
          <w:p w14:paraId="61F36294">
            <w:pPr>
              <w:rPr>
                <w:rFonts w:ascii="Arial"/>
                <w:sz w:val="21"/>
              </w:rPr>
            </w:pPr>
          </w:p>
        </w:tc>
        <w:tc>
          <w:tcPr>
            <w:tcW w:w="1606" w:type="dxa"/>
            <w:vAlign w:val="top"/>
          </w:tcPr>
          <w:p w14:paraId="28E00D84">
            <w:pPr>
              <w:pStyle w:val="6"/>
              <w:spacing w:before="53" w:line="230" w:lineRule="auto"/>
              <w:ind w:left="599"/>
            </w:pPr>
            <w:r>
              <w:rPr>
                <w:spacing w:val="3"/>
              </w:rPr>
              <w:t>名称</w:t>
            </w:r>
          </w:p>
        </w:tc>
        <w:tc>
          <w:tcPr>
            <w:tcW w:w="1275" w:type="dxa"/>
            <w:vAlign w:val="top"/>
          </w:tcPr>
          <w:p w14:paraId="2C6AEAB9">
            <w:pPr>
              <w:pStyle w:val="6"/>
              <w:spacing w:before="52" w:line="228" w:lineRule="auto"/>
              <w:ind w:left="116"/>
            </w:pPr>
            <w:r>
              <w:rPr>
                <w:spacing w:val="7"/>
              </w:rPr>
              <w:t>规格及型号</w:t>
            </w:r>
          </w:p>
        </w:tc>
        <w:tc>
          <w:tcPr>
            <w:tcW w:w="709" w:type="dxa"/>
            <w:vAlign w:val="top"/>
          </w:tcPr>
          <w:p w14:paraId="6B762EED">
            <w:pPr>
              <w:pStyle w:val="6"/>
              <w:spacing w:before="52" w:line="228" w:lineRule="auto"/>
              <w:ind w:left="148"/>
            </w:pPr>
            <w:r>
              <w:rPr>
                <w:spacing w:val="3"/>
              </w:rPr>
              <w:t>数量</w:t>
            </w:r>
          </w:p>
        </w:tc>
        <w:tc>
          <w:tcPr>
            <w:tcW w:w="672" w:type="dxa"/>
            <w:vAlign w:val="top"/>
          </w:tcPr>
          <w:p w14:paraId="363ADC32">
            <w:pPr>
              <w:pStyle w:val="6"/>
              <w:spacing w:before="53" w:line="229" w:lineRule="auto"/>
              <w:ind w:left="131"/>
            </w:pPr>
            <w:r>
              <w:rPr>
                <w:spacing w:val="3"/>
              </w:rPr>
              <w:t>备注</w:t>
            </w:r>
          </w:p>
        </w:tc>
        <w:tc>
          <w:tcPr>
            <w:tcW w:w="1531" w:type="dxa"/>
            <w:vAlign w:val="top"/>
          </w:tcPr>
          <w:p w14:paraId="550373C4">
            <w:pPr>
              <w:pStyle w:val="6"/>
              <w:spacing w:before="53" w:line="230" w:lineRule="auto"/>
              <w:ind w:left="563"/>
            </w:pPr>
            <w:r>
              <w:rPr>
                <w:spacing w:val="3"/>
              </w:rPr>
              <w:t>名称</w:t>
            </w:r>
          </w:p>
        </w:tc>
        <w:tc>
          <w:tcPr>
            <w:tcW w:w="1481" w:type="dxa"/>
            <w:vAlign w:val="top"/>
          </w:tcPr>
          <w:p w14:paraId="583146CD">
            <w:pPr>
              <w:pStyle w:val="6"/>
              <w:spacing w:before="52" w:line="228" w:lineRule="auto"/>
              <w:ind w:left="535"/>
            </w:pPr>
            <w:r>
              <w:rPr>
                <w:spacing w:val="4"/>
              </w:rPr>
              <w:t>规格</w:t>
            </w:r>
          </w:p>
        </w:tc>
        <w:tc>
          <w:tcPr>
            <w:tcW w:w="708" w:type="dxa"/>
            <w:vAlign w:val="top"/>
          </w:tcPr>
          <w:p w14:paraId="6E881C62">
            <w:pPr>
              <w:pStyle w:val="6"/>
              <w:spacing w:before="52" w:line="228" w:lineRule="auto"/>
              <w:ind w:left="152"/>
            </w:pPr>
            <w:r>
              <w:rPr>
                <w:spacing w:val="3"/>
              </w:rPr>
              <w:t>数量</w:t>
            </w:r>
          </w:p>
        </w:tc>
        <w:tc>
          <w:tcPr>
            <w:tcW w:w="709" w:type="dxa"/>
            <w:vAlign w:val="top"/>
          </w:tcPr>
          <w:p w14:paraId="52035E6F">
            <w:pPr>
              <w:pStyle w:val="6"/>
              <w:spacing w:before="53" w:line="229" w:lineRule="auto"/>
              <w:ind w:left="153"/>
            </w:pPr>
            <w:r>
              <w:rPr>
                <w:spacing w:val="3"/>
              </w:rPr>
              <w:t>备注</w:t>
            </w:r>
          </w:p>
        </w:tc>
        <w:tc>
          <w:tcPr>
            <w:tcW w:w="1700" w:type="dxa"/>
            <w:vAlign w:val="top"/>
          </w:tcPr>
          <w:p w14:paraId="1C7C0F5C">
            <w:pPr>
              <w:pStyle w:val="6"/>
              <w:spacing w:before="53" w:line="230" w:lineRule="auto"/>
              <w:ind w:left="648"/>
            </w:pPr>
            <w:r>
              <w:rPr>
                <w:spacing w:val="3"/>
              </w:rPr>
              <w:t>名称</w:t>
            </w:r>
          </w:p>
        </w:tc>
        <w:tc>
          <w:tcPr>
            <w:tcW w:w="1558" w:type="dxa"/>
            <w:vAlign w:val="top"/>
          </w:tcPr>
          <w:p w14:paraId="7C2DEF1D">
            <w:pPr>
              <w:pStyle w:val="6"/>
              <w:spacing w:before="52" w:line="228" w:lineRule="auto"/>
              <w:ind w:left="576"/>
            </w:pPr>
            <w:r>
              <w:rPr>
                <w:spacing w:val="4"/>
              </w:rPr>
              <w:t>规格</w:t>
            </w:r>
          </w:p>
        </w:tc>
        <w:tc>
          <w:tcPr>
            <w:tcW w:w="709" w:type="dxa"/>
            <w:vAlign w:val="top"/>
          </w:tcPr>
          <w:p w14:paraId="056BCB0E">
            <w:pPr>
              <w:pStyle w:val="6"/>
              <w:spacing w:before="52" w:line="228" w:lineRule="auto"/>
              <w:ind w:left="152"/>
            </w:pPr>
            <w:r>
              <w:rPr>
                <w:spacing w:val="3"/>
              </w:rPr>
              <w:t>数量</w:t>
            </w:r>
          </w:p>
        </w:tc>
        <w:tc>
          <w:tcPr>
            <w:tcW w:w="887" w:type="dxa"/>
            <w:vAlign w:val="top"/>
          </w:tcPr>
          <w:p w14:paraId="63BB90F6">
            <w:pPr>
              <w:pStyle w:val="6"/>
              <w:spacing w:before="53" w:line="229" w:lineRule="auto"/>
              <w:ind w:left="241"/>
            </w:pPr>
            <w:r>
              <w:rPr>
                <w:spacing w:val="3"/>
              </w:rPr>
              <w:t>备注</w:t>
            </w:r>
          </w:p>
        </w:tc>
      </w:tr>
      <w:tr w14:paraId="49873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3" w:type="dxa"/>
            <w:vAlign w:val="top"/>
          </w:tcPr>
          <w:p w14:paraId="78EAF791">
            <w:pPr>
              <w:rPr>
                <w:rFonts w:ascii="Arial"/>
                <w:sz w:val="21"/>
              </w:rPr>
            </w:pPr>
          </w:p>
        </w:tc>
        <w:tc>
          <w:tcPr>
            <w:tcW w:w="1606" w:type="dxa"/>
            <w:vAlign w:val="top"/>
          </w:tcPr>
          <w:p w14:paraId="5352C781">
            <w:pPr>
              <w:rPr>
                <w:rFonts w:ascii="Arial"/>
                <w:sz w:val="21"/>
              </w:rPr>
            </w:pPr>
          </w:p>
        </w:tc>
        <w:tc>
          <w:tcPr>
            <w:tcW w:w="1275" w:type="dxa"/>
            <w:vAlign w:val="top"/>
          </w:tcPr>
          <w:p w14:paraId="6A003793">
            <w:pPr>
              <w:rPr>
                <w:rFonts w:ascii="Arial"/>
                <w:sz w:val="21"/>
              </w:rPr>
            </w:pPr>
          </w:p>
        </w:tc>
        <w:tc>
          <w:tcPr>
            <w:tcW w:w="709" w:type="dxa"/>
            <w:vAlign w:val="top"/>
          </w:tcPr>
          <w:p w14:paraId="096240E1">
            <w:pPr>
              <w:rPr>
                <w:rFonts w:ascii="Arial"/>
                <w:sz w:val="21"/>
              </w:rPr>
            </w:pPr>
          </w:p>
        </w:tc>
        <w:tc>
          <w:tcPr>
            <w:tcW w:w="672" w:type="dxa"/>
            <w:vAlign w:val="top"/>
          </w:tcPr>
          <w:p w14:paraId="35CD593F">
            <w:pPr>
              <w:rPr>
                <w:rFonts w:ascii="Arial"/>
                <w:sz w:val="21"/>
              </w:rPr>
            </w:pPr>
          </w:p>
        </w:tc>
        <w:tc>
          <w:tcPr>
            <w:tcW w:w="1531" w:type="dxa"/>
            <w:vAlign w:val="top"/>
          </w:tcPr>
          <w:p w14:paraId="5FC7FF6C">
            <w:pPr>
              <w:rPr>
                <w:rFonts w:ascii="Arial"/>
                <w:sz w:val="21"/>
              </w:rPr>
            </w:pPr>
          </w:p>
        </w:tc>
        <w:tc>
          <w:tcPr>
            <w:tcW w:w="1481" w:type="dxa"/>
            <w:vAlign w:val="top"/>
          </w:tcPr>
          <w:p w14:paraId="5CE3A88D">
            <w:pPr>
              <w:pStyle w:val="6"/>
              <w:spacing w:before="36" w:line="269" w:lineRule="exact"/>
              <w:ind w:left="192"/>
            </w:pPr>
            <w:r>
              <w:rPr>
                <w:spacing w:val="3"/>
              </w:rPr>
              <w:t>Q=120m</w:t>
            </w:r>
            <w:r>
              <w:rPr>
                <w:spacing w:val="3"/>
                <w:position w:val="10"/>
                <w:sz w:val="10"/>
                <w:szCs w:val="10"/>
              </w:rPr>
              <w:t>3</w:t>
            </w:r>
            <w:r>
              <w:rPr>
                <w:spacing w:val="3"/>
              </w:rPr>
              <w:t>/h，</w:t>
            </w:r>
          </w:p>
          <w:p w14:paraId="3756A221">
            <w:pPr>
              <w:pStyle w:val="6"/>
              <w:spacing w:before="59" w:line="233" w:lineRule="auto"/>
              <w:ind w:left="477"/>
            </w:pPr>
            <w:r>
              <w:rPr>
                <w:spacing w:val="4"/>
              </w:rPr>
              <w:t>H=50m</w:t>
            </w:r>
          </w:p>
        </w:tc>
        <w:tc>
          <w:tcPr>
            <w:tcW w:w="708" w:type="dxa"/>
            <w:vAlign w:val="top"/>
          </w:tcPr>
          <w:p w14:paraId="61CE4C8A">
            <w:pPr>
              <w:rPr>
                <w:rFonts w:ascii="Arial"/>
                <w:sz w:val="21"/>
              </w:rPr>
            </w:pPr>
          </w:p>
        </w:tc>
        <w:tc>
          <w:tcPr>
            <w:tcW w:w="709" w:type="dxa"/>
            <w:vAlign w:val="top"/>
          </w:tcPr>
          <w:p w14:paraId="0839B91B">
            <w:pPr>
              <w:rPr>
                <w:rFonts w:ascii="Arial"/>
                <w:sz w:val="21"/>
              </w:rPr>
            </w:pPr>
          </w:p>
        </w:tc>
        <w:tc>
          <w:tcPr>
            <w:tcW w:w="1700" w:type="dxa"/>
            <w:vAlign w:val="top"/>
          </w:tcPr>
          <w:p w14:paraId="454BC2D2">
            <w:pPr>
              <w:rPr>
                <w:rFonts w:ascii="Arial"/>
                <w:sz w:val="21"/>
              </w:rPr>
            </w:pPr>
          </w:p>
        </w:tc>
        <w:tc>
          <w:tcPr>
            <w:tcW w:w="1558" w:type="dxa"/>
            <w:vAlign w:val="top"/>
          </w:tcPr>
          <w:p w14:paraId="107B2142">
            <w:pPr>
              <w:pStyle w:val="6"/>
              <w:spacing w:before="36" w:line="269" w:lineRule="exact"/>
              <w:ind w:left="233"/>
            </w:pPr>
            <w:r>
              <w:rPr>
                <w:spacing w:val="3"/>
              </w:rPr>
              <w:t>Q=120m</w:t>
            </w:r>
            <w:r>
              <w:rPr>
                <w:spacing w:val="3"/>
                <w:position w:val="10"/>
                <w:sz w:val="10"/>
                <w:szCs w:val="10"/>
              </w:rPr>
              <w:t>3</w:t>
            </w:r>
            <w:r>
              <w:rPr>
                <w:spacing w:val="3"/>
              </w:rPr>
              <w:t>/h，</w:t>
            </w:r>
          </w:p>
          <w:p w14:paraId="1C057F8A">
            <w:pPr>
              <w:pStyle w:val="6"/>
              <w:spacing w:before="59" w:line="233" w:lineRule="auto"/>
              <w:ind w:left="518"/>
            </w:pPr>
            <w:r>
              <w:rPr>
                <w:spacing w:val="4"/>
              </w:rPr>
              <w:t>H=50m</w:t>
            </w:r>
          </w:p>
        </w:tc>
        <w:tc>
          <w:tcPr>
            <w:tcW w:w="709" w:type="dxa"/>
            <w:vAlign w:val="top"/>
          </w:tcPr>
          <w:p w14:paraId="48F9CC45">
            <w:pPr>
              <w:rPr>
                <w:rFonts w:ascii="Arial"/>
                <w:sz w:val="21"/>
              </w:rPr>
            </w:pPr>
          </w:p>
        </w:tc>
        <w:tc>
          <w:tcPr>
            <w:tcW w:w="887" w:type="dxa"/>
            <w:vAlign w:val="top"/>
          </w:tcPr>
          <w:p w14:paraId="58E03EF5">
            <w:pPr>
              <w:rPr>
                <w:rFonts w:ascii="Arial"/>
                <w:sz w:val="21"/>
              </w:rPr>
            </w:pPr>
          </w:p>
        </w:tc>
      </w:tr>
      <w:tr w14:paraId="71DCF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33" w:type="dxa"/>
            <w:vAlign w:val="top"/>
          </w:tcPr>
          <w:p w14:paraId="6C61C607">
            <w:pPr>
              <w:rPr>
                <w:rFonts w:ascii="Arial"/>
                <w:sz w:val="21"/>
              </w:rPr>
            </w:pPr>
          </w:p>
        </w:tc>
        <w:tc>
          <w:tcPr>
            <w:tcW w:w="1606" w:type="dxa"/>
            <w:vAlign w:val="top"/>
          </w:tcPr>
          <w:p w14:paraId="6C1AE620">
            <w:pPr>
              <w:rPr>
                <w:rFonts w:ascii="Arial"/>
                <w:sz w:val="21"/>
              </w:rPr>
            </w:pPr>
          </w:p>
        </w:tc>
        <w:tc>
          <w:tcPr>
            <w:tcW w:w="1275" w:type="dxa"/>
            <w:vAlign w:val="top"/>
          </w:tcPr>
          <w:p w14:paraId="46C39ACA">
            <w:pPr>
              <w:rPr>
                <w:rFonts w:ascii="Arial"/>
                <w:sz w:val="21"/>
              </w:rPr>
            </w:pPr>
          </w:p>
        </w:tc>
        <w:tc>
          <w:tcPr>
            <w:tcW w:w="709" w:type="dxa"/>
            <w:vAlign w:val="top"/>
          </w:tcPr>
          <w:p w14:paraId="74624EFD">
            <w:pPr>
              <w:rPr>
                <w:rFonts w:ascii="Arial"/>
                <w:sz w:val="21"/>
              </w:rPr>
            </w:pPr>
          </w:p>
        </w:tc>
        <w:tc>
          <w:tcPr>
            <w:tcW w:w="672" w:type="dxa"/>
            <w:vAlign w:val="top"/>
          </w:tcPr>
          <w:p w14:paraId="20C0423F">
            <w:pPr>
              <w:rPr>
                <w:rFonts w:ascii="Arial"/>
                <w:sz w:val="21"/>
              </w:rPr>
            </w:pPr>
          </w:p>
        </w:tc>
        <w:tc>
          <w:tcPr>
            <w:tcW w:w="1531" w:type="dxa"/>
            <w:vAlign w:val="top"/>
          </w:tcPr>
          <w:p w14:paraId="6A6A6CB9">
            <w:pPr>
              <w:spacing w:line="332" w:lineRule="auto"/>
              <w:rPr>
                <w:rFonts w:ascii="Arial"/>
                <w:sz w:val="21"/>
              </w:rPr>
            </w:pPr>
          </w:p>
          <w:p w14:paraId="3C74B7D0">
            <w:pPr>
              <w:pStyle w:val="6"/>
              <w:spacing w:before="65" w:line="228" w:lineRule="auto"/>
              <w:ind w:left="243"/>
            </w:pPr>
            <w:r>
              <w:rPr>
                <w:spacing w:val="8"/>
              </w:rPr>
              <w:t>潜水污水泵</w:t>
            </w:r>
          </w:p>
        </w:tc>
        <w:tc>
          <w:tcPr>
            <w:tcW w:w="1481" w:type="dxa"/>
            <w:vAlign w:val="top"/>
          </w:tcPr>
          <w:p w14:paraId="5FD2B136">
            <w:pPr>
              <w:pStyle w:val="6"/>
              <w:spacing w:before="54" w:line="283" w:lineRule="auto"/>
              <w:ind w:left="174" w:right="213" w:firstLine="39"/>
            </w:pPr>
            <w:r>
              <w:t>WQ</w:t>
            </w:r>
            <w:r>
              <w:rPr>
                <w:spacing w:val="6"/>
              </w:rPr>
              <w:t>2120-202</w:t>
            </w:r>
            <w:r>
              <w:t xml:space="preserve"> </w:t>
            </w:r>
            <w:r>
              <w:rPr>
                <w:spacing w:val="-3"/>
              </w:rPr>
              <w:t>型</w:t>
            </w:r>
            <w:r>
              <w:rPr>
                <w:spacing w:val="-36"/>
              </w:rPr>
              <w:t xml:space="preserve"> </w:t>
            </w:r>
            <w:r>
              <w:rPr>
                <w:spacing w:val="-3"/>
              </w:rPr>
              <w:t>Q=8m</w:t>
            </w:r>
            <w:r>
              <w:rPr>
                <w:spacing w:val="-3"/>
                <w:position w:val="10"/>
                <w:sz w:val="10"/>
                <w:szCs w:val="10"/>
              </w:rPr>
              <w:t>3</w:t>
            </w:r>
            <w:r>
              <w:rPr>
                <w:spacing w:val="-3"/>
              </w:rPr>
              <w:t>/h，</w:t>
            </w:r>
          </w:p>
          <w:p w14:paraId="2720C6F5">
            <w:pPr>
              <w:pStyle w:val="6"/>
              <w:spacing w:before="10" w:line="232" w:lineRule="auto"/>
              <w:ind w:left="529"/>
            </w:pPr>
            <w:r>
              <w:rPr>
                <w:spacing w:val="4"/>
              </w:rPr>
              <w:t>H=25</w:t>
            </w:r>
          </w:p>
        </w:tc>
        <w:tc>
          <w:tcPr>
            <w:tcW w:w="708" w:type="dxa"/>
            <w:vAlign w:val="top"/>
          </w:tcPr>
          <w:p w14:paraId="0B229E14">
            <w:pPr>
              <w:spacing w:line="299" w:lineRule="auto"/>
              <w:rPr>
                <w:rFonts w:ascii="Arial"/>
                <w:sz w:val="21"/>
              </w:rPr>
            </w:pPr>
          </w:p>
          <w:p w14:paraId="507E46CA">
            <w:pPr>
              <w:pStyle w:val="6"/>
              <w:spacing w:before="65" w:line="230" w:lineRule="auto"/>
              <w:ind w:left="179"/>
            </w:pPr>
            <w:r>
              <w:rPr>
                <w:spacing w:val="-4"/>
              </w:rPr>
              <w:t>2</w:t>
            </w:r>
            <w:r>
              <w:rPr>
                <w:spacing w:val="-24"/>
              </w:rPr>
              <w:t xml:space="preserve"> </w:t>
            </w:r>
            <w:r>
              <w:rPr>
                <w:spacing w:val="-4"/>
              </w:rPr>
              <w:t>台</w:t>
            </w:r>
          </w:p>
        </w:tc>
        <w:tc>
          <w:tcPr>
            <w:tcW w:w="709" w:type="dxa"/>
            <w:vAlign w:val="top"/>
          </w:tcPr>
          <w:p w14:paraId="4D24880D">
            <w:pPr>
              <w:spacing w:line="300" w:lineRule="auto"/>
              <w:rPr>
                <w:rFonts w:ascii="Arial"/>
                <w:sz w:val="21"/>
              </w:rPr>
            </w:pPr>
          </w:p>
          <w:p w14:paraId="4701F842">
            <w:pPr>
              <w:pStyle w:val="6"/>
              <w:spacing w:before="65" w:line="228" w:lineRule="auto"/>
              <w:ind w:left="151"/>
            </w:pPr>
            <w:r>
              <w:rPr>
                <w:spacing w:val="4"/>
              </w:rPr>
              <w:t>新增</w:t>
            </w:r>
          </w:p>
        </w:tc>
        <w:tc>
          <w:tcPr>
            <w:tcW w:w="1700" w:type="dxa"/>
            <w:vAlign w:val="top"/>
          </w:tcPr>
          <w:p w14:paraId="32674271">
            <w:pPr>
              <w:spacing w:line="332" w:lineRule="auto"/>
              <w:rPr>
                <w:rFonts w:ascii="Arial"/>
                <w:sz w:val="21"/>
              </w:rPr>
            </w:pPr>
          </w:p>
          <w:p w14:paraId="3D464350">
            <w:pPr>
              <w:pStyle w:val="6"/>
              <w:spacing w:before="65" w:line="228" w:lineRule="auto"/>
              <w:ind w:left="331"/>
            </w:pPr>
            <w:r>
              <w:rPr>
                <w:spacing w:val="8"/>
              </w:rPr>
              <w:t>潜水污水泵</w:t>
            </w:r>
          </w:p>
        </w:tc>
        <w:tc>
          <w:tcPr>
            <w:tcW w:w="1558" w:type="dxa"/>
            <w:vAlign w:val="top"/>
          </w:tcPr>
          <w:p w14:paraId="102A09FE">
            <w:pPr>
              <w:pStyle w:val="6"/>
              <w:spacing w:before="210" w:line="283" w:lineRule="auto"/>
              <w:ind w:left="127" w:right="117" w:hanging="19"/>
            </w:pPr>
            <w:r>
              <w:t>WQ</w:t>
            </w:r>
            <w:r>
              <w:rPr>
                <w:spacing w:val="4"/>
              </w:rPr>
              <w:t>2120-202</w:t>
            </w:r>
            <w:r>
              <w:rPr>
                <w:spacing w:val="-29"/>
              </w:rPr>
              <w:t xml:space="preserve"> </w:t>
            </w:r>
            <w:r>
              <w:rPr>
                <w:spacing w:val="4"/>
              </w:rPr>
              <w:t>型</w:t>
            </w:r>
            <w:r>
              <w:t xml:space="preserve"> </w:t>
            </w:r>
            <w:r>
              <w:rPr>
                <w:spacing w:val="4"/>
              </w:rPr>
              <w:t>Q=8m</w:t>
            </w:r>
            <w:r>
              <w:rPr>
                <w:spacing w:val="4"/>
                <w:position w:val="10"/>
                <w:sz w:val="10"/>
                <w:szCs w:val="10"/>
              </w:rPr>
              <w:t>3</w:t>
            </w:r>
            <w:r>
              <w:rPr>
                <w:spacing w:val="4"/>
              </w:rPr>
              <w:t>/h，H=25</w:t>
            </w:r>
          </w:p>
        </w:tc>
        <w:tc>
          <w:tcPr>
            <w:tcW w:w="709" w:type="dxa"/>
            <w:vAlign w:val="top"/>
          </w:tcPr>
          <w:p w14:paraId="49816580">
            <w:pPr>
              <w:spacing w:line="299" w:lineRule="auto"/>
              <w:rPr>
                <w:rFonts w:ascii="Arial"/>
                <w:sz w:val="21"/>
              </w:rPr>
            </w:pPr>
          </w:p>
          <w:p w14:paraId="33652900">
            <w:pPr>
              <w:pStyle w:val="6"/>
              <w:spacing w:before="65" w:line="230" w:lineRule="auto"/>
              <w:ind w:left="179"/>
            </w:pPr>
            <w:r>
              <w:rPr>
                <w:spacing w:val="-4"/>
              </w:rPr>
              <w:t>2</w:t>
            </w:r>
            <w:r>
              <w:rPr>
                <w:spacing w:val="-21"/>
              </w:rPr>
              <w:t xml:space="preserve"> </w:t>
            </w:r>
            <w:r>
              <w:rPr>
                <w:spacing w:val="-4"/>
              </w:rPr>
              <w:t>台</w:t>
            </w:r>
          </w:p>
        </w:tc>
        <w:tc>
          <w:tcPr>
            <w:tcW w:w="887" w:type="dxa"/>
            <w:vAlign w:val="top"/>
          </w:tcPr>
          <w:p w14:paraId="28282A1C">
            <w:pPr>
              <w:spacing w:line="300" w:lineRule="auto"/>
              <w:rPr>
                <w:rFonts w:ascii="Arial"/>
                <w:sz w:val="21"/>
              </w:rPr>
            </w:pPr>
          </w:p>
          <w:p w14:paraId="16D68ADC">
            <w:pPr>
              <w:pStyle w:val="6"/>
              <w:spacing w:before="65" w:line="228" w:lineRule="auto"/>
              <w:ind w:left="239"/>
            </w:pPr>
            <w:r>
              <w:rPr>
                <w:spacing w:val="4"/>
              </w:rPr>
              <w:t>新增</w:t>
            </w:r>
          </w:p>
        </w:tc>
      </w:tr>
      <w:tr w14:paraId="3648A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178" w:type="dxa"/>
            <w:gridSpan w:val="13"/>
            <w:vAlign w:val="top"/>
          </w:tcPr>
          <w:p w14:paraId="628174CD">
            <w:pPr>
              <w:pStyle w:val="6"/>
              <w:spacing w:before="54" w:line="228" w:lineRule="auto"/>
              <w:ind w:left="6463"/>
            </w:pPr>
            <w:r>
              <w:rPr>
                <w:spacing w:val="8"/>
              </w:rPr>
              <w:t>七、尾矿输送</w:t>
            </w:r>
          </w:p>
        </w:tc>
      </w:tr>
      <w:tr w14:paraId="18EEE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33" w:type="dxa"/>
            <w:vAlign w:val="top"/>
          </w:tcPr>
          <w:p w14:paraId="492932FA">
            <w:pPr>
              <w:pStyle w:val="6"/>
              <w:spacing w:before="133" w:line="270" w:lineRule="exact"/>
              <w:ind w:left="285"/>
            </w:pPr>
            <w:r>
              <w:rPr>
                <w:position w:val="1"/>
              </w:rPr>
              <w:t>1</w:t>
            </w:r>
          </w:p>
        </w:tc>
        <w:tc>
          <w:tcPr>
            <w:tcW w:w="1606" w:type="dxa"/>
            <w:vAlign w:val="top"/>
          </w:tcPr>
          <w:p w14:paraId="1C3F323F">
            <w:pPr>
              <w:pStyle w:val="6"/>
              <w:spacing w:before="133" w:line="227" w:lineRule="auto"/>
              <w:ind w:left="279"/>
            </w:pPr>
            <w:r>
              <w:rPr>
                <w:spacing w:val="8"/>
              </w:rPr>
              <w:t>深锥浓密机</w:t>
            </w:r>
          </w:p>
        </w:tc>
        <w:tc>
          <w:tcPr>
            <w:tcW w:w="1275" w:type="dxa"/>
            <w:vAlign w:val="top"/>
          </w:tcPr>
          <w:p w14:paraId="78D0E24B">
            <w:pPr>
              <w:pStyle w:val="6"/>
              <w:spacing w:before="133" w:line="269" w:lineRule="exact"/>
              <w:ind w:left="403"/>
            </w:pPr>
            <w:r>
              <w:rPr>
                <w:spacing w:val="-9"/>
                <w:position w:val="1"/>
              </w:rPr>
              <w:t>Φ</w:t>
            </w:r>
            <w:r>
              <w:rPr>
                <w:spacing w:val="-74"/>
                <w:position w:val="1"/>
              </w:rPr>
              <w:t xml:space="preserve"> </w:t>
            </w:r>
            <w:r>
              <w:rPr>
                <w:spacing w:val="-9"/>
                <w:position w:val="1"/>
              </w:rPr>
              <w:t>18m</w:t>
            </w:r>
          </w:p>
        </w:tc>
        <w:tc>
          <w:tcPr>
            <w:tcW w:w="709" w:type="dxa"/>
            <w:vAlign w:val="top"/>
          </w:tcPr>
          <w:p w14:paraId="54BD7F48">
            <w:pPr>
              <w:pStyle w:val="6"/>
              <w:spacing w:before="134" w:line="226" w:lineRule="auto"/>
              <w:ind w:left="188"/>
            </w:pPr>
            <w:r>
              <w:rPr>
                <w:spacing w:val="-10"/>
              </w:rPr>
              <w:t>1</w:t>
            </w:r>
            <w:r>
              <w:rPr>
                <w:spacing w:val="-38"/>
              </w:rPr>
              <w:t xml:space="preserve"> </w:t>
            </w:r>
            <w:r>
              <w:rPr>
                <w:spacing w:val="-10"/>
              </w:rPr>
              <w:t>套</w:t>
            </w:r>
          </w:p>
        </w:tc>
        <w:tc>
          <w:tcPr>
            <w:tcW w:w="672" w:type="dxa"/>
            <w:vAlign w:val="top"/>
          </w:tcPr>
          <w:p w14:paraId="6547F581">
            <w:pPr>
              <w:pStyle w:val="6"/>
              <w:spacing w:before="134" w:line="228" w:lineRule="auto"/>
              <w:ind w:left="129"/>
            </w:pPr>
            <w:r>
              <w:rPr>
                <w:spacing w:val="4"/>
              </w:rPr>
              <w:t>保留</w:t>
            </w:r>
          </w:p>
        </w:tc>
        <w:tc>
          <w:tcPr>
            <w:tcW w:w="1531" w:type="dxa"/>
            <w:vAlign w:val="top"/>
          </w:tcPr>
          <w:p w14:paraId="7C2E315D">
            <w:pPr>
              <w:pStyle w:val="6"/>
              <w:spacing w:before="167" w:line="233" w:lineRule="auto"/>
              <w:ind w:left="716"/>
            </w:pPr>
            <w:r>
              <w:t>/</w:t>
            </w:r>
          </w:p>
        </w:tc>
        <w:tc>
          <w:tcPr>
            <w:tcW w:w="1481" w:type="dxa"/>
            <w:vAlign w:val="top"/>
          </w:tcPr>
          <w:p w14:paraId="67416A83">
            <w:pPr>
              <w:pStyle w:val="6"/>
              <w:spacing w:before="133" w:line="233" w:lineRule="auto"/>
              <w:ind w:left="692"/>
            </w:pPr>
            <w:r>
              <w:t>/</w:t>
            </w:r>
          </w:p>
        </w:tc>
        <w:tc>
          <w:tcPr>
            <w:tcW w:w="708" w:type="dxa"/>
            <w:vAlign w:val="top"/>
          </w:tcPr>
          <w:p w14:paraId="71F2910F">
            <w:pPr>
              <w:spacing w:before="15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2DBEF2AE">
            <w:pPr>
              <w:spacing w:before="165"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1994832B">
            <w:pPr>
              <w:pStyle w:val="6"/>
              <w:spacing w:before="133" w:line="227" w:lineRule="auto"/>
              <w:ind w:left="331"/>
            </w:pPr>
            <w:r>
              <w:rPr>
                <w:spacing w:val="8"/>
              </w:rPr>
              <w:t>深锥浓密机</w:t>
            </w:r>
          </w:p>
        </w:tc>
        <w:tc>
          <w:tcPr>
            <w:tcW w:w="1558" w:type="dxa"/>
            <w:vAlign w:val="top"/>
          </w:tcPr>
          <w:p w14:paraId="1ADA57A2">
            <w:pPr>
              <w:pStyle w:val="6"/>
              <w:spacing w:before="133" w:line="269" w:lineRule="exact"/>
              <w:ind w:left="548"/>
            </w:pPr>
            <w:r>
              <w:rPr>
                <w:spacing w:val="-9"/>
                <w:position w:val="1"/>
              </w:rPr>
              <w:t>Φ</w:t>
            </w:r>
            <w:r>
              <w:rPr>
                <w:spacing w:val="-74"/>
                <w:position w:val="1"/>
              </w:rPr>
              <w:t xml:space="preserve"> </w:t>
            </w:r>
            <w:r>
              <w:rPr>
                <w:spacing w:val="-9"/>
                <w:position w:val="1"/>
              </w:rPr>
              <w:t>18m</w:t>
            </w:r>
          </w:p>
        </w:tc>
        <w:tc>
          <w:tcPr>
            <w:tcW w:w="709" w:type="dxa"/>
            <w:vAlign w:val="top"/>
          </w:tcPr>
          <w:p w14:paraId="6ABED2AF">
            <w:pPr>
              <w:pStyle w:val="6"/>
              <w:spacing w:before="134" w:line="226" w:lineRule="auto"/>
              <w:ind w:left="192"/>
            </w:pPr>
            <w:r>
              <w:rPr>
                <w:spacing w:val="-10"/>
              </w:rPr>
              <w:t>1</w:t>
            </w:r>
            <w:r>
              <w:rPr>
                <w:spacing w:val="-38"/>
              </w:rPr>
              <w:t xml:space="preserve"> </w:t>
            </w:r>
            <w:r>
              <w:rPr>
                <w:spacing w:val="-10"/>
              </w:rPr>
              <w:t>套</w:t>
            </w:r>
          </w:p>
        </w:tc>
        <w:tc>
          <w:tcPr>
            <w:tcW w:w="887" w:type="dxa"/>
            <w:vAlign w:val="top"/>
          </w:tcPr>
          <w:p w14:paraId="760002D2">
            <w:pPr>
              <w:pStyle w:val="6"/>
              <w:spacing w:before="134" w:line="228" w:lineRule="auto"/>
              <w:ind w:left="243"/>
            </w:pPr>
            <w:r>
              <w:rPr>
                <w:spacing w:val="2"/>
              </w:rPr>
              <w:t>原有</w:t>
            </w:r>
          </w:p>
        </w:tc>
      </w:tr>
      <w:tr w14:paraId="367CF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3" w:type="dxa"/>
            <w:vAlign w:val="top"/>
          </w:tcPr>
          <w:p w14:paraId="6AE01DA7">
            <w:pPr>
              <w:pStyle w:val="6"/>
              <w:spacing w:before="211" w:line="270" w:lineRule="exact"/>
              <w:ind w:left="272"/>
            </w:pPr>
            <w:r>
              <w:rPr>
                <w:position w:val="1"/>
              </w:rPr>
              <w:t>2</w:t>
            </w:r>
          </w:p>
        </w:tc>
        <w:tc>
          <w:tcPr>
            <w:tcW w:w="1606" w:type="dxa"/>
            <w:vAlign w:val="top"/>
          </w:tcPr>
          <w:p w14:paraId="3C720367">
            <w:pPr>
              <w:pStyle w:val="6"/>
              <w:spacing w:before="54" w:line="228" w:lineRule="auto"/>
              <w:ind w:left="175"/>
            </w:pPr>
            <w:r>
              <w:rPr>
                <w:spacing w:val="8"/>
              </w:rPr>
              <w:t>矿浆稀释搅拌</w:t>
            </w:r>
          </w:p>
          <w:p w14:paraId="21602BD3">
            <w:pPr>
              <w:pStyle w:val="6"/>
              <w:spacing w:before="64" w:line="228" w:lineRule="auto"/>
              <w:ind w:left="698"/>
            </w:pPr>
            <w:r>
              <w:rPr>
                <w:spacing w:val="1"/>
              </w:rPr>
              <w:t>槽</w:t>
            </w:r>
          </w:p>
        </w:tc>
        <w:tc>
          <w:tcPr>
            <w:tcW w:w="1275" w:type="dxa"/>
            <w:vAlign w:val="top"/>
          </w:tcPr>
          <w:p w14:paraId="22533669">
            <w:pPr>
              <w:pStyle w:val="6"/>
              <w:spacing w:before="210" w:line="233" w:lineRule="auto"/>
              <w:ind w:left="588"/>
            </w:pPr>
            <w:r>
              <w:t>/</w:t>
            </w:r>
          </w:p>
        </w:tc>
        <w:tc>
          <w:tcPr>
            <w:tcW w:w="709" w:type="dxa"/>
            <w:vAlign w:val="top"/>
          </w:tcPr>
          <w:p w14:paraId="3A72BCE3">
            <w:pPr>
              <w:pStyle w:val="6"/>
              <w:spacing w:before="211" w:line="230" w:lineRule="auto"/>
              <w:ind w:left="188"/>
            </w:pPr>
            <w:r>
              <w:rPr>
                <w:spacing w:val="-10"/>
              </w:rPr>
              <w:t>1</w:t>
            </w:r>
            <w:r>
              <w:rPr>
                <w:spacing w:val="-22"/>
              </w:rPr>
              <w:t xml:space="preserve"> </w:t>
            </w:r>
            <w:r>
              <w:rPr>
                <w:spacing w:val="-10"/>
              </w:rPr>
              <w:t>台</w:t>
            </w:r>
          </w:p>
        </w:tc>
        <w:tc>
          <w:tcPr>
            <w:tcW w:w="672" w:type="dxa"/>
            <w:vAlign w:val="top"/>
          </w:tcPr>
          <w:p w14:paraId="6C7C7BEE">
            <w:pPr>
              <w:pStyle w:val="6"/>
              <w:spacing w:before="211" w:line="228" w:lineRule="auto"/>
              <w:ind w:left="129"/>
            </w:pPr>
            <w:r>
              <w:rPr>
                <w:spacing w:val="4"/>
              </w:rPr>
              <w:t>保留</w:t>
            </w:r>
          </w:p>
        </w:tc>
        <w:tc>
          <w:tcPr>
            <w:tcW w:w="1531" w:type="dxa"/>
            <w:vAlign w:val="top"/>
          </w:tcPr>
          <w:p w14:paraId="39987EAA">
            <w:pPr>
              <w:pStyle w:val="6"/>
              <w:spacing w:before="244" w:line="233" w:lineRule="auto"/>
              <w:ind w:left="716"/>
            </w:pPr>
            <w:r>
              <w:t>/</w:t>
            </w:r>
          </w:p>
        </w:tc>
        <w:tc>
          <w:tcPr>
            <w:tcW w:w="1481" w:type="dxa"/>
            <w:vAlign w:val="top"/>
          </w:tcPr>
          <w:p w14:paraId="2A03AD1F">
            <w:pPr>
              <w:pStyle w:val="6"/>
              <w:spacing w:before="210" w:line="233" w:lineRule="auto"/>
              <w:ind w:left="692"/>
            </w:pPr>
            <w:r>
              <w:t>/</w:t>
            </w:r>
          </w:p>
        </w:tc>
        <w:tc>
          <w:tcPr>
            <w:tcW w:w="708" w:type="dxa"/>
            <w:vAlign w:val="top"/>
          </w:tcPr>
          <w:p w14:paraId="32C84890">
            <w:pPr>
              <w:spacing w:before="233" w:line="192"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709" w:type="dxa"/>
            <w:vAlign w:val="top"/>
          </w:tcPr>
          <w:p w14:paraId="4160BFE0">
            <w:pPr>
              <w:spacing w:before="24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00" w:type="dxa"/>
            <w:vAlign w:val="top"/>
          </w:tcPr>
          <w:p w14:paraId="50F11A94">
            <w:pPr>
              <w:pStyle w:val="6"/>
              <w:spacing w:before="210" w:line="228" w:lineRule="auto"/>
              <w:ind w:left="119"/>
            </w:pPr>
            <w:r>
              <w:rPr>
                <w:spacing w:val="8"/>
              </w:rPr>
              <w:t>矿浆稀释搅拌槽</w:t>
            </w:r>
          </w:p>
        </w:tc>
        <w:tc>
          <w:tcPr>
            <w:tcW w:w="1558" w:type="dxa"/>
            <w:vAlign w:val="top"/>
          </w:tcPr>
          <w:p w14:paraId="2FAFB76F">
            <w:pPr>
              <w:pStyle w:val="6"/>
              <w:spacing w:before="210" w:line="233" w:lineRule="auto"/>
              <w:ind w:left="733"/>
            </w:pPr>
            <w:r>
              <w:t>/</w:t>
            </w:r>
          </w:p>
        </w:tc>
        <w:tc>
          <w:tcPr>
            <w:tcW w:w="709" w:type="dxa"/>
            <w:vAlign w:val="top"/>
          </w:tcPr>
          <w:p w14:paraId="74E45DEB">
            <w:pPr>
              <w:pStyle w:val="6"/>
              <w:spacing w:before="211" w:line="230" w:lineRule="auto"/>
              <w:ind w:left="192"/>
            </w:pPr>
            <w:r>
              <w:rPr>
                <w:spacing w:val="-10"/>
              </w:rPr>
              <w:t>1</w:t>
            </w:r>
            <w:r>
              <w:rPr>
                <w:spacing w:val="-22"/>
              </w:rPr>
              <w:t xml:space="preserve"> </w:t>
            </w:r>
            <w:r>
              <w:rPr>
                <w:spacing w:val="-10"/>
              </w:rPr>
              <w:t>台</w:t>
            </w:r>
          </w:p>
        </w:tc>
        <w:tc>
          <w:tcPr>
            <w:tcW w:w="887" w:type="dxa"/>
            <w:vAlign w:val="top"/>
          </w:tcPr>
          <w:p w14:paraId="059EB135">
            <w:pPr>
              <w:pStyle w:val="6"/>
              <w:spacing w:before="211" w:line="228" w:lineRule="auto"/>
              <w:ind w:left="243"/>
            </w:pPr>
            <w:r>
              <w:rPr>
                <w:spacing w:val="2"/>
              </w:rPr>
              <w:t>原有</w:t>
            </w:r>
          </w:p>
        </w:tc>
      </w:tr>
    </w:tbl>
    <w:p w14:paraId="65BDB602">
      <w:pPr>
        <w:pStyle w:val="2"/>
      </w:pPr>
    </w:p>
    <w:p w14:paraId="68EC1768">
      <w:pPr>
        <w:sectPr>
          <w:footerReference r:id="rId110" w:type="default"/>
          <w:pgSz w:w="16839" w:h="11906"/>
          <w:pgMar w:top="1208" w:right="1327" w:bottom="1358" w:left="1327" w:header="825" w:footer="1195" w:gutter="0"/>
          <w:cols w:space="720" w:num="1"/>
        </w:sectPr>
      </w:pPr>
    </w:p>
    <w:p w14:paraId="5E0B9E37">
      <w:pPr>
        <w:pStyle w:val="2"/>
        <w:spacing w:line="333" w:lineRule="auto"/>
      </w:pPr>
    </w:p>
    <w:p w14:paraId="2B14E9F8">
      <w:pPr>
        <w:spacing w:before="91" w:line="222" w:lineRule="auto"/>
        <w:ind w:left="18"/>
        <w:outlineLvl w:val="1"/>
        <w:rPr>
          <w:rFonts w:ascii="黑体" w:hAnsi="黑体" w:eastAsia="黑体" w:cs="黑体"/>
          <w:sz w:val="28"/>
          <w:szCs w:val="28"/>
        </w:rPr>
      </w:pPr>
      <w:bookmarkStart w:id="56" w:name="bookmark52"/>
      <w:bookmarkEnd w:id="56"/>
      <w:r>
        <w:rPr>
          <w:rFonts w:ascii="Times New Roman" w:hAnsi="Times New Roman" w:eastAsia="Times New Roman" w:cs="Times New Roman"/>
          <w:b/>
          <w:bCs/>
          <w:spacing w:val="-2"/>
          <w:sz w:val="28"/>
          <w:szCs w:val="28"/>
        </w:rPr>
        <w:t xml:space="preserve">4.5 </w:t>
      </w:r>
      <w:r>
        <w:rPr>
          <w:rFonts w:ascii="黑体" w:hAnsi="黑体" w:eastAsia="黑体" w:cs="黑体"/>
          <w:b/>
          <w:bCs/>
          <w:spacing w:val="-2"/>
          <w:sz w:val="28"/>
          <w:szCs w:val="28"/>
        </w:rPr>
        <w:t>工作制度、劳动定员</w:t>
      </w:r>
    </w:p>
    <w:p w14:paraId="1DC57A0D">
      <w:pPr>
        <w:spacing w:before="177" w:line="360" w:lineRule="auto"/>
        <w:ind w:left="20" w:right="162" w:firstLine="510"/>
        <w:jc w:val="both"/>
        <w:rPr>
          <w:rFonts w:ascii="宋体" w:hAnsi="宋体" w:eastAsia="宋体" w:cs="宋体"/>
          <w:sz w:val="24"/>
          <w:szCs w:val="24"/>
        </w:rPr>
      </w:pPr>
      <w:r>
        <w:rPr>
          <w:rFonts w:ascii="宋体" w:hAnsi="宋体" w:eastAsia="宋体" w:cs="宋体"/>
          <w:spacing w:val="-7"/>
          <w:sz w:val="24"/>
          <w:szCs w:val="24"/>
        </w:rPr>
        <w:t>技改后，选矿工程工作制度和劳动定员不变。采用连续工作制，年工作</w:t>
      </w:r>
      <w:r>
        <w:rPr>
          <w:rFonts w:ascii="宋体" w:hAnsi="宋体" w:eastAsia="宋体" w:cs="宋体"/>
          <w:spacing w:val="-43"/>
          <w:sz w:val="24"/>
          <w:szCs w:val="24"/>
        </w:rPr>
        <w:t xml:space="preserve"> </w:t>
      </w:r>
      <w:r>
        <w:rPr>
          <w:rFonts w:ascii="宋体" w:hAnsi="宋体" w:eastAsia="宋体" w:cs="宋体"/>
          <w:spacing w:val="-7"/>
          <w:sz w:val="24"/>
          <w:szCs w:val="24"/>
        </w:rPr>
        <w:t>210</w:t>
      </w:r>
      <w:r>
        <w:rPr>
          <w:rFonts w:ascii="宋体" w:hAnsi="宋体" w:eastAsia="宋体" w:cs="宋体"/>
          <w:sz w:val="24"/>
          <w:szCs w:val="24"/>
        </w:rPr>
        <w:t xml:space="preserve"> 天，每天</w:t>
      </w:r>
      <w:r>
        <w:rPr>
          <w:rFonts w:ascii="宋体" w:hAnsi="宋体" w:eastAsia="宋体" w:cs="宋体"/>
          <w:spacing w:val="-44"/>
          <w:sz w:val="24"/>
          <w:szCs w:val="24"/>
        </w:rPr>
        <w:t xml:space="preserve"> </w:t>
      </w:r>
      <w:r>
        <w:rPr>
          <w:rFonts w:ascii="宋体" w:hAnsi="宋体" w:eastAsia="宋体" w:cs="宋体"/>
          <w:sz w:val="24"/>
          <w:szCs w:val="24"/>
        </w:rPr>
        <w:t>3</w:t>
      </w:r>
      <w:r>
        <w:rPr>
          <w:rFonts w:ascii="宋体" w:hAnsi="宋体" w:eastAsia="宋体" w:cs="宋体"/>
          <w:spacing w:val="-47"/>
          <w:sz w:val="24"/>
          <w:szCs w:val="24"/>
        </w:rPr>
        <w:t xml:space="preserve"> </w:t>
      </w:r>
      <w:r>
        <w:rPr>
          <w:rFonts w:ascii="宋体" w:hAnsi="宋体" w:eastAsia="宋体" w:cs="宋体"/>
          <w:sz w:val="24"/>
          <w:szCs w:val="24"/>
        </w:rPr>
        <w:t>班，每班</w:t>
      </w:r>
      <w:r>
        <w:rPr>
          <w:rFonts w:ascii="宋体" w:hAnsi="宋体" w:eastAsia="宋体" w:cs="宋体"/>
          <w:spacing w:val="-45"/>
          <w:sz w:val="24"/>
          <w:szCs w:val="24"/>
        </w:rPr>
        <w:t xml:space="preserve"> </w:t>
      </w:r>
      <w:r>
        <w:rPr>
          <w:rFonts w:ascii="宋体" w:hAnsi="宋体" w:eastAsia="宋体" w:cs="宋体"/>
          <w:sz w:val="24"/>
          <w:szCs w:val="24"/>
        </w:rPr>
        <w:t>8</w:t>
      </w:r>
      <w:r>
        <w:rPr>
          <w:rFonts w:ascii="宋体" w:hAnsi="宋体" w:eastAsia="宋体" w:cs="宋体"/>
          <w:spacing w:val="-39"/>
          <w:sz w:val="24"/>
          <w:szCs w:val="24"/>
        </w:rPr>
        <w:t xml:space="preserve"> </w:t>
      </w:r>
      <w:r>
        <w:rPr>
          <w:rFonts w:ascii="宋体" w:hAnsi="宋体" w:eastAsia="宋体" w:cs="宋体"/>
          <w:sz w:val="24"/>
          <w:szCs w:val="24"/>
        </w:rPr>
        <w:t>小时。1400t/a</w:t>
      </w:r>
      <w:r>
        <w:rPr>
          <w:rFonts w:ascii="宋体" w:hAnsi="宋体" w:eastAsia="宋体" w:cs="宋体"/>
          <w:spacing w:val="-47"/>
          <w:sz w:val="24"/>
          <w:szCs w:val="24"/>
        </w:rPr>
        <w:t xml:space="preserve"> </w:t>
      </w:r>
      <w:r>
        <w:rPr>
          <w:rFonts w:ascii="宋体" w:hAnsi="宋体" w:eastAsia="宋体" w:cs="宋体"/>
          <w:sz w:val="24"/>
          <w:szCs w:val="24"/>
        </w:rPr>
        <w:t>选矿工程现</w:t>
      </w:r>
      <w:r>
        <w:rPr>
          <w:rFonts w:ascii="宋体" w:hAnsi="宋体" w:eastAsia="宋体" w:cs="宋体"/>
          <w:spacing w:val="-1"/>
          <w:sz w:val="24"/>
          <w:szCs w:val="24"/>
        </w:rPr>
        <w:t>有人员</w:t>
      </w:r>
      <w:r>
        <w:rPr>
          <w:rFonts w:ascii="宋体" w:hAnsi="宋体" w:eastAsia="宋体" w:cs="宋体"/>
          <w:spacing w:val="-45"/>
          <w:sz w:val="24"/>
          <w:szCs w:val="24"/>
        </w:rPr>
        <w:t xml:space="preserve"> </w:t>
      </w:r>
      <w:r>
        <w:rPr>
          <w:rFonts w:ascii="宋体" w:hAnsi="宋体" w:eastAsia="宋体" w:cs="宋体"/>
          <w:spacing w:val="-1"/>
          <w:sz w:val="24"/>
          <w:szCs w:val="24"/>
        </w:rPr>
        <w:t>207</w:t>
      </w:r>
      <w:r>
        <w:rPr>
          <w:rFonts w:ascii="宋体" w:hAnsi="宋体" w:eastAsia="宋体" w:cs="宋体"/>
          <w:spacing w:val="-44"/>
          <w:sz w:val="24"/>
          <w:szCs w:val="24"/>
        </w:rPr>
        <w:t xml:space="preserve"> </w:t>
      </w:r>
      <w:r>
        <w:rPr>
          <w:rFonts w:ascii="宋体" w:hAnsi="宋体" w:eastAsia="宋体" w:cs="宋体"/>
          <w:spacing w:val="-1"/>
          <w:sz w:val="24"/>
          <w:szCs w:val="24"/>
        </w:rPr>
        <w:t>人，原</w:t>
      </w:r>
      <w:r>
        <w:rPr>
          <w:rFonts w:ascii="宋体" w:hAnsi="宋体" w:eastAsia="宋体" w:cs="宋体"/>
          <w:spacing w:val="-43"/>
          <w:sz w:val="24"/>
          <w:szCs w:val="24"/>
        </w:rPr>
        <w:t xml:space="preserve"> </w:t>
      </w:r>
      <w:r>
        <w:rPr>
          <w:rFonts w:ascii="宋体" w:hAnsi="宋体" w:eastAsia="宋体" w:cs="宋体"/>
          <w:spacing w:val="-1"/>
          <w:sz w:val="24"/>
          <w:szCs w:val="24"/>
        </w:rPr>
        <w:t>2000t/a</w:t>
      </w:r>
      <w:r>
        <w:rPr>
          <w:rFonts w:ascii="宋体" w:hAnsi="宋体" w:eastAsia="宋体" w:cs="宋体"/>
          <w:sz w:val="24"/>
          <w:szCs w:val="24"/>
        </w:rPr>
        <w:t xml:space="preserve"> </w:t>
      </w:r>
      <w:r>
        <w:rPr>
          <w:rFonts w:ascii="宋体" w:hAnsi="宋体" w:eastAsia="宋体" w:cs="宋体"/>
          <w:spacing w:val="2"/>
          <w:sz w:val="24"/>
          <w:szCs w:val="24"/>
        </w:rPr>
        <w:t>选矿工程人员调配到技改工程</w:t>
      </w:r>
      <w:r>
        <w:rPr>
          <w:rFonts w:ascii="宋体" w:hAnsi="宋体" w:eastAsia="宋体" w:cs="宋体"/>
          <w:spacing w:val="-24"/>
          <w:sz w:val="24"/>
          <w:szCs w:val="24"/>
        </w:rPr>
        <w:t xml:space="preserve"> </w:t>
      </w:r>
      <w:r>
        <w:rPr>
          <w:rFonts w:ascii="宋体" w:hAnsi="宋体" w:eastAsia="宋体" w:cs="宋体"/>
          <w:spacing w:val="2"/>
          <w:sz w:val="24"/>
          <w:szCs w:val="24"/>
        </w:rPr>
        <w:t>141人，职工定员总人数</w:t>
      </w:r>
      <w:r>
        <w:rPr>
          <w:rFonts w:ascii="宋体" w:hAnsi="宋体" w:eastAsia="宋体" w:cs="宋体"/>
          <w:spacing w:val="-46"/>
          <w:sz w:val="24"/>
          <w:szCs w:val="24"/>
        </w:rPr>
        <w:t xml:space="preserve"> </w:t>
      </w:r>
      <w:r>
        <w:rPr>
          <w:rFonts w:ascii="宋体" w:hAnsi="宋体" w:eastAsia="宋体" w:cs="宋体"/>
          <w:spacing w:val="2"/>
          <w:sz w:val="24"/>
          <w:szCs w:val="24"/>
        </w:rPr>
        <w:t>348人。</w:t>
      </w:r>
    </w:p>
    <w:p w14:paraId="2B361A60">
      <w:pPr>
        <w:spacing w:before="158" w:line="222" w:lineRule="auto"/>
        <w:ind w:left="18"/>
        <w:outlineLvl w:val="1"/>
        <w:rPr>
          <w:rFonts w:ascii="黑体" w:hAnsi="黑体" w:eastAsia="黑体" w:cs="黑体"/>
          <w:sz w:val="28"/>
          <w:szCs w:val="28"/>
        </w:rPr>
      </w:pPr>
      <w:bookmarkStart w:id="57" w:name="bookmark53"/>
      <w:bookmarkEnd w:id="57"/>
      <w:r>
        <w:rPr>
          <w:rFonts w:ascii="Times New Roman" w:hAnsi="Times New Roman" w:eastAsia="Times New Roman" w:cs="Times New Roman"/>
          <w:b/>
          <w:bCs/>
          <w:spacing w:val="-2"/>
          <w:sz w:val="28"/>
          <w:szCs w:val="28"/>
        </w:rPr>
        <w:t xml:space="preserve">4.6 </w:t>
      </w:r>
      <w:r>
        <w:rPr>
          <w:rFonts w:ascii="黑体" w:hAnsi="黑体" w:eastAsia="黑体" w:cs="黑体"/>
          <w:b/>
          <w:bCs/>
          <w:spacing w:val="-2"/>
          <w:sz w:val="28"/>
          <w:szCs w:val="28"/>
        </w:rPr>
        <w:t>总投资、环保投资</w:t>
      </w:r>
    </w:p>
    <w:p w14:paraId="5F41CB85">
      <w:pPr>
        <w:spacing w:before="254" w:line="219" w:lineRule="auto"/>
        <w:ind w:left="502"/>
        <w:rPr>
          <w:rFonts w:ascii="宋体" w:hAnsi="宋体" w:eastAsia="宋体" w:cs="宋体"/>
          <w:sz w:val="24"/>
          <w:szCs w:val="24"/>
        </w:rPr>
      </w:pPr>
      <w:r>
        <w:rPr>
          <w:rFonts w:ascii="宋体" w:hAnsi="宋体" w:eastAsia="宋体" w:cs="宋体"/>
          <w:spacing w:val="-3"/>
          <w:sz w:val="24"/>
          <w:szCs w:val="24"/>
        </w:rPr>
        <w:t>本项目总投资为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3212.27</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万元，其中</w:t>
      </w:r>
      <w:r>
        <w:rPr>
          <w:rFonts w:ascii="宋体" w:hAnsi="宋体" w:eastAsia="宋体" w:cs="宋体"/>
          <w:spacing w:val="-4"/>
          <w:sz w:val="24"/>
          <w:szCs w:val="24"/>
        </w:rPr>
        <w:t>环保投资</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12.5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万元，</w:t>
      </w:r>
      <w:r>
        <w:rPr>
          <w:rFonts w:ascii="宋体" w:hAnsi="宋体" w:eastAsia="宋体" w:cs="宋体"/>
          <w:spacing w:val="-71"/>
          <w:sz w:val="24"/>
          <w:szCs w:val="24"/>
        </w:rPr>
        <w:t xml:space="preserve"> </w:t>
      </w:r>
      <w:r>
        <w:rPr>
          <w:rFonts w:ascii="宋体" w:hAnsi="宋体" w:eastAsia="宋体" w:cs="宋体"/>
          <w:spacing w:val="-4"/>
          <w:sz w:val="24"/>
          <w:szCs w:val="24"/>
        </w:rPr>
        <w:t>占项目总投资的</w:t>
      </w:r>
    </w:p>
    <w:p w14:paraId="4DDA1208">
      <w:pPr>
        <w:spacing w:before="225" w:line="180" w:lineRule="auto"/>
        <w:ind w:left="20"/>
        <w:rPr>
          <w:rFonts w:ascii="宋体" w:hAnsi="宋体" w:eastAsia="宋体" w:cs="宋体"/>
          <w:sz w:val="24"/>
          <w:szCs w:val="24"/>
        </w:rPr>
      </w:pPr>
      <w:r>
        <w:rPr>
          <w:rFonts w:ascii="Times New Roman" w:hAnsi="Times New Roman" w:eastAsia="Times New Roman" w:cs="Times New Roman"/>
          <w:spacing w:val="-2"/>
          <w:sz w:val="24"/>
          <w:szCs w:val="24"/>
        </w:rPr>
        <w:t>0.39%</w:t>
      </w:r>
      <w:r>
        <w:rPr>
          <w:rFonts w:ascii="宋体" w:hAnsi="宋体" w:eastAsia="宋体" w:cs="宋体"/>
          <w:spacing w:val="-2"/>
          <w:sz w:val="24"/>
          <w:szCs w:val="24"/>
        </w:rPr>
        <w:t>。</w:t>
      </w:r>
    </w:p>
    <w:p w14:paraId="1DD13212">
      <w:pPr>
        <w:spacing w:before="276" w:line="224" w:lineRule="auto"/>
        <w:ind w:left="18"/>
        <w:outlineLvl w:val="1"/>
        <w:rPr>
          <w:rFonts w:ascii="黑体" w:hAnsi="黑体" w:eastAsia="黑体" w:cs="黑体"/>
          <w:sz w:val="28"/>
          <w:szCs w:val="28"/>
        </w:rPr>
      </w:pPr>
      <w:bookmarkStart w:id="58" w:name="bookmark54"/>
      <w:bookmarkEnd w:id="58"/>
      <w:r>
        <w:rPr>
          <w:rFonts w:ascii="Times New Roman" w:hAnsi="Times New Roman" w:eastAsia="Times New Roman" w:cs="Times New Roman"/>
          <w:b/>
          <w:bCs/>
          <w:spacing w:val="-5"/>
          <w:sz w:val="28"/>
          <w:szCs w:val="28"/>
        </w:rPr>
        <w:t>4.7</w:t>
      </w:r>
      <w:r>
        <w:rPr>
          <w:rFonts w:ascii="Times New Roman" w:hAnsi="Times New Roman" w:eastAsia="Times New Roman" w:cs="Times New Roman"/>
          <w:b/>
          <w:bCs/>
          <w:spacing w:val="18"/>
          <w:sz w:val="28"/>
          <w:szCs w:val="28"/>
        </w:rPr>
        <w:t xml:space="preserve"> </w:t>
      </w:r>
      <w:r>
        <w:rPr>
          <w:rFonts w:ascii="黑体" w:hAnsi="黑体" w:eastAsia="黑体" w:cs="黑体"/>
          <w:b/>
          <w:bCs/>
          <w:spacing w:val="-5"/>
          <w:sz w:val="28"/>
          <w:szCs w:val="28"/>
        </w:rPr>
        <w:t>平面布置</w:t>
      </w:r>
    </w:p>
    <w:p w14:paraId="5D3C4424">
      <w:pPr>
        <w:spacing w:before="254" w:line="360" w:lineRule="auto"/>
        <w:ind w:left="20" w:right="101" w:firstLine="510"/>
        <w:jc w:val="both"/>
        <w:rPr>
          <w:rFonts w:ascii="宋体" w:hAnsi="宋体" w:eastAsia="宋体" w:cs="宋体"/>
          <w:sz w:val="24"/>
          <w:szCs w:val="24"/>
        </w:rPr>
      </w:pPr>
      <w:r>
        <w:rPr>
          <w:rFonts w:ascii="宋体" w:hAnsi="宋体" w:eastAsia="宋体" w:cs="宋体"/>
          <w:spacing w:val="-1"/>
          <w:sz w:val="24"/>
          <w:szCs w:val="24"/>
        </w:rPr>
        <w:t>内蒙古玉龙矿业股份有限公司采矿工程工业场地位于矿</w:t>
      </w:r>
      <w:r>
        <w:rPr>
          <w:rFonts w:ascii="宋体" w:hAnsi="宋体" w:eastAsia="宋体" w:cs="宋体"/>
          <w:spacing w:val="-2"/>
          <w:sz w:val="24"/>
          <w:szCs w:val="24"/>
        </w:rPr>
        <w:t>区南部，距技改工</w:t>
      </w:r>
      <w:r>
        <w:rPr>
          <w:rFonts w:ascii="宋体" w:hAnsi="宋体" w:eastAsia="宋体" w:cs="宋体"/>
          <w:sz w:val="24"/>
          <w:szCs w:val="24"/>
        </w:rPr>
        <w:t xml:space="preserve"> </w:t>
      </w:r>
      <w:r>
        <w:rPr>
          <w:rFonts w:ascii="宋体" w:hAnsi="宋体" w:eastAsia="宋体" w:cs="宋体"/>
          <w:spacing w:val="2"/>
          <w:sz w:val="24"/>
          <w:szCs w:val="24"/>
        </w:rPr>
        <w:t>程</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830m</w:t>
      </w:r>
      <w:r>
        <w:rPr>
          <w:rFonts w:ascii="宋体" w:hAnsi="宋体" w:eastAsia="宋体" w:cs="宋体"/>
          <w:spacing w:val="2"/>
          <w:sz w:val="24"/>
          <w:szCs w:val="24"/>
        </w:rPr>
        <w:t>；现有选厂位于本项目南部，距技改工程</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67m</w:t>
      </w:r>
      <w:r>
        <w:rPr>
          <w:rFonts w:ascii="宋体" w:hAnsi="宋体" w:eastAsia="宋体" w:cs="宋体"/>
          <w:spacing w:val="1"/>
          <w:sz w:val="24"/>
          <w:szCs w:val="24"/>
        </w:rPr>
        <w:t>；进场道路由白音华至</w:t>
      </w:r>
      <w:r>
        <w:rPr>
          <w:rFonts w:ascii="宋体" w:hAnsi="宋体" w:eastAsia="宋体" w:cs="宋体"/>
          <w:sz w:val="24"/>
          <w:szCs w:val="24"/>
        </w:rPr>
        <w:t xml:space="preserve"> </w:t>
      </w:r>
      <w:r>
        <w:rPr>
          <w:rFonts w:ascii="宋体" w:hAnsi="宋体" w:eastAsia="宋体" w:cs="宋体"/>
          <w:spacing w:val="-7"/>
          <w:sz w:val="24"/>
          <w:szCs w:val="24"/>
        </w:rPr>
        <w:t>乌拉盖公路引接至本矿区，长</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8000m</w:t>
      </w:r>
      <w:r>
        <w:rPr>
          <w:rFonts w:ascii="宋体" w:hAnsi="宋体" w:eastAsia="宋体" w:cs="宋体"/>
          <w:spacing w:val="-7"/>
          <w:sz w:val="24"/>
          <w:szCs w:val="24"/>
        </w:rPr>
        <w:t>，宽</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8"/>
          <w:sz w:val="24"/>
          <w:szCs w:val="24"/>
        </w:rPr>
        <w:t>.0m</w:t>
      </w:r>
      <w:r>
        <w:rPr>
          <w:rFonts w:ascii="宋体" w:hAnsi="宋体" w:eastAsia="宋体" w:cs="宋体"/>
          <w:spacing w:val="-8"/>
          <w:sz w:val="24"/>
          <w:szCs w:val="24"/>
        </w:rPr>
        <w:t>，水泥路面。采矿区到选场道路，</w:t>
      </w:r>
      <w:r>
        <w:rPr>
          <w:rFonts w:ascii="宋体" w:hAnsi="宋体" w:eastAsia="宋体" w:cs="宋体"/>
          <w:sz w:val="24"/>
          <w:szCs w:val="24"/>
        </w:rPr>
        <w:t xml:space="preserve"> </w:t>
      </w:r>
      <w:r>
        <w:rPr>
          <w:rFonts w:ascii="宋体" w:hAnsi="宋体" w:eastAsia="宋体" w:cs="宋体"/>
          <w:spacing w:val="-3"/>
          <w:sz w:val="24"/>
          <w:szCs w:val="24"/>
        </w:rPr>
        <w:t>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1600m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，宽</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6.0m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，水泥路面。矿区总</w:t>
      </w:r>
      <w:r>
        <w:rPr>
          <w:rFonts w:ascii="宋体" w:hAnsi="宋体" w:eastAsia="宋体" w:cs="宋体"/>
          <w:spacing w:val="-4"/>
          <w:sz w:val="24"/>
          <w:szCs w:val="24"/>
        </w:rPr>
        <w:t>平面布置见图</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4.7-1</w:t>
      </w:r>
      <w:r>
        <w:rPr>
          <w:rFonts w:ascii="宋体" w:hAnsi="宋体" w:eastAsia="宋体" w:cs="宋体"/>
          <w:spacing w:val="-4"/>
          <w:sz w:val="24"/>
          <w:szCs w:val="24"/>
        </w:rPr>
        <w:t>。</w:t>
      </w:r>
    </w:p>
    <w:p w14:paraId="3DB0304F">
      <w:pPr>
        <w:spacing w:before="5" w:line="360" w:lineRule="auto"/>
        <w:ind w:left="20" w:right="82" w:firstLine="481"/>
        <w:jc w:val="both"/>
        <w:rPr>
          <w:rFonts w:ascii="宋体" w:hAnsi="宋体" w:eastAsia="宋体" w:cs="宋体"/>
          <w:sz w:val="24"/>
          <w:szCs w:val="24"/>
        </w:rPr>
      </w:pPr>
      <w:r>
        <w:rPr>
          <w:rFonts w:ascii="宋体" w:hAnsi="宋体" w:eastAsia="宋体" w:cs="宋体"/>
          <w:spacing w:val="-5"/>
          <w:sz w:val="24"/>
          <w:szCs w:val="24"/>
        </w:rPr>
        <w:t>技改项目实施后，项目区总占地面积不变，选矿工业场地采</w:t>
      </w:r>
      <w:r>
        <w:rPr>
          <w:rFonts w:ascii="宋体" w:hAnsi="宋体" w:eastAsia="宋体" w:cs="宋体"/>
          <w:spacing w:val="-6"/>
          <w:sz w:val="24"/>
          <w:szCs w:val="24"/>
        </w:rPr>
        <w:t>用台阶式布置，</w:t>
      </w:r>
      <w:r>
        <w:rPr>
          <w:rFonts w:ascii="宋体" w:hAnsi="宋体" w:eastAsia="宋体" w:cs="宋体"/>
          <w:sz w:val="24"/>
          <w:szCs w:val="24"/>
        </w:rPr>
        <w:t xml:space="preserve"> </w:t>
      </w:r>
      <w:r>
        <w:rPr>
          <w:rFonts w:ascii="宋体" w:hAnsi="宋体" w:eastAsia="宋体" w:cs="宋体"/>
          <w:spacing w:val="-5"/>
          <w:sz w:val="24"/>
          <w:szCs w:val="24"/>
        </w:rPr>
        <w:t>由东北向西南依次布置有原矿仓、粗碎车间、中间堆场、磨矿车间、浮选车间、</w:t>
      </w:r>
      <w:r>
        <w:rPr>
          <w:rFonts w:ascii="宋体" w:hAnsi="宋体" w:eastAsia="宋体" w:cs="宋体"/>
          <w:spacing w:val="5"/>
          <w:sz w:val="24"/>
          <w:szCs w:val="24"/>
        </w:rPr>
        <w:t xml:space="preserve"> </w:t>
      </w:r>
      <w:r>
        <w:rPr>
          <w:rFonts w:ascii="宋体" w:hAnsi="宋体" w:eastAsia="宋体" w:cs="宋体"/>
          <w:spacing w:val="-1"/>
          <w:sz w:val="24"/>
          <w:szCs w:val="24"/>
        </w:rPr>
        <w:t>脱水车间、精矿车间。其中原矿仓、粗碎车间位于</w:t>
      </w:r>
      <w:r>
        <w:rPr>
          <w:rFonts w:ascii="宋体" w:hAnsi="宋体" w:eastAsia="宋体" w:cs="宋体"/>
          <w:spacing w:val="-33"/>
          <w:sz w:val="24"/>
          <w:szCs w:val="24"/>
        </w:rPr>
        <w:t xml:space="preserve"> </w:t>
      </w:r>
      <w:r>
        <w:rPr>
          <w:rFonts w:ascii="宋体" w:hAnsi="宋体" w:eastAsia="宋体" w:cs="宋体"/>
          <w:spacing w:val="-1"/>
          <w:sz w:val="24"/>
          <w:szCs w:val="24"/>
        </w:rPr>
        <w:t>1020m</w:t>
      </w:r>
      <w:r>
        <w:rPr>
          <w:rFonts w:ascii="宋体" w:hAnsi="宋体" w:eastAsia="宋体" w:cs="宋体"/>
          <w:spacing w:val="-52"/>
          <w:sz w:val="24"/>
          <w:szCs w:val="24"/>
        </w:rPr>
        <w:t xml:space="preserve"> </w:t>
      </w:r>
      <w:r>
        <w:rPr>
          <w:rFonts w:ascii="宋体" w:hAnsi="宋体" w:eastAsia="宋体" w:cs="宋体"/>
          <w:spacing w:val="-2"/>
          <w:sz w:val="24"/>
          <w:szCs w:val="24"/>
        </w:rPr>
        <w:t>平台，中间堆场在粗</w:t>
      </w:r>
      <w:r>
        <w:rPr>
          <w:rFonts w:ascii="宋体" w:hAnsi="宋体" w:eastAsia="宋体" w:cs="宋体"/>
          <w:sz w:val="24"/>
          <w:szCs w:val="24"/>
        </w:rPr>
        <w:t xml:space="preserve"> </w:t>
      </w:r>
      <w:r>
        <w:rPr>
          <w:rFonts w:ascii="宋体" w:hAnsi="宋体" w:eastAsia="宋体" w:cs="宋体"/>
          <w:spacing w:val="5"/>
          <w:sz w:val="24"/>
          <w:szCs w:val="24"/>
        </w:rPr>
        <w:t>碎车间西北侧</w:t>
      </w:r>
      <w:r>
        <w:rPr>
          <w:rFonts w:ascii="宋体" w:hAnsi="宋体" w:eastAsia="宋体" w:cs="宋体"/>
          <w:spacing w:val="-21"/>
          <w:sz w:val="24"/>
          <w:szCs w:val="24"/>
        </w:rPr>
        <w:t xml:space="preserve"> </w:t>
      </w:r>
      <w:r>
        <w:rPr>
          <w:rFonts w:ascii="宋体" w:hAnsi="宋体" w:eastAsia="宋体" w:cs="宋体"/>
          <w:spacing w:val="5"/>
          <w:sz w:val="24"/>
          <w:szCs w:val="24"/>
        </w:rPr>
        <w:t>1012m</w:t>
      </w:r>
      <w:r>
        <w:rPr>
          <w:rFonts w:ascii="宋体" w:hAnsi="宋体" w:eastAsia="宋体" w:cs="宋体"/>
          <w:spacing w:val="-44"/>
          <w:sz w:val="24"/>
          <w:szCs w:val="24"/>
        </w:rPr>
        <w:t xml:space="preserve"> </w:t>
      </w:r>
      <w:r>
        <w:rPr>
          <w:rFonts w:ascii="宋体" w:hAnsi="宋体" w:eastAsia="宋体" w:cs="宋体"/>
          <w:spacing w:val="5"/>
          <w:sz w:val="24"/>
          <w:szCs w:val="24"/>
        </w:rPr>
        <w:t>平台，主厂房在中间堆场西南侧布置，场地标高控制在</w:t>
      </w:r>
      <w:r>
        <w:rPr>
          <w:rFonts w:ascii="宋体" w:hAnsi="宋体" w:eastAsia="宋体" w:cs="宋体"/>
          <w:sz w:val="24"/>
          <w:szCs w:val="24"/>
        </w:rPr>
        <w:t xml:space="preserve"> </w:t>
      </w:r>
      <w:r>
        <w:rPr>
          <w:rFonts w:ascii="宋体" w:hAnsi="宋体" w:eastAsia="宋体" w:cs="宋体"/>
          <w:spacing w:val="-8"/>
          <w:sz w:val="24"/>
          <w:szCs w:val="24"/>
        </w:rPr>
        <w:t>1003～1008m。选厂机电修车间、选厂仓库在中间堆场东南侧的</w:t>
      </w:r>
      <w:r>
        <w:rPr>
          <w:rFonts w:ascii="宋体" w:hAnsi="宋体" w:eastAsia="宋体" w:cs="宋体"/>
          <w:spacing w:val="-22"/>
          <w:sz w:val="24"/>
          <w:szCs w:val="24"/>
        </w:rPr>
        <w:t xml:space="preserve"> </w:t>
      </w:r>
      <w:r>
        <w:rPr>
          <w:rFonts w:ascii="宋体" w:hAnsi="宋体" w:eastAsia="宋体" w:cs="宋体"/>
          <w:spacing w:val="-8"/>
          <w:sz w:val="24"/>
          <w:szCs w:val="24"/>
        </w:rPr>
        <w:t>1014m</w:t>
      </w:r>
      <w:r>
        <w:rPr>
          <w:rFonts w:ascii="宋体" w:hAnsi="宋体" w:eastAsia="宋体" w:cs="宋体"/>
          <w:spacing w:val="-52"/>
          <w:sz w:val="24"/>
          <w:szCs w:val="24"/>
        </w:rPr>
        <w:t xml:space="preserve"> </w:t>
      </w:r>
      <w:r>
        <w:rPr>
          <w:rFonts w:ascii="宋体" w:hAnsi="宋体" w:eastAsia="宋体" w:cs="宋体"/>
          <w:spacing w:val="-8"/>
          <w:sz w:val="24"/>
          <w:szCs w:val="24"/>
        </w:rPr>
        <w:t>平台布置。</w:t>
      </w:r>
      <w:r>
        <w:rPr>
          <w:rFonts w:ascii="宋体" w:hAnsi="宋体" w:eastAsia="宋体" w:cs="宋体"/>
          <w:sz w:val="24"/>
          <w:szCs w:val="24"/>
        </w:rPr>
        <w:t xml:space="preserve"> </w:t>
      </w:r>
      <w:r>
        <w:rPr>
          <w:rFonts w:ascii="宋体" w:hAnsi="宋体" w:eastAsia="宋体" w:cs="宋体"/>
          <w:spacing w:val="4"/>
          <w:sz w:val="24"/>
          <w:szCs w:val="24"/>
        </w:rPr>
        <w:t>技改工程总平面布置图见图4.7-2，其中南侧选厂二车间为拟停用的</w:t>
      </w:r>
      <w:r>
        <w:rPr>
          <w:rFonts w:ascii="宋体" w:hAnsi="宋体" w:eastAsia="宋体" w:cs="宋体"/>
          <w:spacing w:val="-43"/>
          <w:sz w:val="24"/>
          <w:szCs w:val="24"/>
        </w:rPr>
        <w:t xml:space="preserve"> </w:t>
      </w:r>
      <w:r>
        <w:rPr>
          <w:rFonts w:ascii="宋体" w:hAnsi="宋体" w:eastAsia="宋体" w:cs="宋体"/>
          <w:spacing w:val="4"/>
          <w:sz w:val="24"/>
          <w:szCs w:val="24"/>
        </w:rPr>
        <w:t>2000</w:t>
      </w:r>
      <w:r>
        <w:rPr>
          <w:rFonts w:ascii="宋体" w:hAnsi="宋体" w:eastAsia="宋体" w:cs="宋体"/>
          <w:spacing w:val="3"/>
          <w:sz w:val="24"/>
          <w:szCs w:val="24"/>
        </w:rPr>
        <w:t>t/d</w:t>
      </w:r>
      <w:r>
        <w:rPr>
          <w:rFonts w:ascii="宋体" w:hAnsi="宋体" w:eastAsia="宋体" w:cs="宋体"/>
          <w:sz w:val="24"/>
          <w:szCs w:val="24"/>
        </w:rPr>
        <w:t xml:space="preserve"> </w:t>
      </w:r>
      <w:r>
        <w:rPr>
          <w:rFonts w:ascii="宋体" w:hAnsi="宋体" w:eastAsia="宋体" w:cs="宋体"/>
          <w:spacing w:val="-1"/>
          <w:sz w:val="24"/>
          <w:szCs w:val="24"/>
        </w:rPr>
        <w:t>选矿车间。1400t/d</w:t>
      </w:r>
      <w:r>
        <w:rPr>
          <w:rFonts w:ascii="宋体" w:hAnsi="宋体" w:eastAsia="宋体" w:cs="宋体"/>
          <w:spacing w:val="-48"/>
          <w:sz w:val="24"/>
          <w:szCs w:val="24"/>
        </w:rPr>
        <w:t xml:space="preserve"> </w:t>
      </w:r>
      <w:r>
        <w:rPr>
          <w:rFonts w:ascii="宋体" w:hAnsi="宋体" w:eastAsia="宋体" w:cs="宋体"/>
          <w:spacing w:val="-1"/>
          <w:sz w:val="24"/>
          <w:szCs w:val="24"/>
        </w:rPr>
        <w:t>现有工程环保设施见图</w:t>
      </w:r>
      <w:r>
        <w:rPr>
          <w:rFonts w:ascii="宋体" w:hAnsi="宋体" w:eastAsia="宋体" w:cs="宋体"/>
          <w:spacing w:val="-52"/>
          <w:sz w:val="24"/>
          <w:szCs w:val="24"/>
        </w:rPr>
        <w:t xml:space="preserve"> </w:t>
      </w:r>
      <w:r>
        <w:rPr>
          <w:rFonts w:ascii="宋体" w:hAnsi="宋体" w:eastAsia="宋体" w:cs="宋体"/>
          <w:spacing w:val="-1"/>
          <w:sz w:val="24"/>
          <w:szCs w:val="24"/>
        </w:rPr>
        <w:t>4.7-</w:t>
      </w:r>
      <w:r>
        <w:rPr>
          <w:rFonts w:ascii="宋体" w:hAnsi="宋体" w:eastAsia="宋体" w:cs="宋体"/>
          <w:spacing w:val="-2"/>
          <w:sz w:val="24"/>
          <w:szCs w:val="24"/>
        </w:rPr>
        <w:t>3。</w:t>
      </w:r>
    </w:p>
    <w:p w14:paraId="1DB04FD4">
      <w:pPr>
        <w:spacing w:line="360" w:lineRule="auto"/>
        <w:rPr>
          <w:rFonts w:ascii="宋体" w:hAnsi="宋体" w:eastAsia="宋体" w:cs="宋体"/>
          <w:sz w:val="24"/>
          <w:szCs w:val="24"/>
        </w:rPr>
        <w:sectPr>
          <w:headerReference r:id="rId111" w:type="default"/>
          <w:footerReference r:id="rId112" w:type="default"/>
          <w:pgSz w:w="11906" w:h="16839"/>
          <w:pgMar w:top="1208" w:right="1785" w:bottom="1358" w:left="1785" w:header="825" w:footer="1195" w:gutter="0"/>
          <w:cols w:space="720" w:num="1"/>
        </w:sectPr>
      </w:pPr>
    </w:p>
    <w:p w14:paraId="44B7718C">
      <w:pPr>
        <w:pStyle w:val="2"/>
        <w:spacing w:line="347" w:lineRule="auto"/>
      </w:pPr>
    </w:p>
    <w:p w14:paraId="50681C4D">
      <w:pPr>
        <w:pStyle w:val="2"/>
        <w:spacing w:line="347" w:lineRule="auto"/>
      </w:pPr>
    </w:p>
    <w:p w14:paraId="43BEB4A7">
      <w:pPr>
        <w:spacing w:line="7267" w:lineRule="exact"/>
        <w:ind w:firstLine="211"/>
      </w:pPr>
      <w:r>
        <w:rPr>
          <w:position w:val="-145"/>
        </w:rPr>
        <w:drawing>
          <wp:inline distT="0" distB="0" distL="0" distR="0">
            <wp:extent cx="8570595" cy="46145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66"/>
                    <a:stretch>
                      <a:fillRect/>
                    </a:stretch>
                  </pic:blipFill>
                  <pic:spPr>
                    <a:xfrm>
                      <a:off x="0" y="0"/>
                      <a:ext cx="8570976" cy="4614671"/>
                    </a:xfrm>
                    <a:prstGeom prst="rect">
                      <a:avLst/>
                    </a:prstGeom>
                  </pic:spPr>
                </pic:pic>
              </a:graphicData>
            </a:graphic>
          </wp:inline>
        </w:drawing>
      </w:r>
    </w:p>
    <w:p w14:paraId="1F8CD548">
      <w:pPr>
        <w:spacing w:before="162" w:line="227" w:lineRule="auto"/>
        <w:ind w:left="5932"/>
        <w:rPr>
          <w:rFonts w:ascii="宋体" w:hAnsi="宋体" w:eastAsia="宋体" w:cs="宋体"/>
          <w:sz w:val="20"/>
          <w:szCs w:val="20"/>
        </w:rPr>
      </w:pPr>
      <w:r>
        <w:rPr>
          <w:rFonts w:ascii="宋体" w:hAnsi="宋体" w:eastAsia="宋体" w:cs="宋体"/>
          <w:spacing w:val="4"/>
          <w:sz w:val="20"/>
          <w:szCs w:val="20"/>
        </w:rPr>
        <w:t>图</w:t>
      </w:r>
      <w:r>
        <w:rPr>
          <w:rFonts w:ascii="宋体" w:hAnsi="宋体" w:eastAsia="宋体" w:cs="宋体"/>
          <w:spacing w:val="-31"/>
          <w:sz w:val="20"/>
          <w:szCs w:val="20"/>
        </w:rPr>
        <w:t xml:space="preserve"> </w:t>
      </w:r>
      <w:r>
        <w:rPr>
          <w:rFonts w:ascii="Times New Roman" w:hAnsi="Times New Roman" w:eastAsia="Times New Roman" w:cs="Times New Roman"/>
          <w:spacing w:val="4"/>
          <w:sz w:val="20"/>
          <w:szCs w:val="20"/>
        </w:rPr>
        <w:t xml:space="preserve">4.7-1    </w:t>
      </w:r>
      <w:r>
        <w:rPr>
          <w:rFonts w:ascii="宋体" w:hAnsi="宋体" w:eastAsia="宋体" w:cs="宋体"/>
          <w:spacing w:val="4"/>
          <w:sz w:val="20"/>
          <w:szCs w:val="20"/>
        </w:rPr>
        <w:t>矿区总平面布置图</w:t>
      </w:r>
    </w:p>
    <w:p w14:paraId="6676CA08">
      <w:pPr>
        <w:spacing w:line="227" w:lineRule="auto"/>
        <w:rPr>
          <w:rFonts w:ascii="宋体" w:hAnsi="宋体" w:eastAsia="宋体" w:cs="宋体"/>
          <w:sz w:val="20"/>
          <w:szCs w:val="20"/>
        </w:rPr>
        <w:sectPr>
          <w:headerReference r:id="rId113" w:type="default"/>
          <w:footerReference r:id="rId114" w:type="default"/>
          <w:pgSz w:w="16839" w:h="11906"/>
          <w:pgMar w:top="1208" w:right="1440" w:bottom="1358" w:left="1440" w:header="825" w:footer="1195" w:gutter="0"/>
          <w:cols w:space="720" w:num="1"/>
        </w:sectPr>
      </w:pPr>
    </w:p>
    <w:p w14:paraId="47C9BBC4">
      <w:pPr>
        <w:pStyle w:val="2"/>
        <w:spacing w:line="296" w:lineRule="auto"/>
      </w:pPr>
    </w:p>
    <w:p w14:paraId="06C33B7E">
      <w:pPr>
        <w:pStyle w:val="2"/>
        <w:spacing w:line="296" w:lineRule="auto"/>
      </w:pPr>
    </w:p>
    <w:p w14:paraId="61E1BFED">
      <w:pPr>
        <w:spacing w:line="7785" w:lineRule="exact"/>
        <w:ind w:firstLine="1291"/>
      </w:pPr>
      <w:r>
        <w:rPr>
          <w:position w:val="-155"/>
        </w:rPr>
        <w:drawing>
          <wp:inline distT="0" distB="0" distL="0" distR="0">
            <wp:extent cx="7197725" cy="49434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67"/>
                    <a:stretch>
                      <a:fillRect/>
                    </a:stretch>
                  </pic:blipFill>
                  <pic:spPr>
                    <a:xfrm>
                      <a:off x="0" y="0"/>
                      <a:ext cx="7197852" cy="4943855"/>
                    </a:xfrm>
                    <a:prstGeom prst="rect">
                      <a:avLst/>
                    </a:prstGeom>
                  </pic:spPr>
                </pic:pic>
              </a:graphicData>
            </a:graphic>
          </wp:inline>
        </w:drawing>
      </w:r>
    </w:p>
    <w:p w14:paraId="6909F727">
      <w:pPr>
        <w:spacing w:before="58" w:line="227" w:lineRule="auto"/>
        <w:ind w:left="5483"/>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39"/>
          <w:sz w:val="20"/>
          <w:szCs w:val="20"/>
        </w:rPr>
        <w:t xml:space="preserve"> </w:t>
      </w:r>
      <w:r>
        <w:rPr>
          <w:rFonts w:ascii="Times New Roman" w:hAnsi="Times New Roman" w:eastAsia="Times New Roman" w:cs="Times New Roman"/>
          <w:spacing w:val="5"/>
          <w:sz w:val="20"/>
          <w:szCs w:val="20"/>
        </w:rPr>
        <w:t xml:space="preserve">4.7-2    </w:t>
      </w:r>
      <w:r>
        <w:rPr>
          <w:rFonts w:ascii="宋体" w:hAnsi="宋体" w:eastAsia="宋体" w:cs="宋体"/>
          <w:spacing w:val="5"/>
          <w:sz w:val="20"/>
          <w:szCs w:val="20"/>
        </w:rPr>
        <w:t>技改工程总平面布置图</w:t>
      </w:r>
    </w:p>
    <w:p w14:paraId="4A81EC55">
      <w:pPr>
        <w:spacing w:line="227" w:lineRule="auto"/>
        <w:rPr>
          <w:rFonts w:ascii="宋体" w:hAnsi="宋体" w:eastAsia="宋体" w:cs="宋体"/>
          <w:sz w:val="20"/>
          <w:szCs w:val="20"/>
        </w:rPr>
        <w:sectPr>
          <w:footerReference r:id="rId115" w:type="default"/>
          <w:pgSz w:w="16839" w:h="11906"/>
          <w:pgMar w:top="1208" w:right="1440" w:bottom="1358" w:left="1440" w:header="825" w:footer="1195" w:gutter="0"/>
          <w:cols w:space="720" w:num="1"/>
        </w:sectPr>
      </w:pPr>
    </w:p>
    <w:p w14:paraId="4F8173E6">
      <w:pPr>
        <w:spacing w:line="231"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36"/>
        <w:gridCol w:w="4190"/>
      </w:tblGrid>
      <w:tr w14:paraId="5D040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4336" w:type="dxa"/>
            <w:vAlign w:val="top"/>
          </w:tcPr>
          <w:p w14:paraId="43348B8A">
            <w:pPr>
              <w:spacing w:before="23" w:line="2772" w:lineRule="exact"/>
              <w:ind w:firstLine="107"/>
            </w:pPr>
            <w:r>
              <w:rPr>
                <w:position w:val="-55"/>
              </w:rPr>
              <w:drawing>
                <wp:inline distT="0" distB="0" distL="0" distR="0">
                  <wp:extent cx="2561590" cy="17602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68"/>
                          <a:stretch>
                            <a:fillRect/>
                          </a:stretch>
                        </pic:blipFill>
                        <pic:spPr>
                          <a:xfrm>
                            <a:off x="0" y="0"/>
                            <a:ext cx="2561844" cy="1760220"/>
                          </a:xfrm>
                          <a:prstGeom prst="rect">
                            <a:avLst/>
                          </a:prstGeom>
                        </pic:spPr>
                      </pic:pic>
                    </a:graphicData>
                  </a:graphic>
                </wp:inline>
              </w:drawing>
            </w:r>
          </w:p>
        </w:tc>
        <w:tc>
          <w:tcPr>
            <w:tcW w:w="4190" w:type="dxa"/>
            <w:vAlign w:val="top"/>
          </w:tcPr>
          <w:p w14:paraId="32467870">
            <w:pPr>
              <w:spacing w:before="23" w:line="2772" w:lineRule="exact"/>
              <w:ind w:firstLine="106"/>
            </w:pPr>
            <w:r>
              <w:rPr>
                <w:position w:val="-55"/>
              </w:rPr>
              <w:drawing>
                <wp:inline distT="0" distB="0" distL="0" distR="0">
                  <wp:extent cx="2500630" cy="17602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69"/>
                          <a:stretch>
                            <a:fillRect/>
                          </a:stretch>
                        </pic:blipFill>
                        <pic:spPr>
                          <a:xfrm>
                            <a:off x="0" y="0"/>
                            <a:ext cx="2500884" cy="1760220"/>
                          </a:xfrm>
                          <a:prstGeom prst="rect">
                            <a:avLst/>
                          </a:prstGeom>
                        </pic:spPr>
                      </pic:pic>
                    </a:graphicData>
                  </a:graphic>
                </wp:inline>
              </w:drawing>
            </w:r>
          </w:p>
        </w:tc>
      </w:tr>
      <w:tr w14:paraId="3CE5E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336" w:type="dxa"/>
            <w:vAlign w:val="top"/>
          </w:tcPr>
          <w:p w14:paraId="7542D09B">
            <w:pPr>
              <w:pStyle w:val="6"/>
              <w:spacing w:before="118" w:line="219" w:lineRule="auto"/>
              <w:ind w:left="862"/>
              <w:rPr>
                <w:sz w:val="24"/>
                <w:szCs w:val="24"/>
              </w:rPr>
            </w:pPr>
            <w:r>
              <w:rPr>
                <w:spacing w:val="-2"/>
                <w:sz w:val="24"/>
                <w:szCs w:val="24"/>
              </w:rPr>
              <w:t>原矿堆场设置防风抑尘网</w:t>
            </w:r>
          </w:p>
        </w:tc>
        <w:tc>
          <w:tcPr>
            <w:tcW w:w="4190" w:type="dxa"/>
            <w:vAlign w:val="top"/>
          </w:tcPr>
          <w:p w14:paraId="642900E2">
            <w:pPr>
              <w:pStyle w:val="6"/>
              <w:spacing w:before="118" w:line="219" w:lineRule="auto"/>
              <w:ind w:left="1260"/>
              <w:rPr>
                <w:sz w:val="24"/>
                <w:szCs w:val="24"/>
              </w:rPr>
            </w:pPr>
            <w:r>
              <w:rPr>
                <w:spacing w:val="-2"/>
                <w:sz w:val="24"/>
                <w:szCs w:val="24"/>
              </w:rPr>
              <w:t>粗碎车间全封闭</w:t>
            </w:r>
          </w:p>
        </w:tc>
      </w:tr>
      <w:tr w14:paraId="26A37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4336" w:type="dxa"/>
            <w:vAlign w:val="top"/>
          </w:tcPr>
          <w:p w14:paraId="39BB3776">
            <w:pPr>
              <w:spacing w:before="135" w:line="3165" w:lineRule="exact"/>
              <w:ind w:firstLine="107"/>
            </w:pPr>
            <w:r>
              <w:rPr>
                <w:position w:val="-63"/>
              </w:rPr>
              <w:drawing>
                <wp:inline distT="0" distB="0" distL="0" distR="0">
                  <wp:extent cx="2639060" cy="20097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70"/>
                          <a:stretch>
                            <a:fillRect/>
                          </a:stretch>
                        </pic:blipFill>
                        <pic:spPr>
                          <a:xfrm>
                            <a:off x="0" y="0"/>
                            <a:ext cx="2639567" cy="2010155"/>
                          </a:xfrm>
                          <a:prstGeom prst="rect">
                            <a:avLst/>
                          </a:prstGeom>
                        </pic:spPr>
                      </pic:pic>
                    </a:graphicData>
                  </a:graphic>
                </wp:inline>
              </w:drawing>
            </w:r>
          </w:p>
        </w:tc>
        <w:tc>
          <w:tcPr>
            <w:tcW w:w="4190" w:type="dxa"/>
            <w:vAlign w:val="top"/>
          </w:tcPr>
          <w:p w14:paraId="7C33383D">
            <w:pPr>
              <w:spacing w:before="108" w:line="3219" w:lineRule="exact"/>
              <w:ind w:firstLine="106"/>
            </w:pPr>
            <w:r>
              <w:rPr>
                <w:position w:val="-64"/>
              </w:rPr>
              <w:drawing>
                <wp:inline distT="0" distB="0" distL="0" distR="0">
                  <wp:extent cx="2535555" cy="204343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71"/>
                          <a:stretch>
                            <a:fillRect/>
                          </a:stretch>
                        </pic:blipFill>
                        <pic:spPr>
                          <a:xfrm>
                            <a:off x="0" y="0"/>
                            <a:ext cx="2535936" cy="2043683"/>
                          </a:xfrm>
                          <a:prstGeom prst="rect">
                            <a:avLst/>
                          </a:prstGeom>
                        </pic:spPr>
                      </pic:pic>
                    </a:graphicData>
                  </a:graphic>
                </wp:inline>
              </w:drawing>
            </w:r>
          </w:p>
        </w:tc>
      </w:tr>
      <w:tr w14:paraId="7803E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336" w:type="dxa"/>
            <w:vAlign w:val="top"/>
          </w:tcPr>
          <w:p w14:paraId="08B5EA19">
            <w:pPr>
              <w:pStyle w:val="6"/>
              <w:spacing w:before="118" w:line="220" w:lineRule="auto"/>
              <w:ind w:left="1358"/>
              <w:rPr>
                <w:sz w:val="24"/>
                <w:szCs w:val="24"/>
              </w:rPr>
            </w:pPr>
            <w:r>
              <w:rPr>
                <w:spacing w:val="-5"/>
                <w:sz w:val="24"/>
                <w:szCs w:val="24"/>
              </w:rPr>
              <w:t>中间堆场全封闭</w:t>
            </w:r>
          </w:p>
        </w:tc>
        <w:tc>
          <w:tcPr>
            <w:tcW w:w="4190" w:type="dxa"/>
            <w:vAlign w:val="top"/>
          </w:tcPr>
          <w:p w14:paraId="1CF1D85C">
            <w:pPr>
              <w:pStyle w:val="6"/>
              <w:spacing w:before="119" w:line="219" w:lineRule="auto"/>
              <w:ind w:left="780"/>
              <w:rPr>
                <w:sz w:val="24"/>
                <w:szCs w:val="24"/>
              </w:rPr>
            </w:pPr>
            <w:r>
              <w:rPr>
                <w:spacing w:val="-1"/>
                <w:sz w:val="24"/>
                <w:szCs w:val="24"/>
              </w:rPr>
              <w:t>粗碎车间除尘器及排气筒</w:t>
            </w:r>
          </w:p>
        </w:tc>
      </w:tr>
      <w:tr w14:paraId="1E882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4336" w:type="dxa"/>
            <w:vAlign w:val="top"/>
          </w:tcPr>
          <w:p w14:paraId="13A0D72B">
            <w:pPr>
              <w:spacing w:before="100" w:line="3233" w:lineRule="exact"/>
              <w:ind w:firstLine="107"/>
            </w:pPr>
            <w:r>
              <w:rPr>
                <w:position w:val="-64"/>
              </w:rPr>
              <w:drawing>
                <wp:inline distT="0" distB="0" distL="0" distR="0">
                  <wp:extent cx="2654300" cy="205232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72"/>
                          <a:stretch>
                            <a:fillRect/>
                          </a:stretch>
                        </pic:blipFill>
                        <pic:spPr>
                          <a:xfrm>
                            <a:off x="0" y="0"/>
                            <a:ext cx="2654807" cy="2052828"/>
                          </a:xfrm>
                          <a:prstGeom prst="rect">
                            <a:avLst/>
                          </a:prstGeom>
                        </pic:spPr>
                      </pic:pic>
                    </a:graphicData>
                  </a:graphic>
                </wp:inline>
              </w:drawing>
            </w:r>
          </w:p>
        </w:tc>
        <w:tc>
          <w:tcPr>
            <w:tcW w:w="4190" w:type="dxa"/>
            <w:vAlign w:val="top"/>
          </w:tcPr>
          <w:p w14:paraId="245D8DD9">
            <w:pPr>
              <w:spacing w:before="143" w:line="3151" w:lineRule="exact"/>
              <w:ind w:firstLine="106"/>
            </w:pPr>
            <w:r>
              <w:rPr>
                <w:position w:val="-63"/>
              </w:rPr>
              <w:drawing>
                <wp:inline distT="0" distB="0" distL="0" distR="0">
                  <wp:extent cx="2560320" cy="20008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73"/>
                          <a:stretch>
                            <a:fillRect/>
                          </a:stretch>
                        </pic:blipFill>
                        <pic:spPr>
                          <a:xfrm>
                            <a:off x="0" y="0"/>
                            <a:ext cx="2560320" cy="2001011"/>
                          </a:xfrm>
                          <a:prstGeom prst="rect">
                            <a:avLst/>
                          </a:prstGeom>
                        </pic:spPr>
                      </pic:pic>
                    </a:graphicData>
                  </a:graphic>
                </wp:inline>
              </w:drawing>
            </w:r>
          </w:p>
        </w:tc>
      </w:tr>
      <w:tr w14:paraId="20AC2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4336" w:type="dxa"/>
            <w:vAlign w:val="top"/>
          </w:tcPr>
          <w:p w14:paraId="7F0B39B3">
            <w:pPr>
              <w:pStyle w:val="6"/>
              <w:spacing w:before="120" w:line="219" w:lineRule="auto"/>
              <w:ind w:left="698"/>
              <w:rPr>
                <w:sz w:val="24"/>
                <w:szCs w:val="24"/>
              </w:rPr>
            </w:pPr>
            <w:r>
              <w:rPr>
                <w:spacing w:val="-3"/>
                <w:sz w:val="24"/>
                <w:szCs w:val="24"/>
              </w:rPr>
              <w:t>中间堆场</w:t>
            </w:r>
            <w:r>
              <w:rPr>
                <w:spacing w:val="-51"/>
                <w:sz w:val="24"/>
                <w:szCs w:val="24"/>
              </w:rPr>
              <w:t xml:space="preserve"> </w:t>
            </w:r>
            <w:r>
              <w:rPr>
                <w:rFonts w:ascii="Times New Roman" w:hAnsi="Times New Roman" w:eastAsia="Times New Roman" w:cs="Times New Roman"/>
                <w:spacing w:val="-3"/>
                <w:sz w:val="24"/>
                <w:szCs w:val="24"/>
              </w:rPr>
              <w:t xml:space="preserve">RDL </w:t>
            </w:r>
            <w:r>
              <w:rPr>
                <w:spacing w:val="-3"/>
                <w:sz w:val="24"/>
                <w:szCs w:val="24"/>
              </w:rPr>
              <w:t>滤筒式除尘器</w:t>
            </w:r>
          </w:p>
        </w:tc>
        <w:tc>
          <w:tcPr>
            <w:tcW w:w="4190" w:type="dxa"/>
            <w:vAlign w:val="top"/>
          </w:tcPr>
          <w:p w14:paraId="29A3E4E8">
            <w:pPr>
              <w:pStyle w:val="6"/>
              <w:spacing w:before="120" w:line="219" w:lineRule="auto"/>
              <w:ind w:left="1282"/>
              <w:rPr>
                <w:sz w:val="24"/>
                <w:szCs w:val="24"/>
              </w:rPr>
            </w:pPr>
            <w:r>
              <w:rPr>
                <w:spacing w:val="-5"/>
                <w:sz w:val="24"/>
                <w:szCs w:val="24"/>
              </w:rPr>
              <w:t>中间堆场排气筒</w:t>
            </w:r>
          </w:p>
        </w:tc>
      </w:tr>
    </w:tbl>
    <w:p w14:paraId="3849A6DC">
      <w:pPr>
        <w:spacing w:before="114" w:line="220" w:lineRule="auto"/>
        <w:ind w:left="2339"/>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4.7-3    </w:t>
      </w:r>
      <w:r>
        <w:rPr>
          <w:rFonts w:ascii="宋体" w:hAnsi="宋体" w:eastAsia="宋体" w:cs="宋体"/>
          <w:spacing w:val="-2"/>
          <w:sz w:val="24"/>
          <w:szCs w:val="24"/>
        </w:rPr>
        <w:t>现有工程环保设施现场照片</w:t>
      </w:r>
    </w:p>
    <w:p w14:paraId="44431CB1">
      <w:pPr>
        <w:spacing w:before="267" w:line="222" w:lineRule="auto"/>
        <w:ind w:left="119"/>
        <w:outlineLvl w:val="1"/>
        <w:rPr>
          <w:rFonts w:ascii="黑体" w:hAnsi="黑体" w:eastAsia="黑体" w:cs="黑体"/>
          <w:sz w:val="28"/>
          <w:szCs w:val="28"/>
        </w:rPr>
      </w:pPr>
      <w:bookmarkStart w:id="59" w:name="bookmark55"/>
      <w:bookmarkEnd w:id="59"/>
      <w:r>
        <w:rPr>
          <w:rFonts w:ascii="Times New Roman" w:hAnsi="Times New Roman" w:eastAsia="Times New Roman" w:cs="Times New Roman"/>
          <w:b/>
          <w:bCs/>
          <w:spacing w:val="-2"/>
          <w:sz w:val="28"/>
          <w:szCs w:val="28"/>
        </w:rPr>
        <w:t xml:space="preserve">4.8 </w:t>
      </w:r>
      <w:r>
        <w:rPr>
          <w:rFonts w:ascii="黑体" w:hAnsi="黑体" w:eastAsia="黑体" w:cs="黑体"/>
          <w:b/>
          <w:bCs/>
          <w:spacing w:val="-2"/>
          <w:sz w:val="28"/>
          <w:szCs w:val="28"/>
        </w:rPr>
        <w:t>主要经济技术指标</w:t>
      </w:r>
    </w:p>
    <w:p w14:paraId="59C5DE1B">
      <w:pPr>
        <w:spacing w:before="255" w:line="219" w:lineRule="auto"/>
        <w:ind w:left="603"/>
        <w:rPr>
          <w:rFonts w:ascii="宋体" w:hAnsi="宋体" w:eastAsia="宋体" w:cs="宋体"/>
          <w:sz w:val="24"/>
          <w:szCs w:val="24"/>
        </w:rPr>
      </w:pPr>
      <w:r>
        <w:rPr>
          <w:rFonts w:ascii="宋体" w:hAnsi="宋体" w:eastAsia="宋体" w:cs="宋体"/>
          <w:spacing w:val="-1"/>
          <w:sz w:val="24"/>
          <w:szCs w:val="24"/>
        </w:rPr>
        <w:t>技改工程选矿部分主要经济技术指标见表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4.8-1</w:t>
      </w:r>
      <w:r>
        <w:rPr>
          <w:rFonts w:ascii="宋体" w:hAnsi="宋体" w:eastAsia="宋体" w:cs="宋体"/>
          <w:spacing w:val="-1"/>
          <w:sz w:val="24"/>
          <w:szCs w:val="24"/>
        </w:rPr>
        <w:t>。</w:t>
      </w:r>
    </w:p>
    <w:p w14:paraId="36A3B806">
      <w:pPr>
        <w:spacing w:before="103" w:line="212" w:lineRule="auto"/>
        <w:ind w:left="207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4.8-1        </w:t>
      </w:r>
      <w:r>
        <w:rPr>
          <w:rFonts w:ascii="宋体" w:hAnsi="宋体" w:eastAsia="宋体" w:cs="宋体"/>
          <w:spacing w:val="-1"/>
          <w:sz w:val="24"/>
          <w:szCs w:val="24"/>
        </w:rPr>
        <w:t>技改工程主要经济技术指标表</w:t>
      </w:r>
    </w:p>
    <w:tbl>
      <w:tblPr>
        <w:tblStyle w:val="5"/>
        <w:tblW w:w="8509"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3117"/>
        <w:gridCol w:w="1133"/>
        <w:gridCol w:w="3450"/>
      </w:tblGrid>
      <w:tr w14:paraId="6A178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809" w:type="dxa"/>
            <w:vAlign w:val="top"/>
          </w:tcPr>
          <w:p w14:paraId="0A260296">
            <w:pPr>
              <w:pStyle w:val="6"/>
              <w:spacing w:before="134" w:line="229" w:lineRule="auto"/>
              <w:ind w:left="198"/>
            </w:pPr>
            <w:r>
              <w:rPr>
                <w:spacing w:val="5"/>
              </w:rPr>
              <w:t>序号</w:t>
            </w:r>
          </w:p>
        </w:tc>
        <w:tc>
          <w:tcPr>
            <w:tcW w:w="3117" w:type="dxa"/>
            <w:vAlign w:val="top"/>
          </w:tcPr>
          <w:p w14:paraId="7C648041">
            <w:pPr>
              <w:pStyle w:val="6"/>
              <w:spacing w:before="135" w:line="228" w:lineRule="auto"/>
              <w:ind w:left="1144"/>
            </w:pPr>
            <w:r>
              <w:rPr>
                <w:spacing w:val="6"/>
              </w:rPr>
              <w:t>指标名称</w:t>
            </w:r>
          </w:p>
        </w:tc>
        <w:tc>
          <w:tcPr>
            <w:tcW w:w="1133" w:type="dxa"/>
            <w:vAlign w:val="top"/>
          </w:tcPr>
          <w:p w14:paraId="077FA10C">
            <w:pPr>
              <w:pStyle w:val="6"/>
              <w:spacing w:before="135" w:line="228" w:lineRule="auto"/>
              <w:ind w:left="364"/>
            </w:pPr>
            <w:r>
              <w:rPr>
                <w:spacing w:val="3"/>
              </w:rPr>
              <w:t>单位</w:t>
            </w:r>
          </w:p>
        </w:tc>
        <w:tc>
          <w:tcPr>
            <w:tcW w:w="3450" w:type="dxa"/>
            <w:vAlign w:val="top"/>
          </w:tcPr>
          <w:p w14:paraId="0E2859F9">
            <w:pPr>
              <w:pStyle w:val="6"/>
              <w:spacing w:before="134" w:line="228" w:lineRule="auto"/>
              <w:ind w:left="1521"/>
            </w:pPr>
            <w:r>
              <w:rPr>
                <w:spacing w:val="3"/>
              </w:rPr>
              <w:t>数量</w:t>
            </w:r>
          </w:p>
        </w:tc>
      </w:tr>
    </w:tbl>
    <w:p w14:paraId="3C84CDD1">
      <w:pPr>
        <w:pStyle w:val="2"/>
      </w:pPr>
    </w:p>
    <w:p w14:paraId="7E1FE065">
      <w:pPr>
        <w:sectPr>
          <w:headerReference r:id="rId116" w:type="default"/>
          <w:footerReference r:id="rId117" w:type="default"/>
          <w:pgSz w:w="11906" w:h="16839"/>
          <w:pgMar w:top="1208" w:right="1687" w:bottom="1358" w:left="1687" w:header="825" w:footer="1195" w:gutter="0"/>
          <w:cols w:space="720" w:num="1"/>
        </w:sectPr>
      </w:pPr>
    </w:p>
    <w:p w14:paraId="699499B0">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3117"/>
        <w:gridCol w:w="1133"/>
        <w:gridCol w:w="3450"/>
      </w:tblGrid>
      <w:tr w14:paraId="43DD7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09" w:type="dxa"/>
            <w:vAlign w:val="top"/>
          </w:tcPr>
          <w:p w14:paraId="381553C8">
            <w:pPr>
              <w:pStyle w:val="6"/>
              <w:spacing w:before="133" w:line="229" w:lineRule="auto"/>
              <w:ind w:left="198"/>
            </w:pPr>
            <w:r>
              <w:rPr>
                <w:spacing w:val="5"/>
              </w:rPr>
              <w:t>序号</w:t>
            </w:r>
          </w:p>
        </w:tc>
        <w:tc>
          <w:tcPr>
            <w:tcW w:w="3117" w:type="dxa"/>
            <w:vAlign w:val="top"/>
          </w:tcPr>
          <w:p w14:paraId="2DE7EB5F">
            <w:pPr>
              <w:pStyle w:val="6"/>
              <w:spacing w:before="133" w:line="228" w:lineRule="auto"/>
              <w:ind w:left="1144"/>
            </w:pPr>
            <w:r>
              <w:rPr>
                <w:spacing w:val="6"/>
              </w:rPr>
              <w:t>指标名称</w:t>
            </w:r>
          </w:p>
        </w:tc>
        <w:tc>
          <w:tcPr>
            <w:tcW w:w="1133" w:type="dxa"/>
            <w:vAlign w:val="top"/>
          </w:tcPr>
          <w:p w14:paraId="60F3B911">
            <w:pPr>
              <w:pStyle w:val="6"/>
              <w:spacing w:before="133" w:line="228" w:lineRule="auto"/>
              <w:ind w:left="364"/>
            </w:pPr>
            <w:r>
              <w:rPr>
                <w:spacing w:val="3"/>
              </w:rPr>
              <w:t>单位</w:t>
            </w:r>
          </w:p>
        </w:tc>
        <w:tc>
          <w:tcPr>
            <w:tcW w:w="3450" w:type="dxa"/>
            <w:vAlign w:val="top"/>
          </w:tcPr>
          <w:p w14:paraId="5A93017B">
            <w:pPr>
              <w:pStyle w:val="6"/>
              <w:spacing w:before="132" w:line="228" w:lineRule="auto"/>
              <w:ind w:left="1521"/>
            </w:pPr>
            <w:r>
              <w:rPr>
                <w:spacing w:val="3"/>
              </w:rPr>
              <w:t>数量</w:t>
            </w:r>
          </w:p>
        </w:tc>
      </w:tr>
      <w:tr w14:paraId="10944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706D0993">
            <w:pPr>
              <w:pStyle w:val="6"/>
              <w:spacing w:before="131" w:line="270" w:lineRule="exact"/>
              <w:ind w:left="373"/>
            </w:pPr>
            <w:r>
              <w:rPr>
                <w:position w:val="1"/>
              </w:rPr>
              <w:t>1</w:t>
            </w:r>
          </w:p>
        </w:tc>
        <w:tc>
          <w:tcPr>
            <w:tcW w:w="3117" w:type="dxa"/>
            <w:vAlign w:val="top"/>
          </w:tcPr>
          <w:p w14:paraId="1C653AE7">
            <w:pPr>
              <w:pStyle w:val="6"/>
              <w:spacing w:before="130" w:line="228" w:lineRule="auto"/>
              <w:ind w:left="111"/>
            </w:pPr>
            <w:r>
              <w:rPr>
                <w:spacing w:val="7"/>
              </w:rPr>
              <w:t>选矿指标</w:t>
            </w:r>
          </w:p>
        </w:tc>
        <w:tc>
          <w:tcPr>
            <w:tcW w:w="1133" w:type="dxa"/>
            <w:vAlign w:val="top"/>
          </w:tcPr>
          <w:p w14:paraId="5E6B597D">
            <w:pPr>
              <w:rPr>
                <w:rFonts w:ascii="Arial"/>
                <w:sz w:val="21"/>
              </w:rPr>
            </w:pPr>
          </w:p>
        </w:tc>
        <w:tc>
          <w:tcPr>
            <w:tcW w:w="3450" w:type="dxa"/>
            <w:vAlign w:val="top"/>
          </w:tcPr>
          <w:p w14:paraId="390DCA4D">
            <w:pPr>
              <w:rPr>
                <w:rFonts w:ascii="Arial"/>
                <w:sz w:val="21"/>
              </w:rPr>
            </w:pPr>
          </w:p>
        </w:tc>
      </w:tr>
      <w:tr w14:paraId="76749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4655BC02">
            <w:pPr>
              <w:pStyle w:val="6"/>
              <w:spacing w:before="130" w:line="268" w:lineRule="exact"/>
              <w:ind w:left="267"/>
            </w:pPr>
            <w:r>
              <w:rPr>
                <w:spacing w:val="-3"/>
                <w:position w:val="1"/>
              </w:rPr>
              <w:t>1.1</w:t>
            </w:r>
          </w:p>
        </w:tc>
        <w:tc>
          <w:tcPr>
            <w:tcW w:w="3117" w:type="dxa"/>
            <w:vAlign w:val="top"/>
          </w:tcPr>
          <w:p w14:paraId="6AD11810">
            <w:pPr>
              <w:pStyle w:val="6"/>
              <w:spacing w:before="130" w:line="228" w:lineRule="auto"/>
              <w:ind w:left="113"/>
            </w:pPr>
            <w:r>
              <w:rPr>
                <w:spacing w:val="8"/>
              </w:rPr>
              <w:t>年处理原矿能力</w:t>
            </w:r>
          </w:p>
        </w:tc>
        <w:tc>
          <w:tcPr>
            <w:tcW w:w="1133" w:type="dxa"/>
            <w:vAlign w:val="top"/>
          </w:tcPr>
          <w:p w14:paraId="6F0EA8A8">
            <w:pPr>
              <w:pStyle w:val="6"/>
              <w:spacing w:before="113" w:line="286" w:lineRule="exact"/>
              <w:ind w:left="404"/>
            </w:pPr>
            <w:r>
              <w:rPr>
                <w:spacing w:val="-2"/>
                <w:position w:val="1"/>
              </w:rPr>
              <w:t>10</w:t>
            </w:r>
            <w:r>
              <w:rPr>
                <w:spacing w:val="-2"/>
                <w:position w:val="10"/>
                <w:sz w:val="10"/>
                <w:szCs w:val="10"/>
              </w:rPr>
              <w:t>4</w:t>
            </w:r>
            <w:r>
              <w:rPr>
                <w:spacing w:val="-2"/>
                <w:position w:val="1"/>
              </w:rPr>
              <w:t>t</w:t>
            </w:r>
          </w:p>
        </w:tc>
        <w:tc>
          <w:tcPr>
            <w:tcW w:w="3450" w:type="dxa"/>
            <w:vAlign w:val="top"/>
          </w:tcPr>
          <w:p w14:paraId="0BACD7BA">
            <w:pPr>
              <w:pStyle w:val="6"/>
              <w:spacing w:before="130" w:line="268" w:lineRule="exact"/>
              <w:ind w:left="1518"/>
            </w:pPr>
            <w:r>
              <w:rPr>
                <w:spacing w:val="3"/>
                <w:position w:val="1"/>
              </w:rPr>
              <w:t>42.6</w:t>
            </w:r>
          </w:p>
        </w:tc>
      </w:tr>
      <w:tr w14:paraId="44D0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4ABC1CBD">
            <w:pPr>
              <w:pStyle w:val="6"/>
              <w:spacing w:before="131" w:line="268" w:lineRule="exact"/>
              <w:ind w:left="267"/>
            </w:pPr>
            <w:r>
              <w:rPr>
                <w:spacing w:val="-3"/>
                <w:position w:val="1"/>
              </w:rPr>
              <w:t>1.2</w:t>
            </w:r>
          </w:p>
        </w:tc>
        <w:tc>
          <w:tcPr>
            <w:tcW w:w="3117" w:type="dxa"/>
            <w:vAlign w:val="top"/>
          </w:tcPr>
          <w:p w14:paraId="1C03C341">
            <w:pPr>
              <w:pStyle w:val="6"/>
              <w:spacing w:before="131" w:line="228" w:lineRule="auto"/>
              <w:ind w:left="148"/>
            </w:pPr>
            <w:r>
              <w:rPr>
                <w:spacing w:val="3"/>
              </w:rPr>
              <w:t>日处理原矿能力</w:t>
            </w:r>
          </w:p>
        </w:tc>
        <w:tc>
          <w:tcPr>
            <w:tcW w:w="1133" w:type="dxa"/>
            <w:vAlign w:val="top"/>
          </w:tcPr>
          <w:p w14:paraId="22AD39E9">
            <w:pPr>
              <w:pStyle w:val="6"/>
              <w:spacing w:before="131" w:line="269" w:lineRule="exact"/>
              <w:ind w:left="523"/>
            </w:pPr>
            <w:r>
              <w:rPr>
                <w:position w:val="2"/>
              </w:rPr>
              <w:t>t</w:t>
            </w:r>
          </w:p>
        </w:tc>
        <w:tc>
          <w:tcPr>
            <w:tcW w:w="3450" w:type="dxa"/>
            <w:vAlign w:val="top"/>
          </w:tcPr>
          <w:p w14:paraId="48A9C7E5">
            <w:pPr>
              <w:pStyle w:val="6"/>
              <w:spacing w:before="131" w:line="268" w:lineRule="exact"/>
              <w:ind w:left="1416"/>
            </w:pPr>
            <w:r>
              <w:rPr>
                <w:spacing w:val="3"/>
                <w:position w:val="1"/>
              </w:rPr>
              <w:t>2028.6</w:t>
            </w:r>
          </w:p>
        </w:tc>
      </w:tr>
      <w:tr w14:paraId="2361A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09" w:type="dxa"/>
            <w:vAlign w:val="top"/>
          </w:tcPr>
          <w:p w14:paraId="7BBDC74E">
            <w:pPr>
              <w:spacing w:line="299" w:lineRule="auto"/>
              <w:rPr>
                <w:rFonts w:ascii="Arial"/>
                <w:sz w:val="21"/>
              </w:rPr>
            </w:pPr>
          </w:p>
          <w:p w14:paraId="64087777">
            <w:pPr>
              <w:pStyle w:val="6"/>
              <w:spacing w:before="65" w:line="268" w:lineRule="exact"/>
              <w:ind w:left="267"/>
            </w:pPr>
            <w:r>
              <w:rPr>
                <w:spacing w:val="-3"/>
                <w:position w:val="1"/>
              </w:rPr>
              <w:t>1.3</w:t>
            </w:r>
          </w:p>
        </w:tc>
        <w:tc>
          <w:tcPr>
            <w:tcW w:w="3117" w:type="dxa"/>
            <w:vAlign w:val="top"/>
          </w:tcPr>
          <w:p w14:paraId="36720B87">
            <w:pPr>
              <w:spacing w:line="299" w:lineRule="auto"/>
              <w:rPr>
                <w:rFonts w:ascii="Arial"/>
                <w:sz w:val="21"/>
              </w:rPr>
            </w:pPr>
          </w:p>
          <w:p w14:paraId="38C580E4">
            <w:pPr>
              <w:pStyle w:val="6"/>
              <w:spacing w:before="65" w:line="228" w:lineRule="auto"/>
              <w:ind w:left="111"/>
            </w:pPr>
            <w:r>
              <w:rPr>
                <w:spacing w:val="8"/>
              </w:rPr>
              <w:t>选矿工艺流程</w:t>
            </w:r>
          </w:p>
        </w:tc>
        <w:tc>
          <w:tcPr>
            <w:tcW w:w="1133" w:type="dxa"/>
            <w:vAlign w:val="top"/>
          </w:tcPr>
          <w:p w14:paraId="2CC4EEA4">
            <w:pPr>
              <w:rPr>
                <w:rFonts w:ascii="Arial"/>
                <w:sz w:val="21"/>
              </w:rPr>
            </w:pPr>
          </w:p>
        </w:tc>
        <w:tc>
          <w:tcPr>
            <w:tcW w:w="3450" w:type="dxa"/>
            <w:vAlign w:val="top"/>
          </w:tcPr>
          <w:p w14:paraId="6ED049F4">
            <w:pPr>
              <w:pStyle w:val="6"/>
              <w:spacing w:before="130" w:line="369" w:lineRule="auto"/>
              <w:ind w:left="889" w:right="107" w:hanging="784"/>
            </w:pPr>
            <w:r>
              <w:rPr>
                <w:spacing w:val="7"/>
              </w:rPr>
              <w:t>“</w:t>
            </w:r>
            <w:r>
              <w:t>SAB</w:t>
            </w:r>
            <w:r>
              <w:rPr>
                <w:spacing w:val="-67"/>
              </w:rPr>
              <w:t xml:space="preserve"> </w:t>
            </w:r>
            <w:r>
              <w:rPr>
                <w:spacing w:val="7"/>
              </w:rPr>
              <w:t>”碎磨流程—选铅—选锌—精</w:t>
            </w:r>
            <w:r>
              <w:t xml:space="preserve"> </w:t>
            </w:r>
            <w:r>
              <w:rPr>
                <w:spacing w:val="8"/>
              </w:rPr>
              <w:t>矿浓缩脱水—尾矿</w:t>
            </w:r>
          </w:p>
        </w:tc>
      </w:tr>
      <w:tr w14:paraId="30E07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3075539E">
            <w:pPr>
              <w:pStyle w:val="6"/>
              <w:spacing w:before="131" w:line="268" w:lineRule="exact"/>
              <w:ind w:left="267"/>
            </w:pPr>
            <w:r>
              <w:rPr>
                <w:spacing w:val="-3"/>
                <w:position w:val="1"/>
              </w:rPr>
              <w:t>1.4</w:t>
            </w:r>
          </w:p>
        </w:tc>
        <w:tc>
          <w:tcPr>
            <w:tcW w:w="3117" w:type="dxa"/>
            <w:vAlign w:val="top"/>
          </w:tcPr>
          <w:p w14:paraId="5E17B67A">
            <w:pPr>
              <w:pStyle w:val="6"/>
              <w:spacing w:before="131" w:line="228" w:lineRule="auto"/>
              <w:ind w:left="111"/>
            </w:pPr>
            <w:r>
              <w:rPr>
                <w:spacing w:val="8"/>
              </w:rPr>
              <w:t>选矿处理矿石品位</w:t>
            </w:r>
          </w:p>
        </w:tc>
        <w:tc>
          <w:tcPr>
            <w:tcW w:w="1133" w:type="dxa"/>
            <w:vAlign w:val="top"/>
          </w:tcPr>
          <w:p w14:paraId="1C0E7E5C">
            <w:pPr>
              <w:rPr>
                <w:rFonts w:ascii="Arial"/>
                <w:sz w:val="21"/>
              </w:rPr>
            </w:pPr>
          </w:p>
        </w:tc>
        <w:tc>
          <w:tcPr>
            <w:tcW w:w="3450" w:type="dxa"/>
            <w:vAlign w:val="top"/>
          </w:tcPr>
          <w:p w14:paraId="32EF09B6">
            <w:pPr>
              <w:rPr>
                <w:rFonts w:ascii="Arial"/>
                <w:sz w:val="21"/>
              </w:rPr>
            </w:pPr>
          </w:p>
        </w:tc>
      </w:tr>
      <w:tr w14:paraId="4CA06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004C2CE1">
            <w:pPr>
              <w:pStyle w:val="6"/>
              <w:spacing w:before="131" w:line="225" w:lineRule="auto"/>
              <w:ind w:left="303"/>
            </w:pPr>
            <w:r>
              <w:rPr>
                <w:spacing w:val="1"/>
              </w:rPr>
              <w:t>①</w:t>
            </w:r>
          </w:p>
        </w:tc>
        <w:tc>
          <w:tcPr>
            <w:tcW w:w="3117" w:type="dxa"/>
            <w:vAlign w:val="top"/>
          </w:tcPr>
          <w:p w14:paraId="038BEB64">
            <w:pPr>
              <w:pStyle w:val="6"/>
              <w:spacing w:before="131" w:line="269" w:lineRule="exact"/>
              <w:ind w:left="109"/>
            </w:pPr>
            <w:r>
              <w:rPr>
                <w:spacing w:val="2"/>
                <w:position w:val="1"/>
              </w:rPr>
              <w:t>Pb</w:t>
            </w:r>
          </w:p>
        </w:tc>
        <w:tc>
          <w:tcPr>
            <w:tcW w:w="1133" w:type="dxa"/>
            <w:vAlign w:val="top"/>
          </w:tcPr>
          <w:p w14:paraId="09B80AA2">
            <w:pPr>
              <w:pStyle w:val="6"/>
              <w:spacing w:before="131" w:line="268" w:lineRule="exact"/>
              <w:ind w:left="513"/>
            </w:pPr>
            <w:r>
              <w:rPr>
                <w:spacing w:val="1"/>
                <w:position w:val="1"/>
              </w:rPr>
              <w:t>%</w:t>
            </w:r>
          </w:p>
        </w:tc>
        <w:tc>
          <w:tcPr>
            <w:tcW w:w="3450" w:type="dxa"/>
            <w:vAlign w:val="top"/>
          </w:tcPr>
          <w:p w14:paraId="1553D53D">
            <w:pPr>
              <w:pStyle w:val="6"/>
              <w:spacing w:before="131" w:line="267" w:lineRule="exact"/>
              <w:ind w:left="1534"/>
            </w:pPr>
            <w:r>
              <w:rPr>
                <w:spacing w:val="-1"/>
                <w:position w:val="1"/>
              </w:rPr>
              <w:t>1.66</w:t>
            </w:r>
          </w:p>
        </w:tc>
      </w:tr>
      <w:tr w14:paraId="6AC0D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7F3D5ABD">
            <w:pPr>
              <w:pStyle w:val="6"/>
              <w:spacing w:before="134" w:line="225" w:lineRule="auto"/>
              <w:ind w:left="303"/>
            </w:pPr>
            <w:r>
              <w:rPr>
                <w:spacing w:val="2"/>
              </w:rPr>
              <w:t>②</w:t>
            </w:r>
          </w:p>
        </w:tc>
        <w:tc>
          <w:tcPr>
            <w:tcW w:w="3117" w:type="dxa"/>
            <w:vAlign w:val="top"/>
          </w:tcPr>
          <w:p w14:paraId="2FF117E2">
            <w:pPr>
              <w:pStyle w:val="6"/>
              <w:spacing w:before="169" w:line="187" w:lineRule="auto"/>
              <w:ind w:left="111"/>
            </w:pPr>
            <w:r>
              <w:rPr>
                <w:spacing w:val="1"/>
              </w:rPr>
              <w:t>Zn</w:t>
            </w:r>
          </w:p>
        </w:tc>
        <w:tc>
          <w:tcPr>
            <w:tcW w:w="1133" w:type="dxa"/>
            <w:vAlign w:val="top"/>
          </w:tcPr>
          <w:p w14:paraId="311A0882">
            <w:pPr>
              <w:pStyle w:val="6"/>
              <w:spacing w:before="134" w:line="268" w:lineRule="exact"/>
              <w:ind w:left="513"/>
            </w:pPr>
            <w:r>
              <w:rPr>
                <w:spacing w:val="1"/>
                <w:position w:val="1"/>
              </w:rPr>
              <w:t>%</w:t>
            </w:r>
          </w:p>
        </w:tc>
        <w:tc>
          <w:tcPr>
            <w:tcW w:w="3450" w:type="dxa"/>
            <w:vAlign w:val="top"/>
          </w:tcPr>
          <w:p w14:paraId="30181F82">
            <w:pPr>
              <w:pStyle w:val="6"/>
              <w:spacing w:before="134" w:line="267" w:lineRule="exact"/>
              <w:ind w:left="1523"/>
            </w:pPr>
            <w:r>
              <w:rPr>
                <w:spacing w:val="2"/>
                <w:position w:val="1"/>
              </w:rPr>
              <w:t>3.07</w:t>
            </w:r>
          </w:p>
        </w:tc>
      </w:tr>
      <w:tr w14:paraId="44013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36406FC">
            <w:pPr>
              <w:pStyle w:val="6"/>
              <w:spacing w:before="135" w:line="225" w:lineRule="auto"/>
              <w:ind w:left="303"/>
            </w:pPr>
            <w:r>
              <w:rPr>
                <w:spacing w:val="2"/>
              </w:rPr>
              <w:t>③</w:t>
            </w:r>
          </w:p>
        </w:tc>
        <w:tc>
          <w:tcPr>
            <w:tcW w:w="3117" w:type="dxa"/>
            <w:vAlign w:val="top"/>
          </w:tcPr>
          <w:p w14:paraId="645476BB">
            <w:pPr>
              <w:pStyle w:val="6"/>
              <w:spacing w:before="166" w:line="191" w:lineRule="auto"/>
              <w:ind w:left="106"/>
            </w:pPr>
            <w:r>
              <w:rPr>
                <w:spacing w:val="4"/>
              </w:rPr>
              <w:t>Ag</w:t>
            </w:r>
          </w:p>
        </w:tc>
        <w:tc>
          <w:tcPr>
            <w:tcW w:w="1133" w:type="dxa"/>
            <w:vAlign w:val="top"/>
          </w:tcPr>
          <w:p w14:paraId="21D06A80">
            <w:pPr>
              <w:pStyle w:val="6"/>
              <w:spacing w:before="134" w:line="222" w:lineRule="auto"/>
              <w:ind w:left="418"/>
            </w:pPr>
            <w:r>
              <w:rPr>
                <w:spacing w:val="1"/>
              </w:rPr>
              <w:t>g/t</w:t>
            </w:r>
          </w:p>
        </w:tc>
        <w:tc>
          <w:tcPr>
            <w:tcW w:w="3450" w:type="dxa"/>
            <w:vAlign w:val="top"/>
          </w:tcPr>
          <w:p w14:paraId="188209F9">
            <w:pPr>
              <w:pStyle w:val="6"/>
              <w:spacing w:before="134" w:line="269" w:lineRule="exact"/>
              <w:ind w:left="1587"/>
            </w:pPr>
            <w:r>
              <w:rPr>
                <w:spacing w:val="-3"/>
                <w:position w:val="1"/>
              </w:rPr>
              <w:t>188</w:t>
            </w:r>
          </w:p>
        </w:tc>
      </w:tr>
      <w:tr w14:paraId="55D56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3A903E79">
            <w:pPr>
              <w:pStyle w:val="6"/>
              <w:spacing w:before="134" w:line="268" w:lineRule="exact"/>
              <w:ind w:left="164"/>
            </w:pPr>
            <w:r>
              <w:rPr>
                <w:position w:val="1"/>
              </w:rPr>
              <w:t>1.4.1</w:t>
            </w:r>
          </w:p>
        </w:tc>
        <w:tc>
          <w:tcPr>
            <w:tcW w:w="3117" w:type="dxa"/>
            <w:vAlign w:val="top"/>
          </w:tcPr>
          <w:p w14:paraId="1C3CDBE7">
            <w:pPr>
              <w:pStyle w:val="6"/>
              <w:spacing w:before="134" w:line="227" w:lineRule="auto"/>
              <w:ind w:left="112"/>
            </w:pPr>
            <w:r>
              <w:rPr>
                <w:spacing w:val="6"/>
              </w:rPr>
              <w:t>铅精矿</w:t>
            </w:r>
          </w:p>
        </w:tc>
        <w:tc>
          <w:tcPr>
            <w:tcW w:w="1133" w:type="dxa"/>
            <w:vAlign w:val="top"/>
          </w:tcPr>
          <w:p w14:paraId="352AF0FB">
            <w:pPr>
              <w:rPr>
                <w:rFonts w:ascii="Arial"/>
                <w:sz w:val="21"/>
              </w:rPr>
            </w:pPr>
          </w:p>
        </w:tc>
        <w:tc>
          <w:tcPr>
            <w:tcW w:w="3450" w:type="dxa"/>
            <w:vAlign w:val="top"/>
          </w:tcPr>
          <w:p w14:paraId="43DDCE18">
            <w:pPr>
              <w:rPr>
                <w:rFonts w:ascii="Arial"/>
                <w:sz w:val="21"/>
              </w:rPr>
            </w:pPr>
          </w:p>
        </w:tc>
      </w:tr>
      <w:tr w14:paraId="5D03F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7A42BAA9">
            <w:pPr>
              <w:pStyle w:val="6"/>
              <w:spacing w:before="134" w:line="225" w:lineRule="auto"/>
              <w:ind w:left="303"/>
            </w:pPr>
            <w:r>
              <w:rPr>
                <w:spacing w:val="1"/>
              </w:rPr>
              <w:t>①</w:t>
            </w:r>
          </w:p>
        </w:tc>
        <w:tc>
          <w:tcPr>
            <w:tcW w:w="3117" w:type="dxa"/>
            <w:vAlign w:val="top"/>
          </w:tcPr>
          <w:p w14:paraId="627A84B4">
            <w:pPr>
              <w:pStyle w:val="6"/>
              <w:spacing w:before="134" w:line="229" w:lineRule="auto"/>
              <w:ind w:left="129"/>
            </w:pPr>
            <w:r>
              <w:rPr>
                <w:spacing w:val="-4"/>
              </w:rPr>
              <w:t>品位</w:t>
            </w:r>
          </w:p>
        </w:tc>
        <w:tc>
          <w:tcPr>
            <w:tcW w:w="1133" w:type="dxa"/>
            <w:vAlign w:val="top"/>
          </w:tcPr>
          <w:p w14:paraId="6CBFD0CC">
            <w:pPr>
              <w:pStyle w:val="6"/>
              <w:spacing w:before="134" w:line="268" w:lineRule="exact"/>
              <w:ind w:left="513"/>
            </w:pPr>
            <w:r>
              <w:rPr>
                <w:spacing w:val="1"/>
                <w:position w:val="1"/>
              </w:rPr>
              <w:t>%</w:t>
            </w:r>
          </w:p>
        </w:tc>
        <w:tc>
          <w:tcPr>
            <w:tcW w:w="3450" w:type="dxa"/>
            <w:vAlign w:val="top"/>
          </w:tcPr>
          <w:p w14:paraId="2760B95C">
            <w:pPr>
              <w:pStyle w:val="6"/>
              <w:spacing w:before="133" w:line="222" w:lineRule="auto"/>
              <w:ind w:left="256"/>
            </w:pPr>
            <w:r>
              <w:t>Pb</w:t>
            </w:r>
            <w:r>
              <w:rPr>
                <w:spacing w:val="7"/>
              </w:rPr>
              <w:t xml:space="preserve">：52% </w:t>
            </w:r>
            <w:r>
              <w:t>Zn</w:t>
            </w:r>
            <w:r>
              <w:rPr>
                <w:spacing w:val="7"/>
              </w:rPr>
              <w:t xml:space="preserve">：5.5% </w:t>
            </w:r>
            <w:r>
              <w:t>Ag</w:t>
            </w:r>
            <w:r>
              <w:rPr>
                <w:spacing w:val="7"/>
              </w:rPr>
              <w:t>：5300g/t</w:t>
            </w:r>
          </w:p>
        </w:tc>
      </w:tr>
      <w:tr w14:paraId="58DE6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6D221EED">
            <w:pPr>
              <w:pStyle w:val="6"/>
              <w:spacing w:before="134" w:line="225" w:lineRule="auto"/>
              <w:ind w:left="303"/>
            </w:pPr>
            <w:r>
              <w:rPr>
                <w:spacing w:val="2"/>
              </w:rPr>
              <w:t>②</w:t>
            </w:r>
          </w:p>
        </w:tc>
        <w:tc>
          <w:tcPr>
            <w:tcW w:w="3117" w:type="dxa"/>
            <w:vAlign w:val="top"/>
          </w:tcPr>
          <w:p w14:paraId="1236D043">
            <w:pPr>
              <w:pStyle w:val="6"/>
              <w:spacing w:before="133" w:line="227" w:lineRule="auto"/>
              <w:ind w:left="112"/>
            </w:pPr>
            <w:r>
              <w:rPr>
                <w:spacing w:val="7"/>
              </w:rPr>
              <w:t>精矿产量</w:t>
            </w:r>
          </w:p>
        </w:tc>
        <w:tc>
          <w:tcPr>
            <w:tcW w:w="1133" w:type="dxa"/>
            <w:vAlign w:val="top"/>
          </w:tcPr>
          <w:p w14:paraId="31AE1DB4">
            <w:pPr>
              <w:pStyle w:val="6"/>
              <w:spacing w:before="133" w:line="233" w:lineRule="auto"/>
              <w:ind w:left="420"/>
            </w:pPr>
            <w:r>
              <w:t>t/a</w:t>
            </w:r>
          </w:p>
        </w:tc>
        <w:tc>
          <w:tcPr>
            <w:tcW w:w="3450" w:type="dxa"/>
            <w:vAlign w:val="top"/>
          </w:tcPr>
          <w:p w14:paraId="00A90DF2">
            <w:pPr>
              <w:pStyle w:val="6"/>
              <w:spacing w:before="133" w:line="268" w:lineRule="exact"/>
              <w:ind w:left="1378"/>
            </w:pPr>
            <w:r>
              <w:rPr>
                <w:spacing w:val="1"/>
                <w:position w:val="1"/>
              </w:rPr>
              <w:t>12226.2</w:t>
            </w:r>
          </w:p>
        </w:tc>
      </w:tr>
      <w:tr w14:paraId="56D64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78F3BE5B">
            <w:pPr>
              <w:pStyle w:val="6"/>
              <w:spacing w:before="133" w:line="267" w:lineRule="exact"/>
              <w:ind w:left="164"/>
            </w:pPr>
            <w:r>
              <w:rPr>
                <w:position w:val="1"/>
              </w:rPr>
              <w:t>1.4.2</w:t>
            </w:r>
          </w:p>
        </w:tc>
        <w:tc>
          <w:tcPr>
            <w:tcW w:w="3117" w:type="dxa"/>
            <w:vAlign w:val="top"/>
          </w:tcPr>
          <w:p w14:paraId="5304D5A3">
            <w:pPr>
              <w:pStyle w:val="6"/>
              <w:spacing w:before="133" w:line="227" w:lineRule="auto"/>
              <w:ind w:left="111"/>
            </w:pPr>
            <w:r>
              <w:rPr>
                <w:spacing w:val="7"/>
              </w:rPr>
              <w:t>锌精矿</w:t>
            </w:r>
          </w:p>
        </w:tc>
        <w:tc>
          <w:tcPr>
            <w:tcW w:w="1133" w:type="dxa"/>
            <w:vAlign w:val="top"/>
          </w:tcPr>
          <w:p w14:paraId="18D4DE70">
            <w:pPr>
              <w:rPr>
                <w:rFonts w:ascii="Arial"/>
                <w:sz w:val="21"/>
              </w:rPr>
            </w:pPr>
          </w:p>
        </w:tc>
        <w:tc>
          <w:tcPr>
            <w:tcW w:w="3450" w:type="dxa"/>
            <w:vAlign w:val="top"/>
          </w:tcPr>
          <w:p w14:paraId="3A650A7F">
            <w:pPr>
              <w:rPr>
                <w:rFonts w:ascii="Arial"/>
                <w:sz w:val="21"/>
              </w:rPr>
            </w:pPr>
          </w:p>
        </w:tc>
      </w:tr>
      <w:tr w14:paraId="1EB05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2B0C8B6">
            <w:pPr>
              <w:pStyle w:val="6"/>
              <w:spacing w:before="135" w:line="225" w:lineRule="auto"/>
              <w:ind w:left="303"/>
            </w:pPr>
            <w:r>
              <w:rPr>
                <w:spacing w:val="1"/>
              </w:rPr>
              <w:t>①</w:t>
            </w:r>
          </w:p>
        </w:tc>
        <w:tc>
          <w:tcPr>
            <w:tcW w:w="3117" w:type="dxa"/>
            <w:vAlign w:val="top"/>
          </w:tcPr>
          <w:p w14:paraId="0A200D73">
            <w:pPr>
              <w:pStyle w:val="6"/>
              <w:spacing w:before="135" w:line="229" w:lineRule="auto"/>
              <w:ind w:left="129"/>
            </w:pPr>
            <w:r>
              <w:rPr>
                <w:spacing w:val="-4"/>
              </w:rPr>
              <w:t>品位</w:t>
            </w:r>
          </w:p>
        </w:tc>
        <w:tc>
          <w:tcPr>
            <w:tcW w:w="1133" w:type="dxa"/>
            <w:vAlign w:val="top"/>
          </w:tcPr>
          <w:p w14:paraId="112EBD1A">
            <w:pPr>
              <w:pStyle w:val="6"/>
              <w:spacing w:before="135" w:line="268" w:lineRule="exact"/>
              <w:ind w:left="513"/>
            </w:pPr>
            <w:r>
              <w:rPr>
                <w:spacing w:val="1"/>
                <w:position w:val="1"/>
              </w:rPr>
              <w:t>%</w:t>
            </w:r>
          </w:p>
        </w:tc>
        <w:tc>
          <w:tcPr>
            <w:tcW w:w="3450" w:type="dxa"/>
            <w:vAlign w:val="top"/>
          </w:tcPr>
          <w:p w14:paraId="5FE13D65">
            <w:pPr>
              <w:pStyle w:val="6"/>
              <w:spacing w:before="135" w:line="222" w:lineRule="auto"/>
              <w:ind w:left="208"/>
            </w:pPr>
            <w:r>
              <w:t>Zn</w:t>
            </w:r>
            <w:r>
              <w:rPr>
                <w:spacing w:val="6"/>
              </w:rPr>
              <w:t xml:space="preserve">：45% </w:t>
            </w:r>
            <w:r>
              <w:t>Pb</w:t>
            </w:r>
            <w:r>
              <w:rPr>
                <w:spacing w:val="6"/>
              </w:rPr>
              <w:t xml:space="preserve">：0.9% </w:t>
            </w:r>
            <w:r>
              <w:t>Ag</w:t>
            </w:r>
            <w:r>
              <w:rPr>
                <w:spacing w:val="6"/>
              </w:rPr>
              <w:t>：250.0g/t</w:t>
            </w:r>
          </w:p>
        </w:tc>
      </w:tr>
      <w:tr w14:paraId="29C9B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070DB922">
            <w:pPr>
              <w:pStyle w:val="6"/>
              <w:spacing w:before="135" w:line="225" w:lineRule="auto"/>
              <w:ind w:left="303"/>
            </w:pPr>
            <w:r>
              <w:rPr>
                <w:spacing w:val="2"/>
              </w:rPr>
              <w:t>②</w:t>
            </w:r>
          </w:p>
        </w:tc>
        <w:tc>
          <w:tcPr>
            <w:tcW w:w="3117" w:type="dxa"/>
            <w:vAlign w:val="top"/>
          </w:tcPr>
          <w:p w14:paraId="52902F21">
            <w:pPr>
              <w:pStyle w:val="6"/>
              <w:spacing w:before="134" w:line="227" w:lineRule="auto"/>
              <w:ind w:left="112"/>
            </w:pPr>
            <w:r>
              <w:rPr>
                <w:spacing w:val="7"/>
              </w:rPr>
              <w:t>精矿产量</w:t>
            </w:r>
          </w:p>
        </w:tc>
        <w:tc>
          <w:tcPr>
            <w:tcW w:w="1133" w:type="dxa"/>
            <w:vAlign w:val="top"/>
          </w:tcPr>
          <w:p w14:paraId="4C7BE25C">
            <w:pPr>
              <w:pStyle w:val="6"/>
              <w:spacing w:before="134" w:line="233" w:lineRule="auto"/>
              <w:ind w:left="420"/>
            </w:pPr>
            <w:r>
              <w:t>t/a</w:t>
            </w:r>
          </w:p>
        </w:tc>
        <w:tc>
          <w:tcPr>
            <w:tcW w:w="3450" w:type="dxa"/>
            <w:vAlign w:val="top"/>
          </w:tcPr>
          <w:p w14:paraId="0464B91A">
            <w:pPr>
              <w:pStyle w:val="6"/>
              <w:spacing w:before="134" w:line="269" w:lineRule="exact"/>
              <w:ind w:left="1471"/>
            </w:pPr>
            <w:r>
              <w:rPr>
                <w:spacing w:val="2"/>
                <w:position w:val="1"/>
              </w:rPr>
              <w:t>25560</w:t>
            </w:r>
          </w:p>
        </w:tc>
      </w:tr>
      <w:tr w14:paraId="7FE74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0E198E06">
            <w:pPr>
              <w:pStyle w:val="6"/>
              <w:spacing w:before="134" w:line="268" w:lineRule="exact"/>
              <w:ind w:left="267"/>
            </w:pPr>
            <w:r>
              <w:rPr>
                <w:spacing w:val="-3"/>
                <w:position w:val="1"/>
              </w:rPr>
              <w:t>1.5</w:t>
            </w:r>
          </w:p>
        </w:tc>
        <w:tc>
          <w:tcPr>
            <w:tcW w:w="3117" w:type="dxa"/>
            <w:vAlign w:val="top"/>
          </w:tcPr>
          <w:p w14:paraId="06C26E52">
            <w:pPr>
              <w:pStyle w:val="6"/>
              <w:spacing w:before="134" w:line="228" w:lineRule="auto"/>
              <w:ind w:left="111"/>
            </w:pPr>
            <w:r>
              <w:rPr>
                <w:spacing w:val="8"/>
              </w:rPr>
              <w:t>选矿工作制度</w:t>
            </w:r>
          </w:p>
        </w:tc>
        <w:tc>
          <w:tcPr>
            <w:tcW w:w="1133" w:type="dxa"/>
            <w:vAlign w:val="top"/>
          </w:tcPr>
          <w:p w14:paraId="661EAF34">
            <w:pPr>
              <w:pStyle w:val="6"/>
              <w:spacing w:before="134" w:line="229" w:lineRule="auto"/>
              <w:ind w:left="254"/>
            </w:pPr>
            <w:r>
              <w:rPr>
                <w:spacing w:val="4"/>
              </w:rPr>
              <w:t>h/班/d</w:t>
            </w:r>
          </w:p>
        </w:tc>
        <w:tc>
          <w:tcPr>
            <w:tcW w:w="3450" w:type="dxa"/>
            <w:vAlign w:val="top"/>
          </w:tcPr>
          <w:p w14:paraId="71E432E4">
            <w:pPr>
              <w:pStyle w:val="6"/>
              <w:spacing w:before="134" w:line="233" w:lineRule="auto"/>
              <w:ind w:left="1364"/>
            </w:pPr>
            <w:r>
              <w:rPr>
                <w:spacing w:val="3"/>
              </w:rPr>
              <w:t>8/3/210</w:t>
            </w:r>
          </w:p>
        </w:tc>
      </w:tr>
      <w:tr w14:paraId="5E34C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554458C5">
            <w:pPr>
              <w:pStyle w:val="6"/>
              <w:spacing w:before="134" w:line="270" w:lineRule="exact"/>
              <w:ind w:left="360"/>
            </w:pPr>
            <w:r>
              <w:rPr>
                <w:position w:val="1"/>
              </w:rPr>
              <w:t>2</w:t>
            </w:r>
          </w:p>
        </w:tc>
        <w:tc>
          <w:tcPr>
            <w:tcW w:w="3117" w:type="dxa"/>
            <w:vAlign w:val="top"/>
          </w:tcPr>
          <w:p w14:paraId="0E6521C6">
            <w:pPr>
              <w:pStyle w:val="6"/>
              <w:spacing w:before="133" w:line="227" w:lineRule="auto"/>
              <w:ind w:left="112"/>
            </w:pPr>
            <w:r>
              <w:rPr>
                <w:spacing w:val="4"/>
              </w:rPr>
              <w:t>供水</w:t>
            </w:r>
          </w:p>
        </w:tc>
        <w:tc>
          <w:tcPr>
            <w:tcW w:w="1133" w:type="dxa"/>
            <w:vAlign w:val="top"/>
          </w:tcPr>
          <w:p w14:paraId="0EA72B16">
            <w:pPr>
              <w:rPr>
                <w:rFonts w:ascii="Arial"/>
                <w:sz w:val="21"/>
              </w:rPr>
            </w:pPr>
          </w:p>
        </w:tc>
        <w:tc>
          <w:tcPr>
            <w:tcW w:w="3450" w:type="dxa"/>
            <w:vAlign w:val="top"/>
          </w:tcPr>
          <w:p w14:paraId="04CEC30B">
            <w:pPr>
              <w:rPr>
                <w:rFonts w:ascii="Arial"/>
                <w:sz w:val="21"/>
              </w:rPr>
            </w:pPr>
          </w:p>
        </w:tc>
      </w:tr>
      <w:tr w14:paraId="5E9FA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50F08FC">
            <w:pPr>
              <w:pStyle w:val="6"/>
              <w:spacing w:before="133" w:line="268" w:lineRule="exact"/>
              <w:ind w:left="254"/>
            </w:pPr>
            <w:r>
              <w:rPr>
                <w:spacing w:val="1"/>
                <w:position w:val="1"/>
              </w:rPr>
              <w:t>2.1</w:t>
            </w:r>
          </w:p>
        </w:tc>
        <w:tc>
          <w:tcPr>
            <w:tcW w:w="3117" w:type="dxa"/>
            <w:vAlign w:val="top"/>
          </w:tcPr>
          <w:p w14:paraId="6DB3D26F">
            <w:pPr>
              <w:pStyle w:val="6"/>
              <w:spacing w:before="133" w:line="228" w:lineRule="auto"/>
              <w:ind w:left="118"/>
            </w:pPr>
            <w:r>
              <w:rPr>
                <w:spacing w:val="5"/>
              </w:rPr>
              <w:t>总用水量</w:t>
            </w:r>
          </w:p>
        </w:tc>
        <w:tc>
          <w:tcPr>
            <w:tcW w:w="1133" w:type="dxa"/>
            <w:vAlign w:val="top"/>
          </w:tcPr>
          <w:p w14:paraId="28E23F2E">
            <w:pPr>
              <w:pStyle w:val="6"/>
              <w:spacing w:before="118" w:line="267"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6584CE13">
            <w:pPr>
              <w:pStyle w:val="6"/>
              <w:spacing w:before="133" w:line="268" w:lineRule="exact"/>
              <w:ind w:left="1365"/>
            </w:pPr>
            <w:r>
              <w:rPr>
                <w:spacing w:val="3"/>
                <w:position w:val="1"/>
              </w:rPr>
              <w:t>6412.18</w:t>
            </w:r>
          </w:p>
        </w:tc>
      </w:tr>
      <w:tr w14:paraId="461DC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E02D9E7">
            <w:pPr>
              <w:pStyle w:val="6"/>
              <w:spacing w:before="133" w:line="267" w:lineRule="exact"/>
              <w:ind w:left="151"/>
            </w:pPr>
            <w:r>
              <w:rPr>
                <w:spacing w:val="2"/>
                <w:position w:val="1"/>
              </w:rPr>
              <w:t>2.1.1</w:t>
            </w:r>
          </w:p>
        </w:tc>
        <w:tc>
          <w:tcPr>
            <w:tcW w:w="3117" w:type="dxa"/>
            <w:vAlign w:val="top"/>
          </w:tcPr>
          <w:p w14:paraId="5F0D783D">
            <w:pPr>
              <w:pStyle w:val="6"/>
              <w:spacing w:before="132" w:line="228" w:lineRule="auto"/>
              <w:ind w:left="114"/>
            </w:pPr>
            <w:r>
              <w:rPr>
                <w:spacing w:val="6"/>
              </w:rPr>
              <w:t>生产用水</w:t>
            </w:r>
          </w:p>
        </w:tc>
        <w:tc>
          <w:tcPr>
            <w:tcW w:w="1133" w:type="dxa"/>
            <w:vAlign w:val="top"/>
          </w:tcPr>
          <w:p w14:paraId="0DB14384">
            <w:pPr>
              <w:pStyle w:val="6"/>
              <w:spacing w:before="118" w:line="267"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5F57A8B1">
            <w:pPr>
              <w:pStyle w:val="6"/>
              <w:spacing w:before="133" w:line="267" w:lineRule="exact"/>
              <w:ind w:left="1365"/>
            </w:pPr>
            <w:r>
              <w:rPr>
                <w:spacing w:val="3"/>
                <w:position w:val="1"/>
              </w:rPr>
              <w:t>6392.88</w:t>
            </w:r>
          </w:p>
        </w:tc>
      </w:tr>
      <w:tr w14:paraId="26E6A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696F4BF2">
            <w:pPr>
              <w:pStyle w:val="6"/>
              <w:spacing w:before="135" w:line="225" w:lineRule="auto"/>
              <w:ind w:left="303"/>
            </w:pPr>
            <w:r>
              <w:rPr>
                <w:spacing w:val="1"/>
              </w:rPr>
              <w:t>①</w:t>
            </w:r>
          </w:p>
        </w:tc>
        <w:tc>
          <w:tcPr>
            <w:tcW w:w="3117" w:type="dxa"/>
            <w:vAlign w:val="top"/>
          </w:tcPr>
          <w:p w14:paraId="4B72F8C9">
            <w:pPr>
              <w:pStyle w:val="6"/>
              <w:spacing w:before="134" w:line="228" w:lineRule="auto"/>
              <w:ind w:left="113"/>
            </w:pPr>
            <w:r>
              <w:rPr>
                <w:spacing w:val="7"/>
              </w:rPr>
              <w:t>其中：新水</w:t>
            </w:r>
          </w:p>
        </w:tc>
        <w:tc>
          <w:tcPr>
            <w:tcW w:w="1133" w:type="dxa"/>
            <w:vAlign w:val="top"/>
          </w:tcPr>
          <w:p w14:paraId="46BB5268">
            <w:pPr>
              <w:pStyle w:val="6"/>
              <w:spacing w:before="118" w:line="269"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3C9317A3">
            <w:pPr>
              <w:pStyle w:val="6"/>
              <w:spacing w:before="135" w:line="267" w:lineRule="exact"/>
              <w:ind w:left="1414"/>
            </w:pPr>
            <w:r>
              <w:rPr>
                <w:spacing w:val="3"/>
                <w:position w:val="1"/>
              </w:rPr>
              <w:t>882.88</w:t>
            </w:r>
          </w:p>
        </w:tc>
      </w:tr>
      <w:tr w14:paraId="1BE98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62A8FA6D">
            <w:pPr>
              <w:pStyle w:val="6"/>
              <w:spacing w:before="135" w:line="225" w:lineRule="auto"/>
              <w:ind w:left="303"/>
            </w:pPr>
            <w:r>
              <w:rPr>
                <w:spacing w:val="2"/>
              </w:rPr>
              <w:t>②</w:t>
            </w:r>
          </w:p>
        </w:tc>
        <w:tc>
          <w:tcPr>
            <w:tcW w:w="3117" w:type="dxa"/>
            <w:vAlign w:val="top"/>
          </w:tcPr>
          <w:p w14:paraId="654F46F4">
            <w:pPr>
              <w:pStyle w:val="6"/>
              <w:spacing w:before="134" w:line="228" w:lineRule="auto"/>
              <w:ind w:left="112"/>
            </w:pPr>
            <w:r>
              <w:rPr>
                <w:spacing w:val="6"/>
              </w:rPr>
              <w:t>循环水</w:t>
            </w:r>
          </w:p>
        </w:tc>
        <w:tc>
          <w:tcPr>
            <w:tcW w:w="1133" w:type="dxa"/>
            <w:vAlign w:val="top"/>
          </w:tcPr>
          <w:p w14:paraId="42CC8E6B">
            <w:pPr>
              <w:pStyle w:val="6"/>
              <w:spacing w:before="117" w:line="269"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49434EE3">
            <w:pPr>
              <w:pStyle w:val="6"/>
              <w:spacing w:before="134" w:line="269" w:lineRule="exact"/>
              <w:ind w:left="1523"/>
            </w:pPr>
            <w:r>
              <w:rPr>
                <w:spacing w:val="2"/>
                <w:position w:val="1"/>
              </w:rPr>
              <w:t>5510</w:t>
            </w:r>
          </w:p>
        </w:tc>
      </w:tr>
      <w:tr w14:paraId="7AEA6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5EE1B50">
            <w:pPr>
              <w:pStyle w:val="6"/>
              <w:spacing w:before="134" w:line="268" w:lineRule="exact"/>
              <w:ind w:left="151"/>
            </w:pPr>
            <w:r>
              <w:rPr>
                <w:spacing w:val="2"/>
                <w:position w:val="1"/>
              </w:rPr>
              <w:t>2.1.2</w:t>
            </w:r>
          </w:p>
        </w:tc>
        <w:tc>
          <w:tcPr>
            <w:tcW w:w="3117" w:type="dxa"/>
            <w:vAlign w:val="top"/>
          </w:tcPr>
          <w:p w14:paraId="40AF2B13">
            <w:pPr>
              <w:pStyle w:val="6"/>
              <w:spacing w:before="134" w:line="228" w:lineRule="auto"/>
              <w:ind w:left="114"/>
            </w:pPr>
            <w:r>
              <w:rPr>
                <w:spacing w:val="6"/>
              </w:rPr>
              <w:t>生活用水</w:t>
            </w:r>
          </w:p>
        </w:tc>
        <w:tc>
          <w:tcPr>
            <w:tcW w:w="1133" w:type="dxa"/>
            <w:vAlign w:val="top"/>
          </w:tcPr>
          <w:p w14:paraId="2F70A41D">
            <w:pPr>
              <w:pStyle w:val="6"/>
              <w:spacing w:before="117" w:line="269" w:lineRule="exact"/>
              <w:ind w:left="383"/>
            </w:pPr>
            <w:r>
              <w:rPr>
                <w:spacing w:val="3"/>
                <w:position w:val="1"/>
              </w:rPr>
              <w:t>m</w:t>
            </w:r>
            <w:r>
              <w:rPr>
                <w:spacing w:val="3"/>
                <w:position w:val="10"/>
                <w:sz w:val="10"/>
                <w:szCs w:val="10"/>
              </w:rPr>
              <w:t>3</w:t>
            </w:r>
            <w:r>
              <w:rPr>
                <w:spacing w:val="3"/>
                <w:position w:val="1"/>
              </w:rPr>
              <w:t>/d</w:t>
            </w:r>
          </w:p>
        </w:tc>
        <w:tc>
          <w:tcPr>
            <w:tcW w:w="3450" w:type="dxa"/>
            <w:vAlign w:val="top"/>
          </w:tcPr>
          <w:p w14:paraId="36FD17D9">
            <w:pPr>
              <w:pStyle w:val="6"/>
              <w:spacing w:before="134" w:line="268" w:lineRule="exact"/>
              <w:ind w:left="1534"/>
            </w:pPr>
            <w:r>
              <w:rPr>
                <w:spacing w:val="-1"/>
                <w:position w:val="1"/>
              </w:rPr>
              <w:t>19.3</w:t>
            </w:r>
          </w:p>
        </w:tc>
      </w:tr>
      <w:tr w14:paraId="1889A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34E3C7EE">
            <w:pPr>
              <w:pStyle w:val="6"/>
              <w:spacing w:before="134" w:line="268" w:lineRule="exact"/>
              <w:ind w:left="361"/>
            </w:pPr>
            <w:r>
              <w:rPr>
                <w:position w:val="1"/>
              </w:rPr>
              <w:t>3</w:t>
            </w:r>
          </w:p>
        </w:tc>
        <w:tc>
          <w:tcPr>
            <w:tcW w:w="3117" w:type="dxa"/>
            <w:vAlign w:val="top"/>
          </w:tcPr>
          <w:p w14:paraId="7CEA4F7C">
            <w:pPr>
              <w:pStyle w:val="6"/>
              <w:spacing w:before="133" w:line="228" w:lineRule="auto"/>
              <w:ind w:left="117"/>
            </w:pPr>
            <w:r>
              <w:rPr>
                <w:spacing w:val="6"/>
              </w:rPr>
              <w:t>劳动定员</w:t>
            </w:r>
          </w:p>
        </w:tc>
        <w:tc>
          <w:tcPr>
            <w:tcW w:w="1133" w:type="dxa"/>
            <w:vAlign w:val="top"/>
          </w:tcPr>
          <w:p w14:paraId="7347D9D4">
            <w:pPr>
              <w:rPr>
                <w:rFonts w:ascii="Arial"/>
                <w:sz w:val="21"/>
              </w:rPr>
            </w:pPr>
          </w:p>
        </w:tc>
        <w:tc>
          <w:tcPr>
            <w:tcW w:w="3450" w:type="dxa"/>
            <w:vAlign w:val="top"/>
          </w:tcPr>
          <w:p w14:paraId="0A3C8905">
            <w:pPr>
              <w:rPr>
                <w:rFonts w:ascii="Arial"/>
                <w:sz w:val="21"/>
              </w:rPr>
            </w:pPr>
          </w:p>
        </w:tc>
      </w:tr>
      <w:tr w14:paraId="72F9F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00FF468D">
            <w:pPr>
              <w:pStyle w:val="6"/>
              <w:spacing w:before="133" w:line="268" w:lineRule="exact"/>
              <w:ind w:left="256"/>
            </w:pPr>
            <w:r>
              <w:rPr>
                <w:spacing w:val="1"/>
                <w:position w:val="1"/>
              </w:rPr>
              <w:t>3.1</w:t>
            </w:r>
          </w:p>
        </w:tc>
        <w:tc>
          <w:tcPr>
            <w:tcW w:w="3117" w:type="dxa"/>
            <w:vAlign w:val="top"/>
          </w:tcPr>
          <w:p w14:paraId="73A6C08B">
            <w:pPr>
              <w:pStyle w:val="6"/>
              <w:spacing w:before="133" w:line="228" w:lineRule="auto"/>
              <w:ind w:left="114"/>
            </w:pPr>
            <w:r>
              <w:rPr>
                <w:spacing w:val="7"/>
              </w:rPr>
              <w:t>调拨职工人数</w:t>
            </w:r>
          </w:p>
        </w:tc>
        <w:tc>
          <w:tcPr>
            <w:tcW w:w="1133" w:type="dxa"/>
            <w:vAlign w:val="top"/>
          </w:tcPr>
          <w:p w14:paraId="3E335ADA">
            <w:pPr>
              <w:pStyle w:val="6"/>
              <w:spacing w:before="133" w:line="231" w:lineRule="auto"/>
              <w:ind w:left="470"/>
            </w:pPr>
            <w:r>
              <w:t>人</w:t>
            </w:r>
          </w:p>
        </w:tc>
        <w:tc>
          <w:tcPr>
            <w:tcW w:w="3450" w:type="dxa"/>
            <w:vAlign w:val="top"/>
          </w:tcPr>
          <w:p w14:paraId="3766E470">
            <w:pPr>
              <w:pStyle w:val="6"/>
              <w:spacing w:before="133" w:line="270" w:lineRule="exact"/>
              <w:ind w:left="1587"/>
            </w:pPr>
            <w:r>
              <w:rPr>
                <w:spacing w:val="-3"/>
                <w:position w:val="1"/>
              </w:rPr>
              <w:t>141</w:t>
            </w:r>
          </w:p>
        </w:tc>
      </w:tr>
      <w:tr w14:paraId="77201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1964664">
            <w:pPr>
              <w:pStyle w:val="6"/>
              <w:spacing w:before="133" w:line="225" w:lineRule="auto"/>
              <w:ind w:left="303"/>
            </w:pPr>
            <w:r>
              <w:rPr>
                <w:spacing w:val="1"/>
              </w:rPr>
              <w:t>①</w:t>
            </w:r>
          </w:p>
        </w:tc>
        <w:tc>
          <w:tcPr>
            <w:tcW w:w="3117" w:type="dxa"/>
            <w:vAlign w:val="top"/>
          </w:tcPr>
          <w:p w14:paraId="46D44A4A">
            <w:pPr>
              <w:pStyle w:val="6"/>
              <w:spacing w:before="133" w:line="228" w:lineRule="auto"/>
              <w:ind w:left="113"/>
            </w:pPr>
            <w:r>
              <w:rPr>
                <w:spacing w:val="7"/>
              </w:rPr>
              <w:t>其中：工人</w:t>
            </w:r>
          </w:p>
        </w:tc>
        <w:tc>
          <w:tcPr>
            <w:tcW w:w="1133" w:type="dxa"/>
            <w:vAlign w:val="top"/>
          </w:tcPr>
          <w:p w14:paraId="22B9EB30">
            <w:pPr>
              <w:pStyle w:val="6"/>
              <w:spacing w:before="132" w:line="231" w:lineRule="auto"/>
              <w:ind w:left="470"/>
            </w:pPr>
            <w:r>
              <w:t>人</w:t>
            </w:r>
          </w:p>
        </w:tc>
        <w:tc>
          <w:tcPr>
            <w:tcW w:w="3450" w:type="dxa"/>
            <w:vAlign w:val="top"/>
          </w:tcPr>
          <w:p w14:paraId="352206D1">
            <w:pPr>
              <w:pStyle w:val="6"/>
              <w:spacing w:before="133" w:line="270" w:lineRule="exact"/>
              <w:ind w:left="1587"/>
            </w:pPr>
            <w:r>
              <w:rPr>
                <w:spacing w:val="-3"/>
                <w:position w:val="1"/>
              </w:rPr>
              <w:t>124</w:t>
            </w:r>
          </w:p>
        </w:tc>
      </w:tr>
      <w:tr w14:paraId="63AFC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161C2ADA">
            <w:pPr>
              <w:pStyle w:val="6"/>
              <w:spacing w:before="135" w:line="225" w:lineRule="auto"/>
              <w:ind w:left="303"/>
            </w:pPr>
            <w:r>
              <w:rPr>
                <w:spacing w:val="2"/>
              </w:rPr>
              <w:t>②</w:t>
            </w:r>
          </w:p>
        </w:tc>
        <w:tc>
          <w:tcPr>
            <w:tcW w:w="3117" w:type="dxa"/>
            <w:vAlign w:val="top"/>
          </w:tcPr>
          <w:p w14:paraId="06B2CC6B">
            <w:pPr>
              <w:pStyle w:val="6"/>
              <w:spacing w:before="134" w:line="228" w:lineRule="auto"/>
              <w:ind w:left="117"/>
            </w:pPr>
            <w:r>
              <w:rPr>
                <w:spacing w:val="7"/>
              </w:rPr>
              <w:t>管理及服务人员</w:t>
            </w:r>
          </w:p>
        </w:tc>
        <w:tc>
          <w:tcPr>
            <w:tcW w:w="1133" w:type="dxa"/>
            <w:vAlign w:val="top"/>
          </w:tcPr>
          <w:p w14:paraId="4C2045F1">
            <w:pPr>
              <w:pStyle w:val="6"/>
              <w:spacing w:before="134" w:line="231" w:lineRule="auto"/>
              <w:ind w:left="470"/>
            </w:pPr>
            <w:r>
              <w:t>人</w:t>
            </w:r>
          </w:p>
        </w:tc>
        <w:tc>
          <w:tcPr>
            <w:tcW w:w="3450" w:type="dxa"/>
            <w:vAlign w:val="top"/>
          </w:tcPr>
          <w:p w14:paraId="748CD74A">
            <w:pPr>
              <w:pStyle w:val="6"/>
              <w:spacing w:before="135" w:line="268" w:lineRule="exact"/>
              <w:ind w:left="1640"/>
            </w:pPr>
            <w:r>
              <w:rPr>
                <w:spacing w:val="-7"/>
                <w:position w:val="1"/>
              </w:rPr>
              <w:t>17</w:t>
            </w:r>
          </w:p>
        </w:tc>
      </w:tr>
      <w:tr w14:paraId="5DB18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3F15C3F2">
            <w:pPr>
              <w:pStyle w:val="6"/>
              <w:spacing w:before="134" w:line="270" w:lineRule="exact"/>
              <w:ind w:left="356"/>
            </w:pPr>
            <w:r>
              <w:rPr>
                <w:position w:val="1"/>
              </w:rPr>
              <w:t>4</w:t>
            </w:r>
          </w:p>
        </w:tc>
        <w:tc>
          <w:tcPr>
            <w:tcW w:w="3117" w:type="dxa"/>
            <w:vAlign w:val="top"/>
          </w:tcPr>
          <w:p w14:paraId="5CC8AE17">
            <w:pPr>
              <w:pStyle w:val="6"/>
              <w:spacing w:before="134" w:line="228" w:lineRule="auto"/>
              <w:ind w:left="113"/>
            </w:pPr>
            <w:r>
              <w:rPr>
                <w:spacing w:val="7"/>
              </w:rPr>
              <w:t>财务指标</w:t>
            </w:r>
          </w:p>
        </w:tc>
        <w:tc>
          <w:tcPr>
            <w:tcW w:w="1133" w:type="dxa"/>
            <w:vAlign w:val="top"/>
          </w:tcPr>
          <w:p w14:paraId="583E2666">
            <w:pPr>
              <w:rPr>
                <w:rFonts w:ascii="Arial"/>
                <w:sz w:val="21"/>
              </w:rPr>
            </w:pPr>
          </w:p>
        </w:tc>
        <w:tc>
          <w:tcPr>
            <w:tcW w:w="3450" w:type="dxa"/>
            <w:vAlign w:val="top"/>
          </w:tcPr>
          <w:p w14:paraId="5A5522A7">
            <w:pPr>
              <w:rPr>
                <w:rFonts w:ascii="Arial"/>
                <w:sz w:val="21"/>
              </w:rPr>
            </w:pPr>
          </w:p>
        </w:tc>
      </w:tr>
      <w:tr w14:paraId="4FB5B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809" w:type="dxa"/>
            <w:vAlign w:val="top"/>
          </w:tcPr>
          <w:p w14:paraId="44EBB20E">
            <w:pPr>
              <w:pStyle w:val="6"/>
              <w:spacing w:before="134" w:line="268" w:lineRule="exact"/>
              <w:ind w:left="251"/>
            </w:pPr>
            <w:r>
              <w:rPr>
                <w:spacing w:val="2"/>
                <w:position w:val="1"/>
              </w:rPr>
              <w:t>4.1</w:t>
            </w:r>
          </w:p>
        </w:tc>
        <w:tc>
          <w:tcPr>
            <w:tcW w:w="3117" w:type="dxa"/>
            <w:vAlign w:val="top"/>
          </w:tcPr>
          <w:p w14:paraId="3EB73E55">
            <w:pPr>
              <w:pStyle w:val="6"/>
              <w:spacing w:before="134" w:line="228" w:lineRule="auto"/>
              <w:ind w:left="115"/>
            </w:pPr>
            <w:r>
              <w:rPr>
                <w:spacing w:val="7"/>
              </w:rPr>
              <w:t>项目总投资</w:t>
            </w:r>
          </w:p>
        </w:tc>
        <w:tc>
          <w:tcPr>
            <w:tcW w:w="1133" w:type="dxa"/>
            <w:vAlign w:val="top"/>
          </w:tcPr>
          <w:p w14:paraId="65059FBF">
            <w:pPr>
              <w:pStyle w:val="6"/>
              <w:spacing w:before="134" w:line="228" w:lineRule="auto"/>
              <w:ind w:left="367"/>
            </w:pPr>
            <w:r>
              <w:rPr>
                <w:spacing w:val="2"/>
              </w:rPr>
              <w:t>万元</w:t>
            </w:r>
          </w:p>
        </w:tc>
        <w:tc>
          <w:tcPr>
            <w:tcW w:w="3450" w:type="dxa"/>
            <w:vAlign w:val="top"/>
          </w:tcPr>
          <w:p w14:paraId="1FD75D6F">
            <w:pPr>
              <w:pStyle w:val="6"/>
              <w:spacing w:before="134" w:line="268" w:lineRule="exact"/>
              <w:ind w:left="1367"/>
            </w:pPr>
            <w:r>
              <w:rPr>
                <w:spacing w:val="3"/>
                <w:position w:val="1"/>
              </w:rPr>
              <w:t>3212.27</w:t>
            </w:r>
          </w:p>
        </w:tc>
      </w:tr>
    </w:tbl>
    <w:p w14:paraId="279DBC24">
      <w:pPr>
        <w:pStyle w:val="2"/>
        <w:spacing w:line="170" w:lineRule="exact"/>
        <w:rPr>
          <w:sz w:val="14"/>
        </w:rPr>
      </w:pPr>
    </w:p>
    <w:p w14:paraId="78D5192F">
      <w:pPr>
        <w:spacing w:line="170" w:lineRule="exact"/>
        <w:rPr>
          <w:sz w:val="14"/>
          <w:szCs w:val="14"/>
        </w:rPr>
        <w:sectPr>
          <w:headerReference r:id="rId118" w:type="default"/>
          <w:footerReference r:id="rId119" w:type="default"/>
          <w:pgSz w:w="11906" w:h="16839"/>
          <w:pgMar w:top="1208" w:right="1696" w:bottom="1358" w:left="1695" w:header="825" w:footer="1195" w:gutter="0"/>
          <w:cols w:space="720" w:num="1"/>
        </w:sectPr>
      </w:pPr>
    </w:p>
    <w:p w14:paraId="43766B4A">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3117"/>
        <w:gridCol w:w="1133"/>
        <w:gridCol w:w="3450"/>
      </w:tblGrid>
      <w:tr w14:paraId="0ECDF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09" w:type="dxa"/>
            <w:vAlign w:val="top"/>
          </w:tcPr>
          <w:p w14:paraId="2ECB7A1A">
            <w:pPr>
              <w:pStyle w:val="6"/>
              <w:spacing w:before="133" w:line="229" w:lineRule="auto"/>
              <w:ind w:left="198"/>
            </w:pPr>
            <w:r>
              <w:rPr>
                <w:spacing w:val="5"/>
              </w:rPr>
              <w:t>序号</w:t>
            </w:r>
          </w:p>
        </w:tc>
        <w:tc>
          <w:tcPr>
            <w:tcW w:w="3117" w:type="dxa"/>
            <w:vAlign w:val="top"/>
          </w:tcPr>
          <w:p w14:paraId="147EC3E9">
            <w:pPr>
              <w:pStyle w:val="6"/>
              <w:spacing w:before="133" w:line="228" w:lineRule="auto"/>
              <w:ind w:left="1144"/>
            </w:pPr>
            <w:r>
              <w:rPr>
                <w:spacing w:val="6"/>
              </w:rPr>
              <w:t>指标名称</w:t>
            </w:r>
          </w:p>
        </w:tc>
        <w:tc>
          <w:tcPr>
            <w:tcW w:w="1133" w:type="dxa"/>
            <w:vAlign w:val="top"/>
          </w:tcPr>
          <w:p w14:paraId="3D4BDD58">
            <w:pPr>
              <w:pStyle w:val="6"/>
              <w:spacing w:before="133" w:line="228" w:lineRule="auto"/>
              <w:ind w:left="364"/>
            </w:pPr>
            <w:r>
              <w:rPr>
                <w:spacing w:val="3"/>
              </w:rPr>
              <w:t>单位</w:t>
            </w:r>
          </w:p>
        </w:tc>
        <w:tc>
          <w:tcPr>
            <w:tcW w:w="3450" w:type="dxa"/>
            <w:vAlign w:val="top"/>
          </w:tcPr>
          <w:p w14:paraId="79FFAE89">
            <w:pPr>
              <w:pStyle w:val="6"/>
              <w:spacing w:before="132" w:line="228" w:lineRule="auto"/>
              <w:ind w:left="1521"/>
            </w:pPr>
            <w:r>
              <w:rPr>
                <w:spacing w:val="3"/>
              </w:rPr>
              <w:t>数量</w:t>
            </w:r>
          </w:p>
        </w:tc>
      </w:tr>
      <w:tr w14:paraId="3EB52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70A5C59D">
            <w:pPr>
              <w:pStyle w:val="6"/>
              <w:spacing w:before="131" w:line="267" w:lineRule="exact"/>
              <w:ind w:left="251"/>
            </w:pPr>
            <w:r>
              <w:rPr>
                <w:spacing w:val="2"/>
                <w:position w:val="1"/>
              </w:rPr>
              <w:t>4.2</w:t>
            </w:r>
          </w:p>
        </w:tc>
        <w:tc>
          <w:tcPr>
            <w:tcW w:w="3117" w:type="dxa"/>
            <w:vAlign w:val="top"/>
          </w:tcPr>
          <w:p w14:paraId="6242F5FA">
            <w:pPr>
              <w:pStyle w:val="6"/>
              <w:spacing w:before="130" w:line="228" w:lineRule="auto"/>
              <w:ind w:left="113"/>
            </w:pPr>
            <w:r>
              <w:rPr>
                <w:spacing w:val="7"/>
              </w:rPr>
              <w:t>销售收入</w:t>
            </w:r>
          </w:p>
        </w:tc>
        <w:tc>
          <w:tcPr>
            <w:tcW w:w="1133" w:type="dxa"/>
            <w:vAlign w:val="top"/>
          </w:tcPr>
          <w:p w14:paraId="4A5D7216">
            <w:pPr>
              <w:pStyle w:val="6"/>
              <w:spacing w:before="131" w:line="228" w:lineRule="auto"/>
              <w:ind w:left="367"/>
            </w:pPr>
            <w:r>
              <w:rPr>
                <w:spacing w:val="2"/>
              </w:rPr>
              <w:t>万元</w:t>
            </w:r>
          </w:p>
        </w:tc>
        <w:tc>
          <w:tcPr>
            <w:tcW w:w="3450" w:type="dxa"/>
            <w:vAlign w:val="top"/>
          </w:tcPr>
          <w:p w14:paraId="0FE78AD1">
            <w:pPr>
              <w:pStyle w:val="6"/>
              <w:spacing w:before="131" w:line="267" w:lineRule="exact"/>
              <w:ind w:left="1314"/>
            </w:pPr>
            <w:r>
              <w:rPr>
                <w:spacing w:val="3"/>
                <w:position w:val="1"/>
              </w:rPr>
              <w:t>54298.93</w:t>
            </w:r>
          </w:p>
        </w:tc>
      </w:tr>
      <w:tr w14:paraId="7E3AB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67EA9BD1">
            <w:pPr>
              <w:pStyle w:val="6"/>
              <w:spacing w:before="131" w:line="268" w:lineRule="exact"/>
              <w:ind w:left="251"/>
            </w:pPr>
            <w:r>
              <w:rPr>
                <w:spacing w:val="2"/>
                <w:position w:val="1"/>
              </w:rPr>
              <w:t>4.3</w:t>
            </w:r>
          </w:p>
        </w:tc>
        <w:tc>
          <w:tcPr>
            <w:tcW w:w="3117" w:type="dxa"/>
            <w:vAlign w:val="top"/>
          </w:tcPr>
          <w:p w14:paraId="12CD7B05">
            <w:pPr>
              <w:pStyle w:val="6"/>
              <w:spacing w:before="131" w:line="227" w:lineRule="auto"/>
              <w:ind w:left="113"/>
            </w:pPr>
            <w:r>
              <w:rPr>
                <w:spacing w:val="8"/>
              </w:rPr>
              <w:t>销售税金及附加</w:t>
            </w:r>
          </w:p>
        </w:tc>
        <w:tc>
          <w:tcPr>
            <w:tcW w:w="1133" w:type="dxa"/>
            <w:vAlign w:val="top"/>
          </w:tcPr>
          <w:p w14:paraId="34E15E2A">
            <w:pPr>
              <w:pStyle w:val="6"/>
              <w:spacing w:before="132" w:line="228" w:lineRule="auto"/>
              <w:ind w:left="367"/>
            </w:pPr>
            <w:r>
              <w:rPr>
                <w:spacing w:val="2"/>
              </w:rPr>
              <w:t>万元</w:t>
            </w:r>
          </w:p>
        </w:tc>
        <w:tc>
          <w:tcPr>
            <w:tcW w:w="3450" w:type="dxa"/>
            <w:vAlign w:val="top"/>
          </w:tcPr>
          <w:p w14:paraId="3A7B7032">
            <w:pPr>
              <w:pStyle w:val="6"/>
              <w:spacing w:before="131" w:line="268" w:lineRule="exact"/>
              <w:ind w:left="1367"/>
            </w:pPr>
            <w:r>
              <w:rPr>
                <w:spacing w:val="3"/>
                <w:position w:val="1"/>
              </w:rPr>
              <w:t>3067.79</w:t>
            </w:r>
          </w:p>
        </w:tc>
      </w:tr>
      <w:tr w14:paraId="3E13A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3192D033">
            <w:pPr>
              <w:pStyle w:val="6"/>
              <w:spacing w:before="132" w:line="268" w:lineRule="exact"/>
              <w:ind w:left="251"/>
            </w:pPr>
            <w:r>
              <w:rPr>
                <w:spacing w:val="2"/>
                <w:position w:val="1"/>
              </w:rPr>
              <w:t>4.4</w:t>
            </w:r>
          </w:p>
        </w:tc>
        <w:tc>
          <w:tcPr>
            <w:tcW w:w="3117" w:type="dxa"/>
            <w:vAlign w:val="top"/>
          </w:tcPr>
          <w:p w14:paraId="45953B40">
            <w:pPr>
              <w:pStyle w:val="6"/>
              <w:spacing w:before="132" w:line="228" w:lineRule="auto"/>
              <w:ind w:left="113"/>
            </w:pPr>
            <w:r>
              <w:rPr>
                <w:spacing w:val="7"/>
              </w:rPr>
              <w:t>利润总额</w:t>
            </w:r>
          </w:p>
        </w:tc>
        <w:tc>
          <w:tcPr>
            <w:tcW w:w="1133" w:type="dxa"/>
            <w:vAlign w:val="top"/>
          </w:tcPr>
          <w:p w14:paraId="49AEF9F4">
            <w:pPr>
              <w:pStyle w:val="6"/>
              <w:spacing w:before="132" w:line="228" w:lineRule="auto"/>
              <w:ind w:left="367"/>
            </w:pPr>
            <w:r>
              <w:rPr>
                <w:spacing w:val="2"/>
              </w:rPr>
              <w:t>万元</w:t>
            </w:r>
          </w:p>
        </w:tc>
        <w:tc>
          <w:tcPr>
            <w:tcW w:w="3450" w:type="dxa"/>
            <w:vAlign w:val="top"/>
          </w:tcPr>
          <w:p w14:paraId="409B3FD4">
            <w:pPr>
              <w:pStyle w:val="6"/>
              <w:spacing w:before="132" w:line="268" w:lineRule="exact"/>
              <w:ind w:left="1326"/>
            </w:pPr>
            <w:r>
              <w:rPr>
                <w:spacing w:val="1"/>
                <w:position w:val="1"/>
              </w:rPr>
              <w:t>17839.67</w:t>
            </w:r>
          </w:p>
        </w:tc>
      </w:tr>
      <w:tr w14:paraId="672F5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09" w:type="dxa"/>
            <w:vAlign w:val="top"/>
          </w:tcPr>
          <w:p w14:paraId="3B6EB84B">
            <w:pPr>
              <w:pStyle w:val="6"/>
              <w:spacing w:before="133" w:line="267" w:lineRule="exact"/>
              <w:ind w:left="251"/>
            </w:pPr>
            <w:r>
              <w:rPr>
                <w:spacing w:val="2"/>
                <w:position w:val="1"/>
              </w:rPr>
              <w:t>4.5</w:t>
            </w:r>
          </w:p>
        </w:tc>
        <w:tc>
          <w:tcPr>
            <w:tcW w:w="3117" w:type="dxa"/>
            <w:vAlign w:val="top"/>
          </w:tcPr>
          <w:p w14:paraId="7286F820">
            <w:pPr>
              <w:pStyle w:val="6"/>
              <w:spacing w:before="132" w:line="228" w:lineRule="auto"/>
              <w:ind w:left="112"/>
            </w:pPr>
            <w:r>
              <w:rPr>
                <w:spacing w:val="6"/>
              </w:rPr>
              <w:t>所得税</w:t>
            </w:r>
          </w:p>
        </w:tc>
        <w:tc>
          <w:tcPr>
            <w:tcW w:w="1133" w:type="dxa"/>
            <w:vAlign w:val="top"/>
          </w:tcPr>
          <w:p w14:paraId="43C67D0C">
            <w:pPr>
              <w:pStyle w:val="6"/>
              <w:spacing w:before="133" w:line="228" w:lineRule="auto"/>
              <w:ind w:left="367"/>
            </w:pPr>
            <w:r>
              <w:rPr>
                <w:spacing w:val="2"/>
              </w:rPr>
              <w:t>万元</w:t>
            </w:r>
          </w:p>
        </w:tc>
        <w:tc>
          <w:tcPr>
            <w:tcW w:w="3450" w:type="dxa"/>
            <w:vAlign w:val="top"/>
          </w:tcPr>
          <w:p w14:paraId="20DF1877">
            <w:pPr>
              <w:pStyle w:val="6"/>
              <w:spacing w:before="133" w:line="267" w:lineRule="exact"/>
              <w:ind w:left="1362"/>
            </w:pPr>
            <w:r>
              <w:rPr>
                <w:spacing w:val="4"/>
                <w:position w:val="1"/>
              </w:rPr>
              <w:t>4459.92</w:t>
            </w:r>
          </w:p>
        </w:tc>
      </w:tr>
      <w:tr w14:paraId="2C98D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9" w:type="dxa"/>
            <w:vAlign w:val="top"/>
          </w:tcPr>
          <w:p w14:paraId="20A7462B">
            <w:pPr>
              <w:pStyle w:val="6"/>
              <w:spacing w:before="133" w:line="268" w:lineRule="exact"/>
              <w:ind w:left="251"/>
            </w:pPr>
            <w:r>
              <w:rPr>
                <w:spacing w:val="2"/>
                <w:position w:val="1"/>
              </w:rPr>
              <w:t>4.6</w:t>
            </w:r>
          </w:p>
        </w:tc>
        <w:tc>
          <w:tcPr>
            <w:tcW w:w="3117" w:type="dxa"/>
            <w:vAlign w:val="top"/>
          </w:tcPr>
          <w:p w14:paraId="5DD0EF6D">
            <w:pPr>
              <w:pStyle w:val="6"/>
              <w:spacing w:before="134" w:line="228" w:lineRule="auto"/>
              <w:ind w:left="111"/>
            </w:pPr>
            <w:r>
              <w:rPr>
                <w:spacing w:val="7"/>
              </w:rPr>
              <w:t>税后利润</w:t>
            </w:r>
          </w:p>
        </w:tc>
        <w:tc>
          <w:tcPr>
            <w:tcW w:w="1133" w:type="dxa"/>
            <w:vAlign w:val="top"/>
          </w:tcPr>
          <w:p w14:paraId="3CF4CCAD">
            <w:pPr>
              <w:pStyle w:val="6"/>
              <w:spacing w:before="134" w:line="228" w:lineRule="auto"/>
              <w:ind w:left="367"/>
            </w:pPr>
            <w:r>
              <w:rPr>
                <w:spacing w:val="2"/>
              </w:rPr>
              <w:t>万元</w:t>
            </w:r>
          </w:p>
        </w:tc>
        <w:tc>
          <w:tcPr>
            <w:tcW w:w="3450" w:type="dxa"/>
            <w:vAlign w:val="top"/>
          </w:tcPr>
          <w:p w14:paraId="26028CF2">
            <w:pPr>
              <w:pStyle w:val="6"/>
              <w:spacing w:before="133" w:line="268" w:lineRule="exact"/>
              <w:ind w:left="1326"/>
            </w:pPr>
            <w:r>
              <w:rPr>
                <w:spacing w:val="1"/>
                <w:position w:val="1"/>
              </w:rPr>
              <w:t>13379.76</w:t>
            </w:r>
          </w:p>
        </w:tc>
      </w:tr>
      <w:tr w14:paraId="48C07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09" w:type="dxa"/>
            <w:vAlign w:val="top"/>
          </w:tcPr>
          <w:p w14:paraId="68EAD0BD">
            <w:pPr>
              <w:pStyle w:val="6"/>
              <w:spacing w:before="133" w:line="267" w:lineRule="exact"/>
              <w:ind w:left="251"/>
            </w:pPr>
            <w:r>
              <w:rPr>
                <w:spacing w:val="2"/>
                <w:position w:val="1"/>
              </w:rPr>
              <w:t>4.7</w:t>
            </w:r>
          </w:p>
        </w:tc>
        <w:tc>
          <w:tcPr>
            <w:tcW w:w="3117" w:type="dxa"/>
            <w:vAlign w:val="top"/>
          </w:tcPr>
          <w:p w14:paraId="7A582CB7">
            <w:pPr>
              <w:pStyle w:val="6"/>
              <w:spacing w:before="132" w:line="228" w:lineRule="auto"/>
              <w:ind w:left="115"/>
            </w:pPr>
            <w:r>
              <w:rPr>
                <w:spacing w:val="8"/>
              </w:rPr>
              <w:t>项目投资回收期</w:t>
            </w:r>
          </w:p>
        </w:tc>
        <w:tc>
          <w:tcPr>
            <w:tcW w:w="1133" w:type="dxa"/>
            <w:vAlign w:val="top"/>
          </w:tcPr>
          <w:p w14:paraId="78CA2669">
            <w:pPr>
              <w:pStyle w:val="6"/>
              <w:spacing w:before="132" w:line="228" w:lineRule="auto"/>
              <w:ind w:left="469"/>
            </w:pPr>
            <w:r>
              <w:t>年</w:t>
            </w:r>
          </w:p>
        </w:tc>
        <w:tc>
          <w:tcPr>
            <w:tcW w:w="3450" w:type="dxa"/>
            <w:vAlign w:val="top"/>
          </w:tcPr>
          <w:p w14:paraId="7A173CF3">
            <w:pPr>
              <w:pStyle w:val="6"/>
              <w:spacing w:before="133" w:line="267" w:lineRule="exact"/>
              <w:ind w:left="1521"/>
            </w:pPr>
            <w:r>
              <w:rPr>
                <w:spacing w:val="2"/>
                <w:position w:val="1"/>
              </w:rPr>
              <w:t>6.47</w:t>
            </w:r>
          </w:p>
        </w:tc>
      </w:tr>
    </w:tbl>
    <w:p w14:paraId="17982417">
      <w:pPr>
        <w:pStyle w:val="2"/>
      </w:pPr>
    </w:p>
    <w:p w14:paraId="7135ECB3">
      <w:pPr>
        <w:sectPr>
          <w:footerReference r:id="rId120" w:type="default"/>
          <w:pgSz w:w="11906" w:h="16839"/>
          <w:pgMar w:top="1208" w:right="1696" w:bottom="1358" w:left="1695" w:header="825" w:footer="1195" w:gutter="0"/>
          <w:cols w:space="720" w:num="1"/>
        </w:sectPr>
      </w:pPr>
    </w:p>
    <w:p w14:paraId="5D595888">
      <w:pPr>
        <w:pStyle w:val="2"/>
        <w:spacing w:line="268" w:lineRule="auto"/>
      </w:pPr>
    </w:p>
    <w:p w14:paraId="0C28D042">
      <w:pPr>
        <w:pStyle w:val="2"/>
        <w:spacing w:line="268" w:lineRule="auto"/>
      </w:pPr>
    </w:p>
    <w:p w14:paraId="3947814E">
      <w:pPr>
        <w:pStyle w:val="2"/>
        <w:spacing w:line="268" w:lineRule="auto"/>
      </w:pPr>
      <w:r>
        <w:pict>
          <v:group id="_x0000_s1030" o:spid="_x0000_s1030" o:spt="203" style="position:absolute;left:0pt;margin-left:550.2pt;margin-top:2.45pt;height:58.65pt;width:23.8pt;z-index:251683840;mso-width-relative:page;mso-height-relative:page;" coordsize="475,1173">
            <o:lock v:ext="edit"/>
            <v:shape id="_x0000_s1031" o:spid="_x0000_s1031" o:spt="75" type="#_x0000_t75" style="position:absolute;left:0;top:0;height:1173;width:475;" filled="f" stroked="f" coordsize="21600,21600">
              <v:path/>
              <v:fill on="f" focussize="0,0"/>
              <v:stroke on="f"/>
              <v:imagedata r:id="rId474" o:title=""/>
              <o:lock v:ext="edit" aspectratio="t"/>
            </v:shape>
            <v:shape id="_x0000_s1032" o:spid="_x0000_s1032" o:spt="202" type="#_x0000_t202" style="position:absolute;left:-20;top:-20;height:1263;width:515;" filled="f" stroked="f" coordsize="21600,21600">
              <v:path/>
              <v:fill on="f" focussize="0,0"/>
              <v:stroke on="f"/>
              <v:imagedata o:title=""/>
              <o:lock v:ext="edit" aspectratio="f"/>
              <v:textbox inset="0mm,0mm,0mm,0mm">
                <w:txbxContent>
                  <w:p w14:paraId="516FA4A3">
                    <w:pPr>
                      <w:spacing w:before="217" w:line="223" w:lineRule="auto"/>
                      <w:ind w:left="184"/>
                      <w:rPr>
                        <w:rFonts w:ascii="宋体" w:hAnsi="宋体" w:eastAsia="宋体" w:cs="宋体"/>
                        <w:sz w:val="24"/>
                        <w:szCs w:val="24"/>
                      </w:rPr>
                    </w:pPr>
                    <w:r>
                      <w:rPr>
                        <w:rFonts w:ascii="宋体" w:hAnsi="宋体" w:eastAsia="宋体" w:cs="宋体"/>
                        <w:sz w:val="24"/>
                        <w:szCs w:val="24"/>
                      </w:rPr>
                      <w:t>北</w:t>
                    </w:r>
                  </w:p>
                </w:txbxContent>
              </v:textbox>
            </v:shape>
          </v:group>
        </w:pict>
      </w:r>
      <w:r>
        <w:drawing>
          <wp:anchor distT="0" distB="0" distL="0" distR="0" simplePos="0" relativeHeight="251682816" behindDoc="1" locked="0" layoutInCell="1" allowOverlap="1">
            <wp:simplePos x="0" y="0"/>
            <wp:positionH relativeFrom="column">
              <wp:posOffset>1447800</wp:posOffset>
            </wp:positionH>
            <wp:positionV relativeFrom="paragraph">
              <wp:posOffset>105410</wp:posOffset>
            </wp:positionV>
            <wp:extent cx="5966460" cy="470916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75"/>
                    <a:stretch>
                      <a:fillRect/>
                    </a:stretch>
                  </pic:blipFill>
                  <pic:spPr>
                    <a:xfrm>
                      <a:off x="0" y="0"/>
                      <a:ext cx="5966459" cy="4709159"/>
                    </a:xfrm>
                    <a:prstGeom prst="rect">
                      <a:avLst/>
                    </a:prstGeom>
                  </pic:spPr>
                </pic:pic>
              </a:graphicData>
            </a:graphic>
          </wp:anchor>
        </w:drawing>
      </w:r>
    </w:p>
    <w:p w14:paraId="7E85A51A">
      <w:pPr>
        <w:pStyle w:val="2"/>
        <w:spacing w:line="269" w:lineRule="auto"/>
      </w:pPr>
    </w:p>
    <w:p w14:paraId="34E54BEE">
      <w:pPr>
        <w:spacing w:line="1024" w:lineRule="exact"/>
        <w:ind w:firstLine="8365"/>
      </w:pPr>
      <w:r>
        <w:rPr>
          <w:position w:val="-20"/>
        </w:rPr>
        <w:pict>
          <v:group id="_x0000_s1033" o:spid="_x0000_s1033" o:spt="203" style="height:51.25pt;width:89.45pt;" coordsize="1788,1025">
            <o:lock v:ext="edit"/>
            <v:shape id="_x0000_s1034" o:spid="_x0000_s1034" o:spt="75" type="#_x0000_t75" style="position:absolute;left:0;top:0;height:1025;width:1788;" filled="f" stroked="f" coordsize="21600,21600">
              <v:path/>
              <v:fill on="f" focussize="0,0"/>
              <v:stroke on="f"/>
              <v:imagedata r:id="rId476" o:title=""/>
              <o:lock v:ext="edit" aspectratio="t"/>
            </v:shape>
            <v:shape id="_x0000_s1035" o:spid="_x0000_s1035" o:spt="202" type="#_x0000_t202" style="position:absolute;left:-20;top:-20;height:1065;width:1828;" filled="f" stroked="f" coordsize="21600,21600">
              <v:path/>
              <v:fill on="f" focussize="0,0"/>
              <v:stroke on="f"/>
              <v:imagedata o:title=""/>
              <o:lock v:ext="edit" aspectratio="f"/>
              <v:textbox inset="0mm,0mm,0mm,0mm">
                <w:txbxContent>
                  <w:p w14:paraId="5072446F">
                    <w:pPr>
                      <w:spacing w:before="264" w:line="220" w:lineRule="auto"/>
                      <w:ind w:left="229"/>
                      <w:rPr>
                        <w:rFonts w:ascii="宋体" w:hAnsi="宋体" w:eastAsia="宋体" w:cs="宋体"/>
                        <w:sz w:val="24"/>
                        <w:szCs w:val="24"/>
                      </w:rPr>
                    </w:pPr>
                    <w:r>
                      <w:rPr>
                        <w:rFonts w:ascii="宋体" w:hAnsi="宋体" w:eastAsia="宋体" w:cs="宋体"/>
                        <w:spacing w:val="-4"/>
                        <w:sz w:val="24"/>
                        <w:szCs w:val="24"/>
                      </w:rPr>
                      <w:t>项目位置</w:t>
                    </w:r>
                  </w:p>
                </w:txbxContent>
              </v:textbox>
            </v:shape>
            <w10:wrap type="none"/>
            <w10:anchorlock/>
          </v:group>
        </w:pict>
      </w:r>
    </w:p>
    <w:p w14:paraId="34102219">
      <w:pPr>
        <w:pStyle w:val="2"/>
        <w:spacing w:line="243" w:lineRule="auto"/>
      </w:pPr>
    </w:p>
    <w:p w14:paraId="2A16AD6E">
      <w:pPr>
        <w:pStyle w:val="2"/>
        <w:spacing w:line="243" w:lineRule="auto"/>
      </w:pPr>
    </w:p>
    <w:p w14:paraId="3D7F3DA4">
      <w:pPr>
        <w:pStyle w:val="2"/>
        <w:spacing w:line="243" w:lineRule="auto"/>
      </w:pPr>
    </w:p>
    <w:p w14:paraId="36BF5D85">
      <w:pPr>
        <w:pStyle w:val="2"/>
        <w:spacing w:line="243" w:lineRule="auto"/>
      </w:pPr>
    </w:p>
    <w:p w14:paraId="30B722EA">
      <w:pPr>
        <w:pStyle w:val="2"/>
        <w:spacing w:line="243" w:lineRule="auto"/>
      </w:pPr>
    </w:p>
    <w:p w14:paraId="5EB4103B">
      <w:pPr>
        <w:pStyle w:val="2"/>
        <w:spacing w:line="243" w:lineRule="auto"/>
      </w:pPr>
    </w:p>
    <w:p w14:paraId="209E1EDB">
      <w:pPr>
        <w:pStyle w:val="2"/>
        <w:spacing w:line="243" w:lineRule="auto"/>
      </w:pPr>
    </w:p>
    <w:p w14:paraId="16254BC6">
      <w:pPr>
        <w:pStyle w:val="2"/>
        <w:spacing w:line="243" w:lineRule="auto"/>
      </w:pPr>
    </w:p>
    <w:p w14:paraId="3437653E">
      <w:pPr>
        <w:pStyle w:val="2"/>
        <w:spacing w:line="244" w:lineRule="auto"/>
      </w:pPr>
    </w:p>
    <w:p w14:paraId="3CB87CD7">
      <w:pPr>
        <w:pStyle w:val="2"/>
        <w:spacing w:line="244" w:lineRule="auto"/>
      </w:pPr>
    </w:p>
    <w:p w14:paraId="1E35089F">
      <w:pPr>
        <w:pStyle w:val="2"/>
        <w:spacing w:line="244" w:lineRule="auto"/>
      </w:pPr>
    </w:p>
    <w:p w14:paraId="2504D94B">
      <w:pPr>
        <w:pStyle w:val="2"/>
        <w:spacing w:line="244" w:lineRule="auto"/>
      </w:pPr>
    </w:p>
    <w:p w14:paraId="5D176A23">
      <w:pPr>
        <w:pStyle w:val="2"/>
        <w:spacing w:line="244" w:lineRule="auto"/>
      </w:pPr>
    </w:p>
    <w:p w14:paraId="3E5D894B">
      <w:pPr>
        <w:pStyle w:val="2"/>
        <w:spacing w:line="244" w:lineRule="auto"/>
      </w:pPr>
    </w:p>
    <w:p w14:paraId="591A11E9">
      <w:pPr>
        <w:pStyle w:val="2"/>
        <w:spacing w:line="244" w:lineRule="auto"/>
      </w:pPr>
    </w:p>
    <w:p w14:paraId="4122AB6B">
      <w:pPr>
        <w:pStyle w:val="2"/>
        <w:spacing w:line="244" w:lineRule="auto"/>
      </w:pPr>
    </w:p>
    <w:p w14:paraId="6BF09891">
      <w:pPr>
        <w:pStyle w:val="2"/>
        <w:spacing w:line="244" w:lineRule="auto"/>
      </w:pPr>
    </w:p>
    <w:p w14:paraId="2D1AF1B6">
      <w:pPr>
        <w:pStyle w:val="2"/>
        <w:spacing w:line="244" w:lineRule="auto"/>
      </w:pPr>
    </w:p>
    <w:p w14:paraId="453D6F08">
      <w:pPr>
        <w:pStyle w:val="2"/>
        <w:spacing w:line="244" w:lineRule="auto"/>
      </w:pPr>
    </w:p>
    <w:p w14:paraId="031100A9">
      <w:pPr>
        <w:pStyle w:val="2"/>
        <w:spacing w:line="244" w:lineRule="auto"/>
      </w:pPr>
    </w:p>
    <w:p w14:paraId="3A5EB64F">
      <w:pPr>
        <w:pStyle w:val="2"/>
        <w:spacing w:line="244" w:lineRule="auto"/>
      </w:pPr>
    </w:p>
    <w:p w14:paraId="3B71C49C">
      <w:pPr>
        <w:pStyle w:val="2"/>
        <w:spacing w:line="244" w:lineRule="auto"/>
      </w:pPr>
    </w:p>
    <w:p w14:paraId="667537CB">
      <w:pPr>
        <w:pStyle w:val="2"/>
        <w:spacing w:line="244" w:lineRule="auto"/>
      </w:pPr>
    </w:p>
    <w:p w14:paraId="72117784">
      <w:pPr>
        <w:pStyle w:val="2"/>
        <w:spacing w:line="244" w:lineRule="auto"/>
      </w:pPr>
    </w:p>
    <w:p w14:paraId="37250A37">
      <w:pPr>
        <w:pStyle w:val="2"/>
        <w:spacing w:line="244" w:lineRule="auto"/>
      </w:pPr>
    </w:p>
    <w:p w14:paraId="5571982B">
      <w:pPr>
        <w:spacing w:before="65" w:line="228" w:lineRule="auto"/>
        <w:ind w:left="6028"/>
        <w:rPr>
          <w:rFonts w:ascii="宋体" w:hAnsi="宋体" w:eastAsia="宋体" w:cs="宋体"/>
          <w:sz w:val="20"/>
          <w:szCs w:val="20"/>
        </w:rPr>
      </w:pPr>
      <w:r>
        <w:rPr>
          <w:rFonts w:ascii="宋体" w:hAnsi="宋体" w:eastAsia="宋体" w:cs="宋体"/>
          <w:spacing w:val="2"/>
          <w:sz w:val="20"/>
          <w:szCs w:val="20"/>
        </w:rPr>
        <w:t>图</w:t>
      </w:r>
      <w:r>
        <w:rPr>
          <w:rFonts w:ascii="宋体" w:hAnsi="宋体" w:eastAsia="宋体" w:cs="宋体"/>
          <w:spacing w:val="-30"/>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 xml:space="preserve">1-1    </w:t>
      </w:r>
      <w:r>
        <w:rPr>
          <w:rFonts w:ascii="宋体" w:hAnsi="宋体" w:eastAsia="宋体" w:cs="宋体"/>
          <w:spacing w:val="2"/>
          <w:sz w:val="20"/>
          <w:szCs w:val="20"/>
        </w:rPr>
        <w:t>项目地理位置图</w:t>
      </w:r>
    </w:p>
    <w:p w14:paraId="79F53871">
      <w:pPr>
        <w:spacing w:line="228" w:lineRule="auto"/>
        <w:rPr>
          <w:rFonts w:ascii="宋体" w:hAnsi="宋体" w:eastAsia="宋体" w:cs="宋体"/>
          <w:sz w:val="20"/>
          <w:szCs w:val="20"/>
        </w:rPr>
        <w:sectPr>
          <w:headerReference r:id="rId121" w:type="default"/>
          <w:footerReference r:id="rId122" w:type="default"/>
          <w:pgSz w:w="16839" w:h="11906"/>
          <w:pgMar w:top="1208" w:right="1440" w:bottom="1358" w:left="1440" w:header="825" w:footer="1195" w:gutter="0"/>
          <w:cols w:space="720" w:num="1"/>
        </w:sectPr>
      </w:pPr>
    </w:p>
    <w:p w14:paraId="1A73320A">
      <w:pPr>
        <w:pStyle w:val="2"/>
      </w:pPr>
    </w:p>
    <w:p w14:paraId="43366ECF">
      <w:pPr>
        <w:pStyle w:val="2"/>
      </w:pPr>
    </w:p>
    <w:p w14:paraId="7302FB6B">
      <w:pPr>
        <w:pStyle w:val="2"/>
      </w:pPr>
    </w:p>
    <w:p w14:paraId="1ADD2763">
      <w:pPr>
        <w:spacing w:line="7376" w:lineRule="exact"/>
        <w:ind w:firstLine="480"/>
      </w:pPr>
      <w:r>
        <w:rPr>
          <w:position w:val="-147"/>
        </w:rPr>
        <w:drawing>
          <wp:inline distT="0" distB="0" distL="0" distR="0">
            <wp:extent cx="8676005" cy="46831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77"/>
                    <a:stretch>
                      <a:fillRect/>
                    </a:stretch>
                  </pic:blipFill>
                  <pic:spPr>
                    <a:xfrm>
                      <a:off x="0" y="0"/>
                      <a:ext cx="8676131" cy="4683252"/>
                    </a:xfrm>
                    <a:prstGeom prst="rect">
                      <a:avLst/>
                    </a:prstGeom>
                  </pic:spPr>
                </pic:pic>
              </a:graphicData>
            </a:graphic>
          </wp:inline>
        </w:drawing>
      </w:r>
    </w:p>
    <w:p w14:paraId="60B3ABA4">
      <w:pPr>
        <w:spacing w:before="262" w:line="220" w:lineRule="auto"/>
        <w:ind w:left="589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4.1-2    </w:t>
      </w:r>
      <w:r>
        <w:rPr>
          <w:rFonts w:ascii="宋体" w:hAnsi="宋体" w:eastAsia="宋体" w:cs="宋体"/>
          <w:spacing w:val="-3"/>
          <w:sz w:val="24"/>
          <w:szCs w:val="24"/>
        </w:rPr>
        <w:t>项目四邻关系图</w:t>
      </w:r>
    </w:p>
    <w:p w14:paraId="0F9FB14F">
      <w:pPr>
        <w:spacing w:line="220" w:lineRule="auto"/>
        <w:rPr>
          <w:rFonts w:ascii="宋体" w:hAnsi="宋体" w:eastAsia="宋体" w:cs="宋体"/>
          <w:sz w:val="24"/>
          <w:szCs w:val="24"/>
        </w:rPr>
        <w:sectPr>
          <w:headerReference r:id="rId123" w:type="default"/>
          <w:footerReference r:id="rId124" w:type="default"/>
          <w:pgSz w:w="16839" w:h="11906"/>
          <w:pgMar w:top="1208" w:right="1254" w:bottom="1355" w:left="1440" w:header="825" w:footer="1195" w:gutter="0"/>
          <w:cols w:space="720" w:num="1"/>
        </w:sectPr>
      </w:pPr>
    </w:p>
    <w:p w14:paraId="4CFF00E5">
      <w:pPr>
        <w:spacing w:before="271" w:line="222" w:lineRule="auto"/>
        <w:ind w:left="128"/>
        <w:outlineLvl w:val="0"/>
        <w:rPr>
          <w:rFonts w:ascii="黑体" w:hAnsi="黑体" w:eastAsia="黑体" w:cs="黑体"/>
          <w:sz w:val="28"/>
          <w:szCs w:val="28"/>
        </w:rPr>
      </w:pPr>
      <w:bookmarkStart w:id="60" w:name="bookmark56"/>
      <w:bookmarkEnd w:id="60"/>
      <w:r>
        <w:rPr>
          <w:rFonts w:ascii="黑体" w:hAnsi="黑体" w:eastAsia="黑体" w:cs="黑体"/>
          <w:b/>
          <w:bCs/>
          <w:spacing w:val="-6"/>
          <w:sz w:val="28"/>
          <w:szCs w:val="28"/>
        </w:rPr>
        <w:t>5</w:t>
      </w:r>
      <w:r>
        <w:rPr>
          <w:rFonts w:ascii="黑体" w:hAnsi="黑体" w:eastAsia="黑体" w:cs="黑体"/>
          <w:spacing w:val="-56"/>
          <w:sz w:val="28"/>
          <w:szCs w:val="28"/>
        </w:rPr>
        <w:t xml:space="preserve"> </w:t>
      </w:r>
      <w:r>
        <w:rPr>
          <w:rFonts w:ascii="黑体" w:hAnsi="黑体" w:eastAsia="黑体" w:cs="黑体"/>
          <w:b/>
          <w:bCs/>
          <w:spacing w:val="-6"/>
          <w:sz w:val="28"/>
          <w:szCs w:val="28"/>
        </w:rPr>
        <w:t>工程分析</w:t>
      </w:r>
    </w:p>
    <w:p w14:paraId="2C3F2C7E">
      <w:pPr>
        <w:pStyle w:val="2"/>
        <w:spacing w:line="275" w:lineRule="auto"/>
      </w:pPr>
    </w:p>
    <w:p w14:paraId="58A7B912">
      <w:pPr>
        <w:spacing w:before="91" w:line="222" w:lineRule="auto"/>
        <w:ind w:left="133"/>
        <w:outlineLvl w:val="1"/>
        <w:rPr>
          <w:rFonts w:ascii="黑体" w:hAnsi="黑体" w:eastAsia="黑体" w:cs="黑体"/>
          <w:sz w:val="28"/>
          <w:szCs w:val="28"/>
        </w:rPr>
      </w:pPr>
      <w:bookmarkStart w:id="61" w:name="bookmark57"/>
      <w:bookmarkEnd w:id="61"/>
      <w:bookmarkStart w:id="62" w:name="bookmark58"/>
      <w:bookmarkEnd w:id="62"/>
      <w:r>
        <w:rPr>
          <w:rFonts w:ascii="Times New Roman" w:hAnsi="Times New Roman" w:eastAsia="Times New Roman" w:cs="Times New Roman"/>
          <w:b/>
          <w:bCs/>
          <w:spacing w:val="-3"/>
          <w:sz w:val="28"/>
          <w:szCs w:val="28"/>
        </w:rPr>
        <w:t xml:space="preserve">5.1 </w:t>
      </w:r>
      <w:r>
        <w:rPr>
          <w:rFonts w:ascii="黑体" w:hAnsi="黑体" w:eastAsia="黑体" w:cs="黑体"/>
          <w:b/>
          <w:bCs/>
          <w:spacing w:val="-3"/>
          <w:sz w:val="28"/>
          <w:szCs w:val="28"/>
        </w:rPr>
        <w:t>原辅材料及能源消耗</w:t>
      </w:r>
    </w:p>
    <w:p w14:paraId="2505B1A5">
      <w:pPr>
        <w:spacing w:before="265" w:line="219" w:lineRule="auto"/>
        <w:ind w:left="612"/>
        <w:outlineLvl w:val="2"/>
        <w:rPr>
          <w:rFonts w:ascii="宋体" w:hAnsi="宋体" w:eastAsia="宋体" w:cs="宋体"/>
          <w:sz w:val="24"/>
          <w:szCs w:val="24"/>
        </w:rPr>
      </w:pPr>
      <w:bookmarkStart w:id="63" w:name="bookmark199"/>
      <w:bookmarkEnd w:id="63"/>
      <w:r>
        <w:rPr>
          <w:rFonts w:ascii="Times New Roman" w:hAnsi="Times New Roman" w:eastAsia="Times New Roman" w:cs="Times New Roman"/>
          <w:b/>
          <w:bCs/>
          <w:spacing w:val="-4"/>
          <w:sz w:val="24"/>
          <w:szCs w:val="24"/>
        </w:rPr>
        <w:t>5.1.1</w:t>
      </w:r>
      <w:r>
        <w:rPr>
          <w:rFonts w:ascii="Times New Roman" w:hAnsi="Times New Roman" w:eastAsia="Times New Roman" w:cs="Times New Roman"/>
          <w:b/>
          <w:bCs/>
          <w:spacing w:val="24"/>
          <w:sz w:val="24"/>
          <w:szCs w:val="24"/>
        </w:rPr>
        <w:t xml:space="preserve"> </w:t>
      </w:r>
      <w:r>
        <w:rPr>
          <w:rFonts w:ascii="宋体" w:hAnsi="宋体" w:eastAsia="宋体" w:cs="宋体"/>
          <w:b/>
          <w:bCs/>
          <w:spacing w:val="-4"/>
          <w:sz w:val="24"/>
          <w:szCs w:val="24"/>
        </w:rPr>
        <w:t>原辅材料消耗</w:t>
      </w:r>
    </w:p>
    <w:p w14:paraId="5E7D80E3">
      <w:pPr>
        <w:spacing w:before="194" w:line="368" w:lineRule="auto"/>
        <w:ind w:left="162" w:right="275" w:firstLine="450"/>
        <w:rPr>
          <w:rFonts w:ascii="宋体" w:hAnsi="宋体" w:eastAsia="宋体" w:cs="宋体"/>
          <w:sz w:val="24"/>
          <w:szCs w:val="24"/>
        </w:rPr>
      </w:pPr>
      <w:r>
        <w:rPr>
          <w:rFonts w:ascii="宋体" w:hAnsi="宋体" w:eastAsia="宋体" w:cs="宋体"/>
          <w:spacing w:val="-1"/>
          <w:sz w:val="24"/>
          <w:szCs w:val="24"/>
        </w:rPr>
        <w:t>产能置换后，技改工程原矿消耗量不变，仍为</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42.6×10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t/a</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。矿石全部来自</w:t>
      </w:r>
      <w:r>
        <w:rPr>
          <w:rFonts w:ascii="宋体" w:hAnsi="宋体" w:eastAsia="宋体" w:cs="宋体"/>
          <w:sz w:val="24"/>
          <w:szCs w:val="24"/>
        </w:rPr>
        <w:t xml:space="preserve"> </w:t>
      </w:r>
      <w:r>
        <w:rPr>
          <w:rFonts w:ascii="宋体" w:hAnsi="宋体" w:eastAsia="宋体" w:cs="宋体"/>
          <w:spacing w:val="-3"/>
          <w:sz w:val="24"/>
          <w:szCs w:val="24"/>
        </w:rPr>
        <w:t>内蒙古玉龙矿业股份有限公司采矿项目。</w:t>
      </w:r>
    </w:p>
    <w:p w14:paraId="1749DD2F">
      <w:pPr>
        <w:spacing w:line="368" w:lineRule="auto"/>
        <w:ind w:left="150" w:right="275" w:firstLine="463"/>
        <w:rPr>
          <w:rFonts w:ascii="宋体" w:hAnsi="宋体" w:eastAsia="宋体" w:cs="宋体"/>
          <w:sz w:val="24"/>
          <w:szCs w:val="24"/>
        </w:rPr>
      </w:pPr>
      <w:r>
        <w:rPr>
          <w:rFonts w:ascii="宋体" w:hAnsi="宋体" w:eastAsia="宋体" w:cs="宋体"/>
          <w:sz w:val="24"/>
          <w:szCs w:val="24"/>
        </w:rPr>
        <w:t>根据本项目设计规模，选矿工艺，装备水平，劳</w:t>
      </w:r>
      <w:r>
        <w:rPr>
          <w:rFonts w:ascii="宋体" w:hAnsi="宋体" w:eastAsia="宋体" w:cs="宋体"/>
          <w:spacing w:val="-1"/>
          <w:sz w:val="24"/>
          <w:szCs w:val="24"/>
        </w:rPr>
        <w:t>动生产率及管理水平的实</w:t>
      </w:r>
      <w:r>
        <w:rPr>
          <w:rFonts w:ascii="宋体" w:hAnsi="宋体" w:eastAsia="宋体" w:cs="宋体"/>
          <w:sz w:val="24"/>
          <w:szCs w:val="24"/>
        </w:rPr>
        <w:t xml:space="preserve"> </w:t>
      </w:r>
      <w:r>
        <w:rPr>
          <w:rFonts w:ascii="宋体" w:hAnsi="宋体" w:eastAsia="宋体" w:cs="宋体"/>
          <w:spacing w:val="-2"/>
          <w:sz w:val="24"/>
          <w:szCs w:val="24"/>
        </w:rPr>
        <w:t>际情况，选矿车间原辅材料消耗如下。</w:t>
      </w:r>
    </w:p>
    <w:p w14:paraId="2F4F7BF8">
      <w:pPr>
        <w:spacing w:line="218" w:lineRule="auto"/>
        <w:ind w:left="616"/>
        <w:rPr>
          <w:rFonts w:ascii="宋体" w:hAnsi="宋体" w:eastAsia="宋体" w:cs="宋体"/>
          <w:sz w:val="24"/>
          <w:szCs w:val="24"/>
        </w:rPr>
      </w:pPr>
      <w:r>
        <w:rPr>
          <w:rFonts w:ascii="宋体" w:hAnsi="宋体" w:eastAsia="宋体" w:cs="宋体"/>
          <w:spacing w:val="-2"/>
          <w:sz w:val="24"/>
          <w:szCs w:val="24"/>
        </w:rPr>
        <w:t>各种原辅材料消耗量具体见表</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5.1-1</w:t>
      </w:r>
      <w:r>
        <w:rPr>
          <w:rFonts w:ascii="宋体" w:hAnsi="宋体" w:eastAsia="宋体" w:cs="宋体"/>
          <w:spacing w:val="-2"/>
          <w:sz w:val="24"/>
          <w:szCs w:val="24"/>
        </w:rPr>
        <w:t>。</w:t>
      </w:r>
    </w:p>
    <w:p w14:paraId="2F7C3477">
      <w:pPr>
        <w:spacing w:before="129" w:line="227" w:lineRule="auto"/>
        <w:ind w:left="2810"/>
        <w:rPr>
          <w:rFonts w:ascii="宋体" w:hAnsi="宋体" w:eastAsia="宋体" w:cs="宋体"/>
          <w:sz w:val="20"/>
          <w:szCs w:val="20"/>
        </w:rPr>
      </w:pPr>
      <w:r>
        <w:rPr>
          <w:rFonts w:ascii="宋体" w:hAnsi="宋体" w:eastAsia="宋体" w:cs="宋体"/>
          <w:spacing w:val="3"/>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1-1</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原辅材料消耗量表</w:t>
      </w:r>
    </w:p>
    <w:p w14:paraId="08A5367A">
      <w:pPr>
        <w:spacing w:line="19" w:lineRule="exact"/>
      </w:pPr>
    </w:p>
    <w:tbl>
      <w:tblPr>
        <w:tblStyle w:val="5"/>
        <w:tblW w:w="8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4"/>
        <w:gridCol w:w="1274"/>
        <w:gridCol w:w="3117"/>
        <w:gridCol w:w="3269"/>
      </w:tblGrid>
      <w:tr w14:paraId="11553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94" w:type="dxa"/>
            <w:vAlign w:val="top"/>
          </w:tcPr>
          <w:p w14:paraId="29DD86E5">
            <w:pPr>
              <w:pStyle w:val="6"/>
              <w:spacing w:before="217" w:line="229" w:lineRule="auto"/>
              <w:ind w:left="241"/>
            </w:pPr>
            <w:r>
              <w:rPr>
                <w:spacing w:val="5"/>
              </w:rPr>
              <w:t>序号</w:t>
            </w:r>
          </w:p>
        </w:tc>
        <w:tc>
          <w:tcPr>
            <w:tcW w:w="1274" w:type="dxa"/>
            <w:vAlign w:val="top"/>
          </w:tcPr>
          <w:p w14:paraId="657017A6">
            <w:pPr>
              <w:pStyle w:val="6"/>
              <w:spacing w:before="217" w:line="230" w:lineRule="auto"/>
              <w:ind w:left="433"/>
            </w:pPr>
            <w:r>
              <w:rPr>
                <w:spacing w:val="3"/>
              </w:rPr>
              <w:t>名称</w:t>
            </w:r>
          </w:p>
        </w:tc>
        <w:tc>
          <w:tcPr>
            <w:tcW w:w="3117" w:type="dxa"/>
            <w:vAlign w:val="top"/>
          </w:tcPr>
          <w:p w14:paraId="60A9AAF2">
            <w:pPr>
              <w:pStyle w:val="6"/>
              <w:spacing w:before="58" w:line="228" w:lineRule="auto"/>
              <w:ind w:left="248"/>
            </w:pPr>
            <w:r>
              <w:rPr>
                <w:spacing w:val="6"/>
              </w:rPr>
              <w:t>现有</w:t>
            </w:r>
            <w:r>
              <w:rPr>
                <w:spacing w:val="-41"/>
              </w:rPr>
              <w:t xml:space="preserve"> </w:t>
            </w:r>
            <w:r>
              <w:rPr>
                <w:rFonts w:ascii="Times New Roman" w:hAnsi="Times New Roman" w:eastAsia="Times New Roman" w:cs="Times New Roman"/>
                <w:spacing w:val="6"/>
              </w:rPr>
              <w:t xml:space="preserve">2000t/d </w:t>
            </w:r>
            <w:r>
              <w:rPr>
                <w:spacing w:val="6"/>
              </w:rPr>
              <w:t>选矿工程消耗量</w:t>
            </w:r>
          </w:p>
          <w:p w14:paraId="37AADBD7">
            <w:pPr>
              <w:pStyle w:val="6"/>
              <w:spacing w:before="72" w:line="239" w:lineRule="auto"/>
              <w:ind w:left="1260"/>
            </w:pPr>
            <w:r>
              <w:rPr>
                <w:spacing w:val="-1"/>
              </w:rPr>
              <w:t>（</w:t>
            </w:r>
            <w:r>
              <w:rPr>
                <w:rFonts w:ascii="Times New Roman" w:hAnsi="Times New Roman" w:eastAsia="Times New Roman" w:cs="Times New Roman"/>
                <w:spacing w:val="-1"/>
              </w:rPr>
              <w:t>t/a</w:t>
            </w:r>
            <w:r>
              <w:rPr>
                <w:spacing w:val="-1"/>
              </w:rPr>
              <w:t>）</w:t>
            </w:r>
          </w:p>
        </w:tc>
        <w:tc>
          <w:tcPr>
            <w:tcW w:w="3269" w:type="dxa"/>
            <w:vAlign w:val="top"/>
          </w:tcPr>
          <w:p w14:paraId="287E98EF">
            <w:pPr>
              <w:pStyle w:val="6"/>
              <w:spacing w:before="58" w:line="228" w:lineRule="auto"/>
              <w:ind w:left="216"/>
            </w:pPr>
            <w:r>
              <w:rPr>
                <w:spacing w:val="5"/>
              </w:rPr>
              <w:t>技改工程完成后</w:t>
            </w:r>
            <w:r>
              <w:rPr>
                <w:spacing w:val="-28"/>
              </w:rPr>
              <w:t xml:space="preserve"> </w:t>
            </w:r>
            <w:r>
              <w:rPr>
                <w:rFonts w:ascii="Times New Roman" w:hAnsi="Times New Roman" w:eastAsia="Times New Roman" w:cs="Times New Roman"/>
                <w:spacing w:val="5"/>
              </w:rPr>
              <w:t>2000t/d</w:t>
            </w:r>
            <w:r>
              <w:rPr>
                <w:rFonts w:ascii="Times New Roman" w:hAnsi="Times New Roman" w:eastAsia="Times New Roman" w:cs="Times New Roman"/>
                <w:spacing w:val="16"/>
              </w:rPr>
              <w:t xml:space="preserve"> </w:t>
            </w:r>
            <w:r>
              <w:rPr>
                <w:spacing w:val="5"/>
              </w:rPr>
              <w:t>消耗量</w:t>
            </w:r>
          </w:p>
          <w:p w14:paraId="516CF043">
            <w:pPr>
              <w:pStyle w:val="6"/>
              <w:spacing w:before="72" w:line="239" w:lineRule="auto"/>
              <w:ind w:left="1335"/>
            </w:pPr>
            <w:r>
              <w:rPr>
                <w:spacing w:val="-1"/>
              </w:rPr>
              <w:t>（</w:t>
            </w:r>
            <w:r>
              <w:rPr>
                <w:rFonts w:ascii="Times New Roman" w:hAnsi="Times New Roman" w:eastAsia="Times New Roman" w:cs="Times New Roman"/>
                <w:spacing w:val="-1"/>
              </w:rPr>
              <w:t>t/a</w:t>
            </w:r>
            <w:r>
              <w:rPr>
                <w:spacing w:val="-1"/>
              </w:rPr>
              <w:t>）</w:t>
            </w:r>
          </w:p>
        </w:tc>
      </w:tr>
      <w:tr w14:paraId="5E92D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4" w:type="dxa"/>
            <w:vAlign w:val="top"/>
          </w:tcPr>
          <w:p w14:paraId="30E6AAB7">
            <w:pPr>
              <w:pStyle w:val="6"/>
              <w:spacing w:before="64" w:line="270" w:lineRule="exact"/>
              <w:ind w:left="414"/>
            </w:pPr>
            <w:r>
              <w:rPr>
                <w:position w:val="1"/>
              </w:rPr>
              <w:t>1</w:t>
            </w:r>
          </w:p>
        </w:tc>
        <w:tc>
          <w:tcPr>
            <w:tcW w:w="1274" w:type="dxa"/>
            <w:vAlign w:val="top"/>
          </w:tcPr>
          <w:p w14:paraId="200BD52A">
            <w:pPr>
              <w:pStyle w:val="6"/>
              <w:spacing w:before="64" w:line="228" w:lineRule="auto"/>
              <w:ind w:left="436"/>
            </w:pPr>
            <w:r>
              <w:rPr>
                <w:spacing w:val="2"/>
              </w:rPr>
              <w:t>原矿</w:t>
            </w:r>
          </w:p>
        </w:tc>
        <w:tc>
          <w:tcPr>
            <w:tcW w:w="3117" w:type="dxa"/>
            <w:vAlign w:val="top"/>
          </w:tcPr>
          <w:p w14:paraId="5D3B4EDF">
            <w:pPr>
              <w:pStyle w:val="6"/>
              <w:spacing w:before="47" w:line="285" w:lineRule="exact"/>
              <w:ind w:left="1117"/>
              <w:rPr>
                <w:sz w:val="10"/>
                <w:szCs w:val="10"/>
              </w:rPr>
            </w:pPr>
            <w:r>
              <w:rPr>
                <w:spacing w:val="4"/>
              </w:rPr>
              <w:t>42.6×10</w:t>
            </w:r>
            <w:r>
              <w:rPr>
                <w:spacing w:val="4"/>
                <w:position w:val="10"/>
                <w:sz w:val="10"/>
                <w:szCs w:val="10"/>
              </w:rPr>
              <w:t>4</w:t>
            </w:r>
          </w:p>
        </w:tc>
        <w:tc>
          <w:tcPr>
            <w:tcW w:w="3269" w:type="dxa"/>
            <w:vAlign w:val="top"/>
          </w:tcPr>
          <w:p w14:paraId="1D20E6E4">
            <w:pPr>
              <w:pStyle w:val="6"/>
              <w:spacing w:before="47" w:line="285" w:lineRule="exact"/>
              <w:ind w:left="1192"/>
              <w:rPr>
                <w:sz w:val="10"/>
                <w:szCs w:val="10"/>
              </w:rPr>
            </w:pPr>
            <w:r>
              <w:rPr>
                <w:spacing w:val="4"/>
              </w:rPr>
              <w:t>42.6×10</w:t>
            </w:r>
            <w:r>
              <w:rPr>
                <w:spacing w:val="4"/>
                <w:position w:val="10"/>
                <w:sz w:val="10"/>
                <w:szCs w:val="10"/>
              </w:rPr>
              <w:t>4</w:t>
            </w:r>
          </w:p>
        </w:tc>
      </w:tr>
      <w:tr w14:paraId="0A6CB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4" w:type="dxa"/>
            <w:vAlign w:val="top"/>
          </w:tcPr>
          <w:p w14:paraId="7CB9DB81">
            <w:pPr>
              <w:pStyle w:val="6"/>
              <w:spacing w:before="66" w:line="268" w:lineRule="exact"/>
              <w:ind w:left="401"/>
            </w:pPr>
            <w:r>
              <w:rPr>
                <w:position w:val="1"/>
              </w:rPr>
              <w:t>2</w:t>
            </w:r>
          </w:p>
        </w:tc>
        <w:tc>
          <w:tcPr>
            <w:tcW w:w="1274" w:type="dxa"/>
            <w:vAlign w:val="top"/>
          </w:tcPr>
          <w:p w14:paraId="771C3551">
            <w:pPr>
              <w:pStyle w:val="6"/>
              <w:spacing w:before="65" w:line="228" w:lineRule="auto"/>
              <w:ind w:left="431"/>
            </w:pPr>
            <w:r>
              <w:rPr>
                <w:spacing w:val="4"/>
              </w:rPr>
              <w:t>石灰</w:t>
            </w:r>
          </w:p>
        </w:tc>
        <w:tc>
          <w:tcPr>
            <w:tcW w:w="3117" w:type="dxa"/>
            <w:vAlign w:val="top"/>
          </w:tcPr>
          <w:p w14:paraId="562A612D">
            <w:pPr>
              <w:pStyle w:val="6"/>
              <w:spacing w:before="66" w:line="268" w:lineRule="exact"/>
              <w:ind w:left="1357"/>
            </w:pPr>
            <w:r>
              <w:rPr>
                <w:spacing w:val="2"/>
                <w:position w:val="1"/>
              </w:rPr>
              <w:t>3100</w:t>
            </w:r>
          </w:p>
        </w:tc>
        <w:tc>
          <w:tcPr>
            <w:tcW w:w="3269" w:type="dxa"/>
            <w:vAlign w:val="top"/>
          </w:tcPr>
          <w:p w14:paraId="5275D430">
            <w:pPr>
              <w:pStyle w:val="6"/>
              <w:spacing w:before="66" w:line="268" w:lineRule="exact"/>
              <w:ind w:left="1446"/>
            </w:pPr>
            <w:r>
              <w:rPr>
                <w:spacing w:val="-2"/>
                <w:position w:val="1"/>
              </w:rPr>
              <w:t>1558</w:t>
            </w:r>
          </w:p>
        </w:tc>
      </w:tr>
      <w:tr w14:paraId="53D4D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4" w:type="dxa"/>
            <w:vAlign w:val="top"/>
          </w:tcPr>
          <w:p w14:paraId="3AE5AA9E">
            <w:pPr>
              <w:pStyle w:val="6"/>
              <w:spacing w:before="65" w:line="268" w:lineRule="exact"/>
              <w:ind w:left="402"/>
            </w:pPr>
            <w:r>
              <w:rPr>
                <w:position w:val="1"/>
              </w:rPr>
              <w:t>3</w:t>
            </w:r>
          </w:p>
        </w:tc>
        <w:tc>
          <w:tcPr>
            <w:tcW w:w="1274" w:type="dxa"/>
            <w:vAlign w:val="top"/>
          </w:tcPr>
          <w:p w14:paraId="0F80294A">
            <w:pPr>
              <w:pStyle w:val="6"/>
              <w:spacing w:before="64" w:line="228" w:lineRule="auto"/>
              <w:ind w:left="223"/>
            </w:pPr>
            <w:r>
              <w:rPr>
                <w:spacing w:val="6"/>
              </w:rPr>
              <w:t>丁基黄药</w:t>
            </w:r>
          </w:p>
        </w:tc>
        <w:tc>
          <w:tcPr>
            <w:tcW w:w="3117" w:type="dxa"/>
            <w:vAlign w:val="top"/>
          </w:tcPr>
          <w:p w14:paraId="32A1804E">
            <w:pPr>
              <w:pStyle w:val="6"/>
              <w:spacing w:before="65" w:line="267" w:lineRule="exact"/>
              <w:ind w:left="1353"/>
            </w:pPr>
            <w:r>
              <w:rPr>
                <w:spacing w:val="3"/>
                <w:position w:val="1"/>
              </w:rPr>
              <w:t>92.4</w:t>
            </w:r>
          </w:p>
        </w:tc>
        <w:tc>
          <w:tcPr>
            <w:tcW w:w="3269" w:type="dxa"/>
            <w:vAlign w:val="top"/>
          </w:tcPr>
          <w:p w14:paraId="1C038463">
            <w:pPr>
              <w:pStyle w:val="6"/>
              <w:spacing w:before="65" w:line="267" w:lineRule="exact"/>
              <w:ind w:left="1378"/>
            </w:pPr>
            <w:r>
              <w:rPr>
                <w:spacing w:val="3"/>
                <w:position w:val="1"/>
              </w:rPr>
              <w:t>82.32</w:t>
            </w:r>
          </w:p>
        </w:tc>
      </w:tr>
      <w:tr w14:paraId="7E6E4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94" w:type="dxa"/>
            <w:vAlign w:val="top"/>
          </w:tcPr>
          <w:p w14:paraId="54AD150F">
            <w:pPr>
              <w:pStyle w:val="6"/>
              <w:spacing w:before="66" w:line="268" w:lineRule="exact"/>
              <w:ind w:left="397"/>
            </w:pPr>
            <w:r>
              <w:rPr>
                <w:position w:val="1"/>
              </w:rPr>
              <w:t>4</w:t>
            </w:r>
          </w:p>
        </w:tc>
        <w:tc>
          <w:tcPr>
            <w:tcW w:w="1274" w:type="dxa"/>
            <w:vAlign w:val="top"/>
          </w:tcPr>
          <w:p w14:paraId="139F3B35">
            <w:pPr>
              <w:pStyle w:val="6"/>
              <w:spacing w:before="66" w:line="229" w:lineRule="auto"/>
              <w:ind w:left="324"/>
            </w:pPr>
            <w:r>
              <w:rPr>
                <w:spacing w:val="7"/>
              </w:rPr>
              <w:t>硫酸铜</w:t>
            </w:r>
          </w:p>
        </w:tc>
        <w:tc>
          <w:tcPr>
            <w:tcW w:w="3117" w:type="dxa"/>
            <w:vAlign w:val="top"/>
          </w:tcPr>
          <w:p w14:paraId="3EC35FE2">
            <w:pPr>
              <w:pStyle w:val="6"/>
              <w:spacing w:before="66" w:line="268" w:lineRule="exact"/>
              <w:ind w:left="1318"/>
            </w:pPr>
            <w:r>
              <w:rPr>
                <w:position w:val="1"/>
              </w:rPr>
              <w:t>138.6</w:t>
            </w:r>
          </w:p>
        </w:tc>
        <w:tc>
          <w:tcPr>
            <w:tcW w:w="3269" w:type="dxa"/>
            <w:vAlign w:val="top"/>
          </w:tcPr>
          <w:p w14:paraId="74771F69">
            <w:pPr>
              <w:pStyle w:val="6"/>
              <w:spacing w:before="66" w:line="268" w:lineRule="exact"/>
              <w:ind w:left="1496"/>
            </w:pPr>
            <w:r>
              <w:rPr>
                <w:spacing w:val="-3"/>
                <w:position w:val="1"/>
              </w:rPr>
              <w:t>147</w:t>
            </w:r>
          </w:p>
        </w:tc>
      </w:tr>
      <w:tr w14:paraId="113AD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2182B38E">
            <w:pPr>
              <w:pStyle w:val="6"/>
              <w:spacing w:before="68" w:line="267" w:lineRule="exact"/>
              <w:ind w:left="402"/>
            </w:pPr>
            <w:r>
              <w:rPr>
                <w:position w:val="1"/>
              </w:rPr>
              <w:t>5</w:t>
            </w:r>
          </w:p>
        </w:tc>
        <w:tc>
          <w:tcPr>
            <w:tcW w:w="1274" w:type="dxa"/>
            <w:vAlign w:val="top"/>
          </w:tcPr>
          <w:p w14:paraId="2272663B">
            <w:pPr>
              <w:pStyle w:val="6"/>
              <w:spacing w:before="68" w:line="232" w:lineRule="auto"/>
              <w:ind w:left="433"/>
            </w:pPr>
            <w:r>
              <w:rPr>
                <w:spacing w:val="2"/>
              </w:rPr>
              <w:t>2#油</w:t>
            </w:r>
          </w:p>
        </w:tc>
        <w:tc>
          <w:tcPr>
            <w:tcW w:w="3117" w:type="dxa"/>
            <w:vAlign w:val="top"/>
          </w:tcPr>
          <w:p w14:paraId="3672D78A">
            <w:pPr>
              <w:pStyle w:val="6"/>
              <w:spacing w:before="68" w:line="267" w:lineRule="exact"/>
              <w:ind w:left="1357"/>
            </w:pPr>
            <w:r>
              <w:rPr>
                <w:spacing w:val="2"/>
                <w:position w:val="1"/>
              </w:rPr>
              <w:t>36.3</w:t>
            </w:r>
          </w:p>
        </w:tc>
        <w:tc>
          <w:tcPr>
            <w:tcW w:w="3269" w:type="dxa"/>
            <w:vAlign w:val="top"/>
          </w:tcPr>
          <w:p w14:paraId="2F84CF01">
            <w:pPr>
              <w:pStyle w:val="6"/>
              <w:spacing w:before="68" w:line="267" w:lineRule="exact"/>
              <w:ind w:left="1480"/>
            </w:pPr>
            <w:r>
              <w:rPr>
                <w:spacing w:val="2"/>
                <w:position w:val="1"/>
              </w:rPr>
              <w:t>4.7</w:t>
            </w:r>
          </w:p>
        </w:tc>
      </w:tr>
      <w:tr w14:paraId="1E5E8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2CD34FA1">
            <w:pPr>
              <w:pStyle w:val="6"/>
              <w:spacing w:before="68" w:line="267" w:lineRule="exact"/>
              <w:ind w:left="400"/>
            </w:pPr>
            <w:r>
              <w:rPr>
                <w:position w:val="1"/>
              </w:rPr>
              <w:t>6</w:t>
            </w:r>
          </w:p>
        </w:tc>
        <w:tc>
          <w:tcPr>
            <w:tcW w:w="1274" w:type="dxa"/>
            <w:vAlign w:val="top"/>
          </w:tcPr>
          <w:p w14:paraId="4DCC42A7">
            <w:pPr>
              <w:pStyle w:val="6"/>
              <w:spacing w:before="68" w:line="228" w:lineRule="auto"/>
              <w:ind w:left="324"/>
            </w:pPr>
            <w:r>
              <w:rPr>
                <w:spacing w:val="7"/>
              </w:rPr>
              <w:t>硫酸锌</w:t>
            </w:r>
          </w:p>
        </w:tc>
        <w:tc>
          <w:tcPr>
            <w:tcW w:w="3117" w:type="dxa"/>
            <w:vAlign w:val="top"/>
          </w:tcPr>
          <w:p w14:paraId="20CF7430">
            <w:pPr>
              <w:pStyle w:val="6"/>
              <w:spacing w:before="68" w:line="267" w:lineRule="exact"/>
              <w:ind w:left="1212"/>
            </w:pPr>
            <w:r>
              <w:rPr>
                <w:spacing w:val="1"/>
                <w:position w:val="1"/>
              </w:rPr>
              <w:t>1450.00</w:t>
            </w:r>
          </w:p>
        </w:tc>
        <w:tc>
          <w:tcPr>
            <w:tcW w:w="3269" w:type="dxa"/>
            <w:vAlign w:val="top"/>
          </w:tcPr>
          <w:p w14:paraId="0A369BCA">
            <w:pPr>
              <w:pStyle w:val="6"/>
              <w:spacing w:before="68" w:line="267" w:lineRule="exact"/>
              <w:ind w:left="1381"/>
            </w:pPr>
            <w:r>
              <w:rPr>
                <w:spacing w:val="2"/>
                <w:position w:val="1"/>
              </w:rPr>
              <w:t>55.86</w:t>
            </w:r>
          </w:p>
        </w:tc>
      </w:tr>
      <w:tr w14:paraId="0A161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7C7FE54E">
            <w:pPr>
              <w:pStyle w:val="6"/>
              <w:spacing w:before="68" w:line="267" w:lineRule="exact"/>
              <w:ind w:left="403"/>
            </w:pPr>
            <w:r>
              <w:rPr>
                <w:position w:val="1"/>
              </w:rPr>
              <w:t>7</w:t>
            </w:r>
          </w:p>
        </w:tc>
        <w:tc>
          <w:tcPr>
            <w:tcW w:w="1274" w:type="dxa"/>
            <w:vAlign w:val="top"/>
          </w:tcPr>
          <w:p w14:paraId="31FA0E50">
            <w:pPr>
              <w:pStyle w:val="6"/>
              <w:spacing w:before="68" w:line="229" w:lineRule="auto"/>
              <w:ind w:left="221"/>
            </w:pPr>
            <w:r>
              <w:rPr>
                <w:spacing w:val="6"/>
              </w:rPr>
              <w:t>亚硫酸钠</w:t>
            </w:r>
          </w:p>
        </w:tc>
        <w:tc>
          <w:tcPr>
            <w:tcW w:w="3117" w:type="dxa"/>
            <w:vAlign w:val="top"/>
          </w:tcPr>
          <w:p w14:paraId="3B768E25">
            <w:pPr>
              <w:pStyle w:val="6"/>
              <w:spacing w:before="68" w:line="267" w:lineRule="exact"/>
              <w:ind w:left="1254"/>
            </w:pPr>
            <w:r>
              <w:rPr>
                <w:spacing w:val="2"/>
                <w:position w:val="1"/>
              </w:rPr>
              <w:t>525.00</w:t>
            </w:r>
          </w:p>
        </w:tc>
        <w:tc>
          <w:tcPr>
            <w:tcW w:w="3269" w:type="dxa"/>
            <w:vAlign w:val="top"/>
          </w:tcPr>
          <w:p w14:paraId="0011723C">
            <w:pPr>
              <w:pStyle w:val="6"/>
              <w:spacing w:before="68" w:line="267" w:lineRule="exact"/>
              <w:ind w:left="1380"/>
            </w:pPr>
            <w:r>
              <w:rPr>
                <w:spacing w:val="2"/>
                <w:position w:val="1"/>
              </w:rPr>
              <w:t>20.58</w:t>
            </w:r>
          </w:p>
        </w:tc>
      </w:tr>
      <w:tr w14:paraId="4175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4D89481F">
            <w:pPr>
              <w:pStyle w:val="6"/>
              <w:spacing w:before="69" w:line="266" w:lineRule="exact"/>
              <w:ind w:left="399"/>
            </w:pPr>
            <w:r>
              <w:rPr>
                <w:position w:val="1"/>
              </w:rPr>
              <w:t>8</w:t>
            </w:r>
          </w:p>
        </w:tc>
        <w:tc>
          <w:tcPr>
            <w:tcW w:w="1274" w:type="dxa"/>
            <w:vAlign w:val="top"/>
          </w:tcPr>
          <w:p w14:paraId="2DF7687E">
            <w:pPr>
              <w:pStyle w:val="6"/>
              <w:spacing w:before="69" w:line="228" w:lineRule="auto"/>
              <w:ind w:left="223"/>
            </w:pPr>
            <w:r>
              <w:rPr>
                <w:spacing w:val="6"/>
              </w:rPr>
              <w:t>丁胺黑药</w:t>
            </w:r>
          </w:p>
        </w:tc>
        <w:tc>
          <w:tcPr>
            <w:tcW w:w="3117" w:type="dxa"/>
            <w:vAlign w:val="top"/>
          </w:tcPr>
          <w:p w14:paraId="62446F69">
            <w:pPr>
              <w:pStyle w:val="6"/>
              <w:spacing w:before="69" w:line="266" w:lineRule="exact"/>
              <w:ind w:left="1512"/>
            </w:pPr>
            <w:r>
              <w:rPr>
                <w:position w:val="1"/>
              </w:rPr>
              <w:t>9</w:t>
            </w:r>
          </w:p>
        </w:tc>
        <w:tc>
          <w:tcPr>
            <w:tcW w:w="3269" w:type="dxa"/>
            <w:vAlign w:val="top"/>
          </w:tcPr>
          <w:p w14:paraId="03B9AC38">
            <w:pPr>
              <w:pStyle w:val="6"/>
              <w:spacing w:before="69" w:line="266" w:lineRule="exact"/>
              <w:ind w:left="1429"/>
            </w:pPr>
            <w:r>
              <w:rPr>
                <w:spacing w:val="2"/>
                <w:position w:val="1"/>
              </w:rPr>
              <w:t>4.41</w:t>
            </w:r>
          </w:p>
        </w:tc>
      </w:tr>
      <w:tr w14:paraId="0406D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94" w:type="dxa"/>
            <w:vAlign w:val="top"/>
          </w:tcPr>
          <w:p w14:paraId="6A9D4B18">
            <w:pPr>
              <w:pStyle w:val="6"/>
              <w:spacing w:before="67" w:line="267" w:lineRule="exact"/>
              <w:ind w:left="399"/>
            </w:pPr>
            <w:r>
              <w:rPr>
                <w:position w:val="1"/>
              </w:rPr>
              <w:t>9</w:t>
            </w:r>
          </w:p>
        </w:tc>
        <w:tc>
          <w:tcPr>
            <w:tcW w:w="1274" w:type="dxa"/>
            <w:vAlign w:val="top"/>
          </w:tcPr>
          <w:p w14:paraId="4AABF871">
            <w:pPr>
              <w:pStyle w:val="6"/>
              <w:spacing w:before="67" w:line="227" w:lineRule="auto"/>
              <w:ind w:left="346"/>
            </w:pPr>
            <w:r>
              <w:t>乙硫氮</w:t>
            </w:r>
          </w:p>
        </w:tc>
        <w:tc>
          <w:tcPr>
            <w:tcW w:w="3117" w:type="dxa"/>
            <w:vAlign w:val="top"/>
          </w:tcPr>
          <w:p w14:paraId="3B15CE97">
            <w:pPr>
              <w:pStyle w:val="6"/>
              <w:spacing w:before="67" w:line="267" w:lineRule="exact"/>
              <w:ind w:left="1474"/>
            </w:pPr>
            <w:r>
              <w:rPr>
                <w:spacing w:val="-7"/>
                <w:position w:val="1"/>
              </w:rPr>
              <w:t>15</w:t>
            </w:r>
          </w:p>
        </w:tc>
        <w:tc>
          <w:tcPr>
            <w:tcW w:w="3269" w:type="dxa"/>
            <w:vAlign w:val="top"/>
          </w:tcPr>
          <w:p w14:paraId="03D14BA2">
            <w:pPr>
              <w:pStyle w:val="6"/>
              <w:spacing w:before="67" w:line="267" w:lineRule="exact"/>
              <w:ind w:left="1431"/>
            </w:pPr>
            <w:r>
              <w:rPr>
                <w:spacing w:val="2"/>
                <w:position w:val="1"/>
              </w:rPr>
              <w:t>8.82</w:t>
            </w:r>
          </w:p>
        </w:tc>
      </w:tr>
      <w:tr w14:paraId="466C7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94" w:type="dxa"/>
            <w:vAlign w:val="top"/>
          </w:tcPr>
          <w:p w14:paraId="7CB29C64">
            <w:pPr>
              <w:pStyle w:val="6"/>
              <w:spacing w:before="67" w:line="269" w:lineRule="exact"/>
              <w:ind w:left="363"/>
            </w:pPr>
            <w:r>
              <w:rPr>
                <w:spacing w:val="-7"/>
                <w:position w:val="1"/>
              </w:rPr>
              <w:t>10</w:t>
            </w:r>
          </w:p>
        </w:tc>
        <w:tc>
          <w:tcPr>
            <w:tcW w:w="1274" w:type="dxa"/>
            <w:vAlign w:val="top"/>
          </w:tcPr>
          <w:p w14:paraId="6EE36B9E">
            <w:pPr>
              <w:pStyle w:val="6"/>
              <w:spacing w:before="67" w:line="269" w:lineRule="exact"/>
              <w:ind w:left="429"/>
            </w:pPr>
            <w:r>
              <w:rPr>
                <w:position w:val="1"/>
              </w:rPr>
              <w:t>CY</w:t>
            </w:r>
            <w:r>
              <w:rPr>
                <w:spacing w:val="7"/>
                <w:position w:val="1"/>
              </w:rPr>
              <w:t>-1</w:t>
            </w:r>
          </w:p>
        </w:tc>
        <w:tc>
          <w:tcPr>
            <w:tcW w:w="3117" w:type="dxa"/>
            <w:vAlign w:val="top"/>
          </w:tcPr>
          <w:p w14:paraId="3703909F">
            <w:pPr>
              <w:pStyle w:val="6"/>
              <w:spacing w:before="67" w:line="269" w:lineRule="exact"/>
              <w:ind w:left="1513"/>
            </w:pPr>
            <w:r>
              <w:rPr>
                <w:position w:val="1"/>
              </w:rPr>
              <w:t>0</w:t>
            </w:r>
          </w:p>
        </w:tc>
        <w:tc>
          <w:tcPr>
            <w:tcW w:w="3269" w:type="dxa"/>
            <w:vAlign w:val="top"/>
          </w:tcPr>
          <w:p w14:paraId="3B0A7915">
            <w:pPr>
              <w:pStyle w:val="6"/>
              <w:spacing w:before="67" w:line="268" w:lineRule="exact"/>
              <w:ind w:left="1446"/>
            </w:pPr>
            <w:r>
              <w:rPr>
                <w:spacing w:val="-2"/>
                <w:position w:val="1"/>
              </w:rPr>
              <w:t>14.7</w:t>
            </w:r>
          </w:p>
        </w:tc>
      </w:tr>
    </w:tbl>
    <w:p w14:paraId="6ADD013E">
      <w:pPr>
        <w:spacing w:before="38" w:line="216" w:lineRule="auto"/>
        <w:ind w:left="213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5.1-2        </w:t>
      </w:r>
      <w:r>
        <w:rPr>
          <w:rFonts w:ascii="宋体" w:hAnsi="宋体" w:eastAsia="宋体" w:cs="宋体"/>
          <w:spacing w:val="-1"/>
          <w:sz w:val="24"/>
          <w:szCs w:val="24"/>
        </w:rPr>
        <w:t>主要药剂理化及毒理性质表</w:t>
      </w:r>
    </w:p>
    <w:tbl>
      <w:tblPr>
        <w:tblStyle w:val="5"/>
        <w:tblW w:w="8509"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8"/>
        <w:gridCol w:w="1842"/>
        <w:gridCol w:w="3966"/>
        <w:gridCol w:w="1183"/>
      </w:tblGrid>
      <w:tr w14:paraId="5EF86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518" w:type="dxa"/>
            <w:vAlign w:val="top"/>
          </w:tcPr>
          <w:p w14:paraId="7D7AF749">
            <w:pPr>
              <w:pStyle w:val="6"/>
              <w:spacing w:before="67" w:line="230" w:lineRule="auto"/>
              <w:ind w:left="556"/>
            </w:pPr>
            <w:r>
              <w:rPr>
                <w:spacing w:val="3"/>
              </w:rPr>
              <w:t>名称</w:t>
            </w:r>
          </w:p>
        </w:tc>
        <w:tc>
          <w:tcPr>
            <w:tcW w:w="1842" w:type="dxa"/>
            <w:vAlign w:val="top"/>
          </w:tcPr>
          <w:p w14:paraId="4F39E1C5">
            <w:pPr>
              <w:pStyle w:val="6"/>
              <w:spacing w:before="67" w:line="229" w:lineRule="auto"/>
              <w:ind w:left="611"/>
            </w:pPr>
            <w:r>
              <w:rPr>
                <w:spacing w:val="6"/>
              </w:rPr>
              <w:t>化学式</w:t>
            </w:r>
          </w:p>
        </w:tc>
        <w:tc>
          <w:tcPr>
            <w:tcW w:w="3966" w:type="dxa"/>
            <w:vAlign w:val="top"/>
          </w:tcPr>
          <w:p w14:paraId="385E0535">
            <w:pPr>
              <w:pStyle w:val="6"/>
              <w:spacing w:before="68" w:line="228" w:lineRule="auto"/>
              <w:ind w:left="1572"/>
            </w:pPr>
            <w:r>
              <w:rPr>
                <w:spacing w:val="6"/>
              </w:rPr>
              <w:t>理化性质</w:t>
            </w:r>
          </w:p>
        </w:tc>
        <w:tc>
          <w:tcPr>
            <w:tcW w:w="1183" w:type="dxa"/>
            <w:vAlign w:val="top"/>
          </w:tcPr>
          <w:p w14:paraId="4B2BE56E">
            <w:pPr>
              <w:pStyle w:val="6"/>
              <w:spacing w:before="67" w:line="228" w:lineRule="auto"/>
              <w:ind w:left="178"/>
            </w:pPr>
            <w:r>
              <w:rPr>
                <w:spacing w:val="6"/>
              </w:rPr>
              <w:t>毒性毒理</w:t>
            </w:r>
          </w:p>
        </w:tc>
      </w:tr>
      <w:tr w14:paraId="16DD5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518" w:type="dxa"/>
            <w:vAlign w:val="top"/>
          </w:tcPr>
          <w:p w14:paraId="25406E7C">
            <w:pPr>
              <w:spacing w:line="306" w:lineRule="auto"/>
              <w:rPr>
                <w:rFonts w:ascii="Arial"/>
                <w:sz w:val="21"/>
              </w:rPr>
            </w:pPr>
          </w:p>
          <w:p w14:paraId="09AAFAA0">
            <w:pPr>
              <w:pStyle w:val="6"/>
              <w:spacing w:before="65" w:line="228" w:lineRule="auto"/>
              <w:ind w:left="452"/>
            </w:pPr>
            <w:r>
              <w:rPr>
                <w:spacing w:val="5"/>
              </w:rPr>
              <w:t>丁黄药</w:t>
            </w:r>
          </w:p>
        </w:tc>
        <w:tc>
          <w:tcPr>
            <w:tcW w:w="1842" w:type="dxa"/>
            <w:vAlign w:val="top"/>
          </w:tcPr>
          <w:p w14:paraId="046C1A8B">
            <w:pPr>
              <w:spacing w:line="306" w:lineRule="auto"/>
              <w:rPr>
                <w:rFonts w:ascii="Arial"/>
                <w:sz w:val="21"/>
              </w:rPr>
            </w:pPr>
          </w:p>
          <w:p w14:paraId="63160A28">
            <w:pPr>
              <w:pStyle w:val="6"/>
              <w:spacing w:before="65" w:line="242" w:lineRule="auto"/>
              <w:ind w:left="450"/>
            </w:pPr>
            <w:r>
              <w:rPr>
                <w:spacing w:val="9"/>
              </w:rPr>
              <w:t>C</w:t>
            </w:r>
            <w:r>
              <w:rPr>
                <w:spacing w:val="9"/>
                <w:position w:val="-2"/>
                <w:sz w:val="10"/>
                <w:szCs w:val="10"/>
              </w:rPr>
              <w:t>4</w:t>
            </w:r>
            <w:r>
              <w:rPr>
                <w:spacing w:val="9"/>
              </w:rPr>
              <w:t>H</w:t>
            </w:r>
            <w:r>
              <w:rPr>
                <w:spacing w:val="9"/>
                <w:position w:val="-2"/>
                <w:sz w:val="10"/>
                <w:szCs w:val="10"/>
              </w:rPr>
              <w:t>9</w:t>
            </w:r>
            <w:r>
              <w:t>OCSSNa</w:t>
            </w:r>
          </w:p>
        </w:tc>
        <w:tc>
          <w:tcPr>
            <w:tcW w:w="3966" w:type="dxa"/>
            <w:vAlign w:val="top"/>
          </w:tcPr>
          <w:p w14:paraId="0DFA212B">
            <w:pPr>
              <w:pStyle w:val="6"/>
              <w:spacing w:before="53" w:line="276" w:lineRule="auto"/>
              <w:ind w:left="112" w:right="105" w:firstLine="3"/>
              <w:jc w:val="both"/>
            </w:pPr>
            <w:r>
              <w:rPr>
                <w:spacing w:val="7"/>
              </w:rPr>
              <w:t>浅黄色有刺激性气味的粉末或颗粒，溶于</w:t>
            </w:r>
            <w:r>
              <w:rPr>
                <w:spacing w:val="12"/>
              </w:rPr>
              <w:t xml:space="preserve"> </w:t>
            </w:r>
            <w:r>
              <w:rPr>
                <w:spacing w:val="7"/>
              </w:rPr>
              <w:t>水及酒精，与多种金属离子形成难溶化合</w:t>
            </w:r>
            <w:r>
              <w:rPr>
                <w:spacing w:val="16"/>
              </w:rPr>
              <w:t xml:space="preserve"> </w:t>
            </w:r>
            <w:r>
              <w:t>物</w:t>
            </w:r>
          </w:p>
        </w:tc>
        <w:tc>
          <w:tcPr>
            <w:tcW w:w="1183" w:type="dxa"/>
            <w:vAlign w:val="top"/>
          </w:tcPr>
          <w:p w14:paraId="126FA49B">
            <w:pPr>
              <w:spacing w:line="306" w:lineRule="auto"/>
              <w:rPr>
                <w:rFonts w:ascii="Arial"/>
                <w:sz w:val="21"/>
              </w:rPr>
            </w:pPr>
          </w:p>
          <w:p w14:paraId="63DEC25F">
            <w:pPr>
              <w:pStyle w:val="6"/>
              <w:spacing w:before="65" w:line="233" w:lineRule="auto"/>
              <w:ind w:left="545"/>
            </w:pPr>
            <w:r>
              <w:t>/</w:t>
            </w:r>
          </w:p>
        </w:tc>
      </w:tr>
      <w:tr w14:paraId="78617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1518" w:type="dxa"/>
            <w:vAlign w:val="top"/>
          </w:tcPr>
          <w:p w14:paraId="3A412287">
            <w:pPr>
              <w:spacing w:line="260" w:lineRule="auto"/>
              <w:rPr>
                <w:rFonts w:ascii="Arial"/>
                <w:sz w:val="21"/>
              </w:rPr>
            </w:pPr>
          </w:p>
          <w:p w14:paraId="506DB674">
            <w:pPr>
              <w:spacing w:line="261" w:lineRule="auto"/>
              <w:rPr>
                <w:rFonts w:ascii="Arial"/>
                <w:sz w:val="21"/>
              </w:rPr>
            </w:pPr>
          </w:p>
          <w:p w14:paraId="4214C19B">
            <w:pPr>
              <w:spacing w:line="261" w:lineRule="auto"/>
              <w:rPr>
                <w:rFonts w:ascii="Arial"/>
                <w:sz w:val="21"/>
              </w:rPr>
            </w:pPr>
          </w:p>
          <w:p w14:paraId="3877A980">
            <w:pPr>
              <w:pStyle w:val="6"/>
              <w:spacing w:before="65" w:line="229" w:lineRule="auto"/>
              <w:ind w:left="447"/>
            </w:pPr>
            <w:r>
              <w:rPr>
                <w:spacing w:val="7"/>
              </w:rPr>
              <w:t>硫酸铜</w:t>
            </w:r>
          </w:p>
        </w:tc>
        <w:tc>
          <w:tcPr>
            <w:tcW w:w="1842" w:type="dxa"/>
            <w:vAlign w:val="top"/>
          </w:tcPr>
          <w:p w14:paraId="1C2E4DEE">
            <w:pPr>
              <w:spacing w:line="271" w:lineRule="auto"/>
              <w:rPr>
                <w:rFonts w:ascii="Arial"/>
                <w:sz w:val="21"/>
              </w:rPr>
            </w:pPr>
          </w:p>
          <w:p w14:paraId="4E430D97">
            <w:pPr>
              <w:spacing w:line="272" w:lineRule="auto"/>
              <w:rPr>
                <w:rFonts w:ascii="Arial"/>
                <w:sz w:val="21"/>
              </w:rPr>
            </w:pPr>
          </w:p>
          <w:p w14:paraId="252B21E9">
            <w:pPr>
              <w:spacing w:line="272" w:lineRule="auto"/>
              <w:rPr>
                <w:rFonts w:ascii="Arial"/>
                <w:sz w:val="21"/>
              </w:rPr>
            </w:pPr>
          </w:p>
          <w:p w14:paraId="1135EB2D">
            <w:pPr>
              <w:pStyle w:val="6"/>
              <w:spacing w:before="65" w:line="212" w:lineRule="auto"/>
              <w:ind w:left="688"/>
              <w:rPr>
                <w:sz w:val="10"/>
                <w:szCs w:val="10"/>
              </w:rPr>
            </w:pPr>
            <w:r>
              <w:rPr>
                <w:spacing w:val="3"/>
              </w:rPr>
              <w:t>CuSO</w:t>
            </w:r>
            <w:r>
              <w:rPr>
                <w:spacing w:val="3"/>
                <w:position w:val="-2"/>
                <w:sz w:val="10"/>
                <w:szCs w:val="10"/>
              </w:rPr>
              <w:t>4</w:t>
            </w:r>
          </w:p>
        </w:tc>
        <w:tc>
          <w:tcPr>
            <w:tcW w:w="3966" w:type="dxa"/>
            <w:vAlign w:val="top"/>
          </w:tcPr>
          <w:p w14:paraId="0299C059">
            <w:pPr>
              <w:pStyle w:val="6"/>
              <w:tabs>
                <w:tab w:val="left" w:pos="3925"/>
              </w:tabs>
              <w:spacing w:before="53" w:line="285" w:lineRule="auto"/>
              <w:ind w:left="111" w:right="34"/>
              <w:jc w:val="both"/>
            </w:pPr>
            <w:r>
              <w:rPr>
                <w:spacing w:val="8"/>
              </w:rPr>
              <w:t>硫酸铜在干燥空气中受热易风化，表面变</w:t>
            </w:r>
            <w:r>
              <w:t xml:space="preserve"> </w:t>
            </w:r>
            <w:r>
              <w:rPr>
                <w:spacing w:val="7"/>
              </w:rPr>
              <w:t>为白色粉状物，加热至</w:t>
            </w:r>
            <w:r>
              <w:rPr>
                <w:spacing w:val="-16"/>
              </w:rPr>
              <w:t xml:space="preserve"> </w:t>
            </w:r>
            <w:r>
              <w:rPr>
                <w:spacing w:val="7"/>
              </w:rPr>
              <w:t>110℃失去四个结</w:t>
            </w:r>
            <w:r>
              <w:t xml:space="preserve">  </w:t>
            </w:r>
            <w:r>
              <w:rPr>
                <w:spacing w:val="8"/>
              </w:rPr>
              <w:t>晶水，150℃以上失去全部结晶水而成白</w:t>
            </w:r>
            <w:r>
              <w:rPr>
                <w:spacing w:val="6"/>
              </w:rPr>
              <w:t xml:space="preserve">  </w:t>
            </w:r>
            <w:r>
              <w:t>色无水硫酸铜。受潮时易潮解，易溶于水。</w:t>
            </w:r>
            <w:r>
              <w:rPr>
                <w:spacing w:val="14"/>
              </w:rPr>
              <w:t xml:space="preserve"> </w:t>
            </w:r>
            <w:r>
              <w:rPr>
                <w:spacing w:val="9"/>
              </w:rPr>
              <w:t>不溶于醇，与碱作用可生成</w:t>
            </w:r>
            <w:r>
              <w:rPr>
                <w:spacing w:val="-38"/>
              </w:rPr>
              <w:t xml:space="preserve"> </w:t>
            </w:r>
            <w:r>
              <w:t>Cu</w:t>
            </w:r>
            <w:r>
              <w:rPr>
                <w:spacing w:val="9"/>
              </w:rPr>
              <w:t>（</w:t>
            </w:r>
            <w:r>
              <w:t>OH</w:t>
            </w:r>
            <w:r>
              <w:rPr>
                <w:spacing w:val="9"/>
              </w:rPr>
              <w:t>）</w:t>
            </w:r>
            <w:r>
              <w:rPr>
                <w:spacing w:val="9"/>
                <w:position w:val="-3"/>
                <w:sz w:val="10"/>
                <w:szCs w:val="10"/>
              </w:rPr>
              <w:t>2</w:t>
            </w:r>
            <w:r>
              <w:rPr>
                <w:spacing w:val="-13"/>
                <w:position w:val="-3"/>
                <w:sz w:val="10"/>
                <w:szCs w:val="10"/>
              </w:rPr>
              <w:t xml:space="preserve"> </w:t>
            </w:r>
            <w:r>
              <w:rPr>
                <w:spacing w:val="9"/>
              </w:rPr>
              <w:t>或</w:t>
            </w:r>
            <w:r>
              <w:tab/>
            </w:r>
            <w:r>
              <w:t xml:space="preserve"> </w:t>
            </w:r>
            <w:r>
              <w:rPr>
                <w:spacing w:val="8"/>
              </w:rPr>
              <w:t>碱式硫酸铜</w:t>
            </w:r>
          </w:p>
        </w:tc>
        <w:tc>
          <w:tcPr>
            <w:tcW w:w="1183" w:type="dxa"/>
            <w:vAlign w:val="top"/>
          </w:tcPr>
          <w:p w14:paraId="322CA461">
            <w:pPr>
              <w:spacing w:line="260" w:lineRule="auto"/>
              <w:rPr>
                <w:rFonts w:ascii="Arial"/>
                <w:sz w:val="21"/>
              </w:rPr>
            </w:pPr>
          </w:p>
          <w:p w14:paraId="20CEDCDE">
            <w:pPr>
              <w:spacing w:line="261" w:lineRule="auto"/>
              <w:rPr>
                <w:rFonts w:ascii="Arial"/>
                <w:sz w:val="21"/>
              </w:rPr>
            </w:pPr>
          </w:p>
          <w:p w14:paraId="6926BE30">
            <w:pPr>
              <w:spacing w:line="261" w:lineRule="auto"/>
              <w:rPr>
                <w:rFonts w:ascii="Arial"/>
                <w:sz w:val="21"/>
              </w:rPr>
            </w:pPr>
          </w:p>
          <w:p w14:paraId="0484C4AB">
            <w:pPr>
              <w:pStyle w:val="6"/>
              <w:spacing w:before="65" w:line="233" w:lineRule="auto"/>
              <w:ind w:left="545"/>
            </w:pPr>
            <w:r>
              <w:t>/</w:t>
            </w:r>
          </w:p>
        </w:tc>
      </w:tr>
      <w:tr w14:paraId="2208D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518" w:type="dxa"/>
            <w:vAlign w:val="top"/>
          </w:tcPr>
          <w:p w14:paraId="7CB5A35D">
            <w:pPr>
              <w:pStyle w:val="6"/>
              <w:spacing w:before="216" w:line="228" w:lineRule="auto"/>
              <w:ind w:left="555"/>
            </w:pPr>
            <w:r>
              <w:rPr>
                <w:spacing w:val="4"/>
              </w:rPr>
              <w:t>石灰</w:t>
            </w:r>
          </w:p>
        </w:tc>
        <w:tc>
          <w:tcPr>
            <w:tcW w:w="1842" w:type="dxa"/>
            <w:vAlign w:val="top"/>
          </w:tcPr>
          <w:p w14:paraId="3705C891">
            <w:pPr>
              <w:pStyle w:val="6"/>
              <w:spacing w:before="217" w:line="268" w:lineRule="exact"/>
              <w:ind w:left="765"/>
            </w:pPr>
            <w:r>
              <w:rPr>
                <w:spacing w:val="3"/>
                <w:position w:val="1"/>
              </w:rPr>
              <w:t>CaO</w:t>
            </w:r>
          </w:p>
        </w:tc>
        <w:tc>
          <w:tcPr>
            <w:tcW w:w="3966" w:type="dxa"/>
            <w:vAlign w:val="top"/>
          </w:tcPr>
          <w:p w14:paraId="74CFB9A6">
            <w:pPr>
              <w:pStyle w:val="6"/>
              <w:spacing w:before="55" w:line="266" w:lineRule="auto"/>
              <w:ind w:left="130" w:right="105" w:firstLine="12"/>
            </w:pPr>
            <w:r>
              <w:rPr>
                <w:spacing w:val="6"/>
              </w:rPr>
              <w:t>白色无定形粉末，遇水生成氢氧化钙并放</w:t>
            </w:r>
            <w:r>
              <w:rPr>
                <w:spacing w:val="3"/>
              </w:rPr>
              <w:t xml:space="preserve"> </w:t>
            </w:r>
            <w:r>
              <w:rPr>
                <w:spacing w:val="7"/>
              </w:rPr>
              <w:t>出热量；溶于酸，不溶于醇</w:t>
            </w:r>
          </w:p>
        </w:tc>
        <w:tc>
          <w:tcPr>
            <w:tcW w:w="1183" w:type="dxa"/>
            <w:vAlign w:val="top"/>
          </w:tcPr>
          <w:p w14:paraId="158AAE6B">
            <w:pPr>
              <w:pStyle w:val="6"/>
              <w:spacing w:before="216" w:line="233" w:lineRule="auto"/>
              <w:ind w:left="545"/>
            </w:pPr>
            <w:r>
              <w:t>/</w:t>
            </w:r>
          </w:p>
        </w:tc>
      </w:tr>
      <w:tr w14:paraId="4E145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518" w:type="dxa"/>
            <w:vAlign w:val="top"/>
          </w:tcPr>
          <w:p w14:paraId="4164D125">
            <w:pPr>
              <w:spacing w:line="309" w:lineRule="auto"/>
              <w:rPr>
                <w:rFonts w:ascii="Arial"/>
                <w:sz w:val="21"/>
              </w:rPr>
            </w:pPr>
          </w:p>
          <w:p w14:paraId="2BFC2C4C">
            <w:pPr>
              <w:pStyle w:val="6"/>
              <w:spacing w:before="65" w:line="232" w:lineRule="auto"/>
              <w:ind w:left="556"/>
            </w:pPr>
            <w:r>
              <w:rPr>
                <w:spacing w:val="3"/>
              </w:rPr>
              <w:t>2#油</w:t>
            </w:r>
          </w:p>
        </w:tc>
        <w:tc>
          <w:tcPr>
            <w:tcW w:w="1842" w:type="dxa"/>
            <w:vAlign w:val="top"/>
          </w:tcPr>
          <w:p w14:paraId="0317F392">
            <w:pPr>
              <w:spacing w:line="341" w:lineRule="auto"/>
              <w:rPr>
                <w:rFonts w:ascii="Arial"/>
                <w:sz w:val="21"/>
              </w:rPr>
            </w:pPr>
          </w:p>
          <w:p w14:paraId="281A4F5E">
            <w:pPr>
              <w:pStyle w:val="6"/>
              <w:spacing w:before="65" w:line="214" w:lineRule="auto"/>
              <w:ind w:left="661"/>
            </w:pPr>
            <w:r>
              <w:rPr>
                <w:spacing w:val="2"/>
                <w:position w:val="1"/>
              </w:rPr>
              <w:t>C</w:t>
            </w:r>
            <w:r>
              <w:rPr>
                <w:spacing w:val="2"/>
                <w:position w:val="-1"/>
                <w:sz w:val="10"/>
                <w:szCs w:val="10"/>
              </w:rPr>
              <w:t>10</w:t>
            </w:r>
            <w:r>
              <w:rPr>
                <w:spacing w:val="2"/>
                <w:position w:val="1"/>
              </w:rPr>
              <w:t>H</w:t>
            </w:r>
            <w:r>
              <w:rPr>
                <w:spacing w:val="2"/>
                <w:position w:val="-1"/>
                <w:sz w:val="10"/>
                <w:szCs w:val="10"/>
              </w:rPr>
              <w:t>18</w:t>
            </w:r>
            <w:r>
              <w:rPr>
                <w:spacing w:val="2"/>
                <w:position w:val="1"/>
              </w:rPr>
              <w:t>O</w:t>
            </w:r>
          </w:p>
        </w:tc>
        <w:tc>
          <w:tcPr>
            <w:tcW w:w="3966" w:type="dxa"/>
            <w:vAlign w:val="top"/>
          </w:tcPr>
          <w:p w14:paraId="2C1C21D7">
            <w:pPr>
              <w:pStyle w:val="6"/>
              <w:spacing w:before="56" w:line="228" w:lineRule="auto"/>
              <w:ind w:left="114"/>
            </w:pPr>
            <w:r>
              <w:rPr>
                <w:spacing w:val="7"/>
              </w:rPr>
              <w:t>又称松醇油，4-甲基-1-（1-甲基乙基）</w:t>
            </w:r>
          </w:p>
          <w:p w14:paraId="48637318">
            <w:pPr>
              <w:pStyle w:val="6"/>
              <w:spacing w:before="71" w:line="267" w:lineRule="auto"/>
              <w:ind w:left="132" w:right="52" w:hanging="21"/>
            </w:pPr>
            <w:r>
              <w:rPr>
                <w:spacing w:val="6"/>
              </w:rPr>
              <w:t>-3 环己烯-1-醇，无色粘稠液体或无色透</w:t>
            </w:r>
            <w:r>
              <w:rPr>
                <w:spacing w:val="17"/>
              </w:rPr>
              <w:t xml:space="preserve"> </w:t>
            </w:r>
            <w:r>
              <w:rPr>
                <w:spacing w:val="-2"/>
              </w:rPr>
              <w:t>明低熔点晶体，有毒，有一定的刺激作用；</w:t>
            </w:r>
          </w:p>
        </w:tc>
        <w:tc>
          <w:tcPr>
            <w:tcW w:w="1183" w:type="dxa"/>
            <w:vAlign w:val="top"/>
          </w:tcPr>
          <w:p w14:paraId="3958BD0E">
            <w:pPr>
              <w:spacing w:line="309" w:lineRule="auto"/>
              <w:rPr>
                <w:rFonts w:ascii="Arial"/>
                <w:sz w:val="21"/>
              </w:rPr>
            </w:pPr>
          </w:p>
          <w:p w14:paraId="250740E9">
            <w:pPr>
              <w:pStyle w:val="6"/>
              <w:spacing w:before="65" w:line="233" w:lineRule="auto"/>
              <w:ind w:left="545"/>
            </w:pPr>
            <w:r>
              <w:t>/</w:t>
            </w:r>
          </w:p>
        </w:tc>
      </w:tr>
    </w:tbl>
    <w:p w14:paraId="4BCB05F3">
      <w:pPr>
        <w:pStyle w:val="2"/>
      </w:pPr>
    </w:p>
    <w:p w14:paraId="5D75DC94">
      <w:pPr>
        <w:sectPr>
          <w:headerReference r:id="rId125" w:type="default"/>
          <w:footerReference r:id="rId126" w:type="default"/>
          <w:pgSz w:w="11906" w:h="16839"/>
          <w:pgMar w:top="1208" w:right="1673" w:bottom="1358" w:left="1673" w:header="825" w:footer="1195" w:gutter="0"/>
          <w:cols w:space="720" w:num="1"/>
        </w:sectPr>
      </w:pPr>
    </w:p>
    <w:p w14:paraId="24E03880">
      <w:pPr>
        <w:spacing w:line="231"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8"/>
        <w:gridCol w:w="1842"/>
        <w:gridCol w:w="3966"/>
        <w:gridCol w:w="1183"/>
      </w:tblGrid>
      <w:tr w14:paraId="5816C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518" w:type="dxa"/>
            <w:vAlign w:val="top"/>
          </w:tcPr>
          <w:p w14:paraId="6F772EF8">
            <w:pPr>
              <w:rPr>
                <w:rFonts w:ascii="Arial"/>
                <w:sz w:val="21"/>
              </w:rPr>
            </w:pPr>
          </w:p>
        </w:tc>
        <w:tc>
          <w:tcPr>
            <w:tcW w:w="1842" w:type="dxa"/>
            <w:vAlign w:val="top"/>
          </w:tcPr>
          <w:p w14:paraId="1BF79D4B">
            <w:pPr>
              <w:rPr>
                <w:rFonts w:ascii="Arial"/>
                <w:sz w:val="21"/>
              </w:rPr>
            </w:pPr>
          </w:p>
        </w:tc>
        <w:tc>
          <w:tcPr>
            <w:tcW w:w="3966" w:type="dxa"/>
            <w:vAlign w:val="top"/>
          </w:tcPr>
          <w:p w14:paraId="2D8B274B">
            <w:pPr>
              <w:pStyle w:val="6"/>
              <w:spacing w:before="58" w:line="228" w:lineRule="auto"/>
              <w:ind w:left="116"/>
            </w:pPr>
            <w:r>
              <w:rPr>
                <w:spacing w:val="7"/>
              </w:rPr>
              <w:t>具有甜的紫丁香气味；溶于乙醇，微溶于</w:t>
            </w:r>
          </w:p>
          <w:p w14:paraId="493D30E5">
            <w:pPr>
              <w:pStyle w:val="6"/>
              <w:spacing w:before="72" w:line="228" w:lineRule="auto"/>
              <w:ind w:left="115"/>
            </w:pPr>
            <w:r>
              <w:rPr>
                <w:spacing w:val="6"/>
              </w:rPr>
              <w:t>水和甘油</w:t>
            </w:r>
          </w:p>
        </w:tc>
        <w:tc>
          <w:tcPr>
            <w:tcW w:w="1183" w:type="dxa"/>
            <w:vAlign w:val="top"/>
          </w:tcPr>
          <w:p w14:paraId="39D79932">
            <w:pPr>
              <w:rPr>
                <w:rFonts w:ascii="Arial"/>
                <w:sz w:val="21"/>
              </w:rPr>
            </w:pPr>
          </w:p>
        </w:tc>
      </w:tr>
      <w:tr w14:paraId="22165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518" w:type="dxa"/>
            <w:vAlign w:val="top"/>
          </w:tcPr>
          <w:p w14:paraId="52A6A34E">
            <w:pPr>
              <w:spacing w:line="307" w:lineRule="auto"/>
              <w:rPr>
                <w:rFonts w:ascii="Arial"/>
                <w:sz w:val="21"/>
              </w:rPr>
            </w:pPr>
          </w:p>
          <w:p w14:paraId="33CA13B9">
            <w:pPr>
              <w:pStyle w:val="6"/>
              <w:spacing w:before="65" w:line="228" w:lineRule="auto"/>
              <w:ind w:left="447"/>
            </w:pPr>
            <w:r>
              <w:rPr>
                <w:spacing w:val="7"/>
              </w:rPr>
              <w:t>硫酸锌</w:t>
            </w:r>
          </w:p>
        </w:tc>
        <w:tc>
          <w:tcPr>
            <w:tcW w:w="1842" w:type="dxa"/>
            <w:vAlign w:val="top"/>
          </w:tcPr>
          <w:p w14:paraId="4E1F840A">
            <w:pPr>
              <w:spacing w:line="340" w:lineRule="auto"/>
              <w:rPr>
                <w:rFonts w:ascii="Arial"/>
                <w:sz w:val="21"/>
              </w:rPr>
            </w:pPr>
          </w:p>
          <w:p w14:paraId="6051F264">
            <w:pPr>
              <w:pStyle w:val="6"/>
              <w:spacing w:before="65" w:line="214" w:lineRule="auto"/>
              <w:ind w:left="689"/>
              <w:rPr>
                <w:sz w:val="10"/>
                <w:szCs w:val="10"/>
              </w:rPr>
            </w:pPr>
            <w:r>
              <w:rPr>
                <w:spacing w:val="3"/>
              </w:rPr>
              <w:t>ZnSO</w:t>
            </w:r>
            <w:r>
              <w:rPr>
                <w:spacing w:val="3"/>
                <w:position w:val="-2"/>
                <w:sz w:val="10"/>
                <w:szCs w:val="10"/>
              </w:rPr>
              <w:t>4</w:t>
            </w:r>
          </w:p>
        </w:tc>
        <w:tc>
          <w:tcPr>
            <w:tcW w:w="3966" w:type="dxa"/>
            <w:vAlign w:val="top"/>
          </w:tcPr>
          <w:p w14:paraId="3A874235">
            <w:pPr>
              <w:pStyle w:val="6"/>
              <w:spacing w:before="53" w:line="276" w:lineRule="auto"/>
              <w:ind w:left="113" w:right="105"/>
              <w:jc w:val="both"/>
            </w:pPr>
            <w:r>
              <w:rPr>
                <w:spacing w:val="7"/>
              </w:rPr>
              <w:t>又称皓矾、锌矾，常温下为无色或白色斜</w:t>
            </w:r>
            <w:r>
              <w:rPr>
                <w:spacing w:val="14"/>
              </w:rPr>
              <w:t xml:space="preserve"> </w:t>
            </w:r>
            <w:r>
              <w:rPr>
                <w:spacing w:val="7"/>
              </w:rPr>
              <w:t>方晶体或粉末，有收敛性，易溶于水，水</w:t>
            </w:r>
            <w:r>
              <w:rPr>
                <w:spacing w:val="15"/>
              </w:rPr>
              <w:t xml:space="preserve"> </w:t>
            </w:r>
            <w:r>
              <w:rPr>
                <w:spacing w:val="9"/>
              </w:rPr>
              <w:t>溶液呈酸性，微溶于乙醇和甘油</w:t>
            </w:r>
          </w:p>
        </w:tc>
        <w:tc>
          <w:tcPr>
            <w:tcW w:w="1183" w:type="dxa"/>
            <w:vAlign w:val="top"/>
          </w:tcPr>
          <w:p w14:paraId="4EA2D463">
            <w:pPr>
              <w:spacing w:line="306" w:lineRule="auto"/>
              <w:rPr>
                <w:rFonts w:ascii="Arial"/>
                <w:sz w:val="21"/>
              </w:rPr>
            </w:pPr>
          </w:p>
          <w:p w14:paraId="3CDCA827">
            <w:pPr>
              <w:pStyle w:val="6"/>
              <w:spacing w:before="65" w:line="233" w:lineRule="auto"/>
              <w:ind w:left="545"/>
            </w:pPr>
            <w:r>
              <w:t>/</w:t>
            </w:r>
          </w:p>
        </w:tc>
      </w:tr>
      <w:tr w14:paraId="484C5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518" w:type="dxa"/>
            <w:vAlign w:val="top"/>
          </w:tcPr>
          <w:p w14:paraId="655C6FE1">
            <w:pPr>
              <w:spacing w:line="465" w:lineRule="auto"/>
              <w:rPr>
                <w:rFonts w:ascii="Arial"/>
                <w:sz w:val="21"/>
              </w:rPr>
            </w:pPr>
          </w:p>
          <w:p w14:paraId="1DE224F8">
            <w:pPr>
              <w:pStyle w:val="6"/>
              <w:spacing w:before="65" w:line="229" w:lineRule="auto"/>
              <w:ind w:left="347"/>
            </w:pPr>
            <w:r>
              <w:rPr>
                <w:spacing w:val="6"/>
              </w:rPr>
              <w:t>亚硫酸钠</w:t>
            </w:r>
          </w:p>
        </w:tc>
        <w:tc>
          <w:tcPr>
            <w:tcW w:w="1842" w:type="dxa"/>
            <w:vAlign w:val="top"/>
          </w:tcPr>
          <w:p w14:paraId="1A3D2D5F">
            <w:pPr>
              <w:spacing w:line="465" w:lineRule="auto"/>
              <w:rPr>
                <w:rFonts w:ascii="Arial"/>
                <w:sz w:val="21"/>
              </w:rPr>
            </w:pPr>
          </w:p>
          <w:p w14:paraId="1F9D3FE3">
            <w:pPr>
              <w:pStyle w:val="6"/>
              <w:spacing w:before="65" w:line="265" w:lineRule="exact"/>
              <w:ind w:left="657"/>
              <w:rPr>
                <w:sz w:val="10"/>
                <w:szCs w:val="10"/>
              </w:rPr>
            </w:pPr>
            <w:r>
              <w:rPr>
                <w:position w:val="2"/>
              </w:rPr>
              <w:t>Na</w:t>
            </w:r>
            <w:r>
              <w:rPr>
                <w:spacing w:val="10"/>
                <w:sz w:val="10"/>
                <w:szCs w:val="10"/>
              </w:rPr>
              <w:t>2</w:t>
            </w:r>
            <w:r>
              <w:rPr>
                <w:position w:val="2"/>
              </w:rPr>
              <w:t>SO</w:t>
            </w:r>
            <w:r>
              <w:rPr>
                <w:spacing w:val="10"/>
                <w:sz w:val="10"/>
                <w:szCs w:val="10"/>
              </w:rPr>
              <w:t>3</w:t>
            </w:r>
          </w:p>
        </w:tc>
        <w:tc>
          <w:tcPr>
            <w:tcW w:w="3966" w:type="dxa"/>
            <w:vAlign w:val="top"/>
          </w:tcPr>
          <w:p w14:paraId="7DE643F6">
            <w:pPr>
              <w:pStyle w:val="6"/>
              <w:spacing w:before="56" w:line="280" w:lineRule="auto"/>
              <w:ind w:left="116" w:right="50" w:firstLine="26"/>
              <w:jc w:val="both"/>
            </w:pPr>
            <w:r>
              <w:rPr>
                <w:spacing w:val="6"/>
              </w:rPr>
              <w:t>白色、单斜晶体或粉末。熔点(℃)：150</w:t>
            </w:r>
            <w:r>
              <w:rPr>
                <w:spacing w:val="8"/>
              </w:rPr>
              <w:t xml:space="preserve">  （失水分解）</w:t>
            </w:r>
            <w:r>
              <w:fldChar w:fldCharType="begin"/>
            </w:r>
            <w:r>
              <w:instrText xml:space="preserve"> HYPERLINK "https://baike.baidu.com/item/%E7%9B%B8%E5%AF%B9%E5%AF%86%E5%BA%A6" </w:instrText>
            </w:r>
            <w:r>
              <w:fldChar w:fldCharType="separate"/>
            </w:r>
            <w:r>
              <w:rPr>
                <w:spacing w:val="8"/>
              </w:rPr>
              <w:t>相对密度</w:t>
            </w:r>
            <w:r>
              <w:rPr>
                <w:spacing w:val="8"/>
              </w:rPr>
              <w:fldChar w:fldCharType="end"/>
            </w:r>
            <w:r>
              <w:rPr>
                <w:spacing w:val="8"/>
              </w:rPr>
              <w:t>（水=1</w:t>
            </w:r>
            <w:r>
              <w:rPr>
                <w:spacing w:val="15"/>
              </w:rPr>
              <w:t>）：</w:t>
            </w:r>
            <w:r>
              <w:rPr>
                <w:spacing w:val="8"/>
              </w:rPr>
              <w:t>2.63，</w:t>
            </w:r>
            <w:r>
              <w:rPr>
                <w:spacing w:val="1"/>
              </w:rPr>
              <w:t xml:space="preserve"> </w:t>
            </w:r>
            <w:r>
              <w:rPr>
                <w:spacing w:val="-3"/>
              </w:rPr>
              <w:t>易溶于水（67.8</w:t>
            </w:r>
            <w:r>
              <w:rPr>
                <w:spacing w:val="-32"/>
              </w:rPr>
              <w:t xml:space="preserve"> </w:t>
            </w:r>
            <w:r>
              <w:rPr>
                <w:spacing w:val="-3"/>
              </w:rPr>
              <w:t>g/100</w:t>
            </w:r>
            <w:r>
              <w:rPr>
                <w:spacing w:val="-46"/>
              </w:rPr>
              <w:t xml:space="preserve"> </w:t>
            </w:r>
            <w:r>
              <w:rPr>
                <w:spacing w:val="-3"/>
              </w:rPr>
              <w:t>ml（七水，18</w:t>
            </w:r>
            <w:r>
              <w:rPr>
                <w:spacing w:val="-19"/>
              </w:rPr>
              <w:t xml:space="preserve"> </w:t>
            </w:r>
            <w:r>
              <w:rPr>
                <w:spacing w:val="-3"/>
              </w:rPr>
              <w:t>°C</w:t>
            </w:r>
            <w:r>
              <w:rPr>
                <w:spacing w:val="-47"/>
                <w:w w:val="89"/>
              </w:rPr>
              <w:t>），</w:t>
            </w:r>
            <w:r>
              <w:t xml:space="preserve"> </w:t>
            </w:r>
            <w:r>
              <w:rPr>
                <w:spacing w:val="7"/>
              </w:rPr>
              <w:t>不溶于乙醇等</w:t>
            </w:r>
          </w:p>
        </w:tc>
        <w:tc>
          <w:tcPr>
            <w:tcW w:w="1183" w:type="dxa"/>
            <w:vAlign w:val="top"/>
          </w:tcPr>
          <w:p w14:paraId="508C0DD7">
            <w:pPr>
              <w:spacing w:line="465" w:lineRule="auto"/>
              <w:rPr>
                <w:rFonts w:ascii="Arial"/>
                <w:sz w:val="21"/>
              </w:rPr>
            </w:pPr>
          </w:p>
          <w:p w14:paraId="027F53DC">
            <w:pPr>
              <w:pStyle w:val="6"/>
              <w:spacing w:before="65" w:line="233" w:lineRule="auto"/>
              <w:ind w:left="545"/>
            </w:pPr>
            <w:r>
              <w:t>/</w:t>
            </w:r>
          </w:p>
        </w:tc>
      </w:tr>
      <w:tr w14:paraId="1D758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518" w:type="dxa"/>
            <w:vAlign w:val="top"/>
          </w:tcPr>
          <w:p w14:paraId="0DE1FD6A">
            <w:pPr>
              <w:spacing w:line="310" w:lineRule="auto"/>
              <w:rPr>
                <w:rFonts w:ascii="Arial"/>
                <w:sz w:val="21"/>
              </w:rPr>
            </w:pPr>
          </w:p>
          <w:p w14:paraId="07FFA0A4">
            <w:pPr>
              <w:pStyle w:val="6"/>
              <w:spacing w:before="65" w:line="228" w:lineRule="auto"/>
              <w:ind w:left="348"/>
            </w:pPr>
            <w:r>
              <w:rPr>
                <w:spacing w:val="6"/>
              </w:rPr>
              <w:t>丁胺黑药</w:t>
            </w:r>
          </w:p>
        </w:tc>
        <w:tc>
          <w:tcPr>
            <w:tcW w:w="1842" w:type="dxa"/>
            <w:vAlign w:val="top"/>
          </w:tcPr>
          <w:p w14:paraId="26C74345">
            <w:pPr>
              <w:spacing w:line="309" w:lineRule="auto"/>
              <w:rPr>
                <w:rFonts w:ascii="Arial"/>
                <w:sz w:val="21"/>
              </w:rPr>
            </w:pPr>
          </w:p>
          <w:p w14:paraId="0B07CD14">
            <w:pPr>
              <w:pStyle w:val="6"/>
              <w:spacing w:before="65" w:line="242" w:lineRule="auto"/>
              <w:ind w:left="330"/>
              <w:rPr>
                <w:sz w:val="10"/>
                <w:szCs w:val="10"/>
              </w:rPr>
            </w:pPr>
            <w:r>
              <w:rPr>
                <w:spacing w:val="-14"/>
                <w:w w:val="96"/>
              </w:rPr>
              <w:t>(C</w:t>
            </w:r>
            <w:r>
              <w:rPr>
                <w:spacing w:val="7"/>
                <w:position w:val="-2"/>
                <w:sz w:val="10"/>
                <w:szCs w:val="10"/>
              </w:rPr>
              <w:t>4</w:t>
            </w:r>
            <w:r>
              <w:rPr>
                <w:spacing w:val="7"/>
              </w:rPr>
              <w:t>H</w:t>
            </w:r>
            <w:r>
              <w:rPr>
                <w:spacing w:val="7"/>
                <w:position w:val="-2"/>
                <w:sz w:val="10"/>
                <w:szCs w:val="10"/>
              </w:rPr>
              <w:t>9</w:t>
            </w:r>
            <w:r>
              <w:rPr>
                <w:spacing w:val="7"/>
              </w:rPr>
              <w:t>O)</w:t>
            </w:r>
            <w:r>
              <w:rPr>
                <w:spacing w:val="7"/>
                <w:position w:val="-2"/>
                <w:sz w:val="10"/>
                <w:szCs w:val="10"/>
              </w:rPr>
              <w:t>2</w:t>
            </w:r>
            <w:r>
              <w:t>PSSNH</w:t>
            </w:r>
            <w:r>
              <w:rPr>
                <w:spacing w:val="7"/>
                <w:position w:val="-2"/>
                <w:sz w:val="10"/>
                <w:szCs w:val="10"/>
              </w:rPr>
              <w:t>4</w:t>
            </w:r>
          </w:p>
        </w:tc>
        <w:tc>
          <w:tcPr>
            <w:tcW w:w="3966" w:type="dxa"/>
            <w:vAlign w:val="top"/>
          </w:tcPr>
          <w:p w14:paraId="4E090206">
            <w:pPr>
              <w:pStyle w:val="6"/>
              <w:spacing w:before="57" w:line="275" w:lineRule="auto"/>
              <w:ind w:left="111" w:right="105" w:firstLine="31"/>
              <w:jc w:val="both"/>
            </w:pPr>
            <w:r>
              <w:rPr>
                <w:spacing w:val="6"/>
              </w:rPr>
              <w:t>白色粉状固体，无臭，在空气中潮解，无</w:t>
            </w:r>
            <w:r>
              <w:rPr>
                <w:spacing w:val="3"/>
              </w:rPr>
              <w:t xml:space="preserve"> </w:t>
            </w:r>
            <w:r>
              <w:rPr>
                <w:spacing w:val="8"/>
              </w:rPr>
              <w:t>刺激性气味，溶于水。是有色金属矿石的</w:t>
            </w:r>
            <w:r>
              <w:t xml:space="preserve"> </w:t>
            </w:r>
            <w:r>
              <w:rPr>
                <w:spacing w:val="8"/>
              </w:rPr>
              <w:t>优良捕收剂兼起泡剂。</w:t>
            </w:r>
          </w:p>
        </w:tc>
        <w:tc>
          <w:tcPr>
            <w:tcW w:w="1183" w:type="dxa"/>
            <w:vAlign w:val="top"/>
          </w:tcPr>
          <w:p w14:paraId="611D9582">
            <w:pPr>
              <w:spacing w:line="309" w:lineRule="auto"/>
              <w:rPr>
                <w:rFonts w:ascii="Arial"/>
                <w:sz w:val="21"/>
              </w:rPr>
            </w:pPr>
          </w:p>
          <w:p w14:paraId="24609864">
            <w:pPr>
              <w:pStyle w:val="6"/>
              <w:spacing w:before="65" w:line="233" w:lineRule="auto"/>
              <w:ind w:left="545"/>
            </w:pPr>
            <w:r>
              <w:t>/</w:t>
            </w:r>
          </w:p>
        </w:tc>
      </w:tr>
      <w:tr w14:paraId="6634B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518" w:type="dxa"/>
            <w:vAlign w:val="top"/>
          </w:tcPr>
          <w:p w14:paraId="67B3AE4E">
            <w:pPr>
              <w:spacing w:line="468" w:lineRule="auto"/>
              <w:rPr>
                <w:rFonts w:ascii="Arial"/>
                <w:sz w:val="21"/>
              </w:rPr>
            </w:pPr>
          </w:p>
          <w:p w14:paraId="241BF410">
            <w:pPr>
              <w:pStyle w:val="6"/>
              <w:spacing w:before="65" w:line="227" w:lineRule="auto"/>
              <w:ind w:left="469"/>
            </w:pPr>
            <w:r>
              <w:t>乙硫氮</w:t>
            </w:r>
          </w:p>
        </w:tc>
        <w:tc>
          <w:tcPr>
            <w:tcW w:w="1842" w:type="dxa"/>
            <w:vAlign w:val="top"/>
          </w:tcPr>
          <w:p w14:paraId="61D428CD">
            <w:pPr>
              <w:spacing w:line="311" w:lineRule="auto"/>
              <w:rPr>
                <w:rFonts w:ascii="Arial"/>
                <w:sz w:val="21"/>
              </w:rPr>
            </w:pPr>
          </w:p>
          <w:p w14:paraId="274A4804">
            <w:pPr>
              <w:pStyle w:val="6"/>
              <w:spacing w:before="65" w:line="309" w:lineRule="auto"/>
              <w:ind w:left="788" w:right="160" w:hanging="587"/>
            </w:pPr>
            <w:r>
              <w:rPr>
                <w:spacing w:val="-14"/>
                <w:w w:val="96"/>
              </w:rPr>
              <w:t>(C</w:t>
            </w:r>
            <w:r>
              <w:rPr>
                <w:spacing w:val="-2"/>
                <w:position w:val="-2"/>
                <w:sz w:val="10"/>
                <w:szCs w:val="10"/>
              </w:rPr>
              <w:t>2</w:t>
            </w:r>
            <w:r>
              <w:rPr>
                <w:spacing w:val="-2"/>
              </w:rPr>
              <w:t>H</w:t>
            </w:r>
            <w:r>
              <w:rPr>
                <w:spacing w:val="-2"/>
                <w:position w:val="-2"/>
                <w:sz w:val="10"/>
                <w:szCs w:val="10"/>
              </w:rPr>
              <w:t>5</w:t>
            </w:r>
            <w:r>
              <w:rPr>
                <w:spacing w:val="-2"/>
              </w:rPr>
              <w:t>)</w:t>
            </w:r>
            <w:r>
              <w:rPr>
                <w:spacing w:val="-2"/>
                <w:position w:val="-2"/>
                <w:sz w:val="10"/>
                <w:szCs w:val="10"/>
              </w:rPr>
              <w:t>2</w:t>
            </w:r>
            <w:r>
              <w:rPr>
                <w:spacing w:val="-2"/>
              </w:rPr>
              <w:t>NCSSNa</w:t>
            </w:r>
            <w:r>
              <w:rPr>
                <w:spacing w:val="-14"/>
              </w:rPr>
              <w:t xml:space="preserve"> </w:t>
            </w:r>
            <w:r>
              <w:rPr>
                <w:spacing w:val="-2"/>
              </w:rPr>
              <w:t>·3</w:t>
            </w:r>
            <w:r>
              <w:t xml:space="preserve"> </w:t>
            </w:r>
            <w:r>
              <w:rPr>
                <w:spacing w:val="3"/>
              </w:rPr>
              <w:t>H</w:t>
            </w:r>
            <w:r>
              <w:rPr>
                <w:spacing w:val="3"/>
                <w:position w:val="-2"/>
                <w:sz w:val="10"/>
                <w:szCs w:val="10"/>
              </w:rPr>
              <w:t>2</w:t>
            </w:r>
            <w:r>
              <w:rPr>
                <w:spacing w:val="3"/>
              </w:rPr>
              <w:t>O</w:t>
            </w:r>
          </w:p>
        </w:tc>
        <w:tc>
          <w:tcPr>
            <w:tcW w:w="3966" w:type="dxa"/>
            <w:vAlign w:val="top"/>
          </w:tcPr>
          <w:p w14:paraId="50CCBC81">
            <w:pPr>
              <w:pStyle w:val="6"/>
              <w:spacing w:before="56" w:line="280" w:lineRule="auto"/>
              <w:ind w:left="113" w:right="105" w:firstLine="29"/>
              <w:jc w:val="both"/>
            </w:pPr>
            <w:r>
              <w:rPr>
                <w:spacing w:val="5"/>
              </w:rPr>
              <w:t>白色粉末，无明显臭味，m.p.87</w:t>
            </w:r>
            <w:r>
              <w:rPr>
                <w:spacing w:val="-73"/>
              </w:rPr>
              <w:t xml:space="preserve"> </w:t>
            </w:r>
            <w:r>
              <w:rPr>
                <w:spacing w:val="5"/>
              </w:rPr>
              <w:t>°C，极</w:t>
            </w:r>
            <w:r>
              <w:t xml:space="preserve"> </w:t>
            </w:r>
            <w:r>
              <w:rPr>
                <w:spacing w:val="7"/>
              </w:rPr>
              <w:t>易溶于水，水溶液呈碱性，在空气中与水</w:t>
            </w:r>
            <w:r>
              <w:rPr>
                <w:spacing w:val="15"/>
              </w:rPr>
              <w:t xml:space="preserve"> </w:t>
            </w:r>
            <w:r>
              <w:rPr>
                <w:spacing w:val="7"/>
              </w:rPr>
              <w:t>和二氧化碳作用逐步分解，遇酸时分解为</w:t>
            </w:r>
            <w:r>
              <w:rPr>
                <w:spacing w:val="15"/>
              </w:rPr>
              <w:t xml:space="preserve"> </w:t>
            </w:r>
            <w:r>
              <w:rPr>
                <w:spacing w:val="8"/>
              </w:rPr>
              <w:t>二硫化碳和二乙胺等物</w:t>
            </w:r>
          </w:p>
        </w:tc>
        <w:tc>
          <w:tcPr>
            <w:tcW w:w="1183" w:type="dxa"/>
            <w:vAlign w:val="top"/>
          </w:tcPr>
          <w:p w14:paraId="0911D4E5">
            <w:pPr>
              <w:spacing w:line="468" w:lineRule="auto"/>
              <w:rPr>
                <w:rFonts w:ascii="Arial"/>
                <w:sz w:val="21"/>
              </w:rPr>
            </w:pPr>
          </w:p>
          <w:p w14:paraId="742C2DCE">
            <w:pPr>
              <w:pStyle w:val="6"/>
              <w:spacing w:before="65" w:line="233" w:lineRule="auto"/>
              <w:ind w:left="545"/>
            </w:pPr>
            <w:r>
              <w:t>/</w:t>
            </w:r>
          </w:p>
        </w:tc>
      </w:tr>
      <w:tr w14:paraId="7D7F4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518" w:type="dxa"/>
            <w:vAlign w:val="top"/>
          </w:tcPr>
          <w:p w14:paraId="2984E5EE">
            <w:pPr>
              <w:pStyle w:val="6"/>
              <w:spacing w:before="218" w:line="268" w:lineRule="exact"/>
              <w:ind w:left="499"/>
            </w:pPr>
            <w:r>
              <w:rPr>
                <w:position w:val="1"/>
              </w:rPr>
              <w:t>CY</w:t>
            </w:r>
            <w:r>
              <w:rPr>
                <w:spacing w:val="9"/>
                <w:position w:val="1"/>
              </w:rPr>
              <w:t>－1</w:t>
            </w:r>
          </w:p>
        </w:tc>
        <w:tc>
          <w:tcPr>
            <w:tcW w:w="1842" w:type="dxa"/>
            <w:vAlign w:val="top"/>
          </w:tcPr>
          <w:p w14:paraId="485773BF">
            <w:pPr>
              <w:pStyle w:val="6"/>
              <w:spacing w:before="218" w:line="233" w:lineRule="auto"/>
              <w:ind w:left="871"/>
            </w:pPr>
            <w:r>
              <w:t>/</w:t>
            </w:r>
          </w:p>
        </w:tc>
        <w:tc>
          <w:tcPr>
            <w:tcW w:w="3966" w:type="dxa"/>
            <w:vAlign w:val="top"/>
          </w:tcPr>
          <w:p w14:paraId="7CA768F6">
            <w:pPr>
              <w:pStyle w:val="6"/>
              <w:spacing w:before="60" w:line="266" w:lineRule="auto"/>
              <w:ind w:left="113" w:right="105" w:hanging="2"/>
            </w:pPr>
            <w:r>
              <w:rPr>
                <w:spacing w:val="8"/>
              </w:rPr>
              <w:t>棕黄色透明液体，弱刺激性气味，与多种</w:t>
            </w:r>
            <w:r>
              <w:t xml:space="preserve"> </w:t>
            </w:r>
            <w:r>
              <w:rPr>
                <w:spacing w:val="9"/>
              </w:rPr>
              <w:t>金属离子形成难溶化合物</w:t>
            </w:r>
          </w:p>
        </w:tc>
        <w:tc>
          <w:tcPr>
            <w:tcW w:w="1183" w:type="dxa"/>
            <w:vAlign w:val="top"/>
          </w:tcPr>
          <w:p w14:paraId="38C033B2">
            <w:pPr>
              <w:pStyle w:val="6"/>
              <w:spacing w:before="218" w:line="233" w:lineRule="auto"/>
              <w:ind w:left="545"/>
            </w:pPr>
            <w:r>
              <w:t>/</w:t>
            </w:r>
          </w:p>
        </w:tc>
      </w:tr>
    </w:tbl>
    <w:p w14:paraId="480A9B6B">
      <w:pPr>
        <w:pStyle w:val="2"/>
        <w:spacing w:line="359" w:lineRule="auto"/>
      </w:pPr>
    </w:p>
    <w:p w14:paraId="073CC69D">
      <w:pPr>
        <w:spacing w:before="78" w:line="219" w:lineRule="auto"/>
        <w:ind w:left="590"/>
        <w:outlineLvl w:val="2"/>
        <w:rPr>
          <w:rFonts w:ascii="宋体" w:hAnsi="宋体" w:eastAsia="宋体" w:cs="宋体"/>
          <w:sz w:val="24"/>
          <w:szCs w:val="24"/>
        </w:rPr>
      </w:pPr>
      <w:bookmarkStart w:id="64" w:name="bookmark59"/>
      <w:bookmarkEnd w:id="64"/>
      <w:r>
        <w:rPr>
          <w:rFonts w:ascii="Times New Roman" w:hAnsi="Times New Roman" w:eastAsia="Times New Roman" w:cs="Times New Roman"/>
          <w:b/>
          <w:bCs/>
          <w:spacing w:val="-2"/>
          <w:sz w:val="24"/>
          <w:szCs w:val="24"/>
        </w:rPr>
        <w:t xml:space="preserve">5.1.2 </w:t>
      </w:r>
      <w:r>
        <w:rPr>
          <w:rFonts w:ascii="宋体" w:hAnsi="宋体" w:eastAsia="宋体" w:cs="宋体"/>
          <w:b/>
          <w:bCs/>
          <w:spacing w:val="-2"/>
          <w:sz w:val="24"/>
          <w:szCs w:val="24"/>
        </w:rPr>
        <w:t>矿石成分及产品方案</w:t>
      </w:r>
    </w:p>
    <w:p w14:paraId="1CDA51DC">
      <w:pPr>
        <w:spacing w:before="192" w:line="219"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）矿石成分</w:t>
      </w:r>
    </w:p>
    <w:p w14:paraId="3C96CAFA">
      <w:pPr>
        <w:spacing w:before="198" w:line="368" w:lineRule="auto"/>
        <w:ind w:left="110" w:right="172" w:firstLine="480"/>
        <w:rPr>
          <w:rFonts w:ascii="宋体" w:hAnsi="宋体" w:eastAsia="宋体" w:cs="宋体"/>
          <w:sz w:val="24"/>
          <w:szCs w:val="24"/>
        </w:rPr>
      </w:pPr>
      <w:r>
        <w:rPr>
          <w:rFonts w:ascii="宋体" w:hAnsi="宋体" w:eastAsia="宋体" w:cs="宋体"/>
          <w:sz w:val="24"/>
          <w:szCs w:val="24"/>
        </w:rPr>
        <w:t>矿石是以铅、锌为主，并含有银、锑、铁、硫等的</w:t>
      </w:r>
      <w:r>
        <w:rPr>
          <w:rFonts w:ascii="宋体" w:hAnsi="宋体" w:eastAsia="宋体" w:cs="宋体"/>
          <w:spacing w:val="-1"/>
          <w:sz w:val="24"/>
          <w:szCs w:val="24"/>
        </w:rPr>
        <w:t>多金属硫化物矿石。有</w:t>
      </w:r>
      <w:r>
        <w:rPr>
          <w:rFonts w:ascii="宋体" w:hAnsi="宋体" w:eastAsia="宋体" w:cs="宋体"/>
          <w:sz w:val="24"/>
          <w:szCs w:val="24"/>
        </w:rPr>
        <w:t xml:space="preserve"> 益金属元素铅、锌主要以各自的硫化矿物形式（方铅矿</w:t>
      </w:r>
      <w:r>
        <w:rPr>
          <w:rFonts w:ascii="宋体" w:hAnsi="宋体" w:eastAsia="宋体" w:cs="宋体"/>
          <w:spacing w:val="-1"/>
          <w:sz w:val="24"/>
          <w:szCs w:val="24"/>
        </w:rPr>
        <w:t>和闪锌矿）存在，其中</w:t>
      </w:r>
      <w:r>
        <w:rPr>
          <w:rFonts w:ascii="宋体" w:hAnsi="宋体" w:eastAsia="宋体" w:cs="宋体"/>
          <w:sz w:val="24"/>
          <w:szCs w:val="24"/>
        </w:rPr>
        <w:t xml:space="preserve"> 闪锌矿主要是铁闪锌矿。锑矿物主要为脆硫锑铅矿、深</w:t>
      </w:r>
      <w:r>
        <w:rPr>
          <w:rFonts w:ascii="宋体" w:hAnsi="宋体" w:eastAsia="宋体" w:cs="宋体"/>
          <w:spacing w:val="-1"/>
          <w:sz w:val="24"/>
          <w:szCs w:val="24"/>
        </w:rPr>
        <w:t>红银矿和辉锑矿。银矿</w:t>
      </w:r>
      <w:r>
        <w:rPr>
          <w:rFonts w:ascii="宋体" w:hAnsi="宋体" w:eastAsia="宋体" w:cs="宋体"/>
          <w:sz w:val="24"/>
          <w:szCs w:val="24"/>
        </w:rPr>
        <w:t xml:space="preserve"> 物主要为自然银，辉银矿和深红银矿。矿石中还含有大</w:t>
      </w:r>
      <w:r>
        <w:rPr>
          <w:rFonts w:ascii="宋体" w:hAnsi="宋体" w:eastAsia="宋体" w:cs="宋体"/>
          <w:spacing w:val="-1"/>
          <w:sz w:val="24"/>
          <w:szCs w:val="24"/>
        </w:rPr>
        <w:t>量的黄铁矿，部分形成</w:t>
      </w:r>
      <w:r>
        <w:rPr>
          <w:rFonts w:ascii="宋体" w:hAnsi="宋体" w:eastAsia="宋体" w:cs="宋体"/>
          <w:sz w:val="24"/>
          <w:szCs w:val="24"/>
        </w:rPr>
        <w:t xml:space="preserve"> </w:t>
      </w:r>
      <w:r>
        <w:rPr>
          <w:rFonts w:ascii="宋体" w:hAnsi="宋体" w:eastAsia="宋体" w:cs="宋体"/>
          <w:spacing w:val="-5"/>
          <w:sz w:val="24"/>
          <w:szCs w:val="24"/>
        </w:rPr>
        <w:t>黄铁矿块。脉石矿物以石英、长石、铁铝榴石为主，另有少量绿泥石、白云石。</w:t>
      </w:r>
      <w:r>
        <w:rPr>
          <w:rFonts w:ascii="宋体" w:hAnsi="宋体" w:eastAsia="宋体" w:cs="宋体"/>
          <w:spacing w:val="5"/>
          <w:sz w:val="24"/>
          <w:szCs w:val="24"/>
        </w:rPr>
        <w:t xml:space="preserve"> </w:t>
      </w:r>
      <w:r>
        <w:rPr>
          <w:rFonts w:ascii="宋体" w:hAnsi="宋体" w:eastAsia="宋体" w:cs="宋体"/>
          <w:spacing w:val="-1"/>
          <w:sz w:val="24"/>
          <w:szCs w:val="24"/>
        </w:rPr>
        <w:t>矿石中有用的主要元素为铅、锌、银。原矿多元素分析见表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5.1-3</w:t>
      </w:r>
      <w:r>
        <w:rPr>
          <w:rFonts w:ascii="宋体" w:hAnsi="宋体" w:eastAsia="宋体" w:cs="宋体"/>
          <w:spacing w:val="-1"/>
          <w:sz w:val="24"/>
          <w:szCs w:val="24"/>
        </w:rPr>
        <w:t>。</w:t>
      </w:r>
    </w:p>
    <w:p w14:paraId="6630B62A">
      <w:pPr>
        <w:spacing w:before="116" w:line="219" w:lineRule="auto"/>
        <w:ind w:left="247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5.1-3                </w:t>
      </w:r>
      <w:r>
        <w:rPr>
          <w:rFonts w:ascii="宋体" w:hAnsi="宋体" w:eastAsia="宋体" w:cs="宋体"/>
          <w:spacing w:val="-1"/>
          <w:sz w:val="24"/>
          <w:szCs w:val="24"/>
        </w:rPr>
        <w:t>原矿多元素分析结果</w:t>
      </w:r>
    </w:p>
    <w:p w14:paraId="6AB9433E">
      <w:pPr>
        <w:spacing w:line="31" w:lineRule="exact"/>
      </w:pPr>
    </w:p>
    <w:tbl>
      <w:tblPr>
        <w:tblStyle w:val="5"/>
        <w:tblW w:w="8126" w:type="dxa"/>
        <w:tblInd w:w="1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3"/>
        <w:gridCol w:w="1055"/>
        <w:gridCol w:w="960"/>
        <w:gridCol w:w="1007"/>
        <w:gridCol w:w="1069"/>
        <w:gridCol w:w="943"/>
        <w:gridCol w:w="942"/>
        <w:gridCol w:w="947"/>
      </w:tblGrid>
      <w:tr w14:paraId="42F7A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203" w:type="dxa"/>
            <w:vAlign w:val="top"/>
          </w:tcPr>
          <w:p w14:paraId="317EF2A7">
            <w:pPr>
              <w:pStyle w:val="6"/>
              <w:spacing w:before="110" w:line="228" w:lineRule="auto"/>
              <w:ind w:left="397"/>
            </w:pPr>
            <w:r>
              <w:rPr>
                <w:spacing w:val="3"/>
              </w:rPr>
              <w:t>元素</w:t>
            </w:r>
          </w:p>
        </w:tc>
        <w:tc>
          <w:tcPr>
            <w:tcW w:w="1055" w:type="dxa"/>
            <w:vAlign w:val="top"/>
          </w:tcPr>
          <w:p w14:paraId="0FE021C6">
            <w:pPr>
              <w:pStyle w:val="6"/>
              <w:spacing w:before="111" w:line="269" w:lineRule="exact"/>
              <w:ind w:left="423"/>
            </w:pPr>
            <w:r>
              <w:rPr>
                <w:spacing w:val="2"/>
                <w:position w:val="1"/>
              </w:rPr>
              <w:t>Pb</w:t>
            </w:r>
          </w:p>
        </w:tc>
        <w:tc>
          <w:tcPr>
            <w:tcW w:w="960" w:type="dxa"/>
            <w:vAlign w:val="top"/>
          </w:tcPr>
          <w:p w14:paraId="41110E4C">
            <w:pPr>
              <w:pStyle w:val="6"/>
              <w:spacing w:before="145" w:line="187" w:lineRule="auto"/>
              <w:ind w:left="378"/>
            </w:pPr>
            <w:r>
              <w:rPr>
                <w:spacing w:val="1"/>
              </w:rPr>
              <w:t>Zn</w:t>
            </w:r>
          </w:p>
        </w:tc>
        <w:tc>
          <w:tcPr>
            <w:tcW w:w="1007" w:type="dxa"/>
            <w:vAlign w:val="top"/>
          </w:tcPr>
          <w:p w14:paraId="58CD5C0B">
            <w:pPr>
              <w:pStyle w:val="6"/>
              <w:spacing w:before="110" w:line="222" w:lineRule="auto"/>
              <w:ind w:left="344"/>
            </w:pPr>
            <w:r>
              <w:t>Ag</w:t>
            </w:r>
            <w:r>
              <w:rPr>
                <w:spacing w:val="14"/>
              </w:rPr>
              <w:t>*</w:t>
            </w:r>
          </w:p>
        </w:tc>
        <w:tc>
          <w:tcPr>
            <w:tcW w:w="1069" w:type="dxa"/>
            <w:vAlign w:val="top"/>
          </w:tcPr>
          <w:p w14:paraId="45713B80">
            <w:pPr>
              <w:pStyle w:val="6"/>
              <w:spacing w:before="111" w:line="268" w:lineRule="exact"/>
              <w:ind w:left="432"/>
            </w:pPr>
            <w:r>
              <w:rPr>
                <w:spacing w:val="2"/>
                <w:position w:val="1"/>
              </w:rPr>
              <w:t>Fe</w:t>
            </w:r>
          </w:p>
        </w:tc>
        <w:tc>
          <w:tcPr>
            <w:tcW w:w="943" w:type="dxa"/>
            <w:vAlign w:val="top"/>
          </w:tcPr>
          <w:p w14:paraId="61F19452">
            <w:pPr>
              <w:pStyle w:val="6"/>
              <w:spacing w:before="143" w:line="189" w:lineRule="auto"/>
              <w:ind w:left="428"/>
            </w:pPr>
            <w:r>
              <w:t>S</w:t>
            </w:r>
          </w:p>
        </w:tc>
        <w:tc>
          <w:tcPr>
            <w:tcW w:w="942" w:type="dxa"/>
            <w:vAlign w:val="top"/>
          </w:tcPr>
          <w:p w14:paraId="705131F1">
            <w:pPr>
              <w:pStyle w:val="6"/>
              <w:spacing w:before="143" w:line="189" w:lineRule="auto"/>
              <w:ind w:left="373"/>
            </w:pPr>
            <w:r>
              <w:rPr>
                <w:spacing w:val="1"/>
              </w:rPr>
              <w:t>Cu</w:t>
            </w:r>
          </w:p>
        </w:tc>
        <w:tc>
          <w:tcPr>
            <w:tcW w:w="947" w:type="dxa"/>
            <w:vAlign w:val="top"/>
          </w:tcPr>
          <w:p w14:paraId="347A131E">
            <w:pPr>
              <w:pStyle w:val="6"/>
              <w:spacing w:before="111" w:line="268" w:lineRule="exact"/>
              <w:ind w:left="374"/>
            </w:pPr>
            <w:r>
              <w:rPr>
                <w:position w:val="1"/>
              </w:rPr>
              <w:t>Sb</w:t>
            </w:r>
          </w:p>
        </w:tc>
      </w:tr>
      <w:tr w14:paraId="1DED3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203" w:type="dxa"/>
            <w:vAlign w:val="top"/>
          </w:tcPr>
          <w:p w14:paraId="596683D2">
            <w:pPr>
              <w:pStyle w:val="6"/>
              <w:spacing w:before="108" w:line="228" w:lineRule="auto"/>
              <w:ind w:left="134"/>
            </w:pPr>
            <w:r>
              <w:rPr>
                <w:spacing w:val="5"/>
              </w:rPr>
              <w:t>含量（%）</w:t>
            </w:r>
          </w:p>
        </w:tc>
        <w:tc>
          <w:tcPr>
            <w:tcW w:w="1055" w:type="dxa"/>
            <w:vAlign w:val="top"/>
          </w:tcPr>
          <w:p w14:paraId="71990C96">
            <w:pPr>
              <w:pStyle w:val="6"/>
              <w:spacing w:before="137" w:line="267" w:lineRule="exact"/>
              <w:ind w:left="336"/>
            </w:pPr>
            <w:r>
              <w:rPr>
                <w:spacing w:val="-1"/>
                <w:position w:val="1"/>
              </w:rPr>
              <w:t>1.66</w:t>
            </w:r>
          </w:p>
        </w:tc>
        <w:tc>
          <w:tcPr>
            <w:tcW w:w="960" w:type="dxa"/>
            <w:vAlign w:val="top"/>
          </w:tcPr>
          <w:p w14:paraId="074AA82F">
            <w:pPr>
              <w:pStyle w:val="6"/>
              <w:spacing w:before="137" w:line="267" w:lineRule="exact"/>
              <w:ind w:left="278"/>
            </w:pPr>
            <w:r>
              <w:rPr>
                <w:spacing w:val="2"/>
                <w:position w:val="1"/>
              </w:rPr>
              <w:t>3.07</w:t>
            </w:r>
          </w:p>
        </w:tc>
        <w:tc>
          <w:tcPr>
            <w:tcW w:w="1007" w:type="dxa"/>
            <w:vAlign w:val="top"/>
          </w:tcPr>
          <w:p w14:paraId="74068C7B">
            <w:pPr>
              <w:pStyle w:val="6"/>
              <w:spacing w:before="137" w:line="267" w:lineRule="exact"/>
              <w:ind w:left="263"/>
            </w:pPr>
            <w:r>
              <w:rPr>
                <w:position w:val="1"/>
              </w:rPr>
              <w:t>188.0</w:t>
            </w:r>
          </w:p>
        </w:tc>
        <w:tc>
          <w:tcPr>
            <w:tcW w:w="1069" w:type="dxa"/>
            <w:vAlign w:val="top"/>
          </w:tcPr>
          <w:p w14:paraId="180A8C24">
            <w:pPr>
              <w:pStyle w:val="6"/>
              <w:spacing w:before="108" w:line="268" w:lineRule="exact"/>
              <w:ind w:left="295"/>
            </w:pPr>
            <w:r>
              <w:rPr>
                <w:position w:val="1"/>
              </w:rPr>
              <w:t>14.72</w:t>
            </w:r>
          </w:p>
        </w:tc>
        <w:tc>
          <w:tcPr>
            <w:tcW w:w="943" w:type="dxa"/>
            <w:vAlign w:val="top"/>
          </w:tcPr>
          <w:p w14:paraId="0E71F0D6">
            <w:pPr>
              <w:pStyle w:val="6"/>
              <w:spacing w:before="108" w:line="268" w:lineRule="exact"/>
              <w:ind w:left="231"/>
            </w:pPr>
            <w:r>
              <w:rPr>
                <w:position w:val="1"/>
              </w:rPr>
              <w:t>13.35</w:t>
            </w:r>
          </w:p>
        </w:tc>
        <w:tc>
          <w:tcPr>
            <w:tcW w:w="942" w:type="dxa"/>
            <w:vAlign w:val="top"/>
          </w:tcPr>
          <w:p w14:paraId="5A2A4F04">
            <w:pPr>
              <w:pStyle w:val="6"/>
              <w:spacing w:before="108" w:line="268" w:lineRule="exact"/>
              <w:ind w:left="271"/>
            </w:pPr>
            <w:r>
              <w:rPr>
                <w:spacing w:val="2"/>
                <w:position w:val="1"/>
              </w:rPr>
              <w:t>0.03</w:t>
            </w:r>
          </w:p>
        </w:tc>
        <w:tc>
          <w:tcPr>
            <w:tcW w:w="947" w:type="dxa"/>
            <w:vAlign w:val="top"/>
          </w:tcPr>
          <w:p w14:paraId="7518BBF2">
            <w:pPr>
              <w:pStyle w:val="6"/>
              <w:spacing w:before="108" w:line="268" w:lineRule="exact"/>
              <w:ind w:left="269"/>
            </w:pPr>
            <w:r>
              <w:rPr>
                <w:spacing w:val="2"/>
                <w:position w:val="1"/>
              </w:rPr>
              <w:t>0.22</w:t>
            </w:r>
          </w:p>
        </w:tc>
      </w:tr>
      <w:tr w14:paraId="4BB26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203" w:type="dxa"/>
            <w:vAlign w:val="top"/>
          </w:tcPr>
          <w:p w14:paraId="63419CB7">
            <w:pPr>
              <w:pStyle w:val="6"/>
              <w:spacing w:before="109" w:line="228" w:lineRule="auto"/>
              <w:ind w:left="397"/>
            </w:pPr>
            <w:r>
              <w:rPr>
                <w:spacing w:val="3"/>
              </w:rPr>
              <w:t>元素</w:t>
            </w:r>
          </w:p>
        </w:tc>
        <w:tc>
          <w:tcPr>
            <w:tcW w:w="1055" w:type="dxa"/>
            <w:vAlign w:val="top"/>
          </w:tcPr>
          <w:p w14:paraId="0FEF1B01">
            <w:pPr>
              <w:pStyle w:val="6"/>
              <w:spacing w:before="109" w:line="270" w:lineRule="exact"/>
              <w:ind w:left="420"/>
            </w:pPr>
            <w:r>
              <w:rPr>
                <w:spacing w:val="4"/>
                <w:position w:val="1"/>
              </w:rPr>
              <w:t>As</w:t>
            </w:r>
          </w:p>
        </w:tc>
        <w:tc>
          <w:tcPr>
            <w:tcW w:w="960" w:type="dxa"/>
            <w:vAlign w:val="top"/>
          </w:tcPr>
          <w:p w14:paraId="4C3CF75A">
            <w:pPr>
              <w:pStyle w:val="6"/>
              <w:spacing w:before="109" w:line="242" w:lineRule="auto"/>
              <w:ind w:left="267"/>
              <w:rPr>
                <w:sz w:val="10"/>
                <w:szCs w:val="10"/>
              </w:rPr>
            </w:pPr>
            <w:r>
              <w:t>Al</w:t>
            </w:r>
            <w:r>
              <w:rPr>
                <w:spacing w:val="6"/>
                <w:position w:val="-2"/>
                <w:sz w:val="10"/>
                <w:szCs w:val="10"/>
              </w:rPr>
              <w:t>2</w:t>
            </w:r>
            <w:r>
              <w:rPr>
                <w:spacing w:val="6"/>
              </w:rPr>
              <w:t>O</w:t>
            </w:r>
            <w:r>
              <w:rPr>
                <w:spacing w:val="6"/>
                <w:position w:val="-2"/>
                <w:sz w:val="10"/>
                <w:szCs w:val="10"/>
              </w:rPr>
              <w:t>3</w:t>
            </w:r>
          </w:p>
        </w:tc>
        <w:tc>
          <w:tcPr>
            <w:tcW w:w="1007" w:type="dxa"/>
            <w:vAlign w:val="top"/>
          </w:tcPr>
          <w:p w14:paraId="6ABD6055">
            <w:pPr>
              <w:pStyle w:val="6"/>
              <w:spacing w:before="109" w:line="263" w:lineRule="exact"/>
              <w:ind w:left="327"/>
              <w:rPr>
                <w:sz w:val="10"/>
                <w:szCs w:val="10"/>
              </w:rPr>
            </w:pPr>
            <w:r>
              <w:rPr>
                <w:position w:val="2"/>
              </w:rPr>
              <w:t>SiO</w:t>
            </w:r>
            <w:r>
              <w:rPr>
                <w:spacing w:val="8"/>
                <w:sz w:val="10"/>
                <w:szCs w:val="10"/>
              </w:rPr>
              <w:t>2</w:t>
            </w:r>
          </w:p>
        </w:tc>
        <w:tc>
          <w:tcPr>
            <w:tcW w:w="1069" w:type="dxa"/>
            <w:vAlign w:val="top"/>
          </w:tcPr>
          <w:p w14:paraId="03410E23">
            <w:pPr>
              <w:pStyle w:val="6"/>
              <w:spacing w:before="109" w:line="269" w:lineRule="exact"/>
              <w:ind w:left="434"/>
            </w:pPr>
            <w:r>
              <w:rPr>
                <w:spacing w:val="1"/>
                <w:position w:val="1"/>
              </w:rPr>
              <w:t>Ca</w:t>
            </w:r>
          </w:p>
        </w:tc>
        <w:tc>
          <w:tcPr>
            <w:tcW w:w="943" w:type="dxa"/>
            <w:vAlign w:val="top"/>
          </w:tcPr>
          <w:p w14:paraId="71E0576F">
            <w:pPr>
              <w:pStyle w:val="6"/>
              <w:spacing w:before="144" w:line="188" w:lineRule="auto"/>
              <w:ind w:left="368"/>
            </w:pPr>
            <w:r>
              <w:rPr>
                <w:spacing w:val="4"/>
              </w:rPr>
              <w:t>Mg</w:t>
            </w:r>
          </w:p>
        </w:tc>
        <w:tc>
          <w:tcPr>
            <w:tcW w:w="942" w:type="dxa"/>
            <w:vAlign w:val="top"/>
          </w:tcPr>
          <w:p w14:paraId="0C8DE822">
            <w:pPr>
              <w:pStyle w:val="6"/>
              <w:spacing w:before="141" w:line="190" w:lineRule="auto"/>
              <w:ind w:left="368"/>
            </w:pPr>
            <w:r>
              <w:rPr>
                <w:spacing w:val="4"/>
              </w:rPr>
              <w:t>Au</w:t>
            </w:r>
          </w:p>
        </w:tc>
        <w:tc>
          <w:tcPr>
            <w:tcW w:w="947" w:type="dxa"/>
            <w:vAlign w:val="top"/>
          </w:tcPr>
          <w:p w14:paraId="6EF042B2">
            <w:pPr>
              <w:rPr>
                <w:rFonts w:ascii="Arial"/>
                <w:sz w:val="21"/>
              </w:rPr>
            </w:pPr>
          </w:p>
        </w:tc>
      </w:tr>
      <w:tr w14:paraId="3D471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203" w:type="dxa"/>
            <w:vAlign w:val="top"/>
          </w:tcPr>
          <w:p w14:paraId="22634B55">
            <w:pPr>
              <w:pStyle w:val="6"/>
              <w:spacing w:before="110" w:line="228" w:lineRule="auto"/>
              <w:ind w:left="134"/>
            </w:pPr>
            <w:r>
              <w:rPr>
                <w:spacing w:val="5"/>
              </w:rPr>
              <w:t>含量（%）</w:t>
            </w:r>
          </w:p>
        </w:tc>
        <w:tc>
          <w:tcPr>
            <w:tcW w:w="1055" w:type="dxa"/>
            <w:vAlign w:val="top"/>
          </w:tcPr>
          <w:p w14:paraId="488E13BB">
            <w:pPr>
              <w:pStyle w:val="6"/>
              <w:spacing w:before="111" w:line="267" w:lineRule="exact"/>
              <w:ind w:left="336"/>
            </w:pPr>
            <w:r>
              <w:rPr>
                <w:spacing w:val="-1"/>
                <w:position w:val="1"/>
              </w:rPr>
              <w:t>1.15</w:t>
            </w:r>
          </w:p>
        </w:tc>
        <w:tc>
          <w:tcPr>
            <w:tcW w:w="960" w:type="dxa"/>
            <w:vAlign w:val="top"/>
          </w:tcPr>
          <w:p w14:paraId="32815BD8">
            <w:pPr>
              <w:pStyle w:val="6"/>
              <w:spacing w:before="111" w:line="267" w:lineRule="exact"/>
              <w:ind w:left="278"/>
            </w:pPr>
            <w:r>
              <w:rPr>
                <w:spacing w:val="2"/>
                <w:position w:val="1"/>
              </w:rPr>
              <w:t>5.62</w:t>
            </w:r>
          </w:p>
        </w:tc>
        <w:tc>
          <w:tcPr>
            <w:tcW w:w="1007" w:type="dxa"/>
            <w:vAlign w:val="top"/>
          </w:tcPr>
          <w:p w14:paraId="7069F7B7">
            <w:pPr>
              <w:pStyle w:val="6"/>
              <w:spacing w:before="111" w:line="267" w:lineRule="exact"/>
              <w:ind w:left="246"/>
            </w:pPr>
            <w:r>
              <w:rPr>
                <w:spacing w:val="3"/>
                <w:position w:val="1"/>
              </w:rPr>
              <w:t>47.37</w:t>
            </w:r>
          </w:p>
        </w:tc>
        <w:tc>
          <w:tcPr>
            <w:tcW w:w="1069" w:type="dxa"/>
            <w:vAlign w:val="top"/>
          </w:tcPr>
          <w:p w14:paraId="4BF312F6">
            <w:pPr>
              <w:pStyle w:val="6"/>
              <w:spacing w:before="111" w:line="267" w:lineRule="exact"/>
              <w:ind w:left="334"/>
            </w:pPr>
            <w:r>
              <w:rPr>
                <w:spacing w:val="2"/>
                <w:position w:val="1"/>
              </w:rPr>
              <w:t>0.18</w:t>
            </w:r>
          </w:p>
        </w:tc>
        <w:tc>
          <w:tcPr>
            <w:tcW w:w="943" w:type="dxa"/>
            <w:vAlign w:val="top"/>
          </w:tcPr>
          <w:p w14:paraId="74179962">
            <w:pPr>
              <w:pStyle w:val="6"/>
              <w:spacing w:before="111" w:line="267" w:lineRule="exact"/>
              <w:ind w:left="270"/>
            </w:pPr>
            <w:r>
              <w:rPr>
                <w:spacing w:val="2"/>
                <w:position w:val="1"/>
              </w:rPr>
              <w:t>0.93</w:t>
            </w:r>
          </w:p>
        </w:tc>
        <w:tc>
          <w:tcPr>
            <w:tcW w:w="942" w:type="dxa"/>
            <w:vAlign w:val="top"/>
          </w:tcPr>
          <w:p w14:paraId="4F65848C">
            <w:pPr>
              <w:pStyle w:val="6"/>
              <w:spacing w:before="111" w:line="267" w:lineRule="exact"/>
              <w:ind w:left="271"/>
            </w:pPr>
            <w:r>
              <w:rPr>
                <w:spacing w:val="2"/>
                <w:position w:val="1"/>
              </w:rPr>
              <w:t>0.12</w:t>
            </w:r>
          </w:p>
        </w:tc>
        <w:tc>
          <w:tcPr>
            <w:tcW w:w="947" w:type="dxa"/>
            <w:vAlign w:val="top"/>
          </w:tcPr>
          <w:p w14:paraId="5ABC5197">
            <w:pPr>
              <w:rPr>
                <w:rFonts w:ascii="Arial"/>
                <w:sz w:val="21"/>
              </w:rPr>
            </w:pPr>
          </w:p>
        </w:tc>
      </w:tr>
    </w:tbl>
    <w:p w14:paraId="3FD09BAA">
      <w:pPr>
        <w:spacing w:before="35" w:line="214" w:lineRule="auto"/>
        <w:ind w:left="591"/>
        <w:rPr>
          <w:rFonts w:ascii="宋体" w:hAnsi="宋体" w:eastAsia="宋体" w:cs="宋体"/>
          <w:sz w:val="24"/>
          <w:szCs w:val="24"/>
        </w:rPr>
      </w:pPr>
      <w:r>
        <w:rPr>
          <w:rFonts w:ascii="宋体" w:hAnsi="宋体" w:eastAsia="宋体" w:cs="宋体"/>
          <w:spacing w:val="-3"/>
          <w:sz w:val="24"/>
          <w:szCs w:val="24"/>
        </w:rPr>
        <w:t>注：*Ag</w:t>
      </w:r>
      <w:r>
        <w:rPr>
          <w:rFonts w:ascii="宋体" w:hAnsi="宋体" w:eastAsia="宋体" w:cs="宋体"/>
          <w:spacing w:val="-48"/>
          <w:sz w:val="24"/>
          <w:szCs w:val="24"/>
        </w:rPr>
        <w:t xml:space="preserve"> </w:t>
      </w:r>
      <w:r>
        <w:rPr>
          <w:rFonts w:ascii="宋体" w:hAnsi="宋体" w:eastAsia="宋体" w:cs="宋体"/>
          <w:spacing w:val="-3"/>
          <w:sz w:val="24"/>
          <w:szCs w:val="24"/>
        </w:rPr>
        <w:t>单位为</w:t>
      </w:r>
      <w:r>
        <w:rPr>
          <w:rFonts w:ascii="宋体" w:hAnsi="宋体" w:eastAsia="宋体" w:cs="宋体"/>
          <w:spacing w:val="-47"/>
          <w:sz w:val="24"/>
          <w:szCs w:val="24"/>
        </w:rPr>
        <w:t xml:space="preserve"> </w:t>
      </w:r>
      <w:r>
        <w:rPr>
          <w:rFonts w:ascii="宋体" w:hAnsi="宋体" w:eastAsia="宋体" w:cs="宋体"/>
          <w:spacing w:val="-3"/>
          <w:sz w:val="24"/>
          <w:szCs w:val="24"/>
        </w:rPr>
        <w:t>g/t。</w:t>
      </w:r>
    </w:p>
    <w:p w14:paraId="14C6AB8B">
      <w:pPr>
        <w:spacing w:before="23" w:line="219" w:lineRule="auto"/>
        <w:ind w:left="632"/>
        <w:rPr>
          <w:rFonts w:ascii="宋体" w:hAnsi="宋体" w:eastAsia="宋体" w:cs="宋体"/>
          <w:sz w:val="24"/>
          <w:szCs w:val="24"/>
        </w:rPr>
      </w:pPr>
      <w:r>
        <w:rPr>
          <w:rFonts w:ascii="宋体" w:hAnsi="宋体" w:eastAsia="宋体" w:cs="宋体"/>
          <w:spacing w:val="-3"/>
          <w:sz w:val="24"/>
          <w:szCs w:val="24"/>
        </w:rPr>
        <w:t>（2）产品方案</w:t>
      </w:r>
    </w:p>
    <w:p w14:paraId="0E404188">
      <w:pPr>
        <w:spacing w:before="265" w:line="341" w:lineRule="auto"/>
        <w:ind w:left="110" w:right="193" w:firstLine="481"/>
        <w:rPr>
          <w:rFonts w:ascii="宋体" w:hAnsi="宋体" w:eastAsia="宋体" w:cs="宋体"/>
          <w:sz w:val="24"/>
          <w:szCs w:val="24"/>
        </w:rPr>
      </w:pPr>
      <w:r>
        <w:rPr>
          <w:rFonts w:ascii="宋体" w:hAnsi="宋体" w:eastAsia="宋体" w:cs="宋体"/>
          <w:spacing w:val="-11"/>
          <w:sz w:val="24"/>
          <w:szCs w:val="24"/>
        </w:rPr>
        <w:t>年回收铅精矿</w:t>
      </w:r>
      <w:r>
        <w:rPr>
          <w:rFonts w:ascii="宋体" w:hAnsi="宋体" w:eastAsia="宋体" w:cs="宋体"/>
          <w:spacing w:val="-33"/>
          <w:sz w:val="24"/>
          <w:szCs w:val="24"/>
        </w:rPr>
        <w:t xml:space="preserve"> </w:t>
      </w:r>
      <w:r>
        <w:rPr>
          <w:rFonts w:ascii="宋体" w:hAnsi="宋体" w:eastAsia="宋体" w:cs="宋体"/>
          <w:spacing w:val="-11"/>
          <w:sz w:val="24"/>
          <w:szCs w:val="24"/>
        </w:rPr>
        <w:t>12226.2t，其中铅品位</w:t>
      </w:r>
      <w:r>
        <w:rPr>
          <w:rFonts w:ascii="宋体" w:hAnsi="宋体" w:eastAsia="宋体" w:cs="宋体"/>
          <w:spacing w:val="-45"/>
          <w:sz w:val="24"/>
          <w:szCs w:val="24"/>
        </w:rPr>
        <w:t xml:space="preserve"> </w:t>
      </w:r>
      <w:r>
        <w:rPr>
          <w:rFonts w:ascii="宋体" w:hAnsi="宋体" w:eastAsia="宋体" w:cs="宋体"/>
          <w:spacing w:val="-11"/>
          <w:sz w:val="24"/>
          <w:szCs w:val="24"/>
        </w:rPr>
        <w:t>52.00%、锌品位</w:t>
      </w:r>
      <w:r>
        <w:rPr>
          <w:rFonts w:ascii="宋体" w:hAnsi="宋体" w:eastAsia="宋体" w:cs="宋体"/>
          <w:spacing w:val="-46"/>
          <w:sz w:val="24"/>
          <w:szCs w:val="24"/>
        </w:rPr>
        <w:t xml:space="preserve"> </w:t>
      </w:r>
      <w:r>
        <w:rPr>
          <w:rFonts w:ascii="宋体" w:hAnsi="宋体" w:eastAsia="宋体" w:cs="宋体"/>
          <w:spacing w:val="-11"/>
          <w:sz w:val="24"/>
          <w:szCs w:val="24"/>
        </w:rPr>
        <w:t>5.50%、银品位</w:t>
      </w:r>
      <w:r>
        <w:rPr>
          <w:rFonts w:ascii="宋体" w:hAnsi="宋体" w:eastAsia="宋体" w:cs="宋体"/>
          <w:spacing w:val="-49"/>
          <w:sz w:val="24"/>
          <w:szCs w:val="24"/>
        </w:rPr>
        <w:t xml:space="preserve"> </w:t>
      </w:r>
      <w:r>
        <w:rPr>
          <w:rFonts w:ascii="宋体" w:hAnsi="宋体" w:eastAsia="宋体" w:cs="宋体"/>
          <w:spacing w:val="-11"/>
          <w:sz w:val="24"/>
          <w:szCs w:val="24"/>
        </w:rPr>
        <w:t>0</w:t>
      </w:r>
      <w:r>
        <w:rPr>
          <w:rFonts w:ascii="宋体" w:hAnsi="宋体" w:eastAsia="宋体" w:cs="宋体"/>
          <w:spacing w:val="-12"/>
          <w:sz w:val="24"/>
          <w:szCs w:val="24"/>
        </w:rPr>
        <w:t>.53%；</w:t>
      </w:r>
      <w:r>
        <w:rPr>
          <w:rFonts w:ascii="宋体" w:hAnsi="宋体" w:eastAsia="宋体" w:cs="宋体"/>
          <w:sz w:val="24"/>
          <w:szCs w:val="24"/>
        </w:rPr>
        <w:t xml:space="preserve"> </w:t>
      </w:r>
      <w:r>
        <w:rPr>
          <w:rFonts w:ascii="宋体" w:hAnsi="宋体" w:eastAsia="宋体" w:cs="宋体"/>
          <w:spacing w:val="-4"/>
          <w:sz w:val="24"/>
          <w:szCs w:val="24"/>
        </w:rPr>
        <w:t>锌精矿</w:t>
      </w:r>
      <w:r>
        <w:rPr>
          <w:rFonts w:ascii="宋体" w:hAnsi="宋体" w:eastAsia="宋体" w:cs="宋体"/>
          <w:spacing w:val="-41"/>
          <w:sz w:val="24"/>
          <w:szCs w:val="24"/>
        </w:rPr>
        <w:t xml:space="preserve"> </w:t>
      </w:r>
      <w:r>
        <w:rPr>
          <w:rFonts w:ascii="宋体" w:hAnsi="宋体" w:eastAsia="宋体" w:cs="宋体"/>
          <w:spacing w:val="-4"/>
          <w:sz w:val="24"/>
          <w:szCs w:val="24"/>
        </w:rPr>
        <w:t>25560t，其中铅品位</w:t>
      </w:r>
      <w:r>
        <w:rPr>
          <w:rFonts w:ascii="宋体" w:hAnsi="宋体" w:eastAsia="宋体" w:cs="宋体"/>
          <w:spacing w:val="-49"/>
          <w:sz w:val="24"/>
          <w:szCs w:val="24"/>
        </w:rPr>
        <w:t xml:space="preserve"> </w:t>
      </w:r>
      <w:r>
        <w:rPr>
          <w:rFonts w:ascii="宋体" w:hAnsi="宋体" w:eastAsia="宋体" w:cs="宋体"/>
          <w:spacing w:val="-4"/>
          <w:sz w:val="24"/>
          <w:szCs w:val="24"/>
        </w:rPr>
        <w:t>0.90%、锌品位</w:t>
      </w:r>
      <w:r>
        <w:rPr>
          <w:rFonts w:ascii="宋体" w:hAnsi="宋体" w:eastAsia="宋体" w:cs="宋体"/>
          <w:spacing w:val="-51"/>
          <w:sz w:val="24"/>
          <w:szCs w:val="24"/>
        </w:rPr>
        <w:t xml:space="preserve"> </w:t>
      </w:r>
      <w:r>
        <w:rPr>
          <w:rFonts w:ascii="宋体" w:hAnsi="宋体" w:eastAsia="宋体" w:cs="宋体"/>
          <w:spacing w:val="-4"/>
          <w:sz w:val="24"/>
          <w:szCs w:val="24"/>
        </w:rPr>
        <w:t>45.00%、银品位</w:t>
      </w:r>
      <w:r>
        <w:rPr>
          <w:rFonts w:ascii="宋体" w:hAnsi="宋体" w:eastAsia="宋体" w:cs="宋体"/>
          <w:spacing w:val="-49"/>
          <w:sz w:val="24"/>
          <w:szCs w:val="24"/>
        </w:rPr>
        <w:t xml:space="preserve"> </w:t>
      </w:r>
      <w:r>
        <w:rPr>
          <w:rFonts w:ascii="宋体" w:hAnsi="宋体" w:eastAsia="宋体" w:cs="宋体"/>
          <w:spacing w:val="-4"/>
          <w:sz w:val="24"/>
          <w:szCs w:val="24"/>
        </w:rPr>
        <w:t>0.025%。本次技改</w:t>
      </w:r>
    </w:p>
    <w:p w14:paraId="00A564A8">
      <w:pPr>
        <w:spacing w:line="341" w:lineRule="auto"/>
        <w:rPr>
          <w:rFonts w:ascii="宋体" w:hAnsi="宋体" w:eastAsia="宋体" w:cs="宋体"/>
          <w:sz w:val="24"/>
          <w:szCs w:val="24"/>
        </w:rPr>
        <w:sectPr>
          <w:headerReference r:id="rId127" w:type="default"/>
          <w:footerReference r:id="rId128" w:type="default"/>
          <w:pgSz w:w="11906" w:h="16839"/>
          <w:pgMar w:top="1208" w:right="1696" w:bottom="1355" w:left="1695" w:header="825" w:footer="1195" w:gutter="0"/>
          <w:cols w:space="720" w:num="1"/>
        </w:sectPr>
      </w:pPr>
    </w:p>
    <w:p w14:paraId="5C38A117">
      <w:pPr>
        <w:pStyle w:val="2"/>
        <w:spacing w:line="270" w:lineRule="auto"/>
      </w:pPr>
    </w:p>
    <w:p w14:paraId="778430AF">
      <w:pPr>
        <w:spacing w:before="78" w:line="219" w:lineRule="auto"/>
        <w:ind w:left="115"/>
        <w:rPr>
          <w:rFonts w:ascii="宋体" w:hAnsi="宋体" w:eastAsia="宋体" w:cs="宋体"/>
          <w:sz w:val="24"/>
          <w:szCs w:val="24"/>
        </w:rPr>
      </w:pPr>
      <w:r>
        <w:rPr>
          <w:rFonts w:ascii="宋体" w:hAnsi="宋体" w:eastAsia="宋体" w:cs="宋体"/>
          <w:spacing w:val="-2"/>
          <w:sz w:val="24"/>
          <w:szCs w:val="24"/>
        </w:rPr>
        <w:t>项目产品方案见表</w:t>
      </w:r>
      <w:r>
        <w:rPr>
          <w:rFonts w:ascii="宋体" w:hAnsi="宋体" w:eastAsia="宋体" w:cs="宋体"/>
          <w:spacing w:val="-47"/>
          <w:sz w:val="24"/>
          <w:szCs w:val="24"/>
        </w:rPr>
        <w:t xml:space="preserve"> </w:t>
      </w:r>
      <w:r>
        <w:rPr>
          <w:rFonts w:ascii="宋体" w:hAnsi="宋体" w:eastAsia="宋体" w:cs="宋体"/>
          <w:spacing w:val="-2"/>
          <w:sz w:val="24"/>
          <w:szCs w:val="24"/>
        </w:rPr>
        <w:t>4.2-1。</w:t>
      </w:r>
    </w:p>
    <w:p w14:paraId="29E32200">
      <w:pPr>
        <w:spacing w:before="194" w:line="219" w:lineRule="auto"/>
        <w:ind w:left="2239"/>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宋体" w:hAnsi="宋体" w:eastAsia="宋体" w:cs="宋体"/>
          <w:spacing w:val="-1"/>
          <w:sz w:val="24"/>
          <w:szCs w:val="24"/>
        </w:rPr>
        <w:t>4.2-1   本次技改项目产品方案一览表</w:t>
      </w:r>
    </w:p>
    <w:p w14:paraId="6F392F26">
      <w:pPr>
        <w:spacing w:line="73" w:lineRule="exact"/>
      </w:pPr>
    </w:p>
    <w:tbl>
      <w:tblPr>
        <w:tblStyle w:val="5"/>
        <w:tblW w:w="8258"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654"/>
        <w:gridCol w:w="843"/>
        <w:gridCol w:w="843"/>
        <w:gridCol w:w="792"/>
        <w:gridCol w:w="727"/>
        <w:gridCol w:w="735"/>
        <w:gridCol w:w="736"/>
        <w:gridCol w:w="947"/>
        <w:gridCol w:w="1199"/>
      </w:tblGrid>
      <w:tr w14:paraId="13346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82" w:type="dxa"/>
            <w:vMerge w:val="restart"/>
            <w:tcBorders>
              <w:bottom w:val="nil"/>
            </w:tcBorders>
            <w:vAlign w:val="top"/>
          </w:tcPr>
          <w:p w14:paraId="127C6FEE">
            <w:pPr>
              <w:spacing w:line="316" w:lineRule="auto"/>
              <w:rPr>
                <w:rFonts w:ascii="Arial"/>
                <w:sz w:val="21"/>
              </w:rPr>
            </w:pPr>
          </w:p>
          <w:p w14:paraId="1DA1AC4F">
            <w:pPr>
              <w:pStyle w:val="6"/>
              <w:spacing w:before="65" w:line="230" w:lineRule="auto"/>
              <w:ind w:left="188"/>
            </w:pPr>
            <w:r>
              <w:rPr>
                <w:spacing w:val="3"/>
              </w:rPr>
              <w:t>名称</w:t>
            </w:r>
          </w:p>
        </w:tc>
        <w:tc>
          <w:tcPr>
            <w:tcW w:w="654" w:type="dxa"/>
            <w:vMerge w:val="restart"/>
            <w:tcBorders>
              <w:bottom w:val="nil"/>
            </w:tcBorders>
            <w:vAlign w:val="top"/>
          </w:tcPr>
          <w:p w14:paraId="5DAED18B">
            <w:pPr>
              <w:pStyle w:val="6"/>
              <w:spacing w:before="143" w:line="228" w:lineRule="auto"/>
              <w:ind w:left="121"/>
            </w:pPr>
            <w:r>
              <w:rPr>
                <w:spacing w:val="4"/>
              </w:rPr>
              <w:t>产率</w:t>
            </w:r>
          </w:p>
          <w:p w14:paraId="460EDC0E">
            <w:pPr>
              <w:pStyle w:val="6"/>
              <w:spacing w:before="232" w:line="231" w:lineRule="auto"/>
              <w:ind w:left="208"/>
            </w:pPr>
            <w:r>
              <w:rPr>
                <w:spacing w:val="-10"/>
              </w:rPr>
              <w:t>(%)</w:t>
            </w:r>
          </w:p>
        </w:tc>
        <w:tc>
          <w:tcPr>
            <w:tcW w:w="2478" w:type="dxa"/>
            <w:gridSpan w:val="3"/>
            <w:vAlign w:val="top"/>
          </w:tcPr>
          <w:p w14:paraId="3E1CF1D5">
            <w:pPr>
              <w:pStyle w:val="6"/>
              <w:spacing w:before="138" w:line="229" w:lineRule="auto"/>
              <w:ind w:left="579"/>
            </w:pPr>
            <w:r>
              <w:t>品</w:t>
            </w:r>
            <w:r>
              <w:rPr>
                <w:spacing w:val="6"/>
              </w:rPr>
              <w:t xml:space="preserve">      </w:t>
            </w:r>
            <w:r>
              <w:t>位(%)</w:t>
            </w:r>
          </w:p>
        </w:tc>
        <w:tc>
          <w:tcPr>
            <w:tcW w:w="2198" w:type="dxa"/>
            <w:gridSpan w:val="3"/>
            <w:vAlign w:val="top"/>
          </w:tcPr>
          <w:p w14:paraId="77007C01">
            <w:pPr>
              <w:pStyle w:val="6"/>
              <w:spacing w:before="138" w:line="228" w:lineRule="auto"/>
              <w:ind w:left="233"/>
            </w:pPr>
            <w:r>
              <w:rPr>
                <w:spacing w:val="-2"/>
              </w:rPr>
              <w:t>回</w:t>
            </w:r>
            <w:r>
              <w:rPr>
                <w:spacing w:val="10"/>
              </w:rPr>
              <w:t xml:space="preserve">   </w:t>
            </w:r>
            <w:r>
              <w:rPr>
                <w:spacing w:val="-2"/>
              </w:rPr>
              <w:t>收</w:t>
            </w:r>
            <w:r>
              <w:rPr>
                <w:spacing w:val="9"/>
              </w:rPr>
              <w:t xml:space="preserve">   </w:t>
            </w:r>
            <w:r>
              <w:rPr>
                <w:spacing w:val="-2"/>
              </w:rPr>
              <w:t>率（%）</w:t>
            </w:r>
          </w:p>
        </w:tc>
        <w:tc>
          <w:tcPr>
            <w:tcW w:w="947" w:type="dxa"/>
            <w:vMerge w:val="restart"/>
            <w:tcBorders>
              <w:bottom w:val="nil"/>
            </w:tcBorders>
            <w:vAlign w:val="top"/>
          </w:tcPr>
          <w:p w14:paraId="184132FA">
            <w:pPr>
              <w:pStyle w:val="6"/>
              <w:spacing w:before="138" w:line="228" w:lineRule="auto"/>
              <w:ind w:left="272"/>
            </w:pPr>
            <w:r>
              <w:rPr>
                <w:spacing w:val="3"/>
              </w:rPr>
              <w:t>数量</w:t>
            </w:r>
          </w:p>
          <w:p w14:paraId="781C8B00">
            <w:pPr>
              <w:pStyle w:val="6"/>
              <w:spacing w:before="230" w:line="233" w:lineRule="auto"/>
              <w:ind w:left="122"/>
            </w:pPr>
            <w:r>
              <w:rPr>
                <w:spacing w:val="1"/>
              </w:rPr>
              <w:t>（t/a）</w:t>
            </w:r>
          </w:p>
        </w:tc>
        <w:tc>
          <w:tcPr>
            <w:tcW w:w="1199" w:type="dxa"/>
            <w:vMerge w:val="restart"/>
            <w:tcBorders>
              <w:bottom w:val="nil"/>
            </w:tcBorders>
            <w:vAlign w:val="top"/>
          </w:tcPr>
          <w:p w14:paraId="429F980E">
            <w:pPr>
              <w:pStyle w:val="6"/>
              <w:spacing w:before="139" w:line="228" w:lineRule="auto"/>
              <w:ind w:left="394"/>
            </w:pPr>
            <w:r>
              <w:rPr>
                <w:spacing w:val="4"/>
              </w:rPr>
              <w:t>标准</w:t>
            </w:r>
          </w:p>
        </w:tc>
      </w:tr>
      <w:tr w14:paraId="7FA7B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82" w:type="dxa"/>
            <w:vMerge w:val="continue"/>
            <w:tcBorders>
              <w:top w:val="nil"/>
            </w:tcBorders>
            <w:vAlign w:val="top"/>
          </w:tcPr>
          <w:p w14:paraId="76ACCE07">
            <w:pPr>
              <w:rPr>
                <w:rFonts w:ascii="Arial"/>
                <w:sz w:val="21"/>
              </w:rPr>
            </w:pPr>
          </w:p>
        </w:tc>
        <w:tc>
          <w:tcPr>
            <w:tcW w:w="654" w:type="dxa"/>
            <w:vMerge w:val="continue"/>
            <w:tcBorders>
              <w:top w:val="nil"/>
            </w:tcBorders>
            <w:vAlign w:val="top"/>
          </w:tcPr>
          <w:p w14:paraId="6C9A3737">
            <w:pPr>
              <w:rPr>
                <w:rFonts w:ascii="Arial"/>
                <w:sz w:val="21"/>
              </w:rPr>
            </w:pPr>
          </w:p>
        </w:tc>
        <w:tc>
          <w:tcPr>
            <w:tcW w:w="843" w:type="dxa"/>
            <w:vAlign w:val="top"/>
          </w:tcPr>
          <w:p w14:paraId="5F69F8FC">
            <w:pPr>
              <w:pStyle w:val="6"/>
              <w:spacing w:before="135" w:line="269" w:lineRule="exact"/>
              <w:ind w:left="318"/>
            </w:pPr>
            <w:r>
              <w:rPr>
                <w:spacing w:val="2"/>
                <w:position w:val="1"/>
              </w:rPr>
              <w:t>Pb</w:t>
            </w:r>
          </w:p>
        </w:tc>
        <w:tc>
          <w:tcPr>
            <w:tcW w:w="843" w:type="dxa"/>
            <w:vAlign w:val="top"/>
          </w:tcPr>
          <w:p w14:paraId="452EC10D">
            <w:pPr>
              <w:pStyle w:val="6"/>
              <w:spacing w:before="170" w:line="187" w:lineRule="auto"/>
              <w:ind w:left="320"/>
            </w:pPr>
            <w:r>
              <w:rPr>
                <w:spacing w:val="1"/>
              </w:rPr>
              <w:t>Zn</w:t>
            </w:r>
          </w:p>
        </w:tc>
        <w:tc>
          <w:tcPr>
            <w:tcW w:w="792" w:type="dxa"/>
            <w:vAlign w:val="top"/>
          </w:tcPr>
          <w:p w14:paraId="1FB10BD9">
            <w:pPr>
              <w:pStyle w:val="6"/>
              <w:spacing w:before="135" w:line="222" w:lineRule="auto"/>
              <w:ind w:left="237"/>
            </w:pPr>
            <w:r>
              <w:t>Ag</w:t>
            </w:r>
            <w:r>
              <w:rPr>
                <w:spacing w:val="14"/>
              </w:rPr>
              <w:t>*</w:t>
            </w:r>
          </w:p>
        </w:tc>
        <w:tc>
          <w:tcPr>
            <w:tcW w:w="727" w:type="dxa"/>
            <w:vAlign w:val="top"/>
          </w:tcPr>
          <w:p w14:paraId="40797535">
            <w:pPr>
              <w:pStyle w:val="6"/>
              <w:spacing w:before="135" w:line="269" w:lineRule="exact"/>
              <w:ind w:left="262"/>
            </w:pPr>
            <w:r>
              <w:rPr>
                <w:spacing w:val="2"/>
                <w:position w:val="1"/>
              </w:rPr>
              <w:t>Pb</w:t>
            </w:r>
          </w:p>
        </w:tc>
        <w:tc>
          <w:tcPr>
            <w:tcW w:w="735" w:type="dxa"/>
            <w:vAlign w:val="top"/>
          </w:tcPr>
          <w:p w14:paraId="3930C6C9">
            <w:pPr>
              <w:pStyle w:val="6"/>
              <w:spacing w:before="170" w:line="187" w:lineRule="auto"/>
              <w:ind w:left="267"/>
            </w:pPr>
            <w:r>
              <w:rPr>
                <w:spacing w:val="1"/>
              </w:rPr>
              <w:t>Zn</w:t>
            </w:r>
          </w:p>
        </w:tc>
        <w:tc>
          <w:tcPr>
            <w:tcW w:w="736" w:type="dxa"/>
            <w:vAlign w:val="top"/>
          </w:tcPr>
          <w:p w14:paraId="4105D0DA">
            <w:pPr>
              <w:pStyle w:val="6"/>
              <w:spacing w:before="167" w:line="191" w:lineRule="auto"/>
              <w:ind w:left="263"/>
            </w:pPr>
            <w:r>
              <w:rPr>
                <w:spacing w:val="4"/>
              </w:rPr>
              <w:t>Ag</w:t>
            </w:r>
          </w:p>
        </w:tc>
        <w:tc>
          <w:tcPr>
            <w:tcW w:w="947" w:type="dxa"/>
            <w:vMerge w:val="continue"/>
            <w:tcBorders>
              <w:top w:val="nil"/>
            </w:tcBorders>
            <w:vAlign w:val="top"/>
          </w:tcPr>
          <w:p w14:paraId="2EE6415E">
            <w:pPr>
              <w:rPr>
                <w:rFonts w:ascii="Arial"/>
                <w:sz w:val="21"/>
              </w:rPr>
            </w:pPr>
          </w:p>
        </w:tc>
        <w:tc>
          <w:tcPr>
            <w:tcW w:w="1199" w:type="dxa"/>
            <w:vMerge w:val="continue"/>
            <w:tcBorders>
              <w:top w:val="nil"/>
            </w:tcBorders>
            <w:vAlign w:val="top"/>
          </w:tcPr>
          <w:p w14:paraId="5AF42685">
            <w:pPr>
              <w:rPr>
                <w:rFonts w:ascii="Arial"/>
                <w:sz w:val="21"/>
              </w:rPr>
            </w:pPr>
          </w:p>
        </w:tc>
      </w:tr>
      <w:tr w14:paraId="3B6A7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82" w:type="dxa"/>
            <w:vAlign w:val="top"/>
          </w:tcPr>
          <w:p w14:paraId="4E3E9570">
            <w:pPr>
              <w:pStyle w:val="6"/>
              <w:spacing w:before="135" w:line="228" w:lineRule="auto"/>
              <w:ind w:left="87"/>
            </w:pPr>
            <w:r>
              <w:rPr>
                <w:spacing w:val="-2"/>
              </w:rPr>
              <w:t>原</w:t>
            </w:r>
            <w:r>
              <w:rPr>
                <w:spacing w:val="9"/>
              </w:rPr>
              <w:t xml:space="preserve">  </w:t>
            </w:r>
            <w:r>
              <w:rPr>
                <w:spacing w:val="-2"/>
              </w:rPr>
              <w:t>矿</w:t>
            </w:r>
          </w:p>
        </w:tc>
        <w:tc>
          <w:tcPr>
            <w:tcW w:w="654" w:type="dxa"/>
            <w:vAlign w:val="top"/>
          </w:tcPr>
          <w:p w14:paraId="1A9A4262">
            <w:pPr>
              <w:pStyle w:val="6"/>
              <w:spacing w:before="135" w:line="268" w:lineRule="exact"/>
              <w:ind w:left="84"/>
            </w:pPr>
            <w:r>
              <w:rPr>
                <w:position w:val="1"/>
              </w:rPr>
              <w:t>100.0</w:t>
            </w:r>
          </w:p>
        </w:tc>
        <w:tc>
          <w:tcPr>
            <w:tcW w:w="843" w:type="dxa"/>
            <w:vAlign w:val="top"/>
          </w:tcPr>
          <w:p w14:paraId="700E29A4">
            <w:pPr>
              <w:pStyle w:val="6"/>
              <w:spacing w:before="135" w:line="268" w:lineRule="exact"/>
              <w:ind w:left="231"/>
            </w:pPr>
            <w:r>
              <w:rPr>
                <w:spacing w:val="-1"/>
                <w:position w:val="1"/>
              </w:rPr>
              <w:t>1.66</w:t>
            </w:r>
          </w:p>
        </w:tc>
        <w:tc>
          <w:tcPr>
            <w:tcW w:w="843" w:type="dxa"/>
            <w:vAlign w:val="top"/>
          </w:tcPr>
          <w:p w14:paraId="74EDED99">
            <w:pPr>
              <w:pStyle w:val="6"/>
              <w:spacing w:before="135" w:line="268" w:lineRule="exact"/>
              <w:ind w:left="219"/>
            </w:pPr>
            <w:r>
              <w:rPr>
                <w:spacing w:val="2"/>
                <w:position w:val="1"/>
              </w:rPr>
              <w:t>3.07</w:t>
            </w:r>
          </w:p>
        </w:tc>
        <w:tc>
          <w:tcPr>
            <w:tcW w:w="792" w:type="dxa"/>
            <w:vAlign w:val="top"/>
          </w:tcPr>
          <w:p w14:paraId="670816DA">
            <w:pPr>
              <w:pStyle w:val="6"/>
              <w:spacing w:before="135" w:line="268" w:lineRule="exact"/>
              <w:ind w:left="156"/>
            </w:pPr>
            <w:r>
              <w:rPr>
                <w:position w:val="1"/>
              </w:rPr>
              <w:t>188.0</w:t>
            </w:r>
          </w:p>
        </w:tc>
        <w:tc>
          <w:tcPr>
            <w:tcW w:w="727" w:type="dxa"/>
            <w:vAlign w:val="top"/>
          </w:tcPr>
          <w:p w14:paraId="1B0D50E3">
            <w:pPr>
              <w:pStyle w:val="6"/>
              <w:spacing w:before="135" w:line="268" w:lineRule="exact"/>
              <w:ind w:left="107"/>
            </w:pPr>
            <w:r>
              <w:rPr>
                <w:spacing w:val="3"/>
                <w:position w:val="1"/>
              </w:rPr>
              <w:t>93.25</w:t>
            </w:r>
          </w:p>
        </w:tc>
        <w:tc>
          <w:tcPr>
            <w:tcW w:w="735" w:type="dxa"/>
            <w:vAlign w:val="top"/>
          </w:tcPr>
          <w:p w14:paraId="7EE8A786">
            <w:pPr>
              <w:pStyle w:val="6"/>
              <w:spacing w:before="135" w:line="268" w:lineRule="exact"/>
              <w:ind w:left="112"/>
            </w:pPr>
            <w:r>
              <w:rPr>
                <w:spacing w:val="3"/>
                <w:position w:val="1"/>
              </w:rPr>
              <w:t>93.15</w:t>
            </w:r>
          </w:p>
        </w:tc>
        <w:tc>
          <w:tcPr>
            <w:tcW w:w="736" w:type="dxa"/>
            <w:vAlign w:val="top"/>
          </w:tcPr>
          <w:p w14:paraId="55121CB7">
            <w:pPr>
              <w:pStyle w:val="6"/>
              <w:spacing w:before="135" w:line="268" w:lineRule="exact"/>
              <w:ind w:left="112"/>
            </w:pPr>
            <w:r>
              <w:rPr>
                <w:spacing w:val="3"/>
                <w:position w:val="1"/>
              </w:rPr>
              <w:t>88.98</w:t>
            </w:r>
          </w:p>
        </w:tc>
        <w:tc>
          <w:tcPr>
            <w:tcW w:w="947" w:type="dxa"/>
            <w:vAlign w:val="top"/>
          </w:tcPr>
          <w:p w14:paraId="17109A4F">
            <w:pPr>
              <w:pStyle w:val="6"/>
              <w:spacing w:before="135" w:line="268" w:lineRule="exact"/>
              <w:ind w:left="164"/>
            </w:pPr>
            <w:r>
              <w:rPr>
                <w:spacing w:val="3"/>
                <w:position w:val="1"/>
              </w:rPr>
              <w:t>426000</w:t>
            </w:r>
          </w:p>
        </w:tc>
        <w:tc>
          <w:tcPr>
            <w:tcW w:w="1199" w:type="dxa"/>
            <w:vAlign w:val="top"/>
          </w:tcPr>
          <w:p w14:paraId="5E8C687D">
            <w:pPr>
              <w:pStyle w:val="6"/>
              <w:spacing w:before="135" w:line="233" w:lineRule="auto"/>
              <w:ind w:left="551"/>
            </w:pPr>
            <w:r>
              <w:t>/</w:t>
            </w:r>
          </w:p>
        </w:tc>
      </w:tr>
      <w:tr w14:paraId="7111A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782" w:type="dxa"/>
            <w:vAlign w:val="top"/>
          </w:tcPr>
          <w:p w14:paraId="11433666">
            <w:pPr>
              <w:pStyle w:val="6"/>
              <w:spacing w:before="215" w:line="227" w:lineRule="auto"/>
              <w:ind w:left="82"/>
            </w:pPr>
            <w:r>
              <w:rPr>
                <w:spacing w:val="6"/>
              </w:rPr>
              <w:t>铅精矿</w:t>
            </w:r>
          </w:p>
        </w:tc>
        <w:tc>
          <w:tcPr>
            <w:tcW w:w="654" w:type="dxa"/>
            <w:vAlign w:val="top"/>
          </w:tcPr>
          <w:p w14:paraId="5D06A72C">
            <w:pPr>
              <w:pStyle w:val="6"/>
              <w:spacing w:before="215" w:line="267" w:lineRule="exact"/>
              <w:ind w:left="124"/>
            </w:pPr>
            <w:r>
              <w:rPr>
                <w:spacing w:val="2"/>
                <w:position w:val="1"/>
              </w:rPr>
              <w:t>2.87</w:t>
            </w:r>
          </w:p>
        </w:tc>
        <w:tc>
          <w:tcPr>
            <w:tcW w:w="843" w:type="dxa"/>
            <w:vAlign w:val="top"/>
          </w:tcPr>
          <w:p w14:paraId="0DBB783B">
            <w:pPr>
              <w:pStyle w:val="6"/>
              <w:spacing w:before="215" w:line="267" w:lineRule="exact"/>
              <w:ind w:left="167"/>
            </w:pPr>
            <w:r>
              <w:rPr>
                <w:spacing w:val="2"/>
                <w:position w:val="1"/>
              </w:rPr>
              <w:t>52.00</w:t>
            </w:r>
          </w:p>
        </w:tc>
        <w:tc>
          <w:tcPr>
            <w:tcW w:w="843" w:type="dxa"/>
            <w:vAlign w:val="top"/>
          </w:tcPr>
          <w:p w14:paraId="40F6032F">
            <w:pPr>
              <w:pStyle w:val="6"/>
              <w:spacing w:before="215" w:line="267" w:lineRule="exact"/>
              <w:ind w:left="219"/>
            </w:pPr>
            <w:r>
              <w:rPr>
                <w:spacing w:val="2"/>
                <w:position w:val="1"/>
              </w:rPr>
              <w:t>5.50</w:t>
            </w:r>
          </w:p>
        </w:tc>
        <w:tc>
          <w:tcPr>
            <w:tcW w:w="792" w:type="dxa"/>
            <w:vAlign w:val="top"/>
          </w:tcPr>
          <w:p w14:paraId="6DC1AF5D">
            <w:pPr>
              <w:pStyle w:val="6"/>
              <w:spacing w:before="215" w:line="267" w:lineRule="exact"/>
              <w:ind w:left="92"/>
            </w:pPr>
            <w:r>
              <w:rPr>
                <w:spacing w:val="2"/>
                <w:position w:val="1"/>
              </w:rPr>
              <w:t>5300.0</w:t>
            </w:r>
          </w:p>
        </w:tc>
        <w:tc>
          <w:tcPr>
            <w:tcW w:w="727" w:type="dxa"/>
            <w:vAlign w:val="top"/>
          </w:tcPr>
          <w:p w14:paraId="1C8E5C14">
            <w:pPr>
              <w:pStyle w:val="6"/>
              <w:spacing w:before="215" w:line="267" w:lineRule="exact"/>
              <w:ind w:left="160"/>
            </w:pPr>
            <w:r>
              <w:rPr>
                <w:spacing w:val="3"/>
                <w:position w:val="1"/>
              </w:rPr>
              <w:t>90.0</w:t>
            </w:r>
          </w:p>
        </w:tc>
        <w:tc>
          <w:tcPr>
            <w:tcW w:w="735" w:type="dxa"/>
            <w:vAlign w:val="top"/>
          </w:tcPr>
          <w:p w14:paraId="43039896">
            <w:pPr>
              <w:pStyle w:val="6"/>
              <w:spacing w:before="215" w:line="267" w:lineRule="exact"/>
              <w:ind w:left="169"/>
            </w:pPr>
            <w:r>
              <w:rPr>
                <w:spacing w:val="1"/>
                <w:position w:val="1"/>
              </w:rPr>
              <w:t>5.15</w:t>
            </w:r>
          </w:p>
        </w:tc>
        <w:tc>
          <w:tcPr>
            <w:tcW w:w="736" w:type="dxa"/>
            <w:vAlign w:val="top"/>
          </w:tcPr>
          <w:p w14:paraId="4BF72B35">
            <w:pPr>
              <w:pStyle w:val="6"/>
              <w:spacing w:before="215" w:line="267" w:lineRule="exact"/>
              <w:ind w:left="112"/>
            </w:pPr>
            <w:r>
              <w:rPr>
                <w:spacing w:val="3"/>
                <w:position w:val="1"/>
              </w:rPr>
              <w:t>81.00</w:t>
            </w:r>
          </w:p>
        </w:tc>
        <w:tc>
          <w:tcPr>
            <w:tcW w:w="947" w:type="dxa"/>
            <w:vAlign w:val="top"/>
          </w:tcPr>
          <w:p w14:paraId="2586B447">
            <w:pPr>
              <w:pStyle w:val="6"/>
              <w:spacing w:before="138" w:line="268" w:lineRule="exact"/>
              <w:ind w:left="127"/>
            </w:pPr>
            <w:r>
              <w:rPr>
                <w:spacing w:val="1"/>
                <w:position w:val="1"/>
              </w:rPr>
              <w:t>12226.2</w:t>
            </w:r>
          </w:p>
        </w:tc>
        <w:tc>
          <w:tcPr>
            <w:tcW w:w="1199" w:type="dxa"/>
            <w:vAlign w:val="top"/>
          </w:tcPr>
          <w:p w14:paraId="7FE3537F">
            <w:pPr>
              <w:pStyle w:val="6"/>
              <w:spacing w:before="56" w:line="233" w:lineRule="auto"/>
              <w:ind w:left="390"/>
            </w:pPr>
            <w:r>
              <w:t>YS</w:t>
            </w:r>
            <w:r>
              <w:rPr>
                <w:spacing w:val="8"/>
              </w:rPr>
              <w:t>/T</w:t>
            </w:r>
          </w:p>
          <w:p w14:paraId="2052B37E">
            <w:pPr>
              <w:pStyle w:val="6"/>
              <w:spacing w:before="67" w:line="236" w:lineRule="auto"/>
              <w:ind w:left="189"/>
            </w:pPr>
            <w:r>
              <w:rPr>
                <w:spacing w:val="3"/>
              </w:rPr>
              <w:t>319-2013</w:t>
            </w:r>
          </w:p>
        </w:tc>
      </w:tr>
      <w:tr w14:paraId="48066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782" w:type="dxa"/>
            <w:vAlign w:val="top"/>
          </w:tcPr>
          <w:p w14:paraId="7D743995">
            <w:pPr>
              <w:pStyle w:val="6"/>
              <w:spacing w:before="216" w:line="227" w:lineRule="auto"/>
              <w:ind w:left="81"/>
            </w:pPr>
            <w:r>
              <w:rPr>
                <w:spacing w:val="7"/>
              </w:rPr>
              <w:t>锌精矿</w:t>
            </w:r>
          </w:p>
        </w:tc>
        <w:tc>
          <w:tcPr>
            <w:tcW w:w="654" w:type="dxa"/>
            <w:vAlign w:val="top"/>
          </w:tcPr>
          <w:p w14:paraId="3B1E4384">
            <w:pPr>
              <w:pStyle w:val="6"/>
              <w:spacing w:before="216" w:line="267" w:lineRule="exact"/>
              <w:ind w:left="123"/>
            </w:pPr>
            <w:r>
              <w:rPr>
                <w:spacing w:val="2"/>
                <w:position w:val="1"/>
              </w:rPr>
              <w:t>6.00</w:t>
            </w:r>
          </w:p>
        </w:tc>
        <w:tc>
          <w:tcPr>
            <w:tcW w:w="843" w:type="dxa"/>
            <w:vAlign w:val="top"/>
          </w:tcPr>
          <w:p w14:paraId="4ABB0C6E">
            <w:pPr>
              <w:pStyle w:val="6"/>
              <w:spacing w:before="216" w:line="267" w:lineRule="exact"/>
              <w:ind w:left="218"/>
            </w:pPr>
            <w:r>
              <w:rPr>
                <w:spacing w:val="2"/>
                <w:position w:val="1"/>
              </w:rPr>
              <w:t>0.90</w:t>
            </w:r>
          </w:p>
        </w:tc>
        <w:tc>
          <w:tcPr>
            <w:tcW w:w="843" w:type="dxa"/>
            <w:vAlign w:val="top"/>
          </w:tcPr>
          <w:p w14:paraId="7AABE8CA">
            <w:pPr>
              <w:pStyle w:val="6"/>
              <w:spacing w:before="216" w:line="267" w:lineRule="exact"/>
              <w:ind w:left="162"/>
            </w:pPr>
            <w:r>
              <w:rPr>
                <w:spacing w:val="3"/>
                <w:position w:val="1"/>
              </w:rPr>
              <w:t>45.00</w:t>
            </w:r>
          </w:p>
        </w:tc>
        <w:tc>
          <w:tcPr>
            <w:tcW w:w="792" w:type="dxa"/>
            <w:vAlign w:val="top"/>
          </w:tcPr>
          <w:p w14:paraId="68624FCD">
            <w:pPr>
              <w:pStyle w:val="6"/>
              <w:spacing w:before="216" w:line="267" w:lineRule="exact"/>
              <w:ind w:left="90"/>
            </w:pPr>
            <w:r>
              <w:rPr>
                <w:spacing w:val="3"/>
                <w:position w:val="1"/>
              </w:rPr>
              <w:t>250.00</w:t>
            </w:r>
          </w:p>
        </w:tc>
        <w:tc>
          <w:tcPr>
            <w:tcW w:w="727" w:type="dxa"/>
            <w:vAlign w:val="top"/>
          </w:tcPr>
          <w:p w14:paraId="051E8875">
            <w:pPr>
              <w:pStyle w:val="6"/>
              <w:spacing w:before="216" w:line="267" w:lineRule="exact"/>
              <w:ind w:left="164"/>
            </w:pPr>
            <w:r>
              <w:rPr>
                <w:spacing w:val="2"/>
                <w:position w:val="1"/>
              </w:rPr>
              <w:t>3.25</w:t>
            </w:r>
          </w:p>
        </w:tc>
        <w:tc>
          <w:tcPr>
            <w:tcW w:w="735" w:type="dxa"/>
            <w:vAlign w:val="top"/>
          </w:tcPr>
          <w:p w14:paraId="79B9BB14">
            <w:pPr>
              <w:pStyle w:val="6"/>
              <w:spacing w:before="216" w:line="267" w:lineRule="exact"/>
              <w:ind w:left="112"/>
            </w:pPr>
            <w:r>
              <w:rPr>
                <w:spacing w:val="3"/>
                <w:position w:val="1"/>
              </w:rPr>
              <w:t>88.00</w:t>
            </w:r>
          </w:p>
        </w:tc>
        <w:tc>
          <w:tcPr>
            <w:tcW w:w="736" w:type="dxa"/>
            <w:vAlign w:val="top"/>
          </w:tcPr>
          <w:p w14:paraId="3C28C84F">
            <w:pPr>
              <w:pStyle w:val="6"/>
              <w:spacing w:before="216" w:line="267" w:lineRule="exact"/>
              <w:ind w:left="169"/>
            </w:pPr>
            <w:r>
              <w:rPr>
                <w:spacing w:val="2"/>
                <w:position w:val="1"/>
              </w:rPr>
              <w:t>7.98</w:t>
            </w:r>
          </w:p>
        </w:tc>
        <w:tc>
          <w:tcPr>
            <w:tcW w:w="947" w:type="dxa"/>
            <w:vAlign w:val="top"/>
          </w:tcPr>
          <w:p w14:paraId="6EB71486">
            <w:pPr>
              <w:pStyle w:val="6"/>
              <w:spacing w:before="139" w:line="268" w:lineRule="exact"/>
              <w:ind w:left="220"/>
            </w:pPr>
            <w:r>
              <w:rPr>
                <w:spacing w:val="2"/>
                <w:position w:val="1"/>
              </w:rPr>
              <w:t>25560</w:t>
            </w:r>
          </w:p>
        </w:tc>
        <w:tc>
          <w:tcPr>
            <w:tcW w:w="1199" w:type="dxa"/>
            <w:vAlign w:val="top"/>
          </w:tcPr>
          <w:p w14:paraId="7EAFA2AD">
            <w:pPr>
              <w:pStyle w:val="6"/>
              <w:spacing w:before="57" w:line="233" w:lineRule="auto"/>
              <w:ind w:left="390"/>
            </w:pPr>
            <w:r>
              <w:t>YS</w:t>
            </w:r>
            <w:r>
              <w:rPr>
                <w:spacing w:val="8"/>
              </w:rPr>
              <w:t>/T</w:t>
            </w:r>
          </w:p>
          <w:p w14:paraId="0727F3B8">
            <w:pPr>
              <w:pStyle w:val="6"/>
              <w:spacing w:before="67" w:line="235" w:lineRule="auto"/>
              <w:ind w:left="189"/>
            </w:pPr>
            <w:r>
              <w:rPr>
                <w:spacing w:val="3"/>
              </w:rPr>
              <w:t>320-2014</w:t>
            </w:r>
          </w:p>
        </w:tc>
      </w:tr>
      <w:tr w14:paraId="69E4C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82" w:type="dxa"/>
            <w:vAlign w:val="top"/>
          </w:tcPr>
          <w:p w14:paraId="11B33E5B">
            <w:pPr>
              <w:pStyle w:val="6"/>
              <w:spacing w:before="140" w:line="228" w:lineRule="auto"/>
              <w:ind w:left="82"/>
            </w:pPr>
            <w:r>
              <w:rPr>
                <w:spacing w:val="1"/>
              </w:rPr>
              <w:t>尾</w:t>
            </w:r>
            <w:r>
              <w:rPr>
                <w:spacing w:val="9"/>
              </w:rPr>
              <w:t xml:space="preserve">  </w:t>
            </w:r>
            <w:r>
              <w:rPr>
                <w:spacing w:val="1"/>
              </w:rPr>
              <w:t>矿</w:t>
            </w:r>
          </w:p>
        </w:tc>
        <w:tc>
          <w:tcPr>
            <w:tcW w:w="654" w:type="dxa"/>
            <w:vAlign w:val="top"/>
          </w:tcPr>
          <w:p w14:paraId="727C76B7">
            <w:pPr>
              <w:pStyle w:val="6"/>
              <w:spacing w:before="140" w:line="268" w:lineRule="exact"/>
              <w:ind w:left="69"/>
            </w:pPr>
            <w:r>
              <w:rPr>
                <w:spacing w:val="3"/>
                <w:position w:val="1"/>
              </w:rPr>
              <w:t>91.12</w:t>
            </w:r>
          </w:p>
        </w:tc>
        <w:tc>
          <w:tcPr>
            <w:tcW w:w="843" w:type="dxa"/>
            <w:vAlign w:val="top"/>
          </w:tcPr>
          <w:p w14:paraId="5DFDF0CA">
            <w:pPr>
              <w:pStyle w:val="6"/>
              <w:spacing w:before="140" w:line="268" w:lineRule="exact"/>
              <w:ind w:left="218"/>
            </w:pPr>
            <w:r>
              <w:rPr>
                <w:spacing w:val="2"/>
                <w:position w:val="1"/>
              </w:rPr>
              <w:t>0.12</w:t>
            </w:r>
          </w:p>
        </w:tc>
        <w:tc>
          <w:tcPr>
            <w:tcW w:w="843" w:type="dxa"/>
            <w:vAlign w:val="top"/>
          </w:tcPr>
          <w:p w14:paraId="71AEE1BE">
            <w:pPr>
              <w:pStyle w:val="6"/>
              <w:spacing w:before="140" w:line="268" w:lineRule="exact"/>
              <w:ind w:left="217"/>
            </w:pPr>
            <w:r>
              <w:rPr>
                <w:spacing w:val="2"/>
                <w:position w:val="1"/>
              </w:rPr>
              <w:t>0.23</w:t>
            </w:r>
          </w:p>
        </w:tc>
        <w:tc>
          <w:tcPr>
            <w:tcW w:w="792" w:type="dxa"/>
            <w:vAlign w:val="top"/>
          </w:tcPr>
          <w:p w14:paraId="1D79EB5A">
            <w:pPr>
              <w:pStyle w:val="6"/>
              <w:spacing w:before="140" w:line="268" w:lineRule="exact"/>
              <w:ind w:left="143"/>
            </w:pPr>
            <w:r>
              <w:rPr>
                <w:spacing w:val="2"/>
                <w:position w:val="1"/>
              </w:rPr>
              <w:t>22.91</w:t>
            </w:r>
          </w:p>
        </w:tc>
        <w:tc>
          <w:tcPr>
            <w:tcW w:w="727" w:type="dxa"/>
            <w:vAlign w:val="top"/>
          </w:tcPr>
          <w:p w14:paraId="155FA867">
            <w:pPr>
              <w:pStyle w:val="6"/>
              <w:spacing w:before="140" w:line="268" w:lineRule="exact"/>
              <w:ind w:left="161"/>
            </w:pPr>
            <w:r>
              <w:rPr>
                <w:spacing w:val="2"/>
                <w:position w:val="1"/>
              </w:rPr>
              <w:t>6.75</w:t>
            </w:r>
          </w:p>
        </w:tc>
        <w:tc>
          <w:tcPr>
            <w:tcW w:w="735" w:type="dxa"/>
            <w:vAlign w:val="top"/>
          </w:tcPr>
          <w:p w14:paraId="3FCC174F">
            <w:pPr>
              <w:pStyle w:val="6"/>
              <w:spacing w:before="140" w:line="268" w:lineRule="exact"/>
              <w:ind w:left="166"/>
            </w:pPr>
            <w:r>
              <w:rPr>
                <w:spacing w:val="2"/>
                <w:position w:val="1"/>
              </w:rPr>
              <w:t>6.85</w:t>
            </w:r>
          </w:p>
        </w:tc>
        <w:tc>
          <w:tcPr>
            <w:tcW w:w="736" w:type="dxa"/>
            <w:vAlign w:val="top"/>
          </w:tcPr>
          <w:p w14:paraId="34A8AD7C">
            <w:pPr>
              <w:pStyle w:val="6"/>
              <w:spacing w:before="140" w:line="268" w:lineRule="exact"/>
              <w:ind w:left="127"/>
            </w:pPr>
            <w:r>
              <w:rPr>
                <w:position w:val="1"/>
              </w:rPr>
              <w:t>11.02</w:t>
            </w:r>
          </w:p>
        </w:tc>
        <w:tc>
          <w:tcPr>
            <w:tcW w:w="947" w:type="dxa"/>
            <w:vAlign w:val="top"/>
          </w:tcPr>
          <w:p w14:paraId="1FF67B07">
            <w:pPr>
              <w:pStyle w:val="6"/>
              <w:spacing w:before="140" w:line="268" w:lineRule="exact"/>
              <w:ind w:left="66"/>
            </w:pPr>
            <w:r>
              <w:rPr>
                <w:spacing w:val="3"/>
                <w:position w:val="1"/>
              </w:rPr>
              <w:t>388209.6</w:t>
            </w:r>
          </w:p>
        </w:tc>
        <w:tc>
          <w:tcPr>
            <w:tcW w:w="1199" w:type="dxa"/>
            <w:vAlign w:val="top"/>
          </w:tcPr>
          <w:p w14:paraId="156DC2F7">
            <w:pPr>
              <w:pStyle w:val="6"/>
              <w:spacing w:before="140" w:line="233" w:lineRule="auto"/>
              <w:ind w:left="551"/>
            </w:pPr>
            <w:r>
              <w:t>/</w:t>
            </w:r>
          </w:p>
        </w:tc>
      </w:tr>
    </w:tbl>
    <w:p w14:paraId="7190B427">
      <w:pPr>
        <w:spacing w:before="33" w:line="214" w:lineRule="auto"/>
        <w:ind w:left="590"/>
        <w:rPr>
          <w:rFonts w:ascii="宋体" w:hAnsi="宋体" w:eastAsia="宋体" w:cs="宋体"/>
          <w:sz w:val="24"/>
          <w:szCs w:val="24"/>
        </w:rPr>
      </w:pPr>
      <w:r>
        <w:rPr>
          <w:rFonts w:ascii="宋体" w:hAnsi="宋体" w:eastAsia="宋体" w:cs="宋体"/>
          <w:spacing w:val="-4"/>
          <w:sz w:val="24"/>
          <w:szCs w:val="24"/>
        </w:rPr>
        <w:t>*Ag</w:t>
      </w:r>
      <w:r>
        <w:rPr>
          <w:rFonts w:ascii="宋体" w:hAnsi="宋体" w:eastAsia="宋体" w:cs="宋体"/>
          <w:spacing w:val="-47"/>
          <w:sz w:val="24"/>
          <w:szCs w:val="24"/>
        </w:rPr>
        <w:t xml:space="preserve"> </w:t>
      </w:r>
      <w:r>
        <w:rPr>
          <w:rFonts w:ascii="宋体" w:hAnsi="宋体" w:eastAsia="宋体" w:cs="宋体"/>
          <w:spacing w:val="-4"/>
          <w:sz w:val="24"/>
          <w:szCs w:val="24"/>
        </w:rPr>
        <w:t>单位为</w:t>
      </w:r>
      <w:r>
        <w:rPr>
          <w:rFonts w:ascii="宋体" w:hAnsi="宋体" w:eastAsia="宋体" w:cs="宋体"/>
          <w:spacing w:val="-47"/>
          <w:sz w:val="24"/>
          <w:szCs w:val="24"/>
        </w:rPr>
        <w:t xml:space="preserve"> </w:t>
      </w:r>
      <w:r>
        <w:rPr>
          <w:rFonts w:ascii="宋体" w:hAnsi="宋体" w:eastAsia="宋体" w:cs="宋体"/>
          <w:spacing w:val="-4"/>
          <w:sz w:val="24"/>
          <w:szCs w:val="24"/>
        </w:rPr>
        <w:t>g/t</w:t>
      </w:r>
    </w:p>
    <w:p w14:paraId="68279930">
      <w:pPr>
        <w:spacing w:before="110" w:line="219" w:lineRule="auto"/>
        <w:ind w:left="590"/>
        <w:outlineLvl w:val="2"/>
        <w:rPr>
          <w:rFonts w:ascii="宋体" w:hAnsi="宋体" w:eastAsia="宋体" w:cs="宋体"/>
          <w:sz w:val="24"/>
          <w:szCs w:val="24"/>
        </w:rPr>
      </w:pPr>
      <w:bookmarkStart w:id="65" w:name="bookmark60"/>
      <w:bookmarkEnd w:id="65"/>
      <w:r>
        <w:rPr>
          <w:rFonts w:ascii="Times New Roman" w:hAnsi="Times New Roman" w:eastAsia="Times New Roman" w:cs="Times New Roman"/>
          <w:b/>
          <w:bCs/>
          <w:spacing w:val="-4"/>
          <w:sz w:val="24"/>
          <w:szCs w:val="24"/>
        </w:rPr>
        <w:t>5.1.3</w:t>
      </w:r>
      <w:r>
        <w:rPr>
          <w:rFonts w:ascii="Times New Roman" w:hAnsi="Times New Roman" w:eastAsia="Times New Roman" w:cs="Times New Roman"/>
          <w:b/>
          <w:bCs/>
          <w:spacing w:val="19"/>
          <w:sz w:val="24"/>
          <w:szCs w:val="24"/>
        </w:rPr>
        <w:t xml:space="preserve"> </w:t>
      </w:r>
      <w:r>
        <w:rPr>
          <w:rFonts w:ascii="宋体" w:hAnsi="宋体" w:eastAsia="宋体" w:cs="宋体"/>
          <w:b/>
          <w:bCs/>
          <w:spacing w:val="-4"/>
          <w:sz w:val="24"/>
          <w:szCs w:val="24"/>
        </w:rPr>
        <w:t>能源消耗</w:t>
      </w:r>
    </w:p>
    <w:p w14:paraId="5AD276B8">
      <w:pPr>
        <w:spacing w:before="192" w:line="219" w:lineRule="auto"/>
        <w:ind w:left="60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）电力</w:t>
      </w:r>
    </w:p>
    <w:p w14:paraId="086572A1">
      <w:pPr>
        <w:pStyle w:val="2"/>
        <w:spacing w:before="193" w:line="219" w:lineRule="auto"/>
        <w:ind w:left="592"/>
        <w:rPr>
          <w:rFonts w:ascii="宋体" w:hAnsi="宋体" w:eastAsia="宋体" w:cs="宋体"/>
          <w:sz w:val="24"/>
          <w:szCs w:val="24"/>
        </w:rPr>
      </w:pPr>
      <w:r>
        <w:rPr>
          <w:rFonts w:ascii="宋体" w:hAnsi="宋体" w:eastAsia="宋体" w:cs="宋体"/>
          <w:sz w:val="24"/>
          <w:szCs w:val="24"/>
        </w:rPr>
        <w:t>利用厂内现有输电线路，技改工程实施后全厂耗电量</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4038</w:t>
      </w:r>
      <w:r>
        <w:rPr>
          <w:rFonts w:ascii="Times New Roman" w:hAnsi="Times New Roman" w:eastAsia="Times New Roman" w:cs="Times New Roman"/>
          <w:spacing w:val="-1"/>
          <w:sz w:val="24"/>
          <w:szCs w:val="24"/>
        </w:rPr>
        <w:t>.51</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4</w:t>
      </w:r>
      <w:r>
        <w:rPr>
          <w:rFonts w:ascii="Times New Roman" w:hAnsi="Times New Roman" w:eastAsia="Times New Roman" w:cs="Times New Roman"/>
          <w:spacing w:val="-1"/>
          <w:sz w:val="24"/>
          <w:szCs w:val="24"/>
        </w:rPr>
        <w:t>kW·h/a</w:t>
      </w:r>
      <w:r>
        <w:rPr>
          <w:rFonts w:ascii="宋体" w:hAnsi="宋体" w:eastAsia="宋体" w:cs="宋体"/>
          <w:spacing w:val="-1"/>
          <w:sz w:val="24"/>
          <w:szCs w:val="24"/>
        </w:rPr>
        <w:t>。</w:t>
      </w:r>
    </w:p>
    <w:p w14:paraId="49DF28D5">
      <w:pPr>
        <w:spacing w:before="196" w:line="219" w:lineRule="auto"/>
        <w:ind w:left="60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）新水</w:t>
      </w:r>
    </w:p>
    <w:p w14:paraId="73B38A23">
      <w:pPr>
        <w:spacing w:before="192" w:line="369" w:lineRule="auto"/>
        <w:ind w:left="123" w:right="251" w:firstLine="469"/>
        <w:rPr>
          <w:rFonts w:ascii="宋体" w:hAnsi="宋体" w:eastAsia="宋体" w:cs="宋体"/>
          <w:sz w:val="24"/>
          <w:szCs w:val="24"/>
        </w:rPr>
      </w:pPr>
      <w:r>
        <w:rPr>
          <w:rFonts w:ascii="宋体" w:hAnsi="宋体" w:eastAsia="宋体" w:cs="宋体"/>
          <w:spacing w:val="-1"/>
          <w:sz w:val="24"/>
          <w:szCs w:val="24"/>
        </w:rPr>
        <w:t>技改工程实施后全厂新水用量为</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880m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，选矿工程新水用量为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350 m</w:t>
      </w:r>
      <w:r>
        <w:rPr>
          <w:rFonts w:ascii="宋体" w:hAnsi="宋体" w:eastAsia="宋体" w:cs="宋体"/>
          <w:spacing w:val="-1"/>
          <w:sz w:val="24"/>
          <w:szCs w:val="24"/>
        </w:rPr>
        <w:t>³</w:t>
      </w:r>
      <w:r>
        <w:rPr>
          <w:rFonts w:ascii="Times New Roman" w:hAnsi="Times New Roman" w:eastAsia="Times New Roman" w:cs="Times New Roman"/>
          <w:spacing w:val="-1"/>
          <w:sz w:val="24"/>
          <w:szCs w:val="24"/>
        </w:rPr>
        <w:t>/d</w:t>
      </w:r>
      <w:r>
        <w:rPr>
          <w:rFonts w:ascii="Times New Roman" w:hAnsi="Times New Roman" w:eastAsia="Times New Roman" w:cs="Times New Roman"/>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73500m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/a</w:t>
      </w:r>
      <w:r>
        <w:rPr>
          <w:rFonts w:ascii="宋体" w:hAnsi="宋体" w:eastAsia="宋体" w:cs="宋体"/>
          <w:spacing w:val="-1"/>
          <w:sz w:val="24"/>
          <w:szCs w:val="24"/>
        </w:rPr>
        <w:t>）。本项目新水用于选矿用水和生活用水。</w:t>
      </w:r>
    </w:p>
    <w:p w14:paraId="0D80C0E6">
      <w:pPr>
        <w:spacing w:before="81" w:line="223" w:lineRule="auto"/>
        <w:ind w:left="111"/>
        <w:outlineLvl w:val="1"/>
        <w:rPr>
          <w:rFonts w:ascii="黑体" w:hAnsi="黑体" w:eastAsia="黑体" w:cs="黑体"/>
          <w:sz w:val="28"/>
          <w:szCs w:val="28"/>
        </w:rPr>
      </w:pPr>
      <w:bookmarkStart w:id="66" w:name="bookmark61"/>
      <w:bookmarkEnd w:id="66"/>
      <w:r>
        <w:rPr>
          <w:rFonts w:ascii="Times New Roman" w:hAnsi="Times New Roman" w:eastAsia="Times New Roman" w:cs="Times New Roman"/>
          <w:b/>
          <w:bCs/>
          <w:spacing w:val="-2"/>
          <w:sz w:val="28"/>
          <w:szCs w:val="28"/>
        </w:rPr>
        <w:t xml:space="preserve">5.2 </w:t>
      </w:r>
      <w:r>
        <w:rPr>
          <w:rFonts w:ascii="黑体" w:hAnsi="黑体" w:eastAsia="黑体" w:cs="黑体"/>
          <w:b/>
          <w:bCs/>
          <w:spacing w:val="-2"/>
          <w:sz w:val="28"/>
          <w:szCs w:val="28"/>
        </w:rPr>
        <w:t>物料及金属平衡</w:t>
      </w:r>
    </w:p>
    <w:p w14:paraId="111449C4">
      <w:pPr>
        <w:spacing w:before="263" w:line="220"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）物料平衡</w:t>
      </w:r>
    </w:p>
    <w:p w14:paraId="6D0F2F83">
      <w:pPr>
        <w:spacing w:before="192" w:line="219" w:lineRule="auto"/>
        <w:ind w:left="592"/>
        <w:rPr>
          <w:rFonts w:ascii="宋体" w:hAnsi="宋体" w:eastAsia="宋体" w:cs="宋体"/>
          <w:sz w:val="24"/>
          <w:szCs w:val="24"/>
        </w:rPr>
      </w:pPr>
      <w:r>
        <w:rPr>
          <w:rFonts w:ascii="宋体" w:hAnsi="宋体" w:eastAsia="宋体" w:cs="宋体"/>
          <w:spacing w:val="-2"/>
          <w:sz w:val="24"/>
          <w:szCs w:val="24"/>
        </w:rPr>
        <w:t>技改项目物料平衡见表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5.2-1</w:t>
      </w:r>
      <w:r>
        <w:rPr>
          <w:rFonts w:ascii="宋体" w:hAnsi="宋体" w:eastAsia="宋体" w:cs="宋体"/>
          <w:spacing w:val="-2"/>
          <w:sz w:val="24"/>
          <w:szCs w:val="24"/>
        </w:rPr>
        <w:t>。</w:t>
      </w:r>
    </w:p>
    <w:p w14:paraId="71C3ABE8">
      <w:pPr>
        <w:spacing w:before="193" w:line="219" w:lineRule="auto"/>
        <w:ind w:left="271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5.2-1        </w:t>
      </w:r>
      <w:r>
        <w:rPr>
          <w:rFonts w:ascii="宋体" w:hAnsi="宋体" w:eastAsia="宋体" w:cs="宋体"/>
          <w:spacing w:val="-1"/>
          <w:sz w:val="24"/>
          <w:szCs w:val="24"/>
        </w:rPr>
        <w:t>技改项目物料平衡表</w:t>
      </w:r>
    </w:p>
    <w:p w14:paraId="70DB3D70">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5"/>
        <w:gridCol w:w="2160"/>
        <w:gridCol w:w="2160"/>
        <w:gridCol w:w="2164"/>
      </w:tblGrid>
      <w:tr w14:paraId="27B50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85" w:type="dxa"/>
            <w:gridSpan w:val="2"/>
            <w:vAlign w:val="top"/>
          </w:tcPr>
          <w:p w14:paraId="4A572476">
            <w:pPr>
              <w:pStyle w:val="6"/>
              <w:spacing w:before="57" w:line="228" w:lineRule="auto"/>
              <w:ind w:left="1782"/>
            </w:pPr>
            <w:r>
              <w:rPr>
                <w:spacing w:val="7"/>
              </w:rPr>
              <w:t>输入项</w:t>
            </w:r>
          </w:p>
        </w:tc>
        <w:tc>
          <w:tcPr>
            <w:tcW w:w="4324" w:type="dxa"/>
            <w:gridSpan w:val="2"/>
            <w:vAlign w:val="top"/>
          </w:tcPr>
          <w:p w14:paraId="36A7A919">
            <w:pPr>
              <w:pStyle w:val="6"/>
              <w:spacing w:before="57" w:line="228" w:lineRule="auto"/>
              <w:ind w:left="1850"/>
            </w:pPr>
            <w:r>
              <w:rPr>
                <w:spacing w:val="7"/>
              </w:rPr>
              <w:t>输出项</w:t>
            </w:r>
          </w:p>
        </w:tc>
      </w:tr>
      <w:tr w14:paraId="79574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3372CFEC">
            <w:pPr>
              <w:pStyle w:val="6"/>
              <w:spacing w:before="53" w:line="228" w:lineRule="auto"/>
              <w:ind w:left="599"/>
            </w:pPr>
            <w:r>
              <w:rPr>
                <w:spacing w:val="7"/>
              </w:rPr>
              <w:t>物料名称</w:t>
            </w:r>
          </w:p>
        </w:tc>
        <w:tc>
          <w:tcPr>
            <w:tcW w:w="2160" w:type="dxa"/>
            <w:vAlign w:val="top"/>
          </w:tcPr>
          <w:p w14:paraId="44B12DB9">
            <w:pPr>
              <w:pStyle w:val="6"/>
              <w:spacing w:before="53" w:line="228" w:lineRule="auto"/>
              <w:ind w:left="407"/>
            </w:pPr>
            <w:r>
              <w:rPr>
                <w:spacing w:val="5"/>
              </w:rPr>
              <w:t>消耗量（t/a）</w:t>
            </w:r>
          </w:p>
        </w:tc>
        <w:tc>
          <w:tcPr>
            <w:tcW w:w="2160" w:type="dxa"/>
            <w:vAlign w:val="top"/>
          </w:tcPr>
          <w:p w14:paraId="7BE1BB2B">
            <w:pPr>
              <w:pStyle w:val="6"/>
              <w:spacing w:before="53" w:line="228" w:lineRule="auto"/>
              <w:ind w:left="665"/>
            </w:pPr>
            <w:r>
              <w:rPr>
                <w:spacing w:val="7"/>
              </w:rPr>
              <w:t>物料名称</w:t>
            </w:r>
          </w:p>
        </w:tc>
        <w:tc>
          <w:tcPr>
            <w:tcW w:w="2164" w:type="dxa"/>
            <w:vAlign w:val="top"/>
          </w:tcPr>
          <w:p w14:paraId="138DE77C">
            <w:pPr>
              <w:pStyle w:val="6"/>
              <w:spacing w:before="53" w:line="228" w:lineRule="auto"/>
              <w:ind w:left="403"/>
            </w:pPr>
            <w:r>
              <w:rPr>
                <w:spacing w:val="5"/>
              </w:rPr>
              <w:t>产出量（t/a）</w:t>
            </w:r>
          </w:p>
        </w:tc>
      </w:tr>
      <w:tr w14:paraId="404D2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36E0D976">
            <w:pPr>
              <w:pStyle w:val="6"/>
              <w:spacing w:before="53" w:line="228" w:lineRule="auto"/>
              <w:ind w:left="807"/>
            </w:pPr>
            <w:r>
              <w:rPr>
                <w:spacing w:val="5"/>
              </w:rPr>
              <w:t>矿石</w:t>
            </w:r>
          </w:p>
        </w:tc>
        <w:tc>
          <w:tcPr>
            <w:tcW w:w="2160" w:type="dxa"/>
            <w:vAlign w:val="top"/>
          </w:tcPr>
          <w:p w14:paraId="7648362B">
            <w:pPr>
              <w:pStyle w:val="6"/>
              <w:spacing w:before="53"/>
              <w:ind w:left="770"/>
            </w:pPr>
            <w:r>
              <w:rPr>
                <w:spacing w:val="3"/>
              </w:rPr>
              <w:t>426000</w:t>
            </w:r>
          </w:p>
        </w:tc>
        <w:tc>
          <w:tcPr>
            <w:tcW w:w="2160" w:type="dxa"/>
            <w:vAlign w:val="top"/>
          </w:tcPr>
          <w:p w14:paraId="2B88DB79">
            <w:pPr>
              <w:pStyle w:val="6"/>
              <w:spacing w:before="54" w:line="227" w:lineRule="auto"/>
              <w:ind w:left="770"/>
            </w:pPr>
            <w:r>
              <w:rPr>
                <w:spacing w:val="6"/>
              </w:rPr>
              <w:t>铅精矿</w:t>
            </w:r>
          </w:p>
        </w:tc>
        <w:tc>
          <w:tcPr>
            <w:tcW w:w="2164" w:type="dxa"/>
            <w:vAlign w:val="top"/>
          </w:tcPr>
          <w:p w14:paraId="0DA08BDF">
            <w:pPr>
              <w:pStyle w:val="6"/>
              <w:spacing w:before="53"/>
              <w:ind w:left="736"/>
            </w:pPr>
            <w:r>
              <w:rPr>
                <w:spacing w:val="1"/>
              </w:rPr>
              <w:t>12226.2</w:t>
            </w:r>
          </w:p>
        </w:tc>
      </w:tr>
      <w:tr w14:paraId="0D93F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31B187DE">
            <w:pPr>
              <w:pStyle w:val="6"/>
              <w:spacing w:before="56" w:line="233" w:lineRule="auto"/>
              <w:ind w:left="963"/>
            </w:pPr>
            <w:r>
              <w:t>/</w:t>
            </w:r>
          </w:p>
        </w:tc>
        <w:tc>
          <w:tcPr>
            <w:tcW w:w="2160" w:type="dxa"/>
            <w:vAlign w:val="top"/>
          </w:tcPr>
          <w:p w14:paraId="526B5525">
            <w:pPr>
              <w:pStyle w:val="6"/>
              <w:spacing w:before="56" w:line="233" w:lineRule="auto"/>
              <w:ind w:left="1031"/>
            </w:pPr>
            <w:r>
              <w:t>/</w:t>
            </w:r>
          </w:p>
        </w:tc>
        <w:tc>
          <w:tcPr>
            <w:tcW w:w="2160" w:type="dxa"/>
            <w:vAlign w:val="top"/>
          </w:tcPr>
          <w:p w14:paraId="52211AF9">
            <w:pPr>
              <w:pStyle w:val="6"/>
              <w:spacing w:before="56" w:line="227" w:lineRule="auto"/>
              <w:ind w:left="770"/>
            </w:pPr>
            <w:r>
              <w:rPr>
                <w:spacing w:val="7"/>
              </w:rPr>
              <w:t>锌精矿</w:t>
            </w:r>
          </w:p>
        </w:tc>
        <w:tc>
          <w:tcPr>
            <w:tcW w:w="2164" w:type="dxa"/>
            <w:vAlign w:val="top"/>
          </w:tcPr>
          <w:p w14:paraId="6FE533C1">
            <w:pPr>
              <w:pStyle w:val="6"/>
              <w:spacing w:before="56" w:line="237" w:lineRule="auto"/>
              <w:ind w:left="826"/>
            </w:pPr>
            <w:r>
              <w:rPr>
                <w:spacing w:val="2"/>
              </w:rPr>
              <w:t>25560</w:t>
            </w:r>
          </w:p>
        </w:tc>
      </w:tr>
      <w:tr w14:paraId="0683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1A575FA3">
            <w:pPr>
              <w:pStyle w:val="6"/>
              <w:spacing w:before="56" w:line="233" w:lineRule="auto"/>
              <w:ind w:left="963"/>
            </w:pPr>
            <w:r>
              <w:t>/</w:t>
            </w:r>
          </w:p>
        </w:tc>
        <w:tc>
          <w:tcPr>
            <w:tcW w:w="2160" w:type="dxa"/>
            <w:vAlign w:val="top"/>
          </w:tcPr>
          <w:p w14:paraId="6B318844">
            <w:pPr>
              <w:pStyle w:val="6"/>
              <w:spacing w:before="56" w:line="233" w:lineRule="auto"/>
              <w:ind w:left="1031"/>
            </w:pPr>
            <w:r>
              <w:t>/</w:t>
            </w:r>
          </w:p>
        </w:tc>
        <w:tc>
          <w:tcPr>
            <w:tcW w:w="2160" w:type="dxa"/>
            <w:vAlign w:val="top"/>
          </w:tcPr>
          <w:p w14:paraId="5013E223">
            <w:pPr>
              <w:pStyle w:val="6"/>
              <w:spacing w:before="56" w:line="228" w:lineRule="auto"/>
              <w:ind w:left="876"/>
            </w:pPr>
            <w:r>
              <w:rPr>
                <w:spacing w:val="4"/>
              </w:rPr>
              <w:t>尾矿</w:t>
            </w:r>
          </w:p>
        </w:tc>
        <w:tc>
          <w:tcPr>
            <w:tcW w:w="2164" w:type="dxa"/>
            <w:vAlign w:val="top"/>
          </w:tcPr>
          <w:p w14:paraId="0FA8C919">
            <w:pPr>
              <w:pStyle w:val="6"/>
              <w:spacing w:before="57" w:line="237" w:lineRule="auto"/>
              <w:ind w:left="671"/>
            </w:pPr>
            <w:r>
              <w:rPr>
                <w:spacing w:val="3"/>
              </w:rPr>
              <w:t>388209.6</w:t>
            </w:r>
          </w:p>
        </w:tc>
      </w:tr>
      <w:tr w14:paraId="64EB7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6917F543">
            <w:pPr>
              <w:pStyle w:val="6"/>
              <w:spacing w:before="56" w:line="233" w:lineRule="auto"/>
              <w:ind w:left="963"/>
            </w:pPr>
            <w:r>
              <w:t>/</w:t>
            </w:r>
          </w:p>
        </w:tc>
        <w:tc>
          <w:tcPr>
            <w:tcW w:w="2160" w:type="dxa"/>
            <w:vAlign w:val="top"/>
          </w:tcPr>
          <w:p w14:paraId="22DCA68B">
            <w:pPr>
              <w:pStyle w:val="6"/>
              <w:spacing w:before="56" w:line="233" w:lineRule="auto"/>
              <w:ind w:left="1031"/>
            </w:pPr>
            <w:r>
              <w:t>/</w:t>
            </w:r>
          </w:p>
        </w:tc>
        <w:tc>
          <w:tcPr>
            <w:tcW w:w="2160" w:type="dxa"/>
            <w:vAlign w:val="top"/>
          </w:tcPr>
          <w:p w14:paraId="6EE8F05C">
            <w:pPr>
              <w:pStyle w:val="6"/>
              <w:spacing w:before="56" w:line="228" w:lineRule="auto"/>
              <w:ind w:left="560"/>
            </w:pPr>
            <w:r>
              <w:rPr>
                <w:spacing w:val="8"/>
              </w:rPr>
              <w:t>有组织粉尘</w:t>
            </w:r>
          </w:p>
        </w:tc>
        <w:tc>
          <w:tcPr>
            <w:tcW w:w="2164" w:type="dxa"/>
            <w:vAlign w:val="top"/>
          </w:tcPr>
          <w:p w14:paraId="1605C0B1">
            <w:pPr>
              <w:pStyle w:val="6"/>
              <w:spacing w:before="57" w:line="236" w:lineRule="auto"/>
              <w:ind w:left="944"/>
            </w:pPr>
            <w:r>
              <w:rPr>
                <w:spacing w:val="-3"/>
              </w:rPr>
              <w:t>1.1</w:t>
            </w:r>
          </w:p>
        </w:tc>
      </w:tr>
      <w:tr w14:paraId="70D0F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6213EBAB">
            <w:pPr>
              <w:pStyle w:val="6"/>
              <w:spacing w:before="57" w:line="233" w:lineRule="auto"/>
              <w:ind w:left="963"/>
            </w:pPr>
            <w:r>
              <w:t>/</w:t>
            </w:r>
          </w:p>
        </w:tc>
        <w:tc>
          <w:tcPr>
            <w:tcW w:w="2160" w:type="dxa"/>
            <w:vAlign w:val="top"/>
          </w:tcPr>
          <w:p w14:paraId="5848FA0A">
            <w:pPr>
              <w:pStyle w:val="6"/>
              <w:spacing w:before="57" w:line="233" w:lineRule="auto"/>
              <w:ind w:left="1031"/>
            </w:pPr>
            <w:r>
              <w:t>/</w:t>
            </w:r>
          </w:p>
        </w:tc>
        <w:tc>
          <w:tcPr>
            <w:tcW w:w="2160" w:type="dxa"/>
            <w:vAlign w:val="top"/>
          </w:tcPr>
          <w:p w14:paraId="567D3E95">
            <w:pPr>
              <w:pStyle w:val="6"/>
              <w:spacing w:before="57" w:line="228" w:lineRule="auto"/>
              <w:ind w:left="561"/>
            </w:pPr>
            <w:r>
              <w:rPr>
                <w:spacing w:val="7"/>
              </w:rPr>
              <w:t>无组织粉尘</w:t>
            </w:r>
          </w:p>
        </w:tc>
        <w:tc>
          <w:tcPr>
            <w:tcW w:w="2164" w:type="dxa"/>
            <w:vAlign w:val="top"/>
          </w:tcPr>
          <w:p w14:paraId="3E9D395F">
            <w:pPr>
              <w:pStyle w:val="6"/>
              <w:spacing w:before="57" w:line="236" w:lineRule="auto"/>
              <w:ind w:left="933"/>
            </w:pPr>
            <w:r>
              <w:rPr>
                <w:spacing w:val="1"/>
              </w:rPr>
              <w:t>3.1</w:t>
            </w:r>
          </w:p>
        </w:tc>
      </w:tr>
      <w:tr w14:paraId="50175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25" w:type="dxa"/>
            <w:vAlign w:val="top"/>
          </w:tcPr>
          <w:p w14:paraId="0224216D">
            <w:pPr>
              <w:pStyle w:val="6"/>
              <w:spacing w:before="58" w:line="229" w:lineRule="auto"/>
              <w:ind w:left="809"/>
            </w:pPr>
            <w:r>
              <w:rPr>
                <w:spacing w:val="4"/>
              </w:rPr>
              <w:t>合计</w:t>
            </w:r>
          </w:p>
        </w:tc>
        <w:tc>
          <w:tcPr>
            <w:tcW w:w="2160" w:type="dxa"/>
            <w:vAlign w:val="top"/>
          </w:tcPr>
          <w:p w14:paraId="29740BA1">
            <w:pPr>
              <w:pStyle w:val="6"/>
              <w:spacing w:before="59" w:line="239" w:lineRule="auto"/>
              <w:ind w:left="770"/>
            </w:pPr>
            <w:r>
              <w:rPr>
                <w:spacing w:val="3"/>
              </w:rPr>
              <w:t>426000</w:t>
            </w:r>
          </w:p>
        </w:tc>
        <w:tc>
          <w:tcPr>
            <w:tcW w:w="2160" w:type="dxa"/>
            <w:vAlign w:val="top"/>
          </w:tcPr>
          <w:p w14:paraId="45AD9A56">
            <w:pPr>
              <w:pStyle w:val="6"/>
              <w:spacing w:before="58" w:line="229" w:lineRule="auto"/>
              <w:ind w:left="877"/>
            </w:pPr>
            <w:r>
              <w:rPr>
                <w:spacing w:val="4"/>
              </w:rPr>
              <w:t>合计</w:t>
            </w:r>
          </w:p>
        </w:tc>
        <w:tc>
          <w:tcPr>
            <w:tcW w:w="2164" w:type="dxa"/>
            <w:vAlign w:val="top"/>
          </w:tcPr>
          <w:p w14:paraId="6051E35C">
            <w:pPr>
              <w:pStyle w:val="6"/>
              <w:spacing w:before="59" w:line="239" w:lineRule="auto"/>
              <w:ind w:left="770"/>
            </w:pPr>
            <w:r>
              <w:rPr>
                <w:spacing w:val="3"/>
              </w:rPr>
              <w:t>426000</w:t>
            </w:r>
          </w:p>
        </w:tc>
      </w:tr>
    </w:tbl>
    <w:p w14:paraId="714F27D6">
      <w:pPr>
        <w:spacing w:before="119" w:line="219" w:lineRule="auto"/>
        <w:ind w:left="6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）元素平衡</w:t>
      </w:r>
    </w:p>
    <w:p w14:paraId="3412FB1A">
      <w:pPr>
        <w:spacing w:before="195" w:line="217" w:lineRule="auto"/>
        <w:ind w:left="590"/>
        <w:rPr>
          <w:rFonts w:ascii="宋体" w:hAnsi="宋体" w:eastAsia="宋体" w:cs="宋体"/>
          <w:sz w:val="24"/>
          <w:szCs w:val="24"/>
        </w:rPr>
      </w:pPr>
      <w:r>
        <w:rPr>
          <w:rFonts w:ascii="宋体" w:hAnsi="宋体" w:eastAsia="宋体" w:cs="宋体"/>
          <w:spacing w:val="-3"/>
          <w:sz w:val="24"/>
          <w:szCs w:val="24"/>
        </w:rPr>
        <w:t>①铅平衡</w:t>
      </w:r>
    </w:p>
    <w:p w14:paraId="1465E33B">
      <w:pPr>
        <w:spacing w:before="196" w:line="219" w:lineRule="auto"/>
        <w:ind w:left="592"/>
        <w:rPr>
          <w:rFonts w:ascii="宋体" w:hAnsi="宋体" w:eastAsia="宋体" w:cs="宋体"/>
          <w:sz w:val="24"/>
          <w:szCs w:val="24"/>
        </w:rPr>
      </w:pPr>
      <w:r>
        <w:rPr>
          <w:rFonts w:ascii="宋体" w:hAnsi="宋体" w:eastAsia="宋体" w:cs="宋体"/>
          <w:spacing w:val="-2"/>
          <w:sz w:val="24"/>
          <w:szCs w:val="24"/>
        </w:rPr>
        <w:t>技改项目铅平衡见表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5.2-2</w:t>
      </w:r>
      <w:r>
        <w:rPr>
          <w:rFonts w:ascii="宋体" w:hAnsi="宋体" w:eastAsia="宋体" w:cs="宋体"/>
          <w:spacing w:val="-2"/>
          <w:sz w:val="24"/>
          <w:szCs w:val="24"/>
        </w:rPr>
        <w:t>。</w:t>
      </w:r>
    </w:p>
    <w:p w14:paraId="42DD4AA7">
      <w:pPr>
        <w:spacing w:line="219" w:lineRule="auto"/>
        <w:rPr>
          <w:rFonts w:ascii="宋体" w:hAnsi="宋体" w:eastAsia="宋体" w:cs="宋体"/>
          <w:sz w:val="24"/>
          <w:szCs w:val="24"/>
        </w:rPr>
        <w:sectPr>
          <w:footerReference r:id="rId129" w:type="default"/>
          <w:pgSz w:w="11906" w:h="16839"/>
          <w:pgMar w:top="1208" w:right="1696" w:bottom="1358" w:left="1695" w:header="825" w:footer="1195" w:gutter="0"/>
          <w:cols w:space="720" w:num="1"/>
        </w:sectPr>
      </w:pPr>
    </w:p>
    <w:p w14:paraId="1DE7E17C">
      <w:pPr>
        <w:pStyle w:val="2"/>
        <w:spacing w:line="270" w:lineRule="auto"/>
      </w:pPr>
    </w:p>
    <w:p w14:paraId="32B3FA7B">
      <w:pPr>
        <w:spacing w:before="78" w:line="219" w:lineRule="auto"/>
        <w:ind w:left="283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5.2-2        </w:t>
      </w:r>
      <w:r>
        <w:rPr>
          <w:rFonts w:ascii="宋体" w:hAnsi="宋体" w:eastAsia="宋体" w:cs="宋体"/>
          <w:spacing w:val="-1"/>
          <w:sz w:val="24"/>
          <w:szCs w:val="24"/>
        </w:rPr>
        <w:t>技改项目铅平衡表</w:t>
      </w:r>
    </w:p>
    <w:p w14:paraId="106C9855">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5"/>
        <w:gridCol w:w="2160"/>
        <w:gridCol w:w="2160"/>
        <w:gridCol w:w="2164"/>
      </w:tblGrid>
      <w:tr w14:paraId="166C5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85" w:type="dxa"/>
            <w:gridSpan w:val="2"/>
            <w:vAlign w:val="top"/>
          </w:tcPr>
          <w:p w14:paraId="3CDA9A95">
            <w:pPr>
              <w:pStyle w:val="6"/>
              <w:spacing w:before="57" w:line="228" w:lineRule="auto"/>
              <w:ind w:left="1782"/>
            </w:pPr>
            <w:r>
              <w:rPr>
                <w:spacing w:val="7"/>
              </w:rPr>
              <w:t>输入项</w:t>
            </w:r>
          </w:p>
        </w:tc>
        <w:tc>
          <w:tcPr>
            <w:tcW w:w="4324" w:type="dxa"/>
            <w:gridSpan w:val="2"/>
            <w:vAlign w:val="top"/>
          </w:tcPr>
          <w:p w14:paraId="23BA44B8">
            <w:pPr>
              <w:pStyle w:val="6"/>
              <w:spacing w:before="57" w:line="228" w:lineRule="auto"/>
              <w:ind w:left="1850"/>
            </w:pPr>
            <w:r>
              <w:rPr>
                <w:spacing w:val="7"/>
              </w:rPr>
              <w:t>输出项</w:t>
            </w:r>
          </w:p>
        </w:tc>
      </w:tr>
      <w:tr w14:paraId="2D257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7436CBA5">
            <w:pPr>
              <w:pStyle w:val="6"/>
              <w:spacing w:before="53" w:line="228" w:lineRule="auto"/>
              <w:ind w:left="599"/>
            </w:pPr>
            <w:r>
              <w:rPr>
                <w:spacing w:val="7"/>
              </w:rPr>
              <w:t>物料名称</w:t>
            </w:r>
          </w:p>
        </w:tc>
        <w:tc>
          <w:tcPr>
            <w:tcW w:w="2160" w:type="dxa"/>
            <w:vAlign w:val="top"/>
          </w:tcPr>
          <w:p w14:paraId="1879700A">
            <w:pPr>
              <w:pStyle w:val="6"/>
              <w:spacing w:before="52" w:line="228" w:lineRule="auto"/>
              <w:ind w:left="407"/>
            </w:pPr>
            <w:r>
              <w:rPr>
                <w:spacing w:val="5"/>
              </w:rPr>
              <w:t>消耗量（t/a）</w:t>
            </w:r>
          </w:p>
        </w:tc>
        <w:tc>
          <w:tcPr>
            <w:tcW w:w="2160" w:type="dxa"/>
            <w:vAlign w:val="top"/>
          </w:tcPr>
          <w:p w14:paraId="7A7B38E7">
            <w:pPr>
              <w:pStyle w:val="6"/>
              <w:spacing w:before="53" w:line="228" w:lineRule="auto"/>
              <w:ind w:left="665"/>
            </w:pPr>
            <w:r>
              <w:rPr>
                <w:spacing w:val="7"/>
              </w:rPr>
              <w:t>物料名称</w:t>
            </w:r>
          </w:p>
        </w:tc>
        <w:tc>
          <w:tcPr>
            <w:tcW w:w="2164" w:type="dxa"/>
            <w:vAlign w:val="top"/>
          </w:tcPr>
          <w:p w14:paraId="60ED045A">
            <w:pPr>
              <w:pStyle w:val="6"/>
              <w:spacing w:before="52" w:line="228" w:lineRule="auto"/>
              <w:ind w:left="403"/>
            </w:pPr>
            <w:r>
              <w:rPr>
                <w:spacing w:val="5"/>
              </w:rPr>
              <w:t>产出量（t/a）</w:t>
            </w:r>
          </w:p>
        </w:tc>
      </w:tr>
      <w:tr w14:paraId="2590F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28261B3A">
            <w:pPr>
              <w:pStyle w:val="6"/>
              <w:spacing w:before="56" w:line="228" w:lineRule="auto"/>
              <w:ind w:left="599"/>
            </w:pPr>
            <w:r>
              <w:rPr>
                <w:spacing w:val="7"/>
              </w:rPr>
              <w:t>矿石含铅</w:t>
            </w:r>
          </w:p>
        </w:tc>
        <w:tc>
          <w:tcPr>
            <w:tcW w:w="2160" w:type="dxa"/>
            <w:vAlign w:val="top"/>
          </w:tcPr>
          <w:p w14:paraId="7C7019C0">
            <w:pPr>
              <w:pStyle w:val="6"/>
              <w:spacing w:before="56" w:line="238" w:lineRule="auto"/>
              <w:ind w:left="775"/>
            </w:pPr>
            <w:r>
              <w:rPr>
                <w:spacing w:val="2"/>
              </w:rPr>
              <w:t>7071.6</w:t>
            </w:r>
          </w:p>
        </w:tc>
        <w:tc>
          <w:tcPr>
            <w:tcW w:w="2160" w:type="dxa"/>
            <w:vAlign w:val="top"/>
          </w:tcPr>
          <w:p w14:paraId="631D532D">
            <w:pPr>
              <w:pStyle w:val="6"/>
              <w:spacing w:before="56" w:line="227" w:lineRule="auto"/>
              <w:ind w:left="559"/>
            </w:pPr>
            <w:r>
              <w:rPr>
                <w:spacing w:val="8"/>
              </w:rPr>
              <w:t>铅精矿含铅</w:t>
            </w:r>
          </w:p>
        </w:tc>
        <w:tc>
          <w:tcPr>
            <w:tcW w:w="2164" w:type="dxa"/>
            <w:vAlign w:val="top"/>
          </w:tcPr>
          <w:p w14:paraId="4971843F">
            <w:pPr>
              <w:pStyle w:val="6"/>
              <w:spacing w:before="56" w:line="238" w:lineRule="auto"/>
              <w:ind w:left="772"/>
            </w:pPr>
            <w:r>
              <w:rPr>
                <w:spacing w:val="3"/>
              </w:rPr>
              <w:t>6357.6</w:t>
            </w:r>
          </w:p>
        </w:tc>
      </w:tr>
      <w:tr w14:paraId="429E9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602649FF">
            <w:pPr>
              <w:pStyle w:val="6"/>
              <w:spacing w:before="55" w:line="233" w:lineRule="auto"/>
              <w:ind w:left="963"/>
            </w:pPr>
            <w:r>
              <w:t>/</w:t>
            </w:r>
          </w:p>
        </w:tc>
        <w:tc>
          <w:tcPr>
            <w:tcW w:w="2160" w:type="dxa"/>
            <w:vAlign w:val="top"/>
          </w:tcPr>
          <w:p w14:paraId="7AA60875">
            <w:pPr>
              <w:pStyle w:val="6"/>
              <w:spacing w:before="55" w:line="233" w:lineRule="auto"/>
              <w:ind w:left="1031"/>
            </w:pPr>
            <w:r>
              <w:t>/</w:t>
            </w:r>
          </w:p>
        </w:tc>
        <w:tc>
          <w:tcPr>
            <w:tcW w:w="2160" w:type="dxa"/>
            <w:vAlign w:val="top"/>
          </w:tcPr>
          <w:p w14:paraId="53074070">
            <w:pPr>
              <w:pStyle w:val="6"/>
              <w:spacing w:before="56" w:line="227" w:lineRule="auto"/>
              <w:ind w:left="558"/>
            </w:pPr>
            <w:r>
              <w:rPr>
                <w:spacing w:val="8"/>
              </w:rPr>
              <w:t>锌精矿含铅</w:t>
            </w:r>
          </w:p>
        </w:tc>
        <w:tc>
          <w:tcPr>
            <w:tcW w:w="2164" w:type="dxa"/>
            <w:vAlign w:val="top"/>
          </w:tcPr>
          <w:p w14:paraId="5893B208">
            <w:pPr>
              <w:pStyle w:val="6"/>
              <w:spacing w:before="56" w:line="237" w:lineRule="auto"/>
              <w:ind w:left="826"/>
            </w:pPr>
            <w:r>
              <w:rPr>
                <w:spacing w:val="2"/>
              </w:rPr>
              <w:t>230.0</w:t>
            </w:r>
          </w:p>
        </w:tc>
      </w:tr>
      <w:tr w14:paraId="024D4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60A53433">
            <w:pPr>
              <w:pStyle w:val="6"/>
              <w:spacing w:before="56" w:line="233" w:lineRule="auto"/>
              <w:ind w:left="963"/>
            </w:pPr>
            <w:r>
              <w:t>/</w:t>
            </w:r>
          </w:p>
        </w:tc>
        <w:tc>
          <w:tcPr>
            <w:tcW w:w="2160" w:type="dxa"/>
            <w:vAlign w:val="top"/>
          </w:tcPr>
          <w:p w14:paraId="584FF339">
            <w:pPr>
              <w:pStyle w:val="6"/>
              <w:spacing w:before="56" w:line="233" w:lineRule="auto"/>
              <w:ind w:left="1031"/>
            </w:pPr>
            <w:r>
              <w:t>/</w:t>
            </w:r>
          </w:p>
        </w:tc>
        <w:tc>
          <w:tcPr>
            <w:tcW w:w="2160" w:type="dxa"/>
            <w:vAlign w:val="top"/>
          </w:tcPr>
          <w:p w14:paraId="4C272E03">
            <w:pPr>
              <w:pStyle w:val="6"/>
              <w:spacing w:before="56" w:line="228" w:lineRule="auto"/>
              <w:ind w:left="351"/>
            </w:pPr>
            <w:r>
              <w:rPr>
                <w:spacing w:val="8"/>
              </w:rPr>
              <w:t>有组织粉尘含铅</w:t>
            </w:r>
          </w:p>
        </w:tc>
        <w:tc>
          <w:tcPr>
            <w:tcW w:w="2164" w:type="dxa"/>
            <w:vAlign w:val="top"/>
          </w:tcPr>
          <w:p w14:paraId="4F01BBD4">
            <w:pPr>
              <w:pStyle w:val="6"/>
              <w:spacing w:before="57" w:line="236" w:lineRule="auto"/>
              <w:ind w:left="878"/>
            </w:pPr>
            <w:r>
              <w:rPr>
                <w:spacing w:val="2"/>
              </w:rPr>
              <w:t>0.02</w:t>
            </w:r>
          </w:p>
        </w:tc>
      </w:tr>
      <w:tr w14:paraId="48CA1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3B40BB6E">
            <w:pPr>
              <w:pStyle w:val="6"/>
              <w:spacing w:before="57" w:line="233" w:lineRule="auto"/>
              <w:ind w:left="963"/>
            </w:pPr>
            <w:r>
              <w:t>/</w:t>
            </w:r>
          </w:p>
        </w:tc>
        <w:tc>
          <w:tcPr>
            <w:tcW w:w="2160" w:type="dxa"/>
            <w:vAlign w:val="top"/>
          </w:tcPr>
          <w:p w14:paraId="7E5DB2C4">
            <w:pPr>
              <w:pStyle w:val="6"/>
              <w:spacing w:before="57" w:line="233" w:lineRule="auto"/>
              <w:ind w:left="1031"/>
            </w:pPr>
            <w:r>
              <w:t>/</w:t>
            </w:r>
          </w:p>
        </w:tc>
        <w:tc>
          <w:tcPr>
            <w:tcW w:w="2160" w:type="dxa"/>
            <w:vAlign w:val="top"/>
          </w:tcPr>
          <w:p w14:paraId="5ACDEADF">
            <w:pPr>
              <w:pStyle w:val="6"/>
              <w:spacing w:before="57" w:line="228" w:lineRule="auto"/>
              <w:ind w:left="352"/>
            </w:pPr>
            <w:r>
              <w:rPr>
                <w:spacing w:val="8"/>
              </w:rPr>
              <w:t>无组织粉尘含铅</w:t>
            </w:r>
          </w:p>
        </w:tc>
        <w:tc>
          <w:tcPr>
            <w:tcW w:w="2164" w:type="dxa"/>
            <w:vAlign w:val="top"/>
          </w:tcPr>
          <w:p w14:paraId="0D821620">
            <w:pPr>
              <w:pStyle w:val="6"/>
              <w:spacing w:before="58" w:line="236" w:lineRule="auto"/>
              <w:ind w:left="878"/>
            </w:pPr>
            <w:r>
              <w:rPr>
                <w:spacing w:val="2"/>
              </w:rPr>
              <w:t>0.05</w:t>
            </w:r>
          </w:p>
        </w:tc>
      </w:tr>
      <w:tr w14:paraId="055DB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71718232">
            <w:pPr>
              <w:pStyle w:val="6"/>
              <w:spacing w:before="57" w:line="233" w:lineRule="auto"/>
              <w:ind w:left="963"/>
            </w:pPr>
            <w:r>
              <w:t>/</w:t>
            </w:r>
          </w:p>
        </w:tc>
        <w:tc>
          <w:tcPr>
            <w:tcW w:w="2160" w:type="dxa"/>
            <w:vAlign w:val="top"/>
          </w:tcPr>
          <w:p w14:paraId="4344EECD">
            <w:pPr>
              <w:pStyle w:val="6"/>
              <w:spacing w:before="57" w:line="233" w:lineRule="auto"/>
              <w:ind w:left="1031"/>
            </w:pPr>
            <w:r>
              <w:t>/</w:t>
            </w:r>
          </w:p>
        </w:tc>
        <w:tc>
          <w:tcPr>
            <w:tcW w:w="2160" w:type="dxa"/>
            <w:vAlign w:val="top"/>
          </w:tcPr>
          <w:p w14:paraId="7276C696">
            <w:pPr>
              <w:pStyle w:val="6"/>
              <w:spacing w:before="57" w:line="228" w:lineRule="auto"/>
              <w:ind w:left="665"/>
            </w:pPr>
            <w:r>
              <w:rPr>
                <w:spacing w:val="7"/>
              </w:rPr>
              <w:t>尾矿含铅</w:t>
            </w:r>
          </w:p>
        </w:tc>
        <w:tc>
          <w:tcPr>
            <w:tcW w:w="2164" w:type="dxa"/>
            <w:vAlign w:val="top"/>
          </w:tcPr>
          <w:p w14:paraId="38C3721C">
            <w:pPr>
              <w:pStyle w:val="6"/>
              <w:spacing w:before="57" w:line="236" w:lineRule="auto"/>
              <w:ind w:left="822"/>
            </w:pPr>
            <w:r>
              <w:rPr>
                <w:spacing w:val="3"/>
              </w:rPr>
              <w:t>483.9</w:t>
            </w:r>
          </w:p>
        </w:tc>
      </w:tr>
      <w:tr w14:paraId="4BC01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25" w:type="dxa"/>
            <w:vAlign w:val="top"/>
          </w:tcPr>
          <w:p w14:paraId="652B8C08">
            <w:pPr>
              <w:pStyle w:val="6"/>
              <w:spacing w:before="58" w:line="229" w:lineRule="auto"/>
              <w:ind w:left="809"/>
            </w:pPr>
            <w:r>
              <w:rPr>
                <w:spacing w:val="4"/>
              </w:rPr>
              <w:t>合计</w:t>
            </w:r>
          </w:p>
        </w:tc>
        <w:tc>
          <w:tcPr>
            <w:tcW w:w="2160" w:type="dxa"/>
            <w:vAlign w:val="top"/>
          </w:tcPr>
          <w:p w14:paraId="7F0EAB09">
            <w:pPr>
              <w:pStyle w:val="6"/>
              <w:spacing w:before="58"/>
              <w:ind w:left="775"/>
            </w:pPr>
            <w:r>
              <w:rPr>
                <w:spacing w:val="2"/>
              </w:rPr>
              <w:t>7071.6</w:t>
            </w:r>
          </w:p>
        </w:tc>
        <w:tc>
          <w:tcPr>
            <w:tcW w:w="2160" w:type="dxa"/>
            <w:vAlign w:val="top"/>
          </w:tcPr>
          <w:p w14:paraId="21961EB5">
            <w:pPr>
              <w:pStyle w:val="6"/>
              <w:spacing w:before="58" w:line="229" w:lineRule="auto"/>
              <w:ind w:left="877"/>
            </w:pPr>
            <w:r>
              <w:rPr>
                <w:spacing w:val="4"/>
              </w:rPr>
              <w:t>合计</w:t>
            </w:r>
          </w:p>
        </w:tc>
        <w:tc>
          <w:tcPr>
            <w:tcW w:w="2164" w:type="dxa"/>
            <w:vAlign w:val="top"/>
          </w:tcPr>
          <w:p w14:paraId="79BD7CA3">
            <w:pPr>
              <w:pStyle w:val="6"/>
              <w:spacing w:before="58"/>
              <w:ind w:left="775"/>
            </w:pPr>
            <w:r>
              <w:rPr>
                <w:spacing w:val="2"/>
              </w:rPr>
              <w:t>7071.6</w:t>
            </w:r>
          </w:p>
        </w:tc>
      </w:tr>
    </w:tbl>
    <w:p w14:paraId="2DE57807">
      <w:pPr>
        <w:spacing w:before="118" w:line="217" w:lineRule="auto"/>
        <w:ind w:left="589"/>
        <w:rPr>
          <w:rFonts w:ascii="宋体" w:hAnsi="宋体" w:eastAsia="宋体" w:cs="宋体"/>
          <w:sz w:val="24"/>
          <w:szCs w:val="24"/>
        </w:rPr>
      </w:pPr>
      <w:r>
        <w:rPr>
          <w:rFonts w:ascii="宋体" w:hAnsi="宋体" w:eastAsia="宋体" w:cs="宋体"/>
          <w:spacing w:val="-2"/>
          <w:sz w:val="24"/>
          <w:szCs w:val="24"/>
        </w:rPr>
        <w:t>②锌平衡</w:t>
      </w:r>
    </w:p>
    <w:p w14:paraId="6CD651D5">
      <w:pPr>
        <w:spacing w:before="198" w:line="219" w:lineRule="auto"/>
        <w:ind w:left="592"/>
        <w:rPr>
          <w:rFonts w:ascii="宋体" w:hAnsi="宋体" w:eastAsia="宋体" w:cs="宋体"/>
          <w:sz w:val="24"/>
          <w:szCs w:val="24"/>
        </w:rPr>
      </w:pPr>
      <w:r>
        <w:rPr>
          <w:rFonts w:ascii="宋体" w:hAnsi="宋体" w:eastAsia="宋体" w:cs="宋体"/>
          <w:spacing w:val="-2"/>
          <w:sz w:val="24"/>
          <w:szCs w:val="24"/>
        </w:rPr>
        <w:t>技改项目锌平衡见表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5.2-3</w:t>
      </w:r>
      <w:r>
        <w:rPr>
          <w:rFonts w:ascii="宋体" w:hAnsi="宋体" w:eastAsia="宋体" w:cs="宋体"/>
          <w:spacing w:val="-2"/>
          <w:sz w:val="24"/>
          <w:szCs w:val="24"/>
        </w:rPr>
        <w:t>。</w:t>
      </w:r>
    </w:p>
    <w:p w14:paraId="4826A635">
      <w:pPr>
        <w:spacing w:before="192" w:line="219" w:lineRule="auto"/>
        <w:ind w:left="283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5.2-3        </w:t>
      </w:r>
      <w:r>
        <w:rPr>
          <w:rFonts w:ascii="宋体" w:hAnsi="宋体" w:eastAsia="宋体" w:cs="宋体"/>
          <w:spacing w:val="-1"/>
          <w:sz w:val="24"/>
          <w:szCs w:val="24"/>
        </w:rPr>
        <w:t>技改项目锌平衡表</w:t>
      </w:r>
    </w:p>
    <w:p w14:paraId="27F4D96A">
      <w:pPr>
        <w:spacing w:line="74"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5"/>
        <w:gridCol w:w="2160"/>
        <w:gridCol w:w="2160"/>
        <w:gridCol w:w="2164"/>
      </w:tblGrid>
      <w:tr w14:paraId="61602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85" w:type="dxa"/>
            <w:gridSpan w:val="2"/>
            <w:vAlign w:val="top"/>
          </w:tcPr>
          <w:p w14:paraId="0038DB0B">
            <w:pPr>
              <w:pStyle w:val="6"/>
              <w:spacing w:before="60" w:line="228" w:lineRule="auto"/>
              <w:ind w:left="1782"/>
            </w:pPr>
            <w:r>
              <w:rPr>
                <w:spacing w:val="7"/>
              </w:rPr>
              <w:t>输入项</w:t>
            </w:r>
          </w:p>
        </w:tc>
        <w:tc>
          <w:tcPr>
            <w:tcW w:w="4324" w:type="dxa"/>
            <w:gridSpan w:val="2"/>
            <w:vAlign w:val="top"/>
          </w:tcPr>
          <w:p w14:paraId="6601C3FD">
            <w:pPr>
              <w:pStyle w:val="6"/>
              <w:spacing w:before="60" w:line="228" w:lineRule="auto"/>
              <w:ind w:left="1850"/>
            </w:pPr>
            <w:r>
              <w:rPr>
                <w:spacing w:val="7"/>
              </w:rPr>
              <w:t>输出项</w:t>
            </w:r>
          </w:p>
        </w:tc>
      </w:tr>
      <w:tr w14:paraId="10B34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1FB134E7">
            <w:pPr>
              <w:pStyle w:val="6"/>
              <w:spacing w:before="56" w:line="228" w:lineRule="auto"/>
              <w:ind w:left="599"/>
            </w:pPr>
            <w:r>
              <w:rPr>
                <w:spacing w:val="7"/>
              </w:rPr>
              <w:t>物料名称</w:t>
            </w:r>
          </w:p>
        </w:tc>
        <w:tc>
          <w:tcPr>
            <w:tcW w:w="2160" w:type="dxa"/>
            <w:vAlign w:val="top"/>
          </w:tcPr>
          <w:p w14:paraId="3764BE47">
            <w:pPr>
              <w:pStyle w:val="6"/>
              <w:spacing w:before="55" w:line="228" w:lineRule="auto"/>
              <w:ind w:left="407"/>
            </w:pPr>
            <w:r>
              <w:rPr>
                <w:spacing w:val="5"/>
              </w:rPr>
              <w:t>消耗量（t/a）</w:t>
            </w:r>
          </w:p>
        </w:tc>
        <w:tc>
          <w:tcPr>
            <w:tcW w:w="2160" w:type="dxa"/>
            <w:vAlign w:val="top"/>
          </w:tcPr>
          <w:p w14:paraId="29E05A60">
            <w:pPr>
              <w:pStyle w:val="6"/>
              <w:spacing w:before="56" w:line="228" w:lineRule="auto"/>
              <w:ind w:left="665"/>
            </w:pPr>
            <w:r>
              <w:rPr>
                <w:spacing w:val="7"/>
              </w:rPr>
              <w:t>物料名称</w:t>
            </w:r>
          </w:p>
        </w:tc>
        <w:tc>
          <w:tcPr>
            <w:tcW w:w="2164" w:type="dxa"/>
            <w:vAlign w:val="top"/>
          </w:tcPr>
          <w:p w14:paraId="3D0E4988">
            <w:pPr>
              <w:pStyle w:val="6"/>
              <w:spacing w:before="55" w:line="228" w:lineRule="auto"/>
              <w:ind w:left="403"/>
            </w:pPr>
            <w:r>
              <w:rPr>
                <w:spacing w:val="5"/>
              </w:rPr>
              <w:t>产出量（t/a）</w:t>
            </w:r>
          </w:p>
        </w:tc>
      </w:tr>
      <w:tr w14:paraId="3B89F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40D2684C">
            <w:pPr>
              <w:pStyle w:val="6"/>
              <w:spacing w:before="56" w:line="228" w:lineRule="auto"/>
              <w:ind w:left="599"/>
            </w:pPr>
            <w:r>
              <w:rPr>
                <w:spacing w:val="7"/>
              </w:rPr>
              <w:t>矿石含锌</w:t>
            </w:r>
          </w:p>
        </w:tc>
        <w:tc>
          <w:tcPr>
            <w:tcW w:w="2160" w:type="dxa"/>
            <w:vAlign w:val="top"/>
          </w:tcPr>
          <w:p w14:paraId="5AA2BA62">
            <w:pPr>
              <w:pStyle w:val="6"/>
              <w:spacing w:before="57" w:line="236" w:lineRule="auto"/>
              <w:ind w:left="733"/>
            </w:pPr>
            <w:r>
              <w:rPr>
                <w:spacing w:val="1"/>
              </w:rPr>
              <w:t>13078.2</w:t>
            </w:r>
          </w:p>
        </w:tc>
        <w:tc>
          <w:tcPr>
            <w:tcW w:w="2160" w:type="dxa"/>
            <w:vAlign w:val="top"/>
          </w:tcPr>
          <w:p w14:paraId="38FECECD">
            <w:pPr>
              <w:pStyle w:val="6"/>
              <w:spacing w:before="56" w:line="227" w:lineRule="auto"/>
              <w:ind w:left="559"/>
            </w:pPr>
            <w:r>
              <w:rPr>
                <w:spacing w:val="8"/>
              </w:rPr>
              <w:t>铅精矿含锌</w:t>
            </w:r>
          </w:p>
        </w:tc>
        <w:tc>
          <w:tcPr>
            <w:tcW w:w="2164" w:type="dxa"/>
            <w:vAlign w:val="top"/>
          </w:tcPr>
          <w:p w14:paraId="258CB923">
            <w:pPr>
              <w:pStyle w:val="6"/>
              <w:spacing w:before="57" w:line="236" w:lineRule="auto"/>
              <w:ind w:left="825"/>
            </w:pPr>
            <w:r>
              <w:rPr>
                <w:spacing w:val="2"/>
              </w:rPr>
              <w:t>672.4</w:t>
            </w:r>
          </w:p>
        </w:tc>
      </w:tr>
      <w:tr w14:paraId="56E97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24805B67">
            <w:pPr>
              <w:pStyle w:val="6"/>
              <w:spacing w:before="57" w:line="233" w:lineRule="auto"/>
              <w:ind w:left="963"/>
            </w:pPr>
            <w:r>
              <w:t>/</w:t>
            </w:r>
          </w:p>
        </w:tc>
        <w:tc>
          <w:tcPr>
            <w:tcW w:w="2160" w:type="dxa"/>
            <w:vAlign w:val="top"/>
          </w:tcPr>
          <w:p w14:paraId="32AAEC5C">
            <w:pPr>
              <w:pStyle w:val="6"/>
              <w:spacing w:before="57" w:line="233" w:lineRule="auto"/>
              <w:ind w:left="1031"/>
            </w:pPr>
            <w:r>
              <w:t>/</w:t>
            </w:r>
          </w:p>
        </w:tc>
        <w:tc>
          <w:tcPr>
            <w:tcW w:w="2160" w:type="dxa"/>
            <w:vAlign w:val="top"/>
          </w:tcPr>
          <w:p w14:paraId="1F52F120">
            <w:pPr>
              <w:pStyle w:val="6"/>
              <w:spacing w:before="57" w:line="227" w:lineRule="auto"/>
              <w:ind w:left="558"/>
            </w:pPr>
            <w:r>
              <w:rPr>
                <w:spacing w:val="8"/>
              </w:rPr>
              <w:t>锌精矿含锌</w:t>
            </w:r>
          </w:p>
        </w:tc>
        <w:tc>
          <w:tcPr>
            <w:tcW w:w="2164" w:type="dxa"/>
            <w:vAlign w:val="top"/>
          </w:tcPr>
          <w:p w14:paraId="75F133DC">
            <w:pPr>
              <w:pStyle w:val="6"/>
              <w:spacing w:before="57" w:line="236" w:lineRule="auto"/>
              <w:ind w:left="736"/>
            </w:pPr>
            <w:r>
              <w:rPr>
                <w:spacing w:val="1"/>
              </w:rPr>
              <w:t>11502.0</w:t>
            </w:r>
          </w:p>
        </w:tc>
      </w:tr>
      <w:tr w14:paraId="6821E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6C690DBE">
            <w:pPr>
              <w:pStyle w:val="6"/>
              <w:spacing w:before="58" w:line="233" w:lineRule="auto"/>
              <w:ind w:left="963"/>
            </w:pPr>
            <w:r>
              <w:t>/</w:t>
            </w:r>
          </w:p>
        </w:tc>
        <w:tc>
          <w:tcPr>
            <w:tcW w:w="2160" w:type="dxa"/>
            <w:vAlign w:val="top"/>
          </w:tcPr>
          <w:p w14:paraId="1F82BE5C">
            <w:pPr>
              <w:pStyle w:val="6"/>
              <w:spacing w:before="58" w:line="233" w:lineRule="auto"/>
              <w:ind w:left="1031"/>
            </w:pPr>
            <w:r>
              <w:t>/</w:t>
            </w:r>
          </w:p>
        </w:tc>
        <w:tc>
          <w:tcPr>
            <w:tcW w:w="2160" w:type="dxa"/>
            <w:vAlign w:val="top"/>
          </w:tcPr>
          <w:p w14:paraId="3C48AEB9">
            <w:pPr>
              <w:pStyle w:val="6"/>
              <w:spacing w:before="58" w:line="228" w:lineRule="auto"/>
              <w:ind w:left="351"/>
            </w:pPr>
            <w:r>
              <w:rPr>
                <w:spacing w:val="8"/>
              </w:rPr>
              <w:t>有组织粉尘含锌</w:t>
            </w:r>
          </w:p>
        </w:tc>
        <w:tc>
          <w:tcPr>
            <w:tcW w:w="2164" w:type="dxa"/>
            <w:vAlign w:val="top"/>
          </w:tcPr>
          <w:p w14:paraId="6D4CAC07">
            <w:pPr>
              <w:pStyle w:val="6"/>
              <w:spacing w:before="58" w:line="236" w:lineRule="auto"/>
              <w:ind w:left="878"/>
            </w:pPr>
            <w:r>
              <w:rPr>
                <w:spacing w:val="2"/>
              </w:rPr>
              <w:t>0.03</w:t>
            </w:r>
          </w:p>
        </w:tc>
      </w:tr>
      <w:tr w14:paraId="243A1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0C154290">
            <w:pPr>
              <w:pStyle w:val="6"/>
              <w:spacing w:before="58" w:line="233" w:lineRule="auto"/>
              <w:ind w:left="963"/>
            </w:pPr>
            <w:r>
              <w:t>/</w:t>
            </w:r>
          </w:p>
        </w:tc>
        <w:tc>
          <w:tcPr>
            <w:tcW w:w="2160" w:type="dxa"/>
            <w:vAlign w:val="top"/>
          </w:tcPr>
          <w:p w14:paraId="32EFA3D1">
            <w:pPr>
              <w:pStyle w:val="6"/>
              <w:spacing w:before="58" w:line="233" w:lineRule="auto"/>
              <w:ind w:left="1031"/>
            </w:pPr>
            <w:r>
              <w:t>/</w:t>
            </w:r>
          </w:p>
        </w:tc>
        <w:tc>
          <w:tcPr>
            <w:tcW w:w="2160" w:type="dxa"/>
            <w:vAlign w:val="top"/>
          </w:tcPr>
          <w:p w14:paraId="30E963D7">
            <w:pPr>
              <w:pStyle w:val="6"/>
              <w:spacing w:before="58" w:line="228" w:lineRule="auto"/>
              <w:ind w:left="352"/>
            </w:pPr>
            <w:r>
              <w:rPr>
                <w:spacing w:val="8"/>
              </w:rPr>
              <w:t>无组织粉尘含锌</w:t>
            </w:r>
          </w:p>
        </w:tc>
        <w:tc>
          <w:tcPr>
            <w:tcW w:w="2164" w:type="dxa"/>
            <w:vAlign w:val="top"/>
          </w:tcPr>
          <w:p w14:paraId="1F08FD63">
            <w:pPr>
              <w:pStyle w:val="6"/>
              <w:spacing w:before="58" w:line="236" w:lineRule="auto"/>
              <w:ind w:left="878"/>
            </w:pPr>
            <w:r>
              <w:rPr>
                <w:spacing w:val="2"/>
              </w:rPr>
              <w:t>0.09</w:t>
            </w:r>
          </w:p>
        </w:tc>
      </w:tr>
      <w:tr w14:paraId="1ED7D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4B053978">
            <w:pPr>
              <w:pStyle w:val="6"/>
              <w:spacing w:before="57" w:line="233" w:lineRule="auto"/>
              <w:ind w:left="963"/>
            </w:pPr>
            <w:r>
              <w:t>/</w:t>
            </w:r>
          </w:p>
        </w:tc>
        <w:tc>
          <w:tcPr>
            <w:tcW w:w="2160" w:type="dxa"/>
            <w:vAlign w:val="top"/>
          </w:tcPr>
          <w:p w14:paraId="24697BB5">
            <w:pPr>
              <w:pStyle w:val="6"/>
              <w:spacing w:before="57" w:line="233" w:lineRule="auto"/>
              <w:ind w:left="1031"/>
            </w:pPr>
            <w:r>
              <w:t>/</w:t>
            </w:r>
          </w:p>
        </w:tc>
        <w:tc>
          <w:tcPr>
            <w:tcW w:w="2160" w:type="dxa"/>
            <w:vAlign w:val="top"/>
          </w:tcPr>
          <w:p w14:paraId="38416073">
            <w:pPr>
              <w:pStyle w:val="6"/>
              <w:spacing w:before="57" w:line="228" w:lineRule="auto"/>
              <w:ind w:left="665"/>
            </w:pPr>
            <w:r>
              <w:rPr>
                <w:spacing w:val="8"/>
              </w:rPr>
              <w:t>尾矿含锌</w:t>
            </w:r>
          </w:p>
        </w:tc>
        <w:tc>
          <w:tcPr>
            <w:tcW w:w="2164" w:type="dxa"/>
            <w:vAlign w:val="top"/>
          </w:tcPr>
          <w:p w14:paraId="0D37ADF4">
            <w:pPr>
              <w:pStyle w:val="6"/>
              <w:spacing w:before="58" w:line="235" w:lineRule="auto"/>
              <w:ind w:left="824"/>
            </w:pPr>
            <w:r>
              <w:rPr>
                <w:spacing w:val="3"/>
              </w:rPr>
              <w:t>903.7</w:t>
            </w:r>
          </w:p>
        </w:tc>
      </w:tr>
      <w:tr w14:paraId="51961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25" w:type="dxa"/>
            <w:vAlign w:val="top"/>
          </w:tcPr>
          <w:p w14:paraId="4EA6E1DE">
            <w:pPr>
              <w:pStyle w:val="6"/>
              <w:spacing w:before="59" w:line="229" w:lineRule="auto"/>
              <w:ind w:left="809"/>
            </w:pPr>
            <w:r>
              <w:rPr>
                <w:spacing w:val="4"/>
              </w:rPr>
              <w:t>合计</w:t>
            </w:r>
          </w:p>
        </w:tc>
        <w:tc>
          <w:tcPr>
            <w:tcW w:w="2160" w:type="dxa"/>
            <w:vAlign w:val="top"/>
          </w:tcPr>
          <w:p w14:paraId="27A38A1E">
            <w:pPr>
              <w:pStyle w:val="6"/>
              <w:spacing w:before="59" w:line="239" w:lineRule="auto"/>
              <w:ind w:left="733"/>
            </w:pPr>
            <w:r>
              <w:rPr>
                <w:spacing w:val="1"/>
              </w:rPr>
              <w:t>13078.2</w:t>
            </w:r>
          </w:p>
        </w:tc>
        <w:tc>
          <w:tcPr>
            <w:tcW w:w="2160" w:type="dxa"/>
            <w:vAlign w:val="top"/>
          </w:tcPr>
          <w:p w14:paraId="5347989F">
            <w:pPr>
              <w:pStyle w:val="6"/>
              <w:spacing w:before="59" w:line="229" w:lineRule="auto"/>
              <w:ind w:left="877"/>
            </w:pPr>
            <w:r>
              <w:rPr>
                <w:spacing w:val="4"/>
              </w:rPr>
              <w:t>合计</w:t>
            </w:r>
          </w:p>
        </w:tc>
        <w:tc>
          <w:tcPr>
            <w:tcW w:w="2164" w:type="dxa"/>
            <w:vAlign w:val="top"/>
          </w:tcPr>
          <w:p w14:paraId="48CE86C3">
            <w:pPr>
              <w:pStyle w:val="6"/>
              <w:spacing w:before="59" w:line="239" w:lineRule="auto"/>
              <w:ind w:left="736"/>
            </w:pPr>
            <w:r>
              <w:rPr>
                <w:spacing w:val="1"/>
              </w:rPr>
              <w:t>13078.2</w:t>
            </w:r>
          </w:p>
        </w:tc>
      </w:tr>
    </w:tbl>
    <w:p w14:paraId="52882B39">
      <w:pPr>
        <w:spacing w:before="122" w:line="217" w:lineRule="auto"/>
        <w:ind w:left="589"/>
        <w:rPr>
          <w:rFonts w:ascii="宋体" w:hAnsi="宋体" w:eastAsia="宋体" w:cs="宋体"/>
          <w:sz w:val="24"/>
          <w:szCs w:val="24"/>
        </w:rPr>
      </w:pPr>
      <w:r>
        <w:rPr>
          <w:rFonts w:ascii="宋体" w:hAnsi="宋体" w:eastAsia="宋体" w:cs="宋体"/>
          <w:spacing w:val="-2"/>
          <w:sz w:val="24"/>
          <w:szCs w:val="24"/>
        </w:rPr>
        <w:t>③银平衡</w:t>
      </w:r>
    </w:p>
    <w:p w14:paraId="4ACD6486">
      <w:pPr>
        <w:spacing w:before="195" w:line="219" w:lineRule="auto"/>
        <w:ind w:left="592"/>
        <w:rPr>
          <w:rFonts w:ascii="宋体" w:hAnsi="宋体" w:eastAsia="宋体" w:cs="宋体"/>
          <w:sz w:val="24"/>
          <w:szCs w:val="24"/>
        </w:rPr>
      </w:pPr>
      <w:r>
        <w:rPr>
          <w:rFonts w:ascii="宋体" w:hAnsi="宋体" w:eastAsia="宋体" w:cs="宋体"/>
          <w:spacing w:val="-2"/>
          <w:sz w:val="24"/>
          <w:szCs w:val="24"/>
        </w:rPr>
        <w:t>技改项目银平衡见表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5.2-4</w:t>
      </w:r>
      <w:r>
        <w:rPr>
          <w:rFonts w:ascii="宋体" w:hAnsi="宋体" w:eastAsia="宋体" w:cs="宋体"/>
          <w:spacing w:val="-2"/>
          <w:sz w:val="24"/>
          <w:szCs w:val="24"/>
        </w:rPr>
        <w:t>。</w:t>
      </w:r>
    </w:p>
    <w:p w14:paraId="2DCC9442">
      <w:pPr>
        <w:spacing w:before="193" w:line="219" w:lineRule="auto"/>
        <w:ind w:left="283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5.2-4        </w:t>
      </w:r>
      <w:r>
        <w:rPr>
          <w:rFonts w:ascii="宋体" w:hAnsi="宋体" w:eastAsia="宋体" w:cs="宋体"/>
          <w:spacing w:val="-1"/>
          <w:sz w:val="24"/>
          <w:szCs w:val="24"/>
        </w:rPr>
        <w:t>技改项目银平衡表</w:t>
      </w:r>
    </w:p>
    <w:p w14:paraId="6AFE6E01">
      <w:pPr>
        <w:spacing w:line="7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5"/>
        <w:gridCol w:w="2160"/>
        <w:gridCol w:w="2160"/>
        <w:gridCol w:w="2164"/>
      </w:tblGrid>
      <w:tr w14:paraId="5D5EA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4185" w:type="dxa"/>
            <w:gridSpan w:val="2"/>
            <w:vAlign w:val="top"/>
          </w:tcPr>
          <w:p w14:paraId="183E71E0">
            <w:pPr>
              <w:pStyle w:val="6"/>
              <w:spacing w:before="57" w:line="228" w:lineRule="auto"/>
              <w:ind w:left="1782"/>
            </w:pPr>
            <w:r>
              <w:rPr>
                <w:spacing w:val="7"/>
              </w:rPr>
              <w:t>输入项</w:t>
            </w:r>
          </w:p>
        </w:tc>
        <w:tc>
          <w:tcPr>
            <w:tcW w:w="4324" w:type="dxa"/>
            <w:gridSpan w:val="2"/>
            <w:vAlign w:val="top"/>
          </w:tcPr>
          <w:p w14:paraId="74C7CFCA">
            <w:pPr>
              <w:pStyle w:val="6"/>
              <w:spacing w:before="57" w:line="228" w:lineRule="auto"/>
              <w:ind w:left="1850"/>
            </w:pPr>
            <w:r>
              <w:rPr>
                <w:spacing w:val="7"/>
              </w:rPr>
              <w:t>输出项</w:t>
            </w:r>
          </w:p>
        </w:tc>
      </w:tr>
      <w:tr w14:paraId="34F1A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36B167E5">
            <w:pPr>
              <w:pStyle w:val="6"/>
              <w:spacing w:before="53" w:line="228" w:lineRule="auto"/>
              <w:ind w:left="599"/>
            </w:pPr>
            <w:r>
              <w:rPr>
                <w:spacing w:val="7"/>
              </w:rPr>
              <w:t>物料名称</w:t>
            </w:r>
          </w:p>
        </w:tc>
        <w:tc>
          <w:tcPr>
            <w:tcW w:w="2160" w:type="dxa"/>
            <w:vAlign w:val="top"/>
          </w:tcPr>
          <w:p w14:paraId="6E2894D2">
            <w:pPr>
              <w:pStyle w:val="6"/>
              <w:spacing w:before="53" w:line="228" w:lineRule="auto"/>
              <w:ind w:left="407"/>
            </w:pPr>
            <w:r>
              <w:rPr>
                <w:spacing w:val="5"/>
              </w:rPr>
              <w:t>消耗量（t/a）</w:t>
            </w:r>
          </w:p>
        </w:tc>
        <w:tc>
          <w:tcPr>
            <w:tcW w:w="2160" w:type="dxa"/>
            <w:vAlign w:val="top"/>
          </w:tcPr>
          <w:p w14:paraId="14BFC5E0">
            <w:pPr>
              <w:pStyle w:val="6"/>
              <w:spacing w:before="53" w:line="228" w:lineRule="auto"/>
              <w:ind w:left="665"/>
            </w:pPr>
            <w:r>
              <w:rPr>
                <w:spacing w:val="7"/>
              </w:rPr>
              <w:t>物料名称</w:t>
            </w:r>
          </w:p>
        </w:tc>
        <w:tc>
          <w:tcPr>
            <w:tcW w:w="2164" w:type="dxa"/>
            <w:vAlign w:val="top"/>
          </w:tcPr>
          <w:p w14:paraId="2C745050">
            <w:pPr>
              <w:pStyle w:val="6"/>
              <w:spacing w:before="53" w:line="228" w:lineRule="auto"/>
              <w:ind w:left="403"/>
            </w:pPr>
            <w:r>
              <w:rPr>
                <w:spacing w:val="5"/>
              </w:rPr>
              <w:t>产出量（t/a）</w:t>
            </w:r>
          </w:p>
        </w:tc>
      </w:tr>
      <w:tr w14:paraId="50130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59745B3B">
            <w:pPr>
              <w:pStyle w:val="6"/>
              <w:spacing w:before="53" w:line="228" w:lineRule="auto"/>
              <w:ind w:left="599"/>
            </w:pPr>
            <w:r>
              <w:rPr>
                <w:spacing w:val="7"/>
              </w:rPr>
              <w:t>矿石含银</w:t>
            </w:r>
          </w:p>
        </w:tc>
        <w:tc>
          <w:tcPr>
            <w:tcW w:w="2160" w:type="dxa"/>
            <w:vAlign w:val="top"/>
          </w:tcPr>
          <w:p w14:paraId="4DE10A1F">
            <w:pPr>
              <w:pStyle w:val="6"/>
              <w:spacing w:before="54"/>
              <w:ind w:left="824"/>
            </w:pPr>
            <w:r>
              <w:rPr>
                <w:spacing w:val="3"/>
              </w:rPr>
              <w:t>80.09</w:t>
            </w:r>
          </w:p>
        </w:tc>
        <w:tc>
          <w:tcPr>
            <w:tcW w:w="2160" w:type="dxa"/>
            <w:vAlign w:val="top"/>
          </w:tcPr>
          <w:p w14:paraId="12D2BE84">
            <w:pPr>
              <w:pStyle w:val="6"/>
              <w:spacing w:before="54" w:line="227" w:lineRule="auto"/>
              <w:ind w:left="559"/>
            </w:pPr>
            <w:r>
              <w:rPr>
                <w:spacing w:val="8"/>
              </w:rPr>
              <w:t>铅精矿含银</w:t>
            </w:r>
          </w:p>
        </w:tc>
        <w:tc>
          <w:tcPr>
            <w:tcW w:w="2164" w:type="dxa"/>
            <w:vAlign w:val="top"/>
          </w:tcPr>
          <w:p w14:paraId="4388FEDC">
            <w:pPr>
              <w:pStyle w:val="6"/>
              <w:spacing w:before="54"/>
              <w:ind w:left="825"/>
            </w:pPr>
            <w:r>
              <w:rPr>
                <w:spacing w:val="2"/>
              </w:rPr>
              <w:t>64.80</w:t>
            </w:r>
          </w:p>
        </w:tc>
      </w:tr>
      <w:tr w14:paraId="6013A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21573055">
            <w:pPr>
              <w:pStyle w:val="6"/>
              <w:spacing w:before="56" w:line="233" w:lineRule="auto"/>
              <w:ind w:left="963"/>
            </w:pPr>
            <w:r>
              <w:t>/</w:t>
            </w:r>
          </w:p>
        </w:tc>
        <w:tc>
          <w:tcPr>
            <w:tcW w:w="2160" w:type="dxa"/>
            <w:vAlign w:val="top"/>
          </w:tcPr>
          <w:p w14:paraId="114F8E5A">
            <w:pPr>
              <w:pStyle w:val="6"/>
              <w:spacing w:before="56" w:line="233" w:lineRule="auto"/>
              <w:ind w:left="1031"/>
            </w:pPr>
            <w:r>
              <w:t>/</w:t>
            </w:r>
          </w:p>
        </w:tc>
        <w:tc>
          <w:tcPr>
            <w:tcW w:w="2160" w:type="dxa"/>
            <w:vAlign w:val="top"/>
          </w:tcPr>
          <w:p w14:paraId="6E292E1B">
            <w:pPr>
              <w:pStyle w:val="6"/>
              <w:spacing w:before="56" w:line="227" w:lineRule="auto"/>
              <w:ind w:left="558"/>
            </w:pPr>
            <w:r>
              <w:rPr>
                <w:spacing w:val="8"/>
              </w:rPr>
              <w:t>锌精矿含银</w:t>
            </w:r>
          </w:p>
        </w:tc>
        <w:tc>
          <w:tcPr>
            <w:tcW w:w="2164" w:type="dxa"/>
            <w:vAlign w:val="top"/>
          </w:tcPr>
          <w:p w14:paraId="043A62EE">
            <w:pPr>
              <w:pStyle w:val="6"/>
              <w:spacing w:before="56" w:line="237" w:lineRule="auto"/>
              <w:ind w:left="878"/>
            </w:pPr>
            <w:r>
              <w:rPr>
                <w:spacing w:val="2"/>
              </w:rPr>
              <w:t>6.39</w:t>
            </w:r>
          </w:p>
        </w:tc>
      </w:tr>
      <w:tr w14:paraId="1BA3B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17C0AFB3">
            <w:pPr>
              <w:pStyle w:val="6"/>
              <w:spacing w:before="56" w:line="233" w:lineRule="auto"/>
              <w:ind w:left="963"/>
            </w:pPr>
            <w:r>
              <w:t>/</w:t>
            </w:r>
          </w:p>
        </w:tc>
        <w:tc>
          <w:tcPr>
            <w:tcW w:w="2160" w:type="dxa"/>
            <w:vAlign w:val="top"/>
          </w:tcPr>
          <w:p w14:paraId="5CA9CAF8">
            <w:pPr>
              <w:pStyle w:val="6"/>
              <w:spacing w:before="56" w:line="233" w:lineRule="auto"/>
              <w:ind w:left="1031"/>
            </w:pPr>
            <w:r>
              <w:t>/</w:t>
            </w:r>
          </w:p>
        </w:tc>
        <w:tc>
          <w:tcPr>
            <w:tcW w:w="2160" w:type="dxa"/>
            <w:vAlign w:val="top"/>
          </w:tcPr>
          <w:p w14:paraId="3AB97758">
            <w:pPr>
              <w:pStyle w:val="6"/>
              <w:spacing w:before="56" w:line="228" w:lineRule="auto"/>
              <w:ind w:left="351"/>
            </w:pPr>
            <w:r>
              <w:rPr>
                <w:spacing w:val="8"/>
              </w:rPr>
              <w:t>有组织粉尘含银</w:t>
            </w:r>
          </w:p>
        </w:tc>
        <w:tc>
          <w:tcPr>
            <w:tcW w:w="2164" w:type="dxa"/>
            <w:vAlign w:val="top"/>
          </w:tcPr>
          <w:p w14:paraId="36C6548D">
            <w:pPr>
              <w:pStyle w:val="6"/>
              <w:spacing w:before="57" w:line="236" w:lineRule="auto"/>
              <w:ind w:left="772"/>
            </w:pPr>
            <w:r>
              <w:rPr>
                <w:spacing w:val="3"/>
              </w:rPr>
              <w:t>0.0002</w:t>
            </w:r>
          </w:p>
        </w:tc>
      </w:tr>
      <w:tr w14:paraId="28827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025" w:type="dxa"/>
            <w:vAlign w:val="top"/>
          </w:tcPr>
          <w:p w14:paraId="169AF47B">
            <w:pPr>
              <w:pStyle w:val="6"/>
              <w:spacing w:before="57" w:line="233" w:lineRule="auto"/>
              <w:ind w:left="963"/>
            </w:pPr>
            <w:r>
              <w:t>/</w:t>
            </w:r>
          </w:p>
        </w:tc>
        <w:tc>
          <w:tcPr>
            <w:tcW w:w="2160" w:type="dxa"/>
            <w:vAlign w:val="top"/>
          </w:tcPr>
          <w:p w14:paraId="675E2DDE">
            <w:pPr>
              <w:pStyle w:val="6"/>
              <w:spacing w:before="57" w:line="233" w:lineRule="auto"/>
              <w:ind w:left="1031"/>
            </w:pPr>
            <w:r>
              <w:t>/</w:t>
            </w:r>
          </w:p>
        </w:tc>
        <w:tc>
          <w:tcPr>
            <w:tcW w:w="2160" w:type="dxa"/>
            <w:vAlign w:val="top"/>
          </w:tcPr>
          <w:p w14:paraId="64C4FDAA">
            <w:pPr>
              <w:pStyle w:val="6"/>
              <w:spacing w:before="57" w:line="228" w:lineRule="auto"/>
              <w:ind w:left="352"/>
            </w:pPr>
            <w:r>
              <w:rPr>
                <w:spacing w:val="8"/>
              </w:rPr>
              <w:t>无组织粉尘含银</w:t>
            </w:r>
          </w:p>
        </w:tc>
        <w:tc>
          <w:tcPr>
            <w:tcW w:w="2164" w:type="dxa"/>
            <w:vAlign w:val="top"/>
          </w:tcPr>
          <w:p w14:paraId="7C7B7DDF">
            <w:pPr>
              <w:pStyle w:val="6"/>
              <w:spacing w:before="58" w:line="235" w:lineRule="auto"/>
              <w:ind w:left="772"/>
            </w:pPr>
            <w:r>
              <w:rPr>
                <w:spacing w:val="3"/>
              </w:rPr>
              <w:t>0.0006</w:t>
            </w:r>
          </w:p>
        </w:tc>
      </w:tr>
      <w:tr w14:paraId="6D70D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025" w:type="dxa"/>
            <w:vAlign w:val="top"/>
          </w:tcPr>
          <w:p w14:paraId="55D1B945">
            <w:pPr>
              <w:pStyle w:val="6"/>
              <w:spacing w:before="58" w:line="233" w:lineRule="auto"/>
              <w:ind w:left="963"/>
            </w:pPr>
            <w:r>
              <w:t>/</w:t>
            </w:r>
          </w:p>
        </w:tc>
        <w:tc>
          <w:tcPr>
            <w:tcW w:w="2160" w:type="dxa"/>
            <w:vAlign w:val="top"/>
          </w:tcPr>
          <w:p w14:paraId="71464413">
            <w:pPr>
              <w:pStyle w:val="6"/>
              <w:spacing w:before="58" w:line="233" w:lineRule="auto"/>
              <w:ind w:left="1031"/>
            </w:pPr>
            <w:r>
              <w:t>/</w:t>
            </w:r>
          </w:p>
        </w:tc>
        <w:tc>
          <w:tcPr>
            <w:tcW w:w="2160" w:type="dxa"/>
            <w:vAlign w:val="top"/>
          </w:tcPr>
          <w:p w14:paraId="6ADF808E">
            <w:pPr>
              <w:pStyle w:val="6"/>
              <w:spacing w:before="58" w:line="228" w:lineRule="auto"/>
              <w:ind w:left="665"/>
            </w:pPr>
            <w:r>
              <w:rPr>
                <w:spacing w:val="8"/>
              </w:rPr>
              <w:t>尾矿含银</w:t>
            </w:r>
          </w:p>
        </w:tc>
        <w:tc>
          <w:tcPr>
            <w:tcW w:w="2164" w:type="dxa"/>
            <w:vAlign w:val="top"/>
          </w:tcPr>
          <w:p w14:paraId="0855A194">
            <w:pPr>
              <w:pStyle w:val="6"/>
              <w:spacing w:before="58" w:line="236" w:lineRule="auto"/>
              <w:ind w:left="877"/>
            </w:pPr>
            <w:r>
              <w:rPr>
                <w:spacing w:val="3"/>
              </w:rPr>
              <w:t>8.90</w:t>
            </w:r>
          </w:p>
        </w:tc>
      </w:tr>
      <w:tr w14:paraId="026BA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025" w:type="dxa"/>
            <w:vAlign w:val="top"/>
          </w:tcPr>
          <w:p w14:paraId="79C3128A">
            <w:pPr>
              <w:pStyle w:val="6"/>
              <w:spacing w:before="58" w:line="229" w:lineRule="auto"/>
              <w:ind w:left="809"/>
            </w:pPr>
            <w:r>
              <w:rPr>
                <w:spacing w:val="4"/>
              </w:rPr>
              <w:t>合计</w:t>
            </w:r>
          </w:p>
        </w:tc>
        <w:tc>
          <w:tcPr>
            <w:tcW w:w="2160" w:type="dxa"/>
            <w:vAlign w:val="top"/>
          </w:tcPr>
          <w:p w14:paraId="4C684B51">
            <w:pPr>
              <w:pStyle w:val="6"/>
              <w:spacing w:before="59" w:line="239" w:lineRule="auto"/>
              <w:ind w:left="824"/>
            </w:pPr>
            <w:r>
              <w:rPr>
                <w:spacing w:val="3"/>
              </w:rPr>
              <w:t>80.09</w:t>
            </w:r>
          </w:p>
        </w:tc>
        <w:tc>
          <w:tcPr>
            <w:tcW w:w="2160" w:type="dxa"/>
            <w:vAlign w:val="top"/>
          </w:tcPr>
          <w:p w14:paraId="63D11B1C">
            <w:pPr>
              <w:pStyle w:val="6"/>
              <w:spacing w:before="58" w:line="229" w:lineRule="auto"/>
              <w:ind w:left="877"/>
            </w:pPr>
            <w:r>
              <w:rPr>
                <w:spacing w:val="4"/>
              </w:rPr>
              <w:t>合计</w:t>
            </w:r>
          </w:p>
        </w:tc>
        <w:tc>
          <w:tcPr>
            <w:tcW w:w="2164" w:type="dxa"/>
            <w:vAlign w:val="top"/>
          </w:tcPr>
          <w:p w14:paraId="20D4EF2C">
            <w:pPr>
              <w:pStyle w:val="6"/>
              <w:spacing w:before="59" w:line="239" w:lineRule="auto"/>
              <w:ind w:left="824"/>
            </w:pPr>
            <w:r>
              <w:rPr>
                <w:spacing w:val="3"/>
              </w:rPr>
              <w:t>80.09</w:t>
            </w:r>
          </w:p>
        </w:tc>
      </w:tr>
    </w:tbl>
    <w:p w14:paraId="17D295E7">
      <w:pPr>
        <w:spacing w:before="201" w:line="222" w:lineRule="auto"/>
        <w:ind w:left="111"/>
        <w:outlineLvl w:val="1"/>
        <w:rPr>
          <w:rFonts w:ascii="黑体" w:hAnsi="黑体" w:eastAsia="黑体" w:cs="黑体"/>
          <w:sz w:val="28"/>
          <w:szCs w:val="28"/>
        </w:rPr>
      </w:pPr>
      <w:bookmarkStart w:id="67" w:name="bookmark62"/>
      <w:bookmarkEnd w:id="67"/>
      <w:r>
        <w:rPr>
          <w:rFonts w:ascii="Times New Roman" w:hAnsi="Times New Roman" w:eastAsia="Times New Roman" w:cs="Times New Roman"/>
          <w:b/>
          <w:bCs/>
          <w:spacing w:val="-3"/>
          <w:sz w:val="28"/>
          <w:szCs w:val="28"/>
        </w:rPr>
        <w:t xml:space="preserve">5.3 </w:t>
      </w:r>
      <w:r>
        <w:rPr>
          <w:rFonts w:ascii="黑体" w:hAnsi="黑体" w:eastAsia="黑体" w:cs="黑体"/>
          <w:b/>
          <w:bCs/>
          <w:spacing w:val="-3"/>
          <w:sz w:val="28"/>
          <w:szCs w:val="28"/>
        </w:rPr>
        <w:t>水量平衡</w:t>
      </w:r>
    </w:p>
    <w:p w14:paraId="6C1BBB4E">
      <w:pPr>
        <w:spacing w:before="265" w:line="368" w:lineRule="auto"/>
        <w:ind w:left="112" w:right="252" w:firstLine="480"/>
        <w:jc w:val="both"/>
        <w:rPr>
          <w:rFonts w:ascii="宋体" w:hAnsi="宋体" w:eastAsia="宋体" w:cs="宋体"/>
          <w:sz w:val="24"/>
          <w:szCs w:val="24"/>
        </w:rPr>
      </w:pPr>
      <w:r>
        <w:rPr>
          <w:rFonts w:ascii="宋体" w:hAnsi="宋体" w:eastAsia="宋体" w:cs="宋体"/>
          <w:sz w:val="24"/>
          <w:szCs w:val="24"/>
        </w:rPr>
        <w:t>技改后全厂用水包括生产用水和工作人员生活</w:t>
      </w:r>
      <w:r>
        <w:rPr>
          <w:rFonts w:ascii="宋体" w:hAnsi="宋体" w:eastAsia="宋体" w:cs="宋体"/>
          <w:spacing w:val="-1"/>
          <w:sz w:val="24"/>
          <w:szCs w:val="24"/>
        </w:rPr>
        <w:t>用水。本次技改工程不增加</w:t>
      </w:r>
      <w:r>
        <w:rPr>
          <w:rFonts w:ascii="宋体" w:hAnsi="宋体" w:eastAsia="宋体" w:cs="宋体"/>
          <w:sz w:val="24"/>
          <w:szCs w:val="24"/>
        </w:rPr>
        <w:t xml:space="preserve"> </w:t>
      </w:r>
      <w:r>
        <w:rPr>
          <w:rFonts w:ascii="宋体" w:hAnsi="宋体" w:eastAsia="宋体" w:cs="宋体"/>
          <w:spacing w:val="2"/>
          <w:sz w:val="24"/>
          <w:szCs w:val="24"/>
        </w:rPr>
        <w:t>堆场占地，人员由现有</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选矿工程调配，不新增人员，故不新增用水量</w:t>
      </w:r>
      <w:r>
        <w:rPr>
          <w:rFonts w:ascii="宋体" w:hAnsi="宋体" w:eastAsia="宋体" w:cs="宋体"/>
          <w:sz w:val="24"/>
          <w:szCs w:val="24"/>
        </w:rPr>
        <w:t xml:space="preserve"> </w:t>
      </w:r>
      <w:r>
        <w:rPr>
          <w:rFonts w:ascii="宋体" w:hAnsi="宋体" w:eastAsia="宋体" w:cs="宋体"/>
          <w:spacing w:val="-1"/>
          <w:sz w:val="24"/>
          <w:szCs w:val="24"/>
        </w:rPr>
        <w:t>和排水量，水量平衡维持现有不变。</w:t>
      </w:r>
    </w:p>
    <w:p w14:paraId="3B0056B8">
      <w:pPr>
        <w:spacing w:line="219" w:lineRule="auto"/>
        <w:ind w:left="610"/>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）生活污水</w:t>
      </w:r>
    </w:p>
    <w:p w14:paraId="70F61806">
      <w:pPr>
        <w:spacing w:line="219" w:lineRule="auto"/>
        <w:rPr>
          <w:rFonts w:ascii="宋体" w:hAnsi="宋体" w:eastAsia="宋体" w:cs="宋体"/>
          <w:sz w:val="24"/>
          <w:szCs w:val="24"/>
        </w:rPr>
        <w:sectPr>
          <w:footerReference r:id="rId130" w:type="default"/>
          <w:pgSz w:w="11906" w:h="16839"/>
          <w:pgMar w:top="1208" w:right="1696" w:bottom="1358" w:left="1695" w:header="825" w:footer="1195" w:gutter="0"/>
          <w:cols w:space="720" w:num="1"/>
        </w:sectPr>
      </w:pPr>
    </w:p>
    <w:p w14:paraId="5936A6C2">
      <w:pPr>
        <w:pStyle w:val="2"/>
        <w:spacing w:line="270" w:lineRule="auto"/>
      </w:pPr>
    </w:p>
    <w:p w14:paraId="6C0AC4BE">
      <w:pPr>
        <w:spacing w:before="79" w:line="368" w:lineRule="auto"/>
        <w:ind w:left="113" w:right="254" w:firstLine="480"/>
        <w:jc w:val="both"/>
        <w:rPr>
          <w:rFonts w:ascii="宋体" w:hAnsi="宋体" w:eastAsia="宋体" w:cs="宋体"/>
          <w:sz w:val="24"/>
          <w:szCs w:val="24"/>
        </w:rPr>
      </w:pPr>
      <w:r>
        <w:rPr>
          <w:rFonts w:ascii="宋体" w:hAnsi="宋体" w:eastAsia="宋体" w:cs="宋体"/>
          <w:spacing w:val="4"/>
          <w:sz w:val="24"/>
          <w:szCs w:val="24"/>
        </w:rPr>
        <w:t>技改后，不新增人员，人员由原</w:t>
      </w:r>
      <w:r>
        <w:rPr>
          <w:rFonts w:ascii="Times New Roman" w:hAnsi="Times New Roman" w:eastAsia="Times New Roman" w:cs="Times New Roman"/>
          <w:spacing w:val="4"/>
          <w:sz w:val="24"/>
          <w:szCs w:val="24"/>
        </w:rPr>
        <w:t xml:space="preserve">2000t/d </w:t>
      </w:r>
      <w:r>
        <w:rPr>
          <w:rFonts w:ascii="宋体" w:hAnsi="宋体" w:eastAsia="宋体" w:cs="宋体"/>
          <w:spacing w:val="4"/>
          <w:sz w:val="24"/>
          <w:szCs w:val="24"/>
        </w:rPr>
        <w:t>选矿工程调配，故不新增生活用</w:t>
      </w:r>
      <w:r>
        <w:rPr>
          <w:rFonts w:ascii="宋体" w:hAnsi="宋体" w:eastAsia="宋体" w:cs="宋体"/>
          <w:spacing w:val="11"/>
          <w:sz w:val="24"/>
          <w:szCs w:val="24"/>
        </w:rPr>
        <w:t xml:space="preserve"> </w:t>
      </w:r>
      <w:r>
        <w:rPr>
          <w:rFonts w:ascii="宋体" w:hAnsi="宋体" w:eastAsia="宋体" w:cs="宋体"/>
          <w:sz w:val="24"/>
          <w:szCs w:val="24"/>
        </w:rPr>
        <w:t>水量和排水量。现有一套污水处理设施用于处理全厂</w:t>
      </w:r>
      <w:r>
        <w:rPr>
          <w:rFonts w:ascii="宋体" w:hAnsi="宋体" w:eastAsia="宋体" w:cs="宋体"/>
          <w:spacing w:val="-1"/>
          <w:sz w:val="24"/>
          <w:szCs w:val="24"/>
        </w:rPr>
        <w:t>生活污水，设计处理能力</w:t>
      </w:r>
      <w:r>
        <w:rPr>
          <w:rFonts w:ascii="宋体" w:hAnsi="宋体" w:eastAsia="宋体" w:cs="宋体"/>
          <w:sz w:val="24"/>
          <w:szCs w:val="24"/>
        </w:rPr>
        <w:t xml:space="preserve"> </w:t>
      </w:r>
      <w:r>
        <w:rPr>
          <w:rFonts w:ascii="宋体" w:hAnsi="宋体" w:eastAsia="宋体" w:cs="宋体"/>
          <w:spacing w:val="-4"/>
          <w:sz w:val="24"/>
          <w:szCs w:val="24"/>
        </w:rPr>
        <w:t>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 xml:space="preserve">/h  </w:t>
      </w:r>
      <w:r>
        <w:rPr>
          <w:rFonts w:ascii="宋体" w:hAnsi="宋体" w:eastAsia="宋体" w:cs="宋体"/>
          <w:spacing w:val="-4"/>
          <w:sz w:val="24"/>
          <w:szCs w:val="24"/>
        </w:rPr>
        <w:t>。根据业主提供资料，公司目前生活用水量为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80m</w:t>
      </w:r>
      <w:r>
        <w:rPr>
          <w:rFonts w:ascii="宋体" w:hAnsi="宋体" w:eastAsia="宋体" w:cs="宋体"/>
          <w:spacing w:val="-4"/>
          <w:sz w:val="24"/>
          <w:szCs w:val="24"/>
        </w:rPr>
        <w:t>³</w:t>
      </w:r>
      <w:r>
        <w:rPr>
          <w:rFonts w:ascii="Times New Roman" w:hAnsi="Times New Roman" w:eastAsia="Times New Roman" w:cs="Times New Roman"/>
          <w:spacing w:val="-4"/>
          <w:sz w:val="24"/>
          <w:szCs w:val="24"/>
        </w:rPr>
        <w:t>/d</w:t>
      </w:r>
      <w:r>
        <w:rPr>
          <w:rFonts w:ascii="宋体" w:hAnsi="宋体" w:eastAsia="宋体" w:cs="宋体"/>
          <w:spacing w:val="-4"/>
          <w:sz w:val="24"/>
          <w:szCs w:val="24"/>
        </w:rPr>
        <w:t>，排水量按</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80%</w:t>
      </w:r>
      <w:r>
        <w:rPr>
          <w:rFonts w:ascii="Times New Roman" w:hAnsi="Times New Roman" w:eastAsia="Times New Roman" w:cs="Times New Roman"/>
          <w:sz w:val="24"/>
          <w:szCs w:val="24"/>
        </w:rPr>
        <w:t xml:space="preserve"> </w:t>
      </w:r>
      <w:r>
        <w:rPr>
          <w:rFonts w:ascii="宋体" w:hAnsi="宋体" w:eastAsia="宋体" w:cs="宋体"/>
          <w:sz w:val="24"/>
          <w:szCs w:val="24"/>
        </w:rPr>
        <w:t>计算，为</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64m</w:t>
      </w:r>
      <w:r>
        <w:rPr>
          <w:rFonts w:ascii="宋体" w:hAnsi="宋体" w:eastAsia="宋体" w:cs="宋体"/>
          <w:sz w:val="24"/>
          <w:szCs w:val="24"/>
        </w:rPr>
        <w:t>³</w:t>
      </w:r>
      <w:r>
        <w:rPr>
          <w:rFonts w:ascii="Times New Roman" w:hAnsi="Times New Roman" w:eastAsia="Times New Roman" w:cs="Times New Roman"/>
          <w:sz w:val="24"/>
          <w:szCs w:val="24"/>
        </w:rPr>
        <w:t>/d</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，采用</w:t>
      </w:r>
      <w:r>
        <w:rPr>
          <w:rFonts w:ascii="Times New Roman" w:hAnsi="Times New Roman" w:eastAsia="Times New Roman" w:cs="Times New Roman"/>
          <w:sz w:val="24"/>
          <w:szCs w:val="24"/>
        </w:rPr>
        <w:t xml:space="preserve">MBR </w:t>
      </w:r>
      <w:r>
        <w:rPr>
          <w:rFonts w:ascii="宋体" w:hAnsi="宋体" w:eastAsia="宋体" w:cs="宋体"/>
          <w:sz w:val="24"/>
          <w:szCs w:val="24"/>
        </w:rPr>
        <w:t xml:space="preserve">膜生物反应器工艺，生活污水经污水处理设施处 </w:t>
      </w:r>
      <w:r>
        <w:rPr>
          <w:rFonts w:ascii="宋体" w:hAnsi="宋体" w:eastAsia="宋体" w:cs="宋体"/>
          <w:spacing w:val="-1"/>
          <w:sz w:val="24"/>
          <w:szCs w:val="24"/>
        </w:rPr>
        <w:t>理达标后，全部回用于矿区绿化用水，不外排。</w:t>
      </w:r>
    </w:p>
    <w:p w14:paraId="4CD8D94B">
      <w:pPr>
        <w:spacing w:line="219" w:lineRule="auto"/>
        <w:ind w:left="58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）生产废水</w:t>
      </w:r>
    </w:p>
    <w:p w14:paraId="612FD165">
      <w:pPr>
        <w:spacing w:before="193" w:line="368" w:lineRule="auto"/>
        <w:ind w:left="111" w:right="255" w:firstLine="485"/>
        <w:rPr>
          <w:rFonts w:ascii="宋体" w:hAnsi="宋体" w:eastAsia="宋体" w:cs="宋体"/>
          <w:sz w:val="24"/>
          <w:szCs w:val="24"/>
        </w:rPr>
      </w:pPr>
      <w:r>
        <w:rPr>
          <w:rFonts w:ascii="宋体" w:hAnsi="宋体" w:eastAsia="宋体" w:cs="宋体"/>
          <w:sz w:val="24"/>
          <w:szCs w:val="24"/>
        </w:rPr>
        <w:t>企业生产用水来自矿坑疏干水，技改后，生产用</w:t>
      </w:r>
      <w:r>
        <w:rPr>
          <w:rFonts w:ascii="宋体" w:hAnsi="宋体" w:eastAsia="宋体" w:cs="宋体"/>
          <w:spacing w:val="-1"/>
          <w:sz w:val="24"/>
          <w:szCs w:val="24"/>
        </w:rPr>
        <w:t>水量仍为</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800t/d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，未发生</w:t>
      </w:r>
      <w:r>
        <w:rPr>
          <w:rFonts w:ascii="宋体" w:hAnsi="宋体" w:eastAsia="宋体" w:cs="宋体"/>
          <w:sz w:val="24"/>
          <w:szCs w:val="24"/>
        </w:rPr>
        <w:t xml:space="preserve"> 变化，生产废水依托现有污水处理系统。选厂现有一套尾</w:t>
      </w:r>
      <w:r>
        <w:rPr>
          <w:rFonts w:ascii="宋体" w:hAnsi="宋体" w:eastAsia="宋体" w:cs="宋体"/>
          <w:spacing w:val="-1"/>
          <w:sz w:val="24"/>
          <w:szCs w:val="24"/>
        </w:rPr>
        <w:t>矿回水处理系统用于</w:t>
      </w:r>
      <w:r>
        <w:rPr>
          <w:rFonts w:ascii="宋体" w:hAnsi="宋体" w:eastAsia="宋体" w:cs="宋体"/>
          <w:sz w:val="24"/>
          <w:szCs w:val="24"/>
        </w:rPr>
        <w:t xml:space="preserve"> </w:t>
      </w:r>
      <w:r>
        <w:rPr>
          <w:rFonts w:ascii="宋体" w:hAnsi="宋体" w:eastAsia="宋体" w:cs="宋体"/>
          <w:spacing w:val="-2"/>
          <w:sz w:val="24"/>
          <w:szCs w:val="24"/>
        </w:rPr>
        <w:t>处理全厂尾矿回水，处理规模为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9000m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，采用混凝沉淀法，经处理后用泵扬</w:t>
      </w:r>
      <w:r>
        <w:rPr>
          <w:rFonts w:ascii="宋体" w:hAnsi="宋体" w:eastAsia="宋体" w:cs="宋体"/>
          <w:sz w:val="24"/>
          <w:szCs w:val="24"/>
        </w:rPr>
        <w:t xml:space="preserve"> 送至选厂高位回用水池，通过厂区生产回水管网送至生产</w:t>
      </w:r>
      <w:r>
        <w:rPr>
          <w:rFonts w:ascii="宋体" w:hAnsi="宋体" w:eastAsia="宋体" w:cs="宋体"/>
          <w:spacing w:val="-1"/>
          <w:sz w:val="24"/>
          <w:szCs w:val="24"/>
        </w:rPr>
        <w:t>回水用水点，生产废</w:t>
      </w:r>
      <w:r>
        <w:rPr>
          <w:rFonts w:ascii="宋体" w:hAnsi="宋体" w:eastAsia="宋体" w:cs="宋体"/>
          <w:sz w:val="24"/>
          <w:szCs w:val="24"/>
        </w:rPr>
        <w:t xml:space="preserve"> </w:t>
      </w:r>
      <w:r>
        <w:rPr>
          <w:rFonts w:ascii="宋体" w:hAnsi="宋体" w:eastAsia="宋体" w:cs="宋体"/>
          <w:spacing w:val="-2"/>
          <w:sz w:val="24"/>
          <w:szCs w:val="24"/>
        </w:rPr>
        <w:t>水不外排。</w:t>
      </w:r>
    </w:p>
    <w:p w14:paraId="4F6D9688">
      <w:pPr>
        <w:spacing w:line="219" w:lineRule="auto"/>
        <w:ind w:left="594"/>
        <w:rPr>
          <w:rFonts w:ascii="宋体" w:hAnsi="宋体" w:eastAsia="宋体" w:cs="宋体"/>
          <w:sz w:val="24"/>
          <w:szCs w:val="24"/>
        </w:rPr>
      </w:pPr>
      <w:r>
        <w:rPr>
          <w:rFonts w:ascii="宋体" w:hAnsi="宋体" w:eastAsia="宋体" w:cs="宋体"/>
          <w:spacing w:val="-3"/>
          <w:sz w:val="24"/>
          <w:szCs w:val="24"/>
        </w:rPr>
        <w:t>技改后，企业用水指标见表</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5.3-1</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5.3-2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，水平衡见图</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5.3-1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5.3-2</w:t>
      </w:r>
      <w:r>
        <w:rPr>
          <w:rFonts w:ascii="宋体" w:hAnsi="宋体" w:eastAsia="宋体" w:cs="宋体"/>
          <w:spacing w:val="-3"/>
          <w:sz w:val="24"/>
          <w:szCs w:val="24"/>
        </w:rPr>
        <w:t>。</w:t>
      </w:r>
    </w:p>
    <w:p w14:paraId="3E957CBF">
      <w:pPr>
        <w:spacing w:before="91" w:line="234" w:lineRule="auto"/>
        <w:ind w:left="138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4"/>
          <w:sz w:val="24"/>
          <w:szCs w:val="24"/>
        </w:rPr>
        <w:t xml:space="preserve"> </w:t>
      </w:r>
      <w:r>
        <w:rPr>
          <w:rFonts w:ascii="宋体" w:hAnsi="宋体" w:eastAsia="宋体" w:cs="宋体"/>
          <w:spacing w:val="-1"/>
          <w:sz w:val="24"/>
          <w:szCs w:val="24"/>
        </w:rPr>
        <w:t>5.3-1    技改后企业夏季用水指标        单位：m</w:t>
      </w:r>
      <w:r>
        <w:rPr>
          <w:rFonts w:ascii="宋体" w:hAnsi="宋体" w:eastAsia="宋体" w:cs="宋体"/>
          <w:spacing w:val="-1"/>
          <w:position w:val="12"/>
          <w:sz w:val="12"/>
          <w:szCs w:val="12"/>
        </w:rPr>
        <w:t>3</w:t>
      </w:r>
      <w:r>
        <w:rPr>
          <w:rFonts w:ascii="宋体" w:hAnsi="宋体" w:eastAsia="宋体" w:cs="宋体"/>
          <w:spacing w:val="-1"/>
          <w:sz w:val="24"/>
          <w:szCs w:val="24"/>
        </w:rPr>
        <w:t>/d</w:t>
      </w:r>
    </w:p>
    <w:p w14:paraId="4FBFEC2A">
      <w:pPr>
        <w:spacing w:line="145" w:lineRule="exact"/>
      </w:pPr>
    </w:p>
    <w:tbl>
      <w:tblPr>
        <w:tblStyle w:val="5"/>
        <w:tblW w:w="831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842"/>
        <w:gridCol w:w="850"/>
        <w:gridCol w:w="992"/>
        <w:gridCol w:w="991"/>
        <w:gridCol w:w="991"/>
        <w:gridCol w:w="851"/>
        <w:gridCol w:w="1084"/>
      </w:tblGrid>
      <w:tr w14:paraId="56686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2" w:type="dxa"/>
            <w:vAlign w:val="top"/>
          </w:tcPr>
          <w:p w14:paraId="32A4031C">
            <w:pPr>
              <w:pStyle w:val="6"/>
              <w:spacing w:before="63" w:line="229" w:lineRule="auto"/>
              <w:ind w:left="150"/>
            </w:pPr>
            <w:r>
              <w:rPr>
                <w:spacing w:val="5"/>
              </w:rPr>
              <w:t>序号</w:t>
            </w:r>
          </w:p>
        </w:tc>
        <w:tc>
          <w:tcPr>
            <w:tcW w:w="1842" w:type="dxa"/>
            <w:vAlign w:val="top"/>
          </w:tcPr>
          <w:p w14:paraId="40DBEBA9">
            <w:pPr>
              <w:pStyle w:val="6"/>
              <w:spacing w:before="63" w:line="228" w:lineRule="auto"/>
              <w:ind w:left="506"/>
            </w:pPr>
            <w:r>
              <w:rPr>
                <w:spacing w:val="6"/>
              </w:rPr>
              <w:t>用户名称</w:t>
            </w:r>
          </w:p>
        </w:tc>
        <w:tc>
          <w:tcPr>
            <w:tcW w:w="850" w:type="dxa"/>
            <w:vAlign w:val="top"/>
          </w:tcPr>
          <w:p w14:paraId="0DE57B43">
            <w:pPr>
              <w:pStyle w:val="6"/>
              <w:spacing w:before="63" w:line="228" w:lineRule="auto"/>
              <w:ind w:left="120"/>
            </w:pPr>
            <w:r>
              <w:rPr>
                <w:spacing w:val="5"/>
              </w:rPr>
              <w:t>总水量</w:t>
            </w:r>
          </w:p>
        </w:tc>
        <w:tc>
          <w:tcPr>
            <w:tcW w:w="992" w:type="dxa"/>
            <w:vAlign w:val="top"/>
          </w:tcPr>
          <w:p w14:paraId="54A5F83A">
            <w:pPr>
              <w:pStyle w:val="6"/>
              <w:spacing w:before="63" w:line="228" w:lineRule="auto"/>
              <w:ind w:left="187"/>
            </w:pPr>
            <w:r>
              <w:rPr>
                <w:spacing w:val="6"/>
              </w:rPr>
              <w:t>新水量</w:t>
            </w:r>
          </w:p>
        </w:tc>
        <w:tc>
          <w:tcPr>
            <w:tcW w:w="991" w:type="dxa"/>
            <w:vAlign w:val="top"/>
          </w:tcPr>
          <w:p w14:paraId="668D9A8D">
            <w:pPr>
              <w:pStyle w:val="6"/>
              <w:spacing w:before="58" w:line="228" w:lineRule="auto"/>
              <w:ind w:left="185"/>
            </w:pPr>
            <w:r>
              <w:rPr>
                <w:spacing w:val="6"/>
              </w:rPr>
              <w:t>循环水</w:t>
            </w:r>
          </w:p>
        </w:tc>
        <w:tc>
          <w:tcPr>
            <w:tcW w:w="991" w:type="dxa"/>
            <w:vAlign w:val="top"/>
          </w:tcPr>
          <w:p w14:paraId="634B97F9">
            <w:pPr>
              <w:pStyle w:val="6"/>
              <w:spacing w:before="58" w:line="228" w:lineRule="auto"/>
              <w:ind w:left="188"/>
            </w:pPr>
            <w:r>
              <w:rPr>
                <w:spacing w:val="6"/>
              </w:rPr>
              <w:t>损耗水</w:t>
            </w:r>
          </w:p>
        </w:tc>
        <w:tc>
          <w:tcPr>
            <w:tcW w:w="851" w:type="dxa"/>
            <w:vAlign w:val="top"/>
          </w:tcPr>
          <w:p w14:paraId="2C4A5755">
            <w:pPr>
              <w:pStyle w:val="6"/>
              <w:spacing w:before="63" w:line="228" w:lineRule="auto"/>
              <w:ind w:left="222"/>
            </w:pPr>
            <w:r>
              <w:rPr>
                <w:spacing w:val="4"/>
              </w:rPr>
              <w:t>排水</w:t>
            </w:r>
          </w:p>
        </w:tc>
        <w:tc>
          <w:tcPr>
            <w:tcW w:w="1084" w:type="dxa"/>
            <w:vAlign w:val="top"/>
          </w:tcPr>
          <w:p w14:paraId="583FB7CF">
            <w:pPr>
              <w:pStyle w:val="6"/>
              <w:spacing w:before="63" w:line="228" w:lineRule="auto"/>
              <w:ind w:left="127"/>
            </w:pPr>
            <w:r>
              <w:rPr>
                <w:spacing w:val="7"/>
              </w:rPr>
              <w:t>排水去向</w:t>
            </w:r>
          </w:p>
        </w:tc>
      </w:tr>
      <w:tr w14:paraId="0E9E9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1B954773">
            <w:pPr>
              <w:pStyle w:val="6"/>
              <w:spacing w:before="60" w:line="264" w:lineRule="exact"/>
              <w:ind w:left="325"/>
            </w:pPr>
            <w:r>
              <w:rPr>
                <w:position w:val="1"/>
              </w:rPr>
              <w:t>1</w:t>
            </w:r>
          </w:p>
        </w:tc>
        <w:tc>
          <w:tcPr>
            <w:tcW w:w="1842" w:type="dxa"/>
            <w:vAlign w:val="top"/>
          </w:tcPr>
          <w:p w14:paraId="47DC6DB4">
            <w:pPr>
              <w:pStyle w:val="6"/>
              <w:spacing w:before="60" w:line="227" w:lineRule="auto"/>
              <w:ind w:left="504"/>
            </w:pPr>
            <w:r>
              <w:rPr>
                <w:spacing w:val="7"/>
              </w:rPr>
              <w:t>采矿工艺</w:t>
            </w:r>
          </w:p>
        </w:tc>
        <w:tc>
          <w:tcPr>
            <w:tcW w:w="850" w:type="dxa"/>
            <w:vAlign w:val="top"/>
          </w:tcPr>
          <w:p w14:paraId="1041704F">
            <w:pPr>
              <w:pStyle w:val="6"/>
              <w:spacing w:before="60" w:line="264" w:lineRule="exact"/>
              <w:ind w:left="286"/>
            </w:pPr>
            <w:r>
              <w:rPr>
                <w:spacing w:val="-3"/>
                <w:position w:val="1"/>
              </w:rPr>
              <w:t>150</w:t>
            </w:r>
          </w:p>
        </w:tc>
        <w:tc>
          <w:tcPr>
            <w:tcW w:w="992" w:type="dxa"/>
            <w:vAlign w:val="top"/>
          </w:tcPr>
          <w:p w14:paraId="1F9C4BB0">
            <w:pPr>
              <w:pStyle w:val="6"/>
              <w:spacing w:before="60" w:line="264" w:lineRule="exact"/>
              <w:ind w:left="358"/>
            </w:pPr>
            <w:r>
              <w:rPr>
                <w:spacing w:val="-3"/>
                <w:position w:val="1"/>
              </w:rPr>
              <w:t>150</w:t>
            </w:r>
          </w:p>
        </w:tc>
        <w:tc>
          <w:tcPr>
            <w:tcW w:w="991" w:type="dxa"/>
            <w:vAlign w:val="top"/>
          </w:tcPr>
          <w:p w14:paraId="12F54E83">
            <w:pPr>
              <w:pStyle w:val="6"/>
              <w:spacing w:before="59" w:line="233" w:lineRule="auto"/>
              <w:ind w:left="449"/>
            </w:pPr>
            <w:r>
              <w:t>/</w:t>
            </w:r>
          </w:p>
        </w:tc>
        <w:tc>
          <w:tcPr>
            <w:tcW w:w="991" w:type="dxa"/>
            <w:vAlign w:val="top"/>
          </w:tcPr>
          <w:p w14:paraId="41605D2C">
            <w:pPr>
              <w:pStyle w:val="6"/>
              <w:spacing w:before="60" w:line="264" w:lineRule="exact"/>
              <w:ind w:left="360"/>
            </w:pPr>
            <w:r>
              <w:rPr>
                <w:spacing w:val="-3"/>
                <w:position w:val="1"/>
              </w:rPr>
              <w:t>150</w:t>
            </w:r>
          </w:p>
        </w:tc>
        <w:tc>
          <w:tcPr>
            <w:tcW w:w="851" w:type="dxa"/>
            <w:vAlign w:val="top"/>
          </w:tcPr>
          <w:p w14:paraId="48322E17">
            <w:pPr>
              <w:pStyle w:val="6"/>
              <w:spacing w:before="59" w:line="233" w:lineRule="auto"/>
              <w:ind w:left="379"/>
            </w:pPr>
            <w:r>
              <w:t>/</w:t>
            </w:r>
          </w:p>
        </w:tc>
        <w:tc>
          <w:tcPr>
            <w:tcW w:w="1084" w:type="dxa"/>
            <w:vAlign w:val="top"/>
          </w:tcPr>
          <w:p w14:paraId="15C29A12">
            <w:pPr>
              <w:pStyle w:val="6"/>
              <w:spacing w:before="59" w:line="233" w:lineRule="auto"/>
              <w:ind w:left="493"/>
            </w:pPr>
            <w:r>
              <w:t>/</w:t>
            </w:r>
          </w:p>
        </w:tc>
      </w:tr>
      <w:tr w14:paraId="71450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2E403761">
            <w:pPr>
              <w:pStyle w:val="6"/>
              <w:spacing w:before="59" w:line="265" w:lineRule="exact"/>
              <w:ind w:left="312"/>
            </w:pPr>
            <w:r>
              <w:rPr>
                <w:position w:val="1"/>
              </w:rPr>
              <w:t>2</w:t>
            </w:r>
          </w:p>
        </w:tc>
        <w:tc>
          <w:tcPr>
            <w:tcW w:w="1842" w:type="dxa"/>
            <w:vAlign w:val="top"/>
          </w:tcPr>
          <w:p w14:paraId="7C05C1C2">
            <w:pPr>
              <w:pStyle w:val="6"/>
              <w:spacing w:before="59" w:line="228" w:lineRule="auto"/>
              <w:ind w:left="398"/>
            </w:pPr>
            <w:r>
              <w:rPr>
                <w:spacing w:val="8"/>
              </w:rPr>
              <w:t>废石场降尘</w:t>
            </w:r>
          </w:p>
        </w:tc>
        <w:tc>
          <w:tcPr>
            <w:tcW w:w="850" w:type="dxa"/>
            <w:vAlign w:val="top"/>
          </w:tcPr>
          <w:p w14:paraId="272BEFAE">
            <w:pPr>
              <w:pStyle w:val="6"/>
              <w:spacing w:before="59" w:line="265" w:lineRule="exact"/>
              <w:ind w:left="377"/>
            </w:pPr>
            <w:r>
              <w:rPr>
                <w:position w:val="1"/>
              </w:rPr>
              <w:t>8</w:t>
            </w:r>
          </w:p>
        </w:tc>
        <w:tc>
          <w:tcPr>
            <w:tcW w:w="992" w:type="dxa"/>
            <w:vAlign w:val="top"/>
          </w:tcPr>
          <w:p w14:paraId="1B37D2F8">
            <w:pPr>
              <w:pStyle w:val="6"/>
              <w:spacing w:before="59" w:line="265" w:lineRule="exact"/>
              <w:ind w:left="449"/>
            </w:pPr>
            <w:r>
              <w:rPr>
                <w:position w:val="1"/>
              </w:rPr>
              <w:t>8</w:t>
            </w:r>
          </w:p>
        </w:tc>
        <w:tc>
          <w:tcPr>
            <w:tcW w:w="991" w:type="dxa"/>
            <w:vAlign w:val="top"/>
          </w:tcPr>
          <w:p w14:paraId="7EA7764E">
            <w:pPr>
              <w:pStyle w:val="6"/>
              <w:spacing w:before="59" w:line="233" w:lineRule="auto"/>
              <w:ind w:left="449"/>
            </w:pPr>
            <w:r>
              <w:t>/</w:t>
            </w:r>
          </w:p>
        </w:tc>
        <w:tc>
          <w:tcPr>
            <w:tcW w:w="991" w:type="dxa"/>
            <w:vAlign w:val="top"/>
          </w:tcPr>
          <w:p w14:paraId="7251ACCA">
            <w:pPr>
              <w:pStyle w:val="6"/>
              <w:spacing w:before="59" w:line="265" w:lineRule="exact"/>
              <w:ind w:left="450"/>
            </w:pPr>
            <w:r>
              <w:rPr>
                <w:position w:val="1"/>
              </w:rPr>
              <w:t>8</w:t>
            </w:r>
          </w:p>
        </w:tc>
        <w:tc>
          <w:tcPr>
            <w:tcW w:w="851" w:type="dxa"/>
            <w:vAlign w:val="top"/>
          </w:tcPr>
          <w:p w14:paraId="57F03037">
            <w:pPr>
              <w:pStyle w:val="6"/>
              <w:spacing w:before="59" w:line="233" w:lineRule="auto"/>
              <w:ind w:left="379"/>
            </w:pPr>
            <w:r>
              <w:t>/</w:t>
            </w:r>
          </w:p>
        </w:tc>
        <w:tc>
          <w:tcPr>
            <w:tcW w:w="1084" w:type="dxa"/>
            <w:vAlign w:val="top"/>
          </w:tcPr>
          <w:p w14:paraId="30C421A8">
            <w:pPr>
              <w:pStyle w:val="6"/>
              <w:spacing w:before="59" w:line="233" w:lineRule="auto"/>
              <w:ind w:left="493"/>
            </w:pPr>
            <w:r>
              <w:t>/</w:t>
            </w:r>
          </w:p>
        </w:tc>
      </w:tr>
      <w:tr w14:paraId="5CF0E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12" w:type="dxa"/>
            <w:vAlign w:val="top"/>
          </w:tcPr>
          <w:p w14:paraId="4EEAC25F">
            <w:pPr>
              <w:pStyle w:val="6"/>
              <w:spacing w:before="97" w:line="268" w:lineRule="exact"/>
              <w:ind w:left="314"/>
            </w:pPr>
            <w:r>
              <w:rPr>
                <w:position w:val="1"/>
              </w:rPr>
              <w:t>3</w:t>
            </w:r>
          </w:p>
        </w:tc>
        <w:tc>
          <w:tcPr>
            <w:tcW w:w="1842" w:type="dxa"/>
            <w:vAlign w:val="top"/>
          </w:tcPr>
          <w:p w14:paraId="1B0517A5">
            <w:pPr>
              <w:pStyle w:val="6"/>
              <w:spacing w:before="97" w:line="228" w:lineRule="auto"/>
              <w:ind w:left="298"/>
            </w:pPr>
            <w:r>
              <w:rPr>
                <w:spacing w:val="7"/>
              </w:rPr>
              <w:t>原矿堆场降尘</w:t>
            </w:r>
          </w:p>
        </w:tc>
        <w:tc>
          <w:tcPr>
            <w:tcW w:w="850" w:type="dxa"/>
            <w:vAlign w:val="top"/>
          </w:tcPr>
          <w:p w14:paraId="79484592">
            <w:pPr>
              <w:pStyle w:val="6"/>
              <w:spacing w:before="97" w:line="268" w:lineRule="exact"/>
              <w:ind w:left="380"/>
            </w:pPr>
            <w:r>
              <w:rPr>
                <w:position w:val="1"/>
              </w:rPr>
              <w:t>5</w:t>
            </w:r>
          </w:p>
        </w:tc>
        <w:tc>
          <w:tcPr>
            <w:tcW w:w="992" w:type="dxa"/>
            <w:vAlign w:val="top"/>
          </w:tcPr>
          <w:p w14:paraId="3F687D64">
            <w:pPr>
              <w:pStyle w:val="6"/>
              <w:spacing w:before="97" w:line="268" w:lineRule="exact"/>
              <w:ind w:left="452"/>
            </w:pPr>
            <w:r>
              <w:rPr>
                <w:position w:val="1"/>
              </w:rPr>
              <w:t>5</w:t>
            </w:r>
          </w:p>
        </w:tc>
        <w:tc>
          <w:tcPr>
            <w:tcW w:w="991" w:type="dxa"/>
            <w:vAlign w:val="top"/>
          </w:tcPr>
          <w:p w14:paraId="0C4CEAAE">
            <w:pPr>
              <w:pStyle w:val="6"/>
              <w:spacing w:before="97" w:line="233" w:lineRule="auto"/>
              <w:ind w:left="449"/>
            </w:pPr>
            <w:r>
              <w:t>/</w:t>
            </w:r>
          </w:p>
        </w:tc>
        <w:tc>
          <w:tcPr>
            <w:tcW w:w="991" w:type="dxa"/>
            <w:vAlign w:val="top"/>
          </w:tcPr>
          <w:p w14:paraId="14089504">
            <w:pPr>
              <w:pStyle w:val="6"/>
              <w:spacing w:before="97" w:line="268" w:lineRule="exact"/>
              <w:ind w:left="454"/>
            </w:pPr>
            <w:r>
              <w:rPr>
                <w:position w:val="1"/>
              </w:rPr>
              <w:t>5</w:t>
            </w:r>
          </w:p>
        </w:tc>
        <w:tc>
          <w:tcPr>
            <w:tcW w:w="851" w:type="dxa"/>
            <w:vAlign w:val="top"/>
          </w:tcPr>
          <w:p w14:paraId="5086BF22">
            <w:pPr>
              <w:pStyle w:val="6"/>
              <w:spacing w:before="97" w:line="233" w:lineRule="auto"/>
              <w:ind w:left="379"/>
            </w:pPr>
            <w:r>
              <w:t>/</w:t>
            </w:r>
          </w:p>
        </w:tc>
        <w:tc>
          <w:tcPr>
            <w:tcW w:w="1084" w:type="dxa"/>
            <w:vAlign w:val="top"/>
          </w:tcPr>
          <w:p w14:paraId="2B9E3237">
            <w:pPr>
              <w:pStyle w:val="6"/>
              <w:spacing w:before="97" w:line="233" w:lineRule="auto"/>
              <w:ind w:left="493"/>
            </w:pPr>
            <w:r>
              <w:t>/</w:t>
            </w:r>
          </w:p>
        </w:tc>
      </w:tr>
      <w:tr w14:paraId="06525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5D30393C">
            <w:pPr>
              <w:pStyle w:val="6"/>
              <w:spacing w:before="62" w:line="262" w:lineRule="exact"/>
              <w:ind w:left="309"/>
            </w:pPr>
            <w:r>
              <w:rPr>
                <w:position w:val="1"/>
              </w:rPr>
              <w:t>4</w:t>
            </w:r>
          </w:p>
        </w:tc>
        <w:tc>
          <w:tcPr>
            <w:tcW w:w="1842" w:type="dxa"/>
            <w:vAlign w:val="top"/>
          </w:tcPr>
          <w:p w14:paraId="72D280E0">
            <w:pPr>
              <w:pStyle w:val="6"/>
              <w:spacing w:before="61" w:line="228" w:lineRule="auto"/>
              <w:ind w:left="504"/>
            </w:pPr>
            <w:r>
              <w:rPr>
                <w:spacing w:val="7"/>
              </w:rPr>
              <w:t>选矿用水</w:t>
            </w:r>
          </w:p>
        </w:tc>
        <w:tc>
          <w:tcPr>
            <w:tcW w:w="850" w:type="dxa"/>
            <w:vAlign w:val="top"/>
          </w:tcPr>
          <w:p w14:paraId="33A457A0">
            <w:pPr>
              <w:pStyle w:val="6"/>
              <w:spacing w:before="62" w:line="262" w:lineRule="exact"/>
              <w:ind w:left="222"/>
            </w:pPr>
            <w:r>
              <w:rPr>
                <w:spacing w:val="2"/>
                <w:position w:val="1"/>
              </w:rPr>
              <w:t>6850</w:t>
            </w:r>
          </w:p>
        </w:tc>
        <w:tc>
          <w:tcPr>
            <w:tcW w:w="992" w:type="dxa"/>
            <w:vAlign w:val="top"/>
          </w:tcPr>
          <w:p w14:paraId="118221BB">
            <w:pPr>
              <w:pStyle w:val="6"/>
              <w:spacing w:before="62" w:line="262" w:lineRule="exact"/>
              <w:ind w:left="346"/>
            </w:pPr>
            <w:r>
              <w:rPr>
                <w:spacing w:val="1"/>
                <w:position w:val="1"/>
              </w:rPr>
              <w:t>350</w:t>
            </w:r>
          </w:p>
        </w:tc>
        <w:tc>
          <w:tcPr>
            <w:tcW w:w="991" w:type="dxa"/>
            <w:vAlign w:val="top"/>
          </w:tcPr>
          <w:p w14:paraId="02DDA93F">
            <w:pPr>
              <w:pStyle w:val="6"/>
              <w:spacing w:before="62" w:line="262" w:lineRule="exact"/>
              <w:ind w:left="293"/>
            </w:pPr>
            <w:r>
              <w:rPr>
                <w:spacing w:val="2"/>
                <w:position w:val="1"/>
              </w:rPr>
              <w:t>6500</w:t>
            </w:r>
          </w:p>
        </w:tc>
        <w:tc>
          <w:tcPr>
            <w:tcW w:w="991" w:type="dxa"/>
            <w:vAlign w:val="top"/>
          </w:tcPr>
          <w:p w14:paraId="3E3BF765">
            <w:pPr>
              <w:pStyle w:val="6"/>
              <w:spacing w:before="62" w:line="262" w:lineRule="exact"/>
              <w:ind w:left="348"/>
            </w:pPr>
            <w:r>
              <w:rPr>
                <w:spacing w:val="1"/>
                <w:position w:val="1"/>
              </w:rPr>
              <w:t>350</w:t>
            </w:r>
          </w:p>
        </w:tc>
        <w:tc>
          <w:tcPr>
            <w:tcW w:w="851" w:type="dxa"/>
            <w:vAlign w:val="top"/>
          </w:tcPr>
          <w:p w14:paraId="5F14ADE4">
            <w:pPr>
              <w:pStyle w:val="6"/>
              <w:spacing w:before="61" w:line="233" w:lineRule="auto"/>
              <w:ind w:left="379"/>
            </w:pPr>
            <w:r>
              <w:t>/</w:t>
            </w:r>
          </w:p>
        </w:tc>
        <w:tc>
          <w:tcPr>
            <w:tcW w:w="1084" w:type="dxa"/>
            <w:vAlign w:val="top"/>
          </w:tcPr>
          <w:p w14:paraId="185AF0D8">
            <w:pPr>
              <w:pStyle w:val="6"/>
              <w:spacing w:before="61" w:line="233" w:lineRule="auto"/>
              <w:ind w:left="493"/>
            </w:pPr>
            <w:r>
              <w:t>/</w:t>
            </w:r>
          </w:p>
        </w:tc>
      </w:tr>
      <w:tr w14:paraId="79CB6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3B708B4B">
            <w:pPr>
              <w:pStyle w:val="6"/>
              <w:spacing w:before="62" w:line="242" w:lineRule="auto"/>
              <w:ind w:left="314"/>
            </w:pPr>
            <w:r>
              <w:t>5</w:t>
            </w:r>
          </w:p>
        </w:tc>
        <w:tc>
          <w:tcPr>
            <w:tcW w:w="1842" w:type="dxa"/>
            <w:vAlign w:val="top"/>
          </w:tcPr>
          <w:p w14:paraId="4FFAB7BC">
            <w:pPr>
              <w:pStyle w:val="6"/>
              <w:spacing w:before="62" w:line="228" w:lineRule="auto"/>
              <w:ind w:left="399"/>
            </w:pPr>
            <w:r>
              <w:rPr>
                <w:spacing w:val="8"/>
              </w:rPr>
              <w:t>尾矿库降尘</w:t>
            </w:r>
          </w:p>
        </w:tc>
        <w:tc>
          <w:tcPr>
            <w:tcW w:w="850" w:type="dxa"/>
            <w:vAlign w:val="top"/>
          </w:tcPr>
          <w:p w14:paraId="6BFA9F12">
            <w:pPr>
              <w:pStyle w:val="6"/>
              <w:spacing w:before="62" w:line="242" w:lineRule="auto"/>
              <w:ind w:left="380"/>
            </w:pPr>
            <w:r>
              <w:t>5</w:t>
            </w:r>
          </w:p>
        </w:tc>
        <w:tc>
          <w:tcPr>
            <w:tcW w:w="992" w:type="dxa"/>
            <w:vAlign w:val="top"/>
          </w:tcPr>
          <w:p w14:paraId="10F953A9">
            <w:pPr>
              <w:pStyle w:val="6"/>
              <w:spacing w:before="62" w:line="242" w:lineRule="auto"/>
              <w:ind w:left="452"/>
            </w:pPr>
            <w:r>
              <w:t>5</w:t>
            </w:r>
          </w:p>
        </w:tc>
        <w:tc>
          <w:tcPr>
            <w:tcW w:w="991" w:type="dxa"/>
            <w:vAlign w:val="top"/>
          </w:tcPr>
          <w:p w14:paraId="415858AD">
            <w:pPr>
              <w:pStyle w:val="6"/>
              <w:spacing w:before="62" w:line="233" w:lineRule="auto"/>
              <w:ind w:left="449"/>
            </w:pPr>
            <w:r>
              <w:t>/</w:t>
            </w:r>
          </w:p>
        </w:tc>
        <w:tc>
          <w:tcPr>
            <w:tcW w:w="991" w:type="dxa"/>
            <w:vAlign w:val="top"/>
          </w:tcPr>
          <w:p w14:paraId="5A2ADE51">
            <w:pPr>
              <w:pStyle w:val="6"/>
              <w:spacing w:before="62" w:line="242" w:lineRule="auto"/>
              <w:ind w:left="454"/>
            </w:pPr>
            <w:r>
              <w:t>5</w:t>
            </w:r>
          </w:p>
        </w:tc>
        <w:tc>
          <w:tcPr>
            <w:tcW w:w="851" w:type="dxa"/>
            <w:vAlign w:val="top"/>
          </w:tcPr>
          <w:p w14:paraId="129D69E3">
            <w:pPr>
              <w:pStyle w:val="6"/>
              <w:spacing w:before="62" w:line="233" w:lineRule="auto"/>
              <w:ind w:left="379"/>
            </w:pPr>
            <w:r>
              <w:t>/</w:t>
            </w:r>
          </w:p>
        </w:tc>
        <w:tc>
          <w:tcPr>
            <w:tcW w:w="1084" w:type="dxa"/>
            <w:vAlign w:val="top"/>
          </w:tcPr>
          <w:p w14:paraId="73D8667B">
            <w:pPr>
              <w:pStyle w:val="6"/>
              <w:spacing w:before="62" w:line="233" w:lineRule="auto"/>
              <w:ind w:left="493"/>
            </w:pPr>
            <w:r>
              <w:t>/</w:t>
            </w:r>
          </w:p>
        </w:tc>
      </w:tr>
      <w:tr w14:paraId="66E07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1786D287">
            <w:pPr>
              <w:pStyle w:val="6"/>
              <w:spacing w:before="61" w:line="263" w:lineRule="exact"/>
              <w:ind w:left="311"/>
            </w:pPr>
            <w:r>
              <w:rPr>
                <w:position w:val="1"/>
              </w:rPr>
              <w:t>6</w:t>
            </w:r>
          </w:p>
        </w:tc>
        <w:tc>
          <w:tcPr>
            <w:tcW w:w="1842" w:type="dxa"/>
            <w:vAlign w:val="top"/>
          </w:tcPr>
          <w:p w14:paraId="294B871B">
            <w:pPr>
              <w:pStyle w:val="6"/>
              <w:spacing w:before="61" w:line="228" w:lineRule="auto"/>
              <w:ind w:left="293"/>
            </w:pPr>
            <w:r>
              <w:rPr>
                <w:spacing w:val="8"/>
              </w:rPr>
              <w:t>运输道路降尘</w:t>
            </w:r>
          </w:p>
        </w:tc>
        <w:tc>
          <w:tcPr>
            <w:tcW w:w="850" w:type="dxa"/>
            <w:vAlign w:val="top"/>
          </w:tcPr>
          <w:p w14:paraId="0B3624BD">
            <w:pPr>
              <w:pStyle w:val="6"/>
              <w:spacing w:before="61" w:line="263" w:lineRule="exact"/>
              <w:ind w:left="339"/>
            </w:pPr>
            <w:r>
              <w:rPr>
                <w:spacing w:val="-7"/>
                <w:position w:val="1"/>
              </w:rPr>
              <w:t>10</w:t>
            </w:r>
          </w:p>
        </w:tc>
        <w:tc>
          <w:tcPr>
            <w:tcW w:w="992" w:type="dxa"/>
            <w:vAlign w:val="top"/>
          </w:tcPr>
          <w:p w14:paraId="6CA74D0D">
            <w:pPr>
              <w:pStyle w:val="6"/>
              <w:spacing w:before="61" w:line="263" w:lineRule="exact"/>
              <w:ind w:left="411"/>
            </w:pPr>
            <w:r>
              <w:rPr>
                <w:spacing w:val="-7"/>
                <w:position w:val="1"/>
              </w:rPr>
              <w:t>10</w:t>
            </w:r>
          </w:p>
        </w:tc>
        <w:tc>
          <w:tcPr>
            <w:tcW w:w="991" w:type="dxa"/>
            <w:vAlign w:val="top"/>
          </w:tcPr>
          <w:p w14:paraId="6AEC8409">
            <w:pPr>
              <w:pStyle w:val="6"/>
              <w:spacing w:before="61" w:line="233" w:lineRule="auto"/>
              <w:ind w:left="449"/>
            </w:pPr>
            <w:r>
              <w:t>/</w:t>
            </w:r>
          </w:p>
        </w:tc>
        <w:tc>
          <w:tcPr>
            <w:tcW w:w="991" w:type="dxa"/>
            <w:vAlign w:val="top"/>
          </w:tcPr>
          <w:p w14:paraId="212A69F9">
            <w:pPr>
              <w:pStyle w:val="6"/>
              <w:spacing w:before="61" w:line="263" w:lineRule="exact"/>
              <w:ind w:left="412"/>
            </w:pPr>
            <w:r>
              <w:rPr>
                <w:spacing w:val="-7"/>
                <w:position w:val="1"/>
              </w:rPr>
              <w:t>10</w:t>
            </w:r>
          </w:p>
        </w:tc>
        <w:tc>
          <w:tcPr>
            <w:tcW w:w="851" w:type="dxa"/>
            <w:vAlign w:val="top"/>
          </w:tcPr>
          <w:p w14:paraId="7971A612">
            <w:pPr>
              <w:pStyle w:val="6"/>
              <w:spacing w:before="61" w:line="233" w:lineRule="auto"/>
              <w:ind w:left="379"/>
            </w:pPr>
            <w:r>
              <w:t>/</w:t>
            </w:r>
          </w:p>
        </w:tc>
        <w:tc>
          <w:tcPr>
            <w:tcW w:w="1084" w:type="dxa"/>
            <w:vAlign w:val="top"/>
          </w:tcPr>
          <w:p w14:paraId="3BA7AD69">
            <w:pPr>
              <w:pStyle w:val="6"/>
              <w:spacing w:before="61" w:line="233" w:lineRule="auto"/>
              <w:ind w:left="493"/>
            </w:pPr>
            <w:r>
              <w:t>/</w:t>
            </w:r>
          </w:p>
        </w:tc>
      </w:tr>
      <w:tr w14:paraId="22107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637DBDC0">
            <w:pPr>
              <w:pStyle w:val="6"/>
              <w:spacing w:before="61" w:line="242" w:lineRule="auto"/>
              <w:ind w:left="314"/>
            </w:pPr>
            <w:r>
              <w:t>7</w:t>
            </w:r>
          </w:p>
        </w:tc>
        <w:tc>
          <w:tcPr>
            <w:tcW w:w="1842" w:type="dxa"/>
            <w:vAlign w:val="top"/>
          </w:tcPr>
          <w:p w14:paraId="34F268FD">
            <w:pPr>
              <w:pStyle w:val="6"/>
              <w:spacing w:before="61" w:line="228" w:lineRule="auto"/>
              <w:ind w:left="293"/>
            </w:pPr>
            <w:r>
              <w:rPr>
                <w:spacing w:val="8"/>
              </w:rPr>
              <w:t>井下填充用水</w:t>
            </w:r>
          </w:p>
        </w:tc>
        <w:tc>
          <w:tcPr>
            <w:tcW w:w="850" w:type="dxa"/>
            <w:vAlign w:val="top"/>
          </w:tcPr>
          <w:p w14:paraId="466A945B">
            <w:pPr>
              <w:pStyle w:val="6"/>
              <w:spacing w:before="61" w:line="242" w:lineRule="auto"/>
              <w:ind w:left="273"/>
            </w:pPr>
            <w:r>
              <w:rPr>
                <w:spacing w:val="1"/>
              </w:rPr>
              <w:t>272</w:t>
            </w:r>
          </w:p>
        </w:tc>
        <w:tc>
          <w:tcPr>
            <w:tcW w:w="992" w:type="dxa"/>
            <w:vAlign w:val="top"/>
          </w:tcPr>
          <w:p w14:paraId="781BCD30">
            <w:pPr>
              <w:pStyle w:val="6"/>
              <w:spacing w:before="61" w:line="242" w:lineRule="auto"/>
              <w:ind w:left="345"/>
            </w:pPr>
            <w:r>
              <w:rPr>
                <w:spacing w:val="1"/>
              </w:rPr>
              <w:t>272</w:t>
            </w:r>
          </w:p>
        </w:tc>
        <w:tc>
          <w:tcPr>
            <w:tcW w:w="991" w:type="dxa"/>
            <w:vAlign w:val="top"/>
          </w:tcPr>
          <w:p w14:paraId="26346F80">
            <w:pPr>
              <w:pStyle w:val="6"/>
              <w:spacing w:before="61" w:line="233" w:lineRule="auto"/>
              <w:ind w:left="449"/>
            </w:pPr>
            <w:r>
              <w:t>/</w:t>
            </w:r>
          </w:p>
        </w:tc>
        <w:tc>
          <w:tcPr>
            <w:tcW w:w="991" w:type="dxa"/>
            <w:vAlign w:val="top"/>
          </w:tcPr>
          <w:p w14:paraId="011630A9">
            <w:pPr>
              <w:pStyle w:val="6"/>
              <w:spacing w:before="61" w:line="242" w:lineRule="auto"/>
              <w:ind w:left="347"/>
            </w:pPr>
            <w:r>
              <w:rPr>
                <w:spacing w:val="1"/>
              </w:rPr>
              <w:t>272</w:t>
            </w:r>
          </w:p>
        </w:tc>
        <w:tc>
          <w:tcPr>
            <w:tcW w:w="851" w:type="dxa"/>
            <w:vAlign w:val="top"/>
          </w:tcPr>
          <w:p w14:paraId="597EB803">
            <w:pPr>
              <w:pStyle w:val="6"/>
              <w:spacing w:before="61" w:line="233" w:lineRule="auto"/>
              <w:ind w:left="379"/>
            </w:pPr>
            <w:r>
              <w:t>/</w:t>
            </w:r>
          </w:p>
        </w:tc>
        <w:tc>
          <w:tcPr>
            <w:tcW w:w="1084" w:type="dxa"/>
            <w:vAlign w:val="top"/>
          </w:tcPr>
          <w:p w14:paraId="04897962">
            <w:pPr>
              <w:pStyle w:val="6"/>
              <w:spacing w:before="61" w:line="233" w:lineRule="auto"/>
              <w:ind w:left="493"/>
            </w:pPr>
            <w:r>
              <w:t>/</w:t>
            </w:r>
          </w:p>
        </w:tc>
      </w:tr>
      <w:tr w14:paraId="77D96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6475531E">
            <w:pPr>
              <w:pStyle w:val="6"/>
              <w:spacing w:before="63" w:line="241" w:lineRule="auto"/>
              <w:ind w:left="310"/>
            </w:pPr>
            <w:r>
              <w:t>8</w:t>
            </w:r>
          </w:p>
        </w:tc>
        <w:tc>
          <w:tcPr>
            <w:tcW w:w="1842" w:type="dxa"/>
            <w:vAlign w:val="top"/>
          </w:tcPr>
          <w:p w14:paraId="3BA8A9A4">
            <w:pPr>
              <w:pStyle w:val="6"/>
              <w:spacing w:before="63" w:line="228" w:lineRule="auto"/>
              <w:ind w:left="506"/>
            </w:pPr>
            <w:r>
              <w:rPr>
                <w:spacing w:val="6"/>
              </w:rPr>
              <w:t>生活用水</w:t>
            </w:r>
          </w:p>
        </w:tc>
        <w:tc>
          <w:tcPr>
            <w:tcW w:w="850" w:type="dxa"/>
            <w:vAlign w:val="top"/>
          </w:tcPr>
          <w:p w14:paraId="56A61010">
            <w:pPr>
              <w:pStyle w:val="6"/>
              <w:spacing w:before="63" w:line="241" w:lineRule="auto"/>
              <w:ind w:left="324"/>
            </w:pPr>
            <w:r>
              <w:t>80</w:t>
            </w:r>
          </w:p>
        </w:tc>
        <w:tc>
          <w:tcPr>
            <w:tcW w:w="992" w:type="dxa"/>
            <w:vAlign w:val="top"/>
          </w:tcPr>
          <w:p w14:paraId="1C8091C5">
            <w:pPr>
              <w:pStyle w:val="6"/>
              <w:spacing w:before="63" w:line="241" w:lineRule="auto"/>
              <w:ind w:left="396"/>
            </w:pPr>
            <w:r>
              <w:t>80</w:t>
            </w:r>
          </w:p>
        </w:tc>
        <w:tc>
          <w:tcPr>
            <w:tcW w:w="991" w:type="dxa"/>
            <w:vAlign w:val="top"/>
          </w:tcPr>
          <w:p w14:paraId="4A0FD3FC">
            <w:pPr>
              <w:pStyle w:val="6"/>
              <w:spacing w:before="63" w:line="233" w:lineRule="auto"/>
              <w:ind w:left="449"/>
            </w:pPr>
            <w:r>
              <w:t>/</w:t>
            </w:r>
          </w:p>
        </w:tc>
        <w:tc>
          <w:tcPr>
            <w:tcW w:w="991" w:type="dxa"/>
            <w:vAlign w:val="top"/>
          </w:tcPr>
          <w:p w14:paraId="0C6BF9D3">
            <w:pPr>
              <w:pStyle w:val="6"/>
              <w:spacing w:before="63" w:line="241" w:lineRule="auto"/>
              <w:ind w:left="412"/>
            </w:pPr>
            <w:r>
              <w:rPr>
                <w:spacing w:val="-7"/>
              </w:rPr>
              <w:t>16</w:t>
            </w:r>
          </w:p>
        </w:tc>
        <w:tc>
          <w:tcPr>
            <w:tcW w:w="851" w:type="dxa"/>
            <w:vAlign w:val="top"/>
          </w:tcPr>
          <w:p w14:paraId="2DFB7053">
            <w:pPr>
              <w:pStyle w:val="6"/>
              <w:spacing w:before="63" w:line="241" w:lineRule="auto"/>
              <w:ind w:left="329"/>
            </w:pPr>
            <w:r>
              <w:t>64</w:t>
            </w:r>
          </w:p>
        </w:tc>
        <w:tc>
          <w:tcPr>
            <w:tcW w:w="1084" w:type="dxa"/>
            <w:vAlign w:val="top"/>
          </w:tcPr>
          <w:p w14:paraId="3C27FE7C">
            <w:pPr>
              <w:pStyle w:val="6"/>
              <w:spacing w:before="63" w:line="228" w:lineRule="auto"/>
              <w:ind w:left="129"/>
            </w:pPr>
            <w:r>
              <w:rPr>
                <w:spacing w:val="6"/>
              </w:rPr>
              <w:t>绿化用水</w:t>
            </w:r>
          </w:p>
        </w:tc>
      </w:tr>
      <w:tr w14:paraId="5427E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2554" w:type="dxa"/>
            <w:gridSpan w:val="2"/>
            <w:vAlign w:val="top"/>
          </w:tcPr>
          <w:p w14:paraId="50B46970">
            <w:pPr>
              <w:pStyle w:val="6"/>
              <w:spacing w:before="158" w:line="229" w:lineRule="auto"/>
              <w:ind w:left="1073"/>
            </w:pPr>
            <w:r>
              <w:rPr>
                <w:spacing w:val="4"/>
              </w:rPr>
              <w:t>合计</w:t>
            </w:r>
          </w:p>
        </w:tc>
        <w:tc>
          <w:tcPr>
            <w:tcW w:w="850" w:type="dxa"/>
            <w:vAlign w:val="top"/>
          </w:tcPr>
          <w:p w14:paraId="76AAFC1D">
            <w:pPr>
              <w:pStyle w:val="6"/>
              <w:spacing w:before="158" w:line="268" w:lineRule="exact"/>
              <w:ind w:left="225"/>
            </w:pPr>
            <w:r>
              <w:rPr>
                <w:spacing w:val="1"/>
                <w:position w:val="1"/>
              </w:rPr>
              <w:t>7380</w:t>
            </w:r>
          </w:p>
        </w:tc>
        <w:tc>
          <w:tcPr>
            <w:tcW w:w="992" w:type="dxa"/>
            <w:vAlign w:val="top"/>
          </w:tcPr>
          <w:p w14:paraId="71EA04CC">
            <w:pPr>
              <w:pStyle w:val="6"/>
              <w:spacing w:before="158" w:line="268" w:lineRule="exact"/>
              <w:ind w:left="343"/>
            </w:pPr>
            <w:r>
              <w:rPr>
                <w:spacing w:val="2"/>
                <w:position w:val="1"/>
              </w:rPr>
              <w:t>880</w:t>
            </w:r>
          </w:p>
        </w:tc>
        <w:tc>
          <w:tcPr>
            <w:tcW w:w="991" w:type="dxa"/>
            <w:vAlign w:val="top"/>
          </w:tcPr>
          <w:p w14:paraId="7EA84FEA">
            <w:pPr>
              <w:pStyle w:val="6"/>
              <w:spacing w:before="158" w:line="268" w:lineRule="exact"/>
              <w:ind w:left="293"/>
            </w:pPr>
            <w:r>
              <w:rPr>
                <w:spacing w:val="2"/>
                <w:position w:val="1"/>
              </w:rPr>
              <w:t>6500</w:t>
            </w:r>
          </w:p>
        </w:tc>
        <w:tc>
          <w:tcPr>
            <w:tcW w:w="991" w:type="dxa"/>
            <w:vAlign w:val="top"/>
          </w:tcPr>
          <w:p w14:paraId="34F0421F">
            <w:pPr>
              <w:pStyle w:val="6"/>
              <w:spacing w:before="158" w:line="268" w:lineRule="exact"/>
              <w:ind w:left="345"/>
            </w:pPr>
            <w:r>
              <w:rPr>
                <w:spacing w:val="2"/>
                <w:position w:val="1"/>
              </w:rPr>
              <w:t>816</w:t>
            </w:r>
          </w:p>
        </w:tc>
        <w:tc>
          <w:tcPr>
            <w:tcW w:w="851" w:type="dxa"/>
            <w:vAlign w:val="top"/>
          </w:tcPr>
          <w:p w14:paraId="22F77EB6">
            <w:pPr>
              <w:pStyle w:val="6"/>
              <w:spacing w:before="158" w:line="268" w:lineRule="exact"/>
              <w:ind w:left="329"/>
            </w:pPr>
            <w:r>
              <w:rPr>
                <w:position w:val="1"/>
              </w:rPr>
              <w:t>64</w:t>
            </w:r>
          </w:p>
        </w:tc>
        <w:tc>
          <w:tcPr>
            <w:tcW w:w="1084" w:type="dxa"/>
            <w:vAlign w:val="top"/>
          </w:tcPr>
          <w:p w14:paraId="568FDBDB">
            <w:pPr>
              <w:pStyle w:val="6"/>
              <w:spacing w:before="158" w:line="228" w:lineRule="auto"/>
              <w:ind w:left="129"/>
            </w:pPr>
            <w:r>
              <w:rPr>
                <w:spacing w:val="6"/>
              </w:rPr>
              <w:t>绿化用水</w:t>
            </w:r>
          </w:p>
        </w:tc>
      </w:tr>
    </w:tbl>
    <w:p w14:paraId="006D4A50">
      <w:pPr>
        <w:spacing w:before="35" w:line="219" w:lineRule="auto"/>
        <w:ind w:left="1387"/>
        <w:rPr>
          <w:rFonts w:ascii="宋体" w:hAnsi="宋体" w:eastAsia="宋体" w:cs="宋体"/>
          <w:sz w:val="24"/>
          <w:szCs w:val="24"/>
        </w:rPr>
      </w:pPr>
      <w:r>
        <w:pict>
          <v:shape id="_x0000_s1036" o:spid="_x0000_s1036" o:spt="202" type="#_x0000_t202" style="position:absolute;left:0pt;margin-left:359.25pt;margin-top:-0.1pt;height:9.8pt;width:4.65pt;z-index:251685888;mso-width-relative:page;mso-height-relative:page;" filled="f" stroked="f" coordsize="21600,21600">
            <v:path/>
            <v:fill on="f" focussize="0,0"/>
            <v:stroke on="f"/>
            <v:imagedata o:title=""/>
            <o:lock v:ext="edit" aspectratio="f"/>
            <v:textbox inset="0mm,0mm,0mm,0mm">
              <w:txbxContent>
                <w:p w14:paraId="1F12ABE8">
                  <w:pPr>
                    <w:spacing w:before="19"/>
                    <w:ind w:left="20"/>
                    <w:rPr>
                      <w:rFonts w:ascii="宋体" w:hAnsi="宋体" w:eastAsia="宋体" w:cs="宋体"/>
                      <w:sz w:val="12"/>
                      <w:szCs w:val="12"/>
                    </w:rPr>
                  </w:pPr>
                  <w:r>
                    <w:rPr>
                      <w:rFonts w:ascii="宋体" w:hAnsi="宋体" w:eastAsia="宋体" w:cs="宋体"/>
                      <w:sz w:val="12"/>
                      <w:szCs w:val="12"/>
                    </w:rPr>
                    <w:t>3</w:t>
                  </w:r>
                </w:p>
              </w:txbxContent>
            </v:textbox>
          </v:shape>
        </w:pict>
      </w: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宋体" w:hAnsi="宋体" w:eastAsia="宋体" w:cs="宋体"/>
          <w:spacing w:val="-1"/>
          <w:sz w:val="24"/>
          <w:szCs w:val="24"/>
        </w:rPr>
        <w:t>5.3-2    技改后企业冬季用水指标        单位：m</w:t>
      </w:r>
      <w:r>
        <w:rPr>
          <w:rFonts w:ascii="宋体" w:hAnsi="宋体" w:eastAsia="宋体" w:cs="宋体"/>
          <w:spacing w:val="-52"/>
          <w:sz w:val="24"/>
          <w:szCs w:val="24"/>
        </w:rPr>
        <w:t xml:space="preserve"> </w:t>
      </w:r>
      <w:r>
        <w:rPr>
          <w:rFonts w:ascii="宋体" w:hAnsi="宋体" w:eastAsia="宋体" w:cs="宋体"/>
          <w:spacing w:val="-1"/>
          <w:sz w:val="24"/>
          <w:szCs w:val="24"/>
        </w:rPr>
        <w:t>/d</w:t>
      </w:r>
    </w:p>
    <w:p w14:paraId="46003126">
      <w:pPr>
        <w:spacing w:line="148" w:lineRule="exact"/>
      </w:pPr>
    </w:p>
    <w:tbl>
      <w:tblPr>
        <w:tblStyle w:val="5"/>
        <w:tblW w:w="85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514"/>
        <w:gridCol w:w="1274"/>
        <w:gridCol w:w="850"/>
        <w:gridCol w:w="850"/>
        <w:gridCol w:w="850"/>
        <w:gridCol w:w="850"/>
        <w:gridCol w:w="1614"/>
      </w:tblGrid>
      <w:tr w14:paraId="5F81E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712" w:type="dxa"/>
            <w:vAlign w:val="top"/>
          </w:tcPr>
          <w:p w14:paraId="69C1C493">
            <w:pPr>
              <w:pStyle w:val="6"/>
              <w:spacing w:before="63" w:line="229" w:lineRule="auto"/>
              <w:ind w:left="149"/>
            </w:pPr>
            <w:r>
              <w:rPr>
                <w:spacing w:val="5"/>
              </w:rPr>
              <w:t>序号</w:t>
            </w:r>
          </w:p>
        </w:tc>
        <w:tc>
          <w:tcPr>
            <w:tcW w:w="1514" w:type="dxa"/>
            <w:vAlign w:val="top"/>
          </w:tcPr>
          <w:p w14:paraId="4719AF4E">
            <w:pPr>
              <w:pStyle w:val="6"/>
              <w:spacing w:before="64" w:line="228" w:lineRule="auto"/>
              <w:ind w:left="342"/>
            </w:pPr>
            <w:r>
              <w:rPr>
                <w:spacing w:val="6"/>
              </w:rPr>
              <w:t>用户名称</w:t>
            </w:r>
          </w:p>
        </w:tc>
        <w:tc>
          <w:tcPr>
            <w:tcW w:w="1274" w:type="dxa"/>
            <w:vAlign w:val="top"/>
          </w:tcPr>
          <w:p w14:paraId="52820A77">
            <w:pPr>
              <w:pStyle w:val="6"/>
              <w:spacing w:before="63" w:line="228" w:lineRule="auto"/>
              <w:ind w:left="332"/>
            </w:pPr>
            <w:r>
              <w:rPr>
                <w:spacing w:val="5"/>
              </w:rPr>
              <w:t>总水量</w:t>
            </w:r>
          </w:p>
        </w:tc>
        <w:tc>
          <w:tcPr>
            <w:tcW w:w="850" w:type="dxa"/>
            <w:vAlign w:val="top"/>
          </w:tcPr>
          <w:p w14:paraId="680DBFA3">
            <w:pPr>
              <w:pStyle w:val="6"/>
              <w:spacing w:before="63" w:line="228" w:lineRule="auto"/>
              <w:ind w:left="117"/>
            </w:pPr>
            <w:r>
              <w:rPr>
                <w:spacing w:val="6"/>
              </w:rPr>
              <w:t>新水量</w:t>
            </w:r>
          </w:p>
        </w:tc>
        <w:tc>
          <w:tcPr>
            <w:tcW w:w="850" w:type="dxa"/>
            <w:vAlign w:val="top"/>
          </w:tcPr>
          <w:p w14:paraId="28C6A19F">
            <w:pPr>
              <w:pStyle w:val="6"/>
              <w:spacing w:before="58" w:line="228" w:lineRule="auto"/>
              <w:ind w:left="115"/>
            </w:pPr>
            <w:r>
              <w:rPr>
                <w:spacing w:val="6"/>
              </w:rPr>
              <w:t>循环水</w:t>
            </w:r>
          </w:p>
        </w:tc>
        <w:tc>
          <w:tcPr>
            <w:tcW w:w="850" w:type="dxa"/>
            <w:vAlign w:val="top"/>
          </w:tcPr>
          <w:p w14:paraId="235D60FE">
            <w:pPr>
              <w:pStyle w:val="6"/>
              <w:spacing w:before="58" w:line="228" w:lineRule="auto"/>
              <w:ind w:left="117"/>
            </w:pPr>
            <w:r>
              <w:rPr>
                <w:spacing w:val="6"/>
              </w:rPr>
              <w:t>损耗水</w:t>
            </w:r>
          </w:p>
        </w:tc>
        <w:tc>
          <w:tcPr>
            <w:tcW w:w="850" w:type="dxa"/>
            <w:vAlign w:val="top"/>
          </w:tcPr>
          <w:p w14:paraId="3C0741E4">
            <w:pPr>
              <w:pStyle w:val="6"/>
              <w:spacing w:before="63" w:line="228" w:lineRule="auto"/>
              <w:ind w:left="223"/>
            </w:pPr>
            <w:r>
              <w:rPr>
                <w:spacing w:val="4"/>
              </w:rPr>
              <w:t>排水</w:t>
            </w:r>
          </w:p>
        </w:tc>
        <w:tc>
          <w:tcPr>
            <w:tcW w:w="1614" w:type="dxa"/>
            <w:vAlign w:val="top"/>
          </w:tcPr>
          <w:p w14:paraId="017D4540">
            <w:pPr>
              <w:pStyle w:val="6"/>
              <w:spacing w:before="63" w:line="228" w:lineRule="auto"/>
              <w:ind w:left="393"/>
            </w:pPr>
            <w:r>
              <w:rPr>
                <w:spacing w:val="7"/>
              </w:rPr>
              <w:t>排水去向</w:t>
            </w:r>
          </w:p>
        </w:tc>
      </w:tr>
      <w:tr w14:paraId="71598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31AA1D91">
            <w:pPr>
              <w:pStyle w:val="6"/>
              <w:spacing w:before="58" w:line="265" w:lineRule="exact"/>
              <w:ind w:left="324"/>
            </w:pPr>
            <w:r>
              <w:rPr>
                <w:position w:val="1"/>
              </w:rPr>
              <w:t>1</w:t>
            </w:r>
          </w:p>
        </w:tc>
        <w:tc>
          <w:tcPr>
            <w:tcW w:w="1514" w:type="dxa"/>
            <w:vAlign w:val="top"/>
          </w:tcPr>
          <w:p w14:paraId="7C3AC8F7">
            <w:pPr>
              <w:pStyle w:val="6"/>
              <w:spacing w:before="58" w:line="227" w:lineRule="auto"/>
              <w:ind w:left="340"/>
            </w:pPr>
            <w:r>
              <w:rPr>
                <w:spacing w:val="7"/>
              </w:rPr>
              <w:t>采矿工艺</w:t>
            </w:r>
          </w:p>
        </w:tc>
        <w:tc>
          <w:tcPr>
            <w:tcW w:w="1274" w:type="dxa"/>
            <w:vAlign w:val="top"/>
          </w:tcPr>
          <w:p w14:paraId="7C3FB4F4">
            <w:pPr>
              <w:pStyle w:val="6"/>
              <w:spacing w:before="58" w:line="265" w:lineRule="exact"/>
              <w:ind w:left="501"/>
            </w:pPr>
            <w:r>
              <w:rPr>
                <w:spacing w:val="-3"/>
                <w:position w:val="1"/>
              </w:rPr>
              <w:t>150</w:t>
            </w:r>
          </w:p>
        </w:tc>
        <w:tc>
          <w:tcPr>
            <w:tcW w:w="850" w:type="dxa"/>
            <w:vAlign w:val="top"/>
          </w:tcPr>
          <w:p w14:paraId="1615E8C8">
            <w:pPr>
              <w:pStyle w:val="6"/>
              <w:spacing w:before="58" w:line="265" w:lineRule="exact"/>
              <w:ind w:left="290"/>
            </w:pPr>
            <w:r>
              <w:rPr>
                <w:spacing w:val="-4"/>
                <w:position w:val="1"/>
              </w:rPr>
              <w:t>150</w:t>
            </w:r>
          </w:p>
        </w:tc>
        <w:tc>
          <w:tcPr>
            <w:tcW w:w="850" w:type="dxa"/>
            <w:vAlign w:val="top"/>
          </w:tcPr>
          <w:p w14:paraId="04480391">
            <w:pPr>
              <w:pStyle w:val="6"/>
              <w:spacing w:before="57" w:line="233" w:lineRule="auto"/>
              <w:ind w:left="379"/>
            </w:pPr>
            <w:r>
              <w:t>/</w:t>
            </w:r>
          </w:p>
        </w:tc>
        <w:tc>
          <w:tcPr>
            <w:tcW w:w="850" w:type="dxa"/>
            <w:vAlign w:val="top"/>
          </w:tcPr>
          <w:p w14:paraId="41342C41">
            <w:pPr>
              <w:pStyle w:val="6"/>
              <w:spacing w:before="58" w:line="265" w:lineRule="exact"/>
              <w:ind w:left="289"/>
            </w:pPr>
            <w:r>
              <w:rPr>
                <w:spacing w:val="-3"/>
                <w:position w:val="1"/>
              </w:rPr>
              <w:t>150</w:t>
            </w:r>
          </w:p>
        </w:tc>
        <w:tc>
          <w:tcPr>
            <w:tcW w:w="850" w:type="dxa"/>
            <w:vAlign w:val="top"/>
          </w:tcPr>
          <w:p w14:paraId="4C833284">
            <w:pPr>
              <w:pStyle w:val="6"/>
              <w:spacing w:before="57" w:line="233" w:lineRule="auto"/>
              <w:ind w:left="378"/>
            </w:pPr>
            <w:r>
              <w:t>/</w:t>
            </w:r>
          </w:p>
        </w:tc>
        <w:tc>
          <w:tcPr>
            <w:tcW w:w="1614" w:type="dxa"/>
            <w:vAlign w:val="top"/>
          </w:tcPr>
          <w:p w14:paraId="54F255B5">
            <w:pPr>
              <w:pStyle w:val="6"/>
              <w:spacing w:before="57" w:line="233" w:lineRule="auto"/>
              <w:ind w:left="759"/>
            </w:pPr>
            <w:r>
              <w:t>/</w:t>
            </w:r>
          </w:p>
        </w:tc>
      </w:tr>
      <w:tr w14:paraId="654DF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4B375823">
            <w:pPr>
              <w:pStyle w:val="6"/>
              <w:spacing w:before="60" w:line="263" w:lineRule="exact"/>
              <w:ind w:left="311"/>
            </w:pPr>
            <w:r>
              <w:rPr>
                <w:position w:val="1"/>
              </w:rPr>
              <w:t>2</w:t>
            </w:r>
          </w:p>
        </w:tc>
        <w:tc>
          <w:tcPr>
            <w:tcW w:w="1514" w:type="dxa"/>
            <w:vAlign w:val="top"/>
          </w:tcPr>
          <w:p w14:paraId="7B488361">
            <w:pPr>
              <w:pStyle w:val="6"/>
              <w:spacing w:before="59" w:line="228" w:lineRule="auto"/>
              <w:ind w:left="234"/>
            </w:pPr>
            <w:r>
              <w:rPr>
                <w:spacing w:val="8"/>
              </w:rPr>
              <w:t>废石场降尘</w:t>
            </w:r>
          </w:p>
        </w:tc>
        <w:tc>
          <w:tcPr>
            <w:tcW w:w="1274" w:type="dxa"/>
            <w:vAlign w:val="top"/>
          </w:tcPr>
          <w:p w14:paraId="5DFCDBFD">
            <w:pPr>
              <w:pStyle w:val="6"/>
              <w:spacing w:before="60" w:line="263" w:lineRule="exact"/>
              <w:ind w:left="589"/>
            </w:pPr>
            <w:r>
              <w:rPr>
                <w:position w:val="1"/>
              </w:rPr>
              <w:t>8</w:t>
            </w:r>
          </w:p>
        </w:tc>
        <w:tc>
          <w:tcPr>
            <w:tcW w:w="850" w:type="dxa"/>
            <w:vAlign w:val="top"/>
          </w:tcPr>
          <w:p w14:paraId="4A421F4A">
            <w:pPr>
              <w:pStyle w:val="6"/>
              <w:spacing w:before="60" w:line="263" w:lineRule="exact"/>
              <w:ind w:left="378"/>
            </w:pPr>
            <w:r>
              <w:rPr>
                <w:position w:val="1"/>
              </w:rPr>
              <w:t>8</w:t>
            </w:r>
          </w:p>
        </w:tc>
        <w:tc>
          <w:tcPr>
            <w:tcW w:w="850" w:type="dxa"/>
            <w:vAlign w:val="top"/>
          </w:tcPr>
          <w:p w14:paraId="1E5E88AB">
            <w:pPr>
              <w:pStyle w:val="6"/>
              <w:spacing w:before="59" w:line="233" w:lineRule="auto"/>
              <w:ind w:left="379"/>
            </w:pPr>
            <w:r>
              <w:t>/</w:t>
            </w:r>
          </w:p>
        </w:tc>
        <w:tc>
          <w:tcPr>
            <w:tcW w:w="850" w:type="dxa"/>
            <w:vAlign w:val="top"/>
          </w:tcPr>
          <w:p w14:paraId="36DABF8E">
            <w:pPr>
              <w:pStyle w:val="6"/>
              <w:spacing w:before="60" w:line="263" w:lineRule="exact"/>
              <w:ind w:left="380"/>
            </w:pPr>
            <w:r>
              <w:rPr>
                <w:position w:val="1"/>
              </w:rPr>
              <w:t>8</w:t>
            </w:r>
          </w:p>
        </w:tc>
        <w:tc>
          <w:tcPr>
            <w:tcW w:w="850" w:type="dxa"/>
            <w:vAlign w:val="top"/>
          </w:tcPr>
          <w:p w14:paraId="35E36597">
            <w:pPr>
              <w:pStyle w:val="6"/>
              <w:spacing w:before="59" w:line="233" w:lineRule="auto"/>
              <w:ind w:left="378"/>
            </w:pPr>
            <w:r>
              <w:t>/</w:t>
            </w:r>
          </w:p>
        </w:tc>
        <w:tc>
          <w:tcPr>
            <w:tcW w:w="1614" w:type="dxa"/>
            <w:vAlign w:val="top"/>
          </w:tcPr>
          <w:p w14:paraId="6CC79324">
            <w:pPr>
              <w:pStyle w:val="6"/>
              <w:spacing w:before="59" w:line="233" w:lineRule="auto"/>
              <w:ind w:left="759"/>
            </w:pPr>
            <w:r>
              <w:t>/</w:t>
            </w:r>
          </w:p>
        </w:tc>
      </w:tr>
      <w:tr w14:paraId="78A58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12" w:type="dxa"/>
            <w:vAlign w:val="top"/>
          </w:tcPr>
          <w:p w14:paraId="5718907D">
            <w:pPr>
              <w:pStyle w:val="6"/>
              <w:spacing w:before="97" w:line="269" w:lineRule="exact"/>
              <w:ind w:left="313"/>
            </w:pPr>
            <w:r>
              <w:rPr>
                <w:position w:val="1"/>
              </w:rPr>
              <w:t>3</w:t>
            </w:r>
          </w:p>
        </w:tc>
        <w:tc>
          <w:tcPr>
            <w:tcW w:w="1514" w:type="dxa"/>
            <w:vAlign w:val="top"/>
          </w:tcPr>
          <w:p w14:paraId="6EC7CA53">
            <w:pPr>
              <w:pStyle w:val="6"/>
              <w:spacing w:before="97" w:line="228" w:lineRule="auto"/>
              <w:ind w:left="134"/>
            </w:pPr>
            <w:r>
              <w:rPr>
                <w:spacing w:val="7"/>
              </w:rPr>
              <w:t>原矿堆场降尘</w:t>
            </w:r>
          </w:p>
        </w:tc>
        <w:tc>
          <w:tcPr>
            <w:tcW w:w="1274" w:type="dxa"/>
            <w:vAlign w:val="top"/>
          </w:tcPr>
          <w:p w14:paraId="64B6F008">
            <w:pPr>
              <w:pStyle w:val="6"/>
              <w:spacing w:before="97" w:line="269" w:lineRule="exact"/>
              <w:ind w:left="592"/>
            </w:pPr>
            <w:r>
              <w:rPr>
                <w:position w:val="1"/>
              </w:rPr>
              <w:t>5</w:t>
            </w:r>
          </w:p>
        </w:tc>
        <w:tc>
          <w:tcPr>
            <w:tcW w:w="850" w:type="dxa"/>
            <w:vAlign w:val="top"/>
          </w:tcPr>
          <w:p w14:paraId="4A2EE07F">
            <w:pPr>
              <w:pStyle w:val="6"/>
              <w:spacing w:before="97" w:line="269" w:lineRule="exact"/>
              <w:ind w:left="382"/>
            </w:pPr>
            <w:r>
              <w:rPr>
                <w:position w:val="1"/>
              </w:rPr>
              <w:t>5</w:t>
            </w:r>
          </w:p>
        </w:tc>
        <w:tc>
          <w:tcPr>
            <w:tcW w:w="850" w:type="dxa"/>
            <w:vAlign w:val="top"/>
          </w:tcPr>
          <w:p w14:paraId="42BFCDAB">
            <w:pPr>
              <w:pStyle w:val="6"/>
              <w:spacing w:before="97" w:line="233" w:lineRule="auto"/>
              <w:ind w:left="379"/>
            </w:pPr>
            <w:r>
              <w:t>/</w:t>
            </w:r>
          </w:p>
        </w:tc>
        <w:tc>
          <w:tcPr>
            <w:tcW w:w="850" w:type="dxa"/>
            <w:vAlign w:val="top"/>
          </w:tcPr>
          <w:p w14:paraId="6BB04664">
            <w:pPr>
              <w:pStyle w:val="6"/>
              <w:spacing w:before="97" w:line="269" w:lineRule="exact"/>
              <w:ind w:left="383"/>
            </w:pPr>
            <w:r>
              <w:rPr>
                <w:position w:val="1"/>
              </w:rPr>
              <w:t>5</w:t>
            </w:r>
          </w:p>
        </w:tc>
        <w:tc>
          <w:tcPr>
            <w:tcW w:w="850" w:type="dxa"/>
            <w:vAlign w:val="top"/>
          </w:tcPr>
          <w:p w14:paraId="12E1061F">
            <w:pPr>
              <w:pStyle w:val="6"/>
              <w:spacing w:before="97" w:line="233" w:lineRule="auto"/>
              <w:ind w:left="378"/>
            </w:pPr>
            <w:r>
              <w:t>/</w:t>
            </w:r>
          </w:p>
        </w:tc>
        <w:tc>
          <w:tcPr>
            <w:tcW w:w="1614" w:type="dxa"/>
            <w:vAlign w:val="top"/>
          </w:tcPr>
          <w:p w14:paraId="36C99F74">
            <w:pPr>
              <w:pStyle w:val="6"/>
              <w:spacing w:before="97" w:line="233" w:lineRule="auto"/>
              <w:ind w:left="759"/>
            </w:pPr>
            <w:r>
              <w:t>/</w:t>
            </w:r>
          </w:p>
        </w:tc>
      </w:tr>
      <w:tr w14:paraId="3A1DA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2" w:type="dxa"/>
            <w:vAlign w:val="top"/>
          </w:tcPr>
          <w:p w14:paraId="3C7F2426">
            <w:pPr>
              <w:pStyle w:val="6"/>
              <w:spacing w:before="62" w:line="241" w:lineRule="auto"/>
              <w:ind w:left="308"/>
            </w:pPr>
            <w:r>
              <w:t>4</w:t>
            </w:r>
          </w:p>
        </w:tc>
        <w:tc>
          <w:tcPr>
            <w:tcW w:w="1514" w:type="dxa"/>
            <w:vAlign w:val="top"/>
          </w:tcPr>
          <w:p w14:paraId="5276D28E">
            <w:pPr>
              <w:pStyle w:val="6"/>
              <w:spacing w:before="62" w:line="228" w:lineRule="auto"/>
              <w:ind w:left="340"/>
            </w:pPr>
            <w:r>
              <w:rPr>
                <w:spacing w:val="7"/>
              </w:rPr>
              <w:t>选矿用水</w:t>
            </w:r>
          </w:p>
        </w:tc>
        <w:tc>
          <w:tcPr>
            <w:tcW w:w="1274" w:type="dxa"/>
            <w:vAlign w:val="top"/>
          </w:tcPr>
          <w:p w14:paraId="66D5298E">
            <w:pPr>
              <w:pStyle w:val="6"/>
              <w:spacing w:before="62" w:line="241" w:lineRule="auto"/>
              <w:ind w:left="434"/>
            </w:pPr>
            <w:r>
              <w:rPr>
                <w:spacing w:val="2"/>
              </w:rPr>
              <w:t>6850</w:t>
            </w:r>
          </w:p>
        </w:tc>
        <w:tc>
          <w:tcPr>
            <w:tcW w:w="850" w:type="dxa"/>
            <w:vAlign w:val="top"/>
          </w:tcPr>
          <w:p w14:paraId="0C50EEF1">
            <w:pPr>
              <w:pStyle w:val="6"/>
              <w:spacing w:before="62" w:line="241" w:lineRule="auto"/>
              <w:ind w:left="278"/>
            </w:pPr>
            <w:r>
              <w:rPr>
                <w:spacing w:val="1"/>
              </w:rPr>
              <w:t>350</w:t>
            </w:r>
          </w:p>
        </w:tc>
        <w:tc>
          <w:tcPr>
            <w:tcW w:w="850" w:type="dxa"/>
            <w:vAlign w:val="top"/>
          </w:tcPr>
          <w:p w14:paraId="5D0C6DC6">
            <w:pPr>
              <w:pStyle w:val="6"/>
              <w:spacing w:before="62" w:line="241" w:lineRule="auto"/>
              <w:ind w:left="223"/>
            </w:pPr>
            <w:r>
              <w:rPr>
                <w:spacing w:val="2"/>
              </w:rPr>
              <w:t>6500</w:t>
            </w:r>
          </w:p>
        </w:tc>
        <w:tc>
          <w:tcPr>
            <w:tcW w:w="850" w:type="dxa"/>
            <w:vAlign w:val="top"/>
          </w:tcPr>
          <w:p w14:paraId="6F4E1A8C">
            <w:pPr>
              <w:pStyle w:val="6"/>
              <w:spacing w:before="62" w:line="241" w:lineRule="auto"/>
              <w:ind w:left="278"/>
            </w:pPr>
            <w:r>
              <w:rPr>
                <w:spacing w:val="1"/>
              </w:rPr>
              <w:t>350</w:t>
            </w:r>
          </w:p>
        </w:tc>
        <w:tc>
          <w:tcPr>
            <w:tcW w:w="850" w:type="dxa"/>
            <w:vAlign w:val="top"/>
          </w:tcPr>
          <w:p w14:paraId="2EF7DECC">
            <w:pPr>
              <w:pStyle w:val="6"/>
              <w:spacing w:before="62" w:line="233" w:lineRule="auto"/>
              <w:ind w:left="378"/>
            </w:pPr>
            <w:r>
              <w:t>/</w:t>
            </w:r>
          </w:p>
        </w:tc>
        <w:tc>
          <w:tcPr>
            <w:tcW w:w="1614" w:type="dxa"/>
            <w:vAlign w:val="top"/>
          </w:tcPr>
          <w:p w14:paraId="17B1D2EF">
            <w:pPr>
              <w:pStyle w:val="6"/>
              <w:spacing w:before="62" w:line="233" w:lineRule="auto"/>
              <w:ind w:left="759"/>
            </w:pPr>
            <w:r>
              <w:t>/</w:t>
            </w:r>
          </w:p>
        </w:tc>
      </w:tr>
      <w:tr w14:paraId="76DA5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7B0AE803">
            <w:pPr>
              <w:pStyle w:val="6"/>
              <w:spacing w:before="65"/>
              <w:ind w:left="313"/>
            </w:pPr>
            <w:r>
              <w:t>5</w:t>
            </w:r>
          </w:p>
        </w:tc>
        <w:tc>
          <w:tcPr>
            <w:tcW w:w="1514" w:type="dxa"/>
            <w:vAlign w:val="top"/>
          </w:tcPr>
          <w:p w14:paraId="0AA1F002">
            <w:pPr>
              <w:pStyle w:val="6"/>
              <w:spacing w:before="64" w:line="228" w:lineRule="auto"/>
              <w:ind w:left="235"/>
            </w:pPr>
            <w:r>
              <w:rPr>
                <w:spacing w:val="8"/>
              </w:rPr>
              <w:t>尾矿库降尘</w:t>
            </w:r>
          </w:p>
        </w:tc>
        <w:tc>
          <w:tcPr>
            <w:tcW w:w="1274" w:type="dxa"/>
            <w:vAlign w:val="top"/>
          </w:tcPr>
          <w:p w14:paraId="5EDA97CE">
            <w:pPr>
              <w:pStyle w:val="6"/>
              <w:spacing w:before="65"/>
              <w:ind w:left="592"/>
            </w:pPr>
            <w:r>
              <w:t>5</w:t>
            </w:r>
          </w:p>
        </w:tc>
        <w:tc>
          <w:tcPr>
            <w:tcW w:w="850" w:type="dxa"/>
            <w:vAlign w:val="top"/>
          </w:tcPr>
          <w:p w14:paraId="35A549CC">
            <w:pPr>
              <w:pStyle w:val="6"/>
              <w:spacing w:before="65"/>
              <w:ind w:left="382"/>
            </w:pPr>
            <w:r>
              <w:t>5</w:t>
            </w:r>
          </w:p>
        </w:tc>
        <w:tc>
          <w:tcPr>
            <w:tcW w:w="850" w:type="dxa"/>
            <w:vAlign w:val="top"/>
          </w:tcPr>
          <w:p w14:paraId="7159A71B">
            <w:pPr>
              <w:pStyle w:val="6"/>
              <w:spacing w:before="64" w:line="233" w:lineRule="auto"/>
              <w:ind w:left="379"/>
            </w:pPr>
            <w:r>
              <w:t>/</w:t>
            </w:r>
          </w:p>
        </w:tc>
        <w:tc>
          <w:tcPr>
            <w:tcW w:w="850" w:type="dxa"/>
            <w:vAlign w:val="top"/>
          </w:tcPr>
          <w:p w14:paraId="67CEEC14">
            <w:pPr>
              <w:pStyle w:val="6"/>
              <w:spacing w:before="65"/>
              <w:ind w:left="383"/>
            </w:pPr>
            <w:r>
              <w:t>5</w:t>
            </w:r>
          </w:p>
        </w:tc>
        <w:tc>
          <w:tcPr>
            <w:tcW w:w="850" w:type="dxa"/>
            <w:vAlign w:val="top"/>
          </w:tcPr>
          <w:p w14:paraId="0AEEE584">
            <w:pPr>
              <w:pStyle w:val="6"/>
              <w:spacing w:before="64" w:line="233" w:lineRule="auto"/>
              <w:ind w:left="378"/>
            </w:pPr>
            <w:r>
              <w:t>/</w:t>
            </w:r>
          </w:p>
        </w:tc>
        <w:tc>
          <w:tcPr>
            <w:tcW w:w="1614" w:type="dxa"/>
            <w:vAlign w:val="top"/>
          </w:tcPr>
          <w:p w14:paraId="21D786E0">
            <w:pPr>
              <w:pStyle w:val="6"/>
              <w:spacing w:before="64" w:line="233" w:lineRule="auto"/>
              <w:ind w:left="759"/>
            </w:pPr>
            <w:r>
              <w:t>/</w:t>
            </w:r>
          </w:p>
        </w:tc>
      </w:tr>
      <w:tr w14:paraId="6F5AB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740E8D7F">
            <w:pPr>
              <w:pStyle w:val="6"/>
              <w:spacing w:before="62" w:line="242" w:lineRule="auto"/>
              <w:ind w:left="310"/>
            </w:pPr>
            <w:r>
              <w:t>6</w:t>
            </w:r>
          </w:p>
        </w:tc>
        <w:tc>
          <w:tcPr>
            <w:tcW w:w="1514" w:type="dxa"/>
            <w:vAlign w:val="top"/>
          </w:tcPr>
          <w:p w14:paraId="29CD0FF2">
            <w:pPr>
              <w:pStyle w:val="6"/>
              <w:spacing w:before="62" w:line="228" w:lineRule="auto"/>
              <w:ind w:left="129"/>
            </w:pPr>
            <w:r>
              <w:rPr>
                <w:spacing w:val="8"/>
              </w:rPr>
              <w:t>运输道路降尘</w:t>
            </w:r>
          </w:p>
        </w:tc>
        <w:tc>
          <w:tcPr>
            <w:tcW w:w="1274" w:type="dxa"/>
            <w:vAlign w:val="top"/>
          </w:tcPr>
          <w:p w14:paraId="1FE8ECA4">
            <w:pPr>
              <w:pStyle w:val="6"/>
              <w:spacing w:before="62" w:line="242" w:lineRule="auto"/>
              <w:ind w:left="551"/>
            </w:pPr>
            <w:r>
              <w:rPr>
                <w:spacing w:val="-7"/>
              </w:rPr>
              <w:t>10</w:t>
            </w:r>
          </w:p>
        </w:tc>
        <w:tc>
          <w:tcPr>
            <w:tcW w:w="850" w:type="dxa"/>
            <w:vAlign w:val="top"/>
          </w:tcPr>
          <w:p w14:paraId="550E1A02">
            <w:pPr>
              <w:pStyle w:val="6"/>
              <w:spacing w:before="62" w:line="242" w:lineRule="auto"/>
              <w:ind w:left="340"/>
            </w:pPr>
            <w:r>
              <w:rPr>
                <w:spacing w:val="-7"/>
              </w:rPr>
              <w:t>10</w:t>
            </w:r>
          </w:p>
        </w:tc>
        <w:tc>
          <w:tcPr>
            <w:tcW w:w="850" w:type="dxa"/>
            <w:vAlign w:val="top"/>
          </w:tcPr>
          <w:p w14:paraId="7F9A4898">
            <w:pPr>
              <w:pStyle w:val="6"/>
              <w:spacing w:before="62" w:line="233" w:lineRule="auto"/>
              <w:ind w:left="379"/>
            </w:pPr>
            <w:r>
              <w:t>/</w:t>
            </w:r>
          </w:p>
        </w:tc>
        <w:tc>
          <w:tcPr>
            <w:tcW w:w="850" w:type="dxa"/>
            <w:vAlign w:val="top"/>
          </w:tcPr>
          <w:p w14:paraId="0A55A945">
            <w:pPr>
              <w:pStyle w:val="6"/>
              <w:spacing w:before="62" w:line="242" w:lineRule="auto"/>
              <w:ind w:left="342"/>
            </w:pPr>
            <w:r>
              <w:rPr>
                <w:spacing w:val="-7"/>
              </w:rPr>
              <w:t>10</w:t>
            </w:r>
          </w:p>
        </w:tc>
        <w:tc>
          <w:tcPr>
            <w:tcW w:w="850" w:type="dxa"/>
            <w:vAlign w:val="top"/>
          </w:tcPr>
          <w:p w14:paraId="6B1C0716">
            <w:pPr>
              <w:pStyle w:val="6"/>
              <w:spacing w:before="62" w:line="233" w:lineRule="auto"/>
              <w:ind w:left="378"/>
            </w:pPr>
            <w:r>
              <w:t>/</w:t>
            </w:r>
          </w:p>
        </w:tc>
        <w:tc>
          <w:tcPr>
            <w:tcW w:w="1614" w:type="dxa"/>
            <w:vAlign w:val="top"/>
          </w:tcPr>
          <w:p w14:paraId="14B7DD90">
            <w:pPr>
              <w:pStyle w:val="6"/>
              <w:spacing w:before="62" w:line="233" w:lineRule="auto"/>
              <w:ind w:left="759"/>
            </w:pPr>
            <w:r>
              <w:t>/</w:t>
            </w:r>
          </w:p>
        </w:tc>
      </w:tr>
      <w:tr w14:paraId="1CD60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7C7F7D08">
            <w:pPr>
              <w:pStyle w:val="6"/>
              <w:spacing w:before="63" w:line="241" w:lineRule="auto"/>
              <w:ind w:left="314"/>
            </w:pPr>
            <w:r>
              <w:t>7</w:t>
            </w:r>
          </w:p>
        </w:tc>
        <w:tc>
          <w:tcPr>
            <w:tcW w:w="1514" w:type="dxa"/>
            <w:vAlign w:val="top"/>
          </w:tcPr>
          <w:p w14:paraId="0D15CAE9">
            <w:pPr>
              <w:pStyle w:val="6"/>
              <w:spacing w:before="63" w:line="228" w:lineRule="auto"/>
              <w:ind w:left="129"/>
            </w:pPr>
            <w:r>
              <w:rPr>
                <w:spacing w:val="8"/>
              </w:rPr>
              <w:t>井下填充用水</w:t>
            </w:r>
          </w:p>
        </w:tc>
        <w:tc>
          <w:tcPr>
            <w:tcW w:w="1274" w:type="dxa"/>
            <w:vAlign w:val="top"/>
          </w:tcPr>
          <w:p w14:paraId="7A8655E5">
            <w:pPr>
              <w:pStyle w:val="6"/>
              <w:spacing w:before="63" w:line="241" w:lineRule="auto"/>
              <w:ind w:left="488"/>
            </w:pPr>
            <w:r>
              <w:rPr>
                <w:spacing w:val="1"/>
              </w:rPr>
              <w:t>272</w:t>
            </w:r>
          </w:p>
        </w:tc>
        <w:tc>
          <w:tcPr>
            <w:tcW w:w="850" w:type="dxa"/>
            <w:vAlign w:val="top"/>
          </w:tcPr>
          <w:p w14:paraId="7C2FFC2E">
            <w:pPr>
              <w:pStyle w:val="6"/>
              <w:spacing w:before="63" w:line="241" w:lineRule="auto"/>
              <w:ind w:left="277"/>
            </w:pPr>
            <w:r>
              <w:rPr>
                <w:spacing w:val="1"/>
              </w:rPr>
              <w:t>272</w:t>
            </w:r>
          </w:p>
        </w:tc>
        <w:tc>
          <w:tcPr>
            <w:tcW w:w="850" w:type="dxa"/>
            <w:vAlign w:val="top"/>
          </w:tcPr>
          <w:p w14:paraId="716A5D83">
            <w:pPr>
              <w:pStyle w:val="6"/>
              <w:spacing w:before="63" w:line="233" w:lineRule="auto"/>
              <w:ind w:left="379"/>
            </w:pPr>
            <w:r>
              <w:t>/</w:t>
            </w:r>
          </w:p>
        </w:tc>
        <w:tc>
          <w:tcPr>
            <w:tcW w:w="850" w:type="dxa"/>
            <w:vAlign w:val="top"/>
          </w:tcPr>
          <w:p w14:paraId="5BB3CEB3">
            <w:pPr>
              <w:pStyle w:val="6"/>
              <w:spacing w:before="63" w:line="241" w:lineRule="auto"/>
              <w:ind w:left="276"/>
            </w:pPr>
            <w:r>
              <w:rPr>
                <w:spacing w:val="1"/>
              </w:rPr>
              <w:t>272</w:t>
            </w:r>
          </w:p>
        </w:tc>
        <w:tc>
          <w:tcPr>
            <w:tcW w:w="850" w:type="dxa"/>
            <w:vAlign w:val="top"/>
          </w:tcPr>
          <w:p w14:paraId="17E2552F">
            <w:pPr>
              <w:pStyle w:val="6"/>
              <w:spacing w:before="63" w:line="233" w:lineRule="auto"/>
              <w:ind w:left="378"/>
            </w:pPr>
            <w:r>
              <w:t>/</w:t>
            </w:r>
          </w:p>
        </w:tc>
        <w:tc>
          <w:tcPr>
            <w:tcW w:w="1614" w:type="dxa"/>
            <w:vAlign w:val="top"/>
          </w:tcPr>
          <w:p w14:paraId="605AF9B8">
            <w:pPr>
              <w:pStyle w:val="6"/>
              <w:spacing w:before="63" w:line="233" w:lineRule="auto"/>
              <w:ind w:left="759"/>
            </w:pPr>
            <w:r>
              <w:t>/</w:t>
            </w:r>
          </w:p>
        </w:tc>
      </w:tr>
      <w:tr w14:paraId="0F20A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12" w:type="dxa"/>
            <w:vAlign w:val="top"/>
          </w:tcPr>
          <w:p w14:paraId="08A45191">
            <w:pPr>
              <w:pStyle w:val="6"/>
              <w:spacing w:before="65"/>
              <w:ind w:left="309"/>
            </w:pPr>
            <w:r>
              <w:t>8</w:t>
            </w:r>
          </w:p>
        </w:tc>
        <w:tc>
          <w:tcPr>
            <w:tcW w:w="1514" w:type="dxa"/>
            <w:vAlign w:val="top"/>
          </w:tcPr>
          <w:p w14:paraId="033E7347">
            <w:pPr>
              <w:pStyle w:val="6"/>
              <w:spacing w:before="64" w:line="228" w:lineRule="auto"/>
              <w:ind w:left="343"/>
            </w:pPr>
            <w:r>
              <w:rPr>
                <w:spacing w:val="6"/>
              </w:rPr>
              <w:t>软水制备</w:t>
            </w:r>
          </w:p>
        </w:tc>
        <w:tc>
          <w:tcPr>
            <w:tcW w:w="1274" w:type="dxa"/>
            <w:vAlign w:val="top"/>
          </w:tcPr>
          <w:p w14:paraId="4C2AFE94">
            <w:pPr>
              <w:pStyle w:val="6"/>
              <w:spacing w:before="65"/>
              <w:ind w:left="501"/>
            </w:pPr>
            <w:r>
              <w:rPr>
                <w:spacing w:val="-3"/>
              </w:rPr>
              <w:t>144</w:t>
            </w:r>
          </w:p>
        </w:tc>
        <w:tc>
          <w:tcPr>
            <w:tcW w:w="850" w:type="dxa"/>
            <w:vAlign w:val="top"/>
          </w:tcPr>
          <w:p w14:paraId="3ED490E5">
            <w:pPr>
              <w:pStyle w:val="6"/>
              <w:spacing w:before="65"/>
              <w:ind w:left="290"/>
            </w:pPr>
            <w:r>
              <w:rPr>
                <w:spacing w:val="-3"/>
              </w:rPr>
              <w:t>144</w:t>
            </w:r>
          </w:p>
        </w:tc>
        <w:tc>
          <w:tcPr>
            <w:tcW w:w="850" w:type="dxa"/>
            <w:vAlign w:val="top"/>
          </w:tcPr>
          <w:p w14:paraId="2761EA11">
            <w:pPr>
              <w:pStyle w:val="6"/>
              <w:spacing w:before="64" w:line="233" w:lineRule="auto"/>
              <w:ind w:left="379"/>
            </w:pPr>
            <w:r>
              <w:t>/</w:t>
            </w:r>
          </w:p>
        </w:tc>
        <w:tc>
          <w:tcPr>
            <w:tcW w:w="850" w:type="dxa"/>
            <w:vAlign w:val="top"/>
          </w:tcPr>
          <w:p w14:paraId="65C17FD0">
            <w:pPr>
              <w:pStyle w:val="6"/>
              <w:spacing w:before="64" w:line="233" w:lineRule="auto"/>
              <w:ind w:left="378"/>
            </w:pPr>
            <w:r>
              <w:t>/</w:t>
            </w:r>
          </w:p>
        </w:tc>
        <w:tc>
          <w:tcPr>
            <w:tcW w:w="850" w:type="dxa"/>
            <w:vAlign w:val="top"/>
          </w:tcPr>
          <w:p w14:paraId="375F113A">
            <w:pPr>
              <w:pStyle w:val="6"/>
              <w:spacing w:before="65"/>
              <w:ind w:left="225"/>
            </w:pPr>
            <w:r>
              <w:rPr>
                <w:spacing w:val="2"/>
              </w:rPr>
              <w:t>28.8</w:t>
            </w:r>
          </w:p>
        </w:tc>
        <w:tc>
          <w:tcPr>
            <w:tcW w:w="1614" w:type="dxa"/>
            <w:vAlign w:val="top"/>
          </w:tcPr>
          <w:p w14:paraId="2D20687E">
            <w:pPr>
              <w:pStyle w:val="6"/>
              <w:spacing w:before="64" w:line="228" w:lineRule="auto"/>
              <w:ind w:left="288"/>
            </w:pPr>
            <w:r>
              <w:rPr>
                <w:spacing w:val="8"/>
              </w:rPr>
              <w:t>脱硫、抑尘</w:t>
            </w:r>
          </w:p>
        </w:tc>
      </w:tr>
      <w:tr w14:paraId="1F7C1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12" w:type="dxa"/>
            <w:vAlign w:val="top"/>
          </w:tcPr>
          <w:p w14:paraId="111EF3DE">
            <w:pPr>
              <w:pStyle w:val="6"/>
              <w:spacing w:before="62" w:line="264" w:lineRule="exact"/>
              <w:ind w:left="309"/>
            </w:pPr>
            <w:r>
              <w:rPr>
                <w:position w:val="1"/>
              </w:rPr>
              <w:t>9</w:t>
            </w:r>
          </w:p>
        </w:tc>
        <w:tc>
          <w:tcPr>
            <w:tcW w:w="1514" w:type="dxa"/>
            <w:vAlign w:val="top"/>
          </w:tcPr>
          <w:p w14:paraId="3C3F6B84">
            <w:pPr>
              <w:pStyle w:val="6"/>
              <w:spacing w:before="63" w:line="228" w:lineRule="auto"/>
              <w:ind w:left="549"/>
            </w:pPr>
            <w:r>
              <w:rPr>
                <w:spacing w:val="4"/>
              </w:rPr>
              <w:t>锅炉</w:t>
            </w:r>
          </w:p>
        </w:tc>
        <w:tc>
          <w:tcPr>
            <w:tcW w:w="1274" w:type="dxa"/>
            <w:vAlign w:val="top"/>
          </w:tcPr>
          <w:p w14:paraId="692D6F13">
            <w:pPr>
              <w:pStyle w:val="6"/>
              <w:spacing w:before="57" w:line="228" w:lineRule="auto"/>
              <w:ind w:left="81"/>
            </w:pPr>
            <w:r>
              <w:rPr>
                <w:spacing w:val="3"/>
              </w:rPr>
              <w:t>115.2(软水)</w:t>
            </w:r>
          </w:p>
        </w:tc>
        <w:tc>
          <w:tcPr>
            <w:tcW w:w="850" w:type="dxa"/>
            <w:vAlign w:val="top"/>
          </w:tcPr>
          <w:p w14:paraId="37BBCE18">
            <w:pPr>
              <w:pStyle w:val="6"/>
              <w:spacing w:before="57" w:line="233" w:lineRule="auto"/>
              <w:ind w:left="377"/>
            </w:pPr>
            <w:r>
              <w:t>/</w:t>
            </w:r>
          </w:p>
        </w:tc>
        <w:tc>
          <w:tcPr>
            <w:tcW w:w="850" w:type="dxa"/>
            <w:vAlign w:val="top"/>
          </w:tcPr>
          <w:p w14:paraId="2847BA32">
            <w:pPr>
              <w:pStyle w:val="6"/>
              <w:spacing w:before="62" w:line="264" w:lineRule="exact"/>
              <w:ind w:left="224"/>
            </w:pPr>
            <w:r>
              <w:rPr>
                <w:spacing w:val="2"/>
                <w:position w:val="1"/>
              </w:rPr>
              <w:t>2880</w:t>
            </w:r>
          </w:p>
        </w:tc>
        <w:tc>
          <w:tcPr>
            <w:tcW w:w="850" w:type="dxa"/>
            <w:vAlign w:val="top"/>
          </w:tcPr>
          <w:p w14:paraId="67B80BB7">
            <w:pPr>
              <w:pStyle w:val="6"/>
              <w:spacing w:before="62" w:line="264" w:lineRule="exact"/>
              <w:ind w:left="171"/>
            </w:pPr>
            <w:r>
              <w:rPr>
                <w:spacing w:val="3"/>
                <w:position w:val="1"/>
              </w:rPr>
              <w:t>92.16</w:t>
            </w:r>
          </w:p>
        </w:tc>
        <w:tc>
          <w:tcPr>
            <w:tcW w:w="850" w:type="dxa"/>
            <w:vAlign w:val="top"/>
          </w:tcPr>
          <w:p w14:paraId="24431990">
            <w:pPr>
              <w:pStyle w:val="6"/>
              <w:spacing w:before="62" w:line="264" w:lineRule="exact"/>
              <w:ind w:left="172"/>
            </w:pPr>
            <w:r>
              <w:rPr>
                <w:spacing w:val="2"/>
                <w:position w:val="1"/>
              </w:rPr>
              <w:t>23.04</w:t>
            </w:r>
          </w:p>
        </w:tc>
        <w:tc>
          <w:tcPr>
            <w:tcW w:w="1614" w:type="dxa"/>
            <w:vAlign w:val="top"/>
          </w:tcPr>
          <w:p w14:paraId="2942F76A">
            <w:pPr>
              <w:pStyle w:val="6"/>
              <w:spacing w:before="63" w:line="228" w:lineRule="auto"/>
              <w:ind w:left="181"/>
            </w:pPr>
            <w:r>
              <w:rPr>
                <w:spacing w:val="8"/>
              </w:rPr>
              <w:t>锅炉烟气脱硫</w:t>
            </w:r>
          </w:p>
        </w:tc>
      </w:tr>
    </w:tbl>
    <w:p w14:paraId="15A49217">
      <w:pPr>
        <w:pStyle w:val="2"/>
        <w:spacing w:line="198" w:lineRule="exact"/>
        <w:rPr>
          <w:sz w:val="17"/>
        </w:rPr>
      </w:pPr>
    </w:p>
    <w:p w14:paraId="623CF726">
      <w:pPr>
        <w:spacing w:line="198" w:lineRule="exact"/>
        <w:rPr>
          <w:sz w:val="17"/>
          <w:szCs w:val="17"/>
        </w:rPr>
        <w:sectPr>
          <w:headerReference r:id="rId131" w:type="default"/>
          <w:footerReference r:id="rId132" w:type="default"/>
          <w:pgSz w:w="11906" w:h="16839"/>
          <w:pgMar w:top="1208" w:right="1693" w:bottom="1358" w:left="1693" w:header="825" w:footer="1195" w:gutter="0"/>
          <w:cols w:space="720" w:num="1"/>
        </w:sectPr>
      </w:pPr>
    </w:p>
    <w:p w14:paraId="15411A45">
      <w:pPr>
        <w:spacing w:line="231" w:lineRule="exact"/>
      </w:pPr>
    </w:p>
    <w:tbl>
      <w:tblPr>
        <w:tblStyle w:val="5"/>
        <w:tblW w:w="85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514"/>
        <w:gridCol w:w="1274"/>
        <w:gridCol w:w="850"/>
        <w:gridCol w:w="850"/>
        <w:gridCol w:w="850"/>
        <w:gridCol w:w="850"/>
        <w:gridCol w:w="1614"/>
      </w:tblGrid>
      <w:tr w14:paraId="0C35C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12" w:type="dxa"/>
            <w:vAlign w:val="top"/>
          </w:tcPr>
          <w:p w14:paraId="69AD6CBD">
            <w:pPr>
              <w:pStyle w:val="6"/>
              <w:spacing w:before="63" w:line="265" w:lineRule="exact"/>
              <w:ind w:left="271"/>
            </w:pPr>
            <w:r>
              <w:rPr>
                <w:spacing w:val="-7"/>
                <w:position w:val="1"/>
              </w:rPr>
              <w:t>10</w:t>
            </w:r>
          </w:p>
        </w:tc>
        <w:tc>
          <w:tcPr>
            <w:tcW w:w="1514" w:type="dxa"/>
            <w:vAlign w:val="top"/>
          </w:tcPr>
          <w:p w14:paraId="6DBE8E88">
            <w:pPr>
              <w:pStyle w:val="6"/>
              <w:spacing w:before="63" w:line="228" w:lineRule="auto"/>
              <w:ind w:left="342"/>
            </w:pPr>
            <w:r>
              <w:rPr>
                <w:spacing w:val="6"/>
              </w:rPr>
              <w:t>生活用水</w:t>
            </w:r>
          </w:p>
        </w:tc>
        <w:tc>
          <w:tcPr>
            <w:tcW w:w="1274" w:type="dxa"/>
            <w:vAlign w:val="top"/>
          </w:tcPr>
          <w:p w14:paraId="12CDD60B">
            <w:pPr>
              <w:pStyle w:val="6"/>
              <w:spacing w:before="63" w:line="265" w:lineRule="exact"/>
              <w:ind w:left="536"/>
            </w:pPr>
            <w:r>
              <w:rPr>
                <w:position w:val="1"/>
              </w:rPr>
              <w:t>80</w:t>
            </w:r>
          </w:p>
        </w:tc>
        <w:tc>
          <w:tcPr>
            <w:tcW w:w="850" w:type="dxa"/>
            <w:vAlign w:val="top"/>
          </w:tcPr>
          <w:p w14:paraId="7976FF86">
            <w:pPr>
              <w:pStyle w:val="6"/>
              <w:spacing w:before="63" w:line="265" w:lineRule="exact"/>
              <w:ind w:left="325"/>
            </w:pPr>
            <w:r>
              <w:rPr>
                <w:position w:val="1"/>
              </w:rPr>
              <w:t>80</w:t>
            </w:r>
          </w:p>
        </w:tc>
        <w:tc>
          <w:tcPr>
            <w:tcW w:w="850" w:type="dxa"/>
            <w:vAlign w:val="top"/>
          </w:tcPr>
          <w:p w14:paraId="26FF9F02">
            <w:pPr>
              <w:pStyle w:val="6"/>
              <w:spacing w:before="63" w:line="233" w:lineRule="auto"/>
              <w:ind w:left="379"/>
            </w:pPr>
            <w:r>
              <w:t>/</w:t>
            </w:r>
          </w:p>
        </w:tc>
        <w:tc>
          <w:tcPr>
            <w:tcW w:w="850" w:type="dxa"/>
            <w:vAlign w:val="top"/>
          </w:tcPr>
          <w:p w14:paraId="35525BE7">
            <w:pPr>
              <w:pStyle w:val="6"/>
              <w:spacing w:before="63" w:line="265" w:lineRule="exact"/>
              <w:ind w:left="342"/>
            </w:pPr>
            <w:r>
              <w:rPr>
                <w:spacing w:val="-7"/>
                <w:position w:val="1"/>
              </w:rPr>
              <w:t>16</w:t>
            </w:r>
          </w:p>
        </w:tc>
        <w:tc>
          <w:tcPr>
            <w:tcW w:w="850" w:type="dxa"/>
            <w:vAlign w:val="top"/>
          </w:tcPr>
          <w:p w14:paraId="50BA0CF4">
            <w:pPr>
              <w:pStyle w:val="6"/>
              <w:spacing w:before="63" w:line="265" w:lineRule="exact"/>
              <w:ind w:left="330"/>
            </w:pPr>
            <w:r>
              <w:rPr>
                <w:position w:val="1"/>
              </w:rPr>
              <w:t>64</w:t>
            </w:r>
          </w:p>
        </w:tc>
        <w:tc>
          <w:tcPr>
            <w:tcW w:w="1614" w:type="dxa"/>
            <w:vAlign w:val="top"/>
          </w:tcPr>
          <w:p w14:paraId="7812C4E7">
            <w:pPr>
              <w:pStyle w:val="6"/>
              <w:spacing w:before="63" w:line="228" w:lineRule="auto"/>
              <w:ind w:left="394"/>
            </w:pPr>
            <w:r>
              <w:rPr>
                <w:spacing w:val="6"/>
              </w:rPr>
              <w:t>绿化用水</w:t>
            </w:r>
          </w:p>
        </w:tc>
      </w:tr>
      <w:tr w14:paraId="01F47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2226" w:type="dxa"/>
            <w:gridSpan w:val="2"/>
            <w:vAlign w:val="top"/>
          </w:tcPr>
          <w:p w14:paraId="44064B7B">
            <w:pPr>
              <w:pStyle w:val="6"/>
              <w:spacing w:before="157" w:line="229" w:lineRule="auto"/>
              <w:ind w:left="909"/>
            </w:pPr>
            <w:r>
              <w:rPr>
                <w:spacing w:val="4"/>
              </w:rPr>
              <w:t>合计</w:t>
            </w:r>
          </w:p>
        </w:tc>
        <w:tc>
          <w:tcPr>
            <w:tcW w:w="1274" w:type="dxa"/>
            <w:vAlign w:val="top"/>
          </w:tcPr>
          <w:p w14:paraId="5455D39D">
            <w:pPr>
              <w:pStyle w:val="6"/>
              <w:spacing w:before="157" w:line="268" w:lineRule="exact"/>
              <w:ind w:left="332"/>
            </w:pPr>
            <w:r>
              <w:rPr>
                <w:spacing w:val="2"/>
                <w:position w:val="1"/>
              </w:rPr>
              <w:t>7639.2</w:t>
            </w:r>
          </w:p>
        </w:tc>
        <w:tc>
          <w:tcPr>
            <w:tcW w:w="850" w:type="dxa"/>
            <w:vAlign w:val="top"/>
          </w:tcPr>
          <w:p w14:paraId="1FE2E6A4">
            <w:pPr>
              <w:pStyle w:val="6"/>
              <w:spacing w:before="157" w:line="268" w:lineRule="exact"/>
              <w:ind w:left="237"/>
            </w:pPr>
            <w:r>
              <w:rPr>
                <w:spacing w:val="-2"/>
                <w:position w:val="1"/>
              </w:rPr>
              <w:t>1024</w:t>
            </w:r>
          </w:p>
        </w:tc>
        <w:tc>
          <w:tcPr>
            <w:tcW w:w="850" w:type="dxa"/>
            <w:vAlign w:val="top"/>
          </w:tcPr>
          <w:p w14:paraId="76C719EA">
            <w:pPr>
              <w:pStyle w:val="6"/>
              <w:spacing w:before="157" w:line="268" w:lineRule="exact"/>
              <w:ind w:left="222"/>
            </w:pPr>
            <w:r>
              <w:rPr>
                <w:spacing w:val="3"/>
                <w:position w:val="1"/>
              </w:rPr>
              <w:t>9380</w:t>
            </w:r>
          </w:p>
        </w:tc>
        <w:tc>
          <w:tcPr>
            <w:tcW w:w="850" w:type="dxa"/>
            <w:vAlign w:val="top"/>
          </w:tcPr>
          <w:p w14:paraId="6FA8C1DA">
            <w:pPr>
              <w:pStyle w:val="6"/>
              <w:spacing w:before="157" w:line="268" w:lineRule="exact"/>
              <w:ind w:left="118"/>
            </w:pPr>
            <w:r>
              <w:rPr>
                <w:spacing w:val="3"/>
                <w:position w:val="1"/>
              </w:rPr>
              <w:t>908.16</w:t>
            </w:r>
          </w:p>
        </w:tc>
        <w:tc>
          <w:tcPr>
            <w:tcW w:w="850" w:type="dxa"/>
            <w:vAlign w:val="top"/>
          </w:tcPr>
          <w:p w14:paraId="6DCD791E">
            <w:pPr>
              <w:pStyle w:val="6"/>
              <w:spacing w:before="157" w:line="268" w:lineRule="exact"/>
              <w:ind w:left="133"/>
            </w:pPr>
            <w:r>
              <w:rPr>
                <w:spacing w:val="1"/>
                <w:position w:val="1"/>
              </w:rPr>
              <w:t>115.84</w:t>
            </w:r>
          </w:p>
        </w:tc>
        <w:tc>
          <w:tcPr>
            <w:tcW w:w="1614" w:type="dxa"/>
            <w:vAlign w:val="top"/>
          </w:tcPr>
          <w:p w14:paraId="4A022069">
            <w:pPr>
              <w:pStyle w:val="6"/>
              <w:spacing w:before="157" w:line="228" w:lineRule="auto"/>
              <w:ind w:left="289"/>
            </w:pPr>
            <w:r>
              <w:rPr>
                <w:spacing w:val="7"/>
              </w:rPr>
              <w:t>绿化、抑尘</w:t>
            </w:r>
          </w:p>
        </w:tc>
      </w:tr>
    </w:tbl>
    <w:p w14:paraId="12101FC0">
      <w:pPr>
        <w:spacing w:before="1" w:line="6005" w:lineRule="exact"/>
        <w:ind w:firstLine="104"/>
      </w:pPr>
      <w:r>
        <w:rPr>
          <w:position w:val="-120"/>
        </w:rPr>
        <w:drawing>
          <wp:inline distT="0" distB="0" distL="0" distR="0">
            <wp:extent cx="5475605" cy="381254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78"/>
                    <a:stretch>
                      <a:fillRect/>
                    </a:stretch>
                  </pic:blipFill>
                  <pic:spPr>
                    <a:xfrm>
                      <a:off x="0" y="0"/>
                      <a:ext cx="5475732" cy="3813048"/>
                    </a:xfrm>
                    <a:prstGeom prst="rect">
                      <a:avLst/>
                    </a:prstGeom>
                  </pic:spPr>
                </pic:pic>
              </a:graphicData>
            </a:graphic>
          </wp:inline>
        </w:drawing>
      </w:r>
    </w:p>
    <w:p w14:paraId="61A0D61F">
      <w:pPr>
        <w:spacing w:before="152" w:line="234" w:lineRule="auto"/>
        <w:ind w:left="1637"/>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1"/>
          <w:sz w:val="24"/>
          <w:szCs w:val="24"/>
        </w:rPr>
        <w:t xml:space="preserve"> </w:t>
      </w:r>
      <w:r>
        <w:rPr>
          <w:rFonts w:ascii="宋体" w:hAnsi="宋体" w:eastAsia="宋体" w:cs="宋体"/>
          <w:spacing w:val="-3"/>
          <w:sz w:val="24"/>
          <w:szCs w:val="24"/>
        </w:rPr>
        <w:t>5.3-1    企业夏季水平衡图</w:t>
      </w:r>
      <w:r>
        <w:rPr>
          <w:rFonts w:ascii="宋体" w:hAnsi="宋体" w:eastAsia="宋体" w:cs="宋体"/>
          <w:sz w:val="24"/>
          <w:szCs w:val="24"/>
        </w:rPr>
        <w:t xml:space="preserve">              </w:t>
      </w:r>
      <w:r>
        <w:rPr>
          <w:rFonts w:ascii="宋体" w:hAnsi="宋体" w:eastAsia="宋体" w:cs="宋体"/>
          <w:spacing w:val="-3"/>
          <w:sz w:val="24"/>
          <w:szCs w:val="24"/>
        </w:rPr>
        <w:t>单位：m</w:t>
      </w:r>
      <w:r>
        <w:rPr>
          <w:rFonts w:ascii="宋体" w:hAnsi="宋体" w:eastAsia="宋体" w:cs="宋体"/>
          <w:spacing w:val="-3"/>
          <w:position w:val="12"/>
          <w:sz w:val="12"/>
          <w:szCs w:val="12"/>
        </w:rPr>
        <w:t>3</w:t>
      </w:r>
      <w:r>
        <w:rPr>
          <w:rFonts w:ascii="宋体" w:hAnsi="宋体" w:eastAsia="宋体" w:cs="宋体"/>
          <w:spacing w:val="-3"/>
          <w:sz w:val="24"/>
          <w:szCs w:val="24"/>
        </w:rPr>
        <w:t>/d</w:t>
      </w:r>
    </w:p>
    <w:p w14:paraId="5814CD37">
      <w:pPr>
        <w:spacing w:line="234" w:lineRule="auto"/>
        <w:rPr>
          <w:rFonts w:ascii="宋体" w:hAnsi="宋体" w:eastAsia="宋体" w:cs="宋体"/>
          <w:sz w:val="24"/>
          <w:szCs w:val="24"/>
        </w:rPr>
        <w:sectPr>
          <w:headerReference r:id="rId133" w:type="default"/>
          <w:footerReference r:id="rId134" w:type="default"/>
          <w:pgSz w:w="11906" w:h="16839"/>
          <w:pgMar w:top="1208" w:right="1485" w:bottom="1358" w:left="1693" w:header="825" w:footer="1195" w:gutter="0"/>
          <w:cols w:space="720" w:num="1"/>
        </w:sectPr>
      </w:pPr>
    </w:p>
    <w:p w14:paraId="516F3629">
      <w:pPr>
        <w:spacing w:before="231" w:line="7711" w:lineRule="exact"/>
        <w:ind w:firstLine="11"/>
      </w:pPr>
      <w:r>
        <w:rPr>
          <w:position w:val="-154"/>
        </w:rPr>
        <w:drawing>
          <wp:inline distT="0" distB="0" distL="0" distR="0">
            <wp:extent cx="5304790" cy="48964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79"/>
                    <a:stretch>
                      <a:fillRect/>
                    </a:stretch>
                  </pic:blipFill>
                  <pic:spPr>
                    <a:xfrm>
                      <a:off x="0" y="0"/>
                      <a:ext cx="5305044" cy="4896611"/>
                    </a:xfrm>
                    <a:prstGeom prst="rect">
                      <a:avLst/>
                    </a:prstGeom>
                  </pic:spPr>
                </pic:pic>
              </a:graphicData>
            </a:graphic>
          </wp:inline>
        </w:drawing>
      </w:r>
    </w:p>
    <w:p w14:paraId="6507B931">
      <w:pPr>
        <w:spacing w:before="174" w:line="232" w:lineRule="auto"/>
        <w:ind w:left="1544"/>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1"/>
          <w:sz w:val="24"/>
          <w:szCs w:val="24"/>
        </w:rPr>
        <w:t xml:space="preserve"> </w:t>
      </w:r>
      <w:r>
        <w:rPr>
          <w:rFonts w:ascii="宋体" w:hAnsi="宋体" w:eastAsia="宋体" w:cs="宋体"/>
          <w:spacing w:val="-3"/>
          <w:sz w:val="24"/>
          <w:szCs w:val="24"/>
        </w:rPr>
        <w:t>5.3-2    企业冬季水平衡图</w:t>
      </w:r>
      <w:r>
        <w:rPr>
          <w:rFonts w:ascii="宋体" w:hAnsi="宋体" w:eastAsia="宋体" w:cs="宋体"/>
          <w:sz w:val="24"/>
          <w:szCs w:val="24"/>
        </w:rPr>
        <w:t xml:space="preserve">              </w:t>
      </w:r>
      <w:r>
        <w:rPr>
          <w:rFonts w:ascii="宋体" w:hAnsi="宋体" w:eastAsia="宋体" w:cs="宋体"/>
          <w:spacing w:val="-3"/>
          <w:sz w:val="24"/>
          <w:szCs w:val="24"/>
        </w:rPr>
        <w:t>单位：m</w:t>
      </w:r>
      <w:r>
        <w:rPr>
          <w:rFonts w:ascii="宋体" w:hAnsi="宋体" w:eastAsia="宋体" w:cs="宋体"/>
          <w:spacing w:val="-3"/>
          <w:position w:val="11"/>
          <w:sz w:val="12"/>
          <w:szCs w:val="12"/>
        </w:rPr>
        <w:t>3</w:t>
      </w:r>
      <w:r>
        <w:rPr>
          <w:rFonts w:ascii="宋体" w:hAnsi="宋体" w:eastAsia="宋体" w:cs="宋体"/>
          <w:spacing w:val="-3"/>
          <w:sz w:val="24"/>
          <w:szCs w:val="24"/>
        </w:rPr>
        <w:t>/d</w:t>
      </w:r>
    </w:p>
    <w:p w14:paraId="0648F341">
      <w:pPr>
        <w:spacing w:line="232" w:lineRule="auto"/>
        <w:rPr>
          <w:rFonts w:ascii="宋体" w:hAnsi="宋体" w:eastAsia="宋体" w:cs="宋体"/>
          <w:sz w:val="24"/>
          <w:szCs w:val="24"/>
        </w:rPr>
        <w:sectPr>
          <w:headerReference r:id="rId135" w:type="default"/>
          <w:footerReference r:id="rId136" w:type="default"/>
          <w:pgSz w:w="11906" w:h="16839"/>
          <w:pgMar w:top="1208" w:right="1753" w:bottom="1358" w:left="1785" w:header="825" w:footer="1195" w:gutter="0"/>
          <w:cols w:space="720" w:num="1"/>
        </w:sectPr>
      </w:pPr>
    </w:p>
    <w:p w14:paraId="54309523">
      <w:pPr>
        <w:pStyle w:val="2"/>
        <w:spacing w:line="338" w:lineRule="auto"/>
      </w:pPr>
    </w:p>
    <w:p w14:paraId="21BEDC75">
      <w:pPr>
        <w:spacing w:before="91" w:line="222" w:lineRule="auto"/>
        <w:ind w:left="21"/>
        <w:outlineLvl w:val="1"/>
        <w:rPr>
          <w:rFonts w:ascii="黑体" w:hAnsi="黑体" w:eastAsia="黑体" w:cs="黑体"/>
          <w:sz w:val="28"/>
          <w:szCs w:val="28"/>
        </w:rPr>
      </w:pPr>
      <w:bookmarkStart w:id="68" w:name="bookmark63"/>
      <w:bookmarkEnd w:id="68"/>
      <w:r>
        <w:rPr>
          <w:rFonts w:ascii="Times New Roman" w:hAnsi="Times New Roman" w:eastAsia="Times New Roman" w:cs="Times New Roman"/>
          <w:b/>
          <w:bCs/>
          <w:spacing w:val="-3"/>
          <w:sz w:val="28"/>
          <w:szCs w:val="28"/>
        </w:rPr>
        <w:t xml:space="preserve">5.4 </w:t>
      </w:r>
      <w:r>
        <w:rPr>
          <w:rFonts w:ascii="黑体" w:hAnsi="黑体" w:eastAsia="黑体" w:cs="黑体"/>
          <w:b/>
          <w:bCs/>
          <w:spacing w:val="-3"/>
          <w:sz w:val="28"/>
          <w:szCs w:val="28"/>
        </w:rPr>
        <w:t>工艺流程及排污特点</w:t>
      </w:r>
    </w:p>
    <w:p w14:paraId="7691EB16">
      <w:pPr>
        <w:spacing w:before="265"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）工艺流程</w:t>
      </w:r>
    </w:p>
    <w:p w14:paraId="3DE92AD9">
      <w:pPr>
        <w:spacing w:before="191" w:line="217" w:lineRule="auto"/>
        <w:ind w:left="500"/>
        <w:rPr>
          <w:rFonts w:ascii="宋体" w:hAnsi="宋体" w:eastAsia="宋体" w:cs="宋体"/>
          <w:sz w:val="24"/>
          <w:szCs w:val="24"/>
        </w:rPr>
      </w:pPr>
      <w:r>
        <w:rPr>
          <w:rFonts w:ascii="宋体" w:hAnsi="宋体" w:eastAsia="宋体" w:cs="宋体"/>
          <w:spacing w:val="-2"/>
          <w:sz w:val="24"/>
          <w:szCs w:val="24"/>
        </w:rPr>
        <w:t>①碎磨流程</w:t>
      </w:r>
    </w:p>
    <w:p w14:paraId="21396E7B">
      <w:pPr>
        <w:spacing w:before="197" w:line="368" w:lineRule="auto"/>
        <w:ind w:left="21" w:right="162" w:firstLine="479"/>
        <w:jc w:val="both"/>
        <w:rPr>
          <w:rFonts w:ascii="宋体" w:hAnsi="宋体" w:eastAsia="宋体" w:cs="宋体"/>
          <w:sz w:val="24"/>
          <w:szCs w:val="24"/>
        </w:rPr>
      </w:pPr>
      <w:r>
        <w:rPr>
          <w:rFonts w:ascii="宋体" w:hAnsi="宋体" w:eastAsia="宋体" w:cs="宋体"/>
          <w:spacing w:val="-1"/>
          <w:sz w:val="24"/>
          <w:szCs w:val="24"/>
        </w:rPr>
        <w:t>采场原矿设计入选最大块度为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300mm</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，本次碎磨流程设计采用一段粗碎</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半自磨</w:t>
      </w:r>
      <w:r>
        <w:rPr>
          <w:rFonts w:ascii="Times New Roman" w:hAnsi="Times New Roman" w:eastAsia="Times New Roman" w:cs="Times New Roman"/>
          <w:spacing w:val="-2"/>
          <w:sz w:val="24"/>
          <w:szCs w:val="24"/>
        </w:rPr>
        <w:t>+</w:t>
      </w:r>
      <w:r>
        <w:rPr>
          <w:rFonts w:ascii="宋体" w:hAnsi="宋体" w:eastAsia="宋体" w:cs="宋体"/>
          <w:spacing w:val="-2"/>
          <w:sz w:val="24"/>
          <w:szCs w:val="24"/>
        </w:rPr>
        <w:t>球磨即</w:t>
      </w:r>
      <w:r>
        <w:rPr>
          <w:rFonts w:ascii="Times New Roman" w:hAnsi="Times New Roman" w:eastAsia="Times New Roman" w:cs="Times New Roman"/>
          <w:spacing w:val="-2"/>
          <w:sz w:val="24"/>
          <w:szCs w:val="24"/>
        </w:rPr>
        <w:t>“SAB”</w:t>
      </w:r>
      <w:r>
        <w:rPr>
          <w:rFonts w:ascii="宋体" w:hAnsi="宋体" w:eastAsia="宋体" w:cs="宋体"/>
          <w:spacing w:val="-2"/>
          <w:sz w:val="24"/>
          <w:szCs w:val="24"/>
        </w:rPr>
        <w:t>流程，粗碎产品粒度设计为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110</w:t>
      </w:r>
      <w:r>
        <w:rPr>
          <w:rFonts w:ascii="宋体" w:hAnsi="宋体" w:eastAsia="宋体" w:cs="宋体"/>
          <w:spacing w:val="-2"/>
          <w:sz w:val="24"/>
          <w:szCs w:val="24"/>
        </w:rPr>
        <w:t>～</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
          <w:sz w:val="24"/>
          <w:szCs w:val="24"/>
        </w:rPr>
        <w:t>mm</w:t>
      </w:r>
      <w:r>
        <w:rPr>
          <w:rFonts w:ascii="宋体" w:hAnsi="宋体" w:eastAsia="宋体" w:cs="宋体"/>
          <w:spacing w:val="-3"/>
          <w:sz w:val="24"/>
          <w:szCs w:val="24"/>
        </w:rPr>
        <w:t>。入选磨矿细度设</w:t>
      </w:r>
      <w:r>
        <w:rPr>
          <w:rFonts w:ascii="宋体" w:hAnsi="宋体" w:eastAsia="宋体" w:cs="宋体"/>
          <w:sz w:val="24"/>
          <w:szCs w:val="24"/>
        </w:rPr>
        <w:t xml:space="preserve"> </w:t>
      </w:r>
      <w:r>
        <w:rPr>
          <w:rFonts w:ascii="宋体" w:hAnsi="宋体" w:eastAsia="宋体" w:cs="宋体"/>
          <w:spacing w:val="-5"/>
          <w:sz w:val="24"/>
          <w:szCs w:val="24"/>
        </w:rPr>
        <w:t>计为</w:t>
      </w:r>
      <w:r>
        <w:rPr>
          <w:rFonts w:ascii="Times New Roman" w:hAnsi="Times New Roman" w:eastAsia="Times New Roman" w:cs="Times New Roman"/>
          <w:spacing w:val="-5"/>
          <w:sz w:val="24"/>
          <w:szCs w:val="24"/>
        </w:rPr>
        <w:t>-0.074mm</w:t>
      </w:r>
      <w:r>
        <w:rPr>
          <w:rFonts w:ascii="Times New Roman" w:hAnsi="Times New Roman" w:eastAsia="Times New Roman" w:cs="Times New Roman"/>
          <w:spacing w:val="53"/>
          <w:w w:val="101"/>
          <w:sz w:val="24"/>
          <w:szCs w:val="24"/>
        </w:rPr>
        <w:t xml:space="preserve"> </w:t>
      </w:r>
      <w:r>
        <w:rPr>
          <w:rFonts w:ascii="宋体" w:hAnsi="宋体" w:eastAsia="宋体" w:cs="宋体"/>
          <w:spacing w:val="-5"/>
          <w:sz w:val="24"/>
          <w:szCs w:val="24"/>
        </w:rPr>
        <w:t>占</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75%</w:t>
      </w:r>
      <w:r>
        <w:rPr>
          <w:rFonts w:ascii="宋体" w:hAnsi="宋体" w:eastAsia="宋体" w:cs="宋体"/>
          <w:spacing w:val="-5"/>
          <w:sz w:val="24"/>
          <w:szCs w:val="24"/>
        </w:rPr>
        <w:t>。</w:t>
      </w:r>
    </w:p>
    <w:p w14:paraId="306E3774">
      <w:pPr>
        <w:spacing w:before="1" w:line="367" w:lineRule="auto"/>
        <w:ind w:left="22" w:right="162" w:firstLine="479"/>
        <w:rPr>
          <w:rFonts w:ascii="宋体" w:hAnsi="宋体" w:eastAsia="宋体" w:cs="宋体"/>
          <w:sz w:val="24"/>
          <w:szCs w:val="24"/>
        </w:rPr>
      </w:pPr>
      <w:r>
        <w:rPr>
          <w:rFonts w:ascii="宋体" w:hAnsi="宋体" w:eastAsia="宋体" w:cs="宋体"/>
          <w:sz w:val="24"/>
          <w:szCs w:val="24"/>
        </w:rPr>
        <w:t>此工序原矿粗碎、中间堆场和矿石转运过程中</w:t>
      </w:r>
      <w:r>
        <w:rPr>
          <w:rFonts w:ascii="宋体" w:hAnsi="宋体" w:eastAsia="宋体" w:cs="宋体"/>
          <w:spacing w:val="-1"/>
          <w:sz w:val="24"/>
          <w:szCs w:val="24"/>
        </w:rPr>
        <w:t>产生粉尘，各类运转设备产</w:t>
      </w:r>
      <w:r>
        <w:rPr>
          <w:rFonts w:ascii="宋体" w:hAnsi="宋体" w:eastAsia="宋体" w:cs="宋体"/>
          <w:sz w:val="24"/>
          <w:szCs w:val="24"/>
        </w:rPr>
        <w:t xml:space="preserve"> </w:t>
      </w:r>
      <w:r>
        <w:rPr>
          <w:rFonts w:ascii="宋体" w:hAnsi="宋体" w:eastAsia="宋体" w:cs="宋体"/>
          <w:spacing w:val="-3"/>
          <w:sz w:val="24"/>
          <w:szCs w:val="24"/>
        </w:rPr>
        <w:t>生噪声。</w:t>
      </w:r>
    </w:p>
    <w:p w14:paraId="64229BDA">
      <w:pPr>
        <w:spacing w:line="217" w:lineRule="auto"/>
        <w:ind w:left="499"/>
        <w:rPr>
          <w:rFonts w:ascii="宋体" w:hAnsi="宋体" w:eastAsia="宋体" w:cs="宋体"/>
          <w:sz w:val="24"/>
          <w:szCs w:val="24"/>
        </w:rPr>
      </w:pPr>
      <w:r>
        <w:rPr>
          <w:rFonts w:ascii="宋体" w:hAnsi="宋体" w:eastAsia="宋体" w:cs="宋体"/>
          <w:spacing w:val="-2"/>
          <w:sz w:val="24"/>
          <w:szCs w:val="24"/>
        </w:rPr>
        <w:t>②浮选流程</w:t>
      </w:r>
    </w:p>
    <w:p w14:paraId="6043A69C">
      <w:pPr>
        <w:spacing w:before="197" w:line="368" w:lineRule="auto"/>
        <w:ind w:left="21" w:right="162" w:firstLine="479"/>
        <w:rPr>
          <w:rFonts w:ascii="宋体" w:hAnsi="宋体" w:eastAsia="宋体" w:cs="宋体"/>
          <w:sz w:val="24"/>
          <w:szCs w:val="24"/>
        </w:rPr>
      </w:pPr>
      <w:r>
        <w:rPr>
          <w:rFonts w:ascii="宋体" w:hAnsi="宋体" w:eastAsia="宋体" w:cs="宋体"/>
          <w:spacing w:val="-3"/>
          <w:sz w:val="24"/>
          <w:szCs w:val="24"/>
        </w:rPr>
        <w:t>采用全优先浮选工艺流程。矿石磨至细度</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75</w:t>
      </w:r>
      <w:r>
        <w:rPr>
          <w:rFonts w:ascii="Times New Roman" w:hAnsi="Times New Roman" w:eastAsia="Times New Roman" w:cs="Times New Roman"/>
          <w:spacing w:val="-4"/>
          <w:sz w:val="24"/>
          <w:szCs w:val="24"/>
        </w:rPr>
        <w:t xml:space="preserve">%-0.074mm </w:t>
      </w:r>
      <w:r>
        <w:rPr>
          <w:rFonts w:ascii="宋体" w:hAnsi="宋体" w:eastAsia="宋体" w:cs="宋体"/>
          <w:spacing w:val="-4"/>
          <w:sz w:val="24"/>
          <w:szCs w:val="24"/>
        </w:rPr>
        <w:t>后，进入铅浮选回</w:t>
      </w:r>
      <w:r>
        <w:rPr>
          <w:rFonts w:ascii="宋体" w:hAnsi="宋体" w:eastAsia="宋体" w:cs="宋体"/>
          <w:sz w:val="24"/>
          <w:szCs w:val="24"/>
        </w:rPr>
        <w:t xml:space="preserve"> 路，经一次粗选、三次扫选、四次精选产出铅精矿；</w:t>
      </w:r>
      <w:r>
        <w:rPr>
          <w:rFonts w:ascii="宋体" w:hAnsi="宋体" w:eastAsia="宋体" w:cs="宋体"/>
          <w:spacing w:val="-1"/>
          <w:sz w:val="24"/>
          <w:szCs w:val="24"/>
        </w:rPr>
        <w:t>铅浮选尾矿进入锌浮选回</w:t>
      </w:r>
      <w:r>
        <w:rPr>
          <w:rFonts w:ascii="宋体" w:hAnsi="宋体" w:eastAsia="宋体" w:cs="宋体"/>
          <w:sz w:val="24"/>
          <w:szCs w:val="24"/>
        </w:rPr>
        <w:t xml:space="preserve"> 路，经一次粗选、三次扫选、四次精选产出锌精矿和</w:t>
      </w:r>
      <w:r>
        <w:rPr>
          <w:rFonts w:ascii="宋体" w:hAnsi="宋体" w:eastAsia="宋体" w:cs="宋体"/>
          <w:spacing w:val="-1"/>
          <w:sz w:val="24"/>
          <w:szCs w:val="24"/>
        </w:rPr>
        <w:t>最终尾矿。浮选产出的铅</w:t>
      </w:r>
      <w:r>
        <w:rPr>
          <w:rFonts w:ascii="宋体" w:hAnsi="宋体" w:eastAsia="宋体" w:cs="宋体"/>
          <w:sz w:val="24"/>
          <w:szCs w:val="24"/>
        </w:rPr>
        <w:t xml:space="preserve"> </w:t>
      </w:r>
      <w:r>
        <w:rPr>
          <w:rFonts w:ascii="宋体" w:hAnsi="宋体" w:eastAsia="宋体" w:cs="宋体"/>
          <w:spacing w:val="-1"/>
          <w:sz w:val="24"/>
          <w:szCs w:val="24"/>
        </w:rPr>
        <w:t>精矿、锌精矿送精矿脱水作业。</w:t>
      </w:r>
    </w:p>
    <w:p w14:paraId="05DDF2BF">
      <w:pPr>
        <w:spacing w:before="1" w:line="219" w:lineRule="auto"/>
        <w:ind w:left="502"/>
        <w:rPr>
          <w:rFonts w:ascii="宋体" w:hAnsi="宋体" w:eastAsia="宋体" w:cs="宋体"/>
          <w:sz w:val="24"/>
          <w:szCs w:val="24"/>
        </w:rPr>
      </w:pPr>
      <w:r>
        <w:rPr>
          <w:rFonts w:ascii="宋体" w:hAnsi="宋体" w:eastAsia="宋体" w:cs="宋体"/>
          <w:spacing w:val="-1"/>
          <w:sz w:val="24"/>
          <w:szCs w:val="24"/>
        </w:rPr>
        <w:t>此工序为水选，无粉尘产生，各类运转设备产生噪声。</w:t>
      </w:r>
    </w:p>
    <w:p w14:paraId="1BE4CFDC">
      <w:pPr>
        <w:spacing w:before="195" w:line="217" w:lineRule="auto"/>
        <w:ind w:left="499"/>
        <w:rPr>
          <w:rFonts w:ascii="宋体" w:hAnsi="宋体" w:eastAsia="宋体" w:cs="宋体"/>
          <w:sz w:val="24"/>
          <w:szCs w:val="24"/>
        </w:rPr>
      </w:pPr>
      <w:r>
        <w:rPr>
          <w:rFonts w:ascii="宋体" w:hAnsi="宋体" w:eastAsia="宋体" w:cs="宋体"/>
          <w:spacing w:val="-3"/>
          <w:sz w:val="24"/>
          <w:szCs w:val="24"/>
        </w:rPr>
        <w:t>③脱水</w:t>
      </w:r>
    </w:p>
    <w:p w14:paraId="1C4BD10F">
      <w:pPr>
        <w:spacing w:before="196" w:line="368" w:lineRule="auto"/>
        <w:ind w:left="22" w:right="162" w:firstLine="507"/>
        <w:rPr>
          <w:rFonts w:ascii="宋体" w:hAnsi="宋体" w:eastAsia="宋体" w:cs="宋体"/>
          <w:sz w:val="24"/>
          <w:szCs w:val="24"/>
        </w:rPr>
      </w:pPr>
      <w:r>
        <w:rPr>
          <w:rFonts w:ascii="宋体" w:hAnsi="宋体" w:eastAsia="宋体" w:cs="宋体"/>
          <w:spacing w:val="-1"/>
          <w:sz w:val="24"/>
          <w:szCs w:val="24"/>
        </w:rPr>
        <w:t>由于浮选产出的精矿较细，铅精矿、锌精矿脱水流程设</w:t>
      </w:r>
      <w:r>
        <w:rPr>
          <w:rFonts w:ascii="宋体" w:hAnsi="宋体" w:eastAsia="宋体" w:cs="宋体"/>
          <w:spacing w:val="-2"/>
          <w:sz w:val="24"/>
          <w:szCs w:val="24"/>
        </w:rPr>
        <w:t>计均采用浓密、过</w:t>
      </w:r>
      <w:r>
        <w:rPr>
          <w:rFonts w:ascii="宋体" w:hAnsi="宋体" w:eastAsia="宋体" w:cs="宋体"/>
          <w:sz w:val="24"/>
          <w:szCs w:val="24"/>
        </w:rPr>
        <w:t xml:space="preserve"> </w:t>
      </w:r>
      <w:r>
        <w:rPr>
          <w:rFonts w:ascii="宋体" w:hAnsi="宋体" w:eastAsia="宋体" w:cs="宋体"/>
          <w:spacing w:val="-2"/>
          <w:sz w:val="24"/>
          <w:szCs w:val="24"/>
        </w:rPr>
        <w:t>滤两段脱水流程，精矿最终水分</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。尾矿经厂前浓缩后送尾矿库堆存。</w:t>
      </w:r>
    </w:p>
    <w:p w14:paraId="30B1C2F6">
      <w:pPr>
        <w:spacing w:before="4" w:line="367" w:lineRule="auto"/>
        <w:ind w:left="23" w:right="162" w:firstLine="478"/>
        <w:rPr>
          <w:rFonts w:ascii="宋体" w:hAnsi="宋体" w:eastAsia="宋体" w:cs="宋体"/>
          <w:sz w:val="24"/>
          <w:szCs w:val="24"/>
        </w:rPr>
      </w:pPr>
      <w:r>
        <w:rPr>
          <w:rFonts w:ascii="宋体" w:hAnsi="宋体" w:eastAsia="宋体" w:cs="宋体"/>
          <w:sz w:val="24"/>
          <w:szCs w:val="24"/>
        </w:rPr>
        <w:t>此工序产生各精矿浓缩、压滤废水、尾矿浓缩</w:t>
      </w:r>
      <w:r>
        <w:rPr>
          <w:rFonts w:ascii="宋体" w:hAnsi="宋体" w:eastAsia="宋体" w:cs="宋体"/>
          <w:spacing w:val="-1"/>
          <w:sz w:val="24"/>
          <w:szCs w:val="24"/>
        </w:rPr>
        <w:t>溢流水，各类运转设备产生</w:t>
      </w:r>
      <w:r>
        <w:rPr>
          <w:rFonts w:ascii="宋体" w:hAnsi="宋体" w:eastAsia="宋体" w:cs="宋体"/>
          <w:sz w:val="24"/>
          <w:szCs w:val="24"/>
        </w:rPr>
        <w:t xml:space="preserve"> 噪声。各精矿浓缩、压滤废水回用于各自选矿</w:t>
      </w:r>
      <w:r>
        <w:rPr>
          <w:rFonts w:ascii="宋体" w:hAnsi="宋体" w:eastAsia="宋体" w:cs="宋体"/>
          <w:spacing w:val="-1"/>
          <w:sz w:val="24"/>
          <w:szCs w:val="24"/>
        </w:rPr>
        <w:t>工艺；尾矿浓缩溢流水经尾矿回</w:t>
      </w:r>
      <w:r>
        <w:rPr>
          <w:rFonts w:ascii="宋体" w:hAnsi="宋体" w:eastAsia="宋体" w:cs="宋体"/>
          <w:sz w:val="24"/>
          <w:szCs w:val="24"/>
        </w:rPr>
        <w:t xml:space="preserve"> </w:t>
      </w:r>
      <w:r>
        <w:rPr>
          <w:rFonts w:ascii="宋体" w:hAnsi="宋体" w:eastAsia="宋体" w:cs="宋体"/>
          <w:spacing w:val="-1"/>
          <w:sz w:val="24"/>
          <w:szCs w:val="24"/>
        </w:rPr>
        <w:t>水处理系统处理后返回选厂使用。</w:t>
      </w:r>
    </w:p>
    <w:p w14:paraId="1BA6A532">
      <w:pPr>
        <w:spacing w:line="219" w:lineRule="auto"/>
        <w:ind w:left="502"/>
        <w:rPr>
          <w:rFonts w:ascii="宋体" w:hAnsi="宋体" w:eastAsia="宋体" w:cs="宋体"/>
          <w:sz w:val="24"/>
          <w:szCs w:val="24"/>
        </w:rPr>
      </w:pPr>
      <w:r>
        <w:rPr>
          <w:rFonts w:ascii="宋体" w:hAnsi="宋体" w:eastAsia="宋体" w:cs="宋体"/>
          <w:spacing w:val="-1"/>
          <w:sz w:val="24"/>
          <w:szCs w:val="24"/>
        </w:rPr>
        <w:t>技改后，选矿工艺及产排污流程见图</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3.2-1</w:t>
      </w:r>
      <w:r>
        <w:rPr>
          <w:rFonts w:ascii="宋体" w:hAnsi="宋体" w:eastAsia="宋体" w:cs="宋体"/>
          <w:spacing w:val="-1"/>
          <w:sz w:val="24"/>
          <w:szCs w:val="24"/>
        </w:rPr>
        <w:t>。</w:t>
      </w:r>
    </w:p>
    <w:p w14:paraId="16C144A6">
      <w:pPr>
        <w:spacing w:line="219" w:lineRule="auto"/>
        <w:rPr>
          <w:rFonts w:ascii="宋体" w:hAnsi="宋体" w:eastAsia="宋体" w:cs="宋体"/>
          <w:sz w:val="24"/>
          <w:szCs w:val="24"/>
        </w:rPr>
        <w:sectPr>
          <w:headerReference r:id="rId137" w:type="default"/>
          <w:footerReference r:id="rId138" w:type="default"/>
          <w:pgSz w:w="11906" w:h="16839"/>
          <w:pgMar w:top="1208" w:right="1785" w:bottom="1358" w:left="1785" w:header="825" w:footer="1195" w:gutter="0"/>
          <w:cols w:space="720" w:num="1"/>
        </w:sectPr>
      </w:pPr>
    </w:p>
    <w:p w14:paraId="79F85053">
      <w:pPr>
        <w:pStyle w:val="2"/>
        <w:spacing w:line="297" w:lineRule="auto"/>
      </w:pPr>
    </w:p>
    <w:p w14:paraId="13EFCA51">
      <w:pPr>
        <w:spacing w:line="9686" w:lineRule="exact"/>
        <w:ind w:firstLine="98"/>
      </w:pPr>
      <w:r>
        <w:rPr>
          <w:position w:val="-193"/>
        </w:rPr>
        <w:drawing>
          <wp:inline distT="0" distB="0" distL="0" distR="0">
            <wp:extent cx="5587365" cy="61499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80"/>
                    <a:stretch>
                      <a:fillRect/>
                    </a:stretch>
                  </pic:blipFill>
                  <pic:spPr>
                    <a:xfrm>
                      <a:off x="0" y="0"/>
                      <a:ext cx="5587479" cy="6150432"/>
                    </a:xfrm>
                    <a:prstGeom prst="rect">
                      <a:avLst/>
                    </a:prstGeom>
                  </pic:spPr>
                </pic:pic>
              </a:graphicData>
            </a:graphic>
          </wp:inline>
        </w:drawing>
      </w:r>
    </w:p>
    <w:p w14:paraId="398EDD19">
      <w:pPr>
        <w:spacing w:before="255" w:line="219" w:lineRule="auto"/>
        <w:ind w:left="2014"/>
        <w:rPr>
          <w:rFonts w:ascii="宋体" w:hAnsi="宋体" w:eastAsia="宋体" w:cs="宋体"/>
          <w:sz w:val="24"/>
          <w:szCs w:val="24"/>
        </w:rPr>
      </w:pPr>
      <w:r>
        <w:rPr>
          <w:rFonts w:ascii="宋体" w:hAnsi="宋体" w:eastAsia="宋体" w:cs="宋体"/>
          <w:spacing w:val="-2"/>
          <w:sz w:val="24"/>
          <w:szCs w:val="24"/>
        </w:rPr>
        <w:t xml:space="preserve">图 </w:t>
      </w:r>
      <w:r>
        <w:rPr>
          <w:rFonts w:ascii="Times New Roman" w:hAnsi="Times New Roman" w:eastAsia="Times New Roman" w:cs="Times New Roman"/>
          <w:spacing w:val="-2"/>
          <w:sz w:val="24"/>
          <w:szCs w:val="24"/>
        </w:rPr>
        <w:t xml:space="preserve">5.4-1    </w:t>
      </w:r>
      <w:r>
        <w:rPr>
          <w:rFonts w:ascii="宋体" w:hAnsi="宋体" w:eastAsia="宋体" w:cs="宋体"/>
          <w:spacing w:val="-2"/>
          <w:sz w:val="24"/>
          <w:szCs w:val="24"/>
        </w:rPr>
        <w:t>技改完成后工艺及排污流程图</w:t>
      </w:r>
    </w:p>
    <w:p w14:paraId="17C20E89">
      <w:pPr>
        <w:spacing w:before="274" w:line="222" w:lineRule="auto"/>
        <w:ind w:left="21"/>
        <w:outlineLvl w:val="1"/>
        <w:rPr>
          <w:rFonts w:ascii="黑体" w:hAnsi="黑体" w:eastAsia="黑体" w:cs="黑体"/>
          <w:sz w:val="28"/>
          <w:szCs w:val="28"/>
        </w:rPr>
      </w:pPr>
      <w:bookmarkStart w:id="69" w:name="bookmark65"/>
      <w:bookmarkEnd w:id="69"/>
      <w:bookmarkStart w:id="70" w:name="bookmark64"/>
      <w:bookmarkEnd w:id="70"/>
      <w:r>
        <w:rPr>
          <w:rFonts w:ascii="Times New Roman" w:hAnsi="Times New Roman" w:eastAsia="Times New Roman" w:cs="Times New Roman"/>
          <w:b/>
          <w:bCs/>
          <w:spacing w:val="-3"/>
          <w:sz w:val="28"/>
          <w:szCs w:val="28"/>
        </w:rPr>
        <w:t xml:space="preserve">5.5 </w:t>
      </w:r>
      <w:r>
        <w:rPr>
          <w:rFonts w:ascii="黑体" w:hAnsi="黑体" w:eastAsia="黑体" w:cs="黑体"/>
          <w:b/>
          <w:bCs/>
          <w:spacing w:val="-3"/>
          <w:sz w:val="28"/>
          <w:szCs w:val="28"/>
        </w:rPr>
        <w:t>污染源治理及污染物排放情况</w:t>
      </w:r>
    </w:p>
    <w:p w14:paraId="6AB7870E">
      <w:pPr>
        <w:spacing w:before="265" w:line="220" w:lineRule="auto"/>
        <w:ind w:left="499"/>
        <w:outlineLvl w:val="2"/>
        <w:rPr>
          <w:rFonts w:ascii="宋体" w:hAnsi="宋体" w:eastAsia="宋体" w:cs="宋体"/>
          <w:sz w:val="24"/>
          <w:szCs w:val="24"/>
        </w:rPr>
      </w:pPr>
      <w:bookmarkStart w:id="71" w:name="bookmark200"/>
      <w:bookmarkEnd w:id="71"/>
      <w:r>
        <w:rPr>
          <w:rFonts w:ascii="Times New Roman" w:hAnsi="Times New Roman" w:eastAsia="Times New Roman" w:cs="Times New Roman"/>
          <w:b/>
          <w:bCs/>
          <w:spacing w:val="-4"/>
          <w:sz w:val="24"/>
          <w:szCs w:val="24"/>
        </w:rPr>
        <w:t>5.5.1</w:t>
      </w:r>
      <w:r>
        <w:rPr>
          <w:rFonts w:ascii="Times New Roman" w:hAnsi="Times New Roman" w:eastAsia="Times New Roman" w:cs="Times New Roman"/>
          <w:b/>
          <w:bCs/>
          <w:spacing w:val="13"/>
          <w:sz w:val="24"/>
          <w:szCs w:val="24"/>
        </w:rPr>
        <w:t xml:space="preserve"> </w:t>
      </w:r>
      <w:r>
        <w:rPr>
          <w:rFonts w:ascii="宋体" w:hAnsi="宋体" w:eastAsia="宋体" w:cs="宋体"/>
          <w:b/>
          <w:bCs/>
          <w:spacing w:val="-4"/>
          <w:sz w:val="24"/>
          <w:szCs w:val="24"/>
        </w:rPr>
        <w:t>废气</w:t>
      </w:r>
    </w:p>
    <w:p w14:paraId="747ACF61">
      <w:pPr>
        <w:spacing w:before="191"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）原矿装卸、运输及堆场粉尘</w:t>
      </w:r>
    </w:p>
    <w:p w14:paraId="22513381">
      <w:pPr>
        <w:spacing w:before="193" w:line="366" w:lineRule="auto"/>
        <w:ind w:left="20" w:right="726" w:firstLine="482"/>
        <w:rPr>
          <w:rFonts w:ascii="宋体" w:hAnsi="宋体" w:eastAsia="宋体" w:cs="宋体"/>
          <w:sz w:val="24"/>
          <w:szCs w:val="24"/>
        </w:rPr>
      </w:pPr>
      <w:r>
        <w:rPr>
          <w:rFonts w:ascii="宋体" w:hAnsi="宋体" w:eastAsia="宋体" w:cs="宋体"/>
          <w:spacing w:val="11"/>
          <w:sz w:val="24"/>
          <w:szCs w:val="24"/>
        </w:rPr>
        <w:t>现有原矿堆场为半封闭式</w:t>
      </w:r>
      <w:r>
        <w:rPr>
          <w:rFonts w:ascii="宋体" w:hAnsi="宋体" w:eastAsia="宋体" w:cs="宋体"/>
          <w:spacing w:val="-55"/>
          <w:sz w:val="24"/>
          <w:szCs w:val="24"/>
        </w:rPr>
        <w:t xml:space="preserve"> </w:t>
      </w:r>
      <w:r>
        <w:rPr>
          <w:rFonts w:ascii="宋体" w:hAnsi="宋体" w:eastAsia="宋体" w:cs="宋体"/>
          <w:spacing w:val="11"/>
          <w:sz w:val="24"/>
          <w:szCs w:val="24"/>
        </w:rPr>
        <w:t>，</w:t>
      </w:r>
      <w:r>
        <w:rPr>
          <w:rFonts w:ascii="宋体" w:hAnsi="宋体" w:eastAsia="宋体" w:cs="宋体"/>
          <w:spacing w:val="-47"/>
          <w:sz w:val="24"/>
          <w:szCs w:val="24"/>
        </w:rPr>
        <w:t xml:space="preserve"> </w:t>
      </w:r>
      <w:r>
        <w:rPr>
          <w:rFonts w:ascii="宋体" w:hAnsi="宋体" w:eastAsia="宋体" w:cs="宋体"/>
          <w:spacing w:val="11"/>
          <w:sz w:val="24"/>
          <w:szCs w:val="24"/>
        </w:rPr>
        <w:t>占地面积</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4835m</w:t>
      </w:r>
      <w:r>
        <w:rPr>
          <w:rFonts w:ascii="Times New Roman" w:hAnsi="Times New Roman" w:eastAsia="Times New Roman" w:cs="Times New Roman"/>
          <w:spacing w:val="11"/>
          <w:position w:val="7"/>
          <w:sz w:val="15"/>
          <w:szCs w:val="15"/>
        </w:rPr>
        <w:t>2</w:t>
      </w:r>
      <w:r>
        <w:rPr>
          <w:rFonts w:ascii="Times New Roman" w:hAnsi="Times New Roman" w:eastAsia="Times New Roman" w:cs="Times New Roman"/>
          <w:spacing w:val="14"/>
          <w:w w:val="101"/>
          <w:position w:val="7"/>
          <w:sz w:val="15"/>
          <w:szCs w:val="15"/>
        </w:rPr>
        <w:t xml:space="preserve"> </w:t>
      </w:r>
      <w:r>
        <w:rPr>
          <w:rFonts w:ascii="宋体" w:hAnsi="宋体" w:eastAsia="宋体" w:cs="宋体"/>
          <w:spacing w:val="11"/>
          <w:sz w:val="24"/>
          <w:szCs w:val="24"/>
        </w:rPr>
        <w:t>，</w:t>
      </w:r>
      <w:r>
        <w:rPr>
          <w:rFonts w:ascii="宋体" w:hAnsi="宋体" w:eastAsia="宋体" w:cs="宋体"/>
          <w:spacing w:val="-64"/>
          <w:sz w:val="24"/>
          <w:szCs w:val="24"/>
        </w:rPr>
        <w:t xml:space="preserve"> </w:t>
      </w:r>
      <w:r>
        <w:rPr>
          <w:rFonts w:ascii="宋体" w:hAnsi="宋体" w:eastAsia="宋体" w:cs="宋体"/>
          <w:spacing w:val="11"/>
          <w:sz w:val="24"/>
          <w:szCs w:val="24"/>
        </w:rPr>
        <w:t>四周根据地势设置高</w:t>
      </w:r>
      <w:r>
        <w:rPr>
          <w:rFonts w:ascii="宋体" w:hAnsi="宋体" w:eastAsia="宋体" w:cs="宋体"/>
          <w:sz w:val="24"/>
          <w:szCs w:val="24"/>
        </w:rPr>
        <w:t xml:space="preserve"> </w:t>
      </w:r>
      <w:r>
        <w:rPr>
          <w:rFonts w:ascii="Times New Roman" w:hAnsi="Times New Roman" w:eastAsia="Times New Roman" w:cs="Times New Roman"/>
          <w:spacing w:val="1"/>
          <w:sz w:val="24"/>
          <w:szCs w:val="24"/>
        </w:rPr>
        <w:t>3.2m-5.7m</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的防风抑尘网，地面采取硬化措施，并定期洒水降尘。由于采矿量</w:t>
      </w:r>
      <w:r>
        <w:rPr>
          <w:rFonts w:ascii="宋体" w:hAnsi="宋体" w:eastAsia="宋体" w:cs="宋体"/>
          <w:sz w:val="24"/>
          <w:szCs w:val="24"/>
        </w:rPr>
        <w:t xml:space="preserve"> </w:t>
      </w:r>
      <w:r>
        <w:rPr>
          <w:rFonts w:ascii="宋体" w:hAnsi="宋体" w:eastAsia="宋体" w:cs="宋体"/>
          <w:spacing w:val="2"/>
          <w:sz w:val="24"/>
          <w:szCs w:val="24"/>
        </w:rPr>
        <w:t>不变，本次技改将现有</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 xml:space="preserve">1400t/d </w:t>
      </w:r>
      <w:r>
        <w:rPr>
          <w:rFonts w:ascii="宋体" w:hAnsi="宋体" w:eastAsia="宋体" w:cs="宋体"/>
          <w:spacing w:val="2"/>
          <w:sz w:val="24"/>
          <w:szCs w:val="24"/>
        </w:rPr>
        <w:t>选矿工程选矿能力增大至</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3400t/d</w:t>
      </w:r>
      <w:r>
        <w:rPr>
          <w:rFonts w:ascii="Times New Roman" w:hAnsi="Times New Roman" w:eastAsia="Times New Roman" w:cs="Times New Roman"/>
          <w:spacing w:val="-24"/>
          <w:sz w:val="24"/>
          <w:szCs w:val="24"/>
        </w:rPr>
        <w:t xml:space="preserve"> </w:t>
      </w:r>
      <w:r>
        <w:rPr>
          <w:rFonts w:ascii="宋体" w:hAnsi="宋体" w:eastAsia="宋体" w:cs="宋体"/>
          <w:spacing w:val="2"/>
          <w:sz w:val="24"/>
          <w:szCs w:val="24"/>
        </w:rPr>
        <w:t>，原</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1"/>
          <w:sz w:val="24"/>
          <w:szCs w:val="24"/>
        </w:rPr>
        <w:t>00t/d</w:t>
      </w:r>
      <w:r>
        <w:rPr>
          <w:rFonts w:ascii="Times New Roman" w:hAnsi="Times New Roman" w:eastAsia="Times New Roman" w:cs="Times New Roman"/>
          <w:sz w:val="24"/>
          <w:szCs w:val="24"/>
        </w:rPr>
        <w:t xml:space="preserve"> </w:t>
      </w:r>
      <w:r>
        <w:rPr>
          <w:rFonts w:ascii="宋体" w:hAnsi="宋体" w:eastAsia="宋体" w:cs="宋体"/>
          <w:sz w:val="24"/>
          <w:szCs w:val="24"/>
        </w:rPr>
        <w:t>选矿车间停用，原有堆场不变，原矿装卸、运输量不变</w:t>
      </w:r>
      <w:r>
        <w:rPr>
          <w:rFonts w:ascii="宋体" w:hAnsi="宋体" w:eastAsia="宋体" w:cs="宋体"/>
          <w:spacing w:val="-1"/>
          <w:sz w:val="24"/>
          <w:szCs w:val="24"/>
        </w:rPr>
        <w:t>，原矿装卸、运输、原</w:t>
      </w:r>
    </w:p>
    <w:p w14:paraId="6BF2F888">
      <w:pPr>
        <w:spacing w:line="366" w:lineRule="auto"/>
        <w:rPr>
          <w:rFonts w:ascii="宋体" w:hAnsi="宋体" w:eastAsia="宋体" w:cs="宋体"/>
          <w:sz w:val="24"/>
          <w:szCs w:val="24"/>
        </w:rPr>
        <w:sectPr>
          <w:headerReference r:id="rId139" w:type="default"/>
          <w:footerReference r:id="rId140" w:type="default"/>
          <w:pgSz w:w="11906" w:h="16839"/>
          <w:pgMar w:top="1208" w:right="1221" w:bottom="1358" w:left="1785" w:header="825" w:footer="1195" w:gutter="0"/>
          <w:cols w:space="720" w:num="1"/>
        </w:sectPr>
      </w:pPr>
    </w:p>
    <w:p w14:paraId="54B22905">
      <w:pPr>
        <w:pStyle w:val="2"/>
        <w:spacing w:line="270" w:lineRule="auto"/>
      </w:pPr>
    </w:p>
    <w:p w14:paraId="0198626D">
      <w:pPr>
        <w:spacing w:before="78" w:line="219" w:lineRule="auto"/>
        <w:ind w:left="20"/>
        <w:rPr>
          <w:rFonts w:ascii="宋体" w:hAnsi="宋体" w:eastAsia="宋体" w:cs="宋体"/>
          <w:sz w:val="24"/>
          <w:szCs w:val="24"/>
        </w:rPr>
      </w:pPr>
      <w:r>
        <w:rPr>
          <w:rFonts w:ascii="宋体" w:hAnsi="宋体" w:eastAsia="宋体" w:cs="宋体"/>
          <w:spacing w:val="-1"/>
          <w:sz w:val="24"/>
          <w:szCs w:val="24"/>
        </w:rPr>
        <w:t>矿堆场粉尘产生及排放量不变。</w:t>
      </w:r>
    </w:p>
    <w:p w14:paraId="1AD2CFCD">
      <w:pPr>
        <w:spacing w:before="195"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）破碎及中转粉尘</w:t>
      </w:r>
    </w:p>
    <w:p w14:paraId="6DE164E6">
      <w:pPr>
        <w:spacing w:before="192" w:line="368" w:lineRule="auto"/>
        <w:ind w:left="20" w:firstLine="480"/>
        <w:rPr>
          <w:rFonts w:ascii="宋体" w:hAnsi="宋体" w:eastAsia="宋体" w:cs="宋体"/>
          <w:sz w:val="24"/>
          <w:szCs w:val="24"/>
        </w:rPr>
      </w:pPr>
      <w:r>
        <w:rPr>
          <w:rFonts w:ascii="宋体" w:hAnsi="宋体" w:eastAsia="宋体" w:cs="宋体"/>
          <w:sz w:val="24"/>
          <w:szCs w:val="24"/>
        </w:rPr>
        <w:t>矿石进料口位于防风抑尘网内，粗碎车间、皮带长</w:t>
      </w:r>
      <w:r>
        <w:rPr>
          <w:rFonts w:ascii="宋体" w:hAnsi="宋体" w:eastAsia="宋体" w:cs="宋体"/>
          <w:spacing w:val="-1"/>
          <w:sz w:val="24"/>
          <w:szCs w:val="24"/>
        </w:rPr>
        <w:t>廊、中间料场均为全封</w:t>
      </w:r>
      <w:r>
        <w:rPr>
          <w:rFonts w:ascii="宋体" w:hAnsi="宋体" w:eastAsia="宋体" w:cs="宋体"/>
          <w:sz w:val="24"/>
          <w:szCs w:val="24"/>
        </w:rPr>
        <w:t xml:space="preserve">  </w:t>
      </w:r>
      <w:r>
        <w:rPr>
          <w:rFonts w:ascii="宋体" w:hAnsi="宋体" w:eastAsia="宋体" w:cs="宋体"/>
          <w:spacing w:val="-1"/>
          <w:sz w:val="24"/>
          <w:szCs w:val="24"/>
        </w:rPr>
        <w:t>闭式。现有粗碎车间原矿破碎量为</w:t>
      </w:r>
      <w:r>
        <w:rPr>
          <w:rFonts w:ascii="宋体" w:hAnsi="宋体" w:eastAsia="宋体" w:cs="宋体"/>
          <w:spacing w:val="-9"/>
          <w:sz w:val="24"/>
          <w:szCs w:val="24"/>
        </w:rPr>
        <w:t xml:space="preserve"> </w:t>
      </w:r>
      <w:r>
        <w:rPr>
          <w:rFonts w:ascii="Times New Roman" w:hAnsi="Times New Roman" w:eastAsia="Times New Roman" w:cs="Times New Roman"/>
          <w:spacing w:val="-1"/>
          <w:sz w:val="24"/>
          <w:szCs w:val="24"/>
        </w:rPr>
        <w:t>1400t/d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，技改工程新增破碎量</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2029t/d</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。现</w:t>
      </w:r>
      <w:r>
        <w:rPr>
          <w:rFonts w:ascii="宋体" w:hAnsi="宋体" w:eastAsia="宋体" w:cs="宋体"/>
          <w:sz w:val="24"/>
          <w:szCs w:val="24"/>
        </w:rPr>
        <w:t xml:space="preserve">  </w:t>
      </w:r>
      <w:r>
        <w:rPr>
          <w:rFonts w:ascii="宋体" w:hAnsi="宋体" w:eastAsia="宋体" w:cs="宋体"/>
          <w:spacing w:val="-3"/>
          <w:sz w:val="24"/>
          <w:szCs w:val="24"/>
        </w:rPr>
        <w:t>有工程破碎系统日运行时间</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5.28h/d</w:t>
      </w:r>
      <w:r>
        <w:rPr>
          <w:rFonts w:ascii="宋体" w:hAnsi="宋体" w:eastAsia="宋体" w:cs="宋体"/>
          <w:spacing w:val="-3"/>
          <w:sz w:val="24"/>
          <w:szCs w:val="24"/>
        </w:rPr>
        <w:t>，本项目依托现有破</w:t>
      </w:r>
      <w:r>
        <w:rPr>
          <w:rFonts w:ascii="宋体" w:hAnsi="宋体" w:eastAsia="宋体" w:cs="宋体"/>
          <w:spacing w:val="-4"/>
          <w:sz w:val="24"/>
          <w:szCs w:val="24"/>
        </w:rPr>
        <w:t>碎及中转粉尘处理设施。</w:t>
      </w:r>
      <w:r>
        <w:rPr>
          <w:rFonts w:ascii="宋体" w:hAnsi="宋体" w:eastAsia="宋体" w:cs="宋体"/>
          <w:sz w:val="24"/>
          <w:szCs w:val="24"/>
        </w:rPr>
        <w:t xml:space="preserve"> </w:t>
      </w:r>
      <w:r>
        <w:rPr>
          <w:rFonts w:ascii="宋体" w:hAnsi="宋体" w:eastAsia="宋体" w:cs="宋体"/>
          <w:spacing w:val="-3"/>
          <w:sz w:val="24"/>
          <w:szCs w:val="24"/>
        </w:rPr>
        <w:t>技改后破碎系统运行时间为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12.94h/d</w:t>
      </w:r>
      <w:r>
        <w:rPr>
          <w:rFonts w:ascii="宋体" w:hAnsi="宋体" w:eastAsia="宋体" w:cs="宋体"/>
          <w:spacing w:val="-3"/>
          <w:sz w:val="24"/>
          <w:szCs w:val="24"/>
        </w:rPr>
        <w:t>。参考</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140</w:t>
      </w:r>
      <w:r>
        <w:rPr>
          <w:rFonts w:ascii="Times New Roman" w:hAnsi="Times New Roman" w:eastAsia="Times New Roman" w:cs="Times New Roman"/>
          <w:spacing w:val="-4"/>
          <w:sz w:val="24"/>
          <w:szCs w:val="24"/>
        </w:rPr>
        <w:t xml:space="preserve">0t/d </w:t>
      </w:r>
      <w:r>
        <w:rPr>
          <w:rFonts w:ascii="宋体" w:hAnsi="宋体" w:eastAsia="宋体" w:cs="宋体"/>
          <w:spacing w:val="-4"/>
          <w:sz w:val="24"/>
          <w:szCs w:val="24"/>
        </w:rPr>
        <w:t>选矿工程验收监测资料，工</w:t>
      </w:r>
      <w:r>
        <w:rPr>
          <w:rFonts w:ascii="宋体" w:hAnsi="宋体" w:eastAsia="宋体" w:cs="宋体"/>
          <w:sz w:val="24"/>
          <w:szCs w:val="24"/>
        </w:rPr>
        <w:t xml:space="preserve">  </w:t>
      </w:r>
      <w:r>
        <w:rPr>
          <w:rFonts w:ascii="宋体" w:hAnsi="宋体" w:eastAsia="宋体" w:cs="宋体"/>
          <w:spacing w:val="-4"/>
          <w:sz w:val="24"/>
          <w:szCs w:val="24"/>
        </w:rPr>
        <w:t>程破碎及中转粉尘收集量为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14.20t/a</w:t>
      </w:r>
      <w:r>
        <w:rPr>
          <w:rFonts w:ascii="宋体" w:hAnsi="宋体" w:eastAsia="宋体" w:cs="宋体"/>
          <w:spacing w:val="-4"/>
          <w:sz w:val="24"/>
          <w:szCs w:val="24"/>
        </w:rPr>
        <w:t>，破碎机密闭，进出料口设置集气罩，</w:t>
      </w:r>
      <w:r>
        <w:rPr>
          <w:rFonts w:ascii="宋体" w:hAnsi="宋体" w:eastAsia="宋体" w:cs="宋体"/>
          <w:spacing w:val="-5"/>
          <w:sz w:val="24"/>
          <w:szCs w:val="24"/>
        </w:rPr>
        <w:t>收集</w:t>
      </w:r>
      <w:r>
        <w:rPr>
          <w:rFonts w:ascii="宋体" w:hAnsi="宋体" w:eastAsia="宋体" w:cs="宋体"/>
          <w:sz w:val="24"/>
          <w:szCs w:val="24"/>
        </w:rPr>
        <w:t xml:space="preserve">  </w:t>
      </w:r>
      <w:r>
        <w:rPr>
          <w:rFonts w:ascii="宋体" w:hAnsi="宋体" w:eastAsia="宋体" w:cs="宋体"/>
          <w:spacing w:val="-2"/>
          <w:sz w:val="24"/>
          <w:szCs w:val="24"/>
        </w:rPr>
        <w:t>效率</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95%</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，粉尘进入滤筒除尘器净化处理，净化效率约</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97.7%</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，处理后的废气</w:t>
      </w:r>
      <w:r>
        <w:rPr>
          <w:rFonts w:ascii="宋体" w:hAnsi="宋体" w:eastAsia="宋体" w:cs="宋体"/>
          <w:sz w:val="24"/>
          <w:szCs w:val="24"/>
        </w:rPr>
        <w:t xml:space="preserve">  </w:t>
      </w:r>
      <w:r>
        <w:rPr>
          <w:rFonts w:ascii="宋体" w:hAnsi="宋体" w:eastAsia="宋体" w:cs="宋体"/>
          <w:spacing w:val="-3"/>
          <w:sz w:val="24"/>
          <w:szCs w:val="24"/>
        </w:rPr>
        <w:t>通过</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高排气筒排放，粉尘排放量为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0.32t/a</w:t>
      </w:r>
      <w:r>
        <w:rPr>
          <w:rFonts w:ascii="宋体" w:hAnsi="宋体" w:eastAsia="宋体" w:cs="宋体"/>
          <w:spacing w:val="-3"/>
          <w:sz w:val="24"/>
          <w:szCs w:val="24"/>
        </w:rPr>
        <w:t>。现有工</w:t>
      </w:r>
      <w:r>
        <w:rPr>
          <w:rFonts w:ascii="宋体" w:hAnsi="宋体" w:eastAsia="宋体" w:cs="宋体"/>
          <w:spacing w:val="-4"/>
          <w:sz w:val="24"/>
          <w:szCs w:val="24"/>
        </w:rPr>
        <w:t>程破碎及中转粉尘产生</w:t>
      </w:r>
      <w:r>
        <w:rPr>
          <w:rFonts w:ascii="宋体" w:hAnsi="宋体" w:eastAsia="宋体" w:cs="宋体"/>
          <w:sz w:val="24"/>
          <w:szCs w:val="24"/>
        </w:rPr>
        <w:t xml:space="preserve">  </w:t>
      </w:r>
      <w:r>
        <w:rPr>
          <w:rFonts w:ascii="宋体" w:hAnsi="宋体" w:eastAsia="宋体" w:cs="宋体"/>
          <w:spacing w:val="-5"/>
          <w:sz w:val="24"/>
          <w:szCs w:val="24"/>
        </w:rPr>
        <w:t>量为</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14.95 t/a</w:t>
      </w:r>
      <w:r>
        <w:rPr>
          <w:rFonts w:ascii="宋体" w:hAnsi="宋体" w:eastAsia="宋体" w:cs="宋体"/>
          <w:spacing w:val="-5"/>
          <w:sz w:val="24"/>
          <w:szCs w:val="24"/>
        </w:rPr>
        <w:t>，技改工程粉尘增加量为</w:t>
      </w:r>
      <w:r>
        <w:rPr>
          <w:rFonts w:ascii="Times New Roman" w:hAnsi="Times New Roman" w:eastAsia="Times New Roman" w:cs="Times New Roman"/>
          <w:spacing w:val="-5"/>
          <w:sz w:val="24"/>
          <w:szCs w:val="24"/>
        </w:rPr>
        <w:t>21.6</w:t>
      </w:r>
      <w:r>
        <w:rPr>
          <w:rFonts w:ascii="Times New Roman" w:hAnsi="Times New Roman" w:eastAsia="Times New Roman" w:cs="Times New Roman"/>
          <w:spacing w:val="-6"/>
          <w:sz w:val="24"/>
          <w:szCs w:val="24"/>
        </w:rPr>
        <w:t>6 t/a</w:t>
      </w:r>
      <w:r>
        <w:rPr>
          <w:rFonts w:ascii="宋体" w:hAnsi="宋体" w:eastAsia="宋体" w:cs="宋体"/>
          <w:spacing w:val="-6"/>
          <w:sz w:val="24"/>
          <w:szCs w:val="24"/>
        </w:rPr>
        <w:t>，技改后粉尘总产生量为</w:t>
      </w:r>
      <w:r>
        <w:rPr>
          <w:rFonts w:ascii="宋体" w:hAnsi="宋体" w:eastAsia="宋体" w:cs="宋体"/>
          <w:spacing w:val="-69"/>
          <w:sz w:val="24"/>
          <w:szCs w:val="24"/>
        </w:rPr>
        <w:t xml:space="preserve"> </w:t>
      </w:r>
      <w:r>
        <w:rPr>
          <w:rFonts w:ascii="Times New Roman" w:hAnsi="Times New Roman" w:eastAsia="Times New Roman" w:cs="Times New Roman"/>
          <w:spacing w:val="-6"/>
          <w:sz w:val="24"/>
          <w:szCs w:val="24"/>
        </w:rPr>
        <w:t>36.61 t/a</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2"/>
          <w:sz w:val="24"/>
          <w:szCs w:val="24"/>
        </w:rPr>
        <w:t>有组织粉尘收集量</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34.78t/a</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。有组织粉尘新增排放量</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0.46t/a</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，总排放量</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0.78t</w:t>
      </w:r>
      <w:r>
        <w:rPr>
          <w:rFonts w:ascii="Times New Roman" w:hAnsi="Times New Roman" w:eastAsia="Times New Roman" w:cs="Times New Roman"/>
          <w:spacing w:val="-3"/>
          <w:sz w:val="24"/>
          <w:szCs w:val="24"/>
        </w:rPr>
        <w:t>/a</w:t>
      </w:r>
      <w:r>
        <w:rPr>
          <w:rFonts w:ascii="宋体" w:hAnsi="宋体" w:eastAsia="宋体" w:cs="宋体"/>
          <w:spacing w:val="-3"/>
          <w:sz w:val="24"/>
          <w:szCs w:val="24"/>
        </w:rPr>
        <w:t>。</w:t>
      </w:r>
    </w:p>
    <w:p w14:paraId="455722E1">
      <w:pPr>
        <w:spacing w:before="2" w:line="368" w:lineRule="auto"/>
        <w:ind w:left="20" w:right="200" w:firstLine="481"/>
        <w:rPr>
          <w:rFonts w:ascii="宋体" w:hAnsi="宋体" w:eastAsia="宋体" w:cs="宋体"/>
          <w:sz w:val="24"/>
          <w:szCs w:val="24"/>
        </w:rPr>
      </w:pPr>
      <w:r>
        <w:rPr>
          <w:rFonts w:ascii="宋体" w:hAnsi="宋体" w:eastAsia="宋体" w:cs="宋体"/>
          <w:spacing w:val="-3"/>
          <w:sz w:val="24"/>
          <w:szCs w:val="24"/>
        </w:rPr>
        <w:t>技改后，未收集的粉尘新增量为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1.08t/a</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，未收集的粉尘总量为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1.83t</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，粗</w:t>
      </w:r>
      <w:r>
        <w:rPr>
          <w:rFonts w:ascii="宋体" w:hAnsi="宋体" w:eastAsia="宋体" w:cs="宋体"/>
          <w:sz w:val="24"/>
          <w:szCs w:val="24"/>
        </w:rPr>
        <w:t xml:space="preserve"> </w:t>
      </w:r>
      <w:r>
        <w:rPr>
          <w:rFonts w:ascii="宋体" w:hAnsi="宋体" w:eastAsia="宋体" w:cs="宋体"/>
          <w:spacing w:val="-2"/>
          <w:sz w:val="24"/>
          <w:szCs w:val="24"/>
        </w:rPr>
        <w:t>碎车间全封闭不设置工位及通风设施，抑尘效率约为</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90%</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，无组织粉尘新增排</w:t>
      </w:r>
      <w:r>
        <w:rPr>
          <w:rFonts w:ascii="宋体" w:hAnsi="宋体" w:eastAsia="宋体" w:cs="宋体"/>
          <w:sz w:val="24"/>
          <w:szCs w:val="24"/>
        </w:rPr>
        <w:t xml:space="preserve"> </w:t>
      </w:r>
      <w:r>
        <w:rPr>
          <w:rFonts w:ascii="宋体" w:hAnsi="宋体" w:eastAsia="宋体" w:cs="宋体"/>
          <w:spacing w:val="-3"/>
          <w:sz w:val="24"/>
          <w:szCs w:val="24"/>
        </w:rPr>
        <w:t>放量为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0.108 t/a</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，总排放量</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4"/>
          <w:sz w:val="24"/>
          <w:szCs w:val="24"/>
        </w:rPr>
        <w:t>3t/a</w:t>
      </w:r>
      <w:r>
        <w:rPr>
          <w:rFonts w:ascii="宋体" w:hAnsi="宋体" w:eastAsia="宋体" w:cs="宋体"/>
          <w:spacing w:val="-4"/>
          <w:sz w:val="24"/>
          <w:szCs w:val="24"/>
        </w:rPr>
        <w:t>。</w:t>
      </w:r>
    </w:p>
    <w:p w14:paraId="2948E718">
      <w:pPr>
        <w:spacing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）转运站及中间堆场粉尘</w:t>
      </w:r>
    </w:p>
    <w:p w14:paraId="41055A66">
      <w:pPr>
        <w:spacing w:before="192" w:line="368" w:lineRule="auto"/>
        <w:ind w:left="20" w:firstLine="482"/>
        <w:rPr>
          <w:rFonts w:ascii="宋体" w:hAnsi="宋体" w:eastAsia="宋体" w:cs="宋体"/>
          <w:sz w:val="24"/>
          <w:szCs w:val="24"/>
        </w:rPr>
      </w:pPr>
      <w:r>
        <w:rPr>
          <w:rFonts w:ascii="宋体" w:hAnsi="宋体" w:eastAsia="宋体" w:cs="宋体"/>
          <w:spacing w:val="-5"/>
          <w:sz w:val="24"/>
          <w:szCs w:val="24"/>
        </w:rPr>
        <w:t>现有转运站及中间堆场原矿输送量为</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1400t/d</w:t>
      </w:r>
      <w:r>
        <w:rPr>
          <w:rFonts w:ascii="宋体" w:hAnsi="宋体" w:eastAsia="宋体" w:cs="宋体"/>
          <w:spacing w:val="-5"/>
          <w:sz w:val="24"/>
          <w:szCs w:val="24"/>
        </w:rPr>
        <w:t>，技改工程新增输送量</w:t>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2029t/d</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现有转运站及中间堆场输送设备日运行时间</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5.28h/d</w:t>
      </w:r>
      <w:r>
        <w:rPr>
          <w:rFonts w:ascii="宋体" w:hAnsi="宋体" w:eastAsia="宋体" w:cs="宋体"/>
          <w:spacing w:val="-3"/>
          <w:sz w:val="24"/>
          <w:szCs w:val="24"/>
        </w:rPr>
        <w:t>，本项目依托现有转运站及</w:t>
      </w:r>
      <w:r>
        <w:rPr>
          <w:rFonts w:ascii="宋体" w:hAnsi="宋体" w:eastAsia="宋体" w:cs="宋体"/>
          <w:sz w:val="24"/>
          <w:szCs w:val="24"/>
        </w:rPr>
        <w:t xml:space="preserve">  </w:t>
      </w:r>
      <w:r>
        <w:rPr>
          <w:rFonts w:ascii="宋体" w:hAnsi="宋体" w:eastAsia="宋体" w:cs="宋体"/>
          <w:spacing w:val="21"/>
          <w:sz w:val="24"/>
          <w:szCs w:val="24"/>
        </w:rPr>
        <w:t>中间堆场粉尘处理设施</w:t>
      </w:r>
      <w:r>
        <w:rPr>
          <w:rFonts w:ascii="宋体" w:hAnsi="宋体" w:eastAsia="宋体" w:cs="宋体"/>
          <w:spacing w:val="-61"/>
          <w:sz w:val="24"/>
          <w:szCs w:val="24"/>
        </w:rPr>
        <w:t xml:space="preserve"> </w:t>
      </w:r>
      <w:r>
        <w:rPr>
          <w:rFonts w:ascii="宋体" w:hAnsi="宋体" w:eastAsia="宋体" w:cs="宋体"/>
          <w:spacing w:val="21"/>
          <w:sz w:val="24"/>
          <w:szCs w:val="24"/>
        </w:rPr>
        <w:t>。技改后转运站及中间堆场输送设备运行时间为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12.94h/d</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。参考</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1400t/d </w:t>
      </w:r>
      <w:r>
        <w:rPr>
          <w:rFonts w:ascii="宋体" w:hAnsi="宋体" w:eastAsia="宋体" w:cs="宋体"/>
          <w:spacing w:val="-2"/>
          <w:sz w:val="24"/>
          <w:szCs w:val="24"/>
        </w:rPr>
        <w:t>选矿工程验收监测资料，转运站及中间堆场粉尘收</w:t>
      </w:r>
      <w:r>
        <w:rPr>
          <w:rFonts w:ascii="宋体" w:hAnsi="宋体" w:eastAsia="宋体" w:cs="宋体"/>
          <w:spacing w:val="-3"/>
          <w:sz w:val="24"/>
          <w:szCs w:val="24"/>
        </w:rPr>
        <w:t>集量</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25.73t/a</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，粉尘经现有设备集气罩收集进入滤筒除尘器净化</w:t>
      </w:r>
      <w:r>
        <w:rPr>
          <w:rFonts w:ascii="宋体" w:hAnsi="宋体" w:eastAsia="宋体" w:cs="宋体"/>
          <w:spacing w:val="1"/>
          <w:sz w:val="24"/>
          <w:szCs w:val="24"/>
        </w:rPr>
        <w:t>处理，收集效率</w:t>
      </w:r>
      <w:r>
        <w:rPr>
          <w:rFonts w:ascii="宋体" w:hAnsi="宋体" w:eastAsia="宋体" w:cs="宋体"/>
          <w:sz w:val="24"/>
          <w:szCs w:val="24"/>
        </w:rPr>
        <w:t xml:space="preserve">  </w:t>
      </w:r>
      <w:r>
        <w:rPr>
          <w:rFonts w:ascii="Times New Roman" w:hAnsi="Times New Roman" w:eastAsia="Times New Roman" w:cs="Times New Roman"/>
          <w:spacing w:val="-3"/>
          <w:sz w:val="24"/>
          <w:szCs w:val="24"/>
        </w:rPr>
        <w:t>95%</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，净化效率约</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98.3%</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，处理后的废气通过</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高排气筒</w:t>
      </w:r>
      <w:r>
        <w:rPr>
          <w:rFonts w:ascii="宋体" w:hAnsi="宋体" w:eastAsia="宋体" w:cs="宋体"/>
          <w:spacing w:val="-4"/>
          <w:sz w:val="24"/>
          <w:szCs w:val="24"/>
        </w:rPr>
        <w:t>排放，粉尘排放量</w:t>
      </w:r>
      <w:r>
        <w:rPr>
          <w:rFonts w:ascii="宋体" w:hAnsi="宋体" w:eastAsia="宋体" w:cs="宋体"/>
          <w:sz w:val="24"/>
          <w:szCs w:val="24"/>
        </w:rPr>
        <w:t xml:space="preserve">  </w:t>
      </w:r>
      <w:r>
        <w:rPr>
          <w:rFonts w:ascii="Times New Roman" w:hAnsi="Times New Roman" w:eastAsia="Times New Roman" w:cs="Times New Roman"/>
          <w:spacing w:val="-3"/>
          <w:sz w:val="24"/>
          <w:szCs w:val="24"/>
        </w:rPr>
        <w:t>0.45t/a</w:t>
      </w:r>
      <w:r>
        <w:rPr>
          <w:rFonts w:ascii="宋体" w:hAnsi="宋体" w:eastAsia="宋体" w:cs="宋体"/>
          <w:spacing w:val="-3"/>
          <w:sz w:val="24"/>
          <w:szCs w:val="24"/>
        </w:rPr>
        <w:t>。现有工程转运站及中间堆场粉尘产生量为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27.08 t/a</w:t>
      </w:r>
      <w:r>
        <w:rPr>
          <w:rFonts w:ascii="宋体" w:hAnsi="宋体" w:eastAsia="宋体" w:cs="宋体"/>
          <w:spacing w:val="-3"/>
          <w:sz w:val="24"/>
          <w:szCs w:val="24"/>
        </w:rPr>
        <w:t>，技改工程粉</w:t>
      </w:r>
      <w:r>
        <w:rPr>
          <w:rFonts w:ascii="宋体" w:hAnsi="宋体" w:eastAsia="宋体" w:cs="宋体"/>
          <w:spacing w:val="-4"/>
          <w:sz w:val="24"/>
          <w:szCs w:val="24"/>
        </w:rPr>
        <w:t>尘增加</w:t>
      </w:r>
      <w:r>
        <w:rPr>
          <w:rFonts w:ascii="宋体" w:hAnsi="宋体" w:eastAsia="宋体" w:cs="宋体"/>
          <w:sz w:val="24"/>
          <w:szCs w:val="24"/>
        </w:rPr>
        <w:t xml:space="preserve">  </w:t>
      </w:r>
      <w:r>
        <w:rPr>
          <w:rFonts w:ascii="宋体" w:hAnsi="宋体" w:eastAsia="宋体" w:cs="宋体"/>
          <w:spacing w:val="-3"/>
          <w:sz w:val="24"/>
          <w:szCs w:val="24"/>
        </w:rPr>
        <w:t>量为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39.24t/a</w:t>
      </w:r>
      <w:r>
        <w:rPr>
          <w:rFonts w:ascii="宋体" w:hAnsi="宋体" w:eastAsia="宋体" w:cs="宋体"/>
          <w:spacing w:val="-3"/>
          <w:sz w:val="24"/>
          <w:szCs w:val="24"/>
        </w:rPr>
        <w:t>，技改后粉尘总产生量</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66.32t/a</w:t>
      </w:r>
      <w:r>
        <w:rPr>
          <w:rFonts w:ascii="宋体" w:hAnsi="宋体" w:eastAsia="宋体" w:cs="宋体"/>
          <w:spacing w:val="-3"/>
          <w:sz w:val="24"/>
          <w:szCs w:val="24"/>
        </w:rPr>
        <w:t>，有组织</w:t>
      </w:r>
      <w:r>
        <w:rPr>
          <w:rFonts w:ascii="宋体" w:hAnsi="宋体" w:eastAsia="宋体" w:cs="宋体"/>
          <w:spacing w:val="-4"/>
          <w:sz w:val="24"/>
          <w:szCs w:val="24"/>
        </w:rPr>
        <w:t>粉尘收集量</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63.00t/a</w:t>
      </w:r>
      <w:r>
        <w:rPr>
          <w:rFonts w:ascii="宋体" w:hAnsi="宋体" w:eastAsia="宋体" w:cs="宋体"/>
          <w:spacing w:val="-4"/>
          <w:sz w:val="24"/>
          <w:szCs w:val="24"/>
        </w:rPr>
        <w:t>。有组</w:t>
      </w:r>
      <w:r>
        <w:rPr>
          <w:rFonts w:ascii="宋体" w:hAnsi="宋体" w:eastAsia="宋体" w:cs="宋体"/>
          <w:sz w:val="24"/>
          <w:szCs w:val="24"/>
        </w:rPr>
        <w:t xml:space="preserve">  </w:t>
      </w:r>
      <w:r>
        <w:rPr>
          <w:rFonts w:ascii="宋体" w:hAnsi="宋体" w:eastAsia="宋体" w:cs="宋体"/>
          <w:spacing w:val="-4"/>
          <w:sz w:val="24"/>
          <w:szCs w:val="24"/>
        </w:rPr>
        <w:t>织粉尘新增排放量</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0.65t/a</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，总排放量</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10t/a</w:t>
      </w:r>
      <w:r>
        <w:rPr>
          <w:rFonts w:ascii="宋体" w:hAnsi="宋体" w:eastAsia="宋体" w:cs="宋体"/>
          <w:spacing w:val="-4"/>
          <w:sz w:val="24"/>
          <w:szCs w:val="24"/>
        </w:rPr>
        <w:t>。</w:t>
      </w:r>
    </w:p>
    <w:p w14:paraId="45D7E474">
      <w:pPr>
        <w:spacing w:before="4" w:line="367" w:lineRule="auto"/>
        <w:ind w:left="21" w:right="200" w:firstLine="480"/>
        <w:jc w:val="both"/>
        <w:rPr>
          <w:rFonts w:ascii="宋体" w:hAnsi="宋体" w:eastAsia="宋体" w:cs="宋体"/>
          <w:sz w:val="24"/>
          <w:szCs w:val="24"/>
        </w:rPr>
      </w:pPr>
      <w:r>
        <w:rPr>
          <w:rFonts w:ascii="宋体" w:hAnsi="宋体" w:eastAsia="宋体" w:cs="宋体"/>
          <w:spacing w:val="-3"/>
          <w:sz w:val="24"/>
          <w:szCs w:val="24"/>
        </w:rPr>
        <w:t>技改后，未收集的粉尘新增量为</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1.97t/a</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，未收集的粉尘总量为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3.32t/a</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，转</w:t>
      </w:r>
      <w:r>
        <w:rPr>
          <w:rFonts w:ascii="宋体" w:hAnsi="宋体" w:eastAsia="宋体" w:cs="宋体"/>
          <w:sz w:val="24"/>
          <w:szCs w:val="24"/>
        </w:rPr>
        <w:t xml:space="preserve"> 运站及中间堆场全封闭并采取喷雾抑尘，堆场全封闭</w:t>
      </w:r>
      <w:r>
        <w:rPr>
          <w:rFonts w:ascii="宋体" w:hAnsi="宋体" w:eastAsia="宋体" w:cs="宋体"/>
          <w:spacing w:val="-1"/>
          <w:sz w:val="24"/>
          <w:szCs w:val="24"/>
        </w:rPr>
        <w:t>不设置工位及通风设施，</w:t>
      </w:r>
      <w:r>
        <w:rPr>
          <w:rFonts w:ascii="宋体" w:hAnsi="宋体" w:eastAsia="宋体" w:cs="宋体"/>
          <w:sz w:val="24"/>
          <w:szCs w:val="24"/>
        </w:rPr>
        <w:t xml:space="preserve"> </w:t>
      </w:r>
      <w:r>
        <w:rPr>
          <w:rFonts w:ascii="宋体" w:hAnsi="宋体" w:eastAsia="宋体" w:cs="宋体"/>
          <w:spacing w:val="-2"/>
          <w:sz w:val="24"/>
          <w:szCs w:val="24"/>
        </w:rPr>
        <w:t>抑尘效率约为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90%</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，无组织粉尘新增排放量为</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0.197 t/a</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，总排放量</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0.3</w:t>
      </w:r>
      <w:r>
        <w:rPr>
          <w:rFonts w:ascii="Times New Roman" w:hAnsi="Times New Roman" w:eastAsia="Times New Roman" w:cs="Times New Roman"/>
          <w:spacing w:val="-3"/>
          <w:sz w:val="24"/>
          <w:szCs w:val="24"/>
        </w:rPr>
        <w:t>32t/a</w:t>
      </w:r>
      <w:r>
        <w:rPr>
          <w:rFonts w:ascii="宋体" w:hAnsi="宋体" w:eastAsia="宋体" w:cs="宋体"/>
          <w:spacing w:val="-3"/>
          <w:sz w:val="24"/>
          <w:szCs w:val="24"/>
        </w:rPr>
        <w:t>。</w:t>
      </w:r>
    </w:p>
    <w:p w14:paraId="7A86947D">
      <w:pPr>
        <w:spacing w:before="1"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）加药粉尘</w:t>
      </w:r>
    </w:p>
    <w:p w14:paraId="40856675">
      <w:pPr>
        <w:spacing w:before="194" w:line="219" w:lineRule="auto"/>
        <w:ind w:left="504"/>
        <w:rPr>
          <w:rFonts w:ascii="宋体" w:hAnsi="宋体" w:eastAsia="宋体" w:cs="宋体"/>
          <w:sz w:val="24"/>
          <w:szCs w:val="24"/>
        </w:rPr>
      </w:pPr>
      <w:r>
        <w:rPr>
          <w:rFonts w:ascii="宋体" w:hAnsi="宋体" w:eastAsia="宋体" w:cs="宋体"/>
          <w:spacing w:val="-1"/>
          <w:sz w:val="24"/>
          <w:szCs w:val="24"/>
        </w:rPr>
        <w:t>项目浮选过程投加药品会产生少量加药粉尘，加药系统布置在浮选车间内</w:t>
      </w:r>
    </w:p>
    <w:p w14:paraId="0626AF8A">
      <w:pPr>
        <w:spacing w:line="219" w:lineRule="auto"/>
        <w:rPr>
          <w:rFonts w:ascii="宋体" w:hAnsi="宋体" w:eastAsia="宋体" w:cs="宋体"/>
          <w:sz w:val="24"/>
          <w:szCs w:val="24"/>
        </w:rPr>
        <w:sectPr>
          <w:headerReference r:id="rId141" w:type="default"/>
          <w:footerReference r:id="rId142" w:type="default"/>
          <w:pgSz w:w="11906" w:h="16839"/>
          <w:pgMar w:top="1208" w:right="1748" w:bottom="1358" w:left="1785" w:header="825" w:footer="1195" w:gutter="0"/>
          <w:cols w:space="720" w:num="1"/>
        </w:sectPr>
      </w:pPr>
    </w:p>
    <w:p w14:paraId="7BFFDBF7">
      <w:pPr>
        <w:pStyle w:val="2"/>
        <w:spacing w:line="270" w:lineRule="auto"/>
      </w:pPr>
    </w:p>
    <w:p w14:paraId="2F5DCEB4">
      <w:pPr>
        <w:spacing w:before="78" w:line="219" w:lineRule="auto"/>
        <w:ind w:left="23"/>
        <w:rPr>
          <w:rFonts w:ascii="宋体" w:hAnsi="宋体" w:eastAsia="宋体" w:cs="宋体"/>
          <w:sz w:val="24"/>
          <w:szCs w:val="24"/>
        </w:rPr>
      </w:pPr>
      <w:r>
        <w:rPr>
          <w:rFonts w:ascii="宋体" w:hAnsi="宋体" w:eastAsia="宋体" w:cs="宋体"/>
          <w:spacing w:val="-1"/>
          <w:sz w:val="24"/>
          <w:szCs w:val="24"/>
        </w:rPr>
        <w:t>部，石灰在石灰罐内储存，石灰罐自带仓顶除尘设施，粉尘产生量较小。</w:t>
      </w:r>
    </w:p>
    <w:p w14:paraId="4C853D16">
      <w:pPr>
        <w:spacing w:before="193" w:line="322" w:lineRule="auto"/>
        <w:ind w:left="16" w:right="293" w:firstLine="486"/>
        <w:rPr>
          <w:rFonts w:ascii="宋体" w:hAnsi="宋体" w:eastAsia="宋体" w:cs="宋体"/>
          <w:sz w:val="24"/>
          <w:szCs w:val="24"/>
        </w:rPr>
      </w:pPr>
      <w:r>
        <w:rPr>
          <w:rFonts w:ascii="宋体" w:hAnsi="宋体" w:eastAsia="宋体" w:cs="宋体"/>
          <w:spacing w:val="4"/>
          <w:sz w:val="24"/>
          <w:szCs w:val="24"/>
        </w:rPr>
        <w:t>参考《逸散性工业粉尘控制技术》</w:t>
      </w:r>
      <w:r>
        <w:rPr>
          <w:rFonts w:ascii="宋体" w:hAnsi="宋体" w:eastAsia="宋体" w:cs="宋体"/>
          <w:spacing w:val="-67"/>
          <w:sz w:val="24"/>
          <w:szCs w:val="24"/>
        </w:rPr>
        <w:t xml:space="preserve"> </w:t>
      </w:r>
      <w:r>
        <w:rPr>
          <w:rFonts w:ascii="宋体" w:hAnsi="宋体" w:eastAsia="宋体" w:cs="宋体"/>
          <w:spacing w:val="4"/>
          <w:sz w:val="24"/>
          <w:szCs w:val="24"/>
        </w:rPr>
        <w:t>中粒料装卸产污系</w:t>
      </w:r>
      <w:r>
        <w:rPr>
          <w:rFonts w:ascii="宋体" w:hAnsi="宋体" w:eastAsia="宋体" w:cs="宋体"/>
          <w:spacing w:val="3"/>
          <w:sz w:val="24"/>
          <w:szCs w:val="24"/>
        </w:rPr>
        <w:t>数</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z w:val="24"/>
          <w:szCs w:val="24"/>
        </w:rPr>
        <w:t>kg</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估算，</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技改工程丁基黄药等粉状料用量</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318.99t/a</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，粉尘产生量为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2"/>
          <w:sz w:val="24"/>
          <w:szCs w:val="24"/>
        </w:rPr>
        <w:t>003t/a</w:t>
      </w:r>
      <w:r>
        <w:rPr>
          <w:rFonts w:ascii="宋体" w:hAnsi="宋体" w:eastAsia="宋体" w:cs="宋体"/>
          <w:spacing w:val="-2"/>
          <w:sz w:val="24"/>
          <w:szCs w:val="24"/>
        </w:rPr>
        <w:t>。</w:t>
      </w:r>
    </w:p>
    <w:p w14:paraId="1F685922">
      <w:pPr>
        <w:spacing w:line="386" w:lineRule="auto"/>
        <w:ind w:left="20" w:right="235" w:firstLine="480"/>
        <w:jc w:val="both"/>
        <w:rPr>
          <w:rFonts w:ascii="宋体" w:hAnsi="宋体" w:eastAsia="宋体" w:cs="宋体"/>
          <w:sz w:val="24"/>
          <w:szCs w:val="24"/>
        </w:rPr>
      </w:pPr>
      <w:r>
        <w:rPr>
          <w:rFonts w:ascii="宋体" w:hAnsi="宋体" w:eastAsia="宋体" w:cs="宋体"/>
          <w:sz w:val="24"/>
          <w:szCs w:val="24"/>
        </w:rPr>
        <w:t>仓顶除尘器是一种用在料仓顶部的</w:t>
      </w:r>
      <w:r>
        <w:fldChar w:fldCharType="begin"/>
      </w:r>
      <w:r>
        <w:instrText xml:space="preserve"> HYPERLINK "https://baike.so.com/doc/817286-864365.html" </w:instrText>
      </w:r>
      <w:r>
        <w:fldChar w:fldCharType="separate"/>
      </w:r>
      <w:r>
        <w:rPr>
          <w:rFonts w:ascii="宋体" w:hAnsi="宋体" w:eastAsia="宋体" w:cs="宋体"/>
          <w:sz w:val="24"/>
          <w:szCs w:val="24"/>
        </w:rPr>
        <w:t>除尘设备</w:t>
      </w:r>
      <w:r>
        <w:rPr>
          <w:rFonts w:ascii="宋体" w:hAnsi="宋体" w:eastAsia="宋体" w:cs="宋体"/>
          <w:sz w:val="24"/>
          <w:szCs w:val="24"/>
        </w:rPr>
        <w:fldChar w:fldCharType="end"/>
      </w:r>
      <w:r>
        <w:rPr>
          <w:rFonts w:ascii="宋体" w:hAnsi="宋体" w:eastAsia="宋体" w:cs="宋体"/>
          <w:sz w:val="24"/>
          <w:szCs w:val="24"/>
        </w:rPr>
        <w:t>。通过</w:t>
      </w:r>
      <w:r>
        <w:rPr>
          <w:rFonts w:ascii="宋体" w:hAnsi="宋体" w:eastAsia="宋体" w:cs="宋体"/>
          <w:spacing w:val="-1"/>
          <w:sz w:val="24"/>
          <w:szCs w:val="24"/>
        </w:rPr>
        <w:t>布袋将料仓内漂浮的粉</w:t>
      </w:r>
      <w:r>
        <w:rPr>
          <w:rFonts w:ascii="宋体" w:hAnsi="宋体" w:eastAsia="宋体" w:cs="宋体"/>
          <w:sz w:val="24"/>
          <w:szCs w:val="24"/>
        </w:rPr>
        <w:t xml:space="preserve"> </w:t>
      </w:r>
      <w:r>
        <w:rPr>
          <w:rFonts w:ascii="宋体" w:hAnsi="宋体" w:eastAsia="宋体" w:cs="宋体"/>
          <w:spacing w:val="-2"/>
          <w:sz w:val="24"/>
          <w:szCs w:val="24"/>
        </w:rPr>
        <w:t>尘颗粒隔离开，并将干净的空气排放到大气中。除尘效率可达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99%</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除尘后直</w:t>
      </w:r>
      <w:r>
        <w:rPr>
          <w:rFonts w:ascii="宋体" w:hAnsi="宋体" w:eastAsia="宋体" w:cs="宋体"/>
          <w:sz w:val="24"/>
          <w:szCs w:val="24"/>
        </w:rPr>
        <w:t xml:space="preserve"> </w:t>
      </w:r>
      <w:r>
        <w:rPr>
          <w:rFonts w:ascii="宋体" w:hAnsi="宋体" w:eastAsia="宋体" w:cs="宋体"/>
          <w:spacing w:val="-1"/>
          <w:sz w:val="24"/>
          <w:szCs w:val="24"/>
        </w:rPr>
        <w:t>接排放。参照《逸散性工业粉尘控制技术》中物料装卸产污系数最大为</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2.5kg/t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估算，项目石灰年用量</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1558t/a</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，石灰储罐下料粉尘产生量最大为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3.895t/a</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，排</w:t>
      </w:r>
      <w:r>
        <w:rPr>
          <w:rFonts w:ascii="宋体" w:hAnsi="宋体" w:eastAsia="宋体" w:cs="宋体"/>
          <w:sz w:val="24"/>
          <w:szCs w:val="24"/>
        </w:rPr>
        <w:t xml:space="preserve"> </w:t>
      </w:r>
      <w:r>
        <w:rPr>
          <w:rFonts w:ascii="宋体" w:hAnsi="宋体" w:eastAsia="宋体" w:cs="宋体"/>
          <w:spacing w:val="-2"/>
          <w:sz w:val="24"/>
          <w:szCs w:val="24"/>
        </w:rPr>
        <w:t>放量为</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0.039t/a</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。加药粉尘无组织排放量</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0.042 t/a</w:t>
      </w:r>
      <w:r>
        <w:rPr>
          <w:rFonts w:ascii="宋体" w:hAnsi="宋体" w:eastAsia="宋体" w:cs="宋体"/>
          <w:spacing w:val="-2"/>
          <w:sz w:val="24"/>
          <w:szCs w:val="24"/>
        </w:rPr>
        <w:t>。</w:t>
      </w:r>
    </w:p>
    <w:p w14:paraId="7E682511">
      <w:pPr>
        <w:spacing w:before="3" w:line="368" w:lineRule="auto"/>
        <w:ind w:left="21" w:firstLine="480"/>
        <w:rPr>
          <w:rFonts w:ascii="宋体" w:hAnsi="宋体" w:eastAsia="宋体" w:cs="宋体"/>
          <w:sz w:val="24"/>
          <w:szCs w:val="24"/>
        </w:rPr>
      </w:pPr>
      <w:r>
        <w:rPr>
          <w:rFonts w:ascii="宋体" w:hAnsi="宋体" w:eastAsia="宋体" w:cs="宋体"/>
          <w:spacing w:val="-2"/>
          <w:sz w:val="24"/>
          <w:szCs w:val="24"/>
        </w:rPr>
        <w:t>技改前原有</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1400t/a </w:t>
      </w:r>
      <w:r>
        <w:rPr>
          <w:rFonts w:ascii="宋体" w:hAnsi="宋体" w:eastAsia="宋体" w:cs="宋体"/>
          <w:spacing w:val="-2"/>
          <w:sz w:val="24"/>
          <w:szCs w:val="24"/>
        </w:rPr>
        <w:t>选矿项目丁基黄药等粉状料用量</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320.5t/a</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，粉尘产生量</w:t>
      </w:r>
      <w:r>
        <w:rPr>
          <w:rFonts w:ascii="宋体" w:hAnsi="宋体" w:eastAsia="宋体" w:cs="宋体"/>
          <w:sz w:val="24"/>
          <w:szCs w:val="24"/>
        </w:rPr>
        <w:t xml:space="preserve">   </w:t>
      </w:r>
      <w:r>
        <w:rPr>
          <w:rFonts w:ascii="宋体" w:hAnsi="宋体" w:eastAsia="宋体" w:cs="宋体"/>
          <w:spacing w:val="-3"/>
          <w:sz w:val="24"/>
          <w:szCs w:val="24"/>
        </w:rPr>
        <w:t>为</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0.003t/a</w:t>
      </w:r>
      <w:r>
        <w:rPr>
          <w:rFonts w:ascii="宋体" w:hAnsi="宋体" w:eastAsia="宋体" w:cs="宋体"/>
          <w:spacing w:val="-3"/>
          <w:sz w:val="24"/>
          <w:szCs w:val="24"/>
        </w:rPr>
        <w:t>。技改前原有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1400t/a </w:t>
      </w:r>
      <w:r>
        <w:rPr>
          <w:rFonts w:ascii="宋体" w:hAnsi="宋体" w:eastAsia="宋体" w:cs="宋体"/>
          <w:spacing w:val="-3"/>
          <w:sz w:val="24"/>
          <w:szCs w:val="24"/>
        </w:rPr>
        <w:t>选矿项目石灰年用量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1559t/a</w:t>
      </w:r>
      <w:r>
        <w:rPr>
          <w:rFonts w:ascii="宋体" w:hAnsi="宋体" w:eastAsia="宋体" w:cs="宋体"/>
          <w:spacing w:val="-3"/>
          <w:sz w:val="24"/>
          <w:szCs w:val="24"/>
        </w:rPr>
        <w:t>，石灰储罐下料粉</w:t>
      </w:r>
      <w:r>
        <w:rPr>
          <w:rFonts w:ascii="宋体" w:hAnsi="宋体" w:eastAsia="宋体" w:cs="宋体"/>
          <w:sz w:val="24"/>
          <w:szCs w:val="24"/>
        </w:rPr>
        <w:t xml:space="preserve">   </w:t>
      </w:r>
      <w:r>
        <w:rPr>
          <w:rFonts w:ascii="宋体" w:hAnsi="宋体" w:eastAsia="宋体" w:cs="宋体"/>
          <w:spacing w:val="-2"/>
          <w:sz w:val="24"/>
          <w:szCs w:val="24"/>
        </w:rPr>
        <w:t>尘产生量最大为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3.898t/a</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，排放量为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0.039t/a</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。加药粉尘无组织排放量</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0.042t/a</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项目技改后对原</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 xml:space="preserve">1400t/d </w:t>
      </w:r>
      <w:r>
        <w:rPr>
          <w:rFonts w:ascii="宋体" w:hAnsi="宋体" w:eastAsia="宋体" w:cs="宋体"/>
          <w:sz w:val="24"/>
          <w:szCs w:val="24"/>
        </w:rPr>
        <w:t>选矿工程药剂按技改工程用量进行调整，</w:t>
      </w:r>
      <w:r>
        <w:rPr>
          <w:rFonts w:ascii="宋体" w:hAnsi="宋体" w:eastAsia="宋体" w:cs="宋体"/>
          <w:spacing w:val="-1"/>
          <w:sz w:val="24"/>
          <w:szCs w:val="24"/>
        </w:rPr>
        <w:t>“</w:t>
      </w:r>
      <w:r>
        <w:rPr>
          <w:rFonts w:ascii="宋体" w:hAnsi="宋体" w:eastAsia="宋体" w:cs="宋体"/>
          <w:spacing w:val="-83"/>
          <w:sz w:val="24"/>
          <w:szCs w:val="24"/>
        </w:rPr>
        <w:t xml:space="preserve"> </w:t>
      </w:r>
      <w:r>
        <w:rPr>
          <w:rFonts w:ascii="宋体" w:hAnsi="宋体" w:eastAsia="宋体" w:cs="宋体"/>
          <w:spacing w:val="-1"/>
          <w:sz w:val="24"/>
          <w:szCs w:val="24"/>
        </w:rPr>
        <w:t>以新带老</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实施后，丁基黄药等粉状料用量</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220.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1t/a</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，粉尘产生量为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0.002t/a</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。石灰年用量</w:t>
      </w:r>
      <w:r>
        <w:rPr>
          <w:rFonts w:ascii="宋体" w:hAnsi="宋体" w:eastAsia="宋体" w:cs="宋体"/>
          <w:sz w:val="24"/>
          <w:szCs w:val="24"/>
        </w:rPr>
        <w:t xml:space="preserve">   </w:t>
      </w:r>
      <w:r>
        <w:rPr>
          <w:rFonts w:ascii="宋体" w:hAnsi="宋体" w:eastAsia="宋体" w:cs="宋体"/>
          <w:spacing w:val="-2"/>
          <w:sz w:val="24"/>
          <w:szCs w:val="24"/>
        </w:rPr>
        <w:t>变为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1075t/a</w:t>
      </w:r>
      <w:r>
        <w:rPr>
          <w:rFonts w:ascii="宋体" w:hAnsi="宋体" w:eastAsia="宋体" w:cs="宋体"/>
          <w:spacing w:val="-2"/>
          <w:sz w:val="24"/>
          <w:szCs w:val="24"/>
        </w:rPr>
        <w:t>，石灰储罐下料粉尘产生量最大为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2.688</w:t>
      </w:r>
      <w:r>
        <w:rPr>
          <w:rFonts w:ascii="Times New Roman" w:hAnsi="Times New Roman" w:eastAsia="Times New Roman" w:cs="Times New Roman"/>
          <w:spacing w:val="-3"/>
          <w:sz w:val="24"/>
          <w:szCs w:val="24"/>
        </w:rPr>
        <w:t>t/a</w:t>
      </w:r>
      <w:r>
        <w:rPr>
          <w:rFonts w:ascii="宋体" w:hAnsi="宋体" w:eastAsia="宋体" w:cs="宋体"/>
          <w:spacing w:val="-3"/>
          <w:sz w:val="24"/>
          <w:szCs w:val="24"/>
        </w:rPr>
        <w:t>，排放量为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0.027t/a</w:t>
      </w:r>
      <w:r>
        <w:rPr>
          <w:rFonts w:ascii="宋体" w:hAnsi="宋体" w:eastAsia="宋体" w:cs="宋体"/>
          <w:spacing w:val="-3"/>
          <w:sz w:val="24"/>
          <w:szCs w:val="24"/>
        </w:rPr>
        <w:t>。加</w:t>
      </w:r>
      <w:r>
        <w:rPr>
          <w:rFonts w:ascii="宋体" w:hAnsi="宋体" w:eastAsia="宋体" w:cs="宋体"/>
          <w:sz w:val="24"/>
          <w:szCs w:val="24"/>
        </w:rPr>
        <w:t xml:space="preserve">   </w:t>
      </w:r>
      <w:r>
        <w:rPr>
          <w:rFonts w:ascii="宋体" w:hAnsi="宋体" w:eastAsia="宋体" w:cs="宋体"/>
          <w:spacing w:val="-1"/>
          <w:sz w:val="24"/>
          <w:szCs w:val="24"/>
        </w:rPr>
        <w:t>药粉尘无组织排放量</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0.029t/a</w:t>
      </w:r>
      <w:r>
        <w:rPr>
          <w:rFonts w:ascii="宋体" w:hAnsi="宋体" w:eastAsia="宋体" w:cs="宋体"/>
          <w:spacing w:val="-1"/>
          <w:sz w:val="24"/>
          <w:szCs w:val="24"/>
        </w:rPr>
        <w:t>。</w:t>
      </w:r>
    </w:p>
    <w:p w14:paraId="7559DE0E">
      <w:pPr>
        <w:spacing w:line="368" w:lineRule="auto"/>
        <w:ind w:left="20" w:right="235" w:firstLine="481"/>
        <w:jc w:val="both"/>
        <w:rPr>
          <w:rFonts w:ascii="宋体" w:hAnsi="宋体" w:eastAsia="宋体" w:cs="宋体"/>
          <w:sz w:val="24"/>
          <w:szCs w:val="24"/>
        </w:rPr>
      </w:pPr>
      <w:r>
        <w:rPr>
          <w:rFonts w:ascii="宋体" w:hAnsi="宋体" w:eastAsia="宋体" w:cs="宋体"/>
          <w:sz w:val="24"/>
          <w:szCs w:val="24"/>
        </w:rPr>
        <w:t>技改前原有</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2000t/a </w:t>
      </w:r>
      <w:r>
        <w:rPr>
          <w:rFonts w:ascii="宋体" w:hAnsi="宋体" w:eastAsia="宋体" w:cs="宋体"/>
          <w:sz w:val="24"/>
          <w:szCs w:val="24"/>
        </w:rPr>
        <w:t>选矿项目丁基黄药等粉状料用量</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2230t/a</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，粉尘产生量 </w:t>
      </w:r>
      <w:r>
        <w:rPr>
          <w:rFonts w:ascii="宋体" w:hAnsi="宋体" w:eastAsia="宋体" w:cs="宋体"/>
          <w:spacing w:val="-1"/>
          <w:sz w:val="24"/>
          <w:szCs w:val="24"/>
        </w:rPr>
        <w:t>为</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0.022t/a</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。技改前项目石灰年用量</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3100t/a</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，石灰储罐下料粉尘产生量最大为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7.75t/a</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，排放量为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0.078t/a</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。加药粉尘无组织排放量</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100t/a</w:t>
      </w:r>
      <w:r>
        <w:rPr>
          <w:rFonts w:ascii="宋体" w:hAnsi="宋体" w:eastAsia="宋体" w:cs="宋体"/>
          <w:spacing w:val="-3"/>
          <w:sz w:val="24"/>
          <w:szCs w:val="24"/>
        </w:rPr>
        <w:t>。</w:t>
      </w:r>
    </w:p>
    <w:p w14:paraId="514421DB">
      <w:pPr>
        <w:spacing w:before="2" w:line="369" w:lineRule="auto"/>
        <w:ind w:left="23" w:right="157" w:firstLine="478"/>
        <w:rPr>
          <w:rFonts w:ascii="宋体" w:hAnsi="宋体" w:eastAsia="宋体" w:cs="宋体"/>
          <w:sz w:val="24"/>
          <w:szCs w:val="24"/>
        </w:rPr>
      </w:pPr>
      <w:r>
        <w:rPr>
          <w:rFonts w:ascii="宋体" w:hAnsi="宋体" w:eastAsia="宋体" w:cs="宋体"/>
          <w:spacing w:val="-2"/>
          <w:sz w:val="24"/>
          <w:szCs w:val="24"/>
        </w:rPr>
        <w:t>技改后，药品用量少于原有</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2000t/a </w:t>
      </w:r>
      <w:r>
        <w:rPr>
          <w:rFonts w:ascii="宋体" w:hAnsi="宋体" w:eastAsia="宋体" w:cs="宋体"/>
          <w:spacing w:val="-2"/>
          <w:sz w:val="24"/>
          <w:szCs w:val="24"/>
        </w:rPr>
        <w:t>选矿项目，粉尘在车间内无组织排放。</w:t>
      </w:r>
      <w:r>
        <w:rPr>
          <w:rFonts w:ascii="宋体" w:hAnsi="宋体" w:eastAsia="宋体" w:cs="宋体"/>
          <w:sz w:val="24"/>
          <w:szCs w:val="24"/>
        </w:rPr>
        <w:t xml:space="preserve"> </w:t>
      </w:r>
      <w:r>
        <w:rPr>
          <w:rFonts w:ascii="宋体" w:hAnsi="宋体" w:eastAsia="宋体" w:cs="宋体"/>
          <w:spacing w:val="-2"/>
          <w:sz w:val="24"/>
          <w:szCs w:val="24"/>
        </w:rPr>
        <w:t>厂区粉尘量未增加。</w:t>
      </w:r>
    </w:p>
    <w:p w14:paraId="18CD3686">
      <w:pPr>
        <w:spacing w:line="369" w:lineRule="auto"/>
        <w:rPr>
          <w:rFonts w:ascii="宋体" w:hAnsi="宋体" w:eastAsia="宋体" w:cs="宋体"/>
          <w:sz w:val="24"/>
          <w:szCs w:val="24"/>
        </w:rPr>
        <w:sectPr>
          <w:headerReference r:id="rId143" w:type="default"/>
          <w:footerReference r:id="rId144" w:type="default"/>
          <w:pgSz w:w="11906" w:h="16839"/>
          <w:pgMar w:top="1208" w:right="1713" w:bottom="1358" w:left="1785" w:header="825" w:footer="1195" w:gutter="0"/>
          <w:cols w:space="720" w:num="1"/>
        </w:sectPr>
      </w:pPr>
    </w:p>
    <w:p w14:paraId="35C01AA9">
      <w:pPr>
        <w:pStyle w:val="2"/>
        <w:spacing w:line="287" w:lineRule="auto"/>
      </w:pPr>
    </w:p>
    <w:p w14:paraId="6F859863">
      <w:pPr>
        <w:pStyle w:val="2"/>
        <w:spacing w:line="287" w:lineRule="auto"/>
      </w:pPr>
    </w:p>
    <w:p w14:paraId="3C0D261F">
      <w:pPr>
        <w:spacing w:before="65" w:line="227" w:lineRule="auto"/>
        <w:ind w:left="5049"/>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 xml:space="preserve">5.5-1        </w:t>
      </w:r>
      <w:r>
        <w:rPr>
          <w:rFonts w:ascii="宋体" w:hAnsi="宋体" w:eastAsia="宋体" w:cs="宋体"/>
          <w:spacing w:val="6"/>
          <w:sz w:val="20"/>
          <w:szCs w:val="20"/>
        </w:rPr>
        <w:t>技改后大气污染物产生及排放量</w:t>
      </w:r>
    </w:p>
    <w:p w14:paraId="16EE2AD4">
      <w:pPr>
        <w:spacing w:line="18" w:lineRule="exact"/>
      </w:pPr>
    </w:p>
    <w:tbl>
      <w:tblPr>
        <w:tblStyle w:val="5"/>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851"/>
        <w:gridCol w:w="1275"/>
        <w:gridCol w:w="1133"/>
        <w:gridCol w:w="991"/>
        <w:gridCol w:w="991"/>
        <w:gridCol w:w="992"/>
        <w:gridCol w:w="709"/>
        <w:gridCol w:w="851"/>
        <w:gridCol w:w="850"/>
        <w:gridCol w:w="709"/>
        <w:gridCol w:w="850"/>
        <w:gridCol w:w="822"/>
        <w:gridCol w:w="675"/>
        <w:gridCol w:w="750"/>
        <w:gridCol w:w="472"/>
      </w:tblGrid>
      <w:tr w14:paraId="5B615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246" w:type="dxa"/>
            <w:vMerge w:val="restart"/>
            <w:tcBorders>
              <w:bottom w:val="nil"/>
            </w:tcBorders>
            <w:vAlign w:val="top"/>
          </w:tcPr>
          <w:p w14:paraId="1025D94A">
            <w:pPr>
              <w:spacing w:line="469" w:lineRule="auto"/>
              <w:rPr>
                <w:rFonts w:ascii="Arial"/>
                <w:sz w:val="21"/>
              </w:rPr>
            </w:pPr>
          </w:p>
          <w:p w14:paraId="55897D3D">
            <w:pPr>
              <w:pStyle w:val="6"/>
              <w:spacing w:before="65" w:line="228" w:lineRule="auto"/>
              <w:ind w:left="314"/>
            </w:pPr>
            <w:r>
              <w:rPr>
                <w:spacing w:val="6"/>
              </w:rPr>
              <w:t>污染源</w:t>
            </w:r>
          </w:p>
        </w:tc>
        <w:tc>
          <w:tcPr>
            <w:tcW w:w="851" w:type="dxa"/>
            <w:vMerge w:val="restart"/>
            <w:tcBorders>
              <w:bottom w:val="nil"/>
            </w:tcBorders>
            <w:vAlign w:val="top"/>
          </w:tcPr>
          <w:p w14:paraId="5C0CE3B1">
            <w:pPr>
              <w:spacing w:line="469" w:lineRule="auto"/>
              <w:rPr>
                <w:rFonts w:ascii="Arial"/>
                <w:sz w:val="21"/>
              </w:rPr>
            </w:pPr>
          </w:p>
          <w:p w14:paraId="38319A0B">
            <w:pPr>
              <w:pStyle w:val="6"/>
              <w:spacing w:before="65" w:line="228" w:lineRule="auto"/>
              <w:ind w:left="114"/>
            </w:pPr>
            <w:r>
              <w:rPr>
                <w:spacing w:val="6"/>
              </w:rPr>
              <w:t>污染物</w:t>
            </w:r>
          </w:p>
        </w:tc>
        <w:tc>
          <w:tcPr>
            <w:tcW w:w="1275" w:type="dxa"/>
            <w:vMerge w:val="restart"/>
            <w:tcBorders>
              <w:bottom w:val="nil"/>
            </w:tcBorders>
            <w:vAlign w:val="top"/>
          </w:tcPr>
          <w:p w14:paraId="4DC14433">
            <w:pPr>
              <w:spacing w:line="312" w:lineRule="auto"/>
              <w:rPr>
                <w:rFonts w:ascii="Arial"/>
                <w:sz w:val="21"/>
              </w:rPr>
            </w:pPr>
          </w:p>
          <w:p w14:paraId="5936AF28">
            <w:pPr>
              <w:pStyle w:val="6"/>
              <w:spacing w:before="65" w:line="228" w:lineRule="auto"/>
              <w:ind w:left="118"/>
            </w:pPr>
            <w:r>
              <w:rPr>
                <w:spacing w:val="7"/>
              </w:rPr>
              <w:t>污染防治措</w:t>
            </w:r>
          </w:p>
          <w:p w14:paraId="397384E6">
            <w:pPr>
              <w:pStyle w:val="6"/>
              <w:spacing w:before="71" w:line="231" w:lineRule="auto"/>
              <w:ind w:left="535"/>
            </w:pPr>
            <w:r>
              <w:rPr>
                <w:spacing w:val="1"/>
              </w:rPr>
              <w:t>施</w:t>
            </w:r>
          </w:p>
        </w:tc>
        <w:tc>
          <w:tcPr>
            <w:tcW w:w="1133" w:type="dxa"/>
            <w:vMerge w:val="restart"/>
            <w:tcBorders>
              <w:bottom w:val="nil"/>
            </w:tcBorders>
            <w:vAlign w:val="top"/>
          </w:tcPr>
          <w:p w14:paraId="340674FC">
            <w:pPr>
              <w:spacing w:line="469" w:lineRule="auto"/>
              <w:rPr>
                <w:rFonts w:ascii="Arial"/>
                <w:sz w:val="21"/>
              </w:rPr>
            </w:pPr>
          </w:p>
          <w:p w14:paraId="7E5E1455">
            <w:pPr>
              <w:pStyle w:val="6"/>
              <w:spacing w:before="65" w:line="227" w:lineRule="auto"/>
              <w:ind w:left="154"/>
            </w:pPr>
            <w:r>
              <w:rPr>
                <w:spacing w:val="6"/>
              </w:rPr>
              <w:t>核算方法</w:t>
            </w:r>
          </w:p>
        </w:tc>
        <w:tc>
          <w:tcPr>
            <w:tcW w:w="991" w:type="dxa"/>
            <w:vMerge w:val="restart"/>
            <w:tcBorders>
              <w:bottom w:val="nil"/>
            </w:tcBorders>
            <w:vAlign w:val="top"/>
          </w:tcPr>
          <w:p w14:paraId="45AA7364">
            <w:pPr>
              <w:spacing w:line="311" w:lineRule="auto"/>
              <w:rPr>
                <w:rFonts w:ascii="Arial"/>
                <w:sz w:val="21"/>
              </w:rPr>
            </w:pPr>
          </w:p>
          <w:p w14:paraId="7CE3380F">
            <w:pPr>
              <w:pStyle w:val="6"/>
              <w:spacing w:before="65" w:line="228" w:lineRule="auto"/>
              <w:ind w:left="187"/>
            </w:pPr>
            <w:r>
              <w:rPr>
                <w:spacing w:val="6"/>
              </w:rPr>
              <w:t>产生量</w:t>
            </w:r>
          </w:p>
          <w:p w14:paraId="07C1F455">
            <w:pPr>
              <w:pStyle w:val="6"/>
              <w:spacing w:before="72"/>
              <w:ind w:left="197"/>
            </w:pPr>
            <w:r>
              <w:rPr>
                <w:spacing w:val="-1"/>
              </w:rPr>
              <w:t>（</w:t>
            </w:r>
            <w:r>
              <w:rPr>
                <w:rFonts w:ascii="Times New Roman" w:hAnsi="Times New Roman" w:eastAsia="Times New Roman" w:cs="Times New Roman"/>
                <w:spacing w:val="-1"/>
              </w:rPr>
              <w:t>t/a</w:t>
            </w:r>
            <w:r>
              <w:rPr>
                <w:spacing w:val="-1"/>
              </w:rPr>
              <w:t>）</w:t>
            </w:r>
          </w:p>
        </w:tc>
        <w:tc>
          <w:tcPr>
            <w:tcW w:w="991" w:type="dxa"/>
            <w:vMerge w:val="restart"/>
            <w:tcBorders>
              <w:bottom w:val="nil"/>
            </w:tcBorders>
            <w:vAlign w:val="top"/>
          </w:tcPr>
          <w:p w14:paraId="45C433BA">
            <w:pPr>
              <w:spacing w:line="312" w:lineRule="auto"/>
              <w:rPr>
                <w:rFonts w:ascii="Arial"/>
                <w:sz w:val="21"/>
              </w:rPr>
            </w:pPr>
          </w:p>
          <w:p w14:paraId="63BAFCE1">
            <w:pPr>
              <w:pStyle w:val="6"/>
              <w:spacing w:before="65" w:line="229" w:lineRule="auto"/>
              <w:ind w:left="201"/>
            </w:pPr>
            <w:r>
              <w:rPr>
                <w:spacing w:val="2"/>
              </w:rPr>
              <w:t>削减量</w:t>
            </w:r>
          </w:p>
          <w:p w14:paraId="041C89AC">
            <w:pPr>
              <w:pStyle w:val="6"/>
              <w:spacing w:before="70"/>
              <w:ind w:left="198"/>
            </w:pPr>
            <w:r>
              <w:rPr>
                <w:spacing w:val="-1"/>
              </w:rPr>
              <w:t>（</w:t>
            </w:r>
            <w:r>
              <w:rPr>
                <w:rFonts w:ascii="Times New Roman" w:hAnsi="Times New Roman" w:eastAsia="Times New Roman" w:cs="Times New Roman"/>
                <w:spacing w:val="-1"/>
              </w:rPr>
              <w:t>t/a</w:t>
            </w:r>
            <w:r>
              <w:rPr>
                <w:spacing w:val="-1"/>
              </w:rPr>
              <w:t>）</w:t>
            </w:r>
          </w:p>
        </w:tc>
        <w:tc>
          <w:tcPr>
            <w:tcW w:w="992" w:type="dxa"/>
            <w:vMerge w:val="restart"/>
            <w:tcBorders>
              <w:bottom w:val="nil"/>
            </w:tcBorders>
            <w:vAlign w:val="top"/>
          </w:tcPr>
          <w:p w14:paraId="0ABDAE34">
            <w:pPr>
              <w:spacing w:line="312" w:lineRule="auto"/>
              <w:rPr>
                <w:rFonts w:ascii="Arial"/>
                <w:sz w:val="21"/>
              </w:rPr>
            </w:pPr>
          </w:p>
          <w:p w14:paraId="2BA5EB4F">
            <w:pPr>
              <w:pStyle w:val="6"/>
              <w:spacing w:before="65" w:line="229" w:lineRule="auto"/>
              <w:ind w:left="188"/>
            </w:pPr>
            <w:r>
              <w:rPr>
                <w:spacing w:val="6"/>
              </w:rPr>
              <w:t>排放量</w:t>
            </w:r>
          </w:p>
          <w:p w14:paraId="7E072EBD">
            <w:pPr>
              <w:pStyle w:val="6"/>
              <w:spacing w:before="70"/>
              <w:ind w:left="198"/>
            </w:pPr>
            <w:r>
              <w:t>（</w:t>
            </w:r>
            <w:r>
              <w:rPr>
                <w:rFonts w:ascii="Times New Roman" w:hAnsi="Times New Roman" w:eastAsia="Times New Roman" w:cs="Times New Roman"/>
              </w:rPr>
              <w:t>t/a</w:t>
            </w:r>
            <w:r>
              <w:t>）</w:t>
            </w:r>
          </w:p>
        </w:tc>
        <w:tc>
          <w:tcPr>
            <w:tcW w:w="3969" w:type="dxa"/>
            <w:gridSpan w:val="5"/>
            <w:vAlign w:val="top"/>
          </w:tcPr>
          <w:p w14:paraId="1BFB8B9D">
            <w:pPr>
              <w:pStyle w:val="6"/>
              <w:spacing w:before="59" w:line="228" w:lineRule="auto"/>
              <w:ind w:left="1466"/>
            </w:pPr>
            <w:r>
              <w:rPr>
                <w:spacing w:val="8"/>
              </w:rPr>
              <w:t>排放源参数</w:t>
            </w:r>
          </w:p>
        </w:tc>
        <w:tc>
          <w:tcPr>
            <w:tcW w:w="822" w:type="dxa"/>
            <w:vMerge w:val="restart"/>
            <w:tcBorders>
              <w:bottom w:val="nil"/>
            </w:tcBorders>
            <w:vAlign w:val="top"/>
          </w:tcPr>
          <w:p w14:paraId="72C71562">
            <w:pPr>
              <w:pStyle w:val="6"/>
              <w:spacing w:before="218" w:line="229" w:lineRule="auto"/>
              <w:ind w:left="210"/>
            </w:pPr>
            <w:r>
              <w:rPr>
                <w:spacing w:val="4"/>
              </w:rPr>
              <w:t>面源</w:t>
            </w:r>
          </w:p>
          <w:p w14:paraId="160CA1CB">
            <w:pPr>
              <w:pStyle w:val="6"/>
              <w:spacing w:before="71" w:line="228" w:lineRule="auto"/>
              <w:ind w:left="210"/>
            </w:pPr>
            <w:r>
              <w:rPr>
                <w:spacing w:val="4"/>
              </w:rPr>
              <w:t>面积</w:t>
            </w:r>
          </w:p>
          <w:p w14:paraId="53795774">
            <w:pPr>
              <w:spacing w:before="87" w:line="218"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
                <w:sz w:val="20"/>
                <w:szCs w:val="20"/>
              </w:rPr>
              <w:t>)</w:t>
            </w:r>
          </w:p>
        </w:tc>
        <w:tc>
          <w:tcPr>
            <w:tcW w:w="675" w:type="dxa"/>
            <w:vMerge w:val="restart"/>
            <w:tcBorders>
              <w:bottom w:val="nil"/>
            </w:tcBorders>
            <w:vAlign w:val="top"/>
          </w:tcPr>
          <w:p w14:paraId="0B205C86">
            <w:pPr>
              <w:pStyle w:val="6"/>
              <w:spacing w:before="59" w:line="229" w:lineRule="auto"/>
              <w:ind w:left="133"/>
            </w:pPr>
            <w:r>
              <w:rPr>
                <w:spacing w:val="4"/>
              </w:rPr>
              <w:t>排放</w:t>
            </w:r>
          </w:p>
          <w:p w14:paraId="4E2C3945">
            <w:pPr>
              <w:pStyle w:val="6"/>
              <w:spacing w:before="70" w:line="318" w:lineRule="auto"/>
              <w:ind w:left="145" w:right="126" w:hanging="12"/>
              <w:rPr>
                <w:rFonts w:ascii="Times New Roman" w:hAnsi="Times New Roman" w:eastAsia="Times New Roman" w:cs="Times New Roman"/>
              </w:rPr>
            </w:pPr>
            <w:r>
              <w:rPr>
                <w:spacing w:val="4"/>
              </w:rPr>
              <w:t>浓度</w:t>
            </w:r>
            <w:r>
              <w:t xml:space="preserve"> </w:t>
            </w:r>
            <w:r>
              <w:rPr>
                <w:rFonts w:ascii="Times New Roman" w:hAnsi="Times New Roman" w:eastAsia="Times New Roman" w:cs="Times New Roman"/>
                <w:spacing w:val="4"/>
              </w:rPr>
              <w:t>(</w:t>
            </w:r>
            <w:r>
              <w:rPr>
                <w:rFonts w:ascii="Times New Roman" w:hAnsi="Times New Roman" w:eastAsia="Times New Roman" w:cs="Times New Roman"/>
              </w:rPr>
              <w:t>mg</w:t>
            </w:r>
            <w:r>
              <w:rPr>
                <w:rFonts w:ascii="Times New Roman" w:hAnsi="Times New Roman" w:eastAsia="Times New Roman" w:cs="Times New Roman"/>
                <w:spacing w:val="4"/>
              </w:rPr>
              <w:t>/</w:t>
            </w:r>
          </w:p>
          <w:p w14:paraId="5BC79C63">
            <w:pPr>
              <w:spacing w:before="5" w:line="218"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m</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4"/>
                <w:position w:val="-1"/>
                <w:sz w:val="20"/>
                <w:szCs w:val="20"/>
              </w:rPr>
              <w:t>)</w:t>
            </w:r>
          </w:p>
        </w:tc>
        <w:tc>
          <w:tcPr>
            <w:tcW w:w="750" w:type="dxa"/>
            <w:vMerge w:val="restart"/>
            <w:tcBorders>
              <w:bottom w:val="nil"/>
            </w:tcBorders>
            <w:vAlign w:val="top"/>
          </w:tcPr>
          <w:p w14:paraId="5AF6E1AE">
            <w:pPr>
              <w:pStyle w:val="6"/>
              <w:spacing w:before="218" w:line="229" w:lineRule="auto"/>
              <w:ind w:left="171"/>
            </w:pPr>
            <w:r>
              <w:rPr>
                <w:spacing w:val="4"/>
              </w:rPr>
              <w:t>排放</w:t>
            </w:r>
          </w:p>
          <w:p w14:paraId="65E4BADA">
            <w:pPr>
              <w:pStyle w:val="6"/>
              <w:spacing w:before="70" w:line="228" w:lineRule="auto"/>
              <w:ind w:left="170"/>
            </w:pPr>
            <w:r>
              <w:rPr>
                <w:spacing w:val="5"/>
              </w:rPr>
              <w:t>速率</w:t>
            </w:r>
          </w:p>
          <w:p w14:paraId="26004E97">
            <w:pPr>
              <w:spacing w:before="104" w:line="201"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/h)</w:t>
            </w:r>
          </w:p>
        </w:tc>
        <w:tc>
          <w:tcPr>
            <w:tcW w:w="472" w:type="dxa"/>
            <w:vMerge w:val="restart"/>
            <w:tcBorders>
              <w:bottom w:val="nil"/>
            </w:tcBorders>
            <w:textDirection w:val="tbRlV"/>
            <w:vAlign w:val="top"/>
          </w:tcPr>
          <w:p w14:paraId="05A40A39">
            <w:pPr>
              <w:pStyle w:val="6"/>
              <w:spacing w:before="129" w:line="217" w:lineRule="auto"/>
              <w:ind w:left="59"/>
            </w:pPr>
            <w:r>
              <w:rPr>
                <w:spacing w:val="9"/>
              </w:rPr>
              <w:t>达 标</w:t>
            </w:r>
            <w:r>
              <w:rPr>
                <w:spacing w:val="10"/>
              </w:rPr>
              <w:t xml:space="preserve"> </w:t>
            </w:r>
            <w:r>
              <w:rPr>
                <w:spacing w:val="9"/>
              </w:rPr>
              <w:t>情</w:t>
            </w:r>
            <w:r>
              <w:rPr>
                <w:spacing w:val="10"/>
              </w:rPr>
              <w:t xml:space="preserve"> </w:t>
            </w:r>
            <w:r>
              <w:rPr>
                <w:spacing w:val="9"/>
              </w:rPr>
              <w:t>况</w:t>
            </w:r>
          </w:p>
        </w:tc>
      </w:tr>
      <w:tr w14:paraId="2D3B0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1246" w:type="dxa"/>
            <w:vMerge w:val="continue"/>
            <w:tcBorders>
              <w:top w:val="nil"/>
            </w:tcBorders>
            <w:vAlign w:val="top"/>
          </w:tcPr>
          <w:p w14:paraId="2915EE3D">
            <w:pPr>
              <w:rPr>
                <w:rFonts w:ascii="Arial"/>
                <w:sz w:val="21"/>
              </w:rPr>
            </w:pPr>
          </w:p>
        </w:tc>
        <w:tc>
          <w:tcPr>
            <w:tcW w:w="851" w:type="dxa"/>
            <w:vMerge w:val="continue"/>
            <w:tcBorders>
              <w:top w:val="nil"/>
            </w:tcBorders>
            <w:vAlign w:val="top"/>
          </w:tcPr>
          <w:p w14:paraId="0EF6FB0A">
            <w:pPr>
              <w:rPr>
                <w:rFonts w:ascii="Arial"/>
                <w:sz w:val="21"/>
              </w:rPr>
            </w:pPr>
          </w:p>
        </w:tc>
        <w:tc>
          <w:tcPr>
            <w:tcW w:w="1275" w:type="dxa"/>
            <w:vMerge w:val="continue"/>
            <w:tcBorders>
              <w:top w:val="nil"/>
            </w:tcBorders>
            <w:vAlign w:val="top"/>
          </w:tcPr>
          <w:p w14:paraId="77638EF0">
            <w:pPr>
              <w:rPr>
                <w:rFonts w:ascii="Arial"/>
                <w:sz w:val="21"/>
              </w:rPr>
            </w:pPr>
          </w:p>
        </w:tc>
        <w:tc>
          <w:tcPr>
            <w:tcW w:w="1133" w:type="dxa"/>
            <w:vMerge w:val="continue"/>
            <w:tcBorders>
              <w:top w:val="nil"/>
            </w:tcBorders>
            <w:vAlign w:val="top"/>
          </w:tcPr>
          <w:p w14:paraId="1D9946BB">
            <w:pPr>
              <w:rPr>
                <w:rFonts w:ascii="Arial"/>
                <w:sz w:val="21"/>
              </w:rPr>
            </w:pPr>
          </w:p>
        </w:tc>
        <w:tc>
          <w:tcPr>
            <w:tcW w:w="991" w:type="dxa"/>
            <w:vMerge w:val="continue"/>
            <w:tcBorders>
              <w:top w:val="nil"/>
            </w:tcBorders>
            <w:vAlign w:val="top"/>
          </w:tcPr>
          <w:p w14:paraId="18D83CDA">
            <w:pPr>
              <w:rPr>
                <w:rFonts w:ascii="Arial"/>
                <w:sz w:val="21"/>
              </w:rPr>
            </w:pPr>
          </w:p>
        </w:tc>
        <w:tc>
          <w:tcPr>
            <w:tcW w:w="991" w:type="dxa"/>
            <w:vMerge w:val="continue"/>
            <w:tcBorders>
              <w:top w:val="nil"/>
            </w:tcBorders>
            <w:vAlign w:val="top"/>
          </w:tcPr>
          <w:p w14:paraId="4D8F5EA0">
            <w:pPr>
              <w:rPr>
                <w:rFonts w:ascii="Arial"/>
                <w:sz w:val="21"/>
              </w:rPr>
            </w:pPr>
          </w:p>
        </w:tc>
        <w:tc>
          <w:tcPr>
            <w:tcW w:w="992" w:type="dxa"/>
            <w:vMerge w:val="continue"/>
            <w:tcBorders>
              <w:top w:val="nil"/>
            </w:tcBorders>
            <w:vAlign w:val="top"/>
          </w:tcPr>
          <w:p w14:paraId="71E30B9B">
            <w:pPr>
              <w:rPr>
                <w:rFonts w:ascii="Arial"/>
                <w:sz w:val="21"/>
              </w:rPr>
            </w:pPr>
          </w:p>
        </w:tc>
        <w:tc>
          <w:tcPr>
            <w:tcW w:w="709" w:type="dxa"/>
            <w:vAlign w:val="top"/>
          </w:tcPr>
          <w:p w14:paraId="2F6EFC76">
            <w:pPr>
              <w:pStyle w:val="6"/>
              <w:spacing w:before="207" w:line="228" w:lineRule="auto"/>
              <w:ind w:left="156"/>
            </w:pPr>
            <w:r>
              <w:rPr>
                <w:spacing w:val="2"/>
              </w:rPr>
              <w:t>高度</w:t>
            </w:r>
          </w:p>
          <w:p w14:paraId="4C1D6E6A">
            <w:pPr>
              <w:spacing w:before="104" w:line="201"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851" w:type="dxa"/>
            <w:vAlign w:val="top"/>
          </w:tcPr>
          <w:p w14:paraId="5720DCF4">
            <w:pPr>
              <w:pStyle w:val="6"/>
              <w:spacing w:before="207" w:line="293" w:lineRule="auto"/>
              <w:ind w:left="151" w:right="108" w:hanging="17"/>
              <w:rPr>
                <w:rFonts w:ascii="Times New Roman" w:hAnsi="Times New Roman" w:eastAsia="Times New Roman" w:cs="Times New Roman"/>
              </w:rPr>
            </w:pPr>
            <w:r>
              <w:t>出口温</w:t>
            </w:r>
            <w:r>
              <w:rPr>
                <w:spacing w:val="1"/>
              </w:rPr>
              <w:t xml:space="preserve"> </w:t>
            </w:r>
            <w:r>
              <w:rPr>
                <w:spacing w:val="4"/>
              </w:rPr>
              <w:t>度</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w:t>
            </w:r>
          </w:p>
        </w:tc>
        <w:tc>
          <w:tcPr>
            <w:tcW w:w="850" w:type="dxa"/>
            <w:vAlign w:val="top"/>
          </w:tcPr>
          <w:p w14:paraId="58BD8ADC">
            <w:pPr>
              <w:pStyle w:val="6"/>
              <w:spacing w:before="207" w:line="227" w:lineRule="auto"/>
              <w:ind w:left="118"/>
            </w:pPr>
            <w:r>
              <w:rPr>
                <w:spacing w:val="6"/>
              </w:rPr>
              <w:t>烟气量</w:t>
            </w:r>
          </w:p>
          <w:p w14:paraId="0DF3CED3">
            <w:pPr>
              <w:spacing w:before="89" w:line="218"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709" w:type="dxa"/>
            <w:vAlign w:val="top"/>
          </w:tcPr>
          <w:p w14:paraId="2909EDFB">
            <w:pPr>
              <w:pStyle w:val="6"/>
              <w:spacing w:before="207" w:line="228" w:lineRule="auto"/>
              <w:ind w:left="176"/>
            </w:pPr>
            <w:r>
              <w:rPr>
                <w:spacing w:val="-8"/>
              </w:rPr>
              <w:t>内径</w:t>
            </w:r>
          </w:p>
          <w:p w14:paraId="003D8EA2">
            <w:pPr>
              <w:spacing w:before="104" w:line="201"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850" w:type="dxa"/>
            <w:vAlign w:val="top"/>
          </w:tcPr>
          <w:p w14:paraId="0D64CE42">
            <w:pPr>
              <w:pStyle w:val="6"/>
              <w:spacing w:before="207" w:line="293" w:lineRule="auto"/>
              <w:ind w:left="131" w:right="105" w:hanging="10"/>
              <w:rPr>
                <w:rFonts w:ascii="Times New Roman" w:hAnsi="Times New Roman" w:eastAsia="Times New Roman" w:cs="Times New Roman"/>
              </w:rPr>
            </w:pPr>
            <w:r>
              <w:rPr>
                <w:spacing w:val="6"/>
              </w:rPr>
              <w:t>工作时</w:t>
            </w:r>
            <w:r>
              <w:t xml:space="preserve"> </w:t>
            </w:r>
            <w:r>
              <w:rPr>
                <w:spacing w:val="3"/>
              </w:rPr>
              <w:t>长</w:t>
            </w:r>
            <w:r>
              <w:rPr>
                <w:rFonts w:ascii="Times New Roman" w:hAnsi="Times New Roman" w:eastAsia="Times New Roman" w:cs="Times New Roman"/>
                <w:spacing w:val="3"/>
              </w:rPr>
              <w:t>(h/a)</w:t>
            </w:r>
          </w:p>
        </w:tc>
        <w:tc>
          <w:tcPr>
            <w:tcW w:w="822" w:type="dxa"/>
            <w:vMerge w:val="continue"/>
            <w:tcBorders>
              <w:top w:val="nil"/>
            </w:tcBorders>
            <w:vAlign w:val="top"/>
          </w:tcPr>
          <w:p w14:paraId="0BD111C9">
            <w:pPr>
              <w:rPr>
                <w:rFonts w:ascii="Arial"/>
                <w:sz w:val="21"/>
              </w:rPr>
            </w:pPr>
          </w:p>
        </w:tc>
        <w:tc>
          <w:tcPr>
            <w:tcW w:w="675" w:type="dxa"/>
            <w:vMerge w:val="continue"/>
            <w:tcBorders>
              <w:top w:val="nil"/>
            </w:tcBorders>
            <w:vAlign w:val="top"/>
          </w:tcPr>
          <w:p w14:paraId="315F77C6">
            <w:pPr>
              <w:rPr>
                <w:rFonts w:ascii="Arial"/>
                <w:sz w:val="21"/>
              </w:rPr>
            </w:pPr>
          </w:p>
        </w:tc>
        <w:tc>
          <w:tcPr>
            <w:tcW w:w="750" w:type="dxa"/>
            <w:vMerge w:val="continue"/>
            <w:tcBorders>
              <w:top w:val="nil"/>
            </w:tcBorders>
            <w:vAlign w:val="top"/>
          </w:tcPr>
          <w:p w14:paraId="0AA139FC">
            <w:pPr>
              <w:rPr>
                <w:rFonts w:ascii="Arial"/>
                <w:sz w:val="21"/>
              </w:rPr>
            </w:pPr>
          </w:p>
        </w:tc>
        <w:tc>
          <w:tcPr>
            <w:tcW w:w="472" w:type="dxa"/>
            <w:vMerge w:val="continue"/>
            <w:tcBorders>
              <w:top w:val="nil"/>
            </w:tcBorders>
            <w:textDirection w:val="tbRlV"/>
            <w:vAlign w:val="top"/>
          </w:tcPr>
          <w:p w14:paraId="6BE80F90">
            <w:pPr>
              <w:rPr>
                <w:rFonts w:ascii="Arial"/>
                <w:sz w:val="21"/>
              </w:rPr>
            </w:pPr>
          </w:p>
        </w:tc>
      </w:tr>
      <w:tr w14:paraId="06AE2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246" w:type="dxa"/>
            <w:vAlign w:val="top"/>
          </w:tcPr>
          <w:p w14:paraId="548C5B68">
            <w:pPr>
              <w:pStyle w:val="6"/>
              <w:spacing w:before="55" w:line="228" w:lineRule="auto"/>
              <w:ind w:left="209"/>
            </w:pPr>
            <w:r>
              <w:rPr>
                <w:spacing w:val="7"/>
              </w:rPr>
              <w:t>粗碎车间</w:t>
            </w:r>
          </w:p>
          <w:p w14:paraId="64B49EDE">
            <w:pPr>
              <w:pStyle w:val="6"/>
              <w:spacing w:before="72" w:line="227" w:lineRule="auto"/>
              <w:ind w:left="235"/>
              <w:rPr>
                <w:rFonts w:ascii="Times New Roman" w:hAnsi="Times New Roman" w:eastAsia="Times New Roman" w:cs="Times New Roman"/>
              </w:rPr>
            </w:pPr>
            <w:r>
              <w:rPr>
                <w:spacing w:val="5"/>
              </w:rPr>
              <w:t>排气筒</w:t>
            </w:r>
            <w:r>
              <w:rPr>
                <w:spacing w:val="-23"/>
              </w:rPr>
              <w:t xml:space="preserve"> </w:t>
            </w:r>
            <w:r>
              <w:rPr>
                <w:rFonts w:ascii="Times New Roman" w:hAnsi="Times New Roman" w:eastAsia="Times New Roman" w:cs="Times New Roman"/>
                <w:spacing w:val="5"/>
              </w:rPr>
              <w:t>1</w:t>
            </w:r>
          </w:p>
          <w:p w14:paraId="4066988B">
            <w:pPr>
              <w:pStyle w:val="6"/>
              <w:spacing w:before="73" w:line="228" w:lineRule="auto"/>
              <w:ind w:left="219"/>
            </w:pPr>
            <w:r>
              <w:rPr>
                <w:spacing w:val="2"/>
              </w:rPr>
              <w:t>（现有）</w:t>
            </w:r>
          </w:p>
        </w:tc>
        <w:tc>
          <w:tcPr>
            <w:tcW w:w="851" w:type="dxa"/>
            <w:vAlign w:val="top"/>
          </w:tcPr>
          <w:p w14:paraId="421691C5">
            <w:pPr>
              <w:spacing w:line="307" w:lineRule="auto"/>
              <w:rPr>
                <w:rFonts w:ascii="Arial"/>
                <w:sz w:val="21"/>
              </w:rPr>
            </w:pPr>
          </w:p>
          <w:p w14:paraId="3303D9EF">
            <w:pPr>
              <w:pStyle w:val="6"/>
              <w:spacing w:before="65" w:line="228" w:lineRule="auto"/>
              <w:ind w:left="112"/>
            </w:pPr>
            <w:r>
              <w:rPr>
                <w:spacing w:val="7"/>
              </w:rPr>
              <w:t>颗粒物</w:t>
            </w:r>
          </w:p>
        </w:tc>
        <w:tc>
          <w:tcPr>
            <w:tcW w:w="1275" w:type="dxa"/>
            <w:vAlign w:val="top"/>
          </w:tcPr>
          <w:p w14:paraId="67578F92">
            <w:pPr>
              <w:pStyle w:val="6"/>
              <w:spacing w:before="214" w:line="296" w:lineRule="auto"/>
              <w:ind w:left="225" w:right="158" w:hanging="63"/>
            </w:pPr>
            <w:r>
              <w:rPr>
                <w:spacing w:val="7"/>
              </w:rPr>
              <w:t>集气罩</w:t>
            </w:r>
            <w:r>
              <w:rPr>
                <w:rFonts w:ascii="Times New Roman" w:hAnsi="Times New Roman" w:eastAsia="Times New Roman" w:cs="Times New Roman"/>
                <w:spacing w:val="7"/>
              </w:rPr>
              <w:t>+</w:t>
            </w:r>
            <w:r>
              <w:rPr>
                <w:spacing w:val="7"/>
              </w:rPr>
              <w:t>滤</w:t>
            </w:r>
            <w:r>
              <w:t xml:space="preserve"> </w:t>
            </w:r>
            <w:r>
              <w:rPr>
                <w:spacing w:val="6"/>
              </w:rPr>
              <w:t>筒除尘器</w:t>
            </w:r>
          </w:p>
        </w:tc>
        <w:tc>
          <w:tcPr>
            <w:tcW w:w="1133" w:type="dxa"/>
            <w:vAlign w:val="top"/>
          </w:tcPr>
          <w:p w14:paraId="30D0631F">
            <w:pPr>
              <w:spacing w:line="307" w:lineRule="auto"/>
              <w:rPr>
                <w:rFonts w:ascii="Arial"/>
                <w:sz w:val="21"/>
              </w:rPr>
            </w:pPr>
          </w:p>
          <w:p w14:paraId="76135C12">
            <w:pPr>
              <w:pStyle w:val="6"/>
              <w:spacing w:before="65" w:line="228" w:lineRule="auto"/>
              <w:ind w:left="151"/>
            </w:pPr>
            <w:r>
              <w:rPr>
                <w:spacing w:val="7"/>
              </w:rPr>
              <w:t>验收监测</w:t>
            </w:r>
          </w:p>
        </w:tc>
        <w:tc>
          <w:tcPr>
            <w:tcW w:w="991" w:type="dxa"/>
            <w:vAlign w:val="top"/>
          </w:tcPr>
          <w:p w14:paraId="7BCF2447">
            <w:pPr>
              <w:spacing w:line="351" w:lineRule="auto"/>
              <w:rPr>
                <w:rFonts w:ascii="Arial"/>
                <w:sz w:val="21"/>
              </w:rPr>
            </w:pPr>
          </w:p>
          <w:p w14:paraId="026D1984">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34.78</w:t>
            </w:r>
          </w:p>
        </w:tc>
        <w:tc>
          <w:tcPr>
            <w:tcW w:w="991" w:type="dxa"/>
            <w:vAlign w:val="top"/>
          </w:tcPr>
          <w:p w14:paraId="67AA1C17">
            <w:pPr>
              <w:spacing w:line="351" w:lineRule="auto"/>
              <w:rPr>
                <w:rFonts w:ascii="Arial"/>
                <w:sz w:val="21"/>
              </w:rPr>
            </w:pPr>
          </w:p>
          <w:p w14:paraId="15308308">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34.00</w:t>
            </w:r>
          </w:p>
        </w:tc>
        <w:tc>
          <w:tcPr>
            <w:tcW w:w="992" w:type="dxa"/>
            <w:vAlign w:val="top"/>
          </w:tcPr>
          <w:p w14:paraId="49DC0949">
            <w:pPr>
              <w:spacing w:line="351" w:lineRule="auto"/>
              <w:rPr>
                <w:rFonts w:ascii="Arial"/>
                <w:sz w:val="21"/>
              </w:rPr>
            </w:pPr>
          </w:p>
          <w:p w14:paraId="06E75076">
            <w:pPr>
              <w:spacing w:before="5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c>
          <w:tcPr>
            <w:tcW w:w="709" w:type="dxa"/>
            <w:vAlign w:val="top"/>
          </w:tcPr>
          <w:p w14:paraId="432596CC">
            <w:pPr>
              <w:spacing w:line="351" w:lineRule="auto"/>
              <w:rPr>
                <w:rFonts w:ascii="Arial"/>
                <w:sz w:val="21"/>
              </w:rPr>
            </w:pPr>
          </w:p>
          <w:p w14:paraId="780039C4">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51" w:type="dxa"/>
            <w:vAlign w:val="top"/>
          </w:tcPr>
          <w:p w14:paraId="42CF1D66">
            <w:pPr>
              <w:spacing w:line="308" w:lineRule="auto"/>
              <w:rPr>
                <w:rFonts w:ascii="Arial"/>
                <w:sz w:val="21"/>
              </w:rPr>
            </w:pPr>
          </w:p>
          <w:p w14:paraId="5A6B8F47">
            <w:pPr>
              <w:pStyle w:val="6"/>
              <w:spacing w:before="65" w:line="228" w:lineRule="auto"/>
              <w:ind w:left="227"/>
            </w:pPr>
            <w:r>
              <w:rPr>
                <w:spacing w:val="2"/>
              </w:rPr>
              <w:t>常温</w:t>
            </w:r>
          </w:p>
        </w:tc>
        <w:tc>
          <w:tcPr>
            <w:tcW w:w="850" w:type="dxa"/>
            <w:vAlign w:val="top"/>
          </w:tcPr>
          <w:p w14:paraId="0D48E3FC">
            <w:pPr>
              <w:spacing w:line="351" w:lineRule="auto"/>
              <w:rPr>
                <w:rFonts w:ascii="Arial"/>
                <w:sz w:val="21"/>
              </w:rPr>
            </w:pPr>
          </w:p>
          <w:p w14:paraId="624144AD">
            <w:pPr>
              <w:spacing w:before="5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13000</w:t>
            </w:r>
          </w:p>
        </w:tc>
        <w:tc>
          <w:tcPr>
            <w:tcW w:w="709" w:type="dxa"/>
            <w:vAlign w:val="top"/>
          </w:tcPr>
          <w:p w14:paraId="28E28240">
            <w:pPr>
              <w:spacing w:line="351" w:lineRule="auto"/>
              <w:rPr>
                <w:rFonts w:ascii="Arial"/>
                <w:sz w:val="21"/>
              </w:rPr>
            </w:pPr>
          </w:p>
          <w:p w14:paraId="5C23966B">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50" w:type="dxa"/>
            <w:vAlign w:val="top"/>
          </w:tcPr>
          <w:p w14:paraId="3151B1CD">
            <w:pPr>
              <w:spacing w:line="351" w:lineRule="auto"/>
              <w:rPr>
                <w:rFonts w:ascii="Arial"/>
                <w:sz w:val="21"/>
              </w:rPr>
            </w:pPr>
          </w:p>
          <w:p w14:paraId="48C331CD">
            <w:pPr>
              <w:spacing w:before="5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2717</w:t>
            </w:r>
          </w:p>
        </w:tc>
        <w:tc>
          <w:tcPr>
            <w:tcW w:w="822" w:type="dxa"/>
            <w:vAlign w:val="top"/>
          </w:tcPr>
          <w:p w14:paraId="6360EB57">
            <w:pPr>
              <w:spacing w:line="347" w:lineRule="auto"/>
              <w:rPr>
                <w:rFonts w:ascii="Arial"/>
                <w:sz w:val="21"/>
              </w:rPr>
            </w:pPr>
          </w:p>
          <w:p w14:paraId="012A5135">
            <w:pPr>
              <w:spacing w:before="58" w:line="19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5" w:type="dxa"/>
            <w:vAlign w:val="top"/>
          </w:tcPr>
          <w:p w14:paraId="77056787">
            <w:pPr>
              <w:spacing w:line="351" w:lineRule="auto"/>
              <w:rPr>
                <w:rFonts w:ascii="Arial"/>
                <w:sz w:val="21"/>
              </w:rPr>
            </w:pPr>
          </w:p>
          <w:p w14:paraId="58BEC1F0">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750" w:type="dxa"/>
            <w:vAlign w:val="top"/>
          </w:tcPr>
          <w:p w14:paraId="31ECADC3">
            <w:pPr>
              <w:spacing w:line="351" w:lineRule="auto"/>
              <w:rPr>
                <w:rFonts w:ascii="Arial"/>
                <w:sz w:val="21"/>
              </w:rPr>
            </w:pPr>
          </w:p>
          <w:p w14:paraId="1D00A523">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0.289</w:t>
            </w:r>
          </w:p>
        </w:tc>
        <w:tc>
          <w:tcPr>
            <w:tcW w:w="472" w:type="dxa"/>
            <w:textDirection w:val="tbRlV"/>
            <w:vAlign w:val="top"/>
          </w:tcPr>
          <w:p w14:paraId="6AD0950D">
            <w:pPr>
              <w:pStyle w:val="6"/>
              <w:spacing w:before="129" w:line="217" w:lineRule="auto"/>
              <w:ind w:left="214"/>
            </w:pPr>
            <w:r>
              <w:rPr>
                <w:spacing w:val="8"/>
              </w:rPr>
              <w:t>达</w:t>
            </w:r>
            <w:r>
              <w:rPr>
                <w:spacing w:val="10"/>
              </w:rPr>
              <w:t xml:space="preserve"> </w:t>
            </w:r>
            <w:r>
              <w:rPr>
                <w:spacing w:val="8"/>
              </w:rPr>
              <w:t>标</w:t>
            </w:r>
          </w:p>
        </w:tc>
      </w:tr>
      <w:tr w14:paraId="180D2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246" w:type="dxa"/>
            <w:vAlign w:val="top"/>
          </w:tcPr>
          <w:p w14:paraId="780A3D44">
            <w:pPr>
              <w:pStyle w:val="6"/>
              <w:spacing w:before="57" w:line="228" w:lineRule="auto"/>
              <w:ind w:left="229"/>
            </w:pPr>
            <w:r>
              <w:rPr>
                <w:spacing w:val="2"/>
              </w:rPr>
              <w:t>中间堆场</w:t>
            </w:r>
          </w:p>
          <w:p w14:paraId="2050F915">
            <w:pPr>
              <w:pStyle w:val="6"/>
              <w:spacing w:before="71" w:line="227" w:lineRule="auto"/>
              <w:ind w:left="235"/>
              <w:rPr>
                <w:rFonts w:ascii="Times New Roman" w:hAnsi="Times New Roman" w:eastAsia="Times New Roman" w:cs="Times New Roman"/>
              </w:rPr>
            </w:pPr>
            <w:r>
              <w:rPr>
                <w:spacing w:val="5"/>
              </w:rPr>
              <w:t>排气筒</w:t>
            </w:r>
            <w:r>
              <w:rPr>
                <w:spacing w:val="-43"/>
              </w:rPr>
              <w:t xml:space="preserve"> </w:t>
            </w:r>
            <w:r>
              <w:rPr>
                <w:rFonts w:ascii="Times New Roman" w:hAnsi="Times New Roman" w:eastAsia="Times New Roman" w:cs="Times New Roman"/>
                <w:spacing w:val="5"/>
              </w:rPr>
              <w:t>2</w:t>
            </w:r>
          </w:p>
          <w:p w14:paraId="165A0E64">
            <w:pPr>
              <w:pStyle w:val="6"/>
              <w:spacing w:before="71" w:line="228" w:lineRule="auto"/>
              <w:ind w:left="219"/>
            </w:pPr>
            <w:r>
              <w:rPr>
                <w:spacing w:val="2"/>
              </w:rPr>
              <w:t>（现有）</w:t>
            </w:r>
          </w:p>
        </w:tc>
        <w:tc>
          <w:tcPr>
            <w:tcW w:w="851" w:type="dxa"/>
            <w:vAlign w:val="top"/>
          </w:tcPr>
          <w:p w14:paraId="18E18CA4">
            <w:pPr>
              <w:spacing w:line="309" w:lineRule="auto"/>
              <w:rPr>
                <w:rFonts w:ascii="Arial"/>
                <w:sz w:val="21"/>
              </w:rPr>
            </w:pPr>
          </w:p>
          <w:p w14:paraId="3650B990">
            <w:pPr>
              <w:pStyle w:val="6"/>
              <w:spacing w:before="65" w:line="228" w:lineRule="auto"/>
              <w:ind w:left="112"/>
            </w:pPr>
            <w:r>
              <w:rPr>
                <w:spacing w:val="7"/>
              </w:rPr>
              <w:t>颗粒物</w:t>
            </w:r>
          </w:p>
        </w:tc>
        <w:tc>
          <w:tcPr>
            <w:tcW w:w="1275" w:type="dxa"/>
            <w:vAlign w:val="top"/>
          </w:tcPr>
          <w:p w14:paraId="1FF5EF6F">
            <w:pPr>
              <w:pStyle w:val="6"/>
              <w:spacing w:before="215" w:line="296" w:lineRule="auto"/>
              <w:ind w:left="225" w:right="158" w:hanging="63"/>
            </w:pPr>
            <w:r>
              <w:rPr>
                <w:spacing w:val="7"/>
              </w:rPr>
              <w:t>集气罩</w:t>
            </w:r>
            <w:r>
              <w:rPr>
                <w:rFonts w:ascii="Times New Roman" w:hAnsi="Times New Roman" w:eastAsia="Times New Roman" w:cs="Times New Roman"/>
                <w:spacing w:val="7"/>
              </w:rPr>
              <w:t>+</w:t>
            </w:r>
            <w:r>
              <w:rPr>
                <w:spacing w:val="7"/>
              </w:rPr>
              <w:t>滤</w:t>
            </w:r>
            <w:r>
              <w:t xml:space="preserve"> </w:t>
            </w:r>
            <w:r>
              <w:rPr>
                <w:spacing w:val="6"/>
              </w:rPr>
              <w:t>筒除尘器</w:t>
            </w:r>
          </w:p>
        </w:tc>
        <w:tc>
          <w:tcPr>
            <w:tcW w:w="1133" w:type="dxa"/>
            <w:vAlign w:val="top"/>
          </w:tcPr>
          <w:p w14:paraId="1C3DD7D6">
            <w:pPr>
              <w:spacing w:line="309" w:lineRule="auto"/>
              <w:rPr>
                <w:rFonts w:ascii="Arial"/>
                <w:sz w:val="21"/>
              </w:rPr>
            </w:pPr>
          </w:p>
          <w:p w14:paraId="5C14FDB4">
            <w:pPr>
              <w:pStyle w:val="6"/>
              <w:spacing w:before="65" w:line="228" w:lineRule="auto"/>
              <w:ind w:left="151"/>
            </w:pPr>
            <w:r>
              <w:rPr>
                <w:spacing w:val="7"/>
              </w:rPr>
              <w:t>验收监测</w:t>
            </w:r>
          </w:p>
        </w:tc>
        <w:tc>
          <w:tcPr>
            <w:tcW w:w="991" w:type="dxa"/>
            <w:vAlign w:val="top"/>
          </w:tcPr>
          <w:p w14:paraId="465B7F0C">
            <w:pPr>
              <w:spacing w:line="352" w:lineRule="auto"/>
              <w:rPr>
                <w:rFonts w:ascii="Arial"/>
                <w:sz w:val="21"/>
              </w:rPr>
            </w:pPr>
          </w:p>
          <w:p w14:paraId="5E8B61AB">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63.00</w:t>
            </w:r>
          </w:p>
        </w:tc>
        <w:tc>
          <w:tcPr>
            <w:tcW w:w="991" w:type="dxa"/>
            <w:vAlign w:val="top"/>
          </w:tcPr>
          <w:p w14:paraId="6E287263">
            <w:pPr>
              <w:spacing w:line="352" w:lineRule="auto"/>
              <w:rPr>
                <w:rFonts w:ascii="Arial"/>
                <w:sz w:val="21"/>
              </w:rPr>
            </w:pPr>
          </w:p>
          <w:p w14:paraId="2A268E87">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61.90</w:t>
            </w:r>
          </w:p>
        </w:tc>
        <w:tc>
          <w:tcPr>
            <w:tcW w:w="992" w:type="dxa"/>
            <w:vAlign w:val="top"/>
          </w:tcPr>
          <w:p w14:paraId="092884C8">
            <w:pPr>
              <w:spacing w:line="352" w:lineRule="auto"/>
              <w:rPr>
                <w:rFonts w:ascii="Arial"/>
                <w:sz w:val="21"/>
              </w:rPr>
            </w:pPr>
          </w:p>
          <w:p w14:paraId="0C8CDC8A">
            <w:pPr>
              <w:spacing w:before="58"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709" w:type="dxa"/>
            <w:vAlign w:val="top"/>
          </w:tcPr>
          <w:p w14:paraId="734F46EF">
            <w:pPr>
              <w:spacing w:line="352" w:lineRule="auto"/>
              <w:rPr>
                <w:rFonts w:ascii="Arial"/>
                <w:sz w:val="21"/>
              </w:rPr>
            </w:pPr>
          </w:p>
          <w:p w14:paraId="54CEACC9">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51" w:type="dxa"/>
            <w:vAlign w:val="top"/>
          </w:tcPr>
          <w:p w14:paraId="3E65A13A">
            <w:pPr>
              <w:spacing w:line="309" w:lineRule="auto"/>
              <w:rPr>
                <w:rFonts w:ascii="Arial"/>
                <w:sz w:val="21"/>
              </w:rPr>
            </w:pPr>
          </w:p>
          <w:p w14:paraId="55E30740">
            <w:pPr>
              <w:pStyle w:val="6"/>
              <w:spacing w:before="65" w:line="228" w:lineRule="auto"/>
              <w:ind w:left="227"/>
            </w:pPr>
            <w:r>
              <w:rPr>
                <w:spacing w:val="2"/>
              </w:rPr>
              <w:t>常温</w:t>
            </w:r>
          </w:p>
        </w:tc>
        <w:tc>
          <w:tcPr>
            <w:tcW w:w="850" w:type="dxa"/>
            <w:vAlign w:val="top"/>
          </w:tcPr>
          <w:p w14:paraId="46C5D2E9">
            <w:pPr>
              <w:spacing w:line="352" w:lineRule="auto"/>
              <w:rPr>
                <w:rFonts w:ascii="Arial"/>
                <w:sz w:val="21"/>
              </w:rPr>
            </w:pPr>
          </w:p>
          <w:p w14:paraId="53612C03">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709" w:type="dxa"/>
            <w:vAlign w:val="top"/>
          </w:tcPr>
          <w:p w14:paraId="2792A45D">
            <w:pPr>
              <w:spacing w:line="352" w:lineRule="auto"/>
              <w:rPr>
                <w:rFonts w:ascii="Arial"/>
                <w:sz w:val="21"/>
              </w:rPr>
            </w:pPr>
          </w:p>
          <w:p w14:paraId="03B5FA97">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50" w:type="dxa"/>
            <w:vAlign w:val="top"/>
          </w:tcPr>
          <w:p w14:paraId="02BDB9BE">
            <w:pPr>
              <w:spacing w:line="352" w:lineRule="auto"/>
              <w:rPr>
                <w:rFonts w:ascii="Arial"/>
                <w:sz w:val="21"/>
              </w:rPr>
            </w:pPr>
          </w:p>
          <w:p w14:paraId="21FB8F21">
            <w:pPr>
              <w:spacing w:before="5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2717</w:t>
            </w:r>
          </w:p>
        </w:tc>
        <w:tc>
          <w:tcPr>
            <w:tcW w:w="822" w:type="dxa"/>
            <w:vAlign w:val="top"/>
          </w:tcPr>
          <w:p w14:paraId="5CE5AA2A">
            <w:pPr>
              <w:spacing w:line="348" w:lineRule="auto"/>
              <w:rPr>
                <w:rFonts w:ascii="Arial"/>
                <w:sz w:val="21"/>
              </w:rPr>
            </w:pPr>
          </w:p>
          <w:p w14:paraId="1977ED66">
            <w:pPr>
              <w:spacing w:before="58" w:line="19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5" w:type="dxa"/>
            <w:vAlign w:val="top"/>
          </w:tcPr>
          <w:p w14:paraId="23C7D424">
            <w:pPr>
              <w:spacing w:line="352" w:lineRule="auto"/>
              <w:rPr>
                <w:rFonts w:ascii="Arial"/>
                <w:sz w:val="21"/>
              </w:rPr>
            </w:pPr>
          </w:p>
          <w:p w14:paraId="61B15E83">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c>
          <w:tcPr>
            <w:tcW w:w="750" w:type="dxa"/>
            <w:vAlign w:val="top"/>
          </w:tcPr>
          <w:p w14:paraId="2854DAFF">
            <w:pPr>
              <w:spacing w:line="352" w:lineRule="auto"/>
              <w:rPr>
                <w:rFonts w:ascii="Arial"/>
                <w:sz w:val="21"/>
              </w:rPr>
            </w:pPr>
          </w:p>
          <w:p w14:paraId="7E2E32C0">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0.404</w:t>
            </w:r>
          </w:p>
        </w:tc>
        <w:tc>
          <w:tcPr>
            <w:tcW w:w="472" w:type="dxa"/>
            <w:textDirection w:val="tbRlV"/>
            <w:vAlign w:val="top"/>
          </w:tcPr>
          <w:p w14:paraId="6C97E31A">
            <w:pPr>
              <w:pStyle w:val="6"/>
              <w:spacing w:before="129" w:line="217" w:lineRule="auto"/>
              <w:ind w:left="215"/>
            </w:pPr>
            <w:r>
              <w:rPr>
                <w:spacing w:val="8"/>
              </w:rPr>
              <w:t>达</w:t>
            </w:r>
            <w:r>
              <w:rPr>
                <w:spacing w:val="11"/>
              </w:rPr>
              <w:t xml:space="preserve"> </w:t>
            </w:r>
            <w:r>
              <w:rPr>
                <w:spacing w:val="8"/>
              </w:rPr>
              <w:t>标</w:t>
            </w:r>
          </w:p>
        </w:tc>
      </w:tr>
      <w:tr w14:paraId="49E55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246" w:type="dxa"/>
            <w:vAlign w:val="top"/>
          </w:tcPr>
          <w:p w14:paraId="1038F0E8">
            <w:pPr>
              <w:pStyle w:val="6"/>
              <w:spacing w:before="57" w:line="265" w:lineRule="auto"/>
              <w:ind w:left="313" w:right="201" w:hanging="104"/>
            </w:pPr>
            <w:r>
              <w:rPr>
                <w:spacing w:val="7"/>
              </w:rPr>
              <w:t>粗碎车间</w:t>
            </w:r>
            <w:r>
              <w:t xml:space="preserve"> </w:t>
            </w:r>
            <w:r>
              <w:rPr>
                <w:spacing w:val="6"/>
              </w:rPr>
              <w:t>无组织</w:t>
            </w:r>
          </w:p>
        </w:tc>
        <w:tc>
          <w:tcPr>
            <w:tcW w:w="851" w:type="dxa"/>
            <w:vAlign w:val="top"/>
          </w:tcPr>
          <w:p w14:paraId="790C5624">
            <w:pPr>
              <w:pStyle w:val="6"/>
              <w:spacing w:before="216" w:line="228" w:lineRule="auto"/>
              <w:ind w:left="112"/>
            </w:pPr>
            <w:r>
              <w:rPr>
                <w:spacing w:val="7"/>
              </w:rPr>
              <w:t>颗粒物</w:t>
            </w:r>
          </w:p>
        </w:tc>
        <w:tc>
          <w:tcPr>
            <w:tcW w:w="1275" w:type="dxa"/>
            <w:vAlign w:val="top"/>
          </w:tcPr>
          <w:p w14:paraId="41C64ABB">
            <w:pPr>
              <w:pStyle w:val="6"/>
              <w:spacing w:before="216" w:line="228" w:lineRule="auto"/>
              <w:ind w:left="223"/>
            </w:pPr>
            <w:r>
              <w:rPr>
                <w:spacing w:val="6"/>
              </w:rPr>
              <w:t>车间封闭</w:t>
            </w:r>
          </w:p>
        </w:tc>
        <w:tc>
          <w:tcPr>
            <w:tcW w:w="1133" w:type="dxa"/>
            <w:vAlign w:val="top"/>
          </w:tcPr>
          <w:p w14:paraId="71CD2A88">
            <w:pPr>
              <w:pStyle w:val="6"/>
              <w:spacing w:before="217" w:line="228" w:lineRule="auto"/>
              <w:ind w:left="151"/>
            </w:pPr>
            <w:r>
              <w:rPr>
                <w:spacing w:val="7"/>
              </w:rPr>
              <w:t>物料平衡</w:t>
            </w:r>
          </w:p>
        </w:tc>
        <w:tc>
          <w:tcPr>
            <w:tcW w:w="991" w:type="dxa"/>
            <w:vAlign w:val="top"/>
          </w:tcPr>
          <w:p w14:paraId="471A7B33">
            <w:pPr>
              <w:spacing w:before="252"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w:t>
            </w:r>
          </w:p>
        </w:tc>
        <w:tc>
          <w:tcPr>
            <w:tcW w:w="991" w:type="dxa"/>
            <w:vAlign w:val="top"/>
          </w:tcPr>
          <w:p w14:paraId="7F1B3E1C">
            <w:pPr>
              <w:spacing w:before="25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1.647</w:t>
            </w:r>
          </w:p>
        </w:tc>
        <w:tc>
          <w:tcPr>
            <w:tcW w:w="992" w:type="dxa"/>
            <w:vAlign w:val="top"/>
          </w:tcPr>
          <w:p w14:paraId="532216AA">
            <w:pPr>
              <w:spacing w:before="25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0.183</w:t>
            </w:r>
          </w:p>
        </w:tc>
        <w:tc>
          <w:tcPr>
            <w:tcW w:w="709" w:type="dxa"/>
            <w:vAlign w:val="top"/>
          </w:tcPr>
          <w:p w14:paraId="0FA32804">
            <w:pPr>
              <w:spacing w:before="252"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51" w:type="dxa"/>
            <w:vAlign w:val="top"/>
          </w:tcPr>
          <w:p w14:paraId="58C51057">
            <w:pPr>
              <w:spacing w:before="248" w:line="19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50CEE781">
            <w:pPr>
              <w:spacing w:before="248" w:line="199"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18C91F2C">
            <w:pPr>
              <w:spacing w:before="248"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256E7FB0">
            <w:pPr>
              <w:spacing w:before="25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2717</w:t>
            </w:r>
          </w:p>
        </w:tc>
        <w:tc>
          <w:tcPr>
            <w:tcW w:w="822" w:type="dxa"/>
            <w:vAlign w:val="top"/>
          </w:tcPr>
          <w:p w14:paraId="74BAE61D">
            <w:pPr>
              <w:pStyle w:val="6"/>
              <w:spacing w:before="216" w:line="265" w:lineRule="exact"/>
              <w:ind w:left="173"/>
              <w:rPr>
                <w:rFonts w:ascii="Times New Roman" w:hAnsi="Times New Roman" w:eastAsia="Times New Roman" w:cs="Times New Roman"/>
              </w:rPr>
            </w:pPr>
            <w:r>
              <w:rPr>
                <w:rFonts w:ascii="Times New Roman" w:hAnsi="Times New Roman" w:eastAsia="Times New Roman" w:cs="Times New Roman"/>
                <w:position w:val="1"/>
              </w:rPr>
              <w:t>15</w:t>
            </w:r>
            <w:r>
              <w:rPr>
                <w:position w:val="1"/>
              </w:rPr>
              <w:t>×</w:t>
            </w:r>
            <w:r>
              <w:rPr>
                <w:rFonts w:ascii="Times New Roman" w:hAnsi="Times New Roman" w:eastAsia="Times New Roman" w:cs="Times New Roman"/>
                <w:position w:val="1"/>
              </w:rPr>
              <w:t>9</w:t>
            </w:r>
          </w:p>
        </w:tc>
        <w:tc>
          <w:tcPr>
            <w:tcW w:w="675" w:type="dxa"/>
            <w:vAlign w:val="top"/>
          </w:tcPr>
          <w:p w14:paraId="6CDA0F5A">
            <w:pPr>
              <w:spacing w:before="248"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50" w:type="dxa"/>
            <w:vAlign w:val="top"/>
          </w:tcPr>
          <w:p w14:paraId="19833B33">
            <w:pPr>
              <w:spacing w:before="252"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c>
          <w:tcPr>
            <w:tcW w:w="472" w:type="dxa"/>
            <w:textDirection w:val="tbRlV"/>
            <w:vAlign w:val="top"/>
          </w:tcPr>
          <w:p w14:paraId="3435144C">
            <w:pPr>
              <w:pStyle w:val="6"/>
              <w:spacing w:before="129" w:line="217" w:lineRule="auto"/>
              <w:ind w:left="58"/>
            </w:pPr>
            <w:r>
              <w:rPr>
                <w:spacing w:val="8"/>
              </w:rPr>
              <w:t>达 标</w:t>
            </w:r>
          </w:p>
        </w:tc>
      </w:tr>
      <w:tr w14:paraId="49B14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246" w:type="dxa"/>
            <w:vAlign w:val="top"/>
          </w:tcPr>
          <w:p w14:paraId="7445D306">
            <w:pPr>
              <w:pStyle w:val="6"/>
              <w:spacing w:before="60" w:line="264" w:lineRule="auto"/>
              <w:ind w:left="314" w:right="201" w:hanging="85"/>
            </w:pPr>
            <w:r>
              <w:rPr>
                <w:spacing w:val="2"/>
              </w:rPr>
              <w:t>中间堆场</w:t>
            </w:r>
            <w:r>
              <w:t xml:space="preserve"> </w:t>
            </w:r>
            <w:r>
              <w:rPr>
                <w:spacing w:val="6"/>
              </w:rPr>
              <w:t>无组织</w:t>
            </w:r>
          </w:p>
        </w:tc>
        <w:tc>
          <w:tcPr>
            <w:tcW w:w="851" w:type="dxa"/>
            <w:vAlign w:val="top"/>
          </w:tcPr>
          <w:p w14:paraId="60686ED2">
            <w:pPr>
              <w:pStyle w:val="6"/>
              <w:spacing w:before="217" w:line="228" w:lineRule="auto"/>
              <w:ind w:left="112"/>
            </w:pPr>
            <w:r>
              <w:rPr>
                <w:spacing w:val="7"/>
              </w:rPr>
              <w:t>颗粒物</w:t>
            </w:r>
          </w:p>
        </w:tc>
        <w:tc>
          <w:tcPr>
            <w:tcW w:w="1275" w:type="dxa"/>
            <w:vAlign w:val="top"/>
          </w:tcPr>
          <w:p w14:paraId="10CB73C7">
            <w:pPr>
              <w:pStyle w:val="6"/>
              <w:spacing w:before="60" w:line="264" w:lineRule="auto"/>
              <w:ind w:left="229" w:right="158" w:hanging="66"/>
            </w:pPr>
            <w:r>
              <w:rPr>
                <w:spacing w:val="7"/>
              </w:rPr>
              <w:t>车间封闭</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5"/>
              </w:rPr>
              <w:t>喷雾抑尘</w:t>
            </w:r>
          </w:p>
        </w:tc>
        <w:tc>
          <w:tcPr>
            <w:tcW w:w="1133" w:type="dxa"/>
            <w:vAlign w:val="top"/>
          </w:tcPr>
          <w:p w14:paraId="6D41CEF1">
            <w:pPr>
              <w:pStyle w:val="6"/>
              <w:spacing w:before="218" w:line="228" w:lineRule="auto"/>
              <w:ind w:left="151"/>
            </w:pPr>
            <w:r>
              <w:rPr>
                <w:spacing w:val="7"/>
              </w:rPr>
              <w:t>物料平衡</w:t>
            </w:r>
          </w:p>
        </w:tc>
        <w:tc>
          <w:tcPr>
            <w:tcW w:w="991" w:type="dxa"/>
            <w:vAlign w:val="top"/>
          </w:tcPr>
          <w:p w14:paraId="674B3A6A">
            <w:pPr>
              <w:spacing w:before="253"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3.32</w:t>
            </w:r>
          </w:p>
        </w:tc>
        <w:tc>
          <w:tcPr>
            <w:tcW w:w="991" w:type="dxa"/>
            <w:vAlign w:val="top"/>
          </w:tcPr>
          <w:p w14:paraId="68E54754">
            <w:pPr>
              <w:spacing w:before="253"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2.988</w:t>
            </w:r>
          </w:p>
        </w:tc>
        <w:tc>
          <w:tcPr>
            <w:tcW w:w="992" w:type="dxa"/>
            <w:vAlign w:val="top"/>
          </w:tcPr>
          <w:p w14:paraId="485B9D68">
            <w:pPr>
              <w:spacing w:before="25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0.332</w:t>
            </w:r>
          </w:p>
        </w:tc>
        <w:tc>
          <w:tcPr>
            <w:tcW w:w="709" w:type="dxa"/>
            <w:vAlign w:val="top"/>
          </w:tcPr>
          <w:p w14:paraId="02B8377D">
            <w:pPr>
              <w:spacing w:before="25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51" w:type="dxa"/>
            <w:vAlign w:val="top"/>
          </w:tcPr>
          <w:p w14:paraId="6B42E976">
            <w:pPr>
              <w:spacing w:before="249" w:line="19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19C785C1">
            <w:pPr>
              <w:spacing w:before="249" w:line="199"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788A709">
            <w:pPr>
              <w:spacing w:before="249"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609B6800">
            <w:pPr>
              <w:spacing w:before="25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2717</w:t>
            </w:r>
          </w:p>
        </w:tc>
        <w:tc>
          <w:tcPr>
            <w:tcW w:w="822" w:type="dxa"/>
            <w:vAlign w:val="top"/>
          </w:tcPr>
          <w:p w14:paraId="6672B5DA">
            <w:pPr>
              <w:pStyle w:val="6"/>
              <w:spacing w:before="59" w:line="265" w:lineRule="exact"/>
              <w:ind w:left="211"/>
            </w:pPr>
            <w:r>
              <w:rPr>
                <w:rFonts w:ascii="Times New Roman" w:hAnsi="Times New Roman" w:eastAsia="Times New Roman" w:cs="Times New Roman"/>
                <w:spacing w:val="2"/>
                <w:position w:val="1"/>
              </w:rPr>
              <w:t>56</w:t>
            </w:r>
            <w:r>
              <w:rPr>
                <w:spacing w:val="2"/>
                <w:position w:val="1"/>
              </w:rPr>
              <w:t>×</w:t>
            </w:r>
          </w:p>
          <w:p w14:paraId="6389468C">
            <w:pPr>
              <w:spacing w:before="88"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75" w:type="dxa"/>
            <w:vAlign w:val="top"/>
          </w:tcPr>
          <w:p w14:paraId="69DBA113">
            <w:pPr>
              <w:spacing w:before="249"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50" w:type="dxa"/>
            <w:vAlign w:val="top"/>
          </w:tcPr>
          <w:p w14:paraId="79C684CD">
            <w:pPr>
              <w:spacing w:before="25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122</w:t>
            </w:r>
          </w:p>
        </w:tc>
        <w:tc>
          <w:tcPr>
            <w:tcW w:w="472" w:type="dxa"/>
            <w:textDirection w:val="tbRlV"/>
            <w:vAlign w:val="top"/>
          </w:tcPr>
          <w:p w14:paraId="2AF6C84B">
            <w:pPr>
              <w:pStyle w:val="6"/>
              <w:spacing w:before="129" w:line="217" w:lineRule="auto"/>
              <w:ind w:left="59"/>
            </w:pPr>
            <w:r>
              <w:rPr>
                <w:spacing w:val="8"/>
              </w:rPr>
              <w:t>达 标</w:t>
            </w:r>
          </w:p>
        </w:tc>
      </w:tr>
      <w:tr w14:paraId="3D57B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1246" w:type="dxa"/>
            <w:vAlign w:val="top"/>
          </w:tcPr>
          <w:p w14:paraId="2966DBDD">
            <w:pPr>
              <w:pStyle w:val="6"/>
              <w:spacing w:before="60" w:line="228" w:lineRule="auto"/>
              <w:ind w:left="211"/>
            </w:pPr>
            <w:r>
              <w:rPr>
                <w:spacing w:val="6"/>
              </w:rPr>
              <w:t>浮选车间</w:t>
            </w:r>
          </w:p>
          <w:p w14:paraId="66B153ED">
            <w:pPr>
              <w:pStyle w:val="6"/>
              <w:spacing w:before="69" w:line="265" w:lineRule="auto"/>
              <w:ind w:left="313" w:right="201" w:hanging="104"/>
            </w:pPr>
            <w:r>
              <w:rPr>
                <w:spacing w:val="7"/>
              </w:rPr>
              <w:t>加药粉尘</w:t>
            </w:r>
            <w:r>
              <w:t xml:space="preserve"> </w:t>
            </w:r>
            <w:r>
              <w:rPr>
                <w:spacing w:val="6"/>
              </w:rPr>
              <w:t>无组织</w:t>
            </w:r>
          </w:p>
        </w:tc>
        <w:tc>
          <w:tcPr>
            <w:tcW w:w="851" w:type="dxa"/>
            <w:vAlign w:val="top"/>
          </w:tcPr>
          <w:p w14:paraId="7E783BB2">
            <w:pPr>
              <w:spacing w:line="309" w:lineRule="auto"/>
              <w:rPr>
                <w:rFonts w:ascii="Arial"/>
                <w:sz w:val="21"/>
              </w:rPr>
            </w:pPr>
          </w:p>
          <w:p w14:paraId="21E054BE">
            <w:pPr>
              <w:pStyle w:val="6"/>
              <w:spacing w:before="65" w:line="228" w:lineRule="auto"/>
              <w:ind w:left="112"/>
            </w:pPr>
            <w:r>
              <w:rPr>
                <w:spacing w:val="7"/>
              </w:rPr>
              <w:t>颗粒物</w:t>
            </w:r>
          </w:p>
        </w:tc>
        <w:tc>
          <w:tcPr>
            <w:tcW w:w="1275" w:type="dxa"/>
            <w:vAlign w:val="top"/>
          </w:tcPr>
          <w:p w14:paraId="38C02C40">
            <w:pPr>
              <w:pStyle w:val="6"/>
              <w:spacing w:before="60" w:line="228" w:lineRule="auto"/>
              <w:ind w:left="163"/>
              <w:rPr>
                <w:rFonts w:ascii="Times New Roman" w:hAnsi="Times New Roman" w:eastAsia="Times New Roman" w:cs="Times New Roman"/>
              </w:rPr>
            </w:pPr>
            <w:r>
              <w:rPr>
                <w:spacing w:val="7"/>
              </w:rPr>
              <w:t>车间封闭</w:t>
            </w:r>
            <w:r>
              <w:rPr>
                <w:rFonts w:ascii="Times New Roman" w:hAnsi="Times New Roman" w:eastAsia="Times New Roman" w:cs="Times New Roman"/>
                <w:spacing w:val="7"/>
              </w:rPr>
              <w:t>+</w:t>
            </w:r>
          </w:p>
          <w:p w14:paraId="336EE9DF">
            <w:pPr>
              <w:pStyle w:val="6"/>
              <w:spacing w:before="70" w:line="227" w:lineRule="auto"/>
              <w:ind w:left="117"/>
            </w:pPr>
            <w:r>
              <w:rPr>
                <w:spacing w:val="7"/>
              </w:rPr>
              <w:t>石灰仓顶除</w:t>
            </w:r>
          </w:p>
          <w:p w14:paraId="42E6FDC4">
            <w:pPr>
              <w:pStyle w:val="6"/>
              <w:spacing w:before="73" w:line="233" w:lineRule="auto"/>
              <w:ind w:left="432"/>
            </w:pPr>
            <w:r>
              <w:rPr>
                <w:spacing w:val="3"/>
              </w:rPr>
              <w:t>尘器</w:t>
            </w:r>
          </w:p>
        </w:tc>
        <w:tc>
          <w:tcPr>
            <w:tcW w:w="1133" w:type="dxa"/>
            <w:vAlign w:val="top"/>
          </w:tcPr>
          <w:p w14:paraId="3EE1B0A1">
            <w:pPr>
              <w:pStyle w:val="6"/>
              <w:spacing w:before="60" w:line="228" w:lineRule="auto"/>
              <w:ind w:left="151"/>
            </w:pPr>
            <w:r>
              <w:rPr>
                <w:spacing w:val="7"/>
              </w:rPr>
              <w:t>逸散性工</w:t>
            </w:r>
          </w:p>
          <w:p w14:paraId="12FABD75">
            <w:pPr>
              <w:pStyle w:val="6"/>
              <w:spacing w:before="69" w:line="265" w:lineRule="auto"/>
              <w:ind w:left="258" w:right="146" w:hanging="107"/>
            </w:pPr>
            <w:r>
              <w:rPr>
                <w:spacing w:val="7"/>
              </w:rPr>
              <w:t>业粉尘控</w:t>
            </w:r>
            <w:r>
              <w:rPr>
                <w:spacing w:val="1"/>
              </w:rPr>
              <w:t xml:space="preserve"> </w:t>
            </w:r>
            <w:r>
              <w:rPr>
                <w:spacing w:val="6"/>
              </w:rPr>
              <w:t>制技术</w:t>
            </w:r>
          </w:p>
        </w:tc>
        <w:tc>
          <w:tcPr>
            <w:tcW w:w="991" w:type="dxa"/>
            <w:vAlign w:val="top"/>
          </w:tcPr>
          <w:p w14:paraId="4FE2021A">
            <w:pPr>
              <w:spacing w:line="353" w:lineRule="auto"/>
              <w:rPr>
                <w:rFonts w:ascii="Arial"/>
                <w:sz w:val="21"/>
              </w:rPr>
            </w:pPr>
          </w:p>
          <w:p w14:paraId="57B52B47">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6.59</w:t>
            </w:r>
          </w:p>
        </w:tc>
        <w:tc>
          <w:tcPr>
            <w:tcW w:w="991" w:type="dxa"/>
            <w:vAlign w:val="top"/>
          </w:tcPr>
          <w:p w14:paraId="4095B417">
            <w:pPr>
              <w:spacing w:line="353" w:lineRule="auto"/>
              <w:rPr>
                <w:rFonts w:ascii="Arial"/>
                <w:sz w:val="21"/>
              </w:rPr>
            </w:pPr>
          </w:p>
          <w:p w14:paraId="79A77866">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6.519</w:t>
            </w:r>
          </w:p>
        </w:tc>
        <w:tc>
          <w:tcPr>
            <w:tcW w:w="992" w:type="dxa"/>
            <w:vAlign w:val="top"/>
          </w:tcPr>
          <w:p w14:paraId="3A793F2C">
            <w:pPr>
              <w:spacing w:line="353" w:lineRule="auto"/>
              <w:rPr>
                <w:rFonts w:ascii="Arial"/>
                <w:sz w:val="21"/>
              </w:rPr>
            </w:pPr>
          </w:p>
          <w:p w14:paraId="6097C1C6">
            <w:pPr>
              <w:spacing w:before="5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0.071</w:t>
            </w:r>
          </w:p>
        </w:tc>
        <w:tc>
          <w:tcPr>
            <w:tcW w:w="709" w:type="dxa"/>
            <w:vAlign w:val="top"/>
          </w:tcPr>
          <w:p w14:paraId="0BD8F01D">
            <w:pPr>
              <w:spacing w:line="353" w:lineRule="auto"/>
              <w:rPr>
                <w:rFonts w:ascii="Arial"/>
                <w:sz w:val="21"/>
              </w:rPr>
            </w:pPr>
          </w:p>
          <w:p w14:paraId="6A4431F8">
            <w:pPr>
              <w:spacing w:before="5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51" w:type="dxa"/>
            <w:vAlign w:val="top"/>
          </w:tcPr>
          <w:p w14:paraId="10757E5E">
            <w:pPr>
              <w:spacing w:line="349" w:lineRule="auto"/>
              <w:rPr>
                <w:rFonts w:ascii="Arial"/>
                <w:sz w:val="21"/>
              </w:rPr>
            </w:pPr>
          </w:p>
          <w:p w14:paraId="3386668E">
            <w:pPr>
              <w:spacing w:before="58" w:line="19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1873A164">
            <w:pPr>
              <w:spacing w:line="349" w:lineRule="auto"/>
              <w:rPr>
                <w:rFonts w:ascii="Arial"/>
                <w:sz w:val="21"/>
              </w:rPr>
            </w:pPr>
          </w:p>
          <w:p w14:paraId="35D84794">
            <w:pPr>
              <w:spacing w:before="58" w:line="199"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9" w:type="dxa"/>
            <w:vAlign w:val="top"/>
          </w:tcPr>
          <w:p w14:paraId="281BF463">
            <w:pPr>
              <w:spacing w:line="349" w:lineRule="auto"/>
              <w:rPr>
                <w:rFonts w:ascii="Arial"/>
                <w:sz w:val="21"/>
              </w:rPr>
            </w:pPr>
          </w:p>
          <w:p w14:paraId="06DB78D9">
            <w:pPr>
              <w:spacing w:before="58"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0" w:type="dxa"/>
            <w:vAlign w:val="top"/>
          </w:tcPr>
          <w:p w14:paraId="6B515C47">
            <w:pPr>
              <w:spacing w:line="353" w:lineRule="auto"/>
              <w:rPr>
                <w:rFonts w:ascii="Arial"/>
                <w:sz w:val="21"/>
              </w:rPr>
            </w:pPr>
          </w:p>
          <w:p w14:paraId="3F5830D2">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822" w:type="dxa"/>
            <w:vAlign w:val="top"/>
          </w:tcPr>
          <w:p w14:paraId="30F2F8AA">
            <w:pPr>
              <w:pStyle w:val="6"/>
              <w:spacing w:before="218" w:line="265" w:lineRule="exact"/>
              <w:ind w:left="209"/>
            </w:pPr>
            <w:r>
              <w:rPr>
                <w:rFonts w:ascii="Times New Roman" w:hAnsi="Times New Roman" w:eastAsia="Times New Roman" w:cs="Times New Roman"/>
                <w:spacing w:val="3"/>
                <w:position w:val="1"/>
              </w:rPr>
              <w:t>90</w:t>
            </w:r>
            <w:r>
              <w:rPr>
                <w:spacing w:val="3"/>
                <w:position w:val="1"/>
              </w:rPr>
              <w:t>×</w:t>
            </w:r>
          </w:p>
          <w:p w14:paraId="6F87F1B7">
            <w:pPr>
              <w:spacing w:before="9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675" w:type="dxa"/>
            <w:vAlign w:val="top"/>
          </w:tcPr>
          <w:p w14:paraId="37962577">
            <w:pPr>
              <w:spacing w:line="349" w:lineRule="auto"/>
              <w:rPr>
                <w:rFonts w:ascii="Arial"/>
                <w:sz w:val="21"/>
              </w:rPr>
            </w:pPr>
          </w:p>
          <w:p w14:paraId="5A19931C">
            <w:pPr>
              <w:spacing w:before="58" w:line="199"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50" w:type="dxa"/>
            <w:vAlign w:val="top"/>
          </w:tcPr>
          <w:p w14:paraId="361802FE">
            <w:pPr>
              <w:spacing w:line="353" w:lineRule="auto"/>
              <w:rPr>
                <w:rFonts w:ascii="Arial"/>
                <w:sz w:val="21"/>
              </w:rPr>
            </w:pPr>
          </w:p>
          <w:p w14:paraId="23E22835">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w:t>
            </w:r>
          </w:p>
        </w:tc>
        <w:tc>
          <w:tcPr>
            <w:tcW w:w="472" w:type="dxa"/>
            <w:textDirection w:val="tbRlV"/>
            <w:vAlign w:val="top"/>
          </w:tcPr>
          <w:p w14:paraId="0E8CE4FA">
            <w:pPr>
              <w:pStyle w:val="6"/>
              <w:spacing w:before="129" w:line="217" w:lineRule="auto"/>
              <w:ind w:left="218"/>
            </w:pPr>
            <w:r>
              <w:rPr>
                <w:spacing w:val="8"/>
              </w:rPr>
              <w:t>达</w:t>
            </w:r>
            <w:r>
              <w:rPr>
                <w:spacing w:val="10"/>
              </w:rPr>
              <w:t xml:space="preserve"> </w:t>
            </w:r>
            <w:r>
              <w:rPr>
                <w:spacing w:val="8"/>
              </w:rPr>
              <w:t>标</w:t>
            </w:r>
          </w:p>
        </w:tc>
      </w:tr>
      <w:tr w14:paraId="6570B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4505" w:type="dxa"/>
            <w:gridSpan w:val="4"/>
            <w:vAlign w:val="top"/>
          </w:tcPr>
          <w:p w14:paraId="5D35C161">
            <w:pPr>
              <w:pStyle w:val="6"/>
              <w:spacing w:before="59" w:line="229" w:lineRule="auto"/>
              <w:ind w:left="2048"/>
            </w:pPr>
            <w:r>
              <w:rPr>
                <w:spacing w:val="4"/>
              </w:rPr>
              <w:t>合计</w:t>
            </w:r>
          </w:p>
        </w:tc>
        <w:tc>
          <w:tcPr>
            <w:tcW w:w="991" w:type="dxa"/>
            <w:vAlign w:val="top"/>
          </w:tcPr>
          <w:p w14:paraId="5BC421B0">
            <w:pPr>
              <w:spacing w:before="95"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109.52</w:t>
            </w:r>
          </w:p>
        </w:tc>
        <w:tc>
          <w:tcPr>
            <w:tcW w:w="991" w:type="dxa"/>
            <w:vAlign w:val="top"/>
          </w:tcPr>
          <w:p w14:paraId="0974924F">
            <w:pPr>
              <w:spacing w:before="95"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107.054</w:t>
            </w:r>
          </w:p>
        </w:tc>
        <w:tc>
          <w:tcPr>
            <w:tcW w:w="992" w:type="dxa"/>
            <w:vAlign w:val="top"/>
          </w:tcPr>
          <w:p w14:paraId="37664CF6">
            <w:pPr>
              <w:spacing w:before="9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2.466</w:t>
            </w:r>
          </w:p>
        </w:tc>
        <w:tc>
          <w:tcPr>
            <w:tcW w:w="709" w:type="dxa"/>
            <w:vAlign w:val="top"/>
          </w:tcPr>
          <w:p w14:paraId="018A9A4F">
            <w:pPr>
              <w:rPr>
                <w:rFonts w:ascii="Arial"/>
                <w:sz w:val="21"/>
              </w:rPr>
            </w:pPr>
          </w:p>
        </w:tc>
        <w:tc>
          <w:tcPr>
            <w:tcW w:w="851" w:type="dxa"/>
            <w:vAlign w:val="top"/>
          </w:tcPr>
          <w:p w14:paraId="6CD5C399">
            <w:pPr>
              <w:rPr>
                <w:rFonts w:ascii="Arial"/>
                <w:sz w:val="21"/>
              </w:rPr>
            </w:pPr>
          </w:p>
        </w:tc>
        <w:tc>
          <w:tcPr>
            <w:tcW w:w="850" w:type="dxa"/>
            <w:vAlign w:val="top"/>
          </w:tcPr>
          <w:p w14:paraId="04123F31">
            <w:pPr>
              <w:rPr>
                <w:rFonts w:ascii="Arial"/>
                <w:sz w:val="21"/>
              </w:rPr>
            </w:pPr>
          </w:p>
        </w:tc>
        <w:tc>
          <w:tcPr>
            <w:tcW w:w="709" w:type="dxa"/>
            <w:vAlign w:val="top"/>
          </w:tcPr>
          <w:p w14:paraId="5C44D578">
            <w:pPr>
              <w:rPr>
                <w:rFonts w:ascii="Arial"/>
                <w:sz w:val="21"/>
              </w:rPr>
            </w:pPr>
          </w:p>
        </w:tc>
        <w:tc>
          <w:tcPr>
            <w:tcW w:w="850" w:type="dxa"/>
            <w:vAlign w:val="top"/>
          </w:tcPr>
          <w:p w14:paraId="2176523F">
            <w:pPr>
              <w:rPr>
                <w:rFonts w:ascii="Arial"/>
                <w:sz w:val="21"/>
              </w:rPr>
            </w:pPr>
          </w:p>
        </w:tc>
        <w:tc>
          <w:tcPr>
            <w:tcW w:w="822" w:type="dxa"/>
            <w:vAlign w:val="top"/>
          </w:tcPr>
          <w:p w14:paraId="24EC2F4A">
            <w:pPr>
              <w:rPr>
                <w:rFonts w:ascii="Arial"/>
                <w:sz w:val="21"/>
              </w:rPr>
            </w:pPr>
          </w:p>
        </w:tc>
        <w:tc>
          <w:tcPr>
            <w:tcW w:w="675" w:type="dxa"/>
            <w:vAlign w:val="top"/>
          </w:tcPr>
          <w:p w14:paraId="0F178077">
            <w:pPr>
              <w:rPr>
                <w:rFonts w:ascii="Arial"/>
                <w:sz w:val="21"/>
              </w:rPr>
            </w:pPr>
          </w:p>
        </w:tc>
        <w:tc>
          <w:tcPr>
            <w:tcW w:w="750" w:type="dxa"/>
            <w:vAlign w:val="top"/>
          </w:tcPr>
          <w:p w14:paraId="4551B7D2">
            <w:pPr>
              <w:rPr>
                <w:rFonts w:ascii="Arial"/>
                <w:sz w:val="21"/>
              </w:rPr>
            </w:pPr>
          </w:p>
        </w:tc>
        <w:tc>
          <w:tcPr>
            <w:tcW w:w="472" w:type="dxa"/>
            <w:vAlign w:val="top"/>
          </w:tcPr>
          <w:p w14:paraId="488DC1AA">
            <w:pPr>
              <w:rPr>
                <w:rFonts w:ascii="Arial"/>
                <w:sz w:val="21"/>
              </w:rPr>
            </w:pPr>
          </w:p>
        </w:tc>
      </w:tr>
    </w:tbl>
    <w:p w14:paraId="5033779B">
      <w:pPr>
        <w:pStyle w:val="2"/>
      </w:pPr>
    </w:p>
    <w:p w14:paraId="236A621F">
      <w:pPr>
        <w:sectPr>
          <w:headerReference r:id="rId145" w:type="default"/>
          <w:footerReference r:id="rId146" w:type="default"/>
          <w:pgSz w:w="16839" w:h="11906"/>
          <w:pgMar w:top="1208" w:right="1338" w:bottom="1358" w:left="1327" w:header="825" w:footer="1195" w:gutter="0"/>
          <w:cols w:space="720" w:num="1"/>
        </w:sectPr>
      </w:pPr>
    </w:p>
    <w:p w14:paraId="218689AB">
      <w:pPr>
        <w:pStyle w:val="2"/>
        <w:spacing w:line="265" w:lineRule="auto"/>
      </w:pPr>
    </w:p>
    <w:p w14:paraId="7FF7C268">
      <w:pPr>
        <w:spacing w:before="78" w:line="219" w:lineRule="auto"/>
        <w:ind w:left="499"/>
        <w:outlineLvl w:val="2"/>
        <w:rPr>
          <w:rFonts w:ascii="宋体" w:hAnsi="宋体" w:eastAsia="宋体" w:cs="宋体"/>
          <w:sz w:val="24"/>
          <w:szCs w:val="24"/>
        </w:rPr>
      </w:pPr>
      <w:bookmarkStart w:id="72" w:name="bookmark66"/>
      <w:bookmarkEnd w:id="72"/>
      <w:r>
        <w:rPr>
          <w:rFonts w:ascii="Times New Roman" w:hAnsi="Times New Roman" w:eastAsia="Times New Roman" w:cs="Times New Roman"/>
          <w:b/>
          <w:bCs/>
          <w:spacing w:val="-4"/>
          <w:sz w:val="24"/>
          <w:szCs w:val="24"/>
        </w:rPr>
        <w:t>5.5.2</w:t>
      </w:r>
      <w:r>
        <w:rPr>
          <w:rFonts w:ascii="Times New Roman" w:hAnsi="Times New Roman" w:eastAsia="Times New Roman" w:cs="Times New Roman"/>
          <w:b/>
          <w:bCs/>
          <w:spacing w:val="13"/>
          <w:sz w:val="24"/>
          <w:szCs w:val="24"/>
        </w:rPr>
        <w:t xml:space="preserve"> </w:t>
      </w:r>
      <w:r>
        <w:rPr>
          <w:rFonts w:ascii="宋体" w:hAnsi="宋体" w:eastAsia="宋体" w:cs="宋体"/>
          <w:b/>
          <w:bCs/>
          <w:spacing w:val="-4"/>
          <w:sz w:val="24"/>
          <w:szCs w:val="24"/>
        </w:rPr>
        <w:t>废水</w:t>
      </w:r>
    </w:p>
    <w:p w14:paraId="3ABA775C">
      <w:pPr>
        <w:spacing w:before="103" w:line="359" w:lineRule="auto"/>
        <w:ind w:left="40" w:right="82" w:firstLine="461"/>
        <w:rPr>
          <w:rFonts w:ascii="宋体" w:hAnsi="宋体" w:eastAsia="宋体" w:cs="宋体"/>
          <w:sz w:val="24"/>
          <w:szCs w:val="24"/>
        </w:rPr>
      </w:pPr>
      <w:r>
        <w:rPr>
          <w:rFonts w:ascii="宋体" w:hAnsi="宋体" w:eastAsia="宋体" w:cs="宋体"/>
          <w:sz w:val="24"/>
          <w:szCs w:val="24"/>
        </w:rPr>
        <w:t>本项目技改后，不新增劳动定员，废水主要来</w:t>
      </w:r>
      <w:r>
        <w:rPr>
          <w:rFonts w:ascii="宋体" w:hAnsi="宋体" w:eastAsia="宋体" w:cs="宋体"/>
          <w:spacing w:val="-1"/>
          <w:sz w:val="24"/>
          <w:szCs w:val="24"/>
        </w:rPr>
        <w:t>源于球磨、浮选等工序产生</w:t>
      </w:r>
      <w:r>
        <w:rPr>
          <w:rFonts w:ascii="宋体" w:hAnsi="宋体" w:eastAsia="宋体" w:cs="宋体"/>
          <w:sz w:val="24"/>
          <w:szCs w:val="24"/>
        </w:rPr>
        <w:t xml:space="preserve"> </w:t>
      </w:r>
      <w:r>
        <w:rPr>
          <w:rFonts w:ascii="宋体" w:hAnsi="宋体" w:eastAsia="宋体" w:cs="宋体"/>
          <w:spacing w:val="-5"/>
          <w:sz w:val="24"/>
          <w:szCs w:val="24"/>
        </w:rPr>
        <w:t>的生产废水和生活污水，其产生量、污染物种</w:t>
      </w:r>
      <w:r>
        <w:rPr>
          <w:rFonts w:ascii="宋体" w:hAnsi="宋体" w:eastAsia="宋体" w:cs="宋体"/>
          <w:spacing w:val="-6"/>
          <w:sz w:val="24"/>
          <w:szCs w:val="24"/>
        </w:rPr>
        <w:t>类与技改前相比，均未发生变化。</w:t>
      </w:r>
    </w:p>
    <w:p w14:paraId="4F98FDFD">
      <w:pPr>
        <w:spacing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）选矿废水</w:t>
      </w:r>
    </w:p>
    <w:p w14:paraId="463C7A6D">
      <w:pPr>
        <w:spacing w:before="182" w:line="359" w:lineRule="auto"/>
        <w:ind w:left="22" w:right="162" w:firstLine="479"/>
        <w:rPr>
          <w:rFonts w:ascii="宋体" w:hAnsi="宋体" w:eastAsia="宋体" w:cs="宋体"/>
          <w:sz w:val="24"/>
          <w:szCs w:val="24"/>
        </w:rPr>
      </w:pPr>
      <w:r>
        <w:rPr>
          <w:rFonts w:ascii="宋体" w:hAnsi="宋体" w:eastAsia="宋体" w:cs="宋体"/>
          <w:spacing w:val="-1"/>
          <w:sz w:val="24"/>
          <w:szCs w:val="24"/>
        </w:rPr>
        <w:t>技改工程完成后，铅精矿浓缩压滤废水产生量为</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97.6m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，锌精矿浓缩压</w:t>
      </w:r>
      <w:r>
        <w:rPr>
          <w:rFonts w:ascii="宋体" w:hAnsi="宋体" w:eastAsia="宋体" w:cs="宋体"/>
          <w:sz w:val="24"/>
          <w:szCs w:val="24"/>
        </w:rPr>
        <w:t xml:space="preserve"> </w:t>
      </w:r>
      <w:r>
        <w:rPr>
          <w:rFonts w:ascii="宋体" w:hAnsi="宋体" w:eastAsia="宋体" w:cs="宋体"/>
          <w:spacing w:val="1"/>
          <w:sz w:val="24"/>
          <w:szCs w:val="24"/>
        </w:rPr>
        <w:t>滤废水产生量为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204m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，分别经相应的回水池收集后，泵至相应的铅、锌选</w:t>
      </w:r>
      <w:r>
        <w:rPr>
          <w:rFonts w:ascii="宋体" w:hAnsi="宋体" w:eastAsia="宋体" w:cs="宋体"/>
          <w:sz w:val="24"/>
          <w:szCs w:val="24"/>
        </w:rPr>
        <w:t xml:space="preserve"> </w:t>
      </w:r>
      <w:r>
        <w:rPr>
          <w:rFonts w:ascii="宋体" w:hAnsi="宋体" w:eastAsia="宋体" w:cs="宋体"/>
          <w:spacing w:val="-2"/>
          <w:sz w:val="24"/>
          <w:szCs w:val="24"/>
        </w:rPr>
        <w:t>别工序回用，不外排。</w:t>
      </w:r>
    </w:p>
    <w:p w14:paraId="37F338F2">
      <w:pPr>
        <w:spacing w:before="1" w:line="359" w:lineRule="auto"/>
        <w:ind w:left="22" w:right="162" w:firstLine="478"/>
        <w:jc w:val="both"/>
        <w:rPr>
          <w:rFonts w:ascii="宋体" w:hAnsi="宋体" w:eastAsia="宋体" w:cs="宋体"/>
          <w:sz w:val="24"/>
          <w:szCs w:val="24"/>
        </w:rPr>
      </w:pPr>
      <w:r>
        <w:rPr>
          <w:rFonts w:ascii="宋体" w:hAnsi="宋体" w:eastAsia="宋体" w:cs="宋体"/>
          <w:spacing w:val="-3"/>
          <w:sz w:val="24"/>
          <w:szCs w:val="24"/>
        </w:rPr>
        <w:t>尾矿浓密池溢流废水产生量为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5430 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，进入尾矿回水处理车间处理后回</w:t>
      </w:r>
      <w:r>
        <w:rPr>
          <w:rFonts w:ascii="宋体" w:hAnsi="宋体" w:eastAsia="宋体" w:cs="宋体"/>
          <w:sz w:val="24"/>
          <w:szCs w:val="24"/>
        </w:rPr>
        <w:t xml:space="preserve"> </w:t>
      </w:r>
      <w:r>
        <w:rPr>
          <w:rFonts w:ascii="宋体" w:hAnsi="宋体" w:eastAsia="宋体" w:cs="宋体"/>
          <w:spacing w:val="-3"/>
          <w:sz w:val="24"/>
          <w:szCs w:val="24"/>
        </w:rPr>
        <w:t>用于生产。尾矿通过湿排进入尾矿库，尾矿回水产生量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112</w:t>
      </w:r>
      <w:r>
        <w:rPr>
          <w:rFonts w:ascii="Times New Roman" w:hAnsi="Times New Roman" w:eastAsia="Times New Roman" w:cs="Times New Roman"/>
          <w:spacing w:val="-4"/>
          <w:sz w:val="24"/>
          <w:szCs w:val="24"/>
        </w:rPr>
        <w:t>0 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，返回至尾矿</w:t>
      </w:r>
      <w:r>
        <w:rPr>
          <w:rFonts w:ascii="宋体" w:hAnsi="宋体" w:eastAsia="宋体" w:cs="宋体"/>
          <w:sz w:val="24"/>
          <w:szCs w:val="24"/>
        </w:rPr>
        <w:t xml:space="preserve"> </w:t>
      </w:r>
      <w:r>
        <w:rPr>
          <w:rFonts w:ascii="宋体" w:hAnsi="宋体" w:eastAsia="宋体" w:cs="宋体"/>
          <w:spacing w:val="-2"/>
          <w:sz w:val="24"/>
          <w:szCs w:val="24"/>
        </w:rPr>
        <w:t>回水处理车间。</w:t>
      </w:r>
    </w:p>
    <w:p w14:paraId="0758F592">
      <w:pPr>
        <w:spacing w:before="1"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）尾矿回水</w:t>
      </w:r>
    </w:p>
    <w:p w14:paraId="3AFAEC80">
      <w:pPr>
        <w:spacing w:before="180" w:line="360" w:lineRule="auto"/>
        <w:ind w:left="23" w:right="162" w:firstLine="477"/>
        <w:rPr>
          <w:rFonts w:ascii="宋体" w:hAnsi="宋体" w:eastAsia="宋体" w:cs="宋体"/>
          <w:sz w:val="24"/>
          <w:szCs w:val="24"/>
        </w:rPr>
      </w:pPr>
      <w:r>
        <w:rPr>
          <w:rFonts w:ascii="宋体" w:hAnsi="宋体" w:eastAsia="宋体" w:cs="宋体"/>
          <w:spacing w:val="-1"/>
          <w:sz w:val="24"/>
          <w:szCs w:val="24"/>
        </w:rPr>
        <w:t>尾矿回水处理车间处理能力为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，尾</w:t>
      </w:r>
      <w:r>
        <w:rPr>
          <w:rFonts w:ascii="宋体" w:hAnsi="宋体" w:eastAsia="宋体" w:cs="宋体"/>
          <w:spacing w:val="-2"/>
          <w:sz w:val="24"/>
          <w:szCs w:val="24"/>
        </w:rPr>
        <w:t>矿回水采用改良混凝沉淀法处</w:t>
      </w:r>
      <w:r>
        <w:rPr>
          <w:rFonts w:ascii="宋体" w:hAnsi="宋体" w:eastAsia="宋体" w:cs="宋体"/>
          <w:sz w:val="24"/>
          <w:szCs w:val="24"/>
        </w:rPr>
        <w:t xml:space="preserve"> </w:t>
      </w:r>
      <w:r>
        <w:rPr>
          <w:rFonts w:ascii="宋体" w:hAnsi="宋体" w:eastAsia="宋体" w:cs="宋体"/>
          <w:spacing w:val="-1"/>
          <w:sz w:val="24"/>
          <w:szCs w:val="24"/>
        </w:rPr>
        <w:t>理，处理后由变频供水设备供给选厂回水系统循环使用，不外排。</w:t>
      </w:r>
    </w:p>
    <w:p w14:paraId="3DF7BF24">
      <w:pPr>
        <w:spacing w:line="220" w:lineRule="auto"/>
        <w:ind w:left="505"/>
        <w:rPr>
          <w:rFonts w:ascii="宋体" w:hAnsi="宋体" w:eastAsia="宋体" w:cs="宋体"/>
          <w:sz w:val="24"/>
          <w:szCs w:val="24"/>
        </w:rPr>
      </w:pPr>
      <w:r>
        <w:rPr>
          <w:rFonts w:ascii="宋体" w:hAnsi="宋体" w:eastAsia="宋体" w:cs="宋体"/>
          <w:spacing w:val="-2"/>
          <w:sz w:val="24"/>
          <w:szCs w:val="24"/>
        </w:rPr>
        <w:t>具体处理工艺流程如下：</w:t>
      </w:r>
    </w:p>
    <w:p w14:paraId="2EB676B0">
      <w:pPr>
        <w:spacing w:before="256" w:line="353" w:lineRule="auto"/>
        <w:ind w:left="20" w:right="82" w:firstLine="480"/>
        <w:jc w:val="both"/>
        <w:rPr>
          <w:rFonts w:ascii="宋体" w:hAnsi="宋体" w:eastAsia="宋体" w:cs="宋体"/>
          <w:sz w:val="24"/>
          <w:szCs w:val="24"/>
        </w:rPr>
      </w:pPr>
      <w:r>
        <w:rPr>
          <w:rFonts w:ascii="宋体" w:hAnsi="宋体" w:eastAsia="宋体" w:cs="宋体"/>
          <w:sz w:val="24"/>
          <w:szCs w:val="24"/>
        </w:rPr>
        <w:t>浓密机溢流水和少量尾矿库回水汇集至调节池进</w:t>
      </w:r>
      <w:r>
        <w:rPr>
          <w:rFonts w:ascii="宋体" w:hAnsi="宋体" w:eastAsia="宋体" w:cs="宋体"/>
          <w:spacing w:val="-1"/>
          <w:sz w:val="24"/>
          <w:szCs w:val="24"/>
        </w:rPr>
        <w:t>行水质水量的调节，池中</w:t>
      </w:r>
      <w:r>
        <w:rPr>
          <w:rFonts w:ascii="宋体" w:hAnsi="宋体" w:eastAsia="宋体" w:cs="宋体"/>
          <w:sz w:val="24"/>
          <w:szCs w:val="24"/>
        </w:rPr>
        <w:t xml:space="preserve"> </w:t>
      </w:r>
      <w:r>
        <w:rPr>
          <w:rFonts w:ascii="宋体" w:hAnsi="宋体" w:eastAsia="宋体" w:cs="宋体"/>
          <w:spacing w:val="2"/>
          <w:sz w:val="24"/>
          <w:szCs w:val="24"/>
        </w:rPr>
        <w:t>加设曝气搅拌，主要不使</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沉淀下来，并去除一部分有机物含量；调节池后</w:t>
      </w:r>
      <w:r>
        <w:rPr>
          <w:rFonts w:ascii="宋体" w:hAnsi="宋体" w:eastAsia="宋体" w:cs="宋体"/>
          <w:sz w:val="24"/>
          <w:szCs w:val="24"/>
        </w:rPr>
        <w:t xml:space="preserve"> 段加入酸调节</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PH </w:t>
      </w:r>
      <w:r>
        <w:rPr>
          <w:rFonts w:ascii="宋体" w:hAnsi="宋体" w:eastAsia="宋体" w:cs="宋体"/>
          <w:sz w:val="24"/>
          <w:szCs w:val="24"/>
        </w:rPr>
        <w:t>值，</w:t>
      </w:r>
      <w:r>
        <w:rPr>
          <w:rFonts w:ascii="宋体" w:hAnsi="宋体" w:eastAsia="宋体" w:cs="宋体"/>
          <w:spacing w:val="-71"/>
          <w:sz w:val="24"/>
          <w:szCs w:val="24"/>
        </w:rPr>
        <w:t xml:space="preserve"> </w:t>
      </w:r>
      <w:r>
        <w:rPr>
          <w:rFonts w:ascii="宋体" w:hAnsi="宋体" w:eastAsia="宋体" w:cs="宋体"/>
          <w:sz w:val="24"/>
          <w:szCs w:val="24"/>
        </w:rPr>
        <w:t>自流进入气浮池去除部分油、有</w:t>
      </w:r>
      <w:r>
        <w:rPr>
          <w:rFonts w:ascii="宋体" w:hAnsi="宋体" w:eastAsia="宋体" w:cs="宋体"/>
          <w:spacing w:val="-1"/>
          <w:sz w:val="24"/>
          <w:szCs w:val="24"/>
        </w:rPr>
        <w:t>机物；再自流至混凝斜</w:t>
      </w:r>
      <w:r>
        <w:rPr>
          <w:rFonts w:ascii="宋体" w:hAnsi="宋体" w:eastAsia="宋体" w:cs="宋体"/>
          <w:sz w:val="24"/>
          <w:szCs w:val="24"/>
        </w:rPr>
        <w:t xml:space="preserve"> </w:t>
      </w:r>
      <w:r>
        <w:rPr>
          <w:rFonts w:ascii="宋体" w:hAnsi="宋体" w:eastAsia="宋体" w:cs="宋体"/>
          <w:spacing w:val="1"/>
          <w:sz w:val="24"/>
          <w:szCs w:val="24"/>
        </w:rPr>
        <w:t>管沉淀池，经投加</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FeSO</w:t>
      </w:r>
      <w:r>
        <w:rPr>
          <w:rFonts w:ascii="Times New Roman" w:hAnsi="Times New Roman" w:eastAsia="Times New Roman" w:cs="Times New Roman"/>
          <w:spacing w:val="1"/>
          <w:position w:val="-1"/>
          <w:sz w:val="15"/>
          <w:szCs w:val="15"/>
        </w:rPr>
        <w:t>4</w:t>
      </w:r>
      <w:r>
        <w:rPr>
          <w:rFonts w:ascii="Times New Roman" w:hAnsi="Times New Roman" w:eastAsia="Times New Roman" w:cs="Times New Roman"/>
          <w:spacing w:val="13"/>
          <w:w w:val="101"/>
          <w:position w:val="-1"/>
          <w:sz w:val="15"/>
          <w:szCs w:val="15"/>
        </w:rPr>
        <w:t xml:space="preserve"> </w:t>
      </w:r>
      <w:r>
        <w:rPr>
          <w:rFonts w:ascii="宋体" w:hAnsi="宋体" w:eastAsia="宋体" w:cs="宋体"/>
          <w:spacing w:val="1"/>
          <w:sz w:val="24"/>
          <w:szCs w:val="24"/>
        </w:rPr>
        <w:t>及</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PAM</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加速沉淀后的上清液自流入中间水池；多介</w:t>
      </w:r>
      <w:r>
        <w:rPr>
          <w:rFonts w:ascii="宋体" w:hAnsi="宋体" w:eastAsia="宋体" w:cs="宋体"/>
          <w:sz w:val="24"/>
          <w:szCs w:val="24"/>
        </w:rPr>
        <w:t xml:space="preserve"> 质过滤器、精密过滤器从中间水池抽水过滤后再进入超</w:t>
      </w:r>
      <w:r>
        <w:rPr>
          <w:rFonts w:ascii="宋体" w:hAnsi="宋体" w:eastAsia="宋体" w:cs="宋体"/>
          <w:spacing w:val="-1"/>
          <w:sz w:val="24"/>
          <w:szCs w:val="24"/>
        </w:rPr>
        <w:t>滤装置过滤，合格水进</w:t>
      </w:r>
      <w:r>
        <w:rPr>
          <w:rFonts w:ascii="宋体" w:hAnsi="宋体" w:eastAsia="宋体" w:cs="宋体"/>
          <w:sz w:val="24"/>
          <w:szCs w:val="24"/>
        </w:rPr>
        <w:t xml:space="preserve"> </w:t>
      </w:r>
      <w:r>
        <w:rPr>
          <w:rFonts w:ascii="宋体" w:hAnsi="宋体" w:eastAsia="宋体" w:cs="宋体"/>
          <w:spacing w:val="-3"/>
          <w:sz w:val="24"/>
          <w:szCs w:val="24"/>
        </w:rPr>
        <w:t>入回用水池，同时再调整</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值，由变频供水设备</w:t>
      </w:r>
      <w:r>
        <w:rPr>
          <w:rFonts w:ascii="宋体" w:hAnsi="宋体" w:eastAsia="宋体" w:cs="宋体"/>
          <w:spacing w:val="-4"/>
          <w:sz w:val="24"/>
          <w:szCs w:val="24"/>
        </w:rPr>
        <w:t>供给选厂回水系统。气浮池、</w:t>
      </w:r>
      <w:r>
        <w:rPr>
          <w:rFonts w:ascii="宋体" w:hAnsi="宋体" w:eastAsia="宋体" w:cs="宋体"/>
          <w:sz w:val="24"/>
          <w:szCs w:val="24"/>
        </w:rPr>
        <w:t xml:space="preserve"> </w:t>
      </w:r>
      <w:r>
        <w:rPr>
          <w:rFonts w:ascii="宋体" w:hAnsi="宋体" w:eastAsia="宋体" w:cs="宋体"/>
          <w:spacing w:val="-1"/>
          <w:sz w:val="24"/>
          <w:szCs w:val="24"/>
        </w:rPr>
        <w:t>混凝斜管沉淀池产生污泥进入污泥收集池后经提升泵至尾矿库。</w:t>
      </w:r>
    </w:p>
    <w:p w14:paraId="7CC99B10">
      <w:pPr>
        <w:spacing w:line="2393" w:lineRule="exact"/>
        <w:ind w:firstLine="11"/>
      </w:pPr>
      <w:r>
        <w:rPr>
          <w:position w:val="-47"/>
        </w:rPr>
        <w:drawing>
          <wp:inline distT="0" distB="0" distL="0" distR="0">
            <wp:extent cx="5271135" cy="151892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81"/>
                    <a:stretch>
                      <a:fillRect/>
                    </a:stretch>
                  </pic:blipFill>
                  <pic:spPr>
                    <a:xfrm>
                      <a:off x="0" y="0"/>
                      <a:ext cx="5271515" cy="1519428"/>
                    </a:xfrm>
                    <a:prstGeom prst="rect">
                      <a:avLst/>
                    </a:prstGeom>
                  </pic:spPr>
                </pic:pic>
              </a:graphicData>
            </a:graphic>
          </wp:inline>
        </w:drawing>
      </w:r>
    </w:p>
    <w:p w14:paraId="68296BFB">
      <w:pPr>
        <w:spacing w:before="91" w:line="219" w:lineRule="auto"/>
        <w:ind w:left="2583"/>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5.5-1  </w:t>
      </w:r>
      <w:r>
        <w:rPr>
          <w:rFonts w:ascii="宋体" w:hAnsi="宋体" w:eastAsia="宋体" w:cs="宋体"/>
          <w:spacing w:val="-3"/>
          <w:sz w:val="24"/>
          <w:szCs w:val="24"/>
        </w:rPr>
        <w:t>尾矿回水处理工艺流程图</w:t>
      </w:r>
    </w:p>
    <w:p w14:paraId="4EC17D1F">
      <w:pPr>
        <w:spacing w:before="183"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）生活废水</w:t>
      </w:r>
    </w:p>
    <w:p w14:paraId="5A1A9DE0">
      <w:pPr>
        <w:spacing w:before="260" w:line="219" w:lineRule="auto"/>
        <w:ind w:left="502"/>
        <w:rPr>
          <w:rFonts w:ascii="宋体" w:hAnsi="宋体" w:eastAsia="宋体" w:cs="宋体"/>
          <w:sz w:val="24"/>
          <w:szCs w:val="24"/>
        </w:rPr>
      </w:pPr>
      <w:r>
        <w:rPr>
          <w:rFonts w:ascii="宋体" w:hAnsi="宋体" w:eastAsia="宋体" w:cs="宋体"/>
          <w:spacing w:val="4"/>
          <w:sz w:val="24"/>
          <w:szCs w:val="24"/>
        </w:rPr>
        <w:t>技改后，不增加定员，人员由原</w:t>
      </w:r>
      <w:r>
        <w:rPr>
          <w:rFonts w:ascii="Times New Roman" w:hAnsi="Times New Roman" w:eastAsia="Times New Roman" w:cs="Times New Roman"/>
          <w:spacing w:val="4"/>
          <w:sz w:val="24"/>
          <w:szCs w:val="24"/>
        </w:rPr>
        <w:t xml:space="preserve">2000t/d </w:t>
      </w:r>
      <w:r>
        <w:rPr>
          <w:rFonts w:ascii="宋体" w:hAnsi="宋体" w:eastAsia="宋体" w:cs="宋体"/>
          <w:spacing w:val="4"/>
          <w:sz w:val="24"/>
          <w:szCs w:val="24"/>
        </w:rPr>
        <w:t>选矿工程调配，全厂生活用水量</w:t>
      </w:r>
    </w:p>
    <w:p w14:paraId="5A658120">
      <w:pPr>
        <w:spacing w:line="219" w:lineRule="auto"/>
        <w:rPr>
          <w:rFonts w:ascii="宋体" w:hAnsi="宋体" w:eastAsia="宋体" w:cs="宋体"/>
          <w:sz w:val="24"/>
          <w:szCs w:val="24"/>
        </w:rPr>
        <w:sectPr>
          <w:headerReference r:id="rId147" w:type="default"/>
          <w:footerReference r:id="rId148" w:type="default"/>
          <w:pgSz w:w="11906" w:h="16839"/>
          <w:pgMar w:top="1208" w:right="1785" w:bottom="1358" w:left="1785" w:header="825" w:footer="1195" w:gutter="0"/>
          <w:cols w:space="720" w:num="1"/>
        </w:sectPr>
      </w:pPr>
    </w:p>
    <w:p w14:paraId="4CDC545D">
      <w:pPr>
        <w:pStyle w:val="2"/>
        <w:spacing w:line="264" w:lineRule="auto"/>
      </w:pPr>
    </w:p>
    <w:p w14:paraId="2D7B2056">
      <w:pPr>
        <w:spacing w:before="78" w:line="361" w:lineRule="auto"/>
        <w:ind w:left="22" w:right="161" w:firstLine="1"/>
        <w:jc w:val="both"/>
        <w:rPr>
          <w:rFonts w:ascii="宋体" w:hAnsi="宋体" w:eastAsia="宋体" w:cs="宋体"/>
          <w:sz w:val="24"/>
          <w:szCs w:val="24"/>
        </w:rPr>
      </w:pPr>
      <w:r>
        <w:rPr>
          <w:rFonts w:ascii="宋体" w:hAnsi="宋体" w:eastAsia="宋体" w:cs="宋体"/>
          <w:spacing w:val="-4"/>
          <w:sz w:val="24"/>
          <w:szCs w:val="24"/>
        </w:rPr>
        <w:t>仍为</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，生活污水产生量</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64m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，综合楼南侧现有</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座生活污水处理站，</w:t>
      </w:r>
      <w:r>
        <w:rPr>
          <w:rFonts w:ascii="宋体" w:hAnsi="宋体" w:eastAsia="宋体" w:cs="宋体"/>
          <w:sz w:val="24"/>
          <w:szCs w:val="24"/>
        </w:rPr>
        <w:t xml:space="preserve"> 处理能力为</w:t>
      </w:r>
      <w:r>
        <w:rPr>
          <w:rFonts w:ascii="宋体" w:hAnsi="宋体" w:eastAsia="宋体" w:cs="宋体"/>
          <w:spacing w:val="-11"/>
          <w:sz w:val="24"/>
          <w:szCs w:val="24"/>
        </w:rPr>
        <w:t xml:space="preserve"> </w:t>
      </w:r>
      <w:r>
        <w:rPr>
          <w:rFonts w:ascii="Times New Roman" w:hAnsi="Times New Roman" w:eastAsia="Times New Roman" w:cs="Times New Roman"/>
          <w:sz w:val="24"/>
          <w:szCs w:val="24"/>
        </w:rPr>
        <w:t>150m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，生产厂家为河南金山环保科技工业园有限公司；选矿车 </w:t>
      </w:r>
      <w:r>
        <w:rPr>
          <w:rFonts w:ascii="宋体" w:hAnsi="宋体" w:eastAsia="宋体" w:cs="宋体"/>
          <w:spacing w:val="-3"/>
          <w:sz w:val="24"/>
          <w:szCs w:val="24"/>
        </w:rPr>
        <w:t>间南侧现有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座生活污水处理站，处理能力为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，生产厂家为山东旺能环</w:t>
      </w:r>
      <w:r>
        <w:rPr>
          <w:rFonts w:ascii="宋体" w:hAnsi="宋体" w:eastAsia="宋体" w:cs="宋体"/>
          <w:sz w:val="24"/>
          <w:szCs w:val="24"/>
        </w:rPr>
        <w:t xml:space="preserve"> </w:t>
      </w:r>
      <w:r>
        <w:rPr>
          <w:rFonts w:ascii="宋体" w:hAnsi="宋体" w:eastAsia="宋体" w:cs="宋体"/>
          <w:spacing w:val="-4"/>
          <w:sz w:val="24"/>
          <w:szCs w:val="24"/>
        </w:rPr>
        <w:t>境工程有限公司；均采用“格栅</w:t>
      </w:r>
      <w:r>
        <w:rPr>
          <w:rFonts w:ascii="Times New Roman" w:hAnsi="Times New Roman" w:eastAsia="Times New Roman" w:cs="Times New Roman"/>
          <w:spacing w:val="-4"/>
          <w:sz w:val="24"/>
          <w:szCs w:val="24"/>
        </w:rPr>
        <w:t>+</w:t>
      </w:r>
      <w:r>
        <w:rPr>
          <w:rFonts w:ascii="宋体" w:hAnsi="宋体" w:eastAsia="宋体" w:cs="宋体"/>
          <w:spacing w:val="-4"/>
          <w:sz w:val="24"/>
          <w:szCs w:val="24"/>
        </w:rPr>
        <w:t>调节池</w:t>
      </w:r>
      <w:r>
        <w:rPr>
          <w:rFonts w:ascii="Times New Roman" w:hAnsi="Times New Roman" w:eastAsia="Times New Roman" w:cs="Times New Roman"/>
          <w:spacing w:val="-4"/>
          <w:sz w:val="24"/>
          <w:szCs w:val="24"/>
        </w:rPr>
        <w:t>+</w:t>
      </w:r>
      <w:r>
        <w:rPr>
          <w:rFonts w:ascii="宋体" w:hAnsi="宋体" w:eastAsia="宋体" w:cs="宋体"/>
          <w:spacing w:val="-4"/>
          <w:sz w:val="24"/>
          <w:szCs w:val="24"/>
        </w:rPr>
        <w:t>厌氧</w:t>
      </w:r>
      <w:r>
        <w:rPr>
          <w:rFonts w:ascii="Times New Roman" w:hAnsi="Times New Roman" w:eastAsia="Times New Roman" w:cs="Times New Roman"/>
          <w:spacing w:val="-4"/>
          <w:sz w:val="24"/>
          <w:szCs w:val="24"/>
        </w:rPr>
        <w:t>+</w:t>
      </w:r>
      <w:r>
        <w:rPr>
          <w:rFonts w:ascii="宋体" w:hAnsi="宋体" w:eastAsia="宋体" w:cs="宋体"/>
          <w:spacing w:val="-4"/>
          <w:sz w:val="24"/>
          <w:szCs w:val="24"/>
        </w:rPr>
        <w:t>缺氧</w:t>
      </w:r>
      <w:r>
        <w:rPr>
          <w:rFonts w:ascii="Times New Roman" w:hAnsi="Times New Roman" w:eastAsia="Times New Roman" w:cs="Times New Roman"/>
          <w:spacing w:val="-4"/>
          <w:sz w:val="24"/>
          <w:szCs w:val="24"/>
        </w:rPr>
        <w:t>+</w:t>
      </w:r>
      <w:r>
        <w:rPr>
          <w:rFonts w:ascii="宋体" w:hAnsi="宋体" w:eastAsia="宋体" w:cs="宋体"/>
          <w:spacing w:val="-4"/>
          <w:sz w:val="24"/>
          <w:szCs w:val="24"/>
        </w:rPr>
        <w:t>好氧</w:t>
      </w:r>
      <w:r>
        <w:rPr>
          <w:rFonts w:ascii="Times New Roman" w:hAnsi="Times New Roman" w:eastAsia="Times New Roman" w:cs="Times New Roman"/>
          <w:spacing w:val="-4"/>
          <w:sz w:val="24"/>
          <w:szCs w:val="24"/>
        </w:rPr>
        <w:t>+</w:t>
      </w:r>
      <w:r>
        <w:rPr>
          <w:rFonts w:ascii="宋体" w:hAnsi="宋体" w:eastAsia="宋体" w:cs="宋体"/>
          <w:spacing w:val="-4"/>
          <w:sz w:val="24"/>
          <w:szCs w:val="24"/>
        </w:rPr>
        <w:t>沉淀</w:t>
      </w:r>
      <w:r>
        <w:rPr>
          <w:rFonts w:ascii="Times New Roman" w:hAnsi="Times New Roman" w:eastAsia="Times New Roman" w:cs="Times New Roman"/>
          <w:spacing w:val="-4"/>
          <w:sz w:val="24"/>
          <w:szCs w:val="24"/>
        </w:rPr>
        <w:t>+</w:t>
      </w:r>
      <w:r>
        <w:rPr>
          <w:rFonts w:ascii="宋体" w:hAnsi="宋体" w:eastAsia="宋体" w:cs="宋体"/>
          <w:spacing w:val="-4"/>
          <w:sz w:val="24"/>
          <w:szCs w:val="24"/>
        </w:rPr>
        <w:t>消毒</w:t>
      </w:r>
      <w:r>
        <w:rPr>
          <w:rFonts w:ascii="宋体" w:hAnsi="宋体" w:eastAsia="宋体" w:cs="宋体"/>
          <w:spacing w:val="-76"/>
          <w:sz w:val="24"/>
          <w:szCs w:val="24"/>
        </w:rPr>
        <w:t xml:space="preserve"> </w:t>
      </w:r>
      <w:r>
        <w:rPr>
          <w:rFonts w:ascii="宋体" w:hAnsi="宋体" w:eastAsia="宋体" w:cs="宋体"/>
          <w:spacing w:val="-4"/>
          <w:sz w:val="24"/>
          <w:szCs w:val="24"/>
        </w:rPr>
        <w:t>”工艺处</w:t>
      </w:r>
      <w:r>
        <w:rPr>
          <w:rFonts w:ascii="宋体" w:hAnsi="宋体" w:eastAsia="宋体" w:cs="宋体"/>
          <w:sz w:val="24"/>
          <w:szCs w:val="24"/>
        </w:rPr>
        <w:t xml:space="preserve"> 理，处理达标后用于厂区绿化和洒水降尘，冬</w:t>
      </w:r>
      <w:r>
        <w:rPr>
          <w:rFonts w:ascii="宋体" w:hAnsi="宋体" w:eastAsia="宋体" w:cs="宋体"/>
          <w:spacing w:val="-1"/>
          <w:sz w:val="24"/>
          <w:szCs w:val="24"/>
        </w:rPr>
        <w:t>季排入尾矿库内。不外排。</w:t>
      </w:r>
    </w:p>
    <w:p w14:paraId="0369159C">
      <w:pPr>
        <w:spacing w:before="115" w:line="4207" w:lineRule="exact"/>
        <w:ind w:firstLine="729"/>
      </w:pPr>
      <w:r>
        <w:rPr>
          <w:position w:val="-84"/>
        </w:rPr>
        <w:drawing>
          <wp:inline distT="0" distB="0" distL="0" distR="0">
            <wp:extent cx="4269740" cy="267144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82"/>
                    <a:stretch>
                      <a:fillRect/>
                    </a:stretch>
                  </pic:blipFill>
                  <pic:spPr>
                    <a:xfrm>
                      <a:off x="0" y="0"/>
                      <a:ext cx="4270247" cy="2671571"/>
                    </a:xfrm>
                    <a:prstGeom prst="rect">
                      <a:avLst/>
                    </a:prstGeom>
                  </pic:spPr>
                </pic:pic>
              </a:graphicData>
            </a:graphic>
          </wp:inline>
        </w:drawing>
      </w:r>
    </w:p>
    <w:p w14:paraId="774A6CAD">
      <w:pPr>
        <w:spacing w:before="116" w:line="219" w:lineRule="auto"/>
        <w:ind w:left="2583"/>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5.5-2  </w:t>
      </w:r>
      <w:r>
        <w:rPr>
          <w:rFonts w:ascii="宋体" w:hAnsi="宋体" w:eastAsia="宋体" w:cs="宋体"/>
          <w:spacing w:val="-3"/>
          <w:sz w:val="24"/>
          <w:szCs w:val="24"/>
        </w:rPr>
        <w:t>生活污水处理工艺流程图</w:t>
      </w:r>
    </w:p>
    <w:p w14:paraId="2DA08C8B">
      <w:pPr>
        <w:spacing w:before="259" w:line="220" w:lineRule="auto"/>
        <w:ind w:left="499"/>
        <w:outlineLvl w:val="2"/>
        <w:rPr>
          <w:rFonts w:ascii="宋体" w:hAnsi="宋体" w:eastAsia="宋体" w:cs="宋体"/>
          <w:sz w:val="24"/>
          <w:szCs w:val="24"/>
        </w:rPr>
      </w:pPr>
      <w:bookmarkStart w:id="73" w:name="bookmark67"/>
      <w:bookmarkEnd w:id="73"/>
      <w:r>
        <w:rPr>
          <w:rFonts w:ascii="Times New Roman" w:hAnsi="Times New Roman" w:eastAsia="Times New Roman" w:cs="Times New Roman"/>
          <w:b/>
          <w:bCs/>
          <w:spacing w:val="-5"/>
          <w:sz w:val="24"/>
          <w:szCs w:val="24"/>
        </w:rPr>
        <w:t>5.5.3</w:t>
      </w:r>
      <w:r>
        <w:rPr>
          <w:rFonts w:ascii="Times New Roman" w:hAnsi="Times New Roman" w:eastAsia="Times New Roman" w:cs="Times New Roman"/>
          <w:b/>
          <w:bCs/>
          <w:spacing w:val="20"/>
          <w:w w:val="101"/>
          <w:sz w:val="24"/>
          <w:szCs w:val="24"/>
        </w:rPr>
        <w:t xml:space="preserve"> </w:t>
      </w:r>
      <w:r>
        <w:rPr>
          <w:rFonts w:ascii="宋体" w:hAnsi="宋体" w:eastAsia="宋体" w:cs="宋体"/>
          <w:b/>
          <w:bCs/>
          <w:spacing w:val="-5"/>
          <w:sz w:val="24"/>
          <w:szCs w:val="24"/>
        </w:rPr>
        <w:t>噪声</w:t>
      </w:r>
    </w:p>
    <w:p w14:paraId="71159FA5">
      <w:pPr>
        <w:spacing w:before="182" w:line="360" w:lineRule="auto"/>
        <w:ind w:left="20" w:right="82" w:firstLine="484"/>
        <w:jc w:val="both"/>
        <w:rPr>
          <w:rFonts w:ascii="宋体" w:hAnsi="宋体" w:eastAsia="宋体" w:cs="宋体"/>
          <w:sz w:val="24"/>
          <w:szCs w:val="24"/>
        </w:rPr>
      </w:pPr>
      <w:r>
        <w:rPr>
          <w:rFonts w:ascii="宋体" w:hAnsi="宋体" w:eastAsia="宋体" w:cs="宋体"/>
          <w:spacing w:val="-1"/>
          <w:sz w:val="24"/>
          <w:szCs w:val="24"/>
        </w:rPr>
        <w:t>项目技改后，现有选矿工程生产设备增加，导致噪声源发生了变化，选矿</w:t>
      </w:r>
      <w:r>
        <w:rPr>
          <w:rFonts w:ascii="宋体" w:hAnsi="宋体" w:eastAsia="宋体" w:cs="宋体"/>
          <w:spacing w:val="17"/>
          <w:sz w:val="24"/>
          <w:szCs w:val="24"/>
        </w:rPr>
        <w:t xml:space="preserve"> </w:t>
      </w:r>
      <w:r>
        <w:rPr>
          <w:rFonts w:ascii="宋体" w:hAnsi="宋体" w:eastAsia="宋体" w:cs="宋体"/>
          <w:sz w:val="24"/>
          <w:szCs w:val="24"/>
        </w:rPr>
        <w:t>生产区新增的主要噪声源有尾矿输送泵、振动筛、鼓风</w:t>
      </w:r>
      <w:r>
        <w:rPr>
          <w:rFonts w:ascii="宋体" w:hAnsi="宋体" w:eastAsia="宋体" w:cs="宋体"/>
          <w:spacing w:val="-1"/>
          <w:sz w:val="24"/>
          <w:szCs w:val="24"/>
        </w:rPr>
        <w:t>机、渣浆泵等设备，噪</w:t>
      </w:r>
      <w:r>
        <w:rPr>
          <w:rFonts w:ascii="宋体" w:hAnsi="宋体" w:eastAsia="宋体" w:cs="宋体"/>
          <w:sz w:val="24"/>
          <w:szCs w:val="24"/>
        </w:rPr>
        <w:t xml:space="preserve"> 声值在</w:t>
      </w:r>
      <w:r>
        <w:rPr>
          <w:rFonts w:ascii="Times New Roman" w:hAnsi="Times New Roman" w:eastAsia="Times New Roman" w:cs="Times New Roman"/>
          <w:sz w:val="24"/>
          <w:szCs w:val="24"/>
        </w:rPr>
        <w:t>70</w:t>
      </w:r>
      <w:r>
        <w:rPr>
          <w:rFonts w:ascii="宋体" w:hAnsi="宋体" w:eastAsia="宋体" w:cs="宋体"/>
          <w:sz w:val="24"/>
          <w:szCs w:val="24"/>
        </w:rPr>
        <w:t>～</w:t>
      </w:r>
      <w:r>
        <w:rPr>
          <w:rFonts w:ascii="Times New Roman" w:hAnsi="Times New Roman" w:eastAsia="Times New Roman" w:cs="Times New Roman"/>
          <w:sz w:val="24"/>
          <w:szCs w:val="24"/>
        </w:rPr>
        <w:t>90dB</w:t>
      </w:r>
      <w:r>
        <w:rPr>
          <w:rFonts w:ascii="宋体" w:hAnsi="宋体" w:eastAsia="宋体" w:cs="宋体"/>
          <w:sz w:val="24"/>
          <w:szCs w:val="24"/>
        </w:rPr>
        <w:t>（</w:t>
      </w:r>
      <w:r>
        <w:rPr>
          <w:rFonts w:ascii="Times New Roman" w:hAnsi="Times New Roman" w:eastAsia="Times New Roman" w:cs="Times New Roman"/>
          <w:sz w:val="24"/>
          <w:szCs w:val="24"/>
        </w:rPr>
        <w:t>A</w:t>
      </w:r>
      <w:r>
        <w:rPr>
          <w:rFonts w:ascii="宋体" w:hAnsi="宋体" w:eastAsia="宋体" w:cs="宋体"/>
          <w:sz w:val="24"/>
          <w:szCs w:val="24"/>
        </w:rPr>
        <w:t>）之间，对主要噪声源采用消声、隔声及减震等措施，并</w:t>
      </w:r>
      <w:r>
        <w:rPr>
          <w:rFonts w:ascii="宋体" w:hAnsi="宋体" w:eastAsia="宋体" w:cs="宋体"/>
          <w:spacing w:val="17"/>
          <w:sz w:val="24"/>
          <w:szCs w:val="24"/>
        </w:rPr>
        <w:t xml:space="preserve"> </w:t>
      </w:r>
      <w:r>
        <w:rPr>
          <w:rFonts w:ascii="宋体" w:hAnsi="宋体" w:eastAsia="宋体" w:cs="宋体"/>
          <w:spacing w:val="1"/>
          <w:sz w:val="24"/>
          <w:szCs w:val="24"/>
        </w:rPr>
        <w:t>采用低噪声设备。选矿生产区所在地较空旷，</w:t>
      </w:r>
      <w:r>
        <w:rPr>
          <w:rFonts w:ascii="宋体" w:hAnsi="宋体" w:eastAsia="宋体" w:cs="宋体"/>
          <w:sz w:val="24"/>
          <w:szCs w:val="24"/>
        </w:rPr>
        <w:t>选矿厂周围</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200m</w:t>
      </w:r>
      <w:r>
        <w:rPr>
          <w:rFonts w:ascii="Times New Roman" w:hAnsi="Times New Roman" w:eastAsia="Times New Roman" w:cs="Times New Roman"/>
          <w:spacing w:val="15"/>
          <w:w w:val="101"/>
          <w:sz w:val="24"/>
          <w:szCs w:val="24"/>
        </w:rPr>
        <w:t xml:space="preserve"> </w:t>
      </w:r>
      <w:r>
        <w:rPr>
          <w:rFonts w:ascii="宋体" w:hAnsi="宋体" w:eastAsia="宋体" w:cs="宋体"/>
          <w:sz w:val="24"/>
          <w:szCs w:val="24"/>
        </w:rPr>
        <w:t xml:space="preserve">范围内无噪声 </w:t>
      </w:r>
      <w:r>
        <w:rPr>
          <w:rFonts w:ascii="宋体" w:hAnsi="宋体" w:eastAsia="宋体" w:cs="宋体"/>
          <w:spacing w:val="-5"/>
          <w:sz w:val="24"/>
          <w:szCs w:val="24"/>
        </w:rPr>
        <w:t>敏感点，其噪声源产生的噪声经车间隔声及距离衰减后，对周围环境影响很小。</w:t>
      </w:r>
      <w:r>
        <w:rPr>
          <w:rFonts w:ascii="宋体" w:hAnsi="宋体" w:eastAsia="宋体" w:cs="宋体"/>
          <w:spacing w:val="5"/>
          <w:sz w:val="24"/>
          <w:szCs w:val="24"/>
        </w:rPr>
        <w:t xml:space="preserve"> </w:t>
      </w:r>
      <w:r>
        <w:rPr>
          <w:rFonts w:ascii="宋体" w:hAnsi="宋体" w:eastAsia="宋体" w:cs="宋体"/>
          <w:spacing w:val="-1"/>
          <w:sz w:val="24"/>
          <w:szCs w:val="24"/>
        </w:rPr>
        <w:t>厂界噪声值符合国家标准。</w:t>
      </w:r>
    </w:p>
    <w:p w14:paraId="7005A525">
      <w:pPr>
        <w:spacing w:before="1" w:line="219" w:lineRule="auto"/>
        <w:ind w:left="502"/>
        <w:rPr>
          <w:rFonts w:ascii="宋体" w:hAnsi="宋体" w:eastAsia="宋体" w:cs="宋体"/>
          <w:sz w:val="24"/>
          <w:szCs w:val="24"/>
        </w:rPr>
      </w:pPr>
      <w:r>
        <w:rPr>
          <w:rFonts w:ascii="宋体" w:hAnsi="宋体" w:eastAsia="宋体" w:cs="宋体"/>
          <w:spacing w:val="-2"/>
          <w:sz w:val="24"/>
          <w:szCs w:val="24"/>
        </w:rPr>
        <w:t>新增噪声源强情况见表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5.5-2</w:t>
      </w:r>
      <w:r>
        <w:rPr>
          <w:rFonts w:ascii="宋体" w:hAnsi="宋体" w:eastAsia="宋体" w:cs="宋体"/>
          <w:spacing w:val="-2"/>
          <w:sz w:val="24"/>
          <w:szCs w:val="24"/>
        </w:rPr>
        <w:t>。</w:t>
      </w:r>
    </w:p>
    <w:p w14:paraId="25AB895F">
      <w:pPr>
        <w:spacing w:line="219" w:lineRule="auto"/>
        <w:rPr>
          <w:rFonts w:ascii="宋体" w:hAnsi="宋体" w:eastAsia="宋体" w:cs="宋体"/>
          <w:sz w:val="24"/>
          <w:szCs w:val="24"/>
        </w:rPr>
        <w:sectPr>
          <w:footerReference r:id="rId149" w:type="default"/>
          <w:pgSz w:w="11906" w:h="16839"/>
          <w:pgMar w:top="1208" w:right="1785" w:bottom="1358" w:left="1785" w:header="825" w:footer="1195" w:gutter="0"/>
          <w:cols w:space="720" w:num="1"/>
        </w:sectPr>
      </w:pPr>
    </w:p>
    <w:p w14:paraId="42A913BF">
      <w:pPr>
        <w:pStyle w:val="2"/>
        <w:spacing w:line="310" w:lineRule="auto"/>
      </w:pPr>
    </w:p>
    <w:p w14:paraId="6237101A">
      <w:pPr>
        <w:pStyle w:val="2"/>
        <w:spacing w:line="311" w:lineRule="auto"/>
      </w:pPr>
    </w:p>
    <w:p w14:paraId="1E5E4EBE">
      <w:pPr>
        <w:spacing w:before="78" w:line="219" w:lineRule="auto"/>
        <w:ind w:left="528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5.5-2      </w:t>
      </w:r>
      <w:r>
        <w:rPr>
          <w:rFonts w:ascii="宋体" w:hAnsi="宋体" w:eastAsia="宋体" w:cs="宋体"/>
          <w:spacing w:val="-1"/>
          <w:sz w:val="24"/>
          <w:szCs w:val="24"/>
        </w:rPr>
        <w:t>技改工程新增噪声源强一览表</w:t>
      </w:r>
    </w:p>
    <w:p w14:paraId="658007B1">
      <w:pPr>
        <w:spacing w:line="68" w:lineRule="exact"/>
      </w:pPr>
    </w:p>
    <w:tbl>
      <w:tblPr>
        <w:tblStyle w:val="5"/>
        <w:tblW w:w="14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
        <w:gridCol w:w="812"/>
        <w:gridCol w:w="1900"/>
        <w:gridCol w:w="2551"/>
        <w:gridCol w:w="1113"/>
        <w:gridCol w:w="1007"/>
        <w:gridCol w:w="564"/>
        <w:gridCol w:w="564"/>
        <w:gridCol w:w="670"/>
        <w:gridCol w:w="734"/>
        <w:gridCol w:w="860"/>
        <w:gridCol w:w="962"/>
        <w:gridCol w:w="773"/>
        <w:gridCol w:w="831"/>
        <w:gridCol w:w="684"/>
      </w:tblGrid>
      <w:tr w14:paraId="43EA1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17" w:type="dxa"/>
            <w:vMerge w:val="restart"/>
            <w:tcBorders>
              <w:bottom w:val="nil"/>
            </w:tcBorders>
            <w:textDirection w:val="tbRlV"/>
            <w:vAlign w:val="top"/>
          </w:tcPr>
          <w:p w14:paraId="562C2203">
            <w:pPr>
              <w:pStyle w:val="6"/>
              <w:spacing w:before="52" w:line="218" w:lineRule="auto"/>
              <w:ind w:left="369"/>
            </w:pPr>
            <w:r>
              <w:rPr>
                <w:spacing w:val="6"/>
              </w:rPr>
              <w:t>序 号</w:t>
            </w:r>
          </w:p>
        </w:tc>
        <w:tc>
          <w:tcPr>
            <w:tcW w:w="812" w:type="dxa"/>
            <w:vMerge w:val="restart"/>
            <w:tcBorders>
              <w:bottom w:val="nil"/>
            </w:tcBorders>
            <w:vAlign w:val="top"/>
          </w:tcPr>
          <w:p w14:paraId="57BE32A4">
            <w:pPr>
              <w:spacing w:line="303" w:lineRule="auto"/>
              <w:rPr>
                <w:rFonts w:ascii="Arial"/>
                <w:sz w:val="21"/>
              </w:rPr>
            </w:pPr>
          </w:p>
          <w:p w14:paraId="532B893F">
            <w:pPr>
              <w:pStyle w:val="6"/>
              <w:spacing w:before="65" w:line="290" w:lineRule="auto"/>
              <w:ind w:left="302" w:right="91" w:hanging="205"/>
            </w:pPr>
            <w:r>
              <w:rPr>
                <w:spacing w:val="6"/>
              </w:rPr>
              <w:t>工艺名</w:t>
            </w:r>
            <w:r>
              <w:t xml:space="preserve"> </w:t>
            </w:r>
            <w:r>
              <w:rPr>
                <w:spacing w:val="1"/>
              </w:rPr>
              <w:t>称</w:t>
            </w:r>
          </w:p>
        </w:tc>
        <w:tc>
          <w:tcPr>
            <w:tcW w:w="1900" w:type="dxa"/>
            <w:vMerge w:val="restart"/>
            <w:tcBorders>
              <w:bottom w:val="nil"/>
            </w:tcBorders>
            <w:vAlign w:val="top"/>
          </w:tcPr>
          <w:p w14:paraId="2586DEF5">
            <w:pPr>
              <w:spacing w:line="457" w:lineRule="auto"/>
              <w:rPr>
                <w:rFonts w:ascii="Arial"/>
                <w:sz w:val="21"/>
              </w:rPr>
            </w:pPr>
          </w:p>
          <w:p w14:paraId="41859142">
            <w:pPr>
              <w:pStyle w:val="6"/>
              <w:spacing w:before="65" w:line="228" w:lineRule="auto"/>
              <w:ind w:left="537"/>
            </w:pPr>
            <w:r>
              <w:rPr>
                <w:spacing w:val="6"/>
              </w:rPr>
              <w:t>声源名称</w:t>
            </w:r>
          </w:p>
        </w:tc>
        <w:tc>
          <w:tcPr>
            <w:tcW w:w="2551" w:type="dxa"/>
            <w:vMerge w:val="restart"/>
            <w:tcBorders>
              <w:bottom w:val="nil"/>
            </w:tcBorders>
            <w:vAlign w:val="top"/>
          </w:tcPr>
          <w:p w14:paraId="30687CAE">
            <w:pPr>
              <w:spacing w:line="457" w:lineRule="auto"/>
              <w:rPr>
                <w:rFonts w:ascii="Arial"/>
                <w:sz w:val="21"/>
              </w:rPr>
            </w:pPr>
          </w:p>
          <w:p w14:paraId="79713308">
            <w:pPr>
              <w:pStyle w:val="6"/>
              <w:spacing w:before="65" w:line="229" w:lineRule="auto"/>
              <w:ind w:left="1075"/>
            </w:pPr>
            <w:r>
              <w:rPr>
                <w:spacing w:val="1"/>
              </w:rPr>
              <w:t>型号</w:t>
            </w:r>
          </w:p>
        </w:tc>
        <w:tc>
          <w:tcPr>
            <w:tcW w:w="1113" w:type="dxa"/>
            <w:vMerge w:val="restart"/>
            <w:tcBorders>
              <w:bottom w:val="nil"/>
            </w:tcBorders>
            <w:vAlign w:val="top"/>
          </w:tcPr>
          <w:p w14:paraId="4BC8ADFE">
            <w:pPr>
              <w:spacing w:line="457" w:lineRule="auto"/>
              <w:rPr>
                <w:rFonts w:ascii="Arial"/>
                <w:sz w:val="21"/>
              </w:rPr>
            </w:pPr>
          </w:p>
          <w:p w14:paraId="55DB02DE">
            <w:pPr>
              <w:pStyle w:val="6"/>
              <w:spacing w:before="65" w:line="228" w:lineRule="auto"/>
              <w:ind w:left="146"/>
            </w:pPr>
            <w:r>
              <w:rPr>
                <w:spacing w:val="6"/>
              </w:rPr>
              <w:t>声源源强</w:t>
            </w:r>
          </w:p>
        </w:tc>
        <w:tc>
          <w:tcPr>
            <w:tcW w:w="1007" w:type="dxa"/>
            <w:vMerge w:val="restart"/>
            <w:tcBorders>
              <w:bottom w:val="nil"/>
            </w:tcBorders>
            <w:vAlign w:val="top"/>
          </w:tcPr>
          <w:p w14:paraId="5534E385">
            <w:pPr>
              <w:spacing w:line="301" w:lineRule="auto"/>
              <w:rPr>
                <w:rFonts w:ascii="Arial"/>
                <w:sz w:val="21"/>
              </w:rPr>
            </w:pPr>
          </w:p>
          <w:p w14:paraId="67558784">
            <w:pPr>
              <w:pStyle w:val="6"/>
              <w:spacing w:before="65" w:line="290" w:lineRule="auto"/>
              <w:ind w:left="298" w:right="81" w:hanging="204"/>
            </w:pPr>
            <w:r>
              <w:rPr>
                <w:spacing w:val="6"/>
              </w:rPr>
              <w:t>声源控制</w:t>
            </w:r>
            <w:r>
              <w:t xml:space="preserve"> </w:t>
            </w:r>
            <w:r>
              <w:rPr>
                <w:spacing w:val="4"/>
              </w:rPr>
              <w:t>措施</w:t>
            </w:r>
          </w:p>
        </w:tc>
        <w:tc>
          <w:tcPr>
            <w:tcW w:w="1798" w:type="dxa"/>
            <w:gridSpan w:val="3"/>
            <w:vAlign w:val="top"/>
          </w:tcPr>
          <w:p w14:paraId="13C1AE60">
            <w:pPr>
              <w:pStyle w:val="6"/>
              <w:spacing w:before="71" w:line="229" w:lineRule="auto"/>
              <w:ind w:left="172"/>
              <w:rPr>
                <w:rFonts w:ascii="Times New Roman" w:hAnsi="Times New Roman" w:eastAsia="Times New Roman" w:cs="Times New Roman"/>
              </w:rPr>
            </w:pPr>
            <w:r>
              <w:rPr>
                <w:spacing w:val="6"/>
              </w:rPr>
              <w:t>空间相对位置</w:t>
            </w:r>
            <w:r>
              <w:rPr>
                <w:rFonts w:ascii="Times New Roman" w:hAnsi="Times New Roman" w:eastAsia="Times New Roman" w:cs="Times New Roman"/>
                <w:spacing w:val="6"/>
              </w:rPr>
              <w:t>/m</w:t>
            </w:r>
          </w:p>
        </w:tc>
        <w:tc>
          <w:tcPr>
            <w:tcW w:w="734" w:type="dxa"/>
            <w:vMerge w:val="restart"/>
            <w:tcBorders>
              <w:bottom w:val="nil"/>
            </w:tcBorders>
            <w:vAlign w:val="top"/>
          </w:tcPr>
          <w:p w14:paraId="04FBC770">
            <w:pPr>
              <w:pStyle w:val="6"/>
              <w:spacing w:before="212" w:line="228" w:lineRule="auto"/>
              <w:ind w:left="59"/>
            </w:pPr>
            <w:r>
              <w:rPr>
                <w:spacing w:val="7"/>
              </w:rPr>
              <w:t>距室内</w:t>
            </w:r>
          </w:p>
          <w:p w14:paraId="277B3290">
            <w:pPr>
              <w:pStyle w:val="6"/>
              <w:spacing w:before="65" w:line="229" w:lineRule="auto"/>
              <w:ind w:left="59"/>
            </w:pPr>
            <w:r>
              <w:rPr>
                <w:spacing w:val="7"/>
              </w:rPr>
              <w:t>边界距</w:t>
            </w:r>
          </w:p>
          <w:p w14:paraId="428253E9">
            <w:pPr>
              <w:pStyle w:val="6"/>
              <w:spacing w:before="64" w:line="228" w:lineRule="auto"/>
              <w:ind w:left="161"/>
              <w:rPr>
                <w:rFonts w:ascii="Times New Roman" w:hAnsi="Times New Roman" w:eastAsia="Times New Roman" w:cs="Times New Roman"/>
              </w:rPr>
            </w:pPr>
            <w:r>
              <w:rPr>
                <w:spacing w:val="2"/>
              </w:rPr>
              <w:t>离</w:t>
            </w:r>
            <w:r>
              <w:rPr>
                <w:rFonts w:ascii="Times New Roman" w:hAnsi="Times New Roman" w:eastAsia="Times New Roman" w:cs="Times New Roman"/>
                <w:spacing w:val="2"/>
              </w:rPr>
              <w:t>/m</w:t>
            </w:r>
          </w:p>
        </w:tc>
        <w:tc>
          <w:tcPr>
            <w:tcW w:w="860" w:type="dxa"/>
            <w:vMerge w:val="restart"/>
            <w:tcBorders>
              <w:bottom w:val="nil"/>
            </w:tcBorders>
            <w:vAlign w:val="top"/>
          </w:tcPr>
          <w:p w14:paraId="5EE53888">
            <w:pPr>
              <w:pStyle w:val="6"/>
              <w:spacing w:before="212" w:line="228" w:lineRule="auto"/>
              <w:ind w:left="20"/>
            </w:pPr>
            <w:r>
              <w:rPr>
                <w:spacing w:val="6"/>
              </w:rPr>
              <w:t>室内边界</w:t>
            </w:r>
          </w:p>
          <w:p w14:paraId="11253EF2">
            <w:pPr>
              <w:pStyle w:val="6"/>
              <w:spacing w:before="65" w:line="228" w:lineRule="auto"/>
              <w:ind w:left="230"/>
            </w:pPr>
            <w:r>
              <w:rPr>
                <w:spacing w:val="2"/>
              </w:rPr>
              <w:t>声级</w:t>
            </w:r>
          </w:p>
          <w:p w14:paraId="36314F48">
            <w:pPr>
              <w:spacing w:before="96" w:line="201"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aB</w:t>
            </w:r>
            <w:r>
              <w:rPr>
                <w:rFonts w:ascii="Times New Roman" w:hAnsi="Times New Roman" w:eastAsia="Times New Roman" w:cs="Times New Roman"/>
                <w:spacing w:val="6"/>
                <w:sz w:val="20"/>
                <w:szCs w:val="20"/>
              </w:rPr>
              <w:t>(A)</w:t>
            </w:r>
          </w:p>
        </w:tc>
        <w:tc>
          <w:tcPr>
            <w:tcW w:w="962" w:type="dxa"/>
            <w:vMerge w:val="restart"/>
            <w:tcBorders>
              <w:bottom w:val="nil"/>
            </w:tcBorders>
            <w:vAlign w:val="top"/>
          </w:tcPr>
          <w:p w14:paraId="051A7F19">
            <w:pPr>
              <w:spacing w:line="302" w:lineRule="auto"/>
              <w:rPr>
                <w:rFonts w:ascii="Arial"/>
                <w:sz w:val="21"/>
              </w:rPr>
            </w:pPr>
          </w:p>
          <w:p w14:paraId="644A7700">
            <w:pPr>
              <w:pStyle w:val="6"/>
              <w:spacing w:before="65" w:line="228" w:lineRule="auto"/>
              <w:ind w:left="277"/>
            </w:pPr>
            <w:r>
              <w:rPr>
                <w:spacing w:val="4"/>
              </w:rPr>
              <w:t>运行</w:t>
            </w:r>
          </w:p>
          <w:p w14:paraId="51B5C25F">
            <w:pPr>
              <w:pStyle w:val="6"/>
              <w:spacing w:before="64" w:line="229" w:lineRule="auto"/>
              <w:ind w:left="287"/>
            </w:pPr>
            <w:r>
              <w:rPr>
                <w:spacing w:val="-1"/>
              </w:rPr>
              <w:t>时段</w:t>
            </w:r>
          </w:p>
        </w:tc>
        <w:tc>
          <w:tcPr>
            <w:tcW w:w="773" w:type="dxa"/>
            <w:vMerge w:val="restart"/>
            <w:tcBorders>
              <w:bottom w:val="nil"/>
            </w:tcBorders>
            <w:vAlign w:val="top"/>
          </w:tcPr>
          <w:p w14:paraId="02DB1A66">
            <w:pPr>
              <w:pStyle w:val="6"/>
              <w:spacing w:before="57" w:line="228" w:lineRule="auto"/>
              <w:ind w:left="81"/>
            </w:pPr>
            <w:r>
              <w:rPr>
                <w:spacing w:val="6"/>
              </w:rPr>
              <w:t>建筑物</w:t>
            </w:r>
          </w:p>
          <w:p w14:paraId="41B5C1D8">
            <w:pPr>
              <w:pStyle w:val="6"/>
              <w:spacing w:before="64" w:line="228" w:lineRule="auto"/>
              <w:ind w:left="78"/>
            </w:pPr>
            <w:r>
              <w:rPr>
                <w:spacing w:val="7"/>
              </w:rPr>
              <w:t>插入损</w:t>
            </w:r>
          </w:p>
          <w:p w14:paraId="0FA17E55">
            <w:pPr>
              <w:pStyle w:val="6"/>
              <w:spacing w:before="64" w:line="229" w:lineRule="auto"/>
              <w:ind w:left="213"/>
              <w:rPr>
                <w:rFonts w:ascii="Times New Roman" w:hAnsi="Times New Roman" w:eastAsia="Times New Roman" w:cs="Times New Roman"/>
              </w:rPr>
            </w:pPr>
            <w:r>
              <w:rPr>
                <w:spacing w:val="-1"/>
              </w:rPr>
              <w:t>失</w:t>
            </w:r>
            <w:r>
              <w:rPr>
                <w:spacing w:val="5"/>
              </w:rPr>
              <w:t xml:space="preserve"> </w:t>
            </w:r>
            <w:r>
              <w:rPr>
                <w:rFonts w:ascii="Times New Roman" w:hAnsi="Times New Roman" w:eastAsia="Times New Roman" w:cs="Times New Roman"/>
                <w:spacing w:val="-1"/>
              </w:rPr>
              <w:t>/</w:t>
            </w:r>
          </w:p>
          <w:p w14:paraId="19A829C6">
            <w:pPr>
              <w:spacing w:before="95" w:line="201"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1515" w:type="dxa"/>
            <w:gridSpan w:val="2"/>
            <w:vAlign w:val="top"/>
          </w:tcPr>
          <w:p w14:paraId="14161156">
            <w:pPr>
              <w:pStyle w:val="6"/>
              <w:spacing w:before="71" w:line="228" w:lineRule="auto"/>
              <w:ind w:left="134"/>
            </w:pPr>
            <w:r>
              <w:rPr>
                <w:spacing w:val="7"/>
              </w:rPr>
              <w:t>建筑物外噪声</w:t>
            </w:r>
          </w:p>
        </w:tc>
      </w:tr>
      <w:tr w14:paraId="22224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317" w:type="dxa"/>
            <w:vMerge w:val="continue"/>
            <w:tcBorders>
              <w:top w:val="nil"/>
            </w:tcBorders>
            <w:textDirection w:val="tbRlV"/>
            <w:vAlign w:val="top"/>
          </w:tcPr>
          <w:p w14:paraId="0A8432B6">
            <w:pPr>
              <w:rPr>
                <w:rFonts w:ascii="Arial"/>
                <w:sz w:val="21"/>
              </w:rPr>
            </w:pPr>
          </w:p>
        </w:tc>
        <w:tc>
          <w:tcPr>
            <w:tcW w:w="812" w:type="dxa"/>
            <w:vMerge w:val="continue"/>
            <w:tcBorders>
              <w:top w:val="nil"/>
            </w:tcBorders>
            <w:vAlign w:val="top"/>
          </w:tcPr>
          <w:p w14:paraId="7213D563">
            <w:pPr>
              <w:rPr>
                <w:rFonts w:ascii="Arial"/>
                <w:sz w:val="21"/>
              </w:rPr>
            </w:pPr>
          </w:p>
        </w:tc>
        <w:tc>
          <w:tcPr>
            <w:tcW w:w="1900" w:type="dxa"/>
            <w:vMerge w:val="continue"/>
            <w:tcBorders>
              <w:top w:val="nil"/>
            </w:tcBorders>
            <w:vAlign w:val="top"/>
          </w:tcPr>
          <w:p w14:paraId="4285D930">
            <w:pPr>
              <w:rPr>
                <w:rFonts w:ascii="Arial"/>
                <w:sz w:val="21"/>
              </w:rPr>
            </w:pPr>
          </w:p>
        </w:tc>
        <w:tc>
          <w:tcPr>
            <w:tcW w:w="2551" w:type="dxa"/>
            <w:vMerge w:val="continue"/>
            <w:tcBorders>
              <w:top w:val="nil"/>
            </w:tcBorders>
            <w:vAlign w:val="top"/>
          </w:tcPr>
          <w:p w14:paraId="41687686">
            <w:pPr>
              <w:rPr>
                <w:rFonts w:ascii="Arial"/>
                <w:sz w:val="21"/>
              </w:rPr>
            </w:pPr>
          </w:p>
        </w:tc>
        <w:tc>
          <w:tcPr>
            <w:tcW w:w="1113" w:type="dxa"/>
            <w:vMerge w:val="continue"/>
            <w:tcBorders>
              <w:top w:val="nil"/>
            </w:tcBorders>
            <w:vAlign w:val="top"/>
          </w:tcPr>
          <w:p w14:paraId="7B83AA00">
            <w:pPr>
              <w:rPr>
                <w:rFonts w:ascii="Arial"/>
                <w:sz w:val="21"/>
              </w:rPr>
            </w:pPr>
          </w:p>
        </w:tc>
        <w:tc>
          <w:tcPr>
            <w:tcW w:w="1007" w:type="dxa"/>
            <w:vMerge w:val="continue"/>
            <w:tcBorders>
              <w:top w:val="nil"/>
            </w:tcBorders>
            <w:vAlign w:val="top"/>
          </w:tcPr>
          <w:p w14:paraId="00D2C9A8">
            <w:pPr>
              <w:rPr>
                <w:rFonts w:ascii="Arial"/>
                <w:sz w:val="21"/>
              </w:rPr>
            </w:pPr>
          </w:p>
        </w:tc>
        <w:tc>
          <w:tcPr>
            <w:tcW w:w="564" w:type="dxa"/>
            <w:vAlign w:val="top"/>
          </w:tcPr>
          <w:p w14:paraId="0DD18099">
            <w:pPr>
              <w:spacing w:line="325" w:lineRule="auto"/>
              <w:rPr>
                <w:rFonts w:ascii="Arial"/>
                <w:sz w:val="21"/>
              </w:rPr>
            </w:pPr>
          </w:p>
          <w:p w14:paraId="42B094D4">
            <w:pPr>
              <w:spacing w:before="58"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64" w:type="dxa"/>
            <w:vAlign w:val="top"/>
          </w:tcPr>
          <w:p w14:paraId="1CC206CB">
            <w:pPr>
              <w:spacing w:line="325" w:lineRule="auto"/>
              <w:rPr>
                <w:rFonts w:ascii="Arial"/>
                <w:sz w:val="21"/>
              </w:rPr>
            </w:pPr>
          </w:p>
          <w:p w14:paraId="27B73D8A">
            <w:pPr>
              <w:spacing w:before="58"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670" w:type="dxa"/>
            <w:vAlign w:val="top"/>
          </w:tcPr>
          <w:p w14:paraId="03F951D7">
            <w:pPr>
              <w:spacing w:line="325" w:lineRule="auto"/>
              <w:rPr>
                <w:rFonts w:ascii="Arial"/>
                <w:sz w:val="21"/>
              </w:rPr>
            </w:pPr>
          </w:p>
          <w:p w14:paraId="492585F4">
            <w:pPr>
              <w:spacing w:before="58" w:line="192"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734" w:type="dxa"/>
            <w:vMerge w:val="continue"/>
            <w:tcBorders>
              <w:top w:val="nil"/>
            </w:tcBorders>
            <w:vAlign w:val="top"/>
          </w:tcPr>
          <w:p w14:paraId="52866E18">
            <w:pPr>
              <w:rPr>
                <w:rFonts w:ascii="Arial"/>
                <w:sz w:val="21"/>
              </w:rPr>
            </w:pPr>
          </w:p>
        </w:tc>
        <w:tc>
          <w:tcPr>
            <w:tcW w:w="860" w:type="dxa"/>
            <w:vMerge w:val="continue"/>
            <w:tcBorders>
              <w:top w:val="nil"/>
            </w:tcBorders>
            <w:vAlign w:val="top"/>
          </w:tcPr>
          <w:p w14:paraId="5544FB4E">
            <w:pPr>
              <w:rPr>
                <w:rFonts w:ascii="Arial"/>
                <w:sz w:val="21"/>
              </w:rPr>
            </w:pPr>
          </w:p>
        </w:tc>
        <w:tc>
          <w:tcPr>
            <w:tcW w:w="962" w:type="dxa"/>
            <w:vMerge w:val="continue"/>
            <w:tcBorders>
              <w:top w:val="nil"/>
            </w:tcBorders>
            <w:vAlign w:val="top"/>
          </w:tcPr>
          <w:p w14:paraId="7F75A157">
            <w:pPr>
              <w:rPr>
                <w:rFonts w:ascii="Arial"/>
                <w:sz w:val="21"/>
              </w:rPr>
            </w:pPr>
          </w:p>
        </w:tc>
        <w:tc>
          <w:tcPr>
            <w:tcW w:w="773" w:type="dxa"/>
            <w:vMerge w:val="continue"/>
            <w:tcBorders>
              <w:top w:val="nil"/>
            </w:tcBorders>
            <w:vAlign w:val="top"/>
          </w:tcPr>
          <w:p w14:paraId="2F64FC72">
            <w:pPr>
              <w:rPr>
                <w:rFonts w:ascii="Arial"/>
                <w:sz w:val="21"/>
              </w:rPr>
            </w:pPr>
          </w:p>
        </w:tc>
        <w:tc>
          <w:tcPr>
            <w:tcW w:w="831" w:type="dxa"/>
            <w:vAlign w:val="top"/>
          </w:tcPr>
          <w:p w14:paraId="5610FBCD">
            <w:pPr>
              <w:pStyle w:val="6"/>
              <w:spacing w:before="189" w:line="311" w:lineRule="auto"/>
              <w:ind w:left="118" w:right="97" w:hanging="7"/>
              <w:rPr>
                <w:rFonts w:ascii="Times New Roman" w:hAnsi="Times New Roman" w:eastAsia="Times New Roman" w:cs="Times New Roman"/>
              </w:rPr>
            </w:pPr>
            <w:r>
              <w:rPr>
                <w:spacing w:val="5"/>
              </w:rPr>
              <w:t>声压级</w:t>
            </w:r>
            <w:r>
              <w:t xml:space="preserve"> </w:t>
            </w:r>
            <w:r>
              <w:rPr>
                <w:rFonts w:ascii="Times New Roman" w:hAnsi="Times New Roman" w:eastAsia="Times New Roman" w:cs="Times New Roman"/>
                <w:spacing w:val="6"/>
              </w:rPr>
              <w:t>/</w:t>
            </w:r>
            <w:r>
              <w:rPr>
                <w:rFonts w:ascii="Times New Roman" w:hAnsi="Times New Roman" w:eastAsia="Times New Roman" w:cs="Times New Roman"/>
              </w:rPr>
              <w:t>dB</w:t>
            </w:r>
            <w:r>
              <w:rPr>
                <w:rFonts w:ascii="Times New Roman" w:hAnsi="Times New Roman" w:eastAsia="Times New Roman" w:cs="Times New Roman"/>
                <w:spacing w:val="6"/>
              </w:rPr>
              <w:t>(A)</w:t>
            </w:r>
          </w:p>
        </w:tc>
        <w:tc>
          <w:tcPr>
            <w:tcW w:w="684" w:type="dxa"/>
            <w:vAlign w:val="top"/>
          </w:tcPr>
          <w:p w14:paraId="76BD120A">
            <w:pPr>
              <w:pStyle w:val="6"/>
              <w:spacing w:before="190" w:line="228" w:lineRule="auto"/>
              <w:ind w:left="35"/>
            </w:pPr>
            <w:r>
              <w:rPr>
                <w:spacing w:val="6"/>
              </w:rPr>
              <w:t>建筑物</w:t>
            </w:r>
          </w:p>
          <w:p w14:paraId="5DC95034">
            <w:pPr>
              <w:pStyle w:val="6"/>
              <w:spacing w:before="64" w:line="228" w:lineRule="auto"/>
              <w:ind w:left="36"/>
            </w:pPr>
            <w:r>
              <w:rPr>
                <w:spacing w:val="5"/>
              </w:rPr>
              <w:t>外距离</w:t>
            </w:r>
          </w:p>
        </w:tc>
      </w:tr>
      <w:tr w14:paraId="56EB4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59B6B272">
            <w:pPr>
              <w:spacing w:before="24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12" w:type="dxa"/>
            <w:vMerge w:val="restart"/>
            <w:tcBorders>
              <w:bottom w:val="nil"/>
            </w:tcBorders>
            <w:vAlign w:val="top"/>
          </w:tcPr>
          <w:p w14:paraId="30BA2FAA">
            <w:pPr>
              <w:spacing w:line="270" w:lineRule="auto"/>
              <w:rPr>
                <w:rFonts w:ascii="Arial"/>
                <w:sz w:val="21"/>
              </w:rPr>
            </w:pPr>
          </w:p>
          <w:p w14:paraId="16690017">
            <w:pPr>
              <w:spacing w:line="270" w:lineRule="auto"/>
              <w:rPr>
                <w:rFonts w:ascii="Arial"/>
                <w:sz w:val="21"/>
              </w:rPr>
            </w:pPr>
          </w:p>
          <w:p w14:paraId="4C4D8E3B">
            <w:pPr>
              <w:spacing w:line="270" w:lineRule="auto"/>
              <w:rPr>
                <w:rFonts w:ascii="Arial"/>
                <w:sz w:val="21"/>
              </w:rPr>
            </w:pPr>
          </w:p>
          <w:p w14:paraId="63875D52">
            <w:pPr>
              <w:spacing w:line="271" w:lineRule="auto"/>
              <w:rPr>
                <w:rFonts w:ascii="Arial"/>
                <w:sz w:val="21"/>
              </w:rPr>
            </w:pPr>
          </w:p>
          <w:p w14:paraId="06F74533">
            <w:pPr>
              <w:spacing w:line="271" w:lineRule="auto"/>
              <w:rPr>
                <w:rFonts w:ascii="Arial"/>
                <w:sz w:val="21"/>
              </w:rPr>
            </w:pPr>
          </w:p>
          <w:p w14:paraId="0C48B47F">
            <w:pPr>
              <w:pStyle w:val="6"/>
              <w:spacing w:before="65" w:line="228" w:lineRule="auto"/>
              <w:ind w:left="97"/>
            </w:pPr>
            <w:r>
              <w:rPr>
                <w:spacing w:val="6"/>
              </w:rPr>
              <w:t>磨浮车</w:t>
            </w:r>
          </w:p>
          <w:p w14:paraId="75A41A51">
            <w:pPr>
              <w:pStyle w:val="6"/>
              <w:spacing w:before="64" w:line="231" w:lineRule="auto"/>
              <w:ind w:left="319"/>
            </w:pPr>
            <w:r>
              <w:t>间</w:t>
            </w:r>
          </w:p>
        </w:tc>
        <w:tc>
          <w:tcPr>
            <w:tcW w:w="1900" w:type="dxa"/>
            <w:vAlign w:val="top"/>
          </w:tcPr>
          <w:p w14:paraId="2C539423">
            <w:pPr>
              <w:pStyle w:val="6"/>
              <w:spacing w:before="242" w:line="228" w:lineRule="auto"/>
              <w:ind w:left="33"/>
            </w:pPr>
            <w:r>
              <w:rPr>
                <w:spacing w:val="4"/>
              </w:rPr>
              <w:t>尾矿输送泵（2</w:t>
            </w:r>
            <w:r>
              <w:rPr>
                <w:spacing w:val="-21"/>
              </w:rPr>
              <w:t xml:space="preserve"> </w:t>
            </w:r>
            <w:r>
              <w:rPr>
                <w:spacing w:val="4"/>
              </w:rPr>
              <w:t>台）</w:t>
            </w:r>
          </w:p>
        </w:tc>
        <w:tc>
          <w:tcPr>
            <w:tcW w:w="2551" w:type="dxa"/>
            <w:vAlign w:val="top"/>
          </w:tcPr>
          <w:p w14:paraId="21E5079D">
            <w:pPr>
              <w:pStyle w:val="6"/>
              <w:spacing w:before="36" w:line="269" w:lineRule="exact"/>
              <w:ind w:left="112"/>
            </w:pPr>
            <w:r>
              <w:rPr>
                <w:spacing w:val="4"/>
              </w:rPr>
              <w:t>100/80E-</w:t>
            </w:r>
            <w:r>
              <w:t>HHK</w:t>
            </w:r>
            <w:r>
              <w:rPr>
                <w:spacing w:val="4"/>
              </w:rPr>
              <w:t>，Q=70m</w:t>
            </w:r>
            <w:r>
              <w:rPr>
                <w:spacing w:val="4"/>
                <w:position w:val="10"/>
                <w:sz w:val="10"/>
                <w:szCs w:val="10"/>
              </w:rPr>
              <w:t>3</w:t>
            </w:r>
            <w:r>
              <w:rPr>
                <w:spacing w:val="4"/>
              </w:rPr>
              <w:t>/h，</w:t>
            </w:r>
          </w:p>
          <w:p w14:paraId="4015EE48">
            <w:pPr>
              <w:pStyle w:val="6"/>
              <w:spacing w:before="59" w:line="233" w:lineRule="auto"/>
              <w:ind w:left="1011"/>
            </w:pPr>
            <w:r>
              <w:rPr>
                <w:spacing w:val="4"/>
              </w:rPr>
              <w:t>H=75m</w:t>
            </w:r>
          </w:p>
        </w:tc>
        <w:tc>
          <w:tcPr>
            <w:tcW w:w="1113" w:type="dxa"/>
            <w:vAlign w:val="top"/>
          </w:tcPr>
          <w:p w14:paraId="16125337">
            <w:pPr>
              <w:pStyle w:val="6"/>
              <w:spacing w:before="209"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366697BA">
            <w:pPr>
              <w:pStyle w:val="6"/>
              <w:spacing w:before="210" w:line="228" w:lineRule="auto"/>
              <w:ind w:left="11"/>
            </w:pPr>
            <w:r>
              <w:rPr>
                <w:spacing w:val="-3"/>
              </w:rPr>
              <w:t>减振、隔声</w:t>
            </w:r>
          </w:p>
        </w:tc>
        <w:tc>
          <w:tcPr>
            <w:tcW w:w="564" w:type="dxa"/>
            <w:vAlign w:val="top"/>
          </w:tcPr>
          <w:p w14:paraId="41DB0B3D">
            <w:pPr>
              <w:spacing w:before="24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516</w:t>
            </w:r>
          </w:p>
        </w:tc>
        <w:tc>
          <w:tcPr>
            <w:tcW w:w="564" w:type="dxa"/>
            <w:vAlign w:val="top"/>
          </w:tcPr>
          <w:p w14:paraId="728D2295">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628</w:t>
            </w:r>
          </w:p>
        </w:tc>
        <w:tc>
          <w:tcPr>
            <w:tcW w:w="670" w:type="dxa"/>
            <w:vAlign w:val="top"/>
          </w:tcPr>
          <w:p w14:paraId="1FE063F6">
            <w:pPr>
              <w:spacing w:before="24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1EFD5016">
            <w:pPr>
              <w:spacing w:before="2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41FD674C">
            <w:pPr>
              <w:spacing w:before="2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66.4</w:t>
            </w:r>
          </w:p>
        </w:tc>
        <w:tc>
          <w:tcPr>
            <w:tcW w:w="962" w:type="dxa"/>
            <w:vAlign w:val="top"/>
          </w:tcPr>
          <w:p w14:paraId="198F0BA7">
            <w:pPr>
              <w:pStyle w:val="6"/>
              <w:spacing w:before="20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1E0ACCEF">
            <w:pPr>
              <w:spacing w:line="258" w:lineRule="auto"/>
              <w:rPr>
                <w:rFonts w:ascii="Arial"/>
                <w:sz w:val="21"/>
              </w:rPr>
            </w:pPr>
          </w:p>
          <w:p w14:paraId="295456D9">
            <w:pPr>
              <w:spacing w:line="258" w:lineRule="auto"/>
              <w:rPr>
                <w:rFonts w:ascii="Arial"/>
                <w:sz w:val="21"/>
              </w:rPr>
            </w:pPr>
          </w:p>
          <w:p w14:paraId="7BC04E10">
            <w:pPr>
              <w:spacing w:line="258" w:lineRule="auto"/>
              <w:rPr>
                <w:rFonts w:ascii="Arial"/>
                <w:sz w:val="21"/>
              </w:rPr>
            </w:pPr>
          </w:p>
          <w:p w14:paraId="69F58D3D">
            <w:pPr>
              <w:spacing w:line="259" w:lineRule="auto"/>
              <w:rPr>
                <w:rFonts w:ascii="Arial"/>
                <w:sz w:val="21"/>
              </w:rPr>
            </w:pPr>
          </w:p>
          <w:p w14:paraId="2FA61B33">
            <w:pPr>
              <w:spacing w:line="259" w:lineRule="auto"/>
              <w:rPr>
                <w:rFonts w:ascii="Arial"/>
                <w:sz w:val="21"/>
              </w:rPr>
            </w:pPr>
          </w:p>
          <w:p w14:paraId="1A66061B">
            <w:pPr>
              <w:spacing w:line="259" w:lineRule="auto"/>
              <w:rPr>
                <w:rFonts w:ascii="Arial"/>
                <w:sz w:val="21"/>
              </w:rPr>
            </w:pPr>
          </w:p>
          <w:p w14:paraId="38AA5F28">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4BF6C0B9">
            <w:pPr>
              <w:spacing w:line="258" w:lineRule="auto"/>
              <w:rPr>
                <w:rFonts w:ascii="Arial"/>
                <w:sz w:val="21"/>
              </w:rPr>
            </w:pPr>
          </w:p>
          <w:p w14:paraId="3C912FFF">
            <w:pPr>
              <w:spacing w:line="258" w:lineRule="auto"/>
              <w:rPr>
                <w:rFonts w:ascii="Arial"/>
                <w:sz w:val="21"/>
              </w:rPr>
            </w:pPr>
          </w:p>
          <w:p w14:paraId="62B62748">
            <w:pPr>
              <w:spacing w:line="258" w:lineRule="auto"/>
              <w:rPr>
                <w:rFonts w:ascii="Arial"/>
                <w:sz w:val="21"/>
              </w:rPr>
            </w:pPr>
          </w:p>
          <w:p w14:paraId="04A428FA">
            <w:pPr>
              <w:spacing w:line="259" w:lineRule="auto"/>
              <w:rPr>
                <w:rFonts w:ascii="Arial"/>
                <w:sz w:val="21"/>
              </w:rPr>
            </w:pPr>
          </w:p>
          <w:p w14:paraId="305CD973">
            <w:pPr>
              <w:spacing w:line="259" w:lineRule="auto"/>
              <w:rPr>
                <w:rFonts w:ascii="Arial"/>
                <w:sz w:val="21"/>
              </w:rPr>
            </w:pPr>
          </w:p>
          <w:p w14:paraId="646B31D6">
            <w:pPr>
              <w:spacing w:line="259" w:lineRule="auto"/>
              <w:rPr>
                <w:rFonts w:ascii="Arial"/>
                <w:sz w:val="21"/>
              </w:rPr>
            </w:pPr>
          </w:p>
          <w:p w14:paraId="1C34E8E1">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693706EA">
            <w:pPr>
              <w:spacing w:line="258" w:lineRule="auto"/>
              <w:rPr>
                <w:rFonts w:ascii="Arial"/>
                <w:sz w:val="21"/>
              </w:rPr>
            </w:pPr>
          </w:p>
          <w:p w14:paraId="714E2D0D">
            <w:pPr>
              <w:spacing w:line="258" w:lineRule="auto"/>
              <w:rPr>
                <w:rFonts w:ascii="Arial"/>
                <w:sz w:val="21"/>
              </w:rPr>
            </w:pPr>
          </w:p>
          <w:p w14:paraId="2EBB1877">
            <w:pPr>
              <w:spacing w:line="258" w:lineRule="auto"/>
              <w:rPr>
                <w:rFonts w:ascii="Arial"/>
                <w:sz w:val="21"/>
              </w:rPr>
            </w:pPr>
          </w:p>
          <w:p w14:paraId="6F82B46E">
            <w:pPr>
              <w:spacing w:line="259" w:lineRule="auto"/>
              <w:rPr>
                <w:rFonts w:ascii="Arial"/>
                <w:sz w:val="21"/>
              </w:rPr>
            </w:pPr>
          </w:p>
          <w:p w14:paraId="552EC36C">
            <w:pPr>
              <w:spacing w:line="259" w:lineRule="auto"/>
              <w:rPr>
                <w:rFonts w:ascii="Arial"/>
                <w:sz w:val="21"/>
              </w:rPr>
            </w:pPr>
          </w:p>
          <w:p w14:paraId="06739752">
            <w:pPr>
              <w:spacing w:line="259" w:lineRule="auto"/>
              <w:rPr>
                <w:rFonts w:ascii="Arial"/>
                <w:sz w:val="21"/>
              </w:rPr>
            </w:pPr>
          </w:p>
          <w:p w14:paraId="56CFD45E">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4E8BE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497DFA11">
            <w:pPr>
              <w:spacing w:before="11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2" w:type="dxa"/>
            <w:vMerge w:val="continue"/>
            <w:tcBorders>
              <w:top w:val="nil"/>
              <w:bottom w:val="nil"/>
            </w:tcBorders>
            <w:vAlign w:val="top"/>
          </w:tcPr>
          <w:p w14:paraId="2704069B">
            <w:pPr>
              <w:rPr>
                <w:rFonts w:ascii="Arial"/>
                <w:sz w:val="21"/>
              </w:rPr>
            </w:pPr>
          </w:p>
        </w:tc>
        <w:tc>
          <w:tcPr>
            <w:tcW w:w="1900" w:type="dxa"/>
            <w:vAlign w:val="top"/>
          </w:tcPr>
          <w:p w14:paraId="3DD84C8C">
            <w:pPr>
              <w:pStyle w:val="6"/>
              <w:spacing w:before="112" w:line="224" w:lineRule="auto"/>
              <w:ind w:left="427"/>
            </w:pPr>
            <w:r>
              <w:rPr>
                <w:spacing w:val="8"/>
              </w:rPr>
              <w:t>尾矿输送泵</w:t>
            </w:r>
          </w:p>
        </w:tc>
        <w:tc>
          <w:tcPr>
            <w:tcW w:w="2551" w:type="dxa"/>
            <w:vAlign w:val="top"/>
          </w:tcPr>
          <w:p w14:paraId="630B2A60">
            <w:pPr>
              <w:pStyle w:val="6"/>
              <w:spacing w:before="61" w:line="269" w:lineRule="exact"/>
              <w:ind w:left="3"/>
            </w:pPr>
            <w:r>
              <w:rPr>
                <w:spacing w:val="-1"/>
              </w:rPr>
              <w:t>HGB-90/1，Q=70m</w:t>
            </w:r>
            <w:r>
              <w:rPr>
                <w:spacing w:val="-1"/>
                <w:position w:val="10"/>
                <w:sz w:val="10"/>
                <w:szCs w:val="10"/>
              </w:rPr>
              <w:t>3</w:t>
            </w:r>
            <w:r>
              <w:rPr>
                <w:spacing w:val="-1"/>
              </w:rPr>
              <w:t>/h，H=100m</w:t>
            </w:r>
          </w:p>
        </w:tc>
        <w:tc>
          <w:tcPr>
            <w:tcW w:w="1113" w:type="dxa"/>
            <w:vAlign w:val="top"/>
          </w:tcPr>
          <w:p w14:paraId="404C958A">
            <w:pPr>
              <w:spacing w:before="11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7" w:type="dxa"/>
            <w:vAlign w:val="top"/>
          </w:tcPr>
          <w:p w14:paraId="308A02D6">
            <w:pPr>
              <w:pStyle w:val="6"/>
              <w:spacing w:before="78" w:line="228" w:lineRule="auto"/>
              <w:ind w:left="11"/>
            </w:pPr>
            <w:r>
              <w:rPr>
                <w:spacing w:val="-3"/>
              </w:rPr>
              <w:t>减振、隔声</w:t>
            </w:r>
          </w:p>
        </w:tc>
        <w:tc>
          <w:tcPr>
            <w:tcW w:w="564" w:type="dxa"/>
            <w:vAlign w:val="top"/>
          </w:tcPr>
          <w:p w14:paraId="28557A1B">
            <w:pPr>
              <w:spacing w:before="11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510</w:t>
            </w:r>
          </w:p>
        </w:tc>
        <w:tc>
          <w:tcPr>
            <w:tcW w:w="564" w:type="dxa"/>
            <w:vAlign w:val="top"/>
          </w:tcPr>
          <w:p w14:paraId="0C7CE04C">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670" w:type="dxa"/>
            <w:vAlign w:val="top"/>
          </w:tcPr>
          <w:p w14:paraId="3B43AC42">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65E0B223">
            <w:pPr>
              <w:spacing w:before="11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682C9AD8">
            <w:pPr>
              <w:spacing w:before="11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63.4</w:t>
            </w:r>
          </w:p>
        </w:tc>
        <w:tc>
          <w:tcPr>
            <w:tcW w:w="962" w:type="dxa"/>
            <w:vAlign w:val="top"/>
          </w:tcPr>
          <w:p w14:paraId="2E64FC7E">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9642F34">
            <w:pPr>
              <w:rPr>
                <w:rFonts w:ascii="Arial"/>
                <w:sz w:val="21"/>
              </w:rPr>
            </w:pPr>
          </w:p>
        </w:tc>
        <w:tc>
          <w:tcPr>
            <w:tcW w:w="831" w:type="dxa"/>
            <w:vMerge w:val="continue"/>
            <w:tcBorders>
              <w:top w:val="nil"/>
              <w:bottom w:val="nil"/>
            </w:tcBorders>
            <w:vAlign w:val="top"/>
          </w:tcPr>
          <w:p w14:paraId="5B232BD4">
            <w:pPr>
              <w:rPr>
                <w:rFonts w:ascii="Arial"/>
                <w:sz w:val="21"/>
              </w:rPr>
            </w:pPr>
          </w:p>
        </w:tc>
        <w:tc>
          <w:tcPr>
            <w:tcW w:w="684" w:type="dxa"/>
            <w:vMerge w:val="continue"/>
            <w:tcBorders>
              <w:top w:val="nil"/>
              <w:bottom w:val="nil"/>
            </w:tcBorders>
            <w:vAlign w:val="top"/>
          </w:tcPr>
          <w:p w14:paraId="10AD8F65">
            <w:pPr>
              <w:rPr>
                <w:rFonts w:ascii="Arial"/>
                <w:sz w:val="21"/>
              </w:rPr>
            </w:pPr>
          </w:p>
        </w:tc>
      </w:tr>
      <w:tr w14:paraId="48594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317" w:type="dxa"/>
            <w:vAlign w:val="top"/>
          </w:tcPr>
          <w:p w14:paraId="0A5ABF39">
            <w:pPr>
              <w:spacing w:before="192"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2" w:type="dxa"/>
            <w:vMerge w:val="continue"/>
            <w:tcBorders>
              <w:top w:val="nil"/>
              <w:bottom w:val="nil"/>
            </w:tcBorders>
            <w:vAlign w:val="top"/>
          </w:tcPr>
          <w:p w14:paraId="3757EF9C">
            <w:pPr>
              <w:rPr>
                <w:rFonts w:ascii="Arial"/>
                <w:sz w:val="21"/>
              </w:rPr>
            </w:pPr>
          </w:p>
        </w:tc>
        <w:tc>
          <w:tcPr>
            <w:tcW w:w="1900" w:type="dxa"/>
            <w:vAlign w:val="top"/>
          </w:tcPr>
          <w:p w14:paraId="0E2E3BF4">
            <w:pPr>
              <w:pStyle w:val="6"/>
              <w:spacing w:before="156" w:line="228" w:lineRule="auto"/>
              <w:ind w:left="35"/>
            </w:pPr>
            <w:r>
              <w:rPr>
                <w:spacing w:val="4"/>
              </w:rPr>
              <w:t>直线振动筛（2</w:t>
            </w:r>
            <w:r>
              <w:rPr>
                <w:spacing w:val="-22"/>
              </w:rPr>
              <w:t xml:space="preserve"> </w:t>
            </w:r>
            <w:r>
              <w:rPr>
                <w:spacing w:val="4"/>
              </w:rPr>
              <w:t>台）</w:t>
            </w:r>
          </w:p>
        </w:tc>
        <w:tc>
          <w:tcPr>
            <w:tcW w:w="2551" w:type="dxa"/>
            <w:vAlign w:val="top"/>
          </w:tcPr>
          <w:p w14:paraId="1A9B017E">
            <w:pPr>
              <w:pStyle w:val="6"/>
              <w:spacing w:before="157" w:line="268" w:lineRule="exact"/>
              <w:ind w:left="860"/>
            </w:pPr>
            <w:r>
              <w:rPr>
                <w:position w:val="1"/>
              </w:rPr>
              <w:t>SLG</w:t>
            </w:r>
            <w:r>
              <w:rPr>
                <w:spacing w:val="6"/>
                <w:position w:val="1"/>
              </w:rPr>
              <w:t>1848W</w:t>
            </w:r>
          </w:p>
        </w:tc>
        <w:tc>
          <w:tcPr>
            <w:tcW w:w="1113" w:type="dxa"/>
            <w:vAlign w:val="top"/>
          </w:tcPr>
          <w:p w14:paraId="1F7E7B31">
            <w:pPr>
              <w:pStyle w:val="6"/>
              <w:spacing w:before="156" w:line="228" w:lineRule="auto"/>
              <w:ind w:left="41"/>
            </w:pPr>
            <w:r>
              <w:rPr>
                <w:rFonts w:ascii="Times New Roman" w:hAnsi="Times New Roman" w:eastAsia="Times New Roman" w:cs="Times New Roman"/>
                <w:spacing w:val="4"/>
              </w:rPr>
              <w:t>83</w:t>
            </w:r>
            <w:r>
              <w:rPr>
                <w:spacing w:val="4"/>
              </w:rPr>
              <w:t>（等效）</w:t>
            </w:r>
          </w:p>
        </w:tc>
        <w:tc>
          <w:tcPr>
            <w:tcW w:w="1007" w:type="dxa"/>
            <w:vAlign w:val="top"/>
          </w:tcPr>
          <w:p w14:paraId="3FC08EDE">
            <w:pPr>
              <w:pStyle w:val="6"/>
              <w:spacing w:before="157" w:line="228" w:lineRule="auto"/>
              <w:ind w:left="11"/>
            </w:pPr>
            <w:r>
              <w:rPr>
                <w:spacing w:val="-3"/>
              </w:rPr>
              <w:t>减振、隔声</w:t>
            </w:r>
          </w:p>
        </w:tc>
        <w:tc>
          <w:tcPr>
            <w:tcW w:w="564" w:type="dxa"/>
            <w:vAlign w:val="top"/>
          </w:tcPr>
          <w:p w14:paraId="40DF796D">
            <w:pPr>
              <w:spacing w:before="19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517</w:t>
            </w:r>
          </w:p>
        </w:tc>
        <w:tc>
          <w:tcPr>
            <w:tcW w:w="564" w:type="dxa"/>
            <w:vAlign w:val="top"/>
          </w:tcPr>
          <w:p w14:paraId="3B8C964A">
            <w:pPr>
              <w:spacing w:before="192"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715</w:t>
            </w:r>
          </w:p>
        </w:tc>
        <w:tc>
          <w:tcPr>
            <w:tcW w:w="670" w:type="dxa"/>
            <w:vAlign w:val="top"/>
          </w:tcPr>
          <w:p w14:paraId="082318F4">
            <w:pPr>
              <w:spacing w:before="19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1005.3</w:t>
            </w:r>
          </w:p>
        </w:tc>
        <w:tc>
          <w:tcPr>
            <w:tcW w:w="734" w:type="dxa"/>
            <w:vAlign w:val="top"/>
          </w:tcPr>
          <w:p w14:paraId="440DE1D8">
            <w:pPr>
              <w:spacing w:before="192"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0" w:type="dxa"/>
            <w:vAlign w:val="top"/>
          </w:tcPr>
          <w:p w14:paraId="6801E14F">
            <w:pPr>
              <w:spacing w:before="19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54.4</w:t>
            </w:r>
          </w:p>
        </w:tc>
        <w:tc>
          <w:tcPr>
            <w:tcW w:w="962" w:type="dxa"/>
            <w:vAlign w:val="top"/>
          </w:tcPr>
          <w:p w14:paraId="1C1C0215">
            <w:pPr>
              <w:pStyle w:val="6"/>
              <w:spacing w:before="1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90BAFD2">
            <w:pPr>
              <w:rPr>
                <w:rFonts w:ascii="Arial"/>
                <w:sz w:val="21"/>
              </w:rPr>
            </w:pPr>
          </w:p>
        </w:tc>
        <w:tc>
          <w:tcPr>
            <w:tcW w:w="831" w:type="dxa"/>
            <w:vMerge w:val="continue"/>
            <w:tcBorders>
              <w:top w:val="nil"/>
              <w:bottom w:val="nil"/>
            </w:tcBorders>
            <w:vAlign w:val="top"/>
          </w:tcPr>
          <w:p w14:paraId="411B9ECF">
            <w:pPr>
              <w:rPr>
                <w:rFonts w:ascii="Arial"/>
                <w:sz w:val="21"/>
              </w:rPr>
            </w:pPr>
          </w:p>
        </w:tc>
        <w:tc>
          <w:tcPr>
            <w:tcW w:w="684" w:type="dxa"/>
            <w:vMerge w:val="continue"/>
            <w:tcBorders>
              <w:top w:val="nil"/>
              <w:bottom w:val="nil"/>
            </w:tcBorders>
            <w:vAlign w:val="top"/>
          </w:tcPr>
          <w:p w14:paraId="36CC2816">
            <w:pPr>
              <w:rPr>
                <w:rFonts w:ascii="Arial"/>
                <w:sz w:val="21"/>
              </w:rPr>
            </w:pPr>
          </w:p>
        </w:tc>
      </w:tr>
      <w:tr w14:paraId="4C9DB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7" w:type="dxa"/>
            <w:vAlign w:val="top"/>
          </w:tcPr>
          <w:p w14:paraId="40B04C1F">
            <w:pPr>
              <w:spacing w:before="105"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12" w:type="dxa"/>
            <w:vMerge w:val="continue"/>
            <w:tcBorders>
              <w:top w:val="nil"/>
              <w:bottom w:val="nil"/>
            </w:tcBorders>
            <w:vAlign w:val="top"/>
          </w:tcPr>
          <w:p w14:paraId="3DBD7697">
            <w:pPr>
              <w:rPr>
                <w:rFonts w:ascii="Arial"/>
                <w:sz w:val="21"/>
              </w:rPr>
            </w:pPr>
          </w:p>
        </w:tc>
        <w:tc>
          <w:tcPr>
            <w:tcW w:w="1900" w:type="dxa"/>
            <w:vAlign w:val="top"/>
          </w:tcPr>
          <w:p w14:paraId="4814E926">
            <w:pPr>
              <w:pStyle w:val="6"/>
              <w:spacing w:before="68" w:line="228" w:lineRule="auto"/>
              <w:ind w:left="429"/>
            </w:pPr>
            <w:r>
              <w:rPr>
                <w:spacing w:val="7"/>
              </w:rPr>
              <w:t>直线振动筛</w:t>
            </w:r>
          </w:p>
        </w:tc>
        <w:tc>
          <w:tcPr>
            <w:tcW w:w="2551" w:type="dxa"/>
            <w:vAlign w:val="top"/>
          </w:tcPr>
          <w:p w14:paraId="19B3F9B4">
            <w:pPr>
              <w:pStyle w:val="6"/>
              <w:spacing w:before="69" w:line="266" w:lineRule="exact"/>
              <w:ind w:left="860"/>
            </w:pPr>
            <w:r>
              <w:rPr>
                <w:position w:val="1"/>
              </w:rPr>
              <w:t>SLG</w:t>
            </w:r>
            <w:r>
              <w:rPr>
                <w:spacing w:val="6"/>
                <w:position w:val="1"/>
              </w:rPr>
              <w:t>1536W</w:t>
            </w:r>
          </w:p>
        </w:tc>
        <w:tc>
          <w:tcPr>
            <w:tcW w:w="1113" w:type="dxa"/>
            <w:vAlign w:val="top"/>
          </w:tcPr>
          <w:p w14:paraId="42D59B26">
            <w:pPr>
              <w:spacing w:before="105"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07" w:type="dxa"/>
            <w:vAlign w:val="top"/>
          </w:tcPr>
          <w:p w14:paraId="06AB6BF8">
            <w:pPr>
              <w:pStyle w:val="6"/>
              <w:spacing w:before="69" w:line="228" w:lineRule="auto"/>
              <w:ind w:left="11"/>
            </w:pPr>
            <w:r>
              <w:rPr>
                <w:spacing w:val="-3"/>
              </w:rPr>
              <w:t>减振、隔声</w:t>
            </w:r>
          </w:p>
        </w:tc>
        <w:tc>
          <w:tcPr>
            <w:tcW w:w="564" w:type="dxa"/>
            <w:vAlign w:val="top"/>
          </w:tcPr>
          <w:p w14:paraId="5B4599E1">
            <w:pPr>
              <w:spacing w:before="105"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511</w:t>
            </w:r>
          </w:p>
        </w:tc>
        <w:tc>
          <w:tcPr>
            <w:tcW w:w="564" w:type="dxa"/>
            <w:vAlign w:val="top"/>
          </w:tcPr>
          <w:p w14:paraId="68613AA8">
            <w:pPr>
              <w:spacing w:before="105"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712</w:t>
            </w:r>
          </w:p>
        </w:tc>
        <w:tc>
          <w:tcPr>
            <w:tcW w:w="670" w:type="dxa"/>
            <w:vAlign w:val="top"/>
          </w:tcPr>
          <w:p w14:paraId="1AC38523">
            <w:pPr>
              <w:spacing w:before="10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1005.3</w:t>
            </w:r>
          </w:p>
        </w:tc>
        <w:tc>
          <w:tcPr>
            <w:tcW w:w="734" w:type="dxa"/>
            <w:vAlign w:val="top"/>
          </w:tcPr>
          <w:p w14:paraId="29E6BB21">
            <w:pPr>
              <w:spacing w:before="1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0" w:type="dxa"/>
            <w:vAlign w:val="top"/>
          </w:tcPr>
          <w:p w14:paraId="4619A90B">
            <w:pPr>
              <w:spacing w:before="105"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w:t>
            </w:r>
          </w:p>
        </w:tc>
        <w:tc>
          <w:tcPr>
            <w:tcW w:w="962" w:type="dxa"/>
            <w:vAlign w:val="top"/>
          </w:tcPr>
          <w:p w14:paraId="251B879E">
            <w:pPr>
              <w:pStyle w:val="6"/>
              <w:spacing w:before="6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9473A11">
            <w:pPr>
              <w:rPr>
                <w:rFonts w:ascii="Arial"/>
                <w:sz w:val="21"/>
              </w:rPr>
            </w:pPr>
          </w:p>
        </w:tc>
        <w:tc>
          <w:tcPr>
            <w:tcW w:w="831" w:type="dxa"/>
            <w:vMerge w:val="continue"/>
            <w:tcBorders>
              <w:top w:val="nil"/>
              <w:bottom w:val="nil"/>
            </w:tcBorders>
            <w:vAlign w:val="top"/>
          </w:tcPr>
          <w:p w14:paraId="1643BA2B">
            <w:pPr>
              <w:rPr>
                <w:rFonts w:ascii="Arial"/>
                <w:sz w:val="21"/>
              </w:rPr>
            </w:pPr>
          </w:p>
        </w:tc>
        <w:tc>
          <w:tcPr>
            <w:tcW w:w="684" w:type="dxa"/>
            <w:vMerge w:val="continue"/>
            <w:tcBorders>
              <w:top w:val="nil"/>
              <w:bottom w:val="nil"/>
            </w:tcBorders>
            <w:vAlign w:val="top"/>
          </w:tcPr>
          <w:p w14:paraId="208BA40D">
            <w:pPr>
              <w:rPr>
                <w:rFonts w:ascii="Arial"/>
                <w:sz w:val="21"/>
              </w:rPr>
            </w:pPr>
          </w:p>
        </w:tc>
      </w:tr>
      <w:tr w14:paraId="1464B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7" w:type="dxa"/>
            <w:vAlign w:val="top"/>
          </w:tcPr>
          <w:p w14:paraId="28D75CE8">
            <w:pPr>
              <w:spacing w:before="106" w:line="192"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2" w:type="dxa"/>
            <w:vMerge w:val="continue"/>
            <w:tcBorders>
              <w:top w:val="nil"/>
              <w:bottom w:val="nil"/>
            </w:tcBorders>
            <w:vAlign w:val="top"/>
          </w:tcPr>
          <w:p w14:paraId="7F867B31">
            <w:pPr>
              <w:rPr>
                <w:rFonts w:ascii="Arial"/>
                <w:sz w:val="21"/>
              </w:rPr>
            </w:pPr>
          </w:p>
        </w:tc>
        <w:tc>
          <w:tcPr>
            <w:tcW w:w="1900" w:type="dxa"/>
            <w:vAlign w:val="top"/>
          </w:tcPr>
          <w:p w14:paraId="1043CDA7">
            <w:pPr>
              <w:pStyle w:val="6"/>
              <w:spacing w:before="66" w:line="228" w:lineRule="auto"/>
              <w:ind w:left="39"/>
            </w:pPr>
            <w:r>
              <w:rPr>
                <w:spacing w:val="3"/>
              </w:rPr>
              <w:t>高效搅拌槽（2</w:t>
            </w:r>
            <w:r>
              <w:rPr>
                <w:spacing w:val="-17"/>
              </w:rPr>
              <w:t xml:space="preserve"> </w:t>
            </w:r>
            <w:r>
              <w:rPr>
                <w:spacing w:val="3"/>
              </w:rPr>
              <w:t>台）</w:t>
            </w:r>
          </w:p>
        </w:tc>
        <w:tc>
          <w:tcPr>
            <w:tcW w:w="2551" w:type="dxa"/>
            <w:vAlign w:val="top"/>
          </w:tcPr>
          <w:p w14:paraId="74EF02CB">
            <w:pPr>
              <w:pStyle w:val="6"/>
              <w:spacing w:before="67" w:line="267" w:lineRule="exact"/>
              <w:ind w:left="910"/>
            </w:pPr>
            <w:r>
              <w:rPr>
                <w:position w:val="1"/>
              </w:rPr>
              <w:t>XB</w:t>
            </w:r>
            <w:r>
              <w:rPr>
                <w:spacing w:val="6"/>
                <w:position w:val="1"/>
              </w:rPr>
              <w:t>-3500</w:t>
            </w:r>
          </w:p>
        </w:tc>
        <w:tc>
          <w:tcPr>
            <w:tcW w:w="1113" w:type="dxa"/>
            <w:vAlign w:val="top"/>
          </w:tcPr>
          <w:p w14:paraId="6DD82896">
            <w:pPr>
              <w:pStyle w:val="6"/>
              <w:spacing w:before="66" w:line="228" w:lineRule="auto"/>
              <w:ind w:left="36"/>
            </w:pPr>
            <w:r>
              <w:rPr>
                <w:rFonts w:ascii="Times New Roman" w:hAnsi="Times New Roman" w:eastAsia="Times New Roman" w:cs="Times New Roman"/>
                <w:spacing w:val="5"/>
              </w:rPr>
              <w:t>73</w:t>
            </w:r>
            <w:r>
              <w:rPr>
                <w:spacing w:val="5"/>
              </w:rPr>
              <w:t>（等效）</w:t>
            </w:r>
          </w:p>
        </w:tc>
        <w:tc>
          <w:tcPr>
            <w:tcW w:w="1007" w:type="dxa"/>
            <w:vAlign w:val="top"/>
          </w:tcPr>
          <w:p w14:paraId="29A7D312">
            <w:pPr>
              <w:pStyle w:val="6"/>
              <w:spacing w:before="67" w:line="228" w:lineRule="auto"/>
              <w:ind w:left="11"/>
            </w:pPr>
            <w:r>
              <w:rPr>
                <w:spacing w:val="-3"/>
              </w:rPr>
              <w:t>减振、隔声</w:t>
            </w:r>
          </w:p>
        </w:tc>
        <w:tc>
          <w:tcPr>
            <w:tcW w:w="564" w:type="dxa"/>
            <w:vAlign w:val="top"/>
          </w:tcPr>
          <w:p w14:paraId="4CBDAC87">
            <w:pPr>
              <w:spacing w:before="10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515</w:t>
            </w:r>
          </w:p>
        </w:tc>
        <w:tc>
          <w:tcPr>
            <w:tcW w:w="564" w:type="dxa"/>
            <w:vAlign w:val="top"/>
          </w:tcPr>
          <w:p w14:paraId="5668A14D">
            <w:pPr>
              <w:spacing w:before="103"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670" w:type="dxa"/>
            <w:vAlign w:val="top"/>
          </w:tcPr>
          <w:p w14:paraId="2C4A28B6">
            <w:pPr>
              <w:spacing w:before="10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1005.2</w:t>
            </w:r>
          </w:p>
        </w:tc>
        <w:tc>
          <w:tcPr>
            <w:tcW w:w="734" w:type="dxa"/>
            <w:vAlign w:val="top"/>
          </w:tcPr>
          <w:p w14:paraId="264B43FC">
            <w:pPr>
              <w:spacing w:before="10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7F5B5247">
            <w:pPr>
              <w:spacing w:before="10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39.9</w:t>
            </w:r>
          </w:p>
        </w:tc>
        <w:tc>
          <w:tcPr>
            <w:tcW w:w="962" w:type="dxa"/>
            <w:vAlign w:val="top"/>
          </w:tcPr>
          <w:p w14:paraId="393C112E">
            <w:pPr>
              <w:pStyle w:val="6"/>
              <w:spacing w:before="6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13CABE1">
            <w:pPr>
              <w:rPr>
                <w:rFonts w:ascii="Arial"/>
                <w:sz w:val="21"/>
              </w:rPr>
            </w:pPr>
          </w:p>
        </w:tc>
        <w:tc>
          <w:tcPr>
            <w:tcW w:w="831" w:type="dxa"/>
            <w:vMerge w:val="continue"/>
            <w:tcBorders>
              <w:top w:val="nil"/>
              <w:bottom w:val="nil"/>
            </w:tcBorders>
            <w:vAlign w:val="top"/>
          </w:tcPr>
          <w:p w14:paraId="5668F2BA">
            <w:pPr>
              <w:rPr>
                <w:rFonts w:ascii="Arial"/>
                <w:sz w:val="21"/>
              </w:rPr>
            </w:pPr>
          </w:p>
        </w:tc>
        <w:tc>
          <w:tcPr>
            <w:tcW w:w="684" w:type="dxa"/>
            <w:vMerge w:val="continue"/>
            <w:tcBorders>
              <w:top w:val="nil"/>
              <w:bottom w:val="nil"/>
            </w:tcBorders>
            <w:vAlign w:val="top"/>
          </w:tcPr>
          <w:p w14:paraId="4C101D29">
            <w:pPr>
              <w:rPr>
                <w:rFonts w:ascii="Arial"/>
                <w:sz w:val="21"/>
              </w:rPr>
            </w:pPr>
          </w:p>
        </w:tc>
      </w:tr>
      <w:tr w14:paraId="3891B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3227609C">
            <w:pPr>
              <w:spacing w:before="11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12" w:type="dxa"/>
            <w:vMerge w:val="continue"/>
            <w:tcBorders>
              <w:top w:val="nil"/>
              <w:bottom w:val="nil"/>
            </w:tcBorders>
            <w:vAlign w:val="top"/>
          </w:tcPr>
          <w:p w14:paraId="002B666E">
            <w:pPr>
              <w:rPr>
                <w:rFonts w:ascii="Arial"/>
                <w:sz w:val="21"/>
              </w:rPr>
            </w:pPr>
          </w:p>
        </w:tc>
        <w:tc>
          <w:tcPr>
            <w:tcW w:w="1900" w:type="dxa"/>
            <w:vAlign w:val="top"/>
          </w:tcPr>
          <w:p w14:paraId="2EA5FFF5">
            <w:pPr>
              <w:pStyle w:val="6"/>
              <w:spacing w:before="111" w:line="225" w:lineRule="auto"/>
              <w:ind w:left="37"/>
            </w:pPr>
            <w:r>
              <w:rPr>
                <w:spacing w:val="4"/>
              </w:rPr>
              <w:t>离心鼓风机（2</w:t>
            </w:r>
            <w:r>
              <w:rPr>
                <w:spacing w:val="-24"/>
              </w:rPr>
              <w:t xml:space="preserve"> </w:t>
            </w:r>
            <w:r>
              <w:rPr>
                <w:spacing w:val="4"/>
              </w:rPr>
              <w:t>台）</w:t>
            </w:r>
          </w:p>
        </w:tc>
        <w:tc>
          <w:tcPr>
            <w:tcW w:w="2551" w:type="dxa"/>
            <w:vAlign w:val="top"/>
          </w:tcPr>
          <w:p w14:paraId="548BA150">
            <w:pPr>
              <w:pStyle w:val="6"/>
              <w:spacing w:before="77" w:line="268" w:lineRule="exact"/>
              <w:ind w:left="963"/>
            </w:pPr>
            <w:r>
              <w:rPr>
                <w:position w:val="1"/>
              </w:rPr>
              <w:t>GM</w:t>
            </w:r>
            <w:r>
              <w:rPr>
                <w:spacing w:val="6"/>
                <w:position w:val="1"/>
              </w:rPr>
              <w:t>9004</w:t>
            </w:r>
          </w:p>
        </w:tc>
        <w:tc>
          <w:tcPr>
            <w:tcW w:w="1113" w:type="dxa"/>
            <w:vAlign w:val="top"/>
          </w:tcPr>
          <w:p w14:paraId="52899FB9">
            <w:pPr>
              <w:pStyle w:val="6"/>
              <w:spacing w:before="76" w:line="228" w:lineRule="auto"/>
              <w:ind w:left="37"/>
            </w:pPr>
            <w:r>
              <w:rPr>
                <w:rFonts w:ascii="Times New Roman" w:hAnsi="Times New Roman" w:eastAsia="Times New Roman" w:cs="Times New Roman"/>
                <w:spacing w:val="4"/>
              </w:rPr>
              <w:t>93</w:t>
            </w:r>
            <w:r>
              <w:rPr>
                <w:spacing w:val="4"/>
              </w:rPr>
              <w:t>（等效）</w:t>
            </w:r>
          </w:p>
        </w:tc>
        <w:tc>
          <w:tcPr>
            <w:tcW w:w="1007" w:type="dxa"/>
            <w:vAlign w:val="top"/>
          </w:tcPr>
          <w:p w14:paraId="25C31087">
            <w:pPr>
              <w:pStyle w:val="6"/>
              <w:spacing w:before="77" w:line="228" w:lineRule="auto"/>
              <w:ind w:left="11"/>
            </w:pPr>
            <w:r>
              <w:rPr>
                <w:spacing w:val="-3"/>
              </w:rPr>
              <w:t>减振、隔声</w:t>
            </w:r>
          </w:p>
        </w:tc>
        <w:tc>
          <w:tcPr>
            <w:tcW w:w="564" w:type="dxa"/>
            <w:vAlign w:val="top"/>
          </w:tcPr>
          <w:p w14:paraId="78C93A53">
            <w:pPr>
              <w:spacing w:before="11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520</w:t>
            </w:r>
          </w:p>
        </w:tc>
        <w:tc>
          <w:tcPr>
            <w:tcW w:w="564" w:type="dxa"/>
            <w:vAlign w:val="top"/>
          </w:tcPr>
          <w:p w14:paraId="503BA9BB">
            <w:pPr>
              <w:spacing w:before="11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689</w:t>
            </w:r>
          </w:p>
        </w:tc>
        <w:tc>
          <w:tcPr>
            <w:tcW w:w="670" w:type="dxa"/>
            <w:vAlign w:val="top"/>
          </w:tcPr>
          <w:p w14:paraId="366C5EC8">
            <w:pPr>
              <w:spacing w:before="11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3187B670">
            <w:pPr>
              <w:spacing w:before="11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415B0A6B">
            <w:pPr>
              <w:spacing w:before="113"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w:t>
            </w:r>
          </w:p>
        </w:tc>
        <w:tc>
          <w:tcPr>
            <w:tcW w:w="962" w:type="dxa"/>
            <w:vAlign w:val="top"/>
          </w:tcPr>
          <w:p w14:paraId="3E3BEC20">
            <w:pPr>
              <w:pStyle w:val="6"/>
              <w:spacing w:before="7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2BE7622">
            <w:pPr>
              <w:rPr>
                <w:rFonts w:ascii="Arial"/>
                <w:sz w:val="21"/>
              </w:rPr>
            </w:pPr>
          </w:p>
        </w:tc>
        <w:tc>
          <w:tcPr>
            <w:tcW w:w="831" w:type="dxa"/>
            <w:vMerge w:val="continue"/>
            <w:tcBorders>
              <w:top w:val="nil"/>
              <w:bottom w:val="nil"/>
            </w:tcBorders>
            <w:vAlign w:val="top"/>
          </w:tcPr>
          <w:p w14:paraId="3126F8CF">
            <w:pPr>
              <w:rPr>
                <w:rFonts w:ascii="Arial"/>
                <w:sz w:val="21"/>
              </w:rPr>
            </w:pPr>
          </w:p>
        </w:tc>
        <w:tc>
          <w:tcPr>
            <w:tcW w:w="684" w:type="dxa"/>
            <w:vMerge w:val="continue"/>
            <w:tcBorders>
              <w:top w:val="nil"/>
              <w:bottom w:val="nil"/>
            </w:tcBorders>
            <w:vAlign w:val="top"/>
          </w:tcPr>
          <w:p w14:paraId="0CA3EFBD">
            <w:pPr>
              <w:rPr>
                <w:rFonts w:ascii="Arial"/>
                <w:sz w:val="21"/>
              </w:rPr>
            </w:pPr>
          </w:p>
        </w:tc>
      </w:tr>
      <w:tr w14:paraId="27E15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3881A27E">
            <w:pPr>
              <w:spacing w:before="127" w:line="192"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12" w:type="dxa"/>
            <w:vMerge w:val="continue"/>
            <w:tcBorders>
              <w:top w:val="nil"/>
              <w:bottom w:val="nil"/>
            </w:tcBorders>
            <w:vAlign w:val="top"/>
          </w:tcPr>
          <w:p w14:paraId="309010BF">
            <w:pPr>
              <w:rPr>
                <w:rFonts w:ascii="Arial"/>
                <w:sz w:val="21"/>
              </w:rPr>
            </w:pPr>
          </w:p>
        </w:tc>
        <w:tc>
          <w:tcPr>
            <w:tcW w:w="1900" w:type="dxa"/>
            <w:vAlign w:val="top"/>
          </w:tcPr>
          <w:p w14:paraId="7ACF8325">
            <w:pPr>
              <w:pStyle w:val="6"/>
              <w:spacing w:before="127" w:line="227" w:lineRule="auto"/>
              <w:ind w:left="33"/>
            </w:pPr>
            <w:r>
              <w:rPr>
                <w:spacing w:val="4"/>
              </w:rPr>
              <w:t>立式渣浆泵（8</w:t>
            </w:r>
            <w:r>
              <w:rPr>
                <w:spacing w:val="-21"/>
              </w:rPr>
              <w:t xml:space="preserve"> </w:t>
            </w:r>
            <w:r>
              <w:rPr>
                <w:spacing w:val="4"/>
              </w:rPr>
              <w:t>台）</w:t>
            </w:r>
          </w:p>
        </w:tc>
        <w:tc>
          <w:tcPr>
            <w:tcW w:w="2551" w:type="dxa"/>
            <w:vAlign w:val="top"/>
          </w:tcPr>
          <w:p w14:paraId="795E9D0F">
            <w:pPr>
              <w:pStyle w:val="6"/>
              <w:spacing w:before="71" w:line="269" w:lineRule="exact"/>
              <w:ind w:left="151"/>
            </w:pPr>
            <w:r>
              <w:rPr>
                <w:spacing w:val="5"/>
              </w:rPr>
              <w:t>65Q-</w:t>
            </w:r>
            <w:r>
              <w:t>LP</w:t>
            </w:r>
            <w:r>
              <w:rPr>
                <w:spacing w:val="5"/>
              </w:rPr>
              <w:t xml:space="preserve"> </w:t>
            </w:r>
            <w:r>
              <w:t>Q</w:t>
            </w:r>
            <w:r>
              <w:rPr>
                <w:spacing w:val="5"/>
              </w:rPr>
              <w:t>=62m</w:t>
            </w:r>
            <w:r>
              <w:rPr>
                <w:spacing w:val="5"/>
                <w:position w:val="10"/>
                <w:sz w:val="10"/>
                <w:szCs w:val="10"/>
              </w:rPr>
              <w:t>3</w:t>
            </w:r>
            <w:r>
              <w:rPr>
                <w:spacing w:val="5"/>
              </w:rPr>
              <w:t>/</w:t>
            </w:r>
            <w:r>
              <w:t>h</w:t>
            </w:r>
            <w:r>
              <w:rPr>
                <w:spacing w:val="5"/>
              </w:rPr>
              <w:t xml:space="preserve">  </w:t>
            </w:r>
            <w:r>
              <w:t>H</w:t>
            </w:r>
            <w:r>
              <w:rPr>
                <w:spacing w:val="5"/>
              </w:rPr>
              <w:t>=20m</w:t>
            </w:r>
          </w:p>
        </w:tc>
        <w:tc>
          <w:tcPr>
            <w:tcW w:w="1113" w:type="dxa"/>
            <w:vAlign w:val="top"/>
          </w:tcPr>
          <w:p w14:paraId="43CADDE4">
            <w:pPr>
              <w:pStyle w:val="6"/>
              <w:spacing w:before="88" w:line="228" w:lineRule="auto"/>
              <w:ind w:left="41"/>
            </w:pPr>
            <w:r>
              <w:rPr>
                <w:rFonts w:ascii="Times New Roman" w:hAnsi="Times New Roman" w:eastAsia="Times New Roman" w:cs="Times New Roman"/>
                <w:spacing w:val="4"/>
              </w:rPr>
              <w:t>84</w:t>
            </w:r>
            <w:r>
              <w:rPr>
                <w:spacing w:val="4"/>
              </w:rPr>
              <w:t>（等效）</w:t>
            </w:r>
          </w:p>
        </w:tc>
        <w:tc>
          <w:tcPr>
            <w:tcW w:w="1007" w:type="dxa"/>
            <w:vAlign w:val="top"/>
          </w:tcPr>
          <w:p w14:paraId="658F852F">
            <w:pPr>
              <w:pStyle w:val="6"/>
              <w:spacing w:before="89" w:line="228" w:lineRule="auto"/>
              <w:ind w:left="11"/>
            </w:pPr>
            <w:r>
              <w:rPr>
                <w:spacing w:val="-3"/>
              </w:rPr>
              <w:t>减振、隔声</w:t>
            </w:r>
          </w:p>
        </w:tc>
        <w:tc>
          <w:tcPr>
            <w:tcW w:w="564" w:type="dxa"/>
            <w:vAlign w:val="top"/>
          </w:tcPr>
          <w:p w14:paraId="07017BC5">
            <w:pPr>
              <w:spacing w:before="12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564" w:type="dxa"/>
            <w:vAlign w:val="top"/>
          </w:tcPr>
          <w:p w14:paraId="2AA189C3">
            <w:pPr>
              <w:spacing w:before="12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669</w:t>
            </w:r>
          </w:p>
        </w:tc>
        <w:tc>
          <w:tcPr>
            <w:tcW w:w="670" w:type="dxa"/>
            <w:vAlign w:val="top"/>
          </w:tcPr>
          <w:p w14:paraId="621D086B">
            <w:pPr>
              <w:spacing w:before="12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6A399978">
            <w:pPr>
              <w:spacing w:before="12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2E61EED0">
            <w:pPr>
              <w:spacing w:before="124"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52.7</w:t>
            </w:r>
          </w:p>
        </w:tc>
        <w:tc>
          <w:tcPr>
            <w:tcW w:w="962" w:type="dxa"/>
            <w:vAlign w:val="top"/>
          </w:tcPr>
          <w:p w14:paraId="74DFCACB">
            <w:pPr>
              <w:pStyle w:val="6"/>
              <w:spacing w:before="8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6A889D8E">
            <w:pPr>
              <w:rPr>
                <w:rFonts w:ascii="Arial"/>
                <w:sz w:val="21"/>
              </w:rPr>
            </w:pPr>
          </w:p>
        </w:tc>
        <w:tc>
          <w:tcPr>
            <w:tcW w:w="831" w:type="dxa"/>
            <w:vMerge w:val="continue"/>
            <w:tcBorders>
              <w:top w:val="nil"/>
              <w:bottom w:val="nil"/>
            </w:tcBorders>
            <w:vAlign w:val="top"/>
          </w:tcPr>
          <w:p w14:paraId="123B45E5">
            <w:pPr>
              <w:rPr>
                <w:rFonts w:ascii="Arial"/>
                <w:sz w:val="21"/>
              </w:rPr>
            </w:pPr>
          </w:p>
        </w:tc>
        <w:tc>
          <w:tcPr>
            <w:tcW w:w="684" w:type="dxa"/>
            <w:vMerge w:val="continue"/>
            <w:tcBorders>
              <w:top w:val="nil"/>
              <w:bottom w:val="nil"/>
            </w:tcBorders>
            <w:vAlign w:val="top"/>
          </w:tcPr>
          <w:p w14:paraId="2A5CD804">
            <w:pPr>
              <w:rPr>
                <w:rFonts w:ascii="Arial"/>
                <w:sz w:val="21"/>
              </w:rPr>
            </w:pPr>
          </w:p>
        </w:tc>
      </w:tr>
      <w:tr w14:paraId="01746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0F3683ED">
            <w:pPr>
              <w:spacing w:before="123"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12" w:type="dxa"/>
            <w:vMerge w:val="continue"/>
            <w:tcBorders>
              <w:top w:val="nil"/>
            </w:tcBorders>
            <w:vAlign w:val="top"/>
          </w:tcPr>
          <w:p w14:paraId="379184C9">
            <w:pPr>
              <w:rPr>
                <w:rFonts w:ascii="Arial"/>
                <w:sz w:val="21"/>
              </w:rPr>
            </w:pPr>
          </w:p>
        </w:tc>
        <w:tc>
          <w:tcPr>
            <w:tcW w:w="1900" w:type="dxa"/>
            <w:vAlign w:val="top"/>
          </w:tcPr>
          <w:p w14:paraId="3A757988">
            <w:pPr>
              <w:pStyle w:val="6"/>
              <w:spacing w:before="128" w:line="227" w:lineRule="auto"/>
              <w:ind w:left="33"/>
            </w:pPr>
            <w:r>
              <w:rPr>
                <w:spacing w:val="4"/>
              </w:rPr>
              <w:t>立式渣浆泵（2</w:t>
            </w:r>
            <w:r>
              <w:rPr>
                <w:spacing w:val="-21"/>
              </w:rPr>
              <w:t xml:space="preserve"> </w:t>
            </w:r>
            <w:r>
              <w:rPr>
                <w:spacing w:val="4"/>
              </w:rPr>
              <w:t>台）</w:t>
            </w:r>
          </w:p>
        </w:tc>
        <w:tc>
          <w:tcPr>
            <w:tcW w:w="2551" w:type="dxa"/>
            <w:vAlign w:val="top"/>
          </w:tcPr>
          <w:p w14:paraId="21AB1ABC">
            <w:pPr>
              <w:pStyle w:val="6"/>
              <w:spacing w:before="72" w:line="267" w:lineRule="exact"/>
              <w:ind w:left="62"/>
            </w:pPr>
            <w:r>
              <w:rPr>
                <w:spacing w:val="5"/>
              </w:rPr>
              <w:t>100R-</w:t>
            </w:r>
            <w:r>
              <w:t>LPR</w:t>
            </w:r>
            <w:r>
              <w:rPr>
                <w:spacing w:val="5"/>
              </w:rPr>
              <w:t xml:space="preserve"> </w:t>
            </w:r>
            <w:r>
              <w:t>Q</w:t>
            </w:r>
            <w:r>
              <w:rPr>
                <w:spacing w:val="5"/>
              </w:rPr>
              <w:t>=142m</w:t>
            </w:r>
            <w:r>
              <w:rPr>
                <w:spacing w:val="5"/>
                <w:position w:val="10"/>
                <w:sz w:val="10"/>
                <w:szCs w:val="10"/>
              </w:rPr>
              <w:t>3</w:t>
            </w:r>
            <w:r>
              <w:rPr>
                <w:spacing w:val="5"/>
              </w:rPr>
              <w:t>/</w:t>
            </w:r>
            <w:r>
              <w:t>h</w:t>
            </w:r>
            <w:r>
              <w:rPr>
                <w:spacing w:val="5"/>
              </w:rPr>
              <w:t xml:space="preserve"> </w:t>
            </w:r>
            <w:r>
              <w:t>H</w:t>
            </w:r>
            <w:r>
              <w:rPr>
                <w:spacing w:val="5"/>
              </w:rPr>
              <w:t>=24m</w:t>
            </w:r>
          </w:p>
        </w:tc>
        <w:tc>
          <w:tcPr>
            <w:tcW w:w="1113" w:type="dxa"/>
            <w:vAlign w:val="top"/>
          </w:tcPr>
          <w:p w14:paraId="5C857AB3">
            <w:pPr>
              <w:pStyle w:val="6"/>
              <w:spacing w:before="87"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514C8508">
            <w:pPr>
              <w:pStyle w:val="6"/>
              <w:spacing w:before="88" w:line="228" w:lineRule="auto"/>
              <w:ind w:left="11"/>
            </w:pPr>
            <w:r>
              <w:rPr>
                <w:spacing w:val="-3"/>
              </w:rPr>
              <w:t>减振、隔声</w:t>
            </w:r>
          </w:p>
        </w:tc>
        <w:tc>
          <w:tcPr>
            <w:tcW w:w="564" w:type="dxa"/>
            <w:vAlign w:val="top"/>
          </w:tcPr>
          <w:p w14:paraId="13BC564E">
            <w:pPr>
              <w:spacing w:before="12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525</w:t>
            </w:r>
          </w:p>
        </w:tc>
        <w:tc>
          <w:tcPr>
            <w:tcW w:w="564" w:type="dxa"/>
            <w:vAlign w:val="top"/>
          </w:tcPr>
          <w:p w14:paraId="7DBA1025">
            <w:pPr>
              <w:spacing w:before="12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657</w:t>
            </w:r>
          </w:p>
        </w:tc>
        <w:tc>
          <w:tcPr>
            <w:tcW w:w="670" w:type="dxa"/>
            <w:vAlign w:val="top"/>
          </w:tcPr>
          <w:p w14:paraId="3746B70C">
            <w:pPr>
              <w:spacing w:before="12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3A28D1E2">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2C304E7E">
            <w:pPr>
              <w:spacing w:before="12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w:t>
            </w:r>
          </w:p>
        </w:tc>
        <w:tc>
          <w:tcPr>
            <w:tcW w:w="962" w:type="dxa"/>
            <w:vAlign w:val="top"/>
          </w:tcPr>
          <w:p w14:paraId="7895CE64">
            <w:pPr>
              <w:pStyle w:val="6"/>
              <w:spacing w:before="8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083BF9B3">
            <w:pPr>
              <w:rPr>
                <w:rFonts w:ascii="Arial"/>
                <w:sz w:val="21"/>
              </w:rPr>
            </w:pPr>
          </w:p>
        </w:tc>
        <w:tc>
          <w:tcPr>
            <w:tcW w:w="831" w:type="dxa"/>
            <w:vMerge w:val="continue"/>
            <w:tcBorders>
              <w:top w:val="nil"/>
            </w:tcBorders>
            <w:vAlign w:val="top"/>
          </w:tcPr>
          <w:p w14:paraId="40E1BC8A">
            <w:pPr>
              <w:rPr>
                <w:rFonts w:ascii="Arial"/>
                <w:sz w:val="21"/>
              </w:rPr>
            </w:pPr>
          </w:p>
        </w:tc>
        <w:tc>
          <w:tcPr>
            <w:tcW w:w="684" w:type="dxa"/>
            <w:vMerge w:val="continue"/>
            <w:tcBorders>
              <w:top w:val="nil"/>
            </w:tcBorders>
            <w:vAlign w:val="top"/>
          </w:tcPr>
          <w:p w14:paraId="3F46DDB6">
            <w:pPr>
              <w:rPr>
                <w:rFonts w:ascii="Arial"/>
                <w:sz w:val="21"/>
              </w:rPr>
            </w:pPr>
          </w:p>
        </w:tc>
      </w:tr>
      <w:tr w14:paraId="347D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414C8E8B">
            <w:pPr>
              <w:spacing w:before="115"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2" w:type="dxa"/>
            <w:vMerge w:val="restart"/>
            <w:tcBorders>
              <w:bottom w:val="nil"/>
            </w:tcBorders>
            <w:vAlign w:val="top"/>
          </w:tcPr>
          <w:p w14:paraId="5F835A36">
            <w:pPr>
              <w:pStyle w:val="6"/>
              <w:spacing w:before="302" w:line="228" w:lineRule="auto"/>
              <w:ind w:left="95"/>
            </w:pPr>
            <w:r>
              <w:rPr>
                <w:spacing w:val="6"/>
              </w:rPr>
              <w:t>脱水车</w:t>
            </w:r>
          </w:p>
          <w:p w14:paraId="23B144E6">
            <w:pPr>
              <w:pStyle w:val="6"/>
              <w:spacing w:before="64" w:line="231" w:lineRule="auto"/>
              <w:ind w:left="319"/>
            </w:pPr>
            <w:r>
              <w:t>间</w:t>
            </w:r>
          </w:p>
        </w:tc>
        <w:tc>
          <w:tcPr>
            <w:tcW w:w="1900" w:type="dxa"/>
            <w:vAlign w:val="top"/>
          </w:tcPr>
          <w:p w14:paraId="1F052C5A">
            <w:pPr>
              <w:pStyle w:val="6"/>
              <w:spacing w:before="110" w:line="226" w:lineRule="auto"/>
              <w:ind w:left="327"/>
            </w:pPr>
            <w:r>
              <w:rPr>
                <w:spacing w:val="7"/>
              </w:rPr>
              <w:t>高浓度搅拌槽</w:t>
            </w:r>
          </w:p>
        </w:tc>
        <w:tc>
          <w:tcPr>
            <w:tcW w:w="2551" w:type="dxa"/>
            <w:vAlign w:val="top"/>
          </w:tcPr>
          <w:p w14:paraId="13FF3859">
            <w:pPr>
              <w:pStyle w:val="6"/>
              <w:spacing w:before="79" w:line="268" w:lineRule="exact"/>
              <w:ind w:left="857"/>
            </w:pPr>
            <w:r>
              <w:rPr>
                <w:position w:val="1"/>
              </w:rPr>
              <w:t>XBN</w:t>
            </w:r>
            <w:r>
              <w:rPr>
                <w:spacing w:val="7"/>
                <w:position w:val="1"/>
              </w:rPr>
              <w:t>-1500</w:t>
            </w:r>
          </w:p>
        </w:tc>
        <w:tc>
          <w:tcPr>
            <w:tcW w:w="1113" w:type="dxa"/>
            <w:vAlign w:val="top"/>
          </w:tcPr>
          <w:p w14:paraId="656D0A23">
            <w:pPr>
              <w:spacing w:before="115"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295A7469">
            <w:pPr>
              <w:pStyle w:val="6"/>
              <w:spacing w:before="79" w:line="228" w:lineRule="auto"/>
              <w:ind w:left="11"/>
            </w:pPr>
            <w:r>
              <w:rPr>
                <w:spacing w:val="-3"/>
              </w:rPr>
              <w:t>减振、隔声</w:t>
            </w:r>
          </w:p>
        </w:tc>
        <w:tc>
          <w:tcPr>
            <w:tcW w:w="564" w:type="dxa"/>
            <w:vAlign w:val="top"/>
          </w:tcPr>
          <w:p w14:paraId="23F17797">
            <w:pPr>
              <w:spacing w:before="11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w:t>
            </w:r>
          </w:p>
        </w:tc>
        <w:tc>
          <w:tcPr>
            <w:tcW w:w="564" w:type="dxa"/>
            <w:vAlign w:val="top"/>
          </w:tcPr>
          <w:p w14:paraId="6005269A">
            <w:pPr>
              <w:spacing w:before="1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684</w:t>
            </w:r>
          </w:p>
        </w:tc>
        <w:tc>
          <w:tcPr>
            <w:tcW w:w="670" w:type="dxa"/>
            <w:vAlign w:val="top"/>
          </w:tcPr>
          <w:p w14:paraId="3E36996C">
            <w:pPr>
              <w:spacing w:before="11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1003.2</w:t>
            </w:r>
          </w:p>
        </w:tc>
        <w:tc>
          <w:tcPr>
            <w:tcW w:w="734" w:type="dxa"/>
            <w:vAlign w:val="top"/>
          </w:tcPr>
          <w:p w14:paraId="355D0800">
            <w:pPr>
              <w:spacing w:before="11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1897B27D">
            <w:pPr>
              <w:spacing w:before="115"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2" w:type="dxa"/>
            <w:vAlign w:val="top"/>
          </w:tcPr>
          <w:p w14:paraId="1EF8B317">
            <w:pPr>
              <w:pStyle w:val="6"/>
              <w:spacing w:before="7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58C876F6">
            <w:pPr>
              <w:spacing w:line="434" w:lineRule="auto"/>
              <w:rPr>
                <w:rFonts w:ascii="Arial"/>
                <w:sz w:val="21"/>
              </w:rPr>
            </w:pPr>
          </w:p>
          <w:p w14:paraId="163E6678">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34A80624">
            <w:pPr>
              <w:spacing w:line="434" w:lineRule="auto"/>
              <w:rPr>
                <w:rFonts w:ascii="Arial"/>
                <w:sz w:val="21"/>
              </w:rPr>
            </w:pPr>
          </w:p>
          <w:p w14:paraId="0EBD48AA">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75D56F8C">
            <w:pPr>
              <w:spacing w:line="434" w:lineRule="auto"/>
              <w:rPr>
                <w:rFonts w:ascii="Arial"/>
                <w:sz w:val="21"/>
              </w:rPr>
            </w:pPr>
          </w:p>
          <w:p w14:paraId="021574EE">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57D6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6096B322">
            <w:pPr>
              <w:spacing w:before="114"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12" w:type="dxa"/>
            <w:vMerge w:val="continue"/>
            <w:tcBorders>
              <w:top w:val="nil"/>
              <w:bottom w:val="nil"/>
            </w:tcBorders>
            <w:vAlign w:val="top"/>
          </w:tcPr>
          <w:p w14:paraId="738CEBF6">
            <w:pPr>
              <w:rPr>
                <w:rFonts w:ascii="Arial"/>
                <w:sz w:val="21"/>
              </w:rPr>
            </w:pPr>
          </w:p>
        </w:tc>
        <w:tc>
          <w:tcPr>
            <w:tcW w:w="1900" w:type="dxa"/>
            <w:vAlign w:val="top"/>
          </w:tcPr>
          <w:p w14:paraId="3CE249B1">
            <w:pPr>
              <w:pStyle w:val="6"/>
              <w:spacing w:before="112" w:line="224" w:lineRule="auto"/>
              <w:ind w:left="327"/>
            </w:pPr>
            <w:r>
              <w:rPr>
                <w:spacing w:val="7"/>
              </w:rPr>
              <w:t>高浓度搅拌槽</w:t>
            </w:r>
          </w:p>
        </w:tc>
        <w:tc>
          <w:tcPr>
            <w:tcW w:w="2551" w:type="dxa"/>
            <w:vAlign w:val="top"/>
          </w:tcPr>
          <w:p w14:paraId="601793E7">
            <w:pPr>
              <w:pStyle w:val="6"/>
              <w:spacing w:before="78" w:line="269" w:lineRule="exact"/>
              <w:ind w:left="857"/>
            </w:pPr>
            <w:r>
              <w:rPr>
                <w:position w:val="1"/>
              </w:rPr>
              <w:t>XBN</w:t>
            </w:r>
            <w:r>
              <w:rPr>
                <w:spacing w:val="7"/>
                <w:position w:val="1"/>
              </w:rPr>
              <w:t>-2000</w:t>
            </w:r>
          </w:p>
        </w:tc>
        <w:tc>
          <w:tcPr>
            <w:tcW w:w="1113" w:type="dxa"/>
            <w:vAlign w:val="top"/>
          </w:tcPr>
          <w:p w14:paraId="32C62515">
            <w:pPr>
              <w:spacing w:before="114"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0538C336">
            <w:pPr>
              <w:pStyle w:val="6"/>
              <w:spacing w:before="79" w:line="228" w:lineRule="auto"/>
              <w:ind w:left="11"/>
            </w:pPr>
            <w:r>
              <w:rPr>
                <w:spacing w:val="-3"/>
              </w:rPr>
              <w:t>减振、隔声</w:t>
            </w:r>
          </w:p>
        </w:tc>
        <w:tc>
          <w:tcPr>
            <w:tcW w:w="564" w:type="dxa"/>
            <w:vAlign w:val="top"/>
          </w:tcPr>
          <w:p w14:paraId="1E9E3737">
            <w:pPr>
              <w:spacing w:before="114"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475</w:t>
            </w:r>
          </w:p>
        </w:tc>
        <w:tc>
          <w:tcPr>
            <w:tcW w:w="564" w:type="dxa"/>
            <w:vAlign w:val="top"/>
          </w:tcPr>
          <w:p w14:paraId="0AC97EBA">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672</w:t>
            </w:r>
          </w:p>
        </w:tc>
        <w:tc>
          <w:tcPr>
            <w:tcW w:w="670" w:type="dxa"/>
            <w:vAlign w:val="top"/>
          </w:tcPr>
          <w:p w14:paraId="637B9CF2">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1003.2</w:t>
            </w:r>
          </w:p>
        </w:tc>
        <w:tc>
          <w:tcPr>
            <w:tcW w:w="734" w:type="dxa"/>
            <w:vAlign w:val="top"/>
          </w:tcPr>
          <w:p w14:paraId="4E56D796">
            <w:pPr>
              <w:spacing w:before="11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3CAA4729">
            <w:pPr>
              <w:spacing w:before="11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2" w:type="dxa"/>
            <w:vAlign w:val="top"/>
          </w:tcPr>
          <w:p w14:paraId="5EB56B37">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E635334">
            <w:pPr>
              <w:rPr>
                <w:rFonts w:ascii="Arial"/>
                <w:sz w:val="21"/>
              </w:rPr>
            </w:pPr>
          </w:p>
        </w:tc>
        <w:tc>
          <w:tcPr>
            <w:tcW w:w="831" w:type="dxa"/>
            <w:vMerge w:val="continue"/>
            <w:tcBorders>
              <w:top w:val="nil"/>
              <w:bottom w:val="nil"/>
            </w:tcBorders>
            <w:vAlign w:val="top"/>
          </w:tcPr>
          <w:p w14:paraId="6036AB9B">
            <w:pPr>
              <w:rPr>
                <w:rFonts w:ascii="Arial"/>
                <w:sz w:val="21"/>
              </w:rPr>
            </w:pPr>
          </w:p>
        </w:tc>
        <w:tc>
          <w:tcPr>
            <w:tcW w:w="684" w:type="dxa"/>
            <w:vMerge w:val="continue"/>
            <w:tcBorders>
              <w:top w:val="nil"/>
              <w:bottom w:val="nil"/>
            </w:tcBorders>
            <w:vAlign w:val="top"/>
          </w:tcPr>
          <w:p w14:paraId="713FC005">
            <w:pPr>
              <w:rPr>
                <w:rFonts w:ascii="Arial"/>
                <w:sz w:val="21"/>
              </w:rPr>
            </w:pPr>
          </w:p>
        </w:tc>
      </w:tr>
      <w:tr w14:paraId="5F5C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4171C751">
            <w:pPr>
              <w:spacing w:before="124"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12" w:type="dxa"/>
            <w:vMerge w:val="continue"/>
            <w:tcBorders>
              <w:top w:val="nil"/>
            </w:tcBorders>
            <w:vAlign w:val="top"/>
          </w:tcPr>
          <w:p w14:paraId="613E67F4">
            <w:pPr>
              <w:rPr>
                <w:rFonts w:ascii="Arial"/>
                <w:sz w:val="21"/>
              </w:rPr>
            </w:pPr>
          </w:p>
        </w:tc>
        <w:tc>
          <w:tcPr>
            <w:tcW w:w="1900" w:type="dxa"/>
            <w:vAlign w:val="top"/>
          </w:tcPr>
          <w:p w14:paraId="3A3EB0DC">
            <w:pPr>
              <w:pStyle w:val="6"/>
              <w:spacing w:before="126" w:line="228" w:lineRule="auto"/>
              <w:ind w:left="244"/>
            </w:pPr>
            <w:r>
              <w:rPr>
                <w:spacing w:val="2"/>
              </w:rPr>
              <w:t>渣浆泵（2</w:t>
            </w:r>
            <w:r>
              <w:rPr>
                <w:spacing w:val="-19"/>
              </w:rPr>
              <w:t xml:space="preserve"> </w:t>
            </w:r>
            <w:r>
              <w:rPr>
                <w:spacing w:val="2"/>
              </w:rPr>
              <w:t>台）</w:t>
            </w:r>
          </w:p>
        </w:tc>
        <w:tc>
          <w:tcPr>
            <w:tcW w:w="2551" w:type="dxa"/>
            <w:vAlign w:val="top"/>
          </w:tcPr>
          <w:p w14:paraId="35A0898E">
            <w:pPr>
              <w:pStyle w:val="6"/>
              <w:spacing w:before="70" w:line="270" w:lineRule="exact"/>
              <w:ind w:left="151"/>
            </w:pPr>
            <w:r>
              <w:rPr>
                <w:spacing w:val="5"/>
              </w:rPr>
              <w:t>65Q-</w:t>
            </w:r>
            <w:r>
              <w:t>LP</w:t>
            </w:r>
            <w:r>
              <w:rPr>
                <w:spacing w:val="5"/>
              </w:rPr>
              <w:t xml:space="preserve"> </w:t>
            </w:r>
            <w:r>
              <w:t>Q</w:t>
            </w:r>
            <w:r>
              <w:rPr>
                <w:spacing w:val="5"/>
              </w:rPr>
              <w:t>=62m</w:t>
            </w:r>
            <w:r>
              <w:rPr>
                <w:spacing w:val="5"/>
                <w:position w:val="10"/>
                <w:sz w:val="10"/>
                <w:szCs w:val="10"/>
              </w:rPr>
              <w:t>3</w:t>
            </w:r>
            <w:r>
              <w:rPr>
                <w:spacing w:val="5"/>
              </w:rPr>
              <w:t>/</w:t>
            </w:r>
            <w:r>
              <w:t>h</w:t>
            </w:r>
            <w:r>
              <w:rPr>
                <w:spacing w:val="5"/>
              </w:rPr>
              <w:t xml:space="preserve">  </w:t>
            </w:r>
            <w:r>
              <w:t>H</w:t>
            </w:r>
            <w:r>
              <w:rPr>
                <w:spacing w:val="5"/>
              </w:rPr>
              <w:t>=20m</w:t>
            </w:r>
          </w:p>
        </w:tc>
        <w:tc>
          <w:tcPr>
            <w:tcW w:w="1113" w:type="dxa"/>
            <w:vAlign w:val="top"/>
          </w:tcPr>
          <w:p w14:paraId="591D9369">
            <w:pPr>
              <w:pStyle w:val="6"/>
              <w:spacing w:before="87"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54CED103">
            <w:pPr>
              <w:pStyle w:val="6"/>
              <w:spacing w:before="88" w:line="228" w:lineRule="auto"/>
              <w:ind w:left="11"/>
            </w:pPr>
            <w:r>
              <w:rPr>
                <w:spacing w:val="-3"/>
              </w:rPr>
              <w:t>减振、隔声</w:t>
            </w:r>
          </w:p>
        </w:tc>
        <w:tc>
          <w:tcPr>
            <w:tcW w:w="564" w:type="dxa"/>
            <w:vAlign w:val="top"/>
          </w:tcPr>
          <w:p w14:paraId="33C17E77">
            <w:pPr>
              <w:spacing w:before="12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476</w:t>
            </w:r>
          </w:p>
        </w:tc>
        <w:tc>
          <w:tcPr>
            <w:tcW w:w="564" w:type="dxa"/>
            <w:vAlign w:val="top"/>
          </w:tcPr>
          <w:p w14:paraId="07637B93">
            <w:pPr>
              <w:spacing w:before="12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652</w:t>
            </w:r>
          </w:p>
        </w:tc>
        <w:tc>
          <w:tcPr>
            <w:tcW w:w="670" w:type="dxa"/>
            <w:vAlign w:val="top"/>
          </w:tcPr>
          <w:p w14:paraId="1282FFEC">
            <w:pPr>
              <w:spacing w:before="12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1002.5</w:t>
            </w:r>
          </w:p>
        </w:tc>
        <w:tc>
          <w:tcPr>
            <w:tcW w:w="734" w:type="dxa"/>
            <w:vAlign w:val="top"/>
          </w:tcPr>
          <w:p w14:paraId="3D60B885">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2C30C4EE">
            <w:pPr>
              <w:spacing w:before="12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w:t>
            </w:r>
          </w:p>
        </w:tc>
        <w:tc>
          <w:tcPr>
            <w:tcW w:w="962" w:type="dxa"/>
            <w:vAlign w:val="top"/>
          </w:tcPr>
          <w:p w14:paraId="64916D62">
            <w:pPr>
              <w:pStyle w:val="6"/>
              <w:spacing w:before="8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05F8E3ED">
            <w:pPr>
              <w:rPr>
                <w:rFonts w:ascii="Arial"/>
                <w:sz w:val="21"/>
              </w:rPr>
            </w:pPr>
          </w:p>
        </w:tc>
        <w:tc>
          <w:tcPr>
            <w:tcW w:w="831" w:type="dxa"/>
            <w:vMerge w:val="continue"/>
            <w:tcBorders>
              <w:top w:val="nil"/>
            </w:tcBorders>
            <w:vAlign w:val="top"/>
          </w:tcPr>
          <w:p w14:paraId="6A2CE1FD">
            <w:pPr>
              <w:rPr>
                <w:rFonts w:ascii="Arial"/>
                <w:sz w:val="21"/>
              </w:rPr>
            </w:pPr>
          </w:p>
        </w:tc>
        <w:tc>
          <w:tcPr>
            <w:tcW w:w="684" w:type="dxa"/>
            <w:vMerge w:val="continue"/>
            <w:tcBorders>
              <w:top w:val="nil"/>
            </w:tcBorders>
            <w:vAlign w:val="top"/>
          </w:tcPr>
          <w:p w14:paraId="1674BAF0">
            <w:pPr>
              <w:rPr>
                <w:rFonts w:ascii="Arial"/>
                <w:sz w:val="21"/>
              </w:rPr>
            </w:pPr>
          </w:p>
        </w:tc>
      </w:tr>
      <w:tr w14:paraId="10F5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3F635756">
            <w:pPr>
              <w:spacing w:before="293"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12" w:type="dxa"/>
            <w:vMerge w:val="restart"/>
            <w:tcBorders>
              <w:bottom w:val="nil"/>
            </w:tcBorders>
            <w:vAlign w:val="top"/>
          </w:tcPr>
          <w:p w14:paraId="583FBB21">
            <w:pPr>
              <w:spacing w:line="292" w:lineRule="auto"/>
              <w:rPr>
                <w:rFonts w:ascii="Arial"/>
                <w:sz w:val="21"/>
              </w:rPr>
            </w:pPr>
          </w:p>
          <w:p w14:paraId="605CC8C0">
            <w:pPr>
              <w:spacing w:line="292" w:lineRule="auto"/>
              <w:rPr>
                <w:rFonts w:ascii="Arial"/>
                <w:sz w:val="21"/>
              </w:rPr>
            </w:pPr>
          </w:p>
          <w:p w14:paraId="53254448">
            <w:pPr>
              <w:pStyle w:val="6"/>
              <w:spacing w:before="65" w:line="227" w:lineRule="auto"/>
              <w:ind w:left="97"/>
            </w:pPr>
            <w:r>
              <w:rPr>
                <w:spacing w:val="6"/>
              </w:rPr>
              <w:t>药剂制</w:t>
            </w:r>
          </w:p>
          <w:p w14:paraId="2C16D6D9">
            <w:pPr>
              <w:pStyle w:val="6"/>
              <w:spacing w:before="66" w:line="229" w:lineRule="auto"/>
              <w:ind w:left="305"/>
            </w:pPr>
            <w:r>
              <w:t>备</w:t>
            </w:r>
          </w:p>
        </w:tc>
        <w:tc>
          <w:tcPr>
            <w:tcW w:w="1900" w:type="dxa"/>
            <w:vAlign w:val="top"/>
          </w:tcPr>
          <w:p w14:paraId="39410D9F">
            <w:pPr>
              <w:pStyle w:val="6"/>
              <w:spacing w:before="110" w:line="227" w:lineRule="auto"/>
              <w:ind w:left="62"/>
            </w:pPr>
            <w:r>
              <w:rPr>
                <w:spacing w:val="8"/>
              </w:rPr>
              <w:t>药剂防腐搅拌槽（3</w:t>
            </w:r>
          </w:p>
          <w:p w14:paraId="68E97D3E">
            <w:pPr>
              <w:pStyle w:val="6"/>
              <w:spacing w:before="114" w:line="224" w:lineRule="auto"/>
              <w:ind w:left="758"/>
            </w:pPr>
            <w:r>
              <w:rPr>
                <w:spacing w:val="-8"/>
              </w:rPr>
              <w:t>台）</w:t>
            </w:r>
          </w:p>
        </w:tc>
        <w:tc>
          <w:tcPr>
            <w:tcW w:w="2551" w:type="dxa"/>
            <w:vAlign w:val="top"/>
          </w:tcPr>
          <w:p w14:paraId="6F5F5902">
            <w:pPr>
              <w:pStyle w:val="6"/>
              <w:spacing w:before="257" w:line="226" w:lineRule="auto"/>
              <w:ind w:left="858"/>
            </w:pPr>
            <w:r>
              <w:t>RJW</w:t>
            </w:r>
            <w:r>
              <w:rPr>
                <w:spacing w:val="6"/>
              </w:rPr>
              <w:t>-2500</w:t>
            </w:r>
          </w:p>
        </w:tc>
        <w:tc>
          <w:tcPr>
            <w:tcW w:w="1113" w:type="dxa"/>
            <w:vAlign w:val="top"/>
          </w:tcPr>
          <w:p w14:paraId="3D82723B">
            <w:pPr>
              <w:pStyle w:val="6"/>
              <w:spacing w:before="256"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02FC09A7">
            <w:pPr>
              <w:pStyle w:val="6"/>
              <w:spacing w:before="257" w:line="228" w:lineRule="auto"/>
              <w:ind w:left="11"/>
            </w:pPr>
            <w:r>
              <w:rPr>
                <w:spacing w:val="-3"/>
              </w:rPr>
              <w:t>减振、隔声</w:t>
            </w:r>
          </w:p>
        </w:tc>
        <w:tc>
          <w:tcPr>
            <w:tcW w:w="564" w:type="dxa"/>
            <w:vAlign w:val="top"/>
          </w:tcPr>
          <w:p w14:paraId="530528B0">
            <w:pPr>
              <w:spacing w:before="29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492</w:t>
            </w:r>
          </w:p>
        </w:tc>
        <w:tc>
          <w:tcPr>
            <w:tcW w:w="564" w:type="dxa"/>
            <w:vAlign w:val="top"/>
          </w:tcPr>
          <w:p w14:paraId="3576A4EF">
            <w:pPr>
              <w:spacing w:before="29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642</w:t>
            </w:r>
          </w:p>
        </w:tc>
        <w:tc>
          <w:tcPr>
            <w:tcW w:w="670" w:type="dxa"/>
            <w:vAlign w:val="top"/>
          </w:tcPr>
          <w:p w14:paraId="12F270F2">
            <w:pPr>
              <w:spacing w:before="29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1004.2</w:t>
            </w:r>
          </w:p>
        </w:tc>
        <w:tc>
          <w:tcPr>
            <w:tcW w:w="734" w:type="dxa"/>
            <w:vAlign w:val="top"/>
          </w:tcPr>
          <w:p w14:paraId="1DC69918">
            <w:pPr>
              <w:spacing w:before="29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60" w:type="dxa"/>
            <w:vAlign w:val="top"/>
          </w:tcPr>
          <w:p w14:paraId="0993DCB5">
            <w:pPr>
              <w:spacing w:before="29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c>
          <w:tcPr>
            <w:tcW w:w="962" w:type="dxa"/>
            <w:vAlign w:val="top"/>
          </w:tcPr>
          <w:p w14:paraId="6D84FD9A">
            <w:pPr>
              <w:pStyle w:val="6"/>
              <w:spacing w:before="25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327078EC">
            <w:pPr>
              <w:spacing w:line="260" w:lineRule="auto"/>
              <w:rPr>
                <w:rFonts w:ascii="Arial"/>
                <w:sz w:val="21"/>
              </w:rPr>
            </w:pPr>
          </w:p>
          <w:p w14:paraId="59E5D7C3">
            <w:pPr>
              <w:spacing w:line="261" w:lineRule="auto"/>
              <w:rPr>
                <w:rFonts w:ascii="Arial"/>
                <w:sz w:val="21"/>
              </w:rPr>
            </w:pPr>
          </w:p>
          <w:p w14:paraId="57DD1856">
            <w:pPr>
              <w:spacing w:line="261" w:lineRule="auto"/>
              <w:rPr>
                <w:rFonts w:ascii="Arial"/>
                <w:sz w:val="21"/>
              </w:rPr>
            </w:pPr>
          </w:p>
          <w:p w14:paraId="6EAC3DD5">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23DCF2EB">
            <w:pPr>
              <w:spacing w:line="260" w:lineRule="auto"/>
              <w:rPr>
                <w:rFonts w:ascii="Arial"/>
                <w:sz w:val="21"/>
              </w:rPr>
            </w:pPr>
          </w:p>
          <w:p w14:paraId="45298C70">
            <w:pPr>
              <w:spacing w:line="261" w:lineRule="auto"/>
              <w:rPr>
                <w:rFonts w:ascii="Arial"/>
                <w:sz w:val="21"/>
              </w:rPr>
            </w:pPr>
          </w:p>
          <w:p w14:paraId="2337603A">
            <w:pPr>
              <w:spacing w:line="261" w:lineRule="auto"/>
              <w:rPr>
                <w:rFonts w:ascii="Arial"/>
                <w:sz w:val="21"/>
              </w:rPr>
            </w:pPr>
          </w:p>
          <w:p w14:paraId="1223965A">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4CD701B2">
            <w:pPr>
              <w:spacing w:line="260" w:lineRule="auto"/>
              <w:rPr>
                <w:rFonts w:ascii="Arial"/>
                <w:sz w:val="21"/>
              </w:rPr>
            </w:pPr>
          </w:p>
          <w:p w14:paraId="68966C33">
            <w:pPr>
              <w:spacing w:line="261" w:lineRule="auto"/>
              <w:rPr>
                <w:rFonts w:ascii="Arial"/>
                <w:sz w:val="21"/>
              </w:rPr>
            </w:pPr>
          </w:p>
          <w:p w14:paraId="036057A1">
            <w:pPr>
              <w:spacing w:line="261" w:lineRule="auto"/>
              <w:rPr>
                <w:rFonts w:ascii="Arial"/>
                <w:sz w:val="21"/>
              </w:rPr>
            </w:pPr>
          </w:p>
          <w:p w14:paraId="0AA1C916">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51A8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4DDBC7A1">
            <w:pPr>
              <w:spacing w:before="29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12" w:type="dxa"/>
            <w:vMerge w:val="continue"/>
            <w:tcBorders>
              <w:top w:val="nil"/>
              <w:bottom w:val="nil"/>
            </w:tcBorders>
            <w:vAlign w:val="top"/>
          </w:tcPr>
          <w:p w14:paraId="30F76EF5">
            <w:pPr>
              <w:rPr>
                <w:rFonts w:ascii="Arial"/>
                <w:sz w:val="21"/>
              </w:rPr>
            </w:pPr>
          </w:p>
        </w:tc>
        <w:tc>
          <w:tcPr>
            <w:tcW w:w="1900" w:type="dxa"/>
            <w:vAlign w:val="top"/>
          </w:tcPr>
          <w:p w14:paraId="52155343">
            <w:pPr>
              <w:pStyle w:val="6"/>
              <w:spacing w:before="111" w:line="227" w:lineRule="auto"/>
              <w:ind w:left="62"/>
            </w:pPr>
            <w:r>
              <w:rPr>
                <w:spacing w:val="8"/>
              </w:rPr>
              <w:t>药剂防腐搅拌槽（3</w:t>
            </w:r>
          </w:p>
          <w:p w14:paraId="1D3F4F48">
            <w:pPr>
              <w:pStyle w:val="6"/>
              <w:spacing w:before="114" w:line="224" w:lineRule="auto"/>
              <w:ind w:left="758"/>
            </w:pPr>
            <w:r>
              <w:rPr>
                <w:spacing w:val="-8"/>
              </w:rPr>
              <w:t>台）</w:t>
            </w:r>
          </w:p>
        </w:tc>
        <w:tc>
          <w:tcPr>
            <w:tcW w:w="2551" w:type="dxa"/>
            <w:vAlign w:val="top"/>
          </w:tcPr>
          <w:p w14:paraId="3DCC30CF">
            <w:pPr>
              <w:pStyle w:val="6"/>
              <w:spacing w:before="260" w:line="226" w:lineRule="auto"/>
              <w:ind w:left="858"/>
            </w:pPr>
            <w:r>
              <w:t>RJW</w:t>
            </w:r>
            <w:r>
              <w:rPr>
                <w:spacing w:val="6"/>
              </w:rPr>
              <w:t>-1500</w:t>
            </w:r>
          </w:p>
        </w:tc>
        <w:tc>
          <w:tcPr>
            <w:tcW w:w="1113" w:type="dxa"/>
            <w:vAlign w:val="top"/>
          </w:tcPr>
          <w:p w14:paraId="043DFF72">
            <w:pPr>
              <w:pStyle w:val="6"/>
              <w:spacing w:before="259"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5016CCC3">
            <w:pPr>
              <w:pStyle w:val="6"/>
              <w:spacing w:before="260" w:line="228" w:lineRule="auto"/>
              <w:ind w:left="11"/>
            </w:pPr>
            <w:r>
              <w:rPr>
                <w:spacing w:val="-3"/>
              </w:rPr>
              <w:t>减振、隔声</w:t>
            </w:r>
          </w:p>
        </w:tc>
        <w:tc>
          <w:tcPr>
            <w:tcW w:w="564" w:type="dxa"/>
            <w:vAlign w:val="top"/>
          </w:tcPr>
          <w:p w14:paraId="1B98D276">
            <w:pPr>
              <w:spacing w:before="29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495</w:t>
            </w:r>
          </w:p>
        </w:tc>
        <w:tc>
          <w:tcPr>
            <w:tcW w:w="564" w:type="dxa"/>
            <w:vAlign w:val="top"/>
          </w:tcPr>
          <w:p w14:paraId="685689C3">
            <w:pPr>
              <w:spacing w:before="29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637</w:t>
            </w:r>
          </w:p>
        </w:tc>
        <w:tc>
          <w:tcPr>
            <w:tcW w:w="670" w:type="dxa"/>
            <w:vAlign w:val="top"/>
          </w:tcPr>
          <w:p w14:paraId="6E24EE38">
            <w:pPr>
              <w:spacing w:before="29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1004.2</w:t>
            </w:r>
          </w:p>
        </w:tc>
        <w:tc>
          <w:tcPr>
            <w:tcW w:w="734" w:type="dxa"/>
            <w:vAlign w:val="top"/>
          </w:tcPr>
          <w:p w14:paraId="1CAC6D63">
            <w:pPr>
              <w:spacing w:before="29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60" w:type="dxa"/>
            <w:vAlign w:val="top"/>
          </w:tcPr>
          <w:p w14:paraId="279BC3E2">
            <w:pPr>
              <w:spacing w:before="29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c>
          <w:tcPr>
            <w:tcW w:w="962" w:type="dxa"/>
            <w:vAlign w:val="top"/>
          </w:tcPr>
          <w:p w14:paraId="690136C1">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3BC7A276">
            <w:pPr>
              <w:rPr>
                <w:rFonts w:ascii="Arial"/>
                <w:sz w:val="21"/>
              </w:rPr>
            </w:pPr>
          </w:p>
        </w:tc>
        <w:tc>
          <w:tcPr>
            <w:tcW w:w="831" w:type="dxa"/>
            <w:vMerge w:val="continue"/>
            <w:tcBorders>
              <w:top w:val="nil"/>
              <w:bottom w:val="nil"/>
            </w:tcBorders>
            <w:vAlign w:val="top"/>
          </w:tcPr>
          <w:p w14:paraId="2670CF06">
            <w:pPr>
              <w:rPr>
                <w:rFonts w:ascii="Arial"/>
                <w:sz w:val="21"/>
              </w:rPr>
            </w:pPr>
          </w:p>
        </w:tc>
        <w:tc>
          <w:tcPr>
            <w:tcW w:w="684" w:type="dxa"/>
            <w:vMerge w:val="continue"/>
            <w:tcBorders>
              <w:top w:val="nil"/>
              <w:bottom w:val="nil"/>
            </w:tcBorders>
            <w:vAlign w:val="top"/>
          </w:tcPr>
          <w:p w14:paraId="746E3339">
            <w:pPr>
              <w:rPr>
                <w:rFonts w:ascii="Arial"/>
                <w:sz w:val="21"/>
              </w:rPr>
            </w:pPr>
          </w:p>
        </w:tc>
      </w:tr>
      <w:tr w14:paraId="69528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317" w:type="dxa"/>
            <w:vAlign w:val="top"/>
          </w:tcPr>
          <w:p w14:paraId="079584C2">
            <w:pPr>
              <w:spacing w:before="11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12" w:type="dxa"/>
            <w:vMerge w:val="continue"/>
            <w:tcBorders>
              <w:top w:val="nil"/>
            </w:tcBorders>
            <w:vAlign w:val="top"/>
          </w:tcPr>
          <w:p w14:paraId="3117C50F">
            <w:pPr>
              <w:rPr>
                <w:rFonts w:ascii="Arial"/>
                <w:sz w:val="21"/>
              </w:rPr>
            </w:pPr>
          </w:p>
        </w:tc>
        <w:tc>
          <w:tcPr>
            <w:tcW w:w="1900" w:type="dxa"/>
            <w:vAlign w:val="top"/>
          </w:tcPr>
          <w:p w14:paraId="41684388">
            <w:pPr>
              <w:pStyle w:val="6"/>
              <w:spacing w:before="114" w:line="224" w:lineRule="auto"/>
              <w:ind w:left="114"/>
            </w:pPr>
            <w:r>
              <w:rPr>
                <w:spacing w:val="8"/>
              </w:rPr>
              <w:t>脉动式自动加药机</w:t>
            </w:r>
          </w:p>
        </w:tc>
        <w:tc>
          <w:tcPr>
            <w:tcW w:w="2551" w:type="dxa"/>
            <w:vAlign w:val="top"/>
          </w:tcPr>
          <w:p w14:paraId="6EDF5914">
            <w:pPr>
              <w:pStyle w:val="6"/>
              <w:spacing w:before="81" w:line="226" w:lineRule="auto"/>
              <w:ind w:left="753"/>
            </w:pPr>
            <w:r>
              <w:t>JDI</w:t>
            </w:r>
            <w:r>
              <w:rPr>
                <w:spacing w:val="6"/>
              </w:rPr>
              <w:t>-X-P-32</w:t>
            </w:r>
          </w:p>
        </w:tc>
        <w:tc>
          <w:tcPr>
            <w:tcW w:w="1113" w:type="dxa"/>
            <w:vAlign w:val="top"/>
          </w:tcPr>
          <w:p w14:paraId="0436C357">
            <w:pPr>
              <w:spacing w:before="11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56CB65D6">
            <w:pPr>
              <w:pStyle w:val="6"/>
              <w:spacing w:before="81" w:line="228" w:lineRule="auto"/>
              <w:ind w:left="11"/>
            </w:pPr>
            <w:r>
              <w:rPr>
                <w:spacing w:val="-3"/>
              </w:rPr>
              <w:t>减振、隔声</w:t>
            </w:r>
          </w:p>
        </w:tc>
        <w:tc>
          <w:tcPr>
            <w:tcW w:w="564" w:type="dxa"/>
            <w:vAlign w:val="top"/>
          </w:tcPr>
          <w:p w14:paraId="00A0968B">
            <w:pPr>
              <w:spacing w:before="11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498</w:t>
            </w:r>
          </w:p>
        </w:tc>
        <w:tc>
          <w:tcPr>
            <w:tcW w:w="564" w:type="dxa"/>
            <w:vAlign w:val="top"/>
          </w:tcPr>
          <w:p w14:paraId="6CD0A329">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631</w:t>
            </w:r>
          </w:p>
        </w:tc>
        <w:tc>
          <w:tcPr>
            <w:tcW w:w="670" w:type="dxa"/>
            <w:vAlign w:val="top"/>
          </w:tcPr>
          <w:p w14:paraId="2632D128">
            <w:pPr>
              <w:spacing w:before="11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1004.0</w:t>
            </w:r>
          </w:p>
        </w:tc>
        <w:tc>
          <w:tcPr>
            <w:tcW w:w="734" w:type="dxa"/>
            <w:vAlign w:val="top"/>
          </w:tcPr>
          <w:p w14:paraId="66371CDA">
            <w:pPr>
              <w:spacing w:before="11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60" w:type="dxa"/>
            <w:vAlign w:val="top"/>
          </w:tcPr>
          <w:p w14:paraId="2D6DDBB1">
            <w:pPr>
              <w:spacing w:before="11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962" w:type="dxa"/>
            <w:vAlign w:val="top"/>
          </w:tcPr>
          <w:p w14:paraId="74E712B1">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69873991">
            <w:pPr>
              <w:rPr>
                <w:rFonts w:ascii="Arial"/>
                <w:sz w:val="21"/>
              </w:rPr>
            </w:pPr>
          </w:p>
        </w:tc>
        <w:tc>
          <w:tcPr>
            <w:tcW w:w="831" w:type="dxa"/>
            <w:vMerge w:val="continue"/>
            <w:tcBorders>
              <w:top w:val="nil"/>
            </w:tcBorders>
            <w:vAlign w:val="top"/>
          </w:tcPr>
          <w:p w14:paraId="074496D3">
            <w:pPr>
              <w:rPr>
                <w:rFonts w:ascii="Arial"/>
                <w:sz w:val="21"/>
              </w:rPr>
            </w:pPr>
          </w:p>
        </w:tc>
        <w:tc>
          <w:tcPr>
            <w:tcW w:w="684" w:type="dxa"/>
            <w:vMerge w:val="continue"/>
            <w:tcBorders>
              <w:top w:val="nil"/>
            </w:tcBorders>
            <w:vAlign w:val="top"/>
          </w:tcPr>
          <w:p w14:paraId="1C765C6A">
            <w:pPr>
              <w:rPr>
                <w:rFonts w:ascii="Arial"/>
                <w:sz w:val="21"/>
              </w:rPr>
            </w:pPr>
          </w:p>
        </w:tc>
      </w:tr>
    </w:tbl>
    <w:p w14:paraId="11F33C9F">
      <w:pPr>
        <w:pStyle w:val="2"/>
      </w:pPr>
    </w:p>
    <w:p w14:paraId="05F800E6">
      <w:pPr>
        <w:sectPr>
          <w:headerReference r:id="rId150" w:type="default"/>
          <w:footerReference r:id="rId151" w:type="default"/>
          <w:pgSz w:w="16839" w:h="11906"/>
          <w:pgMar w:top="1208" w:right="1245" w:bottom="1358" w:left="1245" w:header="825" w:footer="1195" w:gutter="0"/>
          <w:cols w:space="720" w:num="1"/>
        </w:sectPr>
      </w:pPr>
    </w:p>
    <w:p w14:paraId="2B79C50C">
      <w:pPr>
        <w:spacing w:before="53"/>
      </w:pPr>
    </w:p>
    <w:p w14:paraId="4DC730BB">
      <w:pPr>
        <w:spacing w:before="52"/>
      </w:pPr>
    </w:p>
    <w:tbl>
      <w:tblPr>
        <w:tblStyle w:val="5"/>
        <w:tblW w:w="14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
        <w:gridCol w:w="812"/>
        <w:gridCol w:w="1900"/>
        <w:gridCol w:w="2551"/>
        <w:gridCol w:w="1113"/>
        <w:gridCol w:w="1007"/>
        <w:gridCol w:w="564"/>
        <w:gridCol w:w="564"/>
        <w:gridCol w:w="670"/>
        <w:gridCol w:w="734"/>
        <w:gridCol w:w="860"/>
        <w:gridCol w:w="962"/>
        <w:gridCol w:w="773"/>
        <w:gridCol w:w="831"/>
        <w:gridCol w:w="684"/>
      </w:tblGrid>
      <w:tr w14:paraId="53627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17" w:type="dxa"/>
            <w:vAlign w:val="top"/>
          </w:tcPr>
          <w:p w14:paraId="2274B41E">
            <w:pPr>
              <w:spacing w:before="12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12" w:type="dxa"/>
            <w:vAlign w:val="top"/>
          </w:tcPr>
          <w:p w14:paraId="52FC7E88">
            <w:pPr>
              <w:rPr>
                <w:rFonts w:ascii="Arial"/>
                <w:sz w:val="21"/>
              </w:rPr>
            </w:pPr>
          </w:p>
        </w:tc>
        <w:tc>
          <w:tcPr>
            <w:tcW w:w="1900" w:type="dxa"/>
            <w:vAlign w:val="top"/>
          </w:tcPr>
          <w:p w14:paraId="144F9C47">
            <w:pPr>
              <w:pStyle w:val="6"/>
              <w:spacing w:before="128" w:line="228" w:lineRule="auto"/>
              <w:ind w:left="324"/>
            </w:pPr>
            <w:r>
              <w:rPr>
                <w:spacing w:val="7"/>
              </w:rPr>
              <w:t>耐腐蚀液下泵</w:t>
            </w:r>
          </w:p>
        </w:tc>
        <w:tc>
          <w:tcPr>
            <w:tcW w:w="2551" w:type="dxa"/>
            <w:vAlign w:val="top"/>
          </w:tcPr>
          <w:p w14:paraId="36F773AE">
            <w:pPr>
              <w:pStyle w:val="6"/>
              <w:spacing w:before="90" w:line="269" w:lineRule="exact"/>
              <w:ind w:left="856"/>
            </w:pPr>
            <w:r>
              <w:rPr>
                <w:position w:val="1"/>
              </w:rPr>
              <w:t>DB</w:t>
            </w:r>
            <w:r>
              <w:rPr>
                <w:spacing w:val="6"/>
                <w:position w:val="1"/>
              </w:rPr>
              <w:t>25Y-16</w:t>
            </w:r>
          </w:p>
        </w:tc>
        <w:tc>
          <w:tcPr>
            <w:tcW w:w="1113" w:type="dxa"/>
            <w:vAlign w:val="top"/>
          </w:tcPr>
          <w:p w14:paraId="6ABFA6FC">
            <w:pPr>
              <w:spacing w:before="12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44FD4BB7">
            <w:pPr>
              <w:pStyle w:val="6"/>
              <w:spacing w:before="91" w:line="228" w:lineRule="auto"/>
              <w:ind w:left="11"/>
            </w:pPr>
            <w:r>
              <w:rPr>
                <w:spacing w:val="-3"/>
              </w:rPr>
              <w:t>减振、隔声</w:t>
            </w:r>
          </w:p>
        </w:tc>
        <w:tc>
          <w:tcPr>
            <w:tcW w:w="564" w:type="dxa"/>
            <w:vAlign w:val="top"/>
          </w:tcPr>
          <w:p w14:paraId="0A88537B">
            <w:pPr>
              <w:spacing w:before="126"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564" w:type="dxa"/>
            <w:vAlign w:val="top"/>
          </w:tcPr>
          <w:p w14:paraId="58A47ED3">
            <w:pPr>
              <w:spacing w:before="12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670" w:type="dxa"/>
            <w:vAlign w:val="top"/>
          </w:tcPr>
          <w:p w14:paraId="1FEEB61D">
            <w:pPr>
              <w:spacing w:before="12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1003.5</w:t>
            </w:r>
          </w:p>
        </w:tc>
        <w:tc>
          <w:tcPr>
            <w:tcW w:w="734" w:type="dxa"/>
            <w:vAlign w:val="top"/>
          </w:tcPr>
          <w:p w14:paraId="4CBB1AA2">
            <w:pPr>
              <w:spacing w:before="12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60" w:type="dxa"/>
            <w:vAlign w:val="top"/>
          </w:tcPr>
          <w:p w14:paraId="0B5B0F16">
            <w:pPr>
              <w:spacing w:before="12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962" w:type="dxa"/>
            <w:vAlign w:val="top"/>
          </w:tcPr>
          <w:p w14:paraId="61FBF9AF">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Align w:val="top"/>
          </w:tcPr>
          <w:p w14:paraId="72639CA7">
            <w:pPr>
              <w:rPr>
                <w:rFonts w:ascii="Arial"/>
                <w:sz w:val="21"/>
              </w:rPr>
            </w:pPr>
          </w:p>
        </w:tc>
        <w:tc>
          <w:tcPr>
            <w:tcW w:w="831" w:type="dxa"/>
            <w:vAlign w:val="top"/>
          </w:tcPr>
          <w:p w14:paraId="48507D5B">
            <w:pPr>
              <w:rPr>
                <w:rFonts w:ascii="Arial"/>
                <w:sz w:val="21"/>
              </w:rPr>
            </w:pPr>
          </w:p>
        </w:tc>
        <w:tc>
          <w:tcPr>
            <w:tcW w:w="684" w:type="dxa"/>
            <w:vAlign w:val="top"/>
          </w:tcPr>
          <w:p w14:paraId="4F172C62">
            <w:pPr>
              <w:rPr>
                <w:rFonts w:ascii="Arial"/>
                <w:sz w:val="21"/>
              </w:rPr>
            </w:pPr>
          </w:p>
        </w:tc>
      </w:tr>
      <w:tr w14:paraId="62C44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7626395E">
            <w:pPr>
              <w:spacing w:before="111"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12" w:type="dxa"/>
            <w:vMerge w:val="restart"/>
            <w:tcBorders>
              <w:bottom w:val="nil"/>
            </w:tcBorders>
            <w:vAlign w:val="top"/>
          </w:tcPr>
          <w:p w14:paraId="20A470AB">
            <w:pPr>
              <w:spacing w:line="260" w:lineRule="auto"/>
              <w:rPr>
                <w:rFonts w:ascii="Arial"/>
                <w:sz w:val="21"/>
              </w:rPr>
            </w:pPr>
          </w:p>
          <w:p w14:paraId="05D3BFEB">
            <w:pPr>
              <w:spacing w:line="260" w:lineRule="auto"/>
              <w:rPr>
                <w:rFonts w:ascii="Arial"/>
                <w:sz w:val="21"/>
              </w:rPr>
            </w:pPr>
          </w:p>
          <w:p w14:paraId="7A1E46D1">
            <w:pPr>
              <w:spacing w:line="260" w:lineRule="auto"/>
              <w:rPr>
                <w:rFonts w:ascii="Arial"/>
                <w:sz w:val="21"/>
              </w:rPr>
            </w:pPr>
          </w:p>
          <w:p w14:paraId="0751A601">
            <w:pPr>
              <w:spacing w:line="260" w:lineRule="auto"/>
              <w:rPr>
                <w:rFonts w:ascii="Arial"/>
                <w:sz w:val="21"/>
              </w:rPr>
            </w:pPr>
          </w:p>
          <w:p w14:paraId="71FADC99">
            <w:pPr>
              <w:spacing w:line="260" w:lineRule="auto"/>
              <w:rPr>
                <w:rFonts w:ascii="Arial"/>
                <w:sz w:val="21"/>
              </w:rPr>
            </w:pPr>
          </w:p>
          <w:p w14:paraId="5F35C716">
            <w:pPr>
              <w:spacing w:line="261" w:lineRule="auto"/>
              <w:rPr>
                <w:rFonts w:ascii="Arial"/>
                <w:sz w:val="21"/>
              </w:rPr>
            </w:pPr>
          </w:p>
          <w:p w14:paraId="1EB5005D">
            <w:pPr>
              <w:spacing w:line="261" w:lineRule="auto"/>
              <w:rPr>
                <w:rFonts w:ascii="Arial"/>
                <w:sz w:val="21"/>
              </w:rPr>
            </w:pPr>
          </w:p>
          <w:p w14:paraId="2D944383">
            <w:pPr>
              <w:spacing w:line="261" w:lineRule="auto"/>
              <w:rPr>
                <w:rFonts w:ascii="Arial"/>
                <w:sz w:val="21"/>
              </w:rPr>
            </w:pPr>
          </w:p>
          <w:p w14:paraId="373AD154">
            <w:pPr>
              <w:pStyle w:val="6"/>
              <w:spacing w:before="65" w:line="228" w:lineRule="auto"/>
              <w:ind w:left="94"/>
            </w:pPr>
            <w:r>
              <w:rPr>
                <w:spacing w:val="6"/>
              </w:rPr>
              <w:t>尾矿回</w:t>
            </w:r>
          </w:p>
          <w:p w14:paraId="72CEF412">
            <w:pPr>
              <w:pStyle w:val="6"/>
              <w:spacing w:before="65" w:line="228" w:lineRule="auto"/>
              <w:ind w:left="97"/>
            </w:pPr>
            <w:r>
              <w:rPr>
                <w:spacing w:val="6"/>
              </w:rPr>
              <w:t>水处理</w:t>
            </w:r>
          </w:p>
        </w:tc>
        <w:tc>
          <w:tcPr>
            <w:tcW w:w="1900" w:type="dxa"/>
            <w:vAlign w:val="top"/>
          </w:tcPr>
          <w:p w14:paraId="02143106">
            <w:pPr>
              <w:pStyle w:val="6"/>
              <w:spacing w:before="109" w:line="227" w:lineRule="auto"/>
              <w:ind w:left="535"/>
            </w:pPr>
            <w:r>
              <w:rPr>
                <w:spacing w:val="6"/>
              </w:rPr>
              <w:t>溶气水泵</w:t>
            </w:r>
          </w:p>
        </w:tc>
        <w:tc>
          <w:tcPr>
            <w:tcW w:w="2551" w:type="dxa"/>
            <w:vAlign w:val="top"/>
          </w:tcPr>
          <w:p w14:paraId="6AFEDCC3">
            <w:pPr>
              <w:pStyle w:val="6"/>
              <w:spacing w:before="58" w:line="269" w:lineRule="exact"/>
              <w:ind w:left="515"/>
            </w:pPr>
            <w:r>
              <w:rPr>
                <w:spacing w:val="4"/>
              </w:rPr>
              <w:t>Q=90m</w:t>
            </w:r>
            <w:r>
              <w:rPr>
                <w:spacing w:val="4"/>
                <w:position w:val="10"/>
                <w:sz w:val="10"/>
                <w:szCs w:val="10"/>
              </w:rPr>
              <w:t>3</w:t>
            </w:r>
            <w:r>
              <w:rPr>
                <w:spacing w:val="4"/>
              </w:rPr>
              <w:t>/h，H=44m</w:t>
            </w:r>
          </w:p>
        </w:tc>
        <w:tc>
          <w:tcPr>
            <w:tcW w:w="1113" w:type="dxa"/>
            <w:vAlign w:val="top"/>
          </w:tcPr>
          <w:p w14:paraId="34D7E34D">
            <w:pPr>
              <w:spacing w:before="111"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2FFA797E">
            <w:pPr>
              <w:pStyle w:val="6"/>
              <w:spacing w:before="76" w:line="228" w:lineRule="auto"/>
              <w:ind w:left="11"/>
            </w:pPr>
            <w:r>
              <w:rPr>
                <w:spacing w:val="-3"/>
              </w:rPr>
              <w:t>减振、隔声</w:t>
            </w:r>
          </w:p>
        </w:tc>
        <w:tc>
          <w:tcPr>
            <w:tcW w:w="564" w:type="dxa"/>
            <w:vAlign w:val="top"/>
          </w:tcPr>
          <w:p w14:paraId="644561E5">
            <w:pPr>
              <w:spacing w:before="11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w:t>
            </w:r>
          </w:p>
        </w:tc>
        <w:tc>
          <w:tcPr>
            <w:tcW w:w="564" w:type="dxa"/>
            <w:vAlign w:val="top"/>
          </w:tcPr>
          <w:p w14:paraId="04CEED29">
            <w:pPr>
              <w:spacing w:before="11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636</w:t>
            </w:r>
          </w:p>
        </w:tc>
        <w:tc>
          <w:tcPr>
            <w:tcW w:w="670" w:type="dxa"/>
            <w:vAlign w:val="top"/>
          </w:tcPr>
          <w:p w14:paraId="7D7D4809">
            <w:pPr>
              <w:spacing w:before="111"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6009E2AE">
            <w:pPr>
              <w:spacing w:before="11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4174308E">
            <w:pPr>
              <w:spacing w:before="11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50.2</w:t>
            </w:r>
          </w:p>
        </w:tc>
        <w:tc>
          <w:tcPr>
            <w:tcW w:w="962" w:type="dxa"/>
            <w:vAlign w:val="top"/>
          </w:tcPr>
          <w:p w14:paraId="13264B29">
            <w:pPr>
              <w:pStyle w:val="6"/>
              <w:spacing w:before="75"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30E719D6">
            <w:pPr>
              <w:spacing w:line="253" w:lineRule="auto"/>
              <w:rPr>
                <w:rFonts w:ascii="Arial"/>
                <w:sz w:val="21"/>
              </w:rPr>
            </w:pPr>
          </w:p>
          <w:p w14:paraId="2CC4F72D">
            <w:pPr>
              <w:spacing w:line="253" w:lineRule="auto"/>
              <w:rPr>
                <w:rFonts w:ascii="Arial"/>
                <w:sz w:val="21"/>
              </w:rPr>
            </w:pPr>
          </w:p>
          <w:p w14:paraId="5CE7A031">
            <w:pPr>
              <w:spacing w:line="253" w:lineRule="auto"/>
              <w:rPr>
                <w:rFonts w:ascii="Arial"/>
                <w:sz w:val="21"/>
              </w:rPr>
            </w:pPr>
          </w:p>
          <w:p w14:paraId="5E8279D5">
            <w:pPr>
              <w:spacing w:line="253" w:lineRule="auto"/>
              <w:rPr>
                <w:rFonts w:ascii="Arial"/>
                <w:sz w:val="21"/>
              </w:rPr>
            </w:pPr>
          </w:p>
          <w:p w14:paraId="79450D3C">
            <w:pPr>
              <w:spacing w:line="253" w:lineRule="auto"/>
              <w:rPr>
                <w:rFonts w:ascii="Arial"/>
                <w:sz w:val="21"/>
              </w:rPr>
            </w:pPr>
          </w:p>
          <w:p w14:paraId="39EC1867">
            <w:pPr>
              <w:spacing w:line="254" w:lineRule="auto"/>
              <w:rPr>
                <w:rFonts w:ascii="Arial"/>
                <w:sz w:val="21"/>
              </w:rPr>
            </w:pPr>
          </w:p>
          <w:p w14:paraId="2E7DF097">
            <w:pPr>
              <w:spacing w:line="254" w:lineRule="auto"/>
              <w:rPr>
                <w:rFonts w:ascii="Arial"/>
                <w:sz w:val="21"/>
              </w:rPr>
            </w:pPr>
          </w:p>
          <w:p w14:paraId="3ACF5A22">
            <w:pPr>
              <w:spacing w:line="254" w:lineRule="auto"/>
              <w:rPr>
                <w:rFonts w:ascii="Arial"/>
                <w:sz w:val="21"/>
              </w:rPr>
            </w:pPr>
          </w:p>
          <w:p w14:paraId="19229CFD">
            <w:pPr>
              <w:spacing w:line="254" w:lineRule="auto"/>
              <w:rPr>
                <w:rFonts w:ascii="Arial"/>
                <w:sz w:val="21"/>
              </w:rPr>
            </w:pPr>
          </w:p>
          <w:p w14:paraId="32346DBF">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2D1F3864">
            <w:pPr>
              <w:spacing w:line="253" w:lineRule="auto"/>
              <w:rPr>
                <w:rFonts w:ascii="Arial"/>
                <w:sz w:val="21"/>
              </w:rPr>
            </w:pPr>
          </w:p>
          <w:p w14:paraId="28CB7E83">
            <w:pPr>
              <w:spacing w:line="253" w:lineRule="auto"/>
              <w:rPr>
                <w:rFonts w:ascii="Arial"/>
                <w:sz w:val="21"/>
              </w:rPr>
            </w:pPr>
          </w:p>
          <w:p w14:paraId="41F7745B">
            <w:pPr>
              <w:spacing w:line="253" w:lineRule="auto"/>
              <w:rPr>
                <w:rFonts w:ascii="Arial"/>
                <w:sz w:val="21"/>
              </w:rPr>
            </w:pPr>
          </w:p>
          <w:p w14:paraId="7DF35CC0">
            <w:pPr>
              <w:spacing w:line="253" w:lineRule="auto"/>
              <w:rPr>
                <w:rFonts w:ascii="Arial"/>
                <w:sz w:val="21"/>
              </w:rPr>
            </w:pPr>
          </w:p>
          <w:p w14:paraId="4F9043AB">
            <w:pPr>
              <w:spacing w:line="253" w:lineRule="auto"/>
              <w:rPr>
                <w:rFonts w:ascii="Arial"/>
                <w:sz w:val="21"/>
              </w:rPr>
            </w:pPr>
          </w:p>
          <w:p w14:paraId="6C7EFA6D">
            <w:pPr>
              <w:spacing w:line="254" w:lineRule="auto"/>
              <w:rPr>
                <w:rFonts w:ascii="Arial"/>
                <w:sz w:val="21"/>
              </w:rPr>
            </w:pPr>
          </w:p>
          <w:p w14:paraId="41AC828F">
            <w:pPr>
              <w:spacing w:line="254" w:lineRule="auto"/>
              <w:rPr>
                <w:rFonts w:ascii="Arial"/>
                <w:sz w:val="21"/>
              </w:rPr>
            </w:pPr>
          </w:p>
          <w:p w14:paraId="66A900A9">
            <w:pPr>
              <w:spacing w:line="254" w:lineRule="auto"/>
              <w:rPr>
                <w:rFonts w:ascii="Arial"/>
                <w:sz w:val="21"/>
              </w:rPr>
            </w:pPr>
          </w:p>
          <w:p w14:paraId="51DBC1CE">
            <w:pPr>
              <w:spacing w:line="254" w:lineRule="auto"/>
              <w:rPr>
                <w:rFonts w:ascii="Arial"/>
                <w:sz w:val="21"/>
              </w:rPr>
            </w:pPr>
          </w:p>
          <w:p w14:paraId="71AD0458">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21F8D7D7">
            <w:pPr>
              <w:spacing w:line="253" w:lineRule="auto"/>
              <w:rPr>
                <w:rFonts w:ascii="Arial"/>
                <w:sz w:val="21"/>
              </w:rPr>
            </w:pPr>
          </w:p>
          <w:p w14:paraId="0D90A214">
            <w:pPr>
              <w:spacing w:line="253" w:lineRule="auto"/>
              <w:rPr>
                <w:rFonts w:ascii="Arial"/>
                <w:sz w:val="21"/>
              </w:rPr>
            </w:pPr>
          </w:p>
          <w:p w14:paraId="21CA22C9">
            <w:pPr>
              <w:spacing w:line="253" w:lineRule="auto"/>
              <w:rPr>
                <w:rFonts w:ascii="Arial"/>
                <w:sz w:val="21"/>
              </w:rPr>
            </w:pPr>
          </w:p>
          <w:p w14:paraId="2A607B1A">
            <w:pPr>
              <w:spacing w:line="253" w:lineRule="auto"/>
              <w:rPr>
                <w:rFonts w:ascii="Arial"/>
                <w:sz w:val="21"/>
              </w:rPr>
            </w:pPr>
          </w:p>
          <w:p w14:paraId="778E8BCE">
            <w:pPr>
              <w:spacing w:line="253" w:lineRule="auto"/>
              <w:rPr>
                <w:rFonts w:ascii="Arial"/>
                <w:sz w:val="21"/>
              </w:rPr>
            </w:pPr>
          </w:p>
          <w:p w14:paraId="18478924">
            <w:pPr>
              <w:spacing w:line="254" w:lineRule="auto"/>
              <w:rPr>
                <w:rFonts w:ascii="Arial"/>
                <w:sz w:val="21"/>
              </w:rPr>
            </w:pPr>
          </w:p>
          <w:p w14:paraId="7D015EEE">
            <w:pPr>
              <w:spacing w:line="254" w:lineRule="auto"/>
              <w:rPr>
                <w:rFonts w:ascii="Arial"/>
                <w:sz w:val="21"/>
              </w:rPr>
            </w:pPr>
          </w:p>
          <w:p w14:paraId="0270E67A">
            <w:pPr>
              <w:spacing w:line="254" w:lineRule="auto"/>
              <w:rPr>
                <w:rFonts w:ascii="Arial"/>
                <w:sz w:val="21"/>
              </w:rPr>
            </w:pPr>
          </w:p>
          <w:p w14:paraId="598C43F5">
            <w:pPr>
              <w:spacing w:line="254" w:lineRule="auto"/>
              <w:rPr>
                <w:rFonts w:ascii="Arial"/>
                <w:sz w:val="21"/>
              </w:rPr>
            </w:pPr>
          </w:p>
          <w:p w14:paraId="3F4964CA">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DD5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382D2F15">
            <w:pPr>
              <w:spacing w:before="111"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12" w:type="dxa"/>
            <w:vMerge w:val="continue"/>
            <w:tcBorders>
              <w:top w:val="nil"/>
              <w:bottom w:val="nil"/>
            </w:tcBorders>
            <w:vAlign w:val="top"/>
          </w:tcPr>
          <w:p w14:paraId="17690B29">
            <w:pPr>
              <w:rPr>
                <w:rFonts w:ascii="Arial"/>
                <w:sz w:val="21"/>
              </w:rPr>
            </w:pPr>
          </w:p>
        </w:tc>
        <w:tc>
          <w:tcPr>
            <w:tcW w:w="1900" w:type="dxa"/>
            <w:vAlign w:val="top"/>
          </w:tcPr>
          <w:p w14:paraId="6AE5995A">
            <w:pPr>
              <w:pStyle w:val="6"/>
              <w:spacing w:before="108" w:line="227" w:lineRule="auto"/>
              <w:ind w:left="645"/>
            </w:pPr>
            <w:r>
              <w:rPr>
                <w:spacing w:val="4"/>
              </w:rPr>
              <w:t>空压机</w:t>
            </w:r>
          </w:p>
        </w:tc>
        <w:tc>
          <w:tcPr>
            <w:tcW w:w="2551" w:type="dxa"/>
            <w:vAlign w:val="top"/>
          </w:tcPr>
          <w:p w14:paraId="7E817135">
            <w:pPr>
              <w:pStyle w:val="6"/>
              <w:spacing w:before="75" w:line="268" w:lineRule="exact"/>
              <w:ind w:left="644"/>
            </w:pPr>
            <w:r>
              <w:rPr>
                <w:spacing w:val="6"/>
                <w:position w:val="1"/>
              </w:rPr>
              <w:t>V-1 P=0.8</w:t>
            </w:r>
            <w:r>
              <w:rPr>
                <w:position w:val="1"/>
              </w:rPr>
              <w:t>MPa</w:t>
            </w:r>
          </w:p>
        </w:tc>
        <w:tc>
          <w:tcPr>
            <w:tcW w:w="1113" w:type="dxa"/>
            <w:vAlign w:val="top"/>
          </w:tcPr>
          <w:p w14:paraId="5AE7C0BB">
            <w:pPr>
              <w:spacing w:before="111"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007" w:type="dxa"/>
            <w:vAlign w:val="top"/>
          </w:tcPr>
          <w:p w14:paraId="6001B32B">
            <w:pPr>
              <w:pStyle w:val="6"/>
              <w:spacing w:before="75" w:line="228" w:lineRule="auto"/>
              <w:ind w:left="11"/>
            </w:pPr>
            <w:r>
              <w:rPr>
                <w:spacing w:val="-3"/>
              </w:rPr>
              <w:t>减振、隔声</w:t>
            </w:r>
          </w:p>
        </w:tc>
        <w:tc>
          <w:tcPr>
            <w:tcW w:w="564" w:type="dxa"/>
            <w:vAlign w:val="top"/>
          </w:tcPr>
          <w:p w14:paraId="0B4FB598">
            <w:pPr>
              <w:spacing w:before="11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410</w:t>
            </w:r>
          </w:p>
        </w:tc>
        <w:tc>
          <w:tcPr>
            <w:tcW w:w="564" w:type="dxa"/>
            <w:vAlign w:val="top"/>
          </w:tcPr>
          <w:p w14:paraId="1E9B35BF">
            <w:pPr>
              <w:spacing w:before="11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630</w:t>
            </w:r>
          </w:p>
        </w:tc>
        <w:tc>
          <w:tcPr>
            <w:tcW w:w="670" w:type="dxa"/>
            <w:vAlign w:val="top"/>
          </w:tcPr>
          <w:p w14:paraId="62A9C3AA">
            <w:pPr>
              <w:spacing w:before="111"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1002.5</w:t>
            </w:r>
          </w:p>
        </w:tc>
        <w:tc>
          <w:tcPr>
            <w:tcW w:w="734" w:type="dxa"/>
            <w:vAlign w:val="top"/>
          </w:tcPr>
          <w:p w14:paraId="233378A3">
            <w:pPr>
              <w:spacing w:before="111"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7AACAFBB">
            <w:pPr>
              <w:spacing w:before="11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51.9</w:t>
            </w:r>
          </w:p>
        </w:tc>
        <w:tc>
          <w:tcPr>
            <w:tcW w:w="962" w:type="dxa"/>
            <w:vAlign w:val="top"/>
          </w:tcPr>
          <w:p w14:paraId="461646D7">
            <w:pPr>
              <w:pStyle w:val="6"/>
              <w:spacing w:before="75"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2DA594A">
            <w:pPr>
              <w:rPr>
                <w:rFonts w:ascii="Arial"/>
                <w:sz w:val="21"/>
              </w:rPr>
            </w:pPr>
          </w:p>
        </w:tc>
        <w:tc>
          <w:tcPr>
            <w:tcW w:w="831" w:type="dxa"/>
            <w:vMerge w:val="continue"/>
            <w:tcBorders>
              <w:top w:val="nil"/>
              <w:bottom w:val="nil"/>
            </w:tcBorders>
            <w:vAlign w:val="top"/>
          </w:tcPr>
          <w:p w14:paraId="18D767C4">
            <w:pPr>
              <w:rPr>
                <w:rFonts w:ascii="Arial"/>
                <w:sz w:val="21"/>
              </w:rPr>
            </w:pPr>
          </w:p>
        </w:tc>
        <w:tc>
          <w:tcPr>
            <w:tcW w:w="684" w:type="dxa"/>
            <w:vMerge w:val="continue"/>
            <w:tcBorders>
              <w:top w:val="nil"/>
              <w:bottom w:val="nil"/>
            </w:tcBorders>
            <w:vAlign w:val="top"/>
          </w:tcPr>
          <w:p w14:paraId="25AE2EEA">
            <w:pPr>
              <w:rPr>
                <w:rFonts w:ascii="Arial"/>
                <w:sz w:val="21"/>
              </w:rPr>
            </w:pPr>
          </w:p>
        </w:tc>
      </w:tr>
      <w:tr w14:paraId="2E9A5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1314E64B">
            <w:pPr>
              <w:spacing w:before="113"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12" w:type="dxa"/>
            <w:vMerge w:val="continue"/>
            <w:tcBorders>
              <w:top w:val="nil"/>
              <w:bottom w:val="nil"/>
            </w:tcBorders>
            <w:vAlign w:val="top"/>
          </w:tcPr>
          <w:p w14:paraId="2F9DE3AF">
            <w:pPr>
              <w:rPr>
                <w:rFonts w:ascii="Arial"/>
                <w:sz w:val="21"/>
              </w:rPr>
            </w:pPr>
          </w:p>
        </w:tc>
        <w:tc>
          <w:tcPr>
            <w:tcW w:w="1900" w:type="dxa"/>
            <w:vAlign w:val="top"/>
          </w:tcPr>
          <w:p w14:paraId="49869AE9">
            <w:pPr>
              <w:pStyle w:val="6"/>
              <w:spacing w:before="108" w:line="227" w:lineRule="auto"/>
              <w:ind w:left="638"/>
            </w:pPr>
            <w:r>
              <w:rPr>
                <w:spacing w:val="6"/>
              </w:rPr>
              <w:t>刮渣机</w:t>
            </w:r>
          </w:p>
        </w:tc>
        <w:tc>
          <w:tcPr>
            <w:tcW w:w="2551" w:type="dxa"/>
            <w:vAlign w:val="top"/>
          </w:tcPr>
          <w:p w14:paraId="1ADB5E8B">
            <w:pPr>
              <w:spacing w:before="109" w:line="199" w:lineRule="auto"/>
              <w:ind w:left="1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3" w:type="dxa"/>
            <w:vAlign w:val="top"/>
          </w:tcPr>
          <w:p w14:paraId="65FC8E1E">
            <w:pPr>
              <w:spacing w:before="11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7" w:type="dxa"/>
            <w:vAlign w:val="top"/>
          </w:tcPr>
          <w:p w14:paraId="76E7688B">
            <w:pPr>
              <w:pStyle w:val="6"/>
              <w:spacing w:before="77" w:line="228" w:lineRule="auto"/>
              <w:ind w:left="11"/>
            </w:pPr>
            <w:r>
              <w:rPr>
                <w:spacing w:val="-3"/>
              </w:rPr>
              <w:t>减振、隔声</w:t>
            </w:r>
          </w:p>
        </w:tc>
        <w:tc>
          <w:tcPr>
            <w:tcW w:w="564" w:type="dxa"/>
            <w:vAlign w:val="top"/>
          </w:tcPr>
          <w:p w14:paraId="086B40CF">
            <w:pPr>
              <w:spacing w:before="11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w:t>
            </w:r>
          </w:p>
        </w:tc>
        <w:tc>
          <w:tcPr>
            <w:tcW w:w="564" w:type="dxa"/>
            <w:vAlign w:val="top"/>
          </w:tcPr>
          <w:p w14:paraId="00C3E6C6">
            <w:pPr>
              <w:spacing w:before="11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625</w:t>
            </w:r>
          </w:p>
        </w:tc>
        <w:tc>
          <w:tcPr>
            <w:tcW w:w="670" w:type="dxa"/>
            <w:vAlign w:val="top"/>
          </w:tcPr>
          <w:p w14:paraId="6636E2EB">
            <w:pPr>
              <w:spacing w:before="11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00B926A6">
            <w:pPr>
              <w:spacing w:before="11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2C3CA515">
            <w:pPr>
              <w:spacing w:before="11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41.9</w:t>
            </w:r>
          </w:p>
        </w:tc>
        <w:tc>
          <w:tcPr>
            <w:tcW w:w="962" w:type="dxa"/>
            <w:vAlign w:val="top"/>
          </w:tcPr>
          <w:p w14:paraId="5E30AE6B">
            <w:pPr>
              <w:pStyle w:val="6"/>
              <w:spacing w:before="7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43E1755">
            <w:pPr>
              <w:rPr>
                <w:rFonts w:ascii="Arial"/>
                <w:sz w:val="21"/>
              </w:rPr>
            </w:pPr>
          </w:p>
        </w:tc>
        <w:tc>
          <w:tcPr>
            <w:tcW w:w="831" w:type="dxa"/>
            <w:vMerge w:val="continue"/>
            <w:tcBorders>
              <w:top w:val="nil"/>
              <w:bottom w:val="nil"/>
            </w:tcBorders>
            <w:vAlign w:val="top"/>
          </w:tcPr>
          <w:p w14:paraId="6597603B">
            <w:pPr>
              <w:rPr>
                <w:rFonts w:ascii="Arial"/>
                <w:sz w:val="21"/>
              </w:rPr>
            </w:pPr>
          </w:p>
        </w:tc>
        <w:tc>
          <w:tcPr>
            <w:tcW w:w="684" w:type="dxa"/>
            <w:vMerge w:val="continue"/>
            <w:tcBorders>
              <w:top w:val="nil"/>
              <w:bottom w:val="nil"/>
            </w:tcBorders>
            <w:vAlign w:val="top"/>
          </w:tcPr>
          <w:p w14:paraId="42BD17CC">
            <w:pPr>
              <w:rPr>
                <w:rFonts w:ascii="Arial"/>
                <w:sz w:val="21"/>
              </w:rPr>
            </w:pPr>
          </w:p>
        </w:tc>
      </w:tr>
      <w:tr w14:paraId="2A12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0BFD73D0">
            <w:pPr>
              <w:spacing w:before="112"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12" w:type="dxa"/>
            <w:vMerge w:val="continue"/>
            <w:tcBorders>
              <w:top w:val="nil"/>
              <w:bottom w:val="nil"/>
            </w:tcBorders>
            <w:vAlign w:val="top"/>
          </w:tcPr>
          <w:p w14:paraId="3F0AB1CC">
            <w:pPr>
              <w:rPr>
                <w:rFonts w:ascii="Arial"/>
                <w:sz w:val="21"/>
              </w:rPr>
            </w:pPr>
          </w:p>
        </w:tc>
        <w:tc>
          <w:tcPr>
            <w:tcW w:w="1900" w:type="dxa"/>
            <w:vAlign w:val="top"/>
          </w:tcPr>
          <w:p w14:paraId="05EA92B3">
            <w:pPr>
              <w:pStyle w:val="6"/>
              <w:spacing w:before="107" w:line="228" w:lineRule="auto"/>
              <w:ind w:left="32"/>
            </w:pPr>
            <w:r>
              <w:rPr>
                <w:spacing w:val="4"/>
              </w:rPr>
              <w:t>废水增压泵（4</w:t>
            </w:r>
            <w:r>
              <w:rPr>
                <w:spacing w:val="-20"/>
              </w:rPr>
              <w:t xml:space="preserve"> </w:t>
            </w:r>
            <w:r>
              <w:rPr>
                <w:spacing w:val="4"/>
              </w:rPr>
              <w:t>台）</w:t>
            </w:r>
          </w:p>
        </w:tc>
        <w:tc>
          <w:tcPr>
            <w:tcW w:w="2551" w:type="dxa"/>
            <w:vAlign w:val="top"/>
          </w:tcPr>
          <w:p w14:paraId="14E493B5">
            <w:pPr>
              <w:pStyle w:val="6"/>
              <w:spacing w:before="59" w:line="270" w:lineRule="exact"/>
              <w:ind w:left="464"/>
            </w:pPr>
            <w:r>
              <w:rPr>
                <w:spacing w:val="4"/>
              </w:rPr>
              <w:t>Q=120m</w:t>
            </w:r>
            <w:r>
              <w:rPr>
                <w:spacing w:val="4"/>
                <w:position w:val="10"/>
                <w:sz w:val="10"/>
                <w:szCs w:val="10"/>
              </w:rPr>
              <w:t>3</w:t>
            </w:r>
            <w:r>
              <w:rPr>
                <w:spacing w:val="4"/>
              </w:rPr>
              <w:t>/h，H=35m</w:t>
            </w:r>
          </w:p>
        </w:tc>
        <w:tc>
          <w:tcPr>
            <w:tcW w:w="1113" w:type="dxa"/>
            <w:vAlign w:val="top"/>
          </w:tcPr>
          <w:p w14:paraId="61C538C2">
            <w:pPr>
              <w:pStyle w:val="6"/>
              <w:spacing w:before="76" w:line="228" w:lineRule="auto"/>
              <w:ind w:left="41"/>
            </w:pPr>
            <w:r>
              <w:rPr>
                <w:rFonts w:ascii="Times New Roman" w:hAnsi="Times New Roman" w:eastAsia="Times New Roman" w:cs="Times New Roman"/>
                <w:spacing w:val="4"/>
              </w:rPr>
              <w:t>81</w:t>
            </w:r>
            <w:r>
              <w:rPr>
                <w:spacing w:val="4"/>
              </w:rPr>
              <w:t>（等效）</w:t>
            </w:r>
          </w:p>
        </w:tc>
        <w:tc>
          <w:tcPr>
            <w:tcW w:w="1007" w:type="dxa"/>
            <w:vAlign w:val="top"/>
          </w:tcPr>
          <w:p w14:paraId="29AF2C62">
            <w:pPr>
              <w:pStyle w:val="6"/>
              <w:spacing w:before="77" w:line="228" w:lineRule="auto"/>
              <w:ind w:left="11"/>
            </w:pPr>
            <w:r>
              <w:rPr>
                <w:spacing w:val="-3"/>
              </w:rPr>
              <w:t>减振、隔声</w:t>
            </w:r>
          </w:p>
        </w:tc>
        <w:tc>
          <w:tcPr>
            <w:tcW w:w="564" w:type="dxa"/>
            <w:vAlign w:val="top"/>
          </w:tcPr>
          <w:p w14:paraId="3DCCEA24">
            <w:pPr>
              <w:spacing w:before="11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w:t>
            </w:r>
          </w:p>
        </w:tc>
        <w:tc>
          <w:tcPr>
            <w:tcW w:w="564" w:type="dxa"/>
            <w:vAlign w:val="top"/>
          </w:tcPr>
          <w:p w14:paraId="38AFA0DC">
            <w:pPr>
              <w:spacing w:before="11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619</w:t>
            </w:r>
          </w:p>
        </w:tc>
        <w:tc>
          <w:tcPr>
            <w:tcW w:w="670" w:type="dxa"/>
            <w:vAlign w:val="top"/>
          </w:tcPr>
          <w:p w14:paraId="666A58D5">
            <w:pPr>
              <w:spacing w:before="11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0FDF33BC">
            <w:pPr>
              <w:spacing w:before="11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w:t>
            </w:r>
          </w:p>
        </w:tc>
        <w:tc>
          <w:tcPr>
            <w:tcW w:w="860" w:type="dxa"/>
            <w:vAlign w:val="top"/>
          </w:tcPr>
          <w:p w14:paraId="08541D1B">
            <w:pPr>
              <w:spacing w:before="11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69.4</w:t>
            </w:r>
          </w:p>
        </w:tc>
        <w:tc>
          <w:tcPr>
            <w:tcW w:w="962" w:type="dxa"/>
            <w:vAlign w:val="top"/>
          </w:tcPr>
          <w:p w14:paraId="047206C2">
            <w:pPr>
              <w:pStyle w:val="6"/>
              <w:spacing w:before="7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B0D4C9D">
            <w:pPr>
              <w:rPr>
                <w:rFonts w:ascii="Arial"/>
                <w:sz w:val="21"/>
              </w:rPr>
            </w:pPr>
          </w:p>
        </w:tc>
        <w:tc>
          <w:tcPr>
            <w:tcW w:w="831" w:type="dxa"/>
            <w:vMerge w:val="continue"/>
            <w:tcBorders>
              <w:top w:val="nil"/>
              <w:bottom w:val="nil"/>
            </w:tcBorders>
            <w:vAlign w:val="top"/>
          </w:tcPr>
          <w:p w14:paraId="1ED72E68">
            <w:pPr>
              <w:rPr>
                <w:rFonts w:ascii="Arial"/>
                <w:sz w:val="21"/>
              </w:rPr>
            </w:pPr>
          </w:p>
        </w:tc>
        <w:tc>
          <w:tcPr>
            <w:tcW w:w="684" w:type="dxa"/>
            <w:vMerge w:val="continue"/>
            <w:tcBorders>
              <w:top w:val="nil"/>
              <w:bottom w:val="nil"/>
            </w:tcBorders>
            <w:vAlign w:val="top"/>
          </w:tcPr>
          <w:p w14:paraId="407EFB58">
            <w:pPr>
              <w:rPr>
                <w:rFonts w:ascii="Arial"/>
                <w:sz w:val="21"/>
              </w:rPr>
            </w:pPr>
          </w:p>
        </w:tc>
      </w:tr>
      <w:tr w14:paraId="004B7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485151DA">
            <w:pPr>
              <w:spacing w:before="292"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2" w:type="dxa"/>
            <w:vMerge w:val="continue"/>
            <w:tcBorders>
              <w:top w:val="nil"/>
              <w:bottom w:val="nil"/>
            </w:tcBorders>
            <w:vAlign w:val="top"/>
          </w:tcPr>
          <w:p w14:paraId="37AAB8BF">
            <w:pPr>
              <w:rPr>
                <w:rFonts w:ascii="Arial"/>
                <w:sz w:val="21"/>
              </w:rPr>
            </w:pPr>
          </w:p>
        </w:tc>
        <w:tc>
          <w:tcPr>
            <w:tcW w:w="1900" w:type="dxa"/>
            <w:vAlign w:val="top"/>
          </w:tcPr>
          <w:p w14:paraId="4C880C17">
            <w:pPr>
              <w:pStyle w:val="6"/>
              <w:spacing w:before="110" w:line="227" w:lineRule="auto"/>
              <w:ind w:left="7"/>
            </w:pPr>
            <w:r>
              <w:rPr>
                <w:spacing w:val="8"/>
              </w:rPr>
              <w:t>全自动多介质过滤器</w:t>
            </w:r>
          </w:p>
          <w:p w14:paraId="67CB77DC">
            <w:pPr>
              <w:pStyle w:val="6"/>
              <w:spacing w:before="114" w:line="225" w:lineRule="auto"/>
              <w:ind w:left="569"/>
            </w:pPr>
            <w:r>
              <w:rPr>
                <w:spacing w:val="-6"/>
              </w:rPr>
              <w:t>（6</w:t>
            </w:r>
            <w:r>
              <w:rPr>
                <w:spacing w:val="-20"/>
              </w:rPr>
              <w:t xml:space="preserve"> </w:t>
            </w:r>
            <w:r>
              <w:rPr>
                <w:spacing w:val="-6"/>
              </w:rPr>
              <w:t>台）</w:t>
            </w:r>
          </w:p>
        </w:tc>
        <w:tc>
          <w:tcPr>
            <w:tcW w:w="2551" w:type="dxa"/>
            <w:vAlign w:val="top"/>
          </w:tcPr>
          <w:p w14:paraId="24F9FAB4">
            <w:pPr>
              <w:pStyle w:val="6"/>
              <w:spacing w:before="256" w:line="269" w:lineRule="exact"/>
              <w:ind w:left="571"/>
            </w:pPr>
            <w:r>
              <w:rPr>
                <w:spacing w:val="3"/>
                <w:position w:val="1"/>
              </w:rPr>
              <w:t>Φ2800×4680</w:t>
            </w:r>
            <w:r>
              <w:rPr>
                <w:position w:val="1"/>
              </w:rPr>
              <w:t>mm</w:t>
            </w:r>
          </w:p>
        </w:tc>
        <w:tc>
          <w:tcPr>
            <w:tcW w:w="1113" w:type="dxa"/>
            <w:vAlign w:val="top"/>
          </w:tcPr>
          <w:p w14:paraId="0166C5C0">
            <w:pPr>
              <w:pStyle w:val="6"/>
              <w:spacing w:before="256" w:line="228" w:lineRule="auto"/>
              <w:jc w:val="right"/>
            </w:pPr>
            <w:r>
              <w:rPr>
                <w:rFonts w:ascii="Times New Roman" w:hAnsi="Times New Roman" w:eastAsia="Times New Roman" w:cs="Times New Roman"/>
                <w:spacing w:val="-7"/>
              </w:rPr>
              <w:t>77.8</w:t>
            </w:r>
            <w:r>
              <w:rPr>
                <w:spacing w:val="-7"/>
              </w:rPr>
              <w:t>（等效）</w:t>
            </w:r>
          </w:p>
        </w:tc>
        <w:tc>
          <w:tcPr>
            <w:tcW w:w="1007" w:type="dxa"/>
            <w:vAlign w:val="top"/>
          </w:tcPr>
          <w:p w14:paraId="44A6D773">
            <w:pPr>
              <w:pStyle w:val="6"/>
              <w:spacing w:before="257" w:line="228" w:lineRule="auto"/>
              <w:ind w:left="11"/>
            </w:pPr>
            <w:r>
              <w:rPr>
                <w:spacing w:val="-3"/>
              </w:rPr>
              <w:t>减振、隔声</w:t>
            </w:r>
          </w:p>
        </w:tc>
        <w:tc>
          <w:tcPr>
            <w:tcW w:w="564" w:type="dxa"/>
            <w:vAlign w:val="top"/>
          </w:tcPr>
          <w:p w14:paraId="78285AB6">
            <w:pPr>
              <w:spacing w:before="29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w:t>
            </w:r>
          </w:p>
        </w:tc>
        <w:tc>
          <w:tcPr>
            <w:tcW w:w="564" w:type="dxa"/>
            <w:vAlign w:val="top"/>
          </w:tcPr>
          <w:p w14:paraId="0E12C1B6">
            <w:pPr>
              <w:spacing w:before="29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c>
          <w:tcPr>
            <w:tcW w:w="670" w:type="dxa"/>
            <w:vAlign w:val="top"/>
          </w:tcPr>
          <w:p w14:paraId="72BDFB68">
            <w:pPr>
              <w:spacing w:before="29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1001.6</w:t>
            </w:r>
          </w:p>
        </w:tc>
        <w:tc>
          <w:tcPr>
            <w:tcW w:w="734" w:type="dxa"/>
            <w:vAlign w:val="top"/>
          </w:tcPr>
          <w:p w14:paraId="151D2B58">
            <w:pPr>
              <w:spacing w:before="29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6A139332">
            <w:pPr>
              <w:spacing w:before="29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58.0</w:t>
            </w:r>
          </w:p>
        </w:tc>
        <w:tc>
          <w:tcPr>
            <w:tcW w:w="962" w:type="dxa"/>
            <w:vAlign w:val="top"/>
          </w:tcPr>
          <w:p w14:paraId="79CA58F0">
            <w:pPr>
              <w:pStyle w:val="6"/>
              <w:spacing w:before="2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BC0D8AF">
            <w:pPr>
              <w:rPr>
                <w:rFonts w:ascii="Arial"/>
                <w:sz w:val="21"/>
              </w:rPr>
            </w:pPr>
          </w:p>
        </w:tc>
        <w:tc>
          <w:tcPr>
            <w:tcW w:w="831" w:type="dxa"/>
            <w:vMerge w:val="continue"/>
            <w:tcBorders>
              <w:top w:val="nil"/>
              <w:bottom w:val="nil"/>
            </w:tcBorders>
            <w:vAlign w:val="top"/>
          </w:tcPr>
          <w:p w14:paraId="509BF0A5">
            <w:pPr>
              <w:rPr>
                <w:rFonts w:ascii="Arial"/>
                <w:sz w:val="21"/>
              </w:rPr>
            </w:pPr>
          </w:p>
        </w:tc>
        <w:tc>
          <w:tcPr>
            <w:tcW w:w="684" w:type="dxa"/>
            <w:vMerge w:val="continue"/>
            <w:tcBorders>
              <w:top w:val="nil"/>
              <w:bottom w:val="nil"/>
            </w:tcBorders>
            <w:vAlign w:val="top"/>
          </w:tcPr>
          <w:p w14:paraId="0EA7D83E">
            <w:pPr>
              <w:rPr>
                <w:rFonts w:ascii="Arial"/>
                <w:sz w:val="21"/>
              </w:rPr>
            </w:pPr>
          </w:p>
        </w:tc>
      </w:tr>
      <w:tr w14:paraId="32EFB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0E776BB5">
            <w:pPr>
              <w:spacing w:before="113"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12" w:type="dxa"/>
            <w:vMerge w:val="continue"/>
            <w:tcBorders>
              <w:top w:val="nil"/>
              <w:bottom w:val="nil"/>
            </w:tcBorders>
            <w:vAlign w:val="top"/>
          </w:tcPr>
          <w:p w14:paraId="46050806">
            <w:pPr>
              <w:rPr>
                <w:rFonts w:ascii="Arial"/>
                <w:sz w:val="21"/>
              </w:rPr>
            </w:pPr>
          </w:p>
        </w:tc>
        <w:tc>
          <w:tcPr>
            <w:tcW w:w="1900" w:type="dxa"/>
            <w:vAlign w:val="top"/>
          </w:tcPr>
          <w:p w14:paraId="2C16C39E">
            <w:pPr>
              <w:pStyle w:val="6"/>
              <w:spacing w:before="111" w:line="225" w:lineRule="auto"/>
              <w:jc w:val="right"/>
            </w:pPr>
            <w:r>
              <w:rPr>
                <w:spacing w:val="-13"/>
              </w:rPr>
              <w:t>自清洗过滤器（3</w:t>
            </w:r>
            <w:r>
              <w:rPr>
                <w:spacing w:val="-18"/>
              </w:rPr>
              <w:t xml:space="preserve"> </w:t>
            </w:r>
            <w:r>
              <w:rPr>
                <w:spacing w:val="-13"/>
              </w:rPr>
              <w:t>台）</w:t>
            </w:r>
          </w:p>
        </w:tc>
        <w:tc>
          <w:tcPr>
            <w:tcW w:w="2551" w:type="dxa"/>
            <w:vAlign w:val="top"/>
          </w:tcPr>
          <w:p w14:paraId="3E8A5FCE">
            <w:pPr>
              <w:pStyle w:val="6"/>
              <w:spacing w:before="60" w:line="269" w:lineRule="exact"/>
              <w:ind w:left="991"/>
            </w:pPr>
            <w:r>
              <w:rPr>
                <w:spacing w:val="2"/>
              </w:rPr>
              <w:t>60m</w:t>
            </w:r>
            <w:r>
              <w:rPr>
                <w:spacing w:val="2"/>
                <w:position w:val="10"/>
                <w:sz w:val="10"/>
                <w:szCs w:val="10"/>
              </w:rPr>
              <w:t>3</w:t>
            </w:r>
            <w:r>
              <w:rPr>
                <w:spacing w:val="2"/>
              </w:rPr>
              <w:t>/h</w:t>
            </w:r>
          </w:p>
        </w:tc>
        <w:tc>
          <w:tcPr>
            <w:tcW w:w="1113" w:type="dxa"/>
            <w:vAlign w:val="top"/>
          </w:tcPr>
          <w:p w14:paraId="51FA3684">
            <w:pPr>
              <w:pStyle w:val="6"/>
              <w:spacing w:before="76"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16F1F652">
            <w:pPr>
              <w:pStyle w:val="6"/>
              <w:spacing w:before="77" w:line="228" w:lineRule="auto"/>
              <w:ind w:left="11"/>
            </w:pPr>
            <w:r>
              <w:rPr>
                <w:spacing w:val="-3"/>
              </w:rPr>
              <w:t>减振、隔声</w:t>
            </w:r>
          </w:p>
        </w:tc>
        <w:tc>
          <w:tcPr>
            <w:tcW w:w="564" w:type="dxa"/>
            <w:vAlign w:val="top"/>
          </w:tcPr>
          <w:p w14:paraId="4E6D7508">
            <w:pPr>
              <w:spacing w:before="11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392</w:t>
            </w:r>
          </w:p>
        </w:tc>
        <w:tc>
          <w:tcPr>
            <w:tcW w:w="564" w:type="dxa"/>
            <w:vAlign w:val="top"/>
          </w:tcPr>
          <w:p w14:paraId="2067E210">
            <w:pPr>
              <w:spacing w:before="11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611</w:t>
            </w:r>
          </w:p>
        </w:tc>
        <w:tc>
          <w:tcPr>
            <w:tcW w:w="670" w:type="dxa"/>
            <w:vAlign w:val="top"/>
          </w:tcPr>
          <w:p w14:paraId="6C795D2D">
            <w:pPr>
              <w:spacing w:before="11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1001.6</w:t>
            </w:r>
          </w:p>
        </w:tc>
        <w:tc>
          <w:tcPr>
            <w:tcW w:w="734" w:type="dxa"/>
            <w:vAlign w:val="top"/>
          </w:tcPr>
          <w:p w14:paraId="537998EA">
            <w:pPr>
              <w:spacing w:before="11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w:t>
            </w:r>
          </w:p>
        </w:tc>
        <w:tc>
          <w:tcPr>
            <w:tcW w:w="860" w:type="dxa"/>
            <w:vAlign w:val="top"/>
          </w:tcPr>
          <w:p w14:paraId="7D676004">
            <w:pPr>
              <w:spacing w:before="11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962" w:type="dxa"/>
            <w:vAlign w:val="top"/>
          </w:tcPr>
          <w:p w14:paraId="3DFA66E9">
            <w:pPr>
              <w:pStyle w:val="6"/>
              <w:spacing w:before="7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2F326C91">
            <w:pPr>
              <w:rPr>
                <w:rFonts w:ascii="Arial"/>
                <w:sz w:val="21"/>
              </w:rPr>
            </w:pPr>
          </w:p>
        </w:tc>
        <w:tc>
          <w:tcPr>
            <w:tcW w:w="831" w:type="dxa"/>
            <w:vMerge w:val="continue"/>
            <w:tcBorders>
              <w:top w:val="nil"/>
              <w:bottom w:val="nil"/>
            </w:tcBorders>
            <w:vAlign w:val="top"/>
          </w:tcPr>
          <w:p w14:paraId="1A3EEA38">
            <w:pPr>
              <w:rPr>
                <w:rFonts w:ascii="Arial"/>
                <w:sz w:val="21"/>
              </w:rPr>
            </w:pPr>
          </w:p>
        </w:tc>
        <w:tc>
          <w:tcPr>
            <w:tcW w:w="684" w:type="dxa"/>
            <w:vMerge w:val="continue"/>
            <w:tcBorders>
              <w:top w:val="nil"/>
              <w:bottom w:val="nil"/>
            </w:tcBorders>
            <w:vAlign w:val="top"/>
          </w:tcPr>
          <w:p w14:paraId="7FB0C013">
            <w:pPr>
              <w:rPr>
                <w:rFonts w:ascii="Arial"/>
                <w:sz w:val="21"/>
              </w:rPr>
            </w:pPr>
          </w:p>
        </w:tc>
      </w:tr>
      <w:tr w14:paraId="0FCB6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53A5F0A2">
            <w:pPr>
              <w:spacing w:before="244"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12" w:type="dxa"/>
            <w:vMerge w:val="continue"/>
            <w:tcBorders>
              <w:top w:val="nil"/>
              <w:bottom w:val="nil"/>
            </w:tcBorders>
            <w:vAlign w:val="top"/>
          </w:tcPr>
          <w:p w14:paraId="2D9BDC8F">
            <w:pPr>
              <w:rPr>
                <w:rFonts w:ascii="Arial"/>
                <w:sz w:val="21"/>
              </w:rPr>
            </w:pPr>
          </w:p>
        </w:tc>
        <w:tc>
          <w:tcPr>
            <w:tcW w:w="1900" w:type="dxa"/>
            <w:vAlign w:val="top"/>
          </w:tcPr>
          <w:p w14:paraId="1E8FE92B">
            <w:pPr>
              <w:pStyle w:val="6"/>
              <w:spacing w:before="242" w:line="228" w:lineRule="auto"/>
              <w:ind w:left="244"/>
            </w:pPr>
            <w:r>
              <w:rPr>
                <w:spacing w:val="2"/>
              </w:rPr>
              <w:t>双吸泵（3</w:t>
            </w:r>
            <w:r>
              <w:rPr>
                <w:spacing w:val="-19"/>
              </w:rPr>
              <w:t xml:space="preserve"> </w:t>
            </w:r>
            <w:r>
              <w:rPr>
                <w:spacing w:val="2"/>
              </w:rPr>
              <w:t>台）</w:t>
            </w:r>
          </w:p>
        </w:tc>
        <w:tc>
          <w:tcPr>
            <w:tcW w:w="2551" w:type="dxa"/>
            <w:vAlign w:val="top"/>
          </w:tcPr>
          <w:p w14:paraId="696F3A7D">
            <w:pPr>
              <w:pStyle w:val="6"/>
              <w:spacing w:before="35" w:line="269" w:lineRule="exact"/>
              <w:jc w:val="right"/>
            </w:pPr>
            <w:r>
              <w:t>SLOW</w:t>
            </w:r>
            <w:r>
              <w:rPr>
                <w:spacing w:val="3"/>
              </w:rPr>
              <w:t>125-240A，Q=320m</w:t>
            </w:r>
            <w:r>
              <w:rPr>
                <w:spacing w:val="3"/>
                <w:position w:val="10"/>
                <w:sz w:val="10"/>
                <w:szCs w:val="10"/>
              </w:rPr>
              <w:t>3</w:t>
            </w:r>
            <w:r>
              <w:rPr>
                <w:spacing w:val="3"/>
              </w:rPr>
              <w:t>/h，</w:t>
            </w:r>
          </w:p>
          <w:p w14:paraId="5207F6C3">
            <w:pPr>
              <w:pStyle w:val="6"/>
              <w:spacing w:before="59" w:line="234" w:lineRule="auto"/>
              <w:ind w:left="1011"/>
            </w:pPr>
            <w:r>
              <w:rPr>
                <w:spacing w:val="4"/>
              </w:rPr>
              <w:t>H=55m</w:t>
            </w:r>
          </w:p>
        </w:tc>
        <w:tc>
          <w:tcPr>
            <w:tcW w:w="1113" w:type="dxa"/>
            <w:vAlign w:val="top"/>
          </w:tcPr>
          <w:p w14:paraId="33A0598E">
            <w:pPr>
              <w:pStyle w:val="6"/>
              <w:spacing w:before="208"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1B492F8F">
            <w:pPr>
              <w:pStyle w:val="6"/>
              <w:spacing w:before="209" w:line="228" w:lineRule="auto"/>
              <w:ind w:left="11"/>
            </w:pPr>
            <w:r>
              <w:rPr>
                <w:spacing w:val="-3"/>
              </w:rPr>
              <w:t>减振、隔声</w:t>
            </w:r>
          </w:p>
        </w:tc>
        <w:tc>
          <w:tcPr>
            <w:tcW w:w="564" w:type="dxa"/>
            <w:vAlign w:val="top"/>
          </w:tcPr>
          <w:p w14:paraId="05B2543C">
            <w:pPr>
              <w:spacing w:before="24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564" w:type="dxa"/>
            <w:vAlign w:val="top"/>
          </w:tcPr>
          <w:p w14:paraId="30B7F639">
            <w:pPr>
              <w:spacing w:before="24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624</w:t>
            </w:r>
          </w:p>
        </w:tc>
        <w:tc>
          <w:tcPr>
            <w:tcW w:w="670" w:type="dxa"/>
            <w:vAlign w:val="top"/>
          </w:tcPr>
          <w:p w14:paraId="0762D3B3">
            <w:pPr>
              <w:spacing w:before="24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381293C5">
            <w:pPr>
              <w:spacing w:before="24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6F456BA2">
            <w:pPr>
              <w:spacing w:before="24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4196B2A2">
            <w:pPr>
              <w:pStyle w:val="6"/>
              <w:spacing w:before="20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E5EC4DD">
            <w:pPr>
              <w:rPr>
                <w:rFonts w:ascii="Arial"/>
                <w:sz w:val="21"/>
              </w:rPr>
            </w:pPr>
          </w:p>
        </w:tc>
        <w:tc>
          <w:tcPr>
            <w:tcW w:w="831" w:type="dxa"/>
            <w:vMerge w:val="continue"/>
            <w:tcBorders>
              <w:top w:val="nil"/>
              <w:bottom w:val="nil"/>
            </w:tcBorders>
            <w:vAlign w:val="top"/>
          </w:tcPr>
          <w:p w14:paraId="0F3B5C77">
            <w:pPr>
              <w:rPr>
                <w:rFonts w:ascii="Arial"/>
                <w:sz w:val="21"/>
              </w:rPr>
            </w:pPr>
          </w:p>
        </w:tc>
        <w:tc>
          <w:tcPr>
            <w:tcW w:w="684" w:type="dxa"/>
            <w:vMerge w:val="continue"/>
            <w:tcBorders>
              <w:top w:val="nil"/>
              <w:bottom w:val="nil"/>
            </w:tcBorders>
            <w:vAlign w:val="top"/>
          </w:tcPr>
          <w:p w14:paraId="54878867">
            <w:pPr>
              <w:rPr>
                <w:rFonts w:ascii="Arial"/>
                <w:sz w:val="21"/>
              </w:rPr>
            </w:pPr>
          </w:p>
        </w:tc>
      </w:tr>
      <w:tr w14:paraId="7B8BC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1AE2FFAB">
            <w:pPr>
              <w:spacing w:before="245"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12" w:type="dxa"/>
            <w:vMerge w:val="continue"/>
            <w:tcBorders>
              <w:top w:val="nil"/>
              <w:bottom w:val="nil"/>
            </w:tcBorders>
            <w:vAlign w:val="top"/>
          </w:tcPr>
          <w:p w14:paraId="1ABBB70E">
            <w:pPr>
              <w:rPr>
                <w:rFonts w:ascii="Arial"/>
                <w:sz w:val="21"/>
              </w:rPr>
            </w:pPr>
          </w:p>
        </w:tc>
        <w:tc>
          <w:tcPr>
            <w:tcW w:w="1900" w:type="dxa"/>
            <w:vAlign w:val="top"/>
          </w:tcPr>
          <w:p w14:paraId="02FC60EA">
            <w:pPr>
              <w:pStyle w:val="6"/>
              <w:spacing w:before="242" w:line="228" w:lineRule="auto"/>
              <w:ind w:left="244"/>
            </w:pPr>
            <w:r>
              <w:rPr>
                <w:spacing w:val="2"/>
              </w:rPr>
              <w:t>双吸泵（3</w:t>
            </w:r>
            <w:r>
              <w:rPr>
                <w:spacing w:val="-19"/>
              </w:rPr>
              <w:t xml:space="preserve"> </w:t>
            </w:r>
            <w:r>
              <w:rPr>
                <w:spacing w:val="2"/>
              </w:rPr>
              <w:t>台）</w:t>
            </w:r>
          </w:p>
        </w:tc>
        <w:tc>
          <w:tcPr>
            <w:tcW w:w="2551" w:type="dxa"/>
            <w:vAlign w:val="top"/>
          </w:tcPr>
          <w:p w14:paraId="63CEE391">
            <w:pPr>
              <w:pStyle w:val="6"/>
              <w:spacing w:before="38" w:line="267" w:lineRule="exact"/>
              <w:ind w:left="47"/>
            </w:pPr>
            <w:r>
              <w:t>SLOW</w:t>
            </w:r>
            <w:r>
              <w:rPr>
                <w:spacing w:val="5"/>
              </w:rPr>
              <w:t>80-280B，Q=130m</w:t>
            </w:r>
            <w:r>
              <w:rPr>
                <w:spacing w:val="5"/>
                <w:position w:val="10"/>
                <w:sz w:val="10"/>
                <w:szCs w:val="10"/>
              </w:rPr>
              <w:t>3</w:t>
            </w:r>
            <w:r>
              <w:rPr>
                <w:spacing w:val="5"/>
              </w:rPr>
              <w:t>/h，</w:t>
            </w:r>
          </w:p>
          <w:p w14:paraId="4BC814C9">
            <w:pPr>
              <w:pStyle w:val="6"/>
              <w:spacing w:before="60" w:line="233" w:lineRule="auto"/>
              <w:ind w:left="1011"/>
            </w:pPr>
            <w:r>
              <w:rPr>
                <w:spacing w:val="4"/>
              </w:rPr>
              <w:t>H=65m</w:t>
            </w:r>
          </w:p>
        </w:tc>
        <w:tc>
          <w:tcPr>
            <w:tcW w:w="1113" w:type="dxa"/>
            <w:vAlign w:val="top"/>
          </w:tcPr>
          <w:p w14:paraId="65CCBF20">
            <w:pPr>
              <w:pStyle w:val="6"/>
              <w:spacing w:before="209"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3126FC31">
            <w:pPr>
              <w:pStyle w:val="6"/>
              <w:spacing w:before="209" w:line="228" w:lineRule="auto"/>
              <w:ind w:left="11"/>
            </w:pPr>
            <w:r>
              <w:rPr>
                <w:spacing w:val="-3"/>
              </w:rPr>
              <w:t>减振、隔声</w:t>
            </w:r>
          </w:p>
        </w:tc>
        <w:tc>
          <w:tcPr>
            <w:tcW w:w="564" w:type="dxa"/>
            <w:vAlign w:val="top"/>
          </w:tcPr>
          <w:p w14:paraId="6F5F48C7">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c>
          <w:tcPr>
            <w:tcW w:w="564" w:type="dxa"/>
            <w:vAlign w:val="top"/>
          </w:tcPr>
          <w:p w14:paraId="17CAA50C">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618</w:t>
            </w:r>
          </w:p>
        </w:tc>
        <w:tc>
          <w:tcPr>
            <w:tcW w:w="670" w:type="dxa"/>
            <w:vAlign w:val="top"/>
          </w:tcPr>
          <w:p w14:paraId="746C79B7">
            <w:pPr>
              <w:spacing w:before="24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6CB9F905">
            <w:pPr>
              <w:spacing w:before="2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311A1931">
            <w:pPr>
              <w:spacing w:before="2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391DCFA1">
            <w:pPr>
              <w:pStyle w:val="6"/>
              <w:spacing w:before="20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819C003">
            <w:pPr>
              <w:rPr>
                <w:rFonts w:ascii="Arial"/>
                <w:sz w:val="21"/>
              </w:rPr>
            </w:pPr>
          </w:p>
        </w:tc>
        <w:tc>
          <w:tcPr>
            <w:tcW w:w="831" w:type="dxa"/>
            <w:vMerge w:val="continue"/>
            <w:tcBorders>
              <w:top w:val="nil"/>
              <w:bottom w:val="nil"/>
            </w:tcBorders>
            <w:vAlign w:val="top"/>
          </w:tcPr>
          <w:p w14:paraId="746F3D70">
            <w:pPr>
              <w:rPr>
                <w:rFonts w:ascii="Arial"/>
                <w:sz w:val="21"/>
              </w:rPr>
            </w:pPr>
          </w:p>
        </w:tc>
        <w:tc>
          <w:tcPr>
            <w:tcW w:w="684" w:type="dxa"/>
            <w:vMerge w:val="continue"/>
            <w:tcBorders>
              <w:top w:val="nil"/>
              <w:bottom w:val="nil"/>
            </w:tcBorders>
            <w:vAlign w:val="top"/>
          </w:tcPr>
          <w:p w14:paraId="1C487787">
            <w:pPr>
              <w:rPr>
                <w:rFonts w:ascii="Arial"/>
                <w:sz w:val="21"/>
              </w:rPr>
            </w:pPr>
          </w:p>
        </w:tc>
      </w:tr>
      <w:tr w14:paraId="17D8D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0F929D94">
            <w:pPr>
              <w:spacing w:before="248"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2" w:type="dxa"/>
            <w:vMerge w:val="continue"/>
            <w:tcBorders>
              <w:top w:val="nil"/>
              <w:bottom w:val="nil"/>
            </w:tcBorders>
            <w:vAlign w:val="top"/>
          </w:tcPr>
          <w:p w14:paraId="418C42D3">
            <w:pPr>
              <w:rPr>
                <w:rFonts w:ascii="Arial"/>
                <w:sz w:val="21"/>
              </w:rPr>
            </w:pPr>
          </w:p>
        </w:tc>
        <w:tc>
          <w:tcPr>
            <w:tcW w:w="1900" w:type="dxa"/>
            <w:vAlign w:val="top"/>
          </w:tcPr>
          <w:p w14:paraId="431FE7DA">
            <w:pPr>
              <w:pStyle w:val="6"/>
              <w:spacing w:before="243" w:line="228" w:lineRule="auto"/>
              <w:ind w:left="244"/>
            </w:pPr>
            <w:r>
              <w:rPr>
                <w:spacing w:val="2"/>
              </w:rPr>
              <w:t>双吸泵（3</w:t>
            </w:r>
            <w:r>
              <w:rPr>
                <w:spacing w:val="-19"/>
              </w:rPr>
              <w:t xml:space="preserve"> </w:t>
            </w:r>
            <w:r>
              <w:rPr>
                <w:spacing w:val="2"/>
              </w:rPr>
              <w:t>台）</w:t>
            </w:r>
          </w:p>
        </w:tc>
        <w:tc>
          <w:tcPr>
            <w:tcW w:w="2551" w:type="dxa"/>
            <w:vAlign w:val="top"/>
          </w:tcPr>
          <w:p w14:paraId="7935C8B0">
            <w:pPr>
              <w:pStyle w:val="6"/>
              <w:spacing w:before="56" w:line="259" w:lineRule="auto"/>
              <w:ind w:left="464" w:right="381" w:hanging="129"/>
            </w:pPr>
            <w:r>
              <w:t>SLOW</w:t>
            </w:r>
            <w:r>
              <w:rPr>
                <w:spacing w:val="2"/>
              </w:rPr>
              <w:t>80-280（I）C，</w:t>
            </w:r>
            <w:r>
              <w:rPr>
                <w:spacing w:val="5"/>
              </w:rPr>
              <w:t xml:space="preserve"> </w:t>
            </w:r>
            <w:r>
              <w:rPr>
                <w:spacing w:val="4"/>
              </w:rPr>
              <w:t>Q=120m</w:t>
            </w:r>
            <w:r>
              <w:rPr>
                <w:spacing w:val="4"/>
                <w:position w:val="10"/>
                <w:sz w:val="10"/>
                <w:szCs w:val="10"/>
              </w:rPr>
              <w:t>3</w:t>
            </w:r>
            <w:r>
              <w:rPr>
                <w:spacing w:val="4"/>
              </w:rPr>
              <w:t>/h，H=50m</w:t>
            </w:r>
          </w:p>
        </w:tc>
        <w:tc>
          <w:tcPr>
            <w:tcW w:w="1113" w:type="dxa"/>
            <w:vAlign w:val="top"/>
          </w:tcPr>
          <w:p w14:paraId="344CEA45">
            <w:pPr>
              <w:pStyle w:val="6"/>
              <w:spacing w:before="212"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28B44366">
            <w:pPr>
              <w:pStyle w:val="6"/>
              <w:spacing w:before="212" w:line="228" w:lineRule="auto"/>
              <w:ind w:left="11"/>
            </w:pPr>
            <w:r>
              <w:rPr>
                <w:spacing w:val="-3"/>
              </w:rPr>
              <w:t>减振、隔声</w:t>
            </w:r>
          </w:p>
        </w:tc>
        <w:tc>
          <w:tcPr>
            <w:tcW w:w="564" w:type="dxa"/>
            <w:vAlign w:val="top"/>
          </w:tcPr>
          <w:p w14:paraId="1FBB440D">
            <w:pPr>
              <w:spacing w:before="24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c>
          <w:tcPr>
            <w:tcW w:w="564" w:type="dxa"/>
            <w:vAlign w:val="top"/>
          </w:tcPr>
          <w:p w14:paraId="74C2D17B">
            <w:pPr>
              <w:spacing w:before="24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613</w:t>
            </w:r>
          </w:p>
        </w:tc>
        <w:tc>
          <w:tcPr>
            <w:tcW w:w="670" w:type="dxa"/>
            <w:vAlign w:val="top"/>
          </w:tcPr>
          <w:p w14:paraId="556F5D40">
            <w:pPr>
              <w:spacing w:before="248"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1177B11F">
            <w:pPr>
              <w:spacing w:before="248"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5BCC691F">
            <w:pPr>
              <w:spacing w:before="24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1C611D5D">
            <w:pPr>
              <w:pStyle w:val="6"/>
              <w:spacing w:before="212"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DB2C834">
            <w:pPr>
              <w:rPr>
                <w:rFonts w:ascii="Arial"/>
                <w:sz w:val="21"/>
              </w:rPr>
            </w:pPr>
          </w:p>
        </w:tc>
        <w:tc>
          <w:tcPr>
            <w:tcW w:w="831" w:type="dxa"/>
            <w:vMerge w:val="continue"/>
            <w:tcBorders>
              <w:top w:val="nil"/>
              <w:bottom w:val="nil"/>
            </w:tcBorders>
            <w:vAlign w:val="top"/>
          </w:tcPr>
          <w:p w14:paraId="73B24E93">
            <w:pPr>
              <w:rPr>
                <w:rFonts w:ascii="Arial"/>
                <w:sz w:val="21"/>
              </w:rPr>
            </w:pPr>
          </w:p>
        </w:tc>
        <w:tc>
          <w:tcPr>
            <w:tcW w:w="684" w:type="dxa"/>
            <w:vMerge w:val="continue"/>
            <w:tcBorders>
              <w:top w:val="nil"/>
              <w:bottom w:val="nil"/>
            </w:tcBorders>
            <w:vAlign w:val="top"/>
          </w:tcPr>
          <w:p w14:paraId="287F03A1">
            <w:pPr>
              <w:rPr>
                <w:rFonts w:ascii="Arial"/>
                <w:sz w:val="21"/>
              </w:rPr>
            </w:pPr>
          </w:p>
        </w:tc>
      </w:tr>
      <w:tr w14:paraId="1F9D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317" w:type="dxa"/>
            <w:vAlign w:val="top"/>
          </w:tcPr>
          <w:p w14:paraId="19FAD6FA">
            <w:pPr>
              <w:spacing w:before="116"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12" w:type="dxa"/>
            <w:vMerge w:val="continue"/>
            <w:tcBorders>
              <w:top w:val="nil"/>
            </w:tcBorders>
            <w:vAlign w:val="top"/>
          </w:tcPr>
          <w:p w14:paraId="2559B5B0">
            <w:pPr>
              <w:rPr>
                <w:rFonts w:ascii="Arial"/>
                <w:sz w:val="21"/>
              </w:rPr>
            </w:pPr>
          </w:p>
        </w:tc>
        <w:tc>
          <w:tcPr>
            <w:tcW w:w="1900" w:type="dxa"/>
            <w:vAlign w:val="top"/>
          </w:tcPr>
          <w:p w14:paraId="68234940">
            <w:pPr>
              <w:pStyle w:val="6"/>
              <w:spacing w:before="111" w:line="228" w:lineRule="auto"/>
              <w:ind w:left="426"/>
            </w:pPr>
            <w:r>
              <w:rPr>
                <w:spacing w:val="8"/>
              </w:rPr>
              <w:t>潜水污水泵</w:t>
            </w:r>
          </w:p>
        </w:tc>
        <w:tc>
          <w:tcPr>
            <w:tcW w:w="2551" w:type="dxa"/>
            <w:vAlign w:val="top"/>
          </w:tcPr>
          <w:p w14:paraId="157D17A1">
            <w:pPr>
              <w:pStyle w:val="6"/>
              <w:spacing w:before="63" w:line="270" w:lineRule="exact"/>
              <w:ind w:left="1"/>
            </w:pPr>
            <w:r>
              <w:rPr>
                <w:spacing w:val="-1"/>
              </w:rPr>
              <w:t>WQ2120-202</w:t>
            </w:r>
            <w:r>
              <w:rPr>
                <w:spacing w:val="-32"/>
              </w:rPr>
              <w:t xml:space="preserve"> </w:t>
            </w:r>
            <w:r>
              <w:rPr>
                <w:spacing w:val="-1"/>
              </w:rPr>
              <w:t>型</w:t>
            </w:r>
            <w:r>
              <w:rPr>
                <w:spacing w:val="-55"/>
              </w:rPr>
              <w:t xml:space="preserve"> </w:t>
            </w:r>
            <w:r>
              <w:rPr>
                <w:spacing w:val="-1"/>
              </w:rPr>
              <w:t>Q=8m</w:t>
            </w:r>
            <w:r>
              <w:rPr>
                <w:spacing w:val="-1"/>
                <w:position w:val="10"/>
                <w:sz w:val="10"/>
                <w:szCs w:val="10"/>
              </w:rPr>
              <w:t>3</w:t>
            </w:r>
            <w:r>
              <w:rPr>
                <w:spacing w:val="-1"/>
              </w:rPr>
              <w:t>/h，H=25</w:t>
            </w:r>
          </w:p>
        </w:tc>
        <w:tc>
          <w:tcPr>
            <w:tcW w:w="1113" w:type="dxa"/>
            <w:vAlign w:val="top"/>
          </w:tcPr>
          <w:p w14:paraId="33184446">
            <w:pPr>
              <w:pStyle w:val="6"/>
              <w:spacing w:before="80"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60876A8B">
            <w:pPr>
              <w:pStyle w:val="6"/>
              <w:spacing w:before="81" w:line="228" w:lineRule="auto"/>
              <w:ind w:left="11"/>
            </w:pPr>
            <w:r>
              <w:rPr>
                <w:spacing w:val="-3"/>
              </w:rPr>
              <w:t>减振、隔声</w:t>
            </w:r>
          </w:p>
        </w:tc>
        <w:tc>
          <w:tcPr>
            <w:tcW w:w="564" w:type="dxa"/>
            <w:vAlign w:val="top"/>
          </w:tcPr>
          <w:p w14:paraId="058586C6">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383</w:t>
            </w:r>
          </w:p>
        </w:tc>
        <w:tc>
          <w:tcPr>
            <w:tcW w:w="564" w:type="dxa"/>
            <w:vAlign w:val="top"/>
          </w:tcPr>
          <w:p w14:paraId="011741F1">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607</w:t>
            </w:r>
          </w:p>
        </w:tc>
        <w:tc>
          <w:tcPr>
            <w:tcW w:w="670" w:type="dxa"/>
            <w:vAlign w:val="top"/>
          </w:tcPr>
          <w:p w14:paraId="62461209">
            <w:pPr>
              <w:spacing w:before="11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5D0DE369">
            <w:pPr>
              <w:spacing w:before="11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1CBDEFB1">
            <w:pPr>
              <w:spacing w:before="11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66.4</w:t>
            </w:r>
          </w:p>
        </w:tc>
        <w:tc>
          <w:tcPr>
            <w:tcW w:w="962" w:type="dxa"/>
            <w:vAlign w:val="top"/>
          </w:tcPr>
          <w:p w14:paraId="1F2945AB">
            <w:pPr>
              <w:pStyle w:val="6"/>
              <w:spacing w:before="80"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19BF010F">
            <w:pPr>
              <w:rPr>
                <w:rFonts w:ascii="Arial"/>
                <w:sz w:val="21"/>
              </w:rPr>
            </w:pPr>
          </w:p>
        </w:tc>
        <w:tc>
          <w:tcPr>
            <w:tcW w:w="831" w:type="dxa"/>
            <w:vMerge w:val="continue"/>
            <w:tcBorders>
              <w:top w:val="nil"/>
            </w:tcBorders>
            <w:vAlign w:val="top"/>
          </w:tcPr>
          <w:p w14:paraId="64ACF1E9">
            <w:pPr>
              <w:rPr>
                <w:rFonts w:ascii="Arial"/>
                <w:sz w:val="21"/>
              </w:rPr>
            </w:pPr>
          </w:p>
        </w:tc>
        <w:tc>
          <w:tcPr>
            <w:tcW w:w="684" w:type="dxa"/>
            <w:vMerge w:val="continue"/>
            <w:tcBorders>
              <w:top w:val="nil"/>
            </w:tcBorders>
            <w:vAlign w:val="top"/>
          </w:tcPr>
          <w:p w14:paraId="04A09D0C">
            <w:pPr>
              <w:rPr>
                <w:rFonts w:ascii="Arial"/>
                <w:sz w:val="21"/>
              </w:rPr>
            </w:pPr>
          </w:p>
        </w:tc>
      </w:tr>
    </w:tbl>
    <w:p w14:paraId="11925935">
      <w:pPr>
        <w:pStyle w:val="2"/>
      </w:pPr>
    </w:p>
    <w:p w14:paraId="07212382">
      <w:pPr>
        <w:sectPr>
          <w:footerReference r:id="rId152" w:type="default"/>
          <w:pgSz w:w="16839" w:h="11906"/>
          <w:pgMar w:top="1208" w:right="1245" w:bottom="1358" w:left="1245" w:header="825" w:footer="1195" w:gutter="0"/>
          <w:cols w:space="720" w:num="1"/>
        </w:sectPr>
      </w:pPr>
    </w:p>
    <w:p w14:paraId="26B08263">
      <w:pPr>
        <w:pStyle w:val="2"/>
        <w:spacing w:line="265" w:lineRule="auto"/>
      </w:pPr>
    </w:p>
    <w:p w14:paraId="07F2CD5F">
      <w:pPr>
        <w:spacing w:before="78" w:line="220" w:lineRule="auto"/>
        <w:ind w:left="499"/>
        <w:outlineLvl w:val="2"/>
        <w:rPr>
          <w:rFonts w:ascii="宋体" w:hAnsi="宋体" w:eastAsia="宋体" w:cs="宋体"/>
          <w:sz w:val="24"/>
          <w:szCs w:val="24"/>
        </w:rPr>
      </w:pPr>
      <w:bookmarkStart w:id="74" w:name="bookmark68"/>
      <w:bookmarkEnd w:id="74"/>
      <w:r>
        <w:rPr>
          <w:rFonts w:ascii="Times New Roman" w:hAnsi="Times New Roman" w:eastAsia="Times New Roman" w:cs="Times New Roman"/>
          <w:b/>
          <w:bCs/>
          <w:spacing w:val="-6"/>
          <w:sz w:val="24"/>
          <w:szCs w:val="24"/>
        </w:rPr>
        <w:t>5.5.4</w:t>
      </w:r>
      <w:r>
        <w:rPr>
          <w:rFonts w:ascii="Times New Roman" w:hAnsi="Times New Roman" w:eastAsia="Times New Roman" w:cs="Times New Roman"/>
          <w:b/>
          <w:bCs/>
          <w:spacing w:val="37"/>
          <w:sz w:val="24"/>
          <w:szCs w:val="24"/>
        </w:rPr>
        <w:t xml:space="preserve"> </w:t>
      </w:r>
      <w:r>
        <w:rPr>
          <w:rFonts w:ascii="宋体" w:hAnsi="宋体" w:eastAsia="宋体" w:cs="宋体"/>
          <w:b/>
          <w:bCs/>
          <w:spacing w:val="-6"/>
          <w:sz w:val="24"/>
          <w:szCs w:val="24"/>
        </w:rPr>
        <w:t>固体废物</w:t>
      </w:r>
    </w:p>
    <w:p w14:paraId="357F970F">
      <w:pPr>
        <w:spacing w:before="102" w:line="359" w:lineRule="auto"/>
        <w:ind w:left="23" w:right="162" w:firstLine="497"/>
        <w:rPr>
          <w:rFonts w:ascii="宋体" w:hAnsi="宋体" w:eastAsia="宋体" w:cs="宋体"/>
          <w:sz w:val="24"/>
          <w:szCs w:val="24"/>
        </w:rPr>
      </w:pPr>
      <w:r>
        <w:rPr>
          <w:rFonts w:ascii="宋体" w:hAnsi="宋体" w:eastAsia="宋体" w:cs="宋体"/>
          <w:spacing w:val="-1"/>
          <w:sz w:val="24"/>
          <w:szCs w:val="24"/>
        </w:rPr>
        <w:t>固体废弃物主要包括选矿尾矿、除尘灰、浮选药品废弃包装材料、尾矿回</w:t>
      </w:r>
      <w:r>
        <w:rPr>
          <w:rFonts w:ascii="宋体" w:hAnsi="宋体" w:eastAsia="宋体" w:cs="宋体"/>
          <w:sz w:val="24"/>
          <w:szCs w:val="24"/>
        </w:rPr>
        <w:t xml:space="preserve"> </w:t>
      </w:r>
      <w:r>
        <w:rPr>
          <w:rFonts w:ascii="宋体" w:hAnsi="宋体" w:eastAsia="宋体" w:cs="宋体"/>
          <w:spacing w:val="-1"/>
          <w:sz w:val="24"/>
          <w:szCs w:val="24"/>
        </w:rPr>
        <w:t>水处理系统污泥、废机油和生活垃圾等。</w:t>
      </w:r>
    </w:p>
    <w:p w14:paraId="7C71998E">
      <w:pPr>
        <w:spacing w:line="219" w:lineRule="auto"/>
        <w:ind w:left="51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）尾矿</w:t>
      </w:r>
    </w:p>
    <w:p w14:paraId="726F4990">
      <w:pPr>
        <w:spacing w:before="184" w:line="359" w:lineRule="auto"/>
        <w:ind w:left="20" w:right="162" w:firstLine="482"/>
        <w:rPr>
          <w:rFonts w:ascii="宋体" w:hAnsi="宋体" w:eastAsia="宋体" w:cs="宋体"/>
          <w:sz w:val="24"/>
          <w:szCs w:val="24"/>
        </w:rPr>
      </w:pPr>
      <w:r>
        <w:rPr>
          <w:rFonts w:ascii="宋体" w:hAnsi="宋体" w:eastAsia="宋体" w:cs="宋体"/>
          <w:spacing w:val="-1"/>
          <w:sz w:val="24"/>
          <w:szCs w:val="24"/>
        </w:rPr>
        <w:t>现有</w:t>
      </w:r>
      <w:r>
        <w:rPr>
          <w:rFonts w:ascii="宋体" w:hAnsi="宋体" w:eastAsia="宋体" w:cs="宋体"/>
          <w:spacing w:val="-15"/>
          <w:sz w:val="24"/>
          <w:szCs w:val="24"/>
        </w:rPr>
        <w:t xml:space="preserve"> </w:t>
      </w:r>
      <w:r>
        <w:rPr>
          <w:rFonts w:ascii="Times New Roman" w:hAnsi="Times New Roman" w:eastAsia="Times New Roman" w:cs="Times New Roman"/>
          <w:spacing w:val="-1"/>
          <w:sz w:val="24"/>
          <w:szCs w:val="24"/>
        </w:rPr>
        <w:t xml:space="preserve">1400t/a </w:t>
      </w:r>
      <w:r>
        <w:rPr>
          <w:rFonts w:ascii="宋体" w:hAnsi="宋体" w:eastAsia="宋体" w:cs="宋体"/>
          <w:spacing w:val="-1"/>
          <w:sz w:val="24"/>
          <w:szCs w:val="24"/>
        </w:rPr>
        <w:t>选矿项目尾矿产生量约为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24.82</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t/a</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2000 t/a </w:t>
      </w:r>
      <w:r>
        <w:rPr>
          <w:rFonts w:ascii="宋体" w:hAnsi="宋体" w:eastAsia="宋体" w:cs="宋体"/>
          <w:spacing w:val="-1"/>
          <w:sz w:val="24"/>
          <w:szCs w:val="24"/>
        </w:rPr>
        <w:t>选矿项目尾</w:t>
      </w:r>
      <w:r>
        <w:rPr>
          <w:rFonts w:ascii="宋体" w:hAnsi="宋体" w:eastAsia="宋体" w:cs="宋体"/>
          <w:sz w:val="24"/>
          <w:szCs w:val="24"/>
        </w:rPr>
        <w:t xml:space="preserve"> </w:t>
      </w:r>
      <w:r>
        <w:rPr>
          <w:rFonts w:ascii="宋体" w:hAnsi="宋体" w:eastAsia="宋体" w:cs="宋体"/>
          <w:spacing w:val="3"/>
          <w:sz w:val="24"/>
          <w:szCs w:val="24"/>
        </w:rPr>
        <w:t>矿产生量约为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38.874</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7"/>
          <w:sz w:val="15"/>
          <w:szCs w:val="15"/>
        </w:rPr>
        <w:t>4</w:t>
      </w:r>
      <w:r>
        <w:rPr>
          <w:rFonts w:ascii="Times New Roman" w:hAnsi="Times New Roman" w:eastAsia="Times New Roman" w:cs="Times New Roman"/>
          <w:spacing w:val="3"/>
          <w:sz w:val="24"/>
          <w:szCs w:val="24"/>
        </w:rPr>
        <w:t>t/a</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，项目技改后，技改工程</w:t>
      </w:r>
      <w:r>
        <w:rPr>
          <w:rFonts w:ascii="宋体" w:hAnsi="宋体" w:eastAsia="宋体" w:cs="宋体"/>
          <w:spacing w:val="2"/>
          <w:sz w:val="24"/>
          <w:szCs w:val="24"/>
        </w:rPr>
        <w:t>产生的选矿尾矿量约为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38.821</w:t>
      </w:r>
      <w:r>
        <w:rPr>
          <w:rFonts w:ascii="宋体" w:hAnsi="宋体" w:eastAsia="宋体" w:cs="宋体"/>
          <w:spacing w:val="-3"/>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7"/>
          <w:sz w:val="15"/>
          <w:szCs w:val="15"/>
        </w:rPr>
        <w:t>4</w:t>
      </w:r>
      <w:r>
        <w:rPr>
          <w:rFonts w:ascii="Times New Roman" w:hAnsi="Times New Roman" w:eastAsia="Times New Roman" w:cs="Times New Roman"/>
          <w:spacing w:val="-3"/>
          <w:sz w:val="24"/>
          <w:szCs w:val="24"/>
        </w:rPr>
        <w:t>t/a</w:t>
      </w:r>
      <w:r>
        <w:rPr>
          <w:rFonts w:ascii="宋体" w:hAnsi="宋体" w:eastAsia="宋体" w:cs="宋体"/>
          <w:spacing w:val="-3"/>
          <w:sz w:val="24"/>
          <w:szCs w:val="24"/>
        </w:rPr>
        <w:t>，选厂尾矿产生量约为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63.</w:t>
      </w:r>
      <w:r>
        <w:rPr>
          <w:rFonts w:ascii="Times New Roman" w:hAnsi="Times New Roman" w:eastAsia="Times New Roman" w:cs="Times New Roman"/>
          <w:spacing w:val="-4"/>
          <w:sz w:val="24"/>
          <w:szCs w:val="24"/>
        </w:rPr>
        <w:t>641</w:t>
      </w:r>
      <w:r>
        <w:rPr>
          <w:rFonts w:ascii="宋体" w:hAnsi="宋体" w:eastAsia="宋体" w:cs="宋体"/>
          <w:spacing w:val="-4"/>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4"/>
          <w:position w:val="7"/>
          <w:sz w:val="15"/>
          <w:szCs w:val="15"/>
        </w:rPr>
        <w:t>4</w:t>
      </w:r>
      <w:r>
        <w:rPr>
          <w:rFonts w:ascii="Times New Roman" w:hAnsi="Times New Roman" w:eastAsia="Times New Roman" w:cs="Times New Roman"/>
          <w:spacing w:val="-4"/>
          <w:sz w:val="24"/>
          <w:szCs w:val="24"/>
        </w:rPr>
        <w:t>t/a</w:t>
      </w:r>
      <w:r>
        <w:rPr>
          <w:rFonts w:ascii="宋体" w:hAnsi="宋体" w:eastAsia="宋体" w:cs="宋体"/>
          <w:spacing w:val="-4"/>
          <w:sz w:val="24"/>
          <w:szCs w:val="24"/>
        </w:rPr>
        <w:t>，为一般固体废弃物。尾矿</w:t>
      </w:r>
      <w:r>
        <w:rPr>
          <w:rFonts w:ascii="宋体" w:hAnsi="宋体" w:eastAsia="宋体" w:cs="宋体"/>
          <w:sz w:val="24"/>
          <w:szCs w:val="24"/>
        </w:rPr>
        <w:t xml:space="preserve"> 输送分两种工况输送。井下充填作业时，选厂尾矿直接</w:t>
      </w:r>
      <w:r>
        <w:rPr>
          <w:rFonts w:ascii="宋体" w:hAnsi="宋体" w:eastAsia="宋体" w:cs="宋体"/>
          <w:spacing w:val="-1"/>
          <w:sz w:val="24"/>
          <w:szCs w:val="24"/>
        </w:rPr>
        <w:t>输送至充填站砂仓；井</w:t>
      </w:r>
      <w:r>
        <w:rPr>
          <w:rFonts w:ascii="宋体" w:hAnsi="宋体" w:eastAsia="宋体" w:cs="宋体"/>
          <w:sz w:val="24"/>
          <w:szCs w:val="24"/>
        </w:rPr>
        <w:t xml:space="preserve"> </w:t>
      </w:r>
      <w:r>
        <w:rPr>
          <w:rFonts w:ascii="宋体" w:hAnsi="宋体" w:eastAsia="宋体" w:cs="宋体"/>
          <w:spacing w:val="-1"/>
          <w:sz w:val="24"/>
          <w:szCs w:val="24"/>
        </w:rPr>
        <w:t>下充填不作业时，经尾矿浓密机浓密后高浓度输送至尾矿库。</w:t>
      </w:r>
    </w:p>
    <w:p w14:paraId="1611FDB2">
      <w:pPr>
        <w:spacing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）除尘灰</w:t>
      </w:r>
    </w:p>
    <w:p w14:paraId="0CFEDF0D">
      <w:pPr>
        <w:spacing w:before="182" w:line="359" w:lineRule="auto"/>
        <w:ind w:left="20" w:right="101" w:firstLine="482"/>
        <w:rPr>
          <w:rFonts w:ascii="宋体" w:hAnsi="宋体" w:eastAsia="宋体" w:cs="宋体"/>
          <w:sz w:val="24"/>
          <w:szCs w:val="24"/>
        </w:rPr>
      </w:pPr>
      <w:r>
        <w:rPr>
          <w:rFonts w:ascii="宋体" w:hAnsi="宋体" w:eastAsia="宋体" w:cs="宋体"/>
          <w:spacing w:val="-4"/>
          <w:sz w:val="24"/>
          <w:szCs w:val="24"/>
        </w:rPr>
        <w:t>现有工程除尘灰量约为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110.7t/a</w:t>
      </w:r>
      <w:r>
        <w:rPr>
          <w:rFonts w:ascii="宋体" w:hAnsi="宋体" w:eastAsia="宋体" w:cs="宋体"/>
          <w:spacing w:val="-4"/>
          <w:sz w:val="24"/>
          <w:szCs w:val="24"/>
        </w:rPr>
        <w:t>。其中</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1400</w:t>
      </w:r>
      <w:r>
        <w:rPr>
          <w:rFonts w:ascii="Times New Roman" w:hAnsi="Times New Roman" w:eastAsia="Times New Roman" w:cs="Times New Roman"/>
          <w:spacing w:val="-5"/>
          <w:sz w:val="24"/>
          <w:szCs w:val="24"/>
        </w:rPr>
        <w:t xml:space="preserve">t/d </w:t>
      </w:r>
      <w:r>
        <w:rPr>
          <w:rFonts w:ascii="宋体" w:hAnsi="宋体" w:eastAsia="宋体" w:cs="宋体"/>
          <w:spacing w:val="-5"/>
          <w:sz w:val="24"/>
          <w:szCs w:val="24"/>
        </w:rPr>
        <w:t>选矿工程除尘灰量</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39.16 t/a</w:t>
      </w:r>
      <w:r>
        <w:rPr>
          <w:rFonts w:ascii="宋体" w:hAnsi="宋体" w:eastAsia="宋体" w:cs="宋体"/>
          <w:spacing w:val="-5"/>
          <w:sz w:val="24"/>
          <w:szCs w:val="24"/>
        </w:rPr>
        <w:t>，</w:t>
      </w:r>
      <w:r>
        <w:rPr>
          <w:rFonts w:ascii="宋体" w:hAnsi="宋体" w:eastAsia="宋体" w:cs="宋体"/>
          <w:sz w:val="24"/>
          <w:szCs w:val="24"/>
        </w:rPr>
        <w:t xml:space="preserve"> 选矿项目技改后，技改工程产生除尘灰量为</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56.74 t/a</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，车间布袋除尘系统收集 </w:t>
      </w:r>
      <w:r>
        <w:rPr>
          <w:rFonts w:ascii="宋体" w:hAnsi="宋体" w:eastAsia="宋体" w:cs="宋体"/>
          <w:spacing w:val="-1"/>
          <w:sz w:val="24"/>
          <w:szCs w:val="24"/>
        </w:rPr>
        <w:t>的除尘灰量约为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95.9t/a</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，为一般性固体废</w:t>
      </w:r>
      <w:r>
        <w:rPr>
          <w:rFonts w:ascii="宋体" w:hAnsi="宋体" w:eastAsia="宋体" w:cs="宋体"/>
          <w:spacing w:val="-2"/>
          <w:sz w:val="24"/>
          <w:szCs w:val="24"/>
        </w:rPr>
        <w:t>弃物，作为项目原料再利用。</w:t>
      </w:r>
    </w:p>
    <w:p w14:paraId="61A3A706">
      <w:pPr>
        <w:spacing w:before="1" w:line="218"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）浮选药品废弃包装材料</w:t>
      </w:r>
    </w:p>
    <w:p w14:paraId="48ED7E2D">
      <w:pPr>
        <w:spacing w:before="182" w:line="358" w:lineRule="auto"/>
        <w:ind w:left="22" w:right="103" w:firstLine="480"/>
        <w:rPr>
          <w:rFonts w:ascii="宋体" w:hAnsi="宋体" w:eastAsia="宋体" w:cs="宋体"/>
          <w:sz w:val="24"/>
          <w:szCs w:val="24"/>
        </w:rPr>
      </w:pPr>
      <w:r>
        <w:rPr>
          <w:rFonts w:ascii="宋体" w:hAnsi="宋体" w:eastAsia="宋体" w:cs="宋体"/>
          <w:sz w:val="24"/>
          <w:szCs w:val="24"/>
        </w:rPr>
        <w:t>现有工程浮选药品废弃包装材料产生量约为</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2t/a</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 xml:space="preserve">。技改后，选矿车间药品 </w:t>
      </w:r>
      <w:r>
        <w:rPr>
          <w:rFonts w:ascii="宋体" w:hAnsi="宋体" w:eastAsia="宋体" w:cs="宋体"/>
          <w:spacing w:val="-3"/>
          <w:sz w:val="24"/>
          <w:szCs w:val="24"/>
        </w:rPr>
        <w:t>年用量变化较小，每年产生的浮选药品包装袋、包装铁桶，产生量约为</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1.8t/a</w:t>
      </w:r>
      <w:r>
        <w:rPr>
          <w:rFonts w:ascii="宋体" w:hAnsi="宋体" w:eastAsia="宋体" w:cs="宋体"/>
          <w:spacing w:val="-3"/>
          <w:sz w:val="24"/>
          <w:szCs w:val="24"/>
        </w:rPr>
        <w:t>，</w:t>
      </w:r>
      <w:r>
        <w:rPr>
          <w:rFonts w:ascii="宋体" w:hAnsi="宋体" w:eastAsia="宋体" w:cs="宋体"/>
          <w:sz w:val="24"/>
          <w:szCs w:val="24"/>
        </w:rPr>
        <w:t xml:space="preserve"> 浮选药剂废弃包装材料属于危险废物</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HW49(9</w:t>
      </w:r>
      <w:r>
        <w:rPr>
          <w:rFonts w:ascii="Times New Roman" w:hAnsi="Times New Roman" w:eastAsia="Times New Roman" w:cs="Times New Roman"/>
          <w:spacing w:val="-1"/>
          <w:sz w:val="24"/>
          <w:szCs w:val="24"/>
        </w:rPr>
        <w:t>00-047-49</w:t>
      </w:r>
      <w:r>
        <w:rPr>
          <w:rFonts w:ascii="宋体" w:hAnsi="宋体" w:eastAsia="宋体" w:cs="宋体"/>
          <w:spacing w:val="10"/>
          <w:sz w:val="24"/>
          <w:szCs w:val="24"/>
        </w:rPr>
        <w:t>），</w:t>
      </w:r>
      <w:r>
        <w:rPr>
          <w:rFonts w:ascii="宋体" w:hAnsi="宋体" w:eastAsia="宋体" w:cs="宋体"/>
          <w:spacing w:val="-1"/>
          <w:sz w:val="24"/>
          <w:szCs w:val="24"/>
        </w:rPr>
        <w:t>暂存于危废间，定</w:t>
      </w:r>
      <w:r>
        <w:rPr>
          <w:rFonts w:ascii="宋体" w:hAnsi="宋体" w:eastAsia="宋体" w:cs="宋体"/>
          <w:sz w:val="24"/>
          <w:szCs w:val="24"/>
        </w:rPr>
        <w:t xml:space="preserve"> </w:t>
      </w:r>
      <w:r>
        <w:rPr>
          <w:rFonts w:ascii="宋体" w:hAnsi="宋体" w:eastAsia="宋体" w:cs="宋体"/>
          <w:spacing w:val="-1"/>
          <w:sz w:val="24"/>
          <w:szCs w:val="24"/>
        </w:rPr>
        <w:t>期委托库伦旗金圆东蒙环保科技有限公司处置。</w:t>
      </w:r>
    </w:p>
    <w:p w14:paraId="6F42852E">
      <w:pPr>
        <w:spacing w:before="6" w:line="219"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）尾矿回水处理系统污泥</w:t>
      </w:r>
    </w:p>
    <w:p w14:paraId="5E9DE896">
      <w:pPr>
        <w:spacing w:before="262" w:line="360" w:lineRule="auto"/>
        <w:ind w:left="21" w:right="161" w:firstLine="480"/>
        <w:jc w:val="both"/>
        <w:rPr>
          <w:rFonts w:ascii="宋体" w:hAnsi="宋体" w:eastAsia="宋体" w:cs="宋体"/>
          <w:sz w:val="24"/>
          <w:szCs w:val="24"/>
        </w:rPr>
      </w:pPr>
      <w:r>
        <w:rPr>
          <w:rFonts w:ascii="宋体" w:hAnsi="宋体" w:eastAsia="宋体" w:cs="宋体"/>
          <w:spacing w:val="-2"/>
          <w:sz w:val="24"/>
          <w:szCs w:val="24"/>
        </w:rPr>
        <w:t>尾矿回水处理系统产生污泥量约为</w:t>
      </w:r>
      <w:r>
        <w:rPr>
          <w:rFonts w:ascii="宋体" w:hAnsi="宋体" w:eastAsia="宋体" w:cs="宋体"/>
          <w:spacing w:val="-45"/>
          <w:sz w:val="24"/>
          <w:szCs w:val="24"/>
        </w:rPr>
        <w:t xml:space="preserve"> </w:t>
      </w:r>
      <w:r>
        <w:rPr>
          <w:rFonts w:ascii="宋体" w:hAnsi="宋体" w:eastAsia="宋体" w:cs="宋体"/>
          <w:spacing w:val="-2"/>
          <w:sz w:val="24"/>
          <w:szCs w:val="24"/>
        </w:rPr>
        <w:t>500t/a</w:t>
      </w:r>
      <w:r>
        <w:rPr>
          <w:rFonts w:ascii="宋体" w:hAnsi="宋体" w:eastAsia="宋体" w:cs="宋体"/>
          <w:spacing w:val="-3"/>
          <w:sz w:val="24"/>
          <w:szCs w:val="24"/>
        </w:rPr>
        <w:t>。技改后，选矿量未发生变化，</w:t>
      </w:r>
      <w:r>
        <w:rPr>
          <w:rFonts w:ascii="宋体" w:hAnsi="宋体" w:eastAsia="宋体" w:cs="宋体"/>
          <w:sz w:val="24"/>
          <w:szCs w:val="24"/>
        </w:rPr>
        <w:t xml:space="preserve"> 尾矿库回水处理工艺不变，产生污泥量仍为</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500t/a</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，与尾矿性质类似，堆存于 </w:t>
      </w:r>
      <w:r>
        <w:rPr>
          <w:rFonts w:ascii="宋体" w:hAnsi="宋体" w:eastAsia="宋体" w:cs="宋体"/>
          <w:spacing w:val="-3"/>
          <w:sz w:val="24"/>
          <w:szCs w:val="24"/>
        </w:rPr>
        <w:t>尾矿库。</w:t>
      </w:r>
    </w:p>
    <w:p w14:paraId="7B10E6C4">
      <w:pPr>
        <w:spacing w:line="218"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）废机油（</w:t>
      </w:r>
      <w:r>
        <w:rPr>
          <w:rFonts w:ascii="Times New Roman" w:hAnsi="Times New Roman" w:eastAsia="Times New Roman" w:cs="Times New Roman"/>
          <w:spacing w:val="-1"/>
          <w:sz w:val="24"/>
          <w:szCs w:val="24"/>
        </w:rPr>
        <w:t>HW08 900-214-0</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p>
    <w:p w14:paraId="596127DE">
      <w:pPr>
        <w:spacing w:before="107" w:line="359" w:lineRule="auto"/>
        <w:ind w:left="21" w:right="162" w:firstLine="481"/>
        <w:rPr>
          <w:rFonts w:ascii="宋体" w:hAnsi="宋体" w:eastAsia="宋体" w:cs="宋体"/>
          <w:sz w:val="24"/>
          <w:szCs w:val="24"/>
        </w:rPr>
      </w:pPr>
      <w:r>
        <w:rPr>
          <w:rFonts w:ascii="宋体" w:hAnsi="宋体" w:eastAsia="宋体" w:cs="宋体"/>
          <w:spacing w:val="-1"/>
          <w:sz w:val="24"/>
          <w:szCs w:val="24"/>
        </w:rPr>
        <w:t>现有工程全厂设备维护产生废机油</w:t>
      </w:r>
      <w:r>
        <w:rPr>
          <w:rFonts w:ascii="宋体" w:hAnsi="宋体" w:eastAsia="宋体" w:cs="宋体"/>
          <w:spacing w:val="-13"/>
          <w:sz w:val="24"/>
          <w:szCs w:val="24"/>
        </w:rPr>
        <w:t xml:space="preserve"> </w:t>
      </w:r>
      <w:r>
        <w:rPr>
          <w:rFonts w:ascii="Times New Roman" w:hAnsi="Times New Roman" w:eastAsia="Times New Roman" w:cs="Times New Roman"/>
          <w:spacing w:val="-1"/>
          <w:sz w:val="24"/>
          <w:szCs w:val="24"/>
        </w:rPr>
        <w:t>1t/a</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。技改后机械设备润滑油用量变化</w:t>
      </w:r>
      <w:r>
        <w:rPr>
          <w:rFonts w:ascii="宋体" w:hAnsi="宋体" w:eastAsia="宋体" w:cs="宋体"/>
          <w:sz w:val="24"/>
          <w:szCs w:val="24"/>
        </w:rPr>
        <w:t xml:space="preserve"> 很小，机械设备（如球磨机、装载机等）维护、维修</w:t>
      </w:r>
      <w:r>
        <w:rPr>
          <w:rFonts w:ascii="宋体" w:hAnsi="宋体" w:eastAsia="宋体" w:cs="宋体"/>
          <w:spacing w:val="-1"/>
          <w:sz w:val="24"/>
          <w:szCs w:val="24"/>
        </w:rPr>
        <w:t>过程废机油的产生量仍为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1t</w:t>
      </w:r>
      <w:r>
        <w:rPr>
          <w:rFonts w:ascii="宋体" w:hAnsi="宋体" w:eastAsia="宋体" w:cs="宋体"/>
          <w:spacing w:val="-2"/>
          <w:sz w:val="24"/>
          <w:szCs w:val="24"/>
        </w:rPr>
        <w:t>。废机油属于危险废物废机油属于危险废物，危废类别为</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HW08  </w:t>
      </w:r>
      <w:r>
        <w:rPr>
          <w:rFonts w:ascii="宋体" w:hAnsi="宋体" w:eastAsia="宋体" w:cs="宋体"/>
          <w:spacing w:val="-2"/>
          <w:sz w:val="24"/>
          <w:szCs w:val="24"/>
        </w:rPr>
        <w:t>废矿物油与</w:t>
      </w:r>
      <w:r>
        <w:rPr>
          <w:rFonts w:ascii="宋体" w:hAnsi="宋体" w:eastAsia="宋体" w:cs="宋体"/>
          <w:sz w:val="24"/>
          <w:szCs w:val="24"/>
        </w:rPr>
        <w:t xml:space="preserve"> </w:t>
      </w:r>
      <w:r>
        <w:rPr>
          <w:rFonts w:ascii="宋体" w:hAnsi="宋体" w:eastAsia="宋体" w:cs="宋体"/>
          <w:spacing w:val="1"/>
          <w:sz w:val="24"/>
          <w:szCs w:val="24"/>
        </w:rPr>
        <w:t>含矿物油废物，废物代码：</w:t>
      </w:r>
      <w:r>
        <w:rPr>
          <w:rFonts w:ascii="Times New Roman" w:hAnsi="Times New Roman" w:eastAsia="Times New Roman" w:cs="Times New Roman"/>
          <w:spacing w:val="1"/>
          <w:sz w:val="24"/>
          <w:szCs w:val="24"/>
        </w:rPr>
        <w:t>900-214-08</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，收集暂存于危废暂存间，定</w:t>
      </w:r>
      <w:r>
        <w:rPr>
          <w:rFonts w:ascii="宋体" w:hAnsi="宋体" w:eastAsia="宋体" w:cs="宋体"/>
          <w:sz w:val="24"/>
          <w:szCs w:val="24"/>
        </w:rPr>
        <w:t xml:space="preserve">期委托西 </w:t>
      </w:r>
      <w:r>
        <w:rPr>
          <w:rFonts w:ascii="宋体" w:hAnsi="宋体" w:eastAsia="宋体" w:cs="宋体"/>
          <w:spacing w:val="-1"/>
          <w:sz w:val="24"/>
          <w:szCs w:val="24"/>
        </w:rPr>
        <w:t>乌旗洁源废旧资源回收有限公司进行处置。</w:t>
      </w:r>
    </w:p>
    <w:p w14:paraId="1DE007A4">
      <w:pPr>
        <w:spacing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）生活垃圾</w:t>
      </w:r>
    </w:p>
    <w:p w14:paraId="5DD15F6B">
      <w:pPr>
        <w:spacing w:before="179" w:line="212" w:lineRule="auto"/>
        <w:ind w:left="502"/>
        <w:rPr>
          <w:rFonts w:ascii="宋体" w:hAnsi="宋体" w:eastAsia="宋体" w:cs="宋体"/>
          <w:sz w:val="24"/>
          <w:szCs w:val="24"/>
        </w:rPr>
      </w:pPr>
      <w:r>
        <w:rPr>
          <w:rFonts w:ascii="宋体" w:hAnsi="宋体" w:eastAsia="宋体" w:cs="宋体"/>
          <w:spacing w:val="-1"/>
          <w:sz w:val="24"/>
          <w:szCs w:val="24"/>
        </w:rPr>
        <w:t>技改后，选矿车间劳动定员为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348 </w:t>
      </w:r>
      <w:r>
        <w:rPr>
          <w:rFonts w:ascii="宋体" w:hAnsi="宋体" w:eastAsia="宋体" w:cs="宋体"/>
          <w:spacing w:val="-1"/>
          <w:sz w:val="24"/>
          <w:szCs w:val="24"/>
        </w:rPr>
        <w:t>人，生活</w:t>
      </w:r>
      <w:r>
        <w:rPr>
          <w:rFonts w:ascii="宋体" w:hAnsi="宋体" w:eastAsia="宋体" w:cs="宋体"/>
          <w:spacing w:val="-2"/>
          <w:sz w:val="24"/>
          <w:szCs w:val="24"/>
        </w:rPr>
        <w:t>垃圾按</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1kg/</w:t>
      </w:r>
      <w:r>
        <w:rPr>
          <w:rFonts w:ascii="宋体" w:hAnsi="宋体" w:eastAsia="宋体" w:cs="宋体"/>
          <w:spacing w:val="-2"/>
          <w:sz w:val="24"/>
          <w:szCs w:val="24"/>
        </w:rPr>
        <w:t>人</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，则生活垃圾</w:t>
      </w:r>
    </w:p>
    <w:p w14:paraId="758FF6D1">
      <w:pPr>
        <w:spacing w:line="212" w:lineRule="auto"/>
        <w:rPr>
          <w:rFonts w:ascii="宋体" w:hAnsi="宋体" w:eastAsia="宋体" w:cs="宋体"/>
          <w:sz w:val="24"/>
          <w:szCs w:val="24"/>
        </w:rPr>
        <w:sectPr>
          <w:headerReference r:id="rId153" w:type="default"/>
          <w:footerReference r:id="rId154" w:type="default"/>
          <w:pgSz w:w="11906" w:h="16839"/>
          <w:pgMar w:top="1208" w:right="1785" w:bottom="1358" w:left="1785" w:header="825" w:footer="1195" w:gutter="0"/>
          <w:cols w:space="720" w:num="1"/>
        </w:sectPr>
      </w:pPr>
    </w:p>
    <w:p w14:paraId="65C1BF5D">
      <w:pPr>
        <w:spacing w:before="265" w:line="352" w:lineRule="auto"/>
        <w:ind w:left="215" w:right="413" w:hanging="1"/>
        <w:rPr>
          <w:rFonts w:ascii="宋体" w:hAnsi="宋体" w:eastAsia="宋体" w:cs="宋体"/>
          <w:sz w:val="24"/>
          <w:szCs w:val="24"/>
        </w:rPr>
      </w:pPr>
      <w:r>
        <w:rPr>
          <w:rFonts w:ascii="宋体" w:hAnsi="宋体" w:eastAsia="宋体" w:cs="宋体"/>
          <w:spacing w:val="-1"/>
          <w:sz w:val="24"/>
          <w:szCs w:val="24"/>
        </w:rPr>
        <w:t>产生量为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348kg/d</w:t>
      </w:r>
      <w:r>
        <w:rPr>
          <w:rFonts w:ascii="宋体" w:hAnsi="宋体" w:eastAsia="宋体" w:cs="宋体"/>
          <w:spacing w:val="-1"/>
          <w:sz w:val="24"/>
          <w:szCs w:val="24"/>
        </w:rPr>
        <w:t>（</w:t>
      </w:r>
      <w:r>
        <w:rPr>
          <w:rFonts w:ascii="Times New Roman" w:hAnsi="Times New Roman" w:eastAsia="Times New Roman" w:cs="Times New Roman"/>
          <w:spacing w:val="-1"/>
          <w:sz w:val="24"/>
          <w:szCs w:val="24"/>
        </w:rPr>
        <w:t>73.08t/a</w:t>
      </w:r>
      <w:r>
        <w:rPr>
          <w:rFonts w:ascii="宋体" w:hAnsi="宋体" w:eastAsia="宋体" w:cs="宋体"/>
          <w:spacing w:val="-1"/>
          <w:sz w:val="24"/>
          <w:szCs w:val="24"/>
        </w:rPr>
        <w:t>）。通过厂内生活区设置的垃圾箱定点收集垃圾，</w:t>
      </w:r>
      <w:r>
        <w:rPr>
          <w:rFonts w:ascii="宋体" w:hAnsi="宋体" w:eastAsia="宋体" w:cs="宋体"/>
          <w:sz w:val="24"/>
          <w:szCs w:val="24"/>
        </w:rPr>
        <w:t xml:space="preserve"> </w:t>
      </w:r>
      <w:r>
        <w:rPr>
          <w:rFonts w:ascii="宋体" w:hAnsi="宋体" w:eastAsia="宋体" w:cs="宋体"/>
          <w:spacing w:val="-1"/>
          <w:sz w:val="24"/>
          <w:szCs w:val="24"/>
        </w:rPr>
        <w:t>后由环卫部门统一拉运清理。</w:t>
      </w:r>
    </w:p>
    <w:p w14:paraId="0CB6C50A">
      <w:pPr>
        <w:spacing w:before="35" w:line="228" w:lineRule="auto"/>
        <w:ind w:left="1736"/>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spacing w:val="7"/>
          <w:sz w:val="20"/>
          <w:szCs w:val="20"/>
        </w:rPr>
        <w:t xml:space="preserve">5.5-4        </w:t>
      </w:r>
      <w:r>
        <w:rPr>
          <w:rFonts w:ascii="宋体" w:hAnsi="宋体" w:eastAsia="宋体" w:cs="宋体"/>
          <w:spacing w:val="7"/>
          <w:sz w:val="20"/>
          <w:szCs w:val="20"/>
        </w:rPr>
        <w:t>技改完成后选矿</w:t>
      </w:r>
      <w:r>
        <w:rPr>
          <w:rFonts w:ascii="宋体" w:hAnsi="宋体" w:eastAsia="宋体" w:cs="宋体"/>
          <w:spacing w:val="6"/>
          <w:sz w:val="20"/>
          <w:szCs w:val="20"/>
        </w:rPr>
        <w:t>工程固体废弃物情况一览表</w:t>
      </w:r>
    </w:p>
    <w:p w14:paraId="47711EBD">
      <w:pPr>
        <w:spacing w:line="145" w:lineRule="auto"/>
        <w:rPr>
          <w:rFonts w:ascii="Arial"/>
          <w:sz w:val="2"/>
        </w:rPr>
      </w:pPr>
    </w:p>
    <w:tbl>
      <w:tblPr>
        <w:tblStyle w:val="5"/>
        <w:tblW w:w="87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1303"/>
        <w:gridCol w:w="1051"/>
        <w:gridCol w:w="1595"/>
        <w:gridCol w:w="1275"/>
        <w:gridCol w:w="2414"/>
      </w:tblGrid>
      <w:tr w14:paraId="26E91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77" w:type="dxa"/>
            <w:vAlign w:val="top"/>
          </w:tcPr>
          <w:p w14:paraId="64B7230B">
            <w:pPr>
              <w:pStyle w:val="6"/>
              <w:spacing w:before="55" w:line="228" w:lineRule="auto"/>
              <w:ind w:left="126"/>
            </w:pPr>
            <w:r>
              <w:rPr>
                <w:spacing w:val="6"/>
              </w:rPr>
              <w:t>生产环节</w:t>
            </w:r>
          </w:p>
        </w:tc>
        <w:tc>
          <w:tcPr>
            <w:tcW w:w="1303" w:type="dxa"/>
            <w:vAlign w:val="top"/>
          </w:tcPr>
          <w:p w14:paraId="2603942D">
            <w:pPr>
              <w:pStyle w:val="6"/>
              <w:spacing w:before="55" w:line="230" w:lineRule="auto"/>
              <w:ind w:left="449"/>
            </w:pPr>
            <w:r>
              <w:rPr>
                <w:spacing w:val="3"/>
              </w:rPr>
              <w:t>名称</w:t>
            </w:r>
          </w:p>
        </w:tc>
        <w:tc>
          <w:tcPr>
            <w:tcW w:w="1051" w:type="dxa"/>
            <w:vAlign w:val="top"/>
          </w:tcPr>
          <w:p w14:paraId="5F2F2440">
            <w:pPr>
              <w:pStyle w:val="6"/>
              <w:spacing w:before="56" w:line="228" w:lineRule="auto"/>
              <w:ind w:left="321"/>
            </w:pPr>
            <w:r>
              <w:rPr>
                <w:spacing w:val="3"/>
              </w:rPr>
              <w:t>成分</w:t>
            </w:r>
          </w:p>
        </w:tc>
        <w:tc>
          <w:tcPr>
            <w:tcW w:w="1595" w:type="dxa"/>
            <w:vAlign w:val="top"/>
          </w:tcPr>
          <w:p w14:paraId="61CE852E">
            <w:pPr>
              <w:pStyle w:val="6"/>
              <w:spacing w:before="56" w:line="228" w:lineRule="auto"/>
              <w:ind w:left="402"/>
            </w:pPr>
            <w:r>
              <w:rPr>
                <w:spacing w:val="2"/>
              </w:rPr>
              <w:t>固废属性</w:t>
            </w:r>
          </w:p>
        </w:tc>
        <w:tc>
          <w:tcPr>
            <w:tcW w:w="1275" w:type="dxa"/>
            <w:vAlign w:val="top"/>
          </w:tcPr>
          <w:p w14:paraId="54780EFD">
            <w:pPr>
              <w:pStyle w:val="6"/>
              <w:spacing w:before="56" w:line="221" w:lineRule="auto"/>
              <w:ind w:left="155"/>
              <w:rPr>
                <w:rFonts w:ascii="Times New Roman" w:hAnsi="Times New Roman" w:eastAsia="Times New Roman" w:cs="Times New Roman"/>
              </w:rPr>
            </w:pPr>
            <w:r>
              <w:rPr>
                <w:spacing w:val="4"/>
              </w:rPr>
              <w:t>产生量</w:t>
            </w:r>
            <w:r>
              <w:rPr>
                <w:rFonts w:ascii="Times New Roman" w:hAnsi="Times New Roman" w:eastAsia="Times New Roman" w:cs="Times New Roman"/>
                <w:spacing w:val="4"/>
              </w:rPr>
              <w:t>(t/a)</w:t>
            </w:r>
          </w:p>
        </w:tc>
        <w:tc>
          <w:tcPr>
            <w:tcW w:w="2414" w:type="dxa"/>
            <w:vAlign w:val="top"/>
          </w:tcPr>
          <w:p w14:paraId="62C6603D">
            <w:pPr>
              <w:pStyle w:val="6"/>
              <w:spacing w:before="56" w:line="228" w:lineRule="auto"/>
              <w:ind w:left="797"/>
            </w:pPr>
            <w:r>
              <w:rPr>
                <w:spacing w:val="6"/>
              </w:rPr>
              <w:t>处置措施</w:t>
            </w:r>
          </w:p>
        </w:tc>
      </w:tr>
      <w:tr w14:paraId="193C3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39B807C6">
            <w:pPr>
              <w:pStyle w:val="6"/>
              <w:spacing w:before="206" w:line="228" w:lineRule="auto"/>
              <w:ind w:left="123"/>
            </w:pPr>
            <w:r>
              <w:rPr>
                <w:spacing w:val="7"/>
              </w:rPr>
              <w:t>选矿车间</w:t>
            </w:r>
          </w:p>
        </w:tc>
        <w:tc>
          <w:tcPr>
            <w:tcW w:w="1303" w:type="dxa"/>
            <w:vAlign w:val="top"/>
          </w:tcPr>
          <w:p w14:paraId="3C2328AF">
            <w:pPr>
              <w:pStyle w:val="6"/>
              <w:spacing w:before="206" w:line="228" w:lineRule="auto"/>
              <w:ind w:left="446"/>
            </w:pPr>
            <w:r>
              <w:rPr>
                <w:spacing w:val="4"/>
              </w:rPr>
              <w:t>尾矿</w:t>
            </w:r>
          </w:p>
        </w:tc>
        <w:tc>
          <w:tcPr>
            <w:tcW w:w="1051" w:type="dxa"/>
            <w:vAlign w:val="top"/>
          </w:tcPr>
          <w:p w14:paraId="259C0DE4">
            <w:pPr>
              <w:spacing w:before="238" w:line="206" w:lineRule="auto"/>
              <w:ind w:left="336"/>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p>
        </w:tc>
        <w:tc>
          <w:tcPr>
            <w:tcW w:w="1595" w:type="dxa"/>
            <w:vAlign w:val="top"/>
          </w:tcPr>
          <w:p w14:paraId="76D38261">
            <w:pPr>
              <w:pStyle w:val="6"/>
              <w:spacing w:before="207" w:line="228" w:lineRule="auto"/>
              <w:ind w:left="388"/>
            </w:pPr>
            <w:r>
              <w:rPr>
                <w:spacing w:val="6"/>
              </w:rPr>
              <w:t>一般固废</w:t>
            </w:r>
          </w:p>
        </w:tc>
        <w:tc>
          <w:tcPr>
            <w:tcW w:w="1275" w:type="dxa"/>
            <w:vAlign w:val="top"/>
          </w:tcPr>
          <w:p w14:paraId="0B943D80">
            <w:pPr>
              <w:pStyle w:val="6"/>
              <w:spacing w:before="207" w:line="228" w:lineRule="auto"/>
              <w:ind w:left="225"/>
            </w:pPr>
            <w:r>
              <w:rPr>
                <w:rFonts w:ascii="Times New Roman" w:hAnsi="Times New Roman" w:eastAsia="Times New Roman" w:cs="Times New Roman"/>
                <w:spacing w:val="2"/>
              </w:rPr>
              <w:t>63.641</w:t>
            </w:r>
            <w:r>
              <w:rPr>
                <w:rFonts w:ascii="Times New Roman" w:hAnsi="Times New Roman" w:eastAsia="Times New Roman" w:cs="Times New Roman"/>
                <w:spacing w:val="17"/>
                <w:w w:val="101"/>
              </w:rPr>
              <w:t xml:space="preserve"> </w:t>
            </w:r>
            <w:r>
              <w:rPr>
                <w:spacing w:val="2"/>
              </w:rPr>
              <w:t>万</w:t>
            </w:r>
          </w:p>
        </w:tc>
        <w:tc>
          <w:tcPr>
            <w:tcW w:w="2414" w:type="dxa"/>
            <w:vAlign w:val="top"/>
          </w:tcPr>
          <w:p w14:paraId="05CD596C">
            <w:pPr>
              <w:pStyle w:val="6"/>
              <w:spacing w:before="50" w:line="262" w:lineRule="auto"/>
              <w:ind w:left="389" w:right="100" w:hanging="326"/>
            </w:pPr>
            <w:r>
              <w:rPr>
                <w:spacing w:val="4"/>
              </w:rPr>
              <w:t>管道输送至尾矿库堆存，</w:t>
            </w:r>
            <w:r>
              <w:t xml:space="preserve"> </w:t>
            </w:r>
            <w:r>
              <w:rPr>
                <w:rFonts w:ascii="Times New Roman" w:hAnsi="Times New Roman" w:eastAsia="Times New Roman" w:cs="Times New Roman"/>
                <w:spacing w:val="7"/>
              </w:rPr>
              <w:t>35%</w:t>
            </w:r>
            <w:r>
              <w:rPr>
                <w:spacing w:val="7"/>
              </w:rPr>
              <w:t>尾矿充填井下</w:t>
            </w:r>
          </w:p>
        </w:tc>
      </w:tr>
      <w:tr w14:paraId="1E526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5F4189C6">
            <w:pPr>
              <w:pStyle w:val="6"/>
              <w:spacing w:before="206" w:line="228" w:lineRule="auto"/>
              <w:ind w:left="240"/>
            </w:pPr>
            <w:r>
              <w:rPr>
                <w:spacing w:val="2"/>
              </w:rPr>
              <w:t>除尘器</w:t>
            </w:r>
          </w:p>
        </w:tc>
        <w:tc>
          <w:tcPr>
            <w:tcW w:w="1303" w:type="dxa"/>
            <w:vAlign w:val="top"/>
          </w:tcPr>
          <w:p w14:paraId="3AC933BE">
            <w:pPr>
              <w:pStyle w:val="6"/>
              <w:spacing w:before="206" w:line="228" w:lineRule="auto"/>
              <w:ind w:left="353"/>
            </w:pPr>
            <w:r>
              <w:rPr>
                <w:spacing w:val="2"/>
              </w:rPr>
              <w:t>除尘灰</w:t>
            </w:r>
          </w:p>
        </w:tc>
        <w:tc>
          <w:tcPr>
            <w:tcW w:w="1051" w:type="dxa"/>
            <w:vAlign w:val="top"/>
          </w:tcPr>
          <w:p w14:paraId="1180C2F1">
            <w:pPr>
              <w:pStyle w:val="6"/>
              <w:spacing w:before="50" w:line="262" w:lineRule="auto"/>
              <w:ind w:left="218" w:right="105" w:hanging="103"/>
            </w:pPr>
            <w:r>
              <w:rPr>
                <w:spacing w:val="6"/>
              </w:rPr>
              <w:t>与原矿成</w:t>
            </w:r>
            <w:r>
              <w:t xml:space="preserve"> </w:t>
            </w:r>
            <w:r>
              <w:rPr>
                <w:spacing w:val="6"/>
              </w:rPr>
              <w:t>分一致</w:t>
            </w:r>
          </w:p>
        </w:tc>
        <w:tc>
          <w:tcPr>
            <w:tcW w:w="1595" w:type="dxa"/>
            <w:vAlign w:val="top"/>
          </w:tcPr>
          <w:p w14:paraId="7FC389CC">
            <w:pPr>
              <w:pStyle w:val="6"/>
              <w:spacing w:before="207" w:line="228" w:lineRule="auto"/>
              <w:ind w:left="388"/>
            </w:pPr>
            <w:r>
              <w:rPr>
                <w:spacing w:val="6"/>
              </w:rPr>
              <w:t>一般固废</w:t>
            </w:r>
          </w:p>
        </w:tc>
        <w:tc>
          <w:tcPr>
            <w:tcW w:w="1275" w:type="dxa"/>
            <w:vAlign w:val="top"/>
          </w:tcPr>
          <w:p w14:paraId="66970FA4">
            <w:pPr>
              <w:spacing w:before="243"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95.9</w:t>
            </w:r>
          </w:p>
        </w:tc>
        <w:tc>
          <w:tcPr>
            <w:tcW w:w="2414" w:type="dxa"/>
            <w:vAlign w:val="top"/>
          </w:tcPr>
          <w:p w14:paraId="32489A7C">
            <w:pPr>
              <w:pStyle w:val="6"/>
              <w:spacing w:before="207" w:line="228" w:lineRule="auto"/>
              <w:ind w:left="582"/>
            </w:pPr>
            <w:r>
              <w:rPr>
                <w:spacing w:val="8"/>
              </w:rPr>
              <w:t>作为原料回用</w:t>
            </w:r>
          </w:p>
        </w:tc>
      </w:tr>
      <w:tr w14:paraId="09126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2B33B215">
            <w:pPr>
              <w:pStyle w:val="6"/>
              <w:spacing w:before="207" w:line="227" w:lineRule="auto"/>
              <w:ind w:left="230"/>
            </w:pPr>
            <w:r>
              <w:rPr>
                <w:spacing w:val="6"/>
              </w:rPr>
              <w:t>药剂库</w:t>
            </w:r>
          </w:p>
        </w:tc>
        <w:tc>
          <w:tcPr>
            <w:tcW w:w="1303" w:type="dxa"/>
            <w:vAlign w:val="top"/>
          </w:tcPr>
          <w:p w14:paraId="2B080FE6">
            <w:pPr>
              <w:pStyle w:val="6"/>
              <w:spacing w:before="52" w:line="228" w:lineRule="auto"/>
              <w:ind w:left="131"/>
            </w:pPr>
            <w:r>
              <w:rPr>
                <w:spacing w:val="7"/>
              </w:rPr>
              <w:t>浮选药品废</w:t>
            </w:r>
          </w:p>
          <w:p w14:paraId="5600BD00">
            <w:pPr>
              <w:pStyle w:val="6"/>
              <w:spacing w:before="64" w:line="227" w:lineRule="auto"/>
              <w:ind w:left="133"/>
            </w:pPr>
            <w:r>
              <w:rPr>
                <w:spacing w:val="7"/>
              </w:rPr>
              <w:t>弃包装材料</w:t>
            </w:r>
          </w:p>
        </w:tc>
        <w:tc>
          <w:tcPr>
            <w:tcW w:w="1051" w:type="dxa"/>
            <w:vAlign w:val="top"/>
          </w:tcPr>
          <w:p w14:paraId="01A0D8B3">
            <w:pPr>
              <w:pStyle w:val="6"/>
              <w:spacing w:before="52" w:line="228" w:lineRule="auto"/>
              <w:jc w:val="right"/>
            </w:pPr>
            <w:r>
              <w:rPr>
                <w:spacing w:val="1"/>
              </w:rPr>
              <w:t>废包装袋、</w:t>
            </w:r>
          </w:p>
          <w:p w14:paraId="7925ECBC">
            <w:pPr>
              <w:pStyle w:val="6"/>
              <w:spacing w:before="64" w:line="228" w:lineRule="auto"/>
              <w:ind w:left="318"/>
            </w:pPr>
            <w:r>
              <w:rPr>
                <w:spacing w:val="5"/>
              </w:rPr>
              <w:t>铁桶</w:t>
            </w:r>
          </w:p>
        </w:tc>
        <w:tc>
          <w:tcPr>
            <w:tcW w:w="1595" w:type="dxa"/>
            <w:vAlign w:val="top"/>
          </w:tcPr>
          <w:p w14:paraId="5E5BD3E7">
            <w:pPr>
              <w:pStyle w:val="6"/>
              <w:spacing w:before="52" w:line="228" w:lineRule="auto"/>
              <w:ind w:left="72"/>
            </w:pPr>
            <w:r>
              <w:rPr>
                <w:rFonts w:ascii="Times New Roman" w:hAnsi="Times New Roman" w:eastAsia="Times New Roman" w:cs="Times New Roman"/>
              </w:rPr>
              <w:t>HW</w:t>
            </w:r>
            <w:r>
              <w:rPr>
                <w:rFonts w:ascii="Times New Roman" w:hAnsi="Times New Roman" w:eastAsia="Times New Roman" w:cs="Times New Roman"/>
                <w:spacing w:val="8"/>
              </w:rPr>
              <w:t>49</w:t>
            </w:r>
            <w:r>
              <w:rPr>
                <w:rFonts w:ascii="Times New Roman" w:hAnsi="Times New Roman" w:eastAsia="Times New Roman" w:cs="Times New Roman"/>
                <w:spacing w:val="14"/>
                <w:w w:val="101"/>
              </w:rPr>
              <w:t xml:space="preserve"> </w:t>
            </w:r>
            <w:r>
              <w:rPr>
                <w:spacing w:val="8"/>
              </w:rPr>
              <w:t>危险废物</w:t>
            </w:r>
          </w:p>
          <w:p w14:paraId="182F8BA3">
            <w:pPr>
              <w:spacing w:before="10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900-047-49</w:t>
            </w:r>
          </w:p>
        </w:tc>
        <w:tc>
          <w:tcPr>
            <w:tcW w:w="1275" w:type="dxa"/>
            <w:vAlign w:val="top"/>
          </w:tcPr>
          <w:p w14:paraId="1549B232">
            <w:pPr>
              <w:spacing w:before="243"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2414" w:type="dxa"/>
            <w:vAlign w:val="top"/>
          </w:tcPr>
          <w:p w14:paraId="0B38D9B9">
            <w:pPr>
              <w:pStyle w:val="6"/>
              <w:spacing w:before="52" w:line="261" w:lineRule="auto"/>
              <w:ind w:left="590" w:right="49" w:hanging="529"/>
            </w:pPr>
            <w:r>
              <w:rPr>
                <w:spacing w:val="8"/>
              </w:rPr>
              <w:t>危废暂存间暂存，委托有</w:t>
            </w:r>
            <w:r>
              <w:rPr>
                <w:spacing w:val="9"/>
              </w:rPr>
              <w:t xml:space="preserve"> </w:t>
            </w:r>
            <w:r>
              <w:rPr>
                <w:spacing w:val="6"/>
              </w:rPr>
              <w:t>资质单位处置</w:t>
            </w:r>
          </w:p>
        </w:tc>
      </w:tr>
      <w:tr w14:paraId="51E3F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18AE1692">
            <w:pPr>
              <w:pStyle w:val="6"/>
              <w:spacing w:before="52" w:line="228" w:lineRule="auto"/>
              <w:ind w:left="126"/>
            </w:pPr>
            <w:r>
              <w:rPr>
                <w:spacing w:val="6"/>
              </w:rPr>
              <w:t>生产设备</w:t>
            </w:r>
          </w:p>
          <w:p w14:paraId="4E667EA0">
            <w:pPr>
              <w:pStyle w:val="6"/>
              <w:spacing w:before="65" w:line="228" w:lineRule="auto"/>
              <w:ind w:left="336"/>
            </w:pPr>
            <w:r>
              <w:rPr>
                <w:spacing w:val="3"/>
              </w:rPr>
              <w:t>维修</w:t>
            </w:r>
          </w:p>
        </w:tc>
        <w:tc>
          <w:tcPr>
            <w:tcW w:w="1303" w:type="dxa"/>
            <w:vAlign w:val="top"/>
          </w:tcPr>
          <w:p w14:paraId="0C3891AE">
            <w:pPr>
              <w:pStyle w:val="6"/>
              <w:spacing w:before="208" w:line="227" w:lineRule="auto"/>
              <w:ind w:left="340"/>
            </w:pPr>
            <w:r>
              <w:rPr>
                <w:spacing w:val="7"/>
              </w:rPr>
              <w:t>废机油</w:t>
            </w:r>
          </w:p>
        </w:tc>
        <w:tc>
          <w:tcPr>
            <w:tcW w:w="1051" w:type="dxa"/>
            <w:vAlign w:val="top"/>
          </w:tcPr>
          <w:p w14:paraId="4FB2729E">
            <w:pPr>
              <w:pStyle w:val="6"/>
              <w:spacing w:before="208" w:line="228" w:lineRule="auto"/>
              <w:ind w:left="323"/>
            </w:pPr>
            <w:r>
              <w:rPr>
                <w:spacing w:val="3"/>
              </w:rPr>
              <w:t>油类</w:t>
            </w:r>
          </w:p>
        </w:tc>
        <w:tc>
          <w:tcPr>
            <w:tcW w:w="1595" w:type="dxa"/>
            <w:vAlign w:val="top"/>
          </w:tcPr>
          <w:p w14:paraId="3FBA0F1C">
            <w:pPr>
              <w:pStyle w:val="6"/>
              <w:spacing w:before="52" w:line="228" w:lineRule="auto"/>
              <w:ind w:left="72"/>
            </w:pPr>
            <w:r>
              <w:rPr>
                <w:rFonts w:ascii="Times New Roman" w:hAnsi="Times New Roman" w:eastAsia="Times New Roman" w:cs="Times New Roman"/>
              </w:rPr>
              <w:t>HW</w:t>
            </w:r>
            <w:r>
              <w:rPr>
                <w:rFonts w:ascii="Times New Roman" w:hAnsi="Times New Roman" w:eastAsia="Times New Roman" w:cs="Times New Roman"/>
                <w:spacing w:val="8"/>
              </w:rPr>
              <w:t>08</w:t>
            </w:r>
            <w:r>
              <w:rPr>
                <w:rFonts w:ascii="Times New Roman" w:hAnsi="Times New Roman" w:eastAsia="Times New Roman" w:cs="Times New Roman"/>
                <w:spacing w:val="14"/>
                <w:w w:val="101"/>
              </w:rPr>
              <w:t xml:space="preserve"> </w:t>
            </w:r>
            <w:r>
              <w:rPr>
                <w:spacing w:val="8"/>
              </w:rPr>
              <w:t>危险废物</w:t>
            </w:r>
          </w:p>
          <w:p w14:paraId="2DA0B243">
            <w:pPr>
              <w:spacing w:before="10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1275" w:type="dxa"/>
            <w:vAlign w:val="top"/>
          </w:tcPr>
          <w:p w14:paraId="5CB5EB7D">
            <w:pPr>
              <w:spacing w:before="244" w:line="195"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14" w:type="dxa"/>
            <w:vAlign w:val="top"/>
          </w:tcPr>
          <w:p w14:paraId="2085A379">
            <w:pPr>
              <w:pStyle w:val="6"/>
              <w:spacing w:before="52" w:line="261" w:lineRule="auto"/>
              <w:ind w:left="590" w:right="49" w:hanging="529"/>
            </w:pPr>
            <w:r>
              <w:rPr>
                <w:spacing w:val="8"/>
              </w:rPr>
              <w:t>危废暂存间暂存，委托有</w:t>
            </w:r>
            <w:r>
              <w:rPr>
                <w:spacing w:val="9"/>
              </w:rPr>
              <w:t xml:space="preserve"> </w:t>
            </w:r>
            <w:r>
              <w:rPr>
                <w:spacing w:val="6"/>
              </w:rPr>
              <w:t>资质单位处置</w:t>
            </w:r>
          </w:p>
        </w:tc>
      </w:tr>
      <w:tr w14:paraId="3622D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7" w:type="dxa"/>
            <w:vAlign w:val="top"/>
          </w:tcPr>
          <w:p w14:paraId="74204964">
            <w:pPr>
              <w:pStyle w:val="6"/>
              <w:spacing w:before="55" w:line="228" w:lineRule="auto"/>
              <w:ind w:left="124"/>
            </w:pPr>
            <w:r>
              <w:rPr>
                <w:spacing w:val="7"/>
              </w:rPr>
              <w:t>尾矿回水</w:t>
            </w:r>
          </w:p>
          <w:p w14:paraId="2415F1DB">
            <w:pPr>
              <w:pStyle w:val="6"/>
              <w:spacing w:before="65" w:line="229" w:lineRule="auto"/>
              <w:ind w:left="128"/>
            </w:pPr>
            <w:r>
              <w:rPr>
                <w:spacing w:val="6"/>
              </w:rPr>
              <w:t>处理系统</w:t>
            </w:r>
          </w:p>
        </w:tc>
        <w:tc>
          <w:tcPr>
            <w:tcW w:w="1303" w:type="dxa"/>
            <w:vAlign w:val="top"/>
          </w:tcPr>
          <w:p w14:paraId="4F3AA85C">
            <w:pPr>
              <w:pStyle w:val="6"/>
              <w:spacing w:before="211" w:line="230" w:lineRule="auto"/>
              <w:ind w:left="448"/>
            </w:pPr>
            <w:r>
              <w:rPr>
                <w:spacing w:val="3"/>
              </w:rPr>
              <w:t>污泥</w:t>
            </w:r>
          </w:p>
        </w:tc>
        <w:tc>
          <w:tcPr>
            <w:tcW w:w="1051" w:type="dxa"/>
            <w:vAlign w:val="top"/>
          </w:tcPr>
          <w:p w14:paraId="5DDD15BD">
            <w:pPr>
              <w:spacing w:before="243" w:line="206" w:lineRule="auto"/>
              <w:ind w:left="336"/>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p>
        </w:tc>
        <w:tc>
          <w:tcPr>
            <w:tcW w:w="1595" w:type="dxa"/>
            <w:vAlign w:val="top"/>
          </w:tcPr>
          <w:p w14:paraId="6C43B07D">
            <w:pPr>
              <w:pStyle w:val="6"/>
              <w:spacing w:before="211" w:line="228" w:lineRule="auto"/>
              <w:ind w:left="388"/>
            </w:pPr>
            <w:r>
              <w:rPr>
                <w:spacing w:val="6"/>
              </w:rPr>
              <w:t>一般固废</w:t>
            </w:r>
          </w:p>
        </w:tc>
        <w:tc>
          <w:tcPr>
            <w:tcW w:w="1275" w:type="dxa"/>
            <w:vAlign w:val="top"/>
          </w:tcPr>
          <w:p w14:paraId="478AFA3C">
            <w:pPr>
              <w:spacing w:before="247"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414" w:type="dxa"/>
            <w:vAlign w:val="top"/>
          </w:tcPr>
          <w:p w14:paraId="559872CA">
            <w:pPr>
              <w:pStyle w:val="6"/>
              <w:spacing w:before="211" w:line="228" w:lineRule="auto"/>
              <w:ind w:left="166"/>
            </w:pPr>
            <w:r>
              <w:rPr>
                <w:spacing w:val="8"/>
              </w:rPr>
              <w:t>管道输送至尾矿库堆存</w:t>
            </w:r>
          </w:p>
        </w:tc>
      </w:tr>
      <w:tr w14:paraId="430A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77" w:type="dxa"/>
            <w:vAlign w:val="top"/>
          </w:tcPr>
          <w:p w14:paraId="55423A3F">
            <w:pPr>
              <w:pStyle w:val="6"/>
              <w:spacing w:before="211" w:line="228" w:lineRule="auto"/>
              <w:ind w:left="128"/>
            </w:pPr>
            <w:r>
              <w:rPr>
                <w:spacing w:val="6"/>
              </w:rPr>
              <w:t>办公生活</w:t>
            </w:r>
          </w:p>
        </w:tc>
        <w:tc>
          <w:tcPr>
            <w:tcW w:w="1303" w:type="dxa"/>
            <w:vAlign w:val="top"/>
          </w:tcPr>
          <w:p w14:paraId="73D2F1E5">
            <w:pPr>
              <w:pStyle w:val="6"/>
              <w:spacing w:before="212" w:line="228" w:lineRule="auto"/>
              <w:ind w:left="237"/>
            </w:pPr>
            <w:r>
              <w:rPr>
                <w:spacing w:val="6"/>
              </w:rPr>
              <w:t>生活垃圾</w:t>
            </w:r>
          </w:p>
        </w:tc>
        <w:tc>
          <w:tcPr>
            <w:tcW w:w="1051" w:type="dxa"/>
            <w:vAlign w:val="top"/>
          </w:tcPr>
          <w:p w14:paraId="4481135D">
            <w:pPr>
              <w:spacing w:before="244" w:line="199"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95" w:type="dxa"/>
            <w:vAlign w:val="top"/>
          </w:tcPr>
          <w:p w14:paraId="7EA0205A">
            <w:pPr>
              <w:spacing w:before="244" w:line="199"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03500F26">
            <w:pPr>
              <w:spacing w:before="247"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73.08</w:t>
            </w:r>
          </w:p>
        </w:tc>
        <w:tc>
          <w:tcPr>
            <w:tcW w:w="2414" w:type="dxa"/>
            <w:vAlign w:val="top"/>
          </w:tcPr>
          <w:p w14:paraId="6B9206F1">
            <w:pPr>
              <w:pStyle w:val="6"/>
              <w:spacing w:before="55" w:line="228" w:lineRule="auto"/>
              <w:ind w:left="63"/>
            </w:pPr>
            <w:r>
              <w:rPr>
                <w:spacing w:val="8"/>
              </w:rPr>
              <w:t>定期清运至当地环卫部门</w:t>
            </w:r>
          </w:p>
          <w:p w14:paraId="2A0DA298">
            <w:pPr>
              <w:pStyle w:val="6"/>
              <w:spacing w:before="65" w:line="228" w:lineRule="auto"/>
              <w:ind w:left="795"/>
            </w:pPr>
            <w:r>
              <w:rPr>
                <w:spacing w:val="6"/>
              </w:rPr>
              <w:t>指定地点</w:t>
            </w:r>
          </w:p>
        </w:tc>
      </w:tr>
    </w:tbl>
    <w:p w14:paraId="297BC949">
      <w:pPr>
        <w:pStyle w:val="2"/>
        <w:spacing w:line="415" w:lineRule="auto"/>
      </w:pPr>
    </w:p>
    <w:p w14:paraId="198243D8">
      <w:pPr>
        <w:spacing w:before="91" w:line="224" w:lineRule="auto"/>
        <w:ind w:left="214"/>
        <w:outlineLvl w:val="1"/>
        <w:rPr>
          <w:rFonts w:ascii="黑体" w:hAnsi="黑体" w:eastAsia="黑体" w:cs="黑体"/>
          <w:sz w:val="28"/>
          <w:szCs w:val="28"/>
        </w:rPr>
      </w:pPr>
      <w:bookmarkStart w:id="75" w:name="bookmark70"/>
      <w:bookmarkEnd w:id="75"/>
      <w:bookmarkStart w:id="76" w:name="bookmark69"/>
      <w:bookmarkEnd w:id="76"/>
      <w:r>
        <w:rPr>
          <w:rFonts w:ascii="Times New Roman" w:hAnsi="Times New Roman" w:eastAsia="Times New Roman" w:cs="Times New Roman"/>
          <w:b/>
          <w:bCs/>
          <w:spacing w:val="-5"/>
          <w:sz w:val="28"/>
          <w:szCs w:val="28"/>
        </w:rPr>
        <w:t>5.6</w:t>
      </w:r>
      <w:r>
        <w:rPr>
          <w:rFonts w:ascii="Times New Roman" w:hAnsi="Times New Roman" w:eastAsia="Times New Roman" w:cs="Times New Roman"/>
          <w:b/>
          <w:bCs/>
          <w:spacing w:val="16"/>
          <w:sz w:val="28"/>
          <w:szCs w:val="28"/>
        </w:rPr>
        <w:t xml:space="preserve"> </w:t>
      </w:r>
      <w:r>
        <w:rPr>
          <w:rFonts w:ascii="黑体" w:hAnsi="黑体" w:eastAsia="黑体" w:cs="黑体"/>
          <w:b/>
          <w:bCs/>
          <w:spacing w:val="-5"/>
          <w:sz w:val="28"/>
          <w:szCs w:val="28"/>
        </w:rPr>
        <w:t>总量控制</w:t>
      </w:r>
    </w:p>
    <w:p w14:paraId="76D35D96">
      <w:pPr>
        <w:spacing w:before="252" w:line="220" w:lineRule="auto"/>
        <w:ind w:left="693"/>
        <w:outlineLvl w:val="2"/>
        <w:rPr>
          <w:rFonts w:ascii="宋体" w:hAnsi="宋体" w:eastAsia="宋体" w:cs="宋体"/>
          <w:sz w:val="24"/>
          <w:szCs w:val="24"/>
        </w:rPr>
      </w:pPr>
      <w:bookmarkStart w:id="77" w:name="bookmark201"/>
      <w:bookmarkEnd w:id="77"/>
      <w:r>
        <w:rPr>
          <w:rFonts w:ascii="Times New Roman" w:hAnsi="Times New Roman" w:eastAsia="Times New Roman" w:cs="Times New Roman"/>
          <w:b/>
          <w:bCs/>
          <w:spacing w:val="-3"/>
          <w:sz w:val="24"/>
          <w:szCs w:val="24"/>
        </w:rPr>
        <w:t>5.6.1</w:t>
      </w:r>
      <w:r>
        <w:rPr>
          <w:rFonts w:ascii="Times New Roman" w:hAnsi="Times New Roman" w:eastAsia="Times New Roman" w:cs="Times New Roman"/>
          <w:b/>
          <w:bCs/>
          <w:spacing w:val="20"/>
          <w:sz w:val="24"/>
          <w:szCs w:val="24"/>
        </w:rPr>
        <w:t xml:space="preserve"> </w:t>
      </w:r>
      <w:r>
        <w:rPr>
          <w:rFonts w:ascii="宋体" w:hAnsi="宋体" w:eastAsia="宋体" w:cs="宋体"/>
          <w:b/>
          <w:bCs/>
          <w:spacing w:val="-3"/>
          <w:sz w:val="24"/>
          <w:szCs w:val="24"/>
        </w:rPr>
        <w:t>总量控制的目的和原则</w:t>
      </w:r>
    </w:p>
    <w:p w14:paraId="46AF51A5">
      <w:pPr>
        <w:spacing w:before="182" w:line="360" w:lineRule="auto"/>
        <w:ind w:left="214" w:right="355" w:firstLine="481"/>
        <w:jc w:val="both"/>
        <w:rPr>
          <w:rFonts w:ascii="宋体" w:hAnsi="宋体" w:eastAsia="宋体" w:cs="宋体"/>
          <w:sz w:val="24"/>
          <w:szCs w:val="24"/>
        </w:rPr>
      </w:pPr>
      <w:r>
        <w:rPr>
          <w:rFonts w:ascii="宋体" w:hAnsi="宋体" w:eastAsia="宋体" w:cs="宋体"/>
          <w:sz w:val="24"/>
          <w:szCs w:val="24"/>
        </w:rPr>
        <w:t>污染物排放总量控制是根据工程分析、环境</w:t>
      </w:r>
      <w:r>
        <w:rPr>
          <w:rFonts w:ascii="宋体" w:hAnsi="宋体" w:eastAsia="宋体" w:cs="宋体"/>
          <w:spacing w:val="-1"/>
          <w:sz w:val="24"/>
          <w:szCs w:val="24"/>
        </w:rPr>
        <w:t>影响预测结果，遵循国家相关</w:t>
      </w:r>
      <w:r>
        <w:rPr>
          <w:rFonts w:ascii="宋体" w:hAnsi="宋体" w:eastAsia="宋体" w:cs="宋体"/>
          <w:sz w:val="24"/>
          <w:szCs w:val="24"/>
        </w:rPr>
        <w:t xml:space="preserve"> 环保法规，根据当地环保局对该地区的污染物总量控</w:t>
      </w:r>
      <w:r>
        <w:rPr>
          <w:rFonts w:ascii="宋体" w:hAnsi="宋体" w:eastAsia="宋体" w:cs="宋体"/>
          <w:spacing w:val="-1"/>
          <w:sz w:val="24"/>
          <w:szCs w:val="24"/>
        </w:rPr>
        <w:t>制政策，分析确定项目的</w:t>
      </w:r>
      <w:r>
        <w:rPr>
          <w:rFonts w:ascii="宋体" w:hAnsi="宋体" w:eastAsia="宋体" w:cs="宋体"/>
          <w:sz w:val="24"/>
          <w:szCs w:val="24"/>
        </w:rPr>
        <w:t xml:space="preserve"> 污染物排放总量控制方案，为环保部门监督管理提供</w:t>
      </w:r>
      <w:r>
        <w:rPr>
          <w:rFonts w:ascii="宋体" w:hAnsi="宋体" w:eastAsia="宋体" w:cs="宋体"/>
          <w:spacing w:val="-1"/>
          <w:sz w:val="24"/>
          <w:szCs w:val="24"/>
        </w:rPr>
        <w:t>依据。污染物排放总量控</w:t>
      </w:r>
      <w:r>
        <w:rPr>
          <w:rFonts w:ascii="宋体" w:hAnsi="宋体" w:eastAsia="宋体" w:cs="宋体"/>
          <w:sz w:val="24"/>
          <w:szCs w:val="24"/>
        </w:rPr>
        <w:t xml:space="preserve"> 制工作以削减污染物排放量为目标，它与污染源达标</w:t>
      </w:r>
      <w:r>
        <w:rPr>
          <w:rFonts w:ascii="宋体" w:hAnsi="宋体" w:eastAsia="宋体" w:cs="宋体"/>
          <w:spacing w:val="-1"/>
          <w:sz w:val="24"/>
          <w:szCs w:val="24"/>
        </w:rPr>
        <w:t>排放控制相结合，是改善</w:t>
      </w:r>
      <w:r>
        <w:rPr>
          <w:rFonts w:ascii="宋体" w:hAnsi="宋体" w:eastAsia="宋体" w:cs="宋体"/>
          <w:sz w:val="24"/>
          <w:szCs w:val="24"/>
        </w:rPr>
        <w:t xml:space="preserve"> </w:t>
      </w:r>
      <w:r>
        <w:rPr>
          <w:rFonts w:ascii="宋体" w:hAnsi="宋体" w:eastAsia="宋体" w:cs="宋体"/>
          <w:spacing w:val="-1"/>
          <w:sz w:val="24"/>
          <w:szCs w:val="24"/>
        </w:rPr>
        <w:t>环境质量的重要手段。</w:t>
      </w:r>
    </w:p>
    <w:p w14:paraId="3148A342">
      <w:pPr>
        <w:spacing w:line="360" w:lineRule="auto"/>
        <w:ind w:left="213" w:right="355" w:firstLine="482"/>
        <w:jc w:val="both"/>
        <w:rPr>
          <w:rFonts w:ascii="宋体" w:hAnsi="宋体" w:eastAsia="宋体" w:cs="宋体"/>
          <w:sz w:val="24"/>
          <w:szCs w:val="24"/>
        </w:rPr>
      </w:pPr>
      <w:r>
        <w:rPr>
          <w:rFonts w:ascii="宋体" w:hAnsi="宋体" w:eastAsia="宋体" w:cs="宋体"/>
          <w:sz w:val="24"/>
          <w:szCs w:val="24"/>
        </w:rPr>
        <w:t>我国目前实行的是区域污染物排放总量目标</w:t>
      </w:r>
      <w:r>
        <w:rPr>
          <w:rFonts w:ascii="宋体" w:hAnsi="宋体" w:eastAsia="宋体" w:cs="宋体"/>
          <w:spacing w:val="-1"/>
          <w:sz w:val="24"/>
          <w:szCs w:val="24"/>
        </w:rPr>
        <w:t>控制，即区域排污量在一定时</w:t>
      </w:r>
      <w:r>
        <w:rPr>
          <w:rFonts w:ascii="宋体" w:hAnsi="宋体" w:eastAsia="宋体" w:cs="宋体"/>
          <w:sz w:val="24"/>
          <w:szCs w:val="24"/>
        </w:rPr>
        <w:t xml:space="preserve"> 期内不得突破分配的污染物排放总量。因此，建设项目</w:t>
      </w:r>
      <w:r>
        <w:rPr>
          <w:rFonts w:ascii="宋体" w:hAnsi="宋体" w:eastAsia="宋体" w:cs="宋体"/>
          <w:spacing w:val="-1"/>
          <w:sz w:val="24"/>
          <w:szCs w:val="24"/>
        </w:rPr>
        <w:t>的总量控制应以区域总</w:t>
      </w:r>
      <w:r>
        <w:rPr>
          <w:rFonts w:ascii="宋体" w:hAnsi="宋体" w:eastAsia="宋体" w:cs="宋体"/>
          <w:sz w:val="24"/>
          <w:szCs w:val="24"/>
        </w:rPr>
        <w:t xml:space="preserve"> 量不突破为前提，通角角过对该项目污染物排放总量及</w:t>
      </w:r>
      <w:r>
        <w:rPr>
          <w:rFonts w:ascii="宋体" w:hAnsi="宋体" w:eastAsia="宋体" w:cs="宋体"/>
          <w:spacing w:val="-1"/>
          <w:sz w:val="24"/>
          <w:szCs w:val="24"/>
        </w:rPr>
        <w:t>控制途径分析，最大限</w:t>
      </w:r>
      <w:r>
        <w:rPr>
          <w:rFonts w:ascii="宋体" w:hAnsi="宋体" w:eastAsia="宋体" w:cs="宋体"/>
          <w:sz w:val="24"/>
          <w:szCs w:val="24"/>
        </w:rPr>
        <w:t xml:space="preserve"> 度地减少各类污染物进入环境，以确保环境质量目标能</w:t>
      </w:r>
      <w:r>
        <w:rPr>
          <w:rFonts w:ascii="宋体" w:hAnsi="宋体" w:eastAsia="宋体" w:cs="宋体"/>
          <w:spacing w:val="-1"/>
          <w:sz w:val="24"/>
          <w:szCs w:val="24"/>
        </w:rPr>
        <w:t>得到实现，达到该项目</w:t>
      </w:r>
      <w:r>
        <w:rPr>
          <w:rFonts w:ascii="宋体" w:hAnsi="宋体" w:eastAsia="宋体" w:cs="宋体"/>
          <w:sz w:val="24"/>
          <w:szCs w:val="24"/>
        </w:rPr>
        <w:t xml:space="preserve"> 建设的经济效益、环境效益和社会效益的三统一和本区</w:t>
      </w:r>
      <w:r>
        <w:rPr>
          <w:rFonts w:ascii="宋体" w:hAnsi="宋体" w:eastAsia="宋体" w:cs="宋体"/>
          <w:spacing w:val="-1"/>
          <w:sz w:val="24"/>
          <w:szCs w:val="24"/>
        </w:rPr>
        <w:t>域经济的可持续发展。</w:t>
      </w:r>
    </w:p>
    <w:p w14:paraId="311C38AD">
      <w:pPr>
        <w:spacing w:line="220" w:lineRule="auto"/>
        <w:ind w:left="693"/>
        <w:outlineLvl w:val="2"/>
        <w:rPr>
          <w:rFonts w:ascii="宋体" w:hAnsi="宋体" w:eastAsia="宋体" w:cs="宋体"/>
          <w:sz w:val="24"/>
          <w:szCs w:val="24"/>
        </w:rPr>
      </w:pPr>
      <w:bookmarkStart w:id="78" w:name="bookmark71"/>
      <w:bookmarkEnd w:id="78"/>
      <w:r>
        <w:rPr>
          <w:rFonts w:ascii="Times New Roman" w:hAnsi="Times New Roman" w:eastAsia="Times New Roman" w:cs="Times New Roman"/>
          <w:b/>
          <w:bCs/>
          <w:spacing w:val="-2"/>
          <w:sz w:val="24"/>
          <w:szCs w:val="24"/>
        </w:rPr>
        <w:t xml:space="preserve">5.6.2 </w:t>
      </w:r>
      <w:r>
        <w:rPr>
          <w:rFonts w:ascii="宋体" w:hAnsi="宋体" w:eastAsia="宋体" w:cs="宋体"/>
          <w:b/>
          <w:bCs/>
          <w:spacing w:val="-2"/>
          <w:sz w:val="24"/>
          <w:szCs w:val="24"/>
        </w:rPr>
        <w:t>污染物总量控制指标</w:t>
      </w:r>
    </w:p>
    <w:p w14:paraId="57DD5463">
      <w:pPr>
        <w:spacing w:before="182" w:line="362" w:lineRule="auto"/>
        <w:ind w:left="218" w:right="355" w:firstLine="498"/>
        <w:rPr>
          <w:rFonts w:ascii="宋体" w:hAnsi="宋体" w:eastAsia="宋体" w:cs="宋体"/>
          <w:sz w:val="24"/>
          <w:szCs w:val="24"/>
        </w:rPr>
      </w:pPr>
      <w:r>
        <w:rPr>
          <w:rFonts w:ascii="宋体" w:hAnsi="宋体" w:eastAsia="宋体" w:cs="宋体"/>
          <w:spacing w:val="-3"/>
          <w:sz w:val="24"/>
          <w:szCs w:val="24"/>
        </w:rPr>
        <w:t>四项污染物排放实行总量控制，分别为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宋体" w:hAnsi="宋体" w:eastAsia="宋体" w:cs="宋体"/>
          <w:spacing w:val="-3"/>
          <w:sz w:val="24"/>
          <w:szCs w:val="24"/>
        </w:rPr>
        <w:t>、</w:t>
      </w:r>
      <w:r>
        <w:rPr>
          <w:rFonts w:ascii="Times New Roman" w:hAnsi="Times New Roman" w:eastAsia="Times New Roman" w:cs="Times New Roman"/>
          <w:spacing w:val="-3"/>
          <w:sz w:val="24"/>
          <w:szCs w:val="24"/>
        </w:rPr>
        <w:t>NOx</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COD </w:t>
      </w:r>
      <w:r>
        <w:rPr>
          <w:rFonts w:ascii="宋体" w:hAnsi="宋体" w:eastAsia="宋体" w:cs="宋体"/>
          <w:spacing w:val="-3"/>
          <w:sz w:val="24"/>
          <w:szCs w:val="24"/>
        </w:rPr>
        <w:t>和氨氮。本</w:t>
      </w:r>
      <w:r>
        <w:rPr>
          <w:rFonts w:ascii="宋体" w:hAnsi="宋体" w:eastAsia="宋体" w:cs="宋体"/>
          <w:spacing w:val="-4"/>
          <w:sz w:val="24"/>
          <w:szCs w:val="24"/>
        </w:rPr>
        <w:t>项目</w:t>
      </w:r>
      <w:r>
        <w:rPr>
          <w:rFonts w:ascii="宋体" w:hAnsi="宋体" w:eastAsia="宋体" w:cs="宋体"/>
          <w:sz w:val="24"/>
          <w:szCs w:val="24"/>
        </w:rPr>
        <w:t xml:space="preserve"> </w:t>
      </w:r>
      <w:r>
        <w:rPr>
          <w:rFonts w:ascii="宋体" w:hAnsi="宋体" w:eastAsia="宋体" w:cs="宋体"/>
          <w:spacing w:val="-1"/>
          <w:sz w:val="24"/>
          <w:szCs w:val="24"/>
        </w:rPr>
        <w:t>不涉及锅炉，技改完成后生活污水不增加，不涉及总量变化。</w:t>
      </w:r>
    </w:p>
    <w:p w14:paraId="3B954C00">
      <w:pPr>
        <w:spacing w:before="78" w:line="222" w:lineRule="auto"/>
        <w:ind w:left="214"/>
        <w:outlineLvl w:val="1"/>
        <w:rPr>
          <w:rFonts w:ascii="Times New Roman" w:hAnsi="Times New Roman" w:eastAsia="Times New Roman" w:cs="Times New Roman"/>
          <w:sz w:val="28"/>
          <w:szCs w:val="28"/>
        </w:rPr>
      </w:pPr>
      <w:bookmarkStart w:id="79" w:name="bookmark72"/>
      <w:bookmarkEnd w:id="79"/>
      <w:r>
        <w:rPr>
          <w:rFonts w:ascii="Times New Roman" w:hAnsi="Times New Roman" w:eastAsia="Times New Roman" w:cs="Times New Roman"/>
          <w:b/>
          <w:bCs/>
          <w:spacing w:val="3"/>
          <w:sz w:val="28"/>
          <w:szCs w:val="28"/>
        </w:rPr>
        <w:t xml:space="preserve">5.7 </w:t>
      </w:r>
      <w:r>
        <w:rPr>
          <w:rFonts w:ascii="黑体" w:hAnsi="黑体" w:eastAsia="黑体" w:cs="黑体"/>
          <w:b/>
          <w:bCs/>
          <w:spacing w:val="3"/>
          <w:sz w:val="28"/>
          <w:szCs w:val="28"/>
        </w:rPr>
        <w:t>污染物排放</w:t>
      </w:r>
      <w:r>
        <w:rPr>
          <w:rFonts w:ascii="Times New Roman" w:hAnsi="Times New Roman" w:eastAsia="Times New Roman" w:cs="Times New Roman"/>
          <w:b/>
          <w:bCs/>
          <w:spacing w:val="3"/>
          <w:sz w:val="28"/>
          <w:szCs w:val="28"/>
        </w:rPr>
        <w:t>“</w:t>
      </w:r>
      <w:r>
        <w:rPr>
          <w:rFonts w:hint="eastAsia" w:ascii="黑体" w:hAnsi="黑体" w:eastAsia="黑体" w:cs="黑体"/>
          <w:b/>
          <w:bCs/>
          <w:spacing w:val="3"/>
          <w:sz w:val="28"/>
          <w:szCs w:val="28"/>
        </w:rPr>
        <w:t>三本账</w:t>
      </w:r>
      <w:r>
        <w:rPr>
          <w:rFonts w:ascii="Times New Roman" w:hAnsi="Times New Roman" w:eastAsia="Times New Roman" w:cs="Times New Roman"/>
          <w:b/>
          <w:bCs/>
          <w:spacing w:val="3"/>
          <w:sz w:val="28"/>
          <w:szCs w:val="28"/>
        </w:rPr>
        <w:t>”</w:t>
      </w:r>
    </w:p>
    <w:p w14:paraId="05E73078">
      <w:pPr>
        <w:spacing w:line="222" w:lineRule="auto"/>
        <w:rPr>
          <w:rFonts w:ascii="Times New Roman" w:hAnsi="Times New Roman" w:eastAsia="Times New Roman" w:cs="Times New Roman"/>
          <w:sz w:val="28"/>
          <w:szCs w:val="28"/>
        </w:rPr>
        <w:sectPr>
          <w:headerReference r:id="rId155" w:type="default"/>
          <w:footerReference r:id="rId156" w:type="default"/>
          <w:pgSz w:w="11906" w:h="16839"/>
          <w:pgMar w:top="1208" w:right="1593" w:bottom="1358" w:left="1592" w:header="825" w:footer="1195" w:gutter="0"/>
          <w:cols w:space="720" w:num="1"/>
        </w:sectPr>
      </w:pPr>
    </w:p>
    <w:p w14:paraId="2017BFD2">
      <w:pPr>
        <w:pStyle w:val="2"/>
        <w:spacing w:line="265" w:lineRule="auto"/>
      </w:pPr>
    </w:p>
    <w:p w14:paraId="73DB14A0">
      <w:pPr>
        <w:spacing w:before="78" w:line="336" w:lineRule="auto"/>
        <w:ind w:left="121" w:right="162" w:firstLine="481"/>
        <w:rPr>
          <w:rFonts w:ascii="宋体" w:hAnsi="宋体" w:eastAsia="宋体" w:cs="宋体"/>
          <w:sz w:val="24"/>
          <w:szCs w:val="24"/>
        </w:rPr>
      </w:pPr>
      <w:r>
        <w:rPr>
          <w:rFonts w:ascii="宋体" w:hAnsi="宋体" w:eastAsia="宋体" w:cs="宋体"/>
          <w:spacing w:val="-3"/>
          <w:sz w:val="24"/>
          <w:szCs w:val="24"/>
        </w:rPr>
        <w:t>本项目技改完成后，原</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2000t/a </w:t>
      </w:r>
      <w:r>
        <w:rPr>
          <w:rFonts w:ascii="宋体" w:hAnsi="宋体" w:eastAsia="宋体" w:cs="宋体"/>
          <w:spacing w:val="-3"/>
          <w:sz w:val="24"/>
          <w:szCs w:val="24"/>
        </w:rPr>
        <w:t>选矿工程停用，污染物</w:t>
      </w:r>
      <w:r>
        <w:rPr>
          <w:rFonts w:ascii="Times New Roman" w:hAnsi="Times New Roman" w:eastAsia="Times New Roman" w:cs="Times New Roman"/>
          <w:spacing w:val="-3"/>
          <w:sz w:val="24"/>
          <w:szCs w:val="24"/>
        </w:rPr>
        <w:t>“</w:t>
      </w:r>
      <w:r>
        <w:rPr>
          <w:rFonts w:hint="eastAsia" w:ascii="宋体" w:hAnsi="宋体" w:eastAsia="宋体" w:cs="宋体"/>
          <w:spacing w:val="-3"/>
          <w:sz w:val="24"/>
          <w:szCs w:val="24"/>
        </w:rPr>
        <w:t>三本账</w:t>
      </w:r>
      <w:r>
        <w:rPr>
          <w:rFonts w:ascii="Times New Roman" w:hAnsi="Times New Roman" w:eastAsia="Times New Roman" w:cs="Times New Roman"/>
          <w:spacing w:val="-3"/>
          <w:sz w:val="24"/>
          <w:szCs w:val="24"/>
        </w:rPr>
        <w:t>”</w:t>
      </w:r>
      <w:r>
        <w:rPr>
          <w:rFonts w:ascii="宋体" w:hAnsi="宋体" w:eastAsia="宋体" w:cs="宋体"/>
          <w:spacing w:val="-3"/>
          <w:sz w:val="24"/>
          <w:szCs w:val="24"/>
        </w:rPr>
        <w:t>统计情况见</w:t>
      </w:r>
      <w:r>
        <w:rPr>
          <w:rFonts w:ascii="宋体" w:hAnsi="宋体" w:eastAsia="宋体" w:cs="宋体"/>
          <w:sz w:val="24"/>
          <w:szCs w:val="24"/>
        </w:rPr>
        <w:t xml:space="preserve"> </w:t>
      </w:r>
      <w:r>
        <w:rPr>
          <w:rFonts w:ascii="宋体" w:hAnsi="宋体" w:eastAsia="宋体" w:cs="宋体"/>
          <w:spacing w:val="-3"/>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5.7-1</w:t>
      </w:r>
      <w:r>
        <w:rPr>
          <w:rFonts w:ascii="宋体" w:hAnsi="宋体" w:eastAsia="宋体" w:cs="宋体"/>
          <w:spacing w:val="-3"/>
          <w:sz w:val="24"/>
          <w:szCs w:val="24"/>
        </w:rPr>
        <w:t>。</w:t>
      </w:r>
    </w:p>
    <w:p w14:paraId="16A5224D">
      <w:pPr>
        <w:spacing w:line="226" w:lineRule="auto"/>
        <w:ind w:left="2076"/>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spacing w:val="6"/>
          <w:sz w:val="20"/>
          <w:szCs w:val="20"/>
        </w:rPr>
        <w:t xml:space="preserve">5.7-1        </w:t>
      </w:r>
      <w:r>
        <w:rPr>
          <w:rFonts w:ascii="宋体" w:hAnsi="宋体" w:eastAsia="宋体" w:cs="宋体"/>
          <w:spacing w:val="6"/>
          <w:sz w:val="20"/>
          <w:szCs w:val="20"/>
        </w:rPr>
        <w:t>本项目污染物排放</w:t>
      </w:r>
      <w:r>
        <w:rPr>
          <w:rFonts w:ascii="Times New Roman" w:hAnsi="Times New Roman" w:eastAsia="Times New Roman" w:cs="Times New Roman"/>
          <w:spacing w:val="6"/>
          <w:sz w:val="20"/>
          <w:szCs w:val="20"/>
        </w:rPr>
        <w:t>“</w:t>
      </w:r>
      <w:r>
        <w:rPr>
          <w:rFonts w:hint="eastAsia" w:ascii="宋体" w:hAnsi="宋体" w:eastAsia="宋体" w:cs="宋体"/>
          <w:spacing w:val="6"/>
          <w:sz w:val="20"/>
          <w:szCs w:val="20"/>
        </w:rPr>
        <w:t>三本账</w:t>
      </w:r>
      <w:r>
        <w:rPr>
          <w:rFonts w:ascii="Times New Roman" w:hAnsi="Times New Roman" w:eastAsia="Times New Roman" w:cs="Times New Roman"/>
          <w:spacing w:val="6"/>
          <w:sz w:val="20"/>
          <w:szCs w:val="20"/>
        </w:rPr>
        <w:t>”</w:t>
      </w:r>
      <w:r>
        <w:rPr>
          <w:rFonts w:ascii="宋体" w:hAnsi="宋体" w:eastAsia="宋体" w:cs="宋体"/>
          <w:spacing w:val="6"/>
          <w:sz w:val="20"/>
          <w:szCs w:val="20"/>
        </w:rPr>
        <w:t>统计表</w:t>
      </w:r>
    </w:p>
    <w:p w14:paraId="17C102D6">
      <w:pPr>
        <w:spacing w:line="14" w:lineRule="exact"/>
      </w:pPr>
    </w:p>
    <w:tbl>
      <w:tblPr>
        <w:tblStyle w:val="5"/>
        <w:tblW w:w="81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1850"/>
        <w:gridCol w:w="1157"/>
        <w:gridCol w:w="1157"/>
        <w:gridCol w:w="1300"/>
        <w:gridCol w:w="1300"/>
        <w:gridCol w:w="935"/>
      </w:tblGrid>
      <w:tr w14:paraId="5871D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39" w:type="dxa"/>
            <w:textDirection w:val="tbRlV"/>
            <w:vAlign w:val="top"/>
          </w:tcPr>
          <w:p w14:paraId="592E2E1E">
            <w:pPr>
              <w:pStyle w:val="6"/>
              <w:spacing w:before="113" w:line="216" w:lineRule="auto"/>
              <w:ind w:left="56"/>
            </w:pPr>
            <w:r>
              <w:rPr>
                <w:spacing w:val="6"/>
              </w:rPr>
              <w:t>类 别</w:t>
            </w:r>
          </w:p>
        </w:tc>
        <w:tc>
          <w:tcPr>
            <w:tcW w:w="1850" w:type="dxa"/>
            <w:vAlign w:val="top"/>
          </w:tcPr>
          <w:p w14:paraId="240F09BA">
            <w:pPr>
              <w:pStyle w:val="6"/>
              <w:spacing w:before="212" w:line="228" w:lineRule="auto"/>
              <w:ind w:left="615"/>
            </w:pPr>
            <w:r>
              <w:rPr>
                <w:spacing w:val="6"/>
              </w:rPr>
              <w:t>污染物</w:t>
            </w:r>
          </w:p>
        </w:tc>
        <w:tc>
          <w:tcPr>
            <w:tcW w:w="1157" w:type="dxa"/>
            <w:vAlign w:val="top"/>
          </w:tcPr>
          <w:p w14:paraId="3BF79B89">
            <w:pPr>
              <w:pStyle w:val="6"/>
              <w:spacing w:before="57" w:line="261" w:lineRule="auto"/>
              <w:ind w:left="267" w:right="159" w:hanging="103"/>
            </w:pPr>
            <w:r>
              <w:rPr>
                <w:spacing w:val="6"/>
              </w:rPr>
              <w:t>现有工程</w:t>
            </w:r>
            <w:r>
              <w:rPr>
                <w:spacing w:val="2"/>
              </w:rPr>
              <w:t xml:space="preserve"> </w:t>
            </w:r>
            <w:r>
              <w:rPr>
                <w:spacing w:val="6"/>
              </w:rPr>
              <w:t>排放量</w:t>
            </w:r>
          </w:p>
        </w:tc>
        <w:tc>
          <w:tcPr>
            <w:tcW w:w="1157" w:type="dxa"/>
            <w:vAlign w:val="top"/>
          </w:tcPr>
          <w:p w14:paraId="12D0577E">
            <w:pPr>
              <w:pStyle w:val="6"/>
              <w:spacing w:before="56" w:line="227" w:lineRule="auto"/>
              <w:ind w:left="165"/>
            </w:pPr>
            <w:r>
              <w:rPr>
                <w:spacing w:val="7"/>
              </w:rPr>
              <w:t>本工程新</w:t>
            </w:r>
          </w:p>
          <w:p w14:paraId="7BF59095">
            <w:pPr>
              <w:pStyle w:val="6"/>
              <w:spacing w:before="66" w:line="229" w:lineRule="auto"/>
              <w:ind w:left="165"/>
            </w:pPr>
            <w:r>
              <w:rPr>
                <w:spacing w:val="7"/>
              </w:rPr>
              <w:t>增排放量</w:t>
            </w:r>
          </w:p>
        </w:tc>
        <w:tc>
          <w:tcPr>
            <w:tcW w:w="1300" w:type="dxa"/>
            <w:vAlign w:val="top"/>
          </w:tcPr>
          <w:p w14:paraId="2D4C039B">
            <w:pPr>
              <w:pStyle w:val="6"/>
              <w:spacing w:before="57" w:line="261" w:lineRule="auto"/>
              <w:ind w:left="134" w:right="123" w:firstLine="92"/>
            </w:pPr>
            <w:r>
              <w:rPr>
                <w:spacing w:val="2"/>
              </w:rPr>
              <w:t>“</w:t>
            </w:r>
            <w:r>
              <w:rPr>
                <w:spacing w:val="-69"/>
              </w:rPr>
              <w:t xml:space="preserve"> </w:t>
            </w:r>
            <w:r>
              <w:rPr>
                <w:spacing w:val="2"/>
              </w:rPr>
              <w:t>以新带</w:t>
            </w:r>
            <w:r>
              <w:t xml:space="preserve">  </w:t>
            </w:r>
            <w:r>
              <w:rPr>
                <w:spacing w:val="1"/>
              </w:rPr>
              <w:t>老</w:t>
            </w:r>
            <w:r>
              <w:rPr>
                <w:spacing w:val="-69"/>
              </w:rPr>
              <w:t xml:space="preserve"> </w:t>
            </w:r>
            <w:r>
              <w:rPr>
                <w:spacing w:val="1"/>
              </w:rPr>
              <w:t>”削减量</w:t>
            </w:r>
          </w:p>
        </w:tc>
        <w:tc>
          <w:tcPr>
            <w:tcW w:w="1300" w:type="dxa"/>
            <w:vAlign w:val="top"/>
          </w:tcPr>
          <w:p w14:paraId="668CFA79">
            <w:pPr>
              <w:pStyle w:val="6"/>
              <w:spacing w:before="57" w:line="261" w:lineRule="auto"/>
              <w:ind w:left="242" w:right="122" w:hanging="107"/>
            </w:pPr>
            <w:r>
              <w:rPr>
                <w:spacing w:val="7"/>
              </w:rPr>
              <w:t>项目建成后</w:t>
            </w:r>
            <w:r>
              <w:rPr>
                <w:spacing w:val="1"/>
              </w:rPr>
              <w:t xml:space="preserve"> </w:t>
            </w:r>
            <w:r>
              <w:rPr>
                <w:spacing w:val="5"/>
              </w:rPr>
              <w:t>总排放量</w:t>
            </w:r>
          </w:p>
        </w:tc>
        <w:tc>
          <w:tcPr>
            <w:tcW w:w="935" w:type="dxa"/>
            <w:vAlign w:val="top"/>
          </w:tcPr>
          <w:p w14:paraId="0F1573BC">
            <w:pPr>
              <w:pStyle w:val="6"/>
              <w:spacing w:before="57" w:line="261" w:lineRule="auto"/>
              <w:ind w:left="261" w:right="152" w:hanging="105"/>
            </w:pPr>
            <w:r>
              <w:rPr>
                <w:spacing w:val="6"/>
              </w:rPr>
              <w:t>排放增</w:t>
            </w:r>
            <w:r>
              <w:rPr>
                <w:spacing w:val="1"/>
              </w:rPr>
              <w:t xml:space="preserve"> </w:t>
            </w:r>
            <w:r>
              <w:rPr>
                <w:spacing w:val="4"/>
              </w:rPr>
              <w:t>减量</w:t>
            </w:r>
          </w:p>
        </w:tc>
      </w:tr>
      <w:tr w14:paraId="6DF74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restart"/>
            <w:tcBorders>
              <w:bottom w:val="nil"/>
            </w:tcBorders>
            <w:textDirection w:val="tbRlV"/>
            <w:vAlign w:val="top"/>
          </w:tcPr>
          <w:p w14:paraId="31F6534A">
            <w:pPr>
              <w:pStyle w:val="6"/>
              <w:spacing w:before="113" w:line="216" w:lineRule="auto"/>
              <w:ind w:left="2432"/>
            </w:pPr>
            <w:r>
              <w:rPr>
                <w:spacing w:val="6"/>
              </w:rPr>
              <w:t>废 气</w:t>
            </w:r>
          </w:p>
        </w:tc>
        <w:tc>
          <w:tcPr>
            <w:tcW w:w="1850" w:type="dxa"/>
            <w:vAlign w:val="top"/>
          </w:tcPr>
          <w:p w14:paraId="4A530C83">
            <w:pPr>
              <w:pStyle w:val="6"/>
              <w:spacing w:before="51" w:line="262" w:lineRule="auto"/>
              <w:ind w:left="612" w:right="190" w:hanging="419"/>
            </w:pPr>
            <w:r>
              <w:rPr>
                <w:spacing w:val="8"/>
              </w:rPr>
              <w:t>粗碎车间排气筒</w:t>
            </w:r>
            <w:r>
              <w:rPr>
                <w:spacing w:val="3"/>
              </w:rPr>
              <w:t xml:space="preserve"> </w:t>
            </w:r>
            <w:r>
              <w:rPr>
                <w:spacing w:val="7"/>
              </w:rPr>
              <w:t>颗粒物</w:t>
            </w:r>
          </w:p>
        </w:tc>
        <w:tc>
          <w:tcPr>
            <w:tcW w:w="1157" w:type="dxa"/>
            <w:vAlign w:val="top"/>
          </w:tcPr>
          <w:p w14:paraId="6622B4DF">
            <w:pPr>
              <w:spacing w:before="24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1157" w:type="dxa"/>
            <w:vAlign w:val="top"/>
          </w:tcPr>
          <w:p w14:paraId="51FA8ADA">
            <w:pPr>
              <w:spacing w:before="24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0.46</w:t>
            </w:r>
          </w:p>
        </w:tc>
        <w:tc>
          <w:tcPr>
            <w:tcW w:w="1300" w:type="dxa"/>
            <w:vAlign w:val="top"/>
          </w:tcPr>
          <w:p w14:paraId="4C8C7432">
            <w:pPr>
              <w:spacing w:before="240"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0" w:type="dxa"/>
            <w:vAlign w:val="top"/>
          </w:tcPr>
          <w:p w14:paraId="42E1EA6F">
            <w:pPr>
              <w:spacing w:before="24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c>
          <w:tcPr>
            <w:tcW w:w="935" w:type="dxa"/>
            <w:vAlign w:val="top"/>
          </w:tcPr>
          <w:p w14:paraId="61EE864E">
            <w:pPr>
              <w:spacing w:before="24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+0.46</w:t>
            </w:r>
          </w:p>
        </w:tc>
      </w:tr>
      <w:tr w14:paraId="5526F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6FE6BB15">
            <w:pPr>
              <w:rPr>
                <w:rFonts w:ascii="Arial"/>
                <w:sz w:val="21"/>
              </w:rPr>
            </w:pPr>
          </w:p>
        </w:tc>
        <w:tc>
          <w:tcPr>
            <w:tcW w:w="1850" w:type="dxa"/>
            <w:vAlign w:val="top"/>
          </w:tcPr>
          <w:p w14:paraId="4F7E7567">
            <w:pPr>
              <w:pStyle w:val="6"/>
              <w:spacing w:before="52" w:line="261" w:lineRule="auto"/>
              <w:ind w:left="612" w:right="190" w:hanging="399"/>
            </w:pPr>
            <w:r>
              <w:rPr>
                <w:spacing w:val="5"/>
              </w:rPr>
              <w:t xml:space="preserve">中间堆场排气筒 </w:t>
            </w:r>
            <w:r>
              <w:rPr>
                <w:spacing w:val="7"/>
              </w:rPr>
              <w:t>颗粒物</w:t>
            </w:r>
          </w:p>
        </w:tc>
        <w:tc>
          <w:tcPr>
            <w:tcW w:w="1157" w:type="dxa"/>
            <w:vAlign w:val="top"/>
          </w:tcPr>
          <w:p w14:paraId="2D04B037">
            <w:pPr>
              <w:spacing w:before="24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157" w:type="dxa"/>
            <w:vAlign w:val="top"/>
          </w:tcPr>
          <w:p w14:paraId="29FF961C">
            <w:pPr>
              <w:spacing w:before="24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300" w:type="dxa"/>
            <w:vAlign w:val="top"/>
          </w:tcPr>
          <w:p w14:paraId="0AD4869B">
            <w:pPr>
              <w:spacing w:before="239"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0" w:type="dxa"/>
            <w:vAlign w:val="top"/>
          </w:tcPr>
          <w:p w14:paraId="2915F2B5">
            <w:pPr>
              <w:spacing w:before="243"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935" w:type="dxa"/>
            <w:vAlign w:val="top"/>
          </w:tcPr>
          <w:p w14:paraId="2F90C3D9">
            <w:pPr>
              <w:spacing w:before="24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+0.65</w:t>
            </w:r>
          </w:p>
        </w:tc>
      </w:tr>
      <w:tr w14:paraId="17EC5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continue"/>
            <w:tcBorders>
              <w:top w:val="nil"/>
              <w:bottom w:val="nil"/>
            </w:tcBorders>
            <w:textDirection w:val="tbRlV"/>
            <w:vAlign w:val="top"/>
          </w:tcPr>
          <w:p w14:paraId="00E6FE8A">
            <w:pPr>
              <w:rPr>
                <w:rFonts w:ascii="Arial"/>
                <w:sz w:val="21"/>
              </w:rPr>
            </w:pPr>
          </w:p>
        </w:tc>
        <w:tc>
          <w:tcPr>
            <w:tcW w:w="1850" w:type="dxa"/>
            <w:vAlign w:val="top"/>
          </w:tcPr>
          <w:p w14:paraId="76ADDE3C">
            <w:pPr>
              <w:pStyle w:val="6"/>
              <w:spacing w:before="51" w:line="262" w:lineRule="auto"/>
              <w:ind w:left="612" w:right="190" w:hanging="419"/>
            </w:pPr>
            <w:r>
              <w:rPr>
                <w:spacing w:val="8"/>
              </w:rPr>
              <w:t>粗碎车间无组织</w:t>
            </w:r>
            <w:r>
              <w:rPr>
                <w:spacing w:val="3"/>
              </w:rPr>
              <w:t xml:space="preserve"> </w:t>
            </w:r>
            <w:r>
              <w:rPr>
                <w:spacing w:val="7"/>
              </w:rPr>
              <w:t>颗粒物</w:t>
            </w:r>
          </w:p>
        </w:tc>
        <w:tc>
          <w:tcPr>
            <w:tcW w:w="1157" w:type="dxa"/>
            <w:vAlign w:val="top"/>
          </w:tcPr>
          <w:p w14:paraId="1B7B7948">
            <w:pPr>
              <w:spacing w:before="244"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c>
          <w:tcPr>
            <w:tcW w:w="1157" w:type="dxa"/>
            <w:vAlign w:val="top"/>
          </w:tcPr>
          <w:p w14:paraId="1A26C919">
            <w:pPr>
              <w:spacing w:before="24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0.108</w:t>
            </w:r>
          </w:p>
        </w:tc>
        <w:tc>
          <w:tcPr>
            <w:tcW w:w="1300" w:type="dxa"/>
            <w:vAlign w:val="top"/>
          </w:tcPr>
          <w:p w14:paraId="70F4EE61">
            <w:pPr>
              <w:spacing w:before="240"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0" w:type="dxa"/>
            <w:vAlign w:val="top"/>
          </w:tcPr>
          <w:p w14:paraId="1EAB4595">
            <w:pPr>
              <w:spacing w:before="24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0.183</w:t>
            </w:r>
          </w:p>
        </w:tc>
        <w:tc>
          <w:tcPr>
            <w:tcW w:w="935" w:type="dxa"/>
            <w:vAlign w:val="top"/>
          </w:tcPr>
          <w:p w14:paraId="5D6B223D">
            <w:pPr>
              <w:spacing w:before="244"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+0.108</w:t>
            </w:r>
          </w:p>
        </w:tc>
      </w:tr>
      <w:tr w14:paraId="783A7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continue"/>
            <w:tcBorders>
              <w:top w:val="nil"/>
              <w:bottom w:val="nil"/>
            </w:tcBorders>
            <w:textDirection w:val="tbRlV"/>
            <w:vAlign w:val="top"/>
          </w:tcPr>
          <w:p w14:paraId="0E9A0FAF">
            <w:pPr>
              <w:rPr>
                <w:rFonts w:ascii="Arial"/>
                <w:sz w:val="21"/>
              </w:rPr>
            </w:pPr>
          </w:p>
        </w:tc>
        <w:tc>
          <w:tcPr>
            <w:tcW w:w="1850" w:type="dxa"/>
            <w:vAlign w:val="top"/>
          </w:tcPr>
          <w:p w14:paraId="168C477B">
            <w:pPr>
              <w:pStyle w:val="6"/>
              <w:spacing w:before="53" w:line="261" w:lineRule="auto"/>
              <w:ind w:left="612" w:right="190" w:hanging="399"/>
            </w:pPr>
            <w:r>
              <w:rPr>
                <w:spacing w:val="5"/>
              </w:rPr>
              <w:t xml:space="preserve">中间堆场无组织 </w:t>
            </w:r>
            <w:r>
              <w:rPr>
                <w:spacing w:val="7"/>
              </w:rPr>
              <w:t>颗粒物</w:t>
            </w:r>
          </w:p>
        </w:tc>
        <w:tc>
          <w:tcPr>
            <w:tcW w:w="1157" w:type="dxa"/>
            <w:vAlign w:val="top"/>
          </w:tcPr>
          <w:p w14:paraId="3F28C24D">
            <w:pPr>
              <w:spacing w:before="246"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0.135</w:t>
            </w:r>
          </w:p>
        </w:tc>
        <w:tc>
          <w:tcPr>
            <w:tcW w:w="1157" w:type="dxa"/>
            <w:vAlign w:val="top"/>
          </w:tcPr>
          <w:p w14:paraId="48517C0D">
            <w:pPr>
              <w:spacing w:before="246"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0.197</w:t>
            </w:r>
          </w:p>
        </w:tc>
        <w:tc>
          <w:tcPr>
            <w:tcW w:w="1300" w:type="dxa"/>
            <w:vAlign w:val="top"/>
          </w:tcPr>
          <w:p w14:paraId="1A90F2A6">
            <w:pPr>
              <w:spacing w:before="242"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0" w:type="dxa"/>
            <w:vAlign w:val="top"/>
          </w:tcPr>
          <w:p w14:paraId="04B8D14A">
            <w:pPr>
              <w:spacing w:before="24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0.332</w:t>
            </w:r>
          </w:p>
        </w:tc>
        <w:tc>
          <w:tcPr>
            <w:tcW w:w="935" w:type="dxa"/>
            <w:vAlign w:val="top"/>
          </w:tcPr>
          <w:p w14:paraId="03949BA7">
            <w:pPr>
              <w:spacing w:before="246"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+0.197</w:t>
            </w:r>
          </w:p>
        </w:tc>
      </w:tr>
      <w:tr w14:paraId="4A1B0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5774F127">
            <w:pPr>
              <w:rPr>
                <w:rFonts w:ascii="Arial"/>
                <w:sz w:val="21"/>
              </w:rPr>
            </w:pPr>
          </w:p>
        </w:tc>
        <w:tc>
          <w:tcPr>
            <w:tcW w:w="1850" w:type="dxa"/>
            <w:vAlign w:val="top"/>
          </w:tcPr>
          <w:p w14:paraId="31C2D679">
            <w:pPr>
              <w:pStyle w:val="6"/>
              <w:spacing w:before="54" w:line="260" w:lineRule="auto"/>
              <w:ind w:left="509" w:right="190" w:hanging="314"/>
            </w:pPr>
            <w:r>
              <w:rPr>
                <w:spacing w:val="8"/>
              </w:rPr>
              <w:t>浮选车间加药粉</w:t>
            </w:r>
            <w:r>
              <w:rPr>
                <w:spacing w:val="2"/>
              </w:rPr>
              <w:t xml:space="preserve"> </w:t>
            </w:r>
            <w:r>
              <w:rPr>
                <w:spacing w:val="6"/>
              </w:rPr>
              <w:t>尘无组织</w:t>
            </w:r>
          </w:p>
        </w:tc>
        <w:tc>
          <w:tcPr>
            <w:tcW w:w="1157" w:type="dxa"/>
            <w:vAlign w:val="top"/>
          </w:tcPr>
          <w:p w14:paraId="4F9D9190">
            <w:pPr>
              <w:spacing w:before="245"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0.042</w:t>
            </w:r>
          </w:p>
        </w:tc>
        <w:tc>
          <w:tcPr>
            <w:tcW w:w="1157" w:type="dxa"/>
            <w:vAlign w:val="top"/>
          </w:tcPr>
          <w:p w14:paraId="117FBBFE">
            <w:pPr>
              <w:spacing w:before="24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0.042</w:t>
            </w:r>
          </w:p>
        </w:tc>
        <w:tc>
          <w:tcPr>
            <w:tcW w:w="1300" w:type="dxa"/>
            <w:vAlign w:val="top"/>
          </w:tcPr>
          <w:p w14:paraId="21345787">
            <w:pPr>
              <w:spacing w:before="24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w:t>
            </w:r>
          </w:p>
        </w:tc>
        <w:tc>
          <w:tcPr>
            <w:tcW w:w="1300" w:type="dxa"/>
            <w:vAlign w:val="top"/>
          </w:tcPr>
          <w:p w14:paraId="0A926E26">
            <w:pPr>
              <w:spacing w:before="245"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0.071</w:t>
            </w:r>
          </w:p>
        </w:tc>
        <w:tc>
          <w:tcPr>
            <w:tcW w:w="935" w:type="dxa"/>
            <w:vAlign w:val="top"/>
          </w:tcPr>
          <w:p w14:paraId="2667D651">
            <w:pPr>
              <w:spacing w:before="245"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+0.071</w:t>
            </w:r>
          </w:p>
        </w:tc>
      </w:tr>
      <w:tr w14:paraId="7106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continue"/>
            <w:tcBorders>
              <w:top w:val="nil"/>
              <w:bottom w:val="nil"/>
            </w:tcBorders>
            <w:textDirection w:val="tbRlV"/>
            <w:vAlign w:val="top"/>
          </w:tcPr>
          <w:p w14:paraId="37F8C839">
            <w:pPr>
              <w:rPr>
                <w:rFonts w:ascii="Arial"/>
                <w:sz w:val="21"/>
              </w:rPr>
            </w:pPr>
          </w:p>
        </w:tc>
        <w:tc>
          <w:tcPr>
            <w:tcW w:w="1850" w:type="dxa"/>
            <w:vAlign w:val="top"/>
          </w:tcPr>
          <w:p w14:paraId="111DBDFD">
            <w:pPr>
              <w:pStyle w:val="6"/>
              <w:spacing w:before="53" w:line="261" w:lineRule="auto"/>
              <w:ind w:left="824" w:right="113" w:hanging="708"/>
            </w:pPr>
            <w:r>
              <w:rPr>
                <w:spacing w:val="5"/>
              </w:rPr>
              <w:t>2000t/d</w:t>
            </w:r>
            <w:r>
              <w:rPr>
                <w:spacing w:val="-42"/>
              </w:rPr>
              <w:t xml:space="preserve"> </w:t>
            </w:r>
            <w:r>
              <w:rPr>
                <w:spacing w:val="5"/>
              </w:rPr>
              <w:t>选矿排气</w:t>
            </w:r>
            <w:r>
              <w:t xml:space="preserve"> 筒</w:t>
            </w:r>
          </w:p>
        </w:tc>
        <w:tc>
          <w:tcPr>
            <w:tcW w:w="1157" w:type="dxa"/>
            <w:vAlign w:val="top"/>
          </w:tcPr>
          <w:p w14:paraId="2171354F">
            <w:pPr>
              <w:spacing w:before="246"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c>
          <w:tcPr>
            <w:tcW w:w="1157" w:type="dxa"/>
            <w:vAlign w:val="top"/>
          </w:tcPr>
          <w:p w14:paraId="22EBD20D">
            <w:pPr>
              <w:spacing w:before="246"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0F0B5626">
            <w:pPr>
              <w:spacing w:before="246"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c>
          <w:tcPr>
            <w:tcW w:w="1300" w:type="dxa"/>
            <w:vAlign w:val="top"/>
          </w:tcPr>
          <w:p w14:paraId="2CF4FBB1">
            <w:pPr>
              <w:spacing w:before="246"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5" w:type="dxa"/>
            <w:vAlign w:val="top"/>
          </w:tcPr>
          <w:p w14:paraId="2055116C">
            <w:pPr>
              <w:spacing w:before="246"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r>
      <w:tr w14:paraId="22764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vMerge w:val="continue"/>
            <w:tcBorders>
              <w:top w:val="nil"/>
              <w:bottom w:val="nil"/>
            </w:tcBorders>
            <w:textDirection w:val="tbRlV"/>
            <w:vAlign w:val="top"/>
          </w:tcPr>
          <w:p w14:paraId="10826D80">
            <w:pPr>
              <w:rPr>
                <w:rFonts w:ascii="Arial"/>
                <w:sz w:val="21"/>
              </w:rPr>
            </w:pPr>
          </w:p>
        </w:tc>
        <w:tc>
          <w:tcPr>
            <w:tcW w:w="1850" w:type="dxa"/>
            <w:vAlign w:val="top"/>
          </w:tcPr>
          <w:p w14:paraId="5C542794">
            <w:pPr>
              <w:pStyle w:val="6"/>
              <w:spacing w:before="53" w:line="261" w:lineRule="auto"/>
              <w:ind w:left="614" w:right="113" w:hanging="498"/>
            </w:pPr>
            <w:r>
              <w:rPr>
                <w:spacing w:val="5"/>
              </w:rPr>
              <w:t>2000t/d</w:t>
            </w:r>
            <w:r>
              <w:rPr>
                <w:spacing w:val="-42"/>
              </w:rPr>
              <w:t xml:space="preserve"> </w:t>
            </w:r>
            <w:r>
              <w:rPr>
                <w:spacing w:val="5"/>
              </w:rPr>
              <w:t>选矿车间</w:t>
            </w:r>
            <w:r>
              <w:t xml:space="preserve"> </w:t>
            </w:r>
            <w:r>
              <w:rPr>
                <w:spacing w:val="6"/>
              </w:rPr>
              <w:t>无组织</w:t>
            </w:r>
          </w:p>
        </w:tc>
        <w:tc>
          <w:tcPr>
            <w:tcW w:w="1157" w:type="dxa"/>
            <w:vAlign w:val="top"/>
          </w:tcPr>
          <w:p w14:paraId="295602B0">
            <w:pPr>
              <w:spacing w:before="245"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157" w:type="dxa"/>
            <w:vAlign w:val="top"/>
          </w:tcPr>
          <w:p w14:paraId="209D3AA7">
            <w:pPr>
              <w:spacing w:before="24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4EA3F8C6">
            <w:pPr>
              <w:spacing w:before="245"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300" w:type="dxa"/>
            <w:vAlign w:val="top"/>
          </w:tcPr>
          <w:p w14:paraId="0182E5E3">
            <w:pPr>
              <w:spacing w:before="24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5" w:type="dxa"/>
            <w:vAlign w:val="top"/>
          </w:tcPr>
          <w:p w14:paraId="5E8DD16A">
            <w:pPr>
              <w:spacing w:before="245"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-2.98</w:t>
            </w:r>
          </w:p>
        </w:tc>
      </w:tr>
      <w:tr w14:paraId="21E08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25486F57">
            <w:pPr>
              <w:rPr>
                <w:rFonts w:ascii="Arial"/>
                <w:sz w:val="21"/>
              </w:rPr>
            </w:pPr>
          </w:p>
        </w:tc>
        <w:tc>
          <w:tcPr>
            <w:tcW w:w="1850" w:type="dxa"/>
            <w:vAlign w:val="top"/>
          </w:tcPr>
          <w:p w14:paraId="7C4E0920">
            <w:pPr>
              <w:pStyle w:val="6"/>
              <w:spacing w:before="54" w:line="260" w:lineRule="auto"/>
              <w:ind w:left="192" w:right="113" w:hanging="76"/>
            </w:pPr>
            <w:r>
              <w:rPr>
                <w:spacing w:val="5"/>
              </w:rPr>
              <w:t>2000t/d</w:t>
            </w:r>
            <w:r>
              <w:rPr>
                <w:spacing w:val="-42"/>
              </w:rPr>
              <w:t xml:space="preserve"> </w:t>
            </w:r>
            <w:r>
              <w:rPr>
                <w:spacing w:val="5"/>
              </w:rPr>
              <w:t>选矿车间</w:t>
            </w:r>
            <w:r>
              <w:t xml:space="preserve"> </w:t>
            </w:r>
            <w:r>
              <w:rPr>
                <w:spacing w:val="8"/>
              </w:rPr>
              <w:t>加药粉尘无组织</w:t>
            </w:r>
          </w:p>
        </w:tc>
        <w:tc>
          <w:tcPr>
            <w:tcW w:w="1157" w:type="dxa"/>
            <w:vAlign w:val="top"/>
          </w:tcPr>
          <w:p w14:paraId="66DCCF5D">
            <w:pPr>
              <w:spacing w:before="245"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0.100</w:t>
            </w:r>
          </w:p>
        </w:tc>
        <w:tc>
          <w:tcPr>
            <w:tcW w:w="1157" w:type="dxa"/>
            <w:vAlign w:val="top"/>
          </w:tcPr>
          <w:p w14:paraId="29EB718D">
            <w:pPr>
              <w:spacing w:before="24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26B2A340">
            <w:pPr>
              <w:spacing w:before="24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0.100</w:t>
            </w:r>
          </w:p>
        </w:tc>
        <w:tc>
          <w:tcPr>
            <w:tcW w:w="1300" w:type="dxa"/>
            <w:vAlign w:val="top"/>
          </w:tcPr>
          <w:p w14:paraId="01AA8E55">
            <w:pPr>
              <w:spacing w:before="24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5" w:type="dxa"/>
            <w:vAlign w:val="top"/>
          </w:tcPr>
          <w:p w14:paraId="3DFEEBF3">
            <w:pPr>
              <w:spacing w:before="245"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-0.100</w:t>
            </w:r>
          </w:p>
        </w:tc>
      </w:tr>
      <w:tr w14:paraId="770F5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39" w:type="dxa"/>
            <w:vMerge w:val="continue"/>
            <w:tcBorders>
              <w:top w:val="nil"/>
            </w:tcBorders>
            <w:textDirection w:val="tbRlV"/>
            <w:vAlign w:val="top"/>
          </w:tcPr>
          <w:p w14:paraId="4910E826">
            <w:pPr>
              <w:rPr>
                <w:rFonts w:ascii="Arial"/>
                <w:sz w:val="21"/>
              </w:rPr>
            </w:pPr>
          </w:p>
        </w:tc>
        <w:tc>
          <w:tcPr>
            <w:tcW w:w="1850" w:type="dxa"/>
            <w:vAlign w:val="top"/>
          </w:tcPr>
          <w:p w14:paraId="3D02DDBD">
            <w:pPr>
              <w:pStyle w:val="6"/>
              <w:spacing w:before="53" w:line="228" w:lineRule="auto"/>
              <w:ind w:left="401"/>
            </w:pPr>
            <w:r>
              <w:rPr>
                <w:spacing w:val="8"/>
              </w:rPr>
              <w:t>颗粒物合计</w:t>
            </w:r>
          </w:p>
        </w:tc>
        <w:tc>
          <w:tcPr>
            <w:tcW w:w="1157" w:type="dxa"/>
            <w:vAlign w:val="top"/>
          </w:tcPr>
          <w:p w14:paraId="6B45C9EE">
            <w:pPr>
              <w:spacing w:before="90"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5.562</w:t>
            </w:r>
          </w:p>
        </w:tc>
        <w:tc>
          <w:tcPr>
            <w:tcW w:w="1157" w:type="dxa"/>
            <w:vAlign w:val="top"/>
          </w:tcPr>
          <w:p w14:paraId="3BB5E11A">
            <w:pPr>
              <w:spacing w:before="9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1.457</w:t>
            </w:r>
          </w:p>
        </w:tc>
        <w:tc>
          <w:tcPr>
            <w:tcW w:w="1300" w:type="dxa"/>
            <w:vAlign w:val="top"/>
          </w:tcPr>
          <w:p w14:paraId="19D4329B">
            <w:pPr>
              <w:spacing w:before="90"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4.553</w:t>
            </w:r>
          </w:p>
        </w:tc>
        <w:tc>
          <w:tcPr>
            <w:tcW w:w="1300" w:type="dxa"/>
            <w:vAlign w:val="top"/>
          </w:tcPr>
          <w:p w14:paraId="38711C6B">
            <w:pPr>
              <w:spacing w:before="90"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2.466</w:t>
            </w:r>
          </w:p>
        </w:tc>
        <w:tc>
          <w:tcPr>
            <w:tcW w:w="935" w:type="dxa"/>
            <w:vAlign w:val="top"/>
          </w:tcPr>
          <w:p w14:paraId="74371EE7">
            <w:pPr>
              <w:spacing w:before="90"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-3.096</w:t>
            </w:r>
          </w:p>
        </w:tc>
      </w:tr>
      <w:tr w14:paraId="7C796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39" w:type="dxa"/>
            <w:textDirection w:val="tbRlV"/>
            <w:vAlign w:val="top"/>
          </w:tcPr>
          <w:p w14:paraId="727F849C">
            <w:pPr>
              <w:pStyle w:val="6"/>
              <w:spacing w:before="114" w:line="216" w:lineRule="auto"/>
              <w:ind w:left="56"/>
            </w:pPr>
            <w:r>
              <w:rPr>
                <w:spacing w:val="6"/>
              </w:rPr>
              <w:t>废 水</w:t>
            </w:r>
          </w:p>
        </w:tc>
        <w:tc>
          <w:tcPr>
            <w:tcW w:w="1850" w:type="dxa"/>
            <w:vAlign w:val="top"/>
          </w:tcPr>
          <w:p w14:paraId="4D4BA953">
            <w:pPr>
              <w:pStyle w:val="6"/>
              <w:spacing w:before="211" w:line="228" w:lineRule="auto"/>
              <w:ind w:left="195"/>
            </w:pPr>
            <w:r>
              <w:rPr>
                <w:spacing w:val="8"/>
              </w:rPr>
              <w:t>生产、生活废水</w:t>
            </w:r>
          </w:p>
        </w:tc>
        <w:tc>
          <w:tcPr>
            <w:tcW w:w="1157" w:type="dxa"/>
            <w:vAlign w:val="top"/>
          </w:tcPr>
          <w:p w14:paraId="75606711">
            <w:pPr>
              <w:spacing w:before="248"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7" w:type="dxa"/>
            <w:vAlign w:val="top"/>
          </w:tcPr>
          <w:p w14:paraId="34660A2E">
            <w:pPr>
              <w:spacing w:before="248"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59E45E9B">
            <w:pPr>
              <w:spacing w:before="248"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09012BB6">
            <w:pPr>
              <w:spacing w:before="248"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35" w:type="dxa"/>
            <w:vAlign w:val="top"/>
          </w:tcPr>
          <w:p w14:paraId="203571B6">
            <w:pPr>
              <w:spacing w:before="24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B501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39" w:type="dxa"/>
            <w:vMerge w:val="restart"/>
            <w:tcBorders>
              <w:bottom w:val="nil"/>
            </w:tcBorders>
            <w:textDirection w:val="tbRlV"/>
            <w:vAlign w:val="top"/>
          </w:tcPr>
          <w:p w14:paraId="2702A93E">
            <w:pPr>
              <w:pStyle w:val="6"/>
              <w:spacing w:before="114" w:line="217" w:lineRule="auto"/>
              <w:ind w:left="723"/>
            </w:pPr>
            <w:r>
              <w:rPr>
                <w:spacing w:val="6"/>
              </w:rPr>
              <w:t>固 废</w:t>
            </w:r>
          </w:p>
        </w:tc>
        <w:tc>
          <w:tcPr>
            <w:tcW w:w="1850" w:type="dxa"/>
            <w:vAlign w:val="top"/>
          </w:tcPr>
          <w:p w14:paraId="06457E6A">
            <w:pPr>
              <w:pStyle w:val="6"/>
              <w:spacing w:before="56" w:line="228" w:lineRule="auto"/>
              <w:ind w:left="509"/>
            </w:pPr>
            <w:r>
              <w:rPr>
                <w:spacing w:val="6"/>
              </w:rPr>
              <w:t>生活垃圾</w:t>
            </w:r>
          </w:p>
        </w:tc>
        <w:tc>
          <w:tcPr>
            <w:tcW w:w="1157" w:type="dxa"/>
            <w:vAlign w:val="top"/>
          </w:tcPr>
          <w:p w14:paraId="320A1396">
            <w:pPr>
              <w:spacing w:before="9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1157" w:type="dxa"/>
            <w:vAlign w:val="top"/>
          </w:tcPr>
          <w:p w14:paraId="3E4C0FAA">
            <w:pPr>
              <w:spacing w:before="91"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38.28</w:t>
            </w:r>
          </w:p>
        </w:tc>
        <w:tc>
          <w:tcPr>
            <w:tcW w:w="1300" w:type="dxa"/>
            <w:vAlign w:val="top"/>
          </w:tcPr>
          <w:p w14:paraId="54EB5679">
            <w:pPr>
              <w:spacing w:before="91"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38.28</w:t>
            </w:r>
          </w:p>
        </w:tc>
        <w:tc>
          <w:tcPr>
            <w:tcW w:w="1300" w:type="dxa"/>
            <w:vAlign w:val="top"/>
          </w:tcPr>
          <w:p w14:paraId="1FE4E5DC">
            <w:pPr>
              <w:spacing w:before="91"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935" w:type="dxa"/>
            <w:vAlign w:val="top"/>
          </w:tcPr>
          <w:p w14:paraId="5FB1BF12">
            <w:pPr>
              <w:spacing w:before="9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FBE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39" w:type="dxa"/>
            <w:vMerge w:val="continue"/>
            <w:tcBorders>
              <w:top w:val="nil"/>
              <w:bottom w:val="nil"/>
            </w:tcBorders>
            <w:textDirection w:val="tbRlV"/>
            <w:vAlign w:val="top"/>
          </w:tcPr>
          <w:p w14:paraId="2DFDB119">
            <w:pPr>
              <w:rPr>
                <w:rFonts w:ascii="Arial"/>
                <w:sz w:val="21"/>
              </w:rPr>
            </w:pPr>
          </w:p>
        </w:tc>
        <w:tc>
          <w:tcPr>
            <w:tcW w:w="1850" w:type="dxa"/>
            <w:vAlign w:val="top"/>
          </w:tcPr>
          <w:p w14:paraId="2A455A09">
            <w:pPr>
              <w:pStyle w:val="6"/>
              <w:spacing w:before="62" w:line="227" w:lineRule="auto"/>
              <w:ind w:left="612"/>
            </w:pPr>
            <w:r>
              <w:rPr>
                <w:spacing w:val="7"/>
              </w:rPr>
              <w:t>废机油</w:t>
            </w:r>
          </w:p>
        </w:tc>
        <w:tc>
          <w:tcPr>
            <w:tcW w:w="1157" w:type="dxa"/>
            <w:vAlign w:val="top"/>
          </w:tcPr>
          <w:p w14:paraId="4C09EE57">
            <w:pPr>
              <w:spacing w:before="98"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7" w:type="dxa"/>
            <w:vAlign w:val="top"/>
          </w:tcPr>
          <w:p w14:paraId="40B7D41D">
            <w:pPr>
              <w:spacing w:before="98"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72501C05">
            <w:pPr>
              <w:spacing w:before="98"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5B2F717F">
            <w:pPr>
              <w:spacing w:before="98" w:line="195" w:lineRule="auto"/>
              <w:ind w:left="6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35" w:type="dxa"/>
            <w:vAlign w:val="top"/>
          </w:tcPr>
          <w:p w14:paraId="1D8F2120">
            <w:pPr>
              <w:spacing w:before="9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2E41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54E785A3">
            <w:pPr>
              <w:rPr>
                <w:rFonts w:ascii="Arial"/>
                <w:sz w:val="21"/>
              </w:rPr>
            </w:pPr>
          </w:p>
        </w:tc>
        <w:tc>
          <w:tcPr>
            <w:tcW w:w="1850" w:type="dxa"/>
            <w:vAlign w:val="top"/>
          </w:tcPr>
          <w:p w14:paraId="1ADA83CE">
            <w:pPr>
              <w:pStyle w:val="6"/>
              <w:spacing w:before="56" w:line="259" w:lineRule="auto"/>
              <w:ind w:left="613" w:right="190" w:hanging="418"/>
            </w:pPr>
            <w:r>
              <w:rPr>
                <w:spacing w:val="8"/>
              </w:rPr>
              <w:t>浮选药品废弃包</w:t>
            </w:r>
            <w:r>
              <w:rPr>
                <w:spacing w:val="2"/>
              </w:rPr>
              <w:t xml:space="preserve"> </w:t>
            </w:r>
            <w:r>
              <w:rPr>
                <w:spacing w:val="6"/>
              </w:rPr>
              <w:t>装材料</w:t>
            </w:r>
          </w:p>
        </w:tc>
        <w:tc>
          <w:tcPr>
            <w:tcW w:w="1157" w:type="dxa"/>
            <w:vAlign w:val="top"/>
          </w:tcPr>
          <w:p w14:paraId="00CD15E2">
            <w:pPr>
              <w:spacing w:before="247"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7" w:type="dxa"/>
            <w:vAlign w:val="top"/>
          </w:tcPr>
          <w:p w14:paraId="18350D42">
            <w:pPr>
              <w:spacing w:before="24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00" w:type="dxa"/>
            <w:vAlign w:val="top"/>
          </w:tcPr>
          <w:p w14:paraId="6D5E4B86">
            <w:pPr>
              <w:spacing w:before="247"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00" w:type="dxa"/>
            <w:vAlign w:val="top"/>
          </w:tcPr>
          <w:p w14:paraId="6C6F8691">
            <w:pPr>
              <w:spacing w:before="24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935" w:type="dxa"/>
            <w:vAlign w:val="top"/>
          </w:tcPr>
          <w:p w14:paraId="07C721D3">
            <w:pPr>
              <w:spacing w:before="24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14:paraId="2F060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39" w:type="dxa"/>
            <w:vMerge w:val="continue"/>
            <w:tcBorders>
              <w:top w:val="nil"/>
              <w:bottom w:val="nil"/>
            </w:tcBorders>
            <w:textDirection w:val="tbRlV"/>
            <w:vAlign w:val="top"/>
          </w:tcPr>
          <w:p w14:paraId="757734F1">
            <w:pPr>
              <w:rPr>
                <w:rFonts w:ascii="Arial"/>
                <w:sz w:val="21"/>
              </w:rPr>
            </w:pPr>
          </w:p>
        </w:tc>
        <w:tc>
          <w:tcPr>
            <w:tcW w:w="1850" w:type="dxa"/>
            <w:vAlign w:val="top"/>
          </w:tcPr>
          <w:p w14:paraId="351C2F0C">
            <w:pPr>
              <w:pStyle w:val="6"/>
              <w:spacing w:before="63" w:line="228" w:lineRule="auto"/>
              <w:ind w:left="716"/>
            </w:pPr>
            <w:r>
              <w:rPr>
                <w:spacing w:val="4"/>
              </w:rPr>
              <w:t>尾矿</w:t>
            </w:r>
          </w:p>
        </w:tc>
        <w:tc>
          <w:tcPr>
            <w:tcW w:w="1157" w:type="dxa"/>
            <w:vAlign w:val="top"/>
          </w:tcPr>
          <w:p w14:paraId="27CBD308">
            <w:pPr>
              <w:spacing w:before="9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636940</w:t>
            </w:r>
          </w:p>
        </w:tc>
        <w:tc>
          <w:tcPr>
            <w:tcW w:w="1157" w:type="dxa"/>
            <w:vAlign w:val="top"/>
          </w:tcPr>
          <w:p w14:paraId="117F1D10">
            <w:pPr>
              <w:spacing w:before="9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388210</w:t>
            </w:r>
          </w:p>
        </w:tc>
        <w:tc>
          <w:tcPr>
            <w:tcW w:w="1300" w:type="dxa"/>
            <w:vAlign w:val="top"/>
          </w:tcPr>
          <w:p w14:paraId="5084E3C1">
            <w:pPr>
              <w:spacing w:before="99"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388740</w:t>
            </w:r>
          </w:p>
        </w:tc>
        <w:tc>
          <w:tcPr>
            <w:tcW w:w="1300" w:type="dxa"/>
            <w:vAlign w:val="top"/>
          </w:tcPr>
          <w:p w14:paraId="3D875664">
            <w:pPr>
              <w:spacing w:before="99"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636410</w:t>
            </w:r>
          </w:p>
        </w:tc>
        <w:tc>
          <w:tcPr>
            <w:tcW w:w="935" w:type="dxa"/>
            <w:vAlign w:val="top"/>
          </w:tcPr>
          <w:p w14:paraId="06BA0284">
            <w:pPr>
              <w:spacing w:before="9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-530</w:t>
            </w:r>
          </w:p>
        </w:tc>
      </w:tr>
      <w:tr w14:paraId="78BEF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39" w:type="dxa"/>
            <w:vMerge w:val="continue"/>
            <w:tcBorders>
              <w:top w:val="nil"/>
            </w:tcBorders>
            <w:textDirection w:val="tbRlV"/>
            <w:vAlign w:val="top"/>
          </w:tcPr>
          <w:p w14:paraId="31FDC872">
            <w:pPr>
              <w:rPr>
                <w:rFonts w:ascii="Arial"/>
                <w:sz w:val="21"/>
              </w:rPr>
            </w:pPr>
          </w:p>
        </w:tc>
        <w:tc>
          <w:tcPr>
            <w:tcW w:w="1850" w:type="dxa"/>
            <w:vAlign w:val="top"/>
          </w:tcPr>
          <w:p w14:paraId="645B2F19">
            <w:pPr>
              <w:pStyle w:val="6"/>
              <w:spacing w:before="63" w:line="228" w:lineRule="auto"/>
              <w:ind w:left="625"/>
            </w:pPr>
            <w:r>
              <w:rPr>
                <w:spacing w:val="2"/>
              </w:rPr>
              <w:t>除尘灰</w:t>
            </w:r>
          </w:p>
        </w:tc>
        <w:tc>
          <w:tcPr>
            <w:tcW w:w="1157" w:type="dxa"/>
            <w:vAlign w:val="top"/>
          </w:tcPr>
          <w:p w14:paraId="76CC4EBE">
            <w:pPr>
              <w:spacing w:before="99"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110.7</w:t>
            </w:r>
          </w:p>
        </w:tc>
        <w:tc>
          <w:tcPr>
            <w:tcW w:w="1157" w:type="dxa"/>
            <w:vAlign w:val="top"/>
          </w:tcPr>
          <w:p w14:paraId="19280B61">
            <w:pPr>
              <w:spacing w:before="9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56.74</w:t>
            </w:r>
          </w:p>
        </w:tc>
        <w:tc>
          <w:tcPr>
            <w:tcW w:w="1300" w:type="dxa"/>
            <w:vAlign w:val="top"/>
          </w:tcPr>
          <w:p w14:paraId="6B67A574">
            <w:pPr>
              <w:spacing w:before="99"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71.54</w:t>
            </w:r>
          </w:p>
        </w:tc>
        <w:tc>
          <w:tcPr>
            <w:tcW w:w="1300" w:type="dxa"/>
            <w:vAlign w:val="top"/>
          </w:tcPr>
          <w:p w14:paraId="2FBCBE18">
            <w:pPr>
              <w:spacing w:before="9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95.9</w:t>
            </w:r>
          </w:p>
        </w:tc>
        <w:tc>
          <w:tcPr>
            <w:tcW w:w="935" w:type="dxa"/>
            <w:vAlign w:val="top"/>
          </w:tcPr>
          <w:p w14:paraId="0A8357C7">
            <w:pPr>
              <w:spacing w:before="99"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-14.8</w:t>
            </w:r>
          </w:p>
        </w:tc>
      </w:tr>
    </w:tbl>
    <w:p w14:paraId="67C02275">
      <w:pPr>
        <w:spacing w:before="52" w:line="227" w:lineRule="auto"/>
        <w:ind w:left="121"/>
        <w:rPr>
          <w:rFonts w:ascii="宋体" w:hAnsi="宋体" w:eastAsia="宋体" w:cs="宋体"/>
          <w:sz w:val="20"/>
          <w:szCs w:val="20"/>
        </w:rPr>
      </w:pPr>
      <w:r>
        <w:rPr>
          <w:rFonts w:ascii="宋体" w:hAnsi="宋体" w:eastAsia="宋体" w:cs="宋体"/>
          <w:spacing w:val="6"/>
          <w:sz w:val="20"/>
          <w:szCs w:val="20"/>
        </w:rPr>
        <w:t>注：废气及固废统计单位为</w:t>
      </w:r>
      <w:r>
        <w:rPr>
          <w:rFonts w:ascii="宋体" w:hAnsi="宋体" w:eastAsia="宋体" w:cs="宋体"/>
          <w:spacing w:val="-33"/>
          <w:sz w:val="20"/>
          <w:szCs w:val="20"/>
        </w:rPr>
        <w:t xml:space="preserve"> </w:t>
      </w:r>
      <w:r>
        <w:rPr>
          <w:rFonts w:ascii="Times New Roman" w:hAnsi="Times New Roman" w:eastAsia="Times New Roman" w:cs="Times New Roman"/>
          <w:spacing w:val="6"/>
          <w:sz w:val="20"/>
          <w:szCs w:val="20"/>
        </w:rPr>
        <w:t>t/a</w:t>
      </w:r>
      <w:r>
        <w:rPr>
          <w:rFonts w:ascii="Times New Roman" w:hAnsi="Times New Roman" w:eastAsia="Times New Roman" w:cs="Times New Roman"/>
          <w:spacing w:val="-21"/>
          <w:sz w:val="20"/>
          <w:szCs w:val="20"/>
        </w:rPr>
        <w:t xml:space="preserve"> </w:t>
      </w:r>
      <w:r>
        <w:rPr>
          <w:rFonts w:ascii="宋体" w:hAnsi="宋体" w:eastAsia="宋体" w:cs="宋体"/>
          <w:spacing w:val="6"/>
          <w:sz w:val="20"/>
          <w:szCs w:val="20"/>
        </w:rPr>
        <w:t>，废水统计单位为</w:t>
      </w:r>
      <w:r>
        <w:rPr>
          <w:rFonts w:ascii="宋体" w:hAnsi="宋体" w:eastAsia="宋体" w:cs="宋体"/>
          <w:spacing w:val="-43"/>
          <w:sz w:val="20"/>
          <w:szCs w:val="20"/>
        </w:rPr>
        <w:t xml:space="preserve">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/a</w:t>
      </w:r>
      <w:r>
        <w:rPr>
          <w:rFonts w:ascii="宋体" w:hAnsi="宋体" w:eastAsia="宋体" w:cs="宋体"/>
          <w:spacing w:val="6"/>
          <w:sz w:val="20"/>
          <w:szCs w:val="20"/>
        </w:rPr>
        <w:t>。</w:t>
      </w:r>
    </w:p>
    <w:p w14:paraId="4C504EA5">
      <w:pPr>
        <w:spacing w:line="227" w:lineRule="auto"/>
        <w:rPr>
          <w:rFonts w:ascii="宋体" w:hAnsi="宋体" w:eastAsia="宋体" w:cs="宋体"/>
          <w:sz w:val="20"/>
          <w:szCs w:val="20"/>
        </w:rPr>
        <w:sectPr>
          <w:headerReference r:id="rId157" w:type="default"/>
          <w:footerReference r:id="rId158" w:type="default"/>
          <w:pgSz w:w="11906" w:h="16839"/>
          <w:pgMar w:top="1208" w:right="1785" w:bottom="1358" w:left="1684" w:header="825" w:footer="1195" w:gutter="0"/>
          <w:cols w:space="720" w:num="1"/>
        </w:sectPr>
      </w:pPr>
    </w:p>
    <w:p w14:paraId="045E1B6F">
      <w:pPr>
        <w:spacing w:before="271" w:line="222" w:lineRule="auto"/>
        <w:ind w:left="21"/>
        <w:outlineLvl w:val="0"/>
        <w:rPr>
          <w:rFonts w:ascii="黑体" w:hAnsi="黑体" w:eastAsia="黑体" w:cs="黑体"/>
          <w:sz w:val="28"/>
          <w:szCs w:val="28"/>
        </w:rPr>
      </w:pPr>
      <w:bookmarkStart w:id="80" w:name="bookmark73"/>
      <w:bookmarkEnd w:id="80"/>
      <w:r>
        <w:rPr>
          <w:rFonts w:ascii="黑体" w:hAnsi="黑体" w:eastAsia="黑体" w:cs="黑体"/>
          <w:b/>
          <w:bCs/>
          <w:spacing w:val="-4"/>
          <w:sz w:val="28"/>
          <w:szCs w:val="28"/>
        </w:rPr>
        <w:t>6</w:t>
      </w:r>
      <w:r>
        <w:rPr>
          <w:rFonts w:ascii="黑体" w:hAnsi="黑体" w:eastAsia="黑体" w:cs="黑体"/>
          <w:spacing w:val="-59"/>
          <w:sz w:val="28"/>
          <w:szCs w:val="28"/>
        </w:rPr>
        <w:t xml:space="preserve"> </w:t>
      </w:r>
      <w:r>
        <w:rPr>
          <w:rFonts w:ascii="黑体" w:hAnsi="黑体" w:eastAsia="黑体" w:cs="黑体"/>
          <w:b/>
          <w:bCs/>
          <w:spacing w:val="-4"/>
          <w:sz w:val="28"/>
          <w:szCs w:val="28"/>
        </w:rPr>
        <w:t>环境现状调查与评价</w:t>
      </w:r>
    </w:p>
    <w:p w14:paraId="550489DA">
      <w:pPr>
        <w:pStyle w:val="2"/>
        <w:spacing w:line="271" w:lineRule="auto"/>
      </w:pPr>
    </w:p>
    <w:p w14:paraId="3F75DC4C">
      <w:pPr>
        <w:spacing w:before="91" w:line="222" w:lineRule="auto"/>
        <w:ind w:left="22"/>
        <w:outlineLvl w:val="1"/>
        <w:rPr>
          <w:rFonts w:ascii="黑体" w:hAnsi="黑体" w:eastAsia="黑体" w:cs="黑体"/>
          <w:sz w:val="28"/>
          <w:szCs w:val="28"/>
        </w:rPr>
      </w:pPr>
      <w:bookmarkStart w:id="81" w:name="bookmark75"/>
      <w:bookmarkEnd w:id="81"/>
      <w:bookmarkStart w:id="82" w:name="bookmark74"/>
      <w:bookmarkEnd w:id="82"/>
      <w:r>
        <w:rPr>
          <w:rFonts w:ascii="Times New Roman" w:hAnsi="Times New Roman" w:eastAsia="Times New Roman" w:cs="Times New Roman"/>
          <w:b/>
          <w:bCs/>
          <w:spacing w:val="-6"/>
          <w:sz w:val="28"/>
          <w:szCs w:val="28"/>
        </w:rPr>
        <w:t>6.1</w:t>
      </w:r>
      <w:r>
        <w:rPr>
          <w:rFonts w:ascii="Times New Roman" w:hAnsi="Times New Roman" w:eastAsia="Times New Roman" w:cs="Times New Roman"/>
          <w:b/>
          <w:bCs/>
          <w:spacing w:val="51"/>
          <w:sz w:val="28"/>
          <w:szCs w:val="28"/>
        </w:rPr>
        <w:t xml:space="preserve"> </w:t>
      </w:r>
      <w:r>
        <w:rPr>
          <w:rFonts w:ascii="黑体" w:hAnsi="黑体" w:eastAsia="黑体" w:cs="黑体"/>
          <w:b/>
          <w:bCs/>
          <w:spacing w:val="-6"/>
          <w:sz w:val="28"/>
          <w:szCs w:val="28"/>
        </w:rPr>
        <w:t>自然环境现状调查与评价</w:t>
      </w:r>
    </w:p>
    <w:p w14:paraId="3CC74985">
      <w:pPr>
        <w:spacing w:before="254" w:line="221" w:lineRule="auto"/>
        <w:ind w:left="500"/>
        <w:outlineLvl w:val="2"/>
        <w:rPr>
          <w:rFonts w:ascii="宋体" w:hAnsi="宋体" w:eastAsia="宋体" w:cs="宋体"/>
          <w:sz w:val="24"/>
          <w:szCs w:val="24"/>
        </w:rPr>
      </w:pPr>
      <w:bookmarkStart w:id="83" w:name="bookmark202"/>
      <w:bookmarkEnd w:id="83"/>
      <w:r>
        <w:rPr>
          <w:rFonts w:ascii="Times New Roman" w:hAnsi="Times New Roman" w:eastAsia="Times New Roman" w:cs="Times New Roman"/>
          <w:b/>
          <w:bCs/>
          <w:spacing w:val="-2"/>
          <w:sz w:val="24"/>
          <w:szCs w:val="24"/>
        </w:rPr>
        <w:t xml:space="preserve">6.1.1 </w:t>
      </w:r>
      <w:r>
        <w:rPr>
          <w:rFonts w:ascii="宋体" w:hAnsi="宋体" w:eastAsia="宋体" w:cs="宋体"/>
          <w:b/>
          <w:bCs/>
          <w:spacing w:val="-2"/>
          <w:sz w:val="24"/>
          <w:szCs w:val="24"/>
        </w:rPr>
        <w:t>地理位置</w:t>
      </w:r>
    </w:p>
    <w:p w14:paraId="3E9AF94D">
      <w:pPr>
        <w:spacing w:before="180" w:line="360" w:lineRule="auto"/>
        <w:ind w:left="20" w:right="162" w:firstLine="486"/>
        <w:jc w:val="both"/>
        <w:rPr>
          <w:rFonts w:ascii="宋体" w:hAnsi="宋体" w:eastAsia="宋体" w:cs="宋体"/>
          <w:sz w:val="24"/>
          <w:szCs w:val="24"/>
        </w:rPr>
      </w:pPr>
      <w:r>
        <w:rPr>
          <w:rFonts w:ascii="宋体" w:hAnsi="宋体" w:eastAsia="宋体" w:cs="宋体"/>
          <w:spacing w:val="-2"/>
          <w:sz w:val="24"/>
          <w:szCs w:val="24"/>
        </w:rPr>
        <w:t>西乌旗位于内蒙古自治区中部，地处东经</w:t>
      </w:r>
      <w:r>
        <w:rPr>
          <w:rFonts w:ascii="宋体" w:hAnsi="宋体" w:eastAsia="宋体" w:cs="宋体"/>
          <w:spacing w:val="-28"/>
          <w:sz w:val="24"/>
          <w:szCs w:val="24"/>
        </w:rPr>
        <w:t xml:space="preserve"> </w:t>
      </w:r>
      <w:r>
        <w:rPr>
          <w:rFonts w:ascii="宋体" w:hAnsi="宋体" w:eastAsia="宋体" w:cs="宋体"/>
          <w:spacing w:val="-2"/>
          <w:sz w:val="24"/>
          <w:szCs w:val="24"/>
        </w:rPr>
        <w:t>116</w:t>
      </w:r>
      <w:r>
        <w:rPr>
          <w:rFonts w:ascii="宋体" w:hAnsi="宋体" w:eastAsia="宋体" w:cs="宋体"/>
          <w:spacing w:val="-81"/>
          <w:sz w:val="24"/>
          <w:szCs w:val="24"/>
        </w:rPr>
        <w:t xml:space="preserve"> </w:t>
      </w:r>
      <w:r>
        <w:rPr>
          <w:rFonts w:ascii="宋体" w:hAnsi="宋体" w:eastAsia="宋体" w:cs="宋体"/>
          <w:spacing w:val="-2"/>
          <w:sz w:val="24"/>
          <w:szCs w:val="24"/>
        </w:rPr>
        <w:t>°21</w:t>
      </w:r>
      <w:r>
        <w:rPr>
          <w:rFonts w:ascii="宋体" w:hAnsi="宋体" w:eastAsia="宋体" w:cs="宋体"/>
          <w:spacing w:val="-70"/>
          <w:sz w:val="24"/>
          <w:szCs w:val="24"/>
        </w:rPr>
        <w:t xml:space="preserve"> </w:t>
      </w:r>
      <w:r>
        <w:rPr>
          <w:rFonts w:ascii="宋体" w:hAnsi="宋体" w:eastAsia="宋体" w:cs="宋体"/>
          <w:spacing w:val="-2"/>
          <w:sz w:val="24"/>
          <w:szCs w:val="24"/>
        </w:rPr>
        <w:t>′～1</w:t>
      </w:r>
      <w:r>
        <w:rPr>
          <w:rFonts w:ascii="宋体" w:hAnsi="宋体" w:eastAsia="宋体" w:cs="宋体"/>
          <w:spacing w:val="-3"/>
          <w:sz w:val="24"/>
          <w:szCs w:val="24"/>
        </w:rPr>
        <w:t>19</w:t>
      </w:r>
      <w:r>
        <w:rPr>
          <w:rFonts w:ascii="宋体" w:hAnsi="宋体" w:eastAsia="宋体" w:cs="宋体"/>
          <w:spacing w:val="-82"/>
          <w:sz w:val="24"/>
          <w:szCs w:val="24"/>
        </w:rPr>
        <w:t xml:space="preserve"> </w:t>
      </w:r>
      <w:r>
        <w:rPr>
          <w:rFonts w:ascii="宋体" w:hAnsi="宋体" w:eastAsia="宋体" w:cs="宋体"/>
          <w:spacing w:val="-3"/>
          <w:sz w:val="24"/>
          <w:szCs w:val="24"/>
        </w:rPr>
        <w:t>°31</w:t>
      </w:r>
      <w:r>
        <w:rPr>
          <w:rFonts w:ascii="宋体" w:hAnsi="宋体" w:eastAsia="宋体" w:cs="宋体"/>
          <w:spacing w:val="-72"/>
          <w:sz w:val="24"/>
          <w:szCs w:val="24"/>
        </w:rPr>
        <w:t xml:space="preserve"> </w:t>
      </w:r>
      <w:r>
        <w:rPr>
          <w:rFonts w:ascii="宋体" w:hAnsi="宋体" w:eastAsia="宋体" w:cs="宋体"/>
          <w:spacing w:val="-3"/>
          <w:sz w:val="24"/>
          <w:szCs w:val="24"/>
        </w:rPr>
        <w:t>′</w:t>
      </w:r>
      <w:r>
        <w:rPr>
          <w:rFonts w:ascii="宋体" w:hAnsi="宋体" w:eastAsia="宋体" w:cs="宋体"/>
          <w:spacing w:val="-83"/>
          <w:sz w:val="24"/>
          <w:szCs w:val="24"/>
        </w:rPr>
        <w:t xml:space="preserve"> </w:t>
      </w:r>
      <w:r>
        <w:rPr>
          <w:rFonts w:ascii="宋体" w:hAnsi="宋体" w:eastAsia="宋体" w:cs="宋体"/>
          <w:spacing w:val="-3"/>
          <w:sz w:val="24"/>
          <w:szCs w:val="24"/>
        </w:rPr>
        <w:t>；北纬</w:t>
      </w:r>
      <w:r>
        <w:rPr>
          <w:rFonts w:ascii="宋体" w:hAnsi="宋体" w:eastAsia="宋体" w:cs="宋体"/>
          <w:sz w:val="24"/>
          <w:szCs w:val="24"/>
        </w:rPr>
        <w:t xml:space="preserve"> </w:t>
      </w:r>
      <w:r>
        <w:rPr>
          <w:rFonts w:ascii="宋体" w:hAnsi="宋体" w:eastAsia="宋体" w:cs="宋体"/>
          <w:spacing w:val="-5"/>
          <w:sz w:val="24"/>
          <w:szCs w:val="24"/>
        </w:rPr>
        <w:t>43</w:t>
      </w:r>
      <w:r>
        <w:rPr>
          <w:rFonts w:ascii="宋体" w:hAnsi="宋体" w:eastAsia="宋体" w:cs="宋体"/>
          <w:spacing w:val="-86"/>
          <w:sz w:val="24"/>
          <w:szCs w:val="24"/>
        </w:rPr>
        <w:t xml:space="preserve"> </w:t>
      </w:r>
      <w:r>
        <w:rPr>
          <w:rFonts w:ascii="宋体" w:hAnsi="宋体" w:eastAsia="宋体" w:cs="宋体"/>
          <w:spacing w:val="-5"/>
          <w:sz w:val="24"/>
          <w:szCs w:val="24"/>
        </w:rPr>
        <w:t>°57</w:t>
      </w:r>
      <w:r>
        <w:rPr>
          <w:rFonts w:ascii="宋体" w:hAnsi="宋体" w:eastAsia="宋体" w:cs="宋体"/>
          <w:spacing w:val="-77"/>
          <w:sz w:val="24"/>
          <w:szCs w:val="24"/>
        </w:rPr>
        <w:t xml:space="preserve"> </w:t>
      </w:r>
      <w:r>
        <w:rPr>
          <w:rFonts w:ascii="宋体" w:hAnsi="宋体" w:eastAsia="宋体" w:cs="宋体"/>
          <w:spacing w:val="-5"/>
          <w:sz w:val="24"/>
          <w:szCs w:val="24"/>
        </w:rPr>
        <w:t>′～45</w:t>
      </w:r>
      <w:r>
        <w:rPr>
          <w:rFonts w:ascii="宋体" w:hAnsi="宋体" w:eastAsia="宋体" w:cs="宋体"/>
          <w:spacing w:val="-89"/>
          <w:sz w:val="24"/>
          <w:szCs w:val="24"/>
        </w:rPr>
        <w:t xml:space="preserve"> </w:t>
      </w:r>
      <w:r>
        <w:rPr>
          <w:rFonts w:ascii="宋体" w:hAnsi="宋体" w:eastAsia="宋体" w:cs="宋体"/>
          <w:spacing w:val="-5"/>
          <w:sz w:val="24"/>
          <w:szCs w:val="24"/>
        </w:rPr>
        <w:t>°23</w:t>
      </w:r>
      <w:r>
        <w:rPr>
          <w:rFonts w:ascii="宋体" w:hAnsi="宋体" w:eastAsia="宋体" w:cs="宋体"/>
          <w:spacing w:val="-77"/>
          <w:sz w:val="24"/>
          <w:szCs w:val="24"/>
        </w:rPr>
        <w:t xml:space="preserve"> </w:t>
      </w:r>
      <w:r>
        <w:rPr>
          <w:rFonts w:ascii="宋体" w:hAnsi="宋体" w:eastAsia="宋体" w:cs="宋体"/>
          <w:spacing w:val="-5"/>
          <w:sz w:val="24"/>
          <w:szCs w:val="24"/>
        </w:rPr>
        <w:t>′</w:t>
      </w:r>
      <w:r>
        <w:rPr>
          <w:rFonts w:ascii="宋体" w:hAnsi="宋体" w:eastAsia="宋体" w:cs="宋体"/>
          <w:spacing w:val="-91"/>
          <w:sz w:val="24"/>
          <w:szCs w:val="24"/>
        </w:rPr>
        <w:t xml:space="preserve"> </w:t>
      </w:r>
      <w:r>
        <w:rPr>
          <w:rFonts w:ascii="宋体" w:hAnsi="宋体" w:eastAsia="宋体" w:cs="宋体"/>
          <w:spacing w:val="-5"/>
          <w:sz w:val="24"/>
          <w:szCs w:val="24"/>
        </w:rPr>
        <w:t>，东接扎鲁特旗、阿鲁科尔沁旗、巴林左旗，南与巴林右</w:t>
      </w:r>
      <w:r>
        <w:rPr>
          <w:rFonts w:ascii="宋体" w:hAnsi="宋体" w:eastAsia="宋体" w:cs="宋体"/>
          <w:sz w:val="24"/>
          <w:szCs w:val="24"/>
        </w:rPr>
        <w:t xml:space="preserve"> 旗、林西县、克什克腾旗接壤，西与锡林浩特市相邻，</w:t>
      </w:r>
      <w:r>
        <w:rPr>
          <w:rFonts w:ascii="宋体" w:hAnsi="宋体" w:eastAsia="宋体" w:cs="宋体"/>
          <w:spacing w:val="-1"/>
          <w:sz w:val="24"/>
          <w:szCs w:val="24"/>
        </w:rPr>
        <w:t>旗政府设于巴拉嘎尔高</w:t>
      </w:r>
      <w:r>
        <w:rPr>
          <w:rFonts w:ascii="宋体" w:hAnsi="宋体" w:eastAsia="宋体" w:cs="宋体"/>
          <w:sz w:val="24"/>
          <w:szCs w:val="24"/>
        </w:rPr>
        <w:t xml:space="preserve"> </w:t>
      </w:r>
      <w:r>
        <w:rPr>
          <w:rFonts w:ascii="宋体" w:hAnsi="宋体" w:eastAsia="宋体" w:cs="宋体"/>
          <w:spacing w:val="-5"/>
          <w:sz w:val="24"/>
          <w:szCs w:val="24"/>
        </w:rPr>
        <w:t>勒镇。全旗土地总面积</w:t>
      </w:r>
      <w:r>
        <w:rPr>
          <w:rFonts w:ascii="宋体" w:hAnsi="宋体" w:eastAsia="宋体" w:cs="宋体"/>
          <w:spacing w:val="-37"/>
          <w:sz w:val="24"/>
          <w:szCs w:val="24"/>
        </w:rPr>
        <w:t xml:space="preserve"> </w:t>
      </w:r>
      <w:r>
        <w:rPr>
          <w:rFonts w:ascii="宋体" w:hAnsi="宋体" w:eastAsia="宋体" w:cs="宋体"/>
          <w:spacing w:val="-5"/>
          <w:sz w:val="24"/>
          <w:szCs w:val="24"/>
        </w:rPr>
        <w:t>22960km</w:t>
      </w:r>
      <w:r>
        <w:rPr>
          <w:rFonts w:ascii="宋体" w:hAnsi="宋体" w:eastAsia="宋体" w:cs="宋体"/>
          <w:spacing w:val="-5"/>
          <w:position w:val="11"/>
          <w:sz w:val="12"/>
          <w:szCs w:val="12"/>
        </w:rPr>
        <w:t>2</w:t>
      </w:r>
      <w:r>
        <w:rPr>
          <w:rFonts w:ascii="宋体" w:hAnsi="宋体" w:eastAsia="宋体" w:cs="宋体"/>
          <w:spacing w:val="-5"/>
          <w:sz w:val="24"/>
          <w:szCs w:val="24"/>
        </w:rPr>
        <w:t>，现辖</w:t>
      </w:r>
      <w:r>
        <w:rPr>
          <w:rFonts w:ascii="宋体" w:hAnsi="宋体" w:eastAsia="宋体" w:cs="宋体"/>
          <w:spacing w:val="-46"/>
          <w:sz w:val="24"/>
          <w:szCs w:val="24"/>
        </w:rPr>
        <w:t xml:space="preserve"> </w:t>
      </w:r>
      <w:r>
        <w:rPr>
          <w:rFonts w:ascii="宋体" w:hAnsi="宋体" w:eastAsia="宋体" w:cs="宋体"/>
          <w:spacing w:val="-5"/>
          <w:sz w:val="24"/>
          <w:szCs w:val="24"/>
        </w:rPr>
        <w:t>5</w:t>
      </w:r>
      <w:r>
        <w:rPr>
          <w:rFonts w:ascii="宋体" w:hAnsi="宋体" w:eastAsia="宋体" w:cs="宋体"/>
          <w:spacing w:val="-51"/>
          <w:sz w:val="24"/>
          <w:szCs w:val="24"/>
        </w:rPr>
        <w:t xml:space="preserve"> </w:t>
      </w:r>
      <w:r>
        <w:rPr>
          <w:rFonts w:ascii="宋体" w:hAnsi="宋体" w:eastAsia="宋体" w:cs="宋体"/>
          <w:spacing w:val="-5"/>
          <w:sz w:val="24"/>
          <w:szCs w:val="24"/>
        </w:rPr>
        <w:t>个镇、1</w:t>
      </w:r>
      <w:r>
        <w:rPr>
          <w:rFonts w:ascii="宋体" w:hAnsi="宋体" w:eastAsia="宋体" w:cs="宋体"/>
          <w:spacing w:val="-50"/>
          <w:sz w:val="24"/>
          <w:szCs w:val="24"/>
        </w:rPr>
        <w:t xml:space="preserve"> </w:t>
      </w:r>
      <w:r>
        <w:rPr>
          <w:rFonts w:ascii="宋体" w:hAnsi="宋体" w:eastAsia="宋体" w:cs="宋体"/>
          <w:spacing w:val="-5"/>
          <w:sz w:val="24"/>
          <w:szCs w:val="24"/>
        </w:rPr>
        <w:t>个苏木、1</w:t>
      </w:r>
      <w:r>
        <w:rPr>
          <w:rFonts w:ascii="宋体" w:hAnsi="宋体" w:eastAsia="宋体" w:cs="宋体"/>
          <w:spacing w:val="-51"/>
          <w:sz w:val="24"/>
          <w:szCs w:val="24"/>
        </w:rPr>
        <w:t xml:space="preserve"> </w:t>
      </w:r>
      <w:r>
        <w:rPr>
          <w:rFonts w:ascii="宋体" w:hAnsi="宋体" w:eastAsia="宋体" w:cs="宋体"/>
          <w:spacing w:val="-5"/>
          <w:sz w:val="24"/>
          <w:szCs w:val="24"/>
        </w:rPr>
        <w:t>个林业总场，全旗</w:t>
      </w:r>
      <w:r>
        <w:rPr>
          <w:rFonts w:ascii="宋体" w:hAnsi="宋体" w:eastAsia="宋体" w:cs="宋体"/>
          <w:sz w:val="24"/>
          <w:szCs w:val="24"/>
        </w:rPr>
        <w:t xml:space="preserve"> </w:t>
      </w:r>
      <w:r>
        <w:rPr>
          <w:rFonts w:ascii="宋体" w:hAnsi="宋体" w:eastAsia="宋体" w:cs="宋体"/>
          <w:spacing w:val="-4"/>
          <w:sz w:val="24"/>
          <w:szCs w:val="24"/>
        </w:rPr>
        <w:t>有天然可利用草场</w:t>
      </w:r>
      <w:r>
        <w:rPr>
          <w:rFonts w:ascii="宋体" w:hAnsi="宋体" w:eastAsia="宋体" w:cs="宋体"/>
          <w:spacing w:val="-48"/>
          <w:sz w:val="24"/>
          <w:szCs w:val="24"/>
        </w:rPr>
        <w:t xml:space="preserve"> </w:t>
      </w:r>
      <w:r>
        <w:rPr>
          <w:rFonts w:ascii="宋体" w:hAnsi="宋体" w:eastAsia="宋体" w:cs="宋体"/>
          <w:spacing w:val="-4"/>
          <w:sz w:val="24"/>
          <w:szCs w:val="24"/>
        </w:rPr>
        <w:t>20290 km</w:t>
      </w:r>
      <w:r>
        <w:rPr>
          <w:rFonts w:ascii="宋体" w:hAnsi="宋体" w:eastAsia="宋体" w:cs="宋体"/>
          <w:spacing w:val="-4"/>
          <w:position w:val="11"/>
          <w:sz w:val="12"/>
          <w:szCs w:val="12"/>
        </w:rPr>
        <w:t>2</w:t>
      </w:r>
      <w:r>
        <w:rPr>
          <w:rFonts w:ascii="宋体" w:hAnsi="宋体" w:eastAsia="宋体" w:cs="宋体"/>
          <w:spacing w:val="-31"/>
          <w:position w:val="11"/>
          <w:sz w:val="12"/>
          <w:szCs w:val="12"/>
        </w:rPr>
        <w:t xml:space="preserve"> </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宋体" w:hAnsi="宋体" w:eastAsia="宋体" w:cs="宋体"/>
          <w:spacing w:val="-4"/>
          <w:sz w:val="24"/>
          <w:szCs w:val="24"/>
        </w:rPr>
        <w:t>占总面积的</w:t>
      </w:r>
      <w:r>
        <w:rPr>
          <w:rFonts w:ascii="宋体" w:hAnsi="宋体" w:eastAsia="宋体" w:cs="宋体"/>
          <w:spacing w:val="-50"/>
          <w:sz w:val="24"/>
          <w:szCs w:val="24"/>
        </w:rPr>
        <w:t xml:space="preserve"> </w:t>
      </w:r>
      <w:r>
        <w:rPr>
          <w:rFonts w:ascii="宋体" w:hAnsi="宋体" w:eastAsia="宋体" w:cs="宋体"/>
          <w:spacing w:val="-4"/>
          <w:sz w:val="24"/>
          <w:szCs w:val="24"/>
        </w:rPr>
        <w:t>88</w:t>
      </w:r>
      <w:r>
        <w:rPr>
          <w:rFonts w:ascii="宋体" w:hAnsi="宋体" w:eastAsia="宋体" w:cs="宋体"/>
          <w:spacing w:val="-5"/>
          <w:sz w:val="24"/>
          <w:szCs w:val="24"/>
        </w:rPr>
        <w:t>%。</w:t>
      </w:r>
    </w:p>
    <w:p w14:paraId="315EA48E">
      <w:pPr>
        <w:spacing w:before="6" w:line="359" w:lineRule="auto"/>
        <w:ind w:left="20" w:right="162" w:firstLine="484"/>
        <w:jc w:val="both"/>
        <w:rPr>
          <w:rFonts w:ascii="宋体" w:hAnsi="宋体" w:eastAsia="宋体" w:cs="宋体"/>
          <w:sz w:val="24"/>
          <w:szCs w:val="24"/>
        </w:rPr>
      </w:pPr>
      <w:r>
        <w:rPr>
          <w:rFonts w:ascii="宋体" w:hAnsi="宋体" w:eastAsia="宋体" w:cs="宋体"/>
          <w:sz w:val="24"/>
          <w:szCs w:val="24"/>
        </w:rPr>
        <w:t>项目区南西距西乌珠穆沁旗旗政府所在地—巴拉嘎尔高勒镇</w:t>
      </w:r>
      <w:r>
        <w:rPr>
          <w:rFonts w:ascii="宋体" w:hAnsi="宋体" w:eastAsia="宋体" w:cs="宋体"/>
          <w:spacing w:val="-15"/>
          <w:sz w:val="24"/>
          <w:szCs w:val="24"/>
        </w:rPr>
        <w:t xml:space="preserve"> </w:t>
      </w:r>
      <w:r>
        <w:rPr>
          <w:rFonts w:ascii="宋体" w:hAnsi="宋体" w:eastAsia="宋体" w:cs="宋体"/>
          <w:sz w:val="24"/>
          <w:szCs w:val="24"/>
        </w:rPr>
        <w:t xml:space="preserve">138km；北东 </w:t>
      </w:r>
      <w:r>
        <w:rPr>
          <w:rFonts w:ascii="宋体" w:hAnsi="宋体" w:eastAsia="宋体" w:cs="宋体"/>
          <w:spacing w:val="-3"/>
          <w:sz w:val="24"/>
          <w:szCs w:val="24"/>
        </w:rPr>
        <w:t>距霍林郭勒市</w:t>
      </w:r>
      <w:r>
        <w:rPr>
          <w:rFonts w:ascii="宋体" w:hAnsi="宋体" w:eastAsia="宋体" w:cs="宋体"/>
          <w:spacing w:val="-38"/>
          <w:sz w:val="24"/>
          <w:szCs w:val="24"/>
        </w:rPr>
        <w:t xml:space="preserve"> </w:t>
      </w:r>
      <w:r>
        <w:rPr>
          <w:rFonts w:ascii="宋体" w:hAnsi="宋体" w:eastAsia="宋体" w:cs="宋体"/>
          <w:spacing w:val="-3"/>
          <w:sz w:val="24"/>
          <w:szCs w:val="24"/>
        </w:rPr>
        <w:t>75km；距巴林左旗境内的白音诺铅锌矿北东</w:t>
      </w:r>
      <w:r>
        <w:rPr>
          <w:rFonts w:ascii="宋体" w:hAnsi="宋体" w:eastAsia="宋体" w:cs="宋体"/>
          <w:spacing w:val="-33"/>
          <w:sz w:val="24"/>
          <w:szCs w:val="24"/>
        </w:rPr>
        <w:t xml:space="preserve"> </w:t>
      </w:r>
      <w:r>
        <w:rPr>
          <w:rFonts w:ascii="宋体" w:hAnsi="宋体" w:eastAsia="宋体" w:cs="宋体"/>
          <w:spacing w:val="-3"/>
          <w:sz w:val="24"/>
          <w:szCs w:val="24"/>
        </w:rPr>
        <w:t>100km。</w:t>
      </w:r>
      <w:r>
        <w:rPr>
          <w:rFonts w:ascii="宋体" w:hAnsi="宋体" w:eastAsia="宋体" w:cs="宋体"/>
          <w:spacing w:val="-65"/>
          <w:sz w:val="24"/>
          <w:szCs w:val="24"/>
        </w:rPr>
        <w:t xml:space="preserve"> </w:t>
      </w:r>
      <w:r>
        <w:rPr>
          <w:rFonts w:ascii="宋体" w:hAnsi="宋体" w:eastAsia="宋体" w:cs="宋体"/>
          <w:spacing w:val="-3"/>
          <w:sz w:val="24"/>
          <w:szCs w:val="24"/>
        </w:rPr>
        <w:t>目前，西乌</w:t>
      </w:r>
      <w:r>
        <w:rPr>
          <w:rFonts w:ascii="宋体" w:hAnsi="宋体" w:eastAsia="宋体" w:cs="宋体"/>
          <w:sz w:val="24"/>
          <w:szCs w:val="24"/>
        </w:rPr>
        <w:t xml:space="preserve"> 旗—白音花柏油路已全线通车。白音花—霍林河一级公</w:t>
      </w:r>
      <w:r>
        <w:rPr>
          <w:rFonts w:ascii="宋体" w:hAnsi="宋体" w:eastAsia="宋体" w:cs="宋体"/>
          <w:spacing w:val="-1"/>
          <w:sz w:val="24"/>
          <w:szCs w:val="24"/>
        </w:rPr>
        <w:t>路也已铺设完毕，该公</w:t>
      </w:r>
      <w:r>
        <w:rPr>
          <w:rFonts w:ascii="宋体" w:hAnsi="宋体" w:eastAsia="宋体" w:cs="宋体"/>
          <w:sz w:val="24"/>
          <w:szCs w:val="24"/>
        </w:rPr>
        <w:t xml:space="preserve"> </w:t>
      </w:r>
      <w:r>
        <w:rPr>
          <w:rFonts w:ascii="宋体" w:hAnsi="宋体" w:eastAsia="宋体" w:cs="宋体"/>
          <w:spacing w:val="-2"/>
          <w:sz w:val="24"/>
          <w:szCs w:val="24"/>
        </w:rPr>
        <w:t>路从库区南约</w:t>
      </w:r>
      <w:r>
        <w:rPr>
          <w:rFonts w:ascii="宋体" w:hAnsi="宋体" w:eastAsia="宋体" w:cs="宋体"/>
          <w:spacing w:val="-24"/>
          <w:sz w:val="24"/>
          <w:szCs w:val="24"/>
        </w:rPr>
        <w:t xml:space="preserve"> </w:t>
      </w:r>
      <w:r>
        <w:rPr>
          <w:rFonts w:ascii="宋体" w:hAnsi="宋体" w:eastAsia="宋体" w:cs="宋体"/>
          <w:spacing w:val="-2"/>
          <w:sz w:val="24"/>
          <w:szCs w:val="24"/>
        </w:rPr>
        <w:t>15km</w:t>
      </w:r>
      <w:r>
        <w:rPr>
          <w:rFonts w:ascii="宋体" w:hAnsi="宋体" w:eastAsia="宋体" w:cs="宋体"/>
          <w:spacing w:val="-46"/>
          <w:sz w:val="24"/>
          <w:szCs w:val="24"/>
        </w:rPr>
        <w:t xml:space="preserve"> </w:t>
      </w:r>
      <w:r>
        <w:rPr>
          <w:rFonts w:ascii="宋体" w:hAnsi="宋体" w:eastAsia="宋体" w:cs="宋体"/>
          <w:spacing w:val="-2"/>
          <w:sz w:val="24"/>
          <w:szCs w:val="24"/>
        </w:rPr>
        <w:t>处通过，现已全线贯通。库区交通较为方便。</w:t>
      </w:r>
    </w:p>
    <w:p w14:paraId="56BEF943">
      <w:pPr>
        <w:spacing w:line="218" w:lineRule="auto"/>
        <w:ind w:left="500"/>
        <w:outlineLvl w:val="2"/>
        <w:rPr>
          <w:rFonts w:ascii="宋体" w:hAnsi="宋体" w:eastAsia="宋体" w:cs="宋体"/>
          <w:sz w:val="24"/>
          <w:szCs w:val="24"/>
        </w:rPr>
      </w:pPr>
      <w:bookmarkStart w:id="84" w:name="bookmark76"/>
      <w:bookmarkEnd w:id="84"/>
      <w:r>
        <w:rPr>
          <w:rFonts w:ascii="Times New Roman" w:hAnsi="Times New Roman" w:eastAsia="Times New Roman" w:cs="Times New Roman"/>
          <w:b/>
          <w:bCs/>
          <w:spacing w:val="-2"/>
          <w:sz w:val="24"/>
          <w:szCs w:val="24"/>
        </w:rPr>
        <w:t xml:space="preserve">6.1.2 </w:t>
      </w:r>
      <w:r>
        <w:rPr>
          <w:rFonts w:ascii="宋体" w:hAnsi="宋体" w:eastAsia="宋体" w:cs="宋体"/>
          <w:b/>
          <w:bCs/>
          <w:spacing w:val="-2"/>
          <w:sz w:val="24"/>
          <w:szCs w:val="24"/>
        </w:rPr>
        <w:t>地形地貌</w:t>
      </w:r>
    </w:p>
    <w:p w14:paraId="579182B1">
      <w:pPr>
        <w:spacing w:before="184" w:line="360" w:lineRule="auto"/>
        <w:ind w:left="21" w:right="162" w:firstLine="483"/>
        <w:jc w:val="both"/>
        <w:rPr>
          <w:rFonts w:ascii="宋体" w:hAnsi="宋体" w:eastAsia="宋体" w:cs="宋体"/>
          <w:sz w:val="24"/>
          <w:szCs w:val="24"/>
        </w:rPr>
      </w:pPr>
      <w:r>
        <w:rPr>
          <w:rFonts w:ascii="宋体" w:hAnsi="宋体" w:eastAsia="宋体" w:cs="宋体"/>
          <w:spacing w:val="-1"/>
          <w:sz w:val="24"/>
          <w:szCs w:val="24"/>
        </w:rPr>
        <w:t>项目区地处大兴安岭南西端北西坡，属丘陵地区，花敖包特山为本区的最</w:t>
      </w:r>
      <w:r>
        <w:rPr>
          <w:rFonts w:ascii="宋体" w:hAnsi="宋体" w:eastAsia="宋体" w:cs="宋体"/>
          <w:spacing w:val="17"/>
          <w:sz w:val="24"/>
          <w:szCs w:val="24"/>
        </w:rPr>
        <w:t xml:space="preserve"> </w:t>
      </w:r>
      <w:r>
        <w:rPr>
          <w:rFonts w:ascii="宋体" w:hAnsi="宋体" w:eastAsia="宋体" w:cs="宋体"/>
          <w:spacing w:val="-3"/>
          <w:sz w:val="24"/>
          <w:szCs w:val="24"/>
        </w:rPr>
        <w:t>高山，海拔高程最高</w:t>
      </w:r>
      <w:r>
        <w:rPr>
          <w:rFonts w:ascii="宋体" w:hAnsi="宋体" w:eastAsia="宋体" w:cs="宋体"/>
          <w:spacing w:val="-33"/>
          <w:sz w:val="24"/>
          <w:szCs w:val="24"/>
        </w:rPr>
        <w:t xml:space="preserve"> </w:t>
      </w:r>
      <w:r>
        <w:rPr>
          <w:rFonts w:ascii="宋体" w:hAnsi="宋体" w:eastAsia="宋体" w:cs="宋体"/>
          <w:spacing w:val="-3"/>
          <w:sz w:val="24"/>
          <w:szCs w:val="24"/>
        </w:rPr>
        <w:t>1103.5m，最低</w:t>
      </w:r>
      <w:r>
        <w:rPr>
          <w:rFonts w:ascii="宋体" w:hAnsi="宋体" w:eastAsia="宋体" w:cs="宋体"/>
          <w:spacing w:val="-50"/>
          <w:sz w:val="24"/>
          <w:szCs w:val="24"/>
        </w:rPr>
        <w:t xml:space="preserve"> </w:t>
      </w:r>
      <w:r>
        <w:rPr>
          <w:rFonts w:ascii="宋体" w:hAnsi="宋体" w:eastAsia="宋体" w:cs="宋体"/>
          <w:spacing w:val="-3"/>
          <w:sz w:val="24"/>
          <w:szCs w:val="24"/>
        </w:rPr>
        <w:t>960m，相对高差</w:t>
      </w:r>
      <w:r>
        <w:rPr>
          <w:rFonts w:ascii="宋体" w:hAnsi="宋体" w:eastAsia="宋体" w:cs="宋体"/>
          <w:spacing w:val="-33"/>
          <w:sz w:val="24"/>
          <w:szCs w:val="24"/>
        </w:rPr>
        <w:t xml:space="preserve"> </w:t>
      </w:r>
      <w:r>
        <w:rPr>
          <w:rFonts w:ascii="宋体" w:hAnsi="宋体" w:eastAsia="宋体" w:cs="宋体"/>
          <w:spacing w:val="-3"/>
          <w:sz w:val="24"/>
          <w:szCs w:val="24"/>
        </w:rPr>
        <w:t>143.5</w:t>
      </w:r>
      <w:r>
        <w:rPr>
          <w:rFonts w:ascii="宋体" w:hAnsi="宋体" w:eastAsia="宋体" w:cs="宋体"/>
          <w:spacing w:val="-4"/>
          <w:sz w:val="24"/>
          <w:szCs w:val="24"/>
        </w:rPr>
        <w:t>m。库区地形较为平</w:t>
      </w:r>
      <w:r>
        <w:rPr>
          <w:rFonts w:ascii="宋体" w:hAnsi="宋体" w:eastAsia="宋体" w:cs="宋体"/>
          <w:sz w:val="24"/>
          <w:szCs w:val="24"/>
        </w:rPr>
        <w:t xml:space="preserve"> </w:t>
      </w:r>
      <w:r>
        <w:rPr>
          <w:rFonts w:ascii="宋体" w:hAnsi="宋体" w:eastAsia="宋体" w:cs="宋体"/>
          <w:spacing w:val="-5"/>
          <w:sz w:val="24"/>
          <w:szCs w:val="24"/>
        </w:rPr>
        <w:t>缓，东部为丘陵区，西部为沟谷区。河谷呈开阔的“U</w:t>
      </w:r>
      <w:r>
        <w:rPr>
          <w:rFonts w:ascii="宋体" w:hAnsi="宋体" w:eastAsia="宋体" w:cs="宋体"/>
          <w:spacing w:val="-76"/>
          <w:sz w:val="24"/>
          <w:szCs w:val="24"/>
        </w:rPr>
        <w:t xml:space="preserve"> </w:t>
      </w:r>
      <w:r>
        <w:rPr>
          <w:rFonts w:ascii="宋体" w:hAnsi="宋体" w:eastAsia="宋体" w:cs="宋体"/>
          <w:spacing w:val="-5"/>
          <w:sz w:val="24"/>
          <w:szCs w:val="24"/>
        </w:rPr>
        <w:t>”字形，区内第四系覆盖</w:t>
      </w:r>
      <w:r>
        <w:rPr>
          <w:rFonts w:ascii="宋体" w:hAnsi="宋体" w:eastAsia="宋体" w:cs="宋体"/>
          <w:sz w:val="24"/>
          <w:szCs w:val="24"/>
        </w:rPr>
        <w:t xml:space="preserve"> </w:t>
      </w:r>
      <w:r>
        <w:rPr>
          <w:rFonts w:ascii="宋体" w:hAnsi="宋体" w:eastAsia="宋体" w:cs="宋体"/>
          <w:spacing w:val="-1"/>
          <w:sz w:val="24"/>
          <w:szCs w:val="24"/>
        </w:rPr>
        <w:t>较厚，多属残积、残坡积和风积物。</w:t>
      </w:r>
    </w:p>
    <w:p w14:paraId="20EC10B0">
      <w:pPr>
        <w:spacing w:before="1" w:line="219" w:lineRule="auto"/>
        <w:ind w:left="500"/>
        <w:outlineLvl w:val="2"/>
        <w:rPr>
          <w:rFonts w:ascii="宋体" w:hAnsi="宋体" w:eastAsia="宋体" w:cs="宋体"/>
          <w:sz w:val="24"/>
          <w:szCs w:val="24"/>
        </w:rPr>
      </w:pPr>
      <w:bookmarkStart w:id="85" w:name="bookmark77"/>
      <w:bookmarkEnd w:id="85"/>
      <w:r>
        <w:rPr>
          <w:rFonts w:ascii="Times New Roman" w:hAnsi="Times New Roman" w:eastAsia="Times New Roman" w:cs="Times New Roman"/>
          <w:b/>
          <w:bCs/>
          <w:spacing w:val="-2"/>
          <w:sz w:val="24"/>
          <w:szCs w:val="24"/>
        </w:rPr>
        <w:t xml:space="preserve">6.1.3 </w:t>
      </w:r>
      <w:r>
        <w:rPr>
          <w:rFonts w:ascii="宋体" w:hAnsi="宋体" w:eastAsia="宋体" w:cs="宋体"/>
          <w:b/>
          <w:bCs/>
          <w:spacing w:val="-2"/>
          <w:sz w:val="24"/>
          <w:szCs w:val="24"/>
        </w:rPr>
        <w:t>气候条件</w:t>
      </w:r>
    </w:p>
    <w:p w14:paraId="3AF4CD0A">
      <w:pPr>
        <w:spacing w:before="177" w:line="361" w:lineRule="auto"/>
        <w:ind w:left="22" w:right="82" w:firstLine="484"/>
        <w:jc w:val="both"/>
        <w:rPr>
          <w:rFonts w:ascii="宋体" w:hAnsi="宋体" w:eastAsia="宋体" w:cs="宋体"/>
          <w:sz w:val="24"/>
          <w:szCs w:val="24"/>
        </w:rPr>
      </w:pPr>
      <w:r>
        <w:rPr>
          <w:rFonts w:ascii="宋体" w:hAnsi="宋体" w:eastAsia="宋体" w:cs="宋体"/>
          <w:spacing w:val="-5"/>
          <w:sz w:val="24"/>
          <w:szCs w:val="24"/>
        </w:rPr>
        <w:t>西乌旗地处内蒙古高原中部中纬度西风气流带内，</w:t>
      </w:r>
      <w:r>
        <w:rPr>
          <w:rFonts w:ascii="宋体" w:hAnsi="宋体" w:eastAsia="宋体" w:cs="宋体"/>
          <w:spacing w:val="-6"/>
          <w:sz w:val="24"/>
          <w:szCs w:val="24"/>
        </w:rPr>
        <w:t>属于温带大陆性气候区。</w:t>
      </w:r>
      <w:r>
        <w:rPr>
          <w:rFonts w:ascii="宋体" w:hAnsi="宋体" w:eastAsia="宋体" w:cs="宋体"/>
          <w:sz w:val="24"/>
          <w:szCs w:val="24"/>
        </w:rPr>
        <w:t xml:space="preserve"> 其气候特征主要表现为：冬季寒冷而漫长，春季气</w:t>
      </w:r>
      <w:r>
        <w:rPr>
          <w:rFonts w:ascii="宋体" w:hAnsi="宋体" w:eastAsia="宋体" w:cs="宋体"/>
          <w:spacing w:val="-1"/>
          <w:sz w:val="24"/>
          <w:szCs w:val="24"/>
        </w:rPr>
        <w:t>候干燥、风沙较多，夏季炎</w:t>
      </w:r>
      <w:r>
        <w:rPr>
          <w:rFonts w:ascii="宋体" w:hAnsi="宋体" w:eastAsia="宋体" w:cs="宋体"/>
          <w:sz w:val="24"/>
          <w:szCs w:val="24"/>
        </w:rPr>
        <w:t xml:space="preserve"> 热而短暂，秋季秋高气爽、气候宜人。西乌旗气象</w:t>
      </w:r>
      <w:r>
        <w:rPr>
          <w:rFonts w:ascii="宋体" w:hAnsi="宋体" w:eastAsia="宋体" w:cs="宋体"/>
          <w:spacing w:val="-1"/>
          <w:sz w:val="24"/>
          <w:szCs w:val="24"/>
        </w:rPr>
        <w:t>局地处锡林郭勒盟西乌珠穆</w:t>
      </w:r>
      <w:r>
        <w:rPr>
          <w:rFonts w:ascii="宋体" w:hAnsi="宋体" w:eastAsia="宋体" w:cs="宋体"/>
          <w:sz w:val="24"/>
          <w:szCs w:val="24"/>
        </w:rPr>
        <w:t xml:space="preserve"> </w:t>
      </w:r>
      <w:r>
        <w:rPr>
          <w:rFonts w:ascii="宋体" w:hAnsi="宋体" w:eastAsia="宋体" w:cs="宋体"/>
          <w:spacing w:val="-3"/>
          <w:sz w:val="24"/>
          <w:szCs w:val="24"/>
        </w:rPr>
        <w:t>沁旗白音乌拉浩特草原，地理坐标为北纬44º35</w:t>
      </w:r>
      <w:r>
        <w:rPr>
          <w:rFonts w:ascii="宋体" w:hAnsi="宋体" w:eastAsia="宋体" w:cs="宋体"/>
          <w:spacing w:val="-77"/>
          <w:sz w:val="24"/>
          <w:szCs w:val="24"/>
        </w:rPr>
        <w:t xml:space="preserve"> </w:t>
      </w:r>
      <w:r>
        <w:rPr>
          <w:rFonts w:ascii="宋体" w:hAnsi="宋体" w:eastAsia="宋体" w:cs="宋体"/>
          <w:spacing w:val="-3"/>
          <w:sz w:val="24"/>
          <w:szCs w:val="24"/>
        </w:rPr>
        <w:t>′</w:t>
      </w:r>
      <w:r>
        <w:rPr>
          <w:rFonts w:ascii="宋体" w:hAnsi="宋体" w:eastAsia="宋体" w:cs="宋体"/>
          <w:spacing w:val="-91"/>
          <w:sz w:val="24"/>
          <w:szCs w:val="24"/>
        </w:rPr>
        <w:t xml:space="preserve"> </w:t>
      </w:r>
      <w:r>
        <w:rPr>
          <w:rFonts w:ascii="宋体" w:hAnsi="宋体" w:eastAsia="宋体" w:cs="宋体"/>
          <w:spacing w:val="-3"/>
          <w:sz w:val="24"/>
          <w:szCs w:val="24"/>
        </w:rPr>
        <w:t>，东经</w:t>
      </w:r>
      <w:r>
        <w:rPr>
          <w:rFonts w:ascii="宋体" w:hAnsi="宋体" w:eastAsia="宋体" w:cs="宋体"/>
          <w:spacing w:val="-33"/>
          <w:sz w:val="24"/>
          <w:szCs w:val="24"/>
        </w:rPr>
        <w:t xml:space="preserve"> </w:t>
      </w:r>
      <w:r>
        <w:rPr>
          <w:rFonts w:ascii="宋体" w:hAnsi="宋体" w:eastAsia="宋体" w:cs="宋体"/>
          <w:spacing w:val="-3"/>
          <w:sz w:val="24"/>
          <w:szCs w:val="24"/>
        </w:rPr>
        <w:t>117º36</w:t>
      </w:r>
      <w:r>
        <w:rPr>
          <w:rFonts w:ascii="宋体" w:hAnsi="宋体" w:eastAsia="宋体" w:cs="宋体"/>
          <w:spacing w:val="-77"/>
          <w:sz w:val="24"/>
          <w:szCs w:val="24"/>
        </w:rPr>
        <w:t xml:space="preserve"> </w:t>
      </w:r>
      <w:r>
        <w:rPr>
          <w:rFonts w:ascii="宋体" w:hAnsi="宋体" w:eastAsia="宋体" w:cs="宋体"/>
          <w:spacing w:val="-4"/>
          <w:sz w:val="24"/>
          <w:szCs w:val="24"/>
        </w:rPr>
        <w:t>′</w:t>
      </w:r>
      <w:r>
        <w:rPr>
          <w:rFonts w:ascii="宋体" w:hAnsi="宋体" w:eastAsia="宋体" w:cs="宋体"/>
          <w:spacing w:val="-91"/>
          <w:sz w:val="24"/>
          <w:szCs w:val="24"/>
        </w:rPr>
        <w:t xml:space="preserve"> </w:t>
      </w:r>
      <w:r>
        <w:rPr>
          <w:rFonts w:ascii="宋体" w:hAnsi="宋体" w:eastAsia="宋体" w:cs="宋体"/>
          <w:spacing w:val="-4"/>
          <w:sz w:val="24"/>
          <w:szCs w:val="24"/>
        </w:rPr>
        <w:t>，拔海高度</w:t>
      </w:r>
      <w:r>
        <w:rPr>
          <w:rFonts w:ascii="宋体" w:hAnsi="宋体" w:eastAsia="宋体" w:cs="宋体"/>
          <w:sz w:val="24"/>
          <w:szCs w:val="24"/>
        </w:rPr>
        <w:t xml:space="preserve"> </w:t>
      </w:r>
      <w:r>
        <w:rPr>
          <w:rFonts w:ascii="宋体" w:hAnsi="宋体" w:eastAsia="宋体" w:cs="宋体"/>
          <w:spacing w:val="-7"/>
          <w:sz w:val="24"/>
          <w:szCs w:val="24"/>
        </w:rPr>
        <w:t>995.9m。据西乌旗气象局气象资料统计，年平均气温该地区年平均气</w:t>
      </w:r>
      <w:r>
        <w:rPr>
          <w:rFonts w:ascii="宋体" w:hAnsi="宋体" w:eastAsia="宋体" w:cs="宋体"/>
          <w:spacing w:val="-8"/>
          <w:sz w:val="24"/>
          <w:szCs w:val="24"/>
        </w:rPr>
        <w:t>温为</w:t>
      </w:r>
      <w:r>
        <w:rPr>
          <w:rFonts w:ascii="宋体" w:hAnsi="宋体" w:eastAsia="宋体" w:cs="宋体"/>
          <w:spacing w:val="-47"/>
          <w:sz w:val="24"/>
          <w:szCs w:val="24"/>
        </w:rPr>
        <w:t xml:space="preserve"> </w:t>
      </w:r>
      <w:r>
        <w:rPr>
          <w:rFonts w:ascii="宋体" w:hAnsi="宋体" w:eastAsia="宋体" w:cs="宋体"/>
          <w:spacing w:val="-8"/>
          <w:sz w:val="24"/>
          <w:szCs w:val="24"/>
        </w:rPr>
        <w:t>2.6℃</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年平均气压为</w:t>
      </w:r>
      <w:r>
        <w:rPr>
          <w:rFonts w:ascii="宋体" w:hAnsi="宋体" w:eastAsia="宋体" w:cs="宋体"/>
          <w:spacing w:val="-43"/>
          <w:sz w:val="24"/>
          <w:szCs w:val="24"/>
        </w:rPr>
        <w:t xml:space="preserve"> </w:t>
      </w:r>
      <w:r>
        <w:rPr>
          <w:rFonts w:ascii="宋体" w:hAnsi="宋体" w:eastAsia="宋体" w:cs="宋体"/>
          <w:sz w:val="24"/>
          <w:szCs w:val="24"/>
        </w:rPr>
        <w:t>900.9hPa，年平均相对湿度为</w:t>
      </w:r>
      <w:r>
        <w:rPr>
          <w:rFonts w:ascii="宋体" w:hAnsi="宋体" w:eastAsia="宋体" w:cs="宋体"/>
          <w:spacing w:val="-44"/>
          <w:sz w:val="24"/>
          <w:szCs w:val="24"/>
        </w:rPr>
        <w:t xml:space="preserve"> </w:t>
      </w:r>
      <w:r>
        <w:rPr>
          <w:rFonts w:ascii="宋体" w:hAnsi="宋体" w:eastAsia="宋体" w:cs="宋体"/>
          <w:sz w:val="24"/>
          <w:szCs w:val="24"/>
        </w:rPr>
        <w:t>59%；年降水量为</w:t>
      </w:r>
      <w:r>
        <w:rPr>
          <w:rFonts w:ascii="宋体" w:hAnsi="宋体" w:eastAsia="宋体" w:cs="宋体"/>
          <w:spacing w:val="-45"/>
          <w:sz w:val="24"/>
          <w:szCs w:val="24"/>
        </w:rPr>
        <w:t xml:space="preserve"> </w:t>
      </w:r>
      <w:r>
        <w:rPr>
          <w:rFonts w:ascii="宋体" w:hAnsi="宋体" w:eastAsia="宋体" w:cs="宋体"/>
          <w:sz w:val="24"/>
          <w:szCs w:val="24"/>
        </w:rPr>
        <w:t xml:space="preserve">259.5mm，降水 </w:t>
      </w:r>
      <w:r>
        <w:rPr>
          <w:rFonts w:ascii="宋体" w:hAnsi="宋体" w:eastAsia="宋体" w:cs="宋体"/>
          <w:spacing w:val="-5"/>
          <w:sz w:val="24"/>
          <w:szCs w:val="24"/>
        </w:rPr>
        <w:t>主要集中在</w:t>
      </w:r>
      <w:r>
        <w:rPr>
          <w:rFonts w:ascii="宋体" w:hAnsi="宋体" w:eastAsia="宋体" w:cs="宋体"/>
          <w:spacing w:val="-36"/>
          <w:sz w:val="24"/>
          <w:szCs w:val="24"/>
        </w:rPr>
        <w:t xml:space="preserve"> </w:t>
      </w:r>
      <w:r>
        <w:rPr>
          <w:rFonts w:ascii="宋体" w:hAnsi="宋体" w:eastAsia="宋体" w:cs="宋体"/>
          <w:spacing w:val="-5"/>
          <w:sz w:val="24"/>
          <w:szCs w:val="24"/>
        </w:rPr>
        <w:t>5~8</w:t>
      </w:r>
      <w:r>
        <w:rPr>
          <w:rFonts w:ascii="宋体" w:hAnsi="宋体" w:eastAsia="宋体" w:cs="宋体"/>
          <w:spacing w:val="-45"/>
          <w:sz w:val="24"/>
          <w:szCs w:val="24"/>
        </w:rPr>
        <w:t xml:space="preserve"> </w:t>
      </w:r>
      <w:r>
        <w:rPr>
          <w:rFonts w:ascii="宋体" w:hAnsi="宋体" w:eastAsia="宋体" w:cs="宋体"/>
          <w:spacing w:val="-5"/>
          <w:sz w:val="24"/>
          <w:szCs w:val="24"/>
        </w:rPr>
        <w:t>月份；年蒸发量为</w:t>
      </w:r>
      <w:r>
        <w:rPr>
          <w:rFonts w:ascii="宋体" w:hAnsi="宋体" w:eastAsia="宋体" w:cs="宋体"/>
          <w:spacing w:val="-33"/>
          <w:sz w:val="24"/>
          <w:szCs w:val="24"/>
        </w:rPr>
        <w:t xml:space="preserve"> </w:t>
      </w:r>
      <w:r>
        <w:rPr>
          <w:rFonts w:ascii="宋体" w:hAnsi="宋体" w:eastAsia="宋体" w:cs="宋体"/>
          <w:spacing w:val="-5"/>
          <w:sz w:val="24"/>
          <w:szCs w:val="24"/>
        </w:rPr>
        <w:t>1750.2mm。该地区年平均风速为</w:t>
      </w:r>
      <w:r>
        <w:rPr>
          <w:rFonts w:ascii="宋体" w:hAnsi="宋体" w:eastAsia="宋体" w:cs="宋体"/>
          <w:spacing w:val="-48"/>
          <w:sz w:val="24"/>
          <w:szCs w:val="24"/>
        </w:rPr>
        <w:t xml:space="preserve"> </w:t>
      </w:r>
      <w:r>
        <w:rPr>
          <w:rFonts w:ascii="宋体" w:hAnsi="宋体" w:eastAsia="宋体" w:cs="宋体"/>
          <w:spacing w:val="-5"/>
          <w:sz w:val="24"/>
          <w:szCs w:val="24"/>
        </w:rPr>
        <w:t>2.3m/s，全</w:t>
      </w:r>
      <w:r>
        <w:rPr>
          <w:rFonts w:ascii="宋体" w:hAnsi="宋体" w:eastAsia="宋体" w:cs="宋体"/>
          <w:sz w:val="24"/>
          <w:szCs w:val="24"/>
        </w:rPr>
        <w:t xml:space="preserve"> </w:t>
      </w:r>
      <w:r>
        <w:rPr>
          <w:rFonts w:ascii="宋体" w:hAnsi="宋体" w:eastAsia="宋体" w:cs="宋体"/>
          <w:spacing w:val="-3"/>
          <w:sz w:val="24"/>
          <w:szCs w:val="24"/>
        </w:rPr>
        <w:t>年以春季风速最大；全年静风频率为</w:t>
      </w:r>
      <w:r>
        <w:rPr>
          <w:rFonts w:ascii="宋体" w:hAnsi="宋体" w:eastAsia="宋体" w:cs="宋体"/>
          <w:spacing w:val="-30"/>
          <w:sz w:val="24"/>
          <w:szCs w:val="24"/>
        </w:rPr>
        <w:t xml:space="preserve"> </w:t>
      </w:r>
      <w:r>
        <w:rPr>
          <w:rFonts w:ascii="宋体" w:hAnsi="宋体" w:eastAsia="宋体" w:cs="宋体"/>
          <w:spacing w:val="-3"/>
          <w:sz w:val="24"/>
          <w:szCs w:val="24"/>
        </w:rPr>
        <w:t>28.4%。该地区年主导风向为</w:t>
      </w:r>
      <w:r>
        <w:rPr>
          <w:rFonts w:ascii="宋体" w:hAnsi="宋体" w:eastAsia="宋体" w:cs="宋体"/>
          <w:spacing w:val="-58"/>
          <w:sz w:val="24"/>
          <w:szCs w:val="24"/>
        </w:rPr>
        <w:t xml:space="preserve"> </w:t>
      </w:r>
      <w:r>
        <w:rPr>
          <w:rFonts w:ascii="宋体" w:hAnsi="宋体" w:eastAsia="宋体" w:cs="宋体"/>
          <w:spacing w:val="-3"/>
          <w:sz w:val="24"/>
          <w:szCs w:val="24"/>
        </w:rPr>
        <w:t>WSW</w:t>
      </w:r>
      <w:r>
        <w:rPr>
          <w:rFonts w:ascii="宋体" w:hAnsi="宋体" w:eastAsia="宋体" w:cs="宋体"/>
          <w:spacing w:val="-50"/>
          <w:sz w:val="24"/>
          <w:szCs w:val="24"/>
        </w:rPr>
        <w:t xml:space="preserve"> </w:t>
      </w:r>
      <w:r>
        <w:rPr>
          <w:rFonts w:ascii="宋体" w:hAnsi="宋体" w:eastAsia="宋体" w:cs="宋体"/>
          <w:spacing w:val="-3"/>
          <w:sz w:val="24"/>
          <w:szCs w:val="24"/>
        </w:rPr>
        <w:t>风,其出</w:t>
      </w:r>
      <w:r>
        <w:rPr>
          <w:rFonts w:ascii="宋体" w:hAnsi="宋体" w:eastAsia="宋体" w:cs="宋体"/>
          <w:sz w:val="24"/>
          <w:szCs w:val="24"/>
        </w:rPr>
        <w:t xml:space="preserve"> 现频率为</w:t>
      </w:r>
      <w:r>
        <w:rPr>
          <w:rFonts w:ascii="宋体" w:hAnsi="宋体" w:eastAsia="宋体" w:cs="宋体"/>
          <w:spacing w:val="-14"/>
          <w:sz w:val="24"/>
          <w:szCs w:val="24"/>
        </w:rPr>
        <w:t xml:space="preserve"> </w:t>
      </w:r>
      <w:r>
        <w:rPr>
          <w:rFonts w:ascii="宋体" w:hAnsi="宋体" w:eastAsia="宋体" w:cs="宋体"/>
          <w:sz w:val="24"/>
          <w:szCs w:val="24"/>
        </w:rPr>
        <w:t xml:space="preserve">12.5%。西乌旗主要自然灾害是干旱、大风和冬季无积雪或积雪过深 </w:t>
      </w:r>
      <w:r>
        <w:rPr>
          <w:rFonts w:ascii="宋体" w:hAnsi="宋体" w:eastAsia="宋体" w:cs="宋体"/>
          <w:spacing w:val="-2"/>
          <w:sz w:val="24"/>
          <w:szCs w:val="24"/>
        </w:rPr>
        <w:t>形成的黑灾、白灾。</w:t>
      </w:r>
    </w:p>
    <w:p w14:paraId="67079131">
      <w:pPr>
        <w:spacing w:line="361" w:lineRule="auto"/>
        <w:rPr>
          <w:rFonts w:ascii="宋体" w:hAnsi="宋体" w:eastAsia="宋体" w:cs="宋体"/>
          <w:sz w:val="24"/>
          <w:szCs w:val="24"/>
        </w:rPr>
        <w:sectPr>
          <w:headerReference r:id="rId159" w:type="default"/>
          <w:footerReference r:id="rId160" w:type="default"/>
          <w:pgSz w:w="11906" w:h="16839"/>
          <w:pgMar w:top="1208" w:right="1785" w:bottom="1358" w:left="1785" w:header="825" w:footer="1195" w:gutter="0"/>
          <w:cols w:space="720" w:num="1"/>
        </w:sectPr>
      </w:pPr>
    </w:p>
    <w:p w14:paraId="54C5F4E2">
      <w:pPr>
        <w:pStyle w:val="2"/>
        <w:spacing w:line="265" w:lineRule="auto"/>
      </w:pPr>
    </w:p>
    <w:p w14:paraId="4FF60BB1">
      <w:pPr>
        <w:spacing w:before="78" w:line="360" w:lineRule="auto"/>
        <w:ind w:left="20" w:right="162" w:firstLine="484"/>
        <w:jc w:val="both"/>
        <w:rPr>
          <w:rFonts w:ascii="宋体" w:hAnsi="宋体" w:eastAsia="宋体" w:cs="宋体"/>
          <w:sz w:val="24"/>
          <w:szCs w:val="24"/>
        </w:rPr>
      </w:pPr>
      <w:r>
        <w:rPr>
          <w:rFonts w:ascii="宋体" w:hAnsi="宋体" w:eastAsia="宋体" w:cs="宋体"/>
          <w:spacing w:val="-1"/>
          <w:sz w:val="24"/>
          <w:szCs w:val="24"/>
        </w:rPr>
        <w:t>项目区地处我国北方温带半干旱草原地带，呈明显的大陆性气候，平均气</w:t>
      </w:r>
      <w:r>
        <w:rPr>
          <w:rFonts w:ascii="宋体" w:hAnsi="宋体" w:eastAsia="宋体" w:cs="宋体"/>
          <w:spacing w:val="17"/>
          <w:sz w:val="24"/>
          <w:szCs w:val="24"/>
        </w:rPr>
        <w:t xml:space="preserve"> </w:t>
      </w:r>
      <w:r>
        <w:rPr>
          <w:rFonts w:ascii="宋体" w:hAnsi="宋体" w:eastAsia="宋体" w:cs="宋体"/>
          <w:spacing w:val="-7"/>
          <w:sz w:val="24"/>
          <w:szCs w:val="24"/>
        </w:rPr>
        <w:t>温为零下</w:t>
      </w:r>
      <w:r>
        <w:rPr>
          <w:rFonts w:ascii="宋体" w:hAnsi="宋体" w:eastAsia="宋体" w:cs="宋体"/>
          <w:spacing w:val="-48"/>
          <w:sz w:val="24"/>
          <w:szCs w:val="24"/>
        </w:rPr>
        <w:t xml:space="preserve"> </w:t>
      </w:r>
      <w:r>
        <w:rPr>
          <w:rFonts w:ascii="宋体" w:hAnsi="宋体" w:eastAsia="宋体" w:cs="宋体"/>
          <w:spacing w:val="-7"/>
          <w:sz w:val="24"/>
          <w:szCs w:val="24"/>
        </w:rPr>
        <w:t>0.2℃</w:t>
      </w:r>
      <w:r>
        <w:rPr>
          <w:rFonts w:ascii="宋体" w:hAnsi="宋体" w:eastAsia="宋体" w:cs="宋体"/>
          <w:spacing w:val="-91"/>
          <w:sz w:val="24"/>
          <w:szCs w:val="24"/>
        </w:rPr>
        <w:t xml:space="preserve"> </w:t>
      </w:r>
      <w:r>
        <w:rPr>
          <w:rFonts w:ascii="宋体" w:hAnsi="宋体" w:eastAsia="宋体" w:cs="宋体"/>
          <w:spacing w:val="-7"/>
          <w:sz w:val="24"/>
          <w:szCs w:val="24"/>
        </w:rPr>
        <w:t>,</w:t>
      </w:r>
      <w:r>
        <w:rPr>
          <w:rFonts w:ascii="宋体" w:hAnsi="宋体" w:eastAsia="宋体" w:cs="宋体"/>
          <w:spacing w:val="66"/>
          <w:sz w:val="24"/>
          <w:szCs w:val="24"/>
        </w:rPr>
        <w:t xml:space="preserve"> </w:t>
      </w:r>
      <w:r>
        <w:rPr>
          <w:rFonts w:ascii="宋体" w:hAnsi="宋体" w:eastAsia="宋体" w:cs="宋体"/>
          <w:spacing w:val="-7"/>
          <w:sz w:val="24"/>
          <w:szCs w:val="24"/>
        </w:rPr>
        <w:t>一月最冷平均零下</w:t>
      </w:r>
      <w:r>
        <w:rPr>
          <w:rFonts w:ascii="宋体" w:hAnsi="宋体" w:eastAsia="宋体" w:cs="宋体"/>
          <w:spacing w:val="-48"/>
          <w:sz w:val="24"/>
          <w:szCs w:val="24"/>
        </w:rPr>
        <w:t xml:space="preserve"> </w:t>
      </w:r>
      <w:r>
        <w:rPr>
          <w:rFonts w:ascii="宋体" w:hAnsi="宋体" w:eastAsia="宋体" w:cs="宋体"/>
          <w:spacing w:val="-7"/>
          <w:sz w:val="24"/>
          <w:szCs w:val="24"/>
        </w:rPr>
        <w:t>21.8℃</w:t>
      </w:r>
      <w:r>
        <w:rPr>
          <w:rFonts w:ascii="宋体" w:hAnsi="宋体" w:eastAsia="宋体" w:cs="宋体"/>
          <w:spacing w:val="-90"/>
          <w:sz w:val="24"/>
          <w:szCs w:val="24"/>
        </w:rPr>
        <w:t xml:space="preserve"> </w:t>
      </w:r>
      <w:r>
        <w:rPr>
          <w:rFonts w:ascii="宋体" w:hAnsi="宋体" w:eastAsia="宋体" w:cs="宋体"/>
          <w:spacing w:val="-7"/>
          <w:sz w:val="24"/>
          <w:szCs w:val="24"/>
        </w:rPr>
        <w:t>,</w:t>
      </w:r>
      <w:r>
        <w:rPr>
          <w:rFonts w:ascii="宋体" w:hAnsi="宋体" w:eastAsia="宋体" w:cs="宋体"/>
          <w:spacing w:val="65"/>
          <w:sz w:val="24"/>
          <w:szCs w:val="24"/>
        </w:rPr>
        <w:t xml:space="preserve"> </w:t>
      </w:r>
      <w:r>
        <w:rPr>
          <w:rFonts w:ascii="宋体" w:hAnsi="宋体" w:eastAsia="宋体" w:cs="宋体"/>
          <w:spacing w:val="-7"/>
          <w:sz w:val="24"/>
          <w:szCs w:val="24"/>
        </w:rPr>
        <w:t>极端最低为零下47.5℃</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pacing w:val="69"/>
          <w:sz w:val="24"/>
          <w:szCs w:val="24"/>
        </w:rPr>
        <w:t xml:space="preserve"> </w:t>
      </w:r>
      <w:r>
        <w:rPr>
          <w:rFonts w:ascii="宋体" w:hAnsi="宋体" w:eastAsia="宋体" w:cs="宋体"/>
          <w:spacing w:val="-8"/>
          <w:sz w:val="24"/>
          <w:szCs w:val="24"/>
        </w:rPr>
        <w:t>7</w:t>
      </w:r>
      <w:r>
        <w:rPr>
          <w:rFonts w:ascii="宋体" w:hAnsi="宋体" w:eastAsia="宋体" w:cs="宋体"/>
          <w:spacing w:val="-45"/>
          <w:sz w:val="24"/>
          <w:szCs w:val="24"/>
        </w:rPr>
        <w:t xml:space="preserve"> </w:t>
      </w:r>
      <w:r>
        <w:rPr>
          <w:rFonts w:ascii="宋体" w:hAnsi="宋体" w:eastAsia="宋体" w:cs="宋体"/>
          <w:spacing w:val="-8"/>
          <w:sz w:val="24"/>
          <w:szCs w:val="24"/>
        </w:rPr>
        <w:t>月最</w:t>
      </w:r>
      <w:r>
        <w:rPr>
          <w:rFonts w:ascii="宋体" w:hAnsi="宋体" w:eastAsia="宋体" w:cs="宋体"/>
          <w:sz w:val="24"/>
          <w:szCs w:val="24"/>
        </w:rPr>
        <w:t xml:space="preserve"> </w:t>
      </w:r>
      <w:r>
        <w:rPr>
          <w:rFonts w:ascii="宋体" w:hAnsi="宋体" w:eastAsia="宋体" w:cs="宋体"/>
          <w:spacing w:val="-8"/>
          <w:sz w:val="24"/>
          <w:szCs w:val="24"/>
        </w:rPr>
        <w:t>暖，平均在零上</w:t>
      </w:r>
      <w:r>
        <w:rPr>
          <w:rFonts w:ascii="宋体" w:hAnsi="宋体" w:eastAsia="宋体" w:cs="宋体"/>
          <w:spacing w:val="-33"/>
          <w:sz w:val="24"/>
          <w:szCs w:val="24"/>
        </w:rPr>
        <w:t xml:space="preserve"> </w:t>
      </w:r>
      <w:r>
        <w:rPr>
          <w:rFonts w:ascii="宋体" w:hAnsi="宋体" w:eastAsia="宋体" w:cs="宋体"/>
          <w:spacing w:val="-8"/>
          <w:sz w:val="24"/>
          <w:szCs w:val="24"/>
        </w:rPr>
        <w:t>18.2℃</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pacing w:val="37"/>
          <w:sz w:val="24"/>
          <w:szCs w:val="24"/>
        </w:rPr>
        <w:t xml:space="preserve"> </w:t>
      </w:r>
      <w:r>
        <w:rPr>
          <w:rFonts w:ascii="宋体" w:hAnsi="宋体" w:eastAsia="宋体" w:cs="宋体"/>
          <w:spacing w:val="-8"/>
          <w:sz w:val="24"/>
          <w:szCs w:val="24"/>
        </w:rPr>
        <w:t>极端最高</w:t>
      </w:r>
      <w:r>
        <w:rPr>
          <w:rFonts w:ascii="宋体" w:hAnsi="宋体" w:eastAsia="宋体" w:cs="宋体"/>
          <w:spacing w:val="-46"/>
          <w:sz w:val="24"/>
          <w:szCs w:val="24"/>
        </w:rPr>
        <w:t xml:space="preserve"> </w:t>
      </w:r>
      <w:r>
        <w:rPr>
          <w:rFonts w:ascii="宋体" w:hAnsi="宋体" w:eastAsia="宋体" w:cs="宋体"/>
          <w:spacing w:val="-8"/>
          <w:sz w:val="24"/>
          <w:szCs w:val="24"/>
        </w:rPr>
        <w:t>32.8℃</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pacing w:val="38"/>
          <w:sz w:val="24"/>
          <w:szCs w:val="24"/>
        </w:rPr>
        <w:t xml:space="preserve"> </w:t>
      </w:r>
      <w:r>
        <w:rPr>
          <w:rFonts w:ascii="宋体" w:hAnsi="宋体" w:eastAsia="宋体" w:cs="宋体"/>
          <w:spacing w:val="-8"/>
          <w:sz w:val="24"/>
          <w:szCs w:val="24"/>
        </w:rPr>
        <w:t>冬</w:t>
      </w:r>
      <w:r>
        <w:rPr>
          <w:rFonts w:ascii="宋体" w:hAnsi="宋体" w:eastAsia="宋体" w:cs="宋体"/>
          <w:spacing w:val="-9"/>
          <w:sz w:val="24"/>
          <w:szCs w:val="24"/>
        </w:rPr>
        <w:t>季严寒长达</w:t>
      </w:r>
      <w:r>
        <w:rPr>
          <w:rFonts w:ascii="宋体" w:hAnsi="宋体" w:eastAsia="宋体" w:cs="宋体"/>
          <w:spacing w:val="-46"/>
          <w:sz w:val="24"/>
          <w:szCs w:val="24"/>
        </w:rPr>
        <w:t xml:space="preserve"> </w:t>
      </w:r>
      <w:r>
        <w:rPr>
          <w:rFonts w:ascii="宋体" w:hAnsi="宋体" w:eastAsia="宋体" w:cs="宋体"/>
          <w:spacing w:val="-9"/>
          <w:sz w:val="24"/>
          <w:szCs w:val="24"/>
        </w:rPr>
        <w:t>5-6</w:t>
      </w:r>
      <w:r>
        <w:rPr>
          <w:rFonts w:ascii="宋体" w:hAnsi="宋体" w:eastAsia="宋体" w:cs="宋体"/>
          <w:spacing w:val="-51"/>
          <w:sz w:val="24"/>
          <w:szCs w:val="24"/>
        </w:rPr>
        <w:t xml:space="preserve"> </w:t>
      </w:r>
      <w:r>
        <w:rPr>
          <w:rFonts w:ascii="宋体" w:hAnsi="宋体" w:eastAsia="宋体" w:cs="宋体"/>
          <w:spacing w:val="-9"/>
          <w:sz w:val="24"/>
          <w:szCs w:val="24"/>
        </w:rPr>
        <w:t>个月。日均温小</w:t>
      </w:r>
      <w:r>
        <w:rPr>
          <w:rFonts w:ascii="宋体" w:hAnsi="宋体" w:eastAsia="宋体" w:cs="宋体"/>
          <w:sz w:val="24"/>
          <w:szCs w:val="24"/>
        </w:rPr>
        <w:t xml:space="preserve"> </w:t>
      </w:r>
      <w:r>
        <w:rPr>
          <w:rFonts w:ascii="宋体" w:hAnsi="宋体" w:eastAsia="宋体" w:cs="宋体"/>
          <w:spacing w:val="10"/>
          <w:sz w:val="24"/>
          <w:szCs w:val="24"/>
        </w:rPr>
        <w:t>于等于 10℃</w:t>
      </w:r>
      <w:r>
        <w:rPr>
          <w:rFonts w:ascii="宋体" w:hAnsi="宋体" w:eastAsia="宋体" w:cs="宋体"/>
          <w:spacing w:val="-62"/>
          <w:sz w:val="24"/>
          <w:szCs w:val="24"/>
        </w:rPr>
        <w:t xml:space="preserve"> </w:t>
      </w:r>
      <w:r>
        <w:rPr>
          <w:rFonts w:ascii="宋体" w:hAnsi="宋体" w:eastAsia="宋体" w:cs="宋体"/>
          <w:spacing w:val="10"/>
          <w:sz w:val="24"/>
          <w:szCs w:val="24"/>
        </w:rPr>
        <w:t>的年负积温达零下</w:t>
      </w:r>
      <w:r>
        <w:rPr>
          <w:rFonts w:ascii="宋体" w:hAnsi="宋体" w:eastAsia="宋体" w:cs="宋体"/>
          <w:spacing w:val="-19"/>
          <w:sz w:val="24"/>
          <w:szCs w:val="24"/>
        </w:rPr>
        <w:t xml:space="preserve"> </w:t>
      </w:r>
      <w:r>
        <w:rPr>
          <w:rFonts w:ascii="宋体" w:hAnsi="宋体" w:eastAsia="宋体" w:cs="宋体"/>
          <w:spacing w:val="10"/>
          <w:sz w:val="24"/>
          <w:szCs w:val="24"/>
        </w:rPr>
        <w:t>2000~2200℃</w:t>
      </w:r>
      <w:r>
        <w:rPr>
          <w:rFonts w:ascii="宋体" w:hAnsi="宋体" w:eastAsia="宋体" w:cs="宋体"/>
          <w:spacing w:val="-58"/>
          <w:sz w:val="24"/>
          <w:szCs w:val="24"/>
        </w:rPr>
        <w:t xml:space="preserve"> </w:t>
      </w:r>
      <w:r>
        <w:rPr>
          <w:rFonts w:ascii="宋体" w:hAnsi="宋体" w:eastAsia="宋体" w:cs="宋体"/>
          <w:spacing w:val="10"/>
          <w:sz w:val="24"/>
          <w:szCs w:val="24"/>
        </w:rPr>
        <w:t xml:space="preserve">。大于等于 </w:t>
      </w:r>
      <w:r>
        <w:rPr>
          <w:rFonts w:ascii="宋体" w:hAnsi="宋体" w:eastAsia="宋体" w:cs="宋体"/>
          <w:spacing w:val="9"/>
          <w:sz w:val="24"/>
          <w:szCs w:val="24"/>
        </w:rPr>
        <w:t>5</w:t>
      </w:r>
      <w:r>
        <w:rPr>
          <w:rFonts w:ascii="宋体" w:hAnsi="宋体" w:eastAsia="宋体" w:cs="宋体"/>
          <w:spacing w:val="-64"/>
          <w:sz w:val="24"/>
          <w:szCs w:val="24"/>
        </w:rPr>
        <w:t xml:space="preserve"> </w:t>
      </w:r>
      <w:r>
        <w:rPr>
          <w:rFonts w:ascii="宋体" w:hAnsi="宋体" w:eastAsia="宋体" w:cs="宋体"/>
          <w:spacing w:val="9"/>
          <w:sz w:val="24"/>
          <w:szCs w:val="24"/>
        </w:rPr>
        <w:t>℃</w:t>
      </w:r>
      <w:r>
        <w:rPr>
          <w:rFonts w:ascii="宋体" w:hAnsi="宋体" w:eastAsia="宋体" w:cs="宋体"/>
          <w:spacing w:val="-60"/>
          <w:sz w:val="24"/>
          <w:szCs w:val="24"/>
        </w:rPr>
        <w:t xml:space="preserve"> </w:t>
      </w:r>
      <w:r>
        <w:rPr>
          <w:rFonts w:ascii="宋体" w:hAnsi="宋体" w:eastAsia="宋体" w:cs="宋体"/>
          <w:spacing w:val="9"/>
          <w:sz w:val="24"/>
          <w:szCs w:val="24"/>
        </w:rPr>
        <w:t>的年积温约</w:t>
      </w:r>
      <w:r>
        <w:rPr>
          <w:rFonts w:ascii="宋体" w:hAnsi="宋体" w:eastAsia="宋体" w:cs="宋体"/>
          <w:sz w:val="24"/>
          <w:szCs w:val="24"/>
        </w:rPr>
        <w:t xml:space="preserve"> </w:t>
      </w:r>
      <w:r>
        <w:rPr>
          <w:rFonts w:ascii="宋体" w:hAnsi="宋体" w:eastAsia="宋体" w:cs="宋体"/>
          <w:spacing w:val="-5"/>
          <w:sz w:val="24"/>
          <w:szCs w:val="24"/>
        </w:rPr>
        <w:t>1900-2700℃</w:t>
      </w:r>
      <w:r>
        <w:rPr>
          <w:rFonts w:ascii="宋体" w:hAnsi="宋体" w:eastAsia="宋体" w:cs="宋体"/>
          <w:spacing w:val="-87"/>
          <w:sz w:val="24"/>
          <w:szCs w:val="24"/>
        </w:rPr>
        <w:t xml:space="preserve"> </w:t>
      </w:r>
      <w:r>
        <w:rPr>
          <w:rFonts w:ascii="宋体" w:hAnsi="宋体" w:eastAsia="宋体" w:cs="宋体"/>
          <w:spacing w:val="-5"/>
          <w:sz w:val="24"/>
          <w:szCs w:val="24"/>
        </w:rPr>
        <w:t>。平均无霜期</w:t>
      </w:r>
      <w:r>
        <w:rPr>
          <w:rFonts w:ascii="宋体" w:hAnsi="宋体" w:eastAsia="宋体" w:cs="宋体"/>
          <w:spacing w:val="-45"/>
          <w:sz w:val="24"/>
          <w:szCs w:val="24"/>
        </w:rPr>
        <w:t xml:space="preserve"> </w:t>
      </w:r>
      <w:r>
        <w:rPr>
          <w:rFonts w:ascii="宋体" w:hAnsi="宋体" w:eastAsia="宋体" w:cs="宋体"/>
          <w:spacing w:val="-5"/>
          <w:sz w:val="24"/>
          <w:szCs w:val="24"/>
        </w:rPr>
        <w:t>79d，早霜出现于</w:t>
      </w:r>
      <w:r>
        <w:rPr>
          <w:rFonts w:ascii="宋体" w:hAnsi="宋体" w:eastAsia="宋体" w:cs="宋体"/>
          <w:spacing w:val="-50"/>
          <w:sz w:val="24"/>
          <w:szCs w:val="24"/>
        </w:rPr>
        <w:t xml:space="preserve"> </w:t>
      </w:r>
      <w:r>
        <w:rPr>
          <w:rFonts w:ascii="宋体" w:hAnsi="宋体" w:eastAsia="宋体" w:cs="宋体"/>
          <w:spacing w:val="-5"/>
          <w:sz w:val="24"/>
          <w:szCs w:val="24"/>
        </w:rPr>
        <w:t>8</w:t>
      </w:r>
      <w:r>
        <w:rPr>
          <w:rFonts w:ascii="宋体" w:hAnsi="宋体" w:eastAsia="宋体" w:cs="宋体"/>
          <w:spacing w:val="-4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6"/>
          <w:sz w:val="24"/>
          <w:szCs w:val="24"/>
        </w:rPr>
        <w:t>6 日，晚霜平均终日</w:t>
      </w:r>
      <w:r>
        <w:rPr>
          <w:rFonts w:ascii="宋体" w:hAnsi="宋体" w:eastAsia="宋体" w:cs="宋体"/>
          <w:spacing w:val="-49"/>
          <w:sz w:val="24"/>
          <w:szCs w:val="24"/>
        </w:rPr>
        <w:t xml:space="preserve"> </w:t>
      </w:r>
      <w:r>
        <w:rPr>
          <w:rFonts w:ascii="宋体" w:hAnsi="宋体" w:eastAsia="宋体" w:cs="宋体"/>
          <w:spacing w:val="-6"/>
          <w:sz w:val="24"/>
          <w:szCs w:val="24"/>
        </w:rPr>
        <w:t>6</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33"/>
          <w:sz w:val="24"/>
          <w:szCs w:val="24"/>
        </w:rPr>
        <w:t xml:space="preserve"> </w:t>
      </w:r>
      <w:r>
        <w:rPr>
          <w:rFonts w:ascii="宋体" w:hAnsi="宋体" w:eastAsia="宋体" w:cs="宋体"/>
          <w:spacing w:val="-6"/>
          <w:sz w:val="24"/>
          <w:szCs w:val="24"/>
        </w:rPr>
        <w:t>18</w:t>
      </w:r>
      <w:r>
        <w:rPr>
          <w:rFonts w:ascii="宋体" w:hAnsi="宋体" w:eastAsia="宋体" w:cs="宋体"/>
          <w:sz w:val="24"/>
          <w:szCs w:val="24"/>
        </w:rPr>
        <w:t xml:space="preserve"> </w:t>
      </w:r>
      <w:r>
        <w:rPr>
          <w:rFonts w:ascii="宋体" w:hAnsi="宋体" w:eastAsia="宋体" w:cs="宋体"/>
          <w:spacing w:val="-4"/>
          <w:sz w:val="24"/>
          <w:szCs w:val="24"/>
        </w:rPr>
        <w:t>日，平均日照时数</w:t>
      </w:r>
      <w:r>
        <w:rPr>
          <w:rFonts w:ascii="宋体" w:hAnsi="宋体" w:eastAsia="宋体" w:cs="宋体"/>
          <w:spacing w:val="-40"/>
          <w:sz w:val="24"/>
          <w:szCs w:val="24"/>
        </w:rPr>
        <w:t xml:space="preserve"> </w:t>
      </w:r>
      <w:r>
        <w:rPr>
          <w:rFonts w:ascii="宋体" w:hAnsi="宋体" w:eastAsia="宋体" w:cs="宋体"/>
          <w:spacing w:val="-4"/>
          <w:sz w:val="24"/>
          <w:szCs w:val="24"/>
        </w:rPr>
        <w:t>2600h。年降水量</w:t>
      </w:r>
      <w:r>
        <w:rPr>
          <w:rFonts w:ascii="宋体" w:hAnsi="宋体" w:eastAsia="宋体" w:cs="宋体"/>
          <w:spacing w:val="-46"/>
          <w:sz w:val="24"/>
          <w:szCs w:val="24"/>
        </w:rPr>
        <w:t xml:space="preserve"> </w:t>
      </w:r>
      <w:r>
        <w:rPr>
          <w:rFonts w:ascii="宋体" w:hAnsi="宋体" w:eastAsia="宋体" w:cs="宋体"/>
          <w:spacing w:val="-4"/>
          <w:sz w:val="24"/>
          <w:szCs w:val="24"/>
        </w:rPr>
        <w:t>300~400mm，由东向西递减。年内分布不均</w:t>
      </w:r>
      <w:r>
        <w:rPr>
          <w:rFonts w:ascii="宋体" w:hAnsi="宋体" w:eastAsia="宋体" w:cs="宋体"/>
          <w:sz w:val="24"/>
          <w:szCs w:val="24"/>
        </w:rPr>
        <w:t xml:space="preserve"> </w:t>
      </w:r>
      <w:r>
        <w:rPr>
          <w:rFonts w:ascii="宋体" w:hAnsi="宋体" w:eastAsia="宋体" w:cs="宋体"/>
          <w:spacing w:val="-3"/>
          <w:sz w:val="24"/>
          <w:szCs w:val="24"/>
        </w:rPr>
        <w:t>匀，7-8</w:t>
      </w:r>
      <w:r>
        <w:rPr>
          <w:rFonts w:ascii="宋体" w:hAnsi="宋体" w:eastAsia="宋体" w:cs="宋体"/>
          <w:spacing w:val="-49"/>
          <w:sz w:val="24"/>
          <w:szCs w:val="24"/>
        </w:rPr>
        <w:t xml:space="preserve"> </w:t>
      </w:r>
      <w:r>
        <w:rPr>
          <w:rFonts w:ascii="宋体" w:hAnsi="宋体" w:eastAsia="宋体" w:cs="宋体"/>
          <w:spacing w:val="-3"/>
          <w:sz w:val="24"/>
          <w:szCs w:val="24"/>
        </w:rPr>
        <w:t>两月降水占全年总量的</w:t>
      </w:r>
      <w:r>
        <w:rPr>
          <w:rFonts w:ascii="宋体" w:hAnsi="宋体" w:eastAsia="宋体" w:cs="宋体"/>
          <w:spacing w:val="-46"/>
          <w:sz w:val="24"/>
          <w:szCs w:val="24"/>
        </w:rPr>
        <w:t xml:space="preserve"> </w:t>
      </w:r>
      <w:r>
        <w:rPr>
          <w:rFonts w:ascii="宋体" w:hAnsi="宋体" w:eastAsia="宋体" w:cs="宋体"/>
          <w:spacing w:val="-3"/>
          <w:sz w:val="24"/>
          <w:szCs w:val="24"/>
        </w:rPr>
        <w:t>52%，年变幅较大，旱年只有</w:t>
      </w:r>
      <w:r>
        <w:rPr>
          <w:rFonts w:ascii="宋体" w:hAnsi="宋体" w:eastAsia="宋体" w:cs="宋体"/>
          <w:spacing w:val="-33"/>
          <w:sz w:val="24"/>
          <w:szCs w:val="24"/>
        </w:rPr>
        <w:t xml:space="preserve"> </w:t>
      </w:r>
      <w:r>
        <w:rPr>
          <w:rFonts w:ascii="宋体" w:hAnsi="宋体" w:eastAsia="宋体" w:cs="宋体"/>
          <w:spacing w:val="-3"/>
          <w:sz w:val="24"/>
          <w:szCs w:val="24"/>
        </w:rPr>
        <w:t>150mm</w:t>
      </w:r>
      <w:r>
        <w:rPr>
          <w:rFonts w:ascii="宋体" w:hAnsi="宋体" w:eastAsia="宋体" w:cs="宋体"/>
          <w:spacing w:val="-4"/>
          <w:sz w:val="24"/>
          <w:szCs w:val="24"/>
        </w:rPr>
        <w:t>，丰雨年可</w:t>
      </w:r>
      <w:r>
        <w:rPr>
          <w:rFonts w:ascii="宋体" w:hAnsi="宋体" w:eastAsia="宋体" w:cs="宋体"/>
          <w:sz w:val="24"/>
          <w:szCs w:val="24"/>
        </w:rPr>
        <w:t xml:space="preserve"> </w:t>
      </w:r>
      <w:r>
        <w:rPr>
          <w:rFonts w:ascii="宋体" w:hAnsi="宋体" w:eastAsia="宋体" w:cs="宋体"/>
          <w:spacing w:val="-2"/>
          <w:sz w:val="24"/>
          <w:szCs w:val="24"/>
        </w:rPr>
        <w:t>近</w:t>
      </w:r>
      <w:r>
        <w:rPr>
          <w:rFonts w:ascii="宋体" w:hAnsi="宋体" w:eastAsia="宋体" w:cs="宋体"/>
          <w:spacing w:val="-52"/>
          <w:sz w:val="24"/>
          <w:szCs w:val="24"/>
        </w:rPr>
        <w:t xml:space="preserve"> </w:t>
      </w:r>
      <w:r>
        <w:rPr>
          <w:rFonts w:ascii="宋体" w:hAnsi="宋体" w:eastAsia="宋体" w:cs="宋体"/>
          <w:spacing w:val="-2"/>
          <w:sz w:val="24"/>
          <w:szCs w:val="24"/>
        </w:rPr>
        <w:t>400mm。年蒸发量</w:t>
      </w:r>
      <w:r>
        <w:rPr>
          <w:rFonts w:ascii="宋体" w:hAnsi="宋体" w:eastAsia="宋体" w:cs="宋体"/>
          <w:spacing w:val="-33"/>
          <w:sz w:val="24"/>
          <w:szCs w:val="24"/>
        </w:rPr>
        <w:t xml:space="preserve"> </w:t>
      </w:r>
      <w:r>
        <w:rPr>
          <w:rFonts w:ascii="宋体" w:hAnsi="宋体" w:eastAsia="宋体" w:cs="宋体"/>
          <w:spacing w:val="-2"/>
          <w:sz w:val="24"/>
          <w:szCs w:val="24"/>
        </w:rPr>
        <w:t>1694.7mm，大于降水量的</w:t>
      </w:r>
      <w:r>
        <w:rPr>
          <w:rFonts w:ascii="宋体" w:hAnsi="宋体" w:eastAsia="宋体" w:cs="宋体"/>
          <w:spacing w:val="-52"/>
          <w:sz w:val="24"/>
          <w:szCs w:val="24"/>
        </w:rPr>
        <w:t xml:space="preserve"> </w:t>
      </w:r>
      <w:r>
        <w:rPr>
          <w:rFonts w:ascii="宋体" w:hAnsi="宋体" w:eastAsia="宋体" w:cs="宋体"/>
          <w:spacing w:val="-2"/>
          <w:sz w:val="24"/>
          <w:szCs w:val="24"/>
        </w:rPr>
        <w:t>4～5</w:t>
      </w:r>
      <w:r>
        <w:rPr>
          <w:rFonts w:ascii="宋体" w:hAnsi="宋体" w:eastAsia="宋体" w:cs="宋体"/>
          <w:spacing w:val="-51"/>
          <w:sz w:val="24"/>
          <w:szCs w:val="24"/>
        </w:rPr>
        <w:t xml:space="preserve"> </w:t>
      </w:r>
      <w:r>
        <w:rPr>
          <w:rFonts w:ascii="宋体" w:hAnsi="宋体" w:eastAsia="宋体" w:cs="宋体"/>
          <w:spacing w:val="-2"/>
          <w:sz w:val="24"/>
          <w:szCs w:val="24"/>
        </w:rPr>
        <w:t>倍。</w:t>
      </w:r>
    </w:p>
    <w:p w14:paraId="5E8957FC">
      <w:pPr>
        <w:spacing w:line="220" w:lineRule="auto"/>
        <w:ind w:left="500"/>
        <w:outlineLvl w:val="2"/>
        <w:rPr>
          <w:rFonts w:ascii="宋体" w:hAnsi="宋体" w:eastAsia="宋体" w:cs="宋体"/>
          <w:sz w:val="24"/>
          <w:szCs w:val="24"/>
        </w:rPr>
      </w:pPr>
      <w:bookmarkStart w:id="86" w:name="bookmark78"/>
      <w:bookmarkEnd w:id="86"/>
      <w:r>
        <w:rPr>
          <w:rFonts w:ascii="Times New Roman" w:hAnsi="Times New Roman" w:eastAsia="Times New Roman" w:cs="Times New Roman"/>
          <w:b/>
          <w:bCs/>
          <w:spacing w:val="-5"/>
          <w:sz w:val="24"/>
          <w:szCs w:val="24"/>
        </w:rPr>
        <w:t>6.1.4</w:t>
      </w:r>
      <w:r>
        <w:rPr>
          <w:rFonts w:ascii="Times New Roman" w:hAnsi="Times New Roman" w:eastAsia="Times New Roman" w:cs="Times New Roman"/>
          <w:b/>
          <w:bCs/>
          <w:spacing w:val="27"/>
          <w:sz w:val="24"/>
          <w:szCs w:val="24"/>
        </w:rPr>
        <w:t xml:space="preserve"> </w:t>
      </w:r>
      <w:r>
        <w:rPr>
          <w:rFonts w:ascii="宋体" w:hAnsi="宋体" w:eastAsia="宋体" w:cs="宋体"/>
          <w:b/>
          <w:bCs/>
          <w:spacing w:val="-5"/>
          <w:sz w:val="24"/>
          <w:szCs w:val="24"/>
        </w:rPr>
        <w:t>区域地质</w:t>
      </w:r>
    </w:p>
    <w:p w14:paraId="369CD2F1">
      <w:pPr>
        <w:spacing w:before="181" w:line="360" w:lineRule="auto"/>
        <w:ind w:left="21" w:right="162" w:firstLine="423"/>
        <w:rPr>
          <w:rFonts w:ascii="宋体" w:hAnsi="宋体" w:eastAsia="宋体" w:cs="宋体"/>
          <w:sz w:val="24"/>
          <w:szCs w:val="24"/>
        </w:rPr>
      </w:pPr>
      <w:r>
        <w:rPr>
          <w:rFonts w:ascii="宋体" w:hAnsi="宋体" w:eastAsia="宋体" w:cs="宋体"/>
          <w:spacing w:val="1"/>
          <w:sz w:val="24"/>
          <w:szCs w:val="24"/>
        </w:rPr>
        <w:t>项目所在区域出露有下二迭统、上侏罗统、白垩系、上第三系和第四系地</w:t>
      </w:r>
      <w:r>
        <w:rPr>
          <w:rFonts w:ascii="宋体" w:hAnsi="宋体" w:eastAsia="宋体" w:cs="宋体"/>
          <w:spacing w:val="13"/>
          <w:sz w:val="24"/>
          <w:szCs w:val="24"/>
        </w:rPr>
        <w:t xml:space="preserve"> </w:t>
      </w:r>
      <w:r>
        <w:rPr>
          <w:rFonts w:ascii="宋体" w:hAnsi="宋体" w:eastAsia="宋体" w:cs="宋体"/>
          <w:spacing w:val="-1"/>
          <w:sz w:val="24"/>
          <w:szCs w:val="24"/>
        </w:rPr>
        <w:t>层，各时代地层的分布范围、岩性和厚度等。</w:t>
      </w:r>
    </w:p>
    <w:p w14:paraId="076DDE5D">
      <w:pPr>
        <w:spacing w:before="1" w:line="220" w:lineRule="auto"/>
        <w:ind w:left="518"/>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19"/>
          <w:sz w:val="24"/>
          <w:szCs w:val="24"/>
        </w:rPr>
        <w:t xml:space="preserve"> </w:t>
      </w:r>
      <w:r>
        <w:rPr>
          <w:rFonts w:ascii="宋体" w:hAnsi="宋体" w:eastAsia="宋体" w:cs="宋体"/>
          <w:spacing w:val="-8"/>
          <w:sz w:val="24"/>
          <w:szCs w:val="24"/>
        </w:rPr>
        <w:t>下二迭统</w:t>
      </w:r>
    </w:p>
    <w:p w14:paraId="3DDD478F">
      <w:pPr>
        <w:spacing w:before="181" w:line="227" w:lineRule="auto"/>
        <w:ind w:left="512"/>
        <w:rPr>
          <w:rFonts w:ascii="宋体" w:hAnsi="宋体" w:eastAsia="宋体" w:cs="宋体"/>
          <w:sz w:val="24"/>
          <w:szCs w:val="24"/>
        </w:rPr>
      </w:pPr>
      <w:r>
        <w:rPr>
          <w:rFonts w:ascii="宋体" w:hAnsi="宋体" w:eastAsia="宋体" w:cs="宋体"/>
          <w:spacing w:val="-3"/>
          <w:sz w:val="24"/>
          <w:szCs w:val="24"/>
        </w:rPr>
        <w:t>（1）</w:t>
      </w:r>
      <w:r>
        <w:rPr>
          <w:rFonts w:ascii="宋体" w:hAnsi="宋体" w:eastAsia="宋体" w:cs="宋体"/>
          <w:spacing w:val="77"/>
          <w:sz w:val="24"/>
          <w:szCs w:val="24"/>
        </w:rPr>
        <w:t xml:space="preserve"> </w:t>
      </w:r>
      <w:r>
        <w:rPr>
          <w:rFonts w:ascii="宋体" w:hAnsi="宋体" w:eastAsia="宋体" w:cs="宋体"/>
          <w:spacing w:val="-3"/>
          <w:sz w:val="24"/>
          <w:szCs w:val="24"/>
        </w:rPr>
        <w:t>格根敖包组（P</w:t>
      </w:r>
      <w:r>
        <w:rPr>
          <w:rFonts w:ascii="宋体" w:hAnsi="宋体" w:eastAsia="宋体" w:cs="宋体"/>
          <w:spacing w:val="-3"/>
          <w:position w:val="-3"/>
          <w:sz w:val="12"/>
          <w:szCs w:val="12"/>
        </w:rPr>
        <w:t>1</w:t>
      </w:r>
      <w:r>
        <w:rPr>
          <w:rFonts w:ascii="宋体" w:hAnsi="宋体" w:eastAsia="宋体" w:cs="宋体"/>
          <w:spacing w:val="-3"/>
          <w:sz w:val="24"/>
          <w:szCs w:val="24"/>
        </w:rPr>
        <w:t>q）</w:t>
      </w:r>
    </w:p>
    <w:p w14:paraId="0E6FAE97">
      <w:pPr>
        <w:spacing w:before="172" w:line="219" w:lineRule="auto"/>
        <w:ind w:left="502"/>
        <w:rPr>
          <w:rFonts w:ascii="宋体" w:hAnsi="宋体" w:eastAsia="宋体" w:cs="宋体"/>
          <w:sz w:val="24"/>
          <w:szCs w:val="24"/>
        </w:rPr>
      </w:pPr>
      <w:r>
        <w:rPr>
          <w:rFonts w:ascii="宋体" w:hAnsi="宋体" w:eastAsia="宋体" w:cs="宋体"/>
          <w:spacing w:val="-1"/>
          <w:sz w:val="24"/>
          <w:szCs w:val="24"/>
        </w:rPr>
        <w:t>本组共分五个岩段，由下至上为：</w:t>
      </w:r>
    </w:p>
    <w:p w14:paraId="546BECDD">
      <w:pPr>
        <w:spacing w:before="166" w:line="359" w:lineRule="auto"/>
        <w:ind w:left="21" w:right="162" w:firstLine="480"/>
        <w:rPr>
          <w:rFonts w:ascii="宋体" w:hAnsi="宋体" w:eastAsia="宋体" w:cs="宋体"/>
          <w:sz w:val="24"/>
          <w:szCs w:val="24"/>
        </w:rPr>
      </w:pPr>
      <w:r>
        <w:rPr>
          <w:rFonts w:ascii="宋体" w:hAnsi="宋体" w:eastAsia="宋体" w:cs="宋体"/>
          <w:spacing w:val="-3"/>
          <w:sz w:val="24"/>
          <w:szCs w:val="24"/>
        </w:rPr>
        <w:t>第一岩段（P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1</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分布于温都尔敖包、高勒罕敖包南坡，下部为凝灰质砂</w:t>
      </w:r>
      <w:r>
        <w:rPr>
          <w:rFonts w:ascii="宋体" w:hAnsi="宋体" w:eastAsia="宋体" w:cs="宋体"/>
          <w:sz w:val="24"/>
          <w:szCs w:val="24"/>
        </w:rPr>
        <w:t xml:space="preserve"> </w:t>
      </w:r>
      <w:r>
        <w:rPr>
          <w:rFonts w:ascii="宋体" w:hAnsi="宋体" w:eastAsia="宋体" w:cs="宋体"/>
          <w:spacing w:val="1"/>
          <w:sz w:val="24"/>
          <w:szCs w:val="24"/>
        </w:rPr>
        <w:t>岩、火山角砾岩、板岩；上部为板岩夹岩屑晶屑凝</w:t>
      </w:r>
      <w:r>
        <w:rPr>
          <w:rFonts w:ascii="宋体" w:hAnsi="宋体" w:eastAsia="宋体" w:cs="宋体"/>
          <w:sz w:val="24"/>
          <w:szCs w:val="24"/>
        </w:rPr>
        <w:t>灰岩，厚度大于</w:t>
      </w:r>
      <w:r>
        <w:rPr>
          <w:rFonts w:ascii="宋体" w:hAnsi="宋体" w:eastAsia="宋体" w:cs="宋体"/>
          <w:spacing w:val="-33"/>
          <w:sz w:val="24"/>
          <w:szCs w:val="24"/>
        </w:rPr>
        <w:t xml:space="preserve"> </w:t>
      </w:r>
      <w:r>
        <w:rPr>
          <w:rFonts w:ascii="宋体" w:hAnsi="宋体" w:eastAsia="宋体" w:cs="宋体"/>
          <w:sz w:val="24"/>
          <w:szCs w:val="24"/>
        </w:rPr>
        <w:t xml:space="preserve">1737.4m。 </w:t>
      </w:r>
      <w:r>
        <w:rPr>
          <w:rFonts w:ascii="宋体" w:hAnsi="宋体" w:eastAsia="宋体" w:cs="宋体"/>
          <w:spacing w:val="-3"/>
          <w:sz w:val="24"/>
          <w:szCs w:val="24"/>
        </w:rPr>
        <w:t>上限与第二岩段（P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2</w:t>
      </w:r>
      <w:r>
        <w:rPr>
          <w:rFonts w:ascii="宋体" w:hAnsi="宋体" w:eastAsia="宋体" w:cs="宋体"/>
          <w:spacing w:val="-3"/>
          <w:sz w:val="24"/>
          <w:szCs w:val="24"/>
        </w:rPr>
        <w:t>）呈断层接触，兴安岭群（J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4"/>
          <w:sz w:val="24"/>
          <w:szCs w:val="24"/>
        </w:rPr>
        <w:t>）不整合其上，下限与下</w:t>
      </w:r>
      <w:r>
        <w:rPr>
          <w:rFonts w:ascii="宋体" w:hAnsi="宋体" w:eastAsia="宋体" w:cs="宋体"/>
          <w:sz w:val="24"/>
          <w:szCs w:val="24"/>
        </w:rPr>
        <w:t xml:space="preserve"> 二迭统呈断层接触，本段由于华力西晚期辉绿岩的</w:t>
      </w:r>
      <w:r>
        <w:rPr>
          <w:rFonts w:ascii="宋体" w:hAnsi="宋体" w:eastAsia="宋体" w:cs="宋体"/>
          <w:spacing w:val="-1"/>
          <w:sz w:val="24"/>
          <w:szCs w:val="24"/>
        </w:rPr>
        <w:t>侵入使层序出露不连续。</w:t>
      </w:r>
    </w:p>
    <w:p w14:paraId="259A487E">
      <w:pPr>
        <w:spacing w:before="5" w:line="360" w:lineRule="auto"/>
        <w:ind w:left="21" w:right="162" w:firstLine="480"/>
        <w:jc w:val="both"/>
        <w:rPr>
          <w:rFonts w:ascii="宋体" w:hAnsi="宋体" w:eastAsia="宋体" w:cs="宋体"/>
          <w:sz w:val="24"/>
          <w:szCs w:val="24"/>
        </w:rPr>
      </w:pPr>
      <w:r>
        <w:rPr>
          <w:rFonts w:ascii="宋体" w:hAnsi="宋体" w:eastAsia="宋体" w:cs="宋体"/>
          <w:spacing w:val="-3"/>
          <w:sz w:val="24"/>
          <w:szCs w:val="24"/>
        </w:rPr>
        <w:t>第二岩段（P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2</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下部出露于沙尔哈达及高勒罕敖包北坡，上部出露于罕</w:t>
      </w:r>
      <w:r>
        <w:rPr>
          <w:rFonts w:ascii="宋体" w:hAnsi="宋体" w:eastAsia="宋体" w:cs="宋体"/>
          <w:sz w:val="24"/>
          <w:szCs w:val="24"/>
        </w:rPr>
        <w:t xml:space="preserve"> </w:t>
      </w:r>
      <w:r>
        <w:rPr>
          <w:rFonts w:ascii="宋体" w:hAnsi="宋体" w:eastAsia="宋体" w:cs="宋体"/>
          <w:spacing w:val="15"/>
          <w:sz w:val="24"/>
          <w:szCs w:val="24"/>
        </w:rPr>
        <w:t>马拉东南部那尔图一带，岩性主要为安山玢岩、</w:t>
      </w:r>
      <w:r>
        <w:rPr>
          <w:rFonts w:ascii="宋体" w:hAnsi="宋体" w:eastAsia="宋体" w:cs="宋体"/>
          <w:spacing w:val="14"/>
          <w:sz w:val="24"/>
          <w:szCs w:val="24"/>
        </w:rPr>
        <w:t>流纹岩及板岩，厚度大于</w:t>
      </w:r>
      <w:r>
        <w:rPr>
          <w:rFonts w:ascii="宋体" w:hAnsi="宋体" w:eastAsia="宋体" w:cs="宋体"/>
          <w:sz w:val="24"/>
          <w:szCs w:val="24"/>
        </w:rPr>
        <w:t xml:space="preserve"> </w:t>
      </w:r>
      <w:r>
        <w:rPr>
          <w:rFonts w:ascii="宋体" w:hAnsi="宋体" w:eastAsia="宋体" w:cs="宋体"/>
          <w:spacing w:val="-1"/>
          <w:sz w:val="24"/>
          <w:szCs w:val="24"/>
        </w:rPr>
        <w:t>2017.3m，地层均形成向斜构造，与第三岩段（P</w:t>
      </w:r>
      <w:r>
        <w:rPr>
          <w:rFonts w:ascii="宋体" w:hAnsi="宋体" w:eastAsia="宋体" w:cs="宋体"/>
          <w:spacing w:val="-1"/>
          <w:position w:val="-3"/>
          <w:sz w:val="12"/>
          <w:szCs w:val="12"/>
        </w:rPr>
        <w:t>1</w:t>
      </w:r>
      <w:r>
        <w:rPr>
          <w:rFonts w:ascii="宋体" w:hAnsi="宋体" w:eastAsia="宋体" w:cs="宋体"/>
          <w:spacing w:val="-1"/>
          <w:sz w:val="24"/>
          <w:szCs w:val="24"/>
        </w:rPr>
        <w:t>q</w:t>
      </w:r>
      <w:r>
        <w:rPr>
          <w:rFonts w:ascii="宋体" w:hAnsi="宋体" w:eastAsia="宋体" w:cs="宋体"/>
          <w:spacing w:val="-1"/>
          <w:position w:val="11"/>
          <w:sz w:val="12"/>
          <w:szCs w:val="12"/>
        </w:rPr>
        <w:t>3</w:t>
      </w:r>
      <w:r>
        <w:rPr>
          <w:rFonts w:ascii="宋体" w:hAnsi="宋体" w:eastAsia="宋体" w:cs="宋体"/>
          <w:spacing w:val="-25"/>
          <w:position w:val="11"/>
          <w:sz w:val="12"/>
          <w:szCs w:val="12"/>
        </w:rPr>
        <w:t xml:space="preserve"> </w:t>
      </w:r>
      <w:r>
        <w:rPr>
          <w:rFonts w:ascii="宋体" w:hAnsi="宋体" w:eastAsia="宋体" w:cs="宋体"/>
          <w:spacing w:val="-1"/>
          <w:sz w:val="24"/>
          <w:szCs w:val="24"/>
        </w:rPr>
        <w:t>）呈断层接触</w:t>
      </w:r>
      <w:r>
        <w:rPr>
          <w:rFonts w:ascii="宋体" w:hAnsi="宋体" w:eastAsia="宋体" w:cs="宋体"/>
          <w:spacing w:val="-2"/>
          <w:sz w:val="24"/>
          <w:szCs w:val="24"/>
        </w:rPr>
        <w:t>，在高勒罕敖</w:t>
      </w:r>
      <w:r>
        <w:rPr>
          <w:rFonts w:ascii="宋体" w:hAnsi="宋体" w:eastAsia="宋体" w:cs="宋体"/>
          <w:sz w:val="24"/>
          <w:szCs w:val="24"/>
        </w:rPr>
        <w:t xml:space="preserve"> </w:t>
      </w:r>
      <w:r>
        <w:rPr>
          <w:rFonts w:ascii="宋体" w:hAnsi="宋体" w:eastAsia="宋体" w:cs="宋体"/>
          <w:spacing w:val="-3"/>
          <w:sz w:val="24"/>
          <w:szCs w:val="24"/>
        </w:rPr>
        <w:t>包北坡见上侏罗统（J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8"/>
          <w:position w:val="11"/>
          <w:sz w:val="12"/>
          <w:szCs w:val="12"/>
        </w:rPr>
        <w:t xml:space="preserve"> </w:t>
      </w:r>
      <w:r>
        <w:rPr>
          <w:rFonts w:ascii="宋体" w:hAnsi="宋体" w:eastAsia="宋体" w:cs="宋体"/>
          <w:spacing w:val="-3"/>
          <w:sz w:val="24"/>
          <w:szCs w:val="24"/>
        </w:rPr>
        <w:t>）不整合其上。</w:t>
      </w:r>
    </w:p>
    <w:p w14:paraId="111B0F26">
      <w:pPr>
        <w:spacing w:line="360" w:lineRule="auto"/>
        <w:ind w:left="20" w:right="162" w:firstLine="480"/>
        <w:jc w:val="both"/>
        <w:rPr>
          <w:rFonts w:ascii="宋体" w:hAnsi="宋体" w:eastAsia="宋体" w:cs="宋体"/>
          <w:sz w:val="24"/>
          <w:szCs w:val="24"/>
        </w:rPr>
      </w:pPr>
      <w:r>
        <w:rPr>
          <w:rFonts w:ascii="宋体" w:hAnsi="宋体" w:eastAsia="宋体" w:cs="宋体"/>
          <w:spacing w:val="-3"/>
          <w:sz w:val="24"/>
          <w:szCs w:val="24"/>
        </w:rPr>
        <w:t>第三岩段（P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3</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分布于高勒罕敖包北部艾迪一带，岩性主要为凝灰质粉</w:t>
      </w:r>
      <w:r>
        <w:rPr>
          <w:rFonts w:ascii="宋体" w:hAnsi="宋体" w:eastAsia="宋体" w:cs="宋体"/>
          <w:sz w:val="24"/>
          <w:szCs w:val="24"/>
        </w:rPr>
        <w:t xml:space="preserve"> </w:t>
      </w:r>
      <w:r>
        <w:rPr>
          <w:rFonts w:ascii="宋体" w:hAnsi="宋体" w:eastAsia="宋体" w:cs="宋体"/>
          <w:spacing w:val="1"/>
          <w:sz w:val="24"/>
          <w:szCs w:val="24"/>
        </w:rPr>
        <w:t>砂岩夹硬砂岩，板岩、灰岩。厚度大于</w:t>
      </w:r>
      <w:r>
        <w:rPr>
          <w:rFonts w:ascii="宋体" w:hAnsi="宋体" w:eastAsia="宋体" w:cs="宋体"/>
          <w:spacing w:val="-33"/>
          <w:sz w:val="24"/>
          <w:szCs w:val="24"/>
        </w:rPr>
        <w:t xml:space="preserve"> </w:t>
      </w:r>
      <w:r>
        <w:rPr>
          <w:rFonts w:ascii="宋体" w:hAnsi="宋体" w:eastAsia="宋体" w:cs="宋体"/>
          <w:spacing w:val="1"/>
          <w:sz w:val="24"/>
          <w:szCs w:val="24"/>
        </w:rPr>
        <w:t>1299.2</w:t>
      </w:r>
      <w:r>
        <w:rPr>
          <w:rFonts w:ascii="宋体" w:hAnsi="宋体" w:eastAsia="宋体" w:cs="宋体"/>
          <w:sz w:val="24"/>
          <w:szCs w:val="24"/>
        </w:rPr>
        <w:t xml:space="preserve">m，因褶皱构造影响，与石英闪 </w:t>
      </w:r>
      <w:r>
        <w:rPr>
          <w:rFonts w:ascii="宋体" w:hAnsi="宋体" w:eastAsia="宋体" w:cs="宋体"/>
          <w:spacing w:val="-1"/>
          <w:sz w:val="24"/>
          <w:szCs w:val="24"/>
        </w:rPr>
        <w:t>长岩、安山岩呈断层接触。</w:t>
      </w:r>
    </w:p>
    <w:p w14:paraId="68D3594A">
      <w:pPr>
        <w:spacing w:before="1" w:line="355" w:lineRule="auto"/>
        <w:ind w:left="20" w:right="162" w:firstLine="480"/>
        <w:jc w:val="both"/>
        <w:rPr>
          <w:rFonts w:ascii="宋体" w:hAnsi="宋体" w:eastAsia="宋体" w:cs="宋体"/>
          <w:sz w:val="24"/>
          <w:szCs w:val="24"/>
        </w:rPr>
      </w:pPr>
      <w:r>
        <w:rPr>
          <w:rFonts w:ascii="宋体" w:hAnsi="宋体" w:eastAsia="宋体" w:cs="宋体"/>
          <w:spacing w:val="-3"/>
          <w:sz w:val="24"/>
          <w:szCs w:val="24"/>
        </w:rPr>
        <w:t>第四岩段（P</w:t>
      </w:r>
      <w:r>
        <w:rPr>
          <w:rFonts w:ascii="宋体" w:hAnsi="宋体" w:eastAsia="宋体" w:cs="宋体"/>
          <w:spacing w:val="-3"/>
          <w:position w:val="-3"/>
          <w:sz w:val="12"/>
          <w:szCs w:val="12"/>
        </w:rPr>
        <w:t>1</w:t>
      </w:r>
      <w:r>
        <w:rPr>
          <w:rFonts w:ascii="宋体" w:hAnsi="宋体" w:eastAsia="宋体" w:cs="宋体"/>
          <w:spacing w:val="-3"/>
          <w:sz w:val="24"/>
          <w:szCs w:val="24"/>
        </w:rPr>
        <w:t>q</w:t>
      </w:r>
      <w:r>
        <w:rPr>
          <w:rFonts w:ascii="宋体" w:hAnsi="宋体" w:eastAsia="宋体" w:cs="宋体"/>
          <w:spacing w:val="-3"/>
          <w:position w:val="11"/>
          <w:sz w:val="12"/>
          <w:szCs w:val="12"/>
        </w:rPr>
        <w:t>4</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分布于马尼塔。主要岩性为凝灰质细砂岩、含砾岩屑晶</w:t>
      </w:r>
      <w:r>
        <w:rPr>
          <w:rFonts w:ascii="宋体" w:hAnsi="宋体" w:eastAsia="宋体" w:cs="宋体"/>
          <w:sz w:val="24"/>
          <w:szCs w:val="24"/>
        </w:rPr>
        <w:t xml:space="preserve"> 屑凝灰岩及凝灰质角砾岩、砂砾岩。厚度大于</w:t>
      </w:r>
      <w:r>
        <w:rPr>
          <w:rFonts w:ascii="宋体" w:hAnsi="宋体" w:eastAsia="宋体" w:cs="宋体"/>
          <w:spacing w:val="-47"/>
          <w:sz w:val="24"/>
          <w:szCs w:val="24"/>
        </w:rPr>
        <w:t xml:space="preserve"> </w:t>
      </w:r>
      <w:r>
        <w:rPr>
          <w:rFonts w:ascii="宋体" w:hAnsi="宋体" w:eastAsia="宋体" w:cs="宋体"/>
          <w:sz w:val="24"/>
          <w:szCs w:val="24"/>
        </w:rPr>
        <w:t>997.9m，与上限（P</w:t>
      </w:r>
      <w:r>
        <w:rPr>
          <w:rFonts w:ascii="宋体" w:hAnsi="宋体" w:eastAsia="宋体" w:cs="宋体"/>
          <w:position w:val="-3"/>
          <w:sz w:val="12"/>
          <w:szCs w:val="12"/>
        </w:rPr>
        <w:t>1</w:t>
      </w:r>
      <w:r>
        <w:rPr>
          <w:rFonts w:ascii="宋体" w:hAnsi="宋体" w:eastAsia="宋体" w:cs="宋体"/>
          <w:sz w:val="24"/>
          <w:szCs w:val="24"/>
        </w:rPr>
        <w:t>q</w:t>
      </w:r>
      <w:r>
        <w:rPr>
          <w:rFonts w:ascii="宋体" w:hAnsi="宋体" w:eastAsia="宋体" w:cs="宋体"/>
          <w:position w:val="11"/>
          <w:sz w:val="12"/>
          <w:szCs w:val="12"/>
        </w:rPr>
        <w:t>5</w:t>
      </w:r>
      <w:r>
        <w:rPr>
          <w:rFonts w:ascii="宋体" w:hAnsi="宋体" w:eastAsia="宋体" w:cs="宋体"/>
          <w:spacing w:val="-23"/>
          <w:position w:val="11"/>
          <w:sz w:val="12"/>
          <w:szCs w:val="12"/>
        </w:rPr>
        <w:t xml:space="preserve"> </w:t>
      </w:r>
      <w:r>
        <w:rPr>
          <w:rFonts w:ascii="宋体" w:hAnsi="宋体" w:eastAsia="宋体" w:cs="宋体"/>
          <w:sz w:val="24"/>
          <w:szCs w:val="24"/>
        </w:rPr>
        <w:t xml:space="preserve">）呈断层 </w:t>
      </w:r>
      <w:r>
        <w:rPr>
          <w:rFonts w:ascii="宋体" w:hAnsi="宋体" w:eastAsia="宋体" w:cs="宋体"/>
          <w:spacing w:val="-1"/>
          <w:sz w:val="24"/>
          <w:szCs w:val="24"/>
        </w:rPr>
        <w:t>接触，与下限呈整合接触。</w:t>
      </w:r>
    </w:p>
    <w:p w14:paraId="4E32C18E">
      <w:pPr>
        <w:spacing w:before="36" w:line="214" w:lineRule="auto"/>
        <w:ind w:left="501"/>
        <w:rPr>
          <w:rFonts w:ascii="宋体" w:hAnsi="宋体" w:eastAsia="宋体" w:cs="宋体"/>
          <w:sz w:val="24"/>
          <w:szCs w:val="24"/>
        </w:rPr>
      </w:pPr>
      <w:r>
        <w:rPr>
          <w:rFonts w:ascii="宋体" w:hAnsi="宋体" w:eastAsia="宋体" w:cs="宋体"/>
          <w:spacing w:val="-1"/>
          <w:sz w:val="24"/>
          <w:szCs w:val="24"/>
        </w:rPr>
        <w:t>第五岩段（P1q5</w:t>
      </w:r>
      <w:r>
        <w:rPr>
          <w:rFonts w:ascii="宋体" w:hAnsi="宋体" w:eastAsia="宋体" w:cs="宋体"/>
          <w:spacing w:val="10"/>
          <w:sz w:val="24"/>
          <w:szCs w:val="24"/>
        </w:rPr>
        <w:t>）：</w:t>
      </w:r>
      <w:r>
        <w:rPr>
          <w:rFonts w:ascii="宋体" w:hAnsi="宋体" w:eastAsia="宋体" w:cs="宋体"/>
          <w:spacing w:val="-1"/>
          <w:sz w:val="24"/>
          <w:szCs w:val="24"/>
        </w:rPr>
        <w:t>本段分两地出露，下部出露于马尼塔，上部出露于花</w:t>
      </w:r>
    </w:p>
    <w:p w14:paraId="0820B579">
      <w:pPr>
        <w:spacing w:line="214" w:lineRule="auto"/>
        <w:rPr>
          <w:rFonts w:ascii="宋体" w:hAnsi="宋体" w:eastAsia="宋体" w:cs="宋体"/>
          <w:sz w:val="24"/>
          <w:szCs w:val="24"/>
        </w:rPr>
        <w:sectPr>
          <w:footerReference r:id="rId161" w:type="default"/>
          <w:pgSz w:w="11906" w:h="16839"/>
          <w:pgMar w:top="1208" w:right="1785" w:bottom="1358" w:left="1785" w:header="825" w:footer="1195" w:gutter="0"/>
          <w:cols w:space="720" w:num="1"/>
        </w:sectPr>
      </w:pPr>
    </w:p>
    <w:p w14:paraId="1CF8EB28">
      <w:pPr>
        <w:pStyle w:val="2"/>
        <w:spacing w:line="265" w:lineRule="auto"/>
      </w:pPr>
    </w:p>
    <w:p w14:paraId="3CAAB0B9">
      <w:pPr>
        <w:spacing w:before="78" w:line="360" w:lineRule="auto"/>
        <w:ind w:left="23" w:right="162" w:hanging="1"/>
        <w:rPr>
          <w:rFonts w:ascii="宋体" w:hAnsi="宋体" w:eastAsia="宋体" w:cs="宋体"/>
          <w:sz w:val="24"/>
          <w:szCs w:val="24"/>
        </w:rPr>
      </w:pPr>
      <w:r>
        <w:rPr>
          <w:rFonts w:ascii="宋体" w:hAnsi="宋体" w:eastAsia="宋体" w:cs="宋体"/>
          <w:sz w:val="24"/>
          <w:szCs w:val="24"/>
        </w:rPr>
        <w:t>敖包特，下部岩性为凝灰质砂岩夹板岩、灰岩，与</w:t>
      </w:r>
      <w:r>
        <w:rPr>
          <w:rFonts w:ascii="宋体" w:hAnsi="宋体" w:eastAsia="宋体" w:cs="宋体"/>
          <w:spacing w:val="-1"/>
          <w:sz w:val="24"/>
          <w:szCs w:val="24"/>
        </w:rPr>
        <w:t>第四段呈断层接触，上部岩</w:t>
      </w:r>
      <w:r>
        <w:rPr>
          <w:rFonts w:ascii="宋体" w:hAnsi="宋体" w:eastAsia="宋体" w:cs="宋体"/>
          <w:sz w:val="24"/>
          <w:szCs w:val="24"/>
        </w:rPr>
        <w:t xml:space="preserve"> </w:t>
      </w:r>
      <w:r>
        <w:rPr>
          <w:rFonts w:ascii="宋体" w:hAnsi="宋体" w:eastAsia="宋体" w:cs="宋体"/>
          <w:spacing w:val="2"/>
          <w:sz w:val="24"/>
          <w:szCs w:val="24"/>
        </w:rPr>
        <w:t>性为硬砂岩夹粉砂岩，厚度大于993.2m。</w:t>
      </w:r>
    </w:p>
    <w:p w14:paraId="755338A5">
      <w:pPr>
        <w:spacing w:line="229" w:lineRule="auto"/>
        <w:ind w:left="512"/>
        <w:rPr>
          <w:rFonts w:ascii="宋体" w:hAnsi="宋体" w:eastAsia="宋体" w:cs="宋体"/>
          <w:sz w:val="24"/>
          <w:szCs w:val="24"/>
        </w:rPr>
      </w:pPr>
      <w:r>
        <w:rPr>
          <w:rFonts w:ascii="宋体" w:hAnsi="宋体" w:eastAsia="宋体" w:cs="宋体"/>
          <w:spacing w:val="-2"/>
          <w:sz w:val="24"/>
          <w:szCs w:val="24"/>
        </w:rPr>
        <w:t>（2）哲斯组（P</w:t>
      </w:r>
      <w:r>
        <w:rPr>
          <w:rFonts w:ascii="宋体" w:hAnsi="宋体" w:eastAsia="宋体" w:cs="宋体"/>
          <w:spacing w:val="-2"/>
          <w:position w:val="-3"/>
          <w:sz w:val="12"/>
          <w:szCs w:val="12"/>
        </w:rPr>
        <w:t>1</w:t>
      </w:r>
      <w:r>
        <w:rPr>
          <w:rFonts w:ascii="宋体" w:hAnsi="宋体" w:eastAsia="宋体" w:cs="宋体"/>
          <w:spacing w:val="-2"/>
          <w:sz w:val="24"/>
          <w:szCs w:val="24"/>
        </w:rPr>
        <w:t>z）</w:t>
      </w:r>
    </w:p>
    <w:p w14:paraId="5193DCE0">
      <w:pPr>
        <w:spacing w:before="170" w:line="219" w:lineRule="auto"/>
        <w:ind w:left="500"/>
        <w:rPr>
          <w:rFonts w:ascii="宋体" w:hAnsi="宋体" w:eastAsia="宋体" w:cs="宋体"/>
          <w:sz w:val="24"/>
          <w:szCs w:val="24"/>
        </w:rPr>
      </w:pPr>
      <w:r>
        <w:rPr>
          <w:rFonts w:ascii="宋体" w:hAnsi="宋体" w:eastAsia="宋体" w:cs="宋体"/>
          <w:spacing w:val="-1"/>
          <w:sz w:val="24"/>
          <w:szCs w:val="24"/>
        </w:rPr>
        <w:t>共分两个岩段，由下而上为：</w:t>
      </w:r>
    </w:p>
    <w:p w14:paraId="6631A695">
      <w:pPr>
        <w:spacing w:before="165" w:line="360" w:lineRule="auto"/>
        <w:ind w:left="20" w:right="162" w:firstLine="480"/>
        <w:jc w:val="both"/>
        <w:rPr>
          <w:rFonts w:ascii="宋体" w:hAnsi="宋体" w:eastAsia="宋体" w:cs="宋体"/>
          <w:sz w:val="24"/>
          <w:szCs w:val="24"/>
        </w:rPr>
      </w:pPr>
      <w:r>
        <w:rPr>
          <w:rFonts w:ascii="宋体" w:hAnsi="宋体" w:eastAsia="宋体" w:cs="宋体"/>
          <w:spacing w:val="-3"/>
          <w:sz w:val="24"/>
          <w:szCs w:val="24"/>
        </w:rPr>
        <w:t>第一岩段（P</w:t>
      </w:r>
      <w:r>
        <w:rPr>
          <w:rFonts w:ascii="宋体" w:hAnsi="宋体" w:eastAsia="宋体" w:cs="宋体"/>
          <w:spacing w:val="-3"/>
          <w:position w:val="-3"/>
          <w:sz w:val="12"/>
          <w:szCs w:val="12"/>
        </w:rPr>
        <w:t>1</w:t>
      </w:r>
      <w:r>
        <w:rPr>
          <w:rFonts w:ascii="宋体" w:hAnsi="宋体" w:eastAsia="宋体" w:cs="宋体"/>
          <w:spacing w:val="-3"/>
          <w:sz w:val="24"/>
          <w:szCs w:val="24"/>
        </w:rPr>
        <w:t>z</w:t>
      </w:r>
      <w:r>
        <w:rPr>
          <w:rFonts w:ascii="宋体" w:hAnsi="宋体" w:eastAsia="宋体" w:cs="宋体"/>
          <w:spacing w:val="-3"/>
          <w:position w:val="11"/>
          <w:sz w:val="12"/>
          <w:szCs w:val="12"/>
        </w:rPr>
        <w:t>1</w:t>
      </w:r>
      <w:r>
        <w:rPr>
          <w:rFonts w:ascii="宋体" w:hAnsi="宋体" w:eastAsia="宋体" w:cs="宋体"/>
          <w:spacing w:val="-24"/>
          <w:position w:val="11"/>
          <w:sz w:val="12"/>
          <w:szCs w:val="12"/>
        </w:rPr>
        <w:t xml:space="preserve"> </w:t>
      </w:r>
      <w:r>
        <w:rPr>
          <w:rFonts w:ascii="宋体" w:hAnsi="宋体" w:eastAsia="宋体" w:cs="宋体"/>
          <w:spacing w:val="-34"/>
          <w:sz w:val="24"/>
          <w:szCs w:val="24"/>
        </w:rPr>
        <w:t>）：</w:t>
      </w:r>
      <w:r>
        <w:rPr>
          <w:rFonts w:ascii="宋体" w:hAnsi="宋体" w:eastAsia="宋体" w:cs="宋体"/>
          <w:spacing w:val="-3"/>
          <w:sz w:val="24"/>
          <w:szCs w:val="24"/>
        </w:rPr>
        <w:t>分布在高力罕牧场以东敦根博一带，上部为泥板岩夹硬</w:t>
      </w:r>
      <w:r>
        <w:rPr>
          <w:rFonts w:ascii="宋体" w:hAnsi="宋体" w:eastAsia="宋体" w:cs="宋体"/>
          <w:sz w:val="24"/>
          <w:szCs w:val="24"/>
        </w:rPr>
        <w:t xml:space="preserve"> </w:t>
      </w:r>
      <w:r>
        <w:rPr>
          <w:rFonts w:ascii="宋体" w:hAnsi="宋体" w:eastAsia="宋体" w:cs="宋体"/>
          <w:spacing w:val="1"/>
          <w:sz w:val="24"/>
          <w:szCs w:val="24"/>
        </w:rPr>
        <w:t>砂岩，中部为硬砂岩夹板岩，下部为砂岩夹灰岩，厚度大于</w:t>
      </w:r>
      <w:r>
        <w:rPr>
          <w:rFonts w:ascii="宋体" w:hAnsi="宋体" w:eastAsia="宋体" w:cs="宋体"/>
          <w:spacing w:val="-46"/>
          <w:sz w:val="24"/>
          <w:szCs w:val="24"/>
        </w:rPr>
        <w:t xml:space="preserve"> </w:t>
      </w:r>
      <w:r>
        <w:rPr>
          <w:rFonts w:ascii="宋体" w:hAnsi="宋体" w:eastAsia="宋体" w:cs="宋体"/>
          <w:spacing w:val="1"/>
          <w:sz w:val="24"/>
          <w:szCs w:val="24"/>
        </w:rPr>
        <w:t>3772.6m，在布墩</w:t>
      </w:r>
      <w:r>
        <w:rPr>
          <w:rFonts w:ascii="宋体" w:hAnsi="宋体" w:eastAsia="宋体" w:cs="宋体"/>
          <w:sz w:val="24"/>
          <w:szCs w:val="24"/>
        </w:rPr>
        <w:t xml:space="preserve"> </w:t>
      </w:r>
      <w:r>
        <w:rPr>
          <w:rFonts w:ascii="宋体" w:hAnsi="宋体" w:eastAsia="宋体" w:cs="宋体"/>
          <w:spacing w:val="-3"/>
          <w:sz w:val="24"/>
          <w:szCs w:val="24"/>
        </w:rPr>
        <w:t>陶勒盖见上侏罗统（J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7"/>
          <w:position w:val="11"/>
          <w:sz w:val="12"/>
          <w:szCs w:val="12"/>
        </w:rPr>
        <w:t xml:space="preserve"> </w:t>
      </w:r>
      <w:r>
        <w:rPr>
          <w:rFonts w:ascii="宋体" w:hAnsi="宋体" w:eastAsia="宋体" w:cs="宋体"/>
          <w:spacing w:val="-3"/>
          <w:sz w:val="24"/>
          <w:szCs w:val="24"/>
        </w:rPr>
        <w:t>）不整合其上。</w:t>
      </w:r>
    </w:p>
    <w:p w14:paraId="5BF53FBA">
      <w:pPr>
        <w:spacing w:line="355" w:lineRule="auto"/>
        <w:ind w:left="20" w:right="82" w:firstLine="480"/>
        <w:jc w:val="both"/>
        <w:rPr>
          <w:rFonts w:ascii="宋体" w:hAnsi="宋体" w:eastAsia="宋体" w:cs="宋体"/>
          <w:sz w:val="24"/>
          <w:szCs w:val="24"/>
        </w:rPr>
      </w:pPr>
      <w:r>
        <w:rPr>
          <w:rFonts w:ascii="宋体" w:hAnsi="宋体" w:eastAsia="宋体" w:cs="宋体"/>
          <w:spacing w:val="-6"/>
          <w:sz w:val="24"/>
          <w:szCs w:val="24"/>
        </w:rPr>
        <w:t>第二岩段（P</w:t>
      </w:r>
      <w:r>
        <w:rPr>
          <w:rFonts w:ascii="宋体" w:hAnsi="宋体" w:eastAsia="宋体" w:cs="宋体"/>
          <w:spacing w:val="-6"/>
          <w:position w:val="-3"/>
          <w:sz w:val="12"/>
          <w:szCs w:val="12"/>
        </w:rPr>
        <w:t>1</w:t>
      </w:r>
      <w:r>
        <w:rPr>
          <w:rFonts w:ascii="宋体" w:hAnsi="宋体" w:eastAsia="宋体" w:cs="宋体"/>
          <w:spacing w:val="-6"/>
          <w:sz w:val="24"/>
          <w:szCs w:val="24"/>
        </w:rPr>
        <w:t>z</w:t>
      </w:r>
      <w:r>
        <w:rPr>
          <w:rFonts w:ascii="宋体" w:hAnsi="宋体" w:eastAsia="宋体" w:cs="宋体"/>
          <w:spacing w:val="-6"/>
          <w:position w:val="11"/>
          <w:sz w:val="12"/>
          <w:szCs w:val="12"/>
        </w:rPr>
        <w:t>2</w:t>
      </w:r>
      <w:r>
        <w:rPr>
          <w:rFonts w:ascii="宋体" w:hAnsi="宋体" w:eastAsia="宋体" w:cs="宋体"/>
          <w:spacing w:val="-42"/>
          <w:sz w:val="24"/>
          <w:szCs w:val="24"/>
        </w:rPr>
        <w:t>）：</w:t>
      </w:r>
      <w:r>
        <w:rPr>
          <w:rFonts w:ascii="宋体" w:hAnsi="宋体" w:eastAsia="宋体" w:cs="宋体"/>
          <w:spacing w:val="-6"/>
          <w:sz w:val="24"/>
          <w:szCs w:val="24"/>
        </w:rPr>
        <w:t>分布在罕乌拉东南那尔图一带，岩性主要为砾岩、</w:t>
      </w:r>
      <w:r>
        <w:rPr>
          <w:rFonts w:ascii="宋体" w:hAnsi="宋体" w:eastAsia="宋体" w:cs="宋体"/>
          <w:spacing w:val="-7"/>
          <w:sz w:val="24"/>
          <w:szCs w:val="24"/>
        </w:rPr>
        <w:t>砂岩、</w:t>
      </w:r>
      <w:r>
        <w:rPr>
          <w:rFonts w:ascii="宋体" w:hAnsi="宋体" w:eastAsia="宋体" w:cs="宋体"/>
          <w:sz w:val="24"/>
          <w:szCs w:val="24"/>
        </w:rPr>
        <w:t xml:space="preserve"> </w:t>
      </w:r>
      <w:r>
        <w:rPr>
          <w:rFonts w:ascii="宋体" w:hAnsi="宋体" w:eastAsia="宋体" w:cs="宋体"/>
          <w:spacing w:val="1"/>
          <w:sz w:val="24"/>
          <w:szCs w:val="24"/>
        </w:rPr>
        <w:t>凝灰岩夹板岩，厚度大于</w:t>
      </w:r>
      <w:r>
        <w:rPr>
          <w:rFonts w:ascii="宋体" w:hAnsi="宋体" w:eastAsia="宋体" w:cs="宋体"/>
          <w:spacing w:val="-32"/>
          <w:sz w:val="24"/>
          <w:szCs w:val="24"/>
        </w:rPr>
        <w:t xml:space="preserve"> </w:t>
      </w:r>
      <w:r>
        <w:rPr>
          <w:rFonts w:ascii="宋体" w:hAnsi="宋体" w:eastAsia="宋体" w:cs="宋体"/>
          <w:spacing w:val="1"/>
          <w:sz w:val="24"/>
          <w:szCs w:val="24"/>
        </w:rPr>
        <w:t>1348.8m，可</w:t>
      </w:r>
      <w:r>
        <w:rPr>
          <w:rFonts w:ascii="宋体" w:hAnsi="宋体" w:eastAsia="宋体" w:cs="宋体"/>
          <w:sz w:val="24"/>
          <w:szCs w:val="24"/>
        </w:rPr>
        <w:t>见花岗岩侵入体，被上侏罗统（J</w:t>
      </w:r>
      <w:r>
        <w:rPr>
          <w:rFonts w:ascii="宋体" w:hAnsi="宋体" w:eastAsia="宋体" w:cs="宋体"/>
          <w:position w:val="-3"/>
          <w:sz w:val="12"/>
          <w:szCs w:val="12"/>
        </w:rPr>
        <w:t>3</w:t>
      </w:r>
      <w:r>
        <w:rPr>
          <w:rFonts w:ascii="宋体" w:hAnsi="宋体" w:eastAsia="宋体" w:cs="宋体"/>
          <w:sz w:val="24"/>
          <w:szCs w:val="24"/>
        </w:rPr>
        <w:t>xn</w:t>
      </w:r>
      <w:r>
        <w:rPr>
          <w:rFonts w:ascii="宋体" w:hAnsi="宋体" w:eastAsia="宋体" w:cs="宋体"/>
          <w:position w:val="11"/>
          <w:sz w:val="12"/>
          <w:szCs w:val="12"/>
        </w:rPr>
        <w:t>2</w:t>
      </w:r>
      <w:r>
        <w:rPr>
          <w:rFonts w:ascii="宋体" w:hAnsi="宋体" w:eastAsia="宋体" w:cs="宋体"/>
          <w:spacing w:val="-23"/>
          <w:position w:val="11"/>
          <w:sz w:val="12"/>
          <w:szCs w:val="12"/>
        </w:rPr>
        <w:t xml:space="preserve"> </w:t>
      </w:r>
      <w:r>
        <w:rPr>
          <w:rFonts w:ascii="宋体" w:hAnsi="宋体" w:eastAsia="宋体" w:cs="宋体"/>
          <w:sz w:val="24"/>
          <w:szCs w:val="24"/>
        </w:rPr>
        <w:t xml:space="preserve">） </w:t>
      </w:r>
      <w:r>
        <w:rPr>
          <w:rFonts w:ascii="宋体" w:hAnsi="宋体" w:eastAsia="宋体" w:cs="宋体"/>
          <w:spacing w:val="-2"/>
          <w:sz w:val="24"/>
          <w:szCs w:val="24"/>
        </w:rPr>
        <w:t>不整合覆盖。</w:t>
      </w:r>
    </w:p>
    <w:p w14:paraId="7FDEE13E">
      <w:pPr>
        <w:spacing w:before="36" w:line="229" w:lineRule="auto"/>
        <w:ind w:left="512"/>
        <w:rPr>
          <w:rFonts w:ascii="宋体" w:hAnsi="宋体" w:eastAsia="宋体" w:cs="宋体"/>
          <w:sz w:val="24"/>
          <w:szCs w:val="24"/>
        </w:rPr>
      </w:pPr>
      <w:r>
        <w:rPr>
          <w:rFonts w:ascii="宋体" w:hAnsi="宋体" w:eastAsia="宋体" w:cs="宋体"/>
          <w:spacing w:val="-2"/>
          <w:sz w:val="24"/>
          <w:szCs w:val="24"/>
        </w:rPr>
        <w:t>（3）上侏罗统兴安岭群（J</w:t>
      </w:r>
      <w:r>
        <w:rPr>
          <w:rFonts w:ascii="宋体" w:hAnsi="宋体" w:eastAsia="宋体" w:cs="宋体"/>
          <w:spacing w:val="-2"/>
          <w:position w:val="-3"/>
          <w:sz w:val="12"/>
          <w:szCs w:val="12"/>
        </w:rPr>
        <w:t>3</w:t>
      </w:r>
      <w:r>
        <w:rPr>
          <w:rFonts w:ascii="宋体" w:hAnsi="宋体" w:eastAsia="宋体" w:cs="宋体"/>
          <w:spacing w:val="-2"/>
          <w:sz w:val="24"/>
          <w:szCs w:val="24"/>
        </w:rPr>
        <w:t>xn）</w:t>
      </w:r>
    </w:p>
    <w:p w14:paraId="179821B7">
      <w:pPr>
        <w:spacing w:before="171" w:line="219" w:lineRule="auto"/>
        <w:ind w:left="503"/>
        <w:rPr>
          <w:rFonts w:ascii="宋体" w:hAnsi="宋体" w:eastAsia="宋体" w:cs="宋体"/>
          <w:sz w:val="24"/>
          <w:szCs w:val="24"/>
        </w:rPr>
      </w:pPr>
      <w:r>
        <w:rPr>
          <w:rFonts w:ascii="宋体" w:hAnsi="宋体" w:eastAsia="宋体" w:cs="宋体"/>
          <w:spacing w:val="-5"/>
          <w:sz w:val="24"/>
          <w:szCs w:val="24"/>
        </w:rPr>
        <w:t>分为三个岩组，</w:t>
      </w:r>
      <w:r>
        <w:rPr>
          <w:rFonts w:ascii="宋体" w:hAnsi="宋体" w:eastAsia="宋体" w:cs="宋体"/>
          <w:spacing w:val="-69"/>
          <w:sz w:val="24"/>
          <w:szCs w:val="24"/>
        </w:rPr>
        <w:t xml:space="preserve"> </w:t>
      </w:r>
      <w:r>
        <w:rPr>
          <w:rFonts w:ascii="宋体" w:hAnsi="宋体" w:eastAsia="宋体" w:cs="宋体"/>
          <w:spacing w:val="-5"/>
          <w:sz w:val="24"/>
          <w:szCs w:val="24"/>
        </w:rPr>
        <w:t>自下而上为：</w:t>
      </w:r>
    </w:p>
    <w:p w14:paraId="6FA69A86">
      <w:pPr>
        <w:tabs>
          <w:tab w:val="left" w:pos="582"/>
        </w:tabs>
        <w:spacing w:before="165" w:line="242" w:lineRule="auto"/>
        <w:ind w:left="490"/>
        <w:rPr>
          <w:rFonts w:ascii="宋体" w:hAnsi="宋体" w:eastAsia="宋体" w:cs="宋体"/>
          <w:sz w:val="24"/>
          <w:szCs w:val="24"/>
        </w:rPr>
      </w:pPr>
      <w:r>
        <w:rPr>
          <w:rFonts w:ascii="宋体" w:hAnsi="宋体" w:eastAsia="宋体" w:cs="宋体"/>
          <w:sz w:val="19"/>
          <w:szCs w:val="19"/>
        </w:rPr>
        <w:tab/>
      </w:r>
      <w:r>
        <w:rPr>
          <w:rFonts w:ascii="宋体" w:hAnsi="宋体" w:eastAsia="宋体" w:cs="宋体"/>
          <w:spacing w:val="-2"/>
          <w:sz w:val="19"/>
          <w:szCs w:val="19"/>
        </w:rPr>
        <w:t xml:space="preserve">1  </w:t>
      </w:r>
      <w:r>
        <w:rPr>
          <w:rFonts w:ascii="宋体" w:hAnsi="宋体" w:eastAsia="宋体" w:cs="宋体"/>
          <w:spacing w:val="-2"/>
          <w:sz w:val="24"/>
          <w:szCs w:val="24"/>
        </w:rPr>
        <w:t>火山碎屑岩组（J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pacing w:val="-2"/>
          <w:position w:val="11"/>
          <w:sz w:val="12"/>
          <w:szCs w:val="12"/>
        </w:rPr>
        <w:t>1</w:t>
      </w:r>
      <w:r>
        <w:rPr>
          <w:rFonts w:ascii="宋体" w:hAnsi="宋体" w:eastAsia="宋体" w:cs="宋体"/>
          <w:spacing w:val="-2"/>
          <w:sz w:val="24"/>
          <w:szCs w:val="24"/>
        </w:rPr>
        <w:t>）</w:t>
      </w:r>
    </w:p>
    <w:p w14:paraId="2049C9E8">
      <w:pPr>
        <w:spacing w:before="170" w:line="356" w:lineRule="auto"/>
        <w:ind w:left="24" w:right="162" w:firstLine="479"/>
        <w:jc w:val="both"/>
        <w:rPr>
          <w:rFonts w:ascii="宋体" w:hAnsi="宋体" w:eastAsia="宋体" w:cs="宋体"/>
          <w:sz w:val="24"/>
          <w:szCs w:val="24"/>
        </w:rPr>
      </w:pPr>
      <w:r>
        <w:rPr>
          <w:rFonts w:ascii="宋体" w:hAnsi="宋体" w:eastAsia="宋体" w:cs="宋体"/>
          <w:spacing w:val="-1"/>
          <w:sz w:val="24"/>
          <w:szCs w:val="24"/>
        </w:rPr>
        <w:t>分布于东北部，西部及高勒罕敖包一带，岩性为灰褐色凝灰质砂砾岩和含</w:t>
      </w:r>
      <w:r>
        <w:rPr>
          <w:rFonts w:ascii="宋体" w:hAnsi="宋体" w:eastAsia="宋体" w:cs="宋体"/>
          <w:spacing w:val="18"/>
          <w:sz w:val="24"/>
          <w:szCs w:val="24"/>
        </w:rPr>
        <w:t xml:space="preserve"> </w:t>
      </w:r>
      <w:r>
        <w:rPr>
          <w:rFonts w:ascii="宋体" w:hAnsi="宋体" w:eastAsia="宋体" w:cs="宋体"/>
          <w:sz w:val="24"/>
          <w:szCs w:val="24"/>
        </w:rPr>
        <w:t>角砾岩屑晶屑凝灰岩，向西相变为灰绿色角</w:t>
      </w:r>
      <w:r>
        <w:rPr>
          <w:rFonts w:ascii="宋体" w:hAnsi="宋体" w:eastAsia="宋体" w:cs="宋体"/>
          <w:spacing w:val="-1"/>
          <w:sz w:val="24"/>
          <w:szCs w:val="24"/>
        </w:rPr>
        <w:t>砾岩和灰紫色凝灰质砂岩，厚度大</w:t>
      </w:r>
      <w:r>
        <w:rPr>
          <w:rFonts w:ascii="宋体" w:hAnsi="宋体" w:eastAsia="宋体" w:cs="宋体"/>
          <w:sz w:val="24"/>
          <w:szCs w:val="24"/>
        </w:rPr>
        <w:t xml:space="preserve"> </w:t>
      </w:r>
      <w:r>
        <w:rPr>
          <w:rFonts w:ascii="宋体" w:hAnsi="宋体" w:eastAsia="宋体" w:cs="宋体"/>
          <w:spacing w:val="-4"/>
          <w:sz w:val="24"/>
          <w:szCs w:val="24"/>
        </w:rPr>
        <w:t>于</w:t>
      </w:r>
      <w:r>
        <w:rPr>
          <w:rFonts w:ascii="宋体" w:hAnsi="宋体" w:eastAsia="宋体" w:cs="宋体"/>
          <w:spacing w:val="-18"/>
          <w:sz w:val="24"/>
          <w:szCs w:val="24"/>
        </w:rPr>
        <w:t xml:space="preserve"> </w:t>
      </w:r>
      <w:r>
        <w:rPr>
          <w:rFonts w:ascii="宋体" w:hAnsi="宋体" w:eastAsia="宋体" w:cs="宋体"/>
          <w:spacing w:val="-4"/>
          <w:sz w:val="24"/>
          <w:szCs w:val="24"/>
        </w:rPr>
        <w:t>1179.9m，与（P</w:t>
      </w:r>
      <w:r>
        <w:rPr>
          <w:rFonts w:ascii="宋体" w:hAnsi="宋体" w:eastAsia="宋体" w:cs="宋体"/>
          <w:spacing w:val="-4"/>
          <w:position w:val="-3"/>
          <w:sz w:val="12"/>
          <w:szCs w:val="12"/>
        </w:rPr>
        <w:t>1</w:t>
      </w:r>
      <w:r>
        <w:rPr>
          <w:rFonts w:ascii="宋体" w:hAnsi="宋体" w:eastAsia="宋体" w:cs="宋体"/>
          <w:spacing w:val="-4"/>
          <w:sz w:val="24"/>
          <w:szCs w:val="24"/>
        </w:rPr>
        <w:t>q</w:t>
      </w:r>
      <w:r>
        <w:rPr>
          <w:rFonts w:ascii="宋体" w:hAnsi="宋体" w:eastAsia="宋体" w:cs="宋体"/>
          <w:spacing w:val="-4"/>
          <w:position w:val="11"/>
          <w:sz w:val="12"/>
          <w:szCs w:val="12"/>
        </w:rPr>
        <w:t>5</w:t>
      </w:r>
      <w:r>
        <w:rPr>
          <w:rFonts w:ascii="宋体" w:hAnsi="宋体" w:eastAsia="宋体" w:cs="宋体"/>
          <w:spacing w:val="-25"/>
          <w:position w:val="11"/>
          <w:sz w:val="12"/>
          <w:szCs w:val="12"/>
        </w:rPr>
        <w:t xml:space="preserve"> </w:t>
      </w:r>
      <w:r>
        <w:rPr>
          <w:rFonts w:ascii="宋体" w:hAnsi="宋体" w:eastAsia="宋体" w:cs="宋体"/>
          <w:spacing w:val="-4"/>
          <w:sz w:val="24"/>
          <w:szCs w:val="24"/>
        </w:rPr>
        <w:t>）呈不整合接触。</w:t>
      </w:r>
    </w:p>
    <w:p w14:paraId="58D16683">
      <w:pPr>
        <w:tabs>
          <w:tab w:val="left" w:pos="570"/>
        </w:tabs>
        <w:spacing w:before="1" w:line="241" w:lineRule="auto"/>
        <w:ind w:left="490"/>
        <w:rPr>
          <w:rFonts w:ascii="宋体" w:hAnsi="宋体" w:eastAsia="宋体" w:cs="宋体"/>
          <w:sz w:val="24"/>
          <w:szCs w:val="24"/>
        </w:rPr>
      </w:pPr>
      <w:r>
        <w:rPr>
          <w:rFonts w:ascii="宋体" w:hAnsi="宋体" w:eastAsia="宋体" w:cs="宋体"/>
          <w:sz w:val="19"/>
          <w:szCs w:val="19"/>
        </w:rPr>
        <w:tab/>
      </w:r>
      <w:r>
        <w:rPr>
          <w:rFonts w:ascii="宋体" w:hAnsi="宋体" w:eastAsia="宋体" w:cs="宋体"/>
          <w:spacing w:val="-3"/>
          <w:sz w:val="19"/>
          <w:szCs w:val="19"/>
        </w:rPr>
        <w:t>2</w:t>
      </w:r>
      <w:r>
        <w:rPr>
          <w:rFonts w:ascii="宋体" w:hAnsi="宋体" w:eastAsia="宋体" w:cs="宋体"/>
          <w:spacing w:val="19"/>
          <w:sz w:val="19"/>
          <w:szCs w:val="19"/>
        </w:rPr>
        <w:t xml:space="preserve">  </w:t>
      </w:r>
      <w:r>
        <w:rPr>
          <w:rFonts w:ascii="宋体" w:hAnsi="宋体" w:eastAsia="宋体" w:cs="宋体"/>
          <w:spacing w:val="-3"/>
          <w:sz w:val="24"/>
          <w:szCs w:val="24"/>
        </w:rPr>
        <w:t>中酸性火山岩组（J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2</w:t>
      </w:r>
      <w:r>
        <w:rPr>
          <w:rFonts w:ascii="宋体" w:hAnsi="宋体" w:eastAsia="宋体" w:cs="宋体"/>
          <w:spacing w:val="-3"/>
          <w:sz w:val="24"/>
          <w:szCs w:val="24"/>
        </w:rPr>
        <w:t>）</w:t>
      </w:r>
    </w:p>
    <w:p w14:paraId="42427671">
      <w:pPr>
        <w:spacing w:before="170" w:line="354" w:lineRule="auto"/>
        <w:ind w:left="24" w:right="63" w:firstLine="479"/>
        <w:jc w:val="both"/>
        <w:rPr>
          <w:rFonts w:ascii="宋体" w:hAnsi="宋体" w:eastAsia="宋体" w:cs="宋体"/>
          <w:sz w:val="24"/>
          <w:szCs w:val="24"/>
        </w:rPr>
      </w:pPr>
      <w:r>
        <w:rPr>
          <w:rFonts w:ascii="宋体" w:hAnsi="宋体" w:eastAsia="宋体" w:cs="宋体"/>
          <w:spacing w:val="-1"/>
          <w:sz w:val="24"/>
          <w:szCs w:val="24"/>
        </w:rPr>
        <w:t>分布于沙巴尔乌拉、珠日和林场东北部一带，岩性为灰、灰绿色、灰紫色</w:t>
      </w:r>
      <w:r>
        <w:rPr>
          <w:rFonts w:ascii="宋体" w:hAnsi="宋体" w:eastAsia="宋体" w:cs="宋体"/>
          <w:spacing w:val="18"/>
          <w:sz w:val="24"/>
          <w:szCs w:val="24"/>
        </w:rPr>
        <w:t xml:space="preserve"> </w:t>
      </w:r>
      <w:r>
        <w:rPr>
          <w:rFonts w:ascii="宋体" w:hAnsi="宋体" w:eastAsia="宋体" w:cs="宋体"/>
          <w:spacing w:val="-12"/>
          <w:sz w:val="24"/>
          <w:szCs w:val="24"/>
        </w:rPr>
        <w:t>安山岩、安山玢岩夹岩屑晶屑凝灰岩，厚度大于</w:t>
      </w:r>
      <w:r>
        <w:rPr>
          <w:rFonts w:ascii="宋体" w:hAnsi="宋体" w:eastAsia="宋体" w:cs="宋体"/>
          <w:spacing w:val="-47"/>
          <w:sz w:val="24"/>
          <w:szCs w:val="24"/>
        </w:rPr>
        <w:t xml:space="preserve"> </w:t>
      </w:r>
      <w:r>
        <w:rPr>
          <w:rFonts w:ascii="宋体" w:hAnsi="宋体" w:eastAsia="宋体" w:cs="宋体"/>
          <w:spacing w:val="-12"/>
          <w:sz w:val="24"/>
          <w:szCs w:val="24"/>
        </w:rPr>
        <w:t>806.3m，与火山碎屑岩组（J</w:t>
      </w:r>
      <w:r>
        <w:rPr>
          <w:rFonts w:ascii="宋体" w:hAnsi="宋体" w:eastAsia="宋体" w:cs="宋体"/>
          <w:spacing w:val="-5"/>
          <w:position w:val="-3"/>
          <w:sz w:val="12"/>
          <w:szCs w:val="12"/>
        </w:rPr>
        <w:t>3</w:t>
      </w:r>
      <w:r>
        <w:rPr>
          <w:rFonts w:ascii="宋体" w:hAnsi="宋体" w:eastAsia="宋体" w:cs="宋体"/>
          <w:spacing w:val="-5"/>
          <w:sz w:val="24"/>
          <w:szCs w:val="24"/>
        </w:rPr>
        <w:t>xn</w:t>
      </w:r>
      <w:r>
        <w:rPr>
          <w:rFonts w:ascii="宋体" w:hAnsi="宋体" w:eastAsia="宋体" w:cs="宋体"/>
          <w:spacing w:val="-5"/>
          <w:position w:val="11"/>
          <w:sz w:val="12"/>
          <w:szCs w:val="12"/>
        </w:rPr>
        <w:t>1</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不整合覆盖。</w:t>
      </w:r>
    </w:p>
    <w:p w14:paraId="7FFFFB42">
      <w:pPr>
        <w:tabs>
          <w:tab w:val="left" w:pos="572"/>
        </w:tabs>
        <w:spacing w:before="6" w:line="242" w:lineRule="auto"/>
        <w:ind w:left="490"/>
        <w:rPr>
          <w:rFonts w:ascii="宋体" w:hAnsi="宋体" w:eastAsia="宋体" w:cs="宋体"/>
          <w:sz w:val="24"/>
          <w:szCs w:val="24"/>
        </w:rPr>
      </w:pPr>
      <w:r>
        <w:rPr>
          <w:rFonts w:ascii="宋体" w:hAnsi="宋体" w:eastAsia="宋体" w:cs="宋体"/>
          <w:sz w:val="19"/>
          <w:szCs w:val="19"/>
        </w:rPr>
        <w:tab/>
      </w:r>
      <w:r>
        <w:rPr>
          <w:rFonts w:ascii="宋体" w:hAnsi="宋体" w:eastAsia="宋体" w:cs="宋体"/>
          <w:spacing w:val="-1"/>
          <w:sz w:val="19"/>
          <w:szCs w:val="19"/>
        </w:rPr>
        <w:t xml:space="preserve">3  </w:t>
      </w:r>
      <w:r>
        <w:rPr>
          <w:rFonts w:ascii="宋体" w:hAnsi="宋体" w:eastAsia="宋体" w:cs="宋体"/>
          <w:spacing w:val="-1"/>
          <w:sz w:val="24"/>
          <w:szCs w:val="24"/>
        </w:rPr>
        <w:t>酸性火山岩组（J</w:t>
      </w:r>
      <w:r>
        <w:rPr>
          <w:rFonts w:ascii="宋体" w:hAnsi="宋体" w:eastAsia="宋体" w:cs="宋体"/>
          <w:spacing w:val="-1"/>
          <w:position w:val="-3"/>
          <w:sz w:val="12"/>
          <w:szCs w:val="12"/>
        </w:rPr>
        <w:t>3</w:t>
      </w:r>
      <w:r>
        <w:rPr>
          <w:rFonts w:ascii="宋体" w:hAnsi="宋体" w:eastAsia="宋体" w:cs="宋体"/>
          <w:spacing w:val="-1"/>
          <w:sz w:val="24"/>
          <w:szCs w:val="24"/>
        </w:rPr>
        <w:t>xn</w:t>
      </w:r>
      <w:r>
        <w:rPr>
          <w:rFonts w:ascii="宋体" w:hAnsi="宋体" w:eastAsia="宋体" w:cs="宋体"/>
          <w:spacing w:val="-1"/>
          <w:position w:val="11"/>
          <w:sz w:val="12"/>
          <w:szCs w:val="12"/>
        </w:rPr>
        <w:t>3</w:t>
      </w:r>
      <w:r>
        <w:rPr>
          <w:rFonts w:ascii="宋体" w:hAnsi="宋体" w:eastAsia="宋体" w:cs="宋体"/>
          <w:spacing w:val="-1"/>
          <w:sz w:val="24"/>
          <w:szCs w:val="24"/>
        </w:rPr>
        <w:t>）</w:t>
      </w:r>
    </w:p>
    <w:p w14:paraId="3B4FA668">
      <w:pPr>
        <w:spacing w:before="171" w:line="360" w:lineRule="auto"/>
        <w:ind w:left="38" w:right="101" w:firstLine="465"/>
        <w:jc w:val="both"/>
        <w:rPr>
          <w:rFonts w:ascii="宋体" w:hAnsi="宋体" w:eastAsia="宋体" w:cs="宋体"/>
          <w:sz w:val="24"/>
          <w:szCs w:val="24"/>
        </w:rPr>
      </w:pPr>
      <w:r>
        <w:rPr>
          <w:rFonts w:ascii="宋体" w:hAnsi="宋体" w:eastAsia="宋体" w:cs="宋体"/>
          <w:spacing w:val="-6"/>
          <w:sz w:val="24"/>
          <w:szCs w:val="24"/>
        </w:rPr>
        <w:t>分布较广泛，岩性为灰白、紫褐色流纹质含火山角砾岩屑晶屑玻屑凝灰岩，</w:t>
      </w:r>
      <w:r>
        <w:rPr>
          <w:rFonts w:ascii="宋体" w:hAnsi="宋体" w:eastAsia="宋体" w:cs="宋体"/>
          <w:spacing w:val="6"/>
          <w:sz w:val="24"/>
          <w:szCs w:val="24"/>
        </w:rPr>
        <w:t xml:space="preserve"> </w:t>
      </w:r>
      <w:r>
        <w:rPr>
          <w:rFonts w:ascii="宋体" w:hAnsi="宋体" w:eastAsia="宋体" w:cs="宋体"/>
          <w:spacing w:val="14"/>
          <w:sz w:val="24"/>
          <w:szCs w:val="24"/>
        </w:rPr>
        <w:t>向东相变为流纹质熔接凝灰岩、流纹岩夹珍珠岩，顶部为砾岩，厚度大于</w:t>
      </w:r>
      <w:r>
        <w:rPr>
          <w:rFonts w:ascii="宋体" w:hAnsi="宋体" w:eastAsia="宋体" w:cs="宋体"/>
          <w:spacing w:val="3"/>
          <w:sz w:val="24"/>
          <w:szCs w:val="24"/>
        </w:rPr>
        <w:t xml:space="preserve"> </w:t>
      </w:r>
      <w:r>
        <w:rPr>
          <w:rFonts w:ascii="宋体" w:hAnsi="宋体" w:eastAsia="宋体" w:cs="宋体"/>
          <w:spacing w:val="-2"/>
          <w:sz w:val="24"/>
          <w:szCs w:val="24"/>
        </w:rPr>
        <w:t>1698.7m，在哈日根台一带可见与第四系（Q</w:t>
      </w:r>
      <w:r>
        <w:rPr>
          <w:rFonts w:ascii="宋体" w:hAnsi="宋体" w:eastAsia="宋体" w:cs="宋体"/>
          <w:spacing w:val="-2"/>
          <w:position w:val="-3"/>
          <w:sz w:val="12"/>
          <w:szCs w:val="12"/>
        </w:rPr>
        <w:t>4</w:t>
      </w:r>
      <w:r>
        <w:rPr>
          <w:rFonts w:ascii="宋体" w:hAnsi="宋体" w:eastAsia="宋体" w:cs="宋体"/>
          <w:spacing w:val="-2"/>
          <w:position w:val="11"/>
          <w:sz w:val="12"/>
          <w:szCs w:val="12"/>
        </w:rPr>
        <w:t>fgl</w:t>
      </w:r>
      <w:r>
        <w:rPr>
          <w:rFonts w:ascii="宋体" w:hAnsi="宋体" w:eastAsia="宋体" w:cs="宋体"/>
          <w:spacing w:val="-15"/>
          <w:position w:val="11"/>
          <w:sz w:val="12"/>
          <w:szCs w:val="12"/>
        </w:rPr>
        <w:t xml:space="preserve"> </w:t>
      </w:r>
      <w:r>
        <w:rPr>
          <w:rFonts w:ascii="宋体" w:hAnsi="宋体" w:eastAsia="宋体" w:cs="宋体"/>
          <w:spacing w:val="-2"/>
          <w:sz w:val="24"/>
          <w:szCs w:val="24"/>
        </w:rPr>
        <w:t>）地层呈不整合接触。</w:t>
      </w:r>
    </w:p>
    <w:p w14:paraId="5A705718">
      <w:pPr>
        <w:spacing w:before="1" w:line="221" w:lineRule="auto"/>
        <w:ind w:left="505"/>
        <w:rPr>
          <w:rFonts w:ascii="宋体" w:hAnsi="宋体" w:eastAsia="宋体" w:cs="宋体"/>
          <w:sz w:val="24"/>
          <w:szCs w:val="24"/>
        </w:rPr>
      </w:pPr>
      <w:r>
        <w:rPr>
          <w:rFonts w:ascii="宋体" w:hAnsi="宋体" w:eastAsia="宋体" w:cs="宋体"/>
          <w:spacing w:val="-3"/>
          <w:sz w:val="24"/>
          <w:szCs w:val="24"/>
        </w:rPr>
        <w:t>3）白垩系</w:t>
      </w:r>
    </w:p>
    <w:p w14:paraId="3E6086AD">
      <w:pPr>
        <w:spacing w:before="180" w:line="229" w:lineRule="auto"/>
        <w:ind w:left="512"/>
        <w:rPr>
          <w:rFonts w:ascii="宋体" w:hAnsi="宋体" w:eastAsia="宋体" w:cs="宋体"/>
          <w:sz w:val="24"/>
          <w:szCs w:val="24"/>
        </w:rPr>
      </w:pPr>
      <w:r>
        <w:rPr>
          <w:rFonts w:ascii="宋体" w:hAnsi="宋体" w:eastAsia="宋体" w:cs="宋体"/>
          <w:spacing w:val="-2"/>
          <w:sz w:val="24"/>
          <w:szCs w:val="24"/>
        </w:rPr>
        <w:t>（1）下白垩统巴彦花组（K</w:t>
      </w:r>
      <w:r>
        <w:rPr>
          <w:rFonts w:ascii="宋体" w:hAnsi="宋体" w:eastAsia="宋体" w:cs="宋体"/>
          <w:spacing w:val="-2"/>
          <w:position w:val="-3"/>
          <w:sz w:val="12"/>
          <w:szCs w:val="12"/>
        </w:rPr>
        <w:t>1</w:t>
      </w:r>
      <w:r>
        <w:rPr>
          <w:rFonts w:ascii="宋体" w:hAnsi="宋体" w:eastAsia="宋体" w:cs="宋体"/>
          <w:spacing w:val="-2"/>
          <w:sz w:val="24"/>
          <w:szCs w:val="24"/>
        </w:rPr>
        <w:t>b）</w:t>
      </w:r>
    </w:p>
    <w:p w14:paraId="56FC3744">
      <w:pPr>
        <w:spacing w:before="170" w:line="360" w:lineRule="auto"/>
        <w:ind w:left="23" w:right="162" w:firstLine="477"/>
        <w:rPr>
          <w:rFonts w:ascii="宋体" w:hAnsi="宋体" w:eastAsia="宋体" w:cs="宋体"/>
          <w:sz w:val="24"/>
          <w:szCs w:val="24"/>
        </w:rPr>
      </w:pPr>
      <w:r>
        <w:rPr>
          <w:rFonts w:ascii="宋体" w:hAnsi="宋体" w:eastAsia="宋体" w:cs="宋体"/>
          <w:spacing w:val="16"/>
          <w:sz w:val="24"/>
          <w:szCs w:val="24"/>
        </w:rPr>
        <w:t>集中分布于巴彦花盆地中，基本被第四系地</w:t>
      </w:r>
      <w:r>
        <w:rPr>
          <w:rFonts w:ascii="宋体" w:hAnsi="宋体" w:eastAsia="宋体" w:cs="宋体"/>
          <w:spacing w:val="15"/>
          <w:sz w:val="24"/>
          <w:szCs w:val="24"/>
        </w:rPr>
        <w:t>层不整合覆盖，厚度大于</w:t>
      </w:r>
      <w:r>
        <w:rPr>
          <w:rFonts w:ascii="宋体" w:hAnsi="宋体" w:eastAsia="宋体" w:cs="宋体"/>
          <w:sz w:val="24"/>
          <w:szCs w:val="24"/>
        </w:rPr>
        <w:t xml:space="preserve"> </w:t>
      </w:r>
      <w:r>
        <w:rPr>
          <w:rFonts w:ascii="宋体" w:hAnsi="宋体" w:eastAsia="宋体" w:cs="宋体"/>
          <w:spacing w:val="-1"/>
          <w:sz w:val="24"/>
          <w:szCs w:val="24"/>
        </w:rPr>
        <w:t>2183.9m，将本组分五段，由上至下为：</w:t>
      </w:r>
    </w:p>
    <w:p w14:paraId="580864CE">
      <w:pPr>
        <w:spacing w:before="1" w:line="219" w:lineRule="auto"/>
        <w:ind w:left="501"/>
        <w:rPr>
          <w:rFonts w:ascii="宋体" w:hAnsi="宋体" w:eastAsia="宋体" w:cs="宋体"/>
          <w:sz w:val="24"/>
          <w:szCs w:val="24"/>
        </w:rPr>
      </w:pPr>
      <w:r>
        <w:rPr>
          <w:rFonts w:ascii="宋体" w:hAnsi="宋体" w:eastAsia="宋体" w:cs="宋体"/>
          <w:sz w:val="24"/>
          <w:szCs w:val="24"/>
        </w:rPr>
        <w:t>第五段：岩性为浅灰色、灰白色、灰绿色砂砾岩</w:t>
      </w:r>
      <w:r>
        <w:rPr>
          <w:rFonts w:ascii="宋体" w:hAnsi="宋体" w:eastAsia="宋体" w:cs="宋体"/>
          <w:spacing w:val="-1"/>
          <w:sz w:val="24"/>
          <w:szCs w:val="24"/>
        </w:rPr>
        <w:t>与中砂岩、粗砂岩、细砂</w:t>
      </w:r>
    </w:p>
    <w:p w14:paraId="3F48D132">
      <w:pPr>
        <w:spacing w:line="219" w:lineRule="auto"/>
        <w:rPr>
          <w:rFonts w:ascii="宋体" w:hAnsi="宋体" w:eastAsia="宋体" w:cs="宋体"/>
          <w:sz w:val="24"/>
          <w:szCs w:val="24"/>
        </w:rPr>
        <w:sectPr>
          <w:footerReference r:id="rId162" w:type="default"/>
          <w:pgSz w:w="11906" w:h="16839"/>
          <w:pgMar w:top="1208" w:right="1785" w:bottom="1358" w:left="1785" w:header="825" w:footer="1195" w:gutter="0"/>
          <w:cols w:space="720" w:num="1"/>
        </w:sectPr>
      </w:pPr>
    </w:p>
    <w:p w14:paraId="11B1AA09">
      <w:pPr>
        <w:pStyle w:val="2"/>
        <w:spacing w:line="265" w:lineRule="auto"/>
      </w:pPr>
    </w:p>
    <w:p w14:paraId="54B44628">
      <w:pPr>
        <w:spacing w:before="78" w:line="360" w:lineRule="auto"/>
        <w:ind w:left="42" w:right="162" w:hanging="21"/>
        <w:rPr>
          <w:rFonts w:ascii="宋体" w:hAnsi="宋体" w:eastAsia="宋体" w:cs="宋体"/>
          <w:sz w:val="24"/>
          <w:szCs w:val="24"/>
        </w:rPr>
      </w:pPr>
      <w:r>
        <w:rPr>
          <w:rFonts w:ascii="宋体" w:hAnsi="宋体" w:eastAsia="宋体" w:cs="宋体"/>
          <w:sz w:val="24"/>
          <w:szCs w:val="24"/>
        </w:rPr>
        <w:t>岩互层，偶见薄层粘土岩，砾石成分主要为石英岩、</w:t>
      </w:r>
      <w:r>
        <w:rPr>
          <w:rFonts w:ascii="宋体" w:hAnsi="宋体" w:eastAsia="宋体" w:cs="宋体"/>
          <w:spacing w:val="-1"/>
          <w:sz w:val="24"/>
          <w:szCs w:val="24"/>
        </w:rPr>
        <w:t>变质粉砂岩、流纹岩、安</w:t>
      </w:r>
      <w:r>
        <w:rPr>
          <w:rFonts w:ascii="宋体" w:hAnsi="宋体" w:eastAsia="宋体" w:cs="宋体"/>
          <w:sz w:val="24"/>
          <w:szCs w:val="24"/>
        </w:rPr>
        <w:t xml:space="preserve"> </w:t>
      </w:r>
      <w:r>
        <w:rPr>
          <w:rFonts w:ascii="宋体" w:hAnsi="宋体" w:eastAsia="宋体" w:cs="宋体"/>
          <w:spacing w:val="-6"/>
          <w:sz w:val="24"/>
          <w:szCs w:val="24"/>
        </w:rPr>
        <w:t>山岩等组成。</w:t>
      </w:r>
    </w:p>
    <w:p w14:paraId="6EA0413C">
      <w:pPr>
        <w:spacing w:before="2" w:line="359" w:lineRule="auto"/>
        <w:ind w:left="25" w:right="162" w:firstLine="475"/>
        <w:rPr>
          <w:rFonts w:ascii="宋体" w:hAnsi="宋体" w:eastAsia="宋体" w:cs="宋体"/>
          <w:sz w:val="24"/>
          <w:szCs w:val="24"/>
        </w:rPr>
      </w:pPr>
      <w:r>
        <w:rPr>
          <w:rFonts w:ascii="宋体" w:hAnsi="宋体" w:eastAsia="宋体" w:cs="宋体"/>
          <w:sz w:val="24"/>
          <w:szCs w:val="24"/>
        </w:rPr>
        <w:t>第四段：岩性为灰色、深灰色粉砂岩、粉砂质粘</w:t>
      </w:r>
      <w:r>
        <w:rPr>
          <w:rFonts w:ascii="宋体" w:hAnsi="宋体" w:eastAsia="宋体" w:cs="宋体"/>
          <w:spacing w:val="-1"/>
          <w:sz w:val="24"/>
          <w:szCs w:val="24"/>
        </w:rPr>
        <w:t>土岩，偶夹细砂岩，泥岩</w:t>
      </w:r>
      <w:r>
        <w:rPr>
          <w:rFonts w:ascii="宋体" w:hAnsi="宋体" w:eastAsia="宋体" w:cs="宋体"/>
          <w:sz w:val="24"/>
          <w:szCs w:val="24"/>
        </w:rPr>
        <w:t xml:space="preserve"> </w:t>
      </w:r>
      <w:r>
        <w:rPr>
          <w:rFonts w:ascii="宋体" w:hAnsi="宋体" w:eastAsia="宋体" w:cs="宋体"/>
          <w:spacing w:val="-1"/>
          <w:sz w:val="24"/>
          <w:szCs w:val="24"/>
        </w:rPr>
        <w:t>薄层，显细水平层理，含植物化石碎片，最大厚度为</w:t>
      </w:r>
      <w:r>
        <w:rPr>
          <w:rFonts w:ascii="宋体" w:hAnsi="宋体" w:eastAsia="宋体" w:cs="宋体"/>
          <w:spacing w:val="-46"/>
          <w:sz w:val="24"/>
          <w:szCs w:val="24"/>
        </w:rPr>
        <w:t xml:space="preserve"> </w:t>
      </w:r>
      <w:r>
        <w:rPr>
          <w:rFonts w:ascii="宋体" w:hAnsi="宋体" w:eastAsia="宋体" w:cs="宋体"/>
          <w:spacing w:val="-1"/>
          <w:sz w:val="24"/>
          <w:szCs w:val="24"/>
        </w:rPr>
        <w:t>597.4m。</w:t>
      </w:r>
    </w:p>
    <w:p w14:paraId="01F65626">
      <w:pPr>
        <w:spacing w:before="2" w:line="359" w:lineRule="auto"/>
        <w:ind w:left="20" w:right="162" w:firstLine="480"/>
        <w:rPr>
          <w:rFonts w:ascii="宋体" w:hAnsi="宋体" w:eastAsia="宋体" w:cs="宋体"/>
          <w:sz w:val="24"/>
          <w:szCs w:val="24"/>
        </w:rPr>
      </w:pPr>
      <w:r>
        <w:rPr>
          <w:rFonts w:ascii="宋体" w:hAnsi="宋体" w:eastAsia="宋体" w:cs="宋体"/>
          <w:spacing w:val="-4"/>
          <w:sz w:val="24"/>
          <w:szCs w:val="24"/>
        </w:rPr>
        <w:t>第三段：由灰-深灰色粉砂岩、粘土岩与煤互层组成，分为三个组，最大厚</w:t>
      </w:r>
      <w:r>
        <w:rPr>
          <w:rFonts w:ascii="宋体" w:hAnsi="宋体" w:eastAsia="宋体" w:cs="宋体"/>
          <w:spacing w:val="1"/>
          <w:sz w:val="24"/>
          <w:szCs w:val="24"/>
        </w:rPr>
        <w:t xml:space="preserve"> </w:t>
      </w:r>
      <w:r>
        <w:rPr>
          <w:rFonts w:ascii="宋体" w:hAnsi="宋体" w:eastAsia="宋体" w:cs="宋体"/>
          <w:spacing w:val="-2"/>
          <w:sz w:val="24"/>
          <w:szCs w:val="24"/>
        </w:rPr>
        <w:t>度达</w:t>
      </w:r>
      <w:r>
        <w:rPr>
          <w:rFonts w:ascii="宋体" w:hAnsi="宋体" w:eastAsia="宋体" w:cs="宋体"/>
          <w:spacing w:val="-36"/>
          <w:sz w:val="24"/>
          <w:szCs w:val="24"/>
        </w:rPr>
        <w:t xml:space="preserve"> </w:t>
      </w:r>
      <w:r>
        <w:rPr>
          <w:rFonts w:ascii="宋体" w:hAnsi="宋体" w:eastAsia="宋体" w:cs="宋体"/>
          <w:spacing w:val="-2"/>
          <w:sz w:val="24"/>
          <w:szCs w:val="24"/>
        </w:rPr>
        <w:t>98.8m，含植物化石，整个岩段厚</w:t>
      </w:r>
      <w:r>
        <w:rPr>
          <w:rFonts w:ascii="宋体" w:hAnsi="宋体" w:eastAsia="宋体" w:cs="宋体"/>
          <w:spacing w:val="-46"/>
          <w:sz w:val="24"/>
          <w:szCs w:val="24"/>
        </w:rPr>
        <w:t xml:space="preserve"> </w:t>
      </w:r>
      <w:r>
        <w:rPr>
          <w:rFonts w:ascii="宋体" w:hAnsi="宋体" w:eastAsia="宋体" w:cs="宋体"/>
          <w:spacing w:val="-2"/>
          <w:sz w:val="24"/>
          <w:szCs w:val="24"/>
        </w:rPr>
        <w:t>316m。</w:t>
      </w:r>
    </w:p>
    <w:p w14:paraId="6D8C8CAE">
      <w:pPr>
        <w:spacing w:before="2" w:line="359" w:lineRule="auto"/>
        <w:ind w:left="21" w:right="162" w:firstLine="480"/>
        <w:rPr>
          <w:rFonts w:ascii="宋体" w:hAnsi="宋体" w:eastAsia="宋体" w:cs="宋体"/>
          <w:sz w:val="24"/>
          <w:szCs w:val="24"/>
        </w:rPr>
      </w:pPr>
      <w:r>
        <w:rPr>
          <w:rFonts w:ascii="宋体" w:hAnsi="宋体" w:eastAsia="宋体" w:cs="宋体"/>
          <w:sz w:val="24"/>
          <w:szCs w:val="24"/>
        </w:rPr>
        <w:t>第二段：灰、深灰色巨厚层状细粉砂岩夹细砂岩</w:t>
      </w:r>
      <w:r>
        <w:rPr>
          <w:rFonts w:ascii="宋体" w:hAnsi="宋体" w:eastAsia="宋体" w:cs="宋体"/>
          <w:spacing w:val="-1"/>
          <w:sz w:val="24"/>
          <w:szCs w:val="24"/>
        </w:rPr>
        <w:t>，显细水平层理及缓波状</w:t>
      </w:r>
      <w:r>
        <w:rPr>
          <w:rFonts w:ascii="宋体" w:hAnsi="宋体" w:eastAsia="宋体" w:cs="宋体"/>
          <w:sz w:val="24"/>
          <w:szCs w:val="24"/>
        </w:rPr>
        <w:t xml:space="preserve"> </w:t>
      </w:r>
      <w:r>
        <w:rPr>
          <w:rFonts w:ascii="宋体" w:hAnsi="宋体" w:eastAsia="宋体" w:cs="宋体"/>
          <w:spacing w:val="-2"/>
          <w:sz w:val="24"/>
          <w:szCs w:val="24"/>
        </w:rPr>
        <w:t>层理，含少量化石，厚度为</w:t>
      </w:r>
      <w:r>
        <w:rPr>
          <w:rFonts w:ascii="宋体" w:hAnsi="宋体" w:eastAsia="宋体" w:cs="宋体"/>
          <w:spacing w:val="-33"/>
          <w:sz w:val="24"/>
          <w:szCs w:val="24"/>
        </w:rPr>
        <w:t xml:space="preserve"> </w:t>
      </w:r>
      <w:r>
        <w:rPr>
          <w:rFonts w:ascii="宋体" w:hAnsi="宋体" w:eastAsia="宋体" w:cs="宋体"/>
          <w:spacing w:val="-2"/>
          <w:sz w:val="24"/>
          <w:szCs w:val="24"/>
        </w:rPr>
        <w:t>544.8m。</w:t>
      </w:r>
    </w:p>
    <w:p w14:paraId="22B39127">
      <w:pPr>
        <w:spacing w:before="4" w:line="359" w:lineRule="auto"/>
        <w:ind w:left="20" w:right="162" w:firstLine="480"/>
        <w:jc w:val="both"/>
        <w:rPr>
          <w:rFonts w:ascii="宋体" w:hAnsi="宋体" w:eastAsia="宋体" w:cs="宋体"/>
          <w:sz w:val="24"/>
          <w:szCs w:val="24"/>
        </w:rPr>
      </w:pPr>
      <w:r>
        <w:rPr>
          <w:rFonts w:ascii="宋体" w:hAnsi="宋体" w:eastAsia="宋体" w:cs="宋体"/>
          <w:sz w:val="24"/>
          <w:szCs w:val="24"/>
        </w:rPr>
        <w:t>第一段：浅灰色砂砾岩夹粉砂岩，砾石成分为安</w:t>
      </w:r>
      <w:r>
        <w:rPr>
          <w:rFonts w:ascii="宋体" w:hAnsi="宋体" w:eastAsia="宋体" w:cs="宋体"/>
          <w:spacing w:val="-1"/>
          <w:sz w:val="24"/>
          <w:szCs w:val="24"/>
        </w:rPr>
        <w:t>山岩、流纹岩、晶屑凝灰</w:t>
      </w:r>
      <w:r>
        <w:rPr>
          <w:rFonts w:ascii="宋体" w:hAnsi="宋体" w:eastAsia="宋体" w:cs="宋体"/>
          <w:sz w:val="24"/>
          <w:szCs w:val="24"/>
        </w:rPr>
        <w:t xml:space="preserve"> </w:t>
      </w:r>
      <w:r>
        <w:rPr>
          <w:rFonts w:ascii="宋体" w:hAnsi="宋体" w:eastAsia="宋体" w:cs="宋体"/>
          <w:spacing w:val="1"/>
          <w:sz w:val="24"/>
          <w:szCs w:val="24"/>
        </w:rPr>
        <w:t>岩，板岩、辉长岩、花岗岩等，砾径一般</w:t>
      </w:r>
      <w:r>
        <w:rPr>
          <w:rFonts w:ascii="宋体" w:hAnsi="宋体" w:eastAsia="宋体" w:cs="宋体"/>
          <w:spacing w:val="-44"/>
          <w:sz w:val="24"/>
          <w:szCs w:val="24"/>
        </w:rPr>
        <w:t xml:space="preserve"> </w:t>
      </w:r>
      <w:r>
        <w:rPr>
          <w:rFonts w:ascii="宋体" w:hAnsi="宋体" w:eastAsia="宋体" w:cs="宋体"/>
          <w:spacing w:val="1"/>
          <w:sz w:val="24"/>
          <w:szCs w:val="24"/>
        </w:rPr>
        <w:t>3-5</w:t>
      </w:r>
      <w:r>
        <w:rPr>
          <w:rFonts w:ascii="宋体" w:hAnsi="宋体" w:eastAsia="宋体" w:cs="宋体"/>
          <w:sz w:val="24"/>
          <w:szCs w:val="24"/>
        </w:rPr>
        <w:t>cm</w:t>
      </w:r>
      <w:r>
        <w:rPr>
          <w:rFonts w:ascii="宋体" w:hAnsi="宋体" w:eastAsia="宋体" w:cs="宋体"/>
          <w:spacing w:val="1"/>
          <w:sz w:val="24"/>
          <w:szCs w:val="24"/>
        </w:rPr>
        <w:t>，大者可达米余，磨圆好，分</w:t>
      </w:r>
      <w:r>
        <w:rPr>
          <w:rFonts w:ascii="宋体" w:hAnsi="宋体" w:eastAsia="宋体" w:cs="宋体"/>
          <w:sz w:val="24"/>
          <w:szCs w:val="24"/>
        </w:rPr>
        <w:t xml:space="preserve"> </w:t>
      </w:r>
      <w:r>
        <w:rPr>
          <w:rFonts w:ascii="宋体" w:hAnsi="宋体" w:eastAsia="宋体" w:cs="宋体"/>
          <w:spacing w:val="-1"/>
          <w:sz w:val="24"/>
          <w:szCs w:val="24"/>
        </w:rPr>
        <w:t>选差，泥砂质胶结，比较松散，厚度</w:t>
      </w:r>
      <w:r>
        <w:rPr>
          <w:rFonts w:ascii="宋体" w:hAnsi="宋体" w:eastAsia="宋体" w:cs="宋体"/>
          <w:spacing w:val="-46"/>
          <w:sz w:val="24"/>
          <w:szCs w:val="24"/>
        </w:rPr>
        <w:t xml:space="preserve"> </w:t>
      </w:r>
      <w:r>
        <w:rPr>
          <w:rFonts w:ascii="宋体" w:hAnsi="宋体" w:eastAsia="宋体" w:cs="宋体"/>
          <w:spacing w:val="-1"/>
          <w:sz w:val="24"/>
          <w:szCs w:val="24"/>
        </w:rPr>
        <w:t>53.97m。</w:t>
      </w:r>
    </w:p>
    <w:p w14:paraId="7C15B469">
      <w:pPr>
        <w:spacing w:line="360" w:lineRule="auto"/>
        <w:ind w:left="20" w:right="82" w:firstLine="482"/>
        <w:jc w:val="both"/>
        <w:rPr>
          <w:rFonts w:ascii="宋体" w:hAnsi="宋体" w:eastAsia="宋体" w:cs="宋体"/>
          <w:sz w:val="24"/>
          <w:szCs w:val="24"/>
        </w:rPr>
      </w:pPr>
      <w:r>
        <w:rPr>
          <w:rFonts w:ascii="宋体" w:hAnsi="宋体" w:eastAsia="宋体" w:cs="宋体"/>
          <w:sz w:val="24"/>
          <w:szCs w:val="24"/>
        </w:rPr>
        <w:t>上述岩性特征表明巴彦花组系内陆湖沼相堆</w:t>
      </w:r>
      <w:r>
        <w:rPr>
          <w:rFonts w:ascii="宋体" w:hAnsi="宋体" w:eastAsia="宋体" w:cs="宋体"/>
          <w:spacing w:val="-1"/>
          <w:sz w:val="24"/>
          <w:szCs w:val="24"/>
        </w:rPr>
        <w:t>积，在颜色上以灰、灰黑及灰</w:t>
      </w:r>
      <w:r>
        <w:rPr>
          <w:rFonts w:ascii="宋体" w:hAnsi="宋体" w:eastAsia="宋体" w:cs="宋体"/>
          <w:sz w:val="24"/>
          <w:szCs w:val="24"/>
        </w:rPr>
        <w:t xml:space="preserve"> </w:t>
      </w:r>
      <w:r>
        <w:rPr>
          <w:rFonts w:ascii="宋体" w:hAnsi="宋体" w:eastAsia="宋体" w:cs="宋体"/>
          <w:spacing w:val="1"/>
          <w:sz w:val="24"/>
          <w:szCs w:val="24"/>
        </w:rPr>
        <w:t>绿色为主，说明当时气候温暖、湿润，适于</w:t>
      </w:r>
      <w:r>
        <w:rPr>
          <w:rFonts w:ascii="宋体" w:hAnsi="宋体" w:eastAsia="宋体" w:cs="宋体"/>
          <w:sz w:val="24"/>
          <w:szCs w:val="24"/>
        </w:rPr>
        <w:t xml:space="preserve">植物生长，从而形成巨厚的煤层， </w:t>
      </w:r>
      <w:r>
        <w:rPr>
          <w:rFonts w:ascii="宋体" w:hAnsi="宋体" w:eastAsia="宋体" w:cs="宋体"/>
          <w:spacing w:val="-5"/>
          <w:sz w:val="24"/>
          <w:szCs w:val="24"/>
        </w:rPr>
        <w:t>在粒度上，上、下部粗，中间细，且粗细交替变化，具有水平层理、波状层理、</w:t>
      </w:r>
      <w:r>
        <w:rPr>
          <w:rFonts w:ascii="宋体" w:hAnsi="宋体" w:eastAsia="宋体" w:cs="宋体"/>
          <w:spacing w:val="5"/>
          <w:sz w:val="24"/>
          <w:szCs w:val="24"/>
        </w:rPr>
        <w:t xml:space="preserve"> </w:t>
      </w:r>
      <w:r>
        <w:rPr>
          <w:rFonts w:ascii="宋体" w:hAnsi="宋体" w:eastAsia="宋体" w:cs="宋体"/>
          <w:sz w:val="24"/>
          <w:szCs w:val="24"/>
        </w:rPr>
        <w:t>斜层理等，一般均可见少量化石碎片，局部有较完整的</w:t>
      </w:r>
      <w:r>
        <w:rPr>
          <w:rFonts w:ascii="宋体" w:hAnsi="宋体" w:eastAsia="宋体" w:cs="宋体"/>
          <w:spacing w:val="-1"/>
          <w:sz w:val="24"/>
          <w:szCs w:val="24"/>
        </w:rPr>
        <w:t>只叶木、羊齿类等植物</w:t>
      </w:r>
      <w:r>
        <w:rPr>
          <w:rFonts w:ascii="宋体" w:hAnsi="宋体" w:eastAsia="宋体" w:cs="宋体"/>
          <w:sz w:val="24"/>
          <w:szCs w:val="24"/>
        </w:rPr>
        <w:t xml:space="preserve"> </w:t>
      </w:r>
      <w:r>
        <w:rPr>
          <w:rFonts w:ascii="宋体" w:hAnsi="宋体" w:eastAsia="宋体" w:cs="宋体"/>
          <w:spacing w:val="-1"/>
          <w:sz w:val="24"/>
          <w:szCs w:val="24"/>
        </w:rPr>
        <w:t>化石及淡水等鳃类动物化石。</w:t>
      </w:r>
    </w:p>
    <w:p w14:paraId="407F93E2">
      <w:pPr>
        <w:spacing w:line="229" w:lineRule="auto"/>
        <w:ind w:left="512"/>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71"/>
          <w:sz w:val="24"/>
          <w:szCs w:val="24"/>
        </w:rPr>
        <w:t xml:space="preserve"> </w:t>
      </w:r>
      <w:r>
        <w:rPr>
          <w:rFonts w:ascii="宋体" w:hAnsi="宋体" w:eastAsia="宋体" w:cs="宋体"/>
          <w:spacing w:val="-3"/>
          <w:sz w:val="24"/>
          <w:szCs w:val="24"/>
        </w:rPr>
        <w:t>上白垩统（K</w:t>
      </w:r>
      <w:r>
        <w:rPr>
          <w:rFonts w:ascii="宋体" w:hAnsi="宋体" w:eastAsia="宋体" w:cs="宋体"/>
          <w:spacing w:val="-3"/>
          <w:position w:val="-3"/>
          <w:sz w:val="12"/>
          <w:szCs w:val="12"/>
        </w:rPr>
        <w:t>2</w:t>
      </w:r>
      <w:r>
        <w:rPr>
          <w:rFonts w:ascii="宋体" w:hAnsi="宋体" w:eastAsia="宋体" w:cs="宋体"/>
          <w:spacing w:val="-3"/>
          <w:sz w:val="24"/>
          <w:szCs w:val="24"/>
        </w:rPr>
        <w:t>）</w:t>
      </w:r>
    </w:p>
    <w:p w14:paraId="22F3107A">
      <w:pPr>
        <w:spacing w:before="168" w:line="354" w:lineRule="auto"/>
        <w:ind w:left="21" w:right="161" w:firstLine="480"/>
        <w:jc w:val="both"/>
        <w:rPr>
          <w:rFonts w:ascii="宋体" w:hAnsi="宋体" w:eastAsia="宋体" w:cs="宋体"/>
          <w:sz w:val="24"/>
          <w:szCs w:val="24"/>
        </w:rPr>
      </w:pPr>
      <w:r>
        <w:rPr>
          <w:rFonts w:ascii="宋体" w:hAnsi="宋体" w:eastAsia="宋体" w:cs="宋体"/>
          <w:sz w:val="24"/>
          <w:szCs w:val="24"/>
        </w:rPr>
        <w:t>岩性主要玄武岩、安山岩，分布于巴彦花盆地边</w:t>
      </w:r>
      <w:r>
        <w:rPr>
          <w:rFonts w:ascii="宋体" w:hAnsi="宋体" w:eastAsia="宋体" w:cs="宋体"/>
          <w:spacing w:val="-1"/>
          <w:sz w:val="24"/>
          <w:szCs w:val="24"/>
        </w:rPr>
        <w:t>缘及德林敖包一带，在加</w:t>
      </w:r>
      <w:r>
        <w:rPr>
          <w:rFonts w:ascii="宋体" w:hAnsi="宋体" w:eastAsia="宋体" w:cs="宋体"/>
          <w:sz w:val="24"/>
          <w:szCs w:val="24"/>
        </w:rPr>
        <w:t xml:space="preserve"> </w:t>
      </w:r>
      <w:r>
        <w:rPr>
          <w:rFonts w:ascii="宋体" w:hAnsi="宋体" w:eastAsia="宋体" w:cs="宋体"/>
          <w:spacing w:val="-3"/>
          <w:sz w:val="24"/>
          <w:szCs w:val="24"/>
        </w:rPr>
        <w:t>斯音敖瑞可见厚度为</w:t>
      </w:r>
      <w:r>
        <w:rPr>
          <w:rFonts w:ascii="宋体" w:hAnsi="宋体" w:eastAsia="宋体" w:cs="宋体"/>
          <w:spacing w:val="-44"/>
          <w:sz w:val="24"/>
          <w:szCs w:val="24"/>
        </w:rPr>
        <w:t xml:space="preserve"> </w:t>
      </w:r>
      <w:r>
        <w:rPr>
          <w:rFonts w:ascii="宋体" w:hAnsi="宋体" w:eastAsia="宋体" w:cs="宋体"/>
          <w:spacing w:val="-3"/>
          <w:sz w:val="24"/>
          <w:szCs w:val="24"/>
        </w:rPr>
        <w:t>985.3m，不整合于上侏罗统酸性火山岩组（J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3</w:t>
      </w:r>
      <w:r>
        <w:rPr>
          <w:rFonts w:ascii="宋体" w:hAnsi="宋体" w:eastAsia="宋体" w:cs="宋体"/>
          <w:spacing w:val="-25"/>
          <w:position w:val="11"/>
          <w:sz w:val="12"/>
          <w:szCs w:val="12"/>
        </w:rPr>
        <w:t xml:space="preserve"> </w:t>
      </w:r>
      <w:r>
        <w:rPr>
          <w:rFonts w:ascii="宋体" w:hAnsi="宋体" w:eastAsia="宋体" w:cs="宋体"/>
          <w:spacing w:val="-3"/>
          <w:sz w:val="24"/>
          <w:szCs w:val="24"/>
        </w:rPr>
        <w:t>）之上，</w:t>
      </w:r>
      <w:r>
        <w:rPr>
          <w:rFonts w:ascii="宋体" w:hAnsi="宋体" w:eastAsia="宋体" w:cs="宋体"/>
          <w:sz w:val="24"/>
          <w:szCs w:val="24"/>
        </w:rPr>
        <w:t xml:space="preserve"> </w:t>
      </w:r>
      <w:r>
        <w:rPr>
          <w:rFonts w:ascii="宋体" w:hAnsi="宋体" w:eastAsia="宋体" w:cs="宋体"/>
          <w:spacing w:val="-1"/>
          <w:sz w:val="24"/>
          <w:szCs w:val="24"/>
        </w:rPr>
        <w:t>被第四系堆积物覆盖。</w:t>
      </w:r>
    </w:p>
    <w:p w14:paraId="7C8D233C">
      <w:pPr>
        <w:spacing w:before="26" w:line="219" w:lineRule="auto"/>
        <w:ind w:left="500"/>
        <w:rPr>
          <w:rFonts w:ascii="宋体" w:hAnsi="宋体" w:eastAsia="宋体" w:cs="宋体"/>
          <w:sz w:val="24"/>
          <w:szCs w:val="24"/>
        </w:rPr>
      </w:pPr>
      <w:r>
        <w:rPr>
          <w:rFonts w:ascii="宋体" w:hAnsi="宋体" w:eastAsia="宋体" w:cs="宋体"/>
          <w:spacing w:val="-2"/>
          <w:sz w:val="24"/>
          <w:szCs w:val="24"/>
        </w:rPr>
        <w:t>4）第四系</w:t>
      </w:r>
    </w:p>
    <w:p w14:paraId="025DB9B8">
      <w:pPr>
        <w:spacing w:before="182" w:line="219" w:lineRule="auto"/>
        <w:ind w:left="501"/>
        <w:rPr>
          <w:rFonts w:ascii="宋体" w:hAnsi="宋体" w:eastAsia="宋体" w:cs="宋体"/>
          <w:sz w:val="24"/>
          <w:szCs w:val="24"/>
        </w:rPr>
      </w:pPr>
      <w:r>
        <w:rPr>
          <w:rFonts w:ascii="宋体" w:hAnsi="宋体" w:eastAsia="宋体" w:cs="宋体"/>
          <w:sz w:val="24"/>
          <w:szCs w:val="24"/>
        </w:rPr>
        <w:t>第四系松散堆积物分布广泛，地层齐全，成因</w:t>
      </w:r>
      <w:r>
        <w:rPr>
          <w:rFonts w:ascii="宋体" w:hAnsi="宋体" w:eastAsia="宋体" w:cs="宋体"/>
          <w:spacing w:val="-1"/>
          <w:sz w:val="24"/>
          <w:szCs w:val="24"/>
        </w:rPr>
        <w:t>类型复杂，沉积厚度大。</w:t>
      </w:r>
    </w:p>
    <w:p w14:paraId="56226E05">
      <w:pPr>
        <w:spacing w:before="183" w:line="357" w:lineRule="auto"/>
        <w:ind w:left="21" w:right="162" w:firstLine="480"/>
        <w:rPr>
          <w:rFonts w:ascii="宋体" w:hAnsi="宋体" w:eastAsia="宋体" w:cs="宋体"/>
          <w:sz w:val="24"/>
          <w:szCs w:val="24"/>
        </w:rPr>
      </w:pPr>
      <w:r>
        <w:rPr>
          <w:rFonts w:ascii="宋体" w:hAnsi="宋体" w:eastAsia="宋体" w:cs="宋体"/>
          <w:sz w:val="24"/>
          <w:szCs w:val="24"/>
        </w:rPr>
        <w:t>根据堆积物岩性、层位关系，所处地貌单元、沉</w:t>
      </w:r>
      <w:r>
        <w:rPr>
          <w:rFonts w:ascii="宋体" w:hAnsi="宋体" w:eastAsia="宋体" w:cs="宋体"/>
          <w:spacing w:val="-1"/>
          <w:sz w:val="24"/>
          <w:szCs w:val="24"/>
        </w:rPr>
        <w:t>积环境等，将区内第四系</w:t>
      </w:r>
      <w:r>
        <w:rPr>
          <w:rFonts w:ascii="宋体" w:hAnsi="宋体" w:eastAsia="宋体" w:cs="宋体"/>
          <w:sz w:val="24"/>
          <w:szCs w:val="24"/>
        </w:rPr>
        <w:t xml:space="preserve"> </w:t>
      </w:r>
      <w:r>
        <w:rPr>
          <w:rFonts w:ascii="宋体" w:hAnsi="宋体" w:eastAsia="宋体" w:cs="宋体"/>
          <w:spacing w:val="-5"/>
          <w:sz w:val="24"/>
          <w:szCs w:val="24"/>
        </w:rPr>
        <w:t>地层时代相对定为下更新统（Q</w:t>
      </w:r>
      <w:r>
        <w:rPr>
          <w:rFonts w:ascii="宋体" w:hAnsi="宋体" w:eastAsia="宋体" w:cs="宋体"/>
          <w:spacing w:val="-5"/>
          <w:position w:val="-3"/>
          <w:sz w:val="12"/>
          <w:szCs w:val="12"/>
        </w:rPr>
        <w:t>1</w:t>
      </w:r>
      <w:r>
        <w:rPr>
          <w:rFonts w:ascii="宋体" w:hAnsi="宋体" w:eastAsia="宋体" w:cs="宋体"/>
          <w:spacing w:val="-10"/>
          <w:position w:val="-3"/>
          <w:sz w:val="12"/>
          <w:szCs w:val="12"/>
        </w:rPr>
        <w:t xml:space="preserve"> </w:t>
      </w:r>
      <w:r>
        <w:rPr>
          <w:rFonts w:ascii="宋体" w:hAnsi="宋体" w:eastAsia="宋体" w:cs="宋体"/>
          <w:spacing w:val="-5"/>
          <w:sz w:val="24"/>
          <w:szCs w:val="24"/>
        </w:rPr>
        <w:t>）、中更新统（Q</w:t>
      </w:r>
      <w:r>
        <w:rPr>
          <w:rFonts w:ascii="宋体" w:hAnsi="宋体" w:eastAsia="宋体" w:cs="宋体"/>
          <w:spacing w:val="-5"/>
          <w:position w:val="-3"/>
          <w:sz w:val="12"/>
          <w:szCs w:val="12"/>
        </w:rPr>
        <w:t>2</w:t>
      </w:r>
      <w:r>
        <w:rPr>
          <w:rFonts w:ascii="宋体" w:hAnsi="宋体" w:eastAsia="宋体" w:cs="宋体"/>
          <w:spacing w:val="-26"/>
          <w:position w:val="-3"/>
          <w:sz w:val="12"/>
          <w:szCs w:val="12"/>
        </w:rPr>
        <w:t xml:space="preserve"> </w:t>
      </w:r>
      <w:r>
        <w:rPr>
          <w:rFonts w:ascii="宋体" w:hAnsi="宋体" w:eastAsia="宋体" w:cs="宋体"/>
          <w:spacing w:val="-5"/>
          <w:sz w:val="24"/>
          <w:szCs w:val="24"/>
        </w:rPr>
        <w:t>）、上更新统（Q</w:t>
      </w:r>
      <w:r>
        <w:rPr>
          <w:rFonts w:ascii="宋体" w:hAnsi="宋体" w:eastAsia="宋体" w:cs="宋体"/>
          <w:spacing w:val="-5"/>
          <w:position w:val="-3"/>
          <w:sz w:val="12"/>
          <w:szCs w:val="12"/>
        </w:rPr>
        <w:t>3</w:t>
      </w:r>
      <w:r>
        <w:rPr>
          <w:rFonts w:ascii="宋体" w:hAnsi="宋体" w:eastAsia="宋体" w:cs="宋体"/>
          <w:spacing w:val="-25"/>
          <w:position w:val="-3"/>
          <w:sz w:val="12"/>
          <w:szCs w:val="12"/>
        </w:rPr>
        <w:t xml:space="preserve"> </w:t>
      </w:r>
      <w:r>
        <w:rPr>
          <w:rFonts w:ascii="宋体" w:hAnsi="宋体" w:eastAsia="宋体" w:cs="宋体"/>
          <w:spacing w:val="-5"/>
          <w:sz w:val="24"/>
          <w:szCs w:val="24"/>
        </w:rPr>
        <w:t>）、全新统</w:t>
      </w:r>
      <w:r>
        <w:rPr>
          <w:rFonts w:ascii="宋体" w:hAnsi="宋体" w:eastAsia="宋体" w:cs="宋体"/>
          <w:sz w:val="24"/>
          <w:szCs w:val="24"/>
        </w:rPr>
        <w:t xml:space="preserve"> </w:t>
      </w:r>
      <w:r>
        <w:rPr>
          <w:rFonts w:ascii="宋体" w:hAnsi="宋体" w:eastAsia="宋体" w:cs="宋体"/>
          <w:spacing w:val="1"/>
          <w:sz w:val="24"/>
          <w:szCs w:val="24"/>
        </w:rPr>
        <w:t>（Q</w:t>
      </w:r>
      <w:r>
        <w:rPr>
          <w:rFonts w:ascii="宋体" w:hAnsi="宋体" w:eastAsia="宋体" w:cs="宋体"/>
          <w:spacing w:val="1"/>
          <w:position w:val="-3"/>
          <w:sz w:val="12"/>
          <w:szCs w:val="12"/>
        </w:rPr>
        <w:t>4</w:t>
      </w:r>
      <w:r>
        <w:rPr>
          <w:rFonts w:ascii="宋体" w:hAnsi="宋体" w:eastAsia="宋体" w:cs="宋体"/>
          <w:spacing w:val="-23"/>
          <w:position w:val="-3"/>
          <w:sz w:val="12"/>
          <w:szCs w:val="12"/>
        </w:rPr>
        <w:t xml:space="preserve"> </w:t>
      </w:r>
      <w:r>
        <w:rPr>
          <w:rFonts w:ascii="宋体" w:hAnsi="宋体" w:eastAsia="宋体" w:cs="宋体"/>
          <w:spacing w:val="-9"/>
          <w:sz w:val="24"/>
          <w:szCs w:val="24"/>
        </w:rPr>
        <w:t>），</w:t>
      </w:r>
      <w:r>
        <w:rPr>
          <w:rFonts w:ascii="宋体" w:hAnsi="宋体" w:eastAsia="宋体" w:cs="宋体"/>
          <w:spacing w:val="1"/>
          <w:sz w:val="24"/>
          <w:szCs w:val="24"/>
        </w:rPr>
        <w:t>组成各时代地层的成因类型有冰水堆积、冲湖积、冲洪积、冲</w:t>
      </w:r>
      <w:r>
        <w:rPr>
          <w:rFonts w:ascii="宋体" w:hAnsi="宋体" w:eastAsia="宋体" w:cs="宋体"/>
          <w:sz w:val="24"/>
          <w:szCs w:val="24"/>
        </w:rPr>
        <w:t xml:space="preserve">积、湖 </w:t>
      </w:r>
      <w:r>
        <w:rPr>
          <w:rFonts w:ascii="宋体" w:hAnsi="宋体" w:eastAsia="宋体" w:cs="宋体"/>
          <w:spacing w:val="-1"/>
          <w:sz w:val="24"/>
          <w:szCs w:val="24"/>
        </w:rPr>
        <w:t>积、风积等六种类型。</w:t>
      </w:r>
    </w:p>
    <w:p w14:paraId="0EA1391B">
      <w:pPr>
        <w:spacing w:line="242" w:lineRule="auto"/>
        <w:ind w:left="512"/>
        <w:rPr>
          <w:rFonts w:ascii="宋体" w:hAnsi="宋体" w:eastAsia="宋体" w:cs="宋体"/>
          <w:sz w:val="24"/>
          <w:szCs w:val="24"/>
        </w:rPr>
      </w:pPr>
      <w:r>
        <w:rPr>
          <w:rFonts w:ascii="宋体" w:hAnsi="宋体" w:eastAsia="宋体" w:cs="宋体"/>
          <w:spacing w:val="-2"/>
          <w:sz w:val="24"/>
          <w:szCs w:val="24"/>
        </w:rPr>
        <w:t>（1）</w:t>
      </w:r>
      <w:r>
        <w:rPr>
          <w:rFonts w:ascii="宋体" w:hAnsi="宋体" w:eastAsia="宋体" w:cs="宋体"/>
          <w:spacing w:val="76"/>
          <w:sz w:val="24"/>
          <w:szCs w:val="24"/>
        </w:rPr>
        <w:t xml:space="preserve"> </w:t>
      </w:r>
      <w:r>
        <w:rPr>
          <w:rFonts w:ascii="宋体" w:hAnsi="宋体" w:eastAsia="宋体" w:cs="宋体"/>
          <w:spacing w:val="-2"/>
          <w:sz w:val="24"/>
          <w:szCs w:val="24"/>
        </w:rPr>
        <w:t>下更新统冰水堆积层（Q</w:t>
      </w:r>
      <w:r>
        <w:rPr>
          <w:rFonts w:ascii="宋体" w:hAnsi="宋体" w:eastAsia="宋体" w:cs="宋体"/>
          <w:spacing w:val="-2"/>
          <w:position w:val="-3"/>
          <w:sz w:val="12"/>
          <w:szCs w:val="12"/>
        </w:rPr>
        <w:t>4</w:t>
      </w:r>
      <w:r>
        <w:rPr>
          <w:rFonts w:ascii="宋体" w:hAnsi="宋体" w:eastAsia="宋体" w:cs="宋体"/>
          <w:spacing w:val="-2"/>
          <w:position w:val="11"/>
          <w:sz w:val="12"/>
          <w:szCs w:val="12"/>
        </w:rPr>
        <w:t>fgl</w:t>
      </w:r>
      <w:r>
        <w:rPr>
          <w:rFonts w:ascii="宋体" w:hAnsi="宋体" w:eastAsia="宋体" w:cs="宋体"/>
          <w:spacing w:val="-2"/>
          <w:sz w:val="24"/>
          <w:szCs w:val="24"/>
        </w:rPr>
        <w:t>）</w:t>
      </w:r>
    </w:p>
    <w:p w14:paraId="17CCA841">
      <w:pPr>
        <w:spacing w:before="169" w:line="362" w:lineRule="auto"/>
        <w:ind w:left="21" w:right="162" w:firstLine="481"/>
        <w:rPr>
          <w:rFonts w:ascii="宋体" w:hAnsi="宋体" w:eastAsia="宋体" w:cs="宋体"/>
          <w:sz w:val="24"/>
          <w:szCs w:val="24"/>
        </w:rPr>
      </w:pPr>
      <w:r>
        <w:rPr>
          <w:rFonts w:ascii="宋体" w:hAnsi="宋体" w:eastAsia="宋体" w:cs="宋体"/>
          <w:sz w:val="24"/>
          <w:szCs w:val="24"/>
        </w:rPr>
        <w:t>主要分布在巴彦花盆地边缘，组成冰水堆积</w:t>
      </w:r>
      <w:r>
        <w:rPr>
          <w:rFonts w:ascii="宋体" w:hAnsi="宋体" w:eastAsia="宋体" w:cs="宋体"/>
          <w:spacing w:val="-1"/>
          <w:sz w:val="24"/>
          <w:szCs w:val="24"/>
        </w:rPr>
        <w:t>台地，出露位置较高，一般海</w:t>
      </w:r>
      <w:r>
        <w:rPr>
          <w:rFonts w:ascii="宋体" w:hAnsi="宋体" w:eastAsia="宋体" w:cs="宋体"/>
          <w:sz w:val="24"/>
          <w:szCs w:val="24"/>
        </w:rPr>
        <w:t xml:space="preserve"> </w:t>
      </w:r>
      <w:r>
        <w:rPr>
          <w:rFonts w:ascii="宋体" w:hAnsi="宋体" w:eastAsia="宋体" w:cs="宋体"/>
          <w:spacing w:val="-2"/>
          <w:sz w:val="24"/>
          <w:szCs w:val="24"/>
        </w:rPr>
        <w:t>拔</w:t>
      </w:r>
      <w:r>
        <w:rPr>
          <w:rFonts w:ascii="宋体" w:hAnsi="宋体" w:eastAsia="宋体" w:cs="宋体"/>
          <w:spacing w:val="-18"/>
          <w:sz w:val="24"/>
          <w:szCs w:val="24"/>
        </w:rPr>
        <w:t xml:space="preserve"> </w:t>
      </w:r>
      <w:r>
        <w:rPr>
          <w:rFonts w:ascii="宋体" w:hAnsi="宋体" w:eastAsia="宋体" w:cs="宋体"/>
          <w:spacing w:val="-2"/>
          <w:sz w:val="24"/>
          <w:szCs w:val="24"/>
        </w:rPr>
        <w:t>1100m</w:t>
      </w:r>
      <w:r>
        <w:rPr>
          <w:rFonts w:ascii="宋体" w:hAnsi="宋体" w:eastAsia="宋体" w:cs="宋体"/>
          <w:spacing w:val="-49"/>
          <w:sz w:val="24"/>
          <w:szCs w:val="24"/>
        </w:rPr>
        <w:t xml:space="preserve"> </w:t>
      </w:r>
      <w:r>
        <w:rPr>
          <w:rFonts w:ascii="宋体" w:hAnsi="宋体" w:eastAsia="宋体" w:cs="宋体"/>
          <w:spacing w:val="-2"/>
          <w:sz w:val="24"/>
          <w:szCs w:val="24"/>
        </w:rPr>
        <w:t>左右，堆积物沿巴彦花盆地边缘，呈北东条带状断续展布。</w:t>
      </w:r>
    </w:p>
    <w:p w14:paraId="07A4ECA1">
      <w:pPr>
        <w:spacing w:line="362" w:lineRule="auto"/>
        <w:rPr>
          <w:rFonts w:ascii="宋体" w:hAnsi="宋体" w:eastAsia="宋体" w:cs="宋体"/>
          <w:sz w:val="24"/>
          <w:szCs w:val="24"/>
        </w:rPr>
        <w:sectPr>
          <w:footerReference r:id="rId163" w:type="default"/>
          <w:pgSz w:w="11906" w:h="16839"/>
          <w:pgMar w:top="1208" w:right="1785" w:bottom="1358" w:left="1785" w:header="825" w:footer="1195" w:gutter="0"/>
          <w:cols w:space="720" w:num="1"/>
        </w:sectPr>
      </w:pPr>
    </w:p>
    <w:p w14:paraId="1C0BF065">
      <w:pPr>
        <w:pStyle w:val="2"/>
        <w:spacing w:line="264" w:lineRule="auto"/>
      </w:pPr>
    </w:p>
    <w:p w14:paraId="1CD14B65">
      <w:pPr>
        <w:spacing w:before="78" w:line="358" w:lineRule="auto"/>
        <w:ind w:left="19" w:right="82" w:firstLine="481"/>
        <w:jc w:val="both"/>
        <w:rPr>
          <w:rFonts w:ascii="宋体" w:hAnsi="宋体" w:eastAsia="宋体" w:cs="宋体"/>
          <w:sz w:val="24"/>
          <w:szCs w:val="24"/>
        </w:rPr>
      </w:pPr>
      <w:r>
        <w:rPr>
          <w:rFonts w:ascii="宋体" w:hAnsi="宋体" w:eastAsia="宋体" w:cs="宋体"/>
          <w:spacing w:val="-5"/>
          <w:sz w:val="24"/>
          <w:szCs w:val="24"/>
        </w:rPr>
        <w:t>冰水堆积层岩性为砂卵石，颜色一般为黄褐色，砾石成分可见</w:t>
      </w:r>
      <w:r>
        <w:rPr>
          <w:rFonts w:ascii="宋体" w:hAnsi="宋体" w:eastAsia="宋体" w:cs="宋体"/>
          <w:spacing w:val="-6"/>
          <w:sz w:val="24"/>
          <w:szCs w:val="24"/>
        </w:rPr>
        <w:t>砾岩、砂岩、</w:t>
      </w:r>
      <w:r>
        <w:rPr>
          <w:rFonts w:ascii="宋体" w:hAnsi="宋体" w:eastAsia="宋体" w:cs="宋体"/>
          <w:sz w:val="24"/>
          <w:szCs w:val="24"/>
        </w:rPr>
        <w:t xml:space="preserve"> </w:t>
      </w:r>
      <w:r>
        <w:rPr>
          <w:rFonts w:ascii="宋体" w:hAnsi="宋体" w:eastAsia="宋体" w:cs="宋体"/>
          <w:spacing w:val="1"/>
          <w:sz w:val="24"/>
          <w:szCs w:val="24"/>
        </w:rPr>
        <w:t>板岩、凝灰岩、流纹岩、安山岩、玄武岩和花岗岩等，</w:t>
      </w:r>
      <w:r>
        <w:rPr>
          <w:rFonts w:ascii="宋体" w:hAnsi="宋体" w:eastAsia="宋体" w:cs="宋体"/>
          <w:sz w:val="24"/>
          <w:szCs w:val="24"/>
        </w:rPr>
        <w:t>砾径一般</w:t>
      </w:r>
      <w:r>
        <w:rPr>
          <w:rFonts w:ascii="宋体" w:hAnsi="宋体" w:eastAsia="宋体" w:cs="宋体"/>
          <w:spacing w:val="-33"/>
          <w:sz w:val="24"/>
          <w:szCs w:val="24"/>
        </w:rPr>
        <w:t xml:space="preserve"> </w:t>
      </w:r>
      <w:r>
        <w:rPr>
          <w:rFonts w:ascii="宋体" w:hAnsi="宋体" w:eastAsia="宋体" w:cs="宋体"/>
          <w:sz w:val="24"/>
          <w:szCs w:val="24"/>
        </w:rPr>
        <w:t xml:space="preserve">10-20cm，还 </w:t>
      </w:r>
      <w:r>
        <w:rPr>
          <w:rFonts w:ascii="宋体" w:hAnsi="宋体" w:eastAsia="宋体" w:cs="宋体"/>
          <w:spacing w:val="-5"/>
          <w:sz w:val="24"/>
          <w:szCs w:val="24"/>
        </w:rPr>
        <w:t>可见砾径大</w:t>
      </w:r>
      <w:r>
        <w:rPr>
          <w:rFonts w:ascii="宋体" w:hAnsi="宋体" w:eastAsia="宋体" w:cs="宋体"/>
          <w:spacing w:val="-25"/>
          <w:sz w:val="24"/>
          <w:szCs w:val="24"/>
        </w:rPr>
        <w:t xml:space="preserve"> </w:t>
      </w:r>
      <w:r>
        <w:rPr>
          <w:rFonts w:ascii="宋体" w:hAnsi="宋体" w:eastAsia="宋体" w:cs="宋体"/>
          <w:spacing w:val="-5"/>
          <w:sz w:val="24"/>
          <w:szCs w:val="24"/>
        </w:rPr>
        <w:t>1m</w:t>
      </w:r>
      <w:r>
        <w:rPr>
          <w:rFonts w:ascii="宋体" w:hAnsi="宋体" w:eastAsia="宋体" w:cs="宋体"/>
          <w:spacing w:val="-49"/>
          <w:sz w:val="24"/>
          <w:szCs w:val="24"/>
        </w:rPr>
        <w:t xml:space="preserve"> </w:t>
      </w:r>
      <w:r>
        <w:rPr>
          <w:rFonts w:ascii="宋体" w:hAnsi="宋体" w:eastAsia="宋体" w:cs="宋体"/>
          <w:spacing w:val="-5"/>
          <w:sz w:val="24"/>
          <w:szCs w:val="24"/>
        </w:rPr>
        <w:t>左右的漂砾，砾石愈大磨圆愈好，小的则差，个别砾石上可见到</w:t>
      </w:r>
      <w:r>
        <w:rPr>
          <w:rFonts w:ascii="宋体" w:hAnsi="宋体" w:eastAsia="宋体" w:cs="宋体"/>
          <w:sz w:val="24"/>
          <w:szCs w:val="24"/>
        </w:rPr>
        <w:t xml:space="preserve"> 由于冰川作用形成的擦痕、压坑、压裂，砾石中还可见到</w:t>
      </w:r>
      <w:r>
        <w:rPr>
          <w:rFonts w:ascii="宋体" w:hAnsi="宋体" w:eastAsia="宋体" w:cs="宋体"/>
          <w:spacing w:val="-1"/>
          <w:sz w:val="24"/>
          <w:szCs w:val="24"/>
        </w:rPr>
        <w:t>麻花石、灯盏石、马</w:t>
      </w:r>
      <w:r>
        <w:rPr>
          <w:rFonts w:ascii="宋体" w:hAnsi="宋体" w:eastAsia="宋体" w:cs="宋体"/>
          <w:sz w:val="24"/>
          <w:szCs w:val="24"/>
        </w:rPr>
        <w:t xml:space="preserve"> 鞍石等，较大的漂砾上发现因撞击作用形成的放射状裂纹</w:t>
      </w:r>
      <w:r>
        <w:rPr>
          <w:rFonts w:ascii="宋体" w:hAnsi="宋体" w:eastAsia="宋体" w:cs="宋体"/>
          <w:spacing w:val="-1"/>
          <w:sz w:val="24"/>
          <w:szCs w:val="24"/>
        </w:rPr>
        <w:t>，砂的成分以石英和</w:t>
      </w:r>
      <w:r>
        <w:rPr>
          <w:rFonts w:ascii="宋体" w:hAnsi="宋体" w:eastAsia="宋体" w:cs="宋体"/>
          <w:sz w:val="24"/>
          <w:szCs w:val="24"/>
        </w:rPr>
        <w:t xml:space="preserve"> </w:t>
      </w:r>
      <w:r>
        <w:rPr>
          <w:rFonts w:ascii="宋体" w:hAnsi="宋体" w:eastAsia="宋体" w:cs="宋体"/>
          <w:spacing w:val="-2"/>
          <w:sz w:val="24"/>
          <w:szCs w:val="24"/>
        </w:rPr>
        <w:t>长石为主。</w:t>
      </w:r>
    </w:p>
    <w:p w14:paraId="0FD17F34">
      <w:pPr>
        <w:spacing w:line="234" w:lineRule="auto"/>
        <w:ind w:left="512"/>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101"/>
          <w:sz w:val="24"/>
          <w:szCs w:val="24"/>
        </w:rPr>
        <w:t xml:space="preserve"> </w:t>
      </w:r>
      <w:r>
        <w:rPr>
          <w:rFonts w:ascii="宋体" w:hAnsi="宋体" w:eastAsia="宋体" w:cs="宋体"/>
          <w:spacing w:val="-3"/>
          <w:sz w:val="24"/>
          <w:szCs w:val="24"/>
        </w:rPr>
        <w:t>中更新统冲湖积堆积层（Q</w:t>
      </w:r>
      <w:r>
        <w:rPr>
          <w:rFonts w:ascii="宋体" w:hAnsi="宋体" w:eastAsia="宋体" w:cs="宋体"/>
          <w:spacing w:val="-3"/>
          <w:position w:val="-4"/>
          <w:sz w:val="12"/>
          <w:szCs w:val="12"/>
        </w:rPr>
        <w:t>2</w:t>
      </w:r>
      <w:r>
        <w:rPr>
          <w:rFonts w:ascii="宋体" w:hAnsi="宋体" w:eastAsia="宋体" w:cs="宋体"/>
          <w:spacing w:val="-3"/>
          <w:position w:val="11"/>
          <w:sz w:val="12"/>
          <w:szCs w:val="12"/>
        </w:rPr>
        <w:t>al+l</w:t>
      </w:r>
      <w:r>
        <w:rPr>
          <w:rFonts w:ascii="宋体" w:hAnsi="宋体" w:eastAsia="宋体" w:cs="宋体"/>
          <w:spacing w:val="-3"/>
          <w:sz w:val="24"/>
          <w:szCs w:val="24"/>
        </w:rPr>
        <w:t>）</w:t>
      </w:r>
    </w:p>
    <w:p w14:paraId="39626C0F">
      <w:pPr>
        <w:spacing w:before="174" w:line="360" w:lineRule="auto"/>
        <w:ind w:left="21" w:right="162" w:firstLine="502"/>
        <w:rPr>
          <w:rFonts w:ascii="宋体" w:hAnsi="宋体" w:eastAsia="宋体" w:cs="宋体"/>
          <w:sz w:val="24"/>
          <w:szCs w:val="24"/>
        </w:rPr>
      </w:pPr>
      <w:r>
        <w:rPr>
          <w:rFonts w:ascii="宋体" w:hAnsi="宋体" w:eastAsia="宋体" w:cs="宋体"/>
          <w:spacing w:val="-1"/>
          <w:sz w:val="24"/>
          <w:szCs w:val="24"/>
        </w:rPr>
        <w:t>中更新世以来，沿高勒罕、彦吉嘎、布尔嘎斯台河形成三条河道，中更新</w:t>
      </w:r>
      <w:r>
        <w:rPr>
          <w:rFonts w:ascii="宋体" w:hAnsi="宋体" w:eastAsia="宋体" w:cs="宋体"/>
          <w:sz w:val="24"/>
          <w:szCs w:val="24"/>
        </w:rPr>
        <w:t xml:space="preserve"> 统地层做为最初沉积，分布在古河道内，除古河道外</w:t>
      </w:r>
      <w:r>
        <w:rPr>
          <w:rFonts w:ascii="宋体" w:hAnsi="宋体" w:eastAsia="宋体" w:cs="宋体"/>
          <w:spacing w:val="-1"/>
          <w:sz w:val="24"/>
          <w:szCs w:val="24"/>
        </w:rPr>
        <w:t>，在高力罕、巴彦花盆地</w:t>
      </w:r>
      <w:r>
        <w:rPr>
          <w:rFonts w:ascii="宋体" w:hAnsi="宋体" w:eastAsia="宋体" w:cs="宋体"/>
          <w:sz w:val="24"/>
          <w:szCs w:val="24"/>
        </w:rPr>
        <w:t xml:space="preserve"> 的其他地段也有堆积，中更新统地层基本被新地层全</w:t>
      </w:r>
      <w:r>
        <w:rPr>
          <w:rFonts w:ascii="宋体" w:hAnsi="宋体" w:eastAsia="宋体" w:cs="宋体"/>
          <w:spacing w:val="-1"/>
          <w:sz w:val="24"/>
          <w:szCs w:val="24"/>
        </w:rPr>
        <w:t>部覆盖，只是在高力罕盆</w:t>
      </w:r>
      <w:r>
        <w:rPr>
          <w:rFonts w:ascii="宋体" w:hAnsi="宋体" w:eastAsia="宋体" w:cs="宋体"/>
          <w:sz w:val="24"/>
          <w:szCs w:val="24"/>
        </w:rPr>
        <w:t xml:space="preserve"> </w:t>
      </w:r>
      <w:r>
        <w:rPr>
          <w:rFonts w:ascii="宋体" w:hAnsi="宋体" w:eastAsia="宋体" w:cs="宋体"/>
          <w:spacing w:val="1"/>
          <w:sz w:val="24"/>
          <w:szCs w:val="24"/>
        </w:rPr>
        <w:t>地西北角额仁沟陡坎见到炉头，出露厚度大于</w:t>
      </w:r>
      <w:r>
        <w:rPr>
          <w:rFonts w:ascii="宋体" w:hAnsi="宋体" w:eastAsia="宋体" w:cs="宋体"/>
          <w:spacing w:val="-43"/>
          <w:sz w:val="24"/>
          <w:szCs w:val="24"/>
        </w:rPr>
        <w:t xml:space="preserve"> </w:t>
      </w:r>
      <w:r>
        <w:rPr>
          <w:rFonts w:ascii="宋体" w:hAnsi="宋体" w:eastAsia="宋体" w:cs="宋体"/>
          <w:spacing w:val="1"/>
          <w:sz w:val="24"/>
          <w:szCs w:val="24"/>
        </w:rPr>
        <w:t>30m，上部被上更新统冲</w:t>
      </w:r>
      <w:r>
        <w:rPr>
          <w:rFonts w:ascii="宋体" w:hAnsi="宋体" w:eastAsia="宋体" w:cs="宋体"/>
          <w:sz w:val="24"/>
          <w:szCs w:val="24"/>
        </w:rPr>
        <w:t>洪积层 覆盖，在高勒罕古河道下游见其最大厚度为</w:t>
      </w:r>
      <w:r>
        <w:rPr>
          <w:rFonts w:ascii="宋体" w:hAnsi="宋体" w:eastAsia="宋体" w:cs="宋体"/>
          <w:spacing w:val="-13"/>
          <w:sz w:val="24"/>
          <w:szCs w:val="24"/>
        </w:rPr>
        <w:t xml:space="preserve"> </w:t>
      </w:r>
      <w:r>
        <w:rPr>
          <w:rFonts w:ascii="宋体" w:hAnsi="宋体" w:eastAsia="宋体" w:cs="宋体"/>
          <w:sz w:val="24"/>
          <w:szCs w:val="24"/>
        </w:rPr>
        <w:t xml:space="preserve">116.36m，下限不整合在下白垩统 </w:t>
      </w:r>
      <w:r>
        <w:rPr>
          <w:rFonts w:ascii="宋体" w:hAnsi="宋体" w:eastAsia="宋体" w:cs="宋体"/>
          <w:spacing w:val="-1"/>
          <w:sz w:val="24"/>
          <w:szCs w:val="24"/>
        </w:rPr>
        <w:t>地层之上，上部被上更新统地层覆盖。</w:t>
      </w:r>
    </w:p>
    <w:p w14:paraId="1208E137">
      <w:pPr>
        <w:spacing w:line="219" w:lineRule="auto"/>
        <w:ind w:left="503"/>
        <w:rPr>
          <w:rFonts w:ascii="宋体" w:hAnsi="宋体" w:eastAsia="宋体" w:cs="宋体"/>
          <w:sz w:val="24"/>
          <w:szCs w:val="24"/>
        </w:rPr>
      </w:pPr>
      <w:r>
        <w:rPr>
          <w:rFonts w:ascii="宋体" w:hAnsi="宋体" w:eastAsia="宋体" w:cs="宋体"/>
          <w:spacing w:val="-1"/>
          <w:sz w:val="24"/>
          <w:szCs w:val="24"/>
        </w:rPr>
        <w:t>综合钻孔资料，将中更新统地层由下至上分为三层：</w:t>
      </w:r>
    </w:p>
    <w:p w14:paraId="726646BF">
      <w:pPr>
        <w:spacing w:before="182" w:line="360" w:lineRule="auto"/>
        <w:ind w:left="20" w:right="82" w:firstLine="480"/>
        <w:jc w:val="both"/>
        <w:rPr>
          <w:rFonts w:ascii="宋体" w:hAnsi="宋体" w:eastAsia="宋体" w:cs="宋体"/>
          <w:sz w:val="24"/>
          <w:szCs w:val="24"/>
        </w:rPr>
      </w:pPr>
      <w:r>
        <w:rPr>
          <w:rFonts w:ascii="宋体" w:hAnsi="宋体" w:eastAsia="宋体" w:cs="宋体"/>
          <w:sz w:val="24"/>
          <w:szCs w:val="24"/>
        </w:rPr>
        <w:t>第一层，岩性为灰黑、灰褐、灰白色砾石、砂砾</w:t>
      </w:r>
      <w:r>
        <w:rPr>
          <w:rFonts w:ascii="宋体" w:hAnsi="宋体" w:eastAsia="宋体" w:cs="宋体"/>
          <w:spacing w:val="-1"/>
          <w:sz w:val="24"/>
          <w:szCs w:val="24"/>
        </w:rPr>
        <w:t>石、含砾中粗砂，分选不</w:t>
      </w:r>
      <w:r>
        <w:rPr>
          <w:rFonts w:ascii="宋体" w:hAnsi="宋体" w:eastAsia="宋体" w:cs="宋体"/>
          <w:sz w:val="24"/>
          <w:szCs w:val="24"/>
        </w:rPr>
        <w:t xml:space="preserve"> </w:t>
      </w:r>
      <w:r>
        <w:rPr>
          <w:rFonts w:ascii="宋体" w:hAnsi="宋体" w:eastAsia="宋体" w:cs="宋体"/>
          <w:spacing w:val="-5"/>
          <w:sz w:val="24"/>
          <w:szCs w:val="24"/>
        </w:rPr>
        <w:t>好，砾石磨圆较差，可见不明显的水平层理，含有一定量的泥质，松散，含水、</w:t>
      </w:r>
      <w:r>
        <w:rPr>
          <w:rFonts w:ascii="宋体" w:hAnsi="宋体" w:eastAsia="宋体" w:cs="宋体"/>
          <w:spacing w:val="5"/>
          <w:sz w:val="24"/>
          <w:szCs w:val="24"/>
        </w:rPr>
        <w:t xml:space="preserve"> </w:t>
      </w:r>
      <w:r>
        <w:rPr>
          <w:rFonts w:ascii="宋体" w:hAnsi="宋体" w:eastAsia="宋体" w:cs="宋体"/>
          <w:spacing w:val="-2"/>
          <w:sz w:val="24"/>
          <w:szCs w:val="24"/>
        </w:rPr>
        <w:t>透水性好，厚度一般小于</w:t>
      </w:r>
      <w:r>
        <w:rPr>
          <w:rFonts w:ascii="宋体" w:hAnsi="宋体" w:eastAsia="宋体" w:cs="宋体"/>
          <w:spacing w:val="-40"/>
          <w:sz w:val="24"/>
          <w:szCs w:val="24"/>
        </w:rPr>
        <w:t xml:space="preserve"> </w:t>
      </w:r>
      <w:r>
        <w:rPr>
          <w:rFonts w:ascii="宋体" w:hAnsi="宋体" w:eastAsia="宋体" w:cs="宋体"/>
          <w:spacing w:val="-2"/>
          <w:sz w:val="24"/>
          <w:szCs w:val="24"/>
        </w:rPr>
        <w:t>20m。</w:t>
      </w:r>
    </w:p>
    <w:p w14:paraId="454D84B3">
      <w:pPr>
        <w:spacing w:before="3" w:line="359" w:lineRule="auto"/>
        <w:ind w:left="20" w:right="162" w:firstLine="480"/>
        <w:rPr>
          <w:rFonts w:ascii="宋体" w:hAnsi="宋体" w:eastAsia="宋体" w:cs="宋体"/>
          <w:sz w:val="24"/>
          <w:szCs w:val="24"/>
        </w:rPr>
      </w:pPr>
      <w:r>
        <w:rPr>
          <w:rFonts w:ascii="宋体" w:hAnsi="宋体" w:eastAsia="宋体" w:cs="宋体"/>
          <w:sz w:val="24"/>
          <w:szCs w:val="24"/>
        </w:rPr>
        <w:t>第二层，岩性为灰白、灰褐色粉细砂，分选性好</w:t>
      </w:r>
      <w:r>
        <w:rPr>
          <w:rFonts w:ascii="宋体" w:hAnsi="宋体" w:eastAsia="宋体" w:cs="宋体"/>
          <w:spacing w:val="-1"/>
          <w:sz w:val="24"/>
          <w:szCs w:val="24"/>
        </w:rPr>
        <w:t>，结构比较松散，可见水</w:t>
      </w:r>
      <w:r>
        <w:rPr>
          <w:rFonts w:ascii="宋体" w:hAnsi="宋体" w:eastAsia="宋体" w:cs="宋体"/>
          <w:sz w:val="24"/>
          <w:szCs w:val="24"/>
        </w:rPr>
        <w:t xml:space="preserve"> </w:t>
      </w:r>
      <w:r>
        <w:rPr>
          <w:rFonts w:ascii="宋体" w:hAnsi="宋体" w:eastAsia="宋体" w:cs="宋体"/>
          <w:spacing w:val="-1"/>
          <w:sz w:val="24"/>
          <w:szCs w:val="24"/>
        </w:rPr>
        <w:t>平层理，成分以石英和长石为主，含水、透水，后一般小于</w:t>
      </w:r>
      <w:r>
        <w:rPr>
          <w:rFonts w:ascii="宋体" w:hAnsi="宋体" w:eastAsia="宋体" w:cs="宋体"/>
          <w:spacing w:val="-40"/>
          <w:sz w:val="24"/>
          <w:szCs w:val="24"/>
        </w:rPr>
        <w:t xml:space="preserve"> </w:t>
      </w:r>
      <w:r>
        <w:rPr>
          <w:rFonts w:ascii="宋体" w:hAnsi="宋体" w:eastAsia="宋体" w:cs="宋体"/>
          <w:spacing w:val="-1"/>
          <w:sz w:val="24"/>
          <w:szCs w:val="24"/>
        </w:rPr>
        <w:t>20m。</w:t>
      </w:r>
    </w:p>
    <w:p w14:paraId="563DDD3F">
      <w:pPr>
        <w:spacing w:line="360" w:lineRule="auto"/>
        <w:ind w:left="20" w:right="82" w:firstLine="480"/>
        <w:rPr>
          <w:rFonts w:ascii="宋体" w:hAnsi="宋体" w:eastAsia="宋体" w:cs="宋体"/>
          <w:sz w:val="24"/>
          <w:szCs w:val="24"/>
        </w:rPr>
      </w:pPr>
      <w:r>
        <w:rPr>
          <w:rFonts w:ascii="宋体" w:hAnsi="宋体" w:eastAsia="宋体" w:cs="宋体"/>
          <w:sz w:val="24"/>
          <w:szCs w:val="24"/>
        </w:rPr>
        <w:t>第三层，岩性为灰褐色、灰白色泥质粉细砂、淤</w:t>
      </w:r>
      <w:r>
        <w:rPr>
          <w:rFonts w:ascii="宋体" w:hAnsi="宋体" w:eastAsia="宋体" w:cs="宋体"/>
          <w:spacing w:val="-1"/>
          <w:sz w:val="24"/>
          <w:szCs w:val="24"/>
        </w:rPr>
        <w:t>泥质粉细砂、粉细砂、亚</w:t>
      </w:r>
      <w:r>
        <w:rPr>
          <w:rFonts w:ascii="宋体" w:hAnsi="宋体" w:eastAsia="宋体" w:cs="宋体"/>
          <w:sz w:val="24"/>
          <w:szCs w:val="24"/>
        </w:rPr>
        <w:t xml:space="preserve"> </w:t>
      </w:r>
      <w:r>
        <w:rPr>
          <w:rFonts w:ascii="宋体" w:hAnsi="宋体" w:eastAsia="宋体" w:cs="宋体"/>
          <w:spacing w:val="-10"/>
          <w:sz w:val="24"/>
          <w:szCs w:val="24"/>
        </w:rPr>
        <w:t>砂土、亚粘土，结构疏松，可见明显水平层理，含水、透水性差，厚度小于</w:t>
      </w:r>
      <w:r>
        <w:rPr>
          <w:rFonts w:ascii="宋体" w:hAnsi="宋体" w:eastAsia="宋体" w:cs="宋体"/>
          <w:spacing w:val="-40"/>
          <w:sz w:val="24"/>
          <w:szCs w:val="24"/>
        </w:rPr>
        <w:t xml:space="preserve"> </w:t>
      </w:r>
      <w:r>
        <w:rPr>
          <w:rFonts w:ascii="宋体" w:hAnsi="宋体" w:eastAsia="宋体" w:cs="宋体"/>
          <w:spacing w:val="-10"/>
          <w:sz w:val="24"/>
          <w:szCs w:val="24"/>
        </w:rPr>
        <w:t>70m。</w:t>
      </w:r>
    </w:p>
    <w:p w14:paraId="67243F39">
      <w:pPr>
        <w:spacing w:line="360" w:lineRule="auto"/>
        <w:ind w:left="22" w:right="162" w:firstLine="501"/>
        <w:rPr>
          <w:rFonts w:ascii="宋体" w:hAnsi="宋体" w:eastAsia="宋体" w:cs="宋体"/>
          <w:sz w:val="24"/>
          <w:szCs w:val="24"/>
        </w:rPr>
      </w:pPr>
      <w:r>
        <w:rPr>
          <w:rFonts w:ascii="宋体" w:hAnsi="宋体" w:eastAsia="宋体" w:cs="宋体"/>
          <w:spacing w:val="-1"/>
          <w:sz w:val="24"/>
          <w:szCs w:val="24"/>
        </w:rPr>
        <w:t>中更系统地层一般覆盖在上第三系和下白垩系地层之上，上部一般被上更</w:t>
      </w:r>
      <w:r>
        <w:rPr>
          <w:rFonts w:ascii="宋体" w:hAnsi="宋体" w:eastAsia="宋体" w:cs="宋体"/>
          <w:sz w:val="24"/>
          <w:szCs w:val="24"/>
        </w:rPr>
        <w:t xml:space="preserve"> </w:t>
      </w:r>
      <w:r>
        <w:rPr>
          <w:rFonts w:ascii="宋体" w:hAnsi="宋体" w:eastAsia="宋体" w:cs="宋体"/>
          <w:spacing w:val="-1"/>
          <w:sz w:val="24"/>
          <w:szCs w:val="24"/>
        </w:rPr>
        <w:t>新统冲洪积层覆盖，地层厚度</w:t>
      </w:r>
      <w:r>
        <w:rPr>
          <w:rFonts w:ascii="宋体" w:hAnsi="宋体" w:eastAsia="宋体" w:cs="宋体"/>
          <w:spacing w:val="-45"/>
          <w:sz w:val="24"/>
          <w:szCs w:val="24"/>
        </w:rPr>
        <w:t xml:space="preserve"> </w:t>
      </w:r>
      <w:r>
        <w:rPr>
          <w:rFonts w:ascii="宋体" w:hAnsi="宋体" w:eastAsia="宋体" w:cs="宋体"/>
          <w:spacing w:val="-1"/>
          <w:sz w:val="24"/>
          <w:szCs w:val="24"/>
        </w:rPr>
        <w:t>29.48~116.36m。</w:t>
      </w:r>
    </w:p>
    <w:p w14:paraId="476B9020">
      <w:pPr>
        <w:spacing w:before="6" w:line="360" w:lineRule="auto"/>
        <w:ind w:left="23" w:right="82" w:firstLine="499"/>
        <w:jc w:val="both"/>
        <w:rPr>
          <w:rFonts w:ascii="宋体" w:hAnsi="宋体" w:eastAsia="宋体" w:cs="宋体"/>
          <w:sz w:val="24"/>
          <w:szCs w:val="24"/>
        </w:rPr>
      </w:pPr>
      <w:r>
        <w:rPr>
          <w:rFonts w:ascii="宋体" w:hAnsi="宋体" w:eastAsia="宋体" w:cs="宋体"/>
          <w:spacing w:val="-1"/>
          <w:sz w:val="24"/>
          <w:szCs w:val="24"/>
        </w:rPr>
        <w:t>中更新统地层在古河道中的垂直变化是下粗、中间细、上部稍粗；一般下</w:t>
      </w:r>
      <w:r>
        <w:rPr>
          <w:rFonts w:ascii="宋体" w:hAnsi="宋体" w:eastAsia="宋体" w:cs="宋体"/>
          <w:sz w:val="24"/>
          <w:szCs w:val="24"/>
        </w:rPr>
        <w:t xml:space="preserve"> 部为含砾中粗砂或砂砾石，中部为亚砂土或亚</w:t>
      </w:r>
      <w:r>
        <w:rPr>
          <w:rFonts w:ascii="宋体" w:hAnsi="宋体" w:eastAsia="宋体" w:cs="宋体"/>
          <w:spacing w:val="-1"/>
          <w:sz w:val="24"/>
          <w:szCs w:val="24"/>
        </w:rPr>
        <w:t>粘土，上部为粉细砂。在横向上</w:t>
      </w:r>
      <w:r>
        <w:rPr>
          <w:rFonts w:ascii="宋体" w:hAnsi="宋体" w:eastAsia="宋体" w:cs="宋体"/>
          <w:sz w:val="24"/>
          <w:szCs w:val="24"/>
        </w:rPr>
        <w:t xml:space="preserve"> </w:t>
      </w:r>
      <w:r>
        <w:rPr>
          <w:rFonts w:ascii="宋体" w:hAnsi="宋体" w:eastAsia="宋体" w:cs="宋体"/>
          <w:spacing w:val="3"/>
          <w:sz w:val="24"/>
          <w:szCs w:val="24"/>
        </w:rPr>
        <w:t>古河道中间部位地层厚度最大，一般为60~115m，堆积物颗粒相对</w:t>
      </w:r>
      <w:r>
        <w:rPr>
          <w:rFonts w:ascii="宋体" w:hAnsi="宋体" w:eastAsia="宋体" w:cs="宋体"/>
          <w:spacing w:val="2"/>
          <w:sz w:val="24"/>
          <w:szCs w:val="24"/>
        </w:rPr>
        <w:t>较粗，愈向</w:t>
      </w:r>
      <w:r>
        <w:rPr>
          <w:rFonts w:ascii="宋体" w:hAnsi="宋体" w:eastAsia="宋体" w:cs="宋体"/>
          <w:sz w:val="24"/>
          <w:szCs w:val="24"/>
        </w:rPr>
        <w:t xml:space="preserve"> </w:t>
      </w:r>
      <w:r>
        <w:rPr>
          <w:rFonts w:ascii="宋体" w:hAnsi="宋体" w:eastAsia="宋体" w:cs="宋体"/>
          <w:spacing w:val="-7"/>
          <w:sz w:val="24"/>
          <w:szCs w:val="24"/>
        </w:rPr>
        <w:t>古河道边部，地层厚度愈薄，一般为</w:t>
      </w:r>
      <w:r>
        <w:rPr>
          <w:rFonts w:ascii="宋体" w:hAnsi="宋体" w:eastAsia="宋体" w:cs="宋体"/>
          <w:spacing w:val="-28"/>
          <w:sz w:val="24"/>
          <w:szCs w:val="24"/>
        </w:rPr>
        <w:t xml:space="preserve"> </w:t>
      </w:r>
      <w:r>
        <w:rPr>
          <w:rFonts w:ascii="宋体" w:hAnsi="宋体" w:eastAsia="宋体" w:cs="宋体"/>
          <w:spacing w:val="-7"/>
          <w:sz w:val="24"/>
          <w:szCs w:val="24"/>
        </w:rPr>
        <w:t>10~40m，堆积物颗粒相对较细，在纵向上，</w:t>
      </w:r>
      <w:r>
        <w:rPr>
          <w:rFonts w:ascii="宋体" w:hAnsi="宋体" w:eastAsia="宋体" w:cs="宋体"/>
          <w:sz w:val="24"/>
          <w:szCs w:val="24"/>
        </w:rPr>
        <w:t xml:space="preserve"> </w:t>
      </w:r>
      <w:r>
        <w:rPr>
          <w:rFonts w:ascii="宋体" w:hAnsi="宋体" w:eastAsia="宋体" w:cs="宋体"/>
          <w:spacing w:val="-5"/>
          <w:sz w:val="24"/>
          <w:szCs w:val="24"/>
        </w:rPr>
        <w:t>由古河道上游至下游，堆积物颗粒由粗变细，且层次逐渐增多，单层厚度变薄。</w:t>
      </w:r>
      <w:r>
        <w:rPr>
          <w:rFonts w:ascii="宋体" w:hAnsi="宋体" w:eastAsia="宋体" w:cs="宋体"/>
          <w:spacing w:val="1"/>
          <w:sz w:val="24"/>
          <w:szCs w:val="24"/>
        </w:rPr>
        <w:t xml:space="preserve"> </w:t>
      </w:r>
      <w:r>
        <w:rPr>
          <w:rFonts w:ascii="宋体" w:hAnsi="宋体" w:eastAsia="宋体" w:cs="宋体"/>
          <w:spacing w:val="-2"/>
          <w:sz w:val="24"/>
          <w:szCs w:val="24"/>
        </w:rPr>
        <w:t>由古河道上游至下游，地层厚度逐渐增大，上游厚度</w:t>
      </w:r>
      <w:r>
        <w:rPr>
          <w:rFonts w:ascii="宋体" w:hAnsi="宋体" w:eastAsia="宋体" w:cs="宋体"/>
          <w:spacing w:val="-3"/>
          <w:sz w:val="24"/>
          <w:szCs w:val="24"/>
        </w:rPr>
        <w:t>一般</w:t>
      </w:r>
      <w:r>
        <w:rPr>
          <w:rFonts w:ascii="宋体" w:hAnsi="宋体" w:eastAsia="宋体" w:cs="宋体"/>
          <w:spacing w:val="-46"/>
          <w:sz w:val="24"/>
          <w:szCs w:val="24"/>
        </w:rPr>
        <w:t xml:space="preserve"> </w:t>
      </w:r>
      <w:r>
        <w:rPr>
          <w:rFonts w:ascii="宋体" w:hAnsi="宋体" w:eastAsia="宋体" w:cs="宋体"/>
          <w:spacing w:val="-3"/>
          <w:sz w:val="24"/>
          <w:szCs w:val="24"/>
        </w:rPr>
        <w:t>50~70m，下游一般为</w:t>
      </w:r>
    </w:p>
    <w:p w14:paraId="62022141">
      <w:pPr>
        <w:spacing w:line="360" w:lineRule="auto"/>
        <w:rPr>
          <w:rFonts w:ascii="宋体" w:hAnsi="宋体" w:eastAsia="宋体" w:cs="宋体"/>
          <w:sz w:val="24"/>
          <w:szCs w:val="24"/>
        </w:rPr>
        <w:sectPr>
          <w:footerReference r:id="rId164" w:type="default"/>
          <w:pgSz w:w="11906" w:h="16839"/>
          <w:pgMar w:top="1208" w:right="1785" w:bottom="1358" w:left="1785" w:header="825" w:footer="1195" w:gutter="0"/>
          <w:cols w:space="720" w:num="1"/>
        </w:sectPr>
      </w:pPr>
    </w:p>
    <w:p w14:paraId="6F486C19">
      <w:pPr>
        <w:pStyle w:val="2"/>
        <w:spacing w:line="265" w:lineRule="auto"/>
      </w:pPr>
    </w:p>
    <w:p w14:paraId="03C552D2">
      <w:pPr>
        <w:spacing w:before="78" w:line="237" w:lineRule="auto"/>
        <w:ind w:left="26"/>
        <w:rPr>
          <w:rFonts w:ascii="宋体" w:hAnsi="宋体" w:eastAsia="宋体" w:cs="宋体"/>
          <w:sz w:val="24"/>
          <w:szCs w:val="24"/>
        </w:rPr>
      </w:pPr>
      <w:r>
        <w:rPr>
          <w:rFonts w:ascii="宋体" w:hAnsi="宋体" w:eastAsia="宋体" w:cs="宋体"/>
          <w:spacing w:val="-2"/>
          <w:sz w:val="24"/>
          <w:szCs w:val="24"/>
        </w:rPr>
        <w:t>70~115m。</w:t>
      </w:r>
    </w:p>
    <w:p w14:paraId="360A428A">
      <w:pPr>
        <w:spacing w:before="142" w:line="235" w:lineRule="auto"/>
        <w:ind w:left="32"/>
        <w:rPr>
          <w:rFonts w:ascii="宋体" w:hAnsi="宋体" w:eastAsia="宋体" w:cs="宋体"/>
          <w:sz w:val="24"/>
          <w:szCs w:val="24"/>
        </w:rPr>
      </w:pPr>
      <w:r>
        <w:rPr>
          <w:rFonts w:ascii="宋体" w:hAnsi="宋体" w:eastAsia="宋体" w:cs="宋体"/>
          <w:spacing w:val="-1"/>
          <w:sz w:val="24"/>
          <w:szCs w:val="24"/>
        </w:rPr>
        <w:t>（3） 上更新统冲洪积层（Q</w:t>
      </w:r>
      <w:r>
        <w:rPr>
          <w:rFonts w:ascii="宋体" w:hAnsi="宋体" w:eastAsia="宋体" w:cs="宋体"/>
          <w:spacing w:val="-1"/>
          <w:position w:val="-4"/>
          <w:sz w:val="12"/>
          <w:szCs w:val="12"/>
        </w:rPr>
        <w:t>2</w:t>
      </w:r>
      <w:r>
        <w:rPr>
          <w:rFonts w:ascii="宋体" w:hAnsi="宋体" w:eastAsia="宋体" w:cs="宋体"/>
          <w:spacing w:val="-1"/>
          <w:position w:val="11"/>
          <w:sz w:val="12"/>
          <w:szCs w:val="12"/>
        </w:rPr>
        <w:t>al+pl</w:t>
      </w:r>
      <w:r>
        <w:rPr>
          <w:rFonts w:ascii="宋体" w:hAnsi="宋体" w:eastAsia="宋体" w:cs="宋体"/>
          <w:spacing w:val="-1"/>
          <w:sz w:val="24"/>
          <w:szCs w:val="24"/>
        </w:rPr>
        <w:t>）</w:t>
      </w:r>
    </w:p>
    <w:p w14:paraId="058FA0E0">
      <w:pPr>
        <w:spacing w:before="174" w:line="360" w:lineRule="auto"/>
        <w:ind w:left="22" w:right="101" w:firstLine="481"/>
        <w:rPr>
          <w:rFonts w:ascii="宋体" w:hAnsi="宋体" w:eastAsia="宋体" w:cs="宋体"/>
          <w:sz w:val="24"/>
          <w:szCs w:val="24"/>
        </w:rPr>
      </w:pPr>
      <w:r>
        <w:rPr>
          <w:rFonts w:ascii="宋体" w:hAnsi="宋体" w:eastAsia="宋体" w:cs="宋体"/>
          <w:spacing w:val="-6"/>
          <w:sz w:val="24"/>
          <w:szCs w:val="24"/>
        </w:rPr>
        <w:t>分布在河谷平原、冲洪积平原和山间枝状沟谷里，由于所处地貌单元不同，</w:t>
      </w:r>
      <w:r>
        <w:rPr>
          <w:rFonts w:ascii="宋体" w:hAnsi="宋体" w:eastAsia="宋体" w:cs="宋体"/>
          <w:spacing w:val="6"/>
          <w:sz w:val="24"/>
          <w:szCs w:val="24"/>
        </w:rPr>
        <w:t xml:space="preserve"> </w:t>
      </w:r>
      <w:r>
        <w:rPr>
          <w:rFonts w:ascii="宋体" w:hAnsi="宋体" w:eastAsia="宋体" w:cs="宋体"/>
          <w:spacing w:val="-1"/>
          <w:sz w:val="24"/>
          <w:szCs w:val="24"/>
        </w:rPr>
        <w:t>堆积物岩性是不一样的。</w:t>
      </w:r>
    </w:p>
    <w:p w14:paraId="51D229B7">
      <w:pPr>
        <w:spacing w:line="360" w:lineRule="auto"/>
        <w:ind w:left="20" w:right="82" w:firstLine="480"/>
        <w:jc w:val="both"/>
        <w:rPr>
          <w:rFonts w:ascii="宋体" w:hAnsi="宋体" w:eastAsia="宋体" w:cs="宋体"/>
          <w:sz w:val="24"/>
          <w:szCs w:val="24"/>
        </w:rPr>
      </w:pPr>
      <w:r>
        <w:rPr>
          <w:rFonts w:ascii="宋体" w:hAnsi="宋体" w:eastAsia="宋体" w:cs="宋体"/>
          <w:spacing w:val="-5"/>
          <w:sz w:val="24"/>
          <w:szCs w:val="24"/>
        </w:rPr>
        <w:t>在高勒罕、彦吉嘎、布尔嘎斯台河谷平原和高力罕牧场一带冲洪</w:t>
      </w:r>
      <w:r>
        <w:rPr>
          <w:rFonts w:ascii="宋体" w:hAnsi="宋体" w:eastAsia="宋体" w:cs="宋体"/>
          <w:spacing w:val="-6"/>
          <w:sz w:val="24"/>
          <w:szCs w:val="24"/>
        </w:rPr>
        <w:t>积平原中，</w:t>
      </w:r>
      <w:r>
        <w:rPr>
          <w:rFonts w:ascii="宋体" w:hAnsi="宋体" w:eastAsia="宋体" w:cs="宋体"/>
          <w:sz w:val="24"/>
          <w:szCs w:val="24"/>
        </w:rPr>
        <w:t xml:space="preserve"> 广泛、连续、稳定地分布着一层上更新统冲洪积灰白、</w:t>
      </w:r>
      <w:r>
        <w:rPr>
          <w:rFonts w:ascii="宋体" w:hAnsi="宋体" w:eastAsia="宋体" w:cs="宋体"/>
          <w:spacing w:val="-1"/>
          <w:sz w:val="24"/>
          <w:szCs w:val="24"/>
        </w:rPr>
        <w:t>黄褐色砂砾石层和含砾</w:t>
      </w:r>
      <w:r>
        <w:rPr>
          <w:rFonts w:ascii="宋体" w:hAnsi="宋体" w:eastAsia="宋体" w:cs="宋体"/>
          <w:sz w:val="24"/>
          <w:szCs w:val="24"/>
        </w:rPr>
        <w:t xml:space="preserve"> </w:t>
      </w:r>
      <w:r>
        <w:rPr>
          <w:rFonts w:ascii="宋体" w:hAnsi="宋体" w:eastAsia="宋体" w:cs="宋体"/>
          <w:spacing w:val="-5"/>
          <w:sz w:val="24"/>
          <w:szCs w:val="24"/>
        </w:rPr>
        <w:t>中粗砂层，分选性较差；砾石多为棱角状或半棱角状，成分可见砂岩、玄武岩、</w:t>
      </w:r>
      <w:r>
        <w:rPr>
          <w:rFonts w:ascii="宋体" w:hAnsi="宋体" w:eastAsia="宋体" w:cs="宋体"/>
          <w:spacing w:val="5"/>
          <w:sz w:val="24"/>
          <w:szCs w:val="24"/>
        </w:rPr>
        <w:t xml:space="preserve"> </w:t>
      </w:r>
      <w:r>
        <w:rPr>
          <w:rFonts w:ascii="宋体" w:hAnsi="宋体" w:eastAsia="宋体" w:cs="宋体"/>
          <w:spacing w:val="-5"/>
          <w:sz w:val="24"/>
          <w:szCs w:val="24"/>
        </w:rPr>
        <w:t>凝灰岩、流纹岩、石英岩、安山岩和花岗岩，砾径一般</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6"/>
          <w:sz w:val="24"/>
          <w:szCs w:val="24"/>
        </w:rPr>
        <w:t>-3cm，大者可达</w:t>
      </w:r>
      <w:r>
        <w:rPr>
          <w:rFonts w:ascii="宋体" w:hAnsi="宋体" w:eastAsia="宋体" w:cs="宋体"/>
          <w:spacing w:val="-33"/>
          <w:sz w:val="24"/>
          <w:szCs w:val="24"/>
        </w:rPr>
        <w:t xml:space="preserve"> </w:t>
      </w:r>
      <w:r>
        <w:rPr>
          <w:rFonts w:ascii="宋体" w:hAnsi="宋体" w:eastAsia="宋体" w:cs="宋体"/>
          <w:spacing w:val="-6"/>
          <w:sz w:val="24"/>
          <w:szCs w:val="24"/>
        </w:rPr>
        <w:t>10cm，</w:t>
      </w:r>
      <w:r>
        <w:rPr>
          <w:rFonts w:ascii="宋体" w:hAnsi="宋体" w:eastAsia="宋体" w:cs="宋体"/>
          <w:sz w:val="24"/>
          <w:szCs w:val="24"/>
        </w:rPr>
        <w:t xml:space="preserve"> </w:t>
      </w:r>
      <w:r>
        <w:rPr>
          <w:rFonts w:ascii="宋体" w:hAnsi="宋体" w:eastAsia="宋体" w:cs="宋体"/>
          <w:spacing w:val="-3"/>
          <w:sz w:val="24"/>
          <w:szCs w:val="24"/>
        </w:rPr>
        <w:t>砂的成分主要为石英，分选较好，一般厚度</w:t>
      </w:r>
      <w:r>
        <w:rPr>
          <w:rFonts w:ascii="宋体" w:hAnsi="宋体" w:eastAsia="宋体" w:cs="宋体"/>
          <w:spacing w:val="-19"/>
          <w:sz w:val="24"/>
          <w:szCs w:val="24"/>
        </w:rPr>
        <w:t xml:space="preserve"> </w:t>
      </w:r>
      <w:r>
        <w:rPr>
          <w:rFonts w:ascii="宋体" w:hAnsi="宋体" w:eastAsia="宋体" w:cs="宋体"/>
          <w:spacing w:val="-3"/>
          <w:sz w:val="24"/>
          <w:szCs w:val="24"/>
        </w:rPr>
        <w:t>10-15m，改层覆盖于中更新统冲湖</w:t>
      </w:r>
      <w:r>
        <w:rPr>
          <w:rFonts w:ascii="宋体" w:hAnsi="宋体" w:eastAsia="宋体" w:cs="宋体"/>
          <w:sz w:val="24"/>
          <w:szCs w:val="24"/>
        </w:rPr>
        <w:t xml:space="preserve"> </w:t>
      </w:r>
      <w:r>
        <w:rPr>
          <w:rFonts w:ascii="宋体" w:hAnsi="宋体" w:eastAsia="宋体" w:cs="宋体"/>
          <w:spacing w:val="-1"/>
          <w:sz w:val="24"/>
          <w:szCs w:val="24"/>
        </w:rPr>
        <w:t>积层之上，上部被全新统堆积物覆盖，覆盖厚度</w:t>
      </w:r>
      <w:r>
        <w:rPr>
          <w:rFonts w:ascii="宋体" w:hAnsi="宋体" w:eastAsia="宋体" w:cs="宋体"/>
          <w:spacing w:val="-2"/>
          <w:sz w:val="24"/>
          <w:szCs w:val="24"/>
        </w:rPr>
        <w:t>一般为</w:t>
      </w:r>
      <w:r>
        <w:rPr>
          <w:rFonts w:ascii="宋体" w:hAnsi="宋体" w:eastAsia="宋体" w:cs="宋体"/>
          <w:spacing w:val="-33"/>
          <w:sz w:val="24"/>
          <w:szCs w:val="24"/>
        </w:rPr>
        <w:t xml:space="preserve"> </w:t>
      </w:r>
      <w:r>
        <w:rPr>
          <w:rFonts w:ascii="宋体" w:hAnsi="宋体" w:eastAsia="宋体" w:cs="宋体"/>
          <w:spacing w:val="-2"/>
          <w:sz w:val="24"/>
          <w:szCs w:val="24"/>
        </w:rPr>
        <w:t>1-3m。</w:t>
      </w:r>
    </w:p>
    <w:p w14:paraId="46094F2B">
      <w:pPr>
        <w:spacing w:before="5" w:line="359" w:lineRule="auto"/>
        <w:ind w:left="20" w:right="101" w:firstLine="480"/>
        <w:rPr>
          <w:rFonts w:ascii="宋体" w:hAnsi="宋体" w:eastAsia="宋体" w:cs="宋体"/>
          <w:sz w:val="24"/>
          <w:szCs w:val="24"/>
        </w:rPr>
      </w:pPr>
      <w:r>
        <w:rPr>
          <w:rFonts w:ascii="宋体" w:hAnsi="宋体" w:eastAsia="宋体" w:cs="宋体"/>
          <w:sz w:val="24"/>
          <w:szCs w:val="24"/>
        </w:rPr>
        <w:t>在冲洪积平原、山间枝状沟谷里，堆积物岩性主要为浅棕色黄色亚砂土、</w:t>
      </w:r>
      <w:r>
        <w:rPr>
          <w:rFonts w:ascii="宋体" w:hAnsi="宋体" w:eastAsia="宋体" w:cs="宋体"/>
          <w:spacing w:val="16"/>
          <w:sz w:val="24"/>
          <w:szCs w:val="24"/>
        </w:rPr>
        <w:t xml:space="preserve"> </w:t>
      </w:r>
      <w:r>
        <w:rPr>
          <w:rFonts w:ascii="宋体" w:hAnsi="宋体" w:eastAsia="宋体" w:cs="宋体"/>
          <w:spacing w:val="-5"/>
          <w:sz w:val="24"/>
          <w:szCs w:val="24"/>
        </w:rPr>
        <w:t>含砾砂土、泥质细砂等，形成原因较复杂，系冲洪</w:t>
      </w:r>
      <w:r>
        <w:rPr>
          <w:rFonts w:ascii="宋体" w:hAnsi="宋体" w:eastAsia="宋体" w:cs="宋体"/>
          <w:spacing w:val="-6"/>
          <w:sz w:val="24"/>
          <w:szCs w:val="24"/>
        </w:rPr>
        <w:t>积、风积、残坡积堆积而成，</w:t>
      </w:r>
      <w:r>
        <w:rPr>
          <w:rFonts w:ascii="宋体" w:hAnsi="宋体" w:eastAsia="宋体" w:cs="宋体"/>
          <w:sz w:val="24"/>
          <w:szCs w:val="24"/>
        </w:rPr>
        <w:t xml:space="preserve"> 在冲洪积平原中一般覆盖于中更新统地层之上，在山间</w:t>
      </w:r>
      <w:r>
        <w:rPr>
          <w:rFonts w:ascii="宋体" w:hAnsi="宋体" w:eastAsia="宋体" w:cs="宋体"/>
          <w:spacing w:val="-1"/>
          <w:sz w:val="24"/>
          <w:szCs w:val="24"/>
        </w:rPr>
        <w:t>沟谷里一般覆盖于基岩</w:t>
      </w:r>
      <w:r>
        <w:rPr>
          <w:rFonts w:ascii="宋体" w:hAnsi="宋体" w:eastAsia="宋体" w:cs="宋体"/>
          <w:sz w:val="24"/>
          <w:szCs w:val="24"/>
        </w:rPr>
        <w:t xml:space="preserve"> </w:t>
      </w:r>
      <w:r>
        <w:rPr>
          <w:rFonts w:ascii="宋体" w:hAnsi="宋体" w:eastAsia="宋体" w:cs="宋体"/>
          <w:spacing w:val="-3"/>
          <w:sz w:val="24"/>
          <w:szCs w:val="24"/>
        </w:rPr>
        <w:t>之上，堆积物厚度一般小于</w:t>
      </w:r>
      <w:r>
        <w:rPr>
          <w:rFonts w:ascii="宋体" w:hAnsi="宋体" w:eastAsia="宋体" w:cs="宋体"/>
          <w:spacing w:val="-22"/>
          <w:sz w:val="24"/>
          <w:szCs w:val="24"/>
        </w:rPr>
        <w:t xml:space="preserve"> </w:t>
      </w:r>
      <w:r>
        <w:rPr>
          <w:rFonts w:ascii="宋体" w:hAnsi="宋体" w:eastAsia="宋体" w:cs="宋体"/>
          <w:spacing w:val="-3"/>
          <w:sz w:val="24"/>
          <w:szCs w:val="24"/>
        </w:rPr>
        <w:t>10m。</w:t>
      </w:r>
    </w:p>
    <w:p w14:paraId="33C3F9F3">
      <w:pPr>
        <w:spacing w:line="229" w:lineRule="auto"/>
        <w:ind w:left="32"/>
        <w:rPr>
          <w:rFonts w:ascii="宋体" w:hAnsi="宋体" w:eastAsia="宋体" w:cs="宋体"/>
          <w:sz w:val="24"/>
          <w:szCs w:val="24"/>
        </w:rPr>
      </w:pPr>
      <w:r>
        <w:rPr>
          <w:rFonts w:ascii="宋体" w:hAnsi="宋体" w:eastAsia="宋体" w:cs="宋体"/>
          <w:spacing w:val="-3"/>
          <w:sz w:val="24"/>
          <w:szCs w:val="24"/>
        </w:rPr>
        <w:t>（4） 全新统（Q</w:t>
      </w:r>
      <w:r>
        <w:rPr>
          <w:rFonts w:ascii="宋体" w:hAnsi="宋体" w:eastAsia="宋体" w:cs="宋体"/>
          <w:spacing w:val="-3"/>
          <w:position w:val="-3"/>
          <w:sz w:val="12"/>
          <w:szCs w:val="12"/>
        </w:rPr>
        <w:t>4</w:t>
      </w:r>
      <w:r>
        <w:rPr>
          <w:rFonts w:ascii="宋体" w:hAnsi="宋体" w:eastAsia="宋体" w:cs="宋体"/>
          <w:spacing w:val="-22"/>
          <w:position w:val="-3"/>
          <w:sz w:val="12"/>
          <w:szCs w:val="12"/>
        </w:rPr>
        <w:t xml:space="preserve"> </w:t>
      </w:r>
      <w:r>
        <w:rPr>
          <w:rFonts w:ascii="宋体" w:hAnsi="宋体" w:eastAsia="宋体" w:cs="宋体"/>
          <w:spacing w:val="-3"/>
          <w:sz w:val="24"/>
          <w:szCs w:val="24"/>
        </w:rPr>
        <w:t>）冲积、风积、湖积层</w:t>
      </w:r>
    </w:p>
    <w:p w14:paraId="63059FF7">
      <w:pPr>
        <w:spacing w:before="171" w:line="353" w:lineRule="auto"/>
        <w:ind w:left="21" w:right="162" w:firstLine="480"/>
        <w:rPr>
          <w:rFonts w:ascii="宋体" w:hAnsi="宋体" w:eastAsia="宋体" w:cs="宋体"/>
          <w:sz w:val="24"/>
          <w:szCs w:val="24"/>
        </w:rPr>
      </w:pPr>
      <w:r>
        <w:rPr>
          <w:rFonts w:ascii="宋体" w:hAnsi="宋体" w:eastAsia="宋体" w:cs="宋体"/>
          <w:sz w:val="24"/>
          <w:szCs w:val="24"/>
        </w:rPr>
        <w:t>第四纪全新世以来，区内堆积了各种不同成因类</w:t>
      </w:r>
      <w:r>
        <w:rPr>
          <w:rFonts w:ascii="宋体" w:hAnsi="宋体" w:eastAsia="宋体" w:cs="宋体"/>
          <w:spacing w:val="-1"/>
          <w:sz w:val="24"/>
          <w:szCs w:val="24"/>
        </w:rPr>
        <w:t>型的堆积物，并广泛地分</w:t>
      </w:r>
      <w:r>
        <w:rPr>
          <w:rFonts w:ascii="宋体" w:hAnsi="宋体" w:eastAsia="宋体" w:cs="宋体"/>
          <w:sz w:val="24"/>
          <w:szCs w:val="24"/>
        </w:rPr>
        <w:t xml:space="preserve"> </w:t>
      </w:r>
      <w:r>
        <w:rPr>
          <w:rFonts w:ascii="宋体" w:hAnsi="宋体" w:eastAsia="宋体" w:cs="宋体"/>
          <w:spacing w:val="-1"/>
          <w:sz w:val="24"/>
          <w:szCs w:val="24"/>
        </w:rPr>
        <w:t>布于全区。按不同成因类型叙述如下：</w:t>
      </w:r>
    </w:p>
    <w:p w14:paraId="6BD027A5">
      <w:pPr>
        <w:spacing w:before="4" w:line="359" w:lineRule="auto"/>
        <w:ind w:left="22" w:right="142" w:firstLine="480"/>
        <w:jc w:val="both"/>
        <w:rPr>
          <w:rFonts w:ascii="宋体" w:hAnsi="宋体" w:eastAsia="宋体" w:cs="宋体"/>
          <w:sz w:val="24"/>
          <w:szCs w:val="24"/>
        </w:rPr>
      </w:pPr>
      <w:r>
        <w:rPr>
          <w:rFonts w:ascii="宋体" w:hAnsi="宋体" w:eastAsia="宋体" w:cs="宋体"/>
          <w:spacing w:val="-2"/>
          <w:sz w:val="24"/>
          <w:szCs w:val="24"/>
        </w:rPr>
        <w:t>冲积粗砂、细砂和亚砂土（Q</w:t>
      </w:r>
      <w:r>
        <w:rPr>
          <w:rFonts w:ascii="宋体" w:hAnsi="宋体" w:eastAsia="宋体" w:cs="宋体"/>
          <w:spacing w:val="-2"/>
          <w:position w:val="-3"/>
          <w:sz w:val="12"/>
          <w:szCs w:val="12"/>
        </w:rPr>
        <w:t>4</w:t>
      </w:r>
      <w:r>
        <w:rPr>
          <w:rFonts w:ascii="宋体" w:hAnsi="宋体" w:eastAsia="宋体" w:cs="宋体"/>
          <w:spacing w:val="-2"/>
          <w:position w:val="11"/>
          <w:sz w:val="12"/>
          <w:szCs w:val="12"/>
        </w:rPr>
        <w:t>al</w:t>
      </w:r>
      <w:r>
        <w:rPr>
          <w:rFonts w:ascii="宋体" w:hAnsi="宋体" w:eastAsia="宋体" w:cs="宋体"/>
          <w:spacing w:val="7"/>
          <w:sz w:val="24"/>
          <w:szCs w:val="24"/>
        </w:rPr>
        <w:t>），</w:t>
      </w:r>
      <w:r>
        <w:rPr>
          <w:rFonts w:ascii="宋体" w:hAnsi="宋体" w:eastAsia="宋体" w:cs="宋体"/>
          <w:spacing w:val="-2"/>
          <w:sz w:val="24"/>
          <w:szCs w:val="24"/>
        </w:rPr>
        <w:t>分布于河谷平原中，颜色主要为土黄、</w:t>
      </w:r>
      <w:r>
        <w:rPr>
          <w:rFonts w:ascii="宋体" w:hAnsi="宋体" w:eastAsia="宋体" w:cs="宋体"/>
          <w:sz w:val="24"/>
          <w:szCs w:val="24"/>
        </w:rPr>
        <w:t xml:space="preserve"> </w:t>
      </w:r>
      <w:r>
        <w:rPr>
          <w:rFonts w:ascii="宋体" w:hAnsi="宋体" w:eastAsia="宋体" w:cs="宋体"/>
          <w:spacing w:val="-4"/>
          <w:sz w:val="24"/>
          <w:szCs w:val="24"/>
        </w:rPr>
        <w:t>灰黄色，厚度一般小于</w:t>
      </w:r>
      <w:r>
        <w:rPr>
          <w:rFonts w:ascii="宋体" w:hAnsi="宋体" w:eastAsia="宋体" w:cs="宋体"/>
          <w:spacing w:val="-46"/>
          <w:sz w:val="24"/>
          <w:szCs w:val="24"/>
        </w:rPr>
        <w:t xml:space="preserve"> </w:t>
      </w:r>
      <w:r>
        <w:rPr>
          <w:rFonts w:ascii="宋体" w:hAnsi="宋体" w:eastAsia="宋体" w:cs="宋体"/>
          <w:spacing w:val="-4"/>
          <w:sz w:val="24"/>
          <w:szCs w:val="24"/>
        </w:rPr>
        <w:t>3m，1m</w:t>
      </w:r>
      <w:r>
        <w:rPr>
          <w:rFonts w:ascii="宋体" w:hAnsi="宋体" w:eastAsia="宋体" w:cs="宋体"/>
          <w:spacing w:val="-49"/>
          <w:sz w:val="24"/>
          <w:szCs w:val="24"/>
        </w:rPr>
        <w:t xml:space="preserve"> </w:t>
      </w:r>
      <w:r>
        <w:rPr>
          <w:rFonts w:ascii="宋体" w:hAnsi="宋体" w:eastAsia="宋体" w:cs="宋体"/>
          <w:spacing w:val="-4"/>
          <w:sz w:val="24"/>
          <w:szCs w:val="24"/>
        </w:rPr>
        <w:t>左右为混有砾石的</w:t>
      </w:r>
      <w:r>
        <w:rPr>
          <w:rFonts w:ascii="宋体" w:hAnsi="宋体" w:eastAsia="宋体" w:cs="宋体"/>
          <w:spacing w:val="-5"/>
          <w:sz w:val="24"/>
          <w:szCs w:val="24"/>
        </w:rPr>
        <w:t>砂土及腐质层，形成良好的天</w:t>
      </w:r>
      <w:r>
        <w:rPr>
          <w:rFonts w:ascii="宋体" w:hAnsi="宋体" w:eastAsia="宋体" w:cs="宋体"/>
          <w:sz w:val="24"/>
          <w:szCs w:val="24"/>
        </w:rPr>
        <w:t xml:space="preserve"> </w:t>
      </w:r>
      <w:r>
        <w:rPr>
          <w:rFonts w:ascii="宋体" w:hAnsi="宋体" w:eastAsia="宋体" w:cs="宋体"/>
          <w:spacing w:val="-1"/>
          <w:sz w:val="24"/>
          <w:szCs w:val="24"/>
        </w:rPr>
        <w:t>然牧场，在近河流水源丰富地区被开垦为弄农田。</w:t>
      </w:r>
    </w:p>
    <w:p w14:paraId="094E656E">
      <w:pPr>
        <w:spacing w:line="360" w:lineRule="auto"/>
        <w:ind w:left="27" w:right="162" w:firstLine="474"/>
        <w:jc w:val="both"/>
        <w:rPr>
          <w:rFonts w:ascii="宋体" w:hAnsi="宋体" w:eastAsia="宋体" w:cs="宋体"/>
          <w:sz w:val="24"/>
          <w:szCs w:val="24"/>
        </w:rPr>
      </w:pPr>
      <w:r>
        <w:rPr>
          <w:rFonts w:ascii="宋体" w:hAnsi="宋体" w:eastAsia="宋体" w:cs="宋体"/>
          <w:spacing w:val="-2"/>
          <w:sz w:val="24"/>
          <w:szCs w:val="24"/>
        </w:rPr>
        <w:t>风积砂（Q</w:t>
      </w:r>
      <w:r>
        <w:rPr>
          <w:rFonts w:ascii="宋体" w:hAnsi="宋体" w:eastAsia="宋体" w:cs="宋体"/>
          <w:spacing w:val="-2"/>
          <w:position w:val="-3"/>
          <w:sz w:val="12"/>
          <w:szCs w:val="12"/>
        </w:rPr>
        <w:t>4</w:t>
      </w:r>
      <w:r>
        <w:rPr>
          <w:rFonts w:ascii="宋体" w:hAnsi="宋体" w:eastAsia="宋体" w:cs="宋体"/>
          <w:spacing w:val="-2"/>
          <w:position w:val="11"/>
          <w:sz w:val="12"/>
          <w:szCs w:val="12"/>
        </w:rPr>
        <w:t>eol</w:t>
      </w:r>
      <w:r>
        <w:rPr>
          <w:rFonts w:ascii="宋体" w:hAnsi="宋体" w:eastAsia="宋体" w:cs="宋体"/>
          <w:spacing w:val="-25"/>
          <w:sz w:val="24"/>
          <w:szCs w:val="24"/>
        </w:rPr>
        <w:t>）：</w:t>
      </w:r>
      <w:r>
        <w:rPr>
          <w:rFonts w:ascii="宋体" w:hAnsi="宋体" w:eastAsia="宋体" w:cs="宋体"/>
          <w:spacing w:val="-2"/>
          <w:sz w:val="24"/>
          <w:szCs w:val="24"/>
        </w:rPr>
        <w:t>沿基岩山区边缘呈近东西</w:t>
      </w:r>
      <w:r>
        <w:rPr>
          <w:rFonts w:ascii="宋体" w:hAnsi="宋体" w:eastAsia="宋体" w:cs="宋体"/>
          <w:spacing w:val="-3"/>
          <w:sz w:val="24"/>
          <w:szCs w:val="24"/>
        </w:rPr>
        <w:t>条带状展布，风积砂山磨圆较好</w:t>
      </w:r>
      <w:r>
        <w:rPr>
          <w:rFonts w:ascii="宋体" w:hAnsi="宋体" w:eastAsia="宋体" w:cs="宋体"/>
          <w:sz w:val="24"/>
          <w:szCs w:val="24"/>
        </w:rPr>
        <w:t xml:space="preserve"> 的石英、长石和岩屑组成，形成风积沙丘，厚度大于</w:t>
      </w:r>
      <w:r>
        <w:rPr>
          <w:rFonts w:ascii="宋体" w:hAnsi="宋体" w:eastAsia="宋体" w:cs="宋体"/>
          <w:spacing w:val="-20"/>
          <w:sz w:val="24"/>
          <w:szCs w:val="24"/>
        </w:rPr>
        <w:t xml:space="preserve"> </w:t>
      </w:r>
      <w:r>
        <w:rPr>
          <w:rFonts w:ascii="宋体" w:hAnsi="宋体" w:eastAsia="宋体" w:cs="宋体"/>
          <w:sz w:val="24"/>
          <w:szCs w:val="24"/>
        </w:rPr>
        <w:t xml:space="preserve">10m，沙丘多已固结，砂 </w:t>
      </w:r>
      <w:r>
        <w:rPr>
          <w:rFonts w:ascii="宋体" w:hAnsi="宋体" w:eastAsia="宋体" w:cs="宋体"/>
          <w:spacing w:val="-1"/>
          <w:sz w:val="24"/>
          <w:szCs w:val="24"/>
        </w:rPr>
        <w:t>带局部低洼地带水草茂盛，灌木丛生。</w:t>
      </w:r>
    </w:p>
    <w:p w14:paraId="7B2DF573">
      <w:pPr>
        <w:spacing w:before="2" w:line="362" w:lineRule="auto"/>
        <w:ind w:left="20" w:right="162" w:firstLine="480"/>
        <w:rPr>
          <w:rFonts w:ascii="宋体" w:hAnsi="宋体" w:eastAsia="宋体" w:cs="宋体"/>
          <w:sz w:val="24"/>
          <w:szCs w:val="24"/>
        </w:rPr>
      </w:pPr>
      <w:r>
        <w:rPr>
          <w:rFonts w:ascii="宋体" w:hAnsi="宋体" w:eastAsia="宋体" w:cs="宋体"/>
          <w:spacing w:val="-1"/>
          <w:sz w:val="24"/>
          <w:szCs w:val="24"/>
        </w:rPr>
        <w:t>湖积（Q</w:t>
      </w:r>
      <w:r>
        <w:rPr>
          <w:rFonts w:ascii="宋体" w:hAnsi="宋体" w:eastAsia="宋体" w:cs="宋体"/>
          <w:spacing w:val="-1"/>
          <w:position w:val="-3"/>
          <w:sz w:val="12"/>
          <w:szCs w:val="12"/>
        </w:rPr>
        <w:t>4</w:t>
      </w:r>
      <w:r>
        <w:rPr>
          <w:rFonts w:ascii="宋体" w:hAnsi="宋体" w:eastAsia="宋体" w:cs="宋体"/>
          <w:spacing w:val="-1"/>
          <w:position w:val="11"/>
          <w:sz w:val="12"/>
          <w:szCs w:val="12"/>
        </w:rPr>
        <w:t>l</w:t>
      </w:r>
      <w:r>
        <w:rPr>
          <w:rFonts w:ascii="宋体" w:hAnsi="宋体" w:eastAsia="宋体" w:cs="宋体"/>
          <w:spacing w:val="-24"/>
          <w:position w:val="11"/>
          <w:sz w:val="12"/>
          <w:szCs w:val="12"/>
        </w:rPr>
        <w:t xml:space="preserve"> </w:t>
      </w:r>
      <w:r>
        <w:rPr>
          <w:rFonts w:ascii="宋体" w:hAnsi="宋体" w:eastAsia="宋体" w:cs="宋体"/>
          <w:spacing w:val="-2"/>
          <w:sz w:val="24"/>
          <w:szCs w:val="24"/>
        </w:rPr>
        <w:t>）：</w:t>
      </w:r>
      <w:r>
        <w:rPr>
          <w:rFonts w:ascii="宋体" w:hAnsi="宋体" w:eastAsia="宋体" w:cs="宋体"/>
          <w:spacing w:val="-1"/>
          <w:sz w:val="24"/>
          <w:szCs w:val="24"/>
        </w:rPr>
        <w:t>中粗砂、细砂、淤泥质亚砂土，颜色</w:t>
      </w:r>
      <w:r>
        <w:rPr>
          <w:rFonts w:ascii="宋体" w:hAnsi="宋体" w:eastAsia="宋体" w:cs="宋体"/>
          <w:spacing w:val="-2"/>
          <w:sz w:val="24"/>
          <w:szCs w:val="24"/>
        </w:rPr>
        <w:t>一般为灰黄色、灰色。</w:t>
      </w:r>
      <w:r>
        <w:rPr>
          <w:rFonts w:ascii="宋体" w:hAnsi="宋体" w:eastAsia="宋体" w:cs="宋体"/>
          <w:sz w:val="24"/>
          <w:szCs w:val="24"/>
        </w:rPr>
        <w:t xml:space="preserve"> 主要分布在区内湖盆洼地，一般湖盆洼地边缘为中粗砂</w:t>
      </w:r>
      <w:r>
        <w:rPr>
          <w:rFonts w:ascii="宋体" w:hAnsi="宋体" w:eastAsia="宋体" w:cs="宋体"/>
          <w:spacing w:val="-1"/>
          <w:sz w:val="24"/>
          <w:szCs w:val="24"/>
        </w:rPr>
        <w:t>，边缘和中心之间为细</w:t>
      </w:r>
      <w:r>
        <w:rPr>
          <w:rFonts w:ascii="宋体" w:hAnsi="宋体" w:eastAsia="宋体" w:cs="宋体"/>
          <w:sz w:val="24"/>
          <w:szCs w:val="24"/>
        </w:rPr>
        <w:t xml:space="preserve"> </w:t>
      </w:r>
      <w:r>
        <w:rPr>
          <w:rFonts w:ascii="宋体" w:hAnsi="宋体" w:eastAsia="宋体" w:cs="宋体"/>
          <w:spacing w:val="-1"/>
          <w:sz w:val="24"/>
          <w:szCs w:val="24"/>
        </w:rPr>
        <w:t>砂，中心为淤泥质亚砂土，堆积物厚度一般小于</w:t>
      </w:r>
      <w:r>
        <w:rPr>
          <w:rFonts w:ascii="宋体" w:hAnsi="宋体" w:eastAsia="宋体" w:cs="宋体"/>
          <w:spacing w:val="-46"/>
          <w:sz w:val="24"/>
          <w:szCs w:val="24"/>
        </w:rPr>
        <w:t xml:space="preserve"> </w:t>
      </w:r>
      <w:r>
        <w:rPr>
          <w:rFonts w:ascii="宋体" w:hAnsi="宋体" w:eastAsia="宋体" w:cs="宋体"/>
          <w:spacing w:val="-1"/>
          <w:sz w:val="24"/>
          <w:szCs w:val="24"/>
        </w:rPr>
        <w:t>5m。</w:t>
      </w:r>
    </w:p>
    <w:p w14:paraId="088D59DF">
      <w:pPr>
        <w:spacing w:before="7" w:line="219" w:lineRule="auto"/>
        <w:ind w:left="518"/>
        <w:rPr>
          <w:rFonts w:ascii="宋体" w:hAnsi="宋体" w:eastAsia="宋体" w:cs="宋体"/>
          <w:sz w:val="24"/>
          <w:szCs w:val="24"/>
        </w:rPr>
      </w:pPr>
      <w:r>
        <w:rPr>
          <w:rFonts w:ascii="宋体" w:hAnsi="宋体" w:eastAsia="宋体" w:cs="宋体"/>
          <w:spacing w:val="-4"/>
          <w:sz w:val="24"/>
          <w:szCs w:val="24"/>
        </w:rPr>
        <w:t>区域地质见图</w:t>
      </w:r>
      <w:r>
        <w:rPr>
          <w:rFonts w:ascii="宋体" w:hAnsi="宋体" w:eastAsia="宋体" w:cs="宋体"/>
          <w:spacing w:val="-41"/>
          <w:sz w:val="24"/>
          <w:szCs w:val="24"/>
        </w:rPr>
        <w:t xml:space="preserve"> </w:t>
      </w:r>
      <w:r>
        <w:rPr>
          <w:rFonts w:ascii="宋体" w:hAnsi="宋体" w:eastAsia="宋体" w:cs="宋体"/>
          <w:spacing w:val="-4"/>
          <w:sz w:val="24"/>
          <w:szCs w:val="24"/>
        </w:rPr>
        <w:t>6.1-1。</w:t>
      </w:r>
    </w:p>
    <w:p w14:paraId="64F724E7">
      <w:pPr>
        <w:spacing w:line="219" w:lineRule="auto"/>
        <w:rPr>
          <w:rFonts w:ascii="宋体" w:hAnsi="宋体" w:eastAsia="宋体" w:cs="宋体"/>
          <w:sz w:val="24"/>
          <w:szCs w:val="24"/>
        </w:rPr>
        <w:sectPr>
          <w:footerReference r:id="rId165" w:type="default"/>
          <w:pgSz w:w="11906" w:h="16839"/>
          <w:pgMar w:top="1208" w:right="1785" w:bottom="1358" w:left="1785" w:header="825" w:footer="1195" w:gutter="0"/>
          <w:cols w:space="720" w:num="1"/>
        </w:sectPr>
      </w:pPr>
    </w:p>
    <w:p w14:paraId="7E8D7671">
      <w:pPr>
        <w:pStyle w:val="2"/>
        <w:spacing w:line="340" w:lineRule="auto"/>
      </w:pPr>
    </w:p>
    <w:p w14:paraId="67511F90">
      <w:pPr>
        <w:pStyle w:val="2"/>
        <w:spacing w:line="341" w:lineRule="auto"/>
      </w:pPr>
    </w:p>
    <w:p w14:paraId="6BD0CE7F">
      <w:pPr>
        <w:spacing w:line="7423" w:lineRule="exact"/>
        <w:ind w:firstLine="481"/>
      </w:pPr>
      <w:r>
        <w:rPr>
          <w:position w:val="-148"/>
        </w:rPr>
        <w:drawing>
          <wp:inline distT="0" distB="0" distL="0" distR="0">
            <wp:extent cx="7835900" cy="47136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83"/>
                    <a:stretch>
                      <a:fillRect/>
                    </a:stretch>
                  </pic:blipFill>
                  <pic:spPr>
                    <a:xfrm>
                      <a:off x="0" y="0"/>
                      <a:ext cx="7836407" cy="4713732"/>
                    </a:xfrm>
                    <a:prstGeom prst="rect">
                      <a:avLst/>
                    </a:prstGeom>
                  </pic:spPr>
                </pic:pic>
              </a:graphicData>
            </a:graphic>
          </wp:inline>
        </w:drawing>
      </w:r>
    </w:p>
    <w:p w14:paraId="0F3C4BE2">
      <w:pPr>
        <w:spacing w:before="244" w:line="223" w:lineRule="auto"/>
        <w:ind w:left="5928"/>
        <w:rPr>
          <w:rFonts w:ascii="仿宋" w:hAnsi="仿宋" w:eastAsia="仿宋" w:cs="仿宋"/>
          <w:sz w:val="24"/>
          <w:szCs w:val="24"/>
        </w:rPr>
      </w:pPr>
      <w:r>
        <w:rPr>
          <w:rFonts w:ascii="仿宋" w:hAnsi="仿宋" w:eastAsia="仿宋" w:cs="仿宋"/>
          <w:spacing w:val="-7"/>
          <w:sz w:val="24"/>
          <w:szCs w:val="24"/>
        </w:rPr>
        <w:t>图</w:t>
      </w:r>
      <w:r>
        <w:rPr>
          <w:rFonts w:ascii="Times New Roman" w:hAnsi="Times New Roman" w:eastAsia="Times New Roman" w:cs="Times New Roman"/>
          <w:spacing w:val="-7"/>
          <w:sz w:val="24"/>
          <w:szCs w:val="24"/>
        </w:rPr>
        <w:t>6.1-1</w:t>
      </w:r>
      <w:r>
        <w:rPr>
          <w:rFonts w:ascii="Times New Roman" w:hAnsi="Times New Roman" w:eastAsia="Times New Roman" w:cs="Times New Roman"/>
          <w:spacing w:val="9"/>
          <w:sz w:val="24"/>
          <w:szCs w:val="24"/>
        </w:rPr>
        <w:t xml:space="preserve">    </w:t>
      </w:r>
      <w:r>
        <w:rPr>
          <w:rFonts w:ascii="仿宋" w:hAnsi="仿宋" w:eastAsia="仿宋" w:cs="仿宋"/>
          <w:spacing w:val="-7"/>
          <w:sz w:val="24"/>
          <w:szCs w:val="24"/>
        </w:rPr>
        <w:t>区域地质图</w:t>
      </w:r>
    </w:p>
    <w:p w14:paraId="6675E3E1">
      <w:pPr>
        <w:spacing w:line="223" w:lineRule="auto"/>
        <w:rPr>
          <w:rFonts w:ascii="仿宋" w:hAnsi="仿宋" w:eastAsia="仿宋" w:cs="仿宋"/>
          <w:sz w:val="24"/>
          <w:szCs w:val="24"/>
        </w:rPr>
        <w:sectPr>
          <w:headerReference r:id="rId166" w:type="default"/>
          <w:footerReference r:id="rId167" w:type="default"/>
          <w:pgSz w:w="16839" w:h="11906"/>
          <w:pgMar w:top="1208" w:right="1440" w:bottom="1358" w:left="1440" w:header="825" w:footer="1195" w:gutter="0"/>
          <w:cols w:space="720" w:num="1"/>
        </w:sectPr>
      </w:pPr>
    </w:p>
    <w:p w14:paraId="516C3F19">
      <w:pPr>
        <w:pStyle w:val="2"/>
        <w:spacing w:line="265" w:lineRule="auto"/>
      </w:pPr>
    </w:p>
    <w:p w14:paraId="4F663FFF">
      <w:pPr>
        <w:spacing w:before="78" w:line="221" w:lineRule="auto"/>
        <w:ind w:left="500"/>
        <w:outlineLvl w:val="2"/>
        <w:rPr>
          <w:rFonts w:ascii="宋体" w:hAnsi="宋体" w:eastAsia="宋体" w:cs="宋体"/>
          <w:sz w:val="24"/>
          <w:szCs w:val="24"/>
        </w:rPr>
      </w:pPr>
      <w:bookmarkStart w:id="87" w:name="bookmark79"/>
      <w:bookmarkEnd w:id="87"/>
      <w:r>
        <w:rPr>
          <w:rFonts w:ascii="Times New Roman" w:hAnsi="Times New Roman" w:eastAsia="Times New Roman" w:cs="Times New Roman"/>
          <w:b/>
          <w:bCs/>
          <w:spacing w:val="-2"/>
          <w:sz w:val="24"/>
          <w:szCs w:val="24"/>
        </w:rPr>
        <w:t xml:space="preserve">6.1.5 </w:t>
      </w:r>
      <w:r>
        <w:rPr>
          <w:rFonts w:ascii="宋体" w:hAnsi="宋体" w:eastAsia="宋体" w:cs="宋体"/>
          <w:b/>
          <w:bCs/>
          <w:spacing w:val="-2"/>
          <w:sz w:val="24"/>
          <w:szCs w:val="24"/>
        </w:rPr>
        <w:t>土地利用</w:t>
      </w:r>
    </w:p>
    <w:p w14:paraId="56C96BBD">
      <w:pPr>
        <w:spacing w:before="181" w:line="219" w:lineRule="auto"/>
        <w:ind w:left="504"/>
        <w:rPr>
          <w:rFonts w:ascii="宋体" w:hAnsi="宋体" w:eastAsia="宋体" w:cs="宋体"/>
          <w:sz w:val="24"/>
          <w:szCs w:val="24"/>
        </w:rPr>
      </w:pPr>
      <w:r>
        <w:rPr>
          <w:rFonts w:ascii="宋体" w:hAnsi="宋体" w:eastAsia="宋体" w:cs="宋体"/>
          <w:spacing w:val="-1"/>
          <w:sz w:val="24"/>
          <w:szCs w:val="24"/>
        </w:rPr>
        <w:t>项目区土地利用类型为工矿用地。</w:t>
      </w:r>
    </w:p>
    <w:p w14:paraId="42F514A3">
      <w:pPr>
        <w:spacing w:before="183" w:line="219" w:lineRule="auto"/>
        <w:ind w:left="500"/>
        <w:outlineLvl w:val="2"/>
        <w:rPr>
          <w:rFonts w:ascii="宋体" w:hAnsi="宋体" w:eastAsia="宋体" w:cs="宋体"/>
          <w:sz w:val="24"/>
          <w:szCs w:val="24"/>
        </w:rPr>
      </w:pPr>
      <w:bookmarkStart w:id="88" w:name="bookmark80"/>
      <w:bookmarkEnd w:id="88"/>
      <w:r>
        <w:rPr>
          <w:rFonts w:ascii="Times New Roman" w:hAnsi="Times New Roman" w:eastAsia="Times New Roman" w:cs="Times New Roman"/>
          <w:b/>
          <w:bCs/>
          <w:spacing w:val="-2"/>
          <w:sz w:val="24"/>
          <w:szCs w:val="24"/>
        </w:rPr>
        <w:t xml:space="preserve">6.1.6 </w:t>
      </w:r>
      <w:r>
        <w:rPr>
          <w:rFonts w:ascii="宋体" w:hAnsi="宋体" w:eastAsia="宋体" w:cs="宋体"/>
          <w:b/>
          <w:bCs/>
          <w:spacing w:val="-2"/>
          <w:sz w:val="24"/>
          <w:szCs w:val="24"/>
        </w:rPr>
        <w:t>土壤与植被</w:t>
      </w:r>
    </w:p>
    <w:p w14:paraId="027C2E8D">
      <w:pPr>
        <w:spacing w:before="182" w:line="360" w:lineRule="auto"/>
        <w:ind w:left="22" w:right="162" w:firstLine="483"/>
        <w:rPr>
          <w:rFonts w:ascii="宋体" w:hAnsi="宋体" w:eastAsia="宋体" w:cs="宋体"/>
          <w:sz w:val="24"/>
          <w:szCs w:val="24"/>
        </w:rPr>
      </w:pPr>
      <w:r>
        <w:rPr>
          <w:rFonts w:ascii="宋体" w:hAnsi="宋体" w:eastAsia="宋体" w:cs="宋体"/>
          <w:spacing w:val="-1"/>
          <w:sz w:val="24"/>
          <w:szCs w:val="24"/>
        </w:rPr>
        <w:t>西乌旗受所处的地理位置和生物气候环境的制约分布有风沙土、栗钙土、</w:t>
      </w:r>
      <w:r>
        <w:rPr>
          <w:rFonts w:ascii="宋体" w:hAnsi="宋体" w:eastAsia="宋体" w:cs="宋体"/>
          <w:spacing w:val="15"/>
          <w:sz w:val="24"/>
          <w:szCs w:val="24"/>
        </w:rPr>
        <w:t xml:space="preserve"> </w:t>
      </w:r>
      <w:r>
        <w:rPr>
          <w:rFonts w:ascii="宋体" w:hAnsi="宋体" w:eastAsia="宋体" w:cs="宋体"/>
          <w:sz w:val="24"/>
          <w:szCs w:val="24"/>
        </w:rPr>
        <w:t>黑钙土三大地带性土壤，隐域性草甸土、沼泽土</w:t>
      </w:r>
      <w:r>
        <w:rPr>
          <w:rFonts w:ascii="宋体" w:hAnsi="宋体" w:eastAsia="宋体" w:cs="宋体"/>
          <w:spacing w:val="-1"/>
          <w:sz w:val="24"/>
          <w:szCs w:val="24"/>
        </w:rPr>
        <w:t>、碱土则发育在地带性土壤带</w:t>
      </w:r>
      <w:r>
        <w:rPr>
          <w:rFonts w:ascii="宋体" w:hAnsi="宋体" w:eastAsia="宋体" w:cs="宋体"/>
          <w:sz w:val="24"/>
          <w:szCs w:val="24"/>
        </w:rPr>
        <w:t xml:space="preserve"> </w:t>
      </w:r>
      <w:r>
        <w:rPr>
          <w:rFonts w:ascii="宋体" w:hAnsi="宋体" w:eastAsia="宋体" w:cs="宋体"/>
          <w:spacing w:val="-4"/>
          <w:sz w:val="24"/>
          <w:szCs w:val="24"/>
        </w:rPr>
        <w:t>中。栗钙土是本区的主体土壤，钙积出现有</w:t>
      </w:r>
      <w:r>
        <w:rPr>
          <w:rFonts w:ascii="宋体" w:hAnsi="宋体" w:eastAsia="宋体" w:cs="宋体"/>
          <w:spacing w:val="-45"/>
          <w:sz w:val="24"/>
          <w:szCs w:val="24"/>
        </w:rPr>
        <w:t xml:space="preserve"> </w:t>
      </w:r>
      <w:r>
        <w:rPr>
          <w:rFonts w:ascii="宋体" w:hAnsi="宋体" w:eastAsia="宋体" w:cs="宋体"/>
          <w:spacing w:val="-4"/>
          <w:sz w:val="24"/>
          <w:szCs w:val="24"/>
        </w:rPr>
        <w:t>30～50cm，厚</w:t>
      </w:r>
      <w:r>
        <w:rPr>
          <w:rFonts w:ascii="宋体" w:hAnsi="宋体" w:eastAsia="宋体" w:cs="宋体"/>
          <w:spacing w:val="-48"/>
          <w:sz w:val="24"/>
          <w:szCs w:val="24"/>
        </w:rPr>
        <w:t xml:space="preserve"> </w:t>
      </w:r>
      <w:r>
        <w:rPr>
          <w:rFonts w:ascii="宋体" w:hAnsi="宋体" w:eastAsia="宋体" w:cs="宋体"/>
          <w:spacing w:val="-4"/>
          <w:sz w:val="24"/>
          <w:szCs w:val="24"/>
        </w:rPr>
        <w:t>20～40cm。全旗土壤</w:t>
      </w:r>
      <w:r>
        <w:rPr>
          <w:rFonts w:ascii="宋体" w:hAnsi="宋体" w:eastAsia="宋体" w:cs="宋体"/>
          <w:sz w:val="24"/>
          <w:szCs w:val="24"/>
        </w:rPr>
        <w:t xml:space="preserve"> 总的养分是缺磷，氮中等，钾够用。有机质含量</w:t>
      </w:r>
      <w:r>
        <w:rPr>
          <w:rFonts w:ascii="宋体" w:hAnsi="宋体" w:eastAsia="宋体" w:cs="宋体"/>
          <w:spacing w:val="-1"/>
          <w:sz w:val="24"/>
          <w:szCs w:val="24"/>
        </w:rPr>
        <w:t>属中等或偏高。土壤分布呈地</w:t>
      </w:r>
      <w:r>
        <w:rPr>
          <w:rFonts w:ascii="宋体" w:hAnsi="宋体" w:eastAsia="宋体" w:cs="宋体"/>
          <w:sz w:val="24"/>
          <w:szCs w:val="24"/>
        </w:rPr>
        <w:t xml:space="preserve"> 带性规律和垂直地带性规律。隐域性土壤主要发</w:t>
      </w:r>
      <w:r>
        <w:rPr>
          <w:rFonts w:ascii="宋体" w:hAnsi="宋体" w:eastAsia="宋体" w:cs="宋体"/>
          <w:spacing w:val="-1"/>
          <w:sz w:val="24"/>
          <w:szCs w:val="24"/>
        </w:rPr>
        <w:t>育在湖盆低地周围以草甸土为</w:t>
      </w:r>
      <w:r>
        <w:rPr>
          <w:rFonts w:ascii="宋体" w:hAnsi="宋体" w:eastAsia="宋体" w:cs="宋体"/>
          <w:sz w:val="24"/>
          <w:szCs w:val="24"/>
        </w:rPr>
        <w:t xml:space="preserve"> </w:t>
      </w:r>
      <w:r>
        <w:rPr>
          <w:rFonts w:ascii="宋体" w:hAnsi="宋体" w:eastAsia="宋体" w:cs="宋体"/>
          <w:spacing w:val="-1"/>
          <w:sz w:val="24"/>
          <w:szCs w:val="24"/>
        </w:rPr>
        <w:t>主组成土被，构成非地带性土壤，隐域性土壤广泛发育。</w:t>
      </w:r>
    </w:p>
    <w:p w14:paraId="0989367A">
      <w:pPr>
        <w:spacing w:before="2" w:line="359" w:lineRule="auto"/>
        <w:ind w:left="22" w:right="162" w:firstLine="482"/>
        <w:rPr>
          <w:rFonts w:ascii="宋体" w:hAnsi="宋体" w:eastAsia="宋体" w:cs="宋体"/>
          <w:sz w:val="24"/>
          <w:szCs w:val="24"/>
        </w:rPr>
      </w:pPr>
      <w:r>
        <w:rPr>
          <w:rFonts w:ascii="宋体" w:hAnsi="宋体" w:eastAsia="宋体" w:cs="宋体"/>
          <w:spacing w:val="-1"/>
          <w:sz w:val="24"/>
          <w:szCs w:val="24"/>
        </w:rPr>
        <w:t>项目区为草原区，植被较为发育，覆盖较厚，据记载从未发生过滑坡、泥</w:t>
      </w:r>
      <w:r>
        <w:rPr>
          <w:rFonts w:ascii="宋体" w:hAnsi="宋体" w:eastAsia="宋体" w:cs="宋体"/>
          <w:spacing w:val="17"/>
          <w:sz w:val="24"/>
          <w:szCs w:val="24"/>
        </w:rPr>
        <w:t xml:space="preserve"> </w:t>
      </w:r>
      <w:r>
        <w:rPr>
          <w:rFonts w:ascii="宋体" w:hAnsi="宋体" w:eastAsia="宋体" w:cs="宋体"/>
          <w:spacing w:val="-2"/>
          <w:sz w:val="24"/>
          <w:szCs w:val="24"/>
        </w:rPr>
        <w:t>石流等地质灾害情况。</w:t>
      </w:r>
    </w:p>
    <w:p w14:paraId="3E8150AB">
      <w:pPr>
        <w:spacing w:line="219" w:lineRule="auto"/>
        <w:ind w:left="500"/>
        <w:outlineLvl w:val="2"/>
        <w:rPr>
          <w:rFonts w:ascii="宋体" w:hAnsi="宋体" w:eastAsia="宋体" w:cs="宋体"/>
          <w:sz w:val="24"/>
          <w:szCs w:val="24"/>
        </w:rPr>
      </w:pPr>
      <w:bookmarkStart w:id="89" w:name="bookmark81"/>
      <w:bookmarkEnd w:id="89"/>
      <w:r>
        <w:rPr>
          <w:rFonts w:ascii="Times New Roman" w:hAnsi="Times New Roman" w:eastAsia="Times New Roman" w:cs="Times New Roman"/>
          <w:b/>
          <w:bCs/>
          <w:spacing w:val="-2"/>
          <w:sz w:val="24"/>
          <w:szCs w:val="24"/>
        </w:rPr>
        <w:t xml:space="preserve">6.1.7 </w:t>
      </w:r>
      <w:r>
        <w:rPr>
          <w:rFonts w:ascii="宋体" w:hAnsi="宋体" w:eastAsia="宋体" w:cs="宋体"/>
          <w:b/>
          <w:bCs/>
          <w:spacing w:val="-2"/>
          <w:sz w:val="24"/>
          <w:szCs w:val="24"/>
        </w:rPr>
        <w:t>矿产资源</w:t>
      </w:r>
    </w:p>
    <w:p w14:paraId="43050E75">
      <w:pPr>
        <w:spacing w:before="181" w:line="361" w:lineRule="auto"/>
        <w:ind w:left="20" w:right="82" w:firstLine="486"/>
        <w:jc w:val="both"/>
        <w:rPr>
          <w:rFonts w:ascii="宋体" w:hAnsi="宋体" w:eastAsia="宋体" w:cs="宋体"/>
          <w:sz w:val="24"/>
          <w:szCs w:val="24"/>
        </w:rPr>
      </w:pPr>
      <w:r>
        <w:rPr>
          <w:rFonts w:ascii="宋体" w:hAnsi="宋体" w:eastAsia="宋体" w:cs="宋体"/>
          <w:spacing w:val="-5"/>
          <w:sz w:val="24"/>
          <w:szCs w:val="24"/>
        </w:rPr>
        <w:t>西乌旗矿产资源品种较多，已探明的主要矿产资源</w:t>
      </w:r>
      <w:r>
        <w:rPr>
          <w:rFonts w:ascii="宋体" w:hAnsi="宋体" w:eastAsia="宋体" w:cs="宋体"/>
          <w:spacing w:val="-6"/>
          <w:sz w:val="24"/>
          <w:szCs w:val="24"/>
        </w:rPr>
        <w:t>主要有煤、铁、镍、铜、</w:t>
      </w:r>
      <w:r>
        <w:rPr>
          <w:rFonts w:ascii="宋体" w:hAnsi="宋体" w:eastAsia="宋体" w:cs="宋体"/>
          <w:sz w:val="24"/>
          <w:szCs w:val="24"/>
        </w:rPr>
        <w:t xml:space="preserve"> 锌、铅、大理石、萤石、石油等，其中自治区能源基地</w:t>
      </w:r>
      <w:r>
        <w:rPr>
          <w:rFonts w:ascii="宋体" w:hAnsi="宋体" w:eastAsia="宋体" w:cs="宋体"/>
          <w:spacing w:val="-1"/>
          <w:sz w:val="24"/>
          <w:szCs w:val="24"/>
        </w:rPr>
        <w:t>白音华煤田初步探明储</w:t>
      </w:r>
      <w:r>
        <w:rPr>
          <w:rFonts w:ascii="宋体" w:hAnsi="宋体" w:eastAsia="宋体" w:cs="宋体"/>
          <w:sz w:val="24"/>
          <w:szCs w:val="24"/>
        </w:rPr>
        <w:t xml:space="preserve"> </w:t>
      </w:r>
      <w:r>
        <w:rPr>
          <w:rFonts w:ascii="宋体" w:hAnsi="宋体" w:eastAsia="宋体" w:cs="宋体"/>
          <w:spacing w:val="-1"/>
          <w:sz w:val="24"/>
          <w:szCs w:val="24"/>
        </w:rPr>
        <w:t>量达</w:t>
      </w:r>
      <w:r>
        <w:rPr>
          <w:rFonts w:ascii="宋体" w:hAnsi="宋体" w:eastAsia="宋体" w:cs="宋体"/>
          <w:spacing w:val="-33"/>
          <w:sz w:val="24"/>
          <w:szCs w:val="24"/>
        </w:rPr>
        <w:t xml:space="preserve"> </w:t>
      </w:r>
      <w:r>
        <w:rPr>
          <w:rFonts w:ascii="宋体" w:hAnsi="宋体" w:eastAsia="宋体" w:cs="宋体"/>
          <w:spacing w:val="-1"/>
          <w:sz w:val="24"/>
          <w:szCs w:val="24"/>
        </w:rPr>
        <w:t>141亿</w:t>
      </w:r>
      <w:r>
        <w:rPr>
          <w:rFonts w:ascii="宋体" w:hAnsi="宋体" w:eastAsia="宋体" w:cs="宋体"/>
          <w:spacing w:val="-44"/>
          <w:sz w:val="24"/>
          <w:szCs w:val="24"/>
        </w:rPr>
        <w:t xml:space="preserve"> </w:t>
      </w:r>
      <w:r>
        <w:rPr>
          <w:rFonts w:ascii="宋体" w:hAnsi="宋体" w:eastAsia="宋体" w:cs="宋体"/>
          <w:spacing w:val="-1"/>
          <w:sz w:val="24"/>
          <w:szCs w:val="24"/>
        </w:rPr>
        <w:t>t，为优质低硫褐煤。吉仁郭勒煤田储量</w:t>
      </w:r>
      <w:r>
        <w:rPr>
          <w:rFonts w:ascii="宋体" w:hAnsi="宋体" w:eastAsia="宋体" w:cs="宋体"/>
          <w:spacing w:val="-33"/>
          <w:sz w:val="24"/>
          <w:szCs w:val="24"/>
        </w:rPr>
        <w:t xml:space="preserve"> </w:t>
      </w:r>
      <w:r>
        <w:rPr>
          <w:rFonts w:ascii="宋体" w:hAnsi="宋体" w:eastAsia="宋体" w:cs="宋体"/>
          <w:spacing w:val="-1"/>
          <w:sz w:val="24"/>
          <w:szCs w:val="24"/>
        </w:rPr>
        <w:t>16</w:t>
      </w:r>
      <w:r>
        <w:rPr>
          <w:rFonts w:ascii="宋体" w:hAnsi="宋体" w:eastAsia="宋体" w:cs="宋体"/>
          <w:spacing w:val="-50"/>
          <w:sz w:val="24"/>
          <w:szCs w:val="24"/>
        </w:rPr>
        <w:t xml:space="preserve"> </w:t>
      </w:r>
      <w:r>
        <w:rPr>
          <w:rFonts w:ascii="宋体" w:hAnsi="宋体" w:eastAsia="宋体" w:cs="宋体"/>
          <w:spacing w:val="-1"/>
          <w:sz w:val="24"/>
          <w:szCs w:val="24"/>
        </w:rPr>
        <w:t>亿</w:t>
      </w:r>
      <w:r>
        <w:rPr>
          <w:rFonts w:ascii="宋体" w:hAnsi="宋体" w:eastAsia="宋体" w:cs="宋体"/>
          <w:spacing w:val="-45"/>
          <w:sz w:val="24"/>
          <w:szCs w:val="24"/>
        </w:rPr>
        <w:t xml:space="preserve"> </w:t>
      </w:r>
      <w:r>
        <w:rPr>
          <w:rFonts w:ascii="宋体" w:hAnsi="宋体" w:eastAsia="宋体" w:cs="宋体"/>
          <w:spacing w:val="-2"/>
          <w:sz w:val="24"/>
          <w:szCs w:val="24"/>
        </w:rPr>
        <w:t>t，巴彦呼硕煤田储</w:t>
      </w:r>
      <w:r>
        <w:rPr>
          <w:rFonts w:ascii="宋体" w:hAnsi="宋体" w:eastAsia="宋体" w:cs="宋体"/>
          <w:sz w:val="24"/>
          <w:szCs w:val="24"/>
        </w:rPr>
        <w:t xml:space="preserve"> </w:t>
      </w:r>
      <w:r>
        <w:rPr>
          <w:rFonts w:ascii="宋体" w:hAnsi="宋体" w:eastAsia="宋体" w:cs="宋体"/>
          <w:spacing w:val="-3"/>
          <w:sz w:val="24"/>
          <w:szCs w:val="24"/>
        </w:rPr>
        <w:t>量</w:t>
      </w:r>
      <w:r>
        <w:rPr>
          <w:rFonts w:ascii="宋体" w:hAnsi="宋体" w:eastAsia="宋体" w:cs="宋体"/>
          <w:spacing w:val="-47"/>
          <w:sz w:val="24"/>
          <w:szCs w:val="24"/>
        </w:rPr>
        <w:t xml:space="preserve"> </w:t>
      </w:r>
      <w:r>
        <w:rPr>
          <w:rFonts w:ascii="宋体" w:hAnsi="宋体" w:eastAsia="宋体" w:cs="宋体"/>
          <w:spacing w:val="-3"/>
          <w:sz w:val="24"/>
          <w:szCs w:val="24"/>
        </w:rPr>
        <w:t>28</w:t>
      </w:r>
      <w:r>
        <w:rPr>
          <w:rFonts w:ascii="宋体" w:hAnsi="宋体" w:eastAsia="宋体" w:cs="宋体"/>
          <w:spacing w:val="-50"/>
          <w:sz w:val="24"/>
          <w:szCs w:val="24"/>
        </w:rPr>
        <w:t xml:space="preserve"> </w:t>
      </w:r>
      <w:r>
        <w:rPr>
          <w:rFonts w:ascii="宋体" w:hAnsi="宋体" w:eastAsia="宋体" w:cs="宋体"/>
          <w:spacing w:val="-3"/>
          <w:sz w:val="24"/>
          <w:szCs w:val="24"/>
        </w:rPr>
        <w:t>亿</w:t>
      </w:r>
      <w:r>
        <w:rPr>
          <w:rFonts w:ascii="宋体" w:hAnsi="宋体" w:eastAsia="宋体" w:cs="宋体"/>
          <w:spacing w:val="-45"/>
          <w:sz w:val="24"/>
          <w:szCs w:val="24"/>
        </w:rPr>
        <w:t xml:space="preserve"> </w:t>
      </w:r>
      <w:r>
        <w:rPr>
          <w:rFonts w:ascii="宋体" w:hAnsi="宋体" w:eastAsia="宋体" w:cs="宋体"/>
          <w:spacing w:val="-3"/>
          <w:sz w:val="24"/>
          <w:szCs w:val="24"/>
        </w:rPr>
        <w:t>t，巴布盖诺尔铜银多金属等开发潜力大。矿畜产品加工、矿产</w:t>
      </w:r>
      <w:r>
        <w:rPr>
          <w:rFonts w:ascii="宋体" w:hAnsi="宋体" w:eastAsia="宋体" w:cs="宋体"/>
          <w:spacing w:val="-4"/>
          <w:sz w:val="24"/>
          <w:szCs w:val="24"/>
        </w:rPr>
        <w:t>资源开</w:t>
      </w:r>
      <w:r>
        <w:rPr>
          <w:rFonts w:ascii="宋体" w:hAnsi="宋体" w:eastAsia="宋体" w:cs="宋体"/>
          <w:sz w:val="24"/>
          <w:szCs w:val="24"/>
        </w:rPr>
        <w:t xml:space="preserve"> </w:t>
      </w:r>
      <w:r>
        <w:rPr>
          <w:rFonts w:ascii="宋体" w:hAnsi="宋体" w:eastAsia="宋体" w:cs="宋体"/>
          <w:spacing w:val="-1"/>
          <w:sz w:val="24"/>
          <w:szCs w:val="24"/>
        </w:rPr>
        <w:t>发和建材业是该旗工业经济的支柱产业和优势产业。</w:t>
      </w:r>
    </w:p>
    <w:p w14:paraId="0E9AB000">
      <w:pPr>
        <w:spacing w:before="78" w:line="222" w:lineRule="auto"/>
        <w:ind w:left="22"/>
        <w:outlineLvl w:val="1"/>
        <w:rPr>
          <w:rFonts w:ascii="黑体" w:hAnsi="黑体" w:eastAsia="黑体" w:cs="黑体"/>
          <w:sz w:val="28"/>
          <w:szCs w:val="28"/>
        </w:rPr>
      </w:pPr>
      <w:bookmarkStart w:id="90" w:name="bookmark82"/>
      <w:bookmarkEnd w:id="90"/>
      <w:r>
        <w:rPr>
          <w:rFonts w:ascii="Times New Roman" w:hAnsi="Times New Roman" w:eastAsia="Times New Roman" w:cs="Times New Roman"/>
          <w:b/>
          <w:bCs/>
          <w:spacing w:val="-5"/>
          <w:sz w:val="28"/>
          <w:szCs w:val="28"/>
        </w:rPr>
        <w:t>6.2</w:t>
      </w:r>
      <w:r>
        <w:rPr>
          <w:rFonts w:ascii="Times New Roman" w:hAnsi="Times New Roman" w:eastAsia="Times New Roman" w:cs="Times New Roman"/>
          <w:b/>
          <w:bCs/>
          <w:spacing w:val="29"/>
          <w:sz w:val="28"/>
          <w:szCs w:val="28"/>
        </w:rPr>
        <w:t xml:space="preserve"> </w:t>
      </w:r>
      <w:r>
        <w:rPr>
          <w:rFonts w:ascii="黑体" w:hAnsi="黑体" w:eastAsia="黑体" w:cs="黑体"/>
          <w:b/>
          <w:bCs/>
          <w:spacing w:val="-5"/>
          <w:sz w:val="28"/>
          <w:szCs w:val="28"/>
        </w:rPr>
        <w:t>区域主要环境问题</w:t>
      </w:r>
    </w:p>
    <w:p w14:paraId="11D16F72">
      <w:pPr>
        <w:spacing w:before="258" w:line="360" w:lineRule="auto"/>
        <w:ind w:left="21" w:right="82" w:firstLine="480"/>
        <w:jc w:val="both"/>
        <w:rPr>
          <w:rFonts w:ascii="宋体" w:hAnsi="宋体" w:eastAsia="宋体" w:cs="宋体"/>
          <w:sz w:val="24"/>
          <w:szCs w:val="24"/>
        </w:rPr>
      </w:pPr>
      <w:r>
        <w:rPr>
          <w:rFonts w:ascii="宋体" w:hAnsi="宋体" w:eastAsia="宋体" w:cs="宋体"/>
          <w:sz w:val="24"/>
          <w:szCs w:val="24"/>
        </w:rPr>
        <w:t>长期以来，由于人类经济活动的加剧和不合理</w:t>
      </w:r>
      <w:r>
        <w:rPr>
          <w:rFonts w:ascii="宋体" w:hAnsi="宋体" w:eastAsia="宋体" w:cs="宋体"/>
          <w:spacing w:val="-1"/>
          <w:sz w:val="24"/>
          <w:szCs w:val="24"/>
        </w:rPr>
        <w:t>的利用和管理草原，以及全</w:t>
      </w:r>
      <w:r>
        <w:rPr>
          <w:rFonts w:ascii="宋体" w:hAnsi="宋体" w:eastAsia="宋体" w:cs="宋体"/>
          <w:sz w:val="24"/>
          <w:szCs w:val="24"/>
        </w:rPr>
        <w:t xml:space="preserve"> </w:t>
      </w:r>
      <w:r>
        <w:rPr>
          <w:rFonts w:ascii="宋体" w:hAnsi="宋体" w:eastAsia="宋体" w:cs="宋体"/>
          <w:spacing w:val="-5"/>
          <w:sz w:val="24"/>
          <w:szCs w:val="24"/>
        </w:rPr>
        <w:t>球气候变化等多种因素的影响，项目所在地区存在着草原植被退化、草场沙化、</w:t>
      </w:r>
      <w:r>
        <w:rPr>
          <w:rFonts w:ascii="宋体" w:hAnsi="宋体" w:eastAsia="宋体" w:cs="宋体"/>
          <w:spacing w:val="4"/>
          <w:sz w:val="24"/>
          <w:szCs w:val="24"/>
        </w:rPr>
        <w:t xml:space="preserve"> </w:t>
      </w:r>
      <w:r>
        <w:rPr>
          <w:rFonts w:ascii="宋体" w:hAnsi="宋体" w:eastAsia="宋体" w:cs="宋体"/>
          <w:sz w:val="24"/>
          <w:szCs w:val="24"/>
        </w:rPr>
        <w:t>草地生产力下降、土壤盐渍化等生态环境问题。由于</w:t>
      </w:r>
      <w:r>
        <w:rPr>
          <w:rFonts w:ascii="宋体" w:hAnsi="宋体" w:eastAsia="宋体" w:cs="宋体"/>
          <w:spacing w:val="-1"/>
          <w:sz w:val="24"/>
          <w:szCs w:val="24"/>
        </w:rPr>
        <w:t>草地退化沙化，导致采地</w:t>
      </w:r>
      <w:r>
        <w:rPr>
          <w:rFonts w:ascii="宋体" w:hAnsi="宋体" w:eastAsia="宋体" w:cs="宋体"/>
          <w:sz w:val="24"/>
          <w:szCs w:val="24"/>
        </w:rPr>
        <w:t xml:space="preserve"> 生产力下降，草地生态系统抵御自然灾害能力变差，</w:t>
      </w:r>
      <w:r>
        <w:rPr>
          <w:rFonts w:ascii="宋体" w:hAnsi="宋体" w:eastAsia="宋体" w:cs="宋体"/>
          <w:spacing w:val="-1"/>
          <w:sz w:val="24"/>
          <w:szCs w:val="24"/>
        </w:rPr>
        <w:t>草地生态系统呈现不稳定</w:t>
      </w:r>
      <w:r>
        <w:rPr>
          <w:rFonts w:ascii="宋体" w:hAnsi="宋体" w:eastAsia="宋体" w:cs="宋体"/>
          <w:sz w:val="24"/>
          <w:szCs w:val="24"/>
        </w:rPr>
        <w:t xml:space="preserve"> 和脆弱性，项目所在地区沙漠化和生物多样性比较敏</w:t>
      </w:r>
      <w:r>
        <w:rPr>
          <w:rFonts w:ascii="宋体" w:hAnsi="宋体" w:eastAsia="宋体" w:cs="宋体"/>
          <w:spacing w:val="-1"/>
          <w:sz w:val="24"/>
          <w:szCs w:val="24"/>
        </w:rPr>
        <w:t>感。因此保护该地区草原</w:t>
      </w:r>
    </w:p>
    <w:p w14:paraId="4CC22B9B">
      <w:pPr>
        <w:spacing w:line="219" w:lineRule="auto"/>
        <w:ind w:left="22"/>
        <w:outlineLvl w:val="1"/>
        <w:rPr>
          <w:rFonts w:ascii="宋体" w:hAnsi="宋体" w:eastAsia="宋体" w:cs="宋体"/>
          <w:sz w:val="24"/>
          <w:szCs w:val="24"/>
        </w:rPr>
      </w:pPr>
      <w:r>
        <w:rPr>
          <w:rFonts w:ascii="宋体" w:hAnsi="宋体" w:eastAsia="宋体" w:cs="宋体"/>
          <w:spacing w:val="-1"/>
          <w:sz w:val="24"/>
          <w:szCs w:val="24"/>
        </w:rPr>
        <w:t>植被，防止草地退化和沙化具有重要意义。</w:t>
      </w:r>
    </w:p>
    <w:p w14:paraId="3CBBD59A">
      <w:pPr>
        <w:spacing w:line="219" w:lineRule="auto"/>
        <w:rPr>
          <w:rFonts w:ascii="宋体" w:hAnsi="宋体" w:eastAsia="宋体" w:cs="宋体"/>
          <w:sz w:val="24"/>
          <w:szCs w:val="24"/>
        </w:rPr>
        <w:sectPr>
          <w:headerReference r:id="rId168" w:type="default"/>
          <w:footerReference r:id="rId169" w:type="default"/>
          <w:pgSz w:w="11906" w:h="16839"/>
          <w:pgMar w:top="1208" w:right="1785" w:bottom="1358" w:left="1785" w:header="825" w:footer="1195" w:gutter="0"/>
          <w:cols w:space="720" w:num="1"/>
        </w:sectPr>
      </w:pPr>
    </w:p>
    <w:p w14:paraId="28AB3BFD">
      <w:pPr>
        <w:pStyle w:val="2"/>
        <w:spacing w:line="334" w:lineRule="auto"/>
      </w:pPr>
    </w:p>
    <w:p w14:paraId="54E43E71">
      <w:pPr>
        <w:spacing w:before="91" w:line="222" w:lineRule="auto"/>
        <w:ind w:left="123"/>
        <w:outlineLvl w:val="1"/>
        <w:rPr>
          <w:rFonts w:ascii="黑体" w:hAnsi="黑体" w:eastAsia="黑体" w:cs="黑体"/>
          <w:sz w:val="28"/>
          <w:szCs w:val="28"/>
        </w:rPr>
      </w:pPr>
      <w:bookmarkStart w:id="91" w:name="bookmark84"/>
      <w:bookmarkEnd w:id="91"/>
      <w:bookmarkStart w:id="92" w:name="bookmark83"/>
      <w:bookmarkEnd w:id="92"/>
      <w:r>
        <w:rPr>
          <w:rFonts w:ascii="Times New Roman" w:hAnsi="Times New Roman" w:eastAsia="Times New Roman" w:cs="Times New Roman"/>
          <w:b/>
          <w:bCs/>
          <w:spacing w:val="-3"/>
          <w:sz w:val="28"/>
          <w:szCs w:val="28"/>
        </w:rPr>
        <w:t xml:space="preserve">6.3 </w:t>
      </w:r>
      <w:r>
        <w:rPr>
          <w:rFonts w:ascii="黑体" w:hAnsi="黑体" w:eastAsia="黑体" w:cs="黑体"/>
          <w:b/>
          <w:bCs/>
          <w:spacing w:val="-3"/>
          <w:sz w:val="28"/>
          <w:szCs w:val="28"/>
        </w:rPr>
        <w:t>环境质量现状调查与评价</w:t>
      </w:r>
    </w:p>
    <w:p w14:paraId="41AA1D5B">
      <w:pPr>
        <w:spacing w:before="257" w:line="218" w:lineRule="auto"/>
        <w:ind w:left="602"/>
        <w:outlineLvl w:val="2"/>
        <w:rPr>
          <w:rFonts w:ascii="宋体" w:hAnsi="宋体" w:eastAsia="宋体" w:cs="宋体"/>
          <w:sz w:val="24"/>
          <w:szCs w:val="24"/>
        </w:rPr>
      </w:pPr>
      <w:bookmarkStart w:id="93" w:name="bookmark203"/>
      <w:bookmarkEnd w:id="93"/>
      <w:r>
        <w:rPr>
          <w:rFonts w:ascii="Times New Roman" w:hAnsi="Times New Roman" w:eastAsia="Times New Roman" w:cs="Times New Roman"/>
          <w:b/>
          <w:bCs/>
          <w:spacing w:val="-2"/>
          <w:sz w:val="24"/>
          <w:szCs w:val="24"/>
        </w:rPr>
        <w:t xml:space="preserve">6.3.1 </w:t>
      </w:r>
      <w:r>
        <w:rPr>
          <w:rFonts w:ascii="宋体" w:hAnsi="宋体" w:eastAsia="宋体" w:cs="宋体"/>
          <w:b/>
          <w:bCs/>
          <w:spacing w:val="-2"/>
          <w:sz w:val="24"/>
          <w:szCs w:val="24"/>
        </w:rPr>
        <w:t>环境空气现状调查与评价</w:t>
      </w:r>
    </w:p>
    <w:p w14:paraId="33A0DB87">
      <w:pPr>
        <w:spacing w:before="184" w:line="218"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6.3.1.1 </w:t>
      </w:r>
      <w:r>
        <w:rPr>
          <w:rFonts w:ascii="宋体" w:hAnsi="宋体" w:eastAsia="宋体" w:cs="宋体"/>
          <w:spacing w:val="-1"/>
          <w:sz w:val="24"/>
          <w:szCs w:val="24"/>
        </w:rPr>
        <w:t>评价基准年筛选</w:t>
      </w:r>
    </w:p>
    <w:p w14:paraId="533661F3">
      <w:pPr>
        <w:spacing w:before="184" w:line="360" w:lineRule="auto"/>
        <w:ind w:left="122" w:right="162" w:firstLine="480"/>
        <w:rPr>
          <w:rFonts w:ascii="宋体" w:hAnsi="宋体" w:eastAsia="宋体" w:cs="宋体"/>
          <w:sz w:val="24"/>
          <w:szCs w:val="24"/>
        </w:rPr>
      </w:pPr>
      <w:r>
        <w:rPr>
          <w:rFonts w:ascii="宋体" w:hAnsi="宋体" w:eastAsia="宋体" w:cs="宋体"/>
          <w:sz w:val="24"/>
          <w:szCs w:val="24"/>
        </w:rPr>
        <w:t>根据本项目所需环境空气质量现状、气象资料等</w:t>
      </w:r>
      <w:r>
        <w:rPr>
          <w:rFonts w:ascii="宋体" w:hAnsi="宋体" w:eastAsia="宋体" w:cs="宋体"/>
          <w:spacing w:val="-1"/>
          <w:sz w:val="24"/>
          <w:szCs w:val="24"/>
        </w:rPr>
        <w:t>数据的可获得性、数据质</w:t>
      </w:r>
      <w:r>
        <w:rPr>
          <w:rFonts w:ascii="宋体" w:hAnsi="宋体" w:eastAsia="宋体" w:cs="宋体"/>
          <w:sz w:val="24"/>
          <w:szCs w:val="24"/>
        </w:rPr>
        <w:t xml:space="preserve"> </w:t>
      </w:r>
      <w:r>
        <w:rPr>
          <w:rFonts w:ascii="宋体" w:hAnsi="宋体" w:eastAsia="宋体" w:cs="宋体"/>
          <w:spacing w:val="-1"/>
          <w:sz w:val="24"/>
          <w:szCs w:val="24"/>
        </w:rPr>
        <w:t>量、代表性等因素，选择</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年作为评价基准年。</w:t>
      </w:r>
    </w:p>
    <w:p w14:paraId="16518EBF">
      <w:pPr>
        <w:spacing w:before="1" w:line="218"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6.3.1.2 </w:t>
      </w:r>
      <w:r>
        <w:rPr>
          <w:rFonts w:ascii="宋体" w:hAnsi="宋体" w:eastAsia="宋体" w:cs="宋体"/>
          <w:spacing w:val="-1"/>
          <w:sz w:val="24"/>
          <w:szCs w:val="24"/>
        </w:rPr>
        <w:t>基本污染物环境质量现状及达标区判定</w:t>
      </w:r>
    </w:p>
    <w:p w14:paraId="7DECCB48">
      <w:pPr>
        <w:spacing w:before="175" w:line="348" w:lineRule="auto"/>
        <w:ind w:left="122" w:right="162" w:firstLine="480"/>
        <w:rPr>
          <w:rFonts w:ascii="宋体" w:hAnsi="宋体" w:eastAsia="宋体" w:cs="宋体"/>
          <w:sz w:val="24"/>
          <w:szCs w:val="24"/>
        </w:rPr>
      </w:pPr>
      <w:r>
        <w:rPr>
          <w:rFonts w:ascii="宋体" w:hAnsi="宋体" w:eastAsia="宋体" w:cs="宋体"/>
          <w:spacing w:val="-1"/>
          <w:sz w:val="24"/>
          <w:szCs w:val="24"/>
        </w:rPr>
        <w:t>根据内蒙古自治区生态环境厅</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月发布的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2022</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年度内蒙古自治区</w:t>
      </w:r>
      <w:r>
        <w:rPr>
          <w:rFonts w:ascii="宋体" w:hAnsi="宋体" w:eastAsia="宋体" w:cs="宋体"/>
          <w:sz w:val="24"/>
          <w:szCs w:val="24"/>
        </w:rPr>
        <w:t xml:space="preserve"> 生态环境状况公报，全区</w:t>
      </w:r>
      <w:r>
        <w:rPr>
          <w:rFonts w:ascii="宋体" w:hAnsi="宋体" w:eastAsia="宋体" w:cs="宋体"/>
          <w:spacing w:val="-11"/>
          <w:sz w:val="24"/>
          <w:szCs w:val="24"/>
        </w:rPr>
        <w:t xml:space="preserve"> </w:t>
      </w:r>
      <w:r>
        <w:rPr>
          <w:rFonts w:ascii="Times New Roman" w:hAnsi="Times New Roman" w:eastAsia="Times New Roman" w:cs="Times New Roman"/>
          <w:sz w:val="24"/>
          <w:szCs w:val="24"/>
        </w:rPr>
        <w:t xml:space="preserve">12 </w:t>
      </w:r>
      <w:r>
        <w:rPr>
          <w:rFonts w:ascii="宋体" w:hAnsi="宋体" w:eastAsia="宋体" w:cs="宋体"/>
          <w:sz w:val="24"/>
          <w:szCs w:val="24"/>
        </w:rPr>
        <w:t>盟市中，除乌海市外，</w:t>
      </w:r>
      <w:r>
        <w:rPr>
          <w:rFonts w:ascii="Times New Roman" w:hAnsi="Times New Roman" w:eastAsia="Times New Roman" w:cs="Times New Roman"/>
          <w:sz w:val="24"/>
          <w:szCs w:val="24"/>
        </w:rPr>
        <w:t xml:space="preserve">11 </w:t>
      </w:r>
      <w:r>
        <w:rPr>
          <w:rFonts w:ascii="宋体" w:hAnsi="宋体" w:eastAsia="宋体" w:cs="宋体"/>
          <w:sz w:val="24"/>
          <w:szCs w:val="24"/>
        </w:rPr>
        <w:t>个盟市环境空气质量达 标，环境空气质量从好到差依次为锡林郭勒盟、呼伦</w:t>
      </w:r>
      <w:r>
        <w:rPr>
          <w:rFonts w:ascii="宋体" w:hAnsi="宋体" w:eastAsia="宋体" w:cs="宋体"/>
          <w:spacing w:val="-1"/>
          <w:sz w:val="24"/>
          <w:szCs w:val="24"/>
        </w:rPr>
        <w:t>贝尔市、兴安盟、阿拉善</w:t>
      </w:r>
      <w:r>
        <w:rPr>
          <w:rFonts w:ascii="宋体" w:hAnsi="宋体" w:eastAsia="宋体" w:cs="宋体"/>
          <w:sz w:val="24"/>
          <w:szCs w:val="24"/>
        </w:rPr>
        <w:t xml:space="preserve"> 盟、赤峰市、乌兰察布市、通辽市、鄂尔多斯市、巴</w:t>
      </w:r>
      <w:r>
        <w:rPr>
          <w:rFonts w:ascii="宋体" w:hAnsi="宋体" w:eastAsia="宋体" w:cs="宋体"/>
          <w:spacing w:val="-1"/>
          <w:sz w:val="24"/>
          <w:szCs w:val="24"/>
        </w:rPr>
        <w:t>彦淖尔市、呼和浩特市、</w:t>
      </w:r>
      <w:r>
        <w:rPr>
          <w:rFonts w:ascii="宋体" w:hAnsi="宋体" w:eastAsia="宋体" w:cs="宋体"/>
          <w:sz w:val="24"/>
          <w:szCs w:val="24"/>
        </w:rPr>
        <w:t xml:space="preserve"> </w:t>
      </w:r>
      <w:r>
        <w:rPr>
          <w:rFonts w:ascii="宋体" w:hAnsi="宋体" w:eastAsia="宋体" w:cs="宋体"/>
          <w:spacing w:val="-2"/>
          <w:sz w:val="24"/>
          <w:szCs w:val="24"/>
        </w:rPr>
        <w:t>包头市和乌海市。</w:t>
      </w:r>
    </w:p>
    <w:p w14:paraId="5BBF34ED">
      <w:pPr>
        <w:spacing w:before="5" w:line="345" w:lineRule="auto"/>
        <w:ind w:left="124" w:right="162" w:firstLine="478"/>
        <w:jc w:val="both"/>
        <w:rPr>
          <w:rFonts w:ascii="宋体" w:hAnsi="宋体" w:eastAsia="宋体" w:cs="宋体"/>
          <w:sz w:val="24"/>
          <w:szCs w:val="24"/>
        </w:rPr>
      </w:pPr>
      <w:r>
        <w:rPr>
          <w:rFonts w:ascii="宋体" w:hAnsi="宋体" w:eastAsia="宋体" w:cs="宋体"/>
          <w:sz w:val="24"/>
          <w:szCs w:val="24"/>
        </w:rPr>
        <w:t>根据该公报，锡林郭勒盟环境空气质量较好，采</w:t>
      </w:r>
      <w:r>
        <w:rPr>
          <w:rFonts w:ascii="宋体" w:hAnsi="宋体" w:eastAsia="宋体" w:cs="宋体"/>
          <w:spacing w:val="-1"/>
          <w:sz w:val="24"/>
          <w:szCs w:val="24"/>
        </w:rPr>
        <w:t>用国控自动监测站点监测</w:t>
      </w:r>
      <w:r>
        <w:rPr>
          <w:rFonts w:ascii="宋体" w:hAnsi="宋体" w:eastAsia="宋体" w:cs="宋体"/>
          <w:sz w:val="24"/>
          <w:szCs w:val="24"/>
        </w:rPr>
        <w:t xml:space="preserve"> </w:t>
      </w:r>
      <w:r>
        <w:rPr>
          <w:rFonts w:ascii="宋体" w:hAnsi="宋体" w:eastAsia="宋体" w:cs="宋体"/>
          <w:spacing w:val="-5"/>
          <w:sz w:val="24"/>
          <w:szCs w:val="24"/>
        </w:rPr>
        <w:t>数据，环境空气评价因子为</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SO</w:t>
      </w:r>
      <w:r>
        <w:rPr>
          <w:rFonts w:ascii="Times New Roman" w:hAnsi="Times New Roman" w:eastAsia="Times New Roman" w:cs="Times New Roman"/>
          <w:spacing w:val="-5"/>
          <w:position w:val="-1"/>
          <w:sz w:val="15"/>
          <w:szCs w:val="15"/>
        </w:rPr>
        <w:t>2</w:t>
      </w:r>
      <w:r>
        <w:rPr>
          <w:rFonts w:ascii="宋体" w:hAnsi="宋体" w:eastAsia="宋体" w:cs="宋体"/>
          <w:spacing w:val="-5"/>
          <w:sz w:val="24"/>
          <w:szCs w:val="24"/>
        </w:rPr>
        <w:t>、</w:t>
      </w:r>
      <w:r>
        <w:rPr>
          <w:rFonts w:ascii="Times New Roman" w:hAnsi="Times New Roman" w:eastAsia="Times New Roman" w:cs="Times New Roman"/>
          <w:spacing w:val="-5"/>
          <w:sz w:val="24"/>
          <w:szCs w:val="24"/>
        </w:rPr>
        <w:t>NO</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12"/>
          <w:position w:val="-1"/>
          <w:sz w:val="15"/>
          <w:szCs w:val="15"/>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PM</w:t>
      </w:r>
      <w:r>
        <w:rPr>
          <w:rFonts w:ascii="Times New Roman" w:hAnsi="Times New Roman" w:eastAsia="Times New Roman" w:cs="Times New Roman"/>
          <w:spacing w:val="-5"/>
          <w:position w:val="-1"/>
          <w:sz w:val="15"/>
          <w:szCs w:val="15"/>
        </w:rPr>
        <w:t>10</w:t>
      </w:r>
      <w:r>
        <w:rPr>
          <w:rFonts w:ascii="Times New Roman" w:hAnsi="Times New Roman" w:eastAsia="Times New Roman" w:cs="Times New Roman"/>
          <w:spacing w:val="-15"/>
          <w:position w:val="-1"/>
          <w:sz w:val="15"/>
          <w:szCs w:val="15"/>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PM</w:t>
      </w:r>
      <w:r>
        <w:rPr>
          <w:rFonts w:ascii="Times New Roman" w:hAnsi="Times New Roman" w:eastAsia="Times New Roman" w:cs="Times New Roman"/>
          <w:spacing w:val="-6"/>
          <w:position w:val="-1"/>
          <w:sz w:val="15"/>
          <w:szCs w:val="15"/>
        </w:rPr>
        <w:t>2.5</w:t>
      </w:r>
      <w:r>
        <w:rPr>
          <w:rFonts w:ascii="Times New Roman" w:hAnsi="Times New Roman" w:eastAsia="Times New Roman" w:cs="Times New Roman"/>
          <w:spacing w:val="-13"/>
          <w:position w:val="-1"/>
          <w:sz w:val="15"/>
          <w:szCs w:val="15"/>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CO</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O</w:t>
      </w:r>
      <w:r>
        <w:rPr>
          <w:rFonts w:ascii="Times New Roman" w:hAnsi="Times New Roman" w:eastAsia="Times New Roman" w:cs="Times New Roman"/>
          <w:spacing w:val="-6"/>
          <w:position w:val="-1"/>
          <w:sz w:val="15"/>
          <w:szCs w:val="15"/>
        </w:rPr>
        <w:t xml:space="preserve">3 </w:t>
      </w:r>
      <w:r>
        <w:rPr>
          <w:rFonts w:ascii="宋体" w:hAnsi="宋体" w:eastAsia="宋体" w:cs="宋体"/>
          <w:spacing w:val="-6"/>
          <w:sz w:val="24"/>
          <w:szCs w:val="24"/>
        </w:rPr>
        <w:t>。由监测结果可</w:t>
      </w:r>
      <w:r>
        <w:rPr>
          <w:rFonts w:ascii="宋体" w:hAnsi="宋体" w:eastAsia="宋体" w:cs="宋体"/>
          <w:sz w:val="24"/>
          <w:szCs w:val="24"/>
        </w:rPr>
        <w:t xml:space="preserve"> </w:t>
      </w:r>
      <w:r>
        <w:rPr>
          <w:rFonts w:ascii="宋体" w:hAnsi="宋体" w:eastAsia="宋体" w:cs="宋体"/>
          <w:spacing w:val="-3"/>
          <w:sz w:val="24"/>
          <w:szCs w:val="24"/>
        </w:rPr>
        <w:t>知，</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21"/>
          <w:w w:val="102"/>
          <w:position w:val="-1"/>
          <w:sz w:val="15"/>
          <w:szCs w:val="15"/>
        </w:rPr>
        <w:t xml:space="preserve"> </w:t>
      </w:r>
      <w:r>
        <w:rPr>
          <w:rFonts w:ascii="宋体" w:hAnsi="宋体" w:eastAsia="宋体" w:cs="宋体"/>
          <w:spacing w:val="-3"/>
          <w:sz w:val="24"/>
          <w:szCs w:val="24"/>
        </w:rPr>
        <w:t>年平均浓度为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7μg/m</w:t>
      </w:r>
      <w:r>
        <w:rPr>
          <w:rFonts w:ascii="Times New Roman" w:hAnsi="Times New Roman" w:eastAsia="Times New Roman" w:cs="Times New Roman"/>
          <w:spacing w:val="-3"/>
          <w:position w:val="7"/>
          <w:sz w:val="15"/>
          <w:szCs w:val="15"/>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0"/>
          <w:position w:val="-1"/>
          <w:sz w:val="15"/>
          <w:szCs w:val="15"/>
        </w:rPr>
        <w:t xml:space="preserve"> </w:t>
      </w:r>
      <w:r>
        <w:rPr>
          <w:rFonts w:ascii="宋体" w:hAnsi="宋体" w:eastAsia="宋体" w:cs="宋体"/>
          <w:spacing w:val="-3"/>
          <w:sz w:val="24"/>
          <w:szCs w:val="24"/>
        </w:rPr>
        <w:t>年平均浓度为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24μg/m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2"/>
          <w:w w:val="102"/>
          <w:position w:val="-1"/>
          <w:sz w:val="15"/>
          <w:szCs w:val="15"/>
        </w:rPr>
        <w:t xml:space="preserve"> </w:t>
      </w:r>
      <w:r>
        <w:rPr>
          <w:rFonts w:ascii="宋体" w:hAnsi="宋体" w:eastAsia="宋体" w:cs="宋体"/>
          <w:spacing w:val="-3"/>
          <w:sz w:val="24"/>
          <w:szCs w:val="24"/>
        </w:rPr>
        <w:t>年平均浓度</w:t>
      </w:r>
      <w:r>
        <w:rPr>
          <w:rFonts w:ascii="宋体" w:hAnsi="宋体" w:eastAsia="宋体" w:cs="宋体"/>
          <w:sz w:val="24"/>
          <w:szCs w:val="24"/>
        </w:rPr>
        <w:t xml:space="preserve"> </w:t>
      </w:r>
      <w:r>
        <w:rPr>
          <w:rFonts w:ascii="宋体" w:hAnsi="宋体" w:eastAsia="宋体" w:cs="宋体"/>
          <w:spacing w:val="-4"/>
          <w:sz w:val="24"/>
          <w:szCs w:val="24"/>
        </w:rPr>
        <w:t>为</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9μg/m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8"/>
          <w:position w:val="7"/>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5"/>
          <w:w w:val="102"/>
          <w:position w:val="-1"/>
          <w:sz w:val="15"/>
          <w:szCs w:val="15"/>
        </w:rPr>
        <w:t xml:space="preserve"> </w:t>
      </w:r>
      <w:r>
        <w:rPr>
          <w:rFonts w:ascii="宋体" w:hAnsi="宋体" w:eastAsia="宋体" w:cs="宋体"/>
          <w:spacing w:val="-4"/>
          <w:sz w:val="24"/>
          <w:szCs w:val="24"/>
        </w:rPr>
        <w:t>年平均浓度为</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10μg/m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7"/>
          <w:position w:val="7"/>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CO</w:t>
      </w:r>
      <w:r>
        <w:rPr>
          <w:rFonts w:ascii="Times New Roman" w:hAnsi="Times New Roman" w:eastAsia="Times New Roman" w:cs="Times New Roman"/>
          <w:spacing w:val="53"/>
          <w:sz w:val="24"/>
          <w:szCs w:val="24"/>
        </w:rPr>
        <w:t xml:space="preserve"> </w:t>
      </w:r>
      <w:r>
        <w:rPr>
          <w:rFonts w:ascii="宋体" w:hAnsi="宋体" w:eastAsia="宋体" w:cs="宋体"/>
          <w:spacing w:val="-4"/>
          <w:sz w:val="24"/>
          <w:szCs w:val="24"/>
        </w:rPr>
        <w:t>日平均浓度为</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0.7mg/m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7"/>
          <w:position w:val="7"/>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 xml:space="preserve">3  </w:t>
      </w:r>
      <w:r>
        <w:rPr>
          <w:rFonts w:ascii="宋体" w:hAnsi="宋体" w:eastAsia="宋体" w:cs="宋体"/>
          <w:spacing w:val="-5"/>
          <w:sz w:val="24"/>
          <w:szCs w:val="24"/>
        </w:rPr>
        <w:t>日最</w:t>
      </w:r>
      <w:r>
        <w:rPr>
          <w:rFonts w:ascii="宋体" w:hAnsi="宋体" w:eastAsia="宋体" w:cs="宋体"/>
          <w:sz w:val="24"/>
          <w:szCs w:val="24"/>
        </w:rPr>
        <w:t xml:space="preserve"> </w:t>
      </w:r>
      <w:r>
        <w:rPr>
          <w:rFonts w:ascii="宋体" w:hAnsi="宋体" w:eastAsia="宋体" w:cs="宋体"/>
          <w:spacing w:val="-5"/>
          <w:sz w:val="24"/>
          <w:szCs w:val="24"/>
        </w:rPr>
        <w:t>大</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小时平均浓度为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118μg/m</w:t>
      </w:r>
      <w:r>
        <w:rPr>
          <w:rFonts w:ascii="Times New Roman" w:hAnsi="Times New Roman" w:eastAsia="Times New Roman" w:cs="Times New Roman"/>
          <w:spacing w:val="-5"/>
          <w:position w:val="7"/>
          <w:sz w:val="15"/>
          <w:szCs w:val="15"/>
        </w:rPr>
        <w:t>3</w:t>
      </w:r>
      <w:r>
        <w:rPr>
          <w:rFonts w:ascii="宋体" w:hAnsi="宋体" w:eastAsia="宋体" w:cs="宋体"/>
          <w:spacing w:val="-5"/>
          <w:sz w:val="24"/>
          <w:szCs w:val="24"/>
        </w:rPr>
        <w:t>。</w:t>
      </w:r>
    </w:p>
    <w:p w14:paraId="51326719">
      <w:pPr>
        <w:spacing w:before="23" w:line="219" w:lineRule="auto"/>
        <w:ind w:left="601"/>
        <w:rPr>
          <w:rFonts w:ascii="宋体" w:hAnsi="宋体" w:eastAsia="宋体" w:cs="宋体"/>
          <w:sz w:val="24"/>
          <w:szCs w:val="24"/>
        </w:rPr>
      </w:pPr>
      <w:r>
        <w:rPr>
          <w:rFonts w:ascii="宋体" w:hAnsi="宋体" w:eastAsia="宋体" w:cs="宋体"/>
          <w:spacing w:val="-2"/>
          <w:sz w:val="24"/>
          <w:szCs w:val="24"/>
        </w:rPr>
        <w:t>达标判定结果见表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6.3-1</w:t>
      </w:r>
      <w:r>
        <w:rPr>
          <w:rFonts w:ascii="宋体" w:hAnsi="宋体" w:eastAsia="宋体" w:cs="宋体"/>
          <w:spacing w:val="-2"/>
          <w:sz w:val="24"/>
          <w:szCs w:val="24"/>
        </w:rPr>
        <w:t>。</w:t>
      </w:r>
    </w:p>
    <w:p w14:paraId="728E7928">
      <w:pPr>
        <w:spacing w:before="104" w:line="212" w:lineRule="auto"/>
        <w:ind w:left="254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6.3-1  </w:t>
      </w:r>
      <w:r>
        <w:rPr>
          <w:rFonts w:ascii="宋体" w:hAnsi="宋体" w:eastAsia="宋体" w:cs="宋体"/>
          <w:spacing w:val="-2"/>
          <w:sz w:val="24"/>
          <w:szCs w:val="24"/>
        </w:rPr>
        <w:t>区域环境质量达标情况</w:t>
      </w:r>
    </w:p>
    <w:tbl>
      <w:tblPr>
        <w:tblStyle w:val="5"/>
        <w:tblW w:w="8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770"/>
        <w:gridCol w:w="1088"/>
        <w:gridCol w:w="816"/>
        <w:gridCol w:w="816"/>
        <w:gridCol w:w="896"/>
        <w:gridCol w:w="1053"/>
        <w:gridCol w:w="1050"/>
      </w:tblGrid>
      <w:tr w14:paraId="33E2B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30" w:type="dxa"/>
            <w:vAlign w:val="top"/>
          </w:tcPr>
          <w:p w14:paraId="4AFC2432">
            <w:pPr>
              <w:pStyle w:val="6"/>
              <w:spacing w:before="212" w:line="228" w:lineRule="auto"/>
              <w:ind w:left="156"/>
            </w:pPr>
            <w:r>
              <w:rPr>
                <w:spacing w:val="6"/>
              </w:rPr>
              <w:t>污染物</w:t>
            </w:r>
          </w:p>
        </w:tc>
        <w:tc>
          <w:tcPr>
            <w:tcW w:w="1770" w:type="dxa"/>
            <w:vAlign w:val="top"/>
          </w:tcPr>
          <w:p w14:paraId="37853CD2">
            <w:pPr>
              <w:pStyle w:val="6"/>
              <w:spacing w:before="212" w:line="226" w:lineRule="auto"/>
              <w:ind w:left="365"/>
            </w:pPr>
            <w:r>
              <w:rPr>
                <w:spacing w:val="7"/>
              </w:rPr>
              <w:t>年评价指标</w:t>
            </w:r>
          </w:p>
        </w:tc>
        <w:tc>
          <w:tcPr>
            <w:tcW w:w="1088" w:type="dxa"/>
            <w:vAlign w:val="top"/>
          </w:tcPr>
          <w:p w14:paraId="0A8FFCA9">
            <w:pPr>
              <w:pStyle w:val="6"/>
              <w:spacing w:before="212" w:line="228" w:lineRule="auto"/>
              <w:ind w:left="129"/>
            </w:pPr>
            <w:r>
              <w:rPr>
                <w:spacing w:val="7"/>
              </w:rPr>
              <w:t>监测浓度</w:t>
            </w:r>
          </w:p>
        </w:tc>
        <w:tc>
          <w:tcPr>
            <w:tcW w:w="816" w:type="dxa"/>
            <w:vAlign w:val="top"/>
          </w:tcPr>
          <w:p w14:paraId="54217E0F">
            <w:pPr>
              <w:pStyle w:val="6"/>
              <w:spacing w:before="55" w:line="262" w:lineRule="auto"/>
              <w:ind w:left="307" w:right="196" w:hanging="102"/>
            </w:pPr>
            <w:r>
              <w:rPr>
                <w:spacing w:val="4"/>
              </w:rPr>
              <w:t>标准</w:t>
            </w:r>
            <w:r>
              <w:t xml:space="preserve"> 值</w:t>
            </w:r>
          </w:p>
        </w:tc>
        <w:tc>
          <w:tcPr>
            <w:tcW w:w="816" w:type="dxa"/>
            <w:vAlign w:val="top"/>
          </w:tcPr>
          <w:p w14:paraId="274C6F00">
            <w:pPr>
              <w:pStyle w:val="6"/>
              <w:spacing w:before="212" w:line="228" w:lineRule="auto"/>
              <w:ind w:left="206"/>
            </w:pPr>
            <w:r>
              <w:rPr>
                <w:spacing w:val="3"/>
              </w:rPr>
              <w:t>单位</w:t>
            </w:r>
          </w:p>
        </w:tc>
        <w:tc>
          <w:tcPr>
            <w:tcW w:w="896" w:type="dxa"/>
            <w:vAlign w:val="top"/>
          </w:tcPr>
          <w:p w14:paraId="4212004D">
            <w:pPr>
              <w:pStyle w:val="6"/>
              <w:spacing w:before="211" w:line="228" w:lineRule="auto"/>
              <w:ind w:left="174"/>
            </w:pPr>
            <w:r>
              <w:rPr>
                <w:spacing w:val="-5"/>
              </w:rPr>
              <w:t>占标率</w:t>
            </w:r>
          </w:p>
        </w:tc>
        <w:tc>
          <w:tcPr>
            <w:tcW w:w="1053" w:type="dxa"/>
            <w:vAlign w:val="top"/>
          </w:tcPr>
          <w:p w14:paraId="686FA0B1">
            <w:pPr>
              <w:pStyle w:val="6"/>
              <w:spacing w:before="56" w:line="228" w:lineRule="auto"/>
              <w:ind w:left="217"/>
            </w:pPr>
            <w:r>
              <w:rPr>
                <w:spacing w:val="7"/>
              </w:rPr>
              <w:t>超标倍</w:t>
            </w:r>
          </w:p>
          <w:p w14:paraId="253AA965">
            <w:pPr>
              <w:pStyle w:val="6"/>
              <w:spacing w:before="64" w:line="228" w:lineRule="auto"/>
              <w:ind w:left="431"/>
            </w:pPr>
            <w:r>
              <w:t>数</w:t>
            </w:r>
          </w:p>
        </w:tc>
        <w:tc>
          <w:tcPr>
            <w:tcW w:w="1050" w:type="dxa"/>
            <w:vAlign w:val="top"/>
          </w:tcPr>
          <w:p w14:paraId="3119DCA4">
            <w:pPr>
              <w:pStyle w:val="6"/>
              <w:spacing w:before="56" w:line="228" w:lineRule="auto"/>
              <w:ind w:left="215"/>
            </w:pPr>
            <w:r>
              <w:rPr>
                <w:spacing w:val="7"/>
              </w:rPr>
              <w:t>达标情</w:t>
            </w:r>
          </w:p>
          <w:p w14:paraId="766DCBAD">
            <w:pPr>
              <w:pStyle w:val="6"/>
              <w:spacing w:before="64" w:line="228" w:lineRule="auto"/>
              <w:ind w:left="426"/>
            </w:pPr>
            <w:r>
              <w:t>况</w:t>
            </w:r>
          </w:p>
        </w:tc>
      </w:tr>
      <w:tr w14:paraId="2D517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30" w:type="dxa"/>
            <w:vAlign w:val="top"/>
          </w:tcPr>
          <w:p w14:paraId="35445826">
            <w:pPr>
              <w:spacing w:before="92" w:line="202" w:lineRule="auto"/>
              <w:ind w:left="308"/>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1770" w:type="dxa"/>
            <w:vAlign w:val="top"/>
          </w:tcPr>
          <w:p w14:paraId="14EB28F3">
            <w:pPr>
              <w:pStyle w:val="6"/>
              <w:spacing w:before="55" w:line="228" w:lineRule="auto"/>
              <w:ind w:left="154"/>
            </w:pPr>
            <w:r>
              <w:rPr>
                <w:spacing w:val="8"/>
              </w:rPr>
              <w:t>年平均质量浓度</w:t>
            </w:r>
          </w:p>
        </w:tc>
        <w:tc>
          <w:tcPr>
            <w:tcW w:w="1088" w:type="dxa"/>
            <w:vAlign w:val="top"/>
          </w:tcPr>
          <w:p w14:paraId="278AC139">
            <w:pPr>
              <w:spacing w:before="9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6" w:type="dxa"/>
            <w:vAlign w:val="top"/>
          </w:tcPr>
          <w:p w14:paraId="1F70BB01">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16" w:type="dxa"/>
            <w:vAlign w:val="top"/>
          </w:tcPr>
          <w:p w14:paraId="5AA4CC22">
            <w:pPr>
              <w:spacing w:before="71" w:line="218"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896" w:type="dxa"/>
            <w:vAlign w:val="top"/>
          </w:tcPr>
          <w:p w14:paraId="6F571C27">
            <w:pPr>
              <w:spacing w:before="92"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053" w:type="dxa"/>
            <w:vAlign w:val="top"/>
          </w:tcPr>
          <w:p w14:paraId="24EE1F5D">
            <w:pPr>
              <w:spacing w:before="92"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57B38E0C">
            <w:pPr>
              <w:pStyle w:val="6"/>
              <w:spacing w:before="56" w:line="228" w:lineRule="auto"/>
              <w:ind w:left="321"/>
            </w:pPr>
            <w:r>
              <w:rPr>
                <w:spacing w:val="5"/>
              </w:rPr>
              <w:t>达标</w:t>
            </w:r>
          </w:p>
        </w:tc>
      </w:tr>
      <w:tr w14:paraId="052C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30" w:type="dxa"/>
            <w:vAlign w:val="top"/>
          </w:tcPr>
          <w:p w14:paraId="517E5CAD">
            <w:pPr>
              <w:spacing w:before="91" w:line="202" w:lineRule="auto"/>
              <w:ind w:left="273"/>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1770" w:type="dxa"/>
            <w:vAlign w:val="top"/>
          </w:tcPr>
          <w:p w14:paraId="21F55657">
            <w:pPr>
              <w:pStyle w:val="6"/>
              <w:spacing w:before="55" w:line="228" w:lineRule="auto"/>
              <w:ind w:left="154"/>
            </w:pPr>
            <w:r>
              <w:rPr>
                <w:spacing w:val="8"/>
              </w:rPr>
              <w:t>年平均质量浓度</w:t>
            </w:r>
          </w:p>
        </w:tc>
        <w:tc>
          <w:tcPr>
            <w:tcW w:w="1088" w:type="dxa"/>
            <w:vAlign w:val="top"/>
          </w:tcPr>
          <w:p w14:paraId="2C9463DE">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16" w:type="dxa"/>
            <w:vAlign w:val="top"/>
          </w:tcPr>
          <w:p w14:paraId="29640020">
            <w:pPr>
              <w:spacing w:before="9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16" w:type="dxa"/>
            <w:vAlign w:val="top"/>
          </w:tcPr>
          <w:p w14:paraId="15A42781">
            <w:pPr>
              <w:spacing w:before="74" w:line="215"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5"/>
                <w:sz w:val="13"/>
                <w:szCs w:val="13"/>
              </w:rPr>
              <w:t>3</w:t>
            </w:r>
          </w:p>
        </w:tc>
        <w:tc>
          <w:tcPr>
            <w:tcW w:w="896" w:type="dxa"/>
            <w:vAlign w:val="top"/>
          </w:tcPr>
          <w:p w14:paraId="2336C2A3">
            <w:pPr>
              <w:spacing w:before="91"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053" w:type="dxa"/>
            <w:vAlign w:val="top"/>
          </w:tcPr>
          <w:p w14:paraId="750E0365">
            <w:pPr>
              <w:spacing w:before="91"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3F4A1DC2">
            <w:pPr>
              <w:pStyle w:val="6"/>
              <w:spacing w:before="56" w:line="228" w:lineRule="auto"/>
              <w:ind w:left="321"/>
            </w:pPr>
            <w:r>
              <w:rPr>
                <w:spacing w:val="5"/>
              </w:rPr>
              <w:t>达标</w:t>
            </w:r>
          </w:p>
        </w:tc>
      </w:tr>
      <w:tr w14:paraId="66157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30" w:type="dxa"/>
            <w:vAlign w:val="top"/>
          </w:tcPr>
          <w:p w14:paraId="4E5E947A">
            <w:pPr>
              <w:spacing w:before="93" w:line="199" w:lineRule="auto"/>
              <w:ind w:left="24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1770" w:type="dxa"/>
            <w:vAlign w:val="top"/>
          </w:tcPr>
          <w:p w14:paraId="2D7CC800">
            <w:pPr>
              <w:pStyle w:val="6"/>
              <w:spacing w:before="54" w:line="228" w:lineRule="auto"/>
              <w:ind w:left="154"/>
            </w:pPr>
            <w:r>
              <w:rPr>
                <w:spacing w:val="8"/>
              </w:rPr>
              <w:t>年平均质量浓度</w:t>
            </w:r>
          </w:p>
        </w:tc>
        <w:tc>
          <w:tcPr>
            <w:tcW w:w="1088" w:type="dxa"/>
            <w:vAlign w:val="top"/>
          </w:tcPr>
          <w:p w14:paraId="734D5592">
            <w:pPr>
              <w:spacing w:before="91"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6" w:type="dxa"/>
            <w:vAlign w:val="top"/>
          </w:tcPr>
          <w:p w14:paraId="2C76B39B">
            <w:pPr>
              <w:spacing w:before="9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16" w:type="dxa"/>
            <w:vAlign w:val="top"/>
          </w:tcPr>
          <w:p w14:paraId="6B883767">
            <w:pPr>
              <w:spacing w:before="70" w:line="218"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896" w:type="dxa"/>
            <w:vAlign w:val="top"/>
          </w:tcPr>
          <w:p w14:paraId="5FEB5E1C">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34.29</w:t>
            </w:r>
          </w:p>
        </w:tc>
        <w:tc>
          <w:tcPr>
            <w:tcW w:w="1053" w:type="dxa"/>
            <w:vAlign w:val="top"/>
          </w:tcPr>
          <w:p w14:paraId="152ACB5D">
            <w:pPr>
              <w:spacing w:before="90"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626502DC">
            <w:pPr>
              <w:pStyle w:val="6"/>
              <w:spacing w:before="55" w:line="228" w:lineRule="auto"/>
              <w:ind w:left="321"/>
            </w:pPr>
            <w:r>
              <w:rPr>
                <w:spacing w:val="5"/>
              </w:rPr>
              <w:t>达标</w:t>
            </w:r>
          </w:p>
        </w:tc>
      </w:tr>
      <w:tr w14:paraId="0922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30" w:type="dxa"/>
            <w:vAlign w:val="top"/>
          </w:tcPr>
          <w:p w14:paraId="4F2E833A">
            <w:pPr>
              <w:spacing w:before="95" w:line="199" w:lineRule="auto"/>
              <w:ind w:left="229"/>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5"/>
                <w:position w:val="-1"/>
                <w:sz w:val="13"/>
                <w:szCs w:val="13"/>
              </w:rPr>
              <w:t>2.5</w:t>
            </w:r>
          </w:p>
        </w:tc>
        <w:tc>
          <w:tcPr>
            <w:tcW w:w="1770" w:type="dxa"/>
            <w:vAlign w:val="top"/>
          </w:tcPr>
          <w:p w14:paraId="0CEC6A3C">
            <w:pPr>
              <w:pStyle w:val="6"/>
              <w:spacing w:before="56" w:line="228" w:lineRule="auto"/>
              <w:ind w:left="154"/>
            </w:pPr>
            <w:r>
              <w:rPr>
                <w:spacing w:val="8"/>
              </w:rPr>
              <w:t>年平均质量浓度</w:t>
            </w:r>
          </w:p>
        </w:tc>
        <w:tc>
          <w:tcPr>
            <w:tcW w:w="1088" w:type="dxa"/>
            <w:vAlign w:val="top"/>
          </w:tcPr>
          <w:p w14:paraId="797CF5F0">
            <w:pPr>
              <w:spacing w:before="95" w:line="192"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16" w:type="dxa"/>
            <w:vAlign w:val="top"/>
          </w:tcPr>
          <w:p w14:paraId="01CE03D2">
            <w:pPr>
              <w:spacing w:before="9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16" w:type="dxa"/>
            <w:vAlign w:val="top"/>
          </w:tcPr>
          <w:p w14:paraId="5D584581">
            <w:pPr>
              <w:spacing w:before="72" w:line="218"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896" w:type="dxa"/>
            <w:vAlign w:val="top"/>
          </w:tcPr>
          <w:p w14:paraId="5396DF06">
            <w:pPr>
              <w:spacing w:before="92"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053" w:type="dxa"/>
            <w:vAlign w:val="top"/>
          </w:tcPr>
          <w:p w14:paraId="5283F809">
            <w:pPr>
              <w:spacing w:before="92"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06D042B1">
            <w:pPr>
              <w:pStyle w:val="6"/>
              <w:spacing w:before="57" w:line="228" w:lineRule="auto"/>
              <w:ind w:left="321"/>
            </w:pPr>
            <w:r>
              <w:rPr>
                <w:spacing w:val="5"/>
              </w:rPr>
              <w:t>达标</w:t>
            </w:r>
          </w:p>
        </w:tc>
      </w:tr>
      <w:tr w14:paraId="3C25E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930" w:type="dxa"/>
            <w:vAlign w:val="top"/>
          </w:tcPr>
          <w:p w14:paraId="53E16370">
            <w:pPr>
              <w:spacing w:before="94"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770" w:type="dxa"/>
            <w:vAlign w:val="top"/>
          </w:tcPr>
          <w:p w14:paraId="07FC4021">
            <w:pPr>
              <w:pStyle w:val="6"/>
              <w:spacing w:before="59" w:line="228" w:lineRule="auto"/>
              <w:ind w:left="173"/>
            </w:pPr>
            <w:r>
              <w:rPr>
                <w:rFonts w:ascii="Times New Roman" w:hAnsi="Times New Roman" w:eastAsia="Times New Roman" w:cs="Times New Roman"/>
                <w:spacing w:val="7"/>
              </w:rPr>
              <w:t>95%</w:t>
            </w:r>
            <w:r>
              <w:rPr>
                <w:spacing w:val="7"/>
              </w:rPr>
              <w:t>日平均浓度</w:t>
            </w:r>
          </w:p>
        </w:tc>
        <w:tc>
          <w:tcPr>
            <w:tcW w:w="1088" w:type="dxa"/>
            <w:vAlign w:val="top"/>
          </w:tcPr>
          <w:p w14:paraId="01941CE3">
            <w:pPr>
              <w:spacing w:before="9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816" w:type="dxa"/>
            <w:vAlign w:val="top"/>
          </w:tcPr>
          <w:p w14:paraId="1400FCDA">
            <w:pPr>
              <w:spacing w:before="94"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16" w:type="dxa"/>
            <w:vAlign w:val="top"/>
          </w:tcPr>
          <w:p w14:paraId="069479FB">
            <w:pPr>
              <w:spacing w:before="74" w:line="218" w:lineRule="auto"/>
              <w:ind w:left="128"/>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896" w:type="dxa"/>
            <w:vAlign w:val="top"/>
          </w:tcPr>
          <w:p w14:paraId="336C6D5F">
            <w:pPr>
              <w:spacing w:before="9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17.50</w:t>
            </w:r>
          </w:p>
        </w:tc>
        <w:tc>
          <w:tcPr>
            <w:tcW w:w="1053" w:type="dxa"/>
            <w:vAlign w:val="top"/>
          </w:tcPr>
          <w:p w14:paraId="0D61BB3C">
            <w:pPr>
              <w:spacing w:before="94"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6E448284">
            <w:pPr>
              <w:pStyle w:val="6"/>
              <w:spacing w:before="59" w:line="228" w:lineRule="auto"/>
              <w:ind w:left="321"/>
            </w:pPr>
            <w:r>
              <w:rPr>
                <w:spacing w:val="5"/>
              </w:rPr>
              <w:t>达标</w:t>
            </w:r>
          </w:p>
        </w:tc>
      </w:tr>
      <w:tr w14:paraId="6FB0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30" w:type="dxa"/>
            <w:vAlign w:val="top"/>
          </w:tcPr>
          <w:p w14:paraId="53DACF9F">
            <w:pPr>
              <w:spacing w:before="93" w:line="205" w:lineRule="auto"/>
              <w:ind w:left="36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1770" w:type="dxa"/>
            <w:vAlign w:val="top"/>
          </w:tcPr>
          <w:p w14:paraId="45F81021">
            <w:pPr>
              <w:pStyle w:val="6"/>
              <w:spacing w:before="58" w:line="228" w:lineRule="auto"/>
              <w:ind w:left="146"/>
            </w:pPr>
            <w:r>
              <w:rPr>
                <w:rFonts w:ascii="Times New Roman" w:hAnsi="Times New Roman" w:eastAsia="Times New Roman" w:cs="Times New Roman"/>
                <w:spacing w:val="5"/>
              </w:rPr>
              <w:t xml:space="preserve">90%8h </w:t>
            </w:r>
            <w:r>
              <w:rPr>
                <w:spacing w:val="5"/>
              </w:rPr>
              <w:t>平均浓度</w:t>
            </w:r>
          </w:p>
        </w:tc>
        <w:tc>
          <w:tcPr>
            <w:tcW w:w="1088" w:type="dxa"/>
            <w:vAlign w:val="top"/>
          </w:tcPr>
          <w:p w14:paraId="12DBC9B0">
            <w:pPr>
              <w:spacing w:before="94"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118</w:t>
            </w:r>
          </w:p>
        </w:tc>
        <w:tc>
          <w:tcPr>
            <w:tcW w:w="816" w:type="dxa"/>
            <w:vAlign w:val="top"/>
          </w:tcPr>
          <w:p w14:paraId="3CAAE25C">
            <w:pPr>
              <w:spacing w:before="9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816" w:type="dxa"/>
            <w:vAlign w:val="top"/>
          </w:tcPr>
          <w:p w14:paraId="574774E6">
            <w:pPr>
              <w:spacing w:before="76" w:line="215" w:lineRule="auto"/>
              <w:ind w:left="162"/>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5"/>
                <w:sz w:val="13"/>
                <w:szCs w:val="13"/>
              </w:rPr>
              <w:t>3</w:t>
            </w:r>
          </w:p>
        </w:tc>
        <w:tc>
          <w:tcPr>
            <w:tcW w:w="896" w:type="dxa"/>
            <w:vAlign w:val="top"/>
          </w:tcPr>
          <w:p w14:paraId="5E4F01AF">
            <w:pPr>
              <w:spacing w:before="9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73.75</w:t>
            </w:r>
          </w:p>
        </w:tc>
        <w:tc>
          <w:tcPr>
            <w:tcW w:w="1053" w:type="dxa"/>
            <w:vAlign w:val="top"/>
          </w:tcPr>
          <w:p w14:paraId="37E8DBD0">
            <w:pPr>
              <w:spacing w:before="94"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0" w:type="dxa"/>
            <w:vAlign w:val="top"/>
          </w:tcPr>
          <w:p w14:paraId="73D8DE2E">
            <w:pPr>
              <w:pStyle w:val="6"/>
              <w:spacing w:before="58" w:line="228" w:lineRule="auto"/>
              <w:ind w:left="321"/>
            </w:pPr>
            <w:r>
              <w:rPr>
                <w:spacing w:val="5"/>
              </w:rPr>
              <w:t>达标</w:t>
            </w:r>
          </w:p>
        </w:tc>
      </w:tr>
    </w:tbl>
    <w:p w14:paraId="1244495F">
      <w:pPr>
        <w:spacing w:before="114" w:line="360" w:lineRule="auto"/>
        <w:ind w:left="122" w:right="176" w:firstLine="509"/>
        <w:jc w:val="both"/>
        <w:rPr>
          <w:rFonts w:ascii="宋体" w:hAnsi="宋体" w:eastAsia="宋体" w:cs="宋体"/>
          <w:sz w:val="24"/>
          <w:szCs w:val="24"/>
        </w:rPr>
      </w:pPr>
      <w:r>
        <w:rPr>
          <w:rFonts w:ascii="宋体" w:hAnsi="宋体" w:eastAsia="宋体" w:cs="宋体"/>
          <w:spacing w:val="-2"/>
          <w:sz w:val="24"/>
          <w:szCs w:val="24"/>
        </w:rPr>
        <w:t>由表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6.3-1 </w:t>
      </w:r>
      <w:r>
        <w:rPr>
          <w:rFonts w:ascii="宋体" w:hAnsi="宋体" w:eastAsia="宋体" w:cs="宋体"/>
          <w:spacing w:val="-2"/>
          <w:sz w:val="24"/>
          <w:szCs w:val="24"/>
        </w:rPr>
        <w:t>可知，</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2"/>
          <w:sz w:val="24"/>
          <w:szCs w:val="24"/>
        </w:rPr>
        <w:t>年均值，</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2"/>
          <w:w w:val="102"/>
          <w:position w:val="-1"/>
          <w:sz w:val="15"/>
          <w:szCs w:val="15"/>
        </w:rPr>
        <w:t xml:space="preserve"> </w:t>
      </w:r>
      <w:r>
        <w:rPr>
          <w:rFonts w:ascii="宋体" w:hAnsi="宋体" w:eastAsia="宋体" w:cs="宋体"/>
          <w:spacing w:val="-2"/>
          <w:sz w:val="24"/>
          <w:szCs w:val="24"/>
        </w:rPr>
        <w:t>年均值，</w:t>
      </w:r>
      <w:r>
        <w:rPr>
          <w:rFonts w:ascii="Times New Roman" w:hAnsi="Times New Roman" w:eastAsia="Times New Roman" w:cs="Times New Roman"/>
          <w:spacing w:val="-2"/>
          <w:sz w:val="24"/>
          <w:szCs w:val="24"/>
        </w:rPr>
        <w:t>PM</w:t>
      </w:r>
      <w:r>
        <w:rPr>
          <w:rFonts w:ascii="Times New Roman" w:hAnsi="Times New Roman" w:eastAsia="Times New Roman" w:cs="Times New Roman"/>
          <w:spacing w:val="-2"/>
          <w:position w:val="-1"/>
          <w:sz w:val="15"/>
          <w:szCs w:val="15"/>
        </w:rPr>
        <w:t>10</w:t>
      </w:r>
      <w:r>
        <w:rPr>
          <w:rFonts w:ascii="Times New Roman" w:hAnsi="Times New Roman" w:eastAsia="Times New Roman" w:cs="Times New Roman"/>
          <w:spacing w:val="10"/>
          <w:position w:val="-1"/>
          <w:sz w:val="15"/>
          <w:szCs w:val="15"/>
        </w:rPr>
        <w:t xml:space="preserve"> </w:t>
      </w:r>
      <w:r>
        <w:rPr>
          <w:rFonts w:ascii="宋体" w:hAnsi="宋体" w:eastAsia="宋体" w:cs="宋体"/>
          <w:spacing w:val="-2"/>
          <w:sz w:val="24"/>
          <w:szCs w:val="24"/>
        </w:rPr>
        <w:t>年均值，</w:t>
      </w:r>
      <w:r>
        <w:rPr>
          <w:rFonts w:ascii="Times New Roman" w:hAnsi="Times New Roman" w:eastAsia="Times New Roman" w:cs="Times New Roman"/>
          <w:spacing w:val="-2"/>
          <w:sz w:val="24"/>
          <w:szCs w:val="24"/>
        </w:rPr>
        <w:t>PM</w:t>
      </w:r>
      <w:r>
        <w:rPr>
          <w:rFonts w:ascii="Times New Roman" w:hAnsi="Times New Roman" w:eastAsia="Times New Roman" w:cs="Times New Roman"/>
          <w:spacing w:val="-2"/>
          <w:position w:val="-1"/>
          <w:sz w:val="15"/>
          <w:szCs w:val="15"/>
        </w:rPr>
        <w:t>2.5</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2"/>
          <w:sz w:val="24"/>
          <w:szCs w:val="24"/>
        </w:rPr>
        <w:t>年均值，</w:t>
      </w:r>
      <w:r>
        <w:rPr>
          <w:rFonts w:ascii="宋体" w:hAnsi="宋体" w:eastAsia="宋体" w:cs="宋体"/>
          <w:sz w:val="24"/>
          <w:szCs w:val="24"/>
        </w:rPr>
        <w:t xml:space="preserve"> </w:t>
      </w:r>
      <w:r>
        <w:rPr>
          <w:rFonts w:ascii="Times New Roman" w:hAnsi="Times New Roman" w:eastAsia="Times New Roman" w:cs="Times New Roman"/>
          <w:sz w:val="24"/>
          <w:szCs w:val="24"/>
        </w:rPr>
        <w:t>CO</w:t>
      </w:r>
      <w:r>
        <w:rPr>
          <w:rFonts w:ascii="Times New Roman" w:hAnsi="Times New Roman" w:eastAsia="Times New Roman" w:cs="Times New Roman"/>
          <w:spacing w:val="11"/>
          <w:sz w:val="24"/>
          <w:szCs w:val="24"/>
        </w:rPr>
        <w:t>95%</w:t>
      </w:r>
      <w:r>
        <w:rPr>
          <w:rFonts w:ascii="Times New Roman" w:hAnsi="Times New Roman" w:eastAsia="Times New Roman" w:cs="Times New Roman"/>
          <w:spacing w:val="43"/>
          <w:sz w:val="24"/>
          <w:szCs w:val="24"/>
        </w:rPr>
        <w:t xml:space="preserve"> </w:t>
      </w:r>
      <w:r>
        <w:rPr>
          <w:rFonts w:ascii="宋体" w:hAnsi="宋体" w:eastAsia="宋体" w:cs="宋体"/>
          <w:spacing w:val="11"/>
          <w:sz w:val="24"/>
          <w:szCs w:val="24"/>
        </w:rPr>
        <w:t>日均值</w:t>
      </w:r>
      <w:r>
        <w:rPr>
          <w:rFonts w:ascii="宋体" w:hAnsi="宋体" w:eastAsia="宋体" w:cs="宋体"/>
          <w:spacing w:val="-56"/>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O</w:t>
      </w:r>
      <w:r>
        <w:rPr>
          <w:rFonts w:ascii="Times New Roman" w:hAnsi="Times New Roman" w:eastAsia="Times New Roman" w:cs="Times New Roman"/>
          <w:spacing w:val="11"/>
          <w:position w:val="-1"/>
          <w:sz w:val="15"/>
          <w:szCs w:val="15"/>
        </w:rPr>
        <w:t>3</w:t>
      </w:r>
      <w:r>
        <w:rPr>
          <w:rFonts w:ascii="Times New Roman" w:hAnsi="Times New Roman" w:eastAsia="Times New Roman" w:cs="Times New Roman"/>
          <w:spacing w:val="11"/>
          <w:sz w:val="24"/>
          <w:szCs w:val="24"/>
        </w:rPr>
        <w:t>90%8h</w:t>
      </w:r>
      <w:r>
        <w:rPr>
          <w:rFonts w:ascii="Times New Roman" w:hAnsi="Times New Roman" w:eastAsia="Times New Roman" w:cs="Times New Roman"/>
          <w:spacing w:val="47"/>
          <w:w w:val="101"/>
          <w:sz w:val="24"/>
          <w:szCs w:val="24"/>
        </w:rPr>
        <w:t xml:space="preserve"> </w:t>
      </w:r>
      <w:r>
        <w:rPr>
          <w:rFonts w:ascii="宋体" w:hAnsi="宋体" w:eastAsia="宋体" w:cs="宋体"/>
          <w:spacing w:val="11"/>
          <w:sz w:val="24"/>
          <w:szCs w:val="24"/>
        </w:rPr>
        <w:t>平均浓度均值</w:t>
      </w:r>
      <w:r>
        <w:rPr>
          <w:rFonts w:ascii="宋体" w:hAnsi="宋体" w:eastAsia="宋体" w:cs="宋体"/>
          <w:spacing w:val="-66"/>
          <w:sz w:val="24"/>
          <w:szCs w:val="24"/>
        </w:rPr>
        <w:t xml:space="preserve"> </w:t>
      </w:r>
      <w:r>
        <w:rPr>
          <w:rFonts w:ascii="宋体" w:hAnsi="宋体" w:eastAsia="宋体" w:cs="宋体"/>
          <w:spacing w:val="11"/>
          <w:sz w:val="24"/>
          <w:szCs w:val="24"/>
        </w:rPr>
        <w:t>能满</w:t>
      </w:r>
      <w:r>
        <w:rPr>
          <w:rFonts w:ascii="宋体" w:hAnsi="宋体" w:eastAsia="宋体" w:cs="宋体"/>
          <w:spacing w:val="-70"/>
          <w:sz w:val="24"/>
          <w:szCs w:val="24"/>
        </w:rPr>
        <w:t xml:space="preserve"> </w:t>
      </w:r>
      <w:r>
        <w:rPr>
          <w:rFonts w:ascii="宋体" w:hAnsi="宋体" w:eastAsia="宋体" w:cs="宋体"/>
          <w:spacing w:val="11"/>
          <w:sz w:val="24"/>
          <w:szCs w:val="24"/>
        </w:rPr>
        <w:t>足《</w:t>
      </w:r>
      <w:r>
        <w:rPr>
          <w:rFonts w:ascii="宋体" w:hAnsi="宋体" w:eastAsia="宋体" w:cs="宋体"/>
          <w:spacing w:val="-52"/>
          <w:sz w:val="24"/>
          <w:szCs w:val="24"/>
        </w:rPr>
        <w:t xml:space="preserve"> </w:t>
      </w:r>
      <w:r>
        <w:rPr>
          <w:rFonts w:ascii="宋体" w:hAnsi="宋体" w:eastAsia="宋体" w:cs="宋体"/>
          <w:spacing w:val="11"/>
          <w:sz w:val="24"/>
          <w:szCs w:val="24"/>
        </w:rPr>
        <w:t>环境</w:t>
      </w:r>
      <w:r>
        <w:rPr>
          <w:rFonts w:ascii="宋体" w:hAnsi="宋体" w:eastAsia="宋体" w:cs="宋体"/>
          <w:spacing w:val="-64"/>
          <w:sz w:val="24"/>
          <w:szCs w:val="24"/>
        </w:rPr>
        <w:t xml:space="preserve"> </w:t>
      </w:r>
      <w:r>
        <w:rPr>
          <w:rFonts w:ascii="宋体" w:hAnsi="宋体" w:eastAsia="宋体" w:cs="宋体"/>
          <w:spacing w:val="11"/>
          <w:sz w:val="24"/>
          <w:szCs w:val="24"/>
        </w:rPr>
        <w:t>空气质量</w:t>
      </w:r>
      <w:r>
        <w:rPr>
          <w:rFonts w:ascii="宋体" w:hAnsi="宋体" w:eastAsia="宋体" w:cs="宋体"/>
          <w:spacing w:val="-72"/>
          <w:sz w:val="24"/>
          <w:szCs w:val="24"/>
        </w:rPr>
        <w:t xml:space="preserve"> </w:t>
      </w:r>
      <w:r>
        <w:rPr>
          <w:rFonts w:ascii="宋体" w:hAnsi="宋体" w:eastAsia="宋体" w:cs="宋体"/>
          <w:spacing w:val="11"/>
          <w:sz w:val="24"/>
          <w:szCs w:val="24"/>
        </w:rPr>
        <w:t>标准》</w:t>
      </w:r>
      <w:r>
        <w:rPr>
          <w:rFonts w:ascii="宋体" w:hAnsi="宋体" w:eastAsia="宋体" w:cs="宋体"/>
          <w:sz w:val="24"/>
          <w:szCs w:val="24"/>
        </w:rPr>
        <w:t xml:space="preserve"> （</w:t>
      </w:r>
      <w:r>
        <w:rPr>
          <w:rFonts w:ascii="Times New Roman" w:hAnsi="Times New Roman" w:eastAsia="Times New Roman" w:cs="Times New Roman"/>
          <w:sz w:val="24"/>
          <w:szCs w:val="24"/>
        </w:rPr>
        <w:t>GB3095-2012</w:t>
      </w:r>
      <w:r>
        <w:rPr>
          <w:rFonts w:ascii="宋体" w:hAnsi="宋体" w:eastAsia="宋体" w:cs="宋体"/>
          <w:sz w:val="24"/>
          <w:szCs w:val="24"/>
        </w:rPr>
        <w:t>）中二级标准的要求，所以</w:t>
      </w:r>
      <w:r>
        <w:rPr>
          <w:rFonts w:ascii="宋体" w:hAnsi="宋体" w:eastAsia="宋体" w:cs="宋体"/>
          <w:spacing w:val="-1"/>
          <w:sz w:val="24"/>
          <w:szCs w:val="24"/>
        </w:rPr>
        <w:t>项目所在区域为达标区。</w:t>
      </w:r>
    </w:p>
    <w:p w14:paraId="1E2869BF">
      <w:pPr>
        <w:spacing w:line="219"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6.3.1.3 </w:t>
      </w:r>
      <w:r>
        <w:rPr>
          <w:rFonts w:ascii="宋体" w:hAnsi="宋体" w:eastAsia="宋体" w:cs="宋体"/>
          <w:spacing w:val="-1"/>
          <w:sz w:val="24"/>
          <w:szCs w:val="24"/>
        </w:rPr>
        <w:t>环境空气现状补充监测</w:t>
      </w:r>
    </w:p>
    <w:p w14:paraId="130DAD15">
      <w:pPr>
        <w:spacing w:before="183" w:line="362" w:lineRule="auto"/>
        <w:ind w:left="126" w:right="162" w:firstLine="479"/>
        <w:rPr>
          <w:rFonts w:ascii="Times New Roman" w:hAnsi="Times New Roman" w:eastAsia="Times New Roman" w:cs="Times New Roman"/>
          <w:sz w:val="24"/>
          <w:szCs w:val="24"/>
        </w:rPr>
      </w:pPr>
      <w:r>
        <w:rPr>
          <w:rFonts w:ascii="宋体" w:hAnsi="宋体" w:eastAsia="宋体" w:cs="宋体"/>
          <w:spacing w:val="-1"/>
          <w:sz w:val="24"/>
          <w:szCs w:val="24"/>
        </w:rPr>
        <w:t>为掌握评价区环境空气质量现状，并为影响评价提供基础资料和数据，本</w:t>
      </w:r>
      <w:r>
        <w:rPr>
          <w:rFonts w:ascii="宋体" w:hAnsi="宋体" w:eastAsia="宋体" w:cs="宋体"/>
          <w:spacing w:val="18"/>
          <w:sz w:val="24"/>
          <w:szCs w:val="24"/>
        </w:rPr>
        <w:t xml:space="preserve"> </w:t>
      </w:r>
      <w:r>
        <w:rPr>
          <w:rFonts w:ascii="宋体" w:hAnsi="宋体" w:eastAsia="宋体" w:cs="宋体"/>
          <w:spacing w:val="-2"/>
          <w:sz w:val="24"/>
          <w:szCs w:val="24"/>
        </w:rPr>
        <w:t>项目委托内蒙古华智鼎环保科技有限公司于</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30 </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日～</w:t>
      </w:r>
      <w:r>
        <w:rPr>
          <w:rFonts w:ascii="Times New Roman" w:hAnsi="Times New Roman" w:eastAsia="Times New Roman" w:cs="Times New Roman"/>
          <w:spacing w:val="-3"/>
          <w:sz w:val="24"/>
          <w:szCs w:val="24"/>
        </w:rPr>
        <w:t>2023</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w:t>
      </w:r>
    </w:p>
    <w:p w14:paraId="19C0EF11">
      <w:pPr>
        <w:spacing w:line="362" w:lineRule="auto"/>
        <w:rPr>
          <w:rFonts w:ascii="Times New Roman" w:hAnsi="Times New Roman" w:eastAsia="Times New Roman" w:cs="Times New Roman"/>
          <w:sz w:val="24"/>
          <w:szCs w:val="24"/>
        </w:rPr>
        <w:sectPr>
          <w:headerReference r:id="rId170" w:type="default"/>
          <w:footerReference r:id="rId171" w:type="default"/>
          <w:pgSz w:w="11906" w:h="16839"/>
          <w:pgMar w:top="1208" w:right="1785" w:bottom="1358" w:left="1684" w:header="825" w:footer="1195" w:gutter="0"/>
          <w:cols w:space="720" w:num="1"/>
        </w:sectPr>
      </w:pPr>
    </w:p>
    <w:p w14:paraId="0C822791">
      <w:pPr>
        <w:pStyle w:val="2"/>
        <w:spacing w:line="265" w:lineRule="auto"/>
      </w:pPr>
    </w:p>
    <w:p w14:paraId="747BD1D7">
      <w:pPr>
        <w:spacing w:before="78" w:line="220" w:lineRule="auto"/>
        <w:ind w:left="366"/>
        <w:rPr>
          <w:rFonts w:ascii="宋体" w:hAnsi="宋体" w:eastAsia="宋体" w:cs="宋体"/>
          <w:sz w:val="24"/>
          <w:szCs w:val="24"/>
        </w:rPr>
      </w:pPr>
      <w:r>
        <w:rPr>
          <w:rFonts w:ascii="宋体" w:hAnsi="宋体" w:eastAsia="宋体" w:cs="宋体"/>
          <w:spacing w:val="-9"/>
          <w:sz w:val="24"/>
          <w:szCs w:val="24"/>
        </w:rPr>
        <w:t>日进行监测。</w:t>
      </w:r>
    </w:p>
    <w:p w14:paraId="5230BA58">
      <w:pPr>
        <w:spacing w:before="181" w:line="219" w:lineRule="auto"/>
        <w:ind w:left="81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）监测范围及监测布点</w:t>
      </w:r>
    </w:p>
    <w:p w14:paraId="542F1095">
      <w:pPr>
        <w:spacing w:before="185" w:line="340" w:lineRule="auto"/>
        <w:ind w:left="324" w:right="445" w:firstLine="480"/>
        <w:rPr>
          <w:rFonts w:ascii="宋体" w:hAnsi="宋体" w:eastAsia="宋体" w:cs="宋体"/>
          <w:sz w:val="24"/>
          <w:szCs w:val="24"/>
        </w:rPr>
      </w:pPr>
      <w:r>
        <w:rPr>
          <w:rFonts w:ascii="宋体" w:hAnsi="宋体" w:eastAsia="宋体" w:cs="宋体"/>
          <w:spacing w:val="-2"/>
          <w:sz w:val="24"/>
          <w:szCs w:val="24"/>
        </w:rPr>
        <w:t>根据《环境影响评价技术导则</w:t>
      </w:r>
      <w:r>
        <w:rPr>
          <w:rFonts w:ascii="Times New Roman" w:hAnsi="Times New Roman" w:eastAsia="Times New Roman" w:cs="Times New Roman"/>
          <w:spacing w:val="-2"/>
          <w:sz w:val="24"/>
          <w:szCs w:val="24"/>
        </w:rPr>
        <w:t>-</w:t>
      </w:r>
      <w:r>
        <w:rPr>
          <w:rFonts w:ascii="宋体" w:hAnsi="宋体" w:eastAsia="宋体" w:cs="宋体"/>
          <w:spacing w:val="-2"/>
          <w:sz w:val="24"/>
          <w:szCs w:val="24"/>
        </w:rPr>
        <w:t>大气环境》对环境空气质量现状监</w:t>
      </w:r>
      <w:r>
        <w:rPr>
          <w:rFonts w:ascii="宋体" w:hAnsi="宋体" w:eastAsia="宋体" w:cs="宋体"/>
          <w:spacing w:val="-3"/>
          <w:sz w:val="24"/>
          <w:szCs w:val="24"/>
        </w:rPr>
        <w:t>测要求，</w:t>
      </w:r>
      <w:r>
        <w:rPr>
          <w:rFonts w:ascii="宋体" w:hAnsi="宋体" w:eastAsia="宋体" w:cs="宋体"/>
          <w:sz w:val="24"/>
          <w:szCs w:val="24"/>
        </w:rPr>
        <w:t xml:space="preserve"> </w:t>
      </w:r>
      <w:r>
        <w:rPr>
          <w:rFonts w:ascii="宋体" w:hAnsi="宋体" w:eastAsia="宋体" w:cs="宋体"/>
          <w:spacing w:val="-1"/>
          <w:sz w:val="24"/>
          <w:szCs w:val="24"/>
        </w:rPr>
        <w:t>环境影响评价环境空气质量现状监测点共布设</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个，位于厂区西南角</w:t>
      </w:r>
      <w:r>
        <w:rPr>
          <w:rFonts w:ascii="宋体" w:hAnsi="宋体" w:eastAsia="宋体" w:cs="宋体"/>
          <w:spacing w:val="-2"/>
          <w:sz w:val="24"/>
          <w:szCs w:val="24"/>
        </w:rPr>
        <w:t>。具体环</w:t>
      </w:r>
      <w:r>
        <w:rPr>
          <w:rFonts w:ascii="宋体" w:hAnsi="宋体" w:eastAsia="宋体" w:cs="宋体"/>
          <w:sz w:val="24"/>
          <w:szCs w:val="24"/>
        </w:rPr>
        <w:t xml:space="preserve"> </w:t>
      </w:r>
      <w:r>
        <w:rPr>
          <w:rFonts w:ascii="宋体" w:hAnsi="宋体" w:eastAsia="宋体" w:cs="宋体"/>
          <w:spacing w:val="-2"/>
          <w:sz w:val="24"/>
          <w:szCs w:val="24"/>
        </w:rPr>
        <w:t>境空气监测点与厂址的方位见表</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6.3-2</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，监测点具体位置详见图</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6.3-1</w:t>
      </w:r>
      <w:r>
        <w:rPr>
          <w:rFonts w:ascii="宋体" w:hAnsi="宋体" w:eastAsia="宋体" w:cs="宋体"/>
          <w:spacing w:val="-2"/>
          <w:sz w:val="24"/>
          <w:szCs w:val="24"/>
        </w:rPr>
        <w:t>。</w:t>
      </w:r>
    </w:p>
    <w:p w14:paraId="1C876AFC">
      <w:pPr>
        <w:spacing w:line="211" w:lineRule="auto"/>
        <w:ind w:left="268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6.3-2        </w:t>
      </w:r>
      <w:r>
        <w:rPr>
          <w:rFonts w:ascii="宋体" w:hAnsi="宋体" w:eastAsia="宋体" w:cs="宋体"/>
          <w:spacing w:val="-1"/>
          <w:sz w:val="24"/>
          <w:szCs w:val="24"/>
        </w:rPr>
        <w:t>环境空气现状监测点</w:t>
      </w:r>
    </w:p>
    <w:tbl>
      <w:tblPr>
        <w:tblStyle w:val="5"/>
        <w:tblW w:w="8529" w:type="dxa"/>
        <w:tblInd w:w="2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34"/>
        <w:gridCol w:w="1660"/>
        <w:gridCol w:w="1660"/>
        <w:gridCol w:w="1675"/>
      </w:tblGrid>
      <w:tr w14:paraId="31CAA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534" w:type="dxa"/>
            <w:vMerge w:val="restart"/>
            <w:tcBorders>
              <w:bottom w:val="nil"/>
            </w:tcBorders>
            <w:vAlign w:val="top"/>
          </w:tcPr>
          <w:p w14:paraId="6C76BA9F">
            <w:pPr>
              <w:pStyle w:val="6"/>
              <w:spacing w:before="217" w:line="229" w:lineRule="auto"/>
              <w:ind w:left="1574"/>
            </w:pPr>
            <w:r>
              <w:rPr>
                <w:spacing w:val="-1"/>
              </w:rPr>
              <w:t>点位</w:t>
            </w:r>
          </w:p>
        </w:tc>
        <w:tc>
          <w:tcPr>
            <w:tcW w:w="1660" w:type="dxa"/>
            <w:vAlign w:val="top"/>
          </w:tcPr>
          <w:p w14:paraId="539D5D36">
            <w:pPr>
              <w:pStyle w:val="6"/>
              <w:spacing w:before="56" w:line="228" w:lineRule="auto"/>
              <w:ind w:left="416"/>
            </w:pPr>
            <w:r>
              <w:rPr>
                <w:spacing w:val="7"/>
              </w:rPr>
              <w:t>监测因子</w:t>
            </w:r>
          </w:p>
        </w:tc>
        <w:tc>
          <w:tcPr>
            <w:tcW w:w="1660" w:type="dxa"/>
            <w:vMerge w:val="restart"/>
            <w:tcBorders>
              <w:bottom w:val="nil"/>
            </w:tcBorders>
            <w:vAlign w:val="top"/>
          </w:tcPr>
          <w:p w14:paraId="6291B436">
            <w:pPr>
              <w:pStyle w:val="6"/>
              <w:spacing w:before="217" w:line="229" w:lineRule="auto"/>
              <w:ind w:left="628"/>
            </w:pPr>
            <w:r>
              <w:rPr>
                <w:spacing w:val="4"/>
              </w:rPr>
              <w:t>方位</w:t>
            </w:r>
          </w:p>
        </w:tc>
        <w:tc>
          <w:tcPr>
            <w:tcW w:w="1675" w:type="dxa"/>
            <w:vMerge w:val="restart"/>
            <w:tcBorders>
              <w:bottom w:val="nil"/>
            </w:tcBorders>
            <w:vAlign w:val="top"/>
          </w:tcPr>
          <w:p w14:paraId="3A67D96B">
            <w:pPr>
              <w:pStyle w:val="6"/>
              <w:spacing w:before="217" w:line="228" w:lineRule="auto"/>
              <w:ind w:left="288"/>
            </w:pPr>
            <w:r>
              <w:rPr>
                <w:spacing w:val="7"/>
              </w:rPr>
              <w:t>距离（</w:t>
            </w:r>
            <w:r>
              <w:rPr>
                <w:rFonts w:ascii="Times New Roman" w:hAnsi="Times New Roman" w:eastAsia="Times New Roman" w:cs="Times New Roman"/>
              </w:rPr>
              <w:t>km</w:t>
            </w:r>
            <w:r>
              <w:rPr>
                <w:spacing w:val="7"/>
              </w:rPr>
              <w:t>）</w:t>
            </w:r>
          </w:p>
        </w:tc>
      </w:tr>
      <w:tr w14:paraId="148CC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534" w:type="dxa"/>
            <w:vMerge w:val="continue"/>
            <w:tcBorders>
              <w:top w:val="nil"/>
            </w:tcBorders>
            <w:vAlign w:val="top"/>
          </w:tcPr>
          <w:p w14:paraId="0390A2EE">
            <w:pPr>
              <w:rPr>
                <w:rFonts w:ascii="Arial"/>
                <w:sz w:val="21"/>
              </w:rPr>
            </w:pPr>
          </w:p>
        </w:tc>
        <w:tc>
          <w:tcPr>
            <w:tcW w:w="1660" w:type="dxa"/>
            <w:vAlign w:val="top"/>
          </w:tcPr>
          <w:p w14:paraId="534A4ECB">
            <w:pPr>
              <w:pStyle w:val="6"/>
              <w:spacing w:before="52" w:line="228" w:lineRule="auto"/>
              <w:ind w:left="556"/>
            </w:pPr>
            <w:r>
              <w:rPr>
                <w:spacing w:val="-6"/>
              </w:rPr>
              <w:t>日均值</w:t>
            </w:r>
          </w:p>
        </w:tc>
        <w:tc>
          <w:tcPr>
            <w:tcW w:w="1660" w:type="dxa"/>
            <w:vMerge w:val="continue"/>
            <w:tcBorders>
              <w:top w:val="nil"/>
            </w:tcBorders>
            <w:vAlign w:val="top"/>
          </w:tcPr>
          <w:p w14:paraId="0E858FDB">
            <w:pPr>
              <w:rPr>
                <w:rFonts w:ascii="Arial"/>
                <w:sz w:val="21"/>
              </w:rPr>
            </w:pPr>
          </w:p>
        </w:tc>
        <w:tc>
          <w:tcPr>
            <w:tcW w:w="1675" w:type="dxa"/>
            <w:vMerge w:val="continue"/>
            <w:tcBorders>
              <w:top w:val="nil"/>
            </w:tcBorders>
            <w:vAlign w:val="top"/>
          </w:tcPr>
          <w:p w14:paraId="05ED33C7">
            <w:pPr>
              <w:rPr>
                <w:rFonts w:ascii="Arial"/>
                <w:sz w:val="21"/>
              </w:rPr>
            </w:pPr>
          </w:p>
        </w:tc>
      </w:tr>
      <w:tr w14:paraId="189C3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3534" w:type="dxa"/>
            <w:vAlign w:val="top"/>
          </w:tcPr>
          <w:p w14:paraId="7849B134">
            <w:pPr>
              <w:pStyle w:val="6"/>
              <w:spacing w:before="75" w:line="228" w:lineRule="auto"/>
              <w:ind w:left="951"/>
            </w:pPr>
            <w:r>
              <w:rPr>
                <w:rFonts w:ascii="Times New Roman" w:hAnsi="Times New Roman" w:eastAsia="Times New Roman" w:cs="Times New Roman"/>
                <w:spacing w:val="5"/>
              </w:rPr>
              <w:t>1#</w:t>
            </w:r>
            <w:r>
              <w:rPr>
                <w:spacing w:val="5"/>
              </w:rPr>
              <w:t>厂址东南牧民点</w:t>
            </w:r>
          </w:p>
        </w:tc>
        <w:tc>
          <w:tcPr>
            <w:tcW w:w="1660" w:type="dxa"/>
            <w:vAlign w:val="top"/>
          </w:tcPr>
          <w:p w14:paraId="787D0C01">
            <w:pPr>
              <w:spacing w:before="112"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1660" w:type="dxa"/>
            <w:vAlign w:val="top"/>
          </w:tcPr>
          <w:p w14:paraId="514A9D3D">
            <w:pPr>
              <w:spacing w:before="112" w:line="195"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1675" w:type="dxa"/>
            <w:vAlign w:val="top"/>
          </w:tcPr>
          <w:p w14:paraId="46DFFDBC">
            <w:pPr>
              <w:spacing w:before="112"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r>
    </w:tbl>
    <w:p w14:paraId="70B66211">
      <w:pPr>
        <w:pStyle w:val="2"/>
        <w:spacing w:line="346" w:lineRule="auto"/>
      </w:pPr>
    </w:p>
    <w:p w14:paraId="0B83ADC3">
      <w:pPr>
        <w:spacing w:before="78" w:line="220" w:lineRule="auto"/>
        <w:ind w:left="8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）监测项目</w:t>
      </w:r>
    </w:p>
    <w:p w14:paraId="7BFD2885">
      <w:pPr>
        <w:spacing w:before="182" w:line="360" w:lineRule="auto"/>
        <w:ind w:left="325" w:right="466" w:firstLine="479"/>
        <w:rPr>
          <w:rFonts w:ascii="宋体" w:hAnsi="宋体" w:eastAsia="宋体" w:cs="宋体"/>
          <w:sz w:val="24"/>
          <w:szCs w:val="24"/>
        </w:rPr>
      </w:pPr>
      <w:r>
        <w:rPr>
          <w:rFonts w:ascii="宋体" w:hAnsi="宋体" w:eastAsia="宋体" w:cs="宋体"/>
          <w:spacing w:val="-2"/>
          <w:sz w:val="24"/>
          <w:szCs w:val="24"/>
        </w:rPr>
        <w:t>根据本项目大气污染源特征及环境保护目标情况，选择</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TSP </w:t>
      </w:r>
      <w:r>
        <w:rPr>
          <w:rFonts w:ascii="宋体" w:hAnsi="宋体" w:eastAsia="宋体" w:cs="宋体"/>
          <w:spacing w:val="-2"/>
          <w:sz w:val="24"/>
          <w:szCs w:val="24"/>
        </w:rPr>
        <w:t>作为</w:t>
      </w:r>
      <w:r>
        <w:rPr>
          <w:rFonts w:ascii="宋体" w:hAnsi="宋体" w:eastAsia="宋体" w:cs="宋体"/>
          <w:spacing w:val="-3"/>
          <w:sz w:val="24"/>
          <w:szCs w:val="24"/>
        </w:rPr>
        <w:t>环境空气</w:t>
      </w:r>
      <w:r>
        <w:rPr>
          <w:rFonts w:ascii="宋体" w:hAnsi="宋体" w:eastAsia="宋体" w:cs="宋体"/>
          <w:sz w:val="24"/>
          <w:szCs w:val="24"/>
        </w:rPr>
        <w:t xml:space="preserve"> </w:t>
      </w:r>
      <w:r>
        <w:rPr>
          <w:rFonts w:ascii="宋体" w:hAnsi="宋体" w:eastAsia="宋体" w:cs="宋体"/>
          <w:spacing w:val="-1"/>
          <w:sz w:val="24"/>
          <w:szCs w:val="24"/>
        </w:rPr>
        <w:t>质量现状评价补充监测的基本因子。</w:t>
      </w:r>
    </w:p>
    <w:p w14:paraId="35231D03">
      <w:pPr>
        <w:spacing w:line="219" w:lineRule="auto"/>
        <w:ind w:left="8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）监测频次</w:t>
      </w:r>
    </w:p>
    <w:p w14:paraId="424DD85F">
      <w:pPr>
        <w:spacing w:before="183" w:line="360" w:lineRule="auto"/>
        <w:ind w:left="325" w:right="466" w:firstLine="480"/>
        <w:rPr>
          <w:rFonts w:ascii="宋体" w:hAnsi="宋体" w:eastAsia="宋体" w:cs="宋体"/>
          <w:sz w:val="24"/>
          <w:szCs w:val="24"/>
        </w:rPr>
      </w:pPr>
      <w:r>
        <w:rPr>
          <w:rFonts w:ascii="宋体" w:hAnsi="宋体" w:eastAsia="宋体" w:cs="宋体"/>
          <w:spacing w:val="-7"/>
          <w:sz w:val="24"/>
          <w:szCs w:val="24"/>
        </w:rPr>
        <w:t>连续监测</w:t>
      </w:r>
      <w:r>
        <w:rPr>
          <w:rFonts w:ascii="宋体" w:hAnsi="宋体" w:eastAsia="宋体" w:cs="宋体"/>
          <w:spacing w:val="-34"/>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天，每天采样一次，</w:t>
      </w:r>
      <w:r>
        <w:rPr>
          <w:rFonts w:ascii="Times New Roman" w:hAnsi="Times New Roman" w:eastAsia="Times New Roman" w:cs="Times New Roman"/>
          <w:spacing w:val="-7"/>
          <w:sz w:val="24"/>
          <w:szCs w:val="24"/>
        </w:rPr>
        <w:t>TSP</w:t>
      </w:r>
      <w:r>
        <w:rPr>
          <w:rFonts w:ascii="Times New Roman" w:hAnsi="Times New Roman" w:eastAsia="Times New Roman" w:cs="Times New Roman"/>
          <w:spacing w:val="52"/>
          <w:sz w:val="24"/>
          <w:szCs w:val="24"/>
        </w:rPr>
        <w:t xml:space="preserve"> </w:t>
      </w:r>
      <w:r>
        <w:rPr>
          <w:rFonts w:ascii="宋体" w:hAnsi="宋体" w:eastAsia="宋体" w:cs="宋体"/>
          <w:spacing w:val="-7"/>
          <w:sz w:val="24"/>
          <w:szCs w:val="24"/>
        </w:rPr>
        <w:t>日均浓度监测</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24</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小时，采样同步进行</w:t>
      </w:r>
      <w:r>
        <w:rPr>
          <w:rFonts w:ascii="宋体" w:hAnsi="宋体" w:eastAsia="宋体" w:cs="宋体"/>
          <w:sz w:val="24"/>
          <w:szCs w:val="24"/>
        </w:rPr>
        <w:t xml:space="preserve"> </w:t>
      </w:r>
      <w:r>
        <w:rPr>
          <w:rFonts w:ascii="宋体" w:hAnsi="宋体" w:eastAsia="宋体" w:cs="宋体"/>
          <w:spacing w:val="-1"/>
          <w:sz w:val="24"/>
          <w:szCs w:val="24"/>
        </w:rPr>
        <w:t>风向、风速、气温、气压等气象要素的观测。</w:t>
      </w:r>
    </w:p>
    <w:p w14:paraId="1BB5D14A">
      <w:pPr>
        <w:spacing w:before="1" w:line="218" w:lineRule="auto"/>
        <w:ind w:left="81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）采样和监测分析方法</w:t>
      </w:r>
    </w:p>
    <w:p w14:paraId="16EFCE48">
      <w:pPr>
        <w:spacing w:before="185" w:line="340" w:lineRule="auto"/>
        <w:ind w:left="323" w:right="466" w:firstLine="480"/>
        <w:rPr>
          <w:rFonts w:ascii="Times New Roman" w:hAnsi="Times New Roman" w:eastAsia="Times New Roman" w:cs="Times New Roman"/>
          <w:sz w:val="24"/>
          <w:szCs w:val="24"/>
        </w:rPr>
      </w:pPr>
      <w:r>
        <w:rPr>
          <w:rFonts w:ascii="宋体" w:hAnsi="宋体" w:eastAsia="宋体" w:cs="宋体"/>
          <w:sz w:val="24"/>
          <w:szCs w:val="24"/>
        </w:rPr>
        <w:t>采样和分析方法按照国家环保部颁布的《环境监测</w:t>
      </w:r>
      <w:r>
        <w:rPr>
          <w:rFonts w:ascii="宋体" w:hAnsi="宋体" w:eastAsia="宋体" w:cs="宋体"/>
          <w:spacing w:val="-1"/>
          <w:sz w:val="24"/>
          <w:szCs w:val="24"/>
        </w:rPr>
        <w:t>技术规范》和《空气和</w:t>
      </w:r>
      <w:r>
        <w:rPr>
          <w:rFonts w:ascii="宋体" w:hAnsi="宋体" w:eastAsia="宋体" w:cs="宋体"/>
          <w:sz w:val="24"/>
          <w:szCs w:val="24"/>
        </w:rPr>
        <w:t xml:space="preserve"> 废气监测分析方法》的有关要求和规定进行。环境空气</w:t>
      </w:r>
      <w:r>
        <w:rPr>
          <w:rFonts w:ascii="宋体" w:hAnsi="宋体" w:eastAsia="宋体" w:cs="宋体"/>
          <w:spacing w:val="-1"/>
          <w:sz w:val="24"/>
          <w:szCs w:val="24"/>
        </w:rPr>
        <w:t>检测项目及分析方法见</w:t>
      </w:r>
      <w:r>
        <w:rPr>
          <w:rFonts w:ascii="宋体" w:hAnsi="宋体" w:eastAsia="宋体" w:cs="宋体"/>
          <w:sz w:val="24"/>
          <w:szCs w:val="24"/>
        </w:rPr>
        <w:t xml:space="preserve"> </w:t>
      </w:r>
      <w:r>
        <w:rPr>
          <w:rFonts w:ascii="宋体" w:hAnsi="宋体" w:eastAsia="宋体" w:cs="宋体"/>
          <w:spacing w:val="-4"/>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6.3-3</w:t>
      </w:r>
    </w:p>
    <w:p w14:paraId="604C9EB3">
      <w:pPr>
        <w:spacing w:before="1" w:line="210" w:lineRule="auto"/>
        <w:ind w:left="196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6.3-3    </w:t>
      </w:r>
      <w:r>
        <w:rPr>
          <w:rFonts w:ascii="宋体" w:hAnsi="宋体" w:eastAsia="宋体" w:cs="宋体"/>
          <w:spacing w:val="-1"/>
          <w:sz w:val="24"/>
          <w:szCs w:val="24"/>
        </w:rPr>
        <w:t>环境空气检测项目及分析方法一览表</w:t>
      </w:r>
    </w:p>
    <w:tbl>
      <w:tblPr>
        <w:tblStyle w:val="5"/>
        <w:tblW w:w="8529"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2639"/>
        <w:gridCol w:w="1319"/>
        <w:gridCol w:w="3911"/>
      </w:tblGrid>
      <w:tr w14:paraId="7BB4A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2" w:hRule="atLeast"/>
        </w:trPr>
        <w:tc>
          <w:tcPr>
            <w:tcW w:w="660" w:type="dxa"/>
            <w:vAlign w:val="top"/>
          </w:tcPr>
          <w:p w14:paraId="74E1ADFE">
            <w:pPr>
              <w:pStyle w:val="6"/>
              <w:spacing w:before="56" w:line="228" w:lineRule="auto"/>
              <w:ind w:left="125"/>
            </w:pPr>
            <w:r>
              <w:rPr>
                <w:spacing w:val="4"/>
              </w:rPr>
              <w:t>检测</w:t>
            </w:r>
          </w:p>
          <w:p w14:paraId="3DB94263">
            <w:pPr>
              <w:pStyle w:val="6"/>
              <w:spacing w:before="65" w:line="228" w:lineRule="auto"/>
              <w:ind w:left="128"/>
            </w:pPr>
            <w:r>
              <w:rPr>
                <w:spacing w:val="3"/>
              </w:rPr>
              <w:t>项目</w:t>
            </w:r>
          </w:p>
        </w:tc>
        <w:tc>
          <w:tcPr>
            <w:tcW w:w="2639" w:type="dxa"/>
            <w:vAlign w:val="top"/>
          </w:tcPr>
          <w:p w14:paraId="06BEF17B">
            <w:pPr>
              <w:pStyle w:val="6"/>
              <w:spacing w:before="212" w:line="228" w:lineRule="auto"/>
              <w:ind w:left="590"/>
            </w:pPr>
            <w:r>
              <w:rPr>
                <w:spacing w:val="8"/>
              </w:rPr>
              <w:t>分析方法及来源</w:t>
            </w:r>
          </w:p>
        </w:tc>
        <w:tc>
          <w:tcPr>
            <w:tcW w:w="1319" w:type="dxa"/>
            <w:vAlign w:val="top"/>
          </w:tcPr>
          <w:p w14:paraId="054DA9EB">
            <w:pPr>
              <w:pStyle w:val="6"/>
              <w:spacing w:before="212" w:line="228" w:lineRule="auto"/>
              <w:ind w:left="351"/>
            </w:pPr>
            <w:r>
              <w:rPr>
                <w:spacing w:val="6"/>
              </w:rPr>
              <w:t>检出限</w:t>
            </w:r>
          </w:p>
        </w:tc>
        <w:tc>
          <w:tcPr>
            <w:tcW w:w="3911" w:type="dxa"/>
            <w:vAlign w:val="top"/>
          </w:tcPr>
          <w:p w14:paraId="05A3BF43">
            <w:pPr>
              <w:pStyle w:val="6"/>
              <w:spacing w:before="212" w:line="228" w:lineRule="auto"/>
              <w:ind w:left="1092"/>
            </w:pPr>
            <w:r>
              <w:rPr>
                <w:spacing w:val="7"/>
              </w:rPr>
              <w:t>仪器设备名称</w:t>
            </w:r>
            <w:r>
              <w:rPr>
                <w:rFonts w:ascii="Times New Roman" w:hAnsi="Times New Roman" w:eastAsia="Times New Roman" w:cs="Times New Roman"/>
                <w:spacing w:val="7"/>
              </w:rPr>
              <w:t>/</w:t>
            </w:r>
            <w:r>
              <w:rPr>
                <w:spacing w:val="7"/>
              </w:rPr>
              <w:t>型号</w:t>
            </w:r>
          </w:p>
        </w:tc>
      </w:tr>
      <w:tr w14:paraId="6ABF1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660" w:type="dxa"/>
            <w:vAlign w:val="top"/>
          </w:tcPr>
          <w:p w14:paraId="69EED8CF">
            <w:pPr>
              <w:spacing w:line="248" w:lineRule="auto"/>
              <w:rPr>
                <w:rFonts w:ascii="Arial"/>
                <w:sz w:val="21"/>
              </w:rPr>
            </w:pPr>
          </w:p>
          <w:p w14:paraId="35AAFF94">
            <w:pPr>
              <w:spacing w:line="248" w:lineRule="auto"/>
              <w:rPr>
                <w:rFonts w:ascii="Arial"/>
                <w:sz w:val="21"/>
              </w:rPr>
            </w:pPr>
          </w:p>
          <w:p w14:paraId="4D49AAFC">
            <w:pPr>
              <w:spacing w:before="5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639" w:type="dxa"/>
            <w:vAlign w:val="top"/>
          </w:tcPr>
          <w:p w14:paraId="07B9F895">
            <w:pPr>
              <w:pStyle w:val="6"/>
              <w:spacing w:before="210" w:line="228" w:lineRule="auto"/>
              <w:ind w:left="123"/>
            </w:pPr>
            <w:r>
              <w:rPr>
                <w:spacing w:val="8"/>
              </w:rPr>
              <w:t>《环境空气 总悬浮颗粒物</w:t>
            </w:r>
          </w:p>
          <w:p w14:paraId="08CA3ED1">
            <w:pPr>
              <w:pStyle w:val="6"/>
              <w:spacing w:before="64" w:line="228" w:lineRule="auto"/>
              <w:ind w:left="555"/>
            </w:pPr>
            <w:r>
              <w:rPr>
                <w:spacing w:val="4"/>
              </w:rPr>
              <w:t>的测定 重量法》</w:t>
            </w:r>
          </w:p>
          <w:p w14:paraId="32A400CD">
            <w:pPr>
              <w:pStyle w:val="6"/>
              <w:spacing w:before="64" w:line="228" w:lineRule="auto"/>
              <w:ind w:left="109"/>
            </w:pPr>
            <w:r>
              <w:rPr>
                <w:rFonts w:ascii="Times New Roman" w:hAnsi="Times New Roman" w:eastAsia="Times New Roman" w:cs="Times New Roman"/>
              </w:rPr>
              <w:t>GB</w:t>
            </w:r>
            <w:r>
              <w:rPr>
                <w:rFonts w:ascii="Times New Roman" w:hAnsi="Times New Roman" w:eastAsia="Times New Roman" w:cs="Times New Roman"/>
                <w:spacing w:val="3"/>
              </w:rPr>
              <w:t>/T</w:t>
            </w:r>
            <w:r>
              <w:rPr>
                <w:rFonts w:ascii="Times New Roman" w:hAnsi="Times New Roman" w:eastAsia="Times New Roman" w:cs="Times New Roman"/>
                <w:spacing w:val="42"/>
                <w:w w:val="101"/>
              </w:rPr>
              <w:t xml:space="preserve"> </w:t>
            </w:r>
            <w:r>
              <w:rPr>
                <w:rFonts w:ascii="Times New Roman" w:hAnsi="Times New Roman" w:eastAsia="Times New Roman" w:cs="Times New Roman"/>
                <w:spacing w:val="3"/>
              </w:rPr>
              <w:t xml:space="preserve">15432-1995 </w:t>
            </w:r>
            <w:r>
              <w:rPr>
                <w:spacing w:val="3"/>
              </w:rPr>
              <w:t>及修改单</w:t>
            </w:r>
          </w:p>
        </w:tc>
        <w:tc>
          <w:tcPr>
            <w:tcW w:w="1319" w:type="dxa"/>
            <w:vAlign w:val="top"/>
          </w:tcPr>
          <w:p w14:paraId="7CFBC98F">
            <w:pPr>
              <w:spacing w:line="476" w:lineRule="auto"/>
              <w:rPr>
                <w:rFonts w:ascii="Arial"/>
                <w:sz w:val="21"/>
              </w:rPr>
            </w:pPr>
          </w:p>
          <w:p w14:paraId="4663C207">
            <w:pPr>
              <w:spacing w:before="58" w:line="218" w:lineRule="auto"/>
              <w:ind w:left="149"/>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0.001</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3911" w:type="dxa"/>
            <w:vAlign w:val="top"/>
          </w:tcPr>
          <w:p w14:paraId="1B52C7F1">
            <w:pPr>
              <w:pStyle w:val="6"/>
              <w:spacing w:before="53" w:line="227" w:lineRule="auto"/>
              <w:ind w:left="110"/>
              <w:rPr>
                <w:rFonts w:ascii="Times New Roman" w:hAnsi="Times New Roman" w:eastAsia="Times New Roman" w:cs="Times New Roman"/>
              </w:rPr>
            </w:pPr>
            <w:r>
              <w:rPr>
                <w:rFonts w:ascii="Times New Roman" w:hAnsi="Times New Roman" w:eastAsia="Times New Roman" w:cs="Times New Roman"/>
              </w:rPr>
              <w:t>KB</w:t>
            </w:r>
            <w:r>
              <w:rPr>
                <w:rFonts w:ascii="Times New Roman" w:hAnsi="Times New Roman" w:eastAsia="Times New Roman" w:cs="Times New Roman"/>
                <w:spacing w:val="6"/>
              </w:rPr>
              <w:t>-6120</w:t>
            </w:r>
            <w:r>
              <w:rPr>
                <w:rFonts w:ascii="Times New Roman" w:hAnsi="Times New Roman" w:eastAsia="Times New Roman" w:cs="Times New Roman"/>
                <w:spacing w:val="17"/>
                <w:w w:val="101"/>
              </w:rPr>
              <w:t xml:space="preserve"> </w:t>
            </w:r>
            <w:r>
              <w:rPr>
                <w:spacing w:val="6"/>
              </w:rPr>
              <w:t>型综合大气采样器</w:t>
            </w:r>
            <w:r>
              <w:rPr>
                <w:spacing w:val="-32"/>
              </w:rPr>
              <w:t xml:space="preserve"> </w:t>
            </w:r>
            <w:r>
              <w:rPr>
                <w:rFonts w:ascii="Times New Roman" w:hAnsi="Times New Roman" w:eastAsia="Times New Roman" w:cs="Times New Roman"/>
              </w:rPr>
              <w:t>SB</w:t>
            </w:r>
            <w:r>
              <w:rPr>
                <w:rFonts w:ascii="Times New Roman" w:hAnsi="Times New Roman" w:eastAsia="Times New Roman" w:cs="Times New Roman"/>
                <w:spacing w:val="6"/>
              </w:rPr>
              <w:t>-116</w:t>
            </w:r>
          </w:p>
          <w:p w14:paraId="5DCC1C72">
            <w:pPr>
              <w:pStyle w:val="6"/>
              <w:spacing w:before="66" w:line="288" w:lineRule="auto"/>
              <w:ind w:left="109" w:right="231" w:hanging="1"/>
              <w:rPr>
                <w:rFonts w:ascii="Times New Roman" w:hAnsi="Times New Roman" w:eastAsia="Times New Roman" w:cs="Times New Roman"/>
              </w:rPr>
            </w:pPr>
            <w:r>
              <w:rPr>
                <w:rFonts w:ascii="Times New Roman" w:hAnsi="Times New Roman" w:eastAsia="Times New Roman" w:cs="Times New Roman"/>
              </w:rPr>
              <w:t>YGY</w:t>
            </w:r>
            <w:r>
              <w:rPr>
                <w:rFonts w:ascii="Times New Roman" w:hAnsi="Times New Roman" w:eastAsia="Times New Roman" w:cs="Times New Roman"/>
                <w:spacing w:val="8"/>
              </w:rPr>
              <w:t>-</w:t>
            </w:r>
            <w:r>
              <w:rPr>
                <w:rFonts w:ascii="Times New Roman" w:hAnsi="Times New Roman" w:eastAsia="Times New Roman" w:cs="Times New Roman"/>
              </w:rPr>
              <w:t>FSXY</w:t>
            </w:r>
            <w:r>
              <w:rPr>
                <w:rFonts w:ascii="Times New Roman" w:hAnsi="Times New Roman" w:eastAsia="Times New Roman" w:cs="Times New Roman"/>
                <w:spacing w:val="8"/>
              </w:rPr>
              <w:t xml:space="preserve">2 </w:t>
            </w:r>
            <w:r>
              <w:rPr>
                <w:spacing w:val="8"/>
              </w:rPr>
              <w:t>手持式风速风向仪</w:t>
            </w:r>
            <w:r>
              <w:rPr>
                <w:spacing w:val="-28"/>
              </w:rPr>
              <w:t xml:space="preserve"> </w:t>
            </w:r>
            <w:r>
              <w:rPr>
                <w:rFonts w:ascii="Times New Roman" w:hAnsi="Times New Roman" w:eastAsia="Times New Roman" w:cs="Times New Roman"/>
              </w:rPr>
              <w:t>SB</w:t>
            </w:r>
            <w:r>
              <w:rPr>
                <w:rFonts w:ascii="Times New Roman" w:hAnsi="Times New Roman" w:eastAsia="Times New Roman" w:cs="Times New Roman"/>
                <w:spacing w:val="8"/>
              </w:rPr>
              <w:t>-101</w:t>
            </w:r>
            <w:r>
              <w:rPr>
                <w:rFonts w:ascii="Times New Roman" w:hAnsi="Times New Roman" w:eastAsia="Times New Roman" w:cs="Times New Roman"/>
              </w:rPr>
              <w:t xml:space="preserve"> HZK</w:t>
            </w:r>
            <w:r>
              <w:rPr>
                <w:rFonts w:ascii="Times New Roman" w:hAnsi="Times New Roman" w:eastAsia="Times New Roman" w:cs="Times New Roman"/>
                <w:spacing w:val="5"/>
              </w:rPr>
              <w:t>-</w:t>
            </w:r>
            <w:r>
              <w:rPr>
                <w:rFonts w:ascii="Times New Roman" w:hAnsi="Times New Roman" w:eastAsia="Times New Roman" w:cs="Times New Roman"/>
              </w:rPr>
              <w:t>FA</w:t>
            </w:r>
            <w:r>
              <w:rPr>
                <w:rFonts w:ascii="Times New Roman" w:hAnsi="Times New Roman" w:eastAsia="Times New Roman" w:cs="Times New Roman"/>
                <w:spacing w:val="5"/>
              </w:rPr>
              <w:t>110</w:t>
            </w:r>
            <w:r>
              <w:rPr>
                <w:rFonts w:ascii="Times New Roman" w:hAnsi="Times New Roman" w:eastAsia="Times New Roman" w:cs="Times New Roman"/>
                <w:spacing w:val="34"/>
                <w:w w:val="101"/>
              </w:rPr>
              <w:t xml:space="preserve"> </w:t>
            </w:r>
            <w:r>
              <w:rPr>
                <w:spacing w:val="5"/>
              </w:rPr>
              <w:t xml:space="preserve">电子天平 </w:t>
            </w:r>
            <w:r>
              <w:rPr>
                <w:rFonts w:ascii="Times New Roman" w:hAnsi="Times New Roman" w:eastAsia="Times New Roman" w:cs="Times New Roman"/>
              </w:rPr>
              <w:t>SB</w:t>
            </w:r>
            <w:r>
              <w:rPr>
                <w:rFonts w:ascii="Times New Roman" w:hAnsi="Times New Roman" w:eastAsia="Times New Roman" w:cs="Times New Roman"/>
                <w:spacing w:val="5"/>
              </w:rPr>
              <w:t>-108</w:t>
            </w:r>
          </w:p>
          <w:p w14:paraId="1D86E3C7">
            <w:pPr>
              <w:pStyle w:val="6"/>
              <w:spacing w:line="228" w:lineRule="auto"/>
              <w:ind w:left="110"/>
              <w:rPr>
                <w:rFonts w:ascii="Times New Roman" w:hAnsi="Times New Roman" w:eastAsia="Times New Roman" w:cs="Times New Roman"/>
              </w:rPr>
            </w:pPr>
            <w:r>
              <w:rPr>
                <w:rFonts w:ascii="Times New Roman" w:hAnsi="Times New Roman" w:eastAsia="Times New Roman" w:cs="Times New Roman"/>
              </w:rPr>
              <w:t>HWS</w:t>
            </w:r>
            <w:r>
              <w:rPr>
                <w:rFonts w:ascii="Times New Roman" w:hAnsi="Times New Roman" w:eastAsia="Times New Roman" w:cs="Times New Roman"/>
                <w:spacing w:val="7"/>
              </w:rPr>
              <w:t xml:space="preserve">-080 </w:t>
            </w:r>
            <w:r>
              <w:rPr>
                <w:spacing w:val="7"/>
              </w:rPr>
              <w:t>恒温恒湿箱</w:t>
            </w:r>
            <w:r>
              <w:rPr>
                <w:spacing w:val="-28"/>
              </w:rPr>
              <w:t xml:space="preserve"> </w:t>
            </w:r>
            <w:r>
              <w:rPr>
                <w:rFonts w:ascii="Times New Roman" w:hAnsi="Times New Roman" w:eastAsia="Times New Roman" w:cs="Times New Roman"/>
              </w:rPr>
              <w:t>SB</w:t>
            </w:r>
            <w:r>
              <w:rPr>
                <w:rFonts w:ascii="Times New Roman" w:hAnsi="Times New Roman" w:eastAsia="Times New Roman" w:cs="Times New Roman"/>
                <w:spacing w:val="7"/>
              </w:rPr>
              <w:t>-25</w:t>
            </w:r>
          </w:p>
        </w:tc>
      </w:tr>
    </w:tbl>
    <w:p w14:paraId="66304CAC">
      <w:pPr>
        <w:spacing w:before="116" w:line="220" w:lineRule="auto"/>
        <w:ind w:left="8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）监测结果分析</w:t>
      </w:r>
    </w:p>
    <w:p w14:paraId="5C91D449">
      <w:pPr>
        <w:spacing w:before="183" w:line="219" w:lineRule="auto"/>
        <w:ind w:left="806"/>
        <w:rPr>
          <w:rFonts w:ascii="宋体" w:hAnsi="宋体" w:eastAsia="宋体" w:cs="宋体"/>
          <w:sz w:val="24"/>
          <w:szCs w:val="24"/>
        </w:rPr>
      </w:pPr>
      <w:r>
        <w:rPr>
          <w:rFonts w:ascii="宋体" w:hAnsi="宋体" w:eastAsia="宋体" w:cs="宋体"/>
          <w:spacing w:val="-2"/>
          <w:sz w:val="24"/>
          <w:szCs w:val="24"/>
        </w:rPr>
        <w:t>现状监测结果见表</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6.3-4</w:t>
      </w:r>
      <w:r>
        <w:rPr>
          <w:rFonts w:ascii="宋体" w:hAnsi="宋体" w:eastAsia="宋体" w:cs="宋体"/>
          <w:spacing w:val="-2"/>
          <w:sz w:val="24"/>
          <w:szCs w:val="24"/>
        </w:rPr>
        <w:t>。</w:t>
      </w:r>
    </w:p>
    <w:p w14:paraId="03940C09">
      <w:pPr>
        <w:spacing w:before="103" w:line="212" w:lineRule="auto"/>
        <w:ind w:left="3162"/>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6.3-4    </w:t>
      </w:r>
      <w:r>
        <w:rPr>
          <w:rFonts w:ascii="宋体" w:hAnsi="宋体" w:eastAsia="宋体" w:cs="宋体"/>
          <w:spacing w:val="-2"/>
          <w:sz w:val="24"/>
          <w:szCs w:val="24"/>
        </w:rPr>
        <w:t>现状监测结果</w:t>
      </w:r>
    </w:p>
    <w:tbl>
      <w:tblPr>
        <w:tblStyle w:val="5"/>
        <w:tblW w:w="8936"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7"/>
        <w:gridCol w:w="709"/>
        <w:gridCol w:w="1353"/>
        <w:gridCol w:w="1133"/>
        <w:gridCol w:w="1086"/>
        <w:gridCol w:w="923"/>
        <w:gridCol w:w="896"/>
        <w:gridCol w:w="899"/>
      </w:tblGrid>
      <w:tr w14:paraId="594EB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1937" w:type="dxa"/>
            <w:tcBorders>
              <w:top w:val="single" w:color="000000" w:sz="2" w:space="0"/>
              <w:left w:val="single" w:color="000000" w:sz="2" w:space="0"/>
            </w:tcBorders>
            <w:vAlign w:val="top"/>
          </w:tcPr>
          <w:p w14:paraId="7BBD5C7F">
            <w:pPr>
              <w:pStyle w:val="6"/>
              <w:spacing w:before="211" w:line="229" w:lineRule="auto"/>
              <w:ind w:left="765"/>
            </w:pPr>
            <w:r>
              <w:rPr>
                <w:spacing w:val="4"/>
              </w:rPr>
              <w:t>监测</w:t>
            </w:r>
          </w:p>
          <w:p w14:paraId="482D62E3">
            <w:pPr>
              <w:pStyle w:val="6"/>
              <w:spacing w:before="63" w:line="229" w:lineRule="auto"/>
              <w:ind w:left="775"/>
            </w:pPr>
            <w:r>
              <w:rPr>
                <w:spacing w:val="-1"/>
              </w:rPr>
              <w:t>点位</w:t>
            </w:r>
          </w:p>
        </w:tc>
        <w:tc>
          <w:tcPr>
            <w:tcW w:w="709" w:type="dxa"/>
            <w:tcBorders>
              <w:top w:val="single" w:color="000000" w:sz="2" w:space="0"/>
            </w:tcBorders>
            <w:vAlign w:val="top"/>
          </w:tcPr>
          <w:p w14:paraId="1EE17F5F">
            <w:pPr>
              <w:pStyle w:val="6"/>
              <w:spacing w:before="212" w:line="290" w:lineRule="auto"/>
              <w:ind w:left="247" w:right="141" w:hanging="103"/>
            </w:pPr>
            <w:r>
              <w:rPr>
                <w:spacing w:val="3"/>
              </w:rPr>
              <w:t>污染</w:t>
            </w:r>
            <w:r>
              <w:t xml:space="preserve"> 物</w:t>
            </w:r>
          </w:p>
        </w:tc>
        <w:tc>
          <w:tcPr>
            <w:tcW w:w="1353" w:type="dxa"/>
            <w:tcBorders>
              <w:top w:val="single" w:color="000000" w:sz="2" w:space="0"/>
            </w:tcBorders>
            <w:vAlign w:val="top"/>
          </w:tcPr>
          <w:p w14:paraId="2687CC56">
            <w:pPr>
              <w:spacing w:line="301" w:lineRule="auto"/>
              <w:rPr>
                <w:rFonts w:ascii="Arial"/>
                <w:sz w:val="21"/>
              </w:rPr>
            </w:pPr>
          </w:p>
          <w:p w14:paraId="0A83D65E">
            <w:pPr>
              <w:pStyle w:val="6"/>
              <w:spacing w:before="65" w:line="228" w:lineRule="auto"/>
              <w:ind w:left="253"/>
            </w:pPr>
            <w:r>
              <w:rPr>
                <w:spacing w:val="7"/>
              </w:rPr>
              <w:t>平均时间</w:t>
            </w:r>
          </w:p>
        </w:tc>
        <w:tc>
          <w:tcPr>
            <w:tcW w:w="1133" w:type="dxa"/>
            <w:tcBorders>
              <w:top w:val="single" w:color="000000" w:sz="2" w:space="0"/>
            </w:tcBorders>
            <w:vAlign w:val="top"/>
          </w:tcPr>
          <w:p w14:paraId="140B72CD">
            <w:pPr>
              <w:pStyle w:val="6"/>
              <w:spacing w:before="212" w:line="226" w:lineRule="auto"/>
              <w:ind w:left="117"/>
              <w:rPr>
                <w:rFonts w:ascii="Times New Roman" w:hAnsi="Times New Roman" w:eastAsia="Times New Roman" w:cs="Times New Roman"/>
              </w:rPr>
            </w:pPr>
            <w:r>
              <w:rPr>
                <w:spacing w:val="7"/>
              </w:rPr>
              <w:t>评价标准</w:t>
            </w:r>
            <w:r>
              <w:rPr>
                <w:rFonts w:ascii="Times New Roman" w:hAnsi="Times New Roman" w:eastAsia="Times New Roman" w:cs="Times New Roman"/>
                <w:spacing w:val="7"/>
              </w:rPr>
              <w:t>/</w:t>
            </w:r>
          </w:p>
          <w:p w14:paraId="2FBCD744">
            <w:pPr>
              <w:pStyle w:val="6"/>
              <w:spacing w:before="66" w:line="221" w:lineRule="auto"/>
              <w:ind w:left="119"/>
            </w:pPr>
            <w:r>
              <w:rPr>
                <w:spacing w:val="2"/>
              </w:rPr>
              <w:t>（</w:t>
            </w:r>
            <w:r>
              <w:rPr>
                <w:rFonts w:ascii="Times New Roman" w:hAnsi="Times New Roman" w:eastAsia="Times New Roman" w:cs="Times New Roman"/>
              </w:rPr>
              <w:t>ug</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spacing w:val="2"/>
              </w:rPr>
              <w:t>）</w:t>
            </w:r>
          </w:p>
        </w:tc>
        <w:tc>
          <w:tcPr>
            <w:tcW w:w="1086" w:type="dxa"/>
            <w:tcBorders>
              <w:top w:val="single" w:color="000000" w:sz="2" w:space="0"/>
            </w:tcBorders>
            <w:vAlign w:val="top"/>
          </w:tcPr>
          <w:p w14:paraId="647A95EC">
            <w:pPr>
              <w:pStyle w:val="6"/>
              <w:spacing w:before="56" w:line="228" w:lineRule="auto"/>
              <w:ind w:left="123"/>
            </w:pPr>
            <w:r>
              <w:rPr>
                <w:spacing w:val="7"/>
              </w:rPr>
              <w:t>监测浓度</w:t>
            </w:r>
          </w:p>
          <w:p w14:paraId="52706E02">
            <w:pPr>
              <w:pStyle w:val="6"/>
              <w:spacing w:before="65" w:line="228" w:lineRule="auto"/>
              <w:ind w:left="310"/>
              <w:rPr>
                <w:rFonts w:ascii="Times New Roman" w:hAnsi="Times New Roman" w:eastAsia="Times New Roman" w:cs="Times New Roman"/>
              </w:rPr>
            </w:pPr>
            <w:r>
              <w:rPr>
                <w:spacing w:val="3"/>
              </w:rPr>
              <w:t>范围</w:t>
            </w:r>
            <w:r>
              <w:rPr>
                <w:rFonts w:ascii="Times New Roman" w:hAnsi="Times New Roman" w:eastAsia="Times New Roman" w:cs="Times New Roman"/>
                <w:spacing w:val="3"/>
              </w:rPr>
              <w:t>/</w:t>
            </w:r>
          </w:p>
          <w:p w14:paraId="5A33AF41">
            <w:pPr>
              <w:pStyle w:val="6"/>
              <w:spacing w:before="64" w:line="221" w:lineRule="auto"/>
              <w:ind w:left="118"/>
            </w:pPr>
            <w:r>
              <w:rPr>
                <w:spacing w:val="2"/>
              </w:rPr>
              <w:t>（</w:t>
            </w:r>
            <w:r>
              <w:rPr>
                <w:rFonts w:ascii="Times New Roman" w:hAnsi="Times New Roman" w:eastAsia="Times New Roman" w:cs="Times New Roman"/>
              </w:rPr>
              <w:t>ug</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spacing w:val="2"/>
              </w:rPr>
              <w:t>）</w:t>
            </w:r>
          </w:p>
        </w:tc>
        <w:tc>
          <w:tcPr>
            <w:tcW w:w="923" w:type="dxa"/>
            <w:tcBorders>
              <w:top w:val="single" w:color="000000" w:sz="2" w:space="0"/>
            </w:tcBorders>
            <w:vAlign w:val="top"/>
          </w:tcPr>
          <w:p w14:paraId="55F1A439">
            <w:pPr>
              <w:pStyle w:val="6"/>
              <w:spacing w:before="55" w:line="228" w:lineRule="auto"/>
              <w:ind w:left="150"/>
            </w:pPr>
            <w:r>
              <w:rPr>
                <w:spacing w:val="6"/>
              </w:rPr>
              <w:t>最大浓</w:t>
            </w:r>
          </w:p>
          <w:p w14:paraId="3683A7FC">
            <w:pPr>
              <w:pStyle w:val="6"/>
              <w:spacing w:before="65" w:line="228" w:lineRule="auto"/>
              <w:ind w:left="147"/>
            </w:pPr>
            <w:r>
              <w:rPr>
                <w:spacing w:val="7"/>
              </w:rPr>
              <w:t>度占标</w:t>
            </w:r>
          </w:p>
          <w:p w14:paraId="6C9B7360">
            <w:pPr>
              <w:pStyle w:val="6"/>
              <w:spacing w:before="64" w:line="228" w:lineRule="auto"/>
              <w:ind w:left="243"/>
              <w:rPr>
                <w:rFonts w:ascii="Times New Roman" w:hAnsi="Times New Roman" w:eastAsia="Times New Roman" w:cs="Times New Roman"/>
              </w:rPr>
            </w:pPr>
            <w:r>
              <w:rPr>
                <w:spacing w:val="2"/>
              </w:rPr>
              <w:t>率</w:t>
            </w:r>
            <w:r>
              <w:rPr>
                <w:rFonts w:ascii="Times New Roman" w:hAnsi="Times New Roman" w:eastAsia="Times New Roman" w:cs="Times New Roman"/>
                <w:spacing w:val="2"/>
              </w:rPr>
              <w:t>/%</w:t>
            </w:r>
          </w:p>
        </w:tc>
        <w:tc>
          <w:tcPr>
            <w:tcW w:w="896" w:type="dxa"/>
            <w:tcBorders>
              <w:top w:val="single" w:color="000000" w:sz="2" w:space="0"/>
            </w:tcBorders>
            <w:vAlign w:val="top"/>
          </w:tcPr>
          <w:p w14:paraId="7B0A8C27">
            <w:pPr>
              <w:pStyle w:val="6"/>
              <w:spacing w:before="211" w:line="228" w:lineRule="auto"/>
              <w:ind w:left="134"/>
            </w:pPr>
            <w:r>
              <w:rPr>
                <w:spacing w:val="7"/>
              </w:rPr>
              <w:t>超标率</w:t>
            </w:r>
          </w:p>
          <w:p w14:paraId="50460108">
            <w:pPr>
              <w:spacing w:before="97" w:line="199"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p>
        </w:tc>
        <w:tc>
          <w:tcPr>
            <w:tcW w:w="899" w:type="dxa"/>
            <w:tcBorders>
              <w:top w:val="single" w:color="000000" w:sz="2" w:space="0"/>
              <w:right w:val="single" w:color="000000" w:sz="2" w:space="0"/>
            </w:tcBorders>
            <w:vAlign w:val="top"/>
          </w:tcPr>
          <w:p w14:paraId="2A70053B">
            <w:pPr>
              <w:pStyle w:val="6"/>
              <w:spacing w:before="212" w:line="228" w:lineRule="auto"/>
              <w:ind w:left="238"/>
            </w:pPr>
            <w:r>
              <w:rPr>
                <w:spacing w:val="5"/>
              </w:rPr>
              <w:t>达标</w:t>
            </w:r>
          </w:p>
          <w:p w14:paraId="565629CF">
            <w:pPr>
              <w:pStyle w:val="6"/>
              <w:spacing w:before="64" w:line="228" w:lineRule="auto"/>
              <w:ind w:left="240"/>
            </w:pPr>
            <w:r>
              <w:rPr>
                <w:spacing w:val="4"/>
              </w:rPr>
              <w:t>情况</w:t>
            </w:r>
          </w:p>
        </w:tc>
      </w:tr>
      <w:tr w14:paraId="0750B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trPr>
        <w:tc>
          <w:tcPr>
            <w:tcW w:w="1937" w:type="dxa"/>
            <w:tcBorders>
              <w:left w:val="single" w:color="000000" w:sz="2" w:space="0"/>
              <w:bottom w:val="single" w:color="000000" w:sz="2" w:space="0"/>
            </w:tcBorders>
            <w:vAlign w:val="top"/>
          </w:tcPr>
          <w:p w14:paraId="633CAFF2">
            <w:pPr>
              <w:pStyle w:val="6"/>
              <w:spacing w:before="63" w:line="228" w:lineRule="auto"/>
              <w:ind w:left="150"/>
            </w:pPr>
            <w:r>
              <w:rPr>
                <w:rFonts w:ascii="Times New Roman" w:hAnsi="Times New Roman" w:eastAsia="Times New Roman" w:cs="Times New Roman"/>
                <w:spacing w:val="6"/>
              </w:rPr>
              <w:t>1#</w:t>
            </w:r>
            <w:r>
              <w:rPr>
                <w:spacing w:val="6"/>
              </w:rPr>
              <w:t>厂址东南牧民点</w:t>
            </w:r>
          </w:p>
        </w:tc>
        <w:tc>
          <w:tcPr>
            <w:tcW w:w="709" w:type="dxa"/>
            <w:tcBorders>
              <w:bottom w:val="single" w:color="000000" w:sz="2" w:space="0"/>
            </w:tcBorders>
            <w:vAlign w:val="top"/>
          </w:tcPr>
          <w:p w14:paraId="49755341">
            <w:pPr>
              <w:spacing w:before="99"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353" w:type="dxa"/>
            <w:tcBorders>
              <w:bottom w:val="single" w:color="000000" w:sz="2" w:space="0"/>
            </w:tcBorders>
            <w:vAlign w:val="top"/>
          </w:tcPr>
          <w:p w14:paraId="2AD9A66F">
            <w:pPr>
              <w:pStyle w:val="6"/>
              <w:spacing w:before="63" w:line="228" w:lineRule="auto"/>
              <w:ind w:left="118"/>
            </w:pPr>
            <w:r>
              <w:rPr>
                <w:rFonts w:ascii="Times New Roman" w:hAnsi="Times New Roman" w:eastAsia="Times New Roman" w:cs="Times New Roman"/>
                <w:spacing w:val="4"/>
              </w:rPr>
              <w:t>24</w:t>
            </w:r>
            <w:r>
              <w:rPr>
                <w:rFonts w:ascii="Times New Roman" w:hAnsi="Times New Roman" w:eastAsia="Times New Roman" w:cs="Times New Roman"/>
                <w:spacing w:val="22"/>
              </w:rPr>
              <w:t xml:space="preserve"> </w:t>
            </w:r>
            <w:r>
              <w:rPr>
                <w:spacing w:val="4"/>
              </w:rPr>
              <w:t>小时平均</w:t>
            </w:r>
          </w:p>
        </w:tc>
        <w:tc>
          <w:tcPr>
            <w:tcW w:w="1133" w:type="dxa"/>
            <w:tcBorders>
              <w:bottom w:val="single" w:color="000000" w:sz="2" w:space="0"/>
            </w:tcBorders>
            <w:vAlign w:val="top"/>
          </w:tcPr>
          <w:p w14:paraId="14006036">
            <w:pPr>
              <w:spacing w:before="99"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86" w:type="dxa"/>
            <w:tcBorders>
              <w:bottom w:val="single" w:color="000000" w:sz="2" w:space="0"/>
            </w:tcBorders>
            <w:vAlign w:val="top"/>
          </w:tcPr>
          <w:p w14:paraId="10448031">
            <w:pPr>
              <w:pStyle w:val="6"/>
              <w:spacing w:before="63" w:line="265" w:lineRule="exact"/>
              <w:ind w:left="144"/>
              <w:rPr>
                <w:rFonts w:ascii="Times New Roman" w:hAnsi="Times New Roman" w:eastAsia="Times New Roman" w:cs="Times New Roman"/>
              </w:rPr>
            </w:pPr>
            <w:r>
              <w:rPr>
                <w:rFonts w:ascii="Times New Roman" w:hAnsi="Times New Roman" w:eastAsia="Times New Roman" w:cs="Times New Roman"/>
                <w:spacing w:val="1"/>
                <w:position w:val="1"/>
              </w:rPr>
              <w:t>105</w:t>
            </w:r>
            <w:r>
              <w:rPr>
                <w:spacing w:val="1"/>
                <w:position w:val="1"/>
              </w:rPr>
              <w:t>～</w:t>
            </w:r>
            <w:r>
              <w:rPr>
                <w:rFonts w:ascii="Times New Roman" w:hAnsi="Times New Roman" w:eastAsia="Times New Roman" w:cs="Times New Roman"/>
                <w:spacing w:val="1"/>
                <w:position w:val="1"/>
              </w:rPr>
              <w:t>113</w:t>
            </w:r>
          </w:p>
        </w:tc>
        <w:tc>
          <w:tcPr>
            <w:tcW w:w="923" w:type="dxa"/>
            <w:tcBorders>
              <w:bottom w:val="single" w:color="000000" w:sz="2" w:space="0"/>
            </w:tcBorders>
            <w:vAlign w:val="top"/>
          </w:tcPr>
          <w:p w14:paraId="46AF6E48">
            <w:pPr>
              <w:spacing w:before="9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37.67</w:t>
            </w:r>
          </w:p>
        </w:tc>
        <w:tc>
          <w:tcPr>
            <w:tcW w:w="896" w:type="dxa"/>
            <w:tcBorders>
              <w:bottom w:val="single" w:color="000000" w:sz="2" w:space="0"/>
            </w:tcBorders>
            <w:vAlign w:val="top"/>
          </w:tcPr>
          <w:p w14:paraId="06F72FAC">
            <w:pPr>
              <w:spacing w:before="9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99" w:type="dxa"/>
            <w:tcBorders>
              <w:bottom w:val="single" w:color="000000" w:sz="2" w:space="0"/>
              <w:right w:val="single" w:color="000000" w:sz="2" w:space="0"/>
            </w:tcBorders>
            <w:vAlign w:val="top"/>
          </w:tcPr>
          <w:p w14:paraId="4E1A3BB9">
            <w:pPr>
              <w:pStyle w:val="6"/>
              <w:spacing w:before="63" w:line="228" w:lineRule="auto"/>
              <w:ind w:left="238"/>
            </w:pPr>
            <w:r>
              <w:rPr>
                <w:spacing w:val="5"/>
              </w:rPr>
              <w:t>达标</w:t>
            </w:r>
          </w:p>
        </w:tc>
      </w:tr>
    </w:tbl>
    <w:p w14:paraId="43E7E013">
      <w:pPr>
        <w:spacing w:before="116" w:line="219" w:lineRule="auto"/>
        <w:ind w:left="805"/>
        <w:rPr>
          <w:rFonts w:ascii="宋体" w:hAnsi="宋体" w:eastAsia="宋体" w:cs="宋体"/>
          <w:sz w:val="24"/>
          <w:szCs w:val="24"/>
        </w:rPr>
      </w:pPr>
      <w:r>
        <w:rPr>
          <w:rFonts w:ascii="宋体" w:hAnsi="宋体" w:eastAsia="宋体" w:cs="宋体"/>
          <w:spacing w:val="-1"/>
          <w:sz w:val="24"/>
          <w:szCs w:val="24"/>
        </w:rPr>
        <w:t>监测期间监测点未出现超标现象。</w:t>
      </w:r>
    </w:p>
    <w:p w14:paraId="3F84E03A">
      <w:pPr>
        <w:spacing w:line="219" w:lineRule="auto"/>
        <w:rPr>
          <w:rFonts w:ascii="宋体" w:hAnsi="宋体" w:eastAsia="宋体" w:cs="宋体"/>
          <w:sz w:val="24"/>
          <w:szCs w:val="24"/>
        </w:rPr>
        <w:sectPr>
          <w:headerReference r:id="rId172" w:type="default"/>
          <w:footerReference r:id="rId173" w:type="default"/>
          <w:pgSz w:w="11906" w:h="16839"/>
          <w:pgMar w:top="1208" w:right="1482" w:bottom="1358" w:left="1482" w:header="825" w:footer="1195" w:gutter="0"/>
          <w:cols w:space="720" w:num="1"/>
        </w:sectPr>
      </w:pPr>
    </w:p>
    <w:p w14:paraId="4858E786">
      <w:pPr>
        <w:pStyle w:val="2"/>
        <w:spacing w:line="299" w:lineRule="auto"/>
      </w:pPr>
    </w:p>
    <w:p w14:paraId="25365754">
      <w:pPr>
        <w:pStyle w:val="2"/>
        <w:spacing w:line="300" w:lineRule="auto"/>
      </w:pPr>
    </w:p>
    <w:p w14:paraId="2D9F5127">
      <w:pPr>
        <w:spacing w:line="7769" w:lineRule="exact"/>
        <w:ind w:firstLine="991"/>
      </w:pPr>
      <w:r>
        <w:rPr>
          <w:position w:val="-155"/>
        </w:rPr>
        <w:drawing>
          <wp:inline distT="0" distB="0" distL="0" distR="0">
            <wp:extent cx="7574280" cy="493268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84"/>
                    <a:stretch>
                      <a:fillRect/>
                    </a:stretch>
                  </pic:blipFill>
                  <pic:spPr>
                    <a:xfrm>
                      <a:off x="0" y="0"/>
                      <a:ext cx="7574280" cy="4933188"/>
                    </a:xfrm>
                    <a:prstGeom prst="rect">
                      <a:avLst/>
                    </a:prstGeom>
                  </pic:spPr>
                </pic:pic>
              </a:graphicData>
            </a:graphic>
          </wp:inline>
        </w:drawing>
      </w:r>
    </w:p>
    <w:p w14:paraId="5B654D8B">
      <w:pPr>
        <w:spacing w:before="68" w:line="227" w:lineRule="auto"/>
        <w:ind w:left="5589"/>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36"/>
          <w:sz w:val="20"/>
          <w:szCs w:val="20"/>
        </w:rPr>
        <w:t xml:space="preserve"> </w:t>
      </w:r>
      <w:r>
        <w:rPr>
          <w:rFonts w:ascii="Times New Roman" w:hAnsi="Times New Roman" w:eastAsia="Times New Roman" w:cs="Times New Roman"/>
          <w:spacing w:val="5"/>
          <w:sz w:val="20"/>
          <w:szCs w:val="20"/>
        </w:rPr>
        <w:t xml:space="preserve">6.3-1    </w:t>
      </w:r>
      <w:r>
        <w:rPr>
          <w:rFonts w:ascii="宋体" w:hAnsi="宋体" w:eastAsia="宋体" w:cs="宋体"/>
          <w:spacing w:val="5"/>
          <w:sz w:val="20"/>
          <w:szCs w:val="20"/>
        </w:rPr>
        <w:t>大气及包气带监测布点图</w:t>
      </w:r>
    </w:p>
    <w:p w14:paraId="4B8258F7">
      <w:pPr>
        <w:spacing w:line="227" w:lineRule="auto"/>
        <w:rPr>
          <w:rFonts w:ascii="宋体" w:hAnsi="宋体" w:eastAsia="宋体" w:cs="宋体"/>
          <w:sz w:val="20"/>
          <w:szCs w:val="20"/>
        </w:rPr>
        <w:sectPr>
          <w:headerReference r:id="rId174" w:type="default"/>
          <w:footerReference r:id="rId175" w:type="default"/>
          <w:pgSz w:w="16839" w:h="11906"/>
          <w:pgMar w:top="1208" w:right="1440" w:bottom="1358" w:left="1440" w:header="825" w:footer="1195" w:gutter="0"/>
          <w:cols w:space="720" w:num="1"/>
        </w:sectPr>
      </w:pPr>
    </w:p>
    <w:p w14:paraId="11CE4544">
      <w:pPr>
        <w:spacing w:before="305" w:line="218" w:lineRule="auto"/>
        <w:ind w:left="602"/>
        <w:outlineLvl w:val="2"/>
        <w:rPr>
          <w:rFonts w:ascii="宋体" w:hAnsi="宋体" w:eastAsia="宋体" w:cs="宋体"/>
          <w:sz w:val="24"/>
          <w:szCs w:val="24"/>
        </w:rPr>
      </w:pPr>
      <w:r>
        <w:pict>
          <v:shape id="_x0000_s1037" o:spid="_x0000_s1037" style="position:absolute;left:0pt;margin-left:70.9pt;margin-top:57.15pt;height:0.5pt;width:467.8pt;mso-position-horizontal-relative:page;mso-position-vertical-relative:page;z-index:251694080;mso-width-relative:page;mso-height-relative:page;" fillcolor="#000000" filled="t" stroked="f" coordsize="9355,10" o:allowincell="f" path="m0,0l9355,0,9355,9,0,9,0,0xe">
            <v:path/>
            <v:fill on="t" focussize="0,0"/>
            <v:stroke on="f"/>
            <v:imagedata o:title=""/>
            <o:lock v:ext="edit"/>
          </v:shape>
        </w:pict>
      </w:r>
      <w:bookmarkStart w:id="94" w:name="bookmark85"/>
      <w:bookmarkEnd w:id="94"/>
      <w:r>
        <w:rPr>
          <w:rFonts w:ascii="Times New Roman" w:hAnsi="Times New Roman" w:eastAsia="Times New Roman" w:cs="Times New Roman"/>
          <w:b/>
          <w:bCs/>
          <w:spacing w:val="-2"/>
          <w:sz w:val="24"/>
          <w:szCs w:val="24"/>
        </w:rPr>
        <w:t xml:space="preserve">6.3.2 </w:t>
      </w:r>
      <w:r>
        <w:rPr>
          <w:rFonts w:ascii="宋体" w:hAnsi="宋体" w:eastAsia="宋体" w:cs="宋体"/>
          <w:b/>
          <w:bCs/>
          <w:spacing w:val="-2"/>
          <w:sz w:val="24"/>
          <w:szCs w:val="24"/>
        </w:rPr>
        <w:t>地下水环境现状调查与评价</w:t>
      </w:r>
    </w:p>
    <w:p w14:paraId="5003DFC7">
      <w:pPr>
        <w:spacing w:before="181" w:line="219"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6.3.2.1 </w:t>
      </w:r>
      <w:r>
        <w:rPr>
          <w:rFonts w:ascii="宋体" w:hAnsi="宋体" w:eastAsia="宋体" w:cs="宋体"/>
          <w:spacing w:val="-1"/>
          <w:sz w:val="24"/>
          <w:szCs w:val="24"/>
        </w:rPr>
        <w:t>开采井分布现状</w:t>
      </w:r>
    </w:p>
    <w:p w14:paraId="47E9B870">
      <w:pPr>
        <w:spacing w:before="183" w:line="352" w:lineRule="auto"/>
        <w:ind w:left="122" w:right="112" w:firstLine="478"/>
        <w:jc w:val="both"/>
        <w:rPr>
          <w:rFonts w:ascii="宋体" w:hAnsi="宋体" w:eastAsia="宋体" w:cs="宋体"/>
          <w:sz w:val="24"/>
          <w:szCs w:val="24"/>
        </w:rPr>
      </w:pPr>
      <w:r>
        <w:rPr>
          <w:rFonts w:ascii="宋体" w:hAnsi="宋体" w:eastAsia="宋体" w:cs="宋体"/>
          <w:sz w:val="24"/>
          <w:szCs w:val="24"/>
        </w:rPr>
        <w:t>评价区内无集中供水水源地，以牧民开采井为主，</w:t>
      </w:r>
      <w:r>
        <w:rPr>
          <w:rFonts w:ascii="宋体" w:hAnsi="宋体" w:eastAsia="宋体" w:cs="宋体"/>
          <w:spacing w:val="-1"/>
          <w:sz w:val="24"/>
          <w:szCs w:val="24"/>
        </w:rPr>
        <w:t>开采水量较小，开采方式以生活用</w:t>
      </w:r>
      <w:r>
        <w:rPr>
          <w:rFonts w:ascii="宋体" w:hAnsi="宋体" w:eastAsia="宋体" w:cs="宋体"/>
          <w:sz w:val="24"/>
          <w:szCs w:val="24"/>
        </w:rPr>
        <w:t xml:space="preserve"> 水为主，其次为地下水监测井和生产用水井，开</w:t>
      </w:r>
      <w:r>
        <w:rPr>
          <w:rFonts w:ascii="宋体" w:hAnsi="宋体" w:eastAsia="宋体" w:cs="宋体"/>
          <w:spacing w:val="-1"/>
          <w:sz w:val="24"/>
          <w:szCs w:val="24"/>
        </w:rPr>
        <w:t>采层位主要为第四系松散岩类孔隙水，其</w:t>
      </w:r>
      <w:r>
        <w:rPr>
          <w:rFonts w:ascii="宋体" w:hAnsi="宋体" w:eastAsia="宋体" w:cs="宋体"/>
          <w:sz w:val="24"/>
          <w:szCs w:val="24"/>
        </w:rPr>
        <w:t xml:space="preserve"> </w:t>
      </w:r>
      <w:r>
        <w:rPr>
          <w:rFonts w:ascii="宋体" w:hAnsi="宋体" w:eastAsia="宋体" w:cs="宋体"/>
          <w:spacing w:val="1"/>
          <w:sz w:val="24"/>
          <w:szCs w:val="24"/>
        </w:rPr>
        <w:t>次为碎屑岩类孔隙裂隙水和基岩裂隙水。根据调查，评价区共有机民井</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13</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眼，井深一般</w:t>
      </w:r>
      <w:r>
        <w:rPr>
          <w:rFonts w:ascii="宋体" w:hAnsi="宋体" w:eastAsia="宋体" w:cs="宋体"/>
          <w:sz w:val="24"/>
          <w:szCs w:val="24"/>
        </w:rPr>
        <w:t xml:space="preserve"> </w:t>
      </w:r>
      <w:r>
        <w:rPr>
          <w:rFonts w:ascii="Times New Roman" w:hAnsi="Times New Roman" w:eastAsia="Times New Roman" w:cs="Times New Roman"/>
          <w:spacing w:val="-2"/>
          <w:sz w:val="24"/>
          <w:szCs w:val="24"/>
        </w:rPr>
        <w:t>9.71-68m</w:t>
      </w:r>
      <w:r>
        <w:rPr>
          <w:rFonts w:ascii="宋体" w:hAnsi="宋体" w:eastAsia="宋体" w:cs="宋体"/>
          <w:spacing w:val="-2"/>
          <w:sz w:val="24"/>
          <w:szCs w:val="24"/>
        </w:rPr>
        <w:t>。</w:t>
      </w:r>
    </w:p>
    <w:p w14:paraId="197D3391">
      <w:pPr>
        <w:spacing w:before="36" w:line="218" w:lineRule="auto"/>
        <w:ind w:left="283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6.3-5    </w:t>
      </w:r>
      <w:r>
        <w:rPr>
          <w:rFonts w:ascii="宋体" w:hAnsi="宋体" w:eastAsia="宋体" w:cs="宋体"/>
          <w:spacing w:val="-1"/>
          <w:sz w:val="24"/>
          <w:szCs w:val="24"/>
        </w:rPr>
        <w:t>评价区地下水开采井调查情况表</w:t>
      </w:r>
    </w:p>
    <w:p w14:paraId="2D331E9F">
      <w:pPr>
        <w:spacing w:line="149" w:lineRule="exact"/>
      </w:pPr>
    </w:p>
    <w:tbl>
      <w:tblPr>
        <w:tblStyle w:val="5"/>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0"/>
        <w:gridCol w:w="1236"/>
        <w:gridCol w:w="1559"/>
        <w:gridCol w:w="1132"/>
        <w:gridCol w:w="955"/>
        <w:gridCol w:w="2773"/>
        <w:gridCol w:w="1200"/>
      </w:tblGrid>
      <w:tr w14:paraId="2AF18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20" w:type="dxa"/>
            <w:vAlign w:val="top"/>
          </w:tcPr>
          <w:p w14:paraId="07C5307A">
            <w:pPr>
              <w:pStyle w:val="6"/>
              <w:spacing w:before="170" w:line="228" w:lineRule="auto"/>
              <w:ind w:left="157"/>
            </w:pPr>
            <w:r>
              <w:rPr>
                <w:spacing w:val="3"/>
              </w:rPr>
              <w:t>分区</w:t>
            </w:r>
          </w:p>
        </w:tc>
        <w:tc>
          <w:tcPr>
            <w:tcW w:w="1236" w:type="dxa"/>
            <w:vAlign w:val="top"/>
          </w:tcPr>
          <w:p w14:paraId="04892DBD">
            <w:pPr>
              <w:pStyle w:val="6"/>
              <w:spacing w:before="170" w:line="228" w:lineRule="auto"/>
              <w:ind w:left="413"/>
            </w:pPr>
            <w:r>
              <w:rPr>
                <w:spacing w:val="3"/>
              </w:rPr>
              <w:t>编号</w:t>
            </w:r>
          </w:p>
        </w:tc>
        <w:tc>
          <w:tcPr>
            <w:tcW w:w="1559" w:type="dxa"/>
            <w:vAlign w:val="top"/>
          </w:tcPr>
          <w:p w14:paraId="2B097E26">
            <w:pPr>
              <w:pStyle w:val="6"/>
              <w:spacing w:before="170" w:line="228" w:lineRule="auto"/>
              <w:ind w:left="575"/>
            </w:pPr>
            <w:r>
              <w:rPr>
                <w:spacing w:val="4"/>
              </w:rPr>
              <w:t>坐标</w:t>
            </w:r>
          </w:p>
        </w:tc>
        <w:tc>
          <w:tcPr>
            <w:tcW w:w="1132" w:type="dxa"/>
            <w:vAlign w:val="top"/>
          </w:tcPr>
          <w:p w14:paraId="06D30BEB">
            <w:pPr>
              <w:pStyle w:val="6"/>
              <w:spacing w:before="36" w:line="228" w:lineRule="auto"/>
              <w:ind w:left="155"/>
            </w:pPr>
            <w:r>
              <w:rPr>
                <w:spacing w:val="6"/>
              </w:rPr>
              <w:t>与项目区</w:t>
            </w:r>
          </w:p>
          <w:p w14:paraId="5CCF9924">
            <w:pPr>
              <w:pStyle w:val="6"/>
              <w:spacing w:before="23" w:line="219" w:lineRule="auto"/>
              <w:ind w:left="365"/>
            </w:pPr>
            <w:r>
              <w:rPr>
                <w:spacing w:val="3"/>
              </w:rPr>
              <w:t>关系</w:t>
            </w:r>
          </w:p>
        </w:tc>
        <w:tc>
          <w:tcPr>
            <w:tcW w:w="955" w:type="dxa"/>
            <w:vAlign w:val="top"/>
          </w:tcPr>
          <w:p w14:paraId="07025537">
            <w:pPr>
              <w:pStyle w:val="6"/>
              <w:spacing w:before="36" w:line="228" w:lineRule="auto"/>
              <w:ind w:left="274"/>
            </w:pPr>
            <w:r>
              <w:rPr>
                <w:spacing w:val="4"/>
              </w:rPr>
              <w:t>井深</w:t>
            </w:r>
          </w:p>
          <w:p w14:paraId="469E3BD3">
            <w:pPr>
              <w:pStyle w:val="6"/>
              <w:spacing w:before="23" w:line="219" w:lineRule="auto"/>
              <w:ind w:left="202"/>
            </w:pPr>
            <w:r>
              <w:rPr>
                <w:spacing w:val="-1"/>
              </w:rPr>
              <w:t>（</w:t>
            </w:r>
            <w:r>
              <w:rPr>
                <w:rFonts w:ascii="Times New Roman" w:hAnsi="Times New Roman" w:eastAsia="Times New Roman" w:cs="Times New Roman"/>
                <w:spacing w:val="-1"/>
              </w:rPr>
              <w:t>m</w:t>
            </w:r>
            <w:r>
              <w:rPr>
                <w:spacing w:val="-1"/>
              </w:rPr>
              <w:t>）</w:t>
            </w:r>
          </w:p>
        </w:tc>
        <w:tc>
          <w:tcPr>
            <w:tcW w:w="2773" w:type="dxa"/>
            <w:vAlign w:val="top"/>
          </w:tcPr>
          <w:p w14:paraId="2BA1BABE">
            <w:pPr>
              <w:pStyle w:val="6"/>
              <w:spacing w:before="170" w:line="227" w:lineRule="auto"/>
              <w:ind w:left="973"/>
            </w:pPr>
            <w:r>
              <w:rPr>
                <w:spacing w:val="7"/>
              </w:rPr>
              <w:t>开采层位</w:t>
            </w:r>
          </w:p>
        </w:tc>
        <w:tc>
          <w:tcPr>
            <w:tcW w:w="1200" w:type="dxa"/>
            <w:vAlign w:val="top"/>
          </w:tcPr>
          <w:p w14:paraId="14138BCE">
            <w:pPr>
              <w:pStyle w:val="6"/>
              <w:spacing w:before="170" w:line="229" w:lineRule="auto"/>
              <w:ind w:left="397"/>
            </w:pPr>
            <w:r>
              <w:rPr>
                <w:spacing w:val="3"/>
              </w:rPr>
              <w:t>用途</w:t>
            </w:r>
          </w:p>
        </w:tc>
      </w:tr>
      <w:tr w14:paraId="73997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restart"/>
            <w:tcBorders>
              <w:bottom w:val="nil"/>
            </w:tcBorders>
            <w:vAlign w:val="top"/>
          </w:tcPr>
          <w:p w14:paraId="340A2C77">
            <w:pPr>
              <w:spacing w:line="252" w:lineRule="auto"/>
              <w:rPr>
                <w:rFonts w:ascii="Arial"/>
                <w:sz w:val="21"/>
              </w:rPr>
            </w:pPr>
          </w:p>
          <w:p w14:paraId="502E6643">
            <w:pPr>
              <w:spacing w:line="252" w:lineRule="auto"/>
              <w:rPr>
                <w:rFonts w:ascii="Arial"/>
                <w:sz w:val="21"/>
              </w:rPr>
            </w:pPr>
          </w:p>
          <w:p w14:paraId="205903F0">
            <w:pPr>
              <w:spacing w:line="252" w:lineRule="auto"/>
              <w:rPr>
                <w:rFonts w:ascii="Arial"/>
                <w:sz w:val="21"/>
              </w:rPr>
            </w:pPr>
          </w:p>
          <w:p w14:paraId="430F24C2">
            <w:pPr>
              <w:spacing w:line="252" w:lineRule="auto"/>
              <w:rPr>
                <w:rFonts w:ascii="Arial"/>
                <w:sz w:val="21"/>
              </w:rPr>
            </w:pPr>
          </w:p>
          <w:p w14:paraId="137C27DF">
            <w:pPr>
              <w:spacing w:line="252" w:lineRule="auto"/>
              <w:rPr>
                <w:rFonts w:ascii="Arial"/>
                <w:sz w:val="21"/>
              </w:rPr>
            </w:pPr>
          </w:p>
          <w:p w14:paraId="04F2E852">
            <w:pPr>
              <w:spacing w:line="253" w:lineRule="auto"/>
              <w:rPr>
                <w:rFonts w:ascii="Arial"/>
                <w:sz w:val="21"/>
              </w:rPr>
            </w:pPr>
          </w:p>
          <w:p w14:paraId="75E074A4">
            <w:pPr>
              <w:spacing w:line="253" w:lineRule="auto"/>
              <w:rPr>
                <w:rFonts w:ascii="Arial"/>
                <w:sz w:val="21"/>
              </w:rPr>
            </w:pPr>
          </w:p>
          <w:p w14:paraId="40272AD4">
            <w:pPr>
              <w:spacing w:line="253" w:lineRule="auto"/>
              <w:rPr>
                <w:rFonts w:ascii="Arial"/>
                <w:sz w:val="21"/>
              </w:rPr>
            </w:pPr>
          </w:p>
          <w:p w14:paraId="148122D6">
            <w:pPr>
              <w:spacing w:line="253" w:lineRule="auto"/>
              <w:rPr>
                <w:rFonts w:ascii="Arial"/>
                <w:sz w:val="21"/>
              </w:rPr>
            </w:pPr>
          </w:p>
          <w:p w14:paraId="0856AF54">
            <w:pPr>
              <w:spacing w:line="253" w:lineRule="auto"/>
              <w:rPr>
                <w:rFonts w:ascii="Arial"/>
                <w:sz w:val="21"/>
              </w:rPr>
            </w:pPr>
          </w:p>
          <w:p w14:paraId="31DD7CEF">
            <w:pPr>
              <w:spacing w:line="253" w:lineRule="auto"/>
              <w:rPr>
                <w:rFonts w:ascii="Arial"/>
                <w:sz w:val="21"/>
              </w:rPr>
            </w:pPr>
          </w:p>
          <w:p w14:paraId="67065433">
            <w:pPr>
              <w:spacing w:line="253" w:lineRule="auto"/>
              <w:rPr>
                <w:rFonts w:ascii="Arial"/>
                <w:sz w:val="21"/>
              </w:rPr>
            </w:pPr>
          </w:p>
          <w:p w14:paraId="0ACDF6F8">
            <w:pPr>
              <w:spacing w:line="253" w:lineRule="auto"/>
              <w:rPr>
                <w:rFonts w:ascii="Arial"/>
                <w:sz w:val="21"/>
              </w:rPr>
            </w:pPr>
          </w:p>
          <w:p w14:paraId="532A9AE4">
            <w:pPr>
              <w:spacing w:line="253" w:lineRule="auto"/>
              <w:rPr>
                <w:rFonts w:ascii="Arial"/>
                <w:sz w:val="21"/>
              </w:rPr>
            </w:pPr>
          </w:p>
          <w:p w14:paraId="70587A23">
            <w:pPr>
              <w:spacing w:line="253" w:lineRule="auto"/>
              <w:rPr>
                <w:rFonts w:ascii="Arial"/>
                <w:sz w:val="21"/>
              </w:rPr>
            </w:pPr>
          </w:p>
          <w:p w14:paraId="16F535CD">
            <w:pPr>
              <w:spacing w:line="253" w:lineRule="auto"/>
              <w:rPr>
                <w:rFonts w:ascii="Arial"/>
                <w:sz w:val="21"/>
              </w:rPr>
            </w:pPr>
          </w:p>
          <w:p w14:paraId="1ED6D227">
            <w:pPr>
              <w:pStyle w:val="6"/>
              <w:spacing w:before="65" w:line="254" w:lineRule="auto"/>
              <w:ind w:left="274" w:right="150" w:hanging="121"/>
            </w:pPr>
            <w:r>
              <w:rPr>
                <w:spacing w:val="5"/>
              </w:rPr>
              <w:t>评价</w:t>
            </w:r>
            <w:r>
              <w:t xml:space="preserve"> 区</w:t>
            </w:r>
          </w:p>
        </w:tc>
        <w:tc>
          <w:tcPr>
            <w:tcW w:w="1236" w:type="dxa"/>
            <w:vAlign w:val="top"/>
          </w:tcPr>
          <w:p w14:paraId="6345BE59">
            <w:pPr>
              <w:pStyle w:val="6"/>
              <w:spacing w:before="43" w:line="228" w:lineRule="auto"/>
              <w:ind w:left="116"/>
            </w:pPr>
            <w:r>
              <w:rPr>
                <w:rFonts w:ascii="Times New Roman" w:hAnsi="Times New Roman" w:eastAsia="Times New Roman" w:cs="Times New Roman"/>
                <w:spacing w:val="-1"/>
              </w:rPr>
              <w:t>S1</w:t>
            </w:r>
            <w:r>
              <w:rPr>
                <w:spacing w:val="-1"/>
              </w:rPr>
              <w:t>（牧民点</w:t>
            </w:r>
          </w:p>
          <w:p w14:paraId="0481D8FD">
            <w:pPr>
              <w:pStyle w:val="6"/>
              <w:spacing w:before="24" w:line="231" w:lineRule="auto"/>
              <w:ind w:left="460"/>
            </w:pPr>
            <w:r>
              <w:rPr>
                <w:rFonts w:ascii="Times New Roman" w:hAnsi="Times New Roman" w:eastAsia="Times New Roman" w:cs="Times New Roman"/>
              </w:rPr>
              <w:t>2</w:t>
            </w:r>
            <w:r>
              <w:t>）</w:t>
            </w:r>
          </w:p>
        </w:tc>
        <w:tc>
          <w:tcPr>
            <w:tcW w:w="1559" w:type="dxa"/>
            <w:vAlign w:val="top"/>
          </w:tcPr>
          <w:p w14:paraId="36203DC3">
            <w:pPr>
              <w:spacing w:before="9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118°55′4.49″</w:t>
            </w:r>
          </w:p>
          <w:p w14:paraId="396540F2">
            <w:pPr>
              <w:spacing w:before="5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1132" w:type="dxa"/>
            <w:vAlign w:val="top"/>
          </w:tcPr>
          <w:p w14:paraId="3757D200">
            <w:pPr>
              <w:pStyle w:val="6"/>
              <w:spacing w:before="47" w:line="224" w:lineRule="auto"/>
              <w:ind w:left="358"/>
              <w:rPr>
                <w:sz w:val="22"/>
                <w:szCs w:val="22"/>
              </w:rPr>
            </w:pPr>
            <w:r>
              <w:rPr>
                <w:spacing w:val="-7"/>
                <w:sz w:val="22"/>
                <w:szCs w:val="22"/>
              </w:rPr>
              <w:t>西北</w:t>
            </w:r>
          </w:p>
          <w:p w14:paraId="4ED33399">
            <w:pPr>
              <w:spacing w:before="37" w:line="189" w:lineRule="auto"/>
              <w:ind w:left="2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3460m</w:t>
            </w:r>
          </w:p>
        </w:tc>
        <w:tc>
          <w:tcPr>
            <w:tcW w:w="955" w:type="dxa"/>
            <w:vAlign w:val="top"/>
          </w:tcPr>
          <w:p w14:paraId="0C9D8899">
            <w:pPr>
              <w:spacing w:before="210"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2773" w:type="dxa"/>
            <w:vAlign w:val="top"/>
          </w:tcPr>
          <w:p w14:paraId="3A58A1F3">
            <w:pPr>
              <w:pStyle w:val="6"/>
              <w:spacing w:before="33" w:line="223" w:lineRule="auto"/>
              <w:ind w:left="517" w:right="101" w:hanging="401"/>
              <w:rPr>
                <w:sz w:val="22"/>
                <w:szCs w:val="22"/>
              </w:rPr>
            </w:pPr>
            <w:r>
              <w:rPr>
                <w:spacing w:val="-8"/>
                <w:sz w:val="22"/>
                <w:szCs w:val="22"/>
              </w:rPr>
              <w:t>第四系松散岩类孔隙水、碎</w:t>
            </w:r>
            <w:r>
              <w:rPr>
                <w:spacing w:val="4"/>
                <w:sz w:val="22"/>
                <w:szCs w:val="22"/>
              </w:rPr>
              <w:t xml:space="preserve"> </w:t>
            </w:r>
            <w:r>
              <w:rPr>
                <w:spacing w:val="-2"/>
                <w:sz w:val="22"/>
                <w:szCs w:val="22"/>
              </w:rPr>
              <w:t>屑岩类孔隙裂隙水</w:t>
            </w:r>
          </w:p>
        </w:tc>
        <w:tc>
          <w:tcPr>
            <w:tcW w:w="1200" w:type="dxa"/>
            <w:vAlign w:val="top"/>
          </w:tcPr>
          <w:p w14:paraId="7ECA50B4">
            <w:pPr>
              <w:pStyle w:val="6"/>
              <w:spacing w:before="174" w:line="220" w:lineRule="auto"/>
              <w:ind w:left="167"/>
              <w:rPr>
                <w:sz w:val="22"/>
                <w:szCs w:val="22"/>
              </w:rPr>
            </w:pPr>
            <w:r>
              <w:rPr>
                <w:spacing w:val="-3"/>
                <w:sz w:val="22"/>
                <w:szCs w:val="22"/>
              </w:rPr>
              <w:t>生活用水</w:t>
            </w:r>
          </w:p>
        </w:tc>
      </w:tr>
      <w:tr w14:paraId="1DF89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37000103">
            <w:pPr>
              <w:rPr>
                <w:rFonts w:ascii="Arial"/>
                <w:sz w:val="21"/>
              </w:rPr>
            </w:pPr>
          </w:p>
        </w:tc>
        <w:tc>
          <w:tcPr>
            <w:tcW w:w="1236" w:type="dxa"/>
            <w:vAlign w:val="top"/>
          </w:tcPr>
          <w:p w14:paraId="109C03E5">
            <w:pPr>
              <w:pStyle w:val="6"/>
              <w:spacing w:before="43" w:line="228" w:lineRule="auto"/>
              <w:ind w:left="116"/>
            </w:pPr>
            <w:r>
              <w:rPr>
                <w:rFonts w:ascii="Times New Roman" w:hAnsi="Times New Roman" w:eastAsia="Times New Roman" w:cs="Times New Roman"/>
                <w:spacing w:val="-1"/>
              </w:rPr>
              <w:t>S2</w:t>
            </w:r>
            <w:r>
              <w:rPr>
                <w:spacing w:val="-1"/>
              </w:rPr>
              <w:t>（牧民点</w:t>
            </w:r>
          </w:p>
          <w:p w14:paraId="66A7C33A">
            <w:pPr>
              <w:pStyle w:val="6"/>
              <w:spacing w:before="24" w:line="230" w:lineRule="auto"/>
              <w:ind w:left="480"/>
            </w:pPr>
            <w:r>
              <w:rPr>
                <w:rFonts w:ascii="Times New Roman" w:hAnsi="Times New Roman" w:eastAsia="Times New Roman" w:cs="Times New Roman"/>
                <w:spacing w:val="-10"/>
              </w:rPr>
              <w:t>1</w:t>
            </w:r>
            <w:r>
              <w:rPr>
                <w:spacing w:val="-10"/>
              </w:rPr>
              <w:t>）</w:t>
            </w:r>
          </w:p>
        </w:tc>
        <w:tc>
          <w:tcPr>
            <w:tcW w:w="1559" w:type="dxa"/>
            <w:vAlign w:val="top"/>
          </w:tcPr>
          <w:p w14:paraId="118B7D31">
            <w:pPr>
              <w:spacing w:before="9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1.95″</w:t>
            </w:r>
          </w:p>
          <w:p w14:paraId="20072C2A">
            <w:pPr>
              <w:spacing w:before="53"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11.05″</w:t>
            </w:r>
          </w:p>
        </w:tc>
        <w:tc>
          <w:tcPr>
            <w:tcW w:w="1132" w:type="dxa"/>
            <w:vAlign w:val="top"/>
          </w:tcPr>
          <w:p w14:paraId="702F117F">
            <w:pPr>
              <w:pStyle w:val="6"/>
              <w:spacing w:before="48" w:line="224" w:lineRule="auto"/>
              <w:ind w:left="358"/>
              <w:rPr>
                <w:sz w:val="22"/>
                <w:szCs w:val="22"/>
              </w:rPr>
            </w:pPr>
            <w:r>
              <w:rPr>
                <w:spacing w:val="-7"/>
                <w:sz w:val="22"/>
                <w:szCs w:val="22"/>
              </w:rPr>
              <w:t>西北</w:t>
            </w:r>
          </w:p>
          <w:p w14:paraId="19C08AE4">
            <w:pPr>
              <w:spacing w:before="40"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3340 m</w:t>
            </w:r>
          </w:p>
        </w:tc>
        <w:tc>
          <w:tcPr>
            <w:tcW w:w="955" w:type="dxa"/>
            <w:vAlign w:val="top"/>
          </w:tcPr>
          <w:p w14:paraId="18276ADF">
            <w:pPr>
              <w:spacing w:before="211"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2773" w:type="dxa"/>
            <w:vAlign w:val="top"/>
          </w:tcPr>
          <w:p w14:paraId="6365260C">
            <w:pPr>
              <w:pStyle w:val="6"/>
              <w:spacing w:before="33" w:line="223" w:lineRule="auto"/>
              <w:ind w:left="517" w:right="101" w:hanging="401"/>
              <w:rPr>
                <w:sz w:val="22"/>
                <w:szCs w:val="22"/>
              </w:rPr>
            </w:pPr>
            <w:r>
              <w:rPr>
                <w:spacing w:val="-8"/>
                <w:sz w:val="22"/>
                <w:szCs w:val="22"/>
              </w:rPr>
              <w:t>第四系松散岩类孔隙水、碎</w:t>
            </w:r>
            <w:r>
              <w:rPr>
                <w:spacing w:val="4"/>
                <w:sz w:val="22"/>
                <w:szCs w:val="22"/>
              </w:rPr>
              <w:t xml:space="preserve"> </w:t>
            </w:r>
            <w:r>
              <w:rPr>
                <w:spacing w:val="-2"/>
                <w:sz w:val="22"/>
                <w:szCs w:val="22"/>
              </w:rPr>
              <w:t>屑岩类孔隙裂隙水</w:t>
            </w:r>
          </w:p>
        </w:tc>
        <w:tc>
          <w:tcPr>
            <w:tcW w:w="1200" w:type="dxa"/>
            <w:vAlign w:val="top"/>
          </w:tcPr>
          <w:p w14:paraId="027C6591">
            <w:pPr>
              <w:pStyle w:val="6"/>
              <w:spacing w:before="175" w:line="220" w:lineRule="auto"/>
              <w:ind w:left="167"/>
              <w:rPr>
                <w:sz w:val="22"/>
                <w:szCs w:val="22"/>
              </w:rPr>
            </w:pPr>
            <w:r>
              <w:rPr>
                <w:spacing w:val="-3"/>
                <w:sz w:val="22"/>
                <w:szCs w:val="22"/>
              </w:rPr>
              <w:t>生活用水</w:t>
            </w:r>
          </w:p>
        </w:tc>
      </w:tr>
      <w:tr w14:paraId="57ED6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20" w:type="dxa"/>
            <w:vMerge w:val="continue"/>
            <w:tcBorders>
              <w:top w:val="nil"/>
              <w:bottom w:val="nil"/>
            </w:tcBorders>
            <w:vAlign w:val="top"/>
          </w:tcPr>
          <w:p w14:paraId="6A3A257B">
            <w:pPr>
              <w:rPr>
                <w:rFonts w:ascii="Arial"/>
                <w:sz w:val="21"/>
              </w:rPr>
            </w:pPr>
          </w:p>
        </w:tc>
        <w:tc>
          <w:tcPr>
            <w:tcW w:w="1236" w:type="dxa"/>
            <w:vAlign w:val="top"/>
          </w:tcPr>
          <w:p w14:paraId="6ECE30B8">
            <w:pPr>
              <w:pStyle w:val="6"/>
              <w:spacing w:before="32" w:line="227" w:lineRule="auto"/>
              <w:ind w:left="116"/>
            </w:pPr>
            <w:r>
              <w:rPr>
                <w:rFonts w:ascii="Times New Roman" w:hAnsi="Times New Roman" w:eastAsia="Times New Roman" w:cs="Times New Roman"/>
                <w:spacing w:val="-1"/>
              </w:rPr>
              <w:t>S3</w:t>
            </w:r>
            <w:r>
              <w:rPr>
                <w:spacing w:val="-1"/>
              </w:rPr>
              <w:t>（伊如勒</w:t>
            </w:r>
          </w:p>
          <w:p w14:paraId="0C8C8626">
            <w:pPr>
              <w:pStyle w:val="6"/>
              <w:spacing w:before="24" w:line="218" w:lineRule="auto"/>
              <w:ind w:left="326"/>
            </w:pPr>
            <w:r>
              <w:rPr>
                <w:spacing w:val="-4"/>
              </w:rPr>
              <w:t>图家）</w:t>
            </w:r>
          </w:p>
        </w:tc>
        <w:tc>
          <w:tcPr>
            <w:tcW w:w="1559" w:type="dxa"/>
            <w:vAlign w:val="top"/>
          </w:tcPr>
          <w:p w14:paraId="7054F09A">
            <w:pPr>
              <w:spacing w:before="8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118°54′53.53″</w:t>
            </w:r>
          </w:p>
          <w:p w14:paraId="65D4E206">
            <w:pPr>
              <w:spacing w:before="55"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16′51.02″</w:t>
            </w:r>
          </w:p>
        </w:tc>
        <w:tc>
          <w:tcPr>
            <w:tcW w:w="1132" w:type="dxa"/>
            <w:vAlign w:val="top"/>
          </w:tcPr>
          <w:p w14:paraId="1DD3D1B9">
            <w:pPr>
              <w:pStyle w:val="6"/>
              <w:spacing w:before="36" w:line="224" w:lineRule="auto"/>
              <w:ind w:left="358"/>
              <w:rPr>
                <w:sz w:val="22"/>
                <w:szCs w:val="22"/>
              </w:rPr>
            </w:pPr>
            <w:r>
              <w:rPr>
                <w:spacing w:val="-7"/>
                <w:sz w:val="22"/>
                <w:szCs w:val="22"/>
              </w:rPr>
              <w:t>西北</w:t>
            </w:r>
          </w:p>
          <w:p w14:paraId="59008DE8">
            <w:pPr>
              <w:spacing w:before="38" w:line="188"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3410 m</w:t>
            </w:r>
          </w:p>
        </w:tc>
        <w:tc>
          <w:tcPr>
            <w:tcW w:w="955" w:type="dxa"/>
            <w:vAlign w:val="top"/>
          </w:tcPr>
          <w:p w14:paraId="27964F15">
            <w:pPr>
              <w:spacing w:before="200" w:line="189" w:lineRule="auto"/>
              <w:ind w:left="29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9.17</w:t>
            </w:r>
          </w:p>
        </w:tc>
        <w:tc>
          <w:tcPr>
            <w:tcW w:w="2773" w:type="dxa"/>
            <w:vAlign w:val="top"/>
          </w:tcPr>
          <w:p w14:paraId="56F9C82F">
            <w:pPr>
              <w:pStyle w:val="6"/>
              <w:spacing w:before="162" w:line="220" w:lineRule="auto"/>
              <w:ind w:left="294"/>
              <w:rPr>
                <w:sz w:val="22"/>
                <w:szCs w:val="22"/>
              </w:rPr>
            </w:pPr>
            <w:r>
              <w:rPr>
                <w:spacing w:val="-1"/>
                <w:sz w:val="22"/>
                <w:szCs w:val="22"/>
              </w:rPr>
              <w:t>第四系松散岩类孔隙水</w:t>
            </w:r>
          </w:p>
        </w:tc>
        <w:tc>
          <w:tcPr>
            <w:tcW w:w="1200" w:type="dxa"/>
            <w:vAlign w:val="top"/>
          </w:tcPr>
          <w:p w14:paraId="159C886B">
            <w:pPr>
              <w:pStyle w:val="6"/>
              <w:spacing w:before="162" w:line="220" w:lineRule="auto"/>
              <w:ind w:left="167"/>
              <w:rPr>
                <w:sz w:val="22"/>
                <w:szCs w:val="22"/>
              </w:rPr>
            </w:pPr>
            <w:r>
              <w:rPr>
                <w:spacing w:val="-3"/>
                <w:sz w:val="22"/>
                <w:szCs w:val="22"/>
              </w:rPr>
              <w:t>生活用水</w:t>
            </w:r>
          </w:p>
        </w:tc>
      </w:tr>
      <w:tr w14:paraId="222AC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165BD3F0">
            <w:pPr>
              <w:rPr>
                <w:rFonts w:ascii="Arial"/>
                <w:sz w:val="21"/>
              </w:rPr>
            </w:pPr>
          </w:p>
        </w:tc>
        <w:tc>
          <w:tcPr>
            <w:tcW w:w="1236" w:type="dxa"/>
            <w:vAlign w:val="top"/>
          </w:tcPr>
          <w:p w14:paraId="01DDDB70">
            <w:pPr>
              <w:pStyle w:val="6"/>
              <w:spacing w:before="45"/>
              <w:ind w:left="306" w:right="107" w:hanging="190"/>
            </w:pPr>
            <w:r>
              <w:rPr>
                <w:rFonts w:ascii="Times New Roman" w:hAnsi="Times New Roman" w:eastAsia="Times New Roman" w:cs="Times New Roman"/>
                <w:spacing w:val="-1"/>
              </w:rPr>
              <w:t>S4</w:t>
            </w:r>
            <w:r>
              <w:rPr>
                <w:spacing w:val="-1"/>
              </w:rPr>
              <w:t>（布和朝</w:t>
            </w:r>
            <w:r>
              <w:t xml:space="preserve"> </w:t>
            </w:r>
            <w:r>
              <w:rPr>
                <w:spacing w:val="2"/>
              </w:rPr>
              <w:t>鲁家）</w:t>
            </w:r>
          </w:p>
        </w:tc>
        <w:tc>
          <w:tcPr>
            <w:tcW w:w="1559" w:type="dxa"/>
            <w:vAlign w:val="top"/>
          </w:tcPr>
          <w:p w14:paraId="75F94801">
            <w:pPr>
              <w:spacing w:before="9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118°54′50.36″</w:t>
            </w:r>
          </w:p>
          <w:p w14:paraId="7E9C0A17">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16′41.15″</w:t>
            </w:r>
          </w:p>
        </w:tc>
        <w:tc>
          <w:tcPr>
            <w:tcW w:w="1132" w:type="dxa"/>
            <w:vAlign w:val="top"/>
          </w:tcPr>
          <w:p w14:paraId="37F4AA98">
            <w:pPr>
              <w:pStyle w:val="6"/>
              <w:spacing w:before="48" w:line="224" w:lineRule="auto"/>
              <w:ind w:left="358"/>
              <w:rPr>
                <w:sz w:val="22"/>
                <w:szCs w:val="22"/>
              </w:rPr>
            </w:pPr>
            <w:r>
              <w:rPr>
                <w:spacing w:val="-7"/>
                <w:sz w:val="22"/>
                <w:szCs w:val="22"/>
              </w:rPr>
              <w:t>西北</w:t>
            </w:r>
          </w:p>
          <w:p w14:paraId="35D528EA">
            <w:pPr>
              <w:spacing w:before="37" w:line="189" w:lineRule="auto"/>
              <w:ind w:left="24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3400 m</w:t>
            </w:r>
          </w:p>
        </w:tc>
        <w:tc>
          <w:tcPr>
            <w:tcW w:w="955" w:type="dxa"/>
            <w:vAlign w:val="top"/>
          </w:tcPr>
          <w:p w14:paraId="11DE328A">
            <w:pPr>
              <w:spacing w:before="211"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2773" w:type="dxa"/>
            <w:vAlign w:val="top"/>
          </w:tcPr>
          <w:p w14:paraId="4E3C24CE">
            <w:pPr>
              <w:pStyle w:val="6"/>
              <w:spacing w:before="33" w:line="223" w:lineRule="auto"/>
              <w:ind w:left="517" w:right="101" w:hanging="401"/>
              <w:rPr>
                <w:sz w:val="22"/>
                <w:szCs w:val="22"/>
              </w:rPr>
            </w:pPr>
            <w:r>
              <w:rPr>
                <w:spacing w:val="-8"/>
                <w:sz w:val="22"/>
                <w:szCs w:val="22"/>
              </w:rPr>
              <w:t>第四系松散岩类孔隙水、碎</w:t>
            </w:r>
            <w:r>
              <w:rPr>
                <w:spacing w:val="4"/>
                <w:sz w:val="22"/>
                <w:szCs w:val="22"/>
              </w:rPr>
              <w:t xml:space="preserve"> </w:t>
            </w:r>
            <w:r>
              <w:rPr>
                <w:spacing w:val="-2"/>
                <w:sz w:val="22"/>
                <w:szCs w:val="22"/>
              </w:rPr>
              <w:t>屑岩类孔隙裂隙水</w:t>
            </w:r>
          </w:p>
        </w:tc>
        <w:tc>
          <w:tcPr>
            <w:tcW w:w="1200" w:type="dxa"/>
            <w:vAlign w:val="top"/>
          </w:tcPr>
          <w:p w14:paraId="3985D6C5">
            <w:pPr>
              <w:pStyle w:val="6"/>
              <w:spacing w:before="175" w:line="220" w:lineRule="auto"/>
              <w:ind w:left="167"/>
              <w:rPr>
                <w:sz w:val="22"/>
                <w:szCs w:val="22"/>
              </w:rPr>
            </w:pPr>
            <w:r>
              <w:rPr>
                <w:spacing w:val="-3"/>
                <w:sz w:val="22"/>
                <w:szCs w:val="22"/>
              </w:rPr>
              <w:t>生活用水</w:t>
            </w:r>
          </w:p>
        </w:tc>
      </w:tr>
      <w:tr w14:paraId="4800D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0BDE4705">
            <w:pPr>
              <w:rPr>
                <w:rFonts w:ascii="Arial"/>
                <w:sz w:val="21"/>
              </w:rPr>
            </w:pPr>
          </w:p>
        </w:tc>
        <w:tc>
          <w:tcPr>
            <w:tcW w:w="1236" w:type="dxa"/>
            <w:vAlign w:val="top"/>
          </w:tcPr>
          <w:p w14:paraId="56FD71A7">
            <w:pPr>
              <w:spacing w:before="217"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559" w:type="dxa"/>
            <w:vAlign w:val="top"/>
          </w:tcPr>
          <w:p w14:paraId="3E0687CF">
            <w:pPr>
              <w:spacing w:before="97"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118°57′2.31″</w:t>
            </w:r>
          </w:p>
          <w:p w14:paraId="102610C8">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14′56.70″</w:t>
            </w:r>
          </w:p>
        </w:tc>
        <w:tc>
          <w:tcPr>
            <w:tcW w:w="1132" w:type="dxa"/>
            <w:vAlign w:val="top"/>
          </w:tcPr>
          <w:p w14:paraId="6961AEB6">
            <w:pPr>
              <w:pStyle w:val="6"/>
              <w:spacing w:before="49" w:line="224" w:lineRule="auto"/>
              <w:ind w:left="358"/>
              <w:rPr>
                <w:sz w:val="22"/>
                <w:szCs w:val="22"/>
              </w:rPr>
            </w:pPr>
            <w:r>
              <w:rPr>
                <w:spacing w:val="-7"/>
                <w:sz w:val="22"/>
                <w:szCs w:val="22"/>
              </w:rPr>
              <w:t>西北</w:t>
            </w:r>
          </w:p>
          <w:p w14:paraId="5BF826B5">
            <w:pPr>
              <w:spacing w:before="40" w:line="189" w:lineRule="auto"/>
              <w:ind w:left="25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1440 m</w:t>
            </w:r>
          </w:p>
        </w:tc>
        <w:tc>
          <w:tcPr>
            <w:tcW w:w="955" w:type="dxa"/>
            <w:vAlign w:val="top"/>
          </w:tcPr>
          <w:p w14:paraId="452B0DC6">
            <w:pPr>
              <w:spacing w:before="212" w:line="189" w:lineRule="auto"/>
              <w:ind w:left="3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2773" w:type="dxa"/>
            <w:vAlign w:val="top"/>
          </w:tcPr>
          <w:p w14:paraId="1C9CB483">
            <w:pPr>
              <w:pStyle w:val="6"/>
              <w:spacing w:before="35" w:line="220" w:lineRule="auto"/>
              <w:ind w:left="116"/>
              <w:rPr>
                <w:sz w:val="22"/>
                <w:szCs w:val="22"/>
              </w:rPr>
            </w:pPr>
            <w:r>
              <w:rPr>
                <w:spacing w:val="-7"/>
                <w:sz w:val="22"/>
                <w:szCs w:val="22"/>
              </w:rPr>
              <w:t>第四系松散岩类孔隙水、基</w:t>
            </w:r>
          </w:p>
          <w:p w14:paraId="7979EC7A">
            <w:pPr>
              <w:pStyle w:val="6"/>
              <w:spacing w:before="20" w:line="207" w:lineRule="auto"/>
              <w:ind w:left="954"/>
              <w:rPr>
                <w:sz w:val="22"/>
                <w:szCs w:val="22"/>
              </w:rPr>
            </w:pPr>
            <w:r>
              <w:rPr>
                <w:spacing w:val="-2"/>
                <w:sz w:val="22"/>
                <w:szCs w:val="22"/>
              </w:rPr>
              <w:t>岩裂隙水</w:t>
            </w:r>
          </w:p>
        </w:tc>
        <w:tc>
          <w:tcPr>
            <w:tcW w:w="1200" w:type="dxa"/>
            <w:vAlign w:val="top"/>
          </w:tcPr>
          <w:p w14:paraId="17A23C01">
            <w:pPr>
              <w:pStyle w:val="6"/>
              <w:spacing w:before="176" w:line="221" w:lineRule="auto"/>
              <w:ind w:left="277"/>
              <w:rPr>
                <w:sz w:val="22"/>
                <w:szCs w:val="22"/>
              </w:rPr>
            </w:pPr>
            <w:r>
              <w:rPr>
                <w:spacing w:val="-3"/>
                <w:sz w:val="22"/>
                <w:szCs w:val="22"/>
              </w:rPr>
              <w:t>监测井</w:t>
            </w:r>
          </w:p>
        </w:tc>
      </w:tr>
      <w:tr w14:paraId="00E90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5F62D9FF">
            <w:pPr>
              <w:rPr>
                <w:rFonts w:ascii="Arial"/>
                <w:sz w:val="21"/>
              </w:rPr>
            </w:pPr>
          </w:p>
        </w:tc>
        <w:tc>
          <w:tcPr>
            <w:tcW w:w="1236" w:type="dxa"/>
            <w:vAlign w:val="top"/>
          </w:tcPr>
          <w:p w14:paraId="51F9C5DE">
            <w:pPr>
              <w:spacing w:before="218"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559" w:type="dxa"/>
            <w:vAlign w:val="top"/>
          </w:tcPr>
          <w:p w14:paraId="127B7581">
            <w:pPr>
              <w:spacing w:before="9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118°56′20.93″</w:t>
            </w:r>
          </w:p>
          <w:p w14:paraId="6C626E83">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16′33.63″</w:t>
            </w:r>
          </w:p>
        </w:tc>
        <w:tc>
          <w:tcPr>
            <w:tcW w:w="1132" w:type="dxa"/>
            <w:vAlign w:val="top"/>
          </w:tcPr>
          <w:p w14:paraId="1ADE45F1">
            <w:pPr>
              <w:pStyle w:val="6"/>
              <w:spacing w:before="50" w:line="222" w:lineRule="auto"/>
              <w:ind w:left="358"/>
              <w:rPr>
                <w:sz w:val="22"/>
                <w:szCs w:val="22"/>
              </w:rPr>
            </w:pPr>
            <w:r>
              <w:rPr>
                <w:spacing w:val="-7"/>
                <w:sz w:val="22"/>
                <w:szCs w:val="22"/>
              </w:rPr>
              <w:t>西南</w:t>
            </w:r>
          </w:p>
          <w:p w14:paraId="2C456039">
            <w:pPr>
              <w:spacing w:before="41" w:line="189" w:lineRule="auto"/>
              <w:ind w:left="30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890 m</w:t>
            </w:r>
          </w:p>
        </w:tc>
        <w:tc>
          <w:tcPr>
            <w:tcW w:w="955" w:type="dxa"/>
            <w:vAlign w:val="top"/>
          </w:tcPr>
          <w:p w14:paraId="035E0259">
            <w:pPr>
              <w:spacing w:before="213" w:line="189" w:lineRule="auto"/>
              <w:ind w:left="37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w:t>
            </w:r>
          </w:p>
        </w:tc>
        <w:tc>
          <w:tcPr>
            <w:tcW w:w="2773" w:type="dxa"/>
            <w:vAlign w:val="top"/>
          </w:tcPr>
          <w:p w14:paraId="741066D5">
            <w:pPr>
              <w:pStyle w:val="6"/>
              <w:spacing w:before="35" w:line="220" w:lineRule="auto"/>
              <w:ind w:left="116"/>
              <w:rPr>
                <w:sz w:val="22"/>
                <w:szCs w:val="22"/>
              </w:rPr>
            </w:pPr>
            <w:r>
              <w:rPr>
                <w:spacing w:val="-7"/>
                <w:sz w:val="22"/>
                <w:szCs w:val="22"/>
              </w:rPr>
              <w:t>第四系松散岩类孔隙水、基</w:t>
            </w:r>
          </w:p>
          <w:p w14:paraId="02B7E70F">
            <w:pPr>
              <w:pStyle w:val="6"/>
              <w:spacing w:before="21" w:line="206" w:lineRule="auto"/>
              <w:ind w:left="954"/>
              <w:rPr>
                <w:sz w:val="22"/>
                <w:szCs w:val="22"/>
              </w:rPr>
            </w:pPr>
            <w:r>
              <w:rPr>
                <w:spacing w:val="-2"/>
                <w:sz w:val="22"/>
                <w:szCs w:val="22"/>
              </w:rPr>
              <w:t>岩裂隙水</w:t>
            </w:r>
          </w:p>
        </w:tc>
        <w:tc>
          <w:tcPr>
            <w:tcW w:w="1200" w:type="dxa"/>
            <w:vAlign w:val="top"/>
          </w:tcPr>
          <w:p w14:paraId="1F03A774">
            <w:pPr>
              <w:pStyle w:val="6"/>
              <w:spacing w:before="177" w:line="221" w:lineRule="auto"/>
              <w:ind w:left="277"/>
              <w:rPr>
                <w:sz w:val="22"/>
                <w:szCs w:val="22"/>
              </w:rPr>
            </w:pPr>
            <w:r>
              <w:rPr>
                <w:spacing w:val="-3"/>
                <w:sz w:val="22"/>
                <w:szCs w:val="22"/>
              </w:rPr>
              <w:t>监测井</w:t>
            </w:r>
          </w:p>
        </w:tc>
      </w:tr>
      <w:tr w14:paraId="00276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1BD92D34">
            <w:pPr>
              <w:rPr>
                <w:rFonts w:ascii="Arial"/>
                <w:sz w:val="21"/>
              </w:rPr>
            </w:pPr>
          </w:p>
        </w:tc>
        <w:tc>
          <w:tcPr>
            <w:tcW w:w="1236" w:type="dxa"/>
            <w:vAlign w:val="top"/>
          </w:tcPr>
          <w:p w14:paraId="6A49EBD9">
            <w:pPr>
              <w:pStyle w:val="6"/>
              <w:spacing w:before="46" w:line="228" w:lineRule="auto"/>
              <w:ind w:left="116"/>
            </w:pPr>
            <w:r>
              <w:rPr>
                <w:rFonts w:ascii="Times New Roman" w:hAnsi="Times New Roman" w:eastAsia="Times New Roman" w:cs="Times New Roman"/>
                <w:spacing w:val="-1"/>
              </w:rPr>
              <w:t>S7</w:t>
            </w:r>
            <w:r>
              <w:rPr>
                <w:spacing w:val="-1"/>
              </w:rPr>
              <w:t>（莫奇德</w:t>
            </w:r>
          </w:p>
          <w:p w14:paraId="352CA2D3">
            <w:pPr>
              <w:pStyle w:val="6"/>
              <w:spacing w:before="24" w:line="228" w:lineRule="auto"/>
              <w:ind w:left="413"/>
            </w:pPr>
            <w:r>
              <w:rPr>
                <w:spacing w:val="-1"/>
              </w:rPr>
              <w:t>家）</w:t>
            </w:r>
          </w:p>
        </w:tc>
        <w:tc>
          <w:tcPr>
            <w:tcW w:w="1559" w:type="dxa"/>
            <w:vAlign w:val="top"/>
          </w:tcPr>
          <w:p w14:paraId="47F91E60">
            <w:pPr>
              <w:spacing w:before="9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118°56′43.74″</w:t>
            </w:r>
          </w:p>
          <w:p w14:paraId="2628CE32">
            <w:pPr>
              <w:spacing w:before="55"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10.17″</w:t>
            </w:r>
          </w:p>
        </w:tc>
        <w:tc>
          <w:tcPr>
            <w:tcW w:w="1132" w:type="dxa"/>
            <w:vAlign w:val="top"/>
          </w:tcPr>
          <w:p w14:paraId="7C66A78E">
            <w:pPr>
              <w:pStyle w:val="6"/>
              <w:spacing w:before="51" w:line="222" w:lineRule="auto"/>
              <w:ind w:left="358"/>
              <w:rPr>
                <w:sz w:val="22"/>
                <w:szCs w:val="22"/>
              </w:rPr>
            </w:pPr>
            <w:r>
              <w:rPr>
                <w:spacing w:val="-7"/>
                <w:sz w:val="22"/>
                <w:szCs w:val="22"/>
              </w:rPr>
              <w:t>西南</w:t>
            </w:r>
          </w:p>
          <w:p w14:paraId="657276D2">
            <w:pPr>
              <w:spacing w:before="39"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2420 m</w:t>
            </w:r>
          </w:p>
        </w:tc>
        <w:tc>
          <w:tcPr>
            <w:tcW w:w="955" w:type="dxa"/>
            <w:vAlign w:val="top"/>
          </w:tcPr>
          <w:p w14:paraId="18EE237B">
            <w:pPr>
              <w:spacing w:before="213"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2773" w:type="dxa"/>
            <w:vAlign w:val="top"/>
          </w:tcPr>
          <w:p w14:paraId="6FD2DA74">
            <w:pPr>
              <w:pStyle w:val="6"/>
              <w:spacing w:before="34" w:line="220" w:lineRule="auto"/>
              <w:ind w:left="116"/>
              <w:rPr>
                <w:sz w:val="22"/>
                <w:szCs w:val="22"/>
              </w:rPr>
            </w:pPr>
            <w:r>
              <w:rPr>
                <w:spacing w:val="-7"/>
                <w:sz w:val="22"/>
                <w:szCs w:val="22"/>
              </w:rPr>
              <w:t>第四系松散岩类孔隙水、基</w:t>
            </w:r>
          </w:p>
          <w:p w14:paraId="5D2E915E">
            <w:pPr>
              <w:pStyle w:val="6"/>
              <w:spacing w:before="22" w:line="206" w:lineRule="auto"/>
              <w:ind w:left="954"/>
              <w:rPr>
                <w:sz w:val="22"/>
                <w:szCs w:val="22"/>
              </w:rPr>
            </w:pPr>
            <w:r>
              <w:rPr>
                <w:spacing w:val="-2"/>
                <w:sz w:val="22"/>
                <w:szCs w:val="22"/>
              </w:rPr>
              <w:t>岩裂隙水</w:t>
            </w:r>
          </w:p>
        </w:tc>
        <w:tc>
          <w:tcPr>
            <w:tcW w:w="1200" w:type="dxa"/>
            <w:vAlign w:val="top"/>
          </w:tcPr>
          <w:p w14:paraId="674913D6">
            <w:pPr>
              <w:pStyle w:val="6"/>
              <w:spacing w:before="178" w:line="220" w:lineRule="auto"/>
              <w:ind w:left="167"/>
              <w:rPr>
                <w:sz w:val="22"/>
                <w:szCs w:val="22"/>
              </w:rPr>
            </w:pPr>
            <w:r>
              <w:rPr>
                <w:spacing w:val="-3"/>
                <w:sz w:val="22"/>
                <w:szCs w:val="22"/>
              </w:rPr>
              <w:t>生活用水</w:t>
            </w:r>
          </w:p>
        </w:tc>
      </w:tr>
      <w:tr w14:paraId="0E741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0" w:type="dxa"/>
            <w:vMerge w:val="continue"/>
            <w:tcBorders>
              <w:top w:val="nil"/>
              <w:bottom w:val="nil"/>
            </w:tcBorders>
            <w:vAlign w:val="top"/>
          </w:tcPr>
          <w:p w14:paraId="5E6CB2E5">
            <w:pPr>
              <w:rPr>
                <w:rFonts w:ascii="Arial"/>
                <w:sz w:val="21"/>
              </w:rPr>
            </w:pPr>
          </w:p>
        </w:tc>
        <w:tc>
          <w:tcPr>
            <w:tcW w:w="1236" w:type="dxa"/>
            <w:vAlign w:val="top"/>
          </w:tcPr>
          <w:p w14:paraId="5CEE5F22">
            <w:pPr>
              <w:pStyle w:val="6"/>
              <w:spacing w:before="47" w:line="228" w:lineRule="auto"/>
              <w:ind w:left="116"/>
            </w:pPr>
            <w:r>
              <w:rPr>
                <w:rFonts w:ascii="Times New Roman" w:hAnsi="Times New Roman" w:eastAsia="Times New Roman" w:cs="Times New Roman"/>
                <w:spacing w:val="-1"/>
              </w:rPr>
              <w:t>S8</w:t>
            </w:r>
            <w:r>
              <w:rPr>
                <w:spacing w:val="-1"/>
              </w:rPr>
              <w:t>（牧民点</w:t>
            </w:r>
          </w:p>
          <w:p w14:paraId="38159035">
            <w:pPr>
              <w:pStyle w:val="6"/>
              <w:spacing w:before="24" w:line="228" w:lineRule="auto"/>
              <w:ind w:left="464"/>
            </w:pPr>
            <w:r>
              <w:rPr>
                <w:rFonts w:ascii="Times New Roman" w:hAnsi="Times New Roman" w:eastAsia="Times New Roman" w:cs="Times New Roman"/>
                <w:spacing w:val="-3"/>
              </w:rPr>
              <w:t>3</w:t>
            </w:r>
            <w:r>
              <w:rPr>
                <w:spacing w:val="-3"/>
              </w:rPr>
              <w:t>）</w:t>
            </w:r>
          </w:p>
        </w:tc>
        <w:tc>
          <w:tcPr>
            <w:tcW w:w="1559" w:type="dxa"/>
            <w:vAlign w:val="top"/>
          </w:tcPr>
          <w:p w14:paraId="47C98C6A">
            <w:pPr>
              <w:spacing w:before="10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118°56′23.45″</w:t>
            </w:r>
          </w:p>
          <w:p w14:paraId="1334CA54">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15′25.42″</w:t>
            </w:r>
          </w:p>
        </w:tc>
        <w:tc>
          <w:tcPr>
            <w:tcW w:w="1132" w:type="dxa"/>
            <w:vAlign w:val="top"/>
          </w:tcPr>
          <w:p w14:paraId="0D0A0CDA">
            <w:pPr>
              <w:pStyle w:val="6"/>
              <w:spacing w:before="51" w:line="224" w:lineRule="auto"/>
              <w:ind w:left="358"/>
              <w:rPr>
                <w:sz w:val="22"/>
                <w:szCs w:val="22"/>
              </w:rPr>
            </w:pPr>
            <w:r>
              <w:rPr>
                <w:spacing w:val="-7"/>
                <w:sz w:val="22"/>
                <w:szCs w:val="22"/>
              </w:rPr>
              <w:t>西北</w:t>
            </w:r>
          </w:p>
          <w:p w14:paraId="26F56A38">
            <w:pPr>
              <w:spacing w:before="37"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2930 m</w:t>
            </w:r>
          </w:p>
        </w:tc>
        <w:tc>
          <w:tcPr>
            <w:tcW w:w="955" w:type="dxa"/>
            <w:vAlign w:val="top"/>
          </w:tcPr>
          <w:p w14:paraId="41D718AE">
            <w:pPr>
              <w:spacing w:before="214"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2773" w:type="dxa"/>
            <w:vAlign w:val="top"/>
          </w:tcPr>
          <w:p w14:paraId="74A444DA">
            <w:pPr>
              <w:pStyle w:val="6"/>
              <w:spacing w:before="35" w:line="220" w:lineRule="auto"/>
              <w:ind w:left="116"/>
              <w:rPr>
                <w:sz w:val="22"/>
                <w:szCs w:val="22"/>
              </w:rPr>
            </w:pPr>
            <w:r>
              <w:rPr>
                <w:spacing w:val="-7"/>
                <w:sz w:val="22"/>
                <w:szCs w:val="22"/>
              </w:rPr>
              <w:t>第四系松散岩类孔隙水、基</w:t>
            </w:r>
          </w:p>
          <w:p w14:paraId="4C2E305A">
            <w:pPr>
              <w:pStyle w:val="6"/>
              <w:spacing w:before="23" w:line="206" w:lineRule="auto"/>
              <w:ind w:left="954"/>
              <w:rPr>
                <w:sz w:val="22"/>
                <w:szCs w:val="22"/>
              </w:rPr>
            </w:pPr>
            <w:r>
              <w:rPr>
                <w:spacing w:val="-2"/>
                <w:sz w:val="22"/>
                <w:szCs w:val="22"/>
              </w:rPr>
              <w:t>岩裂隙水</w:t>
            </w:r>
          </w:p>
        </w:tc>
        <w:tc>
          <w:tcPr>
            <w:tcW w:w="1200" w:type="dxa"/>
            <w:vAlign w:val="top"/>
          </w:tcPr>
          <w:p w14:paraId="3A5DC0E2">
            <w:pPr>
              <w:pStyle w:val="6"/>
              <w:spacing w:before="179" w:line="220" w:lineRule="auto"/>
              <w:ind w:left="167"/>
              <w:rPr>
                <w:sz w:val="22"/>
                <w:szCs w:val="22"/>
              </w:rPr>
            </w:pPr>
            <w:r>
              <w:rPr>
                <w:spacing w:val="-3"/>
                <w:sz w:val="22"/>
                <w:szCs w:val="22"/>
              </w:rPr>
              <w:t>生活用水</w:t>
            </w:r>
          </w:p>
        </w:tc>
      </w:tr>
      <w:tr w14:paraId="2CEB7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20" w:type="dxa"/>
            <w:vMerge w:val="continue"/>
            <w:tcBorders>
              <w:top w:val="nil"/>
              <w:bottom w:val="nil"/>
            </w:tcBorders>
            <w:vAlign w:val="top"/>
          </w:tcPr>
          <w:p w14:paraId="7566FF1D">
            <w:pPr>
              <w:rPr>
                <w:rFonts w:ascii="Arial"/>
                <w:sz w:val="21"/>
              </w:rPr>
            </w:pPr>
          </w:p>
        </w:tc>
        <w:tc>
          <w:tcPr>
            <w:tcW w:w="1236" w:type="dxa"/>
            <w:vAlign w:val="top"/>
          </w:tcPr>
          <w:p w14:paraId="5AD7E2C8">
            <w:pPr>
              <w:pStyle w:val="6"/>
              <w:spacing w:before="35" w:line="228" w:lineRule="auto"/>
              <w:ind w:left="116"/>
            </w:pPr>
            <w:r>
              <w:rPr>
                <w:rFonts w:ascii="Times New Roman" w:hAnsi="Times New Roman" w:eastAsia="Times New Roman" w:cs="Times New Roman"/>
                <w:spacing w:val="-1"/>
              </w:rPr>
              <w:t>S9</w:t>
            </w:r>
            <w:r>
              <w:rPr>
                <w:spacing w:val="-1"/>
              </w:rPr>
              <w:t>（牧民点</w:t>
            </w:r>
          </w:p>
          <w:p w14:paraId="180C501E">
            <w:pPr>
              <w:pStyle w:val="6"/>
              <w:spacing w:before="25" w:line="215" w:lineRule="auto"/>
              <w:ind w:left="463"/>
            </w:pPr>
            <w:r>
              <w:rPr>
                <w:rFonts w:ascii="Times New Roman" w:hAnsi="Times New Roman" w:eastAsia="Times New Roman" w:cs="Times New Roman"/>
                <w:spacing w:val="-2"/>
              </w:rPr>
              <w:t>7</w:t>
            </w:r>
            <w:r>
              <w:rPr>
                <w:spacing w:val="-2"/>
              </w:rPr>
              <w:t>）</w:t>
            </w:r>
          </w:p>
        </w:tc>
        <w:tc>
          <w:tcPr>
            <w:tcW w:w="1559" w:type="dxa"/>
            <w:vAlign w:val="top"/>
          </w:tcPr>
          <w:p w14:paraId="39343E10">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118°55′21.22″</w:t>
            </w:r>
          </w:p>
          <w:p w14:paraId="012D1B95">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14′24.56″</w:t>
            </w:r>
          </w:p>
        </w:tc>
        <w:tc>
          <w:tcPr>
            <w:tcW w:w="1132" w:type="dxa"/>
            <w:vAlign w:val="top"/>
          </w:tcPr>
          <w:p w14:paraId="311D0C54">
            <w:pPr>
              <w:pStyle w:val="6"/>
              <w:spacing w:before="37" w:line="222" w:lineRule="auto"/>
              <w:ind w:left="358"/>
              <w:rPr>
                <w:sz w:val="22"/>
                <w:szCs w:val="22"/>
              </w:rPr>
            </w:pPr>
            <w:r>
              <w:rPr>
                <w:spacing w:val="-7"/>
                <w:sz w:val="22"/>
                <w:szCs w:val="22"/>
              </w:rPr>
              <w:t>西南</w:t>
            </w:r>
          </w:p>
          <w:p w14:paraId="375589C8">
            <w:pPr>
              <w:spacing w:before="41" w:line="186" w:lineRule="auto"/>
              <w:ind w:left="245"/>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8050 m</w:t>
            </w:r>
          </w:p>
        </w:tc>
        <w:tc>
          <w:tcPr>
            <w:tcW w:w="955" w:type="dxa"/>
            <w:vAlign w:val="top"/>
          </w:tcPr>
          <w:p w14:paraId="02781256">
            <w:pPr>
              <w:spacing w:before="200" w:line="189" w:lineRule="auto"/>
              <w:ind w:left="37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2773" w:type="dxa"/>
            <w:vAlign w:val="top"/>
          </w:tcPr>
          <w:p w14:paraId="4E54AC60">
            <w:pPr>
              <w:pStyle w:val="6"/>
              <w:spacing w:before="164" w:line="220" w:lineRule="auto"/>
              <w:ind w:left="294"/>
              <w:rPr>
                <w:sz w:val="22"/>
                <w:szCs w:val="22"/>
              </w:rPr>
            </w:pPr>
            <w:r>
              <w:rPr>
                <w:spacing w:val="-1"/>
                <w:sz w:val="22"/>
                <w:szCs w:val="22"/>
              </w:rPr>
              <w:t>第四系松散岩类孔隙水</w:t>
            </w:r>
          </w:p>
        </w:tc>
        <w:tc>
          <w:tcPr>
            <w:tcW w:w="1200" w:type="dxa"/>
            <w:vAlign w:val="top"/>
          </w:tcPr>
          <w:p w14:paraId="05299190">
            <w:pPr>
              <w:pStyle w:val="6"/>
              <w:spacing w:before="164" w:line="220" w:lineRule="auto"/>
              <w:ind w:left="167"/>
              <w:rPr>
                <w:sz w:val="22"/>
                <w:szCs w:val="22"/>
              </w:rPr>
            </w:pPr>
            <w:r>
              <w:rPr>
                <w:spacing w:val="-3"/>
                <w:sz w:val="22"/>
                <w:szCs w:val="22"/>
              </w:rPr>
              <w:t>生活用水</w:t>
            </w:r>
          </w:p>
        </w:tc>
      </w:tr>
      <w:tr w14:paraId="78079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0" w:type="dxa"/>
            <w:vMerge w:val="continue"/>
            <w:tcBorders>
              <w:top w:val="nil"/>
              <w:bottom w:val="nil"/>
            </w:tcBorders>
            <w:vAlign w:val="top"/>
          </w:tcPr>
          <w:p w14:paraId="0F7560B0">
            <w:pPr>
              <w:rPr>
                <w:rFonts w:ascii="Arial"/>
                <w:sz w:val="21"/>
              </w:rPr>
            </w:pPr>
          </w:p>
        </w:tc>
        <w:tc>
          <w:tcPr>
            <w:tcW w:w="1236" w:type="dxa"/>
            <w:vAlign w:val="top"/>
          </w:tcPr>
          <w:p w14:paraId="422D3AC2">
            <w:pPr>
              <w:pStyle w:val="6"/>
              <w:spacing w:before="34" w:line="233" w:lineRule="auto"/>
              <w:ind w:left="342" w:right="141" w:hanging="195"/>
            </w:pPr>
            <w:r>
              <w:rPr>
                <w:rFonts w:ascii="Times New Roman" w:hAnsi="Times New Roman" w:eastAsia="Times New Roman" w:cs="Times New Roman"/>
                <w:spacing w:val="5"/>
              </w:rPr>
              <w:t>S10</w:t>
            </w:r>
            <w:r>
              <w:rPr>
                <w:spacing w:val="5"/>
              </w:rPr>
              <w:t>（牧民</w:t>
            </w:r>
            <w:r>
              <w:t xml:space="preserve"> </w:t>
            </w:r>
            <w:r>
              <w:rPr>
                <w:spacing w:val="-5"/>
              </w:rPr>
              <w:t>点</w:t>
            </w:r>
            <w:r>
              <w:rPr>
                <w:spacing w:val="-39"/>
              </w:rPr>
              <w:t xml:space="preserve"> </w:t>
            </w:r>
            <w:r>
              <w:rPr>
                <w:rFonts w:ascii="Times New Roman" w:hAnsi="Times New Roman" w:eastAsia="Times New Roman" w:cs="Times New Roman"/>
                <w:spacing w:val="-5"/>
              </w:rPr>
              <w:t>6</w:t>
            </w:r>
            <w:r>
              <w:rPr>
                <w:spacing w:val="-5"/>
              </w:rPr>
              <w:t>）</w:t>
            </w:r>
          </w:p>
        </w:tc>
        <w:tc>
          <w:tcPr>
            <w:tcW w:w="1559" w:type="dxa"/>
            <w:vAlign w:val="top"/>
          </w:tcPr>
          <w:p w14:paraId="05738114">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118°55′32.49″</w:t>
            </w:r>
          </w:p>
          <w:p w14:paraId="190415FB">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10.87″</w:t>
            </w:r>
          </w:p>
        </w:tc>
        <w:tc>
          <w:tcPr>
            <w:tcW w:w="1132" w:type="dxa"/>
            <w:vAlign w:val="top"/>
          </w:tcPr>
          <w:p w14:paraId="02E35A06">
            <w:pPr>
              <w:pStyle w:val="6"/>
              <w:spacing w:before="36" w:line="224" w:lineRule="auto"/>
              <w:ind w:left="358"/>
              <w:rPr>
                <w:sz w:val="22"/>
                <w:szCs w:val="22"/>
              </w:rPr>
            </w:pPr>
            <w:r>
              <w:rPr>
                <w:spacing w:val="-7"/>
                <w:sz w:val="22"/>
                <w:szCs w:val="22"/>
              </w:rPr>
              <w:t>西北</w:t>
            </w:r>
          </w:p>
          <w:p w14:paraId="4E0C7213">
            <w:pPr>
              <w:spacing w:before="40" w:line="185" w:lineRule="auto"/>
              <w:ind w:left="24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5990 m</w:t>
            </w:r>
          </w:p>
        </w:tc>
        <w:tc>
          <w:tcPr>
            <w:tcW w:w="955" w:type="dxa"/>
            <w:vAlign w:val="top"/>
          </w:tcPr>
          <w:p w14:paraId="45EC0627">
            <w:pPr>
              <w:spacing w:before="201"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2773" w:type="dxa"/>
            <w:vAlign w:val="top"/>
          </w:tcPr>
          <w:p w14:paraId="63EE4540">
            <w:pPr>
              <w:pStyle w:val="6"/>
              <w:spacing w:before="163" w:line="220" w:lineRule="auto"/>
              <w:ind w:left="294"/>
              <w:rPr>
                <w:sz w:val="22"/>
                <w:szCs w:val="22"/>
              </w:rPr>
            </w:pPr>
            <w:r>
              <w:rPr>
                <w:spacing w:val="-1"/>
                <w:sz w:val="22"/>
                <w:szCs w:val="22"/>
              </w:rPr>
              <w:t>第四系松散岩类孔隙水</w:t>
            </w:r>
          </w:p>
        </w:tc>
        <w:tc>
          <w:tcPr>
            <w:tcW w:w="1200" w:type="dxa"/>
            <w:vAlign w:val="top"/>
          </w:tcPr>
          <w:p w14:paraId="77A919DF">
            <w:pPr>
              <w:pStyle w:val="6"/>
              <w:spacing w:before="163" w:line="220" w:lineRule="auto"/>
              <w:ind w:left="167"/>
              <w:rPr>
                <w:sz w:val="22"/>
                <w:szCs w:val="22"/>
              </w:rPr>
            </w:pPr>
            <w:r>
              <w:rPr>
                <w:spacing w:val="-3"/>
                <w:sz w:val="22"/>
                <w:szCs w:val="22"/>
              </w:rPr>
              <w:t>生活用水</w:t>
            </w:r>
          </w:p>
        </w:tc>
      </w:tr>
      <w:tr w14:paraId="57A67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20" w:type="dxa"/>
            <w:vMerge w:val="continue"/>
            <w:tcBorders>
              <w:top w:val="nil"/>
              <w:bottom w:val="nil"/>
            </w:tcBorders>
            <w:vAlign w:val="top"/>
          </w:tcPr>
          <w:p w14:paraId="6DFD9973">
            <w:pPr>
              <w:rPr>
                <w:rFonts w:ascii="Arial"/>
                <w:sz w:val="21"/>
              </w:rPr>
            </w:pPr>
          </w:p>
        </w:tc>
        <w:tc>
          <w:tcPr>
            <w:tcW w:w="1236" w:type="dxa"/>
            <w:vAlign w:val="top"/>
          </w:tcPr>
          <w:p w14:paraId="7AE574AD">
            <w:pPr>
              <w:pStyle w:val="6"/>
              <w:spacing w:before="35" w:line="233" w:lineRule="auto"/>
              <w:ind w:left="342" w:right="141" w:hanging="195"/>
            </w:pPr>
            <w:r>
              <w:rPr>
                <w:rFonts w:ascii="Times New Roman" w:hAnsi="Times New Roman" w:eastAsia="Times New Roman" w:cs="Times New Roman"/>
                <w:spacing w:val="5"/>
              </w:rPr>
              <w:t>S11</w:t>
            </w:r>
            <w:r>
              <w:rPr>
                <w:spacing w:val="5"/>
              </w:rPr>
              <w:t>（牧民</w:t>
            </w:r>
            <w:r>
              <w:t xml:space="preserve"> </w:t>
            </w:r>
            <w:r>
              <w:rPr>
                <w:spacing w:val="-6"/>
              </w:rPr>
              <w:t>点</w:t>
            </w:r>
            <w:r>
              <w:rPr>
                <w:spacing w:val="-36"/>
              </w:rPr>
              <w:t xml:space="preserve"> </w:t>
            </w:r>
            <w:r>
              <w:rPr>
                <w:rFonts w:ascii="Times New Roman" w:hAnsi="Times New Roman" w:eastAsia="Times New Roman" w:cs="Times New Roman"/>
                <w:spacing w:val="-6"/>
              </w:rPr>
              <w:t>5</w:t>
            </w:r>
            <w:r>
              <w:rPr>
                <w:spacing w:val="-6"/>
              </w:rPr>
              <w:t>）</w:t>
            </w:r>
          </w:p>
        </w:tc>
        <w:tc>
          <w:tcPr>
            <w:tcW w:w="1559" w:type="dxa"/>
            <w:vAlign w:val="top"/>
          </w:tcPr>
          <w:p w14:paraId="31FDCA81">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10.51″</w:t>
            </w:r>
          </w:p>
          <w:p w14:paraId="2B175A62">
            <w:pPr>
              <w:spacing w:before="55"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14′20.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w:t>
            </w:r>
          </w:p>
        </w:tc>
        <w:tc>
          <w:tcPr>
            <w:tcW w:w="1132" w:type="dxa"/>
            <w:vAlign w:val="top"/>
          </w:tcPr>
          <w:p w14:paraId="3068052E">
            <w:pPr>
              <w:pStyle w:val="6"/>
              <w:spacing w:before="36" w:line="224" w:lineRule="auto"/>
              <w:ind w:left="358"/>
              <w:rPr>
                <w:sz w:val="22"/>
                <w:szCs w:val="22"/>
              </w:rPr>
            </w:pPr>
            <w:r>
              <w:rPr>
                <w:spacing w:val="-7"/>
                <w:sz w:val="22"/>
                <w:szCs w:val="22"/>
              </w:rPr>
              <w:t>西北</w:t>
            </w:r>
          </w:p>
          <w:p w14:paraId="3280212D">
            <w:pPr>
              <w:spacing w:before="40" w:line="186" w:lineRule="auto"/>
              <w:ind w:left="24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6560 m</w:t>
            </w:r>
          </w:p>
        </w:tc>
        <w:tc>
          <w:tcPr>
            <w:tcW w:w="955" w:type="dxa"/>
            <w:vAlign w:val="top"/>
          </w:tcPr>
          <w:p w14:paraId="67E5AEB2">
            <w:pPr>
              <w:spacing w:before="202"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2773" w:type="dxa"/>
            <w:vAlign w:val="top"/>
          </w:tcPr>
          <w:p w14:paraId="2C87B648">
            <w:pPr>
              <w:pStyle w:val="6"/>
              <w:spacing w:before="164" w:line="220" w:lineRule="auto"/>
              <w:ind w:left="294"/>
              <w:rPr>
                <w:sz w:val="22"/>
                <w:szCs w:val="22"/>
              </w:rPr>
            </w:pPr>
            <w:r>
              <w:rPr>
                <w:spacing w:val="-1"/>
                <w:sz w:val="22"/>
                <w:szCs w:val="22"/>
              </w:rPr>
              <w:t>第四系松散岩类孔隙水</w:t>
            </w:r>
          </w:p>
        </w:tc>
        <w:tc>
          <w:tcPr>
            <w:tcW w:w="1200" w:type="dxa"/>
            <w:vAlign w:val="top"/>
          </w:tcPr>
          <w:p w14:paraId="35DAC459">
            <w:pPr>
              <w:pStyle w:val="6"/>
              <w:spacing w:before="164" w:line="220" w:lineRule="auto"/>
              <w:ind w:left="167"/>
              <w:rPr>
                <w:sz w:val="22"/>
                <w:szCs w:val="22"/>
              </w:rPr>
            </w:pPr>
            <w:r>
              <w:rPr>
                <w:spacing w:val="-3"/>
                <w:sz w:val="22"/>
                <w:szCs w:val="22"/>
              </w:rPr>
              <w:t>生活用水</w:t>
            </w:r>
          </w:p>
        </w:tc>
      </w:tr>
      <w:tr w14:paraId="274AB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0" w:type="dxa"/>
            <w:vMerge w:val="continue"/>
            <w:tcBorders>
              <w:top w:val="nil"/>
              <w:bottom w:val="nil"/>
            </w:tcBorders>
            <w:vAlign w:val="top"/>
          </w:tcPr>
          <w:p w14:paraId="7D2021D1">
            <w:pPr>
              <w:rPr>
                <w:rFonts w:ascii="Arial"/>
                <w:sz w:val="21"/>
              </w:rPr>
            </w:pPr>
          </w:p>
        </w:tc>
        <w:tc>
          <w:tcPr>
            <w:tcW w:w="1236" w:type="dxa"/>
            <w:vAlign w:val="top"/>
          </w:tcPr>
          <w:p w14:paraId="412AB9D6">
            <w:pPr>
              <w:spacing w:before="219" w:line="195" w:lineRule="auto"/>
              <w:ind w:left="464"/>
              <w:rPr>
                <w:rFonts w:ascii="Times New Roman" w:hAnsi="Times New Roman" w:eastAsia="Times New Roman" w:cs="Times New Roman"/>
                <w:sz w:val="20"/>
                <w:szCs w:val="20"/>
              </w:rPr>
            </w:pPr>
            <w:r>
              <w:rPr>
                <w:rFonts w:ascii="Times New Roman" w:hAnsi="Times New Roman" w:eastAsia="Times New Roman" w:cs="Times New Roman"/>
                <w:sz w:val="20"/>
                <w:szCs w:val="20"/>
              </w:rPr>
              <w:t>S12</w:t>
            </w:r>
          </w:p>
        </w:tc>
        <w:tc>
          <w:tcPr>
            <w:tcW w:w="1559" w:type="dxa"/>
            <w:vAlign w:val="top"/>
          </w:tcPr>
          <w:p w14:paraId="020E3047">
            <w:pPr>
              <w:spacing w:before="9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118°52′20.42″</w:t>
            </w:r>
          </w:p>
          <w:p w14:paraId="066AF0BB">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16′31.03″</w:t>
            </w:r>
          </w:p>
        </w:tc>
        <w:tc>
          <w:tcPr>
            <w:tcW w:w="1132" w:type="dxa"/>
            <w:vAlign w:val="top"/>
          </w:tcPr>
          <w:p w14:paraId="0ACC47B5">
            <w:pPr>
              <w:pStyle w:val="6"/>
              <w:spacing w:before="51" w:line="222" w:lineRule="auto"/>
              <w:ind w:left="358"/>
              <w:rPr>
                <w:sz w:val="22"/>
                <w:szCs w:val="22"/>
              </w:rPr>
            </w:pPr>
            <w:r>
              <w:rPr>
                <w:spacing w:val="-7"/>
                <w:sz w:val="22"/>
                <w:szCs w:val="22"/>
              </w:rPr>
              <w:t>西南</w:t>
            </w:r>
          </w:p>
          <w:p w14:paraId="76238CC6">
            <w:pPr>
              <w:spacing w:before="39" w:line="189" w:lineRule="auto"/>
              <w:ind w:left="23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4290 m</w:t>
            </w:r>
          </w:p>
        </w:tc>
        <w:tc>
          <w:tcPr>
            <w:tcW w:w="955" w:type="dxa"/>
            <w:vAlign w:val="top"/>
          </w:tcPr>
          <w:p w14:paraId="3B55D812">
            <w:pPr>
              <w:spacing w:before="213"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2773" w:type="dxa"/>
            <w:vAlign w:val="top"/>
          </w:tcPr>
          <w:p w14:paraId="33D1CDC9">
            <w:pPr>
              <w:pStyle w:val="6"/>
              <w:spacing w:before="34" w:line="220" w:lineRule="auto"/>
              <w:ind w:left="116"/>
              <w:rPr>
                <w:sz w:val="22"/>
                <w:szCs w:val="22"/>
              </w:rPr>
            </w:pPr>
            <w:r>
              <w:rPr>
                <w:spacing w:val="-7"/>
                <w:sz w:val="22"/>
                <w:szCs w:val="22"/>
              </w:rPr>
              <w:t>第四系松散岩类孔隙水、基</w:t>
            </w:r>
          </w:p>
          <w:p w14:paraId="66C1B35F">
            <w:pPr>
              <w:pStyle w:val="6"/>
              <w:spacing w:before="22" w:line="207" w:lineRule="auto"/>
              <w:ind w:left="954"/>
              <w:rPr>
                <w:sz w:val="22"/>
                <w:szCs w:val="22"/>
              </w:rPr>
            </w:pPr>
            <w:r>
              <w:rPr>
                <w:spacing w:val="-2"/>
                <w:sz w:val="22"/>
                <w:szCs w:val="22"/>
              </w:rPr>
              <w:t>岩裂隙水</w:t>
            </w:r>
          </w:p>
        </w:tc>
        <w:tc>
          <w:tcPr>
            <w:tcW w:w="1200" w:type="dxa"/>
            <w:vAlign w:val="top"/>
          </w:tcPr>
          <w:p w14:paraId="276836AC">
            <w:pPr>
              <w:pStyle w:val="6"/>
              <w:spacing w:before="178" w:line="220" w:lineRule="auto"/>
              <w:ind w:left="167"/>
              <w:rPr>
                <w:sz w:val="22"/>
                <w:szCs w:val="22"/>
              </w:rPr>
            </w:pPr>
            <w:r>
              <w:rPr>
                <w:spacing w:val="-3"/>
                <w:sz w:val="22"/>
                <w:szCs w:val="22"/>
              </w:rPr>
              <w:t>生产用水</w:t>
            </w:r>
          </w:p>
        </w:tc>
      </w:tr>
      <w:tr w14:paraId="0ED7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0" w:type="dxa"/>
            <w:vMerge w:val="continue"/>
            <w:tcBorders>
              <w:top w:val="nil"/>
              <w:bottom w:val="nil"/>
            </w:tcBorders>
            <w:vAlign w:val="top"/>
          </w:tcPr>
          <w:p w14:paraId="242E4781">
            <w:pPr>
              <w:rPr>
                <w:rFonts w:ascii="Arial"/>
                <w:sz w:val="21"/>
              </w:rPr>
            </w:pPr>
          </w:p>
        </w:tc>
        <w:tc>
          <w:tcPr>
            <w:tcW w:w="1236" w:type="dxa"/>
            <w:vAlign w:val="top"/>
          </w:tcPr>
          <w:p w14:paraId="592281B7">
            <w:pPr>
              <w:pStyle w:val="6"/>
              <w:spacing w:before="47" w:line="239" w:lineRule="auto"/>
              <w:ind w:left="342" w:right="141" w:hanging="195"/>
            </w:pPr>
            <w:r>
              <w:rPr>
                <w:rFonts w:ascii="Times New Roman" w:hAnsi="Times New Roman" w:eastAsia="Times New Roman" w:cs="Times New Roman"/>
                <w:spacing w:val="5"/>
              </w:rPr>
              <w:t>S13</w:t>
            </w:r>
            <w:r>
              <w:rPr>
                <w:spacing w:val="5"/>
              </w:rPr>
              <w:t>（牧民</w:t>
            </w:r>
            <w:r>
              <w:t xml:space="preserve"> </w:t>
            </w:r>
            <w:r>
              <w:rPr>
                <w:spacing w:val="-3"/>
              </w:rPr>
              <w:t>点</w:t>
            </w:r>
            <w:r>
              <w:rPr>
                <w:spacing w:val="-45"/>
              </w:rPr>
              <w:t xml:space="preserve"> </w:t>
            </w:r>
            <w:r>
              <w:rPr>
                <w:rFonts w:ascii="Times New Roman" w:hAnsi="Times New Roman" w:eastAsia="Times New Roman" w:cs="Times New Roman"/>
                <w:spacing w:val="-3"/>
              </w:rPr>
              <w:t>4</w:t>
            </w:r>
            <w:r>
              <w:rPr>
                <w:spacing w:val="-3"/>
              </w:rPr>
              <w:t>）</w:t>
            </w:r>
          </w:p>
        </w:tc>
        <w:tc>
          <w:tcPr>
            <w:tcW w:w="1559" w:type="dxa"/>
            <w:vAlign w:val="top"/>
          </w:tcPr>
          <w:p w14:paraId="1A084269">
            <w:pPr>
              <w:spacing w:before="9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118°52′50.43″</w:t>
            </w:r>
          </w:p>
          <w:p w14:paraId="69650488">
            <w:pPr>
              <w:spacing w:before="5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16′44.08″</w:t>
            </w:r>
          </w:p>
        </w:tc>
        <w:tc>
          <w:tcPr>
            <w:tcW w:w="1132" w:type="dxa"/>
            <w:vAlign w:val="top"/>
          </w:tcPr>
          <w:p w14:paraId="2FF4E9CE">
            <w:pPr>
              <w:pStyle w:val="6"/>
              <w:spacing w:before="50" w:line="222" w:lineRule="auto"/>
              <w:ind w:left="358"/>
              <w:rPr>
                <w:sz w:val="22"/>
                <w:szCs w:val="22"/>
              </w:rPr>
            </w:pPr>
            <w:r>
              <w:rPr>
                <w:spacing w:val="-7"/>
                <w:sz w:val="22"/>
                <w:szCs w:val="22"/>
              </w:rPr>
              <w:t>西南</w:t>
            </w:r>
          </w:p>
          <w:p w14:paraId="79DB3417">
            <w:pPr>
              <w:spacing w:before="39" w:line="189" w:lineRule="auto"/>
              <w:ind w:left="23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4550 m</w:t>
            </w:r>
          </w:p>
        </w:tc>
        <w:tc>
          <w:tcPr>
            <w:tcW w:w="955" w:type="dxa"/>
            <w:vAlign w:val="top"/>
          </w:tcPr>
          <w:p w14:paraId="3CB8A7B3">
            <w:pPr>
              <w:spacing w:before="213" w:line="189" w:lineRule="auto"/>
              <w:ind w:left="37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68</w:t>
            </w:r>
          </w:p>
        </w:tc>
        <w:tc>
          <w:tcPr>
            <w:tcW w:w="2773" w:type="dxa"/>
            <w:vAlign w:val="top"/>
          </w:tcPr>
          <w:p w14:paraId="0C3E13DE">
            <w:pPr>
              <w:pStyle w:val="6"/>
              <w:spacing w:before="36" w:line="220" w:lineRule="auto"/>
              <w:ind w:left="116"/>
              <w:rPr>
                <w:sz w:val="22"/>
                <w:szCs w:val="22"/>
              </w:rPr>
            </w:pPr>
            <w:r>
              <w:rPr>
                <w:spacing w:val="-7"/>
                <w:sz w:val="22"/>
                <w:szCs w:val="22"/>
              </w:rPr>
              <w:t>第四系松散岩类孔隙水、基</w:t>
            </w:r>
          </w:p>
          <w:p w14:paraId="651F69F5">
            <w:pPr>
              <w:pStyle w:val="6"/>
              <w:spacing w:before="20" w:line="206" w:lineRule="auto"/>
              <w:ind w:left="954"/>
              <w:rPr>
                <w:sz w:val="22"/>
                <w:szCs w:val="22"/>
              </w:rPr>
            </w:pPr>
            <w:r>
              <w:rPr>
                <w:spacing w:val="-2"/>
                <w:sz w:val="22"/>
                <w:szCs w:val="22"/>
              </w:rPr>
              <w:t>岩裂隙水</w:t>
            </w:r>
          </w:p>
        </w:tc>
        <w:tc>
          <w:tcPr>
            <w:tcW w:w="1200" w:type="dxa"/>
            <w:vAlign w:val="top"/>
          </w:tcPr>
          <w:p w14:paraId="486A00EB">
            <w:pPr>
              <w:pStyle w:val="6"/>
              <w:spacing w:before="177" w:line="220" w:lineRule="auto"/>
              <w:ind w:left="167"/>
              <w:rPr>
                <w:sz w:val="22"/>
                <w:szCs w:val="22"/>
              </w:rPr>
            </w:pPr>
            <w:r>
              <w:rPr>
                <w:spacing w:val="-3"/>
                <w:sz w:val="22"/>
                <w:szCs w:val="22"/>
              </w:rPr>
              <w:t>生活用水</w:t>
            </w:r>
          </w:p>
        </w:tc>
      </w:tr>
      <w:tr w14:paraId="79AE1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20" w:type="dxa"/>
            <w:vMerge w:val="continue"/>
            <w:tcBorders>
              <w:top w:val="nil"/>
              <w:bottom w:val="nil"/>
            </w:tcBorders>
            <w:vAlign w:val="top"/>
          </w:tcPr>
          <w:p w14:paraId="4580196A">
            <w:pPr>
              <w:rPr>
                <w:rFonts w:ascii="Arial"/>
                <w:sz w:val="21"/>
              </w:rPr>
            </w:pPr>
          </w:p>
        </w:tc>
        <w:tc>
          <w:tcPr>
            <w:tcW w:w="1236" w:type="dxa"/>
            <w:vAlign w:val="top"/>
          </w:tcPr>
          <w:p w14:paraId="2456A54C">
            <w:pPr>
              <w:pStyle w:val="6"/>
              <w:spacing w:before="124" w:line="252" w:lineRule="auto"/>
              <w:ind w:left="321" w:right="141" w:hanging="174"/>
            </w:pPr>
            <w:r>
              <w:rPr>
                <w:rFonts w:ascii="Times New Roman" w:hAnsi="Times New Roman" w:eastAsia="Times New Roman" w:cs="Times New Roman"/>
                <w:spacing w:val="5"/>
              </w:rPr>
              <w:t>S14</w:t>
            </w:r>
            <w:r>
              <w:rPr>
                <w:spacing w:val="5"/>
              </w:rPr>
              <w:t>（达林</w:t>
            </w:r>
            <w:r>
              <w:t xml:space="preserve"> </w:t>
            </w:r>
            <w:r>
              <w:rPr>
                <w:spacing w:val="-3"/>
              </w:rPr>
              <w:t>台家）</w:t>
            </w:r>
          </w:p>
        </w:tc>
        <w:tc>
          <w:tcPr>
            <w:tcW w:w="1559" w:type="dxa"/>
            <w:vAlign w:val="top"/>
          </w:tcPr>
          <w:p w14:paraId="27C76DF7">
            <w:pPr>
              <w:spacing w:before="56" w:line="252" w:lineRule="auto"/>
              <w:ind w:left="533" w:right="112" w:hanging="3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118°51′25.79″</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2"/>
                <w:sz w:val="20"/>
                <w:szCs w:val="20"/>
              </w:rPr>
              <w:t>45°</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2"/>
                <w:sz w:val="20"/>
                <w:szCs w:val="20"/>
              </w:rPr>
              <w:t>15′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11.2</w:t>
            </w:r>
          </w:p>
          <w:p w14:paraId="4956BF29">
            <w:pPr>
              <w:spacing w:line="187" w:lineRule="auto"/>
              <w:ind w:left="69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6″</w:t>
            </w:r>
          </w:p>
        </w:tc>
        <w:tc>
          <w:tcPr>
            <w:tcW w:w="1132" w:type="dxa"/>
            <w:vAlign w:val="top"/>
          </w:tcPr>
          <w:p w14:paraId="0F90D0A7">
            <w:pPr>
              <w:pStyle w:val="6"/>
              <w:spacing w:before="128" w:line="222" w:lineRule="auto"/>
              <w:ind w:left="358"/>
              <w:rPr>
                <w:sz w:val="22"/>
                <w:szCs w:val="22"/>
              </w:rPr>
            </w:pPr>
            <w:r>
              <w:rPr>
                <w:spacing w:val="-7"/>
                <w:sz w:val="22"/>
                <w:szCs w:val="22"/>
              </w:rPr>
              <w:t>西南</w:t>
            </w:r>
          </w:p>
          <w:p w14:paraId="7F178DA1">
            <w:pPr>
              <w:spacing w:before="41" w:line="189" w:lineRule="auto"/>
              <w:ind w:left="25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1990 m</w:t>
            </w:r>
          </w:p>
        </w:tc>
        <w:tc>
          <w:tcPr>
            <w:tcW w:w="955" w:type="dxa"/>
            <w:vAlign w:val="top"/>
          </w:tcPr>
          <w:p w14:paraId="4F47216D">
            <w:pPr>
              <w:spacing w:before="291" w:line="189" w:lineRule="auto"/>
              <w:ind w:left="37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2773" w:type="dxa"/>
            <w:vAlign w:val="top"/>
          </w:tcPr>
          <w:p w14:paraId="770DA5AE">
            <w:pPr>
              <w:pStyle w:val="6"/>
              <w:spacing w:before="111" w:line="220" w:lineRule="auto"/>
              <w:ind w:left="116"/>
              <w:rPr>
                <w:sz w:val="22"/>
                <w:szCs w:val="22"/>
              </w:rPr>
            </w:pPr>
            <w:r>
              <w:rPr>
                <w:spacing w:val="-7"/>
                <w:sz w:val="22"/>
                <w:szCs w:val="22"/>
              </w:rPr>
              <w:t>第四系松散岩类孔隙水、基</w:t>
            </w:r>
          </w:p>
          <w:p w14:paraId="1731494E">
            <w:pPr>
              <w:pStyle w:val="6"/>
              <w:spacing w:before="23" w:line="220" w:lineRule="auto"/>
              <w:ind w:left="954"/>
              <w:rPr>
                <w:sz w:val="22"/>
                <w:szCs w:val="22"/>
              </w:rPr>
            </w:pPr>
            <w:r>
              <w:rPr>
                <w:spacing w:val="-2"/>
                <w:sz w:val="22"/>
                <w:szCs w:val="22"/>
              </w:rPr>
              <w:t>岩裂隙水</w:t>
            </w:r>
          </w:p>
        </w:tc>
        <w:tc>
          <w:tcPr>
            <w:tcW w:w="1200" w:type="dxa"/>
            <w:vAlign w:val="top"/>
          </w:tcPr>
          <w:p w14:paraId="3F2DB272">
            <w:pPr>
              <w:pStyle w:val="6"/>
              <w:spacing w:before="255" w:line="220" w:lineRule="auto"/>
              <w:ind w:left="167"/>
              <w:rPr>
                <w:sz w:val="22"/>
                <w:szCs w:val="22"/>
              </w:rPr>
            </w:pPr>
            <w:r>
              <w:rPr>
                <w:spacing w:val="-3"/>
                <w:sz w:val="22"/>
                <w:szCs w:val="22"/>
              </w:rPr>
              <w:t>生活用水</w:t>
            </w:r>
          </w:p>
        </w:tc>
      </w:tr>
      <w:tr w14:paraId="62A7A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20" w:type="dxa"/>
            <w:vMerge w:val="continue"/>
            <w:tcBorders>
              <w:top w:val="nil"/>
            </w:tcBorders>
            <w:vAlign w:val="top"/>
          </w:tcPr>
          <w:p w14:paraId="44736D21">
            <w:pPr>
              <w:rPr>
                <w:rFonts w:ascii="Arial"/>
                <w:sz w:val="21"/>
              </w:rPr>
            </w:pPr>
          </w:p>
        </w:tc>
        <w:tc>
          <w:tcPr>
            <w:tcW w:w="1236" w:type="dxa"/>
            <w:vAlign w:val="top"/>
          </w:tcPr>
          <w:p w14:paraId="44639810">
            <w:pPr>
              <w:pStyle w:val="6"/>
              <w:spacing w:before="46" w:line="241" w:lineRule="auto"/>
              <w:ind w:left="342" w:right="141" w:hanging="195"/>
            </w:pPr>
            <w:r>
              <w:rPr>
                <w:rFonts w:ascii="Times New Roman" w:hAnsi="Times New Roman" w:eastAsia="Times New Roman" w:cs="Times New Roman"/>
                <w:spacing w:val="5"/>
              </w:rPr>
              <w:t>S15</w:t>
            </w:r>
            <w:r>
              <w:rPr>
                <w:spacing w:val="5"/>
              </w:rPr>
              <w:t>（牧民</w:t>
            </w:r>
            <w:r>
              <w:t xml:space="preserve"> </w:t>
            </w:r>
            <w:r>
              <w:rPr>
                <w:spacing w:val="-7"/>
              </w:rPr>
              <w:t>点</w:t>
            </w:r>
            <w:r>
              <w:rPr>
                <w:spacing w:val="-33"/>
              </w:rPr>
              <w:t xml:space="preserve"> </w:t>
            </w:r>
            <w:r>
              <w:rPr>
                <w:rFonts w:ascii="Times New Roman" w:hAnsi="Times New Roman" w:eastAsia="Times New Roman" w:cs="Times New Roman"/>
                <w:spacing w:val="-7"/>
              </w:rPr>
              <w:t>8</w:t>
            </w:r>
            <w:r>
              <w:rPr>
                <w:spacing w:val="-7"/>
              </w:rPr>
              <w:t>）</w:t>
            </w:r>
          </w:p>
        </w:tc>
        <w:tc>
          <w:tcPr>
            <w:tcW w:w="1559" w:type="dxa"/>
            <w:vAlign w:val="top"/>
          </w:tcPr>
          <w:p w14:paraId="0EF6A26D">
            <w:pPr>
              <w:spacing w:before="101" w:line="244" w:lineRule="auto"/>
              <w:ind w:left="281" w:right="280" w:hanging="1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118°56'9.73"</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15'9.55"</w:t>
            </w:r>
          </w:p>
        </w:tc>
        <w:tc>
          <w:tcPr>
            <w:tcW w:w="1132" w:type="dxa"/>
            <w:vAlign w:val="top"/>
          </w:tcPr>
          <w:p w14:paraId="6B06B134">
            <w:pPr>
              <w:pStyle w:val="6"/>
              <w:spacing w:before="52" w:line="222" w:lineRule="auto"/>
              <w:ind w:left="358"/>
              <w:rPr>
                <w:sz w:val="22"/>
                <w:szCs w:val="22"/>
              </w:rPr>
            </w:pPr>
            <w:r>
              <w:rPr>
                <w:spacing w:val="-7"/>
                <w:sz w:val="22"/>
                <w:szCs w:val="22"/>
              </w:rPr>
              <w:t>西南</w:t>
            </w:r>
          </w:p>
          <w:p w14:paraId="3D8E264E">
            <w:pPr>
              <w:spacing w:before="39" w:line="189" w:lineRule="auto"/>
              <w:ind w:left="23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2550 m</w:t>
            </w:r>
          </w:p>
        </w:tc>
        <w:tc>
          <w:tcPr>
            <w:tcW w:w="955" w:type="dxa"/>
            <w:vAlign w:val="top"/>
          </w:tcPr>
          <w:p w14:paraId="67F580F6">
            <w:pPr>
              <w:spacing w:before="214" w:line="189" w:lineRule="auto"/>
              <w:ind w:left="37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30</w:t>
            </w:r>
          </w:p>
        </w:tc>
        <w:tc>
          <w:tcPr>
            <w:tcW w:w="2773" w:type="dxa"/>
            <w:vAlign w:val="top"/>
          </w:tcPr>
          <w:p w14:paraId="6BE27381">
            <w:pPr>
              <w:pStyle w:val="6"/>
              <w:spacing w:before="35" w:line="220" w:lineRule="auto"/>
              <w:ind w:left="116"/>
              <w:rPr>
                <w:sz w:val="22"/>
                <w:szCs w:val="22"/>
              </w:rPr>
            </w:pPr>
            <w:r>
              <w:rPr>
                <w:spacing w:val="-7"/>
                <w:sz w:val="22"/>
                <w:szCs w:val="22"/>
              </w:rPr>
              <w:t>第四系松散岩类孔隙水、基</w:t>
            </w:r>
          </w:p>
          <w:p w14:paraId="142B0403">
            <w:pPr>
              <w:pStyle w:val="6"/>
              <w:spacing w:before="23" w:line="208" w:lineRule="auto"/>
              <w:ind w:left="954"/>
              <w:rPr>
                <w:sz w:val="22"/>
                <w:szCs w:val="22"/>
              </w:rPr>
            </w:pPr>
            <w:r>
              <w:rPr>
                <w:spacing w:val="-2"/>
                <w:sz w:val="22"/>
                <w:szCs w:val="22"/>
              </w:rPr>
              <w:t>岩裂隙水</w:t>
            </w:r>
          </w:p>
        </w:tc>
        <w:tc>
          <w:tcPr>
            <w:tcW w:w="1200" w:type="dxa"/>
            <w:vAlign w:val="top"/>
          </w:tcPr>
          <w:p w14:paraId="5AA746FC">
            <w:pPr>
              <w:pStyle w:val="6"/>
              <w:spacing w:before="179" w:line="220" w:lineRule="auto"/>
              <w:ind w:left="167"/>
              <w:rPr>
                <w:sz w:val="22"/>
                <w:szCs w:val="22"/>
              </w:rPr>
            </w:pPr>
            <w:r>
              <w:rPr>
                <w:spacing w:val="-3"/>
                <w:sz w:val="22"/>
                <w:szCs w:val="22"/>
              </w:rPr>
              <w:t>生活用水</w:t>
            </w:r>
          </w:p>
        </w:tc>
      </w:tr>
    </w:tbl>
    <w:p w14:paraId="3AD2B927">
      <w:pPr>
        <w:pStyle w:val="2"/>
      </w:pPr>
    </w:p>
    <w:p w14:paraId="78708C86">
      <w:pPr>
        <w:sectPr>
          <w:headerReference r:id="rId176" w:type="default"/>
          <w:footerReference r:id="rId177" w:type="default"/>
          <w:pgSz w:w="11907" w:h="16840"/>
          <w:pgMar w:top="1147" w:right="1021" w:bottom="1357" w:left="1305" w:header="825" w:footer="1195" w:gutter="0"/>
          <w:cols w:space="720" w:num="1"/>
        </w:sectPr>
      </w:pPr>
    </w:p>
    <w:p w14:paraId="2532FA43">
      <w:pPr>
        <w:pStyle w:val="2"/>
        <w:spacing w:line="269" w:lineRule="auto"/>
      </w:pPr>
      <w:r>
        <w:pict>
          <v:shape id="_x0000_s1038" o:spid="_x0000_s1038" style="position:absolute;left:0pt;margin-left:70.9pt;margin-top:57.15pt;height:0.5pt;width:467.8pt;mso-position-horizontal-relative:page;mso-position-vertical-relative:page;z-index:251695104;mso-width-relative:page;mso-height-relative:page;" fillcolor="#000000" filled="t" stroked="f" coordsize="9355,10" o:allowincell="f" path="m0,0l9355,0,9355,9,0,9,0,0xe">
            <v:path/>
            <v:fill on="t" focussize="0,0"/>
            <v:stroke on="f"/>
            <v:imagedata o:title=""/>
            <o:lock v:ext="edit"/>
          </v:shape>
        </w:pict>
      </w:r>
    </w:p>
    <w:p w14:paraId="5E795A2A">
      <w:pPr>
        <w:spacing w:line="9403" w:lineRule="exact"/>
        <w:ind w:firstLine="113"/>
      </w:pPr>
      <w:r>
        <w:rPr>
          <w:position w:val="-188"/>
        </w:rPr>
        <w:drawing>
          <wp:inline distT="0" distB="0" distL="0" distR="0">
            <wp:extent cx="5940425" cy="59709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85"/>
                    <a:stretch>
                      <a:fillRect/>
                    </a:stretch>
                  </pic:blipFill>
                  <pic:spPr>
                    <a:xfrm>
                      <a:off x="0" y="0"/>
                      <a:ext cx="5940552" cy="5971031"/>
                    </a:xfrm>
                    <a:prstGeom prst="rect">
                      <a:avLst/>
                    </a:prstGeom>
                  </pic:spPr>
                </pic:pic>
              </a:graphicData>
            </a:graphic>
          </wp:inline>
        </w:drawing>
      </w:r>
    </w:p>
    <w:p w14:paraId="1964C408">
      <w:pPr>
        <w:spacing w:before="173" w:line="218" w:lineRule="auto"/>
        <w:ind w:left="3172"/>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3"/>
          <w:sz w:val="24"/>
          <w:szCs w:val="24"/>
        </w:rPr>
        <w:t xml:space="preserve"> </w:t>
      </w:r>
      <w:r>
        <w:rPr>
          <w:rFonts w:ascii="宋体" w:hAnsi="宋体" w:eastAsia="宋体" w:cs="宋体"/>
          <w:spacing w:val="-3"/>
          <w:sz w:val="24"/>
          <w:szCs w:val="24"/>
        </w:rPr>
        <w:t>6.3-2  评价区开采井分布图</w:t>
      </w:r>
    </w:p>
    <w:p w14:paraId="03B39342">
      <w:pPr>
        <w:spacing w:before="182" w:line="219"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6.3.2.2 </w:t>
      </w:r>
      <w:r>
        <w:rPr>
          <w:rFonts w:ascii="宋体" w:hAnsi="宋体" w:eastAsia="宋体" w:cs="宋体"/>
          <w:spacing w:val="-1"/>
          <w:sz w:val="24"/>
          <w:szCs w:val="24"/>
        </w:rPr>
        <w:t>水质现状监测</w:t>
      </w:r>
    </w:p>
    <w:p w14:paraId="10CD8BA1">
      <w:pPr>
        <w:spacing w:before="182" w:line="219" w:lineRule="auto"/>
        <w:ind w:left="621"/>
        <w:rPr>
          <w:rFonts w:ascii="宋体" w:hAnsi="宋体" w:eastAsia="宋体" w:cs="宋体"/>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、监测点位布设</w:t>
      </w:r>
    </w:p>
    <w:p w14:paraId="56E07390">
      <w:pPr>
        <w:spacing w:before="183" w:line="359" w:lineRule="auto"/>
        <w:ind w:left="122" w:right="108" w:firstLine="480"/>
        <w:rPr>
          <w:rFonts w:ascii="宋体" w:hAnsi="宋体" w:eastAsia="宋体" w:cs="宋体"/>
          <w:sz w:val="24"/>
          <w:szCs w:val="24"/>
        </w:rPr>
      </w:pPr>
      <w:r>
        <w:rPr>
          <w:rFonts w:ascii="宋体" w:hAnsi="宋体" w:eastAsia="宋体" w:cs="宋体"/>
          <w:spacing w:val="1"/>
          <w:sz w:val="24"/>
          <w:szCs w:val="24"/>
        </w:rPr>
        <w:t>本次在评价区内共设水质监测点</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个，主要对评价区内的第四系松散岩类孔隙水、基</w:t>
      </w:r>
      <w:r>
        <w:rPr>
          <w:rFonts w:ascii="宋体" w:hAnsi="宋体" w:eastAsia="宋体" w:cs="宋体"/>
          <w:spacing w:val="5"/>
          <w:sz w:val="24"/>
          <w:szCs w:val="24"/>
        </w:rPr>
        <w:t xml:space="preserve"> </w:t>
      </w:r>
      <w:r>
        <w:rPr>
          <w:rFonts w:ascii="宋体" w:hAnsi="宋体" w:eastAsia="宋体" w:cs="宋体"/>
          <w:sz w:val="24"/>
          <w:szCs w:val="24"/>
        </w:rPr>
        <w:t>岩裂隙水和碎屑岩类孔隙裂隙水进行水质监测，详见</w:t>
      </w:r>
      <w:r>
        <w:rPr>
          <w:rFonts w:ascii="宋体" w:hAnsi="宋体" w:eastAsia="宋体" w:cs="宋体"/>
          <w:spacing w:val="-1"/>
          <w:sz w:val="24"/>
          <w:szCs w:val="24"/>
        </w:rPr>
        <w:t>地下水环境监测点情况一览表及地下</w:t>
      </w:r>
      <w:r>
        <w:rPr>
          <w:rFonts w:ascii="宋体" w:hAnsi="宋体" w:eastAsia="宋体" w:cs="宋体"/>
          <w:sz w:val="24"/>
          <w:szCs w:val="24"/>
        </w:rPr>
        <w:t xml:space="preserve"> </w:t>
      </w:r>
      <w:r>
        <w:rPr>
          <w:rFonts w:ascii="宋体" w:hAnsi="宋体" w:eastAsia="宋体" w:cs="宋体"/>
          <w:spacing w:val="-1"/>
          <w:sz w:val="24"/>
          <w:szCs w:val="24"/>
        </w:rPr>
        <w:t>水环境质量现状监测点位分布图。</w:t>
      </w:r>
    </w:p>
    <w:p w14:paraId="2118276A">
      <w:pPr>
        <w:spacing w:line="219" w:lineRule="auto"/>
        <w:ind w:left="247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6.3-6    </w:t>
      </w:r>
      <w:r>
        <w:rPr>
          <w:rFonts w:ascii="宋体" w:hAnsi="宋体" w:eastAsia="宋体" w:cs="宋体"/>
          <w:spacing w:val="-1"/>
          <w:sz w:val="24"/>
          <w:szCs w:val="24"/>
        </w:rPr>
        <w:t>地下水环境水质监测点相对位置一览表</w:t>
      </w:r>
    </w:p>
    <w:p w14:paraId="4869A114">
      <w:pPr>
        <w:spacing w:line="147" w:lineRule="exact"/>
      </w:pPr>
    </w:p>
    <w:tbl>
      <w:tblPr>
        <w:tblStyle w:val="5"/>
        <w:tblW w:w="95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771"/>
        <w:gridCol w:w="1685"/>
        <w:gridCol w:w="1721"/>
        <w:gridCol w:w="1245"/>
        <w:gridCol w:w="3374"/>
      </w:tblGrid>
      <w:tr w14:paraId="29D10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75" w:type="dxa"/>
            <w:vAlign w:val="top"/>
          </w:tcPr>
          <w:p w14:paraId="02E8E98D">
            <w:pPr>
              <w:pStyle w:val="6"/>
              <w:spacing w:before="70" w:line="228" w:lineRule="auto"/>
              <w:ind w:left="186"/>
            </w:pPr>
            <w:r>
              <w:rPr>
                <w:spacing w:val="3"/>
              </w:rPr>
              <w:t>分区</w:t>
            </w:r>
          </w:p>
        </w:tc>
        <w:tc>
          <w:tcPr>
            <w:tcW w:w="771" w:type="dxa"/>
            <w:vAlign w:val="top"/>
          </w:tcPr>
          <w:p w14:paraId="0C768086">
            <w:pPr>
              <w:pStyle w:val="6"/>
              <w:spacing w:before="69" w:line="228" w:lineRule="auto"/>
              <w:ind w:left="180"/>
            </w:pPr>
            <w:r>
              <w:rPr>
                <w:spacing w:val="3"/>
              </w:rPr>
              <w:t>编号</w:t>
            </w:r>
          </w:p>
        </w:tc>
        <w:tc>
          <w:tcPr>
            <w:tcW w:w="1685" w:type="dxa"/>
            <w:vAlign w:val="top"/>
          </w:tcPr>
          <w:p w14:paraId="316E526E">
            <w:pPr>
              <w:pStyle w:val="6"/>
              <w:spacing w:before="70" w:line="228" w:lineRule="auto"/>
              <w:ind w:left="637"/>
            </w:pPr>
            <w:r>
              <w:rPr>
                <w:spacing w:val="4"/>
              </w:rPr>
              <w:t>坐标</w:t>
            </w:r>
          </w:p>
        </w:tc>
        <w:tc>
          <w:tcPr>
            <w:tcW w:w="1721" w:type="dxa"/>
            <w:vAlign w:val="top"/>
          </w:tcPr>
          <w:p w14:paraId="2EF4FC46">
            <w:pPr>
              <w:pStyle w:val="6"/>
              <w:spacing w:before="70" w:line="228" w:lineRule="auto"/>
              <w:ind w:left="239"/>
            </w:pPr>
            <w:r>
              <w:rPr>
                <w:spacing w:val="7"/>
              </w:rPr>
              <w:t>与项目区关系</w:t>
            </w:r>
          </w:p>
        </w:tc>
        <w:tc>
          <w:tcPr>
            <w:tcW w:w="1245" w:type="dxa"/>
            <w:vAlign w:val="top"/>
          </w:tcPr>
          <w:p w14:paraId="6E01859E">
            <w:pPr>
              <w:pStyle w:val="6"/>
              <w:spacing w:before="70" w:line="228" w:lineRule="auto"/>
              <w:ind w:left="127"/>
            </w:pPr>
            <w:r>
              <w:rPr>
                <w:spacing w:val="5"/>
              </w:rPr>
              <w:t>井深（</w:t>
            </w:r>
            <w:r>
              <w:rPr>
                <w:rFonts w:ascii="Times New Roman" w:hAnsi="Times New Roman" w:eastAsia="Times New Roman" w:cs="Times New Roman"/>
                <w:spacing w:val="5"/>
              </w:rPr>
              <w:t>m</w:t>
            </w:r>
            <w:r>
              <w:rPr>
                <w:spacing w:val="5"/>
              </w:rPr>
              <w:t>）</w:t>
            </w:r>
          </w:p>
        </w:tc>
        <w:tc>
          <w:tcPr>
            <w:tcW w:w="3374" w:type="dxa"/>
            <w:vAlign w:val="top"/>
          </w:tcPr>
          <w:p w14:paraId="3FC27C47">
            <w:pPr>
              <w:pStyle w:val="6"/>
              <w:spacing w:before="69" w:line="228" w:lineRule="auto"/>
              <w:ind w:left="1273"/>
            </w:pPr>
            <w:r>
              <w:rPr>
                <w:spacing w:val="7"/>
              </w:rPr>
              <w:t>监测层位</w:t>
            </w:r>
          </w:p>
        </w:tc>
      </w:tr>
      <w:tr w14:paraId="19196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5" w:type="dxa"/>
            <w:vAlign w:val="top"/>
          </w:tcPr>
          <w:p w14:paraId="33622C56">
            <w:pPr>
              <w:pStyle w:val="6"/>
              <w:spacing w:before="45"/>
              <w:ind w:left="301" w:right="176" w:hanging="119"/>
            </w:pPr>
            <w:r>
              <w:rPr>
                <w:spacing w:val="5"/>
              </w:rPr>
              <w:t>评价</w:t>
            </w:r>
            <w:r>
              <w:t xml:space="preserve"> 区</w:t>
            </w:r>
          </w:p>
        </w:tc>
        <w:tc>
          <w:tcPr>
            <w:tcW w:w="771" w:type="dxa"/>
            <w:vAlign w:val="top"/>
          </w:tcPr>
          <w:p w14:paraId="28898DE6">
            <w:pPr>
              <w:spacing w:before="2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1685" w:type="dxa"/>
            <w:vAlign w:val="top"/>
          </w:tcPr>
          <w:p w14:paraId="02F068D0">
            <w:pPr>
              <w:spacing w:before="9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118°55′4.49″</w:t>
            </w:r>
          </w:p>
          <w:p w14:paraId="7821DDE0">
            <w:pPr>
              <w:spacing w:before="55"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1721" w:type="dxa"/>
            <w:vAlign w:val="top"/>
          </w:tcPr>
          <w:p w14:paraId="740D575D">
            <w:pPr>
              <w:pStyle w:val="6"/>
              <w:spacing w:before="176" w:line="224" w:lineRule="auto"/>
              <w:ind w:left="318"/>
              <w:rPr>
                <w:rFonts w:ascii="Times New Roman" w:hAnsi="Times New Roman" w:eastAsia="Times New Roman" w:cs="Times New Roman"/>
                <w:sz w:val="22"/>
                <w:szCs w:val="22"/>
              </w:rPr>
            </w:pPr>
            <w:r>
              <w:rPr>
                <w:spacing w:val="-3"/>
                <w:sz w:val="22"/>
                <w:szCs w:val="22"/>
              </w:rPr>
              <w:t>西北</w:t>
            </w:r>
            <w:r>
              <w:rPr>
                <w:spacing w:val="-48"/>
                <w:sz w:val="22"/>
                <w:szCs w:val="22"/>
              </w:rPr>
              <w:t xml:space="preserve"> </w:t>
            </w:r>
            <w:r>
              <w:rPr>
                <w:rFonts w:ascii="Times New Roman" w:hAnsi="Times New Roman" w:eastAsia="Times New Roman" w:cs="Times New Roman"/>
                <w:spacing w:val="-3"/>
                <w:sz w:val="22"/>
                <w:szCs w:val="22"/>
              </w:rPr>
              <w:t>3460m</w:t>
            </w:r>
          </w:p>
        </w:tc>
        <w:tc>
          <w:tcPr>
            <w:tcW w:w="1245" w:type="dxa"/>
            <w:vAlign w:val="top"/>
          </w:tcPr>
          <w:p w14:paraId="3C8270F2">
            <w:pPr>
              <w:spacing w:before="212" w:line="189" w:lineRule="auto"/>
              <w:ind w:left="52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3374" w:type="dxa"/>
            <w:vAlign w:val="top"/>
          </w:tcPr>
          <w:p w14:paraId="39B2C478">
            <w:pPr>
              <w:pStyle w:val="6"/>
              <w:spacing w:before="33" w:line="220" w:lineRule="auto"/>
              <w:ind w:left="152"/>
              <w:rPr>
                <w:sz w:val="22"/>
                <w:szCs w:val="22"/>
              </w:rPr>
            </w:pPr>
            <w:r>
              <w:rPr>
                <w:spacing w:val="-1"/>
                <w:sz w:val="22"/>
                <w:szCs w:val="22"/>
              </w:rPr>
              <w:t>第四系松散岩类孔隙水、碎屑岩</w:t>
            </w:r>
          </w:p>
          <w:p w14:paraId="0F109A83">
            <w:pPr>
              <w:pStyle w:val="6"/>
              <w:spacing w:before="22" w:line="207" w:lineRule="auto"/>
              <w:ind w:left="1033"/>
              <w:rPr>
                <w:sz w:val="22"/>
                <w:szCs w:val="22"/>
              </w:rPr>
            </w:pPr>
            <w:r>
              <w:rPr>
                <w:spacing w:val="-2"/>
                <w:sz w:val="22"/>
                <w:szCs w:val="22"/>
              </w:rPr>
              <w:t>类孔隙裂隙水</w:t>
            </w:r>
          </w:p>
        </w:tc>
      </w:tr>
    </w:tbl>
    <w:p w14:paraId="7B33C79E">
      <w:pPr>
        <w:pStyle w:val="2"/>
      </w:pPr>
    </w:p>
    <w:p w14:paraId="327A63AE">
      <w:pPr>
        <w:sectPr>
          <w:headerReference r:id="rId178" w:type="default"/>
          <w:footerReference r:id="rId179" w:type="default"/>
          <w:pgSz w:w="11907" w:h="16840"/>
          <w:pgMar w:top="1147" w:right="1025" w:bottom="1357" w:left="1305" w:header="825" w:footer="1195" w:gutter="0"/>
          <w:cols w:space="720" w:num="1"/>
        </w:sectPr>
      </w:pPr>
    </w:p>
    <w:p w14:paraId="70E4FFA7">
      <w:pPr>
        <w:spacing w:before="29"/>
      </w:pPr>
      <w:r>
        <w:pict>
          <v:shape id="_x0000_s1039" o:spid="_x0000_s1039" style="position:absolute;left:0pt;margin-left:70.9pt;margin-top:57.15pt;height:0.5pt;width:467.8pt;mso-position-horizontal-relative:page;mso-position-vertical-relative:page;z-index:251696128;mso-width-relative:page;mso-height-relative:page;" fillcolor="#000000" filled="t" stroked="f" coordsize="9355,10" o:allowincell="f" path="m0,0l9355,0,9355,9,0,9,0,0xe">
            <v:path/>
            <v:fill on="t" focussize="0,0"/>
            <v:stroke on="f"/>
            <v:imagedata o:title=""/>
            <o:lock v:ext="edit"/>
          </v:shape>
        </w:pict>
      </w:r>
    </w:p>
    <w:tbl>
      <w:tblPr>
        <w:tblStyle w:val="5"/>
        <w:tblW w:w="95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771"/>
        <w:gridCol w:w="1685"/>
        <w:gridCol w:w="1721"/>
        <w:gridCol w:w="1245"/>
        <w:gridCol w:w="3374"/>
      </w:tblGrid>
      <w:tr w14:paraId="56A71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75" w:type="dxa"/>
            <w:vAlign w:val="top"/>
          </w:tcPr>
          <w:p w14:paraId="0D18C03D">
            <w:pPr>
              <w:pStyle w:val="6"/>
              <w:spacing w:before="69" w:line="228" w:lineRule="auto"/>
              <w:ind w:left="186"/>
            </w:pPr>
            <w:r>
              <w:rPr>
                <w:spacing w:val="3"/>
              </w:rPr>
              <w:t>分区</w:t>
            </w:r>
          </w:p>
        </w:tc>
        <w:tc>
          <w:tcPr>
            <w:tcW w:w="771" w:type="dxa"/>
            <w:vAlign w:val="top"/>
          </w:tcPr>
          <w:p w14:paraId="6A77717F">
            <w:pPr>
              <w:pStyle w:val="6"/>
              <w:spacing w:before="68" w:line="228" w:lineRule="auto"/>
              <w:ind w:left="180"/>
            </w:pPr>
            <w:r>
              <w:rPr>
                <w:spacing w:val="3"/>
              </w:rPr>
              <w:t>编号</w:t>
            </w:r>
          </w:p>
        </w:tc>
        <w:tc>
          <w:tcPr>
            <w:tcW w:w="1685" w:type="dxa"/>
            <w:vAlign w:val="top"/>
          </w:tcPr>
          <w:p w14:paraId="57393EF5">
            <w:pPr>
              <w:pStyle w:val="6"/>
              <w:spacing w:before="69" w:line="228" w:lineRule="auto"/>
              <w:ind w:left="637"/>
            </w:pPr>
            <w:r>
              <w:rPr>
                <w:spacing w:val="4"/>
              </w:rPr>
              <w:t>坐标</w:t>
            </w:r>
          </w:p>
        </w:tc>
        <w:tc>
          <w:tcPr>
            <w:tcW w:w="1721" w:type="dxa"/>
            <w:vAlign w:val="top"/>
          </w:tcPr>
          <w:p w14:paraId="4F13CA4E">
            <w:pPr>
              <w:pStyle w:val="6"/>
              <w:spacing w:before="69" w:line="228" w:lineRule="auto"/>
              <w:ind w:left="239"/>
            </w:pPr>
            <w:r>
              <w:rPr>
                <w:spacing w:val="7"/>
              </w:rPr>
              <w:t>与项目区关系</w:t>
            </w:r>
          </w:p>
        </w:tc>
        <w:tc>
          <w:tcPr>
            <w:tcW w:w="1245" w:type="dxa"/>
            <w:vAlign w:val="top"/>
          </w:tcPr>
          <w:p w14:paraId="2BF48CA8">
            <w:pPr>
              <w:pStyle w:val="6"/>
              <w:spacing w:before="69" w:line="228" w:lineRule="auto"/>
              <w:ind w:left="127"/>
            </w:pPr>
            <w:r>
              <w:rPr>
                <w:spacing w:val="5"/>
              </w:rPr>
              <w:t>井深（</w:t>
            </w:r>
            <w:r>
              <w:rPr>
                <w:rFonts w:ascii="Times New Roman" w:hAnsi="Times New Roman" w:eastAsia="Times New Roman" w:cs="Times New Roman"/>
                <w:spacing w:val="5"/>
              </w:rPr>
              <w:t>m</w:t>
            </w:r>
            <w:r>
              <w:rPr>
                <w:spacing w:val="5"/>
              </w:rPr>
              <w:t>）</w:t>
            </w:r>
          </w:p>
        </w:tc>
        <w:tc>
          <w:tcPr>
            <w:tcW w:w="3374" w:type="dxa"/>
            <w:vAlign w:val="top"/>
          </w:tcPr>
          <w:p w14:paraId="42692961">
            <w:pPr>
              <w:pStyle w:val="6"/>
              <w:spacing w:before="68" w:line="228" w:lineRule="auto"/>
              <w:ind w:left="1273"/>
            </w:pPr>
            <w:r>
              <w:rPr>
                <w:spacing w:val="7"/>
              </w:rPr>
              <w:t>监测层位</w:t>
            </w:r>
          </w:p>
        </w:tc>
      </w:tr>
      <w:tr w14:paraId="36E34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5" w:type="dxa"/>
            <w:vMerge w:val="restart"/>
            <w:tcBorders>
              <w:bottom w:val="nil"/>
            </w:tcBorders>
            <w:vAlign w:val="top"/>
          </w:tcPr>
          <w:p w14:paraId="1A95F78F">
            <w:pPr>
              <w:rPr>
                <w:rFonts w:ascii="Arial"/>
                <w:sz w:val="21"/>
              </w:rPr>
            </w:pPr>
          </w:p>
        </w:tc>
        <w:tc>
          <w:tcPr>
            <w:tcW w:w="771" w:type="dxa"/>
            <w:vAlign w:val="top"/>
          </w:tcPr>
          <w:p w14:paraId="10A77584">
            <w:pPr>
              <w:spacing w:before="21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685" w:type="dxa"/>
            <w:vAlign w:val="top"/>
          </w:tcPr>
          <w:p w14:paraId="01425119">
            <w:pPr>
              <w:spacing w:before="9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118°55′</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1.95″</w:t>
            </w:r>
          </w:p>
          <w:p w14:paraId="0F67CF2A">
            <w:pPr>
              <w:spacing w:before="5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11.05″</w:t>
            </w:r>
          </w:p>
        </w:tc>
        <w:tc>
          <w:tcPr>
            <w:tcW w:w="1721" w:type="dxa"/>
            <w:vAlign w:val="top"/>
          </w:tcPr>
          <w:p w14:paraId="58C54D5F">
            <w:pPr>
              <w:pStyle w:val="6"/>
              <w:spacing w:before="174" w:line="224" w:lineRule="auto"/>
              <w:ind w:left="289"/>
              <w:rPr>
                <w:rFonts w:ascii="Times New Roman" w:hAnsi="Times New Roman" w:eastAsia="Times New Roman" w:cs="Times New Roman"/>
                <w:sz w:val="22"/>
                <w:szCs w:val="22"/>
              </w:rPr>
            </w:pPr>
            <w:r>
              <w:rPr>
                <w:spacing w:val="-3"/>
                <w:sz w:val="22"/>
                <w:szCs w:val="22"/>
              </w:rPr>
              <w:t>西北</w:t>
            </w:r>
            <w:r>
              <w:rPr>
                <w:spacing w:val="-43"/>
                <w:sz w:val="22"/>
                <w:szCs w:val="22"/>
              </w:rPr>
              <w:t xml:space="preserve"> </w:t>
            </w:r>
            <w:r>
              <w:rPr>
                <w:rFonts w:ascii="Times New Roman" w:hAnsi="Times New Roman" w:eastAsia="Times New Roman" w:cs="Times New Roman"/>
                <w:spacing w:val="-3"/>
                <w:sz w:val="22"/>
                <w:szCs w:val="22"/>
              </w:rPr>
              <w:t>3340 m</w:t>
            </w:r>
          </w:p>
        </w:tc>
        <w:tc>
          <w:tcPr>
            <w:tcW w:w="1245" w:type="dxa"/>
            <w:vAlign w:val="top"/>
          </w:tcPr>
          <w:p w14:paraId="445A1451">
            <w:pPr>
              <w:spacing w:before="213" w:line="189" w:lineRule="auto"/>
              <w:ind w:left="521"/>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50</w:t>
            </w:r>
          </w:p>
        </w:tc>
        <w:tc>
          <w:tcPr>
            <w:tcW w:w="3374" w:type="dxa"/>
            <w:vAlign w:val="top"/>
          </w:tcPr>
          <w:p w14:paraId="24A46B48">
            <w:pPr>
              <w:pStyle w:val="6"/>
              <w:spacing w:before="33" w:line="220" w:lineRule="auto"/>
              <w:ind w:left="152"/>
              <w:rPr>
                <w:sz w:val="22"/>
                <w:szCs w:val="22"/>
              </w:rPr>
            </w:pPr>
            <w:r>
              <w:rPr>
                <w:spacing w:val="-1"/>
                <w:sz w:val="22"/>
                <w:szCs w:val="22"/>
              </w:rPr>
              <w:t>第四系松散岩类孔隙水、碎屑岩</w:t>
            </w:r>
          </w:p>
          <w:p w14:paraId="36BC37DB">
            <w:pPr>
              <w:pStyle w:val="6"/>
              <w:spacing w:before="23" w:line="206" w:lineRule="auto"/>
              <w:ind w:left="1033"/>
              <w:rPr>
                <w:sz w:val="22"/>
                <w:szCs w:val="22"/>
              </w:rPr>
            </w:pPr>
            <w:r>
              <w:rPr>
                <w:spacing w:val="-2"/>
                <w:sz w:val="22"/>
                <w:szCs w:val="22"/>
              </w:rPr>
              <w:t>类孔隙裂隙水</w:t>
            </w:r>
          </w:p>
        </w:tc>
      </w:tr>
      <w:tr w14:paraId="1359A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75" w:type="dxa"/>
            <w:vMerge w:val="continue"/>
            <w:tcBorders>
              <w:top w:val="nil"/>
              <w:bottom w:val="nil"/>
            </w:tcBorders>
            <w:vAlign w:val="top"/>
          </w:tcPr>
          <w:p w14:paraId="69C1550E">
            <w:pPr>
              <w:rPr>
                <w:rFonts w:ascii="Arial"/>
                <w:sz w:val="21"/>
              </w:rPr>
            </w:pPr>
          </w:p>
        </w:tc>
        <w:tc>
          <w:tcPr>
            <w:tcW w:w="771" w:type="dxa"/>
            <w:vAlign w:val="top"/>
          </w:tcPr>
          <w:p w14:paraId="15717610">
            <w:pPr>
              <w:spacing w:before="17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1685" w:type="dxa"/>
            <w:vAlign w:val="top"/>
          </w:tcPr>
          <w:p w14:paraId="20DB38B7">
            <w:pPr>
              <w:spacing w:before="53"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118°54′53.53″</w:t>
            </w:r>
          </w:p>
          <w:p w14:paraId="15D25CE2">
            <w:pPr>
              <w:spacing w:before="53" w:line="192"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16′51.02″</w:t>
            </w:r>
          </w:p>
        </w:tc>
        <w:tc>
          <w:tcPr>
            <w:tcW w:w="1721" w:type="dxa"/>
            <w:vAlign w:val="top"/>
          </w:tcPr>
          <w:p w14:paraId="18AF6811">
            <w:pPr>
              <w:pStyle w:val="6"/>
              <w:spacing w:before="129" w:line="224" w:lineRule="auto"/>
              <w:ind w:left="289"/>
              <w:rPr>
                <w:rFonts w:ascii="Times New Roman" w:hAnsi="Times New Roman" w:eastAsia="Times New Roman" w:cs="Times New Roman"/>
                <w:sz w:val="22"/>
                <w:szCs w:val="22"/>
              </w:rPr>
            </w:pPr>
            <w:r>
              <w:rPr>
                <w:spacing w:val="-3"/>
                <w:sz w:val="22"/>
                <w:szCs w:val="22"/>
              </w:rPr>
              <w:t>西北</w:t>
            </w:r>
            <w:r>
              <w:rPr>
                <w:spacing w:val="-43"/>
                <w:sz w:val="22"/>
                <w:szCs w:val="22"/>
              </w:rPr>
              <w:t xml:space="preserve"> </w:t>
            </w:r>
            <w:r>
              <w:rPr>
                <w:rFonts w:ascii="Times New Roman" w:hAnsi="Times New Roman" w:eastAsia="Times New Roman" w:cs="Times New Roman"/>
                <w:spacing w:val="-3"/>
                <w:sz w:val="22"/>
                <w:szCs w:val="22"/>
              </w:rPr>
              <w:t>3410 m</w:t>
            </w:r>
          </w:p>
        </w:tc>
        <w:tc>
          <w:tcPr>
            <w:tcW w:w="1245" w:type="dxa"/>
            <w:vAlign w:val="top"/>
          </w:tcPr>
          <w:p w14:paraId="56D5C562">
            <w:pPr>
              <w:spacing w:before="168" w:line="189" w:lineRule="auto"/>
              <w:ind w:left="43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9.17</w:t>
            </w:r>
          </w:p>
        </w:tc>
        <w:tc>
          <w:tcPr>
            <w:tcW w:w="3374" w:type="dxa"/>
            <w:vAlign w:val="top"/>
          </w:tcPr>
          <w:p w14:paraId="22785BF6">
            <w:pPr>
              <w:pStyle w:val="6"/>
              <w:spacing w:before="130" w:line="220" w:lineRule="auto"/>
              <w:ind w:left="591"/>
              <w:rPr>
                <w:sz w:val="22"/>
                <w:szCs w:val="22"/>
              </w:rPr>
            </w:pPr>
            <w:r>
              <w:rPr>
                <w:spacing w:val="-1"/>
                <w:sz w:val="22"/>
                <w:szCs w:val="22"/>
              </w:rPr>
              <w:t>第四系松散岩类孔隙水</w:t>
            </w:r>
          </w:p>
        </w:tc>
      </w:tr>
      <w:tr w14:paraId="23CC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5" w:type="dxa"/>
            <w:vMerge w:val="continue"/>
            <w:tcBorders>
              <w:top w:val="nil"/>
              <w:bottom w:val="nil"/>
            </w:tcBorders>
            <w:vAlign w:val="top"/>
          </w:tcPr>
          <w:p w14:paraId="06E866AA">
            <w:pPr>
              <w:rPr>
                <w:rFonts w:ascii="Arial"/>
                <w:sz w:val="21"/>
              </w:rPr>
            </w:pPr>
          </w:p>
        </w:tc>
        <w:tc>
          <w:tcPr>
            <w:tcW w:w="771" w:type="dxa"/>
            <w:vAlign w:val="top"/>
          </w:tcPr>
          <w:p w14:paraId="0F12AED7">
            <w:pPr>
              <w:spacing w:before="21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685" w:type="dxa"/>
            <w:vAlign w:val="top"/>
          </w:tcPr>
          <w:p w14:paraId="35933125">
            <w:pPr>
              <w:spacing w:before="96"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118°54′50.36″</w:t>
            </w:r>
          </w:p>
          <w:p w14:paraId="716688CB">
            <w:pPr>
              <w:spacing w:before="5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16′41.15″</w:t>
            </w:r>
          </w:p>
        </w:tc>
        <w:tc>
          <w:tcPr>
            <w:tcW w:w="1721" w:type="dxa"/>
            <w:vAlign w:val="top"/>
          </w:tcPr>
          <w:p w14:paraId="28E80FAE">
            <w:pPr>
              <w:pStyle w:val="6"/>
              <w:spacing w:before="174" w:line="224" w:lineRule="auto"/>
              <w:ind w:left="289"/>
              <w:rPr>
                <w:rFonts w:ascii="Times New Roman" w:hAnsi="Times New Roman" w:eastAsia="Times New Roman" w:cs="Times New Roman"/>
                <w:sz w:val="22"/>
                <w:szCs w:val="22"/>
              </w:rPr>
            </w:pPr>
            <w:r>
              <w:rPr>
                <w:spacing w:val="-3"/>
                <w:sz w:val="22"/>
                <w:szCs w:val="22"/>
              </w:rPr>
              <w:t>西北</w:t>
            </w:r>
            <w:r>
              <w:rPr>
                <w:spacing w:val="-43"/>
                <w:sz w:val="22"/>
                <w:szCs w:val="22"/>
              </w:rPr>
              <w:t xml:space="preserve"> </w:t>
            </w:r>
            <w:r>
              <w:rPr>
                <w:rFonts w:ascii="Times New Roman" w:hAnsi="Times New Roman" w:eastAsia="Times New Roman" w:cs="Times New Roman"/>
                <w:spacing w:val="-3"/>
                <w:sz w:val="22"/>
                <w:szCs w:val="22"/>
              </w:rPr>
              <w:t>3400 m</w:t>
            </w:r>
          </w:p>
        </w:tc>
        <w:tc>
          <w:tcPr>
            <w:tcW w:w="1245" w:type="dxa"/>
            <w:vAlign w:val="top"/>
          </w:tcPr>
          <w:p w14:paraId="64EE3DCD">
            <w:pPr>
              <w:spacing w:before="212" w:line="189" w:lineRule="auto"/>
              <w:ind w:left="51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45</w:t>
            </w:r>
          </w:p>
        </w:tc>
        <w:tc>
          <w:tcPr>
            <w:tcW w:w="3374" w:type="dxa"/>
            <w:vAlign w:val="top"/>
          </w:tcPr>
          <w:p w14:paraId="1C4F3AB9">
            <w:pPr>
              <w:pStyle w:val="6"/>
              <w:spacing w:before="33" w:line="220" w:lineRule="auto"/>
              <w:ind w:left="152"/>
              <w:rPr>
                <w:sz w:val="22"/>
                <w:szCs w:val="22"/>
              </w:rPr>
            </w:pPr>
            <w:r>
              <w:rPr>
                <w:spacing w:val="-1"/>
                <w:sz w:val="22"/>
                <w:szCs w:val="22"/>
              </w:rPr>
              <w:t>第四系松散岩类孔隙水、碎屑岩</w:t>
            </w:r>
          </w:p>
          <w:p w14:paraId="5392B908">
            <w:pPr>
              <w:pStyle w:val="6"/>
              <w:spacing w:before="22" w:line="206" w:lineRule="auto"/>
              <w:ind w:left="1033"/>
              <w:rPr>
                <w:sz w:val="22"/>
                <w:szCs w:val="22"/>
              </w:rPr>
            </w:pPr>
            <w:r>
              <w:rPr>
                <w:spacing w:val="-2"/>
                <w:sz w:val="22"/>
                <w:szCs w:val="22"/>
              </w:rPr>
              <w:t>类孔隙裂隙水</w:t>
            </w:r>
          </w:p>
        </w:tc>
      </w:tr>
      <w:tr w14:paraId="3FD37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5" w:type="dxa"/>
            <w:vMerge w:val="continue"/>
            <w:tcBorders>
              <w:top w:val="nil"/>
              <w:bottom w:val="nil"/>
            </w:tcBorders>
            <w:vAlign w:val="top"/>
          </w:tcPr>
          <w:p w14:paraId="0B923303">
            <w:pPr>
              <w:rPr>
                <w:rFonts w:ascii="Arial"/>
                <w:sz w:val="21"/>
              </w:rPr>
            </w:pPr>
          </w:p>
        </w:tc>
        <w:tc>
          <w:tcPr>
            <w:tcW w:w="771" w:type="dxa"/>
            <w:vAlign w:val="top"/>
          </w:tcPr>
          <w:p w14:paraId="68093BF6">
            <w:pPr>
              <w:spacing w:before="22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685" w:type="dxa"/>
            <w:vAlign w:val="top"/>
          </w:tcPr>
          <w:p w14:paraId="26ED7251">
            <w:pPr>
              <w:spacing w:before="9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118°57′2.31″</w:t>
            </w:r>
          </w:p>
          <w:p w14:paraId="21F1C082">
            <w:pPr>
              <w:spacing w:before="55"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14′56.70″</w:t>
            </w:r>
          </w:p>
        </w:tc>
        <w:tc>
          <w:tcPr>
            <w:tcW w:w="1721" w:type="dxa"/>
            <w:vAlign w:val="top"/>
          </w:tcPr>
          <w:p w14:paraId="1D6A654F">
            <w:pPr>
              <w:pStyle w:val="6"/>
              <w:spacing w:before="176" w:line="224" w:lineRule="auto"/>
              <w:ind w:left="289"/>
              <w:rPr>
                <w:rFonts w:ascii="Times New Roman" w:hAnsi="Times New Roman" w:eastAsia="Times New Roman" w:cs="Times New Roman"/>
                <w:sz w:val="22"/>
                <w:szCs w:val="22"/>
              </w:rPr>
            </w:pPr>
            <w:r>
              <w:rPr>
                <w:spacing w:val="-5"/>
                <w:sz w:val="22"/>
                <w:szCs w:val="22"/>
              </w:rPr>
              <w:t>西北</w:t>
            </w:r>
            <w:r>
              <w:rPr>
                <w:spacing w:val="-27"/>
                <w:sz w:val="22"/>
                <w:szCs w:val="22"/>
              </w:rPr>
              <w:t xml:space="preserve"> </w:t>
            </w:r>
            <w:r>
              <w:rPr>
                <w:rFonts w:ascii="Times New Roman" w:hAnsi="Times New Roman" w:eastAsia="Times New Roman" w:cs="Times New Roman"/>
                <w:spacing w:val="-5"/>
                <w:sz w:val="22"/>
                <w:szCs w:val="22"/>
              </w:rPr>
              <w:t>1440 m</w:t>
            </w:r>
          </w:p>
        </w:tc>
        <w:tc>
          <w:tcPr>
            <w:tcW w:w="1245" w:type="dxa"/>
            <w:vAlign w:val="top"/>
          </w:tcPr>
          <w:p w14:paraId="06FB54A4">
            <w:pPr>
              <w:spacing w:before="214" w:line="189" w:lineRule="auto"/>
              <w:ind w:left="51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25</w:t>
            </w:r>
          </w:p>
        </w:tc>
        <w:tc>
          <w:tcPr>
            <w:tcW w:w="3374" w:type="dxa"/>
            <w:vAlign w:val="top"/>
          </w:tcPr>
          <w:p w14:paraId="1A29A402">
            <w:pPr>
              <w:pStyle w:val="6"/>
              <w:spacing w:before="35" w:line="220" w:lineRule="auto"/>
              <w:ind w:left="152"/>
              <w:rPr>
                <w:sz w:val="22"/>
                <w:szCs w:val="22"/>
              </w:rPr>
            </w:pPr>
            <w:r>
              <w:rPr>
                <w:spacing w:val="-1"/>
                <w:sz w:val="22"/>
                <w:szCs w:val="22"/>
              </w:rPr>
              <w:t>第四系松散岩类孔隙水、基岩裂</w:t>
            </w:r>
          </w:p>
          <w:p w14:paraId="5193A677">
            <w:pPr>
              <w:pStyle w:val="6"/>
              <w:spacing w:before="23" w:line="205" w:lineRule="auto"/>
              <w:ind w:left="1487"/>
              <w:rPr>
                <w:sz w:val="22"/>
                <w:szCs w:val="22"/>
              </w:rPr>
            </w:pPr>
            <w:r>
              <w:rPr>
                <w:spacing w:val="-11"/>
                <w:sz w:val="22"/>
                <w:szCs w:val="22"/>
              </w:rPr>
              <w:t>隙水</w:t>
            </w:r>
          </w:p>
        </w:tc>
      </w:tr>
      <w:tr w14:paraId="2B4C3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5" w:type="dxa"/>
            <w:vMerge w:val="continue"/>
            <w:tcBorders>
              <w:top w:val="nil"/>
              <w:bottom w:val="nil"/>
            </w:tcBorders>
            <w:vAlign w:val="top"/>
          </w:tcPr>
          <w:p w14:paraId="01EB6558">
            <w:pPr>
              <w:rPr>
                <w:rFonts w:ascii="Arial"/>
                <w:sz w:val="21"/>
              </w:rPr>
            </w:pPr>
          </w:p>
        </w:tc>
        <w:tc>
          <w:tcPr>
            <w:tcW w:w="771" w:type="dxa"/>
            <w:vAlign w:val="top"/>
          </w:tcPr>
          <w:p w14:paraId="7BC7A80C">
            <w:pPr>
              <w:spacing w:before="2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685" w:type="dxa"/>
            <w:vAlign w:val="top"/>
          </w:tcPr>
          <w:p w14:paraId="590BA7FB">
            <w:pPr>
              <w:spacing w:before="9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118°56′20.93″</w:t>
            </w:r>
          </w:p>
          <w:p w14:paraId="78105D7C">
            <w:pPr>
              <w:spacing w:before="5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pacing w:val="2"/>
                <w:sz w:val="20"/>
                <w:szCs w:val="20"/>
              </w:rPr>
              <w:t>16′33.63″</w:t>
            </w:r>
          </w:p>
        </w:tc>
        <w:tc>
          <w:tcPr>
            <w:tcW w:w="1721" w:type="dxa"/>
            <w:vAlign w:val="top"/>
          </w:tcPr>
          <w:p w14:paraId="58BDC327">
            <w:pPr>
              <w:pStyle w:val="6"/>
              <w:spacing w:before="177" w:line="222" w:lineRule="auto"/>
              <w:ind w:left="344"/>
              <w:rPr>
                <w:rFonts w:ascii="Times New Roman" w:hAnsi="Times New Roman" w:eastAsia="Times New Roman" w:cs="Times New Roman"/>
                <w:sz w:val="22"/>
                <w:szCs w:val="22"/>
              </w:rPr>
            </w:pPr>
            <w:r>
              <w:rPr>
                <w:spacing w:val="-4"/>
                <w:sz w:val="22"/>
                <w:szCs w:val="22"/>
              </w:rPr>
              <w:t>西南</w:t>
            </w:r>
            <w:r>
              <w:rPr>
                <w:spacing w:val="-40"/>
                <w:sz w:val="22"/>
                <w:szCs w:val="22"/>
              </w:rPr>
              <w:t xml:space="preserve"> </w:t>
            </w:r>
            <w:r>
              <w:rPr>
                <w:rFonts w:ascii="Times New Roman" w:hAnsi="Times New Roman" w:eastAsia="Times New Roman" w:cs="Times New Roman"/>
                <w:spacing w:val="-4"/>
                <w:sz w:val="22"/>
                <w:szCs w:val="22"/>
              </w:rPr>
              <w:t>890 m</w:t>
            </w:r>
          </w:p>
        </w:tc>
        <w:tc>
          <w:tcPr>
            <w:tcW w:w="1245" w:type="dxa"/>
            <w:vAlign w:val="top"/>
          </w:tcPr>
          <w:p w14:paraId="46884CDC">
            <w:pPr>
              <w:spacing w:before="213" w:line="189" w:lineRule="auto"/>
              <w:ind w:left="51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w:t>
            </w:r>
          </w:p>
        </w:tc>
        <w:tc>
          <w:tcPr>
            <w:tcW w:w="3374" w:type="dxa"/>
            <w:vAlign w:val="top"/>
          </w:tcPr>
          <w:p w14:paraId="18D595F3">
            <w:pPr>
              <w:pStyle w:val="6"/>
              <w:spacing w:before="35" w:line="220" w:lineRule="auto"/>
              <w:ind w:left="152"/>
              <w:rPr>
                <w:sz w:val="22"/>
                <w:szCs w:val="22"/>
              </w:rPr>
            </w:pPr>
            <w:r>
              <w:rPr>
                <w:spacing w:val="-1"/>
                <w:sz w:val="22"/>
                <w:szCs w:val="22"/>
              </w:rPr>
              <w:t>第四系松散岩类孔隙水、基岩裂</w:t>
            </w:r>
          </w:p>
          <w:p w14:paraId="487A50D5">
            <w:pPr>
              <w:pStyle w:val="6"/>
              <w:spacing w:before="20" w:line="206" w:lineRule="auto"/>
              <w:ind w:left="1487"/>
              <w:rPr>
                <w:sz w:val="22"/>
                <w:szCs w:val="22"/>
              </w:rPr>
            </w:pPr>
            <w:r>
              <w:rPr>
                <w:spacing w:val="-11"/>
                <w:sz w:val="22"/>
                <w:szCs w:val="22"/>
              </w:rPr>
              <w:t>隙水</w:t>
            </w:r>
          </w:p>
        </w:tc>
      </w:tr>
      <w:tr w14:paraId="3AAD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75" w:type="dxa"/>
            <w:vMerge w:val="continue"/>
            <w:tcBorders>
              <w:top w:val="nil"/>
            </w:tcBorders>
            <w:vAlign w:val="top"/>
          </w:tcPr>
          <w:p w14:paraId="600F894E">
            <w:pPr>
              <w:rPr>
                <w:rFonts w:ascii="Arial"/>
                <w:sz w:val="21"/>
              </w:rPr>
            </w:pPr>
          </w:p>
        </w:tc>
        <w:tc>
          <w:tcPr>
            <w:tcW w:w="771" w:type="dxa"/>
            <w:vAlign w:val="top"/>
          </w:tcPr>
          <w:p w14:paraId="1F461644">
            <w:pPr>
              <w:spacing w:before="22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c>
          <w:tcPr>
            <w:tcW w:w="1685" w:type="dxa"/>
            <w:vAlign w:val="top"/>
          </w:tcPr>
          <w:p w14:paraId="0FC066AE">
            <w:pPr>
              <w:spacing w:before="100"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118°56′43.74″</w:t>
            </w:r>
          </w:p>
          <w:p w14:paraId="7A7E6954">
            <w:pPr>
              <w:spacing w:before="5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10.17″</w:t>
            </w:r>
          </w:p>
        </w:tc>
        <w:tc>
          <w:tcPr>
            <w:tcW w:w="1721" w:type="dxa"/>
            <w:vAlign w:val="top"/>
          </w:tcPr>
          <w:p w14:paraId="05C1477C">
            <w:pPr>
              <w:pStyle w:val="6"/>
              <w:spacing w:before="179" w:line="222" w:lineRule="auto"/>
              <w:ind w:left="289"/>
              <w:rPr>
                <w:rFonts w:ascii="Times New Roman" w:hAnsi="Times New Roman" w:eastAsia="Times New Roman" w:cs="Times New Roman"/>
                <w:sz w:val="22"/>
                <w:szCs w:val="22"/>
              </w:rPr>
            </w:pPr>
            <w:r>
              <w:rPr>
                <w:spacing w:val="-2"/>
                <w:sz w:val="22"/>
                <w:szCs w:val="22"/>
              </w:rPr>
              <w:t>西南</w:t>
            </w:r>
            <w:r>
              <w:rPr>
                <w:spacing w:val="-51"/>
                <w:sz w:val="22"/>
                <w:szCs w:val="22"/>
              </w:rPr>
              <w:t xml:space="preserve"> </w:t>
            </w:r>
            <w:r>
              <w:rPr>
                <w:rFonts w:ascii="Times New Roman" w:hAnsi="Times New Roman" w:eastAsia="Times New Roman" w:cs="Times New Roman"/>
                <w:spacing w:val="-2"/>
                <w:sz w:val="22"/>
                <w:szCs w:val="22"/>
              </w:rPr>
              <w:t>2420 m</w:t>
            </w:r>
          </w:p>
        </w:tc>
        <w:tc>
          <w:tcPr>
            <w:tcW w:w="1245" w:type="dxa"/>
            <w:vAlign w:val="top"/>
          </w:tcPr>
          <w:p w14:paraId="717F69B5">
            <w:pPr>
              <w:spacing w:before="217" w:line="189" w:lineRule="auto"/>
              <w:ind w:left="52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60</w:t>
            </w:r>
          </w:p>
        </w:tc>
        <w:tc>
          <w:tcPr>
            <w:tcW w:w="3374" w:type="dxa"/>
            <w:vAlign w:val="top"/>
          </w:tcPr>
          <w:p w14:paraId="6822B29B">
            <w:pPr>
              <w:pStyle w:val="6"/>
              <w:spacing w:before="37" w:line="220" w:lineRule="auto"/>
              <w:ind w:left="152"/>
              <w:rPr>
                <w:sz w:val="22"/>
                <w:szCs w:val="22"/>
              </w:rPr>
            </w:pPr>
            <w:r>
              <w:rPr>
                <w:spacing w:val="-1"/>
                <w:sz w:val="22"/>
                <w:szCs w:val="22"/>
              </w:rPr>
              <w:t>第四系松散岩类孔隙水、基岩裂</w:t>
            </w:r>
          </w:p>
          <w:p w14:paraId="5A185999">
            <w:pPr>
              <w:pStyle w:val="6"/>
              <w:spacing w:before="23" w:line="207" w:lineRule="auto"/>
              <w:ind w:left="1487"/>
              <w:rPr>
                <w:sz w:val="22"/>
                <w:szCs w:val="22"/>
              </w:rPr>
            </w:pPr>
            <w:r>
              <w:rPr>
                <w:spacing w:val="-11"/>
                <w:sz w:val="22"/>
                <w:szCs w:val="22"/>
              </w:rPr>
              <w:t>隙水</w:t>
            </w:r>
          </w:p>
        </w:tc>
      </w:tr>
    </w:tbl>
    <w:p w14:paraId="607E3ABA">
      <w:pPr>
        <w:spacing w:before="120" w:line="8640" w:lineRule="exact"/>
        <w:ind w:firstLine="492"/>
      </w:pPr>
      <w:r>
        <w:rPr>
          <w:position w:val="-172"/>
        </w:rPr>
        <w:drawing>
          <wp:inline distT="0" distB="0" distL="0" distR="0">
            <wp:extent cx="5457190" cy="54864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86"/>
                    <a:stretch>
                      <a:fillRect/>
                    </a:stretch>
                  </pic:blipFill>
                  <pic:spPr>
                    <a:xfrm>
                      <a:off x="0" y="0"/>
                      <a:ext cx="5457443" cy="5486400"/>
                    </a:xfrm>
                    <a:prstGeom prst="rect">
                      <a:avLst/>
                    </a:prstGeom>
                  </pic:spPr>
                </pic:pic>
              </a:graphicData>
            </a:graphic>
          </wp:inline>
        </w:drawing>
      </w:r>
    </w:p>
    <w:p w14:paraId="7C86359C">
      <w:pPr>
        <w:spacing w:before="173" w:line="219" w:lineRule="auto"/>
        <w:ind w:left="3292"/>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宋体" w:hAnsi="宋体" w:eastAsia="宋体" w:cs="宋体"/>
          <w:spacing w:val="-3"/>
          <w:sz w:val="24"/>
          <w:szCs w:val="24"/>
        </w:rPr>
        <w:t>6.3-3  水质监测点分布图</w:t>
      </w:r>
    </w:p>
    <w:p w14:paraId="13CCB923">
      <w:pPr>
        <w:spacing w:before="181" w:line="220" w:lineRule="auto"/>
        <w:ind w:left="605"/>
        <w:rPr>
          <w:rFonts w:ascii="宋体" w:hAnsi="宋体" w:eastAsia="宋体" w:cs="宋体"/>
          <w:sz w:val="24"/>
          <w:szCs w:val="24"/>
        </w:rPr>
      </w:pPr>
      <w:r>
        <w:rPr>
          <w:rFonts w:ascii="宋体" w:hAnsi="宋体" w:eastAsia="宋体" w:cs="宋体"/>
          <w:spacing w:val="-2"/>
          <w:sz w:val="24"/>
          <w:szCs w:val="24"/>
        </w:rPr>
        <w:t>2、监测因子与监测方法</w:t>
      </w:r>
    </w:p>
    <w:p w14:paraId="73F0D1DE">
      <w:pPr>
        <w:spacing w:before="179" w:line="214" w:lineRule="auto"/>
        <w:jc w:val="right"/>
        <w:rPr>
          <w:rFonts w:ascii="宋体" w:hAnsi="宋体" w:eastAsia="宋体" w:cs="宋体"/>
          <w:sz w:val="24"/>
          <w:szCs w:val="24"/>
        </w:rPr>
      </w:pPr>
      <w:r>
        <w:rPr>
          <w:rFonts w:ascii="宋体" w:hAnsi="宋体" w:eastAsia="宋体" w:cs="宋体"/>
          <w:spacing w:val="-4"/>
          <w:sz w:val="24"/>
          <w:szCs w:val="24"/>
        </w:rPr>
        <w:t>本次监测因子为：pH、总硬度、溶解性总</w:t>
      </w:r>
      <w:r>
        <w:rPr>
          <w:rFonts w:ascii="宋体" w:hAnsi="宋体" w:eastAsia="宋体" w:cs="宋体"/>
          <w:spacing w:val="-5"/>
          <w:sz w:val="24"/>
          <w:szCs w:val="24"/>
        </w:rPr>
        <w:t>固体、铁、锰、锌、挥发酚、耗氧量、氨氮、</w:t>
      </w:r>
    </w:p>
    <w:p w14:paraId="7E6584BC">
      <w:pPr>
        <w:spacing w:line="214" w:lineRule="auto"/>
        <w:rPr>
          <w:rFonts w:ascii="宋体" w:hAnsi="宋体" w:eastAsia="宋体" w:cs="宋体"/>
          <w:sz w:val="24"/>
          <w:szCs w:val="24"/>
        </w:rPr>
        <w:sectPr>
          <w:footerReference r:id="rId180" w:type="default"/>
          <w:pgSz w:w="11907" w:h="16840"/>
          <w:pgMar w:top="1147" w:right="1025" w:bottom="1357" w:left="1305" w:header="825" w:footer="1195" w:gutter="0"/>
          <w:cols w:space="720" w:num="1"/>
        </w:sectPr>
      </w:pPr>
    </w:p>
    <w:p w14:paraId="5C636AA6">
      <w:pPr>
        <w:spacing w:before="306" w:line="357" w:lineRule="auto"/>
        <w:ind w:left="170" w:right="148" w:hanging="5"/>
        <w:rPr>
          <w:rFonts w:ascii="宋体" w:hAnsi="宋体" w:eastAsia="宋体" w:cs="宋体"/>
          <w:sz w:val="24"/>
          <w:szCs w:val="24"/>
        </w:rPr>
      </w:pPr>
      <w:r>
        <w:pict>
          <v:shape id="_x0000_s1040" o:spid="_x0000_s1040" style="position:absolute;left:0pt;margin-left:70.9pt;margin-top:57.15pt;height:0.5pt;width:467.8pt;mso-position-horizontal-relative:page;mso-position-vertical-relative:page;z-index:251697152;mso-width-relative:page;mso-height-relative:page;" fillcolor="#000000" filled="t" stroked="f" coordsize="9355,10" o:allowincell="f" path="m0,0l9355,0,9355,9,0,9,0,0xe">
            <v:path/>
            <v:fill on="t" focussize="0,0"/>
            <v:stroke on="f"/>
            <v:imagedata o:title=""/>
            <o:lock v:ext="edit"/>
          </v:shape>
        </w:pict>
      </w:r>
      <w:r>
        <w:rPr>
          <w:rFonts w:ascii="宋体" w:hAnsi="宋体" w:eastAsia="宋体" w:cs="宋体"/>
          <w:spacing w:val="-1"/>
          <w:sz w:val="24"/>
          <w:szCs w:val="24"/>
        </w:rPr>
        <w:t>总大肠菌群、细菌总数、亚硝酸盐氮、硝酸盐氮、氟化物、汞、砷、镉、六价铬、铅、钠</w:t>
      </w:r>
      <w:r>
        <w:rPr>
          <w:rFonts w:ascii="宋体" w:hAnsi="宋体" w:eastAsia="宋体" w:cs="宋体"/>
          <w:spacing w:val="17"/>
          <w:sz w:val="24"/>
          <w:szCs w:val="24"/>
        </w:rPr>
        <w:t xml:space="preserve"> </w:t>
      </w:r>
      <w:r>
        <w:rPr>
          <w:rFonts w:ascii="宋体" w:hAnsi="宋体" w:eastAsia="宋体" w:cs="宋体"/>
          <w:spacing w:val="-4"/>
          <w:sz w:val="24"/>
          <w:szCs w:val="24"/>
        </w:rPr>
        <w:t>（Na</w:t>
      </w:r>
      <w:r>
        <w:rPr>
          <w:rFonts w:ascii="宋体" w:hAnsi="宋体" w:eastAsia="宋体" w:cs="宋体"/>
          <w:spacing w:val="-4"/>
          <w:position w:val="11"/>
          <w:sz w:val="12"/>
          <w:szCs w:val="12"/>
        </w:rPr>
        <w:t>+</w:t>
      </w:r>
      <w:r>
        <w:rPr>
          <w:rFonts w:ascii="宋体" w:hAnsi="宋体" w:eastAsia="宋体" w:cs="宋体"/>
          <w:spacing w:val="-25"/>
          <w:position w:val="11"/>
          <w:sz w:val="12"/>
          <w:szCs w:val="12"/>
        </w:rPr>
        <w:t xml:space="preserve"> </w:t>
      </w:r>
      <w:r>
        <w:rPr>
          <w:rFonts w:ascii="宋体" w:hAnsi="宋体" w:eastAsia="宋体" w:cs="宋体"/>
          <w:spacing w:val="-4"/>
          <w:sz w:val="24"/>
          <w:szCs w:val="24"/>
        </w:rPr>
        <w:t>）、K</w:t>
      </w:r>
      <w:r>
        <w:rPr>
          <w:rFonts w:ascii="宋体" w:hAnsi="宋体" w:eastAsia="宋体" w:cs="宋体"/>
          <w:spacing w:val="-4"/>
          <w:position w:val="11"/>
          <w:sz w:val="12"/>
          <w:szCs w:val="12"/>
        </w:rPr>
        <w:t>+</w:t>
      </w:r>
      <w:r>
        <w:rPr>
          <w:rFonts w:ascii="宋体" w:hAnsi="宋体" w:eastAsia="宋体" w:cs="宋体"/>
          <w:spacing w:val="-34"/>
          <w:position w:val="11"/>
          <w:sz w:val="12"/>
          <w:szCs w:val="12"/>
        </w:rPr>
        <w:t xml:space="preserve"> </w:t>
      </w:r>
      <w:r>
        <w:rPr>
          <w:rFonts w:ascii="宋体" w:hAnsi="宋体" w:eastAsia="宋体" w:cs="宋体"/>
          <w:spacing w:val="-4"/>
          <w:sz w:val="24"/>
          <w:szCs w:val="24"/>
        </w:rPr>
        <w:t>、Ca</w:t>
      </w:r>
      <w:r>
        <w:rPr>
          <w:rFonts w:ascii="宋体" w:hAnsi="宋体" w:eastAsia="宋体" w:cs="宋体"/>
          <w:spacing w:val="-4"/>
          <w:position w:val="11"/>
          <w:sz w:val="12"/>
          <w:szCs w:val="12"/>
        </w:rPr>
        <w:t>2+</w:t>
      </w:r>
      <w:r>
        <w:rPr>
          <w:rFonts w:ascii="宋体" w:hAnsi="宋体" w:eastAsia="宋体" w:cs="宋体"/>
          <w:spacing w:val="-34"/>
          <w:position w:val="11"/>
          <w:sz w:val="12"/>
          <w:szCs w:val="12"/>
        </w:rPr>
        <w:t xml:space="preserve"> </w:t>
      </w:r>
      <w:r>
        <w:rPr>
          <w:rFonts w:ascii="宋体" w:hAnsi="宋体" w:eastAsia="宋体" w:cs="宋体"/>
          <w:spacing w:val="-4"/>
          <w:sz w:val="24"/>
          <w:szCs w:val="24"/>
        </w:rPr>
        <w:t>、Mg</w:t>
      </w:r>
      <w:r>
        <w:rPr>
          <w:rFonts w:ascii="宋体" w:hAnsi="宋体" w:eastAsia="宋体" w:cs="宋体"/>
          <w:spacing w:val="-4"/>
          <w:position w:val="11"/>
          <w:sz w:val="12"/>
          <w:szCs w:val="12"/>
        </w:rPr>
        <w:t>2+</w:t>
      </w:r>
      <w:r>
        <w:rPr>
          <w:rFonts w:ascii="宋体" w:hAnsi="宋体" w:eastAsia="宋体" w:cs="宋体"/>
          <w:spacing w:val="-33"/>
          <w:position w:val="11"/>
          <w:sz w:val="12"/>
          <w:szCs w:val="12"/>
        </w:rPr>
        <w:t xml:space="preserve"> </w:t>
      </w:r>
      <w:r>
        <w:rPr>
          <w:rFonts w:ascii="宋体" w:hAnsi="宋体" w:eastAsia="宋体" w:cs="宋体"/>
          <w:spacing w:val="-4"/>
          <w:sz w:val="24"/>
          <w:szCs w:val="24"/>
        </w:rPr>
        <w:t>、硫酸盐（SO</w:t>
      </w:r>
      <w:r>
        <w:rPr>
          <w:rFonts w:ascii="宋体" w:hAnsi="宋体" w:eastAsia="宋体" w:cs="宋体"/>
          <w:spacing w:val="-4"/>
          <w:position w:val="-4"/>
          <w:sz w:val="12"/>
          <w:szCs w:val="12"/>
        </w:rPr>
        <w:t>4</w:t>
      </w:r>
      <w:r>
        <w:rPr>
          <w:rFonts w:ascii="宋体" w:hAnsi="宋体" w:eastAsia="宋体" w:cs="宋体"/>
          <w:spacing w:val="-4"/>
          <w:position w:val="11"/>
          <w:sz w:val="12"/>
          <w:szCs w:val="12"/>
        </w:rPr>
        <w:t>2-</w:t>
      </w:r>
      <w:r>
        <w:rPr>
          <w:rFonts w:ascii="宋体" w:hAnsi="宋体" w:eastAsia="宋体" w:cs="宋体"/>
          <w:spacing w:val="-4"/>
          <w:sz w:val="24"/>
          <w:szCs w:val="24"/>
        </w:rPr>
        <w:t>）、氯化物（Cl</w:t>
      </w:r>
      <w:r>
        <w:rPr>
          <w:rFonts w:ascii="宋体" w:hAnsi="宋体" w:eastAsia="宋体" w:cs="宋体"/>
          <w:spacing w:val="-4"/>
          <w:position w:val="11"/>
          <w:sz w:val="12"/>
          <w:szCs w:val="12"/>
        </w:rPr>
        <w:t>-</w:t>
      </w:r>
      <w:r>
        <w:rPr>
          <w:rFonts w:ascii="宋体" w:hAnsi="宋体" w:eastAsia="宋体" w:cs="宋体"/>
          <w:spacing w:val="-26"/>
          <w:position w:val="11"/>
          <w:sz w:val="12"/>
          <w:szCs w:val="12"/>
        </w:rPr>
        <w:t xml:space="preserve"> </w:t>
      </w:r>
      <w:r>
        <w:rPr>
          <w:rFonts w:ascii="宋体" w:hAnsi="宋体" w:eastAsia="宋体" w:cs="宋体"/>
          <w:spacing w:val="-4"/>
          <w:sz w:val="24"/>
          <w:szCs w:val="24"/>
        </w:rPr>
        <w:t>）、CO</w:t>
      </w:r>
      <w:r>
        <w:rPr>
          <w:rFonts w:ascii="宋体" w:hAnsi="宋体" w:eastAsia="宋体" w:cs="宋体"/>
          <w:spacing w:val="-4"/>
          <w:position w:val="-4"/>
          <w:sz w:val="12"/>
          <w:szCs w:val="12"/>
        </w:rPr>
        <w:t>3</w:t>
      </w:r>
      <w:r>
        <w:rPr>
          <w:rFonts w:ascii="宋体" w:hAnsi="宋体" w:eastAsia="宋体" w:cs="宋体"/>
          <w:spacing w:val="-4"/>
          <w:position w:val="11"/>
          <w:sz w:val="12"/>
          <w:szCs w:val="12"/>
        </w:rPr>
        <w:t>2-</w:t>
      </w:r>
      <w:r>
        <w:rPr>
          <w:rFonts w:ascii="宋体" w:hAnsi="宋体" w:eastAsia="宋体" w:cs="宋体"/>
          <w:spacing w:val="-34"/>
          <w:position w:val="11"/>
          <w:sz w:val="12"/>
          <w:szCs w:val="12"/>
        </w:rPr>
        <w:t xml:space="preserve"> </w:t>
      </w:r>
      <w:r>
        <w:rPr>
          <w:rFonts w:ascii="宋体" w:hAnsi="宋体" w:eastAsia="宋体" w:cs="宋体"/>
          <w:spacing w:val="-4"/>
          <w:sz w:val="24"/>
          <w:szCs w:val="24"/>
        </w:rPr>
        <w:t>、HC</w:t>
      </w:r>
      <w:r>
        <w:rPr>
          <w:rFonts w:ascii="宋体" w:hAnsi="宋体" w:eastAsia="宋体" w:cs="宋体"/>
          <w:spacing w:val="-5"/>
          <w:sz w:val="24"/>
          <w:szCs w:val="24"/>
        </w:rPr>
        <w:t>O</w:t>
      </w:r>
      <w:r>
        <w:rPr>
          <w:rFonts w:ascii="宋体" w:hAnsi="宋体" w:eastAsia="宋体" w:cs="宋体"/>
          <w:spacing w:val="-5"/>
          <w:position w:val="11"/>
          <w:sz w:val="12"/>
          <w:szCs w:val="12"/>
        </w:rPr>
        <w:t>-</w:t>
      </w:r>
      <w:r>
        <w:rPr>
          <w:rFonts w:ascii="宋体" w:hAnsi="宋体" w:eastAsia="宋体" w:cs="宋体"/>
          <w:spacing w:val="-33"/>
          <w:position w:val="11"/>
          <w:sz w:val="12"/>
          <w:szCs w:val="12"/>
        </w:rPr>
        <w:t xml:space="preserve"> </w:t>
      </w:r>
      <w:r>
        <w:rPr>
          <w:rFonts w:ascii="宋体" w:hAnsi="宋体" w:eastAsia="宋体" w:cs="宋体"/>
          <w:spacing w:val="-5"/>
          <w:sz w:val="24"/>
          <w:szCs w:val="24"/>
        </w:rPr>
        <w:t>、石油类。</w:t>
      </w:r>
    </w:p>
    <w:p w14:paraId="7D2C4182">
      <w:pPr>
        <w:spacing w:line="359" w:lineRule="auto"/>
        <w:ind w:left="170" w:right="42" w:firstLine="467"/>
        <w:rPr>
          <w:rFonts w:ascii="宋体" w:hAnsi="宋体" w:eastAsia="宋体" w:cs="宋体"/>
          <w:sz w:val="24"/>
          <w:szCs w:val="24"/>
        </w:rPr>
      </w:pPr>
      <w:r>
        <w:rPr>
          <w:rFonts w:ascii="宋体" w:hAnsi="宋体" w:eastAsia="宋体" w:cs="宋体"/>
          <w:spacing w:val="-4"/>
          <w:sz w:val="24"/>
          <w:szCs w:val="24"/>
        </w:rPr>
        <w:t>采样分析按国家《地下水环境监测技术规范》（</w:t>
      </w:r>
      <w:r>
        <w:rPr>
          <w:rFonts w:ascii="Times New Roman" w:hAnsi="Times New Roman" w:eastAsia="Times New Roman" w:cs="Times New Roman"/>
          <w:spacing w:val="-4"/>
          <w:sz w:val="24"/>
          <w:szCs w:val="24"/>
        </w:rPr>
        <w:t>HJ/T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5"/>
          <w:sz w:val="24"/>
          <w:szCs w:val="24"/>
        </w:rPr>
        <w:t>164-2020</w:t>
      </w:r>
      <w:r>
        <w:rPr>
          <w:rFonts w:ascii="宋体" w:hAnsi="宋体" w:eastAsia="宋体" w:cs="宋体"/>
          <w:spacing w:val="-5"/>
          <w:sz w:val="24"/>
          <w:szCs w:val="24"/>
        </w:rPr>
        <w:t>）和《地下水质量标准》</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2"/>
          <w:sz w:val="24"/>
          <w:szCs w:val="24"/>
        </w:rPr>
        <w:t>14848-2017</w:t>
      </w:r>
      <w:r>
        <w:rPr>
          <w:rFonts w:ascii="宋体" w:hAnsi="宋体" w:eastAsia="宋体" w:cs="宋体"/>
          <w:spacing w:val="-2"/>
          <w:sz w:val="24"/>
          <w:szCs w:val="24"/>
        </w:rPr>
        <w:t>）等有关规定标准进行。</w:t>
      </w:r>
    </w:p>
    <w:p w14:paraId="61188DE9">
      <w:pPr>
        <w:spacing w:line="219" w:lineRule="auto"/>
        <w:ind w:left="227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6.3-7    </w:t>
      </w:r>
      <w:r>
        <w:rPr>
          <w:rFonts w:ascii="宋体" w:hAnsi="宋体" w:eastAsia="宋体" w:cs="宋体"/>
          <w:spacing w:val="-1"/>
          <w:sz w:val="24"/>
          <w:szCs w:val="24"/>
        </w:rPr>
        <w:t>地下水环境质量现状监测项目分析方法一览</w:t>
      </w:r>
    </w:p>
    <w:p w14:paraId="6AF676E3">
      <w:pPr>
        <w:spacing w:line="146" w:lineRule="exact"/>
      </w:pPr>
    </w:p>
    <w:tbl>
      <w:tblPr>
        <w:tblStyle w:val="5"/>
        <w:tblW w:w="96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1256"/>
        <w:gridCol w:w="4219"/>
        <w:gridCol w:w="861"/>
        <w:gridCol w:w="1667"/>
        <w:gridCol w:w="856"/>
      </w:tblGrid>
      <w:tr w14:paraId="7FA98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88" w:type="dxa"/>
            <w:vAlign w:val="top"/>
          </w:tcPr>
          <w:p w14:paraId="1ED84FBC">
            <w:pPr>
              <w:pStyle w:val="6"/>
              <w:spacing w:before="240" w:line="229" w:lineRule="auto"/>
              <w:ind w:left="189"/>
            </w:pPr>
            <w:r>
              <w:rPr>
                <w:spacing w:val="5"/>
              </w:rPr>
              <w:t>序号</w:t>
            </w:r>
          </w:p>
        </w:tc>
        <w:tc>
          <w:tcPr>
            <w:tcW w:w="1256" w:type="dxa"/>
            <w:vAlign w:val="top"/>
          </w:tcPr>
          <w:p w14:paraId="53833E6B">
            <w:pPr>
              <w:pStyle w:val="6"/>
              <w:spacing w:before="240" w:line="228" w:lineRule="auto"/>
              <w:ind w:left="211"/>
            </w:pPr>
            <w:r>
              <w:rPr>
                <w:spacing w:val="7"/>
              </w:rPr>
              <w:t>检测项目</w:t>
            </w:r>
          </w:p>
        </w:tc>
        <w:tc>
          <w:tcPr>
            <w:tcW w:w="4219" w:type="dxa"/>
            <w:vAlign w:val="top"/>
          </w:tcPr>
          <w:p w14:paraId="570CCB4A">
            <w:pPr>
              <w:pStyle w:val="6"/>
              <w:spacing w:before="240" w:line="228" w:lineRule="auto"/>
              <w:ind w:left="1380"/>
            </w:pPr>
            <w:r>
              <w:rPr>
                <w:spacing w:val="8"/>
              </w:rPr>
              <w:t>方法名称及来源</w:t>
            </w:r>
          </w:p>
        </w:tc>
        <w:tc>
          <w:tcPr>
            <w:tcW w:w="861" w:type="dxa"/>
            <w:vAlign w:val="top"/>
          </w:tcPr>
          <w:p w14:paraId="2CECAD28">
            <w:pPr>
              <w:pStyle w:val="6"/>
              <w:spacing w:before="240" w:line="228" w:lineRule="auto"/>
              <w:ind w:left="122"/>
            </w:pPr>
            <w:r>
              <w:rPr>
                <w:spacing w:val="6"/>
              </w:rPr>
              <w:t>检出限</w:t>
            </w:r>
          </w:p>
        </w:tc>
        <w:tc>
          <w:tcPr>
            <w:tcW w:w="1667" w:type="dxa"/>
            <w:vAlign w:val="top"/>
          </w:tcPr>
          <w:p w14:paraId="65C3B2C1">
            <w:pPr>
              <w:pStyle w:val="6"/>
              <w:spacing w:before="36" w:line="228" w:lineRule="auto"/>
              <w:ind w:left="183"/>
              <w:rPr>
                <w:rFonts w:ascii="Times New Roman" w:hAnsi="Times New Roman" w:eastAsia="Times New Roman" w:cs="Times New Roman"/>
              </w:rPr>
            </w:pPr>
            <w:r>
              <w:rPr>
                <w:spacing w:val="7"/>
              </w:rPr>
              <w:t>仪器设备名称</w:t>
            </w:r>
            <w:r>
              <w:rPr>
                <w:rFonts w:ascii="Times New Roman" w:hAnsi="Times New Roman" w:eastAsia="Times New Roman" w:cs="Times New Roman"/>
                <w:spacing w:val="7"/>
              </w:rPr>
              <w:t>/</w:t>
            </w:r>
          </w:p>
          <w:p w14:paraId="4598A595">
            <w:pPr>
              <w:pStyle w:val="6"/>
              <w:spacing w:before="161" w:line="229" w:lineRule="auto"/>
              <w:ind w:left="638"/>
            </w:pPr>
            <w:r>
              <w:rPr>
                <w:spacing w:val="1"/>
              </w:rPr>
              <w:t>型号</w:t>
            </w:r>
          </w:p>
        </w:tc>
        <w:tc>
          <w:tcPr>
            <w:tcW w:w="856" w:type="dxa"/>
            <w:vAlign w:val="top"/>
          </w:tcPr>
          <w:p w14:paraId="25CEF965">
            <w:pPr>
              <w:pStyle w:val="6"/>
              <w:spacing w:before="36" w:line="228" w:lineRule="auto"/>
              <w:ind w:left="119"/>
            </w:pPr>
            <w:r>
              <w:rPr>
                <w:spacing w:val="6"/>
              </w:rPr>
              <w:t>仪器管</w:t>
            </w:r>
          </w:p>
          <w:p w14:paraId="067ABB04">
            <w:pPr>
              <w:pStyle w:val="6"/>
              <w:spacing w:before="160" w:line="228" w:lineRule="auto"/>
              <w:ind w:left="121"/>
            </w:pPr>
            <w:r>
              <w:rPr>
                <w:spacing w:val="6"/>
              </w:rPr>
              <w:t>理编号</w:t>
            </w:r>
          </w:p>
        </w:tc>
      </w:tr>
      <w:tr w14:paraId="38C9F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0602307D">
            <w:pPr>
              <w:spacing w:before="28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6" w:type="dxa"/>
            <w:vAlign w:val="top"/>
          </w:tcPr>
          <w:p w14:paraId="03575175">
            <w:pPr>
              <w:spacing w:before="283" w:line="194"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4219" w:type="dxa"/>
            <w:vAlign w:val="top"/>
          </w:tcPr>
          <w:p w14:paraId="4D03611E">
            <w:pPr>
              <w:pStyle w:val="6"/>
              <w:spacing w:before="33" w:line="221" w:lineRule="auto"/>
              <w:ind w:left="484"/>
              <w:rPr>
                <w:rFonts w:ascii="Times New Roman" w:hAnsi="Times New Roman" w:eastAsia="Times New Roman" w:cs="Times New Roman"/>
              </w:rPr>
            </w:pPr>
            <w:r>
              <w:rPr>
                <w:spacing w:val="7"/>
              </w:rPr>
              <w:t xml:space="preserve">《水质 </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值的测定</w:t>
            </w:r>
            <w:r>
              <w:rPr>
                <w:spacing w:val="41"/>
              </w:rPr>
              <w:t xml:space="preserve"> </w:t>
            </w:r>
            <w:r>
              <w:rPr>
                <w:spacing w:val="7"/>
              </w:rPr>
              <w:t>电极法》（</w:t>
            </w:r>
            <w:r>
              <w:rPr>
                <w:rFonts w:ascii="Times New Roman" w:hAnsi="Times New Roman" w:eastAsia="Times New Roman" w:cs="Times New Roman"/>
              </w:rPr>
              <w:t>HJ</w:t>
            </w:r>
          </w:p>
          <w:p w14:paraId="7AD6609D">
            <w:pPr>
              <w:pStyle w:val="6"/>
              <w:spacing w:before="168"/>
              <w:ind w:left="1575"/>
            </w:pPr>
            <w:r>
              <w:rPr>
                <w:rFonts w:ascii="Times New Roman" w:hAnsi="Times New Roman" w:eastAsia="Times New Roman" w:cs="Times New Roman"/>
                <w:spacing w:val="1"/>
              </w:rPr>
              <w:t>1147-2020</w:t>
            </w:r>
            <w:r>
              <w:rPr>
                <w:spacing w:val="1"/>
              </w:rPr>
              <w:t>）</w:t>
            </w:r>
          </w:p>
        </w:tc>
        <w:tc>
          <w:tcPr>
            <w:tcW w:w="861" w:type="dxa"/>
            <w:vAlign w:val="top"/>
          </w:tcPr>
          <w:p w14:paraId="7E4D9610">
            <w:pPr>
              <w:spacing w:line="269" w:lineRule="auto"/>
              <w:rPr>
                <w:rFonts w:ascii="Arial"/>
                <w:sz w:val="21"/>
              </w:rPr>
            </w:pPr>
          </w:p>
          <w:p w14:paraId="7BB29427">
            <w:pPr>
              <w:pStyle w:val="6"/>
              <w:spacing w:before="65" w:line="136" w:lineRule="exact"/>
              <w:ind w:left="329"/>
            </w:pPr>
            <w:r>
              <w:rPr>
                <w:spacing w:val="2"/>
                <w:position w:val="-3"/>
              </w:rPr>
              <w:t>—</w:t>
            </w:r>
          </w:p>
        </w:tc>
        <w:tc>
          <w:tcPr>
            <w:tcW w:w="1667" w:type="dxa"/>
            <w:vAlign w:val="top"/>
          </w:tcPr>
          <w:p w14:paraId="553F9B3F">
            <w:pPr>
              <w:pStyle w:val="6"/>
              <w:spacing w:before="54" w:line="228" w:lineRule="auto"/>
              <w:ind w:left="212"/>
            </w:pPr>
            <w:r>
              <w:rPr>
                <w:spacing w:val="8"/>
              </w:rPr>
              <w:t>便携式酸度计</w:t>
            </w:r>
          </w:p>
          <w:p w14:paraId="1F886EA9">
            <w:pPr>
              <w:spacing w:before="178" w:line="201"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850</w:t>
            </w:r>
          </w:p>
        </w:tc>
        <w:tc>
          <w:tcPr>
            <w:tcW w:w="856" w:type="dxa"/>
            <w:vAlign w:val="top"/>
          </w:tcPr>
          <w:p w14:paraId="39EECC1C">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755D40A">
            <w:pPr>
              <w:spacing w:before="175"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23-J</w:t>
            </w:r>
          </w:p>
        </w:tc>
      </w:tr>
      <w:tr w14:paraId="19EB0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28F344EE">
            <w:pPr>
              <w:spacing w:before="279"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56" w:type="dxa"/>
            <w:vAlign w:val="top"/>
          </w:tcPr>
          <w:p w14:paraId="7D8C8498">
            <w:pPr>
              <w:pStyle w:val="6"/>
              <w:spacing w:before="236" w:line="228" w:lineRule="auto"/>
              <w:ind w:left="322"/>
            </w:pPr>
            <w:r>
              <w:rPr>
                <w:spacing w:val="5"/>
              </w:rPr>
              <w:t>总硬度</w:t>
            </w:r>
          </w:p>
        </w:tc>
        <w:tc>
          <w:tcPr>
            <w:tcW w:w="4219" w:type="dxa"/>
            <w:vAlign w:val="top"/>
          </w:tcPr>
          <w:p w14:paraId="7A83E395">
            <w:pPr>
              <w:pStyle w:val="6"/>
              <w:spacing w:before="31" w:line="228" w:lineRule="auto"/>
              <w:ind w:left="220"/>
            </w:pPr>
            <w:r>
              <w:rPr>
                <w:spacing w:val="8"/>
              </w:rPr>
              <w:t>《水质钙和镁总量的测定</w:t>
            </w:r>
            <w:r>
              <w:rPr>
                <w:spacing w:val="-38"/>
              </w:rPr>
              <w:t xml:space="preserve"> </w:t>
            </w:r>
            <w:r>
              <w:rPr>
                <w:rFonts w:ascii="Times New Roman" w:hAnsi="Times New Roman" w:eastAsia="Times New Roman" w:cs="Times New Roman"/>
              </w:rPr>
              <w:t>EDTA</w:t>
            </w:r>
            <w:r>
              <w:rPr>
                <w:rFonts w:ascii="Times New Roman" w:hAnsi="Times New Roman" w:eastAsia="Times New Roman" w:cs="Times New Roman"/>
                <w:spacing w:val="8"/>
              </w:rPr>
              <w:t xml:space="preserve"> </w:t>
            </w:r>
            <w:r>
              <w:rPr>
                <w:spacing w:val="8"/>
              </w:rPr>
              <w:t>滴定法》</w:t>
            </w:r>
          </w:p>
          <w:p w14:paraId="3E8E75BA">
            <w:pPr>
              <w:pStyle w:val="6"/>
              <w:spacing w:before="161"/>
              <w:ind w:left="1288"/>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 7477-1987</w:t>
            </w:r>
            <w:r>
              <w:rPr>
                <w:spacing w:val="4"/>
              </w:rPr>
              <w:t>）</w:t>
            </w:r>
          </w:p>
        </w:tc>
        <w:tc>
          <w:tcPr>
            <w:tcW w:w="861" w:type="dxa"/>
            <w:vAlign w:val="top"/>
          </w:tcPr>
          <w:p w14:paraId="2100F40F">
            <w:pPr>
              <w:spacing w:before="275" w:line="201"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1667" w:type="dxa"/>
            <w:vAlign w:val="top"/>
          </w:tcPr>
          <w:p w14:paraId="4D6AC5DC">
            <w:pPr>
              <w:pStyle w:val="6"/>
              <w:spacing w:before="235" w:line="228" w:lineRule="auto"/>
              <w:ind w:left="527"/>
            </w:pPr>
            <w:r>
              <w:rPr>
                <w:spacing w:val="6"/>
              </w:rPr>
              <w:t>滴定管</w:t>
            </w:r>
          </w:p>
        </w:tc>
        <w:tc>
          <w:tcPr>
            <w:tcW w:w="856" w:type="dxa"/>
            <w:vAlign w:val="top"/>
          </w:tcPr>
          <w:p w14:paraId="67D31C76">
            <w:pPr>
              <w:tabs>
                <w:tab w:val="left" w:pos="527"/>
              </w:tabs>
              <w:spacing w:before="142"/>
              <w:ind w:left="326"/>
              <w:rPr>
                <w:rFonts w:ascii="Arial"/>
                <w:sz w:val="21"/>
              </w:rPr>
            </w:pPr>
            <w:r>
              <w:rPr>
                <w:rFonts w:ascii="Arial" w:hAnsi="Arial" w:eastAsia="Arial" w:cs="Arial"/>
                <w:sz w:val="21"/>
                <w:szCs w:val="21"/>
                <w:u w:val="single" w:color="auto"/>
              </w:rPr>
              <w:tab/>
            </w:r>
          </w:p>
        </w:tc>
      </w:tr>
      <w:tr w14:paraId="75621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2BB96FF2">
            <w:pPr>
              <w:spacing w:line="424" w:lineRule="auto"/>
              <w:rPr>
                <w:rFonts w:ascii="Arial"/>
                <w:sz w:val="21"/>
              </w:rPr>
            </w:pPr>
          </w:p>
          <w:p w14:paraId="4E777F6F">
            <w:pPr>
              <w:spacing w:before="57"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56" w:type="dxa"/>
            <w:vAlign w:val="top"/>
          </w:tcPr>
          <w:p w14:paraId="7C0FE875">
            <w:pPr>
              <w:pStyle w:val="6"/>
              <w:spacing w:before="235" w:line="228" w:lineRule="auto"/>
              <w:ind w:left="214"/>
            </w:pPr>
            <w:r>
              <w:rPr>
                <w:spacing w:val="6"/>
              </w:rPr>
              <w:t>溶解性总</w:t>
            </w:r>
          </w:p>
          <w:p w14:paraId="7044A409">
            <w:pPr>
              <w:pStyle w:val="6"/>
              <w:spacing w:before="161" w:line="228" w:lineRule="auto"/>
              <w:ind w:left="440"/>
            </w:pPr>
            <w:r>
              <w:rPr>
                <w:spacing w:val="-5"/>
              </w:rPr>
              <w:t>固体</w:t>
            </w:r>
          </w:p>
        </w:tc>
        <w:tc>
          <w:tcPr>
            <w:tcW w:w="4219" w:type="dxa"/>
            <w:vAlign w:val="top"/>
          </w:tcPr>
          <w:p w14:paraId="3166D9D6">
            <w:pPr>
              <w:pStyle w:val="6"/>
              <w:spacing w:before="32" w:line="228" w:lineRule="auto"/>
              <w:ind w:left="177"/>
            </w:pPr>
            <w:r>
              <w:rPr>
                <w:spacing w:val="8"/>
              </w:rPr>
              <w:t>《生活饮用水标准检验方法 感官性状和物</w:t>
            </w:r>
          </w:p>
          <w:p w14:paraId="473400EE">
            <w:pPr>
              <w:pStyle w:val="6"/>
              <w:spacing w:before="161" w:line="221" w:lineRule="auto"/>
              <w:ind w:left="114"/>
            </w:pPr>
            <w:r>
              <w:rPr>
                <w:spacing w:val="3"/>
              </w:rPr>
              <w:t>理指》</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/T 5750.4-2006)</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8.</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 xml:space="preserve">1  </w:t>
            </w:r>
            <w:r>
              <w:rPr>
                <w:spacing w:val="3"/>
              </w:rPr>
              <w:t>溶解性总固</w:t>
            </w:r>
          </w:p>
          <w:p w14:paraId="60DF608C">
            <w:pPr>
              <w:pStyle w:val="6"/>
              <w:spacing w:before="168" w:line="229" w:lineRule="auto"/>
              <w:ind w:left="1537"/>
            </w:pPr>
            <w:r>
              <w:rPr>
                <w:spacing w:val="4"/>
              </w:rPr>
              <w:t>体</w:t>
            </w:r>
            <w:r>
              <w:rPr>
                <w:spacing w:val="14"/>
              </w:rPr>
              <w:t xml:space="preserve"> </w:t>
            </w:r>
            <w:r>
              <w:rPr>
                <w:spacing w:val="4"/>
              </w:rPr>
              <w:t>称重法）</w:t>
            </w:r>
          </w:p>
        </w:tc>
        <w:tc>
          <w:tcPr>
            <w:tcW w:w="861" w:type="dxa"/>
            <w:vAlign w:val="top"/>
          </w:tcPr>
          <w:p w14:paraId="476AF63E">
            <w:pPr>
              <w:spacing w:line="285" w:lineRule="auto"/>
              <w:rPr>
                <w:rFonts w:ascii="Arial"/>
                <w:sz w:val="21"/>
              </w:rPr>
            </w:pPr>
          </w:p>
          <w:p w14:paraId="34FC03D5">
            <w:pPr>
              <w:tabs>
                <w:tab w:val="left" w:pos="530"/>
              </w:tabs>
              <w:spacing w:before="60"/>
              <w:ind w:left="329"/>
              <w:rPr>
                <w:rFonts w:ascii="Arial"/>
                <w:sz w:val="21"/>
              </w:rPr>
            </w:pPr>
            <w:r>
              <w:rPr>
                <w:rFonts w:ascii="Arial" w:hAnsi="Arial" w:eastAsia="Arial" w:cs="Arial"/>
                <w:sz w:val="21"/>
                <w:szCs w:val="21"/>
                <w:u w:val="single" w:color="auto"/>
              </w:rPr>
              <w:tab/>
            </w:r>
          </w:p>
        </w:tc>
        <w:tc>
          <w:tcPr>
            <w:tcW w:w="1667" w:type="dxa"/>
            <w:vAlign w:val="top"/>
          </w:tcPr>
          <w:p w14:paraId="60221827">
            <w:pPr>
              <w:pStyle w:val="6"/>
              <w:spacing w:before="55" w:line="228" w:lineRule="auto"/>
              <w:ind w:left="444"/>
            </w:pPr>
            <w:r>
              <w:rPr>
                <w:spacing w:val="1"/>
              </w:rPr>
              <w:t>电子天平</w:t>
            </w:r>
          </w:p>
          <w:p w14:paraId="58986E95">
            <w:pPr>
              <w:pStyle w:val="6"/>
              <w:spacing w:before="161" w:line="228" w:lineRule="auto"/>
              <w:ind w:left="425"/>
            </w:pPr>
            <w:r>
              <w:rPr>
                <w:spacing w:val="6"/>
              </w:rPr>
              <w:t>万分之一</w:t>
            </w:r>
          </w:p>
          <w:p w14:paraId="57FBC438">
            <w:pPr>
              <w:spacing w:before="17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FA</w:t>
            </w:r>
            <w:r>
              <w:rPr>
                <w:rFonts w:ascii="Times New Roman" w:hAnsi="Times New Roman" w:eastAsia="Times New Roman" w:cs="Times New Roman"/>
                <w:spacing w:val="4"/>
                <w:sz w:val="20"/>
                <w:szCs w:val="20"/>
              </w:rPr>
              <w:t>2004B</w:t>
            </w:r>
          </w:p>
        </w:tc>
        <w:tc>
          <w:tcPr>
            <w:tcW w:w="856" w:type="dxa"/>
            <w:vAlign w:val="top"/>
          </w:tcPr>
          <w:p w14:paraId="50BF652F">
            <w:pPr>
              <w:spacing w:line="245" w:lineRule="auto"/>
              <w:rPr>
                <w:rFonts w:ascii="Arial"/>
                <w:sz w:val="21"/>
              </w:rPr>
            </w:pPr>
          </w:p>
          <w:p w14:paraId="2E43D56C">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F00D919">
            <w:pPr>
              <w:spacing w:before="17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11-A</w:t>
            </w:r>
          </w:p>
        </w:tc>
      </w:tr>
      <w:tr w14:paraId="01C34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788" w:type="dxa"/>
            <w:vAlign w:val="top"/>
          </w:tcPr>
          <w:p w14:paraId="395BB4C2">
            <w:pPr>
              <w:spacing w:line="401" w:lineRule="auto"/>
              <w:rPr>
                <w:rFonts w:ascii="Arial"/>
                <w:sz w:val="21"/>
              </w:rPr>
            </w:pPr>
          </w:p>
          <w:p w14:paraId="5976F52B">
            <w:pPr>
              <w:spacing w:before="57"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56" w:type="dxa"/>
            <w:vAlign w:val="top"/>
          </w:tcPr>
          <w:p w14:paraId="5DB8AEC7">
            <w:pPr>
              <w:spacing w:line="350" w:lineRule="auto"/>
              <w:rPr>
                <w:rFonts w:ascii="Arial"/>
                <w:sz w:val="21"/>
              </w:rPr>
            </w:pPr>
          </w:p>
          <w:p w14:paraId="03DA4AED">
            <w:pPr>
              <w:pStyle w:val="6"/>
              <w:spacing w:before="65" w:line="229" w:lineRule="auto"/>
              <w:ind w:left="525"/>
            </w:pPr>
            <w:r>
              <w:rPr>
                <w:spacing w:val="1"/>
              </w:rPr>
              <w:t>铁</w:t>
            </w:r>
          </w:p>
        </w:tc>
        <w:tc>
          <w:tcPr>
            <w:tcW w:w="4219" w:type="dxa"/>
            <w:vAlign w:val="top"/>
          </w:tcPr>
          <w:p w14:paraId="5ED5D98E">
            <w:pPr>
              <w:pStyle w:val="6"/>
              <w:spacing w:before="213" w:line="228" w:lineRule="auto"/>
              <w:ind w:left="124"/>
            </w:pPr>
            <w:r>
              <w:rPr>
                <w:spacing w:val="9"/>
              </w:rPr>
              <w:t>《水质铁、锰的测定火焰原子吸收分光光度</w:t>
            </w:r>
          </w:p>
          <w:p w14:paraId="5095D5E6">
            <w:pPr>
              <w:pStyle w:val="6"/>
              <w:spacing w:before="161" w:line="233" w:lineRule="auto"/>
              <w:ind w:left="1128"/>
            </w:pPr>
            <w:r>
              <w:rPr>
                <w:spacing w:val="2"/>
              </w:rPr>
              <w:t>法》（</w:t>
            </w:r>
            <w:r>
              <w:rPr>
                <w:rFonts w:ascii="Times New Roman" w:hAnsi="Times New Roman" w:eastAsia="Times New Roman" w:cs="Times New Roman"/>
              </w:rPr>
              <w:t>GB</w:t>
            </w:r>
            <w:r>
              <w:rPr>
                <w:rFonts w:ascii="Times New Roman" w:hAnsi="Times New Roman" w:eastAsia="Times New Roman" w:cs="Times New Roman"/>
                <w:spacing w:val="34"/>
              </w:rPr>
              <w:t xml:space="preserve"> </w:t>
            </w:r>
            <w:r>
              <w:rPr>
                <w:rFonts w:ascii="Times New Roman" w:hAnsi="Times New Roman" w:eastAsia="Times New Roman" w:cs="Times New Roman"/>
                <w:spacing w:val="2"/>
              </w:rPr>
              <w:t>11911-89</w:t>
            </w:r>
            <w:r>
              <w:rPr>
                <w:spacing w:val="2"/>
              </w:rPr>
              <w:t>）</w:t>
            </w:r>
          </w:p>
        </w:tc>
        <w:tc>
          <w:tcPr>
            <w:tcW w:w="861" w:type="dxa"/>
            <w:vAlign w:val="top"/>
          </w:tcPr>
          <w:p w14:paraId="20AE08B1">
            <w:pPr>
              <w:spacing w:before="28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1B5AD389">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9C029A3">
            <w:pPr>
              <w:pStyle w:val="6"/>
              <w:spacing w:before="33" w:line="228" w:lineRule="auto"/>
              <w:ind w:left="216"/>
            </w:pPr>
            <w:r>
              <w:rPr>
                <w:spacing w:val="7"/>
              </w:rPr>
              <w:t>原子吸收分光</w:t>
            </w:r>
          </w:p>
          <w:p w14:paraId="25794A67">
            <w:pPr>
              <w:pStyle w:val="6"/>
              <w:spacing w:before="160" w:line="228" w:lineRule="auto"/>
              <w:ind w:left="527"/>
            </w:pPr>
            <w:r>
              <w:rPr>
                <w:spacing w:val="6"/>
              </w:rPr>
              <w:t>光度计</w:t>
            </w:r>
          </w:p>
          <w:p w14:paraId="306D31CB">
            <w:pPr>
              <w:spacing w:before="179" w:line="199"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6" w:type="dxa"/>
            <w:vAlign w:val="top"/>
          </w:tcPr>
          <w:p w14:paraId="25997E8D">
            <w:pPr>
              <w:spacing w:before="28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8034961">
            <w:pPr>
              <w:spacing w:before="17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796A5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788" w:type="dxa"/>
            <w:vAlign w:val="top"/>
          </w:tcPr>
          <w:p w14:paraId="1CC8F537">
            <w:pPr>
              <w:spacing w:line="405" w:lineRule="auto"/>
              <w:rPr>
                <w:rFonts w:ascii="Arial"/>
                <w:sz w:val="21"/>
              </w:rPr>
            </w:pPr>
          </w:p>
          <w:p w14:paraId="600ECE67">
            <w:pPr>
              <w:spacing w:before="57" w:line="192"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56" w:type="dxa"/>
            <w:vAlign w:val="top"/>
          </w:tcPr>
          <w:p w14:paraId="0663B8D1">
            <w:pPr>
              <w:spacing w:line="352" w:lineRule="auto"/>
              <w:rPr>
                <w:rFonts w:ascii="Arial"/>
                <w:sz w:val="21"/>
              </w:rPr>
            </w:pPr>
          </w:p>
          <w:p w14:paraId="14DA67AC">
            <w:pPr>
              <w:pStyle w:val="6"/>
              <w:spacing w:before="65" w:line="234" w:lineRule="auto"/>
              <w:ind w:left="525"/>
            </w:pPr>
            <w:r>
              <w:t>锰</w:t>
            </w:r>
          </w:p>
        </w:tc>
        <w:tc>
          <w:tcPr>
            <w:tcW w:w="4219" w:type="dxa"/>
            <w:vAlign w:val="top"/>
          </w:tcPr>
          <w:p w14:paraId="47661552">
            <w:pPr>
              <w:pStyle w:val="6"/>
              <w:spacing w:before="212" w:line="228" w:lineRule="auto"/>
              <w:ind w:left="124"/>
            </w:pPr>
            <w:r>
              <w:rPr>
                <w:spacing w:val="9"/>
              </w:rPr>
              <w:t>《水质铁、锰的测定火焰原子吸收分光光度</w:t>
            </w:r>
          </w:p>
          <w:p w14:paraId="6C4FD2C4">
            <w:pPr>
              <w:pStyle w:val="6"/>
              <w:spacing w:before="161" w:line="233" w:lineRule="auto"/>
              <w:ind w:left="1128"/>
            </w:pPr>
            <w:r>
              <w:rPr>
                <w:spacing w:val="2"/>
              </w:rPr>
              <w:t>法》（</w:t>
            </w:r>
            <w:r>
              <w:rPr>
                <w:rFonts w:ascii="Times New Roman" w:hAnsi="Times New Roman" w:eastAsia="Times New Roman" w:cs="Times New Roman"/>
              </w:rPr>
              <w:t>GB</w:t>
            </w:r>
            <w:r>
              <w:rPr>
                <w:rFonts w:ascii="Times New Roman" w:hAnsi="Times New Roman" w:eastAsia="Times New Roman" w:cs="Times New Roman"/>
                <w:spacing w:val="34"/>
              </w:rPr>
              <w:t xml:space="preserve"> </w:t>
            </w:r>
            <w:r>
              <w:rPr>
                <w:rFonts w:ascii="Times New Roman" w:hAnsi="Times New Roman" w:eastAsia="Times New Roman" w:cs="Times New Roman"/>
                <w:spacing w:val="2"/>
              </w:rPr>
              <w:t>11911-89</w:t>
            </w:r>
            <w:r>
              <w:rPr>
                <w:spacing w:val="2"/>
              </w:rPr>
              <w:t>）</w:t>
            </w:r>
          </w:p>
        </w:tc>
        <w:tc>
          <w:tcPr>
            <w:tcW w:w="861" w:type="dxa"/>
            <w:vAlign w:val="top"/>
          </w:tcPr>
          <w:p w14:paraId="465DE37A">
            <w:pPr>
              <w:spacing w:before="28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72705DB">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29D2CAB2">
            <w:pPr>
              <w:pStyle w:val="6"/>
              <w:spacing w:before="32" w:line="228" w:lineRule="auto"/>
              <w:ind w:left="216"/>
            </w:pPr>
            <w:r>
              <w:rPr>
                <w:spacing w:val="7"/>
              </w:rPr>
              <w:t>原子吸收分光</w:t>
            </w:r>
          </w:p>
          <w:p w14:paraId="5B94CC20">
            <w:pPr>
              <w:pStyle w:val="6"/>
              <w:spacing w:before="160" w:line="228" w:lineRule="auto"/>
              <w:ind w:left="527"/>
            </w:pPr>
            <w:r>
              <w:rPr>
                <w:spacing w:val="6"/>
              </w:rPr>
              <w:t>光度计</w:t>
            </w:r>
          </w:p>
          <w:p w14:paraId="555764CE">
            <w:pPr>
              <w:spacing w:before="179" w:line="199"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6" w:type="dxa"/>
            <w:vAlign w:val="top"/>
          </w:tcPr>
          <w:p w14:paraId="2807B562">
            <w:pPr>
              <w:spacing w:before="280"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64ACFF2">
            <w:pPr>
              <w:spacing w:before="17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3E88F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788" w:type="dxa"/>
            <w:vAlign w:val="top"/>
          </w:tcPr>
          <w:p w14:paraId="712ED3A4">
            <w:pPr>
              <w:spacing w:line="401" w:lineRule="auto"/>
              <w:rPr>
                <w:rFonts w:ascii="Arial"/>
                <w:sz w:val="21"/>
              </w:rPr>
            </w:pPr>
          </w:p>
          <w:p w14:paraId="10941F5D">
            <w:pPr>
              <w:spacing w:before="5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56" w:type="dxa"/>
            <w:vAlign w:val="top"/>
          </w:tcPr>
          <w:p w14:paraId="34E9FA2B">
            <w:pPr>
              <w:spacing w:line="351" w:lineRule="auto"/>
              <w:rPr>
                <w:rFonts w:ascii="Arial"/>
                <w:sz w:val="21"/>
              </w:rPr>
            </w:pPr>
          </w:p>
          <w:p w14:paraId="3D6AB290">
            <w:pPr>
              <w:pStyle w:val="6"/>
              <w:spacing w:before="65" w:line="228" w:lineRule="auto"/>
              <w:ind w:left="525"/>
            </w:pPr>
            <w:r>
              <w:rPr>
                <w:spacing w:val="1"/>
              </w:rPr>
              <w:t>锌</w:t>
            </w:r>
          </w:p>
        </w:tc>
        <w:tc>
          <w:tcPr>
            <w:tcW w:w="4219" w:type="dxa"/>
            <w:vAlign w:val="top"/>
          </w:tcPr>
          <w:p w14:paraId="770F73D2">
            <w:pPr>
              <w:pStyle w:val="6"/>
              <w:spacing w:before="214" w:line="228" w:lineRule="auto"/>
              <w:ind w:left="124"/>
            </w:pPr>
            <w:r>
              <w:rPr>
                <w:spacing w:val="8"/>
              </w:rPr>
              <w:t>《水质 铜、锌、铅、镉的测定 原子吸收分</w:t>
            </w:r>
          </w:p>
          <w:p w14:paraId="306E5057">
            <w:pPr>
              <w:pStyle w:val="6"/>
              <w:spacing w:before="160" w:line="228" w:lineRule="auto"/>
              <w:ind w:left="860"/>
            </w:pPr>
            <w:r>
              <w:rPr>
                <w:spacing w:val="6"/>
              </w:rPr>
              <w:t>光光度法》（</w:t>
            </w:r>
            <w:r>
              <w:rPr>
                <w:rFonts w:ascii="Times New Roman" w:hAnsi="Times New Roman" w:eastAsia="Times New Roman" w:cs="Times New Roman"/>
              </w:rPr>
              <w:t>GB</w:t>
            </w:r>
            <w:r>
              <w:rPr>
                <w:rFonts w:ascii="Times New Roman" w:hAnsi="Times New Roman" w:eastAsia="Times New Roman" w:cs="Times New Roman"/>
                <w:spacing w:val="6"/>
              </w:rPr>
              <w:t xml:space="preserve"> 7475-87</w:t>
            </w:r>
            <w:r>
              <w:rPr>
                <w:spacing w:val="6"/>
              </w:rPr>
              <w:t>）</w:t>
            </w:r>
          </w:p>
        </w:tc>
        <w:tc>
          <w:tcPr>
            <w:tcW w:w="861" w:type="dxa"/>
            <w:vAlign w:val="top"/>
          </w:tcPr>
          <w:p w14:paraId="6AAFA717">
            <w:pPr>
              <w:spacing w:before="28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0711540F">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2330683">
            <w:pPr>
              <w:pStyle w:val="6"/>
              <w:spacing w:before="34" w:line="228" w:lineRule="auto"/>
              <w:ind w:left="216"/>
            </w:pPr>
            <w:r>
              <w:rPr>
                <w:spacing w:val="7"/>
              </w:rPr>
              <w:t>原子吸收分光</w:t>
            </w:r>
          </w:p>
          <w:p w14:paraId="757777FB">
            <w:pPr>
              <w:pStyle w:val="6"/>
              <w:spacing w:before="160" w:line="228" w:lineRule="auto"/>
              <w:ind w:left="527"/>
            </w:pPr>
            <w:r>
              <w:rPr>
                <w:spacing w:val="6"/>
              </w:rPr>
              <w:t>光度计</w:t>
            </w:r>
          </w:p>
          <w:p w14:paraId="398B01C2">
            <w:pPr>
              <w:spacing w:before="179" w:line="199"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6" w:type="dxa"/>
            <w:vAlign w:val="top"/>
          </w:tcPr>
          <w:p w14:paraId="2FE3789F">
            <w:pPr>
              <w:spacing w:before="28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22B7123">
            <w:pPr>
              <w:spacing w:before="17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5B068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1983646E">
            <w:pPr>
              <w:spacing w:line="427" w:lineRule="auto"/>
              <w:rPr>
                <w:rFonts w:ascii="Arial"/>
                <w:sz w:val="21"/>
              </w:rPr>
            </w:pPr>
          </w:p>
          <w:p w14:paraId="1B2E3BCE">
            <w:pPr>
              <w:spacing w:before="57" w:line="192"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56" w:type="dxa"/>
            <w:vAlign w:val="top"/>
          </w:tcPr>
          <w:p w14:paraId="775FEAA2">
            <w:pPr>
              <w:spacing w:line="374" w:lineRule="auto"/>
              <w:rPr>
                <w:rFonts w:ascii="Arial"/>
                <w:sz w:val="21"/>
              </w:rPr>
            </w:pPr>
          </w:p>
          <w:p w14:paraId="704D78FA">
            <w:pPr>
              <w:pStyle w:val="6"/>
              <w:spacing w:before="65" w:line="228" w:lineRule="auto"/>
              <w:ind w:left="316"/>
            </w:pPr>
            <w:r>
              <w:rPr>
                <w:spacing w:val="7"/>
              </w:rPr>
              <w:t>挥发酚</w:t>
            </w:r>
          </w:p>
        </w:tc>
        <w:tc>
          <w:tcPr>
            <w:tcW w:w="4219" w:type="dxa"/>
            <w:vAlign w:val="top"/>
          </w:tcPr>
          <w:p w14:paraId="0A844E27">
            <w:pPr>
              <w:pStyle w:val="6"/>
              <w:spacing w:before="33" w:line="228" w:lineRule="auto"/>
              <w:ind w:left="144"/>
            </w:pPr>
            <w:r>
              <w:rPr>
                <w:spacing w:val="8"/>
              </w:rPr>
              <w:t xml:space="preserve">《水质 挥发酚的测定 </w:t>
            </w:r>
            <w:r>
              <w:rPr>
                <w:rFonts w:ascii="Times New Roman" w:hAnsi="Times New Roman" w:eastAsia="Times New Roman" w:cs="Times New Roman"/>
                <w:spacing w:val="8"/>
              </w:rPr>
              <w:t>4-</w:t>
            </w:r>
            <w:r>
              <w:rPr>
                <w:spacing w:val="8"/>
              </w:rPr>
              <w:t>氨基安替比林分光</w:t>
            </w:r>
          </w:p>
          <w:p w14:paraId="7974ABEE">
            <w:pPr>
              <w:pStyle w:val="6"/>
              <w:spacing w:before="161" w:line="228" w:lineRule="auto"/>
              <w:ind w:left="114"/>
            </w:pPr>
            <w:r>
              <w:rPr>
                <w:spacing w:val="5"/>
              </w:rPr>
              <w:t>光度法》（</w:t>
            </w:r>
            <w:r>
              <w:rPr>
                <w:rFonts w:ascii="Times New Roman" w:hAnsi="Times New Roman" w:eastAsia="Times New Roman" w:cs="Times New Roman"/>
              </w:rPr>
              <w:t>HJ</w:t>
            </w:r>
            <w:r>
              <w:rPr>
                <w:rFonts w:ascii="Times New Roman" w:hAnsi="Times New Roman" w:eastAsia="Times New Roman" w:cs="Times New Roman"/>
                <w:spacing w:val="5"/>
              </w:rPr>
              <w:t xml:space="preserve"> 503-2009</w:t>
            </w:r>
            <w:r>
              <w:rPr>
                <w:spacing w:val="-21"/>
              </w:rPr>
              <w:t>）（</w:t>
            </w:r>
            <w:r>
              <w:rPr>
                <w:spacing w:val="5"/>
              </w:rPr>
              <w:t>方法</w:t>
            </w:r>
            <w:r>
              <w:rPr>
                <w:spacing w:val="-20"/>
              </w:rPr>
              <w:t xml:space="preserve"> </w:t>
            </w:r>
            <w:r>
              <w:rPr>
                <w:rFonts w:ascii="Times New Roman" w:hAnsi="Times New Roman" w:eastAsia="Times New Roman" w:cs="Times New Roman"/>
                <w:spacing w:val="5"/>
              </w:rPr>
              <w:t xml:space="preserve">1  </w:t>
            </w:r>
            <w:r>
              <w:rPr>
                <w:spacing w:val="5"/>
              </w:rPr>
              <w:t>萃取分光</w:t>
            </w:r>
          </w:p>
          <w:p w14:paraId="5776BDA5">
            <w:pPr>
              <w:pStyle w:val="6"/>
              <w:spacing w:before="160" w:line="228" w:lineRule="auto"/>
              <w:ind w:left="1695"/>
            </w:pPr>
            <w:r>
              <w:rPr>
                <w:spacing w:val="4"/>
              </w:rPr>
              <w:t>光度法）</w:t>
            </w:r>
          </w:p>
        </w:tc>
        <w:tc>
          <w:tcPr>
            <w:tcW w:w="861" w:type="dxa"/>
            <w:vAlign w:val="top"/>
          </w:tcPr>
          <w:p w14:paraId="12CC69B9">
            <w:pPr>
              <w:spacing w:line="245" w:lineRule="auto"/>
              <w:rPr>
                <w:rFonts w:ascii="Arial"/>
                <w:sz w:val="21"/>
              </w:rPr>
            </w:pPr>
          </w:p>
          <w:p w14:paraId="69E0A26F">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741EE93A">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623AEC20">
            <w:pPr>
              <w:pStyle w:val="6"/>
              <w:spacing w:before="236" w:line="379" w:lineRule="auto"/>
              <w:ind w:left="420" w:right="200" w:hanging="207"/>
              <w:rPr>
                <w:rFonts w:ascii="Times New Roman" w:hAnsi="Times New Roman" w:eastAsia="Times New Roman" w:cs="Times New Roman"/>
              </w:rPr>
            </w:pPr>
            <w:r>
              <w:rPr>
                <w:spacing w:val="7"/>
              </w:rPr>
              <w:t>可见分光光度</w:t>
            </w:r>
            <w:r>
              <w:rPr>
                <w:spacing w:val="4"/>
              </w:rPr>
              <w:t xml:space="preserve"> 计</w:t>
            </w:r>
            <w:r>
              <w:rPr>
                <w:rFonts w:ascii="Times New Roman" w:hAnsi="Times New Roman" w:eastAsia="Times New Roman" w:cs="Times New Roman"/>
                <w:spacing w:val="4"/>
              </w:rPr>
              <w:t>/7230G</w:t>
            </w:r>
          </w:p>
        </w:tc>
        <w:tc>
          <w:tcPr>
            <w:tcW w:w="856" w:type="dxa"/>
            <w:vAlign w:val="top"/>
          </w:tcPr>
          <w:p w14:paraId="5CF7C726">
            <w:pPr>
              <w:spacing w:line="245" w:lineRule="auto"/>
              <w:rPr>
                <w:rFonts w:ascii="Arial"/>
                <w:sz w:val="21"/>
              </w:rPr>
            </w:pPr>
          </w:p>
          <w:p w14:paraId="2D78C94E">
            <w:pPr>
              <w:spacing w:before="5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94C4D34">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22-A</w:t>
            </w:r>
          </w:p>
        </w:tc>
      </w:tr>
      <w:tr w14:paraId="39057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5ABFE7BD">
            <w:pPr>
              <w:spacing w:line="426" w:lineRule="auto"/>
              <w:rPr>
                <w:rFonts w:ascii="Arial"/>
                <w:sz w:val="21"/>
              </w:rPr>
            </w:pPr>
          </w:p>
          <w:p w14:paraId="4608D857">
            <w:pPr>
              <w:spacing w:before="5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56" w:type="dxa"/>
            <w:vAlign w:val="top"/>
          </w:tcPr>
          <w:p w14:paraId="67953578">
            <w:pPr>
              <w:spacing w:line="376" w:lineRule="auto"/>
              <w:rPr>
                <w:rFonts w:ascii="Arial"/>
                <w:sz w:val="21"/>
              </w:rPr>
            </w:pPr>
          </w:p>
          <w:p w14:paraId="027FF1EC">
            <w:pPr>
              <w:pStyle w:val="6"/>
              <w:spacing w:before="65" w:line="227" w:lineRule="auto"/>
              <w:ind w:left="317"/>
            </w:pPr>
            <w:r>
              <w:rPr>
                <w:spacing w:val="6"/>
              </w:rPr>
              <w:t>耗氧量</w:t>
            </w:r>
          </w:p>
        </w:tc>
        <w:tc>
          <w:tcPr>
            <w:tcW w:w="4219" w:type="dxa"/>
            <w:vAlign w:val="top"/>
          </w:tcPr>
          <w:p w14:paraId="45CE635F">
            <w:pPr>
              <w:pStyle w:val="6"/>
              <w:spacing w:before="35" w:line="227" w:lineRule="auto"/>
              <w:ind w:left="177"/>
            </w:pPr>
            <w:r>
              <w:rPr>
                <w:spacing w:val="8"/>
              </w:rPr>
              <w:t>《生活饮用水标准检验方法 有机物综合指</w:t>
            </w:r>
          </w:p>
          <w:p w14:paraId="76F3F628">
            <w:pPr>
              <w:pStyle w:val="6"/>
              <w:spacing w:before="162" w:line="221" w:lineRule="auto"/>
              <w:ind w:left="113"/>
            </w:pPr>
            <w:r>
              <w:rPr>
                <w:spacing w:val="1"/>
              </w:rPr>
              <w:t>标》</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/T 5750.7-2006)</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spacing w:val="-7"/>
              </w:rPr>
              <w:t xml:space="preserve"> </w:t>
            </w:r>
            <w:r>
              <w:rPr>
                <w:rFonts w:ascii="Times New Roman" w:hAnsi="Times New Roman" w:eastAsia="Times New Roman" w:cs="Times New Roman"/>
                <w:spacing w:val="1"/>
              </w:rPr>
              <w:t xml:space="preserve">1  </w:t>
            </w:r>
            <w:r>
              <w:rPr>
                <w:spacing w:val="1"/>
              </w:rPr>
              <w:t>耗氧量</w:t>
            </w:r>
            <w:r>
              <w:rPr>
                <w:spacing w:val="15"/>
              </w:rPr>
              <w:t xml:space="preserve"> </w:t>
            </w:r>
            <w:r>
              <w:rPr>
                <w:spacing w:val="1"/>
              </w:rPr>
              <w:t>酸性高</w:t>
            </w:r>
          </w:p>
          <w:p w14:paraId="65A4657C">
            <w:pPr>
              <w:pStyle w:val="6"/>
              <w:spacing w:before="168" w:line="228" w:lineRule="auto"/>
              <w:ind w:left="1379"/>
            </w:pPr>
            <w:r>
              <w:rPr>
                <w:spacing w:val="7"/>
              </w:rPr>
              <w:t>锰酸钾滴定法）</w:t>
            </w:r>
          </w:p>
        </w:tc>
        <w:tc>
          <w:tcPr>
            <w:tcW w:w="861" w:type="dxa"/>
            <w:vAlign w:val="top"/>
          </w:tcPr>
          <w:p w14:paraId="0602E5F6">
            <w:pPr>
              <w:spacing w:line="247" w:lineRule="auto"/>
              <w:rPr>
                <w:rFonts w:ascii="Arial"/>
                <w:sz w:val="21"/>
              </w:rPr>
            </w:pPr>
          </w:p>
          <w:p w14:paraId="09B4B05C">
            <w:pPr>
              <w:spacing w:before="5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6789486A">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594D6EF">
            <w:pPr>
              <w:spacing w:line="375" w:lineRule="auto"/>
              <w:rPr>
                <w:rFonts w:ascii="Arial"/>
                <w:sz w:val="21"/>
              </w:rPr>
            </w:pPr>
          </w:p>
          <w:p w14:paraId="331EB2D8">
            <w:pPr>
              <w:pStyle w:val="6"/>
              <w:spacing w:before="65" w:line="228" w:lineRule="auto"/>
              <w:ind w:left="527"/>
            </w:pPr>
            <w:r>
              <w:rPr>
                <w:spacing w:val="6"/>
              </w:rPr>
              <w:t>滴定管</w:t>
            </w:r>
          </w:p>
        </w:tc>
        <w:tc>
          <w:tcPr>
            <w:tcW w:w="856" w:type="dxa"/>
            <w:vAlign w:val="top"/>
          </w:tcPr>
          <w:p w14:paraId="5FF68D69">
            <w:pPr>
              <w:spacing w:line="473" w:lineRule="auto"/>
              <w:rPr>
                <w:rFonts w:ascii="Arial"/>
                <w:sz w:val="21"/>
              </w:rPr>
            </w:pPr>
          </w:p>
          <w:p w14:paraId="0C721D4F">
            <w:pPr>
              <w:pStyle w:val="6"/>
              <w:spacing w:before="65" w:line="137" w:lineRule="exact"/>
              <w:ind w:left="326"/>
            </w:pPr>
            <w:r>
              <w:rPr>
                <w:spacing w:val="2"/>
                <w:position w:val="-3"/>
              </w:rPr>
              <w:t>—</w:t>
            </w:r>
          </w:p>
        </w:tc>
      </w:tr>
      <w:tr w14:paraId="5CA85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788" w:type="dxa"/>
            <w:vAlign w:val="top"/>
          </w:tcPr>
          <w:p w14:paraId="137A20B1">
            <w:pPr>
              <w:spacing w:before="283"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56" w:type="dxa"/>
            <w:vAlign w:val="top"/>
          </w:tcPr>
          <w:p w14:paraId="05ED9F7A">
            <w:pPr>
              <w:pStyle w:val="6"/>
              <w:spacing w:before="240" w:line="227" w:lineRule="auto"/>
              <w:ind w:left="422"/>
            </w:pPr>
            <w:r>
              <w:rPr>
                <w:spacing w:val="4"/>
              </w:rPr>
              <w:t>氨氮</w:t>
            </w:r>
          </w:p>
        </w:tc>
        <w:tc>
          <w:tcPr>
            <w:tcW w:w="4219" w:type="dxa"/>
            <w:vAlign w:val="top"/>
          </w:tcPr>
          <w:p w14:paraId="46B4E94D">
            <w:pPr>
              <w:pStyle w:val="6"/>
              <w:spacing w:before="36" w:line="227" w:lineRule="auto"/>
              <w:ind w:left="177"/>
            </w:pPr>
            <w:r>
              <w:rPr>
                <w:spacing w:val="8"/>
              </w:rPr>
              <w:t>《水质 氨氮的测定纳氏试剂分光光度法》</w:t>
            </w:r>
          </w:p>
          <w:p w14:paraId="1DC5A41E">
            <w:pPr>
              <w:pStyle w:val="6"/>
              <w:spacing w:before="162"/>
              <w:ind w:left="1610"/>
            </w:pPr>
            <w:r>
              <w:rPr>
                <w:spacing w:val="3"/>
              </w:rPr>
              <w:t>（</w:t>
            </w:r>
            <w:r>
              <w:rPr>
                <w:rFonts w:ascii="Times New Roman" w:hAnsi="Times New Roman" w:eastAsia="Times New Roman" w:cs="Times New Roman"/>
              </w:rPr>
              <w:t>HJ</w:t>
            </w:r>
            <w:r>
              <w:rPr>
                <w:rFonts w:ascii="Times New Roman" w:hAnsi="Times New Roman" w:eastAsia="Times New Roman" w:cs="Times New Roman"/>
                <w:spacing w:val="3"/>
              </w:rPr>
              <w:t xml:space="preserve"> 535-2009</w:t>
            </w:r>
            <w:r>
              <w:rPr>
                <w:spacing w:val="3"/>
              </w:rPr>
              <w:t>）</w:t>
            </w:r>
          </w:p>
        </w:tc>
        <w:tc>
          <w:tcPr>
            <w:tcW w:w="861" w:type="dxa"/>
            <w:vAlign w:val="top"/>
          </w:tcPr>
          <w:p w14:paraId="7587AF7B">
            <w:pPr>
              <w:spacing w:before="101"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0.025</w:t>
            </w:r>
          </w:p>
          <w:p w14:paraId="1EC8804C">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00C5EEFA">
            <w:pPr>
              <w:pStyle w:val="6"/>
              <w:spacing w:before="36" w:line="359" w:lineRule="auto"/>
              <w:ind w:left="393" w:right="200" w:hanging="180"/>
              <w:rPr>
                <w:rFonts w:ascii="Times New Roman" w:hAnsi="Times New Roman" w:eastAsia="Times New Roman" w:cs="Times New Roman"/>
              </w:rPr>
            </w:pPr>
            <w:r>
              <w:rPr>
                <w:spacing w:val="7"/>
              </w:rPr>
              <w:t>可见分光光度</w:t>
            </w:r>
            <w:r>
              <w:rPr>
                <w:spacing w:val="4"/>
              </w:rPr>
              <w:t xml:space="preserve"> </w:t>
            </w:r>
            <w:r>
              <w:rPr>
                <w:spacing w:val="2"/>
              </w:rPr>
              <w:t>计</w:t>
            </w:r>
            <w:r>
              <w:rPr>
                <w:rFonts w:ascii="Times New Roman" w:hAnsi="Times New Roman" w:eastAsia="Times New Roman" w:cs="Times New Roman"/>
                <w:spacing w:val="2"/>
              </w:rPr>
              <w:t>/V-5600</w:t>
            </w:r>
          </w:p>
        </w:tc>
        <w:tc>
          <w:tcPr>
            <w:tcW w:w="856" w:type="dxa"/>
            <w:vAlign w:val="top"/>
          </w:tcPr>
          <w:p w14:paraId="4600B962">
            <w:pPr>
              <w:spacing w:before="10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81B217A">
            <w:pPr>
              <w:spacing w:before="17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22-C</w:t>
            </w:r>
          </w:p>
        </w:tc>
      </w:tr>
    </w:tbl>
    <w:p w14:paraId="07209F9B">
      <w:pPr>
        <w:pStyle w:val="2"/>
      </w:pPr>
    </w:p>
    <w:p w14:paraId="4A12D2E6">
      <w:pPr>
        <w:sectPr>
          <w:headerReference r:id="rId181" w:type="default"/>
          <w:footerReference r:id="rId182" w:type="default"/>
          <w:pgSz w:w="11907" w:h="16840"/>
          <w:pgMar w:top="1147" w:right="985" w:bottom="1357" w:left="1269" w:header="825" w:footer="1195" w:gutter="0"/>
          <w:cols w:space="720" w:num="1"/>
        </w:sectPr>
      </w:pPr>
    </w:p>
    <w:p w14:paraId="439A2989">
      <w:pPr>
        <w:spacing w:before="29"/>
      </w:pPr>
      <w:r>
        <w:pict>
          <v:shape id="_x0000_s1041" o:spid="_x0000_s1041" style="position:absolute;left:0pt;margin-left:70.9pt;margin-top:57.15pt;height:0.5pt;width:467.8pt;mso-position-horizontal-relative:page;mso-position-vertical-relative:page;z-index:251698176;mso-width-relative:page;mso-height-relative:page;" fillcolor="#000000" filled="t" stroked="f" coordsize="9355,10" o:allowincell="f" path="m0,0l9355,0,9355,9,0,9,0,0xe">
            <v:path/>
            <v:fill on="t" focussize="0,0"/>
            <v:stroke on="f"/>
            <v:imagedata o:title=""/>
            <o:lock v:ext="edit"/>
          </v:shape>
        </w:pict>
      </w:r>
    </w:p>
    <w:tbl>
      <w:tblPr>
        <w:tblStyle w:val="5"/>
        <w:tblW w:w="96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1256"/>
        <w:gridCol w:w="4219"/>
        <w:gridCol w:w="861"/>
        <w:gridCol w:w="1667"/>
        <w:gridCol w:w="856"/>
      </w:tblGrid>
      <w:tr w14:paraId="4CDCF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788" w:type="dxa"/>
            <w:vAlign w:val="top"/>
          </w:tcPr>
          <w:p w14:paraId="3FC0D6B8">
            <w:pPr>
              <w:spacing w:line="428" w:lineRule="auto"/>
              <w:rPr>
                <w:rFonts w:ascii="Arial"/>
                <w:sz w:val="21"/>
              </w:rPr>
            </w:pPr>
          </w:p>
          <w:p w14:paraId="4CDA3C8C">
            <w:pPr>
              <w:spacing w:before="5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56" w:type="dxa"/>
            <w:vAlign w:val="top"/>
          </w:tcPr>
          <w:p w14:paraId="3A99E701">
            <w:pPr>
              <w:pStyle w:val="6"/>
              <w:spacing w:before="238" w:line="228" w:lineRule="auto"/>
              <w:ind w:left="217"/>
            </w:pPr>
            <w:r>
              <w:rPr>
                <w:spacing w:val="5"/>
              </w:rPr>
              <w:t>总大肠菌</w:t>
            </w:r>
          </w:p>
          <w:p w14:paraId="17A1F579">
            <w:pPr>
              <w:pStyle w:val="6"/>
              <w:spacing w:before="161" w:line="228" w:lineRule="auto"/>
              <w:ind w:left="525"/>
            </w:pPr>
            <w:r>
              <w:t>群</w:t>
            </w:r>
          </w:p>
        </w:tc>
        <w:tc>
          <w:tcPr>
            <w:tcW w:w="4219" w:type="dxa"/>
            <w:vAlign w:val="top"/>
          </w:tcPr>
          <w:p w14:paraId="6DF546E3">
            <w:pPr>
              <w:pStyle w:val="6"/>
              <w:spacing w:before="34" w:line="228" w:lineRule="auto"/>
              <w:ind w:right="9"/>
              <w:jc w:val="right"/>
            </w:pPr>
            <w:r>
              <w:rPr>
                <w:spacing w:val="-1"/>
              </w:rPr>
              <w:t>《水和废水监测分析方法》（第四版 增补版）</w:t>
            </w:r>
          </w:p>
          <w:p w14:paraId="445A76CC">
            <w:pPr>
              <w:pStyle w:val="6"/>
              <w:spacing w:before="160" w:line="228" w:lineRule="auto"/>
              <w:ind w:left="132"/>
            </w:pPr>
            <w:r>
              <w:rPr>
                <w:rFonts w:hint="eastAsia"/>
                <w:spacing w:val="2"/>
                <w:lang w:eastAsia="zh-CN"/>
              </w:rPr>
              <w:t>中华人民共和国环境保护部</w:t>
            </w:r>
            <w:r>
              <w:rPr>
                <w:spacing w:val="2"/>
              </w:rPr>
              <w:t>（</w:t>
            </w:r>
            <w:r>
              <w:rPr>
                <w:rFonts w:ascii="Times New Roman" w:hAnsi="Times New Roman" w:eastAsia="Times New Roman" w:cs="Times New Roman"/>
                <w:spacing w:val="2"/>
              </w:rPr>
              <w:t xml:space="preserve">2002  </w:t>
            </w:r>
            <w:r>
              <w:rPr>
                <w:spacing w:val="2"/>
              </w:rPr>
              <w:t>年）第 五篇</w:t>
            </w:r>
            <w:r>
              <w:rPr>
                <w:spacing w:val="27"/>
              </w:rPr>
              <w:t xml:space="preserve"> </w:t>
            </w:r>
            <w:r>
              <w:rPr>
                <w:spacing w:val="2"/>
              </w:rPr>
              <w:t>第二</w:t>
            </w:r>
          </w:p>
          <w:p w14:paraId="2D828F44">
            <w:pPr>
              <w:pStyle w:val="6"/>
              <w:spacing w:before="163" w:line="227" w:lineRule="auto"/>
              <w:ind w:left="1019"/>
            </w:pPr>
            <w:r>
              <w:rPr>
                <w:spacing w:val="7"/>
              </w:rPr>
              <w:t>章 五（一）多管发酵法</w:t>
            </w:r>
          </w:p>
        </w:tc>
        <w:tc>
          <w:tcPr>
            <w:tcW w:w="861" w:type="dxa"/>
            <w:vAlign w:val="top"/>
          </w:tcPr>
          <w:p w14:paraId="115990CB">
            <w:pPr>
              <w:spacing w:line="287" w:lineRule="auto"/>
              <w:rPr>
                <w:rFonts w:ascii="Arial"/>
                <w:sz w:val="21"/>
              </w:rPr>
            </w:pPr>
          </w:p>
          <w:p w14:paraId="4636D432">
            <w:pPr>
              <w:tabs>
                <w:tab w:val="left" w:pos="530"/>
              </w:tabs>
              <w:spacing w:before="60"/>
              <w:ind w:left="329"/>
              <w:rPr>
                <w:rFonts w:ascii="Arial"/>
                <w:sz w:val="21"/>
              </w:rPr>
            </w:pPr>
            <w:r>
              <w:rPr>
                <w:rFonts w:ascii="Arial" w:hAnsi="Arial" w:eastAsia="Arial" w:cs="Arial"/>
                <w:sz w:val="21"/>
                <w:szCs w:val="21"/>
                <w:u w:val="single" w:color="auto"/>
              </w:rPr>
              <w:tab/>
            </w:r>
          </w:p>
        </w:tc>
        <w:tc>
          <w:tcPr>
            <w:tcW w:w="1667" w:type="dxa"/>
            <w:vAlign w:val="top"/>
          </w:tcPr>
          <w:p w14:paraId="7A84786A">
            <w:pPr>
              <w:pStyle w:val="6"/>
              <w:spacing w:before="240" w:line="378" w:lineRule="auto"/>
              <w:ind w:left="174" w:right="162" w:firstLine="7"/>
            </w:pPr>
            <w:r>
              <w:rPr>
                <w:spacing w:val="7"/>
              </w:rPr>
              <w:t>干燥</w:t>
            </w:r>
            <w:r>
              <w:rPr>
                <w:rFonts w:ascii="Times New Roman" w:hAnsi="Times New Roman" w:eastAsia="Times New Roman" w:cs="Times New Roman"/>
                <w:spacing w:val="7"/>
              </w:rPr>
              <w:t>/</w:t>
            </w:r>
            <w:r>
              <w:rPr>
                <w:spacing w:val="7"/>
              </w:rPr>
              <w:t>培养两用</w:t>
            </w:r>
            <w:r>
              <w:rPr>
                <w:spacing w:val="2"/>
              </w:rPr>
              <w:t xml:space="preserve"> </w:t>
            </w:r>
            <w:r>
              <w:rPr>
                <w:spacing w:val="4"/>
              </w:rPr>
              <w:t>箱</w:t>
            </w:r>
            <w:r>
              <w:rPr>
                <w:rFonts w:ascii="Times New Roman" w:hAnsi="Times New Roman" w:eastAsia="Times New Roman" w:cs="Times New Roman"/>
                <w:spacing w:val="4"/>
              </w:rPr>
              <w:t>/</w:t>
            </w:r>
            <w:r>
              <w:rPr>
                <w:rFonts w:ascii="Times New Roman" w:hAnsi="Times New Roman" w:eastAsia="Times New Roman" w:cs="Times New Roman"/>
              </w:rPr>
              <w:t>PH</w:t>
            </w:r>
            <w:r>
              <w:rPr>
                <w:rFonts w:ascii="Times New Roman" w:hAnsi="Times New Roman" w:eastAsia="Times New Roman" w:cs="Times New Roman"/>
                <w:spacing w:val="4"/>
              </w:rPr>
              <w:t>-070A</w:t>
            </w:r>
            <w:r>
              <w:rPr>
                <w:rFonts w:ascii="Times New Roman" w:hAnsi="Times New Roman" w:eastAsia="Times New Roman" w:cs="Times New Roman"/>
                <w:spacing w:val="19"/>
                <w:w w:val="101"/>
              </w:rPr>
              <w:t xml:space="preserve"> </w:t>
            </w:r>
            <w:r>
              <w:rPr>
                <w:spacing w:val="4"/>
              </w:rPr>
              <w:t>型</w:t>
            </w:r>
          </w:p>
        </w:tc>
        <w:tc>
          <w:tcPr>
            <w:tcW w:w="856" w:type="dxa"/>
            <w:vAlign w:val="top"/>
          </w:tcPr>
          <w:p w14:paraId="1A82F7B8">
            <w:pPr>
              <w:spacing w:line="247" w:lineRule="auto"/>
              <w:rPr>
                <w:rFonts w:ascii="Arial"/>
                <w:sz w:val="21"/>
              </w:rPr>
            </w:pPr>
          </w:p>
          <w:p w14:paraId="5D99F828">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B176DE3">
            <w:pPr>
              <w:spacing w:before="175"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06-B</w:t>
            </w:r>
          </w:p>
        </w:tc>
      </w:tr>
      <w:tr w14:paraId="0DF16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77A96940">
            <w:pPr>
              <w:spacing w:before="27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256" w:type="dxa"/>
            <w:vAlign w:val="top"/>
          </w:tcPr>
          <w:p w14:paraId="24ACE8C9">
            <w:pPr>
              <w:pStyle w:val="6"/>
              <w:spacing w:before="234" w:line="228" w:lineRule="auto"/>
              <w:ind w:left="212"/>
            </w:pPr>
            <w:r>
              <w:rPr>
                <w:spacing w:val="7"/>
              </w:rPr>
              <w:t>细菌总数</w:t>
            </w:r>
          </w:p>
        </w:tc>
        <w:tc>
          <w:tcPr>
            <w:tcW w:w="4219" w:type="dxa"/>
            <w:vAlign w:val="top"/>
          </w:tcPr>
          <w:p w14:paraId="07A5E00F">
            <w:pPr>
              <w:pStyle w:val="6"/>
              <w:spacing w:before="30" w:line="228" w:lineRule="auto"/>
              <w:ind w:left="165"/>
              <w:rPr>
                <w:rFonts w:ascii="Times New Roman" w:hAnsi="Times New Roman" w:eastAsia="Times New Roman" w:cs="Times New Roman"/>
              </w:rPr>
            </w:pPr>
            <w:r>
              <w:rPr>
                <w:spacing w:val="9"/>
              </w:rPr>
              <w:t>《水质 细菌总数的测定平皿计数法》（</w:t>
            </w:r>
            <w:r>
              <w:rPr>
                <w:rFonts w:ascii="Times New Roman" w:hAnsi="Times New Roman" w:eastAsia="Times New Roman" w:cs="Times New Roman"/>
              </w:rPr>
              <w:t>HJ</w:t>
            </w:r>
          </w:p>
          <w:p w14:paraId="3F7D1774">
            <w:pPr>
              <w:pStyle w:val="6"/>
              <w:spacing w:before="161"/>
              <w:ind w:left="1571"/>
            </w:pPr>
            <w:r>
              <w:rPr>
                <w:rFonts w:ascii="Times New Roman" w:hAnsi="Times New Roman" w:eastAsia="Times New Roman" w:cs="Times New Roman"/>
                <w:spacing w:val="1"/>
              </w:rPr>
              <w:t>1000-2018</w:t>
            </w:r>
            <w:r>
              <w:rPr>
                <w:spacing w:val="1"/>
              </w:rPr>
              <w:t>）</w:t>
            </w:r>
          </w:p>
        </w:tc>
        <w:tc>
          <w:tcPr>
            <w:tcW w:w="861" w:type="dxa"/>
            <w:vAlign w:val="top"/>
          </w:tcPr>
          <w:p w14:paraId="64309F94">
            <w:pPr>
              <w:tabs>
                <w:tab w:val="left" w:pos="530"/>
              </w:tabs>
              <w:spacing w:before="141"/>
              <w:ind w:left="329"/>
              <w:rPr>
                <w:rFonts w:ascii="Arial"/>
                <w:sz w:val="21"/>
              </w:rPr>
            </w:pPr>
            <w:r>
              <w:rPr>
                <w:rFonts w:ascii="Arial" w:hAnsi="Arial" w:eastAsia="Arial" w:cs="Arial"/>
                <w:sz w:val="21"/>
                <w:szCs w:val="21"/>
                <w:u w:val="single" w:color="auto"/>
              </w:rPr>
              <w:tab/>
            </w:r>
          </w:p>
        </w:tc>
        <w:tc>
          <w:tcPr>
            <w:tcW w:w="1667" w:type="dxa"/>
            <w:vAlign w:val="top"/>
          </w:tcPr>
          <w:p w14:paraId="6EE3601B">
            <w:pPr>
              <w:pStyle w:val="6"/>
              <w:spacing w:before="31" w:line="360" w:lineRule="auto"/>
              <w:ind w:left="174" w:right="162" w:firstLine="7"/>
            </w:pPr>
            <w:r>
              <w:rPr>
                <w:spacing w:val="7"/>
              </w:rPr>
              <w:t>干燥</w:t>
            </w:r>
            <w:r>
              <w:rPr>
                <w:rFonts w:ascii="Times New Roman" w:hAnsi="Times New Roman" w:eastAsia="Times New Roman" w:cs="Times New Roman"/>
                <w:spacing w:val="7"/>
              </w:rPr>
              <w:t>/</w:t>
            </w:r>
            <w:r>
              <w:rPr>
                <w:spacing w:val="7"/>
              </w:rPr>
              <w:t>培养两用</w:t>
            </w:r>
            <w:r>
              <w:rPr>
                <w:spacing w:val="2"/>
              </w:rPr>
              <w:t xml:space="preserve"> </w:t>
            </w:r>
            <w:r>
              <w:rPr>
                <w:spacing w:val="4"/>
              </w:rPr>
              <w:t>箱</w:t>
            </w:r>
            <w:r>
              <w:rPr>
                <w:rFonts w:ascii="Times New Roman" w:hAnsi="Times New Roman" w:eastAsia="Times New Roman" w:cs="Times New Roman"/>
                <w:spacing w:val="4"/>
              </w:rPr>
              <w:t>/</w:t>
            </w:r>
            <w:r>
              <w:rPr>
                <w:rFonts w:ascii="Times New Roman" w:hAnsi="Times New Roman" w:eastAsia="Times New Roman" w:cs="Times New Roman"/>
              </w:rPr>
              <w:t>PH</w:t>
            </w:r>
            <w:r>
              <w:rPr>
                <w:rFonts w:ascii="Times New Roman" w:hAnsi="Times New Roman" w:eastAsia="Times New Roman" w:cs="Times New Roman"/>
                <w:spacing w:val="4"/>
              </w:rPr>
              <w:t>-070A</w:t>
            </w:r>
            <w:r>
              <w:rPr>
                <w:rFonts w:ascii="Times New Roman" w:hAnsi="Times New Roman" w:eastAsia="Times New Roman" w:cs="Times New Roman"/>
                <w:spacing w:val="19"/>
                <w:w w:val="101"/>
              </w:rPr>
              <w:t xml:space="preserve"> </w:t>
            </w:r>
            <w:r>
              <w:rPr>
                <w:spacing w:val="4"/>
              </w:rPr>
              <w:t>型</w:t>
            </w:r>
          </w:p>
        </w:tc>
        <w:tc>
          <w:tcPr>
            <w:tcW w:w="856" w:type="dxa"/>
            <w:vAlign w:val="top"/>
          </w:tcPr>
          <w:p w14:paraId="177C7EFB">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B2CD5AE">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06-A</w:t>
            </w:r>
          </w:p>
        </w:tc>
      </w:tr>
      <w:tr w14:paraId="3BDB5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5D443122">
            <w:pPr>
              <w:spacing w:before="27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56" w:type="dxa"/>
            <w:vAlign w:val="top"/>
          </w:tcPr>
          <w:p w14:paraId="7F588AD9">
            <w:pPr>
              <w:pStyle w:val="6"/>
              <w:spacing w:before="32" w:line="229" w:lineRule="auto"/>
              <w:ind w:left="213"/>
            </w:pPr>
            <w:r>
              <w:rPr>
                <w:spacing w:val="6"/>
              </w:rPr>
              <w:t>亚硝酸盐</w:t>
            </w:r>
          </w:p>
          <w:p w14:paraId="37B3F043">
            <w:pPr>
              <w:pStyle w:val="6"/>
              <w:spacing w:before="159" w:line="227" w:lineRule="auto"/>
              <w:ind w:left="524"/>
            </w:pPr>
            <w:r>
              <w:rPr>
                <w:spacing w:val="2"/>
              </w:rPr>
              <w:t>氮</w:t>
            </w:r>
          </w:p>
        </w:tc>
        <w:tc>
          <w:tcPr>
            <w:tcW w:w="4219" w:type="dxa"/>
            <w:vAlign w:val="top"/>
          </w:tcPr>
          <w:p w14:paraId="229A91EF">
            <w:pPr>
              <w:pStyle w:val="6"/>
              <w:spacing w:before="32" w:line="227" w:lineRule="auto"/>
              <w:ind w:left="230"/>
            </w:pPr>
            <w:r>
              <w:rPr>
                <w:spacing w:val="8"/>
              </w:rPr>
              <w:t>《水质 亚硝酸盐氮的测定 分光光度法》</w:t>
            </w:r>
          </w:p>
          <w:p w14:paraId="644D0B5A">
            <w:pPr>
              <w:pStyle w:val="6"/>
              <w:spacing w:before="162"/>
              <w:ind w:left="1392"/>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 7493-87</w:t>
            </w:r>
            <w:r>
              <w:rPr>
                <w:spacing w:val="4"/>
              </w:rPr>
              <w:t>）</w:t>
            </w:r>
          </w:p>
        </w:tc>
        <w:tc>
          <w:tcPr>
            <w:tcW w:w="861" w:type="dxa"/>
            <w:vAlign w:val="top"/>
          </w:tcPr>
          <w:p w14:paraId="2B9A07F2">
            <w:pPr>
              <w:spacing w:before="99"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p w14:paraId="31E9EE6E">
            <w:pPr>
              <w:spacing w:before="169"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3A80B031">
            <w:pPr>
              <w:pStyle w:val="6"/>
              <w:spacing w:before="31" w:line="360" w:lineRule="auto"/>
              <w:ind w:left="393" w:right="200" w:hanging="180"/>
              <w:rPr>
                <w:rFonts w:ascii="Times New Roman" w:hAnsi="Times New Roman" w:eastAsia="Times New Roman" w:cs="Times New Roman"/>
              </w:rPr>
            </w:pPr>
            <w:r>
              <w:rPr>
                <w:spacing w:val="7"/>
              </w:rPr>
              <w:t>可见分光光度</w:t>
            </w:r>
            <w:r>
              <w:rPr>
                <w:spacing w:val="4"/>
              </w:rPr>
              <w:t xml:space="preserve"> </w:t>
            </w:r>
            <w:r>
              <w:rPr>
                <w:spacing w:val="2"/>
              </w:rPr>
              <w:t>计</w:t>
            </w:r>
            <w:r>
              <w:rPr>
                <w:rFonts w:ascii="Times New Roman" w:hAnsi="Times New Roman" w:eastAsia="Times New Roman" w:cs="Times New Roman"/>
                <w:spacing w:val="2"/>
              </w:rPr>
              <w:t>/V-5600</w:t>
            </w:r>
          </w:p>
        </w:tc>
        <w:tc>
          <w:tcPr>
            <w:tcW w:w="856" w:type="dxa"/>
            <w:vAlign w:val="top"/>
          </w:tcPr>
          <w:p w14:paraId="051CF465">
            <w:pPr>
              <w:spacing w:before="9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FE91946">
            <w:pPr>
              <w:spacing w:before="173"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22-C</w:t>
            </w:r>
          </w:p>
        </w:tc>
      </w:tr>
      <w:tr w14:paraId="11C6A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286A8A58">
            <w:pPr>
              <w:spacing w:before="280"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56" w:type="dxa"/>
            <w:vAlign w:val="top"/>
          </w:tcPr>
          <w:p w14:paraId="2C546766">
            <w:pPr>
              <w:pStyle w:val="6"/>
              <w:spacing w:before="234" w:line="227" w:lineRule="auto"/>
              <w:ind w:left="213"/>
            </w:pPr>
            <w:r>
              <w:rPr>
                <w:spacing w:val="6"/>
              </w:rPr>
              <w:t>硝酸盐氮</w:t>
            </w:r>
          </w:p>
        </w:tc>
        <w:tc>
          <w:tcPr>
            <w:tcW w:w="4219" w:type="dxa"/>
            <w:vAlign w:val="top"/>
          </w:tcPr>
          <w:p w14:paraId="57FA404B">
            <w:pPr>
              <w:pStyle w:val="6"/>
              <w:spacing w:before="30" w:line="227" w:lineRule="auto"/>
              <w:ind w:left="230"/>
            </w:pPr>
            <w:r>
              <w:rPr>
                <w:spacing w:val="8"/>
              </w:rPr>
              <w:t>《水质 硝酸盐氮的测定 紫外分光光度法</w:t>
            </w:r>
          </w:p>
          <w:p w14:paraId="02E12874">
            <w:pPr>
              <w:pStyle w:val="6"/>
              <w:spacing w:before="162" w:line="228" w:lineRule="auto"/>
              <w:ind w:left="753"/>
            </w:pPr>
            <w:r>
              <w:rPr>
                <w:spacing w:val="5"/>
              </w:rPr>
              <w:t>（试行）》（</w:t>
            </w:r>
            <w:r>
              <w:rPr>
                <w:rFonts w:ascii="Times New Roman" w:hAnsi="Times New Roman" w:eastAsia="Times New Roman" w:cs="Times New Roman"/>
              </w:rPr>
              <w:t>HJ</w:t>
            </w:r>
            <w:r>
              <w:rPr>
                <w:rFonts w:ascii="Times New Roman" w:hAnsi="Times New Roman" w:eastAsia="Times New Roman" w:cs="Times New Roman"/>
                <w:spacing w:val="5"/>
              </w:rPr>
              <w:t>/T 346-2007</w:t>
            </w:r>
            <w:r>
              <w:rPr>
                <w:spacing w:val="5"/>
              </w:rPr>
              <w:t>）</w:t>
            </w:r>
          </w:p>
        </w:tc>
        <w:tc>
          <w:tcPr>
            <w:tcW w:w="861" w:type="dxa"/>
            <w:vAlign w:val="top"/>
          </w:tcPr>
          <w:p w14:paraId="3705377B">
            <w:pPr>
              <w:spacing w:before="9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p w14:paraId="74F5923B">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34243D17">
            <w:pPr>
              <w:pStyle w:val="6"/>
              <w:spacing w:before="54" w:line="228" w:lineRule="auto"/>
              <w:ind w:left="216"/>
            </w:pPr>
            <w:r>
              <w:rPr>
                <w:spacing w:val="7"/>
              </w:rPr>
              <w:t>紫外分光光度</w:t>
            </w:r>
          </w:p>
          <w:p w14:paraId="56574B9A">
            <w:pPr>
              <w:spacing w:before="179"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-5100</w:t>
            </w:r>
          </w:p>
        </w:tc>
        <w:tc>
          <w:tcPr>
            <w:tcW w:w="856" w:type="dxa"/>
            <w:vAlign w:val="top"/>
          </w:tcPr>
          <w:p w14:paraId="3096B616">
            <w:pPr>
              <w:spacing w:before="9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6D05C9D">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21-A</w:t>
            </w:r>
          </w:p>
        </w:tc>
      </w:tr>
      <w:tr w14:paraId="29786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43A59F5B">
            <w:pPr>
              <w:spacing w:before="27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56" w:type="dxa"/>
            <w:vAlign w:val="top"/>
          </w:tcPr>
          <w:p w14:paraId="6E53E842">
            <w:pPr>
              <w:pStyle w:val="6"/>
              <w:spacing w:before="235" w:line="228" w:lineRule="auto"/>
              <w:ind w:left="317"/>
            </w:pPr>
            <w:r>
              <w:rPr>
                <w:spacing w:val="6"/>
              </w:rPr>
              <w:t>氟化物</w:t>
            </w:r>
          </w:p>
        </w:tc>
        <w:tc>
          <w:tcPr>
            <w:tcW w:w="4219" w:type="dxa"/>
            <w:vAlign w:val="top"/>
          </w:tcPr>
          <w:p w14:paraId="226275E2">
            <w:pPr>
              <w:pStyle w:val="6"/>
              <w:spacing w:before="31" w:line="228" w:lineRule="auto"/>
              <w:ind w:left="230"/>
            </w:pPr>
            <w:r>
              <w:rPr>
                <w:spacing w:val="8"/>
              </w:rPr>
              <w:t>《水质氟化物的测定  离子选择电极法》</w:t>
            </w:r>
          </w:p>
          <w:p w14:paraId="7B3E5F38">
            <w:pPr>
              <w:pStyle w:val="6"/>
              <w:spacing w:before="161"/>
              <w:ind w:left="1392"/>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 7484-87</w:t>
            </w:r>
            <w:r>
              <w:rPr>
                <w:spacing w:val="4"/>
              </w:rPr>
              <w:t>）</w:t>
            </w:r>
          </w:p>
        </w:tc>
        <w:tc>
          <w:tcPr>
            <w:tcW w:w="861" w:type="dxa"/>
            <w:vAlign w:val="top"/>
          </w:tcPr>
          <w:p w14:paraId="6DB26704">
            <w:pPr>
              <w:spacing w:before="9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1BA86ADD">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6A340E5">
            <w:pPr>
              <w:pStyle w:val="6"/>
              <w:spacing w:before="53" w:line="221" w:lineRule="auto"/>
              <w:ind w:left="178"/>
            </w:pPr>
            <w:r>
              <w:rPr>
                <w:rFonts w:ascii="Times New Roman" w:hAnsi="Times New Roman" w:eastAsia="Times New Roman" w:cs="Times New Roman"/>
              </w:rPr>
              <w:t>pH</w:t>
            </w:r>
            <w:r>
              <w:rPr>
                <w:spacing w:val="11"/>
              </w:rPr>
              <w:t>（酸度）计</w:t>
            </w:r>
          </w:p>
          <w:p w14:paraId="60507C0A">
            <w:pPr>
              <w:spacing w:before="186"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PHSJ</w:t>
            </w:r>
            <w:r>
              <w:rPr>
                <w:rFonts w:ascii="Times New Roman" w:hAnsi="Times New Roman" w:eastAsia="Times New Roman" w:cs="Times New Roman"/>
                <w:spacing w:val="9"/>
                <w:sz w:val="20"/>
                <w:szCs w:val="20"/>
              </w:rPr>
              <w:t>-4F</w:t>
            </w:r>
          </w:p>
        </w:tc>
        <w:tc>
          <w:tcPr>
            <w:tcW w:w="856" w:type="dxa"/>
            <w:vAlign w:val="top"/>
          </w:tcPr>
          <w:p w14:paraId="77D45721">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A273258">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09-A</w:t>
            </w:r>
          </w:p>
        </w:tc>
      </w:tr>
      <w:tr w14:paraId="47DB2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53DBE34C">
            <w:pPr>
              <w:spacing w:before="279"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56" w:type="dxa"/>
            <w:vAlign w:val="top"/>
          </w:tcPr>
          <w:p w14:paraId="206794FB">
            <w:pPr>
              <w:pStyle w:val="6"/>
              <w:spacing w:before="234" w:line="228" w:lineRule="auto"/>
              <w:ind w:left="526"/>
            </w:pPr>
            <w:r>
              <w:t>汞</w:t>
            </w:r>
          </w:p>
        </w:tc>
        <w:tc>
          <w:tcPr>
            <w:tcW w:w="4219" w:type="dxa"/>
            <w:vAlign w:val="top"/>
          </w:tcPr>
          <w:p w14:paraId="32DED154">
            <w:pPr>
              <w:pStyle w:val="6"/>
              <w:spacing w:before="30" w:line="228" w:lineRule="auto"/>
              <w:ind w:left="124"/>
            </w:pPr>
            <w:r>
              <w:rPr>
                <w:spacing w:val="8"/>
              </w:rPr>
              <w:t>《水质 汞、砷、硒、铋和锑的测定 原子荧</w:t>
            </w:r>
          </w:p>
          <w:p w14:paraId="16E3148B">
            <w:pPr>
              <w:pStyle w:val="6"/>
              <w:spacing w:before="160" w:line="228" w:lineRule="auto"/>
              <w:ind w:left="1047"/>
            </w:pPr>
            <w:r>
              <w:rPr>
                <w:spacing w:val="5"/>
              </w:rPr>
              <w:t>光法》（</w:t>
            </w:r>
            <w:r>
              <w:rPr>
                <w:rFonts w:ascii="Times New Roman" w:hAnsi="Times New Roman" w:eastAsia="Times New Roman" w:cs="Times New Roman"/>
              </w:rPr>
              <w:t>HJ</w:t>
            </w:r>
            <w:r>
              <w:rPr>
                <w:rFonts w:ascii="Times New Roman" w:hAnsi="Times New Roman" w:eastAsia="Times New Roman" w:cs="Times New Roman"/>
                <w:spacing w:val="5"/>
              </w:rPr>
              <w:t xml:space="preserve"> 694-2014</w:t>
            </w:r>
            <w:r>
              <w:rPr>
                <w:spacing w:val="5"/>
              </w:rPr>
              <w:t>）</w:t>
            </w:r>
          </w:p>
        </w:tc>
        <w:tc>
          <w:tcPr>
            <w:tcW w:w="861" w:type="dxa"/>
            <w:vAlign w:val="top"/>
          </w:tcPr>
          <w:p w14:paraId="6B397A86">
            <w:pPr>
              <w:spacing w:before="9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p w14:paraId="2CE496AF">
            <w:pPr>
              <w:spacing w:before="171" w:line="201"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μg/L</w:t>
            </w:r>
          </w:p>
        </w:tc>
        <w:tc>
          <w:tcPr>
            <w:tcW w:w="1667" w:type="dxa"/>
            <w:vAlign w:val="top"/>
          </w:tcPr>
          <w:p w14:paraId="33E78FB6">
            <w:pPr>
              <w:pStyle w:val="6"/>
              <w:spacing w:before="29" w:line="361" w:lineRule="auto"/>
              <w:ind w:left="268" w:right="200" w:hanging="52"/>
              <w:rPr>
                <w:rFonts w:ascii="Times New Roman" w:hAnsi="Times New Roman" w:eastAsia="Times New Roman" w:cs="Times New Roman"/>
              </w:rPr>
            </w:pPr>
            <w:r>
              <w:rPr>
                <w:spacing w:val="7"/>
              </w:rPr>
              <w:t>原子荧光光度</w:t>
            </w:r>
            <w:r>
              <w:rPr>
                <w:spacing w:val="1"/>
              </w:rPr>
              <w:t xml:space="preserve"> </w:t>
            </w:r>
            <w:r>
              <w:rPr>
                <w:spacing w:val="6"/>
              </w:rPr>
              <w:t>计</w:t>
            </w:r>
            <w:r>
              <w:rPr>
                <w:rFonts w:ascii="Times New Roman" w:hAnsi="Times New Roman" w:eastAsia="Times New Roman" w:cs="Times New Roman"/>
                <w:spacing w:val="6"/>
              </w:rPr>
              <w:t>/</w:t>
            </w:r>
            <w:r>
              <w:rPr>
                <w:rFonts w:ascii="Times New Roman" w:hAnsi="Times New Roman" w:eastAsia="Times New Roman" w:cs="Times New Roman"/>
              </w:rPr>
              <w:t>AFS</w:t>
            </w:r>
            <w:r>
              <w:rPr>
                <w:rFonts w:ascii="Times New Roman" w:hAnsi="Times New Roman" w:eastAsia="Times New Roman" w:cs="Times New Roman"/>
                <w:spacing w:val="6"/>
              </w:rPr>
              <w:t>-8220</w:t>
            </w:r>
          </w:p>
        </w:tc>
        <w:tc>
          <w:tcPr>
            <w:tcW w:w="856" w:type="dxa"/>
            <w:vAlign w:val="top"/>
          </w:tcPr>
          <w:p w14:paraId="61535F98">
            <w:pPr>
              <w:spacing w:before="9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E152097">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03-A</w:t>
            </w:r>
          </w:p>
        </w:tc>
      </w:tr>
      <w:tr w14:paraId="41E21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58DD11B8">
            <w:pPr>
              <w:spacing w:before="27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56" w:type="dxa"/>
            <w:vAlign w:val="top"/>
          </w:tcPr>
          <w:p w14:paraId="31E56C3C">
            <w:pPr>
              <w:pStyle w:val="6"/>
              <w:spacing w:before="235" w:line="228" w:lineRule="auto"/>
              <w:ind w:left="525"/>
            </w:pPr>
            <w:r>
              <w:rPr>
                <w:spacing w:val="1"/>
              </w:rPr>
              <w:t>砷</w:t>
            </w:r>
          </w:p>
        </w:tc>
        <w:tc>
          <w:tcPr>
            <w:tcW w:w="4219" w:type="dxa"/>
            <w:vAlign w:val="top"/>
          </w:tcPr>
          <w:p w14:paraId="0E0AC102">
            <w:pPr>
              <w:pStyle w:val="6"/>
              <w:spacing w:before="31" w:line="228" w:lineRule="auto"/>
              <w:ind w:left="124"/>
            </w:pPr>
            <w:r>
              <w:rPr>
                <w:spacing w:val="8"/>
              </w:rPr>
              <w:t>《水质 汞、砷、硒、铋和锑的测定 原子荧</w:t>
            </w:r>
          </w:p>
          <w:p w14:paraId="7C710100">
            <w:pPr>
              <w:pStyle w:val="6"/>
              <w:spacing w:before="160" w:line="228" w:lineRule="auto"/>
              <w:ind w:left="1047"/>
            </w:pPr>
            <w:r>
              <w:rPr>
                <w:spacing w:val="5"/>
              </w:rPr>
              <w:t>光法》（</w:t>
            </w:r>
            <w:r>
              <w:rPr>
                <w:rFonts w:ascii="Times New Roman" w:hAnsi="Times New Roman" w:eastAsia="Times New Roman" w:cs="Times New Roman"/>
              </w:rPr>
              <w:t>HJ</w:t>
            </w:r>
            <w:r>
              <w:rPr>
                <w:rFonts w:ascii="Times New Roman" w:hAnsi="Times New Roman" w:eastAsia="Times New Roman" w:cs="Times New Roman"/>
                <w:spacing w:val="5"/>
              </w:rPr>
              <w:t xml:space="preserve"> 694-2014</w:t>
            </w:r>
            <w:r>
              <w:rPr>
                <w:spacing w:val="5"/>
              </w:rPr>
              <w:t>）</w:t>
            </w:r>
          </w:p>
        </w:tc>
        <w:tc>
          <w:tcPr>
            <w:tcW w:w="861" w:type="dxa"/>
            <w:vAlign w:val="top"/>
          </w:tcPr>
          <w:p w14:paraId="28DFB5B9">
            <w:pPr>
              <w:spacing w:before="99" w:line="372" w:lineRule="auto"/>
              <w:ind w:left="238" w:right="228" w:firstLine="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μg/L</w:t>
            </w:r>
          </w:p>
        </w:tc>
        <w:tc>
          <w:tcPr>
            <w:tcW w:w="1667" w:type="dxa"/>
            <w:vAlign w:val="top"/>
          </w:tcPr>
          <w:p w14:paraId="092C82A3">
            <w:pPr>
              <w:pStyle w:val="6"/>
              <w:spacing w:before="32" w:line="360" w:lineRule="auto"/>
              <w:ind w:left="268" w:right="200" w:hanging="52"/>
              <w:rPr>
                <w:rFonts w:ascii="Times New Roman" w:hAnsi="Times New Roman" w:eastAsia="Times New Roman" w:cs="Times New Roman"/>
              </w:rPr>
            </w:pPr>
            <w:r>
              <w:rPr>
                <w:spacing w:val="7"/>
              </w:rPr>
              <w:t>原子荧光光度</w:t>
            </w:r>
            <w:r>
              <w:rPr>
                <w:spacing w:val="1"/>
              </w:rPr>
              <w:t xml:space="preserve"> </w:t>
            </w:r>
            <w:r>
              <w:rPr>
                <w:spacing w:val="6"/>
              </w:rPr>
              <w:t>计</w:t>
            </w:r>
            <w:r>
              <w:rPr>
                <w:rFonts w:ascii="Times New Roman" w:hAnsi="Times New Roman" w:eastAsia="Times New Roman" w:cs="Times New Roman"/>
                <w:spacing w:val="6"/>
              </w:rPr>
              <w:t>/</w:t>
            </w:r>
            <w:r>
              <w:rPr>
                <w:rFonts w:ascii="Times New Roman" w:hAnsi="Times New Roman" w:eastAsia="Times New Roman" w:cs="Times New Roman"/>
              </w:rPr>
              <w:t>AFS</w:t>
            </w:r>
            <w:r>
              <w:rPr>
                <w:rFonts w:ascii="Times New Roman" w:hAnsi="Times New Roman" w:eastAsia="Times New Roman" w:cs="Times New Roman"/>
                <w:spacing w:val="6"/>
              </w:rPr>
              <w:t>-8220</w:t>
            </w:r>
          </w:p>
        </w:tc>
        <w:tc>
          <w:tcPr>
            <w:tcW w:w="856" w:type="dxa"/>
            <w:vAlign w:val="top"/>
          </w:tcPr>
          <w:p w14:paraId="32A02A8C">
            <w:pPr>
              <w:spacing w:before="9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BB6A014">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03-A</w:t>
            </w:r>
          </w:p>
        </w:tc>
      </w:tr>
      <w:tr w14:paraId="57130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113FFF32">
            <w:pPr>
              <w:spacing w:line="423" w:lineRule="auto"/>
              <w:rPr>
                <w:rFonts w:ascii="Arial"/>
                <w:sz w:val="21"/>
              </w:rPr>
            </w:pPr>
          </w:p>
          <w:p w14:paraId="31557A32">
            <w:pPr>
              <w:spacing w:before="57"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56" w:type="dxa"/>
            <w:vAlign w:val="top"/>
          </w:tcPr>
          <w:p w14:paraId="57147F43">
            <w:pPr>
              <w:spacing w:line="372" w:lineRule="auto"/>
              <w:rPr>
                <w:rFonts w:ascii="Arial"/>
                <w:sz w:val="21"/>
              </w:rPr>
            </w:pPr>
          </w:p>
          <w:p w14:paraId="5B6CF014">
            <w:pPr>
              <w:pStyle w:val="6"/>
              <w:spacing w:before="65" w:line="231" w:lineRule="auto"/>
              <w:ind w:left="524"/>
            </w:pPr>
            <w:r>
              <w:rPr>
                <w:spacing w:val="2"/>
              </w:rPr>
              <w:t>镉</w:t>
            </w:r>
          </w:p>
        </w:tc>
        <w:tc>
          <w:tcPr>
            <w:tcW w:w="4219" w:type="dxa"/>
            <w:vAlign w:val="top"/>
          </w:tcPr>
          <w:p w14:paraId="0BC78C52">
            <w:pPr>
              <w:pStyle w:val="6"/>
              <w:spacing w:before="32" w:line="365" w:lineRule="auto"/>
              <w:ind w:left="112" w:right="35" w:firstLine="12"/>
              <w:jc w:val="both"/>
            </w:pPr>
            <w:r>
              <w:rPr>
                <w:spacing w:val="9"/>
              </w:rPr>
              <w:t>《水和废水检测分析方法（第四版）》国家</w:t>
            </w:r>
            <w:r>
              <w:rPr>
                <w:spacing w:val="3"/>
              </w:rPr>
              <w:t xml:space="preserve"> </w:t>
            </w:r>
            <w:r>
              <w:rPr>
                <w:spacing w:val="5"/>
              </w:rPr>
              <w:t>环境保护总局（</w:t>
            </w:r>
            <w:r>
              <w:rPr>
                <w:rFonts w:ascii="Times New Roman" w:hAnsi="Times New Roman" w:eastAsia="Times New Roman" w:cs="Times New Roman"/>
                <w:spacing w:val="5"/>
              </w:rPr>
              <w:t xml:space="preserve">2002 </w:t>
            </w:r>
            <w:r>
              <w:rPr>
                <w:spacing w:val="5"/>
              </w:rPr>
              <w:t>年）第三篇 第四章七、</w:t>
            </w:r>
            <w:r>
              <w:t xml:space="preserve"> </w:t>
            </w:r>
            <w:r>
              <w:rPr>
                <w:spacing w:val="11"/>
              </w:rPr>
              <w:t>镉石墨炉原子吸收法测定镉、铜、铅（</w:t>
            </w:r>
            <w:r>
              <w:rPr>
                <w:rFonts w:ascii="Times New Roman" w:hAnsi="Times New Roman" w:eastAsia="Times New Roman" w:cs="Times New Roman"/>
                <w:spacing w:val="11"/>
              </w:rPr>
              <w:t>B</w:t>
            </w:r>
            <w:r>
              <w:rPr>
                <w:spacing w:val="11"/>
              </w:rPr>
              <w:t>）</w:t>
            </w:r>
          </w:p>
        </w:tc>
        <w:tc>
          <w:tcPr>
            <w:tcW w:w="861" w:type="dxa"/>
            <w:vAlign w:val="top"/>
          </w:tcPr>
          <w:p w14:paraId="00A0A9AA">
            <w:pPr>
              <w:spacing w:line="242" w:lineRule="auto"/>
              <w:rPr>
                <w:rFonts w:ascii="Arial"/>
                <w:sz w:val="21"/>
              </w:rPr>
            </w:pPr>
          </w:p>
          <w:p w14:paraId="1BDD14FB">
            <w:pPr>
              <w:spacing w:before="58" w:line="407" w:lineRule="auto"/>
              <w:ind w:left="238" w:right="228" w:firstLine="6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μg/L</w:t>
            </w:r>
          </w:p>
        </w:tc>
        <w:tc>
          <w:tcPr>
            <w:tcW w:w="1667" w:type="dxa"/>
            <w:vAlign w:val="top"/>
          </w:tcPr>
          <w:p w14:paraId="5D3DDF8C">
            <w:pPr>
              <w:pStyle w:val="6"/>
              <w:spacing w:before="54" w:line="228" w:lineRule="auto"/>
              <w:ind w:left="212"/>
            </w:pPr>
            <w:r>
              <w:rPr>
                <w:spacing w:val="8"/>
              </w:rPr>
              <w:t>石墨炉原子吸</w:t>
            </w:r>
          </w:p>
          <w:p w14:paraId="2162B6E0">
            <w:pPr>
              <w:pStyle w:val="6"/>
              <w:spacing w:before="160" w:line="228" w:lineRule="auto"/>
              <w:ind w:left="427"/>
            </w:pPr>
            <w:r>
              <w:rPr>
                <w:spacing w:val="5"/>
              </w:rPr>
              <w:t>收光谱仪</w:t>
            </w:r>
          </w:p>
          <w:p w14:paraId="3AD31A0B">
            <w:pPr>
              <w:spacing w:before="178"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ICE</w:t>
            </w:r>
            <w:r>
              <w:rPr>
                <w:rFonts w:ascii="Times New Roman" w:hAnsi="Times New Roman" w:eastAsia="Times New Roman" w:cs="Times New Roman"/>
                <w:spacing w:val="7"/>
                <w:sz w:val="20"/>
                <w:szCs w:val="20"/>
              </w:rPr>
              <w:t>-3500</w:t>
            </w:r>
          </w:p>
        </w:tc>
        <w:tc>
          <w:tcPr>
            <w:tcW w:w="856" w:type="dxa"/>
            <w:vAlign w:val="top"/>
          </w:tcPr>
          <w:p w14:paraId="5D9303EC">
            <w:pPr>
              <w:spacing w:line="242" w:lineRule="auto"/>
              <w:rPr>
                <w:rFonts w:ascii="Arial"/>
                <w:sz w:val="21"/>
              </w:rPr>
            </w:pPr>
          </w:p>
          <w:p w14:paraId="04D6D909">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D697466">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20-A</w:t>
            </w:r>
          </w:p>
        </w:tc>
      </w:tr>
      <w:tr w14:paraId="2493C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8" w:type="dxa"/>
            <w:vAlign w:val="top"/>
          </w:tcPr>
          <w:p w14:paraId="3BC1F5A0">
            <w:pPr>
              <w:spacing w:before="281"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56" w:type="dxa"/>
            <w:vAlign w:val="top"/>
          </w:tcPr>
          <w:p w14:paraId="701D1BF9">
            <w:pPr>
              <w:pStyle w:val="6"/>
              <w:spacing w:before="238" w:line="226" w:lineRule="auto"/>
              <w:ind w:left="318"/>
            </w:pPr>
            <w:r>
              <w:rPr>
                <w:spacing w:val="6"/>
              </w:rPr>
              <w:t>六价铬</w:t>
            </w:r>
          </w:p>
        </w:tc>
        <w:tc>
          <w:tcPr>
            <w:tcW w:w="4219" w:type="dxa"/>
            <w:vAlign w:val="top"/>
          </w:tcPr>
          <w:p w14:paraId="6EFB4C5D">
            <w:pPr>
              <w:pStyle w:val="6"/>
              <w:spacing w:before="34" w:line="226" w:lineRule="auto"/>
              <w:ind w:left="124"/>
            </w:pPr>
            <w:r>
              <w:rPr>
                <w:spacing w:val="8"/>
              </w:rPr>
              <w:t>《水质 六价铬的测定 二苯碳酰二肼分光光</w:t>
            </w:r>
          </w:p>
          <w:p w14:paraId="2CF0211E">
            <w:pPr>
              <w:pStyle w:val="6"/>
              <w:spacing w:before="163" w:line="228" w:lineRule="auto"/>
              <w:ind w:left="1066"/>
            </w:pPr>
            <w:r>
              <w:rPr>
                <w:spacing w:val="6"/>
              </w:rPr>
              <w:t>度法》（</w:t>
            </w:r>
            <w:r>
              <w:rPr>
                <w:rFonts w:ascii="Times New Roman" w:hAnsi="Times New Roman" w:eastAsia="Times New Roman" w:cs="Times New Roman"/>
              </w:rPr>
              <w:t>GB</w:t>
            </w:r>
            <w:r>
              <w:rPr>
                <w:rFonts w:ascii="Times New Roman" w:hAnsi="Times New Roman" w:eastAsia="Times New Roman" w:cs="Times New Roman"/>
                <w:spacing w:val="6"/>
              </w:rPr>
              <w:t xml:space="preserve"> 7467-87</w:t>
            </w:r>
            <w:r>
              <w:rPr>
                <w:spacing w:val="6"/>
              </w:rPr>
              <w:t>）</w:t>
            </w:r>
          </w:p>
        </w:tc>
        <w:tc>
          <w:tcPr>
            <w:tcW w:w="861" w:type="dxa"/>
            <w:vAlign w:val="top"/>
          </w:tcPr>
          <w:p w14:paraId="2379BA12">
            <w:pPr>
              <w:spacing w:before="99"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0.004</w:t>
            </w:r>
          </w:p>
          <w:p w14:paraId="4C4A5085">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7D6BF0B1">
            <w:pPr>
              <w:pStyle w:val="6"/>
              <w:spacing w:before="34" w:line="359" w:lineRule="auto"/>
              <w:ind w:left="420" w:right="200" w:hanging="207"/>
              <w:rPr>
                <w:rFonts w:ascii="Times New Roman" w:hAnsi="Times New Roman" w:eastAsia="Times New Roman" w:cs="Times New Roman"/>
              </w:rPr>
            </w:pPr>
            <w:r>
              <w:rPr>
                <w:spacing w:val="7"/>
              </w:rPr>
              <w:t>可见分光光度</w:t>
            </w:r>
            <w:r>
              <w:rPr>
                <w:spacing w:val="4"/>
              </w:rPr>
              <w:t xml:space="preserve"> 计</w:t>
            </w:r>
            <w:r>
              <w:rPr>
                <w:rFonts w:ascii="Times New Roman" w:hAnsi="Times New Roman" w:eastAsia="Times New Roman" w:cs="Times New Roman"/>
                <w:spacing w:val="4"/>
              </w:rPr>
              <w:t>/7230G</w:t>
            </w:r>
          </w:p>
        </w:tc>
        <w:tc>
          <w:tcPr>
            <w:tcW w:w="856" w:type="dxa"/>
            <w:vAlign w:val="top"/>
          </w:tcPr>
          <w:p w14:paraId="1A4DEFC5">
            <w:pPr>
              <w:spacing w:before="99"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7EF0B3E">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22-A</w:t>
            </w:r>
          </w:p>
        </w:tc>
      </w:tr>
      <w:tr w14:paraId="5009A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6BED2A25">
            <w:pPr>
              <w:spacing w:line="424" w:lineRule="auto"/>
              <w:rPr>
                <w:rFonts w:ascii="Arial"/>
                <w:sz w:val="21"/>
              </w:rPr>
            </w:pPr>
          </w:p>
          <w:p w14:paraId="781A349E">
            <w:pPr>
              <w:spacing w:before="57"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256" w:type="dxa"/>
            <w:vAlign w:val="top"/>
          </w:tcPr>
          <w:p w14:paraId="62E18E85">
            <w:pPr>
              <w:spacing w:line="373" w:lineRule="auto"/>
              <w:rPr>
                <w:rFonts w:ascii="Arial"/>
                <w:sz w:val="21"/>
              </w:rPr>
            </w:pPr>
          </w:p>
          <w:p w14:paraId="7E81D883">
            <w:pPr>
              <w:pStyle w:val="6"/>
              <w:spacing w:before="65" w:line="232" w:lineRule="auto"/>
              <w:ind w:left="525"/>
            </w:pPr>
            <w:r>
              <w:t>铅</w:t>
            </w:r>
          </w:p>
        </w:tc>
        <w:tc>
          <w:tcPr>
            <w:tcW w:w="4219" w:type="dxa"/>
            <w:vAlign w:val="top"/>
          </w:tcPr>
          <w:p w14:paraId="4CDAEEE3">
            <w:pPr>
              <w:pStyle w:val="6"/>
              <w:spacing w:before="32" w:line="228" w:lineRule="auto"/>
              <w:ind w:left="124"/>
            </w:pPr>
            <w:r>
              <w:rPr>
                <w:spacing w:val="9"/>
              </w:rPr>
              <w:t>《水和废水监测分析方法（第四版）》国家</w:t>
            </w:r>
          </w:p>
          <w:p w14:paraId="27F34415">
            <w:pPr>
              <w:pStyle w:val="6"/>
              <w:spacing w:before="161" w:line="227" w:lineRule="auto"/>
              <w:ind w:left="112"/>
            </w:pPr>
            <w:r>
              <w:rPr>
                <w:spacing w:val="3"/>
              </w:rPr>
              <w:t>环境保护总局（</w:t>
            </w:r>
            <w:r>
              <w:rPr>
                <w:rFonts w:ascii="Times New Roman" w:hAnsi="Times New Roman" w:eastAsia="Times New Roman" w:cs="Times New Roman"/>
                <w:spacing w:val="3"/>
              </w:rPr>
              <w:t xml:space="preserve">2002  </w:t>
            </w:r>
            <w:r>
              <w:rPr>
                <w:spacing w:val="3"/>
              </w:rPr>
              <w:t>年）第三篇 第四章</w:t>
            </w:r>
            <w:r>
              <w:rPr>
                <w:spacing w:val="25"/>
              </w:rPr>
              <w:t xml:space="preserve"> </w:t>
            </w:r>
            <w:r>
              <w:rPr>
                <w:spacing w:val="3"/>
              </w:rPr>
              <w:t>十</w:t>
            </w:r>
          </w:p>
          <w:p w14:paraId="1DC99838">
            <w:pPr>
              <w:pStyle w:val="6"/>
              <w:spacing w:before="164" w:line="228" w:lineRule="auto"/>
              <w:ind w:left="315"/>
            </w:pPr>
            <w:r>
              <w:rPr>
                <w:spacing w:val="8"/>
              </w:rPr>
              <w:t>六、铅 （五）石墨炉原子吸收法（</w:t>
            </w:r>
            <w:r>
              <w:rPr>
                <w:rFonts w:ascii="Times New Roman" w:hAnsi="Times New Roman" w:eastAsia="Times New Roman" w:cs="Times New Roman"/>
                <w:spacing w:val="8"/>
              </w:rPr>
              <w:t>B</w:t>
            </w:r>
            <w:r>
              <w:rPr>
                <w:spacing w:val="8"/>
              </w:rPr>
              <w:t>）</w:t>
            </w:r>
          </w:p>
        </w:tc>
        <w:tc>
          <w:tcPr>
            <w:tcW w:w="861" w:type="dxa"/>
            <w:vAlign w:val="top"/>
          </w:tcPr>
          <w:p w14:paraId="0DFE1E99">
            <w:pPr>
              <w:spacing w:line="245" w:lineRule="auto"/>
              <w:rPr>
                <w:rFonts w:ascii="Arial"/>
                <w:sz w:val="21"/>
              </w:rPr>
            </w:pPr>
          </w:p>
          <w:p w14:paraId="5ED6E1A0">
            <w:pPr>
              <w:spacing w:before="57"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69AEA3F0">
            <w:pPr>
              <w:spacing w:before="171" w:line="201"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μg/L</w:t>
            </w:r>
          </w:p>
        </w:tc>
        <w:tc>
          <w:tcPr>
            <w:tcW w:w="1667" w:type="dxa"/>
            <w:vAlign w:val="top"/>
          </w:tcPr>
          <w:p w14:paraId="6D2EBAE6">
            <w:pPr>
              <w:pStyle w:val="6"/>
              <w:spacing w:before="55" w:line="228" w:lineRule="auto"/>
              <w:ind w:left="212"/>
            </w:pPr>
            <w:r>
              <w:rPr>
                <w:spacing w:val="8"/>
              </w:rPr>
              <w:t>石墨炉原子吸</w:t>
            </w:r>
          </w:p>
          <w:p w14:paraId="1314D4E1">
            <w:pPr>
              <w:pStyle w:val="6"/>
              <w:spacing w:before="160" w:line="228" w:lineRule="auto"/>
              <w:ind w:left="427"/>
            </w:pPr>
            <w:r>
              <w:rPr>
                <w:spacing w:val="5"/>
              </w:rPr>
              <w:t>收光谱仪</w:t>
            </w:r>
          </w:p>
          <w:p w14:paraId="4B3A266E">
            <w:pPr>
              <w:spacing w:before="179"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ICE</w:t>
            </w:r>
            <w:r>
              <w:rPr>
                <w:rFonts w:ascii="Times New Roman" w:hAnsi="Times New Roman" w:eastAsia="Times New Roman" w:cs="Times New Roman"/>
                <w:spacing w:val="7"/>
                <w:sz w:val="20"/>
                <w:szCs w:val="20"/>
              </w:rPr>
              <w:t>-3500</w:t>
            </w:r>
          </w:p>
        </w:tc>
        <w:tc>
          <w:tcPr>
            <w:tcW w:w="856" w:type="dxa"/>
            <w:vAlign w:val="top"/>
          </w:tcPr>
          <w:p w14:paraId="59446BD2">
            <w:pPr>
              <w:spacing w:line="245" w:lineRule="auto"/>
              <w:rPr>
                <w:rFonts w:ascii="Arial"/>
                <w:sz w:val="21"/>
              </w:rPr>
            </w:pPr>
          </w:p>
          <w:p w14:paraId="21F3C60F">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67B67DB">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20-A</w:t>
            </w:r>
          </w:p>
        </w:tc>
      </w:tr>
      <w:tr w14:paraId="5F270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24736DB3">
            <w:pPr>
              <w:spacing w:line="425" w:lineRule="auto"/>
              <w:rPr>
                <w:rFonts w:ascii="Arial"/>
                <w:sz w:val="21"/>
              </w:rPr>
            </w:pPr>
          </w:p>
          <w:p w14:paraId="2CFDEFDC">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56" w:type="dxa"/>
            <w:vAlign w:val="top"/>
          </w:tcPr>
          <w:p w14:paraId="75A24ECC">
            <w:pPr>
              <w:pStyle w:val="6"/>
              <w:spacing w:before="236" w:line="228" w:lineRule="auto"/>
              <w:ind w:left="213"/>
            </w:pPr>
            <w:r>
              <w:rPr>
                <w:spacing w:val="6"/>
              </w:rPr>
              <w:t>可溶性阳</w:t>
            </w:r>
          </w:p>
          <w:p w14:paraId="51C73309">
            <w:pPr>
              <w:pStyle w:val="6"/>
              <w:spacing w:before="161" w:line="228" w:lineRule="auto"/>
              <w:ind w:left="265"/>
              <w:rPr>
                <w:rFonts w:ascii="Times New Roman" w:hAnsi="Times New Roman" w:eastAsia="Times New Roman" w:cs="Times New Roman"/>
              </w:rPr>
            </w:pPr>
            <w:r>
              <w:rPr>
                <w:spacing w:val="3"/>
              </w:rPr>
              <w:t>离子</w:t>
            </w:r>
            <w:r>
              <w:rPr>
                <w:spacing w:val="-43"/>
              </w:rPr>
              <w:t xml:space="preserve"> </w:t>
            </w:r>
            <w:r>
              <w:rPr>
                <w:rFonts w:ascii="Times New Roman" w:hAnsi="Times New Roman" w:eastAsia="Times New Roman" w:cs="Times New Roman"/>
                <w:spacing w:val="3"/>
              </w:rPr>
              <w:t>K+</w:t>
            </w:r>
          </w:p>
        </w:tc>
        <w:tc>
          <w:tcPr>
            <w:tcW w:w="4219" w:type="dxa"/>
            <w:vAlign w:val="top"/>
          </w:tcPr>
          <w:p w14:paraId="064C52FB">
            <w:pPr>
              <w:pStyle w:val="6"/>
              <w:spacing w:before="33" w:line="228" w:lineRule="auto"/>
              <w:ind w:right="9"/>
              <w:jc w:val="right"/>
            </w:pPr>
            <w:r>
              <w:rPr>
                <w:spacing w:val="4"/>
              </w:rPr>
              <w:t>《水质可溶性阳离子（</w:t>
            </w:r>
            <w:r>
              <w:rPr>
                <w:rFonts w:ascii="Times New Roman" w:hAnsi="Times New Roman" w:eastAsia="Times New Roman" w:cs="Times New Roman"/>
              </w:rPr>
              <w:t>Li</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Na</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1"/>
                <w:sz w:val="13"/>
                <w:szCs w:val="13"/>
              </w:rPr>
              <w:t>4</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spacing w:val="4"/>
              </w:rPr>
              <w:t>K</w:t>
            </w:r>
            <w:r>
              <w:rPr>
                <w:rFonts w:ascii="Times New Roman" w:hAnsi="Times New Roman" w:eastAsia="Times New Roman" w:cs="Times New Roman"/>
                <w:spacing w:val="4"/>
                <w:position w:val="6"/>
                <w:sz w:val="13"/>
                <w:szCs w:val="13"/>
              </w:rPr>
              <w:t>+</w:t>
            </w:r>
            <w:r>
              <w:rPr>
                <w:spacing w:val="4"/>
              </w:rPr>
              <w:t>、</w:t>
            </w:r>
          </w:p>
          <w:p w14:paraId="77DCEED4">
            <w:pPr>
              <w:pStyle w:val="6"/>
              <w:spacing w:before="161" w:line="221" w:lineRule="auto"/>
              <w:ind w:left="330"/>
              <w:rPr>
                <w:rFonts w:ascii="Times New Roman" w:hAnsi="Times New Roman" w:eastAsia="Times New Roman" w:cs="Times New Roman"/>
              </w:rPr>
            </w:pP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position w:val="6"/>
                <w:sz w:val="13"/>
                <w:szCs w:val="13"/>
              </w:rPr>
              <w:t xml:space="preserve">2+ </w:t>
            </w:r>
            <w:r>
              <w:rPr>
                <w:spacing w:val="6"/>
              </w:rPr>
              <w:t>）的测定离子色谱法》（</w:t>
            </w:r>
            <w:r>
              <w:rPr>
                <w:rFonts w:ascii="Times New Roman" w:hAnsi="Times New Roman" w:eastAsia="Times New Roman" w:cs="Times New Roman"/>
              </w:rPr>
              <w:t>HJ</w:t>
            </w:r>
          </w:p>
          <w:p w14:paraId="64A32F20">
            <w:pPr>
              <w:pStyle w:val="6"/>
              <w:spacing w:before="168"/>
              <w:ind w:left="1612"/>
            </w:pPr>
            <w:r>
              <w:rPr>
                <w:rFonts w:ascii="Times New Roman" w:hAnsi="Times New Roman" w:eastAsia="Times New Roman" w:cs="Times New Roman"/>
                <w:spacing w:val="2"/>
              </w:rPr>
              <w:t>812-2016</w:t>
            </w:r>
            <w:r>
              <w:rPr>
                <w:spacing w:val="2"/>
              </w:rPr>
              <w:t>）</w:t>
            </w:r>
          </w:p>
        </w:tc>
        <w:tc>
          <w:tcPr>
            <w:tcW w:w="861" w:type="dxa"/>
            <w:vAlign w:val="top"/>
          </w:tcPr>
          <w:p w14:paraId="61A9B403">
            <w:pPr>
              <w:spacing w:line="246" w:lineRule="auto"/>
              <w:rPr>
                <w:rFonts w:ascii="Arial"/>
                <w:sz w:val="21"/>
              </w:rPr>
            </w:pPr>
          </w:p>
          <w:p w14:paraId="6DD9CEF4">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7747E87A">
            <w:pPr>
              <w:spacing w:before="169"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21237A6F">
            <w:pPr>
              <w:pStyle w:val="6"/>
              <w:spacing w:before="260" w:line="374"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4F7A7320">
            <w:pPr>
              <w:spacing w:line="246" w:lineRule="auto"/>
              <w:rPr>
                <w:rFonts w:ascii="Arial"/>
                <w:sz w:val="21"/>
              </w:rPr>
            </w:pPr>
          </w:p>
          <w:p w14:paraId="1C68DAEE">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C1DF4AF">
            <w:pPr>
              <w:spacing w:before="17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47A6A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1A4E3360">
            <w:pPr>
              <w:spacing w:line="427" w:lineRule="auto"/>
              <w:rPr>
                <w:rFonts w:ascii="Arial"/>
                <w:sz w:val="21"/>
              </w:rPr>
            </w:pPr>
          </w:p>
          <w:p w14:paraId="075DF4B8">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256" w:type="dxa"/>
            <w:vAlign w:val="top"/>
          </w:tcPr>
          <w:p w14:paraId="1827681B">
            <w:pPr>
              <w:pStyle w:val="6"/>
              <w:spacing w:before="238" w:line="378" w:lineRule="auto"/>
              <w:ind w:left="217" w:right="209" w:hanging="4"/>
              <w:rPr>
                <w:rFonts w:ascii="Times New Roman" w:hAnsi="Times New Roman" w:eastAsia="Times New Roman" w:cs="Times New Roman"/>
              </w:rPr>
            </w:pPr>
            <w:r>
              <w:rPr>
                <w:spacing w:val="6"/>
              </w:rPr>
              <w:t>可溶性阳</w:t>
            </w:r>
            <w:r>
              <w:rPr>
                <w:spacing w:val="2"/>
              </w:rPr>
              <w:t xml:space="preserve"> </w:t>
            </w:r>
            <w:r>
              <w:rPr>
                <w:spacing w:val="8"/>
              </w:rPr>
              <w:t>离子</w:t>
            </w:r>
            <w:r>
              <w:rPr>
                <w:spacing w:val="-48"/>
              </w:rPr>
              <w:t xml:space="preserve"> </w:t>
            </w:r>
            <w:r>
              <w:rPr>
                <w:rFonts w:ascii="Times New Roman" w:hAnsi="Times New Roman" w:eastAsia="Times New Roman" w:cs="Times New Roman"/>
              </w:rPr>
              <w:t>Na</w:t>
            </w:r>
            <w:r>
              <w:rPr>
                <w:rFonts w:ascii="Times New Roman" w:hAnsi="Times New Roman" w:eastAsia="Times New Roman" w:cs="Times New Roman"/>
                <w:spacing w:val="8"/>
              </w:rPr>
              <w:t>+</w:t>
            </w:r>
          </w:p>
        </w:tc>
        <w:tc>
          <w:tcPr>
            <w:tcW w:w="4219" w:type="dxa"/>
            <w:vAlign w:val="top"/>
          </w:tcPr>
          <w:p w14:paraId="40FAD97F">
            <w:pPr>
              <w:pStyle w:val="6"/>
              <w:spacing w:before="35" w:line="228" w:lineRule="auto"/>
              <w:ind w:right="9"/>
              <w:jc w:val="right"/>
            </w:pPr>
            <w:r>
              <w:rPr>
                <w:spacing w:val="4"/>
              </w:rPr>
              <w:t>《水质可溶性阳离子（</w:t>
            </w:r>
            <w:r>
              <w:rPr>
                <w:rFonts w:ascii="Times New Roman" w:hAnsi="Times New Roman" w:eastAsia="Times New Roman" w:cs="Times New Roman"/>
              </w:rPr>
              <w:t>Li</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Na</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1"/>
                <w:sz w:val="13"/>
                <w:szCs w:val="13"/>
              </w:rPr>
              <w:t>4</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spacing w:val="4"/>
              </w:rPr>
              <w:t>K</w:t>
            </w:r>
            <w:r>
              <w:rPr>
                <w:rFonts w:ascii="Times New Roman" w:hAnsi="Times New Roman" w:eastAsia="Times New Roman" w:cs="Times New Roman"/>
                <w:spacing w:val="4"/>
                <w:position w:val="6"/>
                <w:sz w:val="13"/>
                <w:szCs w:val="13"/>
              </w:rPr>
              <w:t>+</w:t>
            </w:r>
            <w:r>
              <w:rPr>
                <w:spacing w:val="4"/>
              </w:rPr>
              <w:t>、</w:t>
            </w:r>
          </w:p>
          <w:p w14:paraId="5EFC45A5">
            <w:pPr>
              <w:pStyle w:val="6"/>
              <w:spacing w:before="161" w:line="221" w:lineRule="auto"/>
              <w:ind w:left="330"/>
              <w:rPr>
                <w:rFonts w:ascii="Times New Roman" w:hAnsi="Times New Roman" w:eastAsia="Times New Roman" w:cs="Times New Roman"/>
              </w:rPr>
            </w:pP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position w:val="6"/>
                <w:sz w:val="13"/>
                <w:szCs w:val="13"/>
              </w:rPr>
              <w:t xml:space="preserve">2+ </w:t>
            </w:r>
            <w:r>
              <w:rPr>
                <w:spacing w:val="6"/>
              </w:rPr>
              <w:t>）的测定离子色谱法》（</w:t>
            </w:r>
            <w:r>
              <w:rPr>
                <w:rFonts w:ascii="Times New Roman" w:hAnsi="Times New Roman" w:eastAsia="Times New Roman" w:cs="Times New Roman"/>
              </w:rPr>
              <w:t>HJ</w:t>
            </w:r>
          </w:p>
          <w:p w14:paraId="4DC31D63">
            <w:pPr>
              <w:pStyle w:val="6"/>
              <w:spacing w:before="168"/>
              <w:ind w:left="1612"/>
            </w:pPr>
            <w:r>
              <w:rPr>
                <w:rFonts w:ascii="Times New Roman" w:hAnsi="Times New Roman" w:eastAsia="Times New Roman" w:cs="Times New Roman"/>
                <w:spacing w:val="2"/>
              </w:rPr>
              <w:t>812-2016</w:t>
            </w:r>
            <w:r>
              <w:rPr>
                <w:spacing w:val="2"/>
              </w:rPr>
              <w:t>）</w:t>
            </w:r>
          </w:p>
        </w:tc>
        <w:tc>
          <w:tcPr>
            <w:tcW w:w="861" w:type="dxa"/>
            <w:vAlign w:val="top"/>
          </w:tcPr>
          <w:p w14:paraId="3861C058">
            <w:pPr>
              <w:spacing w:line="248" w:lineRule="auto"/>
              <w:rPr>
                <w:rFonts w:ascii="Arial"/>
                <w:sz w:val="21"/>
              </w:rPr>
            </w:pPr>
          </w:p>
          <w:p w14:paraId="57971FA5">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21C6E5E4">
            <w:pPr>
              <w:spacing w:before="169"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03CF45A2">
            <w:pPr>
              <w:pStyle w:val="6"/>
              <w:spacing w:before="262" w:line="374"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3134E5C9">
            <w:pPr>
              <w:spacing w:line="248" w:lineRule="auto"/>
              <w:rPr>
                <w:rFonts w:ascii="Arial"/>
                <w:sz w:val="21"/>
              </w:rPr>
            </w:pPr>
          </w:p>
          <w:p w14:paraId="378C7427">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98BCDAF">
            <w:pPr>
              <w:spacing w:before="17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16E13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788" w:type="dxa"/>
            <w:vAlign w:val="top"/>
          </w:tcPr>
          <w:p w14:paraId="24037F61">
            <w:pPr>
              <w:spacing w:line="428" w:lineRule="auto"/>
              <w:rPr>
                <w:rFonts w:ascii="Arial"/>
                <w:sz w:val="21"/>
              </w:rPr>
            </w:pPr>
          </w:p>
          <w:p w14:paraId="423E636D">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256" w:type="dxa"/>
            <w:vAlign w:val="top"/>
          </w:tcPr>
          <w:p w14:paraId="6324B98A">
            <w:pPr>
              <w:pStyle w:val="6"/>
              <w:spacing w:before="239" w:line="378" w:lineRule="auto"/>
              <w:ind w:left="171" w:right="164" w:firstLine="41"/>
              <w:rPr>
                <w:rFonts w:ascii="Times New Roman" w:hAnsi="Times New Roman" w:eastAsia="Times New Roman" w:cs="Times New Roman"/>
              </w:rPr>
            </w:pPr>
            <w:r>
              <w:rPr>
                <w:spacing w:val="6"/>
              </w:rPr>
              <w:t>可溶性阳</w:t>
            </w:r>
            <w:r>
              <w:rPr>
                <w:spacing w:val="2"/>
              </w:rPr>
              <w:t xml:space="preserve"> </w:t>
            </w:r>
            <w:r>
              <w:rPr>
                <w:spacing w:val="4"/>
              </w:rPr>
              <w:t>离子</w:t>
            </w:r>
            <w:r>
              <w:rPr>
                <w:spacing w:val="-38"/>
              </w:rPr>
              <w:t xml:space="preserve"> </w:t>
            </w:r>
            <w:r>
              <w:rPr>
                <w:rFonts w:ascii="Times New Roman" w:hAnsi="Times New Roman" w:eastAsia="Times New Roman" w:cs="Times New Roman"/>
              </w:rPr>
              <w:t>Ca</w:t>
            </w:r>
            <w:r>
              <w:rPr>
                <w:rFonts w:ascii="Times New Roman" w:hAnsi="Times New Roman" w:eastAsia="Times New Roman" w:cs="Times New Roman"/>
                <w:spacing w:val="4"/>
              </w:rPr>
              <w:t>2+</w:t>
            </w:r>
          </w:p>
        </w:tc>
        <w:tc>
          <w:tcPr>
            <w:tcW w:w="4219" w:type="dxa"/>
            <w:vAlign w:val="top"/>
          </w:tcPr>
          <w:p w14:paraId="15E0D050">
            <w:pPr>
              <w:pStyle w:val="6"/>
              <w:spacing w:before="34" w:line="228" w:lineRule="auto"/>
              <w:ind w:right="9"/>
              <w:jc w:val="right"/>
            </w:pPr>
            <w:r>
              <w:rPr>
                <w:spacing w:val="4"/>
              </w:rPr>
              <w:t>《水质可溶性阳离子（</w:t>
            </w:r>
            <w:r>
              <w:rPr>
                <w:rFonts w:ascii="Times New Roman" w:hAnsi="Times New Roman" w:eastAsia="Times New Roman" w:cs="Times New Roman"/>
              </w:rPr>
              <w:t>Li</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Na</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1"/>
                <w:sz w:val="13"/>
                <w:szCs w:val="13"/>
              </w:rPr>
              <w:t>4</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spacing w:val="4"/>
              </w:rPr>
              <w:t>K</w:t>
            </w:r>
            <w:r>
              <w:rPr>
                <w:rFonts w:ascii="Times New Roman" w:hAnsi="Times New Roman" w:eastAsia="Times New Roman" w:cs="Times New Roman"/>
                <w:spacing w:val="4"/>
                <w:position w:val="6"/>
                <w:sz w:val="13"/>
                <w:szCs w:val="13"/>
              </w:rPr>
              <w:t>+</w:t>
            </w:r>
            <w:r>
              <w:rPr>
                <w:spacing w:val="4"/>
              </w:rPr>
              <w:t>、</w:t>
            </w:r>
          </w:p>
          <w:p w14:paraId="3F2EF23E">
            <w:pPr>
              <w:pStyle w:val="6"/>
              <w:spacing w:before="161" w:line="221" w:lineRule="auto"/>
              <w:ind w:left="330"/>
              <w:rPr>
                <w:rFonts w:ascii="Times New Roman" w:hAnsi="Times New Roman" w:eastAsia="Times New Roman" w:cs="Times New Roman"/>
              </w:rPr>
            </w:pP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position w:val="6"/>
                <w:sz w:val="13"/>
                <w:szCs w:val="13"/>
              </w:rPr>
              <w:t xml:space="preserve">2+ </w:t>
            </w:r>
            <w:r>
              <w:rPr>
                <w:spacing w:val="6"/>
              </w:rPr>
              <w:t>）的测定离子色谱法》（</w:t>
            </w:r>
            <w:r>
              <w:rPr>
                <w:rFonts w:ascii="Times New Roman" w:hAnsi="Times New Roman" w:eastAsia="Times New Roman" w:cs="Times New Roman"/>
              </w:rPr>
              <w:t>HJ</w:t>
            </w:r>
          </w:p>
          <w:p w14:paraId="133A1546">
            <w:pPr>
              <w:pStyle w:val="6"/>
              <w:spacing w:before="170"/>
              <w:ind w:left="1612"/>
            </w:pPr>
            <w:r>
              <w:rPr>
                <w:rFonts w:ascii="Times New Roman" w:hAnsi="Times New Roman" w:eastAsia="Times New Roman" w:cs="Times New Roman"/>
                <w:spacing w:val="2"/>
              </w:rPr>
              <w:t>812-2016</w:t>
            </w:r>
            <w:r>
              <w:rPr>
                <w:spacing w:val="2"/>
              </w:rPr>
              <w:t>）</w:t>
            </w:r>
          </w:p>
        </w:tc>
        <w:tc>
          <w:tcPr>
            <w:tcW w:w="861" w:type="dxa"/>
            <w:vAlign w:val="top"/>
          </w:tcPr>
          <w:p w14:paraId="4AB8581F">
            <w:pPr>
              <w:spacing w:line="246" w:lineRule="auto"/>
              <w:rPr>
                <w:rFonts w:ascii="Arial"/>
                <w:sz w:val="21"/>
              </w:rPr>
            </w:pPr>
          </w:p>
          <w:p w14:paraId="76165C43">
            <w:pPr>
              <w:spacing w:before="5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6974A379">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2D909BB4">
            <w:pPr>
              <w:pStyle w:val="6"/>
              <w:spacing w:before="263" w:line="374"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04E38DE1">
            <w:pPr>
              <w:spacing w:line="246" w:lineRule="auto"/>
              <w:rPr>
                <w:rFonts w:ascii="Arial"/>
                <w:sz w:val="21"/>
              </w:rPr>
            </w:pPr>
          </w:p>
          <w:p w14:paraId="2B676EF6">
            <w:pPr>
              <w:spacing w:before="5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1D8A51D">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bl>
    <w:p w14:paraId="7160CC5B">
      <w:pPr>
        <w:pStyle w:val="2"/>
      </w:pPr>
    </w:p>
    <w:p w14:paraId="02712D82">
      <w:pPr>
        <w:sectPr>
          <w:footerReference r:id="rId183" w:type="default"/>
          <w:pgSz w:w="11907" w:h="16840"/>
          <w:pgMar w:top="1147" w:right="985" w:bottom="1357" w:left="1269" w:header="825" w:footer="1195" w:gutter="0"/>
          <w:cols w:space="720" w:num="1"/>
        </w:sectPr>
      </w:pPr>
    </w:p>
    <w:p w14:paraId="5CF5CDB4">
      <w:pPr>
        <w:spacing w:before="29"/>
      </w:pPr>
      <w:r>
        <w:pict>
          <v:shape id="_x0000_s1042" o:spid="_x0000_s1042" style="position:absolute;left:0pt;margin-left:70.9pt;margin-top:57.15pt;height:0.5pt;width:467.8pt;mso-position-horizontal-relative:page;mso-position-vertical-relative:page;z-index:251699200;mso-width-relative:page;mso-height-relative:page;" fillcolor="#000000" filled="t" stroked="f" coordsize="9355,10" o:allowincell="f" path="m0,0l9355,0,9355,9,0,9,0,0xe">
            <v:path/>
            <v:fill on="t" focussize="0,0"/>
            <v:stroke on="f"/>
            <v:imagedata o:title=""/>
            <o:lock v:ext="edit"/>
          </v:shape>
        </w:pict>
      </w:r>
    </w:p>
    <w:tbl>
      <w:tblPr>
        <w:tblStyle w:val="5"/>
        <w:tblW w:w="96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1256"/>
        <w:gridCol w:w="4219"/>
        <w:gridCol w:w="861"/>
        <w:gridCol w:w="1667"/>
        <w:gridCol w:w="856"/>
      </w:tblGrid>
      <w:tr w14:paraId="6795B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788" w:type="dxa"/>
            <w:vAlign w:val="top"/>
          </w:tcPr>
          <w:p w14:paraId="5FD26515">
            <w:pPr>
              <w:spacing w:line="428" w:lineRule="auto"/>
              <w:rPr>
                <w:rFonts w:ascii="Arial"/>
                <w:sz w:val="21"/>
              </w:rPr>
            </w:pPr>
          </w:p>
          <w:p w14:paraId="5E5829AD">
            <w:pPr>
              <w:spacing w:before="5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256" w:type="dxa"/>
            <w:vAlign w:val="top"/>
          </w:tcPr>
          <w:p w14:paraId="019917B6">
            <w:pPr>
              <w:pStyle w:val="6"/>
              <w:spacing w:before="239" w:line="378" w:lineRule="auto"/>
              <w:ind w:left="140" w:right="135" w:firstLine="72"/>
              <w:rPr>
                <w:rFonts w:ascii="Times New Roman" w:hAnsi="Times New Roman" w:eastAsia="Times New Roman" w:cs="Times New Roman"/>
              </w:rPr>
            </w:pPr>
            <w:r>
              <w:rPr>
                <w:spacing w:val="6"/>
              </w:rPr>
              <w:t>可溶性阳</w:t>
            </w:r>
            <w:r>
              <w:rPr>
                <w:spacing w:val="2"/>
              </w:rPr>
              <w:t xml:space="preserve"> </w:t>
            </w:r>
            <w:r>
              <w:rPr>
                <w:spacing w:val="6"/>
              </w:rPr>
              <w:t>离子</w:t>
            </w:r>
            <w:r>
              <w:rPr>
                <w:spacing w:val="-41"/>
              </w:rPr>
              <w:t xml:space="preserve"> </w:t>
            </w:r>
            <w:r>
              <w:rPr>
                <w:rFonts w:ascii="Times New Roman" w:hAnsi="Times New Roman" w:eastAsia="Times New Roman" w:cs="Times New Roman"/>
              </w:rPr>
              <w:t>Mg</w:t>
            </w:r>
            <w:r>
              <w:rPr>
                <w:rFonts w:ascii="Times New Roman" w:hAnsi="Times New Roman" w:eastAsia="Times New Roman" w:cs="Times New Roman"/>
                <w:spacing w:val="6"/>
              </w:rPr>
              <w:t>2+</w:t>
            </w:r>
          </w:p>
        </w:tc>
        <w:tc>
          <w:tcPr>
            <w:tcW w:w="4219" w:type="dxa"/>
            <w:vAlign w:val="top"/>
          </w:tcPr>
          <w:p w14:paraId="358649A6">
            <w:pPr>
              <w:pStyle w:val="6"/>
              <w:spacing w:before="34" w:line="228" w:lineRule="auto"/>
              <w:ind w:right="9"/>
              <w:jc w:val="right"/>
            </w:pPr>
            <w:r>
              <w:rPr>
                <w:spacing w:val="4"/>
              </w:rPr>
              <w:t>《水质可溶性阳离子（</w:t>
            </w:r>
            <w:r>
              <w:rPr>
                <w:rFonts w:ascii="Times New Roman" w:hAnsi="Times New Roman" w:eastAsia="Times New Roman" w:cs="Times New Roman"/>
              </w:rPr>
              <w:t>Li</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Na</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rPr>
              <w:t>NH</w:t>
            </w:r>
            <w:r>
              <w:rPr>
                <w:rFonts w:ascii="Times New Roman" w:hAnsi="Times New Roman" w:eastAsia="Times New Roman" w:cs="Times New Roman"/>
                <w:spacing w:val="4"/>
                <w:position w:val="-2"/>
                <w:sz w:val="13"/>
                <w:szCs w:val="13"/>
              </w:rPr>
              <w:t>4</w:t>
            </w:r>
            <w:r>
              <w:rPr>
                <w:rFonts w:ascii="Times New Roman" w:hAnsi="Times New Roman" w:eastAsia="Times New Roman" w:cs="Times New Roman"/>
                <w:spacing w:val="4"/>
                <w:position w:val="6"/>
                <w:sz w:val="13"/>
                <w:szCs w:val="13"/>
              </w:rPr>
              <w:t>+</w:t>
            </w:r>
            <w:r>
              <w:rPr>
                <w:spacing w:val="4"/>
              </w:rPr>
              <w:t>、</w:t>
            </w:r>
            <w:r>
              <w:rPr>
                <w:rFonts w:ascii="Times New Roman" w:hAnsi="Times New Roman" w:eastAsia="Times New Roman" w:cs="Times New Roman"/>
                <w:spacing w:val="4"/>
              </w:rPr>
              <w:t>K</w:t>
            </w:r>
            <w:r>
              <w:rPr>
                <w:rFonts w:ascii="Times New Roman" w:hAnsi="Times New Roman" w:eastAsia="Times New Roman" w:cs="Times New Roman"/>
                <w:spacing w:val="4"/>
                <w:position w:val="6"/>
                <w:sz w:val="13"/>
                <w:szCs w:val="13"/>
              </w:rPr>
              <w:t>+</w:t>
            </w:r>
            <w:r>
              <w:rPr>
                <w:spacing w:val="4"/>
              </w:rPr>
              <w:t>、</w:t>
            </w:r>
          </w:p>
          <w:p w14:paraId="0C180B28">
            <w:pPr>
              <w:pStyle w:val="6"/>
              <w:spacing w:before="161" w:line="221" w:lineRule="auto"/>
              <w:ind w:left="330"/>
              <w:rPr>
                <w:rFonts w:ascii="Times New Roman" w:hAnsi="Times New Roman" w:eastAsia="Times New Roman" w:cs="Times New Roman"/>
              </w:rPr>
            </w:pPr>
            <w:r>
              <w:rPr>
                <w:rFonts w:ascii="Times New Roman" w:hAnsi="Times New Roman" w:eastAsia="Times New Roman" w:cs="Times New Roman"/>
              </w:rPr>
              <w:t>Ca</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position w:val="6"/>
                <w:sz w:val="13"/>
                <w:szCs w:val="13"/>
              </w:rPr>
              <w:t xml:space="preserve">2+ </w:t>
            </w:r>
            <w:r>
              <w:rPr>
                <w:spacing w:val="6"/>
              </w:rPr>
              <w:t>）的测定离子色谱法》（</w:t>
            </w:r>
            <w:r>
              <w:rPr>
                <w:rFonts w:ascii="Times New Roman" w:hAnsi="Times New Roman" w:eastAsia="Times New Roman" w:cs="Times New Roman"/>
              </w:rPr>
              <w:t>HJ</w:t>
            </w:r>
          </w:p>
          <w:p w14:paraId="75420B43">
            <w:pPr>
              <w:pStyle w:val="6"/>
              <w:spacing w:before="170"/>
              <w:ind w:left="1612"/>
            </w:pPr>
            <w:r>
              <w:rPr>
                <w:rFonts w:ascii="Times New Roman" w:hAnsi="Times New Roman" w:eastAsia="Times New Roman" w:cs="Times New Roman"/>
                <w:spacing w:val="2"/>
              </w:rPr>
              <w:t>812-2016</w:t>
            </w:r>
            <w:r>
              <w:rPr>
                <w:spacing w:val="2"/>
              </w:rPr>
              <w:t>）</w:t>
            </w:r>
          </w:p>
        </w:tc>
        <w:tc>
          <w:tcPr>
            <w:tcW w:w="861" w:type="dxa"/>
            <w:vAlign w:val="top"/>
          </w:tcPr>
          <w:p w14:paraId="44344A44">
            <w:pPr>
              <w:spacing w:line="247" w:lineRule="auto"/>
              <w:rPr>
                <w:rFonts w:ascii="Arial"/>
                <w:sz w:val="21"/>
              </w:rPr>
            </w:pPr>
          </w:p>
          <w:p w14:paraId="7C11971C">
            <w:pPr>
              <w:spacing w:before="5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287D926E">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5D821F1F">
            <w:pPr>
              <w:pStyle w:val="6"/>
              <w:spacing w:before="263" w:line="374"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65577C56">
            <w:pPr>
              <w:spacing w:line="247" w:lineRule="auto"/>
              <w:rPr>
                <w:rFonts w:ascii="Arial"/>
                <w:sz w:val="21"/>
              </w:rPr>
            </w:pPr>
          </w:p>
          <w:p w14:paraId="2817E367">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293711A">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2644F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6D874DB1">
            <w:pPr>
              <w:spacing w:line="422" w:lineRule="auto"/>
              <w:rPr>
                <w:rFonts w:ascii="Arial"/>
                <w:sz w:val="21"/>
              </w:rPr>
            </w:pPr>
          </w:p>
          <w:p w14:paraId="660A6CE6">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56" w:type="dxa"/>
            <w:vAlign w:val="top"/>
          </w:tcPr>
          <w:p w14:paraId="31F3BDBF">
            <w:pPr>
              <w:pStyle w:val="6"/>
              <w:spacing w:before="235" w:line="227" w:lineRule="auto"/>
              <w:ind w:left="213"/>
            </w:pPr>
            <w:r>
              <w:rPr>
                <w:spacing w:val="6"/>
              </w:rPr>
              <w:t>无机阴离</w:t>
            </w:r>
          </w:p>
          <w:p w14:paraId="2F5EB7E3">
            <w:pPr>
              <w:pStyle w:val="6"/>
              <w:spacing w:before="162" w:line="228" w:lineRule="auto"/>
              <w:ind w:left="368"/>
              <w:rPr>
                <w:rFonts w:ascii="Times New Roman" w:hAnsi="Times New Roman" w:eastAsia="Times New Roman" w:cs="Times New Roman"/>
              </w:rPr>
            </w:pPr>
            <w:r>
              <w:rPr>
                <w:spacing w:val="1"/>
              </w:rPr>
              <w:t>子</w:t>
            </w:r>
            <w:r>
              <w:rPr>
                <w:spacing w:val="-40"/>
              </w:rPr>
              <w:t xml:space="preserve"> </w:t>
            </w:r>
            <w:r>
              <w:rPr>
                <w:rFonts w:ascii="Times New Roman" w:hAnsi="Times New Roman" w:eastAsia="Times New Roman" w:cs="Times New Roman"/>
              </w:rPr>
              <w:t>Cl</w:t>
            </w:r>
            <w:r>
              <w:rPr>
                <w:rFonts w:ascii="Times New Roman" w:hAnsi="Times New Roman" w:eastAsia="Times New Roman" w:cs="Times New Roman"/>
                <w:spacing w:val="1"/>
              </w:rPr>
              <w:t>-</w:t>
            </w:r>
          </w:p>
        </w:tc>
        <w:tc>
          <w:tcPr>
            <w:tcW w:w="4219" w:type="dxa"/>
            <w:vAlign w:val="top"/>
          </w:tcPr>
          <w:p w14:paraId="33869787">
            <w:pPr>
              <w:pStyle w:val="6"/>
              <w:spacing w:before="31" w:line="227" w:lineRule="auto"/>
              <w:ind w:right="9"/>
              <w:jc w:val="right"/>
            </w:pPr>
            <w:r>
              <w:rPr>
                <w:spacing w:val="-5"/>
              </w:rPr>
              <w:t>《水质无机阴离子（</w:t>
            </w:r>
            <w:r>
              <w:rPr>
                <w:rFonts w:ascii="Times New Roman" w:hAnsi="Times New Roman" w:eastAsia="Times New Roman" w:cs="Times New Roman"/>
                <w:spacing w:val="-5"/>
              </w:rPr>
              <w:t>F</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Cl</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Br</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7"/>
                <w:sz w:val="13"/>
                <w:szCs w:val="13"/>
              </w:rPr>
              <w:t>-</w:t>
            </w:r>
            <w:r>
              <w:rPr>
                <w:spacing w:val="-5"/>
              </w:rPr>
              <w:t>、</w:t>
            </w:r>
          </w:p>
          <w:p w14:paraId="30D1829B">
            <w:pPr>
              <w:pStyle w:val="6"/>
              <w:spacing w:before="162" w:line="228" w:lineRule="auto"/>
              <w:ind w:left="122"/>
            </w:pPr>
            <w:r>
              <w:rPr>
                <w:rFonts w:ascii="Times New Roman" w:hAnsi="Times New Roman" w:eastAsia="Times New Roman" w:cs="Times New Roman"/>
              </w:rPr>
              <w:t>PO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9"/>
                <w:position w:val="6"/>
                <w:sz w:val="13"/>
                <w:szCs w:val="13"/>
              </w:rPr>
              <w:t xml:space="preserve"> </w:t>
            </w:r>
            <w:r>
              <w:rPr>
                <w:spacing w:val="5"/>
              </w:rPr>
              <w:t xml:space="preserve">、 </w:t>
            </w:r>
            <w:r>
              <w:rPr>
                <w:rFonts w:ascii="Times New Roman" w:hAnsi="Times New Roman" w:eastAsia="Times New Roman" w:cs="Times New Roman"/>
              </w:rPr>
              <w:t>SO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13"/>
                <w:position w:val="6"/>
                <w:sz w:val="13"/>
                <w:szCs w:val="13"/>
              </w:rPr>
              <w:t xml:space="preserve"> </w:t>
            </w:r>
            <w:r>
              <w:rPr>
                <w:spacing w:val="5"/>
              </w:rPr>
              <w:t>、</w:t>
            </w:r>
            <w:r>
              <w:rPr>
                <w:rFonts w:ascii="Times New Roman" w:hAnsi="Times New Roman" w:eastAsia="Times New Roman" w:cs="Times New Roman"/>
              </w:rPr>
              <w:t>SO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sz w:val="13"/>
                <w:szCs w:val="13"/>
              </w:rPr>
              <w:t>2-</w:t>
            </w:r>
            <w:r>
              <w:rPr>
                <w:spacing w:val="5"/>
              </w:rPr>
              <w:t>）的测定离子色谱法》</w:t>
            </w:r>
          </w:p>
          <w:p w14:paraId="4100DB70">
            <w:pPr>
              <w:pStyle w:val="6"/>
              <w:spacing w:before="160"/>
              <w:ind w:left="1420"/>
            </w:pPr>
            <w:r>
              <w:rPr>
                <w:spacing w:val="2"/>
              </w:rPr>
              <w:t>（</w:t>
            </w:r>
            <w:r>
              <w:rPr>
                <w:rFonts w:ascii="Times New Roman" w:hAnsi="Times New Roman" w:eastAsia="Times New Roman" w:cs="Times New Roman"/>
              </w:rPr>
              <w:t>HJ</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84-2016</w:t>
            </w:r>
            <w:r>
              <w:rPr>
                <w:spacing w:val="2"/>
              </w:rPr>
              <w:t>）</w:t>
            </w:r>
          </w:p>
        </w:tc>
        <w:tc>
          <w:tcPr>
            <w:tcW w:w="861" w:type="dxa"/>
            <w:vAlign w:val="top"/>
          </w:tcPr>
          <w:p w14:paraId="64CE2972">
            <w:pPr>
              <w:spacing w:line="243" w:lineRule="auto"/>
              <w:rPr>
                <w:rFonts w:ascii="Arial"/>
                <w:sz w:val="21"/>
              </w:rPr>
            </w:pPr>
          </w:p>
          <w:p w14:paraId="624C9418">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p w14:paraId="1AD7E015">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0A12F786">
            <w:pPr>
              <w:pStyle w:val="6"/>
              <w:spacing w:before="259" w:line="372"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365D2F96">
            <w:pPr>
              <w:spacing w:line="243" w:lineRule="auto"/>
              <w:rPr>
                <w:rFonts w:ascii="Arial"/>
                <w:sz w:val="21"/>
              </w:rPr>
            </w:pPr>
          </w:p>
          <w:p w14:paraId="01AE483E">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AA0A1A7">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5C57D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3B20A401">
            <w:pPr>
              <w:spacing w:line="424" w:lineRule="auto"/>
              <w:rPr>
                <w:rFonts w:ascii="Arial"/>
                <w:sz w:val="21"/>
              </w:rPr>
            </w:pPr>
          </w:p>
          <w:p w14:paraId="63A1868B">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56" w:type="dxa"/>
            <w:vAlign w:val="top"/>
          </w:tcPr>
          <w:p w14:paraId="04D37297">
            <w:pPr>
              <w:pStyle w:val="6"/>
              <w:spacing w:before="238" w:line="378" w:lineRule="auto"/>
              <w:ind w:left="226" w:right="209" w:hanging="13"/>
              <w:rPr>
                <w:rFonts w:ascii="Times New Roman" w:hAnsi="Times New Roman" w:eastAsia="Times New Roman" w:cs="Times New Roman"/>
              </w:rPr>
            </w:pPr>
            <w:r>
              <w:rPr>
                <w:spacing w:val="6"/>
              </w:rPr>
              <w:t>无机阴离</w:t>
            </w:r>
            <w:r>
              <w:rPr>
                <w:spacing w:val="2"/>
              </w:rPr>
              <w:t xml:space="preserve"> </w:t>
            </w:r>
            <w:r>
              <w:rPr>
                <w:spacing w:val="4"/>
              </w:rPr>
              <w:t>子</w:t>
            </w:r>
            <w:r>
              <w:rPr>
                <w:spacing w:val="-32"/>
              </w:rPr>
              <w:t xml:space="preserve"> </w:t>
            </w:r>
            <w:r>
              <w:rPr>
                <w:rFonts w:ascii="Times New Roman" w:hAnsi="Times New Roman" w:eastAsia="Times New Roman" w:cs="Times New Roman"/>
              </w:rPr>
              <w:t>SO</w:t>
            </w:r>
            <w:r>
              <w:rPr>
                <w:rFonts w:ascii="Times New Roman" w:hAnsi="Times New Roman" w:eastAsia="Times New Roman" w:cs="Times New Roman"/>
                <w:spacing w:val="4"/>
              </w:rPr>
              <w:t>42-</w:t>
            </w:r>
          </w:p>
        </w:tc>
        <w:tc>
          <w:tcPr>
            <w:tcW w:w="4219" w:type="dxa"/>
            <w:vAlign w:val="top"/>
          </w:tcPr>
          <w:p w14:paraId="3FAB318C">
            <w:pPr>
              <w:pStyle w:val="6"/>
              <w:spacing w:before="33" w:line="227" w:lineRule="auto"/>
              <w:ind w:right="9"/>
              <w:jc w:val="right"/>
            </w:pPr>
            <w:r>
              <w:rPr>
                <w:spacing w:val="-5"/>
              </w:rPr>
              <w:t>《水质无机阴离子（</w:t>
            </w:r>
            <w:r>
              <w:rPr>
                <w:rFonts w:ascii="Times New Roman" w:hAnsi="Times New Roman" w:eastAsia="Times New Roman" w:cs="Times New Roman"/>
                <w:spacing w:val="-5"/>
              </w:rPr>
              <w:t>F</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Cl</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Br</w:t>
            </w:r>
            <w:r>
              <w:rPr>
                <w:rFonts w:ascii="Times New Roman" w:hAnsi="Times New Roman" w:eastAsia="Times New Roman" w:cs="Times New Roman"/>
                <w:spacing w:val="-5"/>
                <w:position w:val="7"/>
                <w:sz w:val="13"/>
                <w:szCs w:val="13"/>
              </w:rPr>
              <w:t>-</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7"/>
                <w:sz w:val="13"/>
                <w:szCs w:val="13"/>
              </w:rPr>
              <w:t>-</w:t>
            </w:r>
            <w:r>
              <w:rPr>
                <w:spacing w:val="-5"/>
              </w:rPr>
              <w:t>、</w:t>
            </w:r>
          </w:p>
          <w:p w14:paraId="60203192">
            <w:pPr>
              <w:pStyle w:val="6"/>
              <w:spacing w:before="162" w:line="228" w:lineRule="auto"/>
              <w:ind w:left="122"/>
            </w:pPr>
            <w:r>
              <w:rPr>
                <w:rFonts w:ascii="Times New Roman" w:hAnsi="Times New Roman" w:eastAsia="Times New Roman" w:cs="Times New Roman"/>
              </w:rPr>
              <w:t>PO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9"/>
                <w:position w:val="6"/>
                <w:sz w:val="13"/>
                <w:szCs w:val="13"/>
              </w:rPr>
              <w:t xml:space="preserve"> </w:t>
            </w:r>
            <w:r>
              <w:rPr>
                <w:spacing w:val="5"/>
              </w:rPr>
              <w:t xml:space="preserve">、 </w:t>
            </w:r>
            <w:r>
              <w:rPr>
                <w:rFonts w:ascii="Times New Roman" w:hAnsi="Times New Roman" w:eastAsia="Times New Roman" w:cs="Times New Roman"/>
              </w:rPr>
              <w:t>SO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13"/>
                <w:position w:val="6"/>
                <w:sz w:val="13"/>
                <w:szCs w:val="13"/>
              </w:rPr>
              <w:t xml:space="preserve"> </w:t>
            </w:r>
            <w:r>
              <w:rPr>
                <w:spacing w:val="5"/>
              </w:rPr>
              <w:t>、</w:t>
            </w:r>
            <w:r>
              <w:rPr>
                <w:rFonts w:ascii="Times New Roman" w:hAnsi="Times New Roman" w:eastAsia="Times New Roman" w:cs="Times New Roman"/>
              </w:rPr>
              <w:t>SO</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sz w:val="13"/>
                <w:szCs w:val="13"/>
              </w:rPr>
              <w:t>2-</w:t>
            </w:r>
            <w:r>
              <w:rPr>
                <w:spacing w:val="5"/>
              </w:rPr>
              <w:t>）的测定离子色谱法》</w:t>
            </w:r>
          </w:p>
          <w:p w14:paraId="4F20C936">
            <w:pPr>
              <w:pStyle w:val="6"/>
              <w:spacing w:before="160"/>
              <w:ind w:left="1420"/>
            </w:pPr>
            <w:r>
              <w:rPr>
                <w:spacing w:val="2"/>
              </w:rPr>
              <w:t>（</w:t>
            </w:r>
            <w:r>
              <w:rPr>
                <w:rFonts w:ascii="Times New Roman" w:hAnsi="Times New Roman" w:eastAsia="Times New Roman" w:cs="Times New Roman"/>
              </w:rPr>
              <w:t>HJ</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84-2016</w:t>
            </w:r>
            <w:r>
              <w:rPr>
                <w:spacing w:val="2"/>
              </w:rPr>
              <w:t>）</w:t>
            </w:r>
          </w:p>
        </w:tc>
        <w:tc>
          <w:tcPr>
            <w:tcW w:w="861" w:type="dxa"/>
            <w:vAlign w:val="top"/>
          </w:tcPr>
          <w:p w14:paraId="6A05D91F">
            <w:pPr>
              <w:spacing w:line="245" w:lineRule="auto"/>
              <w:rPr>
                <w:rFonts w:ascii="Arial"/>
                <w:sz w:val="21"/>
              </w:rPr>
            </w:pPr>
          </w:p>
          <w:p w14:paraId="635EC897">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0.018</w:t>
            </w:r>
          </w:p>
          <w:p w14:paraId="1BC5DD33">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3E3D739D">
            <w:pPr>
              <w:pStyle w:val="6"/>
              <w:spacing w:before="261" w:line="372" w:lineRule="auto"/>
              <w:ind w:left="448" w:right="306" w:hanging="130"/>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6" w:type="dxa"/>
            <w:vAlign w:val="top"/>
          </w:tcPr>
          <w:p w14:paraId="266116F7">
            <w:pPr>
              <w:spacing w:line="245" w:lineRule="auto"/>
              <w:rPr>
                <w:rFonts w:ascii="Arial"/>
                <w:sz w:val="21"/>
              </w:rPr>
            </w:pPr>
          </w:p>
          <w:p w14:paraId="69783F61">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09CB810">
            <w:pPr>
              <w:spacing w:before="17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4650F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trPr>
        <w:tc>
          <w:tcPr>
            <w:tcW w:w="788" w:type="dxa"/>
            <w:vAlign w:val="top"/>
          </w:tcPr>
          <w:p w14:paraId="03434E1D">
            <w:pPr>
              <w:spacing w:line="425" w:lineRule="auto"/>
              <w:rPr>
                <w:rFonts w:ascii="Arial"/>
                <w:sz w:val="21"/>
              </w:rPr>
            </w:pPr>
          </w:p>
          <w:p w14:paraId="58222B1F">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56" w:type="dxa"/>
            <w:vAlign w:val="top"/>
          </w:tcPr>
          <w:p w14:paraId="2CC06662">
            <w:pPr>
              <w:spacing w:line="375" w:lineRule="auto"/>
              <w:rPr>
                <w:rFonts w:ascii="Arial"/>
                <w:sz w:val="21"/>
              </w:rPr>
            </w:pPr>
          </w:p>
          <w:p w14:paraId="04A6C1F1">
            <w:pPr>
              <w:pStyle w:val="6"/>
              <w:spacing w:before="65" w:line="228" w:lineRule="auto"/>
              <w:ind w:left="317"/>
            </w:pPr>
            <w:r>
              <w:rPr>
                <w:spacing w:val="6"/>
              </w:rPr>
              <w:t>碳酸盐</w:t>
            </w:r>
          </w:p>
        </w:tc>
        <w:tc>
          <w:tcPr>
            <w:tcW w:w="4219" w:type="dxa"/>
            <w:vAlign w:val="top"/>
          </w:tcPr>
          <w:p w14:paraId="78F3A5A1">
            <w:pPr>
              <w:pStyle w:val="6"/>
              <w:spacing w:before="32" w:line="365" w:lineRule="auto"/>
              <w:ind w:left="113" w:right="106" w:firstLine="11"/>
              <w:jc w:val="both"/>
            </w:pPr>
            <w:r>
              <w:rPr>
                <w:spacing w:val="9"/>
              </w:rPr>
              <w:t>《水和废水监测分析方法（第四版）国家环</w:t>
            </w:r>
            <w:r>
              <w:rPr>
                <w:spacing w:val="3"/>
              </w:rPr>
              <w:t xml:space="preserve"> </w:t>
            </w:r>
            <w:r>
              <w:rPr>
                <w:spacing w:val="-2"/>
              </w:rPr>
              <w:t>境保 护总局》（</w:t>
            </w:r>
            <w:r>
              <w:rPr>
                <w:rFonts w:ascii="Times New Roman" w:hAnsi="Times New Roman" w:eastAsia="Times New Roman" w:cs="Times New Roman"/>
                <w:spacing w:val="-2"/>
              </w:rPr>
              <w:t xml:space="preserve">2002  </w:t>
            </w:r>
            <w:r>
              <w:rPr>
                <w:spacing w:val="-2"/>
              </w:rPr>
              <w:t>年）第三篇</w:t>
            </w:r>
            <w:r>
              <w:rPr>
                <w:spacing w:val="25"/>
              </w:rPr>
              <w:t xml:space="preserve"> </w:t>
            </w:r>
            <w:r>
              <w:rPr>
                <w:spacing w:val="-2"/>
              </w:rPr>
              <w:t>第一章</w:t>
            </w:r>
            <w:r>
              <w:rPr>
                <w:spacing w:val="14"/>
              </w:rPr>
              <w:t xml:space="preserve"> </w:t>
            </w:r>
            <w:r>
              <w:rPr>
                <w:spacing w:val="-2"/>
              </w:rPr>
              <w:t>十</w:t>
            </w:r>
            <w:r>
              <w:t xml:space="preserve"> </w:t>
            </w:r>
            <w:r>
              <w:rPr>
                <w:spacing w:val="13"/>
              </w:rPr>
              <w:t>二、碱度 （一）酸碱指示剂滴定法（</w:t>
            </w:r>
            <w:r>
              <w:rPr>
                <w:rFonts w:ascii="Times New Roman" w:hAnsi="Times New Roman" w:eastAsia="Times New Roman" w:cs="Times New Roman"/>
                <w:spacing w:val="13"/>
              </w:rPr>
              <w:t>B</w:t>
            </w:r>
            <w:r>
              <w:rPr>
                <w:spacing w:val="13"/>
              </w:rPr>
              <w:t>）</w:t>
            </w:r>
          </w:p>
        </w:tc>
        <w:tc>
          <w:tcPr>
            <w:tcW w:w="861" w:type="dxa"/>
            <w:vAlign w:val="top"/>
          </w:tcPr>
          <w:p w14:paraId="4BA2A227">
            <w:pPr>
              <w:spacing w:line="286" w:lineRule="auto"/>
              <w:rPr>
                <w:rFonts w:ascii="Arial"/>
                <w:sz w:val="21"/>
              </w:rPr>
            </w:pPr>
          </w:p>
          <w:p w14:paraId="19F5849B">
            <w:pPr>
              <w:tabs>
                <w:tab w:val="left" w:pos="530"/>
              </w:tabs>
              <w:spacing w:before="60"/>
              <w:ind w:left="329"/>
              <w:rPr>
                <w:rFonts w:ascii="Arial"/>
                <w:sz w:val="21"/>
              </w:rPr>
            </w:pPr>
            <w:r>
              <w:rPr>
                <w:rFonts w:ascii="Arial" w:hAnsi="Arial" w:eastAsia="Arial" w:cs="Arial"/>
                <w:sz w:val="21"/>
                <w:szCs w:val="21"/>
                <w:u w:val="single" w:color="auto"/>
              </w:rPr>
              <w:tab/>
            </w:r>
          </w:p>
        </w:tc>
        <w:tc>
          <w:tcPr>
            <w:tcW w:w="1667" w:type="dxa"/>
            <w:vAlign w:val="top"/>
          </w:tcPr>
          <w:p w14:paraId="2E0F2D08">
            <w:pPr>
              <w:spacing w:line="374" w:lineRule="auto"/>
              <w:rPr>
                <w:rFonts w:ascii="Arial"/>
                <w:sz w:val="21"/>
              </w:rPr>
            </w:pPr>
          </w:p>
          <w:p w14:paraId="5DAA8625">
            <w:pPr>
              <w:pStyle w:val="6"/>
              <w:spacing w:before="65" w:line="228" w:lineRule="auto"/>
              <w:ind w:left="527"/>
            </w:pPr>
            <w:r>
              <w:rPr>
                <w:spacing w:val="6"/>
              </w:rPr>
              <w:t>滴定管</w:t>
            </w:r>
          </w:p>
        </w:tc>
        <w:tc>
          <w:tcPr>
            <w:tcW w:w="856" w:type="dxa"/>
            <w:vAlign w:val="top"/>
          </w:tcPr>
          <w:p w14:paraId="49BD11AF">
            <w:pPr>
              <w:spacing w:line="286" w:lineRule="auto"/>
              <w:rPr>
                <w:rFonts w:ascii="Arial"/>
                <w:sz w:val="21"/>
              </w:rPr>
            </w:pPr>
          </w:p>
          <w:p w14:paraId="0EC0DC90">
            <w:pPr>
              <w:tabs>
                <w:tab w:val="left" w:pos="527"/>
              </w:tabs>
              <w:spacing w:before="60"/>
              <w:ind w:left="326"/>
              <w:rPr>
                <w:rFonts w:ascii="Arial"/>
                <w:sz w:val="21"/>
              </w:rPr>
            </w:pPr>
            <w:r>
              <w:rPr>
                <w:rFonts w:ascii="Arial" w:hAnsi="Arial" w:eastAsia="Arial" w:cs="Arial"/>
                <w:sz w:val="21"/>
                <w:szCs w:val="21"/>
                <w:u w:val="single" w:color="auto"/>
              </w:rPr>
              <w:tab/>
            </w:r>
          </w:p>
        </w:tc>
      </w:tr>
      <w:tr w14:paraId="5388B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88" w:type="dxa"/>
            <w:vAlign w:val="top"/>
          </w:tcPr>
          <w:p w14:paraId="1D82348C">
            <w:pPr>
              <w:spacing w:line="427" w:lineRule="auto"/>
              <w:rPr>
                <w:rFonts w:ascii="Arial"/>
                <w:sz w:val="21"/>
              </w:rPr>
            </w:pPr>
          </w:p>
          <w:p w14:paraId="1F035E80">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256" w:type="dxa"/>
            <w:vAlign w:val="top"/>
          </w:tcPr>
          <w:p w14:paraId="2508282A">
            <w:pPr>
              <w:spacing w:line="377" w:lineRule="auto"/>
              <w:rPr>
                <w:rFonts w:ascii="Arial"/>
                <w:sz w:val="21"/>
              </w:rPr>
            </w:pPr>
          </w:p>
          <w:p w14:paraId="03F583E6">
            <w:pPr>
              <w:pStyle w:val="6"/>
              <w:spacing w:before="65" w:line="228" w:lineRule="auto"/>
              <w:ind w:left="212"/>
            </w:pPr>
            <w:r>
              <w:rPr>
                <w:spacing w:val="7"/>
              </w:rPr>
              <w:t>重碳酸盐</w:t>
            </w:r>
          </w:p>
        </w:tc>
        <w:tc>
          <w:tcPr>
            <w:tcW w:w="4219" w:type="dxa"/>
            <w:vAlign w:val="top"/>
          </w:tcPr>
          <w:p w14:paraId="18950C45">
            <w:pPr>
              <w:pStyle w:val="6"/>
              <w:spacing w:before="37" w:line="364" w:lineRule="auto"/>
              <w:ind w:left="113" w:right="106" w:firstLine="11"/>
              <w:jc w:val="both"/>
            </w:pPr>
            <w:r>
              <w:rPr>
                <w:spacing w:val="9"/>
              </w:rPr>
              <w:t>《水和废水监测分析方法（第四版）国家环</w:t>
            </w:r>
            <w:r>
              <w:rPr>
                <w:spacing w:val="3"/>
              </w:rPr>
              <w:t xml:space="preserve"> </w:t>
            </w:r>
            <w:r>
              <w:rPr>
                <w:spacing w:val="1"/>
              </w:rPr>
              <w:t>境保护总局》（</w:t>
            </w:r>
            <w:r>
              <w:rPr>
                <w:rFonts w:ascii="Times New Roman" w:hAnsi="Times New Roman" w:eastAsia="Times New Roman" w:cs="Times New Roman"/>
                <w:spacing w:val="1"/>
              </w:rPr>
              <w:t xml:space="preserve">2002  </w:t>
            </w:r>
            <w:r>
              <w:rPr>
                <w:spacing w:val="1"/>
              </w:rPr>
              <w:t>年）</w:t>
            </w:r>
            <w:r>
              <w:rPr>
                <w:spacing w:val="-40"/>
              </w:rPr>
              <w:t xml:space="preserve"> </w:t>
            </w:r>
            <w:r>
              <w:rPr>
                <w:spacing w:val="1"/>
              </w:rPr>
              <w:t xml:space="preserve">第三篇 </w:t>
            </w:r>
            <w:r>
              <w:t>第一章</w:t>
            </w:r>
            <w:r>
              <w:rPr>
                <w:spacing w:val="14"/>
              </w:rPr>
              <w:t xml:space="preserve"> </w:t>
            </w:r>
            <w:r>
              <w:t xml:space="preserve">十 </w:t>
            </w:r>
            <w:r>
              <w:rPr>
                <w:spacing w:val="13"/>
              </w:rPr>
              <w:t>二、碱度 （一）酸碱指示剂滴定法（</w:t>
            </w:r>
            <w:r>
              <w:rPr>
                <w:rFonts w:ascii="Times New Roman" w:hAnsi="Times New Roman" w:eastAsia="Times New Roman" w:cs="Times New Roman"/>
                <w:spacing w:val="13"/>
              </w:rPr>
              <w:t>B</w:t>
            </w:r>
            <w:r>
              <w:rPr>
                <w:spacing w:val="13"/>
              </w:rPr>
              <w:t>）</w:t>
            </w:r>
          </w:p>
        </w:tc>
        <w:tc>
          <w:tcPr>
            <w:tcW w:w="861" w:type="dxa"/>
            <w:vAlign w:val="top"/>
          </w:tcPr>
          <w:p w14:paraId="18E30E01">
            <w:pPr>
              <w:spacing w:line="288" w:lineRule="auto"/>
              <w:rPr>
                <w:rFonts w:ascii="Arial"/>
                <w:sz w:val="21"/>
              </w:rPr>
            </w:pPr>
          </w:p>
          <w:p w14:paraId="681C51DF">
            <w:pPr>
              <w:tabs>
                <w:tab w:val="left" w:pos="530"/>
              </w:tabs>
              <w:spacing w:before="60"/>
              <w:ind w:left="329"/>
              <w:rPr>
                <w:rFonts w:ascii="Arial"/>
                <w:sz w:val="21"/>
              </w:rPr>
            </w:pPr>
            <w:r>
              <w:rPr>
                <w:rFonts w:ascii="Arial" w:hAnsi="Arial" w:eastAsia="Arial" w:cs="Arial"/>
                <w:sz w:val="21"/>
                <w:szCs w:val="21"/>
                <w:u w:val="single" w:color="auto"/>
              </w:rPr>
              <w:tab/>
            </w:r>
          </w:p>
        </w:tc>
        <w:tc>
          <w:tcPr>
            <w:tcW w:w="1667" w:type="dxa"/>
            <w:vAlign w:val="top"/>
          </w:tcPr>
          <w:p w14:paraId="3A476249">
            <w:pPr>
              <w:spacing w:line="376" w:lineRule="auto"/>
              <w:rPr>
                <w:rFonts w:ascii="Arial"/>
                <w:sz w:val="21"/>
              </w:rPr>
            </w:pPr>
          </w:p>
          <w:p w14:paraId="09D18806">
            <w:pPr>
              <w:pStyle w:val="6"/>
              <w:spacing w:before="65" w:line="228" w:lineRule="auto"/>
              <w:ind w:left="527"/>
            </w:pPr>
            <w:r>
              <w:rPr>
                <w:spacing w:val="6"/>
              </w:rPr>
              <w:t>滴定管</w:t>
            </w:r>
          </w:p>
        </w:tc>
        <w:tc>
          <w:tcPr>
            <w:tcW w:w="856" w:type="dxa"/>
            <w:vAlign w:val="top"/>
          </w:tcPr>
          <w:p w14:paraId="3D58CFED">
            <w:pPr>
              <w:spacing w:line="288" w:lineRule="auto"/>
              <w:rPr>
                <w:rFonts w:ascii="Arial"/>
                <w:sz w:val="21"/>
              </w:rPr>
            </w:pPr>
          </w:p>
          <w:p w14:paraId="44642EAD">
            <w:pPr>
              <w:tabs>
                <w:tab w:val="left" w:pos="527"/>
              </w:tabs>
              <w:spacing w:before="60"/>
              <w:ind w:left="326"/>
              <w:rPr>
                <w:rFonts w:ascii="Arial"/>
                <w:sz w:val="21"/>
              </w:rPr>
            </w:pPr>
            <w:r>
              <w:rPr>
                <w:rFonts w:ascii="Arial" w:hAnsi="Arial" w:eastAsia="Arial" w:cs="Arial"/>
                <w:sz w:val="21"/>
                <w:szCs w:val="21"/>
                <w:u w:val="single" w:color="auto"/>
              </w:rPr>
              <w:tab/>
            </w:r>
          </w:p>
        </w:tc>
      </w:tr>
      <w:tr w14:paraId="15B85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88" w:type="dxa"/>
            <w:vAlign w:val="top"/>
          </w:tcPr>
          <w:p w14:paraId="6EDF15AA">
            <w:pPr>
              <w:spacing w:before="28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56" w:type="dxa"/>
            <w:vAlign w:val="top"/>
          </w:tcPr>
          <w:p w14:paraId="1B8FA49A">
            <w:pPr>
              <w:pStyle w:val="6"/>
              <w:spacing w:before="238" w:line="228" w:lineRule="auto"/>
              <w:ind w:left="317"/>
            </w:pPr>
            <w:r>
              <w:rPr>
                <w:spacing w:val="6"/>
              </w:rPr>
              <w:t>石油类</w:t>
            </w:r>
          </w:p>
        </w:tc>
        <w:tc>
          <w:tcPr>
            <w:tcW w:w="4219" w:type="dxa"/>
            <w:vAlign w:val="top"/>
          </w:tcPr>
          <w:p w14:paraId="06C661C1">
            <w:pPr>
              <w:pStyle w:val="6"/>
              <w:spacing w:before="34" w:line="228" w:lineRule="auto"/>
              <w:ind w:left="124"/>
            </w:pPr>
            <w:r>
              <w:rPr>
                <w:spacing w:val="8"/>
              </w:rPr>
              <w:t>《水质 石油类的测定 紫外分光光度法（试</w:t>
            </w:r>
          </w:p>
          <w:p w14:paraId="712D8715">
            <w:pPr>
              <w:pStyle w:val="6"/>
              <w:spacing w:before="161" w:line="228" w:lineRule="auto"/>
              <w:ind w:left="943"/>
            </w:pPr>
            <w:r>
              <w:rPr>
                <w:spacing w:val="5"/>
              </w:rPr>
              <w:t>行）》（</w:t>
            </w:r>
            <w:r>
              <w:rPr>
                <w:rFonts w:ascii="Times New Roman" w:hAnsi="Times New Roman" w:eastAsia="Times New Roman" w:cs="Times New Roman"/>
              </w:rPr>
              <w:t>HJ</w:t>
            </w:r>
            <w:r>
              <w:rPr>
                <w:rFonts w:ascii="Times New Roman" w:hAnsi="Times New Roman" w:eastAsia="Times New Roman" w:cs="Times New Roman"/>
                <w:spacing w:val="5"/>
              </w:rPr>
              <w:t xml:space="preserve"> 970 -</w:t>
            </w:r>
            <w:r>
              <w:rPr>
                <w:rFonts w:ascii="Times New Roman" w:hAnsi="Times New Roman" w:eastAsia="Times New Roman" w:cs="Times New Roman"/>
                <w:spacing w:val="7"/>
              </w:rPr>
              <w:t xml:space="preserve"> </w:t>
            </w:r>
            <w:r>
              <w:rPr>
                <w:rFonts w:ascii="Times New Roman" w:hAnsi="Times New Roman" w:eastAsia="Times New Roman" w:cs="Times New Roman"/>
                <w:spacing w:val="5"/>
              </w:rPr>
              <w:t>2018</w:t>
            </w:r>
            <w:r>
              <w:rPr>
                <w:rFonts w:ascii="Times New Roman" w:hAnsi="Times New Roman" w:eastAsia="Times New Roman" w:cs="Times New Roman"/>
                <w:spacing w:val="3"/>
              </w:rPr>
              <w:t xml:space="preserve">  </w:t>
            </w:r>
            <w:r>
              <w:rPr>
                <w:spacing w:val="5"/>
              </w:rPr>
              <w:t>）</w:t>
            </w:r>
          </w:p>
        </w:tc>
        <w:tc>
          <w:tcPr>
            <w:tcW w:w="861" w:type="dxa"/>
            <w:vAlign w:val="top"/>
          </w:tcPr>
          <w:p w14:paraId="1162B911">
            <w:pPr>
              <w:spacing w:before="10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64C09EE1">
            <w:pPr>
              <w:spacing w:before="171" w:line="201"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667" w:type="dxa"/>
            <w:vAlign w:val="top"/>
          </w:tcPr>
          <w:p w14:paraId="1F4482FC">
            <w:pPr>
              <w:pStyle w:val="6"/>
              <w:spacing w:before="58" w:line="228" w:lineRule="auto"/>
              <w:ind w:left="216"/>
            </w:pPr>
            <w:r>
              <w:rPr>
                <w:spacing w:val="7"/>
              </w:rPr>
              <w:t>紫外分光光度</w:t>
            </w:r>
          </w:p>
          <w:p w14:paraId="6D4BA67C">
            <w:pPr>
              <w:spacing w:before="179" w:line="199"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-5100</w:t>
            </w:r>
          </w:p>
        </w:tc>
        <w:tc>
          <w:tcPr>
            <w:tcW w:w="856" w:type="dxa"/>
            <w:vAlign w:val="top"/>
          </w:tcPr>
          <w:p w14:paraId="46F87E42">
            <w:pPr>
              <w:spacing w:before="101"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5AA0338">
            <w:pPr>
              <w:spacing w:before="175"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21-A</w:t>
            </w:r>
          </w:p>
        </w:tc>
      </w:tr>
    </w:tbl>
    <w:p w14:paraId="4315BD9F">
      <w:pPr>
        <w:spacing w:before="36" w:line="219" w:lineRule="auto"/>
        <w:ind w:left="639"/>
        <w:rPr>
          <w:rFonts w:ascii="宋体" w:hAnsi="宋体" w:eastAsia="宋体" w:cs="宋体"/>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、监测时间与频率</w:t>
      </w:r>
    </w:p>
    <w:p w14:paraId="463D4F14">
      <w:pPr>
        <w:spacing w:before="179" w:line="219" w:lineRule="auto"/>
        <w:ind w:left="639"/>
        <w:rPr>
          <w:rFonts w:ascii="宋体" w:hAnsi="宋体" w:eastAsia="宋体" w:cs="宋体"/>
          <w:sz w:val="24"/>
          <w:szCs w:val="24"/>
        </w:rPr>
      </w:pPr>
      <w:r>
        <w:rPr>
          <w:rFonts w:ascii="宋体" w:hAnsi="宋体" w:eastAsia="宋体" w:cs="宋体"/>
          <w:spacing w:val="-4"/>
          <w:sz w:val="24"/>
          <w:szCs w:val="24"/>
        </w:rPr>
        <w:t>本次监测</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期，时间为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p>
    <w:p w14:paraId="226E6654">
      <w:pPr>
        <w:spacing w:before="183" w:line="220" w:lineRule="auto"/>
        <w:ind w:left="633"/>
        <w:rPr>
          <w:rFonts w:ascii="宋体" w:hAnsi="宋体" w:eastAsia="宋体" w:cs="宋体"/>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、监测结果</w:t>
      </w:r>
    </w:p>
    <w:p w14:paraId="49CA9C7D">
      <w:pPr>
        <w:spacing w:before="179" w:line="360" w:lineRule="auto"/>
        <w:ind w:left="159" w:right="148" w:firstLine="481"/>
        <w:rPr>
          <w:rFonts w:ascii="宋体" w:hAnsi="宋体" w:eastAsia="宋体" w:cs="宋体"/>
          <w:sz w:val="24"/>
          <w:szCs w:val="24"/>
        </w:rPr>
      </w:pPr>
      <w:r>
        <w:rPr>
          <w:rFonts w:ascii="宋体" w:hAnsi="宋体" w:eastAsia="宋体" w:cs="宋体"/>
          <w:spacing w:val="-1"/>
          <w:sz w:val="24"/>
          <w:szCs w:val="24"/>
        </w:rPr>
        <w:t>水质分析由内蒙古华智鼎环保科技有限公司分析测试，根据化验结果，参照《地下水</w:t>
      </w:r>
      <w:r>
        <w:rPr>
          <w:rFonts w:ascii="宋体" w:hAnsi="宋体" w:eastAsia="宋体" w:cs="宋体"/>
          <w:spacing w:val="18"/>
          <w:sz w:val="24"/>
          <w:szCs w:val="24"/>
        </w:rPr>
        <w:t xml:space="preserve"> </w:t>
      </w:r>
      <w:r>
        <w:rPr>
          <w:rFonts w:ascii="宋体" w:hAnsi="宋体" w:eastAsia="宋体" w:cs="宋体"/>
          <w:spacing w:val="-2"/>
          <w:sz w:val="24"/>
          <w:szCs w:val="24"/>
        </w:rPr>
        <w:t>质量标准》（</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2"/>
          <w:sz w:val="24"/>
          <w:szCs w:val="24"/>
        </w:rPr>
        <w:t>14848</w:t>
      </w:r>
      <w:r>
        <w:rPr>
          <w:rFonts w:ascii="宋体" w:hAnsi="宋体" w:eastAsia="宋体" w:cs="宋体"/>
          <w:spacing w:val="-2"/>
          <w:sz w:val="24"/>
          <w:szCs w:val="24"/>
        </w:rPr>
        <w:t>－</w:t>
      </w:r>
      <w:r>
        <w:rPr>
          <w:rFonts w:ascii="Times New Roman" w:hAnsi="Times New Roman" w:eastAsia="Times New Roman" w:cs="Times New Roman"/>
          <w:spacing w:val="-2"/>
          <w:sz w:val="24"/>
          <w:szCs w:val="24"/>
        </w:rPr>
        <w:t>2017</w:t>
      </w:r>
      <w:r>
        <w:rPr>
          <w:rFonts w:ascii="宋体" w:hAnsi="宋体" w:eastAsia="宋体" w:cs="宋体"/>
          <w:spacing w:val="-2"/>
          <w:sz w:val="24"/>
          <w:szCs w:val="24"/>
        </w:rPr>
        <w:t>）进行评价。</w:t>
      </w:r>
    </w:p>
    <w:p w14:paraId="4A20935E">
      <w:pPr>
        <w:spacing w:before="1" w:line="217" w:lineRule="auto"/>
        <w:ind w:left="640"/>
        <w:rPr>
          <w:rFonts w:ascii="宋体" w:hAnsi="宋体" w:eastAsia="宋体" w:cs="宋体"/>
          <w:sz w:val="24"/>
          <w:szCs w:val="24"/>
        </w:rPr>
      </w:pPr>
      <w:r>
        <w:rPr>
          <w:rFonts w:ascii="Times New Roman" w:hAnsi="Times New Roman" w:eastAsia="Times New Roman" w:cs="Times New Roman"/>
          <w:spacing w:val="-4"/>
          <w:sz w:val="24"/>
          <w:szCs w:val="24"/>
        </w:rPr>
        <w:t>5</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rPr>
        <w:t>、地下水环境现状评价</w:t>
      </w:r>
    </w:p>
    <w:p w14:paraId="1F2FF33F">
      <w:pPr>
        <w:spacing w:before="183" w:line="218" w:lineRule="auto"/>
        <w:ind w:left="65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）评价标准</w:t>
      </w:r>
    </w:p>
    <w:p w14:paraId="1B8D4783">
      <w:pPr>
        <w:spacing w:before="182" w:line="218" w:lineRule="auto"/>
        <w:ind w:left="639"/>
        <w:rPr>
          <w:rFonts w:ascii="宋体" w:hAnsi="宋体" w:eastAsia="宋体" w:cs="宋体"/>
          <w:sz w:val="24"/>
          <w:szCs w:val="24"/>
        </w:rPr>
      </w:pPr>
      <w:r>
        <w:rPr>
          <w:rFonts w:ascii="宋体" w:hAnsi="宋体" w:eastAsia="宋体" w:cs="宋体"/>
          <w:spacing w:val="-1"/>
          <w:sz w:val="24"/>
          <w:szCs w:val="24"/>
        </w:rPr>
        <w:t>本次评价地下水环境执行《地下水质量标准》（</w:t>
      </w:r>
      <w:r>
        <w:rPr>
          <w:rFonts w:ascii="Times New Roman" w:hAnsi="Times New Roman" w:eastAsia="Times New Roman" w:cs="Times New Roman"/>
          <w:spacing w:val="-1"/>
          <w:sz w:val="24"/>
          <w:szCs w:val="24"/>
        </w:rPr>
        <w:t>GB/T</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1"/>
          <w:sz w:val="24"/>
          <w:szCs w:val="24"/>
        </w:rPr>
        <w:t>14848</w:t>
      </w:r>
      <w:r>
        <w:rPr>
          <w:rFonts w:ascii="宋体" w:hAnsi="宋体" w:eastAsia="宋体" w:cs="宋体"/>
          <w:spacing w:val="-1"/>
          <w:sz w:val="24"/>
          <w:szCs w:val="24"/>
        </w:rPr>
        <w:t>－</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）中的</w:t>
      </w:r>
      <w:r>
        <w:rPr>
          <w:rFonts w:ascii="Times New Roman" w:hAnsi="Times New Roman" w:eastAsia="Times New Roman" w:cs="Times New Roman"/>
          <w:spacing w:val="-1"/>
          <w:sz w:val="24"/>
          <w:szCs w:val="24"/>
        </w:rPr>
        <w:t>Ⅲ</w:t>
      </w:r>
      <w:r>
        <w:rPr>
          <w:rFonts w:ascii="宋体" w:hAnsi="宋体" w:eastAsia="宋体" w:cs="宋体"/>
          <w:spacing w:val="-1"/>
          <w:sz w:val="24"/>
          <w:szCs w:val="24"/>
        </w:rPr>
        <w:t>类标准。</w:t>
      </w:r>
    </w:p>
    <w:p w14:paraId="468D2685">
      <w:pPr>
        <w:spacing w:before="184" w:line="218" w:lineRule="auto"/>
        <w:ind w:left="65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）评价结果</w:t>
      </w:r>
    </w:p>
    <w:p w14:paraId="72BA7AF1">
      <w:pPr>
        <w:spacing w:before="186" w:line="219" w:lineRule="auto"/>
        <w:ind w:left="631"/>
        <w:rPr>
          <w:rFonts w:ascii="宋体" w:hAnsi="宋体" w:eastAsia="宋体" w:cs="宋体"/>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、感官性状指标：包括色、浑浊度、嗅、味、</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
          <w:sz w:val="24"/>
          <w:szCs w:val="24"/>
        </w:rPr>
        <w:t xml:space="preserve">S </w:t>
      </w:r>
      <w:r>
        <w:rPr>
          <w:rFonts w:ascii="宋体" w:hAnsi="宋体" w:eastAsia="宋体" w:cs="宋体"/>
          <w:spacing w:val="-2"/>
          <w:sz w:val="24"/>
          <w:szCs w:val="24"/>
        </w:rPr>
        <w:t>等。</w:t>
      </w:r>
    </w:p>
    <w:p w14:paraId="663677D3">
      <w:pPr>
        <w:spacing w:before="180" w:line="359" w:lineRule="auto"/>
        <w:ind w:left="161" w:right="148" w:firstLine="476"/>
        <w:rPr>
          <w:rFonts w:ascii="宋体" w:hAnsi="宋体" w:eastAsia="宋体" w:cs="宋体"/>
          <w:sz w:val="24"/>
          <w:szCs w:val="24"/>
        </w:rPr>
      </w:pPr>
      <w:r>
        <w:rPr>
          <w:rFonts w:ascii="宋体" w:hAnsi="宋体" w:eastAsia="宋体" w:cs="宋体"/>
          <w:sz w:val="24"/>
          <w:szCs w:val="24"/>
        </w:rPr>
        <w:t>评价区内地下水水质良好，地下水一般呈无色、无</w:t>
      </w:r>
      <w:r>
        <w:rPr>
          <w:rFonts w:ascii="宋体" w:hAnsi="宋体" w:eastAsia="宋体" w:cs="宋体"/>
          <w:spacing w:val="-1"/>
          <w:sz w:val="24"/>
          <w:szCs w:val="24"/>
        </w:rPr>
        <w:t>嗅、无味、无肉眼可见物，无超标</w:t>
      </w:r>
      <w:r>
        <w:rPr>
          <w:rFonts w:ascii="宋体" w:hAnsi="宋体" w:eastAsia="宋体" w:cs="宋体"/>
          <w:sz w:val="24"/>
          <w:szCs w:val="24"/>
        </w:rPr>
        <w:t xml:space="preserve"> </w:t>
      </w:r>
      <w:r>
        <w:rPr>
          <w:rFonts w:ascii="宋体" w:hAnsi="宋体" w:eastAsia="宋体" w:cs="宋体"/>
          <w:spacing w:val="-1"/>
          <w:sz w:val="24"/>
          <w:szCs w:val="24"/>
        </w:rPr>
        <w:t>水样点，均符合标准，没有超标。</w:t>
      </w:r>
    </w:p>
    <w:p w14:paraId="3C45560D">
      <w:pPr>
        <w:spacing w:before="2" w:line="351" w:lineRule="auto"/>
        <w:ind w:left="158" w:right="209" w:firstLine="474"/>
        <w:rPr>
          <w:rFonts w:ascii="宋体" w:hAnsi="宋体" w:eastAsia="宋体" w:cs="宋体"/>
          <w:sz w:val="24"/>
          <w:szCs w:val="24"/>
        </w:rPr>
      </w:pPr>
      <w:r>
        <w:rPr>
          <w:rFonts w:ascii="Times New Roman" w:hAnsi="Times New Roman" w:eastAsia="Times New Roman" w:cs="Times New Roman"/>
          <w:spacing w:val="-3"/>
          <w:sz w:val="24"/>
          <w:szCs w:val="24"/>
        </w:rPr>
        <w:t>B</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、一般化学性指标：包括</w:t>
      </w:r>
      <w:r>
        <w:rPr>
          <w:rFonts w:ascii="Times New Roman" w:hAnsi="Times New Roman" w:eastAsia="Times New Roman" w:cs="Times New Roman"/>
          <w:spacing w:val="-3"/>
          <w:sz w:val="24"/>
          <w:szCs w:val="24"/>
        </w:rPr>
        <w:t>pH</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、总硬度、溶解性总固体、硫酸盐、氯化物、铁、锰、</w:t>
      </w:r>
      <w:r>
        <w:rPr>
          <w:rFonts w:ascii="宋体" w:hAnsi="宋体" w:eastAsia="宋体" w:cs="宋体"/>
          <w:sz w:val="24"/>
          <w:szCs w:val="24"/>
        </w:rPr>
        <w:t xml:space="preserve"> 铜、石油类、氨氮、钾、钙、钠、镁、重碳酸、碳酸、</w:t>
      </w:r>
      <w:r>
        <w:rPr>
          <w:rFonts w:ascii="宋体" w:hAnsi="宋体" w:eastAsia="宋体" w:cs="宋体"/>
          <w:spacing w:val="-1"/>
          <w:sz w:val="24"/>
          <w:szCs w:val="24"/>
        </w:rPr>
        <w:t>耗氧量、挥发酚、锌等。</w:t>
      </w:r>
    </w:p>
    <w:p w14:paraId="0C1C992E">
      <w:pPr>
        <w:spacing w:before="19" w:line="212" w:lineRule="auto"/>
        <w:ind w:left="637"/>
        <w:rPr>
          <w:rFonts w:ascii="宋体" w:hAnsi="宋体" w:eastAsia="宋体" w:cs="宋体"/>
          <w:sz w:val="24"/>
          <w:szCs w:val="24"/>
        </w:rPr>
      </w:pPr>
      <w:r>
        <w:rPr>
          <w:rFonts w:ascii="宋体" w:hAnsi="宋体" w:eastAsia="宋体" w:cs="宋体"/>
          <w:spacing w:val="3"/>
          <w:sz w:val="24"/>
          <w:szCs w:val="24"/>
        </w:rPr>
        <w:t>评价</w:t>
      </w:r>
      <w:r>
        <w:rPr>
          <w:rFonts w:ascii="宋体" w:hAnsi="宋体" w:eastAsia="宋体" w:cs="宋体"/>
          <w:spacing w:val="-57"/>
          <w:sz w:val="24"/>
          <w:szCs w:val="24"/>
        </w:rPr>
        <w:t xml:space="preserve"> </w:t>
      </w:r>
      <w:r>
        <w:rPr>
          <w:rFonts w:ascii="宋体" w:hAnsi="宋体" w:eastAsia="宋体" w:cs="宋体"/>
          <w:spacing w:val="3"/>
          <w:sz w:val="24"/>
          <w:szCs w:val="24"/>
        </w:rPr>
        <w:t>区</w:t>
      </w:r>
      <w:r>
        <w:rPr>
          <w:rFonts w:ascii="宋体" w:hAnsi="宋体" w:eastAsia="宋体" w:cs="宋体"/>
          <w:spacing w:val="-48"/>
          <w:sz w:val="24"/>
          <w:szCs w:val="24"/>
        </w:rPr>
        <w:t xml:space="preserve"> </w:t>
      </w:r>
      <w:r>
        <w:rPr>
          <w:rFonts w:ascii="宋体" w:hAnsi="宋体" w:eastAsia="宋体" w:cs="宋体"/>
          <w:spacing w:val="3"/>
          <w:sz w:val="24"/>
          <w:szCs w:val="24"/>
        </w:rPr>
        <w:t>内地</w:t>
      </w:r>
      <w:r>
        <w:rPr>
          <w:rFonts w:ascii="宋体" w:hAnsi="宋体" w:eastAsia="宋体" w:cs="宋体"/>
          <w:spacing w:val="-69"/>
          <w:sz w:val="24"/>
          <w:szCs w:val="24"/>
        </w:rPr>
        <w:t xml:space="preserve"> </w:t>
      </w:r>
      <w:r>
        <w:rPr>
          <w:rFonts w:ascii="宋体" w:hAnsi="宋体" w:eastAsia="宋体" w:cs="宋体"/>
          <w:spacing w:val="3"/>
          <w:sz w:val="24"/>
          <w:szCs w:val="24"/>
        </w:rPr>
        <w:t>下</w:t>
      </w:r>
      <w:r>
        <w:rPr>
          <w:rFonts w:ascii="宋体" w:hAnsi="宋体" w:eastAsia="宋体" w:cs="宋体"/>
          <w:spacing w:val="-72"/>
          <w:sz w:val="24"/>
          <w:szCs w:val="24"/>
        </w:rPr>
        <w:t xml:space="preserve"> </w:t>
      </w:r>
      <w:r>
        <w:rPr>
          <w:rFonts w:ascii="宋体" w:hAnsi="宋体" w:eastAsia="宋体" w:cs="宋体"/>
          <w:spacing w:val="3"/>
          <w:sz w:val="24"/>
          <w:szCs w:val="24"/>
        </w:rPr>
        <w:t>水</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49"/>
          <w:sz w:val="24"/>
          <w:szCs w:val="24"/>
        </w:rPr>
        <w:t xml:space="preserve"> </w:t>
      </w:r>
      <w:r>
        <w:rPr>
          <w:rFonts w:ascii="宋体" w:hAnsi="宋体" w:eastAsia="宋体" w:cs="宋体"/>
          <w:spacing w:val="3"/>
          <w:sz w:val="24"/>
          <w:szCs w:val="24"/>
        </w:rPr>
        <w:t xml:space="preserve">一般 </w:t>
      </w:r>
      <w:r>
        <w:rPr>
          <w:rFonts w:ascii="Times New Roman" w:hAnsi="Times New Roman" w:eastAsia="Times New Roman" w:cs="Times New Roman"/>
          <w:spacing w:val="3"/>
          <w:sz w:val="24"/>
          <w:szCs w:val="24"/>
        </w:rPr>
        <w:t xml:space="preserve">7.59-7.72 </w:t>
      </w:r>
      <w:r>
        <w:rPr>
          <w:rFonts w:ascii="宋体" w:hAnsi="宋体" w:eastAsia="宋体" w:cs="宋体"/>
          <w:spacing w:val="3"/>
          <w:sz w:val="24"/>
          <w:szCs w:val="24"/>
        </w:rPr>
        <w:t>；</w:t>
      </w:r>
      <w:r>
        <w:rPr>
          <w:rFonts w:ascii="宋体" w:hAnsi="宋体" w:eastAsia="宋体" w:cs="宋体"/>
          <w:spacing w:val="-71"/>
          <w:sz w:val="24"/>
          <w:szCs w:val="24"/>
        </w:rPr>
        <w:t xml:space="preserve"> </w:t>
      </w:r>
      <w:r>
        <w:rPr>
          <w:rFonts w:ascii="宋体" w:hAnsi="宋体" w:eastAsia="宋体" w:cs="宋体"/>
          <w:spacing w:val="3"/>
          <w:sz w:val="24"/>
          <w:szCs w:val="24"/>
        </w:rPr>
        <w:t>总硬度</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284-426</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 xml:space="preserve">/L </w:t>
      </w:r>
      <w:r>
        <w:rPr>
          <w:rFonts w:ascii="宋体" w:hAnsi="宋体" w:eastAsia="宋体" w:cs="宋体"/>
          <w:spacing w:val="3"/>
          <w:sz w:val="24"/>
          <w:szCs w:val="24"/>
        </w:rPr>
        <w:t>；溶解性</w:t>
      </w:r>
      <w:r>
        <w:rPr>
          <w:rFonts w:ascii="宋体" w:hAnsi="宋体" w:eastAsia="宋体" w:cs="宋体"/>
          <w:spacing w:val="-71"/>
          <w:sz w:val="24"/>
          <w:szCs w:val="24"/>
        </w:rPr>
        <w:t xml:space="preserve"> </w:t>
      </w:r>
      <w:r>
        <w:rPr>
          <w:rFonts w:ascii="宋体" w:hAnsi="宋体" w:eastAsia="宋体" w:cs="宋体"/>
          <w:spacing w:val="3"/>
          <w:sz w:val="24"/>
          <w:szCs w:val="24"/>
        </w:rPr>
        <w:t>总</w:t>
      </w:r>
      <w:r>
        <w:rPr>
          <w:rFonts w:ascii="宋体" w:hAnsi="宋体" w:eastAsia="宋体" w:cs="宋体"/>
          <w:spacing w:val="-56"/>
          <w:sz w:val="24"/>
          <w:szCs w:val="24"/>
        </w:rPr>
        <w:t xml:space="preserve"> </w:t>
      </w:r>
      <w:r>
        <w:rPr>
          <w:rFonts w:ascii="宋体" w:hAnsi="宋体" w:eastAsia="宋体" w:cs="宋体"/>
          <w:spacing w:val="3"/>
          <w:sz w:val="24"/>
          <w:szCs w:val="24"/>
        </w:rPr>
        <w:t>固</w:t>
      </w:r>
      <w:r>
        <w:rPr>
          <w:rFonts w:ascii="宋体" w:hAnsi="宋体" w:eastAsia="宋体" w:cs="宋体"/>
          <w:spacing w:val="2"/>
          <w:sz w:val="24"/>
          <w:szCs w:val="24"/>
        </w:rPr>
        <w:t>体一般</w:t>
      </w:r>
    </w:p>
    <w:p w14:paraId="11911C50">
      <w:pPr>
        <w:spacing w:line="212" w:lineRule="auto"/>
        <w:rPr>
          <w:rFonts w:ascii="宋体" w:hAnsi="宋体" w:eastAsia="宋体" w:cs="宋体"/>
          <w:sz w:val="24"/>
          <w:szCs w:val="24"/>
        </w:rPr>
        <w:sectPr>
          <w:footerReference r:id="rId184" w:type="default"/>
          <w:pgSz w:w="11907" w:h="16840"/>
          <w:pgMar w:top="1147" w:right="985" w:bottom="1357" w:left="1269" w:header="825" w:footer="1195" w:gutter="0"/>
          <w:cols w:space="720" w:num="1"/>
        </w:sectPr>
      </w:pPr>
    </w:p>
    <w:p w14:paraId="5FFD7458">
      <w:pPr>
        <w:spacing w:before="308" w:line="356" w:lineRule="auto"/>
        <w:ind w:left="8"/>
        <w:jc w:val="both"/>
        <w:rPr>
          <w:rFonts w:ascii="宋体" w:hAnsi="宋体" w:eastAsia="宋体" w:cs="宋体"/>
          <w:sz w:val="24"/>
          <w:szCs w:val="24"/>
        </w:rPr>
      </w:pPr>
      <w:r>
        <w:pict>
          <v:shape id="_x0000_s1043" o:spid="_x0000_s1043" style="position:absolute;left:0pt;margin-left:70.9pt;margin-top:57.15pt;height:0.5pt;width:467.8pt;mso-position-horizontal-relative:page;mso-position-vertical-relative:page;z-index:251700224;mso-width-relative:page;mso-height-relative:page;" fillcolor="#000000" filled="t" stroked="f" coordsize="9355,10" o:allowincell="f" path="m0,0l9355,0,9355,9,0,9,0,0xe">
            <v:path/>
            <v:fill on="t" focussize="0,0"/>
            <v:stroke on="f"/>
            <v:imagedata o:title=""/>
            <o:lock v:ext="edit"/>
          </v:shape>
        </w:pict>
      </w:r>
      <w:r>
        <w:rPr>
          <w:rFonts w:ascii="Times New Roman" w:hAnsi="Times New Roman" w:eastAsia="Times New Roman" w:cs="Times New Roman"/>
          <w:spacing w:val="-3"/>
          <w:sz w:val="24"/>
          <w:szCs w:val="24"/>
        </w:rPr>
        <w:t>0.51-0.70g/L</w:t>
      </w:r>
      <w:r>
        <w:rPr>
          <w:rFonts w:ascii="宋体" w:hAnsi="宋体" w:eastAsia="宋体" w:cs="宋体"/>
          <w:spacing w:val="-3"/>
          <w:sz w:val="24"/>
          <w:szCs w:val="24"/>
        </w:rPr>
        <w:t>；硫酸盐一般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136-162mg/L</w:t>
      </w:r>
      <w:r>
        <w:rPr>
          <w:rFonts w:ascii="宋体" w:hAnsi="宋体" w:eastAsia="宋体" w:cs="宋体"/>
          <w:spacing w:val="-3"/>
          <w:sz w:val="24"/>
          <w:szCs w:val="24"/>
        </w:rPr>
        <w:t>；氯化物一般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112-141mg/L</w:t>
      </w:r>
      <w:r>
        <w:rPr>
          <w:rFonts w:ascii="宋体" w:hAnsi="宋体" w:eastAsia="宋体" w:cs="宋体"/>
          <w:spacing w:val="-3"/>
          <w:sz w:val="24"/>
          <w:szCs w:val="24"/>
        </w:rPr>
        <w:t>；钾一般</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8.66-</w:t>
      </w:r>
      <w:r>
        <w:rPr>
          <w:rFonts w:ascii="Times New Roman" w:hAnsi="Times New Roman" w:eastAsia="Times New Roman" w:cs="Times New Roman"/>
          <w:spacing w:val="-4"/>
          <w:sz w:val="24"/>
          <w:szCs w:val="24"/>
        </w:rPr>
        <w:t>13.7mg/L</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7"/>
          <w:sz w:val="24"/>
          <w:szCs w:val="24"/>
        </w:rPr>
        <w:t>钠一般</w:t>
      </w:r>
      <w:r>
        <w:rPr>
          <w:rFonts w:ascii="宋体" w:hAnsi="宋体" w:eastAsia="宋体" w:cs="宋体"/>
          <w:spacing w:val="-65"/>
          <w:sz w:val="24"/>
          <w:szCs w:val="24"/>
        </w:rPr>
        <w:t xml:space="preserve"> </w:t>
      </w:r>
      <w:r>
        <w:rPr>
          <w:rFonts w:ascii="Times New Roman" w:hAnsi="Times New Roman" w:eastAsia="Times New Roman" w:cs="Times New Roman"/>
          <w:spacing w:val="-7"/>
          <w:sz w:val="24"/>
          <w:szCs w:val="24"/>
        </w:rPr>
        <w:t>53.6-85.4mg/L</w:t>
      </w:r>
      <w:r>
        <w:rPr>
          <w:rFonts w:ascii="宋体" w:hAnsi="宋体" w:eastAsia="宋体" w:cs="宋体"/>
          <w:spacing w:val="-7"/>
          <w:sz w:val="24"/>
          <w:szCs w:val="24"/>
        </w:rPr>
        <w:t>；钙一般</w:t>
      </w:r>
      <w:r>
        <w:rPr>
          <w:rFonts w:ascii="宋体" w:hAnsi="宋体" w:eastAsia="宋体" w:cs="宋体"/>
          <w:spacing w:val="-65"/>
          <w:sz w:val="24"/>
          <w:szCs w:val="24"/>
        </w:rPr>
        <w:t xml:space="preserve"> </w:t>
      </w:r>
      <w:r>
        <w:rPr>
          <w:rFonts w:ascii="Times New Roman" w:hAnsi="Times New Roman" w:eastAsia="Times New Roman" w:cs="Times New Roman"/>
          <w:spacing w:val="-7"/>
          <w:sz w:val="24"/>
          <w:szCs w:val="24"/>
        </w:rPr>
        <w:t>51.7-80.6mg/L</w:t>
      </w:r>
      <w:r>
        <w:rPr>
          <w:rFonts w:ascii="宋体" w:hAnsi="宋体" w:eastAsia="宋体" w:cs="宋体"/>
          <w:spacing w:val="-7"/>
          <w:sz w:val="24"/>
          <w:szCs w:val="24"/>
        </w:rPr>
        <w:t>；镁一</w:t>
      </w:r>
      <w:r>
        <w:rPr>
          <w:rFonts w:ascii="宋体" w:hAnsi="宋体" w:eastAsia="宋体" w:cs="宋体"/>
          <w:spacing w:val="-8"/>
          <w:sz w:val="24"/>
          <w:szCs w:val="24"/>
        </w:rPr>
        <w:t>般</w:t>
      </w:r>
      <w:r>
        <w:rPr>
          <w:rFonts w:ascii="宋体" w:hAnsi="宋体" w:eastAsia="宋体" w:cs="宋体"/>
          <w:spacing w:val="-67"/>
          <w:sz w:val="24"/>
          <w:szCs w:val="24"/>
        </w:rPr>
        <w:t xml:space="preserve"> </w:t>
      </w:r>
      <w:r>
        <w:rPr>
          <w:rFonts w:ascii="Times New Roman" w:hAnsi="Times New Roman" w:eastAsia="Times New Roman" w:cs="Times New Roman"/>
          <w:spacing w:val="-8"/>
          <w:sz w:val="24"/>
          <w:szCs w:val="24"/>
        </w:rPr>
        <w:t>38-55.7mg/L</w:t>
      </w:r>
      <w:r>
        <w:rPr>
          <w:rFonts w:ascii="宋体" w:hAnsi="宋体" w:eastAsia="宋体" w:cs="宋体"/>
          <w:spacing w:val="-8"/>
          <w:sz w:val="24"/>
          <w:szCs w:val="24"/>
        </w:rPr>
        <w:t>；重碳酸一般</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108-269mg/L</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3"/>
          <w:sz w:val="24"/>
          <w:szCs w:val="24"/>
        </w:rPr>
        <w:t>氨氮一般</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0.072-1.82mg/L</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，其中</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S5 </w:t>
      </w:r>
      <w:r>
        <w:rPr>
          <w:rFonts w:ascii="宋体" w:hAnsi="宋体" w:eastAsia="宋体" w:cs="宋体"/>
          <w:spacing w:val="-3"/>
          <w:sz w:val="24"/>
          <w:szCs w:val="24"/>
        </w:rPr>
        <w:t>井为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1.83mg/L</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，超标；耗氧量一般</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1.49-1.68mg</w:t>
      </w:r>
      <w:r>
        <w:rPr>
          <w:rFonts w:ascii="Times New Roman" w:hAnsi="Times New Roman" w:eastAsia="Times New Roman" w:cs="Times New Roman"/>
          <w:spacing w:val="-4"/>
          <w:sz w:val="24"/>
          <w:szCs w:val="24"/>
        </w:rPr>
        <w:t>/L</w:t>
      </w:r>
      <w:r>
        <w:rPr>
          <w:rFonts w:ascii="宋体" w:hAnsi="宋体" w:eastAsia="宋体" w:cs="宋体"/>
          <w:spacing w:val="-4"/>
          <w:sz w:val="24"/>
          <w:szCs w:val="24"/>
        </w:rPr>
        <w:t>；铁、</w:t>
      </w:r>
      <w:r>
        <w:rPr>
          <w:rFonts w:ascii="宋体" w:hAnsi="宋体" w:eastAsia="宋体" w:cs="宋体"/>
          <w:sz w:val="24"/>
          <w:szCs w:val="24"/>
        </w:rPr>
        <w:t xml:space="preserve"> 锌、挥发酚、锰、石油类含量均小于限值，碳酸未检出</w:t>
      </w:r>
      <w:r>
        <w:rPr>
          <w:rFonts w:ascii="宋体" w:hAnsi="宋体" w:eastAsia="宋体" w:cs="宋体"/>
          <w:spacing w:val="-1"/>
          <w:sz w:val="24"/>
          <w:szCs w:val="24"/>
        </w:rPr>
        <w:t>。根据测试结果可知，超标离子主</w:t>
      </w:r>
      <w:r>
        <w:rPr>
          <w:rFonts w:ascii="宋体" w:hAnsi="宋体" w:eastAsia="宋体" w:cs="宋体"/>
          <w:sz w:val="24"/>
          <w:szCs w:val="24"/>
        </w:rPr>
        <w:t xml:space="preserve">  </w:t>
      </w:r>
      <w:r>
        <w:rPr>
          <w:rFonts w:ascii="宋体" w:hAnsi="宋体" w:eastAsia="宋体" w:cs="宋体"/>
          <w:spacing w:val="-2"/>
          <w:sz w:val="24"/>
          <w:szCs w:val="24"/>
        </w:rPr>
        <w:t>要为</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S5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号井氨氮，评价区地下水一般化学性指标大部分符合标准。</w:t>
      </w:r>
    </w:p>
    <w:p w14:paraId="2418D55D">
      <w:pPr>
        <w:spacing w:before="18" w:line="359" w:lineRule="auto"/>
        <w:ind w:left="12" w:right="98" w:firstLine="476"/>
        <w:rPr>
          <w:rFonts w:ascii="宋体" w:hAnsi="宋体" w:eastAsia="宋体" w:cs="宋体"/>
          <w:sz w:val="24"/>
          <w:szCs w:val="24"/>
        </w:rPr>
      </w:pPr>
      <w:r>
        <w:rPr>
          <w:rFonts w:ascii="Times New Roman" w:hAnsi="Times New Roman" w:eastAsia="Times New Roman" w:cs="Times New Roman"/>
          <w:spacing w:val="-3"/>
          <w:sz w:val="24"/>
          <w:szCs w:val="24"/>
        </w:rPr>
        <w:t>C</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、毒理指标：包括氟化物、硝酸盐、亚硝酸盐、砷、镉、六价铬、铅、</w:t>
      </w:r>
      <w:r>
        <w:rPr>
          <w:rFonts w:ascii="宋体" w:hAnsi="宋体" w:eastAsia="宋体" w:cs="宋体"/>
          <w:spacing w:val="-4"/>
          <w:sz w:val="24"/>
          <w:szCs w:val="24"/>
        </w:rPr>
        <w:t>汞、氰化物、</w:t>
      </w:r>
      <w:r>
        <w:rPr>
          <w:rFonts w:ascii="宋体" w:hAnsi="宋体" w:eastAsia="宋体" w:cs="宋体"/>
          <w:sz w:val="24"/>
          <w:szCs w:val="24"/>
        </w:rPr>
        <w:t xml:space="preserve"> </w:t>
      </w:r>
      <w:r>
        <w:rPr>
          <w:rFonts w:ascii="宋体" w:hAnsi="宋体" w:eastAsia="宋体" w:cs="宋体"/>
          <w:spacing w:val="-1"/>
          <w:sz w:val="24"/>
          <w:szCs w:val="24"/>
        </w:rPr>
        <w:t>苯、甲苯、三氯甲烷、四氯化碳。</w:t>
      </w:r>
    </w:p>
    <w:p w14:paraId="3F6B5DEE">
      <w:pPr>
        <w:spacing w:before="1" w:line="354" w:lineRule="auto"/>
        <w:ind w:left="10" w:right="178" w:firstLine="478"/>
        <w:jc w:val="both"/>
        <w:rPr>
          <w:rFonts w:ascii="宋体" w:hAnsi="宋体" w:eastAsia="宋体" w:cs="宋体"/>
          <w:sz w:val="24"/>
          <w:szCs w:val="24"/>
        </w:rPr>
      </w:pPr>
      <w:r>
        <w:rPr>
          <w:rFonts w:ascii="宋体" w:hAnsi="宋体" w:eastAsia="宋体" w:cs="宋体"/>
          <w:spacing w:val="3"/>
          <w:sz w:val="24"/>
          <w:szCs w:val="24"/>
        </w:rPr>
        <w:t>评价区地下水氟化物一般</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0.67-1.37</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S6</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井为</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1.37</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，超标；硝酸</w:t>
      </w:r>
      <w:r>
        <w:rPr>
          <w:rFonts w:ascii="宋体" w:hAnsi="宋体" w:eastAsia="宋体" w:cs="宋体"/>
          <w:spacing w:val="2"/>
          <w:sz w:val="24"/>
          <w:szCs w:val="24"/>
        </w:rPr>
        <w:t>盐氮一般</w:t>
      </w:r>
      <w:r>
        <w:rPr>
          <w:rFonts w:ascii="宋体" w:hAnsi="宋体" w:eastAsia="宋体" w:cs="宋体"/>
          <w:sz w:val="24"/>
          <w:szCs w:val="24"/>
        </w:rPr>
        <w:t xml:space="preserve"> </w:t>
      </w:r>
      <w:r>
        <w:rPr>
          <w:rFonts w:ascii="Times New Roman" w:hAnsi="Times New Roman" w:eastAsia="Times New Roman" w:cs="Times New Roman"/>
          <w:spacing w:val="-2"/>
          <w:sz w:val="24"/>
          <w:szCs w:val="24"/>
        </w:rPr>
        <w:t>6.72-11.5mg/L</w:t>
      </w:r>
      <w:r>
        <w:rPr>
          <w:rFonts w:ascii="宋体" w:hAnsi="宋体" w:eastAsia="宋体" w:cs="宋体"/>
          <w:spacing w:val="-2"/>
          <w:sz w:val="24"/>
          <w:szCs w:val="24"/>
        </w:rPr>
        <w:t>；亚硝酸盐氮一般小于</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0.011-0.012mg/L</w:t>
      </w:r>
      <w:r>
        <w:rPr>
          <w:rFonts w:ascii="宋体" w:hAnsi="宋体" w:eastAsia="宋体" w:cs="宋体"/>
          <w:spacing w:val="-2"/>
          <w:sz w:val="24"/>
          <w:szCs w:val="24"/>
        </w:rPr>
        <w:t>；砷一般小</w:t>
      </w:r>
      <w:r>
        <w:rPr>
          <w:rFonts w:ascii="宋体" w:hAnsi="宋体" w:eastAsia="宋体" w:cs="宋体"/>
          <w:spacing w:val="-3"/>
          <w:sz w:val="24"/>
          <w:szCs w:val="24"/>
        </w:rPr>
        <w:t>于</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0.0011mg/L</w:t>
      </w:r>
      <w:r>
        <w:rPr>
          <w:rFonts w:ascii="宋体" w:hAnsi="宋体" w:eastAsia="宋体" w:cs="宋体"/>
          <w:spacing w:val="-3"/>
          <w:sz w:val="24"/>
          <w:szCs w:val="24"/>
        </w:rPr>
        <w:t>；汞一般小</w:t>
      </w:r>
      <w:r>
        <w:rPr>
          <w:rFonts w:ascii="宋体" w:hAnsi="宋体" w:eastAsia="宋体" w:cs="宋体"/>
          <w:sz w:val="24"/>
          <w:szCs w:val="24"/>
        </w:rPr>
        <w:t xml:space="preserve"> </w:t>
      </w:r>
      <w:r>
        <w:rPr>
          <w:rFonts w:ascii="宋体" w:hAnsi="宋体" w:eastAsia="宋体" w:cs="宋体"/>
          <w:spacing w:val="-2"/>
          <w:sz w:val="24"/>
          <w:szCs w:val="24"/>
        </w:rPr>
        <w:t>于</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0.000012-0.000017mg/L</w:t>
      </w:r>
      <w:r>
        <w:rPr>
          <w:rFonts w:ascii="宋体" w:hAnsi="宋体" w:eastAsia="宋体" w:cs="宋体"/>
          <w:spacing w:val="-2"/>
          <w:sz w:val="24"/>
          <w:szCs w:val="24"/>
        </w:rPr>
        <w:t>；镉、六价铬、铅含量均小于限值。根据测试结果可知，超标离</w:t>
      </w:r>
      <w:r>
        <w:rPr>
          <w:rFonts w:ascii="宋体" w:hAnsi="宋体" w:eastAsia="宋体" w:cs="宋体"/>
          <w:sz w:val="24"/>
          <w:szCs w:val="24"/>
        </w:rPr>
        <w:t xml:space="preserve"> </w:t>
      </w:r>
      <w:r>
        <w:rPr>
          <w:rFonts w:ascii="宋体" w:hAnsi="宋体" w:eastAsia="宋体" w:cs="宋体"/>
          <w:spacing w:val="-1"/>
          <w:sz w:val="24"/>
          <w:szCs w:val="24"/>
        </w:rPr>
        <w:t>子主要为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S6 </w:t>
      </w:r>
      <w:r>
        <w:rPr>
          <w:rFonts w:ascii="宋体" w:hAnsi="宋体" w:eastAsia="宋体" w:cs="宋体"/>
          <w:spacing w:val="-1"/>
          <w:sz w:val="24"/>
          <w:szCs w:val="24"/>
        </w:rPr>
        <w:t>井氟化物，评价区地下水毒理学指标大部分符合标准。</w:t>
      </w:r>
    </w:p>
    <w:p w14:paraId="76AE97AB">
      <w:pPr>
        <w:spacing w:before="25" w:line="219" w:lineRule="auto"/>
        <w:ind w:left="484"/>
        <w:rPr>
          <w:rFonts w:ascii="宋体" w:hAnsi="宋体" w:eastAsia="宋体" w:cs="宋体"/>
          <w:sz w:val="24"/>
          <w:szCs w:val="24"/>
        </w:rPr>
      </w:pPr>
      <w:r>
        <w:rPr>
          <w:rFonts w:ascii="Times New Roman" w:hAnsi="Times New Roman" w:eastAsia="Times New Roman" w:cs="Times New Roman"/>
          <w:spacing w:val="-2"/>
          <w:sz w:val="24"/>
          <w:szCs w:val="24"/>
        </w:rPr>
        <w:t>D</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、微生物指标：总大肠菌群、细菌总数。</w:t>
      </w:r>
    </w:p>
    <w:p w14:paraId="272F746E">
      <w:pPr>
        <w:spacing w:before="180" w:line="360" w:lineRule="auto"/>
        <w:ind w:left="17" w:right="181" w:firstLine="471"/>
        <w:rPr>
          <w:rFonts w:ascii="宋体" w:hAnsi="宋体" w:eastAsia="宋体" w:cs="宋体"/>
          <w:sz w:val="24"/>
          <w:szCs w:val="24"/>
        </w:rPr>
      </w:pPr>
      <w:r>
        <w:rPr>
          <w:rFonts w:ascii="宋体" w:hAnsi="宋体" w:eastAsia="宋体" w:cs="宋体"/>
          <w:spacing w:val="1"/>
          <w:sz w:val="24"/>
          <w:szCs w:val="24"/>
        </w:rPr>
        <w:t>评价区地下水细菌总数一般</w:t>
      </w:r>
      <w:r>
        <w:rPr>
          <w:rFonts w:ascii="Times New Roman" w:hAnsi="Times New Roman" w:eastAsia="Times New Roman" w:cs="Times New Roman"/>
          <w:spacing w:val="1"/>
          <w:sz w:val="24"/>
          <w:szCs w:val="24"/>
        </w:rPr>
        <w:t>26-62</w:t>
      </w:r>
      <w:r>
        <w:rPr>
          <w:rFonts w:ascii="Times New Roman" w:hAnsi="Times New Roman" w:eastAsia="Times New Roman" w:cs="Times New Roman"/>
          <w:sz w:val="24"/>
          <w:szCs w:val="24"/>
        </w:rPr>
        <w:t>CFU</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mL</w:t>
      </w:r>
      <w:r>
        <w:rPr>
          <w:rFonts w:ascii="宋体" w:hAnsi="宋体" w:eastAsia="宋体" w:cs="宋体"/>
          <w:spacing w:val="1"/>
          <w:sz w:val="24"/>
          <w:szCs w:val="24"/>
        </w:rPr>
        <w:t>；总大肠菌群一般为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Times New Roman" w:hAnsi="Times New Roman" w:eastAsia="Times New Roman" w:cs="Times New Roman"/>
          <w:sz w:val="24"/>
          <w:szCs w:val="24"/>
        </w:rPr>
        <w:t>CFU</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mL</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 xml:space="preserve">，评价区地 </w:t>
      </w:r>
      <w:r>
        <w:rPr>
          <w:rFonts w:ascii="宋体" w:hAnsi="宋体" w:eastAsia="宋体" w:cs="宋体"/>
          <w:spacing w:val="-2"/>
          <w:sz w:val="24"/>
          <w:szCs w:val="24"/>
        </w:rPr>
        <w:t>下水微生物指标均符合标准。</w:t>
      </w:r>
    </w:p>
    <w:p w14:paraId="145CD188">
      <w:pPr>
        <w:spacing w:line="220" w:lineRule="auto"/>
        <w:ind w:left="485"/>
        <w:rPr>
          <w:rFonts w:ascii="宋体" w:hAnsi="宋体" w:eastAsia="宋体" w:cs="宋体"/>
          <w:sz w:val="24"/>
          <w:szCs w:val="24"/>
        </w:rPr>
      </w:pPr>
      <w:r>
        <w:rPr>
          <w:rFonts w:ascii="Times New Roman" w:hAnsi="Times New Roman" w:eastAsia="Times New Roman" w:cs="Times New Roman"/>
          <w:spacing w:val="-4"/>
          <w:sz w:val="24"/>
          <w:szCs w:val="24"/>
        </w:rPr>
        <w:t>E</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、超标原因分析</w:t>
      </w:r>
    </w:p>
    <w:p w14:paraId="4AF53DF4">
      <w:pPr>
        <w:spacing w:before="180" w:line="359" w:lineRule="auto"/>
        <w:ind w:left="9" w:right="178" w:firstLine="480"/>
        <w:rPr>
          <w:rFonts w:ascii="宋体" w:hAnsi="宋体" w:eastAsia="宋体" w:cs="宋体"/>
          <w:sz w:val="24"/>
          <w:szCs w:val="24"/>
        </w:rPr>
      </w:pPr>
      <w:r>
        <w:rPr>
          <w:rFonts w:ascii="宋体" w:hAnsi="宋体" w:eastAsia="宋体" w:cs="宋体"/>
          <w:spacing w:val="-4"/>
          <w:sz w:val="24"/>
          <w:szCs w:val="24"/>
        </w:rPr>
        <w:t>根据监测报告，评价区内仅有</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 xml:space="preserve">S5 </w:t>
      </w:r>
      <w:r>
        <w:rPr>
          <w:rFonts w:ascii="宋体" w:hAnsi="宋体" w:eastAsia="宋体" w:cs="宋体"/>
          <w:spacing w:val="-4"/>
          <w:sz w:val="24"/>
          <w:szCs w:val="24"/>
        </w:rPr>
        <w:t>井氨氮和</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 xml:space="preserve">S6 </w:t>
      </w:r>
      <w:r>
        <w:rPr>
          <w:rFonts w:ascii="宋体" w:hAnsi="宋体" w:eastAsia="宋体" w:cs="宋体"/>
          <w:spacing w:val="-4"/>
          <w:sz w:val="24"/>
          <w:szCs w:val="24"/>
        </w:rPr>
        <w:t>井氟化物超标，氨氮超标原因主要是</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S5</w:t>
      </w:r>
      <w:r>
        <w:rPr>
          <w:rFonts w:ascii="Times New Roman" w:hAnsi="Times New Roman" w:eastAsia="Times New Roman" w:cs="Times New Roman"/>
          <w:sz w:val="24"/>
          <w:szCs w:val="24"/>
        </w:rPr>
        <w:t xml:space="preserve"> </w:t>
      </w:r>
      <w:r>
        <w:rPr>
          <w:rFonts w:ascii="宋体" w:hAnsi="宋体" w:eastAsia="宋体" w:cs="宋体"/>
          <w:sz w:val="24"/>
          <w:szCs w:val="24"/>
        </w:rPr>
        <w:t>井位于尾矿库下游沟谷内，周边有牧民放牧，沟谷两</w:t>
      </w:r>
      <w:r>
        <w:rPr>
          <w:rFonts w:ascii="宋体" w:hAnsi="宋体" w:eastAsia="宋体" w:cs="宋体"/>
          <w:spacing w:val="-1"/>
          <w:sz w:val="24"/>
          <w:szCs w:val="24"/>
        </w:rPr>
        <w:t>侧雨水汇集在该区域导致；氟化物超</w:t>
      </w:r>
      <w:r>
        <w:rPr>
          <w:rFonts w:ascii="宋体" w:hAnsi="宋体" w:eastAsia="宋体" w:cs="宋体"/>
          <w:sz w:val="24"/>
          <w:szCs w:val="24"/>
        </w:rPr>
        <w:t xml:space="preserve"> 标主要因为地下水在基岩山区迳流过程中，溶滤了大</w:t>
      </w:r>
      <w:r>
        <w:rPr>
          <w:rFonts w:ascii="宋体" w:hAnsi="宋体" w:eastAsia="宋体" w:cs="宋体"/>
          <w:spacing w:val="-1"/>
          <w:sz w:val="24"/>
          <w:szCs w:val="24"/>
        </w:rPr>
        <w:t>量的氟化物及其他元素，使得评价区</w:t>
      </w:r>
      <w:r>
        <w:rPr>
          <w:rFonts w:ascii="宋体" w:hAnsi="宋体" w:eastAsia="宋体" w:cs="宋体"/>
          <w:sz w:val="24"/>
          <w:szCs w:val="24"/>
        </w:rPr>
        <w:t xml:space="preserve"> 内地下水部分指标超标。对照历史监测数据，尾矿库监测井存在</w:t>
      </w:r>
      <w:r>
        <w:rPr>
          <w:rFonts w:ascii="宋体" w:hAnsi="宋体" w:eastAsia="宋体" w:cs="宋体"/>
          <w:spacing w:val="-1"/>
          <w:sz w:val="24"/>
          <w:szCs w:val="24"/>
        </w:rPr>
        <w:t>氨氮和氟化物超标现象。</w:t>
      </w:r>
    </w:p>
    <w:p w14:paraId="3867CC59">
      <w:pPr>
        <w:spacing w:line="219" w:lineRule="auto"/>
        <w:ind w:left="484"/>
        <w:rPr>
          <w:rFonts w:ascii="宋体" w:hAnsi="宋体" w:eastAsia="宋体" w:cs="宋体"/>
          <w:sz w:val="24"/>
          <w:szCs w:val="24"/>
        </w:rPr>
      </w:pPr>
      <w:r>
        <w:rPr>
          <w:rFonts w:ascii="Times New Roman" w:hAnsi="Times New Roman" w:eastAsia="Times New Roman" w:cs="Times New Roman"/>
          <w:spacing w:val="-3"/>
          <w:sz w:val="24"/>
          <w:szCs w:val="24"/>
        </w:rPr>
        <w:t>F</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、地下水质量分类指标</w:t>
      </w:r>
    </w:p>
    <w:p w14:paraId="0817A878">
      <w:pPr>
        <w:spacing w:before="183" w:line="218" w:lineRule="auto"/>
        <w:ind w:left="489"/>
        <w:rPr>
          <w:rFonts w:ascii="宋体" w:hAnsi="宋体" w:eastAsia="宋体" w:cs="宋体"/>
          <w:sz w:val="24"/>
          <w:szCs w:val="24"/>
        </w:rPr>
      </w:pPr>
      <w:r>
        <w:rPr>
          <w:rFonts w:ascii="宋体" w:hAnsi="宋体" w:eastAsia="宋体" w:cs="宋体"/>
          <w:spacing w:val="1"/>
          <w:sz w:val="24"/>
          <w:szCs w:val="24"/>
        </w:rPr>
        <w:t>根据《地下水质量标准》（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14848</w:t>
      </w:r>
      <w:r>
        <w:rPr>
          <w:rFonts w:ascii="宋体" w:hAnsi="宋体" w:eastAsia="宋体" w:cs="宋体"/>
          <w:spacing w:val="1"/>
          <w:sz w:val="24"/>
          <w:szCs w:val="24"/>
        </w:rPr>
        <w:t>－</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）分类指标，评价区地下水仅有</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S5 </w:t>
      </w:r>
      <w:r>
        <w:rPr>
          <w:rFonts w:ascii="宋体" w:hAnsi="宋体" w:eastAsia="宋体" w:cs="宋体"/>
          <w:spacing w:val="1"/>
          <w:sz w:val="24"/>
          <w:szCs w:val="24"/>
        </w:rPr>
        <w:t>井</w:t>
      </w:r>
    </w:p>
    <w:p w14:paraId="4A5A9B45">
      <w:pPr>
        <w:spacing w:before="182" w:line="219" w:lineRule="auto"/>
        <w:ind w:left="9"/>
        <w:rPr>
          <w:rFonts w:ascii="宋体" w:hAnsi="宋体" w:eastAsia="宋体" w:cs="宋体"/>
          <w:sz w:val="24"/>
          <w:szCs w:val="24"/>
        </w:rPr>
      </w:pPr>
      <w:r>
        <w:rPr>
          <w:rFonts w:ascii="宋体" w:hAnsi="宋体" w:eastAsia="宋体" w:cs="宋体"/>
          <w:spacing w:val="-1"/>
          <w:sz w:val="24"/>
          <w:szCs w:val="24"/>
        </w:rPr>
        <w:t>氨氮和</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S6 </w:t>
      </w:r>
      <w:r>
        <w:rPr>
          <w:rFonts w:ascii="宋体" w:hAnsi="宋体" w:eastAsia="宋体" w:cs="宋体"/>
          <w:spacing w:val="-1"/>
          <w:sz w:val="24"/>
          <w:szCs w:val="24"/>
        </w:rPr>
        <w:t>井氟化物超标，其他指标均为</w:t>
      </w:r>
      <w:r>
        <w:rPr>
          <w:rFonts w:ascii="Times New Roman" w:hAnsi="Times New Roman" w:eastAsia="Times New Roman" w:cs="Times New Roman"/>
          <w:spacing w:val="-1"/>
          <w:sz w:val="24"/>
          <w:szCs w:val="24"/>
        </w:rPr>
        <w:t>Ⅰ</w:t>
      </w:r>
      <w:r>
        <w:rPr>
          <w:rFonts w:ascii="Times New Roman" w:hAnsi="Times New Roman" w:eastAsia="Times New Roman" w:cs="Times New Roman"/>
          <w:spacing w:val="-2"/>
          <w:sz w:val="24"/>
          <w:szCs w:val="24"/>
        </w:rPr>
        <w:t>—Ⅲ</w:t>
      </w:r>
      <w:r>
        <w:rPr>
          <w:rFonts w:ascii="宋体" w:hAnsi="宋体" w:eastAsia="宋体" w:cs="宋体"/>
          <w:spacing w:val="-2"/>
          <w:sz w:val="24"/>
          <w:szCs w:val="24"/>
        </w:rPr>
        <w:t>类。</w:t>
      </w:r>
    </w:p>
    <w:p w14:paraId="680DB3CD">
      <w:pPr>
        <w:spacing w:line="219" w:lineRule="auto"/>
        <w:rPr>
          <w:rFonts w:ascii="宋体" w:hAnsi="宋体" w:eastAsia="宋体" w:cs="宋体"/>
          <w:sz w:val="24"/>
          <w:szCs w:val="24"/>
        </w:rPr>
        <w:sectPr>
          <w:headerReference r:id="rId185" w:type="default"/>
          <w:footerReference r:id="rId186" w:type="default"/>
          <w:pgSz w:w="11907" w:h="16840"/>
          <w:pgMar w:top="1147" w:right="954" w:bottom="1357" w:left="1418" w:header="825" w:footer="1195" w:gutter="0"/>
          <w:cols w:space="720" w:num="1"/>
        </w:sectPr>
      </w:pPr>
    </w:p>
    <w:p w14:paraId="12C796D9">
      <w:pPr>
        <w:pStyle w:val="2"/>
        <w:spacing w:line="284" w:lineRule="auto"/>
      </w:pPr>
    </w:p>
    <w:p w14:paraId="637A6ADC">
      <w:pPr>
        <w:spacing w:before="78" w:line="219" w:lineRule="auto"/>
        <w:ind w:left="515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6.3-8    2023 </w:t>
      </w:r>
      <w:r>
        <w:rPr>
          <w:rFonts w:ascii="宋体" w:hAnsi="宋体" w:eastAsia="宋体" w:cs="宋体"/>
          <w:spacing w:val="-2"/>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月地下水监测结果表</w:t>
      </w:r>
    </w:p>
    <w:p w14:paraId="27129867">
      <w:pPr>
        <w:spacing w:line="146" w:lineRule="exact"/>
      </w:pPr>
    </w:p>
    <w:tbl>
      <w:tblPr>
        <w:tblStyle w:val="5"/>
        <w:tblW w:w="14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1176"/>
        <w:gridCol w:w="764"/>
        <w:gridCol w:w="1109"/>
        <w:gridCol w:w="576"/>
        <w:gridCol w:w="1078"/>
        <w:gridCol w:w="576"/>
        <w:gridCol w:w="1078"/>
        <w:gridCol w:w="576"/>
        <w:gridCol w:w="1081"/>
        <w:gridCol w:w="577"/>
        <w:gridCol w:w="1082"/>
        <w:gridCol w:w="580"/>
        <w:gridCol w:w="1073"/>
        <w:gridCol w:w="580"/>
        <w:gridCol w:w="1081"/>
        <w:gridCol w:w="581"/>
      </w:tblGrid>
      <w:tr w14:paraId="1C5E3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0" w:type="dxa"/>
            <w:vMerge w:val="restart"/>
            <w:tcBorders>
              <w:bottom w:val="nil"/>
            </w:tcBorders>
            <w:vAlign w:val="top"/>
          </w:tcPr>
          <w:p w14:paraId="1F5B86DF">
            <w:pPr>
              <w:pStyle w:val="6"/>
              <w:spacing w:before="296" w:line="219" w:lineRule="auto"/>
              <w:ind w:left="113"/>
              <w:rPr>
                <w:sz w:val="18"/>
                <w:szCs w:val="18"/>
              </w:rPr>
            </w:pPr>
            <w:r>
              <w:rPr>
                <w:spacing w:val="-2"/>
                <w:sz w:val="18"/>
                <w:szCs w:val="18"/>
              </w:rPr>
              <w:t>检测项目</w:t>
            </w:r>
          </w:p>
        </w:tc>
        <w:tc>
          <w:tcPr>
            <w:tcW w:w="1176" w:type="dxa"/>
            <w:vMerge w:val="restart"/>
            <w:tcBorders>
              <w:bottom w:val="nil"/>
            </w:tcBorders>
            <w:vAlign w:val="top"/>
          </w:tcPr>
          <w:p w14:paraId="5CC15154">
            <w:pPr>
              <w:pStyle w:val="6"/>
              <w:spacing w:before="296" w:line="220" w:lineRule="auto"/>
              <w:ind w:left="411"/>
              <w:rPr>
                <w:sz w:val="18"/>
                <w:szCs w:val="18"/>
              </w:rPr>
            </w:pPr>
            <w:r>
              <w:rPr>
                <w:spacing w:val="-5"/>
                <w:sz w:val="18"/>
                <w:szCs w:val="18"/>
              </w:rPr>
              <w:t>单位</w:t>
            </w:r>
          </w:p>
        </w:tc>
        <w:tc>
          <w:tcPr>
            <w:tcW w:w="764" w:type="dxa"/>
            <w:vMerge w:val="restart"/>
            <w:tcBorders>
              <w:bottom w:val="nil"/>
            </w:tcBorders>
            <w:vAlign w:val="top"/>
          </w:tcPr>
          <w:p w14:paraId="54DA6511">
            <w:pPr>
              <w:pStyle w:val="6"/>
              <w:spacing w:before="296" w:line="219" w:lineRule="auto"/>
              <w:ind w:left="117"/>
              <w:rPr>
                <w:sz w:val="18"/>
                <w:szCs w:val="18"/>
              </w:rPr>
            </w:pPr>
            <w:r>
              <w:rPr>
                <w:spacing w:val="-3"/>
                <w:sz w:val="18"/>
                <w:szCs w:val="18"/>
              </w:rPr>
              <w:t>标准值</w:t>
            </w:r>
          </w:p>
        </w:tc>
        <w:tc>
          <w:tcPr>
            <w:tcW w:w="1685" w:type="dxa"/>
            <w:gridSpan w:val="2"/>
            <w:vAlign w:val="top"/>
          </w:tcPr>
          <w:p w14:paraId="0F558030">
            <w:pPr>
              <w:spacing w:before="87" w:line="188" w:lineRule="auto"/>
              <w:ind w:left="75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S1</w:t>
            </w:r>
          </w:p>
        </w:tc>
        <w:tc>
          <w:tcPr>
            <w:tcW w:w="1654" w:type="dxa"/>
            <w:gridSpan w:val="2"/>
            <w:vAlign w:val="top"/>
          </w:tcPr>
          <w:p w14:paraId="5E8D572A">
            <w:pPr>
              <w:spacing w:before="87"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S2</w:t>
            </w:r>
          </w:p>
        </w:tc>
        <w:tc>
          <w:tcPr>
            <w:tcW w:w="1654" w:type="dxa"/>
            <w:gridSpan w:val="2"/>
            <w:vAlign w:val="top"/>
          </w:tcPr>
          <w:p w14:paraId="3244D38F">
            <w:pPr>
              <w:spacing w:before="87"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S3</w:t>
            </w:r>
          </w:p>
        </w:tc>
        <w:tc>
          <w:tcPr>
            <w:tcW w:w="1658" w:type="dxa"/>
            <w:gridSpan w:val="2"/>
            <w:vAlign w:val="top"/>
          </w:tcPr>
          <w:p w14:paraId="645125D2">
            <w:pPr>
              <w:spacing w:before="87"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S4</w:t>
            </w:r>
          </w:p>
        </w:tc>
        <w:tc>
          <w:tcPr>
            <w:tcW w:w="1662" w:type="dxa"/>
            <w:gridSpan w:val="2"/>
            <w:vAlign w:val="top"/>
          </w:tcPr>
          <w:p w14:paraId="27E49F8C">
            <w:pPr>
              <w:spacing w:before="87" w:line="188" w:lineRule="auto"/>
              <w:ind w:left="74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S5</w:t>
            </w:r>
          </w:p>
        </w:tc>
        <w:tc>
          <w:tcPr>
            <w:tcW w:w="1653" w:type="dxa"/>
            <w:gridSpan w:val="2"/>
            <w:vAlign w:val="top"/>
          </w:tcPr>
          <w:p w14:paraId="6FBD37C6">
            <w:pPr>
              <w:spacing w:before="87" w:line="188" w:lineRule="auto"/>
              <w:ind w:left="7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S6</w:t>
            </w:r>
          </w:p>
        </w:tc>
        <w:tc>
          <w:tcPr>
            <w:tcW w:w="1662" w:type="dxa"/>
            <w:gridSpan w:val="2"/>
            <w:vAlign w:val="top"/>
          </w:tcPr>
          <w:p w14:paraId="7D782987">
            <w:pPr>
              <w:spacing w:before="87"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S7</w:t>
            </w:r>
          </w:p>
        </w:tc>
      </w:tr>
      <w:tr w14:paraId="6EFEF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0" w:type="dxa"/>
            <w:vMerge w:val="continue"/>
            <w:tcBorders>
              <w:top w:val="nil"/>
            </w:tcBorders>
            <w:vAlign w:val="top"/>
          </w:tcPr>
          <w:p w14:paraId="7FF4CC19">
            <w:pPr>
              <w:rPr>
                <w:rFonts w:ascii="Arial"/>
                <w:sz w:val="21"/>
              </w:rPr>
            </w:pPr>
          </w:p>
        </w:tc>
        <w:tc>
          <w:tcPr>
            <w:tcW w:w="1176" w:type="dxa"/>
            <w:vMerge w:val="continue"/>
            <w:tcBorders>
              <w:top w:val="nil"/>
            </w:tcBorders>
            <w:vAlign w:val="top"/>
          </w:tcPr>
          <w:p w14:paraId="2188562B">
            <w:pPr>
              <w:rPr>
                <w:rFonts w:ascii="Arial"/>
                <w:sz w:val="21"/>
              </w:rPr>
            </w:pPr>
          </w:p>
        </w:tc>
        <w:tc>
          <w:tcPr>
            <w:tcW w:w="764" w:type="dxa"/>
            <w:vMerge w:val="continue"/>
            <w:tcBorders>
              <w:top w:val="nil"/>
            </w:tcBorders>
            <w:vAlign w:val="top"/>
          </w:tcPr>
          <w:p w14:paraId="4B01E845">
            <w:pPr>
              <w:rPr>
                <w:rFonts w:ascii="Arial"/>
                <w:sz w:val="21"/>
              </w:rPr>
            </w:pPr>
          </w:p>
        </w:tc>
        <w:tc>
          <w:tcPr>
            <w:tcW w:w="1109" w:type="dxa"/>
            <w:vAlign w:val="top"/>
          </w:tcPr>
          <w:p w14:paraId="2D2F1CF9">
            <w:pPr>
              <w:pStyle w:val="6"/>
              <w:spacing w:before="143" w:line="219" w:lineRule="auto"/>
              <w:ind w:left="293"/>
              <w:rPr>
                <w:sz w:val="18"/>
                <w:szCs w:val="18"/>
              </w:rPr>
            </w:pPr>
            <w:r>
              <w:rPr>
                <w:spacing w:val="-4"/>
                <w:sz w:val="18"/>
                <w:szCs w:val="18"/>
              </w:rPr>
              <w:t>实测值</w:t>
            </w:r>
          </w:p>
        </w:tc>
        <w:tc>
          <w:tcPr>
            <w:tcW w:w="576" w:type="dxa"/>
            <w:vAlign w:val="top"/>
          </w:tcPr>
          <w:p w14:paraId="0B7BCA67">
            <w:pPr>
              <w:pStyle w:val="6"/>
              <w:spacing w:before="28" w:line="220" w:lineRule="auto"/>
              <w:ind w:left="114"/>
              <w:rPr>
                <w:sz w:val="18"/>
                <w:szCs w:val="18"/>
              </w:rPr>
            </w:pPr>
            <w:r>
              <w:rPr>
                <w:spacing w:val="-4"/>
                <w:sz w:val="18"/>
                <w:szCs w:val="18"/>
              </w:rPr>
              <w:t>标准</w:t>
            </w:r>
          </w:p>
          <w:p w14:paraId="750ED475">
            <w:pPr>
              <w:pStyle w:val="6"/>
              <w:spacing w:before="18" w:line="205" w:lineRule="auto"/>
              <w:ind w:left="115"/>
              <w:rPr>
                <w:sz w:val="18"/>
                <w:szCs w:val="18"/>
              </w:rPr>
            </w:pPr>
            <w:r>
              <w:rPr>
                <w:spacing w:val="-5"/>
                <w:sz w:val="18"/>
                <w:szCs w:val="18"/>
              </w:rPr>
              <w:t>指数</w:t>
            </w:r>
          </w:p>
        </w:tc>
        <w:tc>
          <w:tcPr>
            <w:tcW w:w="1078" w:type="dxa"/>
            <w:vAlign w:val="top"/>
          </w:tcPr>
          <w:p w14:paraId="786DD8DB">
            <w:pPr>
              <w:pStyle w:val="6"/>
              <w:spacing w:before="143" w:line="219" w:lineRule="auto"/>
              <w:ind w:left="278"/>
              <w:rPr>
                <w:sz w:val="18"/>
                <w:szCs w:val="18"/>
              </w:rPr>
            </w:pPr>
            <w:r>
              <w:rPr>
                <w:spacing w:val="-4"/>
                <w:sz w:val="18"/>
                <w:szCs w:val="18"/>
              </w:rPr>
              <w:t>实测值</w:t>
            </w:r>
          </w:p>
        </w:tc>
        <w:tc>
          <w:tcPr>
            <w:tcW w:w="576" w:type="dxa"/>
            <w:vAlign w:val="top"/>
          </w:tcPr>
          <w:p w14:paraId="30CFF0F8">
            <w:pPr>
              <w:pStyle w:val="6"/>
              <w:spacing w:before="28" w:line="220" w:lineRule="auto"/>
              <w:ind w:left="113"/>
              <w:rPr>
                <w:sz w:val="18"/>
                <w:szCs w:val="18"/>
              </w:rPr>
            </w:pPr>
            <w:r>
              <w:rPr>
                <w:spacing w:val="-4"/>
                <w:sz w:val="18"/>
                <w:szCs w:val="18"/>
              </w:rPr>
              <w:t>标准</w:t>
            </w:r>
          </w:p>
          <w:p w14:paraId="17B6B3D9">
            <w:pPr>
              <w:pStyle w:val="6"/>
              <w:spacing w:before="18" w:line="205" w:lineRule="auto"/>
              <w:ind w:left="115"/>
              <w:rPr>
                <w:sz w:val="18"/>
                <w:szCs w:val="18"/>
              </w:rPr>
            </w:pPr>
            <w:r>
              <w:rPr>
                <w:spacing w:val="-5"/>
                <w:sz w:val="18"/>
                <w:szCs w:val="18"/>
              </w:rPr>
              <w:t>指数</w:t>
            </w:r>
          </w:p>
        </w:tc>
        <w:tc>
          <w:tcPr>
            <w:tcW w:w="1078" w:type="dxa"/>
            <w:vAlign w:val="top"/>
          </w:tcPr>
          <w:p w14:paraId="5064BA26">
            <w:pPr>
              <w:pStyle w:val="6"/>
              <w:spacing w:before="143" w:line="219" w:lineRule="auto"/>
              <w:ind w:left="278"/>
              <w:rPr>
                <w:sz w:val="18"/>
                <w:szCs w:val="18"/>
              </w:rPr>
            </w:pPr>
            <w:r>
              <w:rPr>
                <w:spacing w:val="-4"/>
                <w:sz w:val="18"/>
                <w:szCs w:val="18"/>
              </w:rPr>
              <w:t>实测值</w:t>
            </w:r>
          </w:p>
        </w:tc>
        <w:tc>
          <w:tcPr>
            <w:tcW w:w="576" w:type="dxa"/>
            <w:vAlign w:val="top"/>
          </w:tcPr>
          <w:p w14:paraId="5F72C3F6">
            <w:pPr>
              <w:pStyle w:val="6"/>
              <w:spacing w:before="28" w:line="220" w:lineRule="auto"/>
              <w:ind w:left="113"/>
              <w:rPr>
                <w:sz w:val="18"/>
                <w:szCs w:val="18"/>
              </w:rPr>
            </w:pPr>
            <w:r>
              <w:rPr>
                <w:spacing w:val="-4"/>
                <w:sz w:val="18"/>
                <w:szCs w:val="18"/>
              </w:rPr>
              <w:t>标准</w:t>
            </w:r>
          </w:p>
          <w:p w14:paraId="24B74A5E">
            <w:pPr>
              <w:pStyle w:val="6"/>
              <w:spacing w:before="18" w:line="205" w:lineRule="auto"/>
              <w:ind w:left="114"/>
              <w:rPr>
                <w:sz w:val="18"/>
                <w:szCs w:val="18"/>
              </w:rPr>
            </w:pPr>
            <w:r>
              <w:rPr>
                <w:spacing w:val="-5"/>
                <w:sz w:val="18"/>
                <w:szCs w:val="18"/>
              </w:rPr>
              <w:t>指数</w:t>
            </w:r>
          </w:p>
        </w:tc>
        <w:tc>
          <w:tcPr>
            <w:tcW w:w="1081" w:type="dxa"/>
            <w:vAlign w:val="top"/>
          </w:tcPr>
          <w:p w14:paraId="34839155">
            <w:pPr>
              <w:pStyle w:val="6"/>
              <w:spacing w:before="143" w:line="219" w:lineRule="auto"/>
              <w:ind w:left="280"/>
              <w:rPr>
                <w:sz w:val="18"/>
                <w:szCs w:val="18"/>
              </w:rPr>
            </w:pPr>
            <w:r>
              <w:rPr>
                <w:spacing w:val="-4"/>
                <w:sz w:val="18"/>
                <w:szCs w:val="18"/>
              </w:rPr>
              <w:t>实测值</w:t>
            </w:r>
          </w:p>
        </w:tc>
        <w:tc>
          <w:tcPr>
            <w:tcW w:w="577" w:type="dxa"/>
            <w:vAlign w:val="top"/>
          </w:tcPr>
          <w:p w14:paraId="56CF4DF3">
            <w:pPr>
              <w:pStyle w:val="6"/>
              <w:spacing w:before="28" w:line="220" w:lineRule="auto"/>
              <w:ind w:left="114"/>
              <w:rPr>
                <w:sz w:val="18"/>
                <w:szCs w:val="18"/>
              </w:rPr>
            </w:pPr>
            <w:r>
              <w:rPr>
                <w:spacing w:val="-4"/>
                <w:sz w:val="18"/>
                <w:szCs w:val="18"/>
              </w:rPr>
              <w:t>标准</w:t>
            </w:r>
          </w:p>
          <w:p w14:paraId="402E8EFF">
            <w:pPr>
              <w:pStyle w:val="6"/>
              <w:spacing w:before="18" w:line="205" w:lineRule="auto"/>
              <w:ind w:left="116"/>
              <w:rPr>
                <w:sz w:val="18"/>
                <w:szCs w:val="18"/>
              </w:rPr>
            </w:pPr>
            <w:r>
              <w:rPr>
                <w:spacing w:val="-5"/>
                <w:sz w:val="18"/>
                <w:szCs w:val="18"/>
              </w:rPr>
              <w:t>指数</w:t>
            </w:r>
          </w:p>
        </w:tc>
        <w:tc>
          <w:tcPr>
            <w:tcW w:w="1082" w:type="dxa"/>
            <w:vAlign w:val="top"/>
          </w:tcPr>
          <w:p w14:paraId="58A5DFA4">
            <w:pPr>
              <w:pStyle w:val="6"/>
              <w:spacing w:before="143" w:line="219" w:lineRule="auto"/>
              <w:ind w:left="280"/>
              <w:rPr>
                <w:sz w:val="18"/>
                <w:szCs w:val="18"/>
              </w:rPr>
            </w:pPr>
            <w:r>
              <w:rPr>
                <w:spacing w:val="-4"/>
                <w:sz w:val="18"/>
                <w:szCs w:val="18"/>
              </w:rPr>
              <w:t>实测值</w:t>
            </w:r>
          </w:p>
        </w:tc>
        <w:tc>
          <w:tcPr>
            <w:tcW w:w="580" w:type="dxa"/>
            <w:vAlign w:val="top"/>
          </w:tcPr>
          <w:p w14:paraId="6BA79F41">
            <w:pPr>
              <w:pStyle w:val="6"/>
              <w:spacing w:before="28" w:line="220" w:lineRule="auto"/>
              <w:ind w:left="116"/>
              <w:rPr>
                <w:sz w:val="18"/>
                <w:szCs w:val="18"/>
              </w:rPr>
            </w:pPr>
            <w:r>
              <w:rPr>
                <w:spacing w:val="-4"/>
                <w:sz w:val="18"/>
                <w:szCs w:val="18"/>
              </w:rPr>
              <w:t>标准</w:t>
            </w:r>
          </w:p>
          <w:p w14:paraId="42244B62">
            <w:pPr>
              <w:pStyle w:val="6"/>
              <w:spacing w:before="18" w:line="205" w:lineRule="auto"/>
              <w:ind w:left="117"/>
              <w:rPr>
                <w:sz w:val="18"/>
                <w:szCs w:val="18"/>
              </w:rPr>
            </w:pPr>
            <w:r>
              <w:rPr>
                <w:spacing w:val="-5"/>
                <w:sz w:val="18"/>
                <w:szCs w:val="18"/>
              </w:rPr>
              <w:t>指数</w:t>
            </w:r>
          </w:p>
        </w:tc>
        <w:tc>
          <w:tcPr>
            <w:tcW w:w="1073" w:type="dxa"/>
            <w:vAlign w:val="top"/>
          </w:tcPr>
          <w:p w14:paraId="3808A7DA">
            <w:pPr>
              <w:pStyle w:val="6"/>
              <w:spacing w:before="143" w:line="219" w:lineRule="auto"/>
              <w:ind w:left="276"/>
              <w:rPr>
                <w:sz w:val="18"/>
                <w:szCs w:val="18"/>
              </w:rPr>
            </w:pPr>
            <w:r>
              <w:rPr>
                <w:spacing w:val="-4"/>
                <w:sz w:val="18"/>
                <w:szCs w:val="18"/>
              </w:rPr>
              <w:t>实测值</w:t>
            </w:r>
          </w:p>
        </w:tc>
        <w:tc>
          <w:tcPr>
            <w:tcW w:w="580" w:type="dxa"/>
            <w:vAlign w:val="top"/>
          </w:tcPr>
          <w:p w14:paraId="5F89947D">
            <w:pPr>
              <w:pStyle w:val="6"/>
              <w:spacing w:before="28" w:line="220" w:lineRule="auto"/>
              <w:ind w:left="117"/>
              <w:rPr>
                <w:sz w:val="18"/>
                <w:szCs w:val="18"/>
              </w:rPr>
            </w:pPr>
            <w:r>
              <w:rPr>
                <w:spacing w:val="-4"/>
                <w:sz w:val="18"/>
                <w:szCs w:val="18"/>
              </w:rPr>
              <w:t>标准</w:t>
            </w:r>
          </w:p>
          <w:p w14:paraId="22B5FB46">
            <w:pPr>
              <w:pStyle w:val="6"/>
              <w:spacing w:before="18" w:line="205" w:lineRule="auto"/>
              <w:ind w:left="118"/>
              <w:rPr>
                <w:sz w:val="18"/>
                <w:szCs w:val="18"/>
              </w:rPr>
            </w:pPr>
            <w:r>
              <w:rPr>
                <w:spacing w:val="-5"/>
                <w:sz w:val="18"/>
                <w:szCs w:val="18"/>
              </w:rPr>
              <w:t>指数</w:t>
            </w:r>
          </w:p>
        </w:tc>
        <w:tc>
          <w:tcPr>
            <w:tcW w:w="1081" w:type="dxa"/>
            <w:vAlign w:val="top"/>
          </w:tcPr>
          <w:p w14:paraId="2008F3DE">
            <w:pPr>
              <w:pStyle w:val="6"/>
              <w:spacing w:before="143" w:line="219" w:lineRule="auto"/>
              <w:ind w:left="279"/>
              <w:rPr>
                <w:sz w:val="18"/>
                <w:szCs w:val="18"/>
              </w:rPr>
            </w:pPr>
            <w:r>
              <w:rPr>
                <w:spacing w:val="-4"/>
                <w:sz w:val="18"/>
                <w:szCs w:val="18"/>
              </w:rPr>
              <w:t>实测值</w:t>
            </w:r>
          </w:p>
        </w:tc>
        <w:tc>
          <w:tcPr>
            <w:tcW w:w="581" w:type="dxa"/>
            <w:vAlign w:val="top"/>
          </w:tcPr>
          <w:p w14:paraId="6A8C1E13">
            <w:pPr>
              <w:pStyle w:val="6"/>
              <w:spacing w:before="28" w:line="220" w:lineRule="auto"/>
              <w:ind w:left="114"/>
              <w:rPr>
                <w:sz w:val="18"/>
                <w:szCs w:val="18"/>
              </w:rPr>
            </w:pPr>
            <w:r>
              <w:rPr>
                <w:spacing w:val="-4"/>
                <w:sz w:val="18"/>
                <w:szCs w:val="18"/>
              </w:rPr>
              <w:t>标准</w:t>
            </w:r>
          </w:p>
          <w:p w14:paraId="6A767F5F">
            <w:pPr>
              <w:pStyle w:val="6"/>
              <w:spacing w:before="18" w:line="205" w:lineRule="auto"/>
              <w:ind w:left="115"/>
              <w:rPr>
                <w:sz w:val="18"/>
                <w:szCs w:val="18"/>
              </w:rPr>
            </w:pPr>
            <w:r>
              <w:rPr>
                <w:spacing w:val="-5"/>
                <w:sz w:val="18"/>
                <w:szCs w:val="18"/>
              </w:rPr>
              <w:t>指数</w:t>
            </w:r>
          </w:p>
        </w:tc>
      </w:tr>
      <w:tr w14:paraId="6F696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103EF808">
            <w:pPr>
              <w:spacing w:before="87" w:line="185" w:lineRule="auto"/>
              <w:ind w:left="358"/>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1176" w:type="dxa"/>
            <w:vAlign w:val="top"/>
          </w:tcPr>
          <w:p w14:paraId="7EE6DB0B">
            <w:pPr>
              <w:pStyle w:val="6"/>
              <w:spacing w:before="56" w:line="220" w:lineRule="auto"/>
              <w:ind w:left="322"/>
              <w:rPr>
                <w:sz w:val="18"/>
                <w:szCs w:val="18"/>
              </w:rPr>
            </w:pPr>
            <w:r>
              <w:rPr>
                <w:spacing w:val="-3"/>
                <w:sz w:val="18"/>
                <w:szCs w:val="18"/>
              </w:rPr>
              <w:t>无量纲</w:t>
            </w:r>
          </w:p>
        </w:tc>
        <w:tc>
          <w:tcPr>
            <w:tcW w:w="764" w:type="dxa"/>
            <w:vAlign w:val="top"/>
          </w:tcPr>
          <w:p w14:paraId="035F72DE">
            <w:pPr>
              <w:spacing w:before="84" w:line="188"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6.5~8.5</w:t>
            </w:r>
          </w:p>
        </w:tc>
        <w:tc>
          <w:tcPr>
            <w:tcW w:w="1109" w:type="dxa"/>
            <w:vAlign w:val="top"/>
          </w:tcPr>
          <w:p w14:paraId="4AFDC7E0">
            <w:pPr>
              <w:spacing w:before="84"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7.72</w:t>
            </w:r>
          </w:p>
        </w:tc>
        <w:tc>
          <w:tcPr>
            <w:tcW w:w="576" w:type="dxa"/>
            <w:vAlign w:val="top"/>
          </w:tcPr>
          <w:p w14:paraId="2D503152">
            <w:pPr>
              <w:pStyle w:val="6"/>
              <w:spacing w:before="55" w:line="233" w:lineRule="auto"/>
              <w:ind w:left="114"/>
              <w:rPr>
                <w:sz w:val="18"/>
                <w:szCs w:val="18"/>
              </w:rPr>
            </w:pPr>
            <w:r>
              <w:rPr>
                <w:spacing w:val="-2"/>
                <w:sz w:val="18"/>
                <w:szCs w:val="18"/>
              </w:rPr>
              <w:t>0.48</w:t>
            </w:r>
          </w:p>
        </w:tc>
        <w:tc>
          <w:tcPr>
            <w:tcW w:w="1078" w:type="dxa"/>
            <w:vAlign w:val="top"/>
          </w:tcPr>
          <w:p w14:paraId="6836BBD0">
            <w:pPr>
              <w:spacing w:before="84" w:line="188"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7.69</w:t>
            </w:r>
          </w:p>
        </w:tc>
        <w:tc>
          <w:tcPr>
            <w:tcW w:w="576" w:type="dxa"/>
            <w:vAlign w:val="top"/>
          </w:tcPr>
          <w:p w14:paraId="72016B1F">
            <w:pPr>
              <w:pStyle w:val="6"/>
              <w:spacing w:before="55" w:line="233" w:lineRule="auto"/>
              <w:ind w:left="114"/>
              <w:rPr>
                <w:sz w:val="18"/>
                <w:szCs w:val="18"/>
              </w:rPr>
            </w:pPr>
            <w:r>
              <w:rPr>
                <w:spacing w:val="-2"/>
                <w:sz w:val="18"/>
                <w:szCs w:val="18"/>
              </w:rPr>
              <w:t>0.46</w:t>
            </w:r>
          </w:p>
        </w:tc>
        <w:tc>
          <w:tcPr>
            <w:tcW w:w="1078" w:type="dxa"/>
            <w:vAlign w:val="top"/>
          </w:tcPr>
          <w:p w14:paraId="4BB03000">
            <w:pPr>
              <w:spacing w:before="84" w:line="188"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7.66</w:t>
            </w:r>
          </w:p>
        </w:tc>
        <w:tc>
          <w:tcPr>
            <w:tcW w:w="576" w:type="dxa"/>
            <w:vAlign w:val="top"/>
          </w:tcPr>
          <w:p w14:paraId="3F7E265D">
            <w:pPr>
              <w:pStyle w:val="6"/>
              <w:spacing w:before="55" w:line="233" w:lineRule="auto"/>
              <w:ind w:left="114"/>
              <w:rPr>
                <w:sz w:val="18"/>
                <w:szCs w:val="18"/>
              </w:rPr>
            </w:pPr>
            <w:r>
              <w:rPr>
                <w:spacing w:val="-2"/>
                <w:sz w:val="18"/>
                <w:szCs w:val="18"/>
              </w:rPr>
              <w:t>0.44</w:t>
            </w:r>
          </w:p>
        </w:tc>
        <w:tc>
          <w:tcPr>
            <w:tcW w:w="1081" w:type="dxa"/>
            <w:vAlign w:val="top"/>
          </w:tcPr>
          <w:p w14:paraId="31019AB0">
            <w:pPr>
              <w:spacing w:before="84"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7.61</w:t>
            </w:r>
          </w:p>
        </w:tc>
        <w:tc>
          <w:tcPr>
            <w:tcW w:w="577" w:type="dxa"/>
            <w:vAlign w:val="top"/>
          </w:tcPr>
          <w:p w14:paraId="5817C630">
            <w:pPr>
              <w:pStyle w:val="6"/>
              <w:spacing w:before="55" w:line="233" w:lineRule="auto"/>
              <w:ind w:left="115"/>
              <w:rPr>
                <w:sz w:val="18"/>
                <w:szCs w:val="18"/>
              </w:rPr>
            </w:pPr>
            <w:r>
              <w:rPr>
                <w:spacing w:val="-2"/>
                <w:sz w:val="18"/>
                <w:szCs w:val="18"/>
              </w:rPr>
              <w:t>0.41</w:t>
            </w:r>
          </w:p>
        </w:tc>
        <w:tc>
          <w:tcPr>
            <w:tcW w:w="1082" w:type="dxa"/>
            <w:vAlign w:val="top"/>
          </w:tcPr>
          <w:p w14:paraId="26A23507">
            <w:pPr>
              <w:spacing w:before="84"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7.66</w:t>
            </w:r>
          </w:p>
        </w:tc>
        <w:tc>
          <w:tcPr>
            <w:tcW w:w="580" w:type="dxa"/>
            <w:vAlign w:val="top"/>
          </w:tcPr>
          <w:p w14:paraId="253A5A98">
            <w:pPr>
              <w:pStyle w:val="6"/>
              <w:spacing w:before="55" w:line="233" w:lineRule="auto"/>
              <w:ind w:left="117"/>
              <w:rPr>
                <w:sz w:val="18"/>
                <w:szCs w:val="18"/>
              </w:rPr>
            </w:pPr>
            <w:r>
              <w:rPr>
                <w:spacing w:val="-2"/>
                <w:sz w:val="18"/>
                <w:szCs w:val="18"/>
              </w:rPr>
              <w:t>0.44</w:t>
            </w:r>
          </w:p>
        </w:tc>
        <w:tc>
          <w:tcPr>
            <w:tcW w:w="1073" w:type="dxa"/>
            <w:vAlign w:val="top"/>
          </w:tcPr>
          <w:p w14:paraId="276500F8">
            <w:pPr>
              <w:spacing w:before="84" w:line="188"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7.69</w:t>
            </w:r>
          </w:p>
        </w:tc>
        <w:tc>
          <w:tcPr>
            <w:tcW w:w="580" w:type="dxa"/>
            <w:vAlign w:val="top"/>
          </w:tcPr>
          <w:p w14:paraId="46B84CA2">
            <w:pPr>
              <w:pStyle w:val="6"/>
              <w:spacing w:before="55" w:line="233" w:lineRule="auto"/>
              <w:ind w:left="117"/>
              <w:rPr>
                <w:sz w:val="18"/>
                <w:szCs w:val="18"/>
              </w:rPr>
            </w:pPr>
            <w:r>
              <w:rPr>
                <w:spacing w:val="-2"/>
                <w:sz w:val="18"/>
                <w:szCs w:val="18"/>
              </w:rPr>
              <w:t>0.46</w:t>
            </w:r>
          </w:p>
        </w:tc>
        <w:tc>
          <w:tcPr>
            <w:tcW w:w="1081" w:type="dxa"/>
            <w:vAlign w:val="top"/>
          </w:tcPr>
          <w:p w14:paraId="78A57664">
            <w:pPr>
              <w:spacing w:before="84"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7.59</w:t>
            </w:r>
          </w:p>
        </w:tc>
        <w:tc>
          <w:tcPr>
            <w:tcW w:w="581" w:type="dxa"/>
            <w:vAlign w:val="top"/>
          </w:tcPr>
          <w:p w14:paraId="5821CC36">
            <w:pPr>
              <w:pStyle w:val="6"/>
              <w:spacing w:before="55" w:line="233" w:lineRule="auto"/>
              <w:ind w:left="115"/>
              <w:rPr>
                <w:sz w:val="18"/>
                <w:szCs w:val="18"/>
              </w:rPr>
            </w:pPr>
            <w:r>
              <w:rPr>
                <w:spacing w:val="-2"/>
                <w:sz w:val="18"/>
                <w:szCs w:val="18"/>
              </w:rPr>
              <w:t>0.39</w:t>
            </w:r>
          </w:p>
        </w:tc>
      </w:tr>
      <w:tr w14:paraId="03C44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18942624">
            <w:pPr>
              <w:pStyle w:val="6"/>
              <w:spacing w:before="55" w:line="220" w:lineRule="auto"/>
              <w:ind w:left="209"/>
              <w:rPr>
                <w:sz w:val="18"/>
                <w:szCs w:val="18"/>
              </w:rPr>
            </w:pPr>
            <w:r>
              <w:rPr>
                <w:spacing w:val="-4"/>
                <w:sz w:val="18"/>
                <w:szCs w:val="18"/>
              </w:rPr>
              <w:t>总硬度</w:t>
            </w:r>
          </w:p>
        </w:tc>
        <w:tc>
          <w:tcPr>
            <w:tcW w:w="1176" w:type="dxa"/>
            <w:vAlign w:val="top"/>
          </w:tcPr>
          <w:p w14:paraId="2A694D64">
            <w:pPr>
              <w:spacing w:before="81"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47496D03">
            <w:pPr>
              <w:pStyle w:val="6"/>
              <w:spacing w:before="55" w:line="233" w:lineRule="auto"/>
              <w:ind w:left="172"/>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450</w:t>
            </w:r>
          </w:p>
        </w:tc>
        <w:tc>
          <w:tcPr>
            <w:tcW w:w="1109" w:type="dxa"/>
            <w:vAlign w:val="top"/>
          </w:tcPr>
          <w:p w14:paraId="6C952FDD">
            <w:pPr>
              <w:spacing w:before="84" w:line="188"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392</w:t>
            </w:r>
          </w:p>
        </w:tc>
        <w:tc>
          <w:tcPr>
            <w:tcW w:w="576" w:type="dxa"/>
            <w:vAlign w:val="top"/>
          </w:tcPr>
          <w:p w14:paraId="583B1F37">
            <w:pPr>
              <w:pStyle w:val="6"/>
              <w:spacing w:before="55" w:line="233" w:lineRule="auto"/>
              <w:ind w:left="114"/>
              <w:rPr>
                <w:sz w:val="18"/>
                <w:szCs w:val="18"/>
              </w:rPr>
            </w:pPr>
            <w:r>
              <w:rPr>
                <w:spacing w:val="-2"/>
                <w:sz w:val="18"/>
                <w:szCs w:val="18"/>
              </w:rPr>
              <w:t>0.87</w:t>
            </w:r>
          </w:p>
        </w:tc>
        <w:tc>
          <w:tcPr>
            <w:tcW w:w="1078" w:type="dxa"/>
            <w:vAlign w:val="top"/>
          </w:tcPr>
          <w:p w14:paraId="0AA70ABB">
            <w:pPr>
              <w:spacing w:before="84" w:line="188" w:lineRule="auto"/>
              <w:ind w:left="4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426</w:t>
            </w:r>
          </w:p>
        </w:tc>
        <w:tc>
          <w:tcPr>
            <w:tcW w:w="576" w:type="dxa"/>
            <w:vAlign w:val="top"/>
          </w:tcPr>
          <w:p w14:paraId="0A80EE07">
            <w:pPr>
              <w:pStyle w:val="6"/>
              <w:spacing w:before="55" w:line="233" w:lineRule="auto"/>
              <w:ind w:left="114"/>
              <w:rPr>
                <w:sz w:val="18"/>
                <w:szCs w:val="18"/>
              </w:rPr>
            </w:pPr>
            <w:r>
              <w:rPr>
                <w:spacing w:val="-2"/>
                <w:sz w:val="18"/>
                <w:szCs w:val="18"/>
              </w:rPr>
              <w:t>0.95</w:t>
            </w:r>
          </w:p>
        </w:tc>
        <w:tc>
          <w:tcPr>
            <w:tcW w:w="1078" w:type="dxa"/>
            <w:vAlign w:val="top"/>
          </w:tcPr>
          <w:p w14:paraId="5CA067C3">
            <w:pPr>
              <w:spacing w:before="84" w:line="188" w:lineRule="auto"/>
              <w:ind w:left="4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405</w:t>
            </w:r>
          </w:p>
        </w:tc>
        <w:tc>
          <w:tcPr>
            <w:tcW w:w="576" w:type="dxa"/>
            <w:vAlign w:val="top"/>
          </w:tcPr>
          <w:p w14:paraId="41E1862E">
            <w:pPr>
              <w:pStyle w:val="6"/>
              <w:spacing w:before="55" w:line="233" w:lineRule="auto"/>
              <w:ind w:left="114"/>
              <w:rPr>
                <w:sz w:val="18"/>
                <w:szCs w:val="18"/>
              </w:rPr>
            </w:pPr>
            <w:r>
              <w:rPr>
                <w:spacing w:val="-2"/>
                <w:sz w:val="18"/>
                <w:szCs w:val="18"/>
              </w:rPr>
              <w:t>0.90</w:t>
            </w:r>
          </w:p>
        </w:tc>
        <w:tc>
          <w:tcPr>
            <w:tcW w:w="1081" w:type="dxa"/>
            <w:vAlign w:val="top"/>
          </w:tcPr>
          <w:p w14:paraId="17E0160D">
            <w:pPr>
              <w:spacing w:before="84" w:line="188" w:lineRule="auto"/>
              <w:ind w:left="41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397</w:t>
            </w:r>
          </w:p>
        </w:tc>
        <w:tc>
          <w:tcPr>
            <w:tcW w:w="577" w:type="dxa"/>
            <w:vAlign w:val="top"/>
          </w:tcPr>
          <w:p w14:paraId="1F0E94C4">
            <w:pPr>
              <w:pStyle w:val="6"/>
              <w:spacing w:before="55" w:line="233" w:lineRule="auto"/>
              <w:ind w:left="115"/>
              <w:rPr>
                <w:sz w:val="18"/>
                <w:szCs w:val="18"/>
              </w:rPr>
            </w:pPr>
            <w:r>
              <w:rPr>
                <w:spacing w:val="-2"/>
                <w:sz w:val="18"/>
                <w:szCs w:val="18"/>
              </w:rPr>
              <w:t>0.88</w:t>
            </w:r>
          </w:p>
        </w:tc>
        <w:tc>
          <w:tcPr>
            <w:tcW w:w="1082" w:type="dxa"/>
            <w:vAlign w:val="top"/>
          </w:tcPr>
          <w:p w14:paraId="3AD9D56C">
            <w:pPr>
              <w:spacing w:before="84" w:line="188" w:lineRule="auto"/>
              <w:ind w:left="4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284</w:t>
            </w:r>
          </w:p>
        </w:tc>
        <w:tc>
          <w:tcPr>
            <w:tcW w:w="580" w:type="dxa"/>
            <w:vAlign w:val="top"/>
          </w:tcPr>
          <w:p w14:paraId="03038971">
            <w:pPr>
              <w:pStyle w:val="6"/>
              <w:spacing w:before="55" w:line="233" w:lineRule="auto"/>
              <w:ind w:left="117"/>
              <w:rPr>
                <w:sz w:val="18"/>
                <w:szCs w:val="18"/>
              </w:rPr>
            </w:pPr>
            <w:r>
              <w:rPr>
                <w:spacing w:val="-2"/>
                <w:sz w:val="18"/>
                <w:szCs w:val="18"/>
              </w:rPr>
              <w:t>0.63</w:t>
            </w:r>
          </w:p>
        </w:tc>
        <w:tc>
          <w:tcPr>
            <w:tcW w:w="1073" w:type="dxa"/>
            <w:vAlign w:val="top"/>
          </w:tcPr>
          <w:p w14:paraId="7150F094">
            <w:pPr>
              <w:spacing w:before="84" w:line="188" w:lineRule="auto"/>
              <w:ind w:left="4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372</w:t>
            </w:r>
          </w:p>
        </w:tc>
        <w:tc>
          <w:tcPr>
            <w:tcW w:w="580" w:type="dxa"/>
            <w:vAlign w:val="top"/>
          </w:tcPr>
          <w:p w14:paraId="552003B3">
            <w:pPr>
              <w:pStyle w:val="6"/>
              <w:spacing w:before="55" w:line="233" w:lineRule="auto"/>
              <w:ind w:left="117"/>
              <w:rPr>
                <w:sz w:val="18"/>
                <w:szCs w:val="18"/>
              </w:rPr>
            </w:pPr>
            <w:r>
              <w:rPr>
                <w:spacing w:val="-2"/>
                <w:sz w:val="18"/>
                <w:szCs w:val="18"/>
              </w:rPr>
              <w:t>0.83</w:t>
            </w:r>
          </w:p>
        </w:tc>
        <w:tc>
          <w:tcPr>
            <w:tcW w:w="1081" w:type="dxa"/>
            <w:vAlign w:val="top"/>
          </w:tcPr>
          <w:p w14:paraId="15EF086A">
            <w:pPr>
              <w:spacing w:before="84" w:line="188"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421</w:t>
            </w:r>
          </w:p>
        </w:tc>
        <w:tc>
          <w:tcPr>
            <w:tcW w:w="581" w:type="dxa"/>
            <w:vAlign w:val="top"/>
          </w:tcPr>
          <w:p w14:paraId="2D903108">
            <w:pPr>
              <w:pStyle w:val="6"/>
              <w:spacing w:before="55" w:line="233" w:lineRule="auto"/>
              <w:ind w:left="115"/>
              <w:rPr>
                <w:sz w:val="18"/>
                <w:szCs w:val="18"/>
              </w:rPr>
            </w:pPr>
            <w:r>
              <w:rPr>
                <w:spacing w:val="-2"/>
                <w:sz w:val="18"/>
                <w:szCs w:val="18"/>
              </w:rPr>
              <w:t>0.94</w:t>
            </w:r>
          </w:p>
        </w:tc>
      </w:tr>
      <w:tr w14:paraId="49A1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40" w:type="dxa"/>
            <w:vAlign w:val="top"/>
          </w:tcPr>
          <w:p w14:paraId="2BB2CF1D">
            <w:pPr>
              <w:pStyle w:val="6"/>
              <w:spacing w:before="81" w:line="220" w:lineRule="auto"/>
              <w:ind w:left="115"/>
              <w:rPr>
                <w:sz w:val="18"/>
                <w:szCs w:val="18"/>
              </w:rPr>
            </w:pPr>
            <w:r>
              <w:rPr>
                <w:spacing w:val="-3"/>
                <w:sz w:val="18"/>
                <w:szCs w:val="18"/>
              </w:rPr>
              <w:t>溶解性总</w:t>
            </w:r>
          </w:p>
          <w:p w14:paraId="4906A2B5">
            <w:pPr>
              <w:pStyle w:val="6"/>
              <w:spacing w:before="18" w:line="220" w:lineRule="auto"/>
              <w:ind w:left="309"/>
              <w:rPr>
                <w:sz w:val="18"/>
                <w:szCs w:val="18"/>
              </w:rPr>
            </w:pPr>
            <w:r>
              <w:rPr>
                <w:spacing w:val="-12"/>
                <w:sz w:val="18"/>
                <w:szCs w:val="18"/>
              </w:rPr>
              <w:t>固体</w:t>
            </w:r>
          </w:p>
        </w:tc>
        <w:tc>
          <w:tcPr>
            <w:tcW w:w="1176" w:type="dxa"/>
            <w:vAlign w:val="top"/>
          </w:tcPr>
          <w:p w14:paraId="72E2F794">
            <w:pPr>
              <w:spacing w:before="227"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0D19C132">
            <w:pPr>
              <w:pStyle w:val="6"/>
              <w:spacing w:before="199" w:line="236" w:lineRule="auto"/>
              <w:ind w:left="129"/>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1000</w:t>
            </w:r>
          </w:p>
        </w:tc>
        <w:tc>
          <w:tcPr>
            <w:tcW w:w="1109" w:type="dxa"/>
            <w:vAlign w:val="top"/>
          </w:tcPr>
          <w:p w14:paraId="6BF78F14">
            <w:pPr>
              <w:spacing w:before="230" w:line="188" w:lineRule="auto"/>
              <w:ind w:left="42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637</w:t>
            </w:r>
          </w:p>
        </w:tc>
        <w:tc>
          <w:tcPr>
            <w:tcW w:w="576" w:type="dxa"/>
            <w:vAlign w:val="top"/>
          </w:tcPr>
          <w:p w14:paraId="3C99B439">
            <w:pPr>
              <w:pStyle w:val="6"/>
              <w:spacing w:before="198" w:line="239" w:lineRule="auto"/>
              <w:ind w:left="114"/>
              <w:rPr>
                <w:sz w:val="18"/>
                <w:szCs w:val="18"/>
              </w:rPr>
            </w:pPr>
            <w:r>
              <w:rPr>
                <w:spacing w:val="-2"/>
                <w:sz w:val="18"/>
                <w:szCs w:val="18"/>
              </w:rPr>
              <w:t>0.64</w:t>
            </w:r>
          </w:p>
        </w:tc>
        <w:tc>
          <w:tcPr>
            <w:tcW w:w="1078" w:type="dxa"/>
            <w:vAlign w:val="top"/>
          </w:tcPr>
          <w:p w14:paraId="58A5ACA8">
            <w:pPr>
              <w:spacing w:before="230" w:line="188" w:lineRule="auto"/>
              <w:ind w:left="40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699</w:t>
            </w:r>
          </w:p>
        </w:tc>
        <w:tc>
          <w:tcPr>
            <w:tcW w:w="576" w:type="dxa"/>
            <w:vAlign w:val="top"/>
          </w:tcPr>
          <w:p w14:paraId="00C18195">
            <w:pPr>
              <w:pStyle w:val="6"/>
              <w:spacing w:before="198" w:line="239" w:lineRule="auto"/>
              <w:ind w:left="114"/>
              <w:rPr>
                <w:sz w:val="18"/>
                <w:szCs w:val="18"/>
              </w:rPr>
            </w:pPr>
            <w:r>
              <w:rPr>
                <w:spacing w:val="-2"/>
                <w:sz w:val="18"/>
                <w:szCs w:val="18"/>
              </w:rPr>
              <w:t>0.70</w:t>
            </w:r>
          </w:p>
        </w:tc>
        <w:tc>
          <w:tcPr>
            <w:tcW w:w="1078" w:type="dxa"/>
            <w:vAlign w:val="top"/>
          </w:tcPr>
          <w:p w14:paraId="2DB7A374">
            <w:pPr>
              <w:spacing w:before="230" w:line="188"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642</w:t>
            </w:r>
          </w:p>
        </w:tc>
        <w:tc>
          <w:tcPr>
            <w:tcW w:w="576" w:type="dxa"/>
            <w:vAlign w:val="top"/>
          </w:tcPr>
          <w:p w14:paraId="687AB8C7">
            <w:pPr>
              <w:pStyle w:val="6"/>
              <w:spacing w:before="198" w:line="239" w:lineRule="auto"/>
              <w:ind w:left="114"/>
              <w:rPr>
                <w:sz w:val="18"/>
                <w:szCs w:val="18"/>
              </w:rPr>
            </w:pPr>
            <w:r>
              <w:rPr>
                <w:spacing w:val="-2"/>
                <w:sz w:val="18"/>
                <w:szCs w:val="18"/>
              </w:rPr>
              <w:t>0.64</w:t>
            </w:r>
          </w:p>
        </w:tc>
        <w:tc>
          <w:tcPr>
            <w:tcW w:w="1081" w:type="dxa"/>
            <w:vAlign w:val="top"/>
          </w:tcPr>
          <w:p w14:paraId="0F9D83FD">
            <w:pPr>
              <w:spacing w:before="230" w:line="188" w:lineRule="auto"/>
              <w:ind w:left="41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622</w:t>
            </w:r>
          </w:p>
        </w:tc>
        <w:tc>
          <w:tcPr>
            <w:tcW w:w="577" w:type="dxa"/>
            <w:vAlign w:val="top"/>
          </w:tcPr>
          <w:p w14:paraId="60E45122">
            <w:pPr>
              <w:pStyle w:val="6"/>
              <w:spacing w:before="198" w:line="239" w:lineRule="auto"/>
              <w:ind w:left="115"/>
              <w:rPr>
                <w:sz w:val="18"/>
                <w:szCs w:val="18"/>
              </w:rPr>
            </w:pPr>
            <w:r>
              <w:rPr>
                <w:spacing w:val="-2"/>
                <w:sz w:val="18"/>
                <w:szCs w:val="18"/>
              </w:rPr>
              <w:t>0.62</w:t>
            </w:r>
          </w:p>
        </w:tc>
        <w:tc>
          <w:tcPr>
            <w:tcW w:w="1082" w:type="dxa"/>
            <w:vAlign w:val="top"/>
          </w:tcPr>
          <w:p w14:paraId="32BB05E2">
            <w:pPr>
              <w:spacing w:before="230" w:line="188" w:lineRule="auto"/>
              <w:ind w:left="4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510</w:t>
            </w:r>
          </w:p>
        </w:tc>
        <w:tc>
          <w:tcPr>
            <w:tcW w:w="580" w:type="dxa"/>
            <w:vAlign w:val="top"/>
          </w:tcPr>
          <w:p w14:paraId="3206F027">
            <w:pPr>
              <w:pStyle w:val="6"/>
              <w:spacing w:before="198" w:line="239" w:lineRule="auto"/>
              <w:ind w:left="117"/>
              <w:rPr>
                <w:sz w:val="18"/>
                <w:szCs w:val="18"/>
              </w:rPr>
            </w:pPr>
            <w:r>
              <w:rPr>
                <w:spacing w:val="-2"/>
                <w:sz w:val="18"/>
                <w:szCs w:val="18"/>
              </w:rPr>
              <w:t>0.51</w:t>
            </w:r>
          </w:p>
        </w:tc>
        <w:tc>
          <w:tcPr>
            <w:tcW w:w="1073" w:type="dxa"/>
            <w:vAlign w:val="top"/>
          </w:tcPr>
          <w:p w14:paraId="3CBA1806">
            <w:pPr>
              <w:spacing w:before="230" w:line="188" w:lineRule="auto"/>
              <w:ind w:left="40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642</w:t>
            </w:r>
          </w:p>
        </w:tc>
        <w:tc>
          <w:tcPr>
            <w:tcW w:w="580" w:type="dxa"/>
            <w:vAlign w:val="top"/>
          </w:tcPr>
          <w:p w14:paraId="6FB9FDC6">
            <w:pPr>
              <w:pStyle w:val="6"/>
              <w:spacing w:before="198" w:line="239" w:lineRule="auto"/>
              <w:ind w:left="117"/>
              <w:rPr>
                <w:sz w:val="18"/>
                <w:szCs w:val="18"/>
              </w:rPr>
            </w:pPr>
            <w:r>
              <w:rPr>
                <w:spacing w:val="-2"/>
                <w:sz w:val="18"/>
                <w:szCs w:val="18"/>
              </w:rPr>
              <w:t>0.64</w:t>
            </w:r>
          </w:p>
        </w:tc>
        <w:tc>
          <w:tcPr>
            <w:tcW w:w="1081" w:type="dxa"/>
            <w:vAlign w:val="top"/>
          </w:tcPr>
          <w:p w14:paraId="4EEBB144">
            <w:pPr>
              <w:spacing w:before="230" w:line="188" w:lineRule="auto"/>
              <w:ind w:left="4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652</w:t>
            </w:r>
          </w:p>
        </w:tc>
        <w:tc>
          <w:tcPr>
            <w:tcW w:w="581" w:type="dxa"/>
            <w:vAlign w:val="top"/>
          </w:tcPr>
          <w:p w14:paraId="5138BBCE">
            <w:pPr>
              <w:pStyle w:val="6"/>
              <w:spacing w:before="198" w:line="239" w:lineRule="auto"/>
              <w:ind w:left="115"/>
              <w:rPr>
                <w:sz w:val="18"/>
                <w:szCs w:val="18"/>
              </w:rPr>
            </w:pPr>
            <w:r>
              <w:rPr>
                <w:spacing w:val="-2"/>
                <w:sz w:val="18"/>
                <w:szCs w:val="18"/>
              </w:rPr>
              <w:t>0.65</w:t>
            </w:r>
          </w:p>
        </w:tc>
      </w:tr>
      <w:tr w14:paraId="1C559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6FE164E4">
            <w:pPr>
              <w:pStyle w:val="6"/>
              <w:spacing w:before="55" w:line="221" w:lineRule="auto"/>
              <w:ind w:left="384"/>
              <w:rPr>
                <w:sz w:val="18"/>
                <w:szCs w:val="18"/>
              </w:rPr>
            </w:pPr>
            <w:r>
              <w:rPr>
                <w:sz w:val="18"/>
                <w:szCs w:val="18"/>
              </w:rPr>
              <w:t>铁</w:t>
            </w:r>
          </w:p>
        </w:tc>
        <w:tc>
          <w:tcPr>
            <w:tcW w:w="1176" w:type="dxa"/>
            <w:vAlign w:val="top"/>
          </w:tcPr>
          <w:p w14:paraId="188D050F">
            <w:pPr>
              <w:spacing w:before="83"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0CD6EA07">
            <w:pPr>
              <w:pStyle w:val="6"/>
              <w:spacing w:before="55" w:line="233"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0.3</w:t>
            </w:r>
          </w:p>
        </w:tc>
        <w:tc>
          <w:tcPr>
            <w:tcW w:w="1109" w:type="dxa"/>
            <w:vAlign w:val="top"/>
          </w:tcPr>
          <w:p w14:paraId="2C211652">
            <w:pPr>
              <w:spacing w:before="87"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0.03L</w:t>
            </w:r>
          </w:p>
        </w:tc>
        <w:tc>
          <w:tcPr>
            <w:tcW w:w="576" w:type="dxa"/>
            <w:vAlign w:val="top"/>
          </w:tcPr>
          <w:p w14:paraId="4E72A3B0">
            <w:pPr>
              <w:pStyle w:val="6"/>
              <w:spacing w:before="55" w:line="233" w:lineRule="auto"/>
              <w:ind w:left="169"/>
              <w:rPr>
                <w:sz w:val="18"/>
                <w:szCs w:val="18"/>
              </w:rPr>
            </w:pPr>
            <w:r>
              <w:rPr>
                <w:spacing w:val="29"/>
                <w:w w:val="106"/>
                <w:sz w:val="18"/>
                <w:szCs w:val="18"/>
              </w:rPr>
              <w:t>&lt;1</w:t>
            </w:r>
          </w:p>
        </w:tc>
        <w:tc>
          <w:tcPr>
            <w:tcW w:w="1078" w:type="dxa"/>
            <w:vAlign w:val="top"/>
          </w:tcPr>
          <w:p w14:paraId="3759E802">
            <w:pPr>
              <w:spacing w:before="87" w:line="188"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0.03L</w:t>
            </w:r>
          </w:p>
        </w:tc>
        <w:tc>
          <w:tcPr>
            <w:tcW w:w="576" w:type="dxa"/>
            <w:vAlign w:val="top"/>
          </w:tcPr>
          <w:p w14:paraId="2FFD02F2">
            <w:pPr>
              <w:pStyle w:val="6"/>
              <w:spacing w:before="55" w:line="233" w:lineRule="auto"/>
              <w:ind w:left="171"/>
              <w:rPr>
                <w:sz w:val="18"/>
                <w:szCs w:val="18"/>
              </w:rPr>
            </w:pPr>
            <w:r>
              <w:rPr>
                <w:spacing w:val="29"/>
                <w:w w:val="106"/>
                <w:sz w:val="18"/>
                <w:szCs w:val="18"/>
              </w:rPr>
              <w:t>&lt;1</w:t>
            </w:r>
          </w:p>
        </w:tc>
        <w:tc>
          <w:tcPr>
            <w:tcW w:w="1078" w:type="dxa"/>
            <w:vAlign w:val="top"/>
          </w:tcPr>
          <w:p w14:paraId="68D470C9">
            <w:pPr>
              <w:spacing w:before="87"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0.03L</w:t>
            </w:r>
          </w:p>
        </w:tc>
        <w:tc>
          <w:tcPr>
            <w:tcW w:w="576" w:type="dxa"/>
            <w:vAlign w:val="top"/>
          </w:tcPr>
          <w:p w14:paraId="38844B6A">
            <w:pPr>
              <w:pStyle w:val="6"/>
              <w:spacing w:before="55" w:line="233" w:lineRule="auto"/>
              <w:ind w:left="171"/>
              <w:rPr>
                <w:sz w:val="18"/>
                <w:szCs w:val="18"/>
              </w:rPr>
            </w:pPr>
            <w:r>
              <w:rPr>
                <w:spacing w:val="29"/>
                <w:w w:val="106"/>
                <w:sz w:val="18"/>
                <w:szCs w:val="18"/>
              </w:rPr>
              <w:t>&lt;1</w:t>
            </w:r>
          </w:p>
        </w:tc>
        <w:tc>
          <w:tcPr>
            <w:tcW w:w="1081" w:type="dxa"/>
            <w:vAlign w:val="top"/>
          </w:tcPr>
          <w:p w14:paraId="74BAF8A2">
            <w:pPr>
              <w:spacing w:before="87"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0.03L</w:t>
            </w:r>
          </w:p>
        </w:tc>
        <w:tc>
          <w:tcPr>
            <w:tcW w:w="577" w:type="dxa"/>
            <w:vAlign w:val="top"/>
          </w:tcPr>
          <w:p w14:paraId="5C1F1396">
            <w:pPr>
              <w:pStyle w:val="6"/>
              <w:spacing w:before="55" w:line="233" w:lineRule="auto"/>
              <w:ind w:left="172"/>
              <w:rPr>
                <w:sz w:val="18"/>
                <w:szCs w:val="18"/>
              </w:rPr>
            </w:pPr>
            <w:r>
              <w:rPr>
                <w:spacing w:val="29"/>
                <w:w w:val="106"/>
                <w:sz w:val="18"/>
                <w:szCs w:val="18"/>
              </w:rPr>
              <w:t>&lt;1</w:t>
            </w:r>
          </w:p>
        </w:tc>
        <w:tc>
          <w:tcPr>
            <w:tcW w:w="1082" w:type="dxa"/>
            <w:vAlign w:val="top"/>
          </w:tcPr>
          <w:p w14:paraId="446DA0FC">
            <w:pPr>
              <w:spacing w:before="87"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0.03L</w:t>
            </w:r>
          </w:p>
        </w:tc>
        <w:tc>
          <w:tcPr>
            <w:tcW w:w="580" w:type="dxa"/>
            <w:vAlign w:val="top"/>
          </w:tcPr>
          <w:p w14:paraId="3246D258">
            <w:pPr>
              <w:pStyle w:val="6"/>
              <w:spacing w:before="55" w:line="233" w:lineRule="auto"/>
              <w:ind w:left="174"/>
              <w:rPr>
                <w:sz w:val="18"/>
                <w:szCs w:val="18"/>
              </w:rPr>
            </w:pPr>
            <w:r>
              <w:rPr>
                <w:spacing w:val="29"/>
                <w:w w:val="106"/>
                <w:sz w:val="18"/>
                <w:szCs w:val="18"/>
              </w:rPr>
              <w:t>&lt;1</w:t>
            </w:r>
          </w:p>
        </w:tc>
        <w:tc>
          <w:tcPr>
            <w:tcW w:w="1073" w:type="dxa"/>
            <w:vAlign w:val="top"/>
          </w:tcPr>
          <w:p w14:paraId="5CF65205">
            <w:pPr>
              <w:spacing w:before="87"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0.03L</w:t>
            </w:r>
          </w:p>
        </w:tc>
        <w:tc>
          <w:tcPr>
            <w:tcW w:w="580" w:type="dxa"/>
            <w:vAlign w:val="top"/>
          </w:tcPr>
          <w:p w14:paraId="7AC329EF">
            <w:pPr>
              <w:pStyle w:val="6"/>
              <w:spacing w:before="55" w:line="233" w:lineRule="auto"/>
              <w:ind w:left="172"/>
              <w:rPr>
                <w:sz w:val="18"/>
                <w:szCs w:val="18"/>
              </w:rPr>
            </w:pPr>
            <w:r>
              <w:rPr>
                <w:spacing w:val="29"/>
                <w:w w:val="106"/>
                <w:sz w:val="18"/>
                <w:szCs w:val="18"/>
              </w:rPr>
              <w:t>&lt;1</w:t>
            </w:r>
          </w:p>
        </w:tc>
        <w:tc>
          <w:tcPr>
            <w:tcW w:w="1081" w:type="dxa"/>
            <w:vAlign w:val="top"/>
          </w:tcPr>
          <w:p w14:paraId="3FBA7376">
            <w:pPr>
              <w:spacing w:before="87"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0.03L</w:t>
            </w:r>
          </w:p>
        </w:tc>
        <w:tc>
          <w:tcPr>
            <w:tcW w:w="581" w:type="dxa"/>
            <w:vAlign w:val="top"/>
          </w:tcPr>
          <w:p w14:paraId="40A51645">
            <w:pPr>
              <w:pStyle w:val="6"/>
              <w:spacing w:before="55" w:line="233" w:lineRule="auto"/>
              <w:ind w:left="172"/>
              <w:rPr>
                <w:sz w:val="18"/>
                <w:szCs w:val="18"/>
              </w:rPr>
            </w:pPr>
            <w:r>
              <w:rPr>
                <w:spacing w:val="29"/>
                <w:w w:val="106"/>
                <w:sz w:val="18"/>
                <w:szCs w:val="18"/>
              </w:rPr>
              <w:t>&lt;1</w:t>
            </w:r>
          </w:p>
        </w:tc>
      </w:tr>
      <w:tr w14:paraId="3F055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13E67E70">
            <w:pPr>
              <w:pStyle w:val="6"/>
              <w:spacing w:before="55" w:line="226" w:lineRule="auto"/>
              <w:ind w:left="384"/>
              <w:rPr>
                <w:sz w:val="18"/>
                <w:szCs w:val="18"/>
              </w:rPr>
            </w:pPr>
            <w:r>
              <w:rPr>
                <w:sz w:val="18"/>
                <w:szCs w:val="18"/>
              </w:rPr>
              <w:t>锰</w:t>
            </w:r>
          </w:p>
        </w:tc>
        <w:tc>
          <w:tcPr>
            <w:tcW w:w="1176" w:type="dxa"/>
            <w:vAlign w:val="top"/>
          </w:tcPr>
          <w:p w14:paraId="6B4EEB64">
            <w:pPr>
              <w:spacing w:before="83"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5C33A5EE">
            <w:pPr>
              <w:pStyle w:val="6"/>
              <w:spacing w:before="55" w:line="233"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0.10</w:t>
            </w:r>
          </w:p>
        </w:tc>
        <w:tc>
          <w:tcPr>
            <w:tcW w:w="1109" w:type="dxa"/>
            <w:vAlign w:val="top"/>
          </w:tcPr>
          <w:p w14:paraId="65839BDA">
            <w:pPr>
              <w:spacing w:before="86"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1C32C668">
            <w:pPr>
              <w:pStyle w:val="6"/>
              <w:spacing w:before="55" w:line="233" w:lineRule="auto"/>
              <w:ind w:left="169"/>
              <w:rPr>
                <w:sz w:val="18"/>
                <w:szCs w:val="18"/>
              </w:rPr>
            </w:pPr>
            <w:r>
              <w:rPr>
                <w:spacing w:val="29"/>
                <w:w w:val="106"/>
                <w:sz w:val="18"/>
                <w:szCs w:val="18"/>
              </w:rPr>
              <w:t>&lt;1</w:t>
            </w:r>
          </w:p>
        </w:tc>
        <w:tc>
          <w:tcPr>
            <w:tcW w:w="1078" w:type="dxa"/>
            <w:vAlign w:val="top"/>
          </w:tcPr>
          <w:p w14:paraId="0AC99C36">
            <w:pPr>
              <w:spacing w:before="86" w:line="188"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791C5345">
            <w:pPr>
              <w:pStyle w:val="6"/>
              <w:spacing w:before="55" w:line="233" w:lineRule="auto"/>
              <w:ind w:left="171"/>
              <w:rPr>
                <w:sz w:val="18"/>
                <w:szCs w:val="18"/>
              </w:rPr>
            </w:pPr>
            <w:r>
              <w:rPr>
                <w:spacing w:val="29"/>
                <w:w w:val="106"/>
                <w:sz w:val="18"/>
                <w:szCs w:val="18"/>
              </w:rPr>
              <w:t>&lt;1</w:t>
            </w:r>
          </w:p>
        </w:tc>
        <w:tc>
          <w:tcPr>
            <w:tcW w:w="1078" w:type="dxa"/>
            <w:vAlign w:val="top"/>
          </w:tcPr>
          <w:p w14:paraId="0F560FBA">
            <w:pPr>
              <w:spacing w:before="86"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54AE7A1F">
            <w:pPr>
              <w:pStyle w:val="6"/>
              <w:spacing w:before="55" w:line="233" w:lineRule="auto"/>
              <w:ind w:left="171"/>
              <w:rPr>
                <w:sz w:val="18"/>
                <w:szCs w:val="18"/>
              </w:rPr>
            </w:pPr>
            <w:r>
              <w:rPr>
                <w:spacing w:val="29"/>
                <w:w w:val="106"/>
                <w:sz w:val="18"/>
                <w:szCs w:val="18"/>
              </w:rPr>
              <w:t>&lt;1</w:t>
            </w:r>
          </w:p>
        </w:tc>
        <w:tc>
          <w:tcPr>
            <w:tcW w:w="1081" w:type="dxa"/>
            <w:vAlign w:val="top"/>
          </w:tcPr>
          <w:p w14:paraId="0005BC32">
            <w:pPr>
              <w:spacing w:before="86"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7" w:type="dxa"/>
            <w:vAlign w:val="top"/>
          </w:tcPr>
          <w:p w14:paraId="1D9DD37A">
            <w:pPr>
              <w:pStyle w:val="6"/>
              <w:spacing w:before="55" w:line="233" w:lineRule="auto"/>
              <w:ind w:left="172"/>
              <w:rPr>
                <w:sz w:val="18"/>
                <w:szCs w:val="18"/>
              </w:rPr>
            </w:pPr>
            <w:r>
              <w:rPr>
                <w:spacing w:val="29"/>
                <w:w w:val="106"/>
                <w:sz w:val="18"/>
                <w:szCs w:val="18"/>
              </w:rPr>
              <w:t>&lt;1</w:t>
            </w:r>
          </w:p>
        </w:tc>
        <w:tc>
          <w:tcPr>
            <w:tcW w:w="1082" w:type="dxa"/>
            <w:vAlign w:val="top"/>
          </w:tcPr>
          <w:p w14:paraId="1F70484F">
            <w:pPr>
              <w:spacing w:before="86"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0" w:type="dxa"/>
            <w:vAlign w:val="top"/>
          </w:tcPr>
          <w:p w14:paraId="20D9FBE2">
            <w:pPr>
              <w:pStyle w:val="6"/>
              <w:spacing w:before="55" w:line="233" w:lineRule="auto"/>
              <w:ind w:left="174"/>
              <w:rPr>
                <w:sz w:val="18"/>
                <w:szCs w:val="18"/>
              </w:rPr>
            </w:pPr>
            <w:r>
              <w:rPr>
                <w:spacing w:val="29"/>
                <w:w w:val="106"/>
                <w:sz w:val="18"/>
                <w:szCs w:val="18"/>
              </w:rPr>
              <w:t>&lt;1</w:t>
            </w:r>
          </w:p>
        </w:tc>
        <w:tc>
          <w:tcPr>
            <w:tcW w:w="1073" w:type="dxa"/>
            <w:vAlign w:val="top"/>
          </w:tcPr>
          <w:p w14:paraId="738F1C6C">
            <w:pPr>
              <w:spacing w:before="86"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0" w:type="dxa"/>
            <w:vAlign w:val="top"/>
          </w:tcPr>
          <w:p w14:paraId="37FF8182">
            <w:pPr>
              <w:pStyle w:val="6"/>
              <w:spacing w:before="55" w:line="233" w:lineRule="auto"/>
              <w:ind w:left="172"/>
              <w:rPr>
                <w:sz w:val="18"/>
                <w:szCs w:val="18"/>
              </w:rPr>
            </w:pPr>
            <w:r>
              <w:rPr>
                <w:spacing w:val="29"/>
                <w:w w:val="106"/>
                <w:sz w:val="18"/>
                <w:szCs w:val="18"/>
              </w:rPr>
              <w:t>&lt;1</w:t>
            </w:r>
          </w:p>
        </w:tc>
        <w:tc>
          <w:tcPr>
            <w:tcW w:w="1081" w:type="dxa"/>
            <w:vAlign w:val="top"/>
          </w:tcPr>
          <w:p w14:paraId="19B02431">
            <w:pPr>
              <w:spacing w:before="86"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1" w:type="dxa"/>
            <w:vAlign w:val="top"/>
          </w:tcPr>
          <w:p w14:paraId="3E644389">
            <w:pPr>
              <w:pStyle w:val="6"/>
              <w:spacing w:before="55" w:line="233" w:lineRule="auto"/>
              <w:ind w:left="172"/>
              <w:rPr>
                <w:sz w:val="18"/>
                <w:szCs w:val="18"/>
              </w:rPr>
            </w:pPr>
            <w:r>
              <w:rPr>
                <w:spacing w:val="29"/>
                <w:w w:val="106"/>
                <w:sz w:val="18"/>
                <w:szCs w:val="18"/>
              </w:rPr>
              <w:t>&lt;1</w:t>
            </w:r>
          </w:p>
        </w:tc>
      </w:tr>
      <w:tr w14:paraId="1B9B7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C4FF4BB">
            <w:pPr>
              <w:pStyle w:val="6"/>
              <w:spacing w:before="57" w:line="220" w:lineRule="auto"/>
              <w:ind w:left="384"/>
              <w:rPr>
                <w:sz w:val="18"/>
                <w:szCs w:val="18"/>
              </w:rPr>
            </w:pPr>
            <w:r>
              <w:rPr>
                <w:sz w:val="18"/>
                <w:szCs w:val="18"/>
              </w:rPr>
              <w:t>锌</w:t>
            </w:r>
          </w:p>
        </w:tc>
        <w:tc>
          <w:tcPr>
            <w:tcW w:w="1176" w:type="dxa"/>
            <w:vAlign w:val="top"/>
          </w:tcPr>
          <w:p w14:paraId="0EC592BB">
            <w:pPr>
              <w:spacing w:before="82"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659AE476">
            <w:pPr>
              <w:pStyle w:val="6"/>
              <w:spacing w:before="57" w:line="231"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1.00</w:t>
            </w:r>
          </w:p>
        </w:tc>
        <w:tc>
          <w:tcPr>
            <w:tcW w:w="1109" w:type="dxa"/>
            <w:vAlign w:val="top"/>
          </w:tcPr>
          <w:p w14:paraId="2C31D1EE">
            <w:pPr>
              <w:spacing w:before="86"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0.05L</w:t>
            </w:r>
          </w:p>
        </w:tc>
        <w:tc>
          <w:tcPr>
            <w:tcW w:w="576" w:type="dxa"/>
            <w:vAlign w:val="top"/>
          </w:tcPr>
          <w:p w14:paraId="0DD42A2F">
            <w:pPr>
              <w:pStyle w:val="6"/>
              <w:spacing w:before="57" w:line="231" w:lineRule="auto"/>
              <w:ind w:left="169"/>
              <w:rPr>
                <w:sz w:val="18"/>
                <w:szCs w:val="18"/>
              </w:rPr>
            </w:pPr>
            <w:r>
              <w:rPr>
                <w:spacing w:val="29"/>
                <w:w w:val="106"/>
                <w:sz w:val="18"/>
                <w:szCs w:val="18"/>
              </w:rPr>
              <w:t>&lt;1</w:t>
            </w:r>
          </w:p>
        </w:tc>
        <w:tc>
          <w:tcPr>
            <w:tcW w:w="1078" w:type="dxa"/>
            <w:vAlign w:val="top"/>
          </w:tcPr>
          <w:p w14:paraId="200EBE40">
            <w:pPr>
              <w:spacing w:before="86" w:line="188"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0.05L</w:t>
            </w:r>
          </w:p>
        </w:tc>
        <w:tc>
          <w:tcPr>
            <w:tcW w:w="576" w:type="dxa"/>
            <w:vAlign w:val="top"/>
          </w:tcPr>
          <w:p w14:paraId="0476DDCB">
            <w:pPr>
              <w:pStyle w:val="6"/>
              <w:spacing w:before="57" w:line="231" w:lineRule="auto"/>
              <w:ind w:left="171"/>
              <w:rPr>
                <w:sz w:val="18"/>
                <w:szCs w:val="18"/>
              </w:rPr>
            </w:pPr>
            <w:r>
              <w:rPr>
                <w:spacing w:val="29"/>
                <w:w w:val="106"/>
                <w:sz w:val="18"/>
                <w:szCs w:val="18"/>
              </w:rPr>
              <w:t>&lt;1</w:t>
            </w:r>
          </w:p>
        </w:tc>
        <w:tc>
          <w:tcPr>
            <w:tcW w:w="1078" w:type="dxa"/>
            <w:vAlign w:val="top"/>
          </w:tcPr>
          <w:p w14:paraId="1D596115">
            <w:pPr>
              <w:spacing w:before="86"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0.05L</w:t>
            </w:r>
          </w:p>
        </w:tc>
        <w:tc>
          <w:tcPr>
            <w:tcW w:w="576" w:type="dxa"/>
            <w:vAlign w:val="top"/>
          </w:tcPr>
          <w:p w14:paraId="0989D39F">
            <w:pPr>
              <w:pStyle w:val="6"/>
              <w:spacing w:before="57" w:line="231" w:lineRule="auto"/>
              <w:ind w:left="171"/>
              <w:rPr>
                <w:sz w:val="18"/>
                <w:szCs w:val="18"/>
              </w:rPr>
            </w:pPr>
            <w:r>
              <w:rPr>
                <w:spacing w:val="29"/>
                <w:w w:val="106"/>
                <w:sz w:val="18"/>
                <w:szCs w:val="18"/>
              </w:rPr>
              <w:t>&lt;1</w:t>
            </w:r>
          </w:p>
        </w:tc>
        <w:tc>
          <w:tcPr>
            <w:tcW w:w="1081" w:type="dxa"/>
            <w:vAlign w:val="top"/>
          </w:tcPr>
          <w:p w14:paraId="7F52DC39">
            <w:pPr>
              <w:spacing w:before="86"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0.05L</w:t>
            </w:r>
          </w:p>
        </w:tc>
        <w:tc>
          <w:tcPr>
            <w:tcW w:w="577" w:type="dxa"/>
            <w:vAlign w:val="top"/>
          </w:tcPr>
          <w:p w14:paraId="01A0EEAE">
            <w:pPr>
              <w:pStyle w:val="6"/>
              <w:spacing w:before="57" w:line="231" w:lineRule="auto"/>
              <w:ind w:left="172"/>
              <w:rPr>
                <w:sz w:val="18"/>
                <w:szCs w:val="18"/>
              </w:rPr>
            </w:pPr>
            <w:r>
              <w:rPr>
                <w:spacing w:val="29"/>
                <w:w w:val="106"/>
                <w:sz w:val="18"/>
                <w:szCs w:val="18"/>
              </w:rPr>
              <w:t>&lt;1</w:t>
            </w:r>
          </w:p>
        </w:tc>
        <w:tc>
          <w:tcPr>
            <w:tcW w:w="1082" w:type="dxa"/>
            <w:vAlign w:val="top"/>
          </w:tcPr>
          <w:p w14:paraId="0A4D56CE">
            <w:pPr>
              <w:spacing w:before="86"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0.05L</w:t>
            </w:r>
          </w:p>
        </w:tc>
        <w:tc>
          <w:tcPr>
            <w:tcW w:w="580" w:type="dxa"/>
            <w:vAlign w:val="top"/>
          </w:tcPr>
          <w:p w14:paraId="5C1A72E2">
            <w:pPr>
              <w:pStyle w:val="6"/>
              <w:spacing w:before="57" w:line="231" w:lineRule="auto"/>
              <w:ind w:left="174"/>
              <w:rPr>
                <w:sz w:val="18"/>
                <w:szCs w:val="18"/>
              </w:rPr>
            </w:pPr>
            <w:r>
              <w:rPr>
                <w:spacing w:val="29"/>
                <w:w w:val="106"/>
                <w:sz w:val="18"/>
                <w:szCs w:val="18"/>
              </w:rPr>
              <w:t>&lt;1</w:t>
            </w:r>
          </w:p>
        </w:tc>
        <w:tc>
          <w:tcPr>
            <w:tcW w:w="1073" w:type="dxa"/>
            <w:vAlign w:val="top"/>
          </w:tcPr>
          <w:p w14:paraId="498EFF22">
            <w:pPr>
              <w:spacing w:before="86"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0.05L</w:t>
            </w:r>
          </w:p>
        </w:tc>
        <w:tc>
          <w:tcPr>
            <w:tcW w:w="580" w:type="dxa"/>
            <w:vAlign w:val="top"/>
          </w:tcPr>
          <w:p w14:paraId="45B2D854">
            <w:pPr>
              <w:pStyle w:val="6"/>
              <w:spacing w:before="57" w:line="231" w:lineRule="auto"/>
              <w:ind w:left="172"/>
              <w:rPr>
                <w:sz w:val="18"/>
                <w:szCs w:val="18"/>
              </w:rPr>
            </w:pPr>
            <w:r>
              <w:rPr>
                <w:spacing w:val="29"/>
                <w:w w:val="106"/>
                <w:sz w:val="18"/>
                <w:szCs w:val="18"/>
              </w:rPr>
              <w:t>&lt;1</w:t>
            </w:r>
          </w:p>
        </w:tc>
        <w:tc>
          <w:tcPr>
            <w:tcW w:w="1081" w:type="dxa"/>
            <w:vAlign w:val="top"/>
          </w:tcPr>
          <w:p w14:paraId="03972002">
            <w:pPr>
              <w:spacing w:before="86"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0.05L</w:t>
            </w:r>
          </w:p>
        </w:tc>
        <w:tc>
          <w:tcPr>
            <w:tcW w:w="581" w:type="dxa"/>
            <w:vAlign w:val="top"/>
          </w:tcPr>
          <w:p w14:paraId="5D0FAC02">
            <w:pPr>
              <w:pStyle w:val="6"/>
              <w:spacing w:before="57" w:line="231" w:lineRule="auto"/>
              <w:ind w:left="172"/>
              <w:rPr>
                <w:sz w:val="18"/>
                <w:szCs w:val="18"/>
              </w:rPr>
            </w:pPr>
            <w:r>
              <w:rPr>
                <w:spacing w:val="29"/>
                <w:w w:val="106"/>
                <w:sz w:val="18"/>
                <w:szCs w:val="18"/>
              </w:rPr>
              <w:t>&lt;1</w:t>
            </w:r>
          </w:p>
        </w:tc>
      </w:tr>
      <w:tr w14:paraId="2637B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0" w:type="dxa"/>
            <w:vAlign w:val="top"/>
          </w:tcPr>
          <w:p w14:paraId="22E9FDBA">
            <w:pPr>
              <w:pStyle w:val="6"/>
              <w:spacing w:before="131" w:line="220" w:lineRule="auto"/>
              <w:ind w:left="204"/>
              <w:rPr>
                <w:sz w:val="18"/>
                <w:szCs w:val="18"/>
              </w:rPr>
            </w:pPr>
            <w:r>
              <w:rPr>
                <w:spacing w:val="-3"/>
                <w:sz w:val="18"/>
                <w:szCs w:val="18"/>
              </w:rPr>
              <w:t>挥发酚</w:t>
            </w:r>
          </w:p>
        </w:tc>
        <w:tc>
          <w:tcPr>
            <w:tcW w:w="1176" w:type="dxa"/>
            <w:vAlign w:val="top"/>
          </w:tcPr>
          <w:p w14:paraId="437C5C7A">
            <w:pPr>
              <w:spacing w:before="159"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712BB13C">
            <w:pPr>
              <w:pStyle w:val="6"/>
              <w:spacing w:before="28" w:line="236" w:lineRule="auto"/>
              <w:ind w:left="309"/>
              <w:rPr>
                <w:sz w:val="18"/>
                <w:szCs w:val="18"/>
              </w:rPr>
            </w:pPr>
            <w:r>
              <w:rPr>
                <w:sz w:val="18"/>
                <w:szCs w:val="18"/>
              </w:rPr>
              <w:t>≤</w:t>
            </w:r>
          </w:p>
          <w:p w14:paraId="4074EF56">
            <w:pPr>
              <w:spacing w:before="21" w:line="180"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w:t>
            </w:r>
          </w:p>
        </w:tc>
        <w:tc>
          <w:tcPr>
            <w:tcW w:w="1109" w:type="dxa"/>
            <w:vAlign w:val="top"/>
          </w:tcPr>
          <w:p w14:paraId="695CBD2F">
            <w:pPr>
              <w:spacing w:before="162" w:line="188" w:lineRule="auto"/>
              <w:ind w:left="2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76" w:type="dxa"/>
            <w:vAlign w:val="top"/>
          </w:tcPr>
          <w:p w14:paraId="6A4F3D84">
            <w:pPr>
              <w:pStyle w:val="6"/>
              <w:spacing w:before="131"/>
              <w:ind w:left="169"/>
              <w:rPr>
                <w:sz w:val="18"/>
                <w:szCs w:val="18"/>
              </w:rPr>
            </w:pPr>
            <w:r>
              <w:rPr>
                <w:spacing w:val="29"/>
                <w:w w:val="106"/>
                <w:sz w:val="18"/>
                <w:szCs w:val="18"/>
              </w:rPr>
              <w:t>&lt;1</w:t>
            </w:r>
          </w:p>
        </w:tc>
        <w:tc>
          <w:tcPr>
            <w:tcW w:w="1078" w:type="dxa"/>
            <w:vAlign w:val="top"/>
          </w:tcPr>
          <w:p w14:paraId="07995009">
            <w:pPr>
              <w:spacing w:before="162"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76" w:type="dxa"/>
            <w:vAlign w:val="top"/>
          </w:tcPr>
          <w:p w14:paraId="4E5BCBB1">
            <w:pPr>
              <w:pStyle w:val="6"/>
              <w:spacing w:before="131"/>
              <w:ind w:left="171"/>
              <w:rPr>
                <w:sz w:val="18"/>
                <w:szCs w:val="18"/>
              </w:rPr>
            </w:pPr>
            <w:r>
              <w:rPr>
                <w:spacing w:val="29"/>
                <w:w w:val="106"/>
                <w:sz w:val="18"/>
                <w:szCs w:val="18"/>
              </w:rPr>
              <w:t>&lt;1</w:t>
            </w:r>
          </w:p>
        </w:tc>
        <w:tc>
          <w:tcPr>
            <w:tcW w:w="1078" w:type="dxa"/>
            <w:vAlign w:val="top"/>
          </w:tcPr>
          <w:p w14:paraId="4A10F380">
            <w:pPr>
              <w:spacing w:before="162"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76" w:type="dxa"/>
            <w:vAlign w:val="top"/>
          </w:tcPr>
          <w:p w14:paraId="520C60CC">
            <w:pPr>
              <w:pStyle w:val="6"/>
              <w:spacing w:before="131"/>
              <w:ind w:left="171"/>
              <w:rPr>
                <w:sz w:val="18"/>
                <w:szCs w:val="18"/>
              </w:rPr>
            </w:pPr>
            <w:r>
              <w:rPr>
                <w:spacing w:val="29"/>
                <w:w w:val="106"/>
                <w:sz w:val="18"/>
                <w:szCs w:val="18"/>
              </w:rPr>
              <w:t>&lt;1</w:t>
            </w:r>
          </w:p>
        </w:tc>
        <w:tc>
          <w:tcPr>
            <w:tcW w:w="1081" w:type="dxa"/>
            <w:vAlign w:val="top"/>
          </w:tcPr>
          <w:p w14:paraId="3063B700">
            <w:pPr>
              <w:spacing w:before="162"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77" w:type="dxa"/>
            <w:vAlign w:val="top"/>
          </w:tcPr>
          <w:p w14:paraId="54C6D7A4">
            <w:pPr>
              <w:pStyle w:val="6"/>
              <w:spacing w:before="131"/>
              <w:ind w:left="172"/>
              <w:rPr>
                <w:sz w:val="18"/>
                <w:szCs w:val="18"/>
              </w:rPr>
            </w:pPr>
            <w:r>
              <w:rPr>
                <w:spacing w:val="29"/>
                <w:w w:val="106"/>
                <w:sz w:val="18"/>
                <w:szCs w:val="18"/>
              </w:rPr>
              <w:t>&lt;1</w:t>
            </w:r>
          </w:p>
        </w:tc>
        <w:tc>
          <w:tcPr>
            <w:tcW w:w="1082" w:type="dxa"/>
            <w:vAlign w:val="top"/>
          </w:tcPr>
          <w:p w14:paraId="5447BBD5">
            <w:pPr>
              <w:spacing w:before="162"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80" w:type="dxa"/>
            <w:vAlign w:val="top"/>
          </w:tcPr>
          <w:p w14:paraId="1764141E">
            <w:pPr>
              <w:pStyle w:val="6"/>
              <w:spacing w:before="131"/>
              <w:ind w:left="174"/>
              <w:rPr>
                <w:sz w:val="18"/>
                <w:szCs w:val="18"/>
              </w:rPr>
            </w:pPr>
            <w:r>
              <w:rPr>
                <w:spacing w:val="29"/>
                <w:w w:val="106"/>
                <w:sz w:val="18"/>
                <w:szCs w:val="18"/>
              </w:rPr>
              <w:t>&lt;1</w:t>
            </w:r>
          </w:p>
        </w:tc>
        <w:tc>
          <w:tcPr>
            <w:tcW w:w="1073" w:type="dxa"/>
            <w:vAlign w:val="top"/>
          </w:tcPr>
          <w:p w14:paraId="4AD65A7B">
            <w:pPr>
              <w:spacing w:before="162" w:line="188"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80" w:type="dxa"/>
            <w:vAlign w:val="top"/>
          </w:tcPr>
          <w:p w14:paraId="3E820BB1">
            <w:pPr>
              <w:pStyle w:val="6"/>
              <w:spacing w:before="131"/>
              <w:ind w:left="172"/>
              <w:rPr>
                <w:sz w:val="18"/>
                <w:szCs w:val="18"/>
              </w:rPr>
            </w:pPr>
            <w:r>
              <w:rPr>
                <w:spacing w:val="29"/>
                <w:w w:val="106"/>
                <w:sz w:val="18"/>
                <w:szCs w:val="18"/>
              </w:rPr>
              <w:t>&lt;1</w:t>
            </w:r>
          </w:p>
        </w:tc>
        <w:tc>
          <w:tcPr>
            <w:tcW w:w="1081" w:type="dxa"/>
            <w:vAlign w:val="top"/>
          </w:tcPr>
          <w:p w14:paraId="449EF7AC">
            <w:pPr>
              <w:spacing w:before="162"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0.0003L</w:t>
            </w:r>
          </w:p>
        </w:tc>
        <w:tc>
          <w:tcPr>
            <w:tcW w:w="581" w:type="dxa"/>
            <w:vAlign w:val="top"/>
          </w:tcPr>
          <w:p w14:paraId="33C12CF7">
            <w:pPr>
              <w:pStyle w:val="6"/>
              <w:spacing w:before="131"/>
              <w:ind w:left="172"/>
              <w:rPr>
                <w:sz w:val="18"/>
                <w:szCs w:val="18"/>
              </w:rPr>
            </w:pPr>
            <w:r>
              <w:rPr>
                <w:spacing w:val="29"/>
                <w:w w:val="106"/>
                <w:sz w:val="18"/>
                <w:szCs w:val="18"/>
              </w:rPr>
              <w:t>&lt;1</w:t>
            </w:r>
          </w:p>
        </w:tc>
      </w:tr>
      <w:tr w14:paraId="30318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096BDFE8">
            <w:pPr>
              <w:pStyle w:val="6"/>
              <w:spacing w:before="57" w:line="219" w:lineRule="auto"/>
              <w:ind w:left="205"/>
              <w:rPr>
                <w:sz w:val="18"/>
                <w:szCs w:val="18"/>
              </w:rPr>
            </w:pPr>
            <w:r>
              <w:rPr>
                <w:spacing w:val="-3"/>
                <w:sz w:val="18"/>
                <w:szCs w:val="18"/>
              </w:rPr>
              <w:t>耗氧量</w:t>
            </w:r>
          </w:p>
        </w:tc>
        <w:tc>
          <w:tcPr>
            <w:tcW w:w="1176" w:type="dxa"/>
            <w:vAlign w:val="top"/>
          </w:tcPr>
          <w:p w14:paraId="459249EB">
            <w:pPr>
              <w:spacing w:before="83"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15F5D38A">
            <w:pPr>
              <w:pStyle w:val="6"/>
              <w:spacing w:before="57" w:line="231"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3.0</w:t>
            </w:r>
          </w:p>
        </w:tc>
        <w:tc>
          <w:tcPr>
            <w:tcW w:w="1109" w:type="dxa"/>
            <w:vAlign w:val="top"/>
          </w:tcPr>
          <w:p w14:paraId="7FFE7EE7">
            <w:pPr>
              <w:spacing w:before="87" w:line="188"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1.57</w:t>
            </w:r>
          </w:p>
        </w:tc>
        <w:tc>
          <w:tcPr>
            <w:tcW w:w="576" w:type="dxa"/>
            <w:vAlign w:val="top"/>
          </w:tcPr>
          <w:p w14:paraId="4D33CE3C">
            <w:pPr>
              <w:pStyle w:val="6"/>
              <w:spacing w:before="57" w:line="231" w:lineRule="auto"/>
              <w:ind w:left="114"/>
              <w:rPr>
                <w:sz w:val="18"/>
                <w:szCs w:val="18"/>
              </w:rPr>
            </w:pPr>
            <w:r>
              <w:rPr>
                <w:spacing w:val="-2"/>
                <w:sz w:val="18"/>
                <w:szCs w:val="18"/>
              </w:rPr>
              <w:t>0.52</w:t>
            </w:r>
          </w:p>
        </w:tc>
        <w:tc>
          <w:tcPr>
            <w:tcW w:w="1078" w:type="dxa"/>
            <w:vAlign w:val="top"/>
          </w:tcPr>
          <w:p w14:paraId="0C1823C1">
            <w:pPr>
              <w:spacing w:before="87" w:line="188" w:lineRule="auto"/>
              <w:ind w:left="39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1.68</w:t>
            </w:r>
          </w:p>
        </w:tc>
        <w:tc>
          <w:tcPr>
            <w:tcW w:w="576" w:type="dxa"/>
            <w:vAlign w:val="top"/>
          </w:tcPr>
          <w:p w14:paraId="4278B7E1">
            <w:pPr>
              <w:pStyle w:val="6"/>
              <w:spacing w:before="57" w:line="231" w:lineRule="auto"/>
              <w:ind w:left="114"/>
              <w:rPr>
                <w:sz w:val="18"/>
                <w:szCs w:val="18"/>
              </w:rPr>
            </w:pPr>
            <w:r>
              <w:rPr>
                <w:spacing w:val="-2"/>
                <w:sz w:val="18"/>
                <w:szCs w:val="18"/>
              </w:rPr>
              <w:t>0.56</w:t>
            </w:r>
          </w:p>
        </w:tc>
        <w:tc>
          <w:tcPr>
            <w:tcW w:w="1078" w:type="dxa"/>
            <w:vAlign w:val="top"/>
          </w:tcPr>
          <w:p w14:paraId="7A7C6735">
            <w:pPr>
              <w:spacing w:before="87" w:line="188" w:lineRule="auto"/>
              <w:ind w:left="44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w:t>
            </w:r>
          </w:p>
        </w:tc>
        <w:tc>
          <w:tcPr>
            <w:tcW w:w="576" w:type="dxa"/>
            <w:vAlign w:val="top"/>
          </w:tcPr>
          <w:p w14:paraId="6E0B68A4">
            <w:pPr>
              <w:pStyle w:val="6"/>
              <w:spacing w:before="57" w:line="231" w:lineRule="auto"/>
              <w:ind w:left="114"/>
              <w:rPr>
                <w:sz w:val="18"/>
                <w:szCs w:val="18"/>
              </w:rPr>
            </w:pPr>
            <w:r>
              <w:rPr>
                <w:spacing w:val="-2"/>
                <w:sz w:val="18"/>
                <w:szCs w:val="18"/>
              </w:rPr>
              <w:t>0.53</w:t>
            </w:r>
          </w:p>
        </w:tc>
        <w:tc>
          <w:tcPr>
            <w:tcW w:w="1081" w:type="dxa"/>
            <w:vAlign w:val="top"/>
          </w:tcPr>
          <w:p w14:paraId="62C4E72B">
            <w:pPr>
              <w:spacing w:before="87" w:line="188" w:lineRule="auto"/>
              <w:ind w:left="40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1.67</w:t>
            </w:r>
          </w:p>
        </w:tc>
        <w:tc>
          <w:tcPr>
            <w:tcW w:w="577" w:type="dxa"/>
            <w:vAlign w:val="top"/>
          </w:tcPr>
          <w:p w14:paraId="188D6840">
            <w:pPr>
              <w:pStyle w:val="6"/>
              <w:spacing w:before="57" w:line="231" w:lineRule="auto"/>
              <w:ind w:left="115"/>
              <w:rPr>
                <w:sz w:val="18"/>
                <w:szCs w:val="18"/>
              </w:rPr>
            </w:pPr>
            <w:r>
              <w:rPr>
                <w:spacing w:val="-2"/>
                <w:sz w:val="18"/>
                <w:szCs w:val="18"/>
              </w:rPr>
              <w:t>0.56</w:t>
            </w:r>
          </w:p>
        </w:tc>
        <w:tc>
          <w:tcPr>
            <w:tcW w:w="1082" w:type="dxa"/>
            <w:vAlign w:val="top"/>
          </w:tcPr>
          <w:p w14:paraId="7A24E1AA">
            <w:pPr>
              <w:spacing w:before="87" w:line="188" w:lineRule="auto"/>
              <w:ind w:left="4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1.52</w:t>
            </w:r>
          </w:p>
        </w:tc>
        <w:tc>
          <w:tcPr>
            <w:tcW w:w="580" w:type="dxa"/>
            <w:vAlign w:val="top"/>
          </w:tcPr>
          <w:p w14:paraId="7A602FBC">
            <w:pPr>
              <w:pStyle w:val="6"/>
              <w:spacing w:before="57" w:line="231" w:lineRule="auto"/>
              <w:ind w:left="117"/>
              <w:rPr>
                <w:sz w:val="18"/>
                <w:szCs w:val="18"/>
              </w:rPr>
            </w:pPr>
            <w:r>
              <w:rPr>
                <w:spacing w:val="-2"/>
                <w:sz w:val="18"/>
                <w:szCs w:val="18"/>
              </w:rPr>
              <w:t>0.51</w:t>
            </w:r>
          </w:p>
        </w:tc>
        <w:tc>
          <w:tcPr>
            <w:tcW w:w="1073" w:type="dxa"/>
            <w:vAlign w:val="top"/>
          </w:tcPr>
          <w:p w14:paraId="7D76B694">
            <w:pPr>
              <w:spacing w:before="87" w:line="188" w:lineRule="auto"/>
              <w:ind w:left="39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1.49</w:t>
            </w:r>
          </w:p>
        </w:tc>
        <w:tc>
          <w:tcPr>
            <w:tcW w:w="580" w:type="dxa"/>
            <w:vAlign w:val="top"/>
          </w:tcPr>
          <w:p w14:paraId="11E8E831">
            <w:pPr>
              <w:pStyle w:val="6"/>
              <w:spacing w:before="57" w:line="231" w:lineRule="auto"/>
              <w:ind w:left="117"/>
              <w:rPr>
                <w:sz w:val="18"/>
                <w:szCs w:val="18"/>
              </w:rPr>
            </w:pPr>
            <w:r>
              <w:rPr>
                <w:spacing w:val="-2"/>
                <w:sz w:val="18"/>
                <w:szCs w:val="18"/>
              </w:rPr>
              <w:t>0.50</w:t>
            </w:r>
          </w:p>
        </w:tc>
        <w:tc>
          <w:tcPr>
            <w:tcW w:w="1081" w:type="dxa"/>
            <w:vAlign w:val="top"/>
          </w:tcPr>
          <w:p w14:paraId="1A682F45">
            <w:pPr>
              <w:spacing w:before="87" w:line="188" w:lineRule="auto"/>
              <w:ind w:left="40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581" w:type="dxa"/>
            <w:vAlign w:val="top"/>
          </w:tcPr>
          <w:p w14:paraId="68BF10CC">
            <w:pPr>
              <w:pStyle w:val="6"/>
              <w:spacing w:before="57" w:line="231" w:lineRule="auto"/>
              <w:ind w:left="115"/>
              <w:rPr>
                <w:sz w:val="18"/>
                <w:szCs w:val="18"/>
              </w:rPr>
            </w:pPr>
            <w:r>
              <w:rPr>
                <w:spacing w:val="-2"/>
                <w:sz w:val="18"/>
                <w:szCs w:val="18"/>
              </w:rPr>
              <w:t>0.53</w:t>
            </w:r>
          </w:p>
        </w:tc>
      </w:tr>
      <w:tr w14:paraId="162F7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02DAB6D">
            <w:pPr>
              <w:pStyle w:val="6"/>
              <w:spacing w:before="57" w:line="219" w:lineRule="auto"/>
              <w:ind w:left="293"/>
              <w:rPr>
                <w:sz w:val="18"/>
                <w:szCs w:val="18"/>
              </w:rPr>
            </w:pPr>
            <w:r>
              <w:rPr>
                <w:spacing w:val="-4"/>
                <w:sz w:val="18"/>
                <w:szCs w:val="18"/>
              </w:rPr>
              <w:t>氨氮</w:t>
            </w:r>
          </w:p>
        </w:tc>
        <w:tc>
          <w:tcPr>
            <w:tcW w:w="1176" w:type="dxa"/>
            <w:vAlign w:val="top"/>
          </w:tcPr>
          <w:p w14:paraId="034D72CF">
            <w:pPr>
              <w:spacing w:before="83"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76D60C4C">
            <w:pPr>
              <w:pStyle w:val="6"/>
              <w:spacing w:before="57" w:line="231"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0.5</w:t>
            </w:r>
          </w:p>
        </w:tc>
        <w:tc>
          <w:tcPr>
            <w:tcW w:w="1109" w:type="dxa"/>
            <w:vAlign w:val="top"/>
          </w:tcPr>
          <w:p w14:paraId="045E5D6B">
            <w:pPr>
              <w:spacing w:before="86" w:line="188"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0.098</w:t>
            </w:r>
          </w:p>
        </w:tc>
        <w:tc>
          <w:tcPr>
            <w:tcW w:w="576" w:type="dxa"/>
            <w:vAlign w:val="top"/>
          </w:tcPr>
          <w:p w14:paraId="6ED59514">
            <w:pPr>
              <w:pStyle w:val="6"/>
              <w:spacing w:before="57" w:line="231" w:lineRule="auto"/>
              <w:ind w:left="114"/>
              <w:rPr>
                <w:sz w:val="18"/>
                <w:szCs w:val="18"/>
              </w:rPr>
            </w:pPr>
            <w:r>
              <w:rPr>
                <w:spacing w:val="-2"/>
                <w:sz w:val="18"/>
                <w:szCs w:val="18"/>
              </w:rPr>
              <w:t>0.20</w:t>
            </w:r>
          </w:p>
        </w:tc>
        <w:tc>
          <w:tcPr>
            <w:tcW w:w="1078" w:type="dxa"/>
            <w:vAlign w:val="top"/>
          </w:tcPr>
          <w:p w14:paraId="63B61A49">
            <w:pPr>
              <w:spacing w:before="86" w:line="188"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0.101</w:t>
            </w:r>
          </w:p>
        </w:tc>
        <w:tc>
          <w:tcPr>
            <w:tcW w:w="576" w:type="dxa"/>
            <w:vAlign w:val="top"/>
          </w:tcPr>
          <w:p w14:paraId="579AC8B9">
            <w:pPr>
              <w:pStyle w:val="6"/>
              <w:spacing w:before="57" w:line="231" w:lineRule="auto"/>
              <w:ind w:left="114"/>
              <w:rPr>
                <w:sz w:val="18"/>
                <w:szCs w:val="18"/>
              </w:rPr>
            </w:pPr>
            <w:r>
              <w:rPr>
                <w:spacing w:val="-2"/>
                <w:sz w:val="18"/>
                <w:szCs w:val="18"/>
              </w:rPr>
              <w:t>0.20</w:t>
            </w:r>
          </w:p>
        </w:tc>
        <w:tc>
          <w:tcPr>
            <w:tcW w:w="1078" w:type="dxa"/>
            <w:vAlign w:val="top"/>
          </w:tcPr>
          <w:p w14:paraId="379EF14C">
            <w:pPr>
              <w:spacing w:before="86" w:line="188"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0.</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6"/>
                <w:sz w:val="18"/>
                <w:szCs w:val="18"/>
              </w:rPr>
              <w:t>122</w:t>
            </w:r>
          </w:p>
        </w:tc>
        <w:tc>
          <w:tcPr>
            <w:tcW w:w="576" w:type="dxa"/>
            <w:vAlign w:val="top"/>
          </w:tcPr>
          <w:p w14:paraId="3C366B08">
            <w:pPr>
              <w:pStyle w:val="6"/>
              <w:spacing w:before="57" w:line="231" w:lineRule="auto"/>
              <w:ind w:left="114"/>
              <w:rPr>
                <w:sz w:val="18"/>
                <w:szCs w:val="18"/>
              </w:rPr>
            </w:pPr>
            <w:r>
              <w:rPr>
                <w:spacing w:val="-2"/>
                <w:sz w:val="18"/>
                <w:szCs w:val="18"/>
              </w:rPr>
              <w:t>0.24</w:t>
            </w:r>
          </w:p>
        </w:tc>
        <w:tc>
          <w:tcPr>
            <w:tcW w:w="1081" w:type="dxa"/>
            <w:vAlign w:val="top"/>
          </w:tcPr>
          <w:p w14:paraId="6ACFD6C4">
            <w:pPr>
              <w:spacing w:before="86"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0.</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6"/>
                <w:sz w:val="18"/>
                <w:szCs w:val="18"/>
              </w:rPr>
              <w:t>142</w:t>
            </w:r>
          </w:p>
        </w:tc>
        <w:tc>
          <w:tcPr>
            <w:tcW w:w="577" w:type="dxa"/>
            <w:vAlign w:val="top"/>
          </w:tcPr>
          <w:p w14:paraId="50359566">
            <w:pPr>
              <w:pStyle w:val="6"/>
              <w:spacing w:before="57" w:line="231" w:lineRule="auto"/>
              <w:ind w:left="115"/>
              <w:rPr>
                <w:sz w:val="18"/>
                <w:szCs w:val="18"/>
              </w:rPr>
            </w:pPr>
            <w:r>
              <w:rPr>
                <w:spacing w:val="-2"/>
                <w:sz w:val="18"/>
                <w:szCs w:val="18"/>
              </w:rPr>
              <w:t>0.28</w:t>
            </w:r>
          </w:p>
        </w:tc>
        <w:tc>
          <w:tcPr>
            <w:tcW w:w="1082" w:type="dxa"/>
            <w:vAlign w:val="top"/>
          </w:tcPr>
          <w:p w14:paraId="4CCB4D3A">
            <w:pPr>
              <w:spacing w:before="86" w:line="188" w:lineRule="auto"/>
              <w:ind w:left="393"/>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1.82</w:t>
            </w:r>
          </w:p>
        </w:tc>
        <w:tc>
          <w:tcPr>
            <w:tcW w:w="580" w:type="dxa"/>
            <w:vAlign w:val="top"/>
          </w:tcPr>
          <w:p w14:paraId="6FEB2389">
            <w:pPr>
              <w:pStyle w:val="6"/>
              <w:spacing w:before="57" w:line="231" w:lineRule="auto"/>
              <w:ind w:left="117"/>
              <w:rPr>
                <w:sz w:val="18"/>
                <w:szCs w:val="18"/>
              </w:rPr>
            </w:pPr>
            <w:r>
              <w:rPr>
                <w:b/>
                <w:bCs/>
                <w:spacing w:val="-4"/>
                <w:sz w:val="18"/>
                <w:szCs w:val="18"/>
              </w:rPr>
              <w:t>3.64</w:t>
            </w:r>
          </w:p>
        </w:tc>
        <w:tc>
          <w:tcPr>
            <w:tcW w:w="1073" w:type="dxa"/>
            <w:vAlign w:val="top"/>
          </w:tcPr>
          <w:p w14:paraId="702946DD">
            <w:pPr>
              <w:spacing w:before="86" w:line="188"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0.072</w:t>
            </w:r>
          </w:p>
        </w:tc>
        <w:tc>
          <w:tcPr>
            <w:tcW w:w="580" w:type="dxa"/>
            <w:vAlign w:val="top"/>
          </w:tcPr>
          <w:p w14:paraId="12042184">
            <w:pPr>
              <w:pStyle w:val="6"/>
              <w:spacing w:before="57" w:line="231" w:lineRule="auto"/>
              <w:ind w:left="117"/>
              <w:rPr>
                <w:sz w:val="18"/>
                <w:szCs w:val="18"/>
              </w:rPr>
            </w:pPr>
            <w:r>
              <w:rPr>
                <w:spacing w:val="-2"/>
                <w:sz w:val="18"/>
                <w:szCs w:val="18"/>
              </w:rPr>
              <w:t>0.14</w:t>
            </w:r>
          </w:p>
        </w:tc>
        <w:tc>
          <w:tcPr>
            <w:tcW w:w="1081" w:type="dxa"/>
            <w:vAlign w:val="top"/>
          </w:tcPr>
          <w:p w14:paraId="6A9437AC">
            <w:pPr>
              <w:spacing w:before="86"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0.152</w:t>
            </w:r>
          </w:p>
        </w:tc>
        <w:tc>
          <w:tcPr>
            <w:tcW w:w="581" w:type="dxa"/>
            <w:vAlign w:val="top"/>
          </w:tcPr>
          <w:p w14:paraId="0C933451">
            <w:pPr>
              <w:pStyle w:val="6"/>
              <w:spacing w:before="57" w:line="231" w:lineRule="auto"/>
              <w:ind w:left="115"/>
              <w:rPr>
                <w:sz w:val="18"/>
                <w:szCs w:val="18"/>
              </w:rPr>
            </w:pPr>
            <w:r>
              <w:rPr>
                <w:spacing w:val="-2"/>
                <w:sz w:val="18"/>
                <w:szCs w:val="18"/>
              </w:rPr>
              <w:t>0.30</w:t>
            </w:r>
          </w:p>
        </w:tc>
      </w:tr>
      <w:tr w14:paraId="62503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40" w:type="dxa"/>
            <w:vAlign w:val="top"/>
          </w:tcPr>
          <w:p w14:paraId="1AC0212C">
            <w:pPr>
              <w:pStyle w:val="6"/>
              <w:spacing w:before="84" w:line="219" w:lineRule="auto"/>
              <w:ind w:left="118"/>
              <w:rPr>
                <w:sz w:val="18"/>
                <w:szCs w:val="18"/>
              </w:rPr>
            </w:pPr>
            <w:r>
              <w:rPr>
                <w:spacing w:val="-3"/>
                <w:sz w:val="18"/>
                <w:szCs w:val="18"/>
              </w:rPr>
              <w:t>总大肠菌</w:t>
            </w:r>
          </w:p>
          <w:p w14:paraId="3D5C911C">
            <w:pPr>
              <w:pStyle w:val="6"/>
              <w:spacing w:before="19" w:line="219" w:lineRule="auto"/>
              <w:ind w:left="384"/>
              <w:rPr>
                <w:sz w:val="18"/>
                <w:szCs w:val="18"/>
              </w:rPr>
            </w:pPr>
            <w:r>
              <w:rPr>
                <w:sz w:val="18"/>
                <w:szCs w:val="18"/>
              </w:rPr>
              <w:t>群</w:t>
            </w:r>
          </w:p>
        </w:tc>
        <w:tc>
          <w:tcPr>
            <w:tcW w:w="1176" w:type="dxa"/>
            <w:vAlign w:val="top"/>
          </w:tcPr>
          <w:p w14:paraId="4AE9CA18">
            <w:pPr>
              <w:spacing w:before="229" w:line="192" w:lineRule="auto"/>
              <w:ind w:left="1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MPN/100mL</w:t>
            </w:r>
          </w:p>
        </w:tc>
        <w:tc>
          <w:tcPr>
            <w:tcW w:w="764" w:type="dxa"/>
            <w:vAlign w:val="top"/>
          </w:tcPr>
          <w:p w14:paraId="740248AA">
            <w:pPr>
              <w:pStyle w:val="6"/>
              <w:spacing w:before="201" w:line="236" w:lineRule="auto"/>
              <w:ind w:left="263"/>
              <w:rPr>
                <w:rFonts w:ascii="Times New Roman" w:hAnsi="Times New Roman" w:eastAsia="Times New Roman" w:cs="Times New Roman"/>
                <w:sz w:val="18"/>
                <w:szCs w:val="18"/>
              </w:rPr>
            </w:pPr>
            <w:r>
              <w:rPr>
                <w:spacing w:val="-10"/>
                <w:sz w:val="18"/>
                <w:szCs w:val="18"/>
              </w:rPr>
              <w:t>≤</w:t>
            </w:r>
            <w:r>
              <w:rPr>
                <w:rFonts w:ascii="Times New Roman" w:hAnsi="Times New Roman" w:eastAsia="Times New Roman" w:cs="Times New Roman"/>
                <w:spacing w:val="-10"/>
                <w:sz w:val="18"/>
                <w:szCs w:val="18"/>
              </w:rPr>
              <w:t>3</w:t>
            </w:r>
          </w:p>
        </w:tc>
        <w:tc>
          <w:tcPr>
            <w:tcW w:w="1109" w:type="dxa"/>
            <w:vAlign w:val="top"/>
          </w:tcPr>
          <w:p w14:paraId="4BC65041">
            <w:pPr>
              <w:spacing w:before="232" w:line="188" w:lineRule="auto"/>
              <w:ind w:left="52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6" w:type="dxa"/>
            <w:vAlign w:val="top"/>
          </w:tcPr>
          <w:p w14:paraId="541D9F19">
            <w:pPr>
              <w:pStyle w:val="6"/>
              <w:spacing w:before="201" w:line="239" w:lineRule="auto"/>
              <w:ind w:left="114"/>
              <w:rPr>
                <w:sz w:val="18"/>
                <w:szCs w:val="18"/>
              </w:rPr>
            </w:pPr>
            <w:r>
              <w:rPr>
                <w:spacing w:val="-2"/>
                <w:sz w:val="18"/>
                <w:szCs w:val="18"/>
              </w:rPr>
              <w:t>0.33</w:t>
            </w:r>
          </w:p>
        </w:tc>
        <w:tc>
          <w:tcPr>
            <w:tcW w:w="1078" w:type="dxa"/>
            <w:vAlign w:val="top"/>
          </w:tcPr>
          <w:p w14:paraId="07C41B63">
            <w:pPr>
              <w:spacing w:before="232" w:line="188" w:lineRule="auto"/>
              <w:ind w:left="5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6" w:type="dxa"/>
            <w:vAlign w:val="top"/>
          </w:tcPr>
          <w:p w14:paraId="08C85B29">
            <w:pPr>
              <w:pStyle w:val="6"/>
              <w:spacing w:before="201" w:line="239" w:lineRule="auto"/>
              <w:ind w:left="114"/>
              <w:rPr>
                <w:sz w:val="18"/>
                <w:szCs w:val="18"/>
              </w:rPr>
            </w:pPr>
            <w:r>
              <w:rPr>
                <w:spacing w:val="-2"/>
                <w:sz w:val="18"/>
                <w:szCs w:val="18"/>
              </w:rPr>
              <w:t>0.33</w:t>
            </w:r>
          </w:p>
        </w:tc>
        <w:tc>
          <w:tcPr>
            <w:tcW w:w="1078" w:type="dxa"/>
            <w:vAlign w:val="top"/>
          </w:tcPr>
          <w:p w14:paraId="47440E3E">
            <w:pPr>
              <w:spacing w:before="232" w:line="188" w:lineRule="auto"/>
              <w:ind w:left="5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6" w:type="dxa"/>
            <w:vAlign w:val="top"/>
          </w:tcPr>
          <w:p w14:paraId="2853748D">
            <w:pPr>
              <w:pStyle w:val="6"/>
              <w:spacing w:before="201" w:line="239" w:lineRule="auto"/>
              <w:ind w:left="114"/>
              <w:rPr>
                <w:sz w:val="18"/>
                <w:szCs w:val="18"/>
              </w:rPr>
            </w:pPr>
            <w:r>
              <w:rPr>
                <w:spacing w:val="-2"/>
                <w:sz w:val="18"/>
                <w:szCs w:val="18"/>
              </w:rPr>
              <w:t>0.33</w:t>
            </w:r>
          </w:p>
        </w:tc>
        <w:tc>
          <w:tcPr>
            <w:tcW w:w="1081" w:type="dxa"/>
            <w:vAlign w:val="top"/>
          </w:tcPr>
          <w:p w14:paraId="0292C041">
            <w:pPr>
              <w:spacing w:before="232" w:line="188" w:lineRule="auto"/>
              <w:ind w:left="51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77" w:type="dxa"/>
            <w:vAlign w:val="top"/>
          </w:tcPr>
          <w:p w14:paraId="5809440D">
            <w:pPr>
              <w:pStyle w:val="6"/>
              <w:spacing w:before="201" w:line="239" w:lineRule="auto"/>
              <w:ind w:left="115"/>
              <w:rPr>
                <w:sz w:val="18"/>
                <w:szCs w:val="18"/>
              </w:rPr>
            </w:pPr>
            <w:r>
              <w:rPr>
                <w:spacing w:val="-2"/>
                <w:sz w:val="18"/>
                <w:szCs w:val="18"/>
              </w:rPr>
              <w:t>0.33</w:t>
            </w:r>
          </w:p>
        </w:tc>
        <w:tc>
          <w:tcPr>
            <w:tcW w:w="1082" w:type="dxa"/>
            <w:vAlign w:val="top"/>
          </w:tcPr>
          <w:p w14:paraId="36A8C192">
            <w:pPr>
              <w:spacing w:before="232" w:line="188" w:lineRule="auto"/>
              <w:ind w:left="51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80" w:type="dxa"/>
            <w:vAlign w:val="top"/>
          </w:tcPr>
          <w:p w14:paraId="340618F9">
            <w:pPr>
              <w:pStyle w:val="6"/>
              <w:spacing w:before="201" w:line="239" w:lineRule="auto"/>
              <w:ind w:left="117"/>
              <w:rPr>
                <w:sz w:val="18"/>
                <w:szCs w:val="18"/>
              </w:rPr>
            </w:pPr>
            <w:r>
              <w:rPr>
                <w:spacing w:val="-2"/>
                <w:sz w:val="18"/>
                <w:szCs w:val="18"/>
              </w:rPr>
              <w:t>0.33</w:t>
            </w:r>
          </w:p>
        </w:tc>
        <w:tc>
          <w:tcPr>
            <w:tcW w:w="1073" w:type="dxa"/>
            <w:vAlign w:val="top"/>
          </w:tcPr>
          <w:p w14:paraId="5221158D">
            <w:pPr>
              <w:spacing w:before="232" w:line="188" w:lineRule="auto"/>
              <w:ind w:left="50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80" w:type="dxa"/>
            <w:vAlign w:val="top"/>
          </w:tcPr>
          <w:p w14:paraId="307FC724">
            <w:pPr>
              <w:pStyle w:val="6"/>
              <w:spacing w:before="201" w:line="239" w:lineRule="auto"/>
              <w:ind w:left="117"/>
              <w:rPr>
                <w:sz w:val="18"/>
                <w:szCs w:val="18"/>
              </w:rPr>
            </w:pPr>
            <w:r>
              <w:rPr>
                <w:spacing w:val="-2"/>
                <w:sz w:val="18"/>
                <w:szCs w:val="18"/>
              </w:rPr>
              <w:t>0.33</w:t>
            </w:r>
          </w:p>
        </w:tc>
        <w:tc>
          <w:tcPr>
            <w:tcW w:w="1081" w:type="dxa"/>
            <w:vAlign w:val="top"/>
          </w:tcPr>
          <w:p w14:paraId="5AC98351">
            <w:pPr>
              <w:spacing w:before="232" w:line="188" w:lineRule="auto"/>
              <w:ind w:left="51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81" w:type="dxa"/>
            <w:vAlign w:val="top"/>
          </w:tcPr>
          <w:p w14:paraId="4A00DAB3">
            <w:pPr>
              <w:pStyle w:val="6"/>
              <w:spacing w:before="201" w:line="239" w:lineRule="auto"/>
              <w:ind w:left="115"/>
              <w:rPr>
                <w:sz w:val="18"/>
                <w:szCs w:val="18"/>
              </w:rPr>
            </w:pPr>
            <w:r>
              <w:rPr>
                <w:spacing w:val="-2"/>
                <w:sz w:val="18"/>
                <w:szCs w:val="18"/>
              </w:rPr>
              <w:t>0.33</w:t>
            </w:r>
          </w:p>
        </w:tc>
      </w:tr>
      <w:tr w14:paraId="13C9E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50ECCDB">
            <w:pPr>
              <w:pStyle w:val="6"/>
              <w:spacing w:before="58" w:line="219" w:lineRule="auto"/>
              <w:ind w:left="114"/>
              <w:rPr>
                <w:sz w:val="18"/>
                <w:szCs w:val="18"/>
              </w:rPr>
            </w:pPr>
            <w:r>
              <w:rPr>
                <w:spacing w:val="-2"/>
                <w:sz w:val="18"/>
                <w:szCs w:val="18"/>
              </w:rPr>
              <w:t>细菌总数</w:t>
            </w:r>
          </w:p>
        </w:tc>
        <w:tc>
          <w:tcPr>
            <w:tcW w:w="1176" w:type="dxa"/>
            <w:vAlign w:val="top"/>
          </w:tcPr>
          <w:p w14:paraId="3F1C054B">
            <w:pPr>
              <w:spacing w:before="85" w:line="192"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CFU/mL</w:t>
            </w:r>
          </w:p>
        </w:tc>
        <w:tc>
          <w:tcPr>
            <w:tcW w:w="764" w:type="dxa"/>
            <w:vAlign w:val="top"/>
          </w:tcPr>
          <w:p w14:paraId="53D96631">
            <w:pPr>
              <w:pStyle w:val="6"/>
              <w:spacing w:before="57" w:line="231" w:lineRule="auto"/>
              <w:ind w:left="172"/>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100</w:t>
            </w:r>
          </w:p>
        </w:tc>
        <w:tc>
          <w:tcPr>
            <w:tcW w:w="1109" w:type="dxa"/>
            <w:vAlign w:val="top"/>
          </w:tcPr>
          <w:p w14:paraId="2FADEF6E">
            <w:pPr>
              <w:spacing w:before="89" w:line="188" w:lineRule="auto"/>
              <w:ind w:left="4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tc>
        <w:tc>
          <w:tcPr>
            <w:tcW w:w="576" w:type="dxa"/>
            <w:vAlign w:val="top"/>
          </w:tcPr>
          <w:p w14:paraId="4C3C96EA">
            <w:pPr>
              <w:pStyle w:val="6"/>
              <w:spacing w:before="57" w:line="231" w:lineRule="auto"/>
              <w:ind w:left="114"/>
              <w:rPr>
                <w:sz w:val="18"/>
                <w:szCs w:val="18"/>
              </w:rPr>
            </w:pPr>
            <w:r>
              <w:rPr>
                <w:spacing w:val="-2"/>
                <w:sz w:val="18"/>
                <w:szCs w:val="18"/>
              </w:rPr>
              <w:t>0.62</w:t>
            </w:r>
          </w:p>
        </w:tc>
        <w:tc>
          <w:tcPr>
            <w:tcW w:w="1078" w:type="dxa"/>
            <w:vAlign w:val="top"/>
          </w:tcPr>
          <w:p w14:paraId="363F1631">
            <w:pPr>
              <w:spacing w:before="89" w:line="188"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tc>
        <w:tc>
          <w:tcPr>
            <w:tcW w:w="576" w:type="dxa"/>
            <w:vAlign w:val="top"/>
          </w:tcPr>
          <w:p w14:paraId="0C74D459">
            <w:pPr>
              <w:pStyle w:val="6"/>
              <w:spacing w:before="57" w:line="231" w:lineRule="auto"/>
              <w:ind w:left="114"/>
              <w:rPr>
                <w:sz w:val="18"/>
                <w:szCs w:val="18"/>
              </w:rPr>
            </w:pPr>
            <w:r>
              <w:rPr>
                <w:spacing w:val="-2"/>
                <w:sz w:val="18"/>
                <w:szCs w:val="18"/>
              </w:rPr>
              <w:t>0.58</w:t>
            </w:r>
          </w:p>
        </w:tc>
        <w:tc>
          <w:tcPr>
            <w:tcW w:w="1078" w:type="dxa"/>
            <w:vAlign w:val="top"/>
          </w:tcPr>
          <w:p w14:paraId="41850D7D">
            <w:pPr>
              <w:spacing w:before="89" w:line="188"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tc>
        <w:tc>
          <w:tcPr>
            <w:tcW w:w="576" w:type="dxa"/>
            <w:vAlign w:val="top"/>
          </w:tcPr>
          <w:p w14:paraId="1906D702">
            <w:pPr>
              <w:pStyle w:val="6"/>
              <w:spacing w:before="57" w:line="231" w:lineRule="auto"/>
              <w:ind w:left="114"/>
              <w:rPr>
                <w:sz w:val="18"/>
                <w:szCs w:val="18"/>
              </w:rPr>
            </w:pPr>
            <w:r>
              <w:rPr>
                <w:spacing w:val="-2"/>
                <w:sz w:val="18"/>
                <w:szCs w:val="18"/>
              </w:rPr>
              <w:t>0.51</w:t>
            </w:r>
          </w:p>
        </w:tc>
        <w:tc>
          <w:tcPr>
            <w:tcW w:w="1081" w:type="dxa"/>
            <w:vAlign w:val="top"/>
          </w:tcPr>
          <w:p w14:paraId="2D5D0EB1">
            <w:pPr>
              <w:spacing w:before="89" w:line="188" w:lineRule="auto"/>
              <w:ind w:left="4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tc>
        <w:tc>
          <w:tcPr>
            <w:tcW w:w="577" w:type="dxa"/>
            <w:vAlign w:val="top"/>
          </w:tcPr>
          <w:p w14:paraId="2B59F74D">
            <w:pPr>
              <w:pStyle w:val="6"/>
              <w:spacing w:before="57" w:line="231" w:lineRule="auto"/>
              <w:ind w:left="115"/>
              <w:rPr>
                <w:sz w:val="18"/>
                <w:szCs w:val="18"/>
              </w:rPr>
            </w:pPr>
            <w:r>
              <w:rPr>
                <w:spacing w:val="-2"/>
                <w:sz w:val="18"/>
                <w:szCs w:val="18"/>
              </w:rPr>
              <w:t>0.52</w:t>
            </w:r>
          </w:p>
        </w:tc>
        <w:tc>
          <w:tcPr>
            <w:tcW w:w="1082" w:type="dxa"/>
            <w:vAlign w:val="top"/>
          </w:tcPr>
          <w:p w14:paraId="21EB4ED1">
            <w:pPr>
              <w:spacing w:before="89" w:line="188" w:lineRule="auto"/>
              <w:ind w:left="4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tc>
        <w:tc>
          <w:tcPr>
            <w:tcW w:w="580" w:type="dxa"/>
            <w:vAlign w:val="top"/>
          </w:tcPr>
          <w:p w14:paraId="09746D9A">
            <w:pPr>
              <w:pStyle w:val="6"/>
              <w:spacing w:before="57" w:line="231" w:lineRule="auto"/>
              <w:ind w:left="117"/>
              <w:rPr>
                <w:sz w:val="18"/>
                <w:szCs w:val="18"/>
              </w:rPr>
            </w:pPr>
            <w:r>
              <w:rPr>
                <w:spacing w:val="-2"/>
                <w:sz w:val="18"/>
                <w:szCs w:val="18"/>
              </w:rPr>
              <w:t>0.26</w:t>
            </w:r>
          </w:p>
        </w:tc>
        <w:tc>
          <w:tcPr>
            <w:tcW w:w="1073" w:type="dxa"/>
            <w:vAlign w:val="top"/>
          </w:tcPr>
          <w:p w14:paraId="255B64BF">
            <w:pPr>
              <w:spacing w:before="89" w:line="188" w:lineRule="auto"/>
              <w:ind w:left="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580" w:type="dxa"/>
            <w:vAlign w:val="top"/>
          </w:tcPr>
          <w:p w14:paraId="6E25E30F">
            <w:pPr>
              <w:pStyle w:val="6"/>
              <w:spacing w:before="57" w:line="231" w:lineRule="auto"/>
              <w:ind w:left="117"/>
              <w:rPr>
                <w:sz w:val="18"/>
                <w:szCs w:val="18"/>
              </w:rPr>
            </w:pPr>
            <w:r>
              <w:rPr>
                <w:spacing w:val="-2"/>
                <w:sz w:val="18"/>
                <w:szCs w:val="18"/>
              </w:rPr>
              <w:t>0.30</w:t>
            </w:r>
          </w:p>
        </w:tc>
        <w:tc>
          <w:tcPr>
            <w:tcW w:w="1081" w:type="dxa"/>
            <w:vAlign w:val="top"/>
          </w:tcPr>
          <w:p w14:paraId="70FE9222">
            <w:pPr>
              <w:spacing w:before="89" w:line="188"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tc>
        <w:tc>
          <w:tcPr>
            <w:tcW w:w="581" w:type="dxa"/>
            <w:vAlign w:val="top"/>
          </w:tcPr>
          <w:p w14:paraId="7745A4D0">
            <w:pPr>
              <w:pStyle w:val="6"/>
              <w:spacing w:before="57" w:line="231" w:lineRule="auto"/>
              <w:ind w:left="115"/>
              <w:rPr>
                <w:sz w:val="18"/>
                <w:szCs w:val="18"/>
              </w:rPr>
            </w:pPr>
            <w:r>
              <w:rPr>
                <w:spacing w:val="-2"/>
                <w:sz w:val="18"/>
                <w:szCs w:val="18"/>
              </w:rPr>
              <w:t>0.37</w:t>
            </w:r>
          </w:p>
        </w:tc>
      </w:tr>
      <w:tr w14:paraId="60D80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40" w:type="dxa"/>
            <w:vAlign w:val="top"/>
          </w:tcPr>
          <w:p w14:paraId="71A79DF3">
            <w:pPr>
              <w:pStyle w:val="6"/>
              <w:spacing w:before="86" w:line="221" w:lineRule="auto"/>
              <w:ind w:left="115"/>
              <w:rPr>
                <w:sz w:val="18"/>
                <w:szCs w:val="18"/>
              </w:rPr>
            </w:pPr>
            <w:r>
              <w:rPr>
                <w:spacing w:val="-3"/>
                <w:sz w:val="18"/>
                <w:szCs w:val="18"/>
              </w:rPr>
              <w:t>亚硝酸盐</w:t>
            </w:r>
          </w:p>
          <w:p w14:paraId="3784955A">
            <w:pPr>
              <w:pStyle w:val="6"/>
              <w:spacing w:before="17" w:line="219" w:lineRule="auto"/>
              <w:ind w:left="383"/>
              <w:rPr>
                <w:sz w:val="18"/>
                <w:szCs w:val="18"/>
              </w:rPr>
            </w:pPr>
            <w:r>
              <w:rPr>
                <w:sz w:val="18"/>
                <w:szCs w:val="18"/>
              </w:rPr>
              <w:t>氮</w:t>
            </w:r>
          </w:p>
        </w:tc>
        <w:tc>
          <w:tcPr>
            <w:tcW w:w="1176" w:type="dxa"/>
            <w:vAlign w:val="top"/>
          </w:tcPr>
          <w:p w14:paraId="29FD1628">
            <w:pPr>
              <w:spacing w:before="229"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1A206DEC">
            <w:pPr>
              <w:pStyle w:val="6"/>
              <w:spacing w:before="201" w:line="236"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1.0</w:t>
            </w:r>
          </w:p>
        </w:tc>
        <w:tc>
          <w:tcPr>
            <w:tcW w:w="1109" w:type="dxa"/>
            <w:vAlign w:val="top"/>
          </w:tcPr>
          <w:p w14:paraId="1927A538">
            <w:pPr>
              <w:spacing w:before="232"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76" w:type="dxa"/>
            <w:vAlign w:val="top"/>
          </w:tcPr>
          <w:p w14:paraId="3A760889">
            <w:pPr>
              <w:pStyle w:val="6"/>
              <w:spacing w:before="201"/>
              <w:ind w:left="169"/>
              <w:rPr>
                <w:sz w:val="18"/>
                <w:szCs w:val="18"/>
              </w:rPr>
            </w:pPr>
            <w:r>
              <w:rPr>
                <w:spacing w:val="29"/>
                <w:w w:val="106"/>
                <w:sz w:val="18"/>
                <w:szCs w:val="18"/>
              </w:rPr>
              <w:t>&lt;1</w:t>
            </w:r>
          </w:p>
        </w:tc>
        <w:tc>
          <w:tcPr>
            <w:tcW w:w="1078" w:type="dxa"/>
            <w:vAlign w:val="top"/>
          </w:tcPr>
          <w:p w14:paraId="3BA85B04">
            <w:pPr>
              <w:spacing w:before="23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76" w:type="dxa"/>
            <w:vAlign w:val="top"/>
          </w:tcPr>
          <w:p w14:paraId="67165068">
            <w:pPr>
              <w:pStyle w:val="6"/>
              <w:spacing w:before="201"/>
              <w:ind w:left="171"/>
              <w:rPr>
                <w:sz w:val="18"/>
                <w:szCs w:val="18"/>
              </w:rPr>
            </w:pPr>
            <w:r>
              <w:rPr>
                <w:spacing w:val="29"/>
                <w:w w:val="106"/>
                <w:sz w:val="18"/>
                <w:szCs w:val="18"/>
              </w:rPr>
              <w:t>&lt;1</w:t>
            </w:r>
          </w:p>
        </w:tc>
        <w:tc>
          <w:tcPr>
            <w:tcW w:w="1078" w:type="dxa"/>
            <w:vAlign w:val="top"/>
          </w:tcPr>
          <w:p w14:paraId="26A5BD83">
            <w:pPr>
              <w:spacing w:before="232"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76" w:type="dxa"/>
            <w:vAlign w:val="top"/>
          </w:tcPr>
          <w:p w14:paraId="21814648">
            <w:pPr>
              <w:pStyle w:val="6"/>
              <w:spacing w:before="201"/>
              <w:ind w:left="171"/>
              <w:rPr>
                <w:sz w:val="18"/>
                <w:szCs w:val="18"/>
              </w:rPr>
            </w:pPr>
            <w:r>
              <w:rPr>
                <w:spacing w:val="29"/>
                <w:w w:val="106"/>
                <w:sz w:val="18"/>
                <w:szCs w:val="18"/>
              </w:rPr>
              <w:t>&lt;1</w:t>
            </w:r>
          </w:p>
        </w:tc>
        <w:tc>
          <w:tcPr>
            <w:tcW w:w="1081" w:type="dxa"/>
            <w:vAlign w:val="top"/>
          </w:tcPr>
          <w:p w14:paraId="1F730EC3">
            <w:pPr>
              <w:spacing w:before="232"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77" w:type="dxa"/>
            <w:vAlign w:val="top"/>
          </w:tcPr>
          <w:p w14:paraId="5997E5D4">
            <w:pPr>
              <w:pStyle w:val="6"/>
              <w:spacing w:before="201"/>
              <w:ind w:left="172"/>
              <w:rPr>
                <w:sz w:val="18"/>
                <w:szCs w:val="18"/>
              </w:rPr>
            </w:pPr>
            <w:r>
              <w:rPr>
                <w:spacing w:val="29"/>
                <w:w w:val="106"/>
                <w:sz w:val="18"/>
                <w:szCs w:val="18"/>
              </w:rPr>
              <w:t>&lt;1</w:t>
            </w:r>
          </w:p>
        </w:tc>
        <w:tc>
          <w:tcPr>
            <w:tcW w:w="1082" w:type="dxa"/>
            <w:vAlign w:val="top"/>
          </w:tcPr>
          <w:p w14:paraId="11FCCC92">
            <w:pPr>
              <w:spacing w:before="232"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0.012</w:t>
            </w:r>
          </w:p>
        </w:tc>
        <w:tc>
          <w:tcPr>
            <w:tcW w:w="580" w:type="dxa"/>
            <w:vAlign w:val="top"/>
          </w:tcPr>
          <w:p w14:paraId="7103AA27">
            <w:pPr>
              <w:pStyle w:val="6"/>
              <w:spacing w:before="201" w:line="239" w:lineRule="auto"/>
              <w:ind w:left="117"/>
              <w:rPr>
                <w:sz w:val="18"/>
                <w:szCs w:val="18"/>
              </w:rPr>
            </w:pPr>
            <w:r>
              <w:rPr>
                <w:spacing w:val="-2"/>
                <w:sz w:val="18"/>
                <w:szCs w:val="18"/>
              </w:rPr>
              <w:t>0.01</w:t>
            </w:r>
          </w:p>
        </w:tc>
        <w:tc>
          <w:tcPr>
            <w:tcW w:w="1073" w:type="dxa"/>
            <w:vAlign w:val="top"/>
          </w:tcPr>
          <w:p w14:paraId="2711DA9C">
            <w:pPr>
              <w:spacing w:before="232" w:line="188"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0.011</w:t>
            </w:r>
          </w:p>
        </w:tc>
        <w:tc>
          <w:tcPr>
            <w:tcW w:w="580" w:type="dxa"/>
            <w:vAlign w:val="top"/>
          </w:tcPr>
          <w:p w14:paraId="15EDBF2D">
            <w:pPr>
              <w:pStyle w:val="6"/>
              <w:spacing w:before="201" w:line="239" w:lineRule="auto"/>
              <w:ind w:left="117"/>
              <w:rPr>
                <w:sz w:val="18"/>
                <w:szCs w:val="18"/>
              </w:rPr>
            </w:pPr>
            <w:r>
              <w:rPr>
                <w:spacing w:val="-2"/>
                <w:sz w:val="18"/>
                <w:szCs w:val="18"/>
              </w:rPr>
              <w:t>0.01</w:t>
            </w:r>
          </w:p>
        </w:tc>
        <w:tc>
          <w:tcPr>
            <w:tcW w:w="1081" w:type="dxa"/>
            <w:vAlign w:val="top"/>
          </w:tcPr>
          <w:p w14:paraId="1C0707C8">
            <w:pPr>
              <w:spacing w:before="232"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0.003L</w:t>
            </w:r>
          </w:p>
        </w:tc>
        <w:tc>
          <w:tcPr>
            <w:tcW w:w="581" w:type="dxa"/>
            <w:vAlign w:val="top"/>
          </w:tcPr>
          <w:p w14:paraId="5376896F">
            <w:pPr>
              <w:pStyle w:val="6"/>
              <w:spacing w:before="201"/>
              <w:ind w:left="172"/>
              <w:rPr>
                <w:sz w:val="18"/>
                <w:szCs w:val="18"/>
              </w:rPr>
            </w:pPr>
            <w:r>
              <w:rPr>
                <w:spacing w:val="29"/>
                <w:w w:val="106"/>
                <w:sz w:val="18"/>
                <w:szCs w:val="18"/>
              </w:rPr>
              <w:t>&lt;1</w:t>
            </w:r>
          </w:p>
        </w:tc>
      </w:tr>
      <w:tr w14:paraId="711F8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5E24977B">
            <w:pPr>
              <w:pStyle w:val="6"/>
              <w:spacing w:before="57" w:line="219" w:lineRule="auto"/>
              <w:ind w:left="115"/>
              <w:rPr>
                <w:sz w:val="18"/>
                <w:szCs w:val="18"/>
              </w:rPr>
            </w:pPr>
            <w:r>
              <w:rPr>
                <w:spacing w:val="-3"/>
                <w:sz w:val="18"/>
                <w:szCs w:val="18"/>
              </w:rPr>
              <w:t>硝酸盐氮</w:t>
            </w:r>
          </w:p>
        </w:tc>
        <w:tc>
          <w:tcPr>
            <w:tcW w:w="1176" w:type="dxa"/>
            <w:vAlign w:val="top"/>
          </w:tcPr>
          <w:p w14:paraId="1C0C1550">
            <w:pPr>
              <w:spacing w:before="86"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1CB63435">
            <w:pPr>
              <w:pStyle w:val="6"/>
              <w:spacing w:before="57" w:line="231"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20.0</w:t>
            </w:r>
          </w:p>
        </w:tc>
        <w:tc>
          <w:tcPr>
            <w:tcW w:w="1109" w:type="dxa"/>
            <w:vAlign w:val="top"/>
          </w:tcPr>
          <w:p w14:paraId="535D4D94">
            <w:pPr>
              <w:spacing w:before="89" w:line="188" w:lineRule="auto"/>
              <w:ind w:left="4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6.72</w:t>
            </w:r>
          </w:p>
        </w:tc>
        <w:tc>
          <w:tcPr>
            <w:tcW w:w="576" w:type="dxa"/>
            <w:vAlign w:val="top"/>
          </w:tcPr>
          <w:p w14:paraId="3639E284">
            <w:pPr>
              <w:pStyle w:val="6"/>
              <w:spacing w:before="57" w:line="231" w:lineRule="auto"/>
              <w:ind w:left="114"/>
              <w:rPr>
                <w:sz w:val="18"/>
                <w:szCs w:val="18"/>
              </w:rPr>
            </w:pPr>
            <w:r>
              <w:rPr>
                <w:spacing w:val="-2"/>
                <w:sz w:val="18"/>
                <w:szCs w:val="18"/>
              </w:rPr>
              <w:t>0.34</w:t>
            </w:r>
          </w:p>
        </w:tc>
        <w:tc>
          <w:tcPr>
            <w:tcW w:w="1078" w:type="dxa"/>
            <w:vAlign w:val="top"/>
          </w:tcPr>
          <w:p w14:paraId="7738CC9F">
            <w:pPr>
              <w:spacing w:before="89"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8.51</w:t>
            </w:r>
          </w:p>
        </w:tc>
        <w:tc>
          <w:tcPr>
            <w:tcW w:w="576" w:type="dxa"/>
            <w:vAlign w:val="top"/>
          </w:tcPr>
          <w:p w14:paraId="519A73F0">
            <w:pPr>
              <w:pStyle w:val="6"/>
              <w:spacing w:before="57" w:line="231" w:lineRule="auto"/>
              <w:ind w:left="114"/>
              <w:rPr>
                <w:sz w:val="18"/>
                <w:szCs w:val="18"/>
              </w:rPr>
            </w:pPr>
            <w:r>
              <w:rPr>
                <w:spacing w:val="-2"/>
                <w:sz w:val="18"/>
                <w:szCs w:val="18"/>
              </w:rPr>
              <w:t>0.43</w:t>
            </w:r>
          </w:p>
        </w:tc>
        <w:tc>
          <w:tcPr>
            <w:tcW w:w="1078" w:type="dxa"/>
            <w:vAlign w:val="top"/>
          </w:tcPr>
          <w:p w14:paraId="04C4D1FB">
            <w:pPr>
              <w:spacing w:before="89" w:line="188"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7.22</w:t>
            </w:r>
          </w:p>
        </w:tc>
        <w:tc>
          <w:tcPr>
            <w:tcW w:w="576" w:type="dxa"/>
            <w:vAlign w:val="top"/>
          </w:tcPr>
          <w:p w14:paraId="320B2053">
            <w:pPr>
              <w:pStyle w:val="6"/>
              <w:spacing w:before="57" w:line="231" w:lineRule="auto"/>
              <w:ind w:left="114"/>
              <w:rPr>
                <w:sz w:val="18"/>
                <w:szCs w:val="18"/>
              </w:rPr>
            </w:pPr>
            <w:r>
              <w:rPr>
                <w:spacing w:val="-2"/>
                <w:sz w:val="18"/>
                <w:szCs w:val="18"/>
              </w:rPr>
              <w:t>0.36</w:t>
            </w:r>
          </w:p>
        </w:tc>
        <w:tc>
          <w:tcPr>
            <w:tcW w:w="1081" w:type="dxa"/>
            <w:vAlign w:val="top"/>
          </w:tcPr>
          <w:p w14:paraId="20854A68">
            <w:pPr>
              <w:spacing w:before="89" w:line="188"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6.57</w:t>
            </w:r>
          </w:p>
        </w:tc>
        <w:tc>
          <w:tcPr>
            <w:tcW w:w="577" w:type="dxa"/>
            <w:vAlign w:val="top"/>
          </w:tcPr>
          <w:p w14:paraId="5F4BC9A4">
            <w:pPr>
              <w:pStyle w:val="6"/>
              <w:spacing w:before="57" w:line="231" w:lineRule="auto"/>
              <w:ind w:left="115"/>
              <w:rPr>
                <w:sz w:val="18"/>
                <w:szCs w:val="18"/>
              </w:rPr>
            </w:pPr>
            <w:r>
              <w:rPr>
                <w:spacing w:val="-2"/>
                <w:sz w:val="18"/>
                <w:szCs w:val="18"/>
              </w:rPr>
              <w:t>0.33</w:t>
            </w:r>
          </w:p>
        </w:tc>
        <w:tc>
          <w:tcPr>
            <w:tcW w:w="1082" w:type="dxa"/>
            <w:vAlign w:val="top"/>
          </w:tcPr>
          <w:p w14:paraId="6485355A">
            <w:pPr>
              <w:spacing w:before="89" w:line="188" w:lineRule="auto"/>
              <w:ind w:left="40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11.5</w:t>
            </w:r>
          </w:p>
        </w:tc>
        <w:tc>
          <w:tcPr>
            <w:tcW w:w="580" w:type="dxa"/>
            <w:vAlign w:val="top"/>
          </w:tcPr>
          <w:p w14:paraId="2E52984E">
            <w:pPr>
              <w:pStyle w:val="6"/>
              <w:spacing w:before="57" w:line="231" w:lineRule="auto"/>
              <w:ind w:left="117"/>
              <w:rPr>
                <w:sz w:val="18"/>
                <w:szCs w:val="18"/>
              </w:rPr>
            </w:pPr>
            <w:r>
              <w:rPr>
                <w:spacing w:val="-2"/>
                <w:sz w:val="18"/>
                <w:szCs w:val="18"/>
              </w:rPr>
              <w:t>0.58</w:t>
            </w:r>
          </w:p>
        </w:tc>
        <w:tc>
          <w:tcPr>
            <w:tcW w:w="1073" w:type="dxa"/>
            <w:vAlign w:val="top"/>
          </w:tcPr>
          <w:p w14:paraId="184153CC">
            <w:pPr>
              <w:spacing w:before="89" w:line="188"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9.38</w:t>
            </w:r>
          </w:p>
        </w:tc>
        <w:tc>
          <w:tcPr>
            <w:tcW w:w="580" w:type="dxa"/>
            <w:vAlign w:val="top"/>
          </w:tcPr>
          <w:p w14:paraId="7F06CEDA">
            <w:pPr>
              <w:pStyle w:val="6"/>
              <w:spacing w:before="57" w:line="231" w:lineRule="auto"/>
              <w:ind w:left="117"/>
              <w:rPr>
                <w:sz w:val="18"/>
                <w:szCs w:val="18"/>
              </w:rPr>
            </w:pPr>
            <w:r>
              <w:rPr>
                <w:spacing w:val="-2"/>
                <w:sz w:val="18"/>
                <w:szCs w:val="18"/>
              </w:rPr>
              <w:t>0.47</w:t>
            </w:r>
          </w:p>
        </w:tc>
        <w:tc>
          <w:tcPr>
            <w:tcW w:w="1081" w:type="dxa"/>
            <w:vAlign w:val="top"/>
          </w:tcPr>
          <w:p w14:paraId="42037C54">
            <w:pPr>
              <w:spacing w:before="89"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7.62</w:t>
            </w:r>
          </w:p>
        </w:tc>
        <w:tc>
          <w:tcPr>
            <w:tcW w:w="581" w:type="dxa"/>
            <w:vAlign w:val="top"/>
          </w:tcPr>
          <w:p w14:paraId="6540D504">
            <w:pPr>
              <w:pStyle w:val="6"/>
              <w:spacing w:before="57" w:line="231" w:lineRule="auto"/>
              <w:ind w:left="115"/>
              <w:rPr>
                <w:sz w:val="18"/>
                <w:szCs w:val="18"/>
              </w:rPr>
            </w:pPr>
            <w:r>
              <w:rPr>
                <w:spacing w:val="-2"/>
                <w:sz w:val="18"/>
                <w:szCs w:val="18"/>
              </w:rPr>
              <w:t>0.38</w:t>
            </w:r>
          </w:p>
        </w:tc>
      </w:tr>
      <w:tr w14:paraId="0361C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0A98EA25">
            <w:pPr>
              <w:pStyle w:val="6"/>
              <w:spacing w:before="60" w:line="219" w:lineRule="auto"/>
              <w:ind w:left="205"/>
              <w:rPr>
                <w:sz w:val="18"/>
                <w:szCs w:val="18"/>
              </w:rPr>
            </w:pPr>
            <w:r>
              <w:rPr>
                <w:spacing w:val="-3"/>
                <w:sz w:val="18"/>
                <w:szCs w:val="18"/>
              </w:rPr>
              <w:t>氟化物</w:t>
            </w:r>
          </w:p>
        </w:tc>
        <w:tc>
          <w:tcPr>
            <w:tcW w:w="1176" w:type="dxa"/>
            <w:vAlign w:val="top"/>
          </w:tcPr>
          <w:p w14:paraId="02C6E9CA">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06B859D7">
            <w:pPr>
              <w:pStyle w:val="6"/>
              <w:spacing w:before="59" w:line="229" w:lineRule="auto"/>
              <w:ind w:left="194"/>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1.0</w:t>
            </w:r>
          </w:p>
        </w:tc>
        <w:tc>
          <w:tcPr>
            <w:tcW w:w="1109" w:type="dxa"/>
            <w:vAlign w:val="top"/>
          </w:tcPr>
          <w:p w14:paraId="7E64828E">
            <w:pPr>
              <w:spacing w:before="89"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0.69</w:t>
            </w:r>
          </w:p>
        </w:tc>
        <w:tc>
          <w:tcPr>
            <w:tcW w:w="576" w:type="dxa"/>
            <w:vAlign w:val="top"/>
          </w:tcPr>
          <w:p w14:paraId="09C3F276">
            <w:pPr>
              <w:pStyle w:val="6"/>
              <w:spacing w:before="59" w:line="229" w:lineRule="auto"/>
              <w:ind w:left="114"/>
              <w:rPr>
                <w:sz w:val="18"/>
                <w:szCs w:val="18"/>
              </w:rPr>
            </w:pPr>
            <w:r>
              <w:rPr>
                <w:spacing w:val="-2"/>
                <w:sz w:val="18"/>
                <w:szCs w:val="18"/>
              </w:rPr>
              <w:t>0.69</w:t>
            </w:r>
          </w:p>
        </w:tc>
        <w:tc>
          <w:tcPr>
            <w:tcW w:w="1078" w:type="dxa"/>
            <w:vAlign w:val="top"/>
          </w:tcPr>
          <w:p w14:paraId="45AEE272">
            <w:pPr>
              <w:spacing w:before="89" w:line="188"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0.67</w:t>
            </w:r>
          </w:p>
        </w:tc>
        <w:tc>
          <w:tcPr>
            <w:tcW w:w="576" w:type="dxa"/>
            <w:vAlign w:val="top"/>
          </w:tcPr>
          <w:p w14:paraId="460B207E">
            <w:pPr>
              <w:pStyle w:val="6"/>
              <w:spacing w:before="59" w:line="229" w:lineRule="auto"/>
              <w:ind w:left="114"/>
              <w:rPr>
                <w:sz w:val="18"/>
                <w:szCs w:val="18"/>
              </w:rPr>
            </w:pPr>
            <w:r>
              <w:rPr>
                <w:spacing w:val="-2"/>
                <w:sz w:val="18"/>
                <w:szCs w:val="18"/>
              </w:rPr>
              <w:t>0.67</w:t>
            </w:r>
          </w:p>
        </w:tc>
        <w:tc>
          <w:tcPr>
            <w:tcW w:w="1078" w:type="dxa"/>
            <w:vAlign w:val="top"/>
          </w:tcPr>
          <w:p w14:paraId="37B9D99A">
            <w:pPr>
              <w:spacing w:before="89" w:line="188"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0.72</w:t>
            </w:r>
          </w:p>
        </w:tc>
        <w:tc>
          <w:tcPr>
            <w:tcW w:w="576" w:type="dxa"/>
            <w:vAlign w:val="top"/>
          </w:tcPr>
          <w:p w14:paraId="566E2334">
            <w:pPr>
              <w:pStyle w:val="6"/>
              <w:spacing w:before="59" w:line="229" w:lineRule="auto"/>
              <w:ind w:left="114"/>
              <w:rPr>
                <w:sz w:val="18"/>
                <w:szCs w:val="18"/>
              </w:rPr>
            </w:pPr>
            <w:r>
              <w:rPr>
                <w:spacing w:val="-2"/>
                <w:sz w:val="18"/>
                <w:szCs w:val="18"/>
              </w:rPr>
              <w:t>0.72</w:t>
            </w:r>
          </w:p>
        </w:tc>
        <w:tc>
          <w:tcPr>
            <w:tcW w:w="1081" w:type="dxa"/>
            <w:vAlign w:val="top"/>
          </w:tcPr>
          <w:p w14:paraId="5E29590C">
            <w:pPr>
              <w:spacing w:before="89"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0.69</w:t>
            </w:r>
          </w:p>
        </w:tc>
        <w:tc>
          <w:tcPr>
            <w:tcW w:w="577" w:type="dxa"/>
            <w:vAlign w:val="top"/>
          </w:tcPr>
          <w:p w14:paraId="54D31007">
            <w:pPr>
              <w:pStyle w:val="6"/>
              <w:spacing w:before="59" w:line="229" w:lineRule="auto"/>
              <w:ind w:left="115"/>
              <w:rPr>
                <w:sz w:val="18"/>
                <w:szCs w:val="18"/>
              </w:rPr>
            </w:pPr>
            <w:r>
              <w:rPr>
                <w:spacing w:val="-2"/>
                <w:sz w:val="18"/>
                <w:szCs w:val="18"/>
              </w:rPr>
              <w:t>0.69</w:t>
            </w:r>
          </w:p>
        </w:tc>
        <w:tc>
          <w:tcPr>
            <w:tcW w:w="1082" w:type="dxa"/>
            <w:vAlign w:val="top"/>
          </w:tcPr>
          <w:p w14:paraId="15D4B776">
            <w:pPr>
              <w:spacing w:before="89"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0.66</w:t>
            </w:r>
          </w:p>
        </w:tc>
        <w:tc>
          <w:tcPr>
            <w:tcW w:w="580" w:type="dxa"/>
            <w:vAlign w:val="top"/>
          </w:tcPr>
          <w:p w14:paraId="37FB6953">
            <w:pPr>
              <w:pStyle w:val="6"/>
              <w:spacing w:before="59" w:line="229" w:lineRule="auto"/>
              <w:ind w:left="117"/>
              <w:rPr>
                <w:sz w:val="18"/>
                <w:szCs w:val="18"/>
              </w:rPr>
            </w:pPr>
            <w:r>
              <w:rPr>
                <w:spacing w:val="-2"/>
                <w:sz w:val="18"/>
                <w:szCs w:val="18"/>
              </w:rPr>
              <w:t>0.66</w:t>
            </w:r>
          </w:p>
        </w:tc>
        <w:tc>
          <w:tcPr>
            <w:tcW w:w="1073" w:type="dxa"/>
            <w:vAlign w:val="top"/>
          </w:tcPr>
          <w:p w14:paraId="7A6A7F06">
            <w:pPr>
              <w:spacing w:before="88" w:line="188" w:lineRule="auto"/>
              <w:ind w:left="390"/>
              <w:rPr>
                <w:rFonts w:ascii="Times New Roman" w:hAnsi="Times New Roman" w:eastAsia="Times New Roman" w:cs="Times New Roman"/>
                <w:sz w:val="18"/>
                <w:szCs w:val="18"/>
              </w:rPr>
            </w:pPr>
            <w:r>
              <w:rPr>
                <w:rFonts w:ascii="Times New Roman" w:hAnsi="Times New Roman" w:eastAsia="Times New Roman" w:cs="Times New Roman"/>
                <w:b/>
                <w:bCs/>
                <w:spacing w:val="-3"/>
                <w:sz w:val="18"/>
                <w:szCs w:val="18"/>
              </w:rPr>
              <w:t>1.37</w:t>
            </w:r>
          </w:p>
        </w:tc>
        <w:tc>
          <w:tcPr>
            <w:tcW w:w="580" w:type="dxa"/>
            <w:vAlign w:val="top"/>
          </w:tcPr>
          <w:p w14:paraId="43C9D9B7">
            <w:pPr>
              <w:pStyle w:val="6"/>
              <w:spacing w:before="59" w:line="229" w:lineRule="auto"/>
              <w:ind w:left="127"/>
              <w:rPr>
                <w:sz w:val="18"/>
                <w:szCs w:val="18"/>
              </w:rPr>
            </w:pPr>
            <w:r>
              <w:rPr>
                <w:b/>
                <w:bCs/>
                <w:spacing w:val="-7"/>
                <w:sz w:val="18"/>
                <w:szCs w:val="18"/>
              </w:rPr>
              <w:t>1.37</w:t>
            </w:r>
          </w:p>
        </w:tc>
        <w:tc>
          <w:tcPr>
            <w:tcW w:w="1081" w:type="dxa"/>
            <w:vAlign w:val="top"/>
          </w:tcPr>
          <w:p w14:paraId="7BE75E6C">
            <w:pPr>
              <w:spacing w:before="89" w:line="188"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0.72</w:t>
            </w:r>
          </w:p>
        </w:tc>
        <w:tc>
          <w:tcPr>
            <w:tcW w:w="581" w:type="dxa"/>
            <w:vAlign w:val="top"/>
          </w:tcPr>
          <w:p w14:paraId="20FA7FE6">
            <w:pPr>
              <w:pStyle w:val="6"/>
              <w:spacing w:before="59" w:line="229" w:lineRule="auto"/>
              <w:ind w:left="115"/>
              <w:rPr>
                <w:sz w:val="18"/>
                <w:szCs w:val="18"/>
              </w:rPr>
            </w:pPr>
            <w:r>
              <w:rPr>
                <w:spacing w:val="-2"/>
                <w:sz w:val="18"/>
                <w:szCs w:val="18"/>
              </w:rPr>
              <w:t>0.72</w:t>
            </w:r>
          </w:p>
        </w:tc>
      </w:tr>
      <w:tr w14:paraId="2E45F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40" w:type="dxa"/>
            <w:vAlign w:val="top"/>
          </w:tcPr>
          <w:p w14:paraId="48977311">
            <w:pPr>
              <w:pStyle w:val="6"/>
              <w:spacing w:before="134" w:line="220" w:lineRule="auto"/>
              <w:ind w:left="385"/>
              <w:rPr>
                <w:sz w:val="18"/>
                <w:szCs w:val="18"/>
              </w:rPr>
            </w:pPr>
            <w:r>
              <w:rPr>
                <w:sz w:val="18"/>
                <w:szCs w:val="18"/>
              </w:rPr>
              <w:t>汞</w:t>
            </w:r>
          </w:p>
        </w:tc>
        <w:tc>
          <w:tcPr>
            <w:tcW w:w="1176" w:type="dxa"/>
            <w:vAlign w:val="top"/>
          </w:tcPr>
          <w:p w14:paraId="20F35724">
            <w:pPr>
              <w:spacing w:before="162"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6098F211">
            <w:pPr>
              <w:pStyle w:val="6"/>
              <w:spacing w:before="33" w:line="236" w:lineRule="auto"/>
              <w:ind w:left="309"/>
              <w:rPr>
                <w:sz w:val="18"/>
                <w:szCs w:val="18"/>
              </w:rPr>
            </w:pPr>
            <w:r>
              <w:rPr>
                <w:sz w:val="18"/>
                <w:szCs w:val="18"/>
              </w:rPr>
              <w:t>≤</w:t>
            </w:r>
          </w:p>
          <w:p w14:paraId="3258EAB3">
            <w:pPr>
              <w:spacing w:before="19" w:line="178"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w:t>
            </w:r>
          </w:p>
        </w:tc>
        <w:tc>
          <w:tcPr>
            <w:tcW w:w="1109" w:type="dxa"/>
            <w:vAlign w:val="top"/>
          </w:tcPr>
          <w:p w14:paraId="1D14A8F7">
            <w:pPr>
              <w:spacing w:before="151" w:line="203" w:lineRule="auto"/>
              <w:ind w:left="195"/>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76" w:type="dxa"/>
            <w:vAlign w:val="top"/>
          </w:tcPr>
          <w:p w14:paraId="2D04E29F">
            <w:pPr>
              <w:pStyle w:val="6"/>
              <w:spacing w:before="134"/>
              <w:ind w:left="169"/>
              <w:rPr>
                <w:sz w:val="18"/>
                <w:szCs w:val="18"/>
              </w:rPr>
            </w:pPr>
            <w:r>
              <w:rPr>
                <w:spacing w:val="29"/>
                <w:w w:val="106"/>
                <w:sz w:val="18"/>
                <w:szCs w:val="18"/>
              </w:rPr>
              <w:t>&lt;1</w:t>
            </w:r>
          </w:p>
        </w:tc>
        <w:tc>
          <w:tcPr>
            <w:tcW w:w="1078" w:type="dxa"/>
            <w:vAlign w:val="top"/>
          </w:tcPr>
          <w:p w14:paraId="24CD8989">
            <w:pPr>
              <w:spacing w:before="151" w:line="203" w:lineRule="auto"/>
              <w:ind w:left="181"/>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76" w:type="dxa"/>
            <w:vAlign w:val="top"/>
          </w:tcPr>
          <w:p w14:paraId="0D0FFD88">
            <w:pPr>
              <w:pStyle w:val="6"/>
              <w:spacing w:before="134"/>
              <w:ind w:left="171"/>
              <w:rPr>
                <w:sz w:val="18"/>
                <w:szCs w:val="18"/>
              </w:rPr>
            </w:pPr>
            <w:r>
              <w:rPr>
                <w:spacing w:val="29"/>
                <w:w w:val="106"/>
                <w:sz w:val="18"/>
                <w:szCs w:val="18"/>
              </w:rPr>
              <w:t>&lt;1</w:t>
            </w:r>
          </w:p>
        </w:tc>
        <w:tc>
          <w:tcPr>
            <w:tcW w:w="1078" w:type="dxa"/>
            <w:vAlign w:val="top"/>
          </w:tcPr>
          <w:p w14:paraId="3CAC5D85">
            <w:pPr>
              <w:spacing w:before="151" w:line="203" w:lineRule="auto"/>
              <w:ind w:left="180"/>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76" w:type="dxa"/>
            <w:vAlign w:val="top"/>
          </w:tcPr>
          <w:p w14:paraId="7A5F8206">
            <w:pPr>
              <w:pStyle w:val="6"/>
              <w:spacing w:before="134"/>
              <w:ind w:left="171"/>
              <w:rPr>
                <w:sz w:val="18"/>
                <w:szCs w:val="18"/>
              </w:rPr>
            </w:pPr>
            <w:r>
              <w:rPr>
                <w:spacing w:val="29"/>
                <w:w w:val="106"/>
                <w:sz w:val="18"/>
                <w:szCs w:val="18"/>
              </w:rPr>
              <w:t>&lt;1</w:t>
            </w:r>
          </w:p>
        </w:tc>
        <w:tc>
          <w:tcPr>
            <w:tcW w:w="1081" w:type="dxa"/>
            <w:vAlign w:val="top"/>
          </w:tcPr>
          <w:p w14:paraId="29D2381A">
            <w:pPr>
              <w:spacing w:before="151" w:line="203" w:lineRule="auto"/>
              <w:ind w:left="182"/>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77" w:type="dxa"/>
            <w:vAlign w:val="top"/>
          </w:tcPr>
          <w:p w14:paraId="53CD0B4A">
            <w:pPr>
              <w:pStyle w:val="6"/>
              <w:spacing w:before="134"/>
              <w:ind w:left="172"/>
              <w:rPr>
                <w:sz w:val="18"/>
                <w:szCs w:val="18"/>
              </w:rPr>
            </w:pPr>
            <w:r>
              <w:rPr>
                <w:spacing w:val="29"/>
                <w:w w:val="106"/>
                <w:sz w:val="18"/>
                <w:szCs w:val="18"/>
              </w:rPr>
              <w:t>&lt;1</w:t>
            </w:r>
          </w:p>
        </w:tc>
        <w:tc>
          <w:tcPr>
            <w:tcW w:w="1082" w:type="dxa"/>
            <w:vAlign w:val="top"/>
          </w:tcPr>
          <w:p w14:paraId="62000B7F">
            <w:pPr>
              <w:spacing w:before="151" w:line="204" w:lineRule="auto"/>
              <w:ind w:left="259"/>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1.2×10</w:t>
            </w:r>
            <w:r>
              <w:rPr>
                <w:rFonts w:ascii="Times New Roman" w:hAnsi="Times New Roman" w:eastAsia="Times New Roman" w:cs="Times New Roman"/>
                <w:spacing w:val="-3"/>
                <w:position w:val="5"/>
                <w:sz w:val="11"/>
                <w:szCs w:val="11"/>
              </w:rPr>
              <w:t>-5</w:t>
            </w:r>
          </w:p>
        </w:tc>
        <w:tc>
          <w:tcPr>
            <w:tcW w:w="580" w:type="dxa"/>
            <w:vAlign w:val="top"/>
          </w:tcPr>
          <w:p w14:paraId="5CF64899">
            <w:pPr>
              <w:pStyle w:val="6"/>
              <w:spacing w:before="133" w:line="239" w:lineRule="auto"/>
              <w:ind w:left="117"/>
              <w:rPr>
                <w:sz w:val="18"/>
                <w:szCs w:val="18"/>
              </w:rPr>
            </w:pPr>
            <w:r>
              <w:rPr>
                <w:spacing w:val="-2"/>
                <w:sz w:val="18"/>
                <w:szCs w:val="18"/>
              </w:rPr>
              <w:t>0.01</w:t>
            </w:r>
          </w:p>
        </w:tc>
        <w:tc>
          <w:tcPr>
            <w:tcW w:w="1073" w:type="dxa"/>
            <w:vAlign w:val="top"/>
          </w:tcPr>
          <w:p w14:paraId="5C85955B">
            <w:pPr>
              <w:spacing w:before="151" w:line="204" w:lineRule="auto"/>
              <w:ind w:left="255"/>
              <w:rPr>
                <w:rFonts w:ascii="Times New Roman" w:hAnsi="Times New Roman" w:eastAsia="Times New Roman" w:cs="Times New Roman"/>
                <w:sz w:val="11"/>
                <w:szCs w:val="11"/>
              </w:rPr>
            </w:pPr>
            <w:r>
              <w:rPr>
                <w:rFonts w:ascii="Times New Roman" w:hAnsi="Times New Roman" w:eastAsia="Times New Roman" w:cs="Times New Roman"/>
                <w:spacing w:val="-3"/>
                <w:sz w:val="18"/>
                <w:szCs w:val="18"/>
              </w:rPr>
              <w:t>1.7×10</w:t>
            </w:r>
            <w:r>
              <w:rPr>
                <w:rFonts w:ascii="Times New Roman" w:hAnsi="Times New Roman" w:eastAsia="Times New Roman" w:cs="Times New Roman"/>
                <w:spacing w:val="-3"/>
                <w:position w:val="5"/>
                <w:sz w:val="11"/>
                <w:szCs w:val="11"/>
              </w:rPr>
              <w:t>-5</w:t>
            </w:r>
          </w:p>
        </w:tc>
        <w:tc>
          <w:tcPr>
            <w:tcW w:w="580" w:type="dxa"/>
            <w:vAlign w:val="top"/>
          </w:tcPr>
          <w:p w14:paraId="758E65B5">
            <w:pPr>
              <w:pStyle w:val="6"/>
              <w:spacing w:before="133" w:line="239" w:lineRule="auto"/>
              <w:ind w:left="117"/>
              <w:rPr>
                <w:sz w:val="18"/>
                <w:szCs w:val="18"/>
              </w:rPr>
            </w:pPr>
            <w:r>
              <w:rPr>
                <w:spacing w:val="-2"/>
                <w:sz w:val="18"/>
                <w:szCs w:val="18"/>
              </w:rPr>
              <w:t>0.02</w:t>
            </w:r>
          </w:p>
        </w:tc>
        <w:tc>
          <w:tcPr>
            <w:tcW w:w="1081" w:type="dxa"/>
            <w:vAlign w:val="top"/>
          </w:tcPr>
          <w:p w14:paraId="599EF5FB">
            <w:pPr>
              <w:spacing w:before="151" w:line="203" w:lineRule="auto"/>
              <w:ind w:left="182"/>
              <w:rPr>
                <w:rFonts w:ascii="Times New Roman" w:hAnsi="Times New Roman" w:eastAsia="Times New Roman" w:cs="Times New Roman"/>
                <w:sz w:val="18"/>
                <w:szCs w:val="18"/>
              </w:rPr>
            </w:pPr>
            <w:r>
              <w:rPr>
                <w:rFonts w:ascii="Times New Roman" w:hAnsi="Times New Roman" w:eastAsia="Times New Roman" w:cs="Times New Roman"/>
                <w:sz w:val="18"/>
                <w:szCs w:val="18"/>
              </w:rPr>
              <w:t>4.0</w:t>
            </w:r>
            <w:r>
              <w:rPr>
                <w:rFonts w:ascii="Arial" w:hAnsi="Arial" w:eastAsia="Arial" w:cs="Arial"/>
                <w:sz w:val="18"/>
                <w:szCs w:val="18"/>
              </w:rPr>
              <w:t>×</w:t>
            </w:r>
            <w:r>
              <w:rPr>
                <w:rFonts w:ascii="Times New Roman" w:hAnsi="Times New Roman" w:eastAsia="Times New Roman" w:cs="Times New Roman"/>
                <w:sz w:val="18"/>
                <w:szCs w:val="18"/>
              </w:rPr>
              <w:t>10</w:t>
            </w:r>
            <w:r>
              <w:rPr>
                <w:rFonts w:ascii="Times New Roman" w:hAnsi="Times New Roman" w:eastAsia="Times New Roman" w:cs="Times New Roman"/>
                <w:position w:val="5"/>
                <w:sz w:val="11"/>
                <w:szCs w:val="11"/>
              </w:rPr>
              <w:t>-5</w:t>
            </w:r>
            <w:r>
              <w:rPr>
                <w:rFonts w:ascii="Times New Roman" w:hAnsi="Times New Roman" w:eastAsia="Times New Roman" w:cs="Times New Roman"/>
                <w:sz w:val="18"/>
                <w:szCs w:val="18"/>
              </w:rPr>
              <w:t>L</w:t>
            </w:r>
          </w:p>
        </w:tc>
        <w:tc>
          <w:tcPr>
            <w:tcW w:w="581" w:type="dxa"/>
            <w:vAlign w:val="top"/>
          </w:tcPr>
          <w:p w14:paraId="71C0364D">
            <w:pPr>
              <w:pStyle w:val="6"/>
              <w:spacing w:before="134"/>
              <w:ind w:left="172"/>
              <w:rPr>
                <w:sz w:val="18"/>
                <w:szCs w:val="18"/>
              </w:rPr>
            </w:pPr>
            <w:r>
              <w:rPr>
                <w:spacing w:val="29"/>
                <w:w w:val="106"/>
                <w:sz w:val="18"/>
                <w:szCs w:val="18"/>
              </w:rPr>
              <w:t>&lt;1</w:t>
            </w:r>
          </w:p>
        </w:tc>
      </w:tr>
      <w:tr w14:paraId="1DDC9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40" w:type="dxa"/>
            <w:vAlign w:val="top"/>
          </w:tcPr>
          <w:p w14:paraId="16DE0C75">
            <w:pPr>
              <w:pStyle w:val="6"/>
              <w:spacing w:before="81" w:line="220" w:lineRule="auto"/>
              <w:ind w:left="384"/>
              <w:rPr>
                <w:sz w:val="18"/>
                <w:szCs w:val="18"/>
              </w:rPr>
            </w:pPr>
            <w:r>
              <w:rPr>
                <w:sz w:val="18"/>
                <w:szCs w:val="18"/>
              </w:rPr>
              <w:t>砷</w:t>
            </w:r>
          </w:p>
        </w:tc>
        <w:tc>
          <w:tcPr>
            <w:tcW w:w="1176" w:type="dxa"/>
            <w:vAlign w:val="top"/>
          </w:tcPr>
          <w:p w14:paraId="19008EE7">
            <w:pPr>
              <w:spacing w:before="109"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24072F12">
            <w:pPr>
              <w:pStyle w:val="6"/>
              <w:spacing w:before="81" w:line="236"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0.01</w:t>
            </w:r>
          </w:p>
        </w:tc>
        <w:tc>
          <w:tcPr>
            <w:tcW w:w="1109" w:type="dxa"/>
            <w:vAlign w:val="top"/>
          </w:tcPr>
          <w:p w14:paraId="49DD5B41">
            <w:pPr>
              <w:spacing w:before="97" w:line="205"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76" w:type="dxa"/>
            <w:vAlign w:val="top"/>
          </w:tcPr>
          <w:p w14:paraId="3DE0C2A1">
            <w:pPr>
              <w:pStyle w:val="6"/>
              <w:spacing w:before="81"/>
              <w:ind w:left="169"/>
              <w:rPr>
                <w:sz w:val="18"/>
                <w:szCs w:val="18"/>
              </w:rPr>
            </w:pPr>
            <w:r>
              <w:rPr>
                <w:spacing w:val="29"/>
                <w:w w:val="106"/>
                <w:sz w:val="18"/>
                <w:szCs w:val="18"/>
              </w:rPr>
              <w:t>&lt;1</w:t>
            </w:r>
          </w:p>
        </w:tc>
        <w:tc>
          <w:tcPr>
            <w:tcW w:w="1078" w:type="dxa"/>
            <w:vAlign w:val="top"/>
          </w:tcPr>
          <w:p w14:paraId="6E0D590C">
            <w:pPr>
              <w:spacing w:before="97" w:line="205"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76" w:type="dxa"/>
            <w:vAlign w:val="top"/>
          </w:tcPr>
          <w:p w14:paraId="037D81F2">
            <w:pPr>
              <w:pStyle w:val="6"/>
              <w:spacing w:before="81"/>
              <w:ind w:left="171"/>
              <w:rPr>
                <w:sz w:val="18"/>
                <w:szCs w:val="18"/>
              </w:rPr>
            </w:pPr>
            <w:r>
              <w:rPr>
                <w:spacing w:val="29"/>
                <w:w w:val="106"/>
                <w:sz w:val="18"/>
                <w:szCs w:val="18"/>
              </w:rPr>
              <w:t>&lt;1</w:t>
            </w:r>
          </w:p>
        </w:tc>
        <w:tc>
          <w:tcPr>
            <w:tcW w:w="1078" w:type="dxa"/>
            <w:vAlign w:val="top"/>
          </w:tcPr>
          <w:p w14:paraId="7A8D4B30">
            <w:pPr>
              <w:spacing w:before="97" w:line="205" w:lineRule="auto"/>
              <w:ind w:left="1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76" w:type="dxa"/>
            <w:vAlign w:val="top"/>
          </w:tcPr>
          <w:p w14:paraId="511A0108">
            <w:pPr>
              <w:pStyle w:val="6"/>
              <w:spacing w:before="81"/>
              <w:ind w:left="171"/>
              <w:rPr>
                <w:sz w:val="18"/>
                <w:szCs w:val="18"/>
              </w:rPr>
            </w:pPr>
            <w:r>
              <w:rPr>
                <w:spacing w:val="29"/>
                <w:w w:val="106"/>
                <w:sz w:val="18"/>
                <w:szCs w:val="18"/>
              </w:rPr>
              <w:t>&lt;1</w:t>
            </w:r>
          </w:p>
        </w:tc>
        <w:tc>
          <w:tcPr>
            <w:tcW w:w="1081" w:type="dxa"/>
            <w:vAlign w:val="top"/>
          </w:tcPr>
          <w:p w14:paraId="5F306F4F">
            <w:pPr>
              <w:spacing w:before="97" w:line="205"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77" w:type="dxa"/>
            <w:vAlign w:val="top"/>
          </w:tcPr>
          <w:p w14:paraId="0BEB3235">
            <w:pPr>
              <w:pStyle w:val="6"/>
              <w:spacing w:before="81"/>
              <w:ind w:left="172"/>
              <w:rPr>
                <w:sz w:val="18"/>
                <w:szCs w:val="18"/>
              </w:rPr>
            </w:pPr>
            <w:r>
              <w:rPr>
                <w:spacing w:val="29"/>
                <w:w w:val="106"/>
                <w:sz w:val="18"/>
                <w:szCs w:val="18"/>
              </w:rPr>
              <w:t>&lt;1</w:t>
            </w:r>
          </w:p>
        </w:tc>
        <w:tc>
          <w:tcPr>
            <w:tcW w:w="1082" w:type="dxa"/>
            <w:vAlign w:val="top"/>
          </w:tcPr>
          <w:p w14:paraId="53879AE7">
            <w:pPr>
              <w:spacing w:before="97" w:line="205"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80" w:type="dxa"/>
            <w:vAlign w:val="top"/>
          </w:tcPr>
          <w:p w14:paraId="3EE50F89">
            <w:pPr>
              <w:pStyle w:val="6"/>
              <w:spacing w:before="81"/>
              <w:ind w:left="174"/>
              <w:rPr>
                <w:sz w:val="18"/>
                <w:szCs w:val="18"/>
              </w:rPr>
            </w:pPr>
            <w:r>
              <w:rPr>
                <w:spacing w:val="29"/>
                <w:w w:val="106"/>
                <w:sz w:val="18"/>
                <w:szCs w:val="18"/>
              </w:rPr>
              <w:t>&lt;1</w:t>
            </w:r>
          </w:p>
        </w:tc>
        <w:tc>
          <w:tcPr>
            <w:tcW w:w="1073" w:type="dxa"/>
            <w:vAlign w:val="top"/>
          </w:tcPr>
          <w:p w14:paraId="50C52522">
            <w:pPr>
              <w:spacing w:before="97" w:line="206" w:lineRule="auto"/>
              <w:ind w:left="255"/>
              <w:rPr>
                <w:rFonts w:ascii="Times New Roman" w:hAnsi="Times New Roman" w:eastAsia="Times New Roman" w:cs="Times New Roman"/>
                <w:sz w:val="11"/>
                <w:szCs w:val="11"/>
              </w:rPr>
            </w:pPr>
            <w:r>
              <w:rPr>
                <w:rFonts w:ascii="Times New Roman" w:hAnsi="Times New Roman" w:eastAsia="Times New Roman" w:cs="Times New Roman"/>
                <w:spacing w:val="-7"/>
                <w:sz w:val="18"/>
                <w:szCs w:val="18"/>
              </w:rPr>
              <w:t>1.</w:t>
            </w:r>
            <w:r>
              <w:rPr>
                <w:rFonts w:ascii="Times New Roman" w:hAnsi="Times New Roman" w:eastAsia="Times New Roman" w:cs="Times New Roman"/>
                <w:spacing w:val="-25"/>
                <w:sz w:val="18"/>
                <w:szCs w:val="18"/>
              </w:rPr>
              <w:t xml:space="preserve"> </w:t>
            </w:r>
            <w:r>
              <w:rPr>
                <w:rFonts w:ascii="Times New Roman" w:hAnsi="Times New Roman" w:eastAsia="Times New Roman" w:cs="Times New Roman"/>
                <w:spacing w:val="-7"/>
                <w:sz w:val="18"/>
                <w:szCs w:val="18"/>
              </w:rPr>
              <w:t>1×10</w:t>
            </w:r>
            <w:r>
              <w:rPr>
                <w:rFonts w:ascii="Times New Roman" w:hAnsi="Times New Roman" w:eastAsia="Times New Roman" w:cs="Times New Roman"/>
                <w:spacing w:val="2"/>
                <w:position w:val="5"/>
                <w:sz w:val="11"/>
                <w:szCs w:val="11"/>
              </w:rPr>
              <w:t>-3</w:t>
            </w:r>
          </w:p>
        </w:tc>
        <w:tc>
          <w:tcPr>
            <w:tcW w:w="580" w:type="dxa"/>
            <w:vAlign w:val="top"/>
          </w:tcPr>
          <w:p w14:paraId="6C4BBEB0">
            <w:pPr>
              <w:pStyle w:val="6"/>
              <w:spacing w:before="81" w:line="239" w:lineRule="auto"/>
              <w:ind w:left="117"/>
              <w:rPr>
                <w:sz w:val="18"/>
                <w:szCs w:val="18"/>
              </w:rPr>
            </w:pPr>
            <w:r>
              <w:rPr>
                <w:spacing w:val="-2"/>
                <w:sz w:val="18"/>
                <w:szCs w:val="18"/>
              </w:rPr>
              <w:t>0.11</w:t>
            </w:r>
          </w:p>
        </w:tc>
        <w:tc>
          <w:tcPr>
            <w:tcW w:w="1081" w:type="dxa"/>
            <w:vAlign w:val="top"/>
          </w:tcPr>
          <w:p w14:paraId="2032E779">
            <w:pPr>
              <w:spacing w:before="97" w:line="205" w:lineRule="auto"/>
              <w:ind w:left="1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w:t>
            </w:r>
            <w:r>
              <w:rPr>
                <w:rFonts w:ascii="Arial" w:hAnsi="Arial" w:eastAsia="Arial" w:cs="Arial"/>
                <w:spacing w:val="-1"/>
                <w:sz w:val="18"/>
                <w:szCs w:val="18"/>
              </w:rPr>
              <w:t>×</w:t>
            </w:r>
            <w:r>
              <w:rPr>
                <w:rFonts w:ascii="Times New Roman" w:hAnsi="Times New Roman" w:eastAsia="Times New Roman" w:cs="Times New Roman"/>
                <w:spacing w:val="-1"/>
                <w:sz w:val="18"/>
                <w:szCs w:val="18"/>
              </w:rPr>
              <w:t>10</w:t>
            </w:r>
            <w:r>
              <w:rPr>
                <w:rFonts w:ascii="Times New Roman" w:hAnsi="Times New Roman" w:eastAsia="Times New Roman" w:cs="Times New Roman"/>
                <w:spacing w:val="-1"/>
                <w:position w:val="5"/>
                <w:sz w:val="11"/>
                <w:szCs w:val="11"/>
              </w:rPr>
              <w:t>-4</w:t>
            </w:r>
            <w:r>
              <w:rPr>
                <w:rFonts w:ascii="Times New Roman" w:hAnsi="Times New Roman" w:eastAsia="Times New Roman" w:cs="Times New Roman"/>
                <w:spacing w:val="-1"/>
                <w:sz w:val="18"/>
                <w:szCs w:val="18"/>
              </w:rPr>
              <w:t>L</w:t>
            </w:r>
          </w:p>
        </w:tc>
        <w:tc>
          <w:tcPr>
            <w:tcW w:w="581" w:type="dxa"/>
            <w:vAlign w:val="top"/>
          </w:tcPr>
          <w:p w14:paraId="09514298">
            <w:pPr>
              <w:pStyle w:val="6"/>
              <w:spacing w:before="81"/>
              <w:ind w:left="172"/>
              <w:rPr>
                <w:sz w:val="18"/>
                <w:szCs w:val="18"/>
              </w:rPr>
            </w:pPr>
            <w:r>
              <w:rPr>
                <w:spacing w:val="29"/>
                <w:w w:val="106"/>
                <w:sz w:val="18"/>
                <w:szCs w:val="18"/>
              </w:rPr>
              <w:t>&lt;1</w:t>
            </w:r>
          </w:p>
        </w:tc>
      </w:tr>
      <w:tr w14:paraId="142F7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0" w:type="dxa"/>
            <w:vAlign w:val="top"/>
          </w:tcPr>
          <w:p w14:paraId="1D8C9A52">
            <w:pPr>
              <w:pStyle w:val="6"/>
              <w:spacing w:before="134" w:line="222" w:lineRule="auto"/>
              <w:ind w:left="383"/>
              <w:rPr>
                <w:sz w:val="18"/>
                <w:szCs w:val="18"/>
              </w:rPr>
            </w:pPr>
            <w:r>
              <w:rPr>
                <w:sz w:val="18"/>
                <w:szCs w:val="18"/>
              </w:rPr>
              <w:t>镉</w:t>
            </w:r>
          </w:p>
        </w:tc>
        <w:tc>
          <w:tcPr>
            <w:tcW w:w="1176" w:type="dxa"/>
            <w:vAlign w:val="top"/>
          </w:tcPr>
          <w:p w14:paraId="3E6354B1">
            <w:pPr>
              <w:spacing w:before="161"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42722A71">
            <w:pPr>
              <w:pStyle w:val="6"/>
              <w:spacing w:before="30" w:line="236" w:lineRule="auto"/>
              <w:ind w:left="309"/>
              <w:rPr>
                <w:sz w:val="18"/>
                <w:szCs w:val="18"/>
              </w:rPr>
            </w:pPr>
            <w:r>
              <w:rPr>
                <w:sz w:val="18"/>
                <w:szCs w:val="18"/>
              </w:rPr>
              <w:t>≤</w:t>
            </w:r>
          </w:p>
          <w:p w14:paraId="2F248D39">
            <w:pPr>
              <w:spacing w:before="19" w:line="179" w:lineRule="auto"/>
              <w:ind w:left="1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0.005</w:t>
            </w:r>
          </w:p>
        </w:tc>
        <w:tc>
          <w:tcPr>
            <w:tcW w:w="1109" w:type="dxa"/>
            <w:vAlign w:val="top"/>
          </w:tcPr>
          <w:p w14:paraId="4C378FAE">
            <w:pPr>
              <w:spacing w:before="165" w:line="188" w:lineRule="auto"/>
              <w:ind w:left="2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76" w:type="dxa"/>
            <w:vAlign w:val="top"/>
          </w:tcPr>
          <w:p w14:paraId="7A7E16FC">
            <w:pPr>
              <w:pStyle w:val="6"/>
              <w:spacing w:before="134"/>
              <w:ind w:left="169"/>
              <w:rPr>
                <w:sz w:val="18"/>
                <w:szCs w:val="18"/>
              </w:rPr>
            </w:pPr>
            <w:r>
              <w:rPr>
                <w:spacing w:val="29"/>
                <w:w w:val="106"/>
                <w:sz w:val="18"/>
                <w:szCs w:val="18"/>
              </w:rPr>
              <w:t>&lt;1</w:t>
            </w:r>
          </w:p>
        </w:tc>
        <w:tc>
          <w:tcPr>
            <w:tcW w:w="1078" w:type="dxa"/>
            <w:vAlign w:val="top"/>
          </w:tcPr>
          <w:p w14:paraId="2401C102">
            <w:pPr>
              <w:spacing w:before="165" w:line="188" w:lineRule="auto"/>
              <w:ind w:left="2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76" w:type="dxa"/>
            <w:vAlign w:val="top"/>
          </w:tcPr>
          <w:p w14:paraId="7B180BA2">
            <w:pPr>
              <w:pStyle w:val="6"/>
              <w:spacing w:before="134"/>
              <w:ind w:left="171"/>
              <w:rPr>
                <w:sz w:val="18"/>
                <w:szCs w:val="18"/>
              </w:rPr>
            </w:pPr>
            <w:r>
              <w:rPr>
                <w:spacing w:val="29"/>
                <w:w w:val="106"/>
                <w:sz w:val="18"/>
                <w:szCs w:val="18"/>
              </w:rPr>
              <w:t>&lt;1</w:t>
            </w:r>
          </w:p>
        </w:tc>
        <w:tc>
          <w:tcPr>
            <w:tcW w:w="1078" w:type="dxa"/>
            <w:vAlign w:val="top"/>
          </w:tcPr>
          <w:p w14:paraId="68CA0548">
            <w:pPr>
              <w:spacing w:before="165"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76" w:type="dxa"/>
            <w:vAlign w:val="top"/>
          </w:tcPr>
          <w:p w14:paraId="0806FE4E">
            <w:pPr>
              <w:pStyle w:val="6"/>
              <w:spacing w:before="134"/>
              <w:ind w:left="171"/>
              <w:rPr>
                <w:sz w:val="18"/>
                <w:szCs w:val="18"/>
              </w:rPr>
            </w:pPr>
            <w:r>
              <w:rPr>
                <w:spacing w:val="29"/>
                <w:w w:val="106"/>
                <w:sz w:val="18"/>
                <w:szCs w:val="18"/>
              </w:rPr>
              <w:t>&lt;1</w:t>
            </w:r>
          </w:p>
        </w:tc>
        <w:tc>
          <w:tcPr>
            <w:tcW w:w="1081" w:type="dxa"/>
            <w:vAlign w:val="top"/>
          </w:tcPr>
          <w:p w14:paraId="227EADF9">
            <w:pPr>
              <w:spacing w:before="165"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77" w:type="dxa"/>
            <w:vAlign w:val="top"/>
          </w:tcPr>
          <w:p w14:paraId="7ECCD7D7">
            <w:pPr>
              <w:pStyle w:val="6"/>
              <w:spacing w:before="134"/>
              <w:ind w:left="172"/>
              <w:rPr>
                <w:sz w:val="18"/>
                <w:szCs w:val="18"/>
              </w:rPr>
            </w:pPr>
            <w:r>
              <w:rPr>
                <w:spacing w:val="29"/>
                <w:w w:val="106"/>
                <w:sz w:val="18"/>
                <w:szCs w:val="18"/>
              </w:rPr>
              <w:t>&lt;1</w:t>
            </w:r>
          </w:p>
        </w:tc>
        <w:tc>
          <w:tcPr>
            <w:tcW w:w="1082" w:type="dxa"/>
            <w:vAlign w:val="top"/>
          </w:tcPr>
          <w:p w14:paraId="1545363F">
            <w:pPr>
              <w:spacing w:before="165" w:line="188" w:lineRule="auto"/>
              <w:ind w:left="2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80" w:type="dxa"/>
            <w:vAlign w:val="top"/>
          </w:tcPr>
          <w:p w14:paraId="31CC6EEB">
            <w:pPr>
              <w:pStyle w:val="6"/>
              <w:spacing w:before="134"/>
              <w:ind w:left="174"/>
              <w:rPr>
                <w:sz w:val="18"/>
                <w:szCs w:val="18"/>
              </w:rPr>
            </w:pPr>
            <w:r>
              <w:rPr>
                <w:spacing w:val="29"/>
                <w:w w:val="106"/>
                <w:sz w:val="18"/>
                <w:szCs w:val="18"/>
              </w:rPr>
              <w:t>&lt;1</w:t>
            </w:r>
          </w:p>
        </w:tc>
        <w:tc>
          <w:tcPr>
            <w:tcW w:w="1073" w:type="dxa"/>
            <w:vAlign w:val="top"/>
          </w:tcPr>
          <w:p w14:paraId="7E52FE6A">
            <w:pPr>
              <w:spacing w:before="165" w:line="188" w:lineRule="auto"/>
              <w:ind w:left="2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80" w:type="dxa"/>
            <w:vAlign w:val="top"/>
          </w:tcPr>
          <w:p w14:paraId="1FD72717">
            <w:pPr>
              <w:pStyle w:val="6"/>
              <w:spacing w:before="134"/>
              <w:ind w:left="172"/>
              <w:rPr>
                <w:sz w:val="18"/>
                <w:szCs w:val="18"/>
              </w:rPr>
            </w:pPr>
            <w:r>
              <w:rPr>
                <w:spacing w:val="29"/>
                <w:w w:val="106"/>
                <w:sz w:val="18"/>
                <w:szCs w:val="18"/>
              </w:rPr>
              <w:t>&lt;1</w:t>
            </w:r>
          </w:p>
        </w:tc>
        <w:tc>
          <w:tcPr>
            <w:tcW w:w="1081" w:type="dxa"/>
            <w:vAlign w:val="top"/>
          </w:tcPr>
          <w:p w14:paraId="544DDFDD">
            <w:pPr>
              <w:spacing w:before="165" w:line="188" w:lineRule="auto"/>
              <w:ind w:left="2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0.0001L</w:t>
            </w:r>
          </w:p>
        </w:tc>
        <w:tc>
          <w:tcPr>
            <w:tcW w:w="581" w:type="dxa"/>
            <w:vAlign w:val="top"/>
          </w:tcPr>
          <w:p w14:paraId="53756631">
            <w:pPr>
              <w:pStyle w:val="6"/>
              <w:spacing w:before="134"/>
              <w:ind w:left="172"/>
              <w:rPr>
                <w:sz w:val="18"/>
                <w:szCs w:val="18"/>
              </w:rPr>
            </w:pPr>
            <w:r>
              <w:rPr>
                <w:spacing w:val="29"/>
                <w:w w:val="106"/>
                <w:sz w:val="18"/>
                <w:szCs w:val="18"/>
              </w:rPr>
              <w:t>&lt;1</w:t>
            </w:r>
          </w:p>
        </w:tc>
      </w:tr>
      <w:tr w14:paraId="544A8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01DC870">
            <w:pPr>
              <w:pStyle w:val="6"/>
              <w:spacing w:before="58" w:line="218" w:lineRule="auto"/>
              <w:ind w:left="206"/>
              <w:rPr>
                <w:sz w:val="18"/>
                <w:szCs w:val="18"/>
              </w:rPr>
            </w:pPr>
            <w:r>
              <w:rPr>
                <w:spacing w:val="-3"/>
                <w:sz w:val="18"/>
                <w:szCs w:val="18"/>
              </w:rPr>
              <w:t>六价铬</w:t>
            </w:r>
          </w:p>
        </w:tc>
        <w:tc>
          <w:tcPr>
            <w:tcW w:w="1176" w:type="dxa"/>
            <w:vAlign w:val="top"/>
          </w:tcPr>
          <w:p w14:paraId="17E8534F">
            <w:pPr>
              <w:spacing w:before="86"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1E8F93D2">
            <w:pPr>
              <w:pStyle w:val="6"/>
              <w:spacing w:before="58" w:line="230"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0.05</w:t>
            </w:r>
          </w:p>
        </w:tc>
        <w:tc>
          <w:tcPr>
            <w:tcW w:w="1109" w:type="dxa"/>
            <w:vAlign w:val="top"/>
          </w:tcPr>
          <w:p w14:paraId="489FF531">
            <w:pPr>
              <w:spacing w:before="89"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76" w:type="dxa"/>
            <w:vAlign w:val="top"/>
          </w:tcPr>
          <w:p w14:paraId="69FBC28B">
            <w:pPr>
              <w:pStyle w:val="6"/>
              <w:spacing w:before="58" w:line="230" w:lineRule="auto"/>
              <w:ind w:left="169"/>
              <w:rPr>
                <w:sz w:val="18"/>
                <w:szCs w:val="18"/>
              </w:rPr>
            </w:pPr>
            <w:r>
              <w:rPr>
                <w:spacing w:val="29"/>
                <w:w w:val="106"/>
                <w:sz w:val="18"/>
                <w:szCs w:val="18"/>
              </w:rPr>
              <w:t>&lt;1</w:t>
            </w:r>
          </w:p>
        </w:tc>
        <w:tc>
          <w:tcPr>
            <w:tcW w:w="1078" w:type="dxa"/>
            <w:vAlign w:val="top"/>
          </w:tcPr>
          <w:p w14:paraId="54D7BE5A">
            <w:pPr>
              <w:spacing w:before="89"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76" w:type="dxa"/>
            <w:vAlign w:val="top"/>
          </w:tcPr>
          <w:p w14:paraId="7EEB031E">
            <w:pPr>
              <w:pStyle w:val="6"/>
              <w:spacing w:before="58" w:line="230" w:lineRule="auto"/>
              <w:ind w:left="171"/>
              <w:rPr>
                <w:sz w:val="18"/>
                <w:szCs w:val="18"/>
              </w:rPr>
            </w:pPr>
            <w:r>
              <w:rPr>
                <w:spacing w:val="29"/>
                <w:w w:val="106"/>
                <w:sz w:val="18"/>
                <w:szCs w:val="18"/>
              </w:rPr>
              <w:t>&lt;1</w:t>
            </w:r>
          </w:p>
        </w:tc>
        <w:tc>
          <w:tcPr>
            <w:tcW w:w="1078" w:type="dxa"/>
            <w:vAlign w:val="top"/>
          </w:tcPr>
          <w:p w14:paraId="70598F72">
            <w:pPr>
              <w:spacing w:before="89"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76" w:type="dxa"/>
            <w:vAlign w:val="top"/>
          </w:tcPr>
          <w:p w14:paraId="232D741D">
            <w:pPr>
              <w:pStyle w:val="6"/>
              <w:spacing w:before="58" w:line="230" w:lineRule="auto"/>
              <w:ind w:left="171"/>
              <w:rPr>
                <w:sz w:val="18"/>
                <w:szCs w:val="18"/>
              </w:rPr>
            </w:pPr>
            <w:r>
              <w:rPr>
                <w:spacing w:val="29"/>
                <w:w w:val="106"/>
                <w:sz w:val="18"/>
                <w:szCs w:val="18"/>
              </w:rPr>
              <w:t>&lt;1</w:t>
            </w:r>
          </w:p>
        </w:tc>
        <w:tc>
          <w:tcPr>
            <w:tcW w:w="1081" w:type="dxa"/>
            <w:vAlign w:val="top"/>
          </w:tcPr>
          <w:p w14:paraId="1544489D">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77" w:type="dxa"/>
            <w:vAlign w:val="top"/>
          </w:tcPr>
          <w:p w14:paraId="23A7471A">
            <w:pPr>
              <w:pStyle w:val="6"/>
              <w:spacing w:before="58" w:line="230" w:lineRule="auto"/>
              <w:ind w:left="172"/>
              <w:rPr>
                <w:sz w:val="18"/>
                <w:szCs w:val="18"/>
              </w:rPr>
            </w:pPr>
            <w:r>
              <w:rPr>
                <w:spacing w:val="29"/>
                <w:w w:val="106"/>
                <w:sz w:val="18"/>
                <w:szCs w:val="18"/>
              </w:rPr>
              <w:t>&lt;1</w:t>
            </w:r>
          </w:p>
        </w:tc>
        <w:tc>
          <w:tcPr>
            <w:tcW w:w="1082" w:type="dxa"/>
            <w:vAlign w:val="top"/>
          </w:tcPr>
          <w:p w14:paraId="654D4888">
            <w:pPr>
              <w:spacing w:before="89" w:line="188"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0.007</w:t>
            </w:r>
          </w:p>
        </w:tc>
        <w:tc>
          <w:tcPr>
            <w:tcW w:w="580" w:type="dxa"/>
            <w:vAlign w:val="top"/>
          </w:tcPr>
          <w:p w14:paraId="19C1AF20">
            <w:pPr>
              <w:pStyle w:val="6"/>
              <w:spacing w:before="58" w:line="230" w:lineRule="auto"/>
              <w:ind w:left="174"/>
              <w:rPr>
                <w:sz w:val="18"/>
                <w:szCs w:val="18"/>
              </w:rPr>
            </w:pPr>
            <w:r>
              <w:rPr>
                <w:spacing w:val="29"/>
                <w:w w:val="106"/>
                <w:sz w:val="18"/>
                <w:szCs w:val="18"/>
              </w:rPr>
              <w:t>&lt;1</w:t>
            </w:r>
          </w:p>
        </w:tc>
        <w:tc>
          <w:tcPr>
            <w:tcW w:w="1073" w:type="dxa"/>
            <w:vAlign w:val="top"/>
          </w:tcPr>
          <w:p w14:paraId="6144D283">
            <w:pPr>
              <w:spacing w:before="89" w:line="188"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80" w:type="dxa"/>
            <w:vAlign w:val="top"/>
          </w:tcPr>
          <w:p w14:paraId="45AF0446">
            <w:pPr>
              <w:pStyle w:val="6"/>
              <w:spacing w:before="58" w:line="230" w:lineRule="auto"/>
              <w:ind w:left="172"/>
              <w:rPr>
                <w:sz w:val="18"/>
                <w:szCs w:val="18"/>
              </w:rPr>
            </w:pPr>
            <w:r>
              <w:rPr>
                <w:spacing w:val="29"/>
                <w:w w:val="106"/>
                <w:sz w:val="18"/>
                <w:szCs w:val="18"/>
              </w:rPr>
              <w:t>&lt;1</w:t>
            </w:r>
          </w:p>
        </w:tc>
        <w:tc>
          <w:tcPr>
            <w:tcW w:w="1081" w:type="dxa"/>
            <w:vAlign w:val="top"/>
          </w:tcPr>
          <w:p w14:paraId="2664828C">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0.004L</w:t>
            </w:r>
          </w:p>
        </w:tc>
        <w:tc>
          <w:tcPr>
            <w:tcW w:w="581" w:type="dxa"/>
            <w:vAlign w:val="top"/>
          </w:tcPr>
          <w:p w14:paraId="6383C704">
            <w:pPr>
              <w:pStyle w:val="6"/>
              <w:spacing w:before="58" w:line="230" w:lineRule="auto"/>
              <w:ind w:left="172"/>
              <w:rPr>
                <w:sz w:val="18"/>
                <w:szCs w:val="18"/>
              </w:rPr>
            </w:pPr>
            <w:r>
              <w:rPr>
                <w:spacing w:val="29"/>
                <w:w w:val="106"/>
                <w:sz w:val="18"/>
                <w:szCs w:val="18"/>
              </w:rPr>
              <w:t>&lt;1</w:t>
            </w:r>
          </w:p>
        </w:tc>
      </w:tr>
      <w:tr w14:paraId="789C6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4A85F1AA">
            <w:pPr>
              <w:pStyle w:val="6"/>
              <w:spacing w:before="60" w:line="224" w:lineRule="auto"/>
              <w:ind w:left="384"/>
              <w:rPr>
                <w:sz w:val="18"/>
                <w:szCs w:val="18"/>
              </w:rPr>
            </w:pPr>
            <w:r>
              <w:rPr>
                <w:sz w:val="18"/>
                <w:szCs w:val="18"/>
              </w:rPr>
              <w:t>铅</w:t>
            </w:r>
          </w:p>
        </w:tc>
        <w:tc>
          <w:tcPr>
            <w:tcW w:w="1176" w:type="dxa"/>
            <w:vAlign w:val="top"/>
          </w:tcPr>
          <w:p w14:paraId="3AC64BB1">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319EC539">
            <w:pPr>
              <w:pStyle w:val="6"/>
              <w:spacing w:before="60" w:line="228"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0.01</w:t>
            </w:r>
          </w:p>
        </w:tc>
        <w:tc>
          <w:tcPr>
            <w:tcW w:w="1109" w:type="dxa"/>
            <w:vAlign w:val="top"/>
          </w:tcPr>
          <w:p w14:paraId="448B9ABD">
            <w:pPr>
              <w:spacing w:before="89"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76" w:type="dxa"/>
            <w:vAlign w:val="top"/>
          </w:tcPr>
          <w:p w14:paraId="03B0E670">
            <w:pPr>
              <w:pStyle w:val="6"/>
              <w:spacing w:before="60" w:line="228" w:lineRule="auto"/>
              <w:ind w:left="169"/>
              <w:rPr>
                <w:sz w:val="18"/>
                <w:szCs w:val="18"/>
              </w:rPr>
            </w:pPr>
            <w:r>
              <w:rPr>
                <w:spacing w:val="29"/>
                <w:w w:val="106"/>
                <w:sz w:val="18"/>
                <w:szCs w:val="18"/>
              </w:rPr>
              <w:t>&lt;1</w:t>
            </w:r>
          </w:p>
        </w:tc>
        <w:tc>
          <w:tcPr>
            <w:tcW w:w="1078" w:type="dxa"/>
            <w:vAlign w:val="top"/>
          </w:tcPr>
          <w:p w14:paraId="195D5B24">
            <w:pPr>
              <w:spacing w:before="89"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76" w:type="dxa"/>
            <w:vAlign w:val="top"/>
          </w:tcPr>
          <w:p w14:paraId="45455311">
            <w:pPr>
              <w:pStyle w:val="6"/>
              <w:spacing w:before="60" w:line="228" w:lineRule="auto"/>
              <w:ind w:left="171"/>
              <w:rPr>
                <w:sz w:val="18"/>
                <w:szCs w:val="18"/>
              </w:rPr>
            </w:pPr>
            <w:r>
              <w:rPr>
                <w:spacing w:val="29"/>
                <w:w w:val="106"/>
                <w:sz w:val="18"/>
                <w:szCs w:val="18"/>
              </w:rPr>
              <w:t>&lt;1</w:t>
            </w:r>
          </w:p>
        </w:tc>
        <w:tc>
          <w:tcPr>
            <w:tcW w:w="1078" w:type="dxa"/>
            <w:vAlign w:val="top"/>
          </w:tcPr>
          <w:p w14:paraId="5ED1204E">
            <w:pPr>
              <w:spacing w:before="89"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76" w:type="dxa"/>
            <w:vAlign w:val="top"/>
          </w:tcPr>
          <w:p w14:paraId="56CE9A41">
            <w:pPr>
              <w:pStyle w:val="6"/>
              <w:spacing w:before="60" w:line="228" w:lineRule="auto"/>
              <w:ind w:left="171"/>
              <w:rPr>
                <w:sz w:val="18"/>
                <w:szCs w:val="18"/>
              </w:rPr>
            </w:pPr>
            <w:r>
              <w:rPr>
                <w:spacing w:val="29"/>
                <w:w w:val="106"/>
                <w:sz w:val="18"/>
                <w:szCs w:val="18"/>
              </w:rPr>
              <w:t>&lt;1</w:t>
            </w:r>
          </w:p>
        </w:tc>
        <w:tc>
          <w:tcPr>
            <w:tcW w:w="1081" w:type="dxa"/>
            <w:vAlign w:val="top"/>
          </w:tcPr>
          <w:p w14:paraId="1612189D">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77" w:type="dxa"/>
            <w:vAlign w:val="top"/>
          </w:tcPr>
          <w:p w14:paraId="78C27E6C">
            <w:pPr>
              <w:pStyle w:val="6"/>
              <w:spacing w:before="60" w:line="228" w:lineRule="auto"/>
              <w:ind w:left="172"/>
              <w:rPr>
                <w:sz w:val="18"/>
                <w:szCs w:val="18"/>
              </w:rPr>
            </w:pPr>
            <w:r>
              <w:rPr>
                <w:spacing w:val="29"/>
                <w:w w:val="106"/>
                <w:sz w:val="18"/>
                <w:szCs w:val="18"/>
              </w:rPr>
              <w:t>&lt;1</w:t>
            </w:r>
          </w:p>
        </w:tc>
        <w:tc>
          <w:tcPr>
            <w:tcW w:w="1082" w:type="dxa"/>
            <w:vAlign w:val="top"/>
          </w:tcPr>
          <w:p w14:paraId="46573CDD">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80" w:type="dxa"/>
            <w:vAlign w:val="top"/>
          </w:tcPr>
          <w:p w14:paraId="25071773">
            <w:pPr>
              <w:pStyle w:val="6"/>
              <w:spacing w:before="60" w:line="228" w:lineRule="auto"/>
              <w:ind w:left="174"/>
              <w:rPr>
                <w:sz w:val="18"/>
                <w:szCs w:val="18"/>
              </w:rPr>
            </w:pPr>
            <w:r>
              <w:rPr>
                <w:spacing w:val="29"/>
                <w:w w:val="106"/>
                <w:sz w:val="18"/>
                <w:szCs w:val="18"/>
              </w:rPr>
              <w:t>&lt;1</w:t>
            </w:r>
          </w:p>
        </w:tc>
        <w:tc>
          <w:tcPr>
            <w:tcW w:w="1073" w:type="dxa"/>
            <w:vAlign w:val="top"/>
          </w:tcPr>
          <w:p w14:paraId="20493CC9">
            <w:pPr>
              <w:spacing w:before="89" w:line="188" w:lineRule="auto"/>
              <w:ind w:left="28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80" w:type="dxa"/>
            <w:vAlign w:val="top"/>
          </w:tcPr>
          <w:p w14:paraId="3C44B04B">
            <w:pPr>
              <w:pStyle w:val="6"/>
              <w:spacing w:before="60" w:line="228" w:lineRule="auto"/>
              <w:ind w:left="172"/>
              <w:rPr>
                <w:sz w:val="18"/>
                <w:szCs w:val="18"/>
              </w:rPr>
            </w:pPr>
            <w:r>
              <w:rPr>
                <w:spacing w:val="29"/>
                <w:w w:val="106"/>
                <w:sz w:val="18"/>
                <w:szCs w:val="18"/>
              </w:rPr>
              <w:t>&lt;1</w:t>
            </w:r>
          </w:p>
        </w:tc>
        <w:tc>
          <w:tcPr>
            <w:tcW w:w="1081" w:type="dxa"/>
            <w:vAlign w:val="top"/>
          </w:tcPr>
          <w:p w14:paraId="3DDFE81E">
            <w:pPr>
              <w:spacing w:before="89" w:line="188" w:lineRule="auto"/>
              <w:ind w:left="2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0.001L</w:t>
            </w:r>
          </w:p>
        </w:tc>
        <w:tc>
          <w:tcPr>
            <w:tcW w:w="581" w:type="dxa"/>
            <w:vAlign w:val="top"/>
          </w:tcPr>
          <w:p w14:paraId="5055E29D">
            <w:pPr>
              <w:pStyle w:val="6"/>
              <w:spacing w:before="60" w:line="228" w:lineRule="auto"/>
              <w:ind w:left="172"/>
              <w:rPr>
                <w:sz w:val="18"/>
                <w:szCs w:val="18"/>
              </w:rPr>
            </w:pPr>
            <w:r>
              <w:rPr>
                <w:spacing w:val="29"/>
                <w:w w:val="106"/>
                <w:sz w:val="18"/>
                <w:szCs w:val="18"/>
              </w:rPr>
              <w:t>&lt;1</w:t>
            </w:r>
          </w:p>
        </w:tc>
      </w:tr>
      <w:tr w14:paraId="48A89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940" w:type="dxa"/>
            <w:vAlign w:val="top"/>
          </w:tcPr>
          <w:p w14:paraId="725B8CFB">
            <w:pPr>
              <w:pStyle w:val="6"/>
              <w:spacing w:before="59" w:line="221" w:lineRule="auto"/>
              <w:ind w:left="384"/>
              <w:rPr>
                <w:sz w:val="18"/>
                <w:szCs w:val="18"/>
              </w:rPr>
            </w:pPr>
            <w:r>
              <w:rPr>
                <w:sz w:val="18"/>
                <w:szCs w:val="18"/>
              </w:rPr>
              <w:t>钠</w:t>
            </w:r>
          </w:p>
        </w:tc>
        <w:tc>
          <w:tcPr>
            <w:tcW w:w="1176" w:type="dxa"/>
            <w:vAlign w:val="top"/>
          </w:tcPr>
          <w:p w14:paraId="69A9E10B">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668F83A8">
            <w:pPr>
              <w:pStyle w:val="6"/>
              <w:spacing w:before="59" w:line="229" w:lineRule="auto"/>
              <w:ind w:left="172"/>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200</w:t>
            </w:r>
          </w:p>
        </w:tc>
        <w:tc>
          <w:tcPr>
            <w:tcW w:w="1109" w:type="dxa"/>
            <w:vAlign w:val="top"/>
          </w:tcPr>
          <w:p w14:paraId="1F99785A">
            <w:pPr>
              <w:spacing w:before="88"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74.2</w:t>
            </w:r>
          </w:p>
        </w:tc>
        <w:tc>
          <w:tcPr>
            <w:tcW w:w="576" w:type="dxa"/>
            <w:vAlign w:val="top"/>
          </w:tcPr>
          <w:p w14:paraId="70CA4B60">
            <w:pPr>
              <w:pStyle w:val="6"/>
              <w:spacing w:before="59" w:line="229" w:lineRule="auto"/>
              <w:ind w:left="114"/>
              <w:rPr>
                <w:sz w:val="18"/>
                <w:szCs w:val="18"/>
              </w:rPr>
            </w:pPr>
            <w:r>
              <w:rPr>
                <w:spacing w:val="-2"/>
                <w:sz w:val="18"/>
                <w:szCs w:val="18"/>
              </w:rPr>
              <w:t>0.37</w:t>
            </w:r>
          </w:p>
        </w:tc>
        <w:tc>
          <w:tcPr>
            <w:tcW w:w="1078" w:type="dxa"/>
            <w:vAlign w:val="top"/>
          </w:tcPr>
          <w:p w14:paraId="1F5CF616">
            <w:pPr>
              <w:spacing w:before="88"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85.4</w:t>
            </w:r>
          </w:p>
        </w:tc>
        <w:tc>
          <w:tcPr>
            <w:tcW w:w="576" w:type="dxa"/>
            <w:vAlign w:val="top"/>
          </w:tcPr>
          <w:p w14:paraId="53563FCB">
            <w:pPr>
              <w:pStyle w:val="6"/>
              <w:spacing w:before="59" w:line="229" w:lineRule="auto"/>
              <w:ind w:left="114"/>
              <w:rPr>
                <w:sz w:val="18"/>
                <w:szCs w:val="18"/>
              </w:rPr>
            </w:pPr>
            <w:r>
              <w:rPr>
                <w:spacing w:val="-2"/>
                <w:sz w:val="18"/>
                <w:szCs w:val="18"/>
              </w:rPr>
              <w:t>0.43</w:t>
            </w:r>
          </w:p>
        </w:tc>
        <w:tc>
          <w:tcPr>
            <w:tcW w:w="1078" w:type="dxa"/>
            <w:vAlign w:val="top"/>
          </w:tcPr>
          <w:p w14:paraId="6BEA13D0">
            <w:pPr>
              <w:spacing w:before="88" w:line="188" w:lineRule="auto"/>
              <w:ind w:left="3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82.4</w:t>
            </w:r>
          </w:p>
        </w:tc>
        <w:tc>
          <w:tcPr>
            <w:tcW w:w="576" w:type="dxa"/>
            <w:vAlign w:val="top"/>
          </w:tcPr>
          <w:p w14:paraId="2F729E2B">
            <w:pPr>
              <w:pStyle w:val="6"/>
              <w:spacing w:before="59" w:line="229" w:lineRule="auto"/>
              <w:ind w:left="114"/>
              <w:rPr>
                <w:sz w:val="18"/>
                <w:szCs w:val="18"/>
              </w:rPr>
            </w:pPr>
            <w:r>
              <w:rPr>
                <w:spacing w:val="-2"/>
                <w:sz w:val="18"/>
                <w:szCs w:val="18"/>
              </w:rPr>
              <w:t>0.41</w:t>
            </w:r>
          </w:p>
        </w:tc>
        <w:tc>
          <w:tcPr>
            <w:tcW w:w="1081" w:type="dxa"/>
            <w:vAlign w:val="top"/>
          </w:tcPr>
          <w:p w14:paraId="04B0E5BB">
            <w:pPr>
              <w:spacing w:before="88" w:line="188"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79.8</w:t>
            </w:r>
          </w:p>
        </w:tc>
        <w:tc>
          <w:tcPr>
            <w:tcW w:w="577" w:type="dxa"/>
            <w:vAlign w:val="top"/>
          </w:tcPr>
          <w:p w14:paraId="7B5042BB">
            <w:pPr>
              <w:pStyle w:val="6"/>
              <w:spacing w:before="59" w:line="229" w:lineRule="auto"/>
              <w:ind w:left="115"/>
              <w:rPr>
                <w:sz w:val="18"/>
                <w:szCs w:val="18"/>
              </w:rPr>
            </w:pPr>
            <w:r>
              <w:rPr>
                <w:spacing w:val="-2"/>
                <w:sz w:val="18"/>
                <w:szCs w:val="18"/>
              </w:rPr>
              <w:t>0.40</w:t>
            </w:r>
          </w:p>
        </w:tc>
        <w:tc>
          <w:tcPr>
            <w:tcW w:w="1082" w:type="dxa"/>
            <w:vAlign w:val="top"/>
          </w:tcPr>
          <w:p w14:paraId="1B1DA5F6">
            <w:pPr>
              <w:spacing w:before="88" w:line="188" w:lineRule="auto"/>
              <w:ind w:left="39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53.6</w:t>
            </w:r>
          </w:p>
        </w:tc>
        <w:tc>
          <w:tcPr>
            <w:tcW w:w="580" w:type="dxa"/>
            <w:vAlign w:val="top"/>
          </w:tcPr>
          <w:p w14:paraId="4516C8E7">
            <w:pPr>
              <w:pStyle w:val="6"/>
              <w:spacing w:before="59" w:line="229" w:lineRule="auto"/>
              <w:ind w:left="117"/>
              <w:rPr>
                <w:sz w:val="18"/>
                <w:szCs w:val="18"/>
              </w:rPr>
            </w:pPr>
            <w:r>
              <w:rPr>
                <w:spacing w:val="-2"/>
                <w:sz w:val="18"/>
                <w:szCs w:val="18"/>
              </w:rPr>
              <w:t>0.27</w:t>
            </w:r>
          </w:p>
        </w:tc>
        <w:tc>
          <w:tcPr>
            <w:tcW w:w="1073" w:type="dxa"/>
            <w:vAlign w:val="top"/>
          </w:tcPr>
          <w:p w14:paraId="59BCFA3C">
            <w:pPr>
              <w:spacing w:before="88" w:line="188" w:lineRule="auto"/>
              <w:ind w:left="38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76.3</w:t>
            </w:r>
          </w:p>
        </w:tc>
        <w:tc>
          <w:tcPr>
            <w:tcW w:w="580" w:type="dxa"/>
            <w:vAlign w:val="top"/>
          </w:tcPr>
          <w:p w14:paraId="51E78919">
            <w:pPr>
              <w:pStyle w:val="6"/>
              <w:spacing w:before="59" w:line="229" w:lineRule="auto"/>
              <w:ind w:left="117"/>
              <w:rPr>
                <w:sz w:val="18"/>
                <w:szCs w:val="18"/>
              </w:rPr>
            </w:pPr>
            <w:r>
              <w:rPr>
                <w:spacing w:val="-2"/>
                <w:sz w:val="18"/>
                <w:szCs w:val="18"/>
              </w:rPr>
              <w:t>0.38</w:t>
            </w:r>
          </w:p>
        </w:tc>
        <w:tc>
          <w:tcPr>
            <w:tcW w:w="1081" w:type="dxa"/>
            <w:vAlign w:val="top"/>
          </w:tcPr>
          <w:p w14:paraId="23248A98">
            <w:pPr>
              <w:spacing w:before="88" w:line="188" w:lineRule="auto"/>
              <w:ind w:left="39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82.4</w:t>
            </w:r>
          </w:p>
        </w:tc>
        <w:tc>
          <w:tcPr>
            <w:tcW w:w="581" w:type="dxa"/>
            <w:vAlign w:val="top"/>
          </w:tcPr>
          <w:p w14:paraId="114E1811">
            <w:pPr>
              <w:pStyle w:val="6"/>
              <w:spacing w:before="59" w:line="229" w:lineRule="auto"/>
              <w:ind w:left="115"/>
              <w:rPr>
                <w:sz w:val="18"/>
                <w:szCs w:val="18"/>
              </w:rPr>
            </w:pPr>
            <w:r>
              <w:rPr>
                <w:spacing w:val="-2"/>
                <w:sz w:val="18"/>
                <w:szCs w:val="18"/>
              </w:rPr>
              <w:t>0.41</w:t>
            </w:r>
          </w:p>
        </w:tc>
      </w:tr>
      <w:tr w14:paraId="02F71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40" w:type="dxa"/>
            <w:vAlign w:val="top"/>
          </w:tcPr>
          <w:p w14:paraId="787BE009">
            <w:pPr>
              <w:pStyle w:val="6"/>
              <w:spacing w:before="59" w:line="221" w:lineRule="auto"/>
              <w:ind w:left="207"/>
              <w:rPr>
                <w:sz w:val="18"/>
                <w:szCs w:val="18"/>
              </w:rPr>
            </w:pPr>
            <w:r>
              <w:rPr>
                <w:spacing w:val="-4"/>
                <w:sz w:val="18"/>
                <w:szCs w:val="18"/>
              </w:rPr>
              <w:t>氯化物</w:t>
            </w:r>
          </w:p>
        </w:tc>
        <w:tc>
          <w:tcPr>
            <w:tcW w:w="1176" w:type="dxa"/>
            <w:vAlign w:val="top"/>
          </w:tcPr>
          <w:p w14:paraId="5F60253B">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67872FB9">
            <w:pPr>
              <w:pStyle w:val="6"/>
              <w:spacing w:before="59" w:line="231" w:lineRule="auto"/>
              <w:ind w:left="172"/>
              <w:rPr>
                <w:rFonts w:ascii="Times New Roman" w:hAnsi="Times New Roman" w:eastAsia="Times New Roman" w:cs="Times New Roman"/>
                <w:sz w:val="18"/>
                <w:szCs w:val="18"/>
              </w:rPr>
            </w:pPr>
            <w:r>
              <w:rPr>
                <w:spacing w:val="-5"/>
                <w:sz w:val="18"/>
                <w:szCs w:val="18"/>
              </w:rPr>
              <w:t>≤</w:t>
            </w:r>
            <w:r>
              <w:rPr>
                <w:rFonts w:ascii="Times New Roman" w:hAnsi="Times New Roman" w:eastAsia="Times New Roman" w:cs="Times New Roman"/>
                <w:spacing w:val="-5"/>
                <w:sz w:val="18"/>
                <w:szCs w:val="18"/>
              </w:rPr>
              <w:t>250</w:t>
            </w:r>
          </w:p>
        </w:tc>
        <w:tc>
          <w:tcPr>
            <w:tcW w:w="1109" w:type="dxa"/>
            <w:vAlign w:val="top"/>
          </w:tcPr>
          <w:p w14:paraId="5346C976">
            <w:pPr>
              <w:spacing w:before="88" w:line="188" w:lineRule="auto"/>
              <w:ind w:left="4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134</w:t>
            </w:r>
          </w:p>
        </w:tc>
        <w:tc>
          <w:tcPr>
            <w:tcW w:w="576" w:type="dxa"/>
            <w:vAlign w:val="top"/>
          </w:tcPr>
          <w:p w14:paraId="194ACFD8">
            <w:pPr>
              <w:pStyle w:val="6"/>
              <w:spacing w:before="59" w:line="231" w:lineRule="auto"/>
              <w:ind w:left="114"/>
              <w:rPr>
                <w:sz w:val="18"/>
                <w:szCs w:val="18"/>
              </w:rPr>
            </w:pPr>
            <w:r>
              <w:rPr>
                <w:spacing w:val="-2"/>
                <w:sz w:val="18"/>
                <w:szCs w:val="18"/>
              </w:rPr>
              <w:t>0.54</w:t>
            </w:r>
          </w:p>
        </w:tc>
        <w:tc>
          <w:tcPr>
            <w:tcW w:w="1078" w:type="dxa"/>
            <w:vAlign w:val="top"/>
          </w:tcPr>
          <w:p w14:paraId="7C251278">
            <w:pPr>
              <w:spacing w:before="88"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141</w:t>
            </w:r>
          </w:p>
        </w:tc>
        <w:tc>
          <w:tcPr>
            <w:tcW w:w="576" w:type="dxa"/>
            <w:vAlign w:val="top"/>
          </w:tcPr>
          <w:p w14:paraId="56AEA92F">
            <w:pPr>
              <w:pStyle w:val="6"/>
              <w:spacing w:before="59" w:line="231" w:lineRule="auto"/>
              <w:ind w:left="114"/>
              <w:rPr>
                <w:sz w:val="18"/>
                <w:szCs w:val="18"/>
              </w:rPr>
            </w:pPr>
            <w:r>
              <w:rPr>
                <w:spacing w:val="-2"/>
                <w:sz w:val="18"/>
                <w:szCs w:val="18"/>
              </w:rPr>
              <w:t>0.56</w:t>
            </w:r>
          </w:p>
        </w:tc>
        <w:tc>
          <w:tcPr>
            <w:tcW w:w="1078" w:type="dxa"/>
            <w:vAlign w:val="top"/>
          </w:tcPr>
          <w:p w14:paraId="33D3F81A">
            <w:pPr>
              <w:spacing w:before="88"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127</w:t>
            </w:r>
          </w:p>
        </w:tc>
        <w:tc>
          <w:tcPr>
            <w:tcW w:w="576" w:type="dxa"/>
            <w:vAlign w:val="top"/>
          </w:tcPr>
          <w:p w14:paraId="5A6CBACE">
            <w:pPr>
              <w:pStyle w:val="6"/>
              <w:spacing w:before="59" w:line="231" w:lineRule="auto"/>
              <w:ind w:left="114"/>
              <w:rPr>
                <w:sz w:val="18"/>
                <w:szCs w:val="18"/>
              </w:rPr>
            </w:pPr>
            <w:r>
              <w:rPr>
                <w:spacing w:val="-2"/>
                <w:sz w:val="18"/>
                <w:szCs w:val="18"/>
              </w:rPr>
              <w:t>0.51</w:t>
            </w:r>
          </w:p>
        </w:tc>
        <w:tc>
          <w:tcPr>
            <w:tcW w:w="1081" w:type="dxa"/>
            <w:vAlign w:val="top"/>
          </w:tcPr>
          <w:p w14:paraId="0789A15B">
            <w:pPr>
              <w:spacing w:before="8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tc>
        <w:tc>
          <w:tcPr>
            <w:tcW w:w="577" w:type="dxa"/>
            <w:vAlign w:val="top"/>
          </w:tcPr>
          <w:p w14:paraId="22D77A9A">
            <w:pPr>
              <w:pStyle w:val="6"/>
              <w:spacing w:before="59" w:line="231" w:lineRule="auto"/>
              <w:ind w:left="115"/>
              <w:rPr>
                <w:sz w:val="18"/>
                <w:szCs w:val="18"/>
              </w:rPr>
            </w:pPr>
            <w:r>
              <w:rPr>
                <w:spacing w:val="-2"/>
                <w:sz w:val="18"/>
                <w:szCs w:val="18"/>
              </w:rPr>
              <w:t>0.50</w:t>
            </w:r>
          </w:p>
        </w:tc>
        <w:tc>
          <w:tcPr>
            <w:tcW w:w="1082" w:type="dxa"/>
            <w:vAlign w:val="top"/>
          </w:tcPr>
          <w:p w14:paraId="37524C71">
            <w:pPr>
              <w:spacing w:before="8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112</w:t>
            </w:r>
          </w:p>
        </w:tc>
        <w:tc>
          <w:tcPr>
            <w:tcW w:w="580" w:type="dxa"/>
            <w:vAlign w:val="top"/>
          </w:tcPr>
          <w:p w14:paraId="7770CD3C">
            <w:pPr>
              <w:pStyle w:val="6"/>
              <w:spacing w:before="59" w:line="231" w:lineRule="auto"/>
              <w:ind w:left="117"/>
              <w:rPr>
                <w:sz w:val="18"/>
                <w:szCs w:val="18"/>
              </w:rPr>
            </w:pPr>
            <w:r>
              <w:rPr>
                <w:spacing w:val="-2"/>
                <w:sz w:val="18"/>
                <w:szCs w:val="18"/>
              </w:rPr>
              <w:t>0.45</w:t>
            </w:r>
          </w:p>
        </w:tc>
        <w:tc>
          <w:tcPr>
            <w:tcW w:w="1073" w:type="dxa"/>
            <w:vAlign w:val="top"/>
          </w:tcPr>
          <w:p w14:paraId="2F48C0CD">
            <w:pPr>
              <w:spacing w:before="88"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tc>
        <w:tc>
          <w:tcPr>
            <w:tcW w:w="580" w:type="dxa"/>
            <w:vAlign w:val="top"/>
          </w:tcPr>
          <w:p w14:paraId="6269F661">
            <w:pPr>
              <w:pStyle w:val="6"/>
              <w:spacing w:before="59" w:line="231" w:lineRule="auto"/>
              <w:ind w:left="117"/>
              <w:rPr>
                <w:sz w:val="18"/>
                <w:szCs w:val="18"/>
              </w:rPr>
            </w:pPr>
            <w:r>
              <w:rPr>
                <w:spacing w:val="-2"/>
                <w:sz w:val="18"/>
                <w:szCs w:val="18"/>
              </w:rPr>
              <w:t>0.49</w:t>
            </w:r>
          </w:p>
        </w:tc>
        <w:tc>
          <w:tcPr>
            <w:tcW w:w="1081" w:type="dxa"/>
            <w:vAlign w:val="top"/>
          </w:tcPr>
          <w:p w14:paraId="0AA9F92A">
            <w:pPr>
              <w:spacing w:before="88" w:line="188" w:lineRule="auto"/>
              <w:ind w:left="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tc>
        <w:tc>
          <w:tcPr>
            <w:tcW w:w="581" w:type="dxa"/>
            <w:vAlign w:val="top"/>
          </w:tcPr>
          <w:p w14:paraId="4CC77EC1">
            <w:pPr>
              <w:pStyle w:val="6"/>
              <w:spacing w:before="59" w:line="231" w:lineRule="auto"/>
              <w:ind w:left="115"/>
              <w:rPr>
                <w:sz w:val="18"/>
                <w:szCs w:val="18"/>
              </w:rPr>
            </w:pPr>
            <w:r>
              <w:rPr>
                <w:spacing w:val="-2"/>
                <w:sz w:val="18"/>
                <w:szCs w:val="18"/>
              </w:rPr>
              <w:t>0.50</w:t>
            </w:r>
          </w:p>
        </w:tc>
      </w:tr>
    </w:tbl>
    <w:p w14:paraId="2DE651D3">
      <w:pPr>
        <w:pStyle w:val="2"/>
        <w:spacing w:line="125" w:lineRule="exact"/>
        <w:rPr>
          <w:sz w:val="10"/>
        </w:rPr>
      </w:pPr>
    </w:p>
    <w:p w14:paraId="4A3EBFDD">
      <w:pPr>
        <w:spacing w:line="125" w:lineRule="exact"/>
        <w:rPr>
          <w:sz w:val="10"/>
          <w:szCs w:val="10"/>
        </w:rPr>
        <w:sectPr>
          <w:headerReference r:id="rId187" w:type="default"/>
          <w:footerReference r:id="rId188" w:type="default"/>
          <w:pgSz w:w="16840" w:h="11907"/>
          <w:pgMar w:top="1208" w:right="1305" w:bottom="1356" w:left="1021" w:header="825" w:footer="1194" w:gutter="0"/>
          <w:cols w:space="720" w:num="1"/>
        </w:sectPr>
      </w:pPr>
    </w:p>
    <w:p w14:paraId="4EEC278F">
      <w:pPr>
        <w:spacing w:line="209" w:lineRule="exact"/>
      </w:pPr>
    </w:p>
    <w:tbl>
      <w:tblPr>
        <w:tblStyle w:val="5"/>
        <w:tblW w:w="14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1176"/>
        <w:gridCol w:w="764"/>
        <w:gridCol w:w="1109"/>
        <w:gridCol w:w="576"/>
        <w:gridCol w:w="1078"/>
        <w:gridCol w:w="576"/>
        <w:gridCol w:w="1078"/>
        <w:gridCol w:w="576"/>
        <w:gridCol w:w="1081"/>
        <w:gridCol w:w="577"/>
        <w:gridCol w:w="1082"/>
        <w:gridCol w:w="580"/>
        <w:gridCol w:w="1073"/>
        <w:gridCol w:w="580"/>
        <w:gridCol w:w="1081"/>
        <w:gridCol w:w="581"/>
      </w:tblGrid>
      <w:tr w14:paraId="5B143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940" w:type="dxa"/>
            <w:vMerge w:val="restart"/>
            <w:tcBorders>
              <w:bottom w:val="nil"/>
            </w:tcBorders>
            <w:vAlign w:val="top"/>
          </w:tcPr>
          <w:p w14:paraId="32B24075">
            <w:pPr>
              <w:pStyle w:val="6"/>
              <w:spacing w:before="298" w:line="219" w:lineRule="auto"/>
              <w:ind w:left="113"/>
              <w:rPr>
                <w:sz w:val="18"/>
                <w:szCs w:val="18"/>
              </w:rPr>
            </w:pPr>
            <w:r>
              <w:rPr>
                <w:spacing w:val="-2"/>
                <w:sz w:val="18"/>
                <w:szCs w:val="18"/>
              </w:rPr>
              <w:t>检测项目</w:t>
            </w:r>
          </w:p>
        </w:tc>
        <w:tc>
          <w:tcPr>
            <w:tcW w:w="1176" w:type="dxa"/>
            <w:vMerge w:val="restart"/>
            <w:tcBorders>
              <w:bottom w:val="nil"/>
            </w:tcBorders>
            <w:vAlign w:val="top"/>
          </w:tcPr>
          <w:p w14:paraId="2A0DE0FC">
            <w:pPr>
              <w:pStyle w:val="6"/>
              <w:spacing w:before="297" w:line="220" w:lineRule="auto"/>
              <w:ind w:left="411"/>
              <w:rPr>
                <w:sz w:val="18"/>
                <w:szCs w:val="18"/>
              </w:rPr>
            </w:pPr>
            <w:r>
              <w:rPr>
                <w:spacing w:val="-5"/>
                <w:sz w:val="18"/>
                <w:szCs w:val="18"/>
              </w:rPr>
              <w:t>单位</w:t>
            </w:r>
          </w:p>
        </w:tc>
        <w:tc>
          <w:tcPr>
            <w:tcW w:w="764" w:type="dxa"/>
            <w:vMerge w:val="restart"/>
            <w:tcBorders>
              <w:bottom w:val="nil"/>
            </w:tcBorders>
            <w:vAlign w:val="top"/>
          </w:tcPr>
          <w:p w14:paraId="77B86097">
            <w:pPr>
              <w:pStyle w:val="6"/>
              <w:spacing w:before="298" w:line="219" w:lineRule="auto"/>
              <w:ind w:left="117"/>
              <w:rPr>
                <w:sz w:val="18"/>
                <w:szCs w:val="18"/>
              </w:rPr>
            </w:pPr>
            <w:r>
              <w:rPr>
                <w:spacing w:val="-3"/>
                <w:sz w:val="18"/>
                <w:szCs w:val="18"/>
              </w:rPr>
              <w:t>标准值</w:t>
            </w:r>
          </w:p>
        </w:tc>
        <w:tc>
          <w:tcPr>
            <w:tcW w:w="1685" w:type="dxa"/>
            <w:gridSpan w:val="2"/>
            <w:vAlign w:val="top"/>
          </w:tcPr>
          <w:p w14:paraId="3C277F34">
            <w:pPr>
              <w:spacing w:before="88" w:line="188" w:lineRule="auto"/>
              <w:ind w:left="75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S1</w:t>
            </w:r>
          </w:p>
        </w:tc>
        <w:tc>
          <w:tcPr>
            <w:tcW w:w="1654" w:type="dxa"/>
            <w:gridSpan w:val="2"/>
            <w:vAlign w:val="top"/>
          </w:tcPr>
          <w:p w14:paraId="5AD9F780">
            <w:pPr>
              <w:spacing w:before="88"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S2</w:t>
            </w:r>
          </w:p>
        </w:tc>
        <w:tc>
          <w:tcPr>
            <w:tcW w:w="1654" w:type="dxa"/>
            <w:gridSpan w:val="2"/>
            <w:vAlign w:val="top"/>
          </w:tcPr>
          <w:p w14:paraId="698DF007">
            <w:pPr>
              <w:spacing w:before="88" w:line="188" w:lineRule="auto"/>
              <w:ind w:left="74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S3</w:t>
            </w:r>
          </w:p>
        </w:tc>
        <w:tc>
          <w:tcPr>
            <w:tcW w:w="1658" w:type="dxa"/>
            <w:gridSpan w:val="2"/>
            <w:vAlign w:val="top"/>
          </w:tcPr>
          <w:p w14:paraId="3D740C17">
            <w:pPr>
              <w:spacing w:before="88"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S4</w:t>
            </w:r>
          </w:p>
        </w:tc>
        <w:tc>
          <w:tcPr>
            <w:tcW w:w="1662" w:type="dxa"/>
            <w:gridSpan w:val="2"/>
            <w:vAlign w:val="top"/>
          </w:tcPr>
          <w:p w14:paraId="60CA409B">
            <w:pPr>
              <w:spacing w:before="88" w:line="188" w:lineRule="auto"/>
              <w:ind w:left="74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S5</w:t>
            </w:r>
          </w:p>
        </w:tc>
        <w:tc>
          <w:tcPr>
            <w:tcW w:w="1653" w:type="dxa"/>
            <w:gridSpan w:val="2"/>
            <w:vAlign w:val="top"/>
          </w:tcPr>
          <w:p w14:paraId="2CBC94A6">
            <w:pPr>
              <w:spacing w:before="88" w:line="188" w:lineRule="auto"/>
              <w:ind w:left="7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S6</w:t>
            </w:r>
          </w:p>
        </w:tc>
        <w:tc>
          <w:tcPr>
            <w:tcW w:w="1662" w:type="dxa"/>
            <w:gridSpan w:val="2"/>
            <w:vAlign w:val="top"/>
          </w:tcPr>
          <w:p w14:paraId="0418278A">
            <w:pPr>
              <w:spacing w:before="88" w:line="188" w:lineRule="auto"/>
              <w:ind w:left="74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S7</w:t>
            </w:r>
          </w:p>
        </w:tc>
      </w:tr>
      <w:tr w14:paraId="4D54C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40" w:type="dxa"/>
            <w:vMerge w:val="continue"/>
            <w:tcBorders>
              <w:top w:val="nil"/>
            </w:tcBorders>
            <w:vAlign w:val="top"/>
          </w:tcPr>
          <w:p w14:paraId="6B20B774">
            <w:pPr>
              <w:rPr>
                <w:rFonts w:ascii="Arial"/>
                <w:sz w:val="21"/>
              </w:rPr>
            </w:pPr>
          </w:p>
        </w:tc>
        <w:tc>
          <w:tcPr>
            <w:tcW w:w="1176" w:type="dxa"/>
            <w:vMerge w:val="continue"/>
            <w:tcBorders>
              <w:top w:val="nil"/>
            </w:tcBorders>
            <w:vAlign w:val="top"/>
          </w:tcPr>
          <w:p w14:paraId="4E928915">
            <w:pPr>
              <w:rPr>
                <w:rFonts w:ascii="Arial"/>
                <w:sz w:val="21"/>
              </w:rPr>
            </w:pPr>
          </w:p>
        </w:tc>
        <w:tc>
          <w:tcPr>
            <w:tcW w:w="764" w:type="dxa"/>
            <w:vMerge w:val="continue"/>
            <w:tcBorders>
              <w:top w:val="nil"/>
            </w:tcBorders>
            <w:vAlign w:val="top"/>
          </w:tcPr>
          <w:p w14:paraId="515F97A9">
            <w:pPr>
              <w:rPr>
                <w:rFonts w:ascii="Arial"/>
                <w:sz w:val="21"/>
              </w:rPr>
            </w:pPr>
          </w:p>
        </w:tc>
        <w:tc>
          <w:tcPr>
            <w:tcW w:w="1109" w:type="dxa"/>
            <w:vAlign w:val="top"/>
          </w:tcPr>
          <w:p w14:paraId="4268FA66">
            <w:pPr>
              <w:pStyle w:val="6"/>
              <w:spacing w:before="145" w:line="219" w:lineRule="auto"/>
              <w:ind w:left="293"/>
              <w:rPr>
                <w:sz w:val="18"/>
                <w:szCs w:val="18"/>
              </w:rPr>
            </w:pPr>
            <w:r>
              <w:rPr>
                <w:spacing w:val="-4"/>
                <w:sz w:val="18"/>
                <w:szCs w:val="18"/>
              </w:rPr>
              <w:t>实测值</w:t>
            </w:r>
          </w:p>
        </w:tc>
        <w:tc>
          <w:tcPr>
            <w:tcW w:w="576" w:type="dxa"/>
            <w:vAlign w:val="top"/>
          </w:tcPr>
          <w:p w14:paraId="7583C537">
            <w:pPr>
              <w:pStyle w:val="6"/>
              <w:spacing w:before="30" w:line="220" w:lineRule="auto"/>
              <w:ind w:left="114"/>
              <w:rPr>
                <w:sz w:val="18"/>
                <w:szCs w:val="18"/>
              </w:rPr>
            </w:pPr>
            <w:r>
              <w:rPr>
                <w:spacing w:val="-4"/>
                <w:sz w:val="18"/>
                <w:szCs w:val="18"/>
              </w:rPr>
              <w:t>标准</w:t>
            </w:r>
          </w:p>
          <w:p w14:paraId="0D1A2256">
            <w:pPr>
              <w:pStyle w:val="6"/>
              <w:spacing w:before="18" w:line="202" w:lineRule="auto"/>
              <w:ind w:left="115"/>
              <w:rPr>
                <w:sz w:val="18"/>
                <w:szCs w:val="18"/>
              </w:rPr>
            </w:pPr>
            <w:r>
              <w:rPr>
                <w:spacing w:val="-5"/>
                <w:sz w:val="18"/>
                <w:szCs w:val="18"/>
              </w:rPr>
              <w:t>指数</w:t>
            </w:r>
          </w:p>
        </w:tc>
        <w:tc>
          <w:tcPr>
            <w:tcW w:w="1078" w:type="dxa"/>
            <w:vAlign w:val="top"/>
          </w:tcPr>
          <w:p w14:paraId="3C7A4A31">
            <w:pPr>
              <w:pStyle w:val="6"/>
              <w:spacing w:before="145" w:line="219" w:lineRule="auto"/>
              <w:ind w:left="278"/>
              <w:rPr>
                <w:sz w:val="18"/>
                <w:szCs w:val="18"/>
              </w:rPr>
            </w:pPr>
            <w:r>
              <w:rPr>
                <w:spacing w:val="-4"/>
                <w:sz w:val="18"/>
                <w:szCs w:val="18"/>
              </w:rPr>
              <w:t>实测值</w:t>
            </w:r>
          </w:p>
        </w:tc>
        <w:tc>
          <w:tcPr>
            <w:tcW w:w="576" w:type="dxa"/>
            <w:vAlign w:val="top"/>
          </w:tcPr>
          <w:p w14:paraId="4A5E7BD5">
            <w:pPr>
              <w:pStyle w:val="6"/>
              <w:spacing w:before="30" w:line="220" w:lineRule="auto"/>
              <w:ind w:left="113"/>
              <w:rPr>
                <w:sz w:val="18"/>
                <w:szCs w:val="18"/>
              </w:rPr>
            </w:pPr>
            <w:r>
              <w:rPr>
                <w:spacing w:val="-4"/>
                <w:sz w:val="18"/>
                <w:szCs w:val="18"/>
              </w:rPr>
              <w:t>标准</w:t>
            </w:r>
          </w:p>
          <w:p w14:paraId="686253CD">
            <w:pPr>
              <w:pStyle w:val="6"/>
              <w:spacing w:before="18" w:line="202" w:lineRule="auto"/>
              <w:ind w:left="115"/>
              <w:rPr>
                <w:sz w:val="18"/>
                <w:szCs w:val="18"/>
              </w:rPr>
            </w:pPr>
            <w:r>
              <w:rPr>
                <w:spacing w:val="-5"/>
                <w:sz w:val="18"/>
                <w:szCs w:val="18"/>
              </w:rPr>
              <w:t>指数</w:t>
            </w:r>
          </w:p>
        </w:tc>
        <w:tc>
          <w:tcPr>
            <w:tcW w:w="1078" w:type="dxa"/>
            <w:vAlign w:val="top"/>
          </w:tcPr>
          <w:p w14:paraId="7142B8A4">
            <w:pPr>
              <w:pStyle w:val="6"/>
              <w:spacing w:before="145" w:line="219" w:lineRule="auto"/>
              <w:ind w:left="278"/>
              <w:rPr>
                <w:sz w:val="18"/>
                <w:szCs w:val="18"/>
              </w:rPr>
            </w:pPr>
            <w:r>
              <w:rPr>
                <w:spacing w:val="-4"/>
                <w:sz w:val="18"/>
                <w:szCs w:val="18"/>
              </w:rPr>
              <w:t>实测值</w:t>
            </w:r>
          </w:p>
        </w:tc>
        <w:tc>
          <w:tcPr>
            <w:tcW w:w="576" w:type="dxa"/>
            <w:vAlign w:val="top"/>
          </w:tcPr>
          <w:p w14:paraId="004B9714">
            <w:pPr>
              <w:pStyle w:val="6"/>
              <w:spacing w:before="30" w:line="220" w:lineRule="auto"/>
              <w:ind w:left="113"/>
              <w:rPr>
                <w:sz w:val="18"/>
                <w:szCs w:val="18"/>
              </w:rPr>
            </w:pPr>
            <w:r>
              <w:rPr>
                <w:spacing w:val="-4"/>
                <w:sz w:val="18"/>
                <w:szCs w:val="18"/>
              </w:rPr>
              <w:t>标准</w:t>
            </w:r>
          </w:p>
          <w:p w14:paraId="63E32AFE">
            <w:pPr>
              <w:pStyle w:val="6"/>
              <w:spacing w:before="18" w:line="202" w:lineRule="auto"/>
              <w:ind w:left="114"/>
              <w:rPr>
                <w:sz w:val="18"/>
                <w:szCs w:val="18"/>
              </w:rPr>
            </w:pPr>
            <w:r>
              <w:rPr>
                <w:spacing w:val="-5"/>
                <w:sz w:val="18"/>
                <w:szCs w:val="18"/>
              </w:rPr>
              <w:t>指数</w:t>
            </w:r>
          </w:p>
        </w:tc>
        <w:tc>
          <w:tcPr>
            <w:tcW w:w="1081" w:type="dxa"/>
            <w:vAlign w:val="top"/>
          </w:tcPr>
          <w:p w14:paraId="02D9976A">
            <w:pPr>
              <w:pStyle w:val="6"/>
              <w:spacing w:before="145" w:line="219" w:lineRule="auto"/>
              <w:ind w:left="280"/>
              <w:rPr>
                <w:sz w:val="18"/>
                <w:szCs w:val="18"/>
              </w:rPr>
            </w:pPr>
            <w:r>
              <w:rPr>
                <w:spacing w:val="-4"/>
                <w:sz w:val="18"/>
                <w:szCs w:val="18"/>
              </w:rPr>
              <w:t>实测值</w:t>
            </w:r>
          </w:p>
        </w:tc>
        <w:tc>
          <w:tcPr>
            <w:tcW w:w="577" w:type="dxa"/>
            <w:vAlign w:val="top"/>
          </w:tcPr>
          <w:p w14:paraId="089375B0">
            <w:pPr>
              <w:pStyle w:val="6"/>
              <w:spacing w:before="30" w:line="220" w:lineRule="auto"/>
              <w:ind w:left="114"/>
              <w:rPr>
                <w:sz w:val="18"/>
                <w:szCs w:val="18"/>
              </w:rPr>
            </w:pPr>
            <w:r>
              <w:rPr>
                <w:spacing w:val="-4"/>
                <w:sz w:val="18"/>
                <w:szCs w:val="18"/>
              </w:rPr>
              <w:t>标准</w:t>
            </w:r>
          </w:p>
          <w:p w14:paraId="74C0C98D">
            <w:pPr>
              <w:pStyle w:val="6"/>
              <w:spacing w:before="18" w:line="202" w:lineRule="auto"/>
              <w:ind w:left="116"/>
              <w:rPr>
                <w:sz w:val="18"/>
                <w:szCs w:val="18"/>
              </w:rPr>
            </w:pPr>
            <w:r>
              <w:rPr>
                <w:spacing w:val="-5"/>
                <w:sz w:val="18"/>
                <w:szCs w:val="18"/>
              </w:rPr>
              <w:t>指数</w:t>
            </w:r>
          </w:p>
        </w:tc>
        <w:tc>
          <w:tcPr>
            <w:tcW w:w="1082" w:type="dxa"/>
            <w:vAlign w:val="top"/>
          </w:tcPr>
          <w:p w14:paraId="766B939B">
            <w:pPr>
              <w:pStyle w:val="6"/>
              <w:spacing w:before="145" w:line="219" w:lineRule="auto"/>
              <w:ind w:left="280"/>
              <w:rPr>
                <w:sz w:val="18"/>
                <w:szCs w:val="18"/>
              </w:rPr>
            </w:pPr>
            <w:r>
              <w:rPr>
                <w:spacing w:val="-4"/>
                <w:sz w:val="18"/>
                <w:szCs w:val="18"/>
              </w:rPr>
              <w:t>实测值</w:t>
            </w:r>
          </w:p>
        </w:tc>
        <w:tc>
          <w:tcPr>
            <w:tcW w:w="580" w:type="dxa"/>
            <w:vAlign w:val="top"/>
          </w:tcPr>
          <w:p w14:paraId="23D04A5D">
            <w:pPr>
              <w:pStyle w:val="6"/>
              <w:spacing w:before="30" w:line="220" w:lineRule="auto"/>
              <w:ind w:left="116"/>
              <w:rPr>
                <w:sz w:val="18"/>
                <w:szCs w:val="18"/>
              </w:rPr>
            </w:pPr>
            <w:r>
              <w:rPr>
                <w:spacing w:val="-4"/>
                <w:sz w:val="18"/>
                <w:szCs w:val="18"/>
              </w:rPr>
              <w:t>标准</w:t>
            </w:r>
          </w:p>
          <w:p w14:paraId="1E5F231A">
            <w:pPr>
              <w:pStyle w:val="6"/>
              <w:spacing w:before="18" w:line="202" w:lineRule="auto"/>
              <w:ind w:left="117"/>
              <w:rPr>
                <w:sz w:val="18"/>
                <w:szCs w:val="18"/>
              </w:rPr>
            </w:pPr>
            <w:r>
              <w:rPr>
                <w:spacing w:val="-5"/>
                <w:sz w:val="18"/>
                <w:szCs w:val="18"/>
              </w:rPr>
              <w:t>指数</w:t>
            </w:r>
          </w:p>
        </w:tc>
        <w:tc>
          <w:tcPr>
            <w:tcW w:w="1073" w:type="dxa"/>
            <w:vAlign w:val="top"/>
          </w:tcPr>
          <w:p w14:paraId="389A358E">
            <w:pPr>
              <w:pStyle w:val="6"/>
              <w:spacing w:before="145" w:line="219" w:lineRule="auto"/>
              <w:ind w:left="276"/>
              <w:rPr>
                <w:sz w:val="18"/>
                <w:szCs w:val="18"/>
              </w:rPr>
            </w:pPr>
            <w:r>
              <w:rPr>
                <w:spacing w:val="-4"/>
                <w:sz w:val="18"/>
                <w:szCs w:val="18"/>
              </w:rPr>
              <w:t>实测值</w:t>
            </w:r>
          </w:p>
        </w:tc>
        <w:tc>
          <w:tcPr>
            <w:tcW w:w="580" w:type="dxa"/>
            <w:vAlign w:val="top"/>
          </w:tcPr>
          <w:p w14:paraId="05DDDC1F">
            <w:pPr>
              <w:pStyle w:val="6"/>
              <w:spacing w:before="30" w:line="220" w:lineRule="auto"/>
              <w:ind w:left="117"/>
              <w:rPr>
                <w:sz w:val="18"/>
                <w:szCs w:val="18"/>
              </w:rPr>
            </w:pPr>
            <w:r>
              <w:rPr>
                <w:spacing w:val="-4"/>
                <w:sz w:val="18"/>
                <w:szCs w:val="18"/>
              </w:rPr>
              <w:t>标准</w:t>
            </w:r>
          </w:p>
          <w:p w14:paraId="6278B3FE">
            <w:pPr>
              <w:pStyle w:val="6"/>
              <w:spacing w:before="18" w:line="202" w:lineRule="auto"/>
              <w:ind w:left="118"/>
              <w:rPr>
                <w:sz w:val="18"/>
                <w:szCs w:val="18"/>
              </w:rPr>
            </w:pPr>
            <w:r>
              <w:rPr>
                <w:spacing w:val="-5"/>
                <w:sz w:val="18"/>
                <w:szCs w:val="18"/>
              </w:rPr>
              <w:t>指数</w:t>
            </w:r>
          </w:p>
        </w:tc>
        <w:tc>
          <w:tcPr>
            <w:tcW w:w="1081" w:type="dxa"/>
            <w:vAlign w:val="top"/>
          </w:tcPr>
          <w:p w14:paraId="22D35C1B">
            <w:pPr>
              <w:pStyle w:val="6"/>
              <w:spacing w:before="145" w:line="219" w:lineRule="auto"/>
              <w:ind w:left="279"/>
              <w:rPr>
                <w:sz w:val="18"/>
                <w:szCs w:val="18"/>
              </w:rPr>
            </w:pPr>
            <w:r>
              <w:rPr>
                <w:spacing w:val="-4"/>
                <w:sz w:val="18"/>
                <w:szCs w:val="18"/>
              </w:rPr>
              <w:t>实测值</w:t>
            </w:r>
          </w:p>
        </w:tc>
        <w:tc>
          <w:tcPr>
            <w:tcW w:w="581" w:type="dxa"/>
            <w:vAlign w:val="top"/>
          </w:tcPr>
          <w:p w14:paraId="4D2A90DA">
            <w:pPr>
              <w:pStyle w:val="6"/>
              <w:spacing w:before="30" w:line="220" w:lineRule="auto"/>
              <w:ind w:left="114"/>
              <w:rPr>
                <w:sz w:val="18"/>
                <w:szCs w:val="18"/>
              </w:rPr>
            </w:pPr>
            <w:r>
              <w:rPr>
                <w:spacing w:val="-4"/>
                <w:sz w:val="18"/>
                <w:szCs w:val="18"/>
              </w:rPr>
              <w:t>标准</w:t>
            </w:r>
          </w:p>
          <w:p w14:paraId="4340233D">
            <w:pPr>
              <w:pStyle w:val="6"/>
              <w:spacing w:before="18" w:line="202" w:lineRule="auto"/>
              <w:ind w:left="115"/>
              <w:rPr>
                <w:sz w:val="18"/>
                <w:szCs w:val="18"/>
              </w:rPr>
            </w:pPr>
            <w:r>
              <w:rPr>
                <w:spacing w:val="-5"/>
                <w:sz w:val="18"/>
                <w:szCs w:val="18"/>
              </w:rPr>
              <w:t>指数</w:t>
            </w:r>
          </w:p>
        </w:tc>
      </w:tr>
      <w:tr w14:paraId="33541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940" w:type="dxa"/>
            <w:vAlign w:val="top"/>
          </w:tcPr>
          <w:p w14:paraId="6F8BFCE1">
            <w:pPr>
              <w:pStyle w:val="6"/>
              <w:spacing w:before="56" w:line="221" w:lineRule="auto"/>
              <w:ind w:left="204"/>
              <w:rPr>
                <w:sz w:val="18"/>
                <w:szCs w:val="18"/>
              </w:rPr>
            </w:pPr>
            <w:r>
              <w:rPr>
                <w:spacing w:val="-3"/>
                <w:sz w:val="18"/>
                <w:szCs w:val="18"/>
              </w:rPr>
              <w:t>硫酸盐</w:t>
            </w:r>
          </w:p>
        </w:tc>
        <w:tc>
          <w:tcPr>
            <w:tcW w:w="1176" w:type="dxa"/>
            <w:vAlign w:val="top"/>
          </w:tcPr>
          <w:p w14:paraId="74ED596F">
            <w:pPr>
              <w:spacing w:before="84"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079B05B8">
            <w:pPr>
              <w:pStyle w:val="6"/>
              <w:spacing w:before="56" w:line="231" w:lineRule="auto"/>
              <w:ind w:left="172"/>
              <w:rPr>
                <w:sz w:val="18"/>
                <w:szCs w:val="18"/>
              </w:rPr>
            </w:pPr>
            <w:r>
              <w:rPr>
                <w:spacing w:val="-5"/>
                <w:sz w:val="18"/>
                <w:szCs w:val="18"/>
              </w:rPr>
              <w:t>≤250</w:t>
            </w:r>
          </w:p>
        </w:tc>
        <w:tc>
          <w:tcPr>
            <w:tcW w:w="1109" w:type="dxa"/>
            <w:vAlign w:val="top"/>
          </w:tcPr>
          <w:p w14:paraId="7E647046">
            <w:pPr>
              <w:spacing w:before="88" w:line="188" w:lineRule="auto"/>
              <w:ind w:left="4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144</w:t>
            </w:r>
          </w:p>
        </w:tc>
        <w:tc>
          <w:tcPr>
            <w:tcW w:w="576" w:type="dxa"/>
            <w:vAlign w:val="top"/>
          </w:tcPr>
          <w:p w14:paraId="3D77CD98">
            <w:pPr>
              <w:pStyle w:val="6"/>
              <w:spacing w:before="56" w:line="231" w:lineRule="auto"/>
              <w:ind w:left="114"/>
              <w:rPr>
                <w:sz w:val="18"/>
                <w:szCs w:val="18"/>
              </w:rPr>
            </w:pPr>
            <w:r>
              <w:rPr>
                <w:spacing w:val="-2"/>
                <w:sz w:val="18"/>
                <w:szCs w:val="18"/>
              </w:rPr>
              <w:t>0.58</w:t>
            </w:r>
          </w:p>
        </w:tc>
        <w:tc>
          <w:tcPr>
            <w:tcW w:w="1078" w:type="dxa"/>
            <w:vAlign w:val="top"/>
          </w:tcPr>
          <w:p w14:paraId="4A319F88">
            <w:pPr>
              <w:spacing w:before="88"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155</w:t>
            </w:r>
          </w:p>
        </w:tc>
        <w:tc>
          <w:tcPr>
            <w:tcW w:w="576" w:type="dxa"/>
            <w:vAlign w:val="top"/>
          </w:tcPr>
          <w:p w14:paraId="672C2E99">
            <w:pPr>
              <w:pStyle w:val="6"/>
              <w:spacing w:before="56" w:line="231" w:lineRule="auto"/>
              <w:ind w:left="114"/>
              <w:rPr>
                <w:sz w:val="18"/>
                <w:szCs w:val="18"/>
              </w:rPr>
            </w:pPr>
            <w:r>
              <w:rPr>
                <w:spacing w:val="-2"/>
                <w:sz w:val="18"/>
                <w:szCs w:val="18"/>
              </w:rPr>
              <w:t>0.62</w:t>
            </w:r>
          </w:p>
        </w:tc>
        <w:tc>
          <w:tcPr>
            <w:tcW w:w="1078" w:type="dxa"/>
            <w:vAlign w:val="top"/>
          </w:tcPr>
          <w:p w14:paraId="03DC2DDE">
            <w:pPr>
              <w:spacing w:before="88"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145</w:t>
            </w:r>
          </w:p>
        </w:tc>
        <w:tc>
          <w:tcPr>
            <w:tcW w:w="576" w:type="dxa"/>
            <w:vAlign w:val="top"/>
          </w:tcPr>
          <w:p w14:paraId="1B216F8D">
            <w:pPr>
              <w:pStyle w:val="6"/>
              <w:spacing w:before="56" w:line="231" w:lineRule="auto"/>
              <w:ind w:left="114"/>
              <w:rPr>
                <w:sz w:val="18"/>
                <w:szCs w:val="18"/>
              </w:rPr>
            </w:pPr>
            <w:r>
              <w:rPr>
                <w:spacing w:val="-2"/>
                <w:sz w:val="18"/>
                <w:szCs w:val="18"/>
              </w:rPr>
              <w:t>0.58</w:t>
            </w:r>
          </w:p>
        </w:tc>
        <w:tc>
          <w:tcPr>
            <w:tcW w:w="1081" w:type="dxa"/>
            <w:vAlign w:val="top"/>
          </w:tcPr>
          <w:p w14:paraId="57EC07AE">
            <w:pPr>
              <w:spacing w:before="8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136</w:t>
            </w:r>
          </w:p>
        </w:tc>
        <w:tc>
          <w:tcPr>
            <w:tcW w:w="577" w:type="dxa"/>
            <w:vAlign w:val="top"/>
          </w:tcPr>
          <w:p w14:paraId="4CB5D9F4">
            <w:pPr>
              <w:pStyle w:val="6"/>
              <w:spacing w:before="56" w:line="231" w:lineRule="auto"/>
              <w:ind w:left="115"/>
              <w:rPr>
                <w:sz w:val="18"/>
                <w:szCs w:val="18"/>
              </w:rPr>
            </w:pPr>
            <w:r>
              <w:rPr>
                <w:spacing w:val="-2"/>
                <w:sz w:val="18"/>
                <w:szCs w:val="18"/>
              </w:rPr>
              <w:t>0.54</w:t>
            </w:r>
          </w:p>
        </w:tc>
        <w:tc>
          <w:tcPr>
            <w:tcW w:w="1082" w:type="dxa"/>
            <w:vAlign w:val="top"/>
          </w:tcPr>
          <w:p w14:paraId="12FB3823">
            <w:pPr>
              <w:spacing w:before="8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161</w:t>
            </w:r>
          </w:p>
        </w:tc>
        <w:tc>
          <w:tcPr>
            <w:tcW w:w="580" w:type="dxa"/>
            <w:vAlign w:val="top"/>
          </w:tcPr>
          <w:p w14:paraId="0EEAFF73">
            <w:pPr>
              <w:pStyle w:val="6"/>
              <w:spacing w:before="56" w:line="231" w:lineRule="auto"/>
              <w:ind w:left="117"/>
              <w:rPr>
                <w:sz w:val="18"/>
                <w:szCs w:val="18"/>
              </w:rPr>
            </w:pPr>
            <w:r>
              <w:rPr>
                <w:spacing w:val="-2"/>
                <w:sz w:val="18"/>
                <w:szCs w:val="18"/>
              </w:rPr>
              <w:t>0.64</w:t>
            </w:r>
          </w:p>
        </w:tc>
        <w:tc>
          <w:tcPr>
            <w:tcW w:w="1073" w:type="dxa"/>
            <w:vAlign w:val="top"/>
          </w:tcPr>
          <w:p w14:paraId="6FC1126E">
            <w:pPr>
              <w:spacing w:before="88" w:line="188" w:lineRule="auto"/>
              <w:ind w:left="42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162</w:t>
            </w:r>
          </w:p>
        </w:tc>
        <w:tc>
          <w:tcPr>
            <w:tcW w:w="580" w:type="dxa"/>
            <w:vAlign w:val="top"/>
          </w:tcPr>
          <w:p w14:paraId="72099B97">
            <w:pPr>
              <w:pStyle w:val="6"/>
              <w:spacing w:before="56" w:line="231" w:lineRule="auto"/>
              <w:ind w:left="117"/>
              <w:rPr>
                <w:sz w:val="18"/>
                <w:szCs w:val="18"/>
              </w:rPr>
            </w:pPr>
            <w:r>
              <w:rPr>
                <w:spacing w:val="-2"/>
                <w:sz w:val="18"/>
                <w:szCs w:val="18"/>
              </w:rPr>
              <w:t>0.65</w:t>
            </w:r>
          </w:p>
        </w:tc>
        <w:tc>
          <w:tcPr>
            <w:tcW w:w="1081" w:type="dxa"/>
            <w:vAlign w:val="top"/>
          </w:tcPr>
          <w:p w14:paraId="7F540BF8">
            <w:pPr>
              <w:spacing w:before="88" w:line="188" w:lineRule="auto"/>
              <w:ind w:left="4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144</w:t>
            </w:r>
          </w:p>
        </w:tc>
        <w:tc>
          <w:tcPr>
            <w:tcW w:w="581" w:type="dxa"/>
            <w:vAlign w:val="top"/>
          </w:tcPr>
          <w:p w14:paraId="23DC0F80">
            <w:pPr>
              <w:pStyle w:val="6"/>
              <w:spacing w:before="56" w:line="231" w:lineRule="auto"/>
              <w:ind w:left="115"/>
              <w:rPr>
                <w:sz w:val="18"/>
                <w:szCs w:val="18"/>
              </w:rPr>
            </w:pPr>
            <w:r>
              <w:rPr>
                <w:spacing w:val="-2"/>
                <w:sz w:val="18"/>
                <w:szCs w:val="18"/>
              </w:rPr>
              <w:t>0.58</w:t>
            </w:r>
          </w:p>
        </w:tc>
      </w:tr>
      <w:tr w14:paraId="636D1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940" w:type="dxa"/>
            <w:vAlign w:val="top"/>
          </w:tcPr>
          <w:p w14:paraId="24C5A25A">
            <w:pPr>
              <w:pStyle w:val="6"/>
              <w:spacing w:before="57" w:line="219" w:lineRule="auto"/>
              <w:ind w:left="205"/>
              <w:rPr>
                <w:sz w:val="18"/>
                <w:szCs w:val="18"/>
              </w:rPr>
            </w:pPr>
            <w:r>
              <w:rPr>
                <w:spacing w:val="-3"/>
                <w:sz w:val="18"/>
                <w:szCs w:val="18"/>
              </w:rPr>
              <w:t>石油类</w:t>
            </w:r>
          </w:p>
        </w:tc>
        <w:tc>
          <w:tcPr>
            <w:tcW w:w="1176" w:type="dxa"/>
            <w:vAlign w:val="top"/>
          </w:tcPr>
          <w:p w14:paraId="242AEF7A">
            <w:pPr>
              <w:spacing w:before="85" w:line="192" w:lineRule="auto"/>
              <w:ind w:left="3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mg/L</w:t>
            </w:r>
          </w:p>
        </w:tc>
        <w:tc>
          <w:tcPr>
            <w:tcW w:w="764" w:type="dxa"/>
            <w:vAlign w:val="top"/>
          </w:tcPr>
          <w:p w14:paraId="701B961F">
            <w:pPr>
              <w:pStyle w:val="6"/>
              <w:spacing w:before="57" w:line="235" w:lineRule="auto"/>
              <w:ind w:left="151"/>
              <w:rPr>
                <w:rFonts w:ascii="Times New Roman" w:hAnsi="Times New Roman" w:eastAsia="Times New Roman" w:cs="Times New Roman"/>
                <w:sz w:val="18"/>
                <w:szCs w:val="18"/>
              </w:rPr>
            </w:pPr>
            <w:r>
              <w:rPr>
                <w:spacing w:val="-4"/>
                <w:sz w:val="18"/>
                <w:szCs w:val="18"/>
              </w:rPr>
              <w:t>≤</w:t>
            </w:r>
            <w:r>
              <w:rPr>
                <w:rFonts w:ascii="Times New Roman" w:hAnsi="Times New Roman" w:eastAsia="Times New Roman" w:cs="Times New Roman"/>
                <w:spacing w:val="-4"/>
                <w:sz w:val="18"/>
                <w:szCs w:val="18"/>
              </w:rPr>
              <w:t>0.05</w:t>
            </w:r>
          </w:p>
        </w:tc>
        <w:tc>
          <w:tcPr>
            <w:tcW w:w="1109" w:type="dxa"/>
            <w:vAlign w:val="top"/>
          </w:tcPr>
          <w:p w14:paraId="08CF4993">
            <w:pPr>
              <w:spacing w:before="88"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5470B013">
            <w:pPr>
              <w:pStyle w:val="6"/>
              <w:spacing w:before="57" w:line="235" w:lineRule="auto"/>
              <w:ind w:left="169"/>
              <w:rPr>
                <w:sz w:val="18"/>
                <w:szCs w:val="18"/>
              </w:rPr>
            </w:pPr>
            <w:r>
              <w:rPr>
                <w:spacing w:val="29"/>
                <w:w w:val="106"/>
                <w:sz w:val="18"/>
                <w:szCs w:val="18"/>
              </w:rPr>
              <w:t>&lt;1</w:t>
            </w:r>
          </w:p>
        </w:tc>
        <w:tc>
          <w:tcPr>
            <w:tcW w:w="1078" w:type="dxa"/>
            <w:vAlign w:val="top"/>
          </w:tcPr>
          <w:p w14:paraId="0D52BD97">
            <w:pPr>
              <w:spacing w:before="88" w:line="188" w:lineRule="auto"/>
              <w:ind w:left="3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3A041643">
            <w:pPr>
              <w:pStyle w:val="6"/>
              <w:spacing w:before="57" w:line="235" w:lineRule="auto"/>
              <w:ind w:left="171"/>
              <w:rPr>
                <w:sz w:val="18"/>
                <w:szCs w:val="18"/>
              </w:rPr>
            </w:pPr>
            <w:r>
              <w:rPr>
                <w:spacing w:val="29"/>
                <w:w w:val="106"/>
                <w:sz w:val="18"/>
                <w:szCs w:val="18"/>
              </w:rPr>
              <w:t>&lt;1</w:t>
            </w:r>
          </w:p>
        </w:tc>
        <w:tc>
          <w:tcPr>
            <w:tcW w:w="1078" w:type="dxa"/>
            <w:vAlign w:val="top"/>
          </w:tcPr>
          <w:p w14:paraId="1AC074F5">
            <w:pPr>
              <w:spacing w:before="88"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6" w:type="dxa"/>
            <w:vAlign w:val="top"/>
          </w:tcPr>
          <w:p w14:paraId="39D91775">
            <w:pPr>
              <w:pStyle w:val="6"/>
              <w:spacing w:before="57" w:line="235" w:lineRule="auto"/>
              <w:ind w:left="171"/>
              <w:rPr>
                <w:sz w:val="18"/>
                <w:szCs w:val="18"/>
              </w:rPr>
            </w:pPr>
            <w:r>
              <w:rPr>
                <w:spacing w:val="29"/>
                <w:w w:val="106"/>
                <w:sz w:val="18"/>
                <w:szCs w:val="18"/>
              </w:rPr>
              <w:t>&lt;1</w:t>
            </w:r>
          </w:p>
        </w:tc>
        <w:tc>
          <w:tcPr>
            <w:tcW w:w="1081" w:type="dxa"/>
            <w:vAlign w:val="top"/>
          </w:tcPr>
          <w:p w14:paraId="32D9FFA3">
            <w:pPr>
              <w:spacing w:before="88"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0.01L</w:t>
            </w:r>
          </w:p>
        </w:tc>
        <w:tc>
          <w:tcPr>
            <w:tcW w:w="577" w:type="dxa"/>
            <w:vAlign w:val="top"/>
          </w:tcPr>
          <w:p w14:paraId="056237DF">
            <w:pPr>
              <w:pStyle w:val="6"/>
              <w:spacing w:before="57" w:line="235" w:lineRule="auto"/>
              <w:ind w:left="172"/>
              <w:rPr>
                <w:sz w:val="18"/>
                <w:szCs w:val="18"/>
              </w:rPr>
            </w:pPr>
            <w:r>
              <w:rPr>
                <w:spacing w:val="29"/>
                <w:w w:val="106"/>
                <w:sz w:val="18"/>
                <w:szCs w:val="18"/>
              </w:rPr>
              <w:t>&lt;1</w:t>
            </w:r>
          </w:p>
        </w:tc>
        <w:tc>
          <w:tcPr>
            <w:tcW w:w="1082" w:type="dxa"/>
            <w:vAlign w:val="top"/>
          </w:tcPr>
          <w:p w14:paraId="112F5B23">
            <w:pPr>
              <w:spacing w:before="88"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0" w:type="dxa"/>
            <w:vAlign w:val="top"/>
          </w:tcPr>
          <w:p w14:paraId="520AD3F1">
            <w:pPr>
              <w:pStyle w:val="6"/>
              <w:spacing w:before="57" w:line="235" w:lineRule="auto"/>
              <w:ind w:left="174"/>
              <w:rPr>
                <w:sz w:val="18"/>
                <w:szCs w:val="18"/>
              </w:rPr>
            </w:pPr>
            <w:r>
              <w:rPr>
                <w:spacing w:val="29"/>
                <w:w w:val="106"/>
                <w:sz w:val="18"/>
                <w:szCs w:val="18"/>
              </w:rPr>
              <w:t>&lt;1</w:t>
            </w:r>
          </w:p>
        </w:tc>
        <w:tc>
          <w:tcPr>
            <w:tcW w:w="1073" w:type="dxa"/>
            <w:vAlign w:val="top"/>
          </w:tcPr>
          <w:p w14:paraId="0486CFEB">
            <w:pPr>
              <w:spacing w:before="88" w:line="188" w:lineRule="auto"/>
              <w:ind w:left="3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0" w:type="dxa"/>
            <w:vAlign w:val="top"/>
          </w:tcPr>
          <w:p w14:paraId="05061682">
            <w:pPr>
              <w:pStyle w:val="6"/>
              <w:spacing w:before="57" w:line="235" w:lineRule="auto"/>
              <w:ind w:left="172"/>
              <w:rPr>
                <w:sz w:val="18"/>
                <w:szCs w:val="18"/>
              </w:rPr>
            </w:pPr>
            <w:r>
              <w:rPr>
                <w:spacing w:val="29"/>
                <w:w w:val="106"/>
                <w:sz w:val="18"/>
                <w:szCs w:val="18"/>
              </w:rPr>
              <w:t>&lt;1</w:t>
            </w:r>
          </w:p>
        </w:tc>
        <w:tc>
          <w:tcPr>
            <w:tcW w:w="1081" w:type="dxa"/>
            <w:vAlign w:val="top"/>
          </w:tcPr>
          <w:p w14:paraId="75CF0AF4">
            <w:pPr>
              <w:spacing w:before="88" w:line="188" w:lineRule="auto"/>
              <w:ind w:left="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0.01L</w:t>
            </w:r>
          </w:p>
        </w:tc>
        <w:tc>
          <w:tcPr>
            <w:tcW w:w="581" w:type="dxa"/>
            <w:vAlign w:val="top"/>
          </w:tcPr>
          <w:p w14:paraId="0CE9376D">
            <w:pPr>
              <w:pStyle w:val="6"/>
              <w:spacing w:before="57" w:line="235" w:lineRule="auto"/>
              <w:ind w:left="172"/>
              <w:rPr>
                <w:sz w:val="18"/>
                <w:szCs w:val="18"/>
              </w:rPr>
            </w:pPr>
            <w:r>
              <w:rPr>
                <w:spacing w:val="29"/>
                <w:w w:val="106"/>
                <w:sz w:val="18"/>
                <w:szCs w:val="18"/>
              </w:rPr>
              <w:t>&lt;1</w:t>
            </w:r>
          </w:p>
        </w:tc>
      </w:tr>
    </w:tbl>
    <w:p w14:paraId="03FAD072">
      <w:pPr>
        <w:spacing w:before="35" w:line="219" w:lineRule="auto"/>
        <w:ind w:left="120"/>
        <w:rPr>
          <w:rFonts w:ascii="宋体" w:hAnsi="宋体" w:eastAsia="宋体" w:cs="宋体"/>
          <w:sz w:val="24"/>
          <w:szCs w:val="24"/>
        </w:rPr>
      </w:pPr>
      <w:r>
        <w:rPr>
          <w:rFonts w:ascii="宋体" w:hAnsi="宋体" w:eastAsia="宋体" w:cs="宋体"/>
          <w:spacing w:val="-1"/>
          <w:sz w:val="24"/>
          <w:szCs w:val="24"/>
        </w:rPr>
        <w:t>注：</w:t>
      </w:r>
      <w:r>
        <w:rPr>
          <w:rFonts w:ascii="Times New Roman" w:hAnsi="Times New Roman" w:eastAsia="Times New Roman" w:cs="Times New Roman"/>
          <w:spacing w:val="-1"/>
          <w:sz w:val="24"/>
          <w:szCs w:val="24"/>
        </w:rPr>
        <w:t>“L”</w:t>
      </w:r>
      <w:r>
        <w:rPr>
          <w:rFonts w:ascii="宋体" w:hAnsi="宋体" w:eastAsia="宋体" w:cs="宋体"/>
          <w:spacing w:val="-1"/>
          <w:sz w:val="24"/>
          <w:szCs w:val="24"/>
        </w:rPr>
        <w:t>表示未检出或低于检出限。</w:t>
      </w:r>
    </w:p>
    <w:p w14:paraId="3824B7EA">
      <w:pPr>
        <w:spacing w:before="183" w:line="219" w:lineRule="auto"/>
        <w:ind w:left="407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6.3-9    </w:t>
      </w:r>
      <w:r>
        <w:rPr>
          <w:rFonts w:ascii="宋体" w:hAnsi="宋体" w:eastAsia="宋体" w:cs="宋体"/>
          <w:spacing w:val="1"/>
          <w:sz w:val="24"/>
          <w:szCs w:val="24"/>
        </w:rPr>
        <w:t>地下水常规水化学离子监测结果统计表（</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023</w:t>
      </w:r>
      <w:r>
        <w:rPr>
          <w:rFonts w:ascii="宋体" w:hAnsi="宋体" w:eastAsia="宋体" w:cs="宋体"/>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6 </w:t>
      </w:r>
      <w:r>
        <w:rPr>
          <w:rFonts w:ascii="宋体" w:hAnsi="宋体" w:eastAsia="宋体" w:cs="宋体"/>
          <w:sz w:val="24"/>
          <w:szCs w:val="24"/>
        </w:rPr>
        <w:t>月）</w:t>
      </w:r>
    </w:p>
    <w:p w14:paraId="4522D460">
      <w:pPr>
        <w:spacing w:line="146" w:lineRule="exact"/>
      </w:pPr>
    </w:p>
    <w:tbl>
      <w:tblPr>
        <w:tblStyle w:val="5"/>
        <w:tblW w:w="1450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5"/>
        <w:gridCol w:w="1827"/>
        <w:gridCol w:w="1827"/>
        <w:gridCol w:w="1828"/>
        <w:gridCol w:w="1827"/>
        <w:gridCol w:w="1827"/>
        <w:gridCol w:w="1828"/>
        <w:gridCol w:w="1823"/>
      </w:tblGrid>
      <w:tr w14:paraId="34DD3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715" w:type="dxa"/>
            <w:tcBorders>
              <w:tl2br w:val="single" w:color="000000" w:sz="4" w:space="0"/>
            </w:tcBorders>
            <w:vAlign w:val="top"/>
          </w:tcPr>
          <w:p w14:paraId="26E35971">
            <w:pPr>
              <w:pStyle w:val="6"/>
              <w:spacing w:before="35" w:line="360" w:lineRule="auto"/>
              <w:ind w:left="119" w:right="108" w:firstLine="653"/>
              <w:rPr>
                <w:rFonts w:ascii="Times New Roman" w:hAnsi="Times New Roman" w:eastAsia="Times New Roman" w:cs="Times New Roman"/>
              </w:rPr>
            </w:pPr>
            <w:r>
              <w:rPr>
                <w:spacing w:val="7"/>
              </w:rPr>
              <w:t>监测点位</w:t>
            </w:r>
            <w:r>
              <w:t xml:space="preserve"> </w:t>
            </w:r>
            <w:r>
              <w:rPr>
                <w:spacing w:val="7"/>
              </w:rPr>
              <w:t>指标，</w:t>
            </w:r>
            <w:r>
              <w:rPr>
                <w:rFonts w:ascii="Times New Roman" w:hAnsi="Times New Roman" w:eastAsia="Times New Roman" w:cs="Times New Roman"/>
              </w:rPr>
              <w:t>mg</w:t>
            </w:r>
            <w:r>
              <w:rPr>
                <w:rFonts w:ascii="Times New Roman" w:hAnsi="Times New Roman" w:eastAsia="Times New Roman" w:cs="Times New Roman"/>
                <w:spacing w:val="7"/>
              </w:rPr>
              <w:t>/L</w:t>
            </w:r>
          </w:p>
        </w:tc>
        <w:tc>
          <w:tcPr>
            <w:tcW w:w="1827" w:type="dxa"/>
            <w:vAlign w:val="top"/>
          </w:tcPr>
          <w:p w14:paraId="033C2A67">
            <w:pPr>
              <w:spacing w:before="283" w:line="195"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1827" w:type="dxa"/>
            <w:vAlign w:val="top"/>
          </w:tcPr>
          <w:p w14:paraId="42BEF024">
            <w:pPr>
              <w:spacing w:before="283"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828" w:type="dxa"/>
            <w:vAlign w:val="top"/>
          </w:tcPr>
          <w:p w14:paraId="3F362265">
            <w:pPr>
              <w:spacing w:before="283" w:line="195"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1827" w:type="dxa"/>
            <w:vAlign w:val="top"/>
          </w:tcPr>
          <w:p w14:paraId="7B5C54D2">
            <w:pPr>
              <w:spacing w:before="283"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827" w:type="dxa"/>
            <w:vAlign w:val="top"/>
          </w:tcPr>
          <w:p w14:paraId="682A470A">
            <w:pPr>
              <w:spacing w:before="283" w:line="195" w:lineRule="auto"/>
              <w:ind w:left="8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828" w:type="dxa"/>
            <w:vAlign w:val="top"/>
          </w:tcPr>
          <w:p w14:paraId="62611963">
            <w:pPr>
              <w:spacing w:before="283"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823" w:type="dxa"/>
            <w:vAlign w:val="top"/>
          </w:tcPr>
          <w:p w14:paraId="681CD4E5">
            <w:pPr>
              <w:spacing w:before="283"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r>
      <w:tr w14:paraId="59D43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15" w:type="dxa"/>
            <w:vAlign w:val="top"/>
          </w:tcPr>
          <w:p w14:paraId="646705E2">
            <w:pPr>
              <w:spacing w:before="53" w:line="204" w:lineRule="auto"/>
              <w:ind w:left="743"/>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K</w:t>
            </w:r>
            <w:r>
              <w:rPr>
                <w:rFonts w:ascii="Times New Roman" w:hAnsi="Times New Roman" w:eastAsia="Times New Roman" w:cs="Times New Roman"/>
                <w:spacing w:val="3"/>
                <w:position w:val="5"/>
                <w:sz w:val="13"/>
                <w:szCs w:val="13"/>
              </w:rPr>
              <w:t>+</w:t>
            </w:r>
          </w:p>
        </w:tc>
        <w:tc>
          <w:tcPr>
            <w:tcW w:w="1827" w:type="dxa"/>
            <w:vAlign w:val="top"/>
          </w:tcPr>
          <w:p w14:paraId="6B9350EF">
            <w:pPr>
              <w:spacing w:before="61"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827" w:type="dxa"/>
            <w:vAlign w:val="top"/>
          </w:tcPr>
          <w:p w14:paraId="65299A22">
            <w:pPr>
              <w:spacing w:before="61" w:line="195"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w:t>
            </w:r>
          </w:p>
        </w:tc>
        <w:tc>
          <w:tcPr>
            <w:tcW w:w="1828" w:type="dxa"/>
            <w:vAlign w:val="top"/>
          </w:tcPr>
          <w:p w14:paraId="1195EB82">
            <w:pPr>
              <w:spacing w:before="61"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9.87</w:t>
            </w:r>
          </w:p>
        </w:tc>
        <w:tc>
          <w:tcPr>
            <w:tcW w:w="1827" w:type="dxa"/>
            <w:vAlign w:val="top"/>
          </w:tcPr>
          <w:p w14:paraId="5DE4E062">
            <w:pPr>
              <w:spacing w:before="61" w:line="195"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8.66</w:t>
            </w:r>
          </w:p>
        </w:tc>
        <w:tc>
          <w:tcPr>
            <w:tcW w:w="1827" w:type="dxa"/>
            <w:vAlign w:val="top"/>
          </w:tcPr>
          <w:p w14:paraId="13A173B1">
            <w:pPr>
              <w:spacing w:before="61" w:line="195"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8.95</w:t>
            </w:r>
          </w:p>
        </w:tc>
        <w:tc>
          <w:tcPr>
            <w:tcW w:w="1828" w:type="dxa"/>
            <w:vAlign w:val="top"/>
          </w:tcPr>
          <w:p w14:paraId="191B8912">
            <w:pPr>
              <w:spacing w:before="61"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1823" w:type="dxa"/>
            <w:vAlign w:val="top"/>
          </w:tcPr>
          <w:p w14:paraId="2F3712D0">
            <w:pPr>
              <w:spacing w:before="61" w:line="195"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r>
      <w:tr w14:paraId="441B9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715" w:type="dxa"/>
            <w:vAlign w:val="top"/>
          </w:tcPr>
          <w:p w14:paraId="683ED12C">
            <w:pPr>
              <w:spacing w:before="54" w:line="204" w:lineRule="auto"/>
              <w:ind w:left="691"/>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Na</w:t>
            </w:r>
            <w:r>
              <w:rPr>
                <w:rFonts w:ascii="Times New Roman" w:hAnsi="Times New Roman" w:eastAsia="Times New Roman" w:cs="Times New Roman"/>
                <w:spacing w:val="17"/>
                <w:position w:val="5"/>
                <w:sz w:val="13"/>
                <w:szCs w:val="13"/>
              </w:rPr>
              <w:t>+</w:t>
            </w:r>
          </w:p>
        </w:tc>
        <w:tc>
          <w:tcPr>
            <w:tcW w:w="1827" w:type="dxa"/>
            <w:vAlign w:val="top"/>
          </w:tcPr>
          <w:p w14:paraId="50E1203E">
            <w:pPr>
              <w:spacing w:before="63"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74.2</w:t>
            </w:r>
          </w:p>
        </w:tc>
        <w:tc>
          <w:tcPr>
            <w:tcW w:w="1827" w:type="dxa"/>
            <w:vAlign w:val="top"/>
          </w:tcPr>
          <w:p w14:paraId="2805861E">
            <w:pPr>
              <w:spacing w:before="63"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85.4</w:t>
            </w:r>
          </w:p>
        </w:tc>
        <w:tc>
          <w:tcPr>
            <w:tcW w:w="1828" w:type="dxa"/>
            <w:vAlign w:val="top"/>
          </w:tcPr>
          <w:p w14:paraId="2CC76CB4">
            <w:pPr>
              <w:spacing w:before="63" w:line="195" w:lineRule="auto"/>
              <w:ind w:left="7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82.4</w:t>
            </w:r>
          </w:p>
        </w:tc>
        <w:tc>
          <w:tcPr>
            <w:tcW w:w="1827" w:type="dxa"/>
            <w:vAlign w:val="top"/>
          </w:tcPr>
          <w:p w14:paraId="494AB899">
            <w:pPr>
              <w:spacing w:before="63"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79.8</w:t>
            </w:r>
          </w:p>
        </w:tc>
        <w:tc>
          <w:tcPr>
            <w:tcW w:w="1827" w:type="dxa"/>
            <w:vAlign w:val="top"/>
          </w:tcPr>
          <w:p w14:paraId="1835BD2C">
            <w:pPr>
              <w:spacing w:before="63"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53.6</w:t>
            </w:r>
          </w:p>
        </w:tc>
        <w:tc>
          <w:tcPr>
            <w:tcW w:w="1828" w:type="dxa"/>
            <w:vAlign w:val="top"/>
          </w:tcPr>
          <w:p w14:paraId="01446501">
            <w:pPr>
              <w:spacing w:before="63"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w:t>
            </w:r>
          </w:p>
        </w:tc>
        <w:tc>
          <w:tcPr>
            <w:tcW w:w="1823" w:type="dxa"/>
            <w:vAlign w:val="top"/>
          </w:tcPr>
          <w:p w14:paraId="529D20CF">
            <w:pPr>
              <w:spacing w:before="63"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82.4</w:t>
            </w:r>
          </w:p>
        </w:tc>
      </w:tr>
      <w:tr w14:paraId="6421F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15" w:type="dxa"/>
            <w:vAlign w:val="top"/>
          </w:tcPr>
          <w:p w14:paraId="0759A0D0">
            <w:pPr>
              <w:spacing w:before="43" w:line="216" w:lineRule="auto"/>
              <w:ind w:left="672"/>
              <w:rPr>
                <w:rFonts w:ascii="Times New Roman" w:hAnsi="Times New Roman" w:eastAsia="Times New Roman" w:cs="Times New Roman"/>
                <w:sz w:val="13"/>
                <w:szCs w:val="13"/>
              </w:rPr>
            </w:pPr>
            <w:r>
              <w:rPr>
                <w:rFonts w:ascii="Times New Roman" w:hAnsi="Times New Roman" w:eastAsia="Times New Roman" w:cs="Times New Roman"/>
                <w:position w:val="-2"/>
                <w:sz w:val="20"/>
                <w:szCs w:val="20"/>
              </w:rPr>
              <w:t>Ca</w:t>
            </w:r>
            <w:r>
              <w:rPr>
                <w:rFonts w:ascii="Times New Roman" w:hAnsi="Times New Roman" w:eastAsia="Times New Roman" w:cs="Times New Roman"/>
                <w:spacing w:val="5"/>
                <w:position w:val="4"/>
                <w:sz w:val="13"/>
                <w:szCs w:val="13"/>
              </w:rPr>
              <w:t>2+</w:t>
            </w:r>
          </w:p>
        </w:tc>
        <w:tc>
          <w:tcPr>
            <w:tcW w:w="1827" w:type="dxa"/>
            <w:vAlign w:val="top"/>
          </w:tcPr>
          <w:p w14:paraId="105738FE">
            <w:pPr>
              <w:spacing w:before="63"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68.2</w:t>
            </w:r>
          </w:p>
        </w:tc>
        <w:tc>
          <w:tcPr>
            <w:tcW w:w="1827" w:type="dxa"/>
            <w:vAlign w:val="top"/>
          </w:tcPr>
          <w:p w14:paraId="4A6DF521">
            <w:pPr>
              <w:spacing w:before="63"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w:t>
            </w:r>
          </w:p>
        </w:tc>
        <w:tc>
          <w:tcPr>
            <w:tcW w:w="1828" w:type="dxa"/>
            <w:vAlign w:val="top"/>
          </w:tcPr>
          <w:p w14:paraId="46B329AE">
            <w:pPr>
              <w:spacing w:before="63"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63.4</w:t>
            </w:r>
          </w:p>
        </w:tc>
        <w:tc>
          <w:tcPr>
            <w:tcW w:w="1827" w:type="dxa"/>
            <w:vAlign w:val="top"/>
          </w:tcPr>
          <w:p w14:paraId="06D543AF">
            <w:pPr>
              <w:spacing w:before="63"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74.2</w:t>
            </w:r>
          </w:p>
        </w:tc>
        <w:tc>
          <w:tcPr>
            <w:tcW w:w="1827" w:type="dxa"/>
            <w:vAlign w:val="top"/>
          </w:tcPr>
          <w:p w14:paraId="780FD0A5">
            <w:pPr>
              <w:spacing w:before="63"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51.7</w:t>
            </w:r>
          </w:p>
        </w:tc>
        <w:tc>
          <w:tcPr>
            <w:tcW w:w="1828" w:type="dxa"/>
            <w:vAlign w:val="top"/>
          </w:tcPr>
          <w:p w14:paraId="0CBF5DEA">
            <w:pPr>
              <w:spacing w:before="63" w:line="195" w:lineRule="auto"/>
              <w:ind w:left="7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80.6</w:t>
            </w:r>
          </w:p>
        </w:tc>
        <w:tc>
          <w:tcPr>
            <w:tcW w:w="1823" w:type="dxa"/>
            <w:vAlign w:val="top"/>
          </w:tcPr>
          <w:p w14:paraId="144FA60E">
            <w:pPr>
              <w:spacing w:before="63"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75.4</w:t>
            </w:r>
          </w:p>
        </w:tc>
      </w:tr>
      <w:tr w14:paraId="79A6C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715" w:type="dxa"/>
            <w:vAlign w:val="top"/>
          </w:tcPr>
          <w:p w14:paraId="3D69F34D">
            <w:pPr>
              <w:spacing w:before="44" w:line="215" w:lineRule="auto"/>
              <w:ind w:left="639"/>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Mg</w:t>
            </w:r>
            <w:r>
              <w:rPr>
                <w:rFonts w:ascii="Times New Roman" w:hAnsi="Times New Roman" w:eastAsia="Times New Roman" w:cs="Times New Roman"/>
                <w:spacing w:val="8"/>
                <w:position w:val="4"/>
                <w:sz w:val="13"/>
                <w:szCs w:val="13"/>
              </w:rPr>
              <w:t>2+</w:t>
            </w:r>
          </w:p>
        </w:tc>
        <w:tc>
          <w:tcPr>
            <w:tcW w:w="1827" w:type="dxa"/>
            <w:vAlign w:val="top"/>
          </w:tcPr>
          <w:p w14:paraId="0D458176">
            <w:pPr>
              <w:spacing w:before="6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c>
          <w:tcPr>
            <w:tcW w:w="1827" w:type="dxa"/>
            <w:vAlign w:val="top"/>
          </w:tcPr>
          <w:p w14:paraId="715921FC">
            <w:pPr>
              <w:spacing w:before="62" w:line="195"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52.4</w:t>
            </w:r>
          </w:p>
        </w:tc>
        <w:tc>
          <w:tcPr>
            <w:tcW w:w="1828" w:type="dxa"/>
            <w:vAlign w:val="top"/>
          </w:tcPr>
          <w:p w14:paraId="45A69AC5">
            <w:pPr>
              <w:spacing w:before="65" w:line="192"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55.7</w:t>
            </w:r>
          </w:p>
        </w:tc>
        <w:tc>
          <w:tcPr>
            <w:tcW w:w="1827" w:type="dxa"/>
            <w:vAlign w:val="top"/>
          </w:tcPr>
          <w:p w14:paraId="30A3F43A">
            <w:pPr>
              <w:spacing w:before="62"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46.3</w:t>
            </w:r>
          </w:p>
        </w:tc>
        <w:tc>
          <w:tcPr>
            <w:tcW w:w="1827" w:type="dxa"/>
            <w:vAlign w:val="top"/>
          </w:tcPr>
          <w:p w14:paraId="66F2E7CA">
            <w:pPr>
              <w:spacing w:before="62" w:line="195" w:lineRule="auto"/>
              <w:ind w:left="815"/>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828" w:type="dxa"/>
            <w:vAlign w:val="top"/>
          </w:tcPr>
          <w:p w14:paraId="345E5B95">
            <w:pPr>
              <w:spacing w:before="62"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43.6</w:t>
            </w:r>
          </w:p>
        </w:tc>
        <w:tc>
          <w:tcPr>
            <w:tcW w:w="1823" w:type="dxa"/>
            <w:vAlign w:val="top"/>
          </w:tcPr>
          <w:p w14:paraId="50C65E91">
            <w:pPr>
              <w:spacing w:before="62" w:line="195" w:lineRule="auto"/>
              <w:ind w:left="735"/>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r>
      <w:tr w14:paraId="61ADE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15" w:type="dxa"/>
            <w:vAlign w:val="top"/>
          </w:tcPr>
          <w:p w14:paraId="056B76A7">
            <w:pPr>
              <w:spacing w:before="58" w:line="199" w:lineRule="auto"/>
              <w:ind w:left="739"/>
              <w:rPr>
                <w:rFonts w:ascii="Times New Roman" w:hAnsi="Times New Roman" w:eastAsia="Times New Roman" w:cs="Times New Roman"/>
                <w:sz w:val="13"/>
                <w:szCs w:val="13"/>
              </w:rPr>
            </w:pPr>
            <w:r>
              <w:rPr>
                <w:rFonts w:ascii="Times New Roman" w:hAnsi="Times New Roman" w:eastAsia="Times New Roman" w:cs="Times New Roman"/>
                <w:sz w:val="20"/>
                <w:szCs w:val="20"/>
              </w:rPr>
              <w:t>Cl</w:t>
            </w:r>
            <w:r>
              <w:rPr>
                <w:rFonts w:ascii="Times New Roman" w:hAnsi="Times New Roman" w:eastAsia="Times New Roman" w:cs="Times New Roman"/>
                <w:spacing w:val="5"/>
                <w:position w:val="6"/>
                <w:sz w:val="13"/>
                <w:szCs w:val="13"/>
              </w:rPr>
              <w:t>-</w:t>
            </w:r>
          </w:p>
        </w:tc>
        <w:tc>
          <w:tcPr>
            <w:tcW w:w="1827" w:type="dxa"/>
            <w:vAlign w:val="top"/>
          </w:tcPr>
          <w:p w14:paraId="7B358EBA">
            <w:pPr>
              <w:spacing w:before="62"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w:t>
            </w:r>
          </w:p>
        </w:tc>
        <w:tc>
          <w:tcPr>
            <w:tcW w:w="1827" w:type="dxa"/>
            <w:vAlign w:val="top"/>
          </w:tcPr>
          <w:p w14:paraId="39514B9B">
            <w:pPr>
              <w:spacing w:before="62"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141</w:t>
            </w:r>
          </w:p>
        </w:tc>
        <w:tc>
          <w:tcPr>
            <w:tcW w:w="1828" w:type="dxa"/>
            <w:vAlign w:val="top"/>
          </w:tcPr>
          <w:p w14:paraId="12B1CFD0">
            <w:pPr>
              <w:spacing w:before="6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tc>
        <w:tc>
          <w:tcPr>
            <w:tcW w:w="1827" w:type="dxa"/>
            <w:vAlign w:val="top"/>
          </w:tcPr>
          <w:p w14:paraId="6715BA4C">
            <w:pPr>
              <w:spacing w:before="62"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1827" w:type="dxa"/>
            <w:vAlign w:val="top"/>
          </w:tcPr>
          <w:p w14:paraId="4BE9C05A">
            <w:pPr>
              <w:spacing w:before="62" w:line="195"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112</w:t>
            </w:r>
          </w:p>
        </w:tc>
        <w:tc>
          <w:tcPr>
            <w:tcW w:w="1828" w:type="dxa"/>
            <w:vAlign w:val="top"/>
          </w:tcPr>
          <w:p w14:paraId="4DE9E6DF">
            <w:pPr>
              <w:spacing w:before="62" w:line="195"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1823" w:type="dxa"/>
            <w:vAlign w:val="top"/>
          </w:tcPr>
          <w:p w14:paraId="183D9660">
            <w:pPr>
              <w:spacing w:before="62"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126</w:t>
            </w:r>
          </w:p>
        </w:tc>
      </w:tr>
      <w:tr w14:paraId="52C7D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715" w:type="dxa"/>
            <w:vAlign w:val="top"/>
          </w:tcPr>
          <w:p w14:paraId="5AC7BFAA">
            <w:pPr>
              <w:spacing w:before="46" w:line="210" w:lineRule="auto"/>
              <w:ind w:left="642"/>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2"/>
                <w:sz w:val="13"/>
                <w:szCs w:val="13"/>
              </w:rPr>
              <w:t>4</w:t>
            </w:r>
            <w:r>
              <w:rPr>
                <w:rFonts w:ascii="Times New Roman" w:hAnsi="Times New Roman" w:eastAsia="Times New Roman" w:cs="Times New Roman"/>
                <w:spacing w:val="3"/>
                <w:position w:val="5"/>
                <w:sz w:val="13"/>
                <w:szCs w:val="13"/>
              </w:rPr>
              <w:t>2-</w:t>
            </w:r>
          </w:p>
        </w:tc>
        <w:tc>
          <w:tcPr>
            <w:tcW w:w="1827" w:type="dxa"/>
            <w:vAlign w:val="top"/>
          </w:tcPr>
          <w:p w14:paraId="4DE1B700">
            <w:pPr>
              <w:spacing w:before="6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144</w:t>
            </w:r>
          </w:p>
        </w:tc>
        <w:tc>
          <w:tcPr>
            <w:tcW w:w="1827" w:type="dxa"/>
            <w:vAlign w:val="top"/>
          </w:tcPr>
          <w:p w14:paraId="489D172E">
            <w:pPr>
              <w:spacing w:before="63"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w:t>
            </w:r>
          </w:p>
        </w:tc>
        <w:tc>
          <w:tcPr>
            <w:tcW w:w="1828" w:type="dxa"/>
            <w:vAlign w:val="top"/>
          </w:tcPr>
          <w:p w14:paraId="7F07530C">
            <w:pPr>
              <w:spacing w:before="63"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145</w:t>
            </w:r>
          </w:p>
        </w:tc>
        <w:tc>
          <w:tcPr>
            <w:tcW w:w="1827" w:type="dxa"/>
            <w:vAlign w:val="top"/>
          </w:tcPr>
          <w:p w14:paraId="3F9D5A3E">
            <w:pPr>
              <w:spacing w:before="63"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136</w:t>
            </w:r>
          </w:p>
        </w:tc>
        <w:tc>
          <w:tcPr>
            <w:tcW w:w="1827" w:type="dxa"/>
            <w:vAlign w:val="top"/>
          </w:tcPr>
          <w:p w14:paraId="57B18B60">
            <w:pPr>
              <w:spacing w:before="63"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161</w:t>
            </w:r>
          </w:p>
        </w:tc>
        <w:tc>
          <w:tcPr>
            <w:tcW w:w="1828" w:type="dxa"/>
            <w:vAlign w:val="top"/>
          </w:tcPr>
          <w:p w14:paraId="70F86307">
            <w:pPr>
              <w:spacing w:before="63" w:line="195"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162</w:t>
            </w:r>
          </w:p>
        </w:tc>
        <w:tc>
          <w:tcPr>
            <w:tcW w:w="1823" w:type="dxa"/>
            <w:vAlign w:val="top"/>
          </w:tcPr>
          <w:p w14:paraId="593DA08C">
            <w:pPr>
              <w:spacing w:before="63"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144</w:t>
            </w:r>
          </w:p>
        </w:tc>
      </w:tr>
      <w:tr w14:paraId="0E7AE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715" w:type="dxa"/>
            <w:vAlign w:val="top"/>
          </w:tcPr>
          <w:p w14:paraId="7C6A6439">
            <w:pPr>
              <w:spacing w:before="64" w:line="197" w:lineRule="auto"/>
              <w:ind w:left="579"/>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pacing w:val="11"/>
                <w:position w:val="-1"/>
                <w:sz w:val="13"/>
                <w:szCs w:val="13"/>
              </w:rPr>
              <w:t>3</w:t>
            </w:r>
            <w:r>
              <w:rPr>
                <w:rFonts w:ascii="Times New Roman" w:hAnsi="Times New Roman" w:eastAsia="Times New Roman" w:cs="Times New Roman"/>
                <w:spacing w:val="11"/>
                <w:position w:val="7"/>
                <w:sz w:val="13"/>
                <w:szCs w:val="13"/>
              </w:rPr>
              <w:t>-</w:t>
            </w:r>
          </w:p>
        </w:tc>
        <w:tc>
          <w:tcPr>
            <w:tcW w:w="1827" w:type="dxa"/>
            <w:vAlign w:val="top"/>
          </w:tcPr>
          <w:p w14:paraId="0F17BC9F">
            <w:pPr>
              <w:spacing w:before="63"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211</w:t>
            </w:r>
          </w:p>
        </w:tc>
        <w:tc>
          <w:tcPr>
            <w:tcW w:w="1827" w:type="dxa"/>
            <w:vAlign w:val="top"/>
          </w:tcPr>
          <w:p w14:paraId="25C66FFE">
            <w:pPr>
              <w:spacing w:before="63"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w:t>
            </w:r>
          </w:p>
        </w:tc>
        <w:tc>
          <w:tcPr>
            <w:tcW w:w="1828" w:type="dxa"/>
            <w:vAlign w:val="top"/>
          </w:tcPr>
          <w:p w14:paraId="52E46EA8">
            <w:pPr>
              <w:spacing w:before="63"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w:t>
            </w:r>
          </w:p>
        </w:tc>
        <w:tc>
          <w:tcPr>
            <w:tcW w:w="1827" w:type="dxa"/>
            <w:vAlign w:val="top"/>
          </w:tcPr>
          <w:p w14:paraId="05A4C074">
            <w:pPr>
              <w:spacing w:before="63"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1827" w:type="dxa"/>
            <w:vAlign w:val="top"/>
          </w:tcPr>
          <w:p w14:paraId="1BFA7584">
            <w:pPr>
              <w:spacing w:before="63"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1828" w:type="dxa"/>
            <w:vAlign w:val="top"/>
          </w:tcPr>
          <w:p w14:paraId="1EC972B1">
            <w:pPr>
              <w:spacing w:before="63" w:line="195" w:lineRule="auto"/>
              <w:ind w:left="7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1823" w:type="dxa"/>
            <w:vAlign w:val="top"/>
          </w:tcPr>
          <w:p w14:paraId="6670B16F">
            <w:pPr>
              <w:spacing w:before="63"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237</w:t>
            </w:r>
          </w:p>
        </w:tc>
      </w:tr>
      <w:tr w14:paraId="4BB61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715" w:type="dxa"/>
            <w:vAlign w:val="top"/>
          </w:tcPr>
          <w:p w14:paraId="4973237D">
            <w:pPr>
              <w:spacing w:before="50" w:line="212" w:lineRule="auto"/>
              <w:ind w:left="627"/>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pacing w:val="4"/>
                <w:position w:val="-2"/>
                <w:sz w:val="13"/>
                <w:szCs w:val="13"/>
              </w:rPr>
              <w:t>3</w:t>
            </w:r>
            <w:r>
              <w:rPr>
                <w:rFonts w:ascii="Times New Roman" w:hAnsi="Times New Roman" w:eastAsia="Times New Roman" w:cs="Times New Roman"/>
                <w:spacing w:val="4"/>
                <w:position w:val="6"/>
                <w:sz w:val="13"/>
                <w:szCs w:val="13"/>
              </w:rPr>
              <w:t>2-</w:t>
            </w:r>
          </w:p>
        </w:tc>
        <w:tc>
          <w:tcPr>
            <w:tcW w:w="1827" w:type="dxa"/>
            <w:vAlign w:val="top"/>
          </w:tcPr>
          <w:p w14:paraId="156C1E80">
            <w:pPr>
              <w:spacing w:before="69" w:line="195"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7" w:type="dxa"/>
            <w:vAlign w:val="top"/>
          </w:tcPr>
          <w:p w14:paraId="753F1CD2">
            <w:pPr>
              <w:spacing w:before="69" w:line="195" w:lineRule="auto"/>
              <w:ind w:left="8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8" w:type="dxa"/>
            <w:vAlign w:val="top"/>
          </w:tcPr>
          <w:p w14:paraId="775DA9A5">
            <w:pPr>
              <w:spacing w:before="69" w:line="195" w:lineRule="auto"/>
              <w:ind w:left="8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7" w:type="dxa"/>
            <w:vAlign w:val="top"/>
          </w:tcPr>
          <w:p w14:paraId="58B50699">
            <w:pPr>
              <w:spacing w:before="69" w:line="195" w:lineRule="auto"/>
              <w:ind w:left="8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7" w:type="dxa"/>
            <w:vAlign w:val="top"/>
          </w:tcPr>
          <w:p w14:paraId="2296C64B">
            <w:pPr>
              <w:spacing w:before="69" w:line="195" w:lineRule="auto"/>
              <w:ind w:left="86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8" w:type="dxa"/>
            <w:vAlign w:val="top"/>
          </w:tcPr>
          <w:p w14:paraId="4B417759">
            <w:pPr>
              <w:spacing w:before="69" w:line="195" w:lineRule="auto"/>
              <w:ind w:left="86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3" w:type="dxa"/>
            <w:vAlign w:val="top"/>
          </w:tcPr>
          <w:p w14:paraId="4AE9C6F6">
            <w:pPr>
              <w:spacing w:before="69" w:line="195" w:lineRule="auto"/>
              <w:ind w:left="86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6EFB0DE8">
      <w:pPr>
        <w:pStyle w:val="2"/>
      </w:pPr>
    </w:p>
    <w:p w14:paraId="10EA4B64">
      <w:pPr>
        <w:sectPr>
          <w:footerReference r:id="rId189" w:type="default"/>
          <w:pgSz w:w="16840" w:h="11907"/>
          <w:pgMar w:top="1208" w:right="1305" w:bottom="1356" w:left="1021" w:header="825" w:footer="1194" w:gutter="0"/>
          <w:cols w:space="720" w:num="1"/>
        </w:sectPr>
      </w:pPr>
    </w:p>
    <w:p w14:paraId="487D0834">
      <w:pPr>
        <w:spacing w:before="244" w:line="219" w:lineRule="auto"/>
        <w:ind w:left="461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6.3-10    </w:t>
      </w:r>
      <w:r>
        <w:rPr>
          <w:rFonts w:ascii="宋体" w:hAnsi="宋体" w:eastAsia="宋体" w:cs="宋体"/>
          <w:spacing w:val="-1"/>
          <w:sz w:val="24"/>
          <w:szCs w:val="24"/>
        </w:rPr>
        <w:t>地下水化学类型分析</w:t>
      </w:r>
      <w:r>
        <w:rPr>
          <w:rFonts w:ascii="宋体" w:hAnsi="宋体" w:eastAsia="宋体" w:cs="宋体"/>
          <w:spacing w:val="-2"/>
          <w:sz w:val="24"/>
          <w:szCs w:val="24"/>
        </w:rPr>
        <w:t>结果表（</w:t>
      </w: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w:t>
      </w:r>
    </w:p>
    <w:p w14:paraId="2CF8C48C">
      <w:pPr>
        <w:spacing w:line="146" w:lineRule="exact"/>
      </w:pPr>
    </w:p>
    <w:tbl>
      <w:tblPr>
        <w:tblStyle w:val="5"/>
        <w:tblW w:w="14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1841"/>
        <w:gridCol w:w="2125"/>
        <w:gridCol w:w="1844"/>
        <w:gridCol w:w="2125"/>
        <w:gridCol w:w="1416"/>
        <w:gridCol w:w="1842"/>
        <w:gridCol w:w="1785"/>
      </w:tblGrid>
      <w:tr w14:paraId="478CC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530" w:type="dxa"/>
            <w:tcBorders>
              <w:tl2br w:val="single" w:color="000000" w:sz="4" w:space="0"/>
            </w:tcBorders>
            <w:vAlign w:val="top"/>
          </w:tcPr>
          <w:p w14:paraId="3E375DB6">
            <w:pPr>
              <w:pStyle w:val="6"/>
              <w:spacing w:before="35" w:line="360" w:lineRule="auto"/>
              <w:ind w:left="117" w:right="110" w:firstLine="468"/>
            </w:pPr>
            <w:r>
              <w:rPr>
                <w:spacing w:val="7"/>
              </w:rPr>
              <w:t>监测点位</w:t>
            </w:r>
            <w:r>
              <w:t xml:space="preserve"> </w:t>
            </w:r>
            <w:r>
              <w:rPr>
                <w:spacing w:val="3"/>
              </w:rPr>
              <w:t>指标</w:t>
            </w:r>
          </w:p>
        </w:tc>
        <w:tc>
          <w:tcPr>
            <w:tcW w:w="1841" w:type="dxa"/>
            <w:vAlign w:val="top"/>
          </w:tcPr>
          <w:p w14:paraId="3237D078">
            <w:pPr>
              <w:spacing w:before="283" w:line="195" w:lineRule="auto"/>
              <w:ind w:left="8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2125" w:type="dxa"/>
            <w:vAlign w:val="top"/>
          </w:tcPr>
          <w:p w14:paraId="6C735CD2">
            <w:pPr>
              <w:spacing w:before="283" w:line="195" w:lineRule="auto"/>
              <w:ind w:left="9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844" w:type="dxa"/>
            <w:vAlign w:val="top"/>
          </w:tcPr>
          <w:p w14:paraId="08746ADB">
            <w:pPr>
              <w:spacing w:before="283" w:line="195"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2125" w:type="dxa"/>
            <w:vAlign w:val="top"/>
          </w:tcPr>
          <w:p w14:paraId="0E018CB1">
            <w:pPr>
              <w:spacing w:before="283" w:line="195" w:lineRule="auto"/>
              <w:ind w:left="9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416" w:type="dxa"/>
            <w:vAlign w:val="top"/>
          </w:tcPr>
          <w:p w14:paraId="29B1FD5D">
            <w:pPr>
              <w:spacing w:before="28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842" w:type="dxa"/>
            <w:vAlign w:val="top"/>
          </w:tcPr>
          <w:p w14:paraId="0AF6DAD9">
            <w:pPr>
              <w:spacing w:before="283"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785" w:type="dxa"/>
            <w:vAlign w:val="top"/>
          </w:tcPr>
          <w:p w14:paraId="69A3AC4D">
            <w:pPr>
              <w:spacing w:before="283" w:line="195" w:lineRule="auto"/>
              <w:ind w:left="7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r>
      <w:tr w14:paraId="14375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530" w:type="dxa"/>
            <w:vAlign w:val="top"/>
          </w:tcPr>
          <w:p w14:paraId="1993561C">
            <w:pPr>
              <w:pStyle w:val="6"/>
              <w:spacing w:before="58" w:line="194" w:lineRule="auto"/>
              <w:ind w:left="458"/>
              <w:rPr>
                <w:rFonts w:ascii="Times New Roman" w:hAnsi="Times New Roman" w:eastAsia="Times New Roman" w:cs="Times New Roman"/>
              </w:rPr>
            </w:pPr>
            <w:r>
              <w:rPr>
                <w:rFonts w:ascii="Times New Roman" w:hAnsi="Times New Roman" w:eastAsia="Times New Roman" w:cs="Times New Roman"/>
              </w:rPr>
              <w:t>K</w:t>
            </w:r>
            <w:r>
              <w:rPr>
                <w:rFonts w:ascii="Times New Roman" w:hAnsi="Times New Roman" w:eastAsia="Times New Roman" w:cs="Times New Roman"/>
                <w:position w:val="6"/>
                <w:sz w:val="13"/>
                <w:szCs w:val="13"/>
              </w:rPr>
              <w:t>+</w:t>
            </w:r>
            <w:r>
              <w:rPr>
                <w:rFonts w:ascii="Times New Roman" w:hAnsi="Times New Roman" w:eastAsia="Times New Roman" w:cs="Times New Roman"/>
                <w:spacing w:val="-8"/>
                <w:position w:val="6"/>
                <w:sz w:val="13"/>
                <w:szCs w:val="13"/>
              </w:rPr>
              <w:t xml:space="preserve"> </w:t>
            </w:r>
            <w:r>
              <w:t>，</w:t>
            </w:r>
            <w:r>
              <w:rPr>
                <w:rFonts w:ascii="Times New Roman" w:hAnsi="Times New Roman" w:eastAsia="Times New Roman" w:cs="Times New Roman"/>
              </w:rPr>
              <w:t>%</w:t>
            </w:r>
          </w:p>
        </w:tc>
        <w:tc>
          <w:tcPr>
            <w:tcW w:w="1841" w:type="dxa"/>
            <w:vAlign w:val="top"/>
          </w:tcPr>
          <w:p w14:paraId="1F775693">
            <w:pPr>
              <w:spacing w:before="56" w:line="189" w:lineRule="auto"/>
              <w:ind w:left="72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2.33</w:t>
            </w:r>
          </w:p>
        </w:tc>
        <w:tc>
          <w:tcPr>
            <w:tcW w:w="2125" w:type="dxa"/>
            <w:vAlign w:val="top"/>
          </w:tcPr>
          <w:p w14:paraId="5652AD02">
            <w:pPr>
              <w:spacing w:before="56" w:line="189" w:lineRule="auto"/>
              <w:ind w:left="87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2.88</w:t>
            </w:r>
          </w:p>
        </w:tc>
        <w:tc>
          <w:tcPr>
            <w:tcW w:w="1844" w:type="dxa"/>
            <w:vAlign w:val="top"/>
          </w:tcPr>
          <w:p w14:paraId="35230F74">
            <w:pPr>
              <w:spacing w:before="56" w:line="189" w:lineRule="auto"/>
              <w:ind w:left="73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2.18</w:t>
            </w:r>
          </w:p>
        </w:tc>
        <w:tc>
          <w:tcPr>
            <w:tcW w:w="2125" w:type="dxa"/>
            <w:vAlign w:val="top"/>
          </w:tcPr>
          <w:p w14:paraId="07F6ADAC">
            <w:pPr>
              <w:spacing w:before="56" w:line="189" w:lineRule="auto"/>
              <w:ind w:left="89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1.98</w:t>
            </w:r>
          </w:p>
        </w:tc>
        <w:tc>
          <w:tcPr>
            <w:tcW w:w="1416" w:type="dxa"/>
            <w:vAlign w:val="top"/>
          </w:tcPr>
          <w:p w14:paraId="61AB0A0A">
            <w:pPr>
              <w:spacing w:before="56" w:line="189" w:lineRule="auto"/>
              <w:ind w:left="51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2.77</w:t>
            </w:r>
          </w:p>
        </w:tc>
        <w:tc>
          <w:tcPr>
            <w:tcW w:w="1842" w:type="dxa"/>
            <w:vAlign w:val="top"/>
          </w:tcPr>
          <w:p w14:paraId="02B050A8">
            <w:pPr>
              <w:spacing w:before="56" w:line="189" w:lineRule="auto"/>
              <w:ind w:left="7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2.44</w:t>
            </w:r>
          </w:p>
        </w:tc>
        <w:tc>
          <w:tcPr>
            <w:tcW w:w="1785" w:type="dxa"/>
            <w:vAlign w:val="top"/>
          </w:tcPr>
          <w:p w14:paraId="7B1AF762">
            <w:pPr>
              <w:spacing w:before="56" w:line="189" w:lineRule="auto"/>
              <w:ind w:left="70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2.26</w:t>
            </w:r>
          </w:p>
        </w:tc>
      </w:tr>
      <w:tr w14:paraId="4885D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30" w:type="dxa"/>
            <w:vAlign w:val="top"/>
          </w:tcPr>
          <w:p w14:paraId="60D8C1D3">
            <w:pPr>
              <w:pStyle w:val="6"/>
              <w:spacing w:before="59" w:line="194" w:lineRule="auto"/>
              <w:ind w:left="406"/>
              <w:rPr>
                <w:rFonts w:ascii="Times New Roman" w:hAnsi="Times New Roman" w:eastAsia="Times New Roman" w:cs="Times New Roman"/>
              </w:rPr>
            </w:pPr>
            <w:r>
              <w:rPr>
                <w:rFonts w:ascii="Times New Roman" w:hAnsi="Times New Roman" w:eastAsia="Times New Roman" w:cs="Times New Roman"/>
              </w:rPr>
              <w:t>Na</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7"/>
                <w:position w:val="6"/>
                <w:sz w:val="13"/>
                <w:szCs w:val="13"/>
              </w:rPr>
              <w:t xml:space="preserve"> </w:t>
            </w:r>
            <w:r>
              <w:rPr>
                <w:spacing w:val="3"/>
              </w:rPr>
              <w:t>，</w:t>
            </w:r>
            <w:r>
              <w:rPr>
                <w:rFonts w:ascii="Times New Roman" w:hAnsi="Times New Roman" w:eastAsia="Times New Roman" w:cs="Times New Roman"/>
                <w:spacing w:val="3"/>
              </w:rPr>
              <w:t>%</w:t>
            </w:r>
          </w:p>
        </w:tc>
        <w:tc>
          <w:tcPr>
            <w:tcW w:w="1841" w:type="dxa"/>
            <w:vAlign w:val="top"/>
          </w:tcPr>
          <w:p w14:paraId="5B21F31F">
            <w:pPr>
              <w:spacing w:before="57" w:line="189" w:lineRule="auto"/>
              <w:ind w:left="67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28.87</w:t>
            </w:r>
          </w:p>
        </w:tc>
        <w:tc>
          <w:tcPr>
            <w:tcW w:w="2125" w:type="dxa"/>
            <w:vAlign w:val="top"/>
          </w:tcPr>
          <w:p w14:paraId="1B6C6AA9">
            <w:pPr>
              <w:spacing w:before="57"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30.49</w:t>
            </w:r>
          </w:p>
        </w:tc>
        <w:tc>
          <w:tcPr>
            <w:tcW w:w="1844" w:type="dxa"/>
            <w:vAlign w:val="top"/>
          </w:tcPr>
          <w:p w14:paraId="5E0A1CB3">
            <w:pPr>
              <w:spacing w:before="57"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30.94</w:t>
            </w:r>
          </w:p>
        </w:tc>
        <w:tc>
          <w:tcPr>
            <w:tcW w:w="2125" w:type="dxa"/>
            <w:vAlign w:val="top"/>
          </w:tcPr>
          <w:p w14:paraId="5436655E">
            <w:pPr>
              <w:spacing w:before="57"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30.98</w:t>
            </w:r>
          </w:p>
        </w:tc>
        <w:tc>
          <w:tcPr>
            <w:tcW w:w="1416" w:type="dxa"/>
            <w:vAlign w:val="top"/>
          </w:tcPr>
          <w:p w14:paraId="1E7B8064">
            <w:pPr>
              <w:spacing w:before="57" w:line="189" w:lineRule="auto"/>
              <w:ind w:left="4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28.20</w:t>
            </w:r>
          </w:p>
        </w:tc>
        <w:tc>
          <w:tcPr>
            <w:tcW w:w="1842" w:type="dxa"/>
            <w:vAlign w:val="top"/>
          </w:tcPr>
          <w:p w14:paraId="2F76E4FC">
            <w:pPr>
              <w:spacing w:before="57"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29.63</w:t>
            </w:r>
          </w:p>
        </w:tc>
        <w:tc>
          <w:tcPr>
            <w:tcW w:w="1785" w:type="dxa"/>
            <w:vAlign w:val="top"/>
          </w:tcPr>
          <w:p w14:paraId="08F5514C">
            <w:pPr>
              <w:spacing w:before="57" w:line="189" w:lineRule="auto"/>
              <w:ind w:left="65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30.11</w:t>
            </w:r>
          </w:p>
        </w:tc>
      </w:tr>
      <w:tr w14:paraId="1ECB2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530" w:type="dxa"/>
            <w:vAlign w:val="top"/>
          </w:tcPr>
          <w:p w14:paraId="4011F679">
            <w:pPr>
              <w:pStyle w:val="6"/>
              <w:spacing w:before="48" w:line="205" w:lineRule="auto"/>
              <w:ind w:left="387"/>
              <w:rPr>
                <w:rFonts w:ascii="Times New Roman" w:hAnsi="Times New Roman" w:eastAsia="Times New Roman" w:cs="Times New Roman"/>
              </w:rPr>
            </w:pPr>
            <w:r>
              <w:rPr>
                <w:rFonts w:ascii="Times New Roman" w:hAnsi="Times New Roman" w:eastAsia="Times New Roman" w:cs="Times New Roman"/>
                <w:position w:val="-1"/>
              </w:rPr>
              <w:t>Ca</w:t>
            </w:r>
            <w:r>
              <w:rPr>
                <w:rFonts w:ascii="Times New Roman" w:hAnsi="Times New Roman" w:eastAsia="Times New Roman" w:cs="Times New Roman"/>
                <w:spacing w:val="1"/>
                <w:position w:val="5"/>
                <w:sz w:val="13"/>
                <w:szCs w:val="13"/>
              </w:rPr>
              <w:t>2+</w:t>
            </w:r>
            <w:r>
              <w:rPr>
                <w:rFonts w:ascii="Times New Roman" w:hAnsi="Times New Roman" w:eastAsia="Times New Roman" w:cs="Times New Roman"/>
                <w:spacing w:val="-10"/>
                <w:position w:val="5"/>
                <w:sz w:val="13"/>
                <w:szCs w:val="13"/>
              </w:rPr>
              <w:t xml:space="preserve"> </w:t>
            </w:r>
            <w:r>
              <w:rPr>
                <w:spacing w:val="1"/>
                <w:position w:val="-1"/>
              </w:rPr>
              <w:t>，</w:t>
            </w:r>
            <w:r>
              <w:rPr>
                <w:rFonts w:ascii="Times New Roman" w:hAnsi="Times New Roman" w:eastAsia="Times New Roman" w:cs="Times New Roman"/>
                <w:spacing w:val="1"/>
                <w:position w:val="-1"/>
              </w:rPr>
              <w:t>%</w:t>
            </w:r>
          </w:p>
        </w:tc>
        <w:tc>
          <w:tcPr>
            <w:tcW w:w="1841" w:type="dxa"/>
            <w:vAlign w:val="top"/>
          </w:tcPr>
          <w:p w14:paraId="0740464D">
            <w:pPr>
              <w:spacing w:before="58"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30.44</w:t>
            </w:r>
          </w:p>
        </w:tc>
        <w:tc>
          <w:tcPr>
            <w:tcW w:w="2125" w:type="dxa"/>
            <w:vAlign w:val="top"/>
          </w:tcPr>
          <w:p w14:paraId="133D062A">
            <w:pPr>
              <w:spacing w:before="58"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31.25</w:t>
            </w:r>
          </w:p>
        </w:tc>
        <w:tc>
          <w:tcPr>
            <w:tcW w:w="1844" w:type="dxa"/>
            <w:vAlign w:val="top"/>
          </w:tcPr>
          <w:p w14:paraId="63478020">
            <w:pPr>
              <w:spacing w:before="58" w:line="189" w:lineRule="auto"/>
              <w:ind w:left="67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27.31</w:t>
            </w:r>
          </w:p>
        </w:tc>
        <w:tc>
          <w:tcPr>
            <w:tcW w:w="2125" w:type="dxa"/>
            <w:vAlign w:val="top"/>
          </w:tcPr>
          <w:p w14:paraId="31A81227">
            <w:pPr>
              <w:spacing w:before="58"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33.05</w:t>
            </w:r>
          </w:p>
        </w:tc>
        <w:tc>
          <w:tcPr>
            <w:tcW w:w="1416" w:type="dxa"/>
            <w:vAlign w:val="top"/>
          </w:tcPr>
          <w:p w14:paraId="3AC2976D">
            <w:pPr>
              <w:spacing w:before="58"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31.21</w:t>
            </w:r>
          </w:p>
        </w:tc>
        <w:tc>
          <w:tcPr>
            <w:tcW w:w="1842" w:type="dxa"/>
            <w:vAlign w:val="top"/>
          </w:tcPr>
          <w:p w14:paraId="05313794">
            <w:pPr>
              <w:spacing w:before="58"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35.90</w:t>
            </w:r>
          </w:p>
        </w:tc>
        <w:tc>
          <w:tcPr>
            <w:tcW w:w="1785" w:type="dxa"/>
            <w:vAlign w:val="top"/>
          </w:tcPr>
          <w:p w14:paraId="6E9C1C94">
            <w:pPr>
              <w:spacing w:before="58"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31.61</w:t>
            </w:r>
          </w:p>
        </w:tc>
      </w:tr>
      <w:tr w14:paraId="7C1E0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30" w:type="dxa"/>
            <w:vAlign w:val="top"/>
          </w:tcPr>
          <w:p w14:paraId="0769A7B4">
            <w:pPr>
              <w:pStyle w:val="6"/>
              <w:spacing w:before="50" w:line="206" w:lineRule="auto"/>
              <w:ind w:left="354"/>
              <w:rPr>
                <w:rFonts w:ascii="Times New Roman" w:hAnsi="Times New Roman" w:eastAsia="Times New Roman" w:cs="Times New Roman"/>
              </w:rPr>
            </w:pPr>
            <w:r>
              <w:rPr>
                <w:rFonts w:ascii="Times New Roman" w:hAnsi="Times New Roman" w:eastAsia="Times New Roman" w:cs="Times New Roman"/>
                <w:position w:val="-1"/>
              </w:rPr>
              <w:t>Mg</w:t>
            </w:r>
            <w:r>
              <w:rPr>
                <w:rFonts w:ascii="Times New Roman" w:hAnsi="Times New Roman" w:eastAsia="Times New Roman" w:cs="Times New Roman"/>
                <w:spacing w:val="2"/>
                <w:position w:val="5"/>
                <w:sz w:val="13"/>
                <w:szCs w:val="13"/>
              </w:rPr>
              <w:t>2+</w:t>
            </w:r>
            <w:r>
              <w:rPr>
                <w:rFonts w:ascii="Times New Roman" w:hAnsi="Times New Roman" w:eastAsia="Times New Roman" w:cs="Times New Roman"/>
                <w:spacing w:val="-8"/>
                <w:position w:val="5"/>
                <w:sz w:val="13"/>
                <w:szCs w:val="13"/>
              </w:rPr>
              <w:t xml:space="preserve"> </w:t>
            </w:r>
            <w:r>
              <w:rPr>
                <w:spacing w:val="2"/>
                <w:position w:val="-1"/>
              </w:rPr>
              <w:t>，</w:t>
            </w:r>
            <w:r>
              <w:rPr>
                <w:rFonts w:ascii="Times New Roman" w:hAnsi="Times New Roman" w:eastAsia="Times New Roman" w:cs="Times New Roman"/>
                <w:spacing w:val="2"/>
                <w:position w:val="-1"/>
              </w:rPr>
              <w:t>%</w:t>
            </w:r>
          </w:p>
        </w:tc>
        <w:tc>
          <w:tcPr>
            <w:tcW w:w="1841" w:type="dxa"/>
            <w:vAlign w:val="top"/>
          </w:tcPr>
          <w:p w14:paraId="4F3498D8">
            <w:pPr>
              <w:spacing w:before="59"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38.35</w:t>
            </w:r>
          </w:p>
        </w:tc>
        <w:tc>
          <w:tcPr>
            <w:tcW w:w="2125" w:type="dxa"/>
            <w:vAlign w:val="top"/>
          </w:tcPr>
          <w:p w14:paraId="31F8EC62">
            <w:pPr>
              <w:spacing w:before="59"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35.39</w:t>
            </w:r>
          </w:p>
        </w:tc>
        <w:tc>
          <w:tcPr>
            <w:tcW w:w="1844" w:type="dxa"/>
            <w:vAlign w:val="top"/>
          </w:tcPr>
          <w:p w14:paraId="14046CEF">
            <w:pPr>
              <w:spacing w:before="59"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39.57</w:t>
            </w:r>
          </w:p>
        </w:tc>
        <w:tc>
          <w:tcPr>
            <w:tcW w:w="2125" w:type="dxa"/>
            <w:vAlign w:val="top"/>
          </w:tcPr>
          <w:p w14:paraId="4E53A92E">
            <w:pPr>
              <w:spacing w:before="59"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34.00</w:t>
            </w:r>
          </w:p>
        </w:tc>
        <w:tc>
          <w:tcPr>
            <w:tcW w:w="1416" w:type="dxa"/>
            <w:vAlign w:val="top"/>
          </w:tcPr>
          <w:p w14:paraId="6AD0B543">
            <w:pPr>
              <w:spacing w:before="59"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37.82</w:t>
            </w:r>
          </w:p>
        </w:tc>
        <w:tc>
          <w:tcPr>
            <w:tcW w:w="1842" w:type="dxa"/>
            <w:vAlign w:val="top"/>
          </w:tcPr>
          <w:p w14:paraId="12C570F1">
            <w:pPr>
              <w:spacing w:before="59"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32.03</w:t>
            </w:r>
          </w:p>
        </w:tc>
        <w:tc>
          <w:tcPr>
            <w:tcW w:w="1785" w:type="dxa"/>
            <w:vAlign w:val="top"/>
          </w:tcPr>
          <w:p w14:paraId="4626B954">
            <w:pPr>
              <w:spacing w:before="59"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36.02</w:t>
            </w:r>
          </w:p>
        </w:tc>
      </w:tr>
      <w:tr w14:paraId="3A334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530" w:type="dxa"/>
            <w:vAlign w:val="top"/>
          </w:tcPr>
          <w:p w14:paraId="1F6A45C2">
            <w:pPr>
              <w:pStyle w:val="6"/>
              <w:spacing w:before="66" w:line="190" w:lineRule="auto"/>
              <w:ind w:left="402"/>
              <w:rPr>
                <w:rFonts w:ascii="Times New Roman" w:hAnsi="Times New Roman" w:eastAsia="Times New Roman" w:cs="Times New Roman"/>
              </w:rPr>
            </w:pPr>
            <w:r>
              <w:rPr>
                <w:rFonts w:ascii="Times New Roman" w:hAnsi="Times New Roman" w:eastAsia="Times New Roman" w:cs="Times New Roman"/>
                <w:spacing w:val="-4"/>
              </w:rPr>
              <w:t>Cl</w:t>
            </w:r>
            <w:r>
              <w:rPr>
                <w:rFonts w:ascii="Times New Roman" w:hAnsi="Times New Roman" w:eastAsia="Times New Roman" w:cs="Times New Roman"/>
                <w:spacing w:val="-4"/>
                <w:position w:val="6"/>
                <w:sz w:val="13"/>
                <w:szCs w:val="13"/>
              </w:rPr>
              <w:t>-</w:t>
            </w:r>
            <w:r>
              <w:rPr>
                <w:rFonts w:ascii="Times New Roman" w:hAnsi="Times New Roman" w:eastAsia="Times New Roman" w:cs="Times New Roman"/>
                <w:spacing w:val="-6"/>
                <w:position w:val="6"/>
                <w:sz w:val="13"/>
                <w:szCs w:val="13"/>
              </w:rPr>
              <w:t xml:space="preserve"> </w:t>
            </w:r>
            <w:r>
              <w:rPr>
                <w:spacing w:val="-4"/>
              </w:rPr>
              <w:t>，</w:t>
            </w:r>
            <w:r>
              <w:rPr>
                <w:spacing w:val="19"/>
              </w:rPr>
              <w:t xml:space="preserve"> </w:t>
            </w:r>
            <w:r>
              <w:rPr>
                <w:rFonts w:ascii="Times New Roman" w:hAnsi="Times New Roman" w:eastAsia="Times New Roman" w:cs="Times New Roman"/>
                <w:spacing w:val="-4"/>
              </w:rPr>
              <w:t>%</w:t>
            </w:r>
          </w:p>
        </w:tc>
        <w:tc>
          <w:tcPr>
            <w:tcW w:w="1841" w:type="dxa"/>
            <w:vAlign w:val="top"/>
          </w:tcPr>
          <w:p w14:paraId="7CD099D1">
            <w:pPr>
              <w:spacing w:before="59"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36.93</w:t>
            </w:r>
          </w:p>
        </w:tc>
        <w:tc>
          <w:tcPr>
            <w:tcW w:w="2125" w:type="dxa"/>
            <w:vAlign w:val="top"/>
          </w:tcPr>
          <w:p w14:paraId="79BCE859">
            <w:pPr>
              <w:spacing w:before="59"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35.92</w:t>
            </w:r>
          </w:p>
        </w:tc>
        <w:tc>
          <w:tcPr>
            <w:tcW w:w="1844" w:type="dxa"/>
            <w:vAlign w:val="top"/>
          </w:tcPr>
          <w:p w14:paraId="6E523373">
            <w:pPr>
              <w:spacing w:before="59"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34.99</w:t>
            </w:r>
          </w:p>
        </w:tc>
        <w:tc>
          <w:tcPr>
            <w:tcW w:w="2125" w:type="dxa"/>
            <w:vAlign w:val="top"/>
          </w:tcPr>
          <w:p w14:paraId="350914E8">
            <w:pPr>
              <w:spacing w:before="59"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35.63</w:t>
            </w:r>
          </w:p>
        </w:tc>
        <w:tc>
          <w:tcPr>
            <w:tcW w:w="1416" w:type="dxa"/>
            <w:vAlign w:val="top"/>
          </w:tcPr>
          <w:p w14:paraId="07458F83">
            <w:pPr>
              <w:spacing w:before="59" w:line="189" w:lineRule="auto"/>
              <w:ind w:left="46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38.15</w:t>
            </w:r>
          </w:p>
        </w:tc>
        <w:tc>
          <w:tcPr>
            <w:tcW w:w="1842" w:type="dxa"/>
            <w:vAlign w:val="top"/>
          </w:tcPr>
          <w:p w14:paraId="49D984C3">
            <w:pPr>
              <w:spacing w:before="59"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30.66</w:t>
            </w:r>
          </w:p>
        </w:tc>
        <w:tc>
          <w:tcPr>
            <w:tcW w:w="1785" w:type="dxa"/>
            <w:vAlign w:val="top"/>
          </w:tcPr>
          <w:p w14:paraId="7B62DC02">
            <w:pPr>
              <w:spacing w:before="59"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34.06</w:t>
            </w:r>
          </w:p>
        </w:tc>
      </w:tr>
      <w:tr w14:paraId="3A134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530" w:type="dxa"/>
            <w:vAlign w:val="top"/>
          </w:tcPr>
          <w:p w14:paraId="444E0799">
            <w:pPr>
              <w:pStyle w:val="6"/>
              <w:spacing w:before="52" w:line="199" w:lineRule="auto"/>
              <w:ind w:left="357"/>
              <w:rPr>
                <w:rFonts w:ascii="Times New Roman" w:hAnsi="Times New Roman" w:eastAsia="Times New Roman" w:cs="Times New Roman"/>
              </w:rPr>
            </w:pPr>
            <w:r>
              <w:rPr>
                <w:rFonts w:ascii="Times New Roman" w:hAnsi="Times New Roman" w:eastAsia="Times New Roman" w:cs="Times New Roman"/>
              </w:rPr>
              <w:t>SO</w:t>
            </w:r>
            <w:r>
              <w:rPr>
                <w:rFonts w:ascii="Times New Roman" w:hAnsi="Times New Roman" w:eastAsia="Times New Roman" w:cs="Times New Roman"/>
                <w:position w:val="-2"/>
                <w:sz w:val="13"/>
                <w:szCs w:val="13"/>
              </w:rPr>
              <w:t>4</w:t>
            </w:r>
            <w:r>
              <w:rPr>
                <w:rFonts w:ascii="Times New Roman" w:hAnsi="Times New Roman" w:eastAsia="Times New Roman" w:cs="Times New Roman"/>
                <w:position w:val="6"/>
                <w:sz w:val="13"/>
                <w:szCs w:val="13"/>
              </w:rPr>
              <w:t>2-</w:t>
            </w:r>
            <w:r>
              <w:rPr>
                <w:rFonts w:ascii="Times New Roman" w:hAnsi="Times New Roman" w:eastAsia="Times New Roman" w:cs="Times New Roman"/>
                <w:spacing w:val="-9"/>
                <w:position w:val="6"/>
                <w:sz w:val="13"/>
                <w:szCs w:val="13"/>
              </w:rPr>
              <w:t xml:space="preserve"> </w:t>
            </w:r>
            <w:r>
              <w:t>，</w:t>
            </w:r>
            <w:r>
              <w:rPr>
                <w:rFonts w:ascii="Times New Roman" w:hAnsi="Times New Roman" w:eastAsia="Times New Roman" w:cs="Times New Roman"/>
              </w:rPr>
              <w:t>%</w:t>
            </w:r>
          </w:p>
        </w:tc>
        <w:tc>
          <w:tcPr>
            <w:tcW w:w="1841" w:type="dxa"/>
            <w:vAlign w:val="top"/>
          </w:tcPr>
          <w:p w14:paraId="040343C3">
            <w:pPr>
              <w:spacing w:before="61" w:line="189" w:lineRule="auto"/>
              <w:ind w:left="67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29.29</w:t>
            </w:r>
          </w:p>
        </w:tc>
        <w:tc>
          <w:tcPr>
            <w:tcW w:w="2125" w:type="dxa"/>
            <w:vAlign w:val="top"/>
          </w:tcPr>
          <w:p w14:paraId="199322EC">
            <w:pPr>
              <w:spacing w:before="61" w:line="189" w:lineRule="auto"/>
              <w:ind w:left="8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29.14</w:t>
            </w:r>
          </w:p>
        </w:tc>
        <w:tc>
          <w:tcPr>
            <w:tcW w:w="1844" w:type="dxa"/>
            <w:vAlign w:val="top"/>
          </w:tcPr>
          <w:p w14:paraId="2877DDE1">
            <w:pPr>
              <w:spacing w:before="61" w:line="189" w:lineRule="auto"/>
              <w:ind w:left="67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29.48</w:t>
            </w:r>
          </w:p>
        </w:tc>
        <w:tc>
          <w:tcPr>
            <w:tcW w:w="2125" w:type="dxa"/>
            <w:vAlign w:val="top"/>
          </w:tcPr>
          <w:p w14:paraId="5737ED3C">
            <w:pPr>
              <w:spacing w:before="61" w:line="189" w:lineRule="auto"/>
              <w:ind w:left="81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28.61</w:t>
            </w:r>
          </w:p>
        </w:tc>
        <w:tc>
          <w:tcPr>
            <w:tcW w:w="1416" w:type="dxa"/>
            <w:vAlign w:val="top"/>
          </w:tcPr>
          <w:p w14:paraId="5BDCA27E">
            <w:pPr>
              <w:spacing w:before="61" w:line="189" w:lineRule="auto"/>
              <w:ind w:left="46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40.47</w:t>
            </w:r>
          </w:p>
        </w:tc>
        <w:tc>
          <w:tcPr>
            <w:tcW w:w="1842" w:type="dxa"/>
            <w:vAlign w:val="top"/>
          </w:tcPr>
          <w:p w14:paraId="27BF7702">
            <w:pPr>
              <w:spacing w:before="61"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30.05</w:t>
            </w:r>
          </w:p>
        </w:tc>
        <w:tc>
          <w:tcPr>
            <w:tcW w:w="1785" w:type="dxa"/>
            <w:vAlign w:val="top"/>
          </w:tcPr>
          <w:p w14:paraId="7E95F388">
            <w:pPr>
              <w:spacing w:before="61" w:line="189" w:lineRule="auto"/>
              <w:ind w:left="64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28.72</w:t>
            </w:r>
          </w:p>
        </w:tc>
      </w:tr>
      <w:tr w14:paraId="0E421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30" w:type="dxa"/>
            <w:vAlign w:val="top"/>
          </w:tcPr>
          <w:p w14:paraId="719AA5AA">
            <w:pPr>
              <w:pStyle w:val="6"/>
              <w:spacing w:before="71" w:line="192" w:lineRule="auto"/>
              <w:ind w:left="294"/>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position w:val="7"/>
                <w:sz w:val="13"/>
                <w:szCs w:val="13"/>
              </w:rPr>
              <w:t>-</w:t>
            </w:r>
            <w:r>
              <w:rPr>
                <w:rFonts w:ascii="Times New Roman" w:hAnsi="Times New Roman" w:eastAsia="Times New Roman" w:cs="Times New Roman"/>
                <w:spacing w:val="-7"/>
                <w:position w:val="7"/>
                <w:sz w:val="13"/>
                <w:szCs w:val="13"/>
              </w:rPr>
              <w:t xml:space="preserve"> </w:t>
            </w:r>
            <w:r>
              <w:rPr>
                <w:spacing w:val="3"/>
              </w:rPr>
              <w:t>，</w:t>
            </w:r>
            <w:r>
              <w:rPr>
                <w:rFonts w:ascii="Times New Roman" w:hAnsi="Times New Roman" w:eastAsia="Times New Roman" w:cs="Times New Roman"/>
                <w:spacing w:val="3"/>
              </w:rPr>
              <w:t>%</w:t>
            </w:r>
          </w:p>
        </w:tc>
        <w:tc>
          <w:tcPr>
            <w:tcW w:w="1841" w:type="dxa"/>
            <w:vAlign w:val="top"/>
          </w:tcPr>
          <w:p w14:paraId="3250DCCC">
            <w:pPr>
              <w:spacing w:before="60" w:line="189" w:lineRule="auto"/>
              <w:ind w:left="67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33.78</w:t>
            </w:r>
          </w:p>
        </w:tc>
        <w:tc>
          <w:tcPr>
            <w:tcW w:w="2125" w:type="dxa"/>
            <w:vAlign w:val="top"/>
          </w:tcPr>
          <w:p w14:paraId="020BAB9C">
            <w:pPr>
              <w:spacing w:before="60" w:line="189" w:lineRule="auto"/>
              <w:ind w:left="81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34.93</w:t>
            </w:r>
          </w:p>
        </w:tc>
        <w:tc>
          <w:tcPr>
            <w:tcW w:w="1844" w:type="dxa"/>
            <w:vAlign w:val="top"/>
          </w:tcPr>
          <w:p w14:paraId="3458A6ED">
            <w:pPr>
              <w:spacing w:before="60"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35.53</w:t>
            </w:r>
          </w:p>
        </w:tc>
        <w:tc>
          <w:tcPr>
            <w:tcW w:w="2125" w:type="dxa"/>
            <w:vAlign w:val="top"/>
          </w:tcPr>
          <w:p w14:paraId="4F3F0BBA">
            <w:pPr>
              <w:spacing w:before="60" w:line="189" w:lineRule="auto"/>
              <w:ind w:left="82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35.77</w:t>
            </w:r>
          </w:p>
        </w:tc>
        <w:tc>
          <w:tcPr>
            <w:tcW w:w="1416" w:type="dxa"/>
            <w:vAlign w:val="top"/>
          </w:tcPr>
          <w:p w14:paraId="769DB86D">
            <w:pPr>
              <w:spacing w:before="60" w:line="189" w:lineRule="auto"/>
              <w:ind w:left="46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21.37</w:t>
            </w:r>
          </w:p>
        </w:tc>
        <w:tc>
          <w:tcPr>
            <w:tcW w:w="1842" w:type="dxa"/>
            <w:vAlign w:val="top"/>
          </w:tcPr>
          <w:p w14:paraId="426B4373">
            <w:pPr>
              <w:spacing w:before="60" w:line="189" w:lineRule="auto"/>
              <w:ind w:left="6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39.28</w:t>
            </w:r>
          </w:p>
        </w:tc>
        <w:tc>
          <w:tcPr>
            <w:tcW w:w="1785" w:type="dxa"/>
            <w:vAlign w:val="top"/>
          </w:tcPr>
          <w:p w14:paraId="5796A262">
            <w:pPr>
              <w:spacing w:before="60" w:line="189" w:lineRule="auto"/>
              <w:ind w:left="65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37.22</w:t>
            </w:r>
          </w:p>
        </w:tc>
      </w:tr>
      <w:tr w14:paraId="115D1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30" w:type="dxa"/>
            <w:vAlign w:val="top"/>
          </w:tcPr>
          <w:p w14:paraId="0B5A3EA7">
            <w:pPr>
              <w:pStyle w:val="6"/>
              <w:spacing w:before="50" w:line="202" w:lineRule="auto"/>
              <w:ind w:left="342"/>
              <w:rPr>
                <w:rFonts w:ascii="Times New Roman" w:hAnsi="Times New Roman" w:eastAsia="Times New Roman" w:cs="Times New Roman"/>
              </w:rPr>
            </w:pPr>
            <w:r>
              <w:rPr>
                <w:rFonts w:ascii="Times New Roman" w:hAnsi="Times New Roman" w:eastAsia="Times New Roman" w:cs="Times New Roman"/>
              </w:rPr>
              <w:t>CO</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8"/>
                <w:position w:val="6"/>
                <w:sz w:val="13"/>
                <w:szCs w:val="13"/>
              </w:rPr>
              <w:t xml:space="preserve"> </w:t>
            </w:r>
            <w:r>
              <w:rPr>
                <w:spacing w:val="1"/>
              </w:rPr>
              <w:t>，</w:t>
            </w:r>
            <w:r>
              <w:rPr>
                <w:rFonts w:ascii="Times New Roman" w:hAnsi="Times New Roman" w:eastAsia="Times New Roman" w:cs="Times New Roman"/>
                <w:spacing w:val="1"/>
              </w:rPr>
              <w:t>%</w:t>
            </w:r>
          </w:p>
        </w:tc>
        <w:tc>
          <w:tcPr>
            <w:tcW w:w="1841" w:type="dxa"/>
            <w:vAlign w:val="top"/>
          </w:tcPr>
          <w:p w14:paraId="2808A49D">
            <w:pPr>
              <w:spacing w:before="60" w:line="189" w:lineRule="auto"/>
              <w:ind w:left="7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2125" w:type="dxa"/>
            <w:vAlign w:val="top"/>
          </w:tcPr>
          <w:p w14:paraId="198B3B06">
            <w:pPr>
              <w:spacing w:before="60" w:line="189" w:lineRule="auto"/>
              <w:ind w:left="87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1844" w:type="dxa"/>
            <w:vAlign w:val="top"/>
          </w:tcPr>
          <w:p w14:paraId="6A2F2B91">
            <w:pPr>
              <w:spacing w:before="60" w:line="189" w:lineRule="auto"/>
              <w:ind w:left="73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2125" w:type="dxa"/>
            <w:vAlign w:val="top"/>
          </w:tcPr>
          <w:p w14:paraId="0982C3CF">
            <w:pPr>
              <w:spacing w:before="60" w:line="189" w:lineRule="auto"/>
              <w:ind w:left="87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1416" w:type="dxa"/>
            <w:vAlign w:val="top"/>
          </w:tcPr>
          <w:p w14:paraId="6DB03185">
            <w:pPr>
              <w:spacing w:before="60" w:line="189" w:lineRule="auto"/>
              <w:ind w:left="52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1842" w:type="dxa"/>
            <w:vAlign w:val="top"/>
          </w:tcPr>
          <w:p w14:paraId="38B1EF00">
            <w:pPr>
              <w:spacing w:before="60" w:line="189" w:lineRule="auto"/>
              <w:ind w:left="73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c>
          <w:tcPr>
            <w:tcW w:w="1785" w:type="dxa"/>
            <w:vAlign w:val="top"/>
          </w:tcPr>
          <w:p w14:paraId="7943D20F">
            <w:pPr>
              <w:spacing w:before="60" w:line="189" w:lineRule="auto"/>
              <w:ind w:left="70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0.00</w:t>
            </w:r>
          </w:p>
        </w:tc>
      </w:tr>
      <w:tr w14:paraId="4CDAE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1530" w:type="dxa"/>
            <w:vAlign w:val="top"/>
          </w:tcPr>
          <w:p w14:paraId="6C08AEFF">
            <w:pPr>
              <w:spacing w:line="249" w:lineRule="auto"/>
              <w:rPr>
                <w:rFonts w:ascii="Arial"/>
                <w:sz w:val="21"/>
              </w:rPr>
            </w:pPr>
          </w:p>
          <w:p w14:paraId="08A7CD86">
            <w:pPr>
              <w:pStyle w:val="6"/>
              <w:spacing w:before="65" w:line="228" w:lineRule="auto"/>
              <w:ind w:left="117"/>
            </w:pPr>
            <w:r>
              <w:rPr>
                <w:spacing w:val="7"/>
              </w:rPr>
              <w:t>水化学类型</w:t>
            </w:r>
          </w:p>
        </w:tc>
        <w:tc>
          <w:tcPr>
            <w:tcW w:w="1841" w:type="dxa"/>
            <w:vAlign w:val="top"/>
          </w:tcPr>
          <w:p w14:paraId="1596A0A8">
            <w:pPr>
              <w:pStyle w:val="6"/>
              <w:spacing w:before="110" w:line="221" w:lineRule="auto"/>
              <w:ind w:left="110"/>
              <w:rPr>
                <w:rFonts w:ascii="Times New Roman" w:hAnsi="Times New Roman" w:eastAsia="Times New Roman" w:cs="Times New Roman"/>
              </w:rPr>
            </w:pPr>
            <w:r>
              <w:rPr>
                <w:rFonts w:ascii="Times New Roman" w:hAnsi="Times New Roman" w:eastAsia="Times New Roman" w:cs="Times New Roman"/>
                <w:spacing w:val="-22"/>
              </w:rPr>
              <w:t xml:space="preserve">Cl  </w:t>
            </w:r>
            <w:r>
              <w:rPr>
                <w:spacing w:val="-22"/>
              </w:rPr>
              <w:t>·</w:t>
            </w:r>
            <w:r>
              <w:rPr>
                <w:rFonts w:ascii="Times New Roman" w:hAnsi="Times New Roman" w:eastAsia="Times New Roman" w:cs="Times New Roman"/>
                <w:spacing w:val="-22"/>
              </w:rPr>
              <w:t>HCO</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6"/>
                <w:position w:val="-1"/>
                <w:sz w:val="13"/>
                <w:szCs w:val="13"/>
              </w:rPr>
              <w:t xml:space="preserve">  </w:t>
            </w:r>
            <w:r>
              <w:rPr>
                <w:spacing w:val="-53"/>
              </w:rPr>
              <w:t>·</w:t>
            </w:r>
            <w:r>
              <w:rPr>
                <w:rFonts w:ascii="Times New Roman" w:hAnsi="Times New Roman" w:eastAsia="Times New Roman" w:cs="Times New Roman"/>
                <w:spacing w:val="-53"/>
              </w:rPr>
              <w:t>SO</w:t>
            </w:r>
            <w:r>
              <w:rPr>
                <w:rFonts w:ascii="Times New Roman" w:hAnsi="Times New Roman" w:eastAsia="Times New Roman" w:cs="Times New Roman"/>
                <w:spacing w:val="10"/>
                <w:sz w:val="13"/>
                <w:szCs w:val="13"/>
              </w:rPr>
              <w:t>4</w:t>
            </w:r>
            <w:r>
              <w:rPr>
                <w:rFonts w:ascii="Times New Roman" w:hAnsi="Times New Roman" w:eastAsia="Times New Roman" w:cs="Times New Roman"/>
                <w:spacing w:val="10"/>
              </w:rPr>
              <w:t>-</w:t>
            </w:r>
            <w:r>
              <w:rPr>
                <w:rFonts w:ascii="Times New Roman" w:hAnsi="Times New Roman" w:eastAsia="Times New Roman" w:cs="Times New Roman"/>
              </w:rPr>
              <w:t>Mg</w:t>
            </w:r>
          </w:p>
          <w:p w14:paraId="7980E307">
            <w:pPr>
              <w:pStyle w:val="6"/>
              <w:spacing w:before="168" w:line="264" w:lineRule="exact"/>
              <w:ind w:left="547"/>
              <w:rPr>
                <w:rFonts w:ascii="Times New Roman" w:hAnsi="Times New Roman" w:eastAsia="Times New Roman" w:cs="Times New Roman"/>
              </w:rPr>
            </w:pPr>
            <w:r>
              <w:rPr>
                <w:spacing w:val="-21"/>
                <w:position w:val="1"/>
              </w:rPr>
              <w:t>·</w:t>
            </w:r>
            <w:r>
              <w:rPr>
                <w:rFonts w:ascii="Times New Roman" w:hAnsi="Times New Roman" w:eastAsia="Times New Roman" w:cs="Times New Roman"/>
                <w:spacing w:val="-21"/>
                <w:position w:val="1"/>
              </w:rPr>
              <w:t>Ca</w:t>
            </w:r>
            <w:r>
              <w:rPr>
                <w:rFonts w:ascii="Times New Roman" w:hAnsi="Times New Roman" w:eastAsia="Times New Roman" w:cs="Times New Roman"/>
                <w:spacing w:val="36"/>
                <w:position w:val="1"/>
              </w:rPr>
              <w:t xml:space="preserve"> </w:t>
            </w:r>
            <w:r>
              <w:rPr>
                <w:spacing w:val="-21"/>
                <w:position w:val="1"/>
              </w:rPr>
              <w:t>·</w:t>
            </w:r>
            <w:r>
              <w:rPr>
                <w:rFonts w:ascii="Times New Roman" w:hAnsi="Times New Roman" w:eastAsia="Times New Roman" w:cs="Times New Roman"/>
                <w:spacing w:val="-21"/>
                <w:position w:val="1"/>
              </w:rPr>
              <w:t>Na</w:t>
            </w:r>
          </w:p>
        </w:tc>
        <w:tc>
          <w:tcPr>
            <w:tcW w:w="2125" w:type="dxa"/>
            <w:vAlign w:val="top"/>
          </w:tcPr>
          <w:p w14:paraId="6C4AB33B">
            <w:pPr>
              <w:pStyle w:val="6"/>
              <w:spacing w:before="110" w:line="221" w:lineRule="auto"/>
              <w:ind w:right="9"/>
              <w:jc w:val="right"/>
              <w:rPr>
                <w:rFonts w:ascii="Times New Roman" w:hAnsi="Times New Roman" w:eastAsia="Times New Roman" w:cs="Times New Roman"/>
              </w:rPr>
            </w:pPr>
            <w:r>
              <w:rPr>
                <w:rFonts w:ascii="Times New Roman" w:hAnsi="Times New Roman" w:eastAsia="Times New Roman" w:cs="Times New Roman"/>
                <w:spacing w:val="-22"/>
              </w:rPr>
              <w:t>Cl</w:t>
            </w:r>
            <w:r>
              <w:rPr>
                <w:rFonts w:ascii="Times New Roman" w:hAnsi="Times New Roman" w:eastAsia="Times New Roman" w:cs="Times New Roman"/>
                <w:spacing w:val="30"/>
              </w:rPr>
              <w:t xml:space="preserve"> </w:t>
            </w:r>
            <w:r>
              <w:rPr>
                <w:spacing w:val="-22"/>
              </w:rPr>
              <w:t>·</w:t>
            </w:r>
            <w:r>
              <w:rPr>
                <w:rFonts w:ascii="Times New Roman" w:hAnsi="Times New Roman" w:eastAsia="Times New Roman" w:cs="Times New Roman"/>
                <w:spacing w:val="-22"/>
              </w:rPr>
              <w:t>HCO</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7"/>
                <w:position w:val="-1"/>
                <w:sz w:val="13"/>
                <w:szCs w:val="13"/>
              </w:rPr>
              <w:t xml:space="preserve">  </w:t>
            </w:r>
            <w:r>
              <w:rPr>
                <w:spacing w:val="-48"/>
              </w:rPr>
              <w:t>·</w:t>
            </w:r>
            <w:r>
              <w:rPr>
                <w:rFonts w:ascii="Times New Roman" w:hAnsi="Times New Roman" w:eastAsia="Times New Roman" w:cs="Times New Roman"/>
                <w:spacing w:val="-48"/>
              </w:rPr>
              <w:t>SO</w:t>
            </w:r>
            <w:r>
              <w:rPr>
                <w:rFonts w:ascii="Times New Roman" w:hAnsi="Times New Roman" w:eastAsia="Times New Roman" w:cs="Times New Roman"/>
                <w:spacing w:val="11"/>
                <w:sz w:val="13"/>
                <w:szCs w:val="13"/>
              </w:rPr>
              <w:t>4</w:t>
            </w:r>
            <w:r>
              <w:rPr>
                <w:rFonts w:ascii="Times New Roman" w:hAnsi="Times New Roman" w:eastAsia="Times New Roman" w:cs="Times New Roman"/>
                <w:spacing w:val="11"/>
              </w:rPr>
              <w:t>-</w:t>
            </w:r>
            <w:r>
              <w:rPr>
                <w:rFonts w:ascii="Times New Roman" w:hAnsi="Times New Roman" w:eastAsia="Times New Roman" w:cs="Times New Roman"/>
              </w:rPr>
              <w:t>Mg</w:t>
            </w:r>
            <w:r>
              <w:rPr>
                <w:rFonts w:ascii="Times New Roman" w:hAnsi="Times New Roman" w:eastAsia="Times New Roman" w:cs="Times New Roman"/>
                <w:spacing w:val="31"/>
              </w:rPr>
              <w:t xml:space="preserve"> </w:t>
            </w:r>
            <w:r>
              <w:rPr>
                <w:spacing w:val="-53"/>
              </w:rPr>
              <w:t>·</w:t>
            </w:r>
            <w:r>
              <w:rPr>
                <w:rFonts w:ascii="Times New Roman" w:hAnsi="Times New Roman" w:eastAsia="Times New Roman" w:cs="Times New Roman"/>
                <w:spacing w:val="-17"/>
              </w:rPr>
              <w:t>C</w:t>
            </w:r>
          </w:p>
          <w:p w14:paraId="0D3994FD">
            <w:pPr>
              <w:pStyle w:val="6"/>
              <w:spacing w:before="168" w:line="265" w:lineRule="exact"/>
              <w:ind w:left="794"/>
              <w:rPr>
                <w:rFonts w:ascii="Times New Roman" w:hAnsi="Times New Roman" w:eastAsia="Times New Roman" w:cs="Times New Roman"/>
              </w:rPr>
            </w:pPr>
            <w:r>
              <w:rPr>
                <w:rFonts w:ascii="Times New Roman" w:hAnsi="Times New Roman" w:eastAsia="Times New Roman" w:cs="Times New Roman"/>
                <w:spacing w:val="-16"/>
                <w:position w:val="1"/>
              </w:rPr>
              <w:t>a</w:t>
            </w:r>
            <w:r>
              <w:rPr>
                <w:rFonts w:ascii="Times New Roman" w:hAnsi="Times New Roman" w:eastAsia="Times New Roman" w:cs="Times New Roman"/>
                <w:spacing w:val="29"/>
                <w:w w:val="101"/>
                <w:position w:val="1"/>
              </w:rPr>
              <w:t xml:space="preserve"> </w:t>
            </w:r>
            <w:r>
              <w:rPr>
                <w:spacing w:val="-16"/>
                <w:position w:val="1"/>
              </w:rPr>
              <w:t>·</w:t>
            </w:r>
            <w:r>
              <w:rPr>
                <w:rFonts w:ascii="Times New Roman" w:hAnsi="Times New Roman" w:eastAsia="Times New Roman" w:cs="Times New Roman"/>
                <w:spacing w:val="-16"/>
                <w:position w:val="1"/>
              </w:rPr>
              <w:t>Na</w:t>
            </w:r>
          </w:p>
        </w:tc>
        <w:tc>
          <w:tcPr>
            <w:tcW w:w="1844" w:type="dxa"/>
            <w:vAlign w:val="top"/>
          </w:tcPr>
          <w:p w14:paraId="02AC6C0C">
            <w:pPr>
              <w:pStyle w:val="6"/>
              <w:spacing w:before="110" w:line="221" w:lineRule="auto"/>
              <w:ind w:left="110"/>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pacing w:val="19"/>
                <w:position w:val="-1"/>
                <w:sz w:val="13"/>
                <w:szCs w:val="13"/>
              </w:rPr>
              <w:t>3</w:t>
            </w:r>
            <w:r>
              <w:rPr>
                <w:rFonts w:ascii="Times New Roman" w:hAnsi="Times New Roman" w:eastAsia="Times New Roman" w:cs="Times New Roman"/>
                <w:spacing w:val="9"/>
                <w:position w:val="-1"/>
                <w:sz w:val="13"/>
                <w:szCs w:val="13"/>
              </w:rPr>
              <w:t xml:space="preserve">  </w:t>
            </w:r>
            <w:r>
              <w:rPr>
                <w:spacing w:val="-54"/>
              </w:rPr>
              <w:t>·</w:t>
            </w:r>
            <w:r>
              <w:rPr>
                <w:rFonts w:ascii="Times New Roman" w:hAnsi="Times New Roman" w:eastAsia="Times New Roman" w:cs="Times New Roman"/>
                <w:spacing w:val="-54"/>
              </w:rPr>
              <w:t>Cl</w:t>
            </w:r>
            <w:r>
              <w:rPr>
                <w:rFonts w:ascii="Times New Roman" w:hAnsi="Times New Roman" w:eastAsia="Times New Roman" w:cs="Times New Roman"/>
                <w:spacing w:val="32"/>
              </w:rPr>
              <w:t xml:space="preserve"> </w:t>
            </w:r>
            <w:r>
              <w:rPr>
                <w:spacing w:val="-54"/>
              </w:rPr>
              <w:t>·</w:t>
            </w:r>
            <w:r>
              <w:rPr>
                <w:rFonts w:ascii="Times New Roman" w:hAnsi="Times New Roman" w:eastAsia="Times New Roman" w:cs="Times New Roman"/>
                <w:spacing w:val="-54"/>
              </w:rPr>
              <w:t>SO</w:t>
            </w:r>
            <w:r>
              <w:rPr>
                <w:rFonts w:ascii="Times New Roman" w:hAnsi="Times New Roman" w:eastAsia="Times New Roman" w:cs="Times New Roman"/>
                <w:spacing w:val="10"/>
                <w:sz w:val="13"/>
                <w:szCs w:val="13"/>
              </w:rPr>
              <w:t>4</w:t>
            </w:r>
            <w:r>
              <w:rPr>
                <w:rFonts w:ascii="Times New Roman" w:hAnsi="Times New Roman" w:eastAsia="Times New Roman" w:cs="Times New Roman"/>
                <w:spacing w:val="10"/>
              </w:rPr>
              <w:t>-</w:t>
            </w:r>
            <w:r>
              <w:rPr>
                <w:rFonts w:ascii="Times New Roman" w:hAnsi="Times New Roman" w:eastAsia="Times New Roman" w:cs="Times New Roman"/>
              </w:rPr>
              <w:t>Mg</w:t>
            </w:r>
          </w:p>
          <w:p w14:paraId="77ADCCD5">
            <w:pPr>
              <w:pStyle w:val="6"/>
              <w:spacing w:before="168" w:line="264" w:lineRule="exact"/>
              <w:ind w:left="551"/>
              <w:rPr>
                <w:rFonts w:ascii="Times New Roman" w:hAnsi="Times New Roman" w:eastAsia="Times New Roman" w:cs="Times New Roman"/>
              </w:rPr>
            </w:pPr>
            <w:r>
              <w:rPr>
                <w:spacing w:val="-21"/>
                <w:position w:val="1"/>
              </w:rPr>
              <w:t>·</w:t>
            </w:r>
            <w:r>
              <w:rPr>
                <w:rFonts w:ascii="Times New Roman" w:hAnsi="Times New Roman" w:eastAsia="Times New Roman" w:cs="Times New Roman"/>
                <w:spacing w:val="-21"/>
                <w:position w:val="1"/>
              </w:rPr>
              <w:t>Na</w:t>
            </w:r>
            <w:r>
              <w:rPr>
                <w:rFonts w:ascii="Times New Roman" w:hAnsi="Times New Roman" w:eastAsia="Times New Roman" w:cs="Times New Roman"/>
                <w:spacing w:val="33"/>
                <w:w w:val="101"/>
                <w:position w:val="1"/>
              </w:rPr>
              <w:t xml:space="preserve"> </w:t>
            </w:r>
            <w:r>
              <w:rPr>
                <w:spacing w:val="-21"/>
                <w:position w:val="1"/>
              </w:rPr>
              <w:t>·</w:t>
            </w:r>
            <w:r>
              <w:rPr>
                <w:rFonts w:ascii="Times New Roman" w:hAnsi="Times New Roman" w:eastAsia="Times New Roman" w:cs="Times New Roman"/>
                <w:spacing w:val="-21"/>
                <w:position w:val="1"/>
              </w:rPr>
              <w:t>Ca</w:t>
            </w:r>
          </w:p>
        </w:tc>
        <w:tc>
          <w:tcPr>
            <w:tcW w:w="2125" w:type="dxa"/>
            <w:vAlign w:val="top"/>
          </w:tcPr>
          <w:p w14:paraId="016B4E9E">
            <w:pPr>
              <w:pStyle w:val="6"/>
              <w:spacing w:before="110" w:line="221" w:lineRule="auto"/>
              <w:ind w:right="6"/>
              <w:jc w:val="right"/>
              <w:rPr>
                <w:rFonts w:ascii="Times New Roman" w:hAnsi="Times New Roman" w:eastAsia="Times New Roman" w:cs="Times New Roman"/>
              </w:rPr>
            </w:pPr>
            <w:r>
              <w:rPr>
                <w:rFonts w:ascii="Times New Roman" w:hAnsi="Times New Roman" w:eastAsia="Times New Roman" w:cs="Times New Roman"/>
                <w:spacing w:val="5"/>
              </w:rPr>
              <w:t>HCO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6"/>
                <w:position w:val="-1"/>
                <w:sz w:val="13"/>
                <w:szCs w:val="13"/>
              </w:rPr>
              <w:t xml:space="preserve">  </w:t>
            </w:r>
            <w:r>
              <w:rPr>
                <w:spacing w:val="-48"/>
              </w:rPr>
              <w:t>·</w:t>
            </w:r>
            <w:r>
              <w:rPr>
                <w:rFonts w:ascii="Times New Roman" w:hAnsi="Times New Roman" w:eastAsia="Times New Roman" w:cs="Times New Roman"/>
                <w:spacing w:val="-48"/>
              </w:rPr>
              <w:t>Cl</w:t>
            </w:r>
            <w:r>
              <w:rPr>
                <w:rFonts w:ascii="Times New Roman" w:hAnsi="Times New Roman" w:eastAsia="Times New Roman" w:cs="Times New Roman"/>
                <w:spacing w:val="34"/>
              </w:rPr>
              <w:t xml:space="preserve"> </w:t>
            </w:r>
            <w:r>
              <w:rPr>
                <w:spacing w:val="-48"/>
              </w:rPr>
              <w:t>·</w:t>
            </w:r>
            <w:r>
              <w:rPr>
                <w:rFonts w:ascii="Times New Roman" w:hAnsi="Times New Roman" w:eastAsia="Times New Roman" w:cs="Times New Roman"/>
                <w:spacing w:val="-48"/>
              </w:rPr>
              <w:t>SO</w:t>
            </w:r>
            <w:r>
              <w:rPr>
                <w:rFonts w:ascii="Times New Roman" w:hAnsi="Times New Roman" w:eastAsia="Times New Roman" w:cs="Times New Roman"/>
                <w:spacing w:val="11"/>
                <w:sz w:val="13"/>
                <w:szCs w:val="13"/>
              </w:rPr>
              <w:t>4</w:t>
            </w:r>
            <w:r>
              <w:rPr>
                <w:rFonts w:ascii="Times New Roman" w:hAnsi="Times New Roman" w:eastAsia="Times New Roman" w:cs="Times New Roman"/>
                <w:spacing w:val="11"/>
              </w:rPr>
              <w:t>-</w:t>
            </w:r>
            <w:r>
              <w:rPr>
                <w:rFonts w:ascii="Times New Roman" w:hAnsi="Times New Roman" w:eastAsia="Times New Roman" w:cs="Times New Roman"/>
              </w:rPr>
              <w:t>Mg</w:t>
            </w:r>
            <w:r>
              <w:rPr>
                <w:rFonts w:ascii="Times New Roman" w:hAnsi="Times New Roman" w:eastAsia="Times New Roman" w:cs="Times New Roman"/>
                <w:spacing w:val="33"/>
                <w:w w:val="101"/>
              </w:rPr>
              <w:t xml:space="preserve"> </w:t>
            </w:r>
            <w:r>
              <w:rPr>
                <w:spacing w:val="-56"/>
              </w:rPr>
              <w:t>·</w:t>
            </w:r>
            <w:r>
              <w:rPr>
                <w:rFonts w:ascii="Times New Roman" w:hAnsi="Times New Roman" w:eastAsia="Times New Roman" w:cs="Times New Roman"/>
                <w:spacing w:val="-14"/>
              </w:rPr>
              <w:t>C</w:t>
            </w:r>
          </w:p>
          <w:p w14:paraId="634F09D5">
            <w:pPr>
              <w:pStyle w:val="6"/>
              <w:spacing w:before="168" w:line="265" w:lineRule="exact"/>
              <w:ind w:left="794"/>
              <w:rPr>
                <w:rFonts w:ascii="Times New Roman" w:hAnsi="Times New Roman" w:eastAsia="Times New Roman" w:cs="Times New Roman"/>
              </w:rPr>
            </w:pPr>
            <w:r>
              <w:rPr>
                <w:rFonts w:ascii="Times New Roman" w:hAnsi="Times New Roman" w:eastAsia="Times New Roman" w:cs="Times New Roman"/>
                <w:spacing w:val="-17"/>
                <w:position w:val="1"/>
              </w:rPr>
              <w:t>a</w:t>
            </w:r>
            <w:r>
              <w:rPr>
                <w:rFonts w:ascii="Times New Roman" w:hAnsi="Times New Roman" w:eastAsia="Times New Roman" w:cs="Times New Roman"/>
                <w:spacing w:val="33"/>
                <w:w w:val="101"/>
                <w:position w:val="1"/>
              </w:rPr>
              <w:t xml:space="preserve"> </w:t>
            </w:r>
            <w:r>
              <w:rPr>
                <w:spacing w:val="-17"/>
                <w:position w:val="1"/>
              </w:rPr>
              <w:t>·</w:t>
            </w:r>
            <w:r>
              <w:rPr>
                <w:rFonts w:ascii="Times New Roman" w:hAnsi="Times New Roman" w:eastAsia="Times New Roman" w:cs="Times New Roman"/>
                <w:spacing w:val="-17"/>
                <w:position w:val="1"/>
              </w:rPr>
              <w:t>Na</w:t>
            </w:r>
          </w:p>
        </w:tc>
        <w:tc>
          <w:tcPr>
            <w:tcW w:w="1416" w:type="dxa"/>
            <w:vAlign w:val="top"/>
          </w:tcPr>
          <w:p w14:paraId="22FD8A16">
            <w:pPr>
              <w:pStyle w:val="6"/>
              <w:spacing w:before="110" w:line="221" w:lineRule="auto"/>
              <w:jc w:val="right"/>
            </w:pPr>
            <w:r>
              <w:rPr>
                <w:rFonts w:ascii="Times New Roman" w:hAnsi="Times New Roman" w:eastAsia="Times New Roman" w:cs="Times New Roman"/>
              </w:rPr>
              <w:t>SO</w:t>
            </w:r>
            <w:r>
              <w:rPr>
                <w:rFonts w:ascii="Times New Roman" w:hAnsi="Times New Roman" w:eastAsia="Times New Roman" w:cs="Times New Roman"/>
                <w:spacing w:val="3"/>
                <w:position w:val="-1"/>
                <w:sz w:val="13"/>
                <w:szCs w:val="13"/>
              </w:rPr>
              <w:t>4</w:t>
            </w:r>
            <w:r>
              <w:rPr>
                <w:rFonts w:ascii="Times New Roman" w:hAnsi="Times New Roman" w:eastAsia="Times New Roman" w:cs="Times New Roman"/>
                <w:spacing w:val="9"/>
                <w:w w:val="101"/>
                <w:position w:val="-1"/>
                <w:sz w:val="13"/>
                <w:szCs w:val="13"/>
              </w:rPr>
              <w:t xml:space="preserve">  </w:t>
            </w:r>
            <w:r>
              <w:rPr>
                <w:spacing w:val="-19"/>
              </w:rPr>
              <w:t>·</w:t>
            </w:r>
            <w:r>
              <w:rPr>
                <w:rFonts w:ascii="Times New Roman" w:hAnsi="Times New Roman" w:eastAsia="Times New Roman" w:cs="Times New Roman"/>
                <w:spacing w:val="-19"/>
              </w:rPr>
              <w:t>Cl-Mg</w:t>
            </w:r>
            <w:r>
              <w:rPr>
                <w:rFonts w:ascii="Times New Roman" w:hAnsi="Times New Roman" w:eastAsia="Times New Roman" w:cs="Times New Roman"/>
                <w:spacing w:val="31"/>
                <w:w w:val="101"/>
              </w:rPr>
              <w:t xml:space="preserve"> </w:t>
            </w:r>
            <w:r>
              <w:rPr>
                <w:spacing w:val="-19"/>
              </w:rPr>
              <w:t>·</w:t>
            </w:r>
          </w:p>
          <w:p w14:paraId="014ADE4F">
            <w:pPr>
              <w:pStyle w:val="6"/>
              <w:spacing w:before="168" w:line="264" w:lineRule="exact"/>
              <w:ind w:left="371"/>
              <w:rPr>
                <w:rFonts w:ascii="Times New Roman" w:hAnsi="Times New Roman" w:eastAsia="Times New Roman" w:cs="Times New Roman"/>
              </w:rPr>
            </w:pPr>
            <w:r>
              <w:rPr>
                <w:rFonts w:ascii="Times New Roman" w:hAnsi="Times New Roman" w:eastAsia="Times New Roman" w:cs="Times New Roman"/>
                <w:spacing w:val="-12"/>
                <w:position w:val="1"/>
              </w:rPr>
              <w:t>Ca</w:t>
            </w:r>
            <w:r>
              <w:rPr>
                <w:rFonts w:ascii="Times New Roman" w:hAnsi="Times New Roman" w:eastAsia="Times New Roman" w:cs="Times New Roman"/>
                <w:spacing w:val="31"/>
                <w:position w:val="1"/>
              </w:rPr>
              <w:t xml:space="preserve"> </w:t>
            </w:r>
            <w:r>
              <w:rPr>
                <w:spacing w:val="-12"/>
                <w:position w:val="1"/>
              </w:rPr>
              <w:t>·</w:t>
            </w:r>
            <w:r>
              <w:rPr>
                <w:rFonts w:ascii="Times New Roman" w:hAnsi="Times New Roman" w:eastAsia="Times New Roman" w:cs="Times New Roman"/>
                <w:spacing w:val="-12"/>
                <w:position w:val="1"/>
              </w:rPr>
              <w:t>Na</w:t>
            </w:r>
          </w:p>
        </w:tc>
        <w:tc>
          <w:tcPr>
            <w:tcW w:w="1842" w:type="dxa"/>
            <w:vAlign w:val="top"/>
          </w:tcPr>
          <w:p w14:paraId="6EFDB6F7">
            <w:pPr>
              <w:pStyle w:val="6"/>
              <w:spacing w:before="109" w:line="236" w:lineRule="auto"/>
              <w:ind w:left="110"/>
              <w:rPr>
                <w:rFonts w:ascii="Times New Roman" w:hAnsi="Times New Roman" w:eastAsia="Times New Roman" w:cs="Times New Roman"/>
              </w:rPr>
            </w:pPr>
            <w:r>
              <w:rPr>
                <w:rFonts w:ascii="Times New Roman" w:hAnsi="Times New Roman" w:eastAsia="Times New Roman" w:cs="Times New Roman"/>
                <w:spacing w:val="5"/>
              </w:rPr>
              <w:t>HCO</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pacing w:val="7"/>
                <w:position w:val="-1"/>
                <w:sz w:val="13"/>
                <w:szCs w:val="13"/>
              </w:rPr>
              <w:t xml:space="preserve">  </w:t>
            </w:r>
            <w:r>
              <w:rPr>
                <w:spacing w:val="-45"/>
              </w:rPr>
              <w:t>·</w:t>
            </w:r>
            <w:r>
              <w:rPr>
                <w:rFonts w:ascii="Times New Roman" w:hAnsi="Times New Roman" w:eastAsia="Times New Roman" w:cs="Times New Roman"/>
                <w:spacing w:val="-45"/>
              </w:rPr>
              <w:t>Cl</w:t>
            </w:r>
            <w:r>
              <w:rPr>
                <w:rFonts w:ascii="Times New Roman" w:hAnsi="Times New Roman" w:eastAsia="Times New Roman" w:cs="Times New Roman"/>
                <w:spacing w:val="32"/>
                <w:w w:val="101"/>
              </w:rPr>
              <w:t xml:space="preserve"> </w:t>
            </w:r>
            <w:r>
              <w:rPr>
                <w:spacing w:val="-45"/>
              </w:rPr>
              <w:t>·</w:t>
            </w:r>
            <w:r>
              <w:rPr>
                <w:rFonts w:ascii="Times New Roman" w:hAnsi="Times New Roman" w:eastAsia="Times New Roman" w:cs="Times New Roman"/>
                <w:spacing w:val="-45"/>
              </w:rPr>
              <w:t>SO</w:t>
            </w:r>
            <w:r>
              <w:rPr>
                <w:rFonts w:ascii="Times New Roman" w:hAnsi="Times New Roman" w:eastAsia="Times New Roman" w:cs="Times New Roman"/>
                <w:spacing w:val="11"/>
                <w:sz w:val="13"/>
                <w:szCs w:val="13"/>
              </w:rPr>
              <w:t>4</w:t>
            </w:r>
            <w:r>
              <w:rPr>
                <w:rFonts w:ascii="Times New Roman" w:hAnsi="Times New Roman" w:eastAsia="Times New Roman" w:cs="Times New Roman"/>
                <w:spacing w:val="11"/>
              </w:rPr>
              <w:t>-</w:t>
            </w:r>
            <w:r>
              <w:rPr>
                <w:rFonts w:ascii="Times New Roman" w:hAnsi="Times New Roman" w:eastAsia="Times New Roman" w:cs="Times New Roman"/>
              </w:rPr>
              <w:t>Ca</w:t>
            </w:r>
          </w:p>
          <w:p w14:paraId="4AC36394">
            <w:pPr>
              <w:pStyle w:val="6"/>
              <w:spacing w:before="152" w:line="221" w:lineRule="auto"/>
              <w:ind w:left="520"/>
              <w:rPr>
                <w:rFonts w:ascii="Times New Roman" w:hAnsi="Times New Roman" w:eastAsia="Times New Roman" w:cs="Times New Roman"/>
              </w:rPr>
            </w:pPr>
            <w:r>
              <w:rPr>
                <w:spacing w:val="-20"/>
              </w:rPr>
              <w:t>·</w:t>
            </w:r>
            <w:r>
              <w:rPr>
                <w:rFonts w:ascii="Times New Roman" w:hAnsi="Times New Roman" w:eastAsia="Times New Roman" w:cs="Times New Roman"/>
                <w:spacing w:val="-20"/>
              </w:rPr>
              <w:t>Mg</w:t>
            </w:r>
            <w:r>
              <w:rPr>
                <w:rFonts w:ascii="Times New Roman" w:hAnsi="Times New Roman" w:eastAsia="Times New Roman" w:cs="Times New Roman"/>
                <w:spacing w:val="34"/>
              </w:rPr>
              <w:t xml:space="preserve"> </w:t>
            </w:r>
            <w:r>
              <w:rPr>
                <w:spacing w:val="-20"/>
              </w:rPr>
              <w:t>·</w:t>
            </w:r>
            <w:r>
              <w:rPr>
                <w:rFonts w:ascii="Times New Roman" w:hAnsi="Times New Roman" w:eastAsia="Times New Roman" w:cs="Times New Roman"/>
                <w:spacing w:val="-20"/>
              </w:rPr>
              <w:t>Na</w:t>
            </w:r>
          </w:p>
        </w:tc>
        <w:tc>
          <w:tcPr>
            <w:tcW w:w="1785" w:type="dxa"/>
            <w:vAlign w:val="top"/>
          </w:tcPr>
          <w:p w14:paraId="45E1DE29">
            <w:pPr>
              <w:pStyle w:val="6"/>
              <w:spacing w:before="109" w:line="378" w:lineRule="auto"/>
              <w:ind w:left="394" w:right="110" w:hanging="283"/>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pacing w:val="19"/>
                <w:position w:val="-1"/>
                <w:sz w:val="13"/>
                <w:szCs w:val="13"/>
              </w:rPr>
              <w:t>3</w:t>
            </w:r>
            <w:r>
              <w:rPr>
                <w:rFonts w:ascii="Times New Roman" w:hAnsi="Times New Roman" w:eastAsia="Times New Roman" w:cs="Times New Roman"/>
                <w:spacing w:val="9"/>
                <w:w w:val="101"/>
                <w:position w:val="-1"/>
                <w:sz w:val="13"/>
                <w:szCs w:val="13"/>
              </w:rPr>
              <w:t xml:space="preserve">  </w:t>
            </w:r>
            <w:r>
              <w:rPr>
                <w:spacing w:val="-48"/>
              </w:rPr>
              <w:t>·</w:t>
            </w:r>
            <w:r>
              <w:rPr>
                <w:rFonts w:ascii="Times New Roman" w:hAnsi="Times New Roman" w:eastAsia="Times New Roman" w:cs="Times New Roman"/>
                <w:spacing w:val="-48"/>
              </w:rPr>
              <w:t>Cl</w:t>
            </w:r>
            <w:r>
              <w:rPr>
                <w:rFonts w:ascii="Times New Roman" w:hAnsi="Times New Roman" w:eastAsia="Times New Roman" w:cs="Times New Roman"/>
                <w:spacing w:val="32"/>
              </w:rPr>
              <w:t xml:space="preserve"> </w:t>
            </w:r>
            <w:r>
              <w:rPr>
                <w:spacing w:val="-48"/>
              </w:rPr>
              <w:t>·</w:t>
            </w:r>
            <w:r>
              <w:rPr>
                <w:rFonts w:ascii="Times New Roman" w:hAnsi="Times New Roman" w:eastAsia="Times New Roman" w:cs="Times New Roman"/>
                <w:spacing w:val="-48"/>
              </w:rPr>
              <w:t>SO</w:t>
            </w:r>
            <w:r>
              <w:rPr>
                <w:rFonts w:ascii="Times New Roman" w:hAnsi="Times New Roman" w:eastAsia="Times New Roman" w:cs="Times New Roman"/>
                <w:spacing w:val="6"/>
                <w:sz w:val="13"/>
                <w:szCs w:val="13"/>
              </w:rPr>
              <w:t>4</w:t>
            </w:r>
            <w:r>
              <w:rPr>
                <w:rFonts w:ascii="Times New Roman" w:hAnsi="Times New Roman" w:eastAsia="Times New Roman" w:cs="Times New Roman"/>
                <w:spacing w:val="6"/>
              </w:rPr>
              <w:t>-M</w:t>
            </w:r>
            <w:r>
              <w:rPr>
                <w:rFonts w:ascii="Times New Roman" w:hAnsi="Times New Roman" w:eastAsia="Times New Roman" w:cs="Times New Roman"/>
              </w:rPr>
              <w:t xml:space="preserve"> </w:t>
            </w:r>
            <w:r>
              <w:rPr>
                <w:rFonts w:ascii="Times New Roman" w:hAnsi="Times New Roman" w:eastAsia="Times New Roman" w:cs="Times New Roman"/>
                <w:spacing w:val="-18"/>
              </w:rPr>
              <w:t>g</w:t>
            </w:r>
            <w:r>
              <w:rPr>
                <w:rFonts w:ascii="Times New Roman" w:hAnsi="Times New Roman" w:eastAsia="Times New Roman" w:cs="Times New Roman"/>
                <w:spacing w:val="34"/>
              </w:rPr>
              <w:t xml:space="preserve"> </w:t>
            </w:r>
            <w:r>
              <w:rPr>
                <w:spacing w:val="-18"/>
              </w:rPr>
              <w:t>·</w:t>
            </w:r>
            <w:r>
              <w:rPr>
                <w:rFonts w:ascii="Times New Roman" w:hAnsi="Times New Roman" w:eastAsia="Times New Roman" w:cs="Times New Roman"/>
                <w:spacing w:val="-18"/>
              </w:rPr>
              <w:t>Ca</w:t>
            </w:r>
            <w:r>
              <w:rPr>
                <w:rFonts w:ascii="Times New Roman" w:hAnsi="Times New Roman" w:eastAsia="Times New Roman" w:cs="Times New Roman"/>
                <w:spacing w:val="31"/>
                <w:w w:val="101"/>
              </w:rPr>
              <w:t xml:space="preserve"> </w:t>
            </w:r>
            <w:r>
              <w:rPr>
                <w:spacing w:val="-18"/>
              </w:rPr>
              <w:t>·</w:t>
            </w:r>
            <w:r>
              <w:rPr>
                <w:rFonts w:ascii="Times New Roman" w:hAnsi="Times New Roman" w:eastAsia="Times New Roman" w:cs="Times New Roman"/>
                <w:spacing w:val="-18"/>
              </w:rPr>
              <w:t>Na</w:t>
            </w:r>
          </w:p>
        </w:tc>
      </w:tr>
    </w:tbl>
    <w:p w14:paraId="3C3EB109">
      <w:pPr>
        <w:pStyle w:val="2"/>
      </w:pPr>
    </w:p>
    <w:p w14:paraId="1A5CFA8C">
      <w:pPr>
        <w:sectPr>
          <w:footerReference r:id="rId190" w:type="default"/>
          <w:pgSz w:w="16840" w:h="11907"/>
          <w:pgMar w:top="1208" w:right="1305" w:bottom="1356" w:left="1021" w:header="825" w:footer="1194" w:gutter="0"/>
          <w:cols w:space="720" w:num="1"/>
        </w:sectPr>
      </w:pPr>
    </w:p>
    <w:p w14:paraId="3FF128FE">
      <w:pPr>
        <w:pStyle w:val="2"/>
        <w:spacing w:line="264" w:lineRule="auto"/>
      </w:pPr>
    </w:p>
    <w:p w14:paraId="1DD67071">
      <w:pPr>
        <w:spacing w:before="78" w:line="219" w:lineRule="auto"/>
        <w:ind w:left="68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6.3.2.3 </w:t>
      </w:r>
      <w:r>
        <w:rPr>
          <w:rFonts w:ascii="宋体" w:hAnsi="宋体" w:eastAsia="宋体" w:cs="宋体"/>
          <w:spacing w:val="-1"/>
          <w:sz w:val="24"/>
          <w:szCs w:val="24"/>
        </w:rPr>
        <w:t>包气带监测</w:t>
      </w:r>
    </w:p>
    <w:p w14:paraId="525C3F6D">
      <w:pPr>
        <w:spacing w:before="104" w:line="219" w:lineRule="auto"/>
        <w:ind w:left="705"/>
        <w:rPr>
          <w:rFonts w:ascii="宋体" w:hAnsi="宋体" w:eastAsia="宋体" w:cs="宋体"/>
          <w:sz w:val="24"/>
          <w:szCs w:val="24"/>
        </w:rPr>
      </w:pPr>
      <w:r>
        <w:rPr>
          <w:rFonts w:ascii="宋体" w:hAnsi="宋体" w:eastAsia="宋体" w:cs="宋体"/>
          <w:spacing w:val="-2"/>
          <w:sz w:val="24"/>
          <w:szCs w:val="24"/>
        </w:rPr>
        <w:t>1、地下水、包气带监测点位布设</w:t>
      </w:r>
    </w:p>
    <w:p w14:paraId="2699E8A4">
      <w:pPr>
        <w:spacing w:before="182" w:line="359" w:lineRule="auto"/>
        <w:ind w:left="211" w:right="348" w:firstLine="477"/>
        <w:rPr>
          <w:rFonts w:ascii="宋体" w:hAnsi="宋体" w:eastAsia="宋体" w:cs="宋体"/>
          <w:sz w:val="24"/>
          <w:szCs w:val="24"/>
        </w:rPr>
      </w:pPr>
      <w:r>
        <w:rPr>
          <w:rFonts w:ascii="宋体" w:hAnsi="宋体" w:eastAsia="宋体" w:cs="宋体"/>
          <w:spacing w:val="3"/>
          <w:sz w:val="24"/>
          <w:szCs w:val="24"/>
        </w:rPr>
        <w:t>本次委托内蒙古华智鼎环保科技有限公司于2023年6月对项目所在地的地</w:t>
      </w:r>
      <w:r>
        <w:rPr>
          <w:rFonts w:ascii="宋体" w:hAnsi="宋体" w:eastAsia="宋体" w:cs="宋体"/>
          <w:spacing w:val="6"/>
          <w:sz w:val="24"/>
          <w:szCs w:val="24"/>
        </w:rPr>
        <w:t xml:space="preserve"> </w:t>
      </w:r>
      <w:r>
        <w:rPr>
          <w:rFonts w:ascii="宋体" w:hAnsi="宋体" w:eastAsia="宋体" w:cs="宋体"/>
          <w:spacing w:val="-4"/>
          <w:sz w:val="24"/>
          <w:szCs w:val="24"/>
        </w:rPr>
        <w:t>下水、包气带污染进行现状监测。选取</w:t>
      </w:r>
      <w:r>
        <w:rPr>
          <w:rFonts w:ascii="宋体" w:hAnsi="宋体" w:eastAsia="宋体" w:cs="宋体"/>
          <w:spacing w:val="-31"/>
          <w:sz w:val="24"/>
          <w:szCs w:val="24"/>
        </w:rPr>
        <w:t xml:space="preserve"> </w:t>
      </w:r>
      <w:r>
        <w:rPr>
          <w:rFonts w:ascii="宋体" w:hAnsi="宋体" w:eastAsia="宋体" w:cs="宋体"/>
          <w:spacing w:val="-4"/>
          <w:sz w:val="24"/>
          <w:szCs w:val="24"/>
        </w:rPr>
        <w:t>2</w:t>
      </w:r>
      <w:r>
        <w:rPr>
          <w:rFonts w:ascii="宋体" w:hAnsi="宋体" w:eastAsia="宋体" w:cs="宋体"/>
          <w:spacing w:val="-51"/>
          <w:sz w:val="24"/>
          <w:szCs w:val="24"/>
        </w:rPr>
        <w:t xml:space="preserve"> </w:t>
      </w:r>
      <w:r>
        <w:rPr>
          <w:rFonts w:ascii="宋体" w:hAnsi="宋体" w:eastAsia="宋体" w:cs="宋体"/>
          <w:spacing w:val="-4"/>
          <w:sz w:val="24"/>
          <w:szCs w:val="24"/>
        </w:rPr>
        <w:t>个包气带样本，其中</w:t>
      </w:r>
      <w:r>
        <w:rPr>
          <w:rFonts w:ascii="宋体" w:hAnsi="宋体" w:eastAsia="宋体" w:cs="宋体"/>
          <w:spacing w:val="-33"/>
          <w:sz w:val="24"/>
          <w:szCs w:val="24"/>
        </w:rPr>
        <w:t xml:space="preserve"> </w:t>
      </w:r>
      <w:r>
        <w:rPr>
          <w:rFonts w:ascii="宋体" w:hAnsi="宋体" w:eastAsia="宋体" w:cs="宋体"/>
          <w:spacing w:val="-4"/>
          <w:sz w:val="24"/>
          <w:szCs w:val="24"/>
        </w:rPr>
        <w:t>1#包气带作为背</w:t>
      </w:r>
      <w:r>
        <w:rPr>
          <w:rFonts w:ascii="宋体" w:hAnsi="宋体" w:eastAsia="宋体" w:cs="宋体"/>
          <w:sz w:val="24"/>
          <w:szCs w:val="24"/>
        </w:rPr>
        <w:t xml:space="preserve"> </w:t>
      </w:r>
      <w:r>
        <w:rPr>
          <w:rFonts w:ascii="宋体" w:hAnsi="宋体" w:eastAsia="宋体" w:cs="宋体"/>
          <w:spacing w:val="-3"/>
          <w:sz w:val="24"/>
          <w:szCs w:val="24"/>
        </w:rPr>
        <w:t>景值，取样深度</w:t>
      </w:r>
      <w:r>
        <w:rPr>
          <w:rFonts w:ascii="宋体" w:hAnsi="宋体" w:eastAsia="宋体" w:cs="宋体"/>
          <w:spacing w:val="-42"/>
          <w:sz w:val="24"/>
          <w:szCs w:val="24"/>
        </w:rPr>
        <w:t xml:space="preserve"> </w:t>
      </w:r>
      <w:r>
        <w:rPr>
          <w:rFonts w:ascii="宋体" w:hAnsi="宋体" w:eastAsia="宋体" w:cs="宋体"/>
          <w:spacing w:val="-3"/>
          <w:sz w:val="24"/>
          <w:szCs w:val="24"/>
        </w:rPr>
        <w:t>0-20cm</w:t>
      </w:r>
      <w:r>
        <w:rPr>
          <w:rFonts w:ascii="宋体" w:hAnsi="宋体" w:eastAsia="宋体" w:cs="宋体"/>
          <w:spacing w:val="-50"/>
          <w:sz w:val="24"/>
          <w:szCs w:val="24"/>
        </w:rPr>
        <w:t xml:space="preserve"> </w:t>
      </w:r>
      <w:r>
        <w:rPr>
          <w:rFonts w:ascii="宋体" w:hAnsi="宋体" w:eastAsia="宋体" w:cs="宋体"/>
          <w:spacing w:val="-3"/>
          <w:sz w:val="24"/>
          <w:szCs w:val="24"/>
        </w:rPr>
        <w:t>和</w:t>
      </w:r>
      <w:r>
        <w:rPr>
          <w:rFonts w:ascii="宋体" w:hAnsi="宋体" w:eastAsia="宋体" w:cs="宋体"/>
          <w:spacing w:val="-48"/>
          <w:sz w:val="24"/>
          <w:szCs w:val="24"/>
        </w:rPr>
        <w:t xml:space="preserve"> </w:t>
      </w:r>
      <w:r>
        <w:rPr>
          <w:rFonts w:ascii="宋体" w:hAnsi="宋体" w:eastAsia="宋体" w:cs="宋体"/>
          <w:spacing w:val="-3"/>
          <w:sz w:val="24"/>
          <w:szCs w:val="24"/>
        </w:rPr>
        <w:t>20-80cm</w:t>
      </w:r>
      <w:r>
        <w:rPr>
          <w:rFonts w:ascii="宋体" w:hAnsi="宋体" w:eastAsia="宋体" w:cs="宋体"/>
          <w:spacing w:val="-46"/>
          <w:sz w:val="24"/>
          <w:szCs w:val="24"/>
        </w:rPr>
        <w:t xml:space="preserve"> </w:t>
      </w:r>
      <w:r>
        <w:rPr>
          <w:rFonts w:ascii="宋体" w:hAnsi="宋体" w:eastAsia="宋体" w:cs="宋体"/>
          <w:spacing w:val="-3"/>
          <w:sz w:val="24"/>
          <w:szCs w:val="24"/>
        </w:rPr>
        <w:t>处。</w:t>
      </w:r>
    </w:p>
    <w:p w14:paraId="23F53085">
      <w:pPr>
        <w:spacing w:line="218" w:lineRule="auto"/>
        <w:ind w:left="2285"/>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6.3-11    </w:t>
      </w:r>
      <w:r>
        <w:rPr>
          <w:rFonts w:ascii="宋体" w:hAnsi="宋体" w:eastAsia="宋体" w:cs="宋体"/>
          <w:spacing w:val="-1"/>
          <w:sz w:val="24"/>
          <w:szCs w:val="24"/>
        </w:rPr>
        <w:t>地下水和包气带取样信息</w:t>
      </w:r>
      <w:r>
        <w:rPr>
          <w:rFonts w:ascii="宋体" w:hAnsi="宋体" w:eastAsia="宋体" w:cs="宋体"/>
          <w:spacing w:val="-2"/>
          <w:sz w:val="24"/>
          <w:szCs w:val="24"/>
        </w:rPr>
        <w:t>一览表</w:t>
      </w:r>
    </w:p>
    <w:p w14:paraId="77CF088B">
      <w:pPr>
        <w:spacing w:line="148" w:lineRule="exact"/>
      </w:pPr>
    </w:p>
    <w:tbl>
      <w:tblPr>
        <w:tblStyle w:val="5"/>
        <w:tblW w:w="8532"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1"/>
        <w:gridCol w:w="2353"/>
        <w:gridCol w:w="4338"/>
      </w:tblGrid>
      <w:tr w14:paraId="116ED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841" w:type="dxa"/>
            <w:vAlign w:val="top"/>
          </w:tcPr>
          <w:p w14:paraId="0F9A4F85">
            <w:pPr>
              <w:pStyle w:val="6"/>
              <w:spacing w:before="64" w:line="220" w:lineRule="auto"/>
              <w:ind w:left="489"/>
              <w:rPr>
                <w:sz w:val="22"/>
                <w:szCs w:val="22"/>
              </w:rPr>
            </w:pPr>
            <w:r>
              <w:rPr>
                <w:spacing w:val="-3"/>
                <w:sz w:val="22"/>
                <w:szCs w:val="22"/>
              </w:rPr>
              <w:t>分析项目</w:t>
            </w:r>
          </w:p>
        </w:tc>
        <w:tc>
          <w:tcPr>
            <w:tcW w:w="2353" w:type="dxa"/>
            <w:vAlign w:val="top"/>
          </w:tcPr>
          <w:p w14:paraId="37EAF6C8">
            <w:pPr>
              <w:pStyle w:val="6"/>
              <w:spacing w:before="64" w:line="220" w:lineRule="auto"/>
              <w:ind w:left="963"/>
              <w:rPr>
                <w:sz w:val="22"/>
                <w:szCs w:val="22"/>
              </w:rPr>
            </w:pPr>
            <w:r>
              <w:rPr>
                <w:spacing w:val="-5"/>
                <w:sz w:val="22"/>
                <w:szCs w:val="22"/>
              </w:rPr>
              <w:t>编号</w:t>
            </w:r>
          </w:p>
        </w:tc>
        <w:tc>
          <w:tcPr>
            <w:tcW w:w="4338" w:type="dxa"/>
            <w:vAlign w:val="top"/>
          </w:tcPr>
          <w:p w14:paraId="24A40EE7">
            <w:pPr>
              <w:pStyle w:val="6"/>
              <w:spacing w:before="64" w:line="221" w:lineRule="auto"/>
              <w:ind w:left="1955"/>
              <w:rPr>
                <w:sz w:val="22"/>
                <w:szCs w:val="22"/>
              </w:rPr>
            </w:pPr>
            <w:r>
              <w:rPr>
                <w:spacing w:val="-4"/>
                <w:sz w:val="22"/>
                <w:szCs w:val="22"/>
              </w:rPr>
              <w:t>坐标</w:t>
            </w:r>
          </w:p>
        </w:tc>
      </w:tr>
      <w:tr w14:paraId="34B17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1" w:type="dxa"/>
            <w:vAlign w:val="top"/>
          </w:tcPr>
          <w:p w14:paraId="640B3F5B">
            <w:pPr>
              <w:pStyle w:val="6"/>
              <w:spacing w:before="61" w:line="220" w:lineRule="auto"/>
              <w:ind w:left="597"/>
              <w:rPr>
                <w:sz w:val="22"/>
                <w:szCs w:val="22"/>
              </w:rPr>
            </w:pPr>
            <w:r>
              <w:rPr>
                <w:spacing w:val="-3"/>
                <w:sz w:val="22"/>
                <w:szCs w:val="22"/>
              </w:rPr>
              <w:t>地下水</w:t>
            </w:r>
          </w:p>
        </w:tc>
        <w:tc>
          <w:tcPr>
            <w:tcW w:w="2353" w:type="dxa"/>
            <w:vAlign w:val="top"/>
          </w:tcPr>
          <w:p w14:paraId="292BE662">
            <w:pPr>
              <w:spacing w:before="99" w:line="189" w:lineRule="auto"/>
              <w:ind w:left="1070"/>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S5</w:t>
            </w:r>
          </w:p>
        </w:tc>
        <w:tc>
          <w:tcPr>
            <w:tcW w:w="4338" w:type="dxa"/>
            <w:vAlign w:val="top"/>
          </w:tcPr>
          <w:p w14:paraId="21210150">
            <w:pPr>
              <w:pStyle w:val="6"/>
              <w:spacing w:before="99" w:line="181" w:lineRule="auto"/>
              <w:ind w:left="874"/>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118°56'21.00"</w:t>
            </w:r>
            <w:r>
              <w:rPr>
                <w:rFonts w:ascii="Times New Roman" w:hAnsi="Times New Roman" w:eastAsia="Times New Roman" w:cs="Times New Roman"/>
                <w:spacing w:val="-29"/>
                <w:sz w:val="22"/>
                <w:szCs w:val="22"/>
              </w:rPr>
              <w:t xml:space="preserve"> </w:t>
            </w:r>
            <w:r>
              <w:rPr>
                <w:spacing w:val="-3"/>
                <w:sz w:val="22"/>
                <w:szCs w:val="22"/>
              </w:rPr>
              <w:t>，</w:t>
            </w:r>
            <w:r>
              <w:rPr>
                <w:rFonts w:ascii="Times New Roman" w:hAnsi="Times New Roman" w:eastAsia="Times New Roman" w:cs="Times New Roman"/>
                <w:spacing w:val="-3"/>
                <w:sz w:val="22"/>
                <w:szCs w:val="22"/>
              </w:rPr>
              <w:t>45°</w:t>
            </w:r>
            <w:r>
              <w:rPr>
                <w:rFonts w:ascii="Times New Roman" w:hAnsi="Times New Roman" w:eastAsia="Times New Roman" w:cs="Times New Roman"/>
                <w:spacing w:val="-31"/>
                <w:sz w:val="22"/>
                <w:szCs w:val="22"/>
              </w:rPr>
              <w:t xml:space="preserve"> </w:t>
            </w:r>
            <w:r>
              <w:rPr>
                <w:rFonts w:ascii="Times New Roman" w:hAnsi="Times New Roman" w:eastAsia="Times New Roman" w:cs="Times New Roman"/>
                <w:spacing w:val="-3"/>
                <w:sz w:val="22"/>
                <w:szCs w:val="22"/>
              </w:rPr>
              <w:t>16'30.00"</w:t>
            </w:r>
          </w:p>
        </w:tc>
      </w:tr>
      <w:tr w14:paraId="68286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41" w:type="dxa"/>
            <w:vMerge w:val="restart"/>
            <w:tcBorders>
              <w:bottom w:val="nil"/>
            </w:tcBorders>
            <w:vAlign w:val="top"/>
          </w:tcPr>
          <w:p w14:paraId="4864D1BD">
            <w:pPr>
              <w:pStyle w:val="6"/>
              <w:spacing w:before="238" w:line="219" w:lineRule="auto"/>
              <w:ind w:left="597"/>
              <w:rPr>
                <w:sz w:val="22"/>
                <w:szCs w:val="22"/>
              </w:rPr>
            </w:pPr>
            <w:r>
              <w:rPr>
                <w:spacing w:val="-3"/>
                <w:sz w:val="22"/>
                <w:szCs w:val="22"/>
              </w:rPr>
              <w:t>包气带</w:t>
            </w:r>
          </w:p>
        </w:tc>
        <w:tc>
          <w:tcPr>
            <w:tcW w:w="2353" w:type="dxa"/>
            <w:vAlign w:val="top"/>
          </w:tcPr>
          <w:p w14:paraId="1D0069DF">
            <w:pPr>
              <w:spacing w:before="101" w:line="189" w:lineRule="auto"/>
              <w:ind w:left="108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w:t>
            </w:r>
          </w:p>
        </w:tc>
        <w:tc>
          <w:tcPr>
            <w:tcW w:w="4338" w:type="dxa"/>
            <w:vAlign w:val="top"/>
          </w:tcPr>
          <w:p w14:paraId="5138EE55">
            <w:pPr>
              <w:pStyle w:val="6"/>
              <w:spacing w:before="100" w:line="181" w:lineRule="auto"/>
              <w:ind w:left="86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118°57′25.79″</w:t>
            </w:r>
            <w:r>
              <w:rPr>
                <w:rFonts w:ascii="Times New Roman" w:hAnsi="Times New Roman" w:eastAsia="Times New Roman" w:cs="Times New Roman"/>
                <w:spacing w:val="-12"/>
                <w:sz w:val="22"/>
                <w:szCs w:val="22"/>
              </w:rPr>
              <w:t xml:space="preserve"> </w:t>
            </w:r>
            <w:r>
              <w:rPr>
                <w:spacing w:val="-5"/>
                <w:sz w:val="22"/>
                <w:szCs w:val="22"/>
              </w:rPr>
              <w:t>，</w:t>
            </w:r>
            <w:r>
              <w:rPr>
                <w:rFonts w:ascii="Times New Roman" w:hAnsi="Times New Roman" w:eastAsia="Times New Roman" w:cs="Times New Roman"/>
                <w:spacing w:val="-5"/>
                <w:sz w:val="22"/>
                <w:szCs w:val="22"/>
              </w:rPr>
              <w:t>45°</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16′</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15.20″</w:t>
            </w:r>
          </w:p>
        </w:tc>
      </w:tr>
      <w:tr w14:paraId="4E0D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841" w:type="dxa"/>
            <w:vMerge w:val="continue"/>
            <w:tcBorders>
              <w:top w:val="nil"/>
            </w:tcBorders>
            <w:vAlign w:val="top"/>
          </w:tcPr>
          <w:p w14:paraId="57B4D614">
            <w:pPr>
              <w:rPr>
                <w:rFonts w:ascii="Arial"/>
                <w:sz w:val="21"/>
              </w:rPr>
            </w:pPr>
          </w:p>
        </w:tc>
        <w:tc>
          <w:tcPr>
            <w:tcW w:w="2353" w:type="dxa"/>
            <w:vAlign w:val="top"/>
          </w:tcPr>
          <w:p w14:paraId="0AABE6BC">
            <w:pPr>
              <w:spacing w:before="100" w:line="189" w:lineRule="auto"/>
              <w:ind w:left="1068"/>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w:t>
            </w:r>
          </w:p>
        </w:tc>
        <w:tc>
          <w:tcPr>
            <w:tcW w:w="4338" w:type="dxa"/>
            <w:vAlign w:val="top"/>
          </w:tcPr>
          <w:p w14:paraId="6D74BC21">
            <w:pPr>
              <w:pStyle w:val="6"/>
              <w:spacing w:before="99" w:line="183" w:lineRule="auto"/>
              <w:ind w:left="86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118°56′56.12″</w:t>
            </w:r>
            <w:r>
              <w:rPr>
                <w:rFonts w:ascii="Times New Roman" w:hAnsi="Times New Roman" w:eastAsia="Times New Roman" w:cs="Times New Roman"/>
                <w:spacing w:val="-12"/>
                <w:sz w:val="22"/>
                <w:szCs w:val="22"/>
              </w:rPr>
              <w:t xml:space="preserve"> </w:t>
            </w:r>
            <w:r>
              <w:rPr>
                <w:spacing w:val="-5"/>
                <w:sz w:val="22"/>
                <w:szCs w:val="22"/>
              </w:rPr>
              <w:t>，</w:t>
            </w:r>
            <w:r>
              <w:rPr>
                <w:rFonts w:ascii="Times New Roman" w:hAnsi="Times New Roman" w:eastAsia="Times New Roman" w:cs="Times New Roman"/>
                <w:spacing w:val="-5"/>
                <w:sz w:val="22"/>
                <w:szCs w:val="22"/>
              </w:rPr>
              <w:t>45°</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16′</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10.26″</w:t>
            </w:r>
          </w:p>
        </w:tc>
      </w:tr>
    </w:tbl>
    <w:p w14:paraId="3B460DC8">
      <w:pPr>
        <w:spacing w:before="36" w:line="219" w:lineRule="auto"/>
        <w:ind w:left="690"/>
        <w:rPr>
          <w:rFonts w:ascii="宋体" w:hAnsi="宋体" w:eastAsia="宋体" w:cs="宋体"/>
          <w:sz w:val="24"/>
          <w:szCs w:val="24"/>
        </w:rPr>
      </w:pPr>
      <w:r>
        <w:rPr>
          <w:rFonts w:ascii="宋体" w:hAnsi="宋体" w:eastAsia="宋体" w:cs="宋体"/>
          <w:spacing w:val="-1"/>
          <w:sz w:val="24"/>
          <w:szCs w:val="24"/>
        </w:rPr>
        <w:t>2、已有工程对地下水的影响</w:t>
      </w:r>
    </w:p>
    <w:p w14:paraId="196A5E2E">
      <w:pPr>
        <w:spacing w:before="182" w:line="218" w:lineRule="auto"/>
        <w:ind w:left="699"/>
        <w:rPr>
          <w:rFonts w:ascii="宋体" w:hAnsi="宋体" w:eastAsia="宋体" w:cs="宋体"/>
          <w:sz w:val="24"/>
          <w:szCs w:val="24"/>
        </w:rPr>
      </w:pPr>
      <w:r>
        <w:rPr>
          <w:rFonts w:ascii="宋体" w:hAnsi="宋体" w:eastAsia="宋体" w:cs="宋体"/>
          <w:spacing w:val="-2"/>
          <w:sz w:val="24"/>
          <w:szCs w:val="24"/>
        </w:rPr>
        <w:t>（1）分析项目及评价标准</w:t>
      </w:r>
    </w:p>
    <w:p w14:paraId="6437D7D5">
      <w:pPr>
        <w:spacing w:before="184" w:line="356" w:lineRule="auto"/>
        <w:ind w:left="207" w:right="328" w:firstLine="506"/>
        <w:rPr>
          <w:rFonts w:ascii="宋体" w:hAnsi="宋体" w:eastAsia="宋体" w:cs="宋体"/>
          <w:sz w:val="24"/>
          <w:szCs w:val="24"/>
        </w:rPr>
      </w:pPr>
      <w:r>
        <w:rPr>
          <w:rFonts w:ascii="宋体" w:hAnsi="宋体" w:eastAsia="宋体" w:cs="宋体"/>
          <w:spacing w:val="-3"/>
          <w:sz w:val="24"/>
          <w:szCs w:val="24"/>
        </w:rPr>
        <w:t>已有工程地下水的监测分析项目主要为</w:t>
      </w:r>
      <w:r>
        <w:rPr>
          <w:rFonts w:ascii="宋体" w:hAnsi="宋体" w:eastAsia="宋体" w:cs="宋体"/>
          <w:spacing w:val="-38"/>
          <w:sz w:val="24"/>
          <w:szCs w:val="24"/>
        </w:rPr>
        <w:t xml:space="preserve"> </w:t>
      </w:r>
      <w:r>
        <w:rPr>
          <w:rFonts w:ascii="宋体" w:hAnsi="宋体" w:eastAsia="宋体" w:cs="宋体"/>
          <w:spacing w:val="-3"/>
          <w:sz w:val="24"/>
          <w:szCs w:val="24"/>
        </w:rPr>
        <w:t>pH、总硬度、溶解性总固体、铁、</w:t>
      </w:r>
      <w:r>
        <w:rPr>
          <w:rFonts w:ascii="宋体" w:hAnsi="宋体" w:eastAsia="宋体" w:cs="宋体"/>
          <w:sz w:val="24"/>
          <w:szCs w:val="24"/>
        </w:rPr>
        <w:t xml:space="preserve"> 锰、锌、挥发酚、耗氧量、氨氮、总大肠菌群、细菌</w:t>
      </w:r>
      <w:r>
        <w:rPr>
          <w:rFonts w:ascii="宋体" w:hAnsi="宋体" w:eastAsia="宋体" w:cs="宋体"/>
          <w:spacing w:val="-1"/>
          <w:sz w:val="24"/>
          <w:szCs w:val="24"/>
        </w:rPr>
        <w:t>总数、亚硝酸盐氮、硝酸</w:t>
      </w:r>
      <w:r>
        <w:rPr>
          <w:rFonts w:ascii="宋体" w:hAnsi="宋体" w:eastAsia="宋体" w:cs="宋体"/>
          <w:sz w:val="24"/>
          <w:szCs w:val="24"/>
        </w:rPr>
        <w:t xml:space="preserve"> </w:t>
      </w:r>
      <w:r>
        <w:rPr>
          <w:rFonts w:ascii="宋体" w:hAnsi="宋体" w:eastAsia="宋体" w:cs="宋体"/>
          <w:spacing w:val="-3"/>
          <w:sz w:val="24"/>
          <w:szCs w:val="24"/>
        </w:rPr>
        <w:t>盐氮、氟化物、汞、砷、镉、六价铬、铅、钠（Na</w:t>
      </w:r>
      <w:r>
        <w:rPr>
          <w:rFonts w:ascii="宋体" w:hAnsi="宋体" w:eastAsia="宋体" w:cs="宋体"/>
          <w:spacing w:val="-3"/>
          <w:position w:val="11"/>
          <w:sz w:val="12"/>
          <w:szCs w:val="12"/>
        </w:rPr>
        <w:t>+</w:t>
      </w:r>
      <w:r>
        <w:rPr>
          <w:rFonts w:ascii="宋体" w:hAnsi="宋体" w:eastAsia="宋体" w:cs="宋体"/>
          <w:spacing w:val="-23"/>
          <w:position w:val="11"/>
          <w:sz w:val="12"/>
          <w:szCs w:val="12"/>
        </w:rPr>
        <w:t xml:space="preserve"> </w:t>
      </w:r>
      <w:r>
        <w:rPr>
          <w:rFonts w:ascii="宋体" w:hAnsi="宋体" w:eastAsia="宋体" w:cs="宋体"/>
          <w:spacing w:val="-3"/>
          <w:sz w:val="24"/>
          <w:szCs w:val="24"/>
        </w:rPr>
        <w:t>）、K</w:t>
      </w:r>
      <w:r>
        <w:rPr>
          <w:rFonts w:ascii="宋体" w:hAnsi="宋体" w:eastAsia="宋体" w:cs="宋体"/>
          <w:spacing w:val="-3"/>
          <w:position w:val="11"/>
          <w:sz w:val="12"/>
          <w:szCs w:val="12"/>
        </w:rPr>
        <w:t>+</w:t>
      </w:r>
      <w:r>
        <w:rPr>
          <w:rFonts w:ascii="宋体" w:hAnsi="宋体" w:eastAsia="宋体" w:cs="宋体"/>
          <w:spacing w:val="-34"/>
          <w:position w:val="11"/>
          <w:sz w:val="12"/>
          <w:szCs w:val="12"/>
        </w:rPr>
        <w:t xml:space="preserve"> </w:t>
      </w:r>
      <w:r>
        <w:rPr>
          <w:rFonts w:ascii="宋体" w:hAnsi="宋体" w:eastAsia="宋体" w:cs="宋体"/>
          <w:spacing w:val="-3"/>
          <w:sz w:val="24"/>
          <w:szCs w:val="24"/>
        </w:rPr>
        <w:t>、Ca</w:t>
      </w:r>
      <w:r>
        <w:rPr>
          <w:rFonts w:ascii="宋体" w:hAnsi="宋体" w:eastAsia="宋体" w:cs="宋体"/>
          <w:spacing w:val="-3"/>
          <w:position w:val="11"/>
          <w:sz w:val="12"/>
          <w:szCs w:val="12"/>
        </w:rPr>
        <w:t>2+</w:t>
      </w:r>
      <w:r>
        <w:rPr>
          <w:rFonts w:ascii="宋体" w:hAnsi="宋体" w:eastAsia="宋体" w:cs="宋体"/>
          <w:spacing w:val="-34"/>
          <w:position w:val="11"/>
          <w:sz w:val="12"/>
          <w:szCs w:val="12"/>
        </w:rPr>
        <w:t xml:space="preserve"> </w:t>
      </w:r>
      <w:r>
        <w:rPr>
          <w:rFonts w:ascii="宋体" w:hAnsi="宋体" w:eastAsia="宋体" w:cs="宋体"/>
          <w:spacing w:val="-3"/>
          <w:sz w:val="24"/>
          <w:szCs w:val="24"/>
        </w:rPr>
        <w:t>、Mg</w:t>
      </w:r>
      <w:r>
        <w:rPr>
          <w:rFonts w:ascii="宋体" w:hAnsi="宋体" w:eastAsia="宋体" w:cs="宋体"/>
          <w:spacing w:val="-3"/>
          <w:position w:val="11"/>
          <w:sz w:val="12"/>
          <w:szCs w:val="12"/>
        </w:rPr>
        <w:t>2+</w:t>
      </w:r>
      <w:r>
        <w:rPr>
          <w:rFonts w:ascii="宋体" w:hAnsi="宋体" w:eastAsia="宋体" w:cs="宋体"/>
          <w:spacing w:val="-34"/>
          <w:position w:val="11"/>
          <w:sz w:val="12"/>
          <w:szCs w:val="12"/>
        </w:rPr>
        <w:t xml:space="preserve"> </w:t>
      </w:r>
      <w:r>
        <w:rPr>
          <w:rFonts w:ascii="宋体" w:hAnsi="宋体" w:eastAsia="宋体" w:cs="宋体"/>
          <w:spacing w:val="-3"/>
          <w:sz w:val="24"/>
          <w:szCs w:val="24"/>
        </w:rPr>
        <w:t>、硫酸盐</w:t>
      </w:r>
      <w:r>
        <w:rPr>
          <w:rFonts w:ascii="宋体" w:hAnsi="宋体" w:eastAsia="宋体" w:cs="宋体"/>
          <w:sz w:val="24"/>
          <w:szCs w:val="24"/>
        </w:rPr>
        <w:t xml:space="preserve"> </w:t>
      </w:r>
      <w:r>
        <w:rPr>
          <w:rFonts w:ascii="宋体" w:hAnsi="宋体" w:eastAsia="宋体" w:cs="宋体"/>
          <w:spacing w:val="-4"/>
          <w:sz w:val="24"/>
          <w:szCs w:val="24"/>
        </w:rPr>
        <w:t>（SO</w:t>
      </w:r>
      <w:r>
        <w:rPr>
          <w:rFonts w:ascii="宋体" w:hAnsi="宋体" w:eastAsia="宋体" w:cs="宋体"/>
          <w:spacing w:val="-4"/>
          <w:position w:val="-3"/>
          <w:sz w:val="12"/>
          <w:szCs w:val="12"/>
        </w:rPr>
        <w:t>4</w:t>
      </w:r>
      <w:r>
        <w:rPr>
          <w:rFonts w:ascii="宋体" w:hAnsi="宋体" w:eastAsia="宋体" w:cs="宋体"/>
          <w:spacing w:val="-4"/>
          <w:position w:val="12"/>
          <w:sz w:val="12"/>
          <w:szCs w:val="12"/>
        </w:rPr>
        <w:t>2-</w:t>
      </w:r>
      <w:r>
        <w:rPr>
          <w:rFonts w:ascii="宋体" w:hAnsi="宋体" w:eastAsia="宋体" w:cs="宋体"/>
          <w:spacing w:val="-4"/>
          <w:sz w:val="24"/>
          <w:szCs w:val="24"/>
        </w:rPr>
        <w:t>）、氯化物（Cl</w:t>
      </w:r>
      <w:r>
        <w:rPr>
          <w:rFonts w:ascii="宋体" w:hAnsi="宋体" w:eastAsia="宋体" w:cs="宋体"/>
          <w:spacing w:val="-4"/>
          <w:position w:val="12"/>
          <w:sz w:val="12"/>
          <w:szCs w:val="12"/>
        </w:rPr>
        <w:t>-</w:t>
      </w:r>
      <w:r>
        <w:rPr>
          <w:rFonts w:ascii="宋体" w:hAnsi="宋体" w:eastAsia="宋体" w:cs="宋体"/>
          <w:spacing w:val="-25"/>
          <w:position w:val="12"/>
          <w:sz w:val="12"/>
          <w:szCs w:val="12"/>
        </w:rPr>
        <w:t xml:space="preserve"> </w:t>
      </w:r>
      <w:r>
        <w:rPr>
          <w:rFonts w:ascii="宋体" w:hAnsi="宋体" w:eastAsia="宋体" w:cs="宋体"/>
          <w:spacing w:val="-4"/>
          <w:sz w:val="24"/>
          <w:szCs w:val="24"/>
        </w:rPr>
        <w:t>）、CO</w:t>
      </w:r>
      <w:r>
        <w:rPr>
          <w:rFonts w:ascii="宋体" w:hAnsi="宋体" w:eastAsia="宋体" w:cs="宋体"/>
          <w:spacing w:val="-4"/>
          <w:position w:val="-3"/>
          <w:sz w:val="12"/>
          <w:szCs w:val="12"/>
        </w:rPr>
        <w:t>3</w:t>
      </w:r>
      <w:r>
        <w:rPr>
          <w:rFonts w:ascii="宋体" w:hAnsi="宋体" w:eastAsia="宋体" w:cs="宋体"/>
          <w:spacing w:val="-4"/>
          <w:position w:val="12"/>
          <w:sz w:val="12"/>
          <w:szCs w:val="12"/>
        </w:rPr>
        <w:t>2-</w:t>
      </w:r>
      <w:r>
        <w:rPr>
          <w:rFonts w:ascii="宋体" w:hAnsi="宋体" w:eastAsia="宋体" w:cs="宋体"/>
          <w:spacing w:val="-4"/>
          <w:sz w:val="24"/>
          <w:szCs w:val="24"/>
        </w:rPr>
        <w:t>、HCO</w:t>
      </w:r>
      <w:r>
        <w:rPr>
          <w:rFonts w:ascii="宋体" w:hAnsi="宋体" w:eastAsia="宋体" w:cs="宋体"/>
          <w:spacing w:val="-4"/>
          <w:position w:val="12"/>
          <w:sz w:val="12"/>
          <w:szCs w:val="12"/>
        </w:rPr>
        <w:t>-</w:t>
      </w:r>
      <w:r>
        <w:rPr>
          <w:rFonts w:ascii="宋体" w:hAnsi="宋体" w:eastAsia="宋体" w:cs="宋体"/>
          <w:spacing w:val="-34"/>
          <w:position w:val="12"/>
          <w:sz w:val="12"/>
          <w:szCs w:val="12"/>
        </w:rPr>
        <w:t xml:space="preserve"> </w:t>
      </w:r>
      <w:r>
        <w:rPr>
          <w:rFonts w:ascii="宋体" w:hAnsi="宋体" w:eastAsia="宋体" w:cs="宋体"/>
          <w:spacing w:val="-4"/>
          <w:sz w:val="24"/>
          <w:szCs w:val="24"/>
        </w:rPr>
        <w:t>、石油类。地</w:t>
      </w:r>
      <w:r>
        <w:rPr>
          <w:rFonts w:ascii="宋体" w:hAnsi="宋体" w:eastAsia="宋体" w:cs="宋体"/>
          <w:spacing w:val="-5"/>
          <w:sz w:val="24"/>
          <w:szCs w:val="24"/>
        </w:rPr>
        <w:t>下水评价标准采用《地下水</w:t>
      </w:r>
      <w:r>
        <w:rPr>
          <w:rFonts w:ascii="宋体" w:hAnsi="宋体" w:eastAsia="宋体" w:cs="宋体"/>
          <w:sz w:val="24"/>
          <w:szCs w:val="24"/>
        </w:rPr>
        <w:t xml:space="preserve"> </w:t>
      </w:r>
      <w:r>
        <w:rPr>
          <w:rFonts w:ascii="宋体" w:hAnsi="宋体" w:eastAsia="宋体" w:cs="宋体"/>
          <w:spacing w:val="-2"/>
          <w:sz w:val="24"/>
          <w:szCs w:val="24"/>
        </w:rPr>
        <w:t>质量标准》</w:t>
      </w:r>
      <w:r>
        <w:rPr>
          <w:rFonts w:ascii="宋体" w:hAnsi="宋体" w:eastAsia="宋体" w:cs="宋体"/>
          <w:spacing w:val="-69"/>
          <w:sz w:val="24"/>
          <w:szCs w:val="24"/>
        </w:rPr>
        <w:t xml:space="preserve"> </w:t>
      </w:r>
      <w:r>
        <w:rPr>
          <w:rFonts w:ascii="宋体" w:hAnsi="宋体" w:eastAsia="宋体" w:cs="宋体"/>
          <w:spacing w:val="-2"/>
          <w:sz w:val="24"/>
          <w:szCs w:val="24"/>
        </w:rPr>
        <w:t>(GB/T 14848－2017)</w:t>
      </w:r>
      <w:r>
        <w:rPr>
          <w:rFonts w:ascii="宋体" w:hAnsi="宋体" w:eastAsia="宋体" w:cs="宋体"/>
          <w:spacing w:val="-3"/>
          <w:sz w:val="24"/>
          <w:szCs w:val="24"/>
        </w:rPr>
        <w:t>中Ⅲ类标准。</w:t>
      </w:r>
    </w:p>
    <w:p w14:paraId="56BF0E2A">
      <w:pPr>
        <w:spacing w:before="20" w:line="220" w:lineRule="auto"/>
        <w:ind w:left="699"/>
        <w:rPr>
          <w:rFonts w:ascii="宋体" w:hAnsi="宋体" w:eastAsia="宋体" w:cs="宋体"/>
          <w:sz w:val="24"/>
          <w:szCs w:val="24"/>
        </w:rPr>
      </w:pPr>
      <w:r>
        <w:rPr>
          <w:rFonts w:ascii="宋体" w:hAnsi="宋体" w:eastAsia="宋体" w:cs="宋体"/>
          <w:spacing w:val="-3"/>
          <w:sz w:val="24"/>
          <w:szCs w:val="24"/>
        </w:rPr>
        <w:t>（2）分析方法</w:t>
      </w:r>
    </w:p>
    <w:p w14:paraId="4D7183F6">
      <w:pPr>
        <w:spacing w:before="182" w:line="219" w:lineRule="auto"/>
        <w:ind w:left="687"/>
        <w:rPr>
          <w:rFonts w:ascii="宋体" w:hAnsi="宋体" w:eastAsia="宋体" w:cs="宋体"/>
          <w:sz w:val="24"/>
          <w:szCs w:val="24"/>
        </w:rPr>
      </w:pPr>
      <w:r>
        <w:rPr>
          <w:rFonts w:ascii="宋体" w:hAnsi="宋体" w:eastAsia="宋体" w:cs="宋体"/>
          <w:spacing w:val="2"/>
          <w:sz w:val="24"/>
          <w:szCs w:val="24"/>
        </w:rPr>
        <w:t>地下水水质分析方法详见表6.3-12。</w:t>
      </w:r>
    </w:p>
    <w:p w14:paraId="14A90E9F">
      <w:pPr>
        <w:spacing w:before="181" w:line="219" w:lineRule="auto"/>
        <w:ind w:left="228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6.3-12    </w:t>
      </w:r>
      <w:r>
        <w:rPr>
          <w:rFonts w:ascii="宋体" w:hAnsi="宋体" w:eastAsia="宋体" w:cs="宋体"/>
          <w:spacing w:val="-1"/>
          <w:sz w:val="24"/>
          <w:szCs w:val="24"/>
        </w:rPr>
        <w:t>地下水环境水质分析方法一览表</w:t>
      </w:r>
    </w:p>
    <w:p w14:paraId="512E6FB3">
      <w:pPr>
        <w:spacing w:line="147" w:lineRule="exact"/>
      </w:pPr>
    </w:p>
    <w:tbl>
      <w:tblPr>
        <w:tblStyle w:val="5"/>
        <w:tblW w:w="87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159"/>
        <w:gridCol w:w="3893"/>
        <w:gridCol w:w="794"/>
        <w:gridCol w:w="1475"/>
        <w:gridCol w:w="853"/>
      </w:tblGrid>
      <w:tr w14:paraId="52569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27" w:type="dxa"/>
            <w:textDirection w:val="tbRlV"/>
            <w:vAlign w:val="top"/>
          </w:tcPr>
          <w:p w14:paraId="092ECDF6">
            <w:pPr>
              <w:pStyle w:val="6"/>
              <w:spacing w:before="157" w:line="218" w:lineRule="auto"/>
              <w:ind w:left="55"/>
            </w:pPr>
            <w:r>
              <w:rPr>
                <w:spacing w:val="6"/>
              </w:rPr>
              <w:t>序 号</w:t>
            </w:r>
          </w:p>
        </w:tc>
        <w:tc>
          <w:tcPr>
            <w:tcW w:w="1159" w:type="dxa"/>
            <w:vAlign w:val="top"/>
          </w:tcPr>
          <w:p w14:paraId="3BA48B11">
            <w:pPr>
              <w:pStyle w:val="6"/>
              <w:spacing w:before="211" w:line="228" w:lineRule="auto"/>
              <w:ind w:left="164"/>
            </w:pPr>
            <w:r>
              <w:rPr>
                <w:spacing w:val="7"/>
              </w:rPr>
              <w:t>检测项目</w:t>
            </w:r>
          </w:p>
        </w:tc>
        <w:tc>
          <w:tcPr>
            <w:tcW w:w="3893" w:type="dxa"/>
            <w:vAlign w:val="top"/>
          </w:tcPr>
          <w:p w14:paraId="0F69618C">
            <w:pPr>
              <w:pStyle w:val="6"/>
              <w:spacing w:before="211" w:line="228" w:lineRule="auto"/>
              <w:ind w:left="1218"/>
            </w:pPr>
            <w:r>
              <w:rPr>
                <w:spacing w:val="8"/>
              </w:rPr>
              <w:t>方法名称及来源</w:t>
            </w:r>
          </w:p>
        </w:tc>
        <w:tc>
          <w:tcPr>
            <w:tcW w:w="794" w:type="dxa"/>
            <w:vAlign w:val="top"/>
          </w:tcPr>
          <w:p w14:paraId="2F1F5BEB">
            <w:pPr>
              <w:pStyle w:val="6"/>
              <w:spacing w:before="55" w:line="262" w:lineRule="auto"/>
              <w:ind w:left="312" w:right="186" w:hanging="120"/>
            </w:pPr>
            <w:r>
              <w:rPr>
                <w:spacing w:val="4"/>
              </w:rPr>
              <w:t>检出</w:t>
            </w:r>
            <w:r>
              <w:t xml:space="preserve"> 限</w:t>
            </w:r>
          </w:p>
        </w:tc>
        <w:tc>
          <w:tcPr>
            <w:tcW w:w="1475" w:type="dxa"/>
            <w:vAlign w:val="top"/>
          </w:tcPr>
          <w:p w14:paraId="0C6B46B9">
            <w:pPr>
              <w:pStyle w:val="6"/>
              <w:spacing w:before="55" w:line="228" w:lineRule="auto"/>
              <w:ind w:left="114"/>
            </w:pPr>
            <w:r>
              <w:rPr>
                <w:spacing w:val="8"/>
              </w:rPr>
              <w:t>仪器设备名称</w:t>
            </w:r>
          </w:p>
          <w:p w14:paraId="4AA637CD">
            <w:pPr>
              <w:pStyle w:val="6"/>
              <w:spacing w:before="65" w:line="229" w:lineRule="auto"/>
              <w:ind w:left="497"/>
            </w:pPr>
            <w:r>
              <w:rPr>
                <w:rFonts w:ascii="Times New Roman" w:hAnsi="Times New Roman" w:eastAsia="Times New Roman" w:cs="Times New Roman"/>
                <w:spacing w:val="6"/>
              </w:rPr>
              <w:t>/</w:t>
            </w:r>
            <w:r>
              <w:rPr>
                <w:spacing w:val="6"/>
              </w:rPr>
              <w:t>型号</w:t>
            </w:r>
          </w:p>
        </w:tc>
        <w:tc>
          <w:tcPr>
            <w:tcW w:w="853" w:type="dxa"/>
            <w:vAlign w:val="top"/>
          </w:tcPr>
          <w:p w14:paraId="045302C1">
            <w:pPr>
              <w:pStyle w:val="6"/>
              <w:spacing w:before="55" w:line="228" w:lineRule="auto"/>
              <w:ind w:left="118"/>
            </w:pPr>
            <w:r>
              <w:rPr>
                <w:spacing w:val="6"/>
              </w:rPr>
              <w:t>仪器管</w:t>
            </w:r>
          </w:p>
          <w:p w14:paraId="7DC8F0C6">
            <w:pPr>
              <w:pStyle w:val="6"/>
              <w:spacing w:before="64" w:line="228" w:lineRule="auto"/>
              <w:ind w:left="120"/>
            </w:pPr>
            <w:r>
              <w:rPr>
                <w:spacing w:val="6"/>
              </w:rPr>
              <w:t>理编号</w:t>
            </w:r>
          </w:p>
        </w:tc>
      </w:tr>
      <w:tr w14:paraId="0104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7" w:type="dxa"/>
            <w:vAlign w:val="top"/>
          </w:tcPr>
          <w:p w14:paraId="580D4FAA">
            <w:pPr>
              <w:spacing w:before="24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9" w:type="dxa"/>
            <w:vAlign w:val="top"/>
          </w:tcPr>
          <w:p w14:paraId="0DF3DC45">
            <w:pPr>
              <w:spacing w:before="248" w:line="194"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893" w:type="dxa"/>
            <w:vAlign w:val="top"/>
          </w:tcPr>
          <w:p w14:paraId="464446C0">
            <w:pPr>
              <w:pStyle w:val="6"/>
              <w:spacing w:before="53" w:line="221" w:lineRule="auto"/>
              <w:ind w:left="320"/>
              <w:rPr>
                <w:rFonts w:ascii="Times New Roman" w:hAnsi="Times New Roman" w:eastAsia="Times New Roman" w:cs="Times New Roman"/>
              </w:rPr>
            </w:pPr>
            <w:r>
              <w:rPr>
                <w:spacing w:val="7"/>
              </w:rPr>
              <w:t xml:space="preserve">《水质 </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值的测定</w:t>
            </w:r>
            <w:r>
              <w:rPr>
                <w:spacing w:val="41"/>
              </w:rPr>
              <w:t xml:space="preserve"> </w:t>
            </w:r>
            <w:r>
              <w:rPr>
                <w:spacing w:val="7"/>
              </w:rPr>
              <w:t>电极法》（</w:t>
            </w:r>
            <w:r>
              <w:rPr>
                <w:rFonts w:ascii="Times New Roman" w:hAnsi="Times New Roman" w:eastAsia="Times New Roman" w:cs="Times New Roman"/>
              </w:rPr>
              <w:t>HJ</w:t>
            </w:r>
          </w:p>
          <w:p w14:paraId="5AA17913">
            <w:pPr>
              <w:pStyle w:val="6"/>
              <w:spacing w:before="72" w:line="233" w:lineRule="auto"/>
              <w:ind w:left="1411"/>
            </w:pPr>
            <w:r>
              <w:rPr>
                <w:rFonts w:ascii="Times New Roman" w:hAnsi="Times New Roman" w:eastAsia="Times New Roman" w:cs="Times New Roman"/>
                <w:spacing w:val="1"/>
              </w:rPr>
              <w:t>1147-2020</w:t>
            </w:r>
            <w:r>
              <w:rPr>
                <w:spacing w:val="1"/>
              </w:rPr>
              <w:t>）</w:t>
            </w:r>
          </w:p>
        </w:tc>
        <w:tc>
          <w:tcPr>
            <w:tcW w:w="794" w:type="dxa"/>
            <w:vAlign w:val="top"/>
          </w:tcPr>
          <w:p w14:paraId="493ACEB0">
            <w:pPr>
              <w:tabs>
                <w:tab w:val="left" w:pos="499"/>
              </w:tabs>
              <w:spacing w:before="115"/>
              <w:ind w:left="296"/>
              <w:rPr>
                <w:rFonts w:ascii="Arial"/>
                <w:sz w:val="21"/>
              </w:rPr>
            </w:pPr>
            <w:r>
              <w:rPr>
                <w:rFonts w:ascii="Arial" w:hAnsi="Arial" w:eastAsia="Arial" w:cs="Arial"/>
                <w:sz w:val="21"/>
                <w:szCs w:val="21"/>
                <w:u w:val="single" w:color="auto"/>
              </w:rPr>
              <w:tab/>
            </w:r>
          </w:p>
        </w:tc>
        <w:tc>
          <w:tcPr>
            <w:tcW w:w="1475" w:type="dxa"/>
            <w:vAlign w:val="top"/>
          </w:tcPr>
          <w:p w14:paraId="2D21B48D">
            <w:pPr>
              <w:pStyle w:val="6"/>
              <w:spacing w:before="53" w:line="227" w:lineRule="auto"/>
              <w:ind w:left="114"/>
            </w:pPr>
            <w:r>
              <w:rPr>
                <w:spacing w:val="8"/>
              </w:rPr>
              <w:t>便携式酸度计</w:t>
            </w:r>
          </w:p>
          <w:p w14:paraId="10740A51">
            <w:pPr>
              <w:spacing w:before="98" w:line="201"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850</w:t>
            </w:r>
          </w:p>
        </w:tc>
        <w:tc>
          <w:tcPr>
            <w:tcW w:w="853" w:type="dxa"/>
            <w:vAlign w:val="top"/>
          </w:tcPr>
          <w:p w14:paraId="1AF2B411">
            <w:pPr>
              <w:spacing w:before="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21F436C">
            <w:pPr>
              <w:spacing w:before="125"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23-J</w:t>
            </w:r>
          </w:p>
        </w:tc>
      </w:tr>
      <w:tr w14:paraId="0BDA7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27" w:type="dxa"/>
            <w:vAlign w:val="top"/>
          </w:tcPr>
          <w:p w14:paraId="79C2BCD2">
            <w:pPr>
              <w:spacing w:before="246"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9" w:type="dxa"/>
            <w:vAlign w:val="top"/>
          </w:tcPr>
          <w:p w14:paraId="4D0219E0">
            <w:pPr>
              <w:pStyle w:val="6"/>
              <w:spacing w:before="210" w:line="228" w:lineRule="auto"/>
              <w:ind w:left="275"/>
            </w:pPr>
            <w:r>
              <w:rPr>
                <w:spacing w:val="5"/>
              </w:rPr>
              <w:t>总硬度</w:t>
            </w:r>
          </w:p>
        </w:tc>
        <w:tc>
          <w:tcPr>
            <w:tcW w:w="3893" w:type="dxa"/>
            <w:vAlign w:val="top"/>
          </w:tcPr>
          <w:p w14:paraId="4C631946">
            <w:pPr>
              <w:pStyle w:val="6"/>
              <w:spacing w:before="53" w:line="228" w:lineRule="auto"/>
              <w:ind w:right="10"/>
              <w:jc w:val="right"/>
            </w:pPr>
            <w:r>
              <w:rPr>
                <w:spacing w:val="7"/>
              </w:rPr>
              <w:t>《水质钙和镁总量的测定</w:t>
            </w:r>
            <w:r>
              <w:rPr>
                <w:spacing w:val="-39"/>
              </w:rPr>
              <w:t xml:space="preserve"> </w:t>
            </w:r>
            <w:r>
              <w:rPr>
                <w:rFonts w:ascii="Times New Roman" w:hAnsi="Times New Roman" w:eastAsia="Times New Roman" w:cs="Times New Roman"/>
              </w:rPr>
              <w:t>EDTA</w:t>
            </w:r>
            <w:r>
              <w:rPr>
                <w:rFonts w:ascii="Times New Roman" w:hAnsi="Times New Roman" w:eastAsia="Times New Roman" w:cs="Times New Roman"/>
                <w:spacing w:val="7"/>
              </w:rPr>
              <w:t xml:space="preserve"> </w:t>
            </w:r>
            <w:r>
              <w:rPr>
                <w:spacing w:val="7"/>
              </w:rPr>
              <w:t>滴定法》</w:t>
            </w:r>
          </w:p>
          <w:p w14:paraId="49627B1F">
            <w:pPr>
              <w:pStyle w:val="6"/>
              <w:spacing w:before="64" w:line="233" w:lineRule="auto"/>
              <w:ind w:left="1124"/>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 7477-1987</w:t>
            </w:r>
            <w:r>
              <w:rPr>
                <w:spacing w:val="4"/>
              </w:rPr>
              <w:t>）</w:t>
            </w:r>
          </w:p>
        </w:tc>
        <w:tc>
          <w:tcPr>
            <w:tcW w:w="794" w:type="dxa"/>
            <w:vAlign w:val="top"/>
          </w:tcPr>
          <w:p w14:paraId="4628AFE6">
            <w:pPr>
              <w:spacing w:before="242" w:line="201"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1475" w:type="dxa"/>
            <w:vAlign w:val="top"/>
          </w:tcPr>
          <w:p w14:paraId="658208BF">
            <w:pPr>
              <w:pStyle w:val="6"/>
              <w:spacing w:before="209" w:line="228" w:lineRule="auto"/>
              <w:ind w:left="432"/>
            </w:pPr>
            <w:r>
              <w:rPr>
                <w:spacing w:val="6"/>
              </w:rPr>
              <w:t>滴定管</w:t>
            </w:r>
          </w:p>
        </w:tc>
        <w:tc>
          <w:tcPr>
            <w:tcW w:w="853" w:type="dxa"/>
            <w:vAlign w:val="top"/>
          </w:tcPr>
          <w:p w14:paraId="4B24CB14">
            <w:pPr>
              <w:spacing w:line="242" w:lineRule="auto"/>
              <w:rPr>
                <w:rFonts w:ascii="Arial"/>
                <w:sz w:val="21"/>
              </w:rPr>
            </w:pPr>
          </w:p>
          <w:p w14:paraId="4B0A3F8D">
            <w:pPr>
              <w:pStyle w:val="6"/>
              <w:spacing w:before="65" w:line="136" w:lineRule="exact"/>
              <w:ind w:left="324"/>
            </w:pPr>
            <w:r>
              <w:rPr>
                <w:spacing w:val="2"/>
                <w:position w:val="-3"/>
              </w:rPr>
              <w:t>—</w:t>
            </w:r>
          </w:p>
        </w:tc>
      </w:tr>
      <w:tr w14:paraId="237DA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6CC4C55A">
            <w:pPr>
              <w:spacing w:line="342" w:lineRule="auto"/>
              <w:rPr>
                <w:rFonts w:ascii="Arial"/>
                <w:sz w:val="21"/>
              </w:rPr>
            </w:pPr>
          </w:p>
          <w:p w14:paraId="139012EB">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59" w:type="dxa"/>
            <w:vAlign w:val="top"/>
          </w:tcPr>
          <w:p w14:paraId="1C4B0982">
            <w:pPr>
              <w:pStyle w:val="6"/>
              <w:spacing w:before="211" w:line="228" w:lineRule="auto"/>
              <w:ind w:left="166"/>
            </w:pPr>
            <w:r>
              <w:rPr>
                <w:spacing w:val="6"/>
              </w:rPr>
              <w:t>溶解性总</w:t>
            </w:r>
          </w:p>
          <w:p w14:paraId="3EDEF5A9">
            <w:pPr>
              <w:pStyle w:val="6"/>
              <w:spacing w:before="64" w:line="228" w:lineRule="auto"/>
              <w:ind w:left="390"/>
            </w:pPr>
            <w:r>
              <w:rPr>
                <w:spacing w:val="-5"/>
              </w:rPr>
              <w:t>固体</w:t>
            </w:r>
          </w:p>
        </w:tc>
        <w:tc>
          <w:tcPr>
            <w:tcW w:w="3893" w:type="dxa"/>
            <w:vAlign w:val="top"/>
          </w:tcPr>
          <w:p w14:paraId="36F84E04">
            <w:pPr>
              <w:pStyle w:val="6"/>
              <w:spacing w:before="54" w:line="228" w:lineRule="auto"/>
              <w:ind w:left="119"/>
            </w:pPr>
            <w:r>
              <w:rPr>
                <w:spacing w:val="8"/>
              </w:rPr>
              <w:t>《生活饮用水标准检验方法 感官性状和</w:t>
            </w:r>
          </w:p>
          <w:p w14:paraId="7D367CD5">
            <w:pPr>
              <w:pStyle w:val="6"/>
              <w:spacing w:before="65" w:line="221" w:lineRule="auto"/>
              <w:ind w:left="113"/>
            </w:pPr>
            <w:r>
              <w:rPr>
                <w:spacing w:val="4"/>
              </w:rPr>
              <w:t>物理指》</w:t>
            </w:r>
            <w:r>
              <w:rPr>
                <w:rFonts w:ascii="Times New Roman" w:hAnsi="Times New Roman" w:eastAsia="Times New Roman" w:cs="Times New Roman"/>
                <w:spacing w:val="4"/>
              </w:rPr>
              <w:t>(</w:t>
            </w:r>
            <w:r>
              <w:rPr>
                <w:rFonts w:ascii="Times New Roman" w:hAnsi="Times New Roman" w:eastAsia="Times New Roman" w:cs="Times New Roman"/>
              </w:rPr>
              <w:t>GB</w:t>
            </w:r>
            <w:r>
              <w:rPr>
                <w:rFonts w:ascii="Times New Roman" w:hAnsi="Times New Roman" w:eastAsia="Times New Roman" w:cs="Times New Roman"/>
                <w:spacing w:val="4"/>
              </w:rPr>
              <w:t xml:space="preserve">/T 5750.4-2006)  </w:t>
            </w:r>
            <w:r>
              <w:rPr>
                <w:spacing w:val="4"/>
              </w:rPr>
              <w:t>（</w:t>
            </w:r>
            <w:r>
              <w:rPr>
                <w:rFonts w:ascii="Times New Roman" w:hAnsi="Times New Roman" w:eastAsia="Times New Roman" w:cs="Times New Roman"/>
                <w:spacing w:val="4"/>
              </w:rPr>
              <w:t>8.</w:t>
            </w:r>
            <w:r>
              <w:rPr>
                <w:rFonts w:ascii="Times New Roman" w:hAnsi="Times New Roman" w:eastAsia="Times New Roman" w:cs="Times New Roman"/>
                <w:spacing w:val="-10"/>
              </w:rPr>
              <w:t xml:space="preserve"> </w:t>
            </w:r>
            <w:r>
              <w:rPr>
                <w:rFonts w:ascii="Times New Roman" w:hAnsi="Times New Roman" w:eastAsia="Times New Roman" w:cs="Times New Roman"/>
                <w:spacing w:val="4"/>
              </w:rPr>
              <w:t xml:space="preserve">1  </w:t>
            </w:r>
            <w:r>
              <w:rPr>
                <w:spacing w:val="4"/>
              </w:rPr>
              <w:t>溶解</w:t>
            </w:r>
          </w:p>
          <w:p w14:paraId="423D732F">
            <w:pPr>
              <w:pStyle w:val="6"/>
              <w:spacing w:before="72" w:line="228" w:lineRule="auto"/>
              <w:ind w:left="1062"/>
            </w:pPr>
            <w:r>
              <w:rPr>
                <w:spacing w:val="7"/>
              </w:rPr>
              <w:t>性总固体 称重法）</w:t>
            </w:r>
          </w:p>
        </w:tc>
        <w:tc>
          <w:tcPr>
            <w:tcW w:w="794" w:type="dxa"/>
            <w:vAlign w:val="top"/>
          </w:tcPr>
          <w:p w14:paraId="2A361CEE">
            <w:pPr>
              <w:tabs>
                <w:tab w:val="left" w:pos="499"/>
              </w:tabs>
              <w:spacing w:before="272"/>
              <w:ind w:left="296"/>
              <w:rPr>
                <w:rFonts w:ascii="Arial"/>
                <w:sz w:val="21"/>
              </w:rPr>
            </w:pPr>
            <w:r>
              <w:rPr>
                <w:rFonts w:ascii="Arial" w:hAnsi="Arial" w:eastAsia="Arial" w:cs="Arial"/>
                <w:sz w:val="21"/>
                <w:szCs w:val="21"/>
                <w:u w:val="single" w:color="auto"/>
              </w:rPr>
              <w:tab/>
            </w:r>
          </w:p>
        </w:tc>
        <w:tc>
          <w:tcPr>
            <w:tcW w:w="1475" w:type="dxa"/>
            <w:vAlign w:val="top"/>
          </w:tcPr>
          <w:p w14:paraId="0B35CEEC">
            <w:pPr>
              <w:pStyle w:val="6"/>
              <w:spacing w:before="55" w:line="228" w:lineRule="auto"/>
              <w:ind w:left="349"/>
            </w:pPr>
            <w:r>
              <w:rPr>
                <w:spacing w:val="1"/>
              </w:rPr>
              <w:t>电子天平</w:t>
            </w:r>
          </w:p>
          <w:p w14:paraId="39DBD270">
            <w:pPr>
              <w:pStyle w:val="6"/>
              <w:spacing w:before="64" w:line="228" w:lineRule="auto"/>
              <w:ind w:left="330"/>
            </w:pPr>
            <w:r>
              <w:rPr>
                <w:spacing w:val="6"/>
              </w:rPr>
              <w:t>万分之一</w:t>
            </w:r>
          </w:p>
          <w:p w14:paraId="2BB3F611">
            <w:pPr>
              <w:spacing w:before="96" w:line="199"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FA</w:t>
            </w:r>
            <w:r>
              <w:rPr>
                <w:rFonts w:ascii="Times New Roman" w:hAnsi="Times New Roman" w:eastAsia="Times New Roman" w:cs="Times New Roman"/>
                <w:spacing w:val="4"/>
                <w:sz w:val="20"/>
                <w:szCs w:val="20"/>
              </w:rPr>
              <w:t>2004B</w:t>
            </w:r>
          </w:p>
        </w:tc>
        <w:tc>
          <w:tcPr>
            <w:tcW w:w="853" w:type="dxa"/>
            <w:vAlign w:val="top"/>
          </w:tcPr>
          <w:p w14:paraId="3EB47294">
            <w:pPr>
              <w:spacing w:before="246"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6A4FFDA">
            <w:pPr>
              <w:spacing w:before="12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11-A</w:t>
            </w:r>
          </w:p>
        </w:tc>
      </w:tr>
      <w:tr w14:paraId="09CC5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5010B632">
            <w:pPr>
              <w:spacing w:line="343" w:lineRule="auto"/>
              <w:rPr>
                <w:rFonts w:ascii="Arial"/>
                <w:sz w:val="21"/>
              </w:rPr>
            </w:pPr>
          </w:p>
          <w:p w14:paraId="3A61B916">
            <w:pPr>
              <w:spacing w:before="5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59" w:type="dxa"/>
            <w:vAlign w:val="top"/>
          </w:tcPr>
          <w:p w14:paraId="4A707E91">
            <w:pPr>
              <w:spacing w:line="300" w:lineRule="auto"/>
              <w:rPr>
                <w:rFonts w:ascii="Arial"/>
                <w:sz w:val="21"/>
              </w:rPr>
            </w:pPr>
          </w:p>
          <w:p w14:paraId="5077AB01">
            <w:pPr>
              <w:pStyle w:val="6"/>
              <w:spacing w:before="65" w:line="229" w:lineRule="auto"/>
              <w:ind w:left="477"/>
            </w:pPr>
            <w:r>
              <w:rPr>
                <w:spacing w:val="1"/>
              </w:rPr>
              <w:t>铁</w:t>
            </w:r>
          </w:p>
        </w:tc>
        <w:tc>
          <w:tcPr>
            <w:tcW w:w="3893" w:type="dxa"/>
            <w:vAlign w:val="top"/>
          </w:tcPr>
          <w:p w14:paraId="5AC7FBF4">
            <w:pPr>
              <w:pStyle w:val="6"/>
              <w:spacing w:before="210" w:line="228" w:lineRule="auto"/>
              <w:ind w:left="119"/>
            </w:pPr>
            <w:r>
              <w:rPr>
                <w:spacing w:val="3"/>
              </w:rPr>
              <w:t>《水质铁、锰的测定火焰原子吸收分光光</w:t>
            </w:r>
          </w:p>
          <w:p w14:paraId="1BC327CD">
            <w:pPr>
              <w:pStyle w:val="6"/>
              <w:spacing w:before="65" w:line="228" w:lineRule="auto"/>
              <w:ind w:left="859"/>
            </w:pPr>
            <w:r>
              <w:rPr>
                <w:spacing w:val="3"/>
              </w:rPr>
              <w:t>度法》（</w:t>
            </w:r>
            <w:r>
              <w:rPr>
                <w:rFonts w:ascii="Times New Roman" w:hAnsi="Times New Roman" w:eastAsia="Times New Roman" w:cs="Times New Roman"/>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3"/>
              </w:rPr>
              <w:t>11911-89</w:t>
            </w:r>
            <w:r>
              <w:rPr>
                <w:spacing w:val="3"/>
              </w:rPr>
              <w:t>）</w:t>
            </w:r>
          </w:p>
        </w:tc>
        <w:tc>
          <w:tcPr>
            <w:tcW w:w="794" w:type="dxa"/>
            <w:vAlign w:val="top"/>
          </w:tcPr>
          <w:p w14:paraId="2932BB63">
            <w:pPr>
              <w:spacing w:before="24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6B7D416E">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1C0004B">
            <w:pPr>
              <w:pStyle w:val="6"/>
              <w:spacing w:before="54" w:line="228" w:lineRule="auto"/>
              <w:ind w:left="119"/>
            </w:pPr>
            <w:r>
              <w:rPr>
                <w:spacing w:val="7"/>
              </w:rPr>
              <w:t>原子吸收分光</w:t>
            </w:r>
          </w:p>
          <w:p w14:paraId="6723514D">
            <w:pPr>
              <w:pStyle w:val="6"/>
              <w:spacing w:before="64" w:line="228" w:lineRule="auto"/>
              <w:ind w:left="432"/>
            </w:pPr>
            <w:r>
              <w:rPr>
                <w:spacing w:val="6"/>
              </w:rPr>
              <w:t>光度计</w:t>
            </w:r>
          </w:p>
          <w:p w14:paraId="279E492A">
            <w:pPr>
              <w:spacing w:before="97" w:line="199"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3" w:type="dxa"/>
            <w:vAlign w:val="top"/>
          </w:tcPr>
          <w:p w14:paraId="6908B27A">
            <w:pPr>
              <w:spacing w:before="24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25D02E3">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26C6D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27" w:type="dxa"/>
            <w:vAlign w:val="top"/>
          </w:tcPr>
          <w:p w14:paraId="79D51F9A">
            <w:pPr>
              <w:spacing w:line="346" w:lineRule="auto"/>
              <w:rPr>
                <w:rFonts w:ascii="Arial"/>
                <w:sz w:val="21"/>
              </w:rPr>
            </w:pPr>
          </w:p>
          <w:p w14:paraId="2B581AF5">
            <w:pPr>
              <w:spacing w:before="58" w:line="192"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59" w:type="dxa"/>
            <w:vAlign w:val="top"/>
          </w:tcPr>
          <w:p w14:paraId="662C4279">
            <w:pPr>
              <w:spacing w:line="301" w:lineRule="auto"/>
              <w:rPr>
                <w:rFonts w:ascii="Arial"/>
                <w:sz w:val="21"/>
              </w:rPr>
            </w:pPr>
          </w:p>
          <w:p w14:paraId="2FDBB321">
            <w:pPr>
              <w:pStyle w:val="6"/>
              <w:spacing w:before="65" w:line="234" w:lineRule="auto"/>
              <w:ind w:left="478"/>
            </w:pPr>
            <w:r>
              <w:t>锰</w:t>
            </w:r>
          </w:p>
        </w:tc>
        <w:tc>
          <w:tcPr>
            <w:tcW w:w="3893" w:type="dxa"/>
            <w:vAlign w:val="top"/>
          </w:tcPr>
          <w:p w14:paraId="2D4DBB63">
            <w:pPr>
              <w:pStyle w:val="6"/>
              <w:spacing w:before="211" w:line="228" w:lineRule="auto"/>
              <w:ind w:left="119"/>
            </w:pPr>
            <w:r>
              <w:rPr>
                <w:spacing w:val="3"/>
              </w:rPr>
              <w:t>《水质铁、锰的测定火焰原子吸收分光光</w:t>
            </w:r>
          </w:p>
          <w:p w14:paraId="017702FF">
            <w:pPr>
              <w:pStyle w:val="6"/>
              <w:spacing w:before="65" w:line="228" w:lineRule="auto"/>
              <w:ind w:left="859"/>
            </w:pPr>
            <w:r>
              <w:rPr>
                <w:spacing w:val="3"/>
              </w:rPr>
              <w:t>度法》（</w:t>
            </w:r>
            <w:r>
              <w:rPr>
                <w:rFonts w:ascii="Times New Roman" w:hAnsi="Times New Roman" w:eastAsia="Times New Roman" w:cs="Times New Roman"/>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3"/>
              </w:rPr>
              <w:t>11911-89</w:t>
            </w:r>
            <w:r>
              <w:rPr>
                <w:spacing w:val="3"/>
              </w:rPr>
              <w:t>）</w:t>
            </w:r>
          </w:p>
        </w:tc>
        <w:tc>
          <w:tcPr>
            <w:tcW w:w="794" w:type="dxa"/>
            <w:vAlign w:val="top"/>
          </w:tcPr>
          <w:p w14:paraId="6433E5ED">
            <w:pPr>
              <w:spacing w:before="24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3C0B052">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52C320F5">
            <w:pPr>
              <w:pStyle w:val="6"/>
              <w:spacing w:before="55" w:line="228" w:lineRule="auto"/>
              <w:ind w:left="119"/>
            </w:pPr>
            <w:r>
              <w:rPr>
                <w:spacing w:val="7"/>
              </w:rPr>
              <w:t>原子吸收分光</w:t>
            </w:r>
          </w:p>
          <w:p w14:paraId="144AEE49">
            <w:pPr>
              <w:pStyle w:val="6"/>
              <w:spacing w:before="64" w:line="228" w:lineRule="auto"/>
              <w:ind w:left="432"/>
            </w:pPr>
            <w:r>
              <w:rPr>
                <w:spacing w:val="6"/>
              </w:rPr>
              <w:t>光度计</w:t>
            </w:r>
          </w:p>
          <w:p w14:paraId="3F03B2A0">
            <w:pPr>
              <w:spacing w:before="97" w:line="199"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3" w:type="dxa"/>
            <w:vAlign w:val="top"/>
          </w:tcPr>
          <w:p w14:paraId="4AB22AB1">
            <w:pPr>
              <w:spacing w:before="24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1793E9BF">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bl>
    <w:p w14:paraId="25D19847">
      <w:pPr>
        <w:pStyle w:val="2"/>
      </w:pPr>
    </w:p>
    <w:p w14:paraId="63FE385E">
      <w:pPr>
        <w:sectPr>
          <w:headerReference r:id="rId191" w:type="default"/>
          <w:footerReference r:id="rId192" w:type="default"/>
          <w:pgSz w:w="11906" w:h="16839"/>
          <w:pgMar w:top="1208" w:right="1600" w:bottom="957" w:left="1599" w:header="825" w:footer="795" w:gutter="0"/>
          <w:cols w:space="720" w:num="1"/>
        </w:sectPr>
      </w:pPr>
    </w:p>
    <w:p w14:paraId="4ED93B81">
      <w:pPr>
        <w:spacing w:line="231" w:lineRule="exact"/>
      </w:pPr>
    </w:p>
    <w:tbl>
      <w:tblPr>
        <w:tblStyle w:val="5"/>
        <w:tblW w:w="87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159"/>
        <w:gridCol w:w="3893"/>
        <w:gridCol w:w="794"/>
        <w:gridCol w:w="1475"/>
        <w:gridCol w:w="853"/>
      </w:tblGrid>
      <w:tr w14:paraId="794EF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27" w:type="dxa"/>
            <w:vAlign w:val="top"/>
          </w:tcPr>
          <w:p w14:paraId="748718C7">
            <w:pPr>
              <w:spacing w:line="344" w:lineRule="auto"/>
              <w:rPr>
                <w:rFonts w:ascii="Arial"/>
                <w:sz w:val="21"/>
              </w:rPr>
            </w:pPr>
          </w:p>
          <w:p w14:paraId="158EA1EE">
            <w:pPr>
              <w:spacing w:before="5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59" w:type="dxa"/>
            <w:vAlign w:val="top"/>
          </w:tcPr>
          <w:p w14:paraId="125F663D">
            <w:pPr>
              <w:spacing w:line="301" w:lineRule="auto"/>
              <w:rPr>
                <w:rFonts w:ascii="Arial"/>
                <w:sz w:val="21"/>
              </w:rPr>
            </w:pPr>
          </w:p>
          <w:p w14:paraId="5B6598FA">
            <w:pPr>
              <w:pStyle w:val="6"/>
              <w:spacing w:before="65" w:line="228" w:lineRule="auto"/>
              <w:ind w:left="477"/>
            </w:pPr>
            <w:r>
              <w:rPr>
                <w:spacing w:val="1"/>
              </w:rPr>
              <w:t>锌</w:t>
            </w:r>
          </w:p>
        </w:tc>
        <w:tc>
          <w:tcPr>
            <w:tcW w:w="3893" w:type="dxa"/>
            <w:vAlign w:val="top"/>
          </w:tcPr>
          <w:p w14:paraId="67FE0767">
            <w:pPr>
              <w:pStyle w:val="6"/>
              <w:spacing w:before="212" w:line="228" w:lineRule="auto"/>
              <w:ind w:left="119"/>
            </w:pPr>
            <w:r>
              <w:rPr>
                <w:spacing w:val="3"/>
              </w:rPr>
              <w:t>《水质 铜、锌、铅、镉的测定 原子吸收</w:t>
            </w:r>
          </w:p>
          <w:p w14:paraId="3876B6B8">
            <w:pPr>
              <w:pStyle w:val="6"/>
              <w:spacing w:before="65" w:line="228" w:lineRule="auto"/>
              <w:ind w:left="591"/>
            </w:pPr>
            <w:r>
              <w:rPr>
                <w:spacing w:val="6"/>
              </w:rPr>
              <w:t>分光光度法》（</w:t>
            </w:r>
            <w:r>
              <w:rPr>
                <w:rFonts w:ascii="Times New Roman" w:hAnsi="Times New Roman" w:eastAsia="Times New Roman" w:cs="Times New Roman"/>
              </w:rPr>
              <w:t>GB</w:t>
            </w:r>
            <w:r>
              <w:rPr>
                <w:rFonts w:ascii="Times New Roman" w:hAnsi="Times New Roman" w:eastAsia="Times New Roman" w:cs="Times New Roman"/>
                <w:spacing w:val="6"/>
              </w:rPr>
              <w:t xml:space="preserve"> 7475-87</w:t>
            </w:r>
            <w:r>
              <w:rPr>
                <w:spacing w:val="6"/>
              </w:rPr>
              <w:t>）</w:t>
            </w:r>
          </w:p>
        </w:tc>
        <w:tc>
          <w:tcPr>
            <w:tcW w:w="794" w:type="dxa"/>
            <w:vAlign w:val="top"/>
          </w:tcPr>
          <w:p w14:paraId="7A03C901">
            <w:pPr>
              <w:spacing w:before="24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444ABB3B">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4D0C511">
            <w:pPr>
              <w:pStyle w:val="6"/>
              <w:spacing w:before="56" w:line="228" w:lineRule="auto"/>
              <w:ind w:left="119"/>
            </w:pPr>
            <w:r>
              <w:rPr>
                <w:spacing w:val="7"/>
              </w:rPr>
              <w:t>原子吸收分光</w:t>
            </w:r>
          </w:p>
          <w:p w14:paraId="18D18161">
            <w:pPr>
              <w:pStyle w:val="6"/>
              <w:spacing w:before="65" w:line="228" w:lineRule="auto"/>
              <w:ind w:left="432"/>
            </w:pPr>
            <w:r>
              <w:rPr>
                <w:spacing w:val="6"/>
              </w:rPr>
              <w:t>光度计</w:t>
            </w:r>
          </w:p>
          <w:p w14:paraId="3141D513">
            <w:pPr>
              <w:spacing w:before="97" w:line="199"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853" w:type="dxa"/>
            <w:vAlign w:val="top"/>
          </w:tcPr>
          <w:p w14:paraId="1A5FFB44">
            <w:pPr>
              <w:spacing w:before="24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A323F41">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20-B</w:t>
            </w:r>
          </w:p>
        </w:tc>
      </w:tr>
      <w:tr w14:paraId="03656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4341A357">
            <w:pPr>
              <w:spacing w:line="343" w:lineRule="auto"/>
              <w:rPr>
                <w:rFonts w:ascii="Arial"/>
                <w:sz w:val="21"/>
              </w:rPr>
            </w:pPr>
          </w:p>
          <w:p w14:paraId="55623EF2">
            <w:pPr>
              <w:spacing w:before="57" w:line="192"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59" w:type="dxa"/>
            <w:vAlign w:val="top"/>
          </w:tcPr>
          <w:p w14:paraId="6C08D944">
            <w:pPr>
              <w:spacing w:line="297" w:lineRule="auto"/>
              <w:rPr>
                <w:rFonts w:ascii="Arial"/>
                <w:sz w:val="21"/>
              </w:rPr>
            </w:pPr>
          </w:p>
          <w:p w14:paraId="74813118">
            <w:pPr>
              <w:pStyle w:val="6"/>
              <w:spacing w:before="65" w:line="228" w:lineRule="auto"/>
              <w:ind w:left="268"/>
            </w:pPr>
            <w:r>
              <w:rPr>
                <w:spacing w:val="7"/>
              </w:rPr>
              <w:t>挥发酚</w:t>
            </w:r>
          </w:p>
        </w:tc>
        <w:tc>
          <w:tcPr>
            <w:tcW w:w="3893" w:type="dxa"/>
            <w:vAlign w:val="top"/>
          </w:tcPr>
          <w:p w14:paraId="134D90AD">
            <w:pPr>
              <w:pStyle w:val="6"/>
              <w:spacing w:before="51" w:line="228" w:lineRule="auto"/>
              <w:ind w:left="191"/>
            </w:pPr>
            <w:r>
              <w:rPr>
                <w:spacing w:val="7"/>
              </w:rPr>
              <w:t xml:space="preserve">《水质 挥发酚的测定 </w:t>
            </w:r>
            <w:r>
              <w:rPr>
                <w:rFonts w:ascii="Times New Roman" w:hAnsi="Times New Roman" w:eastAsia="Times New Roman" w:cs="Times New Roman"/>
                <w:spacing w:val="7"/>
              </w:rPr>
              <w:t>4-</w:t>
            </w:r>
            <w:r>
              <w:rPr>
                <w:spacing w:val="7"/>
              </w:rPr>
              <w:t>氨基安替比林</w:t>
            </w:r>
          </w:p>
          <w:p w14:paraId="617326C5">
            <w:pPr>
              <w:pStyle w:val="6"/>
              <w:spacing w:before="64" w:line="228" w:lineRule="auto"/>
              <w:ind w:left="116"/>
            </w:pPr>
            <w:r>
              <w:rPr>
                <w:spacing w:val="2"/>
              </w:rPr>
              <w:t>分光光度法》（</w:t>
            </w:r>
            <w:r>
              <w:rPr>
                <w:rFonts w:ascii="Times New Roman" w:hAnsi="Times New Roman" w:eastAsia="Times New Roman" w:cs="Times New Roman"/>
              </w:rPr>
              <w:t>HJ</w:t>
            </w:r>
            <w:r>
              <w:rPr>
                <w:rFonts w:ascii="Times New Roman" w:hAnsi="Times New Roman" w:eastAsia="Times New Roman" w:cs="Times New Roman"/>
                <w:spacing w:val="2"/>
              </w:rPr>
              <w:t xml:space="preserve"> 503-2009</w:t>
            </w:r>
            <w:r>
              <w:rPr>
                <w:spacing w:val="-49"/>
              </w:rPr>
              <w:t>）（</w:t>
            </w:r>
            <w:r>
              <w:rPr>
                <w:spacing w:val="2"/>
              </w:rPr>
              <w:t>方法</w:t>
            </w:r>
            <w:r>
              <w:rPr>
                <w:spacing w:val="-20"/>
              </w:rPr>
              <w:t xml:space="preserve"> </w:t>
            </w:r>
            <w:r>
              <w:rPr>
                <w:rFonts w:ascii="Times New Roman" w:hAnsi="Times New Roman" w:eastAsia="Times New Roman" w:cs="Times New Roman"/>
                <w:spacing w:val="2"/>
              </w:rPr>
              <w:t xml:space="preserve">1  </w:t>
            </w:r>
            <w:r>
              <w:rPr>
                <w:spacing w:val="2"/>
              </w:rPr>
              <w:t>萃</w:t>
            </w:r>
          </w:p>
          <w:p w14:paraId="61F4298D">
            <w:pPr>
              <w:pStyle w:val="6"/>
              <w:spacing w:before="65" w:line="228" w:lineRule="auto"/>
              <w:ind w:left="1220"/>
            </w:pPr>
            <w:r>
              <w:rPr>
                <w:spacing w:val="6"/>
              </w:rPr>
              <w:t>取分光光度法）</w:t>
            </w:r>
          </w:p>
        </w:tc>
        <w:tc>
          <w:tcPr>
            <w:tcW w:w="794" w:type="dxa"/>
            <w:vAlign w:val="top"/>
          </w:tcPr>
          <w:p w14:paraId="37253F5E">
            <w:pPr>
              <w:spacing w:before="243"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4C656D9A">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418F0D92">
            <w:pPr>
              <w:pStyle w:val="6"/>
              <w:spacing w:before="207" w:line="228" w:lineRule="auto"/>
              <w:ind w:left="115"/>
            </w:pPr>
            <w:r>
              <w:rPr>
                <w:spacing w:val="7"/>
              </w:rPr>
              <w:t>可见分光光度</w:t>
            </w:r>
          </w:p>
          <w:p w14:paraId="1409065E">
            <w:pPr>
              <w:pStyle w:val="6"/>
              <w:spacing w:before="65" w:line="229" w:lineRule="auto"/>
              <w:ind w:left="325"/>
              <w:rPr>
                <w:rFonts w:ascii="Times New Roman" w:hAnsi="Times New Roman" w:eastAsia="Times New Roman" w:cs="Times New Roman"/>
              </w:rPr>
            </w:pPr>
            <w:r>
              <w:rPr>
                <w:spacing w:val="4"/>
              </w:rPr>
              <w:t>计</w:t>
            </w:r>
            <w:r>
              <w:rPr>
                <w:rFonts w:ascii="Times New Roman" w:hAnsi="Times New Roman" w:eastAsia="Times New Roman" w:cs="Times New Roman"/>
                <w:spacing w:val="4"/>
              </w:rPr>
              <w:t>/7230G</w:t>
            </w:r>
          </w:p>
        </w:tc>
        <w:tc>
          <w:tcPr>
            <w:tcW w:w="853" w:type="dxa"/>
            <w:vAlign w:val="top"/>
          </w:tcPr>
          <w:p w14:paraId="22E7A948">
            <w:pPr>
              <w:spacing w:before="24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25E26DC1">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22-A</w:t>
            </w:r>
          </w:p>
        </w:tc>
      </w:tr>
      <w:tr w14:paraId="0B522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27" w:type="dxa"/>
            <w:vAlign w:val="top"/>
          </w:tcPr>
          <w:p w14:paraId="1B0BA262">
            <w:pPr>
              <w:spacing w:line="340" w:lineRule="auto"/>
              <w:rPr>
                <w:rFonts w:ascii="Arial"/>
                <w:sz w:val="21"/>
              </w:rPr>
            </w:pPr>
          </w:p>
          <w:p w14:paraId="5E0AABF9">
            <w:pPr>
              <w:spacing w:before="5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59" w:type="dxa"/>
            <w:vAlign w:val="top"/>
          </w:tcPr>
          <w:p w14:paraId="78905F3E">
            <w:pPr>
              <w:spacing w:line="297" w:lineRule="auto"/>
              <w:rPr>
                <w:rFonts w:ascii="Arial"/>
                <w:sz w:val="21"/>
              </w:rPr>
            </w:pPr>
          </w:p>
          <w:p w14:paraId="59B4CE1C">
            <w:pPr>
              <w:pStyle w:val="6"/>
              <w:spacing w:before="65" w:line="227" w:lineRule="auto"/>
              <w:ind w:left="270"/>
            </w:pPr>
            <w:r>
              <w:rPr>
                <w:spacing w:val="6"/>
              </w:rPr>
              <w:t>耗氧量</w:t>
            </w:r>
          </w:p>
        </w:tc>
        <w:tc>
          <w:tcPr>
            <w:tcW w:w="3893" w:type="dxa"/>
            <w:vAlign w:val="top"/>
          </w:tcPr>
          <w:p w14:paraId="61BF998D">
            <w:pPr>
              <w:pStyle w:val="6"/>
              <w:spacing w:before="52" w:line="227" w:lineRule="auto"/>
              <w:ind w:left="119"/>
            </w:pPr>
            <w:r>
              <w:rPr>
                <w:spacing w:val="8"/>
              </w:rPr>
              <w:t>《生活饮用水标准检验方法 有机物综合</w:t>
            </w:r>
          </w:p>
          <w:p w14:paraId="1CEBE5B6">
            <w:pPr>
              <w:pStyle w:val="6"/>
              <w:spacing w:before="66" w:line="221" w:lineRule="auto"/>
              <w:ind w:left="116"/>
            </w:pPr>
            <w:r>
              <w:rPr>
                <w:spacing w:val="-3"/>
              </w:rPr>
              <w:t>指标》</w:t>
            </w:r>
            <w:r>
              <w:rPr>
                <w:rFonts w:ascii="Times New Roman" w:hAnsi="Times New Roman" w:eastAsia="Times New Roman" w:cs="Times New Roman"/>
                <w:spacing w:val="-3"/>
              </w:rPr>
              <w:t>(GB/T 5750.7-2006)</w:t>
            </w:r>
            <w:r>
              <w:rPr>
                <w:spacing w:val="-3"/>
              </w:rPr>
              <w:t>（</w:t>
            </w:r>
            <w:r>
              <w:rPr>
                <w:rFonts w:ascii="Times New Roman" w:hAnsi="Times New Roman" w:eastAsia="Times New Roman" w:cs="Times New Roman"/>
                <w:spacing w:val="-3"/>
              </w:rPr>
              <w:t>1.</w:t>
            </w:r>
            <w:r>
              <w:rPr>
                <w:rFonts w:ascii="Times New Roman" w:hAnsi="Times New Roman" w:eastAsia="Times New Roman" w:cs="Times New Roman"/>
                <w:spacing w:val="-12"/>
              </w:rPr>
              <w:t xml:space="preserve"> </w:t>
            </w:r>
            <w:r>
              <w:rPr>
                <w:rFonts w:ascii="Times New Roman" w:hAnsi="Times New Roman" w:eastAsia="Times New Roman" w:cs="Times New Roman"/>
                <w:spacing w:val="-3"/>
              </w:rPr>
              <w:t xml:space="preserve">1  </w:t>
            </w:r>
            <w:r>
              <w:rPr>
                <w:spacing w:val="-3"/>
              </w:rPr>
              <w:t>耗氧量</w:t>
            </w:r>
            <w:r>
              <w:rPr>
                <w:spacing w:val="14"/>
              </w:rPr>
              <w:t xml:space="preserve"> </w:t>
            </w:r>
            <w:r>
              <w:rPr>
                <w:spacing w:val="-3"/>
              </w:rPr>
              <w:t>酸</w:t>
            </w:r>
          </w:p>
          <w:p w14:paraId="17650F72">
            <w:pPr>
              <w:pStyle w:val="6"/>
              <w:spacing w:before="72" w:line="228" w:lineRule="auto"/>
              <w:ind w:left="1009"/>
            </w:pPr>
            <w:r>
              <w:rPr>
                <w:spacing w:val="7"/>
              </w:rPr>
              <w:t>性高锰酸钾滴定法）</w:t>
            </w:r>
          </w:p>
        </w:tc>
        <w:tc>
          <w:tcPr>
            <w:tcW w:w="794" w:type="dxa"/>
            <w:vAlign w:val="top"/>
          </w:tcPr>
          <w:p w14:paraId="2E883566">
            <w:pPr>
              <w:spacing w:before="24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13A4680B">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A2A4F5F">
            <w:pPr>
              <w:spacing w:line="297" w:lineRule="auto"/>
              <w:rPr>
                <w:rFonts w:ascii="Arial"/>
                <w:sz w:val="21"/>
              </w:rPr>
            </w:pPr>
          </w:p>
          <w:p w14:paraId="37822EB0">
            <w:pPr>
              <w:pStyle w:val="6"/>
              <w:spacing w:before="65" w:line="228" w:lineRule="auto"/>
              <w:ind w:left="432"/>
            </w:pPr>
            <w:r>
              <w:rPr>
                <w:spacing w:val="6"/>
              </w:rPr>
              <w:t>滴定管</w:t>
            </w:r>
          </w:p>
        </w:tc>
        <w:tc>
          <w:tcPr>
            <w:tcW w:w="853" w:type="dxa"/>
            <w:vAlign w:val="top"/>
          </w:tcPr>
          <w:p w14:paraId="658A191B">
            <w:pPr>
              <w:tabs>
                <w:tab w:val="left" w:pos="527"/>
              </w:tabs>
              <w:spacing w:before="270"/>
              <w:ind w:left="324"/>
              <w:rPr>
                <w:rFonts w:ascii="Arial"/>
                <w:sz w:val="21"/>
              </w:rPr>
            </w:pPr>
            <w:r>
              <w:rPr>
                <w:rFonts w:ascii="Arial" w:hAnsi="Arial" w:eastAsia="Arial" w:cs="Arial"/>
                <w:sz w:val="21"/>
                <w:szCs w:val="21"/>
                <w:u w:val="single" w:color="auto"/>
              </w:rPr>
              <w:tab/>
            </w:r>
          </w:p>
        </w:tc>
      </w:tr>
      <w:tr w14:paraId="252A8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3DC34BF2">
            <w:pPr>
              <w:spacing w:before="24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59" w:type="dxa"/>
            <w:vAlign w:val="top"/>
          </w:tcPr>
          <w:p w14:paraId="1128BCBC">
            <w:pPr>
              <w:pStyle w:val="6"/>
              <w:spacing w:before="208" w:line="227" w:lineRule="auto"/>
              <w:ind w:left="372"/>
            </w:pPr>
            <w:r>
              <w:rPr>
                <w:spacing w:val="4"/>
              </w:rPr>
              <w:t>氨氮</w:t>
            </w:r>
          </w:p>
        </w:tc>
        <w:tc>
          <w:tcPr>
            <w:tcW w:w="3893" w:type="dxa"/>
            <w:vAlign w:val="top"/>
          </w:tcPr>
          <w:p w14:paraId="0A40CB95">
            <w:pPr>
              <w:pStyle w:val="6"/>
              <w:spacing w:before="52" w:line="227" w:lineRule="auto"/>
              <w:ind w:left="224"/>
            </w:pPr>
            <w:r>
              <w:rPr>
                <w:spacing w:val="8"/>
              </w:rPr>
              <w:t>《水质 氨氮的测定纳氏试剂分光光度</w:t>
            </w:r>
          </w:p>
          <w:p w14:paraId="18544ED1">
            <w:pPr>
              <w:pStyle w:val="6"/>
              <w:spacing w:before="66" w:line="233" w:lineRule="auto"/>
              <w:ind w:left="988"/>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535-2009</w:t>
            </w:r>
            <w:r>
              <w:rPr>
                <w:spacing w:val="5"/>
              </w:rPr>
              <w:t>）</w:t>
            </w:r>
          </w:p>
        </w:tc>
        <w:tc>
          <w:tcPr>
            <w:tcW w:w="794" w:type="dxa"/>
            <w:vAlign w:val="top"/>
          </w:tcPr>
          <w:p w14:paraId="573A64A5">
            <w:pPr>
              <w:spacing w:before="8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p w14:paraId="00BF5EBB">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EED92E7">
            <w:pPr>
              <w:pStyle w:val="6"/>
              <w:spacing w:before="51" w:line="262" w:lineRule="auto"/>
              <w:ind w:left="298" w:right="106" w:hanging="183"/>
              <w:rPr>
                <w:rFonts w:ascii="Times New Roman" w:hAnsi="Times New Roman" w:eastAsia="Times New Roman" w:cs="Times New Roman"/>
              </w:rPr>
            </w:pPr>
            <w:r>
              <w:rPr>
                <w:spacing w:val="7"/>
              </w:rPr>
              <w:t>可见分光光度</w:t>
            </w:r>
            <w:r>
              <w:rPr>
                <w:spacing w:val="4"/>
              </w:rPr>
              <w:t xml:space="preserve"> </w:t>
            </w:r>
            <w:r>
              <w:rPr>
                <w:spacing w:val="1"/>
              </w:rPr>
              <w:t>计</w:t>
            </w:r>
            <w:r>
              <w:rPr>
                <w:rFonts w:ascii="Times New Roman" w:hAnsi="Times New Roman" w:eastAsia="Times New Roman" w:cs="Times New Roman"/>
                <w:spacing w:val="1"/>
              </w:rPr>
              <w:t>/V-5600</w:t>
            </w:r>
          </w:p>
        </w:tc>
        <w:tc>
          <w:tcPr>
            <w:tcW w:w="853" w:type="dxa"/>
            <w:vAlign w:val="top"/>
          </w:tcPr>
          <w:p w14:paraId="7515BCE2">
            <w:pPr>
              <w:spacing w:before="8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B075A6F">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22-C</w:t>
            </w:r>
          </w:p>
        </w:tc>
      </w:tr>
      <w:tr w14:paraId="3E7BA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27" w:type="dxa"/>
            <w:vAlign w:val="top"/>
          </w:tcPr>
          <w:p w14:paraId="7B6C6831">
            <w:pPr>
              <w:spacing w:line="342" w:lineRule="auto"/>
              <w:rPr>
                <w:rFonts w:ascii="Arial"/>
                <w:sz w:val="21"/>
              </w:rPr>
            </w:pPr>
          </w:p>
          <w:p w14:paraId="3BC13631">
            <w:pPr>
              <w:spacing w:before="5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59" w:type="dxa"/>
            <w:vAlign w:val="top"/>
          </w:tcPr>
          <w:p w14:paraId="6026B6E7">
            <w:pPr>
              <w:pStyle w:val="6"/>
              <w:spacing w:before="209" w:line="228" w:lineRule="auto"/>
              <w:ind w:left="169"/>
            </w:pPr>
            <w:r>
              <w:rPr>
                <w:spacing w:val="5"/>
              </w:rPr>
              <w:t>总大肠菌</w:t>
            </w:r>
          </w:p>
          <w:p w14:paraId="603F1AAB">
            <w:pPr>
              <w:pStyle w:val="6"/>
              <w:spacing w:before="64" w:line="228" w:lineRule="auto"/>
              <w:ind w:left="478"/>
            </w:pPr>
            <w:r>
              <w:t>群</w:t>
            </w:r>
          </w:p>
        </w:tc>
        <w:tc>
          <w:tcPr>
            <w:tcW w:w="3893" w:type="dxa"/>
            <w:vAlign w:val="top"/>
          </w:tcPr>
          <w:p w14:paraId="5E98999C">
            <w:pPr>
              <w:pStyle w:val="6"/>
              <w:spacing w:before="53" w:line="228" w:lineRule="auto"/>
              <w:ind w:left="119"/>
            </w:pPr>
            <w:r>
              <w:rPr>
                <w:spacing w:val="8"/>
              </w:rPr>
              <w:t>《水和废水监测分析方法》（第四版 增</w:t>
            </w:r>
          </w:p>
          <w:p w14:paraId="60BB5F0A">
            <w:pPr>
              <w:pStyle w:val="6"/>
              <w:spacing w:before="65" w:line="228" w:lineRule="auto"/>
              <w:ind w:left="113"/>
            </w:pPr>
            <w:r>
              <w:rPr>
                <w:spacing w:val="-7"/>
              </w:rPr>
              <w:t>补版）</w:t>
            </w:r>
            <w:r>
              <w:rPr>
                <w:rFonts w:hint="eastAsia"/>
                <w:spacing w:val="-7"/>
                <w:lang w:eastAsia="zh-CN"/>
              </w:rPr>
              <w:t>中华人民共和国环境保护部</w:t>
            </w:r>
            <w:r>
              <w:rPr>
                <w:spacing w:val="-7"/>
              </w:rPr>
              <w:t>（</w:t>
            </w:r>
            <w:r>
              <w:rPr>
                <w:rFonts w:ascii="Times New Roman" w:hAnsi="Times New Roman" w:eastAsia="Times New Roman" w:cs="Times New Roman"/>
                <w:spacing w:val="-7"/>
              </w:rPr>
              <w:t xml:space="preserve">2002  </w:t>
            </w:r>
            <w:r>
              <w:rPr>
                <w:spacing w:val="-7"/>
              </w:rPr>
              <w:t>年）第</w:t>
            </w:r>
            <w:r>
              <w:rPr>
                <w:spacing w:val="24"/>
              </w:rPr>
              <w:t xml:space="preserve"> </w:t>
            </w:r>
            <w:r>
              <w:rPr>
                <w:spacing w:val="-7"/>
              </w:rPr>
              <w:t>五</w:t>
            </w:r>
          </w:p>
          <w:p w14:paraId="43AE79D9">
            <w:pPr>
              <w:pStyle w:val="6"/>
              <w:spacing w:before="65" w:line="227" w:lineRule="auto"/>
              <w:ind w:left="484"/>
            </w:pPr>
            <w:r>
              <w:rPr>
                <w:spacing w:val="7"/>
              </w:rPr>
              <w:t>篇 第二章</w:t>
            </w:r>
            <w:r>
              <w:rPr>
                <w:spacing w:val="29"/>
              </w:rPr>
              <w:t xml:space="preserve"> </w:t>
            </w:r>
            <w:r>
              <w:rPr>
                <w:spacing w:val="7"/>
              </w:rPr>
              <w:t>五（一）多管发酵法</w:t>
            </w:r>
          </w:p>
        </w:tc>
        <w:tc>
          <w:tcPr>
            <w:tcW w:w="794" w:type="dxa"/>
            <w:vAlign w:val="top"/>
          </w:tcPr>
          <w:p w14:paraId="6E9908D9">
            <w:pPr>
              <w:tabs>
                <w:tab w:val="left" w:pos="499"/>
              </w:tabs>
              <w:spacing w:before="272"/>
              <w:ind w:left="296"/>
              <w:rPr>
                <w:rFonts w:ascii="Arial"/>
                <w:sz w:val="21"/>
              </w:rPr>
            </w:pPr>
            <w:r>
              <w:rPr>
                <w:rFonts w:ascii="Arial" w:hAnsi="Arial" w:eastAsia="Arial" w:cs="Arial"/>
                <w:sz w:val="21"/>
                <w:szCs w:val="21"/>
                <w:u w:val="single" w:color="auto"/>
              </w:rPr>
              <w:tab/>
            </w:r>
          </w:p>
        </w:tc>
        <w:tc>
          <w:tcPr>
            <w:tcW w:w="1475" w:type="dxa"/>
            <w:vAlign w:val="top"/>
          </w:tcPr>
          <w:p w14:paraId="21ADA067">
            <w:pPr>
              <w:pStyle w:val="6"/>
              <w:spacing w:before="54" w:line="227" w:lineRule="auto"/>
              <w:ind w:left="190"/>
            </w:pPr>
            <w:r>
              <w:rPr>
                <w:spacing w:val="7"/>
              </w:rPr>
              <w:t>干燥</w:t>
            </w:r>
            <w:r>
              <w:rPr>
                <w:rFonts w:ascii="Times New Roman" w:hAnsi="Times New Roman" w:eastAsia="Times New Roman" w:cs="Times New Roman"/>
                <w:spacing w:val="7"/>
              </w:rPr>
              <w:t>/</w:t>
            </w:r>
            <w:r>
              <w:rPr>
                <w:spacing w:val="7"/>
              </w:rPr>
              <w:t>培养两</w:t>
            </w:r>
          </w:p>
          <w:p w14:paraId="319C4B76">
            <w:pPr>
              <w:pStyle w:val="6"/>
              <w:spacing w:before="66" w:line="228" w:lineRule="auto"/>
              <w:ind w:left="535"/>
            </w:pPr>
            <w:r>
              <w:rPr>
                <w:spacing w:val="3"/>
              </w:rPr>
              <w:t>用箱</w:t>
            </w:r>
          </w:p>
          <w:p w14:paraId="1FFF673F">
            <w:pPr>
              <w:pStyle w:val="6"/>
              <w:spacing w:before="64" w:line="233" w:lineRule="auto"/>
              <w:ind w:left="173"/>
            </w:pPr>
            <w:r>
              <w:rPr>
                <w:rFonts w:ascii="Times New Roman" w:hAnsi="Times New Roman" w:eastAsia="Times New Roman" w:cs="Times New Roman"/>
                <w:spacing w:val="5"/>
              </w:rPr>
              <w:t>/</w:t>
            </w:r>
            <w:r>
              <w:rPr>
                <w:rFonts w:ascii="Times New Roman" w:hAnsi="Times New Roman" w:eastAsia="Times New Roman" w:cs="Times New Roman"/>
              </w:rPr>
              <w:t>PH</w:t>
            </w:r>
            <w:r>
              <w:rPr>
                <w:rFonts w:ascii="Times New Roman" w:hAnsi="Times New Roman" w:eastAsia="Times New Roman" w:cs="Times New Roman"/>
                <w:spacing w:val="5"/>
              </w:rPr>
              <w:t>-070A</w:t>
            </w:r>
            <w:r>
              <w:rPr>
                <w:rFonts w:ascii="Times New Roman" w:hAnsi="Times New Roman" w:eastAsia="Times New Roman" w:cs="Times New Roman"/>
                <w:spacing w:val="20"/>
                <w:w w:val="101"/>
              </w:rPr>
              <w:t xml:space="preserve"> </w:t>
            </w:r>
            <w:r>
              <w:rPr>
                <w:spacing w:val="5"/>
              </w:rPr>
              <w:t>型</w:t>
            </w:r>
          </w:p>
        </w:tc>
        <w:tc>
          <w:tcPr>
            <w:tcW w:w="853" w:type="dxa"/>
            <w:vAlign w:val="top"/>
          </w:tcPr>
          <w:p w14:paraId="1DA13431">
            <w:pPr>
              <w:spacing w:before="246"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DE50E93">
            <w:pPr>
              <w:spacing w:before="12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06-B</w:t>
            </w:r>
          </w:p>
        </w:tc>
      </w:tr>
      <w:tr w14:paraId="015DD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66261CF8">
            <w:pPr>
              <w:spacing w:line="342" w:lineRule="auto"/>
              <w:rPr>
                <w:rFonts w:ascii="Arial"/>
                <w:sz w:val="21"/>
              </w:rPr>
            </w:pPr>
          </w:p>
          <w:p w14:paraId="0EDF8C62">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59" w:type="dxa"/>
            <w:vAlign w:val="top"/>
          </w:tcPr>
          <w:p w14:paraId="58F5C5CE">
            <w:pPr>
              <w:spacing w:line="298" w:lineRule="auto"/>
              <w:rPr>
                <w:rFonts w:ascii="Arial"/>
                <w:sz w:val="21"/>
              </w:rPr>
            </w:pPr>
          </w:p>
          <w:p w14:paraId="04D1E2D7">
            <w:pPr>
              <w:pStyle w:val="6"/>
              <w:spacing w:before="65" w:line="228" w:lineRule="auto"/>
              <w:ind w:left="164"/>
            </w:pPr>
            <w:r>
              <w:rPr>
                <w:spacing w:val="7"/>
              </w:rPr>
              <w:t>细菌总数</w:t>
            </w:r>
          </w:p>
        </w:tc>
        <w:tc>
          <w:tcPr>
            <w:tcW w:w="3893" w:type="dxa"/>
            <w:vAlign w:val="top"/>
          </w:tcPr>
          <w:p w14:paraId="0F7A1E73">
            <w:pPr>
              <w:pStyle w:val="6"/>
              <w:spacing w:before="209" w:line="228" w:lineRule="auto"/>
              <w:ind w:left="224"/>
            </w:pPr>
            <w:r>
              <w:rPr>
                <w:spacing w:val="8"/>
              </w:rPr>
              <w:t>《水质 细菌总数的测定平皿计数法》</w:t>
            </w:r>
          </w:p>
          <w:p w14:paraId="0B4113F7">
            <w:pPr>
              <w:pStyle w:val="6"/>
              <w:spacing w:before="65"/>
              <w:ind w:left="1153"/>
            </w:pPr>
            <w:r>
              <w:rPr>
                <w:spacing w:val="2"/>
              </w:rPr>
              <w:t>（</w:t>
            </w:r>
            <w:r>
              <w:rPr>
                <w:rFonts w:ascii="Times New Roman" w:hAnsi="Times New Roman" w:eastAsia="Times New Roman" w:cs="Times New Roman"/>
              </w:rPr>
              <w:t>HJ</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1000-2018</w:t>
            </w:r>
            <w:r>
              <w:rPr>
                <w:spacing w:val="2"/>
              </w:rPr>
              <w:t>）</w:t>
            </w:r>
          </w:p>
        </w:tc>
        <w:tc>
          <w:tcPr>
            <w:tcW w:w="794" w:type="dxa"/>
            <w:vAlign w:val="top"/>
          </w:tcPr>
          <w:p w14:paraId="7772D507">
            <w:pPr>
              <w:tabs>
                <w:tab w:val="left" w:pos="499"/>
              </w:tabs>
              <w:spacing w:before="271"/>
              <w:ind w:left="296"/>
              <w:rPr>
                <w:rFonts w:ascii="Arial"/>
                <w:sz w:val="21"/>
              </w:rPr>
            </w:pPr>
            <w:r>
              <w:rPr>
                <w:rFonts w:ascii="Arial" w:hAnsi="Arial" w:eastAsia="Arial" w:cs="Arial"/>
                <w:sz w:val="21"/>
                <w:szCs w:val="21"/>
                <w:u w:val="single" w:color="auto"/>
              </w:rPr>
              <w:tab/>
            </w:r>
          </w:p>
        </w:tc>
        <w:tc>
          <w:tcPr>
            <w:tcW w:w="1475" w:type="dxa"/>
            <w:vAlign w:val="top"/>
          </w:tcPr>
          <w:p w14:paraId="61F7588A">
            <w:pPr>
              <w:pStyle w:val="6"/>
              <w:spacing w:before="53" w:line="227" w:lineRule="auto"/>
              <w:ind w:left="190"/>
            </w:pPr>
            <w:r>
              <w:rPr>
                <w:spacing w:val="7"/>
              </w:rPr>
              <w:t>干燥</w:t>
            </w:r>
            <w:r>
              <w:rPr>
                <w:rFonts w:ascii="Times New Roman" w:hAnsi="Times New Roman" w:eastAsia="Times New Roman" w:cs="Times New Roman"/>
                <w:spacing w:val="7"/>
              </w:rPr>
              <w:t>/</w:t>
            </w:r>
            <w:r>
              <w:rPr>
                <w:spacing w:val="7"/>
              </w:rPr>
              <w:t>培养两</w:t>
            </w:r>
          </w:p>
          <w:p w14:paraId="63488FEB">
            <w:pPr>
              <w:pStyle w:val="6"/>
              <w:spacing w:before="66" w:line="228" w:lineRule="auto"/>
              <w:ind w:left="535"/>
            </w:pPr>
            <w:r>
              <w:rPr>
                <w:spacing w:val="3"/>
              </w:rPr>
              <w:t>用箱</w:t>
            </w:r>
          </w:p>
          <w:p w14:paraId="3B6C61CB">
            <w:pPr>
              <w:pStyle w:val="6"/>
              <w:spacing w:before="64" w:line="233" w:lineRule="auto"/>
              <w:ind w:left="173"/>
            </w:pPr>
            <w:r>
              <w:rPr>
                <w:rFonts w:ascii="Times New Roman" w:hAnsi="Times New Roman" w:eastAsia="Times New Roman" w:cs="Times New Roman"/>
                <w:spacing w:val="5"/>
              </w:rPr>
              <w:t>/</w:t>
            </w:r>
            <w:r>
              <w:rPr>
                <w:rFonts w:ascii="Times New Roman" w:hAnsi="Times New Roman" w:eastAsia="Times New Roman" w:cs="Times New Roman"/>
              </w:rPr>
              <w:t>PH</w:t>
            </w:r>
            <w:r>
              <w:rPr>
                <w:rFonts w:ascii="Times New Roman" w:hAnsi="Times New Roman" w:eastAsia="Times New Roman" w:cs="Times New Roman"/>
                <w:spacing w:val="5"/>
              </w:rPr>
              <w:t>-070A</w:t>
            </w:r>
            <w:r>
              <w:rPr>
                <w:rFonts w:ascii="Times New Roman" w:hAnsi="Times New Roman" w:eastAsia="Times New Roman" w:cs="Times New Roman"/>
                <w:spacing w:val="20"/>
                <w:w w:val="101"/>
              </w:rPr>
              <w:t xml:space="preserve"> </w:t>
            </w:r>
            <w:r>
              <w:rPr>
                <w:spacing w:val="5"/>
              </w:rPr>
              <w:t>型</w:t>
            </w:r>
          </w:p>
        </w:tc>
        <w:tc>
          <w:tcPr>
            <w:tcW w:w="853" w:type="dxa"/>
            <w:vAlign w:val="top"/>
          </w:tcPr>
          <w:p w14:paraId="30FAA89C">
            <w:pPr>
              <w:spacing w:before="245"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76280A7">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06-A</w:t>
            </w:r>
          </w:p>
        </w:tc>
      </w:tr>
      <w:tr w14:paraId="07BF8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724731AB">
            <w:pPr>
              <w:spacing w:before="246"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59" w:type="dxa"/>
            <w:vAlign w:val="top"/>
          </w:tcPr>
          <w:p w14:paraId="54C528DD">
            <w:pPr>
              <w:pStyle w:val="6"/>
              <w:spacing w:before="54" w:line="229" w:lineRule="auto"/>
              <w:ind w:left="165"/>
            </w:pPr>
            <w:r>
              <w:rPr>
                <w:spacing w:val="6"/>
              </w:rPr>
              <w:t>亚硝酸盐</w:t>
            </w:r>
          </w:p>
          <w:p w14:paraId="792BAB03">
            <w:pPr>
              <w:pStyle w:val="6"/>
              <w:spacing w:before="63" w:line="227" w:lineRule="auto"/>
              <w:ind w:left="476"/>
            </w:pPr>
            <w:r>
              <w:rPr>
                <w:spacing w:val="2"/>
              </w:rPr>
              <w:t>氮</w:t>
            </w:r>
          </w:p>
        </w:tc>
        <w:tc>
          <w:tcPr>
            <w:tcW w:w="3893" w:type="dxa"/>
            <w:vAlign w:val="top"/>
          </w:tcPr>
          <w:p w14:paraId="52B78A30">
            <w:pPr>
              <w:pStyle w:val="6"/>
              <w:spacing w:before="54" w:line="227" w:lineRule="auto"/>
              <w:ind w:right="13"/>
              <w:jc w:val="right"/>
            </w:pPr>
            <w:r>
              <w:rPr>
                <w:spacing w:val="8"/>
              </w:rPr>
              <w:t>《水质 亚硝酸盐氮的测定 分光光度法》</w:t>
            </w:r>
          </w:p>
          <w:p w14:paraId="51FF1D62">
            <w:pPr>
              <w:pStyle w:val="6"/>
              <w:spacing w:before="66" w:line="233" w:lineRule="auto"/>
              <w:ind w:left="1230"/>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 xml:space="preserve"> 7493-87</w:t>
            </w:r>
            <w:r>
              <w:rPr>
                <w:spacing w:val="3"/>
              </w:rPr>
              <w:t>）</w:t>
            </w:r>
          </w:p>
        </w:tc>
        <w:tc>
          <w:tcPr>
            <w:tcW w:w="794" w:type="dxa"/>
            <w:vAlign w:val="top"/>
          </w:tcPr>
          <w:p w14:paraId="5C3B6ECD">
            <w:pPr>
              <w:spacing w:before="9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p w14:paraId="6B095123">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10898F8">
            <w:pPr>
              <w:pStyle w:val="6"/>
              <w:spacing w:before="53" w:line="261" w:lineRule="auto"/>
              <w:ind w:left="298" w:right="106" w:hanging="183"/>
              <w:rPr>
                <w:rFonts w:ascii="Times New Roman" w:hAnsi="Times New Roman" w:eastAsia="Times New Roman" w:cs="Times New Roman"/>
              </w:rPr>
            </w:pPr>
            <w:r>
              <w:rPr>
                <w:spacing w:val="7"/>
              </w:rPr>
              <w:t>可见分光光度</w:t>
            </w:r>
            <w:r>
              <w:rPr>
                <w:spacing w:val="4"/>
              </w:rPr>
              <w:t xml:space="preserve"> </w:t>
            </w:r>
            <w:r>
              <w:rPr>
                <w:spacing w:val="1"/>
              </w:rPr>
              <w:t>计</w:t>
            </w:r>
            <w:r>
              <w:rPr>
                <w:rFonts w:ascii="Times New Roman" w:hAnsi="Times New Roman" w:eastAsia="Times New Roman" w:cs="Times New Roman"/>
                <w:spacing w:val="1"/>
              </w:rPr>
              <w:t>/V-5600</w:t>
            </w:r>
          </w:p>
        </w:tc>
        <w:tc>
          <w:tcPr>
            <w:tcW w:w="853" w:type="dxa"/>
            <w:vAlign w:val="top"/>
          </w:tcPr>
          <w:p w14:paraId="4405A6CE">
            <w:pPr>
              <w:spacing w:before="90"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073C12D">
            <w:pPr>
              <w:spacing w:before="12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22-C</w:t>
            </w:r>
          </w:p>
        </w:tc>
      </w:tr>
      <w:tr w14:paraId="040D8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4E4A7C44">
            <w:pPr>
              <w:spacing w:before="245"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159" w:type="dxa"/>
            <w:vAlign w:val="top"/>
          </w:tcPr>
          <w:p w14:paraId="1D8D35A8">
            <w:pPr>
              <w:pStyle w:val="6"/>
              <w:spacing w:before="209" w:line="227" w:lineRule="auto"/>
              <w:ind w:left="165"/>
            </w:pPr>
            <w:r>
              <w:rPr>
                <w:spacing w:val="6"/>
              </w:rPr>
              <w:t>硝酸盐氮</w:t>
            </w:r>
          </w:p>
        </w:tc>
        <w:tc>
          <w:tcPr>
            <w:tcW w:w="3893" w:type="dxa"/>
            <w:vAlign w:val="top"/>
          </w:tcPr>
          <w:p w14:paraId="26F508F3">
            <w:pPr>
              <w:pStyle w:val="6"/>
              <w:spacing w:before="53" w:line="261" w:lineRule="auto"/>
              <w:ind w:left="474" w:right="160" w:hanging="302"/>
            </w:pPr>
            <w:r>
              <w:rPr>
                <w:spacing w:val="8"/>
              </w:rPr>
              <w:t>《水质 硝酸盐氮的测定 紫外分光光度</w:t>
            </w:r>
            <w:r>
              <w:rPr>
                <w:spacing w:val="10"/>
              </w:rPr>
              <w:t xml:space="preserve"> </w:t>
            </w:r>
            <w:r>
              <w:rPr>
                <w:spacing w:val="6"/>
              </w:rPr>
              <w:t>法（试行）》（</w:t>
            </w:r>
            <w:r>
              <w:rPr>
                <w:rFonts w:ascii="Times New Roman" w:hAnsi="Times New Roman" w:eastAsia="Times New Roman" w:cs="Times New Roman"/>
              </w:rPr>
              <w:t>HJ</w:t>
            </w:r>
            <w:r>
              <w:rPr>
                <w:rFonts w:ascii="Times New Roman" w:hAnsi="Times New Roman" w:eastAsia="Times New Roman" w:cs="Times New Roman"/>
                <w:spacing w:val="6"/>
              </w:rPr>
              <w:t>/T 346-2007</w:t>
            </w:r>
            <w:r>
              <w:rPr>
                <w:spacing w:val="6"/>
              </w:rPr>
              <w:t>）</w:t>
            </w:r>
          </w:p>
        </w:tc>
        <w:tc>
          <w:tcPr>
            <w:tcW w:w="794" w:type="dxa"/>
            <w:vAlign w:val="top"/>
          </w:tcPr>
          <w:p w14:paraId="0F4B87C6">
            <w:pPr>
              <w:spacing w:before="89"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p w14:paraId="368EB0BE">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0519619">
            <w:pPr>
              <w:pStyle w:val="6"/>
              <w:spacing w:before="53" w:line="228" w:lineRule="auto"/>
              <w:ind w:left="119"/>
            </w:pPr>
            <w:r>
              <w:rPr>
                <w:spacing w:val="7"/>
              </w:rPr>
              <w:t>紫外分光光度</w:t>
            </w:r>
          </w:p>
          <w:p w14:paraId="766F1EA6">
            <w:pPr>
              <w:spacing w:before="97" w:line="199"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-5100</w:t>
            </w:r>
          </w:p>
        </w:tc>
        <w:tc>
          <w:tcPr>
            <w:tcW w:w="853" w:type="dxa"/>
            <w:vAlign w:val="top"/>
          </w:tcPr>
          <w:p w14:paraId="3B318E76">
            <w:pPr>
              <w:spacing w:before="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8878670">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21-A</w:t>
            </w:r>
          </w:p>
        </w:tc>
      </w:tr>
      <w:tr w14:paraId="52530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5F112CAA">
            <w:pPr>
              <w:spacing w:before="245"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159" w:type="dxa"/>
            <w:vAlign w:val="top"/>
          </w:tcPr>
          <w:p w14:paraId="004D64DF">
            <w:pPr>
              <w:pStyle w:val="6"/>
              <w:spacing w:before="209" w:line="228" w:lineRule="auto"/>
              <w:ind w:left="270"/>
            </w:pPr>
            <w:r>
              <w:rPr>
                <w:spacing w:val="6"/>
              </w:rPr>
              <w:t>氟化物</w:t>
            </w:r>
          </w:p>
        </w:tc>
        <w:tc>
          <w:tcPr>
            <w:tcW w:w="3893" w:type="dxa"/>
            <w:vAlign w:val="top"/>
          </w:tcPr>
          <w:p w14:paraId="66C4CBB5">
            <w:pPr>
              <w:pStyle w:val="6"/>
              <w:spacing w:before="53" w:line="228" w:lineRule="auto"/>
              <w:ind w:right="13"/>
              <w:jc w:val="right"/>
            </w:pPr>
            <w:r>
              <w:rPr>
                <w:spacing w:val="8"/>
              </w:rPr>
              <w:t>《水质氟化物的测定  离子选择电极法》</w:t>
            </w:r>
          </w:p>
          <w:p w14:paraId="2837A8D3">
            <w:pPr>
              <w:pStyle w:val="6"/>
              <w:spacing w:before="65" w:line="234" w:lineRule="auto"/>
              <w:ind w:left="1230"/>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 xml:space="preserve"> 7484-87</w:t>
            </w:r>
            <w:r>
              <w:rPr>
                <w:spacing w:val="3"/>
              </w:rPr>
              <w:t>）</w:t>
            </w:r>
          </w:p>
        </w:tc>
        <w:tc>
          <w:tcPr>
            <w:tcW w:w="794" w:type="dxa"/>
            <w:vAlign w:val="top"/>
          </w:tcPr>
          <w:p w14:paraId="22D9BCCA">
            <w:pPr>
              <w:spacing w:before="89"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25561A62">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04D03D8">
            <w:pPr>
              <w:pStyle w:val="6"/>
              <w:spacing w:before="53" w:line="221" w:lineRule="auto"/>
              <w:ind w:left="105"/>
            </w:pPr>
            <w:r>
              <w:rPr>
                <w:rFonts w:ascii="Times New Roman" w:hAnsi="Times New Roman" w:eastAsia="Times New Roman" w:cs="Times New Roman"/>
              </w:rPr>
              <w:t>pH</w:t>
            </w:r>
            <w:r>
              <w:rPr>
                <w:spacing w:val="3"/>
              </w:rPr>
              <w:t>（酸度）计</w:t>
            </w:r>
          </w:p>
          <w:p w14:paraId="6D0046F3">
            <w:pPr>
              <w:spacing w:before="104" w:line="199"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PHSJ</w:t>
            </w:r>
            <w:r>
              <w:rPr>
                <w:rFonts w:ascii="Times New Roman" w:hAnsi="Times New Roman" w:eastAsia="Times New Roman" w:cs="Times New Roman"/>
                <w:spacing w:val="9"/>
                <w:sz w:val="20"/>
                <w:szCs w:val="20"/>
              </w:rPr>
              <w:t>-4F</w:t>
            </w:r>
          </w:p>
        </w:tc>
        <w:tc>
          <w:tcPr>
            <w:tcW w:w="853" w:type="dxa"/>
            <w:vAlign w:val="top"/>
          </w:tcPr>
          <w:p w14:paraId="068C0348">
            <w:pPr>
              <w:spacing w:before="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323B53A">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09-A</w:t>
            </w:r>
          </w:p>
        </w:tc>
      </w:tr>
      <w:tr w14:paraId="77301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0846BCA2">
            <w:pPr>
              <w:spacing w:before="245"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59" w:type="dxa"/>
            <w:vAlign w:val="top"/>
          </w:tcPr>
          <w:p w14:paraId="55C67C69">
            <w:pPr>
              <w:pStyle w:val="6"/>
              <w:spacing w:before="209" w:line="228" w:lineRule="auto"/>
              <w:ind w:left="479"/>
            </w:pPr>
            <w:r>
              <w:t>汞</w:t>
            </w:r>
          </w:p>
        </w:tc>
        <w:tc>
          <w:tcPr>
            <w:tcW w:w="3893" w:type="dxa"/>
            <w:vAlign w:val="top"/>
          </w:tcPr>
          <w:p w14:paraId="466260F4">
            <w:pPr>
              <w:pStyle w:val="6"/>
              <w:spacing w:before="53" w:line="261" w:lineRule="auto"/>
              <w:ind w:left="781" w:right="107" w:hanging="662"/>
            </w:pPr>
            <w:r>
              <w:rPr>
                <w:spacing w:val="3"/>
              </w:rPr>
              <w:t xml:space="preserve">《水质 汞、砷、硒、铋和锑的测定 原子 </w:t>
            </w:r>
            <w:r>
              <w:rPr>
                <w:spacing w:val="5"/>
              </w:rPr>
              <w:t>荧光法》（</w:t>
            </w:r>
            <w:r>
              <w:rPr>
                <w:rFonts w:ascii="Times New Roman" w:hAnsi="Times New Roman" w:eastAsia="Times New Roman" w:cs="Times New Roman"/>
              </w:rPr>
              <w:t>HJ</w:t>
            </w:r>
            <w:r>
              <w:rPr>
                <w:rFonts w:ascii="Times New Roman" w:hAnsi="Times New Roman" w:eastAsia="Times New Roman" w:cs="Times New Roman"/>
                <w:spacing w:val="5"/>
              </w:rPr>
              <w:t xml:space="preserve"> 694-2014</w:t>
            </w:r>
            <w:r>
              <w:rPr>
                <w:spacing w:val="5"/>
              </w:rPr>
              <w:t>）</w:t>
            </w:r>
          </w:p>
        </w:tc>
        <w:tc>
          <w:tcPr>
            <w:tcW w:w="794" w:type="dxa"/>
            <w:vAlign w:val="top"/>
          </w:tcPr>
          <w:p w14:paraId="63A7003C">
            <w:pPr>
              <w:spacing w:before="89"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p w14:paraId="48B9E7E1">
            <w:pPr>
              <w:spacing w:before="121" w:line="201"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μg/L</w:t>
            </w:r>
          </w:p>
        </w:tc>
        <w:tc>
          <w:tcPr>
            <w:tcW w:w="1475" w:type="dxa"/>
            <w:vAlign w:val="top"/>
          </w:tcPr>
          <w:p w14:paraId="76F908BE">
            <w:pPr>
              <w:pStyle w:val="6"/>
              <w:spacing w:before="53" w:line="261" w:lineRule="auto"/>
              <w:ind w:left="171" w:right="106" w:hanging="52"/>
              <w:rPr>
                <w:rFonts w:ascii="Times New Roman" w:hAnsi="Times New Roman" w:eastAsia="Times New Roman" w:cs="Times New Roman"/>
              </w:rPr>
            </w:pPr>
            <w:r>
              <w:rPr>
                <w:spacing w:val="7"/>
              </w:rPr>
              <w:t>原子荧光光度</w:t>
            </w:r>
            <w:r>
              <w:rPr>
                <w:spacing w:val="1"/>
              </w:rPr>
              <w:t xml:space="preserve"> </w:t>
            </w:r>
            <w:r>
              <w:rPr>
                <w:spacing w:val="6"/>
              </w:rPr>
              <w:t>计</w:t>
            </w:r>
            <w:r>
              <w:rPr>
                <w:rFonts w:ascii="Times New Roman" w:hAnsi="Times New Roman" w:eastAsia="Times New Roman" w:cs="Times New Roman"/>
                <w:spacing w:val="6"/>
              </w:rPr>
              <w:t>/</w:t>
            </w:r>
            <w:r>
              <w:rPr>
                <w:rFonts w:ascii="Times New Roman" w:hAnsi="Times New Roman" w:eastAsia="Times New Roman" w:cs="Times New Roman"/>
              </w:rPr>
              <w:t>AFS</w:t>
            </w:r>
            <w:r>
              <w:rPr>
                <w:rFonts w:ascii="Times New Roman" w:hAnsi="Times New Roman" w:eastAsia="Times New Roman" w:cs="Times New Roman"/>
                <w:spacing w:val="6"/>
              </w:rPr>
              <w:t>-8220</w:t>
            </w:r>
          </w:p>
        </w:tc>
        <w:tc>
          <w:tcPr>
            <w:tcW w:w="853" w:type="dxa"/>
            <w:vAlign w:val="top"/>
          </w:tcPr>
          <w:p w14:paraId="66C811A5">
            <w:pPr>
              <w:spacing w:before="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89362A6">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03-A</w:t>
            </w:r>
          </w:p>
        </w:tc>
      </w:tr>
      <w:tr w14:paraId="384E7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0FA81CD4">
            <w:pPr>
              <w:spacing w:before="24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159" w:type="dxa"/>
            <w:vAlign w:val="top"/>
          </w:tcPr>
          <w:p w14:paraId="1E4808E3">
            <w:pPr>
              <w:pStyle w:val="6"/>
              <w:spacing w:before="211" w:line="228" w:lineRule="auto"/>
              <w:ind w:left="477"/>
            </w:pPr>
            <w:r>
              <w:rPr>
                <w:spacing w:val="1"/>
              </w:rPr>
              <w:t>砷</w:t>
            </w:r>
          </w:p>
        </w:tc>
        <w:tc>
          <w:tcPr>
            <w:tcW w:w="3893" w:type="dxa"/>
            <w:vAlign w:val="top"/>
          </w:tcPr>
          <w:p w14:paraId="6B0F229A">
            <w:pPr>
              <w:pStyle w:val="6"/>
              <w:spacing w:before="55" w:line="260" w:lineRule="auto"/>
              <w:ind w:left="781" w:right="107" w:hanging="662"/>
            </w:pPr>
            <w:r>
              <w:rPr>
                <w:spacing w:val="3"/>
              </w:rPr>
              <w:t xml:space="preserve">《水质 汞、砷、硒、铋和锑的测定 原子 </w:t>
            </w:r>
            <w:r>
              <w:rPr>
                <w:spacing w:val="5"/>
              </w:rPr>
              <w:t>荧光法》（</w:t>
            </w:r>
            <w:r>
              <w:rPr>
                <w:rFonts w:ascii="Times New Roman" w:hAnsi="Times New Roman" w:eastAsia="Times New Roman" w:cs="Times New Roman"/>
              </w:rPr>
              <w:t>HJ</w:t>
            </w:r>
            <w:r>
              <w:rPr>
                <w:rFonts w:ascii="Times New Roman" w:hAnsi="Times New Roman" w:eastAsia="Times New Roman" w:cs="Times New Roman"/>
                <w:spacing w:val="5"/>
              </w:rPr>
              <w:t xml:space="preserve"> 694-2014</w:t>
            </w:r>
            <w:r>
              <w:rPr>
                <w:spacing w:val="5"/>
              </w:rPr>
              <w:t>）</w:t>
            </w:r>
          </w:p>
        </w:tc>
        <w:tc>
          <w:tcPr>
            <w:tcW w:w="794" w:type="dxa"/>
            <w:vAlign w:val="top"/>
          </w:tcPr>
          <w:p w14:paraId="76B7C4FD">
            <w:pPr>
              <w:spacing w:before="91" w:line="275" w:lineRule="auto"/>
              <w:ind w:left="206" w:right="193" w:firstLine="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μg/L</w:t>
            </w:r>
          </w:p>
        </w:tc>
        <w:tc>
          <w:tcPr>
            <w:tcW w:w="1475" w:type="dxa"/>
            <w:vAlign w:val="top"/>
          </w:tcPr>
          <w:p w14:paraId="441D70AB">
            <w:pPr>
              <w:pStyle w:val="6"/>
              <w:spacing w:before="55" w:line="260" w:lineRule="auto"/>
              <w:ind w:left="171" w:right="106" w:hanging="52"/>
              <w:rPr>
                <w:rFonts w:ascii="Times New Roman" w:hAnsi="Times New Roman" w:eastAsia="Times New Roman" w:cs="Times New Roman"/>
              </w:rPr>
            </w:pPr>
            <w:r>
              <w:rPr>
                <w:spacing w:val="7"/>
              </w:rPr>
              <w:t>原子荧光光度</w:t>
            </w:r>
            <w:r>
              <w:rPr>
                <w:spacing w:val="1"/>
              </w:rPr>
              <w:t xml:space="preserve"> </w:t>
            </w:r>
            <w:r>
              <w:rPr>
                <w:spacing w:val="6"/>
              </w:rPr>
              <w:t>计</w:t>
            </w:r>
            <w:r>
              <w:rPr>
                <w:rFonts w:ascii="Times New Roman" w:hAnsi="Times New Roman" w:eastAsia="Times New Roman" w:cs="Times New Roman"/>
                <w:spacing w:val="6"/>
              </w:rPr>
              <w:t>/</w:t>
            </w:r>
            <w:r>
              <w:rPr>
                <w:rFonts w:ascii="Times New Roman" w:hAnsi="Times New Roman" w:eastAsia="Times New Roman" w:cs="Times New Roman"/>
              </w:rPr>
              <w:t>AFS</w:t>
            </w:r>
            <w:r>
              <w:rPr>
                <w:rFonts w:ascii="Times New Roman" w:hAnsi="Times New Roman" w:eastAsia="Times New Roman" w:cs="Times New Roman"/>
                <w:spacing w:val="6"/>
              </w:rPr>
              <w:t>-8220</w:t>
            </w:r>
          </w:p>
        </w:tc>
        <w:tc>
          <w:tcPr>
            <w:tcW w:w="853" w:type="dxa"/>
            <w:vAlign w:val="top"/>
          </w:tcPr>
          <w:p w14:paraId="176099A6">
            <w:pPr>
              <w:spacing w:before="91"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F3C9E3A">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03-A</w:t>
            </w:r>
          </w:p>
        </w:tc>
      </w:tr>
      <w:tr w14:paraId="7E45F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27" w:type="dxa"/>
            <w:vAlign w:val="top"/>
          </w:tcPr>
          <w:p w14:paraId="0AA00E68">
            <w:pPr>
              <w:spacing w:line="249" w:lineRule="auto"/>
              <w:rPr>
                <w:rFonts w:ascii="Arial"/>
                <w:sz w:val="21"/>
              </w:rPr>
            </w:pPr>
          </w:p>
          <w:p w14:paraId="63491D17">
            <w:pPr>
              <w:spacing w:line="249" w:lineRule="auto"/>
              <w:rPr>
                <w:rFonts w:ascii="Arial"/>
                <w:sz w:val="21"/>
              </w:rPr>
            </w:pPr>
          </w:p>
          <w:p w14:paraId="3E62EE46">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159" w:type="dxa"/>
            <w:vAlign w:val="top"/>
          </w:tcPr>
          <w:p w14:paraId="048106D3">
            <w:pPr>
              <w:spacing w:line="454" w:lineRule="auto"/>
              <w:rPr>
                <w:rFonts w:ascii="Arial"/>
                <w:sz w:val="21"/>
              </w:rPr>
            </w:pPr>
          </w:p>
          <w:p w14:paraId="5128B97E">
            <w:pPr>
              <w:pStyle w:val="6"/>
              <w:spacing w:before="65" w:line="231" w:lineRule="auto"/>
              <w:ind w:left="476"/>
            </w:pPr>
            <w:r>
              <w:rPr>
                <w:spacing w:val="2"/>
              </w:rPr>
              <w:t>镉</w:t>
            </w:r>
          </w:p>
        </w:tc>
        <w:tc>
          <w:tcPr>
            <w:tcW w:w="3893" w:type="dxa"/>
            <w:vAlign w:val="top"/>
          </w:tcPr>
          <w:p w14:paraId="58AA627E">
            <w:pPr>
              <w:pStyle w:val="6"/>
              <w:spacing w:before="54" w:line="228" w:lineRule="auto"/>
              <w:ind w:left="119"/>
            </w:pPr>
            <w:r>
              <w:rPr>
                <w:spacing w:val="4"/>
              </w:rPr>
              <w:t>《水和废水检测分析方法（第四版）》国</w:t>
            </w:r>
          </w:p>
          <w:p w14:paraId="7394646D">
            <w:pPr>
              <w:pStyle w:val="6"/>
              <w:spacing w:before="64" w:line="228" w:lineRule="auto"/>
              <w:ind w:left="115"/>
            </w:pPr>
            <w:r>
              <w:rPr>
                <w:spacing w:val="5"/>
              </w:rPr>
              <w:t>家环境保护总局（</w:t>
            </w:r>
            <w:r>
              <w:rPr>
                <w:rFonts w:ascii="Times New Roman" w:hAnsi="Times New Roman" w:eastAsia="Times New Roman" w:cs="Times New Roman"/>
                <w:spacing w:val="5"/>
              </w:rPr>
              <w:t xml:space="preserve">2002 </w:t>
            </w:r>
            <w:r>
              <w:rPr>
                <w:spacing w:val="5"/>
              </w:rPr>
              <w:t>年）第三篇 第四</w:t>
            </w:r>
          </w:p>
          <w:p w14:paraId="361CE9D9">
            <w:pPr>
              <w:pStyle w:val="6"/>
              <w:spacing w:before="65" w:line="227" w:lineRule="auto"/>
              <w:ind w:right="13"/>
              <w:jc w:val="right"/>
            </w:pPr>
            <w:r>
              <w:rPr>
                <w:spacing w:val="8"/>
              </w:rPr>
              <w:t>章七、镉石墨炉原子吸收法测定镉、铜、</w:t>
            </w:r>
          </w:p>
          <w:p w14:paraId="5FD83527">
            <w:pPr>
              <w:pStyle w:val="6"/>
              <w:spacing w:before="65" w:line="232" w:lineRule="auto"/>
              <w:ind w:left="1565"/>
            </w:pPr>
            <w:r>
              <w:rPr>
                <w:spacing w:val="4"/>
              </w:rPr>
              <w:t>铅（</w:t>
            </w:r>
            <w:r>
              <w:rPr>
                <w:rFonts w:ascii="Times New Roman" w:hAnsi="Times New Roman" w:eastAsia="Times New Roman" w:cs="Times New Roman"/>
                <w:spacing w:val="4"/>
              </w:rPr>
              <w:t>B</w:t>
            </w:r>
            <w:r>
              <w:rPr>
                <w:spacing w:val="4"/>
              </w:rPr>
              <w:t>）</w:t>
            </w:r>
          </w:p>
        </w:tc>
        <w:tc>
          <w:tcPr>
            <w:tcW w:w="794" w:type="dxa"/>
            <w:vAlign w:val="top"/>
          </w:tcPr>
          <w:p w14:paraId="2E354E24">
            <w:pPr>
              <w:spacing w:line="344" w:lineRule="auto"/>
              <w:rPr>
                <w:rFonts w:ascii="Arial"/>
                <w:sz w:val="21"/>
              </w:rPr>
            </w:pPr>
          </w:p>
          <w:p w14:paraId="7B423BF6">
            <w:pPr>
              <w:spacing w:before="57" w:line="346" w:lineRule="auto"/>
              <w:ind w:left="206" w:right="193" w:firstLine="6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μg/L</w:t>
            </w:r>
          </w:p>
        </w:tc>
        <w:tc>
          <w:tcPr>
            <w:tcW w:w="1475" w:type="dxa"/>
            <w:vAlign w:val="top"/>
          </w:tcPr>
          <w:p w14:paraId="41DADFF4">
            <w:pPr>
              <w:pStyle w:val="6"/>
              <w:spacing w:before="211" w:line="228" w:lineRule="auto"/>
              <w:ind w:left="114"/>
            </w:pPr>
            <w:r>
              <w:rPr>
                <w:spacing w:val="8"/>
              </w:rPr>
              <w:t>石墨炉原子吸</w:t>
            </w:r>
          </w:p>
          <w:p w14:paraId="40AF1744">
            <w:pPr>
              <w:pStyle w:val="6"/>
              <w:spacing w:before="64" w:line="228" w:lineRule="auto"/>
              <w:ind w:left="332"/>
            </w:pPr>
            <w:r>
              <w:rPr>
                <w:spacing w:val="5"/>
              </w:rPr>
              <w:t>收光谱仪</w:t>
            </w:r>
          </w:p>
          <w:p w14:paraId="4C0DFB30">
            <w:pPr>
              <w:spacing w:before="97"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ICE</w:t>
            </w:r>
            <w:r>
              <w:rPr>
                <w:rFonts w:ascii="Times New Roman" w:hAnsi="Times New Roman" w:eastAsia="Times New Roman" w:cs="Times New Roman"/>
                <w:spacing w:val="7"/>
                <w:sz w:val="20"/>
                <w:szCs w:val="20"/>
              </w:rPr>
              <w:t>-3500</w:t>
            </w:r>
          </w:p>
        </w:tc>
        <w:tc>
          <w:tcPr>
            <w:tcW w:w="853" w:type="dxa"/>
            <w:vAlign w:val="top"/>
          </w:tcPr>
          <w:p w14:paraId="200D5552">
            <w:pPr>
              <w:spacing w:line="343" w:lineRule="auto"/>
              <w:rPr>
                <w:rFonts w:ascii="Arial"/>
                <w:sz w:val="21"/>
              </w:rPr>
            </w:pPr>
          </w:p>
          <w:p w14:paraId="07935420">
            <w:pPr>
              <w:spacing w:before="5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40DFC9FD">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20-A</w:t>
            </w:r>
          </w:p>
        </w:tc>
      </w:tr>
      <w:tr w14:paraId="04656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27" w:type="dxa"/>
            <w:vAlign w:val="top"/>
          </w:tcPr>
          <w:p w14:paraId="1960D50A">
            <w:pPr>
              <w:spacing w:before="24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159" w:type="dxa"/>
            <w:vAlign w:val="top"/>
          </w:tcPr>
          <w:p w14:paraId="34A2624F">
            <w:pPr>
              <w:pStyle w:val="6"/>
              <w:spacing w:before="211" w:line="226" w:lineRule="auto"/>
              <w:ind w:left="271"/>
            </w:pPr>
            <w:r>
              <w:rPr>
                <w:spacing w:val="6"/>
              </w:rPr>
              <w:t>六价铬</w:t>
            </w:r>
          </w:p>
        </w:tc>
        <w:tc>
          <w:tcPr>
            <w:tcW w:w="3893" w:type="dxa"/>
            <w:vAlign w:val="top"/>
          </w:tcPr>
          <w:p w14:paraId="691F7C65">
            <w:pPr>
              <w:pStyle w:val="6"/>
              <w:spacing w:before="55" w:line="226" w:lineRule="auto"/>
              <w:ind w:left="172"/>
            </w:pPr>
            <w:r>
              <w:rPr>
                <w:spacing w:val="8"/>
              </w:rPr>
              <w:t>《水质 六价铬的测定 二苯碳酰二肼分</w:t>
            </w:r>
          </w:p>
          <w:p w14:paraId="0FEC6A3B">
            <w:pPr>
              <w:pStyle w:val="6"/>
              <w:spacing w:before="66" w:line="228" w:lineRule="auto"/>
              <w:ind w:left="696"/>
            </w:pPr>
            <w:r>
              <w:rPr>
                <w:spacing w:val="6"/>
              </w:rPr>
              <w:t>光光度法》（</w:t>
            </w:r>
            <w:r>
              <w:rPr>
                <w:rFonts w:ascii="Times New Roman" w:hAnsi="Times New Roman" w:eastAsia="Times New Roman" w:cs="Times New Roman"/>
              </w:rPr>
              <w:t>GB</w:t>
            </w:r>
            <w:r>
              <w:rPr>
                <w:rFonts w:ascii="Times New Roman" w:hAnsi="Times New Roman" w:eastAsia="Times New Roman" w:cs="Times New Roman"/>
                <w:spacing w:val="6"/>
              </w:rPr>
              <w:t xml:space="preserve"> 7467-87</w:t>
            </w:r>
            <w:r>
              <w:rPr>
                <w:spacing w:val="6"/>
              </w:rPr>
              <w:t>）</w:t>
            </w:r>
          </w:p>
        </w:tc>
        <w:tc>
          <w:tcPr>
            <w:tcW w:w="794" w:type="dxa"/>
            <w:vAlign w:val="top"/>
          </w:tcPr>
          <w:p w14:paraId="2A3301AC">
            <w:pPr>
              <w:spacing w:before="91"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p w14:paraId="3FA95DA8">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96EE788">
            <w:pPr>
              <w:pStyle w:val="6"/>
              <w:spacing w:before="55" w:line="228" w:lineRule="auto"/>
              <w:ind w:left="115"/>
            </w:pPr>
            <w:r>
              <w:rPr>
                <w:spacing w:val="7"/>
              </w:rPr>
              <w:t>可见分光光度</w:t>
            </w:r>
          </w:p>
          <w:p w14:paraId="3A284F74">
            <w:pPr>
              <w:pStyle w:val="6"/>
              <w:spacing w:before="65" w:line="229" w:lineRule="auto"/>
              <w:ind w:left="325"/>
              <w:rPr>
                <w:rFonts w:ascii="Times New Roman" w:hAnsi="Times New Roman" w:eastAsia="Times New Roman" w:cs="Times New Roman"/>
              </w:rPr>
            </w:pPr>
            <w:r>
              <w:rPr>
                <w:spacing w:val="4"/>
              </w:rPr>
              <w:t>计</w:t>
            </w:r>
            <w:r>
              <w:rPr>
                <w:rFonts w:ascii="Times New Roman" w:hAnsi="Times New Roman" w:eastAsia="Times New Roman" w:cs="Times New Roman"/>
                <w:spacing w:val="4"/>
              </w:rPr>
              <w:t>/7230G</w:t>
            </w:r>
          </w:p>
        </w:tc>
        <w:tc>
          <w:tcPr>
            <w:tcW w:w="853" w:type="dxa"/>
            <w:vAlign w:val="top"/>
          </w:tcPr>
          <w:p w14:paraId="208BD015">
            <w:pPr>
              <w:spacing w:before="91"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78760CF6">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22-A</w:t>
            </w:r>
          </w:p>
        </w:tc>
      </w:tr>
      <w:tr w14:paraId="570A0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27" w:type="dxa"/>
            <w:vAlign w:val="top"/>
          </w:tcPr>
          <w:p w14:paraId="453B0E4B">
            <w:pPr>
              <w:spacing w:line="249" w:lineRule="auto"/>
              <w:rPr>
                <w:rFonts w:ascii="Arial"/>
                <w:sz w:val="21"/>
              </w:rPr>
            </w:pPr>
          </w:p>
          <w:p w14:paraId="71E5AF72">
            <w:pPr>
              <w:spacing w:line="249" w:lineRule="auto"/>
              <w:rPr>
                <w:rFonts w:ascii="Arial"/>
                <w:sz w:val="21"/>
              </w:rPr>
            </w:pPr>
          </w:p>
          <w:p w14:paraId="4ABCFB9D">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159" w:type="dxa"/>
            <w:vAlign w:val="top"/>
          </w:tcPr>
          <w:p w14:paraId="624ABC0E">
            <w:pPr>
              <w:spacing w:line="455" w:lineRule="auto"/>
              <w:rPr>
                <w:rFonts w:ascii="Arial"/>
                <w:sz w:val="21"/>
              </w:rPr>
            </w:pPr>
          </w:p>
          <w:p w14:paraId="5CF02C56">
            <w:pPr>
              <w:pStyle w:val="6"/>
              <w:spacing w:before="65" w:line="232" w:lineRule="auto"/>
              <w:ind w:left="478"/>
            </w:pPr>
            <w:r>
              <w:t>铅</w:t>
            </w:r>
          </w:p>
        </w:tc>
        <w:tc>
          <w:tcPr>
            <w:tcW w:w="3893" w:type="dxa"/>
            <w:vAlign w:val="top"/>
          </w:tcPr>
          <w:p w14:paraId="4417DC97">
            <w:pPr>
              <w:pStyle w:val="6"/>
              <w:spacing w:before="54" w:line="228" w:lineRule="auto"/>
              <w:ind w:left="119"/>
            </w:pPr>
            <w:r>
              <w:rPr>
                <w:spacing w:val="4"/>
              </w:rPr>
              <w:t>《水和废水监测分析方法（第四版）》国</w:t>
            </w:r>
          </w:p>
          <w:p w14:paraId="11542D16">
            <w:pPr>
              <w:pStyle w:val="6"/>
              <w:spacing w:before="65" w:line="228" w:lineRule="auto"/>
              <w:ind w:left="115"/>
            </w:pPr>
            <w:r>
              <w:rPr>
                <w:spacing w:val="6"/>
              </w:rPr>
              <w:t>家环境保护总局（</w:t>
            </w:r>
            <w:r>
              <w:rPr>
                <w:rFonts w:ascii="Times New Roman" w:hAnsi="Times New Roman" w:eastAsia="Times New Roman" w:cs="Times New Roman"/>
                <w:spacing w:val="6"/>
              </w:rPr>
              <w:t xml:space="preserve">2002  </w:t>
            </w:r>
            <w:r>
              <w:rPr>
                <w:spacing w:val="6"/>
              </w:rPr>
              <w:t>年）</w:t>
            </w:r>
            <w:r>
              <w:rPr>
                <w:spacing w:val="37"/>
              </w:rPr>
              <w:t xml:space="preserve"> </w:t>
            </w:r>
            <w:r>
              <w:rPr>
                <w:spacing w:val="6"/>
              </w:rPr>
              <w:t>第三篇 第</w:t>
            </w:r>
          </w:p>
          <w:p w14:paraId="12CC940F">
            <w:pPr>
              <w:pStyle w:val="6"/>
              <w:spacing w:before="65" w:line="227" w:lineRule="auto"/>
              <w:ind w:left="133"/>
            </w:pPr>
            <w:r>
              <w:rPr>
                <w:spacing w:val="3"/>
              </w:rPr>
              <w:t>四章 十六、铅</w:t>
            </w:r>
            <w:r>
              <w:rPr>
                <w:spacing w:val="-9"/>
              </w:rPr>
              <w:t xml:space="preserve"> </w:t>
            </w:r>
            <w:r>
              <w:rPr>
                <w:spacing w:val="3"/>
              </w:rPr>
              <w:t>（五）石墨炉原子吸收法</w:t>
            </w:r>
          </w:p>
          <w:p w14:paraId="6B87FB88">
            <w:pPr>
              <w:pStyle w:val="6"/>
              <w:spacing w:before="65" w:line="232" w:lineRule="auto"/>
              <w:ind w:left="1681"/>
            </w:pPr>
            <w:r>
              <w:rPr>
                <w:spacing w:val="-1"/>
              </w:rPr>
              <w:t>（</w:t>
            </w:r>
            <w:r>
              <w:rPr>
                <w:rFonts w:ascii="Times New Roman" w:hAnsi="Times New Roman" w:eastAsia="Times New Roman" w:cs="Times New Roman"/>
                <w:spacing w:val="-1"/>
              </w:rPr>
              <w:t>B</w:t>
            </w:r>
            <w:r>
              <w:rPr>
                <w:spacing w:val="-1"/>
              </w:rPr>
              <w:t>）</w:t>
            </w:r>
          </w:p>
        </w:tc>
        <w:tc>
          <w:tcPr>
            <w:tcW w:w="794" w:type="dxa"/>
            <w:vAlign w:val="top"/>
          </w:tcPr>
          <w:p w14:paraId="397A6CAF">
            <w:pPr>
              <w:spacing w:line="343" w:lineRule="auto"/>
              <w:rPr>
                <w:rFonts w:ascii="Arial"/>
                <w:sz w:val="21"/>
              </w:rPr>
            </w:pPr>
          </w:p>
          <w:p w14:paraId="5229AAF4">
            <w:pPr>
              <w:spacing w:before="57"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70AEFBDA">
            <w:pPr>
              <w:spacing w:before="121" w:line="201"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μg/L</w:t>
            </w:r>
          </w:p>
        </w:tc>
        <w:tc>
          <w:tcPr>
            <w:tcW w:w="1475" w:type="dxa"/>
            <w:vAlign w:val="top"/>
          </w:tcPr>
          <w:p w14:paraId="53BC2CDC">
            <w:pPr>
              <w:pStyle w:val="6"/>
              <w:spacing w:before="211" w:line="228" w:lineRule="auto"/>
              <w:ind w:left="114"/>
            </w:pPr>
            <w:r>
              <w:rPr>
                <w:spacing w:val="8"/>
              </w:rPr>
              <w:t>石墨炉原子吸</w:t>
            </w:r>
          </w:p>
          <w:p w14:paraId="654E56A6">
            <w:pPr>
              <w:pStyle w:val="6"/>
              <w:spacing w:before="64" w:line="228" w:lineRule="auto"/>
              <w:ind w:left="332"/>
            </w:pPr>
            <w:r>
              <w:rPr>
                <w:spacing w:val="5"/>
              </w:rPr>
              <w:t>收光谱仪</w:t>
            </w:r>
          </w:p>
          <w:p w14:paraId="742AAFB5">
            <w:pPr>
              <w:spacing w:before="97"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ICE</w:t>
            </w:r>
            <w:r>
              <w:rPr>
                <w:rFonts w:ascii="Times New Roman" w:hAnsi="Times New Roman" w:eastAsia="Times New Roman" w:cs="Times New Roman"/>
                <w:spacing w:val="7"/>
                <w:sz w:val="20"/>
                <w:szCs w:val="20"/>
              </w:rPr>
              <w:t>-3500</w:t>
            </w:r>
          </w:p>
        </w:tc>
        <w:tc>
          <w:tcPr>
            <w:tcW w:w="853" w:type="dxa"/>
            <w:vAlign w:val="top"/>
          </w:tcPr>
          <w:p w14:paraId="76530B7F">
            <w:pPr>
              <w:spacing w:line="343" w:lineRule="auto"/>
              <w:rPr>
                <w:rFonts w:ascii="Arial"/>
                <w:sz w:val="21"/>
              </w:rPr>
            </w:pPr>
          </w:p>
          <w:p w14:paraId="4DAE59A3">
            <w:pPr>
              <w:spacing w:before="5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869B06C">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20-A</w:t>
            </w:r>
          </w:p>
        </w:tc>
      </w:tr>
      <w:tr w14:paraId="5E227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27" w:type="dxa"/>
            <w:vAlign w:val="top"/>
          </w:tcPr>
          <w:p w14:paraId="187B4012">
            <w:pPr>
              <w:spacing w:line="343" w:lineRule="auto"/>
              <w:rPr>
                <w:rFonts w:ascii="Arial"/>
                <w:sz w:val="21"/>
              </w:rPr>
            </w:pPr>
          </w:p>
          <w:p w14:paraId="3C0DD097">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59" w:type="dxa"/>
            <w:vAlign w:val="top"/>
          </w:tcPr>
          <w:p w14:paraId="1522DBE5">
            <w:pPr>
              <w:pStyle w:val="6"/>
              <w:spacing w:before="212" w:line="228" w:lineRule="auto"/>
              <w:ind w:left="165"/>
            </w:pPr>
            <w:r>
              <w:rPr>
                <w:spacing w:val="6"/>
              </w:rPr>
              <w:t>可溶性阳</w:t>
            </w:r>
          </w:p>
          <w:p w14:paraId="145A7914">
            <w:pPr>
              <w:pStyle w:val="6"/>
              <w:spacing w:before="64" w:line="228" w:lineRule="auto"/>
              <w:ind w:left="215"/>
              <w:rPr>
                <w:rFonts w:ascii="Times New Roman" w:hAnsi="Times New Roman" w:eastAsia="Times New Roman" w:cs="Times New Roman"/>
              </w:rPr>
            </w:pPr>
            <w:r>
              <w:rPr>
                <w:spacing w:val="2"/>
              </w:rPr>
              <w:t>离子</w:t>
            </w:r>
            <w:r>
              <w:rPr>
                <w:spacing w:val="-39"/>
              </w:rPr>
              <w:t xml:space="preserve"> </w:t>
            </w:r>
            <w:r>
              <w:rPr>
                <w:rFonts w:ascii="Times New Roman" w:hAnsi="Times New Roman" w:eastAsia="Times New Roman" w:cs="Times New Roman"/>
                <w:spacing w:val="2"/>
              </w:rPr>
              <w:t>K+</w:t>
            </w:r>
          </w:p>
        </w:tc>
        <w:tc>
          <w:tcPr>
            <w:tcW w:w="3893" w:type="dxa"/>
            <w:vAlign w:val="top"/>
          </w:tcPr>
          <w:p w14:paraId="094A9189">
            <w:pPr>
              <w:pStyle w:val="6"/>
              <w:spacing w:before="55" w:line="228" w:lineRule="auto"/>
              <w:ind w:left="119"/>
            </w:pPr>
            <w:r>
              <w:rPr>
                <w:spacing w:val="6"/>
              </w:rPr>
              <w:t>《水质可溶性阳离子（</w:t>
            </w:r>
            <w:r>
              <w:rPr>
                <w:rFonts w:ascii="Times New Roman" w:hAnsi="Times New Roman" w:eastAsia="Times New Roman" w:cs="Times New Roman"/>
              </w:rPr>
              <w:t>Li</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2"/>
                <w:position w:val="6"/>
                <w:sz w:val="13"/>
                <w:szCs w:val="13"/>
              </w:rPr>
              <w:t xml:space="preserve"> </w:t>
            </w:r>
            <w:r>
              <w:rPr>
                <w:spacing w:val="6"/>
              </w:rPr>
              <w:t>、</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12"/>
                <w:position w:val="6"/>
                <w:sz w:val="13"/>
                <w:szCs w:val="13"/>
              </w:rPr>
              <w:t xml:space="preserve"> </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position w:val="-1"/>
                <w:sz w:val="13"/>
                <w:szCs w:val="13"/>
              </w:rPr>
              <w:t>4</w:t>
            </w:r>
            <w:r>
              <w:rPr>
                <w:rFonts w:ascii="Times New Roman" w:hAnsi="Times New Roman" w:eastAsia="Times New Roman" w:cs="Times New Roman"/>
                <w:spacing w:val="6"/>
                <w:position w:val="6"/>
                <w:sz w:val="13"/>
                <w:szCs w:val="13"/>
              </w:rPr>
              <w:t>+</w:t>
            </w:r>
            <w:r>
              <w:rPr>
                <w:spacing w:val="6"/>
              </w:rPr>
              <w:t>、</w:t>
            </w:r>
          </w:p>
          <w:p w14:paraId="316DC3C8">
            <w:pPr>
              <w:pStyle w:val="6"/>
              <w:spacing w:before="65" w:line="221" w:lineRule="auto"/>
              <w:ind w:left="109"/>
              <w:rPr>
                <w:rFonts w:ascii="Times New Roman" w:hAnsi="Times New Roman" w:eastAsia="Times New Roman" w:cs="Times New Roman"/>
              </w:rPr>
            </w:pPr>
            <w:r>
              <w:rPr>
                <w:rFonts w:ascii="Times New Roman" w:hAnsi="Times New Roman" w:eastAsia="Times New Roman" w:cs="Times New Roman"/>
                <w:spacing w:val="2"/>
              </w:rPr>
              <w:t>K</w:t>
            </w:r>
            <w:r>
              <w:rPr>
                <w:rFonts w:ascii="Times New Roman" w:hAnsi="Times New Roman" w:eastAsia="Times New Roman" w:cs="Times New Roman"/>
                <w:spacing w:val="2"/>
                <w:position w:val="6"/>
                <w:sz w:val="13"/>
                <w:szCs w:val="13"/>
              </w:rPr>
              <w:t>+</w:t>
            </w:r>
            <w:r>
              <w:rPr>
                <w:spacing w:val="-16"/>
              </w:rPr>
              <w:t>、</w:t>
            </w:r>
            <w:r>
              <w:rPr>
                <w:rFonts w:ascii="Times New Roman" w:hAnsi="Times New Roman" w:eastAsia="Times New Roman" w:cs="Times New Roman"/>
                <w:spacing w:val="-16"/>
              </w:rPr>
              <w:t>Ca</w:t>
            </w:r>
            <w:r>
              <w:rPr>
                <w:rFonts w:ascii="Times New Roman" w:hAnsi="Times New Roman" w:eastAsia="Times New Roman" w:cs="Times New Roman"/>
                <w:spacing w:val="5"/>
                <w:position w:val="6"/>
                <w:sz w:val="13"/>
                <w:szCs w:val="13"/>
              </w:rPr>
              <w:t>2+</w:t>
            </w:r>
            <w:r>
              <w:rPr>
                <w:spacing w:val="-16"/>
              </w:rPr>
              <w:t>、</w:t>
            </w:r>
            <w:r>
              <w:rPr>
                <w:rFonts w:ascii="Times New Roman" w:hAnsi="Times New Roman" w:eastAsia="Times New Roman" w:cs="Times New Roman"/>
                <w:spacing w:val="-16"/>
              </w:rPr>
              <w:t>Mg</w:t>
            </w:r>
            <w:r>
              <w:rPr>
                <w:rFonts w:ascii="Times New Roman" w:hAnsi="Times New Roman" w:eastAsia="Times New Roman" w:cs="Times New Roman"/>
                <w:spacing w:val="-5"/>
                <w:position w:val="6"/>
                <w:sz w:val="13"/>
                <w:szCs w:val="13"/>
              </w:rPr>
              <w:t>2+</w:t>
            </w:r>
            <w:r>
              <w:rPr>
                <w:spacing w:val="-5"/>
              </w:rPr>
              <w:t>）的测定离子色谱法》（</w:t>
            </w:r>
            <w:r>
              <w:rPr>
                <w:rFonts w:ascii="Times New Roman" w:hAnsi="Times New Roman" w:eastAsia="Times New Roman" w:cs="Times New Roman"/>
                <w:spacing w:val="-5"/>
              </w:rPr>
              <w:t>HJ</w:t>
            </w:r>
          </w:p>
          <w:p w14:paraId="002C1562">
            <w:pPr>
              <w:pStyle w:val="6"/>
              <w:spacing w:before="72" w:line="232" w:lineRule="auto"/>
              <w:ind w:left="1450"/>
            </w:pPr>
            <w:r>
              <w:rPr>
                <w:rFonts w:ascii="Times New Roman" w:hAnsi="Times New Roman" w:eastAsia="Times New Roman" w:cs="Times New Roman"/>
                <w:spacing w:val="2"/>
              </w:rPr>
              <w:t>812-2016</w:t>
            </w:r>
            <w:r>
              <w:rPr>
                <w:spacing w:val="2"/>
              </w:rPr>
              <w:t>）</w:t>
            </w:r>
          </w:p>
        </w:tc>
        <w:tc>
          <w:tcPr>
            <w:tcW w:w="794" w:type="dxa"/>
            <w:vAlign w:val="top"/>
          </w:tcPr>
          <w:p w14:paraId="148CB0A6">
            <w:pPr>
              <w:spacing w:before="24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1F42E706">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1BBCBB0D">
            <w:pPr>
              <w:pStyle w:val="6"/>
              <w:spacing w:before="210"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71B04F64">
            <w:pPr>
              <w:spacing w:before="24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0CD66731">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2C064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27" w:type="dxa"/>
            <w:vAlign w:val="top"/>
          </w:tcPr>
          <w:p w14:paraId="5309540C">
            <w:pPr>
              <w:spacing w:line="343" w:lineRule="auto"/>
              <w:rPr>
                <w:rFonts w:ascii="Arial"/>
                <w:sz w:val="21"/>
              </w:rPr>
            </w:pPr>
          </w:p>
          <w:p w14:paraId="5593F54C">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159" w:type="dxa"/>
            <w:vAlign w:val="top"/>
          </w:tcPr>
          <w:p w14:paraId="2B54AC04">
            <w:pPr>
              <w:pStyle w:val="6"/>
              <w:spacing w:before="210" w:line="290" w:lineRule="auto"/>
              <w:ind w:left="169" w:right="160" w:hanging="4"/>
              <w:rPr>
                <w:rFonts w:ascii="Times New Roman" w:hAnsi="Times New Roman" w:eastAsia="Times New Roman" w:cs="Times New Roman"/>
              </w:rPr>
            </w:pPr>
            <w:r>
              <w:rPr>
                <w:spacing w:val="6"/>
              </w:rPr>
              <w:t>可溶性阳</w:t>
            </w:r>
            <w:r>
              <w:rPr>
                <w:spacing w:val="2"/>
              </w:rPr>
              <w:t xml:space="preserve"> </w:t>
            </w:r>
            <w:r>
              <w:rPr>
                <w:spacing w:val="8"/>
              </w:rPr>
              <w:t>离子</w:t>
            </w:r>
            <w:r>
              <w:rPr>
                <w:spacing w:val="-50"/>
              </w:rPr>
              <w:t xml:space="preserve"> </w:t>
            </w:r>
            <w:r>
              <w:rPr>
                <w:rFonts w:ascii="Times New Roman" w:hAnsi="Times New Roman" w:eastAsia="Times New Roman" w:cs="Times New Roman"/>
              </w:rPr>
              <w:t>Na</w:t>
            </w:r>
            <w:r>
              <w:rPr>
                <w:rFonts w:ascii="Times New Roman" w:hAnsi="Times New Roman" w:eastAsia="Times New Roman" w:cs="Times New Roman"/>
                <w:spacing w:val="8"/>
              </w:rPr>
              <w:t>+</w:t>
            </w:r>
          </w:p>
        </w:tc>
        <w:tc>
          <w:tcPr>
            <w:tcW w:w="3893" w:type="dxa"/>
            <w:vAlign w:val="top"/>
          </w:tcPr>
          <w:p w14:paraId="6FF31DA7">
            <w:pPr>
              <w:pStyle w:val="6"/>
              <w:spacing w:before="54" w:line="228" w:lineRule="auto"/>
              <w:ind w:left="119"/>
            </w:pPr>
            <w:r>
              <w:rPr>
                <w:spacing w:val="6"/>
              </w:rPr>
              <w:t>《水质可溶性阳离子（</w:t>
            </w:r>
            <w:r>
              <w:rPr>
                <w:rFonts w:ascii="Times New Roman" w:hAnsi="Times New Roman" w:eastAsia="Times New Roman" w:cs="Times New Roman"/>
              </w:rPr>
              <w:t>Li</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2"/>
                <w:position w:val="6"/>
                <w:sz w:val="13"/>
                <w:szCs w:val="13"/>
              </w:rPr>
              <w:t xml:space="preserve"> </w:t>
            </w:r>
            <w:r>
              <w:rPr>
                <w:spacing w:val="6"/>
              </w:rPr>
              <w:t>、</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12"/>
                <w:position w:val="6"/>
                <w:sz w:val="13"/>
                <w:szCs w:val="13"/>
              </w:rPr>
              <w:t xml:space="preserve"> </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position w:val="-2"/>
                <w:sz w:val="13"/>
                <w:szCs w:val="13"/>
              </w:rPr>
              <w:t>4</w:t>
            </w:r>
            <w:r>
              <w:rPr>
                <w:rFonts w:ascii="Times New Roman" w:hAnsi="Times New Roman" w:eastAsia="Times New Roman" w:cs="Times New Roman"/>
                <w:spacing w:val="6"/>
                <w:position w:val="6"/>
                <w:sz w:val="13"/>
                <w:szCs w:val="13"/>
              </w:rPr>
              <w:t>+</w:t>
            </w:r>
            <w:r>
              <w:rPr>
                <w:spacing w:val="6"/>
              </w:rPr>
              <w:t>、</w:t>
            </w:r>
          </w:p>
          <w:p w14:paraId="69B9AA76">
            <w:pPr>
              <w:pStyle w:val="6"/>
              <w:spacing w:before="65" w:line="221" w:lineRule="auto"/>
              <w:ind w:left="109"/>
              <w:rPr>
                <w:rFonts w:ascii="Times New Roman" w:hAnsi="Times New Roman" w:eastAsia="Times New Roman" w:cs="Times New Roman"/>
              </w:rPr>
            </w:pPr>
            <w:r>
              <w:rPr>
                <w:rFonts w:ascii="Times New Roman" w:hAnsi="Times New Roman" w:eastAsia="Times New Roman" w:cs="Times New Roman"/>
                <w:spacing w:val="2"/>
              </w:rPr>
              <w:t>K</w:t>
            </w:r>
            <w:r>
              <w:rPr>
                <w:rFonts w:ascii="Times New Roman" w:hAnsi="Times New Roman" w:eastAsia="Times New Roman" w:cs="Times New Roman"/>
                <w:spacing w:val="2"/>
                <w:position w:val="6"/>
                <w:sz w:val="13"/>
                <w:szCs w:val="13"/>
              </w:rPr>
              <w:t>+</w:t>
            </w:r>
            <w:r>
              <w:rPr>
                <w:spacing w:val="-16"/>
              </w:rPr>
              <w:t>、</w:t>
            </w:r>
            <w:r>
              <w:rPr>
                <w:rFonts w:ascii="Times New Roman" w:hAnsi="Times New Roman" w:eastAsia="Times New Roman" w:cs="Times New Roman"/>
                <w:spacing w:val="-16"/>
              </w:rPr>
              <w:t>Ca</w:t>
            </w:r>
            <w:r>
              <w:rPr>
                <w:rFonts w:ascii="Times New Roman" w:hAnsi="Times New Roman" w:eastAsia="Times New Roman" w:cs="Times New Roman"/>
                <w:spacing w:val="5"/>
                <w:position w:val="6"/>
                <w:sz w:val="13"/>
                <w:szCs w:val="13"/>
              </w:rPr>
              <w:t>2+</w:t>
            </w:r>
            <w:r>
              <w:rPr>
                <w:spacing w:val="-16"/>
              </w:rPr>
              <w:t>、</w:t>
            </w:r>
            <w:r>
              <w:rPr>
                <w:rFonts w:ascii="Times New Roman" w:hAnsi="Times New Roman" w:eastAsia="Times New Roman" w:cs="Times New Roman"/>
                <w:spacing w:val="-16"/>
              </w:rPr>
              <w:t>Mg</w:t>
            </w:r>
            <w:r>
              <w:rPr>
                <w:rFonts w:ascii="Times New Roman" w:hAnsi="Times New Roman" w:eastAsia="Times New Roman" w:cs="Times New Roman"/>
                <w:spacing w:val="-5"/>
                <w:position w:val="6"/>
                <w:sz w:val="13"/>
                <w:szCs w:val="13"/>
              </w:rPr>
              <w:t>2+</w:t>
            </w:r>
            <w:r>
              <w:rPr>
                <w:spacing w:val="-5"/>
              </w:rPr>
              <w:t>）的测定离子色谱法》（</w:t>
            </w:r>
            <w:r>
              <w:rPr>
                <w:rFonts w:ascii="Times New Roman" w:hAnsi="Times New Roman" w:eastAsia="Times New Roman" w:cs="Times New Roman"/>
                <w:spacing w:val="-5"/>
              </w:rPr>
              <w:t>HJ</w:t>
            </w:r>
          </w:p>
          <w:p w14:paraId="7306BDBD">
            <w:pPr>
              <w:pStyle w:val="6"/>
              <w:spacing w:before="72" w:line="234" w:lineRule="auto"/>
              <w:ind w:left="1450"/>
            </w:pPr>
            <w:r>
              <w:rPr>
                <w:rFonts w:ascii="Times New Roman" w:hAnsi="Times New Roman" w:eastAsia="Times New Roman" w:cs="Times New Roman"/>
                <w:spacing w:val="2"/>
              </w:rPr>
              <w:t>812-2016</w:t>
            </w:r>
            <w:r>
              <w:rPr>
                <w:spacing w:val="2"/>
              </w:rPr>
              <w:t>）</w:t>
            </w:r>
          </w:p>
        </w:tc>
        <w:tc>
          <w:tcPr>
            <w:tcW w:w="794" w:type="dxa"/>
            <w:vAlign w:val="top"/>
          </w:tcPr>
          <w:p w14:paraId="0E3739FA">
            <w:pPr>
              <w:spacing w:before="24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14CD9717">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2FA556D0">
            <w:pPr>
              <w:pStyle w:val="6"/>
              <w:spacing w:before="210"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75223331">
            <w:pPr>
              <w:spacing w:before="247"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00CFCD8">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bl>
    <w:p w14:paraId="35386513">
      <w:pPr>
        <w:pStyle w:val="2"/>
      </w:pPr>
    </w:p>
    <w:p w14:paraId="648C0D7E">
      <w:pPr>
        <w:sectPr>
          <w:footerReference r:id="rId193" w:type="default"/>
          <w:pgSz w:w="11906" w:h="16839"/>
          <w:pgMar w:top="1208" w:right="1600" w:bottom="957" w:left="1599" w:header="825" w:footer="795" w:gutter="0"/>
          <w:cols w:space="720" w:num="1"/>
        </w:sectPr>
      </w:pPr>
    </w:p>
    <w:p w14:paraId="2C8EAA0C">
      <w:pPr>
        <w:spacing w:line="231" w:lineRule="exact"/>
      </w:pPr>
    </w:p>
    <w:tbl>
      <w:tblPr>
        <w:tblStyle w:val="5"/>
        <w:tblW w:w="87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1159"/>
        <w:gridCol w:w="3893"/>
        <w:gridCol w:w="794"/>
        <w:gridCol w:w="1475"/>
        <w:gridCol w:w="853"/>
      </w:tblGrid>
      <w:tr w14:paraId="28AD2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27" w:type="dxa"/>
            <w:vAlign w:val="top"/>
          </w:tcPr>
          <w:p w14:paraId="3700E1A6">
            <w:pPr>
              <w:spacing w:line="344" w:lineRule="auto"/>
              <w:rPr>
                <w:rFonts w:ascii="Arial"/>
                <w:sz w:val="21"/>
              </w:rPr>
            </w:pPr>
          </w:p>
          <w:p w14:paraId="35D9A1B7">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159" w:type="dxa"/>
            <w:vAlign w:val="top"/>
          </w:tcPr>
          <w:p w14:paraId="3E919FFF">
            <w:pPr>
              <w:pStyle w:val="6"/>
              <w:spacing w:before="211" w:line="290" w:lineRule="auto"/>
              <w:ind w:left="121" w:right="114" w:firstLine="43"/>
              <w:rPr>
                <w:rFonts w:ascii="Times New Roman" w:hAnsi="Times New Roman" w:eastAsia="Times New Roman" w:cs="Times New Roman"/>
              </w:rPr>
            </w:pPr>
            <w:r>
              <w:rPr>
                <w:spacing w:val="6"/>
              </w:rPr>
              <w:t>可溶性阳</w:t>
            </w:r>
            <w:r>
              <w:rPr>
                <w:spacing w:val="2"/>
              </w:rPr>
              <w:t xml:space="preserve"> </w:t>
            </w:r>
            <w:r>
              <w:rPr>
                <w:spacing w:val="4"/>
              </w:rPr>
              <w:t>离子</w:t>
            </w:r>
            <w:r>
              <w:rPr>
                <w:spacing w:val="-35"/>
              </w:rPr>
              <w:t xml:space="preserve"> </w:t>
            </w:r>
            <w:r>
              <w:rPr>
                <w:rFonts w:ascii="Times New Roman" w:hAnsi="Times New Roman" w:eastAsia="Times New Roman" w:cs="Times New Roman"/>
              </w:rPr>
              <w:t>Ca</w:t>
            </w:r>
            <w:r>
              <w:rPr>
                <w:rFonts w:ascii="Times New Roman" w:hAnsi="Times New Roman" w:eastAsia="Times New Roman" w:cs="Times New Roman"/>
                <w:spacing w:val="4"/>
              </w:rPr>
              <w:t>2+</w:t>
            </w:r>
          </w:p>
        </w:tc>
        <w:tc>
          <w:tcPr>
            <w:tcW w:w="3893" w:type="dxa"/>
            <w:vAlign w:val="top"/>
          </w:tcPr>
          <w:p w14:paraId="45D8433B">
            <w:pPr>
              <w:pStyle w:val="6"/>
              <w:spacing w:before="56" w:line="228" w:lineRule="auto"/>
              <w:ind w:left="119"/>
            </w:pPr>
            <w:r>
              <w:rPr>
                <w:spacing w:val="6"/>
              </w:rPr>
              <w:t>《水质可溶性阳离子（</w:t>
            </w:r>
            <w:r>
              <w:rPr>
                <w:rFonts w:ascii="Times New Roman" w:hAnsi="Times New Roman" w:eastAsia="Times New Roman" w:cs="Times New Roman"/>
              </w:rPr>
              <w:t>Li</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2"/>
                <w:position w:val="6"/>
                <w:sz w:val="13"/>
                <w:szCs w:val="13"/>
              </w:rPr>
              <w:t xml:space="preserve"> </w:t>
            </w:r>
            <w:r>
              <w:rPr>
                <w:spacing w:val="6"/>
              </w:rPr>
              <w:t>、</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12"/>
                <w:position w:val="6"/>
                <w:sz w:val="13"/>
                <w:szCs w:val="13"/>
              </w:rPr>
              <w:t xml:space="preserve"> </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position w:val="-1"/>
                <w:sz w:val="13"/>
                <w:szCs w:val="13"/>
              </w:rPr>
              <w:t>4</w:t>
            </w:r>
            <w:r>
              <w:rPr>
                <w:rFonts w:ascii="Times New Roman" w:hAnsi="Times New Roman" w:eastAsia="Times New Roman" w:cs="Times New Roman"/>
                <w:spacing w:val="6"/>
                <w:position w:val="6"/>
                <w:sz w:val="13"/>
                <w:szCs w:val="13"/>
              </w:rPr>
              <w:t>+</w:t>
            </w:r>
            <w:r>
              <w:rPr>
                <w:spacing w:val="6"/>
              </w:rPr>
              <w:t>、</w:t>
            </w:r>
          </w:p>
          <w:p w14:paraId="45B97F74">
            <w:pPr>
              <w:pStyle w:val="6"/>
              <w:spacing w:before="65" w:line="221" w:lineRule="auto"/>
              <w:ind w:left="109"/>
              <w:rPr>
                <w:rFonts w:ascii="Times New Roman" w:hAnsi="Times New Roman" w:eastAsia="Times New Roman" w:cs="Times New Roman"/>
              </w:rPr>
            </w:pPr>
            <w:r>
              <w:rPr>
                <w:rFonts w:ascii="Times New Roman" w:hAnsi="Times New Roman" w:eastAsia="Times New Roman" w:cs="Times New Roman"/>
                <w:spacing w:val="2"/>
              </w:rPr>
              <w:t>K</w:t>
            </w:r>
            <w:r>
              <w:rPr>
                <w:rFonts w:ascii="Times New Roman" w:hAnsi="Times New Roman" w:eastAsia="Times New Roman" w:cs="Times New Roman"/>
                <w:spacing w:val="2"/>
                <w:position w:val="6"/>
                <w:sz w:val="13"/>
                <w:szCs w:val="13"/>
              </w:rPr>
              <w:t>+</w:t>
            </w:r>
            <w:r>
              <w:rPr>
                <w:spacing w:val="-16"/>
              </w:rPr>
              <w:t>、</w:t>
            </w:r>
            <w:r>
              <w:rPr>
                <w:rFonts w:ascii="Times New Roman" w:hAnsi="Times New Roman" w:eastAsia="Times New Roman" w:cs="Times New Roman"/>
                <w:spacing w:val="-16"/>
              </w:rPr>
              <w:t>Ca</w:t>
            </w:r>
            <w:r>
              <w:rPr>
                <w:rFonts w:ascii="Times New Roman" w:hAnsi="Times New Roman" w:eastAsia="Times New Roman" w:cs="Times New Roman"/>
                <w:spacing w:val="5"/>
                <w:position w:val="6"/>
                <w:sz w:val="13"/>
                <w:szCs w:val="13"/>
              </w:rPr>
              <w:t>2+</w:t>
            </w:r>
            <w:r>
              <w:rPr>
                <w:spacing w:val="-16"/>
              </w:rPr>
              <w:t>、</w:t>
            </w:r>
            <w:r>
              <w:rPr>
                <w:rFonts w:ascii="Times New Roman" w:hAnsi="Times New Roman" w:eastAsia="Times New Roman" w:cs="Times New Roman"/>
                <w:spacing w:val="-16"/>
              </w:rPr>
              <w:t>Mg</w:t>
            </w:r>
            <w:r>
              <w:rPr>
                <w:rFonts w:ascii="Times New Roman" w:hAnsi="Times New Roman" w:eastAsia="Times New Roman" w:cs="Times New Roman"/>
                <w:spacing w:val="-5"/>
                <w:position w:val="6"/>
                <w:sz w:val="13"/>
                <w:szCs w:val="13"/>
              </w:rPr>
              <w:t>2+</w:t>
            </w:r>
            <w:r>
              <w:rPr>
                <w:spacing w:val="-5"/>
              </w:rPr>
              <w:t>）的测定离子色谱法》（</w:t>
            </w:r>
            <w:r>
              <w:rPr>
                <w:rFonts w:ascii="Times New Roman" w:hAnsi="Times New Roman" w:eastAsia="Times New Roman" w:cs="Times New Roman"/>
                <w:spacing w:val="-5"/>
              </w:rPr>
              <w:t>HJ</w:t>
            </w:r>
          </w:p>
          <w:p w14:paraId="7F5E75B8">
            <w:pPr>
              <w:pStyle w:val="6"/>
              <w:spacing w:before="72" w:line="235" w:lineRule="auto"/>
              <w:ind w:left="1450"/>
            </w:pPr>
            <w:r>
              <w:rPr>
                <w:rFonts w:ascii="Times New Roman" w:hAnsi="Times New Roman" w:eastAsia="Times New Roman" w:cs="Times New Roman"/>
                <w:spacing w:val="2"/>
              </w:rPr>
              <w:t>812-2016</w:t>
            </w:r>
            <w:r>
              <w:rPr>
                <w:spacing w:val="2"/>
              </w:rPr>
              <w:t>）</w:t>
            </w:r>
          </w:p>
        </w:tc>
        <w:tc>
          <w:tcPr>
            <w:tcW w:w="794" w:type="dxa"/>
            <w:vAlign w:val="top"/>
          </w:tcPr>
          <w:p w14:paraId="1CE5B194">
            <w:pPr>
              <w:spacing w:before="24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407A6A9A">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6AB83837">
            <w:pPr>
              <w:pStyle w:val="6"/>
              <w:spacing w:before="211"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4D6EFA77">
            <w:pPr>
              <w:spacing w:before="24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50D2710A">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5ADC2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6401222F">
            <w:pPr>
              <w:spacing w:line="340" w:lineRule="auto"/>
              <w:rPr>
                <w:rFonts w:ascii="Arial"/>
                <w:sz w:val="21"/>
              </w:rPr>
            </w:pPr>
          </w:p>
          <w:p w14:paraId="5521F6CC">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159" w:type="dxa"/>
            <w:vAlign w:val="top"/>
          </w:tcPr>
          <w:p w14:paraId="087E9469">
            <w:pPr>
              <w:pStyle w:val="6"/>
              <w:spacing w:before="52" w:line="228" w:lineRule="auto"/>
              <w:ind w:left="165"/>
            </w:pPr>
            <w:r>
              <w:rPr>
                <w:spacing w:val="6"/>
              </w:rPr>
              <w:t>可溶性阳</w:t>
            </w:r>
          </w:p>
          <w:p w14:paraId="41A53113">
            <w:pPr>
              <w:pStyle w:val="6"/>
              <w:spacing w:before="64" w:line="228" w:lineRule="auto"/>
              <w:ind w:left="376"/>
            </w:pPr>
            <w:r>
              <w:rPr>
                <w:spacing w:val="3"/>
              </w:rPr>
              <w:t>离子</w:t>
            </w:r>
          </w:p>
          <w:p w14:paraId="5CA44CC9">
            <w:pPr>
              <w:spacing w:before="100" w:line="197"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2+</w:t>
            </w:r>
          </w:p>
        </w:tc>
        <w:tc>
          <w:tcPr>
            <w:tcW w:w="3893" w:type="dxa"/>
            <w:vAlign w:val="top"/>
          </w:tcPr>
          <w:p w14:paraId="03AF5FB6">
            <w:pPr>
              <w:pStyle w:val="6"/>
              <w:spacing w:before="51" w:line="228" w:lineRule="auto"/>
              <w:ind w:left="119"/>
            </w:pPr>
            <w:r>
              <w:rPr>
                <w:spacing w:val="6"/>
              </w:rPr>
              <w:t>《水质可溶性阳离子（</w:t>
            </w:r>
            <w:r>
              <w:rPr>
                <w:rFonts w:ascii="Times New Roman" w:hAnsi="Times New Roman" w:eastAsia="Times New Roman" w:cs="Times New Roman"/>
              </w:rPr>
              <w:t>Li</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2"/>
                <w:position w:val="6"/>
                <w:sz w:val="13"/>
                <w:szCs w:val="13"/>
              </w:rPr>
              <w:t xml:space="preserve"> </w:t>
            </w:r>
            <w:r>
              <w:rPr>
                <w:spacing w:val="6"/>
              </w:rPr>
              <w:t>、</w:t>
            </w:r>
            <w:r>
              <w:rPr>
                <w:rFonts w:ascii="Times New Roman" w:hAnsi="Times New Roman" w:eastAsia="Times New Roman" w:cs="Times New Roman"/>
              </w:rPr>
              <w:t>Na</w:t>
            </w:r>
            <w:r>
              <w:rPr>
                <w:rFonts w:ascii="Times New Roman" w:hAnsi="Times New Roman" w:eastAsia="Times New Roman" w:cs="Times New Roman"/>
                <w:spacing w:val="6"/>
                <w:position w:val="6"/>
                <w:sz w:val="13"/>
                <w:szCs w:val="13"/>
              </w:rPr>
              <w:t>+</w:t>
            </w:r>
            <w:r>
              <w:rPr>
                <w:rFonts w:ascii="Times New Roman" w:hAnsi="Times New Roman" w:eastAsia="Times New Roman" w:cs="Times New Roman"/>
                <w:spacing w:val="-12"/>
                <w:position w:val="6"/>
                <w:sz w:val="13"/>
                <w:szCs w:val="13"/>
              </w:rPr>
              <w:t xml:space="preserve"> </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position w:val="-1"/>
                <w:sz w:val="13"/>
                <w:szCs w:val="13"/>
              </w:rPr>
              <w:t>4</w:t>
            </w:r>
            <w:r>
              <w:rPr>
                <w:rFonts w:ascii="Times New Roman" w:hAnsi="Times New Roman" w:eastAsia="Times New Roman" w:cs="Times New Roman"/>
                <w:spacing w:val="6"/>
                <w:position w:val="6"/>
                <w:sz w:val="13"/>
                <w:szCs w:val="13"/>
              </w:rPr>
              <w:t>+</w:t>
            </w:r>
            <w:r>
              <w:rPr>
                <w:spacing w:val="6"/>
              </w:rPr>
              <w:t>、</w:t>
            </w:r>
          </w:p>
          <w:p w14:paraId="2B8D29BB">
            <w:pPr>
              <w:pStyle w:val="6"/>
              <w:spacing w:before="65" w:line="221" w:lineRule="auto"/>
              <w:ind w:left="109"/>
              <w:rPr>
                <w:rFonts w:ascii="Times New Roman" w:hAnsi="Times New Roman" w:eastAsia="Times New Roman" w:cs="Times New Roman"/>
              </w:rPr>
            </w:pPr>
            <w:r>
              <w:rPr>
                <w:rFonts w:ascii="Times New Roman" w:hAnsi="Times New Roman" w:eastAsia="Times New Roman" w:cs="Times New Roman"/>
                <w:spacing w:val="2"/>
              </w:rPr>
              <w:t>K</w:t>
            </w:r>
            <w:r>
              <w:rPr>
                <w:rFonts w:ascii="Times New Roman" w:hAnsi="Times New Roman" w:eastAsia="Times New Roman" w:cs="Times New Roman"/>
                <w:spacing w:val="2"/>
                <w:position w:val="6"/>
                <w:sz w:val="13"/>
                <w:szCs w:val="13"/>
              </w:rPr>
              <w:t>+</w:t>
            </w:r>
            <w:r>
              <w:rPr>
                <w:spacing w:val="-16"/>
              </w:rPr>
              <w:t>、</w:t>
            </w:r>
            <w:r>
              <w:rPr>
                <w:rFonts w:ascii="Times New Roman" w:hAnsi="Times New Roman" w:eastAsia="Times New Roman" w:cs="Times New Roman"/>
                <w:spacing w:val="-16"/>
              </w:rPr>
              <w:t>Ca</w:t>
            </w:r>
            <w:r>
              <w:rPr>
                <w:rFonts w:ascii="Times New Roman" w:hAnsi="Times New Roman" w:eastAsia="Times New Roman" w:cs="Times New Roman"/>
                <w:spacing w:val="5"/>
                <w:position w:val="6"/>
                <w:sz w:val="13"/>
                <w:szCs w:val="13"/>
              </w:rPr>
              <w:t>2+</w:t>
            </w:r>
            <w:r>
              <w:rPr>
                <w:spacing w:val="-16"/>
              </w:rPr>
              <w:t>、</w:t>
            </w:r>
            <w:r>
              <w:rPr>
                <w:rFonts w:ascii="Times New Roman" w:hAnsi="Times New Roman" w:eastAsia="Times New Roman" w:cs="Times New Roman"/>
                <w:spacing w:val="-16"/>
              </w:rPr>
              <w:t>Mg</w:t>
            </w:r>
            <w:r>
              <w:rPr>
                <w:rFonts w:ascii="Times New Roman" w:hAnsi="Times New Roman" w:eastAsia="Times New Roman" w:cs="Times New Roman"/>
                <w:spacing w:val="-5"/>
                <w:position w:val="6"/>
                <w:sz w:val="13"/>
                <w:szCs w:val="13"/>
              </w:rPr>
              <w:t>2+</w:t>
            </w:r>
            <w:r>
              <w:rPr>
                <w:spacing w:val="-5"/>
              </w:rPr>
              <w:t>）的测定离子色谱法》（</w:t>
            </w:r>
            <w:r>
              <w:rPr>
                <w:rFonts w:ascii="Times New Roman" w:hAnsi="Times New Roman" w:eastAsia="Times New Roman" w:cs="Times New Roman"/>
                <w:spacing w:val="-5"/>
              </w:rPr>
              <w:t>HJ</w:t>
            </w:r>
          </w:p>
          <w:p w14:paraId="57C05665">
            <w:pPr>
              <w:pStyle w:val="6"/>
              <w:spacing w:before="73" w:line="234" w:lineRule="auto"/>
              <w:ind w:left="1450"/>
            </w:pPr>
            <w:r>
              <w:rPr>
                <w:rFonts w:ascii="Times New Roman" w:hAnsi="Times New Roman" w:eastAsia="Times New Roman" w:cs="Times New Roman"/>
                <w:spacing w:val="2"/>
              </w:rPr>
              <w:t>812-2016</w:t>
            </w:r>
            <w:r>
              <w:rPr>
                <w:spacing w:val="2"/>
              </w:rPr>
              <w:t>）</w:t>
            </w:r>
          </w:p>
        </w:tc>
        <w:tc>
          <w:tcPr>
            <w:tcW w:w="794" w:type="dxa"/>
            <w:vAlign w:val="top"/>
          </w:tcPr>
          <w:p w14:paraId="72F25588">
            <w:pPr>
              <w:spacing w:before="24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p w14:paraId="4FBE31A1">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6CBC5CF5">
            <w:pPr>
              <w:pStyle w:val="6"/>
              <w:spacing w:before="207"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4DB2D376">
            <w:pPr>
              <w:spacing w:before="24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9352147">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61F52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2990A44B">
            <w:pPr>
              <w:spacing w:line="340" w:lineRule="auto"/>
              <w:rPr>
                <w:rFonts w:ascii="Arial"/>
                <w:sz w:val="21"/>
              </w:rPr>
            </w:pPr>
          </w:p>
          <w:p w14:paraId="4F490251">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59" w:type="dxa"/>
            <w:vAlign w:val="top"/>
          </w:tcPr>
          <w:p w14:paraId="18B1B087">
            <w:pPr>
              <w:pStyle w:val="6"/>
              <w:spacing w:before="208" w:line="227" w:lineRule="auto"/>
              <w:ind w:left="165"/>
            </w:pPr>
            <w:r>
              <w:rPr>
                <w:spacing w:val="6"/>
              </w:rPr>
              <w:t>无机阴离</w:t>
            </w:r>
          </w:p>
          <w:p w14:paraId="3040C88E">
            <w:pPr>
              <w:pStyle w:val="6"/>
              <w:spacing w:before="66" w:line="228" w:lineRule="auto"/>
              <w:ind w:left="318"/>
              <w:rPr>
                <w:rFonts w:ascii="Times New Roman" w:hAnsi="Times New Roman" w:eastAsia="Times New Roman" w:cs="Times New Roman"/>
              </w:rPr>
            </w:pPr>
            <w:r>
              <w:rPr>
                <w:spacing w:val="1"/>
              </w:rPr>
              <w:t>子</w:t>
            </w:r>
            <w:r>
              <w:rPr>
                <w:spacing w:val="-40"/>
              </w:rPr>
              <w:t xml:space="preserve"> </w:t>
            </w:r>
            <w:r>
              <w:rPr>
                <w:rFonts w:ascii="Times New Roman" w:hAnsi="Times New Roman" w:eastAsia="Times New Roman" w:cs="Times New Roman"/>
              </w:rPr>
              <w:t>Cl</w:t>
            </w:r>
            <w:r>
              <w:rPr>
                <w:rFonts w:ascii="Times New Roman" w:hAnsi="Times New Roman" w:eastAsia="Times New Roman" w:cs="Times New Roman"/>
                <w:spacing w:val="1"/>
              </w:rPr>
              <w:t>-</w:t>
            </w:r>
          </w:p>
        </w:tc>
        <w:tc>
          <w:tcPr>
            <w:tcW w:w="3893" w:type="dxa"/>
            <w:vAlign w:val="top"/>
          </w:tcPr>
          <w:p w14:paraId="1F6D5C4B">
            <w:pPr>
              <w:pStyle w:val="6"/>
              <w:spacing w:before="52" w:line="227" w:lineRule="auto"/>
              <w:ind w:right="8"/>
              <w:jc w:val="right"/>
            </w:pPr>
            <w:r>
              <w:rPr>
                <w:spacing w:val="3"/>
              </w:rPr>
              <w:t>《水质无机阴离子（</w:t>
            </w:r>
            <w:r>
              <w:rPr>
                <w:rFonts w:ascii="Times New Roman" w:hAnsi="Times New Roman" w:eastAsia="Times New Roman" w:cs="Times New Roman"/>
                <w:spacing w:val="3"/>
              </w:rPr>
              <w:t>F</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
                <w:position w:val="6"/>
                <w:sz w:val="13"/>
                <w:szCs w:val="13"/>
              </w:rPr>
              <w:t xml:space="preserve"> </w:t>
            </w:r>
            <w:r>
              <w:rPr>
                <w:spacing w:val="3"/>
              </w:rPr>
              <w:t>、</w:t>
            </w:r>
            <w:r>
              <w:rPr>
                <w:rFonts w:ascii="Times New Roman" w:hAnsi="Times New Roman" w:eastAsia="Times New Roman" w:cs="Times New Roman"/>
              </w:rPr>
              <w:t>Cl</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2"/>
                <w:position w:val="6"/>
                <w:sz w:val="13"/>
                <w:szCs w:val="13"/>
              </w:rPr>
              <w:t xml:space="preserve"> </w:t>
            </w:r>
            <w:r>
              <w:rPr>
                <w:spacing w:val="3"/>
              </w:rPr>
              <w:t>、</w:t>
            </w:r>
            <w:r>
              <w:rPr>
                <w:rFonts w:ascii="Times New Roman" w:hAnsi="Times New Roman" w:eastAsia="Times New Roman" w:cs="Times New Roman"/>
              </w:rPr>
              <w:t>NO</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0"/>
                <w:position w:val="6"/>
                <w:sz w:val="13"/>
                <w:szCs w:val="13"/>
              </w:rPr>
              <w:t xml:space="preserve"> </w:t>
            </w:r>
            <w:r>
              <w:rPr>
                <w:spacing w:val="3"/>
              </w:rPr>
              <w:t>、</w:t>
            </w:r>
            <w:r>
              <w:rPr>
                <w:rFonts w:ascii="Times New Roman" w:hAnsi="Times New Roman" w:eastAsia="Times New Roman" w:cs="Times New Roman"/>
              </w:rPr>
              <w:t>Br</w:t>
            </w:r>
            <w:r>
              <w:rPr>
                <w:rFonts w:ascii="Times New Roman" w:hAnsi="Times New Roman" w:eastAsia="Times New Roman" w:cs="Times New Roman"/>
                <w:spacing w:val="3"/>
                <w:position w:val="6"/>
                <w:sz w:val="13"/>
                <w:szCs w:val="13"/>
              </w:rPr>
              <w:t>-</w:t>
            </w:r>
            <w:r>
              <w:rPr>
                <w:spacing w:val="3"/>
              </w:rPr>
              <w:t>、</w:t>
            </w:r>
          </w:p>
          <w:p w14:paraId="269DF655">
            <w:pPr>
              <w:pStyle w:val="6"/>
              <w:spacing w:before="66" w:line="228" w:lineRule="auto"/>
              <w:ind w:left="103"/>
            </w:pPr>
            <w:r>
              <w:rPr>
                <w:rFonts w:ascii="Times New Roman" w:hAnsi="Times New Roman" w:eastAsia="Times New Roman" w:cs="Times New Roman"/>
              </w:rPr>
              <w:t>NO</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position w:val="6"/>
                <w:sz w:val="13"/>
                <w:szCs w:val="13"/>
              </w:rPr>
              <w:t>-</w:t>
            </w:r>
            <w:r>
              <w:rPr>
                <w:rFonts w:ascii="Times New Roman" w:hAnsi="Times New Roman" w:eastAsia="Times New Roman" w:cs="Times New Roman"/>
                <w:spacing w:val="-3"/>
                <w:position w:val="6"/>
                <w:sz w:val="13"/>
                <w:szCs w:val="13"/>
              </w:rPr>
              <w:t xml:space="preserve"> </w:t>
            </w:r>
            <w:r>
              <w:rPr>
                <w:spacing w:val="1"/>
              </w:rPr>
              <w:t>、</w:t>
            </w:r>
            <w:r>
              <w:rPr>
                <w:rFonts w:ascii="Times New Roman" w:hAnsi="Times New Roman" w:eastAsia="Times New Roman" w:cs="Times New Roman"/>
              </w:rPr>
              <w:t>PO</w:t>
            </w:r>
            <w:r>
              <w:rPr>
                <w:rFonts w:ascii="Times New Roman" w:hAnsi="Times New Roman" w:eastAsia="Times New Roman" w:cs="Times New Roman"/>
                <w:spacing w:val="1"/>
                <w:position w:val="-1"/>
                <w:sz w:val="13"/>
                <w:szCs w:val="13"/>
              </w:rPr>
              <w:t>4</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2"/>
                <w:position w:val="6"/>
                <w:sz w:val="13"/>
                <w:szCs w:val="13"/>
              </w:rPr>
              <w:t xml:space="preserve"> </w:t>
            </w:r>
            <w:r>
              <w:rPr>
                <w:spacing w:val="1"/>
              </w:rPr>
              <w:t xml:space="preserve">、 </w:t>
            </w:r>
            <w:r>
              <w:rPr>
                <w:rFonts w:ascii="Times New Roman" w:hAnsi="Times New Roman" w:eastAsia="Times New Roman" w:cs="Times New Roman"/>
              </w:rPr>
              <w:t>SO</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0"/>
                <w:position w:val="6"/>
                <w:sz w:val="13"/>
                <w:szCs w:val="13"/>
              </w:rPr>
              <w:t xml:space="preserve"> </w:t>
            </w:r>
            <w:r>
              <w:rPr>
                <w:spacing w:val="1"/>
              </w:rPr>
              <w:t>、</w:t>
            </w:r>
            <w:r>
              <w:rPr>
                <w:rFonts w:ascii="Times New Roman" w:hAnsi="Times New Roman" w:eastAsia="Times New Roman" w:cs="Times New Roman"/>
              </w:rPr>
              <w:t>SO</w:t>
            </w:r>
            <w:r>
              <w:rPr>
                <w:rFonts w:ascii="Times New Roman" w:hAnsi="Times New Roman" w:eastAsia="Times New Roman" w:cs="Times New Roman"/>
                <w:spacing w:val="1"/>
                <w:position w:val="-1"/>
                <w:sz w:val="13"/>
                <w:szCs w:val="13"/>
              </w:rPr>
              <w:t>4</w:t>
            </w:r>
            <w:r>
              <w:rPr>
                <w:rFonts w:ascii="Times New Roman" w:hAnsi="Times New Roman" w:eastAsia="Times New Roman" w:cs="Times New Roman"/>
                <w:spacing w:val="1"/>
                <w:sz w:val="13"/>
                <w:szCs w:val="13"/>
              </w:rPr>
              <w:t>2-</w:t>
            </w:r>
            <w:r>
              <w:rPr>
                <w:spacing w:val="1"/>
              </w:rPr>
              <w:t>）的测定离子</w:t>
            </w:r>
          </w:p>
          <w:p w14:paraId="7BDB717E">
            <w:pPr>
              <w:pStyle w:val="6"/>
              <w:spacing w:before="64" w:line="229" w:lineRule="auto"/>
              <w:ind w:left="831"/>
            </w:pPr>
            <w:r>
              <w:rPr>
                <w:spacing w:val="5"/>
              </w:rPr>
              <w:t>色谱法》（</w:t>
            </w:r>
            <w:r>
              <w:rPr>
                <w:rFonts w:ascii="Times New Roman" w:hAnsi="Times New Roman" w:eastAsia="Times New Roman" w:cs="Times New Roman"/>
              </w:rPr>
              <w:t>HJ</w:t>
            </w:r>
            <w:r>
              <w:rPr>
                <w:rFonts w:ascii="Times New Roman" w:hAnsi="Times New Roman" w:eastAsia="Times New Roman" w:cs="Times New Roman"/>
                <w:spacing w:val="18"/>
                <w:w w:val="101"/>
              </w:rPr>
              <w:t xml:space="preserve"> </w:t>
            </w:r>
            <w:r>
              <w:rPr>
                <w:rFonts w:ascii="Times New Roman" w:hAnsi="Times New Roman" w:eastAsia="Times New Roman" w:cs="Times New Roman"/>
                <w:spacing w:val="5"/>
              </w:rPr>
              <w:t>84-2016</w:t>
            </w:r>
            <w:r>
              <w:rPr>
                <w:spacing w:val="5"/>
              </w:rPr>
              <w:t>）</w:t>
            </w:r>
          </w:p>
        </w:tc>
        <w:tc>
          <w:tcPr>
            <w:tcW w:w="794" w:type="dxa"/>
            <w:vAlign w:val="top"/>
          </w:tcPr>
          <w:p w14:paraId="792E51B0">
            <w:pPr>
              <w:spacing w:before="24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p w14:paraId="37541A15">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34E225F6">
            <w:pPr>
              <w:pStyle w:val="6"/>
              <w:spacing w:before="207"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3C046790">
            <w:pPr>
              <w:spacing w:before="244"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35122A81">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48EDC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27" w:type="dxa"/>
            <w:vAlign w:val="top"/>
          </w:tcPr>
          <w:p w14:paraId="360D70A8">
            <w:pPr>
              <w:spacing w:line="341" w:lineRule="auto"/>
              <w:rPr>
                <w:rFonts w:ascii="Arial"/>
                <w:sz w:val="21"/>
              </w:rPr>
            </w:pPr>
          </w:p>
          <w:p w14:paraId="0E9DE11B">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59" w:type="dxa"/>
            <w:vAlign w:val="top"/>
          </w:tcPr>
          <w:p w14:paraId="2C9CB2EE">
            <w:pPr>
              <w:pStyle w:val="6"/>
              <w:spacing w:before="208" w:line="290" w:lineRule="auto"/>
              <w:ind w:left="178" w:right="160" w:hanging="13"/>
              <w:rPr>
                <w:rFonts w:ascii="Times New Roman" w:hAnsi="Times New Roman" w:eastAsia="Times New Roman" w:cs="Times New Roman"/>
              </w:rPr>
            </w:pPr>
            <w:r>
              <w:rPr>
                <w:spacing w:val="6"/>
              </w:rPr>
              <w:t>无机阴离</w:t>
            </w:r>
            <w:r>
              <w:rPr>
                <w:spacing w:val="2"/>
              </w:rPr>
              <w:t xml:space="preserve"> </w:t>
            </w:r>
            <w:r>
              <w:rPr>
                <w:spacing w:val="4"/>
              </w:rPr>
              <w:t>子</w:t>
            </w:r>
            <w:r>
              <w:rPr>
                <w:spacing w:val="-34"/>
              </w:rPr>
              <w:t xml:space="preserve"> </w:t>
            </w:r>
            <w:r>
              <w:rPr>
                <w:rFonts w:ascii="Times New Roman" w:hAnsi="Times New Roman" w:eastAsia="Times New Roman" w:cs="Times New Roman"/>
              </w:rPr>
              <w:t>SO</w:t>
            </w:r>
            <w:r>
              <w:rPr>
                <w:rFonts w:ascii="Times New Roman" w:hAnsi="Times New Roman" w:eastAsia="Times New Roman" w:cs="Times New Roman"/>
                <w:spacing w:val="4"/>
              </w:rPr>
              <w:t>42-</w:t>
            </w:r>
          </w:p>
        </w:tc>
        <w:tc>
          <w:tcPr>
            <w:tcW w:w="3893" w:type="dxa"/>
            <w:vAlign w:val="top"/>
          </w:tcPr>
          <w:p w14:paraId="04F8BEA2">
            <w:pPr>
              <w:pStyle w:val="6"/>
              <w:spacing w:before="53" w:line="227" w:lineRule="auto"/>
              <w:ind w:right="8"/>
              <w:jc w:val="right"/>
            </w:pPr>
            <w:r>
              <w:rPr>
                <w:spacing w:val="3"/>
              </w:rPr>
              <w:t>《水质无机阴离子（</w:t>
            </w:r>
            <w:r>
              <w:rPr>
                <w:rFonts w:ascii="Times New Roman" w:hAnsi="Times New Roman" w:eastAsia="Times New Roman" w:cs="Times New Roman"/>
                <w:spacing w:val="3"/>
              </w:rPr>
              <w:t>F</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
                <w:position w:val="6"/>
                <w:sz w:val="13"/>
                <w:szCs w:val="13"/>
              </w:rPr>
              <w:t xml:space="preserve"> </w:t>
            </w:r>
            <w:r>
              <w:rPr>
                <w:spacing w:val="3"/>
              </w:rPr>
              <w:t>、</w:t>
            </w:r>
            <w:r>
              <w:rPr>
                <w:rFonts w:ascii="Times New Roman" w:hAnsi="Times New Roman" w:eastAsia="Times New Roman" w:cs="Times New Roman"/>
              </w:rPr>
              <w:t>Cl</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2"/>
                <w:position w:val="6"/>
                <w:sz w:val="13"/>
                <w:szCs w:val="13"/>
              </w:rPr>
              <w:t xml:space="preserve"> </w:t>
            </w:r>
            <w:r>
              <w:rPr>
                <w:spacing w:val="3"/>
              </w:rPr>
              <w:t>、</w:t>
            </w:r>
            <w:r>
              <w:rPr>
                <w:rFonts w:ascii="Times New Roman" w:hAnsi="Times New Roman" w:eastAsia="Times New Roman" w:cs="Times New Roman"/>
              </w:rPr>
              <w:t>NO</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6"/>
                <w:sz w:val="13"/>
                <w:szCs w:val="13"/>
              </w:rPr>
              <w:t>-</w:t>
            </w:r>
            <w:r>
              <w:rPr>
                <w:rFonts w:ascii="Times New Roman" w:hAnsi="Times New Roman" w:eastAsia="Times New Roman" w:cs="Times New Roman"/>
                <w:spacing w:val="-10"/>
                <w:position w:val="6"/>
                <w:sz w:val="13"/>
                <w:szCs w:val="13"/>
              </w:rPr>
              <w:t xml:space="preserve"> </w:t>
            </w:r>
            <w:r>
              <w:rPr>
                <w:spacing w:val="3"/>
              </w:rPr>
              <w:t>、</w:t>
            </w:r>
            <w:r>
              <w:rPr>
                <w:rFonts w:ascii="Times New Roman" w:hAnsi="Times New Roman" w:eastAsia="Times New Roman" w:cs="Times New Roman"/>
              </w:rPr>
              <w:t>Br</w:t>
            </w:r>
            <w:r>
              <w:rPr>
                <w:rFonts w:ascii="Times New Roman" w:hAnsi="Times New Roman" w:eastAsia="Times New Roman" w:cs="Times New Roman"/>
                <w:spacing w:val="3"/>
                <w:position w:val="6"/>
                <w:sz w:val="13"/>
                <w:szCs w:val="13"/>
              </w:rPr>
              <w:t>-</w:t>
            </w:r>
            <w:r>
              <w:rPr>
                <w:spacing w:val="3"/>
              </w:rPr>
              <w:t>、</w:t>
            </w:r>
          </w:p>
          <w:p w14:paraId="4CAC6370">
            <w:pPr>
              <w:pStyle w:val="6"/>
              <w:spacing w:before="65" w:line="227" w:lineRule="auto"/>
              <w:ind w:left="103"/>
            </w:pPr>
            <w:r>
              <w:rPr>
                <w:rFonts w:ascii="Times New Roman" w:hAnsi="Times New Roman" w:eastAsia="Times New Roman" w:cs="Times New Roman"/>
              </w:rPr>
              <w:t>NO</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position w:val="6"/>
                <w:sz w:val="13"/>
                <w:szCs w:val="13"/>
              </w:rPr>
              <w:t>-</w:t>
            </w:r>
            <w:r>
              <w:rPr>
                <w:rFonts w:ascii="Times New Roman" w:hAnsi="Times New Roman" w:eastAsia="Times New Roman" w:cs="Times New Roman"/>
                <w:spacing w:val="-3"/>
                <w:position w:val="6"/>
                <w:sz w:val="13"/>
                <w:szCs w:val="13"/>
              </w:rPr>
              <w:t xml:space="preserve"> </w:t>
            </w:r>
            <w:r>
              <w:rPr>
                <w:spacing w:val="1"/>
              </w:rPr>
              <w:t>、</w:t>
            </w:r>
            <w:r>
              <w:rPr>
                <w:rFonts w:ascii="Times New Roman" w:hAnsi="Times New Roman" w:eastAsia="Times New Roman" w:cs="Times New Roman"/>
              </w:rPr>
              <w:t>PO</w:t>
            </w:r>
            <w:r>
              <w:rPr>
                <w:rFonts w:ascii="Times New Roman" w:hAnsi="Times New Roman" w:eastAsia="Times New Roman" w:cs="Times New Roman"/>
                <w:spacing w:val="1"/>
                <w:position w:val="-2"/>
                <w:sz w:val="13"/>
                <w:szCs w:val="13"/>
              </w:rPr>
              <w:t>4</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2"/>
                <w:position w:val="6"/>
                <w:sz w:val="13"/>
                <w:szCs w:val="13"/>
              </w:rPr>
              <w:t xml:space="preserve"> </w:t>
            </w:r>
            <w:r>
              <w:rPr>
                <w:spacing w:val="1"/>
              </w:rPr>
              <w:t xml:space="preserve">、 </w:t>
            </w:r>
            <w:r>
              <w:rPr>
                <w:rFonts w:ascii="Times New Roman" w:hAnsi="Times New Roman" w:eastAsia="Times New Roman" w:cs="Times New Roman"/>
              </w:rPr>
              <w:t>SO</w:t>
            </w:r>
            <w:r>
              <w:rPr>
                <w:rFonts w:ascii="Times New Roman" w:hAnsi="Times New Roman" w:eastAsia="Times New Roman" w:cs="Times New Roman"/>
                <w:spacing w:val="1"/>
                <w:position w:val="-2"/>
                <w:sz w:val="13"/>
                <w:szCs w:val="13"/>
              </w:rPr>
              <w:t>3</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0"/>
                <w:position w:val="6"/>
                <w:sz w:val="13"/>
                <w:szCs w:val="13"/>
              </w:rPr>
              <w:t xml:space="preserve"> </w:t>
            </w:r>
            <w:r>
              <w:rPr>
                <w:spacing w:val="1"/>
              </w:rPr>
              <w:t>、</w:t>
            </w:r>
            <w:r>
              <w:rPr>
                <w:rFonts w:ascii="Times New Roman" w:hAnsi="Times New Roman" w:eastAsia="Times New Roman" w:cs="Times New Roman"/>
              </w:rPr>
              <w:t>SO</w:t>
            </w:r>
            <w:r>
              <w:rPr>
                <w:rFonts w:ascii="Times New Roman" w:hAnsi="Times New Roman" w:eastAsia="Times New Roman" w:cs="Times New Roman"/>
                <w:spacing w:val="1"/>
                <w:position w:val="-2"/>
                <w:sz w:val="13"/>
                <w:szCs w:val="13"/>
              </w:rPr>
              <w:t>4</w:t>
            </w:r>
            <w:r>
              <w:rPr>
                <w:rFonts w:ascii="Times New Roman" w:hAnsi="Times New Roman" w:eastAsia="Times New Roman" w:cs="Times New Roman"/>
                <w:spacing w:val="1"/>
                <w:sz w:val="13"/>
                <w:szCs w:val="13"/>
              </w:rPr>
              <w:t>2-</w:t>
            </w:r>
            <w:r>
              <w:rPr>
                <w:spacing w:val="1"/>
              </w:rPr>
              <w:t>）的测定离子</w:t>
            </w:r>
          </w:p>
          <w:p w14:paraId="1DB19E87">
            <w:pPr>
              <w:pStyle w:val="6"/>
              <w:spacing w:before="66" w:line="229" w:lineRule="auto"/>
              <w:ind w:left="831"/>
            </w:pPr>
            <w:r>
              <w:rPr>
                <w:spacing w:val="5"/>
              </w:rPr>
              <w:t>色谱法》（</w:t>
            </w:r>
            <w:r>
              <w:rPr>
                <w:rFonts w:ascii="Times New Roman" w:hAnsi="Times New Roman" w:eastAsia="Times New Roman" w:cs="Times New Roman"/>
              </w:rPr>
              <w:t>HJ</w:t>
            </w:r>
            <w:r>
              <w:rPr>
                <w:rFonts w:ascii="Times New Roman" w:hAnsi="Times New Roman" w:eastAsia="Times New Roman" w:cs="Times New Roman"/>
                <w:spacing w:val="18"/>
                <w:w w:val="101"/>
              </w:rPr>
              <w:t xml:space="preserve"> </w:t>
            </w:r>
            <w:r>
              <w:rPr>
                <w:rFonts w:ascii="Times New Roman" w:hAnsi="Times New Roman" w:eastAsia="Times New Roman" w:cs="Times New Roman"/>
                <w:spacing w:val="5"/>
              </w:rPr>
              <w:t>84-2016</w:t>
            </w:r>
            <w:r>
              <w:rPr>
                <w:spacing w:val="5"/>
              </w:rPr>
              <w:t>）</w:t>
            </w:r>
          </w:p>
        </w:tc>
        <w:tc>
          <w:tcPr>
            <w:tcW w:w="794" w:type="dxa"/>
            <w:vAlign w:val="top"/>
          </w:tcPr>
          <w:p w14:paraId="7011E526">
            <w:pPr>
              <w:spacing w:before="24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p w14:paraId="74F423AD">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5365F2E3">
            <w:pPr>
              <w:pStyle w:val="6"/>
              <w:spacing w:before="208" w:line="306" w:lineRule="auto"/>
              <w:ind w:left="350" w:right="209" w:hanging="127"/>
              <w:rPr>
                <w:rFonts w:ascii="Times New Roman" w:hAnsi="Times New Roman" w:eastAsia="Times New Roman" w:cs="Times New Roman"/>
              </w:rPr>
            </w:pPr>
            <w:r>
              <w:rPr>
                <w:spacing w:val="7"/>
              </w:rPr>
              <w:t>离子色谱仪</w:t>
            </w:r>
            <w:r>
              <w:rPr>
                <w:spacing w:val="1"/>
              </w:rPr>
              <w:t xml:space="preserve"> </w:t>
            </w:r>
            <w:r>
              <w:rPr>
                <w:rFonts w:ascii="Times New Roman" w:hAnsi="Times New Roman" w:eastAsia="Times New Roman" w:cs="Times New Roman"/>
                <w:spacing w:val="7"/>
              </w:rPr>
              <w:t>/</w:t>
            </w:r>
            <w:r>
              <w:rPr>
                <w:rFonts w:ascii="Times New Roman" w:hAnsi="Times New Roman" w:eastAsia="Times New Roman" w:cs="Times New Roman"/>
              </w:rPr>
              <w:t>ICS</w:t>
            </w:r>
            <w:r>
              <w:rPr>
                <w:rFonts w:ascii="Times New Roman" w:hAnsi="Times New Roman" w:eastAsia="Times New Roman" w:cs="Times New Roman"/>
                <w:spacing w:val="7"/>
              </w:rPr>
              <w:t>-600</w:t>
            </w:r>
          </w:p>
        </w:tc>
        <w:tc>
          <w:tcPr>
            <w:tcW w:w="853" w:type="dxa"/>
            <w:vAlign w:val="top"/>
          </w:tcPr>
          <w:p w14:paraId="2BB05566">
            <w:pPr>
              <w:spacing w:before="245"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FD4D582">
            <w:pPr>
              <w:spacing w:before="12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01-A</w:t>
            </w:r>
          </w:p>
        </w:tc>
      </w:tr>
      <w:tr w14:paraId="75E39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27" w:type="dxa"/>
            <w:vAlign w:val="top"/>
          </w:tcPr>
          <w:p w14:paraId="5285CA28">
            <w:pPr>
              <w:spacing w:line="249" w:lineRule="auto"/>
              <w:rPr>
                <w:rFonts w:ascii="Arial"/>
                <w:sz w:val="21"/>
              </w:rPr>
            </w:pPr>
          </w:p>
          <w:p w14:paraId="2F99EE5B">
            <w:pPr>
              <w:spacing w:line="250" w:lineRule="auto"/>
              <w:rPr>
                <w:rFonts w:ascii="Arial"/>
                <w:sz w:val="21"/>
              </w:rPr>
            </w:pPr>
          </w:p>
          <w:p w14:paraId="77A94436">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59" w:type="dxa"/>
            <w:vAlign w:val="top"/>
          </w:tcPr>
          <w:p w14:paraId="02391DDE">
            <w:pPr>
              <w:spacing w:line="456" w:lineRule="auto"/>
              <w:rPr>
                <w:rFonts w:ascii="Arial"/>
                <w:sz w:val="21"/>
              </w:rPr>
            </w:pPr>
          </w:p>
          <w:p w14:paraId="7F1CD6AB">
            <w:pPr>
              <w:pStyle w:val="6"/>
              <w:spacing w:before="65" w:line="228" w:lineRule="auto"/>
              <w:ind w:left="269"/>
            </w:pPr>
            <w:r>
              <w:rPr>
                <w:spacing w:val="6"/>
              </w:rPr>
              <w:t>碳酸盐</w:t>
            </w:r>
          </w:p>
        </w:tc>
        <w:tc>
          <w:tcPr>
            <w:tcW w:w="3893" w:type="dxa"/>
            <w:vAlign w:val="top"/>
          </w:tcPr>
          <w:p w14:paraId="5060801D">
            <w:pPr>
              <w:pStyle w:val="6"/>
              <w:spacing w:before="55" w:line="228" w:lineRule="auto"/>
              <w:ind w:left="119"/>
            </w:pPr>
            <w:r>
              <w:rPr>
                <w:spacing w:val="3"/>
              </w:rPr>
              <w:t>《水和废水监测分析方法（第四版）国家</w:t>
            </w:r>
          </w:p>
          <w:p w14:paraId="43D9E1F6">
            <w:pPr>
              <w:pStyle w:val="6"/>
              <w:spacing w:before="64" w:line="228" w:lineRule="auto"/>
              <w:ind w:left="113"/>
            </w:pPr>
            <w:r>
              <w:rPr>
                <w:spacing w:val="3"/>
              </w:rPr>
              <w:t>环境保 护总局》（</w:t>
            </w:r>
            <w:r>
              <w:rPr>
                <w:rFonts w:ascii="Times New Roman" w:hAnsi="Times New Roman" w:eastAsia="Times New Roman" w:cs="Times New Roman"/>
                <w:spacing w:val="3"/>
              </w:rPr>
              <w:t xml:space="preserve">2002  </w:t>
            </w:r>
            <w:r>
              <w:rPr>
                <w:spacing w:val="3"/>
              </w:rPr>
              <w:t>年） 第三篇</w:t>
            </w:r>
            <w:r>
              <w:rPr>
                <w:spacing w:val="2"/>
              </w:rPr>
              <w:t xml:space="preserve"> 第</w:t>
            </w:r>
          </w:p>
          <w:p w14:paraId="09CC5304">
            <w:pPr>
              <w:pStyle w:val="6"/>
              <w:spacing w:before="65" w:line="227" w:lineRule="auto"/>
              <w:ind w:left="117"/>
            </w:pPr>
            <w:r>
              <w:rPr>
                <w:spacing w:val="4"/>
              </w:rPr>
              <w:t>一章 十二、碱度</w:t>
            </w:r>
            <w:r>
              <w:rPr>
                <w:spacing w:val="-8"/>
              </w:rPr>
              <w:t xml:space="preserve"> </w:t>
            </w:r>
            <w:r>
              <w:rPr>
                <w:spacing w:val="4"/>
              </w:rPr>
              <w:t>（一）酸碱指示剂滴定</w:t>
            </w:r>
          </w:p>
          <w:p w14:paraId="3CA02AF2">
            <w:pPr>
              <w:pStyle w:val="6"/>
              <w:spacing w:before="65" w:line="231" w:lineRule="auto"/>
              <w:ind w:left="1566"/>
            </w:pPr>
            <w:r>
              <w:rPr>
                <w:spacing w:val="4"/>
              </w:rPr>
              <w:t>法（</w:t>
            </w:r>
            <w:r>
              <w:rPr>
                <w:rFonts w:ascii="Times New Roman" w:hAnsi="Times New Roman" w:eastAsia="Times New Roman" w:cs="Times New Roman"/>
                <w:spacing w:val="4"/>
              </w:rPr>
              <w:t>B</w:t>
            </w:r>
            <w:r>
              <w:rPr>
                <w:spacing w:val="4"/>
              </w:rPr>
              <w:t>）</w:t>
            </w:r>
          </w:p>
        </w:tc>
        <w:tc>
          <w:tcPr>
            <w:tcW w:w="794" w:type="dxa"/>
            <w:vAlign w:val="top"/>
          </w:tcPr>
          <w:p w14:paraId="6EE45576">
            <w:pPr>
              <w:spacing w:line="367" w:lineRule="auto"/>
              <w:rPr>
                <w:rFonts w:ascii="Arial"/>
                <w:sz w:val="21"/>
              </w:rPr>
            </w:pPr>
          </w:p>
          <w:p w14:paraId="266DFD19">
            <w:pPr>
              <w:tabs>
                <w:tab w:val="left" w:pos="499"/>
              </w:tabs>
              <w:spacing w:before="61"/>
              <w:ind w:left="296"/>
              <w:rPr>
                <w:rFonts w:ascii="Arial"/>
                <w:sz w:val="21"/>
              </w:rPr>
            </w:pPr>
            <w:r>
              <w:rPr>
                <w:rFonts w:ascii="Arial" w:hAnsi="Arial" w:eastAsia="Arial" w:cs="Arial"/>
                <w:sz w:val="21"/>
                <w:szCs w:val="21"/>
                <w:u w:val="single" w:color="auto"/>
              </w:rPr>
              <w:tab/>
            </w:r>
          </w:p>
        </w:tc>
        <w:tc>
          <w:tcPr>
            <w:tcW w:w="1475" w:type="dxa"/>
            <w:vAlign w:val="top"/>
          </w:tcPr>
          <w:p w14:paraId="460CD619">
            <w:pPr>
              <w:spacing w:line="456" w:lineRule="auto"/>
              <w:rPr>
                <w:rFonts w:ascii="Arial"/>
                <w:sz w:val="21"/>
              </w:rPr>
            </w:pPr>
          </w:p>
          <w:p w14:paraId="62F729AC">
            <w:pPr>
              <w:pStyle w:val="6"/>
              <w:spacing w:before="65" w:line="228" w:lineRule="auto"/>
              <w:ind w:left="432"/>
            </w:pPr>
            <w:r>
              <w:rPr>
                <w:spacing w:val="6"/>
              </w:rPr>
              <w:t>滴定管</w:t>
            </w:r>
          </w:p>
        </w:tc>
        <w:tc>
          <w:tcPr>
            <w:tcW w:w="853" w:type="dxa"/>
            <w:vAlign w:val="top"/>
          </w:tcPr>
          <w:p w14:paraId="7FD56017">
            <w:pPr>
              <w:spacing w:line="367" w:lineRule="auto"/>
              <w:rPr>
                <w:rFonts w:ascii="Arial"/>
                <w:sz w:val="21"/>
              </w:rPr>
            </w:pPr>
          </w:p>
          <w:p w14:paraId="0C5277E2">
            <w:pPr>
              <w:tabs>
                <w:tab w:val="left" w:pos="527"/>
              </w:tabs>
              <w:spacing w:before="61"/>
              <w:ind w:left="324"/>
              <w:rPr>
                <w:rFonts w:ascii="Arial"/>
                <w:sz w:val="21"/>
              </w:rPr>
            </w:pPr>
            <w:r>
              <w:rPr>
                <w:rFonts w:ascii="Arial" w:hAnsi="Arial" w:eastAsia="Arial" w:cs="Arial"/>
                <w:sz w:val="21"/>
                <w:szCs w:val="21"/>
                <w:u w:val="single" w:color="auto"/>
              </w:rPr>
              <w:tab/>
            </w:r>
          </w:p>
        </w:tc>
      </w:tr>
      <w:tr w14:paraId="56EB7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27" w:type="dxa"/>
            <w:vAlign w:val="top"/>
          </w:tcPr>
          <w:p w14:paraId="5D6B7A01">
            <w:pPr>
              <w:spacing w:line="250" w:lineRule="auto"/>
              <w:rPr>
                <w:rFonts w:ascii="Arial"/>
                <w:sz w:val="21"/>
              </w:rPr>
            </w:pPr>
          </w:p>
          <w:p w14:paraId="40881405">
            <w:pPr>
              <w:spacing w:line="250" w:lineRule="auto"/>
              <w:rPr>
                <w:rFonts w:ascii="Arial"/>
                <w:sz w:val="21"/>
              </w:rPr>
            </w:pPr>
          </w:p>
          <w:p w14:paraId="0BE0AFA1">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59" w:type="dxa"/>
            <w:vAlign w:val="top"/>
          </w:tcPr>
          <w:p w14:paraId="54FECEC4">
            <w:pPr>
              <w:spacing w:line="457" w:lineRule="auto"/>
              <w:rPr>
                <w:rFonts w:ascii="Arial"/>
                <w:sz w:val="21"/>
              </w:rPr>
            </w:pPr>
          </w:p>
          <w:p w14:paraId="254CDA16">
            <w:pPr>
              <w:pStyle w:val="6"/>
              <w:spacing w:before="65" w:line="228" w:lineRule="auto"/>
              <w:ind w:left="164"/>
            </w:pPr>
            <w:r>
              <w:rPr>
                <w:spacing w:val="7"/>
              </w:rPr>
              <w:t>重碳酸盐</w:t>
            </w:r>
          </w:p>
        </w:tc>
        <w:tc>
          <w:tcPr>
            <w:tcW w:w="3893" w:type="dxa"/>
            <w:vAlign w:val="top"/>
          </w:tcPr>
          <w:p w14:paraId="25166A80">
            <w:pPr>
              <w:pStyle w:val="6"/>
              <w:spacing w:before="56" w:line="228" w:lineRule="auto"/>
              <w:ind w:left="119"/>
            </w:pPr>
            <w:r>
              <w:rPr>
                <w:spacing w:val="3"/>
              </w:rPr>
              <w:t>《水和废水监测分析方法（第四版）国家</w:t>
            </w:r>
          </w:p>
          <w:p w14:paraId="0DC67622">
            <w:pPr>
              <w:pStyle w:val="6"/>
              <w:spacing w:before="65" w:line="228" w:lineRule="auto"/>
              <w:ind w:left="113"/>
            </w:pPr>
            <w:r>
              <w:rPr>
                <w:spacing w:val="6"/>
              </w:rPr>
              <w:t>环境保护总局》（</w:t>
            </w:r>
            <w:r>
              <w:rPr>
                <w:rFonts w:ascii="Times New Roman" w:hAnsi="Times New Roman" w:eastAsia="Times New Roman" w:cs="Times New Roman"/>
                <w:spacing w:val="6"/>
              </w:rPr>
              <w:t xml:space="preserve">2002  </w:t>
            </w:r>
            <w:r>
              <w:rPr>
                <w:spacing w:val="6"/>
              </w:rPr>
              <w:t>年）</w:t>
            </w:r>
            <w:r>
              <w:rPr>
                <w:spacing w:val="39"/>
              </w:rPr>
              <w:t xml:space="preserve"> </w:t>
            </w:r>
            <w:r>
              <w:rPr>
                <w:spacing w:val="6"/>
              </w:rPr>
              <w:t>第三篇 第</w:t>
            </w:r>
          </w:p>
          <w:p w14:paraId="054A9126">
            <w:pPr>
              <w:pStyle w:val="6"/>
              <w:spacing w:before="65" w:line="227" w:lineRule="auto"/>
              <w:ind w:left="117"/>
            </w:pPr>
            <w:r>
              <w:rPr>
                <w:spacing w:val="4"/>
              </w:rPr>
              <w:t>一章 十二、碱度</w:t>
            </w:r>
            <w:r>
              <w:rPr>
                <w:spacing w:val="-8"/>
              </w:rPr>
              <w:t xml:space="preserve"> </w:t>
            </w:r>
            <w:r>
              <w:rPr>
                <w:spacing w:val="4"/>
              </w:rPr>
              <w:t>（一）酸碱指示剂滴定</w:t>
            </w:r>
          </w:p>
          <w:p w14:paraId="615F1FB2">
            <w:pPr>
              <w:pStyle w:val="6"/>
              <w:spacing w:before="66" w:line="230" w:lineRule="auto"/>
              <w:ind w:left="1566"/>
            </w:pPr>
            <w:r>
              <w:rPr>
                <w:spacing w:val="4"/>
              </w:rPr>
              <w:t>法（</w:t>
            </w:r>
            <w:r>
              <w:rPr>
                <w:rFonts w:ascii="Times New Roman" w:hAnsi="Times New Roman" w:eastAsia="Times New Roman" w:cs="Times New Roman"/>
                <w:spacing w:val="4"/>
              </w:rPr>
              <w:t>B</w:t>
            </w:r>
            <w:r>
              <w:rPr>
                <w:spacing w:val="4"/>
              </w:rPr>
              <w:t>）</w:t>
            </w:r>
          </w:p>
        </w:tc>
        <w:tc>
          <w:tcPr>
            <w:tcW w:w="794" w:type="dxa"/>
            <w:vAlign w:val="top"/>
          </w:tcPr>
          <w:p w14:paraId="2F515143">
            <w:pPr>
              <w:spacing w:line="368" w:lineRule="auto"/>
              <w:rPr>
                <w:rFonts w:ascii="Arial"/>
                <w:sz w:val="21"/>
              </w:rPr>
            </w:pPr>
          </w:p>
          <w:p w14:paraId="0BDAEE0E">
            <w:pPr>
              <w:tabs>
                <w:tab w:val="left" w:pos="499"/>
              </w:tabs>
              <w:spacing w:before="60"/>
              <w:ind w:left="296"/>
              <w:rPr>
                <w:rFonts w:ascii="Arial"/>
                <w:sz w:val="21"/>
              </w:rPr>
            </w:pPr>
            <w:r>
              <w:rPr>
                <w:rFonts w:ascii="Arial" w:hAnsi="Arial" w:eastAsia="Arial" w:cs="Arial"/>
                <w:sz w:val="21"/>
                <w:szCs w:val="21"/>
                <w:u w:val="single" w:color="auto"/>
              </w:rPr>
              <w:tab/>
            </w:r>
          </w:p>
        </w:tc>
        <w:tc>
          <w:tcPr>
            <w:tcW w:w="1475" w:type="dxa"/>
            <w:vAlign w:val="top"/>
          </w:tcPr>
          <w:p w14:paraId="7C37AE7D">
            <w:pPr>
              <w:spacing w:line="456" w:lineRule="auto"/>
              <w:rPr>
                <w:rFonts w:ascii="Arial"/>
                <w:sz w:val="21"/>
              </w:rPr>
            </w:pPr>
          </w:p>
          <w:p w14:paraId="35A37B2D">
            <w:pPr>
              <w:pStyle w:val="6"/>
              <w:spacing w:before="65" w:line="228" w:lineRule="auto"/>
              <w:ind w:left="432"/>
            </w:pPr>
            <w:r>
              <w:rPr>
                <w:spacing w:val="6"/>
              </w:rPr>
              <w:t>滴定管</w:t>
            </w:r>
          </w:p>
        </w:tc>
        <w:tc>
          <w:tcPr>
            <w:tcW w:w="853" w:type="dxa"/>
            <w:vAlign w:val="top"/>
          </w:tcPr>
          <w:p w14:paraId="3E064148">
            <w:pPr>
              <w:spacing w:line="368" w:lineRule="auto"/>
              <w:rPr>
                <w:rFonts w:ascii="Arial"/>
                <w:sz w:val="21"/>
              </w:rPr>
            </w:pPr>
          </w:p>
          <w:p w14:paraId="2C92A755">
            <w:pPr>
              <w:tabs>
                <w:tab w:val="left" w:pos="527"/>
              </w:tabs>
              <w:spacing w:before="60"/>
              <w:ind w:left="324"/>
              <w:rPr>
                <w:rFonts w:ascii="Arial"/>
                <w:sz w:val="21"/>
              </w:rPr>
            </w:pPr>
            <w:r>
              <w:rPr>
                <w:rFonts w:ascii="Arial" w:hAnsi="Arial" w:eastAsia="Arial" w:cs="Arial"/>
                <w:sz w:val="21"/>
                <w:szCs w:val="21"/>
                <w:u w:val="single" w:color="auto"/>
              </w:rPr>
              <w:tab/>
            </w:r>
          </w:p>
        </w:tc>
      </w:tr>
      <w:tr w14:paraId="1E8F1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27" w:type="dxa"/>
            <w:vAlign w:val="top"/>
          </w:tcPr>
          <w:p w14:paraId="1D752BB7">
            <w:pPr>
              <w:spacing w:before="249"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159" w:type="dxa"/>
            <w:vAlign w:val="top"/>
          </w:tcPr>
          <w:p w14:paraId="5209AB86">
            <w:pPr>
              <w:pStyle w:val="6"/>
              <w:spacing w:before="213" w:line="228" w:lineRule="auto"/>
              <w:ind w:left="270"/>
            </w:pPr>
            <w:r>
              <w:rPr>
                <w:spacing w:val="6"/>
              </w:rPr>
              <w:t>石油类</w:t>
            </w:r>
          </w:p>
        </w:tc>
        <w:tc>
          <w:tcPr>
            <w:tcW w:w="3893" w:type="dxa"/>
            <w:vAlign w:val="top"/>
          </w:tcPr>
          <w:p w14:paraId="6B91748A">
            <w:pPr>
              <w:pStyle w:val="6"/>
              <w:spacing w:before="57" w:line="228" w:lineRule="auto"/>
              <w:ind w:left="172"/>
            </w:pPr>
            <w:r>
              <w:rPr>
                <w:spacing w:val="8"/>
              </w:rPr>
              <w:t>《水质 石油类的测定 紫外分光光度法</w:t>
            </w:r>
          </w:p>
          <w:p w14:paraId="05DDCBC9">
            <w:pPr>
              <w:pStyle w:val="6"/>
              <w:spacing w:before="65" w:line="228" w:lineRule="auto"/>
              <w:ind w:left="577"/>
            </w:pPr>
            <w:r>
              <w:rPr>
                <w:spacing w:val="5"/>
              </w:rPr>
              <w:t>（试行）》（</w:t>
            </w:r>
            <w:r>
              <w:rPr>
                <w:rFonts w:ascii="Times New Roman" w:hAnsi="Times New Roman" w:eastAsia="Times New Roman" w:cs="Times New Roman"/>
              </w:rPr>
              <w:t>HJ</w:t>
            </w:r>
            <w:r>
              <w:rPr>
                <w:rFonts w:ascii="Times New Roman" w:hAnsi="Times New Roman" w:eastAsia="Times New Roman" w:cs="Times New Roman"/>
                <w:spacing w:val="5"/>
              </w:rPr>
              <w:t xml:space="preserve"> 970 -</w:t>
            </w:r>
            <w:r>
              <w:rPr>
                <w:rFonts w:ascii="Times New Roman" w:hAnsi="Times New Roman" w:eastAsia="Times New Roman" w:cs="Times New Roman"/>
                <w:spacing w:val="7"/>
              </w:rPr>
              <w:t xml:space="preserve"> </w:t>
            </w:r>
            <w:r>
              <w:rPr>
                <w:rFonts w:ascii="Times New Roman" w:hAnsi="Times New Roman" w:eastAsia="Times New Roman" w:cs="Times New Roman"/>
                <w:spacing w:val="5"/>
              </w:rPr>
              <w:t xml:space="preserve">2018  </w:t>
            </w:r>
            <w:r>
              <w:rPr>
                <w:spacing w:val="5"/>
              </w:rPr>
              <w:t>）</w:t>
            </w:r>
          </w:p>
        </w:tc>
        <w:tc>
          <w:tcPr>
            <w:tcW w:w="794" w:type="dxa"/>
            <w:vAlign w:val="top"/>
          </w:tcPr>
          <w:p w14:paraId="078136F4">
            <w:pPr>
              <w:spacing w:before="9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9AC032B">
            <w:pPr>
              <w:spacing w:before="121" w:line="201"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475" w:type="dxa"/>
            <w:vAlign w:val="top"/>
          </w:tcPr>
          <w:p w14:paraId="466BBD7D">
            <w:pPr>
              <w:pStyle w:val="6"/>
              <w:spacing w:before="57" w:line="228" w:lineRule="auto"/>
              <w:ind w:left="119"/>
            </w:pPr>
            <w:r>
              <w:rPr>
                <w:spacing w:val="7"/>
              </w:rPr>
              <w:t>紫外分光光度</w:t>
            </w:r>
          </w:p>
          <w:p w14:paraId="026988C5">
            <w:pPr>
              <w:spacing w:before="97" w:line="199"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3"/>
                <w:sz w:val="20"/>
                <w:szCs w:val="20"/>
              </w:rPr>
              <w:t>-5100</w:t>
            </w:r>
          </w:p>
        </w:tc>
        <w:tc>
          <w:tcPr>
            <w:tcW w:w="853" w:type="dxa"/>
            <w:vAlign w:val="top"/>
          </w:tcPr>
          <w:p w14:paraId="7928B1E8">
            <w:pPr>
              <w:spacing w:before="9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11"/>
                <w:sz w:val="20"/>
                <w:szCs w:val="20"/>
              </w:rPr>
              <w:t>-0</w:t>
            </w:r>
          </w:p>
          <w:p w14:paraId="60DFE6E5">
            <w:pPr>
              <w:spacing w:before="125"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21-A</w:t>
            </w:r>
          </w:p>
        </w:tc>
      </w:tr>
    </w:tbl>
    <w:p w14:paraId="508E16E8">
      <w:pPr>
        <w:spacing w:before="115" w:line="218" w:lineRule="auto"/>
        <w:ind w:left="69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）评价结果</w:t>
      </w:r>
    </w:p>
    <w:p w14:paraId="18459894">
      <w:pPr>
        <w:spacing w:before="183" w:line="330" w:lineRule="auto"/>
        <w:ind w:left="208" w:right="348" w:firstLine="479"/>
        <w:rPr>
          <w:rFonts w:ascii="宋体" w:hAnsi="宋体" w:eastAsia="宋体" w:cs="宋体"/>
          <w:sz w:val="24"/>
          <w:szCs w:val="24"/>
        </w:rPr>
      </w:pPr>
      <w:r>
        <w:rPr>
          <w:rFonts w:ascii="宋体" w:hAnsi="宋体" w:eastAsia="宋体" w:cs="宋体"/>
          <w:spacing w:val="1"/>
          <w:sz w:val="24"/>
          <w:szCs w:val="24"/>
        </w:rPr>
        <w:t>根据内蒙古玉龙矿业股份有限公司</w:t>
      </w:r>
      <w:r>
        <w:rPr>
          <w:rFonts w:ascii="Times New Roman" w:hAnsi="Times New Roman" w:eastAsia="Times New Roman" w:cs="Times New Roman"/>
          <w:spacing w:val="1"/>
          <w:sz w:val="24"/>
          <w:szCs w:val="24"/>
        </w:rPr>
        <w:t>2023</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年</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 xml:space="preserve">月委托内蒙古华智鼎环保科技 </w:t>
      </w:r>
      <w:r>
        <w:rPr>
          <w:rFonts w:ascii="宋体" w:hAnsi="宋体" w:eastAsia="宋体" w:cs="宋体"/>
          <w:spacing w:val="-1"/>
          <w:sz w:val="24"/>
          <w:szCs w:val="24"/>
        </w:rPr>
        <w:t>有限公司开展的地下水水质监测资料进行水质评价。评价结果详见表</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6.3-13</w:t>
      </w:r>
      <w:r>
        <w:rPr>
          <w:rFonts w:ascii="宋体" w:hAnsi="宋体" w:eastAsia="宋体" w:cs="宋体"/>
          <w:spacing w:val="-1"/>
          <w:sz w:val="24"/>
          <w:szCs w:val="24"/>
        </w:rPr>
        <w:t>。</w:t>
      </w:r>
    </w:p>
    <w:p w14:paraId="54BDEE8D">
      <w:pPr>
        <w:spacing w:line="219" w:lineRule="auto"/>
        <w:ind w:left="300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6.3-13    </w:t>
      </w:r>
      <w:r>
        <w:rPr>
          <w:rFonts w:ascii="宋体" w:hAnsi="宋体" w:eastAsia="宋体" w:cs="宋体"/>
          <w:spacing w:val="-2"/>
          <w:sz w:val="24"/>
          <w:szCs w:val="24"/>
        </w:rPr>
        <w:t>地下水水质结果表</w:t>
      </w:r>
    </w:p>
    <w:p w14:paraId="61286BD0">
      <w:pPr>
        <w:spacing w:line="145" w:lineRule="exact"/>
      </w:pPr>
    </w:p>
    <w:tbl>
      <w:tblPr>
        <w:tblStyle w:val="5"/>
        <w:tblW w:w="8264" w:type="dxa"/>
        <w:tblInd w:w="2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3"/>
        <w:gridCol w:w="1399"/>
        <w:gridCol w:w="959"/>
        <w:gridCol w:w="2199"/>
        <w:gridCol w:w="964"/>
      </w:tblGrid>
      <w:tr w14:paraId="1CDA6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43" w:type="dxa"/>
            <w:vMerge w:val="restart"/>
            <w:tcBorders>
              <w:bottom w:val="nil"/>
            </w:tcBorders>
            <w:vAlign w:val="top"/>
          </w:tcPr>
          <w:p w14:paraId="751D70E0">
            <w:pPr>
              <w:pStyle w:val="6"/>
              <w:spacing w:before="230" w:line="219" w:lineRule="auto"/>
              <w:ind w:left="1017"/>
              <w:rPr>
                <w:sz w:val="18"/>
                <w:szCs w:val="18"/>
              </w:rPr>
            </w:pPr>
            <w:r>
              <w:rPr>
                <w:spacing w:val="-2"/>
                <w:sz w:val="18"/>
                <w:szCs w:val="18"/>
              </w:rPr>
              <w:t>检测项目</w:t>
            </w:r>
          </w:p>
        </w:tc>
        <w:tc>
          <w:tcPr>
            <w:tcW w:w="1399" w:type="dxa"/>
            <w:vMerge w:val="restart"/>
            <w:tcBorders>
              <w:bottom w:val="nil"/>
            </w:tcBorders>
            <w:vAlign w:val="top"/>
          </w:tcPr>
          <w:p w14:paraId="2147EBBC">
            <w:pPr>
              <w:pStyle w:val="6"/>
              <w:spacing w:before="230" w:line="220" w:lineRule="auto"/>
              <w:ind w:left="524"/>
              <w:rPr>
                <w:sz w:val="18"/>
                <w:szCs w:val="18"/>
              </w:rPr>
            </w:pPr>
            <w:r>
              <w:rPr>
                <w:spacing w:val="-5"/>
                <w:sz w:val="18"/>
                <w:szCs w:val="18"/>
              </w:rPr>
              <w:t>单位</w:t>
            </w:r>
          </w:p>
        </w:tc>
        <w:tc>
          <w:tcPr>
            <w:tcW w:w="959" w:type="dxa"/>
            <w:vMerge w:val="restart"/>
            <w:tcBorders>
              <w:bottom w:val="nil"/>
            </w:tcBorders>
            <w:vAlign w:val="top"/>
          </w:tcPr>
          <w:p w14:paraId="466BF803">
            <w:pPr>
              <w:pStyle w:val="6"/>
              <w:spacing w:before="230" w:line="219" w:lineRule="auto"/>
              <w:ind w:left="214"/>
              <w:rPr>
                <w:sz w:val="18"/>
                <w:szCs w:val="18"/>
              </w:rPr>
            </w:pPr>
            <w:r>
              <w:rPr>
                <w:spacing w:val="-3"/>
                <w:sz w:val="18"/>
                <w:szCs w:val="18"/>
              </w:rPr>
              <w:t>标准值</w:t>
            </w:r>
          </w:p>
        </w:tc>
        <w:tc>
          <w:tcPr>
            <w:tcW w:w="3163" w:type="dxa"/>
            <w:gridSpan w:val="2"/>
            <w:vAlign w:val="top"/>
          </w:tcPr>
          <w:p w14:paraId="2EE8D433">
            <w:pPr>
              <w:pStyle w:val="6"/>
              <w:spacing w:before="69" w:line="219" w:lineRule="auto"/>
              <w:ind w:left="796"/>
              <w:rPr>
                <w:sz w:val="18"/>
                <w:szCs w:val="18"/>
              </w:rPr>
            </w:pPr>
            <w:r>
              <w:rPr>
                <w:spacing w:val="-3"/>
                <w:sz w:val="18"/>
                <w:szCs w:val="18"/>
              </w:rPr>
              <w:t>已有工程下游地下水</w:t>
            </w:r>
          </w:p>
        </w:tc>
      </w:tr>
      <w:tr w14:paraId="68176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Merge w:val="continue"/>
            <w:tcBorders>
              <w:top w:val="nil"/>
            </w:tcBorders>
            <w:vAlign w:val="top"/>
          </w:tcPr>
          <w:p w14:paraId="29DBF008">
            <w:pPr>
              <w:rPr>
                <w:rFonts w:ascii="Arial"/>
                <w:sz w:val="21"/>
              </w:rPr>
            </w:pPr>
          </w:p>
        </w:tc>
        <w:tc>
          <w:tcPr>
            <w:tcW w:w="1399" w:type="dxa"/>
            <w:vMerge w:val="continue"/>
            <w:tcBorders>
              <w:top w:val="nil"/>
            </w:tcBorders>
            <w:vAlign w:val="top"/>
          </w:tcPr>
          <w:p w14:paraId="4FDB356E">
            <w:pPr>
              <w:rPr>
                <w:rFonts w:ascii="Arial"/>
                <w:sz w:val="21"/>
              </w:rPr>
            </w:pPr>
          </w:p>
        </w:tc>
        <w:tc>
          <w:tcPr>
            <w:tcW w:w="959" w:type="dxa"/>
            <w:vMerge w:val="continue"/>
            <w:tcBorders>
              <w:top w:val="nil"/>
            </w:tcBorders>
            <w:vAlign w:val="top"/>
          </w:tcPr>
          <w:p w14:paraId="59F7B590">
            <w:pPr>
              <w:rPr>
                <w:rFonts w:ascii="Arial"/>
                <w:sz w:val="21"/>
              </w:rPr>
            </w:pPr>
          </w:p>
        </w:tc>
        <w:tc>
          <w:tcPr>
            <w:tcW w:w="2199" w:type="dxa"/>
            <w:vAlign w:val="top"/>
          </w:tcPr>
          <w:p w14:paraId="5454A22D">
            <w:pPr>
              <w:pStyle w:val="6"/>
              <w:spacing w:before="65" w:line="219" w:lineRule="auto"/>
              <w:ind w:left="840"/>
              <w:rPr>
                <w:sz w:val="18"/>
                <w:szCs w:val="18"/>
              </w:rPr>
            </w:pPr>
            <w:r>
              <w:rPr>
                <w:spacing w:val="-4"/>
                <w:sz w:val="18"/>
                <w:szCs w:val="18"/>
              </w:rPr>
              <w:t>实测值</w:t>
            </w:r>
          </w:p>
        </w:tc>
        <w:tc>
          <w:tcPr>
            <w:tcW w:w="964" w:type="dxa"/>
            <w:vAlign w:val="top"/>
          </w:tcPr>
          <w:p w14:paraId="213644E9">
            <w:pPr>
              <w:pStyle w:val="6"/>
              <w:spacing w:before="65" w:line="219" w:lineRule="auto"/>
              <w:ind w:left="126"/>
              <w:rPr>
                <w:sz w:val="18"/>
                <w:szCs w:val="18"/>
              </w:rPr>
            </w:pPr>
            <w:r>
              <w:rPr>
                <w:spacing w:val="-2"/>
                <w:sz w:val="18"/>
                <w:szCs w:val="18"/>
              </w:rPr>
              <w:t>标准指数</w:t>
            </w:r>
          </w:p>
        </w:tc>
      </w:tr>
      <w:tr w14:paraId="02D30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067A4D02">
            <w:pPr>
              <w:spacing w:before="91" w:line="194" w:lineRule="auto"/>
              <w:ind w:left="124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399" w:type="dxa"/>
            <w:vAlign w:val="top"/>
          </w:tcPr>
          <w:p w14:paraId="6D8A9520">
            <w:pPr>
              <w:pStyle w:val="6"/>
              <w:spacing w:before="53" w:line="228" w:lineRule="auto"/>
              <w:ind w:left="391"/>
            </w:pPr>
            <w:r>
              <w:rPr>
                <w:spacing w:val="6"/>
              </w:rPr>
              <w:t>无量纲</w:t>
            </w:r>
          </w:p>
        </w:tc>
        <w:tc>
          <w:tcPr>
            <w:tcW w:w="959" w:type="dxa"/>
            <w:vAlign w:val="top"/>
          </w:tcPr>
          <w:p w14:paraId="30548B97">
            <w:pPr>
              <w:spacing w:before="8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6.5~8.5</w:t>
            </w:r>
          </w:p>
        </w:tc>
        <w:tc>
          <w:tcPr>
            <w:tcW w:w="2199" w:type="dxa"/>
            <w:vAlign w:val="top"/>
          </w:tcPr>
          <w:p w14:paraId="28901D80">
            <w:pPr>
              <w:spacing w:before="88"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7.66</w:t>
            </w:r>
          </w:p>
        </w:tc>
        <w:tc>
          <w:tcPr>
            <w:tcW w:w="964" w:type="dxa"/>
            <w:vAlign w:val="top"/>
          </w:tcPr>
          <w:p w14:paraId="6C2C84C5">
            <w:pPr>
              <w:spacing w:before="83"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0.44</w:t>
            </w:r>
          </w:p>
        </w:tc>
      </w:tr>
      <w:tr w14:paraId="7CCDD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7628744C">
            <w:pPr>
              <w:pStyle w:val="6"/>
              <w:spacing w:before="52" w:line="228" w:lineRule="auto"/>
              <w:ind w:left="1067"/>
            </w:pPr>
            <w:r>
              <w:rPr>
                <w:spacing w:val="5"/>
              </w:rPr>
              <w:t>总硬度</w:t>
            </w:r>
          </w:p>
        </w:tc>
        <w:tc>
          <w:tcPr>
            <w:tcW w:w="1399" w:type="dxa"/>
            <w:vAlign w:val="top"/>
          </w:tcPr>
          <w:p w14:paraId="0C139A10">
            <w:pPr>
              <w:spacing w:before="84"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1246D109">
            <w:pPr>
              <w:pStyle w:val="6"/>
              <w:spacing w:before="52" w:line="234"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450</w:t>
            </w:r>
          </w:p>
        </w:tc>
        <w:tc>
          <w:tcPr>
            <w:tcW w:w="2199" w:type="dxa"/>
            <w:vAlign w:val="top"/>
          </w:tcPr>
          <w:p w14:paraId="75036BA3">
            <w:pPr>
              <w:spacing w:before="88" w:line="195" w:lineRule="auto"/>
              <w:ind w:left="9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w:t>
            </w:r>
          </w:p>
        </w:tc>
        <w:tc>
          <w:tcPr>
            <w:tcW w:w="964" w:type="dxa"/>
            <w:vAlign w:val="top"/>
          </w:tcPr>
          <w:p w14:paraId="059DC51C">
            <w:pPr>
              <w:spacing w:before="82"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0.63</w:t>
            </w:r>
          </w:p>
        </w:tc>
      </w:tr>
      <w:tr w14:paraId="2B867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5608852F">
            <w:pPr>
              <w:pStyle w:val="6"/>
              <w:spacing w:before="53" w:line="228" w:lineRule="auto"/>
              <w:ind w:left="750"/>
            </w:pPr>
            <w:r>
              <w:rPr>
                <w:spacing w:val="7"/>
              </w:rPr>
              <w:t>溶解性总固体</w:t>
            </w:r>
          </w:p>
        </w:tc>
        <w:tc>
          <w:tcPr>
            <w:tcW w:w="1399" w:type="dxa"/>
            <w:vAlign w:val="top"/>
          </w:tcPr>
          <w:p w14:paraId="3381D63C">
            <w:pPr>
              <w:spacing w:before="85"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484B9262">
            <w:pPr>
              <w:pStyle w:val="6"/>
              <w:spacing w:before="53" w:line="234" w:lineRule="auto"/>
              <w:ind w:left="186"/>
              <w:rPr>
                <w:rFonts w:ascii="Times New Roman" w:hAnsi="Times New Roman" w:eastAsia="Times New Roman" w:cs="Times New Roman"/>
              </w:rPr>
            </w:pPr>
            <w:r>
              <w:rPr>
                <w:spacing w:val="1"/>
              </w:rPr>
              <w:t>≤</w:t>
            </w:r>
            <w:r>
              <w:rPr>
                <w:rFonts w:ascii="Times New Roman" w:hAnsi="Times New Roman" w:eastAsia="Times New Roman" w:cs="Times New Roman"/>
                <w:spacing w:val="1"/>
              </w:rPr>
              <w:t>1000</w:t>
            </w:r>
          </w:p>
        </w:tc>
        <w:tc>
          <w:tcPr>
            <w:tcW w:w="2199" w:type="dxa"/>
            <w:vAlign w:val="top"/>
          </w:tcPr>
          <w:p w14:paraId="7C1E1B92">
            <w:pPr>
              <w:spacing w:before="88" w:line="195" w:lineRule="auto"/>
              <w:ind w:left="9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510</w:t>
            </w:r>
          </w:p>
        </w:tc>
        <w:tc>
          <w:tcPr>
            <w:tcW w:w="964" w:type="dxa"/>
            <w:vAlign w:val="top"/>
          </w:tcPr>
          <w:p w14:paraId="19A2EE51">
            <w:pPr>
              <w:spacing w:before="83"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0.51</w:t>
            </w:r>
          </w:p>
        </w:tc>
      </w:tr>
      <w:tr w14:paraId="08B78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198700A6">
            <w:pPr>
              <w:pStyle w:val="6"/>
              <w:spacing w:before="52" w:line="229" w:lineRule="auto"/>
              <w:ind w:left="1272"/>
            </w:pPr>
            <w:r>
              <w:rPr>
                <w:spacing w:val="1"/>
              </w:rPr>
              <w:t>铁</w:t>
            </w:r>
          </w:p>
        </w:tc>
        <w:tc>
          <w:tcPr>
            <w:tcW w:w="1399" w:type="dxa"/>
            <w:vAlign w:val="top"/>
          </w:tcPr>
          <w:p w14:paraId="22C6061D">
            <w:pPr>
              <w:spacing w:before="84"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35B7649B">
            <w:pPr>
              <w:pStyle w:val="6"/>
              <w:spacing w:before="52" w:line="234" w:lineRule="auto"/>
              <w:ind w:left="263"/>
              <w:rPr>
                <w:rFonts w:ascii="Times New Roman" w:hAnsi="Times New Roman" w:eastAsia="Times New Roman" w:cs="Times New Roman"/>
              </w:rPr>
            </w:pPr>
            <w:r>
              <w:t>≤</w:t>
            </w:r>
            <w:r>
              <w:rPr>
                <w:rFonts w:ascii="Times New Roman" w:hAnsi="Times New Roman" w:eastAsia="Times New Roman" w:cs="Times New Roman"/>
              </w:rPr>
              <w:t>0.3</w:t>
            </w:r>
          </w:p>
        </w:tc>
        <w:tc>
          <w:tcPr>
            <w:tcW w:w="2199" w:type="dxa"/>
            <w:vAlign w:val="top"/>
          </w:tcPr>
          <w:p w14:paraId="14191BD5">
            <w:pPr>
              <w:spacing w:before="88"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0.03L</w:t>
            </w:r>
          </w:p>
        </w:tc>
        <w:tc>
          <w:tcPr>
            <w:tcW w:w="964" w:type="dxa"/>
            <w:vAlign w:val="top"/>
          </w:tcPr>
          <w:p w14:paraId="0E96C846">
            <w:pPr>
              <w:pStyle w:val="6"/>
              <w:spacing w:before="52" w:line="234"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461ED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3BFD470F">
            <w:pPr>
              <w:pStyle w:val="6"/>
              <w:spacing w:before="53" w:line="233" w:lineRule="auto"/>
              <w:ind w:left="1273"/>
            </w:pPr>
            <w:r>
              <w:t>锰</w:t>
            </w:r>
          </w:p>
        </w:tc>
        <w:tc>
          <w:tcPr>
            <w:tcW w:w="1399" w:type="dxa"/>
            <w:vAlign w:val="top"/>
          </w:tcPr>
          <w:p w14:paraId="05B92725">
            <w:pPr>
              <w:spacing w:before="85"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2E5AA30A">
            <w:pPr>
              <w:pStyle w:val="6"/>
              <w:spacing w:before="53" w:line="233"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0.10</w:t>
            </w:r>
          </w:p>
        </w:tc>
        <w:tc>
          <w:tcPr>
            <w:tcW w:w="2199" w:type="dxa"/>
            <w:vAlign w:val="top"/>
          </w:tcPr>
          <w:p w14:paraId="0177107E">
            <w:pPr>
              <w:spacing w:before="89"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964" w:type="dxa"/>
            <w:vAlign w:val="top"/>
          </w:tcPr>
          <w:p w14:paraId="521C32D3">
            <w:pPr>
              <w:pStyle w:val="6"/>
              <w:spacing w:before="53" w:line="233"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68D9A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41C62321">
            <w:pPr>
              <w:pStyle w:val="6"/>
              <w:spacing w:before="56" w:line="228" w:lineRule="auto"/>
              <w:ind w:left="1272"/>
            </w:pPr>
            <w:r>
              <w:rPr>
                <w:spacing w:val="1"/>
              </w:rPr>
              <w:t>锌</w:t>
            </w:r>
          </w:p>
        </w:tc>
        <w:tc>
          <w:tcPr>
            <w:tcW w:w="1399" w:type="dxa"/>
            <w:vAlign w:val="top"/>
          </w:tcPr>
          <w:p w14:paraId="70A4F63B">
            <w:pPr>
              <w:spacing w:before="88"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4682755C">
            <w:pPr>
              <w:pStyle w:val="6"/>
              <w:spacing w:before="56" w:line="231"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1.00</w:t>
            </w:r>
          </w:p>
        </w:tc>
        <w:tc>
          <w:tcPr>
            <w:tcW w:w="2199" w:type="dxa"/>
            <w:vAlign w:val="top"/>
          </w:tcPr>
          <w:p w14:paraId="3C136F5C">
            <w:pPr>
              <w:spacing w:before="92"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964" w:type="dxa"/>
            <w:vAlign w:val="top"/>
          </w:tcPr>
          <w:p w14:paraId="242C6352">
            <w:pPr>
              <w:pStyle w:val="6"/>
              <w:spacing w:before="56" w:line="231"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11E4D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5FBD9247">
            <w:pPr>
              <w:pStyle w:val="6"/>
              <w:spacing w:before="56" w:line="228" w:lineRule="auto"/>
              <w:ind w:left="1061"/>
            </w:pPr>
            <w:r>
              <w:rPr>
                <w:spacing w:val="7"/>
              </w:rPr>
              <w:t>挥发酚</w:t>
            </w:r>
          </w:p>
        </w:tc>
        <w:tc>
          <w:tcPr>
            <w:tcW w:w="1399" w:type="dxa"/>
            <w:vAlign w:val="top"/>
          </w:tcPr>
          <w:p w14:paraId="71F9CB60">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5D5192A1">
            <w:pPr>
              <w:pStyle w:val="6"/>
              <w:spacing w:before="55" w:line="232" w:lineRule="auto"/>
              <w:ind w:left="157"/>
              <w:rPr>
                <w:rFonts w:ascii="Times New Roman" w:hAnsi="Times New Roman" w:eastAsia="Times New Roman" w:cs="Times New Roman"/>
              </w:rPr>
            </w:pPr>
            <w:r>
              <w:rPr>
                <w:spacing w:val="1"/>
              </w:rPr>
              <w:t>≤</w:t>
            </w:r>
            <w:r>
              <w:rPr>
                <w:rFonts w:ascii="Times New Roman" w:hAnsi="Times New Roman" w:eastAsia="Times New Roman" w:cs="Times New Roman"/>
                <w:spacing w:val="1"/>
              </w:rPr>
              <w:t>0.002</w:t>
            </w:r>
          </w:p>
        </w:tc>
        <w:tc>
          <w:tcPr>
            <w:tcW w:w="2199" w:type="dxa"/>
            <w:vAlign w:val="top"/>
          </w:tcPr>
          <w:p w14:paraId="4C83FD0D">
            <w:pPr>
              <w:spacing w:before="91"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964" w:type="dxa"/>
            <w:vAlign w:val="top"/>
          </w:tcPr>
          <w:p w14:paraId="6C657007">
            <w:pPr>
              <w:pStyle w:val="6"/>
              <w:spacing w:before="55" w:line="232"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3FA29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33010B12">
            <w:pPr>
              <w:pStyle w:val="6"/>
              <w:spacing w:before="55" w:line="227" w:lineRule="auto"/>
              <w:ind w:left="1062"/>
            </w:pPr>
            <w:r>
              <w:rPr>
                <w:spacing w:val="6"/>
              </w:rPr>
              <w:t>耗氧量</w:t>
            </w:r>
          </w:p>
        </w:tc>
        <w:tc>
          <w:tcPr>
            <w:tcW w:w="1399" w:type="dxa"/>
            <w:vAlign w:val="top"/>
          </w:tcPr>
          <w:p w14:paraId="0CE09A70">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225D2EE4">
            <w:pPr>
              <w:pStyle w:val="6"/>
              <w:spacing w:before="55" w:line="232" w:lineRule="auto"/>
              <w:ind w:left="263"/>
              <w:rPr>
                <w:rFonts w:ascii="Times New Roman" w:hAnsi="Times New Roman" w:eastAsia="Times New Roman" w:cs="Times New Roman"/>
              </w:rPr>
            </w:pPr>
            <w:r>
              <w:t>≤</w:t>
            </w:r>
            <w:r>
              <w:rPr>
                <w:rFonts w:ascii="Times New Roman" w:hAnsi="Times New Roman" w:eastAsia="Times New Roman" w:cs="Times New Roman"/>
              </w:rPr>
              <w:t>3.0</w:t>
            </w:r>
          </w:p>
        </w:tc>
        <w:tc>
          <w:tcPr>
            <w:tcW w:w="2199" w:type="dxa"/>
            <w:vAlign w:val="top"/>
          </w:tcPr>
          <w:p w14:paraId="48AC678E">
            <w:pPr>
              <w:spacing w:before="91" w:line="195" w:lineRule="auto"/>
              <w:ind w:left="9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w:t>
            </w:r>
          </w:p>
        </w:tc>
        <w:tc>
          <w:tcPr>
            <w:tcW w:w="964" w:type="dxa"/>
            <w:vAlign w:val="top"/>
          </w:tcPr>
          <w:p w14:paraId="73AB668D">
            <w:pPr>
              <w:spacing w:before="85"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0.51</w:t>
            </w:r>
          </w:p>
        </w:tc>
      </w:tr>
      <w:tr w14:paraId="53437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04F76F71">
            <w:pPr>
              <w:pStyle w:val="6"/>
              <w:spacing w:before="54" w:line="227" w:lineRule="auto"/>
              <w:ind w:left="1167"/>
            </w:pPr>
            <w:r>
              <w:rPr>
                <w:spacing w:val="4"/>
              </w:rPr>
              <w:t>氨氮</w:t>
            </w:r>
          </w:p>
        </w:tc>
        <w:tc>
          <w:tcPr>
            <w:tcW w:w="1399" w:type="dxa"/>
            <w:vAlign w:val="top"/>
          </w:tcPr>
          <w:p w14:paraId="65817CE1">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3473586C">
            <w:pPr>
              <w:pStyle w:val="6"/>
              <w:spacing w:before="54" w:line="233" w:lineRule="auto"/>
              <w:ind w:left="263"/>
              <w:rPr>
                <w:rFonts w:ascii="Times New Roman" w:hAnsi="Times New Roman" w:eastAsia="Times New Roman" w:cs="Times New Roman"/>
              </w:rPr>
            </w:pPr>
            <w:r>
              <w:t>≤</w:t>
            </w:r>
            <w:r>
              <w:rPr>
                <w:rFonts w:ascii="Times New Roman" w:hAnsi="Times New Roman" w:eastAsia="Times New Roman" w:cs="Times New Roman"/>
              </w:rPr>
              <w:t>0.5</w:t>
            </w:r>
          </w:p>
        </w:tc>
        <w:tc>
          <w:tcPr>
            <w:tcW w:w="2199" w:type="dxa"/>
            <w:vAlign w:val="top"/>
          </w:tcPr>
          <w:p w14:paraId="2F306D2E">
            <w:pPr>
              <w:spacing w:before="90" w:line="195" w:lineRule="auto"/>
              <w:ind w:left="92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1.82</w:t>
            </w:r>
          </w:p>
        </w:tc>
        <w:tc>
          <w:tcPr>
            <w:tcW w:w="964" w:type="dxa"/>
            <w:vAlign w:val="top"/>
          </w:tcPr>
          <w:p w14:paraId="2FFF1838">
            <w:pPr>
              <w:spacing w:before="85" w:line="189" w:lineRule="auto"/>
              <w:ind w:left="290"/>
              <w:rPr>
                <w:rFonts w:ascii="Times New Roman" w:hAnsi="Times New Roman" w:eastAsia="Times New Roman" w:cs="Times New Roman"/>
                <w:sz w:val="22"/>
                <w:szCs w:val="22"/>
              </w:rPr>
            </w:pPr>
            <w:r>
              <w:rPr>
                <w:rFonts w:ascii="Times New Roman" w:hAnsi="Times New Roman" w:eastAsia="Times New Roman" w:cs="Times New Roman"/>
                <w:b/>
                <w:bCs/>
                <w:spacing w:val="-1"/>
                <w:sz w:val="22"/>
                <w:szCs w:val="22"/>
              </w:rPr>
              <w:t>3.64</w:t>
            </w:r>
          </w:p>
        </w:tc>
      </w:tr>
      <w:tr w14:paraId="500DA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15A2E9DC">
            <w:pPr>
              <w:pStyle w:val="6"/>
              <w:spacing w:before="54" w:line="228" w:lineRule="auto"/>
              <w:ind w:left="858"/>
            </w:pPr>
            <w:r>
              <w:rPr>
                <w:spacing w:val="7"/>
              </w:rPr>
              <w:t>总大肠菌群</w:t>
            </w:r>
          </w:p>
        </w:tc>
        <w:tc>
          <w:tcPr>
            <w:tcW w:w="1399" w:type="dxa"/>
            <w:vAlign w:val="top"/>
          </w:tcPr>
          <w:p w14:paraId="6F6BC0CD">
            <w:pPr>
              <w:spacing w:before="86" w:line="199"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MPN</w:t>
            </w:r>
            <w:r>
              <w:rPr>
                <w:rFonts w:ascii="Times New Roman" w:hAnsi="Times New Roman" w:eastAsia="Times New Roman" w:cs="Times New Roman"/>
                <w:spacing w:val="12"/>
                <w:sz w:val="20"/>
                <w:szCs w:val="20"/>
              </w:rPr>
              <w:t>/100</w:t>
            </w:r>
            <w:r>
              <w:rPr>
                <w:rFonts w:ascii="Times New Roman" w:hAnsi="Times New Roman" w:eastAsia="Times New Roman" w:cs="Times New Roman"/>
                <w:sz w:val="20"/>
                <w:szCs w:val="20"/>
              </w:rPr>
              <w:t>mL</w:t>
            </w:r>
          </w:p>
        </w:tc>
        <w:tc>
          <w:tcPr>
            <w:tcW w:w="959" w:type="dxa"/>
            <w:vAlign w:val="top"/>
          </w:tcPr>
          <w:p w14:paraId="2B7ED744">
            <w:pPr>
              <w:pStyle w:val="6"/>
              <w:spacing w:before="54" w:line="233" w:lineRule="auto"/>
              <w:ind w:left="342"/>
              <w:rPr>
                <w:rFonts w:ascii="Times New Roman" w:hAnsi="Times New Roman" w:eastAsia="Times New Roman" w:cs="Times New Roman"/>
              </w:rPr>
            </w:pPr>
            <w:r>
              <w:rPr>
                <w:spacing w:val="-5"/>
              </w:rPr>
              <w:t>≤</w:t>
            </w:r>
            <w:r>
              <w:rPr>
                <w:rFonts w:ascii="Times New Roman" w:hAnsi="Times New Roman" w:eastAsia="Times New Roman" w:cs="Times New Roman"/>
                <w:spacing w:val="-5"/>
              </w:rPr>
              <w:t>3</w:t>
            </w:r>
          </w:p>
        </w:tc>
        <w:tc>
          <w:tcPr>
            <w:tcW w:w="2199" w:type="dxa"/>
            <w:vAlign w:val="top"/>
          </w:tcPr>
          <w:p w14:paraId="56761B82">
            <w:pPr>
              <w:spacing w:before="90" w:line="195" w:lineRule="auto"/>
              <w:ind w:left="10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64" w:type="dxa"/>
            <w:vAlign w:val="top"/>
          </w:tcPr>
          <w:p w14:paraId="55C541F6">
            <w:pPr>
              <w:spacing w:before="87"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0.33</w:t>
            </w:r>
          </w:p>
        </w:tc>
      </w:tr>
      <w:tr w14:paraId="6DA67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2D29E14B">
            <w:pPr>
              <w:pStyle w:val="6"/>
              <w:spacing w:before="53" w:line="228" w:lineRule="auto"/>
              <w:ind w:left="959"/>
            </w:pPr>
            <w:r>
              <w:rPr>
                <w:spacing w:val="7"/>
              </w:rPr>
              <w:t>细菌总数</w:t>
            </w:r>
          </w:p>
        </w:tc>
        <w:tc>
          <w:tcPr>
            <w:tcW w:w="1399" w:type="dxa"/>
            <w:vAlign w:val="top"/>
          </w:tcPr>
          <w:p w14:paraId="46D62320">
            <w:pPr>
              <w:spacing w:before="86"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CFU/mL</w:t>
            </w:r>
          </w:p>
        </w:tc>
        <w:tc>
          <w:tcPr>
            <w:tcW w:w="959" w:type="dxa"/>
            <w:vAlign w:val="top"/>
          </w:tcPr>
          <w:p w14:paraId="77F62656">
            <w:pPr>
              <w:pStyle w:val="6"/>
              <w:spacing w:before="54" w:line="233"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100</w:t>
            </w:r>
          </w:p>
        </w:tc>
        <w:tc>
          <w:tcPr>
            <w:tcW w:w="2199" w:type="dxa"/>
            <w:vAlign w:val="top"/>
          </w:tcPr>
          <w:p w14:paraId="1210A99F">
            <w:pPr>
              <w:spacing w:before="90" w:line="195" w:lineRule="auto"/>
              <w:ind w:left="9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964" w:type="dxa"/>
            <w:vAlign w:val="top"/>
          </w:tcPr>
          <w:p w14:paraId="7B9C3D8A">
            <w:pPr>
              <w:spacing w:before="86"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0.26</w:t>
            </w:r>
          </w:p>
        </w:tc>
      </w:tr>
      <w:tr w14:paraId="5FF2D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5705E3FD">
            <w:pPr>
              <w:pStyle w:val="6"/>
              <w:spacing w:before="56" w:line="227" w:lineRule="auto"/>
              <w:ind w:left="854"/>
            </w:pPr>
            <w:r>
              <w:rPr>
                <w:spacing w:val="7"/>
              </w:rPr>
              <w:t>亚硝酸盐氮</w:t>
            </w:r>
          </w:p>
        </w:tc>
        <w:tc>
          <w:tcPr>
            <w:tcW w:w="1399" w:type="dxa"/>
            <w:vAlign w:val="top"/>
          </w:tcPr>
          <w:p w14:paraId="7CC4A05C">
            <w:pPr>
              <w:spacing w:before="88"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55AC3DBA">
            <w:pPr>
              <w:pStyle w:val="6"/>
              <w:spacing w:before="56" w:line="231" w:lineRule="auto"/>
              <w:ind w:left="263"/>
              <w:rPr>
                <w:rFonts w:ascii="Times New Roman" w:hAnsi="Times New Roman" w:eastAsia="Times New Roman" w:cs="Times New Roman"/>
              </w:rPr>
            </w:pPr>
            <w:r>
              <w:t>≤</w:t>
            </w:r>
            <w:r>
              <w:rPr>
                <w:rFonts w:ascii="Times New Roman" w:hAnsi="Times New Roman" w:eastAsia="Times New Roman" w:cs="Times New Roman"/>
              </w:rPr>
              <w:t>1.0</w:t>
            </w:r>
          </w:p>
        </w:tc>
        <w:tc>
          <w:tcPr>
            <w:tcW w:w="2199" w:type="dxa"/>
            <w:vAlign w:val="top"/>
          </w:tcPr>
          <w:p w14:paraId="3D80D56A">
            <w:pPr>
              <w:spacing w:before="92" w:line="195" w:lineRule="auto"/>
              <w:ind w:left="8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964" w:type="dxa"/>
            <w:vAlign w:val="top"/>
          </w:tcPr>
          <w:p w14:paraId="2D62BFF6">
            <w:pPr>
              <w:spacing w:before="86"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r>
      <w:tr w14:paraId="406DA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2743" w:type="dxa"/>
            <w:vAlign w:val="top"/>
          </w:tcPr>
          <w:p w14:paraId="4602BE3E">
            <w:pPr>
              <w:pStyle w:val="6"/>
              <w:spacing w:before="55" w:line="227" w:lineRule="auto"/>
              <w:ind w:left="960"/>
            </w:pPr>
            <w:r>
              <w:rPr>
                <w:spacing w:val="6"/>
              </w:rPr>
              <w:t>硝酸盐氮</w:t>
            </w:r>
          </w:p>
        </w:tc>
        <w:tc>
          <w:tcPr>
            <w:tcW w:w="1399" w:type="dxa"/>
            <w:vAlign w:val="top"/>
          </w:tcPr>
          <w:p w14:paraId="19041FE0">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26A2072F">
            <w:pPr>
              <w:pStyle w:val="6"/>
              <w:spacing w:before="55" w:line="234"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20.0</w:t>
            </w:r>
          </w:p>
        </w:tc>
        <w:tc>
          <w:tcPr>
            <w:tcW w:w="2199" w:type="dxa"/>
            <w:vAlign w:val="top"/>
          </w:tcPr>
          <w:p w14:paraId="62BDEF69">
            <w:pPr>
              <w:spacing w:before="91"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11.5</w:t>
            </w:r>
          </w:p>
        </w:tc>
        <w:tc>
          <w:tcPr>
            <w:tcW w:w="964" w:type="dxa"/>
            <w:vAlign w:val="top"/>
          </w:tcPr>
          <w:p w14:paraId="213D3AA4">
            <w:pPr>
              <w:spacing w:before="86"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0.58</w:t>
            </w:r>
          </w:p>
        </w:tc>
      </w:tr>
    </w:tbl>
    <w:p w14:paraId="2CC45A28">
      <w:pPr>
        <w:pStyle w:val="2"/>
      </w:pPr>
    </w:p>
    <w:p w14:paraId="25629410">
      <w:pPr>
        <w:sectPr>
          <w:footerReference r:id="rId194" w:type="default"/>
          <w:pgSz w:w="11906" w:h="16839"/>
          <w:pgMar w:top="1208" w:right="1600" w:bottom="957" w:left="1599" w:header="825" w:footer="795" w:gutter="0"/>
          <w:cols w:space="720" w:num="1"/>
        </w:sectPr>
      </w:pPr>
    </w:p>
    <w:p w14:paraId="75BC1451">
      <w:pPr>
        <w:spacing w:line="231" w:lineRule="exact"/>
      </w:pPr>
    </w:p>
    <w:tbl>
      <w:tblPr>
        <w:tblStyle w:val="5"/>
        <w:tblW w:w="8264" w:type="dxa"/>
        <w:tblInd w:w="4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3"/>
        <w:gridCol w:w="1399"/>
        <w:gridCol w:w="959"/>
        <w:gridCol w:w="2199"/>
        <w:gridCol w:w="964"/>
      </w:tblGrid>
      <w:tr w14:paraId="02664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2743" w:type="dxa"/>
            <w:tcBorders>
              <w:top w:val="nil"/>
            </w:tcBorders>
            <w:vAlign w:val="top"/>
          </w:tcPr>
          <w:p w14:paraId="0913091D">
            <w:pPr>
              <w:pStyle w:val="6"/>
              <w:spacing w:before="61" w:line="228" w:lineRule="auto"/>
              <w:ind w:left="1062"/>
            </w:pPr>
            <w:r>
              <w:rPr>
                <w:spacing w:val="6"/>
              </w:rPr>
              <w:t>氟化物</w:t>
            </w:r>
          </w:p>
        </w:tc>
        <w:tc>
          <w:tcPr>
            <w:tcW w:w="1399" w:type="dxa"/>
            <w:tcBorders>
              <w:top w:val="nil"/>
            </w:tcBorders>
            <w:vAlign w:val="top"/>
          </w:tcPr>
          <w:p w14:paraId="5A7944C4">
            <w:pPr>
              <w:spacing w:before="93"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tcBorders>
              <w:top w:val="nil"/>
            </w:tcBorders>
            <w:vAlign w:val="top"/>
          </w:tcPr>
          <w:p w14:paraId="5F8035B8">
            <w:pPr>
              <w:pStyle w:val="6"/>
              <w:spacing w:before="61" w:line="235" w:lineRule="auto"/>
              <w:ind w:left="263"/>
              <w:rPr>
                <w:rFonts w:ascii="Times New Roman" w:hAnsi="Times New Roman" w:eastAsia="Times New Roman" w:cs="Times New Roman"/>
              </w:rPr>
            </w:pPr>
            <w:r>
              <w:t>≤</w:t>
            </w:r>
            <w:r>
              <w:rPr>
                <w:rFonts w:ascii="Times New Roman" w:hAnsi="Times New Roman" w:eastAsia="Times New Roman" w:cs="Times New Roman"/>
              </w:rPr>
              <w:t>1.0</w:t>
            </w:r>
          </w:p>
        </w:tc>
        <w:tc>
          <w:tcPr>
            <w:tcW w:w="2199" w:type="dxa"/>
            <w:tcBorders>
              <w:top w:val="nil"/>
            </w:tcBorders>
            <w:vAlign w:val="top"/>
          </w:tcPr>
          <w:p w14:paraId="2308C2E1">
            <w:pPr>
              <w:spacing w:before="97"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0.66</w:t>
            </w:r>
          </w:p>
        </w:tc>
        <w:tc>
          <w:tcPr>
            <w:tcW w:w="964" w:type="dxa"/>
            <w:tcBorders>
              <w:top w:val="nil"/>
            </w:tcBorders>
            <w:vAlign w:val="top"/>
          </w:tcPr>
          <w:p w14:paraId="4C51D1F3">
            <w:pPr>
              <w:spacing w:before="91"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0.66</w:t>
            </w:r>
          </w:p>
        </w:tc>
      </w:tr>
      <w:tr w14:paraId="7A34F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550E1115">
            <w:pPr>
              <w:pStyle w:val="6"/>
              <w:spacing w:before="52" w:line="228" w:lineRule="auto"/>
              <w:ind w:left="1273"/>
            </w:pPr>
            <w:r>
              <w:t>汞</w:t>
            </w:r>
          </w:p>
        </w:tc>
        <w:tc>
          <w:tcPr>
            <w:tcW w:w="1399" w:type="dxa"/>
            <w:vAlign w:val="top"/>
          </w:tcPr>
          <w:p w14:paraId="5C56DA82">
            <w:pPr>
              <w:spacing w:before="84"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2A0A0DAF">
            <w:pPr>
              <w:pStyle w:val="6"/>
              <w:spacing w:before="52" w:line="235" w:lineRule="auto"/>
              <w:ind w:left="157"/>
              <w:rPr>
                <w:rFonts w:ascii="Times New Roman" w:hAnsi="Times New Roman" w:eastAsia="Times New Roman" w:cs="Times New Roman"/>
              </w:rPr>
            </w:pPr>
            <w:r>
              <w:rPr>
                <w:spacing w:val="1"/>
              </w:rPr>
              <w:t>≤</w:t>
            </w:r>
            <w:r>
              <w:rPr>
                <w:rFonts w:ascii="Times New Roman" w:hAnsi="Times New Roman" w:eastAsia="Times New Roman" w:cs="Times New Roman"/>
                <w:spacing w:val="1"/>
              </w:rPr>
              <w:t>0.001</w:t>
            </w:r>
          </w:p>
        </w:tc>
        <w:tc>
          <w:tcPr>
            <w:tcW w:w="2199" w:type="dxa"/>
            <w:vAlign w:val="top"/>
          </w:tcPr>
          <w:p w14:paraId="1E0ABAB6">
            <w:pPr>
              <w:spacing w:before="69" w:line="214" w:lineRule="auto"/>
              <w:ind w:left="770"/>
              <w:rPr>
                <w:rFonts w:ascii="Times New Roman" w:hAnsi="Times New Roman" w:eastAsia="Times New Roman" w:cs="Times New Roman"/>
                <w:sz w:val="13"/>
                <w:szCs w:val="13"/>
              </w:rPr>
            </w:pPr>
            <w:r>
              <w:rPr>
                <w:rFonts w:ascii="Times New Roman" w:hAnsi="Times New Roman" w:eastAsia="Times New Roman" w:cs="Times New Roman"/>
                <w:sz w:val="20"/>
                <w:szCs w:val="20"/>
              </w:rPr>
              <w:t>1.2×10</w:t>
            </w:r>
            <w:r>
              <w:rPr>
                <w:rFonts w:ascii="Times New Roman" w:hAnsi="Times New Roman" w:eastAsia="Times New Roman" w:cs="Times New Roman"/>
                <w:position w:val="6"/>
                <w:sz w:val="13"/>
                <w:szCs w:val="13"/>
              </w:rPr>
              <w:t>-5</w:t>
            </w:r>
          </w:p>
        </w:tc>
        <w:tc>
          <w:tcPr>
            <w:tcW w:w="964" w:type="dxa"/>
            <w:vAlign w:val="top"/>
          </w:tcPr>
          <w:p w14:paraId="4DD9E4F7">
            <w:pPr>
              <w:spacing w:before="82"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0.01</w:t>
            </w:r>
          </w:p>
        </w:tc>
      </w:tr>
      <w:tr w14:paraId="24D0B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309A4514">
            <w:pPr>
              <w:pStyle w:val="6"/>
              <w:spacing w:before="52" w:line="228" w:lineRule="auto"/>
              <w:ind w:left="1272"/>
            </w:pPr>
            <w:r>
              <w:rPr>
                <w:spacing w:val="1"/>
              </w:rPr>
              <w:t>砷</w:t>
            </w:r>
          </w:p>
        </w:tc>
        <w:tc>
          <w:tcPr>
            <w:tcW w:w="1399" w:type="dxa"/>
            <w:vAlign w:val="top"/>
          </w:tcPr>
          <w:p w14:paraId="37FA560B">
            <w:pPr>
              <w:spacing w:before="83"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7062E188">
            <w:pPr>
              <w:pStyle w:val="6"/>
              <w:spacing w:before="51" w:line="236"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0.01</w:t>
            </w:r>
          </w:p>
        </w:tc>
        <w:tc>
          <w:tcPr>
            <w:tcW w:w="2199" w:type="dxa"/>
            <w:vAlign w:val="top"/>
          </w:tcPr>
          <w:p w14:paraId="2C5FF54B">
            <w:pPr>
              <w:spacing w:before="70" w:line="212"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r>
              <w:rPr>
                <w:rFonts w:ascii="Times New Roman" w:hAnsi="Times New Roman" w:eastAsia="Times New Roman" w:cs="Times New Roman"/>
                <w:spacing w:val="-31"/>
                <w:sz w:val="20"/>
                <w:szCs w:val="20"/>
              </w:rPr>
              <w:t xml:space="preserve"> </w:t>
            </w:r>
            <w:r>
              <w:rPr>
                <w:rFonts w:ascii="Arial" w:hAnsi="Arial" w:eastAsia="Arial" w:cs="Arial"/>
                <w:spacing w:val="1"/>
                <w:sz w:val="20"/>
                <w:szCs w:val="20"/>
              </w:rPr>
              <w:t>×</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sz w:val="20"/>
                <w:szCs w:val="20"/>
              </w:rPr>
              <w:t>L</w:t>
            </w:r>
          </w:p>
        </w:tc>
        <w:tc>
          <w:tcPr>
            <w:tcW w:w="964" w:type="dxa"/>
            <w:vAlign w:val="top"/>
          </w:tcPr>
          <w:p w14:paraId="6B13AAA8">
            <w:pPr>
              <w:pStyle w:val="6"/>
              <w:spacing w:before="51" w:line="236"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67F7B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2EB881EE">
            <w:pPr>
              <w:pStyle w:val="6"/>
              <w:spacing w:before="50" w:line="231" w:lineRule="auto"/>
              <w:ind w:left="1271"/>
            </w:pPr>
            <w:r>
              <w:rPr>
                <w:spacing w:val="2"/>
              </w:rPr>
              <w:t>镉</w:t>
            </w:r>
          </w:p>
        </w:tc>
        <w:tc>
          <w:tcPr>
            <w:tcW w:w="1399" w:type="dxa"/>
            <w:vAlign w:val="top"/>
          </w:tcPr>
          <w:p w14:paraId="579AAD9F">
            <w:pPr>
              <w:spacing w:before="83"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0EAD854D">
            <w:pPr>
              <w:pStyle w:val="6"/>
              <w:spacing w:before="51" w:line="235" w:lineRule="auto"/>
              <w:ind w:left="157"/>
              <w:rPr>
                <w:rFonts w:ascii="Times New Roman" w:hAnsi="Times New Roman" w:eastAsia="Times New Roman" w:cs="Times New Roman"/>
              </w:rPr>
            </w:pPr>
            <w:r>
              <w:rPr>
                <w:spacing w:val="1"/>
              </w:rPr>
              <w:t>≤</w:t>
            </w:r>
            <w:r>
              <w:rPr>
                <w:rFonts w:ascii="Times New Roman" w:hAnsi="Times New Roman" w:eastAsia="Times New Roman" w:cs="Times New Roman"/>
                <w:spacing w:val="1"/>
              </w:rPr>
              <w:t>0.005</w:t>
            </w:r>
          </w:p>
        </w:tc>
        <w:tc>
          <w:tcPr>
            <w:tcW w:w="2199" w:type="dxa"/>
            <w:vAlign w:val="top"/>
          </w:tcPr>
          <w:p w14:paraId="129DB30C">
            <w:pPr>
              <w:spacing w:before="87"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0.0001L</w:t>
            </w:r>
          </w:p>
        </w:tc>
        <w:tc>
          <w:tcPr>
            <w:tcW w:w="964" w:type="dxa"/>
            <w:vAlign w:val="top"/>
          </w:tcPr>
          <w:p w14:paraId="231FC6A4">
            <w:pPr>
              <w:pStyle w:val="6"/>
              <w:spacing w:before="51" w:line="235"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4A593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0550764B">
            <w:pPr>
              <w:pStyle w:val="6"/>
              <w:spacing w:before="54" w:line="226" w:lineRule="auto"/>
              <w:ind w:left="1063"/>
            </w:pPr>
            <w:r>
              <w:rPr>
                <w:spacing w:val="6"/>
              </w:rPr>
              <w:t>六价铬</w:t>
            </w:r>
          </w:p>
        </w:tc>
        <w:tc>
          <w:tcPr>
            <w:tcW w:w="1399" w:type="dxa"/>
            <w:vAlign w:val="top"/>
          </w:tcPr>
          <w:p w14:paraId="50C7CC50">
            <w:pPr>
              <w:spacing w:before="86"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1DD2FBBB">
            <w:pPr>
              <w:pStyle w:val="6"/>
              <w:spacing w:before="54" w:line="232"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0.05</w:t>
            </w:r>
          </w:p>
        </w:tc>
        <w:tc>
          <w:tcPr>
            <w:tcW w:w="2199" w:type="dxa"/>
            <w:vAlign w:val="top"/>
          </w:tcPr>
          <w:p w14:paraId="69A2853E">
            <w:pPr>
              <w:spacing w:before="90" w:line="195" w:lineRule="auto"/>
              <w:ind w:left="8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964" w:type="dxa"/>
            <w:vAlign w:val="top"/>
          </w:tcPr>
          <w:p w14:paraId="5D6D5BAC">
            <w:pPr>
              <w:pStyle w:val="6"/>
              <w:spacing w:before="54" w:line="232"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06649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5270DCF1">
            <w:pPr>
              <w:pStyle w:val="6"/>
              <w:spacing w:before="54" w:line="232" w:lineRule="auto"/>
              <w:ind w:left="1273"/>
            </w:pPr>
            <w:r>
              <w:t>铅</w:t>
            </w:r>
          </w:p>
        </w:tc>
        <w:tc>
          <w:tcPr>
            <w:tcW w:w="1399" w:type="dxa"/>
            <w:vAlign w:val="top"/>
          </w:tcPr>
          <w:p w14:paraId="77954F69">
            <w:pPr>
              <w:spacing w:before="86"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6B9F7019">
            <w:pPr>
              <w:pStyle w:val="6"/>
              <w:spacing w:before="54" w:line="232"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0.01</w:t>
            </w:r>
          </w:p>
        </w:tc>
        <w:tc>
          <w:tcPr>
            <w:tcW w:w="2199" w:type="dxa"/>
            <w:vAlign w:val="top"/>
          </w:tcPr>
          <w:p w14:paraId="0B101F48">
            <w:pPr>
              <w:spacing w:before="90" w:line="195"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964" w:type="dxa"/>
            <w:vAlign w:val="top"/>
          </w:tcPr>
          <w:p w14:paraId="1181E399">
            <w:pPr>
              <w:pStyle w:val="6"/>
              <w:spacing w:before="54" w:line="232"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r w14:paraId="3162D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743" w:type="dxa"/>
            <w:vAlign w:val="top"/>
          </w:tcPr>
          <w:p w14:paraId="40C00726">
            <w:pPr>
              <w:pStyle w:val="6"/>
              <w:spacing w:before="55" w:line="229" w:lineRule="auto"/>
              <w:ind w:left="1272"/>
            </w:pPr>
            <w:r>
              <w:rPr>
                <w:spacing w:val="1"/>
              </w:rPr>
              <w:t>钠</w:t>
            </w:r>
          </w:p>
        </w:tc>
        <w:tc>
          <w:tcPr>
            <w:tcW w:w="1399" w:type="dxa"/>
            <w:vAlign w:val="top"/>
          </w:tcPr>
          <w:p w14:paraId="702A0E4B">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3A2EA0CD">
            <w:pPr>
              <w:pStyle w:val="6"/>
              <w:spacing w:before="55" w:line="231"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200</w:t>
            </w:r>
          </w:p>
        </w:tc>
        <w:tc>
          <w:tcPr>
            <w:tcW w:w="2199" w:type="dxa"/>
            <w:vAlign w:val="top"/>
          </w:tcPr>
          <w:p w14:paraId="04785724">
            <w:pPr>
              <w:spacing w:before="91" w:line="195" w:lineRule="auto"/>
              <w:ind w:left="9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53.6</w:t>
            </w:r>
          </w:p>
        </w:tc>
        <w:tc>
          <w:tcPr>
            <w:tcW w:w="964" w:type="dxa"/>
            <w:vAlign w:val="top"/>
          </w:tcPr>
          <w:p w14:paraId="66990925">
            <w:pPr>
              <w:spacing w:before="85"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0.27</w:t>
            </w:r>
          </w:p>
        </w:tc>
      </w:tr>
      <w:tr w14:paraId="573A3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24B0D9AB">
            <w:pPr>
              <w:pStyle w:val="6"/>
              <w:spacing w:before="56" w:line="229" w:lineRule="auto"/>
              <w:ind w:left="1065"/>
            </w:pPr>
            <w:r>
              <w:rPr>
                <w:spacing w:val="5"/>
              </w:rPr>
              <w:t>氯化物</w:t>
            </w:r>
          </w:p>
        </w:tc>
        <w:tc>
          <w:tcPr>
            <w:tcW w:w="1399" w:type="dxa"/>
            <w:vAlign w:val="top"/>
          </w:tcPr>
          <w:p w14:paraId="2EB212D3">
            <w:pPr>
              <w:spacing w:before="88"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53A2757A">
            <w:pPr>
              <w:pStyle w:val="6"/>
              <w:spacing w:before="55" w:line="232"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250</w:t>
            </w:r>
          </w:p>
        </w:tc>
        <w:tc>
          <w:tcPr>
            <w:tcW w:w="2199" w:type="dxa"/>
            <w:vAlign w:val="top"/>
          </w:tcPr>
          <w:p w14:paraId="33289D21">
            <w:pPr>
              <w:spacing w:before="92"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112</w:t>
            </w:r>
          </w:p>
        </w:tc>
        <w:tc>
          <w:tcPr>
            <w:tcW w:w="964" w:type="dxa"/>
            <w:vAlign w:val="top"/>
          </w:tcPr>
          <w:p w14:paraId="1BE93008">
            <w:pPr>
              <w:spacing w:before="86"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r>
      <w:tr w14:paraId="28862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43" w:type="dxa"/>
            <w:vAlign w:val="top"/>
          </w:tcPr>
          <w:p w14:paraId="44AAAD2E">
            <w:pPr>
              <w:pStyle w:val="6"/>
              <w:spacing w:before="55" w:line="229" w:lineRule="auto"/>
              <w:ind w:left="1061"/>
            </w:pPr>
            <w:r>
              <w:rPr>
                <w:spacing w:val="7"/>
              </w:rPr>
              <w:t>硫酸盐</w:t>
            </w:r>
          </w:p>
        </w:tc>
        <w:tc>
          <w:tcPr>
            <w:tcW w:w="1399" w:type="dxa"/>
            <w:vAlign w:val="top"/>
          </w:tcPr>
          <w:p w14:paraId="5EDDC08C">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3C022014">
            <w:pPr>
              <w:pStyle w:val="6"/>
              <w:spacing w:before="55" w:line="232" w:lineRule="auto"/>
              <w:ind w:left="236"/>
              <w:rPr>
                <w:rFonts w:ascii="Times New Roman" w:hAnsi="Times New Roman" w:eastAsia="Times New Roman" w:cs="Times New Roman"/>
              </w:rPr>
            </w:pPr>
            <w:r>
              <w:rPr>
                <w:spacing w:val="1"/>
              </w:rPr>
              <w:t>≤</w:t>
            </w:r>
            <w:r>
              <w:rPr>
                <w:rFonts w:ascii="Times New Roman" w:hAnsi="Times New Roman" w:eastAsia="Times New Roman" w:cs="Times New Roman"/>
                <w:spacing w:val="1"/>
              </w:rPr>
              <w:t>250</w:t>
            </w:r>
          </w:p>
        </w:tc>
        <w:tc>
          <w:tcPr>
            <w:tcW w:w="2199" w:type="dxa"/>
            <w:vAlign w:val="top"/>
          </w:tcPr>
          <w:p w14:paraId="59277539">
            <w:pPr>
              <w:spacing w:before="91" w:line="195"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161</w:t>
            </w:r>
          </w:p>
        </w:tc>
        <w:tc>
          <w:tcPr>
            <w:tcW w:w="964" w:type="dxa"/>
            <w:vAlign w:val="top"/>
          </w:tcPr>
          <w:p w14:paraId="6C3602CB">
            <w:pPr>
              <w:spacing w:before="88" w:line="189" w:lineRule="auto"/>
              <w:ind w:left="29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0.64</w:t>
            </w:r>
          </w:p>
        </w:tc>
      </w:tr>
      <w:tr w14:paraId="5EC69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43" w:type="dxa"/>
            <w:vAlign w:val="top"/>
          </w:tcPr>
          <w:p w14:paraId="2E759B3A">
            <w:pPr>
              <w:pStyle w:val="6"/>
              <w:spacing w:before="54" w:line="228" w:lineRule="auto"/>
              <w:ind w:left="1062"/>
            </w:pPr>
            <w:r>
              <w:rPr>
                <w:spacing w:val="6"/>
              </w:rPr>
              <w:t>石油类</w:t>
            </w:r>
          </w:p>
        </w:tc>
        <w:tc>
          <w:tcPr>
            <w:tcW w:w="1399" w:type="dxa"/>
            <w:vAlign w:val="top"/>
          </w:tcPr>
          <w:p w14:paraId="78F5FACC">
            <w:pPr>
              <w:spacing w:before="87" w:line="201"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959" w:type="dxa"/>
            <w:vAlign w:val="top"/>
          </w:tcPr>
          <w:p w14:paraId="423F76F5">
            <w:pPr>
              <w:pStyle w:val="6"/>
              <w:spacing w:before="55" w:line="236" w:lineRule="auto"/>
              <w:ind w:left="210"/>
              <w:rPr>
                <w:rFonts w:ascii="Times New Roman" w:hAnsi="Times New Roman" w:eastAsia="Times New Roman" w:cs="Times New Roman"/>
              </w:rPr>
            </w:pPr>
            <w:r>
              <w:rPr>
                <w:spacing w:val="1"/>
              </w:rPr>
              <w:t>≤</w:t>
            </w:r>
            <w:r>
              <w:rPr>
                <w:rFonts w:ascii="Times New Roman" w:hAnsi="Times New Roman" w:eastAsia="Times New Roman" w:cs="Times New Roman"/>
                <w:spacing w:val="1"/>
              </w:rPr>
              <w:t>0.05</w:t>
            </w:r>
          </w:p>
        </w:tc>
        <w:tc>
          <w:tcPr>
            <w:tcW w:w="2199" w:type="dxa"/>
            <w:vAlign w:val="top"/>
          </w:tcPr>
          <w:p w14:paraId="3B525ADF">
            <w:pPr>
              <w:spacing w:before="91" w:line="195"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964" w:type="dxa"/>
            <w:vAlign w:val="top"/>
          </w:tcPr>
          <w:p w14:paraId="6C2FA4AB">
            <w:pPr>
              <w:pStyle w:val="6"/>
              <w:spacing w:before="55" w:line="236" w:lineRule="auto"/>
              <w:ind w:left="346"/>
              <w:rPr>
                <w:rFonts w:ascii="Times New Roman" w:hAnsi="Times New Roman" w:eastAsia="Times New Roman" w:cs="Times New Roman"/>
              </w:rPr>
            </w:pPr>
            <w:r>
              <w:rPr>
                <w:spacing w:val="36"/>
                <w:w w:val="108"/>
              </w:rPr>
              <w:t>&lt;</w:t>
            </w:r>
            <w:r>
              <w:rPr>
                <w:rFonts w:ascii="Times New Roman" w:hAnsi="Times New Roman" w:eastAsia="Times New Roman" w:cs="Times New Roman"/>
                <w:spacing w:val="36"/>
                <w:w w:val="108"/>
              </w:rPr>
              <w:t>1</w:t>
            </w:r>
          </w:p>
        </w:tc>
      </w:tr>
    </w:tbl>
    <w:p w14:paraId="54879D78">
      <w:pPr>
        <w:spacing w:before="124" w:line="220" w:lineRule="auto"/>
        <w:ind w:left="428"/>
        <w:rPr>
          <w:rFonts w:ascii="宋体" w:hAnsi="宋体" w:eastAsia="宋体" w:cs="宋体"/>
          <w:sz w:val="22"/>
          <w:szCs w:val="22"/>
        </w:rPr>
      </w:pPr>
      <w:r>
        <w:rPr>
          <w:rFonts w:ascii="宋体" w:hAnsi="宋体" w:eastAsia="宋体" w:cs="宋体"/>
          <w:spacing w:val="-1"/>
          <w:sz w:val="22"/>
          <w:szCs w:val="22"/>
        </w:rPr>
        <w:t>注：</w:t>
      </w:r>
      <w:r>
        <w:rPr>
          <w:rFonts w:ascii="Times New Roman" w:hAnsi="Times New Roman" w:eastAsia="Times New Roman" w:cs="Times New Roman"/>
          <w:spacing w:val="-1"/>
          <w:sz w:val="22"/>
          <w:szCs w:val="22"/>
        </w:rPr>
        <w:t xml:space="preserve">L </w:t>
      </w:r>
      <w:r>
        <w:rPr>
          <w:rFonts w:ascii="宋体" w:hAnsi="宋体" w:eastAsia="宋体" w:cs="宋体"/>
          <w:spacing w:val="-1"/>
          <w:sz w:val="22"/>
          <w:szCs w:val="22"/>
        </w:rPr>
        <w:t>指未检出。</w:t>
      </w:r>
    </w:p>
    <w:p w14:paraId="77A9CC6B">
      <w:pPr>
        <w:spacing w:before="118" w:line="359" w:lineRule="auto"/>
        <w:ind w:left="428" w:right="566" w:firstLine="508"/>
        <w:jc w:val="both"/>
        <w:rPr>
          <w:rFonts w:ascii="宋体" w:hAnsi="宋体" w:eastAsia="宋体" w:cs="宋体"/>
          <w:sz w:val="24"/>
          <w:szCs w:val="24"/>
        </w:rPr>
      </w:pPr>
      <w:r>
        <w:rPr>
          <w:rFonts w:ascii="宋体" w:hAnsi="宋体" w:eastAsia="宋体" w:cs="宋体"/>
          <w:spacing w:val="-3"/>
          <w:sz w:val="24"/>
          <w:szCs w:val="24"/>
        </w:rPr>
        <w:t>根据水质监测结果，地下水评价指标仅有氨氮超标，为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1.82mg/L</w:t>
      </w:r>
      <w:r>
        <w:rPr>
          <w:rFonts w:ascii="宋体" w:hAnsi="宋体" w:eastAsia="宋体" w:cs="宋体"/>
          <w:spacing w:val="-3"/>
          <w:sz w:val="24"/>
          <w:szCs w:val="24"/>
        </w:rPr>
        <w:t>，且不是</w:t>
      </w:r>
      <w:r>
        <w:rPr>
          <w:rFonts w:ascii="宋体" w:hAnsi="宋体" w:eastAsia="宋体" w:cs="宋体"/>
          <w:sz w:val="24"/>
          <w:szCs w:val="24"/>
        </w:rPr>
        <w:t xml:space="preserve"> </w:t>
      </w:r>
      <w:r>
        <w:rPr>
          <w:rFonts w:ascii="宋体" w:hAnsi="宋体" w:eastAsia="宋体" w:cs="宋体"/>
          <w:spacing w:val="5"/>
          <w:sz w:val="24"/>
          <w:szCs w:val="24"/>
        </w:rPr>
        <w:t>本项目特征污染物，其余地下水评价指标均满足《地下水质量标准》（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3"/>
          <w:sz w:val="24"/>
          <w:szCs w:val="24"/>
        </w:rPr>
        <w:t>14848</w:t>
      </w:r>
      <w:r>
        <w:rPr>
          <w:rFonts w:ascii="宋体" w:hAnsi="宋体" w:eastAsia="宋体" w:cs="宋体"/>
          <w:spacing w:val="-3"/>
          <w:sz w:val="24"/>
          <w:szCs w:val="24"/>
        </w:rPr>
        <w:t>－</w:t>
      </w:r>
      <w:r>
        <w:rPr>
          <w:rFonts w:ascii="Times New Roman" w:hAnsi="Times New Roman" w:eastAsia="Times New Roman" w:cs="Times New Roman"/>
          <w:spacing w:val="-3"/>
          <w:sz w:val="24"/>
          <w:szCs w:val="24"/>
        </w:rPr>
        <w:t>2017</w:t>
      </w:r>
      <w:r>
        <w:rPr>
          <w:rFonts w:ascii="宋体" w:hAnsi="宋体" w:eastAsia="宋体" w:cs="宋体"/>
          <w:spacing w:val="-3"/>
          <w:sz w:val="24"/>
          <w:szCs w:val="24"/>
        </w:rPr>
        <w:t>）中</w:t>
      </w:r>
      <w:r>
        <w:rPr>
          <w:rFonts w:ascii="宋体" w:hAnsi="宋体" w:eastAsia="宋体" w:cs="宋体"/>
          <w:spacing w:val="-32"/>
          <w:sz w:val="24"/>
          <w:szCs w:val="24"/>
        </w:rPr>
        <w:t xml:space="preserve"> </w:t>
      </w:r>
      <w:r>
        <w:rPr>
          <w:rFonts w:ascii="宋体" w:hAnsi="宋体" w:eastAsia="宋体" w:cs="宋体"/>
          <w:spacing w:val="-3"/>
          <w:sz w:val="24"/>
          <w:szCs w:val="24"/>
        </w:rPr>
        <w:t>Ⅰ—Ⅲ类标准，氨氮超标原因为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S5 </w:t>
      </w:r>
      <w:r>
        <w:rPr>
          <w:rFonts w:ascii="宋体" w:hAnsi="宋体" w:eastAsia="宋体" w:cs="宋体"/>
          <w:spacing w:val="-3"/>
          <w:sz w:val="24"/>
          <w:szCs w:val="24"/>
        </w:rPr>
        <w:t>井周边有</w:t>
      </w:r>
      <w:r>
        <w:rPr>
          <w:rFonts w:ascii="宋体" w:hAnsi="宋体" w:eastAsia="宋体" w:cs="宋体"/>
          <w:spacing w:val="-4"/>
          <w:sz w:val="24"/>
          <w:szCs w:val="24"/>
        </w:rPr>
        <w:t>牧民放牧且地势</w:t>
      </w:r>
      <w:r>
        <w:rPr>
          <w:rFonts w:ascii="宋体" w:hAnsi="宋体" w:eastAsia="宋体" w:cs="宋体"/>
          <w:sz w:val="24"/>
          <w:szCs w:val="24"/>
        </w:rPr>
        <w:t xml:space="preserve"> 较低容易汇聚雨水所致。说明内蒙古玉龙矿业股份有</w:t>
      </w:r>
      <w:r>
        <w:rPr>
          <w:rFonts w:ascii="宋体" w:hAnsi="宋体" w:eastAsia="宋体" w:cs="宋体"/>
          <w:spacing w:val="-1"/>
          <w:sz w:val="24"/>
          <w:szCs w:val="24"/>
        </w:rPr>
        <w:t>限公司已有工程现状对地</w:t>
      </w:r>
      <w:r>
        <w:rPr>
          <w:rFonts w:ascii="宋体" w:hAnsi="宋体" w:eastAsia="宋体" w:cs="宋体"/>
          <w:sz w:val="24"/>
          <w:szCs w:val="24"/>
        </w:rPr>
        <w:t xml:space="preserve"> </w:t>
      </w:r>
      <w:r>
        <w:rPr>
          <w:rFonts w:ascii="宋体" w:hAnsi="宋体" w:eastAsia="宋体" w:cs="宋体"/>
          <w:spacing w:val="-1"/>
          <w:sz w:val="24"/>
          <w:szCs w:val="24"/>
        </w:rPr>
        <w:t>下水影响较小，无明显污染现象。</w:t>
      </w:r>
    </w:p>
    <w:p w14:paraId="2E9C09A2">
      <w:pPr>
        <w:spacing w:before="79" w:line="219" w:lineRule="auto"/>
        <w:ind w:left="909"/>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、已有工程对包气带的影响</w:t>
      </w:r>
    </w:p>
    <w:p w14:paraId="630BB35D">
      <w:pPr>
        <w:spacing w:before="182" w:line="220" w:lineRule="auto"/>
        <w:ind w:left="92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）分析项目</w:t>
      </w:r>
    </w:p>
    <w:p w14:paraId="5A4379B8">
      <w:pPr>
        <w:spacing w:before="181" w:line="353" w:lineRule="auto"/>
        <w:ind w:left="430" w:right="496" w:firstLine="478"/>
        <w:rPr>
          <w:rFonts w:ascii="宋体" w:hAnsi="宋体" w:eastAsia="宋体" w:cs="宋体"/>
          <w:sz w:val="24"/>
          <w:szCs w:val="24"/>
        </w:rPr>
      </w:pPr>
      <w:r>
        <w:rPr>
          <w:rFonts w:ascii="宋体" w:hAnsi="宋体" w:eastAsia="宋体" w:cs="宋体"/>
          <w:spacing w:val="-2"/>
          <w:sz w:val="24"/>
          <w:szCs w:val="24"/>
        </w:rPr>
        <w:t>根据项目特征，本次包气带分析项目主要为</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pH</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、锌</w:t>
      </w:r>
      <w:r>
        <w:rPr>
          <w:rFonts w:ascii="宋体" w:hAnsi="宋体" w:eastAsia="宋体" w:cs="宋体"/>
          <w:spacing w:val="-3"/>
          <w:sz w:val="24"/>
          <w:szCs w:val="24"/>
        </w:rPr>
        <w:t>、氨氮、亚硝酸盐氮、</w:t>
      </w:r>
      <w:r>
        <w:rPr>
          <w:rFonts w:ascii="宋体" w:hAnsi="宋体" w:eastAsia="宋体" w:cs="宋体"/>
          <w:sz w:val="24"/>
          <w:szCs w:val="24"/>
        </w:rPr>
        <w:t xml:space="preserve"> </w:t>
      </w:r>
      <w:r>
        <w:rPr>
          <w:rFonts w:ascii="宋体" w:hAnsi="宋体" w:eastAsia="宋体" w:cs="宋体"/>
          <w:spacing w:val="-1"/>
          <w:sz w:val="24"/>
          <w:szCs w:val="24"/>
        </w:rPr>
        <w:t>硝酸盐氮、氟化物、汞、砷、镉、六价铬、铅、石油类等指标。</w:t>
      </w:r>
    </w:p>
    <w:p w14:paraId="5B94E64C">
      <w:pPr>
        <w:spacing w:before="19" w:line="220" w:lineRule="auto"/>
        <w:ind w:left="92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）分析方法</w:t>
      </w:r>
    </w:p>
    <w:p w14:paraId="4584DEEB">
      <w:pPr>
        <w:spacing w:before="183" w:line="219" w:lineRule="auto"/>
        <w:ind w:left="908"/>
        <w:rPr>
          <w:rFonts w:ascii="宋体" w:hAnsi="宋体" w:eastAsia="宋体" w:cs="宋体"/>
          <w:sz w:val="24"/>
          <w:szCs w:val="24"/>
        </w:rPr>
      </w:pPr>
      <w:r>
        <w:rPr>
          <w:rFonts w:ascii="宋体" w:hAnsi="宋体" w:eastAsia="宋体" w:cs="宋体"/>
          <w:spacing w:val="-2"/>
          <w:sz w:val="24"/>
          <w:szCs w:val="24"/>
        </w:rPr>
        <w:t>包气带分析方法详见表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6.3-14</w:t>
      </w:r>
      <w:r>
        <w:rPr>
          <w:rFonts w:ascii="宋体" w:hAnsi="宋体" w:eastAsia="宋体" w:cs="宋体"/>
          <w:spacing w:val="-2"/>
          <w:sz w:val="24"/>
          <w:szCs w:val="24"/>
        </w:rPr>
        <w:t>。</w:t>
      </w:r>
    </w:p>
    <w:p w14:paraId="4C9FF6C2">
      <w:pPr>
        <w:spacing w:before="104" w:line="219" w:lineRule="auto"/>
        <w:ind w:left="2254"/>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6.3-14    </w:t>
      </w:r>
      <w:r>
        <w:rPr>
          <w:rFonts w:ascii="宋体" w:hAnsi="宋体" w:eastAsia="宋体" w:cs="宋体"/>
          <w:b/>
          <w:bCs/>
          <w:spacing w:val="-2"/>
          <w:sz w:val="24"/>
          <w:szCs w:val="24"/>
        </w:rPr>
        <w:t>包气带现状监测项目分析方法一览表</w:t>
      </w:r>
    </w:p>
    <w:p w14:paraId="509B02BA">
      <w:pPr>
        <w:spacing w:line="145" w:lineRule="exact"/>
      </w:pPr>
    </w:p>
    <w:tbl>
      <w:tblPr>
        <w:tblStyle w:val="5"/>
        <w:tblW w:w="91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7"/>
        <w:gridCol w:w="1190"/>
        <w:gridCol w:w="3999"/>
        <w:gridCol w:w="716"/>
        <w:gridCol w:w="1326"/>
        <w:gridCol w:w="1165"/>
      </w:tblGrid>
      <w:tr w14:paraId="2170E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7" w:type="dxa"/>
            <w:vAlign w:val="top"/>
          </w:tcPr>
          <w:p w14:paraId="1472A1B1">
            <w:pPr>
              <w:pStyle w:val="6"/>
              <w:spacing w:before="212" w:line="229" w:lineRule="auto"/>
              <w:ind w:left="167"/>
            </w:pPr>
            <w:r>
              <w:rPr>
                <w:spacing w:val="5"/>
              </w:rPr>
              <w:t>序号</w:t>
            </w:r>
          </w:p>
        </w:tc>
        <w:tc>
          <w:tcPr>
            <w:tcW w:w="1190" w:type="dxa"/>
            <w:vAlign w:val="top"/>
          </w:tcPr>
          <w:p w14:paraId="52C79AE9">
            <w:pPr>
              <w:pStyle w:val="6"/>
              <w:spacing w:before="212" w:line="228" w:lineRule="auto"/>
              <w:ind w:left="179"/>
            </w:pPr>
            <w:r>
              <w:rPr>
                <w:spacing w:val="7"/>
              </w:rPr>
              <w:t>检测项目</w:t>
            </w:r>
          </w:p>
        </w:tc>
        <w:tc>
          <w:tcPr>
            <w:tcW w:w="3999" w:type="dxa"/>
            <w:vAlign w:val="top"/>
          </w:tcPr>
          <w:p w14:paraId="639519D7">
            <w:pPr>
              <w:pStyle w:val="6"/>
              <w:spacing w:before="212" w:line="228" w:lineRule="auto"/>
              <w:ind w:left="1270"/>
            </w:pPr>
            <w:r>
              <w:rPr>
                <w:spacing w:val="8"/>
              </w:rPr>
              <w:t>方法名称及来源</w:t>
            </w:r>
          </w:p>
        </w:tc>
        <w:tc>
          <w:tcPr>
            <w:tcW w:w="716" w:type="dxa"/>
            <w:vAlign w:val="top"/>
          </w:tcPr>
          <w:p w14:paraId="46F6C57F">
            <w:pPr>
              <w:pStyle w:val="6"/>
              <w:spacing w:before="57" w:line="261" w:lineRule="auto"/>
              <w:ind w:left="275" w:right="146" w:hanging="120"/>
            </w:pPr>
            <w:r>
              <w:rPr>
                <w:spacing w:val="4"/>
              </w:rPr>
              <w:t>检出</w:t>
            </w:r>
            <w:r>
              <w:t xml:space="preserve"> 限</w:t>
            </w:r>
          </w:p>
        </w:tc>
        <w:tc>
          <w:tcPr>
            <w:tcW w:w="1326" w:type="dxa"/>
            <w:vAlign w:val="top"/>
          </w:tcPr>
          <w:p w14:paraId="6E2CEBC9">
            <w:pPr>
              <w:pStyle w:val="6"/>
              <w:spacing w:before="57" w:line="261" w:lineRule="auto"/>
              <w:ind w:left="323" w:right="135" w:hanging="178"/>
            </w:pPr>
            <w:r>
              <w:rPr>
                <w:spacing w:val="7"/>
              </w:rPr>
              <w:t>仪器设备名</w:t>
            </w:r>
            <w:r>
              <w:rPr>
                <w:spacing w:val="3"/>
              </w:rPr>
              <w:t xml:space="preserve"> </w:t>
            </w:r>
            <w:r>
              <w:rPr>
                <w:spacing w:val="5"/>
              </w:rPr>
              <w:t>称</w:t>
            </w:r>
            <w:r>
              <w:rPr>
                <w:rFonts w:ascii="Times New Roman" w:hAnsi="Times New Roman" w:eastAsia="Times New Roman" w:cs="Times New Roman"/>
                <w:spacing w:val="5"/>
              </w:rPr>
              <w:t>/</w:t>
            </w:r>
            <w:r>
              <w:rPr>
                <w:spacing w:val="5"/>
              </w:rPr>
              <w:t>型号</w:t>
            </w:r>
          </w:p>
        </w:tc>
        <w:tc>
          <w:tcPr>
            <w:tcW w:w="1165" w:type="dxa"/>
            <w:vAlign w:val="top"/>
          </w:tcPr>
          <w:p w14:paraId="19B8A45B">
            <w:pPr>
              <w:pStyle w:val="6"/>
              <w:spacing w:before="56" w:line="228" w:lineRule="auto"/>
              <w:ind w:left="168"/>
            </w:pPr>
            <w:r>
              <w:rPr>
                <w:spacing w:val="7"/>
              </w:rPr>
              <w:t>仪器管理</w:t>
            </w:r>
          </w:p>
          <w:p w14:paraId="552E31C8">
            <w:pPr>
              <w:pStyle w:val="6"/>
              <w:spacing w:before="64" w:line="228" w:lineRule="auto"/>
              <w:ind w:left="380"/>
            </w:pPr>
            <w:r>
              <w:rPr>
                <w:spacing w:val="3"/>
              </w:rPr>
              <w:t>编号</w:t>
            </w:r>
          </w:p>
        </w:tc>
      </w:tr>
      <w:tr w14:paraId="14D58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7" w:type="dxa"/>
            <w:vAlign w:val="top"/>
          </w:tcPr>
          <w:p w14:paraId="2C351095">
            <w:pPr>
              <w:spacing w:before="244"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90" w:type="dxa"/>
            <w:vAlign w:val="top"/>
          </w:tcPr>
          <w:p w14:paraId="2132662C">
            <w:pPr>
              <w:spacing w:before="246" w:line="194"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999" w:type="dxa"/>
            <w:vAlign w:val="top"/>
          </w:tcPr>
          <w:p w14:paraId="3CEAE256">
            <w:pPr>
              <w:pStyle w:val="6"/>
              <w:spacing w:before="208" w:line="221" w:lineRule="auto"/>
              <w:ind w:right="8"/>
              <w:jc w:val="right"/>
            </w:pPr>
            <w:r>
              <w:rPr>
                <w:spacing w:val="-2"/>
              </w:rPr>
              <w:t xml:space="preserve">《土壤 </w:t>
            </w:r>
            <w:r>
              <w:rPr>
                <w:rFonts w:ascii="Times New Roman" w:hAnsi="Times New Roman" w:eastAsia="Times New Roman" w:cs="Times New Roman"/>
                <w:spacing w:val="-2"/>
              </w:rPr>
              <w:t>pH</w:t>
            </w:r>
            <w:r>
              <w:rPr>
                <w:rFonts w:ascii="Times New Roman" w:hAnsi="Times New Roman" w:eastAsia="Times New Roman" w:cs="Times New Roman"/>
                <w:spacing w:val="17"/>
              </w:rPr>
              <w:t xml:space="preserve"> </w:t>
            </w:r>
            <w:r>
              <w:rPr>
                <w:spacing w:val="-2"/>
              </w:rPr>
              <w:t>测定</w:t>
            </w:r>
            <w:r>
              <w:rPr>
                <w:spacing w:val="40"/>
              </w:rPr>
              <w:t xml:space="preserve"> </w:t>
            </w:r>
            <w:r>
              <w:rPr>
                <w:spacing w:val="-2"/>
              </w:rPr>
              <w:t>电位法</w:t>
            </w:r>
            <w:r>
              <w:rPr>
                <w:spacing w:val="25"/>
              </w:rPr>
              <w:t xml:space="preserve"> </w:t>
            </w:r>
            <w:r>
              <w:rPr>
                <w:spacing w:val="-2"/>
              </w:rPr>
              <w:t>》（</w:t>
            </w:r>
            <w:r>
              <w:rPr>
                <w:rFonts w:ascii="Times New Roman" w:hAnsi="Times New Roman" w:eastAsia="Times New Roman" w:cs="Times New Roman"/>
                <w:spacing w:val="-2"/>
              </w:rPr>
              <w:t>HJ 962-2018</w:t>
            </w:r>
            <w:r>
              <w:rPr>
                <w:spacing w:val="-2"/>
              </w:rPr>
              <w:t>）</w:t>
            </w:r>
          </w:p>
        </w:tc>
        <w:tc>
          <w:tcPr>
            <w:tcW w:w="716" w:type="dxa"/>
            <w:vAlign w:val="top"/>
          </w:tcPr>
          <w:p w14:paraId="04D45BE7">
            <w:pPr>
              <w:tabs>
                <w:tab w:val="left" w:pos="460"/>
              </w:tabs>
              <w:spacing w:before="114"/>
              <w:ind w:left="259"/>
              <w:rPr>
                <w:rFonts w:ascii="Arial"/>
                <w:sz w:val="21"/>
              </w:rPr>
            </w:pPr>
            <w:r>
              <w:rPr>
                <w:rFonts w:ascii="Arial" w:hAnsi="Arial" w:eastAsia="Arial" w:cs="Arial"/>
                <w:sz w:val="21"/>
                <w:szCs w:val="21"/>
                <w:u w:val="single" w:color="auto"/>
              </w:rPr>
              <w:tab/>
            </w:r>
          </w:p>
        </w:tc>
        <w:tc>
          <w:tcPr>
            <w:tcW w:w="1326" w:type="dxa"/>
            <w:vAlign w:val="top"/>
          </w:tcPr>
          <w:p w14:paraId="005C1126">
            <w:pPr>
              <w:pStyle w:val="6"/>
              <w:spacing w:before="52" w:line="221" w:lineRule="auto"/>
              <w:ind w:left="402"/>
            </w:pP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3"/>
              </w:rPr>
              <w:t>计</w:t>
            </w:r>
          </w:p>
          <w:p w14:paraId="41003AEE">
            <w:pPr>
              <w:spacing w:before="104" w:line="199"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PHS</w:t>
            </w:r>
            <w:r>
              <w:rPr>
                <w:rFonts w:ascii="Times New Roman" w:hAnsi="Times New Roman" w:eastAsia="Times New Roman" w:cs="Times New Roman"/>
                <w:spacing w:val="8"/>
                <w:sz w:val="20"/>
                <w:szCs w:val="20"/>
              </w:rPr>
              <w:t>-3C</w:t>
            </w:r>
          </w:p>
        </w:tc>
        <w:tc>
          <w:tcPr>
            <w:tcW w:w="1165" w:type="dxa"/>
            <w:vAlign w:val="top"/>
          </w:tcPr>
          <w:p w14:paraId="188C966C">
            <w:pPr>
              <w:spacing w:before="8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-009-</w:t>
            </w:r>
          </w:p>
          <w:p w14:paraId="54FB84F5">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1621C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3F08A93D">
            <w:pPr>
              <w:spacing w:line="341" w:lineRule="auto"/>
              <w:rPr>
                <w:rFonts w:ascii="Arial"/>
                <w:sz w:val="21"/>
              </w:rPr>
            </w:pPr>
          </w:p>
          <w:p w14:paraId="6B3D9CA2">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90" w:type="dxa"/>
            <w:vAlign w:val="top"/>
          </w:tcPr>
          <w:p w14:paraId="43C82D4C">
            <w:pPr>
              <w:spacing w:line="298" w:lineRule="auto"/>
              <w:rPr>
                <w:rFonts w:ascii="Arial"/>
                <w:sz w:val="21"/>
              </w:rPr>
            </w:pPr>
          </w:p>
          <w:p w14:paraId="0708637D">
            <w:pPr>
              <w:pStyle w:val="6"/>
              <w:spacing w:before="65" w:line="228" w:lineRule="auto"/>
              <w:ind w:left="493"/>
            </w:pPr>
            <w:r>
              <w:rPr>
                <w:spacing w:val="1"/>
              </w:rPr>
              <w:t>锌</w:t>
            </w:r>
          </w:p>
        </w:tc>
        <w:tc>
          <w:tcPr>
            <w:tcW w:w="3999" w:type="dxa"/>
            <w:vAlign w:val="top"/>
          </w:tcPr>
          <w:p w14:paraId="42D174A5">
            <w:pPr>
              <w:pStyle w:val="6"/>
              <w:spacing w:before="53" w:line="228" w:lineRule="auto"/>
              <w:ind w:left="120"/>
            </w:pPr>
            <w:r>
              <w:rPr>
                <w:spacing w:val="9"/>
              </w:rPr>
              <w:t>《土壤和沉积物铜、锌、铅、镍、铬的测</w:t>
            </w:r>
          </w:p>
          <w:p w14:paraId="7181FDA2">
            <w:pPr>
              <w:pStyle w:val="6"/>
              <w:spacing w:before="64" w:line="228" w:lineRule="auto"/>
              <w:ind w:left="424"/>
              <w:rPr>
                <w:rFonts w:ascii="Times New Roman" w:hAnsi="Times New Roman" w:eastAsia="Times New Roman" w:cs="Times New Roman"/>
              </w:rPr>
            </w:pPr>
            <w:r>
              <w:rPr>
                <w:spacing w:val="9"/>
              </w:rPr>
              <w:t>定火焰原子吸收分光光度法》（</w:t>
            </w:r>
            <w:r>
              <w:rPr>
                <w:rFonts w:ascii="Times New Roman" w:hAnsi="Times New Roman" w:eastAsia="Times New Roman" w:cs="Times New Roman"/>
              </w:rPr>
              <w:t>HJ</w:t>
            </w:r>
          </w:p>
          <w:p w14:paraId="35B4077B">
            <w:pPr>
              <w:pStyle w:val="6"/>
              <w:spacing w:before="65" w:line="234" w:lineRule="auto"/>
              <w:ind w:left="1492"/>
            </w:pPr>
            <w:r>
              <w:rPr>
                <w:rFonts w:ascii="Times New Roman" w:hAnsi="Times New Roman" w:eastAsia="Times New Roman" w:cs="Times New Roman"/>
                <w:spacing w:val="3"/>
              </w:rPr>
              <w:t>491-2019</w:t>
            </w:r>
            <w:r>
              <w:rPr>
                <w:spacing w:val="3"/>
              </w:rPr>
              <w:t>）</w:t>
            </w:r>
          </w:p>
        </w:tc>
        <w:tc>
          <w:tcPr>
            <w:tcW w:w="716" w:type="dxa"/>
            <w:vAlign w:val="top"/>
          </w:tcPr>
          <w:p w14:paraId="1E45DBF9">
            <w:pPr>
              <w:spacing w:line="341" w:lineRule="auto"/>
              <w:rPr>
                <w:rFonts w:ascii="Arial"/>
                <w:sz w:val="21"/>
              </w:rPr>
            </w:pPr>
          </w:p>
          <w:p w14:paraId="6E30DDB7">
            <w:pPr>
              <w:spacing w:before="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6" w:type="dxa"/>
            <w:vAlign w:val="top"/>
          </w:tcPr>
          <w:p w14:paraId="14FA4C10">
            <w:pPr>
              <w:pStyle w:val="6"/>
              <w:spacing w:before="52" w:line="228" w:lineRule="auto"/>
              <w:ind w:left="149"/>
            </w:pPr>
            <w:r>
              <w:rPr>
                <w:spacing w:val="7"/>
              </w:rPr>
              <w:t>原子吸收分</w:t>
            </w:r>
          </w:p>
          <w:p w14:paraId="6DFB26F1">
            <w:pPr>
              <w:pStyle w:val="6"/>
              <w:spacing w:before="65" w:line="228" w:lineRule="auto"/>
              <w:ind w:left="252"/>
            </w:pPr>
            <w:r>
              <w:rPr>
                <w:spacing w:val="6"/>
              </w:rPr>
              <w:t>光光度计</w:t>
            </w:r>
          </w:p>
          <w:p w14:paraId="65CF8DC8">
            <w:pPr>
              <w:spacing w:before="97"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1165" w:type="dxa"/>
            <w:vAlign w:val="top"/>
          </w:tcPr>
          <w:p w14:paraId="7E59A171">
            <w:pPr>
              <w:spacing w:before="244"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-020-</w:t>
            </w:r>
          </w:p>
          <w:p w14:paraId="43220585">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765A7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18DF08BA">
            <w:pPr>
              <w:spacing w:line="341" w:lineRule="auto"/>
              <w:rPr>
                <w:rFonts w:ascii="Arial"/>
                <w:sz w:val="21"/>
              </w:rPr>
            </w:pPr>
          </w:p>
          <w:p w14:paraId="194B3BA5">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90" w:type="dxa"/>
            <w:vAlign w:val="top"/>
          </w:tcPr>
          <w:p w14:paraId="265EE8F1">
            <w:pPr>
              <w:spacing w:line="298" w:lineRule="auto"/>
              <w:rPr>
                <w:rFonts w:ascii="Arial"/>
                <w:sz w:val="21"/>
              </w:rPr>
            </w:pPr>
          </w:p>
          <w:p w14:paraId="46B5D82B">
            <w:pPr>
              <w:pStyle w:val="6"/>
              <w:spacing w:before="65" w:line="227" w:lineRule="auto"/>
              <w:ind w:left="388"/>
            </w:pPr>
            <w:r>
              <w:rPr>
                <w:spacing w:val="4"/>
              </w:rPr>
              <w:t>氨氮</w:t>
            </w:r>
          </w:p>
        </w:tc>
        <w:tc>
          <w:tcPr>
            <w:tcW w:w="3999" w:type="dxa"/>
            <w:vAlign w:val="top"/>
          </w:tcPr>
          <w:p w14:paraId="4007D467">
            <w:pPr>
              <w:pStyle w:val="6"/>
              <w:spacing w:before="53" w:line="227" w:lineRule="auto"/>
              <w:ind w:left="118"/>
            </w:pPr>
            <w:r>
              <w:rPr>
                <w:spacing w:val="3"/>
              </w:rPr>
              <w:t>《土壤 氨氮、硝酸盐氮、亚硝酸盐氮的测</w:t>
            </w:r>
          </w:p>
          <w:p w14:paraId="2040316E">
            <w:pPr>
              <w:pStyle w:val="6"/>
              <w:spacing w:before="65" w:line="228" w:lineRule="auto"/>
              <w:ind w:left="177"/>
              <w:rPr>
                <w:rFonts w:ascii="Times New Roman" w:hAnsi="Times New Roman" w:eastAsia="Times New Roman" w:cs="Times New Roman"/>
              </w:rPr>
            </w:pPr>
            <w:r>
              <w:rPr>
                <w:spacing w:val="8"/>
              </w:rPr>
              <w:t>定 氯化钾溶液提取</w:t>
            </w:r>
            <w:r>
              <w:rPr>
                <w:rFonts w:ascii="Times New Roman" w:hAnsi="Times New Roman" w:eastAsia="Times New Roman" w:cs="Times New Roman"/>
                <w:spacing w:val="8"/>
              </w:rPr>
              <w:t>-</w:t>
            </w:r>
            <w:r>
              <w:rPr>
                <w:spacing w:val="8"/>
              </w:rPr>
              <w:t>分光光度法》</w:t>
            </w:r>
            <w:r>
              <w:rPr>
                <w:spacing w:val="23"/>
              </w:rPr>
              <w:t xml:space="preserve"> </w:t>
            </w:r>
            <w:r>
              <w:rPr>
                <w:spacing w:val="8"/>
              </w:rPr>
              <w:t>（</w:t>
            </w:r>
            <w:r>
              <w:rPr>
                <w:rFonts w:ascii="Times New Roman" w:hAnsi="Times New Roman" w:eastAsia="Times New Roman" w:cs="Times New Roman"/>
              </w:rPr>
              <w:t>HJ</w:t>
            </w:r>
          </w:p>
          <w:p w14:paraId="71C5DDC4">
            <w:pPr>
              <w:pStyle w:val="6"/>
              <w:spacing w:before="65" w:line="233" w:lineRule="auto"/>
              <w:ind w:left="1498"/>
            </w:pPr>
            <w:r>
              <w:rPr>
                <w:rFonts w:ascii="Times New Roman" w:hAnsi="Times New Roman" w:eastAsia="Times New Roman" w:cs="Times New Roman"/>
                <w:spacing w:val="3"/>
              </w:rPr>
              <w:t>634-2012</w:t>
            </w:r>
            <w:r>
              <w:rPr>
                <w:spacing w:val="3"/>
              </w:rPr>
              <w:t>）</w:t>
            </w:r>
          </w:p>
        </w:tc>
        <w:tc>
          <w:tcPr>
            <w:tcW w:w="716" w:type="dxa"/>
            <w:vAlign w:val="top"/>
          </w:tcPr>
          <w:p w14:paraId="7C13476D">
            <w:pPr>
              <w:spacing w:line="341" w:lineRule="auto"/>
              <w:rPr>
                <w:rFonts w:ascii="Arial"/>
                <w:sz w:val="21"/>
              </w:rPr>
            </w:pPr>
          </w:p>
          <w:p w14:paraId="79D47A7F">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326" w:type="dxa"/>
            <w:vAlign w:val="top"/>
          </w:tcPr>
          <w:p w14:paraId="0497C073">
            <w:pPr>
              <w:pStyle w:val="6"/>
              <w:spacing w:before="208" w:line="290" w:lineRule="auto"/>
              <w:ind w:left="120" w:right="107" w:firstLine="26"/>
              <w:rPr>
                <w:rFonts w:ascii="Times New Roman" w:hAnsi="Times New Roman" w:eastAsia="Times New Roman" w:cs="Times New Roman"/>
              </w:rPr>
            </w:pPr>
            <w:r>
              <w:rPr>
                <w:spacing w:val="7"/>
              </w:rPr>
              <w:t>可见分光光</w:t>
            </w:r>
            <w:r>
              <w:rPr>
                <w:spacing w:val="3"/>
              </w:rPr>
              <w:t xml:space="preserve"> </w:t>
            </w:r>
            <w:r>
              <w:rPr>
                <w:spacing w:val="2"/>
              </w:rPr>
              <w:t>度计</w:t>
            </w:r>
            <w:r>
              <w:rPr>
                <w:rFonts w:ascii="Times New Roman" w:hAnsi="Times New Roman" w:eastAsia="Times New Roman" w:cs="Times New Roman"/>
                <w:spacing w:val="2"/>
              </w:rPr>
              <w:t>/V-5600</w:t>
            </w:r>
          </w:p>
        </w:tc>
        <w:tc>
          <w:tcPr>
            <w:tcW w:w="1165" w:type="dxa"/>
            <w:vAlign w:val="top"/>
          </w:tcPr>
          <w:p w14:paraId="719A09E9">
            <w:pPr>
              <w:spacing w:before="245"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-022-</w:t>
            </w:r>
          </w:p>
          <w:p w14:paraId="0A8FB401">
            <w:pPr>
              <w:spacing w:before="125" w:line="195"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r>
      <w:tr w14:paraId="4795D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47" w:type="dxa"/>
            <w:vAlign w:val="top"/>
          </w:tcPr>
          <w:p w14:paraId="2623691F">
            <w:pPr>
              <w:spacing w:line="344" w:lineRule="auto"/>
              <w:rPr>
                <w:rFonts w:ascii="Arial"/>
                <w:sz w:val="21"/>
              </w:rPr>
            </w:pPr>
          </w:p>
          <w:p w14:paraId="5EB3AFC3">
            <w:pPr>
              <w:spacing w:before="5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90" w:type="dxa"/>
            <w:vAlign w:val="top"/>
          </w:tcPr>
          <w:p w14:paraId="36FAF19D">
            <w:pPr>
              <w:pStyle w:val="6"/>
              <w:spacing w:before="212" w:line="229" w:lineRule="auto"/>
              <w:ind w:left="181"/>
            </w:pPr>
            <w:r>
              <w:rPr>
                <w:spacing w:val="6"/>
              </w:rPr>
              <w:t>亚硝酸盐</w:t>
            </w:r>
          </w:p>
          <w:p w14:paraId="61B7CD8A">
            <w:pPr>
              <w:pStyle w:val="6"/>
              <w:spacing w:before="63" w:line="227" w:lineRule="auto"/>
              <w:ind w:left="492"/>
            </w:pPr>
            <w:r>
              <w:rPr>
                <w:spacing w:val="2"/>
              </w:rPr>
              <w:t>氮</w:t>
            </w:r>
          </w:p>
        </w:tc>
        <w:tc>
          <w:tcPr>
            <w:tcW w:w="3999" w:type="dxa"/>
            <w:vAlign w:val="top"/>
          </w:tcPr>
          <w:p w14:paraId="71FF7823">
            <w:pPr>
              <w:pStyle w:val="6"/>
              <w:spacing w:before="56" w:line="227" w:lineRule="auto"/>
              <w:ind w:left="120"/>
            </w:pPr>
            <w:r>
              <w:rPr>
                <w:spacing w:val="7"/>
              </w:rPr>
              <w:t>《土壤 氨氮</w:t>
            </w:r>
            <w:r>
              <w:rPr>
                <w:spacing w:val="37"/>
              </w:rPr>
              <w:t xml:space="preserve"> </w:t>
            </w:r>
            <w:r>
              <w:rPr>
                <w:spacing w:val="7"/>
              </w:rPr>
              <w:t>、硝酸盐氮、亚硝酸盐氮的</w:t>
            </w:r>
          </w:p>
          <w:p w14:paraId="0AB059BE">
            <w:pPr>
              <w:pStyle w:val="6"/>
              <w:spacing w:before="65" w:line="228" w:lineRule="auto"/>
              <w:ind w:left="120"/>
              <w:rPr>
                <w:rFonts w:ascii="Times New Roman" w:hAnsi="Times New Roman" w:eastAsia="Times New Roman" w:cs="Times New Roman"/>
              </w:rPr>
            </w:pPr>
            <w:r>
              <w:rPr>
                <w:spacing w:val="9"/>
              </w:rPr>
              <w:t>测定 氯化钾溶液提取</w:t>
            </w:r>
            <w:r>
              <w:rPr>
                <w:rFonts w:ascii="Times New Roman" w:hAnsi="Times New Roman" w:eastAsia="Times New Roman" w:cs="Times New Roman"/>
                <w:spacing w:val="9"/>
              </w:rPr>
              <w:t>-</w:t>
            </w:r>
            <w:r>
              <w:rPr>
                <w:spacing w:val="9"/>
              </w:rPr>
              <w:t>分光光度法》（</w:t>
            </w:r>
            <w:r>
              <w:rPr>
                <w:rFonts w:ascii="Times New Roman" w:hAnsi="Times New Roman" w:eastAsia="Times New Roman" w:cs="Times New Roman"/>
              </w:rPr>
              <w:t>HJ</w:t>
            </w:r>
          </w:p>
          <w:p w14:paraId="0C42DE52">
            <w:pPr>
              <w:pStyle w:val="6"/>
              <w:spacing w:before="65" w:line="232" w:lineRule="auto"/>
              <w:ind w:left="1498"/>
            </w:pPr>
            <w:r>
              <w:rPr>
                <w:rFonts w:ascii="Times New Roman" w:hAnsi="Times New Roman" w:eastAsia="Times New Roman" w:cs="Times New Roman"/>
                <w:spacing w:val="3"/>
              </w:rPr>
              <w:t>634-2012</w:t>
            </w:r>
            <w:r>
              <w:rPr>
                <w:spacing w:val="3"/>
              </w:rPr>
              <w:t>）</w:t>
            </w:r>
          </w:p>
        </w:tc>
        <w:tc>
          <w:tcPr>
            <w:tcW w:w="716" w:type="dxa"/>
            <w:vAlign w:val="top"/>
          </w:tcPr>
          <w:p w14:paraId="05F45CF0">
            <w:pPr>
              <w:spacing w:line="344" w:lineRule="auto"/>
              <w:rPr>
                <w:rFonts w:ascii="Arial"/>
                <w:sz w:val="21"/>
              </w:rPr>
            </w:pPr>
          </w:p>
          <w:p w14:paraId="125E1035">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326" w:type="dxa"/>
            <w:vAlign w:val="top"/>
          </w:tcPr>
          <w:p w14:paraId="40EF0735">
            <w:pPr>
              <w:pStyle w:val="6"/>
              <w:spacing w:before="211" w:line="290" w:lineRule="auto"/>
              <w:ind w:left="144" w:right="133" w:firstLine="2"/>
              <w:rPr>
                <w:rFonts w:ascii="Times New Roman" w:hAnsi="Times New Roman" w:eastAsia="Times New Roman" w:cs="Times New Roman"/>
              </w:rPr>
            </w:pPr>
            <w:r>
              <w:rPr>
                <w:spacing w:val="7"/>
              </w:rPr>
              <w:t>可见分光光</w:t>
            </w:r>
            <w:r>
              <w:rPr>
                <w:spacing w:val="3"/>
              </w:rPr>
              <w:t xml:space="preserve"> </w:t>
            </w:r>
            <w:r>
              <w:rPr>
                <w:spacing w:val="5"/>
              </w:rPr>
              <w:t>度计</w:t>
            </w:r>
            <w:r>
              <w:rPr>
                <w:rFonts w:ascii="Times New Roman" w:hAnsi="Times New Roman" w:eastAsia="Times New Roman" w:cs="Times New Roman"/>
                <w:spacing w:val="5"/>
              </w:rPr>
              <w:t>/7230G</w:t>
            </w:r>
          </w:p>
        </w:tc>
        <w:tc>
          <w:tcPr>
            <w:tcW w:w="1165" w:type="dxa"/>
            <w:vAlign w:val="top"/>
          </w:tcPr>
          <w:p w14:paraId="74B58775">
            <w:pPr>
              <w:spacing w:before="24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-022-</w:t>
            </w:r>
          </w:p>
          <w:p w14:paraId="001AD58E">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bl>
    <w:p w14:paraId="2B0FC24D">
      <w:pPr>
        <w:pStyle w:val="2"/>
      </w:pPr>
    </w:p>
    <w:p w14:paraId="0F01964C">
      <w:pPr>
        <w:sectPr>
          <w:headerReference r:id="rId195" w:type="default"/>
          <w:footerReference r:id="rId196" w:type="default"/>
          <w:pgSz w:w="11906" w:h="16839"/>
          <w:pgMar w:top="1208" w:right="1379" w:bottom="957" w:left="1378" w:header="825" w:footer="795" w:gutter="0"/>
          <w:cols w:space="720" w:num="1"/>
        </w:sectPr>
      </w:pPr>
    </w:p>
    <w:p w14:paraId="2E9A9A00">
      <w:pPr>
        <w:spacing w:line="231" w:lineRule="exact"/>
      </w:pPr>
    </w:p>
    <w:tbl>
      <w:tblPr>
        <w:tblStyle w:val="5"/>
        <w:tblW w:w="91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7"/>
        <w:gridCol w:w="1190"/>
        <w:gridCol w:w="3999"/>
        <w:gridCol w:w="716"/>
        <w:gridCol w:w="1326"/>
        <w:gridCol w:w="1165"/>
      </w:tblGrid>
      <w:tr w14:paraId="61734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747" w:type="dxa"/>
            <w:vAlign w:val="top"/>
          </w:tcPr>
          <w:p w14:paraId="63A455FD">
            <w:pPr>
              <w:spacing w:line="347" w:lineRule="auto"/>
              <w:rPr>
                <w:rFonts w:ascii="Arial"/>
                <w:sz w:val="21"/>
              </w:rPr>
            </w:pPr>
          </w:p>
          <w:p w14:paraId="6D29B489">
            <w:pPr>
              <w:spacing w:before="58" w:line="192"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90" w:type="dxa"/>
            <w:vAlign w:val="top"/>
          </w:tcPr>
          <w:p w14:paraId="7921A8F1">
            <w:pPr>
              <w:spacing w:line="301" w:lineRule="auto"/>
              <w:rPr>
                <w:rFonts w:ascii="Arial"/>
                <w:sz w:val="21"/>
              </w:rPr>
            </w:pPr>
          </w:p>
          <w:p w14:paraId="063B808E">
            <w:pPr>
              <w:pStyle w:val="6"/>
              <w:spacing w:before="65" w:line="224" w:lineRule="auto"/>
              <w:ind w:left="181"/>
            </w:pPr>
            <w:r>
              <w:rPr>
                <w:spacing w:val="6"/>
              </w:rPr>
              <w:t>硝酸盐氮</w:t>
            </w:r>
          </w:p>
        </w:tc>
        <w:tc>
          <w:tcPr>
            <w:tcW w:w="3999" w:type="dxa"/>
            <w:vAlign w:val="top"/>
          </w:tcPr>
          <w:p w14:paraId="6E9E47EE">
            <w:pPr>
              <w:pStyle w:val="6"/>
              <w:spacing w:before="56" w:line="224" w:lineRule="auto"/>
              <w:ind w:left="120"/>
            </w:pPr>
            <w:r>
              <w:rPr>
                <w:spacing w:val="7"/>
              </w:rPr>
              <w:t>《土壤 氨氮</w:t>
            </w:r>
            <w:r>
              <w:rPr>
                <w:spacing w:val="37"/>
              </w:rPr>
              <w:t xml:space="preserve"> </w:t>
            </w:r>
            <w:r>
              <w:rPr>
                <w:spacing w:val="7"/>
              </w:rPr>
              <w:t>、硝酸盐氮、亚硝酸盐氮的</w:t>
            </w:r>
          </w:p>
          <w:p w14:paraId="6B20230A">
            <w:pPr>
              <w:pStyle w:val="6"/>
              <w:spacing w:before="68" w:line="228" w:lineRule="auto"/>
              <w:ind w:left="120"/>
              <w:rPr>
                <w:rFonts w:ascii="Times New Roman" w:hAnsi="Times New Roman" w:eastAsia="Times New Roman" w:cs="Times New Roman"/>
              </w:rPr>
            </w:pPr>
            <w:r>
              <w:rPr>
                <w:spacing w:val="9"/>
              </w:rPr>
              <w:t>测定 氯化钾溶液提取</w:t>
            </w:r>
            <w:r>
              <w:rPr>
                <w:rFonts w:ascii="Times New Roman" w:hAnsi="Times New Roman" w:eastAsia="Times New Roman" w:cs="Times New Roman"/>
                <w:spacing w:val="9"/>
              </w:rPr>
              <w:t>-</w:t>
            </w:r>
            <w:r>
              <w:rPr>
                <w:spacing w:val="9"/>
              </w:rPr>
              <w:t>分光光度法》（</w:t>
            </w:r>
            <w:r>
              <w:rPr>
                <w:rFonts w:ascii="Times New Roman" w:hAnsi="Times New Roman" w:eastAsia="Times New Roman" w:cs="Times New Roman"/>
              </w:rPr>
              <w:t>HJ</w:t>
            </w:r>
          </w:p>
          <w:p w14:paraId="65F9C17C">
            <w:pPr>
              <w:pStyle w:val="6"/>
              <w:spacing w:before="65" w:line="235" w:lineRule="auto"/>
              <w:ind w:left="1498"/>
            </w:pPr>
            <w:r>
              <w:rPr>
                <w:rFonts w:ascii="Times New Roman" w:hAnsi="Times New Roman" w:eastAsia="Times New Roman" w:cs="Times New Roman"/>
                <w:spacing w:val="3"/>
              </w:rPr>
              <w:t>634-2012</w:t>
            </w:r>
            <w:r>
              <w:rPr>
                <w:spacing w:val="3"/>
              </w:rPr>
              <w:t>）</w:t>
            </w:r>
          </w:p>
        </w:tc>
        <w:tc>
          <w:tcPr>
            <w:tcW w:w="716" w:type="dxa"/>
            <w:vAlign w:val="top"/>
          </w:tcPr>
          <w:p w14:paraId="44578767">
            <w:pPr>
              <w:spacing w:line="344" w:lineRule="auto"/>
              <w:rPr>
                <w:rFonts w:ascii="Arial"/>
                <w:sz w:val="21"/>
              </w:rPr>
            </w:pPr>
          </w:p>
          <w:p w14:paraId="5F53C189">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326" w:type="dxa"/>
            <w:vAlign w:val="top"/>
          </w:tcPr>
          <w:p w14:paraId="770DB666">
            <w:pPr>
              <w:pStyle w:val="6"/>
              <w:spacing w:before="211" w:line="290" w:lineRule="auto"/>
              <w:ind w:left="144" w:right="133" w:firstLine="2"/>
              <w:rPr>
                <w:rFonts w:ascii="Times New Roman" w:hAnsi="Times New Roman" w:eastAsia="Times New Roman" w:cs="Times New Roman"/>
              </w:rPr>
            </w:pPr>
            <w:r>
              <w:rPr>
                <w:spacing w:val="7"/>
              </w:rPr>
              <w:t>可见分光光</w:t>
            </w:r>
            <w:r>
              <w:rPr>
                <w:spacing w:val="3"/>
              </w:rPr>
              <w:t xml:space="preserve"> </w:t>
            </w:r>
            <w:r>
              <w:rPr>
                <w:spacing w:val="5"/>
              </w:rPr>
              <w:t>度计</w:t>
            </w:r>
            <w:r>
              <w:rPr>
                <w:rFonts w:ascii="Times New Roman" w:hAnsi="Times New Roman" w:eastAsia="Times New Roman" w:cs="Times New Roman"/>
                <w:spacing w:val="5"/>
              </w:rPr>
              <w:t>/7230G</w:t>
            </w:r>
          </w:p>
        </w:tc>
        <w:tc>
          <w:tcPr>
            <w:tcW w:w="1165" w:type="dxa"/>
            <w:vAlign w:val="top"/>
          </w:tcPr>
          <w:p w14:paraId="5D72BE1A">
            <w:pPr>
              <w:spacing w:before="24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-022-</w:t>
            </w:r>
          </w:p>
          <w:p w14:paraId="48F151B6">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r w14:paraId="3958F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7" w:type="dxa"/>
            <w:vAlign w:val="top"/>
          </w:tcPr>
          <w:p w14:paraId="67018D0E">
            <w:pPr>
              <w:spacing w:before="24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90" w:type="dxa"/>
            <w:vAlign w:val="top"/>
          </w:tcPr>
          <w:p w14:paraId="597B7F22">
            <w:pPr>
              <w:pStyle w:val="6"/>
              <w:spacing w:before="207" w:line="225" w:lineRule="auto"/>
              <w:ind w:left="185"/>
            </w:pPr>
            <w:r>
              <w:rPr>
                <w:spacing w:val="5"/>
              </w:rPr>
              <w:t>总氟化物</w:t>
            </w:r>
          </w:p>
        </w:tc>
        <w:tc>
          <w:tcPr>
            <w:tcW w:w="3999" w:type="dxa"/>
            <w:vAlign w:val="top"/>
          </w:tcPr>
          <w:p w14:paraId="4601727D">
            <w:pPr>
              <w:pStyle w:val="6"/>
              <w:spacing w:before="51" w:line="262" w:lineRule="auto"/>
              <w:ind w:left="360" w:right="162" w:hanging="187"/>
            </w:pPr>
            <w:r>
              <w:rPr>
                <w:spacing w:val="8"/>
              </w:rPr>
              <w:t>《土壤 水溶性氟化物和总氟化物的测定</w:t>
            </w:r>
            <w:r>
              <w:rPr>
                <w:spacing w:val="13"/>
              </w:rPr>
              <w:t xml:space="preserve"> </w:t>
            </w:r>
            <w:r>
              <w:rPr>
                <w:spacing w:val="6"/>
              </w:rPr>
              <w:t>离子选 择电极法》（</w:t>
            </w:r>
            <w:r>
              <w:rPr>
                <w:rFonts w:ascii="Times New Roman" w:hAnsi="Times New Roman" w:eastAsia="Times New Roman" w:cs="Times New Roman"/>
              </w:rPr>
              <w:t>HJ</w:t>
            </w:r>
            <w:r>
              <w:rPr>
                <w:rFonts w:ascii="Times New Roman" w:hAnsi="Times New Roman" w:eastAsia="Times New Roman" w:cs="Times New Roman"/>
                <w:spacing w:val="19"/>
                <w:w w:val="101"/>
              </w:rPr>
              <w:t xml:space="preserve"> </w:t>
            </w:r>
            <w:r>
              <w:rPr>
                <w:rFonts w:ascii="Times New Roman" w:hAnsi="Times New Roman" w:eastAsia="Times New Roman" w:cs="Times New Roman"/>
                <w:spacing w:val="6"/>
              </w:rPr>
              <w:t>873-2017</w:t>
            </w:r>
            <w:r>
              <w:rPr>
                <w:spacing w:val="6"/>
              </w:rPr>
              <w:t>）</w:t>
            </w:r>
          </w:p>
        </w:tc>
        <w:tc>
          <w:tcPr>
            <w:tcW w:w="716" w:type="dxa"/>
            <w:vAlign w:val="top"/>
          </w:tcPr>
          <w:p w14:paraId="5CD6C8C4">
            <w:pPr>
              <w:spacing w:before="243" w:line="195"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326" w:type="dxa"/>
            <w:vAlign w:val="top"/>
          </w:tcPr>
          <w:p w14:paraId="36E1F51D">
            <w:pPr>
              <w:pStyle w:val="6"/>
              <w:spacing w:before="51" w:line="262" w:lineRule="auto"/>
              <w:ind w:left="156" w:right="131" w:hanging="44"/>
              <w:rPr>
                <w:rFonts w:ascii="Times New Roman" w:hAnsi="Times New Roman" w:eastAsia="Times New Roman" w:cs="Times New Roman"/>
              </w:rPr>
            </w:pPr>
            <w:r>
              <w:rPr>
                <w:rFonts w:ascii="Times New Roman" w:hAnsi="Times New Roman" w:eastAsia="Times New Roman" w:cs="Times New Roman"/>
              </w:rPr>
              <w:t>pH</w:t>
            </w:r>
            <w:r>
              <w:rPr>
                <w:spacing w:val="8"/>
              </w:rPr>
              <w:t>（酸度）</w:t>
            </w:r>
            <w:r>
              <w:t xml:space="preserve"> </w:t>
            </w:r>
            <w:r>
              <w:rPr>
                <w:spacing w:val="7"/>
              </w:rPr>
              <w:t>计</w:t>
            </w:r>
            <w:r>
              <w:rPr>
                <w:rFonts w:ascii="Times New Roman" w:hAnsi="Times New Roman" w:eastAsia="Times New Roman" w:cs="Times New Roman"/>
                <w:spacing w:val="7"/>
              </w:rPr>
              <w:t>/</w:t>
            </w:r>
            <w:r>
              <w:rPr>
                <w:rFonts w:ascii="Times New Roman" w:hAnsi="Times New Roman" w:eastAsia="Times New Roman" w:cs="Times New Roman"/>
              </w:rPr>
              <w:t>PHSJ</w:t>
            </w:r>
            <w:r>
              <w:rPr>
                <w:rFonts w:ascii="Times New Roman" w:hAnsi="Times New Roman" w:eastAsia="Times New Roman" w:cs="Times New Roman"/>
                <w:spacing w:val="7"/>
              </w:rPr>
              <w:t>-4F</w:t>
            </w:r>
          </w:p>
        </w:tc>
        <w:tc>
          <w:tcPr>
            <w:tcW w:w="1165" w:type="dxa"/>
            <w:vAlign w:val="top"/>
          </w:tcPr>
          <w:p w14:paraId="18238212">
            <w:pPr>
              <w:spacing w:before="8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-009-</w:t>
            </w:r>
          </w:p>
          <w:p w14:paraId="376F8EEC">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r w14:paraId="61A85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1B70CF50">
            <w:pPr>
              <w:spacing w:line="342" w:lineRule="auto"/>
              <w:rPr>
                <w:rFonts w:ascii="Arial"/>
                <w:sz w:val="21"/>
              </w:rPr>
            </w:pPr>
          </w:p>
          <w:p w14:paraId="3A24F060">
            <w:pPr>
              <w:spacing w:before="58" w:line="192"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90" w:type="dxa"/>
            <w:vAlign w:val="top"/>
          </w:tcPr>
          <w:p w14:paraId="701C764A">
            <w:pPr>
              <w:spacing w:line="297" w:lineRule="auto"/>
              <w:rPr>
                <w:rFonts w:ascii="Arial"/>
                <w:sz w:val="21"/>
              </w:rPr>
            </w:pPr>
          </w:p>
          <w:p w14:paraId="19DC5481">
            <w:pPr>
              <w:pStyle w:val="6"/>
              <w:spacing w:before="65" w:line="228" w:lineRule="auto"/>
              <w:ind w:left="393"/>
            </w:pPr>
            <w:r>
              <w:rPr>
                <w:spacing w:val="2"/>
              </w:rPr>
              <w:t>总汞</w:t>
            </w:r>
          </w:p>
        </w:tc>
        <w:tc>
          <w:tcPr>
            <w:tcW w:w="3999" w:type="dxa"/>
            <w:vAlign w:val="top"/>
          </w:tcPr>
          <w:p w14:paraId="639C52E9">
            <w:pPr>
              <w:pStyle w:val="6"/>
              <w:spacing w:before="51" w:line="288" w:lineRule="auto"/>
              <w:ind w:left="118" w:right="24"/>
            </w:pPr>
            <w:r>
              <w:rPr>
                <w:spacing w:val="3"/>
              </w:rPr>
              <w:t>《土壤质量 总汞、总砷、总铅的测定原子</w:t>
            </w:r>
            <w:r>
              <w:rPr>
                <w:spacing w:val="6"/>
              </w:rPr>
              <w:t xml:space="preserve">  </w:t>
            </w:r>
            <w:r>
              <w:rPr>
                <w:spacing w:val="5"/>
              </w:rPr>
              <w:t>荧光法》 第</w:t>
            </w:r>
            <w:r>
              <w:rPr>
                <w:spacing w:val="-1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spacing w:val="5"/>
              </w:rPr>
              <w:t>部分：土壤中总汞的测定）</w:t>
            </w:r>
          </w:p>
          <w:p w14:paraId="1B197B1F">
            <w:pPr>
              <w:pStyle w:val="6"/>
              <w:spacing w:line="234" w:lineRule="auto"/>
              <w:ind w:left="955"/>
            </w:pP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/T 22105.</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1-2008</w:t>
            </w:r>
            <w:r>
              <w:rPr>
                <w:spacing w:val="2"/>
              </w:rPr>
              <w:t>）</w:t>
            </w:r>
          </w:p>
        </w:tc>
        <w:tc>
          <w:tcPr>
            <w:tcW w:w="716" w:type="dxa"/>
            <w:vAlign w:val="top"/>
          </w:tcPr>
          <w:p w14:paraId="5836C8AF">
            <w:pPr>
              <w:spacing w:line="339" w:lineRule="auto"/>
              <w:rPr>
                <w:rFonts w:ascii="Arial"/>
                <w:sz w:val="21"/>
              </w:rPr>
            </w:pPr>
          </w:p>
          <w:p w14:paraId="20A8245D">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326" w:type="dxa"/>
            <w:vAlign w:val="top"/>
          </w:tcPr>
          <w:p w14:paraId="68879E7F">
            <w:pPr>
              <w:pStyle w:val="6"/>
              <w:spacing w:before="51" w:line="228" w:lineRule="auto"/>
              <w:ind w:left="149"/>
            </w:pPr>
            <w:r>
              <w:rPr>
                <w:spacing w:val="7"/>
              </w:rPr>
              <w:t>原子荧光光</w:t>
            </w:r>
          </w:p>
          <w:p w14:paraId="41276861">
            <w:pPr>
              <w:pStyle w:val="6"/>
              <w:spacing w:before="65" w:line="228" w:lineRule="auto"/>
              <w:ind w:left="458"/>
            </w:pPr>
            <w:r>
              <w:rPr>
                <w:spacing w:val="5"/>
              </w:rPr>
              <w:t>度计</w:t>
            </w:r>
          </w:p>
          <w:p w14:paraId="0CC02B4A">
            <w:pPr>
              <w:spacing w:before="96" w:line="199"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AFS</w:t>
            </w:r>
            <w:r>
              <w:rPr>
                <w:rFonts w:ascii="Times New Roman" w:hAnsi="Times New Roman" w:eastAsia="Times New Roman" w:cs="Times New Roman"/>
                <w:spacing w:val="7"/>
                <w:sz w:val="20"/>
                <w:szCs w:val="20"/>
              </w:rPr>
              <w:t>-8220</w:t>
            </w:r>
          </w:p>
        </w:tc>
        <w:tc>
          <w:tcPr>
            <w:tcW w:w="1165" w:type="dxa"/>
            <w:vAlign w:val="top"/>
          </w:tcPr>
          <w:p w14:paraId="0A766E44">
            <w:pPr>
              <w:spacing w:before="243"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-003-</w:t>
            </w:r>
          </w:p>
          <w:p w14:paraId="12FBCAD8">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r w14:paraId="60F20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4EEA4D14">
            <w:pPr>
              <w:spacing w:line="340" w:lineRule="auto"/>
              <w:rPr>
                <w:rFonts w:ascii="Arial"/>
                <w:sz w:val="21"/>
              </w:rPr>
            </w:pPr>
          </w:p>
          <w:p w14:paraId="04194083">
            <w:pPr>
              <w:spacing w:before="58" w:line="195"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90" w:type="dxa"/>
            <w:vAlign w:val="top"/>
          </w:tcPr>
          <w:p w14:paraId="42147F5B">
            <w:pPr>
              <w:spacing w:line="297" w:lineRule="auto"/>
              <w:rPr>
                <w:rFonts w:ascii="Arial"/>
                <w:sz w:val="21"/>
              </w:rPr>
            </w:pPr>
          </w:p>
          <w:p w14:paraId="1C0486E3">
            <w:pPr>
              <w:pStyle w:val="6"/>
              <w:spacing w:before="65" w:line="228" w:lineRule="auto"/>
              <w:ind w:left="393"/>
            </w:pPr>
            <w:r>
              <w:rPr>
                <w:spacing w:val="2"/>
              </w:rPr>
              <w:t>总砷</w:t>
            </w:r>
          </w:p>
        </w:tc>
        <w:tc>
          <w:tcPr>
            <w:tcW w:w="3999" w:type="dxa"/>
            <w:vAlign w:val="top"/>
          </w:tcPr>
          <w:p w14:paraId="1C369AF7">
            <w:pPr>
              <w:pStyle w:val="6"/>
              <w:spacing w:before="52" w:line="228" w:lineRule="auto"/>
              <w:ind w:left="118"/>
            </w:pPr>
            <w:r>
              <w:rPr>
                <w:spacing w:val="3"/>
              </w:rPr>
              <w:t>《土壤质量 总汞、总砷、总铅的测定原子</w:t>
            </w:r>
          </w:p>
          <w:p w14:paraId="72F5D775">
            <w:pPr>
              <w:pStyle w:val="6"/>
              <w:spacing w:before="64" w:line="261" w:lineRule="auto"/>
              <w:ind w:left="954" w:right="291" w:hanging="654"/>
            </w:pPr>
            <w:r>
              <w:rPr>
                <w:spacing w:val="7"/>
              </w:rPr>
              <w:t>荧光法》第</w:t>
            </w:r>
            <w:r>
              <w:rPr>
                <w:spacing w:val="-31"/>
              </w:rPr>
              <w:t xml:space="preserve"> </w:t>
            </w:r>
            <w:r>
              <w:rPr>
                <w:rFonts w:ascii="Times New Roman" w:hAnsi="Times New Roman" w:eastAsia="Times New Roman" w:cs="Times New Roman"/>
                <w:spacing w:val="7"/>
              </w:rPr>
              <w:t xml:space="preserve">2 </w:t>
            </w:r>
            <w:r>
              <w:rPr>
                <w:spacing w:val="7"/>
              </w:rPr>
              <w:t>部分</w:t>
            </w:r>
            <w:r>
              <w:rPr>
                <w:rFonts w:ascii="Times New Roman" w:hAnsi="Times New Roman" w:eastAsia="Times New Roman" w:cs="Times New Roman"/>
                <w:spacing w:val="7"/>
              </w:rPr>
              <w:t>:</w:t>
            </w:r>
            <w:r>
              <w:rPr>
                <w:spacing w:val="7"/>
              </w:rPr>
              <w:t>土壤中总砷的测定</w:t>
            </w:r>
            <w: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/T 22105.2-2008</w:t>
            </w:r>
            <w:r>
              <w:rPr>
                <w:spacing w:val="4"/>
              </w:rPr>
              <w:t>）</w:t>
            </w:r>
          </w:p>
        </w:tc>
        <w:tc>
          <w:tcPr>
            <w:tcW w:w="716" w:type="dxa"/>
            <w:vAlign w:val="top"/>
          </w:tcPr>
          <w:p w14:paraId="7ABF6969">
            <w:pPr>
              <w:spacing w:line="340" w:lineRule="auto"/>
              <w:rPr>
                <w:rFonts w:ascii="Arial"/>
                <w:sz w:val="21"/>
              </w:rPr>
            </w:pPr>
          </w:p>
          <w:p w14:paraId="01A6F50A">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326" w:type="dxa"/>
            <w:vAlign w:val="top"/>
          </w:tcPr>
          <w:p w14:paraId="08E4F74D">
            <w:pPr>
              <w:pStyle w:val="6"/>
              <w:spacing w:before="51" w:line="228" w:lineRule="auto"/>
              <w:ind w:left="149"/>
            </w:pPr>
            <w:r>
              <w:rPr>
                <w:spacing w:val="7"/>
              </w:rPr>
              <w:t>原子荧光光</w:t>
            </w:r>
          </w:p>
          <w:p w14:paraId="082C0C28">
            <w:pPr>
              <w:pStyle w:val="6"/>
              <w:spacing w:before="65" w:line="228" w:lineRule="auto"/>
              <w:ind w:left="458"/>
            </w:pPr>
            <w:r>
              <w:rPr>
                <w:spacing w:val="5"/>
              </w:rPr>
              <w:t>度计</w:t>
            </w:r>
          </w:p>
          <w:p w14:paraId="0F009CD3">
            <w:pPr>
              <w:spacing w:before="96" w:line="199"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AFS</w:t>
            </w:r>
            <w:r>
              <w:rPr>
                <w:rFonts w:ascii="Times New Roman" w:hAnsi="Times New Roman" w:eastAsia="Times New Roman" w:cs="Times New Roman"/>
                <w:spacing w:val="7"/>
                <w:sz w:val="20"/>
                <w:szCs w:val="20"/>
              </w:rPr>
              <w:t>-8220</w:t>
            </w:r>
          </w:p>
        </w:tc>
        <w:tc>
          <w:tcPr>
            <w:tcW w:w="1165" w:type="dxa"/>
            <w:vAlign w:val="top"/>
          </w:tcPr>
          <w:p w14:paraId="28D7EDF1">
            <w:pPr>
              <w:spacing w:before="91" w:line="192"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HZD</w:t>
            </w:r>
          </w:p>
          <w:p w14:paraId="1078AB76">
            <w:pPr>
              <w:spacing w:before="125"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27EF870A">
            <w:pPr>
              <w:spacing w:before="125"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r w14:paraId="79520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725042FD">
            <w:pPr>
              <w:spacing w:line="343" w:lineRule="auto"/>
              <w:rPr>
                <w:rFonts w:ascii="Arial"/>
                <w:sz w:val="21"/>
              </w:rPr>
            </w:pPr>
          </w:p>
          <w:p w14:paraId="3ABEA0CE">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90" w:type="dxa"/>
            <w:vAlign w:val="top"/>
          </w:tcPr>
          <w:p w14:paraId="4879B2CE">
            <w:pPr>
              <w:spacing w:line="299" w:lineRule="auto"/>
              <w:rPr>
                <w:rFonts w:ascii="Arial"/>
                <w:sz w:val="21"/>
              </w:rPr>
            </w:pPr>
          </w:p>
          <w:p w14:paraId="5D3DD883">
            <w:pPr>
              <w:pStyle w:val="6"/>
              <w:spacing w:before="65" w:line="231" w:lineRule="auto"/>
              <w:ind w:left="590"/>
            </w:pPr>
            <w:r>
              <w:rPr>
                <w:spacing w:val="2"/>
              </w:rPr>
              <w:t>镉</w:t>
            </w:r>
          </w:p>
        </w:tc>
        <w:tc>
          <w:tcPr>
            <w:tcW w:w="3999" w:type="dxa"/>
            <w:vAlign w:val="top"/>
          </w:tcPr>
          <w:p w14:paraId="1A718378">
            <w:pPr>
              <w:pStyle w:val="6"/>
              <w:spacing w:before="55" w:line="228" w:lineRule="auto"/>
              <w:ind w:left="622"/>
            </w:pPr>
            <w:r>
              <w:rPr>
                <w:spacing w:val="8"/>
              </w:rPr>
              <w:t>《土壤质量 铅、镉的测定石墨炉原</w:t>
            </w:r>
          </w:p>
          <w:p w14:paraId="38299AD1">
            <w:pPr>
              <w:pStyle w:val="6"/>
              <w:spacing w:before="64" w:line="228" w:lineRule="auto"/>
              <w:ind w:left="958"/>
              <w:rPr>
                <w:rFonts w:ascii="Times New Roman" w:hAnsi="Times New Roman" w:eastAsia="Times New Roman" w:cs="Times New Roman"/>
              </w:rPr>
            </w:pPr>
            <w:r>
              <w:rPr>
                <w:spacing w:val="9"/>
              </w:rPr>
              <w:t>子吸收分光光度法》（</w:t>
            </w:r>
            <w:r>
              <w:rPr>
                <w:rFonts w:ascii="Times New Roman" w:hAnsi="Times New Roman" w:eastAsia="Times New Roman" w:cs="Times New Roman"/>
              </w:rPr>
              <w:t>GB</w:t>
            </w:r>
            <w:r>
              <w:rPr>
                <w:rFonts w:ascii="Times New Roman" w:hAnsi="Times New Roman" w:eastAsia="Times New Roman" w:cs="Times New Roman"/>
                <w:spacing w:val="9"/>
              </w:rPr>
              <w:t>/T</w:t>
            </w:r>
          </w:p>
          <w:p w14:paraId="022835F2">
            <w:pPr>
              <w:pStyle w:val="6"/>
              <w:spacing w:before="65" w:line="231" w:lineRule="auto"/>
              <w:ind w:left="1648"/>
            </w:pPr>
            <w:r>
              <w:rPr>
                <w:rFonts w:ascii="Times New Roman" w:hAnsi="Times New Roman" w:eastAsia="Times New Roman" w:cs="Times New Roman"/>
                <w:spacing w:val="2"/>
              </w:rPr>
              <w:t>17141-1997</w:t>
            </w:r>
            <w:r>
              <w:rPr>
                <w:spacing w:val="2"/>
              </w:rPr>
              <w:t>）</w:t>
            </w:r>
          </w:p>
        </w:tc>
        <w:tc>
          <w:tcPr>
            <w:tcW w:w="716" w:type="dxa"/>
            <w:vAlign w:val="top"/>
          </w:tcPr>
          <w:p w14:paraId="2A69D09F">
            <w:pPr>
              <w:spacing w:line="343" w:lineRule="auto"/>
              <w:rPr>
                <w:rFonts w:ascii="Arial"/>
                <w:sz w:val="21"/>
              </w:rPr>
            </w:pPr>
          </w:p>
          <w:p w14:paraId="44EA9742">
            <w:pPr>
              <w:spacing w:before="5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326" w:type="dxa"/>
            <w:vAlign w:val="top"/>
          </w:tcPr>
          <w:p w14:paraId="54106CCA">
            <w:pPr>
              <w:pStyle w:val="6"/>
              <w:spacing w:before="54" w:line="228" w:lineRule="auto"/>
              <w:ind w:left="149"/>
            </w:pPr>
            <w:r>
              <w:rPr>
                <w:spacing w:val="7"/>
              </w:rPr>
              <w:t>原子吸收分</w:t>
            </w:r>
          </w:p>
          <w:p w14:paraId="4D365265">
            <w:pPr>
              <w:pStyle w:val="6"/>
              <w:spacing w:before="65" w:line="228" w:lineRule="auto"/>
              <w:ind w:left="252"/>
            </w:pPr>
            <w:r>
              <w:rPr>
                <w:spacing w:val="6"/>
              </w:rPr>
              <w:t>光光度计</w:t>
            </w:r>
          </w:p>
          <w:p w14:paraId="1F5C9DE3">
            <w:pPr>
              <w:spacing w:before="97"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1165" w:type="dxa"/>
            <w:vAlign w:val="top"/>
          </w:tcPr>
          <w:p w14:paraId="7499AB56">
            <w:pPr>
              <w:spacing w:before="24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-020-</w:t>
            </w:r>
          </w:p>
          <w:p w14:paraId="56E37664">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0A24B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1F04787F">
            <w:pPr>
              <w:spacing w:line="344" w:lineRule="auto"/>
              <w:rPr>
                <w:rFonts w:ascii="Arial"/>
                <w:sz w:val="21"/>
              </w:rPr>
            </w:pPr>
          </w:p>
          <w:p w14:paraId="771C7A01">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90" w:type="dxa"/>
            <w:vAlign w:val="top"/>
          </w:tcPr>
          <w:p w14:paraId="02F2DA8E">
            <w:pPr>
              <w:spacing w:line="301" w:lineRule="auto"/>
              <w:rPr>
                <w:rFonts w:ascii="Arial"/>
                <w:sz w:val="21"/>
              </w:rPr>
            </w:pPr>
          </w:p>
          <w:p w14:paraId="0FD90C32">
            <w:pPr>
              <w:pStyle w:val="6"/>
              <w:spacing w:before="65" w:line="226" w:lineRule="auto"/>
              <w:ind w:left="284"/>
            </w:pPr>
            <w:r>
              <w:rPr>
                <w:spacing w:val="6"/>
              </w:rPr>
              <w:t>六价铬</w:t>
            </w:r>
          </w:p>
        </w:tc>
        <w:tc>
          <w:tcPr>
            <w:tcW w:w="3999" w:type="dxa"/>
            <w:vAlign w:val="top"/>
          </w:tcPr>
          <w:p w14:paraId="5052EA37">
            <w:pPr>
              <w:pStyle w:val="6"/>
              <w:spacing w:before="56" w:line="226" w:lineRule="auto"/>
              <w:ind w:left="120"/>
            </w:pPr>
            <w:r>
              <w:rPr>
                <w:spacing w:val="8"/>
              </w:rPr>
              <w:t>《土壤和沉积物 六价铬的测定 碱溶液提</w:t>
            </w:r>
          </w:p>
          <w:p w14:paraId="0805BB94">
            <w:pPr>
              <w:pStyle w:val="6"/>
              <w:spacing w:before="66" w:line="228" w:lineRule="auto"/>
              <w:ind w:left="386"/>
              <w:rPr>
                <w:rFonts w:ascii="Times New Roman" w:hAnsi="Times New Roman" w:eastAsia="Times New Roman" w:cs="Times New Roman"/>
              </w:rPr>
            </w:pPr>
            <w:r>
              <w:rPr>
                <w:spacing w:val="9"/>
              </w:rPr>
              <w:t>取</w:t>
            </w:r>
            <w:r>
              <w:rPr>
                <w:rFonts w:ascii="Times New Roman" w:hAnsi="Times New Roman" w:eastAsia="Times New Roman" w:cs="Times New Roman"/>
                <w:spacing w:val="9"/>
              </w:rPr>
              <w:t>-</w:t>
            </w:r>
            <w:r>
              <w:rPr>
                <w:spacing w:val="9"/>
              </w:rPr>
              <w:t>火焰原子吸收分光光度法》（</w:t>
            </w:r>
            <w:r>
              <w:rPr>
                <w:rFonts w:ascii="Times New Roman" w:hAnsi="Times New Roman" w:eastAsia="Times New Roman" w:cs="Times New Roman"/>
              </w:rPr>
              <w:t>HJ</w:t>
            </w:r>
          </w:p>
          <w:p w14:paraId="7A7D0A8D">
            <w:pPr>
              <w:pStyle w:val="6"/>
              <w:spacing w:before="65" w:line="231" w:lineRule="auto"/>
              <w:ind w:left="1461"/>
            </w:pPr>
            <w:r>
              <w:rPr>
                <w:rFonts w:ascii="Times New Roman" w:hAnsi="Times New Roman" w:eastAsia="Times New Roman" w:cs="Times New Roman"/>
                <w:spacing w:val="1"/>
              </w:rPr>
              <w:t>1082-2019</w:t>
            </w:r>
            <w:r>
              <w:rPr>
                <w:spacing w:val="1"/>
              </w:rPr>
              <w:t>）</w:t>
            </w:r>
          </w:p>
        </w:tc>
        <w:tc>
          <w:tcPr>
            <w:tcW w:w="716" w:type="dxa"/>
            <w:vAlign w:val="top"/>
          </w:tcPr>
          <w:p w14:paraId="0C7FA7B5">
            <w:pPr>
              <w:spacing w:line="344" w:lineRule="auto"/>
              <w:rPr>
                <w:rFonts w:ascii="Arial"/>
                <w:sz w:val="21"/>
              </w:rPr>
            </w:pPr>
          </w:p>
          <w:p w14:paraId="393496AE">
            <w:pPr>
              <w:spacing w:before="5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326" w:type="dxa"/>
            <w:vAlign w:val="top"/>
          </w:tcPr>
          <w:p w14:paraId="64FB973D">
            <w:pPr>
              <w:pStyle w:val="6"/>
              <w:spacing w:before="55" w:line="228" w:lineRule="auto"/>
              <w:ind w:left="149"/>
            </w:pPr>
            <w:r>
              <w:rPr>
                <w:spacing w:val="7"/>
              </w:rPr>
              <w:t>原子吸收分</w:t>
            </w:r>
          </w:p>
          <w:p w14:paraId="4353A93A">
            <w:pPr>
              <w:pStyle w:val="6"/>
              <w:spacing w:before="64" w:line="228" w:lineRule="auto"/>
              <w:ind w:left="252"/>
            </w:pPr>
            <w:r>
              <w:rPr>
                <w:spacing w:val="6"/>
              </w:rPr>
              <w:t>光光度计</w:t>
            </w:r>
          </w:p>
          <w:p w14:paraId="50925F5C">
            <w:pPr>
              <w:spacing w:before="97"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1165" w:type="dxa"/>
            <w:vAlign w:val="top"/>
          </w:tcPr>
          <w:p w14:paraId="5B486084">
            <w:pPr>
              <w:spacing w:before="24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-020-</w:t>
            </w:r>
          </w:p>
          <w:p w14:paraId="02BB3ACF">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442E7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47" w:type="dxa"/>
            <w:vAlign w:val="top"/>
          </w:tcPr>
          <w:p w14:paraId="657B9D77">
            <w:pPr>
              <w:spacing w:line="344" w:lineRule="auto"/>
              <w:rPr>
                <w:rFonts w:ascii="Arial"/>
                <w:sz w:val="21"/>
              </w:rPr>
            </w:pPr>
          </w:p>
          <w:p w14:paraId="2CBA6EEB">
            <w:pPr>
              <w:spacing w:before="5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90" w:type="dxa"/>
            <w:vAlign w:val="top"/>
          </w:tcPr>
          <w:p w14:paraId="7E87D603">
            <w:pPr>
              <w:spacing w:line="301" w:lineRule="auto"/>
              <w:rPr>
                <w:rFonts w:ascii="Arial"/>
                <w:sz w:val="21"/>
              </w:rPr>
            </w:pPr>
          </w:p>
          <w:p w14:paraId="3A7FD0A7">
            <w:pPr>
              <w:pStyle w:val="6"/>
              <w:spacing w:before="65" w:line="232" w:lineRule="auto"/>
              <w:ind w:left="493"/>
            </w:pPr>
            <w:r>
              <w:t>铅</w:t>
            </w:r>
          </w:p>
        </w:tc>
        <w:tc>
          <w:tcPr>
            <w:tcW w:w="3999" w:type="dxa"/>
            <w:vAlign w:val="top"/>
          </w:tcPr>
          <w:p w14:paraId="5DD0899C">
            <w:pPr>
              <w:pStyle w:val="6"/>
              <w:spacing w:before="56" w:line="228" w:lineRule="auto"/>
              <w:ind w:left="120"/>
            </w:pPr>
            <w:r>
              <w:rPr>
                <w:spacing w:val="9"/>
              </w:rPr>
              <w:t>《土壤和沉积物铜、锌、铅、镍、铬的测</w:t>
            </w:r>
          </w:p>
          <w:p w14:paraId="7ACDBF63">
            <w:pPr>
              <w:pStyle w:val="6"/>
              <w:spacing w:before="64" w:line="228" w:lineRule="auto"/>
              <w:ind w:left="424"/>
              <w:rPr>
                <w:rFonts w:ascii="Times New Roman" w:hAnsi="Times New Roman" w:eastAsia="Times New Roman" w:cs="Times New Roman"/>
              </w:rPr>
            </w:pPr>
            <w:r>
              <w:rPr>
                <w:spacing w:val="9"/>
              </w:rPr>
              <w:t>定火焰原子吸收分光光度法》（</w:t>
            </w:r>
            <w:r>
              <w:rPr>
                <w:rFonts w:ascii="Times New Roman" w:hAnsi="Times New Roman" w:eastAsia="Times New Roman" w:cs="Times New Roman"/>
              </w:rPr>
              <w:t>HJ</w:t>
            </w:r>
          </w:p>
          <w:p w14:paraId="480312ED">
            <w:pPr>
              <w:pStyle w:val="6"/>
              <w:spacing w:before="65" w:line="230" w:lineRule="auto"/>
              <w:ind w:left="1492"/>
            </w:pPr>
            <w:r>
              <w:rPr>
                <w:rFonts w:ascii="Times New Roman" w:hAnsi="Times New Roman" w:eastAsia="Times New Roman" w:cs="Times New Roman"/>
                <w:spacing w:val="3"/>
              </w:rPr>
              <w:t>491-2019</w:t>
            </w:r>
            <w:r>
              <w:rPr>
                <w:spacing w:val="3"/>
              </w:rPr>
              <w:t>）</w:t>
            </w:r>
          </w:p>
        </w:tc>
        <w:tc>
          <w:tcPr>
            <w:tcW w:w="716" w:type="dxa"/>
            <w:vAlign w:val="top"/>
          </w:tcPr>
          <w:p w14:paraId="4090B591">
            <w:pPr>
              <w:spacing w:line="344" w:lineRule="auto"/>
              <w:rPr>
                <w:rFonts w:ascii="Arial"/>
                <w:sz w:val="21"/>
              </w:rPr>
            </w:pPr>
          </w:p>
          <w:p w14:paraId="47B5D5DA">
            <w:pPr>
              <w:spacing w:before="5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26" w:type="dxa"/>
            <w:vAlign w:val="top"/>
          </w:tcPr>
          <w:p w14:paraId="09FC125C">
            <w:pPr>
              <w:pStyle w:val="6"/>
              <w:spacing w:before="56" w:line="228" w:lineRule="auto"/>
              <w:ind w:left="149"/>
            </w:pPr>
            <w:r>
              <w:rPr>
                <w:spacing w:val="7"/>
              </w:rPr>
              <w:t>原子吸收分</w:t>
            </w:r>
          </w:p>
          <w:p w14:paraId="5487AC41">
            <w:pPr>
              <w:pStyle w:val="6"/>
              <w:spacing w:before="64" w:line="228" w:lineRule="auto"/>
              <w:ind w:left="252"/>
            </w:pPr>
            <w:r>
              <w:rPr>
                <w:spacing w:val="6"/>
              </w:rPr>
              <w:t>光光度计</w:t>
            </w:r>
          </w:p>
          <w:p w14:paraId="111145F4">
            <w:pPr>
              <w:spacing w:before="97" w:line="199"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AA</w:t>
            </w:r>
            <w:r>
              <w:rPr>
                <w:rFonts w:ascii="Times New Roman" w:hAnsi="Times New Roman" w:eastAsia="Times New Roman" w:cs="Times New Roman"/>
                <w:spacing w:val="6"/>
                <w:sz w:val="20"/>
                <w:szCs w:val="20"/>
              </w:rPr>
              <w:t>-7020</w:t>
            </w:r>
          </w:p>
        </w:tc>
        <w:tc>
          <w:tcPr>
            <w:tcW w:w="1165" w:type="dxa"/>
            <w:vAlign w:val="top"/>
          </w:tcPr>
          <w:p w14:paraId="0CBA91AD">
            <w:pPr>
              <w:spacing w:before="24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-020-</w:t>
            </w:r>
          </w:p>
          <w:p w14:paraId="156AD4E0">
            <w:pPr>
              <w:spacing w:before="128" w:line="19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B</w:t>
            </w:r>
          </w:p>
        </w:tc>
      </w:tr>
      <w:tr w14:paraId="6BA9B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47" w:type="dxa"/>
            <w:vAlign w:val="top"/>
          </w:tcPr>
          <w:p w14:paraId="19C9E053">
            <w:pPr>
              <w:spacing w:before="24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90" w:type="dxa"/>
            <w:vAlign w:val="top"/>
          </w:tcPr>
          <w:p w14:paraId="5CCAC8B7">
            <w:pPr>
              <w:pStyle w:val="6"/>
              <w:spacing w:before="212" w:line="228" w:lineRule="auto"/>
              <w:ind w:left="283"/>
            </w:pPr>
            <w:r>
              <w:rPr>
                <w:spacing w:val="6"/>
              </w:rPr>
              <w:t>石油类</w:t>
            </w:r>
          </w:p>
        </w:tc>
        <w:tc>
          <w:tcPr>
            <w:tcW w:w="3999" w:type="dxa"/>
            <w:vAlign w:val="top"/>
          </w:tcPr>
          <w:p w14:paraId="10FAD072">
            <w:pPr>
              <w:pStyle w:val="6"/>
              <w:spacing w:before="56" w:line="227" w:lineRule="auto"/>
              <w:ind w:left="226"/>
            </w:pPr>
            <w:r>
              <w:rPr>
                <w:spacing w:val="8"/>
              </w:rPr>
              <w:t>《水质 石油类的测定 紫外分光光度法</w:t>
            </w:r>
          </w:p>
          <w:p w14:paraId="3397BBD0">
            <w:pPr>
              <w:pStyle w:val="6"/>
              <w:spacing w:before="66" w:line="224" w:lineRule="auto"/>
              <w:ind w:left="576"/>
            </w:pPr>
            <w:r>
              <w:rPr>
                <w:spacing w:val="5"/>
              </w:rPr>
              <w:t>（试行）》 （</w:t>
            </w:r>
            <w:r>
              <w:rPr>
                <w:rFonts w:ascii="Times New Roman" w:hAnsi="Times New Roman" w:eastAsia="Times New Roman" w:cs="Times New Roman"/>
              </w:rPr>
              <w:t>HJ</w:t>
            </w:r>
            <w:r>
              <w:rPr>
                <w:rFonts w:ascii="Times New Roman" w:hAnsi="Times New Roman" w:eastAsia="Times New Roman" w:cs="Times New Roman"/>
                <w:spacing w:val="11"/>
              </w:rPr>
              <w:t xml:space="preserve"> </w:t>
            </w:r>
            <w:r>
              <w:rPr>
                <w:rFonts w:ascii="Times New Roman" w:hAnsi="Times New Roman" w:eastAsia="Times New Roman" w:cs="Times New Roman"/>
                <w:spacing w:val="5"/>
              </w:rPr>
              <w:t>970 -</w:t>
            </w:r>
            <w:r>
              <w:rPr>
                <w:rFonts w:ascii="Times New Roman" w:hAnsi="Times New Roman" w:eastAsia="Times New Roman" w:cs="Times New Roman"/>
                <w:spacing w:val="7"/>
              </w:rPr>
              <w:t xml:space="preserve"> </w:t>
            </w:r>
            <w:r>
              <w:rPr>
                <w:rFonts w:ascii="Times New Roman" w:hAnsi="Times New Roman" w:eastAsia="Times New Roman" w:cs="Times New Roman"/>
                <w:spacing w:val="5"/>
              </w:rPr>
              <w:t>2018</w:t>
            </w:r>
            <w:r>
              <w:rPr>
                <w:rFonts w:ascii="Times New Roman" w:hAnsi="Times New Roman" w:eastAsia="Times New Roman" w:cs="Times New Roman"/>
                <w:spacing w:val="3"/>
              </w:rPr>
              <w:t xml:space="preserve">  </w:t>
            </w:r>
            <w:r>
              <w:rPr>
                <w:spacing w:val="5"/>
              </w:rPr>
              <w:t>）</w:t>
            </w:r>
          </w:p>
        </w:tc>
        <w:tc>
          <w:tcPr>
            <w:tcW w:w="716" w:type="dxa"/>
            <w:vAlign w:val="top"/>
          </w:tcPr>
          <w:p w14:paraId="72C9CF17">
            <w:pPr>
              <w:spacing w:before="9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37BAF68C">
            <w:pPr>
              <w:spacing w:before="121" w:line="201" w:lineRule="auto"/>
              <w:ind w:left="129"/>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326" w:type="dxa"/>
            <w:vAlign w:val="top"/>
          </w:tcPr>
          <w:p w14:paraId="6F1D55A4">
            <w:pPr>
              <w:pStyle w:val="6"/>
              <w:spacing w:before="56" w:line="262" w:lineRule="auto"/>
              <w:ind w:left="148" w:right="135" w:firstLine="1"/>
              <w:rPr>
                <w:rFonts w:ascii="Times New Roman" w:hAnsi="Times New Roman" w:eastAsia="Times New Roman" w:cs="Times New Roman"/>
              </w:rPr>
            </w:pPr>
            <w:r>
              <w:rPr>
                <w:spacing w:val="7"/>
              </w:rPr>
              <w:t>紫外分光光</w:t>
            </w:r>
            <w:r>
              <w:t xml:space="preserve"> </w:t>
            </w:r>
            <w:r>
              <w:rPr>
                <w:spacing w:val="3"/>
              </w:rPr>
              <w:t>度</w:t>
            </w:r>
            <w:r>
              <w:rPr>
                <w:rFonts w:ascii="Times New Roman" w:hAnsi="Times New Roman" w:eastAsia="Times New Roman" w:cs="Times New Roman"/>
                <w:spacing w:val="3"/>
              </w:rPr>
              <w:t>/</w:t>
            </w:r>
            <w:r>
              <w:rPr>
                <w:rFonts w:ascii="Times New Roman" w:hAnsi="Times New Roman" w:eastAsia="Times New Roman" w:cs="Times New Roman"/>
              </w:rPr>
              <w:t>UV</w:t>
            </w:r>
            <w:r>
              <w:rPr>
                <w:rFonts w:ascii="Times New Roman" w:hAnsi="Times New Roman" w:eastAsia="Times New Roman" w:cs="Times New Roman"/>
                <w:spacing w:val="3"/>
              </w:rPr>
              <w:t>-5100</w:t>
            </w:r>
          </w:p>
        </w:tc>
        <w:tc>
          <w:tcPr>
            <w:tcW w:w="1165" w:type="dxa"/>
            <w:vAlign w:val="top"/>
          </w:tcPr>
          <w:p w14:paraId="77FF42D7">
            <w:pPr>
              <w:spacing w:before="92" w:line="195" w:lineRule="auto"/>
              <w:ind w:left="13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8"/>
                <w:sz w:val="20"/>
                <w:szCs w:val="20"/>
              </w:rPr>
              <w:t>-021-</w:t>
            </w:r>
          </w:p>
          <w:p w14:paraId="592595E0">
            <w:pPr>
              <w:spacing w:before="12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r>
    </w:tbl>
    <w:p w14:paraId="0B532364">
      <w:pPr>
        <w:spacing w:before="115" w:line="218" w:lineRule="auto"/>
        <w:ind w:left="92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）评价结果</w:t>
      </w:r>
    </w:p>
    <w:p w14:paraId="5FA83A0B">
      <w:pPr>
        <w:spacing w:before="184" w:line="218" w:lineRule="auto"/>
        <w:ind w:left="908"/>
        <w:rPr>
          <w:rFonts w:ascii="宋体" w:hAnsi="宋体" w:eastAsia="宋体" w:cs="宋体"/>
          <w:sz w:val="24"/>
          <w:szCs w:val="24"/>
        </w:rPr>
      </w:pPr>
      <w:r>
        <w:rPr>
          <w:rFonts w:ascii="宋体" w:hAnsi="宋体" w:eastAsia="宋体" w:cs="宋体"/>
          <w:spacing w:val="-2"/>
          <w:sz w:val="24"/>
          <w:szCs w:val="24"/>
        </w:rPr>
        <w:t>包气带评价结果详见表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6.3-15</w:t>
      </w:r>
      <w:r>
        <w:rPr>
          <w:rFonts w:ascii="宋体" w:hAnsi="宋体" w:eastAsia="宋体" w:cs="宋体"/>
          <w:spacing w:val="-2"/>
          <w:sz w:val="24"/>
          <w:szCs w:val="24"/>
        </w:rPr>
        <w:t>。</w:t>
      </w:r>
    </w:p>
    <w:p w14:paraId="0EDB0AAF">
      <w:pPr>
        <w:spacing w:before="105" w:line="218" w:lineRule="auto"/>
        <w:ind w:left="298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6.3-15    </w:t>
      </w:r>
      <w:r>
        <w:rPr>
          <w:rFonts w:ascii="宋体" w:hAnsi="宋体" w:eastAsia="宋体" w:cs="宋体"/>
          <w:spacing w:val="-1"/>
          <w:sz w:val="24"/>
          <w:szCs w:val="24"/>
        </w:rPr>
        <w:t>包气带评价结果一览表</w:t>
      </w:r>
    </w:p>
    <w:p w14:paraId="3142AA60">
      <w:pPr>
        <w:spacing w:line="147" w:lineRule="exact"/>
      </w:pPr>
    </w:p>
    <w:tbl>
      <w:tblPr>
        <w:tblStyle w:val="5"/>
        <w:tblW w:w="8532" w:type="dxa"/>
        <w:tblInd w:w="3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1097"/>
        <w:gridCol w:w="650"/>
        <w:gridCol w:w="1014"/>
        <w:gridCol w:w="1014"/>
        <w:gridCol w:w="1097"/>
        <w:gridCol w:w="935"/>
        <w:gridCol w:w="1133"/>
        <w:gridCol w:w="1053"/>
      </w:tblGrid>
      <w:tr w14:paraId="000E2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39" w:type="dxa"/>
            <w:vMerge w:val="restart"/>
            <w:tcBorders>
              <w:bottom w:val="nil"/>
            </w:tcBorders>
            <w:textDirection w:val="tbRlV"/>
            <w:vAlign w:val="top"/>
          </w:tcPr>
          <w:p w14:paraId="6E5636C5">
            <w:pPr>
              <w:pStyle w:val="6"/>
              <w:spacing w:before="169" w:line="218" w:lineRule="auto"/>
              <w:ind w:left="384"/>
              <w:rPr>
                <w:sz w:val="19"/>
                <w:szCs w:val="19"/>
              </w:rPr>
            </w:pPr>
            <w:r>
              <w:rPr>
                <w:spacing w:val="8"/>
                <w:sz w:val="19"/>
                <w:szCs w:val="19"/>
              </w:rPr>
              <w:t>序</w:t>
            </w:r>
            <w:r>
              <w:rPr>
                <w:spacing w:val="18"/>
                <w:sz w:val="19"/>
                <w:szCs w:val="19"/>
              </w:rPr>
              <w:t xml:space="preserve"> </w:t>
            </w:r>
            <w:r>
              <w:rPr>
                <w:spacing w:val="8"/>
                <w:sz w:val="19"/>
                <w:szCs w:val="19"/>
              </w:rPr>
              <w:t>号</w:t>
            </w:r>
          </w:p>
        </w:tc>
        <w:tc>
          <w:tcPr>
            <w:tcW w:w="1097" w:type="dxa"/>
            <w:vMerge w:val="restart"/>
            <w:tcBorders>
              <w:bottom w:val="nil"/>
            </w:tcBorders>
            <w:vAlign w:val="top"/>
          </w:tcPr>
          <w:p w14:paraId="0B37FD37">
            <w:pPr>
              <w:spacing w:line="475" w:lineRule="auto"/>
              <w:rPr>
                <w:rFonts w:ascii="Arial"/>
                <w:sz w:val="21"/>
              </w:rPr>
            </w:pPr>
          </w:p>
          <w:p w14:paraId="4718AB85">
            <w:pPr>
              <w:pStyle w:val="6"/>
              <w:spacing w:before="62" w:line="228" w:lineRule="auto"/>
              <w:ind w:left="150"/>
              <w:rPr>
                <w:sz w:val="19"/>
                <w:szCs w:val="19"/>
              </w:rPr>
            </w:pPr>
            <w:r>
              <w:rPr>
                <w:spacing w:val="7"/>
                <w:sz w:val="19"/>
                <w:szCs w:val="19"/>
              </w:rPr>
              <w:t>检测项目</w:t>
            </w:r>
          </w:p>
        </w:tc>
        <w:tc>
          <w:tcPr>
            <w:tcW w:w="650" w:type="dxa"/>
            <w:vMerge w:val="restart"/>
            <w:tcBorders>
              <w:bottom w:val="nil"/>
            </w:tcBorders>
            <w:vAlign w:val="top"/>
          </w:tcPr>
          <w:p w14:paraId="04A29199">
            <w:pPr>
              <w:spacing w:line="475" w:lineRule="auto"/>
              <w:rPr>
                <w:rFonts w:ascii="Arial"/>
                <w:sz w:val="21"/>
              </w:rPr>
            </w:pPr>
          </w:p>
          <w:p w14:paraId="4676494A">
            <w:pPr>
              <w:pStyle w:val="6"/>
              <w:spacing w:before="61" w:line="229" w:lineRule="auto"/>
              <w:ind w:left="130"/>
              <w:rPr>
                <w:sz w:val="19"/>
                <w:szCs w:val="19"/>
              </w:rPr>
            </w:pPr>
            <w:r>
              <w:rPr>
                <w:spacing w:val="4"/>
                <w:sz w:val="19"/>
                <w:szCs w:val="19"/>
              </w:rPr>
              <w:t>单位</w:t>
            </w:r>
          </w:p>
        </w:tc>
        <w:tc>
          <w:tcPr>
            <w:tcW w:w="2028" w:type="dxa"/>
            <w:gridSpan w:val="2"/>
            <w:vAlign w:val="top"/>
          </w:tcPr>
          <w:p w14:paraId="7A272120">
            <w:pPr>
              <w:pStyle w:val="6"/>
              <w:spacing w:before="60" w:line="228" w:lineRule="auto"/>
              <w:ind w:left="358"/>
              <w:rPr>
                <w:sz w:val="19"/>
                <w:szCs w:val="19"/>
              </w:rPr>
            </w:pPr>
            <w:r>
              <w:rPr>
                <w:rFonts w:ascii="Times New Roman" w:hAnsi="Times New Roman" w:eastAsia="Times New Roman" w:cs="Times New Roman"/>
                <w:spacing w:val="2"/>
                <w:sz w:val="19"/>
                <w:szCs w:val="19"/>
              </w:rPr>
              <w:t>1</w:t>
            </w:r>
            <w:r>
              <w:rPr>
                <w:rFonts w:ascii="Times New Roman" w:hAnsi="Times New Roman" w:eastAsia="Times New Roman" w:cs="Times New Roman"/>
                <w:spacing w:val="18"/>
                <w:w w:val="101"/>
                <w:sz w:val="19"/>
                <w:szCs w:val="19"/>
              </w:rPr>
              <w:t xml:space="preserve"> </w:t>
            </w:r>
            <w:r>
              <w:rPr>
                <w:spacing w:val="2"/>
                <w:sz w:val="19"/>
                <w:szCs w:val="19"/>
              </w:rPr>
              <w:t>号（背景值）</w:t>
            </w:r>
          </w:p>
        </w:tc>
        <w:tc>
          <w:tcPr>
            <w:tcW w:w="4218" w:type="dxa"/>
            <w:gridSpan w:val="4"/>
            <w:vAlign w:val="top"/>
          </w:tcPr>
          <w:p w14:paraId="28BD72FD">
            <w:pPr>
              <w:pStyle w:val="6"/>
              <w:spacing w:before="59" w:line="230" w:lineRule="auto"/>
              <w:ind w:left="1935"/>
              <w:rPr>
                <w:sz w:val="19"/>
                <w:szCs w:val="19"/>
              </w:rPr>
            </w:pPr>
            <w:r>
              <w:rPr>
                <w:rFonts w:ascii="Times New Roman" w:hAnsi="Times New Roman" w:eastAsia="Times New Roman" w:cs="Times New Roman"/>
                <w:sz w:val="19"/>
                <w:szCs w:val="19"/>
              </w:rPr>
              <w:t>2</w:t>
            </w:r>
            <w:r>
              <w:rPr>
                <w:rFonts w:ascii="Times New Roman" w:hAnsi="Times New Roman" w:eastAsia="Times New Roman" w:cs="Times New Roman"/>
                <w:spacing w:val="14"/>
                <w:sz w:val="19"/>
                <w:szCs w:val="19"/>
              </w:rPr>
              <w:t xml:space="preserve"> </w:t>
            </w:r>
            <w:r>
              <w:rPr>
                <w:sz w:val="19"/>
                <w:szCs w:val="19"/>
              </w:rPr>
              <w:t>号</w:t>
            </w:r>
          </w:p>
        </w:tc>
      </w:tr>
      <w:tr w14:paraId="39AA8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Merge w:val="continue"/>
            <w:tcBorders>
              <w:top w:val="nil"/>
              <w:bottom w:val="nil"/>
            </w:tcBorders>
            <w:textDirection w:val="tbRlV"/>
            <w:vAlign w:val="top"/>
          </w:tcPr>
          <w:p w14:paraId="68F472F1">
            <w:pPr>
              <w:rPr>
                <w:rFonts w:ascii="Arial"/>
                <w:sz w:val="21"/>
              </w:rPr>
            </w:pPr>
          </w:p>
        </w:tc>
        <w:tc>
          <w:tcPr>
            <w:tcW w:w="1097" w:type="dxa"/>
            <w:vMerge w:val="continue"/>
            <w:tcBorders>
              <w:top w:val="nil"/>
              <w:bottom w:val="nil"/>
            </w:tcBorders>
            <w:vAlign w:val="top"/>
          </w:tcPr>
          <w:p w14:paraId="2551FACE">
            <w:pPr>
              <w:rPr>
                <w:rFonts w:ascii="Arial"/>
                <w:sz w:val="21"/>
              </w:rPr>
            </w:pPr>
          </w:p>
        </w:tc>
        <w:tc>
          <w:tcPr>
            <w:tcW w:w="650" w:type="dxa"/>
            <w:vMerge w:val="continue"/>
            <w:tcBorders>
              <w:top w:val="nil"/>
              <w:bottom w:val="nil"/>
            </w:tcBorders>
            <w:vAlign w:val="top"/>
          </w:tcPr>
          <w:p w14:paraId="49A4873F">
            <w:pPr>
              <w:rPr>
                <w:rFonts w:ascii="Arial"/>
                <w:sz w:val="21"/>
              </w:rPr>
            </w:pPr>
          </w:p>
        </w:tc>
        <w:tc>
          <w:tcPr>
            <w:tcW w:w="1014" w:type="dxa"/>
            <w:vMerge w:val="restart"/>
            <w:tcBorders>
              <w:bottom w:val="nil"/>
            </w:tcBorders>
            <w:vAlign w:val="top"/>
          </w:tcPr>
          <w:p w14:paraId="2F7A7CA6">
            <w:pPr>
              <w:spacing w:line="352" w:lineRule="auto"/>
              <w:rPr>
                <w:rFonts w:ascii="Arial"/>
                <w:sz w:val="21"/>
              </w:rPr>
            </w:pPr>
          </w:p>
          <w:p w14:paraId="13642B04">
            <w:pPr>
              <w:spacing w:before="55" w:line="195" w:lineRule="auto"/>
              <w:ind w:left="205"/>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0-20</w:t>
            </w:r>
            <w:r>
              <w:rPr>
                <w:rFonts w:ascii="Times New Roman" w:hAnsi="Times New Roman" w:eastAsia="Times New Roman" w:cs="Times New Roman"/>
                <w:sz w:val="19"/>
                <w:szCs w:val="19"/>
              </w:rPr>
              <w:t>cm</w:t>
            </w:r>
          </w:p>
        </w:tc>
        <w:tc>
          <w:tcPr>
            <w:tcW w:w="1014" w:type="dxa"/>
            <w:vMerge w:val="restart"/>
            <w:tcBorders>
              <w:bottom w:val="nil"/>
            </w:tcBorders>
            <w:vAlign w:val="top"/>
          </w:tcPr>
          <w:p w14:paraId="761DE011">
            <w:pPr>
              <w:spacing w:line="352" w:lineRule="auto"/>
              <w:rPr>
                <w:rFonts w:ascii="Arial"/>
                <w:sz w:val="21"/>
              </w:rPr>
            </w:pPr>
          </w:p>
          <w:p w14:paraId="71C75805">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20-80</w:t>
            </w:r>
            <w:r>
              <w:rPr>
                <w:rFonts w:ascii="Times New Roman" w:hAnsi="Times New Roman" w:eastAsia="Times New Roman" w:cs="Times New Roman"/>
                <w:sz w:val="19"/>
                <w:szCs w:val="19"/>
              </w:rPr>
              <w:t>cm</w:t>
            </w:r>
          </w:p>
        </w:tc>
        <w:tc>
          <w:tcPr>
            <w:tcW w:w="2032" w:type="dxa"/>
            <w:gridSpan w:val="2"/>
            <w:vAlign w:val="top"/>
          </w:tcPr>
          <w:p w14:paraId="275044D8">
            <w:pPr>
              <w:spacing w:before="92" w:line="195" w:lineRule="auto"/>
              <w:ind w:left="716"/>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0-20</w:t>
            </w:r>
            <w:r>
              <w:rPr>
                <w:rFonts w:ascii="Times New Roman" w:hAnsi="Times New Roman" w:eastAsia="Times New Roman" w:cs="Times New Roman"/>
                <w:sz w:val="19"/>
                <w:szCs w:val="19"/>
              </w:rPr>
              <w:t>cm</w:t>
            </w:r>
          </w:p>
        </w:tc>
        <w:tc>
          <w:tcPr>
            <w:tcW w:w="2186" w:type="dxa"/>
            <w:gridSpan w:val="2"/>
            <w:vAlign w:val="top"/>
          </w:tcPr>
          <w:p w14:paraId="1C199345">
            <w:pPr>
              <w:spacing w:before="92" w:line="195" w:lineRule="auto"/>
              <w:ind w:left="738"/>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20-80</w:t>
            </w:r>
            <w:r>
              <w:rPr>
                <w:rFonts w:ascii="Times New Roman" w:hAnsi="Times New Roman" w:eastAsia="Times New Roman" w:cs="Times New Roman"/>
                <w:sz w:val="19"/>
                <w:szCs w:val="19"/>
              </w:rPr>
              <w:t>cm</w:t>
            </w:r>
          </w:p>
        </w:tc>
      </w:tr>
      <w:tr w14:paraId="0AF6B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9" w:type="dxa"/>
            <w:vMerge w:val="continue"/>
            <w:tcBorders>
              <w:top w:val="nil"/>
            </w:tcBorders>
            <w:textDirection w:val="tbRlV"/>
            <w:vAlign w:val="top"/>
          </w:tcPr>
          <w:p w14:paraId="7FBB9E7E">
            <w:pPr>
              <w:rPr>
                <w:rFonts w:ascii="Arial"/>
                <w:sz w:val="21"/>
              </w:rPr>
            </w:pPr>
          </w:p>
        </w:tc>
        <w:tc>
          <w:tcPr>
            <w:tcW w:w="1097" w:type="dxa"/>
            <w:vMerge w:val="continue"/>
            <w:tcBorders>
              <w:top w:val="nil"/>
            </w:tcBorders>
            <w:vAlign w:val="top"/>
          </w:tcPr>
          <w:p w14:paraId="065A7B4B">
            <w:pPr>
              <w:rPr>
                <w:rFonts w:ascii="Arial"/>
                <w:sz w:val="21"/>
              </w:rPr>
            </w:pPr>
          </w:p>
        </w:tc>
        <w:tc>
          <w:tcPr>
            <w:tcW w:w="650" w:type="dxa"/>
            <w:vMerge w:val="continue"/>
            <w:tcBorders>
              <w:top w:val="nil"/>
            </w:tcBorders>
            <w:vAlign w:val="top"/>
          </w:tcPr>
          <w:p w14:paraId="780C2C02">
            <w:pPr>
              <w:rPr>
                <w:rFonts w:ascii="Arial"/>
                <w:sz w:val="21"/>
              </w:rPr>
            </w:pPr>
          </w:p>
        </w:tc>
        <w:tc>
          <w:tcPr>
            <w:tcW w:w="1014" w:type="dxa"/>
            <w:vMerge w:val="continue"/>
            <w:tcBorders>
              <w:top w:val="nil"/>
            </w:tcBorders>
            <w:vAlign w:val="top"/>
          </w:tcPr>
          <w:p w14:paraId="532F8E94">
            <w:pPr>
              <w:rPr>
                <w:rFonts w:ascii="Arial"/>
                <w:sz w:val="21"/>
              </w:rPr>
            </w:pPr>
          </w:p>
        </w:tc>
        <w:tc>
          <w:tcPr>
            <w:tcW w:w="1014" w:type="dxa"/>
            <w:vMerge w:val="continue"/>
            <w:tcBorders>
              <w:top w:val="nil"/>
            </w:tcBorders>
            <w:vAlign w:val="top"/>
          </w:tcPr>
          <w:p w14:paraId="21CC194B">
            <w:pPr>
              <w:rPr>
                <w:rFonts w:ascii="Arial"/>
                <w:sz w:val="21"/>
              </w:rPr>
            </w:pPr>
          </w:p>
        </w:tc>
        <w:tc>
          <w:tcPr>
            <w:tcW w:w="1097" w:type="dxa"/>
            <w:vAlign w:val="top"/>
          </w:tcPr>
          <w:p w14:paraId="4190AD12">
            <w:pPr>
              <w:pStyle w:val="6"/>
              <w:spacing w:before="214" w:line="224" w:lineRule="auto"/>
              <w:ind w:left="258"/>
              <w:rPr>
                <w:sz w:val="19"/>
                <w:szCs w:val="19"/>
              </w:rPr>
            </w:pPr>
            <w:r>
              <w:rPr>
                <w:spacing w:val="5"/>
                <w:sz w:val="19"/>
                <w:szCs w:val="19"/>
              </w:rPr>
              <w:t>实测值</w:t>
            </w:r>
          </w:p>
        </w:tc>
        <w:tc>
          <w:tcPr>
            <w:tcW w:w="935" w:type="dxa"/>
            <w:vAlign w:val="top"/>
          </w:tcPr>
          <w:p w14:paraId="320C7318">
            <w:pPr>
              <w:pStyle w:val="6"/>
              <w:spacing w:before="57" w:line="229" w:lineRule="auto"/>
              <w:ind w:left="173"/>
              <w:rPr>
                <w:sz w:val="19"/>
                <w:szCs w:val="19"/>
              </w:rPr>
            </w:pPr>
            <w:r>
              <w:rPr>
                <w:spacing w:val="7"/>
                <w:sz w:val="19"/>
                <w:szCs w:val="19"/>
              </w:rPr>
              <w:t>标准指</w:t>
            </w:r>
          </w:p>
          <w:p w14:paraId="6E81E41D">
            <w:pPr>
              <w:pStyle w:val="6"/>
              <w:spacing w:before="76" w:line="228" w:lineRule="auto"/>
              <w:ind w:left="375"/>
              <w:rPr>
                <w:sz w:val="19"/>
                <w:szCs w:val="19"/>
              </w:rPr>
            </w:pPr>
            <w:r>
              <w:rPr>
                <w:sz w:val="19"/>
                <w:szCs w:val="19"/>
              </w:rPr>
              <w:t>数</w:t>
            </w:r>
          </w:p>
        </w:tc>
        <w:tc>
          <w:tcPr>
            <w:tcW w:w="1133" w:type="dxa"/>
            <w:vAlign w:val="top"/>
          </w:tcPr>
          <w:p w14:paraId="79E132BA">
            <w:pPr>
              <w:pStyle w:val="6"/>
              <w:spacing w:before="214" w:line="224" w:lineRule="auto"/>
              <w:ind w:left="278"/>
              <w:rPr>
                <w:sz w:val="19"/>
                <w:szCs w:val="19"/>
              </w:rPr>
            </w:pPr>
            <w:r>
              <w:rPr>
                <w:spacing w:val="5"/>
                <w:sz w:val="19"/>
                <w:szCs w:val="19"/>
              </w:rPr>
              <w:t>实测值</w:t>
            </w:r>
          </w:p>
        </w:tc>
        <w:tc>
          <w:tcPr>
            <w:tcW w:w="1053" w:type="dxa"/>
            <w:vAlign w:val="top"/>
          </w:tcPr>
          <w:p w14:paraId="3D98D531">
            <w:pPr>
              <w:pStyle w:val="6"/>
              <w:spacing w:before="213" w:line="228" w:lineRule="auto"/>
              <w:ind w:left="133"/>
              <w:rPr>
                <w:sz w:val="19"/>
                <w:szCs w:val="19"/>
              </w:rPr>
            </w:pPr>
            <w:r>
              <w:rPr>
                <w:spacing w:val="7"/>
                <w:sz w:val="19"/>
                <w:szCs w:val="19"/>
              </w:rPr>
              <w:t>标准指数</w:t>
            </w:r>
          </w:p>
        </w:tc>
      </w:tr>
      <w:tr w14:paraId="3D490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9" w:type="dxa"/>
            <w:vAlign w:val="top"/>
          </w:tcPr>
          <w:p w14:paraId="2AAB7C3A">
            <w:pPr>
              <w:spacing w:before="248" w:line="195" w:lineRule="auto"/>
              <w:ind w:left="239"/>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097" w:type="dxa"/>
            <w:vAlign w:val="top"/>
          </w:tcPr>
          <w:p w14:paraId="6FFA6415">
            <w:pPr>
              <w:spacing w:before="251" w:line="194" w:lineRule="auto"/>
              <w:ind w:left="421"/>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pH</w:t>
            </w:r>
          </w:p>
        </w:tc>
        <w:tc>
          <w:tcPr>
            <w:tcW w:w="650" w:type="dxa"/>
            <w:vAlign w:val="top"/>
          </w:tcPr>
          <w:p w14:paraId="6E54A188">
            <w:pPr>
              <w:pStyle w:val="6"/>
              <w:spacing w:before="58" w:line="272" w:lineRule="auto"/>
              <w:ind w:left="229" w:right="125" w:hanging="99"/>
              <w:rPr>
                <w:sz w:val="19"/>
                <w:szCs w:val="19"/>
              </w:rPr>
            </w:pPr>
            <w:r>
              <w:rPr>
                <w:spacing w:val="4"/>
                <w:sz w:val="19"/>
                <w:szCs w:val="19"/>
              </w:rPr>
              <w:t>无量</w:t>
            </w:r>
            <w:r>
              <w:rPr>
                <w:sz w:val="19"/>
                <w:szCs w:val="19"/>
              </w:rPr>
              <w:t xml:space="preserve"> 纲</w:t>
            </w:r>
          </w:p>
        </w:tc>
        <w:tc>
          <w:tcPr>
            <w:tcW w:w="1014" w:type="dxa"/>
            <w:vAlign w:val="top"/>
          </w:tcPr>
          <w:p w14:paraId="1DA861C5">
            <w:pPr>
              <w:spacing w:before="248" w:line="195" w:lineRule="auto"/>
              <w:ind w:left="33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7.63</w:t>
            </w:r>
          </w:p>
        </w:tc>
        <w:tc>
          <w:tcPr>
            <w:tcW w:w="1014" w:type="dxa"/>
            <w:vAlign w:val="top"/>
          </w:tcPr>
          <w:p w14:paraId="6BA7F5F9">
            <w:pPr>
              <w:spacing w:before="248" w:line="195" w:lineRule="auto"/>
              <w:ind w:left="38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7.6</w:t>
            </w:r>
          </w:p>
        </w:tc>
        <w:tc>
          <w:tcPr>
            <w:tcW w:w="1097" w:type="dxa"/>
            <w:vAlign w:val="top"/>
          </w:tcPr>
          <w:p w14:paraId="3DE3806F">
            <w:pPr>
              <w:spacing w:before="248" w:line="195" w:lineRule="auto"/>
              <w:ind w:left="37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7.58</w:t>
            </w:r>
          </w:p>
        </w:tc>
        <w:tc>
          <w:tcPr>
            <w:tcW w:w="935" w:type="dxa"/>
            <w:vAlign w:val="top"/>
          </w:tcPr>
          <w:p w14:paraId="0C7497D6">
            <w:pPr>
              <w:spacing w:before="248"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0.99</w:t>
            </w:r>
          </w:p>
        </w:tc>
        <w:tc>
          <w:tcPr>
            <w:tcW w:w="1133" w:type="dxa"/>
            <w:vAlign w:val="top"/>
          </w:tcPr>
          <w:p w14:paraId="715A8F45">
            <w:pPr>
              <w:spacing w:before="248" w:line="195"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7.63</w:t>
            </w:r>
          </w:p>
        </w:tc>
        <w:tc>
          <w:tcPr>
            <w:tcW w:w="1053" w:type="dxa"/>
            <w:vAlign w:val="top"/>
          </w:tcPr>
          <w:p w14:paraId="708A69A2">
            <w:pPr>
              <w:spacing w:before="248" w:line="195" w:lineRule="auto"/>
              <w:ind w:left="37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1.00</w:t>
            </w:r>
          </w:p>
        </w:tc>
      </w:tr>
      <w:tr w14:paraId="779A8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29E0A2F9">
            <w:pPr>
              <w:spacing w:before="93" w:line="195" w:lineRule="auto"/>
              <w:ind w:left="22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097" w:type="dxa"/>
            <w:vAlign w:val="top"/>
          </w:tcPr>
          <w:p w14:paraId="7CA7592B">
            <w:pPr>
              <w:pStyle w:val="6"/>
              <w:spacing w:before="58" w:line="229" w:lineRule="auto"/>
              <w:ind w:left="449"/>
              <w:rPr>
                <w:sz w:val="19"/>
                <w:szCs w:val="19"/>
              </w:rPr>
            </w:pPr>
            <w:r>
              <w:rPr>
                <w:spacing w:val="2"/>
                <w:sz w:val="19"/>
                <w:szCs w:val="19"/>
              </w:rPr>
              <w:t>锌</w:t>
            </w:r>
          </w:p>
        </w:tc>
        <w:tc>
          <w:tcPr>
            <w:tcW w:w="650" w:type="dxa"/>
            <w:vAlign w:val="top"/>
          </w:tcPr>
          <w:p w14:paraId="515BEFCA">
            <w:pPr>
              <w:spacing w:before="89"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4D7D433B">
            <w:pPr>
              <w:spacing w:before="93"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0.05L</w:t>
            </w:r>
          </w:p>
        </w:tc>
        <w:tc>
          <w:tcPr>
            <w:tcW w:w="1014" w:type="dxa"/>
            <w:vAlign w:val="top"/>
          </w:tcPr>
          <w:p w14:paraId="7D5B7C71">
            <w:pPr>
              <w:spacing w:before="93" w:line="195" w:lineRule="auto"/>
              <w:ind w:left="27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0.05L</w:t>
            </w:r>
          </w:p>
        </w:tc>
        <w:tc>
          <w:tcPr>
            <w:tcW w:w="1097" w:type="dxa"/>
            <w:vAlign w:val="top"/>
          </w:tcPr>
          <w:p w14:paraId="3054B930">
            <w:pPr>
              <w:spacing w:before="93" w:line="195" w:lineRule="auto"/>
              <w:ind w:left="31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0.05L</w:t>
            </w:r>
          </w:p>
        </w:tc>
        <w:tc>
          <w:tcPr>
            <w:tcW w:w="935" w:type="dxa"/>
            <w:vAlign w:val="top"/>
          </w:tcPr>
          <w:p w14:paraId="5DB504EF">
            <w:pPr>
              <w:pStyle w:val="6"/>
              <w:spacing w:before="58" w:line="241" w:lineRule="auto"/>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vAlign w:val="top"/>
          </w:tcPr>
          <w:p w14:paraId="7C1BB2B3">
            <w:pPr>
              <w:spacing w:before="93" w:line="195" w:lineRule="auto"/>
              <w:ind w:left="33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0.05L</w:t>
            </w:r>
          </w:p>
        </w:tc>
        <w:tc>
          <w:tcPr>
            <w:tcW w:w="1053" w:type="dxa"/>
            <w:vAlign w:val="top"/>
          </w:tcPr>
          <w:p w14:paraId="48524C3F">
            <w:pPr>
              <w:pStyle w:val="6"/>
              <w:spacing w:before="58" w:line="241" w:lineRule="auto"/>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r w14:paraId="191DF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24B67244">
            <w:pPr>
              <w:spacing w:before="92" w:line="195" w:lineRule="auto"/>
              <w:ind w:left="224"/>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097" w:type="dxa"/>
            <w:vAlign w:val="top"/>
          </w:tcPr>
          <w:p w14:paraId="443C3260">
            <w:pPr>
              <w:pStyle w:val="6"/>
              <w:spacing w:before="58" w:line="224" w:lineRule="auto"/>
              <w:ind w:left="352"/>
              <w:rPr>
                <w:sz w:val="19"/>
                <w:szCs w:val="19"/>
              </w:rPr>
            </w:pPr>
            <w:r>
              <w:rPr>
                <w:spacing w:val="5"/>
                <w:sz w:val="19"/>
                <w:szCs w:val="19"/>
              </w:rPr>
              <w:t>氨氮</w:t>
            </w:r>
          </w:p>
        </w:tc>
        <w:tc>
          <w:tcPr>
            <w:tcW w:w="650" w:type="dxa"/>
            <w:vAlign w:val="top"/>
          </w:tcPr>
          <w:p w14:paraId="0194062C">
            <w:pPr>
              <w:spacing w:before="89"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51518A4E">
            <w:pPr>
              <w:spacing w:before="92" w:line="195" w:lineRule="auto"/>
              <w:ind w:left="28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0.296</w:t>
            </w:r>
          </w:p>
        </w:tc>
        <w:tc>
          <w:tcPr>
            <w:tcW w:w="1014" w:type="dxa"/>
            <w:vAlign w:val="top"/>
          </w:tcPr>
          <w:p w14:paraId="526242F3">
            <w:pPr>
              <w:spacing w:before="92" w:line="195" w:lineRule="auto"/>
              <w:ind w:left="28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0.311</w:t>
            </w:r>
          </w:p>
        </w:tc>
        <w:tc>
          <w:tcPr>
            <w:tcW w:w="1097" w:type="dxa"/>
            <w:vAlign w:val="top"/>
          </w:tcPr>
          <w:p w14:paraId="7586E2A6">
            <w:pPr>
              <w:spacing w:before="92" w:line="195" w:lineRule="auto"/>
              <w:ind w:left="32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0.267</w:t>
            </w:r>
          </w:p>
        </w:tc>
        <w:tc>
          <w:tcPr>
            <w:tcW w:w="935" w:type="dxa"/>
            <w:vAlign w:val="top"/>
          </w:tcPr>
          <w:p w14:paraId="3D02585E">
            <w:pPr>
              <w:spacing w:before="92"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0.90</w:t>
            </w:r>
          </w:p>
        </w:tc>
        <w:tc>
          <w:tcPr>
            <w:tcW w:w="1133" w:type="dxa"/>
            <w:vAlign w:val="top"/>
          </w:tcPr>
          <w:p w14:paraId="53DCA85F">
            <w:pPr>
              <w:spacing w:before="92" w:line="195" w:lineRule="auto"/>
              <w:ind w:left="34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0.275</w:t>
            </w:r>
          </w:p>
        </w:tc>
        <w:tc>
          <w:tcPr>
            <w:tcW w:w="1053" w:type="dxa"/>
            <w:vAlign w:val="top"/>
          </w:tcPr>
          <w:p w14:paraId="3CEA9CB6">
            <w:pPr>
              <w:spacing w:before="92" w:line="195" w:lineRule="auto"/>
              <w:ind w:left="35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0.88</w:t>
            </w:r>
          </w:p>
        </w:tc>
      </w:tr>
      <w:tr w14:paraId="2DD38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9" w:type="dxa"/>
            <w:vAlign w:val="top"/>
          </w:tcPr>
          <w:p w14:paraId="50EC6F02">
            <w:pPr>
              <w:spacing w:before="248"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1097" w:type="dxa"/>
            <w:vAlign w:val="top"/>
          </w:tcPr>
          <w:p w14:paraId="50AFD696">
            <w:pPr>
              <w:pStyle w:val="6"/>
              <w:spacing w:before="57" w:line="230" w:lineRule="auto"/>
              <w:ind w:left="152"/>
              <w:rPr>
                <w:sz w:val="19"/>
                <w:szCs w:val="19"/>
              </w:rPr>
            </w:pPr>
            <w:r>
              <w:rPr>
                <w:spacing w:val="7"/>
                <w:sz w:val="19"/>
                <w:szCs w:val="19"/>
              </w:rPr>
              <w:t>亚硝酸盐</w:t>
            </w:r>
          </w:p>
          <w:p w14:paraId="0837FD1C">
            <w:pPr>
              <w:pStyle w:val="6"/>
              <w:spacing w:before="76" w:line="224" w:lineRule="auto"/>
              <w:ind w:left="449"/>
              <w:rPr>
                <w:sz w:val="19"/>
                <w:szCs w:val="19"/>
              </w:rPr>
            </w:pPr>
            <w:r>
              <w:rPr>
                <w:spacing w:val="2"/>
                <w:sz w:val="19"/>
                <w:szCs w:val="19"/>
              </w:rPr>
              <w:t>氮</w:t>
            </w:r>
          </w:p>
        </w:tc>
        <w:tc>
          <w:tcPr>
            <w:tcW w:w="650" w:type="dxa"/>
            <w:vAlign w:val="top"/>
          </w:tcPr>
          <w:p w14:paraId="01863465">
            <w:pPr>
              <w:spacing w:before="244"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3D3384D9">
            <w:pPr>
              <w:spacing w:before="248" w:line="195" w:lineRule="auto"/>
              <w:ind w:left="28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0.009</w:t>
            </w:r>
          </w:p>
        </w:tc>
        <w:tc>
          <w:tcPr>
            <w:tcW w:w="1014" w:type="dxa"/>
            <w:vAlign w:val="top"/>
          </w:tcPr>
          <w:p w14:paraId="6B374D20">
            <w:pPr>
              <w:spacing w:before="248" w:line="195" w:lineRule="auto"/>
              <w:ind w:left="3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0.01</w:t>
            </w:r>
          </w:p>
        </w:tc>
        <w:tc>
          <w:tcPr>
            <w:tcW w:w="1097" w:type="dxa"/>
            <w:vAlign w:val="top"/>
          </w:tcPr>
          <w:p w14:paraId="5009FC4C">
            <w:pPr>
              <w:spacing w:before="248" w:line="195" w:lineRule="auto"/>
              <w:ind w:left="32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0.008</w:t>
            </w:r>
          </w:p>
        </w:tc>
        <w:tc>
          <w:tcPr>
            <w:tcW w:w="935" w:type="dxa"/>
            <w:vAlign w:val="top"/>
          </w:tcPr>
          <w:p w14:paraId="4447CD74">
            <w:pPr>
              <w:spacing w:before="248"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0.89</w:t>
            </w:r>
          </w:p>
        </w:tc>
        <w:tc>
          <w:tcPr>
            <w:tcW w:w="1133" w:type="dxa"/>
            <w:vAlign w:val="top"/>
          </w:tcPr>
          <w:p w14:paraId="63A38178">
            <w:pPr>
              <w:spacing w:before="248" w:line="195"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0.01</w:t>
            </w:r>
          </w:p>
        </w:tc>
        <w:tc>
          <w:tcPr>
            <w:tcW w:w="1053" w:type="dxa"/>
            <w:vAlign w:val="top"/>
          </w:tcPr>
          <w:p w14:paraId="0D5FBE11">
            <w:pPr>
              <w:spacing w:before="248" w:line="195" w:lineRule="auto"/>
              <w:ind w:left="37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1.00</w:t>
            </w:r>
          </w:p>
        </w:tc>
      </w:tr>
      <w:tr w14:paraId="0E8B5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225199EB">
            <w:pPr>
              <w:spacing w:before="98" w:line="192" w:lineRule="auto"/>
              <w:ind w:left="225"/>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1097" w:type="dxa"/>
            <w:vAlign w:val="top"/>
          </w:tcPr>
          <w:p w14:paraId="23648897">
            <w:pPr>
              <w:pStyle w:val="6"/>
              <w:spacing w:before="61" w:line="224" w:lineRule="auto"/>
              <w:ind w:left="152"/>
              <w:rPr>
                <w:sz w:val="19"/>
                <w:szCs w:val="19"/>
              </w:rPr>
            </w:pPr>
            <w:r>
              <w:rPr>
                <w:spacing w:val="7"/>
                <w:sz w:val="19"/>
                <w:szCs w:val="19"/>
              </w:rPr>
              <w:t>硝酸盐氮</w:t>
            </w:r>
          </w:p>
        </w:tc>
        <w:tc>
          <w:tcPr>
            <w:tcW w:w="650" w:type="dxa"/>
            <w:vAlign w:val="top"/>
          </w:tcPr>
          <w:p w14:paraId="5A08734A">
            <w:pPr>
              <w:spacing w:before="91"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54EA2083">
            <w:pPr>
              <w:spacing w:before="95" w:line="195" w:lineRule="auto"/>
              <w:ind w:left="35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12.3</w:t>
            </w:r>
          </w:p>
        </w:tc>
        <w:tc>
          <w:tcPr>
            <w:tcW w:w="1014" w:type="dxa"/>
            <w:vAlign w:val="top"/>
          </w:tcPr>
          <w:p w14:paraId="14FED0AD">
            <w:pPr>
              <w:spacing w:before="95" w:line="195" w:lineRule="auto"/>
              <w:ind w:left="35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14.4</w:t>
            </w:r>
          </w:p>
        </w:tc>
        <w:tc>
          <w:tcPr>
            <w:tcW w:w="1097" w:type="dxa"/>
            <w:vAlign w:val="top"/>
          </w:tcPr>
          <w:p w14:paraId="0037A729">
            <w:pPr>
              <w:spacing w:before="95" w:line="195" w:lineRule="auto"/>
              <w:ind w:left="384"/>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13.6</w:t>
            </w:r>
          </w:p>
        </w:tc>
        <w:tc>
          <w:tcPr>
            <w:tcW w:w="935" w:type="dxa"/>
            <w:vAlign w:val="top"/>
          </w:tcPr>
          <w:p w14:paraId="52B3DDC8">
            <w:pPr>
              <w:spacing w:before="95" w:line="195" w:lineRule="auto"/>
              <w:ind w:left="304"/>
              <w:rPr>
                <w:rFonts w:ascii="Times New Roman" w:hAnsi="Times New Roman" w:eastAsia="Times New Roman" w:cs="Times New Roman"/>
                <w:sz w:val="19"/>
                <w:szCs w:val="19"/>
              </w:rPr>
            </w:pPr>
            <w:r>
              <w:rPr>
                <w:rFonts w:ascii="Times New Roman" w:hAnsi="Times New Roman" w:eastAsia="Times New Roman" w:cs="Times New Roman"/>
                <w:b/>
                <w:bCs/>
                <w:sz w:val="19"/>
                <w:szCs w:val="19"/>
              </w:rPr>
              <w:t>1.11</w:t>
            </w:r>
          </w:p>
        </w:tc>
        <w:tc>
          <w:tcPr>
            <w:tcW w:w="1133" w:type="dxa"/>
            <w:vAlign w:val="top"/>
          </w:tcPr>
          <w:p w14:paraId="647E1EF2">
            <w:pPr>
              <w:spacing w:before="95" w:line="195" w:lineRule="auto"/>
              <w:ind w:left="41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14.2</w:t>
            </w:r>
          </w:p>
        </w:tc>
        <w:tc>
          <w:tcPr>
            <w:tcW w:w="1053" w:type="dxa"/>
            <w:vAlign w:val="top"/>
          </w:tcPr>
          <w:p w14:paraId="2BA2EE41">
            <w:pPr>
              <w:spacing w:before="95" w:line="195" w:lineRule="auto"/>
              <w:ind w:left="35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0.99</w:t>
            </w:r>
          </w:p>
        </w:tc>
      </w:tr>
      <w:tr w14:paraId="749E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181B6779">
            <w:pPr>
              <w:spacing w:before="95" w:line="195" w:lineRule="auto"/>
              <w:ind w:left="224"/>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1097" w:type="dxa"/>
            <w:vAlign w:val="top"/>
          </w:tcPr>
          <w:p w14:paraId="4BB64D4F">
            <w:pPr>
              <w:pStyle w:val="6"/>
              <w:spacing w:before="60" w:line="225" w:lineRule="auto"/>
              <w:ind w:left="252"/>
              <w:rPr>
                <w:sz w:val="19"/>
                <w:szCs w:val="19"/>
              </w:rPr>
            </w:pPr>
            <w:r>
              <w:rPr>
                <w:spacing w:val="7"/>
                <w:sz w:val="19"/>
                <w:szCs w:val="19"/>
              </w:rPr>
              <w:t>氟化物</w:t>
            </w:r>
          </w:p>
        </w:tc>
        <w:tc>
          <w:tcPr>
            <w:tcW w:w="650" w:type="dxa"/>
            <w:vAlign w:val="top"/>
          </w:tcPr>
          <w:p w14:paraId="6324521F">
            <w:pPr>
              <w:spacing w:before="91"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6FC9393B">
            <w:pPr>
              <w:spacing w:before="95" w:line="195" w:lineRule="auto"/>
              <w:ind w:left="33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0.67</w:t>
            </w:r>
          </w:p>
        </w:tc>
        <w:tc>
          <w:tcPr>
            <w:tcW w:w="1014" w:type="dxa"/>
            <w:vAlign w:val="top"/>
          </w:tcPr>
          <w:p w14:paraId="093A321D">
            <w:pPr>
              <w:spacing w:before="95" w:line="195" w:lineRule="auto"/>
              <w:ind w:left="33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0.73</w:t>
            </w:r>
          </w:p>
        </w:tc>
        <w:tc>
          <w:tcPr>
            <w:tcW w:w="1097" w:type="dxa"/>
            <w:vAlign w:val="top"/>
          </w:tcPr>
          <w:p w14:paraId="1D391A7C">
            <w:pPr>
              <w:spacing w:before="95" w:line="195" w:lineRule="auto"/>
              <w:ind w:left="37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0.66</w:t>
            </w:r>
          </w:p>
        </w:tc>
        <w:tc>
          <w:tcPr>
            <w:tcW w:w="935" w:type="dxa"/>
            <w:vAlign w:val="top"/>
          </w:tcPr>
          <w:p w14:paraId="7AC9554C">
            <w:pPr>
              <w:spacing w:before="95"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0.99</w:t>
            </w:r>
          </w:p>
        </w:tc>
        <w:tc>
          <w:tcPr>
            <w:tcW w:w="1133" w:type="dxa"/>
            <w:vAlign w:val="top"/>
          </w:tcPr>
          <w:p w14:paraId="4DC7E8A1">
            <w:pPr>
              <w:spacing w:before="95" w:line="195" w:lineRule="auto"/>
              <w:ind w:left="3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0.61</w:t>
            </w:r>
          </w:p>
        </w:tc>
        <w:tc>
          <w:tcPr>
            <w:tcW w:w="1053" w:type="dxa"/>
            <w:vAlign w:val="top"/>
          </w:tcPr>
          <w:p w14:paraId="1FB2A32C">
            <w:pPr>
              <w:spacing w:before="95" w:line="195" w:lineRule="auto"/>
              <w:ind w:left="35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0.84</w:t>
            </w:r>
          </w:p>
        </w:tc>
      </w:tr>
      <w:tr w14:paraId="5D641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39" w:type="dxa"/>
            <w:vAlign w:val="top"/>
          </w:tcPr>
          <w:p w14:paraId="2D9F30D2">
            <w:pPr>
              <w:spacing w:before="109" w:line="192" w:lineRule="auto"/>
              <w:ind w:left="223"/>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1097" w:type="dxa"/>
            <w:vAlign w:val="top"/>
          </w:tcPr>
          <w:p w14:paraId="224986AA">
            <w:pPr>
              <w:pStyle w:val="6"/>
              <w:spacing w:before="72" w:line="229" w:lineRule="auto"/>
              <w:ind w:left="451"/>
              <w:rPr>
                <w:sz w:val="19"/>
                <w:szCs w:val="19"/>
              </w:rPr>
            </w:pPr>
            <w:r>
              <w:rPr>
                <w:sz w:val="19"/>
                <w:szCs w:val="19"/>
              </w:rPr>
              <w:t>汞</w:t>
            </w:r>
          </w:p>
        </w:tc>
        <w:tc>
          <w:tcPr>
            <w:tcW w:w="650" w:type="dxa"/>
            <w:vAlign w:val="top"/>
          </w:tcPr>
          <w:p w14:paraId="054B4DEB">
            <w:pPr>
              <w:spacing w:before="103"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480D9DFB">
            <w:pPr>
              <w:spacing w:before="88" w:line="21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4.0×10</w:t>
            </w:r>
            <w:r>
              <w:rPr>
                <w:rFonts w:ascii="Times New Roman" w:hAnsi="Times New Roman" w:eastAsia="Times New Roman" w:cs="Times New Roman"/>
                <w:spacing w:val="4"/>
                <w:position w:val="6"/>
                <w:sz w:val="12"/>
                <w:szCs w:val="12"/>
              </w:rPr>
              <w:t>-5</w:t>
            </w:r>
            <w:r>
              <w:rPr>
                <w:rFonts w:ascii="Times New Roman" w:hAnsi="Times New Roman" w:eastAsia="Times New Roman" w:cs="Times New Roman"/>
                <w:spacing w:val="4"/>
                <w:sz w:val="19"/>
                <w:szCs w:val="19"/>
              </w:rPr>
              <w:t>L</w:t>
            </w:r>
          </w:p>
        </w:tc>
        <w:tc>
          <w:tcPr>
            <w:tcW w:w="1014" w:type="dxa"/>
            <w:vAlign w:val="top"/>
          </w:tcPr>
          <w:p w14:paraId="2064D662">
            <w:pPr>
              <w:spacing w:before="88" w:line="21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4.0×10</w:t>
            </w:r>
            <w:r>
              <w:rPr>
                <w:rFonts w:ascii="Times New Roman" w:hAnsi="Times New Roman" w:eastAsia="Times New Roman" w:cs="Times New Roman"/>
                <w:spacing w:val="4"/>
                <w:position w:val="6"/>
                <w:sz w:val="12"/>
                <w:szCs w:val="12"/>
              </w:rPr>
              <w:t>-5</w:t>
            </w:r>
            <w:r>
              <w:rPr>
                <w:rFonts w:ascii="Times New Roman" w:hAnsi="Times New Roman" w:eastAsia="Times New Roman" w:cs="Times New Roman"/>
                <w:spacing w:val="4"/>
                <w:sz w:val="19"/>
                <w:szCs w:val="19"/>
              </w:rPr>
              <w:t>L</w:t>
            </w:r>
          </w:p>
        </w:tc>
        <w:tc>
          <w:tcPr>
            <w:tcW w:w="1097" w:type="dxa"/>
            <w:vAlign w:val="top"/>
          </w:tcPr>
          <w:p w14:paraId="7D28599A">
            <w:pPr>
              <w:spacing w:before="88" w:line="21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4.0×10</w:t>
            </w:r>
            <w:r>
              <w:rPr>
                <w:rFonts w:ascii="Times New Roman" w:hAnsi="Times New Roman" w:eastAsia="Times New Roman" w:cs="Times New Roman"/>
                <w:spacing w:val="4"/>
                <w:position w:val="6"/>
                <w:sz w:val="12"/>
                <w:szCs w:val="12"/>
              </w:rPr>
              <w:t>-5</w:t>
            </w:r>
            <w:r>
              <w:rPr>
                <w:rFonts w:ascii="Times New Roman" w:hAnsi="Times New Roman" w:eastAsia="Times New Roman" w:cs="Times New Roman"/>
                <w:spacing w:val="4"/>
                <w:sz w:val="19"/>
                <w:szCs w:val="19"/>
              </w:rPr>
              <w:t>L</w:t>
            </w:r>
          </w:p>
        </w:tc>
        <w:tc>
          <w:tcPr>
            <w:tcW w:w="935" w:type="dxa"/>
            <w:vAlign w:val="top"/>
          </w:tcPr>
          <w:p w14:paraId="093627B2">
            <w:pPr>
              <w:pStyle w:val="6"/>
              <w:spacing w:before="72" w:line="254" w:lineRule="exact"/>
              <w:ind w:left="338"/>
              <w:rPr>
                <w:rFonts w:ascii="Times New Roman" w:hAnsi="Times New Roman" w:eastAsia="Times New Roman" w:cs="Times New Roman"/>
                <w:sz w:val="19"/>
                <w:szCs w:val="19"/>
              </w:rPr>
            </w:pPr>
            <w:r>
              <w:rPr>
                <w:spacing w:val="34"/>
                <w:w w:val="109"/>
                <w:position w:val="1"/>
                <w:sz w:val="19"/>
                <w:szCs w:val="19"/>
              </w:rPr>
              <w:t>&lt;</w:t>
            </w:r>
            <w:r>
              <w:rPr>
                <w:rFonts w:ascii="Times New Roman" w:hAnsi="Times New Roman" w:eastAsia="Times New Roman" w:cs="Times New Roman"/>
                <w:spacing w:val="34"/>
                <w:w w:val="109"/>
                <w:position w:val="1"/>
                <w:sz w:val="19"/>
                <w:szCs w:val="19"/>
              </w:rPr>
              <w:t>1</w:t>
            </w:r>
          </w:p>
        </w:tc>
        <w:tc>
          <w:tcPr>
            <w:tcW w:w="1133" w:type="dxa"/>
            <w:vAlign w:val="top"/>
          </w:tcPr>
          <w:p w14:paraId="5F473DA7">
            <w:pPr>
              <w:spacing w:before="88" w:line="215" w:lineRule="auto"/>
              <w:ind w:left="17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4.0×10</w:t>
            </w:r>
            <w:r>
              <w:rPr>
                <w:rFonts w:ascii="Times New Roman" w:hAnsi="Times New Roman" w:eastAsia="Times New Roman" w:cs="Times New Roman"/>
                <w:spacing w:val="4"/>
                <w:position w:val="6"/>
                <w:sz w:val="12"/>
                <w:szCs w:val="12"/>
              </w:rPr>
              <w:t>-5</w:t>
            </w:r>
            <w:r>
              <w:rPr>
                <w:rFonts w:ascii="Times New Roman" w:hAnsi="Times New Roman" w:eastAsia="Times New Roman" w:cs="Times New Roman"/>
                <w:spacing w:val="4"/>
                <w:sz w:val="19"/>
                <w:szCs w:val="19"/>
              </w:rPr>
              <w:t>L</w:t>
            </w:r>
          </w:p>
        </w:tc>
        <w:tc>
          <w:tcPr>
            <w:tcW w:w="1053" w:type="dxa"/>
            <w:vAlign w:val="top"/>
          </w:tcPr>
          <w:p w14:paraId="382CA699">
            <w:pPr>
              <w:pStyle w:val="6"/>
              <w:spacing w:before="72" w:line="254" w:lineRule="exact"/>
              <w:ind w:left="396"/>
              <w:rPr>
                <w:rFonts w:ascii="Times New Roman" w:hAnsi="Times New Roman" w:eastAsia="Times New Roman" w:cs="Times New Roman"/>
                <w:sz w:val="19"/>
                <w:szCs w:val="19"/>
              </w:rPr>
            </w:pPr>
            <w:r>
              <w:rPr>
                <w:spacing w:val="34"/>
                <w:w w:val="109"/>
                <w:position w:val="1"/>
                <w:sz w:val="19"/>
                <w:szCs w:val="19"/>
              </w:rPr>
              <w:t>&lt;</w:t>
            </w:r>
            <w:r>
              <w:rPr>
                <w:rFonts w:ascii="Times New Roman" w:hAnsi="Times New Roman" w:eastAsia="Times New Roman" w:cs="Times New Roman"/>
                <w:spacing w:val="34"/>
                <w:w w:val="109"/>
                <w:position w:val="1"/>
                <w:sz w:val="19"/>
                <w:szCs w:val="19"/>
              </w:rPr>
              <w:t>1</w:t>
            </w:r>
          </w:p>
        </w:tc>
      </w:tr>
      <w:tr w14:paraId="5B5D9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39" w:type="dxa"/>
            <w:vAlign w:val="top"/>
          </w:tcPr>
          <w:p w14:paraId="58CC95B3">
            <w:pPr>
              <w:spacing w:before="107" w:line="195" w:lineRule="auto"/>
              <w:ind w:left="228"/>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1097" w:type="dxa"/>
            <w:vAlign w:val="top"/>
          </w:tcPr>
          <w:p w14:paraId="4FD882AB">
            <w:pPr>
              <w:pStyle w:val="6"/>
              <w:spacing w:before="72" w:line="229" w:lineRule="auto"/>
              <w:ind w:left="449"/>
              <w:rPr>
                <w:sz w:val="19"/>
                <w:szCs w:val="19"/>
              </w:rPr>
            </w:pPr>
            <w:r>
              <w:rPr>
                <w:spacing w:val="2"/>
                <w:sz w:val="19"/>
                <w:szCs w:val="19"/>
              </w:rPr>
              <w:t>砷</w:t>
            </w:r>
          </w:p>
        </w:tc>
        <w:tc>
          <w:tcPr>
            <w:tcW w:w="650" w:type="dxa"/>
            <w:vAlign w:val="top"/>
          </w:tcPr>
          <w:p w14:paraId="391D538C">
            <w:pPr>
              <w:spacing w:before="103"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26720E27">
            <w:pPr>
              <w:spacing w:before="87" w:line="217" w:lineRule="auto"/>
              <w:ind w:left="11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3.0×10</w:t>
            </w:r>
            <w:r>
              <w:rPr>
                <w:rFonts w:ascii="Times New Roman" w:hAnsi="Times New Roman" w:eastAsia="Times New Roman" w:cs="Times New Roman"/>
                <w:spacing w:val="3"/>
                <w:position w:val="6"/>
                <w:sz w:val="12"/>
                <w:szCs w:val="12"/>
              </w:rPr>
              <w:t>-4</w:t>
            </w:r>
            <w:r>
              <w:rPr>
                <w:rFonts w:ascii="Times New Roman" w:hAnsi="Times New Roman" w:eastAsia="Times New Roman" w:cs="Times New Roman"/>
                <w:spacing w:val="3"/>
                <w:sz w:val="19"/>
                <w:szCs w:val="19"/>
              </w:rPr>
              <w:t>L</w:t>
            </w:r>
          </w:p>
        </w:tc>
        <w:tc>
          <w:tcPr>
            <w:tcW w:w="1014" w:type="dxa"/>
            <w:vAlign w:val="top"/>
          </w:tcPr>
          <w:p w14:paraId="3A2EC724">
            <w:pPr>
              <w:spacing w:before="87" w:line="217" w:lineRule="auto"/>
              <w:ind w:left="11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3.0×10</w:t>
            </w:r>
            <w:r>
              <w:rPr>
                <w:rFonts w:ascii="Times New Roman" w:hAnsi="Times New Roman" w:eastAsia="Times New Roman" w:cs="Times New Roman"/>
                <w:spacing w:val="3"/>
                <w:position w:val="6"/>
                <w:sz w:val="12"/>
                <w:szCs w:val="12"/>
              </w:rPr>
              <w:t>-4</w:t>
            </w:r>
            <w:r>
              <w:rPr>
                <w:rFonts w:ascii="Times New Roman" w:hAnsi="Times New Roman" w:eastAsia="Times New Roman" w:cs="Times New Roman"/>
                <w:spacing w:val="3"/>
                <w:sz w:val="19"/>
                <w:szCs w:val="19"/>
              </w:rPr>
              <w:t>L</w:t>
            </w:r>
          </w:p>
        </w:tc>
        <w:tc>
          <w:tcPr>
            <w:tcW w:w="1097" w:type="dxa"/>
            <w:vAlign w:val="top"/>
          </w:tcPr>
          <w:p w14:paraId="1E16A2BF">
            <w:pPr>
              <w:spacing w:before="87" w:line="217" w:lineRule="auto"/>
              <w:ind w:left="15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3.0×10</w:t>
            </w:r>
            <w:r>
              <w:rPr>
                <w:rFonts w:ascii="Times New Roman" w:hAnsi="Times New Roman" w:eastAsia="Times New Roman" w:cs="Times New Roman"/>
                <w:spacing w:val="3"/>
                <w:position w:val="6"/>
                <w:sz w:val="12"/>
                <w:szCs w:val="12"/>
              </w:rPr>
              <w:t>-4</w:t>
            </w:r>
            <w:r>
              <w:rPr>
                <w:rFonts w:ascii="Times New Roman" w:hAnsi="Times New Roman" w:eastAsia="Times New Roman" w:cs="Times New Roman"/>
                <w:spacing w:val="3"/>
                <w:sz w:val="19"/>
                <w:szCs w:val="19"/>
              </w:rPr>
              <w:t>L</w:t>
            </w:r>
          </w:p>
        </w:tc>
        <w:tc>
          <w:tcPr>
            <w:tcW w:w="935" w:type="dxa"/>
            <w:vAlign w:val="top"/>
          </w:tcPr>
          <w:p w14:paraId="469235F0">
            <w:pPr>
              <w:pStyle w:val="6"/>
              <w:spacing w:before="72" w:line="254" w:lineRule="exact"/>
              <w:ind w:left="338"/>
              <w:rPr>
                <w:rFonts w:ascii="Times New Roman" w:hAnsi="Times New Roman" w:eastAsia="Times New Roman" w:cs="Times New Roman"/>
                <w:sz w:val="19"/>
                <w:szCs w:val="19"/>
              </w:rPr>
            </w:pPr>
            <w:r>
              <w:rPr>
                <w:spacing w:val="34"/>
                <w:w w:val="109"/>
                <w:position w:val="1"/>
                <w:sz w:val="19"/>
                <w:szCs w:val="19"/>
              </w:rPr>
              <w:t>&lt;</w:t>
            </w:r>
            <w:r>
              <w:rPr>
                <w:rFonts w:ascii="Times New Roman" w:hAnsi="Times New Roman" w:eastAsia="Times New Roman" w:cs="Times New Roman"/>
                <w:spacing w:val="34"/>
                <w:w w:val="109"/>
                <w:position w:val="1"/>
                <w:sz w:val="19"/>
                <w:szCs w:val="19"/>
              </w:rPr>
              <w:t>1</w:t>
            </w:r>
          </w:p>
        </w:tc>
        <w:tc>
          <w:tcPr>
            <w:tcW w:w="1133" w:type="dxa"/>
            <w:vAlign w:val="top"/>
          </w:tcPr>
          <w:p w14:paraId="577668F1">
            <w:pPr>
              <w:spacing w:before="87" w:line="217" w:lineRule="auto"/>
              <w:ind w:left="1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3.0×10</w:t>
            </w:r>
            <w:r>
              <w:rPr>
                <w:rFonts w:ascii="Times New Roman" w:hAnsi="Times New Roman" w:eastAsia="Times New Roman" w:cs="Times New Roman"/>
                <w:spacing w:val="3"/>
                <w:position w:val="6"/>
                <w:sz w:val="12"/>
                <w:szCs w:val="12"/>
              </w:rPr>
              <w:t>-4</w:t>
            </w:r>
            <w:r>
              <w:rPr>
                <w:rFonts w:ascii="Times New Roman" w:hAnsi="Times New Roman" w:eastAsia="Times New Roman" w:cs="Times New Roman"/>
                <w:spacing w:val="3"/>
                <w:sz w:val="19"/>
                <w:szCs w:val="19"/>
              </w:rPr>
              <w:t>L</w:t>
            </w:r>
          </w:p>
        </w:tc>
        <w:tc>
          <w:tcPr>
            <w:tcW w:w="1053" w:type="dxa"/>
            <w:vAlign w:val="top"/>
          </w:tcPr>
          <w:p w14:paraId="719864B5">
            <w:pPr>
              <w:pStyle w:val="6"/>
              <w:spacing w:before="72" w:line="254" w:lineRule="exact"/>
              <w:ind w:left="396"/>
              <w:rPr>
                <w:rFonts w:ascii="Times New Roman" w:hAnsi="Times New Roman" w:eastAsia="Times New Roman" w:cs="Times New Roman"/>
                <w:sz w:val="19"/>
                <w:szCs w:val="19"/>
              </w:rPr>
            </w:pPr>
            <w:r>
              <w:rPr>
                <w:spacing w:val="34"/>
                <w:w w:val="109"/>
                <w:position w:val="1"/>
                <w:sz w:val="19"/>
                <w:szCs w:val="19"/>
              </w:rPr>
              <w:t>&lt;</w:t>
            </w:r>
            <w:r>
              <w:rPr>
                <w:rFonts w:ascii="Times New Roman" w:hAnsi="Times New Roman" w:eastAsia="Times New Roman" w:cs="Times New Roman"/>
                <w:spacing w:val="34"/>
                <w:w w:val="109"/>
                <w:position w:val="1"/>
                <w:sz w:val="19"/>
                <w:szCs w:val="19"/>
              </w:rPr>
              <w:t>1</w:t>
            </w:r>
          </w:p>
        </w:tc>
      </w:tr>
      <w:tr w14:paraId="0AA66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2B67BB31">
            <w:pPr>
              <w:spacing w:before="94" w:line="195" w:lineRule="auto"/>
              <w:ind w:left="224"/>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1097" w:type="dxa"/>
            <w:vAlign w:val="top"/>
          </w:tcPr>
          <w:p w14:paraId="0003A39E">
            <w:pPr>
              <w:pStyle w:val="6"/>
              <w:spacing w:before="60" w:line="231" w:lineRule="auto"/>
              <w:ind w:left="449"/>
              <w:rPr>
                <w:sz w:val="19"/>
                <w:szCs w:val="19"/>
              </w:rPr>
            </w:pPr>
            <w:r>
              <w:rPr>
                <w:spacing w:val="2"/>
                <w:sz w:val="19"/>
                <w:szCs w:val="19"/>
              </w:rPr>
              <w:t>镉</w:t>
            </w:r>
          </w:p>
        </w:tc>
        <w:tc>
          <w:tcPr>
            <w:tcW w:w="650" w:type="dxa"/>
            <w:vAlign w:val="top"/>
          </w:tcPr>
          <w:p w14:paraId="4A19EEC0">
            <w:pPr>
              <w:spacing w:before="91"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0F6D2981">
            <w:pPr>
              <w:spacing w:before="94" w:line="195" w:lineRule="auto"/>
              <w:ind w:left="17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0.0001L</w:t>
            </w:r>
          </w:p>
        </w:tc>
        <w:tc>
          <w:tcPr>
            <w:tcW w:w="1014" w:type="dxa"/>
            <w:vAlign w:val="top"/>
          </w:tcPr>
          <w:p w14:paraId="3D7A414E">
            <w:pPr>
              <w:spacing w:before="94" w:line="195" w:lineRule="auto"/>
              <w:ind w:left="17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0.0001L</w:t>
            </w:r>
          </w:p>
        </w:tc>
        <w:tc>
          <w:tcPr>
            <w:tcW w:w="1097" w:type="dxa"/>
            <w:vAlign w:val="top"/>
          </w:tcPr>
          <w:p w14:paraId="560C1D99">
            <w:pPr>
              <w:spacing w:before="94"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0.0001L</w:t>
            </w:r>
          </w:p>
        </w:tc>
        <w:tc>
          <w:tcPr>
            <w:tcW w:w="935" w:type="dxa"/>
            <w:vAlign w:val="top"/>
          </w:tcPr>
          <w:p w14:paraId="54625D17">
            <w:pPr>
              <w:pStyle w:val="6"/>
              <w:spacing w:before="59"/>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vAlign w:val="top"/>
          </w:tcPr>
          <w:p w14:paraId="215CC4BA">
            <w:pPr>
              <w:spacing w:before="94" w:line="195" w:lineRule="auto"/>
              <w:ind w:left="23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0.0001L</w:t>
            </w:r>
          </w:p>
        </w:tc>
        <w:tc>
          <w:tcPr>
            <w:tcW w:w="1053" w:type="dxa"/>
            <w:vAlign w:val="top"/>
          </w:tcPr>
          <w:p w14:paraId="239FB856">
            <w:pPr>
              <w:pStyle w:val="6"/>
              <w:spacing w:before="59"/>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r w14:paraId="4166F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9" w:type="dxa"/>
            <w:vAlign w:val="top"/>
          </w:tcPr>
          <w:p w14:paraId="4D3E8323">
            <w:pPr>
              <w:spacing w:before="9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1097" w:type="dxa"/>
            <w:vAlign w:val="top"/>
          </w:tcPr>
          <w:p w14:paraId="19A17609">
            <w:pPr>
              <w:pStyle w:val="6"/>
              <w:spacing w:before="59" w:line="227" w:lineRule="auto"/>
              <w:ind w:left="253"/>
              <w:rPr>
                <w:sz w:val="19"/>
                <w:szCs w:val="19"/>
              </w:rPr>
            </w:pPr>
            <w:r>
              <w:rPr>
                <w:spacing w:val="6"/>
                <w:sz w:val="19"/>
                <w:szCs w:val="19"/>
              </w:rPr>
              <w:t>六价铬</w:t>
            </w:r>
          </w:p>
        </w:tc>
        <w:tc>
          <w:tcPr>
            <w:tcW w:w="650" w:type="dxa"/>
            <w:vAlign w:val="top"/>
          </w:tcPr>
          <w:p w14:paraId="7C23CF75">
            <w:pPr>
              <w:spacing w:before="90"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2A9C3714">
            <w:pPr>
              <w:spacing w:before="94" w:line="195" w:lineRule="auto"/>
              <w:ind w:left="22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0.004L</w:t>
            </w:r>
          </w:p>
        </w:tc>
        <w:tc>
          <w:tcPr>
            <w:tcW w:w="1014" w:type="dxa"/>
            <w:vAlign w:val="top"/>
          </w:tcPr>
          <w:p w14:paraId="6C321C01">
            <w:pPr>
              <w:spacing w:before="94" w:line="195" w:lineRule="auto"/>
              <w:ind w:left="22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0.004L</w:t>
            </w:r>
          </w:p>
        </w:tc>
        <w:tc>
          <w:tcPr>
            <w:tcW w:w="1097" w:type="dxa"/>
            <w:vAlign w:val="top"/>
          </w:tcPr>
          <w:p w14:paraId="41501264">
            <w:pPr>
              <w:spacing w:before="94" w:line="195" w:lineRule="auto"/>
              <w:ind w:left="26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0.004L</w:t>
            </w:r>
          </w:p>
        </w:tc>
        <w:tc>
          <w:tcPr>
            <w:tcW w:w="935" w:type="dxa"/>
            <w:vAlign w:val="top"/>
          </w:tcPr>
          <w:p w14:paraId="22F0FCC1">
            <w:pPr>
              <w:pStyle w:val="6"/>
              <w:spacing w:before="59"/>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vAlign w:val="top"/>
          </w:tcPr>
          <w:p w14:paraId="11640CD3">
            <w:pPr>
              <w:spacing w:before="94" w:line="195" w:lineRule="auto"/>
              <w:ind w:left="28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0.004L</w:t>
            </w:r>
          </w:p>
        </w:tc>
        <w:tc>
          <w:tcPr>
            <w:tcW w:w="1053" w:type="dxa"/>
            <w:vAlign w:val="top"/>
          </w:tcPr>
          <w:p w14:paraId="282A55FE">
            <w:pPr>
              <w:pStyle w:val="6"/>
              <w:spacing w:before="59"/>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r w14:paraId="73631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39" w:type="dxa"/>
            <w:vAlign w:val="top"/>
          </w:tcPr>
          <w:p w14:paraId="1DF67695">
            <w:pPr>
              <w:spacing w:before="96"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11</w:t>
            </w:r>
          </w:p>
        </w:tc>
        <w:tc>
          <w:tcPr>
            <w:tcW w:w="1097" w:type="dxa"/>
            <w:vAlign w:val="top"/>
          </w:tcPr>
          <w:p w14:paraId="13D9273A">
            <w:pPr>
              <w:pStyle w:val="6"/>
              <w:spacing w:before="62" w:line="232" w:lineRule="auto"/>
              <w:ind w:left="450"/>
              <w:rPr>
                <w:sz w:val="19"/>
                <w:szCs w:val="19"/>
              </w:rPr>
            </w:pPr>
            <w:r>
              <w:rPr>
                <w:spacing w:val="1"/>
                <w:sz w:val="19"/>
                <w:szCs w:val="19"/>
              </w:rPr>
              <w:t>铅</w:t>
            </w:r>
          </w:p>
        </w:tc>
        <w:tc>
          <w:tcPr>
            <w:tcW w:w="650" w:type="dxa"/>
            <w:vAlign w:val="top"/>
          </w:tcPr>
          <w:p w14:paraId="69D52D8D">
            <w:pPr>
              <w:spacing w:before="92"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vAlign w:val="top"/>
          </w:tcPr>
          <w:p w14:paraId="50898350">
            <w:pPr>
              <w:spacing w:before="96" w:line="195" w:lineRule="auto"/>
              <w:ind w:left="22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0.001L</w:t>
            </w:r>
          </w:p>
        </w:tc>
        <w:tc>
          <w:tcPr>
            <w:tcW w:w="1014" w:type="dxa"/>
            <w:vAlign w:val="top"/>
          </w:tcPr>
          <w:p w14:paraId="3F3BF8AE">
            <w:pPr>
              <w:spacing w:before="96" w:line="195" w:lineRule="auto"/>
              <w:ind w:left="22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0.001L</w:t>
            </w:r>
          </w:p>
        </w:tc>
        <w:tc>
          <w:tcPr>
            <w:tcW w:w="1097" w:type="dxa"/>
            <w:vAlign w:val="top"/>
          </w:tcPr>
          <w:p w14:paraId="330396EF">
            <w:pPr>
              <w:spacing w:before="96" w:line="195" w:lineRule="auto"/>
              <w:ind w:left="26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0.001L</w:t>
            </w:r>
          </w:p>
        </w:tc>
        <w:tc>
          <w:tcPr>
            <w:tcW w:w="935" w:type="dxa"/>
            <w:vAlign w:val="top"/>
          </w:tcPr>
          <w:p w14:paraId="7FE95D06">
            <w:pPr>
              <w:pStyle w:val="6"/>
              <w:spacing w:before="61"/>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vAlign w:val="top"/>
          </w:tcPr>
          <w:p w14:paraId="17237CE5">
            <w:pPr>
              <w:spacing w:before="96" w:line="195" w:lineRule="auto"/>
              <w:ind w:left="28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0.001L</w:t>
            </w:r>
          </w:p>
        </w:tc>
        <w:tc>
          <w:tcPr>
            <w:tcW w:w="1053" w:type="dxa"/>
            <w:vAlign w:val="top"/>
          </w:tcPr>
          <w:p w14:paraId="0AE95854">
            <w:pPr>
              <w:pStyle w:val="6"/>
              <w:spacing w:before="61"/>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bl>
    <w:p w14:paraId="6BBBA0F9">
      <w:pPr>
        <w:pStyle w:val="2"/>
      </w:pPr>
    </w:p>
    <w:p w14:paraId="0FB679A1">
      <w:pPr>
        <w:sectPr>
          <w:footerReference r:id="rId197" w:type="default"/>
          <w:pgSz w:w="11906" w:h="16839"/>
          <w:pgMar w:top="1208" w:right="1379" w:bottom="957" w:left="1378" w:header="825" w:footer="795" w:gutter="0"/>
          <w:cols w:space="720" w:num="1"/>
        </w:sectPr>
      </w:pPr>
    </w:p>
    <w:p w14:paraId="7138C3F0">
      <w:pPr>
        <w:spacing w:line="231"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1097"/>
        <w:gridCol w:w="650"/>
        <w:gridCol w:w="1014"/>
        <w:gridCol w:w="1014"/>
        <w:gridCol w:w="1097"/>
        <w:gridCol w:w="935"/>
        <w:gridCol w:w="1133"/>
        <w:gridCol w:w="1053"/>
      </w:tblGrid>
      <w:tr w14:paraId="78496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539" w:type="dxa"/>
            <w:tcBorders>
              <w:top w:val="nil"/>
            </w:tcBorders>
            <w:vAlign w:val="top"/>
          </w:tcPr>
          <w:p w14:paraId="1DAFF791">
            <w:pPr>
              <w:spacing w:before="102"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12</w:t>
            </w:r>
          </w:p>
        </w:tc>
        <w:tc>
          <w:tcPr>
            <w:tcW w:w="1097" w:type="dxa"/>
            <w:tcBorders>
              <w:top w:val="nil"/>
            </w:tcBorders>
            <w:vAlign w:val="top"/>
          </w:tcPr>
          <w:p w14:paraId="6775C12E">
            <w:pPr>
              <w:pStyle w:val="6"/>
              <w:spacing w:before="67" w:line="228" w:lineRule="auto"/>
              <w:ind w:left="252"/>
              <w:rPr>
                <w:sz w:val="19"/>
                <w:szCs w:val="19"/>
              </w:rPr>
            </w:pPr>
            <w:r>
              <w:rPr>
                <w:spacing w:val="7"/>
                <w:sz w:val="19"/>
                <w:szCs w:val="19"/>
              </w:rPr>
              <w:t>石油类</w:t>
            </w:r>
          </w:p>
        </w:tc>
        <w:tc>
          <w:tcPr>
            <w:tcW w:w="650" w:type="dxa"/>
            <w:tcBorders>
              <w:top w:val="nil"/>
            </w:tcBorders>
            <w:vAlign w:val="top"/>
          </w:tcPr>
          <w:p w14:paraId="16FB4A5E">
            <w:pPr>
              <w:spacing w:before="98" w:line="201" w:lineRule="auto"/>
              <w:ind w:left="105"/>
              <w:rPr>
                <w:rFonts w:ascii="Times New Roman" w:hAnsi="Times New Roman" w:eastAsia="Times New Roman" w:cs="Times New Roman"/>
                <w:sz w:val="19"/>
                <w:szCs w:val="19"/>
              </w:rPr>
            </w:pPr>
            <w:r>
              <w:rPr>
                <w:rFonts w:ascii="Times New Roman" w:hAnsi="Times New Roman" w:eastAsia="Times New Roman" w:cs="Times New Roman"/>
                <w:sz w:val="19"/>
                <w:szCs w:val="19"/>
              </w:rPr>
              <w:t>mg</w:t>
            </w:r>
            <w:r>
              <w:rPr>
                <w:rFonts w:ascii="Times New Roman" w:hAnsi="Times New Roman" w:eastAsia="Times New Roman" w:cs="Times New Roman"/>
                <w:spacing w:val="8"/>
                <w:sz w:val="19"/>
                <w:szCs w:val="19"/>
              </w:rPr>
              <w:t>/L</w:t>
            </w:r>
          </w:p>
        </w:tc>
        <w:tc>
          <w:tcPr>
            <w:tcW w:w="1014" w:type="dxa"/>
            <w:tcBorders>
              <w:top w:val="nil"/>
            </w:tcBorders>
            <w:vAlign w:val="top"/>
          </w:tcPr>
          <w:p w14:paraId="7D4C945A">
            <w:pPr>
              <w:spacing w:before="102"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0.01L</w:t>
            </w:r>
          </w:p>
        </w:tc>
        <w:tc>
          <w:tcPr>
            <w:tcW w:w="1014" w:type="dxa"/>
            <w:tcBorders>
              <w:top w:val="nil"/>
            </w:tcBorders>
            <w:vAlign w:val="top"/>
          </w:tcPr>
          <w:p w14:paraId="659F19F5">
            <w:pPr>
              <w:spacing w:before="102" w:line="195" w:lineRule="auto"/>
              <w:ind w:left="27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0.01L</w:t>
            </w:r>
          </w:p>
        </w:tc>
        <w:tc>
          <w:tcPr>
            <w:tcW w:w="1097" w:type="dxa"/>
            <w:tcBorders>
              <w:top w:val="nil"/>
            </w:tcBorders>
            <w:vAlign w:val="top"/>
          </w:tcPr>
          <w:p w14:paraId="71206C3F">
            <w:pPr>
              <w:spacing w:before="102" w:line="195" w:lineRule="auto"/>
              <w:ind w:left="31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0.01L</w:t>
            </w:r>
          </w:p>
        </w:tc>
        <w:tc>
          <w:tcPr>
            <w:tcW w:w="935" w:type="dxa"/>
            <w:tcBorders>
              <w:top w:val="nil"/>
            </w:tcBorders>
            <w:vAlign w:val="top"/>
          </w:tcPr>
          <w:p w14:paraId="4FAB4721">
            <w:pPr>
              <w:pStyle w:val="6"/>
              <w:spacing w:before="67" w:line="241" w:lineRule="auto"/>
              <w:ind w:left="338"/>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c>
          <w:tcPr>
            <w:tcW w:w="1133" w:type="dxa"/>
            <w:tcBorders>
              <w:top w:val="nil"/>
            </w:tcBorders>
            <w:vAlign w:val="top"/>
          </w:tcPr>
          <w:p w14:paraId="77D5AB51">
            <w:pPr>
              <w:spacing w:before="102" w:line="195" w:lineRule="auto"/>
              <w:ind w:left="33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0.01L</w:t>
            </w:r>
          </w:p>
        </w:tc>
        <w:tc>
          <w:tcPr>
            <w:tcW w:w="1053" w:type="dxa"/>
            <w:tcBorders>
              <w:top w:val="nil"/>
            </w:tcBorders>
            <w:vAlign w:val="top"/>
          </w:tcPr>
          <w:p w14:paraId="2B0E0C92">
            <w:pPr>
              <w:pStyle w:val="6"/>
              <w:spacing w:before="67" w:line="241" w:lineRule="auto"/>
              <w:ind w:left="396"/>
              <w:rPr>
                <w:rFonts w:ascii="Times New Roman" w:hAnsi="Times New Roman" w:eastAsia="Times New Roman" w:cs="Times New Roman"/>
                <w:sz w:val="19"/>
                <w:szCs w:val="19"/>
              </w:rPr>
            </w:pPr>
            <w:r>
              <w:rPr>
                <w:spacing w:val="34"/>
                <w:w w:val="109"/>
                <w:sz w:val="19"/>
                <w:szCs w:val="19"/>
              </w:rPr>
              <w:t>&lt;</w:t>
            </w:r>
            <w:r>
              <w:rPr>
                <w:rFonts w:ascii="Times New Roman" w:hAnsi="Times New Roman" w:eastAsia="Times New Roman" w:cs="Times New Roman"/>
                <w:spacing w:val="34"/>
                <w:w w:val="109"/>
                <w:sz w:val="19"/>
                <w:szCs w:val="19"/>
              </w:rPr>
              <w:t>1</w:t>
            </w:r>
          </w:p>
        </w:tc>
      </w:tr>
    </w:tbl>
    <w:p w14:paraId="142F4DF6">
      <w:pPr>
        <w:spacing w:before="125" w:line="220" w:lineRule="auto"/>
        <w:ind w:left="122"/>
        <w:rPr>
          <w:rFonts w:ascii="宋体" w:hAnsi="宋体" w:eastAsia="宋体" w:cs="宋体"/>
          <w:sz w:val="22"/>
          <w:szCs w:val="22"/>
        </w:rPr>
      </w:pPr>
      <w:r>
        <w:rPr>
          <w:rFonts w:ascii="宋体" w:hAnsi="宋体" w:eastAsia="宋体" w:cs="宋体"/>
          <w:spacing w:val="-1"/>
          <w:sz w:val="22"/>
          <w:szCs w:val="22"/>
        </w:rPr>
        <w:t>注：</w:t>
      </w:r>
      <w:r>
        <w:rPr>
          <w:rFonts w:ascii="Times New Roman" w:hAnsi="Times New Roman" w:eastAsia="Times New Roman" w:cs="Times New Roman"/>
          <w:spacing w:val="-1"/>
          <w:sz w:val="22"/>
          <w:szCs w:val="22"/>
        </w:rPr>
        <w:t xml:space="preserve">L </w:t>
      </w:r>
      <w:r>
        <w:rPr>
          <w:rFonts w:ascii="宋体" w:hAnsi="宋体" w:eastAsia="宋体" w:cs="宋体"/>
          <w:spacing w:val="-1"/>
          <w:sz w:val="22"/>
          <w:szCs w:val="22"/>
        </w:rPr>
        <w:t>指未检出。</w:t>
      </w:r>
    </w:p>
    <w:p w14:paraId="5F4C4DF2">
      <w:pPr>
        <w:spacing w:before="196" w:line="360" w:lineRule="auto"/>
        <w:ind w:left="121" w:right="264" w:firstLine="480"/>
        <w:jc w:val="both"/>
        <w:rPr>
          <w:rFonts w:ascii="宋体" w:hAnsi="宋体" w:eastAsia="宋体" w:cs="宋体"/>
          <w:sz w:val="24"/>
          <w:szCs w:val="24"/>
        </w:rPr>
      </w:pPr>
      <w:r>
        <w:rPr>
          <w:rFonts w:ascii="宋体" w:hAnsi="宋体" w:eastAsia="宋体" w:cs="宋体"/>
          <w:sz w:val="24"/>
          <w:szCs w:val="24"/>
        </w:rPr>
        <w:t>根据本次包气带评价结果，已有工程包气带检测</w:t>
      </w:r>
      <w:r>
        <w:rPr>
          <w:rFonts w:ascii="宋体" w:hAnsi="宋体" w:eastAsia="宋体" w:cs="宋体"/>
          <w:spacing w:val="-1"/>
          <w:sz w:val="24"/>
          <w:szCs w:val="24"/>
        </w:rPr>
        <w:t>结果与背景对照点相比，</w:t>
      </w:r>
      <w:r>
        <w:rPr>
          <w:rFonts w:ascii="宋体" w:hAnsi="宋体" w:eastAsia="宋体" w:cs="宋体"/>
          <w:sz w:val="24"/>
          <w:szCs w:val="24"/>
        </w:rPr>
        <w:t xml:space="preserve"> </w:t>
      </w:r>
      <w:r>
        <w:rPr>
          <w:rFonts w:ascii="宋体" w:hAnsi="宋体" w:eastAsia="宋体" w:cs="宋体"/>
          <w:spacing w:val="-2"/>
          <w:sz w:val="24"/>
          <w:szCs w:val="24"/>
        </w:rPr>
        <w:t>各因子的监测结果与背景值相差不大，超标指数一般不大于</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1.11</w:t>
      </w:r>
      <w:r>
        <w:rPr>
          <w:rFonts w:ascii="Times New Roman" w:hAnsi="Times New Roman" w:eastAsia="Times New Roman" w:cs="Times New Roman"/>
          <w:spacing w:val="-36"/>
          <w:sz w:val="24"/>
          <w:szCs w:val="24"/>
        </w:rPr>
        <w:t xml:space="preserve"> </w:t>
      </w:r>
      <w:r>
        <w:rPr>
          <w:rFonts w:ascii="宋体" w:hAnsi="宋体" w:eastAsia="宋体" w:cs="宋体"/>
          <w:spacing w:val="-2"/>
          <w:sz w:val="24"/>
          <w:szCs w:val="24"/>
        </w:rPr>
        <w:t>，说明现状条</w:t>
      </w:r>
      <w:r>
        <w:rPr>
          <w:rFonts w:ascii="宋体" w:hAnsi="宋体" w:eastAsia="宋体" w:cs="宋体"/>
          <w:sz w:val="24"/>
          <w:szCs w:val="24"/>
        </w:rPr>
        <w:t xml:space="preserve"> </w:t>
      </w:r>
      <w:r>
        <w:rPr>
          <w:rFonts w:ascii="宋体" w:hAnsi="宋体" w:eastAsia="宋体" w:cs="宋体"/>
          <w:spacing w:val="-1"/>
          <w:sz w:val="24"/>
          <w:szCs w:val="24"/>
        </w:rPr>
        <w:t>件下已有工程对包气带影响较小，无明显污染现象。</w:t>
      </w:r>
    </w:p>
    <w:p w14:paraId="401D5F1B">
      <w:pPr>
        <w:spacing w:before="1" w:line="217" w:lineRule="auto"/>
        <w:ind w:left="602"/>
        <w:outlineLvl w:val="2"/>
        <w:rPr>
          <w:rFonts w:ascii="宋体" w:hAnsi="宋体" w:eastAsia="宋体" w:cs="宋体"/>
          <w:sz w:val="24"/>
          <w:szCs w:val="24"/>
        </w:rPr>
      </w:pPr>
      <w:bookmarkStart w:id="95" w:name="bookmark86"/>
      <w:bookmarkEnd w:id="95"/>
      <w:r>
        <w:rPr>
          <w:rFonts w:ascii="Times New Roman" w:hAnsi="Times New Roman" w:eastAsia="Times New Roman" w:cs="Times New Roman"/>
          <w:b/>
          <w:bCs/>
          <w:spacing w:val="-2"/>
          <w:sz w:val="24"/>
          <w:szCs w:val="24"/>
        </w:rPr>
        <w:t xml:space="preserve">6.3.3 </w:t>
      </w:r>
      <w:r>
        <w:rPr>
          <w:rFonts w:ascii="宋体" w:hAnsi="宋体" w:eastAsia="宋体" w:cs="宋体"/>
          <w:b/>
          <w:bCs/>
          <w:spacing w:val="-2"/>
          <w:sz w:val="24"/>
          <w:szCs w:val="24"/>
        </w:rPr>
        <w:t>环境噪声现状测量与评价</w:t>
      </w:r>
    </w:p>
    <w:p w14:paraId="5C0C1E95">
      <w:pPr>
        <w:spacing w:before="185" w:line="219"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6.3.3.1 </w:t>
      </w:r>
      <w:r>
        <w:rPr>
          <w:rFonts w:ascii="宋体" w:hAnsi="宋体" w:eastAsia="宋体" w:cs="宋体"/>
          <w:spacing w:val="-1"/>
          <w:sz w:val="24"/>
          <w:szCs w:val="24"/>
        </w:rPr>
        <w:t>测量仪器与方法</w:t>
      </w:r>
    </w:p>
    <w:p w14:paraId="1262F586">
      <w:pPr>
        <w:spacing w:before="182" w:line="360" w:lineRule="auto"/>
        <w:ind w:left="123" w:right="264" w:firstLine="479"/>
        <w:jc w:val="both"/>
        <w:rPr>
          <w:rFonts w:ascii="宋体" w:hAnsi="宋体" w:eastAsia="宋体" w:cs="宋体"/>
          <w:sz w:val="24"/>
          <w:szCs w:val="24"/>
        </w:rPr>
      </w:pPr>
      <w:r>
        <w:rPr>
          <w:rFonts w:ascii="宋体" w:hAnsi="宋体" w:eastAsia="宋体" w:cs="宋体"/>
          <w:sz w:val="24"/>
          <w:szCs w:val="24"/>
        </w:rPr>
        <w:t>环境噪声现状测量委托内蒙古华智鼎环保科技有</w:t>
      </w:r>
      <w:r>
        <w:rPr>
          <w:rFonts w:ascii="宋体" w:hAnsi="宋体" w:eastAsia="宋体" w:cs="宋体"/>
          <w:spacing w:val="-1"/>
          <w:sz w:val="24"/>
          <w:szCs w:val="24"/>
        </w:rPr>
        <w:t>限公司进行监测。测量方</w:t>
      </w:r>
      <w:r>
        <w:rPr>
          <w:rFonts w:ascii="宋体" w:hAnsi="宋体" w:eastAsia="宋体" w:cs="宋体"/>
          <w:sz w:val="24"/>
          <w:szCs w:val="24"/>
        </w:rPr>
        <w:t xml:space="preserve"> </w:t>
      </w:r>
      <w:r>
        <w:rPr>
          <w:rFonts w:ascii="宋体" w:hAnsi="宋体" w:eastAsia="宋体" w:cs="宋体"/>
          <w:spacing w:val="-13"/>
          <w:sz w:val="24"/>
          <w:szCs w:val="24"/>
        </w:rPr>
        <w:t>法采用《声环境质量标准》（</w:t>
      </w:r>
      <w:r>
        <w:rPr>
          <w:rFonts w:ascii="Times New Roman" w:hAnsi="Times New Roman" w:eastAsia="Times New Roman" w:cs="Times New Roman"/>
          <w:spacing w:val="-13"/>
          <w:sz w:val="24"/>
          <w:szCs w:val="24"/>
        </w:rPr>
        <w:t>GB3096-2008</w:t>
      </w:r>
      <w:r>
        <w:rPr>
          <w:rFonts w:ascii="宋体" w:hAnsi="宋体" w:eastAsia="宋体" w:cs="宋体"/>
          <w:spacing w:val="-13"/>
          <w:sz w:val="24"/>
          <w:szCs w:val="24"/>
        </w:rPr>
        <w:t>）规定的方法，监测仪器采</w:t>
      </w:r>
      <w:r>
        <w:rPr>
          <w:rFonts w:ascii="宋体" w:hAnsi="宋体" w:eastAsia="宋体" w:cs="宋体"/>
          <w:spacing w:val="-14"/>
          <w:sz w:val="24"/>
          <w:szCs w:val="24"/>
        </w:rPr>
        <w:t>用</w:t>
      </w:r>
      <w:r>
        <w:rPr>
          <w:rFonts w:ascii="宋体" w:hAnsi="宋体" w:eastAsia="宋体" w:cs="宋体"/>
          <w:spacing w:val="-58"/>
          <w:sz w:val="24"/>
          <w:szCs w:val="24"/>
        </w:rPr>
        <w:t xml:space="preserve"> </w:t>
      </w:r>
      <w:r>
        <w:rPr>
          <w:rFonts w:ascii="Times New Roman" w:hAnsi="Times New Roman" w:eastAsia="Times New Roman" w:cs="Times New Roman"/>
          <w:spacing w:val="-14"/>
          <w:sz w:val="24"/>
          <w:szCs w:val="24"/>
        </w:rPr>
        <w:t>AWA5688</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多功能声级计</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SB-81</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HS6020</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声级计校准器</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SB-96</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YGY-FSXY2</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手持式风速</w:t>
      </w:r>
      <w:r>
        <w:rPr>
          <w:rFonts w:ascii="宋体" w:hAnsi="宋体" w:eastAsia="宋体" w:cs="宋体"/>
          <w:sz w:val="24"/>
          <w:szCs w:val="24"/>
        </w:rPr>
        <w:t xml:space="preserve"> </w:t>
      </w:r>
      <w:r>
        <w:rPr>
          <w:rFonts w:ascii="宋体" w:hAnsi="宋体" w:eastAsia="宋体" w:cs="宋体"/>
          <w:spacing w:val="-3"/>
          <w:sz w:val="24"/>
          <w:szCs w:val="24"/>
        </w:rPr>
        <w:t>风向仪</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SB-101</w:t>
      </w:r>
      <w:r>
        <w:rPr>
          <w:rFonts w:ascii="宋体" w:hAnsi="宋体" w:eastAsia="宋体" w:cs="宋体"/>
          <w:spacing w:val="-3"/>
          <w:sz w:val="24"/>
          <w:szCs w:val="24"/>
        </w:rPr>
        <w:t>。</w:t>
      </w:r>
    </w:p>
    <w:p w14:paraId="410C6458">
      <w:pPr>
        <w:spacing w:before="1" w:line="220"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6.3.3.2 </w:t>
      </w:r>
      <w:r>
        <w:rPr>
          <w:rFonts w:ascii="宋体" w:hAnsi="宋体" w:eastAsia="宋体" w:cs="宋体"/>
          <w:spacing w:val="-1"/>
          <w:sz w:val="24"/>
          <w:szCs w:val="24"/>
        </w:rPr>
        <w:t>测量时间</w:t>
      </w:r>
    </w:p>
    <w:p w14:paraId="789BD29C">
      <w:pPr>
        <w:spacing w:before="181" w:line="360" w:lineRule="auto"/>
        <w:ind w:left="135" w:right="264" w:firstLine="468"/>
        <w:rPr>
          <w:rFonts w:ascii="宋体" w:hAnsi="宋体" w:eastAsia="宋体" w:cs="宋体"/>
          <w:sz w:val="24"/>
          <w:szCs w:val="24"/>
        </w:rPr>
      </w:pPr>
      <w:r>
        <w:rPr>
          <w:rFonts w:ascii="宋体" w:hAnsi="宋体" w:eastAsia="宋体" w:cs="宋体"/>
          <w:spacing w:val="-6"/>
          <w:sz w:val="24"/>
          <w:szCs w:val="24"/>
        </w:rPr>
        <w:t>测量于</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2023 </w:t>
      </w:r>
      <w:r>
        <w:rPr>
          <w:rFonts w:ascii="宋体" w:hAnsi="宋体" w:eastAsia="宋体" w:cs="宋体"/>
          <w:spacing w:val="-6"/>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日昼间和夜间进行。在测量中尽量避免突</w:t>
      </w:r>
      <w:r>
        <w:rPr>
          <w:rFonts w:ascii="宋体" w:hAnsi="宋体" w:eastAsia="宋体" w:cs="宋体"/>
          <w:spacing w:val="-7"/>
          <w:sz w:val="24"/>
          <w:szCs w:val="24"/>
        </w:rPr>
        <w:t>发噪声的影</w:t>
      </w:r>
      <w:r>
        <w:rPr>
          <w:rFonts w:ascii="宋体" w:hAnsi="宋体" w:eastAsia="宋体" w:cs="宋体"/>
          <w:sz w:val="24"/>
          <w:szCs w:val="24"/>
        </w:rPr>
        <w:t xml:space="preserve"> </w:t>
      </w:r>
      <w:r>
        <w:rPr>
          <w:rFonts w:ascii="宋体" w:hAnsi="宋体" w:eastAsia="宋体" w:cs="宋体"/>
          <w:spacing w:val="-2"/>
          <w:sz w:val="24"/>
          <w:szCs w:val="24"/>
        </w:rPr>
        <w:t>响。昼间、夜间测试期间设备运行正常。</w:t>
      </w:r>
    </w:p>
    <w:p w14:paraId="1198CA27">
      <w:pPr>
        <w:spacing w:line="218"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6.3.3.3 </w:t>
      </w:r>
      <w:r>
        <w:rPr>
          <w:rFonts w:ascii="宋体" w:hAnsi="宋体" w:eastAsia="宋体" w:cs="宋体"/>
          <w:spacing w:val="-1"/>
          <w:sz w:val="24"/>
          <w:szCs w:val="24"/>
        </w:rPr>
        <w:t>测量布点</w:t>
      </w:r>
    </w:p>
    <w:p w14:paraId="3C2ACC66">
      <w:pPr>
        <w:spacing w:before="184" w:line="341" w:lineRule="auto"/>
        <w:ind w:left="124" w:right="264" w:firstLine="478"/>
        <w:rPr>
          <w:rFonts w:ascii="宋体" w:hAnsi="宋体" w:eastAsia="宋体" w:cs="宋体"/>
          <w:sz w:val="24"/>
          <w:szCs w:val="24"/>
        </w:rPr>
      </w:pPr>
      <w:r>
        <w:rPr>
          <w:rFonts w:ascii="宋体" w:hAnsi="宋体" w:eastAsia="宋体" w:cs="宋体"/>
          <w:spacing w:val="-1"/>
          <w:sz w:val="24"/>
          <w:szCs w:val="24"/>
        </w:rPr>
        <w:t>根据本项目的生产特点和所处的地理位置，项目厂区四周布设</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个声环境</w:t>
      </w:r>
      <w:r>
        <w:rPr>
          <w:rFonts w:ascii="宋体" w:hAnsi="宋体" w:eastAsia="宋体" w:cs="宋体"/>
          <w:sz w:val="24"/>
          <w:szCs w:val="24"/>
        </w:rPr>
        <w:t xml:space="preserve"> </w:t>
      </w:r>
      <w:r>
        <w:rPr>
          <w:rFonts w:ascii="宋体" w:hAnsi="宋体" w:eastAsia="宋体" w:cs="宋体"/>
          <w:spacing w:val="-2"/>
          <w:sz w:val="24"/>
          <w:szCs w:val="24"/>
        </w:rPr>
        <w:t>现状监测点，具体位置见图</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6.3-7</w:t>
      </w:r>
      <w:r>
        <w:rPr>
          <w:rFonts w:ascii="宋体" w:hAnsi="宋体" w:eastAsia="宋体" w:cs="宋体"/>
          <w:spacing w:val="-2"/>
          <w:sz w:val="24"/>
          <w:szCs w:val="24"/>
        </w:rPr>
        <w:t>。</w:t>
      </w:r>
    </w:p>
    <w:p w14:paraId="6DC87606">
      <w:pPr>
        <w:spacing w:line="4236" w:lineRule="exact"/>
        <w:ind w:firstLine="113"/>
      </w:pPr>
      <w:r>
        <w:rPr>
          <w:position w:val="-84"/>
        </w:rPr>
        <w:drawing>
          <wp:inline distT="0" distB="0" distL="0" distR="0">
            <wp:extent cx="5277485" cy="268922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87"/>
                    <a:stretch>
                      <a:fillRect/>
                    </a:stretch>
                  </pic:blipFill>
                  <pic:spPr>
                    <a:xfrm>
                      <a:off x="0" y="0"/>
                      <a:ext cx="5277611" cy="2689859"/>
                    </a:xfrm>
                    <a:prstGeom prst="rect">
                      <a:avLst/>
                    </a:prstGeom>
                  </pic:spPr>
                </pic:pic>
              </a:graphicData>
            </a:graphic>
          </wp:inline>
        </w:drawing>
      </w:r>
    </w:p>
    <w:p w14:paraId="7AC57B5A">
      <w:pPr>
        <w:spacing w:before="182" w:line="220" w:lineRule="auto"/>
        <w:ind w:left="268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6.3-7  </w:t>
      </w:r>
      <w:r>
        <w:rPr>
          <w:rFonts w:ascii="宋体" w:hAnsi="宋体" w:eastAsia="宋体" w:cs="宋体"/>
          <w:spacing w:val="-3"/>
          <w:sz w:val="24"/>
          <w:szCs w:val="24"/>
        </w:rPr>
        <w:t>土壤及噪声监测点位</w:t>
      </w:r>
    </w:p>
    <w:p w14:paraId="6279D02B">
      <w:pPr>
        <w:spacing w:before="181" w:line="218" w:lineRule="auto"/>
        <w:ind w:left="603"/>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6.3.3.4 </w:t>
      </w:r>
      <w:r>
        <w:rPr>
          <w:rFonts w:ascii="宋体" w:hAnsi="宋体" w:eastAsia="宋体" w:cs="宋体"/>
          <w:spacing w:val="-1"/>
          <w:sz w:val="24"/>
          <w:szCs w:val="24"/>
        </w:rPr>
        <w:t>测量结果及评价</w:t>
      </w:r>
    </w:p>
    <w:p w14:paraId="7EC74A5C">
      <w:pPr>
        <w:spacing w:before="186" w:line="219" w:lineRule="auto"/>
        <w:ind w:left="614"/>
        <w:rPr>
          <w:rFonts w:ascii="宋体" w:hAnsi="宋体" w:eastAsia="宋体" w:cs="宋体"/>
          <w:sz w:val="24"/>
          <w:szCs w:val="24"/>
        </w:rPr>
      </w:pPr>
      <w:r>
        <w:rPr>
          <w:rFonts w:ascii="宋体" w:hAnsi="宋体" w:eastAsia="宋体" w:cs="宋体"/>
          <w:spacing w:val="-2"/>
          <w:sz w:val="24"/>
          <w:szCs w:val="24"/>
        </w:rPr>
        <w:t>噪声现状测量结果见表</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6.3-16</w:t>
      </w:r>
      <w:r>
        <w:rPr>
          <w:rFonts w:ascii="宋体" w:hAnsi="宋体" w:eastAsia="宋体" w:cs="宋体"/>
          <w:spacing w:val="-2"/>
          <w:sz w:val="24"/>
          <w:szCs w:val="24"/>
        </w:rPr>
        <w:t>。</w:t>
      </w:r>
    </w:p>
    <w:p w14:paraId="3D01DA2E">
      <w:pPr>
        <w:spacing w:line="219" w:lineRule="auto"/>
        <w:rPr>
          <w:rFonts w:ascii="宋体" w:hAnsi="宋体" w:eastAsia="宋体" w:cs="宋体"/>
          <w:sz w:val="24"/>
          <w:szCs w:val="24"/>
        </w:rPr>
        <w:sectPr>
          <w:headerReference r:id="rId198" w:type="default"/>
          <w:footerReference r:id="rId199" w:type="default"/>
          <w:pgSz w:w="11906" w:h="16839"/>
          <w:pgMar w:top="1208" w:right="1684" w:bottom="957" w:left="1684" w:header="825" w:footer="794" w:gutter="0"/>
          <w:cols w:space="720" w:num="1"/>
        </w:sectPr>
      </w:pPr>
    </w:p>
    <w:p w14:paraId="3046BF16">
      <w:pPr>
        <w:spacing w:before="268" w:line="211" w:lineRule="auto"/>
        <w:ind w:left="790"/>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6.3-16        </w:t>
      </w:r>
      <w:r>
        <w:rPr>
          <w:rFonts w:ascii="宋体" w:hAnsi="宋体" w:eastAsia="宋体" w:cs="宋体"/>
          <w:sz w:val="24"/>
          <w:szCs w:val="24"/>
        </w:rPr>
        <w:t xml:space="preserve">噪声现状测量结果统计    </w:t>
      </w:r>
      <w:r>
        <w:rPr>
          <w:rFonts w:ascii="宋体" w:hAnsi="宋体" w:eastAsia="宋体" w:cs="宋体"/>
          <w:spacing w:val="-1"/>
          <w:sz w:val="24"/>
          <w:szCs w:val="24"/>
        </w:rPr>
        <w:t xml:space="preserve">            单位：</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tbl>
      <w:tblPr>
        <w:tblStyle w:val="5"/>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7"/>
        <w:gridCol w:w="1331"/>
        <w:gridCol w:w="1511"/>
        <w:gridCol w:w="1283"/>
        <w:gridCol w:w="1655"/>
        <w:gridCol w:w="1375"/>
      </w:tblGrid>
      <w:tr w14:paraId="6E068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27" w:type="dxa"/>
            <w:vAlign w:val="top"/>
          </w:tcPr>
          <w:p w14:paraId="4630E69B">
            <w:pPr>
              <w:pStyle w:val="6"/>
              <w:spacing w:before="195" w:line="228" w:lineRule="auto"/>
              <w:ind w:left="550"/>
            </w:pPr>
            <w:r>
              <w:rPr>
                <w:spacing w:val="7"/>
              </w:rPr>
              <w:t>气象参数</w:t>
            </w:r>
          </w:p>
        </w:tc>
        <w:tc>
          <w:tcPr>
            <w:tcW w:w="1331" w:type="dxa"/>
            <w:vAlign w:val="top"/>
          </w:tcPr>
          <w:p w14:paraId="6CA15950">
            <w:pPr>
              <w:pStyle w:val="6"/>
              <w:spacing w:before="196" w:line="228" w:lineRule="auto"/>
              <w:ind w:left="463"/>
            </w:pPr>
            <w:r>
              <w:rPr>
                <w:spacing w:val="2"/>
              </w:rPr>
              <w:t>天气</w:t>
            </w:r>
          </w:p>
        </w:tc>
        <w:tc>
          <w:tcPr>
            <w:tcW w:w="1511" w:type="dxa"/>
            <w:vAlign w:val="top"/>
          </w:tcPr>
          <w:p w14:paraId="0E7FD034">
            <w:pPr>
              <w:pStyle w:val="6"/>
              <w:spacing w:before="196" w:line="228" w:lineRule="auto"/>
              <w:ind w:left="666"/>
            </w:pPr>
            <w:r>
              <w:t>晴</w:t>
            </w:r>
          </w:p>
        </w:tc>
        <w:tc>
          <w:tcPr>
            <w:tcW w:w="1283" w:type="dxa"/>
            <w:vAlign w:val="top"/>
          </w:tcPr>
          <w:p w14:paraId="4DF62ED4">
            <w:pPr>
              <w:pStyle w:val="6"/>
              <w:spacing w:before="196" w:line="228" w:lineRule="auto"/>
              <w:ind w:left="437"/>
            </w:pPr>
            <w:r>
              <w:rPr>
                <w:spacing w:val="4"/>
              </w:rPr>
              <w:t>风速</w:t>
            </w:r>
          </w:p>
        </w:tc>
        <w:tc>
          <w:tcPr>
            <w:tcW w:w="1655" w:type="dxa"/>
            <w:vAlign w:val="top"/>
          </w:tcPr>
          <w:p w14:paraId="6FF8BCEA">
            <w:pPr>
              <w:pStyle w:val="6"/>
              <w:spacing w:before="195" w:line="239" w:lineRule="auto"/>
              <w:ind w:left="236"/>
            </w:pPr>
            <w:r>
              <w:rPr>
                <w:rFonts w:ascii="Times New Roman" w:hAnsi="Times New Roman" w:eastAsia="Times New Roman" w:cs="Times New Roman"/>
                <w:spacing w:val="1"/>
              </w:rPr>
              <w:t>3.</w:t>
            </w:r>
            <w:r>
              <w:rPr>
                <w:rFonts w:ascii="Times New Roman" w:hAnsi="Times New Roman" w:eastAsia="Times New Roman" w:cs="Times New Roman"/>
                <w:spacing w:val="-24"/>
              </w:rPr>
              <w:t xml:space="preserve"> </w:t>
            </w:r>
            <w:r>
              <w:rPr>
                <w:rFonts w:ascii="Times New Roman" w:hAnsi="Times New Roman" w:eastAsia="Times New Roman" w:cs="Times New Roman"/>
                <w:spacing w:val="1"/>
              </w:rPr>
              <w:t>1m/s</w:t>
            </w:r>
            <w:r>
              <w:rPr>
                <w:spacing w:val="1"/>
              </w:rPr>
              <w:t>（昼）</w:t>
            </w:r>
          </w:p>
        </w:tc>
        <w:tc>
          <w:tcPr>
            <w:tcW w:w="1375" w:type="dxa"/>
            <w:vAlign w:val="top"/>
          </w:tcPr>
          <w:p w14:paraId="178E1286">
            <w:pPr>
              <w:pStyle w:val="6"/>
              <w:spacing w:before="195" w:line="228" w:lineRule="auto"/>
              <w:ind w:left="115"/>
            </w:pPr>
            <w:r>
              <w:rPr>
                <w:rFonts w:ascii="Times New Roman" w:hAnsi="Times New Roman" w:eastAsia="Times New Roman" w:cs="Times New Roman"/>
                <w:spacing w:val="4"/>
              </w:rPr>
              <w:t>3.5m/s</w:t>
            </w:r>
            <w:r>
              <w:rPr>
                <w:spacing w:val="4"/>
              </w:rPr>
              <w:t>（夜）</w:t>
            </w:r>
          </w:p>
        </w:tc>
      </w:tr>
      <w:tr w14:paraId="34CD2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27" w:type="dxa"/>
            <w:vAlign w:val="top"/>
          </w:tcPr>
          <w:p w14:paraId="0D9CA0B9">
            <w:pPr>
              <w:pStyle w:val="6"/>
              <w:spacing w:before="207" w:line="228" w:lineRule="auto"/>
              <w:ind w:left="338"/>
            </w:pPr>
            <w:r>
              <w:rPr>
                <w:spacing w:val="8"/>
              </w:rPr>
              <w:t>检测点位名称</w:t>
            </w:r>
          </w:p>
        </w:tc>
        <w:tc>
          <w:tcPr>
            <w:tcW w:w="1331" w:type="dxa"/>
            <w:vAlign w:val="top"/>
          </w:tcPr>
          <w:p w14:paraId="26AB1931">
            <w:pPr>
              <w:pStyle w:val="6"/>
              <w:spacing w:before="207" w:line="228" w:lineRule="auto"/>
              <w:ind w:left="250"/>
            </w:pPr>
            <w:r>
              <w:rPr>
                <w:spacing w:val="7"/>
              </w:rPr>
              <w:t>检测日期</w:t>
            </w:r>
          </w:p>
        </w:tc>
        <w:tc>
          <w:tcPr>
            <w:tcW w:w="1511" w:type="dxa"/>
            <w:vAlign w:val="top"/>
          </w:tcPr>
          <w:p w14:paraId="34192107">
            <w:pPr>
              <w:pStyle w:val="6"/>
              <w:spacing w:before="207" w:line="228" w:lineRule="auto"/>
              <w:ind w:right="11"/>
              <w:jc w:val="right"/>
            </w:pPr>
            <w:r>
              <w:rPr>
                <w:spacing w:val="-3"/>
              </w:rPr>
              <w:t>检测时间（昼）</w:t>
            </w:r>
          </w:p>
        </w:tc>
        <w:tc>
          <w:tcPr>
            <w:tcW w:w="1283" w:type="dxa"/>
            <w:vAlign w:val="top"/>
          </w:tcPr>
          <w:p w14:paraId="0C0D9AC6">
            <w:pPr>
              <w:pStyle w:val="6"/>
              <w:spacing w:before="52" w:line="277" w:lineRule="auto"/>
              <w:ind w:left="377" w:right="323" w:hanging="39"/>
              <w:rPr>
                <w:rFonts w:ascii="Times New Roman" w:hAnsi="Times New Roman" w:eastAsia="Times New Roman" w:cs="Times New Roman"/>
              </w:rPr>
            </w:pPr>
            <w:r>
              <w:rPr>
                <w:spacing w:val="5"/>
              </w:rPr>
              <w:t>结果值</w:t>
            </w:r>
            <w:r>
              <w:t xml:space="preserve"> </w:t>
            </w:r>
            <w:r>
              <w:rPr>
                <w:rFonts w:ascii="Times New Roman" w:hAnsi="Times New Roman" w:eastAsia="Times New Roman" w:cs="Times New Roman"/>
              </w:rPr>
              <w:t>dB</w:t>
            </w:r>
            <w:r>
              <w:rPr>
                <w:rFonts w:ascii="Times New Roman" w:hAnsi="Times New Roman" w:eastAsia="Times New Roman" w:cs="Times New Roman"/>
                <w:spacing w:val="5"/>
              </w:rPr>
              <w:t>(A)</w:t>
            </w:r>
          </w:p>
        </w:tc>
        <w:tc>
          <w:tcPr>
            <w:tcW w:w="1655" w:type="dxa"/>
            <w:vAlign w:val="top"/>
          </w:tcPr>
          <w:p w14:paraId="5F0DF3B3">
            <w:pPr>
              <w:pStyle w:val="6"/>
              <w:spacing w:before="207" w:line="228" w:lineRule="auto"/>
              <w:ind w:left="113"/>
            </w:pPr>
            <w:r>
              <w:rPr>
                <w:spacing w:val="7"/>
              </w:rPr>
              <w:t>检测时间（夜）</w:t>
            </w:r>
          </w:p>
        </w:tc>
        <w:tc>
          <w:tcPr>
            <w:tcW w:w="1375" w:type="dxa"/>
            <w:vAlign w:val="top"/>
          </w:tcPr>
          <w:p w14:paraId="5B3EBEA9">
            <w:pPr>
              <w:pStyle w:val="6"/>
              <w:spacing w:before="52" w:line="277" w:lineRule="auto"/>
              <w:ind w:left="422" w:right="370" w:hanging="39"/>
              <w:rPr>
                <w:rFonts w:ascii="Times New Roman" w:hAnsi="Times New Roman" w:eastAsia="Times New Roman" w:cs="Times New Roman"/>
              </w:rPr>
            </w:pPr>
            <w:r>
              <w:rPr>
                <w:spacing w:val="5"/>
              </w:rPr>
              <w:t>结果值</w:t>
            </w:r>
            <w:r>
              <w:t xml:space="preserve"> </w:t>
            </w:r>
            <w:r>
              <w:rPr>
                <w:rFonts w:ascii="Times New Roman" w:hAnsi="Times New Roman" w:eastAsia="Times New Roman" w:cs="Times New Roman"/>
              </w:rPr>
              <w:t>dB</w:t>
            </w:r>
            <w:r>
              <w:rPr>
                <w:rFonts w:ascii="Times New Roman" w:hAnsi="Times New Roman" w:eastAsia="Times New Roman" w:cs="Times New Roman"/>
                <w:spacing w:val="5"/>
              </w:rPr>
              <w:t>(A)</w:t>
            </w:r>
          </w:p>
        </w:tc>
      </w:tr>
      <w:tr w14:paraId="56B3F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27" w:type="dxa"/>
            <w:vAlign w:val="top"/>
          </w:tcPr>
          <w:p w14:paraId="1C4DE2C3">
            <w:pPr>
              <w:pStyle w:val="6"/>
              <w:spacing w:before="52" w:line="228" w:lineRule="auto"/>
              <w:ind w:left="288"/>
              <w:rPr>
                <w:rFonts w:ascii="Times New Roman" w:hAnsi="Times New Roman" w:eastAsia="Times New Roman" w:cs="Times New Roman"/>
              </w:rPr>
            </w:pPr>
            <w:r>
              <w:rPr>
                <w:spacing w:val="7"/>
              </w:rPr>
              <w:t>厂界东北侧△</w:t>
            </w:r>
            <w:r>
              <w:rPr>
                <w:rFonts w:ascii="Times New Roman" w:hAnsi="Times New Roman" w:eastAsia="Times New Roman" w:cs="Times New Roman"/>
                <w:spacing w:val="7"/>
              </w:rPr>
              <w:t>1</w:t>
            </w:r>
          </w:p>
        </w:tc>
        <w:tc>
          <w:tcPr>
            <w:tcW w:w="1331" w:type="dxa"/>
            <w:vMerge w:val="restart"/>
            <w:tcBorders>
              <w:bottom w:val="nil"/>
            </w:tcBorders>
            <w:vAlign w:val="top"/>
          </w:tcPr>
          <w:p w14:paraId="214D281F">
            <w:pPr>
              <w:spacing w:line="336" w:lineRule="auto"/>
              <w:rPr>
                <w:rFonts w:ascii="Arial"/>
                <w:sz w:val="21"/>
              </w:rPr>
            </w:pPr>
          </w:p>
          <w:p w14:paraId="2F6E3CAB">
            <w:pPr>
              <w:spacing w:line="336" w:lineRule="auto"/>
              <w:rPr>
                <w:rFonts w:ascii="Arial"/>
                <w:sz w:val="21"/>
              </w:rPr>
            </w:pPr>
          </w:p>
          <w:p w14:paraId="11B0657C">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2023-06-02</w:t>
            </w:r>
          </w:p>
        </w:tc>
        <w:tc>
          <w:tcPr>
            <w:tcW w:w="1511" w:type="dxa"/>
            <w:vAlign w:val="top"/>
          </w:tcPr>
          <w:p w14:paraId="0E573150">
            <w:pPr>
              <w:spacing w:before="88"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08:43-08:53</w:t>
            </w:r>
          </w:p>
        </w:tc>
        <w:tc>
          <w:tcPr>
            <w:tcW w:w="1283" w:type="dxa"/>
            <w:vAlign w:val="top"/>
          </w:tcPr>
          <w:p w14:paraId="3EC03DCE">
            <w:pPr>
              <w:spacing w:before="88" w:line="195"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655" w:type="dxa"/>
            <w:vAlign w:val="top"/>
          </w:tcPr>
          <w:p w14:paraId="4EAE508B">
            <w:pPr>
              <w:spacing w:before="8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22:33-22:43</w:t>
            </w:r>
          </w:p>
        </w:tc>
        <w:tc>
          <w:tcPr>
            <w:tcW w:w="1375" w:type="dxa"/>
            <w:vAlign w:val="top"/>
          </w:tcPr>
          <w:p w14:paraId="7D49EAEB">
            <w:pPr>
              <w:spacing w:before="88"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2415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27" w:type="dxa"/>
            <w:vAlign w:val="top"/>
          </w:tcPr>
          <w:p w14:paraId="3B296755">
            <w:pPr>
              <w:pStyle w:val="6"/>
              <w:spacing w:before="54" w:line="228" w:lineRule="auto"/>
              <w:ind w:left="288"/>
              <w:rPr>
                <w:rFonts w:ascii="Times New Roman" w:hAnsi="Times New Roman" w:eastAsia="Times New Roman" w:cs="Times New Roman"/>
              </w:rPr>
            </w:pPr>
            <w:r>
              <w:rPr>
                <w:spacing w:val="7"/>
              </w:rPr>
              <w:t>厂界东南侧△</w:t>
            </w:r>
            <w:r>
              <w:rPr>
                <w:rFonts w:ascii="Times New Roman" w:hAnsi="Times New Roman" w:eastAsia="Times New Roman" w:cs="Times New Roman"/>
                <w:spacing w:val="7"/>
              </w:rPr>
              <w:t>2</w:t>
            </w:r>
          </w:p>
        </w:tc>
        <w:tc>
          <w:tcPr>
            <w:tcW w:w="1331" w:type="dxa"/>
            <w:vMerge w:val="continue"/>
            <w:tcBorders>
              <w:top w:val="nil"/>
              <w:bottom w:val="nil"/>
            </w:tcBorders>
            <w:vAlign w:val="top"/>
          </w:tcPr>
          <w:p w14:paraId="716BD67F">
            <w:pPr>
              <w:rPr>
                <w:rFonts w:ascii="Arial"/>
                <w:sz w:val="21"/>
              </w:rPr>
            </w:pPr>
          </w:p>
        </w:tc>
        <w:tc>
          <w:tcPr>
            <w:tcW w:w="1511" w:type="dxa"/>
            <w:vAlign w:val="top"/>
          </w:tcPr>
          <w:p w14:paraId="2395CDDF">
            <w:pPr>
              <w:spacing w:before="90"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09:05-09:15</w:t>
            </w:r>
          </w:p>
        </w:tc>
        <w:tc>
          <w:tcPr>
            <w:tcW w:w="1283" w:type="dxa"/>
            <w:vAlign w:val="top"/>
          </w:tcPr>
          <w:p w14:paraId="3738C371">
            <w:pPr>
              <w:spacing w:before="90" w:line="195"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655" w:type="dxa"/>
            <w:vAlign w:val="top"/>
          </w:tcPr>
          <w:p w14:paraId="2EEB82E8">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22:55-23:05</w:t>
            </w:r>
          </w:p>
        </w:tc>
        <w:tc>
          <w:tcPr>
            <w:tcW w:w="1375" w:type="dxa"/>
            <w:vAlign w:val="top"/>
          </w:tcPr>
          <w:p w14:paraId="46BCC0F8">
            <w:pPr>
              <w:spacing w:before="9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730E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27" w:type="dxa"/>
            <w:vAlign w:val="top"/>
          </w:tcPr>
          <w:p w14:paraId="7608870D">
            <w:pPr>
              <w:pStyle w:val="6"/>
              <w:spacing w:before="54" w:line="228" w:lineRule="auto"/>
              <w:ind w:left="288"/>
              <w:rPr>
                <w:rFonts w:ascii="Times New Roman" w:hAnsi="Times New Roman" w:eastAsia="Times New Roman" w:cs="Times New Roman"/>
              </w:rPr>
            </w:pPr>
            <w:r>
              <w:rPr>
                <w:spacing w:val="7"/>
              </w:rPr>
              <w:t>厂界西南侧△</w:t>
            </w:r>
            <w:r>
              <w:rPr>
                <w:rFonts w:ascii="Times New Roman" w:hAnsi="Times New Roman" w:eastAsia="Times New Roman" w:cs="Times New Roman"/>
                <w:spacing w:val="7"/>
              </w:rPr>
              <w:t>3</w:t>
            </w:r>
          </w:p>
        </w:tc>
        <w:tc>
          <w:tcPr>
            <w:tcW w:w="1331" w:type="dxa"/>
            <w:vMerge w:val="continue"/>
            <w:tcBorders>
              <w:top w:val="nil"/>
              <w:bottom w:val="nil"/>
            </w:tcBorders>
            <w:vAlign w:val="top"/>
          </w:tcPr>
          <w:p w14:paraId="0A5199CB">
            <w:pPr>
              <w:rPr>
                <w:rFonts w:ascii="Arial"/>
                <w:sz w:val="21"/>
              </w:rPr>
            </w:pPr>
          </w:p>
        </w:tc>
        <w:tc>
          <w:tcPr>
            <w:tcW w:w="1511" w:type="dxa"/>
            <w:vAlign w:val="top"/>
          </w:tcPr>
          <w:p w14:paraId="47146649">
            <w:pPr>
              <w:spacing w:before="90"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09:23-09:33</w:t>
            </w:r>
          </w:p>
        </w:tc>
        <w:tc>
          <w:tcPr>
            <w:tcW w:w="1283" w:type="dxa"/>
            <w:vAlign w:val="top"/>
          </w:tcPr>
          <w:p w14:paraId="107DD029">
            <w:pPr>
              <w:spacing w:before="93"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655" w:type="dxa"/>
            <w:vAlign w:val="top"/>
          </w:tcPr>
          <w:p w14:paraId="7FFF82DF">
            <w:pPr>
              <w:spacing w:before="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23:13-23:23</w:t>
            </w:r>
          </w:p>
        </w:tc>
        <w:tc>
          <w:tcPr>
            <w:tcW w:w="1375" w:type="dxa"/>
            <w:vAlign w:val="top"/>
          </w:tcPr>
          <w:p w14:paraId="2195CC52">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52DF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27" w:type="dxa"/>
            <w:vAlign w:val="top"/>
          </w:tcPr>
          <w:p w14:paraId="037056E0">
            <w:pPr>
              <w:pStyle w:val="6"/>
              <w:spacing w:before="55" w:line="228" w:lineRule="auto"/>
              <w:ind w:left="288"/>
              <w:rPr>
                <w:rFonts w:ascii="Times New Roman" w:hAnsi="Times New Roman" w:eastAsia="Times New Roman" w:cs="Times New Roman"/>
              </w:rPr>
            </w:pPr>
            <w:r>
              <w:rPr>
                <w:spacing w:val="7"/>
              </w:rPr>
              <w:t>厂界西北侧△</w:t>
            </w:r>
            <w:r>
              <w:rPr>
                <w:rFonts w:ascii="Times New Roman" w:hAnsi="Times New Roman" w:eastAsia="Times New Roman" w:cs="Times New Roman"/>
                <w:spacing w:val="7"/>
              </w:rPr>
              <w:t>4</w:t>
            </w:r>
          </w:p>
        </w:tc>
        <w:tc>
          <w:tcPr>
            <w:tcW w:w="1331" w:type="dxa"/>
            <w:vMerge w:val="continue"/>
            <w:tcBorders>
              <w:top w:val="nil"/>
              <w:bottom w:val="nil"/>
            </w:tcBorders>
            <w:vAlign w:val="top"/>
          </w:tcPr>
          <w:p w14:paraId="4DBE95C8">
            <w:pPr>
              <w:rPr>
                <w:rFonts w:ascii="Arial"/>
                <w:sz w:val="21"/>
              </w:rPr>
            </w:pPr>
          </w:p>
        </w:tc>
        <w:tc>
          <w:tcPr>
            <w:tcW w:w="1511" w:type="dxa"/>
            <w:vAlign w:val="top"/>
          </w:tcPr>
          <w:p w14:paraId="0A6DFFB0">
            <w:pPr>
              <w:spacing w:before="91"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09:42-09:52</w:t>
            </w:r>
          </w:p>
        </w:tc>
        <w:tc>
          <w:tcPr>
            <w:tcW w:w="1283" w:type="dxa"/>
            <w:vAlign w:val="top"/>
          </w:tcPr>
          <w:p w14:paraId="2E505C9E">
            <w:pPr>
              <w:spacing w:before="94"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655" w:type="dxa"/>
            <w:vAlign w:val="top"/>
          </w:tcPr>
          <w:p w14:paraId="13C6D8AB">
            <w:pPr>
              <w:spacing w:before="91"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23:35-23:45</w:t>
            </w:r>
          </w:p>
        </w:tc>
        <w:tc>
          <w:tcPr>
            <w:tcW w:w="1375" w:type="dxa"/>
            <w:vAlign w:val="top"/>
          </w:tcPr>
          <w:p w14:paraId="321BB19D">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BF17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27" w:type="dxa"/>
            <w:vAlign w:val="top"/>
          </w:tcPr>
          <w:p w14:paraId="586224A8">
            <w:pPr>
              <w:pStyle w:val="6"/>
              <w:spacing w:before="55" w:line="228" w:lineRule="auto"/>
              <w:ind w:left="653"/>
            </w:pPr>
            <w:r>
              <w:rPr>
                <w:spacing w:val="6"/>
              </w:rPr>
              <w:t>敏感点</w:t>
            </w:r>
          </w:p>
        </w:tc>
        <w:tc>
          <w:tcPr>
            <w:tcW w:w="1331" w:type="dxa"/>
            <w:vMerge w:val="continue"/>
            <w:tcBorders>
              <w:top w:val="nil"/>
            </w:tcBorders>
            <w:vAlign w:val="top"/>
          </w:tcPr>
          <w:p w14:paraId="2566BAF3">
            <w:pPr>
              <w:rPr>
                <w:rFonts w:ascii="Arial"/>
                <w:sz w:val="21"/>
              </w:rPr>
            </w:pPr>
          </w:p>
        </w:tc>
        <w:tc>
          <w:tcPr>
            <w:tcW w:w="1511" w:type="dxa"/>
            <w:vAlign w:val="top"/>
          </w:tcPr>
          <w:p w14:paraId="0B6CF7C7">
            <w:pPr>
              <w:spacing w:before="92"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10:01~</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10:11</w:t>
            </w:r>
          </w:p>
        </w:tc>
        <w:tc>
          <w:tcPr>
            <w:tcW w:w="1283" w:type="dxa"/>
            <w:vAlign w:val="top"/>
          </w:tcPr>
          <w:p w14:paraId="62CA4EAA">
            <w:pPr>
              <w:spacing w:before="95" w:line="192"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655" w:type="dxa"/>
            <w:vAlign w:val="top"/>
          </w:tcPr>
          <w:p w14:paraId="67F129CB">
            <w:pPr>
              <w:spacing w:before="9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23:57~24:07</w:t>
            </w:r>
          </w:p>
        </w:tc>
        <w:tc>
          <w:tcPr>
            <w:tcW w:w="1375" w:type="dxa"/>
            <w:vAlign w:val="top"/>
          </w:tcPr>
          <w:p w14:paraId="6ECB6D79">
            <w:pPr>
              <w:spacing w:before="92"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bl>
    <w:p w14:paraId="7C434595">
      <w:pPr>
        <w:spacing w:before="115" w:line="360" w:lineRule="auto"/>
        <w:ind w:left="396" w:right="539" w:firstLine="510"/>
        <w:jc w:val="both"/>
        <w:rPr>
          <w:rFonts w:ascii="宋体" w:hAnsi="宋体" w:eastAsia="宋体" w:cs="宋体"/>
          <w:sz w:val="24"/>
          <w:szCs w:val="24"/>
        </w:rPr>
      </w:pPr>
      <w:r>
        <w:rPr>
          <w:rFonts w:ascii="宋体" w:hAnsi="宋体" w:eastAsia="宋体" w:cs="宋体"/>
          <w:sz w:val="24"/>
          <w:szCs w:val="24"/>
        </w:rPr>
        <w:t>由表可见，本项目厂界噪声现状测量值昼间在</w:t>
      </w:r>
      <w:r>
        <w:rPr>
          <w:rFonts w:ascii="Times New Roman" w:hAnsi="Times New Roman" w:eastAsia="Times New Roman" w:cs="Times New Roman"/>
          <w:sz w:val="24"/>
          <w:szCs w:val="24"/>
        </w:rPr>
        <w:t>54</w:t>
      </w:r>
      <w:r>
        <w:rPr>
          <w:rFonts w:ascii="宋体" w:hAnsi="宋体" w:eastAsia="宋体" w:cs="宋体"/>
          <w:spacing w:val="-1"/>
          <w:sz w:val="24"/>
          <w:szCs w:val="24"/>
        </w:rPr>
        <w:t>～</w:t>
      </w:r>
      <w:r>
        <w:rPr>
          <w:rFonts w:ascii="Times New Roman" w:hAnsi="Times New Roman" w:eastAsia="Times New Roman" w:cs="Times New Roman"/>
          <w:spacing w:val="-1"/>
          <w:sz w:val="24"/>
          <w:szCs w:val="24"/>
        </w:rPr>
        <w:t>55dB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）之间，夜间</w:t>
      </w:r>
      <w:r>
        <w:rPr>
          <w:rFonts w:ascii="宋体" w:hAnsi="宋体" w:eastAsia="宋体" w:cs="宋体"/>
          <w:sz w:val="24"/>
          <w:szCs w:val="24"/>
        </w:rPr>
        <w:t xml:space="preserve"> </w:t>
      </w:r>
      <w:r>
        <w:rPr>
          <w:rFonts w:ascii="宋体" w:hAnsi="宋体" w:eastAsia="宋体" w:cs="宋体"/>
          <w:spacing w:val="-1"/>
          <w:sz w:val="24"/>
          <w:szCs w:val="24"/>
        </w:rPr>
        <w:t>在</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44</w:t>
      </w:r>
      <w:r>
        <w:rPr>
          <w:rFonts w:ascii="宋体" w:hAnsi="宋体" w:eastAsia="宋体" w:cs="宋体"/>
          <w:spacing w:val="-1"/>
          <w:sz w:val="24"/>
          <w:szCs w:val="24"/>
        </w:rPr>
        <w:t>～</w:t>
      </w:r>
      <w:r>
        <w:rPr>
          <w:rFonts w:ascii="Times New Roman" w:hAnsi="Times New Roman" w:eastAsia="Times New Roman" w:cs="Times New Roman"/>
          <w:spacing w:val="-1"/>
          <w:sz w:val="24"/>
          <w:szCs w:val="24"/>
        </w:rPr>
        <w:t>45dB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）之间。本项目厂区噪声监测值均小于</w:t>
      </w:r>
      <w:r>
        <w:rPr>
          <w:rFonts w:ascii="宋体" w:hAnsi="宋体" w:eastAsia="宋体" w:cs="宋体"/>
          <w:spacing w:val="-2"/>
          <w:sz w:val="24"/>
          <w:szCs w:val="24"/>
        </w:rPr>
        <w:t>《工业企业厂界环境噪</w:t>
      </w:r>
      <w:r>
        <w:rPr>
          <w:rFonts w:ascii="宋体" w:hAnsi="宋体" w:eastAsia="宋体" w:cs="宋体"/>
          <w:sz w:val="24"/>
          <w:szCs w:val="24"/>
        </w:rPr>
        <w:t xml:space="preserve"> 声排放标准》（</w:t>
      </w:r>
      <w:r>
        <w:rPr>
          <w:rFonts w:ascii="Times New Roman" w:hAnsi="Times New Roman" w:eastAsia="Times New Roman" w:cs="Times New Roman"/>
          <w:sz w:val="24"/>
          <w:szCs w:val="24"/>
        </w:rPr>
        <w:t>GB12348-2008</w:t>
      </w:r>
      <w:r>
        <w:rPr>
          <w:rFonts w:ascii="宋体" w:hAnsi="宋体" w:eastAsia="宋体" w:cs="宋体"/>
          <w:sz w:val="24"/>
          <w:szCs w:val="24"/>
        </w:rPr>
        <w:t>）</w:t>
      </w:r>
      <w:r>
        <w:rPr>
          <w:rFonts w:ascii="Times New Roman" w:hAnsi="Times New Roman" w:eastAsia="Times New Roman" w:cs="Times New Roman"/>
          <w:sz w:val="24"/>
          <w:szCs w:val="24"/>
        </w:rPr>
        <w:t xml:space="preserve">2 </w:t>
      </w:r>
      <w:r>
        <w:rPr>
          <w:rFonts w:ascii="宋体" w:hAnsi="宋体" w:eastAsia="宋体" w:cs="宋体"/>
          <w:sz w:val="24"/>
          <w:szCs w:val="24"/>
        </w:rPr>
        <w:t>类标准的限值要求。敏感点噪声监测</w:t>
      </w:r>
      <w:r>
        <w:rPr>
          <w:rFonts w:ascii="宋体" w:hAnsi="宋体" w:eastAsia="宋体" w:cs="宋体"/>
          <w:spacing w:val="-1"/>
          <w:sz w:val="24"/>
          <w:szCs w:val="24"/>
        </w:rPr>
        <w:t>值满足</w:t>
      </w:r>
      <w:r>
        <w:rPr>
          <w:rFonts w:ascii="宋体" w:hAnsi="宋体" w:eastAsia="宋体" w:cs="宋体"/>
          <w:sz w:val="24"/>
          <w:szCs w:val="24"/>
        </w:rPr>
        <w:t xml:space="preserve"> </w:t>
      </w:r>
      <w:r>
        <w:rPr>
          <w:rFonts w:ascii="宋体" w:hAnsi="宋体" w:eastAsia="宋体" w:cs="宋体"/>
          <w:spacing w:val="-1"/>
          <w:sz w:val="24"/>
          <w:szCs w:val="24"/>
        </w:rPr>
        <w:t>《声环境质量标准》（</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w:t>
      </w:r>
    </w:p>
    <w:p w14:paraId="7E2737DC">
      <w:pPr>
        <w:spacing w:before="1" w:line="217" w:lineRule="auto"/>
        <w:ind w:left="877"/>
        <w:outlineLvl w:val="2"/>
        <w:rPr>
          <w:rFonts w:ascii="宋体" w:hAnsi="宋体" w:eastAsia="宋体" w:cs="宋体"/>
          <w:sz w:val="24"/>
          <w:szCs w:val="24"/>
        </w:rPr>
      </w:pPr>
      <w:bookmarkStart w:id="96" w:name="bookmark87"/>
      <w:bookmarkEnd w:id="96"/>
      <w:r>
        <w:rPr>
          <w:rFonts w:ascii="Times New Roman" w:hAnsi="Times New Roman" w:eastAsia="Times New Roman" w:cs="Times New Roman"/>
          <w:b/>
          <w:bCs/>
          <w:spacing w:val="-2"/>
          <w:sz w:val="24"/>
          <w:szCs w:val="24"/>
        </w:rPr>
        <w:t xml:space="preserve">6.3.4 </w:t>
      </w:r>
      <w:r>
        <w:rPr>
          <w:rFonts w:ascii="宋体" w:hAnsi="宋体" w:eastAsia="宋体" w:cs="宋体"/>
          <w:b/>
          <w:bCs/>
          <w:spacing w:val="-2"/>
          <w:sz w:val="24"/>
          <w:szCs w:val="24"/>
        </w:rPr>
        <w:t>土壤现状监测及评价</w:t>
      </w:r>
    </w:p>
    <w:p w14:paraId="3A47B116">
      <w:pPr>
        <w:spacing w:before="185" w:line="219" w:lineRule="auto"/>
        <w:ind w:left="87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6.3.4.1 </w:t>
      </w:r>
      <w:r>
        <w:rPr>
          <w:rFonts w:ascii="宋体" w:hAnsi="宋体" w:eastAsia="宋体" w:cs="宋体"/>
          <w:spacing w:val="-1"/>
          <w:sz w:val="24"/>
          <w:szCs w:val="24"/>
        </w:rPr>
        <w:t>土壤理化特性调查</w:t>
      </w:r>
    </w:p>
    <w:p w14:paraId="04229F7D">
      <w:pPr>
        <w:spacing w:before="183" w:line="362" w:lineRule="auto"/>
        <w:ind w:left="398" w:right="597" w:firstLine="479"/>
        <w:rPr>
          <w:rFonts w:ascii="宋体" w:hAnsi="宋体" w:eastAsia="宋体" w:cs="宋体"/>
          <w:sz w:val="24"/>
          <w:szCs w:val="24"/>
        </w:rPr>
      </w:pPr>
      <w:r>
        <w:rPr>
          <w:rFonts w:ascii="宋体" w:hAnsi="宋体" w:eastAsia="宋体" w:cs="宋体"/>
          <w:spacing w:val="-2"/>
          <w:sz w:val="24"/>
          <w:szCs w:val="24"/>
        </w:rPr>
        <w:t>根据《中国土壤数据库》，评价区土壤属于沙壤土。根据现场</w:t>
      </w:r>
      <w:r>
        <w:rPr>
          <w:rFonts w:ascii="宋体" w:hAnsi="宋体" w:eastAsia="宋体" w:cs="宋体"/>
          <w:spacing w:val="-3"/>
          <w:sz w:val="24"/>
          <w:szCs w:val="24"/>
        </w:rPr>
        <w:t>监测调查，</w:t>
      </w:r>
      <w:r>
        <w:rPr>
          <w:rFonts w:ascii="宋体" w:hAnsi="宋体" w:eastAsia="宋体" w:cs="宋体"/>
          <w:sz w:val="24"/>
          <w:szCs w:val="24"/>
        </w:rPr>
        <w:t xml:space="preserve"> </w:t>
      </w:r>
      <w:r>
        <w:rPr>
          <w:rFonts w:ascii="宋体" w:hAnsi="宋体" w:eastAsia="宋体" w:cs="宋体"/>
          <w:spacing w:val="-2"/>
          <w:sz w:val="24"/>
          <w:szCs w:val="24"/>
        </w:rPr>
        <w:t>其理化性质见表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6.3-12</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。土体构型（土壤剖面）结果表见表</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6.3-13</w:t>
      </w:r>
      <w:r>
        <w:rPr>
          <w:rFonts w:ascii="宋体" w:hAnsi="宋体" w:eastAsia="宋体" w:cs="宋体"/>
          <w:spacing w:val="-2"/>
          <w:sz w:val="24"/>
          <w:szCs w:val="24"/>
        </w:rPr>
        <w:t>。</w:t>
      </w:r>
    </w:p>
    <w:p w14:paraId="01A03066">
      <w:pPr>
        <w:spacing w:line="362" w:lineRule="auto"/>
        <w:rPr>
          <w:rFonts w:ascii="宋体" w:hAnsi="宋体" w:eastAsia="宋体" w:cs="宋体"/>
          <w:sz w:val="24"/>
          <w:szCs w:val="24"/>
        </w:rPr>
        <w:sectPr>
          <w:headerReference r:id="rId200" w:type="default"/>
          <w:footerReference r:id="rId201" w:type="default"/>
          <w:pgSz w:w="11906" w:h="16839"/>
          <w:pgMar w:top="1208" w:right="1409" w:bottom="957" w:left="1409" w:header="825" w:footer="794" w:gutter="0"/>
          <w:cols w:space="720" w:num="1"/>
        </w:sectPr>
      </w:pPr>
    </w:p>
    <w:p w14:paraId="45813A49">
      <w:pPr>
        <w:pStyle w:val="2"/>
        <w:spacing w:line="286" w:lineRule="auto"/>
      </w:pPr>
    </w:p>
    <w:p w14:paraId="589E90C3">
      <w:pPr>
        <w:pStyle w:val="2"/>
        <w:spacing w:line="286" w:lineRule="auto"/>
      </w:pPr>
    </w:p>
    <w:p w14:paraId="1F5A6C9B">
      <w:pPr>
        <w:spacing w:before="65" w:line="228" w:lineRule="auto"/>
        <w:ind w:left="5770"/>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7"/>
          <w:sz w:val="20"/>
          <w:szCs w:val="20"/>
        </w:rPr>
        <w:t xml:space="preserve"> </w:t>
      </w:r>
      <w:r>
        <w:rPr>
          <w:rFonts w:ascii="Times New Roman" w:hAnsi="Times New Roman" w:eastAsia="Times New Roman" w:cs="Times New Roman"/>
          <w:spacing w:val="6"/>
          <w:sz w:val="20"/>
          <w:szCs w:val="20"/>
        </w:rPr>
        <w:t xml:space="preserve">6.3-12  </w:t>
      </w:r>
      <w:r>
        <w:rPr>
          <w:rFonts w:ascii="宋体" w:hAnsi="宋体" w:eastAsia="宋体" w:cs="宋体"/>
          <w:spacing w:val="6"/>
          <w:sz w:val="20"/>
          <w:szCs w:val="20"/>
        </w:rPr>
        <w:t>土壤理化性质调查表</w:t>
      </w:r>
    </w:p>
    <w:p w14:paraId="3CA6A76F">
      <w:pPr>
        <w:spacing w:line="126" w:lineRule="auto"/>
        <w:rPr>
          <w:rFonts w:ascii="Arial"/>
          <w:sz w:val="2"/>
        </w:rPr>
      </w:pPr>
    </w:p>
    <w:tbl>
      <w:tblPr>
        <w:tblStyle w:val="5"/>
        <w:tblW w:w="143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1709"/>
        <w:gridCol w:w="1304"/>
        <w:gridCol w:w="1304"/>
        <w:gridCol w:w="1304"/>
        <w:gridCol w:w="1305"/>
        <w:gridCol w:w="1305"/>
        <w:gridCol w:w="69"/>
        <w:gridCol w:w="1240"/>
        <w:gridCol w:w="979"/>
        <w:gridCol w:w="326"/>
        <w:gridCol w:w="1305"/>
        <w:gridCol w:w="1309"/>
      </w:tblGrid>
      <w:tr w14:paraId="1E822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2567" w:type="dxa"/>
            <w:gridSpan w:val="2"/>
            <w:vAlign w:val="top"/>
          </w:tcPr>
          <w:p w14:paraId="6B9A2F24">
            <w:pPr>
              <w:pStyle w:val="6"/>
              <w:spacing w:before="227" w:line="228" w:lineRule="auto"/>
              <w:ind w:left="873"/>
            </w:pPr>
            <w:r>
              <w:rPr>
                <w:spacing w:val="6"/>
              </w:rPr>
              <w:t>项目名称</w:t>
            </w:r>
          </w:p>
        </w:tc>
        <w:tc>
          <w:tcPr>
            <w:tcW w:w="6591" w:type="dxa"/>
            <w:gridSpan w:val="6"/>
            <w:vAlign w:val="top"/>
          </w:tcPr>
          <w:p w14:paraId="56982EF1">
            <w:pPr>
              <w:pStyle w:val="6"/>
              <w:spacing w:before="71" w:line="228" w:lineRule="auto"/>
              <w:ind w:left="118"/>
            </w:pPr>
            <w:r>
              <w:rPr>
                <w:spacing w:val="7"/>
              </w:rPr>
              <w:t>内蒙古玉龙矿业股份有限公司西乌珠穆沁旗花敖包特银铅矿</w:t>
            </w:r>
            <w:r>
              <w:rPr>
                <w:spacing w:val="-26"/>
              </w:rPr>
              <w:t xml:space="preserve"> </w:t>
            </w:r>
            <w:r>
              <w:rPr>
                <w:rFonts w:ascii="Times New Roman" w:hAnsi="Times New Roman" w:eastAsia="Times New Roman" w:cs="Times New Roman"/>
                <w:spacing w:val="7"/>
              </w:rPr>
              <w:t xml:space="preserve">2000t/d </w:t>
            </w:r>
            <w:r>
              <w:rPr>
                <w:spacing w:val="7"/>
              </w:rPr>
              <w:t>选</w:t>
            </w:r>
          </w:p>
          <w:p w14:paraId="5B43F0E0">
            <w:pPr>
              <w:pStyle w:val="6"/>
              <w:spacing w:before="65" w:line="228" w:lineRule="auto"/>
              <w:ind w:left="2461"/>
            </w:pPr>
            <w:r>
              <w:rPr>
                <w:spacing w:val="8"/>
              </w:rPr>
              <w:t>矿厂技术改造项目</w:t>
            </w:r>
          </w:p>
        </w:tc>
        <w:tc>
          <w:tcPr>
            <w:tcW w:w="2219" w:type="dxa"/>
            <w:gridSpan w:val="2"/>
            <w:vAlign w:val="top"/>
          </w:tcPr>
          <w:p w14:paraId="732D0FF9">
            <w:pPr>
              <w:pStyle w:val="6"/>
              <w:spacing w:before="227" w:line="227" w:lineRule="auto"/>
              <w:ind w:left="696"/>
            </w:pPr>
            <w:r>
              <w:rPr>
                <w:spacing w:val="7"/>
              </w:rPr>
              <w:t>采样时间</w:t>
            </w:r>
          </w:p>
        </w:tc>
        <w:tc>
          <w:tcPr>
            <w:tcW w:w="2940" w:type="dxa"/>
            <w:gridSpan w:val="3"/>
            <w:vAlign w:val="top"/>
          </w:tcPr>
          <w:p w14:paraId="43CBA40B">
            <w:pPr>
              <w:pStyle w:val="6"/>
              <w:spacing w:before="227" w:line="228" w:lineRule="auto"/>
              <w:ind w:left="605"/>
            </w:pPr>
            <w:r>
              <w:rPr>
                <w:rFonts w:ascii="Times New Roman" w:hAnsi="Times New Roman" w:eastAsia="Times New Roman" w:cs="Times New Roman"/>
                <w:spacing w:val="1"/>
              </w:rPr>
              <w:t xml:space="preserve">2023 </w:t>
            </w:r>
            <w:r>
              <w:rPr>
                <w:spacing w:val="1"/>
              </w:rPr>
              <w:t>年</w:t>
            </w:r>
            <w:r>
              <w:rPr>
                <w:spacing w:val="-32"/>
              </w:rPr>
              <w:t xml:space="preserve"> </w:t>
            </w:r>
            <w:r>
              <w:rPr>
                <w:rFonts w:ascii="Times New Roman" w:hAnsi="Times New Roman" w:eastAsia="Times New Roman" w:cs="Times New Roman"/>
                <w:spacing w:val="1"/>
              </w:rPr>
              <w:t>05</w:t>
            </w:r>
            <w:r>
              <w:rPr>
                <w:rFonts w:ascii="Times New Roman" w:hAnsi="Times New Roman" w:eastAsia="Times New Roman" w:cs="Times New Roman"/>
                <w:spacing w:val="14"/>
                <w:w w:val="101"/>
              </w:rPr>
              <w:t xml:space="preserve"> </w:t>
            </w:r>
            <w:r>
              <w:rPr>
                <w:spacing w:val="1"/>
              </w:rPr>
              <w:t>月</w:t>
            </w:r>
            <w:r>
              <w:rPr>
                <w:spacing w:val="-37"/>
              </w:rPr>
              <w:t xml:space="preserve"> </w:t>
            </w:r>
            <w:r>
              <w:rPr>
                <w:rFonts w:ascii="Times New Roman" w:hAnsi="Times New Roman" w:eastAsia="Times New Roman" w:cs="Times New Roman"/>
                <w:spacing w:val="1"/>
              </w:rPr>
              <w:t xml:space="preserve">31  </w:t>
            </w:r>
            <w:r>
              <w:rPr>
                <w:spacing w:val="1"/>
              </w:rPr>
              <w:t>日</w:t>
            </w:r>
          </w:p>
        </w:tc>
      </w:tr>
      <w:tr w14:paraId="0E8EB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567" w:type="dxa"/>
            <w:gridSpan w:val="2"/>
            <w:vAlign w:val="top"/>
          </w:tcPr>
          <w:p w14:paraId="7F021784">
            <w:pPr>
              <w:pStyle w:val="6"/>
              <w:spacing w:before="222" w:line="228" w:lineRule="auto"/>
              <w:ind w:left="566"/>
            </w:pPr>
            <w:r>
              <w:rPr>
                <w:spacing w:val="7"/>
              </w:rPr>
              <w:t>点位及经度纬度</w:t>
            </w:r>
          </w:p>
        </w:tc>
        <w:tc>
          <w:tcPr>
            <w:tcW w:w="3912" w:type="dxa"/>
            <w:gridSpan w:val="3"/>
            <w:vAlign w:val="top"/>
          </w:tcPr>
          <w:p w14:paraId="629371B0">
            <w:pPr>
              <w:pStyle w:val="6"/>
              <w:spacing w:before="66" w:line="229" w:lineRule="auto"/>
              <w:ind w:left="1620"/>
              <w:rPr>
                <w:rFonts w:ascii="Times New Roman" w:hAnsi="Times New Roman" w:eastAsia="Times New Roman" w:cs="Times New Roman"/>
              </w:rPr>
            </w:pPr>
            <w:r>
              <w:rPr>
                <w:spacing w:val="-2"/>
              </w:rPr>
              <w:t>土壤</w:t>
            </w:r>
            <w:r>
              <w:rPr>
                <w:spacing w:val="-20"/>
              </w:rPr>
              <w:t xml:space="preserve"> </w:t>
            </w:r>
            <w:r>
              <w:rPr>
                <w:rFonts w:ascii="Times New Roman" w:hAnsi="Times New Roman" w:eastAsia="Times New Roman" w:cs="Times New Roman"/>
                <w:spacing w:val="-2"/>
              </w:rPr>
              <w:t>1#</w:t>
            </w:r>
          </w:p>
          <w:p w14:paraId="7DEF204C">
            <w:pPr>
              <w:pStyle w:val="6"/>
              <w:spacing w:before="100" w:line="186" w:lineRule="auto"/>
              <w:ind w:left="449"/>
              <w:rPr>
                <w:rFonts w:ascii="Times New Roman" w:hAnsi="Times New Roman" w:eastAsia="Times New Roman" w:cs="Times New Roman"/>
              </w:rPr>
            </w:pPr>
            <w:r>
              <w:rPr>
                <w:rFonts w:ascii="Times New Roman" w:hAnsi="Times New Roman" w:eastAsia="Times New Roman" w:cs="Times New Roman"/>
                <w:spacing w:val="2"/>
              </w:rPr>
              <w:t>E118°57′22.560″</w:t>
            </w:r>
            <w:r>
              <w:rPr>
                <w:rFonts w:ascii="Times New Roman" w:hAnsi="Times New Roman" w:eastAsia="Times New Roman" w:cs="Times New Roman"/>
                <w:spacing w:val="-25"/>
              </w:rPr>
              <w:t xml:space="preserve"> </w:t>
            </w:r>
            <w:r>
              <w:rPr>
                <w:spacing w:val="2"/>
              </w:rPr>
              <w:t>，</w:t>
            </w:r>
            <w:r>
              <w:rPr>
                <w:rFonts w:ascii="Times New Roman" w:hAnsi="Times New Roman" w:eastAsia="Times New Roman" w:cs="Times New Roman"/>
                <w:spacing w:val="2"/>
              </w:rPr>
              <w:t>N45°</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1"/>
              </w:rPr>
              <w:t>560″</w:t>
            </w:r>
          </w:p>
        </w:tc>
        <w:tc>
          <w:tcPr>
            <w:tcW w:w="3919" w:type="dxa"/>
            <w:gridSpan w:val="4"/>
            <w:vAlign w:val="top"/>
          </w:tcPr>
          <w:p w14:paraId="5D701DE8">
            <w:pPr>
              <w:pStyle w:val="6"/>
              <w:spacing w:before="66" w:line="229" w:lineRule="auto"/>
              <w:ind w:left="1627"/>
              <w:rPr>
                <w:rFonts w:ascii="Times New Roman" w:hAnsi="Times New Roman" w:eastAsia="Times New Roman" w:cs="Times New Roman"/>
              </w:rPr>
            </w:pPr>
            <w:r>
              <w:rPr>
                <w:spacing w:val="3"/>
              </w:rPr>
              <w:t>土壤</w:t>
            </w:r>
            <w:r>
              <w:rPr>
                <w:spacing w:val="-42"/>
              </w:rPr>
              <w:t xml:space="preserve"> </w:t>
            </w:r>
            <w:r>
              <w:rPr>
                <w:rFonts w:ascii="Times New Roman" w:hAnsi="Times New Roman" w:eastAsia="Times New Roman" w:cs="Times New Roman"/>
                <w:spacing w:val="3"/>
              </w:rPr>
              <w:t>2#</w:t>
            </w:r>
          </w:p>
          <w:p w14:paraId="0585C3CC">
            <w:pPr>
              <w:pStyle w:val="6"/>
              <w:spacing w:before="100" w:line="186" w:lineRule="auto"/>
              <w:ind w:left="559"/>
              <w:rPr>
                <w:rFonts w:ascii="Times New Roman" w:hAnsi="Times New Roman" w:eastAsia="Times New Roman" w:cs="Times New Roman"/>
              </w:rPr>
            </w:pPr>
            <w:r>
              <w:rPr>
                <w:rFonts w:ascii="Times New Roman" w:hAnsi="Times New Roman" w:eastAsia="Times New Roman" w:cs="Times New Roman"/>
                <w:spacing w:val="2"/>
              </w:rPr>
              <w:t>E118°57′32.45″</w:t>
            </w:r>
            <w:r>
              <w:rPr>
                <w:rFonts w:ascii="Times New Roman" w:hAnsi="Times New Roman" w:eastAsia="Times New Roman" w:cs="Times New Roman"/>
                <w:spacing w:val="-11"/>
              </w:rPr>
              <w:t xml:space="preserve"> </w:t>
            </w:r>
            <w:r>
              <w:rPr>
                <w:spacing w:val="2"/>
              </w:rPr>
              <w:t>，</w:t>
            </w:r>
            <w:r>
              <w:rPr>
                <w:rFonts w:ascii="Times New Roman" w:hAnsi="Times New Roman" w:eastAsia="Times New Roman" w:cs="Times New Roman"/>
                <w:spacing w:val="2"/>
              </w:rPr>
              <w:t>N45°</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16′23.27″</w:t>
            </w:r>
          </w:p>
        </w:tc>
        <w:tc>
          <w:tcPr>
            <w:tcW w:w="3919" w:type="dxa"/>
            <w:gridSpan w:val="4"/>
            <w:vAlign w:val="top"/>
          </w:tcPr>
          <w:p w14:paraId="76E5398D">
            <w:pPr>
              <w:pStyle w:val="6"/>
              <w:spacing w:before="66" w:line="229" w:lineRule="auto"/>
              <w:ind w:left="1625"/>
              <w:rPr>
                <w:rFonts w:ascii="Times New Roman" w:hAnsi="Times New Roman" w:eastAsia="Times New Roman" w:cs="Times New Roman"/>
              </w:rPr>
            </w:pPr>
            <w:r>
              <w:rPr>
                <w:spacing w:val="2"/>
              </w:rPr>
              <w:t>土壤</w:t>
            </w:r>
            <w:r>
              <w:rPr>
                <w:spacing w:val="-38"/>
              </w:rPr>
              <w:t xml:space="preserve"> </w:t>
            </w:r>
            <w:r>
              <w:rPr>
                <w:rFonts w:ascii="Times New Roman" w:hAnsi="Times New Roman" w:eastAsia="Times New Roman" w:cs="Times New Roman"/>
                <w:spacing w:val="2"/>
              </w:rPr>
              <w:t>3#</w:t>
            </w:r>
          </w:p>
          <w:p w14:paraId="01B4BA5C">
            <w:pPr>
              <w:spacing w:before="99"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E118°57′25.71″N45°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2"/>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15.48″</w:t>
            </w:r>
          </w:p>
        </w:tc>
      </w:tr>
      <w:tr w14:paraId="6FE93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567" w:type="dxa"/>
            <w:gridSpan w:val="2"/>
            <w:vAlign w:val="top"/>
          </w:tcPr>
          <w:p w14:paraId="48F24A79">
            <w:pPr>
              <w:pStyle w:val="6"/>
              <w:spacing w:before="109" w:line="228" w:lineRule="auto"/>
              <w:ind w:left="1078"/>
            </w:pPr>
            <w:r>
              <w:rPr>
                <w:spacing w:val="4"/>
              </w:rPr>
              <w:t>层次</w:t>
            </w:r>
          </w:p>
        </w:tc>
        <w:tc>
          <w:tcPr>
            <w:tcW w:w="1304" w:type="dxa"/>
            <w:vAlign w:val="top"/>
          </w:tcPr>
          <w:p w14:paraId="4385E226">
            <w:pPr>
              <w:pStyle w:val="6"/>
              <w:spacing w:before="109" w:line="228" w:lineRule="auto"/>
              <w:ind w:left="342"/>
            </w:pPr>
            <w:r>
              <w:rPr>
                <w:spacing w:val="7"/>
              </w:rPr>
              <w:t>表层样</w:t>
            </w:r>
          </w:p>
        </w:tc>
        <w:tc>
          <w:tcPr>
            <w:tcW w:w="1304" w:type="dxa"/>
            <w:vAlign w:val="top"/>
          </w:tcPr>
          <w:p w14:paraId="1BB9E40A">
            <w:pPr>
              <w:pStyle w:val="6"/>
              <w:spacing w:before="109" w:line="228" w:lineRule="auto"/>
              <w:ind w:left="361"/>
            </w:pPr>
            <w:r>
              <w:t>中层样</w:t>
            </w:r>
          </w:p>
        </w:tc>
        <w:tc>
          <w:tcPr>
            <w:tcW w:w="1304" w:type="dxa"/>
            <w:vAlign w:val="top"/>
          </w:tcPr>
          <w:p w14:paraId="55DCAC9D">
            <w:pPr>
              <w:pStyle w:val="6"/>
              <w:spacing w:before="109" w:line="228" w:lineRule="auto"/>
              <w:ind w:left="343"/>
            </w:pPr>
            <w:r>
              <w:rPr>
                <w:spacing w:val="6"/>
              </w:rPr>
              <w:t>深层样</w:t>
            </w:r>
          </w:p>
        </w:tc>
        <w:tc>
          <w:tcPr>
            <w:tcW w:w="1305" w:type="dxa"/>
            <w:vAlign w:val="top"/>
          </w:tcPr>
          <w:p w14:paraId="6E69FDE8">
            <w:pPr>
              <w:pStyle w:val="6"/>
              <w:spacing w:before="109" w:line="228" w:lineRule="auto"/>
              <w:ind w:left="344"/>
            </w:pPr>
            <w:r>
              <w:rPr>
                <w:spacing w:val="7"/>
              </w:rPr>
              <w:t>表层样</w:t>
            </w:r>
          </w:p>
        </w:tc>
        <w:tc>
          <w:tcPr>
            <w:tcW w:w="1305" w:type="dxa"/>
            <w:vAlign w:val="top"/>
          </w:tcPr>
          <w:p w14:paraId="7EF48038">
            <w:pPr>
              <w:pStyle w:val="6"/>
              <w:spacing w:before="109" w:line="228" w:lineRule="auto"/>
              <w:ind w:left="365"/>
            </w:pPr>
            <w:r>
              <w:rPr>
                <w:spacing w:val="-1"/>
              </w:rPr>
              <w:t>中层样</w:t>
            </w:r>
          </w:p>
        </w:tc>
        <w:tc>
          <w:tcPr>
            <w:tcW w:w="1309" w:type="dxa"/>
            <w:gridSpan w:val="2"/>
            <w:vAlign w:val="top"/>
          </w:tcPr>
          <w:p w14:paraId="6D719203">
            <w:pPr>
              <w:pStyle w:val="6"/>
              <w:spacing w:before="109" w:line="228" w:lineRule="auto"/>
              <w:ind w:left="346"/>
            </w:pPr>
            <w:r>
              <w:rPr>
                <w:spacing w:val="6"/>
              </w:rPr>
              <w:t>深层样</w:t>
            </w:r>
          </w:p>
        </w:tc>
        <w:tc>
          <w:tcPr>
            <w:tcW w:w="1305" w:type="dxa"/>
            <w:gridSpan w:val="2"/>
            <w:vAlign w:val="top"/>
          </w:tcPr>
          <w:p w14:paraId="250EFE5B">
            <w:pPr>
              <w:pStyle w:val="6"/>
              <w:spacing w:before="109" w:line="228" w:lineRule="auto"/>
              <w:ind w:left="344"/>
            </w:pPr>
            <w:r>
              <w:rPr>
                <w:spacing w:val="7"/>
              </w:rPr>
              <w:t>表层样</w:t>
            </w:r>
          </w:p>
        </w:tc>
        <w:tc>
          <w:tcPr>
            <w:tcW w:w="1305" w:type="dxa"/>
            <w:vAlign w:val="top"/>
          </w:tcPr>
          <w:p w14:paraId="4624B476">
            <w:pPr>
              <w:pStyle w:val="6"/>
              <w:spacing w:before="109" w:line="228" w:lineRule="auto"/>
              <w:ind w:left="363"/>
            </w:pPr>
            <w:r>
              <w:t>中层样</w:t>
            </w:r>
          </w:p>
        </w:tc>
        <w:tc>
          <w:tcPr>
            <w:tcW w:w="1309" w:type="dxa"/>
            <w:vAlign w:val="top"/>
          </w:tcPr>
          <w:p w14:paraId="09C0BD05">
            <w:pPr>
              <w:pStyle w:val="6"/>
              <w:spacing w:before="109" w:line="228" w:lineRule="auto"/>
              <w:ind w:left="344"/>
            </w:pPr>
            <w:r>
              <w:rPr>
                <w:spacing w:val="6"/>
              </w:rPr>
              <w:t>深层样</w:t>
            </w:r>
          </w:p>
        </w:tc>
      </w:tr>
      <w:tr w14:paraId="77F8D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restart"/>
            <w:tcBorders>
              <w:bottom w:val="nil"/>
            </w:tcBorders>
            <w:vAlign w:val="top"/>
          </w:tcPr>
          <w:p w14:paraId="03EA0836">
            <w:pPr>
              <w:spacing w:line="243" w:lineRule="auto"/>
              <w:rPr>
                <w:rFonts w:ascii="Arial"/>
                <w:sz w:val="21"/>
              </w:rPr>
            </w:pPr>
          </w:p>
          <w:p w14:paraId="0063DACB">
            <w:pPr>
              <w:spacing w:line="243" w:lineRule="auto"/>
              <w:rPr>
                <w:rFonts w:ascii="Arial"/>
                <w:sz w:val="21"/>
              </w:rPr>
            </w:pPr>
          </w:p>
          <w:p w14:paraId="35512473">
            <w:pPr>
              <w:spacing w:line="243" w:lineRule="auto"/>
              <w:rPr>
                <w:rFonts w:ascii="Arial"/>
                <w:sz w:val="21"/>
              </w:rPr>
            </w:pPr>
          </w:p>
          <w:p w14:paraId="404E01B9">
            <w:pPr>
              <w:pStyle w:val="6"/>
              <w:spacing w:before="65" w:line="228" w:lineRule="auto"/>
              <w:ind w:left="226"/>
            </w:pPr>
            <w:r>
              <w:rPr>
                <w:spacing w:val="3"/>
              </w:rPr>
              <w:t>现场</w:t>
            </w:r>
          </w:p>
          <w:p w14:paraId="7F7BDD8A">
            <w:pPr>
              <w:pStyle w:val="6"/>
              <w:spacing w:before="64" w:line="230" w:lineRule="auto"/>
              <w:ind w:left="223"/>
            </w:pPr>
            <w:r>
              <w:rPr>
                <w:spacing w:val="5"/>
              </w:rPr>
              <w:t>记录</w:t>
            </w:r>
          </w:p>
        </w:tc>
        <w:tc>
          <w:tcPr>
            <w:tcW w:w="1709" w:type="dxa"/>
            <w:vAlign w:val="top"/>
          </w:tcPr>
          <w:p w14:paraId="1AFDD596">
            <w:pPr>
              <w:pStyle w:val="6"/>
              <w:spacing w:before="110" w:line="229" w:lineRule="auto"/>
              <w:ind w:left="647"/>
            </w:pPr>
            <w:r>
              <w:rPr>
                <w:spacing w:val="5"/>
              </w:rPr>
              <w:t>颜色</w:t>
            </w:r>
          </w:p>
        </w:tc>
        <w:tc>
          <w:tcPr>
            <w:tcW w:w="1304" w:type="dxa"/>
            <w:vAlign w:val="top"/>
          </w:tcPr>
          <w:p w14:paraId="1CA09DAB">
            <w:pPr>
              <w:pStyle w:val="6"/>
              <w:spacing w:before="109" w:line="228" w:lineRule="auto"/>
              <w:ind w:left="342"/>
            </w:pPr>
            <w:r>
              <w:rPr>
                <w:spacing w:val="7"/>
              </w:rPr>
              <w:t>黄褐色</w:t>
            </w:r>
          </w:p>
        </w:tc>
        <w:tc>
          <w:tcPr>
            <w:tcW w:w="1304" w:type="dxa"/>
            <w:vAlign w:val="top"/>
          </w:tcPr>
          <w:p w14:paraId="17817627">
            <w:pPr>
              <w:pStyle w:val="6"/>
              <w:spacing w:before="109" w:line="228" w:lineRule="auto"/>
              <w:ind w:left="341"/>
            </w:pPr>
            <w:r>
              <w:rPr>
                <w:spacing w:val="7"/>
              </w:rPr>
              <w:t>黄褐色</w:t>
            </w:r>
          </w:p>
        </w:tc>
        <w:tc>
          <w:tcPr>
            <w:tcW w:w="1304" w:type="dxa"/>
            <w:vAlign w:val="top"/>
          </w:tcPr>
          <w:p w14:paraId="5413ACA4">
            <w:pPr>
              <w:pStyle w:val="6"/>
              <w:spacing w:before="109" w:line="228" w:lineRule="auto"/>
              <w:ind w:left="342"/>
            </w:pPr>
            <w:r>
              <w:rPr>
                <w:spacing w:val="7"/>
              </w:rPr>
              <w:t>黄褐色</w:t>
            </w:r>
          </w:p>
        </w:tc>
        <w:tc>
          <w:tcPr>
            <w:tcW w:w="1305" w:type="dxa"/>
            <w:vAlign w:val="top"/>
          </w:tcPr>
          <w:p w14:paraId="596978B2">
            <w:pPr>
              <w:pStyle w:val="6"/>
              <w:spacing w:before="109" w:line="228" w:lineRule="auto"/>
              <w:ind w:left="344"/>
            </w:pPr>
            <w:r>
              <w:rPr>
                <w:spacing w:val="7"/>
              </w:rPr>
              <w:t>黄褐色</w:t>
            </w:r>
          </w:p>
        </w:tc>
        <w:tc>
          <w:tcPr>
            <w:tcW w:w="1305" w:type="dxa"/>
            <w:vAlign w:val="top"/>
          </w:tcPr>
          <w:p w14:paraId="332418B9">
            <w:pPr>
              <w:pStyle w:val="6"/>
              <w:spacing w:before="109" w:line="228" w:lineRule="auto"/>
              <w:ind w:left="345"/>
            </w:pPr>
            <w:r>
              <w:rPr>
                <w:spacing w:val="7"/>
              </w:rPr>
              <w:t>黄褐色</w:t>
            </w:r>
          </w:p>
        </w:tc>
        <w:tc>
          <w:tcPr>
            <w:tcW w:w="1309" w:type="dxa"/>
            <w:gridSpan w:val="2"/>
            <w:vAlign w:val="top"/>
          </w:tcPr>
          <w:p w14:paraId="1B3DCBF7">
            <w:pPr>
              <w:pStyle w:val="6"/>
              <w:spacing w:before="109" w:line="228" w:lineRule="auto"/>
              <w:ind w:left="345"/>
            </w:pPr>
            <w:r>
              <w:rPr>
                <w:spacing w:val="7"/>
              </w:rPr>
              <w:t>黄褐色</w:t>
            </w:r>
          </w:p>
        </w:tc>
        <w:tc>
          <w:tcPr>
            <w:tcW w:w="1305" w:type="dxa"/>
            <w:gridSpan w:val="2"/>
            <w:vAlign w:val="top"/>
          </w:tcPr>
          <w:p w14:paraId="4EE3F566">
            <w:pPr>
              <w:pStyle w:val="6"/>
              <w:spacing w:before="109" w:line="228" w:lineRule="auto"/>
              <w:ind w:left="344"/>
            </w:pPr>
            <w:r>
              <w:rPr>
                <w:spacing w:val="7"/>
              </w:rPr>
              <w:t>黄褐色</w:t>
            </w:r>
          </w:p>
        </w:tc>
        <w:tc>
          <w:tcPr>
            <w:tcW w:w="1305" w:type="dxa"/>
            <w:vAlign w:val="top"/>
          </w:tcPr>
          <w:p w14:paraId="27513123">
            <w:pPr>
              <w:pStyle w:val="6"/>
              <w:spacing w:before="109" w:line="228" w:lineRule="auto"/>
              <w:ind w:left="342"/>
            </w:pPr>
            <w:r>
              <w:rPr>
                <w:spacing w:val="7"/>
              </w:rPr>
              <w:t>黄褐色</w:t>
            </w:r>
          </w:p>
        </w:tc>
        <w:tc>
          <w:tcPr>
            <w:tcW w:w="1309" w:type="dxa"/>
            <w:vAlign w:val="top"/>
          </w:tcPr>
          <w:p w14:paraId="1A80D9F2">
            <w:pPr>
              <w:pStyle w:val="6"/>
              <w:spacing w:before="109" w:line="228" w:lineRule="auto"/>
              <w:ind w:left="343"/>
            </w:pPr>
            <w:r>
              <w:rPr>
                <w:spacing w:val="7"/>
              </w:rPr>
              <w:t>黄褐色</w:t>
            </w:r>
          </w:p>
        </w:tc>
      </w:tr>
      <w:tr w14:paraId="68CB1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continue"/>
            <w:tcBorders>
              <w:top w:val="nil"/>
              <w:bottom w:val="nil"/>
            </w:tcBorders>
            <w:vAlign w:val="top"/>
          </w:tcPr>
          <w:p w14:paraId="7924EC2E">
            <w:pPr>
              <w:rPr>
                <w:rFonts w:ascii="Arial"/>
                <w:sz w:val="21"/>
              </w:rPr>
            </w:pPr>
          </w:p>
        </w:tc>
        <w:tc>
          <w:tcPr>
            <w:tcW w:w="1709" w:type="dxa"/>
            <w:vAlign w:val="top"/>
          </w:tcPr>
          <w:p w14:paraId="41B3ED48">
            <w:pPr>
              <w:pStyle w:val="6"/>
              <w:spacing w:before="110" w:line="228" w:lineRule="auto"/>
              <w:ind w:left="648"/>
            </w:pPr>
            <w:r>
              <w:rPr>
                <w:spacing w:val="4"/>
              </w:rPr>
              <w:t>质地</w:t>
            </w:r>
          </w:p>
        </w:tc>
        <w:tc>
          <w:tcPr>
            <w:tcW w:w="1304" w:type="dxa"/>
            <w:vAlign w:val="top"/>
          </w:tcPr>
          <w:p w14:paraId="2F1A275E">
            <w:pPr>
              <w:pStyle w:val="6"/>
              <w:spacing w:before="110" w:line="230" w:lineRule="auto"/>
              <w:ind w:left="445"/>
            </w:pPr>
            <w:r>
              <w:rPr>
                <w:spacing w:val="5"/>
              </w:rPr>
              <w:t>砂砾</w:t>
            </w:r>
          </w:p>
        </w:tc>
        <w:tc>
          <w:tcPr>
            <w:tcW w:w="1304" w:type="dxa"/>
            <w:vAlign w:val="top"/>
          </w:tcPr>
          <w:p w14:paraId="704B1E65">
            <w:pPr>
              <w:pStyle w:val="6"/>
              <w:spacing w:before="110" w:line="230" w:lineRule="auto"/>
              <w:ind w:left="446"/>
            </w:pPr>
            <w:r>
              <w:rPr>
                <w:spacing w:val="5"/>
              </w:rPr>
              <w:t>砂砾</w:t>
            </w:r>
          </w:p>
        </w:tc>
        <w:tc>
          <w:tcPr>
            <w:tcW w:w="1304" w:type="dxa"/>
            <w:vAlign w:val="top"/>
          </w:tcPr>
          <w:p w14:paraId="20E9E11B">
            <w:pPr>
              <w:pStyle w:val="6"/>
              <w:spacing w:before="110" w:line="230" w:lineRule="auto"/>
              <w:ind w:left="448"/>
            </w:pPr>
            <w:r>
              <w:rPr>
                <w:spacing w:val="5"/>
              </w:rPr>
              <w:t>砂砾</w:t>
            </w:r>
          </w:p>
        </w:tc>
        <w:tc>
          <w:tcPr>
            <w:tcW w:w="1305" w:type="dxa"/>
            <w:vAlign w:val="top"/>
          </w:tcPr>
          <w:p w14:paraId="3722AE27">
            <w:pPr>
              <w:pStyle w:val="6"/>
              <w:spacing w:before="110" w:line="230" w:lineRule="auto"/>
              <w:ind w:left="450"/>
            </w:pPr>
            <w:r>
              <w:rPr>
                <w:spacing w:val="5"/>
              </w:rPr>
              <w:t>砂砾</w:t>
            </w:r>
          </w:p>
        </w:tc>
        <w:tc>
          <w:tcPr>
            <w:tcW w:w="1305" w:type="dxa"/>
            <w:vAlign w:val="top"/>
          </w:tcPr>
          <w:p w14:paraId="2E4F9F6B">
            <w:pPr>
              <w:pStyle w:val="6"/>
              <w:spacing w:before="110" w:line="230" w:lineRule="auto"/>
              <w:ind w:left="448"/>
            </w:pPr>
            <w:r>
              <w:rPr>
                <w:spacing w:val="5"/>
              </w:rPr>
              <w:t>砂砾</w:t>
            </w:r>
          </w:p>
        </w:tc>
        <w:tc>
          <w:tcPr>
            <w:tcW w:w="1309" w:type="dxa"/>
            <w:gridSpan w:val="2"/>
            <w:vAlign w:val="top"/>
          </w:tcPr>
          <w:p w14:paraId="585A6EFF">
            <w:pPr>
              <w:pStyle w:val="6"/>
              <w:spacing w:before="110" w:line="230" w:lineRule="auto"/>
              <w:ind w:left="451"/>
            </w:pPr>
            <w:r>
              <w:rPr>
                <w:spacing w:val="5"/>
              </w:rPr>
              <w:t>砂砾</w:t>
            </w:r>
          </w:p>
        </w:tc>
        <w:tc>
          <w:tcPr>
            <w:tcW w:w="1305" w:type="dxa"/>
            <w:gridSpan w:val="2"/>
            <w:vAlign w:val="top"/>
          </w:tcPr>
          <w:p w14:paraId="37630796">
            <w:pPr>
              <w:pStyle w:val="6"/>
              <w:spacing w:before="110" w:line="230" w:lineRule="auto"/>
              <w:ind w:left="447"/>
            </w:pPr>
            <w:r>
              <w:rPr>
                <w:spacing w:val="5"/>
              </w:rPr>
              <w:t>砂砾</w:t>
            </w:r>
          </w:p>
        </w:tc>
        <w:tc>
          <w:tcPr>
            <w:tcW w:w="1305" w:type="dxa"/>
            <w:vAlign w:val="top"/>
          </w:tcPr>
          <w:p w14:paraId="5D7B8F99">
            <w:pPr>
              <w:pStyle w:val="6"/>
              <w:spacing w:before="110" w:line="230" w:lineRule="auto"/>
              <w:ind w:left="448"/>
            </w:pPr>
            <w:r>
              <w:rPr>
                <w:spacing w:val="5"/>
              </w:rPr>
              <w:t>砂砾</w:t>
            </w:r>
          </w:p>
        </w:tc>
        <w:tc>
          <w:tcPr>
            <w:tcW w:w="1309" w:type="dxa"/>
            <w:vAlign w:val="top"/>
          </w:tcPr>
          <w:p w14:paraId="47D51B6C">
            <w:pPr>
              <w:pStyle w:val="6"/>
              <w:spacing w:before="110" w:line="230" w:lineRule="auto"/>
              <w:ind w:left="449"/>
            </w:pPr>
            <w:r>
              <w:rPr>
                <w:spacing w:val="5"/>
              </w:rPr>
              <w:t>砂砾</w:t>
            </w:r>
          </w:p>
        </w:tc>
      </w:tr>
      <w:tr w14:paraId="48763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continue"/>
            <w:tcBorders>
              <w:top w:val="nil"/>
              <w:bottom w:val="nil"/>
            </w:tcBorders>
            <w:vAlign w:val="top"/>
          </w:tcPr>
          <w:p w14:paraId="2A4A3D03">
            <w:pPr>
              <w:rPr>
                <w:rFonts w:ascii="Arial"/>
                <w:sz w:val="21"/>
              </w:rPr>
            </w:pPr>
          </w:p>
        </w:tc>
        <w:tc>
          <w:tcPr>
            <w:tcW w:w="1709" w:type="dxa"/>
            <w:vAlign w:val="top"/>
          </w:tcPr>
          <w:p w14:paraId="3409F3E5">
            <w:pPr>
              <w:pStyle w:val="6"/>
              <w:spacing w:before="110" w:line="228" w:lineRule="auto"/>
              <w:ind w:left="332"/>
            </w:pPr>
            <w:r>
              <w:rPr>
                <w:spacing w:val="22"/>
              </w:rPr>
              <w:t>砂砾含量%</w:t>
            </w:r>
          </w:p>
        </w:tc>
        <w:tc>
          <w:tcPr>
            <w:tcW w:w="1304" w:type="dxa"/>
            <w:vAlign w:val="top"/>
          </w:tcPr>
          <w:p w14:paraId="0914DA44">
            <w:pPr>
              <w:spacing w:before="14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&lt;37</w:t>
            </w:r>
          </w:p>
        </w:tc>
        <w:tc>
          <w:tcPr>
            <w:tcW w:w="1304" w:type="dxa"/>
            <w:vAlign w:val="top"/>
          </w:tcPr>
          <w:p w14:paraId="0F18FB61">
            <w:pPr>
              <w:spacing w:before="146"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&lt;39</w:t>
            </w:r>
          </w:p>
        </w:tc>
        <w:tc>
          <w:tcPr>
            <w:tcW w:w="1304" w:type="dxa"/>
            <w:vAlign w:val="top"/>
          </w:tcPr>
          <w:p w14:paraId="1B11A8AC">
            <w:pPr>
              <w:spacing w:before="146"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&lt;41</w:t>
            </w:r>
          </w:p>
        </w:tc>
        <w:tc>
          <w:tcPr>
            <w:tcW w:w="1305" w:type="dxa"/>
            <w:vAlign w:val="top"/>
          </w:tcPr>
          <w:p w14:paraId="13A057DB">
            <w:pPr>
              <w:spacing w:before="14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&lt;38</w:t>
            </w:r>
          </w:p>
        </w:tc>
        <w:tc>
          <w:tcPr>
            <w:tcW w:w="1305" w:type="dxa"/>
            <w:vAlign w:val="top"/>
          </w:tcPr>
          <w:p w14:paraId="68169634">
            <w:pPr>
              <w:spacing w:before="146"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&lt;42</w:t>
            </w:r>
          </w:p>
        </w:tc>
        <w:tc>
          <w:tcPr>
            <w:tcW w:w="1309" w:type="dxa"/>
            <w:gridSpan w:val="2"/>
            <w:vAlign w:val="top"/>
          </w:tcPr>
          <w:p w14:paraId="6C744A5F">
            <w:pPr>
              <w:spacing w:before="146"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&lt;40</w:t>
            </w:r>
          </w:p>
        </w:tc>
        <w:tc>
          <w:tcPr>
            <w:tcW w:w="1305" w:type="dxa"/>
            <w:gridSpan w:val="2"/>
            <w:vAlign w:val="top"/>
          </w:tcPr>
          <w:p w14:paraId="5D475E82">
            <w:pPr>
              <w:spacing w:before="14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&lt;41</w:t>
            </w:r>
          </w:p>
        </w:tc>
        <w:tc>
          <w:tcPr>
            <w:tcW w:w="1305" w:type="dxa"/>
            <w:vAlign w:val="top"/>
          </w:tcPr>
          <w:p w14:paraId="1543EA33">
            <w:pPr>
              <w:spacing w:before="146"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&lt;42</w:t>
            </w:r>
          </w:p>
        </w:tc>
        <w:tc>
          <w:tcPr>
            <w:tcW w:w="1309" w:type="dxa"/>
            <w:vAlign w:val="top"/>
          </w:tcPr>
          <w:p w14:paraId="5FDF8121">
            <w:pPr>
              <w:spacing w:before="146"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&lt;39</w:t>
            </w:r>
          </w:p>
        </w:tc>
      </w:tr>
      <w:tr w14:paraId="1EE62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continue"/>
            <w:tcBorders>
              <w:top w:val="nil"/>
              <w:bottom w:val="nil"/>
            </w:tcBorders>
            <w:vAlign w:val="top"/>
          </w:tcPr>
          <w:p w14:paraId="7BEAC685">
            <w:pPr>
              <w:rPr>
                <w:rFonts w:ascii="Arial"/>
                <w:sz w:val="21"/>
              </w:rPr>
            </w:pPr>
          </w:p>
        </w:tc>
        <w:tc>
          <w:tcPr>
            <w:tcW w:w="1709" w:type="dxa"/>
            <w:vAlign w:val="top"/>
          </w:tcPr>
          <w:p w14:paraId="4C7AB2CA">
            <w:pPr>
              <w:pStyle w:val="6"/>
              <w:spacing w:before="110" w:line="228" w:lineRule="auto"/>
              <w:ind w:left="439"/>
            </w:pPr>
            <w:r>
              <w:rPr>
                <w:spacing w:val="7"/>
              </w:rPr>
              <w:t>其他异物</w:t>
            </w:r>
          </w:p>
        </w:tc>
        <w:tc>
          <w:tcPr>
            <w:tcW w:w="1304" w:type="dxa"/>
            <w:vAlign w:val="top"/>
          </w:tcPr>
          <w:p w14:paraId="53DFCCDD">
            <w:pPr>
              <w:pStyle w:val="6"/>
              <w:spacing w:before="111" w:line="228" w:lineRule="auto"/>
              <w:ind w:left="553"/>
            </w:pPr>
            <w:r>
              <w:t>无</w:t>
            </w:r>
          </w:p>
        </w:tc>
        <w:tc>
          <w:tcPr>
            <w:tcW w:w="1304" w:type="dxa"/>
            <w:vAlign w:val="top"/>
          </w:tcPr>
          <w:p w14:paraId="4C2DBF03">
            <w:pPr>
              <w:pStyle w:val="6"/>
              <w:spacing w:before="111" w:line="228" w:lineRule="auto"/>
              <w:ind w:left="555"/>
            </w:pPr>
            <w:r>
              <w:t>无</w:t>
            </w:r>
          </w:p>
        </w:tc>
        <w:tc>
          <w:tcPr>
            <w:tcW w:w="1304" w:type="dxa"/>
            <w:vAlign w:val="top"/>
          </w:tcPr>
          <w:p w14:paraId="629490E7">
            <w:pPr>
              <w:pStyle w:val="6"/>
              <w:spacing w:before="111" w:line="228" w:lineRule="auto"/>
              <w:ind w:left="556"/>
            </w:pPr>
            <w:r>
              <w:t>无</w:t>
            </w:r>
          </w:p>
        </w:tc>
        <w:tc>
          <w:tcPr>
            <w:tcW w:w="1305" w:type="dxa"/>
            <w:vAlign w:val="top"/>
          </w:tcPr>
          <w:p w14:paraId="4E3E8A9B">
            <w:pPr>
              <w:pStyle w:val="6"/>
              <w:spacing w:before="111" w:line="228" w:lineRule="auto"/>
              <w:ind w:left="555"/>
            </w:pPr>
            <w:r>
              <w:t>无</w:t>
            </w:r>
          </w:p>
        </w:tc>
        <w:tc>
          <w:tcPr>
            <w:tcW w:w="1305" w:type="dxa"/>
            <w:vAlign w:val="top"/>
          </w:tcPr>
          <w:p w14:paraId="06825A7F">
            <w:pPr>
              <w:pStyle w:val="6"/>
              <w:spacing w:before="111" w:line="228" w:lineRule="auto"/>
              <w:ind w:left="556"/>
            </w:pPr>
            <w:r>
              <w:t>无</w:t>
            </w:r>
          </w:p>
        </w:tc>
        <w:tc>
          <w:tcPr>
            <w:tcW w:w="1309" w:type="dxa"/>
            <w:gridSpan w:val="2"/>
            <w:vAlign w:val="top"/>
          </w:tcPr>
          <w:p w14:paraId="0D4F6F60">
            <w:pPr>
              <w:pStyle w:val="6"/>
              <w:spacing w:before="111" w:line="228" w:lineRule="auto"/>
              <w:ind w:left="559"/>
            </w:pPr>
            <w:r>
              <w:t>无</w:t>
            </w:r>
          </w:p>
        </w:tc>
        <w:tc>
          <w:tcPr>
            <w:tcW w:w="1305" w:type="dxa"/>
            <w:gridSpan w:val="2"/>
            <w:vAlign w:val="top"/>
          </w:tcPr>
          <w:p w14:paraId="77B3E86F">
            <w:pPr>
              <w:pStyle w:val="6"/>
              <w:spacing w:before="111" w:line="228" w:lineRule="auto"/>
              <w:ind w:left="556"/>
            </w:pPr>
            <w:r>
              <w:t>无</w:t>
            </w:r>
          </w:p>
        </w:tc>
        <w:tc>
          <w:tcPr>
            <w:tcW w:w="1305" w:type="dxa"/>
            <w:vAlign w:val="top"/>
          </w:tcPr>
          <w:p w14:paraId="292E6B99">
            <w:pPr>
              <w:pStyle w:val="6"/>
              <w:spacing w:before="111" w:line="228" w:lineRule="auto"/>
              <w:ind w:left="556"/>
            </w:pPr>
            <w:r>
              <w:t>无</w:t>
            </w:r>
          </w:p>
        </w:tc>
        <w:tc>
          <w:tcPr>
            <w:tcW w:w="1309" w:type="dxa"/>
            <w:vAlign w:val="top"/>
          </w:tcPr>
          <w:p w14:paraId="458DB05C">
            <w:pPr>
              <w:pStyle w:val="6"/>
              <w:spacing w:before="111" w:line="228" w:lineRule="auto"/>
              <w:ind w:left="557"/>
            </w:pPr>
            <w:r>
              <w:t>无</w:t>
            </w:r>
          </w:p>
        </w:tc>
      </w:tr>
      <w:tr w14:paraId="3C27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continue"/>
            <w:tcBorders>
              <w:top w:val="nil"/>
            </w:tcBorders>
            <w:vAlign w:val="top"/>
          </w:tcPr>
          <w:p w14:paraId="0CAD23B6">
            <w:pPr>
              <w:rPr>
                <w:rFonts w:ascii="Arial"/>
                <w:sz w:val="21"/>
              </w:rPr>
            </w:pPr>
          </w:p>
        </w:tc>
        <w:tc>
          <w:tcPr>
            <w:tcW w:w="1709" w:type="dxa"/>
            <w:vAlign w:val="top"/>
          </w:tcPr>
          <w:p w14:paraId="46E46D08">
            <w:pPr>
              <w:pStyle w:val="6"/>
              <w:spacing w:before="109" w:line="228" w:lineRule="auto"/>
              <w:ind w:left="652"/>
            </w:pPr>
            <w:r>
              <w:rPr>
                <w:spacing w:val="2"/>
              </w:rPr>
              <w:t>结构</w:t>
            </w:r>
          </w:p>
        </w:tc>
        <w:tc>
          <w:tcPr>
            <w:tcW w:w="1304" w:type="dxa"/>
            <w:vAlign w:val="top"/>
          </w:tcPr>
          <w:p w14:paraId="31984E6E">
            <w:pPr>
              <w:pStyle w:val="6"/>
              <w:spacing w:before="109" w:line="232" w:lineRule="auto"/>
              <w:ind w:left="447"/>
            </w:pPr>
            <w:r>
              <w:rPr>
                <w:spacing w:val="3"/>
              </w:rPr>
              <w:t>沙土</w:t>
            </w:r>
          </w:p>
        </w:tc>
        <w:tc>
          <w:tcPr>
            <w:tcW w:w="1304" w:type="dxa"/>
            <w:vAlign w:val="top"/>
          </w:tcPr>
          <w:p w14:paraId="74DE0310">
            <w:pPr>
              <w:pStyle w:val="6"/>
              <w:spacing w:before="109" w:line="232" w:lineRule="auto"/>
              <w:ind w:left="449"/>
            </w:pPr>
            <w:r>
              <w:rPr>
                <w:spacing w:val="3"/>
              </w:rPr>
              <w:t>沙土</w:t>
            </w:r>
          </w:p>
        </w:tc>
        <w:tc>
          <w:tcPr>
            <w:tcW w:w="1304" w:type="dxa"/>
            <w:vAlign w:val="top"/>
          </w:tcPr>
          <w:p w14:paraId="2194C9D0">
            <w:pPr>
              <w:pStyle w:val="6"/>
              <w:spacing w:before="109" w:line="232" w:lineRule="auto"/>
              <w:ind w:left="451"/>
            </w:pPr>
            <w:r>
              <w:rPr>
                <w:spacing w:val="3"/>
              </w:rPr>
              <w:t>沙土</w:t>
            </w:r>
          </w:p>
        </w:tc>
        <w:tc>
          <w:tcPr>
            <w:tcW w:w="1305" w:type="dxa"/>
            <w:vAlign w:val="top"/>
          </w:tcPr>
          <w:p w14:paraId="2128D0FF">
            <w:pPr>
              <w:pStyle w:val="6"/>
              <w:spacing w:before="109" w:line="232" w:lineRule="auto"/>
              <w:ind w:left="452"/>
            </w:pPr>
            <w:r>
              <w:rPr>
                <w:spacing w:val="3"/>
              </w:rPr>
              <w:t>沙土</w:t>
            </w:r>
          </w:p>
        </w:tc>
        <w:tc>
          <w:tcPr>
            <w:tcW w:w="1305" w:type="dxa"/>
            <w:vAlign w:val="top"/>
          </w:tcPr>
          <w:p w14:paraId="336F670E">
            <w:pPr>
              <w:pStyle w:val="6"/>
              <w:spacing w:before="109" w:line="232" w:lineRule="auto"/>
              <w:ind w:left="450"/>
            </w:pPr>
            <w:r>
              <w:rPr>
                <w:spacing w:val="3"/>
              </w:rPr>
              <w:t>沙土</w:t>
            </w:r>
          </w:p>
        </w:tc>
        <w:tc>
          <w:tcPr>
            <w:tcW w:w="1309" w:type="dxa"/>
            <w:gridSpan w:val="2"/>
            <w:vAlign w:val="top"/>
          </w:tcPr>
          <w:p w14:paraId="1268AC4B">
            <w:pPr>
              <w:pStyle w:val="6"/>
              <w:spacing w:before="109" w:line="232" w:lineRule="auto"/>
              <w:ind w:left="453"/>
            </w:pPr>
            <w:r>
              <w:rPr>
                <w:spacing w:val="3"/>
              </w:rPr>
              <w:t>沙土</w:t>
            </w:r>
          </w:p>
        </w:tc>
        <w:tc>
          <w:tcPr>
            <w:tcW w:w="1305" w:type="dxa"/>
            <w:gridSpan w:val="2"/>
            <w:vAlign w:val="top"/>
          </w:tcPr>
          <w:p w14:paraId="6F6B310E">
            <w:pPr>
              <w:pStyle w:val="6"/>
              <w:spacing w:before="109" w:line="232" w:lineRule="auto"/>
              <w:ind w:left="450"/>
            </w:pPr>
            <w:r>
              <w:rPr>
                <w:spacing w:val="3"/>
              </w:rPr>
              <w:t>沙土</w:t>
            </w:r>
          </w:p>
        </w:tc>
        <w:tc>
          <w:tcPr>
            <w:tcW w:w="1305" w:type="dxa"/>
            <w:vAlign w:val="top"/>
          </w:tcPr>
          <w:p w14:paraId="3F83F11F">
            <w:pPr>
              <w:pStyle w:val="6"/>
              <w:spacing w:before="109" w:line="232" w:lineRule="auto"/>
              <w:ind w:left="451"/>
            </w:pPr>
            <w:r>
              <w:rPr>
                <w:spacing w:val="3"/>
              </w:rPr>
              <w:t>沙土</w:t>
            </w:r>
          </w:p>
        </w:tc>
        <w:tc>
          <w:tcPr>
            <w:tcW w:w="1309" w:type="dxa"/>
            <w:vAlign w:val="top"/>
          </w:tcPr>
          <w:p w14:paraId="4EDE1E5F">
            <w:pPr>
              <w:pStyle w:val="6"/>
              <w:spacing w:before="109" w:line="232" w:lineRule="auto"/>
              <w:ind w:left="451"/>
            </w:pPr>
            <w:r>
              <w:rPr>
                <w:spacing w:val="3"/>
              </w:rPr>
              <w:t>沙土</w:t>
            </w:r>
          </w:p>
        </w:tc>
      </w:tr>
      <w:tr w14:paraId="560C5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vMerge w:val="restart"/>
            <w:tcBorders>
              <w:bottom w:val="nil"/>
            </w:tcBorders>
            <w:vAlign w:val="top"/>
          </w:tcPr>
          <w:p w14:paraId="630AE69A">
            <w:pPr>
              <w:spacing w:line="277" w:lineRule="auto"/>
              <w:rPr>
                <w:rFonts w:ascii="Arial"/>
                <w:sz w:val="21"/>
              </w:rPr>
            </w:pPr>
          </w:p>
          <w:p w14:paraId="5FE709F2">
            <w:pPr>
              <w:spacing w:line="278" w:lineRule="auto"/>
              <w:rPr>
                <w:rFonts w:ascii="Arial"/>
                <w:sz w:val="21"/>
              </w:rPr>
            </w:pPr>
          </w:p>
          <w:p w14:paraId="2FEF0419">
            <w:pPr>
              <w:spacing w:line="278" w:lineRule="auto"/>
              <w:rPr>
                <w:rFonts w:ascii="Arial"/>
                <w:sz w:val="21"/>
              </w:rPr>
            </w:pPr>
          </w:p>
          <w:p w14:paraId="772C48CE">
            <w:pPr>
              <w:spacing w:line="278" w:lineRule="auto"/>
              <w:rPr>
                <w:rFonts w:ascii="Arial"/>
                <w:sz w:val="21"/>
              </w:rPr>
            </w:pPr>
          </w:p>
          <w:p w14:paraId="6AFFCF7A">
            <w:pPr>
              <w:spacing w:line="278" w:lineRule="auto"/>
              <w:rPr>
                <w:rFonts w:ascii="Arial"/>
                <w:sz w:val="21"/>
              </w:rPr>
            </w:pPr>
          </w:p>
          <w:p w14:paraId="4046E33A">
            <w:pPr>
              <w:pStyle w:val="6"/>
              <w:spacing w:before="65" w:line="290" w:lineRule="auto"/>
              <w:ind w:left="224" w:right="113" w:hanging="101"/>
            </w:pPr>
            <w:r>
              <w:rPr>
                <w:spacing w:val="5"/>
              </w:rPr>
              <w:t>实验室</w:t>
            </w:r>
            <w:r>
              <w:t xml:space="preserve"> </w:t>
            </w:r>
            <w:r>
              <w:rPr>
                <w:spacing w:val="4"/>
              </w:rPr>
              <w:t>测定</w:t>
            </w:r>
          </w:p>
        </w:tc>
        <w:tc>
          <w:tcPr>
            <w:tcW w:w="1709" w:type="dxa"/>
            <w:vAlign w:val="top"/>
          </w:tcPr>
          <w:p w14:paraId="141CBE5F">
            <w:pPr>
              <w:pStyle w:val="6"/>
              <w:spacing w:before="109" w:line="221" w:lineRule="auto"/>
              <w:ind w:left="591"/>
            </w:pPr>
            <w:r>
              <w:rPr>
                <w:rFonts w:ascii="Times New Roman" w:hAnsi="Times New Roman" w:eastAsia="Times New Roman" w:cs="Times New Roman"/>
              </w:rPr>
              <w:t>pH</w:t>
            </w:r>
            <w:r>
              <w:rPr>
                <w:rFonts w:ascii="Times New Roman" w:hAnsi="Times New Roman" w:eastAsia="Times New Roman" w:cs="Times New Roman"/>
                <w:spacing w:val="8"/>
              </w:rPr>
              <w:t xml:space="preserve"> </w:t>
            </w:r>
            <w:r>
              <w:rPr>
                <w:spacing w:val="13"/>
              </w:rPr>
              <w:t>值</w:t>
            </w:r>
          </w:p>
        </w:tc>
        <w:tc>
          <w:tcPr>
            <w:tcW w:w="1304" w:type="dxa"/>
            <w:vAlign w:val="top"/>
          </w:tcPr>
          <w:p w14:paraId="69B0023C">
            <w:pPr>
              <w:spacing w:before="145"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8.16</w:t>
            </w:r>
          </w:p>
        </w:tc>
        <w:tc>
          <w:tcPr>
            <w:tcW w:w="1304" w:type="dxa"/>
            <w:vAlign w:val="top"/>
          </w:tcPr>
          <w:p w14:paraId="2B4BE927">
            <w:pPr>
              <w:spacing w:before="145"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8.20</w:t>
            </w:r>
          </w:p>
        </w:tc>
        <w:tc>
          <w:tcPr>
            <w:tcW w:w="1304" w:type="dxa"/>
            <w:vAlign w:val="top"/>
          </w:tcPr>
          <w:p w14:paraId="45F7C4C5">
            <w:pPr>
              <w:spacing w:before="14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8.19</w:t>
            </w:r>
          </w:p>
        </w:tc>
        <w:tc>
          <w:tcPr>
            <w:tcW w:w="1305" w:type="dxa"/>
            <w:vAlign w:val="top"/>
          </w:tcPr>
          <w:p w14:paraId="55712910">
            <w:pPr>
              <w:spacing w:before="145"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w:t>
            </w:r>
          </w:p>
        </w:tc>
        <w:tc>
          <w:tcPr>
            <w:tcW w:w="1305" w:type="dxa"/>
            <w:vAlign w:val="top"/>
          </w:tcPr>
          <w:p w14:paraId="693CFDD5">
            <w:pPr>
              <w:spacing w:before="14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8.22</w:t>
            </w:r>
          </w:p>
        </w:tc>
        <w:tc>
          <w:tcPr>
            <w:tcW w:w="1309" w:type="dxa"/>
            <w:gridSpan w:val="2"/>
            <w:vAlign w:val="top"/>
          </w:tcPr>
          <w:p w14:paraId="0BA7AAD2">
            <w:pPr>
              <w:spacing w:before="14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8.13</w:t>
            </w:r>
          </w:p>
        </w:tc>
        <w:tc>
          <w:tcPr>
            <w:tcW w:w="1305" w:type="dxa"/>
            <w:gridSpan w:val="2"/>
            <w:vAlign w:val="top"/>
          </w:tcPr>
          <w:p w14:paraId="25754E7B">
            <w:pPr>
              <w:spacing w:before="145"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8.21</w:t>
            </w:r>
          </w:p>
        </w:tc>
        <w:tc>
          <w:tcPr>
            <w:tcW w:w="1305" w:type="dxa"/>
            <w:vAlign w:val="top"/>
          </w:tcPr>
          <w:p w14:paraId="38083758">
            <w:pPr>
              <w:spacing w:before="14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w:t>
            </w:r>
          </w:p>
        </w:tc>
        <w:tc>
          <w:tcPr>
            <w:tcW w:w="1309" w:type="dxa"/>
            <w:vAlign w:val="top"/>
          </w:tcPr>
          <w:p w14:paraId="2081B588">
            <w:pPr>
              <w:spacing w:before="14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8.23</w:t>
            </w:r>
          </w:p>
        </w:tc>
      </w:tr>
      <w:tr w14:paraId="2896D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8" w:type="dxa"/>
            <w:vMerge w:val="continue"/>
            <w:tcBorders>
              <w:top w:val="nil"/>
              <w:bottom w:val="nil"/>
            </w:tcBorders>
            <w:vAlign w:val="top"/>
          </w:tcPr>
          <w:p w14:paraId="01397CC5">
            <w:pPr>
              <w:rPr>
                <w:rFonts w:ascii="Arial"/>
                <w:sz w:val="21"/>
              </w:rPr>
            </w:pPr>
          </w:p>
        </w:tc>
        <w:tc>
          <w:tcPr>
            <w:tcW w:w="1709" w:type="dxa"/>
            <w:vAlign w:val="top"/>
          </w:tcPr>
          <w:p w14:paraId="7346143E">
            <w:pPr>
              <w:pStyle w:val="6"/>
              <w:spacing w:before="69" w:line="228" w:lineRule="auto"/>
              <w:ind w:left="243"/>
            </w:pPr>
            <w:r>
              <w:rPr>
                <w:spacing w:val="5"/>
              </w:rPr>
              <w:t>阳离子交换量</w:t>
            </w:r>
          </w:p>
          <w:p w14:paraId="3FAC94EB">
            <w:pPr>
              <w:spacing w:before="96" w:line="201"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cmol/Kg</w:t>
            </w:r>
          </w:p>
        </w:tc>
        <w:tc>
          <w:tcPr>
            <w:tcW w:w="1304" w:type="dxa"/>
            <w:vAlign w:val="top"/>
          </w:tcPr>
          <w:p w14:paraId="727B89D9">
            <w:pPr>
              <w:spacing w:before="261"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w:t>
            </w:r>
          </w:p>
        </w:tc>
        <w:tc>
          <w:tcPr>
            <w:tcW w:w="1304" w:type="dxa"/>
            <w:vAlign w:val="top"/>
          </w:tcPr>
          <w:p w14:paraId="2CACDCAC">
            <w:pPr>
              <w:spacing w:before="261"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11.2</w:t>
            </w:r>
          </w:p>
        </w:tc>
        <w:tc>
          <w:tcPr>
            <w:tcW w:w="1304" w:type="dxa"/>
            <w:vAlign w:val="top"/>
          </w:tcPr>
          <w:p w14:paraId="31E58B0C">
            <w:pPr>
              <w:spacing w:before="26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w:t>
            </w:r>
          </w:p>
        </w:tc>
        <w:tc>
          <w:tcPr>
            <w:tcW w:w="1305" w:type="dxa"/>
            <w:vAlign w:val="top"/>
          </w:tcPr>
          <w:p w14:paraId="7C2B995C">
            <w:pPr>
              <w:spacing w:before="26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305" w:type="dxa"/>
            <w:vAlign w:val="top"/>
          </w:tcPr>
          <w:p w14:paraId="75AAE493">
            <w:pPr>
              <w:spacing w:before="26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12.3</w:t>
            </w:r>
          </w:p>
        </w:tc>
        <w:tc>
          <w:tcPr>
            <w:tcW w:w="1309" w:type="dxa"/>
            <w:gridSpan w:val="2"/>
            <w:vAlign w:val="top"/>
          </w:tcPr>
          <w:p w14:paraId="5F0B7FE5">
            <w:pPr>
              <w:spacing w:before="261"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1305" w:type="dxa"/>
            <w:gridSpan w:val="2"/>
            <w:vAlign w:val="top"/>
          </w:tcPr>
          <w:p w14:paraId="4CE4622C">
            <w:pPr>
              <w:spacing w:before="261"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1305" w:type="dxa"/>
            <w:vAlign w:val="top"/>
          </w:tcPr>
          <w:p w14:paraId="41336FB2">
            <w:pPr>
              <w:spacing w:before="26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c>
          <w:tcPr>
            <w:tcW w:w="1309" w:type="dxa"/>
            <w:vAlign w:val="top"/>
          </w:tcPr>
          <w:p w14:paraId="438E077C">
            <w:pPr>
              <w:spacing w:before="26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r>
      <w:tr w14:paraId="7E850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8" w:type="dxa"/>
            <w:vMerge w:val="continue"/>
            <w:tcBorders>
              <w:top w:val="nil"/>
              <w:bottom w:val="nil"/>
            </w:tcBorders>
            <w:vAlign w:val="top"/>
          </w:tcPr>
          <w:p w14:paraId="3E35F29C">
            <w:pPr>
              <w:rPr>
                <w:rFonts w:ascii="Arial"/>
                <w:sz w:val="21"/>
              </w:rPr>
            </w:pPr>
          </w:p>
        </w:tc>
        <w:tc>
          <w:tcPr>
            <w:tcW w:w="1709" w:type="dxa"/>
            <w:vAlign w:val="top"/>
          </w:tcPr>
          <w:p w14:paraId="69D24165">
            <w:pPr>
              <w:pStyle w:val="6"/>
              <w:spacing w:before="69" w:line="227" w:lineRule="auto"/>
              <w:ind w:left="228"/>
            </w:pPr>
            <w:r>
              <w:rPr>
                <w:spacing w:val="8"/>
              </w:rPr>
              <w:t>氧化还原电位</w:t>
            </w:r>
          </w:p>
          <w:p w14:paraId="05461492">
            <w:pPr>
              <w:spacing w:before="104"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MV</w:t>
            </w:r>
          </w:p>
        </w:tc>
        <w:tc>
          <w:tcPr>
            <w:tcW w:w="1304" w:type="dxa"/>
            <w:vAlign w:val="top"/>
          </w:tcPr>
          <w:p w14:paraId="0B96CC16">
            <w:pPr>
              <w:spacing w:before="261"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526</w:t>
            </w:r>
          </w:p>
        </w:tc>
        <w:tc>
          <w:tcPr>
            <w:tcW w:w="1304" w:type="dxa"/>
            <w:vAlign w:val="top"/>
          </w:tcPr>
          <w:p w14:paraId="6127A8D4">
            <w:pPr>
              <w:spacing w:before="261"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534</w:t>
            </w:r>
          </w:p>
        </w:tc>
        <w:tc>
          <w:tcPr>
            <w:tcW w:w="1304" w:type="dxa"/>
            <w:vAlign w:val="top"/>
          </w:tcPr>
          <w:p w14:paraId="0F822D87">
            <w:pPr>
              <w:spacing w:before="26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522</w:t>
            </w:r>
          </w:p>
        </w:tc>
        <w:tc>
          <w:tcPr>
            <w:tcW w:w="1305" w:type="dxa"/>
            <w:vAlign w:val="top"/>
          </w:tcPr>
          <w:p w14:paraId="7A08CE99">
            <w:pPr>
              <w:spacing w:before="261"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527</w:t>
            </w:r>
          </w:p>
        </w:tc>
        <w:tc>
          <w:tcPr>
            <w:tcW w:w="1305" w:type="dxa"/>
            <w:vAlign w:val="top"/>
          </w:tcPr>
          <w:p w14:paraId="6A1F05F8">
            <w:pPr>
              <w:spacing w:before="26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c>
          <w:tcPr>
            <w:tcW w:w="1309" w:type="dxa"/>
            <w:gridSpan w:val="2"/>
            <w:vAlign w:val="top"/>
          </w:tcPr>
          <w:p w14:paraId="54ED3846">
            <w:pPr>
              <w:spacing w:before="261"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525</w:t>
            </w:r>
          </w:p>
        </w:tc>
        <w:tc>
          <w:tcPr>
            <w:tcW w:w="1305" w:type="dxa"/>
            <w:gridSpan w:val="2"/>
            <w:vAlign w:val="top"/>
          </w:tcPr>
          <w:p w14:paraId="0EB55713">
            <w:pPr>
              <w:spacing w:before="261"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536</w:t>
            </w:r>
          </w:p>
        </w:tc>
        <w:tc>
          <w:tcPr>
            <w:tcW w:w="1305" w:type="dxa"/>
            <w:vAlign w:val="top"/>
          </w:tcPr>
          <w:p w14:paraId="5A24A436">
            <w:pPr>
              <w:spacing w:before="26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1309" w:type="dxa"/>
            <w:vAlign w:val="top"/>
          </w:tcPr>
          <w:p w14:paraId="53C82EEF">
            <w:pPr>
              <w:spacing w:before="26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522</w:t>
            </w:r>
          </w:p>
        </w:tc>
      </w:tr>
      <w:tr w14:paraId="20B6E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58" w:type="dxa"/>
            <w:vMerge w:val="continue"/>
            <w:tcBorders>
              <w:top w:val="nil"/>
              <w:bottom w:val="nil"/>
            </w:tcBorders>
            <w:vAlign w:val="top"/>
          </w:tcPr>
          <w:p w14:paraId="40EF9CC6">
            <w:pPr>
              <w:rPr>
                <w:rFonts w:ascii="Arial"/>
                <w:sz w:val="21"/>
              </w:rPr>
            </w:pPr>
          </w:p>
        </w:tc>
        <w:tc>
          <w:tcPr>
            <w:tcW w:w="1709" w:type="dxa"/>
            <w:vAlign w:val="top"/>
          </w:tcPr>
          <w:p w14:paraId="75452158">
            <w:pPr>
              <w:pStyle w:val="6"/>
              <w:spacing w:before="68" w:line="228" w:lineRule="auto"/>
              <w:ind w:left="332"/>
            </w:pPr>
            <w:r>
              <w:rPr>
                <w:spacing w:val="8"/>
              </w:rPr>
              <w:t>饱和导水率</w:t>
            </w:r>
          </w:p>
          <w:p w14:paraId="7EF16F26">
            <w:pPr>
              <w:pStyle w:val="6"/>
              <w:spacing w:before="65" w:line="221" w:lineRule="auto"/>
              <w:ind w:left="372"/>
              <w:rPr>
                <w:rFonts w:ascii="Times New Roman" w:hAnsi="Times New Roman" w:eastAsia="Times New Roman" w:cs="Times New Roman"/>
              </w:rPr>
            </w:pPr>
            <w:r>
              <w:rPr>
                <w:spacing w:val="9"/>
              </w:rPr>
              <w:t>（</w:t>
            </w:r>
            <w:r>
              <w:rPr>
                <w:rFonts w:ascii="Times New Roman" w:hAnsi="Times New Roman" w:eastAsia="Times New Roman" w:cs="Times New Roman"/>
              </w:rPr>
              <w:t>mm</w:t>
            </w:r>
            <w:r>
              <w:rPr>
                <w:rFonts w:ascii="Times New Roman" w:hAnsi="Times New Roman" w:eastAsia="Times New Roman" w:cs="Times New Roman"/>
                <w:spacing w:val="9"/>
              </w:rPr>
              <w:t>/</w:t>
            </w:r>
            <w:r>
              <w:rPr>
                <w:rFonts w:ascii="Times New Roman" w:hAnsi="Times New Roman" w:eastAsia="Times New Roman" w:cs="Times New Roman"/>
              </w:rPr>
              <w:t>min</w:t>
            </w:r>
            <w:r>
              <w:rPr>
                <w:rFonts w:ascii="Times New Roman" w:hAnsi="Times New Roman" w:eastAsia="Times New Roman" w:cs="Times New Roman"/>
                <w:spacing w:val="9"/>
              </w:rPr>
              <w:t>)</w:t>
            </w:r>
          </w:p>
        </w:tc>
        <w:tc>
          <w:tcPr>
            <w:tcW w:w="1304" w:type="dxa"/>
            <w:vAlign w:val="top"/>
          </w:tcPr>
          <w:p w14:paraId="4F4865EF">
            <w:pPr>
              <w:spacing w:before="26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04" w:type="dxa"/>
            <w:vAlign w:val="top"/>
          </w:tcPr>
          <w:p w14:paraId="5161F6AB">
            <w:pPr>
              <w:spacing w:before="261"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04" w:type="dxa"/>
            <w:vAlign w:val="top"/>
          </w:tcPr>
          <w:p w14:paraId="54A0DE40">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305" w:type="dxa"/>
            <w:vAlign w:val="top"/>
          </w:tcPr>
          <w:p w14:paraId="18172263">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305" w:type="dxa"/>
            <w:vAlign w:val="top"/>
          </w:tcPr>
          <w:p w14:paraId="3E15F9F4">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09" w:type="dxa"/>
            <w:gridSpan w:val="2"/>
            <w:vAlign w:val="top"/>
          </w:tcPr>
          <w:p w14:paraId="2C263BF1">
            <w:pPr>
              <w:spacing w:before="261"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05" w:type="dxa"/>
            <w:gridSpan w:val="2"/>
            <w:vAlign w:val="top"/>
          </w:tcPr>
          <w:p w14:paraId="045A0CE0">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305" w:type="dxa"/>
            <w:vAlign w:val="top"/>
          </w:tcPr>
          <w:p w14:paraId="4EF7F58E">
            <w:pPr>
              <w:spacing w:before="26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309" w:type="dxa"/>
            <w:vAlign w:val="top"/>
          </w:tcPr>
          <w:p w14:paraId="570CA541">
            <w:pPr>
              <w:spacing w:before="26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697F0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8" w:type="dxa"/>
            <w:vMerge w:val="continue"/>
            <w:tcBorders>
              <w:top w:val="nil"/>
              <w:bottom w:val="nil"/>
            </w:tcBorders>
            <w:vAlign w:val="top"/>
          </w:tcPr>
          <w:p w14:paraId="5DC11952">
            <w:pPr>
              <w:rPr>
                <w:rFonts w:ascii="Arial"/>
                <w:sz w:val="21"/>
              </w:rPr>
            </w:pPr>
          </w:p>
        </w:tc>
        <w:tc>
          <w:tcPr>
            <w:tcW w:w="1709" w:type="dxa"/>
            <w:vAlign w:val="top"/>
          </w:tcPr>
          <w:p w14:paraId="2E072E86">
            <w:pPr>
              <w:pStyle w:val="6"/>
              <w:spacing w:before="71" w:line="228" w:lineRule="auto"/>
              <w:ind w:left="439"/>
            </w:pPr>
            <w:r>
              <w:rPr>
                <w:spacing w:val="7"/>
              </w:rPr>
              <w:t>土壤容重</w:t>
            </w:r>
          </w:p>
          <w:p w14:paraId="5C631738">
            <w:pPr>
              <w:pStyle w:val="6"/>
              <w:spacing w:before="64" w:line="221" w:lineRule="auto"/>
              <w:ind w:left="485"/>
              <w:rPr>
                <w:rFonts w:ascii="Times New Roman" w:hAnsi="Times New Roman" w:eastAsia="Times New Roman" w:cs="Times New Roman"/>
              </w:rPr>
            </w:pPr>
            <w:r>
              <w:rPr>
                <w:spacing w:val="3"/>
              </w:rPr>
              <w:t>（</w:t>
            </w:r>
            <w:r>
              <w:rPr>
                <w:rFonts w:ascii="Times New Roman" w:hAnsi="Times New Roman" w:eastAsia="Times New Roman" w:cs="Times New Roman"/>
                <w:spacing w:val="3"/>
              </w:rPr>
              <w:t>g/</w:t>
            </w:r>
            <w:r>
              <w:rPr>
                <w:rFonts w:ascii="Times New Roman" w:hAnsi="Times New Roman" w:eastAsia="Times New Roman" w:cs="Times New Roman"/>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w:t>
            </w:r>
          </w:p>
        </w:tc>
        <w:tc>
          <w:tcPr>
            <w:tcW w:w="1304" w:type="dxa"/>
            <w:vAlign w:val="top"/>
          </w:tcPr>
          <w:p w14:paraId="44735B94">
            <w:pPr>
              <w:spacing w:before="262"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04" w:type="dxa"/>
            <w:vAlign w:val="top"/>
          </w:tcPr>
          <w:p w14:paraId="411D766C">
            <w:pPr>
              <w:spacing w:before="26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04" w:type="dxa"/>
            <w:vAlign w:val="top"/>
          </w:tcPr>
          <w:p w14:paraId="3D873CC7">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305" w:type="dxa"/>
            <w:vAlign w:val="top"/>
          </w:tcPr>
          <w:p w14:paraId="69DC8669">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05" w:type="dxa"/>
            <w:vAlign w:val="top"/>
          </w:tcPr>
          <w:p w14:paraId="12F79190">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309" w:type="dxa"/>
            <w:gridSpan w:val="2"/>
            <w:vAlign w:val="top"/>
          </w:tcPr>
          <w:p w14:paraId="46D7C2CA">
            <w:pPr>
              <w:spacing w:before="262"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05" w:type="dxa"/>
            <w:gridSpan w:val="2"/>
            <w:vAlign w:val="top"/>
          </w:tcPr>
          <w:p w14:paraId="0F8A5075">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305" w:type="dxa"/>
            <w:vAlign w:val="top"/>
          </w:tcPr>
          <w:p w14:paraId="712B335B">
            <w:pPr>
              <w:spacing w:before="26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09" w:type="dxa"/>
            <w:vAlign w:val="top"/>
          </w:tcPr>
          <w:p w14:paraId="57750A03">
            <w:pPr>
              <w:spacing w:before="26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699FE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58" w:type="dxa"/>
            <w:vMerge w:val="continue"/>
            <w:tcBorders>
              <w:top w:val="nil"/>
            </w:tcBorders>
            <w:vAlign w:val="top"/>
          </w:tcPr>
          <w:p w14:paraId="26A466D3">
            <w:pPr>
              <w:rPr>
                <w:rFonts w:ascii="Arial"/>
                <w:sz w:val="21"/>
              </w:rPr>
            </w:pPr>
          </w:p>
        </w:tc>
        <w:tc>
          <w:tcPr>
            <w:tcW w:w="1709" w:type="dxa"/>
            <w:vAlign w:val="top"/>
          </w:tcPr>
          <w:p w14:paraId="4E2315DF">
            <w:pPr>
              <w:pStyle w:val="6"/>
              <w:spacing w:before="114" w:line="228" w:lineRule="auto"/>
              <w:ind w:left="439"/>
            </w:pPr>
            <w:r>
              <w:rPr>
                <w:spacing w:val="25"/>
              </w:rPr>
              <w:t>孔隙度%</w:t>
            </w:r>
          </w:p>
        </w:tc>
        <w:tc>
          <w:tcPr>
            <w:tcW w:w="1304" w:type="dxa"/>
            <w:vAlign w:val="top"/>
          </w:tcPr>
          <w:p w14:paraId="0F61BC38">
            <w:pPr>
              <w:spacing w:before="149"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1304" w:type="dxa"/>
            <w:vAlign w:val="top"/>
          </w:tcPr>
          <w:p w14:paraId="276E253B">
            <w:pPr>
              <w:spacing w:before="14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22.4</w:t>
            </w:r>
          </w:p>
        </w:tc>
        <w:tc>
          <w:tcPr>
            <w:tcW w:w="1304" w:type="dxa"/>
            <w:vAlign w:val="top"/>
          </w:tcPr>
          <w:p w14:paraId="5A6ECF7B">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w:t>
            </w:r>
          </w:p>
        </w:tc>
        <w:tc>
          <w:tcPr>
            <w:tcW w:w="1305" w:type="dxa"/>
            <w:vAlign w:val="top"/>
          </w:tcPr>
          <w:p w14:paraId="276AEFEE">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305" w:type="dxa"/>
            <w:vAlign w:val="top"/>
          </w:tcPr>
          <w:p w14:paraId="51AE4FDD">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1309" w:type="dxa"/>
            <w:gridSpan w:val="2"/>
            <w:vAlign w:val="top"/>
          </w:tcPr>
          <w:p w14:paraId="7B1B1C24">
            <w:pPr>
              <w:spacing w:before="149"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1305" w:type="dxa"/>
            <w:gridSpan w:val="2"/>
            <w:vAlign w:val="top"/>
          </w:tcPr>
          <w:p w14:paraId="59329C64">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1305" w:type="dxa"/>
            <w:vAlign w:val="top"/>
          </w:tcPr>
          <w:p w14:paraId="0939AF26">
            <w:pPr>
              <w:spacing w:before="14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w:t>
            </w:r>
          </w:p>
        </w:tc>
        <w:tc>
          <w:tcPr>
            <w:tcW w:w="1309" w:type="dxa"/>
            <w:vAlign w:val="top"/>
          </w:tcPr>
          <w:p w14:paraId="08E6B43A">
            <w:pPr>
              <w:spacing w:before="14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w:t>
            </w:r>
          </w:p>
        </w:tc>
      </w:tr>
    </w:tbl>
    <w:p w14:paraId="213B9CBC">
      <w:pPr>
        <w:pStyle w:val="2"/>
      </w:pPr>
    </w:p>
    <w:p w14:paraId="552D7346">
      <w:pPr>
        <w:sectPr>
          <w:headerReference r:id="rId202" w:type="default"/>
          <w:footerReference r:id="rId203" w:type="default"/>
          <w:pgSz w:w="16839" w:h="11906"/>
          <w:pgMar w:top="1208" w:right="1258" w:bottom="957" w:left="1257" w:header="825" w:footer="795" w:gutter="0"/>
          <w:cols w:space="720" w:num="1"/>
        </w:sectPr>
      </w:pPr>
    </w:p>
    <w:p w14:paraId="758CED5A">
      <w:pPr>
        <w:spacing w:before="53"/>
      </w:pPr>
    </w:p>
    <w:p w14:paraId="370C4B24">
      <w:pPr>
        <w:spacing w:before="52"/>
      </w:pPr>
    </w:p>
    <w:tbl>
      <w:tblPr>
        <w:tblStyle w:val="5"/>
        <w:tblW w:w="143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704"/>
        <w:gridCol w:w="1334"/>
        <w:gridCol w:w="1333"/>
        <w:gridCol w:w="1336"/>
        <w:gridCol w:w="1333"/>
        <w:gridCol w:w="802"/>
        <w:gridCol w:w="802"/>
        <w:gridCol w:w="1337"/>
        <w:gridCol w:w="802"/>
        <w:gridCol w:w="802"/>
        <w:gridCol w:w="1876"/>
      </w:tblGrid>
      <w:tr w14:paraId="6B842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2560" w:type="dxa"/>
            <w:gridSpan w:val="2"/>
            <w:vAlign w:val="top"/>
          </w:tcPr>
          <w:p w14:paraId="26E8D262">
            <w:pPr>
              <w:pStyle w:val="6"/>
              <w:spacing w:before="227" w:line="228" w:lineRule="auto"/>
              <w:ind w:left="868"/>
            </w:pPr>
            <w:r>
              <w:rPr>
                <w:spacing w:val="6"/>
              </w:rPr>
              <w:t>项目名称</w:t>
            </w:r>
          </w:p>
        </w:tc>
        <w:tc>
          <w:tcPr>
            <w:tcW w:w="6138" w:type="dxa"/>
            <w:gridSpan w:val="5"/>
            <w:vAlign w:val="top"/>
          </w:tcPr>
          <w:p w14:paraId="66D586D9">
            <w:pPr>
              <w:pStyle w:val="6"/>
              <w:spacing w:before="71" w:line="228" w:lineRule="auto"/>
              <w:ind w:left="370"/>
            </w:pPr>
            <w:r>
              <w:rPr>
                <w:spacing w:val="8"/>
              </w:rPr>
              <w:t>内蒙古玉龙矿业股份有限公司西乌珠穆沁旗花敖包特银铅矿</w:t>
            </w:r>
          </w:p>
          <w:p w14:paraId="0F67D6FD">
            <w:pPr>
              <w:pStyle w:val="6"/>
              <w:spacing w:before="65" w:line="228" w:lineRule="auto"/>
              <w:ind w:left="1778"/>
            </w:pPr>
            <w:r>
              <w:rPr>
                <w:rFonts w:ascii="Times New Roman" w:hAnsi="Times New Roman" w:eastAsia="Times New Roman" w:cs="Times New Roman"/>
                <w:spacing w:val="6"/>
              </w:rPr>
              <w:t xml:space="preserve">2000t/d </w:t>
            </w:r>
            <w:r>
              <w:rPr>
                <w:spacing w:val="6"/>
              </w:rPr>
              <w:t>选矿厂技术改造项目</w:t>
            </w:r>
          </w:p>
        </w:tc>
        <w:tc>
          <w:tcPr>
            <w:tcW w:w="2941" w:type="dxa"/>
            <w:gridSpan w:val="3"/>
            <w:vAlign w:val="top"/>
          </w:tcPr>
          <w:p w14:paraId="3F5E3CBE">
            <w:pPr>
              <w:pStyle w:val="6"/>
              <w:spacing w:before="227" w:line="227" w:lineRule="auto"/>
              <w:ind w:left="1055"/>
            </w:pPr>
            <w:r>
              <w:rPr>
                <w:spacing w:val="7"/>
              </w:rPr>
              <w:t>采样时间</w:t>
            </w:r>
          </w:p>
        </w:tc>
        <w:tc>
          <w:tcPr>
            <w:tcW w:w="2678" w:type="dxa"/>
            <w:gridSpan w:val="2"/>
            <w:vAlign w:val="top"/>
          </w:tcPr>
          <w:p w14:paraId="5DB161D5">
            <w:pPr>
              <w:pStyle w:val="6"/>
              <w:spacing w:before="227" w:line="228" w:lineRule="auto"/>
              <w:ind w:left="473"/>
            </w:pPr>
            <w:r>
              <w:rPr>
                <w:rFonts w:ascii="Times New Roman" w:hAnsi="Times New Roman" w:eastAsia="Times New Roman" w:cs="Times New Roman"/>
                <w:spacing w:val="1"/>
              </w:rPr>
              <w:t xml:space="preserve">2023 </w:t>
            </w:r>
            <w:r>
              <w:rPr>
                <w:spacing w:val="1"/>
              </w:rPr>
              <w:t>年</w:t>
            </w:r>
            <w:r>
              <w:rPr>
                <w:spacing w:val="-32"/>
              </w:rPr>
              <w:t xml:space="preserve"> </w:t>
            </w:r>
            <w:r>
              <w:rPr>
                <w:rFonts w:ascii="Times New Roman" w:hAnsi="Times New Roman" w:eastAsia="Times New Roman" w:cs="Times New Roman"/>
                <w:spacing w:val="1"/>
              </w:rPr>
              <w:t>05</w:t>
            </w:r>
            <w:r>
              <w:rPr>
                <w:rFonts w:ascii="Times New Roman" w:hAnsi="Times New Roman" w:eastAsia="Times New Roman" w:cs="Times New Roman"/>
                <w:spacing w:val="17"/>
              </w:rPr>
              <w:t xml:space="preserve"> </w:t>
            </w:r>
            <w:r>
              <w:rPr>
                <w:spacing w:val="1"/>
              </w:rPr>
              <w:t>月</w:t>
            </w:r>
            <w:r>
              <w:rPr>
                <w:spacing w:val="-39"/>
              </w:rPr>
              <w:t xml:space="preserve"> </w:t>
            </w:r>
            <w:r>
              <w:rPr>
                <w:rFonts w:ascii="Times New Roman" w:hAnsi="Times New Roman" w:eastAsia="Times New Roman" w:cs="Times New Roman"/>
                <w:spacing w:val="1"/>
              </w:rPr>
              <w:t xml:space="preserve">31  </w:t>
            </w:r>
            <w:r>
              <w:rPr>
                <w:spacing w:val="1"/>
              </w:rPr>
              <w:t>日</w:t>
            </w:r>
          </w:p>
        </w:tc>
      </w:tr>
      <w:tr w14:paraId="00564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2560" w:type="dxa"/>
            <w:gridSpan w:val="2"/>
            <w:vAlign w:val="top"/>
          </w:tcPr>
          <w:p w14:paraId="6D1FC605">
            <w:pPr>
              <w:spacing w:line="311" w:lineRule="auto"/>
              <w:rPr>
                <w:rFonts w:ascii="Arial"/>
                <w:sz w:val="21"/>
              </w:rPr>
            </w:pPr>
          </w:p>
          <w:p w14:paraId="0B941886">
            <w:pPr>
              <w:pStyle w:val="6"/>
              <w:spacing w:before="65" w:line="228" w:lineRule="auto"/>
              <w:ind w:left="561"/>
            </w:pPr>
            <w:r>
              <w:rPr>
                <w:spacing w:val="7"/>
              </w:rPr>
              <w:t>点位及经度纬度</w:t>
            </w:r>
          </w:p>
        </w:tc>
        <w:tc>
          <w:tcPr>
            <w:tcW w:w="4003" w:type="dxa"/>
            <w:gridSpan w:val="3"/>
            <w:vAlign w:val="top"/>
          </w:tcPr>
          <w:p w14:paraId="3A1F8E71">
            <w:pPr>
              <w:pStyle w:val="6"/>
              <w:spacing w:before="222" w:line="229" w:lineRule="auto"/>
              <w:ind w:left="1665"/>
              <w:rPr>
                <w:rFonts w:ascii="Times New Roman" w:hAnsi="Times New Roman" w:eastAsia="Times New Roman" w:cs="Times New Roman"/>
              </w:rPr>
            </w:pPr>
            <w:r>
              <w:rPr>
                <w:spacing w:val="3"/>
              </w:rPr>
              <w:t>土壤</w:t>
            </w:r>
            <w:r>
              <w:rPr>
                <w:spacing w:val="-40"/>
              </w:rPr>
              <w:t xml:space="preserve"> </w:t>
            </w:r>
            <w:r>
              <w:rPr>
                <w:rFonts w:ascii="Times New Roman" w:hAnsi="Times New Roman" w:eastAsia="Times New Roman" w:cs="Times New Roman"/>
                <w:spacing w:val="3"/>
              </w:rPr>
              <w:t>4#</w:t>
            </w:r>
          </w:p>
          <w:p w14:paraId="780A50C1">
            <w:pPr>
              <w:pStyle w:val="6"/>
              <w:spacing w:before="100" w:line="186" w:lineRule="auto"/>
              <w:ind w:left="600"/>
              <w:rPr>
                <w:rFonts w:ascii="Times New Roman" w:hAnsi="Times New Roman" w:eastAsia="Times New Roman" w:cs="Times New Roman"/>
              </w:rPr>
            </w:pPr>
            <w:r>
              <w:rPr>
                <w:rFonts w:ascii="Times New Roman" w:hAnsi="Times New Roman" w:eastAsia="Times New Roman" w:cs="Times New Roman"/>
                <w:spacing w:val="2"/>
              </w:rPr>
              <w:t>E118°57′36.53″</w:t>
            </w:r>
            <w:r>
              <w:rPr>
                <w:rFonts w:ascii="Times New Roman" w:hAnsi="Times New Roman" w:eastAsia="Times New Roman" w:cs="Times New Roman"/>
                <w:spacing w:val="-11"/>
              </w:rPr>
              <w:t xml:space="preserve"> </w:t>
            </w:r>
            <w:r>
              <w:rPr>
                <w:spacing w:val="2"/>
              </w:rPr>
              <w:t>，</w:t>
            </w:r>
            <w:r>
              <w:rPr>
                <w:rFonts w:ascii="Times New Roman" w:hAnsi="Times New Roman" w:eastAsia="Times New Roman" w:cs="Times New Roman"/>
                <w:spacing w:val="2"/>
              </w:rPr>
              <w:t>N45°</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16′20.09″</w:t>
            </w:r>
          </w:p>
        </w:tc>
        <w:tc>
          <w:tcPr>
            <w:tcW w:w="4274" w:type="dxa"/>
            <w:gridSpan w:val="4"/>
            <w:vAlign w:val="top"/>
          </w:tcPr>
          <w:p w14:paraId="26B8FFAF">
            <w:pPr>
              <w:pStyle w:val="6"/>
              <w:spacing w:before="222" w:line="229" w:lineRule="auto"/>
              <w:ind w:left="1802"/>
              <w:rPr>
                <w:rFonts w:ascii="Times New Roman" w:hAnsi="Times New Roman" w:eastAsia="Times New Roman" w:cs="Times New Roman"/>
              </w:rPr>
            </w:pPr>
            <w:r>
              <w:rPr>
                <w:spacing w:val="2"/>
              </w:rPr>
              <w:t>土壤</w:t>
            </w:r>
            <w:r>
              <w:rPr>
                <w:spacing w:val="-35"/>
              </w:rPr>
              <w:t xml:space="preserve"> </w:t>
            </w:r>
            <w:r>
              <w:rPr>
                <w:rFonts w:ascii="Times New Roman" w:hAnsi="Times New Roman" w:eastAsia="Times New Roman" w:cs="Times New Roman"/>
                <w:spacing w:val="2"/>
              </w:rPr>
              <w:t>5#</w:t>
            </w:r>
          </w:p>
          <w:p w14:paraId="44A787C7">
            <w:pPr>
              <w:pStyle w:val="6"/>
              <w:spacing w:before="100" w:line="186" w:lineRule="auto"/>
              <w:ind w:left="737"/>
              <w:rPr>
                <w:rFonts w:ascii="Times New Roman" w:hAnsi="Times New Roman" w:eastAsia="Times New Roman" w:cs="Times New Roman"/>
              </w:rPr>
            </w:pPr>
            <w:r>
              <w:rPr>
                <w:rFonts w:ascii="Times New Roman" w:hAnsi="Times New Roman" w:eastAsia="Times New Roman" w:cs="Times New Roman"/>
                <w:spacing w:val="1"/>
              </w:rPr>
              <w:t>E118°57′34.17″</w:t>
            </w:r>
            <w:r>
              <w:rPr>
                <w:rFonts w:ascii="Times New Roman" w:hAnsi="Times New Roman" w:eastAsia="Times New Roman" w:cs="Times New Roman"/>
                <w:spacing w:val="-8"/>
              </w:rPr>
              <w:t xml:space="preserve"> </w:t>
            </w:r>
            <w:r>
              <w:rPr>
                <w:spacing w:val="1"/>
              </w:rPr>
              <w:t>，</w:t>
            </w:r>
            <w:r>
              <w:rPr>
                <w:rFonts w:ascii="Times New Roman" w:hAnsi="Times New Roman" w:eastAsia="Times New Roman" w:cs="Times New Roman"/>
                <w:spacing w:val="1"/>
              </w:rPr>
              <w:t>N45°</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16′</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19.63″</w:t>
            </w:r>
          </w:p>
        </w:tc>
        <w:tc>
          <w:tcPr>
            <w:tcW w:w="1604" w:type="dxa"/>
            <w:gridSpan w:val="2"/>
            <w:vAlign w:val="top"/>
          </w:tcPr>
          <w:p w14:paraId="55096DA3">
            <w:pPr>
              <w:pStyle w:val="6"/>
              <w:spacing w:before="66" w:line="229" w:lineRule="auto"/>
              <w:ind w:left="468"/>
              <w:rPr>
                <w:rFonts w:ascii="Times New Roman" w:hAnsi="Times New Roman" w:eastAsia="Times New Roman" w:cs="Times New Roman"/>
              </w:rPr>
            </w:pPr>
            <w:r>
              <w:rPr>
                <w:spacing w:val="2"/>
              </w:rPr>
              <w:t>土壤</w:t>
            </w:r>
            <w:r>
              <w:rPr>
                <w:spacing w:val="-36"/>
              </w:rPr>
              <w:t xml:space="preserve"> </w:t>
            </w:r>
            <w:r>
              <w:rPr>
                <w:rFonts w:ascii="Times New Roman" w:hAnsi="Times New Roman" w:eastAsia="Times New Roman" w:cs="Times New Roman"/>
                <w:spacing w:val="2"/>
              </w:rPr>
              <w:t>7#</w:t>
            </w:r>
          </w:p>
          <w:p w14:paraId="66777C1C">
            <w:pPr>
              <w:spacing w:before="99" w:line="252" w:lineRule="auto"/>
              <w:ind w:left="77" w:right="76" w:firstLine="60"/>
              <w:rPr>
                <w:rFonts w:ascii="Times New Roman" w:hAnsi="Times New Roman" w:eastAsia="Times New Roman" w:cs="Times New Roman"/>
                <w:sz w:val="24"/>
                <w:szCs w:val="24"/>
              </w:rPr>
            </w:pPr>
            <w:r>
              <w:rPr>
                <w:rFonts w:ascii="Times New Roman" w:hAnsi="Times New Roman" w:eastAsia="Times New Roman" w:cs="Times New Roman"/>
                <w:spacing w:val="3"/>
                <w:sz w:val="20"/>
                <w:szCs w:val="20"/>
              </w:rPr>
              <w:t>E118°57′32.90″</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2"/>
                <w:sz w:val="24"/>
                <w:szCs w:val="24"/>
              </w:rPr>
              <w:t>N45°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16′20.40″</w:t>
            </w:r>
          </w:p>
        </w:tc>
        <w:tc>
          <w:tcPr>
            <w:tcW w:w="1876" w:type="dxa"/>
            <w:vAlign w:val="top"/>
          </w:tcPr>
          <w:p w14:paraId="0E9DD710">
            <w:pPr>
              <w:pStyle w:val="6"/>
              <w:spacing w:before="66" w:line="229" w:lineRule="auto"/>
              <w:ind w:left="602"/>
              <w:rPr>
                <w:rFonts w:ascii="Times New Roman" w:hAnsi="Times New Roman" w:eastAsia="Times New Roman" w:cs="Times New Roman"/>
              </w:rPr>
            </w:pPr>
            <w:r>
              <w:rPr>
                <w:spacing w:val="2"/>
              </w:rPr>
              <w:t>土壤</w:t>
            </w:r>
            <w:r>
              <w:rPr>
                <w:spacing w:val="-36"/>
              </w:rPr>
              <w:t xml:space="preserve"> </w:t>
            </w:r>
            <w:r>
              <w:rPr>
                <w:rFonts w:ascii="Times New Roman" w:hAnsi="Times New Roman" w:eastAsia="Times New Roman" w:cs="Times New Roman"/>
                <w:spacing w:val="2"/>
              </w:rPr>
              <w:t>6#</w:t>
            </w:r>
          </w:p>
          <w:p w14:paraId="6326571F">
            <w:pPr>
              <w:spacing w:before="9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E118°57′26.89″</w:t>
            </w:r>
          </w:p>
          <w:p w14:paraId="35E86BBD">
            <w:pPr>
              <w:spacing w:before="12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N45°</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18.39″</w:t>
            </w:r>
          </w:p>
        </w:tc>
      </w:tr>
      <w:tr w14:paraId="1C97E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560" w:type="dxa"/>
            <w:gridSpan w:val="2"/>
            <w:vAlign w:val="top"/>
          </w:tcPr>
          <w:p w14:paraId="1EA0E124">
            <w:pPr>
              <w:pStyle w:val="6"/>
              <w:spacing w:before="104" w:line="228" w:lineRule="auto"/>
              <w:ind w:left="1076"/>
            </w:pPr>
            <w:r>
              <w:rPr>
                <w:spacing w:val="4"/>
              </w:rPr>
              <w:t>层次</w:t>
            </w:r>
          </w:p>
        </w:tc>
        <w:tc>
          <w:tcPr>
            <w:tcW w:w="1334" w:type="dxa"/>
            <w:vAlign w:val="top"/>
          </w:tcPr>
          <w:p w14:paraId="0014C1E1">
            <w:pPr>
              <w:pStyle w:val="6"/>
              <w:spacing w:before="104" w:line="228" w:lineRule="auto"/>
              <w:ind w:left="356"/>
            </w:pPr>
            <w:r>
              <w:rPr>
                <w:spacing w:val="7"/>
              </w:rPr>
              <w:t>表层样</w:t>
            </w:r>
          </w:p>
        </w:tc>
        <w:tc>
          <w:tcPr>
            <w:tcW w:w="1333" w:type="dxa"/>
            <w:vAlign w:val="top"/>
          </w:tcPr>
          <w:p w14:paraId="466C12C0">
            <w:pPr>
              <w:pStyle w:val="6"/>
              <w:spacing w:before="104" w:line="228" w:lineRule="auto"/>
              <w:ind w:left="377"/>
            </w:pPr>
            <w:r>
              <w:rPr>
                <w:spacing w:val="-1"/>
              </w:rPr>
              <w:t>中层样</w:t>
            </w:r>
          </w:p>
        </w:tc>
        <w:tc>
          <w:tcPr>
            <w:tcW w:w="1336" w:type="dxa"/>
            <w:vAlign w:val="top"/>
          </w:tcPr>
          <w:p w14:paraId="3674DF9E">
            <w:pPr>
              <w:pStyle w:val="6"/>
              <w:spacing w:before="104" w:line="228" w:lineRule="auto"/>
              <w:ind w:left="358"/>
            </w:pPr>
            <w:r>
              <w:rPr>
                <w:spacing w:val="6"/>
              </w:rPr>
              <w:t>深层样</w:t>
            </w:r>
          </w:p>
        </w:tc>
        <w:tc>
          <w:tcPr>
            <w:tcW w:w="1333" w:type="dxa"/>
            <w:vAlign w:val="top"/>
          </w:tcPr>
          <w:p w14:paraId="04000929">
            <w:pPr>
              <w:pStyle w:val="6"/>
              <w:spacing w:before="104" w:line="228" w:lineRule="auto"/>
              <w:ind w:left="358"/>
            </w:pPr>
            <w:r>
              <w:rPr>
                <w:spacing w:val="7"/>
              </w:rPr>
              <w:t>表层样</w:t>
            </w:r>
          </w:p>
        </w:tc>
        <w:tc>
          <w:tcPr>
            <w:tcW w:w="1604" w:type="dxa"/>
            <w:gridSpan w:val="2"/>
            <w:vAlign w:val="top"/>
          </w:tcPr>
          <w:p w14:paraId="45270C55">
            <w:pPr>
              <w:pStyle w:val="6"/>
              <w:spacing w:before="104" w:line="228" w:lineRule="auto"/>
              <w:ind w:left="515"/>
            </w:pPr>
            <w:r>
              <w:rPr>
                <w:spacing w:val="-1"/>
              </w:rPr>
              <w:t>中层样</w:t>
            </w:r>
          </w:p>
        </w:tc>
        <w:tc>
          <w:tcPr>
            <w:tcW w:w="1337" w:type="dxa"/>
            <w:vAlign w:val="top"/>
          </w:tcPr>
          <w:p w14:paraId="492FFA5F">
            <w:pPr>
              <w:pStyle w:val="6"/>
              <w:spacing w:before="104" w:line="228" w:lineRule="auto"/>
              <w:ind w:left="360"/>
            </w:pPr>
            <w:r>
              <w:rPr>
                <w:spacing w:val="6"/>
              </w:rPr>
              <w:t>深层样</w:t>
            </w:r>
          </w:p>
        </w:tc>
        <w:tc>
          <w:tcPr>
            <w:tcW w:w="1604" w:type="dxa"/>
            <w:gridSpan w:val="2"/>
            <w:vAlign w:val="top"/>
          </w:tcPr>
          <w:p w14:paraId="3E8C4611">
            <w:pPr>
              <w:pStyle w:val="6"/>
              <w:spacing w:before="104" w:line="228" w:lineRule="auto"/>
              <w:ind w:left="493"/>
            </w:pPr>
            <w:r>
              <w:rPr>
                <w:spacing w:val="7"/>
              </w:rPr>
              <w:t>表层样</w:t>
            </w:r>
          </w:p>
        </w:tc>
        <w:tc>
          <w:tcPr>
            <w:tcW w:w="1876" w:type="dxa"/>
            <w:vAlign w:val="top"/>
          </w:tcPr>
          <w:p w14:paraId="196F2EDE">
            <w:pPr>
              <w:pStyle w:val="6"/>
              <w:spacing w:before="104" w:line="228" w:lineRule="auto"/>
              <w:ind w:left="627"/>
            </w:pPr>
            <w:r>
              <w:rPr>
                <w:spacing w:val="7"/>
              </w:rPr>
              <w:t>表层样</w:t>
            </w:r>
          </w:p>
        </w:tc>
      </w:tr>
      <w:tr w14:paraId="56261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restart"/>
            <w:tcBorders>
              <w:bottom w:val="nil"/>
            </w:tcBorders>
            <w:vAlign w:val="top"/>
          </w:tcPr>
          <w:p w14:paraId="1B4A4D56">
            <w:pPr>
              <w:spacing w:line="243" w:lineRule="auto"/>
              <w:rPr>
                <w:rFonts w:ascii="Arial"/>
                <w:sz w:val="21"/>
              </w:rPr>
            </w:pPr>
          </w:p>
          <w:p w14:paraId="532504E1">
            <w:pPr>
              <w:spacing w:line="243" w:lineRule="auto"/>
              <w:rPr>
                <w:rFonts w:ascii="Arial"/>
                <w:sz w:val="21"/>
              </w:rPr>
            </w:pPr>
          </w:p>
          <w:p w14:paraId="2CF437D9">
            <w:pPr>
              <w:spacing w:line="244" w:lineRule="auto"/>
              <w:rPr>
                <w:rFonts w:ascii="Arial"/>
                <w:sz w:val="21"/>
              </w:rPr>
            </w:pPr>
          </w:p>
          <w:p w14:paraId="2A83DE65">
            <w:pPr>
              <w:pStyle w:val="6"/>
              <w:spacing w:before="65" w:line="228" w:lineRule="auto"/>
              <w:ind w:left="226"/>
            </w:pPr>
            <w:r>
              <w:rPr>
                <w:spacing w:val="3"/>
              </w:rPr>
              <w:t>现场</w:t>
            </w:r>
          </w:p>
          <w:p w14:paraId="69A95E99">
            <w:pPr>
              <w:pStyle w:val="6"/>
              <w:spacing w:before="64" w:line="230" w:lineRule="auto"/>
              <w:ind w:left="223"/>
            </w:pPr>
            <w:r>
              <w:rPr>
                <w:spacing w:val="5"/>
              </w:rPr>
              <w:t>记录</w:t>
            </w:r>
          </w:p>
        </w:tc>
        <w:tc>
          <w:tcPr>
            <w:tcW w:w="1704" w:type="dxa"/>
            <w:vAlign w:val="top"/>
          </w:tcPr>
          <w:p w14:paraId="63A080B8">
            <w:pPr>
              <w:pStyle w:val="6"/>
              <w:spacing w:before="110" w:line="229" w:lineRule="auto"/>
              <w:ind w:left="644"/>
            </w:pPr>
            <w:r>
              <w:rPr>
                <w:spacing w:val="5"/>
              </w:rPr>
              <w:t>颜色</w:t>
            </w:r>
          </w:p>
        </w:tc>
        <w:tc>
          <w:tcPr>
            <w:tcW w:w="1334" w:type="dxa"/>
            <w:vAlign w:val="top"/>
          </w:tcPr>
          <w:p w14:paraId="63514061">
            <w:pPr>
              <w:pStyle w:val="6"/>
              <w:spacing w:before="110" w:line="228" w:lineRule="auto"/>
              <w:ind w:left="356"/>
            </w:pPr>
            <w:r>
              <w:rPr>
                <w:spacing w:val="7"/>
              </w:rPr>
              <w:t>黄褐色</w:t>
            </w:r>
          </w:p>
        </w:tc>
        <w:tc>
          <w:tcPr>
            <w:tcW w:w="1333" w:type="dxa"/>
            <w:vAlign w:val="top"/>
          </w:tcPr>
          <w:p w14:paraId="13E24CD8">
            <w:pPr>
              <w:pStyle w:val="6"/>
              <w:spacing w:before="110" w:line="228" w:lineRule="auto"/>
              <w:ind w:left="356"/>
            </w:pPr>
            <w:r>
              <w:rPr>
                <w:spacing w:val="7"/>
              </w:rPr>
              <w:t>黄褐色</w:t>
            </w:r>
          </w:p>
        </w:tc>
        <w:tc>
          <w:tcPr>
            <w:tcW w:w="1336" w:type="dxa"/>
            <w:vAlign w:val="top"/>
          </w:tcPr>
          <w:p w14:paraId="20F93287">
            <w:pPr>
              <w:pStyle w:val="6"/>
              <w:spacing w:before="110" w:line="228" w:lineRule="auto"/>
              <w:ind w:left="358"/>
            </w:pPr>
            <w:r>
              <w:rPr>
                <w:spacing w:val="7"/>
              </w:rPr>
              <w:t>黄褐色</w:t>
            </w:r>
          </w:p>
        </w:tc>
        <w:tc>
          <w:tcPr>
            <w:tcW w:w="1333" w:type="dxa"/>
            <w:vAlign w:val="top"/>
          </w:tcPr>
          <w:p w14:paraId="04F015EF">
            <w:pPr>
              <w:pStyle w:val="6"/>
              <w:spacing w:before="110" w:line="228" w:lineRule="auto"/>
              <w:ind w:left="358"/>
            </w:pPr>
            <w:r>
              <w:rPr>
                <w:spacing w:val="7"/>
              </w:rPr>
              <w:t>黄褐色</w:t>
            </w:r>
          </w:p>
        </w:tc>
        <w:tc>
          <w:tcPr>
            <w:tcW w:w="1604" w:type="dxa"/>
            <w:gridSpan w:val="2"/>
            <w:vAlign w:val="top"/>
          </w:tcPr>
          <w:p w14:paraId="10726767">
            <w:pPr>
              <w:pStyle w:val="6"/>
              <w:spacing w:before="110" w:line="228" w:lineRule="auto"/>
              <w:ind w:left="494"/>
            </w:pPr>
            <w:r>
              <w:rPr>
                <w:spacing w:val="7"/>
              </w:rPr>
              <w:t>黄褐色</w:t>
            </w:r>
          </w:p>
        </w:tc>
        <w:tc>
          <w:tcPr>
            <w:tcW w:w="1337" w:type="dxa"/>
            <w:vAlign w:val="top"/>
          </w:tcPr>
          <w:p w14:paraId="61FDCDF7">
            <w:pPr>
              <w:pStyle w:val="6"/>
              <w:spacing w:before="110" w:line="228" w:lineRule="auto"/>
              <w:ind w:left="359"/>
            </w:pPr>
            <w:r>
              <w:rPr>
                <w:spacing w:val="7"/>
              </w:rPr>
              <w:t>黄褐色</w:t>
            </w:r>
          </w:p>
        </w:tc>
        <w:tc>
          <w:tcPr>
            <w:tcW w:w="1604" w:type="dxa"/>
            <w:gridSpan w:val="2"/>
            <w:vAlign w:val="top"/>
          </w:tcPr>
          <w:p w14:paraId="344ABB22">
            <w:pPr>
              <w:pStyle w:val="6"/>
              <w:spacing w:before="110" w:line="228" w:lineRule="auto"/>
              <w:ind w:left="493"/>
            </w:pPr>
            <w:r>
              <w:rPr>
                <w:spacing w:val="7"/>
              </w:rPr>
              <w:t>黄褐色</w:t>
            </w:r>
          </w:p>
        </w:tc>
        <w:tc>
          <w:tcPr>
            <w:tcW w:w="1876" w:type="dxa"/>
            <w:vAlign w:val="top"/>
          </w:tcPr>
          <w:p w14:paraId="0DAADE3C">
            <w:pPr>
              <w:pStyle w:val="6"/>
              <w:spacing w:before="110" w:line="228" w:lineRule="auto"/>
              <w:ind w:left="627"/>
            </w:pPr>
            <w:r>
              <w:rPr>
                <w:spacing w:val="7"/>
              </w:rPr>
              <w:t>黄褐色</w:t>
            </w:r>
          </w:p>
        </w:tc>
      </w:tr>
      <w:tr w14:paraId="30E8B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continue"/>
            <w:tcBorders>
              <w:top w:val="nil"/>
              <w:bottom w:val="nil"/>
            </w:tcBorders>
            <w:vAlign w:val="top"/>
          </w:tcPr>
          <w:p w14:paraId="186C43E2">
            <w:pPr>
              <w:rPr>
                <w:rFonts w:ascii="Arial"/>
                <w:sz w:val="21"/>
              </w:rPr>
            </w:pPr>
          </w:p>
        </w:tc>
        <w:tc>
          <w:tcPr>
            <w:tcW w:w="1704" w:type="dxa"/>
            <w:vAlign w:val="top"/>
          </w:tcPr>
          <w:p w14:paraId="1CD0B823">
            <w:pPr>
              <w:pStyle w:val="6"/>
              <w:spacing w:before="111" w:line="228" w:lineRule="auto"/>
              <w:ind w:left="645"/>
            </w:pPr>
            <w:r>
              <w:rPr>
                <w:spacing w:val="4"/>
              </w:rPr>
              <w:t>质地</w:t>
            </w:r>
          </w:p>
        </w:tc>
        <w:tc>
          <w:tcPr>
            <w:tcW w:w="1334" w:type="dxa"/>
            <w:vAlign w:val="top"/>
          </w:tcPr>
          <w:p w14:paraId="7F0F3663">
            <w:pPr>
              <w:pStyle w:val="6"/>
              <w:spacing w:before="110" w:line="230" w:lineRule="auto"/>
              <w:ind w:left="461"/>
            </w:pPr>
            <w:r>
              <w:rPr>
                <w:spacing w:val="5"/>
              </w:rPr>
              <w:t>砂砾</w:t>
            </w:r>
          </w:p>
        </w:tc>
        <w:tc>
          <w:tcPr>
            <w:tcW w:w="1333" w:type="dxa"/>
            <w:vAlign w:val="top"/>
          </w:tcPr>
          <w:p w14:paraId="7960C63A">
            <w:pPr>
              <w:pStyle w:val="6"/>
              <w:spacing w:before="110" w:line="230" w:lineRule="auto"/>
              <w:ind w:left="459"/>
            </w:pPr>
            <w:r>
              <w:rPr>
                <w:spacing w:val="5"/>
              </w:rPr>
              <w:t>砂砾</w:t>
            </w:r>
          </w:p>
        </w:tc>
        <w:tc>
          <w:tcPr>
            <w:tcW w:w="1336" w:type="dxa"/>
            <w:vAlign w:val="top"/>
          </w:tcPr>
          <w:p w14:paraId="3E4A7F22">
            <w:pPr>
              <w:pStyle w:val="6"/>
              <w:spacing w:before="110" w:line="230" w:lineRule="auto"/>
              <w:ind w:left="463"/>
            </w:pPr>
            <w:r>
              <w:rPr>
                <w:spacing w:val="5"/>
              </w:rPr>
              <w:t>砂砾</w:t>
            </w:r>
          </w:p>
        </w:tc>
        <w:tc>
          <w:tcPr>
            <w:tcW w:w="1333" w:type="dxa"/>
            <w:vAlign w:val="top"/>
          </w:tcPr>
          <w:p w14:paraId="53FF25AA">
            <w:pPr>
              <w:pStyle w:val="6"/>
              <w:spacing w:before="110" w:line="230" w:lineRule="auto"/>
              <w:ind w:left="462"/>
            </w:pPr>
            <w:r>
              <w:rPr>
                <w:spacing w:val="5"/>
              </w:rPr>
              <w:t>砂砾</w:t>
            </w:r>
          </w:p>
        </w:tc>
        <w:tc>
          <w:tcPr>
            <w:tcW w:w="1604" w:type="dxa"/>
            <w:gridSpan w:val="2"/>
            <w:vAlign w:val="top"/>
          </w:tcPr>
          <w:p w14:paraId="47742695">
            <w:pPr>
              <w:pStyle w:val="6"/>
              <w:spacing w:before="110" w:line="230" w:lineRule="auto"/>
              <w:ind w:left="597"/>
            </w:pPr>
            <w:r>
              <w:rPr>
                <w:spacing w:val="5"/>
              </w:rPr>
              <w:t>砂砾</w:t>
            </w:r>
          </w:p>
        </w:tc>
        <w:tc>
          <w:tcPr>
            <w:tcW w:w="1337" w:type="dxa"/>
            <w:vAlign w:val="top"/>
          </w:tcPr>
          <w:p w14:paraId="6A6CCF24">
            <w:pPr>
              <w:pStyle w:val="6"/>
              <w:spacing w:before="110" w:line="230" w:lineRule="auto"/>
              <w:ind w:left="465"/>
            </w:pPr>
            <w:r>
              <w:rPr>
                <w:spacing w:val="5"/>
              </w:rPr>
              <w:t>砂砾</w:t>
            </w:r>
          </w:p>
        </w:tc>
        <w:tc>
          <w:tcPr>
            <w:tcW w:w="1604" w:type="dxa"/>
            <w:gridSpan w:val="2"/>
            <w:vAlign w:val="top"/>
          </w:tcPr>
          <w:p w14:paraId="76FF2746">
            <w:pPr>
              <w:pStyle w:val="6"/>
              <w:spacing w:before="110" w:line="230" w:lineRule="auto"/>
              <w:ind w:left="599"/>
            </w:pPr>
            <w:r>
              <w:rPr>
                <w:spacing w:val="5"/>
              </w:rPr>
              <w:t>砂砾</w:t>
            </w:r>
          </w:p>
        </w:tc>
        <w:tc>
          <w:tcPr>
            <w:tcW w:w="1876" w:type="dxa"/>
            <w:vAlign w:val="top"/>
          </w:tcPr>
          <w:p w14:paraId="5192B59A">
            <w:pPr>
              <w:pStyle w:val="6"/>
              <w:spacing w:before="110" w:line="230" w:lineRule="auto"/>
              <w:ind w:left="732"/>
            </w:pPr>
            <w:r>
              <w:rPr>
                <w:spacing w:val="5"/>
              </w:rPr>
              <w:t>砂砾</w:t>
            </w:r>
          </w:p>
        </w:tc>
      </w:tr>
      <w:tr w14:paraId="39415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continue"/>
            <w:tcBorders>
              <w:top w:val="nil"/>
              <w:bottom w:val="nil"/>
            </w:tcBorders>
            <w:vAlign w:val="top"/>
          </w:tcPr>
          <w:p w14:paraId="49F9A862">
            <w:pPr>
              <w:rPr>
                <w:rFonts w:ascii="Arial"/>
                <w:sz w:val="21"/>
              </w:rPr>
            </w:pPr>
          </w:p>
        </w:tc>
        <w:tc>
          <w:tcPr>
            <w:tcW w:w="1704" w:type="dxa"/>
            <w:vAlign w:val="top"/>
          </w:tcPr>
          <w:p w14:paraId="6DEF71F9">
            <w:pPr>
              <w:pStyle w:val="6"/>
              <w:spacing w:before="110" w:line="228" w:lineRule="auto"/>
              <w:ind w:left="329"/>
            </w:pPr>
            <w:r>
              <w:rPr>
                <w:spacing w:val="22"/>
              </w:rPr>
              <w:t>砂砾含量%</w:t>
            </w:r>
          </w:p>
        </w:tc>
        <w:tc>
          <w:tcPr>
            <w:tcW w:w="1334" w:type="dxa"/>
            <w:vAlign w:val="top"/>
          </w:tcPr>
          <w:p w14:paraId="4CE78242">
            <w:pPr>
              <w:spacing w:before="147"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&lt;31</w:t>
            </w:r>
          </w:p>
        </w:tc>
        <w:tc>
          <w:tcPr>
            <w:tcW w:w="1333" w:type="dxa"/>
            <w:vAlign w:val="top"/>
          </w:tcPr>
          <w:p w14:paraId="1F9B3555">
            <w:pPr>
              <w:spacing w:before="147"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&lt;42</w:t>
            </w:r>
          </w:p>
        </w:tc>
        <w:tc>
          <w:tcPr>
            <w:tcW w:w="1336" w:type="dxa"/>
            <w:vAlign w:val="top"/>
          </w:tcPr>
          <w:p w14:paraId="2B7725EE">
            <w:pPr>
              <w:spacing w:before="147"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&lt;33</w:t>
            </w:r>
          </w:p>
        </w:tc>
        <w:tc>
          <w:tcPr>
            <w:tcW w:w="1333" w:type="dxa"/>
            <w:vAlign w:val="top"/>
          </w:tcPr>
          <w:p w14:paraId="67A8BB74">
            <w:pPr>
              <w:spacing w:before="14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&lt;42</w:t>
            </w:r>
          </w:p>
        </w:tc>
        <w:tc>
          <w:tcPr>
            <w:tcW w:w="1604" w:type="dxa"/>
            <w:gridSpan w:val="2"/>
            <w:vAlign w:val="top"/>
          </w:tcPr>
          <w:p w14:paraId="48025F48">
            <w:pPr>
              <w:spacing w:before="147"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&lt;34</w:t>
            </w:r>
          </w:p>
        </w:tc>
        <w:tc>
          <w:tcPr>
            <w:tcW w:w="1337" w:type="dxa"/>
            <w:vAlign w:val="top"/>
          </w:tcPr>
          <w:p w14:paraId="31B21E29">
            <w:pPr>
              <w:spacing w:before="147"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&lt;41</w:t>
            </w:r>
          </w:p>
        </w:tc>
        <w:tc>
          <w:tcPr>
            <w:tcW w:w="1604" w:type="dxa"/>
            <w:gridSpan w:val="2"/>
            <w:vAlign w:val="top"/>
          </w:tcPr>
          <w:p w14:paraId="3756EA3F">
            <w:pPr>
              <w:spacing w:before="147" w:line="195"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&lt;30</w:t>
            </w:r>
          </w:p>
        </w:tc>
        <w:tc>
          <w:tcPr>
            <w:tcW w:w="1876" w:type="dxa"/>
            <w:vAlign w:val="top"/>
          </w:tcPr>
          <w:p w14:paraId="0173D73F">
            <w:pPr>
              <w:spacing w:before="147"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&lt;30</w:t>
            </w:r>
          </w:p>
        </w:tc>
      </w:tr>
      <w:tr w14:paraId="792E3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continue"/>
            <w:tcBorders>
              <w:top w:val="nil"/>
              <w:bottom w:val="nil"/>
            </w:tcBorders>
            <w:vAlign w:val="top"/>
          </w:tcPr>
          <w:p w14:paraId="5312662E">
            <w:pPr>
              <w:rPr>
                <w:rFonts w:ascii="Arial"/>
                <w:sz w:val="21"/>
              </w:rPr>
            </w:pPr>
          </w:p>
        </w:tc>
        <w:tc>
          <w:tcPr>
            <w:tcW w:w="1704" w:type="dxa"/>
            <w:vAlign w:val="top"/>
          </w:tcPr>
          <w:p w14:paraId="24ECCA6F">
            <w:pPr>
              <w:pStyle w:val="6"/>
              <w:spacing w:before="108" w:line="228" w:lineRule="auto"/>
              <w:ind w:left="437"/>
            </w:pPr>
            <w:r>
              <w:rPr>
                <w:spacing w:val="7"/>
              </w:rPr>
              <w:t>其他异物</w:t>
            </w:r>
          </w:p>
        </w:tc>
        <w:tc>
          <w:tcPr>
            <w:tcW w:w="1334" w:type="dxa"/>
            <w:vAlign w:val="top"/>
          </w:tcPr>
          <w:p w14:paraId="4C7FB40E">
            <w:pPr>
              <w:pStyle w:val="6"/>
              <w:spacing w:before="109" w:line="228" w:lineRule="auto"/>
              <w:ind w:left="567"/>
            </w:pPr>
            <w:r>
              <w:t>无</w:t>
            </w:r>
          </w:p>
        </w:tc>
        <w:tc>
          <w:tcPr>
            <w:tcW w:w="1333" w:type="dxa"/>
            <w:vAlign w:val="top"/>
          </w:tcPr>
          <w:p w14:paraId="38305AA5">
            <w:pPr>
              <w:pStyle w:val="6"/>
              <w:spacing w:before="109" w:line="228" w:lineRule="auto"/>
              <w:ind w:left="568"/>
            </w:pPr>
            <w:r>
              <w:t>无</w:t>
            </w:r>
          </w:p>
        </w:tc>
        <w:tc>
          <w:tcPr>
            <w:tcW w:w="1336" w:type="dxa"/>
            <w:vAlign w:val="top"/>
          </w:tcPr>
          <w:p w14:paraId="437C4B53">
            <w:pPr>
              <w:pStyle w:val="6"/>
              <w:spacing w:before="109" w:line="228" w:lineRule="auto"/>
              <w:ind w:left="569"/>
            </w:pPr>
            <w:r>
              <w:t>无</w:t>
            </w:r>
          </w:p>
        </w:tc>
        <w:tc>
          <w:tcPr>
            <w:tcW w:w="1333" w:type="dxa"/>
            <w:vAlign w:val="top"/>
          </w:tcPr>
          <w:p w14:paraId="15CCEB7E">
            <w:pPr>
              <w:pStyle w:val="6"/>
              <w:spacing w:before="109" w:line="228" w:lineRule="auto"/>
              <w:ind w:left="570"/>
            </w:pPr>
            <w:r>
              <w:t>无</w:t>
            </w:r>
          </w:p>
        </w:tc>
        <w:tc>
          <w:tcPr>
            <w:tcW w:w="1604" w:type="dxa"/>
            <w:gridSpan w:val="2"/>
            <w:vAlign w:val="top"/>
          </w:tcPr>
          <w:p w14:paraId="5CA2D4F1">
            <w:pPr>
              <w:pStyle w:val="6"/>
              <w:spacing w:before="109" w:line="228" w:lineRule="auto"/>
              <w:ind w:left="706"/>
            </w:pPr>
            <w:r>
              <w:t>无</w:t>
            </w:r>
          </w:p>
        </w:tc>
        <w:tc>
          <w:tcPr>
            <w:tcW w:w="1337" w:type="dxa"/>
            <w:vAlign w:val="top"/>
          </w:tcPr>
          <w:p w14:paraId="55E0DA84">
            <w:pPr>
              <w:pStyle w:val="6"/>
              <w:spacing w:before="109" w:line="228" w:lineRule="auto"/>
              <w:ind w:left="573"/>
            </w:pPr>
            <w:r>
              <w:t>无</w:t>
            </w:r>
          </w:p>
        </w:tc>
        <w:tc>
          <w:tcPr>
            <w:tcW w:w="1604" w:type="dxa"/>
            <w:gridSpan w:val="2"/>
            <w:vAlign w:val="top"/>
          </w:tcPr>
          <w:p w14:paraId="49FFA983">
            <w:pPr>
              <w:pStyle w:val="6"/>
              <w:spacing w:before="109" w:line="228" w:lineRule="auto"/>
              <w:ind w:left="707"/>
            </w:pPr>
            <w:r>
              <w:t>无</w:t>
            </w:r>
          </w:p>
        </w:tc>
        <w:tc>
          <w:tcPr>
            <w:tcW w:w="1876" w:type="dxa"/>
            <w:vAlign w:val="top"/>
          </w:tcPr>
          <w:p w14:paraId="0837CA32">
            <w:pPr>
              <w:pStyle w:val="6"/>
              <w:spacing w:before="109" w:line="228" w:lineRule="auto"/>
              <w:ind w:left="841"/>
            </w:pPr>
            <w:r>
              <w:t>无</w:t>
            </w:r>
          </w:p>
        </w:tc>
      </w:tr>
      <w:tr w14:paraId="0AE65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continue"/>
            <w:tcBorders>
              <w:top w:val="nil"/>
            </w:tcBorders>
            <w:vAlign w:val="top"/>
          </w:tcPr>
          <w:p w14:paraId="37470CBC">
            <w:pPr>
              <w:rPr>
                <w:rFonts w:ascii="Arial"/>
                <w:sz w:val="21"/>
              </w:rPr>
            </w:pPr>
          </w:p>
        </w:tc>
        <w:tc>
          <w:tcPr>
            <w:tcW w:w="1704" w:type="dxa"/>
            <w:vAlign w:val="top"/>
          </w:tcPr>
          <w:p w14:paraId="590B124E">
            <w:pPr>
              <w:pStyle w:val="6"/>
              <w:spacing w:before="110" w:line="228" w:lineRule="auto"/>
              <w:ind w:left="650"/>
            </w:pPr>
            <w:r>
              <w:rPr>
                <w:spacing w:val="2"/>
              </w:rPr>
              <w:t>结构</w:t>
            </w:r>
          </w:p>
        </w:tc>
        <w:tc>
          <w:tcPr>
            <w:tcW w:w="1334" w:type="dxa"/>
            <w:vAlign w:val="top"/>
          </w:tcPr>
          <w:p w14:paraId="3A9FAC57">
            <w:pPr>
              <w:pStyle w:val="6"/>
              <w:spacing w:before="109" w:line="232" w:lineRule="auto"/>
              <w:ind w:left="464"/>
            </w:pPr>
            <w:r>
              <w:rPr>
                <w:spacing w:val="3"/>
              </w:rPr>
              <w:t>沙土</w:t>
            </w:r>
          </w:p>
        </w:tc>
        <w:tc>
          <w:tcPr>
            <w:tcW w:w="1333" w:type="dxa"/>
            <w:vAlign w:val="top"/>
          </w:tcPr>
          <w:p w14:paraId="30835EB9">
            <w:pPr>
              <w:pStyle w:val="6"/>
              <w:spacing w:before="109" w:line="232" w:lineRule="auto"/>
              <w:ind w:left="462"/>
            </w:pPr>
            <w:r>
              <w:rPr>
                <w:spacing w:val="3"/>
              </w:rPr>
              <w:t>沙土</w:t>
            </w:r>
          </w:p>
        </w:tc>
        <w:tc>
          <w:tcPr>
            <w:tcW w:w="1336" w:type="dxa"/>
            <w:vAlign w:val="top"/>
          </w:tcPr>
          <w:p w14:paraId="7A9A7EFC">
            <w:pPr>
              <w:pStyle w:val="6"/>
              <w:spacing w:before="109" w:line="232" w:lineRule="auto"/>
              <w:ind w:left="466"/>
            </w:pPr>
            <w:r>
              <w:rPr>
                <w:spacing w:val="3"/>
              </w:rPr>
              <w:t>沙土</w:t>
            </w:r>
          </w:p>
        </w:tc>
        <w:tc>
          <w:tcPr>
            <w:tcW w:w="1333" w:type="dxa"/>
            <w:vAlign w:val="top"/>
          </w:tcPr>
          <w:p w14:paraId="7A9B6BA3">
            <w:pPr>
              <w:pStyle w:val="6"/>
              <w:spacing w:before="109" w:line="232" w:lineRule="auto"/>
              <w:ind w:left="464"/>
            </w:pPr>
            <w:r>
              <w:rPr>
                <w:spacing w:val="3"/>
              </w:rPr>
              <w:t>沙土</w:t>
            </w:r>
          </w:p>
        </w:tc>
        <w:tc>
          <w:tcPr>
            <w:tcW w:w="1604" w:type="dxa"/>
            <w:gridSpan w:val="2"/>
            <w:vAlign w:val="top"/>
          </w:tcPr>
          <w:p w14:paraId="6AA01EBA">
            <w:pPr>
              <w:pStyle w:val="6"/>
              <w:spacing w:before="109" w:line="232" w:lineRule="auto"/>
              <w:ind w:left="600"/>
            </w:pPr>
            <w:r>
              <w:rPr>
                <w:spacing w:val="3"/>
              </w:rPr>
              <w:t>沙土</w:t>
            </w:r>
          </w:p>
        </w:tc>
        <w:tc>
          <w:tcPr>
            <w:tcW w:w="1337" w:type="dxa"/>
            <w:vAlign w:val="top"/>
          </w:tcPr>
          <w:p w14:paraId="2FF861CF">
            <w:pPr>
              <w:pStyle w:val="6"/>
              <w:spacing w:before="109" w:line="232" w:lineRule="auto"/>
              <w:ind w:left="467"/>
            </w:pPr>
            <w:r>
              <w:rPr>
                <w:spacing w:val="3"/>
              </w:rPr>
              <w:t>沙土</w:t>
            </w:r>
          </w:p>
        </w:tc>
        <w:tc>
          <w:tcPr>
            <w:tcW w:w="1604" w:type="dxa"/>
            <w:gridSpan w:val="2"/>
            <w:vAlign w:val="top"/>
          </w:tcPr>
          <w:p w14:paraId="73917210">
            <w:pPr>
              <w:pStyle w:val="6"/>
              <w:spacing w:before="109" w:line="232" w:lineRule="auto"/>
              <w:ind w:left="601"/>
            </w:pPr>
            <w:r>
              <w:rPr>
                <w:spacing w:val="3"/>
              </w:rPr>
              <w:t>沙土</w:t>
            </w:r>
          </w:p>
        </w:tc>
        <w:tc>
          <w:tcPr>
            <w:tcW w:w="1876" w:type="dxa"/>
            <w:vAlign w:val="top"/>
          </w:tcPr>
          <w:p w14:paraId="4D69A65C">
            <w:pPr>
              <w:pStyle w:val="6"/>
              <w:spacing w:before="109" w:line="232" w:lineRule="auto"/>
              <w:ind w:left="735"/>
            </w:pPr>
            <w:r>
              <w:rPr>
                <w:spacing w:val="3"/>
              </w:rPr>
              <w:t>沙土</w:t>
            </w:r>
          </w:p>
        </w:tc>
      </w:tr>
      <w:tr w14:paraId="615B2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6" w:type="dxa"/>
            <w:vMerge w:val="restart"/>
            <w:tcBorders>
              <w:bottom w:val="nil"/>
            </w:tcBorders>
            <w:vAlign w:val="top"/>
          </w:tcPr>
          <w:p w14:paraId="1E6CCB94">
            <w:pPr>
              <w:spacing w:line="277" w:lineRule="auto"/>
              <w:rPr>
                <w:rFonts w:ascii="Arial"/>
                <w:sz w:val="21"/>
              </w:rPr>
            </w:pPr>
          </w:p>
          <w:p w14:paraId="022DC8E9">
            <w:pPr>
              <w:spacing w:line="278" w:lineRule="auto"/>
              <w:rPr>
                <w:rFonts w:ascii="Arial"/>
                <w:sz w:val="21"/>
              </w:rPr>
            </w:pPr>
          </w:p>
          <w:p w14:paraId="763C03BD">
            <w:pPr>
              <w:spacing w:line="278" w:lineRule="auto"/>
              <w:rPr>
                <w:rFonts w:ascii="Arial"/>
                <w:sz w:val="21"/>
              </w:rPr>
            </w:pPr>
          </w:p>
          <w:p w14:paraId="67F02E15">
            <w:pPr>
              <w:spacing w:line="278" w:lineRule="auto"/>
              <w:rPr>
                <w:rFonts w:ascii="Arial"/>
                <w:sz w:val="21"/>
              </w:rPr>
            </w:pPr>
          </w:p>
          <w:p w14:paraId="7C31476D">
            <w:pPr>
              <w:spacing w:line="278" w:lineRule="auto"/>
              <w:rPr>
                <w:rFonts w:ascii="Arial"/>
                <w:sz w:val="21"/>
              </w:rPr>
            </w:pPr>
          </w:p>
          <w:p w14:paraId="6D337926">
            <w:pPr>
              <w:pStyle w:val="6"/>
              <w:spacing w:before="65" w:line="290" w:lineRule="auto"/>
              <w:ind w:left="224" w:right="111" w:hanging="101"/>
            </w:pPr>
            <w:r>
              <w:rPr>
                <w:spacing w:val="5"/>
              </w:rPr>
              <w:t>实验室</w:t>
            </w:r>
            <w:r>
              <w:t xml:space="preserve"> </w:t>
            </w:r>
            <w:r>
              <w:rPr>
                <w:spacing w:val="4"/>
              </w:rPr>
              <w:t>测定</w:t>
            </w:r>
          </w:p>
        </w:tc>
        <w:tc>
          <w:tcPr>
            <w:tcW w:w="1704" w:type="dxa"/>
            <w:vAlign w:val="top"/>
          </w:tcPr>
          <w:p w14:paraId="3BAA903F">
            <w:pPr>
              <w:pStyle w:val="6"/>
              <w:spacing w:before="110" w:line="221" w:lineRule="auto"/>
              <w:ind w:left="588"/>
            </w:pP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3"/>
              </w:rPr>
              <w:t>值</w:t>
            </w:r>
          </w:p>
        </w:tc>
        <w:tc>
          <w:tcPr>
            <w:tcW w:w="1334" w:type="dxa"/>
            <w:vAlign w:val="top"/>
          </w:tcPr>
          <w:p w14:paraId="23A3AD14">
            <w:pPr>
              <w:spacing w:before="145"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12</w:t>
            </w:r>
          </w:p>
        </w:tc>
        <w:tc>
          <w:tcPr>
            <w:tcW w:w="1333" w:type="dxa"/>
            <w:vAlign w:val="top"/>
          </w:tcPr>
          <w:p w14:paraId="323EA757">
            <w:pPr>
              <w:spacing w:before="145"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8.22</w:t>
            </w:r>
          </w:p>
        </w:tc>
        <w:tc>
          <w:tcPr>
            <w:tcW w:w="1336" w:type="dxa"/>
            <w:vAlign w:val="top"/>
          </w:tcPr>
          <w:p w14:paraId="2D8D4B85">
            <w:pPr>
              <w:spacing w:before="145"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8.10</w:t>
            </w:r>
          </w:p>
        </w:tc>
        <w:tc>
          <w:tcPr>
            <w:tcW w:w="1333" w:type="dxa"/>
            <w:vAlign w:val="top"/>
          </w:tcPr>
          <w:p w14:paraId="74B015BA">
            <w:pPr>
              <w:spacing w:before="145"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8.23</w:t>
            </w:r>
          </w:p>
        </w:tc>
        <w:tc>
          <w:tcPr>
            <w:tcW w:w="1604" w:type="dxa"/>
            <w:gridSpan w:val="2"/>
            <w:vAlign w:val="top"/>
          </w:tcPr>
          <w:p w14:paraId="4ABB532B">
            <w:pPr>
              <w:spacing w:before="145" w:line="195" w:lineRule="auto"/>
              <w:ind w:left="6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8.16</w:t>
            </w:r>
          </w:p>
        </w:tc>
        <w:tc>
          <w:tcPr>
            <w:tcW w:w="1337" w:type="dxa"/>
            <w:vAlign w:val="top"/>
          </w:tcPr>
          <w:p w14:paraId="6599713E">
            <w:pPr>
              <w:spacing w:before="145"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8.20</w:t>
            </w:r>
          </w:p>
        </w:tc>
        <w:tc>
          <w:tcPr>
            <w:tcW w:w="1604" w:type="dxa"/>
            <w:gridSpan w:val="2"/>
            <w:vAlign w:val="top"/>
          </w:tcPr>
          <w:p w14:paraId="46F12008">
            <w:pPr>
              <w:spacing w:before="145"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8.24</w:t>
            </w:r>
          </w:p>
        </w:tc>
        <w:tc>
          <w:tcPr>
            <w:tcW w:w="1876" w:type="dxa"/>
            <w:vAlign w:val="top"/>
          </w:tcPr>
          <w:p w14:paraId="42ECC216">
            <w:pPr>
              <w:spacing w:before="145"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8.13</w:t>
            </w:r>
          </w:p>
        </w:tc>
      </w:tr>
      <w:tr w14:paraId="7AFF9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Merge w:val="continue"/>
            <w:tcBorders>
              <w:top w:val="nil"/>
              <w:bottom w:val="nil"/>
            </w:tcBorders>
            <w:vAlign w:val="top"/>
          </w:tcPr>
          <w:p w14:paraId="3AA309A2">
            <w:pPr>
              <w:rPr>
                <w:rFonts w:ascii="Arial"/>
                <w:sz w:val="21"/>
              </w:rPr>
            </w:pPr>
          </w:p>
        </w:tc>
        <w:tc>
          <w:tcPr>
            <w:tcW w:w="1704" w:type="dxa"/>
            <w:vAlign w:val="top"/>
          </w:tcPr>
          <w:p w14:paraId="5B61A4F4">
            <w:pPr>
              <w:pStyle w:val="6"/>
              <w:spacing w:before="67" w:line="228" w:lineRule="auto"/>
              <w:ind w:left="240"/>
            </w:pPr>
            <w:r>
              <w:rPr>
                <w:spacing w:val="5"/>
              </w:rPr>
              <w:t>阳离子交换量</w:t>
            </w:r>
          </w:p>
          <w:p w14:paraId="28A1BE0D">
            <w:pPr>
              <w:spacing w:before="96" w:line="201"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cmol/Kg</w:t>
            </w:r>
          </w:p>
        </w:tc>
        <w:tc>
          <w:tcPr>
            <w:tcW w:w="1334" w:type="dxa"/>
            <w:vAlign w:val="top"/>
          </w:tcPr>
          <w:p w14:paraId="53DE4D3C">
            <w:pPr>
              <w:spacing w:before="259"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11.3</w:t>
            </w:r>
          </w:p>
        </w:tc>
        <w:tc>
          <w:tcPr>
            <w:tcW w:w="1333" w:type="dxa"/>
            <w:vAlign w:val="top"/>
          </w:tcPr>
          <w:p w14:paraId="331CE34C">
            <w:pPr>
              <w:spacing w:before="259"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336" w:type="dxa"/>
            <w:vAlign w:val="top"/>
          </w:tcPr>
          <w:p w14:paraId="22D9320F">
            <w:pPr>
              <w:spacing w:before="259"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11.4</w:t>
            </w:r>
          </w:p>
        </w:tc>
        <w:tc>
          <w:tcPr>
            <w:tcW w:w="1333" w:type="dxa"/>
            <w:vAlign w:val="top"/>
          </w:tcPr>
          <w:p w14:paraId="2D0B409E">
            <w:pPr>
              <w:spacing w:before="259"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w:t>
            </w:r>
          </w:p>
        </w:tc>
        <w:tc>
          <w:tcPr>
            <w:tcW w:w="1604" w:type="dxa"/>
            <w:gridSpan w:val="2"/>
            <w:vAlign w:val="top"/>
          </w:tcPr>
          <w:p w14:paraId="70C622C1">
            <w:pPr>
              <w:spacing w:before="259"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11.3</w:t>
            </w:r>
          </w:p>
        </w:tc>
        <w:tc>
          <w:tcPr>
            <w:tcW w:w="1337" w:type="dxa"/>
            <w:vAlign w:val="top"/>
          </w:tcPr>
          <w:p w14:paraId="37C9FE43">
            <w:pPr>
              <w:spacing w:before="259"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w:t>
            </w:r>
          </w:p>
        </w:tc>
        <w:tc>
          <w:tcPr>
            <w:tcW w:w="1604" w:type="dxa"/>
            <w:gridSpan w:val="2"/>
            <w:vAlign w:val="top"/>
          </w:tcPr>
          <w:p w14:paraId="1E6637FF">
            <w:pPr>
              <w:spacing w:before="259"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1876" w:type="dxa"/>
            <w:vAlign w:val="top"/>
          </w:tcPr>
          <w:p w14:paraId="07548AB2">
            <w:pPr>
              <w:spacing w:before="259"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r>
      <w:tr w14:paraId="00045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Merge w:val="continue"/>
            <w:tcBorders>
              <w:top w:val="nil"/>
              <w:bottom w:val="nil"/>
            </w:tcBorders>
            <w:vAlign w:val="top"/>
          </w:tcPr>
          <w:p w14:paraId="42FA8A9C">
            <w:pPr>
              <w:rPr>
                <w:rFonts w:ascii="Arial"/>
                <w:sz w:val="21"/>
              </w:rPr>
            </w:pPr>
          </w:p>
        </w:tc>
        <w:tc>
          <w:tcPr>
            <w:tcW w:w="1704" w:type="dxa"/>
            <w:vAlign w:val="top"/>
          </w:tcPr>
          <w:p w14:paraId="1A38DFB4">
            <w:pPr>
              <w:pStyle w:val="6"/>
              <w:spacing w:before="69" w:line="227" w:lineRule="auto"/>
              <w:ind w:left="225"/>
            </w:pPr>
            <w:r>
              <w:rPr>
                <w:spacing w:val="8"/>
              </w:rPr>
              <w:t>氧化还原电位</w:t>
            </w:r>
          </w:p>
          <w:p w14:paraId="2C037877">
            <w:pPr>
              <w:spacing w:before="104" w:line="192"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MV</w:t>
            </w:r>
          </w:p>
        </w:tc>
        <w:tc>
          <w:tcPr>
            <w:tcW w:w="1334" w:type="dxa"/>
            <w:vAlign w:val="top"/>
          </w:tcPr>
          <w:p w14:paraId="5B2552EB">
            <w:pPr>
              <w:spacing w:before="26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529</w:t>
            </w:r>
          </w:p>
        </w:tc>
        <w:tc>
          <w:tcPr>
            <w:tcW w:w="1333" w:type="dxa"/>
            <w:vAlign w:val="top"/>
          </w:tcPr>
          <w:p w14:paraId="38D6B635">
            <w:pPr>
              <w:spacing w:before="26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534</w:t>
            </w:r>
          </w:p>
        </w:tc>
        <w:tc>
          <w:tcPr>
            <w:tcW w:w="1336" w:type="dxa"/>
            <w:vAlign w:val="top"/>
          </w:tcPr>
          <w:p w14:paraId="3033FD45">
            <w:pPr>
              <w:spacing w:before="261"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522</w:t>
            </w:r>
          </w:p>
        </w:tc>
        <w:tc>
          <w:tcPr>
            <w:tcW w:w="1333" w:type="dxa"/>
            <w:vAlign w:val="top"/>
          </w:tcPr>
          <w:p w14:paraId="62ADD618">
            <w:pPr>
              <w:spacing w:before="261"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c>
          <w:tcPr>
            <w:tcW w:w="1604" w:type="dxa"/>
            <w:gridSpan w:val="2"/>
            <w:vAlign w:val="top"/>
          </w:tcPr>
          <w:p w14:paraId="3A1726C7">
            <w:pPr>
              <w:spacing w:before="261"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527</w:t>
            </w:r>
          </w:p>
        </w:tc>
        <w:tc>
          <w:tcPr>
            <w:tcW w:w="1337" w:type="dxa"/>
            <w:vAlign w:val="top"/>
          </w:tcPr>
          <w:p w14:paraId="69EAF2A7">
            <w:pPr>
              <w:spacing w:before="26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530</w:t>
            </w:r>
          </w:p>
        </w:tc>
        <w:tc>
          <w:tcPr>
            <w:tcW w:w="1604" w:type="dxa"/>
            <w:gridSpan w:val="2"/>
            <w:vAlign w:val="top"/>
          </w:tcPr>
          <w:p w14:paraId="62867FED">
            <w:pPr>
              <w:spacing w:before="261"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526</w:t>
            </w:r>
          </w:p>
        </w:tc>
        <w:tc>
          <w:tcPr>
            <w:tcW w:w="1876" w:type="dxa"/>
            <w:vAlign w:val="top"/>
          </w:tcPr>
          <w:p w14:paraId="3BF84CD2">
            <w:pPr>
              <w:spacing w:before="261" w:line="195"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r>
      <w:tr w14:paraId="7572B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56" w:type="dxa"/>
            <w:vMerge w:val="continue"/>
            <w:tcBorders>
              <w:top w:val="nil"/>
              <w:bottom w:val="nil"/>
            </w:tcBorders>
            <w:vAlign w:val="top"/>
          </w:tcPr>
          <w:p w14:paraId="6CE1B05A">
            <w:pPr>
              <w:rPr>
                <w:rFonts w:ascii="Arial"/>
                <w:sz w:val="21"/>
              </w:rPr>
            </w:pPr>
          </w:p>
        </w:tc>
        <w:tc>
          <w:tcPr>
            <w:tcW w:w="1704" w:type="dxa"/>
            <w:vAlign w:val="top"/>
          </w:tcPr>
          <w:p w14:paraId="6A487048">
            <w:pPr>
              <w:pStyle w:val="6"/>
              <w:spacing w:before="69" w:line="228" w:lineRule="auto"/>
              <w:ind w:left="329"/>
            </w:pPr>
            <w:r>
              <w:rPr>
                <w:spacing w:val="8"/>
              </w:rPr>
              <w:t>饱和导水率</w:t>
            </w:r>
          </w:p>
          <w:p w14:paraId="3E1CD053">
            <w:pPr>
              <w:pStyle w:val="6"/>
              <w:spacing w:before="65" w:line="221" w:lineRule="auto"/>
              <w:ind w:left="369"/>
              <w:rPr>
                <w:rFonts w:ascii="Times New Roman" w:hAnsi="Times New Roman" w:eastAsia="Times New Roman" w:cs="Times New Roman"/>
              </w:rPr>
            </w:pPr>
            <w:r>
              <w:rPr>
                <w:spacing w:val="9"/>
              </w:rPr>
              <w:t>（</w:t>
            </w:r>
            <w:r>
              <w:rPr>
                <w:rFonts w:ascii="Times New Roman" w:hAnsi="Times New Roman" w:eastAsia="Times New Roman" w:cs="Times New Roman"/>
              </w:rPr>
              <w:t>mm</w:t>
            </w:r>
            <w:r>
              <w:rPr>
                <w:rFonts w:ascii="Times New Roman" w:hAnsi="Times New Roman" w:eastAsia="Times New Roman" w:cs="Times New Roman"/>
                <w:spacing w:val="9"/>
              </w:rPr>
              <w:t>/</w:t>
            </w:r>
            <w:r>
              <w:rPr>
                <w:rFonts w:ascii="Times New Roman" w:hAnsi="Times New Roman" w:eastAsia="Times New Roman" w:cs="Times New Roman"/>
              </w:rPr>
              <w:t>min</w:t>
            </w:r>
            <w:r>
              <w:rPr>
                <w:rFonts w:ascii="Times New Roman" w:hAnsi="Times New Roman" w:eastAsia="Times New Roman" w:cs="Times New Roman"/>
                <w:spacing w:val="9"/>
              </w:rPr>
              <w:t>)</w:t>
            </w:r>
          </w:p>
        </w:tc>
        <w:tc>
          <w:tcPr>
            <w:tcW w:w="1334" w:type="dxa"/>
            <w:vAlign w:val="top"/>
          </w:tcPr>
          <w:p w14:paraId="37AD2B26">
            <w:pPr>
              <w:spacing w:before="261"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3" w:type="dxa"/>
            <w:vAlign w:val="top"/>
          </w:tcPr>
          <w:p w14:paraId="7C4E3A5A">
            <w:pPr>
              <w:spacing w:before="261"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36" w:type="dxa"/>
            <w:vAlign w:val="top"/>
          </w:tcPr>
          <w:p w14:paraId="7307E7F3">
            <w:pPr>
              <w:spacing w:before="261"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333" w:type="dxa"/>
            <w:vAlign w:val="top"/>
          </w:tcPr>
          <w:p w14:paraId="356C8A68">
            <w:pPr>
              <w:spacing w:before="261"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604" w:type="dxa"/>
            <w:gridSpan w:val="2"/>
            <w:vAlign w:val="top"/>
          </w:tcPr>
          <w:p w14:paraId="7C30E85E">
            <w:pPr>
              <w:spacing w:before="261"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7" w:type="dxa"/>
            <w:vAlign w:val="top"/>
          </w:tcPr>
          <w:p w14:paraId="7304E99B">
            <w:pPr>
              <w:spacing w:before="26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604" w:type="dxa"/>
            <w:gridSpan w:val="2"/>
            <w:vAlign w:val="top"/>
          </w:tcPr>
          <w:p w14:paraId="3A860287">
            <w:pPr>
              <w:spacing w:before="261"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876" w:type="dxa"/>
            <w:vAlign w:val="top"/>
          </w:tcPr>
          <w:p w14:paraId="56C6422C">
            <w:pPr>
              <w:spacing w:before="261"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3012F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Merge w:val="continue"/>
            <w:tcBorders>
              <w:top w:val="nil"/>
              <w:bottom w:val="nil"/>
            </w:tcBorders>
            <w:vAlign w:val="top"/>
          </w:tcPr>
          <w:p w14:paraId="1788612B">
            <w:pPr>
              <w:rPr>
                <w:rFonts w:ascii="Arial"/>
                <w:sz w:val="21"/>
              </w:rPr>
            </w:pPr>
          </w:p>
        </w:tc>
        <w:tc>
          <w:tcPr>
            <w:tcW w:w="1704" w:type="dxa"/>
            <w:vAlign w:val="top"/>
          </w:tcPr>
          <w:p w14:paraId="7F68E886">
            <w:pPr>
              <w:pStyle w:val="6"/>
              <w:spacing w:before="71" w:line="228" w:lineRule="auto"/>
              <w:ind w:left="437"/>
            </w:pPr>
            <w:r>
              <w:rPr>
                <w:spacing w:val="7"/>
              </w:rPr>
              <w:t>土壤容重</w:t>
            </w:r>
          </w:p>
          <w:p w14:paraId="63436A17">
            <w:pPr>
              <w:pStyle w:val="6"/>
              <w:spacing w:before="64" w:line="221" w:lineRule="auto"/>
              <w:ind w:left="482"/>
              <w:rPr>
                <w:rFonts w:ascii="Times New Roman" w:hAnsi="Times New Roman" w:eastAsia="Times New Roman" w:cs="Times New Roman"/>
              </w:rPr>
            </w:pPr>
            <w:r>
              <w:rPr>
                <w:spacing w:val="3"/>
              </w:rPr>
              <w:t>（</w:t>
            </w:r>
            <w:r>
              <w:rPr>
                <w:rFonts w:ascii="Times New Roman" w:hAnsi="Times New Roman" w:eastAsia="Times New Roman" w:cs="Times New Roman"/>
                <w:spacing w:val="3"/>
              </w:rPr>
              <w:t>g/</w:t>
            </w:r>
            <w:r>
              <w:rPr>
                <w:rFonts w:ascii="Times New Roman" w:hAnsi="Times New Roman" w:eastAsia="Times New Roman" w:cs="Times New Roman"/>
              </w:rPr>
              <w:t>cm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w:t>
            </w:r>
          </w:p>
        </w:tc>
        <w:tc>
          <w:tcPr>
            <w:tcW w:w="1334" w:type="dxa"/>
            <w:vAlign w:val="top"/>
          </w:tcPr>
          <w:p w14:paraId="16F24ACA">
            <w:pPr>
              <w:spacing w:before="262"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33" w:type="dxa"/>
            <w:vAlign w:val="top"/>
          </w:tcPr>
          <w:p w14:paraId="5D5A6B1A">
            <w:pPr>
              <w:spacing w:before="262"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336" w:type="dxa"/>
            <w:vAlign w:val="top"/>
          </w:tcPr>
          <w:p w14:paraId="66A5AA4D">
            <w:pPr>
              <w:spacing w:before="262"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33" w:type="dxa"/>
            <w:vAlign w:val="top"/>
          </w:tcPr>
          <w:p w14:paraId="6B1F27C7">
            <w:pPr>
              <w:spacing w:before="262"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604" w:type="dxa"/>
            <w:gridSpan w:val="2"/>
            <w:vAlign w:val="top"/>
          </w:tcPr>
          <w:p w14:paraId="1A9E7B04">
            <w:pPr>
              <w:spacing w:before="262"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337" w:type="dxa"/>
            <w:vAlign w:val="top"/>
          </w:tcPr>
          <w:p w14:paraId="0949B78C">
            <w:pPr>
              <w:spacing w:before="26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604" w:type="dxa"/>
            <w:gridSpan w:val="2"/>
            <w:vAlign w:val="top"/>
          </w:tcPr>
          <w:p w14:paraId="10A61F79">
            <w:pPr>
              <w:spacing w:before="262"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876" w:type="dxa"/>
            <w:vAlign w:val="top"/>
          </w:tcPr>
          <w:p w14:paraId="3BB008E1">
            <w:pPr>
              <w:spacing w:before="262"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5A4A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856" w:type="dxa"/>
            <w:vMerge w:val="continue"/>
            <w:tcBorders>
              <w:top w:val="nil"/>
            </w:tcBorders>
            <w:vAlign w:val="top"/>
          </w:tcPr>
          <w:p w14:paraId="5F0EA80B">
            <w:pPr>
              <w:rPr>
                <w:rFonts w:ascii="Arial"/>
                <w:sz w:val="21"/>
              </w:rPr>
            </w:pPr>
          </w:p>
        </w:tc>
        <w:tc>
          <w:tcPr>
            <w:tcW w:w="1704" w:type="dxa"/>
            <w:vAlign w:val="top"/>
          </w:tcPr>
          <w:p w14:paraId="2CDCD480">
            <w:pPr>
              <w:pStyle w:val="6"/>
              <w:spacing w:before="114" w:line="228" w:lineRule="auto"/>
              <w:ind w:left="437"/>
            </w:pPr>
            <w:r>
              <w:rPr>
                <w:spacing w:val="25"/>
              </w:rPr>
              <w:t>孔隙度%</w:t>
            </w:r>
          </w:p>
        </w:tc>
        <w:tc>
          <w:tcPr>
            <w:tcW w:w="1334" w:type="dxa"/>
            <w:vAlign w:val="top"/>
          </w:tcPr>
          <w:p w14:paraId="0CEFF209">
            <w:pPr>
              <w:spacing w:before="15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1333" w:type="dxa"/>
            <w:vAlign w:val="top"/>
          </w:tcPr>
          <w:p w14:paraId="653A1E3A">
            <w:pPr>
              <w:spacing w:before="150"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c>
          <w:tcPr>
            <w:tcW w:w="1336" w:type="dxa"/>
            <w:vAlign w:val="top"/>
          </w:tcPr>
          <w:p w14:paraId="421AFA8B">
            <w:pPr>
              <w:spacing w:before="150"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26.3</w:t>
            </w:r>
          </w:p>
        </w:tc>
        <w:tc>
          <w:tcPr>
            <w:tcW w:w="1333" w:type="dxa"/>
            <w:vAlign w:val="top"/>
          </w:tcPr>
          <w:p w14:paraId="0D3E87FD">
            <w:pPr>
              <w:spacing w:before="15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1604" w:type="dxa"/>
            <w:gridSpan w:val="2"/>
            <w:vAlign w:val="top"/>
          </w:tcPr>
          <w:p w14:paraId="79FEB8A7">
            <w:pPr>
              <w:spacing w:before="150"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w:t>
            </w:r>
          </w:p>
        </w:tc>
        <w:tc>
          <w:tcPr>
            <w:tcW w:w="1337" w:type="dxa"/>
            <w:vAlign w:val="top"/>
          </w:tcPr>
          <w:p w14:paraId="354061DB">
            <w:pPr>
              <w:spacing w:before="15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w:t>
            </w:r>
          </w:p>
        </w:tc>
        <w:tc>
          <w:tcPr>
            <w:tcW w:w="1604" w:type="dxa"/>
            <w:gridSpan w:val="2"/>
            <w:vAlign w:val="top"/>
          </w:tcPr>
          <w:p w14:paraId="0414229D">
            <w:pPr>
              <w:spacing w:before="150"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w:t>
            </w:r>
          </w:p>
        </w:tc>
        <w:tc>
          <w:tcPr>
            <w:tcW w:w="1876" w:type="dxa"/>
            <w:vAlign w:val="top"/>
          </w:tcPr>
          <w:p w14:paraId="4F2A2847">
            <w:pPr>
              <w:spacing w:before="150"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26.8</w:t>
            </w:r>
          </w:p>
        </w:tc>
      </w:tr>
    </w:tbl>
    <w:p w14:paraId="7E7461D3">
      <w:pPr>
        <w:pStyle w:val="2"/>
      </w:pPr>
    </w:p>
    <w:p w14:paraId="392F902F">
      <w:pPr>
        <w:sectPr>
          <w:footerReference r:id="rId204" w:type="default"/>
          <w:pgSz w:w="16839" w:h="11906"/>
          <w:pgMar w:top="1208" w:right="1258" w:bottom="957" w:left="1257" w:header="825" w:footer="794" w:gutter="0"/>
          <w:cols w:space="720" w:num="1"/>
        </w:sectPr>
      </w:pPr>
    </w:p>
    <w:p w14:paraId="44CE5DFE">
      <w:pPr>
        <w:pStyle w:val="2"/>
        <w:spacing w:line="286" w:lineRule="auto"/>
      </w:pPr>
    </w:p>
    <w:p w14:paraId="14317CFE">
      <w:pPr>
        <w:pStyle w:val="2"/>
        <w:spacing w:line="286" w:lineRule="auto"/>
      </w:pPr>
    </w:p>
    <w:p w14:paraId="62C91A20">
      <w:pPr>
        <w:spacing w:before="65" w:line="228" w:lineRule="auto"/>
        <w:ind w:left="5280"/>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1"/>
          <w:sz w:val="20"/>
          <w:szCs w:val="20"/>
        </w:rPr>
        <w:t xml:space="preserve"> </w:t>
      </w:r>
      <w:r>
        <w:rPr>
          <w:rFonts w:ascii="Times New Roman" w:hAnsi="Times New Roman" w:eastAsia="Times New Roman" w:cs="Times New Roman"/>
          <w:spacing w:val="6"/>
          <w:sz w:val="20"/>
          <w:szCs w:val="20"/>
        </w:rPr>
        <w:t xml:space="preserve">6.3-13  </w:t>
      </w:r>
      <w:r>
        <w:rPr>
          <w:rFonts w:ascii="宋体" w:hAnsi="宋体" w:eastAsia="宋体" w:cs="宋体"/>
          <w:spacing w:val="6"/>
          <w:sz w:val="20"/>
          <w:szCs w:val="20"/>
        </w:rPr>
        <w:t>土体构型（土壤剖面）结果表</w:t>
      </w:r>
    </w:p>
    <w:p w14:paraId="771A3269">
      <w:pPr>
        <w:spacing w:line="126" w:lineRule="auto"/>
        <w:rPr>
          <w:rFonts w:ascii="Arial"/>
          <w:sz w:val="2"/>
        </w:rPr>
      </w:pPr>
    </w:p>
    <w:tbl>
      <w:tblPr>
        <w:tblStyle w:val="5"/>
        <w:tblW w:w="138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9"/>
        <w:gridCol w:w="4078"/>
        <w:gridCol w:w="4061"/>
        <w:gridCol w:w="3359"/>
      </w:tblGrid>
      <w:tr w14:paraId="0C555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09" w:type="dxa"/>
            <w:vAlign w:val="top"/>
          </w:tcPr>
          <w:p w14:paraId="0DE11958">
            <w:pPr>
              <w:pStyle w:val="6"/>
              <w:spacing w:before="57" w:line="229" w:lineRule="auto"/>
              <w:ind w:left="959"/>
            </w:pPr>
            <w:r>
              <w:rPr>
                <w:spacing w:val="-1"/>
              </w:rPr>
              <w:t>点号</w:t>
            </w:r>
          </w:p>
        </w:tc>
        <w:tc>
          <w:tcPr>
            <w:tcW w:w="4078" w:type="dxa"/>
            <w:vAlign w:val="top"/>
          </w:tcPr>
          <w:p w14:paraId="4B43C8A3">
            <w:pPr>
              <w:pStyle w:val="6"/>
              <w:spacing w:before="56" w:line="228" w:lineRule="auto"/>
              <w:ind w:left="1626"/>
            </w:pPr>
            <w:r>
              <w:rPr>
                <w:spacing w:val="6"/>
              </w:rPr>
              <w:t>景观照片</w:t>
            </w:r>
          </w:p>
        </w:tc>
        <w:tc>
          <w:tcPr>
            <w:tcW w:w="4061" w:type="dxa"/>
            <w:vAlign w:val="top"/>
          </w:tcPr>
          <w:p w14:paraId="5EFE307C">
            <w:pPr>
              <w:pStyle w:val="6"/>
              <w:spacing w:before="57" w:line="228" w:lineRule="auto"/>
              <w:ind w:left="1407"/>
            </w:pPr>
            <w:r>
              <w:rPr>
                <w:spacing w:val="8"/>
              </w:rPr>
              <w:t>土壤剖面照片</w:t>
            </w:r>
          </w:p>
        </w:tc>
        <w:tc>
          <w:tcPr>
            <w:tcW w:w="3359" w:type="dxa"/>
            <w:vAlign w:val="top"/>
          </w:tcPr>
          <w:p w14:paraId="00E1262F">
            <w:pPr>
              <w:pStyle w:val="6"/>
              <w:spacing w:before="56" w:line="228" w:lineRule="auto"/>
              <w:ind w:left="1475"/>
            </w:pPr>
            <w:r>
              <w:rPr>
                <w:spacing w:val="4"/>
              </w:rPr>
              <w:t>层次</w:t>
            </w:r>
          </w:p>
        </w:tc>
      </w:tr>
      <w:tr w14:paraId="49DB3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3" w:hRule="atLeast"/>
        </w:trPr>
        <w:tc>
          <w:tcPr>
            <w:tcW w:w="2309" w:type="dxa"/>
            <w:vMerge w:val="restart"/>
            <w:tcBorders>
              <w:bottom w:val="nil"/>
            </w:tcBorders>
            <w:vAlign w:val="top"/>
          </w:tcPr>
          <w:p w14:paraId="3776334A">
            <w:pPr>
              <w:spacing w:line="248" w:lineRule="auto"/>
              <w:rPr>
                <w:rFonts w:ascii="Arial"/>
                <w:sz w:val="21"/>
              </w:rPr>
            </w:pPr>
          </w:p>
          <w:p w14:paraId="718A9FA2">
            <w:pPr>
              <w:spacing w:line="248" w:lineRule="auto"/>
              <w:rPr>
                <w:rFonts w:ascii="Arial"/>
                <w:sz w:val="21"/>
              </w:rPr>
            </w:pPr>
          </w:p>
          <w:p w14:paraId="6DADD6A8">
            <w:pPr>
              <w:spacing w:line="248" w:lineRule="auto"/>
              <w:rPr>
                <w:rFonts w:ascii="Arial"/>
                <w:sz w:val="21"/>
              </w:rPr>
            </w:pPr>
          </w:p>
          <w:p w14:paraId="370D0673">
            <w:pPr>
              <w:spacing w:line="248" w:lineRule="auto"/>
              <w:rPr>
                <w:rFonts w:ascii="Arial"/>
                <w:sz w:val="21"/>
              </w:rPr>
            </w:pPr>
          </w:p>
          <w:p w14:paraId="2CAAE6D5">
            <w:pPr>
              <w:spacing w:line="248" w:lineRule="auto"/>
              <w:rPr>
                <w:rFonts w:ascii="Arial"/>
                <w:sz w:val="21"/>
              </w:rPr>
            </w:pPr>
          </w:p>
          <w:p w14:paraId="472C2F85">
            <w:pPr>
              <w:spacing w:line="248" w:lineRule="auto"/>
              <w:rPr>
                <w:rFonts w:ascii="Arial"/>
                <w:sz w:val="21"/>
              </w:rPr>
            </w:pPr>
          </w:p>
          <w:p w14:paraId="63F90676">
            <w:pPr>
              <w:spacing w:line="249" w:lineRule="auto"/>
              <w:rPr>
                <w:rFonts w:ascii="Arial"/>
                <w:sz w:val="21"/>
              </w:rPr>
            </w:pPr>
          </w:p>
          <w:p w14:paraId="270923F6">
            <w:pPr>
              <w:spacing w:line="249" w:lineRule="auto"/>
              <w:rPr>
                <w:rFonts w:ascii="Arial"/>
                <w:sz w:val="21"/>
              </w:rPr>
            </w:pPr>
          </w:p>
          <w:p w14:paraId="5A037B14">
            <w:pPr>
              <w:spacing w:line="249" w:lineRule="auto"/>
              <w:rPr>
                <w:rFonts w:ascii="Arial"/>
                <w:sz w:val="21"/>
              </w:rPr>
            </w:pPr>
          </w:p>
          <w:p w14:paraId="6F5617D1">
            <w:pPr>
              <w:spacing w:line="249" w:lineRule="auto"/>
              <w:rPr>
                <w:rFonts w:ascii="Arial"/>
                <w:sz w:val="21"/>
              </w:rPr>
            </w:pPr>
          </w:p>
          <w:p w14:paraId="4463BF15">
            <w:pPr>
              <w:spacing w:line="249" w:lineRule="auto"/>
              <w:rPr>
                <w:rFonts w:ascii="Arial"/>
                <w:sz w:val="21"/>
              </w:rPr>
            </w:pPr>
          </w:p>
          <w:p w14:paraId="618AADB6">
            <w:pPr>
              <w:pStyle w:val="6"/>
              <w:spacing w:before="65" w:line="232" w:lineRule="auto"/>
              <w:ind w:left="965"/>
            </w:pPr>
            <w:r>
              <w:rPr>
                <w:rFonts w:ascii="Times New Roman" w:hAnsi="Times New Roman" w:eastAsia="Times New Roman" w:cs="Times New Roman"/>
                <w:spacing w:val="-2"/>
              </w:rPr>
              <w:t>1#</w:t>
            </w:r>
            <w:r>
              <w:rPr>
                <w:spacing w:val="-2"/>
              </w:rPr>
              <w:t>点</w:t>
            </w:r>
          </w:p>
        </w:tc>
        <w:tc>
          <w:tcPr>
            <w:tcW w:w="4078" w:type="dxa"/>
            <w:vMerge w:val="restart"/>
            <w:tcBorders>
              <w:bottom w:val="nil"/>
            </w:tcBorders>
            <w:vAlign w:val="top"/>
          </w:tcPr>
          <w:p w14:paraId="3035111C">
            <w:pPr>
              <w:spacing w:line="361" w:lineRule="auto"/>
              <w:rPr>
                <w:rFonts w:ascii="Arial"/>
                <w:sz w:val="21"/>
              </w:rPr>
            </w:pPr>
          </w:p>
          <w:p w14:paraId="01106C37">
            <w:pPr>
              <w:spacing w:line="5114" w:lineRule="exact"/>
              <w:ind w:firstLine="114"/>
            </w:pPr>
            <w:r>
              <w:rPr>
                <w:position w:val="-102"/>
              </w:rPr>
              <w:drawing>
                <wp:inline distT="0" distB="0" distL="0" distR="0">
                  <wp:extent cx="2436495" cy="324739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88"/>
                          <a:stretch>
                            <a:fillRect/>
                          </a:stretch>
                        </pic:blipFill>
                        <pic:spPr>
                          <a:xfrm>
                            <a:off x="0" y="0"/>
                            <a:ext cx="2436875" cy="3247644"/>
                          </a:xfrm>
                          <a:prstGeom prst="rect">
                            <a:avLst/>
                          </a:prstGeom>
                        </pic:spPr>
                      </pic:pic>
                    </a:graphicData>
                  </a:graphic>
                </wp:inline>
              </w:drawing>
            </w:r>
          </w:p>
        </w:tc>
        <w:tc>
          <w:tcPr>
            <w:tcW w:w="4061" w:type="dxa"/>
            <w:vMerge w:val="restart"/>
            <w:tcBorders>
              <w:bottom w:val="nil"/>
            </w:tcBorders>
            <w:vAlign w:val="top"/>
          </w:tcPr>
          <w:p w14:paraId="289FE045">
            <w:pPr>
              <w:spacing w:line="354" w:lineRule="auto"/>
              <w:rPr>
                <w:rFonts w:ascii="Arial"/>
                <w:sz w:val="21"/>
              </w:rPr>
            </w:pPr>
          </w:p>
          <w:p w14:paraId="1C85C720">
            <w:pPr>
              <w:spacing w:line="5131" w:lineRule="exact"/>
              <w:ind w:firstLine="104"/>
            </w:pPr>
            <w:r>
              <w:rPr>
                <w:position w:val="-102"/>
              </w:rPr>
              <w:drawing>
                <wp:inline distT="0" distB="0" distL="0" distR="0">
                  <wp:extent cx="2442845" cy="32581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89"/>
                          <a:stretch>
                            <a:fillRect/>
                          </a:stretch>
                        </pic:blipFill>
                        <pic:spPr>
                          <a:xfrm>
                            <a:off x="0" y="0"/>
                            <a:ext cx="2442971" cy="3258311"/>
                          </a:xfrm>
                          <a:prstGeom prst="rect">
                            <a:avLst/>
                          </a:prstGeom>
                        </pic:spPr>
                      </pic:pic>
                    </a:graphicData>
                  </a:graphic>
                </wp:inline>
              </w:drawing>
            </w:r>
          </w:p>
        </w:tc>
        <w:tc>
          <w:tcPr>
            <w:tcW w:w="3359" w:type="dxa"/>
            <w:vAlign w:val="top"/>
          </w:tcPr>
          <w:p w14:paraId="4E134149">
            <w:pPr>
              <w:spacing w:line="265" w:lineRule="auto"/>
              <w:rPr>
                <w:rFonts w:ascii="Arial"/>
                <w:sz w:val="21"/>
              </w:rPr>
            </w:pPr>
          </w:p>
          <w:p w14:paraId="6E244359">
            <w:pPr>
              <w:spacing w:line="265" w:lineRule="auto"/>
              <w:rPr>
                <w:rFonts w:ascii="Arial"/>
                <w:sz w:val="21"/>
              </w:rPr>
            </w:pPr>
          </w:p>
          <w:p w14:paraId="3FA85E1E">
            <w:pPr>
              <w:spacing w:line="266" w:lineRule="auto"/>
              <w:rPr>
                <w:rFonts w:ascii="Arial"/>
                <w:sz w:val="21"/>
              </w:rPr>
            </w:pPr>
          </w:p>
          <w:p w14:paraId="195EBD32">
            <w:pPr>
              <w:pStyle w:val="6"/>
              <w:spacing w:before="65" w:line="228" w:lineRule="auto"/>
              <w:ind w:left="114"/>
            </w:pPr>
            <w:r>
              <w:rPr>
                <w:spacing w:val="8"/>
              </w:rPr>
              <w:t>表层：灰色粒状砂土，有少量石块</w:t>
            </w:r>
          </w:p>
        </w:tc>
      </w:tr>
      <w:tr w14:paraId="7204D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4" w:hRule="atLeast"/>
        </w:trPr>
        <w:tc>
          <w:tcPr>
            <w:tcW w:w="2309" w:type="dxa"/>
            <w:vMerge w:val="continue"/>
            <w:tcBorders>
              <w:top w:val="nil"/>
              <w:bottom w:val="nil"/>
            </w:tcBorders>
            <w:vAlign w:val="top"/>
          </w:tcPr>
          <w:p w14:paraId="72BFE551">
            <w:pPr>
              <w:rPr>
                <w:rFonts w:ascii="Arial"/>
                <w:sz w:val="21"/>
              </w:rPr>
            </w:pPr>
          </w:p>
        </w:tc>
        <w:tc>
          <w:tcPr>
            <w:tcW w:w="4078" w:type="dxa"/>
            <w:vMerge w:val="continue"/>
            <w:tcBorders>
              <w:top w:val="nil"/>
              <w:bottom w:val="nil"/>
            </w:tcBorders>
            <w:vAlign w:val="top"/>
          </w:tcPr>
          <w:p w14:paraId="4442E4B4">
            <w:pPr>
              <w:rPr>
                <w:rFonts w:ascii="Arial"/>
                <w:sz w:val="21"/>
              </w:rPr>
            </w:pPr>
          </w:p>
        </w:tc>
        <w:tc>
          <w:tcPr>
            <w:tcW w:w="4061" w:type="dxa"/>
            <w:vMerge w:val="continue"/>
            <w:tcBorders>
              <w:top w:val="nil"/>
              <w:bottom w:val="nil"/>
            </w:tcBorders>
            <w:vAlign w:val="top"/>
          </w:tcPr>
          <w:p w14:paraId="3E6739D0">
            <w:pPr>
              <w:rPr>
                <w:rFonts w:ascii="Arial"/>
                <w:sz w:val="21"/>
              </w:rPr>
            </w:pPr>
          </w:p>
        </w:tc>
        <w:tc>
          <w:tcPr>
            <w:tcW w:w="3359" w:type="dxa"/>
            <w:vAlign w:val="top"/>
          </w:tcPr>
          <w:p w14:paraId="088A5D7C">
            <w:pPr>
              <w:spacing w:line="320" w:lineRule="auto"/>
              <w:rPr>
                <w:rFonts w:ascii="Arial"/>
                <w:sz w:val="21"/>
              </w:rPr>
            </w:pPr>
          </w:p>
          <w:p w14:paraId="34F4DCB1">
            <w:pPr>
              <w:spacing w:line="321" w:lineRule="auto"/>
              <w:rPr>
                <w:rFonts w:ascii="Arial"/>
                <w:sz w:val="21"/>
              </w:rPr>
            </w:pPr>
          </w:p>
          <w:p w14:paraId="56B6752B">
            <w:pPr>
              <w:pStyle w:val="6"/>
              <w:spacing w:before="65" w:line="228" w:lineRule="auto"/>
              <w:ind w:left="134"/>
            </w:pPr>
            <w:r>
              <w:rPr>
                <w:spacing w:val="7"/>
              </w:rPr>
              <w:t>中层：浅黄色粒状砂土，有少量石</w:t>
            </w:r>
          </w:p>
          <w:p w14:paraId="71CA0D6D">
            <w:pPr>
              <w:pStyle w:val="6"/>
              <w:spacing w:before="65" w:line="228" w:lineRule="auto"/>
              <w:ind w:left="1579"/>
            </w:pPr>
            <w:r>
              <w:t>块</w:t>
            </w:r>
          </w:p>
        </w:tc>
      </w:tr>
      <w:tr w14:paraId="414F2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2309" w:type="dxa"/>
            <w:vMerge w:val="continue"/>
            <w:tcBorders>
              <w:top w:val="nil"/>
            </w:tcBorders>
            <w:vAlign w:val="top"/>
          </w:tcPr>
          <w:p w14:paraId="24321879">
            <w:pPr>
              <w:rPr>
                <w:rFonts w:ascii="Arial"/>
                <w:sz w:val="21"/>
              </w:rPr>
            </w:pPr>
          </w:p>
        </w:tc>
        <w:tc>
          <w:tcPr>
            <w:tcW w:w="4078" w:type="dxa"/>
            <w:vMerge w:val="continue"/>
            <w:tcBorders>
              <w:top w:val="nil"/>
            </w:tcBorders>
            <w:vAlign w:val="top"/>
          </w:tcPr>
          <w:p w14:paraId="02397FA5">
            <w:pPr>
              <w:rPr>
                <w:rFonts w:ascii="Arial"/>
                <w:sz w:val="21"/>
              </w:rPr>
            </w:pPr>
          </w:p>
        </w:tc>
        <w:tc>
          <w:tcPr>
            <w:tcW w:w="4061" w:type="dxa"/>
            <w:vMerge w:val="continue"/>
            <w:tcBorders>
              <w:top w:val="nil"/>
            </w:tcBorders>
            <w:vAlign w:val="top"/>
          </w:tcPr>
          <w:p w14:paraId="48EB1729">
            <w:pPr>
              <w:rPr>
                <w:rFonts w:ascii="Arial"/>
                <w:sz w:val="21"/>
              </w:rPr>
            </w:pPr>
          </w:p>
        </w:tc>
        <w:tc>
          <w:tcPr>
            <w:tcW w:w="3359" w:type="dxa"/>
            <w:vAlign w:val="top"/>
          </w:tcPr>
          <w:p w14:paraId="7AAA27CE">
            <w:pPr>
              <w:spacing w:line="322" w:lineRule="auto"/>
              <w:rPr>
                <w:rFonts w:ascii="Arial"/>
                <w:sz w:val="21"/>
              </w:rPr>
            </w:pPr>
          </w:p>
          <w:p w14:paraId="36C050B2">
            <w:pPr>
              <w:spacing w:line="322" w:lineRule="auto"/>
              <w:rPr>
                <w:rFonts w:ascii="Arial"/>
                <w:sz w:val="21"/>
              </w:rPr>
            </w:pPr>
          </w:p>
          <w:p w14:paraId="260D666C">
            <w:pPr>
              <w:pStyle w:val="6"/>
              <w:spacing w:before="65" w:line="228" w:lineRule="auto"/>
              <w:ind w:left="115"/>
            </w:pPr>
            <w:r>
              <w:rPr>
                <w:spacing w:val="8"/>
              </w:rPr>
              <w:t>深层：红棕色屑状砂土，有少量石</w:t>
            </w:r>
          </w:p>
          <w:p w14:paraId="6A8D13E4">
            <w:pPr>
              <w:pStyle w:val="6"/>
              <w:spacing w:before="65" w:line="228" w:lineRule="auto"/>
              <w:ind w:left="1579"/>
            </w:pPr>
            <w:r>
              <w:t>块</w:t>
            </w:r>
          </w:p>
        </w:tc>
      </w:tr>
    </w:tbl>
    <w:p w14:paraId="22F52F68">
      <w:pPr>
        <w:pStyle w:val="2"/>
      </w:pPr>
    </w:p>
    <w:p w14:paraId="32B82F6C">
      <w:pPr>
        <w:sectPr>
          <w:headerReference r:id="rId205" w:type="default"/>
          <w:footerReference r:id="rId206" w:type="default"/>
          <w:pgSz w:w="16839" w:h="11906"/>
          <w:pgMar w:top="1208" w:right="1440" w:bottom="957" w:left="1327" w:header="825" w:footer="795" w:gutter="0"/>
          <w:cols w:space="720" w:num="1"/>
        </w:sectPr>
      </w:pPr>
    </w:p>
    <w:p w14:paraId="033A1E37">
      <w:pPr>
        <w:pStyle w:val="2"/>
        <w:spacing w:line="265" w:lineRule="auto"/>
      </w:pPr>
    </w:p>
    <w:p w14:paraId="36ACA6A4">
      <w:pPr>
        <w:spacing w:before="78" w:line="219" w:lineRule="auto"/>
        <w:ind w:left="502"/>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6.3.4.2 </w:t>
      </w:r>
      <w:r>
        <w:rPr>
          <w:rFonts w:ascii="宋体" w:hAnsi="宋体" w:eastAsia="宋体" w:cs="宋体"/>
          <w:spacing w:val="-1"/>
          <w:sz w:val="24"/>
          <w:szCs w:val="24"/>
        </w:rPr>
        <w:t>土壤环境现状调查</w:t>
      </w:r>
    </w:p>
    <w:p w14:paraId="7B987473">
      <w:pPr>
        <w:spacing w:before="182" w:line="360" w:lineRule="auto"/>
        <w:ind w:left="28" w:right="162" w:firstLine="475"/>
        <w:rPr>
          <w:rFonts w:ascii="宋体" w:hAnsi="宋体" w:eastAsia="宋体" w:cs="宋体"/>
          <w:sz w:val="24"/>
          <w:szCs w:val="24"/>
        </w:rPr>
      </w:pPr>
      <w:r>
        <w:rPr>
          <w:rFonts w:ascii="宋体" w:hAnsi="宋体" w:eastAsia="宋体" w:cs="宋体"/>
          <w:spacing w:val="-1"/>
          <w:sz w:val="24"/>
          <w:szCs w:val="24"/>
        </w:rPr>
        <w:t>为了掌握评价区土壤环境情况，本评价特委托内蒙古华智鼎环保科技有限</w:t>
      </w:r>
      <w:r>
        <w:rPr>
          <w:rFonts w:ascii="宋体" w:hAnsi="宋体" w:eastAsia="宋体" w:cs="宋体"/>
          <w:spacing w:val="18"/>
          <w:sz w:val="24"/>
          <w:szCs w:val="24"/>
        </w:rPr>
        <w:t xml:space="preserve"> </w:t>
      </w:r>
      <w:r>
        <w:rPr>
          <w:rFonts w:ascii="宋体" w:hAnsi="宋体" w:eastAsia="宋体" w:cs="宋体"/>
          <w:spacing w:val="-2"/>
          <w:sz w:val="24"/>
          <w:szCs w:val="24"/>
        </w:rPr>
        <w:t>公司进行了土壤现状监测。</w:t>
      </w:r>
    </w:p>
    <w:p w14:paraId="1979C048">
      <w:pPr>
        <w:spacing w:before="1"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）监测点位</w:t>
      </w:r>
    </w:p>
    <w:p w14:paraId="19BA69E0">
      <w:pPr>
        <w:spacing w:before="180" w:line="219" w:lineRule="auto"/>
        <w:ind w:left="502"/>
        <w:rPr>
          <w:rFonts w:ascii="宋体" w:hAnsi="宋体" w:eastAsia="宋体" w:cs="宋体"/>
          <w:sz w:val="24"/>
          <w:szCs w:val="24"/>
        </w:rPr>
      </w:pPr>
      <w:r>
        <w:rPr>
          <w:rFonts w:ascii="宋体" w:hAnsi="宋体" w:eastAsia="宋体" w:cs="宋体"/>
          <w:spacing w:val="-10"/>
          <w:sz w:val="24"/>
          <w:szCs w:val="24"/>
        </w:rPr>
        <w:t>此次监测厂区内共布设</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 xml:space="preserve">2 </w:t>
      </w:r>
      <w:r>
        <w:rPr>
          <w:rFonts w:ascii="宋体" w:hAnsi="宋体" w:eastAsia="宋体" w:cs="宋体"/>
          <w:spacing w:val="-10"/>
          <w:sz w:val="24"/>
          <w:szCs w:val="24"/>
        </w:rPr>
        <w:t>个表层样（</w:t>
      </w:r>
      <w:r>
        <w:rPr>
          <w:rFonts w:ascii="Times New Roman" w:hAnsi="Times New Roman" w:eastAsia="Times New Roman" w:cs="Times New Roman"/>
          <w:spacing w:val="-10"/>
          <w:sz w:val="24"/>
          <w:szCs w:val="24"/>
        </w:rPr>
        <w:t>0~0.2m</w:t>
      </w:r>
      <w:r>
        <w:rPr>
          <w:rFonts w:ascii="Times New Roman" w:hAnsi="Times New Roman" w:eastAsia="Times New Roman" w:cs="Times New Roman"/>
          <w:spacing w:val="15"/>
          <w:w w:val="101"/>
          <w:sz w:val="24"/>
          <w:szCs w:val="24"/>
        </w:rPr>
        <w:t xml:space="preserve"> </w:t>
      </w:r>
      <w:r>
        <w:rPr>
          <w:rFonts w:ascii="宋体" w:hAnsi="宋体" w:eastAsia="宋体" w:cs="宋体"/>
          <w:spacing w:val="-10"/>
          <w:sz w:val="24"/>
          <w:szCs w:val="24"/>
        </w:rPr>
        <w:t>取样）、</w:t>
      </w: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个柱状样点（</w:t>
      </w:r>
      <w:r>
        <w:rPr>
          <w:rFonts w:ascii="Times New Roman" w:hAnsi="Times New Roman" w:eastAsia="Times New Roman" w:cs="Times New Roman"/>
          <w:spacing w:val="-10"/>
          <w:sz w:val="24"/>
          <w:szCs w:val="24"/>
        </w:rPr>
        <w:t>0</w:t>
      </w:r>
      <w:r>
        <w:rPr>
          <w:rFonts w:ascii="Times New Roman" w:hAnsi="Times New Roman" w:eastAsia="Times New Roman" w:cs="Times New Roman"/>
          <w:spacing w:val="-11"/>
          <w:sz w:val="24"/>
          <w:szCs w:val="24"/>
        </w:rPr>
        <w:t>~0.5m</w:t>
      </w:r>
      <w:r>
        <w:rPr>
          <w:rFonts w:ascii="宋体" w:hAnsi="宋体" w:eastAsia="宋体" w:cs="宋体"/>
          <w:spacing w:val="-11"/>
          <w:sz w:val="24"/>
          <w:szCs w:val="24"/>
        </w:rPr>
        <w:t>、</w:t>
      </w:r>
    </w:p>
    <w:p w14:paraId="6B2E4187">
      <w:pPr>
        <w:spacing w:before="184" w:line="289" w:lineRule="auto"/>
        <w:ind w:left="501" w:right="82" w:hanging="481"/>
        <w:rPr>
          <w:rFonts w:ascii="宋体" w:hAnsi="宋体" w:eastAsia="宋体" w:cs="宋体"/>
          <w:sz w:val="24"/>
          <w:szCs w:val="24"/>
        </w:rPr>
      </w:pPr>
      <w:r>
        <w:rPr>
          <w:rFonts w:ascii="Times New Roman" w:hAnsi="Times New Roman" w:eastAsia="Times New Roman" w:cs="Times New Roman"/>
          <w:spacing w:val="-12"/>
          <w:sz w:val="24"/>
          <w:szCs w:val="24"/>
        </w:rPr>
        <w:t>0.5~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1.5m</w:t>
      </w:r>
      <w:r>
        <w:rPr>
          <w:rFonts w:ascii="宋体" w:hAnsi="宋体" w:eastAsia="宋体" w:cs="宋体"/>
          <w:spacing w:val="-12"/>
          <w:sz w:val="24"/>
          <w:szCs w:val="24"/>
        </w:rPr>
        <w:t>、</w:t>
      </w:r>
      <w:r>
        <w:rPr>
          <w:rFonts w:ascii="Times New Roman" w:hAnsi="Times New Roman" w:eastAsia="Times New Roman" w:cs="Times New Roman"/>
          <w:spacing w:val="-12"/>
          <w:sz w:val="24"/>
          <w:szCs w:val="24"/>
        </w:rPr>
        <w:t>1.5~3m</w:t>
      </w:r>
      <w:r>
        <w:rPr>
          <w:rFonts w:ascii="Times New Roman" w:hAnsi="Times New Roman" w:eastAsia="Times New Roman" w:cs="Times New Roman"/>
          <w:spacing w:val="13"/>
          <w:sz w:val="24"/>
          <w:szCs w:val="24"/>
        </w:rPr>
        <w:t xml:space="preserve"> </w:t>
      </w:r>
      <w:r>
        <w:rPr>
          <w:rFonts w:ascii="宋体" w:hAnsi="宋体" w:eastAsia="宋体" w:cs="宋体"/>
          <w:spacing w:val="-12"/>
          <w:sz w:val="24"/>
          <w:szCs w:val="24"/>
        </w:rPr>
        <w:t>分别取样）监测点；厂区外布设</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 xml:space="preserve">4 </w:t>
      </w:r>
      <w:r>
        <w:rPr>
          <w:rFonts w:ascii="宋体" w:hAnsi="宋体" w:eastAsia="宋体" w:cs="宋体"/>
          <w:spacing w:val="-12"/>
          <w:sz w:val="24"/>
          <w:szCs w:val="24"/>
        </w:rPr>
        <w:t>个表层</w:t>
      </w:r>
      <w:r>
        <w:rPr>
          <w:rFonts w:ascii="宋体" w:hAnsi="宋体" w:eastAsia="宋体" w:cs="宋体"/>
          <w:spacing w:val="-13"/>
          <w:sz w:val="24"/>
          <w:szCs w:val="24"/>
        </w:rPr>
        <w:t>样点（</w:t>
      </w:r>
      <w:r>
        <w:rPr>
          <w:rFonts w:ascii="Times New Roman" w:hAnsi="Times New Roman" w:eastAsia="Times New Roman" w:cs="Times New Roman"/>
          <w:spacing w:val="-13"/>
          <w:sz w:val="24"/>
          <w:szCs w:val="24"/>
        </w:rPr>
        <w:t>0~0.2m</w:t>
      </w:r>
      <w:r>
        <w:rPr>
          <w:rFonts w:ascii="Times New Roman" w:hAnsi="Times New Roman" w:eastAsia="Times New Roman" w:cs="Times New Roman"/>
          <w:spacing w:val="12"/>
          <w:sz w:val="24"/>
          <w:szCs w:val="24"/>
        </w:rPr>
        <w:t xml:space="preserve"> </w:t>
      </w:r>
      <w:r>
        <w:rPr>
          <w:rFonts w:ascii="宋体" w:hAnsi="宋体" w:eastAsia="宋体" w:cs="宋体"/>
          <w:spacing w:val="-13"/>
          <w:sz w:val="24"/>
          <w:szCs w:val="24"/>
        </w:rPr>
        <w:t>取样）。</w:t>
      </w:r>
      <w:r>
        <w:rPr>
          <w:rFonts w:ascii="宋体" w:hAnsi="宋体" w:eastAsia="宋体" w:cs="宋体"/>
          <w:sz w:val="24"/>
          <w:szCs w:val="24"/>
        </w:rPr>
        <w:t xml:space="preserve"> </w:t>
      </w:r>
      <w:r>
        <w:rPr>
          <w:rFonts w:ascii="宋体" w:hAnsi="宋体" w:eastAsia="宋体" w:cs="宋体"/>
          <w:spacing w:val="-1"/>
          <w:sz w:val="24"/>
          <w:szCs w:val="24"/>
        </w:rPr>
        <w:t>土壤各监测点需提供经纬度坐标，监测点位置具体见图</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6.2-6</w:t>
      </w:r>
      <w:r>
        <w:rPr>
          <w:rFonts w:ascii="宋体" w:hAnsi="宋体" w:eastAsia="宋体" w:cs="宋体"/>
          <w:spacing w:val="-1"/>
          <w:sz w:val="24"/>
          <w:szCs w:val="24"/>
        </w:rPr>
        <w:t>。</w:t>
      </w:r>
    </w:p>
    <w:p w14:paraId="1EAF86DA">
      <w:pPr>
        <w:spacing w:before="184" w:line="221"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）监测时间</w:t>
      </w:r>
    </w:p>
    <w:p w14:paraId="59F0E239">
      <w:pPr>
        <w:spacing w:before="181" w:line="219" w:lineRule="auto"/>
        <w:ind w:left="502"/>
        <w:rPr>
          <w:rFonts w:ascii="宋体" w:hAnsi="宋体" w:eastAsia="宋体" w:cs="宋体"/>
          <w:sz w:val="24"/>
          <w:szCs w:val="24"/>
        </w:rPr>
      </w:pPr>
      <w:r>
        <w:rPr>
          <w:rFonts w:ascii="宋体" w:hAnsi="宋体" w:eastAsia="宋体" w:cs="宋体"/>
          <w:spacing w:val="-6"/>
          <w:sz w:val="24"/>
          <w:szCs w:val="24"/>
        </w:rPr>
        <w:t>监测时间为</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 xml:space="preserve">2023 </w:t>
      </w:r>
      <w:r>
        <w:rPr>
          <w:rFonts w:ascii="宋体" w:hAnsi="宋体" w:eastAsia="宋体" w:cs="宋体"/>
          <w:spacing w:val="-6"/>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 xml:space="preserve">31  </w:t>
      </w:r>
      <w:r>
        <w:rPr>
          <w:rFonts w:ascii="宋体" w:hAnsi="宋体" w:eastAsia="宋体" w:cs="宋体"/>
          <w:spacing w:val="-6"/>
          <w:sz w:val="24"/>
          <w:szCs w:val="24"/>
        </w:rPr>
        <w:t>日。</w:t>
      </w:r>
    </w:p>
    <w:p w14:paraId="68EEDAD4">
      <w:pPr>
        <w:spacing w:before="183"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）监测项目</w:t>
      </w:r>
    </w:p>
    <w:p w14:paraId="14FB7A9B">
      <w:pPr>
        <w:spacing w:before="183" w:line="219" w:lineRule="auto"/>
        <w:ind w:left="502"/>
        <w:rPr>
          <w:rFonts w:ascii="宋体" w:hAnsi="宋体" w:eastAsia="宋体" w:cs="宋体"/>
          <w:sz w:val="24"/>
          <w:szCs w:val="24"/>
        </w:rPr>
      </w:pPr>
      <w:r>
        <w:rPr>
          <w:rFonts w:ascii="宋体" w:hAnsi="宋体" w:eastAsia="宋体" w:cs="宋体"/>
          <w:spacing w:val="-2"/>
          <w:sz w:val="24"/>
          <w:szCs w:val="24"/>
        </w:rPr>
        <w:t>监测项目见表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6.3-14</w:t>
      </w:r>
      <w:r>
        <w:rPr>
          <w:rFonts w:ascii="宋体" w:hAnsi="宋体" w:eastAsia="宋体" w:cs="宋体"/>
          <w:spacing w:val="-2"/>
          <w:sz w:val="24"/>
          <w:szCs w:val="24"/>
        </w:rPr>
        <w:t>。</w:t>
      </w:r>
    </w:p>
    <w:p w14:paraId="30DA02E1">
      <w:pPr>
        <w:spacing w:line="219" w:lineRule="auto"/>
        <w:rPr>
          <w:rFonts w:ascii="宋体" w:hAnsi="宋体" w:eastAsia="宋体" w:cs="宋体"/>
          <w:sz w:val="24"/>
          <w:szCs w:val="24"/>
        </w:rPr>
        <w:sectPr>
          <w:headerReference r:id="rId207" w:type="default"/>
          <w:footerReference r:id="rId208" w:type="default"/>
          <w:pgSz w:w="11906" w:h="16839"/>
          <w:pgMar w:top="1208" w:right="1785" w:bottom="957" w:left="1785" w:header="825" w:footer="795" w:gutter="0"/>
          <w:cols w:space="720" w:num="1"/>
        </w:sectPr>
      </w:pPr>
    </w:p>
    <w:p w14:paraId="36E4AE50">
      <w:pPr>
        <w:spacing w:before="282" w:line="227" w:lineRule="auto"/>
        <w:ind w:left="248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4"/>
          <w:sz w:val="20"/>
          <w:szCs w:val="20"/>
        </w:rPr>
        <w:t xml:space="preserve"> </w:t>
      </w:r>
      <w:r>
        <w:rPr>
          <w:rFonts w:ascii="Times New Roman" w:hAnsi="Times New Roman" w:eastAsia="Times New Roman" w:cs="Times New Roman"/>
          <w:spacing w:val="6"/>
          <w:sz w:val="20"/>
          <w:szCs w:val="20"/>
        </w:rPr>
        <w:t xml:space="preserve">6.3-14  </w:t>
      </w:r>
      <w:r>
        <w:rPr>
          <w:rFonts w:ascii="宋体" w:hAnsi="宋体" w:eastAsia="宋体" w:cs="宋体"/>
          <w:spacing w:val="6"/>
          <w:sz w:val="20"/>
          <w:szCs w:val="20"/>
        </w:rPr>
        <w:t>土壤采样点位置和监测因子</w:t>
      </w:r>
    </w:p>
    <w:p w14:paraId="4BDFF18F">
      <w:pPr>
        <w:spacing w:line="14"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887"/>
        <w:gridCol w:w="1172"/>
        <w:gridCol w:w="4713"/>
        <w:gridCol w:w="1073"/>
      </w:tblGrid>
      <w:tr w14:paraId="15BB3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84" w:type="dxa"/>
            <w:vAlign w:val="top"/>
          </w:tcPr>
          <w:p w14:paraId="6391C455">
            <w:pPr>
              <w:pStyle w:val="6"/>
              <w:spacing w:before="56" w:line="229" w:lineRule="auto"/>
              <w:ind w:left="137"/>
            </w:pPr>
            <w:r>
              <w:rPr>
                <w:spacing w:val="4"/>
              </w:rPr>
              <w:t>监测</w:t>
            </w:r>
          </w:p>
          <w:p w14:paraId="344431F6">
            <w:pPr>
              <w:pStyle w:val="6"/>
              <w:spacing w:before="63" w:line="229" w:lineRule="auto"/>
              <w:ind w:left="147"/>
            </w:pPr>
            <w:r>
              <w:rPr>
                <w:spacing w:val="-1"/>
              </w:rPr>
              <w:t>点位</w:t>
            </w:r>
          </w:p>
        </w:tc>
        <w:tc>
          <w:tcPr>
            <w:tcW w:w="887" w:type="dxa"/>
            <w:vAlign w:val="top"/>
          </w:tcPr>
          <w:p w14:paraId="10FD7C3C">
            <w:pPr>
              <w:pStyle w:val="6"/>
              <w:spacing w:before="56" w:line="229" w:lineRule="auto"/>
              <w:ind w:left="133"/>
            </w:pPr>
            <w:r>
              <w:rPr>
                <w:spacing w:val="6"/>
              </w:rPr>
              <w:t>测点相</w:t>
            </w:r>
          </w:p>
          <w:p w14:paraId="19343778">
            <w:pPr>
              <w:pStyle w:val="6"/>
              <w:spacing w:before="63" w:line="229" w:lineRule="auto"/>
              <w:ind w:left="131"/>
            </w:pPr>
            <w:r>
              <w:rPr>
                <w:spacing w:val="7"/>
              </w:rPr>
              <w:t>对位置</w:t>
            </w:r>
          </w:p>
        </w:tc>
        <w:tc>
          <w:tcPr>
            <w:tcW w:w="1172" w:type="dxa"/>
            <w:vAlign w:val="top"/>
          </w:tcPr>
          <w:p w14:paraId="3635E1AE">
            <w:pPr>
              <w:pStyle w:val="6"/>
              <w:spacing w:before="212" w:line="227" w:lineRule="auto"/>
              <w:ind w:left="168"/>
            </w:pPr>
            <w:r>
              <w:rPr>
                <w:spacing w:val="7"/>
              </w:rPr>
              <w:t>采样深度</w:t>
            </w:r>
          </w:p>
        </w:tc>
        <w:tc>
          <w:tcPr>
            <w:tcW w:w="4713" w:type="dxa"/>
            <w:vAlign w:val="top"/>
          </w:tcPr>
          <w:p w14:paraId="57D79F63">
            <w:pPr>
              <w:pStyle w:val="6"/>
              <w:spacing w:before="212" w:line="228" w:lineRule="auto"/>
              <w:ind w:left="1942"/>
            </w:pPr>
            <w:r>
              <w:rPr>
                <w:spacing w:val="7"/>
              </w:rPr>
              <w:t>监测项目</w:t>
            </w:r>
          </w:p>
        </w:tc>
        <w:tc>
          <w:tcPr>
            <w:tcW w:w="1073" w:type="dxa"/>
            <w:vAlign w:val="top"/>
          </w:tcPr>
          <w:p w14:paraId="54CC9427">
            <w:pPr>
              <w:pStyle w:val="6"/>
              <w:spacing w:before="212" w:line="228" w:lineRule="auto"/>
              <w:ind w:left="121"/>
            </w:pPr>
            <w:r>
              <w:rPr>
                <w:spacing w:val="7"/>
              </w:rPr>
              <w:t>执行标准</w:t>
            </w:r>
          </w:p>
        </w:tc>
      </w:tr>
      <w:tr w14:paraId="05C2D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4" w:type="dxa"/>
            <w:vAlign w:val="top"/>
          </w:tcPr>
          <w:p w14:paraId="0911379A">
            <w:pPr>
              <w:spacing w:line="340" w:lineRule="auto"/>
              <w:rPr>
                <w:rFonts w:ascii="Arial"/>
                <w:sz w:val="21"/>
              </w:rPr>
            </w:pPr>
          </w:p>
          <w:p w14:paraId="07C0A15A">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887" w:type="dxa"/>
            <w:vMerge w:val="restart"/>
            <w:tcBorders>
              <w:bottom w:val="nil"/>
            </w:tcBorders>
            <w:vAlign w:val="top"/>
          </w:tcPr>
          <w:p w14:paraId="365A3D12">
            <w:pPr>
              <w:spacing w:line="252" w:lineRule="auto"/>
              <w:rPr>
                <w:rFonts w:ascii="Arial"/>
                <w:sz w:val="21"/>
              </w:rPr>
            </w:pPr>
          </w:p>
          <w:p w14:paraId="48668DD7">
            <w:pPr>
              <w:spacing w:line="252" w:lineRule="auto"/>
              <w:rPr>
                <w:rFonts w:ascii="Arial"/>
                <w:sz w:val="21"/>
              </w:rPr>
            </w:pPr>
          </w:p>
          <w:p w14:paraId="195FD005">
            <w:pPr>
              <w:spacing w:line="252" w:lineRule="auto"/>
              <w:rPr>
                <w:rFonts w:ascii="Arial"/>
                <w:sz w:val="21"/>
              </w:rPr>
            </w:pPr>
          </w:p>
          <w:p w14:paraId="15C2DD14">
            <w:pPr>
              <w:spacing w:line="252" w:lineRule="auto"/>
              <w:rPr>
                <w:rFonts w:ascii="Arial"/>
                <w:sz w:val="21"/>
              </w:rPr>
            </w:pPr>
          </w:p>
          <w:p w14:paraId="539CF755">
            <w:pPr>
              <w:spacing w:line="252" w:lineRule="auto"/>
              <w:rPr>
                <w:rFonts w:ascii="Arial"/>
                <w:sz w:val="21"/>
              </w:rPr>
            </w:pPr>
          </w:p>
          <w:p w14:paraId="2F6441A9">
            <w:pPr>
              <w:spacing w:line="252" w:lineRule="auto"/>
              <w:rPr>
                <w:rFonts w:ascii="Arial"/>
                <w:sz w:val="21"/>
              </w:rPr>
            </w:pPr>
          </w:p>
          <w:p w14:paraId="5A64A7C3">
            <w:pPr>
              <w:spacing w:line="252" w:lineRule="auto"/>
              <w:rPr>
                <w:rFonts w:ascii="Arial"/>
                <w:sz w:val="21"/>
              </w:rPr>
            </w:pPr>
          </w:p>
          <w:p w14:paraId="2222EC99">
            <w:pPr>
              <w:spacing w:line="252" w:lineRule="auto"/>
              <w:rPr>
                <w:rFonts w:ascii="Arial"/>
                <w:sz w:val="21"/>
              </w:rPr>
            </w:pPr>
          </w:p>
          <w:p w14:paraId="54A0EB1E">
            <w:pPr>
              <w:spacing w:line="252" w:lineRule="auto"/>
              <w:rPr>
                <w:rFonts w:ascii="Arial"/>
                <w:sz w:val="21"/>
              </w:rPr>
            </w:pPr>
          </w:p>
          <w:p w14:paraId="6C7D7F93">
            <w:pPr>
              <w:spacing w:line="252" w:lineRule="auto"/>
              <w:rPr>
                <w:rFonts w:ascii="Arial"/>
                <w:sz w:val="21"/>
              </w:rPr>
            </w:pPr>
          </w:p>
          <w:p w14:paraId="7592DAC2">
            <w:pPr>
              <w:spacing w:line="252" w:lineRule="auto"/>
              <w:rPr>
                <w:rFonts w:ascii="Arial"/>
                <w:sz w:val="21"/>
              </w:rPr>
            </w:pPr>
          </w:p>
          <w:p w14:paraId="38CA7AB3">
            <w:pPr>
              <w:spacing w:line="252" w:lineRule="auto"/>
              <w:rPr>
                <w:rFonts w:ascii="Arial"/>
                <w:sz w:val="21"/>
              </w:rPr>
            </w:pPr>
          </w:p>
          <w:p w14:paraId="6089E807">
            <w:pPr>
              <w:spacing w:line="252" w:lineRule="auto"/>
              <w:rPr>
                <w:rFonts w:ascii="Arial"/>
                <w:sz w:val="21"/>
              </w:rPr>
            </w:pPr>
          </w:p>
          <w:p w14:paraId="2D9B96EB">
            <w:pPr>
              <w:spacing w:line="252" w:lineRule="auto"/>
              <w:rPr>
                <w:rFonts w:ascii="Arial"/>
                <w:sz w:val="21"/>
              </w:rPr>
            </w:pPr>
          </w:p>
          <w:p w14:paraId="39A2D09A">
            <w:pPr>
              <w:spacing w:line="252" w:lineRule="auto"/>
              <w:rPr>
                <w:rFonts w:ascii="Arial"/>
                <w:sz w:val="21"/>
              </w:rPr>
            </w:pPr>
          </w:p>
          <w:p w14:paraId="18AFCCAD">
            <w:pPr>
              <w:pStyle w:val="6"/>
              <w:spacing w:before="65" w:line="228" w:lineRule="auto"/>
              <w:ind w:left="135"/>
            </w:pPr>
            <w:r>
              <w:rPr>
                <w:spacing w:val="5"/>
              </w:rPr>
              <w:t>项目占</w:t>
            </w:r>
          </w:p>
          <w:p w14:paraId="4F1E6FE3">
            <w:pPr>
              <w:pStyle w:val="6"/>
              <w:spacing w:before="65" w:line="228" w:lineRule="auto"/>
              <w:ind w:left="132"/>
            </w:pPr>
            <w:r>
              <w:rPr>
                <w:spacing w:val="6"/>
              </w:rPr>
              <w:t>地范围</w:t>
            </w:r>
          </w:p>
          <w:p w14:paraId="0DCD29D2">
            <w:pPr>
              <w:pStyle w:val="6"/>
              <w:spacing w:before="64" w:line="228" w:lineRule="auto"/>
              <w:ind w:left="366"/>
            </w:pPr>
            <w:r>
              <w:t>内</w:t>
            </w:r>
          </w:p>
        </w:tc>
        <w:tc>
          <w:tcPr>
            <w:tcW w:w="1172" w:type="dxa"/>
            <w:vAlign w:val="top"/>
          </w:tcPr>
          <w:p w14:paraId="415C4DD6">
            <w:pPr>
              <w:pStyle w:val="6"/>
              <w:spacing w:before="52"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55105026">
            <w:pPr>
              <w:pStyle w:val="6"/>
              <w:spacing w:before="47" w:line="264"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05F7ACC9">
            <w:pPr>
              <w:pStyle w:val="6"/>
              <w:spacing w:before="48" w:line="234"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249CCA20">
            <w:pPr>
              <w:spacing w:line="297" w:lineRule="auto"/>
              <w:rPr>
                <w:rFonts w:ascii="Arial"/>
                <w:sz w:val="21"/>
              </w:rPr>
            </w:pPr>
          </w:p>
          <w:p w14:paraId="335BED5A">
            <w:pPr>
              <w:pStyle w:val="6"/>
              <w:spacing w:before="65" w:line="226" w:lineRule="auto"/>
              <w:ind w:left="893"/>
            </w:pPr>
            <w:r>
              <w:rPr>
                <w:spacing w:val="8"/>
              </w:rPr>
              <w:t>铅、汞、镉、铬（六价）、砷；</w:t>
            </w:r>
          </w:p>
        </w:tc>
        <w:tc>
          <w:tcPr>
            <w:tcW w:w="1073" w:type="dxa"/>
            <w:vMerge w:val="restart"/>
            <w:tcBorders>
              <w:bottom w:val="nil"/>
            </w:tcBorders>
            <w:vAlign w:val="top"/>
          </w:tcPr>
          <w:p w14:paraId="24E6E487">
            <w:pPr>
              <w:spacing w:line="241" w:lineRule="auto"/>
              <w:rPr>
                <w:rFonts w:ascii="Arial"/>
                <w:sz w:val="21"/>
              </w:rPr>
            </w:pPr>
          </w:p>
          <w:p w14:paraId="56043EED">
            <w:pPr>
              <w:spacing w:line="241" w:lineRule="auto"/>
              <w:rPr>
                <w:rFonts w:ascii="Arial"/>
                <w:sz w:val="21"/>
              </w:rPr>
            </w:pPr>
          </w:p>
          <w:p w14:paraId="081DE86F">
            <w:pPr>
              <w:spacing w:line="241" w:lineRule="auto"/>
              <w:rPr>
                <w:rFonts w:ascii="Arial"/>
                <w:sz w:val="21"/>
              </w:rPr>
            </w:pPr>
          </w:p>
          <w:p w14:paraId="250593FD">
            <w:pPr>
              <w:spacing w:line="241" w:lineRule="auto"/>
              <w:rPr>
                <w:rFonts w:ascii="Arial"/>
                <w:sz w:val="21"/>
              </w:rPr>
            </w:pPr>
          </w:p>
          <w:p w14:paraId="0710DF07">
            <w:pPr>
              <w:spacing w:line="241" w:lineRule="auto"/>
              <w:rPr>
                <w:rFonts w:ascii="Arial"/>
                <w:sz w:val="21"/>
              </w:rPr>
            </w:pPr>
          </w:p>
          <w:p w14:paraId="51B6E1CD">
            <w:pPr>
              <w:spacing w:line="241" w:lineRule="auto"/>
              <w:rPr>
                <w:rFonts w:ascii="Arial"/>
                <w:sz w:val="21"/>
              </w:rPr>
            </w:pPr>
          </w:p>
          <w:p w14:paraId="650926B6">
            <w:pPr>
              <w:spacing w:line="242" w:lineRule="auto"/>
              <w:rPr>
                <w:rFonts w:ascii="Arial"/>
                <w:sz w:val="21"/>
              </w:rPr>
            </w:pPr>
          </w:p>
          <w:p w14:paraId="71A839F7">
            <w:pPr>
              <w:spacing w:line="242" w:lineRule="auto"/>
              <w:rPr>
                <w:rFonts w:ascii="Arial"/>
                <w:sz w:val="21"/>
              </w:rPr>
            </w:pPr>
          </w:p>
          <w:p w14:paraId="0756F271">
            <w:pPr>
              <w:spacing w:line="242" w:lineRule="auto"/>
              <w:rPr>
                <w:rFonts w:ascii="Arial"/>
                <w:sz w:val="21"/>
              </w:rPr>
            </w:pPr>
          </w:p>
          <w:p w14:paraId="497E27ED">
            <w:pPr>
              <w:spacing w:line="242" w:lineRule="auto"/>
              <w:rPr>
                <w:rFonts w:ascii="Arial"/>
                <w:sz w:val="21"/>
              </w:rPr>
            </w:pPr>
          </w:p>
          <w:p w14:paraId="18879264">
            <w:pPr>
              <w:spacing w:line="242" w:lineRule="auto"/>
              <w:rPr>
                <w:rFonts w:ascii="Arial"/>
                <w:sz w:val="21"/>
              </w:rPr>
            </w:pPr>
          </w:p>
          <w:p w14:paraId="0246F745">
            <w:pPr>
              <w:spacing w:line="242" w:lineRule="auto"/>
              <w:rPr>
                <w:rFonts w:ascii="Arial"/>
                <w:sz w:val="21"/>
              </w:rPr>
            </w:pPr>
          </w:p>
          <w:p w14:paraId="4D9F7658">
            <w:pPr>
              <w:spacing w:line="242" w:lineRule="auto"/>
              <w:rPr>
                <w:rFonts w:ascii="Arial"/>
                <w:sz w:val="21"/>
              </w:rPr>
            </w:pPr>
          </w:p>
          <w:p w14:paraId="43C56567">
            <w:pPr>
              <w:spacing w:line="242" w:lineRule="auto"/>
              <w:rPr>
                <w:rFonts w:ascii="Arial"/>
                <w:sz w:val="21"/>
              </w:rPr>
            </w:pPr>
          </w:p>
          <w:p w14:paraId="0E4D4B0C">
            <w:pPr>
              <w:spacing w:line="242" w:lineRule="auto"/>
              <w:rPr>
                <w:rFonts w:ascii="Arial"/>
                <w:sz w:val="21"/>
              </w:rPr>
            </w:pPr>
          </w:p>
          <w:p w14:paraId="196636B6">
            <w:pPr>
              <w:pStyle w:val="6"/>
              <w:spacing w:before="65" w:line="229" w:lineRule="auto"/>
              <w:ind w:left="123"/>
            </w:pPr>
            <w:r>
              <w:rPr>
                <w:spacing w:val="6"/>
              </w:rPr>
              <w:t>建设用地</w:t>
            </w:r>
          </w:p>
          <w:p w14:paraId="78222DFC">
            <w:pPr>
              <w:pStyle w:val="6"/>
              <w:spacing w:before="64" w:line="228" w:lineRule="auto"/>
              <w:ind w:left="333"/>
            </w:pPr>
            <w:r>
              <w:rPr>
                <w:spacing w:val="4"/>
              </w:rPr>
              <w:t>标准</w:t>
            </w:r>
          </w:p>
          <w:p w14:paraId="66080DC3">
            <w:pPr>
              <w:spacing w:before="100"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36600</w:t>
            </w:r>
          </w:p>
          <w:p w14:paraId="3C65F5EC">
            <w:pPr>
              <w:spacing w:before="125"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-2018</w:t>
            </w:r>
          </w:p>
        </w:tc>
      </w:tr>
      <w:tr w14:paraId="2F26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84" w:type="dxa"/>
            <w:vAlign w:val="top"/>
          </w:tcPr>
          <w:p w14:paraId="23D3BA64">
            <w:pPr>
              <w:spacing w:line="340" w:lineRule="auto"/>
              <w:rPr>
                <w:rFonts w:ascii="Arial"/>
                <w:sz w:val="21"/>
              </w:rPr>
            </w:pPr>
          </w:p>
          <w:p w14:paraId="45B7E6FC">
            <w:pPr>
              <w:spacing w:before="58"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887" w:type="dxa"/>
            <w:vMerge w:val="continue"/>
            <w:tcBorders>
              <w:top w:val="nil"/>
              <w:bottom w:val="nil"/>
            </w:tcBorders>
            <w:vAlign w:val="top"/>
          </w:tcPr>
          <w:p w14:paraId="4E4D0D8D">
            <w:pPr>
              <w:rPr>
                <w:rFonts w:ascii="Arial"/>
                <w:sz w:val="21"/>
              </w:rPr>
            </w:pPr>
          </w:p>
        </w:tc>
        <w:tc>
          <w:tcPr>
            <w:tcW w:w="1172" w:type="dxa"/>
            <w:vAlign w:val="top"/>
          </w:tcPr>
          <w:p w14:paraId="3979162D">
            <w:pPr>
              <w:pStyle w:val="6"/>
              <w:spacing w:before="52"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59761D23">
            <w:pPr>
              <w:pStyle w:val="6"/>
              <w:spacing w:before="47" w:line="264"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03D642A0">
            <w:pPr>
              <w:pStyle w:val="6"/>
              <w:spacing w:before="47" w:line="235"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2982716B">
            <w:pPr>
              <w:spacing w:line="298" w:lineRule="auto"/>
              <w:rPr>
                <w:rFonts w:ascii="Arial"/>
                <w:sz w:val="21"/>
              </w:rPr>
            </w:pPr>
          </w:p>
          <w:p w14:paraId="29B80766">
            <w:pPr>
              <w:pStyle w:val="6"/>
              <w:spacing w:before="65" w:line="226" w:lineRule="auto"/>
              <w:ind w:left="893"/>
            </w:pPr>
            <w:r>
              <w:rPr>
                <w:spacing w:val="8"/>
              </w:rPr>
              <w:t>铅、汞、镉、铬（六价）、砷；</w:t>
            </w:r>
          </w:p>
        </w:tc>
        <w:tc>
          <w:tcPr>
            <w:tcW w:w="1073" w:type="dxa"/>
            <w:vMerge w:val="continue"/>
            <w:tcBorders>
              <w:top w:val="nil"/>
              <w:bottom w:val="nil"/>
            </w:tcBorders>
            <w:vAlign w:val="top"/>
          </w:tcPr>
          <w:p w14:paraId="0AFDEB22">
            <w:pPr>
              <w:rPr>
                <w:rFonts w:ascii="Arial"/>
                <w:sz w:val="21"/>
              </w:rPr>
            </w:pPr>
          </w:p>
        </w:tc>
      </w:tr>
      <w:tr w14:paraId="74EF2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4" w:type="dxa"/>
            <w:vAlign w:val="top"/>
          </w:tcPr>
          <w:p w14:paraId="56C17897">
            <w:pPr>
              <w:spacing w:line="340" w:lineRule="auto"/>
              <w:rPr>
                <w:rFonts w:ascii="Arial"/>
                <w:sz w:val="21"/>
              </w:rPr>
            </w:pPr>
          </w:p>
          <w:p w14:paraId="5C6317D7">
            <w:pPr>
              <w:spacing w:before="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7" w:type="dxa"/>
            <w:vMerge w:val="continue"/>
            <w:tcBorders>
              <w:top w:val="nil"/>
              <w:bottom w:val="nil"/>
            </w:tcBorders>
            <w:vAlign w:val="top"/>
          </w:tcPr>
          <w:p w14:paraId="16FCC592">
            <w:pPr>
              <w:rPr>
                <w:rFonts w:ascii="Arial"/>
                <w:sz w:val="21"/>
              </w:rPr>
            </w:pPr>
          </w:p>
        </w:tc>
        <w:tc>
          <w:tcPr>
            <w:tcW w:w="1172" w:type="dxa"/>
            <w:vAlign w:val="top"/>
          </w:tcPr>
          <w:p w14:paraId="20A6739C">
            <w:pPr>
              <w:pStyle w:val="6"/>
              <w:spacing w:before="52"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12182C77">
            <w:pPr>
              <w:pStyle w:val="6"/>
              <w:spacing w:before="47" w:line="264"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1AFBB72F">
            <w:pPr>
              <w:pStyle w:val="6"/>
              <w:spacing w:before="48" w:line="234"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0782E4C9">
            <w:pPr>
              <w:spacing w:line="297" w:lineRule="auto"/>
              <w:rPr>
                <w:rFonts w:ascii="Arial"/>
                <w:sz w:val="21"/>
              </w:rPr>
            </w:pPr>
          </w:p>
          <w:p w14:paraId="028C9152">
            <w:pPr>
              <w:pStyle w:val="6"/>
              <w:spacing w:before="65" w:line="226" w:lineRule="auto"/>
              <w:ind w:left="893"/>
            </w:pPr>
            <w:r>
              <w:rPr>
                <w:spacing w:val="8"/>
              </w:rPr>
              <w:t>铅、汞、镉、铬（六价）、砷；</w:t>
            </w:r>
          </w:p>
        </w:tc>
        <w:tc>
          <w:tcPr>
            <w:tcW w:w="1073" w:type="dxa"/>
            <w:vMerge w:val="continue"/>
            <w:tcBorders>
              <w:top w:val="nil"/>
              <w:bottom w:val="nil"/>
            </w:tcBorders>
            <w:vAlign w:val="top"/>
          </w:tcPr>
          <w:p w14:paraId="00F5A91A">
            <w:pPr>
              <w:rPr>
                <w:rFonts w:ascii="Arial"/>
                <w:sz w:val="21"/>
              </w:rPr>
            </w:pPr>
          </w:p>
        </w:tc>
      </w:tr>
      <w:tr w14:paraId="76565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84" w:type="dxa"/>
            <w:vAlign w:val="top"/>
          </w:tcPr>
          <w:p w14:paraId="36497B9A">
            <w:pPr>
              <w:spacing w:line="343" w:lineRule="auto"/>
              <w:rPr>
                <w:rFonts w:ascii="Arial"/>
                <w:sz w:val="21"/>
              </w:rPr>
            </w:pPr>
          </w:p>
          <w:p w14:paraId="5252B8DB">
            <w:pPr>
              <w:spacing w:before="5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887" w:type="dxa"/>
            <w:vMerge w:val="continue"/>
            <w:tcBorders>
              <w:top w:val="nil"/>
              <w:bottom w:val="nil"/>
            </w:tcBorders>
            <w:vAlign w:val="top"/>
          </w:tcPr>
          <w:p w14:paraId="0C939628">
            <w:pPr>
              <w:rPr>
                <w:rFonts w:ascii="Arial"/>
                <w:sz w:val="21"/>
              </w:rPr>
            </w:pPr>
          </w:p>
        </w:tc>
        <w:tc>
          <w:tcPr>
            <w:tcW w:w="1172" w:type="dxa"/>
            <w:vAlign w:val="top"/>
          </w:tcPr>
          <w:p w14:paraId="544A70D6">
            <w:pPr>
              <w:pStyle w:val="6"/>
              <w:spacing w:before="55"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108F8D96">
            <w:pPr>
              <w:pStyle w:val="6"/>
              <w:spacing w:before="47" w:line="264"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53EE0CE6">
            <w:pPr>
              <w:pStyle w:val="6"/>
              <w:spacing w:before="48" w:line="231"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47E3123B">
            <w:pPr>
              <w:spacing w:line="300" w:lineRule="auto"/>
              <w:rPr>
                <w:rFonts w:ascii="Arial"/>
                <w:sz w:val="21"/>
              </w:rPr>
            </w:pPr>
          </w:p>
          <w:p w14:paraId="1EC551A1">
            <w:pPr>
              <w:pStyle w:val="6"/>
              <w:spacing w:before="65" w:line="226" w:lineRule="auto"/>
              <w:ind w:left="893"/>
            </w:pPr>
            <w:r>
              <w:rPr>
                <w:spacing w:val="8"/>
              </w:rPr>
              <w:t>铅、汞、镉、铬（六价）、砷；</w:t>
            </w:r>
          </w:p>
        </w:tc>
        <w:tc>
          <w:tcPr>
            <w:tcW w:w="1073" w:type="dxa"/>
            <w:vMerge w:val="continue"/>
            <w:tcBorders>
              <w:top w:val="nil"/>
              <w:bottom w:val="nil"/>
            </w:tcBorders>
            <w:vAlign w:val="top"/>
          </w:tcPr>
          <w:p w14:paraId="60BDBCEC">
            <w:pPr>
              <w:rPr>
                <w:rFonts w:ascii="Arial"/>
                <w:sz w:val="21"/>
              </w:rPr>
            </w:pPr>
          </w:p>
        </w:tc>
      </w:tr>
      <w:tr w14:paraId="302A3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84" w:type="dxa"/>
            <w:vAlign w:val="top"/>
          </w:tcPr>
          <w:p w14:paraId="644D3FD9">
            <w:pPr>
              <w:spacing w:line="344" w:lineRule="auto"/>
              <w:rPr>
                <w:rFonts w:ascii="Arial"/>
                <w:sz w:val="21"/>
              </w:rPr>
            </w:pPr>
          </w:p>
          <w:p w14:paraId="09EDCE80">
            <w:pPr>
              <w:spacing w:before="5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87" w:type="dxa"/>
            <w:vMerge w:val="continue"/>
            <w:tcBorders>
              <w:top w:val="nil"/>
              <w:bottom w:val="nil"/>
            </w:tcBorders>
            <w:vAlign w:val="top"/>
          </w:tcPr>
          <w:p w14:paraId="12835875">
            <w:pPr>
              <w:rPr>
                <w:rFonts w:ascii="Arial"/>
                <w:sz w:val="21"/>
              </w:rPr>
            </w:pPr>
          </w:p>
        </w:tc>
        <w:tc>
          <w:tcPr>
            <w:tcW w:w="1172" w:type="dxa"/>
            <w:vAlign w:val="top"/>
          </w:tcPr>
          <w:p w14:paraId="3A1ABD4B">
            <w:pPr>
              <w:pStyle w:val="6"/>
              <w:spacing w:before="55" w:line="265"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0.5m</w:t>
            </w:r>
          </w:p>
          <w:p w14:paraId="14E8411E">
            <w:pPr>
              <w:pStyle w:val="6"/>
              <w:spacing w:before="47" w:line="265" w:lineRule="exact"/>
              <w:ind w:left="139"/>
              <w:rPr>
                <w:rFonts w:ascii="Times New Roman" w:hAnsi="Times New Roman" w:eastAsia="Times New Roman" w:cs="Times New Roman"/>
              </w:rPr>
            </w:pPr>
            <w:r>
              <w:rPr>
                <w:rFonts w:ascii="Times New Roman" w:hAnsi="Times New Roman" w:eastAsia="Times New Roman" w:cs="Times New Roman"/>
                <w:spacing w:val="4"/>
                <w:position w:val="1"/>
              </w:rPr>
              <w:t>0.5</w:t>
            </w:r>
            <w:r>
              <w:rPr>
                <w:spacing w:val="4"/>
                <w:position w:val="1"/>
              </w:rPr>
              <w:t>～</w:t>
            </w:r>
            <w:r>
              <w:rPr>
                <w:rFonts w:ascii="Times New Roman" w:hAnsi="Times New Roman" w:eastAsia="Times New Roman" w:cs="Times New Roman"/>
                <w:spacing w:val="4"/>
                <w:position w:val="1"/>
              </w:rPr>
              <w:t>1.5m</w:t>
            </w:r>
          </w:p>
          <w:p w14:paraId="40691112">
            <w:pPr>
              <w:pStyle w:val="6"/>
              <w:spacing w:before="47" w:line="232" w:lineRule="auto"/>
              <w:ind w:left="236"/>
              <w:rPr>
                <w:rFonts w:ascii="Times New Roman" w:hAnsi="Times New Roman" w:eastAsia="Times New Roman" w:cs="Times New Roman"/>
              </w:rPr>
            </w:pP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3m</w:t>
            </w:r>
          </w:p>
        </w:tc>
        <w:tc>
          <w:tcPr>
            <w:tcW w:w="4713" w:type="dxa"/>
            <w:vAlign w:val="top"/>
          </w:tcPr>
          <w:p w14:paraId="47B1B02C">
            <w:pPr>
              <w:spacing w:line="301" w:lineRule="auto"/>
              <w:rPr>
                <w:rFonts w:ascii="Arial"/>
                <w:sz w:val="21"/>
              </w:rPr>
            </w:pPr>
          </w:p>
          <w:p w14:paraId="6CE8009B">
            <w:pPr>
              <w:pStyle w:val="6"/>
              <w:spacing w:before="65" w:line="226" w:lineRule="auto"/>
              <w:ind w:left="893"/>
            </w:pPr>
            <w:r>
              <w:rPr>
                <w:spacing w:val="8"/>
              </w:rPr>
              <w:t>铅、汞、镉、铬（六价）、砷；</w:t>
            </w:r>
          </w:p>
        </w:tc>
        <w:tc>
          <w:tcPr>
            <w:tcW w:w="1073" w:type="dxa"/>
            <w:vMerge w:val="continue"/>
            <w:tcBorders>
              <w:top w:val="nil"/>
              <w:bottom w:val="nil"/>
            </w:tcBorders>
            <w:vAlign w:val="top"/>
          </w:tcPr>
          <w:p w14:paraId="2F66DB9D">
            <w:pPr>
              <w:rPr>
                <w:rFonts w:ascii="Arial"/>
                <w:sz w:val="21"/>
              </w:rPr>
            </w:pPr>
          </w:p>
        </w:tc>
      </w:tr>
      <w:tr w14:paraId="1D77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684" w:type="dxa"/>
            <w:vAlign w:val="top"/>
          </w:tcPr>
          <w:p w14:paraId="58141050">
            <w:pPr>
              <w:spacing w:line="264" w:lineRule="auto"/>
              <w:rPr>
                <w:rFonts w:ascii="Arial"/>
                <w:sz w:val="21"/>
              </w:rPr>
            </w:pPr>
          </w:p>
          <w:p w14:paraId="75CEE702">
            <w:pPr>
              <w:spacing w:line="264" w:lineRule="auto"/>
              <w:rPr>
                <w:rFonts w:ascii="Arial"/>
                <w:sz w:val="21"/>
              </w:rPr>
            </w:pPr>
          </w:p>
          <w:p w14:paraId="7177D339">
            <w:pPr>
              <w:spacing w:line="264" w:lineRule="auto"/>
              <w:rPr>
                <w:rFonts w:ascii="Arial"/>
                <w:sz w:val="21"/>
              </w:rPr>
            </w:pPr>
          </w:p>
          <w:p w14:paraId="54720FEA">
            <w:pPr>
              <w:spacing w:line="264" w:lineRule="auto"/>
              <w:rPr>
                <w:rFonts w:ascii="Arial"/>
                <w:sz w:val="21"/>
              </w:rPr>
            </w:pPr>
          </w:p>
          <w:p w14:paraId="0F16AEF6">
            <w:pPr>
              <w:spacing w:line="264" w:lineRule="auto"/>
              <w:rPr>
                <w:rFonts w:ascii="Arial"/>
                <w:sz w:val="21"/>
              </w:rPr>
            </w:pPr>
          </w:p>
          <w:p w14:paraId="6AD056A6">
            <w:pPr>
              <w:spacing w:line="264" w:lineRule="auto"/>
              <w:rPr>
                <w:rFonts w:ascii="Arial"/>
                <w:sz w:val="21"/>
              </w:rPr>
            </w:pPr>
          </w:p>
          <w:p w14:paraId="10018189">
            <w:pPr>
              <w:spacing w:before="5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87" w:type="dxa"/>
            <w:vMerge w:val="continue"/>
            <w:tcBorders>
              <w:top w:val="nil"/>
              <w:bottom w:val="nil"/>
            </w:tcBorders>
            <w:vAlign w:val="top"/>
          </w:tcPr>
          <w:p w14:paraId="344E501E">
            <w:pPr>
              <w:rPr>
                <w:rFonts w:ascii="Arial"/>
                <w:sz w:val="21"/>
              </w:rPr>
            </w:pPr>
          </w:p>
        </w:tc>
        <w:tc>
          <w:tcPr>
            <w:tcW w:w="1172" w:type="dxa"/>
            <w:vAlign w:val="top"/>
          </w:tcPr>
          <w:p w14:paraId="2F769C2F">
            <w:pPr>
              <w:spacing w:line="256" w:lineRule="auto"/>
              <w:rPr>
                <w:rFonts w:ascii="Arial"/>
                <w:sz w:val="21"/>
              </w:rPr>
            </w:pPr>
          </w:p>
          <w:p w14:paraId="46D80833">
            <w:pPr>
              <w:spacing w:line="256" w:lineRule="auto"/>
              <w:rPr>
                <w:rFonts w:ascii="Arial"/>
                <w:sz w:val="21"/>
              </w:rPr>
            </w:pPr>
          </w:p>
          <w:p w14:paraId="5573E732">
            <w:pPr>
              <w:spacing w:line="257" w:lineRule="auto"/>
              <w:rPr>
                <w:rFonts w:ascii="Arial"/>
                <w:sz w:val="21"/>
              </w:rPr>
            </w:pPr>
          </w:p>
          <w:p w14:paraId="5066AD57">
            <w:pPr>
              <w:spacing w:line="257" w:lineRule="auto"/>
              <w:rPr>
                <w:rFonts w:ascii="Arial"/>
                <w:sz w:val="21"/>
              </w:rPr>
            </w:pPr>
          </w:p>
          <w:p w14:paraId="197B8BD1">
            <w:pPr>
              <w:spacing w:line="257" w:lineRule="auto"/>
              <w:rPr>
                <w:rFonts w:ascii="Arial"/>
                <w:sz w:val="21"/>
              </w:rPr>
            </w:pPr>
          </w:p>
          <w:p w14:paraId="0B10D2A9">
            <w:pPr>
              <w:spacing w:line="257" w:lineRule="auto"/>
              <w:rPr>
                <w:rFonts w:ascii="Arial"/>
                <w:sz w:val="21"/>
              </w:rPr>
            </w:pPr>
          </w:p>
          <w:p w14:paraId="768E4750">
            <w:pPr>
              <w:pStyle w:val="6"/>
              <w:spacing w:before="65" w:line="265"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093328F9">
            <w:pPr>
              <w:pStyle w:val="6"/>
              <w:spacing w:before="56" w:line="254" w:lineRule="auto"/>
              <w:ind w:left="113" w:right="34" w:firstLine="11"/>
            </w:pPr>
            <w:r>
              <w:rPr>
                <w:rFonts w:ascii="Times New Roman" w:hAnsi="Times New Roman" w:eastAsia="Times New Roman" w:cs="Times New Roman"/>
                <w:spacing w:val="9"/>
              </w:rPr>
              <w:t xml:space="preserve">45 </w:t>
            </w:r>
            <w:r>
              <w:rPr>
                <w:spacing w:val="9"/>
              </w:rPr>
              <w:t>项基本项目：汞、砷、镉、铅、铬（六价）、</w:t>
            </w:r>
            <w:r>
              <w:rPr>
                <w:spacing w:val="11"/>
              </w:rPr>
              <w:t xml:space="preserve"> </w:t>
            </w:r>
            <w:r>
              <w:t>铜、镍、四氯化碳、氯仿、氯甲烷、</w:t>
            </w:r>
            <w:r>
              <w:rPr>
                <w:rFonts w:ascii="Times New Roman" w:hAnsi="Times New Roman" w:eastAsia="Times New Roman" w:cs="Times New Roman"/>
              </w:rPr>
              <w:t>1,</w:t>
            </w:r>
            <w:r>
              <w:rPr>
                <w:rFonts w:ascii="Times New Roman" w:hAnsi="Times New Roman" w:eastAsia="Times New Roman" w:cs="Times New Roman"/>
                <w:spacing w:val="-8"/>
              </w:rPr>
              <w:t xml:space="preserve"> </w:t>
            </w:r>
            <w:r>
              <w:rPr>
                <w:rFonts w:ascii="Times New Roman" w:hAnsi="Times New Roman" w:eastAsia="Times New Roman" w:cs="Times New Roman"/>
              </w:rPr>
              <w:t>1-</w:t>
            </w:r>
            <w:r>
              <w:t>二氯乙烷、</w:t>
            </w:r>
          </w:p>
          <w:p w14:paraId="44610031">
            <w:pPr>
              <w:pStyle w:val="6"/>
              <w:spacing w:before="69" w:line="280" w:lineRule="auto"/>
              <w:ind w:left="114" w:right="34" w:firstLine="51"/>
              <w:rPr>
                <w:rFonts w:ascii="Times New Roman" w:hAnsi="Times New Roman" w:eastAsia="Times New Roman" w:cs="Times New Roman"/>
              </w:rPr>
            </w:pPr>
            <w:r>
              <w:rPr>
                <w:rFonts w:ascii="Times New Roman" w:hAnsi="Times New Roman" w:eastAsia="Times New Roman" w:cs="Times New Roman"/>
                <w:spacing w:val="6"/>
              </w:rPr>
              <w:t>1,2-</w:t>
            </w:r>
            <w:r>
              <w:rPr>
                <w:spacing w:val="6"/>
              </w:rPr>
              <w:t>二氯乙烷、</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spacing w:val="6"/>
              </w:rPr>
              <w:t>二氯乙烯、顺</w:t>
            </w:r>
            <w:r>
              <w:rPr>
                <w:rFonts w:ascii="Times New Roman" w:hAnsi="Times New Roman" w:eastAsia="Times New Roman" w:cs="Times New Roman"/>
                <w:spacing w:val="6"/>
              </w:rPr>
              <w:t>-1,2-</w:t>
            </w:r>
            <w:r>
              <w:rPr>
                <w:spacing w:val="6"/>
              </w:rPr>
              <w:t>二氯乙</w:t>
            </w:r>
            <w:r>
              <w:rPr>
                <w:spacing w:val="5"/>
              </w:rPr>
              <w:t>烯、</w:t>
            </w:r>
            <w:r>
              <w:t xml:space="preserve">  </w:t>
            </w:r>
            <w:r>
              <w:rPr>
                <w:spacing w:val="-2"/>
              </w:rPr>
              <w:t>反</w:t>
            </w:r>
            <w:r>
              <w:rPr>
                <w:rFonts w:ascii="Times New Roman" w:hAnsi="Times New Roman" w:eastAsia="Times New Roman" w:cs="Times New Roman"/>
                <w:spacing w:val="-2"/>
              </w:rPr>
              <w:t>-1,2-</w:t>
            </w:r>
            <w:r>
              <w:rPr>
                <w:spacing w:val="-2"/>
              </w:rPr>
              <w:t>二氯乙烯、二氯甲烷、</w:t>
            </w:r>
            <w:r>
              <w:rPr>
                <w:rFonts w:ascii="Times New Roman" w:hAnsi="Times New Roman" w:eastAsia="Times New Roman" w:cs="Times New Roman"/>
                <w:spacing w:val="-2"/>
              </w:rPr>
              <w:t>1,2-</w:t>
            </w:r>
            <w:r>
              <w:rPr>
                <w:spacing w:val="-2"/>
              </w:rPr>
              <w:t>二氯</w:t>
            </w:r>
            <w:r>
              <w:rPr>
                <w:spacing w:val="-3"/>
              </w:rPr>
              <w:t>丙烷、</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1,2-</w:t>
            </w:r>
            <w:r>
              <w:rPr>
                <w:rFonts w:ascii="Times New Roman" w:hAnsi="Times New Roman" w:eastAsia="Times New Roman" w:cs="Times New Roman"/>
              </w:rPr>
              <w:t xml:space="preserve">  </w:t>
            </w:r>
            <w:r>
              <w:rPr>
                <w:spacing w:val="4"/>
              </w:rPr>
              <w:t>四氯乙烷、</w:t>
            </w:r>
            <w:r>
              <w:rPr>
                <w:rFonts w:ascii="Times New Roman" w:hAnsi="Times New Roman" w:eastAsia="Times New Roman" w:cs="Times New Roman"/>
                <w:spacing w:val="4"/>
              </w:rPr>
              <w:t>1,</w:t>
            </w:r>
            <w:r>
              <w:rPr>
                <w:rFonts w:ascii="Times New Roman" w:hAnsi="Times New Roman" w:eastAsia="Times New Roman" w:cs="Times New Roman"/>
                <w:spacing w:val="-18"/>
              </w:rPr>
              <w:t xml:space="preserve"> </w:t>
            </w:r>
            <w:r>
              <w:rPr>
                <w:rFonts w:ascii="Times New Roman" w:hAnsi="Times New Roman" w:eastAsia="Times New Roman" w:cs="Times New Roman"/>
                <w:spacing w:val="4"/>
              </w:rPr>
              <w:t>1,2,2-</w:t>
            </w:r>
            <w:r>
              <w:rPr>
                <w:spacing w:val="4"/>
              </w:rPr>
              <w:t>四氯乙烷、四氯乙烯、</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w:t>
            </w:r>
            <w:r>
              <w:rPr>
                <w:spacing w:val="4"/>
              </w:rPr>
              <w:t>三</w:t>
            </w:r>
            <w:r>
              <w:t xml:space="preserve"> </w:t>
            </w:r>
            <w:r>
              <w:rPr>
                <w:spacing w:val="4"/>
              </w:rPr>
              <w:t>氯乙烷、</w:t>
            </w:r>
            <w:r>
              <w:rPr>
                <w:rFonts w:ascii="Times New Roman" w:hAnsi="Times New Roman" w:eastAsia="Times New Roman" w:cs="Times New Roman"/>
                <w:spacing w:val="4"/>
              </w:rPr>
              <w:t>1,</w:t>
            </w:r>
            <w:r>
              <w:rPr>
                <w:rFonts w:ascii="Times New Roman" w:hAnsi="Times New Roman" w:eastAsia="Times New Roman" w:cs="Times New Roman"/>
                <w:spacing w:val="-12"/>
              </w:rPr>
              <w:t xml:space="preserve"> </w:t>
            </w:r>
            <w:r>
              <w:rPr>
                <w:rFonts w:ascii="Times New Roman" w:hAnsi="Times New Roman" w:eastAsia="Times New Roman" w:cs="Times New Roman"/>
                <w:spacing w:val="4"/>
              </w:rPr>
              <w:t>1,2-</w:t>
            </w:r>
            <w:r>
              <w:rPr>
                <w:spacing w:val="4"/>
              </w:rPr>
              <w:t>三氯乙烷、三氯乙烯、</w:t>
            </w:r>
            <w:r>
              <w:rPr>
                <w:rFonts w:ascii="Times New Roman" w:hAnsi="Times New Roman" w:eastAsia="Times New Roman" w:cs="Times New Roman"/>
                <w:spacing w:val="4"/>
              </w:rPr>
              <w:t>1,2,3-</w:t>
            </w:r>
            <w:r>
              <w:rPr>
                <w:spacing w:val="4"/>
              </w:rPr>
              <w:t>三氯丙</w:t>
            </w:r>
            <w:r>
              <w:t xml:space="preserve"> </w:t>
            </w:r>
            <w:r>
              <w:rPr>
                <w:spacing w:val="4"/>
              </w:rPr>
              <w:t>烷、氯乙烯、苯、氯苯、</w:t>
            </w:r>
            <w:r>
              <w:rPr>
                <w:rFonts w:ascii="Times New Roman" w:hAnsi="Times New Roman" w:eastAsia="Times New Roman" w:cs="Times New Roman"/>
                <w:spacing w:val="4"/>
              </w:rPr>
              <w:t>1,2-</w:t>
            </w:r>
            <w:r>
              <w:rPr>
                <w:spacing w:val="4"/>
              </w:rPr>
              <w:t>二氯苯、</w:t>
            </w:r>
            <w:r>
              <w:rPr>
                <w:rFonts w:ascii="Times New Roman" w:hAnsi="Times New Roman" w:eastAsia="Times New Roman" w:cs="Times New Roman"/>
                <w:spacing w:val="4"/>
              </w:rPr>
              <w:t>1,4-</w:t>
            </w:r>
            <w:r>
              <w:rPr>
                <w:spacing w:val="4"/>
              </w:rPr>
              <w:t>二氯苯、</w:t>
            </w:r>
            <w:r>
              <w:rPr>
                <w:spacing w:val="17"/>
              </w:rPr>
              <w:t xml:space="preserve"> </w:t>
            </w:r>
            <w:r>
              <w:rPr>
                <w:spacing w:val="7"/>
              </w:rPr>
              <w:t>乙苯、苯乙烯、甲苯、间二甲苯</w:t>
            </w:r>
            <w:r>
              <w:rPr>
                <w:rFonts w:ascii="Times New Roman" w:hAnsi="Times New Roman" w:eastAsia="Times New Roman" w:cs="Times New Roman"/>
                <w:spacing w:val="7"/>
              </w:rPr>
              <w:t>+</w:t>
            </w:r>
            <w:r>
              <w:rPr>
                <w:spacing w:val="7"/>
              </w:rPr>
              <w:t>对二甲苯、邻二</w:t>
            </w:r>
            <w:r>
              <w:rPr>
                <w:spacing w:val="18"/>
              </w:rPr>
              <w:t xml:space="preserve"> </w:t>
            </w:r>
            <w:r>
              <w:rPr>
                <w:spacing w:val="3"/>
              </w:rPr>
              <w:t>甲苯、硝基苯、苯胺、</w:t>
            </w:r>
            <w:r>
              <w:rPr>
                <w:rFonts w:ascii="Times New Roman" w:hAnsi="Times New Roman" w:eastAsia="Times New Roman" w:cs="Times New Roman"/>
                <w:spacing w:val="3"/>
              </w:rPr>
              <w:t>2-</w:t>
            </w:r>
            <w:r>
              <w:rPr>
                <w:spacing w:val="3"/>
              </w:rPr>
              <w:t>氯酚、苯并</w:t>
            </w:r>
            <w:r>
              <w:rPr>
                <w:rFonts w:ascii="Times New Roman" w:hAnsi="Times New Roman" w:eastAsia="Times New Roman" w:cs="Times New Roman"/>
                <w:spacing w:val="3"/>
              </w:rPr>
              <w:t>[a]</w:t>
            </w:r>
            <w:r>
              <w:rPr>
                <w:spacing w:val="3"/>
              </w:rPr>
              <w:t>蒽、苯</w:t>
            </w:r>
            <w:r>
              <w:rPr>
                <w:spacing w:val="2"/>
              </w:rPr>
              <w:t>并</w:t>
            </w:r>
            <w:r>
              <w:rPr>
                <w:rFonts w:ascii="Times New Roman" w:hAnsi="Times New Roman" w:eastAsia="Times New Roman" w:cs="Times New Roman"/>
                <w:spacing w:val="2"/>
              </w:rPr>
              <w:t>[a]</w:t>
            </w:r>
            <w:r>
              <w:rPr>
                <w:rFonts w:ascii="Times New Roman" w:hAnsi="Times New Roman" w:eastAsia="Times New Roman" w:cs="Times New Roman"/>
              </w:rPr>
              <w:t xml:space="preserve">  </w:t>
            </w:r>
            <w:r>
              <w:rPr>
                <w:spacing w:val="8"/>
              </w:rPr>
              <w:t>芘、苯并</w:t>
            </w:r>
            <w:r>
              <w:rPr>
                <w:rFonts w:ascii="Times New Roman" w:hAnsi="Times New Roman" w:eastAsia="Times New Roman" w:cs="Times New Roman"/>
                <w:spacing w:val="8"/>
              </w:rPr>
              <w:t>[b]</w:t>
            </w:r>
            <w:r>
              <w:rPr>
                <w:spacing w:val="8"/>
              </w:rPr>
              <w:t>荧蒽、苯并</w:t>
            </w:r>
            <w:r>
              <w:rPr>
                <w:rFonts w:ascii="Times New Roman" w:hAnsi="Times New Roman" w:eastAsia="Times New Roman" w:cs="Times New Roman"/>
                <w:spacing w:val="8"/>
              </w:rPr>
              <w:t>[k]</w:t>
            </w:r>
            <w:r>
              <w:rPr>
                <w:spacing w:val="8"/>
              </w:rPr>
              <w:t>荧蒽、䓛、二苯并</w:t>
            </w:r>
            <w:r>
              <w:rPr>
                <w:rFonts w:ascii="Times New Roman" w:hAnsi="Times New Roman" w:eastAsia="Times New Roman" w:cs="Times New Roman"/>
                <w:spacing w:val="8"/>
              </w:rPr>
              <w:t>[a,h]</w:t>
            </w:r>
          </w:p>
          <w:p w14:paraId="77C62BF7">
            <w:pPr>
              <w:pStyle w:val="6"/>
              <w:spacing w:before="72" w:line="221" w:lineRule="auto"/>
              <w:ind w:left="1114"/>
            </w:pPr>
            <w:r>
              <w:rPr>
                <w:spacing w:val="5"/>
              </w:rPr>
              <w:t>蒽、茚并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芘、萘；</w:t>
            </w:r>
          </w:p>
        </w:tc>
        <w:tc>
          <w:tcPr>
            <w:tcW w:w="1073" w:type="dxa"/>
            <w:vMerge w:val="continue"/>
            <w:tcBorders>
              <w:top w:val="nil"/>
              <w:bottom w:val="nil"/>
            </w:tcBorders>
            <w:vAlign w:val="top"/>
          </w:tcPr>
          <w:p w14:paraId="73164ECB">
            <w:pPr>
              <w:rPr>
                <w:rFonts w:ascii="Arial"/>
                <w:sz w:val="21"/>
              </w:rPr>
            </w:pPr>
          </w:p>
        </w:tc>
      </w:tr>
      <w:tr w14:paraId="4A901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84" w:type="dxa"/>
            <w:vAlign w:val="top"/>
          </w:tcPr>
          <w:p w14:paraId="4E9D3515">
            <w:pPr>
              <w:spacing w:before="13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w:t>
            </w:r>
          </w:p>
        </w:tc>
        <w:tc>
          <w:tcPr>
            <w:tcW w:w="887" w:type="dxa"/>
            <w:vMerge w:val="continue"/>
            <w:tcBorders>
              <w:top w:val="nil"/>
            </w:tcBorders>
            <w:vAlign w:val="top"/>
          </w:tcPr>
          <w:p w14:paraId="5FD400F0">
            <w:pPr>
              <w:rPr>
                <w:rFonts w:ascii="Arial"/>
                <w:sz w:val="21"/>
              </w:rPr>
            </w:pPr>
          </w:p>
        </w:tc>
        <w:tc>
          <w:tcPr>
            <w:tcW w:w="1172" w:type="dxa"/>
            <w:vAlign w:val="top"/>
          </w:tcPr>
          <w:p w14:paraId="20304CBC">
            <w:pPr>
              <w:pStyle w:val="6"/>
              <w:spacing w:before="100"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212B81A5">
            <w:pPr>
              <w:pStyle w:val="6"/>
              <w:spacing w:before="100" w:line="226" w:lineRule="auto"/>
              <w:ind w:left="893"/>
            </w:pPr>
            <w:r>
              <w:rPr>
                <w:spacing w:val="8"/>
              </w:rPr>
              <w:t>铅、汞、镉、铬（六价）、砷；</w:t>
            </w:r>
          </w:p>
        </w:tc>
        <w:tc>
          <w:tcPr>
            <w:tcW w:w="1073" w:type="dxa"/>
            <w:vMerge w:val="continue"/>
            <w:tcBorders>
              <w:top w:val="nil"/>
            </w:tcBorders>
            <w:vAlign w:val="top"/>
          </w:tcPr>
          <w:p w14:paraId="65337335">
            <w:pPr>
              <w:rPr>
                <w:rFonts w:ascii="Arial"/>
                <w:sz w:val="21"/>
              </w:rPr>
            </w:pPr>
          </w:p>
        </w:tc>
      </w:tr>
      <w:tr w14:paraId="4313D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684" w:type="dxa"/>
            <w:vAlign w:val="top"/>
          </w:tcPr>
          <w:p w14:paraId="002438BC">
            <w:pPr>
              <w:spacing w:before="18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p>
        </w:tc>
        <w:tc>
          <w:tcPr>
            <w:tcW w:w="887" w:type="dxa"/>
            <w:vMerge w:val="restart"/>
            <w:tcBorders>
              <w:bottom w:val="nil"/>
            </w:tcBorders>
            <w:vAlign w:val="top"/>
          </w:tcPr>
          <w:p w14:paraId="64AF8C0F">
            <w:pPr>
              <w:spacing w:line="377" w:lineRule="auto"/>
              <w:rPr>
                <w:rFonts w:ascii="Arial"/>
                <w:sz w:val="21"/>
              </w:rPr>
            </w:pPr>
          </w:p>
          <w:p w14:paraId="315D7726">
            <w:pPr>
              <w:pStyle w:val="6"/>
              <w:spacing w:before="65" w:line="228" w:lineRule="auto"/>
              <w:ind w:left="135"/>
            </w:pPr>
            <w:r>
              <w:rPr>
                <w:spacing w:val="5"/>
              </w:rPr>
              <w:t>项目占</w:t>
            </w:r>
          </w:p>
          <w:p w14:paraId="539E8A42">
            <w:pPr>
              <w:pStyle w:val="6"/>
              <w:spacing w:before="65" w:line="228" w:lineRule="auto"/>
              <w:ind w:left="132"/>
            </w:pPr>
            <w:r>
              <w:rPr>
                <w:spacing w:val="6"/>
              </w:rPr>
              <w:t>地范围</w:t>
            </w:r>
          </w:p>
          <w:p w14:paraId="6B5CAC70">
            <w:pPr>
              <w:pStyle w:val="6"/>
              <w:spacing w:before="64" w:line="228" w:lineRule="auto"/>
              <w:ind w:left="345"/>
            </w:pPr>
            <w:r>
              <w:t>外</w:t>
            </w:r>
          </w:p>
        </w:tc>
        <w:tc>
          <w:tcPr>
            <w:tcW w:w="1172" w:type="dxa"/>
            <w:vAlign w:val="top"/>
          </w:tcPr>
          <w:p w14:paraId="7250838A">
            <w:pPr>
              <w:pStyle w:val="6"/>
              <w:spacing w:before="146" w:line="265"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465F4937">
            <w:pPr>
              <w:pStyle w:val="6"/>
              <w:spacing w:before="146" w:line="221" w:lineRule="auto"/>
              <w:ind w:left="440"/>
            </w:pPr>
            <w:r>
              <w:rPr>
                <w:rFonts w:ascii="Times New Roman" w:hAnsi="Times New Roman" w:eastAsia="Times New Roman" w:cs="Times New Roman"/>
              </w:rPr>
              <w:t>pH</w:t>
            </w:r>
            <w:r>
              <w:rPr>
                <w:rFonts w:ascii="Times New Roman" w:hAnsi="Times New Roman" w:eastAsia="Times New Roman" w:cs="Times New Roman"/>
                <w:spacing w:val="-19"/>
              </w:rPr>
              <w:t xml:space="preserve"> </w:t>
            </w:r>
            <w:r>
              <w:rPr>
                <w:spacing w:val="8"/>
              </w:rPr>
              <w:t>、铅、锌、铜、汞、镉、铬、砷、镍；</w:t>
            </w:r>
          </w:p>
        </w:tc>
        <w:tc>
          <w:tcPr>
            <w:tcW w:w="1073" w:type="dxa"/>
            <w:vMerge w:val="restart"/>
            <w:tcBorders>
              <w:bottom w:val="nil"/>
            </w:tcBorders>
            <w:vAlign w:val="top"/>
          </w:tcPr>
          <w:p w14:paraId="25E6330E">
            <w:pPr>
              <w:pStyle w:val="6"/>
              <w:spacing w:before="288" w:line="228" w:lineRule="auto"/>
              <w:ind w:left="121"/>
            </w:pPr>
            <w:r>
              <w:rPr>
                <w:spacing w:val="7"/>
              </w:rPr>
              <w:t>农用地标</w:t>
            </w:r>
          </w:p>
          <w:p w14:paraId="62C1303A">
            <w:pPr>
              <w:pStyle w:val="6"/>
              <w:spacing w:before="64" w:line="229" w:lineRule="auto"/>
              <w:ind w:left="439"/>
            </w:pPr>
            <w:r>
              <w:t>准</w:t>
            </w:r>
          </w:p>
          <w:p w14:paraId="642B4570">
            <w:pPr>
              <w:spacing w:before="9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15618</w:t>
            </w:r>
          </w:p>
          <w:p w14:paraId="5B39EB22">
            <w:pPr>
              <w:spacing w:before="125"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-2018</w:t>
            </w:r>
          </w:p>
        </w:tc>
      </w:tr>
      <w:tr w14:paraId="794D2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84" w:type="dxa"/>
            <w:vAlign w:val="top"/>
          </w:tcPr>
          <w:p w14:paraId="1CE727A6">
            <w:pPr>
              <w:spacing w:before="13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87" w:type="dxa"/>
            <w:vMerge w:val="continue"/>
            <w:tcBorders>
              <w:top w:val="nil"/>
              <w:bottom w:val="nil"/>
            </w:tcBorders>
            <w:vAlign w:val="top"/>
          </w:tcPr>
          <w:p w14:paraId="0C4F55B2">
            <w:pPr>
              <w:rPr>
                <w:rFonts w:ascii="Arial"/>
                <w:sz w:val="21"/>
              </w:rPr>
            </w:pPr>
          </w:p>
        </w:tc>
        <w:tc>
          <w:tcPr>
            <w:tcW w:w="1172" w:type="dxa"/>
            <w:vAlign w:val="top"/>
          </w:tcPr>
          <w:p w14:paraId="2B192F30">
            <w:pPr>
              <w:pStyle w:val="6"/>
              <w:spacing w:before="99"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6C239827">
            <w:pPr>
              <w:pStyle w:val="6"/>
              <w:spacing w:before="99" w:line="221" w:lineRule="auto"/>
              <w:ind w:left="440"/>
            </w:pPr>
            <w:r>
              <w:rPr>
                <w:rFonts w:ascii="Times New Roman" w:hAnsi="Times New Roman" w:eastAsia="Times New Roman" w:cs="Times New Roman"/>
              </w:rPr>
              <w:t>pH</w:t>
            </w:r>
            <w:r>
              <w:rPr>
                <w:rFonts w:ascii="Times New Roman" w:hAnsi="Times New Roman" w:eastAsia="Times New Roman" w:cs="Times New Roman"/>
                <w:spacing w:val="-19"/>
              </w:rPr>
              <w:t xml:space="preserve"> </w:t>
            </w:r>
            <w:r>
              <w:rPr>
                <w:spacing w:val="8"/>
              </w:rPr>
              <w:t>、铅、锌、铜、汞、镉、铬、砷、镍；</w:t>
            </w:r>
          </w:p>
        </w:tc>
        <w:tc>
          <w:tcPr>
            <w:tcW w:w="1073" w:type="dxa"/>
            <w:vMerge w:val="continue"/>
            <w:tcBorders>
              <w:top w:val="nil"/>
              <w:bottom w:val="nil"/>
            </w:tcBorders>
            <w:vAlign w:val="top"/>
          </w:tcPr>
          <w:p w14:paraId="5CE4F95D">
            <w:pPr>
              <w:rPr>
                <w:rFonts w:ascii="Arial"/>
                <w:sz w:val="21"/>
              </w:rPr>
            </w:pPr>
          </w:p>
        </w:tc>
      </w:tr>
      <w:tr w14:paraId="53D1E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84" w:type="dxa"/>
            <w:vAlign w:val="top"/>
          </w:tcPr>
          <w:p w14:paraId="5177152F">
            <w:pPr>
              <w:spacing w:before="136"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887" w:type="dxa"/>
            <w:vMerge w:val="continue"/>
            <w:tcBorders>
              <w:top w:val="nil"/>
              <w:bottom w:val="nil"/>
            </w:tcBorders>
            <w:vAlign w:val="top"/>
          </w:tcPr>
          <w:p w14:paraId="268EDC13">
            <w:pPr>
              <w:rPr>
                <w:rFonts w:ascii="Arial"/>
                <w:sz w:val="21"/>
              </w:rPr>
            </w:pPr>
          </w:p>
        </w:tc>
        <w:tc>
          <w:tcPr>
            <w:tcW w:w="1172" w:type="dxa"/>
            <w:vAlign w:val="top"/>
          </w:tcPr>
          <w:p w14:paraId="0F52B110">
            <w:pPr>
              <w:pStyle w:val="6"/>
              <w:spacing w:before="100"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1C690322">
            <w:pPr>
              <w:pStyle w:val="6"/>
              <w:spacing w:before="100" w:line="221" w:lineRule="auto"/>
              <w:ind w:left="440"/>
            </w:pPr>
            <w:r>
              <w:rPr>
                <w:rFonts w:ascii="Times New Roman" w:hAnsi="Times New Roman" w:eastAsia="Times New Roman" w:cs="Times New Roman"/>
              </w:rPr>
              <w:t>pH</w:t>
            </w:r>
            <w:r>
              <w:rPr>
                <w:rFonts w:ascii="Times New Roman" w:hAnsi="Times New Roman" w:eastAsia="Times New Roman" w:cs="Times New Roman"/>
                <w:spacing w:val="-19"/>
              </w:rPr>
              <w:t xml:space="preserve"> </w:t>
            </w:r>
            <w:r>
              <w:rPr>
                <w:spacing w:val="8"/>
              </w:rPr>
              <w:t>、铅、锌、铜、汞、镉、铬、砷、镍；</w:t>
            </w:r>
          </w:p>
        </w:tc>
        <w:tc>
          <w:tcPr>
            <w:tcW w:w="1073" w:type="dxa"/>
            <w:vMerge w:val="continue"/>
            <w:tcBorders>
              <w:top w:val="nil"/>
              <w:bottom w:val="nil"/>
            </w:tcBorders>
            <w:vAlign w:val="top"/>
          </w:tcPr>
          <w:p w14:paraId="2189AD5A">
            <w:pPr>
              <w:rPr>
                <w:rFonts w:ascii="Arial"/>
                <w:sz w:val="21"/>
              </w:rPr>
            </w:pPr>
          </w:p>
        </w:tc>
      </w:tr>
      <w:tr w14:paraId="59DAA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84" w:type="dxa"/>
            <w:vAlign w:val="top"/>
          </w:tcPr>
          <w:p w14:paraId="4217A062">
            <w:pPr>
              <w:spacing w:before="134"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887" w:type="dxa"/>
            <w:vMerge w:val="continue"/>
            <w:tcBorders>
              <w:top w:val="nil"/>
            </w:tcBorders>
            <w:vAlign w:val="top"/>
          </w:tcPr>
          <w:p w14:paraId="6C70A899">
            <w:pPr>
              <w:rPr>
                <w:rFonts w:ascii="Arial"/>
                <w:sz w:val="21"/>
              </w:rPr>
            </w:pPr>
          </w:p>
        </w:tc>
        <w:tc>
          <w:tcPr>
            <w:tcW w:w="1172" w:type="dxa"/>
            <w:vAlign w:val="top"/>
          </w:tcPr>
          <w:p w14:paraId="73F67C5A">
            <w:pPr>
              <w:pStyle w:val="6"/>
              <w:spacing w:before="99" w:line="264" w:lineRule="exact"/>
              <w:ind w:left="219"/>
              <w:rPr>
                <w:rFonts w:ascii="Times New Roman" w:hAnsi="Times New Roman" w:eastAsia="Times New Roman" w:cs="Times New Roman"/>
              </w:rPr>
            </w:pPr>
            <w:r>
              <w:rPr>
                <w:rFonts w:ascii="Times New Roman" w:hAnsi="Times New Roman" w:eastAsia="Times New Roman" w:cs="Times New Roman"/>
                <w:spacing w:val="4"/>
                <w:position w:val="1"/>
              </w:rPr>
              <w:t>0</w:t>
            </w:r>
            <w:r>
              <w:rPr>
                <w:spacing w:val="4"/>
                <w:position w:val="1"/>
              </w:rPr>
              <w:t>～</w:t>
            </w:r>
            <w:r>
              <w:rPr>
                <w:rFonts w:ascii="Times New Roman" w:hAnsi="Times New Roman" w:eastAsia="Times New Roman" w:cs="Times New Roman"/>
                <w:spacing w:val="4"/>
                <w:position w:val="1"/>
              </w:rPr>
              <w:t>0.2m</w:t>
            </w:r>
          </w:p>
        </w:tc>
        <w:tc>
          <w:tcPr>
            <w:tcW w:w="4713" w:type="dxa"/>
            <w:vAlign w:val="top"/>
          </w:tcPr>
          <w:p w14:paraId="6BBC2B2D">
            <w:pPr>
              <w:pStyle w:val="6"/>
              <w:spacing w:before="99" w:line="221" w:lineRule="auto"/>
              <w:ind w:left="440"/>
            </w:pPr>
            <w:r>
              <w:rPr>
                <w:rFonts w:ascii="Times New Roman" w:hAnsi="Times New Roman" w:eastAsia="Times New Roman" w:cs="Times New Roman"/>
              </w:rPr>
              <w:t>pH</w:t>
            </w:r>
            <w:r>
              <w:rPr>
                <w:rFonts w:ascii="Times New Roman" w:hAnsi="Times New Roman" w:eastAsia="Times New Roman" w:cs="Times New Roman"/>
                <w:spacing w:val="-19"/>
              </w:rPr>
              <w:t xml:space="preserve"> </w:t>
            </w:r>
            <w:r>
              <w:rPr>
                <w:spacing w:val="8"/>
              </w:rPr>
              <w:t>、铅、锌、铜、汞、镉、铬、砷、镍；</w:t>
            </w:r>
          </w:p>
        </w:tc>
        <w:tc>
          <w:tcPr>
            <w:tcW w:w="1073" w:type="dxa"/>
            <w:vMerge w:val="continue"/>
            <w:tcBorders>
              <w:top w:val="nil"/>
            </w:tcBorders>
            <w:vAlign w:val="top"/>
          </w:tcPr>
          <w:p w14:paraId="19FF946F">
            <w:pPr>
              <w:rPr>
                <w:rFonts w:ascii="Arial"/>
                <w:sz w:val="21"/>
              </w:rPr>
            </w:pPr>
          </w:p>
        </w:tc>
      </w:tr>
    </w:tbl>
    <w:p w14:paraId="487C043E">
      <w:pPr>
        <w:pStyle w:val="2"/>
        <w:spacing w:line="347" w:lineRule="auto"/>
      </w:pPr>
    </w:p>
    <w:p w14:paraId="6B723285">
      <w:pPr>
        <w:spacing w:before="78" w:line="220" w:lineRule="auto"/>
        <w:ind w:left="61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）监测分析方法</w:t>
      </w:r>
    </w:p>
    <w:p w14:paraId="486F1B70">
      <w:pPr>
        <w:spacing w:before="181" w:line="219" w:lineRule="auto"/>
        <w:ind w:left="602"/>
        <w:rPr>
          <w:rFonts w:ascii="宋体" w:hAnsi="宋体" w:eastAsia="宋体" w:cs="宋体"/>
          <w:sz w:val="24"/>
          <w:szCs w:val="24"/>
        </w:rPr>
      </w:pPr>
      <w:r>
        <w:rPr>
          <w:rFonts w:ascii="宋体" w:hAnsi="宋体" w:eastAsia="宋体" w:cs="宋体"/>
          <w:spacing w:val="-1"/>
          <w:sz w:val="24"/>
          <w:szCs w:val="24"/>
        </w:rPr>
        <w:t>本项目监测分析方法及来源见表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6.3-1</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p>
    <w:p w14:paraId="0AF18AD1">
      <w:pPr>
        <w:spacing w:line="219" w:lineRule="auto"/>
        <w:rPr>
          <w:rFonts w:ascii="宋体" w:hAnsi="宋体" w:eastAsia="宋体" w:cs="宋体"/>
          <w:sz w:val="24"/>
          <w:szCs w:val="24"/>
        </w:rPr>
        <w:sectPr>
          <w:headerReference r:id="rId209" w:type="default"/>
          <w:footerReference r:id="rId210" w:type="default"/>
          <w:pgSz w:w="11906" w:h="16839"/>
          <w:pgMar w:top="1208" w:right="1686" w:bottom="957" w:left="1685" w:header="825" w:footer="795" w:gutter="0"/>
          <w:cols w:space="720" w:num="1"/>
        </w:sectPr>
      </w:pPr>
    </w:p>
    <w:p w14:paraId="12474BDD">
      <w:pPr>
        <w:spacing w:before="282" w:line="228" w:lineRule="auto"/>
        <w:ind w:left="2797"/>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spacing w:val="6"/>
          <w:sz w:val="20"/>
          <w:szCs w:val="20"/>
        </w:rPr>
        <w:t xml:space="preserve">6.3-15    </w:t>
      </w:r>
      <w:r>
        <w:rPr>
          <w:rFonts w:ascii="宋体" w:hAnsi="宋体" w:eastAsia="宋体" w:cs="宋体"/>
          <w:spacing w:val="6"/>
          <w:sz w:val="20"/>
          <w:szCs w:val="20"/>
        </w:rPr>
        <w:t>土壤分析方法、来源及检出限</w:t>
      </w:r>
    </w:p>
    <w:p w14:paraId="14194C65">
      <w:pPr>
        <w:spacing w:line="141" w:lineRule="auto"/>
        <w:rPr>
          <w:rFonts w:ascii="Arial"/>
          <w:sz w:val="2"/>
        </w:rPr>
      </w:pPr>
    </w:p>
    <w:tbl>
      <w:tblPr>
        <w:tblStyle w:val="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357"/>
        <w:gridCol w:w="3342"/>
        <w:gridCol w:w="995"/>
        <w:gridCol w:w="1782"/>
        <w:gridCol w:w="1403"/>
      </w:tblGrid>
      <w:tr w14:paraId="2599B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91" w:type="dxa"/>
            <w:textDirection w:val="tbRlV"/>
            <w:vAlign w:val="top"/>
          </w:tcPr>
          <w:p w14:paraId="247D24E5">
            <w:pPr>
              <w:pStyle w:val="6"/>
              <w:spacing w:before="188" w:line="218" w:lineRule="auto"/>
              <w:ind w:left="56"/>
            </w:pPr>
            <w:r>
              <w:rPr>
                <w:spacing w:val="6"/>
              </w:rPr>
              <w:t>序 号</w:t>
            </w:r>
          </w:p>
        </w:tc>
        <w:tc>
          <w:tcPr>
            <w:tcW w:w="1357" w:type="dxa"/>
            <w:vAlign w:val="top"/>
          </w:tcPr>
          <w:p w14:paraId="06335E2B">
            <w:pPr>
              <w:pStyle w:val="6"/>
              <w:spacing w:before="212" w:line="228" w:lineRule="auto"/>
              <w:ind w:left="260"/>
            </w:pPr>
            <w:r>
              <w:rPr>
                <w:spacing w:val="7"/>
              </w:rPr>
              <w:t>检测项目</w:t>
            </w:r>
          </w:p>
        </w:tc>
        <w:tc>
          <w:tcPr>
            <w:tcW w:w="3342" w:type="dxa"/>
            <w:vAlign w:val="top"/>
          </w:tcPr>
          <w:p w14:paraId="61D6A540">
            <w:pPr>
              <w:pStyle w:val="6"/>
              <w:spacing w:before="212" w:line="228" w:lineRule="auto"/>
              <w:ind w:left="1258"/>
            </w:pPr>
            <w:r>
              <w:rPr>
                <w:spacing w:val="6"/>
              </w:rPr>
              <w:t>分析方法</w:t>
            </w:r>
          </w:p>
        </w:tc>
        <w:tc>
          <w:tcPr>
            <w:tcW w:w="995" w:type="dxa"/>
            <w:vAlign w:val="top"/>
          </w:tcPr>
          <w:p w14:paraId="35D14DB7">
            <w:pPr>
              <w:pStyle w:val="6"/>
              <w:spacing w:before="56" w:line="228" w:lineRule="auto"/>
              <w:ind w:left="189"/>
            </w:pPr>
            <w:r>
              <w:rPr>
                <w:spacing w:val="6"/>
              </w:rPr>
              <w:t>检出限</w:t>
            </w:r>
          </w:p>
          <w:p w14:paraId="76AC2DBC">
            <w:pPr>
              <w:spacing w:before="97" w:line="201"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w:t>
            </w:r>
          </w:p>
        </w:tc>
        <w:tc>
          <w:tcPr>
            <w:tcW w:w="1782" w:type="dxa"/>
            <w:vAlign w:val="top"/>
          </w:tcPr>
          <w:p w14:paraId="2187EB47">
            <w:pPr>
              <w:pStyle w:val="6"/>
              <w:spacing w:before="57" w:line="261" w:lineRule="auto"/>
              <w:ind w:left="796" w:right="123" w:hanging="661"/>
            </w:pPr>
            <w:r>
              <w:rPr>
                <w:spacing w:val="7"/>
              </w:rPr>
              <w:t>仪器设备名称</w:t>
            </w:r>
            <w:r>
              <w:rPr>
                <w:rFonts w:ascii="Times New Roman" w:hAnsi="Times New Roman" w:eastAsia="Times New Roman" w:cs="Times New Roman"/>
                <w:spacing w:val="7"/>
              </w:rPr>
              <w:t>/</w:t>
            </w:r>
            <w:r>
              <w:rPr>
                <w:spacing w:val="7"/>
              </w:rPr>
              <w:t>型</w:t>
            </w:r>
            <w:r>
              <w:rPr>
                <w:spacing w:val="5"/>
              </w:rPr>
              <w:t xml:space="preserve"> </w:t>
            </w:r>
            <w:r>
              <w:t>号</w:t>
            </w:r>
          </w:p>
        </w:tc>
        <w:tc>
          <w:tcPr>
            <w:tcW w:w="1403" w:type="dxa"/>
            <w:vAlign w:val="top"/>
          </w:tcPr>
          <w:p w14:paraId="441D8A3A">
            <w:pPr>
              <w:pStyle w:val="6"/>
              <w:spacing w:before="56" w:line="228" w:lineRule="auto"/>
              <w:ind w:left="182"/>
            </w:pPr>
            <w:r>
              <w:rPr>
                <w:spacing w:val="7"/>
              </w:rPr>
              <w:t>仪器管理编</w:t>
            </w:r>
          </w:p>
          <w:p w14:paraId="0475D59C">
            <w:pPr>
              <w:pStyle w:val="6"/>
              <w:spacing w:before="65" w:line="229" w:lineRule="auto"/>
              <w:ind w:left="606"/>
            </w:pPr>
            <w:r>
              <w:t>号</w:t>
            </w:r>
          </w:p>
        </w:tc>
      </w:tr>
      <w:tr w14:paraId="488F7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4A461B54">
            <w:pPr>
              <w:spacing w:line="340" w:lineRule="auto"/>
              <w:rPr>
                <w:rFonts w:ascii="Arial"/>
                <w:sz w:val="21"/>
              </w:rPr>
            </w:pPr>
          </w:p>
          <w:p w14:paraId="602736DC">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57" w:type="dxa"/>
            <w:vAlign w:val="top"/>
          </w:tcPr>
          <w:p w14:paraId="7BEB13F6">
            <w:pPr>
              <w:spacing w:line="297" w:lineRule="auto"/>
              <w:rPr>
                <w:rFonts w:ascii="Arial"/>
                <w:sz w:val="21"/>
              </w:rPr>
            </w:pPr>
          </w:p>
          <w:p w14:paraId="65700008">
            <w:pPr>
              <w:pStyle w:val="6"/>
              <w:spacing w:before="65" w:line="228" w:lineRule="auto"/>
              <w:ind w:left="477"/>
            </w:pPr>
            <w:r>
              <w:rPr>
                <w:spacing w:val="2"/>
              </w:rPr>
              <w:t>总砷</w:t>
            </w:r>
          </w:p>
        </w:tc>
        <w:tc>
          <w:tcPr>
            <w:tcW w:w="3342" w:type="dxa"/>
            <w:vAlign w:val="top"/>
          </w:tcPr>
          <w:p w14:paraId="47C126C4">
            <w:pPr>
              <w:pStyle w:val="6"/>
              <w:spacing w:before="52" w:line="270" w:lineRule="auto"/>
              <w:ind w:left="111" w:right="84" w:firstLine="45"/>
              <w:jc w:val="both"/>
            </w:pPr>
            <w:r>
              <w:rPr>
                <w:spacing w:val="8"/>
              </w:rPr>
              <w:t>《土壤质量 总汞、总砷、总铅的</w:t>
            </w:r>
            <w:r>
              <w:rPr>
                <w:spacing w:val="11"/>
              </w:rPr>
              <w:t xml:space="preserve"> </w:t>
            </w:r>
            <w:r>
              <w:rPr>
                <w:spacing w:val="2"/>
              </w:rPr>
              <w:t>测定原子荧光法》第</w:t>
            </w:r>
            <w:r>
              <w:rPr>
                <w:spacing w:val="-3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4"/>
                <w:w w:val="101"/>
              </w:rPr>
              <w:t xml:space="preserve"> </w:t>
            </w:r>
            <w:r>
              <w:rPr>
                <w:spacing w:val="2"/>
              </w:rPr>
              <w:t>部分</w:t>
            </w:r>
            <w:r>
              <w:rPr>
                <w:rFonts w:ascii="Times New Roman" w:hAnsi="Times New Roman" w:eastAsia="Times New Roman" w:cs="Times New Roman"/>
                <w:spacing w:val="2"/>
              </w:rPr>
              <w:t>:</w:t>
            </w:r>
            <w:r>
              <w:rPr>
                <w:spacing w:val="2"/>
              </w:rPr>
              <w:t>土壤中</w:t>
            </w:r>
            <w:r>
              <w:t xml:space="preserve"> </w:t>
            </w:r>
            <w:r>
              <w:rPr>
                <w:spacing w:val="5"/>
              </w:rPr>
              <w:t>总砷的测定（</w:t>
            </w:r>
            <w:r>
              <w:rPr>
                <w:rFonts w:ascii="Times New Roman" w:hAnsi="Times New Roman" w:eastAsia="Times New Roman" w:cs="Times New Roman"/>
              </w:rPr>
              <w:t>GB</w:t>
            </w:r>
            <w:r>
              <w:rPr>
                <w:rFonts w:ascii="Times New Roman" w:hAnsi="Times New Roman" w:eastAsia="Times New Roman" w:cs="Times New Roman"/>
                <w:spacing w:val="5"/>
              </w:rPr>
              <w:t>/T 22105.2-2008</w:t>
            </w:r>
            <w:r>
              <w:rPr>
                <w:spacing w:val="5"/>
              </w:rPr>
              <w:t>）</w:t>
            </w:r>
          </w:p>
        </w:tc>
        <w:tc>
          <w:tcPr>
            <w:tcW w:w="995" w:type="dxa"/>
            <w:vAlign w:val="top"/>
          </w:tcPr>
          <w:p w14:paraId="50185584">
            <w:pPr>
              <w:spacing w:line="340" w:lineRule="auto"/>
              <w:rPr>
                <w:rFonts w:ascii="Arial"/>
                <w:sz w:val="21"/>
              </w:rPr>
            </w:pPr>
          </w:p>
          <w:p w14:paraId="0E2E09BA">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782" w:type="dxa"/>
            <w:vAlign w:val="top"/>
          </w:tcPr>
          <w:p w14:paraId="55732F06">
            <w:pPr>
              <w:pStyle w:val="6"/>
              <w:spacing w:before="207" w:line="306" w:lineRule="auto"/>
              <w:ind w:left="421" w:right="152" w:hanging="253"/>
              <w:rPr>
                <w:rFonts w:ascii="Times New Roman" w:hAnsi="Times New Roman" w:eastAsia="Times New Roman" w:cs="Times New Roman"/>
              </w:rPr>
            </w:pPr>
            <w:r>
              <w:rPr>
                <w:spacing w:val="7"/>
              </w:rPr>
              <w:t>原子荧光光度计</w:t>
            </w:r>
            <w:r>
              <w:rPr>
                <w:spacing w:val="5"/>
              </w:rPr>
              <w:t xml:space="preserve"> </w:t>
            </w:r>
            <w:r>
              <w:rPr>
                <w:rFonts w:ascii="Times New Roman" w:hAnsi="Times New Roman" w:eastAsia="Times New Roman" w:cs="Times New Roman"/>
                <w:spacing w:val="7"/>
              </w:rPr>
              <w:t>/</w:t>
            </w:r>
            <w:r>
              <w:rPr>
                <w:rFonts w:ascii="Times New Roman" w:hAnsi="Times New Roman" w:eastAsia="Times New Roman" w:cs="Times New Roman"/>
              </w:rPr>
              <w:t>AFS</w:t>
            </w:r>
            <w:r>
              <w:rPr>
                <w:rFonts w:ascii="Times New Roman" w:hAnsi="Times New Roman" w:eastAsia="Times New Roman" w:cs="Times New Roman"/>
                <w:spacing w:val="7"/>
              </w:rPr>
              <w:t>-8220</w:t>
            </w:r>
          </w:p>
        </w:tc>
        <w:tc>
          <w:tcPr>
            <w:tcW w:w="1403" w:type="dxa"/>
            <w:vAlign w:val="top"/>
          </w:tcPr>
          <w:p w14:paraId="375E9240">
            <w:pPr>
              <w:spacing w:line="340" w:lineRule="auto"/>
              <w:rPr>
                <w:rFonts w:ascii="Arial"/>
                <w:sz w:val="21"/>
              </w:rPr>
            </w:pPr>
          </w:p>
          <w:p w14:paraId="45A1FBCB">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-003-A</w:t>
            </w:r>
          </w:p>
        </w:tc>
      </w:tr>
      <w:tr w14:paraId="02C22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7D0AA77F">
            <w:pPr>
              <w:spacing w:line="340" w:lineRule="auto"/>
              <w:rPr>
                <w:rFonts w:ascii="Arial"/>
                <w:sz w:val="21"/>
              </w:rPr>
            </w:pPr>
          </w:p>
          <w:p w14:paraId="225B4AAF">
            <w:pPr>
              <w:spacing w:before="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57" w:type="dxa"/>
            <w:vAlign w:val="top"/>
          </w:tcPr>
          <w:p w14:paraId="4BB6D1A9">
            <w:pPr>
              <w:spacing w:line="297" w:lineRule="auto"/>
              <w:rPr>
                <w:rFonts w:ascii="Arial"/>
                <w:sz w:val="21"/>
              </w:rPr>
            </w:pPr>
          </w:p>
          <w:p w14:paraId="33FAFD50">
            <w:pPr>
              <w:pStyle w:val="6"/>
              <w:spacing w:before="65" w:line="231" w:lineRule="auto"/>
              <w:ind w:left="576"/>
            </w:pPr>
            <w:r>
              <w:rPr>
                <w:spacing w:val="2"/>
              </w:rPr>
              <w:t>镉</w:t>
            </w:r>
          </w:p>
        </w:tc>
        <w:tc>
          <w:tcPr>
            <w:tcW w:w="3342" w:type="dxa"/>
            <w:vAlign w:val="top"/>
          </w:tcPr>
          <w:p w14:paraId="197CB442">
            <w:pPr>
              <w:pStyle w:val="6"/>
              <w:spacing w:before="53" w:line="228" w:lineRule="auto"/>
              <w:ind w:left="157"/>
            </w:pPr>
            <w:r>
              <w:rPr>
                <w:spacing w:val="8"/>
              </w:rPr>
              <w:t>《土壤质量 铅、镉的测定石墨炉</w:t>
            </w:r>
          </w:p>
          <w:p w14:paraId="3EE10D7F">
            <w:pPr>
              <w:pStyle w:val="6"/>
              <w:spacing w:before="64" w:line="228" w:lineRule="auto"/>
              <w:ind w:left="288"/>
              <w:rPr>
                <w:rFonts w:ascii="Times New Roman" w:hAnsi="Times New Roman" w:eastAsia="Times New Roman" w:cs="Times New Roman"/>
              </w:rPr>
            </w:pPr>
            <w:r>
              <w:rPr>
                <w:spacing w:val="8"/>
              </w:rPr>
              <w:t>原子吸收分光光度法》（</w:t>
            </w:r>
            <w:r>
              <w:rPr>
                <w:rFonts w:ascii="Times New Roman" w:hAnsi="Times New Roman" w:eastAsia="Times New Roman" w:cs="Times New Roman"/>
              </w:rPr>
              <w:t>GB</w:t>
            </w:r>
            <w:r>
              <w:rPr>
                <w:rFonts w:ascii="Times New Roman" w:hAnsi="Times New Roman" w:eastAsia="Times New Roman" w:cs="Times New Roman"/>
                <w:spacing w:val="8"/>
              </w:rPr>
              <w:t>/T</w:t>
            </w:r>
          </w:p>
          <w:p w14:paraId="2CE843F1">
            <w:pPr>
              <w:pStyle w:val="6"/>
              <w:spacing w:before="65" w:line="235" w:lineRule="auto"/>
              <w:ind w:left="1080"/>
            </w:pPr>
            <w:r>
              <w:rPr>
                <w:rFonts w:ascii="Times New Roman" w:hAnsi="Times New Roman" w:eastAsia="Times New Roman" w:cs="Times New Roman"/>
                <w:spacing w:val="2"/>
              </w:rPr>
              <w:t>17141-1997</w:t>
            </w:r>
            <w:r>
              <w:rPr>
                <w:spacing w:val="2"/>
              </w:rPr>
              <w:t>）</w:t>
            </w:r>
          </w:p>
        </w:tc>
        <w:tc>
          <w:tcPr>
            <w:tcW w:w="995" w:type="dxa"/>
            <w:vAlign w:val="top"/>
          </w:tcPr>
          <w:p w14:paraId="3755B449">
            <w:pPr>
              <w:spacing w:line="340" w:lineRule="auto"/>
              <w:rPr>
                <w:rFonts w:ascii="Arial"/>
                <w:sz w:val="21"/>
              </w:rPr>
            </w:pPr>
          </w:p>
          <w:p w14:paraId="4E15CFB1">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782" w:type="dxa"/>
            <w:vAlign w:val="top"/>
          </w:tcPr>
          <w:p w14:paraId="5352D27E">
            <w:pPr>
              <w:pStyle w:val="6"/>
              <w:spacing w:before="209" w:line="289" w:lineRule="auto"/>
              <w:ind w:left="141" w:right="129" w:firstLine="23"/>
              <w:rPr>
                <w:rFonts w:ascii="Times New Roman" w:hAnsi="Times New Roman" w:eastAsia="Times New Roman" w:cs="Times New Roman"/>
              </w:rPr>
            </w:pPr>
            <w:r>
              <w:rPr>
                <w:spacing w:val="8"/>
              </w:rPr>
              <w:t>石墨炉原子吸收</w:t>
            </w:r>
            <w:r>
              <w:t xml:space="preserve"> </w:t>
            </w:r>
            <w:r>
              <w:rPr>
                <w:spacing w:val="6"/>
              </w:rPr>
              <w:t>光谱仪</w:t>
            </w:r>
            <w:r>
              <w:rPr>
                <w:rFonts w:ascii="Times New Roman" w:hAnsi="Times New Roman" w:eastAsia="Times New Roman" w:cs="Times New Roman"/>
                <w:spacing w:val="6"/>
              </w:rPr>
              <w:t>/</w:t>
            </w:r>
            <w:r>
              <w:rPr>
                <w:rFonts w:ascii="Times New Roman" w:hAnsi="Times New Roman" w:eastAsia="Times New Roman" w:cs="Times New Roman"/>
              </w:rPr>
              <w:t>ICE</w:t>
            </w:r>
            <w:r>
              <w:rPr>
                <w:rFonts w:ascii="Times New Roman" w:hAnsi="Times New Roman" w:eastAsia="Times New Roman" w:cs="Times New Roman"/>
                <w:spacing w:val="6"/>
              </w:rPr>
              <w:t>-3500</w:t>
            </w:r>
          </w:p>
        </w:tc>
        <w:tc>
          <w:tcPr>
            <w:tcW w:w="1403" w:type="dxa"/>
            <w:vAlign w:val="top"/>
          </w:tcPr>
          <w:p w14:paraId="7943A44C">
            <w:pPr>
              <w:spacing w:line="340" w:lineRule="auto"/>
              <w:rPr>
                <w:rFonts w:ascii="Arial"/>
                <w:sz w:val="21"/>
              </w:rPr>
            </w:pPr>
          </w:p>
          <w:p w14:paraId="675B34DE">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-020-A</w:t>
            </w:r>
          </w:p>
        </w:tc>
      </w:tr>
      <w:tr w14:paraId="2DC3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C3936B1">
            <w:pPr>
              <w:spacing w:line="340" w:lineRule="auto"/>
              <w:rPr>
                <w:rFonts w:ascii="Arial"/>
                <w:sz w:val="21"/>
              </w:rPr>
            </w:pPr>
          </w:p>
          <w:p w14:paraId="79C321B5">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57" w:type="dxa"/>
            <w:vAlign w:val="top"/>
          </w:tcPr>
          <w:p w14:paraId="2D8175E0">
            <w:pPr>
              <w:spacing w:line="297" w:lineRule="auto"/>
              <w:rPr>
                <w:rFonts w:ascii="Arial"/>
                <w:sz w:val="21"/>
              </w:rPr>
            </w:pPr>
          </w:p>
          <w:p w14:paraId="17045F63">
            <w:pPr>
              <w:pStyle w:val="6"/>
              <w:spacing w:before="65" w:line="226" w:lineRule="auto"/>
              <w:ind w:left="368"/>
            </w:pPr>
            <w:r>
              <w:rPr>
                <w:spacing w:val="6"/>
              </w:rPr>
              <w:t>六价铬</w:t>
            </w:r>
          </w:p>
        </w:tc>
        <w:tc>
          <w:tcPr>
            <w:tcW w:w="3342" w:type="dxa"/>
            <w:vAlign w:val="top"/>
          </w:tcPr>
          <w:p w14:paraId="72556693">
            <w:pPr>
              <w:pStyle w:val="6"/>
              <w:spacing w:before="52" w:line="226" w:lineRule="auto"/>
              <w:ind w:left="262"/>
            </w:pPr>
            <w:r>
              <w:rPr>
                <w:spacing w:val="8"/>
              </w:rPr>
              <w:t>《土壤和沉积物 六价铬的测定</w:t>
            </w:r>
          </w:p>
          <w:p w14:paraId="485313A6">
            <w:pPr>
              <w:pStyle w:val="6"/>
              <w:spacing w:before="66" w:line="228" w:lineRule="auto"/>
              <w:ind w:left="169"/>
            </w:pPr>
            <w:r>
              <w:rPr>
                <w:spacing w:val="8"/>
              </w:rPr>
              <w:t>碱溶液提取</w:t>
            </w:r>
            <w:r>
              <w:rPr>
                <w:rFonts w:ascii="Times New Roman" w:hAnsi="Times New Roman" w:eastAsia="Times New Roman" w:cs="Times New Roman"/>
                <w:spacing w:val="8"/>
              </w:rPr>
              <w:t>-</w:t>
            </w:r>
            <w:r>
              <w:rPr>
                <w:spacing w:val="8"/>
              </w:rPr>
              <w:t>火焰原子吸收分光光</w:t>
            </w:r>
          </w:p>
          <w:p w14:paraId="1E95477E">
            <w:pPr>
              <w:pStyle w:val="6"/>
              <w:spacing w:before="65" w:line="228" w:lineRule="auto"/>
              <w:ind w:left="551"/>
            </w:pPr>
            <w:r>
              <w:rPr>
                <w:spacing w:val="4"/>
              </w:rPr>
              <w:t>度法》（</w:t>
            </w:r>
            <w:r>
              <w:rPr>
                <w:rFonts w:ascii="Times New Roman" w:hAnsi="Times New Roman" w:eastAsia="Times New Roman" w:cs="Times New Roman"/>
              </w:rPr>
              <w:t>HJ</w:t>
            </w:r>
            <w:r>
              <w:rPr>
                <w:rFonts w:ascii="Times New Roman" w:hAnsi="Times New Roman" w:eastAsia="Times New Roman" w:cs="Times New Roman"/>
                <w:spacing w:val="30"/>
                <w:w w:val="101"/>
              </w:rPr>
              <w:t xml:space="preserve"> </w:t>
            </w:r>
            <w:r>
              <w:rPr>
                <w:rFonts w:ascii="Times New Roman" w:hAnsi="Times New Roman" w:eastAsia="Times New Roman" w:cs="Times New Roman"/>
                <w:spacing w:val="4"/>
              </w:rPr>
              <w:t>1082-2019</w:t>
            </w:r>
            <w:r>
              <w:rPr>
                <w:spacing w:val="4"/>
              </w:rPr>
              <w:t>）</w:t>
            </w:r>
          </w:p>
        </w:tc>
        <w:tc>
          <w:tcPr>
            <w:tcW w:w="995" w:type="dxa"/>
            <w:vAlign w:val="top"/>
          </w:tcPr>
          <w:p w14:paraId="0AB6193A">
            <w:pPr>
              <w:spacing w:line="340" w:lineRule="auto"/>
              <w:rPr>
                <w:rFonts w:ascii="Arial"/>
                <w:sz w:val="21"/>
              </w:rPr>
            </w:pPr>
          </w:p>
          <w:p w14:paraId="2251E615">
            <w:pPr>
              <w:spacing w:before="58"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782" w:type="dxa"/>
            <w:vAlign w:val="top"/>
          </w:tcPr>
          <w:p w14:paraId="12F39529">
            <w:pPr>
              <w:pStyle w:val="6"/>
              <w:spacing w:before="207"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79850D66">
            <w:pPr>
              <w:spacing w:line="340" w:lineRule="auto"/>
              <w:rPr>
                <w:rFonts w:ascii="Arial"/>
                <w:sz w:val="21"/>
              </w:rPr>
            </w:pPr>
          </w:p>
          <w:p w14:paraId="0648B99A">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15AAC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50BC8C12">
            <w:pPr>
              <w:spacing w:line="343" w:lineRule="auto"/>
              <w:rPr>
                <w:rFonts w:ascii="Arial"/>
                <w:sz w:val="21"/>
              </w:rPr>
            </w:pPr>
          </w:p>
          <w:p w14:paraId="03252737">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57" w:type="dxa"/>
            <w:vAlign w:val="top"/>
          </w:tcPr>
          <w:p w14:paraId="0C394680">
            <w:pPr>
              <w:spacing w:line="300" w:lineRule="auto"/>
              <w:rPr>
                <w:rFonts w:ascii="Arial"/>
                <w:sz w:val="21"/>
              </w:rPr>
            </w:pPr>
          </w:p>
          <w:p w14:paraId="30B9147C">
            <w:pPr>
              <w:pStyle w:val="6"/>
              <w:spacing w:before="65" w:line="229" w:lineRule="auto"/>
              <w:ind w:left="577"/>
            </w:pPr>
            <w:r>
              <w:t>铜</w:t>
            </w:r>
          </w:p>
        </w:tc>
        <w:tc>
          <w:tcPr>
            <w:tcW w:w="3342" w:type="dxa"/>
            <w:vAlign w:val="top"/>
          </w:tcPr>
          <w:p w14:paraId="1285BB90">
            <w:pPr>
              <w:pStyle w:val="6"/>
              <w:spacing w:before="55" w:line="228" w:lineRule="auto"/>
              <w:ind w:left="116"/>
            </w:pPr>
            <w:r>
              <w:rPr>
                <w:spacing w:val="8"/>
              </w:rPr>
              <w:t>《土壤和沉积物铜、锌、铅、镍、</w:t>
            </w:r>
          </w:p>
          <w:p w14:paraId="4B70E323">
            <w:pPr>
              <w:pStyle w:val="6"/>
              <w:spacing w:before="64" w:line="228" w:lineRule="auto"/>
              <w:ind w:left="203"/>
            </w:pPr>
            <w:r>
              <w:rPr>
                <w:spacing w:val="9"/>
              </w:rPr>
              <w:t>铬的测定火焰原子吸收分光光度</w:t>
            </w:r>
          </w:p>
          <w:p w14:paraId="6D728E21">
            <w:pPr>
              <w:pStyle w:val="6"/>
              <w:spacing w:before="64" w:line="231"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033A0005">
            <w:pPr>
              <w:spacing w:line="343" w:lineRule="auto"/>
              <w:rPr>
                <w:rFonts w:ascii="Arial"/>
                <w:sz w:val="21"/>
              </w:rPr>
            </w:pPr>
          </w:p>
          <w:p w14:paraId="2C516BD2">
            <w:pPr>
              <w:spacing w:before="58" w:line="195"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82" w:type="dxa"/>
            <w:vAlign w:val="top"/>
          </w:tcPr>
          <w:p w14:paraId="1CD9CE2B">
            <w:pPr>
              <w:pStyle w:val="6"/>
              <w:spacing w:before="210"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0BF44227">
            <w:pPr>
              <w:spacing w:line="343" w:lineRule="auto"/>
              <w:rPr>
                <w:rFonts w:ascii="Arial"/>
                <w:sz w:val="21"/>
              </w:rPr>
            </w:pPr>
          </w:p>
          <w:p w14:paraId="30014E72">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6EFDA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66675723">
            <w:pPr>
              <w:spacing w:line="345" w:lineRule="auto"/>
              <w:rPr>
                <w:rFonts w:ascii="Arial"/>
                <w:sz w:val="21"/>
              </w:rPr>
            </w:pPr>
          </w:p>
          <w:p w14:paraId="22D03464">
            <w:pPr>
              <w:spacing w:before="58" w:line="192"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57" w:type="dxa"/>
            <w:vAlign w:val="top"/>
          </w:tcPr>
          <w:p w14:paraId="284D1B84">
            <w:pPr>
              <w:spacing w:line="299" w:lineRule="auto"/>
              <w:rPr>
                <w:rFonts w:ascii="Arial"/>
                <w:sz w:val="21"/>
              </w:rPr>
            </w:pPr>
          </w:p>
          <w:p w14:paraId="554292A7">
            <w:pPr>
              <w:pStyle w:val="6"/>
              <w:spacing w:before="65" w:line="232" w:lineRule="auto"/>
              <w:ind w:left="577"/>
            </w:pPr>
            <w:r>
              <w:t>铅</w:t>
            </w:r>
          </w:p>
        </w:tc>
        <w:tc>
          <w:tcPr>
            <w:tcW w:w="3342" w:type="dxa"/>
            <w:vAlign w:val="top"/>
          </w:tcPr>
          <w:p w14:paraId="3DDF085B">
            <w:pPr>
              <w:pStyle w:val="6"/>
              <w:spacing w:before="55" w:line="228" w:lineRule="auto"/>
              <w:ind w:right="12"/>
              <w:jc w:val="right"/>
            </w:pPr>
            <w:r>
              <w:rPr>
                <w:spacing w:val="6"/>
              </w:rPr>
              <w:t>《土壤和沉积物 铜、锌、铅、镍、</w:t>
            </w:r>
          </w:p>
          <w:p w14:paraId="4638ED41">
            <w:pPr>
              <w:pStyle w:val="6"/>
              <w:spacing w:before="64" w:line="228" w:lineRule="auto"/>
              <w:ind w:left="151"/>
            </w:pPr>
            <w:r>
              <w:rPr>
                <w:spacing w:val="9"/>
              </w:rPr>
              <w:t>铬的测定 火焰原子吸收分光光度</w:t>
            </w:r>
          </w:p>
          <w:p w14:paraId="1533545F">
            <w:pPr>
              <w:pStyle w:val="6"/>
              <w:spacing w:before="64" w:line="231"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4760EF48">
            <w:pPr>
              <w:spacing w:line="343" w:lineRule="auto"/>
              <w:rPr>
                <w:rFonts w:ascii="Arial"/>
                <w:sz w:val="21"/>
              </w:rPr>
            </w:pPr>
          </w:p>
          <w:p w14:paraId="7ABEF704">
            <w:pPr>
              <w:spacing w:before="57"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82" w:type="dxa"/>
            <w:vAlign w:val="top"/>
          </w:tcPr>
          <w:p w14:paraId="44D6A0C8">
            <w:pPr>
              <w:pStyle w:val="6"/>
              <w:spacing w:before="210"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1A80742D">
            <w:pPr>
              <w:spacing w:line="343" w:lineRule="auto"/>
              <w:rPr>
                <w:rFonts w:ascii="Arial"/>
                <w:sz w:val="21"/>
              </w:rPr>
            </w:pPr>
          </w:p>
          <w:p w14:paraId="0861035B">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6BE6B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91" w:type="dxa"/>
            <w:vAlign w:val="top"/>
          </w:tcPr>
          <w:p w14:paraId="2C87FBB9">
            <w:pPr>
              <w:spacing w:line="248" w:lineRule="auto"/>
              <w:rPr>
                <w:rFonts w:ascii="Arial"/>
                <w:sz w:val="21"/>
              </w:rPr>
            </w:pPr>
          </w:p>
          <w:p w14:paraId="24263D4C">
            <w:pPr>
              <w:spacing w:line="249" w:lineRule="auto"/>
              <w:rPr>
                <w:rFonts w:ascii="Arial"/>
                <w:sz w:val="21"/>
              </w:rPr>
            </w:pPr>
          </w:p>
          <w:p w14:paraId="0C95A29B">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57" w:type="dxa"/>
            <w:vAlign w:val="top"/>
          </w:tcPr>
          <w:p w14:paraId="2E2A2CE6">
            <w:pPr>
              <w:spacing w:line="455" w:lineRule="auto"/>
              <w:rPr>
                <w:rFonts w:ascii="Arial"/>
                <w:sz w:val="21"/>
              </w:rPr>
            </w:pPr>
          </w:p>
          <w:p w14:paraId="682952EB">
            <w:pPr>
              <w:pStyle w:val="6"/>
              <w:spacing w:before="65" w:line="228" w:lineRule="auto"/>
              <w:ind w:left="477"/>
            </w:pPr>
            <w:r>
              <w:rPr>
                <w:spacing w:val="2"/>
              </w:rPr>
              <w:t>总汞</w:t>
            </w:r>
          </w:p>
        </w:tc>
        <w:tc>
          <w:tcPr>
            <w:tcW w:w="3342" w:type="dxa"/>
            <w:vAlign w:val="top"/>
          </w:tcPr>
          <w:p w14:paraId="03E3E227">
            <w:pPr>
              <w:pStyle w:val="6"/>
              <w:spacing w:before="54" w:line="228" w:lineRule="auto"/>
              <w:ind w:left="157"/>
            </w:pPr>
            <w:r>
              <w:rPr>
                <w:spacing w:val="8"/>
              </w:rPr>
              <w:t>《土壤质量 总汞、总砷、总铅的</w:t>
            </w:r>
          </w:p>
          <w:p w14:paraId="5EED79DF">
            <w:pPr>
              <w:pStyle w:val="6"/>
              <w:spacing w:before="64" w:line="228" w:lineRule="auto"/>
              <w:ind w:left="152"/>
            </w:pPr>
            <w:r>
              <w:rPr>
                <w:spacing w:val="6"/>
              </w:rPr>
              <w:t>测定原子荧光法》 第</w:t>
            </w:r>
            <w:r>
              <w:rPr>
                <w:spacing w:val="-2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rPr>
              <w:t xml:space="preserve"> </w:t>
            </w:r>
            <w:r>
              <w:rPr>
                <w:spacing w:val="6"/>
              </w:rPr>
              <w:t>部分：土</w:t>
            </w:r>
          </w:p>
          <w:p w14:paraId="53117A81">
            <w:pPr>
              <w:pStyle w:val="6"/>
              <w:spacing w:before="65" w:line="228" w:lineRule="auto"/>
              <w:ind w:left="492"/>
              <w:rPr>
                <w:rFonts w:ascii="Times New Roman" w:hAnsi="Times New Roman" w:eastAsia="Times New Roman" w:cs="Times New Roman"/>
              </w:rPr>
            </w:pPr>
            <w:r>
              <w:rPr>
                <w:spacing w:val="12"/>
              </w:rPr>
              <w:t>壤中总汞的测定</w:t>
            </w:r>
            <w:r>
              <w:rPr>
                <w:spacing w:val="-4"/>
              </w:rPr>
              <w:t>）（</w:t>
            </w:r>
            <w:r>
              <w:rPr>
                <w:rFonts w:ascii="Times New Roman" w:hAnsi="Times New Roman" w:eastAsia="Times New Roman" w:cs="Times New Roman"/>
              </w:rPr>
              <w:t>GB</w:t>
            </w:r>
            <w:r>
              <w:rPr>
                <w:rFonts w:ascii="Times New Roman" w:hAnsi="Times New Roman" w:eastAsia="Times New Roman" w:cs="Times New Roman"/>
                <w:spacing w:val="12"/>
              </w:rPr>
              <w:t>/T</w:t>
            </w:r>
          </w:p>
          <w:p w14:paraId="7E5A9A6A">
            <w:pPr>
              <w:pStyle w:val="6"/>
              <w:spacing w:before="64" w:line="232" w:lineRule="auto"/>
              <w:ind w:left="980"/>
            </w:pPr>
            <w:r>
              <w:rPr>
                <w:rFonts w:ascii="Times New Roman" w:hAnsi="Times New Roman" w:eastAsia="Times New Roman" w:cs="Times New Roman"/>
                <w:spacing w:val="2"/>
              </w:rPr>
              <w:t>22105.</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1-2008</w:t>
            </w:r>
            <w:r>
              <w:rPr>
                <w:spacing w:val="2"/>
              </w:rPr>
              <w:t>）</w:t>
            </w:r>
          </w:p>
        </w:tc>
        <w:tc>
          <w:tcPr>
            <w:tcW w:w="995" w:type="dxa"/>
            <w:vAlign w:val="top"/>
          </w:tcPr>
          <w:p w14:paraId="0F840B9B">
            <w:pPr>
              <w:spacing w:line="248" w:lineRule="auto"/>
              <w:rPr>
                <w:rFonts w:ascii="Arial"/>
                <w:sz w:val="21"/>
              </w:rPr>
            </w:pPr>
          </w:p>
          <w:p w14:paraId="247E861F">
            <w:pPr>
              <w:spacing w:line="249" w:lineRule="auto"/>
              <w:rPr>
                <w:rFonts w:ascii="Arial"/>
                <w:sz w:val="21"/>
              </w:rPr>
            </w:pPr>
          </w:p>
          <w:p w14:paraId="439C2257">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782" w:type="dxa"/>
            <w:vAlign w:val="top"/>
          </w:tcPr>
          <w:p w14:paraId="2F922141">
            <w:pPr>
              <w:spacing w:line="298" w:lineRule="auto"/>
              <w:rPr>
                <w:rFonts w:ascii="Arial"/>
                <w:sz w:val="21"/>
              </w:rPr>
            </w:pPr>
          </w:p>
          <w:p w14:paraId="46199DF5">
            <w:pPr>
              <w:pStyle w:val="6"/>
              <w:spacing w:before="65" w:line="306" w:lineRule="auto"/>
              <w:ind w:left="421" w:right="152" w:hanging="253"/>
              <w:rPr>
                <w:rFonts w:ascii="Times New Roman" w:hAnsi="Times New Roman" w:eastAsia="Times New Roman" w:cs="Times New Roman"/>
              </w:rPr>
            </w:pPr>
            <w:r>
              <w:rPr>
                <w:spacing w:val="7"/>
              </w:rPr>
              <w:t>原子荧光光度计</w:t>
            </w:r>
            <w:r>
              <w:rPr>
                <w:spacing w:val="5"/>
              </w:rPr>
              <w:t xml:space="preserve"> </w:t>
            </w:r>
            <w:r>
              <w:rPr>
                <w:rFonts w:ascii="Times New Roman" w:hAnsi="Times New Roman" w:eastAsia="Times New Roman" w:cs="Times New Roman"/>
                <w:spacing w:val="7"/>
              </w:rPr>
              <w:t>/</w:t>
            </w:r>
            <w:r>
              <w:rPr>
                <w:rFonts w:ascii="Times New Roman" w:hAnsi="Times New Roman" w:eastAsia="Times New Roman" w:cs="Times New Roman"/>
              </w:rPr>
              <w:t>AFS</w:t>
            </w:r>
            <w:r>
              <w:rPr>
                <w:rFonts w:ascii="Times New Roman" w:hAnsi="Times New Roman" w:eastAsia="Times New Roman" w:cs="Times New Roman"/>
                <w:spacing w:val="7"/>
              </w:rPr>
              <w:t>-8220</w:t>
            </w:r>
          </w:p>
        </w:tc>
        <w:tc>
          <w:tcPr>
            <w:tcW w:w="1403" w:type="dxa"/>
            <w:vAlign w:val="top"/>
          </w:tcPr>
          <w:p w14:paraId="58339F20">
            <w:pPr>
              <w:spacing w:line="248" w:lineRule="auto"/>
              <w:rPr>
                <w:rFonts w:ascii="Arial"/>
                <w:sz w:val="21"/>
              </w:rPr>
            </w:pPr>
          </w:p>
          <w:p w14:paraId="0CA4135B">
            <w:pPr>
              <w:spacing w:line="249" w:lineRule="auto"/>
              <w:rPr>
                <w:rFonts w:ascii="Arial"/>
                <w:sz w:val="21"/>
              </w:rPr>
            </w:pPr>
          </w:p>
          <w:p w14:paraId="52E290BE">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-003-A</w:t>
            </w:r>
          </w:p>
        </w:tc>
      </w:tr>
      <w:tr w14:paraId="6D4D4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586B369C">
            <w:pPr>
              <w:spacing w:line="346" w:lineRule="auto"/>
              <w:rPr>
                <w:rFonts w:ascii="Arial"/>
                <w:sz w:val="21"/>
              </w:rPr>
            </w:pPr>
          </w:p>
          <w:p w14:paraId="32C4D8A3">
            <w:pPr>
              <w:spacing w:before="57" w:line="192"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57" w:type="dxa"/>
            <w:vAlign w:val="top"/>
          </w:tcPr>
          <w:p w14:paraId="2B535AEF">
            <w:pPr>
              <w:spacing w:line="300" w:lineRule="auto"/>
              <w:rPr>
                <w:rFonts w:ascii="Arial"/>
                <w:sz w:val="21"/>
              </w:rPr>
            </w:pPr>
          </w:p>
          <w:p w14:paraId="7A9DEF9E">
            <w:pPr>
              <w:pStyle w:val="6"/>
              <w:spacing w:before="65" w:line="228" w:lineRule="auto"/>
              <w:ind w:left="576"/>
            </w:pPr>
            <w:r>
              <w:rPr>
                <w:spacing w:val="1"/>
              </w:rPr>
              <w:t>镍</w:t>
            </w:r>
          </w:p>
        </w:tc>
        <w:tc>
          <w:tcPr>
            <w:tcW w:w="3342" w:type="dxa"/>
            <w:vAlign w:val="top"/>
          </w:tcPr>
          <w:p w14:paraId="69E2B890">
            <w:pPr>
              <w:pStyle w:val="6"/>
              <w:spacing w:before="55" w:line="228" w:lineRule="auto"/>
              <w:ind w:left="116"/>
            </w:pPr>
            <w:r>
              <w:rPr>
                <w:spacing w:val="8"/>
              </w:rPr>
              <w:t>《土壤和沉积物铜、锌、铅、镍、</w:t>
            </w:r>
          </w:p>
          <w:p w14:paraId="121C3C69">
            <w:pPr>
              <w:pStyle w:val="6"/>
              <w:spacing w:before="64" w:line="228" w:lineRule="auto"/>
              <w:ind w:left="203"/>
            </w:pPr>
            <w:r>
              <w:rPr>
                <w:spacing w:val="9"/>
              </w:rPr>
              <w:t>铬的测定火焰原子吸收分光光度</w:t>
            </w:r>
          </w:p>
          <w:p w14:paraId="2C81B345">
            <w:pPr>
              <w:pStyle w:val="6"/>
              <w:spacing w:before="64" w:line="231"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1676CC26">
            <w:pPr>
              <w:spacing w:line="343" w:lineRule="auto"/>
              <w:rPr>
                <w:rFonts w:ascii="Arial"/>
                <w:sz w:val="21"/>
              </w:rPr>
            </w:pPr>
          </w:p>
          <w:p w14:paraId="7CABAC20">
            <w:pPr>
              <w:spacing w:before="57" w:line="195" w:lineRule="auto"/>
              <w:ind w:left="45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82" w:type="dxa"/>
            <w:vAlign w:val="top"/>
          </w:tcPr>
          <w:p w14:paraId="17747BB8">
            <w:pPr>
              <w:pStyle w:val="6"/>
              <w:spacing w:before="210"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5AE8D22C">
            <w:pPr>
              <w:spacing w:line="343" w:lineRule="auto"/>
              <w:rPr>
                <w:rFonts w:ascii="Arial"/>
                <w:sz w:val="21"/>
              </w:rPr>
            </w:pPr>
          </w:p>
          <w:p w14:paraId="60308E40">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1AEF6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1AFF259D">
            <w:pPr>
              <w:spacing w:line="342" w:lineRule="auto"/>
              <w:rPr>
                <w:rFonts w:ascii="Arial"/>
                <w:sz w:val="21"/>
              </w:rPr>
            </w:pPr>
          </w:p>
          <w:p w14:paraId="38780B84">
            <w:pPr>
              <w:spacing w:before="5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57" w:type="dxa"/>
            <w:vAlign w:val="top"/>
          </w:tcPr>
          <w:p w14:paraId="7D227FDC">
            <w:pPr>
              <w:spacing w:line="299" w:lineRule="auto"/>
              <w:rPr>
                <w:rFonts w:ascii="Arial"/>
                <w:sz w:val="21"/>
              </w:rPr>
            </w:pPr>
          </w:p>
          <w:p w14:paraId="69E16174">
            <w:pPr>
              <w:pStyle w:val="6"/>
              <w:spacing w:before="65" w:line="228" w:lineRule="auto"/>
              <w:ind w:left="280"/>
            </w:pPr>
            <w:r>
              <w:rPr>
                <w:spacing w:val="2"/>
              </w:rPr>
              <w:t>四氯化碳</w:t>
            </w:r>
          </w:p>
        </w:tc>
        <w:tc>
          <w:tcPr>
            <w:tcW w:w="3342" w:type="dxa"/>
            <w:vAlign w:val="top"/>
          </w:tcPr>
          <w:p w14:paraId="13668357">
            <w:pPr>
              <w:pStyle w:val="6"/>
              <w:spacing w:before="54" w:line="227" w:lineRule="auto"/>
              <w:ind w:left="157"/>
            </w:pPr>
            <w:r>
              <w:rPr>
                <w:spacing w:val="8"/>
              </w:rPr>
              <w:t>《土壤和沉积物 挥发性有机物的</w:t>
            </w:r>
          </w:p>
          <w:p w14:paraId="4464EFFF">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1302B158">
            <w:pPr>
              <w:pStyle w:val="6"/>
              <w:spacing w:before="66"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4E60A2B1">
            <w:pPr>
              <w:spacing w:line="342" w:lineRule="auto"/>
              <w:rPr>
                <w:rFonts w:ascii="Arial"/>
                <w:sz w:val="21"/>
              </w:rPr>
            </w:pPr>
          </w:p>
          <w:p w14:paraId="220512EF">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0.0021</w:t>
            </w:r>
          </w:p>
        </w:tc>
        <w:tc>
          <w:tcPr>
            <w:tcW w:w="1782" w:type="dxa"/>
            <w:vAlign w:val="top"/>
          </w:tcPr>
          <w:p w14:paraId="106D0A3D">
            <w:pPr>
              <w:pStyle w:val="6"/>
              <w:spacing w:before="210"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4B3D536F">
            <w:pPr>
              <w:spacing w:line="342" w:lineRule="auto"/>
              <w:rPr>
                <w:rFonts w:ascii="Arial"/>
                <w:sz w:val="21"/>
              </w:rPr>
            </w:pPr>
          </w:p>
          <w:p w14:paraId="6B302685">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03E2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0A6D50E8">
            <w:pPr>
              <w:spacing w:line="343" w:lineRule="auto"/>
              <w:rPr>
                <w:rFonts w:ascii="Arial"/>
                <w:sz w:val="21"/>
              </w:rPr>
            </w:pPr>
          </w:p>
          <w:p w14:paraId="06B09299">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57" w:type="dxa"/>
            <w:vAlign w:val="top"/>
          </w:tcPr>
          <w:p w14:paraId="5093151F">
            <w:pPr>
              <w:spacing w:line="300" w:lineRule="auto"/>
              <w:rPr>
                <w:rFonts w:ascii="Arial"/>
                <w:sz w:val="21"/>
              </w:rPr>
            </w:pPr>
          </w:p>
          <w:p w14:paraId="60A2B6F3">
            <w:pPr>
              <w:pStyle w:val="6"/>
              <w:spacing w:before="65" w:line="228" w:lineRule="auto"/>
              <w:ind w:left="475"/>
            </w:pPr>
            <w:r>
              <w:rPr>
                <w:spacing w:val="3"/>
              </w:rPr>
              <w:t>氯仿</w:t>
            </w:r>
          </w:p>
        </w:tc>
        <w:tc>
          <w:tcPr>
            <w:tcW w:w="3342" w:type="dxa"/>
            <w:vAlign w:val="top"/>
          </w:tcPr>
          <w:p w14:paraId="557A42E3">
            <w:pPr>
              <w:pStyle w:val="6"/>
              <w:spacing w:before="55" w:line="227" w:lineRule="auto"/>
              <w:ind w:left="157"/>
            </w:pPr>
            <w:r>
              <w:rPr>
                <w:spacing w:val="8"/>
              </w:rPr>
              <w:t>《土壤和沉积物 挥发性有机物的</w:t>
            </w:r>
          </w:p>
          <w:p w14:paraId="41325D02">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5DC95675">
            <w:pPr>
              <w:pStyle w:val="6"/>
              <w:spacing w:before="66"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EE38008">
            <w:pPr>
              <w:spacing w:line="343" w:lineRule="auto"/>
              <w:rPr>
                <w:rFonts w:ascii="Arial"/>
                <w:sz w:val="21"/>
              </w:rPr>
            </w:pPr>
          </w:p>
          <w:p w14:paraId="710A6E80">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w:t>
            </w:r>
          </w:p>
        </w:tc>
        <w:tc>
          <w:tcPr>
            <w:tcW w:w="1782" w:type="dxa"/>
            <w:vAlign w:val="top"/>
          </w:tcPr>
          <w:p w14:paraId="02FACEB2">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05BA5671">
            <w:pPr>
              <w:spacing w:line="343" w:lineRule="auto"/>
              <w:rPr>
                <w:rFonts w:ascii="Arial"/>
                <w:sz w:val="21"/>
              </w:rPr>
            </w:pPr>
          </w:p>
          <w:p w14:paraId="637A9AA6">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433F5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5C821941">
            <w:pPr>
              <w:spacing w:line="345" w:lineRule="auto"/>
              <w:rPr>
                <w:rFonts w:ascii="Arial"/>
                <w:sz w:val="21"/>
              </w:rPr>
            </w:pPr>
          </w:p>
          <w:p w14:paraId="1837561D">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57" w:type="dxa"/>
            <w:vAlign w:val="top"/>
          </w:tcPr>
          <w:p w14:paraId="261F9659">
            <w:pPr>
              <w:spacing w:line="302" w:lineRule="auto"/>
              <w:rPr>
                <w:rFonts w:ascii="Arial"/>
                <w:sz w:val="21"/>
              </w:rPr>
            </w:pPr>
          </w:p>
          <w:p w14:paraId="004D3144">
            <w:pPr>
              <w:pStyle w:val="6"/>
              <w:spacing w:before="65" w:line="228" w:lineRule="auto"/>
              <w:ind w:left="369"/>
            </w:pPr>
            <w:r>
              <w:rPr>
                <w:spacing w:val="5"/>
              </w:rPr>
              <w:t>氯甲烷</w:t>
            </w:r>
          </w:p>
        </w:tc>
        <w:tc>
          <w:tcPr>
            <w:tcW w:w="3342" w:type="dxa"/>
            <w:vAlign w:val="top"/>
          </w:tcPr>
          <w:p w14:paraId="622899CA">
            <w:pPr>
              <w:pStyle w:val="6"/>
              <w:spacing w:before="57" w:line="226" w:lineRule="auto"/>
              <w:ind w:left="157"/>
            </w:pPr>
            <w:r>
              <w:rPr>
                <w:spacing w:val="8"/>
              </w:rPr>
              <w:t>《土壤和沉积物 挥发性卤代烃的</w:t>
            </w:r>
          </w:p>
          <w:p w14:paraId="790D43E3">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7C7A0A46">
            <w:pPr>
              <w:pStyle w:val="6"/>
              <w:spacing w:before="65" w:line="231" w:lineRule="auto"/>
              <w:ind w:left="1166"/>
            </w:pPr>
            <w:r>
              <w:rPr>
                <w:rFonts w:ascii="Times New Roman" w:hAnsi="Times New Roman" w:eastAsia="Times New Roman" w:cs="Times New Roman"/>
                <w:spacing w:val="3"/>
              </w:rPr>
              <w:t>736-2015</w:t>
            </w:r>
            <w:r>
              <w:rPr>
                <w:spacing w:val="3"/>
              </w:rPr>
              <w:t>）</w:t>
            </w:r>
          </w:p>
        </w:tc>
        <w:tc>
          <w:tcPr>
            <w:tcW w:w="995" w:type="dxa"/>
            <w:vAlign w:val="top"/>
          </w:tcPr>
          <w:p w14:paraId="7B50F671">
            <w:pPr>
              <w:spacing w:line="345" w:lineRule="auto"/>
              <w:rPr>
                <w:rFonts w:ascii="Arial"/>
                <w:sz w:val="21"/>
              </w:rPr>
            </w:pPr>
          </w:p>
          <w:p w14:paraId="2A81F740">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782" w:type="dxa"/>
            <w:vAlign w:val="top"/>
          </w:tcPr>
          <w:p w14:paraId="6271826D">
            <w:pPr>
              <w:pStyle w:val="6"/>
              <w:spacing w:before="213"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739C994A">
            <w:pPr>
              <w:spacing w:line="345" w:lineRule="auto"/>
              <w:rPr>
                <w:rFonts w:ascii="Arial"/>
                <w:sz w:val="21"/>
              </w:rPr>
            </w:pPr>
          </w:p>
          <w:p w14:paraId="5B4A0A99">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2D6E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02B4538E">
            <w:pPr>
              <w:spacing w:line="345" w:lineRule="auto"/>
              <w:rPr>
                <w:rFonts w:ascii="Arial"/>
                <w:sz w:val="21"/>
              </w:rPr>
            </w:pPr>
          </w:p>
          <w:p w14:paraId="7EEB004A">
            <w:pPr>
              <w:spacing w:before="5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357" w:type="dxa"/>
            <w:vAlign w:val="top"/>
          </w:tcPr>
          <w:p w14:paraId="52B0D870">
            <w:pPr>
              <w:pStyle w:val="6"/>
              <w:spacing w:before="212" w:line="221" w:lineRule="auto"/>
              <w:ind w:left="217"/>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spacing w:val="-1"/>
              </w:rPr>
              <w:t>二氯乙</w:t>
            </w:r>
          </w:p>
          <w:p w14:paraId="3FAF09A3">
            <w:pPr>
              <w:pStyle w:val="6"/>
              <w:spacing w:before="73" w:line="228" w:lineRule="auto"/>
              <w:ind w:left="578"/>
            </w:pPr>
            <w:r>
              <w:t>烷</w:t>
            </w:r>
          </w:p>
        </w:tc>
        <w:tc>
          <w:tcPr>
            <w:tcW w:w="3342" w:type="dxa"/>
            <w:vAlign w:val="top"/>
          </w:tcPr>
          <w:p w14:paraId="329198B9">
            <w:pPr>
              <w:pStyle w:val="6"/>
              <w:spacing w:before="56" w:line="227" w:lineRule="auto"/>
              <w:ind w:left="157"/>
            </w:pPr>
            <w:r>
              <w:rPr>
                <w:spacing w:val="8"/>
              </w:rPr>
              <w:t>《土壤和沉积物 挥发性有机物的</w:t>
            </w:r>
          </w:p>
          <w:p w14:paraId="3341AD8D">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71BB1F5E">
            <w:pPr>
              <w:pStyle w:val="6"/>
              <w:spacing w:before="66"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8CC9B05">
            <w:pPr>
              <w:spacing w:line="345" w:lineRule="auto"/>
              <w:rPr>
                <w:rFonts w:ascii="Arial"/>
                <w:sz w:val="21"/>
              </w:rPr>
            </w:pPr>
          </w:p>
          <w:p w14:paraId="5FEF3AAA">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782" w:type="dxa"/>
            <w:vAlign w:val="top"/>
          </w:tcPr>
          <w:p w14:paraId="433C6516">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4F985331">
            <w:pPr>
              <w:spacing w:line="345" w:lineRule="auto"/>
              <w:rPr>
                <w:rFonts w:ascii="Arial"/>
                <w:sz w:val="21"/>
              </w:rPr>
            </w:pPr>
          </w:p>
          <w:p w14:paraId="26179E53">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44A9C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139A80FF">
            <w:pPr>
              <w:spacing w:line="344" w:lineRule="auto"/>
              <w:rPr>
                <w:rFonts w:ascii="Arial"/>
                <w:sz w:val="21"/>
              </w:rPr>
            </w:pPr>
          </w:p>
          <w:p w14:paraId="27CA7F2E">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357" w:type="dxa"/>
            <w:vAlign w:val="top"/>
          </w:tcPr>
          <w:p w14:paraId="1F97965C">
            <w:pPr>
              <w:pStyle w:val="6"/>
              <w:spacing w:before="212" w:line="221" w:lineRule="auto"/>
              <w:ind w:left="217"/>
            </w:pPr>
            <w:r>
              <w:rPr>
                <w:rFonts w:ascii="Times New Roman" w:hAnsi="Times New Roman" w:eastAsia="Times New Roman" w:cs="Times New Roman"/>
                <w:spacing w:val="2"/>
              </w:rPr>
              <w:t>1,2-</w:t>
            </w:r>
            <w:r>
              <w:rPr>
                <w:spacing w:val="2"/>
              </w:rPr>
              <w:t>二氯乙</w:t>
            </w:r>
          </w:p>
          <w:p w14:paraId="2F2F7449">
            <w:pPr>
              <w:pStyle w:val="6"/>
              <w:spacing w:before="73" w:line="228" w:lineRule="auto"/>
              <w:ind w:left="578"/>
            </w:pPr>
            <w:r>
              <w:t>烷</w:t>
            </w:r>
          </w:p>
        </w:tc>
        <w:tc>
          <w:tcPr>
            <w:tcW w:w="3342" w:type="dxa"/>
            <w:vAlign w:val="top"/>
          </w:tcPr>
          <w:p w14:paraId="529CBB45">
            <w:pPr>
              <w:pStyle w:val="6"/>
              <w:spacing w:before="56" w:line="227" w:lineRule="auto"/>
              <w:ind w:left="157"/>
            </w:pPr>
            <w:r>
              <w:rPr>
                <w:spacing w:val="8"/>
              </w:rPr>
              <w:t>《土壤和沉积物 挥发性有机物的</w:t>
            </w:r>
          </w:p>
          <w:p w14:paraId="7D64613A">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14087598">
            <w:pPr>
              <w:pStyle w:val="6"/>
              <w:spacing w:before="66"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066209C2">
            <w:pPr>
              <w:spacing w:line="344" w:lineRule="auto"/>
              <w:rPr>
                <w:rFonts w:ascii="Arial"/>
                <w:sz w:val="21"/>
              </w:rPr>
            </w:pPr>
          </w:p>
          <w:p w14:paraId="2EC68D5D">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0.0013</w:t>
            </w:r>
          </w:p>
        </w:tc>
        <w:tc>
          <w:tcPr>
            <w:tcW w:w="1782" w:type="dxa"/>
            <w:vAlign w:val="top"/>
          </w:tcPr>
          <w:p w14:paraId="4B62E3EF">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B0C4B6E">
            <w:pPr>
              <w:spacing w:line="344" w:lineRule="auto"/>
              <w:rPr>
                <w:rFonts w:ascii="Arial"/>
                <w:sz w:val="21"/>
              </w:rPr>
            </w:pPr>
          </w:p>
          <w:p w14:paraId="53EB4431">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70BE3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91" w:type="dxa"/>
            <w:vAlign w:val="top"/>
          </w:tcPr>
          <w:p w14:paraId="2051FDAF">
            <w:pPr>
              <w:spacing w:line="344" w:lineRule="auto"/>
              <w:rPr>
                <w:rFonts w:ascii="Arial"/>
                <w:sz w:val="21"/>
              </w:rPr>
            </w:pPr>
          </w:p>
          <w:p w14:paraId="2DDD5221">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57" w:type="dxa"/>
            <w:vAlign w:val="top"/>
          </w:tcPr>
          <w:p w14:paraId="4B123CCB">
            <w:pPr>
              <w:pStyle w:val="6"/>
              <w:spacing w:before="211" w:line="221" w:lineRule="auto"/>
              <w:ind w:left="217"/>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spacing w:val="-1"/>
              </w:rPr>
              <w:t>二氯乙</w:t>
            </w:r>
          </w:p>
          <w:p w14:paraId="117239D6">
            <w:pPr>
              <w:pStyle w:val="6"/>
              <w:spacing w:before="72" w:line="228" w:lineRule="auto"/>
              <w:ind w:left="578"/>
            </w:pPr>
            <w:r>
              <w:t>烯</w:t>
            </w:r>
          </w:p>
        </w:tc>
        <w:tc>
          <w:tcPr>
            <w:tcW w:w="3342" w:type="dxa"/>
            <w:vAlign w:val="top"/>
          </w:tcPr>
          <w:p w14:paraId="73E0DE53">
            <w:pPr>
              <w:pStyle w:val="6"/>
              <w:spacing w:before="55" w:line="227" w:lineRule="auto"/>
              <w:ind w:left="157"/>
            </w:pPr>
            <w:r>
              <w:rPr>
                <w:spacing w:val="8"/>
              </w:rPr>
              <w:t>《土壤和沉积物 挥发性有机物的</w:t>
            </w:r>
          </w:p>
          <w:p w14:paraId="5A37370B">
            <w:pPr>
              <w:pStyle w:val="6"/>
              <w:spacing w:before="66" w:line="227"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711DE03">
            <w:pPr>
              <w:pStyle w:val="6"/>
              <w:spacing w:before="66" w:line="233"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3B62C7B">
            <w:pPr>
              <w:spacing w:line="344" w:lineRule="auto"/>
              <w:rPr>
                <w:rFonts w:ascii="Arial"/>
                <w:sz w:val="21"/>
              </w:rPr>
            </w:pPr>
          </w:p>
          <w:p w14:paraId="4B76BDE4">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782" w:type="dxa"/>
            <w:vAlign w:val="top"/>
          </w:tcPr>
          <w:p w14:paraId="0A85C9CD">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110209BA">
            <w:pPr>
              <w:spacing w:line="344" w:lineRule="auto"/>
              <w:rPr>
                <w:rFonts w:ascii="Arial"/>
                <w:sz w:val="21"/>
              </w:rPr>
            </w:pPr>
          </w:p>
          <w:p w14:paraId="5E2FDC2C">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bl>
    <w:p w14:paraId="76E8890B">
      <w:pPr>
        <w:pStyle w:val="2"/>
      </w:pPr>
    </w:p>
    <w:p w14:paraId="1BAC9716">
      <w:pPr>
        <w:sectPr>
          <w:headerReference r:id="rId211" w:type="default"/>
          <w:footerReference r:id="rId212" w:type="default"/>
          <w:pgSz w:w="11906" w:h="16839"/>
          <w:pgMar w:top="1208" w:right="1215" w:bottom="957" w:left="1215" w:header="825" w:footer="795" w:gutter="0"/>
          <w:cols w:space="720" w:num="1"/>
        </w:sectPr>
      </w:pPr>
    </w:p>
    <w:p w14:paraId="54937695">
      <w:pPr>
        <w:spacing w:line="231" w:lineRule="exact"/>
      </w:pPr>
    </w:p>
    <w:tbl>
      <w:tblPr>
        <w:tblStyle w:val="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357"/>
        <w:gridCol w:w="3342"/>
        <w:gridCol w:w="995"/>
        <w:gridCol w:w="1782"/>
        <w:gridCol w:w="1403"/>
      </w:tblGrid>
      <w:tr w14:paraId="3430A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91" w:type="dxa"/>
            <w:vAlign w:val="top"/>
          </w:tcPr>
          <w:p w14:paraId="7C59B7E7">
            <w:pPr>
              <w:spacing w:line="344" w:lineRule="auto"/>
              <w:rPr>
                <w:rFonts w:ascii="Arial"/>
                <w:sz w:val="21"/>
              </w:rPr>
            </w:pPr>
          </w:p>
          <w:p w14:paraId="673B4158">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357" w:type="dxa"/>
            <w:vAlign w:val="top"/>
          </w:tcPr>
          <w:p w14:paraId="170BCD69">
            <w:pPr>
              <w:pStyle w:val="6"/>
              <w:spacing w:before="212" w:line="221" w:lineRule="auto"/>
              <w:ind w:left="165"/>
            </w:pPr>
            <w:r>
              <w:rPr>
                <w:spacing w:val="4"/>
              </w:rPr>
              <w:t>顺</w:t>
            </w:r>
            <w:r>
              <w:rPr>
                <w:rFonts w:ascii="Times New Roman" w:hAnsi="Times New Roman" w:eastAsia="Times New Roman" w:cs="Times New Roman"/>
                <w:spacing w:val="4"/>
              </w:rPr>
              <w:t>-1,2-</w:t>
            </w:r>
            <w:r>
              <w:rPr>
                <w:spacing w:val="4"/>
              </w:rPr>
              <w:t>二氯</w:t>
            </w:r>
          </w:p>
          <w:p w14:paraId="795038B0">
            <w:pPr>
              <w:pStyle w:val="6"/>
              <w:spacing w:before="72" w:line="228" w:lineRule="auto"/>
              <w:ind w:left="492"/>
            </w:pPr>
            <w:r>
              <w:rPr>
                <w:spacing w:val="-6"/>
              </w:rPr>
              <w:t>乙烯</w:t>
            </w:r>
          </w:p>
        </w:tc>
        <w:tc>
          <w:tcPr>
            <w:tcW w:w="3342" w:type="dxa"/>
            <w:vAlign w:val="top"/>
          </w:tcPr>
          <w:p w14:paraId="09F5A68F">
            <w:pPr>
              <w:pStyle w:val="6"/>
              <w:spacing w:before="56" w:line="227" w:lineRule="auto"/>
              <w:ind w:left="157"/>
            </w:pPr>
            <w:r>
              <w:rPr>
                <w:spacing w:val="8"/>
              </w:rPr>
              <w:t>《土壤和沉积物 挥发性有机物的</w:t>
            </w:r>
          </w:p>
          <w:p w14:paraId="126C77EE">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2880369">
            <w:pPr>
              <w:pStyle w:val="6"/>
              <w:spacing w:before="65" w:line="235"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6DC48C42">
            <w:pPr>
              <w:spacing w:line="344" w:lineRule="auto"/>
              <w:rPr>
                <w:rFonts w:ascii="Arial"/>
                <w:sz w:val="21"/>
              </w:rPr>
            </w:pPr>
          </w:p>
          <w:p w14:paraId="2D2BEBBD">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782" w:type="dxa"/>
            <w:vAlign w:val="top"/>
          </w:tcPr>
          <w:p w14:paraId="639C4CAD">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67B7E6ED">
            <w:pPr>
              <w:spacing w:line="344" w:lineRule="auto"/>
              <w:rPr>
                <w:rFonts w:ascii="Arial"/>
                <w:sz w:val="21"/>
              </w:rPr>
            </w:pPr>
          </w:p>
          <w:p w14:paraId="5FE68FA7">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A82A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DD37821">
            <w:pPr>
              <w:spacing w:line="340" w:lineRule="auto"/>
              <w:rPr>
                <w:rFonts w:ascii="Arial"/>
                <w:sz w:val="21"/>
              </w:rPr>
            </w:pPr>
          </w:p>
          <w:p w14:paraId="5796F707">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57" w:type="dxa"/>
            <w:vAlign w:val="top"/>
          </w:tcPr>
          <w:p w14:paraId="115B6A6F">
            <w:pPr>
              <w:pStyle w:val="6"/>
              <w:spacing w:before="207" w:line="221" w:lineRule="auto"/>
              <w:ind w:left="165"/>
            </w:pPr>
            <w:r>
              <w:rPr>
                <w:spacing w:val="4"/>
              </w:rPr>
              <w:t>反</w:t>
            </w:r>
            <w:r>
              <w:rPr>
                <w:rFonts w:ascii="Times New Roman" w:hAnsi="Times New Roman" w:eastAsia="Times New Roman" w:cs="Times New Roman"/>
                <w:spacing w:val="4"/>
              </w:rPr>
              <w:t>-1,2-</w:t>
            </w:r>
            <w:r>
              <w:rPr>
                <w:spacing w:val="4"/>
              </w:rPr>
              <w:t>二氯</w:t>
            </w:r>
          </w:p>
          <w:p w14:paraId="7AD11B08">
            <w:pPr>
              <w:pStyle w:val="6"/>
              <w:spacing w:before="72" w:line="228" w:lineRule="auto"/>
              <w:ind w:left="492"/>
            </w:pPr>
            <w:r>
              <w:rPr>
                <w:spacing w:val="-6"/>
              </w:rPr>
              <w:t>乙烯</w:t>
            </w:r>
          </w:p>
        </w:tc>
        <w:tc>
          <w:tcPr>
            <w:tcW w:w="3342" w:type="dxa"/>
            <w:vAlign w:val="top"/>
          </w:tcPr>
          <w:p w14:paraId="637CAED3">
            <w:pPr>
              <w:pStyle w:val="6"/>
              <w:spacing w:before="51" w:line="227" w:lineRule="auto"/>
              <w:ind w:left="157"/>
            </w:pPr>
            <w:r>
              <w:rPr>
                <w:spacing w:val="8"/>
              </w:rPr>
              <w:t>《土壤和沉积物 挥发性有机物的</w:t>
            </w:r>
          </w:p>
          <w:p w14:paraId="25193F56">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410E134">
            <w:pPr>
              <w:pStyle w:val="6"/>
              <w:spacing w:before="65" w:line="234"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259BEF86">
            <w:pPr>
              <w:spacing w:line="340" w:lineRule="auto"/>
              <w:rPr>
                <w:rFonts w:ascii="Arial"/>
                <w:sz w:val="21"/>
              </w:rPr>
            </w:pPr>
          </w:p>
          <w:p w14:paraId="20EA5656">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782" w:type="dxa"/>
            <w:vAlign w:val="top"/>
          </w:tcPr>
          <w:p w14:paraId="306D3C5F">
            <w:pPr>
              <w:pStyle w:val="6"/>
              <w:spacing w:before="207"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1997AE4">
            <w:pPr>
              <w:spacing w:line="340" w:lineRule="auto"/>
              <w:rPr>
                <w:rFonts w:ascii="Arial"/>
                <w:sz w:val="21"/>
              </w:rPr>
            </w:pPr>
          </w:p>
          <w:p w14:paraId="4D331B26">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B682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47BD322F">
            <w:pPr>
              <w:spacing w:line="340" w:lineRule="auto"/>
              <w:rPr>
                <w:rFonts w:ascii="Arial"/>
                <w:sz w:val="21"/>
              </w:rPr>
            </w:pPr>
          </w:p>
          <w:p w14:paraId="5249668F">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357" w:type="dxa"/>
            <w:vAlign w:val="top"/>
          </w:tcPr>
          <w:p w14:paraId="77785029">
            <w:pPr>
              <w:spacing w:line="298" w:lineRule="auto"/>
              <w:rPr>
                <w:rFonts w:ascii="Arial"/>
                <w:sz w:val="21"/>
              </w:rPr>
            </w:pPr>
          </w:p>
          <w:p w14:paraId="406F3E0E">
            <w:pPr>
              <w:pStyle w:val="6"/>
              <w:spacing w:before="65" w:line="228" w:lineRule="auto"/>
              <w:ind w:left="264"/>
            </w:pPr>
            <w:r>
              <w:rPr>
                <w:spacing w:val="6"/>
              </w:rPr>
              <w:t>二氯甲烷</w:t>
            </w:r>
          </w:p>
        </w:tc>
        <w:tc>
          <w:tcPr>
            <w:tcW w:w="3342" w:type="dxa"/>
            <w:vAlign w:val="top"/>
          </w:tcPr>
          <w:p w14:paraId="4B015D74">
            <w:pPr>
              <w:pStyle w:val="6"/>
              <w:spacing w:before="52" w:line="227" w:lineRule="auto"/>
              <w:ind w:left="157"/>
            </w:pPr>
            <w:r>
              <w:rPr>
                <w:spacing w:val="8"/>
              </w:rPr>
              <w:t>《土壤和沉积物 挥发性有机物的</w:t>
            </w:r>
          </w:p>
          <w:p w14:paraId="7C6C02BA">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EB9A2B9">
            <w:pPr>
              <w:pStyle w:val="6"/>
              <w:spacing w:before="65" w:line="235"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720CC1A1">
            <w:pPr>
              <w:spacing w:line="340" w:lineRule="auto"/>
              <w:rPr>
                <w:rFonts w:ascii="Arial"/>
                <w:sz w:val="21"/>
              </w:rPr>
            </w:pPr>
          </w:p>
          <w:p w14:paraId="2A72D69B">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w:t>
            </w:r>
          </w:p>
        </w:tc>
        <w:tc>
          <w:tcPr>
            <w:tcW w:w="1782" w:type="dxa"/>
            <w:vAlign w:val="top"/>
          </w:tcPr>
          <w:p w14:paraId="16A0E584">
            <w:pPr>
              <w:pStyle w:val="6"/>
              <w:spacing w:before="208"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20E168C2">
            <w:pPr>
              <w:spacing w:line="340" w:lineRule="auto"/>
              <w:rPr>
                <w:rFonts w:ascii="Arial"/>
                <w:sz w:val="21"/>
              </w:rPr>
            </w:pPr>
          </w:p>
          <w:p w14:paraId="67A2D72E">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0699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5FFE05C6">
            <w:pPr>
              <w:spacing w:line="340" w:lineRule="auto"/>
              <w:rPr>
                <w:rFonts w:ascii="Arial"/>
                <w:sz w:val="21"/>
              </w:rPr>
            </w:pPr>
          </w:p>
          <w:p w14:paraId="57743B78">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357" w:type="dxa"/>
            <w:vAlign w:val="top"/>
          </w:tcPr>
          <w:p w14:paraId="002CC949">
            <w:pPr>
              <w:pStyle w:val="6"/>
              <w:spacing w:before="207" w:line="221" w:lineRule="auto"/>
              <w:ind w:left="217"/>
            </w:pPr>
            <w:r>
              <w:rPr>
                <w:rFonts w:ascii="Times New Roman" w:hAnsi="Times New Roman" w:eastAsia="Times New Roman" w:cs="Times New Roman"/>
                <w:spacing w:val="2"/>
              </w:rPr>
              <w:t>1,2-</w:t>
            </w:r>
            <w:r>
              <w:rPr>
                <w:spacing w:val="2"/>
              </w:rPr>
              <w:t>二氯丙</w:t>
            </w:r>
          </w:p>
          <w:p w14:paraId="05425824">
            <w:pPr>
              <w:pStyle w:val="6"/>
              <w:spacing w:before="73" w:line="228" w:lineRule="auto"/>
              <w:ind w:left="578"/>
            </w:pPr>
            <w:r>
              <w:t>烷</w:t>
            </w:r>
          </w:p>
        </w:tc>
        <w:tc>
          <w:tcPr>
            <w:tcW w:w="3342" w:type="dxa"/>
            <w:vAlign w:val="top"/>
          </w:tcPr>
          <w:p w14:paraId="3B6A3A1E">
            <w:pPr>
              <w:pStyle w:val="6"/>
              <w:spacing w:before="52" w:line="227" w:lineRule="auto"/>
              <w:ind w:left="157"/>
            </w:pPr>
            <w:r>
              <w:rPr>
                <w:spacing w:val="8"/>
              </w:rPr>
              <w:t>《土壤和沉积物 挥发性有机物的</w:t>
            </w:r>
          </w:p>
          <w:p w14:paraId="2EEDC993">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474FAA93">
            <w:pPr>
              <w:pStyle w:val="6"/>
              <w:spacing w:before="65" w:line="234"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715AE918">
            <w:pPr>
              <w:spacing w:line="340" w:lineRule="auto"/>
              <w:rPr>
                <w:rFonts w:ascii="Arial"/>
                <w:sz w:val="21"/>
              </w:rPr>
            </w:pPr>
          </w:p>
          <w:p w14:paraId="150583DD">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0.0019</w:t>
            </w:r>
          </w:p>
        </w:tc>
        <w:tc>
          <w:tcPr>
            <w:tcW w:w="1782" w:type="dxa"/>
            <w:vAlign w:val="top"/>
          </w:tcPr>
          <w:p w14:paraId="76897187">
            <w:pPr>
              <w:pStyle w:val="6"/>
              <w:spacing w:before="208"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2402CD77">
            <w:pPr>
              <w:spacing w:line="340" w:lineRule="auto"/>
              <w:rPr>
                <w:rFonts w:ascii="Arial"/>
                <w:sz w:val="21"/>
              </w:rPr>
            </w:pPr>
          </w:p>
          <w:p w14:paraId="067CEE89">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57BC5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2C8931B3">
            <w:pPr>
              <w:spacing w:line="343" w:lineRule="auto"/>
              <w:rPr>
                <w:rFonts w:ascii="Arial"/>
                <w:sz w:val="21"/>
              </w:rPr>
            </w:pPr>
          </w:p>
          <w:p w14:paraId="3D121E83">
            <w:pPr>
              <w:spacing w:before="5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357" w:type="dxa"/>
            <w:vAlign w:val="top"/>
          </w:tcPr>
          <w:p w14:paraId="012D4CA5">
            <w:pPr>
              <w:pStyle w:val="6"/>
              <w:spacing w:before="210" w:line="221" w:lineRule="auto"/>
              <w:ind w:left="164"/>
            </w:pPr>
            <w:r>
              <w:rPr>
                <w:rFonts w:ascii="Times New Roman" w:hAnsi="Times New Roman" w:eastAsia="Times New Roman" w:cs="Times New Roman"/>
                <w:spacing w:val="-3"/>
              </w:rPr>
              <w:t>1,</w:t>
            </w:r>
            <w:r>
              <w:rPr>
                <w:rFonts w:ascii="Times New Roman" w:hAnsi="Times New Roman" w:eastAsia="Times New Roman" w:cs="Times New Roman"/>
                <w:spacing w:val="-24"/>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1,2-</w:t>
            </w:r>
            <w:r>
              <w:rPr>
                <w:spacing w:val="-3"/>
              </w:rPr>
              <w:t>四氯</w:t>
            </w:r>
          </w:p>
          <w:p w14:paraId="3468169E">
            <w:pPr>
              <w:pStyle w:val="6"/>
              <w:spacing w:before="73" w:line="228" w:lineRule="auto"/>
              <w:ind w:left="492"/>
            </w:pPr>
            <w:r>
              <w:rPr>
                <w:spacing w:val="-6"/>
              </w:rPr>
              <w:t>乙烷</w:t>
            </w:r>
          </w:p>
        </w:tc>
        <w:tc>
          <w:tcPr>
            <w:tcW w:w="3342" w:type="dxa"/>
            <w:vAlign w:val="top"/>
          </w:tcPr>
          <w:p w14:paraId="2AC35984">
            <w:pPr>
              <w:pStyle w:val="6"/>
              <w:spacing w:before="55" w:line="227" w:lineRule="auto"/>
              <w:ind w:left="157"/>
            </w:pPr>
            <w:r>
              <w:rPr>
                <w:spacing w:val="8"/>
              </w:rPr>
              <w:t>《土壤和沉积物 挥发性有机物的</w:t>
            </w:r>
          </w:p>
          <w:p w14:paraId="76C2EFBB">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6DFD21FC">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6B28FD35">
            <w:pPr>
              <w:spacing w:line="343" w:lineRule="auto"/>
              <w:rPr>
                <w:rFonts w:ascii="Arial"/>
                <w:sz w:val="21"/>
              </w:rPr>
            </w:pPr>
          </w:p>
          <w:p w14:paraId="001C7DA1">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782" w:type="dxa"/>
            <w:vAlign w:val="top"/>
          </w:tcPr>
          <w:p w14:paraId="52224FA6">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C5DDD15">
            <w:pPr>
              <w:spacing w:line="343" w:lineRule="auto"/>
              <w:rPr>
                <w:rFonts w:ascii="Arial"/>
                <w:sz w:val="21"/>
              </w:rPr>
            </w:pPr>
          </w:p>
          <w:p w14:paraId="1BBF6065">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2F39C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17DCB43A">
            <w:pPr>
              <w:spacing w:line="344" w:lineRule="auto"/>
              <w:rPr>
                <w:rFonts w:ascii="Arial"/>
                <w:sz w:val="21"/>
              </w:rPr>
            </w:pPr>
          </w:p>
          <w:p w14:paraId="16995289">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357" w:type="dxa"/>
            <w:vAlign w:val="top"/>
          </w:tcPr>
          <w:p w14:paraId="0FD26198">
            <w:pPr>
              <w:pStyle w:val="6"/>
              <w:spacing w:before="211" w:line="221" w:lineRule="auto"/>
              <w:ind w:left="164"/>
            </w:pP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rFonts w:ascii="Times New Roman" w:hAnsi="Times New Roman" w:eastAsia="Times New Roman" w:cs="Times New Roman"/>
                <w:spacing w:val="-1"/>
              </w:rPr>
              <w:t>1,2,2-</w:t>
            </w:r>
            <w:r>
              <w:rPr>
                <w:spacing w:val="-1"/>
              </w:rPr>
              <w:t>四氯</w:t>
            </w:r>
          </w:p>
          <w:p w14:paraId="597F40A7">
            <w:pPr>
              <w:pStyle w:val="6"/>
              <w:spacing w:before="73" w:line="228" w:lineRule="auto"/>
              <w:ind w:left="492"/>
            </w:pPr>
            <w:r>
              <w:rPr>
                <w:spacing w:val="-6"/>
              </w:rPr>
              <w:t>乙烷</w:t>
            </w:r>
          </w:p>
        </w:tc>
        <w:tc>
          <w:tcPr>
            <w:tcW w:w="3342" w:type="dxa"/>
            <w:vAlign w:val="top"/>
          </w:tcPr>
          <w:p w14:paraId="73A444ED">
            <w:pPr>
              <w:pStyle w:val="6"/>
              <w:spacing w:before="55" w:line="227" w:lineRule="auto"/>
              <w:ind w:left="157"/>
            </w:pPr>
            <w:r>
              <w:rPr>
                <w:spacing w:val="8"/>
              </w:rPr>
              <w:t>《土壤和沉积物 挥发性有机物的</w:t>
            </w:r>
          </w:p>
          <w:p w14:paraId="7664ED93">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22E2A457">
            <w:pPr>
              <w:pStyle w:val="6"/>
              <w:spacing w:before="65"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4E274C9">
            <w:pPr>
              <w:spacing w:line="344" w:lineRule="auto"/>
              <w:rPr>
                <w:rFonts w:ascii="Arial"/>
                <w:sz w:val="21"/>
              </w:rPr>
            </w:pPr>
          </w:p>
          <w:p w14:paraId="5B24F0B0">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782" w:type="dxa"/>
            <w:vAlign w:val="top"/>
          </w:tcPr>
          <w:p w14:paraId="1E010A08">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2EE51963">
            <w:pPr>
              <w:spacing w:line="344" w:lineRule="auto"/>
              <w:rPr>
                <w:rFonts w:ascii="Arial"/>
                <w:sz w:val="21"/>
              </w:rPr>
            </w:pPr>
          </w:p>
          <w:p w14:paraId="7F53FA0B">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9B4D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69A02909">
            <w:pPr>
              <w:spacing w:line="343" w:lineRule="auto"/>
              <w:rPr>
                <w:rFonts w:ascii="Arial"/>
                <w:sz w:val="21"/>
              </w:rPr>
            </w:pPr>
          </w:p>
          <w:p w14:paraId="29F6FBD7">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57" w:type="dxa"/>
            <w:vAlign w:val="top"/>
          </w:tcPr>
          <w:p w14:paraId="541FF998">
            <w:pPr>
              <w:spacing w:line="300" w:lineRule="auto"/>
              <w:rPr>
                <w:rFonts w:ascii="Arial"/>
                <w:sz w:val="21"/>
              </w:rPr>
            </w:pPr>
          </w:p>
          <w:p w14:paraId="20195E52">
            <w:pPr>
              <w:pStyle w:val="6"/>
              <w:spacing w:before="65" w:line="228" w:lineRule="auto"/>
              <w:ind w:left="280"/>
            </w:pPr>
            <w:r>
              <w:rPr>
                <w:spacing w:val="2"/>
              </w:rPr>
              <w:t>四氯乙烯</w:t>
            </w:r>
          </w:p>
        </w:tc>
        <w:tc>
          <w:tcPr>
            <w:tcW w:w="3342" w:type="dxa"/>
            <w:vAlign w:val="top"/>
          </w:tcPr>
          <w:p w14:paraId="73C74EB4">
            <w:pPr>
              <w:pStyle w:val="6"/>
              <w:spacing w:before="55" w:line="227" w:lineRule="auto"/>
              <w:ind w:left="157"/>
            </w:pPr>
            <w:r>
              <w:rPr>
                <w:spacing w:val="8"/>
              </w:rPr>
              <w:t>《土壤和沉积物 挥发性有机物的</w:t>
            </w:r>
          </w:p>
          <w:p w14:paraId="78D21146">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3CB25F3">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4312F0E9">
            <w:pPr>
              <w:spacing w:line="343" w:lineRule="auto"/>
              <w:rPr>
                <w:rFonts w:ascii="Arial"/>
                <w:sz w:val="21"/>
              </w:rPr>
            </w:pPr>
          </w:p>
          <w:p w14:paraId="5B96C529">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782" w:type="dxa"/>
            <w:vAlign w:val="top"/>
          </w:tcPr>
          <w:p w14:paraId="18D505F3">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E56172B">
            <w:pPr>
              <w:spacing w:line="343" w:lineRule="auto"/>
              <w:rPr>
                <w:rFonts w:ascii="Arial"/>
                <w:sz w:val="21"/>
              </w:rPr>
            </w:pPr>
          </w:p>
          <w:p w14:paraId="7C8FE02C">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F59B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04C3AE13">
            <w:pPr>
              <w:spacing w:line="344" w:lineRule="auto"/>
              <w:rPr>
                <w:rFonts w:ascii="Arial"/>
                <w:sz w:val="21"/>
              </w:rPr>
            </w:pPr>
          </w:p>
          <w:p w14:paraId="7301C5FA">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357" w:type="dxa"/>
            <w:vAlign w:val="top"/>
          </w:tcPr>
          <w:p w14:paraId="2476E8F9">
            <w:pPr>
              <w:pStyle w:val="6"/>
              <w:spacing w:before="211" w:line="221" w:lineRule="auto"/>
              <w:ind w:left="138"/>
            </w:pPr>
            <w:r>
              <w:rPr>
                <w:rFonts w:ascii="Times New Roman" w:hAnsi="Times New Roman" w:eastAsia="Times New Roman" w:cs="Times New Roman"/>
                <w:spacing w:val="-3"/>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w:t>
            </w:r>
            <w:r>
              <w:rPr>
                <w:spacing w:val="-3"/>
              </w:rPr>
              <w:t>三氯乙</w:t>
            </w:r>
          </w:p>
          <w:p w14:paraId="76C558FE">
            <w:pPr>
              <w:pStyle w:val="6"/>
              <w:spacing w:before="73" w:line="228" w:lineRule="auto"/>
              <w:ind w:left="578"/>
            </w:pPr>
            <w:r>
              <w:t>烷</w:t>
            </w:r>
          </w:p>
        </w:tc>
        <w:tc>
          <w:tcPr>
            <w:tcW w:w="3342" w:type="dxa"/>
            <w:vAlign w:val="top"/>
          </w:tcPr>
          <w:p w14:paraId="297A5C0F">
            <w:pPr>
              <w:pStyle w:val="6"/>
              <w:spacing w:before="55" w:line="227" w:lineRule="auto"/>
              <w:ind w:left="157"/>
            </w:pPr>
            <w:r>
              <w:rPr>
                <w:spacing w:val="8"/>
              </w:rPr>
              <w:t>《土壤和沉积物 挥发性有机物的</w:t>
            </w:r>
          </w:p>
          <w:p w14:paraId="27435946">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542828C8">
            <w:pPr>
              <w:pStyle w:val="6"/>
              <w:spacing w:before="64"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033F6E8C">
            <w:pPr>
              <w:spacing w:line="344" w:lineRule="auto"/>
              <w:rPr>
                <w:rFonts w:ascii="Arial"/>
                <w:sz w:val="21"/>
              </w:rPr>
            </w:pPr>
          </w:p>
          <w:p w14:paraId="0BE1C455">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0.0011</w:t>
            </w:r>
          </w:p>
        </w:tc>
        <w:tc>
          <w:tcPr>
            <w:tcW w:w="1782" w:type="dxa"/>
            <w:vAlign w:val="top"/>
          </w:tcPr>
          <w:p w14:paraId="59FA964E">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07DA6E12">
            <w:pPr>
              <w:spacing w:line="344" w:lineRule="auto"/>
              <w:rPr>
                <w:rFonts w:ascii="Arial"/>
                <w:sz w:val="21"/>
              </w:rPr>
            </w:pPr>
          </w:p>
          <w:p w14:paraId="22F710C6">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DD5A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40413A6E">
            <w:pPr>
              <w:spacing w:line="343" w:lineRule="auto"/>
              <w:rPr>
                <w:rFonts w:ascii="Arial"/>
                <w:sz w:val="21"/>
              </w:rPr>
            </w:pPr>
          </w:p>
          <w:p w14:paraId="3A864A8F">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357" w:type="dxa"/>
            <w:vAlign w:val="top"/>
          </w:tcPr>
          <w:p w14:paraId="37B495D6">
            <w:pPr>
              <w:pStyle w:val="6"/>
              <w:spacing w:before="211" w:line="221" w:lineRule="auto"/>
              <w:ind w:left="138"/>
            </w:pP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1,2-</w:t>
            </w:r>
            <w:r>
              <w:t>三氯乙</w:t>
            </w:r>
          </w:p>
          <w:p w14:paraId="5CE07410">
            <w:pPr>
              <w:pStyle w:val="6"/>
              <w:spacing w:before="73" w:line="228" w:lineRule="auto"/>
              <w:ind w:left="578"/>
            </w:pPr>
            <w:r>
              <w:t>烷</w:t>
            </w:r>
          </w:p>
        </w:tc>
        <w:tc>
          <w:tcPr>
            <w:tcW w:w="3342" w:type="dxa"/>
            <w:vAlign w:val="top"/>
          </w:tcPr>
          <w:p w14:paraId="5C185B58">
            <w:pPr>
              <w:pStyle w:val="6"/>
              <w:spacing w:before="55" w:line="227" w:lineRule="auto"/>
              <w:ind w:left="157"/>
            </w:pPr>
            <w:r>
              <w:rPr>
                <w:spacing w:val="8"/>
              </w:rPr>
              <w:t>《土壤和沉积物 挥发性有机物的</w:t>
            </w:r>
          </w:p>
          <w:p w14:paraId="20D83B4D">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4FE20444">
            <w:pPr>
              <w:pStyle w:val="6"/>
              <w:spacing w:before="65"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7BE98AAD">
            <w:pPr>
              <w:spacing w:line="343" w:lineRule="auto"/>
              <w:rPr>
                <w:rFonts w:ascii="Arial"/>
                <w:sz w:val="21"/>
              </w:rPr>
            </w:pPr>
          </w:p>
          <w:p w14:paraId="34E8DE88">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0.0014</w:t>
            </w:r>
          </w:p>
        </w:tc>
        <w:tc>
          <w:tcPr>
            <w:tcW w:w="1782" w:type="dxa"/>
            <w:vAlign w:val="top"/>
          </w:tcPr>
          <w:p w14:paraId="45C61A72">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77EE06C">
            <w:pPr>
              <w:spacing w:line="343" w:lineRule="auto"/>
              <w:rPr>
                <w:rFonts w:ascii="Arial"/>
                <w:sz w:val="21"/>
              </w:rPr>
            </w:pPr>
          </w:p>
          <w:p w14:paraId="294EC5D0">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8450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3D731449">
            <w:pPr>
              <w:spacing w:line="343" w:lineRule="auto"/>
              <w:rPr>
                <w:rFonts w:ascii="Arial"/>
                <w:sz w:val="21"/>
              </w:rPr>
            </w:pPr>
          </w:p>
          <w:p w14:paraId="7334975C">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57" w:type="dxa"/>
            <w:vAlign w:val="top"/>
          </w:tcPr>
          <w:p w14:paraId="3A1357A6">
            <w:pPr>
              <w:spacing w:line="300" w:lineRule="auto"/>
              <w:rPr>
                <w:rFonts w:ascii="Arial"/>
                <w:sz w:val="21"/>
              </w:rPr>
            </w:pPr>
          </w:p>
          <w:p w14:paraId="0F12EABC">
            <w:pPr>
              <w:pStyle w:val="6"/>
              <w:spacing w:before="65" w:line="228" w:lineRule="auto"/>
              <w:ind w:left="260"/>
            </w:pPr>
            <w:r>
              <w:rPr>
                <w:spacing w:val="7"/>
              </w:rPr>
              <w:t>三氯乙烯</w:t>
            </w:r>
          </w:p>
        </w:tc>
        <w:tc>
          <w:tcPr>
            <w:tcW w:w="3342" w:type="dxa"/>
            <w:vAlign w:val="top"/>
          </w:tcPr>
          <w:p w14:paraId="1601B5AA">
            <w:pPr>
              <w:pStyle w:val="6"/>
              <w:spacing w:before="55" w:line="227" w:lineRule="auto"/>
              <w:ind w:left="157"/>
            </w:pPr>
            <w:r>
              <w:rPr>
                <w:spacing w:val="8"/>
              </w:rPr>
              <w:t>《土壤和沉积物 挥发性有机物的</w:t>
            </w:r>
          </w:p>
          <w:p w14:paraId="2283A876">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30FF45B0">
            <w:pPr>
              <w:pStyle w:val="6"/>
              <w:spacing w:before="65"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2A7C868F">
            <w:pPr>
              <w:spacing w:line="343" w:lineRule="auto"/>
              <w:rPr>
                <w:rFonts w:ascii="Arial"/>
                <w:sz w:val="21"/>
              </w:rPr>
            </w:pPr>
          </w:p>
          <w:p w14:paraId="4EEE617F">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782" w:type="dxa"/>
            <w:vAlign w:val="top"/>
          </w:tcPr>
          <w:p w14:paraId="5EDE6344">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76AD15B5">
            <w:pPr>
              <w:spacing w:line="343" w:lineRule="auto"/>
              <w:rPr>
                <w:rFonts w:ascii="Arial"/>
                <w:sz w:val="21"/>
              </w:rPr>
            </w:pPr>
          </w:p>
          <w:p w14:paraId="3538CEFB">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00CDC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4EC4AB03">
            <w:pPr>
              <w:spacing w:line="345" w:lineRule="auto"/>
              <w:rPr>
                <w:rFonts w:ascii="Arial"/>
                <w:sz w:val="21"/>
              </w:rPr>
            </w:pPr>
          </w:p>
          <w:p w14:paraId="760ABA54">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357" w:type="dxa"/>
            <w:vAlign w:val="top"/>
          </w:tcPr>
          <w:p w14:paraId="78C0708F">
            <w:pPr>
              <w:pStyle w:val="6"/>
              <w:spacing w:before="212" w:line="221" w:lineRule="auto"/>
              <w:ind w:left="138"/>
            </w:pPr>
            <w:r>
              <w:rPr>
                <w:rFonts w:ascii="Times New Roman" w:hAnsi="Times New Roman" w:eastAsia="Times New Roman" w:cs="Times New Roman"/>
                <w:spacing w:val="3"/>
              </w:rPr>
              <w:t>1,2,3-</w:t>
            </w:r>
            <w:r>
              <w:rPr>
                <w:spacing w:val="3"/>
              </w:rPr>
              <w:t>三氯丙</w:t>
            </w:r>
          </w:p>
          <w:p w14:paraId="559B4ED2">
            <w:pPr>
              <w:pStyle w:val="6"/>
              <w:spacing w:before="73" w:line="228" w:lineRule="auto"/>
              <w:ind w:left="578"/>
            </w:pPr>
            <w:r>
              <w:t>烷</w:t>
            </w:r>
          </w:p>
        </w:tc>
        <w:tc>
          <w:tcPr>
            <w:tcW w:w="3342" w:type="dxa"/>
            <w:vAlign w:val="top"/>
          </w:tcPr>
          <w:p w14:paraId="42B7931B">
            <w:pPr>
              <w:pStyle w:val="6"/>
              <w:spacing w:before="57" w:line="227" w:lineRule="auto"/>
              <w:ind w:left="157"/>
            </w:pPr>
            <w:r>
              <w:rPr>
                <w:spacing w:val="8"/>
              </w:rPr>
              <w:t>《土壤和沉积物 挥发性有机物的</w:t>
            </w:r>
          </w:p>
          <w:p w14:paraId="2CB77BBE">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5B8DA16D">
            <w:pPr>
              <w:pStyle w:val="6"/>
              <w:spacing w:before="64"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04E329B5">
            <w:pPr>
              <w:spacing w:line="345" w:lineRule="auto"/>
              <w:rPr>
                <w:rFonts w:ascii="Arial"/>
                <w:sz w:val="21"/>
              </w:rPr>
            </w:pPr>
          </w:p>
          <w:p w14:paraId="2F2405D8">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782" w:type="dxa"/>
            <w:vAlign w:val="top"/>
          </w:tcPr>
          <w:p w14:paraId="539F0FD1">
            <w:pPr>
              <w:pStyle w:val="6"/>
              <w:spacing w:before="213"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40375AF">
            <w:pPr>
              <w:spacing w:line="345" w:lineRule="auto"/>
              <w:rPr>
                <w:rFonts w:ascii="Arial"/>
                <w:sz w:val="21"/>
              </w:rPr>
            </w:pPr>
          </w:p>
          <w:p w14:paraId="2D6FF3B7">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7C89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233DA2E7">
            <w:pPr>
              <w:spacing w:line="345" w:lineRule="auto"/>
              <w:rPr>
                <w:rFonts w:ascii="Arial"/>
                <w:sz w:val="21"/>
              </w:rPr>
            </w:pPr>
          </w:p>
          <w:p w14:paraId="43FB5D36">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357" w:type="dxa"/>
            <w:vAlign w:val="top"/>
          </w:tcPr>
          <w:p w14:paraId="3D00EF65">
            <w:pPr>
              <w:spacing w:line="301" w:lineRule="auto"/>
              <w:rPr>
                <w:rFonts w:ascii="Arial"/>
                <w:sz w:val="21"/>
              </w:rPr>
            </w:pPr>
          </w:p>
          <w:p w14:paraId="512E8C7F">
            <w:pPr>
              <w:pStyle w:val="6"/>
              <w:spacing w:before="65" w:line="228" w:lineRule="auto"/>
              <w:ind w:left="369"/>
            </w:pPr>
            <w:r>
              <w:rPr>
                <w:spacing w:val="5"/>
              </w:rPr>
              <w:t>氯乙烯</w:t>
            </w:r>
          </w:p>
        </w:tc>
        <w:tc>
          <w:tcPr>
            <w:tcW w:w="3342" w:type="dxa"/>
            <w:vAlign w:val="top"/>
          </w:tcPr>
          <w:p w14:paraId="535FA937">
            <w:pPr>
              <w:pStyle w:val="6"/>
              <w:spacing w:before="56" w:line="227" w:lineRule="auto"/>
              <w:ind w:left="157"/>
            </w:pPr>
            <w:r>
              <w:rPr>
                <w:spacing w:val="8"/>
              </w:rPr>
              <w:t>《土壤和沉积物 挥发性有机物的</w:t>
            </w:r>
          </w:p>
          <w:p w14:paraId="0D8BE119">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3252E87E">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FFA1CC9">
            <w:pPr>
              <w:spacing w:line="345" w:lineRule="auto"/>
              <w:rPr>
                <w:rFonts w:ascii="Arial"/>
                <w:sz w:val="21"/>
              </w:rPr>
            </w:pPr>
          </w:p>
          <w:p w14:paraId="6ECEC042">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w:t>
            </w:r>
          </w:p>
        </w:tc>
        <w:tc>
          <w:tcPr>
            <w:tcW w:w="1782" w:type="dxa"/>
            <w:vAlign w:val="top"/>
          </w:tcPr>
          <w:p w14:paraId="0EE1F336">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1F6A50FC">
            <w:pPr>
              <w:spacing w:line="345" w:lineRule="auto"/>
              <w:rPr>
                <w:rFonts w:ascii="Arial"/>
                <w:sz w:val="21"/>
              </w:rPr>
            </w:pPr>
          </w:p>
          <w:p w14:paraId="755EF85D">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47FE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6D3DC583">
            <w:pPr>
              <w:spacing w:line="344" w:lineRule="auto"/>
              <w:rPr>
                <w:rFonts w:ascii="Arial"/>
                <w:sz w:val="21"/>
              </w:rPr>
            </w:pPr>
          </w:p>
          <w:p w14:paraId="3BF91EF4">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357" w:type="dxa"/>
            <w:vAlign w:val="top"/>
          </w:tcPr>
          <w:p w14:paraId="32FE374B">
            <w:pPr>
              <w:spacing w:line="301" w:lineRule="auto"/>
              <w:rPr>
                <w:rFonts w:ascii="Arial"/>
                <w:sz w:val="21"/>
              </w:rPr>
            </w:pPr>
          </w:p>
          <w:p w14:paraId="066C97C7">
            <w:pPr>
              <w:pStyle w:val="6"/>
              <w:spacing w:before="65" w:line="227" w:lineRule="auto"/>
              <w:ind w:left="580"/>
            </w:pPr>
            <w:r>
              <w:t>苯</w:t>
            </w:r>
          </w:p>
        </w:tc>
        <w:tc>
          <w:tcPr>
            <w:tcW w:w="3342" w:type="dxa"/>
            <w:vAlign w:val="top"/>
          </w:tcPr>
          <w:p w14:paraId="23C00DB2">
            <w:pPr>
              <w:pStyle w:val="6"/>
              <w:spacing w:before="56" w:line="227" w:lineRule="auto"/>
              <w:ind w:left="157"/>
            </w:pPr>
            <w:r>
              <w:rPr>
                <w:spacing w:val="8"/>
              </w:rPr>
              <w:t>《土壤和沉积物 挥发性有机物的</w:t>
            </w:r>
          </w:p>
          <w:p w14:paraId="62D4BF6A">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209FF51C">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655259B">
            <w:pPr>
              <w:spacing w:line="344" w:lineRule="auto"/>
              <w:rPr>
                <w:rFonts w:ascii="Arial"/>
                <w:sz w:val="21"/>
              </w:rPr>
            </w:pPr>
          </w:p>
          <w:p w14:paraId="60EFBA09">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782" w:type="dxa"/>
            <w:vAlign w:val="top"/>
          </w:tcPr>
          <w:p w14:paraId="3D49CF31">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386CA506">
            <w:pPr>
              <w:spacing w:line="344" w:lineRule="auto"/>
              <w:rPr>
                <w:rFonts w:ascii="Arial"/>
                <w:sz w:val="21"/>
              </w:rPr>
            </w:pPr>
          </w:p>
          <w:p w14:paraId="42E67D22">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852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91" w:type="dxa"/>
            <w:vAlign w:val="top"/>
          </w:tcPr>
          <w:p w14:paraId="1729D703">
            <w:pPr>
              <w:spacing w:line="344" w:lineRule="auto"/>
              <w:rPr>
                <w:rFonts w:ascii="Arial"/>
                <w:sz w:val="21"/>
              </w:rPr>
            </w:pPr>
          </w:p>
          <w:p w14:paraId="77E32B65">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57" w:type="dxa"/>
            <w:vAlign w:val="top"/>
          </w:tcPr>
          <w:p w14:paraId="2881F5A3">
            <w:pPr>
              <w:spacing w:line="301" w:lineRule="auto"/>
              <w:rPr>
                <w:rFonts w:ascii="Arial"/>
                <w:sz w:val="21"/>
              </w:rPr>
            </w:pPr>
          </w:p>
          <w:p w14:paraId="7B52CFC8">
            <w:pPr>
              <w:pStyle w:val="6"/>
              <w:spacing w:before="65" w:line="227" w:lineRule="auto"/>
              <w:ind w:left="475"/>
            </w:pPr>
            <w:r>
              <w:rPr>
                <w:spacing w:val="3"/>
              </w:rPr>
              <w:t>氯苯</w:t>
            </w:r>
          </w:p>
        </w:tc>
        <w:tc>
          <w:tcPr>
            <w:tcW w:w="3342" w:type="dxa"/>
            <w:vAlign w:val="top"/>
          </w:tcPr>
          <w:p w14:paraId="6E03516D">
            <w:pPr>
              <w:pStyle w:val="6"/>
              <w:spacing w:before="55" w:line="227" w:lineRule="auto"/>
              <w:ind w:left="157"/>
            </w:pPr>
            <w:r>
              <w:rPr>
                <w:spacing w:val="8"/>
              </w:rPr>
              <w:t>《土壤和沉积物 挥发性有机物的</w:t>
            </w:r>
          </w:p>
          <w:p w14:paraId="4058B4B3">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6A8E2FD9">
            <w:pPr>
              <w:pStyle w:val="6"/>
              <w:spacing w:before="65" w:line="233"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47835A69">
            <w:pPr>
              <w:spacing w:line="344" w:lineRule="auto"/>
              <w:rPr>
                <w:rFonts w:ascii="Arial"/>
                <w:sz w:val="21"/>
              </w:rPr>
            </w:pPr>
          </w:p>
          <w:p w14:paraId="6C708D57">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0.0011</w:t>
            </w:r>
          </w:p>
        </w:tc>
        <w:tc>
          <w:tcPr>
            <w:tcW w:w="1782" w:type="dxa"/>
            <w:vAlign w:val="top"/>
          </w:tcPr>
          <w:p w14:paraId="3119286C">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7EBA6AF">
            <w:pPr>
              <w:spacing w:line="344" w:lineRule="auto"/>
              <w:rPr>
                <w:rFonts w:ascii="Arial"/>
                <w:sz w:val="21"/>
              </w:rPr>
            </w:pPr>
          </w:p>
          <w:p w14:paraId="1503DF0A">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bl>
    <w:p w14:paraId="2322BFE2">
      <w:pPr>
        <w:pStyle w:val="2"/>
      </w:pPr>
    </w:p>
    <w:p w14:paraId="621C1A29">
      <w:pPr>
        <w:sectPr>
          <w:footerReference r:id="rId213" w:type="default"/>
          <w:pgSz w:w="11906" w:h="16839"/>
          <w:pgMar w:top="1208" w:right="1215" w:bottom="957" w:left="1215" w:header="825" w:footer="795" w:gutter="0"/>
          <w:cols w:space="720" w:num="1"/>
        </w:sectPr>
      </w:pPr>
    </w:p>
    <w:p w14:paraId="1497A968">
      <w:pPr>
        <w:spacing w:line="231" w:lineRule="exact"/>
      </w:pPr>
    </w:p>
    <w:tbl>
      <w:tblPr>
        <w:tblStyle w:val="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357"/>
        <w:gridCol w:w="3342"/>
        <w:gridCol w:w="995"/>
        <w:gridCol w:w="1782"/>
        <w:gridCol w:w="1403"/>
      </w:tblGrid>
      <w:tr w14:paraId="3516B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91" w:type="dxa"/>
            <w:vAlign w:val="top"/>
          </w:tcPr>
          <w:p w14:paraId="6AA58F8C">
            <w:pPr>
              <w:spacing w:line="344" w:lineRule="auto"/>
              <w:rPr>
                <w:rFonts w:ascii="Arial"/>
                <w:sz w:val="21"/>
              </w:rPr>
            </w:pPr>
          </w:p>
          <w:p w14:paraId="209C6AEF">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7" w:type="dxa"/>
            <w:vAlign w:val="top"/>
          </w:tcPr>
          <w:p w14:paraId="53A216B8">
            <w:pPr>
              <w:spacing w:line="301" w:lineRule="auto"/>
              <w:rPr>
                <w:rFonts w:ascii="Arial"/>
                <w:sz w:val="21"/>
              </w:rPr>
            </w:pPr>
          </w:p>
          <w:p w14:paraId="2FE08929">
            <w:pPr>
              <w:pStyle w:val="6"/>
              <w:spacing w:before="65" w:line="221" w:lineRule="auto"/>
              <w:ind w:left="217"/>
            </w:pPr>
            <w:r>
              <w:rPr>
                <w:rFonts w:ascii="Times New Roman" w:hAnsi="Times New Roman" w:eastAsia="Times New Roman" w:cs="Times New Roman"/>
                <w:spacing w:val="2"/>
              </w:rPr>
              <w:t>1,2-</w:t>
            </w:r>
            <w:r>
              <w:rPr>
                <w:spacing w:val="2"/>
              </w:rPr>
              <w:t>二氯苯</w:t>
            </w:r>
          </w:p>
        </w:tc>
        <w:tc>
          <w:tcPr>
            <w:tcW w:w="3342" w:type="dxa"/>
            <w:vAlign w:val="top"/>
          </w:tcPr>
          <w:p w14:paraId="6AD501CC">
            <w:pPr>
              <w:pStyle w:val="6"/>
              <w:spacing w:before="56" w:line="227" w:lineRule="auto"/>
              <w:ind w:left="157"/>
            </w:pPr>
            <w:r>
              <w:rPr>
                <w:spacing w:val="8"/>
              </w:rPr>
              <w:t>《土壤和沉积物 挥发性有机物的</w:t>
            </w:r>
          </w:p>
          <w:p w14:paraId="00E63CDF">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566DC7E">
            <w:pPr>
              <w:pStyle w:val="6"/>
              <w:spacing w:before="65" w:line="235"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28FBB2A3">
            <w:pPr>
              <w:spacing w:line="344" w:lineRule="auto"/>
              <w:rPr>
                <w:rFonts w:ascii="Arial"/>
                <w:sz w:val="21"/>
              </w:rPr>
            </w:pPr>
          </w:p>
          <w:p w14:paraId="77117A3B">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782" w:type="dxa"/>
            <w:vAlign w:val="top"/>
          </w:tcPr>
          <w:p w14:paraId="2AF1F55E">
            <w:pPr>
              <w:pStyle w:val="6"/>
              <w:spacing w:before="212"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6422B7AD">
            <w:pPr>
              <w:spacing w:line="344" w:lineRule="auto"/>
              <w:rPr>
                <w:rFonts w:ascii="Arial"/>
                <w:sz w:val="21"/>
              </w:rPr>
            </w:pPr>
          </w:p>
          <w:p w14:paraId="7659CAC1">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12935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547D02B">
            <w:pPr>
              <w:spacing w:line="340" w:lineRule="auto"/>
              <w:rPr>
                <w:rFonts w:ascii="Arial"/>
                <w:sz w:val="21"/>
              </w:rPr>
            </w:pPr>
          </w:p>
          <w:p w14:paraId="59DD812C">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357" w:type="dxa"/>
            <w:vAlign w:val="top"/>
          </w:tcPr>
          <w:p w14:paraId="380E8D24">
            <w:pPr>
              <w:spacing w:line="296" w:lineRule="auto"/>
              <w:rPr>
                <w:rFonts w:ascii="Arial"/>
                <w:sz w:val="21"/>
              </w:rPr>
            </w:pPr>
          </w:p>
          <w:p w14:paraId="5E97E21D">
            <w:pPr>
              <w:pStyle w:val="6"/>
              <w:spacing w:before="65" w:line="221" w:lineRule="auto"/>
              <w:ind w:left="217"/>
            </w:pPr>
            <w:r>
              <w:rPr>
                <w:rFonts w:ascii="Times New Roman" w:hAnsi="Times New Roman" w:eastAsia="Times New Roman" w:cs="Times New Roman"/>
                <w:spacing w:val="2"/>
              </w:rPr>
              <w:t>1,4-</w:t>
            </w:r>
            <w:r>
              <w:rPr>
                <w:spacing w:val="2"/>
              </w:rPr>
              <w:t>二氯苯</w:t>
            </w:r>
          </w:p>
        </w:tc>
        <w:tc>
          <w:tcPr>
            <w:tcW w:w="3342" w:type="dxa"/>
            <w:vAlign w:val="top"/>
          </w:tcPr>
          <w:p w14:paraId="74CDA83A">
            <w:pPr>
              <w:pStyle w:val="6"/>
              <w:spacing w:before="51" w:line="227" w:lineRule="auto"/>
              <w:ind w:left="157"/>
            </w:pPr>
            <w:r>
              <w:rPr>
                <w:spacing w:val="8"/>
              </w:rPr>
              <w:t>《土壤和沉积物 挥发性有机物的</w:t>
            </w:r>
          </w:p>
          <w:p w14:paraId="612DEBCD">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73EB3EA4">
            <w:pPr>
              <w:pStyle w:val="6"/>
              <w:spacing w:before="65" w:line="234"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FC8CAD3">
            <w:pPr>
              <w:spacing w:line="340" w:lineRule="auto"/>
              <w:rPr>
                <w:rFonts w:ascii="Arial"/>
                <w:sz w:val="21"/>
              </w:rPr>
            </w:pPr>
          </w:p>
          <w:p w14:paraId="55B3745D">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782" w:type="dxa"/>
            <w:vAlign w:val="top"/>
          </w:tcPr>
          <w:p w14:paraId="439795DA">
            <w:pPr>
              <w:pStyle w:val="6"/>
              <w:spacing w:before="207"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03D7797B">
            <w:pPr>
              <w:spacing w:line="340" w:lineRule="auto"/>
              <w:rPr>
                <w:rFonts w:ascii="Arial"/>
                <w:sz w:val="21"/>
              </w:rPr>
            </w:pPr>
          </w:p>
          <w:p w14:paraId="2761818E">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898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5BFA609F">
            <w:pPr>
              <w:spacing w:line="340" w:lineRule="auto"/>
              <w:rPr>
                <w:rFonts w:ascii="Arial"/>
                <w:sz w:val="21"/>
              </w:rPr>
            </w:pPr>
          </w:p>
          <w:p w14:paraId="431668B9">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57" w:type="dxa"/>
            <w:vAlign w:val="top"/>
          </w:tcPr>
          <w:p w14:paraId="351FE9F1">
            <w:pPr>
              <w:spacing w:line="297" w:lineRule="auto"/>
              <w:rPr>
                <w:rFonts w:ascii="Arial"/>
                <w:sz w:val="21"/>
              </w:rPr>
            </w:pPr>
          </w:p>
          <w:p w14:paraId="30ADD119">
            <w:pPr>
              <w:pStyle w:val="6"/>
              <w:spacing w:before="65" w:line="227" w:lineRule="auto"/>
              <w:ind w:left="492"/>
            </w:pPr>
            <w:r>
              <w:rPr>
                <w:spacing w:val="-6"/>
              </w:rPr>
              <w:t>乙苯</w:t>
            </w:r>
          </w:p>
        </w:tc>
        <w:tc>
          <w:tcPr>
            <w:tcW w:w="3342" w:type="dxa"/>
            <w:vAlign w:val="top"/>
          </w:tcPr>
          <w:p w14:paraId="2E5E0A0A">
            <w:pPr>
              <w:pStyle w:val="6"/>
              <w:spacing w:before="52" w:line="227" w:lineRule="auto"/>
              <w:ind w:left="157"/>
            </w:pPr>
            <w:r>
              <w:rPr>
                <w:spacing w:val="8"/>
              </w:rPr>
              <w:t>《土壤和沉积物 挥发性有机物的</w:t>
            </w:r>
          </w:p>
          <w:p w14:paraId="389CC20B">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17CA226D">
            <w:pPr>
              <w:pStyle w:val="6"/>
              <w:spacing w:before="65" w:line="235"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52733A8B">
            <w:pPr>
              <w:spacing w:line="340" w:lineRule="auto"/>
              <w:rPr>
                <w:rFonts w:ascii="Arial"/>
                <w:sz w:val="21"/>
              </w:rPr>
            </w:pPr>
          </w:p>
          <w:p w14:paraId="7863A526">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782" w:type="dxa"/>
            <w:vAlign w:val="top"/>
          </w:tcPr>
          <w:p w14:paraId="336024D0">
            <w:pPr>
              <w:pStyle w:val="6"/>
              <w:spacing w:before="208"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12183A64">
            <w:pPr>
              <w:spacing w:line="340" w:lineRule="auto"/>
              <w:rPr>
                <w:rFonts w:ascii="Arial"/>
                <w:sz w:val="21"/>
              </w:rPr>
            </w:pPr>
          </w:p>
          <w:p w14:paraId="02F8F18E">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796DF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DCC4968">
            <w:pPr>
              <w:spacing w:line="340" w:lineRule="auto"/>
              <w:rPr>
                <w:rFonts w:ascii="Arial"/>
                <w:sz w:val="21"/>
              </w:rPr>
            </w:pPr>
          </w:p>
          <w:p w14:paraId="652A81B2">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357" w:type="dxa"/>
            <w:vAlign w:val="top"/>
          </w:tcPr>
          <w:p w14:paraId="749B60AC">
            <w:pPr>
              <w:spacing w:line="297" w:lineRule="auto"/>
              <w:rPr>
                <w:rFonts w:ascii="Arial"/>
                <w:sz w:val="21"/>
              </w:rPr>
            </w:pPr>
          </w:p>
          <w:p w14:paraId="41CA2EBD">
            <w:pPr>
              <w:pStyle w:val="6"/>
              <w:spacing w:before="65" w:line="227" w:lineRule="auto"/>
              <w:ind w:left="369"/>
            </w:pPr>
            <w:r>
              <w:rPr>
                <w:spacing w:val="6"/>
              </w:rPr>
              <w:t>苯乙烯</w:t>
            </w:r>
          </w:p>
        </w:tc>
        <w:tc>
          <w:tcPr>
            <w:tcW w:w="3342" w:type="dxa"/>
            <w:vAlign w:val="top"/>
          </w:tcPr>
          <w:p w14:paraId="798FB15C">
            <w:pPr>
              <w:pStyle w:val="6"/>
              <w:spacing w:before="52" w:line="227" w:lineRule="auto"/>
              <w:ind w:left="157"/>
            </w:pPr>
            <w:r>
              <w:rPr>
                <w:spacing w:val="8"/>
              </w:rPr>
              <w:t>《土壤和沉积物 挥发性有机物的</w:t>
            </w:r>
          </w:p>
          <w:p w14:paraId="75107CA7">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0A1F8D8C">
            <w:pPr>
              <w:pStyle w:val="6"/>
              <w:spacing w:before="65" w:line="234"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4021798">
            <w:pPr>
              <w:spacing w:line="340" w:lineRule="auto"/>
              <w:rPr>
                <w:rFonts w:ascii="Arial"/>
                <w:sz w:val="21"/>
              </w:rPr>
            </w:pPr>
          </w:p>
          <w:p w14:paraId="53296B6C">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782" w:type="dxa"/>
            <w:vAlign w:val="top"/>
          </w:tcPr>
          <w:p w14:paraId="7836FB44">
            <w:pPr>
              <w:pStyle w:val="6"/>
              <w:spacing w:before="208"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4010D5DE">
            <w:pPr>
              <w:spacing w:line="340" w:lineRule="auto"/>
              <w:rPr>
                <w:rFonts w:ascii="Arial"/>
                <w:sz w:val="21"/>
              </w:rPr>
            </w:pPr>
          </w:p>
          <w:p w14:paraId="30F6854A">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33AB7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7D56D4ED">
            <w:pPr>
              <w:spacing w:line="343" w:lineRule="auto"/>
              <w:rPr>
                <w:rFonts w:ascii="Arial"/>
                <w:sz w:val="21"/>
              </w:rPr>
            </w:pPr>
          </w:p>
          <w:p w14:paraId="6A7B6AD3">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357" w:type="dxa"/>
            <w:vAlign w:val="top"/>
          </w:tcPr>
          <w:p w14:paraId="5DA784E0">
            <w:pPr>
              <w:spacing w:line="300" w:lineRule="auto"/>
              <w:rPr>
                <w:rFonts w:ascii="Arial"/>
                <w:sz w:val="21"/>
              </w:rPr>
            </w:pPr>
          </w:p>
          <w:p w14:paraId="78D41335">
            <w:pPr>
              <w:pStyle w:val="6"/>
              <w:spacing w:before="65" w:line="227" w:lineRule="auto"/>
              <w:ind w:left="499"/>
            </w:pPr>
            <w:r>
              <w:rPr>
                <w:spacing w:val="-9"/>
              </w:rPr>
              <w:t>甲苯</w:t>
            </w:r>
          </w:p>
        </w:tc>
        <w:tc>
          <w:tcPr>
            <w:tcW w:w="3342" w:type="dxa"/>
            <w:vAlign w:val="top"/>
          </w:tcPr>
          <w:p w14:paraId="3125BB94">
            <w:pPr>
              <w:pStyle w:val="6"/>
              <w:spacing w:before="55" w:line="227" w:lineRule="auto"/>
              <w:ind w:left="157"/>
            </w:pPr>
            <w:r>
              <w:rPr>
                <w:spacing w:val="8"/>
              </w:rPr>
              <w:t>《土壤和沉积物 挥发性有机物的</w:t>
            </w:r>
          </w:p>
          <w:p w14:paraId="43F81D8F">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5EFD91C0">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3E6F4231">
            <w:pPr>
              <w:spacing w:line="343" w:lineRule="auto"/>
              <w:rPr>
                <w:rFonts w:ascii="Arial"/>
                <w:sz w:val="21"/>
              </w:rPr>
            </w:pPr>
          </w:p>
          <w:p w14:paraId="4E450374">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782" w:type="dxa"/>
            <w:vAlign w:val="top"/>
          </w:tcPr>
          <w:p w14:paraId="7AA31C2F">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E53B267">
            <w:pPr>
              <w:spacing w:line="343" w:lineRule="auto"/>
              <w:rPr>
                <w:rFonts w:ascii="Arial"/>
                <w:sz w:val="21"/>
              </w:rPr>
            </w:pPr>
          </w:p>
          <w:p w14:paraId="70DE6656">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EB83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3CC8D89A">
            <w:pPr>
              <w:spacing w:line="344" w:lineRule="auto"/>
              <w:rPr>
                <w:rFonts w:ascii="Arial"/>
                <w:sz w:val="21"/>
              </w:rPr>
            </w:pPr>
          </w:p>
          <w:p w14:paraId="70B7B1A7">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357" w:type="dxa"/>
            <w:vAlign w:val="top"/>
          </w:tcPr>
          <w:p w14:paraId="67931252">
            <w:pPr>
              <w:spacing w:line="300" w:lineRule="auto"/>
              <w:rPr>
                <w:rFonts w:ascii="Arial"/>
                <w:sz w:val="21"/>
              </w:rPr>
            </w:pPr>
          </w:p>
          <w:p w14:paraId="157F1514">
            <w:pPr>
              <w:pStyle w:val="6"/>
              <w:spacing w:before="65" w:line="227" w:lineRule="auto"/>
              <w:ind w:left="145"/>
            </w:pPr>
            <w:r>
              <w:rPr>
                <w:spacing w:val="4"/>
              </w:rPr>
              <w:t>间</w:t>
            </w:r>
            <w:r>
              <w:rPr>
                <w:rFonts w:ascii="Times New Roman" w:hAnsi="Times New Roman" w:eastAsia="Times New Roman" w:cs="Times New Roman"/>
                <w:spacing w:val="4"/>
              </w:rPr>
              <w:t>/</w:t>
            </w:r>
            <w:r>
              <w:rPr>
                <w:spacing w:val="4"/>
              </w:rPr>
              <w:t>对二甲苯</w:t>
            </w:r>
          </w:p>
        </w:tc>
        <w:tc>
          <w:tcPr>
            <w:tcW w:w="3342" w:type="dxa"/>
            <w:vAlign w:val="top"/>
          </w:tcPr>
          <w:p w14:paraId="3EC422ED">
            <w:pPr>
              <w:pStyle w:val="6"/>
              <w:spacing w:before="55" w:line="227" w:lineRule="auto"/>
              <w:ind w:left="157"/>
            </w:pPr>
            <w:r>
              <w:rPr>
                <w:spacing w:val="8"/>
              </w:rPr>
              <w:t>《土壤和沉积物 挥发性有机物的</w:t>
            </w:r>
          </w:p>
          <w:p w14:paraId="7094E345">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2BAD4C58">
            <w:pPr>
              <w:pStyle w:val="6"/>
              <w:spacing w:before="65" w:line="232"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13F0C260">
            <w:pPr>
              <w:spacing w:line="344" w:lineRule="auto"/>
              <w:rPr>
                <w:rFonts w:ascii="Arial"/>
                <w:sz w:val="21"/>
              </w:rPr>
            </w:pPr>
          </w:p>
          <w:p w14:paraId="68DD4535">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0.0036</w:t>
            </w:r>
          </w:p>
        </w:tc>
        <w:tc>
          <w:tcPr>
            <w:tcW w:w="1782" w:type="dxa"/>
            <w:vAlign w:val="top"/>
          </w:tcPr>
          <w:p w14:paraId="4F888046">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672DBA3">
            <w:pPr>
              <w:spacing w:line="344" w:lineRule="auto"/>
              <w:rPr>
                <w:rFonts w:ascii="Arial"/>
                <w:sz w:val="21"/>
              </w:rPr>
            </w:pPr>
          </w:p>
          <w:p w14:paraId="5F3977DF">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650C4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3FF74047">
            <w:pPr>
              <w:spacing w:line="343" w:lineRule="auto"/>
              <w:rPr>
                <w:rFonts w:ascii="Arial"/>
                <w:sz w:val="21"/>
              </w:rPr>
            </w:pPr>
          </w:p>
          <w:p w14:paraId="6E16886D">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357" w:type="dxa"/>
            <w:vAlign w:val="top"/>
          </w:tcPr>
          <w:p w14:paraId="7DBE97CD">
            <w:pPr>
              <w:spacing w:line="300" w:lineRule="auto"/>
              <w:rPr>
                <w:rFonts w:ascii="Arial"/>
                <w:sz w:val="21"/>
              </w:rPr>
            </w:pPr>
          </w:p>
          <w:p w14:paraId="51BCDBFC">
            <w:pPr>
              <w:pStyle w:val="6"/>
              <w:spacing w:before="65" w:line="227" w:lineRule="auto"/>
              <w:ind w:left="260"/>
            </w:pPr>
            <w:r>
              <w:rPr>
                <w:spacing w:val="7"/>
              </w:rPr>
              <w:t>邻二甲苯</w:t>
            </w:r>
          </w:p>
        </w:tc>
        <w:tc>
          <w:tcPr>
            <w:tcW w:w="3342" w:type="dxa"/>
            <w:vAlign w:val="top"/>
          </w:tcPr>
          <w:p w14:paraId="557E9201">
            <w:pPr>
              <w:pStyle w:val="6"/>
              <w:spacing w:before="55" w:line="227" w:lineRule="auto"/>
              <w:ind w:left="157"/>
            </w:pPr>
            <w:r>
              <w:rPr>
                <w:spacing w:val="8"/>
              </w:rPr>
              <w:t>《土壤和沉积物 挥发性有机物的</w:t>
            </w:r>
          </w:p>
          <w:p w14:paraId="47651343">
            <w:pPr>
              <w:pStyle w:val="6"/>
              <w:spacing w:before="65" w:line="228" w:lineRule="auto"/>
              <w:ind w:left="111"/>
              <w:rPr>
                <w:rFonts w:ascii="Times New Roman" w:hAnsi="Times New Roman" w:eastAsia="Times New Roman" w:cs="Times New Roman"/>
              </w:rPr>
            </w:pPr>
            <w:r>
              <w:rPr>
                <w:spacing w:val="4"/>
              </w:rPr>
              <w:t>测定顶空</w:t>
            </w:r>
            <w:r>
              <w:rPr>
                <w:rFonts w:ascii="Times New Roman" w:hAnsi="Times New Roman" w:eastAsia="Times New Roman" w:cs="Times New Roman"/>
                <w:spacing w:val="4"/>
              </w:rPr>
              <w:t xml:space="preserve">/  </w:t>
            </w:r>
            <w:r>
              <w:rPr>
                <w:spacing w:val="4"/>
              </w:rPr>
              <w:t>气相色谱</w:t>
            </w:r>
            <w:r>
              <w:rPr>
                <w:rFonts w:ascii="Times New Roman" w:hAnsi="Times New Roman" w:eastAsia="Times New Roman" w:cs="Times New Roman"/>
                <w:spacing w:val="4"/>
              </w:rPr>
              <w:t>-</w:t>
            </w:r>
            <w:r>
              <w:rPr>
                <w:spacing w:val="4"/>
              </w:rPr>
              <w:t>质谱法》（</w:t>
            </w:r>
            <w:r>
              <w:rPr>
                <w:rFonts w:ascii="Times New Roman" w:hAnsi="Times New Roman" w:eastAsia="Times New Roman" w:cs="Times New Roman"/>
              </w:rPr>
              <w:t>HJ</w:t>
            </w:r>
          </w:p>
          <w:p w14:paraId="6C284E74">
            <w:pPr>
              <w:pStyle w:val="6"/>
              <w:spacing w:before="65" w:line="231" w:lineRule="auto"/>
              <w:ind w:left="1167"/>
            </w:pPr>
            <w:r>
              <w:rPr>
                <w:rFonts w:ascii="Times New Roman" w:hAnsi="Times New Roman" w:eastAsia="Times New Roman" w:cs="Times New Roman"/>
                <w:spacing w:val="3"/>
              </w:rPr>
              <w:t>642-2013</w:t>
            </w:r>
            <w:r>
              <w:rPr>
                <w:spacing w:val="3"/>
              </w:rPr>
              <w:t>）</w:t>
            </w:r>
          </w:p>
        </w:tc>
        <w:tc>
          <w:tcPr>
            <w:tcW w:w="995" w:type="dxa"/>
            <w:vAlign w:val="top"/>
          </w:tcPr>
          <w:p w14:paraId="53A06D8E">
            <w:pPr>
              <w:spacing w:line="343" w:lineRule="auto"/>
              <w:rPr>
                <w:rFonts w:ascii="Arial"/>
                <w:sz w:val="21"/>
              </w:rPr>
            </w:pPr>
          </w:p>
          <w:p w14:paraId="41434B6B">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0.0013</w:t>
            </w:r>
          </w:p>
        </w:tc>
        <w:tc>
          <w:tcPr>
            <w:tcW w:w="1782" w:type="dxa"/>
            <w:vAlign w:val="top"/>
          </w:tcPr>
          <w:p w14:paraId="24A05DB2">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1BE09B1F">
            <w:pPr>
              <w:spacing w:line="343" w:lineRule="auto"/>
              <w:rPr>
                <w:rFonts w:ascii="Arial"/>
                <w:sz w:val="21"/>
              </w:rPr>
            </w:pPr>
          </w:p>
          <w:p w14:paraId="578A51FA">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43AA6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3434A4CA">
            <w:pPr>
              <w:spacing w:line="344" w:lineRule="auto"/>
              <w:rPr>
                <w:rFonts w:ascii="Arial"/>
                <w:sz w:val="21"/>
              </w:rPr>
            </w:pPr>
          </w:p>
          <w:p w14:paraId="1515C2A3">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357" w:type="dxa"/>
            <w:vAlign w:val="top"/>
          </w:tcPr>
          <w:p w14:paraId="21EEE4E9">
            <w:pPr>
              <w:spacing w:line="301" w:lineRule="auto"/>
              <w:rPr>
                <w:rFonts w:ascii="Arial"/>
                <w:sz w:val="21"/>
              </w:rPr>
            </w:pPr>
          </w:p>
          <w:p w14:paraId="194BC57D">
            <w:pPr>
              <w:pStyle w:val="6"/>
              <w:spacing w:before="65" w:line="227" w:lineRule="auto"/>
              <w:ind w:left="368"/>
            </w:pPr>
            <w:r>
              <w:rPr>
                <w:spacing w:val="6"/>
              </w:rPr>
              <w:t>硝基苯</w:t>
            </w:r>
          </w:p>
        </w:tc>
        <w:tc>
          <w:tcPr>
            <w:tcW w:w="3342" w:type="dxa"/>
            <w:vAlign w:val="top"/>
          </w:tcPr>
          <w:p w14:paraId="22653B66">
            <w:pPr>
              <w:pStyle w:val="6"/>
              <w:spacing w:before="55" w:line="227" w:lineRule="auto"/>
              <w:ind w:left="157"/>
            </w:pPr>
            <w:r>
              <w:rPr>
                <w:spacing w:val="8"/>
              </w:rPr>
              <w:t>《土壤和沉积物 半挥发性有机物</w:t>
            </w:r>
          </w:p>
          <w:p w14:paraId="0EA5E480">
            <w:pPr>
              <w:pStyle w:val="6"/>
              <w:spacing w:before="66" w:line="228" w:lineRule="auto"/>
              <w:ind w:left="281"/>
              <w:rPr>
                <w:rFonts w:ascii="Times New Roman" w:hAnsi="Times New Roman" w:eastAsia="Times New Roman" w:cs="Times New Roman"/>
              </w:rPr>
            </w:pPr>
            <w:r>
              <w:rPr>
                <w:spacing w:val="8"/>
              </w:rPr>
              <w:t>的测定气相色谱</w:t>
            </w:r>
            <w:r>
              <w:rPr>
                <w:rFonts w:ascii="Times New Roman" w:hAnsi="Times New Roman" w:eastAsia="Times New Roman" w:cs="Times New Roman"/>
                <w:spacing w:val="8"/>
              </w:rPr>
              <w:t>-</w:t>
            </w:r>
            <w:r>
              <w:rPr>
                <w:spacing w:val="8"/>
              </w:rPr>
              <w:t>质谱法》（</w:t>
            </w:r>
            <w:r>
              <w:rPr>
                <w:rFonts w:ascii="Times New Roman" w:hAnsi="Times New Roman" w:eastAsia="Times New Roman" w:cs="Times New Roman"/>
              </w:rPr>
              <w:t>HJ</w:t>
            </w:r>
          </w:p>
          <w:p w14:paraId="2E4AEC30">
            <w:pPr>
              <w:pStyle w:val="6"/>
              <w:spacing w:before="64" w:line="232" w:lineRule="auto"/>
              <w:ind w:left="1171"/>
            </w:pPr>
            <w:r>
              <w:rPr>
                <w:rFonts w:ascii="Times New Roman" w:hAnsi="Times New Roman" w:eastAsia="Times New Roman" w:cs="Times New Roman"/>
                <w:spacing w:val="2"/>
              </w:rPr>
              <w:t>834-2017</w:t>
            </w:r>
            <w:r>
              <w:rPr>
                <w:spacing w:val="2"/>
              </w:rPr>
              <w:t>）</w:t>
            </w:r>
          </w:p>
        </w:tc>
        <w:tc>
          <w:tcPr>
            <w:tcW w:w="995" w:type="dxa"/>
            <w:vAlign w:val="top"/>
          </w:tcPr>
          <w:p w14:paraId="4C6916CE">
            <w:pPr>
              <w:spacing w:line="344" w:lineRule="auto"/>
              <w:rPr>
                <w:rFonts w:ascii="Arial"/>
                <w:sz w:val="21"/>
              </w:rPr>
            </w:pPr>
          </w:p>
          <w:p w14:paraId="1C3C6641">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782" w:type="dxa"/>
            <w:vAlign w:val="top"/>
          </w:tcPr>
          <w:p w14:paraId="16714DB2">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6568E37B">
            <w:pPr>
              <w:spacing w:line="344" w:lineRule="auto"/>
              <w:rPr>
                <w:rFonts w:ascii="Arial"/>
                <w:sz w:val="21"/>
              </w:rPr>
            </w:pPr>
          </w:p>
          <w:p w14:paraId="5487E6B7">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2C598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6C80FCE4">
            <w:pPr>
              <w:spacing w:line="343" w:lineRule="auto"/>
              <w:rPr>
                <w:rFonts w:ascii="Arial"/>
                <w:sz w:val="21"/>
              </w:rPr>
            </w:pPr>
          </w:p>
          <w:p w14:paraId="76FA8B14">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357" w:type="dxa"/>
            <w:vAlign w:val="top"/>
          </w:tcPr>
          <w:p w14:paraId="32B3D6A3">
            <w:pPr>
              <w:spacing w:line="300" w:lineRule="auto"/>
              <w:rPr>
                <w:rFonts w:ascii="Arial"/>
                <w:sz w:val="21"/>
              </w:rPr>
            </w:pPr>
          </w:p>
          <w:p w14:paraId="3DCB2476">
            <w:pPr>
              <w:pStyle w:val="6"/>
              <w:spacing w:before="65" w:line="227" w:lineRule="auto"/>
              <w:ind w:left="474"/>
            </w:pPr>
            <w:r>
              <w:rPr>
                <w:spacing w:val="3"/>
              </w:rPr>
              <w:t>苯胺</w:t>
            </w:r>
          </w:p>
        </w:tc>
        <w:tc>
          <w:tcPr>
            <w:tcW w:w="3342" w:type="dxa"/>
            <w:vAlign w:val="top"/>
          </w:tcPr>
          <w:p w14:paraId="728A836E">
            <w:pPr>
              <w:pStyle w:val="6"/>
              <w:spacing w:before="55" w:line="227" w:lineRule="auto"/>
              <w:ind w:left="157"/>
            </w:pPr>
            <w:r>
              <w:rPr>
                <w:spacing w:val="8"/>
              </w:rPr>
              <w:t>《土壤和沉积物 半挥发性有机物</w:t>
            </w:r>
          </w:p>
          <w:p w14:paraId="451883EF">
            <w:pPr>
              <w:pStyle w:val="6"/>
              <w:spacing w:before="66" w:line="228" w:lineRule="auto"/>
              <w:ind w:left="281"/>
              <w:rPr>
                <w:rFonts w:ascii="Times New Roman" w:hAnsi="Times New Roman" w:eastAsia="Times New Roman" w:cs="Times New Roman"/>
              </w:rPr>
            </w:pPr>
            <w:r>
              <w:rPr>
                <w:spacing w:val="8"/>
              </w:rPr>
              <w:t>的测定气相色谱</w:t>
            </w:r>
            <w:r>
              <w:rPr>
                <w:rFonts w:ascii="Times New Roman" w:hAnsi="Times New Roman" w:eastAsia="Times New Roman" w:cs="Times New Roman"/>
                <w:spacing w:val="8"/>
              </w:rPr>
              <w:t>-</w:t>
            </w:r>
            <w:r>
              <w:rPr>
                <w:spacing w:val="8"/>
              </w:rPr>
              <w:t>质谱法》（</w:t>
            </w:r>
            <w:r>
              <w:rPr>
                <w:rFonts w:ascii="Times New Roman" w:hAnsi="Times New Roman" w:eastAsia="Times New Roman" w:cs="Times New Roman"/>
              </w:rPr>
              <w:t>HJ</w:t>
            </w:r>
          </w:p>
          <w:p w14:paraId="6C8DEB77">
            <w:pPr>
              <w:pStyle w:val="6"/>
              <w:spacing w:before="64" w:line="232" w:lineRule="auto"/>
              <w:ind w:left="1171"/>
            </w:pPr>
            <w:r>
              <w:rPr>
                <w:rFonts w:ascii="Times New Roman" w:hAnsi="Times New Roman" w:eastAsia="Times New Roman" w:cs="Times New Roman"/>
                <w:spacing w:val="2"/>
              </w:rPr>
              <w:t>834-2017</w:t>
            </w:r>
            <w:r>
              <w:rPr>
                <w:spacing w:val="2"/>
              </w:rPr>
              <w:t>）</w:t>
            </w:r>
          </w:p>
        </w:tc>
        <w:tc>
          <w:tcPr>
            <w:tcW w:w="995" w:type="dxa"/>
            <w:vAlign w:val="top"/>
          </w:tcPr>
          <w:p w14:paraId="20AACD61">
            <w:pPr>
              <w:spacing w:line="343" w:lineRule="auto"/>
              <w:rPr>
                <w:rFonts w:ascii="Arial"/>
                <w:sz w:val="21"/>
              </w:rPr>
            </w:pPr>
          </w:p>
          <w:p w14:paraId="6FC3200F">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782" w:type="dxa"/>
            <w:vAlign w:val="top"/>
          </w:tcPr>
          <w:p w14:paraId="34EFB806">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22944CB8">
            <w:pPr>
              <w:spacing w:line="343" w:lineRule="auto"/>
              <w:rPr>
                <w:rFonts w:ascii="Arial"/>
                <w:sz w:val="21"/>
              </w:rPr>
            </w:pPr>
          </w:p>
          <w:p w14:paraId="1B3D9A61">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46928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1701C0BD">
            <w:pPr>
              <w:spacing w:line="343" w:lineRule="auto"/>
              <w:rPr>
                <w:rFonts w:ascii="Arial"/>
                <w:sz w:val="21"/>
              </w:rPr>
            </w:pPr>
          </w:p>
          <w:p w14:paraId="500C4F87">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357" w:type="dxa"/>
            <w:vAlign w:val="top"/>
          </w:tcPr>
          <w:p w14:paraId="0656EDF7">
            <w:pPr>
              <w:spacing w:line="300" w:lineRule="auto"/>
              <w:rPr>
                <w:rFonts w:ascii="Arial"/>
                <w:sz w:val="21"/>
              </w:rPr>
            </w:pPr>
          </w:p>
          <w:p w14:paraId="4746F449">
            <w:pPr>
              <w:pStyle w:val="6"/>
              <w:spacing w:before="65" w:line="229" w:lineRule="auto"/>
              <w:ind w:left="379"/>
            </w:pPr>
            <w:r>
              <w:rPr>
                <w:rFonts w:ascii="Times New Roman" w:hAnsi="Times New Roman" w:eastAsia="Times New Roman" w:cs="Times New Roman"/>
                <w:spacing w:val="5"/>
              </w:rPr>
              <w:t>2-</w:t>
            </w:r>
            <w:r>
              <w:rPr>
                <w:spacing w:val="5"/>
              </w:rPr>
              <w:t>氯酚</w:t>
            </w:r>
          </w:p>
        </w:tc>
        <w:tc>
          <w:tcPr>
            <w:tcW w:w="3342" w:type="dxa"/>
            <w:vAlign w:val="top"/>
          </w:tcPr>
          <w:p w14:paraId="206D1717">
            <w:pPr>
              <w:pStyle w:val="6"/>
              <w:spacing w:before="55" w:line="227" w:lineRule="auto"/>
              <w:ind w:left="157"/>
            </w:pPr>
            <w:r>
              <w:rPr>
                <w:spacing w:val="8"/>
              </w:rPr>
              <w:t>《土壤和沉积物 半挥发性有机物</w:t>
            </w:r>
          </w:p>
          <w:p w14:paraId="0803E0A3">
            <w:pPr>
              <w:pStyle w:val="6"/>
              <w:spacing w:before="66" w:line="228" w:lineRule="auto"/>
              <w:ind w:left="281"/>
              <w:rPr>
                <w:rFonts w:ascii="Times New Roman" w:hAnsi="Times New Roman" w:eastAsia="Times New Roman" w:cs="Times New Roman"/>
              </w:rPr>
            </w:pPr>
            <w:r>
              <w:rPr>
                <w:spacing w:val="8"/>
              </w:rPr>
              <w:t>的测定气相色谱</w:t>
            </w:r>
            <w:r>
              <w:rPr>
                <w:rFonts w:ascii="Times New Roman" w:hAnsi="Times New Roman" w:eastAsia="Times New Roman" w:cs="Times New Roman"/>
                <w:spacing w:val="8"/>
              </w:rPr>
              <w:t>-</w:t>
            </w:r>
            <w:r>
              <w:rPr>
                <w:spacing w:val="8"/>
              </w:rPr>
              <w:t>质谱法》（</w:t>
            </w:r>
            <w:r>
              <w:rPr>
                <w:rFonts w:ascii="Times New Roman" w:hAnsi="Times New Roman" w:eastAsia="Times New Roman" w:cs="Times New Roman"/>
              </w:rPr>
              <w:t>HJ</w:t>
            </w:r>
          </w:p>
          <w:p w14:paraId="0BA3A26C">
            <w:pPr>
              <w:pStyle w:val="6"/>
              <w:spacing w:before="65" w:line="232" w:lineRule="auto"/>
              <w:ind w:left="1171"/>
            </w:pPr>
            <w:r>
              <w:rPr>
                <w:rFonts w:ascii="Times New Roman" w:hAnsi="Times New Roman" w:eastAsia="Times New Roman" w:cs="Times New Roman"/>
                <w:spacing w:val="2"/>
              </w:rPr>
              <w:t>834-2017</w:t>
            </w:r>
            <w:r>
              <w:rPr>
                <w:spacing w:val="2"/>
              </w:rPr>
              <w:t>）</w:t>
            </w:r>
          </w:p>
        </w:tc>
        <w:tc>
          <w:tcPr>
            <w:tcW w:w="995" w:type="dxa"/>
            <w:vAlign w:val="top"/>
          </w:tcPr>
          <w:p w14:paraId="3994926B">
            <w:pPr>
              <w:spacing w:line="343" w:lineRule="auto"/>
              <w:rPr>
                <w:rFonts w:ascii="Arial"/>
                <w:sz w:val="21"/>
              </w:rPr>
            </w:pPr>
          </w:p>
          <w:p w14:paraId="61911640">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782" w:type="dxa"/>
            <w:vAlign w:val="top"/>
          </w:tcPr>
          <w:p w14:paraId="12728EEA">
            <w:pPr>
              <w:pStyle w:val="6"/>
              <w:spacing w:before="211" w:line="286" w:lineRule="auto"/>
              <w:ind w:left="280" w:right="152" w:hanging="116"/>
              <w:rPr>
                <w:rFonts w:ascii="Times New Roman" w:hAnsi="Times New Roman" w:eastAsia="Times New Roman" w:cs="Times New Roman"/>
              </w:rPr>
            </w:pPr>
            <w:r>
              <w:rPr>
                <w:spacing w:val="8"/>
              </w:rPr>
              <w:t>气相色谱质谱联</w:t>
            </w:r>
            <w:r>
              <w:rPr>
                <w:spacing w:val="2"/>
              </w:rPr>
              <w:t xml:space="preserve"> </w:t>
            </w:r>
            <w:r>
              <w:rPr>
                <w:spacing w:val="7"/>
              </w:rPr>
              <w:t>用仪</w:t>
            </w:r>
            <w:r>
              <w:rPr>
                <w:rFonts w:ascii="Times New Roman" w:hAnsi="Times New Roman" w:eastAsia="Times New Roman" w:cs="Times New Roman"/>
                <w:spacing w:val="7"/>
              </w:rPr>
              <w:t>/</w:t>
            </w:r>
            <w:r>
              <w:rPr>
                <w:rFonts w:ascii="Times New Roman" w:hAnsi="Times New Roman" w:eastAsia="Times New Roman" w:cs="Times New Roman"/>
              </w:rPr>
              <w:t>ISQ</w:t>
            </w:r>
            <w:r>
              <w:rPr>
                <w:rFonts w:ascii="Times New Roman" w:hAnsi="Times New Roman" w:eastAsia="Times New Roman" w:cs="Times New Roman"/>
                <w:spacing w:val="7"/>
              </w:rPr>
              <w:t>7000</w:t>
            </w:r>
          </w:p>
        </w:tc>
        <w:tc>
          <w:tcPr>
            <w:tcW w:w="1403" w:type="dxa"/>
            <w:vAlign w:val="top"/>
          </w:tcPr>
          <w:p w14:paraId="5BDBA77E">
            <w:pPr>
              <w:spacing w:line="343" w:lineRule="auto"/>
              <w:rPr>
                <w:rFonts w:ascii="Arial"/>
                <w:sz w:val="21"/>
              </w:rPr>
            </w:pPr>
          </w:p>
          <w:p w14:paraId="477AD0EB">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-018-A</w:t>
            </w:r>
          </w:p>
        </w:tc>
      </w:tr>
      <w:tr w14:paraId="5F9BB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79A7E1D5">
            <w:pPr>
              <w:spacing w:line="345" w:lineRule="auto"/>
              <w:rPr>
                <w:rFonts w:ascii="Arial"/>
                <w:sz w:val="21"/>
              </w:rPr>
            </w:pPr>
          </w:p>
          <w:p w14:paraId="55AB7797">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357" w:type="dxa"/>
            <w:vAlign w:val="top"/>
          </w:tcPr>
          <w:p w14:paraId="12977CE1">
            <w:pPr>
              <w:spacing w:line="302" w:lineRule="auto"/>
              <w:rPr>
                <w:rFonts w:ascii="Arial"/>
                <w:sz w:val="21"/>
              </w:rPr>
            </w:pPr>
          </w:p>
          <w:p w14:paraId="5A4E702A">
            <w:pPr>
              <w:pStyle w:val="6"/>
              <w:spacing w:before="65" w:line="221" w:lineRule="auto"/>
              <w:ind w:left="251"/>
            </w:pPr>
            <w:r>
              <w:rPr>
                <w:spacing w:val="4"/>
              </w:rPr>
              <w:t>苯并</w:t>
            </w:r>
            <w:r>
              <w:rPr>
                <w:rFonts w:ascii="Times New Roman" w:hAnsi="Times New Roman" w:eastAsia="Times New Roman" w:cs="Times New Roman"/>
                <w:spacing w:val="4"/>
              </w:rPr>
              <w:t>[a]</w:t>
            </w:r>
            <w:r>
              <w:rPr>
                <w:spacing w:val="4"/>
              </w:rPr>
              <w:t>蒽</w:t>
            </w:r>
          </w:p>
        </w:tc>
        <w:tc>
          <w:tcPr>
            <w:tcW w:w="3342" w:type="dxa"/>
            <w:vAlign w:val="top"/>
          </w:tcPr>
          <w:p w14:paraId="07F82C53">
            <w:pPr>
              <w:pStyle w:val="6"/>
              <w:spacing w:before="214"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2C98E134">
            <w:pPr>
              <w:spacing w:line="345" w:lineRule="auto"/>
              <w:rPr>
                <w:rFonts w:ascii="Arial"/>
                <w:sz w:val="21"/>
              </w:rPr>
            </w:pPr>
          </w:p>
          <w:p w14:paraId="30C56A9C">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782" w:type="dxa"/>
            <w:vAlign w:val="top"/>
          </w:tcPr>
          <w:p w14:paraId="2299C947">
            <w:pPr>
              <w:pStyle w:val="6"/>
              <w:spacing w:before="56" w:line="228" w:lineRule="auto"/>
              <w:ind w:left="374"/>
            </w:pPr>
            <w:r>
              <w:rPr>
                <w:spacing w:val="7"/>
              </w:rPr>
              <w:t>液相色谱仪</w:t>
            </w:r>
          </w:p>
          <w:p w14:paraId="54BE85D2">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259FC7C3">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2B1422AC">
            <w:pPr>
              <w:spacing w:line="345" w:lineRule="auto"/>
              <w:rPr>
                <w:rFonts w:ascii="Arial"/>
                <w:sz w:val="21"/>
              </w:rPr>
            </w:pPr>
          </w:p>
          <w:p w14:paraId="60F6BDA5">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17FBA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22ABF5A1">
            <w:pPr>
              <w:spacing w:line="345" w:lineRule="auto"/>
              <w:rPr>
                <w:rFonts w:ascii="Arial"/>
                <w:sz w:val="21"/>
              </w:rPr>
            </w:pPr>
          </w:p>
          <w:p w14:paraId="1EF9DF30">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357" w:type="dxa"/>
            <w:vAlign w:val="top"/>
          </w:tcPr>
          <w:p w14:paraId="0D5D5FF1">
            <w:pPr>
              <w:spacing w:line="301" w:lineRule="auto"/>
              <w:rPr>
                <w:rFonts w:ascii="Arial"/>
                <w:sz w:val="21"/>
              </w:rPr>
            </w:pPr>
          </w:p>
          <w:p w14:paraId="38778E2D">
            <w:pPr>
              <w:pStyle w:val="6"/>
              <w:spacing w:before="65" w:line="221" w:lineRule="auto"/>
              <w:ind w:left="251"/>
            </w:pPr>
            <w:r>
              <w:rPr>
                <w:spacing w:val="4"/>
              </w:rPr>
              <w:t>苯并</w:t>
            </w:r>
            <w:r>
              <w:rPr>
                <w:rFonts w:ascii="Times New Roman" w:hAnsi="Times New Roman" w:eastAsia="Times New Roman" w:cs="Times New Roman"/>
                <w:spacing w:val="4"/>
              </w:rPr>
              <w:t>[a]</w:t>
            </w:r>
            <w:r>
              <w:rPr>
                <w:spacing w:val="4"/>
              </w:rPr>
              <w:t>芘</w:t>
            </w:r>
          </w:p>
        </w:tc>
        <w:tc>
          <w:tcPr>
            <w:tcW w:w="3342" w:type="dxa"/>
            <w:vAlign w:val="top"/>
          </w:tcPr>
          <w:p w14:paraId="5F72227A">
            <w:pPr>
              <w:pStyle w:val="6"/>
              <w:spacing w:before="213"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008F4105">
            <w:pPr>
              <w:spacing w:line="345" w:lineRule="auto"/>
              <w:rPr>
                <w:rFonts w:ascii="Arial"/>
                <w:sz w:val="21"/>
              </w:rPr>
            </w:pPr>
          </w:p>
          <w:p w14:paraId="6EB04EE8">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0045D478">
            <w:pPr>
              <w:pStyle w:val="6"/>
              <w:spacing w:before="56" w:line="228" w:lineRule="auto"/>
              <w:ind w:left="374"/>
            </w:pPr>
            <w:r>
              <w:rPr>
                <w:spacing w:val="7"/>
              </w:rPr>
              <w:t>液相色谱仪</w:t>
            </w:r>
          </w:p>
          <w:p w14:paraId="3E60A59A">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355313B3">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5CB05B92">
            <w:pPr>
              <w:spacing w:line="345" w:lineRule="auto"/>
              <w:rPr>
                <w:rFonts w:ascii="Arial"/>
                <w:sz w:val="21"/>
              </w:rPr>
            </w:pPr>
          </w:p>
          <w:p w14:paraId="4A8F37DD">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10609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91" w:type="dxa"/>
            <w:vAlign w:val="top"/>
          </w:tcPr>
          <w:p w14:paraId="18CC3E29">
            <w:pPr>
              <w:spacing w:line="344" w:lineRule="auto"/>
              <w:rPr>
                <w:rFonts w:ascii="Arial"/>
                <w:sz w:val="21"/>
              </w:rPr>
            </w:pPr>
          </w:p>
          <w:p w14:paraId="7347000B">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357" w:type="dxa"/>
            <w:vAlign w:val="top"/>
          </w:tcPr>
          <w:p w14:paraId="463C9A22">
            <w:pPr>
              <w:spacing w:line="301" w:lineRule="auto"/>
              <w:rPr>
                <w:rFonts w:ascii="Arial"/>
                <w:sz w:val="21"/>
              </w:rPr>
            </w:pPr>
          </w:p>
          <w:p w14:paraId="7299C78E">
            <w:pPr>
              <w:pStyle w:val="6"/>
              <w:spacing w:before="65" w:line="221" w:lineRule="auto"/>
              <w:ind w:left="141"/>
            </w:pPr>
            <w:r>
              <w:rPr>
                <w:spacing w:val="5"/>
              </w:rPr>
              <w:t>苯并</w:t>
            </w:r>
            <w:r>
              <w:rPr>
                <w:rFonts w:ascii="Times New Roman" w:hAnsi="Times New Roman" w:eastAsia="Times New Roman" w:cs="Times New Roman"/>
                <w:spacing w:val="5"/>
              </w:rPr>
              <w:t>[b]</w:t>
            </w:r>
            <w:r>
              <w:rPr>
                <w:spacing w:val="5"/>
              </w:rPr>
              <w:t>荧蒽</w:t>
            </w:r>
          </w:p>
        </w:tc>
        <w:tc>
          <w:tcPr>
            <w:tcW w:w="3342" w:type="dxa"/>
            <w:vAlign w:val="top"/>
          </w:tcPr>
          <w:p w14:paraId="09171BF9">
            <w:pPr>
              <w:pStyle w:val="6"/>
              <w:spacing w:before="213"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5CCDC662">
            <w:pPr>
              <w:spacing w:line="344" w:lineRule="auto"/>
              <w:rPr>
                <w:rFonts w:ascii="Arial"/>
                <w:sz w:val="21"/>
              </w:rPr>
            </w:pPr>
          </w:p>
          <w:p w14:paraId="750EFB10">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5F8C2F7E">
            <w:pPr>
              <w:pStyle w:val="6"/>
              <w:spacing w:before="56" w:line="228" w:lineRule="auto"/>
              <w:ind w:left="374"/>
            </w:pPr>
            <w:r>
              <w:rPr>
                <w:spacing w:val="7"/>
              </w:rPr>
              <w:t>液相色谱仪</w:t>
            </w:r>
          </w:p>
          <w:p w14:paraId="64D1A464">
            <w:pPr>
              <w:spacing w:before="97" w:line="199"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/11220</w:t>
            </w:r>
            <w:r>
              <w:rPr>
                <w:rFonts w:ascii="Times New Roman" w:hAnsi="Times New Roman" w:eastAsia="Times New Roman" w:cs="Times New Roman"/>
                <w:sz w:val="20"/>
                <w:szCs w:val="20"/>
              </w:rPr>
              <w:t>LC</w:t>
            </w:r>
            <w:r>
              <w:rPr>
                <w:rFonts w:ascii="Times New Roman" w:hAnsi="Times New Roman" w:eastAsia="Times New Roman" w:cs="Times New Roman"/>
                <w:spacing w:val="5"/>
                <w:sz w:val="20"/>
                <w:szCs w:val="20"/>
              </w:rPr>
              <w:t>/1260F</w:t>
            </w:r>
          </w:p>
          <w:p w14:paraId="1450D057">
            <w:pPr>
              <w:spacing w:before="125"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LC</w:t>
            </w:r>
          </w:p>
        </w:tc>
        <w:tc>
          <w:tcPr>
            <w:tcW w:w="1403" w:type="dxa"/>
            <w:vAlign w:val="top"/>
          </w:tcPr>
          <w:p w14:paraId="2C7F9941">
            <w:pPr>
              <w:spacing w:line="344" w:lineRule="auto"/>
              <w:rPr>
                <w:rFonts w:ascii="Arial"/>
                <w:sz w:val="21"/>
              </w:rPr>
            </w:pPr>
          </w:p>
          <w:p w14:paraId="7346A7A9">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59AB8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91" w:type="dxa"/>
            <w:vAlign w:val="top"/>
          </w:tcPr>
          <w:p w14:paraId="43D0B7A8">
            <w:pPr>
              <w:spacing w:line="344" w:lineRule="auto"/>
              <w:rPr>
                <w:rFonts w:ascii="Arial"/>
                <w:sz w:val="21"/>
              </w:rPr>
            </w:pPr>
          </w:p>
          <w:p w14:paraId="04A4DFF1">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357" w:type="dxa"/>
            <w:vAlign w:val="top"/>
          </w:tcPr>
          <w:p w14:paraId="3A3C1114">
            <w:pPr>
              <w:spacing w:line="301" w:lineRule="auto"/>
              <w:rPr>
                <w:rFonts w:ascii="Arial"/>
                <w:sz w:val="21"/>
              </w:rPr>
            </w:pPr>
          </w:p>
          <w:p w14:paraId="3D078C93">
            <w:pPr>
              <w:pStyle w:val="6"/>
              <w:spacing w:before="65" w:line="221" w:lineRule="auto"/>
              <w:ind w:left="141"/>
            </w:pPr>
            <w:r>
              <w:rPr>
                <w:spacing w:val="5"/>
              </w:rPr>
              <w:t>苯并</w:t>
            </w:r>
            <w:r>
              <w:rPr>
                <w:rFonts w:ascii="Times New Roman" w:hAnsi="Times New Roman" w:eastAsia="Times New Roman" w:cs="Times New Roman"/>
                <w:spacing w:val="5"/>
              </w:rPr>
              <w:t>[k]</w:t>
            </w:r>
            <w:r>
              <w:rPr>
                <w:spacing w:val="5"/>
              </w:rPr>
              <w:t>荧蒽</w:t>
            </w:r>
          </w:p>
        </w:tc>
        <w:tc>
          <w:tcPr>
            <w:tcW w:w="3342" w:type="dxa"/>
            <w:vAlign w:val="top"/>
          </w:tcPr>
          <w:p w14:paraId="7E04E893">
            <w:pPr>
              <w:pStyle w:val="6"/>
              <w:spacing w:before="212"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37DEDF4D">
            <w:pPr>
              <w:spacing w:line="344" w:lineRule="auto"/>
              <w:rPr>
                <w:rFonts w:ascii="Arial"/>
                <w:sz w:val="21"/>
              </w:rPr>
            </w:pPr>
          </w:p>
          <w:p w14:paraId="7E80064A">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7257EF7A">
            <w:pPr>
              <w:pStyle w:val="6"/>
              <w:spacing w:before="55" w:line="228" w:lineRule="auto"/>
              <w:ind w:left="374"/>
            </w:pPr>
            <w:r>
              <w:rPr>
                <w:spacing w:val="7"/>
              </w:rPr>
              <w:t>液相色谱仪</w:t>
            </w:r>
          </w:p>
          <w:p w14:paraId="1BA39535">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4B25F188">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3640A5C0">
            <w:pPr>
              <w:spacing w:line="344" w:lineRule="auto"/>
              <w:rPr>
                <w:rFonts w:ascii="Arial"/>
                <w:sz w:val="21"/>
              </w:rPr>
            </w:pPr>
          </w:p>
          <w:p w14:paraId="3E6788C1">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bl>
    <w:p w14:paraId="4DBA058D">
      <w:pPr>
        <w:pStyle w:val="2"/>
      </w:pPr>
    </w:p>
    <w:p w14:paraId="4B1C91B1">
      <w:pPr>
        <w:sectPr>
          <w:footerReference r:id="rId214" w:type="default"/>
          <w:pgSz w:w="11906" w:h="16839"/>
          <w:pgMar w:top="1208" w:right="1215" w:bottom="957" w:left="1215" w:header="825" w:footer="795" w:gutter="0"/>
          <w:cols w:space="720" w:num="1"/>
        </w:sectPr>
      </w:pPr>
    </w:p>
    <w:p w14:paraId="50391169">
      <w:pPr>
        <w:spacing w:line="231" w:lineRule="exact"/>
      </w:pPr>
    </w:p>
    <w:tbl>
      <w:tblPr>
        <w:tblStyle w:val="5"/>
        <w:tblW w:w="9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357"/>
        <w:gridCol w:w="3342"/>
        <w:gridCol w:w="995"/>
        <w:gridCol w:w="1782"/>
        <w:gridCol w:w="1403"/>
      </w:tblGrid>
      <w:tr w14:paraId="73249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91" w:type="dxa"/>
            <w:vAlign w:val="top"/>
          </w:tcPr>
          <w:p w14:paraId="28521F48">
            <w:pPr>
              <w:spacing w:line="344" w:lineRule="auto"/>
              <w:rPr>
                <w:rFonts w:ascii="Arial"/>
                <w:sz w:val="21"/>
              </w:rPr>
            </w:pPr>
          </w:p>
          <w:p w14:paraId="18C3F513">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357" w:type="dxa"/>
            <w:vAlign w:val="top"/>
          </w:tcPr>
          <w:p w14:paraId="55AE6E72">
            <w:pPr>
              <w:spacing w:line="301" w:lineRule="auto"/>
              <w:rPr>
                <w:rFonts w:ascii="Arial"/>
                <w:sz w:val="21"/>
              </w:rPr>
            </w:pPr>
          </w:p>
          <w:p w14:paraId="759026A0">
            <w:pPr>
              <w:pStyle w:val="6"/>
              <w:spacing w:before="65" w:line="229" w:lineRule="auto"/>
              <w:ind w:left="576"/>
            </w:pPr>
            <w:r>
              <w:rPr>
                <w:spacing w:val="2"/>
              </w:rPr>
              <w:t>䓛</w:t>
            </w:r>
          </w:p>
        </w:tc>
        <w:tc>
          <w:tcPr>
            <w:tcW w:w="3342" w:type="dxa"/>
            <w:vAlign w:val="top"/>
          </w:tcPr>
          <w:p w14:paraId="3881E5BC">
            <w:pPr>
              <w:pStyle w:val="6"/>
              <w:spacing w:before="213"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46622025">
            <w:pPr>
              <w:spacing w:line="344" w:lineRule="auto"/>
              <w:rPr>
                <w:rFonts w:ascii="Arial"/>
                <w:sz w:val="21"/>
              </w:rPr>
            </w:pPr>
          </w:p>
          <w:p w14:paraId="63E4E4BF">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0FC67AF8">
            <w:pPr>
              <w:pStyle w:val="6"/>
              <w:spacing w:before="56" w:line="228" w:lineRule="auto"/>
              <w:ind w:left="374"/>
            </w:pPr>
            <w:r>
              <w:rPr>
                <w:spacing w:val="7"/>
              </w:rPr>
              <w:t>液相色谱仪</w:t>
            </w:r>
          </w:p>
          <w:p w14:paraId="289DD6DC">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32D90AF4">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48D6BAA1">
            <w:pPr>
              <w:spacing w:line="344" w:lineRule="auto"/>
              <w:rPr>
                <w:rFonts w:ascii="Arial"/>
                <w:sz w:val="21"/>
              </w:rPr>
            </w:pPr>
          </w:p>
          <w:p w14:paraId="4B3F3361">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08DD5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20DBFB6A">
            <w:pPr>
              <w:spacing w:line="340" w:lineRule="auto"/>
              <w:rPr>
                <w:rFonts w:ascii="Arial"/>
                <w:sz w:val="21"/>
              </w:rPr>
            </w:pPr>
          </w:p>
          <w:p w14:paraId="39F2F6FD">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357" w:type="dxa"/>
            <w:vAlign w:val="top"/>
          </w:tcPr>
          <w:p w14:paraId="3F508E5B">
            <w:pPr>
              <w:pStyle w:val="6"/>
              <w:spacing w:before="207" w:line="221" w:lineRule="auto"/>
              <w:ind w:left="173"/>
              <w:rPr>
                <w:rFonts w:ascii="Times New Roman" w:hAnsi="Times New Roman" w:eastAsia="Times New Roman" w:cs="Times New Roman"/>
              </w:rPr>
            </w:pPr>
            <w:r>
              <w:rPr>
                <w:spacing w:val="4"/>
              </w:rPr>
              <w:t>二苯并</w:t>
            </w:r>
            <w:r>
              <w:rPr>
                <w:rFonts w:ascii="Times New Roman" w:hAnsi="Times New Roman" w:eastAsia="Times New Roman" w:cs="Times New Roman"/>
                <w:spacing w:val="4"/>
              </w:rPr>
              <w:t>[a,h]</w:t>
            </w:r>
          </w:p>
          <w:p w14:paraId="2144908A">
            <w:pPr>
              <w:pStyle w:val="6"/>
              <w:spacing w:before="72" w:line="236" w:lineRule="auto"/>
              <w:ind w:left="582"/>
            </w:pPr>
            <w:r>
              <w:t>蒽</w:t>
            </w:r>
          </w:p>
        </w:tc>
        <w:tc>
          <w:tcPr>
            <w:tcW w:w="3342" w:type="dxa"/>
            <w:vAlign w:val="top"/>
          </w:tcPr>
          <w:p w14:paraId="10FBD2D6">
            <w:pPr>
              <w:pStyle w:val="6"/>
              <w:spacing w:before="208"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6B4D7D8B">
            <w:pPr>
              <w:spacing w:line="340" w:lineRule="auto"/>
              <w:rPr>
                <w:rFonts w:ascii="Arial"/>
                <w:sz w:val="21"/>
              </w:rPr>
            </w:pPr>
          </w:p>
          <w:p w14:paraId="3901C2DD">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782" w:type="dxa"/>
            <w:vAlign w:val="top"/>
          </w:tcPr>
          <w:p w14:paraId="554DA754">
            <w:pPr>
              <w:pStyle w:val="6"/>
              <w:spacing w:before="51" w:line="228" w:lineRule="auto"/>
              <w:ind w:left="374"/>
            </w:pPr>
            <w:r>
              <w:rPr>
                <w:spacing w:val="7"/>
              </w:rPr>
              <w:t>液相色谱仪</w:t>
            </w:r>
          </w:p>
          <w:p w14:paraId="78FABF34">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0D66B0E6">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4179FC0D">
            <w:pPr>
              <w:spacing w:line="340" w:lineRule="auto"/>
              <w:rPr>
                <w:rFonts w:ascii="Arial"/>
                <w:sz w:val="21"/>
              </w:rPr>
            </w:pPr>
          </w:p>
          <w:p w14:paraId="48741EF1">
            <w:pPr>
              <w:spacing w:before="5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3EBC6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70E6D139">
            <w:pPr>
              <w:spacing w:line="340" w:lineRule="auto"/>
              <w:rPr>
                <w:rFonts w:ascii="Arial"/>
                <w:sz w:val="21"/>
              </w:rPr>
            </w:pPr>
          </w:p>
          <w:p w14:paraId="1083C4F5">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357" w:type="dxa"/>
            <w:vAlign w:val="top"/>
          </w:tcPr>
          <w:p w14:paraId="1C4DD84D">
            <w:pPr>
              <w:pStyle w:val="6"/>
              <w:spacing w:before="208" w:line="228" w:lineRule="auto"/>
              <w:ind w:left="476"/>
            </w:pPr>
            <w:r>
              <w:rPr>
                <w:spacing w:val="2"/>
              </w:rPr>
              <w:t>茚并</w:t>
            </w:r>
          </w:p>
          <w:p w14:paraId="13D41765">
            <w:pPr>
              <w:pStyle w:val="6"/>
              <w:spacing w:before="65" w:line="221" w:lineRule="auto"/>
              <w:ind w:left="171"/>
            </w:pPr>
            <w:r>
              <w:rPr>
                <w:rFonts w:ascii="Times New Roman" w:hAnsi="Times New Roman" w:eastAsia="Times New Roman" w:cs="Times New Roman"/>
                <w:spacing w:val="3"/>
              </w:rPr>
              <w:t>[1,2,3-</w:t>
            </w:r>
            <w:r>
              <w:rPr>
                <w:rFonts w:ascii="Times New Roman" w:hAnsi="Times New Roman" w:eastAsia="Times New Roman" w:cs="Times New Roman"/>
              </w:rPr>
              <w:t>cd</w:t>
            </w:r>
            <w:r>
              <w:rPr>
                <w:rFonts w:ascii="Times New Roman" w:hAnsi="Times New Roman" w:eastAsia="Times New Roman" w:cs="Times New Roman"/>
                <w:spacing w:val="3"/>
              </w:rPr>
              <w:t>]</w:t>
            </w:r>
            <w:r>
              <w:rPr>
                <w:spacing w:val="3"/>
              </w:rPr>
              <w:t>芘</w:t>
            </w:r>
          </w:p>
        </w:tc>
        <w:tc>
          <w:tcPr>
            <w:tcW w:w="3342" w:type="dxa"/>
            <w:vAlign w:val="top"/>
          </w:tcPr>
          <w:p w14:paraId="42A425D0">
            <w:pPr>
              <w:pStyle w:val="6"/>
              <w:spacing w:before="209"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567822F5">
            <w:pPr>
              <w:spacing w:line="340" w:lineRule="auto"/>
              <w:rPr>
                <w:rFonts w:ascii="Arial"/>
                <w:sz w:val="21"/>
              </w:rPr>
            </w:pPr>
          </w:p>
          <w:p w14:paraId="59ED479A">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782" w:type="dxa"/>
            <w:vAlign w:val="top"/>
          </w:tcPr>
          <w:p w14:paraId="3437959B">
            <w:pPr>
              <w:pStyle w:val="6"/>
              <w:spacing w:before="52" w:line="228" w:lineRule="auto"/>
              <w:ind w:left="374"/>
            </w:pPr>
            <w:r>
              <w:rPr>
                <w:spacing w:val="7"/>
              </w:rPr>
              <w:t>液相色谱仪</w:t>
            </w:r>
          </w:p>
          <w:p w14:paraId="43003FBB">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1A204CA9">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4093D754">
            <w:pPr>
              <w:spacing w:line="340" w:lineRule="auto"/>
              <w:rPr>
                <w:rFonts w:ascii="Arial"/>
                <w:sz w:val="21"/>
              </w:rPr>
            </w:pPr>
          </w:p>
          <w:p w14:paraId="38A18368">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09D0A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4EFFA874">
            <w:pPr>
              <w:spacing w:line="341" w:lineRule="auto"/>
              <w:rPr>
                <w:rFonts w:ascii="Arial"/>
                <w:sz w:val="21"/>
              </w:rPr>
            </w:pPr>
          </w:p>
          <w:p w14:paraId="731F2F23">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357" w:type="dxa"/>
            <w:vAlign w:val="top"/>
          </w:tcPr>
          <w:p w14:paraId="6684331E">
            <w:pPr>
              <w:spacing w:line="298" w:lineRule="auto"/>
              <w:rPr>
                <w:rFonts w:ascii="Arial"/>
                <w:sz w:val="21"/>
              </w:rPr>
            </w:pPr>
          </w:p>
          <w:p w14:paraId="213172D7">
            <w:pPr>
              <w:pStyle w:val="6"/>
              <w:spacing w:before="65" w:line="228" w:lineRule="auto"/>
              <w:ind w:left="578"/>
            </w:pPr>
            <w:r>
              <w:t>萘</w:t>
            </w:r>
          </w:p>
        </w:tc>
        <w:tc>
          <w:tcPr>
            <w:tcW w:w="3342" w:type="dxa"/>
            <w:vAlign w:val="top"/>
          </w:tcPr>
          <w:p w14:paraId="0D778B0A">
            <w:pPr>
              <w:pStyle w:val="6"/>
              <w:spacing w:before="210" w:line="289" w:lineRule="auto"/>
              <w:ind w:left="116" w:right="62" w:firstLine="40"/>
            </w:pPr>
            <w:r>
              <w:rPr>
                <w:spacing w:val="8"/>
              </w:rPr>
              <w:t>《土壤和沉积物 多环芳烃的测定</w:t>
            </w:r>
            <w:r>
              <w:rPr>
                <w:spacing w:val="5"/>
              </w:rPr>
              <w:t xml:space="preserve">  </w:t>
            </w:r>
            <w:r>
              <w:rPr>
                <w:spacing w:val="6"/>
              </w:rPr>
              <w:t>高效液相色谱法》（</w:t>
            </w:r>
            <w:r>
              <w:rPr>
                <w:rFonts w:ascii="Times New Roman" w:hAnsi="Times New Roman" w:eastAsia="Times New Roman" w:cs="Times New Roman"/>
              </w:rPr>
              <w:t>HJ</w:t>
            </w:r>
            <w:r>
              <w:rPr>
                <w:rFonts w:ascii="Times New Roman" w:hAnsi="Times New Roman" w:eastAsia="Times New Roman" w:cs="Times New Roman"/>
                <w:spacing w:val="6"/>
              </w:rPr>
              <w:t xml:space="preserve"> 784-2016</w:t>
            </w:r>
            <w:r>
              <w:rPr>
                <w:spacing w:val="6"/>
              </w:rPr>
              <w:t>）</w:t>
            </w:r>
          </w:p>
        </w:tc>
        <w:tc>
          <w:tcPr>
            <w:tcW w:w="995" w:type="dxa"/>
            <w:vAlign w:val="top"/>
          </w:tcPr>
          <w:p w14:paraId="0400EE99">
            <w:pPr>
              <w:spacing w:line="341" w:lineRule="auto"/>
              <w:rPr>
                <w:rFonts w:ascii="Arial"/>
                <w:sz w:val="21"/>
              </w:rPr>
            </w:pPr>
          </w:p>
          <w:p w14:paraId="12B16151">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782" w:type="dxa"/>
            <w:vAlign w:val="top"/>
          </w:tcPr>
          <w:p w14:paraId="6DCBCE8D">
            <w:pPr>
              <w:pStyle w:val="6"/>
              <w:spacing w:before="52" w:line="228" w:lineRule="auto"/>
              <w:ind w:left="374"/>
            </w:pPr>
            <w:r>
              <w:rPr>
                <w:spacing w:val="7"/>
              </w:rPr>
              <w:t>液相色谱仪</w:t>
            </w:r>
          </w:p>
          <w:p w14:paraId="7C6B2AE9">
            <w:pPr>
              <w:spacing w:before="97" w:line="199"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/1220</w:t>
            </w:r>
            <w:r>
              <w:rPr>
                <w:rFonts w:ascii="Times New Roman" w:hAnsi="Times New Roman" w:eastAsia="Times New Roman" w:cs="Times New Roman"/>
                <w:sz w:val="20"/>
                <w:szCs w:val="20"/>
              </w:rPr>
              <w:t>LC</w:t>
            </w:r>
            <w:r>
              <w:rPr>
                <w:rFonts w:ascii="Times New Roman" w:hAnsi="Times New Roman" w:eastAsia="Times New Roman" w:cs="Times New Roman"/>
                <w:spacing w:val="6"/>
                <w:sz w:val="20"/>
                <w:szCs w:val="20"/>
              </w:rPr>
              <w:t>/1260</w:t>
            </w:r>
            <w:r>
              <w:rPr>
                <w:rFonts w:ascii="Times New Roman" w:hAnsi="Times New Roman" w:eastAsia="Times New Roman" w:cs="Times New Roman"/>
                <w:sz w:val="20"/>
                <w:szCs w:val="20"/>
              </w:rPr>
              <w:t>FL</w:t>
            </w:r>
          </w:p>
          <w:p w14:paraId="31FDCBB5">
            <w:pPr>
              <w:spacing w:before="12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403" w:type="dxa"/>
            <w:vAlign w:val="top"/>
          </w:tcPr>
          <w:p w14:paraId="5AD4EBFA">
            <w:pPr>
              <w:spacing w:line="341" w:lineRule="auto"/>
              <w:rPr>
                <w:rFonts w:ascii="Arial"/>
                <w:sz w:val="21"/>
              </w:rPr>
            </w:pPr>
          </w:p>
          <w:p w14:paraId="293CE7EB">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6"/>
                <w:sz w:val="20"/>
                <w:szCs w:val="20"/>
              </w:rPr>
              <w:t>-019-A</w:t>
            </w:r>
          </w:p>
        </w:tc>
      </w:tr>
      <w:tr w14:paraId="2FADB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591" w:type="dxa"/>
            <w:vAlign w:val="top"/>
          </w:tcPr>
          <w:p w14:paraId="1F32AE7E">
            <w:pPr>
              <w:spacing w:line="249" w:lineRule="auto"/>
              <w:rPr>
                <w:rFonts w:ascii="Arial"/>
                <w:sz w:val="21"/>
              </w:rPr>
            </w:pPr>
          </w:p>
          <w:p w14:paraId="7457D722">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357" w:type="dxa"/>
            <w:vAlign w:val="top"/>
          </w:tcPr>
          <w:p w14:paraId="2D471A8E">
            <w:pPr>
              <w:spacing w:line="251" w:lineRule="auto"/>
              <w:rPr>
                <w:rFonts w:ascii="Arial"/>
                <w:sz w:val="21"/>
              </w:rPr>
            </w:pPr>
          </w:p>
          <w:p w14:paraId="25FCFBFD">
            <w:pPr>
              <w:spacing w:before="58" w:line="194"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342" w:type="dxa"/>
            <w:vAlign w:val="top"/>
          </w:tcPr>
          <w:p w14:paraId="3A5E7A38">
            <w:pPr>
              <w:pStyle w:val="6"/>
              <w:spacing w:before="116" w:line="221" w:lineRule="auto"/>
              <w:ind w:left="282"/>
              <w:rPr>
                <w:rFonts w:ascii="Times New Roman" w:hAnsi="Times New Roman" w:eastAsia="Times New Roman" w:cs="Times New Roman"/>
              </w:rPr>
            </w:pPr>
            <w:r>
              <w:rPr>
                <w:spacing w:val="7"/>
              </w:rPr>
              <w:t>《土壤</w:t>
            </w:r>
            <w:r>
              <w:rPr>
                <w:spacing w:val="-48"/>
              </w:rPr>
              <w:t xml:space="preserve"> </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测定</w:t>
            </w:r>
            <w:r>
              <w:rPr>
                <w:spacing w:val="37"/>
              </w:rPr>
              <w:t xml:space="preserve"> </w:t>
            </w:r>
            <w:r>
              <w:rPr>
                <w:spacing w:val="7"/>
              </w:rPr>
              <w:t>电位法》（</w:t>
            </w:r>
            <w:r>
              <w:rPr>
                <w:rFonts w:ascii="Times New Roman" w:hAnsi="Times New Roman" w:eastAsia="Times New Roman" w:cs="Times New Roman"/>
              </w:rPr>
              <w:t>HJ</w:t>
            </w:r>
          </w:p>
          <w:p w14:paraId="1D41514C">
            <w:pPr>
              <w:pStyle w:val="6"/>
              <w:spacing w:before="72"/>
              <w:ind w:left="1167"/>
            </w:pPr>
            <w:r>
              <w:rPr>
                <w:rFonts w:ascii="Times New Roman" w:hAnsi="Times New Roman" w:eastAsia="Times New Roman" w:cs="Times New Roman"/>
                <w:spacing w:val="3"/>
              </w:rPr>
              <w:t>962-2018</w:t>
            </w:r>
            <w:r>
              <w:rPr>
                <w:spacing w:val="3"/>
              </w:rPr>
              <w:t>）</w:t>
            </w:r>
          </w:p>
        </w:tc>
        <w:tc>
          <w:tcPr>
            <w:tcW w:w="995" w:type="dxa"/>
            <w:vAlign w:val="top"/>
          </w:tcPr>
          <w:p w14:paraId="5F5A0801">
            <w:pPr>
              <w:tabs>
                <w:tab w:val="left" w:pos="597"/>
              </w:tabs>
              <w:spacing w:before="178"/>
              <w:ind w:left="396"/>
              <w:rPr>
                <w:rFonts w:ascii="Arial"/>
                <w:sz w:val="21"/>
              </w:rPr>
            </w:pPr>
            <w:r>
              <w:rPr>
                <w:rFonts w:ascii="Arial" w:hAnsi="Arial" w:eastAsia="Arial" w:cs="Arial"/>
                <w:sz w:val="21"/>
                <w:szCs w:val="21"/>
                <w:u w:val="single" w:color="auto"/>
              </w:rPr>
              <w:tab/>
            </w:r>
          </w:p>
        </w:tc>
        <w:tc>
          <w:tcPr>
            <w:tcW w:w="1782" w:type="dxa"/>
            <w:vAlign w:val="top"/>
          </w:tcPr>
          <w:p w14:paraId="2374D6C5">
            <w:pPr>
              <w:pStyle w:val="6"/>
              <w:spacing w:before="272" w:line="221" w:lineRule="auto"/>
              <w:ind w:left="251"/>
              <w:rPr>
                <w:rFonts w:ascii="Times New Roman" w:hAnsi="Times New Roman" w:eastAsia="Times New Roman" w:cs="Times New Roman"/>
              </w:rPr>
            </w:pP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计</w:t>
            </w:r>
            <w:r>
              <w:rPr>
                <w:rFonts w:ascii="Times New Roman" w:hAnsi="Times New Roman" w:eastAsia="Times New Roman" w:cs="Times New Roman"/>
                <w:spacing w:val="9"/>
              </w:rPr>
              <w:t>/</w:t>
            </w:r>
            <w:r>
              <w:rPr>
                <w:rFonts w:ascii="Times New Roman" w:hAnsi="Times New Roman" w:eastAsia="Times New Roman" w:cs="Times New Roman"/>
              </w:rPr>
              <w:t>PHS</w:t>
            </w:r>
            <w:r>
              <w:rPr>
                <w:rFonts w:ascii="Times New Roman" w:hAnsi="Times New Roman" w:eastAsia="Times New Roman" w:cs="Times New Roman"/>
                <w:spacing w:val="9"/>
              </w:rPr>
              <w:t>-3C</w:t>
            </w:r>
          </w:p>
        </w:tc>
        <w:tc>
          <w:tcPr>
            <w:tcW w:w="1403" w:type="dxa"/>
            <w:vAlign w:val="top"/>
          </w:tcPr>
          <w:p w14:paraId="37572B52">
            <w:pPr>
              <w:spacing w:line="249" w:lineRule="auto"/>
              <w:rPr>
                <w:rFonts w:ascii="Arial"/>
                <w:sz w:val="21"/>
              </w:rPr>
            </w:pPr>
          </w:p>
          <w:p w14:paraId="4AEE7EAA">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-009-B</w:t>
            </w:r>
          </w:p>
        </w:tc>
      </w:tr>
      <w:tr w14:paraId="43054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91" w:type="dxa"/>
            <w:vAlign w:val="top"/>
          </w:tcPr>
          <w:p w14:paraId="4ACF9C34">
            <w:pPr>
              <w:spacing w:line="343" w:lineRule="auto"/>
              <w:rPr>
                <w:rFonts w:ascii="Arial"/>
                <w:sz w:val="21"/>
              </w:rPr>
            </w:pPr>
          </w:p>
          <w:p w14:paraId="0DBF5983">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357" w:type="dxa"/>
            <w:vAlign w:val="top"/>
          </w:tcPr>
          <w:p w14:paraId="7A7C2769">
            <w:pPr>
              <w:spacing w:line="300" w:lineRule="auto"/>
              <w:rPr>
                <w:rFonts w:ascii="Arial"/>
                <w:sz w:val="21"/>
              </w:rPr>
            </w:pPr>
          </w:p>
          <w:p w14:paraId="6BE14CA0">
            <w:pPr>
              <w:pStyle w:val="6"/>
              <w:spacing w:before="65" w:line="230" w:lineRule="auto"/>
              <w:ind w:left="576"/>
            </w:pPr>
            <w:r>
              <w:rPr>
                <w:spacing w:val="1"/>
              </w:rPr>
              <w:t>铬</w:t>
            </w:r>
          </w:p>
        </w:tc>
        <w:tc>
          <w:tcPr>
            <w:tcW w:w="3342" w:type="dxa"/>
            <w:vAlign w:val="top"/>
          </w:tcPr>
          <w:p w14:paraId="6344F16D">
            <w:pPr>
              <w:pStyle w:val="6"/>
              <w:spacing w:before="55" w:line="228" w:lineRule="auto"/>
              <w:ind w:left="116"/>
            </w:pPr>
            <w:r>
              <w:rPr>
                <w:spacing w:val="8"/>
              </w:rPr>
              <w:t>《土壤和沉积物铜、锌、铅、镍、</w:t>
            </w:r>
          </w:p>
          <w:p w14:paraId="1CD11D7B">
            <w:pPr>
              <w:pStyle w:val="6"/>
              <w:spacing w:before="64" w:line="228" w:lineRule="auto"/>
              <w:ind w:left="203"/>
            </w:pPr>
            <w:r>
              <w:rPr>
                <w:spacing w:val="9"/>
              </w:rPr>
              <w:t>铬的测定火焰原子吸收分光光度</w:t>
            </w:r>
          </w:p>
          <w:p w14:paraId="500C2761">
            <w:pPr>
              <w:pStyle w:val="6"/>
              <w:spacing w:before="65" w:line="231"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6CA76F86">
            <w:pPr>
              <w:spacing w:line="343" w:lineRule="auto"/>
              <w:rPr>
                <w:rFonts w:ascii="Arial"/>
                <w:sz w:val="21"/>
              </w:rPr>
            </w:pPr>
          </w:p>
          <w:p w14:paraId="1391D4CE">
            <w:pPr>
              <w:spacing w:before="58"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82" w:type="dxa"/>
            <w:vAlign w:val="top"/>
          </w:tcPr>
          <w:p w14:paraId="5BA83163">
            <w:pPr>
              <w:pStyle w:val="6"/>
              <w:spacing w:before="210"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07EAF4D2">
            <w:pPr>
              <w:spacing w:line="343" w:lineRule="auto"/>
              <w:rPr>
                <w:rFonts w:ascii="Arial"/>
                <w:sz w:val="21"/>
              </w:rPr>
            </w:pPr>
          </w:p>
          <w:p w14:paraId="20442520">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r w14:paraId="66ED7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91" w:type="dxa"/>
            <w:vAlign w:val="top"/>
          </w:tcPr>
          <w:p w14:paraId="171798F2">
            <w:pPr>
              <w:spacing w:line="344" w:lineRule="auto"/>
              <w:rPr>
                <w:rFonts w:ascii="Arial"/>
                <w:sz w:val="21"/>
              </w:rPr>
            </w:pPr>
          </w:p>
          <w:p w14:paraId="3CEC1999">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357" w:type="dxa"/>
            <w:vAlign w:val="top"/>
          </w:tcPr>
          <w:p w14:paraId="6F86E0B6">
            <w:pPr>
              <w:spacing w:line="301" w:lineRule="auto"/>
              <w:rPr>
                <w:rFonts w:ascii="Arial"/>
                <w:sz w:val="21"/>
              </w:rPr>
            </w:pPr>
          </w:p>
          <w:p w14:paraId="4E92E211">
            <w:pPr>
              <w:pStyle w:val="6"/>
              <w:spacing w:before="65" w:line="228" w:lineRule="auto"/>
              <w:ind w:left="576"/>
            </w:pPr>
            <w:r>
              <w:rPr>
                <w:spacing w:val="1"/>
              </w:rPr>
              <w:t>锌</w:t>
            </w:r>
          </w:p>
        </w:tc>
        <w:tc>
          <w:tcPr>
            <w:tcW w:w="3342" w:type="dxa"/>
            <w:vAlign w:val="top"/>
          </w:tcPr>
          <w:p w14:paraId="7BDC83CA">
            <w:pPr>
              <w:pStyle w:val="6"/>
              <w:spacing w:before="56" w:line="228" w:lineRule="auto"/>
              <w:ind w:left="116"/>
            </w:pPr>
            <w:r>
              <w:rPr>
                <w:spacing w:val="8"/>
              </w:rPr>
              <w:t>《土壤和沉积物铜、锌、铅、镍、</w:t>
            </w:r>
          </w:p>
          <w:p w14:paraId="79EFCB50">
            <w:pPr>
              <w:pStyle w:val="6"/>
              <w:spacing w:before="64" w:line="228" w:lineRule="auto"/>
              <w:ind w:left="203"/>
            </w:pPr>
            <w:r>
              <w:rPr>
                <w:spacing w:val="9"/>
              </w:rPr>
              <w:t>铬的测定火焰原子吸收分光光度</w:t>
            </w:r>
          </w:p>
          <w:p w14:paraId="51A2BDF2">
            <w:pPr>
              <w:pStyle w:val="6"/>
              <w:spacing w:before="65" w:line="233" w:lineRule="auto"/>
              <w:ind w:left="709"/>
            </w:pPr>
            <w:r>
              <w:rPr>
                <w:spacing w:val="5"/>
              </w:rPr>
              <w:t>法》（</w:t>
            </w:r>
            <w:r>
              <w:rPr>
                <w:rFonts w:ascii="Times New Roman" w:hAnsi="Times New Roman" w:eastAsia="Times New Roman" w:cs="Times New Roman"/>
              </w:rPr>
              <w:t>HJ</w:t>
            </w:r>
            <w:r>
              <w:rPr>
                <w:rFonts w:ascii="Times New Roman" w:hAnsi="Times New Roman" w:eastAsia="Times New Roman" w:cs="Times New Roman"/>
                <w:spacing w:val="5"/>
              </w:rPr>
              <w:t xml:space="preserve"> 491-2019</w:t>
            </w:r>
            <w:r>
              <w:rPr>
                <w:spacing w:val="5"/>
              </w:rPr>
              <w:t>）</w:t>
            </w:r>
          </w:p>
        </w:tc>
        <w:tc>
          <w:tcPr>
            <w:tcW w:w="995" w:type="dxa"/>
            <w:vAlign w:val="top"/>
          </w:tcPr>
          <w:p w14:paraId="02C352CE">
            <w:pPr>
              <w:spacing w:line="344" w:lineRule="auto"/>
              <w:rPr>
                <w:rFonts w:ascii="Arial"/>
                <w:sz w:val="21"/>
              </w:rPr>
            </w:pPr>
          </w:p>
          <w:p w14:paraId="3CABDD11">
            <w:pPr>
              <w:spacing w:before="57" w:line="195" w:lineRule="auto"/>
              <w:ind w:left="46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82" w:type="dxa"/>
            <w:vAlign w:val="top"/>
          </w:tcPr>
          <w:p w14:paraId="7E269AC7">
            <w:pPr>
              <w:pStyle w:val="6"/>
              <w:spacing w:before="211" w:line="290" w:lineRule="auto"/>
              <w:ind w:left="260" w:right="152" w:hanging="92"/>
              <w:rPr>
                <w:rFonts w:ascii="Times New Roman" w:hAnsi="Times New Roman" w:eastAsia="Times New Roman" w:cs="Times New Roman"/>
              </w:rPr>
            </w:pPr>
            <w:r>
              <w:rPr>
                <w:spacing w:val="7"/>
              </w:rPr>
              <w:t>原子吸收分光光</w:t>
            </w:r>
            <w:r>
              <w:rPr>
                <w:spacing w:val="5"/>
              </w:rPr>
              <w:t xml:space="preserve"> </w:t>
            </w:r>
            <w:r>
              <w:rPr>
                <w:spacing w:val="6"/>
              </w:rPr>
              <w:t>度计</w:t>
            </w:r>
            <w:r>
              <w:rPr>
                <w:rFonts w:ascii="Times New Roman" w:hAnsi="Times New Roman" w:eastAsia="Times New Roman" w:cs="Times New Roman"/>
                <w:spacing w:val="6"/>
              </w:rPr>
              <w:t>/</w:t>
            </w:r>
            <w:r>
              <w:rPr>
                <w:rFonts w:ascii="Times New Roman" w:hAnsi="Times New Roman" w:eastAsia="Times New Roman" w:cs="Times New Roman"/>
              </w:rPr>
              <w:t>AA</w:t>
            </w:r>
            <w:r>
              <w:rPr>
                <w:rFonts w:ascii="Times New Roman" w:hAnsi="Times New Roman" w:eastAsia="Times New Roman" w:cs="Times New Roman"/>
                <w:spacing w:val="6"/>
              </w:rPr>
              <w:t>-7020</w:t>
            </w:r>
          </w:p>
        </w:tc>
        <w:tc>
          <w:tcPr>
            <w:tcW w:w="1403" w:type="dxa"/>
            <w:vAlign w:val="top"/>
          </w:tcPr>
          <w:p w14:paraId="22AA8348">
            <w:pPr>
              <w:spacing w:line="344" w:lineRule="auto"/>
              <w:rPr>
                <w:rFonts w:ascii="Arial"/>
                <w:sz w:val="21"/>
              </w:rPr>
            </w:pPr>
          </w:p>
          <w:p w14:paraId="2BD14048">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HZD</w:t>
            </w:r>
            <w:r>
              <w:rPr>
                <w:rFonts w:ascii="Times New Roman" w:hAnsi="Times New Roman" w:eastAsia="Times New Roman" w:cs="Times New Roman"/>
                <w:spacing w:val="7"/>
                <w:sz w:val="20"/>
                <w:szCs w:val="20"/>
              </w:rPr>
              <w:t>-020-B</w:t>
            </w:r>
          </w:p>
        </w:tc>
      </w:tr>
    </w:tbl>
    <w:p w14:paraId="574CACDA">
      <w:pPr>
        <w:spacing w:before="115" w:line="220" w:lineRule="auto"/>
        <w:ind w:left="108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）监测结果</w:t>
      </w:r>
    </w:p>
    <w:p w14:paraId="0A3E64EB">
      <w:pPr>
        <w:spacing w:before="182" w:line="350" w:lineRule="auto"/>
        <w:ind w:left="592" w:right="634" w:firstLine="480"/>
        <w:rPr>
          <w:rFonts w:ascii="宋体" w:hAnsi="宋体" w:eastAsia="宋体" w:cs="宋体"/>
          <w:sz w:val="24"/>
          <w:szCs w:val="24"/>
        </w:rPr>
      </w:pPr>
      <w:r>
        <w:rPr>
          <w:rFonts w:ascii="宋体" w:hAnsi="宋体" w:eastAsia="宋体" w:cs="宋体"/>
          <w:spacing w:val="-1"/>
          <w:sz w:val="24"/>
          <w:szCs w:val="24"/>
        </w:rPr>
        <w:t>监测结果见表</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6.3-16~6.3-18</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。监测结果表明，厂区</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1#~7#</w:t>
      </w:r>
      <w:r>
        <w:rPr>
          <w:rFonts w:ascii="宋体" w:hAnsi="宋体" w:eastAsia="宋体" w:cs="宋体"/>
          <w:spacing w:val="-1"/>
          <w:sz w:val="24"/>
          <w:szCs w:val="24"/>
        </w:rPr>
        <w:t>监测点的监测项</w:t>
      </w:r>
      <w:r>
        <w:rPr>
          <w:rFonts w:ascii="宋体" w:hAnsi="宋体" w:eastAsia="宋体" w:cs="宋体"/>
          <w:sz w:val="24"/>
          <w:szCs w:val="24"/>
        </w:rPr>
        <w:t xml:space="preserve">  </w:t>
      </w:r>
      <w:r>
        <w:rPr>
          <w:rFonts w:ascii="宋体" w:hAnsi="宋体" w:eastAsia="宋体" w:cs="宋体"/>
          <w:spacing w:val="23"/>
          <w:sz w:val="24"/>
          <w:szCs w:val="24"/>
        </w:rPr>
        <w:t>目均小于《土壤环境质量</w:t>
      </w:r>
      <w:r>
        <w:rPr>
          <w:rFonts w:ascii="宋体" w:hAnsi="宋体" w:eastAsia="宋体" w:cs="宋体"/>
          <w:spacing w:val="83"/>
          <w:sz w:val="24"/>
          <w:szCs w:val="24"/>
        </w:rPr>
        <w:t xml:space="preserve"> </w:t>
      </w:r>
      <w:r>
        <w:rPr>
          <w:rFonts w:ascii="宋体" w:hAnsi="宋体" w:eastAsia="宋体" w:cs="宋体"/>
          <w:spacing w:val="23"/>
          <w:sz w:val="24"/>
          <w:szCs w:val="24"/>
        </w:rPr>
        <w:t>建设用地土壤污染风险管控标准（试行）</w:t>
      </w:r>
      <w:r>
        <w:rPr>
          <w:rFonts w:ascii="宋体" w:hAnsi="宋体" w:eastAsia="宋体" w:cs="宋体"/>
          <w:spacing w:val="-42"/>
          <w:sz w:val="24"/>
          <w:szCs w:val="24"/>
        </w:rPr>
        <w:t xml:space="preserve"> </w:t>
      </w:r>
      <w:r>
        <w:rPr>
          <w:rFonts w:ascii="宋体" w:hAnsi="宋体" w:eastAsia="宋体" w:cs="宋体"/>
          <w:spacing w:val="23"/>
          <w:sz w:val="24"/>
          <w:szCs w:val="24"/>
        </w:rPr>
        <w:t>》</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36600-2018</w:t>
      </w:r>
      <w:r>
        <w:rPr>
          <w:rFonts w:ascii="宋体" w:hAnsi="宋体" w:eastAsia="宋体" w:cs="宋体"/>
          <w:spacing w:val="1"/>
          <w:sz w:val="24"/>
          <w:szCs w:val="24"/>
        </w:rPr>
        <w:t>）二类用地的筛选值，厂界外</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11#</w:t>
      </w:r>
      <w:r>
        <w:rPr>
          <w:rFonts w:ascii="宋体" w:hAnsi="宋体" w:eastAsia="宋体" w:cs="宋体"/>
          <w:spacing w:val="1"/>
          <w:sz w:val="24"/>
          <w:szCs w:val="24"/>
        </w:rPr>
        <w:t>监测点的监测项目结果</w:t>
      </w:r>
      <w:r>
        <w:rPr>
          <w:rFonts w:ascii="宋体" w:hAnsi="宋体" w:eastAsia="宋体" w:cs="宋体"/>
          <w:sz w:val="24"/>
          <w:szCs w:val="24"/>
        </w:rPr>
        <w:t xml:space="preserve"> </w:t>
      </w:r>
      <w:r>
        <w:rPr>
          <w:rFonts w:ascii="宋体" w:hAnsi="宋体" w:eastAsia="宋体" w:cs="宋体"/>
          <w:spacing w:val="-8"/>
          <w:sz w:val="24"/>
          <w:szCs w:val="24"/>
        </w:rPr>
        <w:t>小于《土壤环境质量 农用地土壤污染风险管控标准（试行）》（</w:t>
      </w:r>
      <w:r>
        <w:rPr>
          <w:rFonts w:ascii="Times New Roman" w:hAnsi="Times New Roman" w:eastAsia="Times New Roman" w:cs="Times New Roman"/>
          <w:spacing w:val="-8"/>
          <w:sz w:val="24"/>
          <w:szCs w:val="24"/>
        </w:rPr>
        <w:t>GB15618-2018</w:t>
      </w:r>
      <w:r>
        <w:rPr>
          <w:rFonts w:ascii="宋体" w:hAnsi="宋体" w:eastAsia="宋体" w:cs="宋体"/>
          <w:spacing w:val="-8"/>
          <w:sz w:val="24"/>
          <w:szCs w:val="24"/>
        </w:rPr>
        <w:t>）</w:t>
      </w:r>
      <w:r>
        <w:rPr>
          <w:rFonts w:ascii="宋体" w:hAnsi="宋体" w:eastAsia="宋体" w:cs="宋体"/>
          <w:spacing w:val="10"/>
          <w:sz w:val="24"/>
          <w:szCs w:val="24"/>
        </w:rPr>
        <w:t xml:space="preserve"> </w:t>
      </w:r>
      <w:r>
        <w:rPr>
          <w:rFonts w:ascii="宋体" w:hAnsi="宋体" w:eastAsia="宋体" w:cs="宋体"/>
          <w:spacing w:val="-1"/>
          <w:sz w:val="24"/>
          <w:szCs w:val="24"/>
        </w:rPr>
        <w:t>风险筛选值的要求，说明该地区土壤环境质量现状较好。</w:t>
      </w:r>
    </w:p>
    <w:p w14:paraId="02252495">
      <w:pPr>
        <w:spacing w:line="226" w:lineRule="auto"/>
        <w:ind w:left="2166"/>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1"/>
          <w:sz w:val="20"/>
          <w:szCs w:val="20"/>
        </w:rPr>
        <w:t xml:space="preserve"> </w:t>
      </w:r>
      <w:r>
        <w:rPr>
          <w:rFonts w:ascii="Times New Roman" w:hAnsi="Times New Roman" w:eastAsia="Times New Roman" w:cs="Times New Roman"/>
          <w:spacing w:val="7"/>
          <w:sz w:val="20"/>
          <w:szCs w:val="20"/>
        </w:rPr>
        <w:t xml:space="preserve">6.3-16    </w:t>
      </w:r>
      <w:r>
        <w:rPr>
          <w:rFonts w:ascii="宋体" w:hAnsi="宋体" w:eastAsia="宋体" w:cs="宋体"/>
          <w:spacing w:val="7"/>
          <w:sz w:val="20"/>
          <w:szCs w:val="20"/>
        </w:rPr>
        <w:t>厂界内监测点表层土壤基本因子监测结果表</w:t>
      </w:r>
    </w:p>
    <w:p w14:paraId="17F95C3C">
      <w:pPr>
        <w:spacing w:line="15" w:lineRule="exact"/>
      </w:pPr>
    </w:p>
    <w:tbl>
      <w:tblPr>
        <w:tblStyle w:val="5"/>
        <w:tblW w:w="8529" w:type="dxa"/>
        <w:tblInd w:w="4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2883"/>
        <w:gridCol w:w="1111"/>
        <w:gridCol w:w="1266"/>
        <w:gridCol w:w="1249"/>
        <w:gridCol w:w="1262"/>
      </w:tblGrid>
      <w:tr w14:paraId="7F619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vAlign w:val="top"/>
          </w:tcPr>
          <w:p w14:paraId="32300967">
            <w:pPr>
              <w:pStyle w:val="6"/>
              <w:spacing w:before="57" w:line="229" w:lineRule="auto"/>
              <w:ind w:left="173"/>
            </w:pPr>
            <w:r>
              <w:rPr>
                <w:spacing w:val="5"/>
              </w:rPr>
              <w:t>序号</w:t>
            </w:r>
          </w:p>
        </w:tc>
        <w:tc>
          <w:tcPr>
            <w:tcW w:w="2883" w:type="dxa"/>
            <w:vAlign w:val="top"/>
          </w:tcPr>
          <w:p w14:paraId="3C56FCF8">
            <w:pPr>
              <w:pStyle w:val="6"/>
              <w:spacing w:before="57" w:line="228" w:lineRule="auto"/>
              <w:ind w:left="1024"/>
            </w:pPr>
            <w:r>
              <w:rPr>
                <w:spacing w:val="7"/>
              </w:rPr>
              <w:t>检测项目</w:t>
            </w:r>
          </w:p>
        </w:tc>
        <w:tc>
          <w:tcPr>
            <w:tcW w:w="1111" w:type="dxa"/>
            <w:vAlign w:val="top"/>
          </w:tcPr>
          <w:p w14:paraId="34E27A1E">
            <w:pPr>
              <w:pStyle w:val="6"/>
              <w:spacing w:before="57" w:line="228" w:lineRule="auto"/>
              <w:ind w:left="353"/>
            </w:pPr>
            <w:r>
              <w:rPr>
                <w:spacing w:val="3"/>
              </w:rPr>
              <w:t>单位</w:t>
            </w:r>
          </w:p>
        </w:tc>
        <w:tc>
          <w:tcPr>
            <w:tcW w:w="1266" w:type="dxa"/>
            <w:vAlign w:val="top"/>
          </w:tcPr>
          <w:p w14:paraId="71616C6C">
            <w:pPr>
              <w:pStyle w:val="6"/>
              <w:spacing w:before="57" w:line="228" w:lineRule="auto"/>
              <w:ind w:left="219"/>
            </w:pPr>
            <w:r>
              <w:rPr>
                <w:spacing w:val="7"/>
              </w:rPr>
              <w:t>检测结果</w:t>
            </w:r>
          </w:p>
        </w:tc>
        <w:tc>
          <w:tcPr>
            <w:tcW w:w="1249" w:type="dxa"/>
            <w:vAlign w:val="top"/>
          </w:tcPr>
          <w:p w14:paraId="0AE565B5">
            <w:pPr>
              <w:pStyle w:val="6"/>
              <w:spacing w:before="57" w:line="228" w:lineRule="auto"/>
              <w:ind w:left="212"/>
            </w:pPr>
            <w:r>
              <w:rPr>
                <w:spacing w:val="7"/>
              </w:rPr>
              <w:t>标准限值</w:t>
            </w:r>
          </w:p>
        </w:tc>
        <w:tc>
          <w:tcPr>
            <w:tcW w:w="1262" w:type="dxa"/>
            <w:vAlign w:val="top"/>
          </w:tcPr>
          <w:p w14:paraId="1AE5D464">
            <w:pPr>
              <w:pStyle w:val="6"/>
              <w:spacing w:before="57" w:line="228" w:lineRule="auto"/>
              <w:ind w:left="216"/>
            </w:pPr>
            <w:r>
              <w:rPr>
                <w:spacing w:val="7"/>
              </w:rPr>
              <w:t>达标情况</w:t>
            </w:r>
          </w:p>
        </w:tc>
      </w:tr>
      <w:tr w14:paraId="4F138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29" w:type="dxa"/>
            <w:gridSpan w:val="6"/>
            <w:vAlign w:val="top"/>
          </w:tcPr>
          <w:p w14:paraId="4395460E">
            <w:pPr>
              <w:spacing w:before="88" w:line="195" w:lineRule="auto"/>
              <w:ind w:left="416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57AD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48A1525B">
            <w:pPr>
              <w:spacing w:before="89"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83" w:type="dxa"/>
            <w:vAlign w:val="top"/>
          </w:tcPr>
          <w:p w14:paraId="15BD3240">
            <w:pPr>
              <w:pStyle w:val="6"/>
              <w:spacing w:before="54" w:line="228" w:lineRule="auto"/>
              <w:ind w:left="1240"/>
            </w:pPr>
            <w:r>
              <w:rPr>
                <w:spacing w:val="2"/>
              </w:rPr>
              <w:t>总砷</w:t>
            </w:r>
          </w:p>
        </w:tc>
        <w:tc>
          <w:tcPr>
            <w:tcW w:w="1111" w:type="dxa"/>
            <w:vAlign w:val="top"/>
          </w:tcPr>
          <w:p w14:paraId="1111574A">
            <w:pPr>
              <w:spacing w:before="85"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316AFC7">
            <w:pPr>
              <w:spacing w:before="8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c>
          <w:tcPr>
            <w:tcW w:w="1249" w:type="dxa"/>
            <w:vAlign w:val="top"/>
          </w:tcPr>
          <w:p w14:paraId="713F5F5C">
            <w:pPr>
              <w:spacing w:before="89"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62" w:type="dxa"/>
            <w:vAlign w:val="top"/>
          </w:tcPr>
          <w:p w14:paraId="3FCA8213">
            <w:pPr>
              <w:pStyle w:val="6"/>
              <w:spacing w:before="54" w:line="228" w:lineRule="auto"/>
              <w:ind w:left="425"/>
            </w:pPr>
            <w:r>
              <w:rPr>
                <w:spacing w:val="5"/>
              </w:rPr>
              <w:t>达标</w:t>
            </w:r>
          </w:p>
        </w:tc>
      </w:tr>
      <w:tr w14:paraId="36070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2A905FFF">
            <w:pPr>
              <w:spacing w:before="9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83" w:type="dxa"/>
            <w:vAlign w:val="top"/>
          </w:tcPr>
          <w:p w14:paraId="6CB1D0C3">
            <w:pPr>
              <w:pStyle w:val="6"/>
              <w:spacing w:before="53" w:line="231" w:lineRule="auto"/>
              <w:ind w:left="1339"/>
            </w:pPr>
            <w:r>
              <w:rPr>
                <w:spacing w:val="2"/>
              </w:rPr>
              <w:t>镉</w:t>
            </w:r>
          </w:p>
        </w:tc>
        <w:tc>
          <w:tcPr>
            <w:tcW w:w="1111" w:type="dxa"/>
            <w:vAlign w:val="top"/>
          </w:tcPr>
          <w:p w14:paraId="00484386">
            <w:pPr>
              <w:spacing w:before="86"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2AF5AEC">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249" w:type="dxa"/>
            <w:vAlign w:val="top"/>
          </w:tcPr>
          <w:p w14:paraId="5C84B4C6">
            <w:pPr>
              <w:spacing w:before="90"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262" w:type="dxa"/>
            <w:vAlign w:val="top"/>
          </w:tcPr>
          <w:p w14:paraId="0300BE91">
            <w:pPr>
              <w:pStyle w:val="6"/>
              <w:spacing w:before="54" w:line="228" w:lineRule="auto"/>
              <w:ind w:left="425"/>
            </w:pPr>
            <w:r>
              <w:rPr>
                <w:spacing w:val="5"/>
              </w:rPr>
              <w:t>达标</w:t>
            </w:r>
          </w:p>
        </w:tc>
      </w:tr>
      <w:tr w14:paraId="2F9FC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1207B5D5">
            <w:pPr>
              <w:spacing w:before="8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83" w:type="dxa"/>
            <w:vAlign w:val="top"/>
          </w:tcPr>
          <w:p w14:paraId="585A3D8F">
            <w:pPr>
              <w:pStyle w:val="6"/>
              <w:spacing w:before="54" w:line="226" w:lineRule="auto"/>
              <w:ind w:left="1131"/>
            </w:pPr>
            <w:r>
              <w:rPr>
                <w:spacing w:val="6"/>
              </w:rPr>
              <w:t>六价铬</w:t>
            </w:r>
          </w:p>
        </w:tc>
        <w:tc>
          <w:tcPr>
            <w:tcW w:w="1111" w:type="dxa"/>
            <w:vAlign w:val="top"/>
          </w:tcPr>
          <w:p w14:paraId="7255A108">
            <w:pPr>
              <w:spacing w:before="85"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7C168A2">
            <w:pPr>
              <w:spacing w:before="89"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249" w:type="dxa"/>
            <w:vAlign w:val="top"/>
          </w:tcPr>
          <w:p w14:paraId="168D340A">
            <w:pPr>
              <w:spacing w:before="92" w:line="192"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62" w:type="dxa"/>
            <w:vAlign w:val="top"/>
          </w:tcPr>
          <w:p w14:paraId="7321832A">
            <w:pPr>
              <w:pStyle w:val="6"/>
              <w:spacing w:before="54" w:line="228" w:lineRule="auto"/>
              <w:ind w:left="425"/>
            </w:pPr>
            <w:r>
              <w:rPr>
                <w:spacing w:val="5"/>
              </w:rPr>
              <w:t>达标</w:t>
            </w:r>
          </w:p>
        </w:tc>
      </w:tr>
      <w:tr w14:paraId="21350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2AFA01C">
            <w:pPr>
              <w:spacing w:before="9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83" w:type="dxa"/>
            <w:vAlign w:val="top"/>
          </w:tcPr>
          <w:p w14:paraId="364B1197">
            <w:pPr>
              <w:pStyle w:val="6"/>
              <w:spacing w:before="54" w:line="229" w:lineRule="auto"/>
              <w:ind w:left="1340"/>
            </w:pPr>
            <w:r>
              <w:t>铜</w:t>
            </w:r>
          </w:p>
        </w:tc>
        <w:tc>
          <w:tcPr>
            <w:tcW w:w="1111" w:type="dxa"/>
            <w:vAlign w:val="top"/>
          </w:tcPr>
          <w:p w14:paraId="528E26F2">
            <w:pPr>
              <w:spacing w:before="86"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F6030F6">
            <w:pPr>
              <w:spacing w:before="90" w:line="195" w:lineRule="auto"/>
              <w:ind w:left="53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49" w:type="dxa"/>
            <w:vAlign w:val="top"/>
          </w:tcPr>
          <w:p w14:paraId="29EB4B90">
            <w:pPr>
              <w:spacing w:before="90" w:line="195"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262" w:type="dxa"/>
            <w:vAlign w:val="top"/>
          </w:tcPr>
          <w:p w14:paraId="6DA529C9">
            <w:pPr>
              <w:pStyle w:val="6"/>
              <w:spacing w:before="54" w:line="228" w:lineRule="auto"/>
              <w:ind w:left="425"/>
            </w:pPr>
            <w:r>
              <w:rPr>
                <w:spacing w:val="5"/>
              </w:rPr>
              <w:t>达标</w:t>
            </w:r>
          </w:p>
        </w:tc>
      </w:tr>
      <w:tr w14:paraId="1BACE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47D9AFF1">
            <w:pPr>
              <w:spacing w:before="95" w:line="192" w:lineRule="auto"/>
              <w:ind w:left="3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83" w:type="dxa"/>
            <w:vAlign w:val="top"/>
          </w:tcPr>
          <w:p w14:paraId="4D1605CC">
            <w:pPr>
              <w:pStyle w:val="6"/>
              <w:spacing w:before="56" w:line="230" w:lineRule="auto"/>
              <w:ind w:left="1340"/>
            </w:pPr>
            <w:r>
              <w:t>铅</w:t>
            </w:r>
          </w:p>
        </w:tc>
        <w:tc>
          <w:tcPr>
            <w:tcW w:w="1111" w:type="dxa"/>
            <w:vAlign w:val="top"/>
          </w:tcPr>
          <w:p w14:paraId="4A294CCD">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65471508">
            <w:pPr>
              <w:spacing w:before="92"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49" w:type="dxa"/>
            <w:vAlign w:val="top"/>
          </w:tcPr>
          <w:p w14:paraId="035D321B">
            <w:pPr>
              <w:spacing w:before="92"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262" w:type="dxa"/>
            <w:vAlign w:val="top"/>
          </w:tcPr>
          <w:p w14:paraId="7418C9CE">
            <w:pPr>
              <w:pStyle w:val="6"/>
              <w:spacing w:before="56" w:line="228" w:lineRule="auto"/>
              <w:ind w:left="425"/>
            </w:pPr>
            <w:r>
              <w:rPr>
                <w:spacing w:val="5"/>
              </w:rPr>
              <w:t>达标</w:t>
            </w:r>
          </w:p>
        </w:tc>
      </w:tr>
      <w:tr w14:paraId="523E2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8913B6A">
            <w:pPr>
              <w:spacing w:before="92"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83" w:type="dxa"/>
            <w:vAlign w:val="top"/>
          </w:tcPr>
          <w:p w14:paraId="2D835789">
            <w:pPr>
              <w:pStyle w:val="6"/>
              <w:spacing w:before="57" w:line="228" w:lineRule="auto"/>
              <w:ind w:left="1240"/>
            </w:pPr>
            <w:r>
              <w:rPr>
                <w:spacing w:val="2"/>
              </w:rPr>
              <w:t>总汞</w:t>
            </w:r>
          </w:p>
        </w:tc>
        <w:tc>
          <w:tcPr>
            <w:tcW w:w="1111" w:type="dxa"/>
            <w:vAlign w:val="top"/>
          </w:tcPr>
          <w:p w14:paraId="234111EC">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55F1892">
            <w:pPr>
              <w:spacing w:before="92"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0.0674</w:t>
            </w:r>
          </w:p>
        </w:tc>
        <w:tc>
          <w:tcPr>
            <w:tcW w:w="1249" w:type="dxa"/>
            <w:vAlign w:val="top"/>
          </w:tcPr>
          <w:p w14:paraId="3CD68146">
            <w:pPr>
              <w:spacing w:before="92"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262" w:type="dxa"/>
            <w:vAlign w:val="top"/>
          </w:tcPr>
          <w:p w14:paraId="03EF6999">
            <w:pPr>
              <w:pStyle w:val="6"/>
              <w:spacing w:before="57" w:line="228" w:lineRule="auto"/>
              <w:ind w:left="425"/>
            </w:pPr>
            <w:r>
              <w:rPr>
                <w:spacing w:val="5"/>
              </w:rPr>
              <w:t>达标</w:t>
            </w:r>
          </w:p>
        </w:tc>
      </w:tr>
      <w:tr w14:paraId="345BB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CEDD3C7">
            <w:pPr>
              <w:spacing w:before="95" w:line="192"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883" w:type="dxa"/>
            <w:vAlign w:val="top"/>
          </w:tcPr>
          <w:p w14:paraId="52930959">
            <w:pPr>
              <w:pStyle w:val="6"/>
              <w:spacing w:before="57" w:line="228" w:lineRule="auto"/>
              <w:ind w:left="1340"/>
            </w:pPr>
            <w:r>
              <w:rPr>
                <w:spacing w:val="1"/>
              </w:rPr>
              <w:t>镍</w:t>
            </w:r>
          </w:p>
        </w:tc>
        <w:tc>
          <w:tcPr>
            <w:tcW w:w="1111" w:type="dxa"/>
            <w:vAlign w:val="top"/>
          </w:tcPr>
          <w:p w14:paraId="7F92EAF1">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4BE87AE">
            <w:pPr>
              <w:spacing w:before="92"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49" w:type="dxa"/>
            <w:vAlign w:val="top"/>
          </w:tcPr>
          <w:p w14:paraId="7C982576">
            <w:pPr>
              <w:spacing w:before="92"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262" w:type="dxa"/>
            <w:vAlign w:val="top"/>
          </w:tcPr>
          <w:p w14:paraId="4A6BF7B5">
            <w:pPr>
              <w:pStyle w:val="6"/>
              <w:spacing w:before="57" w:line="228" w:lineRule="auto"/>
              <w:ind w:left="425"/>
            </w:pPr>
            <w:r>
              <w:rPr>
                <w:spacing w:val="5"/>
              </w:rPr>
              <w:t>达标</w:t>
            </w:r>
          </w:p>
        </w:tc>
      </w:tr>
      <w:tr w14:paraId="533FA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094293F3">
            <w:pPr>
              <w:spacing w:before="92" w:line="195"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83" w:type="dxa"/>
            <w:vAlign w:val="top"/>
          </w:tcPr>
          <w:p w14:paraId="47253EA9">
            <w:pPr>
              <w:pStyle w:val="6"/>
              <w:spacing w:before="56" w:line="228" w:lineRule="auto"/>
              <w:ind w:left="1043"/>
            </w:pPr>
            <w:r>
              <w:rPr>
                <w:spacing w:val="2"/>
              </w:rPr>
              <w:t>四氯化碳</w:t>
            </w:r>
          </w:p>
        </w:tc>
        <w:tc>
          <w:tcPr>
            <w:tcW w:w="1111" w:type="dxa"/>
            <w:vAlign w:val="top"/>
          </w:tcPr>
          <w:p w14:paraId="5E9ECE2F">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CA594AC">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59C6007F">
            <w:pPr>
              <w:spacing w:before="9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62" w:type="dxa"/>
            <w:vAlign w:val="top"/>
          </w:tcPr>
          <w:p w14:paraId="3EFD6250">
            <w:pPr>
              <w:pStyle w:val="6"/>
              <w:spacing w:before="56" w:line="228" w:lineRule="auto"/>
              <w:ind w:left="425"/>
            </w:pPr>
            <w:r>
              <w:rPr>
                <w:spacing w:val="5"/>
              </w:rPr>
              <w:t>达标</w:t>
            </w:r>
          </w:p>
        </w:tc>
      </w:tr>
      <w:tr w14:paraId="3C8C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0E4431CD">
            <w:pPr>
              <w:spacing w:before="91"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83" w:type="dxa"/>
            <w:vAlign w:val="top"/>
          </w:tcPr>
          <w:p w14:paraId="69463317">
            <w:pPr>
              <w:pStyle w:val="6"/>
              <w:spacing w:before="56" w:line="228" w:lineRule="auto"/>
              <w:ind w:left="1238"/>
            </w:pPr>
            <w:r>
              <w:rPr>
                <w:spacing w:val="3"/>
              </w:rPr>
              <w:t>氯仿</w:t>
            </w:r>
          </w:p>
        </w:tc>
        <w:tc>
          <w:tcPr>
            <w:tcW w:w="1111" w:type="dxa"/>
            <w:vAlign w:val="top"/>
          </w:tcPr>
          <w:p w14:paraId="7189ADC9">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5FBE12E">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1DA6D2B">
            <w:pPr>
              <w:spacing w:before="91"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262" w:type="dxa"/>
            <w:vAlign w:val="top"/>
          </w:tcPr>
          <w:p w14:paraId="7CC55FBB">
            <w:pPr>
              <w:pStyle w:val="6"/>
              <w:spacing w:before="56" w:line="228" w:lineRule="auto"/>
              <w:ind w:left="425"/>
            </w:pPr>
            <w:r>
              <w:rPr>
                <w:spacing w:val="5"/>
              </w:rPr>
              <w:t>达标</w:t>
            </w:r>
          </w:p>
        </w:tc>
      </w:tr>
      <w:tr w14:paraId="150F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54F868F9">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883" w:type="dxa"/>
            <w:vAlign w:val="top"/>
          </w:tcPr>
          <w:p w14:paraId="05DBA706">
            <w:pPr>
              <w:pStyle w:val="6"/>
              <w:spacing w:before="55" w:line="228" w:lineRule="auto"/>
              <w:ind w:left="1133"/>
            </w:pPr>
            <w:r>
              <w:rPr>
                <w:spacing w:val="5"/>
              </w:rPr>
              <w:t>氯甲烷</w:t>
            </w:r>
          </w:p>
        </w:tc>
        <w:tc>
          <w:tcPr>
            <w:tcW w:w="1111" w:type="dxa"/>
            <w:vAlign w:val="top"/>
          </w:tcPr>
          <w:p w14:paraId="317212AD">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F4234BC">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1621737">
            <w:pPr>
              <w:spacing w:before="91"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262" w:type="dxa"/>
            <w:vAlign w:val="top"/>
          </w:tcPr>
          <w:p w14:paraId="36EE0C90">
            <w:pPr>
              <w:pStyle w:val="6"/>
              <w:spacing w:before="55" w:line="228" w:lineRule="auto"/>
              <w:ind w:left="425"/>
            </w:pPr>
            <w:r>
              <w:rPr>
                <w:spacing w:val="5"/>
              </w:rPr>
              <w:t>达标</w:t>
            </w:r>
          </w:p>
        </w:tc>
      </w:tr>
      <w:tr w14:paraId="1D399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58" w:type="dxa"/>
            <w:vAlign w:val="top"/>
          </w:tcPr>
          <w:p w14:paraId="2727BFEF">
            <w:pPr>
              <w:spacing w:before="9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883" w:type="dxa"/>
            <w:vAlign w:val="top"/>
          </w:tcPr>
          <w:p w14:paraId="0FD5BB69">
            <w:pPr>
              <w:pStyle w:val="6"/>
              <w:spacing w:before="57" w:line="221" w:lineRule="auto"/>
              <w:ind w:left="874"/>
            </w:pP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w:t>
            </w:r>
            <w:r>
              <w:t>二氯乙烷</w:t>
            </w:r>
          </w:p>
        </w:tc>
        <w:tc>
          <w:tcPr>
            <w:tcW w:w="1111" w:type="dxa"/>
            <w:vAlign w:val="top"/>
          </w:tcPr>
          <w:p w14:paraId="5D03FB1D">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B0A36B3">
            <w:pPr>
              <w:spacing w:before="93"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0.0158</w:t>
            </w:r>
          </w:p>
        </w:tc>
        <w:tc>
          <w:tcPr>
            <w:tcW w:w="1249" w:type="dxa"/>
            <w:vAlign w:val="top"/>
          </w:tcPr>
          <w:p w14:paraId="52C179BC">
            <w:pPr>
              <w:spacing w:before="93" w:line="195" w:lineRule="auto"/>
              <w:ind w:left="57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62" w:type="dxa"/>
            <w:vAlign w:val="top"/>
          </w:tcPr>
          <w:p w14:paraId="2EE93137">
            <w:pPr>
              <w:pStyle w:val="6"/>
              <w:spacing w:before="57" w:line="228" w:lineRule="auto"/>
              <w:ind w:left="425"/>
            </w:pPr>
            <w:r>
              <w:rPr>
                <w:spacing w:val="5"/>
              </w:rPr>
              <w:t>达标</w:t>
            </w:r>
          </w:p>
        </w:tc>
      </w:tr>
    </w:tbl>
    <w:p w14:paraId="4C6F86BC">
      <w:pPr>
        <w:pStyle w:val="2"/>
      </w:pPr>
    </w:p>
    <w:p w14:paraId="6CFC0A0E">
      <w:pPr>
        <w:sectPr>
          <w:footerReference r:id="rId215" w:type="default"/>
          <w:pgSz w:w="11906" w:h="16839"/>
          <w:pgMar w:top="1208" w:right="1215" w:bottom="957" w:left="1215" w:header="825" w:footer="795" w:gutter="0"/>
          <w:cols w:space="720" w:num="1"/>
        </w:sectPr>
      </w:pPr>
    </w:p>
    <w:p w14:paraId="4BFFFBEC">
      <w:pPr>
        <w:spacing w:line="231"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2883"/>
        <w:gridCol w:w="1111"/>
        <w:gridCol w:w="1266"/>
        <w:gridCol w:w="1249"/>
        <w:gridCol w:w="1262"/>
      </w:tblGrid>
      <w:tr w14:paraId="7FE9D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vAlign w:val="top"/>
          </w:tcPr>
          <w:p w14:paraId="61A7169A">
            <w:pPr>
              <w:spacing w:before="9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883" w:type="dxa"/>
            <w:vAlign w:val="top"/>
          </w:tcPr>
          <w:p w14:paraId="4DB42BCF">
            <w:pPr>
              <w:pStyle w:val="6"/>
              <w:spacing w:before="56" w:line="221" w:lineRule="auto"/>
              <w:ind w:left="874"/>
            </w:pPr>
            <w:r>
              <w:rPr>
                <w:rFonts w:ascii="Times New Roman" w:hAnsi="Times New Roman" w:eastAsia="Times New Roman" w:cs="Times New Roman"/>
                <w:spacing w:val="3"/>
              </w:rPr>
              <w:t>1,2-</w:t>
            </w:r>
            <w:r>
              <w:rPr>
                <w:spacing w:val="3"/>
              </w:rPr>
              <w:t>二氯乙烷</w:t>
            </w:r>
          </w:p>
        </w:tc>
        <w:tc>
          <w:tcPr>
            <w:tcW w:w="1111" w:type="dxa"/>
            <w:vAlign w:val="top"/>
          </w:tcPr>
          <w:p w14:paraId="5D3027BF">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CFD1948">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F6DDC68">
            <w:pPr>
              <w:spacing w:before="95" w:line="192"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2" w:type="dxa"/>
            <w:vAlign w:val="top"/>
          </w:tcPr>
          <w:p w14:paraId="7AAD08A1">
            <w:pPr>
              <w:pStyle w:val="6"/>
              <w:spacing w:before="56" w:line="228" w:lineRule="auto"/>
              <w:ind w:left="425"/>
            </w:pPr>
            <w:r>
              <w:rPr>
                <w:spacing w:val="5"/>
              </w:rPr>
              <w:t>达标</w:t>
            </w:r>
          </w:p>
        </w:tc>
      </w:tr>
      <w:tr w14:paraId="144BC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84D0D75">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883" w:type="dxa"/>
            <w:vAlign w:val="top"/>
          </w:tcPr>
          <w:p w14:paraId="21BD1DED">
            <w:pPr>
              <w:pStyle w:val="6"/>
              <w:spacing w:before="51" w:line="221" w:lineRule="auto"/>
              <w:ind w:left="874"/>
            </w:pPr>
            <w:r>
              <w:rPr>
                <w:rFonts w:ascii="Times New Roman" w:hAnsi="Times New Roman" w:eastAsia="Times New Roman" w:cs="Times New Roman"/>
              </w:rPr>
              <w:t>1,</w:t>
            </w:r>
            <w:r>
              <w:rPr>
                <w:rFonts w:ascii="Times New Roman" w:hAnsi="Times New Roman" w:eastAsia="Times New Roman" w:cs="Times New Roman"/>
                <w:spacing w:val="-24"/>
              </w:rPr>
              <w:t xml:space="preserve"> </w:t>
            </w:r>
            <w:r>
              <w:rPr>
                <w:rFonts w:ascii="Times New Roman" w:hAnsi="Times New Roman" w:eastAsia="Times New Roman" w:cs="Times New Roman"/>
              </w:rPr>
              <w:t>1-</w:t>
            </w:r>
            <w:r>
              <w:t>二氯乙烯</w:t>
            </w:r>
          </w:p>
        </w:tc>
        <w:tc>
          <w:tcPr>
            <w:tcW w:w="1111" w:type="dxa"/>
            <w:vAlign w:val="top"/>
          </w:tcPr>
          <w:p w14:paraId="35848D22">
            <w:pPr>
              <w:spacing w:before="84"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A583C82">
            <w:pPr>
              <w:spacing w:before="90"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FE6EE63">
            <w:pPr>
              <w:spacing w:before="87" w:line="195"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262" w:type="dxa"/>
            <w:vAlign w:val="top"/>
          </w:tcPr>
          <w:p w14:paraId="136E7848">
            <w:pPr>
              <w:pStyle w:val="6"/>
              <w:spacing w:before="52" w:line="228" w:lineRule="auto"/>
              <w:ind w:left="425"/>
            </w:pPr>
            <w:r>
              <w:rPr>
                <w:spacing w:val="5"/>
              </w:rPr>
              <w:t>达标</w:t>
            </w:r>
          </w:p>
        </w:tc>
      </w:tr>
      <w:tr w14:paraId="6AD4E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B197B5D">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883" w:type="dxa"/>
            <w:vAlign w:val="top"/>
          </w:tcPr>
          <w:p w14:paraId="18FEECAE">
            <w:pPr>
              <w:pStyle w:val="6"/>
              <w:spacing w:before="51" w:line="221" w:lineRule="auto"/>
              <w:ind w:left="720"/>
            </w:pPr>
            <w:r>
              <w:rPr>
                <w:spacing w:val="5"/>
              </w:rPr>
              <w:t>顺</w:t>
            </w:r>
            <w:r>
              <w:rPr>
                <w:rFonts w:ascii="Times New Roman" w:hAnsi="Times New Roman" w:eastAsia="Times New Roman" w:cs="Times New Roman"/>
                <w:spacing w:val="5"/>
              </w:rPr>
              <w:t>-1,2-</w:t>
            </w:r>
            <w:r>
              <w:rPr>
                <w:spacing w:val="5"/>
              </w:rPr>
              <w:t>二氯乙烯</w:t>
            </w:r>
          </w:p>
        </w:tc>
        <w:tc>
          <w:tcPr>
            <w:tcW w:w="1111" w:type="dxa"/>
            <w:vAlign w:val="top"/>
          </w:tcPr>
          <w:p w14:paraId="54495949">
            <w:pPr>
              <w:spacing w:before="83"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16F5E05">
            <w:pPr>
              <w:spacing w:before="90"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497768B">
            <w:pPr>
              <w:spacing w:before="87"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596</w:t>
            </w:r>
          </w:p>
        </w:tc>
        <w:tc>
          <w:tcPr>
            <w:tcW w:w="1262" w:type="dxa"/>
            <w:vAlign w:val="top"/>
          </w:tcPr>
          <w:p w14:paraId="7B532076">
            <w:pPr>
              <w:pStyle w:val="6"/>
              <w:spacing w:before="52" w:line="228" w:lineRule="auto"/>
              <w:ind w:left="425"/>
            </w:pPr>
            <w:r>
              <w:rPr>
                <w:spacing w:val="5"/>
              </w:rPr>
              <w:t>达标</w:t>
            </w:r>
          </w:p>
        </w:tc>
      </w:tr>
      <w:tr w14:paraId="6EE7C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4EC684B3">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883" w:type="dxa"/>
            <w:vAlign w:val="top"/>
          </w:tcPr>
          <w:p w14:paraId="67D06B95">
            <w:pPr>
              <w:pStyle w:val="6"/>
              <w:spacing w:before="50" w:line="221" w:lineRule="auto"/>
              <w:ind w:left="720"/>
            </w:pPr>
            <w:r>
              <w:rPr>
                <w:spacing w:val="5"/>
              </w:rPr>
              <w:t>反</w:t>
            </w:r>
            <w:r>
              <w:rPr>
                <w:rFonts w:ascii="Times New Roman" w:hAnsi="Times New Roman" w:eastAsia="Times New Roman" w:cs="Times New Roman"/>
                <w:spacing w:val="5"/>
              </w:rPr>
              <w:t>-1,2-</w:t>
            </w:r>
            <w:r>
              <w:rPr>
                <w:spacing w:val="5"/>
              </w:rPr>
              <w:t>二氯乙烯</w:t>
            </w:r>
          </w:p>
        </w:tc>
        <w:tc>
          <w:tcPr>
            <w:tcW w:w="1111" w:type="dxa"/>
            <w:vAlign w:val="top"/>
          </w:tcPr>
          <w:p w14:paraId="079241E8">
            <w:pPr>
              <w:spacing w:before="83"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E0DDAFE">
            <w:pPr>
              <w:spacing w:before="90"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99EC28E">
            <w:pPr>
              <w:spacing w:before="8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262" w:type="dxa"/>
            <w:vAlign w:val="top"/>
          </w:tcPr>
          <w:p w14:paraId="45BACCBC">
            <w:pPr>
              <w:pStyle w:val="6"/>
              <w:spacing w:before="51" w:line="228" w:lineRule="auto"/>
              <w:ind w:left="425"/>
            </w:pPr>
            <w:r>
              <w:rPr>
                <w:spacing w:val="5"/>
              </w:rPr>
              <w:t>达标</w:t>
            </w:r>
          </w:p>
        </w:tc>
      </w:tr>
      <w:tr w14:paraId="3F68C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2FEBE09C">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883" w:type="dxa"/>
            <w:vAlign w:val="top"/>
          </w:tcPr>
          <w:p w14:paraId="748AE3D3">
            <w:pPr>
              <w:pStyle w:val="6"/>
              <w:spacing w:before="54" w:line="228" w:lineRule="auto"/>
              <w:ind w:left="1027"/>
            </w:pPr>
            <w:r>
              <w:rPr>
                <w:spacing w:val="6"/>
              </w:rPr>
              <w:t>二氯甲烷</w:t>
            </w:r>
          </w:p>
        </w:tc>
        <w:tc>
          <w:tcPr>
            <w:tcW w:w="1111" w:type="dxa"/>
            <w:vAlign w:val="top"/>
          </w:tcPr>
          <w:p w14:paraId="7E3E2B5D">
            <w:pPr>
              <w:spacing w:before="86"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6BCA9740">
            <w:pPr>
              <w:spacing w:before="90"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0.0195</w:t>
            </w:r>
          </w:p>
        </w:tc>
        <w:tc>
          <w:tcPr>
            <w:tcW w:w="1249" w:type="dxa"/>
            <w:vAlign w:val="top"/>
          </w:tcPr>
          <w:p w14:paraId="76FBC543">
            <w:pPr>
              <w:spacing w:before="90"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1262" w:type="dxa"/>
            <w:vAlign w:val="top"/>
          </w:tcPr>
          <w:p w14:paraId="466BAAA2">
            <w:pPr>
              <w:pStyle w:val="6"/>
              <w:spacing w:before="54" w:line="228" w:lineRule="auto"/>
              <w:ind w:left="425"/>
            </w:pPr>
            <w:r>
              <w:rPr>
                <w:spacing w:val="5"/>
              </w:rPr>
              <w:t>达标</w:t>
            </w:r>
          </w:p>
        </w:tc>
      </w:tr>
      <w:tr w14:paraId="0A2C9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77CF4D0F">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883" w:type="dxa"/>
            <w:vAlign w:val="top"/>
          </w:tcPr>
          <w:p w14:paraId="71C339B5">
            <w:pPr>
              <w:pStyle w:val="6"/>
              <w:spacing w:before="54" w:line="221" w:lineRule="auto"/>
              <w:ind w:left="874"/>
            </w:pPr>
            <w:r>
              <w:rPr>
                <w:rFonts w:ascii="Times New Roman" w:hAnsi="Times New Roman" w:eastAsia="Times New Roman" w:cs="Times New Roman"/>
                <w:spacing w:val="3"/>
              </w:rPr>
              <w:t>1,2-</w:t>
            </w:r>
            <w:r>
              <w:rPr>
                <w:spacing w:val="3"/>
              </w:rPr>
              <w:t>二氯丙烷</w:t>
            </w:r>
          </w:p>
        </w:tc>
        <w:tc>
          <w:tcPr>
            <w:tcW w:w="1111" w:type="dxa"/>
            <w:vAlign w:val="top"/>
          </w:tcPr>
          <w:p w14:paraId="3EC4ACE7">
            <w:pPr>
              <w:spacing w:before="86"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667644B9">
            <w:pPr>
              <w:spacing w:before="93"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532E1E6F">
            <w:pPr>
              <w:spacing w:before="93" w:line="192"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62" w:type="dxa"/>
            <w:vAlign w:val="top"/>
          </w:tcPr>
          <w:p w14:paraId="50BFF8FB">
            <w:pPr>
              <w:pStyle w:val="6"/>
              <w:spacing w:before="55" w:line="228" w:lineRule="auto"/>
              <w:ind w:left="425"/>
            </w:pPr>
            <w:r>
              <w:rPr>
                <w:spacing w:val="5"/>
              </w:rPr>
              <w:t>达标</w:t>
            </w:r>
          </w:p>
        </w:tc>
      </w:tr>
      <w:tr w14:paraId="7F8D3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58" w:type="dxa"/>
            <w:vAlign w:val="top"/>
          </w:tcPr>
          <w:p w14:paraId="65669F77">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883" w:type="dxa"/>
            <w:vAlign w:val="top"/>
          </w:tcPr>
          <w:p w14:paraId="7A90D17C">
            <w:pPr>
              <w:pStyle w:val="6"/>
              <w:spacing w:before="55" w:line="221" w:lineRule="auto"/>
              <w:ind w:left="718"/>
            </w:pP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7"/>
              </w:rPr>
              <w:t xml:space="preserve"> </w:t>
            </w:r>
            <w:r>
              <w:rPr>
                <w:rFonts w:ascii="Times New Roman" w:hAnsi="Times New Roman" w:eastAsia="Times New Roman" w:cs="Times New Roman"/>
                <w:spacing w:val="-1"/>
              </w:rPr>
              <w:t>1,2-</w:t>
            </w:r>
            <w:r>
              <w:rPr>
                <w:spacing w:val="-1"/>
              </w:rPr>
              <w:t>四氯乙烷</w:t>
            </w:r>
          </w:p>
        </w:tc>
        <w:tc>
          <w:tcPr>
            <w:tcW w:w="1111" w:type="dxa"/>
            <w:vAlign w:val="top"/>
          </w:tcPr>
          <w:p w14:paraId="61FBBF15">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92EE05F">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837F49D">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62" w:type="dxa"/>
            <w:vAlign w:val="top"/>
          </w:tcPr>
          <w:p w14:paraId="730B8A83">
            <w:pPr>
              <w:pStyle w:val="6"/>
              <w:spacing w:before="55" w:line="228" w:lineRule="auto"/>
              <w:ind w:left="425"/>
            </w:pPr>
            <w:r>
              <w:rPr>
                <w:spacing w:val="5"/>
              </w:rPr>
              <w:t>达标</w:t>
            </w:r>
          </w:p>
        </w:tc>
      </w:tr>
      <w:tr w14:paraId="49104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086D150C">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2883" w:type="dxa"/>
            <w:vAlign w:val="top"/>
          </w:tcPr>
          <w:p w14:paraId="3AF86610">
            <w:pPr>
              <w:pStyle w:val="6"/>
              <w:spacing w:before="55" w:line="221" w:lineRule="auto"/>
              <w:ind w:left="718"/>
            </w:pP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rFonts w:ascii="Times New Roman" w:hAnsi="Times New Roman" w:eastAsia="Times New Roman" w:cs="Times New Roman"/>
                <w:spacing w:val="1"/>
              </w:rPr>
              <w:t>1,2,2-</w:t>
            </w:r>
            <w:r>
              <w:rPr>
                <w:spacing w:val="1"/>
              </w:rPr>
              <w:t>四氯乙烷</w:t>
            </w:r>
          </w:p>
        </w:tc>
        <w:tc>
          <w:tcPr>
            <w:tcW w:w="1111" w:type="dxa"/>
            <w:vAlign w:val="top"/>
          </w:tcPr>
          <w:p w14:paraId="2C92F9D9">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7F5008D">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532B216">
            <w:pPr>
              <w:spacing w:before="91"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1262" w:type="dxa"/>
            <w:vAlign w:val="top"/>
          </w:tcPr>
          <w:p w14:paraId="06F02FF8">
            <w:pPr>
              <w:pStyle w:val="6"/>
              <w:spacing w:before="56" w:line="228" w:lineRule="auto"/>
              <w:ind w:left="425"/>
            </w:pPr>
            <w:r>
              <w:rPr>
                <w:spacing w:val="5"/>
              </w:rPr>
              <w:t>达标</w:t>
            </w:r>
          </w:p>
        </w:tc>
      </w:tr>
      <w:tr w14:paraId="520E2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A2B168B">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883" w:type="dxa"/>
            <w:vAlign w:val="top"/>
          </w:tcPr>
          <w:p w14:paraId="0C8FA5EA">
            <w:pPr>
              <w:pStyle w:val="6"/>
              <w:spacing w:before="55" w:line="228" w:lineRule="auto"/>
              <w:ind w:left="1043"/>
            </w:pPr>
            <w:r>
              <w:rPr>
                <w:spacing w:val="2"/>
              </w:rPr>
              <w:t>四氯乙烯</w:t>
            </w:r>
          </w:p>
        </w:tc>
        <w:tc>
          <w:tcPr>
            <w:tcW w:w="1111" w:type="dxa"/>
            <w:vAlign w:val="top"/>
          </w:tcPr>
          <w:p w14:paraId="146FA86F">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69AC1D8">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AE24F99">
            <w:pPr>
              <w:spacing w:before="91" w:line="195"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62" w:type="dxa"/>
            <w:vAlign w:val="top"/>
          </w:tcPr>
          <w:p w14:paraId="705FE9FA">
            <w:pPr>
              <w:pStyle w:val="6"/>
              <w:spacing w:before="56" w:line="228" w:lineRule="auto"/>
              <w:ind w:left="425"/>
            </w:pPr>
            <w:r>
              <w:rPr>
                <w:spacing w:val="5"/>
              </w:rPr>
              <w:t>达标</w:t>
            </w:r>
          </w:p>
        </w:tc>
      </w:tr>
      <w:tr w14:paraId="54FEC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E312970">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2883" w:type="dxa"/>
            <w:vAlign w:val="top"/>
          </w:tcPr>
          <w:p w14:paraId="5425C590">
            <w:pPr>
              <w:pStyle w:val="6"/>
              <w:spacing w:before="54" w:line="221" w:lineRule="auto"/>
              <w:ind w:left="795"/>
            </w:pP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w:t>
            </w:r>
            <w:r>
              <w:rPr>
                <w:spacing w:val="-2"/>
              </w:rPr>
              <w:t>三氯乙烷</w:t>
            </w:r>
          </w:p>
        </w:tc>
        <w:tc>
          <w:tcPr>
            <w:tcW w:w="1111" w:type="dxa"/>
            <w:vAlign w:val="top"/>
          </w:tcPr>
          <w:p w14:paraId="0C42FB2B">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24D3674">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1DA6BD86">
            <w:pPr>
              <w:spacing w:before="9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840</w:t>
            </w:r>
          </w:p>
        </w:tc>
        <w:tc>
          <w:tcPr>
            <w:tcW w:w="1262" w:type="dxa"/>
            <w:vAlign w:val="top"/>
          </w:tcPr>
          <w:p w14:paraId="6FF4FD21">
            <w:pPr>
              <w:pStyle w:val="6"/>
              <w:spacing w:before="55" w:line="228" w:lineRule="auto"/>
              <w:ind w:left="425"/>
            </w:pPr>
            <w:r>
              <w:rPr>
                <w:spacing w:val="5"/>
              </w:rPr>
              <w:t>达标</w:t>
            </w:r>
          </w:p>
        </w:tc>
      </w:tr>
      <w:tr w14:paraId="2751E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9093618">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2883" w:type="dxa"/>
            <w:vAlign w:val="top"/>
          </w:tcPr>
          <w:p w14:paraId="70E92ECB">
            <w:pPr>
              <w:pStyle w:val="6"/>
              <w:spacing w:before="56" w:line="221" w:lineRule="auto"/>
              <w:ind w:left="795"/>
            </w:pP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三氯乙烷</w:t>
            </w:r>
          </w:p>
        </w:tc>
        <w:tc>
          <w:tcPr>
            <w:tcW w:w="1111" w:type="dxa"/>
            <w:vAlign w:val="top"/>
          </w:tcPr>
          <w:p w14:paraId="6285C9BE">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1DD9948">
            <w:pPr>
              <w:spacing w:before="93"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0.0204</w:t>
            </w:r>
          </w:p>
        </w:tc>
        <w:tc>
          <w:tcPr>
            <w:tcW w:w="1249" w:type="dxa"/>
            <w:vAlign w:val="top"/>
          </w:tcPr>
          <w:p w14:paraId="26E1F47A">
            <w:pPr>
              <w:spacing w:before="93"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62" w:type="dxa"/>
            <w:vAlign w:val="top"/>
          </w:tcPr>
          <w:p w14:paraId="409A088D">
            <w:pPr>
              <w:pStyle w:val="6"/>
              <w:spacing w:before="57" w:line="228" w:lineRule="auto"/>
              <w:ind w:left="425"/>
            </w:pPr>
            <w:r>
              <w:rPr>
                <w:spacing w:val="5"/>
              </w:rPr>
              <w:t>达标</w:t>
            </w:r>
          </w:p>
        </w:tc>
      </w:tr>
      <w:tr w14:paraId="78520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CA42EB2">
            <w:pPr>
              <w:spacing w:before="9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2883" w:type="dxa"/>
            <w:vAlign w:val="top"/>
          </w:tcPr>
          <w:p w14:paraId="0D7C6386">
            <w:pPr>
              <w:pStyle w:val="6"/>
              <w:spacing w:before="56" w:line="228" w:lineRule="auto"/>
              <w:ind w:left="1024"/>
            </w:pPr>
            <w:r>
              <w:rPr>
                <w:spacing w:val="7"/>
              </w:rPr>
              <w:t>三氯乙烯</w:t>
            </w:r>
          </w:p>
        </w:tc>
        <w:tc>
          <w:tcPr>
            <w:tcW w:w="1111" w:type="dxa"/>
            <w:vAlign w:val="top"/>
          </w:tcPr>
          <w:p w14:paraId="6C894A9B">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F263171">
            <w:pPr>
              <w:spacing w:before="92"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0.0166</w:t>
            </w:r>
          </w:p>
        </w:tc>
        <w:tc>
          <w:tcPr>
            <w:tcW w:w="1249" w:type="dxa"/>
            <w:vAlign w:val="top"/>
          </w:tcPr>
          <w:p w14:paraId="4269C353">
            <w:pPr>
              <w:spacing w:before="9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62" w:type="dxa"/>
            <w:vAlign w:val="top"/>
          </w:tcPr>
          <w:p w14:paraId="3BE92A2E">
            <w:pPr>
              <w:pStyle w:val="6"/>
              <w:spacing w:before="57" w:line="228" w:lineRule="auto"/>
              <w:ind w:left="425"/>
            </w:pPr>
            <w:r>
              <w:rPr>
                <w:spacing w:val="5"/>
              </w:rPr>
              <w:t>达标</w:t>
            </w:r>
          </w:p>
        </w:tc>
      </w:tr>
      <w:tr w14:paraId="3C841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346D77D">
            <w:pPr>
              <w:spacing w:before="9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2883" w:type="dxa"/>
            <w:vAlign w:val="top"/>
          </w:tcPr>
          <w:p w14:paraId="425D7442">
            <w:pPr>
              <w:pStyle w:val="6"/>
              <w:spacing w:before="56" w:line="221" w:lineRule="auto"/>
              <w:ind w:left="795"/>
            </w:pPr>
            <w:r>
              <w:rPr>
                <w:rFonts w:ascii="Times New Roman" w:hAnsi="Times New Roman" w:eastAsia="Times New Roman" w:cs="Times New Roman"/>
                <w:spacing w:val="3"/>
              </w:rPr>
              <w:t>1,2,3-</w:t>
            </w:r>
            <w:r>
              <w:rPr>
                <w:spacing w:val="3"/>
              </w:rPr>
              <w:t>三氯丙烷</w:t>
            </w:r>
          </w:p>
        </w:tc>
        <w:tc>
          <w:tcPr>
            <w:tcW w:w="1111" w:type="dxa"/>
            <w:vAlign w:val="top"/>
          </w:tcPr>
          <w:p w14:paraId="139C5469">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5746168">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5C39609D">
            <w:pPr>
              <w:spacing w:before="92"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262" w:type="dxa"/>
            <w:vAlign w:val="top"/>
          </w:tcPr>
          <w:p w14:paraId="5F6A3A6D">
            <w:pPr>
              <w:pStyle w:val="6"/>
              <w:spacing w:before="56" w:line="228" w:lineRule="auto"/>
              <w:ind w:left="425"/>
            </w:pPr>
            <w:r>
              <w:rPr>
                <w:spacing w:val="5"/>
              </w:rPr>
              <w:t>达标</w:t>
            </w:r>
          </w:p>
        </w:tc>
      </w:tr>
      <w:tr w14:paraId="272BE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25B81086">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2883" w:type="dxa"/>
            <w:vAlign w:val="top"/>
          </w:tcPr>
          <w:p w14:paraId="067BEC2E">
            <w:pPr>
              <w:pStyle w:val="6"/>
              <w:spacing w:before="55" w:line="228" w:lineRule="auto"/>
              <w:ind w:left="1133"/>
            </w:pPr>
            <w:r>
              <w:rPr>
                <w:spacing w:val="5"/>
              </w:rPr>
              <w:t>氯乙烯</w:t>
            </w:r>
          </w:p>
        </w:tc>
        <w:tc>
          <w:tcPr>
            <w:tcW w:w="1111" w:type="dxa"/>
            <w:vAlign w:val="top"/>
          </w:tcPr>
          <w:p w14:paraId="09B515F5">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BBFBA31">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303C4D1">
            <w:pPr>
              <w:spacing w:before="91"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1262" w:type="dxa"/>
            <w:vAlign w:val="top"/>
          </w:tcPr>
          <w:p w14:paraId="3195DCE7">
            <w:pPr>
              <w:pStyle w:val="6"/>
              <w:spacing w:before="56" w:line="228" w:lineRule="auto"/>
              <w:ind w:left="425"/>
            </w:pPr>
            <w:r>
              <w:rPr>
                <w:spacing w:val="5"/>
              </w:rPr>
              <w:t>达标</w:t>
            </w:r>
          </w:p>
        </w:tc>
      </w:tr>
      <w:tr w14:paraId="07B4F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15FC5DC">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883" w:type="dxa"/>
            <w:vAlign w:val="top"/>
          </w:tcPr>
          <w:p w14:paraId="6B1A143F">
            <w:pPr>
              <w:pStyle w:val="6"/>
              <w:spacing w:before="55" w:line="227" w:lineRule="auto"/>
              <w:ind w:left="1343"/>
            </w:pPr>
            <w:r>
              <w:t>苯</w:t>
            </w:r>
          </w:p>
        </w:tc>
        <w:tc>
          <w:tcPr>
            <w:tcW w:w="1111" w:type="dxa"/>
            <w:vAlign w:val="top"/>
          </w:tcPr>
          <w:p w14:paraId="56519C44">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6C7B067">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683FEB94">
            <w:pPr>
              <w:spacing w:before="91"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62" w:type="dxa"/>
            <w:vAlign w:val="top"/>
          </w:tcPr>
          <w:p w14:paraId="0B0A3E3B">
            <w:pPr>
              <w:pStyle w:val="6"/>
              <w:spacing w:before="56" w:line="228" w:lineRule="auto"/>
              <w:ind w:left="425"/>
            </w:pPr>
            <w:r>
              <w:rPr>
                <w:spacing w:val="5"/>
              </w:rPr>
              <w:t>达标</w:t>
            </w:r>
          </w:p>
        </w:tc>
      </w:tr>
      <w:tr w14:paraId="00314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4FD6FD7">
            <w:pPr>
              <w:spacing w:before="9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2883" w:type="dxa"/>
            <w:vAlign w:val="top"/>
          </w:tcPr>
          <w:p w14:paraId="06216A31">
            <w:pPr>
              <w:pStyle w:val="6"/>
              <w:spacing w:before="55" w:line="227" w:lineRule="auto"/>
              <w:ind w:left="1238"/>
            </w:pPr>
            <w:r>
              <w:rPr>
                <w:spacing w:val="3"/>
              </w:rPr>
              <w:t>氯苯</w:t>
            </w:r>
          </w:p>
        </w:tc>
        <w:tc>
          <w:tcPr>
            <w:tcW w:w="1111" w:type="dxa"/>
            <w:vAlign w:val="top"/>
          </w:tcPr>
          <w:p w14:paraId="54612966">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005E7238">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635AC7F">
            <w:pPr>
              <w:spacing w:before="9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1262" w:type="dxa"/>
            <w:vAlign w:val="top"/>
          </w:tcPr>
          <w:p w14:paraId="10C8DFDA">
            <w:pPr>
              <w:pStyle w:val="6"/>
              <w:spacing w:before="55" w:line="228" w:lineRule="auto"/>
              <w:ind w:left="425"/>
            </w:pPr>
            <w:r>
              <w:rPr>
                <w:spacing w:val="5"/>
              </w:rPr>
              <w:t>达标</w:t>
            </w:r>
          </w:p>
        </w:tc>
      </w:tr>
      <w:tr w14:paraId="2278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1EF7AD4">
            <w:pPr>
              <w:spacing w:before="9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883" w:type="dxa"/>
            <w:vAlign w:val="top"/>
          </w:tcPr>
          <w:p w14:paraId="4593ED7A">
            <w:pPr>
              <w:pStyle w:val="6"/>
              <w:spacing w:before="56" w:line="221" w:lineRule="auto"/>
              <w:ind w:left="980"/>
            </w:pPr>
            <w:r>
              <w:rPr>
                <w:rFonts w:ascii="Times New Roman" w:hAnsi="Times New Roman" w:eastAsia="Times New Roman" w:cs="Times New Roman"/>
                <w:spacing w:val="2"/>
              </w:rPr>
              <w:t>1,2-</w:t>
            </w:r>
            <w:r>
              <w:rPr>
                <w:spacing w:val="2"/>
              </w:rPr>
              <w:t>二氯苯</w:t>
            </w:r>
          </w:p>
        </w:tc>
        <w:tc>
          <w:tcPr>
            <w:tcW w:w="1111" w:type="dxa"/>
            <w:vAlign w:val="top"/>
          </w:tcPr>
          <w:p w14:paraId="1FD8EB8E">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725B021D">
            <w:pPr>
              <w:spacing w:before="96"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4E2A43ED">
            <w:pPr>
              <w:spacing w:before="93"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c>
          <w:tcPr>
            <w:tcW w:w="1262" w:type="dxa"/>
            <w:vAlign w:val="top"/>
          </w:tcPr>
          <w:p w14:paraId="307F3110">
            <w:pPr>
              <w:pStyle w:val="6"/>
              <w:spacing w:before="57" w:line="228" w:lineRule="auto"/>
              <w:ind w:left="425"/>
            </w:pPr>
            <w:r>
              <w:rPr>
                <w:spacing w:val="5"/>
              </w:rPr>
              <w:t>达标</w:t>
            </w:r>
          </w:p>
        </w:tc>
      </w:tr>
      <w:tr w14:paraId="39200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7A50F81">
            <w:pPr>
              <w:spacing w:before="9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2883" w:type="dxa"/>
            <w:vAlign w:val="top"/>
          </w:tcPr>
          <w:p w14:paraId="5A730EF0">
            <w:pPr>
              <w:pStyle w:val="6"/>
              <w:spacing w:before="56" w:line="221" w:lineRule="auto"/>
              <w:ind w:left="980"/>
            </w:pPr>
            <w:r>
              <w:rPr>
                <w:rFonts w:ascii="Times New Roman" w:hAnsi="Times New Roman" w:eastAsia="Times New Roman" w:cs="Times New Roman"/>
                <w:spacing w:val="2"/>
              </w:rPr>
              <w:t>1,4-</w:t>
            </w:r>
            <w:r>
              <w:rPr>
                <w:spacing w:val="2"/>
              </w:rPr>
              <w:t>二氯苯</w:t>
            </w:r>
          </w:p>
        </w:tc>
        <w:tc>
          <w:tcPr>
            <w:tcW w:w="1111" w:type="dxa"/>
            <w:vAlign w:val="top"/>
          </w:tcPr>
          <w:p w14:paraId="6313A595">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1C207FA">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6B33F88">
            <w:pPr>
              <w:spacing w:before="9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62" w:type="dxa"/>
            <w:vAlign w:val="top"/>
          </w:tcPr>
          <w:p w14:paraId="76B87F6A">
            <w:pPr>
              <w:pStyle w:val="6"/>
              <w:spacing w:before="57" w:line="228" w:lineRule="auto"/>
              <w:ind w:left="425"/>
            </w:pPr>
            <w:r>
              <w:rPr>
                <w:spacing w:val="5"/>
              </w:rPr>
              <w:t>达标</w:t>
            </w:r>
          </w:p>
        </w:tc>
      </w:tr>
      <w:tr w14:paraId="51649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A08B8E1">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883" w:type="dxa"/>
            <w:vAlign w:val="top"/>
          </w:tcPr>
          <w:p w14:paraId="3C535F7C">
            <w:pPr>
              <w:pStyle w:val="6"/>
              <w:spacing w:before="56" w:line="227" w:lineRule="auto"/>
              <w:ind w:left="1255"/>
            </w:pPr>
            <w:r>
              <w:rPr>
                <w:spacing w:val="-6"/>
              </w:rPr>
              <w:t>乙苯</w:t>
            </w:r>
          </w:p>
        </w:tc>
        <w:tc>
          <w:tcPr>
            <w:tcW w:w="1111" w:type="dxa"/>
            <w:vAlign w:val="top"/>
          </w:tcPr>
          <w:p w14:paraId="2D940D96">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A9D6473">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CCC952F">
            <w:pPr>
              <w:spacing w:before="9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62" w:type="dxa"/>
            <w:vAlign w:val="top"/>
          </w:tcPr>
          <w:p w14:paraId="6CF94D79">
            <w:pPr>
              <w:pStyle w:val="6"/>
              <w:spacing w:before="56" w:line="228" w:lineRule="auto"/>
              <w:ind w:left="425"/>
            </w:pPr>
            <w:r>
              <w:rPr>
                <w:spacing w:val="5"/>
              </w:rPr>
              <w:t>达标</w:t>
            </w:r>
          </w:p>
        </w:tc>
      </w:tr>
      <w:tr w14:paraId="487FE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55A36F94">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883" w:type="dxa"/>
            <w:vAlign w:val="top"/>
          </w:tcPr>
          <w:p w14:paraId="73495807">
            <w:pPr>
              <w:pStyle w:val="6"/>
              <w:spacing w:before="55" w:line="227" w:lineRule="auto"/>
              <w:ind w:left="1132"/>
            </w:pPr>
            <w:r>
              <w:rPr>
                <w:spacing w:val="6"/>
              </w:rPr>
              <w:t>苯乙烯</w:t>
            </w:r>
          </w:p>
        </w:tc>
        <w:tc>
          <w:tcPr>
            <w:tcW w:w="1111" w:type="dxa"/>
            <w:vAlign w:val="top"/>
          </w:tcPr>
          <w:p w14:paraId="0C4477CF">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0A4BB553">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6B3E61E7">
            <w:pPr>
              <w:spacing w:before="91"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1290</w:t>
            </w:r>
          </w:p>
        </w:tc>
        <w:tc>
          <w:tcPr>
            <w:tcW w:w="1262" w:type="dxa"/>
            <w:vAlign w:val="top"/>
          </w:tcPr>
          <w:p w14:paraId="7E533190">
            <w:pPr>
              <w:pStyle w:val="6"/>
              <w:spacing w:before="56" w:line="228" w:lineRule="auto"/>
              <w:ind w:left="425"/>
            </w:pPr>
            <w:r>
              <w:rPr>
                <w:spacing w:val="5"/>
              </w:rPr>
              <w:t>达标</w:t>
            </w:r>
          </w:p>
        </w:tc>
      </w:tr>
      <w:tr w14:paraId="50E3B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93CD733">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883" w:type="dxa"/>
            <w:vAlign w:val="top"/>
          </w:tcPr>
          <w:p w14:paraId="78A0F08B">
            <w:pPr>
              <w:pStyle w:val="6"/>
              <w:spacing w:before="55" w:line="227" w:lineRule="auto"/>
              <w:ind w:left="1262"/>
            </w:pPr>
            <w:r>
              <w:rPr>
                <w:spacing w:val="-9"/>
              </w:rPr>
              <w:t>甲苯</w:t>
            </w:r>
          </w:p>
        </w:tc>
        <w:tc>
          <w:tcPr>
            <w:tcW w:w="1111" w:type="dxa"/>
            <w:vAlign w:val="top"/>
          </w:tcPr>
          <w:p w14:paraId="38FA38A7">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FC3C016">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64774A0">
            <w:pPr>
              <w:spacing w:before="91"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1200</w:t>
            </w:r>
          </w:p>
        </w:tc>
        <w:tc>
          <w:tcPr>
            <w:tcW w:w="1262" w:type="dxa"/>
            <w:vAlign w:val="top"/>
          </w:tcPr>
          <w:p w14:paraId="2D5D6547">
            <w:pPr>
              <w:pStyle w:val="6"/>
              <w:spacing w:before="56" w:line="228" w:lineRule="auto"/>
              <w:ind w:left="425"/>
            </w:pPr>
            <w:r>
              <w:rPr>
                <w:spacing w:val="5"/>
              </w:rPr>
              <w:t>达标</w:t>
            </w:r>
          </w:p>
        </w:tc>
      </w:tr>
      <w:tr w14:paraId="6B2A1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A137DC0">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883" w:type="dxa"/>
            <w:vAlign w:val="top"/>
          </w:tcPr>
          <w:p w14:paraId="3FCA5CD6">
            <w:pPr>
              <w:pStyle w:val="6"/>
              <w:spacing w:before="55" w:line="227" w:lineRule="auto"/>
              <w:ind w:left="906"/>
            </w:pPr>
            <w:r>
              <w:rPr>
                <w:spacing w:val="4"/>
              </w:rPr>
              <w:t>间</w:t>
            </w:r>
            <w:r>
              <w:rPr>
                <w:rFonts w:ascii="Times New Roman" w:hAnsi="Times New Roman" w:eastAsia="Times New Roman" w:cs="Times New Roman"/>
                <w:spacing w:val="4"/>
              </w:rPr>
              <w:t>/</w:t>
            </w:r>
            <w:r>
              <w:rPr>
                <w:spacing w:val="4"/>
              </w:rPr>
              <w:t>对二甲苯</w:t>
            </w:r>
          </w:p>
        </w:tc>
        <w:tc>
          <w:tcPr>
            <w:tcW w:w="1111" w:type="dxa"/>
            <w:vAlign w:val="top"/>
          </w:tcPr>
          <w:p w14:paraId="48F099A7">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764B1B4">
            <w:pPr>
              <w:spacing w:before="91"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0.0183</w:t>
            </w:r>
          </w:p>
        </w:tc>
        <w:tc>
          <w:tcPr>
            <w:tcW w:w="1249" w:type="dxa"/>
            <w:vAlign w:val="top"/>
          </w:tcPr>
          <w:p w14:paraId="6D1CFE96">
            <w:pPr>
              <w:spacing w:before="91"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570</w:t>
            </w:r>
          </w:p>
        </w:tc>
        <w:tc>
          <w:tcPr>
            <w:tcW w:w="1262" w:type="dxa"/>
            <w:vAlign w:val="top"/>
          </w:tcPr>
          <w:p w14:paraId="397CFD6A">
            <w:pPr>
              <w:pStyle w:val="6"/>
              <w:spacing w:before="55" w:line="228" w:lineRule="auto"/>
              <w:ind w:left="425"/>
            </w:pPr>
            <w:r>
              <w:rPr>
                <w:spacing w:val="5"/>
              </w:rPr>
              <w:t>达标</w:t>
            </w:r>
          </w:p>
        </w:tc>
      </w:tr>
      <w:tr w14:paraId="666CD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5684E93">
            <w:pPr>
              <w:spacing w:before="9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2883" w:type="dxa"/>
            <w:vAlign w:val="top"/>
          </w:tcPr>
          <w:p w14:paraId="5AAC9E21">
            <w:pPr>
              <w:pStyle w:val="6"/>
              <w:spacing w:before="57" w:line="227" w:lineRule="auto"/>
              <w:ind w:left="1023"/>
            </w:pPr>
            <w:r>
              <w:rPr>
                <w:spacing w:val="7"/>
              </w:rPr>
              <w:t>邻二甲苯</w:t>
            </w:r>
          </w:p>
        </w:tc>
        <w:tc>
          <w:tcPr>
            <w:tcW w:w="1111" w:type="dxa"/>
            <w:vAlign w:val="top"/>
          </w:tcPr>
          <w:p w14:paraId="3E07A1B8">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F0D7079">
            <w:pPr>
              <w:spacing w:before="96"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7DDEB617">
            <w:pPr>
              <w:spacing w:before="93"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1262" w:type="dxa"/>
            <w:vAlign w:val="top"/>
          </w:tcPr>
          <w:p w14:paraId="09BC26A1">
            <w:pPr>
              <w:pStyle w:val="6"/>
              <w:spacing w:before="57" w:line="228" w:lineRule="auto"/>
              <w:ind w:left="425"/>
            </w:pPr>
            <w:r>
              <w:rPr>
                <w:spacing w:val="5"/>
              </w:rPr>
              <w:t>达标</w:t>
            </w:r>
          </w:p>
        </w:tc>
      </w:tr>
      <w:tr w14:paraId="37E19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C1C6071">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883" w:type="dxa"/>
            <w:vAlign w:val="top"/>
          </w:tcPr>
          <w:p w14:paraId="0183AAAF">
            <w:pPr>
              <w:pStyle w:val="6"/>
              <w:spacing w:before="56" w:line="227" w:lineRule="auto"/>
              <w:ind w:left="1131"/>
            </w:pPr>
            <w:r>
              <w:rPr>
                <w:spacing w:val="6"/>
              </w:rPr>
              <w:t>硝基苯</w:t>
            </w:r>
          </w:p>
        </w:tc>
        <w:tc>
          <w:tcPr>
            <w:tcW w:w="1111" w:type="dxa"/>
            <w:vAlign w:val="top"/>
          </w:tcPr>
          <w:p w14:paraId="7F4F7545">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123AFE4">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329CB0B">
            <w:pPr>
              <w:spacing w:before="92"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262" w:type="dxa"/>
            <w:vAlign w:val="top"/>
          </w:tcPr>
          <w:p w14:paraId="64A7FE8D">
            <w:pPr>
              <w:pStyle w:val="6"/>
              <w:spacing w:before="57" w:line="228" w:lineRule="auto"/>
              <w:ind w:left="425"/>
            </w:pPr>
            <w:r>
              <w:rPr>
                <w:spacing w:val="5"/>
              </w:rPr>
              <w:t>达标</w:t>
            </w:r>
          </w:p>
        </w:tc>
      </w:tr>
      <w:tr w14:paraId="33BDE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751C0425">
            <w:pPr>
              <w:spacing w:before="9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2883" w:type="dxa"/>
            <w:vAlign w:val="top"/>
          </w:tcPr>
          <w:p w14:paraId="7DA6849C">
            <w:pPr>
              <w:pStyle w:val="6"/>
              <w:spacing w:before="56" w:line="227" w:lineRule="auto"/>
              <w:ind w:left="1237"/>
            </w:pPr>
            <w:r>
              <w:rPr>
                <w:spacing w:val="3"/>
              </w:rPr>
              <w:t>苯胺</w:t>
            </w:r>
          </w:p>
        </w:tc>
        <w:tc>
          <w:tcPr>
            <w:tcW w:w="1111" w:type="dxa"/>
            <w:vAlign w:val="top"/>
          </w:tcPr>
          <w:p w14:paraId="5A9BA9AB">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4163768D">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D10F0DB">
            <w:pPr>
              <w:spacing w:before="92"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c>
          <w:tcPr>
            <w:tcW w:w="1262" w:type="dxa"/>
            <w:vAlign w:val="top"/>
          </w:tcPr>
          <w:p w14:paraId="2ECD2593">
            <w:pPr>
              <w:pStyle w:val="6"/>
              <w:spacing w:before="56" w:line="228" w:lineRule="auto"/>
              <w:ind w:left="425"/>
            </w:pPr>
            <w:r>
              <w:rPr>
                <w:spacing w:val="5"/>
              </w:rPr>
              <w:t>达标</w:t>
            </w:r>
          </w:p>
        </w:tc>
      </w:tr>
      <w:tr w14:paraId="54DF1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1B4B285C">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2883" w:type="dxa"/>
            <w:vAlign w:val="top"/>
          </w:tcPr>
          <w:p w14:paraId="0D20C286">
            <w:pPr>
              <w:pStyle w:val="6"/>
              <w:spacing w:before="56" w:line="229" w:lineRule="auto"/>
              <w:ind w:left="1145"/>
            </w:pPr>
            <w:r>
              <w:rPr>
                <w:rFonts w:ascii="Times New Roman" w:hAnsi="Times New Roman" w:eastAsia="Times New Roman" w:cs="Times New Roman"/>
                <w:spacing w:val="4"/>
              </w:rPr>
              <w:t>2-</w:t>
            </w:r>
            <w:r>
              <w:rPr>
                <w:spacing w:val="4"/>
              </w:rPr>
              <w:t>氯酚</w:t>
            </w:r>
          </w:p>
        </w:tc>
        <w:tc>
          <w:tcPr>
            <w:tcW w:w="1111" w:type="dxa"/>
            <w:vAlign w:val="top"/>
          </w:tcPr>
          <w:p w14:paraId="64E55648">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539E4CD8">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01EC4637">
            <w:pPr>
              <w:spacing w:before="9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2256</w:t>
            </w:r>
          </w:p>
        </w:tc>
        <w:tc>
          <w:tcPr>
            <w:tcW w:w="1262" w:type="dxa"/>
            <w:vAlign w:val="top"/>
          </w:tcPr>
          <w:p w14:paraId="2B1EF57A">
            <w:pPr>
              <w:pStyle w:val="6"/>
              <w:spacing w:before="56" w:line="228" w:lineRule="auto"/>
              <w:ind w:left="425"/>
            </w:pPr>
            <w:r>
              <w:rPr>
                <w:spacing w:val="5"/>
              </w:rPr>
              <w:t>达标</w:t>
            </w:r>
          </w:p>
        </w:tc>
      </w:tr>
      <w:tr w14:paraId="6B4F2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2734454">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2883" w:type="dxa"/>
            <w:vAlign w:val="top"/>
          </w:tcPr>
          <w:p w14:paraId="1008A7EF">
            <w:pPr>
              <w:pStyle w:val="6"/>
              <w:spacing w:before="55" w:line="221" w:lineRule="auto"/>
              <w:ind w:left="1017"/>
            </w:pPr>
            <w:r>
              <w:rPr>
                <w:spacing w:val="4"/>
              </w:rPr>
              <w:t>苯并</w:t>
            </w:r>
            <w:r>
              <w:rPr>
                <w:rFonts w:ascii="Times New Roman" w:hAnsi="Times New Roman" w:eastAsia="Times New Roman" w:cs="Times New Roman"/>
                <w:spacing w:val="4"/>
              </w:rPr>
              <w:t>[a]</w:t>
            </w:r>
            <w:r>
              <w:rPr>
                <w:spacing w:val="4"/>
              </w:rPr>
              <w:t>蒽</w:t>
            </w:r>
          </w:p>
        </w:tc>
        <w:tc>
          <w:tcPr>
            <w:tcW w:w="1111" w:type="dxa"/>
            <w:vAlign w:val="top"/>
          </w:tcPr>
          <w:p w14:paraId="5DD60006">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E3D78F2">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19829554">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2" w:type="dxa"/>
            <w:vAlign w:val="top"/>
          </w:tcPr>
          <w:p w14:paraId="2649C645">
            <w:pPr>
              <w:pStyle w:val="6"/>
              <w:spacing w:before="56" w:line="228" w:lineRule="auto"/>
              <w:ind w:left="425"/>
            </w:pPr>
            <w:r>
              <w:rPr>
                <w:spacing w:val="5"/>
              </w:rPr>
              <w:t>达标</w:t>
            </w:r>
          </w:p>
        </w:tc>
      </w:tr>
      <w:tr w14:paraId="32942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4FC0AC06">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2883" w:type="dxa"/>
            <w:vAlign w:val="top"/>
          </w:tcPr>
          <w:p w14:paraId="2C05D900">
            <w:pPr>
              <w:pStyle w:val="6"/>
              <w:spacing w:before="55" w:line="221" w:lineRule="auto"/>
              <w:ind w:left="1017"/>
            </w:pPr>
            <w:r>
              <w:rPr>
                <w:spacing w:val="4"/>
              </w:rPr>
              <w:t>苯并</w:t>
            </w:r>
            <w:r>
              <w:rPr>
                <w:rFonts w:ascii="Times New Roman" w:hAnsi="Times New Roman" w:eastAsia="Times New Roman" w:cs="Times New Roman"/>
                <w:spacing w:val="4"/>
              </w:rPr>
              <w:t>[a]</w:t>
            </w:r>
            <w:r>
              <w:rPr>
                <w:spacing w:val="4"/>
              </w:rPr>
              <w:t>芘</w:t>
            </w:r>
          </w:p>
        </w:tc>
        <w:tc>
          <w:tcPr>
            <w:tcW w:w="1111" w:type="dxa"/>
            <w:vAlign w:val="top"/>
          </w:tcPr>
          <w:p w14:paraId="521CBDE7">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5E41D5D">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4C4E23EE">
            <w:pPr>
              <w:spacing w:before="9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62" w:type="dxa"/>
            <w:vAlign w:val="top"/>
          </w:tcPr>
          <w:p w14:paraId="4BFE5682">
            <w:pPr>
              <w:pStyle w:val="6"/>
              <w:spacing w:before="55" w:line="228" w:lineRule="auto"/>
              <w:ind w:left="425"/>
            </w:pPr>
            <w:r>
              <w:rPr>
                <w:spacing w:val="5"/>
              </w:rPr>
              <w:t>达标</w:t>
            </w:r>
          </w:p>
        </w:tc>
      </w:tr>
      <w:tr w14:paraId="69501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4530A35">
            <w:pPr>
              <w:spacing w:before="93"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883" w:type="dxa"/>
            <w:vAlign w:val="top"/>
          </w:tcPr>
          <w:p w14:paraId="062A219B">
            <w:pPr>
              <w:pStyle w:val="6"/>
              <w:spacing w:before="57" w:line="221" w:lineRule="auto"/>
              <w:ind w:left="904"/>
            </w:pPr>
            <w:r>
              <w:rPr>
                <w:spacing w:val="5"/>
              </w:rPr>
              <w:t>苯并</w:t>
            </w:r>
            <w:r>
              <w:rPr>
                <w:rFonts w:ascii="Times New Roman" w:hAnsi="Times New Roman" w:eastAsia="Times New Roman" w:cs="Times New Roman"/>
                <w:spacing w:val="5"/>
              </w:rPr>
              <w:t>[b]</w:t>
            </w:r>
            <w:r>
              <w:rPr>
                <w:spacing w:val="5"/>
              </w:rPr>
              <w:t>荧蒽</w:t>
            </w:r>
          </w:p>
        </w:tc>
        <w:tc>
          <w:tcPr>
            <w:tcW w:w="1111" w:type="dxa"/>
            <w:vAlign w:val="top"/>
          </w:tcPr>
          <w:p w14:paraId="2599F31B">
            <w:pPr>
              <w:spacing w:before="89"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6ADD88A2">
            <w:pPr>
              <w:spacing w:before="96"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F527582">
            <w:pPr>
              <w:spacing w:before="93"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2" w:type="dxa"/>
            <w:vAlign w:val="top"/>
          </w:tcPr>
          <w:p w14:paraId="09C6FD69">
            <w:pPr>
              <w:pStyle w:val="6"/>
              <w:spacing w:before="57" w:line="228" w:lineRule="auto"/>
              <w:ind w:left="425"/>
            </w:pPr>
            <w:r>
              <w:rPr>
                <w:spacing w:val="5"/>
              </w:rPr>
              <w:t>达标</w:t>
            </w:r>
          </w:p>
        </w:tc>
      </w:tr>
      <w:tr w14:paraId="1BD9C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565EDE11">
            <w:pPr>
              <w:spacing w:before="9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2883" w:type="dxa"/>
            <w:vAlign w:val="top"/>
          </w:tcPr>
          <w:p w14:paraId="20137B48">
            <w:pPr>
              <w:pStyle w:val="6"/>
              <w:spacing w:before="56" w:line="221" w:lineRule="auto"/>
              <w:ind w:left="904"/>
            </w:pPr>
            <w:r>
              <w:rPr>
                <w:spacing w:val="5"/>
              </w:rPr>
              <w:t>苯并</w:t>
            </w:r>
            <w:r>
              <w:rPr>
                <w:rFonts w:ascii="Times New Roman" w:hAnsi="Times New Roman" w:eastAsia="Times New Roman" w:cs="Times New Roman"/>
                <w:spacing w:val="5"/>
              </w:rPr>
              <w:t>[k]</w:t>
            </w:r>
            <w:r>
              <w:rPr>
                <w:spacing w:val="5"/>
              </w:rPr>
              <w:t>荧蒽</w:t>
            </w:r>
          </w:p>
        </w:tc>
        <w:tc>
          <w:tcPr>
            <w:tcW w:w="1111" w:type="dxa"/>
            <w:vAlign w:val="top"/>
          </w:tcPr>
          <w:p w14:paraId="54532F8B">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1578798">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0B80FB1">
            <w:pPr>
              <w:spacing w:before="92"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1262" w:type="dxa"/>
            <w:vAlign w:val="top"/>
          </w:tcPr>
          <w:p w14:paraId="22E75EF4">
            <w:pPr>
              <w:pStyle w:val="6"/>
              <w:spacing w:before="57" w:line="228" w:lineRule="auto"/>
              <w:ind w:left="425"/>
            </w:pPr>
            <w:r>
              <w:rPr>
                <w:spacing w:val="5"/>
              </w:rPr>
              <w:t>达标</w:t>
            </w:r>
          </w:p>
        </w:tc>
      </w:tr>
      <w:tr w14:paraId="41A75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A8C9FBC">
            <w:pPr>
              <w:spacing w:before="9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2883" w:type="dxa"/>
            <w:vAlign w:val="top"/>
          </w:tcPr>
          <w:p w14:paraId="697C13D1">
            <w:pPr>
              <w:pStyle w:val="6"/>
              <w:spacing w:before="56" w:line="229" w:lineRule="auto"/>
              <w:ind w:left="1339"/>
            </w:pPr>
            <w:r>
              <w:rPr>
                <w:spacing w:val="2"/>
              </w:rPr>
              <w:t>䓛</w:t>
            </w:r>
          </w:p>
        </w:tc>
        <w:tc>
          <w:tcPr>
            <w:tcW w:w="1111" w:type="dxa"/>
            <w:vAlign w:val="top"/>
          </w:tcPr>
          <w:p w14:paraId="5EF993AA">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3630C1F7">
            <w:pPr>
              <w:spacing w:before="95"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108F7AB">
            <w:pPr>
              <w:spacing w:before="92"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1293</w:t>
            </w:r>
          </w:p>
        </w:tc>
        <w:tc>
          <w:tcPr>
            <w:tcW w:w="1262" w:type="dxa"/>
            <w:vAlign w:val="top"/>
          </w:tcPr>
          <w:p w14:paraId="6C6C5A54">
            <w:pPr>
              <w:pStyle w:val="6"/>
              <w:spacing w:before="56" w:line="228" w:lineRule="auto"/>
              <w:ind w:left="425"/>
            </w:pPr>
            <w:r>
              <w:rPr>
                <w:spacing w:val="5"/>
              </w:rPr>
              <w:t>达标</w:t>
            </w:r>
          </w:p>
        </w:tc>
      </w:tr>
      <w:tr w14:paraId="7191D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3A7DCB70">
            <w:pPr>
              <w:spacing w:before="9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2883" w:type="dxa"/>
            <w:vAlign w:val="top"/>
          </w:tcPr>
          <w:p w14:paraId="68312889">
            <w:pPr>
              <w:pStyle w:val="6"/>
              <w:spacing w:before="55" w:line="221" w:lineRule="auto"/>
              <w:ind w:left="833"/>
            </w:pPr>
            <w:r>
              <w:rPr>
                <w:spacing w:val="5"/>
              </w:rPr>
              <w:t>二苯并</w:t>
            </w:r>
            <w:r>
              <w:rPr>
                <w:rFonts w:ascii="Times New Roman" w:hAnsi="Times New Roman" w:eastAsia="Times New Roman" w:cs="Times New Roman"/>
                <w:spacing w:val="5"/>
              </w:rPr>
              <w:t>[a,h]</w:t>
            </w:r>
            <w:r>
              <w:rPr>
                <w:spacing w:val="5"/>
              </w:rPr>
              <w:t>蒽</w:t>
            </w:r>
          </w:p>
        </w:tc>
        <w:tc>
          <w:tcPr>
            <w:tcW w:w="1111" w:type="dxa"/>
            <w:vAlign w:val="top"/>
          </w:tcPr>
          <w:p w14:paraId="6BE6933E">
            <w:pPr>
              <w:spacing w:before="88"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040DB739">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34A6C90E">
            <w:pPr>
              <w:spacing w:before="9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62" w:type="dxa"/>
            <w:vAlign w:val="top"/>
          </w:tcPr>
          <w:p w14:paraId="44D84EC2">
            <w:pPr>
              <w:pStyle w:val="6"/>
              <w:spacing w:before="56" w:line="228" w:lineRule="auto"/>
              <w:ind w:left="425"/>
            </w:pPr>
            <w:r>
              <w:rPr>
                <w:spacing w:val="5"/>
              </w:rPr>
              <w:t>达标</w:t>
            </w:r>
          </w:p>
        </w:tc>
      </w:tr>
      <w:tr w14:paraId="209D0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58" w:type="dxa"/>
            <w:vAlign w:val="top"/>
          </w:tcPr>
          <w:p w14:paraId="634CF29E">
            <w:pPr>
              <w:spacing w:before="9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883" w:type="dxa"/>
            <w:vAlign w:val="top"/>
          </w:tcPr>
          <w:p w14:paraId="070D5085">
            <w:pPr>
              <w:pStyle w:val="6"/>
              <w:spacing w:before="55" w:line="221" w:lineRule="auto"/>
              <w:ind w:left="721"/>
            </w:pPr>
            <w:r>
              <w:rPr>
                <w:spacing w:val="5"/>
              </w:rPr>
              <w:t>茚并</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w:t>
            </w:r>
          </w:p>
        </w:tc>
        <w:tc>
          <w:tcPr>
            <w:tcW w:w="1111" w:type="dxa"/>
            <w:vAlign w:val="top"/>
          </w:tcPr>
          <w:p w14:paraId="0270232D">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2B8E9566">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2A68EEE3">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62" w:type="dxa"/>
            <w:vAlign w:val="top"/>
          </w:tcPr>
          <w:p w14:paraId="5A7659F3">
            <w:pPr>
              <w:pStyle w:val="6"/>
              <w:spacing w:before="56" w:line="228" w:lineRule="auto"/>
              <w:ind w:left="425"/>
            </w:pPr>
            <w:r>
              <w:rPr>
                <w:spacing w:val="5"/>
              </w:rPr>
              <w:t>达标</w:t>
            </w:r>
          </w:p>
        </w:tc>
      </w:tr>
      <w:tr w14:paraId="68A21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58" w:type="dxa"/>
            <w:vAlign w:val="top"/>
          </w:tcPr>
          <w:p w14:paraId="6A235913">
            <w:pPr>
              <w:spacing w:before="9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883" w:type="dxa"/>
            <w:vAlign w:val="top"/>
          </w:tcPr>
          <w:p w14:paraId="78824BBA">
            <w:pPr>
              <w:pStyle w:val="6"/>
              <w:spacing w:before="55" w:line="228" w:lineRule="auto"/>
              <w:ind w:left="1341"/>
            </w:pPr>
            <w:r>
              <w:t>萘</w:t>
            </w:r>
          </w:p>
        </w:tc>
        <w:tc>
          <w:tcPr>
            <w:tcW w:w="1111" w:type="dxa"/>
            <w:vAlign w:val="top"/>
          </w:tcPr>
          <w:p w14:paraId="40E268AD">
            <w:pPr>
              <w:spacing w:before="87" w:line="201"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66" w:type="dxa"/>
            <w:vAlign w:val="top"/>
          </w:tcPr>
          <w:p w14:paraId="1AE84298">
            <w:pPr>
              <w:spacing w:before="94" w:line="19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49" w:type="dxa"/>
            <w:vAlign w:val="top"/>
          </w:tcPr>
          <w:p w14:paraId="46C0115D">
            <w:pPr>
              <w:spacing w:before="91"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62" w:type="dxa"/>
            <w:vAlign w:val="top"/>
          </w:tcPr>
          <w:p w14:paraId="6B24878E">
            <w:pPr>
              <w:pStyle w:val="6"/>
              <w:spacing w:before="55" w:line="228" w:lineRule="auto"/>
              <w:ind w:left="425"/>
            </w:pPr>
            <w:r>
              <w:rPr>
                <w:spacing w:val="5"/>
              </w:rPr>
              <w:t>达标</w:t>
            </w:r>
          </w:p>
        </w:tc>
      </w:tr>
    </w:tbl>
    <w:p w14:paraId="4B3FDC1C">
      <w:pPr>
        <w:spacing w:before="52" w:line="221" w:lineRule="auto"/>
        <w:ind w:left="1008"/>
        <w:rPr>
          <w:rFonts w:ascii="宋体" w:hAnsi="宋体" w:eastAsia="宋体" w:cs="宋体"/>
          <w:sz w:val="20"/>
          <w:szCs w:val="20"/>
        </w:rPr>
      </w:pPr>
      <w:r>
        <w:rPr>
          <w:rFonts w:ascii="宋体" w:hAnsi="宋体" w:eastAsia="宋体" w:cs="宋体"/>
          <w:spacing w:val="8"/>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spacing w:val="8"/>
          <w:sz w:val="20"/>
          <w:szCs w:val="20"/>
        </w:rPr>
        <w:t xml:space="preserve">6.3-17    </w:t>
      </w:r>
      <w:r>
        <w:rPr>
          <w:rFonts w:ascii="宋体" w:hAnsi="宋体" w:eastAsia="宋体" w:cs="宋体"/>
          <w:spacing w:val="8"/>
          <w:sz w:val="20"/>
          <w:szCs w:val="20"/>
        </w:rPr>
        <w:t>本项目厂区内其余土壤监测点位重</w:t>
      </w:r>
      <w:r>
        <w:rPr>
          <w:rFonts w:ascii="宋体" w:hAnsi="宋体" w:eastAsia="宋体" w:cs="宋体"/>
          <w:spacing w:val="7"/>
          <w:sz w:val="20"/>
          <w:szCs w:val="20"/>
        </w:rPr>
        <w:t>金属监测结果（</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宋体" w:hAnsi="宋体" w:eastAsia="宋体" w:cs="宋体"/>
          <w:spacing w:val="7"/>
          <w:sz w:val="20"/>
          <w:szCs w:val="20"/>
        </w:rPr>
        <w:t>）</w:t>
      </w:r>
    </w:p>
    <w:p w14:paraId="28944297">
      <w:pPr>
        <w:spacing w:line="20" w:lineRule="exact"/>
      </w:pPr>
    </w:p>
    <w:tbl>
      <w:tblPr>
        <w:tblStyle w:val="5"/>
        <w:tblW w:w="84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1567"/>
        <w:gridCol w:w="1152"/>
        <w:gridCol w:w="1153"/>
        <w:gridCol w:w="1161"/>
        <w:gridCol w:w="1159"/>
        <w:gridCol w:w="1162"/>
      </w:tblGrid>
      <w:tr w14:paraId="34EB1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709" w:type="dxa"/>
            <w:gridSpan w:val="2"/>
            <w:vAlign w:val="top"/>
          </w:tcPr>
          <w:p w14:paraId="25546380">
            <w:pPr>
              <w:pStyle w:val="6"/>
              <w:spacing w:before="155" w:line="229" w:lineRule="auto"/>
              <w:ind w:left="940"/>
            </w:pPr>
            <w:r>
              <w:rPr>
                <w:spacing w:val="7"/>
              </w:rPr>
              <w:t>监测点位</w:t>
            </w:r>
          </w:p>
        </w:tc>
        <w:tc>
          <w:tcPr>
            <w:tcW w:w="1152" w:type="dxa"/>
            <w:vAlign w:val="top"/>
          </w:tcPr>
          <w:p w14:paraId="326063CC">
            <w:pPr>
              <w:pStyle w:val="6"/>
              <w:spacing w:before="155" w:line="228" w:lineRule="auto"/>
              <w:ind w:left="377"/>
            </w:pPr>
            <w:r>
              <w:rPr>
                <w:spacing w:val="2"/>
              </w:rPr>
              <w:t>总砷</w:t>
            </w:r>
          </w:p>
        </w:tc>
        <w:tc>
          <w:tcPr>
            <w:tcW w:w="1153" w:type="dxa"/>
            <w:vAlign w:val="top"/>
          </w:tcPr>
          <w:p w14:paraId="43DC9A92">
            <w:pPr>
              <w:pStyle w:val="6"/>
              <w:spacing w:before="154" w:line="231" w:lineRule="auto"/>
              <w:ind w:left="475"/>
            </w:pPr>
            <w:r>
              <w:rPr>
                <w:spacing w:val="2"/>
              </w:rPr>
              <w:t>镉</w:t>
            </w:r>
          </w:p>
        </w:tc>
        <w:tc>
          <w:tcPr>
            <w:tcW w:w="1161" w:type="dxa"/>
            <w:vAlign w:val="top"/>
          </w:tcPr>
          <w:p w14:paraId="5CA15D48">
            <w:pPr>
              <w:pStyle w:val="6"/>
              <w:spacing w:before="155" w:line="226" w:lineRule="auto"/>
              <w:ind w:left="273"/>
            </w:pPr>
            <w:r>
              <w:rPr>
                <w:spacing w:val="6"/>
              </w:rPr>
              <w:t>六价铬</w:t>
            </w:r>
          </w:p>
        </w:tc>
        <w:tc>
          <w:tcPr>
            <w:tcW w:w="1159" w:type="dxa"/>
            <w:vAlign w:val="top"/>
          </w:tcPr>
          <w:p w14:paraId="4CDEBCE0">
            <w:pPr>
              <w:pStyle w:val="6"/>
              <w:spacing w:before="155" w:line="232" w:lineRule="auto"/>
              <w:ind w:left="481"/>
            </w:pPr>
            <w:r>
              <w:t>铅</w:t>
            </w:r>
          </w:p>
        </w:tc>
        <w:tc>
          <w:tcPr>
            <w:tcW w:w="1162" w:type="dxa"/>
            <w:vAlign w:val="top"/>
          </w:tcPr>
          <w:p w14:paraId="312A7E66">
            <w:pPr>
              <w:pStyle w:val="6"/>
              <w:spacing w:before="155" w:line="228" w:lineRule="auto"/>
              <w:ind w:left="381"/>
            </w:pPr>
            <w:r>
              <w:rPr>
                <w:spacing w:val="2"/>
              </w:rPr>
              <w:t>总汞</w:t>
            </w:r>
          </w:p>
        </w:tc>
      </w:tr>
      <w:tr w14:paraId="3EAC1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restart"/>
            <w:tcBorders>
              <w:bottom w:val="nil"/>
            </w:tcBorders>
            <w:vAlign w:val="top"/>
          </w:tcPr>
          <w:p w14:paraId="4E132873">
            <w:pPr>
              <w:spacing w:line="350" w:lineRule="auto"/>
              <w:rPr>
                <w:rFonts w:ascii="Arial"/>
                <w:sz w:val="21"/>
              </w:rPr>
            </w:pPr>
          </w:p>
          <w:p w14:paraId="4DDD42B9">
            <w:pPr>
              <w:spacing w:before="58"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1567" w:type="dxa"/>
            <w:vAlign w:val="top"/>
          </w:tcPr>
          <w:p w14:paraId="5A825B69">
            <w:pPr>
              <w:spacing w:before="8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459B34AB">
            <w:pPr>
              <w:spacing w:before="8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7.89</w:t>
            </w:r>
          </w:p>
        </w:tc>
        <w:tc>
          <w:tcPr>
            <w:tcW w:w="1153" w:type="dxa"/>
            <w:vAlign w:val="top"/>
          </w:tcPr>
          <w:p w14:paraId="7E99E86D">
            <w:pPr>
              <w:spacing w:before="8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161" w:type="dxa"/>
            <w:vAlign w:val="top"/>
          </w:tcPr>
          <w:p w14:paraId="7918262C">
            <w:pPr>
              <w:spacing w:before="8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159" w:type="dxa"/>
            <w:vAlign w:val="top"/>
          </w:tcPr>
          <w:p w14:paraId="65565859">
            <w:pPr>
              <w:spacing w:before="88"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62" w:type="dxa"/>
            <w:vAlign w:val="top"/>
          </w:tcPr>
          <w:p w14:paraId="0A7D7423">
            <w:pPr>
              <w:spacing w:before="8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0.0722</w:t>
            </w:r>
          </w:p>
        </w:tc>
      </w:tr>
      <w:tr w14:paraId="17CF0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continue"/>
            <w:tcBorders>
              <w:top w:val="nil"/>
              <w:bottom w:val="nil"/>
            </w:tcBorders>
            <w:vAlign w:val="top"/>
          </w:tcPr>
          <w:p w14:paraId="439F363B">
            <w:pPr>
              <w:rPr>
                <w:rFonts w:ascii="Arial"/>
                <w:sz w:val="21"/>
              </w:rPr>
            </w:pPr>
          </w:p>
        </w:tc>
        <w:tc>
          <w:tcPr>
            <w:tcW w:w="1567" w:type="dxa"/>
            <w:vAlign w:val="top"/>
          </w:tcPr>
          <w:p w14:paraId="5FA7CA39">
            <w:pPr>
              <w:spacing w:before="89"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6A3B2DD1">
            <w:pPr>
              <w:spacing w:before="8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6.99</w:t>
            </w:r>
          </w:p>
        </w:tc>
        <w:tc>
          <w:tcPr>
            <w:tcW w:w="1153" w:type="dxa"/>
            <w:vAlign w:val="top"/>
          </w:tcPr>
          <w:p w14:paraId="789B99B6">
            <w:pPr>
              <w:spacing w:before="8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161" w:type="dxa"/>
            <w:vAlign w:val="top"/>
          </w:tcPr>
          <w:p w14:paraId="7B7772A6">
            <w:pPr>
              <w:spacing w:before="8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59" w:type="dxa"/>
            <w:vAlign w:val="top"/>
          </w:tcPr>
          <w:p w14:paraId="2A7397AB">
            <w:pPr>
              <w:spacing w:before="89"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162" w:type="dxa"/>
            <w:vAlign w:val="top"/>
          </w:tcPr>
          <w:p w14:paraId="0DEFC73C">
            <w:pPr>
              <w:spacing w:before="89"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0.0662</w:t>
            </w:r>
          </w:p>
        </w:tc>
      </w:tr>
      <w:tr w14:paraId="07B42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continue"/>
            <w:tcBorders>
              <w:top w:val="nil"/>
            </w:tcBorders>
            <w:vAlign w:val="top"/>
          </w:tcPr>
          <w:p w14:paraId="7C9AD532">
            <w:pPr>
              <w:rPr>
                <w:rFonts w:ascii="Arial"/>
                <w:sz w:val="21"/>
              </w:rPr>
            </w:pPr>
          </w:p>
        </w:tc>
        <w:tc>
          <w:tcPr>
            <w:tcW w:w="1567" w:type="dxa"/>
            <w:vAlign w:val="top"/>
          </w:tcPr>
          <w:p w14:paraId="02AECFD0">
            <w:pPr>
              <w:spacing w:before="89"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157A9AAB">
            <w:pPr>
              <w:spacing w:before="8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7.59</w:t>
            </w:r>
          </w:p>
        </w:tc>
        <w:tc>
          <w:tcPr>
            <w:tcW w:w="1153" w:type="dxa"/>
            <w:vAlign w:val="top"/>
          </w:tcPr>
          <w:p w14:paraId="779656A9">
            <w:pPr>
              <w:spacing w:before="8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161" w:type="dxa"/>
            <w:vAlign w:val="top"/>
          </w:tcPr>
          <w:p w14:paraId="3EC96BB2">
            <w:pPr>
              <w:spacing w:before="8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159" w:type="dxa"/>
            <w:vAlign w:val="top"/>
          </w:tcPr>
          <w:p w14:paraId="534D3CFC">
            <w:pPr>
              <w:spacing w:before="89"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62" w:type="dxa"/>
            <w:vAlign w:val="top"/>
          </w:tcPr>
          <w:p w14:paraId="3C1D47AE">
            <w:pPr>
              <w:spacing w:before="89"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0.0679</w:t>
            </w:r>
          </w:p>
        </w:tc>
      </w:tr>
      <w:tr w14:paraId="31BAD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restart"/>
            <w:tcBorders>
              <w:bottom w:val="nil"/>
            </w:tcBorders>
            <w:vAlign w:val="top"/>
          </w:tcPr>
          <w:p w14:paraId="151FEDD0">
            <w:pPr>
              <w:spacing w:line="354" w:lineRule="auto"/>
              <w:rPr>
                <w:rFonts w:ascii="Arial"/>
                <w:sz w:val="21"/>
              </w:rPr>
            </w:pPr>
          </w:p>
          <w:p w14:paraId="1D5323A4">
            <w:pPr>
              <w:spacing w:before="58"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1567" w:type="dxa"/>
            <w:vAlign w:val="top"/>
          </w:tcPr>
          <w:p w14:paraId="404E72CD">
            <w:pPr>
              <w:spacing w:before="9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14C5AB06">
            <w:pPr>
              <w:spacing w:before="90"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8.42</w:t>
            </w:r>
          </w:p>
        </w:tc>
        <w:tc>
          <w:tcPr>
            <w:tcW w:w="1153" w:type="dxa"/>
            <w:vAlign w:val="top"/>
          </w:tcPr>
          <w:p w14:paraId="4541D907">
            <w:pPr>
              <w:spacing w:before="90"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161" w:type="dxa"/>
            <w:vAlign w:val="top"/>
          </w:tcPr>
          <w:p w14:paraId="6F1B947A">
            <w:pPr>
              <w:spacing w:before="90"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59" w:type="dxa"/>
            <w:vAlign w:val="top"/>
          </w:tcPr>
          <w:p w14:paraId="23AD9F2E">
            <w:pPr>
              <w:spacing w:before="90"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62" w:type="dxa"/>
            <w:vAlign w:val="top"/>
          </w:tcPr>
          <w:p w14:paraId="004BF9FA">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0.0572</w:t>
            </w:r>
          </w:p>
        </w:tc>
      </w:tr>
      <w:tr w14:paraId="6297E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bottom w:val="nil"/>
            </w:tcBorders>
            <w:vAlign w:val="top"/>
          </w:tcPr>
          <w:p w14:paraId="5A8FD4C2">
            <w:pPr>
              <w:rPr>
                <w:rFonts w:ascii="Arial"/>
                <w:sz w:val="21"/>
              </w:rPr>
            </w:pPr>
          </w:p>
        </w:tc>
        <w:tc>
          <w:tcPr>
            <w:tcW w:w="1567" w:type="dxa"/>
            <w:vAlign w:val="top"/>
          </w:tcPr>
          <w:p w14:paraId="13269776">
            <w:pPr>
              <w:spacing w:before="93"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6F406AFA">
            <w:pPr>
              <w:spacing w:before="9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7.66</w:t>
            </w:r>
          </w:p>
        </w:tc>
        <w:tc>
          <w:tcPr>
            <w:tcW w:w="1153" w:type="dxa"/>
            <w:vAlign w:val="top"/>
          </w:tcPr>
          <w:p w14:paraId="1F3501E0">
            <w:pPr>
              <w:spacing w:before="9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61" w:type="dxa"/>
            <w:vAlign w:val="top"/>
          </w:tcPr>
          <w:p w14:paraId="5B7B5803">
            <w:pPr>
              <w:spacing w:before="93"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159" w:type="dxa"/>
            <w:vAlign w:val="top"/>
          </w:tcPr>
          <w:p w14:paraId="44B7A21B">
            <w:pPr>
              <w:spacing w:before="93"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62" w:type="dxa"/>
            <w:vAlign w:val="top"/>
          </w:tcPr>
          <w:p w14:paraId="54B39811">
            <w:pPr>
              <w:spacing w:before="93"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0.0628</w:t>
            </w:r>
          </w:p>
        </w:tc>
      </w:tr>
      <w:tr w14:paraId="5F2AC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142" w:type="dxa"/>
            <w:vMerge w:val="continue"/>
            <w:tcBorders>
              <w:top w:val="nil"/>
            </w:tcBorders>
            <w:vAlign w:val="top"/>
          </w:tcPr>
          <w:p w14:paraId="142E75C0">
            <w:pPr>
              <w:rPr>
                <w:rFonts w:ascii="Arial"/>
                <w:sz w:val="21"/>
              </w:rPr>
            </w:pPr>
          </w:p>
        </w:tc>
        <w:tc>
          <w:tcPr>
            <w:tcW w:w="1567" w:type="dxa"/>
            <w:vAlign w:val="top"/>
          </w:tcPr>
          <w:p w14:paraId="0FF4AE3D">
            <w:pPr>
              <w:spacing w:before="92"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33C1A1CF">
            <w:pPr>
              <w:spacing w:before="9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7.51</w:t>
            </w:r>
          </w:p>
        </w:tc>
        <w:tc>
          <w:tcPr>
            <w:tcW w:w="1153" w:type="dxa"/>
            <w:vAlign w:val="top"/>
          </w:tcPr>
          <w:p w14:paraId="6989D794">
            <w:pPr>
              <w:spacing w:before="9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161" w:type="dxa"/>
            <w:vAlign w:val="top"/>
          </w:tcPr>
          <w:p w14:paraId="55E30E31">
            <w:pPr>
              <w:spacing w:before="9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159" w:type="dxa"/>
            <w:vAlign w:val="top"/>
          </w:tcPr>
          <w:p w14:paraId="6D74F795">
            <w:pPr>
              <w:spacing w:before="92"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2" w:type="dxa"/>
            <w:vAlign w:val="top"/>
          </w:tcPr>
          <w:p w14:paraId="1F32554A">
            <w:pPr>
              <w:spacing w:before="9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0.0551</w:t>
            </w:r>
          </w:p>
        </w:tc>
      </w:tr>
    </w:tbl>
    <w:p w14:paraId="35E7BFA2">
      <w:pPr>
        <w:pStyle w:val="2"/>
      </w:pPr>
    </w:p>
    <w:p w14:paraId="02FE8D95">
      <w:pPr>
        <w:sectPr>
          <w:headerReference r:id="rId216" w:type="default"/>
          <w:footerReference r:id="rId217" w:type="default"/>
          <w:pgSz w:w="11906" w:h="16839"/>
          <w:pgMar w:top="1208" w:right="1687" w:bottom="957" w:left="1684" w:header="825" w:footer="795" w:gutter="0"/>
          <w:cols w:space="720" w:num="1"/>
        </w:sectPr>
      </w:pPr>
    </w:p>
    <w:p w14:paraId="2AFA9E8E">
      <w:pPr>
        <w:spacing w:line="231" w:lineRule="exact"/>
      </w:pPr>
    </w:p>
    <w:tbl>
      <w:tblPr>
        <w:tblStyle w:val="5"/>
        <w:tblW w:w="84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2"/>
        <w:gridCol w:w="1567"/>
        <w:gridCol w:w="1152"/>
        <w:gridCol w:w="1153"/>
        <w:gridCol w:w="1161"/>
        <w:gridCol w:w="1159"/>
        <w:gridCol w:w="1162"/>
      </w:tblGrid>
      <w:tr w14:paraId="2DB9E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42" w:type="dxa"/>
            <w:vMerge w:val="restart"/>
            <w:tcBorders>
              <w:bottom w:val="nil"/>
            </w:tcBorders>
            <w:vAlign w:val="top"/>
          </w:tcPr>
          <w:p w14:paraId="2355D102">
            <w:pPr>
              <w:spacing w:line="354" w:lineRule="auto"/>
              <w:rPr>
                <w:rFonts w:ascii="Arial"/>
                <w:sz w:val="21"/>
              </w:rPr>
            </w:pPr>
          </w:p>
          <w:p w14:paraId="2808F616">
            <w:pPr>
              <w:spacing w:before="5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67" w:type="dxa"/>
            <w:vAlign w:val="top"/>
          </w:tcPr>
          <w:p w14:paraId="79438515">
            <w:pPr>
              <w:spacing w:before="9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4EF8088C">
            <w:pPr>
              <w:spacing w:before="9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w:t>
            </w:r>
          </w:p>
        </w:tc>
        <w:tc>
          <w:tcPr>
            <w:tcW w:w="1153" w:type="dxa"/>
            <w:vAlign w:val="top"/>
          </w:tcPr>
          <w:p w14:paraId="27BDF0F9">
            <w:pPr>
              <w:spacing w:before="9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1161" w:type="dxa"/>
            <w:vAlign w:val="top"/>
          </w:tcPr>
          <w:p w14:paraId="7DF4CE69">
            <w:pPr>
              <w:spacing w:before="9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159" w:type="dxa"/>
            <w:vAlign w:val="top"/>
          </w:tcPr>
          <w:p w14:paraId="03BB8EF8">
            <w:pPr>
              <w:spacing w:before="92"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162" w:type="dxa"/>
            <w:vAlign w:val="top"/>
          </w:tcPr>
          <w:p w14:paraId="3BE8A1C7">
            <w:pPr>
              <w:spacing w:before="9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0.0672</w:t>
            </w:r>
          </w:p>
        </w:tc>
      </w:tr>
      <w:tr w14:paraId="5E93E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bottom w:val="nil"/>
            </w:tcBorders>
            <w:vAlign w:val="top"/>
          </w:tcPr>
          <w:p w14:paraId="77419675">
            <w:pPr>
              <w:rPr>
                <w:rFonts w:ascii="Arial"/>
                <w:sz w:val="21"/>
              </w:rPr>
            </w:pPr>
          </w:p>
        </w:tc>
        <w:tc>
          <w:tcPr>
            <w:tcW w:w="1567" w:type="dxa"/>
            <w:vAlign w:val="top"/>
          </w:tcPr>
          <w:p w14:paraId="7AB49973">
            <w:pPr>
              <w:spacing w:before="87"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4618B175">
            <w:pPr>
              <w:spacing w:before="8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6.87</w:t>
            </w:r>
          </w:p>
        </w:tc>
        <w:tc>
          <w:tcPr>
            <w:tcW w:w="1153" w:type="dxa"/>
            <w:vAlign w:val="top"/>
          </w:tcPr>
          <w:p w14:paraId="27D21CC2">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161" w:type="dxa"/>
            <w:vAlign w:val="top"/>
          </w:tcPr>
          <w:p w14:paraId="5EBE759F">
            <w:pPr>
              <w:spacing w:before="8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159" w:type="dxa"/>
            <w:vAlign w:val="top"/>
          </w:tcPr>
          <w:p w14:paraId="7033F896">
            <w:pPr>
              <w:spacing w:before="87"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2" w:type="dxa"/>
            <w:vAlign w:val="top"/>
          </w:tcPr>
          <w:p w14:paraId="12A1FAD5">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0.0762</w:t>
            </w:r>
          </w:p>
        </w:tc>
      </w:tr>
      <w:tr w14:paraId="0216F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tcBorders>
            <w:vAlign w:val="top"/>
          </w:tcPr>
          <w:p w14:paraId="0D6DC4ED">
            <w:pPr>
              <w:rPr>
                <w:rFonts w:ascii="Arial"/>
                <w:sz w:val="21"/>
              </w:rPr>
            </w:pPr>
          </w:p>
        </w:tc>
        <w:tc>
          <w:tcPr>
            <w:tcW w:w="1567" w:type="dxa"/>
            <w:vAlign w:val="top"/>
          </w:tcPr>
          <w:p w14:paraId="0B60FA9C">
            <w:pPr>
              <w:spacing w:before="87"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5C88BD14">
            <w:pPr>
              <w:spacing w:before="8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6.55</w:t>
            </w:r>
          </w:p>
        </w:tc>
        <w:tc>
          <w:tcPr>
            <w:tcW w:w="1153" w:type="dxa"/>
            <w:vAlign w:val="top"/>
          </w:tcPr>
          <w:p w14:paraId="4D56FD3C">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61" w:type="dxa"/>
            <w:vAlign w:val="top"/>
          </w:tcPr>
          <w:p w14:paraId="5E481A0D">
            <w:pPr>
              <w:spacing w:before="8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159" w:type="dxa"/>
            <w:vAlign w:val="top"/>
          </w:tcPr>
          <w:p w14:paraId="01EBB332">
            <w:pPr>
              <w:spacing w:before="87"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62" w:type="dxa"/>
            <w:vAlign w:val="top"/>
          </w:tcPr>
          <w:p w14:paraId="14352BB1">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0.0633</w:t>
            </w:r>
          </w:p>
        </w:tc>
      </w:tr>
      <w:tr w14:paraId="5ACBE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restart"/>
            <w:tcBorders>
              <w:bottom w:val="nil"/>
            </w:tcBorders>
            <w:vAlign w:val="top"/>
          </w:tcPr>
          <w:p w14:paraId="5C38B80C">
            <w:pPr>
              <w:spacing w:line="351" w:lineRule="auto"/>
              <w:rPr>
                <w:rFonts w:ascii="Arial"/>
                <w:sz w:val="21"/>
              </w:rPr>
            </w:pPr>
          </w:p>
          <w:p w14:paraId="76E8E90E">
            <w:pPr>
              <w:spacing w:before="58"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p>
        </w:tc>
        <w:tc>
          <w:tcPr>
            <w:tcW w:w="1567" w:type="dxa"/>
            <w:vAlign w:val="top"/>
          </w:tcPr>
          <w:p w14:paraId="7BB56D9D">
            <w:pPr>
              <w:spacing w:before="87"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5B4FD6C0">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7.26</w:t>
            </w:r>
          </w:p>
        </w:tc>
        <w:tc>
          <w:tcPr>
            <w:tcW w:w="1153" w:type="dxa"/>
            <w:vAlign w:val="top"/>
          </w:tcPr>
          <w:p w14:paraId="22EA23AF">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161" w:type="dxa"/>
            <w:vAlign w:val="top"/>
          </w:tcPr>
          <w:p w14:paraId="0708A308">
            <w:pPr>
              <w:spacing w:before="8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159" w:type="dxa"/>
            <w:vAlign w:val="top"/>
          </w:tcPr>
          <w:p w14:paraId="182CD8EF">
            <w:pPr>
              <w:spacing w:before="87"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62" w:type="dxa"/>
            <w:vAlign w:val="top"/>
          </w:tcPr>
          <w:p w14:paraId="348CCDB4">
            <w:pPr>
              <w:spacing w:before="8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0.0652</w:t>
            </w:r>
          </w:p>
        </w:tc>
      </w:tr>
      <w:tr w14:paraId="6B692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continue"/>
            <w:tcBorders>
              <w:top w:val="nil"/>
              <w:bottom w:val="nil"/>
            </w:tcBorders>
            <w:vAlign w:val="top"/>
          </w:tcPr>
          <w:p w14:paraId="740830FE">
            <w:pPr>
              <w:rPr>
                <w:rFonts w:ascii="Arial"/>
                <w:sz w:val="21"/>
              </w:rPr>
            </w:pPr>
          </w:p>
        </w:tc>
        <w:tc>
          <w:tcPr>
            <w:tcW w:w="1567" w:type="dxa"/>
            <w:vAlign w:val="top"/>
          </w:tcPr>
          <w:p w14:paraId="1F057759">
            <w:pPr>
              <w:spacing w:before="90"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63678F95">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7.59</w:t>
            </w:r>
          </w:p>
        </w:tc>
        <w:tc>
          <w:tcPr>
            <w:tcW w:w="1153" w:type="dxa"/>
            <w:vAlign w:val="top"/>
          </w:tcPr>
          <w:p w14:paraId="578433EB">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161" w:type="dxa"/>
            <w:vAlign w:val="top"/>
          </w:tcPr>
          <w:p w14:paraId="6AD4D96F">
            <w:pPr>
              <w:spacing w:before="90"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159" w:type="dxa"/>
            <w:vAlign w:val="top"/>
          </w:tcPr>
          <w:p w14:paraId="07DEBD99">
            <w:pPr>
              <w:spacing w:before="90"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62" w:type="dxa"/>
            <w:vAlign w:val="top"/>
          </w:tcPr>
          <w:p w14:paraId="7D684C0F">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0.0576</w:t>
            </w:r>
          </w:p>
        </w:tc>
      </w:tr>
      <w:tr w14:paraId="41532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continue"/>
            <w:tcBorders>
              <w:top w:val="nil"/>
            </w:tcBorders>
            <w:vAlign w:val="top"/>
          </w:tcPr>
          <w:p w14:paraId="0369F4C4">
            <w:pPr>
              <w:rPr>
                <w:rFonts w:ascii="Arial"/>
                <w:sz w:val="21"/>
              </w:rPr>
            </w:pPr>
          </w:p>
        </w:tc>
        <w:tc>
          <w:tcPr>
            <w:tcW w:w="1567" w:type="dxa"/>
            <w:vAlign w:val="top"/>
          </w:tcPr>
          <w:p w14:paraId="229970DE">
            <w:pPr>
              <w:spacing w:before="90"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0D33F6D6">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7.29</w:t>
            </w:r>
          </w:p>
        </w:tc>
        <w:tc>
          <w:tcPr>
            <w:tcW w:w="1153" w:type="dxa"/>
            <w:vAlign w:val="top"/>
          </w:tcPr>
          <w:p w14:paraId="694674F5">
            <w:pPr>
              <w:spacing w:before="9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161" w:type="dxa"/>
            <w:vAlign w:val="top"/>
          </w:tcPr>
          <w:p w14:paraId="5A4E4AA6">
            <w:pPr>
              <w:spacing w:before="90"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159" w:type="dxa"/>
            <w:vAlign w:val="top"/>
          </w:tcPr>
          <w:p w14:paraId="3DF9953C">
            <w:pPr>
              <w:spacing w:before="90"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62" w:type="dxa"/>
            <w:vAlign w:val="top"/>
          </w:tcPr>
          <w:p w14:paraId="37283440">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0.0622</w:t>
            </w:r>
          </w:p>
        </w:tc>
      </w:tr>
      <w:tr w14:paraId="36F2D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2" w:type="dxa"/>
            <w:vMerge w:val="restart"/>
            <w:tcBorders>
              <w:bottom w:val="nil"/>
            </w:tcBorders>
            <w:vAlign w:val="top"/>
          </w:tcPr>
          <w:p w14:paraId="52FF93FD">
            <w:pPr>
              <w:spacing w:line="353" w:lineRule="auto"/>
              <w:rPr>
                <w:rFonts w:ascii="Arial"/>
                <w:sz w:val="21"/>
              </w:rPr>
            </w:pPr>
          </w:p>
          <w:p w14:paraId="2ED7ABDE">
            <w:pPr>
              <w:spacing w:before="5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7" w:type="dxa"/>
            <w:vAlign w:val="top"/>
          </w:tcPr>
          <w:p w14:paraId="5E341235">
            <w:pPr>
              <w:spacing w:before="91"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p>
        </w:tc>
        <w:tc>
          <w:tcPr>
            <w:tcW w:w="1152" w:type="dxa"/>
            <w:vAlign w:val="top"/>
          </w:tcPr>
          <w:p w14:paraId="74BDA957">
            <w:pPr>
              <w:spacing w:before="91"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6.87</w:t>
            </w:r>
          </w:p>
        </w:tc>
        <w:tc>
          <w:tcPr>
            <w:tcW w:w="1153" w:type="dxa"/>
            <w:vAlign w:val="top"/>
          </w:tcPr>
          <w:p w14:paraId="613680CD">
            <w:pPr>
              <w:spacing w:before="9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161" w:type="dxa"/>
            <w:vAlign w:val="top"/>
          </w:tcPr>
          <w:p w14:paraId="6BE74070">
            <w:pPr>
              <w:spacing w:before="9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159" w:type="dxa"/>
            <w:vAlign w:val="top"/>
          </w:tcPr>
          <w:p w14:paraId="3F9637EA">
            <w:pPr>
              <w:spacing w:before="9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62" w:type="dxa"/>
            <w:vAlign w:val="top"/>
          </w:tcPr>
          <w:p w14:paraId="67DFDE4A">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0.0726</w:t>
            </w:r>
          </w:p>
        </w:tc>
      </w:tr>
      <w:tr w14:paraId="6302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bottom w:val="nil"/>
            </w:tcBorders>
            <w:vAlign w:val="top"/>
          </w:tcPr>
          <w:p w14:paraId="288D8838">
            <w:pPr>
              <w:rPr>
                <w:rFonts w:ascii="Arial"/>
                <w:sz w:val="21"/>
              </w:rPr>
            </w:pPr>
          </w:p>
        </w:tc>
        <w:tc>
          <w:tcPr>
            <w:tcW w:w="1567" w:type="dxa"/>
            <w:vAlign w:val="top"/>
          </w:tcPr>
          <w:p w14:paraId="36A660C1">
            <w:pPr>
              <w:spacing w:before="91"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152" w:type="dxa"/>
            <w:vAlign w:val="top"/>
          </w:tcPr>
          <w:p w14:paraId="610125AB">
            <w:pPr>
              <w:spacing w:before="91"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6.98</w:t>
            </w:r>
          </w:p>
        </w:tc>
        <w:tc>
          <w:tcPr>
            <w:tcW w:w="1153" w:type="dxa"/>
            <w:vAlign w:val="top"/>
          </w:tcPr>
          <w:p w14:paraId="2E91FE79">
            <w:pPr>
              <w:spacing w:before="9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161" w:type="dxa"/>
            <w:vAlign w:val="top"/>
          </w:tcPr>
          <w:p w14:paraId="3C60C543">
            <w:pPr>
              <w:spacing w:before="9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159" w:type="dxa"/>
            <w:vAlign w:val="top"/>
          </w:tcPr>
          <w:p w14:paraId="71D4E764">
            <w:pPr>
              <w:spacing w:before="9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62" w:type="dxa"/>
            <w:vAlign w:val="top"/>
          </w:tcPr>
          <w:p w14:paraId="29F99C3C">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0.0627</w:t>
            </w:r>
          </w:p>
        </w:tc>
      </w:tr>
      <w:tr w14:paraId="54853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Merge w:val="continue"/>
            <w:tcBorders>
              <w:top w:val="nil"/>
            </w:tcBorders>
            <w:vAlign w:val="top"/>
          </w:tcPr>
          <w:p w14:paraId="5DF6F642">
            <w:pPr>
              <w:rPr>
                <w:rFonts w:ascii="Arial"/>
                <w:sz w:val="21"/>
              </w:rPr>
            </w:pPr>
          </w:p>
        </w:tc>
        <w:tc>
          <w:tcPr>
            <w:tcW w:w="1567" w:type="dxa"/>
            <w:vAlign w:val="top"/>
          </w:tcPr>
          <w:p w14:paraId="3220C643">
            <w:pPr>
              <w:spacing w:before="9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152" w:type="dxa"/>
            <w:vAlign w:val="top"/>
          </w:tcPr>
          <w:p w14:paraId="71AD88E9">
            <w:pPr>
              <w:spacing w:before="9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7.26</w:t>
            </w:r>
          </w:p>
        </w:tc>
        <w:tc>
          <w:tcPr>
            <w:tcW w:w="1153" w:type="dxa"/>
            <w:vAlign w:val="top"/>
          </w:tcPr>
          <w:p w14:paraId="7BAEA055">
            <w:pPr>
              <w:spacing w:before="9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161" w:type="dxa"/>
            <w:vAlign w:val="top"/>
          </w:tcPr>
          <w:p w14:paraId="33200114">
            <w:pPr>
              <w:spacing w:before="9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159" w:type="dxa"/>
            <w:vAlign w:val="top"/>
          </w:tcPr>
          <w:p w14:paraId="16AA5795">
            <w:pPr>
              <w:spacing w:before="9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62" w:type="dxa"/>
            <w:vAlign w:val="top"/>
          </w:tcPr>
          <w:p w14:paraId="5D576098">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0.0722</w:t>
            </w:r>
          </w:p>
        </w:tc>
      </w:tr>
      <w:tr w14:paraId="52DCA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42" w:type="dxa"/>
            <w:vAlign w:val="top"/>
          </w:tcPr>
          <w:p w14:paraId="483176B7">
            <w:pPr>
              <w:spacing w:before="91"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w:t>
            </w:r>
          </w:p>
        </w:tc>
        <w:tc>
          <w:tcPr>
            <w:tcW w:w="1567" w:type="dxa"/>
            <w:vAlign w:val="top"/>
          </w:tcPr>
          <w:p w14:paraId="7C07A482">
            <w:pPr>
              <w:spacing w:before="91"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0~0.2m</w:t>
            </w:r>
          </w:p>
        </w:tc>
        <w:tc>
          <w:tcPr>
            <w:tcW w:w="1152" w:type="dxa"/>
            <w:vAlign w:val="top"/>
          </w:tcPr>
          <w:p w14:paraId="64FC5E82">
            <w:pPr>
              <w:spacing w:before="9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8.04</w:t>
            </w:r>
          </w:p>
        </w:tc>
        <w:tc>
          <w:tcPr>
            <w:tcW w:w="1153" w:type="dxa"/>
            <w:vAlign w:val="top"/>
          </w:tcPr>
          <w:p w14:paraId="11AA9031">
            <w:pPr>
              <w:spacing w:before="9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161" w:type="dxa"/>
            <w:vAlign w:val="top"/>
          </w:tcPr>
          <w:p w14:paraId="4DA7F5BE">
            <w:pPr>
              <w:spacing w:before="9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159" w:type="dxa"/>
            <w:vAlign w:val="top"/>
          </w:tcPr>
          <w:p w14:paraId="7B5C570F">
            <w:pPr>
              <w:spacing w:before="91" w:line="195"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162" w:type="dxa"/>
            <w:vAlign w:val="top"/>
          </w:tcPr>
          <w:p w14:paraId="6F77998B">
            <w:pPr>
              <w:spacing w:before="91"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0.0608</w:t>
            </w:r>
          </w:p>
        </w:tc>
      </w:tr>
      <w:tr w14:paraId="07D7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709" w:type="dxa"/>
            <w:gridSpan w:val="2"/>
            <w:vAlign w:val="top"/>
          </w:tcPr>
          <w:p w14:paraId="2A0E158A">
            <w:pPr>
              <w:pStyle w:val="6"/>
              <w:spacing w:before="56" w:line="228" w:lineRule="auto"/>
              <w:ind w:left="940"/>
            </w:pPr>
            <w:r>
              <w:rPr>
                <w:spacing w:val="7"/>
              </w:rPr>
              <w:t>标准限值</w:t>
            </w:r>
          </w:p>
        </w:tc>
        <w:tc>
          <w:tcPr>
            <w:tcW w:w="1152" w:type="dxa"/>
            <w:vAlign w:val="top"/>
          </w:tcPr>
          <w:p w14:paraId="1A5F37FB">
            <w:pPr>
              <w:spacing w:before="93"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53" w:type="dxa"/>
            <w:vAlign w:val="top"/>
          </w:tcPr>
          <w:p w14:paraId="222F50FF">
            <w:pPr>
              <w:spacing w:before="93"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161" w:type="dxa"/>
            <w:vAlign w:val="top"/>
          </w:tcPr>
          <w:p w14:paraId="3DBD5AE1">
            <w:pPr>
              <w:spacing w:before="9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159" w:type="dxa"/>
            <w:vAlign w:val="top"/>
          </w:tcPr>
          <w:p w14:paraId="5A184F8D">
            <w:pPr>
              <w:spacing w:before="9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162" w:type="dxa"/>
            <w:vAlign w:val="top"/>
          </w:tcPr>
          <w:p w14:paraId="31E6ABE4">
            <w:pPr>
              <w:spacing w:before="93"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r>
      <w:tr w14:paraId="68F16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709" w:type="dxa"/>
            <w:gridSpan w:val="2"/>
            <w:vAlign w:val="top"/>
          </w:tcPr>
          <w:p w14:paraId="280942ED">
            <w:pPr>
              <w:pStyle w:val="6"/>
              <w:spacing w:before="57" w:line="228" w:lineRule="auto"/>
              <w:ind w:left="938"/>
            </w:pPr>
            <w:r>
              <w:rPr>
                <w:spacing w:val="7"/>
              </w:rPr>
              <w:t>达标情况</w:t>
            </w:r>
          </w:p>
        </w:tc>
        <w:tc>
          <w:tcPr>
            <w:tcW w:w="1152" w:type="dxa"/>
            <w:vAlign w:val="top"/>
          </w:tcPr>
          <w:p w14:paraId="4D4F6DDC">
            <w:pPr>
              <w:pStyle w:val="6"/>
              <w:spacing w:before="57" w:line="228" w:lineRule="auto"/>
              <w:ind w:left="370"/>
            </w:pPr>
            <w:r>
              <w:rPr>
                <w:spacing w:val="5"/>
              </w:rPr>
              <w:t>达标</w:t>
            </w:r>
          </w:p>
        </w:tc>
        <w:tc>
          <w:tcPr>
            <w:tcW w:w="1153" w:type="dxa"/>
            <w:vAlign w:val="top"/>
          </w:tcPr>
          <w:p w14:paraId="3B37E41D">
            <w:pPr>
              <w:pStyle w:val="6"/>
              <w:spacing w:before="57" w:line="228" w:lineRule="auto"/>
              <w:ind w:left="370"/>
            </w:pPr>
            <w:r>
              <w:rPr>
                <w:spacing w:val="5"/>
              </w:rPr>
              <w:t>达标</w:t>
            </w:r>
          </w:p>
        </w:tc>
        <w:tc>
          <w:tcPr>
            <w:tcW w:w="1161" w:type="dxa"/>
            <w:vAlign w:val="top"/>
          </w:tcPr>
          <w:p w14:paraId="1ADCF1AC">
            <w:pPr>
              <w:pStyle w:val="6"/>
              <w:spacing w:before="57" w:line="228" w:lineRule="auto"/>
              <w:ind w:left="376"/>
            </w:pPr>
            <w:r>
              <w:rPr>
                <w:spacing w:val="5"/>
              </w:rPr>
              <w:t>达标</w:t>
            </w:r>
          </w:p>
        </w:tc>
        <w:tc>
          <w:tcPr>
            <w:tcW w:w="1159" w:type="dxa"/>
            <w:vAlign w:val="top"/>
          </w:tcPr>
          <w:p w14:paraId="75B04795">
            <w:pPr>
              <w:pStyle w:val="6"/>
              <w:spacing w:before="57" w:line="228" w:lineRule="auto"/>
              <w:ind w:left="375"/>
            </w:pPr>
            <w:r>
              <w:rPr>
                <w:spacing w:val="5"/>
              </w:rPr>
              <w:t>达标</w:t>
            </w:r>
          </w:p>
        </w:tc>
        <w:tc>
          <w:tcPr>
            <w:tcW w:w="1162" w:type="dxa"/>
            <w:vAlign w:val="top"/>
          </w:tcPr>
          <w:p w14:paraId="0007E97A">
            <w:pPr>
              <w:pStyle w:val="6"/>
              <w:spacing w:before="57" w:line="228" w:lineRule="auto"/>
              <w:ind w:left="375"/>
            </w:pPr>
            <w:r>
              <w:rPr>
                <w:spacing w:val="5"/>
              </w:rPr>
              <w:t>达标</w:t>
            </w:r>
          </w:p>
        </w:tc>
      </w:tr>
    </w:tbl>
    <w:p w14:paraId="4F61DB74">
      <w:pPr>
        <w:pStyle w:val="2"/>
        <w:spacing w:line="297" w:lineRule="auto"/>
      </w:pPr>
    </w:p>
    <w:p w14:paraId="0B5C9E6F">
      <w:pPr>
        <w:spacing w:before="65" w:line="221" w:lineRule="auto"/>
        <w:ind w:left="1272"/>
        <w:rPr>
          <w:rFonts w:ascii="宋体" w:hAnsi="宋体" w:eastAsia="宋体" w:cs="宋体"/>
          <w:sz w:val="20"/>
          <w:szCs w:val="20"/>
        </w:rPr>
      </w:pPr>
      <w:r>
        <w:rPr>
          <w:rFonts w:ascii="宋体" w:hAnsi="宋体" w:eastAsia="宋体" w:cs="宋体"/>
          <w:spacing w:val="8"/>
          <w:sz w:val="20"/>
          <w:szCs w:val="20"/>
        </w:rPr>
        <w:t>表</w:t>
      </w:r>
      <w:r>
        <w:rPr>
          <w:rFonts w:ascii="宋体" w:hAnsi="宋体" w:eastAsia="宋体" w:cs="宋体"/>
          <w:spacing w:val="-38"/>
          <w:sz w:val="20"/>
          <w:szCs w:val="20"/>
        </w:rPr>
        <w:t xml:space="preserve"> </w:t>
      </w:r>
      <w:r>
        <w:rPr>
          <w:rFonts w:ascii="Times New Roman" w:hAnsi="Times New Roman" w:eastAsia="Times New Roman" w:cs="Times New Roman"/>
          <w:spacing w:val="8"/>
          <w:sz w:val="20"/>
          <w:szCs w:val="20"/>
        </w:rPr>
        <w:t xml:space="preserve">6.3-18  </w:t>
      </w:r>
      <w:r>
        <w:rPr>
          <w:rFonts w:ascii="宋体" w:hAnsi="宋体" w:eastAsia="宋体" w:cs="宋体"/>
          <w:spacing w:val="8"/>
          <w:sz w:val="20"/>
          <w:szCs w:val="20"/>
        </w:rPr>
        <w:t>本项目厂区外土壤监测点基本项目监测</w:t>
      </w:r>
      <w:r>
        <w:rPr>
          <w:rFonts w:ascii="宋体" w:hAnsi="宋体" w:eastAsia="宋体" w:cs="宋体"/>
          <w:spacing w:val="7"/>
          <w:sz w:val="20"/>
          <w:szCs w:val="20"/>
        </w:rPr>
        <w:t>结果（</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宋体" w:hAnsi="宋体" w:eastAsia="宋体" w:cs="宋体"/>
          <w:spacing w:val="7"/>
          <w:sz w:val="20"/>
          <w:szCs w:val="20"/>
        </w:rPr>
        <w:t>）</w:t>
      </w:r>
    </w:p>
    <w:p w14:paraId="09111F99">
      <w:pPr>
        <w:spacing w:line="174" w:lineRule="exact"/>
      </w:pPr>
    </w:p>
    <w:tbl>
      <w:tblPr>
        <w:tblStyle w:val="5"/>
        <w:tblW w:w="842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801"/>
        <w:gridCol w:w="796"/>
        <w:gridCol w:w="794"/>
        <w:gridCol w:w="794"/>
        <w:gridCol w:w="795"/>
        <w:gridCol w:w="795"/>
        <w:gridCol w:w="795"/>
        <w:gridCol w:w="795"/>
        <w:gridCol w:w="797"/>
      </w:tblGrid>
      <w:tr w14:paraId="5F243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1264" w:type="dxa"/>
            <w:vAlign w:val="top"/>
          </w:tcPr>
          <w:p w14:paraId="2B0934E2">
            <w:pPr>
              <w:pStyle w:val="6"/>
              <w:spacing w:before="162" w:line="229" w:lineRule="auto"/>
              <w:ind w:left="217"/>
            </w:pPr>
            <w:r>
              <w:rPr>
                <w:spacing w:val="7"/>
              </w:rPr>
              <w:t>监测点位</w:t>
            </w:r>
          </w:p>
        </w:tc>
        <w:tc>
          <w:tcPr>
            <w:tcW w:w="801" w:type="dxa"/>
            <w:vAlign w:val="top"/>
          </w:tcPr>
          <w:p w14:paraId="1D1387D7">
            <w:pPr>
              <w:pStyle w:val="6"/>
              <w:spacing w:before="162" w:line="228" w:lineRule="auto"/>
              <w:ind w:left="201"/>
            </w:pPr>
            <w:r>
              <w:rPr>
                <w:spacing w:val="2"/>
              </w:rPr>
              <w:t>总砷</w:t>
            </w:r>
          </w:p>
        </w:tc>
        <w:tc>
          <w:tcPr>
            <w:tcW w:w="796" w:type="dxa"/>
            <w:vAlign w:val="top"/>
          </w:tcPr>
          <w:p w14:paraId="7B8D327C">
            <w:pPr>
              <w:pStyle w:val="6"/>
              <w:spacing w:before="161" w:line="231" w:lineRule="auto"/>
              <w:ind w:left="295"/>
            </w:pPr>
            <w:r>
              <w:rPr>
                <w:spacing w:val="2"/>
              </w:rPr>
              <w:t>镉</w:t>
            </w:r>
          </w:p>
        </w:tc>
        <w:tc>
          <w:tcPr>
            <w:tcW w:w="794" w:type="dxa"/>
            <w:vAlign w:val="top"/>
          </w:tcPr>
          <w:p w14:paraId="36E89426">
            <w:pPr>
              <w:pStyle w:val="6"/>
              <w:spacing w:before="162" w:line="230" w:lineRule="auto"/>
              <w:ind w:left="297"/>
            </w:pPr>
            <w:r>
              <w:rPr>
                <w:spacing w:val="1"/>
              </w:rPr>
              <w:t>铬</w:t>
            </w:r>
          </w:p>
        </w:tc>
        <w:tc>
          <w:tcPr>
            <w:tcW w:w="794" w:type="dxa"/>
            <w:vAlign w:val="top"/>
          </w:tcPr>
          <w:p w14:paraId="083D485D">
            <w:pPr>
              <w:pStyle w:val="6"/>
              <w:spacing w:before="162" w:line="229" w:lineRule="auto"/>
              <w:ind w:left="298"/>
            </w:pPr>
            <w:r>
              <w:t>铜</w:t>
            </w:r>
          </w:p>
        </w:tc>
        <w:tc>
          <w:tcPr>
            <w:tcW w:w="795" w:type="dxa"/>
            <w:vAlign w:val="top"/>
          </w:tcPr>
          <w:p w14:paraId="11F5E8C1">
            <w:pPr>
              <w:pStyle w:val="6"/>
              <w:spacing w:before="162" w:line="232" w:lineRule="auto"/>
              <w:ind w:left="298"/>
            </w:pPr>
            <w:r>
              <w:t>铅</w:t>
            </w:r>
          </w:p>
        </w:tc>
        <w:tc>
          <w:tcPr>
            <w:tcW w:w="795" w:type="dxa"/>
            <w:vAlign w:val="top"/>
          </w:tcPr>
          <w:p w14:paraId="671CAF4A">
            <w:pPr>
              <w:pStyle w:val="6"/>
              <w:spacing w:before="162" w:line="228" w:lineRule="auto"/>
              <w:ind w:left="200"/>
            </w:pPr>
            <w:r>
              <w:rPr>
                <w:spacing w:val="2"/>
              </w:rPr>
              <w:t>总汞</w:t>
            </w:r>
          </w:p>
        </w:tc>
        <w:tc>
          <w:tcPr>
            <w:tcW w:w="795" w:type="dxa"/>
            <w:vAlign w:val="top"/>
          </w:tcPr>
          <w:p w14:paraId="2F58759E">
            <w:pPr>
              <w:pStyle w:val="6"/>
              <w:spacing w:before="162" w:line="228" w:lineRule="auto"/>
              <w:ind w:left="299"/>
            </w:pPr>
            <w:r>
              <w:rPr>
                <w:spacing w:val="1"/>
              </w:rPr>
              <w:t>镍</w:t>
            </w:r>
          </w:p>
        </w:tc>
        <w:tc>
          <w:tcPr>
            <w:tcW w:w="795" w:type="dxa"/>
            <w:vAlign w:val="top"/>
          </w:tcPr>
          <w:p w14:paraId="4E13A9A8">
            <w:pPr>
              <w:pStyle w:val="6"/>
              <w:spacing w:before="162" w:line="228" w:lineRule="auto"/>
              <w:ind w:left="298"/>
            </w:pPr>
            <w:r>
              <w:rPr>
                <w:spacing w:val="1"/>
              </w:rPr>
              <w:t>锌</w:t>
            </w:r>
          </w:p>
        </w:tc>
        <w:tc>
          <w:tcPr>
            <w:tcW w:w="797" w:type="dxa"/>
            <w:vAlign w:val="top"/>
          </w:tcPr>
          <w:p w14:paraId="57B6FF0C">
            <w:pPr>
              <w:spacing w:before="201" w:line="192"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PH</w:t>
            </w:r>
          </w:p>
        </w:tc>
      </w:tr>
      <w:tr w14:paraId="1643D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4" w:type="dxa"/>
            <w:vAlign w:val="top"/>
          </w:tcPr>
          <w:p w14:paraId="7CCF1ED0">
            <w:pPr>
              <w:spacing w:before="89"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p>
        </w:tc>
        <w:tc>
          <w:tcPr>
            <w:tcW w:w="801" w:type="dxa"/>
            <w:vAlign w:val="top"/>
          </w:tcPr>
          <w:p w14:paraId="7EE6C0CF">
            <w:pPr>
              <w:spacing w:before="8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8.06</w:t>
            </w:r>
          </w:p>
        </w:tc>
        <w:tc>
          <w:tcPr>
            <w:tcW w:w="796" w:type="dxa"/>
            <w:vAlign w:val="top"/>
          </w:tcPr>
          <w:p w14:paraId="49F12F82">
            <w:pPr>
              <w:spacing w:before="8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794" w:type="dxa"/>
            <w:vAlign w:val="top"/>
          </w:tcPr>
          <w:p w14:paraId="4FBB4C77">
            <w:pPr>
              <w:spacing w:before="89"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w:t>
            </w:r>
          </w:p>
        </w:tc>
        <w:tc>
          <w:tcPr>
            <w:tcW w:w="794" w:type="dxa"/>
            <w:vAlign w:val="top"/>
          </w:tcPr>
          <w:p w14:paraId="7B3E1B3D">
            <w:pPr>
              <w:spacing w:before="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795" w:type="dxa"/>
            <w:vAlign w:val="top"/>
          </w:tcPr>
          <w:p w14:paraId="5DCA6396">
            <w:pPr>
              <w:spacing w:before="89"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95" w:type="dxa"/>
            <w:vAlign w:val="top"/>
          </w:tcPr>
          <w:p w14:paraId="4C82D195">
            <w:pPr>
              <w:spacing w:before="8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0.0520</w:t>
            </w:r>
          </w:p>
        </w:tc>
        <w:tc>
          <w:tcPr>
            <w:tcW w:w="795" w:type="dxa"/>
            <w:vAlign w:val="top"/>
          </w:tcPr>
          <w:p w14:paraId="23AEDC19">
            <w:pPr>
              <w:spacing w:before="8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795" w:type="dxa"/>
            <w:vAlign w:val="top"/>
          </w:tcPr>
          <w:p w14:paraId="48D69654">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97" w:type="dxa"/>
            <w:vAlign w:val="top"/>
          </w:tcPr>
          <w:p w14:paraId="74890BC2">
            <w:pPr>
              <w:spacing w:before="8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8.56</w:t>
            </w:r>
          </w:p>
        </w:tc>
      </w:tr>
      <w:tr w14:paraId="06791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4" w:type="dxa"/>
            <w:vAlign w:val="top"/>
          </w:tcPr>
          <w:p w14:paraId="2D07C8FE">
            <w:pPr>
              <w:spacing w:before="89" w:line="195" w:lineRule="auto"/>
              <w:ind w:left="53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01" w:type="dxa"/>
            <w:vAlign w:val="top"/>
          </w:tcPr>
          <w:p w14:paraId="12A12A51">
            <w:pPr>
              <w:spacing w:before="8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7.63</w:t>
            </w:r>
          </w:p>
        </w:tc>
        <w:tc>
          <w:tcPr>
            <w:tcW w:w="796" w:type="dxa"/>
            <w:vAlign w:val="top"/>
          </w:tcPr>
          <w:p w14:paraId="464EAC8A">
            <w:pPr>
              <w:spacing w:before="8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794" w:type="dxa"/>
            <w:vAlign w:val="top"/>
          </w:tcPr>
          <w:p w14:paraId="6F83B6AE">
            <w:pPr>
              <w:spacing w:before="89"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147</w:t>
            </w:r>
          </w:p>
        </w:tc>
        <w:tc>
          <w:tcPr>
            <w:tcW w:w="794" w:type="dxa"/>
            <w:vAlign w:val="top"/>
          </w:tcPr>
          <w:p w14:paraId="7B008375">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95" w:type="dxa"/>
            <w:vAlign w:val="top"/>
          </w:tcPr>
          <w:p w14:paraId="24241A54">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95" w:type="dxa"/>
            <w:vAlign w:val="top"/>
          </w:tcPr>
          <w:p w14:paraId="61F1F88E">
            <w:pPr>
              <w:spacing w:before="8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0.0687</w:t>
            </w:r>
          </w:p>
        </w:tc>
        <w:tc>
          <w:tcPr>
            <w:tcW w:w="795" w:type="dxa"/>
            <w:vAlign w:val="top"/>
          </w:tcPr>
          <w:p w14:paraId="0ECF5ECF">
            <w:pPr>
              <w:spacing w:before="89"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795" w:type="dxa"/>
            <w:vAlign w:val="top"/>
          </w:tcPr>
          <w:p w14:paraId="1A55DC4D">
            <w:pPr>
              <w:spacing w:before="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797" w:type="dxa"/>
            <w:vAlign w:val="top"/>
          </w:tcPr>
          <w:p w14:paraId="3E63B258">
            <w:pPr>
              <w:spacing w:before="8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8.42</w:t>
            </w:r>
          </w:p>
        </w:tc>
      </w:tr>
      <w:tr w14:paraId="5F8E8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4" w:type="dxa"/>
            <w:vAlign w:val="top"/>
          </w:tcPr>
          <w:p w14:paraId="75E16E77">
            <w:pPr>
              <w:spacing w:before="90"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801" w:type="dxa"/>
            <w:vAlign w:val="top"/>
          </w:tcPr>
          <w:p w14:paraId="4F0B8931">
            <w:pPr>
              <w:spacing w:before="9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7.52</w:t>
            </w:r>
          </w:p>
        </w:tc>
        <w:tc>
          <w:tcPr>
            <w:tcW w:w="796" w:type="dxa"/>
            <w:vAlign w:val="top"/>
          </w:tcPr>
          <w:p w14:paraId="2D42C3EA">
            <w:pPr>
              <w:spacing w:before="9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794" w:type="dxa"/>
            <w:vAlign w:val="top"/>
          </w:tcPr>
          <w:p w14:paraId="492F1D93">
            <w:pPr>
              <w:spacing w:before="90"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w:t>
            </w:r>
          </w:p>
        </w:tc>
        <w:tc>
          <w:tcPr>
            <w:tcW w:w="794" w:type="dxa"/>
            <w:vAlign w:val="top"/>
          </w:tcPr>
          <w:p w14:paraId="437DEE08">
            <w:pPr>
              <w:spacing w:before="9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795" w:type="dxa"/>
            <w:vAlign w:val="top"/>
          </w:tcPr>
          <w:p w14:paraId="76E67AB5">
            <w:pPr>
              <w:spacing w:before="9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795" w:type="dxa"/>
            <w:vAlign w:val="top"/>
          </w:tcPr>
          <w:p w14:paraId="3C331579">
            <w:pPr>
              <w:spacing w:before="90"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0.534</w:t>
            </w:r>
          </w:p>
        </w:tc>
        <w:tc>
          <w:tcPr>
            <w:tcW w:w="795" w:type="dxa"/>
            <w:vAlign w:val="top"/>
          </w:tcPr>
          <w:p w14:paraId="4FD0B453">
            <w:pPr>
              <w:spacing w:before="90" w:line="195"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795" w:type="dxa"/>
            <w:vAlign w:val="top"/>
          </w:tcPr>
          <w:p w14:paraId="670AEBF2">
            <w:pPr>
              <w:spacing w:before="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797" w:type="dxa"/>
            <w:vAlign w:val="top"/>
          </w:tcPr>
          <w:p w14:paraId="0F6906D3">
            <w:pPr>
              <w:spacing w:before="90"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8.51</w:t>
            </w:r>
          </w:p>
        </w:tc>
      </w:tr>
      <w:tr w14:paraId="5E28F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4" w:type="dxa"/>
            <w:vAlign w:val="top"/>
          </w:tcPr>
          <w:p w14:paraId="4A513750">
            <w:pPr>
              <w:spacing w:before="91"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801" w:type="dxa"/>
            <w:vAlign w:val="top"/>
          </w:tcPr>
          <w:p w14:paraId="7B13D6A4">
            <w:pPr>
              <w:spacing w:before="9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8.00</w:t>
            </w:r>
          </w:p>
        </w:tc>
        <w:tc>
          <w:tcPr>
            <w:tcW w:w="796" w:type="dxa"/>
            <w:vAlign w:val="top"/>
          </w:tcPr>
          <w:p w14:paraId="4F8E7B27">
            <w:pPr>
              <w:spacing w:before="9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794" w:type="dxa"/>
            <w:vAlign w:val="top"/>
          </w:tcPr>
          <w:p w14:paraId="704D74AD">
            <w:pPr>
              <w:spacing w:before="91"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162</w:t>
            </w:r>
          </w:p>
        </w:tc>
        <w:tc>
          <w:tcPr>
            <w:tcW w:w="794" w:type="dxa"/>
            <w:vAlign w:val="top"/>
          </w:tcPr>
          <w:p w14:paraId="1CB1FA61">
            <w:pPr>
              <w:spacing w:before="9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795" w:type="dxa"/>
            <w:vAlign w:val="top"/>
          </w:tcPr>
          <w:p w14:paraId="10291017">
            <w:pPr>
              <w:spacing w:before="9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795" w:type="dxa"/>
            <w:vAlign w:val="top"/>
          </w:tcPr>
          <w:p w14:paraId="7D560545">
            <w:pPr>
              <w:spacing w:before="91"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0.0615</w:t>
            </w:r>
          </w:p>
        </w:tc>
        <w:tc>
          <w:tcPr>
            <w:tcW w:w="795" w:type="dxa"/>
            <w:vAlign w:val="top"/>
          </w:tcPr>
          <w:p w14:paraId="00370E2F">
            <w:pPr>
              <w:spacing w:before="9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795" w:type="dxa"/>
            <w:vAlign w:val="top"/>
          </w:tcPr>
          <w:p w14:paraId="75E142B7">
            <w:pPr>
              <w:spacing w:before="9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97" w:type="dxa"/>
            <w:vAlign w:val="top"/>
          </w:tcPr>
          <w:p w14:paraId="4B9496FB">
            <w:pPr>
              <w:spacing w:before="9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8.41</w:t>
            </w:r>
          </w:p>
        </w:tc>
      </w:tr>
      <w:tr w14:paraId="2DDBB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4" w:type="dxa"/>
            <w:vAlign w:val="top"/>
          </w:tcPr>
          <w:p w14:paraId="1EC53B23">
            <w:pPr>
              <w:pStyle w:val="6"/>
              <w:spacing w:before="54" w:line="228" w:lineRule="auto"/>
              <w:ind w:left="217"/>
            </w:pPr>
            <w:r>
              <w:rPr>
                <w:spacing w:val="7"/>
              </w:rPr>
              <w:t>标准限值</w:t>
            </w:r>
          </w:p>
        </w:tc>
        <w:tc>
          <w:tcPr>
            <w:tcW w:w="801" w:type="dxa"/>
            <w:vAlign w:val="top"/>
          </w:tcPr>
          <w:p w14:paraId="42CFF291">
            <w:pPr>
              <w:spacing w:before="90"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96" w:type="dxa"/>
            <w:vAlign w:val="top"/>
          </w:tcPr>
          <w:p w14:paraId="5B52CFF8">
            <w:pPr>
              <w:spacing w:before="9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794" w:type="dxa"/>
            <w:vAlign w:val="top"/>
          </w:tcPr>
          <w:p w14:paraId="7DB8B39C">
            <w:pPr>
              <w:spacing w:before="90"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94" w:type="dxa"/>
            <w:vAlign w:val="top"/>
          </w:tcPr>
          <w:p w14:paraId="62512711">
            <w:pPr>
              <w:spacing w:before="9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795" w:type="dxa"/>
            <w:vAlign w:val="top"/>
          </w:tcPr>
          <w:p w14:paraId="29801567">
            <w:pPr>
              <w:spacing w:before="9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170</w:t>
            </w:r>
          </w:p>
        </w:tc>
        <w:tc>
          <w:tcPr>
            <w:tcW w:w="795" w:type="dxa"/>
            <w:vAlign w:val="top"/>
          </w:tcPr>
          <w:p w14:paraId="41244502">
            <w:pPr>
              <w:spacing w:before="90"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c>
          <w:tcPr>
            <w:tcW w:w="795" w:type="dxa"/>
            <w:vAlign w:val="top"/>
          </w:tcPr>
          <w:p w14:paraId="59714359">
            <w:pPr>
              <w:spacing w:before="9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c>
          <w:tcPr>
            <w:tcW w:w="795" w:type="dxa"/>
            <w:vAlign w:val="top"/>
          </w:tcPr>
          <w:p w14:paraId="18A54E27">
            <w:pPr>
              <w:spacing w:before="9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797" w:type="dxa"/>
            <w:vAlign w:val="top"/>
          </w:tcPr>
          <w:p w14:paraId="592C828C">
            <w:pPr>
              <w:spacing w:before="178" w:line="97" w:lineRule="exact"/>
              <w:ind w:left="3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14:paraId="477F3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64" w:type="dxa"/>
            <w:vAlign w:val="top"/>
          </w:tcPr>
          <w:p w14:paraId="636AE238">
            <w:pPr>
              <w:pStyle w:val="6"/>
              <w:spacing w:before="55" w:line="228" w:lineRule="auto"/>
              <w:ind w:left="215"/>
            </w:pPr>
            <w:r>
              <w:rPr>
                <w:spacing w:val="7"/>
              </w:rPr>
              <w:t>达标情况</w:t>
            </w:r>
          </w:p>
        </w:tc>
        <w:tc>
          <w:tcPr>
            <w:tcW w:w="801" w:type="dxa"/>
            <w:vAlign w:val="top"/>
          </w:tcPr>
          <w:p w14:paraId="3BA1C2D0">
            <w:pPr>
              <w:pStyle w:val="6"/>
              <w:spacing w:before="55" w:line="228" w:lineRule="auto"/>
              <w:ind w:left="195"/>
            </w:pPr>
            <w:r>
              <w:rPr>
                <w:spacing w:val="5"/>
              </w:rPr>
              <w:t>达标</w:t>
            </w:r>
          </w:p>
        </w:tc>
        <w:tc>
          <w:tcPr>
            <w:tcW w:w="796" w:type="dxa"/>
            <w:vAlign w:val="top"/>
          </w:tcPr>
          <w:p w14:paraId="37515AE3">
            <w:pPr>
              <w:pStyle w:val="6"/>
              <w:spacing w:before="55" w:line="228" w:lineRule="auto"/>
              <w:ind w:left="190"/>
            </w:pPr>
            <w:r>
              <w:rPr>
                <w:spacing w:val="5"/>
              </w:rPr>
              <w:t>达标</w:t>
            </w:r>
          </w:p>
        </w:tc>
        <w:tc>
          <w:tcPr>
            <w:tcW w:w="794" w:type="dxa"/>
            <w:vAlign w:val="top"/>
          </w:tcPr>
          <w:p w14:paraId="2DD6B6E8">
            <w:pPr>
              <w:pStyle w:val="6"/>
              <w:spacing w:before="55" w:line="228" w:lineRule="auto"/>
              <w:ind w:left="191"/>
            </w:pPr>
            <w:r>
              <w:rPr>
                <w:spacing w:val="5"/>
              </w:rPr>
              <w:t>达标</w:t>
            </w:r>
          </w:p>
        </w:tc>
        <w:tc>
          <w:tcPr>
            <w:tcW w:w="794" w:type="dxa"/>
            <w:vAlign w:val="top"/>
          </w:tcPr>
          <w:p w14:paraId="0ECCB3B0">
            <w:pPr>
              <w:pStyle w:val="6"/>
              <w:spacing w:before="55" w:line="228" w:lineRule="auto"/>
              <w:ind w:left="192"/>
            </w:pPr>
            <w:r>
              <w:rPr>
                <w:spacing w:val="5"/>
              </w:rPr>
              <w:t>达标</w:t>
            </w:r>
          </w:p>
        </w:tc>
        <w:tc>
          <w:tcPr>
            <w:tcW w:w="795" w:type="dxa"/>
            <w:vAlign w:val="top"/>
          </w:tcPr>
          <w:p w14:paraId="3212EEA1">
            <w:pPr>
              <w:pStyle w:val="6"/>
              <w:spacing w:before="55" w:line="228" w:lineRule="auto"/>
              <w:ind w:left="194"/>
            </w:pPr>
            <w:r>
              <w:rPr>
                <w:spacing w:val="5"/>
              </w:rPr>
              <w:t>达标</w:t>
            </w:r>
          </w:p>
        </w:tc>
        <w:tc>
          <w:tcPr>
            <w:tcW w:w="795" w:type="dxa"/>
            <w:vAlign w:val="top"/>
          </w:tcPr>
          <w:p w14:paraId="3351EB9E">
            <w:pPr>
              <w:pStyle w:val="6"/>
              <w:spacing w:before="55" w:line="228" w:lineRule="auto"/>
              <w:ind w:left="194"/>
            </w:pPr>
            <w:r>
              <w:rPr>
                <w:spacing w:val="5"/>
              </w:rPr>
              <w:t>达标</w:t>
            </w:r>
          </w:p>
        </w:tc>
        <w:tc>
          <w:tcPr>
            <w:tcW w:w="795" w:type="dxa"/>
            <w:vAlign w:val="top"/>
          </w:tcPr>
          <w:p w14:paraId="3CE58479">
            <w:pPr>
              <w:pStyle w:val="6"/>
              <w:spacing w:before="55" w:line="228" w:lineRule="auto"/>
              <w:ind w:left="193"/>
            </w:pPr>
            <w:r>
              <w:rPr>
                <w:spacing w:val="5"/>
              </w:rPr>
              <w:t>达标</w:t>
            </w:r>
          </w:p>
        </w:tc>
        <w:tc>
          <w:tcPr>
            <w:tcW w:w="795" w:type="dxa"/>
            <w:vAlign w:val="top"/>
          </w:tcPr>
          <w:p w14:paraId="5350D21F">
            <w:pPr>
              <w:pStyle w:val="6"/>
              <w:spacing w:before="55" w:line="228" w:lineRule="auto"/>
              <w:ind w:left="193"/>
            </w:pPr>
            <w:r>
              <w:rPr>
                <w:spacing w:val="5"/>
              </w:rPr>
              <w:t>达标</w:t>
            </w:r>
          </w:p>
        </w:tc>
        <w:tc>
          <w:tcPr>
            <w:tcW w:w="797" w:type="dxa"/>
            <w:vAlign w:val="top"/>
          </w:tcPr>
          <w:p w14:paraId="2C715379">
            <w:pPr>
              <w:spacing w:before="179" w:line="97" w:lineRule="exact"/>
              <w:ind w:left="3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4626B207">
      <w:pPr>
        <w:pStyle w:val="2"/>
      </w:pPr>
    </w:p>
    <w:p w14:paraId="0AC23BDF">
      <w:pPr>
        <w:sectPr>
          <w:headerReference r:id="rId218" w:type="default"/>
          <w:footerReference r:id="rId219" w:type="default"/>
          <w:pgSz w:w="11906" w:h="16839"/>
          <w:pgMar w:top="1208" w:right="1720" w:bottom="957" w:left="1684" w:header="825" w:footer="795" w:gutter="0"/>
          <w:cols w:space="720" w:num="1"/>
        </w:sectPr>
      </w:pPr>
    </w:p>
    <w:p w14:paraId="17202E20">
      <w:pPr>
        <w:spacing w:before="270" w:line="222" w:lineRule="auto"/>
        <w:ind w:left="23"/>
        <w:outlineLvl w:val="0"/>
        <w:rPr>
          <w:rFonts w:ascii="黑体" w:hAnsi="黑体" w:eastAsia="黑体" w:cs="黑体"/>
          <w:sz w:val="28"/>
          <w:szCs w:val="28"/>
        </w:rPr>
      </w:pPr>
      <w:bookmarkStart w:id="97" w:name="bookmark88"/>
      <w:bookmarkEnd w:id="97"/>
      <w:r>
        <w:rPr>
          <w:rFonts w:ascii="黑体" w:hAnsi="黑体" w:eastAsia="黑体" w:cs="黑体"/>
          <w:b/>
          <w:bCs/>
          <w:spacing w:val="-4"/>
          <w:sz w:val="28"/>
          <w:szCs w:val="28"/>
        </w:rPr>
        <w:t>7</w:t>
      </w:r>
      <w:r>
        <w:rPr>
          <w:rFonts w:ascii="黑体" w:hAnsi="黑体" w:eastAsia="黑体" w:cs="黑体"/>
          <w:spacing w:val="-50"/>
          <w:sz w:val="28"/>
          <w:szCs w:val="28"/>
        </w:rPr>
        <w:t xml:space="preserve"> </w:t>
      </w:r>
      <w:r>
        <w:rPr>
          <w:rFonts w:ascii="黑体" w:hAnsi="黑体" w:eastAsia="黑体" w:cs="黑体"/>
          <w:b/>
          <w:bCs/>
          <w:spacing w:val="-4"/>
          <w:sz w:val="28"/>
          <w:szCs w:val="28"/>
        </w:rPr>
        <w:t>施工期环境影响分析及防治措施</w:t>
      </w:r>
    </w:p>
    <w:p w14:paraId="2AFCE4FF">
      <w:pPr>
        <w:pStyle w:val="2"/>
        <w:spacing w:line="271" w:lineRule="auto"/>
      </w:pPr>
    </w:p>
    <w:p w14:paraId="298331C7">
      <w:pPr>
        <w:spacing w:before="91" w:line="222" w:lineRule="auto"/>
        <w:ind w:left="21"/>
        <w:outlineLvl w:val="1"/>
        <w:rPr>
          <w:rFonts w:ascii="黑体" w:hAnsi="黑体" w:eastAsia="黑体" w:cs="黑体"/>
          <w:sz w:val="28"/>
          <w:szCs w:val="28"/>
        </w:rPr>
      </w:pPr>
      <w:bookmarkStart w:id="98" w:name="bookmark89"/>
      <w:bookmarkEnd w:id="98"/>
      <w:bookmarkStart w:id="99" w:name="bookmark90"/>
      <w:bookmarkEnd w:id="99"/>
      <w:r>
        <w:rPr>
          <w:rFonts w:ascii="Times New Roman" w:hAnsi="Times New Roman" w:eastAsia="Times New Roman" w:cs="Times New Roman"/>
          <w:b/>
          <w:bCs/>
          <w:spacing w:val="-3"/>
          <w:sz w:val="28"/>
          <w:szCs w:val="28"/>
        </w:rPr>
        <w:t xml:space="preserve">7.1 </w:t>
      </w:r>
      <w:r>
        <w:rPr>
          <w:rFonts w:ascii="黑体" w:hAnsi="黑体" w:eastAsia="黑体" w:cs="黑体"/>
          <w:b/>
          <w:bCs/>
          <w:spacing w:val="-3"/>
          <w:sz w:val="28"/>
          <w:szCs w:val="28"/>
        </w:rPr>
        <w:t>扬尘污染影响及防治措施</w:t>
      </w:r>
    </w:p>
    <w:p w14:paraId="78239497">
      <w:pPr>
        <w:spacing w:before="256" w:line="219" w:lineRule="auto"/>
        <w:ind w:left="499"/>
        <w:outlineLvl w:val="2"/>
        <w:rPr>
          <w:rFonts w:ascii="宋体" w:hAnsi="宋体" w:eastAsia="宋体" w:cs="宋体"/>
          <w:sz w:val="24"/>
          <w:szCs w:val="24"/>
        </w:rPr>
      </w:pPr>
      <w:bookmarkStart w:id="100" w:name="bookmark204"/>
      <w:bookmarkEnd w:id="100"/>
      <w:r>
        <w:rPr>
          <w:rFonts w:ascii="Times New Roman" w:hAnsi="Times New Roman" w:eastAsia="Times New Roman" w:cs="Times New Roman"/>
          <w:b/>
          <w:bCs/>
          <w:spacing w:val="-2"/>
          <w:sz w:val="24"/>
          <w:szCs w:val="24"/>
        </w:rPr>
        <w:t xml:space="preserve">7.1.1 </w:t>
      </w:r>
      <w:r>
        <w:rPr>
          <w:rFonts w:ascii="宋体" w:hAnsi="宋体" w:eastAsia="宋体" w:cs="宋体"/>
          <w:b/>
          <w:bCs/>
          <w:spacing w:val="-2"/>
          <w:sz w:val="24"/>
          <w:szCs w:val="24"/>
        </w:rPr>
        <w:t>扬尘污染特征</w:t>
      </w:r>
    </w:p>
    <w:p w14:paraId="7D47AFDB">
      <w:pPr>
        <w:spacing w:before="182" w:line="360" w:lineRule="auto"/>
        <w:ind w:left="16" w:right="162" w:firstLine="485"/>
        <w:rPr>
          <w:rFonts w:ascii="宋体" w:hAnsi="宋体" w:eastAsia="宋体" w:cs="宋体"/>
          <w:sz w:val="24"/>
          <w:szCs w:val="24"/>
        </w:rPr>
      </w:pPr>
      <w:r>
        <w:rPr>
          <w:rFonts w:ascii="宋体" w:hAnsi="宋体" w:eastAsia="宋体" w:cs="宋体"/>
          <w:spacing w:val="9"/>
          <w:sz w:val="24"/>
          <w:szCs w:val="24"/>
        </w:rPr>
        <w:t>本项目原</w:t>
      </w:r>
      <w:r>
        <w:rPr>
          <w:rFonts w:ascii="宋体" w:hAnsi="宋体" w:eastAsia="宋体" w:cs="宋体"/>
          <w:spacing w:val="-43"/>
          <w:sz w:val="24"/>
          <w:szCs w:val="24"/>
        </w:rPr>
        <w:t xml:space="preserve"> </w:t>
      </w:r>
      <w:r>
        <w:rPr>
          <w:rFonts w:ascii="Times New Roman" w:hAnsi="Times New Roman" w:eastAsia="Times New Roman" w:cs="Times New Roman"/>
          <w:spacing w:val="9"/>
          <w:sz w:val="24"/>
          <w:szCs w:val="24"/>
        </w:rPr>
        <w:t>2000t/d</w:t>
      </w:r>
      <w:r>
        <w:rPr>
          <w:rFonts w:ascii="Times New Roman" w:hAnsi="Times New Roman" w:eastAsia="Times New Roman" w:cs="Times New Roman"/>
          <w:spacing w:val="20"/>
          <w:sz w:val="24"/>
          <w:szCs w:val="24"/>
        </w:rPr>
        <w:t xml:space="preserve"> </w:t>
      </w:r>
      <w:r>
        <w:rPr>
          <w:rFonts w:ascii="宋体" w:hAnsi="宋体" w:eastAsia="宋体" w:cs="宋体"/>
          <w:spacing w:val="9"/>
          <w:sz w:val="24"/>
          <w:szCs w:val="24"/>
        </w:rPr>
        <w:t>选矿车间停用，技改工程竣工验收</w:t>
      </w:r>
      <w:r>
        <w:rPr>
          <w:rFonts w:ascii="宋体" w:hAnsi="宋体" w:eastAsia="宋体" w:cs="宋体"/>
          <w:spacing w:val="8"/>
          <w:sz w:val="24"/>
          <w:szCs w:val="24"/>
        </w:rPr>
        <w:t>合格后逐步拆除原</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选矿车间设备。</w:t>
      </w:r>
    </w:p>
    <w:p w14:paraId="3B665786">
      <w:pPr>
        <w:spacing w:line="219" w:lineRule="auto"/>
        <w:ind w:left="501"/>
        <w:rPr>
          <w:rFonts w:ascii="宋体" w:hAnsi="宋体" w:eastAsia="宋体" w:cs="宋体"/>
          <w:sz w:val="24"/>
          <w:szCs w:val="24"/>
        </w:rPr>
      </w:pPr>
      <w:r>
        <w:rPr>
          <w:rFonts w:ascii="宋体" w:hAnsi="宋体" w:eastAsia="宋体" w:cs="宋体"/>
          <w:spacing w:val="-1"/>
          <w:sz w:val="24"/>
          <w:szCs w:val="24"/>
        </w:rPr>
        <w:t>根据经验分析，施工期扬尘污染具有以下特点：</w:t>
      </w:r>
    </w:p>
    <w:p w14:paraId="0E7A5DA7">
      <w:pPr>
        <w:spacing w:before="184"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）扬尘来源</w:t>
      </w:r>
    </w:p>
    <w:p w14:paraId="4E514939">
      <w:pPr>
        <w:spacing w:before="183" w:line="360" w:lineRule="auto"/>
        <w:ind w:left="20" w:right="162" w:firstLine="480"/>
        <w:rPr>
          <w:rFonts w:ascii="宋体" w:hAnsi="宋体" w:eastAsia="宋体" w:cs="宋体"/>
          <w:sz w:val="24"/>
          <w:szCs w:val="24"/>
        </w:rPr>
      </w:pPr>
      <w:r>
        <w:rPr>
          <w:rFonts w:ascii="宋体" w:hAnsi="宋体" w:eastAsia="宋体" w:cs="宋体"/>
          <w:sz w:val="24"/>
          <w:szCs w:val="24"/>
        </w:rPr>
        <w:t>根据工程建设的基本工序，项目开工建设阶段，</w:t>
      </w:r>
      <w:r>
        <w:rPr>
          <w:rFonts w:ascii="宋体" w:hAnsi="宋体" w:eastAsia="宋体" w:cs="宋体"/>
          <w:spacing w:val="-1"/>
          <w:sz w:val="24"/>
          <w:szCs w:val="24"/>
        </w:rPr>
        <w:t>项目施工期各主要起尘点</w:t>
      </w:r>
      <w:r>
        <w:rPr>
          <w:rFonts w:ascii="宋体" w:hAnsi="宋体" w:eastAsia="宋体" w:cs="宋体"/>
          <w:sz w:val="24"/>
          <w:szCs w:val="24"/>
        </w:rPr>
        <w:t xml:space="preserve"> 为：土方的挖掘、堆放、清运和场地平整等过程中产生</w:t>
      </w:r>
      <w:r>
        <w:rPr>
          <w:rFonts w:ascii="宋体" w:hAnsi="宋体" w:eastAsia="宋体" w:cs="宋体"/>
          <w:spacing w:val="-1"/>
          <w:sz w:val="24"/>
          <w:szCs w:val="24"/>
        </w:rPr>
        <w:t>的粉尘；往来作业机械</w:t>
      </w:r>
      <w:r>
        <w:rPr>
          <w:rFonts w:ascii="宋体" w:hAnsi="宋体" w:eastAsia="宋体" w:cs="宋体"/>
          <w:sz w:val="24"/>
          <w:szCs w:val="24"/>
        </w:rPr>
        <w:t xml:space="preserve"> 及运输车辆造成的地面扬尘；建筑材料如水泥、沙子等</w:t>
      </w:r>
      <w:r>
        <w:rPr>
          <w:rFonts w:ascii="宋体" w:hAnsi="宋体" w:eastAsia="宋体" w:cs="宋体"/>
          <w:spacing w:val="-1"/>
          <w:sz w:val="24"/>
          <w:szCs w:val="24"/>
        </w:rPr>
        <w:t>在装卸、运输、堆放等</w:t>
      </w:r>
      <w:r>
        <w:rPr>
          <w:rFonts w:ascii="宋体" w:hAnsi="宋体" w:eastAsia="宋体" w:cs="宋体"/>
          <w:sz w:val="24"/>
          <w:szCs w:val="24"/>
        </w:rPr>
        <w:t xml:space="preserve"> 过程中因振动、洒漏和风力作用造成的扬尘；施工垃圾</w:t>
      </w:r>
      <w:r>
        <w:rPr>
          <w:rFonts w:ascii="宋体" w:hAnsi="宋体" w:eastAsia="宋体" w:cs="宋体"/>
          <w:spacing w:val="-1"/>
          <w:sz w:val="24"/>
          <w:szCs w:val="24"/>
        </w:rPr>
        <w:t>在堆放、清运过程中的</w:t>
      </w:r>
      <w:r>
        <w:rPr>
          <w:rFonts w:ascii="宋体" w:hAnsi="宋体" w:eastAsia="宋体" w:cs="宋体"/>
          <w:sz w:val="24"/>
          <w:szCs w:val="24"/>
        </w:rPr>
        <w:t xml:space="preserve"> </w:t>
      </w:r>
      <w:r>
        <w:rPr>
          <w:rFonts w:ascii="宋体" w:hAnsi="宋体" w:eastAsia="宋体" w:cs="宋体"/>
          <w:spacing w:val="-3"/>
          <w:sz w:val="24"/>
          <w:szCs w:val="24"/>
        </w:rPr>
        <w:t>扬尘。</w:t>
      </w:r>
    </w:p>
    <w:p w14:paraId="2E680359">
      <w:pPr>
        <w:spacing w:line="360" w:lineRule="auto"/>
        <w:ind w:left="21" w:right="162" w:firstLine="482"/>
        <w:jc w:val="both"/>
        <w:rPr>
          <w:rFonts w:ascii="宋体" w:hAnsi="宋体" w:eastAsia="宋体" w:cs="宋体"/>
          <w:sz w:val="24"/>
          <w:szCs w:val="24"/>
        </w:rPr>
      </w:pPr>
      <w:r>
        <w:rPr>
          <w:rFonts w:ascii="宋体" w:hAnsi="宋体" w:eastAsia="宋体" w:cs="宋体"/>
          <w:spacing w:val="-2"/>
          <w:sz w:val="24"/>
          <w:szCs w:val="24"/>
        </w:rPr>
        <w:t>工地道路扬尘和装卸扬尘是建筑施工工地扬尘的两项主要来源，</w:t>
      </w:r>
      <w:r>
        <w:rPr>
          <w:rFonts w:ascii="宋体" w:hAnsi="宋体" w:eastAsia="宋体" w:cs="宋体"/>
          <w:spacing w:val="-70"/>
          <w:sz w:val="24"/>
          <w:szCs w:val="24"/>
        </w:rPr>
        <w:t xml:space="preserve"> </w:t>
      </w:r>
      <w:r>
        <w:rPr>
          <w:rFonts w:ascii="宋体" w:hAnsi="宋体" w:eastAsia="宋体" w:cs="宋体"/>
          <w:spacing w:val="-2"/>
          <w:sz w:val="24"/>
          <w:szCs w:val="24"/>
        </w:rPr>
        <w:t>占全部工</w:t>
      </w:r>
      <w:r>
        <w:rPr>
          <w:rFonts w:ascii="宋体" w:hAnsi="宋体" w:eastAsia="宋体" w:cs="宋体"/>
          <w:sz w:val="24"/>
          <w:szCs w:val="24"/>
        </w:rPr>
        <w:t xml:space="preserve"> </w:t>
      </w:r>
      <w:r>
        <w:rPr>
          <w:rFonts w:ascii="宋体" w:hAnsi="宋体" w:eastAsia="宋体" w:cs="宋体"/>
          <w:spacing w:val="-3"/>
          <w:sz w:val="24"/>
          <w:szCs w:val="24"/>
        </w:rPr>
        <w:t>地扬尘的</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86%</w:t>
      </w:r>
      <w:r>
        <w:rPr>
          <w:rFonts w:ascii="宋体" w:hAnsi="宋体" w:eastAsia="宋体" w:cs="宋体"/>
          <w:spacing w:val="-3"/>
          <w:sz w:val="24"/>
          <w:szCs w:val="24"/>
        </w:rPr>
        <w:t>。其中道路扬尘占</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62%</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w:t>
      </w:r>
      <w:r>
        <w:rPr>
          <w:rFonts w:ascii="宋体" w:hAnsi="宋体" w:eastAsia="宋体" w:cs="宋体"/>
          <w:spacing w:val="-4"/>
          <w:sz w:val="24"/>
          <w:szCs w:val="24"/>
        </w:rPr>
        <w:t>装卸扬尘占</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w:t>
      </w:r>
      <w:r>
        <w:rPr>
          <w:rFonts w:ascii="宋体" w:hAnsi="宋体" w:eastAsia="宋体" w:cs="宋体"/>
          <w:spacing w:val="-4"/>
          <w:sz w:val="24"/>
          <w:szCs w:val="24"/>
        </w:rPr>
        <w:t>。其它工地扬尘，如材</w:t>
      </w:r>
      <w:r>
        <w:rPr>
          <w:rFonts w:ascii="宋体" w:hAnsi="宋体" w:eastAsia="宋体" w:cs="宋体"/>
          <w:sz w:val="24"/>
          <w:szCs w:val="24"/>
        </w:rPr>
        <w:t xml:space="preserve"> </w:t>
      </w:r>
      <w:r>
        <w:rPr>
          <w:rFonts w:ascii="宋体" w:hAnsi="宋体" w:eastAsia="宋体" w:cs="宋体"/>
          <w:spacing w:val="-2"/>
          <w:sz w:val="24"/>
          <w:szCs w:val="24"/>
        </w:rPr>
        <w:t>料的搬运、土方和砂石的堆放扬尘等只占</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14%</w:t>
      </w:r>
      <w:r>
        <w:rPr>
          <w:rFonts w:ascii="宋体" w:hAnsi="宋体" w:eastAsia="宋体" w:cs="宋体"/>
          <w:spacing w:val="-2"/>
          <w:sz w:val="24"/>
          <w:szCs w:val="24"/>
        </w:rPr>
        <w:t>。</w:t>
      </w:r>
    </w:p>
    <w:p w14:paraId="03680E50">
      <w:pPr>
        <w:spacing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）影响范围</w:t>
      </w:r>
    </w:p>
    <w:p w14:paraId="4159319A">
      <w:pPr>
        <w:spacing w:before="182" w:line="360" w:lineRule="auto"/>
        <w:ind w:left="21" w:right="162" w:firstLine="479"/>
        <w:rPr>
          <w:rFonts w:ascii="宋体" w:hAnsi="宋体" w:eastAsia="宋体" w:cs="宋体"/>
          <w:sz w:val="24"/>
          <w:szCs w:val="24"/>
        </w:rPr>
      </w:pPr>
      <w:r>
        <w:rPr>
          <w:rFonts w:ascii="宋体" w:hAnsi="宋体" w:eastAsia="宋体" w:cs="宋体"/>
          <w:sz w:val="24"/>
          <w:szCs w:val="24"/>
        </w:rPr>
        <w:t>在施工期间，决定粉尘污染程度的主要因素有：施</w:t>
      </w:r>
      <w:r>
        <w:rPr>
          <w:rFonts w:ascii="宋体" w:hAnsi="宋体" w:eastAsia="宋体" w:cs="宋体"/>
          <w:spacing w:val="-1"/>
          <w:sz w:val="24"/>
          <w:szCs w:val="24"/>
        </w:rPr>
        <w:t>工作业方式，原材料堆</w:t>
      </w:r>
      <w:r>
        <w:rPr>
          <w:rFonts w:ascii="宋体" w:hAnsi="宋体" w:eastAsia="宋体" w:cs="宋体"/>
          <w:sz w:val="24"/>
          <w:szCs w:val="24"/>
        </w:rPr>
        <w:t xml:space="preserve"> 放形式和风力大小等，其中受风力因素影响较大。一</w:t>
      </w:r>
      <w:r>
        <w:rPr>
          <w:rFonts w:ascii="宋体" w:hAnsi="宋体" w:eastAsia="宋体" w:cs="宋体"/>
          <w:spacing w:val="-1"/>
          <w:sz w:val="24"/>
          <w:szCs w:val="24"/>
        </w:rPr>
        <w:t>般情况下，静态起尘主要</w:t>
      </w:r>
      <w:r>
        <w:rPr>
          <w:rFonts w:ascii="宋体" w:hAnsi="宋体" w:eastAsia="宋体" w:cs="宋体"/>
          <w:sz w:val="24"/>
          <w:szCs w:val="24"/>
        </w:rPr>
        <w:t xml:space="preserve"> 与堆放材料粒径、表面含水率、地面粗糙度、地面风</w:t>
      </w:r>
      <w:r>
        <w:rPr>
          <w:rFonts w:ascii="宋体" w:hAnsi="宋体" w:eastAsia="宋体" w:cs="宋体"/>
          <w:spacing w:val="-1"/>
          <w:sz w:val="24"/>
          <w:szCs w:val="24"/>
        </w:rPr>
        <w:t>速等因素有关；动态起尘</w:t>
      </w:r>
      <w:r>
        <w:rPr>
          <w:rFonts w:ascii="宋体" w:hAnsi="宋体" w:eastAsia="宋体" w:cs="宋体"/>
          <w:sz w:val="24"/>
          <w:szCs w:val="24"/>
        </w:rPr>
        <w:t xml:space="preserve"> 与材料粒径、环境风速、装卸高度、装卸强度等因素</w:t>
      </w:r>
      <w:r>
        <w:rPr>
          <w:rFonts w:ascii="宋体" w:hAnsi="宋体" w:eastAsia="宋体" w:cs="宋体"/>
          <w:spacing w:val="-1"/>
          <w:sz w:val="24"/>
          <w:szCs w:val="24"/>
        </w:rPr>
        <w:t>有关，其中，风力因素影</w:t>
      </w:r>
      <w:r>
        <w:rPr>
          <w:rFonts w:ascii="宋体" w:hAnsi="宋体" w:eastAsia="宋体" w:cs="宋体"/>
          <w:sz w:val="24"/>
          <w:szCs w:val="24"/>
        </w:rPr>
        <w:t xml:space="preserve"> 响较大。本项目受季风影响动态起尘为工程施工期</w:t>
      </w:r>
      <w:r>
        <w:rPr>
          <w:rFonts w:ascii="宋体" w:hAnsi="宋体" w:eastAsia="宋体" w:cs="宋体"/>
          <w:spacing w:val="-1"/>
          <w:sz w:val="24"/>
          <w:szCs w:val="24"/>
        </w:rPr>
        <w:t>间扬尘污染的主要类型。</w:t>
      </w:r>
    </w:p>
    <w:p w14:paraId="5F8E5CDD">
      <w:pPr>
        <w:spacing w:line="360" w:lineRule="auto"/>
        <w:ind w:left="23" w:right="162" w:firstLine="480"/>
        <w:rPr>
          <w:rFonts w:ascii="宋体" w:hAnsi="宋体" w:eastAsia="宋体" w:cs="宋体"/>
          <w:sz w:val="24"/>
          <w:szCs w:val="24"/>
        </w:rPr>
      </w:pPr>
      <w:r>
        <w:rPr>
          <w:rFonts w:ascii="宋体" w:hAnsi="宋体" w:eastAsia="宋体" w:cs="宋体"/>
          <w:spacing w:val="-1"/>
          <w:sz w:val="24"/>
          <w:szCs w:val="24"/>
        </w:rPr>
        <w:t>工地道路扬尘视其路面质量不同相差较大，但其影响范围均为道路两侧各</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50m</w:t>
      </w:r>
      <w:r>
        <w:rPr>
          <w:rFonts w:ascii="Times New Roman" w:hAnsi="Times New Roman" w:eastAsia="Times New Roman" w:cs="Times New Roman"/>
          <w:spacing w:val="27"/>
          <w:w w:val="101"/>
          <w:sz w:val="24"/>
          <w:szCs w:val="24"/>
        </w:rPr>
        <w:t xml:space="preserve"> </w:t>
      </w:r>
      <w:r>
        <w:rPr>
          <w:rFonts w:ascii="宋体" w:hAnsi="宋体" w:eastAsia="宋体" w:cs="宋体"/>
          <w:spacing w:val="-3"/>
          <w:sz w:val="24"/>
          <w:szCs w:val="24"/>
        </w:rPr>
        <w:t>的区域；建筑工地扬尘的影响范围主要在工地围墙</w:t>
      </w:r>
      <w:r>
        <w:rPr>
          <w:rFonts w:ascii="宋体" w:hAnsi="宋体" w:eastAsia="宋体" w:cs="宋体"/>
          <w:spacing w:val="-4"/>
          <w:sz w:val="24"/>
          <w:szCs w:val="24"/>
        </w:rPr>
        <w:t>外</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37"/>
          <w:sz w:val="24"/>
          <w:szCs w:val="24"/>
        </w:rPr>
        <w:t xml:space="preserve"> </w:t>
      </w:r>
      <w:r>
        <w:rPr>
          <w:rFonts w:ascii="宋体" w:hAnsi="宋体" w:eastAsia="宋体" w:cs="宋体"/>
          <w:spacing w:val="-4"/>
          <w:sz w:val="24"/>
          <w:szCs w:val="24"/>
        </w:rPr>
        <w:t>以内。</w:t>
      </w:r>
    </w:p>
    <w:p w14:paraId="1229BA67">
      <w:pPr>
        <w:spacing w:line="220" w:lineRule="auto"/>
        <w:ind w:left="499"/>
        <w:outlineLvl w:val="2"/>
        <w:rPr>
          <w:rFonts w:ascii="宋体" w:hAnsi="宋体" w:eastAsia="宋体" w:cs="宋体"/>
          <w:sz w:val="24"/>
          <w:szCs w:val="24"/>
        </w:rPr>
      </w:pPr>
      <w:bookmarkStart w:id="101" w:name="bookmark91"/>
      <w:bookmarkEnd w:id="101"/>
      <w:r>
        <w:rPr>
          <w:rFonts w:ascii="Times New Roman" w:hAnsi="Times New Roman" w:eastAsia="Times New Roman" w:cs="Times New Roman"/>
          <w:b/>
          <w:bCs/>
          <w:spacing w:val="-2"/>
          <w:sz w:val="24"/>
          <w:szCs w:val="24"/>
        </w:rPr>
        <w:t xml:space="preserve">7.1.2 </w:t>
      </w:r>
      <w:r>
        <w:rPr>
          <w:rFonts w:ascii="宋体" w:hAnsi="宋体" w:eastAsia="宋体" w:cs="宋体"/>
          <w:b/>
          <w:bCs/>
          <w:spacing w:val="-2"/>
          <w:sz w:val="24"/>
          <w:szCs w:val="24"/>
        </w:rPr>
        <w:t>影响分析及防治措施</w:t>
      </w:r>
    </w:p>
    <w:p w14:paraId="58B382ED">
      <w:pPr>
        <w:spacing w:before="182" w:line="360" w:lineRule="auto"/>
        <w:ind w:left="24" w:right="101" w:firstLine="476"/>
        <w:rPr>
          <w:rFonts w:ascii="宋体" w:hAnsi="宋体" w:eastAsia="宋体" w:cs="宋体"/>
          <w:sz w:val="24"/>
          <w:szCs w:val="24"/>
        </w:rPr>
      </w:pPr>
      <w:r>
        <w:rPr>
          <w:rFonts w:ascii="宋体" w:hAnsi="宋体" w:eastAsia="宋体" w:cs="宋体"/>
          <w:spacing w:val="-6"/>
          <w:sz w:val="24"/>
          <w:szCs w:val="24"/>
        </w:rPr>
        <w:t>通过以上分析可知，施工期扬尘影响的范围较小，重污染带位于项目区内，</w:t>
      </w:r>
      <w:r>
        <w:rPr>
          <w:rFonts w:ascii="宋体" w:hAnsi="宋体" w:eastAsia="宋体" w:cs="宋体"/>
          <w:spacing w:val="9"/>
          <w:sz w:val="24"/>
          <w:szCs w:val="24"/>
        </w:rPr>
        <w:t xml:space="preserve"> </w:t>
      </w:r>
      <w:r>
        <w:rPr>
          <w:rFonts w:ascii="宋体" w:hAnsi="宋体" w:eastAsia="宋体" w:cs="宋体"/>
          <w:spacing w:val="-1"/>
          <w:sz w:val="24"/>
          <w:szCs w:val="24"/>
        </w:rPr>
        <w:t>不会对外环境的空气质量造成明显的污染影响。</w:t>
      </w:r>
    </w:p>
    <w:p w14:paraId="7945471B">
      <w:pPr>
        <w:spacing w:line="218" w:lineRule="auto"/>
        <w:ind w:left="503"/>
        <w:rPr>
          <w:rFonts w:ascii="宋体" w:hAnsi="宋体" w:eastAsia="宋体" w:cs="宋体"/>
          <w:sz w:val="24"/>
          <w:szCs w:val="24"/>
        </w:rPr>
      </w:pPr>
      <w:r>
        <w:rPr>
          <w:rFonts w:ascii="宋体" w:hAnsi="宋体" w:eastAsia="宋体" w:cs="宋体"/>
          <w:spacing w:val="-1"/>
          <w:sz w:val="24"/>
          <w:szCs w:val="24"/>
        </w:rPr>
        <w:t>建议采取以下措施减轻其影响：</w:t>
      </w:r>
    </w:p>
    <w:p w14:paraId="53F86D0C">
      <w:pPr>
        <w:spacing w:before="184"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）合理布置厂区平面及工艺，减少施工土方量，从而减少扬尘量。</w:t>
      </w:r>
    </w:p>
    <w:p w14:paraId="319F05ED">
      <w:pPr>
        <w:spacing w:before="184"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）施工场地每天定期洒水，防止浮尘产生，有风</w:t>
      </w:r>
      <w:r>
        <w:rPr>
          <w:rFonts w:ascii="宋体" w:hAnsi="宋体" w:eastAsia="宋体" w:cs="宋体"/>
          <w:spacing w:val="-5"/>
          <w:sz w:val="24"/>
          <w:szCs w:val="24"/>
        </w:rPr>
        <w:t>日加大洒水量及洒水次</w:t>
      </w:r>
    </w:p>
    <w:p w14:paraId="59C237EA">
      <w:pPr>
        <w:spacing w:line="219" w:lineRule="auto"/>
        <w:rPr>
          <w:rFonts w:ascii="宋体" w:hAnsi="宋体" w:eastAsia="宋体" w:cs="宋体"/>
          <w:sz w:val="24"/>
          <w:szCs w:val="24"/>
        </w:rPr>
        <w:sectPr>
          <w:headerReference r:id="rId220" w:type="default"/>
          <w:footerReference r:id="rId221" w:type="default"/>
          <w:pgSz w:w="11906" w:h="16839"/>
          <w:pgMar w:top="1208" w:right="1785" w:bottom="957" w:left="1785" w:header="825" w:footer="795" w:gutter="0"/>
          <w:cols w:space="720" w:num="1"/>
        </w:sectPr>
      </w:pPr>
    </w:p>
    <w:p w14:paraId="0C5F101B">
      <w:pPr>
        <w:pStyle w:val="2"/>
        <w:spacing w:line="265" w:lineRule="auto"/>
      </w:pPr>
    </w:p>
    <w:p w14:paraId="1FD1038E">
      <w:pPr>
        <w:spacing w:before="78" w:line="219" w:lineRule="auto"/>
        <w:ind w:left="22"/>
        <w:rPr>
          <w:rFonts w:ascii="宋体" w:hAnsi="宋体" w:eastAsia="宋体" w:cs="宋体"/>
          <w:sz w:val="24"/>
          <w:szCs w:val="24"/>
        </w:rPr>
      </w:pPr>
      <w:r>
        <w:rPr>
          <w:rFonts w:ascii="宋体" w:hAnsi="宋体" w:eastAsia="宋体" w:cs="宋体"/>
          <w:spacing w:val="-6"/>
          <w:sz w:val="24"/>
          <w:szCs w:val="24"/>
        </w:rPr>
        <w:t>数。</w:t>
      </w:r>
    </w:p>
    <w:p w14:paraId="2A38DC3D">
      <w:pPr>
        <w:spacing w:before="183" w:line="289" w:lineRule="auto"/>
        <w:ind w:left="19" w:right="162" w:firstLine="49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）运输干水泥等易起尘的原材料时应使用密闭车</w:t>
      </w:r>
      <w:r>
        <w:rPr>
          <w:rFonts w:ascii="宋体" w:hAnsi="宋体" w:eastAsia="宋体" w:cs="宋体"/>
          <w:spacing w:val="-5"/>
          <w:sz w:val="24"/>
          <w:szCs w:val="24"/>
        </w:rPr>
        <w:t>辆，并通过封闭系统运</w:t>
      </w:r>
      <w:r>
        <w:rPr>
          <w:rFonts w:ascii="宋体" w:hAnsi="宋体" w:eastAsia="宋体" w:cs="宋体"/>
          <w:sz w:val="24"/>
          <w:szCs w:val="24"/>
        </w:rPr>
        <w:t xml:space="preserve"> 送到车库，避免露天堆放；所有来往施工场地的多尘</w:t>
      </w:r>
      <w:r>
        <w:rPr>
          <w:rFonts w:ascii="宋体" w:hAnsi="宋体" w:eastAsia="宋体" w:cs="宋体"/>
          <w:spacing w:val="-1"/>
          <w:sz w:val="24"/>
          <w:szCs w:val="24"/>
        </w:rPr>
        <w:t>物料应用帆布覆盖。</w:t>
      </w:r>
    </w:p>
    <w:p w14:paraId="249CDA0A">
      <w:pPr>
        <w:spacing w:before="184" w:line="219" w:lineRule="auto"/>
        <w:ind w:right="42"/>
        <w:jc w:val="right"/>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）合理选择运输路线，尽量利用原有道路，减少道路扬尘，减少植破坏。</w:t>
      </w:r>
    </w:p>
    <w:p w14:paraId="718B4880">
      <w:pPr>
        <w:spacing w:before="182" w:line="290" w:lineRule="auto"/>
        <w:ind w:left="23" w:right="162"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）运输车辆进入施工场地应低速或限速行驶，帆</w:t>
      </w:r>
      <w:r>
        <w:rPr>
          <w:rFonts w:ascii="宋体" w:hAnsi="宋体" w:eastAsia="宋体" w:cs="宋体"/>
          <w:spacing w:val="-5"/>
          <w:sz w:val="24"/>
          <w:szCs w:val="24"/>
        </w:rPr>
        <w:t>布覆盖减少产尘量。施</w:t>
      </w:r>
      <w:r>
        <w:rPr>
          <w:rFonts w:ascii="宋体" w:hAnsi="宋体" w:eastAsia="宋体" w:cs="宋体"/>
          <w:sz w:val="24"/>
          <w:szCs w:val="24"/>
        </w:rPr>
        <w:t xml:space="preserve"> </w:t>
      </w:r>
      <w:r>
        <w:rPr>
          <w:rFonts w:ascii="宋体" w:hAnsi="宋体" w:eastAsia="宋体" w:cs="宋体"/>
          <w:spacing w:val="-1"/>
          <w:sz w:val="24"/>
          <w:szCs w:val="24"/>
        </w:rPr>
        <w:t>工场地内运输通道及时清扫、冲洗，以减少汽车行驶扬尘。</w:t>
      </w:r>
    </w:p>
    <w:p w14:paraId="20EA22C4">
      <w:pPr>
        <w:spacing w:before="264" w:line="222" w:lineRule="auto"/>
        <w:ind w:left="21"/>
        <w:outlineLvl w:val="1"/>
        <w:rPr>
          <w:rFonts w:ascii="黑体" w:hAnsi="黑体" w:eastAsia="黑体" w:cs="黑体"/>
          <w:sz w:val="28"/>
          <w:szCs w:val="28"/>
        </w:rPr>
      </w:pPr>
      <w:bookmarkStart w:id="102" w:name="bookmark93"/>
      <w:bookmarkEnd w:id="102"/>
      <w:bookmarkStart w:id="103" w:name="bookmark92"/>
      <w:bookmarkEnd w:id="103"/>
      <w:r>
        <w:rPr>
          <w:rFonts w:ascii="Times New Roman" w:hAnsi="Times New Roman" w:eastAsia="Times New Roman" w:cs="Times New Roman"/>
          <w:b/>
          <w:bCs/>
          <w:spacing w:val="-3"/>
          <w:sz w:val="28"/>
          <w:szCs w:val="28"/>
        </w:rPr>
        <w:t xml:space="preserve">7.2 </w:t>
      </w:r>
      <w:r>
        <w:rPr>
          <w:rFonts w:ascii="黑体" w:hAnsi="黑体" w:eastAsia="黑体" w:cs="黑体"/>
          <w:b/>
          <w:bCs/>
          <w:spacing w:val="-3"/>
          <w:sz w:val="28"/>
          <w:szCs w:val="28"/>
        </w:rPr>
        <w:t>噪声污染影响及防治措施</w:t>
      </w:r>
    </w:p>
    <w:p w14:paraId="419B825D">
      <w:pPr>
        <w:spacing w:before="259" w:line="219" w:lineRule="auto"/>
        <w:ind w:left="499"/>
        <w:outlineLvl w:val="2"/>
        <w:rPr>
          <w:rFonts w:ascii="宋体" w:hAnsi="宋体" w:eastAsia="宋体" w:cs="宋体"/>
          <w:sz w:val="24"/>
          <w:szCs w:val="24"/>
        </w:rPr>
      </w:pPr>
      <w:bookmarkStart w:id="104" w:name="bookmark205"/>
      <w:bookmarkEnd w:id="104"/>
      <w:r>
        <w:rPr>
          <w:rFonts w:ascii="Times New Roman" w:hAnsi="Times New Roman" w:eastAsia="Times New Roman" w:cs="Times New Roman"/>
          <w:b/>
          <w:bCs/>
          <w:spacing w:val="-4"/>
          <w:sz w:val="24"/>
          <w:szCs w:val="24"/>
        </w:rPr>
        <w:t>7.2.1</w:t>
      </w:r>
      <w:r>
        <w:rPr>
          <w:rFonts w:ascii="Times New Roman" w:hAnsi="Times New Roman" w:eastAsia="Times New Roman" w:cs="Times New Roman"/>
          <w:b/>
          <w:bCs/>
          <w:spacing w:val="24"/>
          <w:sz w:val="24"/>
          <w:szCs w:val="24"/>
        </w:rPr>
        <w:t xml:space="preserve"> </w:t>
      </w:r>
      <w:r>
        <w:rPr>
          <w:rFonts w:ascii="宋体" w:hAnsi="宋体" w:eastAsia="宋体" w:cs="宋体"/>
          <w:b/>
          <w:bCs/>
          <w:spacing w:val="-4"/>
          <w:sz w:val="24"/>
          <w:szCs w:val="24"/>
        </w:rPr>
        <w:t>噪声污染特征</w:t>
      </w:r>
    </w:p>
    <w:p w14:paraId="4A865AB9">
      <w:pPr>
        <w:spacing w:before="183" w:line="219" w:lineRule="auto"/>
        <w:ind w:left="500"/>
        <w:rPr>
          <w:rFonts w:ascii="宋体" w:hAnsi="宋体" w:eastAsia="宋体" w:cs="宋体"/>
          <w:sz w:val="24"/>
          <w:szCs w:val="24"/>
        </w:rPr>
      </w:pPr>
      <w:r>
        <w:rPr>
          <w:rFonts w:ascii="宋体" w:hAnsi="宋体" w:eastAsia="宋体" w:cs="宋体"/>
          <w:spacing w:val="-1"/>
          <w:sz w:val="24"/>
          <w:szCs w:val="24"/>
        </w:rPr>
        <w:t>施工期噪声主要指建筑施工噪声和交通噪声两类。</w:t>
      </w:r>
    </w:p>
    <w:p w14:paraId="6925AB3C">
      <w:pPr>
        <w:spacing w:before="183" w:line="360" w:lineRule="auto"/>
        <w:ind w:left="20" w:right="162" w:firstLine="483"/>
        <w:rPr>
          <w:rFonts w:ascii="宋体" w:hAnsi="宋体" w:eastAsia="宋体" w:cs="宋体"/>
          <w:sz w:val="24"/>
          <w:szCs w:val="24"/>
        </w:rPr>
      </w:pPr>
      <w:r>
        <w:rPr>
          <w:rFonts w:ascii="宋体" w:hAnsi="宋体" w:eastAsia="宋体" w:cs="宋体"/>
          <w:spacing w:val="-1"/>
          <w:sz w:val="24"/>
          <w:szCs w:val="24"/>
        </w:rPr>
        <w:t>建筑施工通常分为</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个阶段，即土方阶段、基础阶段、结构阶段和设备安</w:t>
      </w:r>
      <w:r>
        <w:rPr>
          <w:rFonts w:ascii="宋体" w:hAnsi="宋体" w:eastAsia="宋体" w:cs="宋体"/>
          <w:sz w:val="24"/>
          <w:szCs w:val="24"/>
        </w:rPr>
        <w:t xml:space="preserve"> 装阶段等，每一阶段采用的施工机械不同，对外界环境</w:t>
      </w:r>
      <w:r>
        <w:rPr>
          <w:rFonts w:ascii="宋体" w:hAnsi="宋体" w:eastAsia="宋体" w:cs="宋体"/>
          <w:spacing w:val="-1"/>
          <w:sz w:val="24"/>
          <w:szCs w:val="24"/>
        </w:rPr>
        <w:t>造成的施工噪声污染水</w:t>
      </w:r>
      <w:r>
        <w:rPr>
          <w:rFonts w:ascii="宋体" w:hAnsi="宋体" w:eastAsia="宋体" w:cs="宋体"/>
          <w:sz w:val="24"/>
          <w:szCs w:val="24"/>
        </w:rPr>
        <w:t xml:space="preserve"> </w:t>
      </w:r>
      <w:r>
        <w:rPr>
          <w:rFonts w:ascii="宋体" w:hAnsi="宋体" w:eastAsia="宋体" w:cs="宋体"/>
          <w:spacing w:val="-2"/>
          <w:sz w:val="24"/>
          <w:szCs w:val="24"/>
        </w:rPr>
        <w:t>平也不同。</w:t>
      </w:r>
    </w:p>
    <w:p w14:paraId="28F243C4">
      <w:pPr>
        <w:spacing w:before="9" w:line="359" w:lineRule="auto"/>
        <w:ind w:left="21" w:right="162" w:firstLine="480"/>
        <w:jc w:val="both"/>
        <w:rPr>
          <w:rFonts w:ascii="宋体" w:hAnsi="宋体" w:eastAsia="宋体" w:cs="宋体"/>
          <w:sz w:val="24"/>
          <w:szCs w:val="24"/>
        </w:rPr>
      </w:pPr>
      <w:r>
        <w:rPr>
          <w:rFonts w:ascii="宋体" w:hAnsi="宋体" w:eastAsia="宋体" w:cs="宋体"/>
          <w:sz w:val="24"/>
          <w:szCs w:val="24"/>
        </w:rPr>
        <w:t>土方阶段的主要噪声源是挖掘机、推土机、装</w:t>
      </w:r>
      <w:r>
        <w:rPr>
          <w:rFonts w:ascii="宋体" w:hAnsi="宋体" w:eastAsia="宋体" w:cs="宋体"/>
          <w:spacing w:val="-1"/>
          <w:sz w:val="24"/>
          <w:szCs w:val="24"/>
        </w:rPr>
        <w:t>载机和各种运输车辆，其噪</w:t>
      </w:r>
      <w:r>
        <w:rPr>
          <w:rFonts w:ascii="宋体" w:hAnsi="宋体" w:eastAsia="宋体" w:cs="宋体"/>
          <w:sz w:val="24"/>
          <w:szCs w:val="24"/>
        </w:rPr>
        <w:t xml:space="preserve"> </w:t>
      </w:r>
      <w:r>
        <w:rPr>
          <w:rFonts w:ascii="宋体" w:hAnsi="宋体" w:eastAsia="宋体" w:cs="宋体"/>
          <w:spacing w:val="-1"/>
          <w:sz w:val="24"/>
          <w:szCs w:val="24"/>
        </w:rPr>
        <w:t>声级范围在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99.0~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115dB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）之间，其中以推土机的噪声为最高。基础阶段的</w:t>
      </w:r>
      <w:r>
        <w:rPr>
          <w:rFonts w:ascii="宋体" w:hAnsi="宋体" w:eastAsia="宋体" w:cs="宋体"/>
          <w:sz w:val="24"/>
          <w:szCs w:val="24"/>
        </w:rPr>
        <w:t xml:space="preserve"> </w:t>
      </w:r>
      <w:r>
        <w:rPr>
          <w:rFonts w:ascii="宋体" w:hAnsi="宋体" w:eastAsia="宋体" w:cs="宋体"/>
          <w:spacing w:val="-3"/>
          <w:sz w:val="24"/>
          <w:szCs w:val="24"/>
        </w:rPr>
        <w:t>主要噪声源有平地机、移动式空压机等，其噪声级范围在</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100dB</w:t>
      </w:r>
      <w:r>
        <w:rPr>
          <w:rFonts w:ascii="Times New Roman" w:hAnsi="Times New Roman" w:eastAsia="Times New Roman" w:cs="Times New Roman"/>
          <w:spacing w:val="40"/>
          <w:sz w:val="24"/>
          <w:szCs w:val="24"/>
        </w:rPr>
        <w:t xml:space="preserve"> </w:t>
      </w:r>
      <w:r>
        <w:rPr>
          <w:rFonts w:ascii="宋体" w:hAnsi="宋体" w:eastAsia="宋体" w:cs="宋体"/>
          <w:spacing w:val="-4"/>
          <w:sz w:val="24"/>
          <w:szCs w:val="24"/>
        </w:rPr>
        <w:t>以上。结构阶</w:t>
      </w:r>
      <w:r>
        <w:rPr>
          <w:rFonts w:ascii="宋体" w:hAnsi="宋体" w:eastAsia="宋体" w:cs="宋体"/>
          <w:sz w:val="24"/>
          <w:szCs w:val="24"/>
        </w:rPr>
        <w:t xml:space="preserve"> </w:t>
      </w:r>
      <w:r>
        <w:rPr>
          <w:rFonts w:ascii="宋体" w:hAnsi="宋体" w:eastAsia="宋体" w:cs="宋体"/>
          <w:spacing w:val="16"/>
          <w:sz w:val="24"/>
          <w:szCs w:val="24"/>
        </w:rPr>
        <w:t>段的主要噪声源为各种运输车辆</w:t>
      </w:r>
      <w:r>
        <w:rPr>
          <w:rFonts w:ascii="宋体" w:hAnsi="宋体" w:eastAsia="宋体" w:cs="宋体"/>
          <w:spacing w:val="-69"/>
          <w:sz w:val="24"/>
          <w:szCs w:val="24"/>
        </w:rPr>
        <w:t xml:space="preserve"> </w:t>
      </w:r>
      <w:r>
        <w:rPr>
          <w:rFonts w:ascii="宋体" w:hAnsi="宋体" w:eastAsia="宋体" w:cs="宋体"/>
          <w:spacing w:val="16"/>
          <w:sz w:val="24"/>
          <w:szCs w:val="24"/>
        </w:rPr>
        <w:t>、各式吊车</w:t>
      </w:r>
      <w:r>
        <w:rPr>
          <w:rFonts w:ascii="宋体" w:hAnsi="宋体" w:eastAsia="宋体" w:cs="宋体"/>
          <w:spacing w:val="-70"/>
          <w:sz w:val="24"/>
          <w:szCs w:val="24"/>
        </w:rPr>
        <w:t xml:space="preserve"> </w:t>
      </w:r>
      <w:r>
        <w:rPr>
          <w:rFonts w:ascii="宋体" w:hAnsi="宋体" w:eastAsia="宋体" w:cs="宋体"/>
          <w:spacing w:val="16"/>
          <w:sz w:val="24"/>
          <w:szCs w:val="24"/>
        </w:rPr>
        <w:t>、</w:t>
      </w:r>
      <w:r>
        <w:rPr>
          <w:rFonts w:ascii="宋体" w:hAnsi="宋体" w:eastAsia="宋体" w:cs="宋体"/>
          <w:spacing w:val="-59"/>
          <w:sz w:val="24"/>
          <w:szCs w:val="24"/>
        </w:rPr>
        <w:t xml:space="preserve"> </w:t>
      </w:r>
      <w:r>
        <w:rPr>
          <w:rFonts w:ascii="宋体" w:hAnsi="宋体" w:eastAsia="宋体" w:cs="宋体"/>
          <w:spacing w:val="16"/>
          <w:sz w:val="24"/>
          <w:szCs w:val="24"/>
        </w:rPr>
        <w:t>电锯等</w:t>
      </w:r>
      <w:r>
        <w:rPr>
          <w:rFonts w:ascii="宋体" w:hAnsi="宋体" w:eastAsia="宋体" w:cs="宋体"/>
          <w:spacing w:val="-63"/>
          <w:sz w:val="24"/>
          <w:szCs w:val="24"/>
        </w:rPr>
        <w:t xml:space="preserve"> </w:t>
      </w:r>
      <w:r>
        <w:rPr>
          <w:rFonts w:ascii="宋体" w:hAnsi="宋体" w:eastAsia="宋体" w:cs="宋体"/>
          <w:spacing w:val="16"/>
          <w:sz w:val="24"/>
          <w:szCs w:val="24"/>
        </w:rPr>
        <w:t>。其</w:t>
      </w:r>
      <w:r>
        <w:rPr>
          <w:rFonts w:ascii="宋体" w:hAnsi="宋体" w:eastAsia="宋体" w:cs="宋体"/>
          <w:spacing w:val="15"/>
          <w:sz w:val="24"/>
          <w:szCs w:val="24"/>
        </w:rPr>
        <w:t>噪声级范围在</w:t>
      </w:r>
      <w:r>
        <w:rPr>
          <w:rFonts w:ascii="宋体" w:hAnsi="宋体" w:eastAsia="宋体" w:cs="宋体"/>
          <w:sz w:val="24"/>
          <w:szCs w:val="24"/>
        </w:rPr>
        <w:t xml:space="preserve"> </w:t>
      </w:r>
      <w:r>
        <w:rPr>
          <w:rFonts w:ascii="Times New Roman" w:hAnsi="Times New Roman" w:eastAsia="Times New Roman" w:cs="Times New Roman"/>
          <w:spacing w:val="-3"/>
          <w:sz w:val="24"/>
          <w:szCs w:val="24"/>
        </w:rPr>
        <w:t>96.0~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111.0dB</w:t>
      </w:r>
      <w:r>
        <w:rPr>
          <w:rFonts w:ascii="宋体" w:hAnsi="宋体" w:eastAsia="宋体" w:cs="宋体"/>
          <w:spacing w:val="-3"/>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）之间。设备安装</w:t>
      </w:r>
      <w:r>
        <w:rPr>
          <w:rFonts w:ascii="宋体" w:hAnsi="宋体" w:eastAsia="宋体" w:cs="宋体"/>
          <w:spacing w:val="-4"/>
          <w:sz w:val="24"/>
          <w:szCs w:val="24"/>
        </w:rPr>
        <w:t>阶段的活动基本上是在厂房内进行，声源数</w:t>
      </w:r>
      <w:r>
        <w:rPr>
          <w:rFonts w:ascii="宋体" w:hAnsi="宋体" w:eastAsia="宋体" w:cs="宋体"/>
          <w:sz w:val="24"/>
          <w:szCs w:val="24"/>
        </w:rPr>
        <w:t xml:space="preserve"> 量较少，强声源数量也少。该阶段的主要噪声源包括</w:t>
      </w:r>
      <w:r>
        <w:rPr>
          <w:rFonts w:ascii="宋体" w:hAnsi="宋体" w:eastAsia="宋体" w:cs="宋体"/>
          <w:spacing w:val="-1"/>
          <w:sz w:val="24"/>
          <w:szCs w:val="24"/>
        </w:rPr>
        <w:t>吊车、电动卷扬机等，其</w:t>
      </w:r>
      <w:r>
        <w:rPr>
          <w:rFonts w:ascii="宋体" w:hAnsi="宋体" w:eastAsia="宋体" w:cs="宋体"/>
          <w:sz w:val="24"/>
          <w:szCs w:val="24"/>
        </w:rPr>
        <w:t xml:space="preserve"> </w:t>
      </w:r>
      <w:r>
        <w:rPr>
          <w:rFonts w:ascii="宋体" w:hAnsi="宋体" w:eastAsia="宋体" w:cs="宋体"/>
          <w:spacing w:val="-2"/>
          <w:sz w:val="24"/>
          <w:szCs w:val="24"/>
        </w:rPr>
        <w:t>噪声级在</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85.0~90.0 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）之间。</w:t>
      </w:r>
    </w:p>
    <w:p w14:paraId="580D947F">
      <w:pPr>
        <w:spacing w:before="3" w:line="359" w:lineRule="auto"/>
        <w:ind w:left="20" w:right="162" w:firstLine="480"/>
        <w:rPr>
          <w:rFonts w:ascii="宋体" w:hAnsi="宋体" w:eastAsia="宋体" w:cs="宋体"/>
          <w:sz w:val="24"/>
          <w:szCs w:val="24"/>
        </w:rPr>
      </w:pPr>
      <w:r>
        <w:rPr>
          <w:rFonts w:ascii="宋体" w:hAnsi="宋体" w:eastAsia="宋体" w:cs="宋体"/>
          <w:sz w:val="24"/>
          <w:szCs w:val="24"/>
        </w:rPr>
        <w:t>根据以上分析可知，建筑施工的设备较多，但对</w:t>
      </w:r>
      <w:r>
        <w:rPr>
          <w:rFonts w:ascii="宋体" w:hAnsi="宋体" w:eastAsia="宋体" w:cs="宋体"/>
          <w:spacing w:val="-1"/>
          <w:sz w:val="24"/>
          <w:szCs w:val="24"/>
        </w:rPr>
        <w:t>环境产生影响较大的噪声</w:t>
      </w:r>
      <w:r>
        <w:rPr>
          <w:rFonts w:ascii="宋体" w:hAnsi="宋体" w:eastAsia="宋体" w:cs="宋体"/>
          <w:sz w:val="24"/>
          <w:szCs w:val="24"/>
        </w:rPr>
        <w:t xml:space="preserve"> 源主要是土方阶段的推土机和挖掘机（包括施工运输</w:t>
      </w:r>
      <w:r>
        <w:rPr>
          <w:rFonts w:ascii="宋体" w:hAnsi="宋体" w:eastAsia="宋体" w:cs="宋体"/>
          <w:spacing w:val="-1"/>
          <w:sz w:val="24"/>
          <w:szCs w:val="24"/>
        </w:rPr>
        <w:t>期的大型运输设备）。</w:t>
      </w:r>
    </w:p>
    <w:p w14:paraId="41A9436F">
      <w:pPr>
        <w:spacing w:line="220" w:lineRule="auto"/>
        <w:ind w:left="499"/>
        <w:outlineLvl w:val="2"/>
        <w:rPr>
          <w:rFonts w:ascii="宋体" w:hAnsi="宋体" w:eastAsia="宋体" w:cs="宋体"/>
          <w:sz w:val="24"/>
          <w:szCs w:val="24"/>
        </w:rPr>
      </w:pPr>
      <w:bookmarkStart w:id="105" w:name="bookmark94"/>
      <w:bookmarkEnd w:id="105"/>
      <w:r>
        <w:rPr>
          <w:rFonts w:ascii="Times New Roman" w:hAnsi="Times New Roman" w:eastAsia="Times New Roman" w:cs="Times New Roman"/>
          <w:b/>
          <w:bCs/>
          <w:spacing w:val="-2"/>
          <w:sz w:val="24"/>
          <w:szCs w:val="24"/>
        </w:rPr>
        <w:t xml:space="preserve">7.2.2 </w:t>
      </w:r>
      <w:r>
        <w:rPr>
          <w:rFonts w:ascii="宋体" w:hAnsi="宋体" w:eastAsia="宋体" w:cs="宋体"/>
          <w:b/>
          <w:bCs/>
          <w:spacing w:val="-2"/>
          <w:sz w:val="24"/>
          <w:szCs w:val="24"/>
        </w:rPr>
        <w:t>影响分析及防治措施</w:t>
      </w:r>
    </w:p>
    <w:p w14:paraId="12F341E7">
      <w:pPr>
        <w:spacing w:before="182" w:line="360" w:lineRule="auto"/>
        <w:ind w:left="20" w:right="101" w:firstLine="480"/>
        <w:jc w:val="both"/>
        <w:rPr>
          <w:rFonts w:ascii="宋体" w:hAnsi="宋体" w:eastAsia="宋体" w:cs="宋体"/>
          <w:sz w:val="24"/>
          <w:szCs w:val="24"/>
        </w:rPr>
      </w:pPr>
      <w:r>
        <w:rPr>
          <w:rFonts w:ascii="宋体" w:hAnsi="宋体" w:eastAsia="宋体" w:cs="宋体"/>
          <w:spacing w:val="-6"/>
          <w:sz w:val="24"/>
          <w:szCs w:val="24"/>
        </w:rPr>
        <w:t>施工机械噪声对周围环境的影响程度随距离的加大而衰减，在一般情况下，</w:t>
      </w:r>
      <w:r>
        <w:rPr>
          <w:rFonts w:ascii="宋体" w:hAnsi="宋体" w:eastAsia="宋体" w:cs="宋体"/>
          <w:spacing w:val="10"/>
          <w:sz w:val="24"/>
          <w:szCs w:val="24"/>
        </w:rPr>
        <w:t xml:space="preserve"> </w:t>
      </w:r>
      <w:r>
        <w:rPr>
          <w:rFonts w:ascii="宋体" w:hAnsi="宋体" w:eastAsia="宋体" w:cs="宋体"/>
          <w:spacing w:val="-3"/>
          <w:sz w:val="24"/>
          <w:szCs w:val="24"/>
        </w:rPr>
        <w:t>距离每增加</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，噪声级可降低</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w:t>
      </w:r>
      <w:r>
        <w:rPr>
          <w:rFonts w:ascii="Times New Roman" w:hAnsi="Times New Roman" w:eastAsia="Times New Roman" w:cs="Times New Roman"/>
          <w:spacing w:val="-3"/>
          <w:sz w:val="24"/>
          <w:szCs w:val="24"/>
        </w:rPr>
        <w:t>15dB</w:t>
      </w:r>
      <w:r>
        <w:rPr>
          <w:rFonts w:ascii="宋体" w:hAnsi="宋体" w:eastAsia="宋体" w:cs="宋体"/>
          <w:spacing w:val="-3"/>
          <w:sz w:val="24"/>
          <w:szCs w:val="24"/>
        </w:rPr>
        <w:t>（</w:t>
      </w:r>
      <w:r>
        <w:rPr>
          <w:rFonts w:ascii="Times New Roman" w:hAnsi="Times New Roman" w:eastAsia="Times New Roman" w:cs="Times New Roman"/>
          <w:spacing w:val="-3"/>
          <w:sz w:val="24"/>
          <w:szCs w:val="24"/>
        </w:rPr>
        <w:t>A</w:t>
      </w:r>
      <w:r>
        <w:rPr>
          <w:rFonts w:ascii="宋体" w:hAnsi="宋体" w:eastAsia="宋体" w:cs="宋体"/>
          <w:spacing w:val="-3"/>
          <w:sz w:val="24"/>
          <w:szCs w:val="24"/>
        </w:rPr>
        <w:t>）。建设和施工单位应采</w:t>
      </w:r>
      <w:r>
        <w:rPr>
          <w:rFonts w:ascii="宋体" w:hAnsi="宋体" w:eastAsia="宋体" w:cs="宋体"/>
          <w:spacing w:val="-4"/>
          <w:sz w:val="24"/>
          <w:szCs w:val="24"/>
        </w:rPr>
        <w:t>取噪声</w:t>
      </w:r>
      <w:r>
        <w:rPr>
          <w:rFonts w:ascii="宋体" w:hAnsi="宋体" w:eastAsia="宋体" w:cs="宋体"/>
          <w:sz w:val="24"/>
          <w:szCs w:val="24"/>
        </w:rPr>
        <w:t xml:space="preserve"> 防治措施，对施工阶段的噪声进行控制，满足《建筑施</w:t>
      </w:r>
      <w:r>
        <w:rPr>
          <w:rFonts w:ascii="宋体" w:hAnsi="宋体" w:eastAsia="宋体" w:cs="宋体"/>
          <w:spacing w:val="-1"/>
          <w:sz w:val="24"/>
          <w:szCs w:val="24"/>
        </w:rPr>
        <w:t>工厂界环境噪声排放标</w:t>
      </w:r>
      <w:r>
        <w:rPr>
          <w:rFonts w:ascii="宋体" w:hAnsi="宋体" w:eastAsia="宋体" w:cs="宋体"/>
          <w:sz w:val="24"/>
          <w:szCs w:val="24"/>
        </w:rPr>
        <w:t xml:space="preserve"> </w:t>
      </w:r>
      <w:r>
        <w:rPr>
          <w:rFonts w:ascii="宋体" w:hAnsi="宋体" w:eastAsia="宋体" w:cs="宋体"/>
          <w:spacing w:val="-1"/>
          <w:sz w:val="24"/>
          <w:szCs w:val="24"/>
        </w:rPr>
        <w:t>准》（</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1"/>
          <w:sz w:val="24"/>
          <w:szCs w:val="24"/>
        </w:rPr>
        <w:t>12523-2011</w:t>
      </w:r>
      <w:r>
        <w:rPr>
          <w:rFonts w:ascii="宋体" w:hAnsi="宋体" w:eastAsia="宋体" w:cs="宋体"/>
          <w:spacing w:val="-1"/>
          <w:sz w:val="24"/>
          <w:szCs w:val="24"/>
        </w:rPr>
        <w:t>）的要求，以最大限度地减</w:t>
      </w:r>
      <w:r>
        <w:rPr>
          <w:rFonts w:ascii="宋体" w:hAnsi="宋体" w:eastAsia="宋体" w:cs="宋体"/>
          <w:spacing w:val="-2"/>
          <w:sz w:val="24"/>
          <w:szCs w:val="24"/>
        </w:rPr>
        <w:t>少噪声对环境的影响。</w:t>
      </w:r>
    </w:p>
    <w:p w14:paraId="45EDA6E9">
      <w:pPr>
        <w:spacing w:before="1" w:line="289" w:lineRule="auto"/>
        <w:ind w:left="44" w:right="162" w:firstLine="46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）合理安排施工时间：制定施工计划时，应尽可</w:t>
      </w:r>
      <w:r>
        <w:rPr>
          <w:rFonts w:ascii="宋体" w:hAnsi="宋体" w:eastAsia="宋体" w:cs="宋体"/>
          <w:spacing w:val="-5"/>
          <w:sz w:val="24"/>
          <w:szCs w:val="24"/>
        </w:rPr>
        <w:t>能避免大量高噪声设备</w:t>
      </w:r>
      <w:r>
        <w:rPr>
          <w:rFonts w:ascii="宋体" w:hAnsi="宋体" w:eastAsia="宋体" w:cs="宋体"/>
          <w:sz w:val="24"/>
          <w:szCs w:val="24"/>
        </w:rPr>
        <w:t xml:space="preserve"> </w:t>
      </w:r>
      <w:r>
        <w:rPr>
          <w:rFonts w:ascii="宋体" w:hAnsi="宋体" w:eastAsia="宋体" w:cs="宋体"/>
          <w:spacing w:val="-1"/>
          <w:sz w:val="24"/>
          <w:szCs w:val="24"/>
        </w:rPr>
        <w:t>同时施工。除此之外，高噪声施工时间尽量安排在昼间，减少夜间施工量。</w:t>
      </w:r>
    </w:p>
    <w:p w14:paraId="4693ED41">
      <w:pPr>
        <w:spacing w:before="183" w:line="219" w:lineRule="auto"/>
        <w:ind w:left="51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）合理布局施工场地：避免在同一地点安排大量</w:t>
      </w:r>
      <w:r>
        <w:rPr>
          <w:rFonts w:ascii="宋体" w:hAnsi="宋体" w:eastAsia="宋体" w:cs="宋体"/>
          <w:spacing w:val="-5"/>
          <w:sz w:val="24"/>
          <w:szCs w:val="24"/>
        </w:rPr>
        <w:t>动力机械设备，以避免</w:t>
      </w:r>
    </w:p>
    <w:p w14:paraId="0A494695">
      <w:pPr>
        <w:spacing w:line="219" w:lineRule="auto"/>
        <w:rPr>
          <w:rFonts w:ascii="宋体" w:hAnsi="宋体" w:eastAsia="宋体" w:cs="宋体"/>
          <w:sz w:val="24"/>
          <w:szCs w:val="24"/>
        </w:rPr>
        <w:sectPr>
          <w:footerReference r:id="rId222" w:type="default"/>
          <w:pgSz w:w="11906" w:h="16839"/>
          <w:pgMar w:top="1208" w:right="1785" w:bottom="957" w:left="1785" w:header="825" w:footer="795" w:gutter="0"/>
          <w:cols w:space="720" w:num="1"/>
        </w:sectPr>
      </w:pPr>
    </w:p>
    <w:p w14:paraId="33817CC5">
      <w:pPr>
        <w:pStyle w:val="2"/>
        <w:spacing w:line="265" w:lineRule="auto"/>
      </w:pPr>
    </w:p>
    <w:p w14:paraId="41E0A416">
      <w:pPr>
        <w:spacing w:before="78" w:line="219" w:lineRule="auto"/>
        <w:ind w:left="23"/>
        <w:rPr>
          <w:rFonts w:ascii="宋体" w:hAnsi="宋体" w:eastAsia="宋体" w:cs="宋体"/>
          <w:sz w:val="24"/>
          <w:szCs w:val="24"/>
        </w:rPr>
      </w:pPr>
      <w:r>
        <w:rPr>
          <w:rFonts w:ascii="宋体" w:hAnsi="宋体" w:eastAsia="宋体" w:cs="宋体"/>
          <w:spacing w:val="-2"/>
          <w:sz w:val="24"/>
          <w:szCs w:val="24"/>
        </w:rPr>
        <w:t>局部声级过高。</w:t>
      </w:r>
    </w:p>
    <w:p w14:paraId="2FE03137">
      <w:pPr>
        <w:spacing w:before="183" w:line="361" w:lineRule="auto"/>
        <w:ind w:left="21" w:right="162" w:firstLine="491"/>
        <w:jc w:val="both"/>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）降低设备声级：设备选用上尽量采用低噪声设</w:t>
      </w:r>
      <w:r>
        <w:rPr>
          <w:rFonts w:ascii="宋体" w:hAnsi="宋体" w:eastAsia="宋体" w:cs="宋体"/>
          <w:spacing w:val="-5"/>
          <w:sz w:val="24"/>
          <w:szCs w:val="24"/>
        </w:rPr>
        <w:t>备，如以液压机械代替</w:t>
      </w:r>
      <w:r>
        <w:rPr>
          <w:rFonts w:ascii="宋体" w:hAnsi="宋体" w:eastAsia="宋体" w:cs="宋体"/>
          <w:sz w:val="24"/>
          <w:szCs w:val="24"/>
        </w:rPr>
        <w:t xml:space="preserve"> 燃油机械等；固定机械设备与挖土、运土机械，如挖</w:t>
      </w:r>
      <w:r>
        <w:rPr>
          <w:rFonts w:ascii="宋体" w:hAnsi="宋体" w:eastAsia="宋体" w:cs="宋体"/>
          <w:spacing w:val="-1"/>
          <w:sz w:val="24"/>
          <w:szCs w:val="24"/>
        </w:rPr>
        <w:t>土机、推土机等，可通过</w:t>
      </w:r>
      <w:r>
        <w:rPr>
          <w:rFonts w:ascii="宋体" w:hAnsi="宋体" w:eastAsia="宋体" w:cs="宋体"/>
          <w:sz w:val="24"/>
          <w:szCs w:val="24"/>
        </w:rPr>
        <w:t xml:space="preserve"> 排气管消声器和隔离发动机振动部件的方法降低噪声</w:t>
      </w:r>
      <w:r>
        <w:rPr>
          <w:rFonts w:ascii="宋体" w:hAnsi="宋体" w:eastAsia="宋体" w:cs="宋体"/>
          <w:spacing w:val="-1"/>
          <w:sz w:val="24"/>
          <w:szCs w:val="24"/>
        </w:rPr>
        <w:t>；对动力机械设备和运输</w:t>
      </w:r>
      <w:r>
        <w:rPr>
          <w:rFonts w:ascii="宋体" w:hAnsi="宋体" w:eastAsia="宋体" w:cs="宋体"/>
          <w:sz w:val="24"/>
          <w:szCs w:val="24"/>
        </w:rPr>
        <w:t xml:space="preserve"> </w:t>
      </w:r>
      <w:r>
        <w:rPr>
          <w:rFonts w:ascii="宋体" w:hAnsi="宋体" w:eastAsia="宋体" w:cs="宋体"/>
          <w:spacing w:val="-1"/>
          <w:sz w:val="24"/>
          <w:szCs w:val="24"/>
        </w:rPr>
        <w:t>车辆进行定期的维修、养护。</w:t>
      </w:r>
    </w:p>
    <w:p w14:paraId="0FF8A6A1">
      <w:pPr>
        <w:spacing w:before="76" w:line="222" w:lineRule="auto"/>
        <w:ind w:left="21"/>
        <w:outlineLvl w:val="1"/>
        <w:rPr>
          <w:rFonts w:ascii="黑体" w:hAnsi="黑体" w:eastAsia="黑体" w:cs="黑体"/>
          <w:sz w:val="28"/>
          <w:szCs w:val="28"/>
        </w:rPr>
      </w:pPr>
      <w:bookmarkStart w:id="106" w:name="bookmark96"/>
      <w:bookmarkEnd w:id="106"/>
      <w:bookmarkStart w:id="107" w:name="bookmark95"/>
      <w:bookmarkEnd w:id="107"/>
      <w:r>
        <w:rPr>
          <w:rFonts w:ascii="Times New Roman" w:hAnsi="Times New Roman" w:eastAsia="Times New Roman" w:cs="Times New Roman"/>
          <w:b/>
          <w:bCs/>
          <w:spacing w:val="-3"/>
          <w:sz w:val="28"/>
          <w:szCs w:val="28"/>
        </w:rPr>
        <w:t xml:space="preserve">7.3 </w:t>
      </w:r>
      <w:r>
        <w:rPr>
          <w:rFonts w:ascii="黑体" w:hAnsi="黑体" w:eastAsia="黑体" w:cs="黑体"/>
          <w:b/>
          <w:bCs/>
          <w:spacing w:val="-3"/>
          <w:sz w:val="28"/>
          <w:szCs w:val="28"/>
        </w:rPr>
        <w:t>废水污染影响及防治措施</w:t>
      </w:r>
    </w:p>
    <w:p w14:paraId="73C1562F">
      <w:pPr>
        <w:spacing w:before="258" w:line="219" w:lineRule="auto"/>
        <w:ind w:left="499"/>
        <w:outlineLvl w:val="2"/>
        <w:rPr>
          <w:rFonts w:ascii="宋体" w:hAnsi="宋体" w:eastAsia="宋体" w:cs="宋体"/>
          <w:sz w:val="24"/>
          <w:szCs w:val="24"/>
        </w:rPr>
      </w:pPr>
      <w:bookmarkStart w:id="108" w:name="bookmark206"/>
      <w:bookmarkEnd w:id="108"/>
      <w:r>
        <w:rPr>
          <w:rFonts w:ascii="Times New Roman" w:hAnsi="Times New Roman" w:eastAsia="Times New Roman" w:cs="Times New Roman"/>
          <w:b/>
          <w:bCs/>
          <w:spacing w:val="-2"/>
          <w:sz w:val="24"/>
          <w:szCs w:val="24"/>
        </w:rPr>
        <w:t xml:space="preserve">7.3.1 </w:t>
      </w:r>
      <w:r>
        <w:rPr>
          <w:rFonts w:ascii="宋体" w:hAnsi="宋体" w:eastAsia="宋体" w:cs="宋体"/>
          <w:b/>
          <w:bCs/>
          <w:spacing w:val="-2"/>
          <w:sz w:val="24"/>
          <w:szCs w:val="24"/>
        </w:rPr>
        <w:t>废水污染特征</w:t>
      </w:r>
    </w:p>
    <w:p w14:paraId="3BD0105E">
      <w:pPr>
        <w:spacing w:before="182" w:line="360" w:lineRule="auto"/>
        <w:ind w:left="22" w:right="162" w:firstLine="478"/>
        <w:rPr>
          <w:rFonts w:ascii="宋体" w:hAnsi="宋体" w:eastAsia="宋体" w:cs="宋体"/>
          <w:sz w:val="24"/>
          <w:szCs w:val="24"/>
        </w:rPr>
      </w:pPr>
      <w:r>
        <w:rPr>
          <w:rFonts w:ascii="宋体" w:hAnsi="宋体" w:eastAsia="宋体" w:cs="宋体"/>
          <w:sz w:val="24"/>
          <w:szCs w:val="24"/>
        </w:rPr>
        <w:t>施工期外排污水主要为施工活动生活污水，生活污</w:t>
      </w:r>
      <w:r>
        <w:rPr>
          <w:rFonts w:ascii="宋体" w:hAnsi="宋体" w:eastAsia="宋体" w:cs="宋体"/>
          <w:spacing w:val="-1"/>
          <w:sz w:val="24"/>
          <w:szCs w:val="24"/>
        </w:rPr>
        <w:t>水中含有大量的有机物</w:t>
      </w:r>
      <w:r>
        <w:rPr>
          <w:rFonts w:ascii="宋体" w:hAnsi="宋体" w:eastAsia="宋体" w:cs="宋体"/>
          <w:sz w:val="24"/>
          <w:szCs w:val="24"/>
        </w:rPr>
        <w:t xml:space="preserve"> </w:t>
      </w:r>
      <w:r>
        <w:rPr>
          <w:rFonts w:ascii="宋体" w:hAnsi="宋体" w:eastAsia="宋体" w:cs="宋体"/>
          <w:spacing w:val="-1"/>
          <w:sz w:val="24"/>
          <w:szCs w:val="24"/>
        </w:rPr>
        <w:t>和悬浮物。另外，冲洗路面、地坪和设备也将产生少量污水。</w:t>
      </w:r>
    </w:p>
    <w:p w14:paraId="26DA2492">
      <w:pPr>
        <w:spacing w:before="1" w:line="220" w:lineRule="auto"/>
        <w:ind w:left="499"/>
        <w:outlineLvl w:val="2"/>
        <w:rPr>
          <w:rFonts w:ascii="宋体" w:hAnsi="宋体" w:eastAsia="宋体" w:cs="宋体"/>
          <w:sz w:val="24"/>
          <w:szCs w:val="24"/>
        </w:rPr>
      </w:pPr>
      <w:bookmarkStart w:id="109" w:name="bookmark97"/>
      <w:bookmarkEnd w:id="109"/>
      <w:r>
        <w:rPr>
          <w:rFonts w:ascii="Times New Roman" w:hAnsi="Times New Roman" w:eastAsia="Times New Roman" w:cs="Times New Roman"/>
          <w:b/>
          <w:bCs/>
          <w:spacing w:val="-2"/>
          <w:sz w:val="24"/>
          <w:szCs w:val="24"/>
        </w:rPr>
        <w:t xml:space="preserve">7.3.2 </w:t>
      </w:r>
      <w:r>
        <w:rPr>
          <w:rFonts w:ascii="宋体" w:hAnsi="宋体" w:eastAsia="宋体" w:cs="宋体"/>
          <w:b/>
          <w:bCs/>
          <w:spacing w:val="-2"/>
          <w:sz w:val="24"/>
          <w:szCs w:val="24"/>
        </w:rPr>
        <w:t>影响分析及防治措施</w:t>
      </w:r>
    </w:p>
    <w:p w14:paraId="05083CB8">
      <w:pPr>
        <w:spacing w:before="181" w:line="291" w:lineRule="auto"/>
        <w:ind w:left="21" w:right="162" w:firstLine="49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）本项目为技改项目，生活污水依托现有生活污</w:t>
      </w:r>
      <w:r>
        <w:rPr>
          <w:rFonts w:ascii="宋体" w:hAnsi="宋体" w:eastAsia="宋体" w:cs="宋体"/>
          <w:spacing w:val="-5"/>
          <w:sz w:val="24"/>
          <w:szCs w:val="24"/>
        </w:rPr>
        <w:t>水处理设施处理，不外</w:t>
      </w:r>
      <w:r>
        <w:rPr>
          <w:rFonts w:ascii="宋体" w:hAnsi="宋体" w:eastAsia="宋体" w:cs="宋体"/>
          <w:sz w:val="24"/>
          <w:szCs w:val="24"/>
        </w:rPr>
        <w:t xml:space="preserve"> </w:t>
      </w:r>
      <w:r>
        <w:rPr>
          <w:rFonts w:ascii="宋体" w:hAnsi="宋体" w:eastAsia="宋体" w:cs="宋体"/>
          <w:spacing w:val="-5"/>
          <w:sz w:val="24"/>
          <w:szCs w:val="24"/>
        </w:rPr>
        <w:t>排。</w:t>
      </w:r>
    </w:p>
    <w:p w14:paraId="140256A6">
      <w:pPr>
        <w:spacing w:before="180" w:line="313" w:lineRule="auto"/>
        <w:ind w:left="21" w:right="202"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）生产废水一般产生设备清洗与养护过程，所</w:t>
      </w:r>
      <w:r>
        <w:rPr>
          <w:rFonts w:ascii="宋体" w:hAnsi="宋体" w:eastAsia="宋体" w:cs="宋体"/>
          <w:spacing w:val="-2"/>
          <w:sz w:val="24"/>
          <w:szCs w:val="24"/>
        </w:rPr>
        <w:t>含的污染物主要是</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SS</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设置沉淀池，对其进行适当的沉淀处理后可以回用于场地洒水抑尘，对土壤、</w:t>
      </w:r>
      <w:r>
        <w:rPr>
          <w:rFonts w:ascii="宋体" w:hAnsi="宋体" w:eastAsia="宋体" w:cs="宋体"/>
          <w:spacing w:val="17"/>
          <w:sz w:val="24"/>
          <w:szCs w:val="24"/>
        </w:rPr>
        <w:t xml:space="preserve"> </w:t>
      </w:r>
      <w:r>
        <w:rPr>
          <w:rFonts w:ascii="宋体" w:hAnsi="宋体" w:eastAsia="宋体" w:cs="宋体"/>
          <w:spacing w:val="-1"/>
          <w:sz w:val="24"/>
          <w:szCs w:val="24"/>
        </w:rPr>
        <w:t>地下水等环境的影响较小。</w:t>
      </w:r>
    </w:p>
    <w:p w14:paraId="3CA0D399">
      <w:pPr>
        <w:spacing w:before="182" w:line="362" w:lineRule="auto"/>
        <w:ind w:left="20" w:right="162" w:firstLine="480"/>
        <w:rPr>
          <w:rFonts w:ascii="宋体" w:hAnsi="宋体" w:eastAsia="宋体" w:cs="宋体"/>
          <w:sz w:val="24"/>
          <w:szCs w:val="24"/>
        </w:rPr>
      </w:pPr>
      <w:r>
        <w:rPr>
          <w:rFonts w:ascii="宋体" w:hAnsi="宋体" w:eastAsia="宋体" w:cs="宋体"/>
          <w:sz w:val="24"/>
          <w:szCs w:val="24"/>
        </w:rPr>
        <w:t>施工期产生的废水量较小，废水中污染物种类较简</w:t>
      </w:r>
      <w:r>
        <w:rPr>
          <w:rFonts w:ascii="宋体" w:hAnsi="宋体" w:eastAsia="宋体" w:cs="宋体"/>
          <w:spacing w:val="-1"/>
          <w:sz w:val="24"/>
          <w:szCs w:val="24"/>
        </w:rPr>
        <w:t>单，采取合理的预防措</w:t>
      </w:r>
      <w:r>
        <w:rPr>
          <w:rFonts w:ascii="宋体" w:hAnsi="宋体" w:eastAsia="宋体" w:cs="宋体"/>
          <w:sz w:val="24"/>
          <w:szCs w:val="24"/>
        </w:rPr>
        <w:t xml:space="preserve"> </w:t>
      </w:r>
      <w:r>
        <w:rPr>
          <w:rFonts w:ascii="宋体" w:hAnsi="宋体" w:eastAsia="宋体" w:cs="宋体"/>
          <w:spacing w:val="-1"/>
          <w:sz w:val="24"/>
          <w:szCs w:val="24"/>
        </w:rPr>
        <w:t>施后，不会对当地的水环境产生污染影响。</w:t>
      </w:r>
    </w:p>
    <w:p w14:paraId="7F1F80C3">
      <w:pPr>
        <w:spacing w:before="78" w:line="222" w:lineRule="auto"/>
        <w:ind w:left="21"/>
        <w:outlineLvl w:val="1"/>
        <w:rPr>
          <w:rFonts w:ascii="黑体" w:hAnsi="黑体" w:eastAsia="黑体" w:cs="黑体"/>
          <w:sz w:val="28"/>
          <w:szCs w:val="28"/>
        </w:rPr>
      </w:pPr>
      <w:bookmarkStart w:id="110" w:name="bookmark99"/>
      <w:bookmarkEnd w:id="110"/>
      <w:bookmarkStart w:id="111" w:name="bookmark98"/>
      <w:bookmarkEnd w:id="111"/>
      <w:r>
        <w:rPr>
          <w:rFonts w:ascii="Times New Roman" w:hAnsi="Times New Roman" w:eastAsia="Times New Roman" w:cs="Times New Roman"/>
          <w:b/>
          <w:bCs/>
          <w:spacing w:val="-4"/>
          <w:sz w:val="28"/>
          <w:szCs w:val="28"/>
        </w:rPr>
        <w:t>7.4</w:t>
      </w:r>
      <w:r>
        <w:rPr>
          <w:rFonts w:ascii="Times New Roman" w:hAnsi="Times New Roman" w:eastAsia="Times New Roman" w:cs="Times New Roman"/>
          <w:b/>
          <w:bCs/>
          <w:spacing w:val="24"/>
          <w:sz w:val="28"/>
          <w:szCs w:val="28"/>
        </w:rPr>
        <w:t xml:space="preserve"> </w:t>
      </w:r>
      <w:r>
        <w:rPr>
          <w:rFonts w:ascii="黑体" w:hAnsi="黑体" w:eastAsia="黑体" w:cs="黑体"/>
          <w:b/>
          <w:bCs/>
          <w:spacing w:val="-4"/>
          <w:sz w:val="28"/>
          <w:szCs w:val="28"/>
        </w:rPr>
        <w:t>固体废物影响及处置方法</w:t>
      </w:r>
    </w:p>
    <w:p w14:paraId="08A16969">
      <w:pPr>
        <w:spacing w:before="256" w:line="219" w:lineRule="auto"/>
        <w:ind w:left="499"/>
        <w:outlineLvl w:val="2"/>
        <w:rPr>
          <w:rFonts w:ascii="宋体" w:hAnsi="宋体" w:eastAsia="宋体" w:cs="宋体"/>
          <w:sz w:val="24"/>
          <w:szCs w:val="24"/>
        </w:rPr>
      </w:pPr>
      <w:bookmarkStart w:id="112" w:name="bookmark207"/>
      <w:bookmarkEnd w:id="112"/>
      <w:r>
        <w:rPr>
          <w:rFonts w:ascii="Times New Roman" w:hAnsi="Times New Roman" w:eastAsia="Times New Roman" w:cs="Times New Roman"/>
          <w:b/>
          <w:bCs/>
          <w:spacing w:val="-2"/>
          <w:sz w:val="24"/>
          <w:szCs w:val="24"/>
        </w:rPr>
        <w:t xml:space="preserve">7.4.1 </w:t>
      </w:r>
      <w:r>
        <w:rPr>
          <w:rFonts w:ascii="宋体" w:hAnsi="宋体" w:eastAsia="宋体" w:cs="宋体"/>
          <w:b/>
          <w:bCs/>
          <w:spacing w:val="-2"/>
          <w:sz w:val="24"/>
          <w:szCs w:val="24"/>
        </w:rPr>
        <w:t>施工期产生的固体废物及其影响</w:t>
      </w:r>
    </w:p>
    <w:p w14:paraId="2077907E">
      <w:pPr>
        <w:spacing w:before="183" w:line="360" w:lineRule="auto"/>
        <w:ind w:left="20" w:right="162" w:firstLine="480"/>
        <w:rPr>
          <w:rFonts w:ascii="宋体" w:hAnsi="宋体" w:eastAsia="宋体" w:cs="宋体"/>
          <w:sz w:val="24"/>
          <w:szCs w:val="24"/>
        </w:rPr>
      </w:pPr>
      <w:r>
        <w:rPr>
          <w:rFonts w:ascii="宋体" w:hAnsi="宋体" w:eastAsia="宋体" w:cs="宋体"/>
          <w:sz w:val="24"/>
          <w:szCs w:val="24"/>
        </w:rPr>
        <w:t>施工期产生的固体废物主要有挖掘土方及建筑施工</w:t>
      </w:r>
      <w:r>
        <w:rPr>
          <w:rFonts w:ascii="宋体" w:hAnsi="宋体" w:eastAsia="宋体" w:cs="宋体"/>
          <w:spacing w:val="-1"/>
          <w:sz w:val="24"/>
          <w:szCs w:val="24"/>
        </w:rPr>
        <w:t>和设备安装过程中产生</w:t>
      </w:r>
      <w:r>
        <w:rPr>
          <w:rFonts w:ascii="宋体" w:hAnsi="宋体" w:eastAsia="宋体" w:cs="宋体"/>
          <w:sz w:val="24"/>
          <w:szCs w:val="24"/>
        </w:rPr>
        <w:t xml:space="preserve"> 的废物及生活垃圾。如不及时清理和妥善处理，都将对</w:t>
      </w:r>
      <w:r>
        <w:rPr>
          <w:rFonts w:ascii="宋体" w:hAnsi="宋体" w:eastAsia="宋体" w:cs="宋体"/>
          <w:spacing w:val="-1"/>
          <w:sz w:val="24"/>
          <w:szCs w:val="24"/>
        </w:rPr>
        <w:t>厂容卫生、公众健康、</w:t>
      </w:r>
      <w:r>
        <w:rPr>
          <w:rFonts w:ascii="宋体" w:hAnsi="宋体" w:eastAsia="宋体" w:cs="宋体"/>
          <w:sz w:val="24"/>
          <w:szCs w:val="24"/>
        </w:rPr>
        <w:t xml:space="preserve"> </w:t>
      </w:r>
      <w:r>
        <w:rPr>
          <w:rFonts w:ascii="宋体" w:hAnsi="宋体" w:eastAsia="宋体" w:cs="宋体"/>
          <w:spacing w:val="-1"/>
          <w:sz w:val="24"/>
          <w:szCs w:val="24"/>
        </w:rPr>
        <w:t>道路交通及周围环境产生不利影响。</w:t>
      </w:r>
    </w:p>
    <w:p w14:paraId="44C9CAC4">
      <w:pPr>
        <w:spacing w:before="1" w:line="220" w:lineRule="auto"/>
        <w:ind w:left="499"/>
        <w:outlineLvl w:val="2"/>
        <w:rPr>
          <w:rFonts w:ascii="宋体" w:hAnsi="宋体" w:eastAsia="宋体" w:cs="宋体"/>
          <w:sz w:val="24"/>
          <w:szCs w:val="24"/>
        </w:rPr>
      </w:pPr>
      <w:bookmarkStart w:id="113" w:name="bookmark100"/>
      <w:bookmarkEnd w:id="113"/>
      <w:r>
        <w:rPr>
          <w:rFonts w:ascii="Times New Roman" w:hAnsi="Times New Roman" w:eastAsia="Times New Roman" w:cs="Times New Roman"/>
          <w:b/>
          <w:bCs/>
          <w:spacing w:val="-4"/>
          <w:sz w:val="24"/>
          <w:szCs w:val="24"/>
        </w:rPr>
        <w:t>7.4.2</w:t>
      </w:r>
      <w:r>
        <w:rPr>
          <w:rFonts w:ascii="Times New Roman" w:hAnsi="Times New Roman" w:eastAsia="Times New Roman" w:cs="Times New Roman"/>
          <w:b/>
          <w:bCs/>
          <w:spacing w:val="19"/>
          <w:sz w:val="24"/>
          <w:szCs w:val="24"/>
        </w:rPr>
        <w:t xml:space="preserve"> </w:t>
      </w:r>
      <w:r>
        <w:rPr>
          <w:rFonts w:ascii="宋体" w:hAnsi="宋体" w:eastAsia="宋体" w:cs="宋体"/>
          <w:b/>
          <w:bCs/>
          <w:spacing w:val="-4"/>
          <w:sz w:val="24"/>
          <w:szCs w:val="24"/>
        </w:rPr>
        <w:t>处置方法</w:t>
      </w:r>
    </w:p>
    <w:p w14:paraId="1D50A776">
      <w:pPr>
        <w:spacing w:before="181"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）施工场地内应设临时收集施工垃圾的垃圾站。</w:t>
      </w:r>
    </w:p>
    <w:p w14:paraId="353AB52C">
      <w:pPr>
        <w:spacing w:before="184" w:line="219" w:lineRule="auto"/>
        <w:ind w:left="5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）将施工期生活垃圾收集后送到指定的垃圾处理站统一处理。</w:t>
      </w:r>
    </w:p>
    <w:p w14:paraId="14D2E419">
      <w:pPr>
        <w:spacing w:before="183" w:line="290" w:lineRule="auto"/>
        <w:ind w:left="22" w:right="162" w:firstLine="4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）建设单位在施工期间对其产生的施工废物及时</w:t>
      </w:r>
      <w:r>
        <w:rPr>
          <w:rFonts w:ascii="宋体" w:hAnsi="宋体" w:eastAsia="宋体" w:cs="宋体"/>
          <w:spacing w:val="-5"/>
          <w:sz w:val="24"/>
          <w:szCs w:val="24"/>
        </w:rPr>
        <w:t>收集、清运，避免产生</w:t>
      </w:r>
      <w:r>
        <w:rPr>
          <w:rFonts w:ascii="宋体" w:hAnsi="宋体" w:eastAsia="宋体" w:cs="宋体"/>
          <w:sz w:val="24"/>
          <w:szCs w:val="24"/>
        </w:rPr>
        <w:t xml:space="preserve"> </w:t>
      </w:r>
      <w:r>
        <w:rPr>
          <w:rFonts w:ascii="宋体" w:hAnsi="宋体" w:eastAsia="宋体" w:cs="宋体"/>
          <w:spacing w:val="-4"/>
          <w:sz w:val="24"/>
          <w:szCs w:val="24"/>
        </w:rPr>
        <w:t>污染。</w:t>
      </w:r>
    </w:p>
    <w:p w14:paraId="49060485">
      <w:pPr>
        <w:spacing w:before="264" w:line="222" w:lineRule="auto"/>
        <w:ind w:left="21"/>
        <w:outlineLvl w:val="1"/>
        <w:rPr>
          <w:rFonts w:ascii="黑体" w:hAnsi="黑体" w:eastAsia="黑体" w:cs="黑体"/>
          <w:sz w:val="28"/>
          <w:szCs w:val="28"/>
        </w:rPr>
      </w:pPr>
      <w:bookmarkStart w:id="114" w:name="bookmark101"/>
      <w:bookmarkEnd w:id="114"/>
      <w:r>
        <w:rPr>
          <w:rFonts w:ascii="Times New Roman" w:hAnsi="Times New Roman" w:eastAsia="Times New Roman" w:cs="Times New Roman"/>
          <w:b/>
          <w:bCs/>
          <w:spacing w:val="-3"/>
          <w:sz w:val="28"/>
          <w:szCs w:val="28"/>
        </w:rPr>
        <w:t xml:space="preserve">7.5 </w:t>
      </w:r>
      <w:r>
        <w:rPr>
          <w:rFonts w:ascii="黑体" w:hAnsi="黑体" w:eastAsia="黑体" w:cs="黑体"/>
          <w:b/>
          <w:bCs/>
          <w:spacing w:val="-3"/>
          <w:sz w:val="28"/>
          <w:szCs w:val="28"/>
        </w:rPr>
        <w:t>生态环境影响及减缓措施</w:t>
      </w:r>
    </w:p>
    <w:p w14:paraId="73F51B26">
      <w:pPr>
        <w:spacing w:line="222" w:lineRule="auto"/>
        <w:rPr>
          <w:rFonts w:ascii="黑体" w:hAnsi="黑体" w:eastAsia="黑体" w:cs="黑体"/>
          <w:sz w:val="28"/>
          <w:szCs w:val="28"/>
        </w:rPr>
        <w:sectPr>
          <w:footerReference r:id="rId223" w:type="default"/>
          <w:pgSz w:w="11906" w:h="16839"/>
          <w:pgMar w:top="1208" w:right="1785" w:bottom="957" w:left="1785" w:header="825" w:footer="795" w:gutter="0"/>
          <w:cols w:space="720" w:num="1"/>
        </w:sectPr>
      </w:pPr>
    </w:p>
    <w:p w14:paraId="762C1384">
      <w:pPr>
        <w:pStyle w:val="2"/>
        <w:spacing w:line="265" w:lineRule="auto"/>
      </w:pPr>
    </w:p>
    <w:p w14:paraId="0B656CDA">
      <w:pPr>
        <w:spacing w:before="78" w:line="360" w:lineRule="auto"/>
        <w:ind w:left="21" w:right="162" w:firstLine="480"/>
        <w:jc w:val="both"/>
        <w:rPr>
          <w:rFonts w:ascii="宋体" w:hAnsi="宋体" w:eastAsia="宋体" w:cs="宋体"/>
          <w:sz w:val="24"/>
          <w:szCs w:val="24"/>
        </w:rPr>
      </w:pPr>
      <w:r>
        <w:rPr>
          <w:rFonts w:ascii="宋体" w:hAnsi="宋体" w:eastAsia="宋体" w:cs="宋体"/>
          <w:sz w:val="24"/>
          <w:szCs w:val="24"/>
        </w:rPr>
        <w:t>本项目属于技改项目，所有建设内容均在原厂</w:t>
      </w:r>
      <w:r>
        <w:rPr>
          <w:rFonts w:ascii="宋体" w:hAnsi="宋体" w:eastAsia="宋体" w:cs="宋体"/>
          <w:spacing w:val="-1"/>
          <w:sz w:val="24"/>
          <w:szCs w:val="24"/>
        </w:rPr>
        <w:t>区内进行，对生态环境造成</w:t>
      </w:r>
      <w:r>
        <w:rPr>
          <w:rFonts w:ascii="宋体" w:hAnsi="宋体" w:eastAsia="宋体" w:cs="宋体"/>
          <w:sz w:val="24"/>
          <w:szCs w:val="24"/>
        </w:rPr>
        <w:t xml:space="preserve"> 的影响较小。施工期为最大限度地减少施工作业对生</w:t>
      </w:r>
      <w:r>
        <w:rPr>
          <w:rFonts w:ascii="宋体" w:hAnsi="宋体" w:eastAsia="宋体" w:cs="宋体"/>
          <w:spacing w:val="-1"/>
          <w:sz w:val="24"/>
          <w:szCs w:val="24"/>
        </w:rPr>
        <w:t>态环境的影响，确保将生</w:t>
      </w:r>
      <w:r>
        <w:rPr>
          <w:rFonts w:ascii="宋体" w:hAnsi="宋体" w:eastAsia="宋体" w:cs="宋体"/>
          <w:sz w:val="24"/>
          <w:szCs w:val="24"/>
        </w:rPr>
        <w:t xml:space="preserve"> </w:t>
      </w:r>
      <w:r>
        <w:rPr>
          <w:rFonts w:ascii="宋体" w:hAnsi="宋体" w:eastAsia="宋体" w:cs="宋体"/>
          <w:spacing w:val="-1"/>
          <w:sz w:val="24"/>
          <w:szCs w:val="24"/>
        </w:rPr>
        <w:t>态环境影响降到最低程度，制定施工期生态环境保护措施。</w:t>
      </w:r>
    </w:p>
    <w:p w14:paraId="5045E289">
      <w:pPr>
        <w:spacing w:line="219" w:lineRule="auto"/>
        <w:ind w:left="499"/>
        <w:outlineLvl w:val="2"/>
        <w:rPr>
          <w:rFonts w:ascii="宋体" w:hAnsi="宋体" w:eastAsia="宋体" w:cs="宋体"/>
          <w:sz w:val="24"/>
          <w:szCs w:val="24"/>
        </w:rPr>
      </w:pPr>
      <w:bookmarkStart w:id="115" w:name="bookmark102"/>
      <w:bookmarkEnd w:id="115"/>
      <w:r>
        <w:rPr>
          <w:rFonts w:ascii="Times New Roman" w:hAnsi="Times New Roman" w:eastAsia="Times New Roman" w:cs="Times New Roman"/>
          <w:b/>
          <w:bCs/>
          <w:spacing w:val="-2"/>
          <w:sz w:val="24"/>
          <w:szCs w:val="24"/>
        </w:rPr>
        <w:t xml:space="preserve">7.5.1 </w:t>
      </w:r>
      <w:r>
        <w:rPr>
          <w:rFonts w:ascii="宋体" w:hAnsi="宋体" w:eastAsia="宋体" w:cs="宋体"/>
          <w:b/>
          <w:bCs/>
          <w:spacing w:val="-2"/>
          <w:sz w:val="24"/>
          <w:szCs w:val="24"/>
        </w:rPr>
        <w:t>土壤和植被的保护及影响的减缓措施</w:t>
      </w:r>
    </w:p>
    <w:p w14:paraId="0D64D184">
      <w:pPr>
        <w:spacing w:before="182" w:line="332" w:lineRule="auto"/>
        <w:ind w:left="21" w:right="101" w:firstLine="49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）施工期要加强管理，制定严格的施工操作规范</w:t>
      </w:r>
      <w:r>
        <w:rPr>
          <w:rFonts w:ascii="宋体" w:hAnsi="宋体" w:eastAsia="宋体" w:cs="宋体"/>
          <w:spacing w:val="-5"/>
          <w:sz w:val="24"/>
          <w:szCs w:val="24"/>
        </w:rPr>
        <w:t>，建立施工期生态环境</w:t>
      </w:r>
      <w:r>
        <w:rPr>
          <w:rFonts w:ascii="宋体" w:hAnsi="宋体" w:eastAsia="宋体" w:cs="宋体"/>
          <w:sz w:val="24"/>
          <w:szCs w:val="24"/>
        </w:rPr>
        <w:t xml:space="preserve"> 监理制度，施工前应修好施工便道，规定施工运输车</w:t>
      </w:r>
      <w:r>
        <w:rPr>
          <w:rFonts w:ascii="宋体" w:hAnsi="宋体" w:eastAsia="宋体" w:cs="宋体"/>
          <w:spacing w:val="-1"/>
          <w:sz w:val="24"/>
          <w:szCs w:val="24"/>
        </w:rPr>
        <w:t>辆路线，禁止运输车辆在</w:t>
      </w:r>
      <w:r>
        <w:rPr>
          <w:rFonts w:ascii="宋体" w:hAnsi="宋体" w:eastAsia="宋体" w:cs="宋体"/>
          <w:sz w:val="24"/>
          <w:szCs w:val="24"/>
        </w:rPr>
        <w:t xml:space="preserve"> 耕地上随意行驶；施工中必须划定施工范围，各种施</w:t>
      </w:r>
      <w:r>
        <w:rPr>
          <w:rFonts w:ascii="宋体" w:hAnsi="宋体" w:eastAsia="宋体" w:cs="宋体"/>
          <w:spacing w:val="-1"/>
          <w:sz w:val="24"/>
          <w:szCs w:val="24"/>
        </w:rPr>
        <w:t>工活动应严格控制在施工</w:t>
      </w:r>
      <w:r>
        <w:rPr>
          <w:rFonts w:ascii="宋体" w:hAnsi="宋体" w:eastAsia="宋体" w:cs="宋体"/>
          <w:sz w:val="24"/>
          <w:szCs w:val="24"/>
        </w:rPr>
        <w:t xml:space="preserve"> </w:t>
      </w:r>
      <w:r>
        <w:rPr>
          <w:rFonts w:ascii="宋体" w:hAnsi="宋体" w:eastAsia="宋体" w:cs="宋体"/>
          <w:spacing w:val="-5"/>
          <w:sz w:val="24"/>
          <w:szCs w:val="24"/>
        </w:rPr>
        <w:t>区域内，并将临时占地面积控制在最低限度，尽</w:t>
      </w:r>
      <w:r>
        <w:rPr>
          <w:rFonts w:ascii="宋体" w:hAnsi="宋体" w:eastAsia="宋体" w:cs="宋体"/>
          <w:spacing w:val="-6"/>
          <w:sz w:val="24"/>
          <w:szCs w:val="24"/>
        </w:rPr>
        <w:t>可能不破坏原有的植被和土壤，</w:t>
      </w:r>
      <w:r>
        <w:rPr>
          <w:rFonts w:ascii="宋体" w:hAnsi="宋体" w:eastAsia="宋体" w:cs="宋体"/>
          <w:sz w:val="24"/>
          <w:szCs w:val="24"/>
        </w:rPr>
        <w:t xml:space="preserve"> </w:t>
      </w:r>
      <w:r>
        <w:rPr>
          <w:rFonts w:ascii="宋体" w:hAnsi="宋体" w:eastAsia="宋体" w:cs="宋体"/>
          <w:spacing w:val="-1"/>
          <w:sz w:val="24"/>
          <w:szCs w:val="24"/>
        </w:rPr>
        <w:t>严禁破坏施工区周边的林地。</w:t>
      </w:r>
    </w:p>
    <w:p w14:paraId="02D5EC4B">
      <w:pPr>
        <w:spacing w:before="182" w:line="290" w:lineRule="auto"/>
        <w:ind w:left="22" w:right="162" w:firstLine="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）施工期临时用地等，在开挖地表、平整土地时，应将</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0</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
          <w:sz w:val="24"/>
          <w:szCs w:val="24"/>
        </w:rPr>
        <w:t>0</w:t>
      </w:r>
      <w:r>
        <w:rPr>
          <w:rFonts w:ascii="Times New Roman" w:hAnsi="Times New Roman" w:eastAsia="Times New Roman" w:cs="Times New Roman"/>
          <w:sz w:val="24"/>
          <w:szCs w:val="24"/>
        </w:rPr>
        <w:t>cm</w:t>
      </w:r>
      <w:r>
        <w:rPr>
          <w:rFonts w:ascii="宋体" w:hAnsi="宋体" w:eastAsia="宋体" w:cs="宋体"/>
          <w:spacing w:val="2"/>
          <w:sz w:val="24"/>
          <w:szCs w:val="24"/>
        </w:rPr>
        <w:t>表层</w:t>
      </w:r>
      <w:r>
        <w:rPr>
          <w:rFonts w:ascii="宋体" w:hAnsi="宋体" w:eastAsia="宋体" w:cs="宋体"/>
          <w:sz w:val="24"/>
          <w:szCs w:val="24"/>
        </w:rPr>
        <w:t xml:space="preserve"> </w:t>
      </w:r>
      <w:r>
        <w:rPr>
          <w:rFonts w:ascii="宋体" w:hAnsi="宋体" w:eastAsia="宋体" w:cs="宋体"/>
          <w:spacing w:val="-1"/>
          <w:sz w:val="24"/>
          <w:szCs w:val="24"/>
        </w:rPr>
        <w:t>土收集单独堆放，竣工后，将表土覆盖在原地表，以恢复植被。</w:t>
      </w:r>
    </w:p>
    <w:p w14:paraId="3BBA8C80">
      <w:pPr>
        <w:spacing w:before="183" w:line="289" w:lineRule="auto"/>
        <w:ind w:left="22" w:right="162"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）施工中临时占用和破坏的植被，在施工结束后</w:t>
      </w:r>
      <w:r>
        <w:rPr>
          <w:rFonts w:ascii="宋体" w:hAnsi="宋体" w:eastAsia="宋体" w:cs="宋体"/>
          <w:spacing w:val="-5"/>
          <w:sz w:val="24"/>
          <w:szCs w:val="24"/>
        </w:rPr>
        <w:t>要及时进行土地复垦和</w:t>
      </w:r>
      <w:r>
        <w:rPr>
          <w:rFonts w:ascii="宋体" w:hAnsi="宋体" w:eastAsia="宋体" w:cs="宋体"/>
          <w:sz w:val="24"/>
          <w:szCs w:val="24"/>
        </w:rPr>
        <w:t xml:space="preserve"> 植被恢复工作。植被恢复应采取人工措施种植</w:t>
      </w:r>
      <w:r>
        <w:rPr>
          <w:rFonts w:ascii="宋体" w:hAnsi="宋体" w:eastAsia="宋体" w:cs="宋体"/>
          <w:spacing w:val="-1"/>
          <w:sz w:val="24"/>
          <w:szCs w:val="24"/>
        </w:rPr>
        <w:t>当地牧草以加速植被恢复。</w:t>
      </w:r>
    </w:p>
    <w:p w14:paraId="79F2FD81">
      <w:pPr>
        <w:spacing w:before="185" w:line="313" w:lineRule="auto"/>
        <w:ind w:left="22" w:right="162"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）防止在施工过程中破坏生态环境，造成区域生</w:t>
      </w:r>
      <w:r>
        <w:rPr>
          <w:rFonts w:ascii="宋体" w:hAnsi="宋体" w:eastAsia="宋体" w:cs="宋体"/>
          <w:spacing w:val="-5"/>
          <w:sz w:val="24"/>
          <w:szCs w:val="24"/>
        </w:rPr>
        <w:t>态环境的恶化，应在施</w:t>
      </w:r>
      <w:r>
        <w:rPr>
          <w:rFonts w:ascii="宋体" w:hAnsi="宋体" w:eastAsia="宋体" w:cs="宋体"/>
          <w:sz w:val="24"/>
          <w:szCs w:val="24"/>
        </w:rPr>
        <w:t xml:space="preserve"> 工期实施施工期环境监理。监督与管理环境保护措</w:t>
      </w:r>
      <w:r>
        <w:rPr>
          <w:rFonts w:ascii="宋体" w:hAnsi="宋体" w:eastAsia="宋体" w:cs="宋体"/>
          <w:spacing w:val="-1"/>
          <w:sz w:val="24"/>
          <w:szCs w:val="24"/>
        </w:rPr>
        <w:t>施的执行与落实，减缓施工</w:t>
      </w:r>
      <w:r>
        <w:rPr>
          <w:rFonts w:ascii="宋体" w:hAnsi="宋体" w:eastAsia="宋体" w:cs="宋体"/>
          <w:sz w:val="24"/>
          <w:szCs w:val="24"/>
        </w:rPr>
        <w:t xml:space="preserve"> </w:t>
      </w:r>
      <w:r>
        <w:rPr>
          <w:rFonts w:ascii="宋体" w:hAnsi="宋体" w:eastAsia="宋体" w:cs="宋体"/>
          <w:spacing w:val="-1"/>
          <w:sz w:val="24"/>
          <w:szCs w:val="24"/>
        </w:rPr>
        <w:t>过程中对生态环境的影响。</w:t>
      </w:r>
    </w:p>
    <w:p w14:paraId="566CA6FE">
      <w:pPr>
        <w:spacing w:before="182" w:line="220" w:lineRule="auto"/>
        <w:ind w:left="499"/>
        <w:outlineLvl w:val="2"/>
        <w:rPr>
          <w:rFonts w:ascii="宋体" w:hAnsi="宋体" w:eastAsia="宋体" w:cs="宋体"/>
          <w:sz w:val="24"/>
          <w:szCs w:val="24"/>
        </w:rPr>
      </w:pPr>
      <w:bookmarkStart w:id="116" w:name="bookmark103"/>
      <w:bookmarkEnd w:id="116"/>
      <w:r>
        <w:rPr>
          <w:rFonts w:ascii="Times New Roman" w:hAnsi="Times New Roman" w:eastAsia="Times New Roman" w:cs="Times New Roman"/>
          <w:b/>
          <w:bCs/>
          <w:spacing w:val="-2"/>
          <w:sz w:val="24"/>
          <w:szCs w:val="24"/>
        </w:rPr>
        <w:t xml:space="preserve">7.5.2 </w:t>
      </w:r>
      <w:r>
        <w:rPr>
          <w:rFonts w:ascii="宋体" w:hAnsi="宋体" w:eastAsia="宋体" w:cs="宋体"/>
          <w:b/>
          <w:bCs/>
          <w:spacing w:val="-2"/>
          <w:sz w:val="24"/>
          <w:szCs w:val="24"/>
        </w:rPr>
        <w:t>野生动物的保护措施</w:t>
      </w:r>
    </w:p>
    <w:p w14:paraId="18B4FD9F">
      <w:pPr>
        <w:spacing w:before="182" w:line="362" w:lineRule="auto"/>
        <w:ind w:left="21" w:right="162" w:firstLine="482"/>
        <w:rPr>
          <w:rFonts w:ascii="宋体" w:hAnsi="宋体" w:eastAsia="宋体" w:cs="宋体"/>
          <w:sz w:val="24"/>
          <w:szCs w:val="24"/>
        </w:rPr>
      </w:pPr>
      <w:r>
        <w:rPr>
          <w:rFonts w:ascii="宋体" w:hAnsi="宋体" w:eastAsia="宋体" w:cs="宋体"/>
          <w:spacing w:val="-1"/>
          <w:sz w:val="24"/>
          <w:szCs w:val="24"/>
        </w:rPr>
        <w:t>各种施工作业不得干扰和破坏野生动物的活动场所，严禁施工人员等滥捕</w:t>
      </w:r>
      <w:r>
        <w:rPr>
          <w:rFonts w:ascii="宋体" w:hAnsi="宋体" w:eastAsia="宋体" w:cs="宋体"/>
          <w:spacing w:val="18"/>
          <w:sz w:val="24"/>
          <w:szCs w:val="24"/>
        </w:rPr>
        <w:t xml:space="preserve"> </w:t>
      </w:r>
      <w:r>
        <w:rPr>
          <w:rFonts w:ascii="宋体" w:hAnsi="宋体" w:eastAsia="宋体" w:cs="宋体"/>
          <w:sz w:val="24"/>
          <w:szCs w:val="24"/>
        </w:rPr>
        <w:t>滥猎野生动物。施工中加强野生动物的保护，尤其是</w:t>
      </w:r>
      <w:r>
        <w:rPr>
          <w:rFonts w:ascii="宋体" w:hAnsi="宋体" w:eastAsia="宋体" w:cs="宋体"/>
          <w:spacing w:val="-1"/>
          <w:sz w:val="24"/>
          <w:szCs w:val="24"/>
        </w:rPr>
        <w:t>鸟类和珍稀动物的保护。</w:t>
      </w:r>
    </w:p>
    <w:p w14:paraId="04119623">
      <w:pPr>
        <w:spacing w:before="76" w:line="222" w:lineRule="auto"/>
        <w:ind w:left="21"/>
        <w:outlineLvl w:val="1"/>
        <w:rPr>
          <w:rFonts w:ascii="黑体" w:hAnsi="黑体" w:eastAsia="黑体" w:cs="黑体"/>
          <w:sz w:val="28"/>
          <w:szCs w:val="28"/>
        </w:rPr>
      </w:pPr>
      <w:bookmarkStart w:id="117" w:name="bookmark104"/>
      <w:bookmarkEnd w:id="117"/>
      <w:r>
        <w:rPr>
          <w:rFonts w:ascii="Times New Roman" w:hAnsi="Times New Roman" w:eastAsia="Times New Roman" w:cs="Times New Roman"/>
          <w:b/>
          <w:bCs/>
          <w:spacing w:val="-3"/>
          <w:sz w:val="28"/>
          <w:szCs w:val="28"/>
        </w:rPr>
        <w:t xml:space="preserve">7.6 </w:t>
      </w:r>
      <w:r>
        <w:rPr>
          <w:rFonts w:ascii="黑体" w:hAnsi="黑体" w:eastAsia="黑体" w:cs="黑体"/>
          <w:b/>
          <w:bCs/>
          <w:spacing w:val="-3"/>
          <w:sz w:val="28"/>
          <w:szCs w:val="28"/>
        </w:rPr>
        <w:t>土壤环境影响及防治对策措施</w:t>
      </w:r>
    </w:p>
    <w:p w14:paraId="3D127DD4">
      <w:pPr>
        <w:spacing w:before="259" w:line="313" w:lineRule="auto"/>
        <w:ind w:left="22" w:right="162" w:firstLine="4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）施工期应避免在春季大风季节及夏季暴雨时节</w:t>
      </w:r>
      <w:r>
        <w:rPr>
          <w:rFonts w:ascii="宋体" w:hAnsi="宋体" w:eastAsia="宋体" w:cs="宋体"/>
          <w:spacing w:val="-5"/>
          <w:sz w:val="24"/>
          <w:szCs w:val="24"/>
        </w:rPr>
        <w:t>施工作业，各种施工尽</w:t>
      </w:r>
      <w:r>
        <w:rPr>
          <w:rFonts w:ascii="宋体" w:hAnsi="宋体" w:eastAsia="宋体" w:cs="宋体"/>
          <w:sz w:val="24"/>
          <w:szCs w:val="24"/>
        </w:rPr>
        <w:t xml:space="preserve"> 可能缩短施工时间，提高工程施工效率，减少自</w:t>
      </w:r>
      <w:r>
        <w:rPr>
          <w:rFonts w:ascii="宋体" w:hAnsi="宋体" w:eastAsia="宋体" w:cs="宋体"/>
          <w:spacing w:val="-1"/>
          <w:sz w:val="24"/>
          <w:szCs w:val="24"/>
        </w:rPr>
        <w:t>然植被的破坏和减少裸露地。</w:t>
      </w:r>
      <w:r>
        <w:rPr>
          <w:rFonts w:ascii="宋体" w:hAnsi="宋体" w:eastAsia="宋体" w:cs="宋体"/>
          <w:sz w:val="24"/>
          <w:szCs w:val="24"/>
        </w:rPr>
        <w:t xml:space="preserve"> </w:t>
      </w:r>
      <w:r>
        <w:rPr>
          <w:rFonts w:ascii="宋体" w:hAnsi="宋体" w:eastAsia="宋体" w:cs="宋体"/>
          <w:spacing w:val="-2"/>
          <w:sz w:val="24"/>
          <w:szCs w:val="24"/>
        </w:rPr>
        <w:t>防止土壤侵蚀。</w:t>
      </w:r>
    </w:p>
    <w:p w14:paraId="4E0F535A">
      <w:pPr>
        <w:spacing w:before="181" w:line="290" w:lineRule="auto"/>
        <w:ind w:left="22" w:right="162"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）对于施工破坏区和临时占地，施工完毕，应及</w:t>
      </w:r>
      <w:r>
        <w:rPr>
          <w:rFonts w:ascii="宋体" w:hAnsi="宋体" w:eastAsia="宋体" w:cs="宋体"/>
          <w:spacing w:val="-5"/>
          <w:sz w:val="24"/>
          <w:szCs w:val="24"/>
        </w:rPr>
        <w:t>时对施工中被破坏、扰</w:t>
      </w:r>
      <w:r>
        <w:rPr>
          <w:rFonts w:ascii="宋体" w:hAnsi="宋体" w:eastAsia="宋体" w:cs="宋体"/>
          <w:sz w:val="24"/>
          <w:szCs w:val="24"/>
        </w:rPr>
        <w:t xml:space="preserve"> 动的土进行平整，种植适合当地的牧草和灌木，</w:t>
      </w:r>
      <w:r>
        <w:rPr>
          <w:rFonts w:ascii="宋体" w:hAnsi="宋体" w:eastAsia="宋体" w:cs="宋体"/>
          <w:spacing w:val="-1"/>
          <w:sz w:val="24"/>
          <w:szCs w:val="24"/>
        </w:rPr>
        <w:t>以防止产生新的土壤侵蚀。</w:t>
      </w:r>
    </w:p>
    <w:p w14:paraId="0A9000A6">
      <w:pPr>
        <w:spacing w:before="183" w:line="313" w:lineRule="auto"/>
        <w:ind w:left="21" w:right="101" w:firstLine="491"/>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3</w:t>
      </w:r>
      <w:r>
        <w:rPr>
          <w:rFonts w:ascii="宋体" w:hAnsi="宋体" w:eastAsia="宋体" w:cs="宋体"/>
          <w:spacing w:val="-9"/>
          <w:sz w:val="24"/>
          <w:szCs w:val="24"/>
        </w:rPr>
        <w:t>）施工中产生的废弃土石，要合理安置</w:t>
      </w:r>
      <w:r>
        <w:rPr>
          <w:rFonts w:ascii="宋体" w:hAnsi="宋体" w:eastAsia="宋体" w:cs="宋体"/>
          <w:spacing w:val="-10"/>
          <w:sz w:val="24"/>
          <w:szCs w:val="24"/>
        </w:rPr>
        <w:t>，不得将废弃土石任意裸露弃置，</w:t>
      </w:r>
      <w:r>
        <w:rPr>
          <w:rFonts w:ascii="宋体" w:hAnsi="宋体" w:eastAsia="宋体" w:cs="宋体"/>
          <w:sz w:val="24"/>
          <w:szCs w:val="24"/>
        </w:rPr>
        <w:t xml:space="preserve"> 应与当地政府和水保部门协商，排到不易产生水土流失的环境中，布设拦渣、</w:t>
      </w:r>
      <w:r>
        <w:rPr>
          <w:rFonts w:ascii="宋体" w:hAnsi="宋体" w:eastAsia="宋体" w:cs="宋体"/>
          <w:spacing w:val="15"/>
          <w:sz w:val="24"/>
          <w:szCs w:val="24"/>
        </w:rPr>
        <w:t xml:space="preserve"> </w:t>
      </w:r>
      <w:r>
        <w:rPr>
          <w:rFonts w:ascii="宋体" w:hAnsi="宋体" w:eastAsia="宋体" w:cs="宋体"/>
          <w:spacing w:val="-1"/>
          <w:sz w:val="24"/>
          <w:szCs w:val="24"/>
        </w:rPr>
        <w:t>护渣及导流设施。以免遇强暴雨引起严重的水土流失。</w:t>
      </w:r>
    </w:p>
    <w:p w14:paraId="52312A79">
      <w:pPr>
        <w:spacing w:line="313" w:lineRule="auto"/>
        <w:rPr>
          <w:rFonts w:ascii="宋体" w:hAnsi="宋体" w:eastAsia="宋体" w:cs="宋体"/>
          <w:sz w:val="24"/>
          <w:szCs w:val="24"/>
        </w:rPr>
        <w:sectPr>
          <w:footerReference r:id="rId224" w:type="default"/>
          <w:pgSz w:w="11906" w:h="16839"/>
          <w:pgMar w:top="1208" w:right="1785" w:bottom="957" w:left="1785" w:header="825" w:footer="795" w:gutter="0"/>
          <w:cols w:space="720" w:num="1"/>
        </w:sectPr>
      </w:pPr>
    </w:p>
    <w:p w14:paraId="4F62AE37">
      <w:pPr>
        <w:spacing w:before="271" w:line="222" w:lineRule="auto"/>
        <w:ind w:left="19"/>
        <w:outlineLvl w:val="0"/>
        <w:rPr>
          <w:rFonts w:ascii="黑体" w:hAnsi="黑体" w:eastAsia="黑体" w:cs="黑体"/>
          <w:sz w:val="28"/>
          <w:szCs w:val="28"/>
        </w:rPr>
      </w:pPr>
      <w:bookmarkStart w:id="118" w:name="bookmark105"/>
      <w:bookmarkEnd w:id="118"/>
      <w:r>
        <w:rPr>
          <w:rFonts w:ascii="黑体" w:hAnsi="黑体" w:eastAsia="黑体" w:cs="黑体"/>
          <w:b/>
          <w:bCs/>
          <w:spacing w:val="-3"/>
          <w:sz w:val="28"/>
          <w:szCs w:val="28"/>
        </w:rPr>
        <w:t>8</w:t>
      </w:r>
      <w:r>
        <w:rPr>
          <w:rFonts w:ascii="黑体" w:hAnsi="黑体" w:eastAsia="黑体" w:cs="黑体"/>
          <w:spacing w:val="-3"/>
          <w:sz w:val="28"/>
          <w:szCs w:val="28"/>
        </w:rPr>
        <w:t xml:space="preserve"> </w:t>
      </w:r>
      <w:r>
        <w:rPr>
          <w:rFonts w:ascii="黑体" w:hAnsi="黑体" w:eastAsia="黑体" w:cs="黑体"/>
          <w:b/>
          <w:bCs/>
          <w:spacing w:val="-3"/>
          <w:sz w:val="28"/>
          <w:szCs w:val="28"/>
        </w:rPr>
        <w:t>运营期环境影响预测及评价</w:t>
      </w:r>
    </w:p>
    <w:p w14:paraId="2288C1DD">
      <w:pPr>
        <w:pStyle w:val="2"/>
        <w:spacing w:line="271" w:lineRule="auto"/>
      </w:pPr>
    </w:p>
    <w:p w14:paraId="7D6A5D64">
      <w:pPr>
        <w:spacing w:before="91" w:line="222" w:lineRule="auto"/>
        <w:ind w:left="21"/>
        <w:outlineLvl w:val="1"/>
        <w:rPr>
          <w:rFonts w:ascii="黑体" w:hAnsi="黑体" w:eastAsia="黑体" w:cs="黑体"/>
          <w:sz w:val="28"/>
          <w:szCs w:val="28"/>
        </w:rPr>
      </w:pPr>
      <w:bookmarkStart w:id="119" w:name="bookmark106"/>
      <w:bookmarkEnd w:id="119"/>
      <w:bookmarkStart w:id="120" w:name="bookmark107"/>
      <w:bookmarkEnd w:id="120"/>
      <w:r>
        <w:rPr>
          <w:rFonts w:ascii="Times New Roman" w:hAnsi="Times New Roman" w:eastAsia="Times New Roman" w:cs="Times New Roman"/>
          <w:b/>
          <w:bCs/>
          <w:spacing w:val="-3"/>
          <w:sz w:val="28"/>
          <w:szCs w:val="28"/>
        </w:rPr>
        <w:t xml:space="preserve">8.1 </w:t>
      </w:r>
      <w:r>
        <w:rPr>
          <w:rFonts w:ascii="黑体" w:hAnsi="黑体" w:eastAsia="黑体" w:cs="黑体"/>
          <w:b/>
          <w:bCs/>
          <w:spacing w:val="-3"/>
          <w:sz w:val="28"/>
          <w:szCs w:val="28"/>
        </w:rPr>
        <w:t>环境空气影响评价</w:t>
      </w:r>
    </w:p>
    <w:p w14:paraId="178AD7EA">
      <w:pPr>
        <w:spacing w:before="255" w:line="219" w:lineRule="auto"/>
        <w:ind w:left="500"/>
        <w:outlineLvl w:val="2"/>
        <w:rPr>
          <w:rFonts w:ascii="宋体" w:hAnsi="宋体" w:eastAsia="宋体" w:cs="宋体"/>
          <w:sz w:val="24"/>
          <w:szCs w:val="24"/>
        </w:rPr>
      </w:pPr>
      <w:bookmarkStart w:id="121" w:name="bookmark208"/>
      <w:bookmarkEnd w:id="121"/>
      <w:r>
        <w:rPr>
          <w:rFonts w:ascii="Times New Roman" w:hAnsi="Times New Roman" w:eastAsia="Times New Roman" w:cs="Times New Roman"/>
          <w:b/>
          <w:bCs/>
          <w:spacing w:val="-2"/>
          <w:sz w:val="24"/>
          <w:szCs w:val="24"/>
        </w:rPr>
        <w:t xml:space="preserve">8.1.1 </w:t>
      </w:r>
      <w:r>
        <w:rPr>
          <w:rFonts w:ascii="宋体" w:hAnsi="宋体" w:eastAsia="宋体" w:cs="宋体"/>
          <w:b/>
          <w:bCs/>
          <w:spacing w:val="-2"/>
          <w:sz w:val="24"/>
          <w:szCs w:val="24"/>
        </w:rPr>
        <w:t>技改工程完成后污染源</w:t>
      </w:r>
    </w:p>
    <w:p w14:paraId="67673BF8">
      <w:pPr>
        <w:spacing w:before="182" w:line="360" w:lineRule="auto"/>
        <w:ind w:left="22" w:right="162" w:firstLine="480"/>
        <w:jc w:val="both"/>
        <w:rPr>
          <w:rFonts w:ascii="宋体" w:hAnsi="宋体" w:eastAsia="宋体" w:cs="宋体"/>
          <w:sz w:val="24"/>
          <w:szCs w:val="24"/>
        </w:rPr>
      </w:pPr>
      <w:r>
        <w:rPr>
          <w:rFonts w:ascii="宋体" w:hAnsi="宋体" w:eastAsia="宋体" w:cs="宋体"/>
          <w:spacing w:val="-3"/>
          <w:sz w:val="24"/>
          <w:szCs w:val="24"/>
        </w:rPr>
        <w:t>技改工程正常排放情况下的污染源统计情况见表</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8.1-1</w:t>
      </w:r>
      <w:r>
        <w:rPr>
          <w:rFonts w:ascii="宋体" w:hAnsi="宋体" w:eastAsia="宋体" w:cs="宋体"/>
          <w:spacing w:val="-4"/>
          <w:sz w:val="24"/>
          <w:szCs w:val="24"/>
        </w:rPr>
        <w:t>、</w:t>
      </w:r>
      <w:r>
        <w:rPr>
          <w:rFonts w:ascii="Times New Roman" w:hAnsi="Times New Roman" w:eastAsia="Times New Roman" w:cs="Times New Roman"/>
          <w:spacing w:val="-4"/>
          <w:sz w:val="24"/>
          <w:szCs w:val="24"/>
        </w:rPr>
        <w:t>8.1-2</w:t>
      </w:r>
      <w:r>
        <w:rPr>
          <w:rFonts w:ascii="宋体" w:hAnsi="宋体" w:eastAsia="宋体" w:cs="宋体"/>
          <w:spacing w:val="-4"/>
          <w:sz w:val="24"/>
          <w:szCs w:val="24"/>
        </w:rPr>
        <w:t>，非正常排放</w:t>
      </w:r>
      <w:r>
        <w:rPr>
          <w:rFonts w:ascii="宋体" w:hAnsi="宋体" w:eastAsia="宋体" w:cs="宋体"/>
          <w:sz w:val="24"/>
          <w:szCs w:val="24"/>
        </w:rPr>
        <w:t xml:space="preserve"> </w:t>
      </w:r>
      <w:r>
        <w:rPr>
          <w:rFonts w:ascii="宋体" w:hAnsi="宋体" w:eastAsia="宋体" w:cs="宋体"/>
          <w:spacing w:val="-3"/>
          <w:sz w:val="24"/>
          <w:szCs w:val="24"/>
        </w:rPr>
        <w:t>情况下的污染源统计情况见表</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8.1-3</w:t>
      </w:r>
      <w:r>
        <w:rPr>
          <w:rFonts w:ascii="宋体" w:hAnsi="宋体" w:eastAsia="宋体" w:cs="宋体"/>
          <w:spacing w:val="-3"/>
          <w:sz w:val="24"/>
          <w:szCs w:val="24"/>
        </w:rPr>
        <w:t>，非正常排放情况考虑粗碎车间或中间堆场</w:t>
      </w:r>
      <w:r>
        <w:rPr>
          <w:rFonts w:ascii="宋体" w:hAnsi="宋体" w:eastAsia="宋体" w:cs="宋体"/>
          <w:sz w:val="24"/>
          <w:szCs w:val="24"/>
        </w:rPr>
        <w:t xml:space="preserve"> </w:t>
      </w:r>
      <w:r>
        <w:rPr>
          <w:rFonts w:ascii="宋体" w:hAnsi="宋体" w:eastAsia="宋体" w:cs="宋体"/>
          <w:spacing w:val="-2"/>
          <w:sz w:val="24"/>
          <w:szCs w:val="24"/>
        </w:rPr>
        <w:t>除尘器布袋破损，除尘效率降低到</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80%</w:t>
      </w:r>
      <w:r>
        <w:rPr>
          <w:rFonts w:ascii="宋体" w:hAnsi="宋体" w:eastAsia="宋体" w:cs="宋体"/>
          <w:spacing w:val="-2"/>
          <w:sz w:val="24"/>
          <w:szCs w:val="24"/>
        </w:rPr>
        <w:t>。</w:t>
      </w:r>
    </w:p>
    <w:p w14:paraId="484CDBBB">
      <w:pPr>
        <w:spacing w:before="2" w:line="361" w:lineRule="auto"/>
        <w:ind w:left="21" w:right="162" w:firstLine="479"/>
        <w:rPr>
          <w:rFonts w:ascii="宋体" w:hAnsi="宋体" w:eastAsia="宋体" w:cs="宋体"/>
          <w:sz w:val="24"/>
          <w:szCs w:val="24"/>
        </w:rPr>
      </w:pPr>
      <w:r>
        <w:rPr>
          <w:rFonts w:ascii="宋体" w:hAnsi="宋体" w:eastAsia="宋体" w:cs="宋体"/>
          <w:sz w:val="24"/>
          <w:szCs w:val="24"/>
        </w:rPr>
        <w:t>对于非正常排放，应制定具体的应急预案，平日加</w:t>
      </w:r>
      <w:r>
        <w:rPr>
          <w:rFonts w:ascii="宋体" w:hAnsi="宋体" w:eastAsia="宋体" w:cs="宋体"/>
          <w:spacing w:val="-1"/>
          <w:sz w:val="24"/>
          <w:szCs w:val="24"/>
        </w:rPr>
        <w:t>强设备的巡检、维修、</w:t>
      </w:r>
      <w:r>
        <w:rPr>
          <w:rFonts w:ascii="宋体" w:hAnsi="宋体" w:eastAsia="宋体" w:cs="宋体"/>
          <w:sz w:val="24"/>
          <w:szCs w:val="24"/>
        </w:rPr>
        <w:t xml:space="preserve"> 保养，尽量避免非正常事故的发生。一旦发生事故，</w:t>
      </w:r>
      <w:r>
        <w:rPr>
          <w:rFonts w:ascii="宋体" w:hAnsi="宋体" w:eastAsia="宋体" w:cs="宋体"/>
          <w:spacing w:val="-1"/>
          <w:sz w:val="24"/>
          <w:szCs w:val="24"/>
        </w:rPr>
        <w:t>应快速做出回应，停止生</w:t>
      </w:r>
      <w:r>
        <w:rPr>
          <w:rFonts w:ascii="宋体" w:hAnsi="宋体" w:eastAsia="宋体" w:cs="宋体"/>
          <w:sz w:val="24"/>
          <w:szCs w:val="24"/>
        </w:rPr>
        <w:t xml:space="preserve"> 产，尽快修复相关设备，降低风险事故带来的环</w:t>
      </w:r>
      <w:r>
        <w:rPr>
          <w:rFonts w:ascii="宋体" w:hAnsi="宋体" w:eastAsia="宋体" w:cs="宋体"/>
          <w:spacing w:val="-1"/>
          <w:sz w:val="24"/>
          <w:szCs w:val="24"/>
        </w:rPr>
        <w:t>境影响，减少生产损失。</w:t>
      </w:r>
    </w:p>
    <w:p w14:paraId="4FEB6DBF">
      <w:pPr>
        <w:spacing w:line="361" w:lineRule="auto"/>
        <w:rPr>
          <w:rFonts w:ascii="宋体" w:hAnsi="宋体" w:eastAsia="宋体" w:cs="宋体"/>
          <w:sz w:val="24"/>
          <w:szCs w:val="24"/>
        </w:rPr>
        <w:sectPr>
          <w:footerReference r:id="rId225" w:type="default"/>
          <w:pgSz w:w="11906" w:h="16839"/>
          <w:pgMar w:top="1208" w:right="1785" w:bottom="957" w:left="1785" w:header="825" w:footer="795" w:gutter="0"/>
          <w:cols w:space="720" w:num="1"/>
        </w:sectPr>
      </w:pPr>
    </w:p>
    <w:p w14:paraId="3D27A98A">
      <w:pPr>
        <w:pStyle w:val="2"/>
        <w:spacing w:line="347" w:lineRule="auto"/>
      </w:pPr>
    </w:p>
    <w:p w14:paraId="58FC66B6">
      <w:pPr>
        <w:pStyle w:val="2"/>
        <w:spacing w:line="348" w:lineRule="auto"/>
      </w:pPr>
    </w:p>
    <w:p w14:paraId="01879173">
      <w:pPr>
        <w:spacing w:before="65" w:line="223" w:lineRule="auto"/>
        <w:ind w:left="496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 xml:space="preserve">1-1    </w:t>
      </w:r>
      <w:r>
        <w:rPr>
          <w:rFonts w:ascii="宋体" w:hAnsi="宋体" w:eastAsia="宋体" w:cs="宋体"/>
          <w:spacing w:val="6"/>
          <w:sz w:val="20"/>
          <w:szCs w:val="20"/>
        </w:rPr>
        <w:t>项目技改工程完成后点源污</w:t>
      </w:r>
      <w:r>
        <w:rPr>
          <w:rFonts w:ascii="宋体" w:hAnsi="宋体" w:eastAsia="宋体" w:cs="宋体"/>
          <w:spacing w:val="5"/>
          <w:sz w:val="20"/>
          <w:szCs w:val="20"/>
        </w:rPr>
        <w:t>染源统计</w:t>
      </w:r>
    </w:p>
    <w:tbl>
      <w:tblPr>
        <w:tblStyle w:val="5"/>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1838"/>
        <w:gridCol w:w="1275"/>
        <w:gridCol w:w="1293"/>
        <w:gridCol w:w="1353"/>
        <w:gridCol w:w="859"/>
        <w:gridCol w:w="1078"/>
        <w:gridCol w:w="1199"/>
        <w:gridCol w:w="845"/>
        <w:gridCol w:w="1077"/>
        <w:gridCol w:w="1094"/>
        <w:gridCol w:w="1725"/>
      </w:tblGrid>
      <w:tr w14:paraId="409B0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42" w:type="dxa"/>
            <w:vMerge w:val="restart"/>
            <w:tcBorders>
              <w:bottom w:val="nil"/>
            </w:tcBorders>
            <w:vAlign w:val="top"/>
          </w:tcPr>
          <w:p w14:paraId="627A3950">
            <w:pPr>
              <w:spacing w:line="250" w:lineRule="auto"/>
              <w:rPr>
                <w:rFonts w:ascii="Arial"/>
                <w:sz w:val="21"/>
              </w:rPr>
            </w:pPr>
          </w:p>
          <w:p w14:paraId="369EE029">
            <w:pPr>
              <w:pStyle w:val="6"/>
              <w:spacing w:before="65" w:line="228" w:lineRule="auto"/>
              <w:ind w:left="67"/>
            </w:pPr>
            <w:r>
              <w:rPr>
                <w:spacing w:val="3"/>
              </w:rPr>
              <w:t>编号</w:t>
            </w:r>
          </w:p>
        </w:tc>
        <w:tc>
          <w:tcPr>
            <w:tcW w:w="1838" w:type="dxa"/>
            <w:vMerge w:val="restart"/>
            <w:tcBorders>
              <w:bottom w:val="nil"/>
            </w:tcBorders>
            <w:vAlign w:val="top"/>
          </w:tcPr>
          <w:p w14:paraId="21BD8EC2">
            <w:pPr>
              <w:spacing w:line="250" w:lineRule="auto"/>
              <w:rPr>
                <w:rFonts w:ascii="Arial"/>
                <w:sz w:val="21"/>
              </w:rPr>
            </w:pPr>
          </w:p>
          <w:p w14:paraId="7BD60ABC">
            <w:pPr>
              <w:pStyle w:val="6"/>
              <w:spacing w:before="65" w:line="230" w:lineRule="auto"/>
              <w:ind w:left="714"/>
            </w:pPr>
            <w:r>
              <w:rPr>
                <w:spacing w:val="3"/>
              </w:rPr>
              <w:t>名称</w:t>
            </w:r>
          </w:p>
        </w:tc>
        <w:tc>
          <w:tcPr>
            <w:tcW w:w="2568" w:type="dxa"/>
            <w:gridSpan w:val="2"/>
            <w:vAlign w:val="top"/>
          </w:tcPr>
          <w:p w14:paraId="71D8E0BA">
            <w:pPr>
              <w:pStyle w:val="6"/>
              <w:spacing w:before="175" w:line="228" w:lineRule="auto"/>
              <w:ind w:left="231"/>
              <w:rPr>
                <w:rFonts w:ascii="Times New Roman" w:hAnsi="Times New Roman" w:eastAsia="Times New Roman" w:cs="Times New Roman"/>
              </w:rPr>
            </w:pPr>
            <w:r>
              <w:rPr>
                <w:spacing w:val="8"/>
              </w:rPr>
              <w:t>排气筒底部中心坐标</w:t>
            </w:r>
            <w:r>
              <w:rPr>
                <w:rFonts w:ascii="Times New Roman" w:hAnsi="Times New Roman" w:eastAsia="Times New Roman" w:cs="Times New Roman"/>
                <w:spacing w:val="8"/>
              </w:rPr>
              <w:t>/m</w:t>
            </w:r>
          </w:p>
        </w:tc>
        <w:tc>
          <w:tcPr>
            <w:tcW w:w="1353" w:type="dxa"/>
            <w:vMerge w:val="restart"/>
            <w:tcBorders>
              <w:bottom w:val="nil"/>
            </w:tcBorders>
            <w:vAlign w:val="top"/>
          </w:tcPr>
          <w:p w14:paraId="1F1D8F14">
            <w:pPr>
              <w:pStyle w:val="6"/>
              <w:spacing w:before="179" w:line="252" w:lineRule="auto"/>
              <w:ind w:left="254" w:right="46" w:hanging="203"/>
              <w:rPr>
                <w:rFonts w:ascii="Times New Roman" w:hAnsi="Times New Roman" w:eastAsia="Times New Roman" w:cs="Times New Roman"/>
              </w:rPr>
            </w:pPr>
            <w:r>
              <w:rPr>
                <w:spacing w:val="8"/>
              </w:rPr>
              <w:t>排气筒底部海</w:t>
            </w:r>
            <w:r>
              <w:t xml:space="preserve"> </w:t>
            </w:r>
            <w:r>
              <w:rPr>
                <w:spacing w:val="6"/>
              </w:rPr>
              <w:t>拔高度</w:t>
            </w:r>
            <w:r>
              <w:rPr>
                <w:rFonts w:ascii="Times New Roman" w:hAnsi="Times New Roman" w:eastAsia="Times New Roman" w:cs="Times New Roman"/>
                <w:spacing w:val="6"/>
              </w:rPr>
              <w:t>/m</w:t>
            </w:r>
          </w:p>
        </w:tc>
        <w:tc>
          <w:tcPr>
            <w:tcW w:w="859" w:type="dxa"/>
            <w:vMerge w:val="restart"/>
            <w:tcBorders>
              <w:bottom w:val="nil"/>
            </w:tcBorders>
            <w:vAlign w:val="top"/>
          </w:tcPr>
          <w:p w14:paraId="1E5B9FE9">
            <w:pPr>
              <w:pStyle w:val="6"/>
              <w:spacing w:before="179" w:line="252" w:lineRule="auto"/>
              <w:ind w:left="119" w:right="107"/>
              <w:rPr>
                <w:rFonts w:ascii="Times New Roman" w:hAnsi="Times New Roman" w:eastAsia="Times New Roman" w:cs="Times New Roman"/>
              </w:rPr>
            </w:pPr>
            <w:r>
              <w:rPr>
                <w:spacing w:val="6"/>
              </w:rPr>
              <w:t>排气筒</w:t>
            </w:r>
            <w:r>
              <w:rPr>
                <w:spacing w:val="1"/>
              </w:rPr>
              <w:t xml:space="preserve"> </w:t>
            </w:r>
            <w:r>
              <w:rPr>
                <w:spacing w:val="3"/>
              </w:rPr>
              <w:t>高度</w:t>
            </w:r>
            <w:r>
              <w:rPr>
                <w:rFonts w:ascii="Times New Roman" w:hAnsi="Times New Roman" w:eastAsia="Times New Roman" w:cs="Times New Roman"/>
                <w:spacing w:val="3"/>
              </w:rPr>
              <w:t>/m</w:t>
            </w:r>
          </w:p>
        </w:tc>
        <w:tc>
          <w:tcPr>
            <w:tcW w:w="1078" w:type="dxa"/>
            <w:vMerge w:val="restart"/>
            <w:tcBorders>
              <w:bottom w:val="nil"/>
            </w:tcBorders>
            <w:vAlign w:val="top"/>
          </w:tcPr>
          <w:p w14:paraId="4A34B0D0">
            <w:pPr>
              <w:pStyle w:val="6"/>
              <w:spacing w:before="179" w:line="252" w:lineRule="auto"/>
              <w:ind w:left="150" w:right="112" w:hanging="26"/>
              <w:rPr>
                <w:rFonts w:ascii="Times New Roman" w:hAnsi="Times New Roman" w:eastAsia="Times New Roman" w:cs="Times New Roman"/>
              </w:rPr>
            </w:pPr>
            <w:r>
              <w:rPr>
                <w:spacing w:val="7"/>
              </w:rPr>
              <w:t>排气筒出</w:t>
            </w:r>
            <w:r>
              <w:t xml:space="preserve"> </w:t>
            </w:r>
            <w:r>
              <w:rPr>
                <w:spacing w:val="-1"/>
              </w:rPr>
              <w:t>口内径</w:t>
            </w:r>
            <w:r>
              <w:rPr>
                <w:rFonts w:ascii="Times New Roman" w:hAnsi="Times New Roman" w:eastAsia="Times New Roman" w:cs="Times New Roman"/>
                <w:spacing w:val="-1"/>
              </w:rPr>
              <w:t>/m</w:t>
            </w:r>
          </w:p>
        </w:tc>
        <w:tc>
          <w:tcPr>
            <w:tcW w:w="1199" w:type="dxa"/>
            <w:vMerge w:val="restart"/>
            <w:tcBorders>
              <w:bottom w:val="nil"/>
            </w:tcBorders>
            <w:vAlign w:val="top"/>
          </w:tcPr>
          <w:p w14:paraId="6F2CB25C">
            <w:pPr>
              <w:pStyle w:val="6"/>
              <w:spacing w:before="180" w:line="229" w:lineRule="auto"/>
              <w:ind w:left="158"/>
              <w:rPr>
                <w:rFonts w:ascii="Times New Roman" w:hAnsi="Times New Roman" w:eastAsia="Times New Roman" w:cs="Times New Roman"/>
              </w:rPr>
            </w:pPr>
            <w:r>
              <w:rPr>
                <w:spacing w:val="6"/>
              </w:rPr>
              <w:t>烟气流速</w:t>
            </w:r>
            <w:r>
              <w:rPr>
                <w:rFonts w:ascii="Times New Roman" w:hAnsi="Times New Roman" w:eastAsia="Times New Roman" w:cs="Times New Roman"/>
                <w:spacing w:val="6"/>
              </w:rPr>
              <w:t>/</w:t>
            </w:r>
          </w:p>
          <w:p w14:paraId="2DC2D0DB">
            <w:pPr>
              <w:pStyle w:val="6"/>
              <w:spacing w:before="22"/>
              <w:ind w:left="254"/>
            </w:pPr>
            <w:r>
              <w:rPr>
                <w:spacing w:val="1"/>
              </w:rPr>
              <w:t>（</w:t>
            </w:r>
            <w:r>
              <w:rPr>
                <w:rFonts w:ascii="Times New Roman" w:hAnsi="Times New Roman" w:eastAsia="Times New Roman" w:cs="Times New Roman"/>
                <w:spacing w:val="1"/>
              </w:rPr>
              <w:t>m/s</w:t>
            </w:r>
            <w:r>
              <w:rPr>
                <w:spacing w:val="1"/>
              </w:rPr>
              <w:t>）</w:t>
            </w:r>
          </w:p>
        </w:tc>
        <w:tc>
          <w:tcPr>
            <w:tcW w:w="845" w:type="dxa"/>
            <w:vMerge w:val="restart"/>
            <w:tcBorders>
              <w:bottom w:val="nil"/>
            </w:tcBorders>
            <w:vAlign w:val="top"/>
          </w:tcPr>
          <w:p w14:paraId="1E82D737">
            <w:pPr>
              <w:pStyle w:val="6"/>
              <w:spacing w:before="180" w:line="229" w:lineRule="auto"/>
              <w:ind w:left="116"/>
            </w:pPr>
            <w:r>
              <w:rPr>
                <w:spacing w:val="6"/>
              </w:rPr>
              <w:t>烟气温</w:t>
            </w:r>
          </w:p>
          <w:p w14:paraId="0C7F7611">
            <w:pPr>
              <w:pStyle w:val="6"/>
              <w:spacing w:before="23" w:line="228" w:lineRule="auto"/>
              <w:ind w:left="186"/>
              <w:rPr>
                <w:rFonts w:ascii="Times New Roman" w:hAnsi="Times New Roman" w:eastAsia="Times New Roman" w:cs="Times New Roman"/>
              </w:rPr>
            </w:pPr>
            <w:r>
              <w:rPr>
                <w:spacing w:val="4"/>
              </w:rPr>
              <w:t>度</w:t>
            </w:r>
            <w:r>
              <w:rPr>
                <w:rFonts w:ascii="Times New Roman" w:hAnsi="Times New Roman" w:eastAsia="Times New Roman" w:cs="Times New Roman"/>
                <w:spacing w:val="4"/>
              </w:rPr>
              <w:t>/℃</w:t>
            </w:r>
          </w:p>
        </w:tc>
        <w:tc>
          <w:tcPr>
            <w:tcW w:w="1077" w:type="dxa"/>
            <w:vMerge w:val="restart"/>
            <w:tcBorders>
              <w:bottom w:val="nil"/>
            </w:tcBorders>
            <w:vAlign w:val="top"/>
          </w:tcPr>
          <w:p w14:paraId="0E3E1BE3">
            <w:pPr>
              <w:pStyle w:val="6"/>
              <w:spacing w:before="180" w:line="228" w:lineRule="auto"/>
              <w:ind w:left="125"/>
            </w:pPr>
            <w:r>
              <w:rPr>
                <w:spacing w:val="7"/>
              </w:rPr>
              <w:t>年排放小</w:t>
            </w:r>
          </w:p>
          <w:p w14:paraId="286E755F">
            <w:pPr>
              <w:pStyle w:val="6"/>
              <w:spacing w:before="24" w:line="228" w:lineRule="auto"/>
              <w:ind w:left="264"/>
              <w:rPr>
                <w:rFonts w:ascii="Times New Roman" w:hAnsi="Times New Roman" w:eastAsia="Times New Roman" w:cs="Times New Roman"/>
              </w:rPr>
            </w:pPr>
            <w:r>
              <w:rPr>
                <w:spacing w:val="2"/>
              </w:rPr>
              <w:t>时数</w:t>
            </w:r>
            <w:r>
              <w:rPr>
                <w:rFonts w:ascii="Times New Roman" w:hAnsi="Times New Roman" w:eastAsia="Times New Roman" w:cs="Times New Roman"/>
                <w:spacing w:val="2"/>
              </w:rPr>
              <w:t>/h</w:t>
            </w:r>
          </w:p>
        </w:tc>
        <w:tc>
          <w:tcPr>
            <w:tcW w:w="1094" w:type="dxa"/>
            <w:vMerge w:val="restart"/>
            <w:tcBorders>
              <w:bottom w:val="nil"/>
            </w:tcBorders>
            <w:vAlign w:val="top"/>
          </w:tcPr>
          <w:p w14:paraId="32534A22">
            <w:pPr>
              <w:spacing w:line="251" w:lineRule="auto"/>
              <w:rPr>
                <w:rFonts w:ascii="Arial"/>
                <w:sz w:val="21"/>
              </w:rPr>
            </w:pPr>
          </w:p>
          <w:p w14:paraId="167E4E18">
            <w:pPr>
              <w:pStyle w:val="6"/>
              <w:spacing w:before="65" w:line="228" w:lineRule="auto"/>
              <w:ind w:left="135"/>
            </w:pPr>
            <w:r>
              <w:rPr>
                <w:spacing w:val="7"/>
              </w:rPr>
              <w:t>排放工况</w:t>
            </w:r>
          </w:p>
        </w:tc>
        <w:tc>
          <w:tcPr>
            <w:tcW w:w="1725" w:type="dxa"/>
            <w:vAlign w:val="top"/>
          </w:tcPr>
          <w:p w14:paraId="79110FEC">
            <w:pPr>
              <w:pStyle w:val="6"/>
              <w:spacing w:before="38" w:line="228" w:lineRule="auto"/>
              <w:ind w:left="106"/>
              <w:rPr>
                <w:rFonts w:ascii="Times New Roman" w:hAnsi="Times New Roman" w:eastAsia="Times New Roman" w:cs="Times New Roman"/>
              </w:rPr>
            </w:pPr>
            <w:r>
              <w:rPr>
                <w:spacing w:val="7"/>
              </w:rPr>
              <w:t>污染物排放速率</w:t>
            </w:r>
            <w:r>
              <w:rPr>
                <w:rFonts w:ascii="Times New Roman" w:hAnsi="Times New Roman" w:eastAsia="Times New Roman" w:cs="Times New Roman"/>
                <w:spacing w:val="7"/>
              </w:rPr>
              <w:t>/</w:t>
            </w:r>
          </w:p>
          <w:p w14:paraId="4B12D204">
            <w:pPr>
              <w:pStyle w:val="6"/>
              <w:spacing w:before="27" w:line="218" w:lineRule="auto"/>
              <w:ind w:left="481"/>
            </w:pP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r>
      <w:tr w14:paraId="4C449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42" w:type="dxa"/>
            <w:vMerge w:val="continue"/>
            <w:tcBorders>
              <w:top w:val="nil"/>
            </w:tcBorders>
            <w:vAlign w:val="top"/>
          </w:tcPr>
          <w:p w14:paraId="5FEF168F">
            <w:pPr>
              <w:rPr>
                <w:rFonts w:ascii="Arial"/>
                <w:sz w:val="21"/>
              </w:rPr>
            </w:pPr>
          </w:p>
        </w:tc>
        <w:tc>
          <w:tcPr>
            <w:tcW w:w="1838" w:type="dxa"/>
            <w:vMerge w:val="continue"/>
            <w:tcBorders>
              <w:top w:val="nil"/>
            </w:tcBorders>
            <w:vAlign w:val="top"/>
          </w:tcPr>
          <w:p w14:paraId="176D58F5">
            <w:pPr>
              <w:rPr>
                <w:rFonts w:ascii="Arial"/>
                <w:sz w:val="21"/>
              </w:rPr>
            </w:pPr>
          </w:p>
        </w:tc>
        <w:tc>
          <w:tcPr>
            <w:tcW w:w="1275" w:type="dxa"/>
            <w:vAlign w:val="top"/>
          </w:tcPr>
          <w:p w14:paraId="0CEFC10F">
            <w:pPr>
              <w:pStyle w:val="6"/>
              <w:spacing w:before="34" w:line="215" w:lineRule="auto"/>
              <w:ind w:left="432"/>
            </w:pPr>
            <w:r>
              <w:rPr>
                <w:spacing w:val="3"/>
              </w:rPr>
              <w:t>经度</w:t>
            </w:r>
          </w:p>
        </w:tc>
        <w:tc>
          <w:tcPr>
            <w:tcW w:w="1293" w:type="dxa"/>
            <w:vAlign w:val="top"/>
          </w:tcPr>
          <w:p w14:paraId="658927F6">
            <w:pPr>
              <w:pStyle w:val="6"/>
              <w:spacing w:before="34" w:line="215" w:lineRule="auto"/>
              <w:ind w:left="443"/>
            </w:pPr>
            <w:r>
              <w:rPr>
                <w:spacing w:val="4"/>
              </w:rPr>
              <w:t>纬度</w:t>
            </w:r>
          </w:p>
        </w:tc>
        <w:tc>
          <w:tcPr>
            <w:tcW w:w="1353" w:type="dxa"/>
            <w:vMerge w:val="continue"/>
            <w:tcBorders>
              <w:top w:val="nil"/>
            </w:tcBorders>
            <w:vAlign w:val="top"/>
          </w:tcPr>
          <w:p w14:paraId="1CF1EDB5">
            <w:pPr>
              <w:rPr>
                <w:rFonts w:ascii="Arial"/>
                <w:sz w:val="21"/>
              </w:rPr>
            </w:pPr>
          </w:p>
        </w:tc>
        <w:tc>
          <w:tcPr>
            <w:tcW w:w="859" w:type="dxa"/>
            <w:vMerge w:val="continue"/>
            <w:tcBorders>
              <w:top w:val="nil"/>
            </w:tcBorders>
            <w:vAlign w:val="top"/>
          </w:tcPr>
          <w:p w14:paraId="6A074DC8">
            <w:pPr>
              <w:rPr>
                <w:rFonts w:ascii="Arial"/>
                <w:sz w:val="21"/>
              </w:rPr>
            </w:pPr>
          </w:p>
        </w:tc>
        <w:tc>
          <w:tcPr>
            <w:tcW w:w="1078" w:type="dxa"/>
            <w:vMerge w:val="continue"/>
            <w:tcBorders>
              <w:top w:val="nil"/>
            </w:tcBorders>
            <w:vAlign w:val="top"/>
          </w:tcPr>
          <w:p w14:paraId="5C85E53C">
            <w:pPr>
              <w:rPr>
                <w:rFonts w:ascii="Arial"/>
                <w:sz w:val="21"/>
              </w:rPr>
            </w:pPr>
          </w:p>
        </w:tc>
        <w:tc>
          <w:tcPr>
            <w:tcW w:w="1199" w:type="dxa"/>
            <w:vMerge w:val="continue"/>
            <w:tcBorders>
              <w:top w:val="nil"/>
            </w:tcBorders>
            <w:vAlign w:val="top"/>
          </w:tcPr>
          <w:p w14:paraId="424B2911">
            <w:pPr>
              <w:rPr>
                <w:rFonts w:ascii="Arial"/>
                <w:sz w:val="21"/>
              </w:rPr>
            </w:pPr>
          </w:p>
        </w:tc>
        <w:tc>
          <w:tcPr>
            <w:tcW w:w="845" w:type="dxa"/>
            <w:vMerge w:val="continue"/>
            <w:tcBorders>
              <w:top w:val="nil"/>
            </w:tcBorders>
            <w:vAlign w:val="top"/>
          </w:tcPr>
          <w:p w14:paraId="19AE8E93">
            <w:pPr>
              <w:rPr>
                <w:rFonts w:ascii="Arial"/>
                <w:sz w:val="21"/>
              </w:rPr>
            </w:pPr>
          </w:p>
        </w:tc>
        <w:tc>
          <w:tcPr>
            <w:tcW w:w="1077" w:type="dxa"/>
            <w:vMerge w:val="continue"/>
            <w:tcBorders>
              <w:top w:val="nil"/>
            </w:tcBorders>
            <w:vAlign w:val="top"/>
          </w:tcPr>
          <w:p w14:paraId="727DC241">
            <w:pPr>
              <w:rPr>
                <w:rFonts w:ascii="Arial"/>
                <w:sz w:val="21"/>
              </w:rPr>
            </w:pPr>
          </w:p>
        </w:tc>
        <w:tc>
          <w:tcPr>
            <w:tcW w:w="1094" w:type="dxa"/>
            <w:vMerge w:val="continue"/>
            <w:tcBorders>
              <w:top w:val="nil"/>
            </w:tcBorders>
            <w:vAlign w:val="top"/>
          </w:tcPr>
          <w:p w14:paraId="4358249D">
            <w:pPr>
              <w:rPr>
                <w:rFonts w:ascii="Arial"/>
                <w:sz w:val="21"/>
              </w:rPr>
            </w:pPr>
          </w:p>
        </w:tc>
        <w:tc>
          <w:tcPr>
            <w:tcW w:w="1725" w:type="dxa"/>
            <w:vAlign w:val="top"/>
          </w:tcPr>
          <w:p w14:paraId="308D0421">
            <w:pPr>
              <w:spacing w:before="72" w:line="199" w:lineRule="auto"/>
              <w:ind w:left="642"/>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r>
      <w:tr w14:paraId="4E64E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42" w:type="dxa"/>
            <w:vAlign w:val="top"/>
          </w:tcPr>
          <w:p w14:paraId="7FCCCCDD">
            <w:pPr>
              <w:spacing w:before="6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38" w:type="dxa"/>
            <w:vAlign w:val="top"/>
          </w:tcPr>
          <w:p w14:paraId="3A97A8E9">
            <w:pPr>
              <w:pStyle w:val="6"/>
              <w:spacing w:before="33" w:line="215" w:lineRule="auto"/>
              <w:ind w:left="106"/>
              <w:rPr>
                <w:rFonts w:ascii="Times New Roman" w:hAnsi="Times New Roman" w:eastAsia="Times New Roman" w:cs="Times New Roman"/>
              </w:rPr>
            </w:pPr>
            <w:r>
              <w:rPr>
                <w:spacing w:val="7"/>
              </w:rPr>
              <w:t>粗碎车间排气筒</w:t>
            </w:r>
            <w:r>
              <w:rPr>
                <w:spacing w:val="-17"/>
              </w:rPr>
              <w:t xml:space="preserve"> </w:t>
            </w:r>
            <w:r>
              <w:rPr>
                <w:rFonts w:ascii="Times New Roman" w:hAnsi="Times New Roman" w:eastAsia="Times New Roman" w:cs="Times New Roman"/>
                <w:spacing w:val="7"/>
              </w:rPr>
              <w:t>1</w:t>
            </w:r>
          </w:p>
        </w:tc>
        <w:tc>
          <w:tcPr>
            <w:tcW w:w="1275" w:type="dxa"/>
            <w:vAlign w:val="top"/>
          </w:tcPr>
          <w:p w14:paraId="64F177B8">
            <w:pPr>
              <w:spacing w:before="68"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118°57′36.90″</w:t>
            </w:r>
          </w:p>
        </w:tc>
        <w:tc>
          <w:tcPr>
            <w:tcW w:w="1293" w:type="dxa"/>
            <w:vAlign w:val="top"/>
          </w:tcPr>
          <w:p w14:paraId="2736A5FB">
            <w:pPr>
              <w:spacing w:before="68" w:line="195" w:lineRule="auto"/>
              <w:ind w:left="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15.53″</w:t>
            </w:r>
          </w:p>
        </w:tc>
        <w:tc>
          <w:tcPr>
            <w:tcW w:w="1353" w:type="dxa"/>
            <w:vAlign w:val="top"/>
          </w:tcPr>
          <w:p w14:paraId="17D367E1">
            <w:pPr>
              <w:spacing w:before="68"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c>
          <w:tcPr>
            <w:tcW w:w="859" w:type="dxa"/>
            <w:vAlign w:val="top"/>
          </w:tcPr>
          <w:p w14:paraId="5F559AAA">
            <w:pPr>
              <w:spacing w:before="6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78" w:type="dxa"/>
            <w:vAlign w:val="top"/>
          </w:tcPr>
          <w:p w14:paraId="151E2BDF">
            <w:pPr>
              <w:spacing w:before="68"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99" w:type="dxa"/>
            <w:vAlign w:val="top"/>
          </w:tcPr>
          <w:p w14:paraId="1C37396A">
            <w:pPr>
              <w:spacing w:before="68"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18.40</w:t>
            </w:r>
          </w:p>
        </w:tc>
        <w:tc>
          <w:tcPr>
            <w:tcW w:w="845" w:type="dxa"/>
            <w:vAlign w:val="top"/>
          </w:tcPr>
          <w:p w14:paraId="26E3656D">
            <w:pPr>
              <w:spacing w:before="6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7" w:type="dxa"/>
            <w:vAlign w:val="top"/>
          </w:tcPr>
          <w:p w14:paraId="093BC7AF">
            <w:pPr>
              <w:spacing w:before="6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1094" w:type="dxa"/>
            <w:vAlign w:val="top"/>
          </w:tcPr>
          <w:p w14:paraId="07B8DD53">
            <w:pPr>
              <w:pStyle w:val="6"/>
              <w:spacing w:before="33" w:line="215" w:lineRule="auto"/>
              <w:ind w:left="139"/>
            </w:pPr>
            <w:r>
              <w:rPr>
                <w:spacing w:val="6"/>
              </w:rPr>
              <w:t>正常排放</w:t>
            </w:r>
          </w:p>
        </w:tc>
        <w:tc>
          <w:tcPr>
            <w:tcW w:w="1725" w:type="dxa"/>
            <w:vAlign w:val="top"/>
          </w:tcPr>
          <w:p w14:paraId="405611E7">
            <w:pPr>
              <w:spacing w:before="68"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0.170</w:t>
            </w:r>
          </w:p>
        </w:tc>
      </w:tr>
      <w:tr w14:paraId="6AF93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42" w:type="dxa"/>
            <w:vAlign w:val="top"/>
          </w:tcPr>
          <w:p w14:paraId="5CA8A2AC">
            <w:pPr>
              <w:spacing w:before="71"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38" w:type="dxa"/>
            <w:vAlign w:val="top"/>
          </w:tcPr>
          <w:p w14:paraId="7549B902">
            <w:pPr>
              <w:pStyle w:val="6"/>
              <w:spacing w:before="34" w:line="217" w:lineRule="auto"/>
              <w:ind w:left="126"/>
              <w:rPr>
                <w:rFonts w:ascii="Times New Roman" w:hAnsi="Times New Roman" w:eastAsia="Times New Roman" w:cs="Times New Roman"/>
              </w:rPr>
            </w:pPr>
            <w:r>
              <w:rPr>
                <w:spacing w:val="5"/>
              </w:rPr>
              <w:t>中间堆场排气筒</w:t>
            </w:r>
            <w:r>
              <w:rPr>
                <w:spacing w:val="-41"/>
              </w:rPr>
              <w:t xml:space="preserve"> </w:t>
            </w:r>
            <w:r>
              <w:rPr>
                <w:rFonts w:ascii="Times New Roman" w:hAnsi="Times New Roman" w:eastAsia="Times New Roman" w:cs="Times New Roman"/>
                <w:spacing w:val="5"/>
              </w:rPr>
              <w:t>2</w:t>
            </w:r>
          </w:p>
        </w:tc>
        <w:tc>
          <w:tcPr>
            <w:tcW w:w="1275" w:type="dxa"/>
            <w:vAlign w:val="top"/>
          </w:tcPr>
          <w:p w14:paraId="4FF6FBE9">
            <w:pPr>
              <w:spacing w:before="70"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118°57′34.01″</w:t>
            </w:r>
          </w:p>
        </w:tc>
        <w:tc>
          <w:tcPr>
            <w:tcW w:w="1293" w:type="dxa"/>
            <w:vAlign w:val="top"/>
          </w:tcPr>
          <w:p w14:paraId="7274F715">
            <w:pPr>
              <w:spacing w:before="70" w:line="195" w:lineRule="auto"/>
              <w:ind w:left="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18.56″</w:t>
            </w:r>
          </w:p>
        </w:tc>
        <w:tc>
          <w:tcPr>
            <w:tcW w:w="1353" w:type="dxa"/>
            <w:vAlign w:val="top"/>
          </w:tcPr>
          <w:p w14:paraId="1D18FF97">
            <w:pPr>
              <w:spacing w:before="7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859" w:type="dxa"/>
            <w:vAlign w:val="top"/>
          </w:tcPr>
          <w:p w14:paraId="4C3BEB3F">
            <w:pPr>
              <w:spacing w:before="70"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78" w:type="dxa"/>
            <w:vAlign w:val="top"/>
          </w:tcPr>
          <w:p w14:paraId="01BF221C">
            <w:pPr>
              <w:spacing w:before="70"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99" w:type="dxa"/>
            <w:vAlign w:val="top"/>
          </w:tcPr>
          <w:p w14:paraId="76C06623">
            <w:pPr>
              <w:spacing w:before="70"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25.48</w:t>
            </w:r>
          </w:p>
        </w:tc>
        <w:tc>
          <w:tcPr>
            <w:tcW w:w="845" w:type="dxa"/>
            <w:vAlign w:val="top"/>
          </w:tcPr>
          <w:p w14:paraId="2153875B">
            <w:pPr>
              <w:spacing w:before="70"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77" w:type="dxa"/>
            <w:vAlign w:val="top"/>
          </w:tcPr>
          <w:p w14:paraId="24DDFD5B">
            <w:pPr>
              <w:spacing w:before="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1094" w:type="dxa"/>
            <w:vAlign w:val="top"/>
          </w:tcPr>
          <w:p w14:paraId="799688B6">
            <w:pPr>
              <w:pStyle w:val="6"/>
              <w:spacing w:before="34" w:line="217" w:lineRule="auto"/>
              <w:ind w:left="139"/>
            </w:pPr>
            <w:r>
              <w:rPr>
                <w:spacing w:val="6"/>
              </w:rPr>
              <w:t>正常排放</w:t>
            </w:r>
          </w:p>
        </w:tc>
        <w:tc>
          <w:tcPr>
            <w:tcW w:w="1725" w:type="dxa"/>
            <w:vAlign w:val="top"/>
          </w:tcPr>
          <w:p w14:paraId="600ECFB7">
            <w:pPr>
              <w:spacing w:before="70"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0.170</w:t>
            </w:r>
          </w:p>
        </w:tc>
      </w:tr>
    </w:tbl>
    <w:p w14:paraId="79ADFE63">
      <w:pPr>
        <w:pStyle w:val="2"/>
        <w:spacing w:line="378" w:lineRule="auto"/>
      </w:pPr>
    </w:p>
    <w:p w14:paraId="234B1EA9">
      <w:pPr>
        <w:spacing w:before="65" w:line="223" w:lineRule="auto"/>
        <w:ind w:left="496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 xml:space="preserve">1-2    </w:t>
      </w:r>
      <w:r>
        <w:rPr>
          <w:rFonts w:ascii="宋体" w:hAnsi="宋体" w:eastAsia="宋体" w:cs="宋体"/>
          <w:spacing w:val="6"/>
          <w:sz w:val="20"/>
          <w:szCs w:val="20"/>
        </w:rPr>
        <w:t>项目技改工程完成后面源污</w:t>
      </w:r>
      <w:r>
        <w:rPr>
          <w:rFonts w:ascii="宋体" w:hAnsi="宋体" w:eastAsia="宋体" w:cs="宋体"/>
          <w:spacing w:val="5"/>
          <w:sz w:val="20"/>
          <w:szCs w:val="20"/>
        </w:rPr>
        <w:t>染源统计</w:t>
      </w:r>
    </w:p>
    <w:tbl>
      <w:tblPr>
        <w:tblStyle w:val="5"/>
        <w:tblW w:w="14178"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6"/>
        <w:gridCol w:w="1734"/>
        <w:gridCol w:w="1275"/>
        <w:gridCol w:w="1275"/>
        <w:gridCol w:w="1134"/>
        <w:gridCol w:w="992"/>
        <w:gridCol w:w="961"/>
        <w:gridCol w:w="1448"/>
        <w:gridCol w:w="1299"/>
        <w:gridCol w:w="1081"/>
        <w:gridCol w:w="2333"/>
      </w:tblGrid>
      <w:tr w14:paraId="0A914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646" w:type="dxa"/>
            <w:vMerge w:val="restart"/>
            <w:tcBorders>
              <w:bottom w:val="nil"/>
            </w:tcBorders>
            <w:vAlign w:val="top"/>
          </w:tcPr>
          <w:p w14:paraId="356B7EB2">
            <w:pPr>
              <w:spacing w:line="250" w:lineRule="auto"/>
              <w:rPr>
                <w:rFonts w:ascii="Arial"/>
                <w:sz w:val="21"/>
              </w:rPr>
            </w:pPr>
          </w:p>
          <w:p w14:paraId="406774E5">
            <w:pPr>
              <w:pStyle w:val="6"/>
              <w:spacing w:before="65" w:line="228" w:lineRule="auto"/>
              <w:ind w:left="119"/>
            </w:pPr>
            <w:r>
              <w:rPr>
                <w:spacing w:val="3"/>
              </w:rPr>
              <w:t>编号</w:t>
            </w:r>
          </w:p>
        </w:tc>
        <w:tc>
          <w:tcPr>
            <w:tcW w:w="1734" w:type="dxa"/>
            <w:vMerge w:val="restart"/>
            <w:tcBorders>
              <w:bottom w:val="nil"/>
            </w:tcBorders>
            <w:vAlign w:val="top"/>
          </w:tcPr>
          <w:p w14:paraId="72E007CA">
            <w:pPr>
              <w:spacing w:line="250" w:lineRule="auto"/>
              <w:rPr>
                <w:rFonts w:ascii="Arial"/>
                <w:sz w:val="21"/>
              </w:rPr>
            </w:pPr>
          </w:p>
          <w:p w14:paraId="152CCB56">
            <w:pPr>
              <w:pStyle w:val="6"/>
              <w:spacing w:before="65" w:line="230" w:lineRule="auto"/>
              <w:ind w:left="662"/>
            </w:pPr>
            <w:r>
              <w:rPr>
                <w:spacing w:val="3"/>
              </w:rPr>
              <w:t>名称</w:t>
            </w:r>
          </w:p>
        </w:tc>
        <w:tc>
          <w:tcPr>
            <w:tcW w:w="2550" w:type="dxa"/>
            <w:gridSpan w:val="2"/>
            <w:vAlign w:val="top"/>
          </w:tcPr>
          <w:p w14:paraId="2349E7AE">
            <w:pPr>
              <w:pStyle w:val="6"/>
              <w:spacing w:before="175" w:line="228" w:lineRule="auto"/>
              <w:ind w:left="434"/>
              <w:rPr>
                <w:rFonts w:ascii="Times New Roman" w:hAnsi="Times New Roman" w:eastAsia="Times New Roman" w:cs="Times New Roman"/>
              </w:rPr>
            </w:pPr>
            <w:r>
              <w:rPr>
                <w:spacing w:val="7"/>
              </w:rPr>
              <w:t>面源中心点坐标</w:t>
            </w:r>
            <w:r>
              <w:rPr>
                <w:rFonts w:ascii="Times New Roman" w:hAnsi="Times New Roman" w:eastAsia="Times New Roman" w:cs="Times New Roman"/>
                <w:spacing w:val="7"/>
              </w:rPr>
              <w:t>/m</w:t>
            </w:r>
          </w:p>
        </w:tc>
        <w:tc>
          <w:tcPr>
            <w:tcW w:w="1134" w:type="dxa"/>
            <w:vMerge w:val="restart"/>
            <w:tcBorders>
              <w:bottom w:val="nil"/>
            </w:tcBorders>
            <w:vAlign w:val="top"/>
          </w:tcPr>
          <w:p w14:paraId="62B87E78">
            <w:pPr>
              <w:pStyle w:val="6"/>
              <w:spacing w:before="179" w:line="228" w:lineRule="auto"/>
              <w:ind w:left="48"/>
            </w:pPr>
            <w:r>
              <w:rPr>
                <w:spacing w:val="7"/>
              </w:rPr>
              <w:t>面源海拔高</w:t>
            </w:r>
          </w:p>
          <w:p w14:paraId="306FD0D8">
            <w:pPr>
              <w:pStyle w:val="6"/>
              <w:spacing w:before="24" w:line="228" w:lineRule="auto"/>
              <w:ind w:left="356"/>
              <w:rPr>
                <w:rFonts w:ascii="Times New Roman" w:hAnsi="Times New Roman" w:eastAsia="Times New Roman" w:cs="Times New Roman"/>
              </w:rPr>
            </w:pPr>
            <w:r>
              <w:rPr>
                <w:spacing w:val="3"/>
              </w:rPr>
              <w:t>度</w:t>
            </w:r>
            <w:r>
              <w:rPr>
                <w:rFonts w:ascii="Times New Roman" w:hAnsi="Times New Roman" w:eastAsia="Times New Roman" w:cs="Times New Roman"/>
                <w:spacing w:val="3"/>
              </w:rPr>
              <w:t>/m</w:t>
            </w:r>
          </w:p>
        </w:tc>
        <w:tc>
          <w:tcPr>
            <w:tcW w:w="992" w:type="dxa"/>
            <w:vMerge w:val="restart"/>
            <w:tcBorders>
              <w:bottom w:val="nil"/>
            </w:tcBorders>
            <w:vAlign w:val="top"/>
          </w:tcPr>
          <w:p w14:paraId="73AF5447">
            <w:pPr>
              <w:pStyle w:val="6"/>
              <w:spacing w:before="195" w:line="228" w:lineRule="auto"/>
              <w:ind w:left="83"/>
            </w:pPr>
            <w:r>
              <w:rPr>
                <w:spacing w:val="7"/>
              </w:rPr>
              <w:t>面源长度</w:t>
            </w:r>
          </w:p>
          <w:p w14:paraId="343D7606">
            <w:pPr>
              <w:spacing w:before="41" w:line="199"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961" w:type="dxa"/>
            <w:vMerge w:val="restart"/>
            <w:tcBorders>
              <w:bottom w:val="nil"/>
            </w:tcBorders>
            <w:vAlign w:val="top"/>
          </w:tcPr>
          <w:p w14:paraId="77BF64F0">
            <w:pPr>
              <w:pStyle w:val="6"/>
              <w:spacing w:before="195" w:line="228" w:lineRule="auto"/>
              <w:ind w:left="66"/>
            </w:pPr>
            <w:r>
              <w:rPr>
                <w:spacing w:val="7"/>
              </w:rPr>
              <w:t>面源宽度</w:t>
            </w:r>
          </w:p>
          <w:p w14:paraId="558168A9">
            <w:pPr>
              <w:spacing w:before="41" w:line="199"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1448" w:type="dxa"/>
            <w:vMerge w:val="restart"/>
            <w:tcBorders>
              <w:bottom w:val="nil"/>
            </w:tcBorders>
            <w:vAlign w:val="top"/>
          </w:tcPr>
          <w:p w14:paraId="6AD21552">
            <w:pPr>
              <w:pStyle w:val="6"/>
              <w:spacing w:before="180" w:line="228" w:lineRule="auto"/>
              <w:ind w:left="101"/>
            </w:pPr>
            <w:r>
              <w:rPr>
                <w:spacing w:val="8"/>
              </w:rPr>
              <w:t>面源有效排放</w:t>
            </w:r>
          </w:p>
          <w:p w14:paraId="14F7882A">
            <w:pPr>
              <w:pStyle w:val="6"/>
              <w:spacing w:before="23" w:line="228" w:lineRule="auto"/>
              <w:ind w:left="415"/>
              <w:rPr>
                <w:rFonts w:ascii="Times New Roman" w:hAnsi="Times New Roman" w:eastAsia="Times New Roman" w:cs="Times New Roman"/>
              </w:rPr>
            </w:pPr>
            <w:r>
              <w:rPr>
                <w:spacing w:val="3"/>
              </w:rPr>
              <w:t>高度</w:t>
            </w:r>
            <w:r>
              <w:rPr>
                <w:rFonts w:ascii="Times New Roman" w:hAnsi="Times New Roman" w:eastAsia="Times New Roman" w:cs="Times New Roman"/>
                <w:spacing w:val="3"/>
              </w:rPr>
              <w:t>/m</w:t>
            </w:r>
          </w:p>
        </w:tc>
        <w:tc>
          <w:tcPr>
            <w:tcW w:w="1299" w:type="dxa"/>
            <w:vMerge w:val="restart"/>
            <w:tcBorders>
              <w:bottom w:val="nil"/>
            </w:tcBorders>
            <w:vAlign w:val="top"/>
          </w:tcPr>
          <w:p w14:paraId="4AA759FF">
            <w:pPr>
              <w:pStyle w:val="6"/>
              <w:spacing w:before="179" w:line="228" w:lineRule="auto"/>
              <w:ind w:left="131"/>
            </w:pPr>
            <w:r>
              <w:rPr>
                <w:spacing w:val="7"/>
              </w:rPr>
              <w:t>年排放小时</w:t>
            </w:r>
          </w:p>
          <w:p w14:paraId="042FAEDA">
            <w:pPr>
              <w:pStyle w:val="6"/>
              <w:spacing w:before="24" w:line="228" w:lineRule="auto"/>
              <w:ind w:left="470"/>
              <w:rPr>
                <w:rFonts w:ascii="Times New Roman" w:hAnsi="Times New Roman" w:eastAsia="Times New Roman" w:cs="Times New Roman"/>
              </w:rPr>
            </w:pPr>
            <w:r>
              <w:rPr>
                <w:spacing w:val="2"/>
              </w:rPr>
              <w:t>数</w:t>
            </w:r>
            <w:r>
              <w:rPr>
                <w:rFonts w:ascii="Times New Roman" w:hAnsi="Times New Roman" w:eastAsia="Times New Roman" w:cs="Times New Roman"/>
                <w:spacing w:val="2"/>
              </w:rPr>
              <w:t>/h</w:t>
            </w:r>
          </w:p>
        </w:tc>
        <w:tc>
          <w:tcPr>
            <w:tcW w:w="1081" w:type="dxa"/>
            <w:vMerge w:val="restart"/>
            <w:tcBorders>
              <w:bottom w:val="nil"/>
            </w:tcBorders>
            <w:vAlign w:val="top"/>
          </w:tcPr>
          <w:p w14:paraId="3A9D66EC">
            <w:pPr>
              <w:spacing w:line="250" w:lineRule="auto"/>
              <w:rPr>
                <w:rFonts w:ascii="Arial"/>
                <w:sz w:val="21"/>
              </w:rPr>
            </w:pPr>
          </w:p>
          <w:p w14:paraId="439C4906">
            <w:pPr>
              <w:pStyle w:val="6"/>
              <w:spacing w:before="65" w:line="228" w:lineRule="auto"/>
              <w:ind w:left="127"/>
            </w:pPr>
            <w:r>
              <w:rPr>
                <w:spacing w:val="7"/>
              </w:rPr>
              <w:t>排放工况</w:t>
            </w:r>
          </w:p>
        </w:tc>
        <w:tc>
          <w:tcPr>
            <w:tcW w:w="2333" w:type="dxa"/>
            <w:vAlign w:val="top"/>
          </w:tcPr>
          <w:p w14:paraId="36EEB8A1">
            <w:pPr>
              <w:pStyle w:val="6"/>
              <w:spacing w:before="175" w:line="221" w:lineRule="auto"/>
              <w:jc w:val="right"/>
            </w:pPr>
            <w:r>
              <w:rPr>
                <w:spacing w:val="6"/>
              </w:rPr>
              <w:t>污染物排放速率</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kg</w:t>
            </w:r>
            <w:r>
              <w:rPr>
                <w:rFonts w:ascii="Times New Roman" w:hAnsi="Times New Roman" w:eastAsia="Times New Roman" w:cs="Times New Roman"/>
                <w:spacing w:val="6"/>
              </w:rPr>
              <w:t>/h</w:t>
            </w:r>
            <w:r>
              <w:rPr>
                <w:spacing w:val="6"/>
              </w:rPr>
              <w:t>）</w:t>
            </w:r>
          </w:p>
        </w:tc>
      </w:tr>
      <w:tr w14:paraId="75B1D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46" w:type="dxa"/>
            <w:vMerge w:val="continue"/>
            <w:tcBorders>
              <w:top w:val="nil"/>
            </w:tcBorders>
            <w:vAlign w:val="top"/>
          </w:tcPr>
          <w:p w14:paraId="11810EBE">
            <w:pPr>
              <w:rPr>
                <w:rFonts w:ascii="Arial"/>
                <w:sz w:val="21"/>
              </w:rPr>
            </w:pPr>
          </w:p>
        </w:tc>
        <w:tc>
          <w:tcPr>
            <w:tcW w:w="1734" w:type="dxa"/>
            <w:vMerge w:val="continue"/>
            <w:tcBorders>
              <w:top w:val="nil"/>
            </w:tcBorders>
            <w:vAlign w:val="top"/>
          </w:tcPr>
          <w:p w14:paraId="5AC644BE">
            <w:pPr>
              <w:rPr>
                <w:rFonts w:ascii="Arial"/>
                <w:sz w:val="21"/>
              </w:rPr>
            </w:pPr>
          </w:p>
        </w:tc>
        <w:tc>
          <w:tcPr>
            <w:tcW w:w="1275" w:type="dxa"/>
            <w:vAlign w:val="top"/>
          </w:tcPr>
          <w:p w14:paraId="6D396EC4">
            <w:pPr>
              <w:pStyle w:val="6"/>
              <w:spacing w:before="34" w:line="214" w:lineRule="auto"/>
              <w:ind w:left="432"/>
            </w:pPr>
            <w:r>
              <w:rPr>
                <w:spacing w:val="3"/>
              </w:rPr>
              <w:t>经度</w:t>
            </w:r>
          </w:p>
        </w:tc>
        <w:tc>
          <w:tcPr>
            <w:tcW w:w="1275" w:type="dxa"/>
            <w:vAlign w:val="top"/>
          </w:tcPr>
          <w:p w14:paraId="24188D16">
            <w:pPr>
              <w:pStyle w:val="6"/>
              <w:spacing w:before="34" w:line="214" w:lineRule="auto"/>
              <w:ind w:left="433"/>
            </w:pPr>
            <w:r>
              <w:rPr>
                <w:spacing w:val="4"/>
              </w:rPr>
              <w:t>纬度</w:t>
            </w:r>
          </w:p>
        </w:tc>
        <w:tc>
          <w:tcPr>
            <w:tcW w:w="1134" w:type="dxa"/>
            <w:vMerge w:val="continue"/>
            <w:tcBorders>
              <w:top w:val="nil"/>
            </w:tcBorders>
            <w:vAlign w:val="top"/>
          </w:tcPr>
          <w:p w14:paraId="2D689369">
            <w:pPr>
              <w:rPr>
                <w:rFonts w:ascii="Arial"/>
                <w:sz w:val="21"/>
              </w:rPr>
            </w:pPr>
          </w:p>
        </w:tc>
        <w:tc>
          <w:tcPr>
            <w:tcW w:w="992" w:type="dxa"/>
            <w:vMerge w:val="continue"/>
            <w:tcBorders>
              <w:top w:val="nil"/>
            </w:tcBorders>
            <w:vAlign w:val="top"/>
          </w:tcPr>
          <w:p w14:paraId="4A2190E9">
            <w:pPr>
              <w:rPr>
                <w:rFonts w:ascii="Arial"/>
                <w:sz w:val="21"/>
              </w:rPr>
            </w:pPr>
          </w:p>
        </w:tc>
        <w:tc>
          <w:tcPr>
            <w:tcW w:w="961" w:type="dxa"/>
            <w:vMerge w:val="continue"/>
            <w:tcBorders>
              <w:top w:val="nil"/>
            </w:tcBorders>
            <w:vAlign w:val="top"/>
          </w:tcPr>
          <w:p w14:paraId="6319B0CC">
            <w:pPr>
              <w:rPr>
                <w:rFonts w:ascii="Arial"/>
                <w:sz w:val="21"/>
              </w:rPr>
            </w:pPr>
          </w:p>
        </w:tc>
        <w:tc>
          <w:tcPr>
            <w:tcW w:w="1448" w:type="dxa"/>
            <w:vMerge w:val="continue"/>
            <w:tcBorders>
              <w:top w:val="nil"/>
            </w:tcBorders>
            <w:vAlign w:val="top"/>
          </w:tcPr>
          <w:p w14:paraId="6E24BBC2">
            <w:pPr>
              <w:rPr>
                <w:rFonts w:ascii="Arial"/>
                <w:sz w:val="21"/>
              </w:rPr>
            </w:pPr>
          </w:p>
        </w:tc>
        <w:tc>
          <w:tcPr>
            <w:tcW w:w="1299" w:type="dxa"/>
            <w:vMerge w:val="continue"/>
            <w:tcBorders>
              <w:top w:val="nil"/>
            </w:tcBorders>
            <w:vAlign w:val="top"/>
          </w:tcPr>
          <w:p w14:paraId="73D9ED98">
            <w:pPr>
              <w:rPr>
                <w:rFonts w:ascii="Arial"/>
                <w:sz w:val="21"/>
              </w:rPr>
            </w:pPr>
          </w:p>
        </w:tc>
        <w:tc>
          <w:tcPr>
            <w:tcW w:w="1081" w:type="dxa"/>
            <w:vMerge w:val="continue"/>
            <w:tcBorders>
              <w:top w:val="nil"/>
            </w:tcBorders>
            <w:vAlign w:val="top"/>
          </w:tcPr>
          <w:p w14:paraId="134B4BFC">
            <w:pPr>
              <w:rPr>
                <w:rFonts w:ascii="Arial"/>
                <w:sz w:val="21"/>
              </w:rPr>
            </w:pPr>
          </w:p>
        </w:tc>
        <w:tc>
          <w:tcPr>
            <w:tcW w:w="2333" w:type="dxa"/>
            <w:vAlign w:val="top"/>
          </w:tcPr>
          <w:p w14:paraId="4782C4D4">
            <w:pPr>
              <w:spacing w:before="69" w:line="195" w:lineRule="auto"/>
              <w:ind w:left="9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r>
      <w:tr w14:paraId="4B82A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46" w:type="dxa"/>
            <w:vAlign w:val="top"/>
          </w:tcPr>
          <w:p w14:paraId="6091076F">
            <w:pPr>
              <w:spacing w:before="69"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34" w:type="dxa"/>
            <w:vAlign w:val="top"/>
          </w:tcPr>
          <w:p w14:paraId="43D8DAB5">
            <w:pPr>
              <w:pStyle w:val="6"/>
              <w:spacing w:before="34" w:line="215" w:lineRule="auto"/>
              <w:ind w:left="134"/>
            </w:pPr>
            <w:r>
              <w:rPr>
                <w:spacing w:val="8"/>
              </w:rPr>
              <w:t>粗碎车间无组织</w:t>
            </w:r>
          </w:p>
        </w:tc>
        <w:tc>
          <w:tcPr>
            <w:tcW w:w="1275" w:type="dxa"/>
            <w:vAlign w:val="top"/>
          </w:tcPr>
          <w:p w14:paraId="5BC38C7C">
            <w:pPr>
              <w:spacing w:before="69"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118°57′37.37″</w:t>
            </w:r>
          </w:p>
        </w:tc>
        <w:tc>
          <w:tcPr>
            <w:tcW w:w="1275" w:type="dxa"/>
            <w:vAlign w:val="top"/>
          </w:tcPr>
          <w:p w14:paraId="2986A90B">
            <w:pPr>
              <w:spacing w:before="69"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15.70″</w:t>
            </w:r>
          </w:p>
        </w:tc>
        <w:tc>
          <w:tcPr>
            <w:tcW w:w="1134" w:type="dxa"/>
            <w:vAlign w:val="top"/>
          </w:tcPr>
          <w:p w14:paraId="5C831E8A">
            <w:pPr>
              <w:spacing w:before="69"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c>
          <w:tcPr>
            <w:tcW w:w="992" w:type="dxa"/>
            <w:vAlign w:val="top"/>
          </w:tcPr>
          <w:p w14:paraId="5C2AB05A">
            <w:pPr>
              <w:spacing w:before="69"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61" w:type="dxa"/>
            <w:vAlign w:val="top"/>
          </w:tcPr>
          <w:p w14:paraId="1AD165BB">
            <w:pPr>
              <w:spacing w:before="6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48" w:type="dxa"/>
            <w:vAlign w:val="top"/>
          </w:tcPr>
          <w:p w14:paraId="722EFD6F">
            <w:pPr>
              <w:spacing w:before="69" w:line="195" w:lineRule="auto"/>
              <w:ind w:left="6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99" w:type="dxa"/>
            <w:vAlign w:val="top"/>
          </w:tcPr>
          <w:p w14:paraId="41B875C1">
            <w:pPr>
              <w:spacing w:before="69"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1081" w:type="dxa"/>
            <w:vAlign w:val="top"/>
          </w:tcPr>
          <w:p w14:paraId="35384F95">
            <w:pPr>
              <w:pStyle w:val="6"/>
              <w:spacing w:before="34" w:line="215" w:lineRule="auto"/>
              <w:ind w:left="131"/>
            </w:pPr>
            <w:r>
              <w:rPr>
                <w:spacing w:val="6"/>
              </w:rPr>
              <w:t>正常排放</w:t>
            </w:r>
          </w:p>
        </w:tc>
        <w:tc>
          <w:tcPr>
            <w:tcW w:w="2333" w:type="dxa"/>
            <w:vAlign w:val="top"/>
          </w:tcPr>
          <w:p w14:paraId="61E7FDFE">
            <w:pPr>
              <w:spacing w:before="69" w:line="195" w:lineRule="auto"/>
              <w:ind w:left="9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0.036</w:t>
            </w:r>
          </w:p>
        </w:tc>
      </w:tr>
      <w:tr w14:paraId="0C549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646" w:type="dxa"/>
            <w:vAlign w:val="top"/>
          </w:tcPr>
          <w:p w14:paraId="46B48A64">
            <w:pPr>
              <w:spacing w:before="7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34" w:type="dxa"/>
            <w:vAlign w:val="top"/>
          </w:tcPr>
          <w:p w14:paraId="765F1EFD">
            <w:pPr>
              <w:pStyle w:val="6"/>
              <w:spacing w:before="34" w:line="217" w:lineRule="auto"/>
              <w:ind w:left="468"/>
            </w:pPr>
            <w:r>
              <w:rPr>
                <w:spacing w:val="2"/>
              </w:rPr>
              <w:t>中间堆场</w:t>
            </w:r>
          </w:p>
        </w:tc>
        <w:tc>
          <w:tcPr>
            <w:tcW w:w="1275" w:type="dxa"/>
            <w:vAlign w:val="top"/>
          </w:tcPr>
          <w:p w14:paraId="5BF12BB5">
            <w:pPr>
              <w:spacing w:before="70"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118°57′35.36″</w:t>
            </w:r>
          </w:p>
        </w:tc>
        <w:tc>
          <w:tcPr>
            <w:tcW w:w="1275" w:type="dxa"/>
            <w:vAlign w:val="top"/>
          </w:tcPr>
          <w:p w14:paraId="28248FBE">
            <w:pPr>
              <w:spacing w:before="70" w:line="195" w:lineRule="auto"/>
              <w:ind w:left="82"/>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18.90″</w:t>
            </w:r>
          </w:p>
        </w:tc>
        <w:tc>
          <w:tcPr>
            <w:tcW w:w="1134" w:type="dxa"/>
            <w:vAlign w:val="top"/>
          </w:tcPr>
          <w:p w14:paraId="786EFB11">
            <w:pPr>
              <w:spacing w:before="70"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992" w:type="dxa"/>
            <w:vAlign w:val="top"/>
          </w:tcPr>
          <w:p w14:paraId="2736E896">
            <w:pPr>
              <w:spacing w:before="70" w:line="19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961" w:type="dxa"/>
            <w:vAlign w:val="top"/>
          </w:tcPr>
          <w:p w14:paraId="10AA5F08">
            <w:pPr>
              <w:spacing w:before="70"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48" w:type="dxa"/>
            <w:vAlign w:val="top"/>
          </w:tcPr>
          <w:p w14:paraId="117C96F9">
            <w:pPr>
              <w:spacing w:before="70" w:line="195" w:lineRule="auto"/>
              <w:ind w:left="6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99" w:type="dxa"/>
            <w:vAlign w:val="top"/>
          </w:tcPr>
          <w:p w14:paraId="7DC793F8">
            <w:pPr>
              <w:spacing w:before="5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1081" w:type="dxa"/>
            <w:vAlign w:val="top"/>
          </w:tcPr>
          <w:p w14:paraId="260F7F6F">
            <w:pPr>
              <w:pStyle w:val="6"/>
              <w:spacing w:before="34" w:line="217" w:lineRule="auto"/>
              <w:ind w:left="131"/>
            </w:pPr>
            <w:r>
              <w:rPr>
                <w:spacing w:val="6"/>
              </w:rPr>
              <w:t>正常排放</w:t>
            </w:r>
          </w:p>
        </w:tc>
        <w:tc>
          <w:tcPr>
            <w:tcW w:w="2333" w:type="dxa"/>
            <w:vAlign w:val="top"/>
          </w:tcPr>
          <w:p w14:paraId="4B8DA292">
            <w:pPr>
              <w:spacing w:before="70" w:line="195" w:lineRule="auto"/>
              <w:ind w:left="9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r>
    </w:tbl>
    <w:p w14:paraId="51841CBA">
      <w:pPr>
        <w:spacing w:before="274" w:line="222" w:lineRule="auto"/>
        <w:ind w:left="4543"/>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26"/>
          <w:sz w:val="20"/>
          <w:szCs w:val="20"/>
        </w:rPr>
        <w:t xml:space="preserve"> </w:t>
      </w:r>
      <w:r>
        <w:rPr>
          <w:rFonts w:ascii="Times New Roman" w:hAnsi="Times New Roman" w:eastAsia="Times New Roman" w:cs="Times New Roman"/>
          <w:spacing w:val="7"/>
          <w:sz w:val="20"/>
          <w:szCs w:val="20"/>
        </w:rPr>
        <w:t xml:space="preserve">8.1-3    </w:t>
      </w:r>
      <w:r>
        <w:rPr>
          <w:rFonts w:ascii="宋体" w:hAnsi="宋体" w:eastAsia="宋体" w:cs="宋体"/>
          <w:spacing w:val="7"/>
          <w:sz w:val="20"/>
          <w:szCs w:val="20"/>
        </w:rPr>
        <w:t>非正常排放情况下场内大气污染源参数一览表</w:t>
      </w:r>
    </w:p>
    <w:tbl>
      <w:tblPr>
        <w:tblStyle w:val="5"/>
        <w:tblW w:w="141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3262"/>
        <w:gridCol w:w="1132"/>
        <w:gridCol w:w="3019"/>
        <w:gridCol w:w="1979"/>
        <w:gridCol w:w="1840"/>
      </w:tblGrid>
      <w:tr w14:paraId="65CEC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935" w:type="dxa"/>
            <w:vAlign w:val="top"/>
          </w:tcPr>
          <w:p w14:paraId="1BD06C96">
            <w:pPr>
              <w:pStyle w:val="6"/>
              <w:spacing w:before="34" w:line="217" w:lineRule="auto"/>
              <w:ind w:left="846"/>
            </w:pPr>
            <w:r>
              <w:rPr>
                <w:spacing w:val="7"/>
              </w:rPr>
              <w:t>非正常排放源</w:t>
            </w:r>
          </w:p>
        </w:tc>
        <w:tc>
          <w:tcPr>
            <w:tcW w:w="3262" w:type="dxa"/>
            <w:vAlign w:val="top"/>
          </w:tcPr>
          <w:p w14:paraId="623C9A73">
            <w:pPr>
              <w:pStyle w:val="6"/>
              <w:spacing w:before="34" w:line="217" w:lineRule="auto"/>
              <w:ind w:left="904"/>
            </w:pPr>
            <w:r>
              <w:rPr>
                <w:spacing w:val="8"/>
              </w:rPr>
              <w:t>非正常排放原因</w:t>
            </w:r>
          </w:p>
        </w:tc>
        <w:tc>
          <w:tcPr>
            <w:tcW w:w="1132" w:type="dxa"/>
            <w:vAlign w:val="top"/>
          </w:tcPr>
          <w:p w14:paraId="4D394120">
            <w:pPr>
              <w:pStyle w:val="6"/>
              <w:spacing w:before="34" w:line="217" w:lineRule="auto"/>
              <w:ind w:left="256"/>
            </w:pPr>
            <w:r>
              <w:rPr>
                <w:spacing w:val="6"/>
              </w:rPr>
              <w:t>污染物</w:t>
            </w:r>
          </w:p>
        </w:tc>
        <w:tc>
          <w:tcPr>
            <w:tcW w:w="3019" w:type="dxa"/>
            <w:vAlign w:val="top"/>
          </w:tcPr>
          <w:p w14:paraId="5E938973">
            <w:pPr>
              <w:pStyle w:val="6"/>
              <w:spacing w:before="34" w:line="217" w:lineRule="auto"/>
              <w:ind w:left="357"/>
            </w:pPr>
            <w:r>
              <w:rPr>
                <w:spacing w:val="7"/>
              </w:rPr>
              <w:t>非正常排放速率</w:t>
            </w:r>
            <w:r>
              <w:rPr>
                <w:rFonts w:ascii="Times New Roman" w:hAnsi="Times New Roman" w:eastAsia="Times New Roman" w:cs="Times New Roman"/>
                <w:spacing w:val="7"/>
              </w:rPr>
              <w:t>/</w:t>
            </w:r>
            <w:r>
              <w:rPr>
                <w:spacing w:val="7"/>
              </w:rPr>
              <w:t>（</w:t>
            </w:r>
            <w:r>
              <w:rPr>
                <w:rFonts w:ascii="Times New Roman" w:hAnsi="Times New Roman" w:eastAsia="Times New Roman" w:cs="Times New Roman"/>
              </w:rPr>
              <w:t>kg</w:t>
            </w:r>
            <w:r>
              <w:rPr>
                <w:rFonts w:ascii="Times New Roman" w:hAnsi="Times New Roman" w:eastAsia="Times New Roman" w:cs="Times New Roman"/>
                <w:spacing w:val="7"/>
              </w:rPr>
              <w:t>/h</w:t>
            </w:r>
            <w:r>
              <w:rPr>
                <w:spacing w:val="7"/>
              </w:rPr>
              <w:t>）</w:t>
            </w:r>
          </w:p>
        </w:tc>
        <w:tc>
          <w:tcPr>
            <w:tcW w:w="1979" w:type="dxa"/>
            <w:vAlign w:val="top"/>
          </w:tcPr>
          <w:p w14:paraId="427E4F18">
            <w:pPr>
              <w:pStyle w:val="6"/>
              <w:spacing w:before="34" w:line="217" w:lineRule="auto"/>
              <w:ind w:left="286"/>
              <w:rPr>
                <w:rFonts w:ascii="Times New Roman" w:hAnsi="Times New Roman" w:eastAsia="Times New Roman" w:cs="Times New Roman"/>
              </w:rPr>
            </w:pPr>
            <w:r>
              <w:rPr>
                <w:spacing w:val="7"/>
              </w:rPr>
              <w:t>单次持续时间</w:t>
            </w:r>
            <w:r>
              <w:rPr>
                <w:rFonts w:ascii="Times New Roman" w:hAnsi="Times New Roman" w:eastAsia="Times New Roman" w:cs="Times New Roman"/>
                <w:spacing w:val="7"/>
              </w:rPr>
              <w:t>/h</w:t>
            </w:r>
          </w:p>
        </w:tc>
        <w:tc>
          <w:tcPr>
            <w:tcW w:w="1840" w:type="dxa"/>
            <w:vAlign w:val="top"/>
          </w:tcPr>
          <w:p w14:paraId="68BF3BCC">
            <w:pPr>
              <w:pStyle w:val="6"/>
              <w:spacing w:before="34" w:line="217" w:lineRule="auto"/>
              <w:ind w:left="267"/>
            </w:pPr>
            <w:r>
              <w:rPr>
                <w:spacing w:val="7"/>
              </w:rPr>
              <w:t>年发生频次</w:t>
            </w:r>
            <w:r>
              <w:rPr>
                <w:rFonts w:ascii="Times New Roman" w:hAnsi="Times New Roman" w:eastAsia="Times New Roman" w:cs="Times New Roman"/>
                <w:spacing w:val="7"/>
              </w:rPr>
              <w:t>/</w:t>
            </w:r>
            <w:r>
              <w:rPr>
                <w:spacing w:val="7"/>
              </w:rPr>
              <w:t>次</w:t>
            </w:r>
          </w:p>
        </w:tc>
      </w:tr>
      <w:tr w14:paraId="4E811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935" w:type="dxa"/>
            <w:vAlign w:val="top"/>
          </w:tcPr>
          <w:p w14:paraId="50654B71">
            <w:pPr>
              <w:pStyle w:val="6"/>
              <w:spacing w:before="33" w:line="215" w:lineRule="auto"/>
              <w:ind w:left="737"/>
            </w:pPr>
            <w:r>
              <w:rPr>
                <w:spacing w:val="8"/>
              </w:rPr>
              <w:t>粗碎车间排气筒</w:t>
            </w:r>
          </w:p>
        </w:tc>
        <w:tc>
          <w:tcPr>
            <w:tcW w:w="3262" w:type="dxa"/>
            <w:vAlign w:val="top"/>
          </w:tcPr>
          <w:p w14:paraId="54E6C8E9">
            <w:pPr>
              <w:pStyle w:val="6"/>
              <w:spacing w:before="33" w:line="215" w:lineRule="auto"/>
              <w:ind w:left="517"/>
              <w:rPr>
                <w:rFonts w:ascii="Times New Roman" w:hAnsi="Times New Roman" w:eastAsia="Times New Roman" w:cs="Times New Roman"/>
              </w:rPr>
            </w:pPr>
            <w:r>
              <w:rPr>
                <w:spacing w:val="7"/>
              </w:rPr>
              <w:t>除尘器除尘效率降低到</w:t>
            </w:r>
            <w:r>
              <w:rPr>
                <w:spacing w:val="-38"/>
              </w:rPr>
              <w:t xml:space="preserve"> </w:t>
            </w:r>
            <w:r>
              <w:rPr>
                <w:rFonts w:ascii="Times New Roman" w:hAnsi="Times New Roman" w:eastAsia="Times New Roman" w:cs="Times New Roman"/>
                <w:spacing w:val="7"/>
              </w:rPr>
              <w:t>0</w:t>
            </w:r>
          </w:p>
        </w:tc>
        <w:tc>
          <w:tcPr>
            <w:tcW w:w="1132" w:type="dxa"/>
            <w:vAlign w:val="top"/>
          </w:tcPr>
          <w:p w14:paraId="335B85A0">
            <w:pPr>
              <w:spacing w:before="6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3019" w:type="dxa"/>
            <w:vAlign w:val="top"/>
          </w:tcPr>
          <w:p w14:paraId="0617170D">
            <w:pPr>
              <w:spacing w:before="69" w:line="195" w:lineRule="auto"/>
              <w:ind w:left="13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1979" w:type="dxa"/>
            <w:vAlign w:val="top"/>
          </w:tcPr>
          <w:p w14:paraId="31823BDE">
            <w:pPr>
              <w:spacing w:before="69" w:line="195" w:lineRule="auto"/>
              <w:ind w:left="8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40" w:type="dxa"/>
            <w:vAlign w:val="top"/>
          </w:tcPr>
          <w:p w14:paraId="3253A803">
            <w:pPr>
              <w:spacing w:before="69" w:line="195" w:lineRule="auto"/>
              <w:ind w:left="8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3860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935" w:type="dxa"/>
            <w:vAlign w:val="top"/>
          </w:tcPr>
          <w:p w14:paraId="543B78A2">
            <w:pPr>
              <w:pStyle w:val="6"/>
              <w:spacing w:before="32" w:line="219" w:lineRule="auto"/>
              <w:ind w:left="757"/>
            </w:pPr>
            <w:r>
              <w:rPr>
                <w:spacing w:val="5"/>
              </w:rPr>
              <w:t>中间堆场排气筒</w:t>
            </w:r>
          </w:p>
        </w:tc>
        <w:tc>
          <w:tcPr>
            <w:tcW w:w="3262" w:type="dxa"/>
            <w:vAlign w:val="top"/>
          </w:tcPr>
          <w:p w14:paraId="59B4ECB7">
            <w:pPr>
              <w:pStyle w:val="6"/>
              <w:spacing w:before="32" w:line="219" w:lineRule="auto"/>
              <w:ind w:left="517"/>
              <w:rPr>
                <w:rFonts w:ascii="Times New Roman" w:hAnsi="Times New Roman" w:eastAsia="Times New Roman" w:cs="Times New Roman"/>
              </w:rPr>
            </w:pPr>
            <w:r>
              <w:rPr>
                <w:spacing w:val="7"/>
              </w:rPr>
              <w:t>除尘器除尘效率降低到</w:t>
            </w:r>
            <w:r>
              <w:rPr>
                <w:spacing w:val="-38"/>
              </w:rPr>
              <w:t xml:space="preserve"> </w:t>
            </w:r>
            <w:r>
              <w:rPr>
                <w:rFonts w:ascii="Times New Roman" w:hAnsi="Times New Roman" w:eastAsia="Times New Roman" w:cs="Times New Roman"/>
                <w:spacing w:val="7"/>
              </w:rPr>
              <w:t>0</w:t>
            </w:r>
          </w:p>
        </w:tc>
        <w:tc>
          <w:tcPr>
            <w:tcW w:w="1132" w:type="dxa"/>
            <w:vAlign w:val="top"/>
          </w:tcPr>
          <w:p w14:paraId="37D425F6">
            <w:pPr>
              <w:spacing w:before="6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3019" w:type="dxa"/>
            <w:vAlign w:val="top"/>
          </w:tcPr>
          <w:p w14:paraId="5350DB36">
            <w:pPr>
              <w:spacing w:before="69" w:line="195" w:lineRule="auto"/>
              <w:ind w:left="13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1979" w:type="dxa"/>
            <w:vAlign w:val="top"/>
          </w:tcPr>
          <w:p w14:paraId="1F7B14B5">
            <w:pPr>
              <w:spacing w:before="69" w:line="195" w:lineRule="auto"/>
              <w:ind w:left="8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40" w:type="dxa"/>
            <w:vAlign w:val="top"/>
          </w:tcPr>
          <w:p w14:paraId="7DD868EE">
            <w:pPr>
              <w:spacing w:before="69" w:line="195" w:lineRule="auto"/>
              <w:ind w:left="8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14:paraId="54151BFF">
      <w:pPr>
        <w:pStyle w:val="2"/>
      </w:pPr>
    </w:p>
    <w:p w14:paraId="34CD2B75">
      <w:pPr>
        <w:sectPr>
          <w:headerReference r:id="rId226" w:type="default"/>
          <w:footerReference r:id="rId227" w:type="default"/>
          <w:pgSz w:w="16839" w:h="11906"/>
          <w:pgMar w:top="1065" w:right="1262" w:bottom="671" w:left="1327" w:header="681" w:footer="509" w:gutter="0"/>
          <w:cols w:space="720" w:num="1"/>
        </w:sectPr>
      </w:pPr>
    </w:p>
    <w:p w14:paraId="01C790B2">
      <w:pPr>
        <w:pStyle w:val="2"/>
        <w:spacing w:line="265" w:lineRule="auto"/>
      </w:pPr>
    </w:p>
    <w:p w14:paraId="518CD0AF">
      <w:pPr>
        <w:spacing w:before="78" w:line="219" w:lineRule="auto"/>
        <w:ind w:left="500"/>
        <w:outlineLvl w:val="2"/>
        <w:rPr>
          <w:rFonts w:ascii="宋体" w:hAnsi="宋体" w:eastAsia="宋体" w:cs="宋体"/>
          <w:sz w:val="24"/>
          <w:szCs w:val="24"/>
        </w:rPr>
      </w:pPr>
      <w:bookmarkStart w:id="122" w:name="bookmark108"/>
      <w:bookmarkEnd w:id="122"/>
      <w:r>
        <w:rPr>
          <w:rFonts w:ascii="Times New Roman" w:hAnsi="Times New Roman" w:eastAsia="Times New Roman" w:cs="Times New Roman"/>
          <w:b/>
          <w:bCs/>
          <w:spacing w:val="-3"/>
          <w:sz w:val="24"/>
          <w:szCs w:val="24"/>
        </w:rPr>
        <w:t>8.1.2</w:t>
      </w:r>
      <w:r>
        <w:rPr>
          <w:rFonts w:ascii="Times New Roman" w:hAnsi="Times New Roman" w:eastAsia="Times New Roman" w:cs="Times New Roman"/>
          <w:b/>
          <w:bCs/>
          <w:spacing w:val="19"/>
          <w:w w:val="101"/>
          <w:sz w:val="24"/>
          <w:szCs w:val="24"/>
        </w:rPr>
        <w:t xml:space="preserve"> </w:t>
      </w:r>
      <w:r>
        <w:rPr>
          <w:rFonts w:ascii="宋体" w:hAnsi="宋体" w:eastAsia="宋体" w:cs="宋体"/>
          <w:b/>
          <w:bCs/>
          <w:spacing w:val="-3"/>
          <w:sz w:val="24"/>
          <w:szCs w:val="24"/>
        </w:rPr>
        <w:t>常规地面气象资料分析</w:t>
      </w:r>
    </w:p>
    <w:p w14:paraId="3ED1D4E0">
      <w:pPr>
        <w:spacing w:before="182" w:line="360" w:lineRule="auto"/>
        <w:ind w:left="26" w:right="181" w:firstLine="475"/>
        <w:jc w:val="both"/>
        <w:rPr>
          <w:rFonts w:ascii="宋体" w:hAnsi="宋体" w:eastAsia="宋体" w:cs="宋体"/>
          <w:sz w:val="24"/>
          <w:szCs w:val="24"/>
        </w:rPr>
      </w:pPr>
      <w:r>
        <w:rPr>
          <w:rFonts w:ascii="宋体" w:hAnsi="宋体" w:eastAsia="宋体" w:cs="宋体"/>
          <w:sz w:val="24"/>
          <w:szCs w:val="24"/>
        </w:rPr>
        <w:t>本次评价的地面气象历史资料，来源于西乌旗</w:t>
      </w:r>
      <w:r>
        <w:rPr>
          <w:rFonts w:ascii="宋体" w:hAnsi="宋体" w:eastAsia="宋体" w:cs="宋体"/>
          <w:spacing w:val="-1"/>
          <w:sz w:val="24"/>
          <w:szCs w:val="24"/>
        </w:rPr>
        <w:t>气象站（局）近年常规气象</w:t>
      </w:r>
      <w:r>
        <w:rPr>
          <w:rFonts w:ascii="宋体" w:hAnsi="宋体" w:eastAsia="宋体" w:cs="宋体"/>
          <w:sz w:val="24"/>
          <w:szCs w:val="24"/>
        </w:rPr>
        <w:t xml:space="preserve"> </w:t>
      </w:r>
      <w:r>
        <w:rPr>
          <w:rFonts w:ascii="宋体" w:hAnsi="宋体" w:eastAsia="宋体" w:cs="宋体"/>
          <w:spacing w:val="-1"/>
          <w:sz w:val="24"/>
          <w:szCs w:val="24"/>
        </w:rPr>
        <w:t>统计资料。该站（局）址位于巴拉嘎尔高勒镇，地理</w:t>
      </w:r>
      <w:r>
        <w:rPr>
          <w:rFonts w:ascii="宋体" w:hAnsi="宋体" w:eastAsia="宋体" w:cs="宋体"/>
          <w:spacing w:val="-2"/>
          <w:sz w:val="24"/>
          <w:szCs w:val="24"/>
        </w:rPr>
        <w:t xml:space="preserve">坐标为北纬 </w:t>
      </w:r>
      <w:r>
        <w:rPr>
          <w:rFonts w:ascii="Times New Roman" w:hAnsi="Times New Roman" w:eastAsia="Times New Roman" w:cs="Times New Roman"/>
          <w:spacing w:val="-2"/>
          <w:sz w:val="24"/>
          <w:szCs w:val="24"/>
        </w:rPr>
        <w:t>44º35′</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、东径</w:t>
      </w:r>
      <w:r>
        <w:rPr>
          <w:rFonts w:ascii="宋体" w:hAnsi="宋体" w:eastAsia="宋体" w:cs="宋体"/>
          <w:sz w:val="24"/>
          <w:szCs w:val="24"/>
        </w:rPr>
        <w:t xml:space="preserve"> </w:t>
      </w:r>
      <w:r>
        <w:rPr>
          <w:rFonts w:ascii="Times New Roman" w:hAnsi="Times New Roman" w:eastAsia="Times New Roman" w:cs="Times New Roman"/>
          <w:spacing w:val="-3"/>
          <w:sz w:val="24"/>
          <w:szCs w:val="24"/>
        </w:rPr>
        <w:t>117º36′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，拔海高度</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995.9m</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。站点与评价范围地理特征基本一致。</w:t>
      </w:r>
    </w:p>
    <w:p w14:paraId="283E21B2">
      <w:pPr>
        <w:spacing w:line="219"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）气候特征</w:t>
      </w:r>
    </w:p>
    <w:p w14:paraId="09A51826">
      <w:pPr>
        <w:spacing w:before="183" w:line="360" w:lineRule="auto"/>
        <w:ind w:left="21" w:right="101" w:firstLine="485"/>
        <w:rPr>
          <w:rFonts w:ascii="宋体" w:hAnsi="宋体" w:eastAsia="宋体" w:cs="宋体"/>
          <w:sz w:val="24"/>
          <w:szCs w:val="24"/>
        </w:rPr>
      </w:pPr>
      <w:r>
        <w:rPr>
          <w:rFonts w:ascii="宋体" w:hAnsi="宋体" w:eastAsia="宋体" w:cs="宋体"/>
          <w:spacing w:val="-5"/>
          <w:sz w:val="24"/>
          <w:szCs w:val="24"/>
        </w:rPr>
        <w:t>西乌旗地处内蒙古高原中部中纬度西风气流带内，</w:t>
      </w:r>
      <w:r>
        <w:rPr>
          <w:rFonts w:ascii="宋体" w:hAnsi="宋体" w:eastAsia="宋体" w:cs="宋体"/>
          <w:spacing w:val="-6"/>
          <w:sz w:val="24"/>
          <w:szCs w:val="24"/>
        </w:rPr>
        <w:t>属于温带大陆性气候区。</w:t>
      </w:r>
      <w:r>
        <w:rPr>
          <w:rFonts w:ascii="宋体" w:hAnsi="宋体" w:eastAsia="宋体" w:cs="宋体"/>
          <w:sz w:val="24"/>
          <w:szCs w:val="24"/>
        </w:rPr>
        <w:t xml:space="preserve"> 其气候特征主要表现为：冬季寒冷而漫长，春季气候</w:t>
      </w:r>
      <w:r>
        <w:rPr>
          <w:rFonts w:ascii="宋体" w:hAnsi="宋体" w:eastAsia="宋体" w:cs="宋体"/>
          <w:spacing w:val="-1"/>
          <w:sz w:val="24"/>
          <w:szCs w:val="24"/>
        </w:rPr>
        <w:t>干燥、风沙较多，夏季炎</w:t>
      </w:r>
      <w:r>
        <w:rPr>
          <w:rFonts w:ascii="宋体" w:hAnsi="宋体" w:eastAsia="宋体" w:cs="宋体"/>
          <w:sz w:val="24"/>
          <w:szCs w:val="24"/>
        </w:rPr>
        <w:t xml:space="preserve"> </w:t>
      </w:r>
      <w:r>
        <w:rPr>
          <w:rFonts w:ascii="宋体" w:hAnsi="宋体" w:eastAsia="宋体" w:cs="宋体"/>
          <w:spacing w:val="10"/>
          <w:sz w:val="24"/>
          <w:szCs w:val="24"/>
        </w:rPr>
        <w:t>热而短暂</w:t>
      </w:r>
      <w:r>
        <w:rPr>
          <w:rFonts w:ascii="宋体" w:hAnsi="宋体" w:eastAsia="宋体" w:cs="宋体"/>
          <w:spacing w:val="-65"/>
          <w:sz w:val="24"/>
          <w:szCs w:val="24"/>
        </w:rPr>
        <w:t xml:space="preserve"> </w:t>
      </w:r>
      <w:r>
        <w:rPr>
          <w:rFonts w:ascii="宋体" w:hAnsi="宋体" w:eastAsia="宋体" w:cs="宋体"/>
          <w:spacing w:val="10"/>
          <w:sz w:val="24"/>
          <w:szCs w:val="24"/>
        </w:rPr>
        <w:t>，秋季秋高气爽、气候宜人</w:t>
      </w:r>
      <w:r>
        <w:rPr>
          <w:rFonts w:ascii="宋体" w:hAnsi="宋体" w:eastAsia="宋体" w:cs="宋体"/>
          <w:spacing w:val="-68"/>
          <w:sz w:val="24"/>
          <w:szCs w:val="24"/>
        </w:rPr>
        <w:t xml:space="preserve"> </w:t>
      </w:r>
      <w:r>
        <w:rPr>
          <w:rFonts w:ascii="宋体" w:hAnsi="宋体" w:eastAsia="宋体" w:cs="宋体"/>
          <w:spacing w:val="10"/>
          <w:sz w:val="24"/>
          <w:szCs w:val="24"/>
        </w:rPr>
        <w:t>。年平均气温为</w:t>
      </w:r>
      <w:r>
        <w:rPr>
          <w:rFonts w:ascii="宋体" w:hAnsi="宋体" w:eastAsia="宋体" w:cs="宋体"/>
          <w:spacing w:val="41"/>
          <w:sz w:val="24"/>
          <w:szCs w:val="24"/>
        </w:rPr>
        <w:t xml:space="preserve"> </w:t>
      </w:r>
      <w:r>
        <w:rPr>
          <w:rFonts w:ascii="Times New Roman" w:hAnsi="Times New Roman" w:eastAsia="Times New Roman" w:cs="Times New Roman"/>
          <w:spacing w:val="10"/>
          <w:sz w:val="24"/>
          <w:szCs w:val="24"/>
        </w:rPr>
        <w:t>2.6℃</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、平均气压为</w:t>
      </w:r>
      <w:r>
        <w:rPr>
          <w:rFonts w:ascii="宋体" w:hAnsi="宋体" w:eastAsia="宋体" w:cs="宋体"/>
          <w:sz w:val="24"/>
          <w:szCs w:val="24"/>
        </w:rPr>
        <w:t xml:space="preserve"> </w:t>
      </w:r>
      <w:r>
        <w:rPr>
          <w:rFonts w:ascii="Times New Roman" w:hAnsi="Times New Roman" w:eastAsia="Times New Roman" w:cs="Times New Roman"/>
          <w:spacing w:val="-5"/>
          <w:sz w:val="24"/>
          <w:szCs w:val="24"/>
        </w:rPr>
        <w:t>900.9hPa</w:t>
      </w:r>
      <w:r>
        <w:rPr>
          <w:rFonts w:ascii="宋体" w:hAnsi="宋体" w:eastAsia="宋体" w:cs="宋体"/>
          <w:spacing w:val="-5"/>
          <w:sz w:val="24"/>
          <w:szCs w:val="24"/>
        </w:rPr>
        <w:t xml:space="preserve">、平均相对湿度为 </w:t>
      </w:r>
      <w:r>
        <w:rPr>
          <w:rFonts w:ascii="Times New Roman" w:hAnsi="Times New Roman" w:eastAsia="Times New Roman" w:cs="Times New Roman"/>
          <w:spacing w:val="-5"/>
          <w:sz w:val="24"/>
          <w:szCs w:val="24"/>
        </w:rPr>
        <w:t>59%</w:t>
      </w:r>
      <w:r>
        <w:rPr>
          <w:rFonts w:ascii="宋体" w:hAnsi="宋体" w:eastAsia="宋体" w:cs="宋体"/>
          <w:spacing w:val="-5"/>
          <w:sz w:val="24"/>
          <w:szCs w:val="24"/>
        </w:rPr>
        <w:t xml:space="preserve">；年降水量为 </w:t>
      </w:r>
      <w:r>
        <w:rPr>
          <w:rFonts w:ascii="Times New Roman" w:hAnsi="Times New Roman" w:eastAsia="Times New Roman" w:cs="Times New Roman"/>
          <w:spacing w:val="-5"/>
          <w:sz w:val="24"/>
          <w:szCs w:val="24"/>
        </w:rPr>
        <w:t>259.5mm</w:t>
      </w:r>
      <w:r>
        <w:rPr>
          <w:rFonts w:ascii="宋体" w:hAnsi="宋体" w:eastAsia="宋体" w:cs="宋体"/>
          <w:spacing w:val="-5"/>
          <w:sz w:val="24"/>
          <w:szCs w:val="24"/>
        </w:rPr>
        <w:t xml:space="preserve">，降水主要集中在 </w:t>
      </w:r>
      <w:r>
        <w:rPr>
          <w:rFonts w:ascii="Times New Roman" w:hAnsi="Times New Roman" w:eastAsia="Times New Roman" w:cs="Times New Roman"/>
          <w:spacing w:val="-5"/>
          <w:sz w:val="24"/>
          <w:szCs w:val="24"/>
        </w:rPr>
        <w:t>5—8</w:t>
      </w:r>
      <w:r>
        <w:rPr>
          <w:rFonts w:ascii="Times New Roman" w:hAnsi="Times New Roman" w:eastAsia="Times New Roman" w:cs="Times New Roman"/>
          <w:spacing w:val="3"/>
          <w:sz w:val="24"/>
          <w:szCs w:val="24"/>
        </w:rPr>
        <w:t xml:space="preserve">  </w:t>
      </w:r>
      <w:r>
        <w:rPr>
          <w:rFonts w:ascii="宋体" w:hAnsi="宋体" w:eastAsia="宋体" w:cs="宋体"/>
          <w:spacing w:val="-2"/>
          <w:sz w:val="24"/>
          <w:szCs w:val="24"/>
        </w:rPr>
        <w:t xml:space="preserve">月份；年蒸发量为 </w:t>
      </w:r>
      <w:r>
        <w:rPr>
          <w:rFonts w:ascii="Times New Roman" w:hAnsi="Times New Roman" w:eastAsia="Times New Roman" w:cs="Times New Roman"/>
          <w:spacing w:val="-2"/>
          <w:sz w:val="24"/>
          <w:szCs w:val="24"/>
        </w:rPr>
        <w:t>1750.2mm</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 xml:space="preserve">。该地区年平均风速为 </w:t>
      </w:r>
      <w:r>
        <w:rPr>
          <w:rFonts w:ascii="Times New Roman" w:hAnsi="Times New Roman" w:eastAsia="Times New Roman" w:cs="Times New Roman"/>
          <w:spacing w:val="-2"/>
          <w:sz w:val="24"/>
          <w:szCs w:val="24"/>
        </w:rPr>
        <w:t>2.3m/s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，全年以春季风速</w:t>
      </w:r>
      <w:r>
        <w:rPr>
          <w:rFonts w:ascii="宋体" w:hAnsi="宋体" w:eastAsia="宋体" w:cs="宋体"/>
          <w:sz w:val="24"/>
          <w:szCs w:val="24"/>
        </w:rPr>
        <w:t xml:space="preserve"> </w:t>
      </w:r>
      <w:r>
        <w:rPr>
          <w:rFonts w:ascii="宋体" w:hAnsi="宋体" w:eastAsia="宋体" w:cs="宋体"/>
          <w:spacing w:val="-4"/>
          <w:sz w:val="24"/>
          <w:szCs w:val="24"/>
        </w:rPr>
        <w:t>最大。</w:t>
      </w:r>
    </w:p>
    <w:p w14:paraId="32C08825">
      <w:pPr>
        <w:spacing w:line="220" w:lineRule="auto"/>
        <w:ind w:left="5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）风向、风速</w:t>
      </w:r>
    </w:p>
    <w:p w14:paraId="1CB82481">
      <w:pPr>
        <w:spacing w:before="182" w:line="217" w:lineRule="auto"/>
        <w:ind w:left="500"/>
        <w:rPr>
          <w:rFonts w:ascii="宋体" w:hAnsi="宋体" w:eastAsia="宋体" w:cs="宋体"/>
          <w:sz w:val="24"/>
          <w:szCs w:val="24"/>
        </w:rPr>
      </w:pPr>
      <w:r>
        <w:rPr>
          <w:rFonts w:ascii="宋体" w:hAnsi="宋体" w:eastAsia="宋体" w:cs="宋体"/>
          <w:spacing w:val="-3"/>
          <w:sz w:val="24"/>
          <w:szCs w:val="24"/>
        </w:rPr>
        <w:t>①风向</w:t>
      </w:r>
    </w:p>
    <w:p w14:paraId="062AE765">
      <w:pPr>
        <w:spacing w:before="185" w:line="360" w:lineRule="auto"/>
        <w:ind w:left="20" w:firstLine="480"/>
        <w:rPr>
          <w:rFonts w:ascii="宋体" w:hAnsi="宋体" w:eastAsia="宋体" w:cs="宋体"/>
          <w:sz w:val="24"/>
          <w:szCs w:val="24"/>
        </w:rPr>
      </w:pPr>
      <w:r>
        <w:rPr>
          <w:rFonts w:ascii="宋体" w:hAnsi="宋体" w:eastAsia="宋体" w:cs="宋体"/>
          <w:spacing w:val="-5"/>
          <w:sz w:val="24"/>
          <w:szCs w:val="24"/>
        </w:rPr>
        <w:t xml:space="preserve">根据项目所在地近二十年地面风向资料统计结果，年主导风向为 </w:t>
      </w:r>
      <w:r>
        <w:rPr>
          <w:rFonts w:ascii="Times New Roman" w:hAnsi="Times New Roman" w:eastAsia="Times New Roman" w:cs="Times New Roman"/>
          <w:spacing w:val="-5"/>
          <w:sz w:val="24"/>
          <w:szCs w:val="24"/>
        </w:rPr>
        <w:t xml:space="preserve">WSW  </w:t>
      </w:r>
      <w:r>
        <w:rPr>
          <w:rFonts w:ascii="宋体" w:hAnsi="宋体" w:eastAsia="宋体" w:cs="宋体"/>
          <w:spacing w:val="-5"/>
          <w:sz w:val="24"/>
          <w:szCs w:val="24"/>
        </w:rPr>
        <w:t>风，</w:t>
      </w:r>
      <w:r>
        <w:rPr>
          <w:rFonts w:ascii="宋体" w:hAnsi="宋体" w:eastAsia="宋体" w:cs="宋体"/>
          <w:spacing w:val="4"/>
          <w:sz w:val="24"/>
          <w:szCs w:val="24"/>
        </w:rPr>
        <w:t xml:space="preserve"> </w:t>
      </w:r>
      <w:r>
        <w:rPr>
          <w:rFonts w:ascii="宋体" w:hAnsi="宋体" w:eastAsia="宋体" w:cs="宋体"/>
          <w:sz w:val="24"/>
          <w:szCs w:val="24"/>
        </w:rPr>
        <w:t>出现频率为</w:t>
      </w:r>
      <w:r>
        <w:rPr>
          <w:rFonts w:ascii="宋体" w:hAnsi="宋体" w:eastAsia="宋体" w:cs="宋体"/>
          <w:spacing w:val="-12"/>
          <w:sz w:val="24"/>
          <w:szCs w:val="24"/>
        </w:rPr>
        <w:t xml:space="preserve"> </w:t>
      </w:r>
      <w:r>
        <w:rPr>
          <w:rFonts w:ascii="Times New Roman" w:hAnsi="Times New Roman" w:eastAsia="Times New Roman" w:cs="Times New Roman"/>
          <w:sz w:val="24"/>
          <w:szCs w:val="24"/>
        </w:rPr>
        <w:t>12.5%</w:t>
      </w:r>
      <w:r>
        <w:rPr>
          <w:rFonts w:ascii="宋体" w:hAnsi="宋体" w:eastAsia="宋体" w:cs="宋体"/>
          <w:sz w:val="24"/>
          <w:szCs w:val="24"/>
        </w:rPr>
        <w:t>；春季主导风向为</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WSW </w:t>
      </w:r>
      <w:r>
        <w:rPr>
          <w:rFonts w:ascii="宋体" w:hAnsi="宋体" w:eastAsia="宋体" w:cs="宋体"/>
          <w:sz w:val="24"/>
          <w:szCs w:val="24"/>
        </w:rPr>
        <w:t>风，出现频率为</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14.0%</w:t>
      </w:r>
      <w:r>
        <w:rPr>
          <w:rFonts w:ascii="宋体" w:hAnsi="宋体" w:eastAsia="宋体" w:cs="宋体"/>
          <w:sz w:val="24"/>
          <w:szCs w:val="24"/>
        </w:rPr>
        <w:t xml:space="preserve">；夏季主导  </w:t>
      </w:r>
      <w:r>
        <w:rPr>
          <w:rFonts w:ascii="宋体" w:hAnsi="宋体" w:eastAsia="宋体" w:cs="宋体"/>
          <w:spacing w:val="-12"/>
          <w:sz w:val="24"/>
          <w:szCs w:val="24"/>
        </w:rPr>
        <w:t>风向为</w:t>
      </w:r>
      <w:r>
        <w:rPr>
          <w:rFonts w:ascii="宋体" w:hAnsi="宋体" w:eastAsia="宋体" w:cs="宋体"/>
          <w:spacing w:val="-57"/>
          <w:sz w:val="24"/>
          <w:szCs w:val="24"/>
        </w:rPr>
        <w:t xml:space="preserve"> </w:t>
      </w:r>
      <w:r>
        <w:rPr>
          <w:rFonts w:ascii="Times New Roman" w:hAnsi="Times New Roman" w:eastAsia="Times New Roman" w:cs="Times New Roman"/>
          <w:spacing w:val="-12"/>
          <w:sz w:val="24"/>
          <w:szCs w:val="24"/>
        </w:rPr>
        <w:t xml:space="preserve">SE </w:t>
      </w:r>
      <w:r>
        <w:rPr>
          <w:rFonts w:ascii="宋体" w:hAnsi="宋体" w:eastAsia="宋体" w:cs="宋体"/>
          <w:spacing w:val="-12"/>
          <w:sz w:val="24"/>
          <w:szCs w:val="24"/>
        </w:rPr>
        <w:t>风，出现频率为</w:t>
      </w:r>
      <w:r>
        <w:rPr>
          <w:rFonts w:ascii="宋体" w:hAnsi="宋体" w:eastAsia="宋体" w:cs="宋体"/>
          <w:spacing w:val="-60"/>
          <w:sz w:val="24"/>
          <w:szCs w:val="24"/>
        </w:rPr>
        <w:t xml:space="preserve"> </w:t>
      </w:r>
      <w:r>
        <w:rPr>
          <w:rFonts w:ascii="Times New Roman" w:hAnsi="Times New Roman" w:eastAsia="Times New Roman" w:cs="Times New Roman"/>
          <w:spacing w:val="-12"/>
          <w:sz w:val="24"/>
          <w:szCs w:val="24"/>
        </w:rPr>
        <w:t>9.7%</w:t>
      </w:r>
      <w:r>
        <w:rPr>
          <w:rFonts w:ascii="宋体" w:hAnsi="宋体" w:eastAsia="宋体" w:cs="宋体"/>
          <w:spacing w:val="-12"/>
          <w:sz w:val="24"/>
          <w:szCs w:val="24"/>
        </w:rPr>
        <w:t>；秋季主导风向为</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 xml:space="preserve">SW </w:t>
      </w:r>
      <w:r>
        <w:rPr>
          <w:rFonts w:ascii="宋体" w:hAnsi="宋体" w:eastAsia="宋体" w:cs="宋体"/>
          <w:spacing w:val="-13"/>
          <w:sz w:val="24"/>
          <w:szCs w:val="24"/>
        </w:rPr>
        <w:t>风，出现频率分别为</w:t>
      </w:r>
      <w:r>
        <w:rPr>
          <w:rFonts w:ascii="宋体" w:hAnsi="宋体" w:eastAsia="宋体" w:cs="宋体"/>
          <w:spacing w:val="-44"/>
          <w:sz w:val="24"/>
          <w:szCs w:val="24"/>
        </w:rPr>
        <w:t xml:space="preserve"> </w:t>
      </w:r>
      <w:r>
        <w:rPr>
          <w:rFonts w:ascii="Times New Roman" w:hAnsi="Times New Roman" w:eastAsia="Times New Roman" w:cs="Times New Roman"/>
          <w:spacing w:val="-13"/>
          <w:sz w:val="24"/>
          <w:szCs w:val="24"/>
        </w:rPr>
        <w:t>11.0%</w:t>
      </w:r>
      <w:r>
        <w:rPr>
          <w:rFonts w:ascii="宋体" w:hAnsi="宋体" w:eastAsia="宋体" w:cs="宋体"/>
          <w:spacing w:val="-13"/>
          <w:sz w:val="24"/>
          <w:szCs w:val="24"/>
        </w:rPr>
        <w:t>；</w:t>
      </w:r>
      <w:r>
        <w:rPr>
          <w:rFonts w:ascii="宋体" w:hAnsi="宋体" w:eastAsia="宋体" w:cs="宋体"/>
          <w:sz w:val="24"/>
          <w:szCs w:val="24"/>
        </w:rPr>
        <w:t xml:space="preserve"> 冬季主导风向为</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 xml:space="preserve">WSW </w:t>
      </w:r>
      <w:r>
        <w:rPr>
          <w:rFonts w:ascii="宋体" w:hAnsi="宋体" w:eastAsia="宋体" w:cs="宋体"/>
          <w:sz w:val="24"/>
          <w:szCs w:val="24"/>
        </w:rPr>
        <w:t>风，出现频率为</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24.3%</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。全年静风</w:t>
      </w:r>
      <w:r>
        <w:rPr>
          <w:rFonts w:ascii="宋体" w:hAnsi="宋体" w:eastAsia="宋体" w:cs="宋体"/>
          <w:spacing w:val="-1"/>
          <w:sz w:val="24"/>
          <w:szCs w:val="24"/>
        </w:rPr>
        <w:t>频率为</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28.7%</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。全年</w:t>
      </w:r>
      <w:r>
        <w:rPr>
          <w:rFonts w:ascii="宋体" w:hAnsi="宋体" w:eastAsia="宋体" w:cs="宋体"/>
          <w:sz w:val="24"/>
          <w:szCs w:val="24"/>
        </w:rPr>
        <w:t xml:space="preserve">  </w:t>
      </w:r>
      <w:r>
        <w:rPr>
          <w:rFonts w:ascii="宋体" w:hAnsi="宋体" w:eastAsia="宋体" w:cs="宋体"/>
          <w:spacing w:val="-2"/>
          <w:sz w:val="24"/>
          <w:szCs w:val="24"/>
        </w:rPr>
        <w:t>及四季风向频率统计结果见表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8.1-4</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，风频玫瑰</w:t>
      </w:r>
      <w:r>
        <w:rPr>
          <w:rFonts w:ascii="宋体" w:hAnsi="宋体" w:eastAsia="宋体" w:cs="宋体"/>
          <w:spacing w:val="-3"/>
          <w:sz w:val="24"/>
          <w:szCs w:val="24"/>
        </w:rPr>
        <w:t>见图</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8.1-1</w:t>
      </w:r>
      <w:r>
        <w:rPr>
          <w:rFonts w:ascii="宋体" w:hAnsi="宋体" w:eastAsia="宋体" w:cs="宋体"/>
          <w:spacing w:val="-3"/>
          <w:sz w:val="24"/>
          <w:szCs w:val="24"/>
        </w:rPr>
        <w:t>。</w:t>
      </w:r>
    </w:p>
    <w:p w14:paraId="7E37872A">
      <w:pPr>
        <w:spacing w:before="1" w:line="219" w:lineRule="auto"/>
        <w:ind w:left="500"/>
        <w:rPr>
          <w:rFonts w:ascii="宋体" w:hAnsi="宋体" w:eastAsia="宋体" w:cs="宋体"/>
          <w:sz w:val="24"/>
          <w:szCs w:val="24"/>
        </w:rPr>
      </w:pPr>
      <w:r>
        <w:rPr>
          <w:rFonts w:ascii="宋体" w:hAnsi="宋体" w:eastAsia="宋体" w:cs="宋体"/>
          <w:sz w:val="24"/>
          <w:szCs w:val="24"/>
        </w:rPr>
        <w:t xml:space="preserve">表 </w:t>
      </w:r>
      <w:r>
        <w:rPr>
          <w:rFonts w:ascii="Times New Roman" w:hAnsi="Times New Roman" w:eastAsia="Times New Roman" w:cs="Times New Roman"/>
          <w:sz w:val="24"/>
          <w:szCs w:val="24"/>
        </w:rPr>
        <w:t xml:space="preserve">8.1-4    </w:t>
      </w:r>
      <w:r>
        <w:rPr>
          <w:rFonts w:ascii="宋体" w:hAnsi="宋体" w:eastAsia="宋体" w:cs="宋体"/>
          <w:sz w:val="24"/>
          <w:szCs w:val="24"/>
        </w:rPr>
        <w:t>西乌旗气象站（局）近二</w:t>
      </w:r>
      <w:r>
        <w:rPr>
          <w:rFonts w:ascii="宋体" w:hAnsi="宋体" w:eastAsia="宋体" w:cs="宋体"/>
          <w:spacing w:val="-1"/>
          <w:sz w:val="24"/>
          <w:szCs w:val="24"/>
        </w:rPr>
        <w:t>十年地面风向频率（</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341C19D4">
      <w:pPr>
        <w:spacing w:line="69" w:lineRule="exact"/>
      </w:pPr>
    </w:p>
    <w:tbl>
      <w:tblPr>
        <w:tblStyle w:val="5"/>
        <w:tblW w:w="8063"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346"/>
        <w:gridCol w:w="1346"/>
        <w:gridCol w:w="1334"/>
        <w:gridCol w:w="1334"/>
        <w:gridCol w:w="1340"/>
      </w:tblGrid>
      <w:tr w14:paraId="7F901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63" w:type="dxa"/>
            <w:vAlign w:val="top"/>
          </w:tcPr>
          <w:p w14:paraId="34BA8E3A">
            <w:pPr>
              <w:pStyle w:val="6"/>
              <w:spacing w:before="56" w:line="228" w:lineRule="auto"/>
              <w:ind w:left="373"/>
            </w:pPr>
            <w:r>
              <w:t>风</w:t>
            </w:r>
            <w:r>
              <w:rPr>
                <w:spacing w:val="20"/>
              </w:rPr>
              <w:t xml:space="preserve">  </w:t>
            </w:r>
            <w:r>
              <w:t>向</w:t>
            </w:r>
          </w:p>
        </w:tc>
        <w:tc>
          <w:tcPr>
            <w:tcW w:w="1346" w:type="dxa"/>
            <w:vAlign w:val="top"/>
          </w:tcPr>
          <w:p w14:paraId="10889260">
            <w:pPr>
              <w:pStyle w:val="6"/>
              <w:spacing w:before="56" w:line="228" w:lineRule="auto"/>
              <w:ind w:left="471"/>
            </w:pPr>
            <w:r>
              <w:rPr>
                <w:spacing w:val="2"/>
              </w:rPr>
              <w:t>冬季</w:t>
            </w:r>
          </w:p>
        </w:tc>
        <w:tc>
          <w:tcPr>
            <w:tcW w:w="1346" w:type="dxa"/>
            <w:vAlign w:val="top"/>
          </w:tcPr>
          <w:p w14:paraId="02C755E7">
            <w:pPr>
              <w:pStyle w:val="6"/>
              <w:spacing w:before="56" w:line="228" w:lineRule="auto"/>
              <w:ind w:left="468"/>
            </w:pPr>
            <w:r>
              <w:rPr>
                <w:spacing w:val="5"/>
              </w:rPr>
              <w:t>春季</w:t>
            </w:r>
          </w:p>
        </w:tc>
        <w:tc>
          <w:tcPr>
            <w:tcW w:w="1334" w:type="dxa"/>
            <w:vAlign w:val="top"/>
          </w:tcPr>
          <w:p w14:paraId="144D3818">
            <w:pPr>
              <w:pStyle w:val="6"/>
              <w:spacing w:before="56" w:line="228" w:lineRule="auto"/>
              <w:ind w:left="462"/>
            </w:pPr>
            <w:r>
              <w:rPr>
                <w:spacing w:val="4"/>
              </w:rPr>
              <w:t>夏季</w:t>
            </w:r>
          </w:p>
        </w:tc>
        <w:tc>
          <w:tcPr>
            <w:tcW w:w="1334" w:type="dxa"/>
            <w:vAlign w:val="top"/>
          </w:tcPr>
          <w:p w14:paraId="1D8DE1E9">
            <w:pPr>
              <w:pStyle w:val="6"/>
              <w:spacing w:before="56" w:line="228" w:lineRule="auto"/>
              <w:ind w:left="466"/>
            </w:pPr>
            <w:r>
              <w:rPr>
                <w:spacing w:val="3"/>
              </w:rPr>
              <w:t>秋季</w:t>
            </w:r>
          </w:p>
        </w:tc>
        <w:tc>
          <w:tcPr>
            <w:tcW w:w="1340" w:type="dxa"/>
            <w:vAlign w:val="top"/>
          </w:tcPr>
          <w:p w14:paraId="3BE643BE">
            <w:pPr>
              <w:pStyle w:val="6"/>
              <w:spacing w:before="56" w:line="228" w:lineRule="auto"/>
              <w:ind w:left="465"/>
            </w:pPr>
            <w:r>
              <w:rPr>
                <w:spacing w:val="4"/>
              </w:rPr>
              <w:t>全年</w:t>
            </w:r>
          </w:p>
        </w:tc>
      </w:tr>
      <w:tr w14:paraId="44FFF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2308448A">
            <w:pPr>
              <w:spacing w:before="90" w:line="192"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1346" w:type="dxa"/>
            <w:vAlign w:val="top"/>
          </w:tcPr>
          <w:p w14:paraId="20B52942">
            <w:pPr>
              <w:spacing w:before="8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46" w:type="dxa"/>
            <w:vAlign w:val="top"/>
          </w:tcPr>
          <w:p w14:paraId="7B65BA63">
            <w:pPr>
              <w:spacing w:before="87"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334" w:type="dxa"/>
            <w:vAlign w:val="top"/>
          </w:tcPr>
          <w:p w14:paraId="6586683F">
            <w:pPr>
              <w:spacing w:before="87"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334" w:type="dxa"/>
            <w:vAlign w:val="top"/>
          </w:tcPr>
          <w:p w14:paraId="3232BEED">
            <w:pPr>
              <w:spacing w:before="87"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340" w:type="dxa"/>
            <w:vAlign w:val="top"/>
          </w:tcPr>
          <w:p w14:paraId="61BA44C8">
            <w:pPr>
              <w:spacing w:before="87"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w:t>
            </w:r>
          </w:p>
        </w:tc>
      </w:tr>
      <w:tr w14:paraId="079AF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7AAC6196">
            <w:pPr>
              <w:spacing w:before="91" w:line="192"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NNE</w:t>
            </w:r>
          </w:p>
        </w:tc>
        <w:tc>
          <w:tcPr>
            <w:tcW w:w="1346" w:type="dxa"/>
            <w:vAlign w:val="top"/>
          </w:tcPr>
          <w:p w14:paraId="2A16FE63">
            <w:pPr>
              <w:spacing w:before="88"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tc>
        <w:tc>
          <w:tcPr>
            <w:tcW w:w="1346" w:type="dxa"/>
            <w:vAlign w:val="top"/>
          </w:tcPr>
          <w:p w14:paraId="1E7E1E2A">
            <w:pPr>
              <w:spacing w:before="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334" w:type="dxa"/>
            <w:vAlign w:val="top"/>
          </w:tcPr>
          <w:p w14:paraId="6D231685">
            <w:pPr>
              <w:spacing w:before="8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3D11C14C">
            <w:pPr>
              <w:spacing w:before="8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40" w:type="dxa"/>
            <w:vAlign w:val="top"/>
          </w:tcPr>
          <w:p w14:paraId="120FA83E">
            <w:pPr>
              <w:spacing w:before="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16728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456A6AA2">
            <w:pPr>
              <w:spacing w:before="92" w:line="192"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NE</w:t>
            </w:r>
          </w:p>
        </w:tc>
        <w:tc>
          <w:tcPr>
            <w:tcW w:w="1346" w:type="dxa"/>
            <w:vAlign w:val="top"/>
          </w:tcPr>
          <w:p w14:paraId="250369D6">
            <w:pPr>
              <w:spacing w:before="89"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346" w:type="dxa"/>
            <w:vAlign w:val="top"/>
          </w:tcPr>
          <w:p w14:paraId="33CFC928">
            <w:pPr>
              <w:spacing w:before="8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4" w:type="dxa"/>
            <w:vAlign w:val="top"/>
          </w:tcPr>
          <w:p w14:paraId="531987FE">
            <w:pPr>
              <w:spacing w:before="89"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34" w:type="dxa"/>
            <w:vAlign w:val="top"/>
          </w:tcPr>
          <w:p w14:paraId="3D167A5D">
            <w:pPr>
              <w:spacing w:before="89"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40" w:type="dxa"/>
            <w:vAlign w:val="top"/>
          </w:tcPr>
          <w:p w14:paraId="507308CF">
            <w:pPr>
              <w:spacing w:before="89"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r>
      <w:tr w14:paraId="13FC4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399144CE">
            <w:pPr>
              <w:spacing w:before="94" w:line="192"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ENE</w:t>
            </w:r>
          </w:p>
        </w:tc>
        <w:tc>
          <w:tcPr>
            <w:tcW w:w="1346" w:type="dxa"/>
            <w:vAlign w:val="top"/>
          </w:tcPr>
          <w:p w14:paraId="3B81775E">
            <w:pPr>
              <w:spacing w:before="9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46" w:type="dxa"/>
            <w:vAlign w:val="top"/>
          </w:tcPr>
          <w:p w14:paraId="5B33C18D">
            <w:pPr>
              <w:spacing w:before="91"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4" w:type="dxa"/>
            <w:vAlign w:val="top"/>
          </w:tcPr>
          <w:p w14:paraId="6842B752">
            <w:pPr>
              <w:spacing w:before="9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5CB5A676">
            <w:pPr>
              <w:spacing w:before="9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40" w:type="dxa"/>
            <w:vAlign w:val="top"/>
          </w:tcPr>
          <w:p w14:paraId="79B62EEB">
            <w:pPr>
              <w:spacing w:before="91"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7BDC8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3C00C9B7">
            <w:pPr>
              <w:spacing w:before="94" w:line="192" w:lineRule="auto"/>
              <w:ind w:left="618"/>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1346" w:type="dxa"/>
            <w:vAlign w:val="top"/>
          </w:tcPr>
          <w:p w14:paraId="4F43C7AF">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46" w:type="dxa"/>
            <w:vAlign w:val="top"/>
          </w:tcPr>
          <w:p w14:paraId="0996D020">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34" w:type="dxa"/>
            <w:vAlign w:val="top"/>
          </w:tcPr>
          <w:p w14:paraId="3A9B1BA3">
            <w:pPr>
              <w:spacing w:before="91"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334" w:type="dxa"/>
            <w:vAlign w:val="top"/>
          </w:tcPr>
          <w:p w14:paraId="7154447D">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340" w:type="dxa"/>
            <w:vAlign w:val="top"/>
          </w:tcPr>
          <w:p w14:paraId="1958333F">
            <w:pPr>
              <w:spacing w:before="9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14:paraId="46C11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0397B542">
            <w:pPr>
              <w:spacing w:before="91"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ESE</w:t>
            </w:r>
          </w:p>
        </w:tc>
        <w:tc>
          <w:tcPr>
            <w:tcW w:w="1346" w:type="dxa"/>
            <w:vAlign w:val="top"/>
          </w:tcPr>
          <w:p w14:paraId="62E9C485">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46" w:type="dxa"/>
            <w:vAlign w:val="top"/>
          </w:tcPr>
          <w:p w14:paraId="02A08A61">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63E7B8FA">
            <w:pPr>
              <w:spacing w:before="91"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334" w:type="dxa"/>
            <w:vAlign w:val="top"/>
          </w:tcPr>
          <w:p w14:paraId="40BA8181">
            <w:pPr>
              <w:spacing w:before="9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340" w:type="dxa"/>
            <w:vAlign w:val="top"/>
          </w:tcPr>
          <w:p w14:paraId="1FC49556">
            <w:pPr>
              <w:spacing w:before="91"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r>
      <w:tr w14:paraId="694D9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3E7DBF4D">
            <w:pPr>
              <w:spacing w:before="91" w:line="195"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1346" w:type="dxa"/>
            <w:vAlign w:val="top"/>
          </w:tcPr>
          <w:p w14:paraId="2479FE3F">
            <w:pPr>
              <w:spacing w:before="9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346" w:type="dxa"/>
            <w:vAlign w:val="top"/>
          </w:tcPr>
          <w:p w14:paraId="7CD32F73">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7DC6368F">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1334" w:type="dxa"/>
            <w:vAlign w:val="top"/>
          </w:tcPr>
          <w:p w14:paraId="5AF65EE9">
            <w:pPr>
              <w:spacing w:before="9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40" w:type="dxa"/>
            <w:vAlign w:val="top"/>
          </w:tcPr>
          <w:p w14:paraId="7EB5A294">
            <w:pPr>
              <w:spacing w:before="91"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4B562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52D0D368">
            <w:pPr>
              <w:spacing w:before="91" w:line="195" w:lineRule="auto"/>
              <w:ind w:left="511"/>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1346" w:type="dxa"/>
            <w:vAlign w:val="top"/>
          </w:tcPr>
          <w:p w14:paraId="1709A7C3">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46" w:type="dxa"/>
            <w:vAlign w:val="top"/>
          </w:tcPr>
          <w:p w14:paraId="69F7882A">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34" w:type="dxa"/>
            <w:vAlign w:val="top"/>
          </w:tcPr>
          <w:p w14:paraId="145687BA">
            <w:pPr>
              <w:spacing w:before="9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334" w:type="dxa"/>
            <w:vAlign w:val="top"/>
          </w:tcPr>
          <w:p w14:paraId="2093DD71">
            <w:pPr>
              <w:spacing w:before="91"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40" w:type="dxa"/>
            <w:vAlign w:val="top"/>
          </w:tcPr>
          <w:p w14:paraId="52AED36E">
            <w:pPr>
              <w:spacing w:before="9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r>
      <w:tr w14:paraId="7E9F4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141E3070">
            <w:pPr>
              <w:spacing w:before="91" w:line="195" w:lineRule="auto"/>
              <w:ind w:left="634"/>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1346" w:type="dxa"/>
            <w:vAlign w:val="top"/>
          </w:tcPr>
          <w:p w14:paraId="4CCE6989">
            <w:pPr>
              <w:spacing w:before="9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46" w:type="dxa"/>
            <w:vAlign w:val="top"/>
          </w:tcPr>
          <w:p w14:paraId="6689B894">
            <w:pPr>
              <w:spacing w:before="91"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34" w:type="dxa"/>
            <w:vAlign w:val="top"/>
          </w:tcPr>
          <w:p w14:paraId="1441BF18">
            <w:pPr>
              <w:spacing w:before="9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34" w:type="dxa"/>
            <w:vAlign w:val="top"/>
          </w:tcPr>
          <w:p w14:paraId="0A25ACA6">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40" w:type="dxa"/>
            <w:vAlign w:val="top"/>
          </w:tcPr>
          <w:p w14:paraId="5051F9D7">
            <w:pPr>
              <w:spacing w:before="91"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r>
      <w:tr w14:paraId="4C1DC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7FDDC20A">
            <w:pPr>
              <w:spacing w:before="93"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SSW</w:t>
            </w:r>
          </w:p>
        </w:tc>
        <w:tc>
          <w:tcPr>
            <w:tcW w:w="1346" w:type="dxa"/>
            <w:vAlign w:val="top"/>
          </w:tcPr>
          <w:p w14:paraId="377E7320">
            <w:pPr>
              <w:spacing w:before="9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46" w:type="dxa"/>
            <w:vAlign w:val="top"/>
          </w:tcPr>
          <w:p w14:paraId="18EE962E">
            <w:pPr>
              <w:spacing w:before="93"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6.7</w:t>
            </w:r>
          </w:p>
        </w:tc>
        <w:tc>
          <w:tcPr>
            <w:tcW w:w="1334" w:type="dxa"/>
            <w:vAlign w:val="top"/>
          </w:tcPr>
          <w:p w14:paraId="7D7DD147">
            <w:pPr>
              <w:spacing w:before="93"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34" w:type="dxa"/>
            <w:vAlign w:val="top"/>
          </w:tcPr>
          <w:p w14:paraId="0E82BAF0">
            <w:pPr>
              <w:spacing w:before="93"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340" w:type="dxa"/>
            <w:vAlign w:val="top"/>
          </w:tcPr>
          <w:p w14:paraId="326E84EF">
            <w:pPr>
              <w:spacing w:before="93"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r>
      <w:tr w14:paraId="085BE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7058F7EA">
            <w:pPr>
              <w:spacing w:before="92" w:line="195"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w:t>
            </w:r>
          </w:p>
        </w:tc>
        <w:tc>
          <w:tcPr>
            <w:tcW w:w="1346" w:type="dxa"/>
            <w:vAlign w:val="top"/>
          </w:tcPr>
          <w:p w14:paraId="11DEE4B4">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1346" w:type="dxa"/>
            <w:vAlign w:val="top"/>
          </w:tcPr>
          <w:p w14:paraId="74ED06F5">
            <w:pPr>
              <w:spacing w:before="92" w:line="195" w:lineRule="auto"/>
              <w:ind w:left="550"/>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1334" w:type="dxa"/>
            <w:vAlign w:val="top"/>
          </w:tcPr>
          <w:p w14:paraId="62FB8B4B">
            <w:pPr>
              <w:spacing w:before="9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334" w:type="dxa"/>
            <w:vAlign w:val="top"/>
          </w:tcPr>
          <w:p w14:paraId="448F9B8D">
            <w:pPr>
              <w:spacing w:before="92"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11.0</w:t>
            </w:r>
          </w:p>
        </w:tc>
        <w:tc>
          <w:tcPr>
            <w:tcW w:w="1340" w:type="dxa"/>
            <w:vAlign w:val="top"/>
          </w:tcPr>
          <w:p w14:paraId="28984BD8">
            <w:pPr>
              <w:spacing w:before="92"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r>
      <w:tr w14:paraId="4A66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0179B86A">
            <w:pPr>
              <w:spacing w:before="9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WSW</w:t>
            </w:r>
          </w:p>
        </w:tc>
        <w:tc>
          <w:tcPr>
            <w:tcW w:w="1346" w:type="dxa"/>
            <w:vAlign w:val="top"/>
          </w:tcPr>
          <w:p w14:paraId="4D59C6D0">
            <w:pPr>
              <w:spacing w:before="92"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24.3</w:t>
            </w:r>
          </w:p>
        </w:tc>
        <w:tc>
          <w:tcPr>
            <w:tcW w:w="1346" w:type="dxa"/>
            <w:vAlign w:val="top"/>
          </w:tcPr>
          <w:p w14:paraId="5DB96C14">
            <w:pPr>
              <w:spacing w:before="92"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334" w:type="dxa"/>
            <w:vAlign w:val="top"/>
          </w:tcPr>
          <w:p w14:paraId="7D511ADC">
            <w:pPr>
              <w:spacing w:before="9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334" w:type="dxa"/>
            <w:vAlign w:val="top"/>
          </w:tcPr>
          <w:p w14:paraId="40F23A79">
            <w:pPr>
              <w:spacing w:before="92"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p>
        </w:tc>
        <w:tc>
          <w:tcPr>
            <w:tcW w:w="1340" w:type="dxa"/>
            <w:vAlign w:val="top"/>
          </w:tcPr>
          <w:p w14:paraId="754C6DDD">
            <w:pPr>
              <w:spacing w:before="9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r>
      <w:tr w14:paraId="6B70C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63" w:type="dxa"/>
            <w:vAlign w:val="top"/>
          </w:tcPr>
          <w:p w14:paraId="5F557A54">
            <w:pPr>
              <w:spacing w:before="94" w:line="192"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1346" w:type="dxa"/>
            <w:vAlign w:val="top"/>
          </w:tcPr>
          <w:p w14:paraId="39D79A92">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346" w:type="dxa"/>
            <w:vAlign w:val="top"/>
          </w:tcPr>
          <w:p w14:paraId="00014BAF">
            <w:pPr>
              <w:spacing w:before="9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p>
        </w:tc>
        <w:tc>
          <w:tcPr>
            <w:tcW w:w="1334" w:type="dxa"/>
            <w:vAlign w:val="top"/>
          </w:tcPr>
          <w:p w14:paraId="0FC94E57">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c>
          <w:tcPr>
            <w:tcW w:w="1334" w:type="dxa"/>
            <w:vAlign w:val="top"/>
          </w:tcPr>
          <w:p w14:paraId="635C19C4">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1340" w:type="dxa"/>
            <w:vAlign w:val="top"/>
          </w:tcPr>
          <w:p w14:paraId="07D194AA">
            <w:pPr>
              <w:spacing w:before="91"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r>
      <w:tr w14:paraId="6D300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63" w:type="dxa"/>
            <w:vAlign w:val="top"/>
          </w:tcPr>
          <w:p w14:paraId="59377307">
            <w:pPr>
              <w:spacing w:before="94" w:line="192"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WNW</w:t>
            </w:r>
          </w:p>
        </w:tc>
        <w:tc>
          <w:tcPr>
            <w:tcW w:w="1346" w:type="dxa"/>
            <w:vAlign w:val="top"/>
          </w:tcPr>
          <w:p w14:paraId="68EE9336">
            <w:pPr>
              <w:spacing w:before="94" w:line="192"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346" w:type="dxa"/>
            <w:vAlign w:val="top"/>
          </w:tcPr>
          <w:p w14:paraId="77430B29">
            <w:pPr>
              <w:spacing w:before="91" w:line="195" w:lineRule="auto"/>
              <w:ind w:left="550"/>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1334" w:type="dxa"/>
            <w:vAlign w:val="top"/>
          </w:tcPr>
          <w:p w14:paraId="2956FA53">
            <w:pPr>
              <w:spacing w:before="9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334" w:type="dxa"/>
            <w:vAlign w:val="top"/>
          </w:tcPr>
          <w:p w14:paraId="3E8D7C8F">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340" w:type="dxa"/>
            <w:vAlign w:val="top"/>
          </w:tcPr>
          <w:p w14:paraId="30530363">
            <w:pPr>
              <w:spacing w:before="9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r>
    </w:tbl>
    <w:p w14:paraId="6A691A4A">
      <w:pPr>
        <w:pStyle w:val="2"/>
      </w:pPr>
    </w:p>
    <w:p w14:paraId="63698CA2">
      <w:pPr>
        <w:sectPr>
          <w:headerReference r:id="rId228" w:type="default"/>
          <w:footerReference r:id="rId229" w:type="default"/>
          <w:pgSz w:w="11906" w:h="16839"/>
          <w:pgMar w:top="1208" w:right="1766" w:bottom="1362" w:left="1785" w:header="825" w:footer="1200" w:gutter="0"/>
          <w:cols w:space="720" w:num="1"/>
        </w:sectPr>
      </w:pPr>
    </w:p>
    <w:p w14:paraId="24E3BD2E">
      <w:pPr>
        <w:spacing w:line="231" w:lineRule="exact"/>
      </w:pPr>
    </w:p>
    <w:tbl>
      <w:tblPr>
        <w:tblStyle w:val="5"/>
        <w:tblW w:w="8063"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346"/>
        <w:gridCol w:w="1346"/>
        <w:gridCol w:w="1334"/>
        <w:gridCol w:w="1334"/>
        <w:gridCol w:w="1340"/>
      </w:tblGrid>
      <w:tr w14:paraId="589BE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63" w:type="dxa"/>
            <w:vAlign w:val="top"/>
          </w:tcPr>
          <w:p w14:paraId="6E4C04ED">
            <w:pPr>
              <w:spacing w:before="95" w:line="192"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w:t>
            </w:r>
          </w:p>
        </w:tc>
        <w:tc>
          <w:tcPr>
            <w:tcW w:w="1346" w:type="dxa"/>
            <w:vAlign w:val="top"/>
          </w:tcPr>
          <w:p w14:paraId="671B41DB">
            <w:pPr>
              <w:spacing w:before="9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346" w:type="dxa"/>
            <w:vAlign w:val="top"/>
          </w:tcPr>
          <w:p w14:paraId="2A7540B4">
            <w:pPr>
              <w:spacing w:before="95" w:line="192"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334" w:type="dxa"/>
            <w:vAlign w:val="top"/>
          </w:tcPr>
          <w:p w14:paraId="4797A38A">
            <w:pPr>
              <w:spacing w:before="92"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334" w:type="dxa"/>
            <w:vAlign w:val="top"/>
          </w:tcPr>
          <w:p w14:paraId="3014072D">
            <w:pPr>
              <w:spacing w:before="9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340" w:type="dxa"/>
            <w:vAlign w:val="top"/>
          </w:tcPr>
          <w:p w14:paraId="30365D62">
            <w:pPr>
              <w:spacing w:before="92"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14:paraId="7A2AE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63" w:type="dxa"/>
            <w:vAlign w:val="top"/>
          </w:tcPr>
          <w:p w14:paraId="2860D18F">
            <w:pPr>
              <w:spacing w:before="91" w:line="192"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NNW</w:t>
            </w:r>
          </w:p>
        </w:tc>
        <w:tc>
          <w:tcPr>
            <w:tcW w:w="1346" w:type="dxa"/>
            <w:vAlign w:val="top"/>
          </w:tcPr>
          <w:p w14:paraId="5F2864BE">
            <w:pPr>
              <w:spacing w:before="8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46" w:type="dxa"/>
            <w:vAlign w:val="top"/>
          </w:tcPr>
          <w:p w14:paraId="00D7B999">
            <w:pPr>
              <w:spacing w:before="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334" w:type="dxa"/>
            <w:vAlign w:val="top"/>
          </w:tcPr>
          <w:p w14:paraId="5474691C">
            <w:pPr>
              <w:spacing w:before="88"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334" w:type="dxa"/>
            <w:vAlign w:val="top"/>
          </w:tcPr>
          <w:p w14:paraId="2232F5AB">
            <w:pPr>
              <w:spacing w:before="8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40" w:type="dxa"/>
            <w:vAlign w:val="top"/>
          </w:tcPr>
          <w:p w14:paraId="5C53D4DF">
            <w:pPr>
              <w:spacing w:before="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r w14:paraId="49A3D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363" w:type="dxa"/>
            <w:vAlign w:val="top"/>
          </w:tcPr>
          <w:p w14:paraId="5858A9ED">
            <w:pPr>
              <w:spacing w:before="90" w:line="195" w:lineRule="auto"/>
              <w:ind w:left="616"/>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346" w:type="dxa"/>
            <w:vAlign w:val="top"/>
          </w:tcPr>
          <w:p w14:paraId="6BAFA1CE">
            <w:pPr>
              <w:spacing w:before="9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1346" w:type="dxa"/>
            <w:vAlign w:val="top"/>
          </w:tcPr>
          <w:p w14:paraId="5A6AD8D8">
            <w:pPr>
              <w:spacing w:before="90"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17.6</w:t>
            </w:r>
          </w:p>
        </w:tc>
        <w:tc>
          <w:tcPr>
            <w:tcW w:w="1334" w:type="dxa"/>
            <w:vAlign w:val="top"/>
          </w:tcPr>
          <w:p w14:paraId="45599E3A">
            <w:pPr>
              <w:spacing w:before="90"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334" w:type="dxa"/>
            <w:vAlign w:val="top"/>
          </w:tcPr>
          <w:p w14:paraId="2C168652">
            <w:pPr>
              <w:spacing w:before="90"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32.3</w:t>
            </w:r>
          </w:p>
        </w:tc>
        <w:tc>
          <w:tcPr>
            <w:tcW w:w="1340" w:type="dxa"/>
            <w:vAlign w:val="top"/>
          </w:tcPr>
          <w:p w14:paraId="40605D83">
            <w:pPr>
              <w:spacing w:before="90"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w:t>
            </w:r>
          </w:p>
        </w:tc>
      </w:tr>
    </w:tbl>
    <w:p w14:paraId="6CA3C12A">
      <w:pPr>
        <w:spacing w:before="115" w:line="217" w:lineRule="auto"/>
        <w:ind w:left="499"/>
        <w:rPr>
          <w:rFonts w:ascii="宋体" w:hAnsi="宋体" w:eastAsia="宋体" w:cs="宋体"/>
          <w:sz w:val="24"/>
          <w:szCs w:val="24"/>
        </w:rPr>
      </w:pPr>
      <w:r>
        <w:rPr>
          <w:rFonts w:ascii="宋体" w:hAnsi="宋体" w:eastAsia="宋体" w:cs="宋体"/>
          <w:spacing w:val="-3"/>
          <w:sz w:val="24"/>
          <w:szCs w:val="24"/>
        </w:rPr>
        <w:t>②风速</w:t>
      </w:r>
    </w:p>
    <w:p w14:paraId="1A21CD27">
      <w:pPr>
        <w:spacing w:before="185" w:line="360" w:lineRule="auto"/>
        <w:ind w:left="21" w:right="162" w:firstLine="482"/>
        <w:rPr>
          <w:rFonts w:ascii="宋体" w:hAnsi="宋体" w:eastAsia="宋体" w:cs="宋体"/>
          <w:sz w:val="24"/>
          <w:szCs w:val="24"/>
        </w:rPr>
      </w:pPr>
      <w:r>
        <w:rPr>
          <w:rFonts w:ascii="宋体" w:hAnsi="宋体" w:eastAsia="宋体" w:cs="宋体"/>
          <w:spacing w:val="-1"/>
          <w:sz w:val="24"/>
          <w:szCs w:val="24"/>
        </w:rPr>
        <w:t>厂址所在地区春季风大，静风出现的频次较低；夏季由于降水相对集中，</w:t>
      </w:r>
      <w:r>
        <w:rPr>
          <w:rFonts w:ascii="宋体" w:hAnsi="宋体" w:eastAsia="宋体" w:cs="宋体"/>
          <w:spacing w:val="18"/>
          <w:sz w:val="24"/>
          <w:szCs w:val="24"/>
        </w:rPr>
        <w:t xml:space="preserve"> </w:t>
      </w:r>
      <w:r>
        <w:rPr>
          <w:rFonts w:ascii="宋体" w:hAnsi="宋体" w:eastAsia="宋体" w:cs="宋体"/>
          <w:sz w:val="24"/>
          <w:szCs w:val="24"/>
        </w:rPr>
        <w:t>当锋面过境时，瞬时风速较大；秋季虽为冷暖气团的</w:t>
      </w:r>
      <w:r>
        <w:rPr>
          <w:rFonts w:ascii="宋体" w:hAnsi="宋体" w:eastAsia="宋体" w:cs="宋体"/>
          <w:spacing w:val="-1"/>
          <w:sz w:val="24"/>
          <w:szCs w:val="24"/>
        </w:rPr>
        <w:t>交替时期，但此时气团活</w:t>
      </w:r>
      <w:r>
        <w:rPr>
          <w:rFonts w:ascii="宋体" w:hAnsi="宋体" w:eastAsia="宋体" w:cs="宋体"/>
          <w:sz w:val="24"/>
          <w:szCs w:val="24"/>
        </w:rPr>
        <w:t xml:space="preserve"> 动远不如春季活动频繁，因此风沙天气较少；冬季大</w:t>
      </w:r>
      <w:r>
        <w:rPr>
          <w:rFonts w:ascii="宋体" w:hAnsi="宋体" w:eastAsia="宋体" w:cs="宋体"/>
          <w:spacing w:val="-1"/>
          <w:sz w:val="24"/>
          <w:szCs w:val="24"/>
        </w:rPr>
        <w:t>气层结较稳定，风速相对</w:t>
      </w:r>
      <w:r>
        <w:rPr>
          <w:rFonts w:ascii="宋体" w:hAnsi="宋体" w:eastAsia="宋体" w:cs="宋体"/>
          <w:sz w:val="24"/>
          <w:szCs w:val="24"/>
        </w:rPr>
        <w:t xml:space="preserve"> </w:t>
      </w:r>
      <w:r>
        <w:rPr>
          <w:rFonts w:ascii="宋体" w:hAnsi="宋体" w:eastAsia="宋体" w:cs="宋体"/>
          <w:spacing w:val="-4"/>
          <w:sz w:val="24"/>
          <w:szCs w:val="24"/>
        </w:rPr>
        <w:t>较小。</w:t>
      </w:r>
    </w:p>
    <w:p w14:paraId="76D85F34">
      <w:pPr>
        <w:spacing w:line="360" w:lineRule="auto"/>
        <w:ind w:left="21" w:right="162" w:firstLine="483"/>
        <w:jc w:val="both"/>
        <w:rPr>
          <w:rFonts w:ascii="宋体" w:hAnsi="宋体" w:eastAsia="宋体" w:cs="宋体"/>
          <w:sz w:val="24"/>
          <w:szCs w:val="24"/>
        </w:rPr>
      </w:pPr>
      <w:r>
        <w:rPr>
          <w:rFonts w:ascii="宋体" w:hAnsi="宋体" w:eastAsia="宋体" w:cs="宋体"/>
          <w:spacing w:val="13"/>
          <w:sz w:val="24"/>
          <w:szCs w:val="24"/>
        </w:rPr>
        <w:t>该地区年平均风速为</w:t>
      </w:r>
      <w:r>
        <w:rPr>
          <w:rFonts w:ascii="宋体" w:hAnsi="宋体" w:eastAsia="宋体" w:cs="宋体"/>
          <w:spacing w:val="-36"/>
          <w:sz w:val="24"/>
          <w:szCs w:val="24"/>
        </w:rPr>
        <w:t xml:space="preserve"> </w:t>
      </w:r>
      <w:r>
        <w:rPr>
          <w:rFonts w:ascii="Times New Roman" w:hAnsi="Times New Roman" w:eastAsia="Times New Roman" w:cs="Times New Roman"/>
          <w:spacing w:val="13"/>
          <w:sz w:val="24"/>
          <w:szCs w:val="24"/>
        </w:rPr>
        <w:t>2.3m/s</w:t>
      </w:r>
      <w:r>
        <w:rPr>
          <w:rFonts w:ascii="Times New Roman" w:hAnsi="Times New Roman" w:eastAsia="Times New Roman" w:cs="Times New Roman"/>
          <w:spacing w:val="-7"/>
          <w:sz w:val="24"/>
          <w:szCs w:val="24"/>
        </w:rPr>
        <w:t xml:space="preserve"> </w:t>
      </w:r>
      <w:r>
        <w:rPr>
          <w:rFonts w:ascii="宋体" w:hAnsi="宋体" w:eastAsia="宋体" w:cs="宋体"/>
          <w:spacing w:val="13"/>
          <w:sz w:val="24"/>
          <w:szCs w:val="24"/>
        </w:rPr>
        <w:t>。全年以春季风速最大（</w:t>
      </w:r>
      <w:r>
        <w:rPr>
          <w:rFonts w:ascii="Times New Roman" w:hAnsi="Times New Roman" w:eastAsia="Times New Roman" w:cs="Times New Roman"/>
          <w:spacing w:val="13"/>
          <w:sz w:val="24"/>
          <w:szCs w:val="24"/>
        </w:rPr>
        <w:t>4</w:t>
      </w:r>
      <w:r>
        <w:rPr>
          <w:rFonts w:ascii="Times New Roman" w:hAnsi="Times New Roman" w:eastAsia="Times New Roman" w:cs="Times New Roman"/>
          <w:spacing w:val="37"/>
          <w:sz w:val="24"/>
          <w:szCs w:val="24"/>
        </w:rPr>
        <w:t xml:space="preserve"> </w:t>
      </w:r>
      <w:r>
        <w:rPr>
          <w:rFonts w:ascii="宋体" w:hAnsi="宋体" w:eastAsia="宋体" w:cs="宋体"/>
          <w:spacing w:val="13"/>
          <w:sz w:val="24"/>
          <w:szCs w:val="24"/>
        </w:rPr>
        <w:t>月平</w:t>
      </w:r>
      <w:r>
        <w:rPr>
          <w:rFonts w:ascii="宋体" w:hAnsi="宋体" w:eastAsia="宋体" w:cs="宋体"/>
          <w:spacing w:val="12"/>
          <w:sz w:val="24"/>
          <w:szCs w:val="24"/>
        </w:rPr>
        <w:t>均风速为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3.0m/s</w:t>
      </w:r>
      <w:r>
        <w:rPr>
          <w:rFonts w:ascii="宋体" w:hAnsi="宋体" w:eastAsia="宋体" w:cs="宋体"/>
          <w:spacing w:val="-20"/>
          <w:sz w:val="24"/>
          <w:szCs w:val="24"/>
        </w:rPr>
        <w:t>），</w:t>
      </w:r>
      <w:r>
        <w:rPr>
          <w:rFonts w:ascii="宋体" w:hAnsi="宋体" w:eastAsia="宋体" w:cs="宋体"/>
          <w:spacing w:val="-3"/>
          <w:sz w:val="24"/>
          <w:szCs w:val="24"/>
        </w:rPr>
        <w:t>平均风速最小出现在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月，平均</w:t>
      </w:r>
      <w:r>
        <w:rPr>
          <w:rFonts w:ascii="宋体" w:hAnsi="宋体" w:eastAsia="宋体" w:cs="宋体"/>
          <w:spacing w:val="-4"/>
          <w:sz w:val="24"/>
          <w:szCs w:val="24"/>
        </w:rPr>
        <w:t>风速均为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1.8m/s</w:t>
      </w:r>
      <w:r>
        <w:rPr>
          <w:rFonts w:ascii="宋体" w:hAnsi="宋体" w:eastAsia="宋体" w:cs="宋体"/>
          <w:spacing w:val="-4"/>
          <w:sz w:val="24"/>
          <w:szCs w:val="24"/>
        </w:rPr>
        <w:t>，该地区风速</w:t>
      </w:r>
      <w:r>
        <w:rPr>
          <w:rFonts w:ascii="宋体" w:hAnsi="宋体" w:eastAsia="宋体" w:cs="宋体"/>
          <w:sz w:val="24"/>
          <w:szCs w:val="24"/>
        </w:rPr>
        <w:t xml:space="preserve"> </w:t>
      </w:r>
      <w:r>
        <w:rPr>
          <w:rFonts w:ascii="宋体" w:hAnsi="宋体" w:eastAsia="宋体" w:cs="宋体"/>
          <w:spacing w:val="-3"/>
          <w:sz w:val="24"/>
          <w:szCs w:val="24"/>
        </w:rPr>
        <w:t>的年较差不大，为</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1.2m/s</w:t>
      </w:r>
      <w:r>
        <w:rPr>
          <w:rFonts w:ascii="宋体" w:hAnsi="宋体" w:eastAsia="宋体" w:cs="宋体"/>
          <w:spacing w:val="-3"/>
          <w:sz w:val="24"/>
          <w:szCs w:val="24"/>
        </w:rPr>
        <w:t>。</w:t>
      </w:r>
    </w:p>
    <w:p w14:paraId="3F45F3C6">
      <w:pPr>
        <w:spacing w:line="219" w:lineRule="auto"/>
        <w:ind w:left="502"/>
        <w:rPr>
          <w:rFonts w:ascii="宋体" w:hAnsi="宋体" w:eastAsia="宋体" w:cs="宋体"/>
          <w:sz w:val="24"/>
          <w:szCs w:val="24"/>
        </w:rPr>
      </w:pPr>
      <w:r>
        <w:rPr>
          <w:rFonts w:ascii="宋体" w:hAnsi="宋体" w:eastAsia="宋体" w:cs="宋体"/>
          <w:spacing w:val="-1"/>
          <w:sz w:val="24"/>
          <w:szCs w:val="24"/>
        </w:rPr>
        <w:t>年平均风速变化曲线见图</w:t>
      </w:r>
      <w:r>
        <w:rPr>
          <w:rFonts w:ascii="宋体" w:hAnsi="宋体" w:eastAsia="宋体" w:cs="宋体"/>
          <w:spacing w:val="-44"/>
          <w:sz w:val="24"/>
          <w:szCs w:val="24"/>
        </w:rPr>
        <w:t xml:space="preserve"> </w:t>
      </w:r>
      <w:r>
        <w:rPr>
          <w:rFonts w:ascii="Times New Roman" w:hAnsi="Times New Roman" w:eastAsia="Times New Roman" w:cs="Times New Roman"/>
          <w:spacing w:val="-1"/>
          <w:sz w:val="20"/>
          <w:szCs w:val="20"/>
        </w:rPr>
        <w:t>8.1</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p>
    <w:p w14:paraId="67127347">
      <w:pPr>
        <w:spacing w:line="219" w:lineRule="auto"/>
        <w:rPr>
          <w:rFonts w:ascii="宋体" w:hAnsi="宋体" w:eastAsia="宋体" w:cs="宋体"/>
          <w:sz w:val="24"/>
          <w:szCs w:val="24"/>
        </w:rPr>
        <w:sectPr>
          <w:headerReference r:id="rId230" w:type="default"/>
          <w:footerReference r:id="rId231" w:type="default"/>
          <w:pgSz w:w="11906" w:h="16839"/>
          <w:pgMar w:top="1208" w:right="1785" w:bottom="1362" w:left="1785" w:header="825" w:footer="1200" w:gutter="0"/>
          <w:cols w:space="720" w:num="1"/>
        </w:sectPr>
      </w:pPr>
    </w:p>
    <w:p w14:paraId="4BF58309">
      <w:pPr>
        <w:pStyle w:val="2"/>
        <w:spacing w:line="363" w:lineRule="auto"/>
      </w:pPr>
    </w:p>
    <w:p w14:paraId="1A4996A5">
      <w:pPr>
        <w:spacing w:line="9400" w:lineRule="exact"/>
        <w:ind w:firstLine="537"/>
      </w:pPr>
      <w:r>
        <w:rPr>
          <w:position w:val="-188"/>
        </w:rPr>
        <w:drawing>
          <wp:inline distT="0" distB="0" distL="0" distR="0">
            <wp:extent cx="4507865" cy="59690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90"/>
                    <a:stretch>
                      <a:fillRect/>
                    </a:stretch>
                  </pic:blipFill>
                  <pic:spPr>
                    <a:xfrm>
                      <a:off x="0" y="0"/>
                      <a:ext cx="4507991" cy="5969508"/>
                    </a:xfrm>
                    <a:prstGeom prst="rect">
                      <a:avLst/>
                    </a:prstGeom>
                  </pic:spPr>
                </pic:pic>
              </a:graphicData>
            </a:graphic>
          </wp:inline>
        </w:drawing>
      </w:r>
    </w:p>
    <w:p w14:paraId="04A8F0DF">
      <w:pPr>
        <w:spacing w:before="250" w:line="220" w:lineRule="auto"/>
        <w:ind w:left="3406"/>
        <w:rPr>
          <w:rFonts w:ascii="宋体" w:hAnsi="宋体" w:eastAsia="宋体" w:cs="宋体"/>
          <w:sz w:val="24"/>
          <w:szCs w:val="24"/>
        </w:rPr>
      </w:pPr>
      <w:r>
        <w:rPr>
          <w:rFonts w:ascii="宋体" w:hAnsi="宋体" w:eastAsia="宋体" w:cs="宋体"/>
          <w:spacing w:val="-12"/>
          <w:sz w:val="24"/>
          <w:szCs w:val="24"/>
        </w:rPr>
        <w:t>图</w:t>
      </w:r>
      <w:r>
        <w:rPr>
          <w:rFonts w:ascii="Times New Roman" w:hAnsi="Times New Roman" w:eastAsia="Times New Roman" w:cs="Times New Roman"/>
          <w:spacing w:val="-12"/>
          <w:sz w:val="24"/>
          <w:szCs w:val="24"/>
        </w:rPr>
        <w:t>8.</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2"/>
          <w:sz w:val="24"/>
          <w:szCs w:val="24"/>
        </w:rPr>
        <w:t xml:space="preserve">1-1 </w:t>
      </w:r>
      <w:r>
        <w:rPr>
          <w:rFonts w:ascii="宋体" w:hAnsi="宋体" w:eastAsia="宋体" w:cs="宋体"/>
          <w:spacing w:val="-12"/>
          <w:sz w:val="24"/>
          <w:szCs w:val="24"/>
        </w:rPr>
        <w:t>风频玫瑰图</w:t>
      </w:r>
    </w:p>
    <w:p w14:paraId="5F249641">
      <w:pPr>
        <w:spacing w:before="137" w:line="2981" w:lineRule="exact"/>
        <w:ind w:firstLine="1060"/>
      </w:pPr>
      <w:r>
        <w:rPr>
          <w:position w:val="-59"/>
        </w:rPr>
        <w:drawing>
          <wp:inline distT="0" distB="0" distL="0" distR="0">
            <wp:extent cx="4102100" cy="18923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91"/>
                    <a:stretch>
                      <a:fillRect/>
                    </a:stretch>
                  </pic:blipFill>
                  <pic:spPr>
                    <a:xfrm>
                      <a:off x="0" y="0"/>
                      <a:ext cx="4102608" cy="1892807"/>
                    </a:xfrm>
                    <a:prstGeom prst="rect">
                      <a:avLst/>
                    </a:prstGeom>
                  </pic:spPr>
                </pic:pic>
              </a:graphicData>
            </a:graphic>
          </wp:inline>
        </w:drawing>
      </w:r>
    </w:p>
    <w:p w14:paraId="6136DD58">
      <w:pPr>
        <w:spacing w:before="184" w:line="219" w:lineRule="auto"/>
        <w:ind w:left="1494"/>
        <w:rPr>
          <w:rFonts w:ascii="宋体" w:hAnsi="宋体" w:eastAsia="宋体" w:cs="宋体"/>
          <w:sz w:val="24"/>
          <w:szCs w:val="24"/>
        </w:rPr>
      </w:pPr>
      <w:r>
        <w:rPr>
          <w:rFonts w:ascii="宋体" w:hAnsi="宋体" w:eastAsia="宋体" w:cs="宋体"/>
          <w:spacing w:val="-10"/>
          <w:sz w:val="24"/>
          <w:szCs w:val="24"/>
        </w:rPr>
        <w:t>图</w:t>
      </w:r>
      <w:r>
        <w:rPr>
          <w:rFonts w:ascii="宋体" w:hAnsi="宋体" w:eastAsia="宋体" w:cs="宋体"/>
          <w:spacing w:val="-34"/>
          <w:sz w:val="24"/>
          <w:szCs w:val="24"/>
        </w:rPr>
        <w:t xml:space="preserve"> </w:t>
      </w:r>
      <w:r>
        <w:rPr>
          <w:rFonts w:ascii="Times New Roman" w:hAnsi="Times New Roman" w:eastAsia="Times New Roman" w:cs="Times New Roman"/>
          <w:spacing w:val="-10"/>
          <w:sz w:val="24"/>
          <w:szCs w:val="24"/>
        </w:rPr>
        <w:t xml:space="preserve">8.1-2       </w:t>
      </w:r>
      <w:r>
        <w:rPr>
          <w:rFonts w:ascii="宋体" w:hAnsi="宋体" w:eastAsia="宋体" w:cs="宋体"/>
          <w:spacing w:val="-10"/>
          <w:sz w:val="24"/>
          <w:szCs w:val="24"/>
        </w:rPr>
        <w:t>西乌旗气象站近二十年逐月平均风速变化曲线</w:t>
      </w:r>
    </w:p>
    <w:p w14:paraId="32968E32">
      <w:pPr>
        <w:spacing w:line="219" w:lineRule="auto"/>
        <w:rPr>
          <w:rFonts w:ascii="宋体" w:hAnsi="宋体" w:eastAsia="宋体" w:cs="宋体"/>
          <w:sz w:val="24"/>
          <w:szCs w:val="24"/>
        </w:rPr>
        <w:sectPr>
          <w:footerReference r:id="rId232" w:type="default"/>
          <w:pgSz w:w="11906" w:h="16839"/>
          <w:pgMar w:top="1208" w:right="1785" w:bottom="1362" w:left="1785" w:header="825" w:footer="1200" w:gutter="0"/>
          <w:cols w:space="720" w:num="1"/>
        </w:sectPr>
      </w:pPr>
    </w:p>
    <w:p w14:paraId="6D4467FD">
      <w:pPr>
        <w:pStyle w:val="2"/>
        <w:spacing w:line="257" w:lineRule="auto"/>
      </w:pPr>
    </w:p>
    <w:p w14:paraId="62450D86">
      <w:pPr>
        <w:spacing w:before="78" w:line="346" w:lineRule="auto"/>
        <w:ind w:left="235" w:right="83" w:firstLine="467"/>
        <w:jc w:val="both"/>
        <w:rPr>
          <w:rFonts w:ascii="宋体" w:hAnsi="宋体" w:eastAsia="宋体" w:cs="宋体"/>
          <w:sz w:val="24"/>
          <w:szCs w:val="24"/>
        </w:rPr>
      </w:pPr>
      <w:r>
        <w:rPr>
          <w:rFonts w:ascii="宋体" w:hAnsi="宋体" w:eastAsia="宋体" w:cs="宋体"/>
          <w:spacing w:val="-10"/>
          <w:sz w:val="24"/>
          <w:szCs w:val="24"/>
        </w:rPr>
        <w:t>各风向下不同风速段频率统计结果见见表</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8.1-2</w:t>
      </w:r>
      <w:r>
        <w:rPr>
          <w:rFonts w:ascii="宋体" w:hAnsi="宋体" w:eastAsia="宋体" w:cs="宋体"/>
          <w:spacing w:val="-10"/>
          <w:sz w:val="24"/>
          <w:szCs w:val="24"/>
        </w:rPr>
        <w:t>。全年以小于</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1.9 m/s</w:t>
      </w:r>
      <w:r>
        <w:rPr>
          <w:rFonts w:ascii="Times New Roman" w:hAnsi="Times New Roman" w:eastAsia="Times New Roman" w:cs="Times New Roman"/>
          <w:spacing w:val="27"/>
          <w:w w:val="101"/>
          <w:sz w:val="24"/>
          <w:szCs w:val="24"/>
        </w:rPr>
        <w:t xml:space="preserve"> </w:t>
      </w:r>
      <w:r>
        <w:rPr>
          <w:rFonts w:ascii="宋体" w:hAnsi="宋体" w:eastAsia="宋体" w:cs="宋体"/>
          <w:spacing w:val="-10"/>
          <w:sz w:val="24"/>
          <w:szCs w:val="24"/>
        </w:rPr>
        <w:t>的风速</w:t>
      </w:r>
      <w:r>
        <w:rPr>
          <w:rFonts w:ascii="宋体" w:hAnsi="宋体" w:eastAsia="宋体" w:cs="宋体"/>
          <w:sz w:val="24"/>
          <w:szCs w:val="24"/>
        </w:rPr>
        <w:t xml:space="preserve"> </w:t>
      </w:r>
      <w:r>
        <w:rPr>
          <w:rFonts w:ascii="宋体" w:hAnsi="宋体" w:eastAsia="宋体" w:cs="宋体"/>
          <w:spacing w:val="-17"/>
          <w:sz w:val="24"/>
          <w:szCs w:val="24"/>
        </w:rPr>
        <w:t>段的出现频率最高，其出现频率约占各风速段总出现频率的</w:t>
      </w:r>
      <w:r>
        <w:rPr>
          <w:rFonts w:ascii="Times New Roman" w:hAnsi="Times New Roman" w:eastAsia="Times New Roman" w:cs="Times New Roman"/>
          <w:spacing w:val="-17"/>
          <w:sz w:val="24"/>
          <w:szCs w:val="24"/>
        </w:rPr>
        <w:t>41.18%</w:t>
      </w:r>
      <w:r>
        <w:rPr>
          <w:rFonts w:ascii="宋体" w:hAnsi="宋体" w:eastAsia="宋体" w:cs="宋体"/>
          <w:spacing w:val="-17"/>
          <w:sz w:val="24"/>
          <w:szCs w:val="24"/>
        </w:rPr>
        <w:t>，其中静风频率</w:t>
      </w:r>
      <w:r>
        <w:rPr>
          <w:rFonts w:ascii="宋体" w:hAnsi="宋体" w:eastAsia="宋体" w:cs="宋体"/>
          <w:spacing w:val="7"/>
          <w:sz w:val="24"/>
          <w:szCs w:val="24"/>
        </w:rPr>
        <w:t xml:space="preserve"> </w:t>
      </w:r>
      <w:r>
        <w:rPr>
          <w:rFonts w:ascii="宋体" w:hAnsi="宋体" w:eastAsia="宋体" w:cs="宋体"/>
          <w:spacing w:val="-6"/>
          <w:sz w:val="24"/>
          <w:szCs w:val="24"/>
        </w:rPr>
        <w:t>占</w:t>
      </w:r>
      <w:r>
        <w:rPr>
          <w:rFonts w:ascii="Times New Roman" w:hAnsi="Times New Roman" w:eastAsia="Times New Roman" w:cs="Times New Roman"/>
          <w:spacing w:val="-6"/>
          <w:sz w:val="24"/>
          <w:szCs w:val="24"/>
        </w:rPr>
        <w:t>28.73%</w:t>
      </w:r>
      <w:r>
        <w:rPr>
          <w:rFonts w:ascii="宋体" w:hAnsi="宋体" w:eastAsia="宋体" w:cs="宋体"/>
          <w:spacing w:val="-6"/>
          <w:sz w:val="24"/>
          <w:szCs w:val="24"/>
        </w:rPr>
        <w:t>；</w:t>
      </w:r>
      <w:r>
        <w:rPr>
          <w:rFonts w:ascii="Times New Roman" w:hAnsi="Times New Roman" w:eastAsia="Times New Roman" w:cs="Times New Roman"/>
          <w:spacing w:val="-6"/>
          <w:sz w:val="24"/>
          <w:szCs w:val="24"/>
        </w:rPr>
        <w:t>3.0m/s</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以下风速的出现频率约占各风速段</w:t>
      </w:r>
      <w:r>
        <w:rPr>
          <w:rFonts w:ascii="宋体" w:hAnsi="宋体" w:eastAsia="宋体" w:cs="宋体"/>
          <w:spacing w:val="-7"/>
          <w:sz w:val="24"/>
          <w:szCs w:val="24"/>
        </w:rPr>
        <w:t>总出现频率的</w:t>
      </w:r>
      <w:r>
        <w:rPr>
          <w:rFonts w:ascii="宋体" w:hAnsi="宋体" w:eastAsia="宋体" w:cs="宋体"/>
          <w:spacing w:val="-56"/>
          <w:sz w:val="24"/>
          <w:szCs w:val="24"/>
        </w:rPr>
        <w:t xml:space="preserve"> </w:t>
      </w:r>
      <w:r>
        <w:rPr>
          <w:rFonts w:ascii="Times New Roman" w:hAnsi="Times New Roman" w:eastAsia="Times New Roman" w:cs="Times New Roman"/>
          <w:spacing w:val="-7"/>
          <w:sz w:val="24"/>
          <w:szCs w:val="24"/>
        </w:rPr>
        <w:t>59.66%</w:t>
      </w:r>
      <w:r>
        <w:rPr>
          <w:rFonts w:ascii="宋体" w:hAnsi="宋体" w:eastAsia="宋体" w:cs="宋体"/>
          <w:spacing w:val="-7"/>
          <w:sz w:val="24"/>
          <w:szCs w:val="24"/>
        </w:rPr>
        <w:t>。从</w:t>
      </w:r>
      <w:r>
        <w:rPr>
          <w:rFonts w:ascii="宋体" w:hAnsi="宋体" w:eastAsia="宋体" w:cs="宋体"/>
          <w:sz w:val="24"/>
          <w:szCs w:val="24"/>
        </w:rPr>
        <w:t xml:space="preserve"> </w:t>
      </w:r>
      <w:r>
        <w:rPr>
          <w:rFonts w:ascii="宋体" w:hAnsi="宋体" w:eastAsia="宋体" w:cs="宋体"/>
          <w:spacing w:val="-25"/>
          <w:sz w:val="24"/>
          <w:szCs w:val="24"/>
        </w:rPr>
        <w:t>各风向下平均风速统计结果看，偏西风平均风速相对较大。</w:t>
      </w:r>
    </w:p>
    <w:p w14:paraId="5B79133B">
      <w:pPr>
        <w:spacing w:before="115" w:line="345" w:lineRule="auto"/>
        <w:ind w:left="234" w:right="109" w:firstLine="481"/>
        <w:rPr>
          <w:rFonts w:ascii="宋体" w:hAnsi="宋体" w:eastAsia="宋体" w:cs="宋体"/>
          <w:sz w:val="24"/>
          <w:szCs w:val="24"/>
        </w:rPr>
      </w:pPr>
      <w:r>
        <w:rPr>
          <w:rFonts w:ascii="宋体" w:hAnsi="宋体" w:eastAsia="宋体" w:cs="宋体"/>
          <w:spacing w:val="-2"/>
          <w:sz w:val="24"/>
          <w:szCs w:val="24"/>
        </w:rPr>
        <w:t>主要代表月不同时间段平均风速统计结果见表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8.1-5</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。从风速的日变化可</w:t>
      </w:r>
      <w:r>
        <w:rPr>
          <w:rFonts w:ascii="宋体" w:hAnsi="宋体" w:eastAsia="宋体" w:cs="宋体"/>
          <w:sz w:val="24"/>
          <w:szCs w:val="24"/>
        </w:rPr>
        <w:t xml:space="preserve"> </w:t>
      </w:r>
      <w:r>
        <w:rPr>
          <w:rFonts w:ascii="宋体" w:hAnsi="宋体" w:eastAsia="宋体" w:cs="宋体"/>
          <w:spacing w:val="-2"/>
          <w:sz w:val="24"/>
          <w:szCs w:val="24"/>
        </w:rPr>
        <w:t>看，风速最小值出现日落后至日出前，风速最大值一般出现在</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14h </w:t>
      </w:r>
      <w:r>
        <w:rPr>
          <w:rFonts w:ascii="宋体" w:hAnsi="宋体" w:eastAsia="宋体" w:cs="宋体"/>
          <w:spacing w:val="-2"/>
          <w:sz w:val="24"/>
          <w:szCs w:val="24"/>
        </w:rPr>
        <w:t>至</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16h</w:t>
      </w:r>
      <w:r>
        <w:rPr>
          <w:rFonts w:ascii="宋体" w:hAnsi="宋体" w:eastAsia="宋体" w:cs="宋体"/>
          <w:spacing w:val="-2"/>
          <w:sz w:val="24"/>
          <w:szCs w:val="24"/>
        </w:rPr>
        <w:t>。</w:t>
      </w:r>
    </w:p>
    <w:p w14:paraId="525E35E6">
      <w:pPr>
        <w:spacing w:before="129" w:line="219" w:lineRule="auto"/>
        <w:ind w:left="1899"/>
        <w:rPr>
          <w:rFonts w:ascii="宋体" w:hAnsi="宋体" w:eastAsia="宋体" w:cs="宋体"/>
          <w:sz w:val="24"/>
          <w:szCs w:val="24"/>
        </w:rPr>
      </w:pPr>
      <w:r>
        <w:rPr>
          <w:rFonts w:ascii="宋体" w:hAnsi="宋体" w:eastAsia="宋体" w:cs="宋体"/>
          <w:spacing w:val="-1"/>
          <w:sz w:val="24"/>
          <w:szCs w:val="24"/>
        </w:rPr>
        <w:t>表</w:t>
      </w:r>
      <w:r>
        <w:rPr>
          <w:rFonts w:ascii="Times New Roman" w:hAnsi="Times New Roman" w:eastAsia="Times New Roman" w:cs="Times New Roman"/>
          <w:spacing w:val="-1"/>
          <w:sz w:val="24"/>
          <w:szCs w:val="24"/>
        </w:rPr>
        <w:t xml:space="preserve">8.1-5 </w:t>
      </w:r>
      <w:r>
        <w:rPr>
          <w:rFonts w:ascii="宋体" w:hAnsi="宋体" w:eastAsia="宋体" w:cs="宋体"/>
          <w:spacing w:val="-1"/>
          <w:sz w:val="24"/>
          <w:szCs w:val="24"/>
        </w:rPr>
        <w:t>各风向下不同风速段出现频率统计结果</w:t>
      </w:r>
    </w:p>
    <w:p w14:paraId="352CB589">
      <w:pPr>
        <w:spacing w:line="67" w:lineRule="exact"/>
      </w:pPr>
    </w:p>
    <w:tbl>
      <w:tblPr>
        <w:tblStyle w:val="5"/>
        <w:tblW w:w="8049" w:type="dxa"/>
        <w:tblInd w:w="1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3"/>
        <w:gridCol w:w="1269"/>
        <w:gridCol w:w="1269"/>
        <w:gridCol w:w="1269"/>
        <w:gridCol w:w="1271"/>
        <w:gridCol w:w="1278"/>
      </w:tblGrid>
      <w:tr w14:paraId="479C8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93" w:type="dxa"/>
            <w:tcBorders>
              <w:top w:val="single" w:color="000000" w:sz="4" w:space="0"/>
              <w:tl2br w:val="single" w:color="000000" w:sz="4" w:space="0"/>
            </w:tcBorders>
            <w:vAlign w:val="top"/>
          </w:tcPr>
          <w:p w14:paraId="23DE8592">
            <w:pPr>
              <w:pStyle w:val="6"/>
              <w:spacing w:before="55" w:line="262" w:lineRule="auto"/>
              <w:ind w:left="224" w:firstLine="297"/>
            </w:pPr>
            <w:r>
              <w:rPr>
                <w:spacing w:val="-16"/>
              </w:rPr>
              <w:t>风速段（</w:t>
            </w:r>
            <w:r>
              <w:rPr>
                <w:rFonts w:ascii="Times New Roman" w:hAnsi="Times New Roman" w:eastAsia="Times New Roman" w:cs="Times New Roman"/>
                <w:spacing w:val="-16"/>
              </w:rPr>
              <w:t>m/s</w:t>
            </w:r>
            <w:r>
              <w:rPr>
                <w:spacing w:val="-16"/>
              </w:rPr>
              <w:t>）</w:t>
            </w:r>
            <w:r>
              <w:rPr>
                <w:spacing w:val="3"/>
              </w:rPr>
              <w:t xml:space="preserve"> </w:t>
            </w:r>
            <w:r>
              <w:rPr>
                <w:spacing w:val="-6"/>
              </w:rPr>
              <w:t>风</w:t>
            </w:r>
            <w:r>
              <w:rPr>
                <w:spacing w:val="28"/>
              </w:rPr>
              <w:t xml:space="preserve"> </w:t>
            </w:r>
            <w:r>
              <w:rPr>
                <w:spacing w:val="-6"/>
              </w:rPr>
              <w:t>向</w:t>
            </w:r>
          </w:p>
        </w:tc>
        <w:tc>
          <w:tcPr>
            <w:tcW w:w="1269" w:type="dxa"/>
            <w:vAlign w:val="top"/>
          </w:tcPr>
          <w:p w14:paraId="24A5260F">
            <w:pPr>
              <w:pStyle w:val="6"/>
              <w:spacing w:before="211" w:line="264" w:lineRule="exact"/>
              <w:ind w:left="286"/>
              <w:rPr>
                <w:rFonts w:ascii="Times New Roman" w:hAnsi="Times New Roman" w:eastAsia="Times New Roman" w:cs="Times New Roman"/>
              </w:rPr>
            </w:pPr>
            <w:r>
              <w:rPr>
                <w:rFonts w:ascii="Times New Roman" w:hAnsi="Times New Roman" w:eastAsia="Times New Roman" w:cs="Times New Roman"/>
                <w:spacing w:val="1"/>
                <w:position w:val="1"/>
              </w:rPr>
              <w:t>1.0</w:t>
            </w:r>
            <w:r>
              <w:rPr>
                <w:spacing w:val="1"/>
                <w:position w:val="1"/>
              </w:rPr>
              <w:t>～</w:t>
            </w:r>
            <w:r>
              <w:rPr>
                <w:rFonts w:ascii="Times New Roman" w:hAnsi="Times New Roman" w:eastAsia="Times New Roman" w:cs="Times New Roman"/>
                <w:spacing w:val="1"/>
                <w:position w:val="1"/>
              </w:rPr>
              <w:t>1.9</w:t>
            </w:r>
          </w:p>
        </w:tc>
        <w:tc>
          <w:tcPr>
            <w:tcW w:w="1269" w:type="dxa"/>
            <w:vAlign w:val="top"/>
          </w:tcPr>
          <w:p w14:paraId="5A016714">
            <w:pPr>
              <w:pStyle w:val="6"/>
              <w:spacing w:before="211" w:line="264" w:lineRule="exact"/>
              <w:ind w:left="267"/>
              <w:rPr>
                <w:rFonts w:ascii="Times New Roman" w:hAnsi="Times New Roman" w:eastAsia="Times New Roman" w:cs="Times New Roman"/>
              </w:rPr>
            </w:pPr>
            <w:r>
              <w:rPr>
                <w:rFonts w:ascii="Times New Roman" w:hAnsi="Times New Roman" w:eastAsia="Times New Roman" w:cs="Times New Roman"/>
                <w:spacing w:val="4"/>
                <w:position w:val="1"/>
              </w:rPr>
              <w:t>2.0</w:t>
            </w:r>
            <w:r>
              <w:rPr>
                <w:spacing w:val="4"/>
                <w:position w:val="1"/>
              </w:rPr>
              <w:t>～</w:t>
            </w:r>
            <w:r>
              <w:rPr>
                <w:rFonts w:ascii="Times New Roman" w:hAnsi="Times New Roman" w:eastAsia="Times New Roman" w:cs="Times New Roman"/>
                <w:spacing w:val="4"/>
                <w:position w:val="1"/>
              </w:rPr>
              <w:t>2.9</w:t>
            </w:r>
          </w:p>
        </w:tc>
        <w:tc>
          <w:tcPr>
            <w:tcW w:w="1269" w:type="dxa"/>
            <w:vAlign w:val="top"/>
          </w:tcPr>
          <w:p w14:paraId="05FC797A">
            <w:pPr>
              <w:pStyle w:val="6"/>
              <w:spacing w:before="211" w:line="264" w:lineRule="exact"/>
              <w:ind w:left="272"/>
              <w:rPr>
                <w:rFonts w:ascii="Times New Roman" w:hAnsi="Times New Roman" w:eastAsia="Times New Roman" w:cs="Times New Roman"/>
              </w:rPr>
            </w:pPr>
            <w:r>
              <w:rPr>
                <w:rFonts w:ascii="Times New Roman" w:hAnsi="Times New Roman" w:eastAsia="Times New Roman" w:cs="Times New Roman"/>
                <w:spacing w:val="3"/>
                <w:position w:val="1"/>
              </w:rPr>
              <w:t>3.0</w:t>
            </w:r>
            <w:r>
              <w:rPr>
                <w:spacing w:val="3"/>
                <w:position w:val="1"/>
              </w:rPr>
              <w:t>～</w:t>
            </w:r>
            <w:r>
              <w:rPr>
                <w:rFonts w:ascii="Times New Roman" w:hAnsi="Times New Roman" w:eastAsia="Times New Roman" w:cs="Times New Roman"/>
                <w:spacing w:val="3"/>
                <w:position w:val="1"/>
              </w:rPr>
              <w:t>3.9</w:t>
            </w:r>
          </w:p>
        </w:tc>
        <w:tc>
          <w:tcPr>
            <w:tcW w:w="1271" w:type="dxa"/>
            <w:vAlign w:val="top"/>
          </w:tcPr>
          <w:p w14:paraId="347E317B">
            <w:pPr>
              <w:pStyle w:val="6"/>
              <w:spacing w:before="211" w:line="264" w:lineRule="exact"/>
              <w:ind w:left="269"/>
              <w:rPr>
                <w:rFonts w:ascii="Times New Roman" w:hAnsi="Times New Roman" w:eastAsia="Times New Roman" w:cs="Times New Roman"/>
              </w:rPr>
            </w:pPr>
            <w:r>
              <w:rPr>
                <w:rFonts w:ascii="Times New Roman" w:hAnsi="Times New Roman" w:eastAsia="Times New Roman" w:cs="Times New Roman"/>
                <w:spacing w:val="4"/>
                <w:position w:val="1"/>
              </w:rPr>
              <w:t>4.0</w:t>
            </w:r>
            <w:r>
              <w:rPr>
                <w:spacing w:val="4"/>
                <w:position w:val="1"/>
              </w:rPr>
              <w:t>～</w:t>
            </w:r>
            <w:r>
              <w:rPr>
                <w:rFonts w:ascii="Times New Roman" w:hAnsi="Times New Roman" w:eastAsia="Times New Roman" w:cs="Times New Roman"/>
                <w:spacing w:val="4"/>
                <w:position w:val="1"/>
              </w:rPr>
              <w:t>5.9</w:t>
            </w:r>
          </w:p>
        </w:tc>
        <w:tc>
          <w:tcPr>
            <w:tcW w:w="1278" w:type="dxa"/>
            <w:vAlign w:val="top"/>
          </w:tcPr>
          <w:p w14:paraId="0358D429">
            <w:pPr>
              <w:pStyle w:val="6"/>
              <w:spacing w:before="211" w:line="264" w:lineRule="exact"/>
              <w:ind w:left="438"/>
              <w:rPr>
                <w:rFonts w:ascii="Times New Roman" w:hAnsi="Times New Roman" w:eastAsia="Times New Roman" w:cs="Times New Roman"/>
              </w:rPr>
            </w:pPr>
            <w:r>
              <w:rPr>
                <w:spacing w:val="-4"/>
                <w:position w:val="1"/>
              </w:rPr>
              <w:t>≧</w:t>
            </w:r>
            <w:r>
              <w:rPr>
                <w:rFonts w:ascii="Times New Roman" w:hAnsi="Times New Roman" w:eastAsia="Times New Roman" w:cs="Times New Roman"/>
                <w:spacing w:val="-4"/>
                <w:position w:val="1"/>
              </w:rPr>
              <w:t>6.0</w:t>
            </w:r>
          </w:p>
        </w:tc>
      </w:tr>
      <w:tr w14:paraId="5D08C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93" w:type="dxa"/>
            <w:vAlign w:val="top"/>
          </w:tcPr>
          <w:p w14:paraId="3B2810BE">
            <w:pPr>
              <w:spacing w:before="90" w:line="192"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1269" w:type="dxa"/>
            <w:vAlign w:val="top"/>
          </w:tcPr>
          <w:p w14:paraId="49AA2885">
            <w:pPr>
              <w:spacing w:before="87"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269" w:type="dxa"/>
            <w:vAlign w:val="top"/>
          </w:tcPr>
          <w:p w14:paraId="794BE900">
            <w:pPr>
              <w:spacing w:before="87"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1269" w:type="dxa"/>
            <w:vAlign w:val="top"/>
          </w:tcPr>
          <w:p w14:paraId="79E83540">
            <w:pPr>
              <w:spacing w:before="87"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0.66</w:t>
            </w:r>
          </w:p>
        </w:tc>
        <w:tc>
          <w:tcPr>
            <w:tcW w:w="1271" w:type="dxa"/>
            <w:vAlign w:val="top"/>
          </w:tcPr>
          <w:p w14:paraId="55975588">
            <w:pPr>
              <w:spacing w:before="8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0.59</w:t>
            </w:r>
          </w:p>
        </w:tc>
        <w:tc>
          <w:tcPr>
            <w:tcW w:w="1278" w:type="dxa"/>
            <w:vAlign w:val="top"/>
          </w:tcPr>
          <w:p w14:paraId="1BA6922B">
            <w:pPr>
              <w:spacing w:before="87"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4B16D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93" w:type="dxa"/>
            <w:vAlign w:val="top"/>
          </w:tcPr>
          <w:p w14:paraId="7AC3DB97">
            <w:pPr>
              <w:spacing w:before="93" w:line="192" w:lineRule="auto"/>
              <w:ind w:left="62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NNE</w:t>
            </w:r>
          </w:p>
        </w:tc>
        <w:tc>
          <w:tcPr>
            <w:tcW w:w="1269" w:type="dxa"/>
            <w:vAlign w:val="top"/>
          </w:tcPr>
          <w:p w14:paraId="52CD69E1">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1269" w:type="dxa"/>
            <w:vAlign w:val="top"/>
          </w:tcPr>
          <w:p w14:paraId="6444C4DA">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0.66</w:t>
            </w:r>
          </w:p>
        </w:tc>
        <w:tc>
          <w:tcPr>
            <w:tcW w:w="1269" w:type="dxa"/>
            <w:vAlign w:val="top"/>
          </w:tcPr>
          <w:p w14:paraId="0ACF6123">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1271" w:type="dxa"/>
            <w:vAlign w:val="top"/>
          </w:tcPr>
          <w:p w14:paraId="48D591EF">
            <w:pPr>
              <w:spacing w:before="9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0.82</w:t>
            </w:r>
          </w:p>
        </w:tc>
        <w:tc>
          <w:tcPr>
            <w:tcW w:w="1278" w:type="dxa"/>
            <w:vAlign w:val="top"/>
          </w:tcPr>
          <w:p w14:paraId="5EC60381">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4146A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44E87471">
            <w:pPr>
              <w:spacing w:before="93" w:line="192" w:lineRule="auto"/>
              <w:ind w:left="70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NE</w:t>
            </w:r>
          </w:p>
        </w:tc>
        <w:tc>
          <w:tcPr>
            <w:tcW w:w="1269" w:type="dxa"/>
            <w:vAlign w:val="top"/>
          </w:tcPr>
          <w:p w14:paraId="215D8F4E">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1269" w:type="dxa"/>
            <w:vAlign w:val="top"/>
          </w:tcPr>
          <w:p w14:paraId="41958EE7">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69" w:type="dxa"/>
            <w:vAlign w:val="top"/>
          </w:tcPr>
          <w:p w14:paraId="2FA1D1A4">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71" w:type="dxa"/>
            <w:vAlign w:val="top"/>
          </w:tcPr>
          <w:p w14:paraId="4732EFAD">
            <w:pPr>
              <w:spacing w:before="90"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278" w:type="dxa"/>
            <w:vAlign w:val="top"/>
          </w:tcPr>
          <w:p w14:paraId="7C6CF4F4">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41AF0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34982AD1">
            <w:pPr>
              <w:spacing w:before="93" w:line="192"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ENE</w:t>
            </w:r>
          </w:p>
        </w:tc>
        <w:tc>
          <w:tcPr>
            <w:tcW w:w="1269" w:type="dxa"/>
            <w:vAlign w:val="top"/>
          </w:tcPr>
          <w:p w14:paraId="214223D7">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1269" w:type="dxa"/>
            <w:vAlign w:val="top"/>
          </w:tcPr>
          <w:p w14:paraId="75E6FD7E">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w:t>
            </w:r>
          </w:p>
        </w:tc>
        <w:tc>
          <w:tcPr>
            <w:tcW w:w="1269" w:type="dxa"/>
            <w:vAlign w:val="top"/>
          </w:tcPr>
          <w:p w14:paraId="53946C14">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271" w:type="dxa"/>
            <w:vAlign w:val="top"/>
          </w:tcPr>
          <w:p w14:paraId="1A1E3F31">
            <w:pPr>
              <w:spacing w:before="9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278" w:type="dxa"/>
            <w:vAlign w:val="top"/>
          </w:tcPr>
          <w:p w14:paraId="12E7F9D2">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6D6B2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3965B5A5">
            <w:pPr>
              <w:spacing w:before="92" w:line="192" w:lineRule="auto"/>
              <w:ind w:left="783"/>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1269" w:type="dxa"/>
            <w:vAlign w:val="top"/>
          </w:tcPr>
          <w:p w14:paraId="4FF9BB88">
            <w:pPr>
              <w:spacing w:before="89"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1269" w:type="dxa"/>
            <w:vAlign w:val="top"/>
          </w:tcPr>
          <w:p w14:paraId="16AAC58F">
            <w:pPr>
              <w:spacing w:before="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1269" w:type="dxa"/>
            <w:vAlign w:val="top"/>
          </w:tcPr>
          <w:p w14:paraId="0DFA86E6">
            <w:pPr>
              <w:spacing w:before="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71" w:type="dxa"/>
            <w:vAlign w:val="top"/>
          </w:tcPr>
          <w:p w14:paraId="6DB6A59F">
            <w:pPr>
              <w:spacing w:before="89"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278" w:type="dxa"/>
            <w:vAlign w:val="top"/>
          </w:tcPr>
          <w:p w14:paraId="7A52A1F2">
            <w:pPr>
              <w:spacing w:before="8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r>
      <w:tr w14:paraId="006BE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4DA27F10">
            <w:pPr>
              <w:spacing w:before="89"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ESE</w:t>
            </w:r>
          </w:p>
        </w:tc>
        <w:tc>
          <w:tcPr>
            <w:tcW w:w="1269" w:type="dxa"/>
            <w:vAlign w:val="top"/>
          </w:tcPr>
          <w:p w14:paraId="1F088BB8">
            <w:pPr>
              <w:spacing w:before="89"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269" w:type="dxa"/>
            <w:vAlign w:val="top"/>
          </w:tcPr>
          <w:p w14:paraId="756BD1EC">
            <w:pPr>
              <w:spacing w:before="8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w:t>
            </w:r>
          </w:p>
        </w:tc>
        <w:tc>
          <w:tcPr>
            <w:tcW w:w="1269" w:type="dxa"/>
            <w:vAlign w:val="top"/>
          </w:tcPr>
          <w:p w14:paraId="5BFC05C2">
            <w:pPr>
              <w:spacing w:before="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c>
          <w:tcPr>
            <w:tcW w:w="1271" w:type="dxa"/>
            <w:vAlign w:val="top"/>
          </w:tcPr>
          <w:p w14:paraId="21E8FC9F">
            <w:pPr>
              <w:spacing w:before="89"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278" w:type="dxa"/>
            <w:vAlign w:val="top"/>
          </w:tcPr>
          <w:p w14:paraId="0029B9AB">
            <w:pPr>
              <w:spacing w:before="8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r>
      <w:tr w14:paraId="1E092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93" w:type="dxa"/>
            <w:vAlign w:val="top"/>
          </w:tcPr>
          <w:p w14:paraId="481CEE92">
            <w:pPr>
              <w:spacing w:before="89"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1269" w:type="dxa"/>
            <w:vAlign w:val="top"/>
          </w:tcPr>
          <w:p w14:paraId="313B1B39">
            <w:pPr>
              <w:spacing w:before="8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w:t>
            </w:r>
          </w:p>
        </w:tc>
        <w:tc>
          <w:tcPr>
            <w:tcW w:w="1269" w:type="dxa"/>
            <w:vAlign w:val="top"/>
          </w:tcPr>
          <w:p w14:paraId="2A611AD4">
            <w:pPr>
              <w:spacing w:before="8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1269" w:type="dxa"/>
            <w:vAlign w:val="top"/>
          </w:tcPr>
          <w:p w14:paraId="595FE000">
            <w:pPr>
              <w:spacing w:before="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c>
          <w:tcPr>
            <w:tcW w:w="1271" w:type="dxa"/>
            <w:vAlign w:val="top"/>
          </w:tcPr>
          <w:p w14:paraId="5E6E49AA">
            <w:pPr>
              <w:spacing w:before="89"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0.54</w:t>
            </w:r>
          </w:p>
        </w:tc>
        <w:tc>
          <w:tcPr>
            <w:tcW w:w="1278" w:type="dxa"/>
            <w:vAlign w:val="top"/>
          </w:tcPr>
          <w:p w14:paraId="4F8FE7CB">
            <w:pPr>
              <w:spacing w:before="8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r>
      <w:tr w14:paraId="4C941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21F8EE11">
            <w:pPr>
              <w:spacing w:before="92" w:line="195" w:lineRule="auto"/>
              <w:ind w:left="674"/>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1269" w:type="dxa"/>
            <w:vAlign w:val="top"/>
          </w:tcPr>
          <w:p w14:paraId="515138EF">
            <w:pPr>
              <w:spacing w:before="92"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269" w:type="dxa"/>
            <w:vAlign w:val="top"/>
          </w:tcPr>
          <w:p w14:paraId="5AE7AF00">
            <w:pPr>
              <w:spacing w:before="9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1269" w:type="dxa"/>
            <w:vAlign w:val="top"/>
          </w:tcPr>
          <w:p w14:paraId="2F659B18">
            <w:pPr>
              <w:spacing w:before="9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w:t>
            </w:r>
          </w:p>
        </w:tc>
        <w:tc>
          <w:tcPr>
            <w:tcW w:w="1271" w:type="dxa"/>
            <w:vAlign w:val="top"/>
          </w:tcPr>
          <w:p w14:paraId="55D176F0">
            <w:pPr>
              <w:spacing w:before="92"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c>
          <w:tcPr>
            <w:tcW w:w="1278" w:type="dxa"/>
            <w:vAlign w:val="top"/>
          </w:tcPr>
          <w:p w14:paraId="630078E7">
            <w:pPr>
              <w:spacing w:before="9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r w14:paraId="1DE56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628C669A">
            <w:pPr>
              <w:spacing w:before="91" w:line="195" w:lineRule="auto"/>
              <w:ind w:left="799"/>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1269" w:type="dxa"/>
            <w:vAlign w:val="top"/>
          </w:tcPr>
          <w:p w14:paraId="242BAF7F">
            <w:pPr>
              <w:spacing w:before="91"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69" w:type="dxa"/>
            <w:vAlign w:val="top"/>
          </w:tcPr>
          <w:p w14:paraId="03C135B5">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c>
          <w:tcPr>
            <w:tcW w:w="1269" w:type="dxa"/>
            <w:vAlign w:val="top"/>
          </w:tcPr>
          <w:p w14:paraId="711CD82F">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271" w:type="dxa"/>
            <w:vAlign w:val="top"/>
          </w:tcPr>
          <w:p w14:paraId="343BC652">
            <w:pPr>
              <w:spacing w:before="91"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0.56</w:t>
            </w:r>
          </w:p>
        </w:tc>
        <w:tc>
          <w:tcPr>
            <w:tcW w:w="1278" w:type="dxa"/>
            <w:vAlign w:val="top"/>
          </w:tcPr>
          <w:p w14:paraId="1868735A">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r w14:paraId="0160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496805B0">
            <w:pPr>
              <w:spacing w:before="91" w:line="195" w:lineRule="auto"/>
              <w:ind w:left="6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SSW</w:t>
            </w:r>
          </w:p>
        </w:tc>
        <w:tc>
          <w:tcPr>
            <w:tcW w:w="1269" w:type="dxa"/>
            <w:vAlign w:val="top"/>
          </w:tcPr>
          <w:p w14:paraId="08ED63EE">
            <w:pPr>
              <w:spacing w:before="91"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269" w:type="dxa"/>
            <w:vAlign w:val="top"/>
          </w:tcPr>
          <w:p w14:paraId="6136DA4A">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1269" w:type="dxa"/>
            <w:vAlign w:val="top"/>
          </w:tcPr>
          <w:p w14:paraId="0C54EBC5">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0.59</w:t>
            </w:r>
          </w:p>
        </w:tc>
        <w:tc>
          <w:tcPr>
            <w:tcW w:w="1271" w:type="dxa"/>
            <w:vAlign w:val="top"/>
          </w:tcPr>
          <w:p w14:paraId="67977841">
            <w:pPr>
              <w:spacing w:before="91"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w:t>
            </w:r>
          </w:p>
        </w:tc>
        <w:tc>
          <w:tcPr>
            <w:tcW w:w="1278" w:type="dxa"/>
            <w:vAlign w:val="top"/>
          </w:tcPr>
          <w:p w14:paraId="1519CC2B">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14:paraId="071BC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47E96C8F">
            <w:pPr>
              <w:spacing w:before="90" w:line="195"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w:t>
            </w:r>
          </w:p>
        </w:tc>
        <w:tc>
          <w:tcPr>
            <w:tcW w:w="1269" w:type="dxa"/>
            <w:vAlign w:val="top"/>
          </w:tcPr>
          <w:p w14:paraId="06C0001F">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0.77</w:t>
            </w:r>
          </w:p>
        </w:tc>
        <w:tc>
          <w:tcPr>
            <w:tcW w:w="1269" w:type="dxa"/>
            <w:vAlign w:val="top"/>
          </w:tcPr>
          <w:p w14:paraId="46BBDD00">
            <w:pPr>
              <w:spacing w:before="9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1.96</w:t>
            </w:r>
          </w:p>
        </w:tc>
        <w:tc>
          <w:tcPr>
            <w:tcW w:w="1269" w:type="dxa"/>
            <w:vAlign w:val="top"/>
          </w:tcPr>
          <w:p w14:paraId="657AAC78">
            <w:pPr>
              <w:spacing w:before="9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8"/>
                <w:sz w:val="20"/>
                <w:szCs w:val="20"/>
              </w:rPr>
              <w:t>14</w:t>
            </w:r>
          </w:p>
        </w:tc>
        <w:tc>
          <w:tcPr>
            <w:tcW w:w="1271" w:type="dxa"/>
            <w:vAlign w:val="top"/>
          </w:tcPr>
          <w:p w14:paraId="5FE84E34">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3.72</w:t>
            </w:r>
          </w:p>
        </w:tc>
        <w:tc>
          <w:tcPr>
            <w:tcW w:w="1278" w:type="dxa"/>
            <w:vAlign w:val="top"/>
          </w:tcPr>
          <w:p w14:paraId="563156C7">
            <w:pPr>
              <w:spacing w:before="90"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r>
      <w:tr w14:paraId="753BE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6B0C8BBB">
            <w:pPr>
              <w:spacing w:before="90"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WSW</w:t>
            </w:r>
          </w:p>
        </w:tc>
        <w:tc>
          <w:tcPr>
            <w:tcW w:w="1269" w:type="dxa"/>
            <w:vAlign w:val="top"/>
          </w:tcPr>
          <w:p w14:paraId="0A7FA982">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269" w:type="dxa"/>
            <w:vAlign w:val="top"/>
          </w:tcPr>
          <w:p w14:paraId="0BC92AE0">
            <w:pPr>
              <w:spacing w:before="9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2.41</w:t>
            </w:r>
          </w:p>
        </w:tc>
        <w:tc>
          <w:tcPr>
            <w:tcW w:w="1269" w:type="dxa"/>
            <w:vAlign w:val="top"/>
          </w:tcPr>
          <w:p w14:paraId="02B46ADD">
            <w:pPr>
              <w:spacing w:before="90"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3.03</w:t>
            </w:r>
          </w:p>
        </w:tc>
        <w:tc>
          <w:tcPr>
            <w:tcW w:w="1271" w:type="dxa"/>
            <w:vAlign w:val="top"/>
          </w:tcPr>
          <w:p w14:paraId="6FF178E9">
            <w:pPr>
              <w:spacing w:before="90"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4.61</w:t>
            </w:r>
          </w:p>
        </w:tc>
        <w:tc>
          <w:tcPr>
            <w:tcW w:w="1278" w:type="dxa"/>
            <w:vAlign w:val="top"/>
          </w:tcPr>
          <w:p w14:paraId="43E257D0">
            <w:pPr>
              <w:spacing w:before="90"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w:t>
            </w:r>
          </w:p>
        </w:tc>
      </w:tr>
      <w:tr w14:paraId="11715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6D84EBA7">
            <w:pPr>
              <w:spacing w:before="92" w:line="192" w:lineRule="auto"/>
              <w:ind w:left="74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1269" w:type="dxa"/>
            <w:vAlign w:val="top"/>
          </w:tcPr>
          <w:p w14:paraId="2AF1D9B8">
            <w:pPr>
              <w:spacing w:before="90"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269" w:type="dxa"/>
            <w:vAlign w:val="top"/>
          </w:tcPr>
          <w:p w14:paraId="0BC1C5A4">
            <w:pPr>
              <w:spacing w:before="9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1269" w:type="dxa"/>
            <w:vAlign w:val="top"/>
          </w:tcPr>
          <w:p w14:paraId="4A95DE21">
            <w:pPr>
              <w:spacing w:before="9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2.07</w:t>
            </w:r>
          </w:p>
        </w:tc>
        <w:tc>
          <w:tcPr>
            <w:tcW w:w="1271" w:type="dxa"/>
            <w:vAlign w:val="top"/>
          </w:tcPr>
          <w:p w14:paraId="0BD58720">
            <w:pPr>
              <w:spacing w:before="9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c>
          <w:tcPr>
            <w:tcW w:w="1278" w:type="dxa"/>
            <w:vAlign w:val="top"/>
          </w:tcPr>
          <w:p w14:paraId="152F4503">
            <w:pPr>
              <w:spacing w:before="90"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0"/>
                <w:sz w:val="20"/>
                <w:szCs w:val="20"/>
              </w:rPr>
              <w:t>11</w:t>
            </w:r>
          </w:p>
        </w:tc>
      </w:tr>
      <w:tr w14:paraId="75F0D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26430324">
            <w:pPr>
              <w:spacing w:before="94" w:line="192"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WNW</w:t>
            </w:r>
          </w:p>
        </w:tc>
        <w:tc>
          <w:tcPr>
            <w:tcW w:w="1269" w:type="dxa"/>
            <w:vAlign w:val="top"/>
          </w:tcPr>
          <w:p w14:paraId="7477FF45">
            <w:pPr>
              <w:spacing w:before="92"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0.91</w:t>
            </w:r>
          </w:p>
        </w:tc>
        <w:tc>
          <w:tcPr>
            <w:tcW w:w="1269" w:type="dxa"/>
            <w:vAlign w:val="top"/>
          </w:tcPr>
          <w:p w14:paraId="7E67801D">
            <w:pPr>
              <w:spacing w:before="92"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1.98</w:t>
            </w:r>
          </w:p>
        </w:tc>
        <w:tc>
          <w:tcPr>
            <w:tcW w:w="1269" w:type="dxa"/>
            <w:vAlign w:val="top"/>
          </w:tcPr>
          <w:p w14:paraId="3A2DFBD9">
            <w:pPr>
              <w:spacing w:before="92"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1.41</w:t>
            </w:r>
          </w:p>
        </w:tc>
        <w:tc>
          <w:tcPr>
            <w:tcW w:w="1271" w:type="dxa"/>
            <w:vAlign w:val="top"/>
          </w:tcPr>
          <w:p w14:paraId="0A19722D">
            <w:pPr>
              <w:spacing w:before="92"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1.48</w:t>
            </w:r>
          </w:p>
        </w:tc>
        <w:tc>
          <w:tcPr>
            <w:tcW w:w="1278" w:type="dxa"/>
            <w:vAlign w:val="top"/>
          </w:tcPr>
          <w:p w14:paraId="4E015D60">
            <w:pPr>
              <w:spacing w:before="9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r>
      <w:tr w14:paraId="3EA1C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93" w:type="dxa"/>
            <w:vAlign w:val="top"/>
          </w:tcPr>
          <w:p w14:paraId="6F87C2F5">
            <w:pPr>
              <w:spacing w:before="94" w:line="192" w:lineRule="auto"/>
              <w:ind w:left="6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w:t>
            </w:r>
          </w:p>
        </w:tc>
        <w:tc>
          <w:tcPr>
            <w:tcW w:w="1269" w:type="dxa"/>
            <w:vAlign w:val="top"/>
          </w:tcPr>
          <w:p w14:paraId="67CD9A9F">
            <w:pPr>
              <w:spacing w:before="91"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1269" w:type="dxa"/>
            <w:vAlign w:val="top"/>
          </w:tcPr>
          <w:p w14:paraId="4634B492">
            <w:pPr>
              <w:spacing w:before="91"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0.91</w:t>
            </w:r>
          </w:p>
        </w:tc>
        <w:tc>
          <w:tcPr>
            <w:tcW w:w="1269" w:type="dxa"/>
            <w:vAlign w:val="top"/>
          </w:tcPr>
          <w:p w14:paraId="59273953">
            <w:pPr>
              <w:spacing w:before="91"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1271" w:type="dxa"/>
            <w:vAlign w:val="top"/>
          </w:tcPr>
          <w:p w14:paraId="5A42CB9D">
            <w:pPr>
              <w:spacing w:before="91"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1278" w:type="dxa"/>
            <w:vAlign w:val="top"/>
          </w:tcPr>
          <w:p w14:paraId="1E182C18">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r w14:paraId="5FEB9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93" w:type="dxa"/>
            <w:vAlign w:val="top"/>
          </w:tcPr>
          <w:p w14:paraId="07AB8465">
            <w:pPr>
              <w:spacing w:before="95" w:line="192"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NNW</w:t>
            </w:r>
          </w:p>
        </w:tc>
        <w:tc>
          <w:tcPr>
            <w:tcW w:w="1269" w:type="dxa"/>
            <w:vAlign w:val="top"/>
          </w:tcPr>
          <w:p w14:paraId="4CBAB458">
            <w:pPr>
              <w:spacing w:before="92"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1269" w:type="dxa"/>
            <w:vAlign w:val="top"/>
          </w:tcPr>
          <w:p w14:paraId="41834EED">
            <w:pPr>
              <w:spacing w:before="9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0.70</w:t>
            </w:r>
          </w:p>
        </w:tc>
        <w:tc>
          <w:tcPr>
            <w:tcW w:w="1269" w:type="dxa"/>
            <w:vAlign w:val="top"/>
          </w:tcPr>
          <w:p w14:paraId="385BC74B">
            <w:pPr>
              <w:spacing w:before="92"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c>
          <w:tcPr>
            <w:tcW w:w="1271" w:type="dxa"/>
            <w:vAlign w:val="top"/>
          </w:tcPr>
          <w:p w14:paraId="2C5BC10C">
            <w:pPr>
              <w:spacing w:before="92"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w:t>
            </w:r>
          </w:p>
        </w:tc>
        <w:tc>
          <w:tcPr>
            <w:tcW w:w="1278" w:type="dxa"/>
            <w:vAlign w:val="top"/>
          </w:tcPr>
          <w:p w14:paraId="16D50CA2">
            <w:pPr>
              <w:spacing w:before="9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47591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93" w:type="dxa"/>
            <w:vAlign w:val="top"/>
          </w:tcPr>
          <w:p w14:paraId="2246C7B3">
            <w:pPr>
              <w:pStyle w:val="6"/>
              <w:spacing w:before="56" w:line="229" w:lineRule="auto"/>
              <w:ind w:left="538"/>
            </w:pPr>
            <w:r>
              <w:t>合</w:t>
            </w:r>
            <w:r>
              <w:rPr>
                <w:spacing w:val="9"/>
              </w:rPr>
              <w:t xml:space="preserve">  </w:t>
            </w:r>
            <w:r>
              <w:t>计</w:t>
            </w:r>
          </w:p>
        </w:tc>
        <w:tc>
          <w:tcPr>
            <w:tcW w:w="1269" w:type="dxa"/>
            <w:vAlign w:val="top"/>
          </w:tcPr>
          <w:p w14:paraId="5F7E07C2">
            <w:pPr>
              <w:spacing w:before="9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12.82</w:t>
            </w:r>
          </w:p>
        </w:tc>
        <w:tc>
          <w:tcPr>
            <w:tcW w:w="1269" w:type="dxa"/>
            <w:vAlign w:val="top"/>
          </w:tcPr>
          <w:p w14:paraId="79525E32">
            <w:pPr>
              <w:spacing w:before="91"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18.11</w:t>
            </w:r>
          </w:p>
        </w:tc>
        <w:tc>
          <w:tcPr>
            <w:tcW w:w="1269" w:type="dxa"/>
            <w:vAlign w:val="top"/>
          </w:tcPr>
          <w:p w14:paraId="62CE595A">
            <w:pPr>
              <w:spacing w:before="9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14.56</w:t>
            </w:r>
          </w:p>
        </w:tc>
        <w:tc>
          <w:tcPr>
            <w:tcW w:w="1271" w:type="dxa"/>
            <w:vAlign w:val="top"/>
          </w:tcPr>
          <w:p w14:paraId="086646BF">
            <w:pPr>
              <w:spacing w:before="91"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18.88</w:t>
            </w:r>
          </w:p>
        </w:tc>
        <w:tc>
          <w:tcPr>
            <w:tcW w:w="1278" w:type="dxa"/>
            <w:vAlign w:val="top"/>
          </w:tcPr>
          <w:p w14:paraId="25AC7F90">
            <w:pPr>
              <w:spacing w:before="91"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r>
    </w:tbl>
    <w:p w14:paraId="5F05359B">
      <w:pPr>
        <w:spacing w:before="116" w:line="219" w:lineRule="auto"/>
        <w:ind w:left="1700"/>
        <w:rPr>
          <w:rFonts w:ascii="宋体" w:hAnsi="宋体" w:eastAsia="宋体" w:cs="宋体"/>
          <w:sz w:val="24"/>
          <w:szCs w:val="24"/>
        </w:rPr>
      </w:pPr>
      <w:r>
        <w:rPr>
          <w:rFonts w:ascii="宋体" w:hAnsi="宋体" w:eastAsia="宋体" w:cs="宋体"/>
          <w:spacing w:val="-1"/>
          <w:sz w:val="24"/>
          <w:szCs w:val="24"/>
        </w:rPr>
        <w:t xml:space="preserve">表 </w:t>
      </w:r>
      <w:r>
        <w:rPr>
          <w:rFonts w:ascii="Times New Roman" w:hAnsi="Times New Roman" w:eastAsia="Times New Roman" w:cs="Times New Roman"/>
          <w:spacing w:val="-1"/>
          <w:sz w:val="24"/>
          <w:szCs w:val="24"/>
        </w:rPr>
        <w:t xml:space="preserve">8.1-6      </w:t>
      </w:r>
      <w:r>
        <w:rPr>
          <w:rFonts w:ascii="宋体" w:hAnsi="宋体" w:eastAsia="宋体" w:cs="宋体"/>
          <w:spacing w:val="-1"/>
          <w:sz w:val="24"/>
          <w:szCs w:val="24"/>
        </w:rPr>
        <w:t>各季代表月各时间段平均风速统计结果</w:t>
      </w:r>
    </w:p>
    <w:p w14:paraId="56FF8CF0">
      <w:pPr>
        <w:spacing w:line="67" w:lineRule="exact"/>
      </w:pPr>
    </w:p>
    <w:tbl>
      <w:tblPr>
        <w:tblStyle w:val="5"/>
        <w:tblW w:w="7863" w:type="dxa"/>
        <w:tblInd w:w="1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1"/>
        <w:gridCol w:w="1607"/>
        <w:gridCol w:w="1607"/>
        <w:gridCol w:w="1607"/>
        <w:gridCol w:w="1611"/>
      </w:tblGrid>
      <w:tr w14:paraId="430E9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431" w:type="dxa"/>
            <w:vAlign w:val="top"/>
          </w:tcPr>
          <w:p w14:paraId="300F114B">
            <w:pPr>
              <w:pStyle w:val="6"/>
              <w:spacing w:before="55" w:line="230" w:lineRule="auto"/>
              <w:ind w:left="416"/>
            </w:pPr>
            <w:r>
              <w:rPr>
                <w:spacing w:val="-5"/>
              </w:rPr>
              <w:t>时</w:t>
            </w:r>
            <w:r>
              <w:rPr>
                <w:spacing w:val="17"/>
              </w:rPr>
              <w:t xml:space="preserve">  </w:t>
            </w:r>
            <w:r>
              <w:rPr>
                <w:spacing w:val="-5"/>
              </w:rPr>
              <w:t>间</w:t>
            </w:r>
          </w:p>
        </w:tc>
        <w:tc>
          <w:tcPr>
            <w:tcW w:w="1607" w:type="dxa"/>
            <w:vAlign w:val="top"/>
          </w:tcPr>
          <w:p w14:paraId="316AB186">
            <w:pPr>
              <w:spacing w:before="87" w:line="199" w:lineRule="auto"/>
              <w:ind w:left="6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02h</w:t>
            </w:r>
          </w:p>
        </w:tc>
        <w:tc>
          <w:tcPr>
            <w:tcW w:w="1607" w:type="dxa"/>
            <w:vAlign w:val="top"/>
          </w:tcPr>
          <w:p w14:paraId="2C7311E4">
            <w:pPr>
              <w:spacing w:before="87" w:line="199"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08h</w:t>
            </w:r>
          </w:p>
        </w:tc>
        <w:tc>
          <w:tcPr>
            <w:tcW w:w="1607" w:type="dxa"/>
            <w:vAlign w:val="top"/>
          </w:tcPr>
          <w:p w14:paraId="72E2D46C">
            <w:pPr>
              <w:spacing w:before="87" w:line="199"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14h</w:t>
            </w:r>
          </w:p>
        </w:tc>
        <w:tc>
          <w:tcPr>
            <w:tcW w:w="1611" w:type="dxa"/>
            <w:vAlign w:val="top"/>
          </w:tcPr>
          <w:p w14:paraId="0AC38533">
            <w:pPr>
              <w:spacing w:before="87" w:line="199"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20h</w:t>
            </w:r>
          </w:p>
        </w:tc>
      </w:tr>
      <w:tr w14:paraId="3FC2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31" w:type="dxa"/>
            <w:vAlign w:val="top"/>
          </w:tcPr>
          <w:p w14:paraId="25A350E8">
            <w:pPr>
              <w:pStyle w:val="6"/>
              <w:spacing w:before="53" w:line="228" w:lineRule="auto"/>
              <w:ind w:left="526"/>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月</w:t>
            </w:r>
          </w:p>
        </w:tc>
        <w:tc>
          <w:tcPr>
            <w:tcW w:w="1607" w:type="dxa"/>
            <w:vAlign w:val="top"/>
          </w:tcPr>
          <w:p w14:paraId="21167989">
            <w:pPr>
              <w:spacing w:before="90" w:line="195"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607" w:type="dxa"/>
            <w:vAlign w:val="top"/>
          </w:tcPr>
          <w:p w14:paraId="56792D52">
            <w:pPr>
              <w:spacing w:before="90"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607" w:type="dxa"/>
            <w:vAlign w:val="top"/>
          </w:tcPr>
          <w:p w14:paraId="1215EC3F">
            <w:pPr>
              <w:spacing w:before="90"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611" w:type="dxa"/>
            <w:vAlign w:val="top"/>
          </w:tcPr>
          <w:p w14:paraId="539BF16C">
            <w:pPr>
              <w:spacing w:before="90"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r>
      <w:tr w14:paraId="7C9B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31" w:type="dxa"/>
            <w:vAlign w:val="top"/>
          </w:tcPr>
          <w:p w14:paraId="00AA8948">
            <w:pPr>
              <w:pStyle w:val="6"/>
              <w:spacing w:before="54" w:line="228" w:lineRule="auto"/>
              <w:ind w:left="504"/>
            </w:pPr>
            <w:r>
              <w:rPr>
                <w:rFonts w:ascii="Times New Roman" w:hAnsi="Times New Roman" w:eastAsia="Times New Roman" w:cs="Times New Roman"/>
              </w:rPr>
              <w:t>4</w:t>
            </w:r>
            <w:r>
              <w:rPr>
                <w:rFonts w:ascii="Times New Roman" w:hAnsi="Times New Roman" w:eastAsia="Times New Roman" w:cs="Times New Roman"/>
                <w:spacing w:val="10"/>
              </w:rPr>
              <w:t xml:space="preserve">  </w:t>
            </w:r>
            <w:r>
              <w:t>月</w:t>
            </w:r>
          </w:p>
        </w:tc>
        <w:tc>
          <w:tcPr>
            <w:tcW w:w="1607" w:type="dxa"/>
            <w:vAlign w:val="top"/>
          </w:tcPr>
          <w:p w14:paraId="3FB01626">
            <w:pPr>
              <w:spacing w:before="90"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607" w:type="dxa"/>
            <w:vAlign w:val="top"/>
          </w:tcPr>
          <w:p w14:paraId="3664651E">
            <w:pPr>
              <w:spacing w:before="90"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607" w:type="dxa"/>
            <w:vAlign w:val="top"/>
          </w:tcPr>
          <w:p w14:paraId="08F473D0">
            <w:pPr>
              <w:spacing w:before="90"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11" w:type="dxa"/>
            <w:vAlign w:val="top"/>
          </w:tcPr>
          <w:p w14:paraId="24BC81D8">
            <w:pPr>
              <w:spacing w:before="90"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14:paraId="7277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31" w:type="dxa"/>
            <w:vAlign w:val="top"/>
          </w:tcPr>
          <w:p w14:paraId="447EDABF">
            <w:pPr>
              <w:pStyle w:val="6"/>
              <w:spacing w:before="55" w:line="228" w:lineRule="auto"/>
              <w:ind w:left="509"/>
            </w:pPr>
            <w:r>
              <w:rPr>
                <w:rFonts w:ascii="Times New Roman" w:hAnsi="Times New Roman" w:eastAsia="Times New Roman" w:cs="Times New Roman"/>
                <w:spacing w:val="-2"/>
              </w:rPr>
              <w:t>7</w:t>
            </w:r>
            <w:r>
              <w:rPr>
                <w:rFonts w:ascii="Times New Roman" w:hAnsi="Times New Roman" w:eastAsia="Times New Roman" w:cs="Times New Roman"/>
                <w:spacing w:val="9"/>
              </w:rPr>
              <w:t xml:space="preserve">  </w:t>
            </w:r>
            <w:r>
              <w:rPr>
                <w:spacing w:val="-2"/>
              </w:rPr>
              <w:t>月</w:t>
            </w:r>
          </w:p>
        </w:tc>
        <w:tc>
          <w:tcPr>
            <w:tcW w:w="1607" w:type="dxa"/>
            <w:vAlign w:val="top"/>
          </w:tcPr>
          <w:p w14:paraId="7F095BA8">
            <w:pPr>
              <w:spacing w:before="91"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607" w:type="dxa"/>
            <w:vAlign w:val="top"/>
          </w:tcPr>
          <w:p w14:paraId="66B3AD5D">
            <w:pPr>
              <w:spacing w:before="91" w:line="195"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607" w:type="dxa"/>
            <w:vAlign w:val="top"/>
          </w:tcPr>
          <w:p w14:paraId="765F42B4">
            <w:pPr>
              <w:spacing w:before="91"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611" w:type="dxa"/>
            <w:vAlign w:val="top"/>
          </w:tcPr>
          <w:p w14:paraId="205F7BF5">
            <w:pPr>
              <w:spacing w:before="91"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71E5B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431" w:type="dxa"/>
            <w:vAlign w:val="top"/>
          </w:tcPr>
          <w:p w14:paraId="3C017F27">
            <w:pPr>
              <w:pStyle w:val="6"/>
              <w:spacing w:before="55" w:line="228" w:lineRule="auto"/>
              <w:ind w:left="475"/>
            </w:pPr>
            <w:r>
              <w:rPr>
                <w:rFonts w:ascii="Times New Roman" w:hAnsi="Times New Roman" w:eastAsia="Times New Roman" w:cs="Times New Roman"/>
                <w:spacing w:val="-5"/>
              </w:rPr>
              <w:t>10</w:t>
            </w:r>
            <w:r>
              <w:rPr>
                <w:rFonts w:ascii="Times New Roman" w:hAnsi="Times New Roman" w:eastAsia="Times New Roman" w:cs="Times New Roman"/>
                <w:spacing w:val="8"/>
              </w:rPr>
              <w:t xml:space="preserve">  </w:t>
            </w:r>
            <w:r>
              <w:rPr>
                <w:spacing w:val="-5"/>
              </w:rPr>
              <w:t>月</w:t>
            </w:r>
          </w:p>
        </w:tc>
        <w:tc>
          <w:tcPr>
            <w:tcW w:w="1607" w:type="dxa"/>
            <w:vAlign w:val="top"/>
          </w:tcPr>
          <w:p w14:paraId="6D52C5B9">
            <w:pPr>
              <w:spacing w:before="91"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607" w:type="dxa"/>
            <w:vAlign w:val="top"/>
          </w:tcPr>
          <w:p w14:paraId="045F64EB">
            <w:pPr>
              <w:spacing w:before="91" w:line="195" w:lineRule="auto"/>
              <w:ind w:left="6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607" w:type="dxa"/>
            <w:vAlign w:val="top"/>
          </w:tcPr>
          <w:p w14:paraId="69CCFC97">
            <w:pPr>
              <w:spacing w:before="91"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p>
        </w:tc>
        <w:tc>
          <w:tcPr>
            <w:tcW w:w="1611" w:type="dxa"/>
            <w:vAlign w:val="top"/>
          </w:tcPr>
          <w:p w14:paraId="32B92606">
            <w:pPr>
              <w:spacing w:before="91"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r>
    </w:tbl>
    <w:p w14:paraId="7AC8368E">
      <w:pPr>
        <w:spacing w:before="115" w:line="220" w:lineRule="auto"/>
        <w:ind w:left="500"/>
        <w:outlineLvl w:val="2"/>
        <w:rPr>
          <w:rFonts w:ascii="宋体" w:hAnsi="宋体" w:eastAsia="宋体" w:cs="宋体"/>
          <w:sz w:val="24"/>
          <w:szCs w:val="24"/>
        </w:rPr>
      </w:pPr>
      <w:bookmarkStart w:id="123" w:name="bookmark109"/>
      <w:bookmarkEnd w:id="123"/>
      <w:r>
        <w:rPr>
          <w:rFonts w:ascii="Times New Roman" w:hAnsi="Times New Roman" w:eastAsia="Times New Roman" w:cs="Times New Roman"/>
          <w:b/>
          <w:bCs/>
          <w:spacing w:val="-2"/>
          <w:sz w:val="24"/>
          <w:szCs w:val="24"/>
        </w:rPr>
        <w:t xml:space="preserve">8.1.3 </w:t>
      </w:r>
      <w:r>
        <w:rPr>
          <w:rFonts w:ascii="宋体" w:hAnsi="宋体" w:eastAsia="宋体" w:cs="宋体"/>
          <w:b/>
          <w:bCs/>
          <w:spacing w:val="-2"/>
          <w:sz w:val="24"/>
          <w:szCs w:val="24"/>
        </w:rPr>
        <w:t>预测结果与分析</w:t>
      </w:r>
    </w:p>
    <w:p w14:paraId="1B0DE637">
      <w:pPr>
        <w:spacing w:before="182" w:line="218" w:lineRule="auto"/>
        <w:ind w:left="51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）有组织排放源预测影响评价</w:t>
      </w:r>
    </w:p>
    <w:p w14:paraId="7F4239AC">
      <w:pPr>
        <w:spacing w:before="185" w:line="362" w:lineRule="auto"/>
        <w:ind w:left="22" w:right="162" w:firstLine="477"/>
        <w:rPr>
          <w:rFonts w:ascii="宋体" w:hAnsi="宋体" w:eastAsia="宋体" w:cs="宋体"/>
          <w:sz w:val="24"/>
          <w:szCs w:val="24"/>
        </w:rPr>
      </w:pPr>
      <w:r>
        <w:rPr>
          <w:rFonts w:ascii="宋体" w:hAnsi="宋体" w:eastAsia="宋体" w:cs="宋体"/>
          <w:sz w:val="24"/>
          <w:szCs w:val="24"/>
        </w:rPr>
        <w:t>采用《环境影响评价技术导则</w:t>
      </w:r>
      <w:r>
        <w:rPr>
          <w:rFonts w:ascii="Times New Roman" w:hAnsi="Times New Roman" w:eastAsia="Times New Roman" w:cs="Times New Roman"/>
          <w:sz w:val="24"/>
          <w:szCs w:val="24"/>
        </w:rPr>
        <w:t>-</w:t>
      </w:r>
      <w:r>
        <w:rPr>
          <w:rFonts w:ascii="宋体" w:hAnsi="宋体" w:eastAsia="宋体" w:cs="宋体"/>
          <w:sz w:val="24"/>
          <w:szCs w:val="24"/>
        </w:rPr>
        <w:t>大气环境》（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2.2-2018</w:t>
      </w:r>
      <w:r>
        <w:rPr>
          <w:rFonts w:ascii="宋体" w:hAnsi="宋体" w:eastAsia="宋体" w:cs="宋体"/>
          <w:spacing w:val="-1"/>
          <w:sz w:val="24"/>
          <w:szCs w:val="24"/>
        </w:rPr>
        <w:t>）推荐估算模式估</w:t>
      </w:r>
      <w:r>
        <w:rPr>
          <w:rFonts w:ascii="宋体" w:hAnsi="宋体" w:eastAsia="宋体" w:cs="宋体"/>
          <w:sz w:val="24"/>
          <w:szCs w:val="24"/>
        </w:rPr>
        <w:t xml:space="preserve"> </w:t>
      </w:r>
      <w:r>
        <w:rPr>
          <w:rFonts w:ascii="宋体" w:hAnsi="宋体" w:eastAsia="宋体" w:cs="宋体"/>
          <w:spacing w:val="-2"/>
          <w:sz w:val="24"/>
          <w:szCs w:val="24"/>
        </w:rPr>
        <w:t>算点源落地浓度见表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8.1-7</w:t>
      </w:r>
      <w:r>
        <w:rPr>
          <w:rFonts w:ascii="宋体" w:hAnsi="宋体" w:eastAsia="宋体" w:cs="宋体"/>
          <w:spacing w:val="-2"/>
          <w:sz w:val="24"/>
          <w:szCs w:val="24"/>
        </w:rPr>
        <w:t>。</w:t>
      </w:r>
    </w:p>
    <w:p w14:paraId="617D0583">
      <w:pPr>
        <w:spacing w:line="362" w:lineRule="auto"/>
        <w:rPr>
          <w:rFonts w:ascii="宋体" w:hAnsi="宋体" w:eastAsia="宋体" w:cs="宋体"/>
          <w:sz w:val="24"/>
          <w:szCs w:val="24"/>
        </w:rPr>
        <w:sectPr>
          <w:footerReference r:id="rId233" w:type="default"/>
          <w:pgSz w:w="11906" w:h="16839"/>
          <w:pgMar w:top="1208" w:right="1785" w:bottom="1362" w:left="1785" w:header="825" w:footer="1200" w:gutter="0"/>
          <w:cols w:space="720" w:num="1"/>
        </w:sectPr>
      </w:pPr>
    </w:p>
    <w:p w14:paraId="0D05F174">
      <w:pPr>
        <w:spacing w:before="283" w:line="228" w:lineRule="auto"/>
        <w:ind w:left="2589"/>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3"/>
          <w:sz w:val="20"/>
          <w:szCs w:val="20"/>
        </w:rPr>
        <w:t xml:space="preserve"> </w:t>
      </w:r>
      <w:r>
        <w:rPr>
          <w:rFonts w:ascii="Times New Roman" w:hAnsi="Times New Roman" w:eastAsia="Times New Roman" w:cs="Times New Roman"/>
          <w:spacing w:val="6"/>
          <w:sz w:val="20"/>
          <w:szCs w:val="20"/>
        </w:rPr>
        <w:t xml:space="preserve">8.1-7    </w:t>
      </w:r>
      <w:r>
        <w:rPr>
          <w:rFonts w:ascii="宋体" w:hAnsi="宋体" w:eastAsia="宋体" w:cs="宋体"/>
          <w:spacing w:val="6"/>
          <w:sz w:val="20"/>
          <w:szCs w:val="20"/>
        </w:rPr>
        <w:t>点源废气预测结果一览表</w:t>
      </w:r>
    </w:p>
    <w:p w14:paraId="44351FF2">
      <w:pPr>
        <w:spacing w:line="133" w:lineRule="auto"/>
        <w:rPr>
          <w:rFonts w:ascii="Arial"/>
          <w:sz w:val="2"/>
        </w:rPr>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3"/>
        <w:gridCol w:w="1701"/>
        <w:gridCol w:w="1559"/>
        <w:gridCol w:w="1793"/>
        <w:gridCol w:w="1383"/>
      </w:tblGrid>
      <w:tr w14:paraId="214FA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3" w:type="dxa"/>
            <w:vMerge w:val="restart"/>
            <w:tcBorders>
              <w:bottom w:val="nil"/>
            </w:tcBorders>
            <w:vAlign w:val="top"/>
          </w:tcPr>
          <w:p w14:paraId="21CAEB5B">
            <w:pPr>
              <w:spacing w:line="311" w:lineRule="auto"/>
              <w:rPr>
                <w:rFonts w:ascii="Arial"/>
                <w:sz w:val="21"/>
              </w:rPr>
            </w:pPr>
          </w:p>
          <w:p w14:paraId="0F81381A">
            <w:pPr>
              <w:pStyle w:val="6"/>
              <w:spacing w:before="65" w:line="228" w:lineRule="auto"/>
              <w:ind w:left="549"/>
            </w:pPr>
            <w:r>
              <w:rPr>
                <w:spacing w:val="6"/>
              </w:rPr>
              <w:t>距离（</w:t>
            </w:r>
            <w:r>
              <w:rPr>
                <w:rFonts w:ascii="Times New Roman" w:hAnsi="Times New Roman" w:eastAsia="Times New Roman" w:cs="Times New Roman"/>
                <w:spacing w:val="6"/>
              </w:rPr>
              <w:t>m</w:t>
            </w:r>
            <w:r>
              <w:rPr>
                <w:spacing w:val="6"/>
              </w:rPr>
              <w:t>）</w:t>
            </w:r>
          </w:p>
        </w:tc>
        <w:tc>
          <w:tcPr>
            <w:tcW w:w="3260" w:type="dxa"/>
            <w:gridSpan w:val="2"/>
            <w:vAlign w:val="top"/>
          </w:tcPr>
          <w:p w14:paraId="475D0EC8">
            <w:pPr>
              <w:pStyle w:val="6"/>
              <w:spacing w:before="56" w:line="228" w:lineRule="auto"/>
              <w:ind w:left="820"/>
              <w:rPr>
                <w:rFonts w:ascii="Times New Roman" w:hAnsi="Times New Roman" w:eastAsia="Times New Roman" w:cs="Times New Roman"/>
              </w:rPr>
            </w:pPr>
            <w:r>
              <w:rPr>
                <w:spacing w:val="7"/>
              </w:rPr>
              <w:t>粗碎车间排气筒</w:t>
            </w:r>
            <w:r>
              <w:rPr>
                <w:spacing w:val="-17"/>
              </w:rPr>
              <w:t xml:space="preserve"> </w:t>
            </w:r>
            <w:r>
              <w:rPr>
                <w:rFonts w:ascii="Times New Roman" w:hAnsi="Times New Roman" w:eastAsia="Times New Roman" w:cs="Times New Roman"/>
                <w:spacing w:val="7"/>
              </w:rPr>
              <w:t>1</w:t>
            </w:r>
          </w:p>
        </w:tc>
        <w:tc>
          <w:tcPr>
            <w:tcW w:w="3176" w:type="dxa"/>
            <w:gridSpan w:val="2"/>
            <w:vAlign w:val="top"/>
          </w:tcPr>
          <w:p w14:paraId="092F4B15">
            <w:pPr>
              <w:pStyle w:val="6"/>
              <w:spacing w:before="56" w:line="228" w:lineRule="auto"/>
              <w:ind w:left="798"/>
              <w:rPr>
                <w:rFonts w:ascii="Times New Roman" w:hAnsi="Times New Roman" w:eastAsia="Times New Roman" w:cs="Times New Roman"/>
              </w:rPr>
            </w:pPr>
            <w:r>
              <w:rPr>
                <w:spacing w:val="5"/>
              </w:rPr>
              <w:t>中间堆场排气筒</w:t>
            </w:r>
            <w:r>
              <w:rPr>
                <w:spacing w:val="-43"/>
              </w:rPr>
              <w:t xml:space="preserve"> </w:t>
            </w:r>
            <w:r>
              <w:rPr>
                <w:rFonts w:ascii="Times New Roman" w:hAnsi="Times New Roman" w:eastAsia="Times New Roman" w:cs="Times New Roman"/>
                <w:spacing w:val="5"/>
              </w:rPr>
              <w:t>2</w:t>
            </w:r>
          </w:p>
        </w:tc>
      </w:tr>
      <w:tr w14:paraId="0C073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Merge w:val="continue"/>
            <w:tcBorders>
              <w:top w:val="nil"/>
              <w:bottom w:val="nil"/>
            </w:tcBorders>
            <w:vAlign w:val="top"/>
          </w:tcPr>
          <w:p w14:paraId="0911B058">
            <w:pPr>
              <w:rPr>
                <w:rFonts w:ascii="Arial"/>
                <w:sz w:val="21"/>
              </w:rPr>
            </w:pPr>
          </w:p>
        </w:tc>
        <w:tc>
          <w:tcPr>
            <w:tcW w:w="3260" w:type="dxa"/>
            <w:gridSpan w:val="2"/>
            <w:vAlign w:val="top"/>
          </w:tcPr>
          <w:p w14:paraId="3D7DDA97">
            <w:pPr>
              <w:spacing w:before="90" w:line="199" w:lineRule="auto"/>
              <w:ind w:left="141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3176" w:type="dxa"/>
            <w:gridSpan w:val="2"/>
            <w:vAlign w:val="top"/>
          </w:tcPr>
          <w:p w14:paraId="1D8BCB39">
            <w:pPr>
              <w:spacing w:before="90" w:line="199" w:lineRule="auto"/>
              <w:ind w:left="1367"/>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r>
      <w:tr w14:paraId="5674B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093" w:type="dxa"/>
            <w:vMerge w:val="continue"/>
            <w:tcBorders>
              <w:top w:val="nil"/>
            </w:tcBorders>
            <w:vAlign w:val="top"/>
          </w:tcPr>
          <w:p w14:paraId="38283FEF">
            <w:pPr>
              <w:rPr>
                <w:rFonts w:ascii="Arial"/>
                <w:sz w:val="21"/>
              </w:rPr>
            </w:pPr>
          </w:p>
        </w:tc>
        <w:tc>
          <w:tcPr>
            <w:tcW w:w="1701" w:type="dxa"/>
            <w:vAlign w:val="top"/>
          </w:tcPr>
          <w:p w14:paraId="3F914C69">
            <w:pPr>
              <w:pStyle w:val="6"/>
              <w:spacing w:before="51" w:line="221" w:lineRule="auto"/>
              <w:ind w:left="182"/>
            </w:pPr>
            <w:r>
              <w:rPr>
                <w:spacing w:val="2"/>
              </w:rPr>
              <w:t>浓度</w:t>
            </w:r>
            <w:r>
              <w:rPr>
                <w:spacing w:val="25"/>
              </w:rPr>
              <w:t xml:space="preserve"> </w:t>
            </w:r>
            <w:r>
              <w:rPr>
                <w:spacing w:val="2"/>
              </w:rPr>
              <w:t>(</w:t>
            </w:r>
            <w:r>
              <w:rPr>
                <w:rFonts w:ascii="Times New Roman" w:hAnsi="Times New Roman" w:eastAsia="Times New Roman" w:cs="Times New Roman"/>
                <w:spacing w:val="2"/>
              </w:rPr>
              <w:t>μg/m</w:t>
            </w:r>
            <w:r>
              <w:rPr>
                <w:rFonts w:ascii="Times New Roman" w:hAnsi="Times New Roman" w:eastAsia="Times New Roman" w:cs="Times New Roman"/>
                <w:spacing w:val="2"/>
                <w:position w:val="6"/>
                <w:sz w:val="13"/>
                <w:szCs w:val="13"/>
              </w:rPr>
              <w:t>3</w:t>
            </w:r>
            <w:r>
              <w:rPr>
                <w:spacing w:val="2"/>
              </w:rPr>
              <w:t>）</w:t>
            </w:r>
          </w:p>
        </w:tc>
        <w:tc>
          <w:tcPr>
            <w:tcW w:w="1559" w:type="dxa"/>
            <w:vAlign w:val="top"/>
          </w:tcPr>
          <w:p w14:paraId="0AECFD1F">
            <w:pPr>
              <w:pStyle w:val="6"/>
              <w:spacing w:before="51" w:line="228" w:lineRule="auto"/>
              <w:ind w:left="207"/>
            </w:pPr>
            <w:r>
              <w:t>占标率（</w:t>
            </w:r>
            <w:r>
              <w:rPr>
                <w:rFonts w:ascii="Times New Roman" w:hAnsi="Times New Roman" w:eastAsia="Times New Roman" w:cs="Times New Roman"/>
              </w:rPr>
              <w:t>%</w:t>
            </w:r>
            <w:r>
              <w:t>）</w:t>
            </w:r>
          </w:p>
        </w:tc>
        <w:tc>
          <w:tcPr>
            <w:tcW w:w="1793" w:type="dxa"/>
            <w:vAlign w:val="top"/>
          </w:tcPr>
          <w:p w14:paraId="65F0442E">
            <w:pPr>
              <w:pStyle w:val="6"/>
              <w:spacing w:before="51" w:line="221" w:lineRule="auto"/>
              <w:ind w:left="229"/>
            </w:pPr>
            <w:r>
              <w:rPr>
                <w:spacing w:val="2"/>
              </w:rPr>
              <w:t>浓度</w:t>
            </w:r>
            <w:r>
              <w:rPr>
                <w:spacing w:val="25"/>
              </w:rPr>
              <w:t xml:space="preserve"> </w:t>
            </w:r>
            <w:r>
              <w:rPr>
                <w:spacing w:val="2"/>
              </w:rPr>
              <w:t>(</w:t>
            </w:r>
            <w:r>
              <w:rPr>
                <w:rFonts w:ascii="Times New Roman" w:hAnsi="Times New Roman" w:eastAsia="Times New Roman" w:cs="Times New Roman"/>
                <w:spacing w:val="2"/>
              </w:rPr>
              <w:t>μg/m</w:t>
            </w:r>
            <w:r>
              <w:rPr>
                <w:rFonts w:ascii="Times New Roman" w:hAnsi="Times New Roman" w:eastAsia="Times New Roman" w:cs="Times New Roman"/>
                <w:spacing w:val="2"/>
                <w:position w:val="6"/>
                <w:sz w:val="13"/>
                <w:szCs w:val="13"/>
              </w:rPr>
              <w:t>3</w:t>
            </w:r>
            <w:r>
              <w:rPr>
                <w:spacing w:val="2"/>
              </w:rPr>
              <w:t>）</w:t>
            </w:r>
          </w:p>
        </w:tc>
        <w:tc>
          <w:tcPr>
            <w:tcW w:w="1383" w:type="dxa"/>
            <w:vAlign w:val="top"/>
          </w:tcPr>
          <w:p w14:paraId="7D5717E9">
            <w:pPr>
              <w:pStyle w:val="6"/>
              <w:spacing w:before="51" w:line="228" w:lineRule="auto"/>
              <w:ind w:left="151"/>
            </w:pPr>
            <w:r>
              <w:t>占标率（</w:t>
            </w:r>
            <w:r>
              <w:rPr>
                <w:rFonts w:ascii="Times New Roman" w:hAnsi="Times New Roman" w:eastAsia="Times New Roman" w:cs="Times New Roman"/>
              </w:rPr>
              <w:t>%</w:t>
            </w:r>
            <w:r>
              <w:t>）</w:t>
            </w:r>
          </w:p>
        </w:tc>
      </w:tr>
      <w:tr w14:paraId="76B72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06CE474C">
            <w:pPr>
              <w:spacing w:before="88" w:line="195" w:lineRule="auto"/>
              <w:ind w:left="9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01" w:type="dxa"/>
            <w:vAlign w:val="top"/>
          </w:tcPr>
          <w:p w14:paraId="39CF7A70">
            <w:pPr>
              <w:spacing w:before="8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4.4443</w:t>
            </w:r>
          </w:p>
        </w:tc>
        <w:tc>
          <w:tcPr>
            <w:tcW w:w="1559" w:type="dxa"/>
            <w:vAlign w:val="top"/>
          </w:tcPr>
          <w:p w14:paraId="7FD5C2BD">
            <w:pPr>
              <w:spacing w:before="88"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0.99</w:t>
            </w:r>
          </w:p>
        </w:tc>
        <w:tc>
          <w:tcPr>
            <w:tcW w:w="1793" w:type="dxa"/>
            <w:vAlign w:val="top"/>
          </w:tcPr>
          <w:p w14:paraId="6890FA3E">
            <w:pPr>
              <w:spacing w:before="88"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1224</w:t>
            </w:r>
          </w:p>
        </w:tc>
        <w:tc>
          <w:tcPr>
            <w:tcW w:w="1383" w:type="dxa"/>
            <w:vAlign w:val="top"/>
          </w:tcPr>
          <w:p w14:paraId="175EE107">
            <w:pPr>
              <w:spacing w:before="88"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0.69</w:t>
            </w:r>
          </w:p>
        </w:tc>
      </w:tr>
      <w:tr w14:paraId="7C6F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0218725B">
            <w:pPr>
              <w:spacing w:before="90" w:line="195" w:lineRule="auto"/>
              <w:ind w:left="9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701" w:type="dxa"/>
            <w:vAlign w:val="top"/>
          </w:tcPr>
          <w:p w14:paraId="6E3A115E">
            <w:pPr>
              <w:spacing w:before="9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14.232</w:t>
            </w:r>
          </w:p>
        </w:tc>
        <w:tc>
          <w:tcPr>
            <w:tcW w:w="1559" w:type="dxa"/>
            <w:vAlign w:val="top"/>
          </w:tcPr>
          <w:p w14:paraId="655243FA">
            <w:pPr>
              <w:spacing w:before="90"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c>
          <w:tcPr>
            <w:tcW w:w="1793" w:type="dxa"/>
            <w:vAlign w:val="top"/>
          </w:tcPr>
          <w:p w14:paraId="018789AB">
            <w:pPr>
              <w:spacing w:before="90" w:line="195" w:lineRule="auto"/>
              <w:ind w:left="630"/>
              <w:rPr>
                <w:rFonts w:ascii="Times New Roman" w:hAnsi="Times New Roman" w:eastAsia="Times New Roman" w:cs="Times New Roman"/>
                <w:sz w:val="20"/>
                <w:szCs w:val="20"/>
              </w:rPr>
            </w:pPr>
            <w:r>
              <w:rPr>
                <w:rFonts w:ascii="Times New Roman" w:hAnsi="Times New Roman" w:eastAsia="Times New Roman" w:cs="Times New Roman"/>
                <w:sz w:val="20"/>
                <w:szCs w:val="20"/>
              </w:rPr>
              <w:t>15.033</w:t>
            </w:r>
          </w:p>
        </w:tc>
        <w:tc>
          <w:tcPr>
            <w:tcW w:w="1383" w:type="dxa"/>
            <w:vAlign w:val="top"/>
          </w:tcPr>
          <w:p w14:paraId="128246C9">
            <w:pPr>
              <w:spacing w:before="9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3.34</w:t>
            </w:r>
          </w:p>
        </w:tc>
      </w:tr>
      <w:tr w14:paraId="372F3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781EA310">
            <w:pPr>
              <w:spacing w:before="89" w:line="195"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701" w:type="dxa"/>
            <w:vAlign w:val="top"/>
          </w:tcPr>
          <w:p w14:paraId="24F5E073">
            <w:pPr>
              <w:spacing w:before="89" w:line="195" w:lineRule="auto"/>
              <w:ind w:left="56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23.495</w:t>
            </w:r>
          </w:p>
        </w:tc>
        <w:tc>
          <w:tcPr>
            <w:tcW w:w="1559" w:type="dxa"/>
            <w:vAlign w:val="top"/>
          </w:tcPr>
          <w:p w14:paraId="041B7B57">
            <w:pPr>
              <w:spacing w:before="89" w:line="195" w:lineRule="auto"/>
              <w:ind w:left="59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5.22</w:t>
            </w:r>
          </w:p>
        </w:tc>
        <w:tc>
          <w:tcPr>
            <w:tcW w:w="1793" w:type="dxa"/>
            <w:vAlign w:val="top"/>
          </w:tcPr>
          <w:p w14:paraId="3B343C2D">
            <w:pPr>
              <w:spacing w:before="89" w:line="195" w:lineRule="auto"/>
              <w:ind w:left="60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32.828</w:t>
            </w:r>
          </w:p>
        </w:tc>
        <w:tc>
          <w:tcPr>
            <w:tcW w:w="1383" w:type="dxa"/>
            <w:vAlign w:val="top"/>
          </w:tcPr>
          <w:p w14:paraId="3BDED477">
            <w:pPr>
              <w:spacing w:before="89" w:line="195" w:lineRule="auto"/>
              <w:ind w:left="51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7.30</w:t>
            </w:r>
          </w:p>
        </w:tc>
      </w:tr>
      <w:tr w14:paraId="67F65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093" w:type="dxa"/>
            <w:vAlign w:val="top"/>
          </w:tcPr>
          <w:p w14:paraId="23519F1A">
            <w:pPr>
              <w:spacing w:before="103" w:line="195" w:lineRule="auto"/>
              <w:ind w:left="95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01" w:type="dxa"/>
            <w:vAlign w:val="top"/>
          </w:tcPr>
          <w:p w14:paraId="146072A5">
            <w:pPr>
              <w:spacing w:before="8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21.046</w:t>
            </w:r>
          </w:p>
        </w:tc>
        <w:tc>
          <w:tcPr>
            <w:tcW w:w="1559" w:type="dxa"/>
            <w:vAlign w:val="top"/>
          </w:tcPr>
          <w:p w14:paraId="4EB64B61">
            <w:pPr>
              <w:spacing w:before="89"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4.68</w:t>
            </w:r>
          </w:p>
        </w:tc>
        <w:tc>
          <w:tcPr>
            <w:tcW w:w="1793" w:type="dxa"/>
            <w:vAlign w:val="top"/>
          </w:tcPr>
          <w:p w14:paraId="4DBF908E">
            <w:pPr>
              <w:spacing w:before="89"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29.408</w:t>
            </w:r>
          </w:p>
        </w:tc>
        <w:tc>
          <w:tcPr>
            <w:tcW w:w="1383" w:type="dxa"/>
            <w:vAlign w:val="top"/>
          </w:tcPr>
          <w:p w14:paraId="77297186">
            <w:pPr>
              <w:spacing w:before="89"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6.54</w:t>
            </w:r>
          </w:p>
        </w:tc>
      </w:tr>
      <w:tr w14:paraId="07AE1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093" w:type="dxa"/>
            <w:vAlign w:val="top"/>
          </w:tcPr>
          <w:p w14:paraId="110E1163">
            <w:pPr>
              <w:spacing w:before="107" w:line="192" w:lineRule="auto"/>
              <w:ind w:left="9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701" w:type="dxa"/>
            <w:vAlign w:val="top"/>
          </w:tcPr>
          <w:p w14:paraId="0DB93656">
            <w:pPr>
              <w:spacing w:before="9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14.437</w:t>
            </w:r>
          </w:p>
        </w:tc>
        <w:tc>
          <w:tcPr>
            <w:tcW w:w="1559" w:type="dxa"/>
            <w:vAlign w:val="top"/>
          </w:tcPr>
          <w:p w14:paraId="2DCEDD43">
            <w:pPr>
              <w:spacing w:before="90"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3.21</w:t>
            </w:r>
          </w:p>
        </w:tc>
        <w:tc>
          <w:tcPr>
            <w:tcW w:w="1793" w:type="dxa"/>
            <w:vAlign w:val="top"/>
          </w:tcPr>
          <w:p w14:paraId="059452A8">
            <w:pPr>
              <w:spacing w:before="9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20.174</w:t>
            </w:r>
          </w:p>
        </w:tc>
        <w:tc>
          <w:tcPr>
            <w:tcW w:w="1383" w:type="dxa"/>
            <w:vAlign w:val="top"/>
          </w:tcPr>
          <w:p w14:paraId="3213BC2C">
            <w:pPr>
              <w:spacing w:before="90"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4.48</w:t>
            </w:r>
          </w:p>
        </w:tc>
      </w:tr>
      <w:tr w14:paraId="6A09F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6F1F2056">
            <w:pPr>
              <w:spacing w:before="90" w:line="195" w:lineRule="auto"/>
              <w:ind w:left="9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01" w:type="dxa"/>
            <w:vAlign w:val="top"/>
          </w:tcPr>
          <w:p w14:paraId="0337EF21">
            <w:pPr>
              <w:spacing w:before="90"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14.336</w:t>
            </w:r>
          </w:p>
        </w:tc>
        <w:tc>
          <w:tcPr>
            <w:tcW w:w="1559" w:type="dxa"/>
            <w:vAlign w:val="top"/>
          </w:tcPr>
          <w:p w14:paraId="0A8C7269">
            <w:pPr>
              <w:spacing w:before="90" w:line="195"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1793" w:type="dxa"/>
            <w:vAlign w:val="top"/>
          </w:tcPr>
          <w:p w14:paraId="63F9276E">
            <w:pPr>
              <w:spacing w:before="9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20.037</w:t>
            </w:r>
          </w:p>
        </w:tc>
        <w:tc>
          <w:tcPr>
            <w:tcW w:w="1383" w:type="dxa"/>
            <w:vAlign w:val="top"/>
          </w:tcPr>
          <w:p w14:paraId="481F33EA">
            <w:pPr>
              <w:spacing w:before="90"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4.45</w:t>
            </w:r>
          </w:p>
        </w:tc>
      </w:tr>
      <w:tr w14:paraId="2DFFF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7F083805">
            <w:pPr>
              <w:spacing w:before="90" w:line="195" w:lineRule="auto"/>
              <w:ind w:left="8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701" w:type="dxa"/>
            <w:vAlign w:val="top"/>
          </w:tcPr>
          <w:p w14:paraId="5197C0E3">
            <w:pPr>
              <w:spacing w:before="90"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8.7838</w:t>
            </w:r>
          </w:p>
        </w:tc>
        <w:tc>
          <w:tcPr>
            <w:tcW w:w="1559" w:type="dxa"/>
            <w:vAlign w:val="top"/>
          </w:tcPr>
          <w:p w14:paraId="77F8F31D">
            <w:pPr>
              <w:spacing w:before="90"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1.95</w:t>
            </w:r>
          </w:p>
        </w:tc>
        <w:tc>
          <w:tcPr>
            <w:tcW w:w="1793" w:type="dxa"/>
            <w:vAlign w:val="top"/>
          </w:tcPr>
          <w:p w14:paraId="46D253E7">
            <w:pPr>
              <w:spacing w:before="90" w:line="195" w:lineRule="auto"/>
              <w:ind w:left="630"/>
              <w:rPr>
                <w:rFonts w:ascii="Times New Roman" w:hAnsi="Times New Roman" w:eastAsia="Times New Roman" w:cs="Times New Roman"/>
                <w:sz w:val="20"/>
                <w:szCs w:val="20"/>
              </w:rPr>
            </w:pPr>
            <w:r>
              <w:rPr>
                <w:rFonts w:ascii="Times New Roman" w:hAnsi="Times New Roman" w:eastAsia="Times New Roman" w:cs="Times New Roman"/>
                <w:sz w:val="20"/>
                <w:szCs w:val="20"/>
              </w:rPr>
              <w:t>12.276</w:t>
            </w:r>
          </w:p>
        </w:tc>
        <w:tc>
          <w:tcPr>
            <w:tcW w:w="1383" w:type="dxa"/>
            <w:vAlign w:val="top"/>
          </w:tcPr>
          <w:p w14:paraId="65E6C298">
            <w:pPr>
              <w:spacing w:before="90"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r>
      <w:tr w14:paraId="356B8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66B53CAD">
            <w:pPr>
              <w:spacing w:before="90" w:line="195" w:lineRule="auto"/>
              <w:ind w:left="8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701" w:type="dxa"/>
            <w:vAlign w:val="top"/>
          </w:tcPr>
          <w:p w14:paraId="0EB43BFA">
            <w:pPr>
              <w:spacing w:before="90"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6.0801</w:t>
            </w:r>
          </w:p>
        </w:tc>
        <w:tc>
          <w:tcPr>
            <w:tcW w:w="1559" w:type="dxa"/>
            <w:vAlign w:val="top"/>
          </w:tcPr>
          <w:p w14:paraId="6CC66122">
            <w:pPr>
              <w:spacing w:before="90"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w:t>
            </w:r>
          </w:p>
        </w:tc>
        <w:tc>
          <w:tcPr>
            <w:tcW w:w="1793" w:type="dxa"/>
            <w:vAlign w:val="top"/>
          </w:tcPr>
          <w:p w14:paraId="799B7457">
            <w:pPr>
              <w:spacing w:before="90"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8.4976</w:t>
            </w:r>
          </w:p>
        </w:tc>
        <w:tc>
          <w:tcPr>
            <w:tcW w:w="1383" w:type="dxa"/>
            <w:vAlign w:val="top"/>
          </w:tcPr>
          <w:p w14:paraId="4481ACEB">
            <w:pPr>
              <w:spacing w:before="90"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r>
      <w:tr w14:paraId="0DD1A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11C4B2E9">
            <w:pPr>
              <w:spacing w:before="92" w:line="195" w:lineRule="auto"/>
              <w:ind w:left="8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701" w:type="dxa"/>
            <w:vAlign w:val="top"/>
          </w:tcPr>
          <w:p w14:paraId="1A7C352F">
            <w:pPr>
              <w:spacing w:before="9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4.4198</w:t>
            </w:r>
          </w:p>
        </w:tc>
        <w:tc>
          <w:tcPr>
            <w:tcW w:w="1559" w:type="dxa"/>
            <w:vAlign w:val="top"/>
          </w:tcPr>
          <w:p w14:paraId="7DE2315B">
            <w:pPr>
              <w:spacing w:before="92"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1793" w:type="dxa"/>
            <w:vAlign w:val="top"/>
          </w:tcPr>
          <w:p w14:paraId="58F20840">
            <w:pPr>
              <w:spacing w:before="92"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6.1772</w:t>
            </w:r>
          </w:p>
        </w:tc>
        <w:tc>
          <w:tcPr>
            <w:tcW w:w="1383" w:type="dxa"/>
            <w:vAlign w:val="top"/>
          </w:tcPr>
          <w:p w14:paraId="6D3D29B4">
            <w:pPr>
              <w:spacing w:before="92"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w:t>
            </w:r>
          </w:p>
        </w:tc>
      </w:tr>
      <w:tr w14:paraId="78922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27A43B73">
            <w:pPr>
              <w:spacing w:before="91" w:line="195"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701" w:type="dxa"/>
            <w:vAlign w:val="top"/>
          </w:tcPr>
          <w:p w14:paraId="49EC9F82">
            <w:pPr>
              <w:spacing w:before="91"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3.3819</w:t>
            </w:r>
          </w:p>
        </w:tc>
        <w:tc>
          <w:tcPr>
            <w:tcW w:w="1559" w:type="dxa"/>
            <w:vAlign w:val="top"/>
          </w:tcPr>
          <w:p w14:paraId="2E8ABEE9">
            <w:pPr>
              <w:spacing w:before="9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793" w:type="dxa"/>
            <w:vAlign w:val="top"/>
          </w:tcPr>
          <w:p w14:paraId="08A2C5BF">
            <w:pPr>
              <w:spacing w:before="91" w:line="195" w:lineRule="auto"/>
              <w:ind w:left="6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4.7267</w:t>
            </w:r>
          </w:p>
        </w:tc>
        <w:tc>
          <w:tcPr>
            <w:tcW w:w="1383" w:type="dxa"/>
            <w:vAlign w:val="top"/>
          </w:tcPr>
          <w:p w14:paraId="014B1BAD">
            <w:pPr>
              <w:spacing w:before="9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r>
      <w:tr w14:paraId="3EC5F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12D6CA9D">
            <w:pPr>
              <w:spacing w:before="91"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701" w:type="dxa"/>
            <w:vAlign w:val="top"/>
          </w:tcPr>
          <w:p w14:paraId="24FC8EA5">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1.3827</w:t>
            </w:r>
          </w:p>
        </w:tc>
        <w:tc>
          <w:tcPr>
            <w:tcW w:w="1559" w:type="dxa"/>
            <w:vAlign w:val="top"/>
          </w:tcPr>
          <w:p w14:paraId="40A3E7B5">
            <w:pPr>
              <w:spacing w:before="9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w:t>
            </w:r>
          </w:p>
        </w:tc>
        <w:tc>
          <w:tcPr>
            <w:tcW w:w="1793" w:type="dxa"/>
            <w:vAlign w:val="top"/>
          </w:tcPr>
          <w:p w14:paraId="71ED336C">
            <w:pPr>
              <w:spacing w:before="91" w:line="195" w:lineRule="auto"/>
              <w:ind w:left="630"/>
              <w:rPr>
                <w:rFonts w:ascii="Times New Roman" w:hAnsi="Times New Roman" w:eastAsia="Times New Roman" w:cs="Times New Roman"/>
                <w:sz w:val="20"/>
                <w:szCs w:val="20"/>
              </w:rPr>
            </w:pPr>
            <w:r>
              <w:rPr>
                <w:rFonts w:ascii="Times New Roman" w:hAnsi="Times New Roman" w:eastAsia="Times New Roman" w:cs="Times New Roman"/>
                <w:sz w:val="20"/>
                <w:szCs w:val="20"/>
              </w:rPr>
              <w:t>1.9325</w:t>
            </w:r>
          </w:p>
        </w:tc>
        <w:tc>
          <w:tcPr>
            <w:tcW w:w="1383" w:type="dxa"/>
            <w:vAlign w:val="top"/>
          </w:tcPr>
          <w:p w14:paraId="2DC9642C">
            <w:pPr>
              <w:spacing w:before="91"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r>
      <w:tr w14:paraId="387C6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5D34D544">
            <w:pPr>
              <w:spacing w:before="90"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701" w:type="dxa"/>
            <w:vAlign w:val="top"/>
          </w:tcPr>
          <w:p w14:paraId="7F89EA55">
            <w:pPr>
              <w:spacing w:before="9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0.80019</w:t>
            </w:r>
          </w:p>
        </w:tc>
        <w:tc>
          <w:tcPr>
            <w:tcW w:w="1559" w:type="dxa"/>
            <w:vAlign w:val="top"/>
          </w:tcPr>
          <w:p w14:paraId="227BA891">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793" w:type="dxa"/>
            <w:vAlign w:val="top"/>
          </w:tcPr>
          <w:p w14:paraId="48232347">
            <w:pPr>
              <w:spacing w:before="90" w:line="195"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1.1184</w:t>
            </w:r>
          </w:p>
        </w:tc>
        <w:tc>
          <w:tcPr>
            <w:tcW w:w="1383" w:type="dxa"/>
            <w:vAlign w:val="top"/>
          </w:tcPr>
          <w:p w14:paraId="22EBC925">
            <w:pPr>
              <w:spacing w:before="9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r w14:paraId="02FEA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75418A17">
            <w:pPr>
              <w:spacing w:before="90"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701" w:type="dxa"/>
            <w:vAlign w:val="top"/>
          </w:tcPr>
          <w:p w14:paraId="5B675963">
            <w:pPr>
              <w:spacing w:before="9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0.53971</w:t>
            </w:r>
          </w:p>
        </w:tc>
        <w:tc>
          <w:tcPr>
            <w:tcW w:w="1559" w:type="dxa"/>
            <w:vAlign w:val="top"/>
          </w:tcPr>
          <w:p w14:paraId="683FF28A">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1793" w:type="dxa"/>
            <w:vAlign w:val="top"/>
          </w:tcPr>
          <w:p w14:paraId="03419371">
            <w:pPr>
              <w:spacing w:before="90"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0.75433</w:t>
            </w:r>
          </w:p>
        </w:tc>
        <w:tc>
          <w:tcPr>
            <w:tcW w:w="1383" w:type="dxa"/>
            <w:vAlign w:val="top"/>
          </w:tcPr>
          <w:p w14:paraId="15B2DE0E">
            <w:pPr>
              <w:spacing w:before="9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r>
      <w:tr w14:paraId="5F8A2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93" w:type="dxa"/>
            <w:vAlign w:val="top"/>
          </w:tcPr>
          <w:p w14:paraId="20F498CB">
            <w:pPr>
              <w:spacing w:before="90"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701" w:type="dxa"/>
            <w:vAlign w:val="top"/>
          </w:tcPr>
          <w:p w14:paraId="3EE783AB">
            <w:pPr>
              <w:spacing w:before="90"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0.39663</w:t>
            </w:r>
          </w:p>
        </w:tc>
        <w:tc>
          <w:tcPr>
            <w:tcW w:w="1559" w:type="dxa"/>
            <w:vAlign w:val="top"/>
          </w:tcPr>
          <w:p w14:paraId="63FED644">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793" w:type="dxa"/>
            <w:vAlign w:val="top"/>
          </w:tcPr>
          <w:p w14:paraId="1061C597">
            <w:pPr>
              <w:spacing w:before="90"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0.55436</w:t>
            </w:r>
          </w:p>
        </w:tc>
        <w:tc>
          <w:tcPr>
            <w:tcW w:w="1383" w:type="dxa"/>
            <w:vAlign w:val="top"/>
          </w:tcPr>
          <w:p w14:paraId="30C2EB8D">
            <w:pPr>
              <w:spacing w:before="9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r>
      <w:tr w14:paraId="0D027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093" w:type="dxa"/>
            <w:vAlign w:val="top"/>
          </w:tcPr>
          <w:p w14:paraId="47241C1A">
            <w:pPr>
              <w:pStyle w:val="6"/>
              <w:spacing w:before="56" w:line="259" w:lineRule="auto"/>
              <w:ind w:left="527" w:right="204" w:hanging="307"/>
            </w:pPr>
            <w:r>
              <w:rPr>
                <w:spacing w:val="7"/>
              </w:rPr>
              <w:t>下风向最大质量浓</w:t>
            </w:r>
            <w:r>
              <w:rPr>
                <w:spacing w:val="6"/>
              </w:rPr>
              <w:t xml:space="preserve"> </w:t>
            </w:r>
            <w:r>
              <w:rPr>
                <w:spacing w:val="8"/>
              </w:rPr>
              <w:t>度及占标率</w:t>
            </w:r>
          </w:p>
        </w:tc>
        <w:tc>
          <w:tcPr>
            <w:tcW w:w="1701" w:type="dxa"/>
            <w:vAlign w:val="top"/>
          </w:tcPr>
          <w:p w14:paraId="2196E193">
            <w:pPr>
              <w:spacing w:before="248" w:line="195" w:lineRule="auto"/>
              <w:ind w:left="56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23.495</w:t>
            </w:r>
          </w:p>
        </w:tc>
        <w:tc>
          <w:tcPr>
            <w:tcW w:w="1559" w:type="dxa"/>
            <w:vAlign w:val="top"/>
          </w:tcPr>
          <w:p w14:paraId="7FAFA960">
            <w:pPr>
              <w:spacing w:before="248" w:line="195" w:lineRule="auto"/>
              <w:ind w:left="59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5.22</w:t>
            </w:r>
          </w:p>
        </w:tc>
        <w:tc>
          <w:tcPr>
            <w:tcW w:w="1793" w:type="dxa"/>
            <w:vAlign w:val="top"/>
          </w:tcPr>
          <w:p w14:paraId="51226A47">
            <w:pPr>
              <w:spacing w:before="248" w:line="195" w:lineRule="auto"/>
              <w:ind w:left="60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32.828</w:t>
            </w:r>
          </w:p>
        </w:tc>
        <w:tc>
          <w:tcPr>
            <w:tcW w:w="1383" w:type="dxa"/>
            <w:vAlign w:val="top"/>
          </w:tcPr>
          <w:p w14:paraId="6A42572B">
            <w:pPr>
              <w:spacing w:before="248" w:line="195" w:lineRule="auto"/>
              <w:ind w:left="51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7.30</w:t>
            </w:r>
          </w:p>
        </w:tc>
      </w:tr>
      <w:tr w14:paraId="69108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93" w:type="dxa"/>
            <w:vAlign w:val="top"/>
          </w:tcPr>
          <w:p w14:paraId="70A7C3E8">
            <w:pPr>
              <w:pStyle w:val="6"/>
              <w:spacing w:before="56" w:line="228" w:lineRule="auto"/>
              <w:ind w:left="250"/>
              <w:rPr>
                <w:rFonts w:ascii="Times New Roman" w:hAnsi="Times New Roman" w:eastAsia="Times New Roman" w:cs="Times New Roman"/>
              </w:rPr>
            </w:pPr>
            <w:r>
              <w:rPr>
                <w:rFonts w:ascii="Times New Roman" w:hAnsi="Times New Roman" w:eastAsia="Times New Roman" w:cs="Times New Roman"/>
                <w:spacing w:val="6"/>
              </w:rPr>
              <w:t>D10%</w:t>
            </w:r>
            <w:r>
              <w:rPr>
                <w:spacing w:val="6"/>
              </w:rPr>
              <w:t>最远距离</w:t>
            </w:r>
            <w:r>
              <w:rPr>
                <w:rFonts w:ascii="Times New Roman" w:hAnsi="Times New Roman" w:eastAsia="Times New Roman" w:cs="Times New Roman"/>
                <w:spacing w:val="6"/>
              </w:rPr>
              <w:t>/m</w:t>
            </w:r>
          </w:p>
        </w:tc>
        <w:tc>
          <w:tcPr>
            <w:tcW w:w="3260" w:type="dxa"/>
            <w:gridSpan w:val="2"/>
            <w:vAlign w:val="top"/>
          </w:tcPr>
          <w:p w14:paraId="568F2C46">
            <w:pPr>
              <w:spacing w:before="92" w:line="195" w:lineRule="auto"/>
              <w:ind w:left="158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176" w:type="dxa"/>
            <w:gridSpan w:val="2"/>
            <w:vAlign w:val="top"/>
          </w:tcPr>
          <w:p w14:paraId="122D42F6">
            <w:pPr>
              <w:spacing w:before="92" w:line="195" w:lineRule="auto"/>
              <w:ind w:left="153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2E897E04">
      <w:pPr>
        <w:spacing w:before="113" w:line="357" w:lineRule="auto"/>
        <w:ind w:left="120" w:right="262" w:firstLine="510"/>
        <w:jc w:val="both"/>
        <w:rPr>
          <w:rFonts w:ascii="宋体" w:hAnsi="宋体" w:eastAsia="宋体" w:cs="宋体"/>
          <w:sz w:val="24"/>
          <w:szCs w:val="24"/>
        </w:rPr>
      </w:pPr>
      <w:r>
        <w:rPr>
          <w:rFonts w:ascii="宋体" w:hAnsi="宋体" w:eastAsia="宋体" w:cs="宋体"/>
          <w:spacing w:val="-4"/>
          <w:sz w:val="24"/>
          <w:szCs w:val="24"/>
        </w:rPr>
        <w:t>由表</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结果可知，技改工程建成后有组织排放废气中</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pacing w:val="12"/>
          <w:position w:val="-1"/>
          <w:sz w:val="15"/>
          <w:szCs w:val="15"/>
        </w:rPr>
        <w:t xml:space="preserve"> </w:t>
      </w:r>
      <w:r>
        <w:rPr>
          <w:rFonts w:ascii="宋体" w:hAnsi="宋体" w:eastAsia="宋体" w:cs="宋体"/>
          <w:spacing w:val="-4"/>
          <w:sz w:val="24"/>
          <w:szCs w:val="24"/>
        </w:rPr>
        <w:t>最大落地浓</w:t>
      </w:r>
      <w:r>
        <w:rPr>
          <w:rFonts w:ascii="宋体" w:hAnsi="宋体" w:eastAsia="宋体" w:cs="宋体"/>
          <w:sz w:val="24"/>
          <w:szCs w:val="24"/>
        </w:rPr>
        <w:t xml:space="preserve"> </w:t>
      </w:r>
      <w:r>
        <w:rPr>
          <w:rFonts w:ascii="宋体" w:hAnsi="宋体" w:eastAsia="宋体" w:cs="宋体"/>
          <w:spacing w:val="-2"/>
          <w:sz w:val="24"/>
          <w:szCs w:val="24"/>
        </w:rPr>
        <w:t>度为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32.828μg/m</w:t>
      </w:r>
      <w:r>
        <w:rPr>
          <w:rFonts w:ascii="Times New Roman" w:hAnsi="Times New Roman" w:eastAsia="Times New Roman" w:cs="Times New Roman"/>
          <w:spacing w:val="-2"/>
          <w:position w:val="7"/>
          <w:sz w:val="15"/>
          <w:szCs w:val="15"/>
        </w:rPr>
        <w:t>3</w:t>
      </w:r>
      <w:r>
        <w:rPr>
          <w:rFonts w:ascii="宋体" w:hAnsi="宋体" w:eastAsia="宋体" w:cs="宋体"/>
          <w:spacing w:val="-2"/>
          <w:sz w:val="24"/>
          <w:szCs w:val="24"/>
        </w:rPr>
        <w:t>，最大落地浓度占标率为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7.30%</w:t>
      </w:r>
      <w:r>
        <w:rPr>
          <w:rFonts w:ascii="宋体" w:hAnsi="宋体" w:eastAsia="宋体" w:cs="宋体"/>
          <w:spacing w:val="-2"/>
          <w:sz w:val="24"/>
          <w:szCs w:val="24"/>
        </w:rPr>
        <w:t>，污染物最大落地浓度及</w:t>
      </w:r>
      <w:r>
        <w:rPr>
          <w:rFonts w:ascii="宋体" w:hAnsi="宋体" w:eastAsia="宋体" w:cs="宋体"/>
          <w:spacing w:val="-3"/>
          <w:sz w:val="24"/>
          <w:szCs w:val="24"/>
        </w:rPr>
        <w:t>其占</w:t>
      </w:r>
      <w:r>
        <w:rPr>
          <w:rFonts w:ascii="宋体" w:hAnsi="宋体" w:eastAsia="宋体" w:cs="宋体"/>
          <w:sz w:val="24"/>
          <w:szCs w:val="24"/>
        </w:rPr>
        <w:t xml:space="preserve"> </w:t>
      </w:r>
      <w:r>
        <w:rPr>
          <w:rFonts w:ascii="宋体" w:hAnsi="宋体" w:eastAsia="宋体" w:cs="宋体"/>
          <w:spacing w:val="-1"/>
          <w:sz w:val="24"/>
          <w:szCs w:val="24"/>
        </w:rPr>
        <w:t>标率均较小，不会对项目周边大气环境造成较大影响。</w:t>
      </w:r>
    </w:p>
    <w:p w14:paraId="11674336">
      <w:pPr>
        <w:spacing w:before="12" w:line="220"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）无组织排放影响分析</w:t>
      </w:r>
    </w:p>
    <w:p w14:paraId="01BA48C8">
      <w:pPr>
        <w:spacing w:before="182" w:line="336" w:lineRule="auto"/>
        <w:ind w:left="123" w:right="262" w:firstLine="477"/>
        <w:rPr>
          <w:rFonts w:ascii="宋体" w:hAnsi="宋体" w:eastAsia="宋体" w:cs="宋体"/>
          <w:sz w:val="24"/>
          <w:szCs w:val="24"/>
        </w:rPr>
      </w:pPr>
      <w:r>
        <w:rPr>
          <w:rFonts w:ascii="宋体" w:hAnsi="宋体" w:eastAsia="宋体" w:cs="宋体"/>
          <w:sz w:val="24"/>
          <w:szCs w:val="24"/>
        </w:rPr>
        <w:t>采用《环境影响评价技术导则</w:t>
      </w:r>
      <w:r>
        <w:rPr>
          <w:rFonts w:ascii="Times New Roman" w:hAnsi="Times New Roman" w:eastAsia="Times New Roman" w:cs="Times New Roman"/>
          <w:sz w:val="24"/>
          <w:szCs w:val="24"/>
        </w:rPr>
        <w:t>-</w:t>
      </w:r>
      <w:r>
        <w:rPr>
          <w:rFonts w:ascii="宋体" w:hAnsi="宋体" w:eastAsia="宋体" w:cs="宋体"/>
          <w:sz w:val="24"/>
          <w:szCs w:val="24"/>
        </w:rPr>
        <w:t>大气环境》（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2.2-2018</w:t>
      </w:r>
      <w:r>
        <w:rPr>
          <w:rFonts w:ascii="宋体" w:hAnsi="宋体" w:eastAsia="宋体" w:cs="宋体"/>
          <w:spacing w:val="-1"/>
          <w:sz w:val="24"/>
          <w:szCs w:val="24"/>
        </w:rPr>
        <w:t>）推荐估算模式估</w:t>
      </w:r>
      <w:r>
        <w:rPr>
          <w:rFonts w:ascii="宋体" w:hAnsi="宋体" w:eastAsia="宋体" w:cs="宋体"/>
          <w:sz w:val="24"/>
          <w:szCs w:val="24"/>
        </w:rPr>
        <w:t xml:space="preserve"> </w:t>
      </w:r>
      <w:r>
        <w:rPr>
          <w:rFonts w:ascii="宋体" w:hAnsi="宋体" w:eastAsia="宋体" w:cs="宋体"/>
          <w:spacing w:val="-2"/>
          <w:sz w:val="24"/>
          <w:szCs w:val="24"/>
        </w:rPr>
        <w:t>算无组织落地浓度见表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8.1-8</w:t>
      </w:r>
      <w:r>
        <w:rPr>
          <w:rFonts w:ascii="宋体" w:hAnsi="宋体" w:eastAsia="宋体" w:cs="宋体"/>
          <w:spacing w:val="-2"/>
          <w:sz w:val="24"/>
          <w:szCs w:val="24"/>
        </w:rPr>
        <w:t>。</w:t>
      </w:r>
    </w:p>
    <w:p w14:paraId="5CFEF7D6">
      <w:pPr>
        <w:spacing w:line="228" w:lineRule="auto"/>
        <w:ind w:left="248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spacing w:val="6"/>
          <w:sz w:val="20"/>
          <w:szCs w:val="20"/>
        </w:rPr>
        <w:t xml:space="preserve">8.1-8    </w:t>
      </w:r>
      <w:r>
        <w:rPr>
          <w:rFonts w:ascii="宋体" w:hAnsi="宋体" w:eastAsia="宋体" w:cs="宋体"/>
          <w:spacing w:val="6"/>
          <w:sz w:val="20"/>
          <w:szCs w:val="20"/>
        </w:rPr>
        <w:t>无组织废气预测结果一览表</w:t>
      </w:r>
    </w:p>
    <w:p w14:paraId="58A3F614">
      <w:pPr>
        <w:spacing w:line="137" w:lineRule="auto"/>
        <w:rPr>
          <w:rFonts w:ascii="Arial"/>
          <w:sz w:val="2"/>
        </w:rPr>
      </w:pPr>
    </w:p>
    <w:tbl>
      <w:tblPr>
        <w:tblStyle w:val="5"/>
        <w:tblW w:w="8309"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1843"/>
        <w:gridCol w:w="1557"/>
        <w:gridCol w:w="1695"/>
        <w:gridCol w:w="1371"/>
      </w:tblGrid>
      <w:tr w14:paraId="346CB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843" w:type="dxa"/>
            <w:vMerge w:val="restart"/>
            <w:tcBorders>
              <w:bottom w:val="nil"/>
            </w:tcBorders>
            <w:vAlign w:val="top"/>
          </w:tcPr>
          <w:p w14:paraId="1F284701">
            <w:pPr>
              <w:spacing w:line="442" w:lineRule="auto"/>
              <w:rPr>
                <w:rFonts w:ascii="Arial"/>
                <w:sz w:val="21"/>
              </w:rPr>
            </w:pPr>
          </w:p>
          <w:p w14:paraId="5CA6F702">
            <w:pPr>
              <w:pStyle w:val="6"/>
              <w:spacing w:before="65" w:line="228" w:lineRule="auto"/>
              <w:ind w:left="424"/>
            </w:pPr>
            <w:r>
              <w:rPr>
                <w:spacing w:val="6"/>
              </w:rPr>
              <w:t>距离（</w:t>
            </w:r>
            <w:r>
              <w:rPr>
                <w:rFonts w:ascii="Times New Roman" w:hAnsi="Times New Roman" w:eastAsia="Times New Roman" w:cs="Times New Roman"/>
                <w:spacing w:val="6"/>
              </w:rPr>
              <w:t>m</w:t>
            </w:r>
            <w:r>
              <w:rPr>
                <w:spacing w:val="6"/>
              </w:rPr>
              <w:t>）</w:t>
            </w:r>
          </w:p>
        </w:tc>
        <w:tc>
          <w:tcPr>
            <w:tcW w:w="3400" w:type="dxa"/>
            <w:gridSpan w:val="2"/>
            <w:vAlign w:val="top"/>
          </w:tcPr>
          <w:p w14:paraId="3EFE64AE">
            <w:pPr>
              <w:pStyle w:val="6"/>
              <w:spacing w:before="98" w:line="228" w:lineRule="auto"/>
              <w:ind w:left="970"/>
            </w:pPr>
            <w:r>
              <w:rPr>
                <w:spacing w:val="8"/>
              </w:rPr>
              <w:t>粗碎车间无组织</w:t>
            </w:r>
          </w:p>
        </w:tc>
        <w:tc>
          <w:tcPr>
            <w:tcW w:w="3066" w:type="dxa"/>
            <w:gridSpan w:val="2"/>
            <w:vAlign w:val="top"/>
          </w:tcPr>
          <w:p w14:paraId="29BF0140">
            <w:pPr>
              <w:pStyle w:val="6"/>
              <w:spacing w:before="99" w:line="228" w:lineRule="auto"/>
              <w:ind w:left="1137"/>
            </w:pPr>
            <w:r>
              <w:rPr>
                <w:spacing w:val="2"/>
              </w:rPr>
              <w:t>中间堆场</w:t>
            </w:r>
          </w:p>
        </w:tc>
      </w:tr>
      <w:tr w14:paraId="6F5C1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43" w:type="dxa"/>
            <w:vMerge w:val="continue"/>
            <w:tcBorders>
              <w:top w:val="nil"/>
              <w:bottom w:val="nil"/>
            </w:tcBorders>
            <w:vAlign w:val="top"/>
          </w:tcPr>
          <w:p w14:paraId="53072B5C">
            <w:pPr>
              <w:rPr>
                <w:rFonts w:ascii="Arial"/>
                <w:sz w:val="21"/>
              </w:rPr>
            </w:pPr>
          </w:p>
        </w:tc>
        <w:tc>
          <w:tcPr>
            <w:tcW w:w="3400" w:type="dxa"/>
            <w:gridSpan w:val="2"/>
            <w:vAlign w:val="top"/>
          </w:tcPr>
          <w:p w14:paraId="6BCB4C65">
            <w:pPr>
              <w:spacing w:before="131" w:line="195" w:lineRule="auto"/>
              <w:ind w:left="15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3066" w:type="dxa"/>
            <w:gridSpan w:val="2"/>
            <w:vAlign w:val="top"/>
          </w:tcPr>
          <w:p w14:paraId="07CF6FF7">
            <w:pPr>
              <w:spacing w:before="131" w:line="195" w:lineRule="auto"/>
              <w:ind w:left="13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r>
      <w:tr w14:paraId="1B468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43" w:type="dxa"/>
            <w:vMerge w:val="continue"/>
            <w:tcBorders>
              <w:top w:val="nil"/>
            </w:tcBorders>
            <w:vAlign w:val="top"/>
          </w:tcPr>
          <w:p w14:paraId="24205831">
            <w:pPr>
              <w:rPr>
                <w:rFonts w:ascii="Arial"/>
                <w:sz w:val="21"/>
              </w:rPr>
            </w:pPr>
          </w:p>
        </w:tc>
        <w:tc>
          <w:tcPr>
            <w:tcW w:w="1843" w:type="dxa"/>
            <w:vAlign w:val="top"/>
          </w:tcPr>
          <w:p w14:paraId="086E8438">
            <w:pPr>
              <w:pStyle w:val="6"/>
              <w:spacing w:before="97" w:line="221" w:lineRule="auto"/>
              <w:ind w:left="461"/>
              <w:rPr>
                <w:rFonts w:ascii="Times New Roman" w:hAnsi="Times New Roman" w:eastAsia="Times New Roman" w:cs="Times New Roman"/>
                <w:sz w:val="13"/>
                <w:szCs w:val="13"/>
              </w:rPr>
            </w:pPr>
            <w:r>
              <w:rPr>
                <w:spacing w:val="5"/>
              </w:rPr>
              <w:t>浓度</w:t>
            </w:r>
            <w:r>
              <w:rPr>
                <w:rFonts w:ascii="Times New Roman" w:hAnsi="Times New Roman" w:eastAsia="Times New Roman" w:cs="Times New Roman"/>
                <w:spacing w:val="5"/>
              </w:rPr>
              <w:t>μg/m</w:t>
            </w:r>
            <w:r>
              <w:rPr>
                <w:rFonts w:ascii="Times New Roman" w:hAnsi="Times New Roman" w:eastAsia="Times New Roman" w:cs="Times New Roman"/>
                <w:spacing w:val="5"/>
                <w:position w:val="6"/>
                <w:sz w:val="13"/>
                <w:szCs w:val="13"/>
              </w:rPr>
              <w:t>3</w:t>
            </w:r>
          </w:p>
        </w:tc>
        <w:tc>
          <w:tcPr>
            <w:tcW w:w="1557" w:type="dxa"/>
            <w:vAlign w:val="top"/>
          </w:tcPr>
          <w:p w14:paraId="4A88F368">
            <w:pPr>
              <w:pStyle w:val="6"/>
              <w:spacing w:before="96" w:line="228" w:lineRule="auto"/>
              <w:ind w:left="417"/>
              <w:rPr>
                <w:rFonts w:ascii="Times New Roman" w:hAnsi="Times New Roman" w:eastAsia="Times New Roman" w:cs="Times New Roman"/>
              </w:rPr>
            </w:pPr>
            <w:r>
              <w:rPr>
                <w:spacing w:val="-2"/>
              </w:rPr>
              <w:t>占标率</w:t>
            </w:r>
            <w:r>
              <w:rPr>
                <w:rFonts w:ascii="Times New Roman" w:hAnsi="Times New Roman" w:eastAsia="Times New Roman" w:cs="Times New Roman"/>
                <w:spacing w:val="-2"/>
              </w:rPr>
              <w:t>%</w:t>
            </w:r>
          </w:p>
        </w:tc>
        <w:tc>
          <w:tcPr>
            <w:tcW w:w="1695" w:type="dxa"/>
            <w:vAlign w:val="top"/>
          </w:tcPr>
          <w:p w14:paraId="373A547A">
            <w:pPr>
              <w:pStyle w:val="6"/>
              <w:spacing w:before="97" w:line="221" w:lineRule="auto"/>
              <w:ind w:left="390"/>
              <w:rPr>
                <w:rFonts w:ascii="Times New Roman" w:hAnsi="Times New Roman" w:eastAsia="Times New Roman" w:cs="Times New Roman"/>
                <w:sz w:val="13"/>
                <w:szCs w:val="13"/>
              </w:rPr>
            </w:pPr>
            <w:r>
              <w:rPr>
                <w:spacing w:val="5"/>
              </w:rPr>
              <w:t>浓度</w:t>
            </w:r>
            <w:r>
              <w:rPr>
                <w:rFonts w:ascii="Times New Roman" w:hAnsi="Times New Roman" w:eastAsia="Times New Roman" w:cs="Times New Roman"/>
                <w:spacing w:val="5"/>
              </w:rPr>
              <w:t>μg/m</w:t>
            </w:r>
            <w:r>
              <w:rPr>
                <w:rFonts w:ascii="Times New Roman" w:hAnsi="Times New Roman" w:eastAsia="Times New Roman" w:cs="Times New Roman"/>
                <w:spacing w:val="5"/>
                <w:position w:val="6"/>
                <w:sz w:val="13"/>
                <w:szCs w:val="13"/>
              </w:rPr>
              <w:t>3</w:t>
            </w:r>
          </w:p>
        </w:tc>
        <w:tc>
          <w:tcPr>
            <w:tcW w:w="1371" w:type="dxa"/>
            <w:vAlign w:val="top"/>
          </w:tcPr>
          <w:p w14:paraId="28CA4486">
            <w:pPr>
              <w:pStyle w:val="6"/>
              <w:spacing w:before="96" w:line="228" w:lineRule="auto"/>
              <w:ind w:left="323"/>
              <w:rPr>
                <w:rFonts w:ascii="Times New Roman" w:hAnsi="Times New Roman" w:eastAsia="Times New Roman" w:cs="Times New Roman"/>
              </w:rPr>
            </w:pPr>
            <w:r>
              <w:rPr>
                <w:spacing w:val="-2"/>
              </w:rPr>
              <w:t>占标率</w:t>
            </w:r>
            <w:r>
              <w:rPr>
                <w:rFonts w:ascii="Times New Roman" w:hAnsi="Times New Roman" w:eastAsia="Times New Roman" w:cs="Times New Roman"/>
                <w:spacing w:val="-2"/>
              </w:rPr>
              <w:t>%</w:t>
            </w:r>
          </w:p>
        </w:tc>
      </w:tr>
      <w:tr w14:paraId="60899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843" w:type="dxa"/>
            <w:vAlign w:val="top"/>
          </w:tcPr>
          <w:p w14:paraId="65501880">
            <w:pPr>
              <w:spacing w:before="105" w:line="195"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3" w:type="dxa"/>
            <w:vAlign w:val="top"/>
          </w:tcPr>
          <w:p w14:paraId="36711F5D">
            <w:pPr>
              <w:spacing w:before="91" w:line="195" w:lineRule="auto"/>
              <w:ind w:left="63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72.284</w:t>
            </w:r>
          </w:p>
        </w:tc>
        <w:tc>
          <w:tcPr>
            <w:tcW w:w="1557" w:type="dxa"/>
            <w:vAlign w:val="top"/>
          </w:tcPr>
          <w:p w14:paraId="0E013E73">
            <w:pPr>
              <w:spacing w:before="91" w:line="195" w:lineRule="auto"/>
              <w:ind w:left="60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8.03</w:t>
            </w:r>
          </w:p>
        </w:tc>
        <w:tc>
          <w:tcPr>
            <w:tcW w:w="1695" w:type="dxa"/>
            <w:vAlign w:val="top"/>
          </w:tcPr>
          <w:p w14:paraId="60CB5EC7">
            <w:pPr>
              <w:spacing w:before="91"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50.917</w:t>
            </w:r>
          </w:p>
        </w:tc>
        <w:tc>
          <w:tcPr>
            <w:tcW w:w="1371" w:type="dxa"/>
            <w:vAlign w:val="top"/>
          </w:tcPr>
          <w:p w14:paraId="249E0578">
            <w:pPr>
              <w:spacing w:before="91"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5.66</w:t>
            </w:r>
          </w:p>
        </w:tc>
      </w:tr>
      <w:tr w14:paraId="6B36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43" w:type="dxa"/>
            <w:vAlign w:val="top"/>
          </w:tcPr>
          <w:p w14:paraId="670A1A24">
            <w:pPr>
              <w:spacing w:before="91"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843" w:type="dxa"/>
            <w:vAlign w:val="top"/>
          </w:tcPr>
          <w:p w14:paraId="1B7A7E55">
            <w:pPr>
              <w:spacing w:before="91"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40.348</w:t>
            </w:r>
          </w:p>
        </w:tc>
        <w:tc>
          <w:tcPr>
            <w:tcW w:w="1557" w:type="dxa"/>
            <w:vAlign w:val="top"/>
          </w:tcPr>
          <w:p w14:paraId="31C919F2">
            <w:pPr>
              <w:spacing w:before="91"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4.48</w:t>
            </w:r>
          </w:p>
        </w:tc>
        <w:tc>
          <w:tcPr>
            <w:tcW w:w="1695" w:type="dxa"/>
            <w:vAlign w:val="top"/>
          </w:tcPr>
          <w:p w14:paraId="1C0DEE9A">
            <w:pPr>
              <w:spacing w:before="91"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60.193</w:t>
            </w:r>
          </w:p>
        </w:tc>
        <w:tc>
          <w:tcPr>
            <w:tcW w:w="1371" w:type="dxa"/>
            <w:vAlign w:val="top"/>
          </w:tcPr>
          <w:p w14:paraId="56B4C42C">
            <w:pPr>
              <w:spacing w:before="9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6.69</w:t>
            </w:r>
          </w:p>
        </w:tc>
      </w:tr>
      <w:tr w14:paraId="21AA2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05B6CE0E">
            <w:pPr>
              <w:spacing w:before="92"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843" w:type="dxa"/>
            <w:vAlign w:val="top"/>
          </w:tcPr>
          <w:p w14:paraId="104E3492">
            <w:pPr>
              <w:spacing w:before="88" w:line="199" w:lineRule="auto"/>
              <w:ind w:left="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7" w:type="dxa"/>
            <w:vAlign w:val="top"/>
          </w:tcPr>
          <w:p w14:paraId="44688529">
            <w:pPr>
              <w:spacing w:before="88" w:line="199"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5" w:type="dxa"/>
            <w:vAlign w:val="top"/>
          </w:tcPr>
          <w:p w14:paraId="159B6E11">
            <w:pPr>
              <w:spacing w:before="92" w:line="195" w:lineRule="auto"/>
              <w:ind w:left="56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62.161</w:t>
            </w:r>
          </w:p>
        </w:tc>
        <w:tc>
          <w:tcPr>
            <w:tcW w:w="1371" w:type="dxa"/>
            <w:vAlign w:val="top"/>
          </w:tcPr>
          <w:p w14:paraId="2FFBB073">
            <w:pPr>
              <w:spacing w:before="92" w:line="195" w:lineRule="auto"/>
              <w:ind w:left="50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6.91</w:t>
            </w:r>
          </w:p>
        </w:tc>
      </w:tr>
      <w:tr w14:paraId="33BE0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5B398834">
            <w:pPr>
              <w:spacing w:before="92" w:line="195" w:lineRule="auto"/>
              <w:ind w:left="82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3" w:type="dxa"/>
            <w:vAlign w:val="top"/>
          </w:tcPr>
          <w:p w14:paraId="59D7E7F2">
            <w:pPr>
              <w:spacing w:before="92"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17.049</w:t>
            </w:r>
          </w:p>
        </w:tc>
        <w:tc>
          <w:tcPr>
            <w:tcW w:w="1557" w:type="dxa"/>
            <w:vAlign w:val="top"/>
          </w:tcPr>
          <w:p w14:paraId="4F03473C">
            <w:pPr>
              <w:spacing w:before="92"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c>
          <w:tcPr>
            <w:tcW w:w="1695" w:type="dxa"/>
            <w:vAlign w:val="top"/>
          </w:tcPr>
          <w:p w14:paraId="425E5401">
            <w:pPr>
              <w:spacing w:before="92"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34.35</w:t>
            </w:r>
          </w:p>
        </w:tc>
        <w:tc>
          <w:tcPr>
            <w:tcW w:w="1371" w:type="dxa"/>
            <w:vAlign w:val="top"/>
          </w:tcPr>
          <w:p w14:paraId="096E7737">
            <w:pPr>
              <w:spacing w:before="92"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3.82</w:t>
            </w:r>
          </w:p>
        </w:tc>
      </w:tr>
      <w:tr w14:paraId="4547E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3365ED3A">
            <w:pPr>
              <w:spacing w:before="94" w:line="192"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843" w:type="dxa"/>
            <w:vAlign w:val="top"/>
          </w:tcPr>
          <w:p w14:paraId="639E1580">
            <w:pPr>
              <w:spacing w:before="91"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9.8130</w:t>
            </w:r>
          </w:p>
        </w:tc>
        <w:tc>
          <w:tcPr>
            <w:tcW w:w="1557" w:type="dxa"/>
            <w:vAlign w:val="top"/>
          </w:tcPr>
          <w:p w14:paraId="0A140BF6">
            <w:pPr>
              <w:spacing w:before="91"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w:t>
            </w:r>
          </w:p>
        </w:tc>
        <w:tc>
          <w:tcPr>
            <w:tcW w:w="1695" w:type="dxa"/>
            <w:vAlign w:val="top"/>
          </w:tcPr>
          <w:p w14:paraId="26012B5A">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18.687</w:t>
            </w:r>
          </w:p>
        </w:tc>
        <w:tc>
          <w:tcPr>
            <w:tcW w:w="1371" w:type="dxa"/>
            <w:vAlign w:val="top"/>
          </w:tcPr>
          <w:p w14:paraId="0E6C480B">
            <w:pPr>
              <w:spacing w:before="9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2.08</w:t>
            </w:r>
          </w:p>
        </w:tc>
      </w:tr>
      <w:tr w14:paraId="2900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79657C2C">
            <w:pPr>
              <w:spacing w:before="91" w:line="195" w:lineRule="auto"/>
              <w:ind w:left="7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843" w:type="dxa"/>
            <w:vAlign w:val="top"/>
          </w:tcPr>
          <w:p w14:paraId="2CF58CA7">
            <w:pPr>
              <w:spacing w:before="91"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6.5978</w:t>
            </w:r>
          </w:p>
        </w:tc>
        <w:tc>
          <w:tcPr>
            <w:tcW w:w="1557" w:type="dxa"/>
            <w:vAlign w:val="top"/>
          </w:tcPr>
          <w:p w14:paraId="74886B23">
            <w:pPr>
              <w:spacing w:before="9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1695" w:type="dxa"/>
            <w:vAlign w:val="top"/>
          </w:tcPr>
          <w:p w14:paraId="3BC7B429">
            <w:pPr>
              <w:spacing w:before="91"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12.268</w:t>
            </w:r>
          </w:p>
        </w:tc>
        <w:tc>
          <w:tcPr>
            <w:tcW w:w="1371" w:type="dxa"/>
            <w:vAlign w:val="top"/>
          </w:tcPr>
          <w:p w14:paraId="7858D490">
            <w:pPr>
              <w:spacing w:before="91"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w:t>
            </w:r>
          </w:p>
        </w:tc>
      </w:tr>
      <w:tr w14:paraId="02529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6AFEB36D">
            <w:pPr>
              <w:spacing w:before="93"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843" w:type="dxa"/>
            <w:vAlign w:val="top"/>
          </w:tcPr>
          <w:p w14:paraId="61C15914">
            <w:pPr>
              <w:spacing w:before="93"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2.5276</w:t>
            </w:r>
          </w:p>
        </w:tc>
        <w:tc>
          <w:tcPr>
            <w:tcW w:w="1557" w:type="dxa"/>
            <w:vAlign w:val="top"/>
          </w:tcPr>
          <w:p w14:paraId="34CFC033">
            <w:pPr>
              <w:spacing w:before="93"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1695" w:type="dxa"/>
            <w:vAlign w:val="top"/>
          </w:tcPr>
          <w:p w14:paraId="157A91AE">
            <w:pPr>
              <w:spacing w:before="93"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4.5817</w:t>
            </w:r>
          </w:p>
        </w:tc>
        <w:tc>
          <w:tcPr>
            <w:tcW w:w="1371" w:type="dxa"/>
            <w:vAlign w:val="top"/>
          </w:tcPr>
          <w:p w14:paraId="49D7C606">
            <w:pPr>
              <w:spacing w:before="93"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r>
      <w:tr w14:paraId="3342D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43" w:type="dxa"/>
            <w:vAlign w:val="top"/>
          </w:tcPr>
          <w:p w14:paraId="74512E4A">
            <w:pPr>
              <w:spacing w:before="92" w:line="195"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843" w:type="dxa"/>
            <w:vAlign w:val="top"/>
          </w:tcPr>
          <w:p w14:paraId="6B71AAC4">
            <w:pPr>
              <w:spacing w:before="92"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1.4428</w:t>
            </w:r>
          </w:p>
        </w:tc>
        <w:tc>
          <w:tcPr>
            <w:tcW w:w="1557" w:type="dxa"/>
            <w:vAlign w:val="top"/>
          </w:tcPr>
          <w:p w14:paraId="64DAA7BC">
            <w:pPr>
              <w:spacing w:before="92"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695" w:type="dxa"/>
            <w:vAlign w:val="top"/>
          </w:tcPr>
          <w:p w14:paraId="4E7B530D">
            <w:pPr>
              <w:spacing w:before="9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2.6039</w:t>
            </w:r>
          </w:p>
        </w:tc>
        <w:tc>
          <w:tcPr>
            <w:tcW w:w="1371" w:type="dxa"/>
            <w:vAlign w:val="top"/>
          </w:tcPr>
          <w:p w14:paraId="6BC92D81">
            <w:pPr>
              <w:spacing w:before="92"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bl>
    <w:p w14:paraId="07A1A1E1">
      <w:pPr>
        <w:pStyle w:val="2"/>
      </w:pPr>
    </w:p>
    <w:p w14:paraId="44E60C50">
      <w:pPr>
        <w:sectPr>
          <w:headerReference r:id="rId234" w:type="default"/>
          <w:footerReference r:id="rId235" w:type="default"/>
          <w:pgSz w:w="11906" w:h="16839"/>
          <w:pgMar w:top="1208" w:right="1686" w:bottom="1362" w:left="1685" w:header="825" w:footer="1200" w:gutter="0"/>
          <w:cols w:space="720" w:num="1"/>
        </w:sectPr>
      </w:pPr>
    </w:p>
    <w:p w14:paraId="152237B0">
      <w:pPr>
        <w:spacing w:line="231" w:lineRule="exact"/>
      </w:pPr>
    </w:p>
    <w:tbl>
      <w:tblPr>
        <w:tblStyle w:val="5"/>
        <w:tblW w:w="8309"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1843"/>
        <w:gridCol w:w="1557"/>
        <w:gridCol w:w="1695"/>
        <w:gridCol w:w="1371"/>
      </w:tblGrid>
      <w:tr w14:paraId="261E6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3" w:type="dxa"/>
            <w:vAlign w:val="top"/>
          </w:tcPr>
          <w:p w14:paraId="0D33CF3D">
            <w:pPr>
              <w:spacing w:before="92" w:line="195" w:lineRule="auto"/>
              <w:ind w:left="7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843" w:type="dxa"/>
            <w:vAlign w:val="top"/>
          </w:tcPr>
          <w:p w14:paraId="22A5CD55">
            <w:pPr>
              <w:spacing w:before="92"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0.97016</w:t>
            </w:r>
          </w:p>
        </w:tc>
        <w:tc>
          <w:tcPr>
            <w:tcW w:w="1557" w:type="dxa"/>
            <w:vAlign w:val="top"/>
          </w:tcPr>
          <w:p w14:paraId="0244BB64">
            <w:pPr>
              <w:spacing w:before="92"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695" w:type="dxa"/>
            <w:vAlign w:val="top"/>
          </w:tcPr>
          <w:p w14:paraId="148E4870">
            <w:pPr>
              <w:spacing w:before="92"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1.7484</w:t>
            </w:r>
          </w:p>
        </w:tc>
        <w:tc>
          <w:tcPr>
            <w:tcW w:w="1371" w:type="dxa"/>
            <w:vAlign w:val="top"/>
          </w:tcPr>
          <w:p w14:paraId="56D34B4D">
            <w:pPr>
              <w:spacing w:before="92"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r>
      <w:tr w14:paraId="15953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6E5CDD43">
            <w:pPr>
              <w:spacing w:before="87" w:line="195"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843" w:type="dxa"/>
            <w:vAlign w:val="top"/>
          </w:tcPr>
          <w:p w14:paraId="403CBF0F">
            <w:pPr>
              <w:spacing w:before="87"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0.71343</w:t>
            </w:r>
          </w:p>
        </w:tc>
        <w:tc>
          <w:tcPr>
            <w:tcW w:w="1557" w:type="dxa"/>
            <w:vAlign w:val="top"/>
          </w:tcPr>
          <w:p w14:paraId="2FEC31DB">
            <w:pPr>
              <w:spacing w:before="8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695" w:type="dxa"/>
            <w:vAlign w:val="top"/>
          </w:tcPr>
          <w:p w14:paraId="03B5129D">
            <w:pPr>
              <w:spacing w:before="87"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1.2857</w:t>
            </w:r>
          </w:p>
        </w:tc>
        <w:tc>
          <w:tcPr>
            <w:tcW w:w="1371" w:type="dxa"/>
            <w:vAlign w:val="top"/>
          </w:tcPr>
          <w:p w14:paraId="1E3BB58C">
            <w:pPr>
              <w:spacing w:before="8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r>
      <w:tr w14:paraId="7847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43" w:type="dxa"/>
            <w:vAlign w:val="top"/>
          </w:tcPr>
          <w:p w14:paraId="131508EA">
            <w:pPr>
              <w:spacing w:before="87"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843" w:type="dxa"/>
            <w:vAlign w:val="top"/>
          </w:tcPr>
          <w:p w14:paraId="7172FB25">
            <w:pPr>
              <w:spacing w:before="87"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0.27525</w:t>
            </w:r>
          </w:p>
        </w:tc>
        <w:tc>
          <w:tcPr>
            <w:tcW w:w="1557" w:type="dxa"/>
            <w:vAlign w:val="top"/>
          </w:tcPr>
          <w:p w14:paraId="5AB3828B">
            <w:pPr>
              <w:spacing w:before="8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695" w:type="dxa"/>
            <w:vAlign w:val="top"/>
          </w:tcPr>
          <w:p w14:paraId="73030586">
            <w:pPr>
              <w:spacing w:before="87"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0.49603</w:t>
            </w:r>
          </w:p>
        </w:tc>
        <w:tc>
          <w:tcPr>
            <w:tcW w:w="1371" w:type="dxa"/>
            <w:vAlign w:val="top"/>
          </w:tcPr>
          <w:p w14:paraId="36405093">
            <w:pPr>
              <w:spacing w:before="8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r>
      <w:tr w14:paraId="3B1F8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43" w:type="dxa"/>
            <w:vAlign w:val="top"/>
          </w:tcPr>
          <w:p w14:paraId="714AB475">
            <w:pPr>
              <w:spacing w:before="87"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843" w:type="dxa"/>
            <w:vAlign w:val="top"/>
          </w:tcPr>
          <w:p w14:paraId="21146EFA">
            <w:pPr>
              <w:spacing w:before="87"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0.1579</w:t>
            </w:r>
          </w:p>
        </w:tc>
        <w:tc>
          <w:tcPr>
            <w:tcW w:w="1557" w:type="dxa"/>
            <w:vAlign w:val="top"/>
          </w:tcPr>
          <w:p w14:paraId="3E41B3CB">
            <w:pPr>
              <w:spacing w:before="8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695" w:type="dxa"/>
            <w:vAlign w:val="top"/>
          </w:tcPr>
          <w:p w14:paraId="230BC13D">
            <w:pPr>
              <w:spacing w:before="87"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0.28455</w:t>
            </w:r>
          </w:p>
        </w:tc>
        <w:tc>
          <w:tcPr>
            <w:tcW w:w="1371" w:type="dxa"/>
            <w:vAlign w:val="top"/>
          </w:tcPr>
          <w:p w14:paraId="13FA514A">
            <w:pPr>
              <w:spacing w:before="8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14:paraId="36BDD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43" w:type="dxa"/>
            <w:vAlign w:val="top"/>
          </w:tcPr>
          <w:p w14:paraId="36E1DD42">
            <w:pPr>
              <w:spacing w:before="90"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843" w:type="dxa"/>
            <w:vAlign w:val="top"/>
          </w:tcPr>
          <w:p w14:paraId="14D04D09">
            <w:pPr>
              <w:spacing w:before="90"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0.1066</w:t>
            </w:r>
          </w:p>
        </w:tc>
        <w:tc>
          <w:tcPr>
            <w:tcW w:w="1557" w:type="dxa"/>
            <w:vAlign w:val="top"/>
          </w:tcPr>
          <w:p w14:paraId="32EBCCA5">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695" w:type="dxa"/>
            <w:vAlign w:val="top"/>
          </w:tcPr>
          <w:p w14:paraId="467C408A">
            <w:pPr>
              <w:spacing w:before="90" w:line="195" w:lineRule="auto"/>
              <w:ind w:left="5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0.1921</w:t>
            </w:r>
          </w:p>
        </w:tc>
        <w:tc>
          <w:tcPr>
            <w:tcW w:w="1371" w:type="dxa"/>
            <w:vAlign w:val="top"/>
          </w:tcPr>
          <w:p w14:paraId="0EABCDED">
            <w:pPr>
              <w:spacing w:before="90"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23E6F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43" w:type="dxa"/>
            <w:vAlign w:val="top"/>
          </w:tcPr>
          <w:p w14:paraId="727D0C61">
            <w:pPr>
              <w:spacing w:before="90"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843" w:type="dxa"/>
            <w:vAlign w:val="top"/>
          </w:tcPr>
          <w:p w14:paraId="0E74862E">
            <w:pPr>
              <w:spacing w:before="90"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0.078544</w:t>
            </w:r>
          </w:p>
        </w:tc>
        <w:tc>
          <w:tcPr>
            <w:tcW w:w="1557" w:type="dxa"/>
            <w:vAlign w:val="top"/>
          </w:tcPr>
          <w:p w14:paraId="6CD2D2D4">
            <w:pPr>
              <w:spacing w:before="9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695" w:type="dxa"/>
            <w:vAlign w:val="top"/>
          </w:tcPr>
          <w:p w14:paraId="11D6FF94">
            <w:pPr>
              <w:spacing w:before="9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0.14154</w:t>
            </w:r>
          </w:p>
        </w:tc>
        <w:tc>
          <w:tcPr>
            <w:tcW w:w="1371" w:type="dxa"/>
            <w:vAlign w:val="top"/>
          </w:tcPr>
          <w:p w14:paraId="4441C2A1">
            <w:pPr>
              <w:spacing w:before="90"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30EBC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43" w:type="dxa"/>
            <w:vAlign w:val="top"/>
          </w:tcPr>
          <w:p w14:paraId="30E94851">
            <w:pPr>
              <w:pStyle w:val="6"/>
              <w:spacing w:before="54" w:line="260" w:lineRule="auto"/>
              <w:ind w:left="298" w:right="184" w:hanging="99"/>
            </w:pPr>
            <w:r>
              <w:rPr>
                <w:spacing w:val="7"/>
              </w:rPr>
              <w:t>下风向最大质量</w:t>
            </w:r>
            <w:r>
              <w:rPr>
                <w:spacing w:val="4"/>
              </w:rPr>
              <w:t xml:space="preserve"> </w:t>
            </w:r>
            <w:r>
              <w:rPr>
                <w:spacing w:val="8"/>
              </w:rPr>
              <w:t>浓度及占标率</w:t>
            </w:r>
          </w:p>
        </w:tc>
        <w:tc>
          <w:tcPr>
            <w:tcW w:w="1843" w:type="dxa"/>
            <w:vAlign w:val="top"/>
          </w:tcPr>
          <w:p w14:paraId="63E633AF">
            <w:pPr>
              <w:spacing w:before="247" w:line="195" w:lineRule="auto"/>
              <w:ind w:left="63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72.284</w:t>
            </w:r>
          </w:p>
        </w:tc>
        <w:tc>
          <w:tcPr>
            <w:tcW w:w="1557" w:type="dxa"/>
            <w:vAlign w:val="top"/>
          </w:tcPr>
          <w:p w14:paraId="2F84CEDD">
            <w:pPr>
              <w:spacing w:before="247" w:line="195" w:lineRule="auto"/>
              <w:ind w:left="60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8.03</w:t>
            </w:r>
          </w:p>
        </w:tc>
        <w:tc>
          <w:tcPr>
            <w:tcW w:w="1695" w:type="dxa"/>
            <w:vAlign w:val="top"/>
          </w:tcPr>
          <w:p w14:paraId="7F6B6F5E">
            <w:pPr>
              <w:spacing w:before="247" w:line="195" w:lineRule="auto"/>
              <w:ind w:left="56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62.161</w:t>
            </w:r>
          </w:p>
        </w:tc>
        <w:tc>
          <w:tcPr>
            <w:tcW w:w="1371" w:type="dxa"/>
            <w:vAlign w:val="top"/>
          </w:tcPr>
          <w:p w14:paraId="516369F9">
            <w:pPr>
              <w:spacing w:before="247" w:line="195" w:lineRule="auto"/>
              <w:ind w:left="50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6.91</w:t>
            </w:r>
          </w:p>
        </w:tc>
      </w:tr>
      <w:tr w14:paraId="3266C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43" w:type="dxa"/>
            <w:vAlign w:val="top"/>
          </w:tcPr>
          <w:p w14:paraId="0453877A">
            <w:pPr>
              <w:pStyle w:val="6"/>
              <w:spacing w:before="55" w:line="228" w:lineRule="auto"/>
              <w:ind w:left="123"/>
              <w:rPr>
                <w:rFonts w:ascii="Times New Roman" w:hAnsi="Times New Roman" w:eastAsia="Times New Roman" w:cs="Times New Roman"/>
              </w:rPr>
            </w:pPr>
            <w:r>
              <w:rPr>
                <w:rFonts w:ascii="Times New Roman" w:hAnsi="Times New Roman" w:eastAsia="Times New Roman" w:cs="Times New Roman"/>
                <w:spacing w:val="7"/>
              </w:rPr>
              <w:t>D10%</w:t>
            </w:r>
            <w:r>
              <w:rPr>
                <w:spacing w:val="7"/>
              </w:rPr>
              <w:t>最远距离</w:t>
            </w:r>
            <w:r>
              <w:rPr>
                <w:rFonts w:ascii="Times New Roman" w:hAnsi="Times New Roman" w:eastAsia="Times New Roman" w:cs="Times New Roman"/>
                <w:spacing w:val="7"/>
              </w:rPr>
              <w:t>/m</w:t>
            </w:r>
          </w:p>
        </w:tc>
        <w:tc>
          <w:tcPr>
            <w:tcW w:w="3400" w:type="dxa"/>
            <w:gridSpan w:val="2"/>
            <w:vAlign w:val="top"/>
          </w:tcPr>
          <w:p w14:paraId="4DD8B6C9">
            <w:pPr>
              <w:spacing w:before="91" w:line="195" w:lineRule="auto"/>
              <w:ind w:left="165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066" w:type="dxa"/>
            <w:gridSpan w:val="2"/>
            <w:vAlign w:val="top"/>
          </w:tcPr>
          <w:p w14:paraId="3A862AB7">
            <w:pPr>
              <w:spacing w:before="91" w:line="195" w:lineRule="auto"/>
              <w:ind w:left="14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14:paraId="5178ED56">
      <w:pPr>
        <w:spacing w:before="117" w:line="358" w:lineRule="auto"/>
        <w:ind w:left="125" w:right="202" w:firstLine="506"/>
        <w:jc w:val="both"/>
        <w:rPr>
          <w:rFonts w:ascii="宋体" w:hAnsi="宋体" w:eastAsia="宋体" w:cs="宋体"/>
          <w:sz w:val="24"/>
          <w:szCs w:val="24"/>
        </w:rPr>
      </w:pPr>
      <w:r>
        <w:rPr>
          <w:rFonts w:ascii="宋体" w:hAnsi="宋体" w:eastAsia="宋体" w:cs="宋体"/>
          <w:spacing w:val="-7"/>
          <w:sz w:val="24"/>
          <w:szCs w:val="24"/>
        </w:rPr>
        <w:t>由表</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7"/>
          <w:sz w:val="24"/>
          <w:szCs w:val="24"/>
        </w:rPr>
        <w:t xml:space="preserve">1-8 </w:t>
      </w:r>
      <w:r>
        <w:rPr>
          <w:rFonts w:ascii="宋体" w:hAnsi="宋体" w:eastAsia="宋体" w:cs="宋体"/>
          <w:spacing w:val="-7"/>
          <w:sz w:val="24"/>
          <w:szCs w:val="24"/>
        </w:rPr>
        <w:t>结果可知，无组织排放废气中</w:t>
      </w:r>
      <w:r>
        <w:rPr>
          <w:rFonts w:ascii="宋体" w:hAnsi="宋体" w:eastAsia="宋体" w:cs="宋体"/>
          <w:spacing w:val="-63"/>
          <w:sz w:val="24"/>
          <w:szCs w:val="24"/>
        </w:rPr>
        <w:t xml:space="preserve"> </w:t>
      </w:r>
      <w:r>
        <w:rPr>
          <w:rFonts w:ascii="Times New Roman" w:hAnsi="Times New Roman" w:eastAsia="Times New Roman" w:cs="Times New Roman"/>
          <w:spacing w:val="-7"/>
          <w:sz w:val="24"/>
          <w:szCs w:val="24"/>
        </w:rPr>
        <w:t xml:space="preserve">TSP </w:t>
      </w:r>
      <w:r>
        <w:rPr>
          <w:rFonts w:ascii="宋体" w:hAnsi="宋体" w:eastAsia="宋体" w:cs="宋体"/>
          <w:spacing w:val="-7"/>
          <w:sz w:val="24"/>
          <w:szCs w:val="24"/>
        </w:rPr>
        <w:t>最大落地浓度为</w:t>
      </w:r>
      <w:r>
        <w:rPr>
          <w:rFonts w:ascii="宋体" w:hAnsi="宋体" w:eastAsia="宋体" w:cs="宋体"/>
          <w:spacing w:val="-63"/>
          <w:sz w:val="24"/>
          <w:szCs w:val="24"/>
        </w:rPr>
        <w:t xml:space="preserve"> </w:t>
      </w:r>
      <w:r>
        <w:rPr>
          <w:rFonts w:ascii="Times New Roman" w:hAnsi="Times New Roman" w:eastAsia="Times New Roman" w:cs="Times New Roman"/>
          <w:spacing w:val="-7"/>
          <w:sz w:val="24"/>
          <w:szCs w:val="24"/>
        </w:rPr>
        <w:t>72.284μg/m</w:t>
      </w:r>
      <w:r>
        <w:rPr>
          <w:rFonts w:ascii="Times New Roman" w:hAnsi="Times New Roman" w:eastAsia="Times New Roman" w:cs="Times New Roman"/>
          <w:spacing w:val="-7"/>
          <w:position w:val="8"/>
          <w:sz w:val="15"/>
          <w:szCs w:val="15"/>
        </w:rPr>
        <w:t>3</w:t>
      </w:r>
      <w:r>
        <w:rPr>
          <w:rFonts w:ascii="宋体" w:hAnsi="宋体" w:eastAsia="宋体" w:cs="宋体"/>
          <w:spacing w:val="-7"/>
          <w:sz w:val="24"/>
          <w:szCs w:val="24"/>
        </w:rPr>
        <w:t>，</w:t>
      </w:r>
      <w:r>
        <w:rPr>
          <w:rFonts w:ascii="宋体" w:hAnsi="宋体" w:eastAsia="宋体" w:cs="宋体"/>
          <w:sz w:val="24"/>
          <w:szCs w:val="24"/>
        </w:rPr>
        <w:t xml:space="preserve"> 最大落地浓度占标率为</w:t>
      </w:r>
      <w:r>
        <w:rPr>
          <w:rFonts w:ascii="宋体" w:hAnsi="宋体" w:eastAsia="宋体" w:cs="宋体"/>
          <w:spacing w:val="-35"/>
          <w:sz w:val="24"/>
          <w:szCs w:val="24"/>
        </w:rPr>
        <w:t xml:space="preserve"> </w:t>
      </w:r>
      <w:r>
        <w:rPr>
          <w:rFonts w:ascii="Times New Roman" w:hAnsi="Times New Roman" w:eastAsia="Times New Roman" w:cs="Times New Roman"/>
          <w:sz w:val="24"/>
          <w:szCs w:val="24"/>
        </w:rPr>
        <w:t>8.03%</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 xml:space="preserve">，最大污染物最大落地浓度及其占标率均较小， </w:t>
      </w:r>
      <w:r>
        <w:rPr>
          <w:rFonts w:ascii="宋体" w:hAnsi="宋体" w:eastAsia="宋体" w:cs="宋体"/>
          <w:spacing w:val="-1"/>
          <w:sz w:val="24"/>
          <w:szCs w:val="24"/>
        </w:rPr>
        <w:t>不会对项目周边大气环境造成较大影响。</w:t>
      </w:r>
    </w:p>
    <w:p w14:paraId="1303342D">
      <w:pPr>
        <w:spacing w:before="6" w:line="220"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）非正常排放影响分析</w:t>
      </w:r>
    </w:p>
    <w:p w14:paraId="4CF583C2">
      <w:pPr>
        <w:spacing w:before="182" w:line="219" w:lineRule="auto"/>
        <w:ind w:left="606"/>
        <w:rPr>
          <w:rFonts w:ascii="宋体" w:hAnsi="宋体" w:eastAsia="宋体" w:cs="宋体"/>
          <w:sz w:val="24"/>
          <w:szCs w:val="24"/>
        </w:rPr>
      </w:pPr>
      <w:r>
        <w:rPr>
          <w:rFonts w:ascii="宋体" w:hAnsi="宋体" w:eastAsia="宋体" w:cs="宋体"/>
          <w:spacing w:val="-2"/>
          <w:sz w:val="24"/>
          <w:szCs w:val="24"/>
        </w:rPr>
        <w:t>非正常排放影响预测结果见表</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8.1-9</w:t>
      </w:r>
      <w:r>
        <w:rPr>
          <w:rFonts w:ascii="宋体" w:hAnsi="宋体" w:eastAsia="宋体" w:cs="宋体"/>
          <w:spacing w:val="-2"/>
          <w:sz w:val="24"/>
          <w:szCs w:val="24"/>
        </w:rPr>
        <w:t>。</w:t>
      </w:r>
    </w:p>
    <w:p w14:paraId="5B2991F8">
      <w:pPr>
        <w:spacing w:before="117" w:line="228" w:lineRule="auto"/>
        <w:ind w:left="1750"/>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spacing w:val="7"/>
          <w:sz w:val="20"/>
          <w:szCs w:val="20"/>
        </w:rPr>
        <w:t xml:space="preserve">8.1-9    </w:t>
      </w:r>
      <w:r>
        <w:rPr>
          <w:rFonts w:ascii="宋体" w:hAnsi="宋体" w:eastAsia="宋体" w:cs="宋体"/>
          <w:spacing w:val="7"/>
          <w:sz w:val="20"/>
          <w:szCs w:val="20"/>
        </w:rPr>
        <w:t>技改工程完成后非正常排放预测结果一览表</w:t>
      </w:r>
    </w:p>
    <w:p w14:paraId="70C770FD">
      <w:pPr>
        <w:spacing w:line="14" w:lineRule="exact"/>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1138"/>
        <w:gridCol w:w="1139"/>
        <w:gridCol w:w="1311"/>
        <w:gridCol w:w="1309"/>
        <w:gridCol w:w="1309"/>
        <w:gridCol w:w="1314"/>
      </w:tblGrid>
      <w:tr w14:paraId="7F335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12" w:type="dxa"/>
            <w:vAlign w:val="top"/>
          </w:tcPr>
          <w:p w14:paraId="203CC48E">
            <w:pPr>
              <w:rPr>
                <w:rFonts w:ascii="Arial"/>
                <w:sz w:val="21"/>
              </w:rPr>
            </w:pPr>
          </w:p>
        </w:tc>
        <w:tc>
          <w:tcPr>
            <w:tcW w:w="3588" w:type="dxa"/>
            <w:gridSpan w:val="3"/>
            <w:vAlign w:val="top"/>
          </w:tcPr>
          <w:p w14:paraId="11FD649F">
            <w:pPr>
              <w:pStyle w:val="6"/>
              <w:spacing w:before="170" w:line="228" w:lineRule="auto"/>
              <w:ind w:left="434"/>
            </w:pPr>
            <w:r>
              <w:rPr>
                <w:spacing w:val="6"/>
              </w:rPr>
              <w:t>粗碎车间除尘器</w:t>
            </w:r>
            <w:r>
              <w:rPr>
                <w:spacing w:val="-23"/>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rPr>
              <w:t xml:space="preserve"> </w:t>
            </w:r>
            <w:r>
              <w:rPr>
                <w:spacing w:val="6"/>
              </w:rPr>
              <w:t>非正常排放</w:t>
            </w:r>
          </w:p>
        </w:tc>
        <w:tc>
          <w:tcPr>
            <w:tcW w:w="3932" w:type="dxa"/>
            <w:gridSpan w:val="3"/>
            <w:vAlign w:val="top"/>
          </w:tcPr>
          <w:p w14:paraId="17BE9B11">
            <w:pPr>
              <w:pStyle w:val="6"/>
              <w:spacing w:before="170" w:line="228" w:lineRule="auto"/>
              <w:ind w:left="626"/>
            </w:pPr>
            <w:r>
              <w:rPr>
                <w:spacing w:val="6"/>
              </w:rPr>
              <w:t>中间堆场除尘器</w:t>
            </w:r>
            <w:r>
              <w:rPr>
                <w:spacing w:val="-43"/>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5"/>
              </w:rPr>
              <w:t xml:space="preserve"> </w:t>
            </w:r>
            <w:r>
              <w:rPr>
                <w:spacing w:val="6"/>
              </w:rPr>
              <w:t>非正常排放</w:t>
            </w:r>
          </w:p>
        </w:tc>
      </w:tr>
      <w:tr w14:paraId="0C861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1012" w:type="dxa"/>
            <w:vAlign w:val="top"/>
          </w:tcPr>
          <w:p w14:paraId="33E310E4">
            <w:pPr>
              <w:spacing w:line="452" w:lineRule="auto"/>
              <w:rPr>
                <w:rFonts w:ascii="Arial"/>
                <w:sz w:val="21"/>
              </w:rPr>
            </w:pPr>
          </w:p>
          <w:p w14:paraId="32C0B0DB">
            <w:pPr>
              <w:pStyle w:val="6"/>
              <w:spacing w:before="65" w:line="230" w:lineRule="auto"/>
              <w:ind w:left="303"/>
            </w:pPr>
            <w:r>
              <w:rPr>
                <w:spacing w:val="3"/>
              </w:rPr>
              <w:t>名称</w:t>
            </w:r>
          </w:p>
        </w:tc>
        <w:tc>
          <w:tcPr>
            <w:tcW w:w="1138" w:type="dxa"/>
            <w:vAlign w:val="top"/>
          </w:tcPr>
          <w:p w14:paraId="7F670A99">
            <w:pPr>
              <w:pStyle w:val="6"/>
              <w:spacing w:before="209" w:line="287" w:lineRule="auto"/>
              <w:ind w:left="122" w:right="69" w:firstLine="34"/>
              <w:jc w:val="both"/>
            </w:pPr>
            <w:r>
              <w:rPr>
                <w:spacing w:val="6"/>
              </w:rPr>
              <w:t>非正常排</w:t>
            </w:r>
            <w:r>
              <w:t xml:space="preserve">  </w:t>
            </w:r>
            <w:r>
              <w:rPr>
                <w:spacing w:val="16"/>
                <w:w w:val="118"/>
              </w:rPr>
              <w:t>放浓度</w:t>
            </w:r>
            <w:r>
              <w:t xml:space="preserve">   </w:t>
            </w:r>
            <w:r>
              <w:rPr>
                <w:spacing w:val="1"/>
              </w:rPr>
              <w:t>（</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spacing w:val="1"/>
              </w:rPr>
              <w:t>）</w:t>
            </w:r>
          </w:p>
        </w:tc>
        <w:tc>
          <w:tcPr>
            <w:tcW w:w="1139" w:type="dxa"/>
            <w:vAlign w:val="top"/>
          </w:tcPr>
          <w:p w14:paraId="3D811FE0">
            <w:pPr>
              <w:pStyle w:val="6"/>
              <w:spacing w:before="52" w:line="288" w:lineRule="auto"/>
              <w:ind w:left="154" w:right="125" w:hanging="33"/>
            </w:pPr>
            <w:r>
              <w:rPr>
                <w:rFonts w:ascii="Times New Roman" w:hAnsi="Times New Roman" w:eastAsia="Times New Roman" w:cs="Times New Roman"/>
              </w:rPr>
              <w:t>PM</w:t>
            </w:r>
            <w:r>
              <w:rPr>
                <w:rFonts w:ascii="Times New Roman" w:hAnsi="Times New Roman" w:eastAsia="Times New Roman" w:cs="Times New Roman"/>
                <w:spacing w:val="5"/>
                <w:position w:val="-1"/>
                <w:sz w:val="13"/>
                <w:szCs w:val="13"/>
              </w:rPr>
              <w:t>10</w:t>
            </w:r>
            <w:r>
              <w:rPr>
                <w:rFonts w:ascii="Times New Roman" w:hAnsi="Times New Roman" w:eastAsia="Times New Roman" w:cs="Times New Roman"/>
                <w:spacing w:val="14"/>
                <w:w w:val="101"/>
                <w:position w:val="-1"/>
                <w:sz w:val="13"/>
                <w:szCs w:val="13"/>
              </w:rPr>
              <w:t xml:space="preserve"> </w:t>
            </w:r>
            <w:r>
              <w:rPr>
                <w:spacing w:val="5"/>
              </w:rPr>
              <w:t>小时</w:t>
            </w:r>
            <w:r>
              <w:t xml:space="preserve"> </w:t>
            </w:r>
            <w:r>
              <w:rPr>
                <w:spacing w:val="6"/>
              </w:rPr>
              <w:t>最大落地</w:t>
            </w:r>
          </w:p>
          <w:p w14:paraId="6479EC08">
            <w:pPr>
              <w:pStyle w:val="6"/>
              <w:spacing w:line="228" w:lineRule="auto"/>
              <w:ind w:left="364"/>
            </w:pPr>
            <w:r>
              <w:rPr>
                <w:spacing w:val="4"/>
              </w:rPr>
              <w:t>浓度</w:t>
            </w:r>
          </w:p>
          <w:p w14:paraId="383F920E">
            <w:pPr>
              <w:spacing w:before="80" w:line="218" w:lineRule="auto"/>
              <w:ind w:left="288"/>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1311" w:type="dxa"/>
            <w:vAlign w:val="top"/>
          </w:tcPr>
          <w:p w14:paraId="46A6AD0D">
            <w:pPr>
              <w:pStyle w:val="6"/>
              <w:spacing w:before="208" w:line="228" w:lineRule="auto"/>
              <w:ind w:left="108"/>
            </w:pP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 xml:space="preserve">10 </w:t>
            </w:r>
            <w:r>
              <w:rPr>
                <w:spacing w:val="6"/>
              </w:rPr>
              <w:t>小时最</w:t>
            </w:r>
          </w:p>
          <w:p w14:paraId="1BCDFD79">
            <w:pPr>
              <w:pStyle w:val="6"/>
              <w:spacing w:before="65" w:line="228" w:lineRule="auto"/>
              <w:ind w:left="137"/>
            </w:pPr>
            <w:r>
              <w:rPr>
                <w:spacing w:val="7"/>
              </w:rPr>
              <w:t>大浓度占标</w:t>
            </w:r>
          </w:p>
          <w:p w14:paraId="2C57FABB">
            <w:pPr>
              <w:pStyle w:val="6"/>
              <w:spacing w:before="64" w:line="228" w:lineRule="auto"/>
              <w:ind w:left="258"/>
            </w:pPr>
            <w:r>
              <w:rPr>
                <w:spacing w:val="4"/>
              </w:rPr>
              <w:t>率（</w:t>
            </w:r>
            <w:r>
              <w:rPr>
                <w:rFonts w:ascii="Times New Roman" w:hAnsi="Times New Roman" w:eastAsia="Times New Roman" w:cs="Times New Roman"/>
                <w:spacing w:val="4"/>
              </w:rPr>
              <w:t>%</w:t>
            </w:r>
            <w:r>
              <w:rPr>
                <w:spacing w:val="4"/>
              </w:rPr>
              <w:t>）</w:t>
            </w:r>
          </w:p>
        </w:tc>
        <w:tc>
          <w:tcPr>
            <w:tcW w:w="1309" w:type="dxa"/>
            <w:vAlign w:val="top"/>
          </w:tcPr>
          <w:p w14:paraId="7E27F5D1">
            <w:pPr>
              <w:pStyle w:val="6"/>
              <w:spacing w:before="209" w:line="228" w:lineRule="auto"/>
              <w:ind w:left="139"/>
            </w:pPr>
            <w:r>
              <w:rPr>
                <w:spacing w:val="7"/>
              </w:rPr>
              <w:t>非正常排放</w:t>
            </w:r>
          </w:p>
          <w:p w14:paraId="41D5708B">
            <w:pPr>
              <w:pStyle w:val="6"/>
              <w:spacing w:before="64" w:line="228" w:lineRule="auto"/>
              <w:ind w:left="450"/>
            </w:pPr>
            <w:r>
              <w:rPr>
                <w:spacing w:val="4"/>
              </w:rPr>
              <w:t>浓度</w:t>
            </w:r>
          </w:p>
          <w:p w14:paraId="49AAFF33">
            <w:pPr>
              <w:pStyle w:val="6"/>
              <w:spacing w:before="64" w:line="221" w:lineRule="auto"/>
              <w:ind w:left="182"/>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309" w:type="dxa"/>
            <w:vAlign w:val="top"/>
          </w:tcPr>
          <w:p w14:paraId="5482DC5F">
            <w:pPr>
              <w:pStyle w:val="6"/>
              <w:spacing w:before="208" w:line="290" w:lineRule="auto"/>
              <w:ind w:left="116" w:right="103" w:hanging="7"/>
            </w:pP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 xml:space="preserve">10 </w:t>
            </w:r>
            <w:r>
              <w:rPr>
                <w:spacing w:val="6"/>
              </w:rPr>
              <w:t>小时最</w:t>
            </w:r>
            <w:r>
              <w:rPr>
                <w:spacing w:val="2"/>
              </w:rPr>
              <w:t xml:space="preserve"> </w:t>
            </w:r>
            <w:r>
              <w:rPr>
                <w:spacing w:val="7"/>
              </w:rPr>
              <w:t>大落地浓度</w:t>
            </w:r>
          </w:p>
          <w:p w14:paraId="510C7E51">
            <w:pPr>
              <w:spacing w:before="11" w:line="218" w:lineRule="auto"/>
              <w:ind w:left="376"/>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1314" w:type="dxa"/>
            <w:vAlign w:val="top"/>
          </w:tcPr>
          <w:p w14:paraId="4B582AB6">
            <w:pPr>
              <w:pStyle w:val="6"/>
              <w:spacing w:before="208" w:line="228" w:lineRule="auto"/>
              <w:ind w:left="110"/>
            </w:pP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 xml:space="preserve">10 </w:t>
            </w:r>
            <w:r>
              <w:rPr>
                <w:spacing w:val="6"/>
              </w:rPr>
              <w:t>小时最</w:t>
            </w:r>
          </w:p>
          <w:p w14:paraId="6C996AE9">
            <w:pPr>
              <w:pStyle w:val="6"/>
              <w:spacing w:before="65" w:line="228" w:lineRule="auto"/>
              <w:ind w:left="139"/>
            </w:pPr>
            <w:r>
              <w:rPr>
                <w:spacing w:val="7"/>
              </w:rPr>
              <w:t>大浓度占标</w:t>
            </w:r>
          </w:p>
          <w:p w14:paraId="58A0D2BD">
            <w:pPr>
              <w:pStyle w:val="6"/>
              <w:spacing w:before="64" w:line="228" w:lineRule="auto"/>
              <w:ind w:left="261"/>
            </w:pPr>
            <w:r>
              <w:rPr>
                <w:spacing w:val="4"/>
              </w:rPr>
              <w:t>率（</w:t>
            </w:r>
            <w:r>
              <w:rPr>
                <w:rFonts w:ascii="Times New Roman" w:hAnsi="Times New Roman" w:eastAsia="Times New Roman" w:cs="Times New Roman"/>
                <w:spacing w:val="4"/>
              </w:rPr>
              <w:t>%</w:t>
            </w:r>
            <w:r>
              <w:rPr>
                <w:spacing w:val="4"/>
              </w:rPr>
              <w:t>）</w:t>
            </w:r>
          </w:p>
        </w:tc>
      </w:tr>
      <w:tr w14:paraId="224FE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12" w:type="dxa"/>
            <w:vAlign w:val="top"/>
          </w:tcPr>
          <w:p w14:paraId="19DE1DAE">
            <w:pPr>
              <w:pStyle w:val="6"/>
              <w:spacing w:before="54" w:line="260" w:lineRule="auto"/>
              <w:ind w:left="154" w:right="128" w:hanging="90"/>
            </w:pPr>
            <w:r>
              <w:rPr>
                <w:spacing w:val="3"/>
              </w:rPr>
              <w:t>区域最大</w:t>
            </w:r>
            <w:r>
              <w:rPr>
                <w:spacing w:val="1"/>
              </w:rPr>
              <w:t xml:space="preserve"> </w:t>
            </w:r>
            <w:r>
              <w:rPr>
                <w:spacing w:val="6"/>
              </w:rPr>
              <w:t>浓度点</w:t>
            </w:r>
          </w:p>
        </w:tc>
        <w:tc>
          <w:tcPr>
            <w:tcW w:w="1138" w:type="dxa"/>
            <w:vAlign w:val="top"/>
          </w:tcPr>
          <w:p w14:paraId="51106187">
            <w:pPr>
              <w:spacing w:before="247"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196.89</w:t>
            </w:r>
          </w:p>
        </w:tc>
        <w:tc>
          <w:tcPr>
            <w:tcW w:w="1139" w:type="dxa"/>
            <w:vAlign w:val="top"/>
          </w:tcPr>
          <w:p w14:paraId="11AE9A2A">
            <w:pPr>
              <w:spacing w:before="24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0.30626</w:t>
            </w:r>
          </w:p>
        </w:tc>
        <w:tc>
          <w:tcPr>
            <w:tcW w:w="1311" w:type="dxa"/>
            <w:vAlign w:val="top"/>
          </w:tcPr>
          <w:p w14:paraId="72CE98C4">
            <w:pPr>
              <w:spacing w:before="247"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68.06</w:t>
            </w:r>
          </w:p>
        </w:tc>
        <w:tc>
          <w:tcPr>
            <w:tcW w:w="1309" w:type="dxa"/>
            <w:vAlign w:val="top"/>
          </w:tcPr>
          <w:p w14:paraId="2FAED33B">
            <w:pPr>
              <w:spacing w:before="247"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257.64</w:t>
            </w:r>
          </w:p>
        </w:tc>
        <w:tc>
          <w:tcPr>
            <w:tcW w:w="1309" w:type="dxa"/>
            <w:vAlign w:val="top"/>
          </w:tcPr>
          <w:p w14:paraId="44E6B81F">
            <w:pPr>
              <w:spacing w:before="24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0.55509</w:t>
            </w:r>
          </w:p>
        </w:tc>
        <w:tc>
          <w:tcPr>
            <w:tcW w:w="1314" w:type="dxa"/>
            <w:vAlign w:val="top"/>
          </w:tcPr>
          <w:p w14:paraId="3D0AE06B">
            <w:pPr>
              <w:spacing w:before="247"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123.35</w:t>
            </w:r>
          </w:p>
        </w:tc>
      </w:tr>
      <w:tr w14:paraId="2E59E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12" w:type="dxa"/>
            <w:vAlign w:val="top"/>
          </w:tcPr>
          <w:p w14:paraId="2F2C21BB">
            <w:pPr>
              <w:pStyle w:val="6"/>
              <w:spacing w:before="56" w:line="228" w:lineRule="auto"/>
              <w:ind w:left="302"/>
            </w:pPr>
            <w:r>
              <w:rPr>
                <w:spacing w:val="4"/>
              </w:rPr>
              <w:t>标准</w:t>
            </w:r>
          </w:p>
        </w:tc>
        <w:tc>
          <w:tcPr>
            <w:tcW w:w="1138" w:type="dxa"/>
            <w:vAlign w:val="top"/>
          </w:tcPr>
          <w:p w14:paraId="64464F8C">
            <w:pPr>
              <w:spacing w:before="71" w:line="218" w:lineRule="auto"/>
              <w:ind w:left="193"/>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139" w:type="dxa"/>
            <w:vAlign w:val="top"/>
          </w:tcPr>
          <w:p w14:paraId="474DEB4C">
            <w:pPr>
              <w:spacing w:before="180" w:line="97" w:lineRule="exact"/>
              <w:ind w:left="53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1" w:type="dxa"/>
            <w:vAlign w:val="top"/>
          </w:tcPr>
          <w:p w14:paraId="093A6A9E">
            <w:pPr>
              <w:spacing w:before="180" w:line="97" w:lineRule="exact"/>
              <w:ind w:left="6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09" w:type="dxa"/>
            <w:vAlign w:val="top"/>
          </w:tcPr>
          <w:p w14:paraId="7234640B">
            <w:pPr>
              <w:spacing w:before="71" w:line="218" w:lineRule="auto"/>
              <w:ind w:left="280"/>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309" w:type="dxa"/>
            <w:vAlign w:val="top"/>
          </w:tcPr>
          <w:p w14:paraId="484196D3">
            <w:pPr>
              <w:spacing w:before="180" w:line="97" w:lineRule="exact"/>
              <w:ind w:left="6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314" w:type="dxa"/>
            <w:vAlign w:val="top"/>
          </w:tcPr>
          <w:p w14:paraId="5AFBDEEC">
            <w:pPr>
              <w:spacing w:before="180" w:line="97" w:lineRule="exact"/>
              <w:ind w:left="6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223332FA">
      <w:pPr>
        <w:spacing w:before="116" w:line="360" w:lineRule="auto"/>
        <w:ind w:left="125" w:right="264" w:firstLine="506"/>
        <w:jc w:val="both"/>
        <w:rPr>
          <w:rFonts w:ascii="宋体" w:hAnsi="宋体" w:eastAsia="宋体" w:cs="宋体"/>
          <w:sz w:val="24"/>
          <w:szCs w:val="24"/>
        </w:rPr>
      </w:pPr>
      <w:r>
        <w:rPr>
          <w:rFonts w:ascii="宋体" w:hAnsi="宋体" w:eastAsia="宋体" w:cs="宋体"/>
          <w:spacing w:val="-3"/>
          <w:sz w:val="24"/>
          <w:szCs w:val="24"/>
        </w:rPr>
        <w:t>由上表结果可知，非正常排放情况下，</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6"/>
          <w:position w:val="-1"/>
          <w:sz w:val="15"/>
          <w:szCs w:val="15"/>
        </w:rPr>
        <w:t xml:space="preserve"> </w:t>
      </w:r>
      <w:r>
        <w:rPr>
          <w:rFonts w:ascii="宋体" w:hAnsi="宋体" w:eastAsia="宋体" w:cs="宋体"/>
          <w:spacing w:val="-3"/>
          <w:sz w:val="24"/>
          <w:szCs w:val="24"/>
        </w:rPr>
        <w:t>小时区域最</w:t>
      </w:r>
      <w:r>
        <w:rPr>
          <w:rFonts w:ascii="宋体" w:hAnsi="宋体" w:eastAsia="宋体" w:cs="宋体"/>
          <w:spacing w:val="-4"/>
          <w:sz w:val="24"/>
          <w:szCs w:val="24"/>
        </w:rPr>
        <w:t>大落地浓度占标率</w:t>
      </w:r>
      <w:r>
        <w:rPr>
          <w:rFonts w:ascii="宋体" w:hAnsi="宋体" w:eastAsia="宋体" w:cs="宋体"/>
          <w:sz w:val="24"/>
          <w:szCs w:val="24"/>
        </w:rPr>
        <w:t xml:space="preserve"> </w:t>
      </w:r>
      <w:r>
        <w:rPr>
          <w:rFonts w:ascii="宋体" w:hAnsi="宋体" w:eastAsia="宋体" w:cs="宋体"/>
          <w:spacing w:val="-1"/>
          <w:sz w:val="24"/>
          <w:szCs w:val="24"/>
        </w:rPr>
        <w:t>为</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123.35%</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，为避免项目实施后对周围环境的影响，在生产过程应加强净化系</w:t>
      </w:r>
      <w:r>
        <w:rPr>
          <w:rFonts w:ascii="宋体" w:hAnsi="宋体" w:eastAsia="宋体" w:cs="宋体"/>
          <w:sz w:val="24"/>
          <w:szCs w:val="24"/>
        </w:rPr>
        <w:t xml:space="preserve"> </w:t>
      </w:r>
      <w:r>
        <w:rPr>
          <w:rFonts w:ascii="宋体" w:hAnsi="宋体" w:eastAsia="宋体" w:cs="宋体"/>
          <w:spacing w:val="-1"/>
          <w:sz w:val="24"/>
          <w:szCs w:val="24"/>
        </w:rPr>
        <w:t>统的设备的维护和管理，避免非正常工况的发生。</w:t>
      </w:r>
    </w:p>
    <w:p w14:paraId="0F9BCD18">
      <w:pPr>
        <w:spacing w:line="219" w:lineRule="auto"/>
        <w:ind w:left="601"/>
        <w:outlineLvl w:val="2"/>
        <w:rPr>
          <w:rFonts w:ascii="宋体" w:hAnsi="宋体" w:eastAsia="宋体" w:cs="宋体"/>
          <w:sz w:val="24"/>
          <w:szCs w:val="24"/>
        </w:rPr>
      </w:pPr>
      <w:bookmarkStart w:id="124" w:name="bookmark110"/>
      <w:bookmarkEnd w:id="124"/>
      <w:r>
        <w:rPr>
          <w:rFonts w:ascii="Times New Roman" w:hAnsi="Times New Roman" w:eastAsia="Times New Roman" w:cs="Times New Roman"/>
          <w:b/>
          <w:bCs/>
          <w:spacing w:val="-2"/>
          <w:sz w:val="24"/>
          <w:szCs w:val="24"/>
        </w:rPr>
        <w:t xml:space="preserve">8.1.4 </w:t>
      </w:r>
      <w:r>
        <w:rPr>
          <w:rFonts w:ascii="宋体" w:hAnsi="宋体" w:eastAsia="宋体" w:cs="宋体"/>
          <w:b/>
          <w:bCs/>
          <w:spacing w:val="-2"/>
          <w:sz w:val="24"/>
          <w:szCs w:val="24"/>
        </w:rPr>
        <w:t>污染物排放量核算</w:t>
      </w:r>
    </w:p>
    <w:p w14:paraId="3C8A18B5">
      <w:pPr>
        <w:spacing w:before="183"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）有组织排放量核算</w:t>
      </w:r>
    </w:p>
    <w:p w14:paraId="117312F2">
      <w:pPr>
        <w:spacing w:before="184" w:line="219" w:lineRule="auto"/>
        <w:ind w:left="603"/>
        <w:rPr>
          <w:rFonts w:ascii="宋体" w:hAnsi="宋体" w:eastAsia="宋体" w:cs="宋体"/>
          <w:sz w:val="24"/>
          <w:szCs w:val="24"/>
        </w:rPr>
      </w:pPr>
      <w:r>
        <w:rPr>
          <w:rFonts w:ascii="宋体" w:hAnsi="宋体" w:eastAsia="宋体" w:cs="宋体"/>
          <w:spacing w:val="-1"/>
          <w:sz w:val="24"/>
          <w:szCs w:val="24"/>
        </w:rPr>
        <w:t>技改工程建设完成后有组织排放量核算见表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8.1-10</w:t>
      </w:r>
      <w:r>
        <w:rPr>
          <w:rFonts w:ascii="宋体" w:hAnsi="宋体" w:eastAsia="宋体" w:cs="宋体"/>
          <w:spacing w:val="-1"/>
          <w:sz w:val="24"/>
          <w:szCs w:val="24"/>
        </w:rPr>
        <w:t>。</w:t>
      </w:r>
    </w:p>
    <w:p w14:paraId="75273AE5">
      <w:pPr>
        <w:spacing w:before="118" w:line="228" w:lineRule="auto"/>
        <w:ind w:left="2117"/>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6"/>
          <w:sz w:val="20"/>
          <w:szCs w:val="20"/>
        </w:rPr>
        <w:t xml:space="preserve">8.1-13        </w:t>
      </w:r>
      <w:r>
        <w:rPr>
          <w:rFonts w:ascii="宋体" w:hAnsi="宋体" w:eastAsia="宋体" w:cs="宋体"/>
          <w:spacing w:val="6"/>
          <w:sz w:val="20"/>
          <w:szCs w:val="20"/>
        </w:rPr>
        <w:t>大气污染物有组织排放量</w:t>
      </w:r>
      <w:r>
        <w:rPr>
          <w:rFonts w:ascii="宋体" w:hAnsi="宋体" w:eastAsia="宋体" w:cs="宋体"/>
          <w:spacing w:val="5"/>
          <w:sz w:val="20"/>
          <w:szCs w:val="20"/>
        </w:rPr>
        <w:t>核算表</w:t>
      </w:r>
    </w:p>
    <w:p w14:paraId="25FAAF22">
      <w:pPr>
        <w:spacing w:line="14" w:lineRule="exact"/>
      </w:pPr>
    </w:p>
    <w:tbl>
      <w:tblPr>
        <w:tblStyle w:val="5"/>
        <w:tblW w:w="8527"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1318"/>
        <w:gridCol w:w="850"/>
        <w:gridCol w:w="1898"/>
        <w:gridCol w:w="1898"/>
        <w:gridCol w:w="1905"/>
      </w:tblGrid>
      <w:tr w14:paraId="4E1F3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58" w:type="dxa"/>
            <w:vAlign w:val="top"/>
          </w:tcPr>
          <w:p w14:paraId="18B25E39">
            <w:pPr>
              <w:pStyle w:val="6"/>
              <w:spacing w:before="211" w:line="229" w:lineRule="auto"/>
              <w:ind w:left="123"/>
            </w:pPr>
            <w:r>
              <w:rPr>
                <w:spacing w:val="5"/>
              </w:rPr>
              <w:t>序号</w:t>
            </w:r>
          </w:p>
        </w:tc>
        <w:tc>
          <w:tcPr>
            <w:tcW w:w="1318" w:type="dxa"/>
            <w:vAlign w:val="top"/>
          </w:tcPr>
          <w:p w14:paraId="4282170B">
            <w:pPr>
              <w:pStyle w:val="6"/>
              <w:spacing w:before="210" w:line="228" w:lineRule="auto"/>
              <w:ind w:left="138"/>
            </w:pPr>
            <w:r>
              <w:rPr>
                <w:spacing w:val="8"/>
              </w:rPr>
              <w:t>排放口编号</w:t>
            </w:r>
          </w:p>
        </w:tc>
        <w:tc>
          <w:tcPr>
            <w:tcW w:w="850" w:type="dxa"/>
            <w:vAlign w:val="top"/>
          </w:tcPr>
          <w:p w14:paraId="2C3FF1A8">
            <w:pPr>
              <w:pStyle w:val="6"/>
              <w:spacing w:before="211" w:line="228" w:lineRule="auto"/>
              <w:ind w:left="115"/>
            </w:pPr>
            <w:r>
              <w:rPr>
                <w:spacing w:val="6"/>
              </w:rPr>
              <w:t>污染物</w:t>
            </w:r>
          </w:p>
        </w:tc>
        <w:tc>
          <w:tcPr>
            <w:tcW w:w="1898" w:type="dxa"/>
            <w:vAlign w:val="top"/>
          </w:tcPr>
          <w:p w14:paraId="1102F4EC">
            <w:pPr>
              <w:pStyle w:val="6"/>
              <w:spacing w:before="54" w:line="228" w:lineRule="auto"/>
              <w:ind w:left="298"/>
              <w:rPr>
                <w:rFonts w:ascii="Times New Roman" w:hAnsi="Times New Roman" w:eastAsia="Times New Roman" w:cs="Times New Roman"/>
              </w:rPr>
            </w:pPr>
            <w:r>
              <w:rPr>
                <w:spacing w:val="7"/>
              </w:rPr>
              <w:t>核算排放浓度</w:t>
            </w:r>
            <w:r>
              <w:rPr>
                <w:rFonts w:ascii="Times New Roman" w:hAnsi="Times New Roman" w:eastAsia="Times New Roman" w:cs="Times New Roman"/>
                <w:spacing w:val="7"/>
              </w:rPr>
              <w:t>/</w:t>
            </w:r>
          </w:p>
          <w:p w14:paraId="03FD6B31">
            <w:pPr>
              <w:pStyle w:val="6"/>
              <w:spacing w:before="65" w:line="221" w:lineRule="auto"/>
              <w:ind w:left="476"/>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1898" w:type="dxa"/>
            <w:vAlign w:val="top"/>
          </w:tcPr>
          <w:p w14:paraId="3D217CD1">
            <w:pPr>
              <w:pStyle w:val="6"/>
              <w:spacing w:before="54" w:line="228" w:lineRule="auto"/>
              <w:ind w:left="298"/>
              <w:rPr>
                <w:rFonts w:ascii="Times New Roman" w:hAnsi="Times New Roman" w:eastAsia="Times New Roman" w:cs="Times New Roman"/>
              </w:rPr>
            </w:pPr>
            <w:r>
              <w:rPr>
                <w:spacing w:val="7"/>
              </w:rPr>
              <w:t>核算排放速率</w:t>
            </w:r>
            <w:r>
              <w:rPr>
                <w:rFonts w:ascii="Times New Roman" w:hAnsi="Times New Roman" w:eastAsia="Times New Roman" w:cs="Times New Roman"/>
                <w:spacing w:val="7"/>
              </w:rPr>
              <w:t>/</w:t>
            </w:r>
          </w:p>
          <w:p w14:paraId="20128980">
            <w:pPr>
              <w:pStyle w:val="6"/>
              <w:spacing w:before="65" w:line="221" w:lineRule="auto"/>
              <w:ind w:left="570"/>
            </w:pPr>
            <w:r>
              <w:rPr>
                <w:spacing w:val="1"/>
              </w:rPr>
              <w:t>（</w:t>
            </w:r>
            <w:r>
              <w:rPr>
                <w:rFonts w:ascii="Times New Roman" w:hAnsi="Times New Roman" w:eastAsia="Times New Roman" w:cs="Times New Roman"/>
              </w:rPr>
              <w:t>kg</w:t>
            </w:r>
            <w:r>
              <w:rPr>
                <w:rFonts w:ascii="Times New Roman" w:hAnsi="Times New Roman" w:eastAsia="Times New Roman" w:cs="Times New Roman"/>
                <w:spacing w:val="1"/>
              </w:rPr>
              <w:t>/h</w:t>
            </w:r>
            <w:r>
              <w:rPr>
                <w:spacing w:val="1"/>
              </w:rPr>
              <w:t>）</w:t>
            </w:r>
          </w:p>
        </w:tc>
        <w:tc>
          <w:tcPr>
            <w:tcW w:w="1905" w:type="dxa"/>
            <w:vAlign w:val="top"/>
          </w:tcPr>
          <w:p w14:paraId="059DAA56">
            <w:pPr>
              <w:pStyle w:val="6"/>
              <w:spacing w:before="54" w:line="228" w:lineRule="auto"/>
              <w:ind w:left="301"/>
              <w:rPr>
                <w:rFonts w:ascii="Times New Roman" w:hAnsi="Times New Roman" w:eastAsia="Times New Roman" w:cs="Times New Roman"/>
              </w:rPr>
            </w:pPr>
            <w:r>
              <w:rPr>
                <w:spacing w:val="7"/>
              </w:rPr>
              <w:t>核算年排放量</w:t>
            </w:r>
            <w:r>
              <w:rPr>
                <w:rFonts w:ascii="Times New Roman" w:hAnsi="Times New Roman" w:eastAsia="Times New Roman" w:cs="Times New Roman"/>
                <w:spacing w:val="7"/>
              </w:rPr>
              <w:t>/</w:t>
            </w:r>
          </w:p>
          <w:p w14:paraId="1C5E08BA">
            <w:pPr>
              <w:pStyle w:val="6"/>
              <w:spacing w:before="65" w:line="236" w:lineRule="auto"/>
              <w:ind w:left="652"/>
            </w:pPr>
            <w:r>
              <w:t>（</w:t>
            </w:r>
            <w:r>
              <w:rPr>
                <w:rFonts w:ascii="Times New Roman" w:hAnsi="Times New Roman" w:eastAsia="Times New Roman" w:cs="Times New Roman"/>
              </w:rPr>
              <w:t>t/a</w:t>
            </w:r>
            <w:r>
              <w:t>）</w:t>
            </w:r>
          </w:p>
        </w:tc>
      </w:tr>
      <w:tr w14:paraId="6A305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8" w:type="dxa"/>
            <w:vAlign w:val="top"/>
          </w:tcPr>
          <w:p w14:paraId="1ED15268">
            <w:pPr>
              <w:spacing w:before="89"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18" w:type="dxa"/>
            <w:vAlign w:val="top"/>
          </w:tcPr>
          <w:p w14:paraId="5BD9DE93">
            <w:pPr>
              <w:spacing w:before="8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850" w:type="dxa"/>
            <w:vAlign w:val="top"/>
          </w:tcPr>
          <w:p w14:paraId="17A3B7B5">
            <w:pPr>
              <w:pStyle w:val="6"/>
              <w:spacing w:before="53" w:line="228" w:lineRule="auto"/>
              <w:ind w:left="112"/>
            </w:pPr>
            <w:r>
              <w:rPr>
                <w:spacing w:val="7"/>
              </w:rPr>
              <w:t>颗粒物</w:t>
            </w:r>
          </w:p>
        </w:tc>
        <w:tc>
          <w:tcPr>
            <w:tcW w:w="1898" w:type="dxa"/>
            <w:vAlign w:val="top"/>
          </w:tcPr>
          <w:p w14:paraId="18FA64F2">
            <w:pPr>
              <w:spacing w:before="89" w:line="195" w:lineRule="auto"/>
              <w:ind w:left="7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1898" w:type="dxa"/>
            <w:vAlign w:val="top"/>
          </w:tcPr>
          <w:p w14:paraId="1FB35483">
            <w:pPr>
              <w:spacing w:before="89" w:line="195"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0.289</w:t>
            </w:r>
          </w:p>
        </w:tc>
        <w:tc>
          <w:tcPr>
            <w:tcW w:w="1905" w:type="dxa"/>
            <w:vAlign w:val="top"/>
          </w:tcPr>
          <w:p w14:paraId="3A8FBF06">
            <w:pPr>
              <w:spacing w:before="89" w:line="195" w:lineRule="auto"/>
              <w:ind w:left="7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0.78</w:t>
            </w:r>
          </w:p>
        </w:tc>
      </w:tr>
      <w:tr w14:paraId="1F8BB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8" w:type="dxa"/>
            <w:vAlign w:val="top"/>
          </w:tcPr>
          <w:p w14:paraId="647C3A16">
            <w:pPr>
              <w:spacing w:before="8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18" w:type="dxa"/>
            <w:vAlign w:val="top"/>
          </w:tcPr>
          <w:p w14:paraId="4E685AAC">
            <w:pPr>
              <w:spacing w:before="8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850" w:type="dxa"/>
            <w:vAlign w:val="top"/>
          </w:tcPr>
          <w:p w14:paraId="739E57E4">
            <w:pPr>
              <w:pStyle w:val="6"/>
              <w:spacing w:before="54" w:line="228" w:lineRule="auto"/>
              <w:ind w:left="112"/>
            </w:pPr>
            <w:r>
              <w:rPr>
                <w:spacing w:val="7"/>
              </w:rPr>
              <w:t>颗粒物</w:t>
            </w:r>
          </w:p>
        </w:tc>
        <w:tc>
          <w:tcPr>
            <w:tcW w:w="1898" w:type="dxa"/>
            <w:vAlign w:val="top"/>
          </w:tcPr>
          <w:p w14:paraId="78EF885E">
            <w:pPr>
              <w:spacing w:before="89" w:line="195" w:lineRule="auto"/>
              <w:ind w:left="7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c>
          <w:tcPr>
            <w:tcW w:w="1898" w:type="dxa"/>
            <w:vAlign w:val="top"/>
          </w:tcPr>
          <w:p w14:paraId="02CCE8CF">
            <w:pPr>
              <w:spacing w:before="89" w:line="195"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0.404</w:t>
            </w:r>
          </w:p>
        </w:tc>
        <w:tc>
          <w:tcPr>
            <w:tcW w:w="1905" w:type="dxa"/>
            <w:vAlign w:val="top"/>
          </w:tcPr>
          <w:p w14:paraId="4BF60EF0">
            <w:pPr>
              <w:spacing w:before="89" w:line="195"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r>
      <w:tr w14:paraId="0180D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76" w:type="dxa"/>
            <w:gridSpan w:val="2"/>
            <w:vAlign w:val="top"/>
          </w:tcPr>
          <w:p w14:paraId="30A2124D">
            <w:pPr>
              <w:pStyle w:val="6"/>
              <w:spacing w:before="54" w:line="229" w:lineRule="auto"/>
              <w:ind w:left="261"/>
            </w:pPr>
            <w:r>
              <w:rPr>
                <w:spacing w:val="8"/>
              </w:rPr>
              <w:t>一般排放口合计</w:t>
            </w:r>
          </w:p>
        </w:tc>
        <w:tc>
          <w:tcPr>
            <w:tcW w:w="4646" w:type="dxa"/>
            <w:gridSpan w:val="3"/>
            <w:vAlign w:val="top"/>
          </w:tcPr>
          <w:p w14:paraId="2A89343D">
            <w:pPr>
              <w:pStyle w:val="6"/>
              <w:spacing w:before="54" w:line="228" w:lineRule="auto"/>
              <w:ind w:left="2013"/>
            </w:pPr>
            <w:r>
              <w:rPr>
                <w:spacing w:val="7"/>
              </w:rPr>
              <w:t>颗粒物</w:t>
            </w:r>
          </w:p>
        </w:tc>
        <w:tc>
          <w:tcPr>
            <w:tcW w:w="1905" w:type="dxa"/>
            <w:vAlign w:val="top"/>
          </w:tcPr>
          <w:p w14:paraId="288289D1">
            <w:pPr>
              <w:spacing w:before="90" w:line="195"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w:t>
            </w:r>
          </w:p>
        </w:tc>
      </w:tr>
      <w:tr w14:paraId="0E6C0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27" w:type="dxa"/>
            <w:gridSpan w:val="6"/>
            <w:vAlign w:val="top"/>
          </w:tcPr>
          <w:p w14:paraId="37ACC8CF">
            <w:pPr>
              <w:pStyle w:val="6"/>
              <w:spacing w:before="55" w:line="228" w:lineRule="auto"/>
              <w:ind w:left="3744"/>
            </w:pPr>
            <w:r>
              <w:rPr>
                <w:spacing w:val="7"/>
              </w:rPr>
              <w:t>有组织排放</w:t>
            </w:r>
          </w:p>
        </w:tc>
      </w:tr>
      <w:tr w14:paraId="0972F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76" w:type="dxa"/>
            <w:gridSpan w:val="2"/>
            <w:vAlign w:val="top"/>
          </w:tcPr>
          <w:p w14:paraId="5C6F04AF">
            <w:pPr>
              <w:pStyle w:val="6"/>
              <w:spacing w:before="56" w:line="228" w:lineRule="auto"/>
              <w:ind w:left="259"/>
            </w:pPr>
            <w:r>
              <w:rPr>
                <w:spacing w:val="8"/>
              </w:rPr>
              <w:t>有组织排放总计</w:t>
            </w:r>
          </w:p>
        </w:tc>
        <w:tc>
          <w:tcPr>
            <w:tcW w:w="4646" w:type="dxa"/>
            <w:gridSpan w:val="3"/>
            <w:vAlign w:val="top"/>
          </w:tcPr>
          <w:p w14:paraId="5AA7B068">
            <w:pPr>
              <w:pStyle w:val="6"/>
              <w:spacing w:before="56" w:line="228" w:lineRule="auto"/>
              <w:ind w:left="2013"/>
            </w:pPr>
            <w:r>
              <w:rPr>
                <w:spacing w:val="7"/>
              </w:rPr>
              <w:t>颗粒物</w:t>
            </w:r>
          </w:p>
        </w:tc>
        <w:tc>
          <w:tcPr>
            <w:tcW w:w="1905" w:type="dxa"/>
            <w:vAlign w:val="top"/>
          </w:tcPr>
          <w:p w14:paraId="180B9CA4">
            <w:pPr>
              <w:spacing w:before="91" w:line="195"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w:t>
            </w:r>
          </w:p>
        </w:tc>
      </w:tr>
    </w:tbl>
    <w:p w14:paraId="7DB962C8">
      <w:pPr>
        <w:pStyle w:val="2"/>
      </w:pPr>
    </w:p>
    <w:p w14:paraId="58C81C97">
      <w:pPr>
        <w:sectPr>
          <w:headerReference r:id="rId236" w:type="default"/>
          <w:footerReference r:id="rId237" w:type="default"/>
          <w:pgSz w:w="11906" w:h="16839"/>
          <w:pgMar w:top="1208" w:right="1684" w:bottom="1362" w:left="1684" w:header="825" w:footer="1200" w:gutter="0"/>
          <w:cols w:space="720" w:num="1"/>
        </w:sectPr>
      </w:pPr>
    </w:p>
    <w:p w14:paraId="448A6A52">
      <w:pPr>
        <w:pStyle w:val="2"/>
        <w:spacing w:line="264" w:lineRule="auto"/>
      </w:pPr>
    </w:p>
    <w:p w14:paraId="3DA4FD8D">
      <w:pPr>
        <w:spacing w:before="78"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）无组织排放量核算</w:t>
      </w:r>
    </w:p>
    <w:p w14:paraId="2BD99D83">
      <w:pPr>
        <w:spacing w:before="183" w:line="219" w:lineRule="auto"/>
        <w:ind w:left="603"/>
        <w:rPr>
          <w:rFonts w:ascii="宋体" w:hAnsi="宋体" w:eastAsia="宋体" w:cs="宋体"/>
          <w:sz w:val="24"/>
          <w:szCs w:val="24"/>
        </w:rPr>
      </w:pPr>
      <w:r>
        <w:rPr>
          <w:rFonts w:ascii="宋体" w:hAnsi="宋体" w:eastAsia="宋体" w:cs="宋体"/>
          <w:spacing w:val="-2"/>
          <w:sz w:val="24"/>
          <w:szCs w:val="24"/>
        </w:rPr>
        <w:t>技改工程建设完成后无组织排放量核算见表</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8.1-11</w:t>
      </w:r>
      <w:r>
        <w:rPr>
          <w:rFonts w:ascii="宋体" w:hAnsi="宋体" w:eastAsia="宋体" w:cs="宋体"/>
          <w:spacing w:val="-2"/>
          <w:sz w:val="24"/>
          <w:szCs w:val="24"/>
        </w:rPr>
        <w:t>。</w:t>
      </w:r>
    </w:p>
    <w:p w14:paraId="4D541297">
      <w:pPr>
        <w:spacing w:before="121" w:line="227" w:lineRule="auto"/>
        <w:ind w:left="2122"/>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 xml:space="preserve">1-11        </w:t>
      </w:r>
      <w:r>
        <w:rPr>
          <w:rFonts w:ascii="宋体" w:hAnsi="宋体" w:eastAsia="宋体" w:cs="宋体"/>
          <w:spacing w:val="5"/>
          <w:sz w:val="20"/>
          <w:szCs w:val="20"/>
        </w:rPr>
        <w:t>大气污染物无组织</w:t>
      </w:r>
      <w:r>
        <w:rPr>
          <w:rFonts w:ascii="宋体" w:hAnsi="宋体" w:eastAsia="宋体" w:cs="宋体"/>
          <w:spacing w:val="4"/>
          <w:sz w:val="20"/>
          <w:szCs w:val="20"/>
        </w:rPr>
        <w:t>排放量核算表</w:t>
      </w:r>
    </w:p>
    <w:p w14:paraId="79218459">
      <w:pPr>
        <w:spacing w:line="14" w:lineRule="exact"/>
      </w:pPr>
    </w:p>
    <w:tbl>
      <w:tblPr>
        <w:tblStyle w:val="5"/>
        <w:tblW w:w="8529"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939"/>
        <w:gridCol w:w="1093"/>
        <w:gridCol w:w="859"/>
        <w:gridCol w:w="1822"/>
        <w:gridCol w:w="1232"/>
        <w:gridCol w:w="1196"/>
        <w:gridCol w:w="957"/>
      </w:tblGrid>
      <w:tr w14:paraId="2BCFD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31" w:type="dxa"/>
            <w:vMerge w:val="restart"/>
            <w:tcBorders>
              <w:bottom w:val="nil"/>
            </w:tcBorders>
            <w:textDirection w:val="tbRlV"/>
            <w:vAlign w:val="top"/>
          </w:tcPr>
          <w:p w14:paraId="6BE180C7">
            <w:pPr>
              <w:pStyle w:val="6"/>
              <w:spacing w:before="109" w:line="218" w:lineRule="auto"/>
              <w:ind w:left="373"/>
            </w:pPr>
            <w:r>
              <w:rPr>
                <w:spacing w:val="6"/>
              </w:rPr>
              <w:t>序 号</w:t>
            </w:r>
          </w:p>
        </w:tc>
        <w:tc>
          <w:tcPr>
            <w:tcW w:w="939" w:type="dxa"/>
            <w:vMerge w:val="restart"/>
            <w:tcBorders>
              <w:bottom w:val="nil"/>
            </w:tcBorders>
            <w:vAlign w:val="top"/>
          </w:tcPr>
          <w:p w14:paraId="7D878BDF">
            <w:pPr>
              <w:spacing w:line="307" w:lineRule="auto"/>
              <w:rPr>
                <w:rFonts w:ascii="Arial"/>
                <w:sz w:val="21"/>
              </w:rPr>
            </w:pPr>
          </w:p>
          <w:p w14:paraId="1521E7D7">
            <w:pPr>
              <w:pStyle w:val="6"/>
              <w:spacing w:before="65" w:line="289" w:lineRule="auto"/>
              <w:ind w:left="264" w:right="155" w:hanging="107"/>
            </w:pPr>
            <w:r>
              <w:rPr>
                <w:spacing w:val="6"/>
              </w:rPr>
              <w:t>排放口</w:t>
            </w:r>
            <w:r>
              <w:rPr>
                <w:spacing w:val="1"/>
              </w:rPr>
              <w:t xml:space="preserve"> </w:t>
            </w:r>
            <w:r>
              <w:rPr>
                <w:spacing w:val="3"/>
              </w:rPr>
              <w:t>编号</w:t>
            </w:r>
          </w:p>
        </w:tc>
        <w:tc>
          <w:tcPr>
            <w:tcW w:w="1093" w:type="dxa"/>
            <w:vMerge w:val="restart"/>
            <w:tcBorders>
              <w:bottom w:val="nil"/>
            </w:tcBorders>
            <w:vAlign w:val="top"/>
          </w:tcPr>
          <w:p w14:paraId="5CA9CF30">
            <w:pPr>
              <w:spacing w:line="461" w:lineRule="auto"/>
              <w:rPr>
                <w:rFonts w:ascii="Arial"/>
                <w:sz w:val="21"/>
              </w:rPr>
            </w:pPr>
          </w:p>
          <w:p w14:paraId="681E908F">
            <w:pPr>
              <w:pStyle w:val="6"/>
              <w:spacing w:before="65" w:line="228" w:lineRule="auto"/>
              <w:ind w:left="130"/>
            </w:pPr>
            <w:r>
              <w:rPr>
                <w:spacing w:val="7"/>
              </w:rPr>
              <w:t>产污环节</w:t>
            </w:r>
          </w:p>
        </w:tc>
        <w:tc>
          <w:tcPr>
            <w:tcW w:w="859" w:type="dxa"/>
            <w:vMerge w:val="restart"/>
            <w:tcBorders>
              <w:bottom w:val="nil"/>
            </w:tcBorders>
            <w:vAlign w:val="top"/>
          </w:tcPr>
          <w:p w14:paraId="4E6ECB25">
            <w:pPr>
              <w:spacing w:line="461" w:lineRule="auto"/>
              <w:rPr>
                <w:rFonts w:ascii="Arial"/>
                <w:sz w:val="21"/>
              </w:rPr>
            </w:pPr>
          </w:p>
          <w:p w14:paraId="0798C35B">
            <w:pPr>
              <w:pStyle w:val="6"/>
              <w:spacing w:before="65" w:line="228" w:lineRule="auto"/>
              <w:ind w:left="121"/>
            </w:pPr>
            <w:r>
              <w:rPr>
                <w:spacing w:val="6"/>
              </w:rPr>
              <w:t>污染物</w:t>
            </w:r>
          </w:p>
        </w:tc>
        <w:tc>
          <w:tcPr>
            <w:tcW w:w="1822" w:type="dxa"/>
            <w:vMerge w:val="restart"/>
            <w:tcBorders>
              <w:bottom w:val="nil"/>
            </w:tcBorders>
            <w:vAlign w:val="top"/>
          </w:tcPr>
          <w:p w14:paraId="42C1A7D9">
            <w:pPr>
              <w:spacing w:line="306" w:lineRule="auto"/>
              <w:rPr>
                <w:rFonts w:ascii="Arial"/>
                <w:sz w:val="21"/>
              </w:rPr>
            </w:pPr>
          </w:p>
          <w:p w14:paraId="00C3DB54">
            <w:pPr>
              <w:pStyle w:val="6"/>
              <w:spacing w:before="65" w:line="291" w:lineRule="auto"/>
              <w:ind w:left="809" w:right="176" w:hanging="628"/>
            </w:pPr>
            <w:r>
              <w:rPr>
                <w:spacing w:val="8"/>
              </w:rPr>
              <w:t>主要污染防治措</w:t>
            </w:r>
            <w:r>
              <w:rPr>
                <w:spacing w:val="2"/>
              </w:rPr>
              <w:t xml:space="preserve"> </w:t>
            </w:r>
            <w:r>
              <w:rPr>
                <w:spacing w:val="1"/>
              </w:rPr>
              <w:t>施</w:t>
            </w:r>
          </w:p>
        </w:tc>
        <w:tc>
          <w:tcPr>
            <w:tcW w:w="2428" w:type="dxa"/>
            <w:gridSpan w:val="2"/>
            <w:vAlign w:val="top"/>
          </w:tcPr>
          <w:p w14:paraId="58958FCE">
            <w:pPr>
              <w:pStyle w:val="6"/>
              <w:spacing w:before="56" w:line="228" w:lineRule="auto"/>
              <w:ind w:left="190"/>
            </w:pPr>
            <w:r>
              <w:rPr>
                <w:spacing w:val="6"/>
              </w:rPr>
              <w:t>国家或地方污染物排放</w:t>
            </w:r>
          </w:p>
          <w:p w14:paraId="7C61090B">
            <w:pPr>
              <w:pStyle w:val="6"/>
              <w:spacing w:before="64" w:line="228" w:lineRule="auto"/>
              <w:ind w:left="1010"/>
            </w:pPr>
            <w:r>
              <w:rPr>
                <w:spacing w:val="4"/>
              </w:rPr>
              <w:t>标准</w:t>
            </w:r>
          </w:p>
        </w:tc>
        <w:tc>
          <w:tcPr>
            <w:tcW w:w="957" w:type="dxa"/>
            <w:vMerge w:val="restart"/>
            <w:tcBorders>
              <w:bottom w:val="nil"/>
            </w:tcBorders>
            <w:vAlign w:val="top"/>
          </w:tcPr>
          <w:p w14:paraId="2DD8E367">
            <w:pPr>
              <w:spacing w:line="306" w:lineRule="auto"/>
              <w:rPr>
                <w:rFonts w:ascii="Arial"/>
                <w:sz w:val="21"/>
              </w:rPr>
            </w:pPr>
          </w:p>
          <w:p w14:paraId="382BC80F">
            <w:pPr>
              <w:pStyle w:val="6"/>
              <w:spacing w:before="65" w:line="292" w:lineRule="auto"/>
              <w:ind w:left="115" w:right="22" w:firstLine="53"/>
            </w:pPr>
            <w:r>
              <w:rPr>
                <w:spacing w:val="6"/>
              </w:rPr>
              <w:t>年排放</w:t>
            </w:r>
            <w:r>
              <w:t xml:space="preserve">  </w:t>
            </w:r>
            <w:r>
              <w:rPr>
                <w:spacing w:val="-6"/>
              </w:rPr>
              <w:t>量</w:t>
            </w:r>
            <w:r>
              <w:rPr>
                <w:rFonts w:ascii="Times New Roman" w:hAnsi="Times New Roman" w:eastAsia="Times New Roman" w:cs="Times New Roman"/>
                <w:spacing w:val="-6"/>
              </w:rPr>
              <w:t>/</w:t>
            </w:r>
            <w:r>
              <w:rPr>
                <w:spacing w:val="-6"/>
              </w:rPr>
              <w:t>（</w:t>
            </w:r>
            <w:r>
              <w:rPr>
                <w:rFonts w:ascii="Times New Roman" w:hAnsi="Times New Roman" w:eastAsia="Times New Roman" w:cs="Times New Roman"/>
                <w:spacing w:val="-6"/>
              </w:rPr>
              <w:t>t/a</w:t>
            </w:r>
            <w:r>
              <w:rPr>
                <w:spacing w:val="-6"/>
              </w:rPr>
              <w:t>）</w:t>
            </w:r>
          </w:p>
        </w:tc>
      </w:tr>
      <w:tr w14:paraId="0AB37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1" w:type="dxa"/>
            <w:vMerge w:val="continue"/>
            <w:tcBorders>
              <w:top w:val="nil"/>
            </w:tcBorders>
            <w:textDirection w:val="tbRlV"/>
            <w:vAlign w:val="top"/>
          </w:tcPr>
          <w:p w14:paraId="57D477FB">
            <w:pPr>
              <w:rPr>
                <w:rFonts w:ascii="Arial"/>
                <w:sz w:val="21"/>
              </w:rPr>
            </w:pPr>
          </w:p>
        </w:tc>
        <w:tc>
          <w:tcPr>
            <w:tcW w:w="939" w:type="dxa"/>
            <w:vMerge w:val="continue"/>
            <w:tcBorders>
              <w:top w:val="nil"/>
            </w:tcBorders>
            <w:vAlign w:val="top"/>
          </w:tcPr>
          <w:p w14:paraId="7FF1CD3D">
            <w:pPr>
              <w:rPr>
                <w:rFonts w:ascii="Arial"/>
                <w:sz w:val="21"/>
              </w:rPr>
            </w:pPr>
          </w:p>
        </w:tc>
        <w:tc>
          <w:tcPr>
            <w:tcW w:w="1093" w:type="dxa"/>
            <w:vMerge w:val="continue"/>
            <w:tcBorders>
              <w:top w:val="nil"/>
            </w:tcBorders>
            <w:vAlign w:val="top"/>
          </w:tcPr>
          <w:p w14:paraId="79D63B6F">
            <w:pPr>
              <w:rPr>
                <w:rFonts w:ascii="Arial"/>
                <w:sz w:val="21"/>
              </w:rPr>
            </w:pPr>
          </w:p>
        </w:tc>
        <w:tc>
          <w:tcPr>
            <w:tcW w:w="859" w:type="dxa"/>
            <w:vMerge w:val="continue"/>
            <w:tcBorders>
              <w:top w:val="nil"/>
            </w:tcBorders>
            <w:vAlign w:val="top"/>
          </w:tcPr>
          <w:p w14:paraId="37A2496C">
            <w:pPr>
              <w:rPr>
                <w:rFonts w:ascii="Arial"/>
                <w:sz w:val="21"/>
              </w:rPr>
            </w:pPr>
          </w:p>
        </w:tc>
        <w:tc>
          <w:tcPr>
            <w:tcW w:w="1822" w:type="dxa"/>
            <w:vMerge w:val="continue"/>
            <w:tcBorders>
              <w:top w:val="nil"/>
            </w:tcBorders>
            <w:vAlign w:val="top"/>
          </w:tcPr>
          <w:p w14:paraId="59761616">
            <w:pPr>
              <w:rPr>
                <w:rFonts w:ascii="Arial"/>
                <w:sz w:val="21"/>
              </w:rPr>
            </w:pPr>
          </w:p>
        </w:tc>
        <w:tc>
          <w:tcPr>
            <w:tcW w:w="1232" w:type="dxa"/>
            <w:vAlign w:val="top"/>
          </w:tcPr>
          <w:p w14:paraId="16BF03F9">
            <w:pPr>
              <w:pStyle w:val="6"/>
              <w:spacing w:before="208" w:line="228" w:lineRule="auto"/>
              <w:ind w:left="201"/>
            </w:pPr>
            <w:r>
              <w:rPr>
                <w:spacing w:val="7"/>
              </w:rPr>
              <w:t>标准名称</w:t>
            </w:r>
          </w:p>
        </w:tc>
        <w:tc>
          <w:tcPr>
            <w:tcW w:w="1196" w:type="dxa"/>
            <w:vAlign w:val="top"/>
          </w:tcPr>
          <w:p w14:paraId="3C6D6135">
            <w:pPr>
              <w:pStyle w:val="6"/>
              <w:spacing w:before="51" w:line="228" w:lineRule="auto"/>
              <w:ind w:left="185"/>
            </w:pPr>
            <w:r>
              <w:rPr>
                <w:spacing w:val="7"/>
              </w:rPr>
              <w:t>浓度限值</w:t>
            </w:r>
          </w:p>
          <w:p w14:paraId="5A1EE02F">
            <w:pPr>
              <w:pStyle w:val="6"/>
              <w:spacing w:before="65" w:line="221" w:lineRule="auto"/>
              <w:ind w:left="126"/>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957" w:type="dxa"/>
            <w:vMerge w:val="continue"/>
            <w:tcBorders>
              <w:top w:val="nil"/>
            </w:tcBorders>
            <w:vAlign w:val="top"/>
          </w:tcPr>
          <w:p w14:paraId="78A794E5">
            <w:pPr>
              <w:rPr>
                <w:rFonts w:ascii="Arial"/>
                <w:sz w:val="21"/>
              </w:rPr>
            </w:pPr>
          </w:p>
        </w:tc>
      </w:tr>
      <w:tr w14:paraId="2DA67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1" w:type="dxa"/>
            <w:vAlign w:val="top"/>
          </w:tcPr>
          <w:p w14:paraId="7E2B1F87">
            <w:pPr>
              <w:spacing w:before="24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39" w:type="dxa"/>
            <w:vAlign w:val="top"/>
          </w:tcPr>
          <w:p w14:paraId="4CDCF9D5">
            <w:pPr>
              <w:spacing w:before="24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MF</w:t>
            </w:r>
            <w:r>
              <w:rPr>
                <w:rFonts w:ascii="Times New Roman" w:hAnsi="Times New Roman" w:eastAsia="Times New Roman" w:cs="Times New Roman"/>
                <w:spacing w:val="7"/>
                <w:sz w:val="20"/>
                <w:szCs w:val="20"/>
              </w:rPr>
              <w:t>0001</w:t>
            </w:r>
          </w:p>
        </w:tc>
        <w:tc>
          <w:tcPr>
            <w:tcW w:w="1093" w:type="dxa"/>
            <w:vAlign w:val="top"/>
          </w:tcPr>
          <w:p w14:paraId="0D3E1688">
            <w:pPr>
              <w:pStyle w:val="6"/>
              <w:spacing w:before="52" w:line="261" w:lineRule="auto"/>
              <w:ind w:left="237" w:right="128" w:hanging="107"/>
            </w:pPr>
            <w:r>
              <w:rPr>
                <w:spacing w:val="7"/>
              </w:rPr>
              <w:t>粗碎车间</w:t>
            </w:r>
            <w:r>
              <w:t xml:space="preserve"> </w:t>
            </w:r>
            <w:r>
              <w:rPr>
                <w:spacing w:val="6"/>
              </w:rPr>
              <w:t>无组织</w:t>
            </w:r>
          </w:p>
        </w:tc>
        <w:tc>
          <w:tcPr>
            <w:tcW w:w="859" w:type="dxa"/>
            <w:vAlign w:val="top"/>
          </w:tcPr>
          <w:p w14:paraId="486CEC1A">
            <w:pPr>
              <w:pStyle w:val="6"/>
              <w:spacing w:before="208" w:line="228" w:lineRule="auto"/>
              <w:ind w:left="118"/>
            </w:pPr>
            <w:r>
              <w:rPr>
                <w:spacing w:val="7"/>
              </w:rPr>
              <w:t>颗粒物</w:t>
            </w:r>
          </w:p>
        </w:tc>
        <w:tc>
          <w:tcPr>
            <w:tcW w:w="1822" w:type="dxa"/>
            <w:vAlign w:val="top"/>
          </w:tcPr>
          <w:p w14:paraId="71B306F5">
            <w:pPr>
              <w:pStyle w:val="6"/>
              <w:spacing w:before="208" w:line="228" w:lineRule="auto"/>
              <w:ind w:left="498"/>
            </w:pPr>
            <w:r>
              <w:rPr>
                <w:spacing w:val="6"/>
              </w:rPr>
              <w:t>车间封闭</w:t>
            </w:r>
          </w:p>
        </w:tc>
        <w:tc>
          <w:tcPr>
            <w:tcW w:w="1232" w:type="dxa"/>
            <w:vMerge w:val="restart"/>
            <w:tcBorders>
              <w:bottom w:val="nil"/>
            </w:tcBorders>
            <w:vAlign w:val="top"/>
          </w:tcPr>
          <w:p w14:paraId="1AD154F6">
            <w:pPr>
              <w:spacing w:line="462" w:lineRule="auto"/>
              <w:rPr>
                <w:rFonts w:ascii="Arial"/>
                <w:sz w:val="21"/>
              </w:rPr>
            </w:pPr>
          </w:p>
          <w:p w14:paraId="08B49B02">
            <w:pPr>
              <w:pStyle w:val="6"/>
              <w:spacing w:before="65" w:line="228" w:lineRule="auto"/>
              <w:ind w:left="206"/>
            </w:pPr>
            <w:r>
              <w:rPr>
                <w:spacing w:val="6"/>
              </w:rPr>
              <w:t>《铅锌矿</w:t>
            </w:r>
          </w:p>
          <w:p w14:paraId="3183F3C8">
            <w:pPr>
              <w:pStyle w:val="6"/>
              <w:spacing w:before="65" w:line="227" w:lineRule="auto"/>
              <w:ind w:left="200"/>
            </w:pPr>
            <w:r>
              <w:rPr>
                <w:spacing w:val="7"/>
              </w:rPr>
              <w:t>采选工业</w:t>
            </w:r>
          </w:p>
          <w:p w14:paraId="0D68DAD3">
            <w:pPr>
              <w:pStyle w:val="6"/>
              <w:spacing w:before="66" w:line="228" w:lineRule="auto"/>
              <w:ind w:left="202"/>
            </w:pPr>
            <w:r>
              <w:rPr>
                <w:spacing w:val="6"/>
              </w:rPr>
              <w:t>污染物排</w:t>
            </w:r>
          </w:p>
          <w:p w14:paraId="682DE007">
            <w:pPr>
              <w:pStyle w:val="6"/>
              <w:spacing w:before="64" w:line="228" w:lineRule="auto"/>
              <w:ind w:left="201"/>
            </w:pPr>
            <w:r>
              <w:rPr>
                <w:spacing w:val="5"/>
              </w:rPr>
              <w:t>放标准》</w:t>
            </w:r>
          </w:p>
        </w:tc>
        <w:tc>
          <w:tcPr>
            <w:tcW w:w="1196" w:type="dxa"/>
            <w:vMerge w:val="restart"/>
            <w:tcBorders>
              <w:bottom w:val="nil"/>
            </w:tcBorders>
            <w:vAlign w:val="top"/>
          </w:tcPr>
          <w:p w14:paraId="2E5DF415">
            <w:pPr>
              <w:spacing w:line="242" w:lineRule="auto"/>
              <w:rPr>
                <w:rFonts w:ascii="Arial"/>
                <w:sz w:val="21"/>
              </w:rPr>
            </w:pPr>
          </w:p>
          <w:p w14:paraId="3EC89983">
            <w:pPr>
              <w:spacing w:line="242" w:lineRule="auto"/>
              <w:rPr>
                <w:rFonts w:ascii="Arial"/>
                <w:sz w:val="21"/>
              </w:rPr>
            </w:pPr>
          </w:p>
          <w:p w14:paraId="102A0633">
            <w:pPr>
              <w:spacing w:line="243" w:lineRule="auto"/>
              <w:rPr>
                <w:rFonts w:ascii="Arial"/>
                <w:sz w:val="21"/>
              </w:rPr>
            </w:pPr>
          </w:p>
          <w:p w14:paraId="0FD472F9">
            <w:pPr>
              <w:spacing w:line="243" w:lineRule="auto"/>
              <w:rPr>
                <w:rFonts w:ascii="Arial"/>
                <w:sz w:val="21"/>
              </w:rPr>
            </w:pPr>
          </w:p>
          <w:p w14:paraId="785B332D">
            <w:pPr>
              <w:spacing w:before="58"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957" w:type="dxa"/>
            <w:vAlign w:val="top"/>
          </w:tcPr>
          <w:p w14:paraId="043CA950">
            <w:pPr>
              <w:spacing w:before="24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0.183</w:t>
            </w:r>
          </w:p>
        </w:tc>
      </w:tr>
      <w:tr w14:paraId="3ED4B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1" w:type="dxa"/>
            <w:vAlign w:val="top"/>
          </w:tcPr>
          <w:p w14:paraId="29E9D395">
            <w:pPr>
              <w:spacing w:before="245"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39" w:type="dxa"/>
            <w:vAlign w:val="top"/>
          </w:tcPr>
          <w:p w14:paraId="020D8D7E">
            <w:pPr>
              <w:spacing w:before="24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MF</w:t>
            </w:r>
            <w:r>
              <w:rPr>
                <w:rFonts w:ascii="Times New Roman" w:hAnsi="Times New Roman" w:eastAsia="Times New Roman" w:cs="Times New Roman"/>
                <w:spacing w:val="7"/>
                <w:sz w:val="20"/>
                <w:szCs w:val="20"/>
              </w:rPr>
              <w:t>0002</w:t>
            </w:r>
          </w:p>
        </w:tc>
        <w:tc>
          <w:tcPr>
            <w:tcW w:w="1093" w:type="dxa"/>
            <w:vAlign w:val="top"/>
          </w:tcPr>
          <w:p w14:paraId="71A100E0">
            <w:pPr>
              <w:pStyle w:val="6"/>
              <w:spacing w:before="52" w:line="261" w:lineRule="auto"/>
              <w:ind w:left="236" w:right="128" w:hanging="87"/>
            </w:pPr>
            <w:r>
              <w:rPr>
                <w:spacing w:val="2"/>
              </w:rPr>
              <w:t>中间堆场</w:t>
            </w:r>
            <w:r>
              <w:t xml:space="preserve"> </w:t>
            </w:r>
            <w:r>
              <w:rPr>
                <w:spacing w:val="6"/>
              </w:rPr>
              <w:t>无组织</w:t>
            </w:r>
          </w:p>
        </w:tc>
        <w:tc>
          <w:tcPr>
            <w:tcW w:w="859" w:type="dxa"/>
            <w:vAlign w:val="top"/>
          </w:tcPr>
          <w:p w14:paraId="74BAE3E7">
            <w:pPr>
              <w:pStyle w:val="6"/>
              <w:spacing w:before="208" w:line="228" w:lineRule="auto"/>
              <w:ind w:left="118"/>
            </w:pPr>
            <w:r>
              <w:rPr>
                <w:spacing w:val="7"/>
              </w:rPr>
              <w:t>颗粒物</w:t>
            </w:r>
          </w:p>
        </w:tc>
        <w:tc>
          <w:tcPr>
            <w:tcW w:w="1822" w:type="dxa"/>
            <w:vAlign w:val="top"/>
          </w:tcPr>
          <w:p w14:paraId="43E4F937">
            <w:pPr>
              <w:pStyle w:val="6"/>
              <w:spacing w:before="52" w:line="261" w:lineRule="auto"/>
              <w:ind w:left="812" w:right="116" w:hanging="688"/>
            </w:pPr>
            <w:r>
              <w:rPr>
                <w:spacing w:val="7"/>
              </w:rPr>
              <w:t>车间封闭</w:t>
            </w:r>
            <w:r>
              <w:rPr>
                <w:rFonts w:ascii="Times New Roman" w:hAnsi="Times New Roman" w:eastAsia="Times New Roman" w:cs="Times New Roman"/>
                <w:spacing w:val="7"/>
              </w:rPr>
              <w:t>+</w:t>
            </w:r>
            <w:r>
              <w:rPr>
                <w:spacing w:val="7"/>
              </w:rPr>
              <w:t>喷雾抑</w:t>
            </w:r>
            <w:r>
              <w:rPr>
                <w:spacing w:val="6"/>
              </w:rPr>
              <w:t xml:space="preserve"> </w:t>
            </w:r>
            <w:r>
              <w:t>尘</w:t>
            </w:r>
          </w:p>
        </w:tc>
        <w:tc>
          <w:tcPr>
            <w:tcW w:w="1232" w:type="dxa"/>
            <w:vMerge w:val="continue"/>
            <w:tcBorders>
              <w:top w:val="nil"/>
              <w:bottom w:val="nil"/>
            </w:tcBorders>
            <w:vAlign w:val="top"/>
          </w:tcPr>
          <w:p w14:paraId="6DA0118C">
            <w:pPr>
              <w:rPr>
                <w:rFonts w:ascii="Arial"/>
                <w:sz w:val="21"/>
              </w:rPr>
            </w:pPr>
          </w:p>
        </w:tc>
        <w:tc>
          <w:tcPr>
            <w:tcW w:w="1196" w:type="dxa"/>
            <w:vMerge w:val="continue"/>
            <w:tcBorders>
              <w:top w:val="nil"/>
              <w:bottom w:val="nil"/>
            </w:tcBorders>
            <w:vAlign w:val="top"/>
          </w:tcPr>
          <w:p w14:paraId="1EE3F20E">
            <w:pPr>
              <w:rPr>
                <w:rFonts w:ascii="Arial"/>
                <w:sz w:val="21"/>
              </w:rPr>
            </w:pPr>
          </w:p>
        </w:tc>
        <w:tc>
          <w:tcPr>
            <w:tcW w:w="957" w:type="dxa"/>
            <w:vAlign w:val="top"/>
          </w:tcPr>
          <w:p w14:paraId="3AC2259A">
            <w:pPr>
              <w:spacing w:before="24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0.332</w:t>
            </w:r>
          </w:p>
        </w:tc>
      </w:tr>
      <w:tr w14:paraId="70BE3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1" w:type="dxa"/>
            <w:vAlign w:val="top"/>
          </w:tcPr>
          <w:p w14:paraId="792A837B">
            <w:pPr>
              <w:spacing w:line="344" w:lineRule="auto"/>
              <w:rPr>
                <w:rFonts w:ascii="Arial"/>
                <w:sz w:val="21"/>
              </w:rPr>
            </w:pPr>
          </w:p>
          <w:p w14:paraId="7E531FAD">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39" w:type="dxa"/>
            <w:vAlign w:val="top"/>
          </w:tcPr>
          <w:p w14:paraId="35969C14">
            <w:pPr>
              <w:spacing w:line="344" w:lineRule="auto"/>
              <w:rPr>
                <w:rFonts w:ascii="Arial"/>
                <w:sz w:val="21"/>
              </w:rPr>
            </w:pPr>
          </w:p>
          <w:p w14:paraId="7BEEAAEC">
            <w:pPr>
              <w:spacing w:before="58"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MF</w:t>
            </w:r>
            <w:r>
              <w:rPr>
                <w:rFonts w:ascii="Times New Roman" w:hAnsi="Times New Roman" w:eastAsia="Times New Roman" w:cs="Times New Roman"/>
                <w:spacing w:val="7"/>
                <w:sz w:val="20"/>
                <w:szCs w:val="20"/>
              </w:rPr>
              <w:t>0003</w:t>
            </w:r>
          </w:p>
        </w:tc>
        <w:tc>
          <w:tcPr>
            <w:tcW w:w="1093" w:type="dxa"/>
            <w:vAlign w:val="top"/>
          </w:tcPr>
          <w:p w14:paraId="24628DF8">
            <w:pPr>
              <w:pStyle w:val="6"/>
              <w:spacing w:before="55" w:line="228" w:lineRule="auto"/>
              <w:ind w:left="132"/>
            </w:pPr>
            <w:r>
              <w:rPr>
                <w:spacing w:val="6"/>
              </w:rPr>
              <w:t>浮选车间</w:t>
            </w:r>
          </w:p>
          <w:p w14:paraId="045FF9FB">
            <w:pPr>
              <w:pStyle w:val="6"/>
              <w:spacing w:before="65" w:line="259" w:lineRule="auto"/>
              <w:ind w:left="237" w:right="128" w:hanging="107"/>
            </w:pPr>
            <w:r>
              <w:rPr>
                <w:spacing w:val="7"/>
              </w:rPr>
              <w:t>加药粉尘</w:t>
            </w:r>
            <w:r>
              <w:t xml:space="preserve"> </w:t>
            </w:r>
            <w:r>
              <w:rPr>
                <w:spacing w:val="6"/>
              </w:rPr>
              <w:t>无组织</w:t>
            </w:r>
          </w:p>
        </w:tc>
        <w:tc>
          <w:tcPr>
            <w:tcW w:w="859" w:type="dxa"/>
            <w:vAlign w:val="top"/>
          </w:tcPr>
          <w:p w14:paraId="18C27EDF">
            <w:pPr>
              <w:spacing w:line="301" w:lineRule="auto"/>
              <w:rPr>
                <w:rFonts w:ascii="Arial"/>
                <w:sz w:val="21"/>
              </w:rPr>
            </w:pPr>
          </w:p>
          <w:p w14:paraId="08810F63">
            <w:pPr>
              <w:pStyle w:val="6"/>
              <w:spacing w:before="65" w:line="228" w:lineRule="auto"/>
              <w:ind w:left="118"/>
            </w:pPr>
            <w:r>
              <w:rPr>
                <w:spacing w:val="7"/>
              </w:rPr>
              <w:t>颗粒物</w:t>
            </w:r>
          </w:p>
        </w:tc>
        <w:tc>
          <w:tcPr>
            <w:tcW w:w="1822" w:type="dxa"/>
            <w:vAlign w:val="top"/>
          </w:tcPr>
          <w:p w14:paraId="15EEB60C">
            <w:pPr>
              <w:pStyle w:val="6"/>
              <w:spacing w:before="212" w:line="289" w:lineRule="auto"/>
              <w:ind w:left="496" w:right="116" w:hanging="372"/>
            </w:pPr>
            <w:r>
              <w:rPr>
                <w:spacing w:val="7"/>
              </w:rPr>
              <w:t>车间封闭</w:t>
            </w:r>
            <w:r>
              <w:rPr>
                <w:rFonts w:ascii="Times New Roman" w:hAnsi="Times New Roman" w:eastAsia="Times New Roman" w:cs="Times New Roman"/>
                <w:spacing w:val="7"/>
              </w:rPr>
              <w:t>+</w:t>
            </w:r>
            <w:r>
              <w:rPr>
                <w:spacing w:val="7"/>
              </w:rPr>
              <w:t>石灰仓</w:t>
            </w:r>
            <w:r>
              <w:rPr>
                <w:spacing w:val="6"/>
              </w:rPr>
              <w:t xml:space="preserve"> </w:t>
            </w:r>
            <w:r>
              <w:rPr>
                <w:spacing w:val="7"/>
              </w:rPr>
              <w:t>顶除尘器</w:t>
            </w:r>
          </w:p>
        </w:tc>
        <w:tc>
          <w:tcPr>
            <w:tcW w:w="1232" w:type="dxa"/>
            <w:vMerge w:val="continue"/>
            <w:tcBorders>
              <w:top w:val="nil"/>
            </w:tcBorders>
            <w:vAlign w:val="top"/>
          </w:tcPr>
          <w:p w14:paraId="00173C25">
            <w:pPr>
              <w:rPr>
                <w:rFonts w:ascii="Arial"/>
                <w:sz w:val="21"/>
              </w:rPr>
            </w:pPr>
          </w:p>
        </w:tc>
        <w:tc>
          <w:tcPr>
            <w:tcW w:w="1196" w:type="dxa"/>
            <w:vMerge w:val="continue"/>
            <w:tcBorders>
              <w:top w:val="nil"/>
            </w:tcBorders>
            <w:vAlign w:val="top"/>
          </w:tcPr>
          <w:p w14:paraId="1584C539">
            <w:pPr>
              <w:rPr>
                <w:rFonts w:ascii="Arial"/>
                <w:sz w:val="21"/>
              </w:rPr>
            </w:pPr>
          </w:p>
        </w:tc>
        <w:tc>
          <w:tcPr>
            <w:tcW w:w="957" w:type="dxa"/>
            <w:vAlign w:val="top"/>
          </w:tcPr>
          <w:p w14:paraId="107CB33C">
            <w:pPr>
              <w:spacing w:line="344" w:lineRule="auto"/>
              <w:rPr>
                <w:rFonts w:ascii="Arial"/>
                <w:sz w:val="21"/>
              </w:rPr>
            </w:pPr>
          </w:p>
          <w:p w14:paraId="691922A7">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0.198</w:t>
            </w:r>
          </w:p>
        </w:tc>
      </w:tr>
      <w:tr w14:paraId="193FC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29" w:type="dxa"/>
            <w:gridSpan w:val="8"/>
            <w:vAlign w:val="top"/>
          </w:tcPr>
          <w:p w14:paraId="64F79424">
            <w:pPr>
              <w:pStyle w:val="6"/>
              <w:spacing w:before="57" w:line="228" w:lineRule="auto"/>
              <w:ind w:left="3746"/>
            </w:pPr>
            <w:r>
              <w:rPr>
                <w:spacing w:val="7"/>
              </w:rPr>
              <w:t>无组织排放</w:t>
            </w:r>
          </w:p>
        </w:tc>
      </w:tr>
      <w:tr w14:paraId="0FE06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322" w:type="dxa"/>
            <w:gridSpan w:val="4"/>
            <w:vAlign w:val="top"/>
          </w:tcPr>
          <w:p w14:paraId="39F6309F">
            <w:pPr>
              <w:pStyle w:val="6"/>
              <w:spacing w:before="56" w:line="228" w:lineRule="auto"/>
              <w:ind w:left="933"/>
            </w:pPr>
            <w:r>
              <w:rPr>
                <w:spacing w:val="8"/>
              </w:rPr>
              <w:t>无组织排放总计</w:t>
            </w:r>
          </w:p>
        </w:tc>
        <w:tc>
          <w:tcPr>
            <w:tcW w:w="4250" w:type="dxa"/>
            <w:gridSpan w:val="3"/>
            <w:vAlign w:val="top"/>
          </w:tcPr>
          <w:p w14:paraId="081155E6">
            <w:pPr>
              <w:pStyle w:val="6"/>
              <w:spacing w:before="56" w:line="228" w:lineRule="auto"/>
              <w:ind w:left="1815"/>
            </w:pPr>
            <w:r>
              <w:rPr>
                <w:spacing w:val="7"/>
              </w:rPr>
              <w:t>颗粒物</w:t>
            </w:r>
          </w:p>
        </w:tc>
        <w:tc>
          <w:tcPr>
            <w:tcW w:w="957" w:type="dxa"/>
            <w:vAlign w:val="top"/>
          </w:tcPr>
          <w:p w14:paraId="54A8F2BC">
            <w:pPr>
              <w:spacing w:before="9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0.713</w:t>
            </w:r>
          </w:p>
        </w:tc>
      </w:tr>
    </w:tbl>
    <w:p w14:paraId="44BB2699">
      <w:pPr>
        <w:spacing w:before="115" w:line="219" w:lineRule="auto"/>
        <w:ind w:left="603"/>
        <w:rPr>
          <w:rFonts w:ascii="宋体" w:hAnsi="宋体" w:eastAsia="宋体" w:cs="宋体"/>
          <w:sz w:val="24"/>
          <w:szCs w:val="24"/>
        </w:rPr>
      </w:pPr>
      <w:r>
        <w:rPr>
          <w:rFonts w:ascii="宋体" w:hAnsi="宋体" w:eastAsia="宋体" w:cs="宋体"/>
          <w:spacing w:val="-1"/>
          <w:sz w:val="24"/>
          <w:szCs w:val="24"/>
        </w:rPr>
        <w:t>技改工程建成后大气污染物年排放量核算见表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8.1-12</w:t>
      </w:r>
      <w:r>
        <w:rPr>
          <w:rFonts w:ascii="宋体" w:hAnsi="宋体" w:eastAsia="宋体" w:cs="宋体"/>
          <w:spacing w:val="-1"/>
          <w:sz w:val="24"/>
          <w:szCs w:val="24"/>
        </w:rPr>
        <w:t>。</w:t>
      </w:r>
    </w:p>
    <w:p w14:paraId="72BC9CF8">
      <w:pPr>
        <w:spacing w:before="119" w:line="227" w:lineRule="auto"/>
        <w:ind w:left="2328"/>
        <w:rPr>
          <w:rFonts w:ascii="宋体" w:hAnsi="宋体" w:eastAsia="宋体" w:cs="宋体"/>
          <w:sz w:val="20"/>
          <w:szCs w:val="20"/>
        </w:rPr>
      </w:pPr>
      <w:r>
        <w:rPr>
          <w:rFonts w:ascii="宋体" w:hAnsi="宋体" w:eastAsia="宋体" w:cs="宋体"/>
          <w:spacing w:val="4"/>
          <w:sz w:val="20"/>
          <w:szCs w:val="20"/>
        </w:rPr>
        <w:t>表</w:t>
      </w:r>
      <w:r>
        <w:rPr>
          <w:rFonts w:ascii="宋体" w:hAnsi="宋体" w:eastAsia="宋体" w:cs="宋体"/>
          <w:spacing w:val="-17"/>
          <w:sz w:val="20"/>
          <w:szCs w:val="20"/>
        </w:rPr>
        <w:t xml:space="preserve"> </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 xml:space="preserve">1-12        </w:t>
      </w:r>
      <w:r>
        <w:rPr>
          <w:rFonts w:ascii="宋体" w:hAnsi="宋体" w:eastAsia="宋体" w:cs="宋体"/>
          <w:spacing w:val="4"/>
          <w:sz w:val="20"/>
          <w:szCs w:val="20"/>
        </w:rPr>
        <w:t>大气污染物年排放量核算表</w:t>
      </w:r>
    </w:p>
    <w:p w14:paraId="6664DAB7">
      <w:pPr>
        <w:spacing w:line="15" w:lineRule="exact"/>
      </w:pPr>
    </w:p>
    <w:tbl>
      <w:tblPr>
        <w:tblStyle w:val="5"/>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14"/>
        <w:gridCol w:w="3769"/>
        <w:gridCol w:w="2846"/>
      </w:tblGrid>
      <w:tr w14:paraId="58AD2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14" w:type="dxa"/>
            <w:vAlign w:val="top"/>
          </w:tcPr>
          <w:p w14:paraId="54CA1A9D">
            <w:pPr>
              <w:pStyle w:val="6"/>
              <w:spacing w:before="55" w:line="229" w:lineRule="auto"/>
              <w:ind w:left="751"/>
            </w:pPr>
            <w:r>
              <w:rPr>
                <w:spacing w:val="5"/>
              </w:rPr>
              <w:t>序号</w:t>
            </w:r>
          </w:p>
        </w:tc>
        <w:tc>
          <w:tcPr>
            <w:tcW w:w="3769" w:type="dxa"/>
            <w:vAlign w:val="top"/>
          </w:tcPr>
          <w:p w14:paraId="7AE6CBCB">
            <w:pPr>
              <w:pStyle w:val="6"/>
              <w:spacing w:before="56" w:line="228" w:lineRule="auto"/>
              <w:ind w:left="1576"/>
            </w:pPr>
            <w:r>
              <w:rPr>
                <w:spacing w:val="6"/>
              </w:rPr>
              <w:t>污染物</w:t>
            </w:r>
          </w:p>
        </w:tc>
        <w:tc>
          <w:tcPr>
            <w:tcW w:w="2846" w:type="dxa"/>
            <w:vAlign w:val="top"/>
          </w:tcPr>
          <w:p w14:paraId="7DE5B5FB">
            <w:pPr>
              <w:pStyle w:val="6"/>
              <w:spacing w:before="55" w:line="228" w:lineRule="auto"/>
              <w:ind w:left="664"/>
            </w:pPr>
            <w:r>
              <w:rPr>
                <w:spacing w:val="5"/>
              </w:rPr>
              <w:t>年排放量</w:t>
            </w:r>
            <w:r>
              <w:rPr>
                <w:rFonts w:ascii="Times New Roman" w:hAnsi="Times New Roman" w:eastAsia="Times New Roman" w:cs="Times New Roman"/>
                <w:spacing w:val="5"/>
              </w:rPr>
              <w:t>/</w:t>
            </w:r>
            <w:r>
              <w:rPr>
                <w:spacing w:val="5"/>
              </w:rPr>
              <w:t>（</w:t>
            </w:r>
            <w:r>
              <w:rPr>
                <w:rFonts w:ascii="Times New Roman" w:hAnsi="Times New Roman" w:eastAsia="Times New Roman" w:cs="Times New Roman"/>
                <w:spacing w:val="5"/>
              </w:rPr>
              <w:t>t/a</w:t>
            </w:r>
            <w:r>
              <w:rPr>
                <w:spacing w:val="5"/>
              </w:rPr>
              <w:t>）</w:t>
            </w:r>
          </w:p>
        </w:tc>
      </w:tr>
      <w:tr w14:paraId="1AE21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14" w:type="dxa"/>
            <w:vAlign w:val="top"/>
          </w:tcPr>
          <w:p w14:paraId="499A8C40">
            <w:pPr>
              <w:spacing w:before="89" w:line="195" w:lineRule="auto"/>
              <w:ind w:left="9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769" w:type="dxa"/>
            <w:vAlign w:val="top"/>
          </w:tcPr>
          <w:p w14:paraId="13D932CE">
            <w:pPr>
              <w:pStyle w:val="6"/>
              <w:spacing w:before="52" w:line="228" w:lineRule="auto"/>
              <w:ind w:left="1573"/>
            </w:pPr>
            <w:r>
              <w:rPr>
                <w:spacing w:val="7"/>
              </w:rPr>
              <w:t>颗粒物</w:t>
            </w:r>
          </w:p>
        </w:tc>
        <w:tc>
          <w:tcPr>
            <w:tcW w:w="2846" w:type="dxa"/>
            <w:vAlign w:val="top"/>
          </w:tcPr>
          <w:p w14:paraId="5F731F47">
            <w:pPr>
              <w:spacing w:before="89" w:line="195" w:lineRule="auto"/>
              <w:ind w:left="1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2.593</w:t>
            </w:r>
          </w:p>
        </w:tc>
      </w:tr>
    </w:tbl>
    <w:p w14:paraId="7696CE10">
      <w:pPr>
        <w:spacing w:before="115"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）非正常排放量核算</w:t>
      </w:r>
    </w:p>
    <w:p w14:paraId="3B694AF5">
      <w:pPr>
        <w:spacing w:before="183" w:line="219" w:lineRule="auto"/>
        <w:ind w:left="603"/>
        <w:rPr>
          <w:rFonts w:ascii="宋体" w:hAnsi="宋体" w:eastAsia="宋体" w:cs="宋体"/>
          <w:sz w:val="24"/>
          <w:szCs w:val="24"/>
        </w:rPr>
      </w:pPr>
      <w:r>
        <w:rPr>
          <w:rFonts w:ascii="宋体" w:hAnsi="宋体" w:eastAsia="宋体" w:cs="宋体"/>
          <w:spacing w:val="-1"/>
          <w:sz w:val="24"/>
          <w:szCs w:val="24"/>
        </w:rPr>
        <w:t>技改工程建设完成后非正常排放量核算见表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8.1-13</w:t>
      </w:r>
      <w:r>
        <w:rPr>
          <w:rFonts w:ascii="宋体" w:hAnsi="宋体" w:eastAsia="宋体" w:cs="宋体"/>
          <w:spacing w:val="-1"/>
          <w:sz w:val="24"/>
          <w:szCs w:val="24"/>
        </w:rPr>
        <w:t>。</w:t>
      </w:r>
    </w:p>
    <w:p w14:paraId="6D393BE9">
      <w:pPr>
        <w:spacing w:before="122" w:line="227" w:lineRule="auto"/>
        <w:ind w:left="2431"/>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22"/>
          <w:sz w:val="20"/>
          <w:szCs w:val="20"/>
        </w:rPr>
        <w:t xml:space="preserve"> </w:t>
      </w:r>
      <w:r>
        <w:rPr>
          <w:rFonts w:ascii="Times New Roman" w:hAnsi="Times New Roman" w:eastAsia="Times New Roman" w:cs="Times New Roman"/>
          <w:spacing w:val="5"/>
          <w:sz w:val="20"/>
          <w:szCs w:val="20"/>
        </w:rPr>
        <w:t xml:space="preserve">8.1-13        </w:t>
      </w:r>
      <w:r>
        <w:rPr>
          <w:rFonts w:ascii="宋体" w:hAnsi="宋体" w:eastAsia="宋体" w:cs="宋体"/>
          <w:spacing w:val="5"/>
          <w:sz w:val="20"/>
          <w:szCs w:val="20"/>
        </w:rPr>
        <w:t>污染源非正常排放核算表</w:t>
      </w:r>
    </w:p>
    <w:p w14:paraId="0A4AFD06">
      <w:pPr>
        <w:spacing w:line="145" w:lineRule="auto"/>
        <w:rPr>
          <w:rFonts w:ascii="Arial"/>
          <w:sz w:val="2"/>
        </w:rPr>
      </w:pPr>
    </w:p>
    <w:tbl>
      <w:tblPr>
        <w:tblStyle w:val="5"/>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9"/>
        <w:gridCol w:w="1485"/>
        <w:gridCol w:w="873"/>
        <w:gridCol w:w="1157"/>
        <w:gridCol w:w="1184"/>
        <w:gridCol w:w="891"/>
        <w:gridCol w:w="911"/>
        <w:gridCol w:w="1602"/>
      </w:tblGrid>
      <w:tr w14:paraId="223DC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429" w:type="dxa"/>
            <w:textDirection w:val="tbRlV"/>
            <w:vAlign w:val="top"/>
          </w:tcPr>
          <w:p w14:paraId="5C249705">
            <w:pPr>
              <w:pStyle w:val="6"/>
              <w:spacing w:before="106" w:line="218" w:lineRule="auto"/>
              <w:ind w:left="212"/>
            </w:pPr>
            <w:r>
              <w:rPr>
                <w:spacing w:val="6"/>
              </w:rPr>
              <w:t>序 号</w:t>
            </w:r>
          </w:p>
        </w:tc>
        <w:tc>
          <w:tcPr>
            <w:tcW w:w="1485" w:type="dxa"/>
            <w:vAlign w:val="top"/>
          </w:tcPr>
          <w:p w14:paraId="4A75BD06">
            <w:pPr>
              <w:spacing w:line="302" w:lineRule="auto"/>
              <w:rPr>
                <w:rFonts w:ascii="Arial"/>
                <w:sz w:val="21"/>
              </w:rPr>
            </w:pPr>
          </w:p>
          <w:p w14:paraId="66F41A3E">
            <w:pPr>
              <w:pStyle w:val="6"/>
              <w:spacing w:before="65" w:line="228" w:lineRule="auto"/>
              <w:ind w:left="433"/>
            </w:pPr>
            <w:r>
              <w:rPr>
                <w:spacing w:val="6"/>
              </w:rPr>
              <w:t>污染源</w:t>
            </w:r>
          </w:p>
        </w:tc>
        <w:tc>
          <w:tcPr>
            <w:tcW w:w="873" w:type="dxa"/>
            <w:vAlign w:val="top"/>
          </w:tcPr>
          <w:p w14:paraId="0555373E">
            <w:pPr>
              <w:spacing w:line="302" w:lineRule="auto"/>
              <w:rPr>
                <w:rFonts w:ascii="Arial"/>
                <w:sz w:val="21"/>
              </w:rPr>
            </w:pPr>
          </w:p>
          <w:p w14:paraId="44398203">
            <w:pPr>
              <w:pStyle w:val="6"/>
              <w:spacing w:before="65" w:line="228" w:lineRule="auto"/>
              <w:ind w:left="126"/>
            </w:pPr>
            <w:r>
              <w:rPr>
                <w:spacing w:val="6"/>
              </w:rPr>
              <w:t>污染物</w:t>
            </w:r>
          </w:p>
        </w:tc>
        <w:tc>
          <w:tcPr>
            <w:tcW w:w="1157" w:type="dxa"/>
            <w:vAlign w:val="top"/>
          </w:tcPr>
          <w:p w14:paraId="47AF1612">
            <w:pPr>
              <w:pStyle w:val="6"/>
              <w:spacing w:before="56" w:line="270" w:lineRule="auto"/>
              <w:ind w:left="121" w:right="90" w:firstLine="46"/>
              <w:jc w:val="both"/>
            </w:pPr>
            <w:r>
              <w:rPr>
                <w:spacing w:val="6"/>
              </w:rPr>
              <w:t>非正常排</w:t>
            </w:r>
            <w:r>
              <w:rPr>
                <w:spacing w:val="1"/>
              </w:rPr>
              <w:t xml:space="preserve"> </w:t>
            </w:r>
            <w:r>
              <w:rPr>
                <w:spacing w:val="15"/>
                <w:w w:val="120"/>
              </w:rPr>
              <w:t>放浓度</w:t>
            </w:r>
            <w:r>
              <w:t xml:space="preserve">  </w:t>
            </w:r>
            <w:r>
              <w:rPr>
                <w:spacing w:val="1"/>
              </w:rPr>
              <w:t>（</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spacing w:val="1"/>
              </w:rPr>
              <w:t>）</w:t>
            </w:r>
          </w:p>
        </w:tc>
        <w:tc>
          <w:tcPr>
            <w:tcW w:w="1184" w:type="dxa"/>
            <w:vAlign w:val="top"/>
          </w:tcPr>
          <w:p w14:paraId="1E194742">
            <w:pPr>
              <w:pStyle w:val="6"/>
              <w:spacing w:before="56" w:line="270" w:lineRule="auto"/>
              <w:ind w:left="209" w:right="173" w:hanging="30"/>
              <w:jc w:val="both"/>
            </w:pPr>
            <w:r>
              <w:rPr>
                <w:spacing w:val="6"/>
              </w:rPr>
              <w:t>非正常排</w:t>
            </w:r>
            <w:r>
              <w:rPr>
                <w:spacing w:val="1"/>
              </w:rPr>
              <w:t xml:space="preserve"> </w:t>
            </w:r>
            <w:r>
              <w:rPr>
                <w:spacing w:val="30"/>
              </w:rPr>
              <w:t>放速率</w:t>
            </w:r>
            <w:r>
              <w:t xml:space="preserve">  </w:t>
            </w:r>
            <w:r>
              <w:rPr>
                <w:spacing w:val="2"/>
              </w:rPr>
              <w:t>（</w:t>
            </w:r>
            <w:r>
              <w:rPr>
                <w:rFonts w:ascii="Times New Roman" w:hAnsi="Times New Roman" w:eastAsia="Times New Roman" w:cs="Times New Roman"/>
              </w:rPr>
              <w:t>kg</w:t>
            </w:r>
            <w:r>
              <w:rPr>
                <w:rFonts w:ascii="Times New Roman" w:hAnsi="Times New Roman" w:eastAsia="Times New Roman" w:cs="Times New Roman"/>
                <w:spacing w:val="2"/>
              </w:rPr>
              <w:t>/h</w:t>
            </w:r>
            <w:r>
              <w:rPr>
                <w:spacing w:val="2"/>
              </w:rPr>
              <w:t>）</w:t>
            </w:r>
          </w:p>
        </w:tc>
        <w:tc>
          <w:tcPr>
            <w:tcW w:w="891" w:type="dxa"/>
            <w:vAlign w:val="top"/>
          </w:tcPr>
          <w:p w14:paraId="6EB469E4">
            <w:pPr>
              <w:pStyle w:val="6"/>
              <w:spacing w:before="56" w:line="228" w:lineRule="auto"/>
              <w:ind w:left="138"/>
            </w:pPr>
            <w:r>
              <w:rPr>
                <w:spacing w:val="6"/>
              </w:rPr>
              <w:t>单次持</w:t>
            </w:r>
          </w:p>
          <w:p w14:paraId="627A6CB7">
            <w:pPr>
              <w:pStyle w:val="6"/>
              <w:spacing w:before="65" w:line="227" w:lineRule="auto"/>
              <w:ind w:left="139"/>
            </w:pPr>
            <w:r>
              <w:rPr>
                <w:spacing w:val="6"/>
              </w:rPr>
              <w:t>续时间</w:t>
            </w:r>
          </w:p>
          <w:p w14:paraId="05E04B00">
            <w:pPr>
              <w:pStyle w:val="6"/>
              <w:spacing w:before="65" w:line="234" w:lineRule="auto"/>
              <w:ind w:left="199"/>
            </w:pPr>
            <w:r>
              <w:rPr>
                <w:spacing w:val="-2"/>
              </w:rPr>
              <w:t>（</w:t>
            </w:r>
            <w:r>
              <w:rPr>
                <w:rFonts w:ascii="Times New Roman" w:hAnsi="Times New Roman" w:eastAsia="Times New Roman" w:cs="Times New Roman"/>
                <w:spacing w:val="-2"/>
              </w:rPr>
              <w:t>h</w:t>
            </w:r>
            <w:r>
              <w:rPr>
                <w:spacing w:val="-2"/>
              </w:rPr>
              <w:t>）</w:t>
            </w:r>
          </w:p>
        </w:tc>
        <w:tc>
          <w:tcPr>
            <w:tcW w:w="911" w:type="dxa"/>
            <w:vAlign w:val="top"/>
          </w:tcPr>
          <w:p w14:paraId="74529A58">
            <w:pPr>
              <w:pStyle w:val="6"/>
              <w:spacing w:before="56" w:line="228" w:lineRule="auto"/>
              <w:ind w:left="148"/>
            </w:pPr>
            <w:r>
              <w:rPr>
                <w:spacing w:val="6"/>
              </w:rPr>
              <w:t>年发生</w:t>
            </w:r>
          </w:p>
          <w:p w14:paraId="7B618C10">
            <w:pPr>
              <w:pStyle w:val="6"/>
              <w:spacing w:before="65" w:line="228" w:lineRule="auto"/>
              <w:ind w:left="254"/>
            </w:pPr>
            <w:r>
              <w:rPr>
                <w:spacing w:val="4"/>
              </w:rPr>
              <w:t>频次</w:t>
            </w:r>
          </w:p>
          <w:p w14:paraId="0CA1CA28">
            <w:pPr>
              <w:pStyle w:val="6"/>
              <w:spacing w:before="64" w:line="228" w:lineRule="auto"/>
              <w:ind w:left="158"/>
            </w:pPr>
            <w:r>
              <w:rPr>
                <w:spacing w:val="-1"/>
              </w:rPr>
              <w:t>（次）</w:t>
            </w:r>
          </w:p>
        </w:tc>
        <w:tc>
          <w:tcPr>
            <w:tcW w:w="1602" w:type="dxa"/>
            <w:vAlign w:val="top"/>
          </w:tcPr>
          <w:p w14:paraId="0704362E">
            <w:pPr>
              <w:spacing w:line="302" w:lineRule="auto"/>
              <w:rPr>
                <w:rFonts w:ascii="Arial"/>
                <w:sz w:val="21"/>
              </w:rPr>
            </w:pPr>
          </w:p>
          <w:p w14:paraId="7D70D7A9">
            <w:pPr>
              <w:pStyle w:val="6"/>
              <w:spacing w:before="65" w:line="228" w:lineRule="auto"/>
              <w:ind w:left="386"/>
            </w:pPr>
            <w:r>
              <w:rPr>
                <w:spacing w:val="7"/>
              </w:rPr>
              <w:t>应对措施</w:t>
            </w:r>
          </w:p>
        </w:tc>
      </w:tr>
      <w:tr w14:paraId="7EE5F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29" w:type="dxa"/>
            <w:vAlign w:val="top"/>
          </w:tcPr>
          <w:p w14:paraId="47B1CCB1">
            <w:pPr>
              <w:spacing w:before="245"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85" w:type="dxa"/>
            <w:vAlign w:val="top"/>
          </w:tcPr>
          <w:p w14:paraId="4BBB322D">
            <w:pPr>
              <w:pStyle w:val="6"/>
              <w:spacing w:before="53" w:line="227" w:lineRule="auto"/>
              <w:ind w:left="114"/>
            </w:pPr>
            <w:r>
              <w:rPr>
                <w:spacing w:val="8"/>
              </w:rPr>
              <w:t>粗碎车间排气</w:t>
            </w:r>
          </w:p>
          <w:p w14:paraId="1F0923AE">
            <w:pPr>
              <w:pStyle w:val="6"/>
              <w:spacing w:before="65" w:line="228" w:lineRule="auto"/>
              <w:ind w:left="564"/>
              <w:rPr>
                <w:rFonts w:ascii="Times New Roman" w:hAnsi="Times New Roman" w:eastAsia="Times New Roman" w:cs="Times New Roman"/>
              </w:rPr>
            </w:pPr>
            <w:r>
              <w:rPr>
                <w:spacing w:val="-2"/>
              </w:rPr>
              <w:t>筒</w:t>
            </w:r>
            <w:r>
              <w:rPr>
                <w:spacing w:val="-23"/>
              </w:rPr>
              <w:t xml:space="preserve"> </w:t>
            </w:r>
            <w:r>
              <w:rPr>
                <w:rFonts w:ascii="Times New Roman" w:hAnsi="Times New Roman" w:eastAsia="Times New Roman" w:cs="Times New Roman"/>
                <w:spacing w:val="-2"/>
              </w:rPr>
              <w:t>1</w:t>
            </w:r>
          </w:p>
        </w:tc>
        <w:tc>
          <w:tcPr>
            <w:tcW w:w="873" w:type="dxa"/>
            <w:vAlign w:val="top"/>
          </w:tcPr>
          <w:p w14:paraId="78F5B8DB">
            <w:pPr>
              <w:pStyle w:val="6"/>
              <w:spacing w:before="209" w:line="228" w:lineRule="auto"/>
              <w:ind w:left="124"/>
            </w:pPr>
            <w:r>
              <w:rPr>
                <w:spacing w:val="7"/>
              </w:rPr>
              <w:t>颗粒物</w:t>
            </w:r>
          </w:p>
        </w:tc>
        <w:tc>
          <w:tcPr>
            <w:tcW w:w="1157" w:type="dxa"/>
            <w:vAlign w:val="top"/>
          </w:tcPr>
          <w:p w14:paraId="3AADE6BA">
            <w:pPr>
              <w:spacing w:before="24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196.89</w:t>
            </w:r>
          </w:p>
        </w:tc>
        <w:tc>
          <w:tcPr>
            <w:tcW w:w="1184" w:type="dxa"/>
            <w:vAlign w:val="top"/>
          </w:tcPr>
          <w:p w14:paraId="0128848E">
            <w:pPr>
              <w:spacing w:before="24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w:t>
            </w:r>
          </w:p>
        </w:tc>
        <w:tc>
          <w:tcPr>
            <w:tcW w:w="891" w:type="dxa"/>
            <w:vAlign w:val="top"/>
          </w:tcPr>
          <w:p w14:paraId="4BF762DC">
            <w:pPr>
              <w:spacing w:before="245"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11" w:type="dxa"/>
            <w:vAlign w:val="top"/>
          </w:tcPr>
          <w:p w14:paraId="0470F72A">
            <w:pPr>
              <w:spacing w:before="245" w:line="195"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2" w:type="dxa"/>
            <w:vAlign w:val="top"/>
          </w:tcPr>
          <w:p w14:paraId="57BD5AED">
            <w:pPr>
              <w:pStyle w:val="6"/>
              <w:spacing w:before="53" w:line="228" w:lineRule="auto"/>
              <w:ind w:left="116"/>
            </w:pPr>
            <w:r>
              <w:rPr>
                <w:spacing w:val="-5"/>
              </w:rPr>
              <w:t>巡回检查，维修</w:t>
            </w:r>
          </w:p>
          <w:p w14:paraId="56E7E7F3">
            <w:pPr>
              <w:pStyle w:val="6"/>
              <w:spacing w:before="65" w:line="228" w:lineRule="auto"/>
              <w:ind w:left="116"/>
            </w:pPr>
            <w:r>
              <w:rPr>
                <w:spacing w:val="-5"/>
              </w:rPr>
              <w:t>保养，应急预案</w:t>
            </w:r>
          </w:p>
        </w:tc>
      </w:tr>
      <w:tr w14:paraId="595AE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29" w:type="dxa"/>
            <w:vAlign w:val="top"/>
          </w:tcPr>
          <w:p w14:paraId="7411999C">
            <w:pPr>
              <w:spacing w:before="24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85" w:type="dxa"/>
            <w:vAlign w:val="top"/>
          </w:tcPr>
          <w:p w14:paraId="60533239">
            <w:pPr>
              <w:pStyle w:val="6"/>
              <w:spacing w:before="54" w:line="227" w:lineRule="auto"/>
              <w:ind w:left="134"/>
            </w:pPr>
            <w:r>
              <w:rPr>
                <w:spacing w:val="4"/>
              </w:rPr>
              <w:t>中间堆场排气</w:t>
            </w:r>
          </w:p>
          <w:p w14:paraId="6AAD3A65">
            <w:pPr>
              <w:pStyle w:val="6"/>
              <w:spacing w:before="65" w:line="228" w:lineRule="auto"/>
              <w:ind w:left="564"/>
              <w:rPr>
                <w:rFonts w:ascii="Times New Roman" w:hAnsi="Times New Roman" w:eastAsia="Times New Roman" w:cs="Times New Roman"/>
              </w:rPr>
            </w:pPr>
            <w:r>
              <w:rPr>
                <w:spacing w:val="-2"/>
              </w:rPr>
              <w:t>筒</w:t>
            </w:r>
            <w:r>
              <w:rPr>
                <w:spacing w:val="-43"/>
              </w:rPr>
              <w:t xml:space="preserve"> </w:t>
            </w:r>
            <w:r>
              <w:rPr>
                <w:rFonts w:ascii="Times New Roman" w:hAnsi="Times New Roman" w:eastAsia="Times New Roman" w:cs="Times New Roman"/>
                <w:spacing w:val="-2"/>
              </w:rPr>
              <w:t>2</w:t>
            </w:r>
          </w:p>
        </w:tc>
        <w:tc>
          <w:tcPr>
            <w:tcW w:w="873" w:type="dxa"/>
            <w:vAlign w:val="top"/>
          </w:tcPr>
          <w:p w14:paraId="12BC86CE">
            <w:pPr>
              <w:pStyle w:val="6"/>
              <w:spacing w:before="210" w:line="228" w:lineRule="auto"/>
              <w:ind w:left="124"/>
            </w:pPr>
            <w:r>
              <w:rPr>
                <w:spacing w:val="7"/>
              </w:rPr>
              <w:t>颗粒物</w:t>
            </w:r>
          </w:p>
        </w:tc>
        <w:tc>
          <w:tcPr>
            <w:tcW w:w="1157" w:type="dxa"/>
            <w:vAlign w:val="top"/>
          </w:tcPr>
          <w:p w14:paraId="3A5D1C11">
            <w:pPr>
              <w:spacing w:before="24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257.64</w:t>
            </w:r>
          </w:p>
        </w:tc>
        <w:tc>
          <w:tcPr>
            <w:tcW w:w="1184" w:type="dxa"/>
            <w:vAlign w:val="top"/>
          </w:tcPr>
          <w:p w14:paraId="238B3911">
            <w:pPr>
              <w:spacing w:before="246"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4.64</w:t>
            </w:r>
          </w:p>
        </w:tc>
        <w:tc>
          <w:tcPr>
            <w:tcW w:w="891" w:type="dxa"/>
            <w:vAlign w:val="top"/>
          </w:tcPr>
          <w:p w14:paraId="6C3BE4BE">
            <w:pPr>
              <w:spacing w:before="246"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11" w:type="dxa"/>
            <w:vAlign w:val="top"/>
          </w:tcPr>
          <w:p w14:paraId="6D877382">
            <w:pPr>
              <w:spacing w:before="24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02" w:type="dxa"/>
            <w:vAlign w:val="top"/>
          </w:tcPr>
          <w:p w14:paraId="0DDFAA50">
            <w:pPr>
              <w:pStyle w:val="6"/>
              <w:spacing w:before="54" w:line="228" w:lineRule="auto"/>
              <w:ind w:left="116"/>
            </w:pPr>
            <w:r>
              <w:rPr>
                <w:spacing w:val="-5"/>
              </w:rPr>
              <w:t>巡回检查，维修</w:t>
            </w:r>
          </w:p>
          <w:p w14:paraId="138AB01C">
            <w:pPr>
              <w:pStyle w:val="6"/>
              <w:spacing w:before="65" w:line="228" w:lineRule="auto"/>
              <w:ind w:left="116"/>
            </w:pPr>
            <w:r>
              <w:rPr>
                <w:spacing w:val="-5"/>
              </w:rPr>
              <w:t>保养，应急预案</w:t>
            </w:r>
          </w:p>
        </w:tc>
      </w:tr>
    </w:tbl>
    <w:p w14:paraId="3ADD48F0">
      <w:pPr>
        <w:pStyle w:val="2"/>
      </w:pPr>
    </w:p>
    <w:p w14:paraId="02667337">
      <w:pPr>
        <w:sectPr>
          <w:footerReference r:id="rId238" w:type="default"/>
          <w:pgSz w:w="11906" w:h="16839"/>
          <w:pgMar w:top="1208" w:right="1684" w:bottom="1362" w:left="1684" w:header="825" w:footer="1200" w:gutter="0"/>
          <w:cols w:space="720" w:num="1"/>
        </w:sectPr>
      </w:pPr>
    </w:p>
    <w:p w14:paraId="575D2C87">
      <w:pPr>
        <w:pStyle w:val="2"/>
        <w:spacing w:line="347" w:lineRule="auto"/>
      </w:pPr>
    </w:p>
    <w:p w14:paraId="1D4355AC">
      <w:pPr>
        <w:pStyle w:val="2"/>
        <w:spacing w:line="348" w:lineRule="auto"/>
      </w:pPr>
    </w:p>
    <w:p w14:paraId="53C4A8F2">
      <w:pPr>
        <w:spacing w:before="65" w:line="223" w:lineRule="auto"/>
        <w:ind w:left="4911"/>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spacing w:val="5"/>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 xml:space="preserve">1-14        </w:t>
      </w:r>
      <w:r>
        <w:rPr>
          <w:rFonts w:ascii="宋体" w:hAnsi="宋体" w:eastAsia="宋体" w:cs="宋体"/>
          <w:spacing w:val="5"/>
          <w:sz w:val="20"/>
          <w:szCs w:val="20"/>
        </w:rPr>
        <w:t>建设项目大气环境影响评价自查表</w:t>
      </w: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2"/>
        <w:gridCol w:w="2680"/>
        <w:gridCol w:w="1417"/>
        <w:gridCol w:w="1129"/>
        <w:gridCol w:w="955"/>
        <w:gridCol w:w="329"/>
        <w:gridCol w:w="434"/>
        <w:gridCol w:w="1246"/>
        <w:gridCol w:w="228"/>
        <w:gridCol w:w="68"/>
        <w:gridCol w:w="274"/>
        <w:gridCol w:w="1029"/>
        <w:gridCol w:w="403"/>
        <w:gridCol w:w="262"/>
        <w:gridCol w:w="252"/>
        <w:gridCol w:w="769"/>
        <w:gridCol w:w="1322"/>
      </w:tblGrid>
      <w:tr w14:paraId="7EDFC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062" w:type="dxa"/>
            <w:gridSpan w:val="2"/>
            <w:vAlign w:val="top"/>
          </w:tcPr>
          <w:p w14:paraId="5571CB86">
            <w:pPr>
              <w:pStyle w:val="6"/>
              <w:spacing w:before="69" w:line="228" w:lineRule="auto"/>
              <w:ind w:left="1619"/>
            </w:pPr>
            <w:r>
              <w:rPr>
                <w:spacing w:val="6"/>
              </w:rPr>
              <w:t>工作内容</w:t>
            </w:r>
          </w:p>
        </w:tc>
        <w:tc>
          <w:tcPr>
            <w:tcW w:w="10117" w:type="dxa"/>
            <w:gridSpan w:val="15"/>
            <w:vAlign w:val="top"/>
          </w:tcPr>
          <w:p w14:paraId="26F273D2">
            <w:pPr>
              <w:pStyle w:val="6"/>
              <w:spacing w:before="70" w:line="228" w:lineRule="auto"/>
              <w:ind w:left="4676"/>
            </w:pPr>
            <w:r>
              <w:rPr>
                <w:spacing w:val="-2"/>
              </w:rPr>
              <w:t>自查项目</w:t>
            </w:r>
          </w:p>
        </w:tc>
      </w:tr>
      <w:tr w14:paraId="58C4C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restart"/>
            <w:tcBorders>
              <w:bottom w:val="nil"/>
            </w:tcBorders>
            <w:vAlign w:val="top"/>
          </w:tcPr>
          <w:p w14:paraId="28757533">
            <w:pPr>
              <w:pStyle w:val="6"/>
              <w:spacing w:before="105" w:line="226" w:lineRule="auto"/>
              <w:ind w:left="171"/>
            </w:pPr>
            <w:r>
              <w:rPr>
                <w:spacing w:val="8"/>
              </w:rPr>
              <w:t>评价等级与</w:t>
            </w:r>
          </w:p>
          <w:p w14:paraId="5670D9B5">
            <w:pPr>
              <w:pStyle w:val="6"/>
              <w:spacing w:before="26" w:line="228" w:lineRule="auto"/>
              <w:ind w:left="491"/>
            </w:pPr>
            <w:r>
              <w:rPr>
                <w:spacing w:val="2"/>
              </w:rPr>
              <w:t>范围</w:t>
            </w:r>
          </w:p>
        </w:tc>
        <w:tc>
          <w:tcPr>
            <w:tcW w:w="2680" w:type="dxa"/>
            <w:vAlign w:val="top"/>
          </w:tcPr>
          <w:p w14:paraId="57E2D9CB">
            <w:pPr>
              <w:pStyle w:val="6"/>
              <w:spacing w:before="66" w:line="226" w:lineRule="auto"/>
              <w:ind w:left="922"/>
            </w:pPr>
            <w:r>
              <w:rPr>
                <w:spacing w:val="7"/>
              </w:rPr>
              <w:t>评价等级</w:t>
            </w:r>
          </w:p>
        </w:tc>
        <w:tc>
          <w:tcPr>
            <w:tcW w:w="4264" w:type="dxa"/>
            <w:gridSpan w:val="5"/>
            <w:vAlign w:val="top"/>
          </w:tcPr>
          <w:p w14:paraId="7E0ABE76">
            <w:pPr>
              <w:pStyle w:val="6"/>
              <w:spacing w:before="66" w:line="188" w:lineRule="auto"/>
              <w:ind w:left="1837"/>
              <w:rPr>
                <w:rFonts w:ascii="微软雅黑" w:hAnsi="微软雅黑" w:eastAsia="微软雅黑" w:cs="微软雅黑"/>
              </w:rPr>
            </w:pPr>
            <w:r>
              <w:rPr>
                <w:spacing w:val="21"/>
              </w:rPr>
              <w:t>一级</w:t>
            </w:r>
            <w:r>
              <w:rPr>
                <w:rFonts w:ascii="微软雅黑" w:hAnsi="微软雅黑" w:eastAsia="微软雅黑" w:cs="微软雅黑"/>
                <w:spacing w:val="21"/>
              </w:rPr>
              <w:t>□</w:t>
            </w:r>
          </w:p>
        </w:tc>
        <w:tc>
          <w:tcPr>
            <w:tcW w:w="2845" w:type="dxa"/>
            <w:gridSpan w:val="5"/>
            <w:vAlign w:val="top"/>
          </w:tcPr>
          <w:p w14:paraId="1E3B67FE">
            <w:pPr>
              <w:pStyle w:val="6"/>
              <w:spacing w:before="67" w:line="183" w:lineRule="auto"/>
              <w:ind w:left="1127"/>
              <w:rPr>
                <w:rFonts w:ascii="微软雅黑" w:hAnsi="微软雅黑" w:eastAsia="微软雅黑" w:cs="微软雅黑"/>
              </w:rPr>
            </w:pPr>
            <w:r>
              <w:rPr>
                <w:spacing w:val="2"/>
              </w:rPr>
              <w:t>二级</w:t>
            </w:r>
            <w:r>
              <w:rPr>
                <w:rFonts w:ascii="微软雅黑" w:hAnsi="微软雅黑" w:eastAsia="微软雅黑" w:cs="微软雅黑"/>
                <w:spacing w:val="2"/>
              </w:rPr>
              <w:t>⑦</w:t>
            </w:r>
          </w:p>
        </w:tc>
        <w:tc>
          <w:tcPr>
            <w:tcW w:w="3008" w:type="dxa"/>
            <w:gridSpan w:val="5"/>
            <w:vAlign w:val="top"/>
          </w:tcPr>
          <w:p w14:paraId="70245D20">
            <w:pPr>
              <w:pStyle w:val="6"/>
              <w:spacing w:before="66" w:line="188" w:lineRule="auto"/>
              <w:ind w:left="1205"/>
              <w:rPr>
                <w:rFonts w:ascii="微软雅黑" w:hAnsi="微软雅黑" w:eastAsia="微软雅黑" w:cs="微软雅黑"/>
              </w:rPr>
            </w:pPr>
            <w:r>
              <w:rPr>
                <w:spacing w:val="22"/>
              </w:rPr>
              <w:t>三级</w:t>
            </w:r>
            <w:r>
              <w:rPr>
                <w:rFonts w:ascii="微软雅黑" w:hAnsi="微软雅黑" w:eastAsia="微软雅黑" w:cs="微软雅黑"/>
                <w:spacing w:val="22"/>
              </w:rPr>
              <w:t>□</w:t>
            </w:r>
          </w:p>
        </w:tc>
      </w:tr>
      <w:tr w14:paraId="0FDB8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tcBorders>
            <w:vAlign w:val="top"/>
          </w:tcPr>
          <w:p w14:paraId="550E611C">
            <w:pPr>
              <w:rPr>
                <w:rFonts w:ascii="Arial"/>
                <w:sz w:val="21"/>
              </w:rPr>
            </w:pPr>
          </w:p>
        </w:tc>
        <w:tc>
          <w:tcPr>
            <w:tcW w:w="2680" w:type="dxa"/>
            <w:vAlign w:val="top"/>
          </w:tcPr>
          <w:p w14:paraId="72A821A6">
            <w:pPr>
              <w:pStyle w:val="6"/>
              <w:spacing w:before="64" w:line="226" w:lineRule="auto"/>
              <w:ind w:left="922"/>
            </w:pPr>
            <w:r>
              <w:rPr>
                <w:spacing w:val="7"/>
              </w:rPr>
              <w:t>评价范围</w:t>
            </w:r>
          </w:p>
        </w:tc>
        <w:tc>
          <w:tcPr>
            <w:tcW w:w="4264" w:type="dxa"/>
            <w:gridSpan w:val="5"/>
            <w:vAlign w:val="top"/>
          </w:tcPr>
          <w:p w14:paraId="04B8EA91">
            <w:pPr>
              <w:pStyle w:val="6"/>
              <w:spacing w:before="26" w:line="216" w:lineRule="auto"/>
              <w:ind w:left="1533"/>
              <w:rPr>
                <w:rFonts w:ascii="微软雅黑" w:hAnsi="微软雅黑" w:eastAsia="微软雅黑" w:cs="微软雅黑"/>
              </w:rPr>
            </w:pPr>
            <w:r>
              <w:rPr>
                <w:spacing w:val="16"/>
              </w:rPr>
              <w:t>边长</w:t>
            </w:r>
            <w:r>
              <w:rPr>
                <w:rFonts w:ascii="Times New Roman" w:hAnsi="Times New Roman" w:eastAsia="Times New Roman" w:cs="Times New Roman"/>
                <w:spacing w:val="16"/>
              </w:rPr>
              <w:t>=50</w:t>
            </w:r>
            <w:r>
              <w:rPr>
                <w:rFonts w:ascii="Times New Roman" w:hAnsi="Times New Roman" w:eastAsia="Times New Roman" w:cs="Times New Roman"/>
              </w:rPr>
              <w:t>km</w:t>
            </w:r>
            <w:r>
              <w:rPr>
                <w:rFonts w:ascii="微软雅黑" w:hAnsi="微软雅黑" w:eastAsia="微软雅黑" w:cs="微软雅黑"/>
                <w:spacing w:val="16"/>
              </w:rPr>
              <w:t>□</w:t>
            </w:r>
          </w:p>
        </w:tc>
        <w:tc>
          <w:tcPr>
            <w:tcW w:w="2845" w:type="dxa"/>
            <w:gridSpan w:val="5"/>
            <w:vAlign w:val="top"/>
          </w:tcPr>
          <w:p w14:paraId="1CF3F35D">
            <w:pPr>
              <w:pStyle w:val="6"/>
              <w:spacing w:before="64" w:line="189" w:lineRule="auto"/>
              <w:ind w:left="701"/>
              <w:rPr>
                <w:rFonts w:ascii="微软雅黑" w:hAnsi="微软雅黑" w:eastAsia="微软雅黑" w:cs="微软雅黑"/>
              </w:rPr>
            </w:pPr>
            <w:r>
              <w:rPr>
                <w:spacing w:val="13"/>
              </w:rPr>
              <w:t>边长</w:t>
            </w:r>
            <w:r>
              <w:rPr>
                <w:spacing w:val="-35"/>
              </w:rPr>
              <w:t xml:space="preserve"> </w:t>
            </w:r>
            <w:r>
              <w:rPr>
                <w:rFonts w:ascii="Times New Roman" w:hAnsi="Times New Roman" w:eastAsia="Times New Roman" w:cs="Times New Roman"/>
                <w:spacing w:val="13"/>
              </w:rPr>
              <w:t>5</w:t>
            </w:r>
            <w:r>
              <w:rPr>
                <w:spacing w:val="13"/>
              </w:rPr>
              <w:t>～</w:t>
            </w:r>
            <w:r>
              <w:rPr>
                <w:rFonts w:ascii="Times New Roman" w:hAnsi="Times New Roman" w:eastAsia="Times New Roman" w:cs="Times New Roman"/>
                <w:spacing w:val="13"/>
              </w:rPr>
              <w:t>50</w:t>
            </w:r>
            <w:r>
              <w:rPr>
                <w:rFonts w:ascii="Times New Roman" w:hAnsi="Times New Roman" w:eastAsia="Times New Roman" w:cs="Times New Roman"/>
              </w:rPr>
              <w:t>km</w:t>
            </w:r>
            <w:r>
              <w:rPr>
                <w:rFonts w:ascii="微软雅黑" w:hAnsi="微软雅黑" w:eastAsia="微软雅黑" w:cs="微软雅黑"/>
                <w:spacing w:val="13"/>
              </w:rPr>
              <w:t>□</w:t>
            </w:r>
          </w:p>
        </w:tc>
        <w:tc>
          <w:tcPr>
            <w:tcW w:w="3008" w:type="dxa"/>
            <w:gridSpan w:val="5"/>
            <w:vAlign w:val="top"/>
          </w:tcPr>
          <w:p w14:paraId="5509D014">
            <w:pPr>
              <w:pStyle w:val="6"/>
              <w:spacing w:before="26" w:line="216" w:lineRule="auto"/>
              <w:ind w:left="959"/>
              <w:rPr>
                <w:rFonts w:ascii="微软雅黑" w:hAnsi="微软雅黑" w:eastAsia="微软雅黑" w:cs="微软雅黑"/>
              </w:rPr>
            </w:pPr>
            <w:r>
              <w:rPr>
                <w:spacing w:val="6"/>
              </w:rPr>
              <w:t>边长</w:t>
            </w:r>
            <w:r>
              <w:rPr>
                <w:rFonts w:ascii="Times New Roman" w:hAnsi="Times New Roman" w:eastAsia="Times New Roman" w:cs="Times New Roman"/>
                <w:spacing w:val="6"/>
              </w:rPr>
              <w:t>=5</w:t>
            </w:r>
            <w:r>
              <w:rPr>
                <w:rFonts w:ascii="Times New Roman" w:hAnsi="Times New Roman" w:eastAsia="Times New Roman" w:cs="Times New Roman"/>
              </w:rPr>
              <w:t>km</w:t>
            </w:r>
            <w:r>
              <w:rPr>
                <w:rFonts w:ascii="微软雅黑" w:hAnsi="微软雅黑" w:eastAsia="微软雅黑" w:cs="微软雅黑"/>
                <w:spacing w:val="6"/>
              </w:rPr>
              <w:t>⑦</w:t>
            </w:r>
          </w:p>
        </w:tc>
      </w:tr>
      <w:tr w14:paraId="5FD93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restart"/>
            <w:tcBorders>
              <w:bottom w:val="nil"/>
            </w:tcBorders>
            <w:vAlign w:val="top"/>
          </w:tcPr>
          <w:p w14:paraId="681D9128">
            <w:pPr>
              <w:spacing w:line="276" w:lineRule="auto"/>
              <w:rPr>
                <w:rFonts w:ascii="Arial"/>
                <w:sz w:val="21"/>
              </w:rPr>
            </w:pPr>
          </w:p>
          <w:p w14:paraId="642AEA1E">
            <w:pPr>
              <w:pStyle w:val="6"/>
              <w:spacing w:before="65" w:line="226" w:lineRule="auto"/>
              <w:ind w:left="276"/>
            </w:pPr>
            <w:r>
              <w:rPr>
                <w:spacing w:val="7"/>
              </w:rPr>
              <w:t>评价因子</w:t>
            </w:r>
          </w:p>
        </w:tc>
        <w:tc>
          <w:tcPr>
            <w:tcW w:w="2680" w:type="dxa"/>
            <w:vAlign w:val="top"/>
          </w:tcPr>
          <w:p w14:paraId="0DCF432A">
            <w:pPr>
              <w:pStyle w:val="6"/>
              <w:spacing w:before="64" w:line="229" w:lineRule="auto"/>
              <w:ind w:left="549"/>
            </w:pPr>
            <w:r>
              <w:rPr>
                <w:rFonts w:ascii="Times New Roman" w:hAnsi="Times New Roman" w:eastAsia="Times New Roman" w:cs="Times New Roman"/>
              </w:rPr>
              <w:t>SO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8"/>
              </w:rPr>
              <w:t xml:space="preserve">+ </w:t>
            </w:r>
            <w:r>
              <w:rPr>
                <w:rFonts w:ascii="Times New Roman" w:hAnsi="Times New Roman" w:eastAsia="Times New Roman" w:cs="Times New Roman"/>
              </w:rPr>
              <w:t>NOx</w:t>
            </w:r>
            <w:r>
              <w:rPr>
                <w:rFonts w:ascii="Times New Roman" w:hAnsi="Times New Roman" w:eastAsia="Times New Roman" w:cs="Times New Roman"/>
                <w:spacing w:val="8"/>
              </w:rPr>
              <w:t xml:space="preserve"> </w:t>
            </w:r>
            <w:r>
              <w:rPr>
                <w:spacing w:val="8"/>
              </w:rPr>
              <w:t>排放量</w:t>
            </w:r>
          </w:p>
        </w:tc>
        <w:tc>
          <w:tcPr>
            <w:tcW w:w="4264" w:type="dxa"/>
            <w:gridSpan w:val="5"/>
            <w:vAlign w:val="top"/>
          </w:tcPr>
          <w:p w14:paraId="5FF5B201">
            <w:pPr>
              <w:spacing w:before="99" w:line="199" w:lineRule="auto"/>
              <w:ind w:left="1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≥2000t/a□</w:t>
            </w:r>
          </w:p>
        </w:tc>
        <w:tc>
          <w:tcPr>
            <w:tcW w:w="2845" w:type="dxa"/>
            <w:gridSpan w:val="5"/>
            <w:vAlign w:val="top"/>
          </w:tcPr>
          <w:p w14:paraId="545A7F3E">
            <w:pPr>
              <w:pStyle w:val="6"/>
              <w:spacing w:before="64" w:line="189" w:lineRule="auto"/>
              <w:ind w:left="759"/>
              <w:rPr>
                <w:rFonts w:ascii="微软雅黑" w:hAnsi="微软雅黑" w:eastAsia="微软雅黑" w:cs="微软雅黑"/>
              </w:rPr>
            </w:pPr>
            <w:r>
              <w:rPr>
                <w:rFonts w:ascii="Times New Roman" w:hAnsi="Times New Roman" w:eastAsia="Times New Roman" w:cs="Times New Roman"/>
                <w:spacing w:val="8"/>
              </w:rPr>
              <w:t>500</w:t>
            </w:r>
            <w:r>
              <w:rPr>
                <w:spacing w:val="8"/>
              </w:rPr>
              <w:t>～</w:t>
            </w:r>
            <w:r>
              <w:rPr>
                <w:rFonts w:ascii="Times New Roman" w:hAnsi="Times New Roman" w:eastAsia="Times New Roman" w:cs="Times New Roman"/>
                <w:spacing w:val="8"/>
              </w:rPr>
              <w:t>2000t/a</w:t>
            </w:r>
            <w:r>
              <w:rPr>
                <w:rFonts w:ascii="微软雅黑" w:hAnsi="微软雅黑" w:eastAsia="微软雅黑" w:cs="微软雅黑"/>
                <w:spacing w:val="8"/>
              </w:rPr>
              <w:t>□</w:t>
            </w:r>
          </w:p>
        </w:tc>
        <w:tc>
          <w:tcPr>
            <w:tcW w:w="3008" w:type="dxa"/>
            <w:gridSpan w:val="5"/>
            <w:vAlign w:val="top"/>
          </w:tcPr>
          <w:p w14:paraId="0651DBFC">
            <w:pPr>
              <w:pStyle w:val="6"/>
              <w:spacing w:before="64" w:line="189" w:lineRule="auto"/>
              <w:ind w:left="1062"/>
              <w:rPr>
                <w:rFonts w:ascii="微软雅黑" w:hAnsi="微软雅黑" w:eastAsia="微软雅黑" w:cs="微软雅黑"/>
              </w:rPr>
            </w:pPr>
            <w:r>
              <w:rPr>
                <w:spacing w:val="20"/>
              </w:rPr>
              <w:t>&lt;</w:t>
            </w:r>
            <w:r>
              <w:rPr>
                <w:rFonts w:ascii="Times New Roman" w:hAnsi="Times New Roman" w:eastAsia="Times New Roman" w:cs="Times New Roman"/>
                <w:spacing w:val="20"/>
              </w:rPr>
              <w:t>500t/a</w:t>
            </w:r>
            <w:r>
              <w:rPr>
                <w:rFonts w:ascii="微软雅黑" w:hAnsi="微软雅黑" w:eastAsia="微软雅黑" w:cs="微软雅黑"/>
                <w:spacing w:val="20"/>
              </w:rPr>
              <w:t>□</w:t>
            </w:r>
          </w:p>
        </w:tc>
      </w:tr>
      <w:tr w14:paraId="4DE04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2" w:type="dxa"/>
            <w:vMerge w:val="continue"/>
            <w:tcBorders>
              <w:top w:val="nil"/>
            </w:tcBorders>
            <w:vAlign w:val="top"/>
          </w:tcPr>
          <w:p w14:paraId="2B9E727F">
            <w:pPr>
              <w:rPr>
                <w:rFonts w:ascii="Arial"/>
                <w:sz w:val="21"/>
              </w:rPr>
            </w:pPr>
          </w:p>
        </w:tc>
        <w:tc>
          <w:tcPr>
            <w:tcW w:w="2680" w:type="dxa"/>
            <w:vAlign w:val="top"/>
          </w:tcPr>
          <w:p w14:paraId="0432CE66">
            <w:pPr>
              <w:pStyle w:val="6"/>
              <w:spacing w:before="168" w:line="226" w:lineRule="auto"/>
              <w:ind w:left="922"/>
            </w:pPr>
            <w:r>
              <w:rPr>
                <w:spacing w:val="7"/>
              </w:rPr>
              <w:t>评价因子</w:t>
            </w:r>
          </w:p>
        </w:tc>
        <w:tc>
          <w:tcPr>
            <w:tcW w:w="5738" w:type="dxa"/>
            <w:gridSpan w:val="7"/>
            <w:vAlign w:val="top"/>
          </w:tcPr>
          <w:p w14:paraId="3AFE3A6E">
            <w:pPr>
              <w:pStyle w:val="6"/>
              <w:spacing w:before="31" w:line="227" w:lineRule="auto"/>
              <w:ind w:left="542"/>
            </w:pPr>
            <w:r>
              <w:rPr>
                <w:spacing w:val="4"/>
              </w:rPr>
              <w:t>基本污染物（</w:t>
            </w:r>
            <w:r>
              <w:rPr>
                <w:rFonts w:ascii="Times New Roman" w:hAnsi="Times New Roman" w:eastAsia="Times New Roman" w:cs="Times New Roman"/>
              </w:rPr>
              <w:t>SO</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7"/>
                <w:position w:val="-1"/>
                <w:sz w:val="13"/>
                <w:szCs w:val="13"/>
              </w:rPr>
              <w:t xml:space="preserve"> </w:t>
            </w:r>
            <w:r>
              <w:rPr>
                <w:spacing w:val="4"/>
              </w:rPr>
              <w:t>、</w:t>
            </w:r>
            <w:r>
              <w:rPr>
                <w:rFonts w:ascii="Times New Roman" w:hAnsi="Times New Roman" w:eastAsia="Times New Roman" w:cs="Times New Roman"/>
              </w:rPr>
              <w:t>NO</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11"/>
                <w:position w:val="-1"/>
                <w:sz w:val="13"/>
                <w:szCs w:val="13"/>
              </w:rPr>
              <w:t xml:space="preserve"> </w:t>
            </w:r>
            <w:r>
              <w:rPr>
                <w:spacing w:val="4"/>
              </w:rPr>
              <w:t>、</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10</w:t>
            </w:r>
            <w:r>
              <w:rPr>
                <w:rFonts w:ascii="Times New Roman" w:hAnsi="Times New Roman" w:eastAsia="Times New Roman" w:cs="Times New Roman"/>
                <w:spacing w:val="-11"/>
                <w:position w:val="-1"/>
                <w:sz w:val="13"/>
                <w:szCs w:val="13"/>
              </w:rPr>
              <w:t xml:space="preserve"> </w:t>
            </w:r>
            <w:r>
              <w:rPr>
                <w:spacing w:val="4"/>
              </w:rPr>
              <w:t>、</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Times New Roman" w:hAnsi="Times New Roman" w:eastAsia="Times New Roman" w:cs="Times New Roman"/>
                <w:spacing w:val="-9"/>
                <w:position w:val="-1"/>
                <w:sz w:val="13"/>
                <w:szCs w:val="13"/>
              </w:rPr>
              <w:t xml:space="preserve"> </w:t>
            </w:r>
            <w:r>
              <w:rPr>
                <w:spacing w:val="4"/>
              </w:rPr>
              <w:t>、</w:t>
            </w:r>
            <w:r>
              <w:rPr>
                <w:rFonts w:ascii="Times New Roman" w:hAnsi="Times New Roman" w:eastAsia="Times New Roman" w:cs="Times New Roman"/>
              </w:rPr>
              <w:t>CO</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3"/>
                <w:szCs w:val="13"/>
              </w:rPr>
              <w:t>3</w:t>
            </w:r>
            <w:r>
              <w:rPr>
                <w:spacing w:val="4"/>
              </w:rPr>
              <w:t>）</w:t>
            </w:r>
          </w:p>
          <w:p w14:paraId="296FDB44">
            <w:pPr>
              <w:pStyle w:val="6"/>
              <w:spacing w:before="27" w:line="216" w:lineRule="auto"/>
              <w:ind w:left="1954"/>
            </w:pPr>
            <w:r>
              <w:rPr>
                <w:spacing w:val="9"/>
              </w:rPr>
              <w:t>其他污染物（</w:t>
            </w:r>
            <w:r>
              <w:rPr>
                <w:rFonts w:ascii="Times New Roman" w:hAnsi="Times New Roman" w:eastAsia="Times New Roman" w:cs="Times New Roman"/>
              </w:rPr>
              <w:t>TSP</w:t>
            </w:r>
            <w:r>
              <w:rPr>
                <w:spacing w:val="9"/>
              </w:rPr>
              <w:t>）</w:t>
            </w:r>
          </w:p>
        </w:tc>
        <w:tc>
          <w:tcPr>
            <w:tcW w:w="4379" w:type="dxa"/>
            <w:gridSpan w:val="8"/>
            <w:vAlign w:val="top"/>
          </w:tcPr>
          <w:p w14:paraId="4E830187">
            <w:pPr>
              <w:pStyle w:val="6"/>
              <w:spacing w:before="31" w:line="202" w:lineRule="auto"/>
              <w:ind w:left="1312" w:right="1312" w:firstLine="131"/>
              <w:rPr>
                <w:rFonts w:ascii="微软雅黑" w:hAnsi="微软雅黑" w:eastAsia="微软雅黑" w:cs="微软雅黑"/>
              </w:rPr>
            </w:pPr>
            <w:r>
              <w:rPr>
                <w:spacing w:val="4"/>
              </w:rPr>
              <w:t>包括二次</w:t>
            </w:r>
            <w:r>
              <w:rPr>
                <w:spacing w:val="-38"/>
              </w:rPr>
              <w:t xml:space="preserve"> </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Times New Roman" w:hAnsi="Times New Roman" w:eastAsia="Times New Roman" w:cs="Times New Roman"/>
                <w:spacing w:val="-17"/>
                <w:position w:val="-1"/>
                <w:sz w:val="13"/>
                <w:szCs w:val="13"/>
              </w:rPr>
              <w:t xml:space="preserve"> </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4"/>
              </w:rPr>
              <w:t>不包括二次</w:t>
            </w:r>
            <w:r>
              <w:rPr>
                <w:spacing w:val="-40"/>
              </w:rPr>
              <w:t xml:space="preserve"> </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微软雅黑" w:hAnsi="微软雅黑" w:eastAsia="微软雅黑" w:cs="微软雅黑"/>
                <w:spacing w:val="4"/>
              </w:rPr>
              <w:t>⑦</w:t>
            </w:r>
          </w:p>
        </w:tc>
      </w:tr>
      <w:tr w14:paraId="3FD10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Align w:val="top"/>
          </w:tcPr>
          <w:p w14:paraId="083134E5">
            <w:pPr>
              <w:pStyle w:val="6"/>
              <w:spacing w:before="65" w:line="226" w:lineRule="auto"/>
              <w:ind w:left="276"/>
            </w:pPr>
            <w:r>
              <w:rPr>
                <w:spacing w:val="7"/>
              </w:rPr>
              <w:t>评价标准</w:t>
            </w:r>
          </w:p>
        </w:tc>
        <w:tc>
          <w:tcPr>
            <w:tcW w:w="2680" w:type="dxa"/>
            <w:vAlign w:val="top"/>
          </w:tcPr>
          <w:p w14:paraId="2FB12D72">
            <w:pPr>
              <w:pStyle w:val="6"/>
              <w:spacing w:before="65" w:line="226" w:lineRule="auto"/>
              <w:ind w:left="922"/>
            </w:pPr>
            <w:r>
              <w:rPr>
                <w:spacing w:val="7"/>
              </w:rPr>
              <w:t>评价标准</w:t>
            </w:r>
          </w:p>
        </w:tc>
        <w:tc>
          <w:tcPr>
            <w:tcW w:w="3501" w:type="dxa"/>
            <w:gridSpan w:val="3"/>
            <w:vAlign w:val="top"/>
          </w:tcPr>
          <w:p w14:paraId="1B8F172F">
            <w:pPr>
              <w:pStyle w:val="6"/>
              <w:spacing w:before="66" w:line="183" w:lineRule="auto"/>
              <w:ind w:left="1261"/>
              <w:rPr>
                <w:rFonts w:ascii="微软雅黑" w:hAnsi="微软雅黑" w:eastAsia="微软雅黑" w:cs="微软雅黑"/>
              </w:rPr>
            </w:pPr>
            <w:r>
              <w:rPr>
                <w:spacing w:val="1"/>
              </w:rPr>
              <w:t>国家标准</w:t>
            </w:r>
            <w:r>
              <w:rPr>
                <w:rFonts w:ascii="微软雅黑" w:hAnsi="微软雅黑" w:eastAsia="微软雅黑" w:cs="微软雅黑"/>
                <w:spacing w:val="1"/>
              </w:rPr>
              <w:t>⑦</w:t>
            </w:r>
          </w:p>
        </w:tc>
        <w:tc>
          <w:tcPr>
            <w:tcW w:w="2237" w:type="dxa"/>
            <w:gridSpan w:val="4"/>
            <w:vAlign w:val="top"/>
          </w:tcPr>
          <w:p w14:paraId="40FC662E">
            <w:pPr>
              <w:pStyle w:val="6"/>
              <w:spacing w:before="66" w:line="228" w:lineRule="auto"/>
              <w:ind w:left="634"/>
              <w:rPr>
                <w:rFonts w:ascii="Times New Roman" w:hAnsi="Times New Roman" w:eastAsia="Times New Roman" w:cs="Times New Roman"/>
              </w:rPr>
            </w:pPr>
            <w:r>
              <w:rPr>
                <w:spacing w:val="7"/>
              </w:rPr>
              <w:t>地方标准</w:t>
            </w:r>
            <w:r>
              <w:rPr>
                <w:rFonts w:ascii="Times New Roman" w:hAnsi="Times New Roman" w:eastAsia="Times New Roman" w:cs="Times New Roman"/>
                <w:spacing w:val="7"/>
              </w:rPr>
              <w:t>□</w:t>
            </w:r>
          </w:p>
        </w:tc>
        <w:tc>
          <w:tcPr>
            <w:tcW w:w="2036" w:type="dxa"/>
            <w:gridSpan w:val="5"/>
            <w:vAlign w:val="top"/>
          </w:tcPr>
          <w:p w14:paraId="04BD00FB">
            <w:pPr>
              <w:pStyle w:val="6"/>
              <w:spacing w:before="65" w:line="227" w:lineRule="auto"/>
              <w:ind w:left="655"/>
              <w:rPr>
                <w:rFonts w:ascii="Times New Roman" w:hAnsi="Times New Roman" w:eastAsia="Times New Roman" w:cs="Times New Roman"/>
              </w:rPr>
            </w:pPr>
            <w:r>
              <w:rPr>
                <w:spacing w:val="1"/>
              </w:rPr>
              <w:t>附录</w:t>
            </w:r>
            <w:r>
              <w:rPr>
                <w:spacing w:val="-44"/>
              </w:rPr>
              <w:t xml:space="preserve"> </w:t>
            </w:r>
            <w:r>
              <w:rPr>
                <w:rFonts w:ascii="Times New Roman" w:hAnsi="Times New Roman" w:eastAsia="Times New Roman" w:cs="Times New Roman"/>
                <w:spacing w:val="1"/>
              </w:rPr>
              <w:t>D□</w:t>
            </w:r>
          </w:p>
        </w:tc>
        <w:tc>
          <w:tcPr>
            <w:tcW w:w="2343" w:type="dxa"/>
            <w:gridSpan w:val="3"/>
            <w:vAlign w:val="top"/>
          </w:tcPr>
          <w:p w14:paraId="33779E04">
            <w:pPr>
              <w:pStyle w:val="6"/>
              <w:spacing w:before="66" w:line="228" w:lineRule="auto"/>
              <w:ind w:left="689"/>
              <w:rPr>
                <w:rFonts w:ascii="Times New Roman" w:hAnsi="Times New Roman" w:eastAsia="Times New Roman" w:cs="Times New Roman"/>
              </w:rPr>
            </w:pPr>
            <w:r>
              <w:rPr>
                <w:spacing w:val="7"/>
              </w:rPr>
              <w:t>其他标准</w:t>
            </w:r>
            <w:r>
              <w:rPr>
                <w:rFonts w:ascii="Times New Roman" w:hAnsi="Times New Roman" w:eastAsia="Times New Roman" w:cs="Times New Roman"/>
                <w:spacing w:val="7"/>
              </w:rPr>
              <w:t>□</w:t>
            </w:r>
          </w:p>
        </w:tc>
      </w:tr>
      <w:tr w14:paraId="6A906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restart"/>
            <w:tcBorders>
              <w:bottom w:val="nil"/>
            </w:tcBorders>
            <w:vAlign w:val="top"/>
          </w:tcPr>
          <w:p w14:paraId="4A55A76B">
            <w:pPr>
              <w:spacing w:line="311" w:lineRule="auto"/>
              <w:rPr>
                <w:rFonts w:ascii="Arial"/>
                <w:sz w:val="21"/>
              </w:rPr>
            </w:pPr>
          </w:p>
          <w:p w14:paraId="37A191EC">
            <w:pPr>
              <w:spacing w:line="312" w:lineRule="auto"/>
              <w:rPr>
                <w:rFonts w:ascii="Arial"/>
                <w:sz w:val="21"/>
              </w:rPr>
            </w:pPr>
          </w:p>
          <w:p w14:paraId="4D1B5A30">
            <w:pPr>
              <w:pStyle w:val="6"/>
              <w:spacing w:before="65" w:line="226" w:lineRule="auto"/>
              <w:ind w:left="279"/>
            </w:pPr>
            <w:r>
              <w:rPr>
                <w:spacing w:val="6"/>
              </w:rPr>
              <w:t>现状评价</w:t>
            </w:r>
          </w:p>
        </w:tc>
        <w:tc>
          <w:tcPr>
            <w:tcW w:w="2680" w:type="dxa"/>
            <w:vAlign w:val="top"/>
          </w:tcPr>
          <w:p w14:paraId="282A3B6D">
            <w:pPr>
              <w:pStyle w:val="6"/>
              <w:spacing w:before="66" w:line="228" w:lineRule="auto"/>
              <w:ind w:left="818"/>
            </w:pPr>
            <w:r>
              <w:rPr>
                <w:spacing w:val="8"/>
              </w:rPr>
              <w:t>环境功能区</w:t>
            </w:r>
          </w:p>
        </w:tc>
        <w:tc>
          <w:tcPr>
            <w:tcW w:w="4264" w:type="dxa"/>
            <w:gridSpan w:val="5"/>
            <w:vAlign w:val="top"/>
          </w:tcPr>
          <w:p w14:paraId="09DA1274">
            <w:pPr>
              <w:pStyle w:val="6"/>
              <w:spacing w:before="65" w:line="228" w:lineRule="auto"/>
              <w:ind w:left="1763"/>
              <w:rPr>
                <w:rFonts w:ascii="Times New Roman" w:hAnsi="Times New Roman" w:eastAsia="Times New Roman" w:cs="Times New Roman"/>
              </w:rPr>
            </w:pPr>
            <w:r>
              <w:rPr>
                <w:spacing w:val="5"/>
              </w:rPr>
              <w:t>一类区</w:t>
            </w:r>
            <w:r>
              <w:rPr>
                <w:rFonts w:ascii="Times New Roman" w:hAnsi="Times New Roman" w:eastAsia="Times New Roman" w:cs="Times New Roman"/>
                <w:spacing w:val="5"/>
              </w:rPr>
              <w:t>□</w:t>
            </w:r>
          </w:p>
        </w:tc>
        <w:tc>
          <w:tcPr>
            <w:tcW w:w="2845" w:type="dxa"/>
            <w:gridSpan w:val="5"/>
            <w:vAlign w:val="top"/>
          </w:tcPr>
          <w:p w14:paraId="687CA202">
            <w:pPr>
              <w:pStyle w:val="6"/>
              <w:spacing w:before="66" w:line="183" w:lineRule="auto"/>
              <w:ind w:left="1022"/>
              <w:rPr>
                <w:rFonts w:ascii="微软雅黑" w:hAnsi="微软雅黑" w:eastAsia="微软雅黑" w:cs="微软雅黑"/>
              </w:rPr>
            </w:pPr>
            <w:r>
              <w:rPr>
                <w:spacing w:val="4"/>
              </w:rPr>
              <w:t>二类区</w:t>
            </w:r>
            <w:r>
              <w:rPr>
                <w:rFonts w:ascii="微软雅黑" w:hAnsi="微软雅黑" w:eastAsia="微软雅黑" w:cs="微软雅黑"/>
                <w:spacing w:val="4"/>
              </w:rPr>
              <w:t>⑦</w:t>
            </w:r>
          </w:p>
        </w:tc>
        <w:tc>
          <w:tcPr>
            <w:tcW w:w="3008" w:type="dxa"/>
            <w:gridSpan w:val="5"/>
            <w:vAlign w:val="top"/>
          </w:tcPr>
          <w:p w14:paraId="09D23FAF">
            <w:pPr>
              <w:pStyle w:val="6"/>
              <w:spacing w:before="66" w:line="188" w:lineRule="auto"/>
              <w:ind w:left="685"/>
              <w:rPr>
                <w:rFonts w:ascii="微软雅黑" w:hAnsi="微软雅黑" w:eastAsia="微软雅黑" w:cs="微软雅黑"/>
              </w:rPr>
            </w:pPr>
            <w:r>
              <w:rPr>
                <w:spacing w:val="14"/>
              </w:rPr>
              <w:t>一类区和二类区</w:t>
            </w:r>
            <w:r>
              <w:rPr>
                <w:rFonts w:ascii="微软雅黑" w:hAnsi="微软雅黑" w:eastAsia="微软雅黑" w:cs="微软雅黑"/>
                <w:spacing w:val="14"/>
              </w:rPr>
              <w:t>□</w:t>
            </w:r>
          </w:p>
        </w:tc>
      </w:tr>
      <w:tr w14:paraId="19A5F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19B284DB">
            <w:pPr>
              <w:rPr>
                <w:rFonts w:ascii="Arial"/>
                <w:sz w:val="21"/>
              </w:rPr>
            </w:pPr>
          </w:p>
        </w:tc>
        <w:tc>
          <w:tcPr>
            <w:tcW w:w="2680" w:type="dxa"/>
            <w:vAlign w:val="top"/>
          </w:tcPr>
          <w:p w14:paraId="01B1F182">
            <w:pPr>
              <w:pStyle w:val="6"/>
              <w:spacing w:before="66" w:line="226" w:lineRule="auto"/>
              <w:ind w:left="817"/>
            </w:pPr>
            <w:r>
              <w:rPr>
                <w:spacing w:val="8"/>
              </w:rPr>
              <w:t>评价基准年</w:t>
            </w:r>
          </w:p>
        </w:tc>
        <w:tc>
          <w:tcPr>
            <w:tcW w:w="10117" w:type="dxa"/>
            <w:gridSpan w:val="15"/>
            <w:vAlign w:val="top"/>
          </w:tcPr>
          <w:p w14:paraId="4DC75751">
            <w:pPr>
              <w:pStyle w:val="6"/>
              <w:spacing w:before="66" w:line="228" w:lineRule="auto"/>
              <w:ind w:left="4549"/>
            </w:pPr>
            <w:r>
              <w:rPr>
                <w:spacing w:val="4"/>
              </w:rPr>
              <w:t>（</w:t>
            </w:r>
            <w:r>
              <w:rPr>
                <w:rFonts w:ascii="Times New Roman" w:hAnsi="Times New Roman" w:eastAsia="Times New Roman" w:cs="Times New Roman"/>
                <w:spacing w:val="4"/>
              </w:rPr>
              <w:t>2021</w:t>
            </w:r>
            <w:r>
              <w:rPr>
                <w:spacing w:val="4"/>
              </w:rPr>
              <w:t>）年</w:t>
            </w:r>
          </w:p>
        </w:tc>
      </w:tr>
      <w:tr w14:paraId="26AC2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2" w:type="dxa"/>
            <w:vMerge w:val="continue"/>
            <w:tcBorders>
              <w:top w:val="nil"/>
              <w:bottom w:val="nil"/>
            </w:tcBorders>
            <w:vAlign w:val="top"/>
          </w:tcPr>
          <w:p w14:paraId="13162AA7">
            <w:pPr>
              <w:rPr>
                <w:rFonts w:ascii="Arial"/>
                <w:sz w:val="21"/>
              </w:rPr>
            </w:pPr>
          </w:p>
        </w:tc>
        <w:tc>
          <w:tcPr>
            <w:tcW w:w="2680" w:type="dxa"/>
            <w:vAlign w:val="top"/>
          </w:tcPr>
          <w:p w14:paraId="39D7D5CA">
            <w:pPr>
              <w:pStyle w:val="6"/>
              <w:spacing w:before="33" w:line="228" w:lineRule="auto"/>
              <w:ind w:left="714"/>
            </w:pPr>
            <w:r>
              <w:rPr>
                <w:spacing w:val="8"/>
              </w:rPr>
              <w:t>环境空气质量</w:t>
            </w:r>
          </w:p>
          <w:p w14:paraId="6F225BEF">
            <w:pPr>
              <w:pStyle w:val="6"/>
              <w:spacing w:before="24" w:line="216" w:lineRule="auto"/>
              <w:ind w:left="505"/>
            </w:pPr>
            <w:r>
              <w:rPr>
                <w:spacing w:val="8"/>
              </w:rPr>
              <w:t>现状调查数据来源</w:t>
            </w:r>
          </w:p>
        </w:tc>
        <w:tc>
          <w:tcPr>
            <w:tcW w:w="4264" w:type="dxa"/>
            <w:gridSpan w:val="5"/>
            <w:vAlign w:val="top"/>
          </w:tcPr>
          <w:p w14:paraId="30F3DCF5">
            <w:pPr>
              <w:pStyle w:val="6"/>
              <w:spacing w:before="167" w:line="228" w:lineRule="auto"/>
              <w:ind w:left="1234"/>
              <w:rPr>
                <w:rFonts w:ascii="Times New Roman" w:hAnsi="Times New Roman" w:eastAsia="Times New Roman" w:cs="Times New Roman"/>
              </w:rPr>
            </w:pPr>
            <w:r>
              <w:rPr>
                <w:spacing w:val="8"/>
              </w:rPr>
              <w:t>长期例行监测数据</w:t>
            </w:r>
            <w:r>
              <w:rPr>
                <w:rFonts w:ascii="Times New Roman" w:hAnsi="Times New Roman" w:eastAsia="Times New Roman" w:cs="Times New Roman"/>
                <w:spacing w:val="8"/>
              </w:rPr>
              <w:t>□</w:t>
            </w:r>
          </w:p>
        </w:tc>
        <w:tc>
          <w:tcPr>
            <w:tcW w:w="2845" w:type="dxa"/>
            <w:gridSpan w:val="5"/>
            <w:vAlign w:val="top"/>
          </w:tcPr>
          <w:p w14:paraId="2FEFCC7A">
            <w:pPr>
              <w:pStyle w:val="6"/>
              <w:spacing w:before="168" w:line="183" w:lineRule="auto"/>
              <w:ind w:left="391"/>
              <w:rPr>
                <w:rFonts w:ascii="微软雅黑" w:hAnsi="微软雅黑" w:eastAsia="微软雅黑" w:cs="微软雅黑"/>
              </w:rPr>
            </w:pPr>
            <w:r>
              <w:rPr>
                <w:spacing w:val="7"/>
              </w:rPr>
              <w:t>主管部门发布的数据</w:t>
            </w:r>
            <w:r>
              <w:rPr>
                <w:rFonts w:ascii="微软雅黑" w:hAnsi="微软雅黑" w:eastAsia="微软雅黑" w:cs="微软雅黑"/>
                <w:spacing w:val="7"/>
              </w:rPr>
              <w:t>⑦</w:t>
            </w:r>
          </w:p>
        </w:tc>
        <w:tc>
          <w:tcPr>
            <w:tcW w:w="3008" w:type="dxa"/>
            <w:gridSpan w:val="5"/>
            <w:vAlign w:val="top"/>
          </w:tcPr>
          <w:p w14:paraId="5DB94A48">
            <w:pPr>
              <w:pStyle w:val="6"/>
              <w:spacing w:before="168" w:line="183" w:lineRule="auto"/>
              <w:ind w:left="786"/>
              <w:rPr>
                <w:rFonts w:ascii="微软雅黑" w:hAnsi="微软雅黑" w:eastAsia="微软雅黑" w:cs="微软雅黑"/>
              </w:rPr>
            </w:pPr>
            <w:r>
              <w:rPr>
                <w:spacing w:val="6"/>
              </w:rPr>
              <w:t>现状补充监测</w:t>
            </w:r>
            <w:r>
              <w:rPr>
                <w:rFonts w:ascii="微软雅黑" w:hAnsi="微软雅黑" w:eastAsia="微软雅黑" w:cs="微软雅黑"/>
                <w:spacing w:val="6"/>
              </w:rPr>
              <w:t>⑦</w:t>
            </w:r>
          </w:p>
        </w:tc>
      </w:tr>
      <w:tr w14:paraId="4144D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tcBorders>
            <w:vAlign w:val="top"/>
          </w:tcPr>
          <w:p w14:paraId="1F201D31">
            <w:pPr>
              <w:rPr>
                <w:rFonts w:ascii="Arial"/>
                <w:sz w:val="21"/>
              </w:rPr>
            </w:pPr>
          </w:p>
        </w:tc>
        <w:tc>
          <w:tcPr>
            <w:tcW w:w="2680" w:type="dxa"/>
            <w:vAlign w:val="top"/>
          </w:tcPr>
          <w:p w14:paraId="070C765A">
            <w:pPr>
              <w:pStyle w:val="6"/>
              <w:spacing w:before="67" w:line="226" w:lineRule="auto"/>
              <w:ind w:left="925"/>
            </w:pPr>
            <w:r>
              <w:rPr>
                <w:spacing w:val="6"/>
              </w:rPr>
              <w:t>现状评价</w:t>
            </w:r>
          </w:p>
        </w:tc>
        <w:tc>
          <w:tcPr>
            <w:tcW w:w="5806" w:type="dxa"/>
            <w:gridSpan w:val="8"/>
            <w:vAlign w:val="top"/>
          </w:tcPr>
          <w:p w14:paraId="1560340A">
            <w:pPr>
              <w:pStyle w:val="6"/>
              <w:spacing w:before="67" w:line="183" w:lineRule="auto"/>
              <w:ind w:left="2498"/>
              <w:rPr>
                <w:rFonts w:ascii="微软雅黑" w:hAnsi="微软雅黑" w:eastAsia="微软雅黑" w:cs="微软雅黑"/>
              </w:rPr>
            </w:pPr>
            <w:r>
              <w:rPr>
                <w:spacing w:val="5"/>
              </w:rPr>
              <w:t>达标区</w:t>
            </w:r>
            <w:r>
              <w:rPr>
                <w:rFonts w:ascii="微软雅黑" w:hAnsi="微软雅黑" w:eastAsia="微软雅黑" w:cs="微软雅黑"/>
                <w:spacing w:val="5"/>
              </w:rPr>
              <w:t>⑦</w:t>
            </w:r>
          </w:p>
        </w:tc>
        <w:tc>
          <w:tcPr>
            <w:tcW w:w="4311" w:type="dxa"/>
            <w:gridSpan w:val="7"/>
            <w:vAlign w:val="top"/>
          </w:tcPr>
          <w:p w14:paraId="058B60AC">
            <w:pPr>
              <w:pStyle w:val="6"/>
              <w:spacing w:before="67" w:line="187" w:lineRule="auto"/>
              <w:ind w:left="1649"/>
              <w:rPr>
                <w:rFonts w:ascii="微软雅黑" w:hAnsi="微软雅黑" w:eastAsia="微软雅黑" w:cs="微软雅黑"/>
              </w:rPr>
            </w:pPr>
            <w:r>
              <w:rPr>
                <w:spacing w:val="16"/>
              </w:rPr>
              <w:t>不达标区</w:t>
            </w:r>
            <w:r>
              <w:rPr>
                <w:rFonts w:ascii="微软雅黑" w:hAnsi="微软雅黑" w:eastAsia="微软雅黑" w:cs="微软雅黑"/>
                <w:spacing w:val="16"/>
              </w:rPr>
              <w:t>□</w:t>
            </w:r>
          </w:p>
        </w:tc>
      </w:tr>
      <w:tr w14:paraId="59B9A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382" w:type="dxa"/>
            <w:vAlign w:val="top"/>
          </w:tcPr>
          <w:p w14:paraId="3175A2E4">
            <w:pPr>
              <w:pStyle w:val="6"/>
              <w:spacing w:before="305" w:line="228" w:lineRule="auto"/>
              <w:ind w:left="173"/>
            </w:pPr>
            <w:r>
              <w:rPr>
                <w:spacing w:val="7"/>
              </w:rPr>
              <w:t>污染源调查</w:t>
            </w:r>
          </w:p>
        </w:tc>
        <w:tc>
          <w:tcPr>
            <w:tcW w:w="2680" w:type="dxa"/>
            <w:vAlign w:val="top"/>
          </w:tcPr>
          <w:p w14:paraId="4072A1E9">
            <w:pPr>
              <w:pStyle w:val="6"/>
              <w:spacing w:before="304" w:line="228" w:lineRule="auto"/>
              <w:ind w:left="925"/>
            </w:pPr>
            <w:r>
              <w:rPr>
                <w:spacing w:val="6"/>
              </w:rPr>
              <w:t>调查内容</w:t>
            </w:r>
          </w:p>
        </w:tc>
        <w:tc>
          <w:tcPr>
            <w:tcW w:w="3830" w:type="dxa"/>
            <w:gridSpan w:val="4"/>
            <w:vAlign w:val="top"/>
          </w:tcPr>
          <w:p w14:paraId="63592E95">
            <w:pPr>
              <w:pStyle w:val="6"/>
              <w:spacing w:before="34" w:line="183" w:lineRule="auto"/>
              <w:ind w:left="987"/>
              <w:rPr>
                <w:rFonts w:ascii="微软雅黑" w:hAnsi="微软雅黑" w:eastAsia="微软雅黑" w:cs="微软雅黑"/>
              </w:rPr>
            </w:pPr>
            <w:r>
              <w:rPr>
                <w:spacing w:val="7"/>
              </w:rPr>
              <w:t>本项目正常排放源</w:t>
            </w:r>
            <w:r>
              <w:rPr>
                <w:rFonts w:ascii="微软雅黑" w:hAnsi="微软雅黑" w:eastAsia="微软雅黑" w:cs="微软雅黑"/>
                <w:spacing w:val="7"/>
              </w:rPr>
              <w:t>⑦</w:t>
            </w:r>
          </w:p>
          <w:p w14:paraId="751197F0">
            <w:pPr>
              <w:pStyle w:val="6"/>
              <w:spacing w:before="8" w:line="190" w:lineRule="auto"/>
              <w:ind w:left="882"/>
              <w:rPr>
                <w:rFonts w:ascii="微软雅黑" w:hAnsi="微软雅黑" w:eastAsia="微软雅黑" w:cs="微软雅黑"/>
              </w:rPr>
            </w:pPr>
            <w:r>
              <w:rPr>
                <w:spacing w:val="13"/>
              </w:rPr>
              <w:t>本项目非正常排放源</w:t>
            </w:r>
            <w:r>
              <w:rPr>
                <w:rFonts w:ascii="微软雅黑" w:hAnsi="微软雅黑" w:eastAsia="微软雅黑" w:cs="微软雅黑"/>
                <w:spacing w:val="13"/>
              </w:rPr>
              <w:t>□</w:t>
            </w:r>
          </w:p>
          <w:p w14:paraId="3DBEF930">
            <w:pPr>
              <w:pStyle w:val="6"/>
              <w:spacing w:line="164" w:lineRule="auto"/>
              <w:ind w:left="1303"/>
              <w:rPr>
                <w:rFonts w:ascii="微软雅黑" w:hAnsi="微软雅黑" w:eastAsia="微软雅黑" w:cs="微软雅黑"/>
              </w:rPr>
            </w:pPr>
            <w:r>
              <w:rPr>
                <w:spacing w:val="6"/>
              </w:rPr>
              <w:t>现有污染源</w:t>
            </w:r>
            <w:r>
              <w:rPr>
                <w:rFonts w:ascii="微软雅黑" w:hAnsi="微软雅黑" w:eastAsia="微软雅黑" w:cs="微软雅黑"/>
                <w:spacing w:val="6"/>
              </w:rPr>
              <w:t>⑦</w:t>
            </w:r>
          </w:p>
        </w:tc>
        <w:tc>
          <w:tcPr>
            <w:tcW w:w="1976" w:type="dxa"/>
            <w:gridSpan w:val="4"/>
            <w:vAlign w:val="top"/>
          </w:tcPr>
          <w:p w14:paraId="14B7FFFC">
            <w:pPr>
              <w:pStyle w:val="6"/>
              <w:spacing w:before="305" w:line="227" w:lineRule="auto"/>
              <w:ind w:left="195"/>
              <w:rPr>
                <w:rFonts w:ascii="Times New Roman" w:hAnsi="Times New Roman" w:eastAsia="Times New Roman" w:cs="Times New Roman"/>
              </w:rPr>
            </w:pPr>
            <w:r>
              <w:rPr>
                <w:spacing w:val="8"/>
              </w:rPr>
              <w:t>拟替代的污染源</w:t>
            </w:r>
            <w:r>
              <w:rPr>
                <w:rFonts w:ascii="Times New Roman" w:hAnsi="Times New Roman" w:eastAsia="Times New Roman" w:cs="Times New Roman"/>
                <w:spacing w:val="8"/>
              </w:rPr>
              <w:t>□</w:t>
            </w:r>
          </w:p>
        </w:tc>
        <w:tc>
          <w:tcPr>
            <w:tcW w:w="2220" w:type="dxa"/>
            <w:gridSpan w:val="5"/>
            <w:vAlign w:val="top"/>
          </w:tcPr>
          <w:p w14:paraId="2FF718C6">
            <w:pPr>
              <w:pStyle w:val="6"/>
              <w:spacing w:before="167" w:line="237" w:lineRule="auto"/>
              <w:ind w:left="816" w:right="103" w:hanging="700"/>
              <w:rPr>
                <w:rFonts w:ascii="微软雅黑" w:hAnsi="微软雅黑" w:eastAsia="微软雅黑" w:cs="微软雅黑"/>
              </w:rPr>
            </w:pPr>
            <w:r>
              <w:rPr>
                <w:spacing w:val="-1"/>
              </w:rPr>
              <w:t>其他在建、拟建项目污</w:t>
            </w:r>
            <w:r>
              <w:rPr>
                <w:spacing w:val="4"/>
              </w:rPr>
              <w:t xml:space="preserve"> </w:t>
            </w:r>
            <w:r>
              <w:rPr>
                <w:spacing w:val="21"/>
              </w:rPr>
              <w:t>染源</w:t>
            </w:r>
            <w:r>
              <w:rPr>
                <w:rFonts w:ascii="微软雅黑" w:hAnsi="微软雅黑" w:eastAsia="微软雅黑" w:cs="微软雅黑"/>
                <w:spacing w:val="21"/>
              </w:rPr>
              <w:t>□</w:t>
            </w:r>
          </w:p>
        </w:tc>
        <w:tc>
          <w:tcPr>
            <w:tcW w:w="2091" w:type="dxa"/>
            <w:gridSpan w:val="2"/>
            <w:vAlign w:val="top"/>
          </w:tcPr>
          <w:p w14:paraId="78DE22C6">
            <w:pPr>
              <w:pStyle w:val="6"/>
              <w:spacing w:before="305" w:line="228" w:lineRule="auto"/>
              <w:ind w:left="478"/>
              <w:rPr>
                <w:rFonts w:ascii="Times New Roman" w:hAnsi="Times New Roman" w:eastAsia="Times New Roman" w:cs="Times New Roman"/>
              </w:rPr>
            </w:pPr>
            <w:r>
              <w:rPr>
                <w:spacing w:val="5"/>
              </w:rPr>
              <w:t>区域污染源</w:t>
            </w:r>
            <w:r>
              <w:rPr>
                <w:rFonts w:ascii="Times New Roman" w:hAnsi="Times New Roman" w:eastAsia="Times New Roman" w:cs="Times New Roman"/>
                <w:spacing w:val="5"/>
              </w:rPr>
              <w:t>□</w:t>
            </w:r>
          </w:p>
        </w:tc>
      </w:tr>
      <w:tr w14:paraId="35EBA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restart"/>
            <w:tcBorders>
              <w:bottom w:val="nil"/>
            </w:tcBorders>
            <w:vAlign w:val="top"/>
          </w:tcPr>
          <w:p w14:paraId="00F3E5F6">
            <w:pPr>
              <w:spacing w:line="288" w:lineRule="auto"/>
              <w:rPr>
                <w:rFonts w:ascii="Arial"/>
                <w:sz w:val="21"/>
              </w:rPr>
            </w:pPr>
          </w:p>
          <w:p w14:paraId="6B9A18E1">
            <w:pPr>
              <w:spacing w:line="288" w:lineRule="auto"/>
              <w:rPr>
                <w:rFonts w:ascii="Arial"/>
                <w:sz w:val="21"/>
              </w:rPr>
            </w:pPr>
          </w:p>
          <w:p w14:paraId="51379C8F">
            <w:pPr>
              <w:spacing w:line="288" w:lineRule="auto"/>
              <w:rPr>
                <w:rFonts w:ascii="Arial"/>
                <w:sz w:val="21"/>
              </w:rPr>
            </w:pPr>
          </w:p>
          <w:p w14:paraId="34DC56BC">
            <w:pPr>
              <w:spacing w:line="288" w:lineRule="auto"/>
              <w:rPr>
                <w:rFonts w:ascii="Arial"/>
                <w:sz w:val="21"/>
              </w:rPr>
            </w:pPr>
          </w:p>
          <w:p w14:paraId="3C10A716">
            <w:pPr>
              <w:pStyle w:val="6"/>
              <w:spacing w:before="65" w:line="228" w:lineRule="auto"/>
              <w:ind w:left="174"/>
            </w:pPr>
            <w:r>
              <w:rPr>
                <w:spacing w:val="7"/>
              </w:rPr>
              <w:t>大气环境影</w:t>
            </w:r>
          </w:p>
          <w:p w14:paraId="49B574B0">
            <w:pPr>
              <w:pStyle w:val="6"/>
              <w:spacing w:before="24" w:line="228" w:lineRule="auto"/>
              <w:ind w:left="182"/>
            </w:pPr>
            <w:r>
              <w:rPr>
                <w:spacing w:val="6"/>
              </w:rPr>
              <w:t>响预测与评</w:t>
            </w:r>
          </w:p>
          <w:p w14:paraId="740D67EA">
            <w:pPr>
              <w:pStyle w:val="6"/>
              <w:spacing w:before="26" w:line="226" w:lineRule="auto"/>
              <w:ind w:left="592"/>
            </w:pPr>
            <w:r>
              <w:t>价</w:t>
            </w:r>
          </w:p>
        </w:tc>
        <w:tc>
          <w:tcPr>
            <w:tcW w:w="2680" w:type="dxa"/>
            <w:vAlign w:val="top"/>
          </w:tcPr>
          <w:p w14:paraId="04F25074">
            <w:pPr>
              <w:pStyle w:val="6"/>
              <w:spacing w:before="66" w:line="228" w:lineRule="auto"/>
              <w:ind w:left="925"/>
            </w:pPr>
            <w:r>
              <w:rPr>
                <w:spacing w:val="6"/>
              </w:rPr>
              <w:t>预测模型</w:t>
            </w:r>
          </w:p>
        </w:tc>
        <w:tc>
          <w:tcPr>
            <w:tcW w:w="1417" w:type="dxa"/>
            <w:vAlign w:val="top"/>
          </w:tcPr>
          <w:p w14:paraId="1FB3DBBD">
            <w:pPr>
              <w:spacing w:before="84" w:line="219" w:lineRule="exact"/>
              <w:ind w:left="157"/>
              <w:rPr>
                <w:rFonts w:ascii="微软雅黑" w:hAnsi="微软雅黑" w:eastAsia="微软雅黑" w:cs="微软雅黑"/>
                <w:sz w:val="20"/>
                <w:szCs w:val="20"/>
              </w:rPr>
            </w:pPr>
            <w:r>
              <w:rPr>
                <w:rFonts w:ascii="Times New Roman" w:hAnsi="Times New Roman" w:eastAsia="Times New Roman" w:cs="Times New Roman"/>
                <w:position w:val="3"/>
                <w:sz w:val="20"/>
                <w:szCs w:val="20"/>
              </w:rPr>
              <w:t>AERMOD</w:t>
            </w:r>
            <w:r>
              <w:rPr>
                <w:rFonts w:ascii="微软雅黑" w:hAnsi="微软雅黑" w:eastAsia="微软雅黑" w:cs="微软雅黑"/>
                <w:spacing w:val="38"/>
                <w:position w:val="3"/>
                <w:sz w:val="20"/>
                <w:szCs w:val="20"/>
              </w:rPr>
              <w:t>⑦</w:t>
            </w:r>
          </w:p>
        </w:tc>
        <w:tc>
          <w:tcPr>
            <w:tcW w:w="1129" w:type="dxa"/>
            <w:vAlign w:val="top"/>
          </w:tcPr>
          <w:p w14:paraId="5DA55157">
            <w:pPr>
              <w:spacing w:before="10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ADMS</w:t>
            </w:r>
            <w:r>
              <w:rPr>
                <w:rFonts w:ascii="Times New Roman" w:hAnsi="Times New Roman" w:eastAsia="Times New Roman" w:cs="Times New Roman"/>
                <w:spacing w:val="30"/>
                <w:sz w:val="20"/>
                <w:szCs w:val="20"/>
              </w:rPr>
              <w:t>□</w:t>
            </w:r>
          </w:p>
        </w:tc>
        <w:tc>
          <w:tcPr>
            <w:tcW w:w="1718" w:type="dxa"/>
            <w:gridSpan w:val="3"/>
            <w:vAlign w:val="top"/>
          </w:tcPr>
          <w:p w14:paraId="20FBDA12">
            <w:pPr>
              <w:spacing w:before="103" w:line="195" w:lineRule="auto"/>
              <w:ind w:left="179"/>
              <w:rPr>
                <w:rFonts w:ascii="Times New Roman" w:hAnsi="Times New Roman" w:eastAsia="Times New Roman" w:cs="Times New Roman"/>
                <w:sz w:val="20"/>
                <w:szCs w:val="20"/>
              </w:rPr>
            </w:pPr>
            <w:r>
              <w:rPr>
                <w:rFonts w:ascii="Times New Roman" w:hAnsi="Times New Roman" w:eastAsia="Times New Roman" w:cs="Times New Roman"/>
                <w:sz w:val="20"/>
                <w:szCs w:val="20"/>
              </w:rPr>
              <w:t>AUSTAL</w:t>
            </w:r>
            <w:r>
              <w:rPr>
                <w:rFonts w:ascii="Times New Roman" w:hAnsi="Times New Roman" w:eastAsia="Times New Roman" w:cs="Times New Roman"/>
                <w:spacing w:val="9"/>
                <w:sz w:val="20"/>
                <w:szCs w:val="20"/>
              </w:rPr>
              <w:t>2000□</w:t>
            </w:r>
          </w:p>
        </w:tc>
        <w:tc>
          <w:tcPr>
            <w:tcW w:w="1816" w:type="dxa"/>
            <w:gridSpan w:val="4"/>
            <w:vAlign w:val="top"/>
          </w:tcPr>
          <w:p w14:paraId="1FCF5C88">
            <w:pPr>
              <w:spacing w:before="99" w:line="199"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EDMS/AEDT□</w:t>
            </w:r>
          </w:p>
        </w:tc>
        <w:tc>
          <w:tcPr>
            <w:tcW w:w="1432" w:type="dxa"/>
            <w:gridSpan w:val="2"/>
            <w:vAlign w:val="top"/>
          </w:tcPr>
          <w:p w14:paraId="5DDCE4F7">
            <w:pPr>
              <w:spacing w:before="103"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CALPUFF□</w:t>
            </w:r>
          </w:p>
        </w:tc>
        <w:tc>
          <w:tcPr>
            <w:tcW w:w="1283" w:type="dxa"/>
            <w:gridSpan w:val="3"/>
            <w:vAlign w:val="top"/>
          </w:tcPr>
          <w:p w14:paraId="39B7C6E0">
            <w:pPr>
              <w:pStyle w:val="6"/>
              <w:spacing w:before="66" w:line="228" w:lineRule="auto"/>
              <w:ind w:left="180"/>
              <w:rPr>
                <w:rFonts w:ascii="Times New Roman" w:hAnsi="Times New Roman" w:eastAsia="Times New Roman" w:cs="Times New Roman"/>
              </w:rPr>
            </w:pPr>
            <w:r>
              <w:rPr>
                <w:spacing w:val="4"/>
              </w:rPr>
              <w:t>网格模型</w:t>
            </w:r>
            <w:r>
              <w:rPr>
                <w:rFonts w:ascii="Times New Roman" w:hAnsi="Times New Roman" w:eastAsia="Times New Roman" w:cs="Times New Roman"/>
                <w:spacing w:val="4"/>
              </w:rPr>
              <w:t>□</w:t>
            </w:r>
          </w:p>
        </w:tc>
        <w:tc>
          <w:tcPr>
            <w:tcW w:w="1322" w:type="dxa"/>
            <w:vAlign w:val="top"/>
          </w:tcPr>
          <w:p w14:paraId="641F3B31">
            <w:pPr>
              <w:pStyle w:val="6"/>
              <w:spacing w:before="67" w:line="187" w:lineRule="auto"/>
              <w:ind w:left="364"/>
              <w:rPr>
                <w:rFonts w:ascii="微软雅黑" w:hAnsi="微软雅黑" w:eastAsia="微软雅黑" w:cs="微软雅黑"/>
              </w:rPr>
            </w:pPr>
            <w:r>
              <w:rPr>
                <w:spacing w:val="22"/>
              </w:rPr>
              <w:t>其他</w:t>
            </w:r>
            <w:r>
              <w:rPr>
                <w:rFonts w:ascii="微软雅黑" w:hAnsi="微软雅黑" w:eastAsia="微软雅黑" w:cs="微软雅黑"/>
                <w:spacing w:val="22"/>
              </w:rPr>
              <w:t>□</w:t>
            </w:r>
          </w:p>
        </w:tc>
      </w:tr>
      <w:tr w14:paraId="6941C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10494ED0">
            <w:pPr>
              <w:rPr>
                <w:rFonts w:ascii="Arial"/>
                <w:sz w:val="21"/>
              </w:rPr>
            </w:pPr>
          </w:p>
        </w:tc>
        <w:tc>
          <w:tcPr>
            <w:tcW w:w="2680" w:type="dxa"/>
            <w:vAlign w:val="top"/>
          </w:tcPr>
          <w:p w14:paraId="04B0D9B7">
            <w:pPr>
              <w:pStyle w:val="6"/>
              <w:spacing w:before="68" w:line="228" w:lineRule="auto"/>
              <w:ind w:left="925"/>
            </w:pPr>
            <w:r>
              <w:rPr>
                <w:spacing w:val="6"/>
              </w:rPr>
              <w:t>预测范围</w:t>
            </w:r>
          </w:p>
        </w:tc>
        <w:tc>
          <w:tcPr>
            <w:tcW w:w="4264" w:type="dxa"/>
            <w:gridSpan w:val="5"/>
            <w:vAlign w:val="top"/>
          </w:tcPr>
          <w:p w14:paraId="6CF0362F">
            <w:pPr>
              <w:pStyle w:val="6"/>
              <w:spacing w:before="67" w:line="231" w:lineRule="auto"/>
              <w:ind w:left="1566"/>
              <w:rPr>
                <w:rFonts w:ascii="Times New Roman" w:hAnsi="Times New Roman" w:eastAsia="Times New Roman" w:cs="Times New Roman"/>
              </w:rPr>
            </w:pPr>
            <w:r>
              <w:rPr>
                <w:spacing w:val="7"/>
              </w:rPr>
              <w:t>边长</w:t>
            </w:r>
            <w:r>
              <w:rPr>
                <w:rFonts w:ascii="Times New Roman" w:hAnsi="Times New Roman" w:eastAsia="Times New Roman" w:cs="Times New Roman"/>
                <w:spacing w:val="7"/>
              </w:rPr>
              <w:t>≥50</w:t>
            </w:r>
            <w:r>
              <w:rPr>
                <w:rFonts w:ascii="Times New Roman" w:hAnsi="Times New Roman" w:eastAsia="Times New Roman" w:cs="Times New Roman"/>
              </w:rPr>
              <w:t>km</w:t>
            </w:r>
            <w:r>
              <w:rPr>
                <w:rFonts w:ascii="Times New Roman" w:hAnsi="Times New Roman" w:eastAsia="Times New Roman" w:cs="Times New Roman"/>
                <w:spacing w:val="7"/>
              </w:rPr>
              <w:t>□</w:t>
            </w:r>
          </w:p>
        </w:tc>
        <w:tc>
          <w:tcPr>
            <w:tcW w:w="2845" w:type="dxa"/>
            <w:gridSpan w:val="5"/>
            <w:vAlign w:val="top"/>
          </w:tcPr>
          <w:p w14:paraId="354012A3">
            <w:pPr>
              <w:pStyle w:val="6"/>
              <w:spacing w:before="67" w:line="187" w:lineRule="auto"/>
              <w:ind w:left="701"/>
              <w:rPr>
                <w:rFonts w:ascii="微软雅黑" w:hAnsi="微软雅黑" w:eastAsia="微软雅黑" w:cs="微软雅黑"/>
              </w:rPr>
            </w:pPr>
            <w:r>
              <w:rPr>
                <w:spacing w:val="13"/>
              </w:rPr>
              <w:t>边长</w:t>
            </w:r>
            <w:r>
              <w:rPr>
                <w:spacing w:val="-35"/>
              </w:rPr>
              <w:t xml:space="preserve"> </w:t>
            </w:r>
            <w:r>
              <w:rPr>
                <w:rFonts w:ascii="Times New Roman" w:hAnsi="Times New Roman" w:eastAsia="Times New Roman" w:cs="Times New Roman"/>
                <w:spacing w:val="13"/>
              </w:rPr>
              <w:t>5</w:t>
            </w:r>
            <w:r>
              <w:rPr>
                <w:spacing w:val="13"/>
              </w:rPr>
              <w:t>～</w:t>
            </w:r>
            <w:r>
              <w:rPr>
                <w:rFonts w:ascii="Times New Roman" w:hAnsi="Times New Roman" w:eastAsia="Times New Roman" w:cs="Times New Roman"/>
                <w:spacing w:val="13"/>
              </w:rPr>
              <w:t>50</w:t>
            </w:r>
            <w:r>
              <w:rPr>
                <w:rFonts w:ascii="Times New Roman" w:hAnsi="Times New Roman" w:eastAsia="Times New Roman" w:cs="Times New Roman"/>
              </w:rPr>
              <w:t>km</w:t>
            </w:r>
            <w:r>
              <w:rPr>
                <w:rFonts w:ascii="微软雅黑" w:hAnsi="微软雅黑" w:eastAsia="微软雅黑" w:cs="微软雅黑"/>
                <w:spacing w:val="13"/>
              </w:rPr>
              <w:t>□</w:t>
            </w:r>
          </w:p>
        </w:tc>
        <w:tc>
          <w:tcPr>
            <w:tcW w:w="3008" w:type="dxa"/>
            <w:gridSpan w:val="5"/>
            <w:vAlign w:val="top"/>
          </w:tcPr>
          <w:p w14:paraId="25BCF621">
            <w:pPr>
              <w:pStyle w:val="6"/>
              <w:spacing w:before="30" w:line="213" w:lineRule="auto"/>
              <w:ind w:left="959"/>
              <w:rPr>
                <w:rFonts w:ascii="微软雅黑" w:hAnsi="微软雅黑" w:eastAsia="微软雅黑" w:cs="微软雅黑"/>
              </w:rPr>
            </w:pPr>
            <w:r>
              <w:rPr>
                <w:spacing w:val="6"/>
              </w:rPr>
              <w:t>边长</w:t>
            </w:r>
            <w:r>
              <w:rPr>
                <w:rFonts w:ascii="Times New Roman" w:hAnsi="Times New Roman" w:eastAsia="Times New Roman" w:cs="Times New Roman"/>
                <w:spacing w:val="6"/>
              </w:rPr>
              <w:t>=5</w:t>
            </w:r>
            <w:r>
              <w:rPr>
                <w:rFonts w:ascii="Times New Roman" w:hAnsi="Times New Roman" w:eastAsia="Times New Roman" w:cs="Times New Roman"/>
              </w:rPr>
              <w:t>km</w:t>
            </w:r>
            <w:r>
              <w:rPr>
                <w:rFonts w:ascii="微软雅黑" w:hAnsi="微软雅黑" w:eastAsia="微软雅黑" w:cs="微软雅黑"/>
                <w:spacing w:val="6"/>
              </w:rPr>
              <w:t>⑦</w:t>
            </w:r>
          </w:p>
        </w:tc>
      </w:tr>
      <w:tr w14:paraId="189F7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82" w:type="dxa"/>
            <w:vMerge w:val="continue"/>
            <w:tcBorders>
              <w:top w:val="nil"/>
              <w:bottom w:val="nil"/>
            </w:tcBorders>
            <w:vAlign w:val="top"/>
          </w:tcPr>
          <w:p w14:paraId="626CBAF4">
            <w:pPr>
              <w:rPr>
                <w:rFonts w:ascii="Arial"/>
                <w:sz w:val="21"/>
              </w:rPr>
            </w:pPr>
          </w:p>
        </w:tc>
        <w:tc>
          <w:tcPr>
            <w:tcW w:w="2680" w:type="dxa"/>
            <w:vAlign w:val="top"/>
          </w:tcPr>
          <w:p w14:paraId="54A61C69">
            <w:pPr>
              <w:pStyle w:val="6"/>
              <w:spacing w:before="169" w:line="228" w:lineRule="auto"/>
              <w:ind w:left="925"/>
            </w:pPr>
            <w:r>
              <w:rPr>
                <w:spacing w:val="6"/>
              </w:rPr>
              <w:t>预测因子</w:t>
            </w:r>
          </w:p>
        </w:tc>
        <w:tc>
          <w:tcPr>
            <w:tcW w:w="5510" w:type="dxa"/>
            <w:gridSpan w:val="6"/>
            <w:vAlign w:val="top"/>
          </w:tcPr>
          <w:p w14:paraId="22E4C510">
            <w:pPr>
              <w:pStyle w:val="6"/>
              <w:spacing w:before="169" w:line="228" w:lineRule="auto"/>
              <w:ind w:left="1627"/>
            </w:pPr>
            <w:r>
              <w:rPr>
                <w:spacing w:val="6"/>
              </w:rPr>
              <w:t>预测因子（</w:t>
            </w: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10</w:t>
            </w:r>
            <w:r>
              <w:rPr>
                <w:rFonts w:ascii="Times New Roman" w:hAnsi="Times New Roman" w:eastAsia="Times New Roman" w:cs="Times New Roman"/>
                <w:spacing w:val="-4"/>
                <w:position w:val="-1"/>
                <w:sz w:val="13"/>
                <w:szCs w:val="13"/>
              </w:rPr>
              <w:t xml:space="preserve"> </w:t>
            </w:r>
            <w:r>
              <w:rPr>
                <w:spacing w:val="6"/>
              </w:rPr>
              <w:t>、</w:t>
            </w:r>
            <w:r>
              <w:rPr>
                <w:rFonts w:ascii="Times New Roman" w:hAnsi="Times New Roman" w:eastAsia="Times New Roman" w:cs="Times New Roman"/>
              </w:rPr>
              <w:t>TSP</w:t>
            </w:r>
            <w:r>
              <w:rPr>
                <w:spacing w:val="6"/>
              </w:rPr>
              <w:t>）</w:t>
            </w:r>
          </w:p>
        </w:tc>
        <w:tc>
          <w:tcPr>
            <w:tcW w:w="4607" w:type="dxa"/>
            <w:gridSpan w:val="9"/>
            <w:vAlign w:val="top"/>
          </w:tcPr>
          <w:p w14:paraId="26BE2D5E">
            <w:pPr>
              <w:pStyle w:val="6"/>
              <w:spacing w:before="35" w:line="200" w:lineRule="auto"/>
              <w:ind w:left="1429" w:right="1420" w:firstLine="131"/>
              <w:rPr>
                <w:rFonts w:ascii="微软雅黑" w:hAnsi="微软雅黑" w:eastAsia="微软雅黑" w:cs="微软雅黑"/>
              </w:rPr>
            </w:pPr>
            <w:r>
              <w:rPr>
                <w:spacing w:val="4"/>
              </w:rPr>
              <w:t>包括二次</w:t>
            </w:r>
            <w:r>
              <w:rPr>
                <w:spacing w:val="-36"/>
              </w:rPr>
              <w:t xml:space="preserve"> </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Times New Roman" w:hAnsi="Times New Roman" w:eastAsia="Times New Roman" w:cs="Times New Roman"/>
                <w:spacing w:val="-16"/>
                <w:position w:val="-1"/>
                <w:sz w:val="13"/>
                <w:szCs w:val="13"/>
              </w:rPr>
              <w:t xml:space="preserve"> </w:t>
            </w:r>
            <w:r>
              <w:rPr>
                <w:rFonts w:ascii="Times New Roman" w:hAnsi="Times New Roman" w:eastAsia="Times New Roman" w:cs="Times New Roman"/>
                <w:spacing w:val="4"/>
              </w:rPr>
              <w:t>□</w:t>
            </w:r>
            <w:r>
              <w:rPr>
                <w:rFonts w:ascii="Times New Roman" w:hAnsi="Times New Roman" w:eastAsia="Times New Roman" w:cs="Times New Roman"/>
              </w:rPr>
              <w:t xml:space="preserve">    </w:t>
            </w:r>
            <w:r>
              <w:rPr>
                <w:spacing w:val="4"/>
              </w:rPr>
              <w:t>不包括二次</w:t>
            </w:r>
            <w:r>
              <w:rPr>
                <w:spacing w:val="-38"/>
              </w:rPr>
              <w:t xml:space="preserve"> </w:t>
            </w:r>
            <w:r>
              <w:rPr>
                <w:rFonts w:ascii="Times New Roman" w:hAnsi="Times New Roman" w:eastAsia="Times New Roman" w:cs="Times New Roman"/>
              </w:rPr>
              <w:t>PM</w:t>
            </w:r>
            <w:r>
              <w:rPr>
                <w:rFonts w:ascii="Times New Roman" w:hAnsi="Times New Roman" w:eastAsia="Times New Roman" w:cs="Times New Roman"/>
                <w:spacing w:val="4"/>
                <w:position w:val="-1"/>
                <w:sz w:val="13"/>
                <w:szCs w:val="13"/>
              </w:rPr>
              <w:t>2.5</w:t>
            </w:r>
            <w:r>
              <w:rPr>
                <w:rFonts w:ascii="微软雅黑" w:hAnsi="微软雅黑" w:eastAsia="微软雅黑" w:cs="微软雅黑"/>
                <w:spacing w:val="4"/>
              </w:rPr>
              <w:t>⑦</w:t>
            </w:r>
          </w:p>
        </w:tc>
      </w:tr>
      <w:tr w14:paraId="7FC89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25E3CA99">
            <w:pPr>
              <w:rPr>
                <w:rFonts w:ascii="Arial"/>
                <w:sz w:val="21"/>
              </w:rPr>
            </w:pPr>
          </w:p>
        </w:tc>
        <w:tc>
          <w:tcPr>
            <w:tcW w:w="2680" w:type="dxa"/>
            <w:vAlign w:val="top"/>
          </w:tcPr>
          <w:p w14:paraId="3E59F0FF">
            <w:pPr>
              <w:pStyle w:val="6"/>
              <w:spacing w:before="69" w:line="228" w:lineRule="auto"/>
              <w:ind w:left="193"/>
            </w:pPr>
            <w:r>
              <w:rPr>
                <w:spacing w:val="8"/>
              </w:rPr>
              <w:t>正常排放短期浓度贡献值</w:t>
            </w:r>
          </w:p>
        </w:tc>
        <w:tc>
          <w:tcPr>
            <w:tcW w:w="5510" w:type="dxa"/>
            <w:gridSpan w:val="6"/>
            <w:vAlign w:val="top"/>
          </w:tcPr>
          <w:p w14:paraId="3BC08A3F">
            <w:pPr>
              <w:pStyle w:val="6"/>
              <w:spacing w:before="70" w:line="183" w:lineRule="auto"/>
              <w:ind w:left="1427"/>
              <w:rPr>
                <w:rFonts w:ascii="微软雅黑" w:hAnsi="微软雅黑" w:eastAsia="微软雅黑" w:cs="微软雅黑"/>
              </w:rPr>
            </w:pPr>
            <w:r>
              <w:rPr>
                <w:rFonts w:ascii="Times New Roman" w:hAnsi="Times New Roman" w:eastAsia="Times New Roman" w:cs="Times New Roman"/>
                <w:spacing w:val="6"/>
              </w:rPr>
              <w:t xml:space="preserve">C </w:t>
            </w:r>
            <w:r>
              <w:rPr>
                <w:spacing w:val="6"/>
              </w:rPr>
              <w:t>本项目最大占标率</w:t>
            </w:r>
            <w:r>
              <w:rPr>
                <w:rFonts w:ascii="Times New Roman" w:hAnsi="Times New Roman" w:eastAsia="Times New Roman" w:cs="Times New Roman"/>
                <w:spacing w:val="6"/>
              </w:rPr>
              <w:t>≤100%</w:t>
            </w:r>
            <w:r>
              <w:rPr>
                <w:rFonts w:ascii="微软雅黑" w:hAnsi="微软雅黑" w:eastAsia="微软雅黑" w:cs="微软雅黑"/>
                <w:spacing w:val="6"/>
              </w:rPr>
              <w:t>⑦</w:t>
            </w:r>
          </w:p>
        </w:tc>
        <w:tc>
          <w:tcPr>
            <w:tcW w:w="4607" w:type="dxa"/>
            <w:gridSpan w:val="9"/>
            <w:vAlign w:val="top"/>
          </w:tcPr>
          <w:p w14:paraId="63C4D641">
            <w:pPr>
              <w:pStyle w:val="6"/>
              <w:spacing w:before="69" w:line="186" w:lineRule="auto"/>
              <w:ind w:left="929"/>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本项目最大占标率＞</w:t>
            </w:r>
            <w:r>
              <w:rPr>
                <w:rFonts w:ascii="Times New Roman" w:hAnsi="Times New Roman" w:eastAsia="Times New Roman" w:cs="Times New Roman"/>
                <w:spacing w:val="10"/>
              </w:rPr>
              <w:t>100%</w:t>
            </w:r>
            <w:r>
              <w:rPr>
                <w:rFonts w:ascii="微软雅黑" w:hAnsi="微软雅黑" w:eastAsia="微软雅黑" w:cs="微软雅黑"/>
                <w:spacing w:val="10"/>
              </w:rPr>
              <w:t>□</w:t>
            </w:r>
          </w:p>
        </w:tc>
      </w:tr>
      <w:tr w14:paraId="2684A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3D35097B">
            <w:pPr>
              <w:rPr>
                <w:rFonts w:ascii="Arial"/>
                <w:sz w:val="21"/>
              </w:rPr>
            </w:pPr>
          </w:p>
        </w:tc>
        <w:tc>
          <w:tcPr>
            <w:tcW w:w="2680" w:type="dxa"/>
            <w:vMerge w:val="restart"/>
            <w:tcBorders>
              <w:bottom w:val="nil"/>
            </w:tcBorders>
            <w:vAlign w:val="top"/>
          </w:tcPr>
          <w:p w14:paraId="4B7B0441">
            <w:pPr>
              <w:pStyle w:val="6"/>
              <w:spacing w:before="244" w:line="228" w:lineRule="auto"/>
              <w:ind w:left="193"/>
            </w:pPr>
            <w:r>
              <w:rPr>
                <w:spacing w:val="8"/>
              </w:rPr>
              <w:t>正常排放年均浓度贡献值</w:t>
            </w:r>
          </w:p>
        </w:tc>
        <w:tc>
          <w:tcPr>
            <w:tcW w:w="4264" w:type="dxa"/>
            <w:gridSpan w:val="5"/>
            <w:vAlign w:val="top"/>
          </w:tcPr>
          <w:p w14:paraId="183B163E">
            <w:pPr>
              <w:pStyle w:val="6"/>
              <w:spacing w:before="70" w:line="185" w:lineRule="auto"/>
              <w:ind w:left="1731"/>
              <w:rPr>
                <w:rFonts w:ascii="微软雅黑" w:hAnsi="微软雅黑" w:eastAsia="微软雅黑" w:cs="微软雅黑"/>
              </w:rPr>
            </w:pPr>
            <w:r>
              <w:rPr>
                <w:spacing w:val="18"/>
              </w:rPr>
              <w:t>一类区</w:t>
            </w:r>
            <w:r>
              <w:rPr>
                <w:rFonts w:ascii="微软雅黑" w:hAnsi="微软雅黑" w:eastAsia="微软雅黑" w:cs="微软雅黑"/>
                <w:spacing w:val="18"/>
              </w:rPr>
              <w:t>□</w:t>
            </w:r>
          </w:p>
        </w:tc>
        <w:tc>
          <w:tcPr>
            <w:tcW w:w="2845" w:type="dxa"/>
            <w:gridSpan w:val="5"/>
            <w:vAlign w:val="top"/>
          </w:tcPr>
          <w:p w14:paraId="02842977">
            <w:pPr>
              <w:pStyle w:val="6"/>
              <w:spacing w:before="70" w:line="185" w:lineRule="auto"/>
              <w:ind w:left="147"/>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本项目最大占标率</w:t>
            </w:r>
            <w:r>
              <w:rPr>
                <w:rFonts w:ascii="Times New Roman" w:hAnsi="Times New Roman" w:eastAsia="Times New Roman" w:cs="Times New Roman"/>
                <w:spacing w:val="10"/>
              </w:rPr>
              <w:t>≤10%</w:t>
            </w:r>
            <w:r>
              <w:rPr>
                <w:rFonts w:ascii="微软雅黑" w:hAnsi="微软雅黑" w:eastAsia="微软雅黑" w:cs="微软雅黑"/>
                <w:spacing w:val="10"/>
              </w:rPr>
              <w:t>□</w:t>
            </w:r>
          </w:p>
        </w:tc>
        <w:tc>
          <w:tcPr>
            <w:tcW w:w="3008" w:type="dxa"/>
            <w:gridSpan w:val="5"/>
            <w:vAlign w:val="top"/>
          </w:tcPr>
          <w:p w14:paraId="2F1894AA">
            <w:pPr>
              <w:pStyle w:val="6"/>
              <w:spacing w:before="70" w:line="185" w:lineRule="auto"/>
              <w:ind w:left="182"/>
              <w:rPr>
                <w:rFonts w:ascii="微软雅黑" w:hAnsi="微软雅黑" w:eastAsia="微软雅黑" w:cs="微软雅黑"/>
              </w:rPr>
            </w:pPr>
            <w:r>
              <w:rPr>
                <w:rFonts w:ascii="Times New Roman" w:hAnsi="Times New Roman" w:eastAsia="Times New Roman" w:cs="Times New Roman"/>
                <w:spacing w:val="11"/>
              </w:rPr>
              <w:t xml:space="preserve">C </w:t>
            </w:r>
            <w:r>
              <w:rPr>
                <w:spacing w:val="11"/>
              </w:rPr>
              <w:t>本项目最大占标率＞</w:t>
            </w:r>
            <w:r>
              <w:rPr>
                <w:rFonts w:ascii="Times New Roman" w:hAnsi="Times New Roman" w:eastAsia="Times New Roman" w:cs="Times New Roman"/>
                <w:spacing w:val="11"/>
              </w:rPr>
              <w:t>10%</w:t>
            </w:r>
            <w:r>
              <w:rPr>
                <w:rFonts w:ascii="微软雅黑" w:hAnsi="微软雅黑" w:eastAsia="微软雅黑" w:cs="微软雅黑"/>
                <w:spacing w:val="11"/>
              </w:rPr>
              <w:t>□</w:t>
            </w:r>
          </w:p>
        </w:tc>
      </w:tr>
      <w:tr w14:paraId="56CF5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2B591E29">
            <w:pPr>
              <w:rPr>
                <w:rFonts w:ascii="Arial"/>
                <w:sz w:val="21"/>
              </w:rPr>
            </w:pPr>
          </w:p>
        </w:tc>
        <w:tc>
          <w:tcPr>
            <w:tcW w:w="2680" w:type="dxa"/>
            <w:vMerge w:val="continue"/>
            <w:tcBorders>
              <w:top w:val="nil"/>
            </w:tcBorders>
            <w:vAlign w:val="top"/>
          </w:tcPr>
          <w:p w14:paraId="21CB01E2">
            <w:pPr>
              <w:rPr>
                <w:rFonts w:ascii="Arial"/>
                <w:sz w:val="21"/>
              </w:rPr>
            </w:pPr>
          </w:p>
        </w:tc>
        <w:tc>
          <w:tcPr>
            <w:tcW w:w="4264" w:type="dxa"/>
            <w:gridSpan w:val="5"/>
            <w:vAlign w:val="top"/>
          </w:tcPr>
          <w:p w14:paraId="5A93A4D5">
            <w:pPr>
              <w:pStyle w:val="6"/>
              <w:spacing w:before="70" w:line="185" w:lineRule="auto"/>
              <w:ind w:left="1731"/>
              <w:rPr>
                <w:rFonts w:ascii="微软雅黑" w:hAnsi="微软雅黑" w:eastAsia="微软雅黑" w:cs="微软雅黑"/>
              </w:rPr>
            </w:pPr>
            <w:r>
              <w:rPr>
                <w:spacing w:val="18"/>
              </w:rPr>
              <w:t>二类区</w:t>
            </w:r>
            <w:r>
              <w:rPr>
                <w:rFonts w:ascii="微软雅黑" w:hAnsi="微软雅黑" w:eastAsia="微软雅黑" w:cs="微软雅黑"/>
                <w:spacing w:val="18"/>
              </w:rPr>
              <w:t>□</w:t>
            </w:r>
          </w:p>
        </w:tc>
        <w:tc>
          <w:tcPr>
            <w:tcW w:w="2845" w:type="dxa"/>
            <w:gridSpan w:val="5"/>
            <w:vAlign w:val="top"/>
          </w:tcPr>
          <w:p w14:paraId="717A622E">
            <w:pPr>
              <w:pStyle w:val="6"/>
              <w:spacing w:before="70" w:line="185" w:lineRule="auto"/>
              <w:ind w:left="147"/>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本项目最大占标率</w:t>
            </w:r>
            <w:r>
              <w:rPr>
                <w:rFonts w:ascii="Times New Roman" w:hAnsi="Times New Roman" w:eastAsia="Times New Roman" w:cs="Times New Roman"/>
                <w:spacing w:val="10"/>
              </w:rPr>
              <w:t>≤30%</w:t>
            </w:r>
            <w:r>
              <w:rPr>
                <w:rFonts w:ascii="微软雅黑" w:hAnsi="微软雅黑" w:eastAsia="微软雅黑" w:cs="微软雅黑"/>
                <w:spacing w:val="10"/>
              </w:rPr>
              <w:t>□</w:t>
            </w:r>
          </w:p>
        </w:tc>
        <w:tc>
          <w:tcPr>
            <w:tcW w:w="3008" w:type="dxa"/>
            <w:gridSpan w:val="5"/>
            <w:vAlign w:val="top"/>
          </w:tcPr>
          <w:p w14:paraId="18955E2A">
            <w:pPr>
              <w:pStyle w:val="6"/>
              <w:spacing w:before="70" w:line="185" w:lineRule="auto"/>
              <w:ind w:left="182"/>
              <w:rPr>
                <w:rFonts w:ascii="微软雅黑" w:hAnsi="微软雅黑" w:eastAsia="微软雅黑" w:cs="微软雅黑"/>
              </w:rPr>
            </w:pPr>
            <w:r>
              <w:rPr>
                <w:rFonts w:ascii="Times New Roman" w:hAnsi="Times New Roman" w:eastAsia="Times New Roman" w:cs="Times New Roman"/>
                <w:spacing w:val="11"/>
              </w:rPr>
              <w:t xml:space="preserve">C </w:t>
            </w:r>
            <w:r>
              <w:rPr>
                <w:spacing w:val="11"/>
              </w:rPr>
              <w:t>本项目最大占标率＞</w:t>
            </w:r>
            <w:r>
              <w:rPr>
                <w:rFonts w:ascii="Times New Roman" w:hAnsi="Times New Roman" w:eastAsia="Times New Roman" w:cs="Times New Roman"/>
                <w:spacing w:val="11"/>
              </w:rPr>
              <w:t>30%</w:t>
            </w:r>
            <w:r>
              <w:rPr>
                <w:rFonts w:ascii="微软雅黑" w:hAnsi="微软雅黑" w:eastAsia="微软雅黑" w:cs="微软雅黑"/>
                <w:spacing w:val="11"/>
              </w:rPr>
              <w:t>□</w:t>
            </w:r>
          </w:p>
        </w:tc>
      </w:tr>
      <w:tr w14:paraId="7775D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17271594">
            <w:pPr>
              <w:rPr>
                <w:rFonts w:ascii="Arial"/>
                <w:sz w:val="21"/>
              </w:rPr>
            </w:pPr>
          </w:p>
        </w:tc>
        <w:tc>
          <w:tcPr>
            <w:tcW w:w="2680" w:type="dxa"/>
            <w:vAlign w:val="top"/>
          </w:tcPr>
          <w:p w14:paraId="2C99DF12">
            <w:pPr>
              <w:pStyle w:val="6"/>
              <w:spacing w:before="67" w:line="228" w:lineRule="auto"/>
              <w:ind w:left="139"/>
            </w:pPr>
            <w:r>
              <w:rPr>
                <w:spacing w:val="5"/>
              </w:rPr>
              <w:t>非正常排放</w:t>
            </w:r>
            <w:r>
              <w:rPr>
                <w:spacing w:val="-13"/>
              </w:rPr>
              <w:t xml:space="preserve"> </w:t>
            </w:r>
            <w:r>
              <w:rPr>
                <w:rFonts w:ascii="Times New Roman" w:hAnsi="Times New Roman" w:eastAsia="Times New Roman" w:cs="Times New Roman"/>
                <w:spacing w:val="5"/>
              </w:rPr>
              <w:t xml:space="preserve">1h </w:t>
            </w:r>
            <w:r>
              <w:rPr>
                <w:spacing w:val="5"/>
              </w:rPr>
              <w:t>浓度贡献值</w:t>
            </w:r>
          </w:p>
        </w:tc>
        <w:tc>
          <w:tcPr>
            <w:tcW w:w="4264" w:type="dxa"/>
            <w:gridSpan w:val="5"/>
            <w:vAlign w:val="top"/>
          </w:tcPr>
          <w:p w14:paraId="1DE2724B">
            <w:pPr>
              <w:pStyle w:val="6"/>
              <w:spacing w:before="67" w:line="228" w:lineRule="auto"/>
              <w:ind w:left="1143"/>
              <w:rPr>
                <w:rFonts w:ascii="Times New Roman" w:hAnsi="Times New Roman" w:eastAsia="Times New Roman" w:cs="Times New Roman"/>
              </w:rPr>
            </w:pPr>
            <w:r>
              <w:rPr>
                <w:spacing w:val="7"/>
              </w:rPr>
              <w:t>非正常持续时长</w:t>
            </w:r>
            <w:r>
              <w:rPr>
                <w:spacing w:val="-9"/>
              </w:rPr>
              <w:t>（）</w:t>
            </w:r>
            <w:r>
              <w:rPr>
                <w:spacing w:val="-58"/>
              </w:rPr>
              <w:t xml:space="preserve"> </w:t>
            </w:r>
            <w:r>
              <w:rPr>
                <w:rFonts w:ascii="Times New Roman" w:hAnsi="Times New Roman" w:eastAsia="Times New Roman" w:cs="Times New Roman"/>
                <w:spacing w:val="7"/>
              </w:rPr>
              <w:t>h</w:t>
            </w:r>
          </w:p>
        </w:tc>
        <w:tc>
          <w:tcPr>
            <w:tcW w:w="2845" w:type="dxa"/>
            <w:gridSpan w:val="5"/>
            <w:vAlign w:val="top"/>
          </w:tcPr>
          <w:p w14:paraId="111EF6B4">
            <w:pPr>
              <w:pStyle w:val="6"/>
              <w:spacing w:before="67" w:line="187" w:lineRule="auto"/>
              <w:ind w:left="305"/>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非正常占标率</w:t>
            </w:r>
            <w:r>
              <w:rPr>
                <w:rFonts w:ascii="Times New Roman" w:hAnsi="Times New Roman" w:eastAsia="Times New Roman" w:cs="Times New Roman"/>
                <w:spacing w:val="10"/>
              </w:rPr>
              <w:t>≤100%</w:t>
            </w:r>
            <w:r>
              <w:rPr>
                <w:rFonts w:ascii="微软雅黑" w:hAnsi="微软雅黑" w:eastAsia="微软雅黑" w:cs="微软雅黑"/>
                <w:spacing w:val="10"/>
              </w:rPr>
              <w:t>□</w:t>
            </w:r>
          </w:p>
        </w:tc>
        <w:tc>
          <w:tcPr>
            <w:tcW w:w="3008" w:type="dxa"/>
            <w:gridSpan w:val="5"/>
            <w:vAlign w:val="top"/>
          </w:tcPr>
          <w:p w14:paraId="1BF05AAD">
            <w:pPr>
              <w:pStyle w:val="6"/>
              <w:spacing w:before="67" w:line="187" w:lineRule="auto"/>
              <w:ind w:left="338"/>
              <w:rPr>
                <w:rFonts w:ascii="微软雅黑" w:hAnsi="微软雅黑" w:eastAsia="微软雅黑" w:cs="微软雅黑"/>
              </w:rPr>
            </w:pPr>
            <w:r>
              <w:rPr>
                <w:rFonts w:ascii="Times New Roman" w:hAnsi="Times New Roman" w:eastAsia="Times New Roman" w:cs="Times New Roman"/>
                <w:spacing w:val="10"/>
              </w:rPr>
              <w:t xml:space="preserve">C </w:t>
            </w:r>
            <w:r>
              <w:rPr>
                <w:spacing w:val="10"/>
              </w:rPr>
              <w:t>非正常占标率＞</w:t>
            </w:r>
            <w:r>
              <w:rPr>
                <w:rFonts w:ascii="Times New Roman" w:hAnsi="Times New Roman" w:eastAsia="Times New Roman" w:cs="Times New Roman"/>
                <w:spacing w:val="10"/>
              </w:rPr>
              <w:t>100%</w:t>
            </w:r>
            <w:r>
              <w:rPr>
                <w:rFonts w:ascii="微软雅黑" w:hAnsi="微软雅黑" w:eastAsia="微软雅黑" w:cs="微软雅黑"/>
                <w:spacing w:val="10"/>
              </w:rPr>
              <w:t>□</w:t>
            </w:r>
          </w:p>
        </w:tc>
      </w:tr>
      <w:tr w14:paraId="6D5BD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382" w:type="dxa"/>
            <w:vMerge w:val="continue"/>
            <w:tcBorders>
              <w:top w:val="nil"/>
            </w:tcBorders>
            <w:vAlign w:val="top"/>
          </w:tcPr>
          <w:p w14:paraId="592156E9">
            <w:pPr>
              <w:rPr>
                <w:rFonts w:ascii="Arial"/>
                <w:sz w:val="21"/>
              </w:rPr>
            </w:pPr>
          </w:p>
        </w:tc>
        <w:tc>
          <w:tcPr>
            <w:tcW w:w="2680" w:type="dxa"/>
            <w:vAlign w:val="top"/>
          </w:tcPr>
          <w:p w14:paraId="28793C90">
            <w:pPr>
              <w:pStyle w:val="6"/>
              <w:spacing w:before="37" w:line="233" w:lineRule="auto"/>
              <w:ind w:left="715" w:right="184" w:hanging="525"/>
            </w:pPr>
            <w:r>
              <w:rPr>
                <w:spacing w:val="9"/>
              </w:rPr>
              <w:t>保证率日平均浓度和年平</w:t>
            </w:r>
            <w:r>
              <w:t xml:space="preserve"> </w:t>
            </w:r>
            <w:r>
              <w:rPr>
                <w:spacing w:val="8"/>
              </w:rPr>
              <w:t>均浓度叠加值</w:t>
            </w:r>
          </w:p>
        </w:tc>
        <w:tc>
          <w:tcPr>
            <w:tcW w:w="5738" w:type="dxa"/>
            <w:gridSpan w:val="7"/>
            <w:vAlign w:val="top"/>
          </w:tcPr>
          <w:p w14:paraId="533FAA22">
            <w:pPr>
              <w:pStyle w:val="6"/>
              <w:spacing w:before="172" w:line="228" w:lineRule="auto"/>
              <w:ind w:left="2306"/>
              <w:rPr>
                <w:rFonts w:ascii="Times New Roman" w:hAnsi="Times New Roman" w:eastAsia="Times New Roman" w:cs="Times New Roman"/>
              </w:rPr>
            </w:pPr>
            <w:r>
              <w:rPr>
                <w:rFonts w:ascii="Times New Roman" w:hAnsi="Times New Roman" w:eastAsia="Times New Roman" w:cs="Times New Roman"/>
                <w:spacing w:val="5"/>
              </w:rPr>
              <w:t>C</w:t>
            </w:r>
            <w:r>
              <w:rPr>
                <w:rFonts w:ascii="Times New Roman" w:hAnsi="Times New Roman" w:eastAsia="Times New Roman" w:cs="Times New Roman"/>
                <w:spacing w:val="15"/>
                <w:w w:val="101"/>
              </w:rPr>
              <w:t xml:space="preserve"> </w:t>
            </w:r>
            <w:r>
              <w:rPr>
                <w:spacing w:val="5"/>
              </w:rPr>
              <w:t>叠加达标</w:t>
            </w:r>
            <w:r>
              <w:rPr>
                <w:rFonts w:ascii="Times New Roman" w:hAnsi="Times New Roman" w:eastAsia="Times New Roman" w:cs="Times New Roman"/>
                <w:spacing w:val="5"/>
              </w:rPr>
              <w:t>□</w:t>
            </w:r>
          </w:p>
        </w:tc>
        <w:tc>
          <w:tcPr>
            <w:tcW w:w="4379" w:type="dxa"/>
            <w:gridSpan w:val="8"/>
            <w:vAlign w:val="top"/>
          </w:tcPr>
          <w:p w14:paraId="435B55F1">
            <w:pPr>
              <w:pStyle w:val="6"/>
              <w:spacing w:before="172" w:line="228" w:lineRule="auto"/>
              <w:ind w:left="1519"/>
              <w:rPr>
                <w:rFonts w:ascii="Times New Roman" w:hAnsi="Times New Roman" w:eastAsia="Times New Roman" w:cs="Times New Roman"/>
              </w:rPr>
            </w:pPr>
            <w:r>
              <w:rPr>
                <w:rFonts w:ascii="Times New Roman" w:hAnsi="Times New Roman" w:eastAsia="Times New Roman" w:cs="Times New Roman"/>
                <w:spacing w:val="6"/>
              </w:rPr>
              <w:t>C</w:t>
            </w:r>
            <w:r>
              <w:rPr>
                <w:rFonts w:ascii="Times New Roman" w:hAnsi="Times New Roman" w:eastAsia="Times New Roman" w:cs="Times New Roman"/>
                <w:spacing w:val="15"/>
              </w:rPr>
              <w:t xml:space="preserve"> </w:t>
            </w:r>
            <w:r>
              <w:rPr>
                <w:spacing w:val="6"/>
              </w:rPr>
              <w:t>叠加不达标</w:t>
            </w:r>
            <w:r>
              <w:rPr>
                <w:rFonts w:ascii="Times New Roman" w:hAnsi="Times New Roman" w:eastAsia="Times New Roman" w:cs="Times New Roman"/>
                <w:spacing w:val="6"/>
              </w:rPr>
              <w:t>□</w:t>
            </w:r>
          </w:p>
        </w:tc>
      </w:tr>
    </w:tbl>
    <w:p w14:paraId="67D4C970">
      <w:pPr>
        <w:pStyle w:val="2"/>
      </w:pPr>
    </w:p>
    <w:p w14:paraId="4F6E1702">
      <w:pPr>
        <w:sectPr>
          <w:headerReference r:id="rId239" w:type="default"/>
          <w:footerReference r:id="rId240" w:type="default"/>
          <w:pgSz w:w="16839" w:h="11906"/>
          <w:pgMar w:top="1065" w:right="1327" w:bottom="1079" w:left="1326" w:header="681" w:footer="917" w:gutter="0"/>
          <w:cols w:space="720" w:num="1"/>
        </w:sectPr>
      </w:pPr>
    </w:p>
    <w:p w14:paraId="25DE0AF0">
      <w:pPr>
        <w:spacing w:before="3"/>
      </w:pPr>
    </w:p>
    <w:p w14:paraId="4B118A07">
      <w:pPr>
        <w:spacing w:before="3"/>
      </w:pPr>
    </w:p>
    <w:p w14:paraId="75EEF67C">
      <w:pPr>
        <w:spacing w:before="3"/>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2"/>
        <w:gridCol w:w="2680"/>
        <w:gridCol w:w="3612"/>
        <w:gridCol w:w="652"/>
        <w:gridCol w:w="1495"/>
        <w:gridCol w:w="47"/>
        <w:gridCol w:w="1302"/>
        <w:gridCol w:w="918"/>
        <w:gridCol w:w="2091"/>
      </w:tblGrid>
      <w:tr w14:paraId="3CF23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062" w:type="dxa"/>
            <w:gridSpan w:val="2"/>
            <w:vAlign w:val="top"/>
          </w:tcPr>
          <w:p w14:paraId="7721B6A9">
            <w:pPr>
              <w:pStyle w:val="6"/>
              <w:spacing w:before="68" w:line="228" w:lineRule="auto"/>
              <w:ind w:left="1619"/>
            </w:pPr>
            <w:r>
              <w:rPr>
                <w:spacing w:val="6"/>
              </w:rPr>
              <w:t>工作内容</w:t>
            </w:r>
          </w:p>
        </w:tc>
        <w:tc>
          <w:tcPr>
            <w:tcW w:w="10117" w:type="dxa"/>
            <w:gridSpan w:val="7"/>
            <w:vAlign w:val="top"/>
          </w:tcPr>
          <w:p w14:paraId="33A4F709">
            <w:pPr>
              <w:pStyle w:val="6"/>
              <w:spacing w:before="68" w:line="228" w:lineRule="auto"/>
              <w:ind w:left="4676"/>
            </w:pPr>
            <w:r>
              <w:rPr>
                <w:spacing w:val="-2"/>
              </w:rPr>
              <w:t>自查项目</w:t>
            </w:r>
          </w:p>
        </w:tc>
      </w:tr>
      <w:tr w14:paraId="6AEDB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82" w:type="dxa"/>
            <w:vAlign w:val="top"/>
          </w:tcPr>
          <w:p w14:paraId="726EBFC1">
            <w:pPr>
              <w:rPr>
                <w:rFonts w:ascii="Arial"/>
                <w:sz w:val="21"/>
              </w:rPr>
            </w:pPr>
          </w:p>
        </w:tc>
        <w:tc>
          <w:tcPr>
            <w:tcW w:w="2680" w:type="dxa"/>
            <w:vAlign w:val="top"/>
          </w:tcPr>
          <w:p w14:paraId="0BD4E500">
            <w:pPr>
              <w:pStyle w:val="6"/>
              <w:spacing w:before="31" w:line="228" w:lineRule="auto"/>
              <w:ind w:left="204"/>
            </w:pPr>
            <w:r>
              <w:rPr>
                <w:spacing w:val="7"/>
              </w:rPr>
              <w:t>区域环境质量的整体变化</w:t>
            </w:r>
          </w:p>
          <w:p w14:paraId="261035D3">
            <w:pPr>
              <w:pStyle w:val="6"/>
              <w:spacing w:before="26" w:line="216" w:lineRule="auto"/>
              <w:ind w:left="1135"/>
            </w:pPr>
            <w:r>
              <w:rPr>
                <w:spacing w:val="4"/>
              </w:rPr>
              <w:t>情况</w:t>
            </w:r>
          </w:p>
        </w:tc>
        <w:tc>
          <w:tcPr>
            <w:tcW w:w="5759" w:type="dxa"/>
            <w:gridSpan w:val="3"/>
            <w:vAlign w:val="top"/>
          </w:tcPr>
          <w:p w14:paraId="2988CF5E">
            <w:pPr>
              <w:spacing w:before="200" w:line="199" w:lineRule="auto"/>
              <w:ind w:left="247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k≤-20%□</w:t>
            </w:r>
          </w:p>
        </w:tc>
        <w:tc>
          <w:tcPr>
            <w:tcW w:w="4358" w:type="dxa"/>
            <w:gridSpan w:val="4"/>
            <w:vAlign w:val="top"/>
          </w:tcPr>
          <w:p w14:paraId="240C39EA">
            <w:pPr>
              <w:pStyle w:val="6"/>
              <w:spacing w:before="168" w:line="241" w:lineRule="auto"/>
              <w:ind w:left="1730"/>
              <w:rPr>
                <w:rFonts w:ascii="Times New Roman" w:hAnsi="Times New Roman" w:eastAsia="Times New Roman" w:cs="Times New Roman"/>
              </w:rPr>
            </w:pPr>
            <w:r>
              <w:rPr>
                <w:rFonts w:ascii="Times New Roman" w:hAnsi="Times New Roman" w:eastAsia="Times New Roman" w:cs="Times New Roman"/>
                <w:spacing w:val="5"/>
              </w:rPr>
              <w:t>k</w:t>
            </w:r>
            <w:r>
              <w:rPr>
                <w:spacing w:val="5"/>
              </w:rPr>
              <w:t>＞</w:t>
            </w:r>
            <w:r>
              <w:rPr>
                <w:rFonts w:ascii="Times New Roman" w:hAnsi="Times New Roman" w:eastAsia="Times New Roman" w:cs="Times New Roman"/>
                <w:spacing w:val="5"/>
              </w:rPr>
              <w:t>-20%□</w:t>
            </w:r>
          </w:p>
        </w:tc>
      </w:tr>
      <w:tr w14:paraId="7B8B6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82" w:type="dxa"/>
            <w:vMerge w:val="restart"/>
            <w:tcBorders>
              <w:bottom w:val="nil"/>
            </w:tcBorders>
            <w:vAlign w:val="top"/>
          </w:tcPr>
          <w:p w14:paraId="3DFB81AB">
            <w:pPr>
              <w:pStyle w:val="6"/>
              <w:spacing w:before="207" w:line="228" w:lineRule="auto"/>
              <w:ind w:left="172"/>
            </w:pPr>
            <w:r>
              <w:rPr>
                <w:spacing w:val="8"/>
              </w:rPr>
              <w:t>环境监测计</w:t>
            </w:r>
          </w:p>
          <w:p w14:paraId="03D36330">
            <w:pPr>
              <w:pStyle w:val="6"/>
              <w:spacing w:before="23" w:line="230" w:lineRule="auto"/>
              <w:ind w:left="591"/>
            </w:pPr>
            <w:r>
              <w:rPr>
                <w:spacing w:val="1"/>
              </w:rPr>
              <w:t>划</w:t>
            </w:r>
          </w:p>
        </w:tc>
        <w:tc>
          <w:tcPr>
            <w:tcW w:w="2680" w:type="dxa"/>
            <w:vAlign w:val="top"/>
          </w:tcPr>
          <w:p w14:paraId="33D4E82E">
            <w:pPr>
              <w:pStyle w:val="6"/>
              <w:spacing w:before="168" w:line="228" w:lineRule="auto"/>
              <w:ind w:left="819"/>
            </w:pPr>
            <w:r>
              <w:rPr>
                <w:spacing w:val="7"/>
              </w:rPr>
              <w:t>污染源监测</w:t>
            </w:r>
          </w:p>
        </w:tc>
        <w:tc>
          <w:tcPr>
            <w:tcW w:w="4264" w:type="dxa"/>
            <w:gridSpan w:val="2"/>
            <w:vAlign w:val="top"/>
          </w:tcPr>
          <w:p w14:paraId="5705D3CB">
            <w:pPr>
              <w:pStyle w:val="6"/>
              <w:spacing w:before="168" w:line="228" w:lineRule="auto"/>
              <w:ind w:left="1088"/>
            </w:pPr>
            <w:r>
              <w:rPr>
                <w:spacing w:val="11"/>
              </w:rPr>
              <w:t>监测因子</w:t>
            </w:r>
            <w:r>
              <w:rPr>
                <w:spacing w:val="-5"/>
              </w:rPr>
              <w:t>：（</w:t>
            </w:r>
            <w:r>
              <w:rPr>
                <w:spacing w:val="11"/>
              </w:rPr>
              <w:t>颗粒物）</w:t>
            </w:r>
          </w:p>
        </w:tc>
        <w:tc>
          <w:tcPr>
            <w:tcW w:w="2844" w:type="dxa"/>
            <w:gridSpan w:val="3"/>
            <w:vAlign w:val="top"/>
          </w:tcPr>
          <w:p w14:paraId="57A2545F">
            <w:pPr>
              <w:pStyle w:val="6"/>
              <w:spacing w:before="30" w:line="234" w:lineRule="auto"/>
              <w:ind w:left="599" w:right="590"/>
              <w:rPr>
                <w:rFonts w:ascii="MS Gothic" w:hAnsi="MS Gothic" w:eastAsia="MS Gothic" w:cs="MS Gothic"/>
              </w:rPr>
            </w:pPr>
            <w:r>
              <w:rPr>
                <w:spacing w:val="6"/>
              </w:rPr>
              <w:t>有组织废气监测</w:t>
            </w:r>
            <w:r>
              <w:rPr>
                <w:rFonts w:ascii="MS Gothic" w:hAnsi="MS Gothic" w:eastAsia="MS Gothic" w:cs="MS Gothic"/>
                <w:spacing w:val="6"/>
              </w:rPr>
              <w:t>☑</w:t>
            </w:r>
            <w:r>
              <w:rPr>
                <w:rFonts w:ascii="MS Gothic" w:hAnsi="MS Gothic" w:eastAsia="MS Gothic" w:cs="MS Gothic"/>
              </w:rPr>
              <w:t xml:space="preserve"> </w:t>
            </w:r>
            <w:r>
              <w:rPr>
                <w:spacing w:val="5"/>
              </w:rPr>
              <w:t>无组织废气监测</w:t>
            </w:r>
            <w:r>
              <w:rPr>
                <w:rFonts w:ascii="MS Gothic" w:hAnsi="MS Gothic" w:eastAsia="MS Gothic" w:cs="MS Gothic"/>
                <w:spacing w:val="5"/>
              </w:rPr>
              <w:t>☑</w:t>
            </w:r>
          </w:p>
        </w:tc>
        <w:tc>
          <w:tcPr>
            <w:tcW w:w="3009" w:type="dxa"/>
            <w:gridSpan w:val="2"/>
            <w:vAlign w:val="top"/>
          </w:tcPr>
          <w:p w14:paraId="57ED079E">
            <w:pPr>
              <w:pStyle w:val="6"/>
              <w:spacing w:before="168" w:line="228" w:lineRule="auto"/>
              <w:ind w:left="1133"/>
              <w:rPr>
                <w:rFonts w:ascii="Times New Roman" w:hAnsi="Times New Roman" w:eastAsia="Times New Roman" w:cs="Times New Roman"/>
              </w:rPr>
            </w:pPr>
            <w:r>
              <w:rPr>
                <w:spacing w:val="6"/>
              </w:rPr>
              <w:t>无监测</w:t>
            </w:r>
            <w:r>
              <w:rPr>
                <w:rFonts w:ascii="Times New Roman" w:hAnsi="Times New Roman" w:eastAsia="Times New Roman" w:cs="Times New Roman"/>
                <w:spacing w:val="6"/>
              </w:rPr>
              <w:t>□</w:t>
            </w:r>
          </w:p>
        </w:tc>
      </w:tr>
      <w:tr w14:paraId="287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2" w:type="dxa"/>
            <w:vMerge w:val="continue"/>
            <w:tcBorders>
              <w:top w:val="nil"/>
            </w:tcBorders>
            <w:vAlign w:val="top"/>
          </w:tcPr>
          <w:p w14:paraId="42E6A8B5">
            <w:pPr>
              <w:rPr>
                <w:rFonts w:ascii="Arial"/>
                <w:sz w:val="21"/>
              </w:rPr>
            </w:pPr>
          </w:p>
        </w:tc>
        <w:tc>
          <w:tcPr>
            <w:tcW w:w="2680" w:type="dxa"/>
            <w:vAlign w:val="top"/>
          </w:tcPr>
          <w:p w14:paraId="3AF4FC37">
            <w:pPr>
              <w:pStyle w:val="6"/>
              <w:spacing w:before="67" w:line="228" w:lineRule="auto"/>
              <w:ind w:left="714"/>
            </w:pPr>
            <w:r>
              <w:rPr>
                <w:spacing w:val="8"/>
              </w:rPr>
              <w:t>环境质量监测</w:t>
            </w:r>
          </w:p>
        </w:tc>
        <w:tc>
          <w:tcPr>
            <w:tcW w:w="4264" w:type="dxa"/>
            <w:gridSpan w:val="2"/>
            <w:vAlign w:val="top"/>
          </w:tcPr>
          <w:p w14:paraId="047B8ED9">
            <w:pPr>
              <w:pStyle w:val="6"/>
              <w:spacing w:before="67" w:line="228" w:lineRule="auto"/>
              <w:ind w:left="1402"/>
            </w:pPr>
            <w:r>
              <w:rPr>
                <w:spacing w:val="1"/>
              </w:rPr>
              <w:t>监测因子：</w:t>
            </w:r>
            <w:r>
              <w:rPr>
                <w:spacing w:val="33"/>
              </w:rPr>
              <w:t xml:space="preserve"> </w:t>
            </w:r>
            <w:r>
              <w:rPr>
                <w:spacing w:val="1"/>
              </w:rPr>
              <w:t>()</w:t>
            </w:r>
          </w:p>
        </w:tc>
        <w:tc>
          <w:tcPr>
            <w:tcW w:w="2844" w:type="dxa"/>
            <w:gridSpan w:val="3"/>
            <w:vAlign w:val="top"/>
          </w:tcPr>
          <w:p w14:paraId="0FFFE5F2">
            <w:pPr>
              <w:pStyle w:val="6"/>
              <w:spacing w:before="66" w:line="228" w:lineRule="auto"/>
              <w:ind w:left="695"/>
            </w:pPr>
            <w:r>
              <w:rPr>
                <w:spacing w:val="3"/>
              </w:rPr>
              <w:t>监测点位数</w:t>
            </w:r>
            <w:r>
              <w:rPr>
                <w:spacing w:val="19"/>
              </w:rPr>
              <w:t xml:space="preserve"> </w:t>
            </w:r>
            <w:r>
              <w:rPr>
                <w:spacing w:val="3"/>
              </w:rPr>
              <w:t>()</w:t>
            </w:r>
          </w:p>
        </w:tc>
        <w:tc>
          <w:tcPr>
            <w:tcW w:w="3009" w:type="dxa"/>
            <w:gridSpan w:val="2"/>
            <w:vAlign w:val="top"/>
          </w:tcPr>
          <w:p w14:paraId="3ABA04CE">
            <w:pPr>
              <w:pStyle w:val="6"/>
              <w:spacing w:before="67" w:line="228" w:lineRule="auto"/>
              <w:ind w:left="1133"/>
              <w:rPr>
                <w:rFonts w:ascii="Times New Roman" w:hAnsi="Times New Roman" w:eastAsia="Times New Roman" w:cs="Times New Roman"/>
              </w:rPr>
            </w:pPr>
            <w:r>
              <w:rPr>
                <w:spacing w:val="6"/>
              </w:rPr>
              <w:t>无监测</w:t>
            </w:r>
            <w:r>
              <w:rPr>
                <w:rFonts w:ascii="Times New Roman" w:hAnsi="Times New Roman" w:eastAsia="Times New Roman" w:cs="Times New Roman"/>
                <w:spacing w:val="6"/>
              </w:rPr>
              <w:t>□</w:t>
            </w:r>
          </w:p>
        </w:tc>
      </w:tr>
      <w:tr w14:paraId="497EE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82" w:type="dxa"/>
            <w:vMerge w:val="restart"/>
            <w:tcBorders>
              <w:bottom w:val="nil"/>
            </w:tcBorders>
            <w:vAlign w:val="top"/>
          </w:tcPr>
          <w:p w14:paraId="75A98A45">
            <w:pPr>
              <w:spacing w:line="351" w:lineRule="auto"/>
              <w:rPr>
                <w:rFonts w:ascii="Arial"/>
                <w:sz w:val="21"/>
              </w:rPr>
            </w:pPr>
          </w:p>
          <w:p w14:paraId="20F079A0">
            <w:pPr>
              <w:pStyle w:val="6"/>
              <w:spacing w:before="65" w:line="226" w:lineRule="auto"/>
              <w:ind w:left="276"/>
            </w:pPr>
            <w:r>
              <w:rPr>
                <w:spacing w:val="7"/>
              </w:rPr>
              <w:t>评价结论</w:t>
            </w:r>
          </w:p>
        </w:tc>
        <w:tc>
          <w:tcPr>
            <w:tcW w:w="2680" w:type="dxa"/>
            <w:vAlign w:val="top"/>
          </w:tcPr>
          <w:p w14:paraId="01AB40F4">
            <w:pPr>
              <w:pStyle w:val="6"/>
              <w:spacing w:before="68" w:line="228" w:lineRule="auto"/>
              <w:ind w:left="923"/>
            </w:pPr>
            <w:r>
              <w:rPr>
                <w:spacing w:val="7"/>
              </w:rPr>
              <w:t>环境影响</w:t>
            </w:r>
          </w:p>
        </w:tc>
        <w:tc>
          <w:tcPr>
            <w:tcW w:w="10117" w:type="dxa"/>
            <w:gridSpan w:val="7"/>
            <w:vAlign w:val="top"/>
          </w:tcPr>
          <w:p w14:paraId="4AF7EDBD">
            <w:pPr>
              <w:pStyle w:val="6"/>
              <w:spacing w:before="68" w:line="262" w:lineRule="exact"/>
              <w:ind w:left="3227"/>
              <w:rPr>
                <w:rFonts w:ascii="Times New Roman" w:hAnsi="Times New Roman" w:eastAsia="Times New Roman" w:cs="Times New Roman"/>
              </w:rPr>
            </w:pPr>
            <w:r>
              <w:rPr>
                <w:spacing w:val="5"/>
                <w:position w:val="1"/>
              </w:rPr>
              <w:t>可以接受</w:t>
            </w:r>
            <w:r>
              <w:rPr>
                <w:rFonts w:ascii="MS Gothic" w:hAnsi="MS Gothic" w:eastAsia="MS Gothic" w:cs="MS Gothic"/>
                <w:spacing w:val="5"/>
                <w:position w:val="1"/>
              </w:rPr>
              <w:t>☑</w:t>
            </w:r>
            <w:r>
              <w:rPr>
                <w:rFonts w:ascii="MS Gothic" w:hAnsi="MS Gothic" w:eastAsia="MS Gothic" w:cs="MS Gothic"/>
                <w:spacing w:val="6"/>
                <w:position w:val="1"/>
              </w:rPr>
              <w:t xml:space="preserve">              </w:t>
            </w:r>
            <w:r>
              <w:rPr>
                <w:spacing w:val="5"/>
                <w:position w:val="1"/>
              </w:rPr>
              <w:t>不可以接受</w:t>
            </w:r>
            <w:r>
              <w:rPr>
                <w:rFonts w:ascii="Times New Roman" w:hAnsi="Times New Roman" w:eastAsia="Times New Roman" w:cs="Times New Roman"/>
                <w:spacing w:val="5"/>
                <w:position w:val="1"/>
              </w:rPr>
              <w:t>□</w:t>
            </w:r>
          </w:p>
        </w:tc>
      </w:tr>
      <w:tr w14:paraId="3908F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bottom w:val="nil"/>
            </w:tcBorders>
            <w:vAlign w:val="top"/>
          </w:tcPr>
          <w:p w14:paraId="1944A898">
            <w:pPr>
              <w:rPr>
                <w:rFonts w:ascii="Arial"/>
                <w:sz w:val="21"/>
              </w:rPr>
            </w:pPr>
          </w:p>
        </w:tc>
        <w:tc>
          <w:tcPr>
            <w:tcW w:w="2680" w:type="dxa"/>
            <w:vAlign w:val="top"/>
          </w:tcPr>
          <w:p w14:paraId="612AFC01">
            <w:pPr>
              <w:pStyle w:val="6"/>
              <w:spacing w:before="69" w:line="228" w:lineRule="auto"/>
              <w:ind w:left="506"/>
            </w:pPr>
            <w:r>
              <w:rPr>
                <w:spacing w:val="8"/>
              </w:rPr>
              <w:t>大气环境防护距离</w:t>
            </w:r>
          </w:p>
        </w:tc>
        <w:tc>
          <w:tcPr>
            <w:tcW w:w="10117" w:type="dxa"/>
            <w:gridSpan w:val="7"/>
            <w:vAlign w:val="top"/>
          </w:tcPr>
          <w:p w14:paraId="5988628B">
            <w:pPr>
              <w:pStyle w:val="6"/>
              <w:spacing w:before="69" w:line="228" w:lineRule="auto"/>
              <w:ind w:left="4245"/>
              <w:rPr>
                <w:rFonts w:ascii="Times New Roman" w:hAnsi="Times New Roman" w:eastAsia="Times New Roman" w:cs="Times New Roman"/>
              </w:rPr>
            </w:pPr>
            <w:r>
              <w:rPr>
                <w:spacing w:val="7"/>
              </w:rPr>
              <w:t>距厂界最远</w:t>
            </w:r>
            <w:r>
              <w:rPr>
                <w:spacing w:val="-9"/>
              </w:rPr>
              <w:t>（）</w:t>
            </w:r>
            <w:r>
              <w:rPr>
                <w:spacing w:val="-57"/>
              </w:rPr>
              <w:t xml:space="preserve"> </w:t>
            </w:r>
            <w:r>
              <w:rPr>
                <w:rFonts w:ascii="Times New Roman" w:hAnsi="Times New Roman" w:eastAsia="Times New Roman" w:cs="Times New Roman"/>
                <w:spacing w:val="7"/>
              </w:rPr>
              <w:t>m</w:t>
            </w:r>
          </w:p>
        </w:tc>
      </w:tr>
      <w:tr w14:paraId="5490A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82" w:type="dxa"/>
            <w:vMerge w:val="continue"/>
            <w:tcBorders>
              <w:top w:val="nil"/>
            </w:tcBorders>
            <w:vAlign w:val="top"/>
          </w:tcPr>
          <w:p w14:paraId="26DAFD55">
            <w:pPr>
              <w:rPr>
                <w:rFonts w:ascii="Arial"/>
                <w:sz w:val="21"/>
              </w:rPr>
            </w:pPr>
          </w:p>
        </w:tc>
        <w:tc>
          <w:tcPr>
            <w:tcW w:w="2680" w:type="dxa"/>
            <w:vAlign w:val="top"/>
          </w:tcPr>
          <w:p w14:paraId="600E5F71">
            <w:pPr>
              <w:pStyle w:val="6"/>
              <w:spacing w:before="70" w:line="228" w:lineRule="auto"/>
              <w:ind w:left="716"/>
            </w:pPr>
            <w:r>
              <w:rPr>
                <w:spacing w:val="7"/>
              </w:rPr>
              <w:t>污染源排放量</w:t>
            </w:r>
          </w:p>
        </w:tc>
        <w:tc>
          <w:tcPr>
            <w:tcW w:w="3612" w:type="dxa"/>
            <w:vAlign w:val="top"/>
          </w:tcPr>
          <w:p w14:paraId="4A4B42E6">
            <w:pPr>
              <w:pStyle w:val="6"/>
              <w:spacing w:before="70" w:line="237" w:lineRule="auto"/>
              <w:ind w:left="1227"/>
              <w:rPr>
                <w:rFonts w:ascii="Times New Roman" w:hAnsi="Times New Roman" w:eastAsia="Times New Roman" w:cs="Times New Roman"/>
              </w:rPr>
            </w:pPr>
            <w:r>
              <w:rPr>
                <w:rFonts w:ascii="Times New Roman" w:hAnsi="Times New Roman" w:eastAsia="Times New Roman" w:cs="Times New Roman"/>
              </w:rPr>
              <w:t>SO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8"/>
                <w:position w:val="-1"/>
                <w:sz w:val="13"/>
                <w:szCs w:val="13"/>
              </w:rPr>
              <w:t xml:space="preserve"> </w:t>
            </w:r>
            <w:r>
              <w:rPr>
                <w:spacing w:val="-13"/>
              </w:rPr>
              <w:t>：（）</w:t>
            </w:r>
            <w:r>
              <w:rPr>
                <w:spacing w:val="-54"/>
              </w:rPr>
              <w:t xml:space="preserve"> </w:t>
            </w:r>
            <w:r>
              <w:rPr>
                <w:rFonts w:ascii="Times New Roman" w:hAnsi="Times New Roman" w:eastAsia="Times New Roman" w:cs="Times New Roman"/>
                <w:spacing w:val="2"/>
              </w:rPr>
              <w:t>t/a</w:t>
            </w:r>
          </w:p>
        </w:tc>
        <w:tc>
          <w:tcPr>
            <w:tcW w:w="2194" w:type="dxa"/>
            <w:gridSpan w:val="3"/>
            <w:vAlign w:val="top"/>
          </w:tcPr>
          <w:p w14:paraId="76B7BFC3">
            <w:pPr>
              <w:pStyle w:val="6"/>
              <w:spacing w:before="69"/>
              <w:ind w:left="467"/>
              <w:rPr>
                <w:rFonts w:ascii="Times New Roman" w:hAnsi="Times New Roman" w:eastAsia="Times New Roman" w:cs="Times New Roman"/>
              </w:rPr>
            </w:pPr>
            <w:r>
              <w:rPr>
                <w:rFonts w:ascii="Times New Roman" w:hAnsi="Times New Roman" w:eastAsia="Times New Roman" w:cs="Times New Roman"/>
              </w:rPr>
              <w:t>NOx</w:t>
            </w:r>
            <w:r>
              <w:rPr>
                <w:spacing w:val="-4"/>
              </w:rPr>
              <w:t>：（）</w:t>
            </w:r>
            <w:r>
              <w:rPr>
                <w:spacing w:val="-53"/>
              </w:rPr>
              <w:t xml:space="preserve"> </w:t>
            </w:r>
            <w:r>
              <w:rPr>
                <w:rFonts w:ascii="Times New Roman" w:hAnsi="Times New Roman" w:eastAsia="Times New Roman" w:cs="Times New Roman"/>
                <w:spacing w:val="8"/>
              </w:rPr>
              <w:t>t/a</w:t>
            </w:r>
          </w:p>
        </w:tc>
        <w:tc>
          <w:tcPr>
            <w:tcW w:w="2220" w:type="dxa"/>
            <w:gridSpan w:val="2"/>
            <w:vAlign w:val="top"/>
          </w:tcPr>
          <w:p w14:paraId="78E301A4">
            <w:pPr>
              <w:pStyle w:val="6"/>
              <w:spacing w:before="70" w:line="228" w:lineRule="auto"/>
              <w:ind w:left="145"/>
              <w:rPr>
                <w:rFonts w:ascii="Times New Roman" w:hAnsi="Times New Roman" w:eastAsia="Times New Roman" w:cs="Times New Roman"/>
              </w:rPr>
            </w:pPr>
            <w:r>
              <w:rPr>
                <w:spacing w:val="7"/>
              </w:rPr>
              <w:t>颗粒物</w:t>
            </w:r>
            <w:r>
              <w:rPr>
                <w:spacing w:val="-3"/>
              </w:rPr>
              <w:t>：（</w:t>
            </w:r>
            <w:r>
              <w:rPr>
                <w:rFonts w:ascii="Times New Roman" w:hAnsi="Times New Roman" w:eastAsia="Times New Roman" w:cs="Times New Roman"/>
                <w:spacing w:val="7"/>
              </w:rPr>
              <w:t>2.593</w:t>
            </w:r>
            <w:r>
              <w:rPr>
                <w:spacing w:val="7"/>
              </w:rPr>
              <w:t>）</w:t>
            </w:r>
            <w:r>
              <w:rPr>
                <w:rFonts w:ascii="Times New Roman" w:hAnsi="Times New Roman" w:eastAsia="Times New Roman" w:cs="Times New Roman"/>
                <w:spacing w:val="7"/>
              </w:rPr>
              <w:t>t/a</w:t>
            </w:r>
          </w:p>
        </w:tc>
        <w:tc>
          <w:tcPr>
            <w:tcW w:w="2091" w:type="dxa"/>
            <w:vAlign w:val="top"/>
          </w:tcPr>
          <w:p w14:paraId="44237F2B">
            <w:pPr>
              <w:pStyle w:val="6"/>
              <w:spacing w:before="69"/>
              <w:ind w:left="363"/>
              <w:rPr>
                <w:rFonts w:ascii="Times New Roman" w:hAnsi="Times New Roman" w:eastAsia="Times New Roman" w:cs="Times New Roman"/>
              </w:rPr>
            </w:pPr>
            <w:r>
              <w:rPr>
                <w:rFonts w:ascii="Times New Roman" w:hAnsi="Times New Roman" w:eastAsia="Times New Roman" w:cs="Times New Roman"/>
              </w:rPr>
              <w:t>VOCs</w:t>
            </w:r>
            <w:r>
              <w:rPr>
                <w:spacing w:val="-4"/>
              </w:rPr>
              <w:t>：（）</w:t>
            </w:r>
            <w:r>
              <w:rPr>
                <w:spacing w:val="-53"/>
              </w:rPr>
              <w:t xml:space="preserve"> </w:t>
            </w:r>
            <w:r>
              <w:rPr>
                <w:rFonts w:ascii="Times New Roman" w:hAnsi="Times New Roman" w:eastAsia="Times New Roman" w:cs="Times New Roman"/>
                <w:spacing w:val="8"/>
              </w:rPr>
              <w:t>t/a</w:t>
            </w:r>
          </w:p>
        </w:tc>
      </w:tr>
      <w:tr w14:paraId="7BF85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179" w:type="dxa"/>
            <w:gridSpan w:val="9"/>
            <w:vAlign w:val="top"/>
          </w:tcPr>
          <w:p w14:paraId="41836BE7">
            <w:pPr>
              <w:pStyle w:val="6"/>
              <w:spacing w:before="37" w:line="211" w:lineRule="auto"/>
              <w:ind w:left="4856"/>
            </w:pPr>
            <w:r>
              <w:rPr>
                <w:spacing w:val="-1"/>
              </w:rPr>
              <w:t>注：</w:t>
            </w:r>
            <w:r>
              <w:rPr>
                <w:rFonts w:ascii="Times New Roman" w:hAnsi="Times New Roman" w:eastAsia="Times New Roman" w:cs="Times New Roman"/>
                <w:spacing w:val="-1"/>
              </w:rPr>
              <w:t>“</w:t>
            </w:r>
            <w:r>
              <w:rPr>
                <w:rFonts w:ascii="Times New Roman" w:hAnsi="Times New Roman" w:eastAsia="Times New Roman" w:cs="Times New Roman"/>
                <w:spacing w:val="-30"/>
              </w:rPr>
              <w:t xml:space="preserve"> </w:t>
            </w:r>
            <w:r>
              <w:rPr>
                <w:rFonts w:ascii="Times New Roman" w:hAnsi="Times New Roman" w:eastAsia="Times New Roman" w:cs="Times New Roman"/>
                <w:spacing w:val="-1"/>
              </w:rPr>
              <w:t>□”</w:t>
            </w:r>
            <w:r>
              <w:rPr>
                <w:spacing w:val="-1"/>
              </w:rPr>
              <w:t>为勾选项，填</w:t>
            </w:r>
            <w:r>
              <w:rPr>
                <w:rFonts w:ascii="Times New Roman" w:hAnsi="Times New Roman" w:eastAsia="Times New Roman" w:cs="Times New Roman"/>
                <w:spacing w:val="-1"/>
              </w:rPr>
              <w:t>“</w:t>
            </w:r>
            <w:r>
              <w:rPr>
                <w:rFonts w:ascii="微软雅黑" w:hAnsi="微软雅黑" w:eastAsia="微软雅黑" w:cs="微软雅黑"/>
                <w:spacing w:val="-1"/>
              </w:rPr>
              <w:t>√</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rPr>
                <w:spacing w:val="57"/>
              </w:rPr>
              <w:t xml:space="preserve"> </w:t>
            </w:r>
            <w:r>
              <w:rPr>
                <w:rFonts w:ascii="Times New Roman" w:hAnsi="Times New Roman" w:eastAsia="Times New Roman" w:cs="Times New Roman"/>
                <w:spacing w:val="-1"/>
              </w:rPr>
              <w:t xml:space="preserve">“  </w:t>
            </w:r>
            <w:r>
              <w:rPr>
                <w:spacing w:val="-1"/>
              </w:rPr>
              <w:t>(</w:t>
            </w:r>
            <w:r>
              <w:rPr>
                <w:spacing w:val="66"/>
              </w:rPr>
              <w:t xml:space="preserve"> </w:t>
            </w:r>
            <w:r>
              <w:rPr>
                <w:spacing w:val="-1"/>
              </w:rPr>
              <w:t>)</w:t>
            </w:r>
            <w:r>
              <w:rPr>
                <w:spacing w:val="27"/>
              </w:rPr>
              <w:t xml:space="preserve"> </w:t>
            </w:r>
            <w:r>
              <w:rPr>
                <w:rFonts w:ascii="Times New Roman" w:hAnsi="Times New Roman" w:eastAsia="Times New Roman" w:cs="Times New Roman"/>
                <w:spacing w:val="-1"/>
              </w:rPr>
              <w:t>”</w:t>
            </w:r>
            <w:r>
              <w:rPr>
                <w:spacing w:val="-1"/>
              </w:rPr>
              <w:t>为内容填写项</w:t>
            </w:r>
          </w:p>
        </w:tc>
      </w:tr>
    </w:tbl>
    <w:p w14:paraId="2C65CB4C">
      <w:pPr>
        <w:pStyle w:val="2"/>
      </w:pPr>
    </w:p>
    <w:p w14:paraId="1F1E2AE0">
      <w:pPr>
        <w:sectPr>
          <w:footerReference r:id="rId241" w:type="default"/>
          <w:pgSz w:w="16839" w:h="11906"/>
          <w:pgMar w:top="1065" w:right="1327" w:bottom="1079" w:left="1326" w:header="681" w:footer="917" w:gutter="0"/>
          <w:cols w:space="720" w:num="1"/>
        </w:sectPr>
      </w:pPr>
    </w:p>
    <w:p w14:paraId="24F26018">
      <w:pPr>
        <w:pStyle w:val="2"/>
        <w:spacing w:line="334" w:lineRule="auto"/>
      </w:pPr>
    </w:p>
    <w:p w14:paraId="3A990778">
      <w:pPr>
        <w:spacing w:before="91" w:line="222" w:lineRule="auto"/>
        <w:ind w:left="122"/>
        <w:outlineLvl w:val="1"/>
        <w:rPr>
          <w:rFonts w:ascii="黑体" w:hAnsi="黑体" w:eastAsia="黑体" w:cs="黑体"/>
          <w:sz w:val="28"/>
          <w:szCs w:val="28"/>
        </w:rPr>
      </w:pPr>
      <w:bookmarkStart w:id="125" w:name="bookmark111"/>
      <w:bookmarkEnd w:id="125"/>
      <w:bookmarkStart w:id="126" w:name="bookmark112"/>
      <w:bookmarkEnd w:id="126"/>
      <w:r>
        <w:rPr>
          <w:rFonts w:ascii="Times New Roman" w:hAnsi="Times New Roman" w:eastAsia="Times New Roman" w:cs="Times New Roman"/>
          <w:b/>
          <w:bCs/>
          <w:spacing w:val="-3"/>
          <w:sz w:val="28"/>
          <w:szCs w:val="28"/>
        </w:rPr>
        <w:t xml:space="preserve">8.2 </w:t>
      </w:r>
      <w:r>
        <w:rPr>
          <w:rFonts w:ascii="黑体" w:hAnsi="黑体" w:eastAsia="黑体" w:cs="黑体"/>
          <w:b/>
          <w:bCs/>
          <w:spacing w:val="-3"/>
          <w:sz w:val="28"/>
          <w:szCs w:val="28"/>
        </w:rPr>
        <w:t>地下水环境影响评价</w:t>
      </w:r>
    </w:p>
    <w:p w14:paraId="1B54B3CF">
      <w:pPr>
        <w:spacing w:before="257" w:line="219" w:lineRule="auto"/>
        <w:ind w:left="607"/>
        <w:outlineLvl w:val="2"/>
        <w:rPr>
          <w:rFonts w:ascii="宋体" w:hAnsi="宋体" w:eastAsia="宋体" w:cs="宋体"/>
          <w:sz w:val="24"/>
          <w:szCs w:val="24"/>
        </w:rPr>
      </w:pPr>
      <w:bookmarkStart w:id="127" w:name="bookmark209"/>
      <w:bookmarkEnd w:id="127"/>
      <w:r>
        <w:rPr>
          <w:rFonts w:ascii="Times New Roman" w:hAnsi="Times New Roman" w:eastAsia="Times New Roman" w:cs="Times New Roman"/>
          <w:spacing w:val="-2"/>
          <w:sz w:val="24"/>
          <w:szCs w:val="24"/>
        </w:rPr>
        <w:t xml:space="preserve">8.2.1 </w:t>
      </w:r>
      <w:r>
        <w:rPr>
          <w:rFonts w:ascii="宋体" w:hAnsi="宋体" w:eastAsia="宋体" w:cs="宋体"/>
          <w:spacing w:val="-2"/>
          <w:sz w:val="24"/>
          <w:szCs w:val="24"/>
        </w:rPr>
        <w:t>环境水文地质条件</w:t>
      </w:r>
    </w:p>
    <w:p w14:paraId="28BA6C6F">
      <w:pPr>
        <w:spacing w:before="183" w:line="219" w:lineRule="auto"/>
        <w:ind w:left="603"/>
        <w:outlineLvl w:val="3"/>
        <w:rPr>
          <w:rFonts w:ascii="宋体" w:hAnsi="宋体" w:eastAsia="宋体" w:cs="宋体"/>
          <w:sz w:val="24"/>
          <w:szCs w:val="24"/>
        </w:rPr>
      </w:pPr>
      <w:r>
        <w:rPr>
          <w:rFonts w:ascii="宋体" w:hAnsi="宋体" w:eastAsia="宋体" w:cs="宋体"/>
          <w:spacing w:val="-6"/>
          <w:sz w:val="24"/>
          <w:szCs w:val="24"/>
        </w:rPr>
        <w:t>8.2.1.1 自然地理条件</w:t>
      </w:r>
    </w:p>
    <w:p w14:paraId="77345046">
      <w:pPr>
        <w:spacing w:before="182" w:line="219" w:lineRule="auto"/>
        <w:ind w:left="606"/>
        <w:rPr>
          <w:rFonts w:ascii="宋体" w:hAnsi="宋体" w:eastAsia="宋体" w:cs="宋体"/>
          <w:sz w:val="24"/>
          <w:szCs w:val="24"/>
        </w:rPr>
      </w:pPr>
      <w:r>
        <w:rPr>
          <w:rFonts w:ascii="宋体" w:hAnsi="宋体" w:eastAsia="宋体" w:cs="宋体"/>
          <w:spacing w:val="-3"/>
          <w:sz w:val="24"/>
          <w:szCs w:val="24"/>
        </w:rPr>
        <w:t>一、地形地貌</w:t>
      </w:r>
    </w:p>
    <w:p w14:paraId="17800E3F">
      <w:pPr>
        <w:spacing w:before="184" w:line="221" w:lineRule="auto"/>
        <w:ind w:left="613"/>
        <w:rPr>
          <w:rFonts w:ascii="宋体" w:hAnsi="宋体" w:eastAsia="宋体" w:cs="宋体"/>
          <w:sz w:val="24"/>
          <w:szCs w:val="24"/>
        </w:rPr>
      </w:pPr>
      <w:r>
        <w:rPr>
          <w:rFonts w:ascii="宋体" w:hAnsi="宋体" w:eastAsia="宋体" w:cs="宋体"/>
          <w:spacing w:val="-5"/>
          <w:sz w:val="24"/>
          <w:szCs w:val="24"/>
        </w:rPr>
        <w:t>（一）地形</w:t>
      </w:r>
    </w:p>
    <w:p w14:paraId="4A8E677A">
      <w:pPr>
        <w:spacing w:before="180" w:line="360" w:lineRule="auto"/>
        <w:ind w:left="130" w:right="110" w:firstLine="470"/>
        <w:rPr>
          <w:rFonts w:ascii="宋体" w:hAnsi="宋体" w:eastAsia="宋体" w:cs="宋体"/>
          <w:sz w:val="24"/>
          <w:szCs w:val="24"/>
        </w:rPr>
      </w:pPr>
      <w:r>
        <w:rPr>
          <w:rFonts w:ascii="宋体" w:hAnsi="宋体" w:eastAsia="宋体" w:cs="宋体"/>
          <w:spacing w:val="-3"/>
          <w:sz w:val="24"/>
          <w:szCs w:val="24"/>
        </w:rPr>
        <w:t>评价区位于丘陵和丘间洼地内，总体地势东北高西南低，最高点</w:t>
      </w:r>
      <w:r>
        <w:rPr>
          <w:rFonts w:ascii="宋体" w:hAnsi="宋体" w:eastAsia="宋体" w:cs="宋体"/>
          <w:spacing w:val="-4"/>
          <w:sz w:val="24"/>
          <w:szCs w:val="24"/>
        </w:rPr>
        <w:t>位于评价区</w:t>
      </w:r>
      <w:r>
        <w:rPr>
          <w:rFonts w:ascii="宋体" w:hAnsi="宋体" w:eastAsia="宋体" w:cs="宋体"/>
          <w:sz w:val="24"/>
          <w:szCs w:val="24"/>
        </w:rPr>
        <w:t xml:space="preserve"> </w:t>
      </w:r>
      <w:r>
        <w:rPr>
          <w:rFonts w:ascii="宋体" w:hAnsi="宋体" w:eastAsia="宋体" w:cs="宋体"/>
          <w:spacing w:val="-4"/>
          <w:sz w:val="24"/>
          <w:szCs w:val="24"/>
        </w:rPr>
        <w:t>东北部，为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1030m</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，最低点位于评价区西部，为</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920m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，相对高差</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5"/>
          <w:sz w:val="24"/>
          <w:szCs w:val="24"/>
        </w:rPr>
        <w:t>0m</w:t>
      </w:r>
      <w:r>
        <w:rPr>
          <w:rFonts w:ascii="宋体" w:hAnsi="宋体" w:eastAsia="宋体" w:cs="宋体"/>
          <w:spacing w:val="-5"/>
          <w:sz w:val="24"/>
          <w:szCs w:val="24"/>
        </w:rPr>
        <w:t>。</w:t>
      </w:r>
    </w:p>
    <w:p w14:paraId="77C5D636">
      <w:pPr>
        <w:spacing w:before="1" w:line="218" w:lineRule="auto"/>
        <w:ind w:left="613"/>
        <w:rPr>
          <w:rFonts w:ascii="宋体" w:hAnsi="宋体" w:eastAsia="宋体" w:cs="宋体"/>
          <w:sz w:val="24"/>
          <w:szCs w:val="24"/>
        </w:rPr>
      </w:pPr>
      <w:r>
        <w:rPr>
          <w:rFonts w:ascii="宋体" w:hAnsi="宋体" w:eastAsia="宋体" w:cs="宋体"/>
          <w:spacing w:val="-5"/>
          <w:sz w:val="24"/>
          <w:szCs w:val="24"/>
        </w:rPr>
        <w:t>（二）地貌</w:t>
      </w:r>
    </w:p>
    <w:p w14:paraId="67A2CBAB">
      <w:pPr>
        <w:spacing w:before="184" w:line="360" w:lineRule="auto"/>
        <w:ind w:left="129" w:right="110" w:firstLine="471"/>
        <w:jc w:val="both"/>
        <w:rPr>
          <w:rFonts w:ascii="宋体" w:hAnsi="宋体" w:eastAsia="宋体" w:cs="宋体"/>
          <w:sz w:val="24"/>
          <w:szCs w:val="24"/>
        </w:rPr>
      </w:pPr>
      <w:r>
        <w:rPr>
          <w:rFonts w:ascii="宋体" w:hAnsi="宋体" w:eastAsia="宋体" w:cs="宋体"/>
          <w:spacing w:val="-3"/>
          <w:sz w:val="24"/>
          <w:szCs w:val="24"/>
        </w:rPr>
        <w:t>评价区地貌较为简单，按成因类型可划分为剥蚀地形和堆积地形</w:t>
      </w:r>
      <w:r>
        <w:rPr>
          <w:rFonts w:ascii="宋体" w:hAnsi="宋体" w:eastAsia="宋体" w:cs="宋体"/>
          <w:spacing w:val="-4"/>
          <w:sz w:val="24"/>
          <w:szCs w:val="24"/>
        </w:rPr>
        <w:t>，按形态类</w:t>
      </w:r>
      <w:r>
        <w:rPr>
          <w:rFonts w:ascii="宋体" w:hAnsi="宋体" w:eastAsia="宋体" w:cs="宋体"/>
          <w:sz w:val="24"/>
          <w:szCs w:val="24"/>
        </w:rPr>
        <w:t xml:space="preserve"> </w:t>
      </w:r>
      <w:r>
        <w:rPr>
          <w:rFonts w:ascii="宋体" w:hAnsi="宋体" w:eastAsia="宋体" w:cs="宋体"/>
          <w:spacing w:val="-1"/>
          <w:sz w:val="24"/>
          <w:szCs w:val="24"/>
        </w:rPr>
        <w:t>型又可分为丘陵和沟谷。划分结果详见地貌类型划分表（表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8.2-1</w:t>
      </w:r>
      <w:r>
        <w:rPr>
          <w:rFonts w:ascii="宋体" w:hAnsi="宋体" w:eastAsia="宋体" w:cs="宋体"/>
          <w:spacing w:val="-1"/>
          <w:sz w:val="24"/>
          <w:szCs w:val="24"/>
        </w:rPr>
        <w:t>）。现分述如</w:t>
      </w:r>
      <w:r>
        <w:rPr>
          <w:rFonts w:ascii="宋体" w:hAnsi="宋体" w:eastAsia="宋体" w:cs="宋体"/>
          <w:sz w:val="24"/>
          <w:szCs w:val="24"/>
        </w:rPr>
        <w:t xml:space="preserve"> </w:t>
      </w:r>
      <w:r>
        <w:rPr>
          <w:rFonts w:ascii="宋体" w:hAnsi="宋体" w:eastAsia="宋体" w:cs="宋体"/>
          <w:spacing w:val="-9"/>
          <w:sz w:val="24"/>
          <w:szCs w:val="24"/>
        </w:rPr>
        <w:t>下：</w:t>
      </w:r>
    </w:p>
    <w:p w14:paraId="48FE1117">
      <w:pPr>
        <w:spacing w:before="1" w:line="218" w:lineRule="auto"/>
        <w:ind w:left="285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8.2-1      </w:t>
      </w:r>
      <w:r>
        <w:rPr>
          <w:rFonts w:ascii="宋体" w:hAnsi="宋体" w:eastAsia="宋体" w:cs="宋体"/>
          <w:spacing w:val="-2"/>
          <w:sz w:val="24"/>
          <w:szCs w:val="24"/>
        </w:rPr>
        <w:t>地貌类型划分表</w:t>
      </w:r>
    </w:p>
    <w:p w14:paraId="146C99B6">
      <w:pPr>
        <w:spacing w:line="68" w:lineRule="exact"/>
      </w:pPr>
    </w:p>
    <w:tbl>
      <w:tblPr>
        <w:tblStyle w:val="5"/>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61"/>
        <w:gridCol w:w="1526"/>
        <w:gridCol w:w="3937"/>
      </w:tblGrid>
      <w:tr w14:paraId="7F442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3061" w:type="dxa"/>
            <w:vAlign w:val="top"/>
          </w:tcPr>
          <w:p w14:paraId="787F336D">
            <w:pPr>
              <w:pStyle w:val="6"/>
              <w:spacing w:before="134" w:line="228" w:lineRule="auto"/>
              <w:ind w:left="1118"/>
            </w:pPr>
            <w:r>
              <w:rPr>
                <w:spacing w:val="6"/>
              </w:rPr>
              <w:t>成因类型</w:t>
            </w:r>
          </w:p>
        </w:tc>
        <w:tc>
          <w:tcPr>
            <w:tcW w:w="1526" w:type="dxa"/>
            <w:vAlign w:val="top"/>
          </w:tcPr>
          <w:p w14:paraId="4800937C">
            <w:pPr>
              <w:pStyle w:val="6"/>
              <w:spacing w:before="134" w:line="228" w:lineRule="auto"/>
              <w:ind w:left="558"/>
            </w:pPr>
            <w:r>
              <w:rPr>
                <w:spacing w:val="5"/>
              </w:rPr>
              <w:t>代号</w:t>
            </w:r>
          </w:p>
        </w:tc>
        <w:tc>
          <w:tcPr>
            <w:tcW w:w="3937" w:type="dxa"/>
            <w:vAlign w:val="top"/>
          </w:tcPr>
          <w:p w14:paraId="3270EF7C">
            <w:pPr>
              <w:pStyle w:val="6"/>
              <w:spacing w:before="134" w:line="228" w:lineRule="auto"/>
              <w:ind w:left="1555"/>
            </w:pPr>
            <w:r>
              <w:rPr>
                <w:spacing w:val="6"/>
              </w:rPr>
              <w:t>形态类型</w:t>
            </w:r>
          </w:p>
        </w:tc>
      </w:tr>
      <w:tr w14:paraId="66EB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061" w:type="dxa"/>
            <w:vAlign w:val="top"/>
          </w:tcPr>
          <w:p w14:paraId="747856C1">
            <w:pPr>
              <w:pStyle w:val="6"/>
              <w:spacing w:before="131" w:line="229" w:lineRule="auto"/>
              <w:ind w:left="1119"/>
            </w:pPr>
            <w:r>
              <w:rPr>
                <w:spacing w:val="6"/>
              </w:rPr>
              <w:t>剥蚀地形</w:t>
            </w:r>
          </w:p>
        </w:tc>
        <w:tc>
          <w:tcPr>
            <w:tcW w:w="1526" w:type="dxa"/>
            <w:vAlign w:val="top"/>
          </w:tcPr>
          <w:p w14:paraId="6FA0472D">
            <w:pPr>
              <w:pStyle w:val="6"/>
              <w:spacing w:before="131" w:line="263" w:lineRule="exact"/>
              <w:ind w:left="729"/>
            </w:pPr>
            <w:r>
              <w:rPr>
                <w:position w:val="1"/>
              </w:rPr>
              <w:t>Ⅰ</w:t>
            </w:r>
          </w:p>
        </w:tc>
        <w:tc>
          <w:tcPr>
            <w:tcW w:w="3937" w:type="dxa"/>
            <w:vAlign w:val="top"/>
          </w:tcPr>
          <w:p w14:paraId="7ECEA721">
            <w:pPr>
              <w:pStyle w:val="6"/>
              <w:spacing w:before="132" w:line="228" w:lineRule="auto"/>
              <w:ind w:left="1761"/>
            </w:pPr>
            <w:r>
              <w:rPr>
                <w:spacing w:val="4"/>
              </w:rPr>
              <w:t>丘陵</w:t>
            </w:r>
          </w:p>
        </w:tc>
      </w:tr>
      <w:tr w14:paraId="21998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3061" w:type="dxa"/>
            <w:vAlign w:val="top"/>
          </w:tcPr>
          <w:p w14:paraId="18945B11">
            <w:pPr>
              <w:pStyle w:val="6"/>
              <w:spacing w:before="92" w:line="228" w:lineRule="auto"/>
              <w:ind w:left="1117"/>
            </w:pPr>
            <w:r>
              <w:rPr>
                <w:spacing w:val="7"/>
              </w:rPr>
              <w:t>堆积为主</w:t>
            </w:r>
          </w:p>
        </w:tc>
        <w:tc>
          <w:tcPr>
            <w:tcW w:w="1526" w:type="dxa"/>
            <w:vAlign w:val="top"/>
          </w:tcPr>
          <w:p w14:paraId="5350DCC8">
            <w:pPr>
              <w:pStyle w:val="6"/>
              <w:spacing w:before="92" w:line="264" w:lineRule="exact"/>
              <w:ind w:left="698"/>
            </w:pPr>
            <w:r>
              <w:rPr>
                <w:position w:val="1"/>
              </w:rPr>
              <w:t>Ⅱ</w:t>
            </w:r>
          </w:p>
        </w:tc>
        <w:tc>
          <w:tcPr>
            <w:tcW w:w="3937" w:type="dxa"/>
            <w:vAlign w:val="top"/>
          </w:tcPr>
          <w:p w14:paraId="415B339A">
            <w:pPr>
              <w:pStyle w:val="6"/>
              <w:spacing w:before="92" w:line="228" w:lineRule="auto"/>
              <w:ind w:left="1761"/>
            </w:pPr>
            <w:r>
              <w:rPr>
                <w:spacing w:val="4"/>
              </w:rPr>
              <w:t>沟谷</w:t>
            </w:r>
          </w:p>
        </w:tc>
      </w:tr>
    </w:tbl>
    <w:p w14:paraId="3EB69156">
      <w:pPr>
        <w:spacing w:before="114" w:line="220" w:lineRule="auto"/>
        <w:ind w:left="620"/>
        <w:rPr>
          <w:rFonts w:ascii="宋体" w:hAnsi="宋体" w:eastAsia="宋体" w:cs="宋体"/>
          <w:sz w:val="24"/>
          <w:szCs w:val="24"/>
        </w:rPr>
      </w:pPr>
      <w:r>
        <w:rPr>
          <w:rFonts w:ascii="Times New Roman" w:hAnsi="Times New Roman" w:eastAsia="Times New Roman" w:cs="Times New Roman"/>
          <w:spacing w:val="-28"/>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28"/>
          <w:sz w:val="24"/>
          <w:szCs w:val="24"/>
        </w:rPr>
        <w:t>、丘陵</w:t>
      </w:r>
      <w:r>
        <w:rPr>
          <w:rFonts w:ascii="宋体" w:hAnsi="宋体" w:eastAsia="宋体" w:cs="宋体"/>
          <w:spacing w:val="15"/>
          <w:sz w:val="24"/>
          <w:szCs w:val="24"/>
        </w:rPr>
        <w:t xml:space="preserve"> </w:t>
      </w:r>
      <w:r>
        <w:rPr>
          <w:rFonts w:ascii="宋体" w:hAnsi="宋体" w:eastAsia="宋体" w:cs="宋体"/>
          <w:spacing w:val="-28"/>
          <w:sz w:val="24"/>
          <w:szCs w:val="24"/>
        </w:rPr>
        <w:t>(</w:t>
      </w:r>
      <w:r>
        <w:rPr>
          <w:rFonts w:ascii="宋体" w:hAnsi="宋体" w:eastAsia="宋体" w:cs="宋体"/>
          <w:spacing w:val="2"/>
          <w:sz w:val="24"/>
          <w:szCs w:val="24"/>
        </w:rPr>
        <w:t xml:space="preserve"> </w:t>
      </w:r>
      <w:r>
        <w:rPr>
          <w:rFonts w:ascii="宋体" w:hAnsi="宋体" w:eastAsia="宋体" w:cs="宋体"/>
          <w:spacing w:val="-28"/>
          <w:sz w:val="24"/>
          <w:szCs w:val="24"/>
        </w:rPr>
        <w:t>Ⅰ</w:t>
      </w:r>
      <w:r>
        <w:rPr>
          <w:rFonts w:ascii="宋体" w:hAnsi="宋体" w:eastAsia="宋体" w:cs="宋体"/>
          <w:spacing w:val="-85"/>
          <w:sz w:val="24"/>
          <w:szCs w:val="24"/>
        </w:rPr>
        <w:t xml:space="preserve"> </w:t>
      </w:r>
      <w:r>
        <w:rPr>
          <w:rFonts w:ascii="宋体" w:hAnsi="宋体" w:eastAsia="宋体" w:cs="宋体"/>
          <w:spacing w:val="-28"/>
          <w:sz w:val="24"/>
          <w:szCs w:val="24"/>
        </w:rPr>
        <w:t>)</w:t>
      </w:r>
    </w:p>
    <w:p w14:paraId="614717E8">
      <w:pPr>
        <w:spacing w:before="179" w:line="358" w:lineRule="auto"/>
        <w:ind w:left="122" w:right="11" w:firstLine="482"/>
        <w:rPr>
          <w:rFonts w:ascii="宋体" w:hAnsi="宋体" w:eastAsia="宋体" w:cs="宋体"/>
          <w:sz w:val="24"/>
          <w:szCs w:val="24"/>
        </w:rPr>
      </w:pPr>
      <w:r>
        <w:rPr>
          <w:rFonts w:ascii="宋体" w:hAnsi="宋体" w:eastAsia="宋体" w:cs="宋体"/>
          <w:spacing w:val="-3"/>
          <w:sz w:val="24"/>
          <w:szCs w:val="24"/>
        </w:rPr>
        <w:t>大面积分布于评价区东部、中部和西北部，岩性主要为古</w:t>
      </w:r>
      <w:r>
        <w:rPr>
          <w:rFonts w:ascii="宋体" w:hAnsi="宋体" w:eastAsia="宋体" w:cs="宋体"/>
          <w:spacing w:val="-4"/>
          <w:sz w:val="24"/>
          <w:szCs w:val="24"/>
        </w:rPr>
        <w:t>生界二叠系下统格</w:t>
      </w:r>
      <w:r>
        <w:rPr>
          <w:rFonts w:ascii="宋体" w:hAnsi="宋体" w:eastAsia="宋体" w:cs="宋体"/>
          <w:sz w:val="24"/>
          <w:szCs w:val="24"/>
        </w:rPr>
        <w:t xml:space="preserve"> </w:t>
      </w:r>
      <w:r>
        <w:rPr>
          <w:rFonts w:ascii="宋体" w:hAnsi="宋体" w:eastAsia="宋体" w:cs="宋体"/>
          <w:spacing w:val="1"/>
          <w:sz w:val="24"/>
          <w:szCs w:val="24"/>
        </w:rPr>
        <w:t>根敖包组（</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1"/>
          <w:sz w:val="24"/>
          <w:szCs w:val="24"/>
        </w:rPr>
        <w:t>g</w:t>
      </w:r>
      <w:r>
        <w:rPr>
          <w:rFonts w:ascii="宋体" w:hAnsi="宋体" w:eastAsia="宋体" w:cs="宋体"/>
          <w:spacing w:val="1"/>
          <w:sz w:val="24"/>
          <w:szCs w:val="24"/>
        </w:rPr>
        <w:t>）砂砾岩、含砾长石砂岩、长石砂岩、长石细砂岩、粉砂岩、泥</w:t>
      </w:r>
      <w:r>
        <w:rPr>
          <w:rFonts w:ascii="宋体" w:hAnsi="宋体" w:eastAsia="宋体" w:cs="宋体"/>
          <w:spacing w:val="11"/>
          <w:sz w:val="24"/>
          <w:szCs w:val="24"/>
        </w:rPr>
        <w:t xml:space="preserve"> </w:t>
      </w:r>
      <w:r>
        <w:rPr>
          <w:rFonts w:ascii="宋体" w:hAnsi="宋体" w:eastAsia="宋体" w:cs="宋体"/>
          <w:spacing w:val="-3"/>
          <w:sz w:val="24"/>
          <w:szCs w:val="24"/>
        </w:rPr>
        <w:t>岩，上侏罗统兴安岭群火山碎屑岩组（J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3"/>
          <w:sz w:val="24"/>
          <w:szCs w:val="24"/>
        </w:rPr>
        <w:t>）凝灰质砂砾岩和含角砾岩屑晶屑凝</w:t>
      </w:r>
      <w:r>
        <w:rPr>
          <w:rFonts w:ascii="宋体" w:hAnsi="宋体" w:eastAsia="宋体" w:cs="宋体"/>
          <w:spacing w:val="10"/>
          <w:sz w:val="24"/>
          <w:szCs w:val="24"/>
        </w:rPr>
        <w:t xml:space="preserve"> </w:t>
      </w:r>
      <w:r>
        <w:rPr>
          <w:rFonts w:ascii="宋体" w:hAnsi="宋体" w:eastAsia="宋体" w:cs="宋体"/>
          <w:spacing w:val="-3"/>
          <w:sz w:val="24"/>
          <w:szCs w:val="24"/>
        </w:rPr>
        <w:t>灰岩，中酸性火山岩组（J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2</w:t>
      </w:r>
      <w:r>
        <w:rPr>
          <w:rFonts w:ascii="宋体" w:hAnsi="宋体" w:eastAsia="宋体" w:cs="宋体"/>
          <w:spacing w:val="-3"/>
          <w:sz w:val="24"/>
          <w:szCs w:val="24"/>
        </w:rPr>
        <w:t>）安山岩、安山玢岩夹岩屑晶屑凝灰岩，酸性火山</w:t>
      </w:r>
      <w:r>
        <w:rPr>
          <w:rFonts w:ascii="宋体" w:hAnsi="宋体" w:eastAsia="宋体" w:cs="宋体"/>
          <w:spacing w:val="10"/>
          <w:sz w:val="24"/>
          <w:szCs w:val="24"/>
        </w:rPr>
        <w:t xml:space="preserve"> </w:t>
      </w:r>
      <w:r>
        <w:rPr>
          <w:rFonts w:ascii="宋体" w:hAnsi="宋体" w:eastAsia="宋体" w:cs="宋体"/>
          <w:spacing w:val="-28"/>
          <w:sz w:val="24"/>
          <w:szCs w:val="24"/>
        </w:rPr>
        <w:t>岩组（J</w:t>
      </w:r>
      <w:r>
        <w:rPr>
          <w:rFonts w:ascii="宋体" w:hAnsi="宋体" w:eastAsia="宋体" w:cs="宋体"/>
          <w:spacing w:val="-8"/>
          <w:position w:val="-3"/>
          <w:sz w:val="12"/>
          <w:szCs w:val="12"/>
        </w:rPr>
        <w:t>3</w:t>
      </w:r>
      <w:r>
        <w:rPr>
          <w:rFonts w:ascii="宋体" w:hAnsi="宋体" w:eastAsia="宋体" w:cs="宋体"/>
          <w:spacing w:val="-8"/>
          <w:sz w:val="24"/>
          <w:szCs w:val="24"/>
        </w:rPr>
        <w:t>xn</w:t>
      </w:r>
      <w:r>
        <w:rPr>
          <w:rFonts w:ascii="宋体" w:hAnsi="宋体" w:eastAsia="宋体" w:cs="宋体"/>
          <w:spacing w:val="-8"/>
          <w:position w:val="11"/>
          <w:sz w:val="12"/>
          <w:szCs w:val="12"/>
        </w:rPr>
        <w:t>3</w:t>
      </w:r>
      <w:r>
        <w:rPr>
          <w:rFonts w:ascii="宋体" w:hAnsi="宋体" w:eastAsia="宋体" w:cs="宋体"/>
          <w:spacing w:val="-8"/>
          <w:sz w:val="24"/>
          <w:szCs w:val="24"/>
        </w:rPr>
        <w:t>）流纹质含火山角砾岩屑晶屑玻屑</w:t>
      </w:r>
      <w:r>
        <w:rPr>
          <w:rFonts w:ascii="宋体" w:hAnsi="宋体" w:eastAsia="宋体" w:cs="宋体"/>
          <w:spacing w:val="-9"/>
          <w:sz w:val="24"/>
          <w:szCs w:val="24"/>
        </w:rPr>
        <w:t>凝灰岩，零星分布有白垩系上统（K</w:t>
      </w:r>
      <w:r>
        <w:rPr>
          <w:rFonts w:ascii="宋体" w:hAnsi="宋体" w:eastAsia="宋体" w:cs="宋体"/>
          <w:spacing w:val="-9"/>
          <w:position w:val="-3"/>
          <w:sz w:val="12"/>
          <w:szCs w:val="12"/>
        </w:rPr>
        <w:t>2</w:t>
      </w:r>
      <w:r>
        <w:rPr>
          <w:rFonts w:ascii="宋体" w:hAnsi="宋体" w:eastAsia="宋体" w:cs="宋体"/>
          <w:spacing w:val="-9"/>
          <w:sz w:val="24"/>
          <w:szCs w:val="24"/>
        </w:rPr>
        <w:t>）</w:t>
      </w:r>
      <w:r>
        <w:rPr>
          <w:rFonts w:ascii="宋体" w:hAnsi="宋体" w:eastAsia="宋体" w:cs="宋体"/>
          <w:spacing w:val="1"/>
          <w:sz w:val="24"/>
          <w:szCs w:val="24"/>
        </w:rPr>
        <w:t xml:space="preserve"> </w:t>
      </w:r>
      <w:r>
        <w:rPr>
          <w:rFonts w:ascii="宋体" w:hAnsi="宋体" w:eastAsia="宋体" w:cs="宋体"/>
          <w:sz w:val="24"/>
          <w:szCs w:val="24"/>
        </w:rPr>
        <w:t>玄武岩，海拔高度一般</w:t>
      </w:r>
      <w:r>
        <w:rPr>
          <w:rFonts w:ascii="宋体" w:hAnsi="宋体" w:eastAsia="宋体" w:cs="宋体"/>
          <w:spacing w:val="-50"/>
          <w:sz w:val="24"/>
          <w:szCs w:val="24"/>
        </w:rPr>
        <w:t xml:space="preserve"> </w:t>
      </w:r>
      <w:r>
        <w:rPr>
          <w:rFonts w:ascii="宋体" w:hAnsi="宋体" w:eastAsia="宋体" w:cs="宋体"/>
          <w:sz w:val="24"/>
          <w:szCs w:val="24"/>
        </w:rPr>
        <w:t>950-1030m，相对高差一般</w:t>
      </w:r>
      <w:r>
        <w:rPr>
          <w:rFonts w:ascii="宋体" w:hAnsi="宋体" w:eastAsia="宋体" w:cs="宋体"/>
          <w:spacing w:val="-47"/>
          <w:sz w:val="24"/>
          <w:szCs w:val="24"/>
        </w:rPr>
        <w:t xml:space="preserve"> </w:t>
      </w:r>
      <w:r>
        <w:rPr>
          <w:rFonts w:ascii="宋体" w:hAnsi="宋体" w:eastAsia="宋体" w:cs="宋体"/>
          <w:sz w:val="24"/>
          <w:szCs w:val="24"/>
        </w:rPr>
        <w:t>80m。</w:t>
      </w:r>
      <w:r>
        <w:rPr>
          <w:rFonts w:ascii="宋体" w:hAnsi="宋体" w:eastAsia="宋体" w:cs="宋体"/>
          <w:spacing w:val="-1"/>
          <w:sz w:val="24"/>
          <w:szCs w:val="24"/>
        </w:rPr>
        <w:t>丘顶多呈浑圆状，局部</w:t>
      </w:r>
      <w:r>
        <w:rPr>
          <w:rFonts w:ascii="宋体" w:hAnsi="宋体" w:eastAsia="宋体" w:cs="宋体"/>
          <w:sz w:val="24"/>
          <w:szCs w:val="24"/>
        </w:rPr>
        <w:t xml:space="preserve">  </w:t>
      </w:r>
      <w:r>
        <w:rPr>
          <w:rFonts w:ascii="宋体" w:hAnsi="宋体" w:eastAsia="宋体" w:cs="宋体"/>
          <w:spacing w:val="-6"/>
          <w:sz w:val="24"/>
          <w:szCs w:val="24"/>
        </w:rPr>
        <w:t>可见侵蚀陡坎，坡度较缓，一般</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5-10</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w:t>
      </w:r>
      <w:r>
        <w:rPr>
          <w:rFonts w:ascii="宋体" w:hAnsi="宋体" w:eastAsia="宋体" w:cs="宋体"/>
          <w:spacing w:val="-90"/>
          <w:sz w:val="24"/>
          <w:szCs w:val="24"/>
        </w:rPr>
        <w:t xml:space="preserve"> </w:t>
      </w:r>
      <w:r>
        <w:rPr>
          <w:rFonts w:ascii="宋体" w:hAnsi="宋体" w:eastAsia="宋体" w:cs="宋体"/>
          <w:spacing w:val="-6"/>
          <w:sz w:val="24"/>
          <w:szCs w:val="24"/>
        </w:rPr>
        <w:t>,</w:t>
      </w:r>
      <w:r>
        <w:rPr>
          <w:rFonts w:ascii="宋体" w:hAnsi="宋体" w:eastAsia="宋体" w:cs="宋体"/>
          <w:spacing w:val="34"/>
          <w:sz w:val="24"/>
          <w:szCs w:val="24"/>
        </w:rPr>
        <w:t xml:space="preserve"> </w:t>
      </w:r>
      <w:r>
        <w:rPr>
          <w:rFonts w:ascii="宋体" w:hAnsi="宋体" w:eastAsia="宋体" w:cs="宋体"/>
          <w:spacing w:val="-6"/>
          <w:sz w:val="24"/>
          <w:szCs w:val="24"/>
        </w:rPr>
        <w:t>地势低洼处发育有丘</w:t>
      </w:r>
      <w:r>
        <w:rPr>
          <w:rFonts w:ascii="宋体" w:hAnsi="宋体" w:eastAsia="宋体" w:cs="宋体"/>
          <w:spacing w:val="-7"/>
          <w:sz w:val="24"/>
          <w:szCs w:val="24"/>
        </w:rPr>
        <w:t>间沟谷，地表水系</w:t>
      </w:r>
      <w:r>
        <w:rPr>
          <w:rFonts w:ascii="宋体" w:hAnsi="宋体" w:eastAsia="宋体" w:cs="宋体"/>
          <w:sz w:val="24"/>
          <w:szCs w:val="24"/>
        </w:rPr>
        <w:t xml:space="preserve"> </w:t>
      </w:r>
      <w:r>
        <w:rPr>
          <w:rFonts w:ascii="宋体" w:hAnsi="宋体" w:eastAsia="宋体" w:cs="宋体"/>
          <w:spacing w:val="-1"/>
          <w:sz w:val="24"/>
          <w:szCs w:val="24"/>
        </w:rPr>
        <w:t>较少，植被较发育，覆盖率一般</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40-50%</w:t>
      </w:r>
      <w:r>
        <w:rPr>
          <w:rFonts w:ascii="宋体" w:hAnsi="宋体" w:eastAsia="宋体" w:cs="宋体"/>
          <w:spacing w:val="-1"/>
          <w:sz w:val="24"/>
          <w:szCs w:val="24"/>
        </w:rPr>
        <w:t>左右。</w:t>
      </w:r>
    </w:p>
    <w:p w14:paraId="71EE6358">
      <w:pPr>
        <w:spacing w:before="24" w:line="220" w:lineRule="auto"/>
        <w:ind w:left="597"/>
        <w:rPr>
          <w:rFonts w:ascii="宋体" w:hAnsi="宋体" w:eastAsia="宋体" w:cs="宋体"/>
          <w:sz w:val="24"/>
          <w:szCs w:val="24"/>
        </w:rPr>
      </w:pPr>
      <w:r>
        <w:rPr>
          <w:rFonts w:ascii="Times New Roman" w:hAnsi="Times New Roman" w:eastAsia="Times New Roman" w:cs="Times New Roman"/>
          <w:spacing w:val="-7"/>
          <w:sz w:val="24"/>
          <w:szCs w:val="24"/>
        </w:rPr>
        <w:t>2</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、沟谷</w:t>
      </w:r>
      <w:r>
        <w:rPr>
          <w:rFonts w:ascii="宋体" w:hAnsi="宋体" w:eastAsia="宋体" w:cs="宋体"/>
          <w:spacing w:val="15"/>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Ⅱ</w:t>
      </w:r>
      <w:r>
        <w:rPr>
          <w:rFonts w:ascii="宋体" w:hAnsi="宋体" w:eastAsia="宋体" w:cs="宋体"/>
          <w:spacing w:val="-7"/>
          <w:sz w:val="24"/>
          <w:szCs w:val="24"/>
        </w:rPr>
        <w:t>)</w:t>
      </w:r>
    </w:p>
    <w:p w14:paraId="590AA4F9">
      <w:pPr>
        <w:spacing w:before="184" w:line="358" w:lineRule="auto"/>
        <w:ind w:left="121" w:right="37" w:firstLine="483"/>
        <w:rPr>
          <w:rFonts w:ascii="宋体" w:hAnsi="宋体" w:eastAsia="宋体" w:cs="宋体"/>
          <w:sz w:val="24"/>
          <w:szCs w:val="24"/>
        </w:rPr>
      </w:pPr>
      <w:r>
        <w:rPr>
          <w:rFonts w:ascii="宋体" w:hAnsi="宋体" w:eastAsia="宋体" w:cs="宋体"/>
          <w:spacing w:val="-3"/>
          <w:sz w:val="24"/>
          <w:szCs w:val="24"/>
        </w:rPr>
        <w:t>大面积分布于评价区丘间低洼处，岩性由第四系全新统冲湖积层（</w:t>
      </w:r>
      <w:r>
        <w:rPr>
          <w:rFonts w:ascii="Times New Roman" w:hAnsi="Times New Roman" w:eastAsia="Times New Roman" w:cs="Times New Roman"/>
          <w:spacing w:val="-3"/>
          <w:sz w:val="24"/>
          <w:szCs w:val="24"/>
        </w:rPr>
        <w:t>Q</w:t>
      </w:r>
      <w:r>
        <w:rPr>
          <w:rFonts w:ascii="Times New Roman" w:hAnsi="Times New Roman" w:eastAsia="Times New Roman" w:cs="Times New Roman"/>
          <w:spacing w:val="-3"/>
          <w:position w:val="-1"/>
          <w:sz w:val="15"/>
          <w:szCs w:val="15"/>
        </w:rPr>
        <w:t>h</w:t>
      </w:r>
      <w:r>
        <w:rPr>
          <w:rFonts w:ascii="Times New Roman" w:hAnsi="Times New Roman" w:eastAsia="Times New Roman" w:cs="Times New Roman"/>
          <w:spacing w:val="-3"/>
          <w:position w:val="8"/>
          <w:sz w:val="15"/>
          <w:szCs w:val="15"/>
        </w:rPr>
        <w:t>al+l</w:t>
      </w:r>
      <w:r>
        <w:rPr>
          <w:rFonts w:ascii="宋体" w:hAnsi="宋体" w:eastAsia="宋体" w:cs="宋体"/>
          <w:spacing w:val="-3"/>
          <w:sz w:val="24"/>
          <w:szCs w:val="24"/>
        </w:rPr>
        <w:t>）和</w:t>
      </w:r>
      <w:r>
        <w:rPr>
          <w:rFonts w:ascii="宋体" w:hAnsi="宋体" w:eastAsia="宋体" w:cs="宋体"/>
          <w:spacing w:val="1"/>
          <w:sz w:val="24"/>
          <w:szCs w:val="24"/>
        </w:rPr>
        <w:t xml:space="preserve"> </w:t>
      </w:r>
      <w:r>
        <w:rPr>
          <w:rFonts w:ascii="宋体" w:hAnsi="宋体" w:eastAsia="宋体" w:cs="宋体"/>
          <w:sz w:val="24"/>
          <w:szCs w:val="24"/>
        </w:rPr>
        <w:t>第四系全新统风积、冲积层（</w:t>
      </w:r>
      <w:r>
        <w:rPr>
          <w:rFonts w:ascii="Times New Roman" w:hAnsi="Times New Roman" w:eastAsia="Times New Roman" w:cs="Times New Roman"/>
          <w:sz w:val="24"/>
          <w:szCs w:val="24"/>
        </w:rPr>
        <w:t>Q</w:t>
      </w:r>
      <w:r>
        <w:rPr>
          <w:rFonts w:ascii="Times New Roman" w:hAnsi="Times New Roman" w:eastAsia="Times New Roman" w:cs="Times New Roman"/>
          <w:position w:val="-1"/>
          <w:sz w:val="15"/>
          <w:szCs w:val="15"/>
        </w:rPr>
        <w:t>h</w:t>
      </w:r>
      <w:r>
        <w:rPr>
          <w:rFonts w:ascii="Times New Roman" w:hAnsi="Times New Roman" w:eastAsia="Times New Roman" w:cs="Times New Roman"/>
          <w:position w:val="7"/>
          <w:sz w:val="15"/>
          <w:szCs w:val="15"/>
        </w:rPr>
        <w:t xml:space="preserve">eol+al </w:t>
      </w:r>
      <w:r>
        <w:rPr>
          <w:rFonts w:ascii="宋体" w:hAnsi="宋体" w:eastAsia="宋体" w:cs="宋体"/>
          <w:sz w:val="24"/>
          <w:szCs w:val="24"/>
        </w:rPr>
        <w:t>）粉土、粉质粘土、中粗砂、砾砂</w:t>
      </w:r>
      <w:r>
        <w:rPr>
          <w:rFonts w:ascii="宋体" w:hAnsi="宋体" w:eastAsia="宋体" w:cs="宋体"/>
          <w:spacing w:val="-1"/>
          <w:sz w:val="24"/>
          <w:szCs w:val="24"/>
        </w:rPr>
        <w:t>等组成，</w:t>
      </w:r>
      <w:r>
        <w:rPr>
          <w:rFonts w:ascii="宋体" w:hAnsi="宋体" w:eastAsia="宋体" w:cs="宋体"/>
          <w:sz w:val="24"/>
          <w:szCs w:val="24"/>
        </w:rPr>
        <w:t xml:space="preserve"> </w:t>
      </w:r>
      <w:r>
        <w:rPr>
          <w:rFonts w:ascii="宋体" w:hAnsi="宋体" w:eastAsia="宋体" w:cs="宋体"/>
          <w:spacing w:val="-3"/>
          <w:sz w:val="24"/>
          <w:szCs w:val="24"/>
        </w:rPr>
        <w:t>海拔高程</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920-980m </w:t>
      </w:r>
      <w:r>
        <w:rPr>
          <w:rFonts w:ascii="宋体" w:hAnsi="宋体" w:eastAsia="宋体" w:cs="宋体"/>
          <w:spacing w:val="-3"/>
          <w:sz w:val="24"/>
          <w:szCs w:val="24"/>
        </w:rPr>
        <w:t>左右，相对高差</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10-20m</w:t>
      </w:r>
      <w:r>
        <w:rPr>
          <w:rFonts w:ascii="宋体" w:hAnsi="宋体" w:eastAsia="宋体" w:cs="宋体"/>
          <w:spacing w:val="-3"/>
          <w:sz w:val="24"/>
          <w:szCs w:val="24"/>
        </w:rPr>
        <w:t>。沟谷平时为干河</w:t>
      </w:r>
      <w:r>
        <w:rPr>
          <w:rFonts w:ascii="宋体" w:hAnsi="宋体" w:eastAsia="宋体" w:cs="宋体"/>
          <w:spacing w:val="-4"/>
          <w:sz w:val="24"/>
          <w:szCs w:val="24"/>
        </w:rPr>
        <w:t>滩，只有洪水期有</w:t>
      </w:r>
      <w:r>
        <w:rPr>
          <w:rFonts w:ascii="宋体" w:hAnsi="宋体" w:eastAsia="宋体" w:cs="宋体"/>
          <w:sz w:val="24"/>
          <w:szCs w:val="24"/>
        </w:rPr>
        <w:t xml:space="preserve"> </w:t>
      </w:r>
      <w:r>
        <w:rPr>
          <w:rFonts w:ascii="宋体" w:hAnsi="宋体" w:eastAsia="宋体" w:cs="宋体"/>
          <w:spacing w:val="-2"/>
          <w:sz w:val="24"/>
          <w:szCs w:val="24"/>
        </w:rPr>
        <w:t>洪水通过，为季节性泄洪通道，雨后即干，植被较发育，覆盖率一般</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50%</w:t>
      </w:r>
      <w:r>
        <w:rPr>
          <w:rFonts w:ascii="宋体" w:hAnsi="宋体" w:eastAsia="宋体" w:cs="宋体"/>
          <w:spacing w:val="-2"/>
          <w:sz w:val="24"/>
          <w:szCs w:val="24"/>
        </w:rPr>
        <w:t>左右。</w:t>
      </w:r>
    </w:p>
    <w:p w14:paraId="330A0D5E">
      <w:pPr>
        <w:spacing w:line="358" w:lineRule="auto"/>
        <w:rPr>
          <w:rFonts w:ascii="宋体" w:hAnsi="宋体" w:eastAsia="宋体" w:cs="宋体"/>
          <w:sz w:val="24"/>
          <w:szCs w:val="24"/>
        </w:rPr>
        <w:sectPr>
          <w:headerReference r:id="rId242" w:type="default"/>
          <w:footerReference r:id="rId243" w:type="default"/>
          <w:pgSz w:w="11906" w:h="16839"/>
          <w:pgMar w:top="1208" w:right="1689" w:bottom="1358" w:left="1687" w:header="825" w:footer="1195" w:gutter="0"/>
          <w:cols w:space="720" w:num="1"/>
        </w:sectPr>
      </w:pPr>
    </w:p>
    <w:p w14:paraId="64193A33">
      <w:pPr>
        <w:pStyle w:val="2"/>
        <w:spacing w:line="265" w:lineRule="auto"/>
      </w:pPr>
    </w:p>
    <w:p w14:paraId="01B621C0">
      <w:pPr>
        <w:spacing w:before="78" w:line="219" w:lineRule="auto"/>
        <w:ind w:left="507"/>
        <w:rPr>
          <w:rFonts w:ascii="宋体" w:hAnsi="宋体" w:eastAsia="宋体" w:cs="宋体"/>
          <w:sz w:val="24"/>
          <w:szCs w:val="24"/>
        </w:rPr>
      </w:pPr>
      <w:r>
        <w:rPr>
          <w:rFonts w:ascii="宋体" w:hAnsi="宋体" w:eastAsia="宋体" w:cs="宋体"/>
          <w:spacing w:val="-4"/>
          <w:sz w:val="24"/>
          <w:szCs w:val="24"/>
        </w:rPr>
        <w:t>二、水文</w:t>
      </w:r>
    </w:p>
    <w:p w14:paraId="7E028DF1">
      <w:pPr>
        <w:spacing w:before="182" w:line="360" w:lineRule="auto"/>
        <w:ind w:left="24" w:right="99" w:firstLine="478"/>
        <w:rPr>
          <w:rFonts w:ascii="宋体" w:hAnsi="宋体" w:eastAsia="宋体" w:cs="宋体"/>
          <w:sz w:val="24"/>
          <w:szCs w:val="24"/>
        </w:rPr>
      </w:pPr>
      <w:r>
        <w:rPr>
          <w:rFonts w:ascii="宋体" w:hAnsi="宋体" w:eastAsia="宋体" w:cs="宋体"/>
          <w:spacing w:val="-3"/>
          <w:sz w:val="24"/>
          <w:szCs w:val="24"/>
        </w:rPr>
        <w:t>评价区属内陆水系，区内水系不发育，无地表水流。沟谷平时干</w:t>
      </w:r>
      <w:r>
        <w:rPr>
          <w:rFonts w:ascii="宋体" w:hAnsi="宋体" w:eastAsia="宋体" w:cs="宋体"/>
          <w:spacing w:val="-4"/>
          <w:sz w:val="24"/>
          <w:szCs w:val="24"/>
        </w:rPr>
        <w:t>涸无水，雨</w:t>
      </w:r>
      <w:r>
        <w:rPr>
          <w:rFonts w:ascii="宋体" w:hAnsi="宋体" w:eastAsia="宋体" w:cs="宋体"/>
          <w:sz w:val="24"/>
          <w:szCs w:val="24"/>
        </w:rPr>
        <w:t xml:space="preserve"> </w:t>
      </w:r>
      <w:r>
        <w:rPr>
          <w:rFonts w:ascii="宋体" w:hAnsi="宋体" w:eastAsia="宋体" w:cs="宋体"/>
          <w:spacing w:val="-1"/>
          <w:sz w:val="24"/>
          <w:szCs w:val="24"/>
        </w:rPr>
        <w:t>季有洪水通过，为季节性泄洪通道，过后即干。</w:t>
      </w:r>
    </w:p>
    <w:p w14:paraId="1681227B">
      <w:pPr>
        <w:spacing w:line="219" w:lineRule="auto"/>
        <w:ind w:left="503"/>
        <w:rPr>
          <w:rFonts w:ascii="宋体" w:hAnsi="宋体" w:eastAsia="宋体" w:cs="宋体"/>
          <w:sz w:val="24"/>
          <w:szCs w:val="24"/>
        </w:rPr>
      </w:pPr>
      <w:r>
        <w:rPr>
          <w:rFonts w:ascii="宋体" w:hAnsi="宋体" w:eastAsia="宋体" w:cs="宋体"/>
          <w:spacing w:val="-2"/>
          <w:sz w:val="24"/>
          <w:szCs w:val="24"/>
        </w:rPr>
        <w:t>三、地层构造</w:t>
      </w:r>
    </w:p>
    <w:p w14:paraId="7CEE1F42">
      <w:pPr>
        <w:spacing w:before="183" w:line="360" w:lineRule="auto"/>
        <w:ind w:left="23" w:right="99" w:firstLine="479"/>
        <w:jc w:val="both"/>
        <w:rPr>
          <w:rFonts w:ascii="宋体" w:hAnsi="宋体" w:eastAsia="宋体" w:cs="宋体"/>
          <w:sz w:val="24"/>
          <w:szCs w:val="24"/>
        </w:rPr>
      </w:pPr>
      <w:r>
        <w:rPr>
          <w:rFonts w:ascii="宋体" w:hAnsi="宋体" w:eastAsia="宋体" w:cs="宋体"/>
          <w:spacing w:val="2"/>
          <w:sz w:val="24"/>
          <w:szCs w:val="24"/>
        </w:rPr>
        <w:t>评价区处于西伯利亚板块、华北板块与松辽板块结</w:t>
      </w:r>
      <w:r>
        <w:rPr>
          <w:rFonts w:ascii="宋体" w:hAnsi="宋体" w:eastAsia="宋体" w:cs="宋体"/>
          <w:spacing w:val="1"/>
          <w:sz w:val="24"/>
          <w:szCs w:val="24"/>
        </w:rPr>
        <w:t>合部位及其走向为北东</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北北东向的华力西褶皱带内。其地层区划古生代属华北地层大区，内蒙古草原地</w:t>
      </w:r>
      <w:r>
        <w:rPr>
          <w:rFonts w:ascii="宋体" w:hAnsi="宋体" w:eastAsia="宋体" w:cs="宋体"/>
          <w:spacing w:val="1"/>
          <w:sz w:val="24"/>
          <w:szCs w:val="24"/>
        </w:rPr>
        <w:t xml:space="preserve"> </w:t>
      </w:r>
      <w:r>
        <w:rPr>
          <w:rFonts w:ascii="宋体" w:hAnsi="宋体" w:eastAsia="宋体" w:cs="宋体"/>
          <w:spacing w:val="2"/>
          <w:sz w:val="24"/>
          <w:szCs w:val="24"/>
        </w:rPr>
        <w:t>层区，赤峰地层分区。按中生代地层区划属滨太</w:t>
      </w:r>
      <w:r>
        <w:rPr>
          <w:rFonts w:ascii="宋体" w:hAnsi="宋体" w:eastAsia="宋体" w:cs="宋体"/>
          <w:spacing w:val="1"/>
          <w:sz w:val="24"/>
          <w:szCs w:val="24"/>
        </w:rPr>
        <w:t>平洋地层区，大兴安岭</w:t>
      </w:r>
      <w:r>
        <w:rPr>
          <w:rFonts w:ascii="Times New Roman" w:hAnsi="Times New Roman" w:eastAsia="Times New Roman" w:cs="Times New Roman"/>
          <w:spacing w:val="1"/>
          <w:sz w:val="24"/>
          <w:szCs w:val="24"/>
        </w:rPr>
        <w:t>-</w:t>
      </w:r>
      <w:r>
        <w:rPr>
          <w:rFonts w:ascii="宋体" w:hAnsi="宋体" w:eastAsia="宋体" w:cs="宋体"/>
          <w:spacing w:val="1"/>
          <w:sz w:val="24"/>
          <w:szCs w:val="24"/>
        </w:rPr>
        <w:t>燕山地</w:t>
      </w:r>
      <w:r>
        <w:rPr>
          <w:rFonts w:ascii="宋体" w:hAnsi="宋体" w:eastAsia="宋体" w:cs="宋体"/>
          <w:sz w:val="24"/>
          <w:szCs w:val="24"/>
        </w:rPr>
        <w:t xml:space="preserve"> 层分区，乌兰浩特</w:t>
      </w:r>
      <w:r>
        <w:rPr>
          <w:rFonts w:ascii="Times New Roman" w:hAnsi="Times New Roman" w:eastAsia="Times New Roman" w:cs="Times New Roman"/>
          <w:sz w:val="24"/>
          <w:szCs w:val="24"/>
        </w:rPr>
        <w:t>-</w:t>
      </w:r>
      <w:r>
        <w:rPr>
          <w:rFonts w:ascii="宋体" w:hAnsi="宋体" w:eastAsia="宋体" w:cs="宋体"/>
          <w:sz w:val="24"/>
          <w:szCs w:val="24"/>
        </w:rPr>
        <w:t>赤峰地层小区。现将地层、岩</w:t>
      </w:r>
      <w:r>
        <w:rPr>
          <w:rFonts w:ascii="宋体" w:hAnsi="宋体" w:eastAsia="宋体" w:cs="宋体"/>
          <w:spacing w:val="-1"/>
          <w:sz w:val="24"/>
          <w:szCs w:val="24"/>
        </w:rPr>
        <w:t>浆岩及构造活动分述如下。</w:t>
      </w:r>
    </w:p>
    <w:p w14:paraId="0C8676F3">
      <w:pPr>
        <w:spacing w:line="219" w:lineRule="auto"/>
        <w:ind w:left="514"/>
        <w:rPr>
          <w:rFonts w:ascii="宋体" w:hAnsi="宋体" w:eastAsia="宋体" w:cs="宋体"/>
          <w:sz w:val="24"/>
          <w:szCs w:val="24"/>
        </w:rPr>
      </w:pPr>
      <w:r>
        <w:rPr>
          <w:rFonts w:ascii="宋体" w:hAnsi="宋体" w:eastAsia="宋体" w:cs="宋体"/>
          <w:spacing w:val="-5"/>
          <w:sz w:val="24"/>
          <w:szCs w:val="24"/>
        </w:rPr>
        <w:t>（一）地层</w:t>
      </w:r>
    </w:p>
    <w:p w14:paraId="3C6EEA29">
      <w:pPr>
        <w:spacing w:before="180" w:line="358" w:lineRule="auto"/>
        <w:ind w:left="23" w:right="99" w:firstLine="483"/>
        <w:jc w:val="both"/>
        <w:rPr>
          <w:rFonts w:ascii="宋体" w:hAnsi="宋体" w:eastAsia="宋体" w:cs="宋体"/>
          <w:sz w:val="24"/>
          <w:szCs w:val="24"/>
        </w:rPr>
      </w:pPr>
      <w:r>
        <w:rPr>
          <w:rFonts w:ascii="宋体" w:hAnsi="宋体" w:eastAsia="宋体" w:cs="宋体"/>
          <w:spacing w:val="-3"/>
          <w:sz w:val="24"/>
          <w:szCs w:val="24"/>
        </w:rPr>
        <w:t>项目所在区域段地层较简单，地层出露较差，大部分被</w:t>
      </w:r>
      <w:r>
        <w:rPr>
          <w:rFonts w:ascii="宋体" w:hAnsi="宋体" w:eastAsia="宋体" w:cs="宋体"/>
          <w:spacing w:val="-4"/>
          <w:sz w:val="24"/>
          <w:szCs w:val="24"/>
        </w:rPr>
        <w:t>第四系覆盖。区内主</w:t>
      </w:r>
      <w:r>
        <w:rPr>
          <w:rFonts w:ascii="宋体" w:hAnsi="宋体" w:eastAsia="宋体" w:cs="宋体"/>
          <w:sz w:val="24"/>
          <w:szCs w:val="24"/>
        </w:rPr>
        <w:t xml:space="preserve"> 要出露地层有古生界二叠系下统统格根敖包组（</w:t>
      </w:r>
      <w:r>
        <w:rPr>
          <w:rFonts w:ascii="Times New Roman" w:hAnsi="Times New Roman" w:eastAsia="Times New Roman" w:cs="Times New Roman"/>
          <w:sz w:val="24"/>
          <w:szCs w:val="24"/>
        </w:rPr>
        <w:t>P1g</w:t>
      </w:r>
      <w:r>
        <w:rPr>
          <w:rFonts w:ascii="宋体" w:hAnsi="宋体" w:eastAsia="宋体" w:cs="宋体"/>
          <w:sz w:val="24"/>
          <w:szCs w:val="24"/>
        </w:rPr>
        <w:t>）、中生界侏罗系上统兴安</w:t>
      </w:r>
      <w:r>
        <w:rPr>
          <w:rFonts w:ascii="宋体" w:hAnsi="宋体" w:eastAsia="宋体" w:cs="宋体"/>
          <w:spacing w:val="2"/>
          <w:sz w:val="24"/>
          <w:szCs w:val="24"/>
        </w:rPr>
        <w:t xml:space="preserve"> </w:t>
      </w:r>
      <w:r>
        <w:rPr>
          <w:rFonts w:ascii="宋体" w:hAnsi="宋体" w:eastAsia="宋体" w:cs="宋体"/>
          <w:spacing w:val="1"/>
          <w:sz w:val="24"/>
          <w:szCs w:val="24"/>
        </w:rPr>
        <w:t>岭群（</w:t>
      </w:r>
      <w:r>
        <w:rPr>
          <w:rFonts w:ascii="Times New Roman" w:hAnsi="Times New Roman" w:eastAsia="Times New Roman" w:cs="Times New Roman"/>
          <w:spacing w:val="1"/>
          <w:sz w:val="24"/>
          <w:szCs w:val="24"/>
        </w:rPr>
        <w:t>J3</w:t>
      </w:r>
      <w:r>
        <w:rPr>
          <w:rFonts w:ascii="Times New Roman" w:hAnsi="Times New Roman" w:eastAsia="Times New Roman" w:cs="Times New Roman"/>
          <w:sz w:val="24"/>
          <w:szCs w:val="24"/>
        </w:rPr>
        <w:t>xn</w:t>
      </w:r>
      <w:r>
        <w:rPr>
          <w:rFonts w:ascii="宋体" w:hAnsi="宋体" w:eastAsia="宋体" w:cs="宋体"/>
          <w:spacing w:val="1"/>
          <w:sz w:val="24"/>
          <w:szCs w:val="24"/>
        </w:rPr>
        <w:t>）、白垩系上统（</w:t>
      </w:r>
      <w:r>
        <w:rPr>
          <w:rFonts w:ascii="Times New Roman" w:hAnsi="Times New Roman" w:eastAsia="Times New Roman" w:cs="Times New Roman"/>
          <w:spacing w:val="1"/>
          <w:sz w:val="24"/>
          <w:szCs w:val="24"/>
        </w:rPr>
        <w:t>K2</w:t>
      </w:r>
      <w:r>
        <w:rPr>
          <w:rFonts w:ascii="宋体" w:hAnsi="宋体" w:eastAsia="宋体" w:cs="宋体"/>
          <w:spacing w:val="1"/>
          <w:sz w:val="24"/>
          <w:szCs w:val="24"/>
        </w:rPr>
        <w:t>）及第四系全新统（</w:t>
      </w:r>
      <w:r>
        <w:rPr>
          <w:rFonts w:ascii="Times New Roman" w:hAnsi="Times New Roman" w:eastAsia="Times New Roman" w:cs="Times New Roman"/>
          <w:sz w:val="24"/>
          <w:szCs w:val="24"/>
        </w:rPr>
        <w:t>Qh</w:t>
      </w:r>
      <w:r>
        <w:rPr>
          <w:rFonts w:ascii="宋体" w:hAnsi="宋体" w:eastAsia="宋体" w:cs="宋体"/>
          <w:spacing w:val="11"/>
          <w:sz w:val="24"/>
          <w:szCs w:val="24"/>
        </w:rPr>
        <w:t>），</w:t>
      </w:r>
      <w:r>
        <w:rPr>
          <w:rFonts w:ascii="宋体" w:hAnsi="宋体" w:eastAsia="宋体" w:cs="宋体"/>
          <w:spacing w:val="1"/>
          <w:sz w:val="24"/>
          <w:szCs w:val="24"/>
        </w:rPr>
        <w:t xml:space="preserve">各地层由老到新简 </w:t>
      </w:r>
      <w:r>
        <w:rPr>
          <w:rFonts w:ascii="宋体" w:hAnsi="宋体" w:eastAsia="宋体" w:cs="宋体"/>
          <w:spacing w:val="-3"/>
          <w:sz w:val="24"/>
          <w:szCs w:val="24"/>
        </w:rPr>
        <w:t>述如下：</w:t>
      </w:r>
    </w:p>
    <w:p w14:paraId="76889939">
      <w:pPr>
        <w:spacing w:before="13" w:line="212"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）古生界二叠系下统格根敖包组（</w:t>
      </w:r>
      <w:r>
        <w:rPr>
          <w:rFonts w:ascii="Times New Roman" w:hAnsi="Times New Roman" w:eastAsia="Times New Roman" w:cs="Times New Roman"/>
          <w:spacing w:val="-2"/>
          <w:sz w:val="24"/>
          <w:szCs w:val="24"/>
        </w:rPr>
        <w:t>P1g</w:t>
      </w:r>
      <w:r>
        <w:rPr>
          <w:rFonts w:ascii="宋体" w:hAnsi="宋体" w:eastAsia="宋体" w:cs="宋体"/>
          <w:spacing w:val="-2"/>
          <w:sz w:val="24"/>
          <w:szCs w:val="24"/>
        </w:rPr>
        <w:t>）</w:t>
      </w:r>
    </w:p>
    <w:p w14:paraId="79105971">
      <w:pPr>
        <w:spacing w:before="192" w:line="219" w:lineRule="auto"/>
        <w:ind w:left="504"/>
        <w:rPr>
          <w:rFonts w:ascii="宋体" w:hAnsi="宋体" w:eastAsia="宋体" w:cs="宋体"/>
          <w:sz w:val="24"/>
          <w:szCs w:val="24"/>
        </w:rPr>
      </w:pPr>
      <w:r>
        <w:rPr>
          <w:rFonts w:ascii="宋体" w:hAnsi="宋体" w:eastAsia="宋体" w:cs="宋体"/>
          <w:spacing w:val="-1"/>
          <w:sz w:val="24"/>
          <w:szCs w:val="24"/>
        </w:rPr>
        <w:t>本组共分五个岩段，由下至上为：</w:t>
      </w:r>
    </w:p>
    <w:p w14:paraId="1E3992E8">
      <w:pPr>
        <w:spacing w:before="182" w:line="358" w:lineRule="auto"/>
        <w:ind w:left="23" w:firstLine="480"/>
        <w:jc w:val="both"/>
        <w:rPr>
          <w:rFonts w:ascii="宋体" w:hAnsi="宋体" w:eastAsia="宋体" w:cs="宋体"/>
          <w:sz w:val="24"/>
          <w:szCs w:val="24"/>
        </w:rPr>
      </w:pPr>
      <w:r>
        <w:rPr>
          <w:rFonts w:ascii="宋体" w:hAnsi="宋体" w:eastAsia="宋体" w:cs="宋体"/>
          <w:spacing w:val="-3"/>
          <w:sz w:val="24"/>
          <w:szCs w:val="24"/>
        </w:rPr>
        <w:t>第一岩段（</w:t>
      </w:r>
      <w:r>
        <w:rPr>
          <w:rFonts w:ascii="Times New Roman" w:hAnsi="Times New Roman" w:eastAsia="Times New Roman" w:cs="Times New Roman"/>
          <w:spacing w:val="-3"/>
          <w:sz w:val="24"/>
          <w:szCs w:val="24"/>
        </w:rPr>
        <w:t>P1g1</w:t>
      </w:r>
      <w:r>
        <w:rPr>
          <w:rFonts w:ascii="宋体" w:hAnsi="宋体" w:eastAsia="宋体" w:cs="宋体"/>
          <w:spacing w:val="-10"/>
          <w:sz w:val="24"/>
          <w:szCs w:val="24"/>
        </w:rPr>
        <w:t>）：</w:t>
      </w:r>
      <w:r>
        <w:rPr>
          <w:rFonts w:ascii="宋体" w:hAnsi="宋体" w:eastAsia="宋体" w:cs="宋体"/>
          <w:spacing w:val="-3"/>
          <w:sz w:val="24"/>
          <w:szCs w:val="24"/>
        </w:rPr>
        <w:t>评价区内未出露，下部为凝灰质砂岩、火山角砾岩、板</w:t>
      </w:r>
      <w:r>
        <w:rPr>
          <w:rFonts w:ascii="宋体" w:hAnsi="宋体" w:eastAsia="宋体" w:cs="宋体"/>
          <w:spacing w:val="1"/>
          <w:sz w:val="24"/>
          <w:szCs w:val="24"/>
        </w:rPr>
        <w:t xml:space="preserve"> </w:t>
      </w:r>
      <w:r>
        <w:rPr>
          <w:rFonts w:ascii="宋体" w:hAnsi="宋体" w:eastAsia="宋体" w:cs="宋体"/>
          <w:spacing w:val="-6"/>
          <w:sz w:val="24"/>
          <w:szCs w:val="24"/>
        </w:rPr>
        <w:t>岩；上部为板岩夹岩屑晶屑凝灰岩，厚度大于</w:t>
      </w:r>
      <w:r>
        <w:rPr>
          <w:rFonts w:ascii="宋体" w:hAnsi="宋体" w:eastAsia="宋体" w:cs="宋体"/>
          <w:spacing w:val="-19"/>
          <w:sz w:val="24"/>
          <w:szCs w:val="24"/>
        </w:rPr>
        <w:t xml:space="preserve"> </w:t>
      </w:r>
      <w:r>
        <w:rPr>
          <w:rFonts w:ascii="Times New Roman" w:hAnsi="Times New Roman" w:eastAsia="Times New Roman" w:cs="Times New Roman"/>
          <w:spacing w:val="-6"/>
          <w:sz w:val="24"/>
          <w:szCs w:val="24"/>
        </w:rPr>
        <w:t>1737.4m</w:t>
      </w:r>
      <w:r>
        <w:rPr>
          <w:rFonts w:ascii="宋体" w:hAnsi="宋体" w:eastAsia="宋体" w:cs="宋体"/>
          <w:spacing w:val="-6"/>
          <w:sz w:val="24"/>
          <w:szCs w:val="24"/>
        </w:rPr>
        <w:t>。上限与第二岩段（</w:t>
      </w:r>
      <w:r>
        <w:rPr>
          <w:rFonts w:ascii="Times New Roman" w:hAnsi="Times New Roman" w:eastAsia="Times New Roman" w:cs="Times New Roman"/>
          <w:spacing w:val="-6"/>
          <w:sz w:val="24"/>
          <w:szCs w:val="24"/>
        </w:rPr>
        <w:t>P1g2</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3"/>
          <w:sz w:val="24"/>
          <w:szCs w:val="24"/>
        </w:rPr>
        <w:t>呈断层接触，下限与下二迭统呈断层接触，本段由于华力西晚期辉绿岩的侵入使</w:t>
      </w:r>
      <w:r>
        <w:rPr>
          <w:rFonts w:ascii="宋体" w:hAnsi="宋体" w:eastAsia="宋体" w:cs="宋体"/>
          <w:spacing w:val="1"/>
          <w:sz w:val="24"/>
          <w:szCs w:val="24"/>
        </w:rPr>
        <w:t xml:space="preserve"> </w:t>
      </w:r>
      <w:r>
        <w:rPr>
          <w:rFonts w:ascii="宋体" w:hAnsi="宋体" w:eastAsia="宋体" w:cs="宋体"/>
          <w:spacing w:val="-2"/>
          <w:sz w:val="24"/>
          <w:szCs w:val="24"/>
        </w:rPr>
        <w:t>层序出露不连续。</w:t>
      </w:r>
    </w:p>
    <w:p w14:paraId="39685E20">
      <w:pPr>
        <w:spacing w:before="13" w:line="358" w:lineRule="auto"/>
        <w:ind w:left="23" w:right="37" w:firstLine="480"/>
        <w:jc w:val="both"/>
        <w:rPr>
          <w:rFonts w:ascii="宋体" w:hAnsi="宋体" w:eastAsia="宋体" w:cs="宋体"/>
          <w:sz w:val="24"/>
          <w:szCs w:val="24"/>
        </w:rPr>
      </w:pPr>
      <w:r>
        <w:rPr>
          <w:rFonts w:ascii="宋体" w:hAnsi="宋体" w:eastAsia="宋体" w:cs="宋体"/>
          <w:spacing w:val="-6"/>
          <w:sz w:val="24"/>
          <w:szCs w:val="24"/>
        </w:rPr>
        <w:t>第二岩段（</w:t>
      </w:r>
      <w:r>
        <w:rPr>
          <w:rFonts w:ascii="Times New Roman" w:hAnsi="Times New Roman" w:eastAsia="Times New Roman" w:cs="Times New Roman"/>
          <w:spacing w:val="-6"/>
          <w:sz w:val="24"/>
          <w:szCs w:val="24"/>
        </w:rPr>
        <w:t>P1g2</w:t>
      </w:r>
      <w:r>
        <w:rPr>
          <w:rFonts w:ascii="宋体" w:hAnsi="宋体" w:eastAsia="宋体" w:cs="宋体"/>
          <w:spacing w:val="-46"/>
          <w:sz w:val="24"/>
          <w:szCs w:val="24"/>
        </w:rPr>
        <w:t>）：</w:t>
      </w:r>
      <w:r>
        <w:rPr>
          <w:rFonts w:ascii="宋体" w:hAnsi="宋体" w:eastAsia="宋体" w:cs="宋体"/>
          <w:spacing w:val="-6"/>
          <w:sz w:val="24"/>
          <w:szCs w:val="24"/>
        </w:rPr>
        <w:t>评价区内未出露，上部出露于罕马拉东南部那尔图一带，</w:t>
      </w:r>
      <w:r>
        <w:rPr>
          <w:rFonts w:ascii="宋体" w:hAnsi="宋体" w:eastAsia="宋体" w:cs="宋体"/>
          <w:sz w:val="24"/>
          <w:szCs w:val="24"/>
        </w:rPr>
        <w:t xml:space="preserve"> </w:t>
      </w:r>
      <w:r>
        <w:rPr>
          <w:rFonts w:ascii="宋体" w:hAnsi="宋体" w:eastAsia="宋体" w:cs="宋体"/>
          <w:spacing w:val="-6"/>
          <w:sz w:val="24"/>
          <w:szCs w:val="24"/>
        </w:rPr>
        <w:t>岩性主要为安山玢岩、流纹岩及板岩，厚度大于</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2017.3m</w:t>
      </w:r>
      <w:r>
        <w:rPr>
          <w:rFonts w:ascii="宋体" w:hAnsi="宋体" w:eastAsia="宋体" w:cs="宋体"/>
          <w:spacing w:val="-6"/>
          <w:sz w:val="24"/>
          <w:szCs w:val="24"/>
        </w:rPr>
        <w:t>，地层均形成向斜构造，</w:t>
      </w:r>
      <w:r>
        <w:rPr>
          <w:rFonts w:ascii="宋体" w:hAnsi="宋体" w:eastAsia="宋体" w:cs="宋体"/>
          <w:sz w:val="24"/>
          <w:szCs w:val="24"/>
        </w:rPr>
        <w:t xml:space="preserve"> </w:t>
      </w:r>
      <w:r>
        <w:rPr>
          <w:rFonts w:ascii="宋体" w:hAnsi="宋体" w:eastAsia="宋体" w:cs="宋体"/>
          <w:spacing w:val="-1"/>
          <w:sz w:val="24"/>
          <w:szCs w:val="24"/>
        </w:rPr>
        <w:t>与第三岩段（</w:t>
      </w:r>
      <w:r>
        <w:rPr>
          <w:rFonts w:ascii="Times New Roman" w:hAnsi="Times New Roman" w:eastAsia="Times New Roman" w:cs="Times New Roman"/>
          <w:spacing w:val="-1"/>
          <w:sz w:val="24"/>
          <w:szCs w:val="24"/>
        </w:rPr>
        <w:t>P1g3</w:t>
      </w:r>
      <w:r>
        <w:rPr>
          <w:rFonts w:ascii="宋体" w:hAnsi="宋体" w:eastAsia="宋体" w:cs="宋体"/>
          <w:spacing w:val="-1"/>
          <w:sz w:val="24"/>
          <w:szCs w:val="24"/>
        </w:rPr>
        <w:t>）呈断层接触。</w:t>
      </w:r>
    </w:p>
    <w:p w14:paraId="434E93F7">
      <w:pPr>
        <w:spacing w:before="8" w:line="358" w:lineRule="auto"/>
        <w:ind w:left="23" w:right="52" w:firstLine="480"/>
        <w:jc w:val="both"/>
        <w:rPr>
          <w:rFonts w:ascii="宋体" w:hAnsi="宋体" w:eastAsia="宋体" w:cs="宋体"/>
          <w:sz w:val="24"/>
          <w:szCs w:val="24"/>
        </w:rPr>
      </w:pPr>
      <w:r>
        <w:rPr>
          <w:rFonts w:ascii="宋体" w:hAnsi="宋体" w:eastAsia="宋体" w:cs="宋体"/>
          <w:spacing w:val="-2"/>
          <w:sz w:val="24"/>
          <w:szCs w:val="24"/>
        </w:rPr>
        <w:t>第三岩段（</w:t>
      </w:r>
      <w:r>
        <w:rPr>
          <w:rFonts w:ascii="Times New Roman" w:hAnsi="Times New Roman" w:eastAsia="Times New Roman" w:cs="Times New Roman"/>
          <w:spacing w:val="-2"/>
          <w:sz w:val="24"/>
          <w:szCs w:val="24"/>
        </w:rPr>
        <w:t>P1g3</w:t>
      </w:r>
      <w:r>
        <w:rPr>
          <w:rFonts w:ascii="宋体" w:hAnsi="宋体" w:eastAsia="宋体" w:cs="宋体"/>
          <w:spacing w:val="4"/>
          <w:sz w:val="24"/>
          <w:szCs w:val="24"/>
        </w:rPr>
        <w:t>）：</w:t>
      </w:r>
      <w:r>
        <w:rPr>
          <w:rFonts w:ascii="宋体" w:hAnsi="宋体" w:eastAsia="宋体" w:cs="宋体"/>
          <w:spacing w:val="-2"/>
          <w:sz w:val="24"/>
          <w:szCs w:val="24"/>
        </w:rPr>
        <w:t>评价区内未出露，岩性主</w:t>
      </w:r>
      <w:r>
        <w:rPr>
          <w:rFonts w:ascii="宋体" w:hAnsi="宋体" w:eastAsia="宋体" w:cs="宋体"/>
          <w:spacing w:val="-3"/>
          <w:sz w:val="24"/>
          <w:szCs w:val="24"/>
        </w:rPr>
        <w:t>要为凝灰质粉砂岩夹硬砂岩，</w:t>
      </w:r>
      <w:r>
        <w:rPr>
          <w:rFonts w:ascii="宋体" w:hAnsi="宋体" w:eastAsia="宋体" w:cs="宋体"/>
          <w:sz w:val="24"/>
          <w:szCs w:val="24"/>
        </w:rPr>
        <w:t xml:space="preserve"> </w:t>
      </w:r>
      <w:r>
        <w:rPr>
          <w:rFonts w:ascii="宋体" w:hAnsi="宋体" w:eastAsia="宋体" w:cs="宋体"/>
          <w:spacing w:val="-3"/>
          <w:sz w:val="24"/>
          <w:szCs w:val="24"/>
        </w:rPr>
        <w:t>板岩、灰岩。厚度大于</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1299.2m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，因褶皱构造影响，与石英闪长岩、安山岩呈断</w:t>
      </w:r>
      <w:r>
        <w:rPr>
          <w:rFonts w:ascii="宋体" w:hAnsi="宋体" w:eastAsia="宋体" w:cs="宋体"/>
          <w:sz w:val="24"/>
          <w:szCs w:val="24"/>
        </w:rPr>
        <w:t xml:space="preserve"> </w:t>
      </w:r>
      <w:r>
        <w:rPr>
          <w:rFonts w:ascii="宋体" w:hAnsi="宋体" w:eastAsia="宋体" w:cs="宋体"/>
          <w:spacing w:val="-3"/>
          <w:sz w:val="24"/>
          <w:szCs w:val="24"/>
        </w:rPr>
        <w:t>层接触。</w:t>
      </w:r>
    </w:p>
    <w:p w14:paraId="04FB1F36">
      <w:pPr>
        <w:spacing w:before="7" w:line="354" w:lineRule="auto"/>
        <w:ind w:left="23" w:right="99" w:firstLine="480"/>
        <w:jc w:val="both"/>
        <w:rPr>
          <w:rFonts w:ascii="宋体" w:hAnsi="宋体" w:eastAsia="宋体" w:cs="宋体"/>
          <w:sz w:val="24"/>
          <w:szCs w:val="24"/>
        </w:rPr>
      </w:pPr>
      <w:r>
        <w:rPr>
          <w:rFonts w:ascii="宋体" w:hAnsi="宋体" w:eastAsia="宋体" w:cs="宋体"/>
          <w:spacing w:val="-3"/>
          <w:sz w:val="24"/>
          <w:szCs w:val="24"/>
        </w:rPr>
        <w:t>第四岩段（</w:t>
      </w:r>
      <w:r>
        <w:rPr>
          <w:rFonts w:ascii="Times New Roman" w:hAnsi="Times New Roman" w:eastAsia="Times New Roman" w:cs="Times New Roman"/>
          <w:spacing w:val="-3"/>
          <w:sz w:val="24"/>
          <w:szCs w:val="24"/>
        </w:rPr>
        <w:t>P1g4</w:t>
      </w:r>
      <w:r>
        <w:rPr>
          <w:rFonts w:ascii="宋体" w:hAnsi="宋体" w:eastAsia="宋体" w:cs="宋体"/>
          <w:spacing w:val="-10"/>
          <w:sz w:val="24"/>
          <w:szCs w:val="24"/>
        </w:rPr>
        <w:t>）：</w:t>
      </w:r>
      <w:r>
        <w:rPr>
          <w:rFonts w:ascii="宋体" w:hAnsi="宋体" w:eastAsia="宋体" w:cs="宋体"/>
          <w:spacing w:val="-3"/>
          <w:sz w:val="24"/>
          <w:szCs w:val="24"/>
        </w:rPr>
        <w:t>评价区内未出露，主要岩性为凝灰质细砂岩、含砾岩屑</w:t>
      </w:r>
      <w:r>
        <w:rPr>
          <w:rFonts w:ascii="宋体" w:hAnsi="宋体" w:eastAsia="宋体" w:cs="宋体"/>
          <w:spacing w:val="1"/>
          <w:sz w:val="24"/>
          <w:szCs w:val="24"/>
        </w:rPr>
        <w:t xml:space="preserve"> </w:t>
      </w:r>
      <w:r>
        <w:rPr>
          <w:rFonts w:ascii="宋体" w:hAnsi="宋体" w:eastAsia="宋体" w:cs="宋体"/>
          <w:sz w:val="24"/>
          <w:szCs w:val="24"/>
        </w:rPr>
        <w:t>晶屑凝灰岩及凝灰质角砾岩、砂砾岩。厚度大于</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997.9m</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，与上限（</w:t>
      </w:r>
      <w:r>
        <w:rPr>
          <w:rFonts w:ascii="Times New Roman" w:hAnsi="Times New Roman" w:eastAsia="Times New Roman" w:cs="Times New Roman"/>
          <w:sz w:val="24"/>
          <w:szCs w:val="24"/>
        </w:rPr>
        <w:t>P1g5</w:t>
      </w:r>
      <w:r>
        <w:rPr>
          <w:rFonts w:ascii="宋体" w:hAnsi="宋体" w:eastAsia="宋体" w:cs="宋体"/>
          <w:sz w:val="24"/>
          <w:szCs w:val="24"/>
        </w:rPr>
        <w:t xml:space="preserve">）呈断 </w:t>
      </w:r>
      <w:r>
        <w:rPr>
          <w:rFonts w:ascii="宋体" w:hAnsi="宋体" w:eastAsia="宋体" w:cs="宋体"/>
          <w:spacing w:val="-1"/>
          <w:sz w:val="24"/>
          <w:szCs w:val="24"/>
        </w:rPr>
        <w:t>层接触，与下限呈整合接触。</w:t>
      </w:r>
    </w:p>
    <w:p w14:paraId="1861FC23">
      <w:pPr>
        <w:spacing w:before="6"/>
        <w:ind w:left="503"/>
        <w:rPr>
          <w:rFonts w:ascii="宋体" w:hAnsi="宋体" w:eastAsia="宋体" w:cs="宋体"/>
          <w:sz w:val="24"/>
          <w:szCs w:val="24"/>
        </w:rPr>
      </w:pPr>
      <w:r>
        <w:rPr>
          <w:rFonts w:ascii="宋体" w:hAnsi="宋体" w:eastAsia="宋体" w:cs="宋体"/>
          <w:sz w:val="24"/>
          <w:szCs w:val="24"/>
        </w:rPr>
        <w:t>第五岩段（P</w:t>
      </w:r>
      <w:r>
        <w:rPr>
          <w:rFonts w:ascii="宋体" w:hAnsi="宋体" w:eastAsia="宋体" w:cs="宋体"/>
          <w:position w:val="-3"/>
          <w:sz w:val="12"/>
          <w:szCs w:val="12"/>
        </w:rPr>
        <w:t>1</w:t>
      </w:r>
      <w:r>
        <w:rPr>
          <w:rFonts w:ascii="宋体" w:hAnsi="宋体" w:eastAsia="宋体" w:cs="宋体"/>
          <w:sz w:val="24"/>
          <w:szCs w:val="24"/>
        </w:rPr>
        <w:t>g</w:t>
      </w:r>
      <w:r>
        <w:rPr>
          <w:rFonts w:ascii="宋体" w:hAnsi="宋体" w:eastAsia="宋体" w:cs="宋体"/>
          <w:position w:val="11"/>
          <w:sz w:val="12"/>
          <w:szCs w:val="12"/>
        </w:rPr>
        <w:t>5</w:t>
      </w:r>
      <w:r>
        <w:rPr>
          <w:rFonts w:ascii="宋体" w:hAnsi="宋体" w:eastAsia="宋体" w:cs="宋体"/>
          <w:spacing w:val="-25"/>
          <w:position w:val="11"/>
          <w:sz w:val="12"/>
          <w:szCs w:val="12"/>
        </w:rPr>
        <w:t xml:space="preserve"> </w:t>
      </w:r>
      <w:r>
        <w:rPr>
          <w:rFonts w:ascii="宋体" w:hAnsi="宋体" w:eastAsia="宋体" w:cs="宋体"/>
          <w:spacing w:val="-10"/>
          <w:sz w:val="24"/>
          <w:szCs w:val="24"/>
        </w:rPr>
        <w:t>）：</w:t>
      </w:r>
      <w:r>
        <w:rPr>
          <w:rFonts w:ascii="宋体" w:hAnsi="宋体" w:eastAsia="宋体" w:cs="宋体"/>
          <w:sz w:val="24"/>
          <w:szCs w:val="24"/>
        </w:rPr>
        <w:t>分布于评价区中部，上部主要岩性为灰黑色、灰褐色变</w:t>
      </w:r>
    </w:p>
    <w:p w14:paraId="1B2BB8AC">
      <w:pPr>
        <w:rPr>
          <w:rFonts w:ascii="宋体" w:hAnsi="宋体" w:eastAsia="宋体" w:cs="宋体"/>
          <w:sz w:val="24"/>
          <w:szCs w:val="24"/>
        </w:rPr>
        <w:sectPr>
          <w:headerReference r:id="rId244" w:type="default"/>
          <w:footerReference r:id="rId245" w:type="default"/>
          <w:pgSz w:w="11906" w:h="16839"/>
          <w:pgMar w:top="1208" w:right="1700" w:bottom="1358" w:left="1785" w:header="825" w:footer="1195" w:gutter="0"/>
          <w:cols w:space="720" w:num="1"/>
        </w:sectPr>
      </w:pPr>
    </w:p>
    <w:p w14:paraId="1F222121">
      <w:pPr>
        <w:pStyle w:val="2"/>
        <w:spacing w:line="265" w:lineRule="auto"/>
      </w:pPr>
    </w:p>
    <w:p w14:paraId="5B2B92D5">
      <w:pPr>
        <w:spacing w:before="78" w:line="360" w:lineRule="auto"/>
        <w:ind w:left="22" w:right="53" w:firstLine="1"/>
        <w:jc w:val="both"/>
        <w:rPr>
          <w:rFonts w:ascii="宋体" w:hAnsi="宋体" w:eastAsia="宋体" w:cs="宋体"/>
          <w:sz w:val="24"/>
          <w:szCs w:val="24"/>
        </w:rPr>
      </w:pPr>
      <w:r>
        <w:rPr>
          <w:rFonts w:ascii="宋体" w:hAnsi="宋体" w:eastAsia="宋体" w:cs="宋体"/>
          <w:spacing w:val="-3"/>
          <w:sz w:val="24"/>
          <w:szCs w:val="24"/>
        </w:rPr>
        <w:t>质砂砾岩、含砾长石砂岩、长石砂岩、长石细砂岩、粉砂岩，其次少量泥岩。地</w:t>
      </w:r>
      <w:r>
        <w:rPr>
          <w:rFonts w:ascii="宋体" w:hAnsi="宋体" w:eastAsia="宋体" w:cs="宋体"/>
          <w:sz w:val="24"/>
          <w:szCs w:val="24"/>
        </w:rPr>
        <w:t xml:space="preserve"> </w:t>
      </w:r>
      <w:r>
        <w:rPr>
          <w:rFonts w:ascii="宋体" w:hAnsi="宋体" w:eastAsia="宋体" w:cs="宋体"/>
          <w:spacing w:val="-6"/>
          <w:sz w:val="24"/>
          <w:szCs w:val="24"/>
        </w:rPr>
        <w:t>层走向南东，倾向</w:t>
      </w:r>
      <w:r>
        <w:rPr>
          <w:rFonts w:ascii="宋体" w:hAnsi="宋体" w:eastAsia="宋体" w:cs="宋体"/>
          <w:spacing w:val="-51"/>
          <w:sz w:val="24"/>
          <w:szCs w:val="24"/>
        </w:rPr>
        <w:t xml:space="preserve"> </w:t>
      </w:r>
      <w:r>
        <w:rPr>
          <w:rFonts w:ascii="宋体" w:hAnsi="宋体" w:eastAsia="宋体" w:cs="宋体"/>
          <w:spacing w:val="-6"/>
          <w:sz w:val="24"/>
          <w:szCs w:val="24"/>
        </w:rPr>
        <w:t>40～45</w:t>
      </w:r>
      <w:r>
        <w:rPr>
          <w:rFonts w:ascii="宋体" w:hAnsi="宋体" w:eastAsia="宋体" w:cs="宋体"/>
          <w:spacing w:val="-90"/>
          <w:sz w:val="24"/>
          <w:szCs w:val="24"/>
        </w:rPr>
        <w:t xml:space="preserve"> </w:t>
      </w:r>
      <w:r>
        <w:rPr>
          <w:rFonts w:ascii="宋体" w:hAnsi="宋体" w:eastAsia="宋体" w:cs="宋体"/>
          <w:spacing w:val="-6"/>
          <w:sz w:val="24"/>
          <w:szCs w:val="24"/>
        </w:rPr>
        <w:t>°</w:t>
      </w:r>
      <w:r>
        <w:rPr>
          <w:rFonts w:ascii="宋体" w:hAnsi="宋体" w:eastAsia="宋体" w:cs="宋体"/>
          <w:spacing w:val="-93"/>
          <w:sz w:val="24"/>
          <w:szCs w:val="24"/>
        </w:rPr>
        <w:t xml:space="preserve"> </w:t>
      </w:r>
      <w:r>
        <w:rPr>
          <w:rFonts w:ascii="宋体" w:hAnsi="宋体" w:eastAsia="宋体" w:cs="宋体"/>
          <w:spacing w:val="-6"/>
          <w:sz w:val="24"/>
          <w:szCs w:val="24"/>
        </w:rPr>
        <w:t>、倾角</w:t>
      </w:r>
      <w:r>
        <w:rPr>
          <w:rFonts w:ascii="宋体" w:hAnsi="宋体" w:eastAsia="宋体" w:cs="宋体"/>
          <w:spacing w:val="-48"/>
          <w:sz w:val="24"/>
          <w:szCs w:val="24"/>
        </w:rPr>
        <w:t xml:space="preserve"> </w:t>
      </w:r>
      <w:r>
        <w:rPr>
          <w:rFonts w:ascii="宋体" w:hAnsi="宋体" w:eastAsia="宋体" w:cs="宋体"/>
          <w:spacing w:val="-6"/>
          <w:sz w:val="24"/>
          <w:szCs w:val="24"/>
        </w:rPr>
        <w:t>25～45</w:t>
      </w:r>
      <w:r>
        <w:rPr>
          <w:rFonts w:ascii="宋体" w:hAnsi="宋体" w:eastAsia="宋体" w:cs="宋体"/>
          <w:spacing w:val="-89"/>
          <w:sz w:val="24"/>
          <w:szCs w:val="24"/>
        </w:rPr>
        <w:t xml:space="preserve"> </w:t>
      </w:r>
      <w:r>
        <w:rPr>
          <w:rFonts w:ascii="宋体" w:hAnsi="宋体" w:eastAsia="宋体" w:cs="宋体"/>
          <w:spacing w:val="-6"/>
          <w:sz w:val="24"/>
          <w:szCs w:val="24"/>
        </w:rPr>
        <w:t>°</w:t>
      </w:r>
      <w:r>
        <w:rPr>
          <w:rFonts w:ascii="宋体" w:hAnsi="宋体" w:eastAsia="宋体" w:cs="宋体"/>
          <w:spacing w:val="-91"/>
          <w:sz w:val="24"/>
          <w:szCs w:val="24"/>
        </w:rPr>
        <w:t xml:space="preserve"> </w:t>
      </w:r>
      <w:r>
        <w:rPr>
          <w:rFonts w:ascii="宋体" w:hAnsi="宋体" w:eastAsia="宋体" w:cs="宋体"/>
          <w:spacing w:val="-6"/>
          <w:sz w:val="24"/>
          <w:szCs w:val="24"/>
        </w:rPr>
        <w:t>,</w:t>
      </w:r>
      <w:r>
        <w:rPr>
          <w:rFonts w:ascii="宋体" w:hAnsi="宋体" w:eastAsia="宋体" w:cs="宋体"/>
          <w:spacing w:val="52"/>
          <w:sz w:val="24"/>
          <w:szCs w:val="24"/>
        </w:rPr>
        <w:t xml:space="preserve"> </w:t>
      </w:r>
      <w:r>
        <w:rPr>
          <w:rFonts w:ascii="宋体" w:hAnsi="宋体" w:eastAsia="宋体" w:cs="宋体"/>
          <w:spacing w:val="-6"/>
          <w:sz w:val="24"/>
          <w:szCs w:val="24"/>
        </w:rPr>
        <w:t>控制厚度大于</w:t>
      </w:r>
      <w:r>
        <w:rPr>
          <w:rFonts w:ascii="宋体" w:hAnsi="宋体" w:eastAsia="宋体" w:cs="宋体"/>
          <w:spacing w:val="-49"/>
          <w:sz w:val="24"/>
          <w:szCs w:val="24"/>
        </w:rPr>
        <w:t xml:space="preserve"> </w:t>
      </w:r>
      <w:r>
        <w:rPr>
          <w:rFonts w:ascii="宋体" w:hAnsi="宋体" w:eastAsia="宋体" w:cs="宋体"/>
          <w:spacing w:val="-6"/>
          <w:sz w:val="24"/>
          <w:szCs w:val="24"/>
        </w:rPr>
        <w:t>600m。</w:t>
      </w:r>
      <w:r>
        <w:rPr>
          <w:rFonts w:ascii="宋体" w:hAnsi="宋体" w:eastAsia="宋体" w:cs="宋体"/>
          <w:spacing w:val="-7"/>
          <w:sz w:val="24"/>
          <w:szCs w:val="24"/>
        </w:rPr>
        <w:t>中部矿段内</w:t>
      </w:r>
      <w:r>
        <w:rPr>
          <w:rFonts w:ascii="宋体" w:hAnsi="宋体" w:eastAsia="宋体" w:cs="宋体"/>
          <w:sz w:val="24"/>
          <w:szCs w:val="24"/>
        </w:rPr>
        <w:t xml:space="preserve"> </w:t>
      </w:r>
      <w:r>
        <w:rPr>
          <w:rFonts w:ascii="宋体" w:hAnsi="宋体" w:eastAsia="宋体" w:cs="宋体"/>
          <w:spacing w:val="-1"/>
          <w:sz w:val="24"/>
          <w:szCs w:val="24"/>
        </w:rPr>
        <w:t>矿体均赋存于该地层中，下部岩性为凝灰质砂岩夹板岩、灰岩。</w:t>
      </w:r>
    </w:p>
    <w:p w14:paraId="18334978">
      <w:pPr>
        <w:spacing w:before="4" w:line="339" w:lineRule="auto"/>
        <w:ind w:left="22" w:firstLine="484"/>
        <w:jc w:val="both"/>
        <w:rPr>
          <w:rFonts w:ascii="宋体" w:hAnsi="宋体" w:eastAsia="宋体" w:cs="宋体"/>
          <w:sz w:val="24"/>
          <w:szCs w:val="24"/>
        </w:rPr>
      </w:pPr>
      <w:r>
        <w:rPr>
          <w:rFonts w:ascii="宋体" w:hAnsi="宋体" w:eastAsia="宋体" w:cs="宋体"/>
          <w:spacing w:val="-2"/>
          <w:sz w:val="24"/>
          <w:szCs w:val="24"/>
        </w:rPr>
        <w:t>该套地层中各类岩石多以厚层状产出，局部呈互层状产出。在长石细砂岩、</w:t>
      </w:r>
      <w:r>
        <w:rPr>
          <w:rFonts w:ascii="宋体" w:hAnsi="宋体" w:eastAsia="宋体" w:cs="宋体"/>
          <w:spacing w:val="11"/>
          <w:sz w:val="24"/>
          <w:szCs w:val="24"/>
        </w:rPr>
        <w:t xml:space="preserve"> </w:t>
      </w:r>
      <w:r>
        <w:rPr>
          <w:rFonts w:ascii="宋体" w:hAnsi="宋体" w:eastAsia="宋体" w:cs="宋体"/>
          <w:spacing w:val="8"/>
          <w:sz w:val="24"/>
          <w:szCs w:val="24"/>
        </w:rPr>
        <w:t>粉砂岩中常常含有灰黑色泥岩或泥质粉砂岩角砾，角砾大小不等，一般</w:t>
      </w:r>
      <w:r>
        <w:rPr>
          <w:rFonts w:ascii="宋体" w:hAnsi="宋体" w:eastAsia="宋体" w:cs="宋体"/>
          <w:spacing w:val="-41"/>
          <w:sz w:val="24"/>
          <w:szCs w:val="24"/>
        </w:rPr>
        <w:t xml:space="preserve"> </w:t>
      </w:r>
      <w:r>
        <w:rPr>
          <w:rFonts w:ascii="宋体" w:hAnsi="宋体" w:eastAsia="宋体" w:cs="宋体"/>
          <w:spacing w:val="8"/>
          <w:sz w:val="24"/>
          <w:szCs w:val="24"/>
        </w:rPr>
        <w:t>0.</w:t>
      </w:r>
      <w:r>
        <w:rPr>
          <w:rFonts w:ascii="宋体" w:hAnsi="宋体" w:eastAsia="宋体" w:cs="宋体"/>
          <w:spacing w:val="7"/>
          <w:sz w:val="24"/>
          <w:szCs w:val="24"/>
        </w:rPr>
        <w:t>5~</w:t>
      </w:r>
      <w:r>
        <w:rPr>
          <w:rFonts w:ascii="宋体" w:hAnsi="宋体" w:eastAsia="宋体" w:cs="宋体"/>
          <w:sz w:val="24"/>
          <w:szCs w:val="24"/>
        </w:rPr>
        <w:t xml:space="preserve"> </w:t>
      </w:r>
      <w:r>
        <w:rPr>
          <w:rFonts w:ascii="宋体" w:hAnsi="宋体" w:eastAsia="宋体" w:cs="宋体"/>
          <w:spacing w:val="-3"/>
          <w:sz w:val="24"/>
          <w:szCs w:val="24"/>
        </w:rPr>
        <w:t>10cm，呈不规则尖棱角状，属同生角砾反映动荡沉积环境。该组地层与华力西晚</w:t>
      </w:r>
      <w:r>
        <w:rPr>
          <w:rFonts w:ascii="宋体" w:hAnsi="宋体" w:eastAsia="宋体" w:cs="宋体"/>
          <w:spacing w:val="7"/>
          <w:sz w:val="24"/>
          <w:szCs w:val="24"/>
        </w:rPr>
        <w:t xml:space="preserve"> </w:t>
      </w:r>
      <w:r>
        <w:rPr>
          <w:rFonts w:ascii="宋体" w:hAnsi="宋体" w:eastAsia="宋体" w:cs="宋体"/>
          <w:spacing w:val="-1"/>
          <w:sz w:val="24"/>
          <w:szCs w:val="24"/>
        </w:rPr>
        <w:t>期超基性岩接触部位较厚，多为断层接触，局部为侵入接触。</w:t>
      </w:r>
    </w:p>
    <w:p w14:paraId="17C1DB43">
      <w:pPr>
        <w:spacing w:line="8179" w:lineRule="exact"/>
        <w:ind w:firstLine="172"/>
      </w:pPr>
      <w:r>
        <w:rPr>
          <w:position w:val="-163"/>
        </w:rPr>
        <w:drawing>
          <wp:inline distT="0" distB="0" distL="0" distR="0">
            <wp:extent cx="5135880" cy="519366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92"/>
                    <a:stretch>
                      <a:fillRect/>
                    </a:stretch>
                  </pic:blipFill>
                  <pic:spPr>
                    <a:xfrm>
                      <a:off x="0" y="0"/>
                      <a:ext cx="5135880" cy="5193791"/>
                    </a:xfrm>
                    <a:prstGeom prst="rect">
                      <a:avLst/>
                    </a:prstGeom>
                  </pic:spPr>
                </pic:pic>
              </a:graphicData>
            </a:graphic>
          </wp:inline>
        </w:drawing>
      </w:r>
    </w:p>
    <w:p w14:paraId="54D649CD">
      <w:pPr>
        <w:spacing w:before="125" w:line="218" w:lineRule="auto"/>
        <w:ind w:left="3150"/>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8"/>
          <w:sz w:val="24"/>
          <w:szCs w:val="24"/>
        </w:rPr>
        <w:t xml:space="preserve"> </w:t>
      </w:r>
      <w:r>
        <w:rPr>
          <w:rFonts w:ascii="宋体" w:hAnsi="宋体" w:eastAsia="宋体" w:cs="宋体"/>
          <w:spacing w:val="-4"/>
          <w:sz w:val="24"/>
          <w:szCs w:val="24"/>
        </w:rPr>
        <w:t>8.2-1  评价区地质图</w:t>
      </w:r>
    </w:p>
    <w:p w14:paraId="4276BF09">
      <w:pPr>
        <w:spacing w:before="184" w:line="229" w:lineRule="auto"/>
        <w:ind w:left="506"/>
        <w:rPr>
          <w:rFonts w:ascii="宋体" w:hAnsi="宋体" w:eastAsia="宋体" w:cs="宋体"/>
          <w:sz w:val="24"/>
          <w:szCs w:val="24"/>
        </w:rPr>
      </w:pPr>
      <w:r>
        <w:rPr>
          <w:rFonts w:ascii="宋体" w:hAnsi="宋体" w:eastAsia="宋体" w:cs="宋体"/>
          <w:spacing w:val="-1"/>
          <w:sz w:val="24"/>
          <w:szCs w:val="24"/>
        </w:rPr>
        <w:t>2）上侏罗统兴安岭群（J</w:t>
      </w:r>
      <w:r>
        <w:rPr>
          <w:rFonts w:ascii="宋体" w:hAnsi="宋体" w:eastAsia="宋体" w:cs="宋体"/>
          <w:spacing w:val="-1"/>
          <w:position w:val="-3"/>
          <w:sz w:val="12"/>
          <w:szCs w:val="12"/>
        </w:rPr>
        <w:t>3</w:t>
      </w:r>
      <w:r>
        <w:rPr>
          <w:rFonts w:ascii="宋体" w:hAnsi="宋体" w:eastAsia="宋体" w:cs="宋体"/>
          <w:spacing w:val="-1"/>
          <w:sz w:val="24"/>
          <w:szCs w:val="24"/>
        </w:rPr>
        <w:t>xn）</w:t>
      </w:r>
    </w:p>
    <w:p w14:paraId="57641F57">
      <w:pPr>
        <w:spacing w:before="170" w:line="219" w:lineRule="auto"/>
        <w:ind w:left="504"/>
        <w:rPr>
          <w:rFonts w:ascii="宋体" w:hAnsi="宋体" w:eastAsia="宋体" w:cs="宋体"/>
          <w:sz w:val="24"/>
          <w:szCs w:val="24"/>
        </w:rPr>
      </w:pPr>
      <w:r>
        <w:rPr>
          <w:rFonts w:ascii="宋体" w:hAnsi="宋体" w:eastAsia="宋体" w:cs="宋体"/>
          <w:spacing w:val="-4"/>
          <w:sz w:val="24"/>
          <w:szCs w:val="24"/>
        </w:rPr>
        <w:t>本组共分为三个岩组，</w:t>
      </w:r>
      <w:r>
        <w:rPr>
          <w:rFonts w:ascii="宋体" w:hAnsi="宋体" w:eastAsia="宋体" w:cs="宋体"/>
          <w:spacing w:val="-68"/>
          <w:sz w:val="24"/>
          <w:szCs w:val="24"/>
        </w:rPr>
        <w:t xml:space="preserve"> </w:t>
      </w:r>
      <w:r>
        <w:rPr>
          <w:rFonts w:ascii="宋体" w:hAnsi="宋体" w:eastAsia="宋体" w:cs="宋体"/>
          <w:spacing w:val="-4"/>
          <w:sz w:val="24"/>
          <w:szCs w:val="24"/>
        </w:rPr>
        <w:t>自下而上为：</w:t>
      </w:r>
    </w:p>
    <w:p w14:paraId="2C1A2336">
      <w:pPr>
        <w:spacing w:before="167" w:line="356" w:lineRule="auto"/>
        <w:ind w:left="25" w:right="53" w:firstLine="477"/>
        <w:rPr>
          <w:rFonts w:ascii="宋体" w:hAnsi="宋体" w:eastAsia="宋体" w:cs="宋体"/>
          <w:sz w:val="24"/>
          <w:szCs w:val="24"/>
        </w:rPr>
      </w:pPr>
      <w:r>
        <w:rPr>
          <w:rFonts w:ascii="宋体" w:hAnsi="宋体" w:eastAsia="宋体" w:cs="宋体"/>
          <w:spacing w:val="-2"/>
          <w:sz w:val="24"/>
          <w:szCs w:val="24"/>
        </w:rPr>
        <w:t>①火山碎屑岩组（J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pacing w:val="-2"/>
          <w:position w:val="11"/>
          <w:sz w:val="12"/>
          <w:szCs w:val="12"/>
        </w:rPr>
        <w:t>1</w:t>
      </w:r>
      <w:r>
        <w:rPr>
          <w:rFonts w:ascii="宋体" w:hAnsi="宋体" w:eastAsia="宋体" w:cs="宋体"/>
          <w:spacing w:val="-26"/>
          <w:position w:val="11"/>
          <w:sz w:val="12"/>
          <w:szCs w:val="12"/>
        </w:rPr>
        <w:t xml:space="preserve"> </w:t>
      </w:r>
      <w:r>
        <w:rPr>
          <w:rFonts w:ascii="宋体" w:hAnsi="宋体" w:eastAsia="宋体" w:cs="宋体"/>
          <w:spacing w:val="-35"/>
          <w:sz w:val="24"/>
          <w:szCs w:val="24"/>
        </w:rPr>
        <w:t>）：</w:t>
      </w:r>
      <w:r>
        <w:rPr>
          <w:rFonts w:ascii="宋体" w:hAnsi="宋体" w:eastAsia="宋体" w:cs="宋体"/>
          <w:spacing w:val="-2"/>
          <w:sz w:val="24"/>
          <w:szCs w:val="24"/>
        </w:rPr>
        <w:t>分布于评价区中东部及东北部，岩性为灰褐色凝</w:t>
      </w:r>
      <w:r>
        <w:rPr>
          <w:rFonts w:ascii="宋体" w:hAnsi="宋体" w:eastAsia="宋体" w:cs="宋体"/>
          <w:sz w:val="24"/>
          <w:szCs w:val="24"/>
        </w:rPr>
        <w:t xml:space="preserve"> </w:t>
      </w:r>
      <w:r>
        <w:rPr>
          <w:rFonts w:ascii="宋体" w:hAnsi="宋体" w:eastAsia="宋体" w:cs="宋体"/>
          <w:spacing w:val="-3"/>
          <w:sz w:val="24"/>
          <w:szCs w:val="24"/>
        </w:rPr>
        <w:t>灰质砂砾岩和含角砾岩屑晶屑凝灰岩，向西相变为灰绿色角砾岩和灰紫色凝灰质</w:t>
      </w:r>
    </w:p>
    <w:p w14:paraId="44C5BFEF">
      <w:pPr>
        <w:spacing w:line="356" w:lineRule="auto"/>
        <w:rPr>
          <w:rFonts w:ascii="宋体" w:hAnsi="宋体" w:eastAsia="宋体" w:cs="宋体"/>
          <w:sz w:val="24"/>
          <w:szCs w:val="24"/>
        </w:rPr>
        <w:sectPr>
          <w:headerReference r:id="rId246" w:type="default"/>
          <w:footerReference r:id="rId247" w:type="default"/>
          <w:pgSz w:w="11906" w:h="16839"/>
          <w:pgMar w:top="1208" w:right="1745" w:bottom="1358" w:left="1785" w:header="825" w:footer="1195" w:gutter="0"/>
          <w:cols w:space="720" w:num="1"/>
        </w:sectPr>
      </w:pPr>
    </w:p>
    <w:p w14:paraId="3144906C">
      <w:pPr>
        <w:pStyle w:val="2"/>
        <w:spacing w:line="248" w:lineRule="auto"/>
      </w:pPr>
    </w:p>
    <w:p w14:paraId="4C45E314">
      <w:pPr>
        <w:spacing w:before="78" w:line="357" w:lineRule="auto"/>
        <w:ind w:left="26" w:right="181" w:hanging="4"/>
        <w:rPr>
          <w:rFonts w:ascii="宋体" w:hAnsi="宋体" w:eastAsia="宋体" w:cs="宋体"/>
          <w:sz w:val="24"/>
          <w:szCs w:val="24"/>
        </w:rPr>
      </w:pPr>
      <w:r>
        <w:rPr>
          <w:rFonts w:ascii="宋体" w:hAnsi="宋体" w:eastAsia="宋体" w:cs="宋体"/>
          <w:sz w:val="24"/>
          <w:szCs w:val="24"/>
        </w:rPr>
        <w:t>砂岩，厚度大于</w:t>
      </w:r>
      <w:r>
        <w:rPr>
          <w:rFonts w:ascii="宋体" w:hAnsi="宋体" w:eastAsia="宋体" w:cs="宋体"/>
          <w:spacing w:val="-21"/>
          <w:sz w:val="24"/>
          <w:szCs w:val="24"/>
        </w:rPr>
        <w:t xml:space="preserve"> </w:t>
      </w:r>
      <w:r>
        <w:rPr>
          <w:rFonts w:ascii="宋体" w:hAnsi="宋体" w:eastAsia="宋体" w:cs="宋体"/>
          <w:sz w:val="24"/>
          <w:szCs w:val="24"/>
        </w:rPr>
        <w:t>1179.9m，覆盖于二叠系下统寿山沟组二岩段（P</w:t>
      </w:r>
      <w:r>
        <w:rPr>
          <w:rFonts w:ascii="宋体" w:hAnsi="宋体" w:eastAsia="宋体" w:cs="宋体"/>
          <w:position w:val="-3"/>
          <w:sz w:val="12"/>
          <w:szCs w:val="12"/>
        </w:rPr>
        <w:t>1</w:t>
      </w:r>
      <w:r>
        <w:rPr>
          <w:rFonts w:ascii="宋体" w:hAnsi="宋体" w:eastAsia="宋体" w:cs="宋体"/>
          <w:sz w:val="24"/>
          <w:szCs w:val="24"/>
        </w:rPr>
        <w:t>s</w:t>
      </w:r>
      <w:r>
        <w:rPr>
          <w:rFonts w:ascii="宋体" w:hAnsi="宋体" w:eastAsia="宋体" w:cs="宋体"/>
          <w:position w:val="11"/>
          <w:sz w:val="12"/>
          <w:szCs w:val="12"/>
        </w:rPr>
        <w:t>2</w:t>
      </w:r>
      <w:r>
        <w:rPr>
          <w:rFonts w:ascii="宋体" w:hAnsi="宋体" w:eastAsia="宋体" w:cs="宋体"/>
          <w:spacing w:val="-23"/>
          <w:position w:val="11"/>
          <w:sz w:val="12"/>
          <w:szCs w:val="12"/>
        </w:rPr>
        <w:t xml:space="preserve"> </w:t>
      </w:r>
      <w:r>
        <w:rPr>
          <w:rFonts w:ascii="宋体" w:hAnsi="宋体" w:eastAsia="宋体" w:cs="宋体"/>
          <w:sz w:val="24"/>
          <w:szCs w:val="24"/>
        </w:rPr>
        <w:t xml:space="preserve">）之上，呈 </w:t>
      </w:r>
      <w:r>
        <w:rPr>
          <w:rFonts w:ascii="宋体" w:hAnsi="宋体" w:eastAsia="宋体" w:cs="宋体"/>
          <w:spacing w:val="-3"/>
          <w:sz w:val="24"/>
          <w:szCs w:val="24"/>
        </w:rPr>
        <w:t>不整合接触。</w:t>
      </w:r>
    </w:p>
    <w:p w14:paraId="7AA01B99">
      <w:pPr>
        <w:spacing w:before="6" w:line="321" w:lineRule="auto"/>
        <w:ind w:left="23" w:firstLine="478"/>
        <w:rPr>
          <w:rFonts w:ascii="宋体" w:hAnsi="宋体" w:eastAsia="宋体" w:cs="宋体"/>
          <w:sz w:val="24"/>
          <w:szCs w:val="24"/>
        </w:rPr>
      </w:pPr>
      <w:r>
        <w:rPr>
          <w:rFonts w:ascii="宋体" w:hAnsi="宋体" w:eastAsia="宋体" w:cs="宋体"/>
          <w:sz w:val="24"/>
          <w:szCs w:val="24"/>
        </w:rPr>
        <w:t>②中酸性火山岩组（J</w:t>
      </w:r>
      <w:r>
        <w:rPr>
          <w:rFonts w:ascii="宋体" w:hAnsi="宋体" w:eastAsia="宋体" w:cs="宋体"/>
          <w:position w:val="-3"/>
          <w:sz w:val="12"/>
          <w:szCs w:val="12"/>
        </w:rPr>
        <w:t>3</w:t>
      </w:r>
      <w:r>
        <w:rPr>
          <w:rFonts w:ascii="宋体" w:hAnsi="宋体" w:eastAsia="宋体" w:cs="宋体"/>
          <w:sz w:val="24"/>
          <w:szCs w:val="24"/>
        </w:rPr>
        <w:t>xn</w:t>
      </w:r>
      <w:r>
        <w:rPr>
          <w:rFonts w:ascii="宋体" w:hAnsi="宋体" w:eastAsia="宋体" w:cs="宋体"/>
          <w:position w:val="11"/>
          <w:sz w:val="12"/>
          <w:szCs w:val="12"/>
        </w:rPr>
        <w:t>2</w:t>
      </w:r>
      <w:r>
        <w:rPr>
          <w:rFonts w:ascii="宋体" w:hAnsi="宋体" w:eastAsia="宋体" w:cs="宋体"/>
          <w:spacing w:val="-24"/>
          <w:position w:val="11"/>
          <w:sz w:val="12"/>
          <w:szCs w:val="12"/>
        </w:rPr>
        <w:t xml:space="preserve"> </w:t>
      </w:r>
      <w:r>
        <w:rPr>
          <w:rFonts w:ascii="宋体" w:hAnsi="宋体" w:eastAsia="宋体" w:cs="宋体"/>
          <w:spacing w:val="-8"/>
          <w:sz w:val="24"/>
          <w:szCs w:val="24"/>
        </w:rPr>
        <w:t>）：</w:t>
      </w:r>
      <w:r>
        <w:rPr>
          <w:rFonts w:ascii="宋体" w:hAnsi="宋体" w:eastAsia="宋体" w:cs="宋体"/>
          <w:sz w:val="24"/>
          <w:szCs w:val="24"/>
        </w:rPr>
        <w:t xml:space="preserve">分布于评价区中部、东部、东南部及西北部， </w:t>
      </w:r>
      <w:r>
        <w:rPr>
          <w:rFonts w:ascii="宋体" w:hAnsi="宋体" w:eastAsia="宋体" w:cs="宋体"/>
          <w:spacing w:val="-10"/>
          <w:sz w:val="24"/>
          <w:szCs w:val="24"/>
        </w:rPr>
        <w:t>岩性为灰、灰绿色、灰紫色安山岩、安山玢岩夹岩屑晶屑凝灰岩，厚度大于806.</w:t>
      </w:r>
      <w:r>
        <w:rPr>
          <w:rFonts w:ascii="宋体" w:hAnsi="宋体" w:eastAsia="宋体" w:cs="宋体"/>
          <w:spacing w:val="-11"/>
          <w:sz w:val="24"/>
          <w:szCs w:val="24"/>
        </w:rPr>
        <w:t>3m，</w:t>
      </w:r>
      <w:r>
        <w:rPr>
          <w:rFonts w:ascii="宋体" w:hAnsi="宋体" w:eastAsia="宋体" w:cs="宋体"/>
          <w:sz w:val="24"/>
          <w:szCs w:val="24"/>
        </w:rPr>
        <w:t xml:space="preserve"> </w:t>
      </w:r>
      <w:r>
        <w:rPr>
          <w:rFonts w:ascii="宋体" w:hAnsi="宋体" w:eastAsia="宋体" w:cs="宋体"/>
          <w:spacing w:val="-2"/>
          <w:sz w:val="24"/>
          <w:szCs w:val="24"/>
        </w:rPr>
        <w:t>覆盖与火山碎屑岩组（J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pacing w:val="-2"/>
          <w:position w:val="11"/>
          <w:sz w:val="12"/>
          <w:szCs w:val="12"/>
        </w:rPr>
        <w:t>1</w:t>
      </w:r>
      <w:r>
        <w:rPr>
          <w:rFonts w:ascii="宋体" w:hAnsi="宋体" w:eastAsia="宋体" w:cs="宋体"/>
          <w:spacing w:val="-19"/>
          <w:position w:val="11"/>
          <w:sz w:val="12"/>
          <w:szCs w:val="12"/>
        </w:rPr>
        <w:t xml:space="preserve"> </w:t>
      </w:r>
      <w:r>
        <w:rPr>
          <w:rFonts w:ascii="宋体" w:hAnsi="宋体" w:eastAsia="宋体" w:cs="宋体"/>
          <w:spacing w:val="-2"/>
          <w:sz w:val="24"/>
          <w:szCs w:val="24"/>
        </w:rPr>
        <w:t>）之上，呈不整合接触。</w:t>
      </w:r>
    </w:p>
    <w:p w14:paraId="6AF84039">
      <w:pPr>
        <w:spacing w:before="156" w:line="328" w:lineRule="auto"/>
        <w:ind w:left="22" w:right="120" w:firstLine="479"/>
        <w:rPr>
          <w:rFonts w:ascii="宋体" w:hAnsi="宋体" w:eastAsia="宋体" w:cs="宋体"/>
          <w:sz w:val="24"/>
          <w:szCs w:val="24"/>
        </w:rPr>
      </w:pPr>
      <w:r>
        <w:rPr>
          <w:rFonts w:ascii="宋体" w:hAnsi="宋体" w:eastAsia="宋体" w:cs="宋体"/>
          <w:spacing w:val="-2"/>
          <w:sz w:val="24"/>
          <w:szCs w:val="24"/>
        </w:rPr>
        <w:t>③酸性火山岩组（J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pacing w:val="-2"/>
          <w:position w:val="11"/>
          <w:sz w:val="12"/>
          <w:szCs w:val="12"/>
        </w:rPr>
        <w:t>3</w:t>
      </w:r>
      <w:r>
        <w:rPr>
          <w:rFonts w:ascii="宋体" w:hAnsi="宋体" w:eastAsia="宋体" w:cs="宋体"/>
          <w:spacing w:val="-26"/>
          <w:position w:val="11"/>
          <w:sz w:val="12"/>
          <w:szCs w:val="12"/>
        </w:rPr>
        <w:t xml:space="preserve"> </w:t>
      </w:r>
      <w:r>
        <w:rPr>
          <w:rFonts w:ascii="宋体" w:hAnsi="宋体" w:eastAsia="宋体" w:cs="宋体"/>
          <w:spacing w:val="-32"/>
          <w:sz w:val="24"/>
          <w:szCs w:val="24"/>
        </w:rPr>
        <w:t>）：</w:t>
      </w:r>
      <w:r>
        <w:rPr>
          <w:rFonts w:ascii="宋体" w:hAnsi="宋体" w:eastAsia="宋体" w:cs="宋体"/>
          <w:spacing w:val="-2"/>
          <w:sz w:val="24"/>
          <w:szCs w:val="24"/>
        </w:rPr>
        <w:t>评价区内未出露，岩性为灰白、紫褐</w:t>
      </w:r>
      <w:r>
        <w:rPr>
          <w:rFonts w:ascii="宋体" w:hAnsi="宋体" w:eastAsia="宋体" w:cs="宋体"/>
          <w:spacing w:val="-3"/>
          <w:sz w:val="24"/>
          <w:szCs w:val="24"/>
        </w:rPr>
        <w:t>色流纹质含</w:t>
      </w:r>
      <w:r>
        <w:rPr>
          <w:rFonts w:ascii="宋体" w:hAnsi="宋体" w:eastAsia="宋体" w:cs="宋体"/>
          <w:sz w:val="24"/>
          <w:szCs w:val="24"/>
        </w:rPr>
        <w:t xml:space="preserve"> </w:t>
      </w:r>
      <w:r>
        <w:rPr>
          <w:rFonts w:ascii="宋体" w:hAnsi="宋体" w:eastAsia="宋体" w:cs="宋体"/>
          <w:spacing w:val="-8"/>
          <w:sz w:val="24"/>
          <w:szCs w:val="24"/>
        </w:rPr>
        <w:t>火山角砾岩屑晶屑玻屑凝灰岩，向东相变为流纹质熔接凝灰岩、流纹岩夹珍珠岩，</w:t>
      </w:r>
      <w:r>
        <w:rPr>
          <w:rFonts w:ascii="宋体" w:hAnsi="宋体" w:eastAsia="宋体" w:cs="宋体"/>
          <w:spacing w:val="6"/>
          <w:sz w:val="24"/>
          <w:szCs w:val="24"/>
        </w:rPr>
        <w:t xml:space="preserve"> </w:t>
      </w:r>
      <w:r>
        <w:rPr>
          <w:rFonts w:ascii="宋体" w:hAnsi="宋体" w:eastAsia="宋体" w:cs="宋体"/>
          <w:spacing w:val="-3"/>
          <w:sz w:val="24"/>
          <w:szCs w:val="24"/>
        </w:rPr>
        <w:t>顶部为砾岩，厚度大于</w:t>
      </w:r>
      <w:r>
        <w:rPr>
          <w:rFonts w:ascii="宋体" w:hAnsi="宋体" w:eastAsia="宋体" w:cs="宋体"/>
          <w:spacing w:val="-15"/>
          <w:sz w:val="24"/>
          <w:szCs w:val="24"/>
        </w:rPr>
        <w:t xml:space="preserve"> </w:t>
      </w:r>
      <w:r>
        <w:rPr>
          <w:rFonts w:ascii="宋体" w:hAnsi="宋体" w:eastAsia="宋体" w:cs="宋体"/>
          <w:spacing w:val="-3"/>
          <w:sz w:val="24"/>
          <w:szCs w:val="24"/>
        </w:rPr>
        <w:t>1698.7m，覆盖与火山碎屑岩组（J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2</w:t>
      </w:r>
      <w:r>
        <w:rPr>
          <w:rFonts w:ascii="宋体" w:hAnsi="宋体" w:eastAsia="宋体" w:cs="宋体"/>
          <w:spacing w:val="-26"/>
          <w:position w:val="11"/>
          <w:sz w:val="12"/>
          <w:szCs w:val="12"/>
        </w:rPr>
        <w:t xml:space="preserve"> </w:t>
      </w:r>
      <w:r>
        <w:rPr>
          <w:rFonts w:ascii="宋体" w:hAnsi="宋体" w:eastAsia="宋体" w:cs="宋体"/>
          <w:spacing w:val="-3"/>
          <w:sz w:val="24"/>
          <w:szCs w:val="24"/>
        </w:rPr>
        <w:t>）之上，呈不整合</w:t>
      </w:r>
      <w:r>
        <w:rPr>
          <w:rFonts w:ascii="宋体" w:hAnsi="宋体" w:eastAsia="宋体" w:cs="宋体"/>
          <w:sz w:val="24"/>
          <w:szCs w:val="24"/>
        </w:rPr>
        <w:t xml:space="preserve"> </w:t>
      </w:r>
      <w:r>
        <w:rPr>
          <w:rFonts w:ascii="宋体" w:hAnsi="宋体" w:eastAsia="宋体" w:cs="宋体"/>
          <w:spacing w:val="-3"/>
          <w:sz w:val="24"/>
          <w:szCs w:val="24"/>
        </w:rPr>
        <w:t>接触。</w:t>
      </w:r>
    </w:p>
    <w:p w14:paraId="3A709908">
      <w:pPr>
        <w:spacing w:before="181" w:line="229" w:lineRule="auto"/>
        <w:ind w:left="508"/>
        <w:rPr>
          <w:rFonts w:ascii="宋体" w:hAnsi="宋体" w:eastAsia="宋体" w:cs="宋体"/>
          <w:sz w:val="24"/>
          <w:szCs w:val="24"/>
        </w:rPr>
      </w:pPr>
      <w:r>
        <w:rPr>
          <w:rFonts w:ascii="宋体" w:hAnsi="宋体" w:eastAsia="宋体" w:cs="宋体"/>
          <w:spacing w:val="-2"/>
          <w:sz w:val="24"/>
          <w:szCs w:val="24"/>
        </w:rPr>
        <w:t>3）白垩系上统（K</w:t>
      </w:r>
      <w:r>
        <w:rPr>
          <w:rFonts w:ascii="宋体" w:hAnsi="宋体" w:eastAsia="宋体" w:cs="宋体"/>
          <w:spacing w:val="-2"/>
          <w:position w:val="-3"/>
          <w:sz w:val="12"/>
          <w:szCs w:val="12"/>
        </w:rPr>
        <w:t>2</w:t>
      </w:r>
      <w:r>
        <w:rPr>
          <w:rFonts w:ascii="宋体" w:hAnsi="宋体" w:eastAsia="宋体" w:cs="宋体"/>
          <w:spacing w:val="-2"/>
          <w:sz w:val="24"/>
          <w:szCs w:val="24"/>
        </w:rPr>
        <w:t>）</w:t>
      </w:r>
    </w:p>
    <w:p w14:paraId="511309BF">
      <w:pPr>
        <w:spacing w:before="172" w:line="357" w:lineRule="auto"/>
        <w:ind w:left="23" w:right="82" w:firstLine="480"/>
        <w:jc w:val="both"/>
        <w:rPr>
          <w:rFonts w:ascii="宋体" w:hAnsi="宋体" w:eastAsia="宋体" w:cs="宋体"/>
          <w:sz w:val="24"/>
          <w:szCs w:val="24"/>
        </w:rPr>
      </w:pPr>
      <w:r>
        <w:rPr>
          <w:rFonts w:ascii="宋体" w:hAnsi="宋体" w:eastAsia="宋体" w:cs="宋体"/>
          <w:spacing w:val="-7"/>
          <w:sz w:val="24"/>
          <w:szCs w:val="24"/>
        </w:rPr>
        <w:t>零星分布于评价区北部、中部及东部，岩性为灰绿、灰黑色</w:t>
      </w:r>
      <w:r>
        <w:rPr>
          <w:rFonts w:ascii="宋体" w:hAnsi="宋体" w:eastAsia="宋体" w:cs="宋体"/>
          <w:spacing w:val="-8"/>
          <w:sz w:val="24"/>
          <w:szCs w:val="24"/>
        </w:rPr>
        <w:t>致密块状玄武岩，</w:t>
      </w:r>
      <w:r>
        <w:rPr>
          <w:rFonts w:ascii="宋体" w:hAnsi="宋体" w:eastAsia="宋体" w:cs="宋体"/>
          <w:sz w:val="24"/>
          <w:szCs w:val="24"/>
        </w:rPr>
        <w:t xml:space="preserve"> </w:t>
      </w:r>
      <w:r>
        <w:rPr>
          <w:rFonts w:ascii="宋体" w:hAnsi="宋体" w:eastAsia="宋体" w:cs="宋体"/>
          <w:spacing w:val="-3"/>
          <w:sz w:val="24"/>
          <w:szCs w:val="24"/>
        </w:rPr>
        <w:t>灰褐色气孔状玄武岩夹安山岩。玄武岩具微晶质结构，含绿色橄榄石斑晶，顶底</w:t>
      </w:r>
      <w:r>
        <w:rPr>
          <w:rFonts w:ascii="宋体" w:hAnsi="宋体" w:eastAsia="宋体" w:cs="宋体"/>
          <w:spacing w:val="1"/>
          <w:sz w:val="24"/>
          <w:szCs w:val="24"/>
        </w:rPr>
        <w:t xml:space="preserve"> </w:t>
      </w:r>
      <w:r>
        <w:rPr>
          <w:rFonts w:ascii="宋体" w:hAnsi="宋体" w:eastAsia="宋体" w:cs="宋体"/>
          <w:sz w:val="24"/>
          <w:szCs w:val="24"/>
        </w:rPr>
        <w:t>部为致密块状，中部为气孔状，气孔填充物多为蛋白石及方解石，岩</w:t>
      </w:r>
      <w:r>
        <w:rPr>
          <w:rFonts w:ascii="宋体" w:hAnsi="宋体" w:eastAsia="宋体" w:cs="宋体"/>
          <w:spacing w:val="-1"/>
          <w:sz w:val="24"/>
          <w:szCs w:val="24"/>
        </w:rPr>
        <w:t>石具裂隙，</w:t>
      </w:r>
      <w:r>
        <w:rPr>
          <w:rFonts w:ascii="宋体" w:hAnsi="宋体" w:eastAsia="宋体" w:cs="宋体"/>
          <w:sz w:val="24"/>
          <w:szCs w:val="24"/>
        </w:rPr>
        <w:t xml:space="preserve"> </w:t>
      </w:r>
      <w:r>
        <w:rPr>
          <w:rFonts w:ascii="宋体" w:hAnsi="宋体" w:eastAsia="宋体" w:cs="宋体"/>
          <w:spacing w:val="-6"/>
          <w:sz w:val="24"/>
          <w:szCs w:val="24"/>
        </w:rPr>
        <w:t>柱状节理发育，局部风化，具水蚀现象，不整合于上侏罗统酸性</w:t>
      </w:r>
      <w:r>
        <w:rPr>
          <w:rFonts w:ascii="宋体" w:hAnsi="宋体" w:eastAsia="宋体" w:cs="宋体"/>
          <w:spacing w:val="-7"/>
          <w:sz w:val="24"/>
          <w:szCs w:val="24"/>
        </w:rPr>
        <w:t>火山岩组（J</w:t>
      </w:r>
      <w:r>
        <w:rPr>
          <w:rFonts w:ascii="宋体" w:hAnsi="宋体" w:eastAsia="宋体" w:cs="宋体"/>
          <w:spacing w:val="-7"/>
          <w:position w:val="-3"/>
          <w:sz w:val="12"/>
          <w:szCs w:val="12"/>
        </w:rPr>
        <w:t>3</w:t>
      </w:r>
      <w:r>
        <w:rPr>
          <w:rFonts w:ascii="宋体" w:hAnsi="宋体" w:eastAsia="宋体" w:cs="宋体"/>
          <w:spacing w:val="-7"/>
          <w:sz w:val="24"/>
          <w:szCs w:val="24"/>
        </w:rPr>
        <w:t>xn</w:t>
      </w:r>
      <w:r>
        <w:rPr>
          <w:rFonts w:ascii="宋体" w:hAnsi="宋体" w:eastAsia="宋体" w:cs="宋体"/>
          <w:spacing w:val="-7"/>
          <w:position w:val="11"/>
          <w:sz w:val="12"/>
          <w:szCs w:val="12"/>
        </w:rPr>
        <w:t>3</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之上，被第四系堆积物覆盖。</w:t>
      </w:r>
    </w:p>
    <w:p w14:paraId="55D93480">
      <w:pPr>
        <w:spacing w:line="234" w:lineRule="auto"/>
        <w:ind w:left="502"/>
        <w:rPr>
          <w:rFonts w:ascii="宋体" w:hAnsi="宋体" w:eastAsia="宋体" w:cs="宋体"/>
          <w:sz w:val="24"/>
          <w:szCs w:val="24"/>
        </w:rPr>
      </w:pPr>
      <w:r>
        <w:rPr>
          <w:rFonts w:ascii="宋体" w:hAnsi="宋体" w:eastAsia="宋体" w:cs="宋体"/>
          <w:spacing w:val="-1"/>
          <w:sz w:val="24"/>
          <w:szCs w:val="24"/>
        </w:rPr>
        <w:t>4）第四系全新统冲湖积层（Q</w:t>
      </w:r>
      <w:r>
        <w:rPr>
          <w:rFonts w:ascii="宋体" w:hAnsi="宋体" w:eastAsia="宋体" w:cs="宋体"/>
          <w:spacing w:val="-1"/>
          <w:position w:val="-4"/>
          <w:sz w:val="12"/>
          <w:szCs w:val="12"/>
        </w:rPr>
        <w:t>h</w:t>
      </w:r>
      <w:r>
        <w:rPr>
          <w:rFonts w:ascii="宋体" w:hAnsi="宋体" w:eastAsia="宋体" w:cs="宋体"/>
          <w:spacing w:val="-1"/>
          <w:position w:val="11"/>
          <w:sz w:val="12"/>
          <w:szCs w:val="12"/>
        </w:rPr>
        <w:t>al+l</w:t>
      </w:r>
      <w:r>
        <w:rPr>
          <w:rFonts w:ascii="宋体" w:hAnsi="宋体" w:eastAsia="宋体" w:cs="宋体"/>
          <w:spacing w:val="-1"/>
          <w:sz w:val="24"/>
          <w:szCs w:val="24"/>
        </w:rPr>
        <w:t>）</w:t>
      </w:r>
    </w:p>
    <w:p w14:paraId="4C166D17">
      <w:pPr>
        <w:spacing w:before="173" w:line="356" w:lineRule="auto"/>
        <w:ind w:left="22" w:right="181" w:firstLine="483"/>
        <w:rPr>
          <w:rFonts w:ascii="宋体" w:hAnsi="宋体" w:eastAsia="宋体" w:cs="宋体"/>
          <w:sz w:val="24"/>
          <w:szCs w:val="24"/>
        </w:rPr>
      </w:pPr>
      <w:r>
        <w:rPr>
          <w:rFonts w:ascii="宋体" w:hAnsi="宋体" w:eastAsia="宋体" w:cs="宋体"/>
          <w:spacing w:val="-3"/>
          <w:sz w:val="24"/>
          <w:szCs w:val="24"/>
        </w:rPr>
        <w:t>分布于评价区西南部，岩性为灰黄色粉土、粉质粘土、中</w:t>
      </w:r>
      <w:r>
        <w:rPr>
          <w:rFonts w:ascii="宋体" w:hAnsi="宋体" w:eastAsia="宋体" w:cs="宋体"/>
          <w:spacing w:val="-4"/>
          <w:sz w:val="24"/>
          <w:szCs w:val="24"/>
        </w:rPr>
        <w:t>粗砂、砾砂，砂的</w:t>
      </w:r>
      <w:r>
        <w:rPr>
          <w:rFonts w:ascii="宋体" w:hAnsi="宋体" w:eastAsia="宋体" w:cs="宋体"/>
          <w:sz w:val="24"/>
          <w:szCs w:val="24"/>
        </w:rPr>
        <w:t xml:space="preserve"> 成分主要为石英、长石等，多为次圆状，分选一般较差，松散，干-稍湿，孔隙</w:t>
      </w:r>
      <w:r>
        <w:rPr>
          <w:rFonts w:ascii="宋体" w:hAnsi="宋体" w:eastAsia="宋体" w:cs="宋体"/>
          <w:spacing w:val="14"/>
          <w:sz w:val="24"/>
          <w:szCs w:val="24"/>
        </w:rPr>
        <w:t xml:space="preserve"> </w:t>
      </w:r>
      <w:r>
        <w:rPr>
          <w:rFonts w:ascii="宋体" w:hAnsi="宋体" w:eastAsia="宋体" w:cs="宋体"/>
          <w:spacing w:val="-2"/>
          <w:sz w:val="24"/>
          <w:szCs w:val="24"/>
        </w:rPr>
        <w:t>度大，表层见植物根系，厚度</w:t>
      </w:r>
      <w:r>
        <w:rPr>
          <w:rFonts w:ascii="宋体" w:hAnsi="宋体" w:eastAsia="宋体" w:cs="宋体"/>
          <w:spacing w:val="-32"/>
          <w:sz w:val="24"/>
          <w:szCs w:val="24"/>
        </w:rPr>
        <w:t xml:space="preserve"> </w:t>
      </w:r>
      <w:r>
        <w:rPr>
          <w:rFonts w:ascii="宋体" w:hAnsi="宋体" w:eastAsia="宋体" w:cs="宋体"/>
          <w:spacing w:val="-2"/>
          <w:sz w:val="24"/>
          <w:szCs w:val="24"/>
        </w:rPr>
        <w:t>5-15m。</w:t>
      </w:r>
    </w:p>
    <w:p w14:paraId="7F097BB6">
      <w:pPr>
        <w:spacing w:before="1" w:line="234" w:lineRule="auto"/>
        <w:ind w:left="508"/>
        <w:rPr>
          <w:rFonts w:ascii="宋体" w:hAnsi="宋体" w:eastAsia="宋体" w:cs="宋体"/>
          <w:sz w:val="24"/>
          <w:szCs w:val="24"/>
        </w:rPr>
      </w:pPr>
      <w:r>
        <w:rPr>
          <w:rFonts w:ascii="宋体" w:hAnsi="宋体" w:eastAsia="宋体" w:cs="宋体"/>
          <w:spacing w:val="-1"/>
          <w:sz w:val="24"/>
          <w:szCs w:val="24"/>
        </w:rPr>
        <w:t>5）第四系全新统风积、冲积层（Q</w:t>
      </w:r>
      <w:r>
        <w:rPr>
          <w:rFonts w:ascii="宋体" w:hAnsi="宋体" w:eastAsia="宋体" w:cs="宋体"/>
          <w:spacing w:val="-1"/>
          <w:position w:val="-4"/>
          <w:sz w:val="12"/>
          <w:szCs w:val="12"/>
        </w:rPr>
        <w:t>h</w:t>
      </w:r>
      <w:r>
        <w:rPr>
          <w:rFonts w:ascii="宋体" w:hAnsi="宋体" w:eastAsia="宋体" w:cs="宋体"/>
          <w:spacing w:val="-1"/>
          <w:position w:val="11"/>
          <w:sz w:val="12"/>
          <w:szCs w:val="12"/>
        </w:rPr>
        <w:t>eol+al</w:t>
      </w:r>
      <w:r>
        <w:rPr>
          <w:rFonts w:ascii="宋体" w:hAnsi="宋体" w:eastAsia="宋体" w:cs="宋体"/>
          <w:spacing w:val="-1"/>
          <w:sz w:val="24"/>
          <w:szCs w:val="24"/>
        </w:rPr>
        <w:t>）</w:t>
      </w:r>
    </w:p>
    <w:p w14:paraId="109A0910">
      <w:pPr>
        <w:spacing w:before="178" w:line="358" w:lineRule="auto"/>
        <w:ind w:left="22" w:right="82" w:firstLine="483"/>
        <w:rPr>
          <w:rFonts w:ascii="宋体" w:hAnsi="宋体" w:eastAsia="宋体" w:cs="宋体"/>
          <w:sz w:val="24"/>
          <w:szCs w:val="24"/>
        </w:rPr>
      </w:pPr>
      <w:r>
        <w:rPr>
          <w:rFonts w:ascii="宋体" w:hAnsi="宋体" w:eastAsia="宋体" w:cs="宋体"/>
          <w:spacing w:val="-3"/>
          <w:sz w:val="24"/>
          <w:szCs w:val="24"/>
        </w:rPr>
        <w:t>大面积分布于评价区丘间洼地内，岩性为灰黄色或黄色松</w:t>
      </w:r>
      <w:r>
        <w:rPr>
          <w:rFonts w:ascii="宋体" w:hAnsi="宋体" w:eastAsia="宋体" w:cs="宋体"/>
          <w:spacing w:val="-4"/>
          <w:sz w:val="24"/>
          <w:szCs w:val="24"/>
        </w:rPr>
        <w:t>散粉细砂、中粗砂</w:t>
      </w:r>
      <w:r>
        <w:rPr>
          <w:rFonts w:ascii="宋体" w:hAnsi="宋体" w:eastAsia="宋体" w:cs="宋体"/>
          <w:sz w:val="24"/>
          <w:szCs w:val="24"/>
        </w:rPr>
        <w:t xml:space="preserve"> </w:t>
      </w:r>
      <w:r>
        <w:rPr>
          <w:rFonts w:ascii="宋体" w:hAnsi="宋体" w:eastAsia="宋体" w:cs="宋体"/>
          <w:spacing w:val="-3"/>
          <w:sz w:val="24"/>
          <w:szCs w:val="24"/>
        </w:rPr>
        <w:t>及灰黄色粉土、粉质粘土等，砂的成分主要为石英、长石等，多为圆状，分选较</w:t>
      </w:r>
      <w:r>
        <w:rPr>
          <w:rFonts w:ascii="宋体" w:hAnsi="宋体" w:eastAsia="宋体" w:cs="宋体"/>
          <w:spacing w:val="1"/>
          <w:sz w:val="24"/>
          <w:szCs w:val="24"/>
        </w:rPr>
        <w:t xml:space="preserve"> 好，松散，干，孔隙度大，表层见植物根系，厚度</w:t>
      </w:r>
      <w:r>
        <w:rPr>
          <w:rFonts w:ascii="宋体" w:hAnsi="宋体" w:eastAsia="宋体" w:cs="宋体"/>
          <w:spacing w:val="-21"/>
          <w:sz w:val="24"/>
          <w:szCs w:val="24"/>
        </w:rPr>
        <w:t xml:space="preserve"> </w:t>
      </w:r>
      <w:r>
        <w:rPr>
          <w:rFonts w:ascii="宋体" w:hAnsi="宋体" w:eastAsia="宋体" w:cs="宋体"/>
          <w:spacing w:val="1"/>
          <w:sz w:val="24"/>
          <w:szCs w:val="24"/>
        </w:rPr>
        <w:t>10-20m，风积厚度一般小于</w:t>
      </w:r>
      <w:r>
        <w:rPr>
          <w:rFonts w:ascii="宋体" w:hAnsi="宋体" w:eastAsia="宋体" w:cs="宋体"/>
          <w:sz w:val="24"/>
          <w:szCs w:val="24"/>
        </w:rPr>
        <w:t xml:space="preserve"> </w:t>
      </w:r>
      <w:r>
        <w:rPr>
          <w:rFonts w:ascii="宋体" w:hAnsi="宋体" w:eastAsia="宋体" w:cs="宋体"/>
          <w:spacing w:val="-4"/>
          <w:sz w:val="24"/>
          <w:szCs w:val="24"/>
        </w:rPr>
        <w:t>5m，覆盖于第四系上更新统冲洪积层（Q</w:t>
      </w:r>
      <w:r>
        <w:rPr>
          <w:rFonts w:ascii="宋体" w:hAnsi="宋体" w:eastAsia="宋体" w:cs="宋体"/>
          <w:spacing w:val="-4"/>
          <w:position w:val="-3"/>
          <w:sz w:val="12"/>
          <w:szCs w:val="12"/>
        </w:rPr>
        <w:t>p3</w:t>
      </w:r>
      <w:r>
        <w:rPr>
          <w:rFonts w:ascii="宋体" w:hAnsi="宋体" w:eastAsia="宋体" w:cs="宋体"/>
          <w:spacing w:val="-4"/>
          <w:position w:val="11"/>
          <w:sz w:val="12"/>
          <w:szCs w:val="12"/>
        </w:rPr>
        <w:t>pal</w:t>
      </w:r>
      <w:r>
        <w:rPr>
          <w:rFonts w:ascii="宋体" w:hAnsi="宋体" w:eastAsia="宋体" w:cs="宋体"/>
          <w:spacing w:val="-4"/>
          <w:sz w:val="24"/>
          <w:szCs w:val="24"/>
        </w:rPr>
        <w:t>）、第四系中更新统冲湖积层（Q</w:t>
      </w:r>
      <w:r>
        <w:rPr>
          <w:rFonts w:ascii="宋体" w:hAnsi="宋体" w:eastAsia="宋体" w:cs="宋体"/>
          <w:spacing w:val="-4"/>
          <w:position w:val="-3"/>
          <w:sz w:val="12"/>
          <w:szCs w:val="12"/>
        </w:rPr>
        <w:t>p2</w:t>
      </w:r>
      <w:r>
        <w:rPr>
          <w:rFonts w:ascii="宋体" w:hAnsi="宋体" w:eastAsia="宋体" w:cs="宋体"/>
          <w:spacing w:val="-4"/>
          <w:position w:val="11"/>
          <w:sz w:val="12"/>
          <w:szCs w:val="12"/>
        </w:rPr>
        <w:t>al+l</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
          <w:sz w:val="24"/>
          <w:szCs w:val="24"/>
        </w:rPr>
        <w:t>白垩系上统（K</w:t>
      </w:r>
      <w:r>
        <w:rPr>
          <w:rFonts w:ascii="宋体" w:hAnsi="宋体" w:eastAsia="宋体" w:cs="宋体"/>
          <w:spacing w:val="-1"/>
          <w:position w:val="-3"/>
          <w:sz w:val="12"/>
          <w:szCs w:val="12"/>
        </w:rPr>
        <w:t>2</w:t>
      </w:r>
      <w:r>
        <w:rPr>
          <w:rFonts w:ascii="宋体" w:hAnsi="宋体" w:eastAsia="宋体" w:cs="宋体"/>
          <w:spacing w:val="-25"/>
          <w:position w:val="-3"/>
          <w:sz w:val="12"/>
          <w:szCs w:val="12"/>
        </w:rPr>
        <w:t xml:space="preserve"> </w:t>
      </w:r>
      <w:r>
        <w:rPr>
          <w:rFonts w:ascii="宋体" w:hAnsi="宋体" w:eastAsia="宋体" w:cs="宋体"/>
          <w:spacing w:val="-1"/>
          <w:sz w:val="24"/>
          <w:szCs w:val="24"/>
        </w:rPr>
        <w:t>）、二叠系下统格根敖包</w:t>
      </w:r>
      <w:r>
        <w:rPr>
          <w:rFonts w:ascii="宋体" w:hAnsi="宋体" w:eastAsia="宋体" w:cs="宋体"/>
          <w:spacing w:val="-2"/>
          <w:sz w:val="24"/>
          <w:szCs w:val="24"/>
        </w:rPr>
        <w:t>组（P</w:t>
      </w:r>
      <w:r>
        <w:rPr>
          <w:rFonts w:ascii="宋体" w:hAnsi="宋体" w:eastAsia="宋体" w:cs="宋体"/>
          <w:spacing w:val="-2"/>
          <w:position w:val="-3"/>
          <w:sz w:val="12"/>
          <w:szCs w:val="12"/>
        </w:rPr>
        <w:t>1</w:t>
      </w:r>
      <w:r>
        <w:rPr>
          <w:rFonts w:ascii="宋体" w:hAnsi="宋体" w:eastAsia="宋体" w:cs="宋体"/>
          <w:spacing w:val="-2"/>
          <w:sz w:val="24"/>
          <w:szCs w:val="24"/>
        </w:rPr>
        <w:t>g）、上侏罗统兴安岭群（J</w:t>
      </w:r>
      <w:r>
        <w:rPr>
          <w:rFonts w:ascii="宋体" w:hAnsi="宋体" w:eastAsia="宋体" w:cs="宋体"/>
          <w:spacing w:val="-2"/>
          <w:position w:val="-3"/>
          <w:sz w:val="12"/>
          <w:szCs w:val="12"/>
        </w:rPr>
        <w:t>3</w:t>
      </w:r>
      <w:r>
        <w:rPr>
          <w:rFonts w:ascii="宋体" w:hAnsi="宋体" w:eastAsia="宋体" w:cs="宋体"/>
          <w:spacing w:val="-2"/>
          <w:sz w:val="24"/>
          <w:szCs w:val="24"/>
        </w:rPr>
        <w:t>xn）</w:t>
      </w:r>
      <w:r>
        <w:rPr>
          <w:rFonts w:ascii="宋体" w:hAnsi="宋体" w:eastAsia="宋体" w:cs="宋体"/>
          <w:sz w:val="24"/>
          <w:szCs w:val="24"/>
        </w:rPr>
        <w:t xml:space="preserve"> </w:t>
      </w:r>
      <w:r>
        <w:rPr>
          <w:rFonts w:ascii="宋体" w:hAnsi="宋体" w:eastAsia="宋体" w:cs="宋体"/>
          <w:spacing w:val="-2"/>
          <w:sz w:val="24"/>
          <w:szCs w:val="24"/>
        </w:rPr>
        <w:t>之上，第四系中上更新统厚度</w:t>
      </w:r>
      <w:r>
        <w:rPr>
          <w:rFonts w:ascii="宋体" w:hAnsi="宋体" w:eastAsia="宋体" w:cs="宋体"/>
          <w:spacing w:val="-30"/>
          <w:sz w:val="24"/>
          <w:szCs w:val="24"/>
        </w:rPr>
        <w:t xml:space="preserve"> </w:t>
      </w:r>
      <w:r>
        <w:rPr>
          <w:rFonts w:ascii="宋体" w:hAnsi="宋体" w:eastAsia="宋体" w:cs="宋体"/>
          <w:spacing w:val="-2"/>
          <w:sz w:val="24"/>
          <w:szCs w:val="24"/>
        </w:rPr>
        <w:t>10-70m。</w:t>
      </w:r>
    </w:p>
    <w:p w14:paraId="29C5C2F2">
      <w:pPr>
        <w:spacing w:before="13" w:line="219" w:lineRule="auto"/>
        <w:ind w:left="514"/>
        <w:rPr>
          <w:rFonts w:ascii="宋体" w:hAnsi="宋体" w:eastAsia="宋体" w:cs="宋体"/>
          <w:sz w:val="24"/>
          <w:szCs w:val="24"/>
        </w:rPr>
      </w:pPr>
      <w:r>
        <w:rPr>
          <w:rFonts w:ascii="宋体" w:hAnsi="宋体" w:eastAsia="宋体" w:cs="宋体"/>
          <w:spacing w:val="-4"/>
          <w:sz w:val="24"/>
          <w:szCs w:val="24"/>
        </w:rPr>
        <w:t>（二）岩浆岩</w:t>
      </w:r>
    </w:p>
    <w:p w14:paraId="78F00C33">
      <w:pPr>
        <w:spacing w:before="184" w:line="365" w:lineRule="auto"/>
        <w:ind w:left="149" w:right="181" w:firstLine="352"/>
        <w:rPr>
          <w:rFonts w:ascii="宋体" w:hAnsi="宋体" w:eastAsia="宋体" w:cs="宋体"/>
          <w:sz w:val="24"/>
          <w:szCs w:val="24"/>
        </w:rPr>
      </w:pPr>
      <w:r>
        <w:rPr>
          <w:rFonts w:ascii="宋体" w:hAnsi="宋体" w:eastAsia="宋体" w:cs="宋体"/>
          <w:spacing w:val="4"/>
          <w:sz w:val="24"/>
          <w:szCs w:val="24"/>
        </w:rPr>
        <w:t>矿段内岩浆岩发育，主要为华力西晚期的超基性岩体—华力西晚期蛇纹岩</w:t>
      </w:r>
      <w:r>
        <w:rPr>
          <w:rFonts w:ascii="宋体" w:hAnsi="宋体" w:eastAsia="宋体" w:cs="宋体"/>
          <w:spacing w:val="8"/>
          <w:sz w:val="24"/>
          <w:szCs w:val="24"/>
        </w:rPr>
        <w:t xml:space="preserve"> </w:t>
      </w:r>
      <w:r>
        <w:rPr>
          <w:rFonts w:ascii="宋体" w:hAnsi="宋体" w:eastAsia="宋体" w:cs="宋体"/>
          <w:spacing w:val="-52"/>
          <w:sz w:val="24"/>
          <w:szCs w:val="24"/>
        </w:rPr>
        <w:t>(</w:t>
      </w:r>
      <w:r>
        <w:rPr>
          <w:rFonts w:ascii="宋体" w:hAnsi="宋体" w:eastAsia="宋体" w:cs="宋体"/>
          <w:spacing w:val="-47"/>
          <w:sz w:val="24"/>
          <w:szCs w:val="24"/>
        </w:rPr>
        <w:t xml:space="preserve"> </w:t>
      </w:r>
      <w:r>
        <w:rPr>
          <w:rFonts w:ascii="宋体" w:hAnsi="宋体" w:eastAsia="宋体" w:cs="宋体"/>
          <w:spacing w:val="-52"/>
          <w:sz w:val="24"/>
          <w:szCs w:val="24"/>
        </w:rPr>
        <w:t>Φ</w:t>
      </w:r>
      <w:r>
        <w:rPr>
          <w:rFonts w:ascii="宋体" w:hAnsi="宋体" w:eastAsia="宋体" w:cs="宋体"/>
          <w:spacing w:val="-55"/>
          <w:sz w:val="24"/>
          <w:szCs w:val="24"/>
        </w:rPr>
        <w:t xml:space="preserve"> </w:t>
      </w:r>
      <w:r>
        <w:rPr>
          <w:rFonts w:ascii="宋体" w:hAnsi="宋体" w:eastAsia="宋体" w:cs="宋体"/>
          <w:spacing w:val="-52"/>
          <w:sz w:val="24"/>
          <w:szCs w:val="24"/>
        </w:rPr>
        <w:t>σ</w:t>
      </w:r>
      <w:r>
        <w:rPr>
          <w:rFonts w:ascii="宋体" w:hAnsi="宋体" w:eastAsia="宋体" w:cs="宋体"/>
          <w:position w:val="-3"/>
          <w:sz w:val="12"/>
          <w:szCs w:val="12"/>
        </w:rPr>
        <w:t>4</w:t>
      </w:r>
      <w:r>
        <w:rPr>
          <w:rFonts w:ascii="宋体" w:hAnsi="宋体" w:eastAsia="宋体" w:cs="宋体"/>
          <w:position w:val="11"/>
          <w:sz w:val="12"/>
          <w:szCs w:val="12"/>
        </w:rPr>
        <w:t>3</w:t>
      </w:r>
      <w:r>
        <w:rPr>
          <w:rFonts w:ascii="宋体" w:hAnsi="宋体" w:eastAsia="宋体" w:cs="宋体"/>
          <w:spacing w:val="-25"/>
          <w:position w:val="11"/>
          <w:sz w:val="12"/>
          <w:szCs w:val="12"/>
        </w:rPr>
        <w:t xml:space="preserve"> </w:t>
      </w:r>
      <w:r>
        <w:rPr>
          <w:rFonts w:ascii="宋体" w:hAnsi="宋体" w:eastAsia="宋体" w:cs="宋体"/>
          <w:spacing w:val="-17"/>
          <w:sz w:val="24"/>
          <w:szCs w:val="24"/>
        </w:rPr>
        <w:t>）。</w:t>
      </w:r>
    </w:p>
    <w:p w14:paraId="5496A6F5">
      <w:pPr>
        <w:spacing w:line="365" w:lineRule="auto"/>
        <w:rPr>
          <w:rFonts w:ascii="宋体" w:hAnsi="宋体" w:eastAsia="宋体" w:cs="宋体"/>
          <w:sz w:val="24"/>
          <w:szCs w:val="24"/>
        </w:rPr>
        <w:sectPr>
          <w:headerReference r:id="rId248" w:type="default"/>
          <w:footerReference r:id="rId249" w:type="default"/>
          <w:pgSz w:w="11906" w:h="16839"/>
          <w:pgMar w:top="1208" w:right="1618" w:bottom="1358" w:left="1785" w:header="825" w:footer="1195" w:gutter="0"/>
          <w:cols w:space="720" w:num="1"/>
        </w:sectPr>
      </w:pPr>
    </w:p>
    <w:p w14:paraId="129A5D5E">
      <w:pPr>
        <w:pStyle w:val="2"/>
        <w:spacing w:line="248" w:lineRule="auto"/>
      </w:pPr>
    </w:p>
    <w:p w14:paraId="48439D1D">
      <w:pPr>
        <w:spacing w:before="78" w:line="358" w:lineRule="auto"/>
        <w:ind w:left="25" w:right="80" w:firstLine="479"/>
        <w:jc w:val="both"/>
        <w:rPr>
          <w:rFonts w:ascii="宋体" w:hAnsi="宋体" w:eastAsia="宋体" w:cs="宋体"/>
          <w:sz w:val="24"/>
          <w:szCs w:val="24"/>
        </w:rPr>
      </w:pPr>
      <w:r>
        <w:rPr>
          <w:rFonts w:ascii="宋体" w:hAnsi="宋体" w:eastAsia="宋体" w:cs="宋体"/>
          <w:spacing w:val="-15"/>
          <w:sz w:val="24"/>
          <w:szCs w:val="24"/>
        </w:rPr>
        <w:t>华力西晚期蛇纹岩</w:t>
      </w:r>
      <w:r>
        <w:rPr>
          <w:rFonts w:ascii="宋体" w:hAnsi="宋体" w:eastAsia="宋体" w:cs="宋体"/>
          <w:spacing w:val="18"/>
          <w:sz w:val="24"/>
          <w:szCs w:val="24"/>
        </w:rPr>
        <w:t xml:space="preserve"> </w:t>
      </w:r>
      <w:r>
        <w:rPr>
          <w:rFonts w:ascii="宋体" w:hAnsi="宋体" w:eastAsia="宋体" w:cs="宋体"/>
          <w:spacing w:val="-15"/>
          <w:sz w:val="24"/>
          <w:szCs w:val="24"/>
        </w:rPr>
        <w:t>(</w:t>
      </w:r>
      <w:r>
        <w:rPr>
          <w:rFonts w:ascii="宋体" w:hAnsi="宋体" w:eastAsia="宋体" w:cs="宋体"/>
          <w:spacing w:val="-47"/>
          <w:sz w:val="24"/>
          <w:szCs w:val="24"/>
        </w:rPr>
        <w:t xml:space="preserve"> </w:t>
      </w:r>
      <w:r>
        <w:rPr>
          <w:rFonts w:ascii="宋体" w:hAnsi="宋体" w:eastAsia="宋体" w:cs="宋体"/>
          <w:spacing w:val="-15"/>
          <w:sz w:val="24"/>
          <w:szCs w:val="24"/>
        </w:rPr>
        <w:t>Φ</w:t>
      </w:r>
      <w:r>
        <w:rPr>
          <w:rFonts w:ascii="宋体" w:hAnsi="宋体" w:eastAsia="宋体" w:cs="宋体"/>
          <w:spacing w:val="-55"/>
          <w:sz w:val="24"/>
          <w:szCs w:val="24"/>
        </w:rPr>
        <w:t xml:space="preserve"> </w:t>
      </w:r>
      <w:r>
        <w:rPr>
          <w:rFonts w:ascii="宋体" w:hAnsi="宋体" w:eastAsia="宋体" w:cs="宋体"/>
          <w:spacing w:val="-15"/>
          <w:sz w:val="24"/>
          <w:szCs w:val="24"/>
        </w:rPr>
        <w:t>σ</w:t>
      </w:r>
      <w:r>
        <w:rPr>
          <w:rFonts w:ascii="宋体" w:hAnsi="宋体" w:eastAsia="宋体" w:cs="宋体"/>
          <w:position w:val="-3"/>
          <w:sz w:val="12"/>
          <w:szCs w:val="12"/>
        </w:rPr>
        <w:t>4</w:t>
      </w:r>
      <w:r>
        <w:rPr>
          <w:rFonts w:ascii="宋体" w:hAnsi="宋体" w:eastAsia="宋体" w:cs="宋体"/>
          <w:position w:val="11"/>
          <w:sz w:val="12"/>
          <w:szCs w:val="12"/>
        </w:rPr>
        <w:t>3</w:t>
      </w:r>
      <w:r>
        <w:rPr>
          <w:rFonts w:ascii="宋体" w:hAnsi="宋体" w:eastAsia="宋体" w:cs="宋体"/>
          <w:spacing w:val="-22"/>
          <w:position w:val="11"/>
          <w:sz w:val="12"/>
          <w:szCs w:val="12"/>
        </w:rPr>
        <w:t xml:space="preserve"> </w:t>
      </w:r>
      <w:r>
        <w:rPr>
          <w:rFonts w:ascii="宋体" w:hAnsi="宋体" w:eastAsia="宋体" w:cs="宋体"/>
          <w:spacing w:val="-7"/>
          <w:sz w:val="24"/>
          <w:szCs w:val="24"/>
        </w:rPr>
        <w:t>）：</w:t>
      </w:r>
      <w:r>
        <w:rPr>
          <w:rFonts w:ascii="宋体" w:hAnsi="宋体" w:eastAsia="宋体" w:cs="宋体"/>
          <w:sz w:val="24"/>
          <w:szCs w:val="24"/>
        </w:rPr>
        <w:t xml:space="preserve">分布于评价区南部及东部，呈北东东向带状 </w:t>
      </w:r>
      <w:r>
        <w:rPr>
          <w:rFonts w:ascii="宋体" w:hAnsi="宋体" w:eastAsia="宋体" w:cs="宋体"/>
          <w:spacing w:val="-1"/>
          <w:sz w:val="24"/>
          <w:szCs w:val="24"/>
        </w:rPr>
        <w:t>展布，与区域构造线基本一致。该侵入体与寿山沟组（P</w:t>
      </w:r>
      <w:r>
        <w:rPr>
          <w:rFonts w:ascii="宋体" w:hAnsi="宋体" w:eastAsia="宋体" w:cs="宋体"/>
          <w:spacing w:val="-1"/>
          <w:position w:val="-3"/>
          <w:sz w:val="12"/>
          <w:szCs w:val="12"/>
        </w:rPr>
        <w:t>1</w:t>
      </w:r>
      <w:r>
        <w:rPr>
          <w:rFonts w:ascii="宋体" w:hAnsi="宋体" w:eastAsia="宋体" w:cs="宋体"/>
          <w:spacing w:val="-1"/>
          <w:sz w:val="24"/>
          <w:szCs w:val="24"/>
        </w:rPr>
        <w:t>g</w:t>
      </w:r>
      <w:r>
        <w:rPr>
          <w:rFonts w:ascii="宋体" w:hAnsi="宋体" w:eastAsia="宋体" w:cs="宋体"/>
          <w:spacing w:val="-1"/>
          <w:position w:val="11"/>
          <w:sz w:val="12"/>
          <w:szCs w:val="12"/>
        </w:rPr>
        <w:t>5</w:t>
      </w:r>
      <w:r>
        <w:rPr>
          <w:rFonts w:ascii="宋体" w:hAnsi="宋体" w:eastAsia="宋体" w:cs="宋体"/>
          <w:spacing w:val="-9"/>
          <w:position w:val="11"/>
          <w:sz w:val="12"/>
          <w:szCs w:val="12"/>
        </w:rPr>
        <w:t xml:space="preserve"> </w:t>
      </w:r>
      <w:r>
        <w:rPr>
          <w:rFonts w:ascii="宋体" w:hAnsi="宋体" w:eastAsia="宋体" w:cs="宋体"/>
          <w:spacing w:val="-1"/>
          <w:sz w:val="24"/>
          <w:szCs w:val="24"/>
        </w:rPr>
        <w:t>）地层为侵入接触关</w:t>
      </w:r>
      <w:r>
        <w:rPr>
          <w:rFonts w:ascii="宋体" w:hAnsi="宋体" w:eastAsia="宋体" w:cs="宋体"/>
          <w:sz w:val="24"/>
          <w:szCs w:val="24"/>
        </w:rPr>
        <w:t xml:space="preserve"> </w:t>
      </w:r>
      <w:r>
        <w:rPr>
          <w:rFonts w:ascii="宋体" w:hAnsi="宋体" w:eastAsia="宋体" w:cs="宋体"/>
          <w:spacing w:val="-1"/>
          <w:sz w:val="24"/>
          <w:szCs w:val="24"/>
        </w:rPr>
        <w:t>系，钻孔中见超基性岩呈岩枝状侵入格根敖包组（P</w:t>
      </w:r>
      <w:r>
        <w:rPr>
          <w:rFonts w:ascii="宋体" w:hAnsi="宋体" w:eastAsia="宋体" w:cs="宋体"/>
          <w:spacing w:val="-1"/>
          <w:position w:val="-3"/>
          <w:sz w:val="12"/>
          <w:szCs w:val="12"/>
        </w:rPr>
        <w:t>1</w:t>
      </w:r>
      <w:r>
        <w:rPr>
          <w:rFonts w:ascii="宋体" w:hAnsi="宋体" w:eastAsia="宋体" w:cs="宋体"/>
          <w:spacing w:val="-1"/>
          <w:sz w:val="24"/>
          <w:szCs w:val="24"/>
        </w:rPr>
        <w:t>g</w:t>
      </w:r>
      <w:r>
        <w:rPr>
          <w:rFonts w:ascii="宋体" w:hAnsi="宋体" w:eastAsia="宋体" w:cs="宋体"/>
          <w:spacing w:val="-1"/>
          <w:position w:val="11"/>
          <w:sz w:val="12"/>
          <w:szCs w:val="12"/>
        </w:rPr>
        <w:t>5</w:t>
      </w:r>
      <w:r>
        <w:rPr>
          <w:rFonts w:ascii="宋体" w:hAnsi="宋体" w:eastAsia="宋体" w:cs="宋体"/>
          <w:spacing w:val="-25"/>
          <w:position w:val="11"/>
          <w:sz w:val="12"/>
          <w:szCs w:val="12"/>
        </w:rPr>
        <w:t xml:space="preserve"> </w:t>
      </w:r>
      <w:r>
        <w:rPr>
          <w:rFonts w:ascii="宋体" w:hAnsi="宋体" w:eastAsia="宋体" w:cs="宋体"/>
          <w:spacing w:val="-2"/>
          <w:sz w:val="24"/>
          <w:szCs w:val="24"/>
        </w:rPr>
        <w:t>）砂岩中。局部该岩体呈</w:t>
      </w:r>
    </w:p>
    <w:p w14:paraId="3B80C3A7">
      <w:pPr>
        <w:spacing w:before="112" w:line="219" w:lineRule="auto"/>
        <w:ind w:left="22"/>
        <w:rPr>
          <w:rFonts w:ascii="宋体" w:hAnsi="宋体" w:eastAsia="宋体" w:cs="宋体"/>
          <w:sz w:val="24"/>
          <w:szCs w:val="24"/>
        </w:rPr>
      </w:pPr>
      <w:r>
        <w:pict>
          <v:shape id="_x0000_s1044" o:spid="_x0000_s1044" o:spt="202" type="#_x0000_t202" style="position:absolute;left:0pt;margin-left:12.15pt;margin-top:4.75pt;height:4.65pt;width:10.45pt;z-index:251714560;mso-width-relative:page;mso-height-relative:page;" filled="f" stroked="f" coordsize="21600,21600">
            <v:path/>
            <v:fill on="f" focussize="0,0"/>
            <v:stroke on="f"/>
            <v:imagedata o:title=""/>
            <o:lock v:ext="edit" aspectratio="f"/>
            <v:textbox inset="0mm,0mm,0mm,0mm">
              <w:txbxContent>
                <w:p w14:paraId="71DD2A50">
                  <w:pPr>
                    <w:spacing w:before="20" w:line="52" w:lineRule="exact"/>
                    <w:jc w:val="right"/>
                    <w:rPr>
                      <w:rFonts w:ascii="微软雅黑" w:hAnsi="微软雅黑" w:eastAsia="微软雅黑" w:cs="微软雅黑"/>
                      <w:sz w:val="24"/>
                      <w:szCs w:val="24"/>
                    </w:rPr>
                  </w:pPr>
                  <w:r>
                    <w:rPr>
                      <w:rFonts w:ascii="微软雅黑" w:hAnsi="微软雅黑" w:eastAsia="微软雅黑" w:cs="微软雅黑"/>
                      <w:spacing w:val="-24"/>
                      <w:w w:val="80"/>
                      <w:position w:val="2"/>
                      <w:sz w:val="24"/>
                      <w:szCs w:val="24"/>
                    </w:rPr>
                    <w:t>。</w:t>
                  </w:r>
                </w:p>
              </w:txbxContent>
            </v:textbox>
          </v:shape>
        </w:pict>
      </w:r>
      <w:r>
        <w:rPr>
          <w:rFonts w:ascii="宋体" w:hAnsi="宋体" w:eastAsia="宋体" w:cs="宋体"/>
          <w:spacing w:val="-1"/>
          <w:sz w:val="24"/>
          <w:szCs w:val="24"/>
        </w:rPr>
        <w:t>45</w:t>
      </w:r>
      <w:r>
        <w:rPr>
          <w:rFonts w:ascii="宋体" w:hAnsi="宋体" w:eastAsia="宋体" w:cs="宋体"/>
          <w:spacing w:val="-37"/>
          <w:sz w:val="24"/>
          <w:szCs w:val="24"/>
        </w:rPr>
        <w:t xml:space="preserve"> </w:t>
      </w:r>
      <w:r>
        <w:rPr>
          <w:rFonts w:ascii="宋体" w:hAnsi="宋体" w:eastAsia="宋体" w:cs="宋体"/>
          <w:spacing w:val="-1"/>
          <w:sz w:val="24"/>
          <w:szCs w:val="24"/>
        </w:rPr>
        <w:t>左右倾角超覆在砂岩之上，呈断层接触。</w:t>
      </w:r>
    </w:p>
    <w:p w14:paraId="5A24694E">
      <w:pPr>
        <w:spacing w:before="250" w:line="360" w:lineRule="auto"/>
        <w:ind w:left="22" w:right="80" w:firstLine="484"/>
        <w:jc w:val="both"/>
        <w:rPr>
          <w:rFonts w:ascii="宋体" w:hAnsi="宋体" w:eastAsia="宋体" w:cs="宋体"/>
          <w:sz w:val="24"/>
          <w:szCs w:val="24"/>
        </w:rPr>
      </w:pPr>
      <w:r>
        <w:rPr>
          <w:rFonts w:ascii="宋体" w:hAnsi="宋体" w:eastAsia="宋体" w:cs="宋体"/>
          <w:spacing w:val="-3"/>
          <w:sz w:val="24"/>
          <w:szCs w:val="24"/>
        </w:rPr>
        <w:t>该侵入体内的岩石遭受强烈蚀变，岩石呈灰绿色，风化</w:t>
      </w:r>
      <w:r>
        <w:rPr>
          <w:rFonts w:ascii="宋体" w:hAnsi="宋体" w:eastAsia="宋体" w:cs="宋体"/>
          <w:spacing w:val="-4"/>
          <w:sz w:val="24"/>
          <w:szCs w:val="24"/>
        </w:rPr>
        <w:t>面为灰绿色。其岩性</w:t>
      </w:r>
      <w:r>
        <w:rPr>
          <w:rFonts w:ascii="宋体" w:hAnsi="宋体" w:eastAsia="宋体" w:cs="宋体"/>
          <w:sz w:val="24"/>
          <w:szCs w:val="24"/>
        </w:rPr>
        <w:t xml:space="preserve"> </w:t>
      </w:r>
      <w:r>
        <w:rPr>
          <w:rFonts w:ascii="宋体" w:hAnsi="宋体" w:eastAsia="宋体" w:cs="宋体"/>
          <w:spacing w:val="-3"/>
          <w:sz w:val="24"/>
          <w:szCs w:val="24"/>
        </w:rPr>
        <w:t>主要为蛇纹岩，由斜辉辉橄岩蚀变而成。岩石由新生的蚀变蛇纹石和少量的磁铁</w:t>
      </w:r>
      <w:r>
        <w:rPr>
          <w:rFonts w:ascii="宋体" w:hAnsi="宋体" w:eastAsia="宋体" w:cs="宋体"/>
          <w:spacing w:val="1"/>
          <w:sz w:val="24"/>
          <w:szCs w:val="24"/>
        </w:rPr>
        <w:t xml:space="preserve"> </w:t>
      </w:r>
      <w:r>
        <w:rPr>
          <w:rFonts w:ascii="宋体" w:hAnsi="宋体" w:eastAsia="宋体" w:cs="宋体"/>
          <w:spacing w:val="-3"/>
          <w:sz w:val="24"/>
          <w:szCs w:val="24"/>
        </w:rPr>
        <w:t>矿、褐铁矿组成，原岩结构已破坏。部分近地表岩石多已形成碳酸盐化和硅质风</w:t>
      </w:r>
      <w:r>
        <w:rPr>
          <w:rFonts w:ascii="宋体" w:hAnsi="宋体" w:eastAsia="宋体" w:cs="宋体"/>
          <w:spacing w:val="1"/>
          <w:sz w:val="24"/>
          <w:szCs w:val="24"/>
        </w:rPr>
        <w:t xml:space="preserve"> </w:t>
      </w:r>
      <w:r>
        <w:rPr>
          <w:rFonts w:ascii="宋体" w:hAnsi="宋体" w:eastAsia="宋体" w:cs="宋体"/>
          <w:spacing w:val="-3"/>
          <w:sz w:val="24"/>
          <w:szCs w:val="24"/>
        </w:rPr>
        <w:t>化壳。</w:t>
      </w:r>
    </w:p>
    <w:p w14:paraId="22375EE5">
      <w:pPr>
        <w:spacing w:line="220" w:lineRule="auto"/>
        <w:ind w:left="514"/>
        <w:rPr>
          <w:rFonts w:ascii="宋体" w:hAnsi="宋体" w:eastAsia="宋体" w:cs="宋体"/>
          <w:sz w:val="24"/>
          <w:szCs w:val="24"/>
        </w:rPr>
      </w:pPr>
      <w:r>
        <w:rPr>
          <w:rFonts w:ascii="宋体" w:hAnsi="宋体" w:eastAsia="宋体" w:cs="宋体"/>
          <w:spacing w:val="-5"/>
          <w:sz w:val="24"/>
          <w:szCs w:val="24"/>
        </w:rPr>
        <w:t>（三）构造</w:t>
      </w:r>
    </w:p>
    <w:p w14:paraId="3CBEB60C">
      <w:pPr>
        <w:spacing w:before="180" w:line="359" w:lineRule="auto"/>
        <w:ind w:left="25" w:right="80" w:firstLine="481"/>
        <w:jc w:val="both"/>
        <w:rPr>
          <w:rFonts w:ascii="宋体" w:hAnsi="宋体" w:eastAsia="宋体" w:cs="宋体"/>
          <w:sz w:val="24"/>
          <w:szCs w:val="24"/>
        </w:rPr>
      </w:pPr>
      <w:r>
        <w:rPr>
          <w:rFonts w:ascii="宋体" w:hAnsi="宋体" w:eastAsia="宋体" w:cs="宋体"/>
          <w:spacing w:val="-3"/>
          <w:sz w:val="24"/>
          <w:szCs w:val="24"/>
        </w:rPr>
        <w:t>项目位于区域梅劳斯特断裂（F</w:t>
      </w:r>
      <w:r>
        <w:rPr>
          <w:rFonts w:ascii="宋体" w:hAnsi="宋体" w:eastAsia="宋体" w:cs="宋体"/>
          <w:spacing w:val="-3"/>
          <w:position w:val="-3"/>
          <w:sz w:val="12"/>
          <w:szCs w:val="12"/>
        </w:rPr>
        <w:t>1</w:t>
      </w:r>
      <w:r>
        <w:rPr>
          <w:rFonts w:ascii="宋体" w:hAnsi="宋体" w:eastAsia="宋体" w:cs="宋体"/>
          <w:spacing w:val="-3"/>
          <w:sz w:val="24"/>
          <w:szCs w:val="24"/>
        </w:rPr>
        <w:t>）北东段。在该</w:t>
      </w:r>
      <w:r>
        <w:rPr>
          <w:rFonts w:ascii="宋体" w:hAnsi="宋体" w:eastAsia="宋体" w:cs="宋体"/>
          <w:spacing w:val="-4"/>
          <w:sz w:val="24"/>
          <w:szCs w:val="24"/>
        </w:rPr>
        <w:t>断裂带及两侧宽约</w:t>
      </w:r>
      <w:r>
        <w:rPr>
          <w:rFonts w:ascii="宋体" w:hAnsi="宋体" w:eastAsia="宋体" w:cs="宋体"/>
          <w:spacing w:val="-46"/>
          <w:sz w:val="24"/>
          <w:szCs w:val="24"/>
        </w:rPr>
        <w:t xml:space="preserve"> </w:t>
      </w:r>
      <w:r>
        <w:rPr>
          <w:rFonts w:ascii="宋体" w:hAnsi="宋体" w:eastAsia="宋体" w:cs="宋体"/>
          <w:spacing w:val="-4"/>
          <w:sz w:val="24"/>
          <w:szCs w:val="24"/>
        </w:rPr>
        <w:t>500m、长</w:t>
      </w:r>
      <w:r>
        <w:rPr>
          <w:rFonts w:ascii="宋体" w:hAnsi="宋体" w:eastAsia="宋体" w:cs="宋体"/>
          <w:sz w:val="24"/>
          <w:szCs w:val="24"/>
        </w:rPr>
        <w:t xml:space="preserve"> </w:t>
      </w:r>
      <w:r>
        <w:rPr>
          <w:rFonts w:ascii="宋体" w:hAnsi="宋体" w:eastAsia="宋体" w:cs="宋体"/>
          <w:spacing w:val="-4"/>
          <w:sz w:val="24"/>
          <w:szCs w:val="24"/>
        </w:rPr>
        <w:t>大于</w:t>
      </w:r>
      <w:r>
        <w:rPr>
          <w:rFonts w:ascii="宋体" w:hAnsi="宋体" w:eastAsia="宋体" w:cs="宋体"/>
          <w:spacing w:val="-32"/>
          <w:sz w:val="24"/>
          <w:szCs w:val="24"/>
        </w:rPr>
        <w:t xml:space="preserve"> </w:t>
      </w:r>
      <w:r>
        <w:rPr>
          <w:rFonts w:ascii="宋体" w:hAnsi="宋体" w:eastAsia="宋体" w:cs="宋体"/>
          <w:spacing w:val="-4"/>
          <w:sz w:val="24"/>
          <w:szCs w:val="24"/>
        </w:rPr>
        <w:t>1000m</w:t>
      </w:r>
      <w:r>
        <w:rPr>
          <w:rFonts w:ascii="宋体" w:hAnsi="宋体" w:eastAsia="宋体" w:cs="宋体"/>
          <w:spacing w:val="-31"/>
          <w:sz w:val="24"/>
          <w:szCs w:val="24"/>
        </w:rPr>
        <w:t xml:space="preserve"> </w:t>
      </w:r>
      <w:r>
        <w:rPr>
          <w:rFonts w:ascii="宋体" w:hAnsi="宋体" w:eastAsia="宋体" w:cs="宋体"/>
          <w:spacing w:val="-4"/>
          <w:sz w:val="24"/>
          <w:szCs w:val="24"/>
        </w:rPr>
        <w:t>的范围内分布有一系列的北西向、</w:t>
      </w:r>
      <w:r>
        <w:rPr>
          <w:rFonts w:ascii="宋体" w:hAnsi="宋体" w:eastAsia="宋体" w:cs="宋体"/>
          <w:spacing w:val="-5"/>
          <w:sz w:val="24"/>
          <w:szCs w:val="24"/>
        </w:rPr>
        <w:t>北东向及近南北向断裂。各组断裂</w:t>
      </w:r>
      <w:r>
        <w:rPr>
          <w:rFonts w:ascii="宋体" w:hAnsi="宋体" w:eastAsia="宋体" w:cs="宋体"/>
          <w:sz w:val="24"/>
          <w:szCs w:val="24"/>
        </w:rPr>
        <w:t xml:space="preserve"> </w:t>
      </w:r>
      <w:r>
        <w:rPr>
          <w:rFonts w:ascii="宋体" w:hAnsi="宋体" w:eastAsia="宋体" w:cs="宋体"/>
          <w:spacing w:val="-2"/>
          <w:sz w:val="24"/>
          <w:szCs w:val="24"/>
        </w:rPr>
        <w:t>主要特征表述如下：</w:t>
      </w:r>
    </w:p>
    <w:p w14:paraId="1DCD07B5">
      <w:pPr>
        <w:spacing w:before="6" w:line="219" w:lineRule="auto"/>
        <w:ind w:left="514"/>
        <w:rPr>
          <w:rFonts w:ascii="宋体" w:hAnsi="宋体" w:eastAsia="宋体" w:cs="宋体"/>
          <w:sz w:val="24"/>
          <w:szCs w:val="24"/>
        </w:rPr>
      </w:pPr>
      <w:r>
        <w:rPr>
          <w:rFonts w:ascii="宋体" w:hAnsi="宋体" w:eastAsia="宋体" w:cs="宋体"/>
          <w:spacing w:val="-3"/>
          <w:sz w:val="24"/>
          <w:szCs w:val="24"/>
        </w:rPr>
        <w:t>（1）北东向断裂</w:t>
      </w:r>
    </w:p>
    <w:p w14:paraId="6E69E7C0">
      <w:pPr>
        <w:spacing w:before="184" w:line="229" w:lineRule="auto"/>
        <w:ind w:left="532"/>
        <w:rPr>
          <w:rFonts w:ascii="宋体" w:hAnsi="宋体" w:eastAsia="宋体" w:cs="宋体"/>
          <w:sz w:val="24"/>
          <w:szCs w:val="24"/>
        </w:rPr>
      </w:pPr>
      <w:r>
        <w:rPr>
          <w:rFonts w:ascii="宋体" w:hAnsi="宋体" w:eastAsia="宋体" w:cs="宋体"/>
          <w:spacing w:val="-6"/>
          <w:sz w:val="24"/>
          <w:szCs w:val="24"/>
        </w:rPr>
        <w:t>由西往东主要有</w:t>
      </w:r>
      <w:r>
        <w:rPr>
          <w:rFonts w:ascii="宋体" w:hAnsi="宋体" w:eastAsia="宋体" w:cs="宋体"/>
          <w:spacing w:val="-55"/>
          <w:sz w:val="24"/>
          <w:szCs w:val="24"/>
        </w:rPr>
        <w:t xml:space="preserve"> </w:t>
      </w:r>
      <w:r>
        <w:rPr>
          <w:rFonts w:ascii="宋体" w:hAnsi="宋体" w:eastAsia="宋体" w:cs="宋体"/>
          <w:spacing w:val="-6"/>
          <w:sz w:val="24"/>
          <w:szCs w:val="24"/>
        </w:rPr>
        <w:t>F</w:t>
      </w:r>
      <w:r>
        <w:rPr>
          <w:rFonts w:ascii="宋体" w:hAnsi="宋体" w:eastAsia="宋体" w:cs="宋体"/>
          <w:spacing w:val="-6"/>
          <w:position w:val="-3"/>
          <w:sz w:val="12"/>
          <w:szCs w:val="12"/>
        </w:rPr>
        <w:t>1</w:t>
      </w:r>
      <w:r>
        <w:rPr>
          <w:rFonts w:ascii="宋体" w:hAnsi="宋体" w:eastAsia="宋体" w:cs="宋体"/>
          <w:spacing w:val="-34"/>
          <w:position w:val="-3"/>
          <w:sz w:val="12"/>
          <w:szCs w:val="12"/>
        </w:rPr>
        <w:t xml:space="preserve"> </w:t>
      </w:r>
      <w:r>
        <w:rPr>
          <w:rFonts w:ascii="宋体" w:hAnsi="宋体" w:eastAsia="宋体" w:cs="宋体"/>
          <w:spacing w:val="-6"/>
          <w:sz w:val="24"/>
          <w:szCs w:val="24"/>
        </w:rPr>
        <w:t>、F</w:t>
      </w:r>
      <w:r>
        <w:rPr>
          <w:rFonts w:ascii="宋体" w:hAnsi="宋体" w:eastAsia="宋体" w:cs="宋体"/>
          <w:spacing w:val="-6"/>
          <w:position w:val="-3"/>
          <w:sz w:val="12"/>
          <w:szCs w:val="12"/>
        </w:rPr>
        <w:t>2</w:t>
      </w:r>
      <w:r>
        <w:rPr>
          <w:rFonts w:ascii="宋体" w:hAnsi="宋体" w:eastAsia="宋体" w:cs="宋体"/>
          <w:spacing w:val="-12"/>
          <w:position w:val="-3"/>
          <w:sz w:val="12"/>
          <w:szCs w:val="12"/>
        </w:rPr>
        <w:t xml:space="preserve"> </w:t>
      </w:r>
      <w:r>
        <w:rPr>
          <w:rFonts w:ascii="宋体" w:hAnsi="宋体" w:eastAsia="宋体" w:cs="宋体"/>
          <w:spacing w:val="-6"/>
          <w:sz w:val="24"/>
          <w:szCs w:val="24"/>
        </w:rPr>
        <w:t>断裂。</w:t>
      </w:r>
    </w:p>
    <w:p w14:paraId="09FC5B3F">
      <w:pPr>
        <w:spacing w:before="168" w:line="359" w:lineRule="auto"/>
        <w:ind w:left="22" w:right="18" w:firstLine="477"/>
        <w:rPr>
          <w:rFonts w:ascii="宋体" w:hAnsi="宋体" w:eastAsia="宋体" w:cs="宋体"/>
          <w:sz w:val="24"/>
          <w:szCs w:val="24"/>
        </w:rPr>
      </w:pPr>
      <w:r>
        <w:rPr>
          <w:rFonts w:ascii="宋体" w:hAnsi="宋体" w:eastAsia="宋体" w:cs="宋体"/>
          <w:spacing w:val="-2"/>
          <w:sz w:val="24"/>
          <w:szCs w:val="24"/>
        </w:rPr>
        <w:t>F</w:t>
      </w:r>
      <w:r>
        <w:rPr>
          <w:rFonts w:ascii="宋体" w:hAnsi="宋体" w:eastAsia="宋体" w:cs="宋体"/>
          <w:spacing w:val="-2"/>
          <w:position w:val="-3"/>
          <w:sz w:val="12"/>
          <w:szCs w:val="12"/>
        </w:rPr>
        <w:t>1</w:t>
      </w:r>
      <w:r>
        <w:rPr>
          <w:rFonts w:ascii="宋体" w:hAnsi="宋体" w:eastAsia="宋体" w:cs="宋体"/>
          <w:spacing w:val="-13"/>
          <w:position w:val="-3"/>
          <w:sz w:val="12"/>
          <w:szCs w:val="12"/>
        </w:rPr>
        <w:t xml:space="preserve"> </w:t>
      </w:r>
      <w:r>
        <w:rPr>
          <w:rFonts w:ascii="宋体" w:hAnsi="宋体" w:eastAsia="宋体" w:cs="宋体"/>
          <w:spacing w:val="-2"/>
          <w:sz w:val="24"/>
          <w:szCs w:val="24"/>
        </w:rPr>
        <w:t>断裂（梅劳斯特断裂</w:t>
      </w:r>
      <w:r>
        <w:rPr>
          <w:rFonts w:ascii="宋体" w:hAnsi="宋体" w:eastAsia="宋体" w:cs="宋体"/>
          <w:spacing w:val="-7"/>
          <w:sz w:val="24"/>
          <w:szCs w:val="24"/>
        </w:rPr>
        <w:t>）：</w:t>
      </w:r>
      <w:r>
        <w:rPr>
          <w:rFonts w:ascii="宋体" w:hAnsi="宋体" w:eastAsia="宋体" w:cs="宋体"/>
          <w:spacing w:val="-2"/>
          <w:sz w:val="24"/>
          <w:szCs w:val="24"/>
        </w:rPr>
        <w:t>为矿区内最大断层。从花</w:t>
      </w:r>
      <w:r>
        <w:rPr>
          <w:rFonts w:ascii="宋体" w:hAnsi="宋体" w:eastAsia="宋体" w:cs="宋体"/>
          <w:spacing w:val="-3"/>
          <w:sz w:val="24"/>
          <w:szCs w:val="24"/>
        </w:rPr>
        <w:t>敖包特山矿段中部、经</w:t>
      </w:r>
      <w:r>
        <w:rPr>
          <w:rFonts w:ascii="宋体" w:hAnsi="宋体" w:eastAsia="宋体" w:cs="宋体"/>
          <w:sz w:val="24"/>
          <w:szCs w:val="24"/>
        </w:rPr>
        <w:t xml:space="preserve"> </w:t>
      </w:r>
      <w:r>
        <w:rPr>
          <w:rFonts w:ascii="宋体" w:hAnsi="宋体" w:eastAsia="宋体" w:cs="宋体"/>
          <w:spacing w:val="-9"/>
          <w:sz w:val="24"/>
          <w:szCs w:val="24"/>
        </w:rPr>
        <w:t>矿区中部、选厂东山、至</w:t>
      </w:r>
      <w:r>
        <w:rPr>
          <w:rFonts w:ascii="宋体" w:hAnsi="宋体" w:eastAsia="宋体" w:cs="宋体"/>
          <w:spacing w:val="-26"/>
          <w:sz w:val="24"/>
          <w:szCs w:val="24"/>
        </w:rPr>
        <w:t xml:space="preserve"> </w:t>
      </w:r>
      <w:r>
        <w:rPr>
          <w:rFonts w:ascii="宋体" w:hAnsi="宋体" w:eastAsia="宋体" w:cs="宋体"/>
          <w:spacing w:val="-9"/>
          <w:sz w:val="24"/>
          <w:szCs w:val="24"/>
        </w:rPr>
        <w:t>1002</w:t>
      </w:r>
      <w:r>
        <w:rPr>
          <w:rFonts w:ascii="宋体" w:hAnsi="宋体" w:eastAsia="宋体" w:cs="宋体"/>
          <w:spacing w:val="-44"/>
          <w:sz w:val="24"/>
          <w:szCs w:val="24"/>
        </w:rPr>
        <w:t xml:space="preserve"> </w:t>
      </w:r>
      <w:r>
        <w:rPr>
          <w:rFonts w:ascii="宋体" w:hAnsi="宋体" w:eastAsia="宋体" w:cs="宋体"/>
          <w:spacing w:val="-9"/>
          <w:sz w:val="24"/>
          <w:szCs w:val="24"/>
        </w:rPr>
        <w:t>高地南部延伸到区外，长约</w:t>
      </w:r>
      <w:r>
        <w:rPr>
          <w:rFonts w:ascii="宋体" w:hAnsi="宋体" w:eastAsia="宋体" w:cs="宋体"/>
          <w:spacing w:val="-33"/>
          <w:sz w:val="24"/>
          <w:szCs w:val="24"/>
        </w:rPr>
        <w:t xml:space="preserve"> </w:t>
      </w:r>
      <w:r>
        <w:rPr>
          <w:rFonts w:ascii="宋体" w:hAnsi="宋体" w:eastAsia="宋体" w:cs="宋体"/>
          <w:spacing w:val="-9"/>
          <w:sz w:val="24"/>
          <w:szCs w:val="24"/>
        </w:rPr>
        <w:t>15km，宽度约</w:t>
      </w:r>
      <w:r>
        <w:rPr>
          <w:rFonts w:ascii="宋体" w:hAnsi="宋体" w:eastAsia="宋体" w:cs="宋体"/>
          <w:spacing w:val="-50"/>
          <w:sz w:val="24"/>
          <w:szCs w:val="24"/>
        </w:rPr>
        <w:t xml:space="preserve"> </w:t>
      </w:r>
      <w:r>
        <w:rPr>
          <w:rFonts w:ascii="宋体" w:hAnsi="宋体" w:eastAsia="宋体" w:cs="宋体"/>
          <w:spacing w:val="-9"/>
          <w:sz w:val="24"/>
          <w:szCs w:val="24"/>
        </w:rPr>
        <w:t>8～60m，</w:t>
      </w:r>
      <w:r>
        <w:rPr>
          <w:rFonts w:ascii="宋体" w:hAnsi="宋体" w:eastAsia="宋体" w:cs="宋体"/>
          <w:sz w:val="24"/>
          <w:szCs w:val="24"/>
        </w:rPr>
        <w:t xml:space="preserve"> </w:t>
      </w:r>
      <w:r>
        <w:rPr>
          <w:rFonts w:ascii="宋体" w:hAnsi="宋体" w:eastAsia="宋体" w:cs="宋体"/>
          <w:spacing w:val="-7"/>
          <w:sz w:val="24"/>
          <w:szCs w:val="24"/>
        </w:rPr>
        <w:t>倾向南东，倾角</w:t>
      </w:r>
      <w:r>
        <w:rPr>
          <w:rFonts w:ascii="宋体" w:hAnsi="宋体" w:eastAsia="宋体" w:cs="宋体"/>
          <w:spacing w:val="-33"/>
          <w:sz w:val="24"/>
          <w:szCs w:val="24"/>
        </w:rPr>
        <w:t xml:space="preserve"> </w:t>
      </w:r>
      <w:r>
        <w:rPr>
          <w:rFonts w:ascii="宋体" w:hAnsi="宋体" w:eastAsia="宋体" w:cs="宋体"/>
          <w:spacing w:val="-7"/>
          <w:sz w:val="24"/>
          <w:szCs w:val="24"/>
        </w:rPr>
        <w:t>50～70</w:t>
      </w:r>
      <w:r>
        <w:rPr>
          <w:rFonts w:ascii="宋体" w:hAnsi="宋体" w:eastAsia="宋体" w:cs="宋体"/>
          <w:spacing w:val="-89"/>
          <w:sz w:val="24"/>
          <w:szCs w:val="24"/>
        </w:rPr>
        <w:t xml:space="preserve"> </w:t>
      </w:r>
      <w:r>
        <w:rPr>
          <w:rFonts w:ascii="宋体" w:hAnsi="宋体" w:eastAsia="宋体" w:cs="宋体"/>
          <w:spacing w:val="-7"/>
          <w:sz w:val="24"/>
          <w:szCs w:val="24"/>
        </w:rPr>
        <w:t>°。位于超基性岩体与寿山沟组（P</w:t>
      </w:r>
      <w:r>
        <w:rPr>
          <w:rFonts w:ascii="宋体" w:hAnsi="宋体" w:eastAsia="宋体" w:cs="宋体"/>
          <w:spacing w:val="-7"/>
          <w:position w:val="-3"/>
          <w:sz w:val="12"/>
          <w:szCs w:val="12"/>
        </w:rPr>
        <w:t>1</w:t>
      </w:r>
      <w:r>
        <w:rPr>
          <w:rFonts w:ascii="宋体" w:hAnsi="宋体" w:eastAsia="宋体" w:cs="宋体"/>
          <w:spacing w:val="-7"/>
          <w:sz w:val="24"/>
          <w:szCs w:val="24"/>
        </w:rPr>
        <w:t>g</w:t>
      </w:r>
      <w:r>
        <w:rPr>
          <w:rFonts w:ascii="宋体" w:hAnsi="宋体" w:eastAsia="宋体" w:cs="宋体"/>
          <w:spacing w:val="-7"/>
          <w:position w:val="11"/>
          <w:sz w:val="12"/>
          <w:szCs w:val="12"/>
        </w:rPr>
        <w:t>5</w:t>
      </w:r>
      <w:r>
        <w:rPr>
          <w:rFonts w:ascii="宋体" w:hAnsi="宋体" w:eastAsia="宋体" w:cs="宋体"/>
          <w:spacing w:val="-7"/>
          <w:sz w:val="24"/>
          <w:szCs w:val="24"/>
        </w:rPr>
        <w:t>）地层的接触带上，</w:t>
      </w:r>
      <w:r>
        <w:rPr>
          <w:rFonts w:ascii="宋体" w:hAnsi="宋体" w:eastAsia="宋体" w:cs="宋体"/>
          <w:sz w:val="24"/>
          <w:szCs w:val="24"/>
        </w:rPr>
        <w:t xml:space="preserve"> </w:t>
      </w:r>
      <w:r>
        <w:rPr>
          <w:rFonts w:ascii="宋体" w:hAnsi="宋体" w:eastAsia="宋体" w:cs="宋体"/>
          <w:spacing w:val="-3"/>
          <w:sz w:val="24"/>
          <w:szCs w:val="24"/>
        </w:rPr>
        <w:t>二者为断层接触关系，沿断裂带断续有次流纹岩脉、闪长岩脉等脉岩充填，断层</w:t>
      </w:r>
      <w:r>
        <w:rPr>
          <w:rFonts w:ascii="宋体" w:hAnsi="宋体" w:eastAsia="宋体" w:cs="宋体"/>
          <w:spacing w:val="1"/>
          <w:sz w:val="24"/>
          <w:szCs w:val="24"/>
        </w:rPr>
        <w:t xml:space="preserve"> </w:t>
      </w:r>
      <w:r>
        <w:rPr>
          <w:rFonts w:ascii="宋体" w:hAnsi="宋体" w:eastAsia="宋体" w:cs="宋体"/>
          <w:spacing w:val="-3"/>
          <w:sz w:val="24"/>
          <w:szCs w:val="24"/>
        </w:rPr>
        <w:t>沿走向呈波状，具压扭性特征，断层两侧岩石极其破碎，部分已形成糜棱岩。该</w:t>
      </w:r>
      <w:r>
        <w:rPr>
          <w:rFonts w:ascii="宋体" w:hAnsi="宋体" w:eastAsia="宋体" w:cs="宋体"/>
          <w:spacing w:val="1"/>
          <w:sz w:val="24"/>
          <w:szCs w:val="24"/>
        </w:rPr>
        <w:t xml:space="preserve"> </w:t>
      </w:r>
      <w:r>
        <w:rPr>
          <w:rFonts w:ascii="宋体" w:hAnsi="宋体" w:eastAsia="宋体" w:cs="宋体"/>
          <w:spacing w:val="-1"/>
          <w:sz w:val="24"/>
          <w:szCs w:val="24"/>
        </w:rPr>
        <w:t>断层为矿段主要的控岩、控矿断裂。</w:t>
      </w:r>
    </w:p>
    <w:p w14:paraId="139D4C17">
      <w:pPr>
        <w:spacing w:before="9" w:line="352" w:lineRule="auto"/>
        <w:ind w:left="25" w:right="80" w:firstLine="474"/>
        <w:rPr>
          <w:rFonts w:ascii="宋体" w:hAnsi="宋体" w:eastAsia="宋体" w:cs="宋体"/>
          <w:sz w:val="24"/>
          <w:szCs w:val="24"/>
        </w:rPr>
      </w:pPr>
      <w:r>
        <w:rPr>
          <w:rFonts w:ascii="宋体" w:hAnsi="宋体" w:eastAsia="宋体" w:cs="宋体"/>
          <w:spacing w:val="-3"/>
          <w:sz w:val="24"/>
          <w:szCs w:val="24"/>
        </w:rPr>
        <w:t>F</w:t>
      </w:r>
      <w:r>
        <w:rPr>
          <w:rFonts w:ascii="宋体" w:hAnsi="宋体" w:eastAsia="宋体" w:cs="宋体"/>
          <w:spacing w:val="-3"/>
          <w:position w:val="-3"/>
          <w:sz w:val="12"/>
          <w:szCs w:val="12"/>
        </w:rPr>
        <w:t>2</w:t>
      </w:r>
      <w:r>
        <w:rPr>
          <w:rFonts w:ascii="宋体" w:hAnsi="宋体" w:eastAsia="宋体" w:cs="宋体"/>
          <w:spacing w:val="1"/>
          <w:position w:val="-3"/>
          <w:sz w:val="12"/>
          <w:szCs w:val="12"/>
        </w:rPr>
        <w:t xml:space="preserve"> </w:t>
      </w:r>
      <w:r>
        <w:rPr>
          <w:rFonts w:ascii="宋体" w:hAnsi="宋体" w:eastAsia="宋体" w:cs="宋体"/>
          <w:spacing w:val="-3"/>
          <w:sz w:val="24"/>
          <w:szCs w:val="24"/>
        </w:rPr>
        <w:t>断裂：分布在矿段西北部，沿断裂带发育有流纹岩脉、花岗斑岩脉及石英</w:t>
      </w:r>
      <w:r>
        <w:rPr>
          <w:rFonts w:ascii="宋体" w:hAnsi="宋体" w:eastAsia="宋体" w:cs="宋体"/>
          <w:sz w:val="24"/>
          <w:szCs w:val="24"/>
        </w:rPr>
        <w:t xml:space="preserve"> </w:t>
      </w:r>
      <w:r>
        <w:rPr>
          <w:rFonts w:ascii="宋体" w:hAnsi="宋体" w:eastAsia="宋体" w:cs="宋体"/>
          <w:spacing w:val="2"/>
          <w:sz w:val="24"/>
          <w:szCs w:val="24"/>
        </w:rPr>
        <w:t>脉构造角砾岩等。该断裂带长约</w:t>
      </w:r>
      <w:r>
        <w:rPr>
          <w:rFonts w:ascii="宋体" w:hAnsi="宋体" w:eastAsia="宋体" w:cs="宋体"/>
          <w:spacing w:val="-31"/>
          <w:sz w:val="24"/>
          <w:szCs w:val="24"/>
        </w:rPr>
        <w:t xml:space="preserve"> </w:t>
      </w:r>
      <w:r>
        <w:rPr>
          <w:rFonts w:ascii="宋体" w:hAnsi="宋体" w:eastAsia="宋体" w:cs="宋体"/>
          <w:spacing w:val="2"/>
          <w:sz w:val="24"/>
          <w:szCs w:val="24"/>
        </w:rPr>
        <w:t>6</w:t>
      </w:r>
      <w:r>
        <w:rPr>
          <w:rFonts w:ascii="宋体" w:hAnsi="宋体" w:eastAsia="宋体" w:cs="宋体"/>
          <w:sz w:val="24"/>
          <w:szCs w:val="24"/>
        </w:rPr>
        <w:t>km</w:t>
      </w:r>
      <w:r>
        <w:rPr>
          <w:rFonts w:ascii="宋体" w:hAnsi="宋体" w:eastAsia="宋体" w:cs="宋体"/>
          <w:spacing w:val="2"/>
          <w:sz w:val="24"/>
          <w:szCs w:val="24"/>
        </w:rPr>
        <w:t>、宽约</w:t>
      </w:r>
      <w:r>
        <w:rPr>
          <w:rFonts w:ascii="宋体" w:hAnsi="宋体" w:eastAsia="宋体" w:cs="宋体"/>
          <w:spacing w:val="-28"/>
          <w:sz w:val="24"/>
          <w:szCs w:val="24"/>
        </w:rPr>
        <w:t xml:space="preserve"> </w:t>
      </w:r>
      <w:r>
        <w:rPr>
          <w:rFonts w:ascii="宋体" w:hAnsi="宋体" w:eastAsia="宋体" w:cs="宋体"/>
          <w:spacing w:val="2"/>
          <w:sz w:val="24"/>
          <w:szCs w:val="24"/>
        </w:rPr>
        <w:t>100m，走向北东，倾向南东，倾角</w:t>
      </w:r>
    </w:p>
    <w:p w14:paraId="2323E60D">
      <w:pPr>
        <w:spacing w:before="111" w:line="184" w:lineRule="auto"/>
        <w:ind w:left="25"/>
        <w:rPr>
          <w:rFonts w:ascii="宋体" w:hAnsi="宋体" w:eastAsia="宋体" w:cs="宋体"/>
          <w:sz w:val="24"/>
          <w:szCs w:val="24"/>
        </w:rPr>
      </w:pPr>
      <w:r>
        <w:pict>
          <v:shape id="_x0000_s1045" o:spid="_x0000_s1045" o:spt="202" type="#_x0000_t202" style="position:absolute;left:0pt;margin-left:12.15pt;margin-top:4.6pt;height:8.8pt;width:10.45pt;z-index:251713536;mso-width-relative:page;mso-height-relative:page;" filled="f" stroked="f" coordsize="21600,21600">
            <v:path/>
            <v:fill on="f" focussize="0,0"/>
            <v:stroke on="f"/>
            <v:imagedata o:title=""/>
            <o:lock v:ext="edit" aspectratio="f"/>
            <v:textbox inset="0mm,0mm,0mm,0mm">
              <w:txbxContent>
                <w:p w14:paraId="3D88985C">
                  <w:pPr>
                    <w:spacing w:before="20" w:line="135" w:lineRule="exact"/>
                    <w:jc w:val="right"/>
                    <w:rPr>
                      <w:rFonts w:ascii="微软雅黑" w:hAnsi="微软雅黑" w:eastAsia="微软雅黑" w:cs="微软雅黑"/>
                      <w:sz w:val="24"/>
                      <w:szCs w:val="24"/>
                    </w:rPr>
                  </w:pPr>
                  <w:r>
                    <w:rPr>
                      <w:rFonts w:ascii="微软雅黑" w:hAnsi="微软雅黑" w:eastAsia="微软雅黑" w:cs="微软雅黑"/>
                      <w:spacing w:val="-24"/>
                      <w:w w:val="80"/>
                      <w:sz w:val="24"/>
                      <w:szCs w:val="24"/>
                    </w:rPr>
                    <w:t>。</w:t>
                  </w:r>
                </w:p>
              </w:txbxContent>
            </v:textbox>
          </v:shape>
        </w:pict>
      </w:r>
      <w:r>
        <w:rPr>
          <w:rFonts w:ascii="宋体" w:hAnsi="宋体" w:eastAsia="宋体" w:cs="宋体"/>
          <w:spacing w:val="-1"/>
          <w:sz w:val="24"/>
          <w:szCs w:val="24"/>
        </w:rPr>
        <w:t>65</w:t>
      </w:r>
      <w:r>
        <w:rPr>
          <w:rFonts w:ascii="宋体" w:hAnsi="宋体" w:eastAsia="宋体" w:cs="宋体"/>
          <w:spacing w:val="-35"/>
          <w:sz w:val="24"/>
          <w:szCs w:val="24"/>
        </w:rPr>
        <w:t xml:space="preserve"> </w:t>
      </w:r>
      <w:r>
        <w:rPr>
          <w:rFonts w:ascii="宋体" w:hAnsi="宋体" w:eastAsia="宋体" w:cs="宋体"/>
          <w:spacing w:val="-1"/>
          <w:sz w:val="24"/>
          <w:szCs w:val="24"/>
        </w:rPr>
        <w:t>左右。该断层为一正断层，大部分地段以破碎带出现。</w:t>
      </w:r>
    </w:p>
    <w:p w14:paraId="09609BF6">
      <w:pPr>
        <w:spacing w:before="295" w:line="219" w:lineRule="auto"/>
        <w:ind w:left="514"/>
        <w:rPr>
          <w:rFonts w:ascii="宋体" w:hAnsi="宋体" w:eastAsia="宋体" w:cs="宋体"/>
          <w:sz w:val="24"/>
          <w:szCs w:val="24"/>
        </w:rPr>
      </w:pPr>
      <w:r>
        <w:rPr>
          <w:rFonts w:ascii="宋体" w:hAnsi="宋体" w:eastAsia="宋体" w:cs="宋体"/>
          <w:spacing w:val="-3"/>
          <w:sz w:val="24"/>
          <w:szCs w:val="24"/>
        </w:rPr>
        <w:t>（2）北西向断裂带</w:t>
      </w:r>
    </w:p>
    <w:p w14:paraId="442C5E9A">
      <w:pPr>
        <w:spacing w:before="183" w:line="229" w:lineRule="auto"/>
        <w:ind w:left="502"/>
        <w:rPr>
          <w:rFonts w:ascii="宋体" w:hAnsi="宋体" w:eastAsia="宋体" w:cs="宋体"/>
          <w:sz w:val="24"/>
          <w:szCs w:val="24"/>
        </w:rPr>
      </w:pPr>
      <w:r>
        <w:rPr>
          <w:rFonts w:ascii="宋体" w:hAnsi="宋体" w:eastAsia="宋体" w:cs="宋体"/>
          <w:spacing w:val="-2"/>
          <w:sz w:val="24"/>
          <w:szCs w:val="24"/>
        </w:rPr>
        <w:t>矿段内主要为</w:t>
      </w:r>
      <w:r>
        <w:rPr>
          <w:rFonts w:ascii="宋体" w:hAnsi="宋体" w:eastAsia="宋体" w:cs="宋体"/>
          <w:spacing w:val="-52"/>
          <w:sz w:val="24"/>
          <w:szCs w:val="24"/>
        </w:rPr>
        <w:t xml:space="preserve"> </w:t>
      </w:r>
      <w:r>
        <w:rPr>
          <w:rFonts w:ascii="宋体" w:hAnsi="宋体" w:eastAsia="宋体" w:cs="宋体"/>
          <w:spacing w:val="-2"/>
          <w:sz w:val="24"/>
          <w:szCs w:val="24"/>
        </w:rPr>
        <w:t>F</w:t>
      </w:r>
      <w:r>
        <w:rPr>
          <w:rFonts w:ascii="宋体" w:hAnsi="宋体" w:eastAsia="宋体" w:cs="宋体"/>
          <w:spacing w:val="-2"/>
          <w:position w:val="-3"/>
          <w:sz w:val="12"/>
          <w:szCs w:val="12"/>
        </w:rPr>
        <w:t>7</w:t>
      </w:r>
      <w:r>
        <w:rPr>
          <w:rFonts w:ascii="宋体" w:hAnsi="宋体" w:eastAsia="宋体" w:cs="宋体"/>
          <w:spacing w:val="-2"/>
          <w:sz w:val="24"/>
          <w:szCs w:val="24"/>
        </w:rPr>
        <w:t>。</w:t>
      </w:r>
    </w:p>
    <w:p w14:paraId="70C07BDF">
      <w:pPr>
        <w:spacing w:before="169" w:line="358" w:lineRule="auto"/>
        <w:ind w:left="23" w:firstLine="476"/>
        <w:rPr>
          <w:rFonts w:ascii="宋体" w:hAnsi="宋体" w:eastAsia="宋体" w:cs="宋体"/>
          <w:sz w:val="24"/>
          <w:szCs w:val="24"/>
        </w:rPr>
      </w:pPr>
      <w:r>
        <w:rPr>
          <w:rFonts w:ascii="宋体" w:hAnsi="宋体" w:eastAsia="宋体" w:cs="宋体"/>
          <w:spacing w:val="-1"/>
          <w:sz w:val="24"/>
          <w:szCs w:val="24"/>
        </w:rPr>
        <w:t>F</w:t>
      </w:r>
      <w:r>
        <w:rPr>
          <w:rFonts w:ascii="宋体" w:hAnsi="宋体" w:eastAsia="宋体" w:cs="宋体"/>
          <w:spacing w:val="-1"/>
          <w:position w:val="-3"/>
          <w:sz w:val="12"/>
          <w:szCs w:val="12"/>
        </w:rPr>
        <w:t xml:space="preserve">7 </w:t>
      </w:r>
      <w:r>
        <w:rPr>
          <w:rFonts w:ascii="宋体" w:hAnsi="宋体" w:eastAsia="宋体" w:cs="宋体"/>
          <w:spacing w:val="-1"/>
          <w:sz w:val="24"/>
          <w:szCs w:val="24"/>
        </w:rPr>
        <w:t>断裂：区域上，该断层自矿段北西段由花敖包特山南侧向南东至</w:t>
      </w:r>
      <w:r>
        <w:rPr>
          <w:rFonts w:ascii="宋体" w:hAnsi="宋体" w:eastAsia="宋体" w:cs="宋体"/>
          <w:spacing w:val="-23"/>
          <w:sz w:val="24"/>
          <w:szCs w:val="24"/>
        </w:rPr>
        <w:t xml:space="preserve"> </w:t>
      </w:r>
      <w:r>
        <w:rPr>
          <w:rFonts w:ascii="宋体" w:hAnsi="宋体" w:eastAsia="宋体" w:cs="宋体"/>
          <w:spacing w:val="-1"/>
          <w:sz w:val="24"/>
          <w:szCs w:val="24"/>
        </w:rPr>
        <w:t>1082</w:t>
      </w:r>
      <w:r>
        <w:rPr>
          <w:rFonts w:ascii="宋体" w:hAnsi="宋体" w:eastAsia="宋体" w:cs="宋体"/>
          <w:spacing w:val="-44"/>
          <w:sz w:val="24"/>
          <w:szCs w:val="24"/>
        </w:rPr>
        <w:t xml:space="preserve"> </w:t>
      </w:r>
      <w:r>
        <w:rPr>
          <w:rFonts w:ascii="宋体" w:hAnsi="宋体" w:eastAsia="宋体" w:cs="宋体"/>
          <w:spacing w:val="-1"/>
          <w:sz w:val="24"/>
          <w:szCs w:val="24"/>
        </w:rPr>
        <w:t>高</w:t>
      </w:r>
      <w:r>
        <w:rPr>
          <w:rFonts w:ascii="宋体" w:hAnsi="宋体" w:eastAsia="宋体" w:cs="宋体"/>
          <w:sz w:val="24"/>
          <w:szCs w:val="24"/>
        </w:rPr>
        <w:t xml:space="preserve"> 地，长约</w:t>
      </w:r>
      <w:r>
        <w:rPr>
          <w:rFonts w:ascii="宋体" w:hAnsi="宋体" w:eastAsia="宋体" w:cs="宋体"/>
          <w:spacing w:val="-45"/>
          <w:sz w:val="24"/>
          <w:szCs w:val="24"/>
        </w:rPr>
        <w:t xml:space="preserve"> </w:t>
      </w:r>
      <w:r>
        <w:rPr>
          <w:rFonts w:ascii="宋体" w:hAnsi="宋体" w:eastAsia="宋体" w:cs="宋体"/>
          <w:sz w:val="24"/>
          <w:szCs w:val="24"/>
        </w:rPr>
        <w:t>7km,北西段控制本矿段诸矿体的分布。该断裂带</w:t>
      </w:r>
      <w:r>
        <w:rPr>
          <w:rFonts w:ascii="宋体" w:hAnsi="宋体" w:eastAsia="宋体" w:cs="宋体"/>
          <w:spacing w:val="-1"/>
          <w:sz w:val="24"/>
          <w:szCs w:val="24"/>
        </w:rPr>
        <w:t>宽600m</w:t>
      </w:r>
      <w:r>
        <w:rPr>
          <w:rFonts w:ascii="宋体" w:hAnsi="宋体" w:eastAsia="宋体" w:cs="宋体"/>
          <w:spacing w:val="-48"/>
          <w:sz w:val="24"/>
          <w:szCs w:val="24"/>
        </w:rPr>
        <w:t xml:space="preserve"> </w:t>
      </w:r>
      <w:r>
        <w:rPr>
          <w:rFonts w:ascii="宋体" w:hAnsi="宋体" w:eastAsia="宋体" w:cs="宋体"/>
          <w:spacing w:val="-1"/>
          <w:sz w:val="24"/>
          <w:szCs w:val="24"/>
        </w:rPr>
        <w:t>左右，由一系</w:t>
      </w:r>
      <w:r>
        <w:rPr>
          <w:rFonts w:ascii="宋体" w:hAnsi="宋体" w:eastAsia="宋体" w:cs="宋体"/>
          <w:sz w:val="24"/>
          <w:szCs w:val="24"/>
        </w:rPr>
        <w:t xml:space="preserve"> </w:t>
      </w:r>
      <w:r>
        <w:rPr>
          <w:rFonts w:ascii="宋体" w:hAnsi="宋体" w:eastAsia="宋体" w:cs="宋体"/>
          <w:spacing w:val="-8"/>
          <w:sz w:val="24"/>
          <w:szCs w:val="24"/>
        </w:rPr>
        <w:t>列平行分布的走向</w:t>
      </w:r>
      <w:r>
        <w:rPr>
          <w:rFonts w:ascii="宋体" w:hAnsi="宋体" w:eastAsia="宋体" w:cs="宋体"/>
          <w:spacing w:val="-31"/>
          <w:sz w:val="24"/>
          <w:szCs w:val="24"/>
        </w:rPr>
        <w:t xml:space="preserve"> </w:t>
      </w:r>
      <w:r>
        <w:rPr>
          <w:rFonts w:ascii="宋体" w:hAnsi="宋体" w:eastAsia="宋体" w:cs="宋体"/>
          <w:spacing w:val="-8"/>
          <w:sz w:val="24"/>
          <w:szCs w:val="24"/>
        </w:rPr>
        <w:t>280～310</w:t>
      </w:r>
      <w:r>
        <w:rPr>
          <w:rFonts w:ascii="宋体" w:hAnsi="宋体" w:eastAsia="宋体" w:cs="宋体"/>
          <w:spacing w:val="-89"/>
          <w:sz w:val="24"/>
          <w:szCs w:val="24"/>
        </w:rPr>
        <w:t xml:space="preserve"> </w:t>
      </w:r>
      <w:r>
        <w:rPr>
          <w:rFonts w:ascii="宋体" w:hAnsi="宋体" w:eastAsia="宋体" w:cs="宋体"/>
          <w:spacing w:val="-8"/>
          <w:sz w:val="24"/>
          <w:szCs w:val="24"/>
        </w:rPr>
        <w:t>°</w:t>
      </w:r>
      <w:r>
        <w:rPr>
          <w:rFonts w:ascii="宋体" w:hAnsi="宋体" w:eastAsia="宋体" w:cs="宋体"/>
          <w:spacing w:val="-91"/>
          <w:sz w:val="24"/>
          <w:szCs w:val="24"/>
        </w:rPr>
        <w:t xml:space="preserve"> </w:t>
      </w:r>
      <w:r>
        <w:rPr>
          <w:rFonts w:ascii="宋体" w:hAnsi="宋体" w:eastAsia="宋体" w:cs="宋体"/>
          <w:spacing w:val="-8"/>
          <w:sz w:val="24"/>
          <w:szCs w:val="24"/>
        </w:rPr>
        <w:t>,</w:t>
      </w:r>
      <w:r>
        <w:rPr>
          <w:rFonts w:ascii="宋体" w:hAnsi="宋体" w:eastAsia="宋体" w:cs="宋体"/>
          <w:spacing w:val="51"/>
          <w:sz w:val="24"/>
          <w:szCs w:val="24"/>
        </w:rPr>
        <w:t xml:space="preserve"> </w:t>
      </w:r>
      <w:r>
        <w:rPr>
          <w:rFonts w:ascii="宋体" w:hAnsi="宋体" w:eastAsia="宋体" w:cs="宋体"/>
          <w:spacing w:val="-8"/>
          <w:sz w:val="24"/>
          <w:szCs w:val="24"/>
        </w:rPr>
        <w:t>倾向</w:t>
      </w:r>
      <w:r>
        <w:rPr>
          <w:rFonts w:ascii="宋体" w:hAnsi="宋体" w:eastAsia="宋体" w:cs="宋体"/>
          <w:spacing w:val="-33"/>
          <w:sz w:val="24"/>
          <w:szCs w:val="24"/>
        </w:rPr>
        <w:t xml:space="preserve"> </w:t>
      </w:r>
      <w:r>
        <w:rPr>
          <w:rFonts w:ascii="宋体" w:hAnsi="宋体" w:eastAsia="宋体" w:cs="宋体"/>
          <w:spacing w:val="-8"/>
          <w:sz w:val="24"/>
          <w:szCs w:val="24"/>
        </w:rPr>
        <w:t>15</w:t>
      </w:r>
      <w:r>
        <w:rPr>
          <w:rFonts w:ascii="宋体" w:hAnsi="宋体" w:eastAsia="宋体" w:cs="宋体"/>
          <w:spacing w:val="-89"/>
          <w:sz w:val="24"/>
          <w:szCs w:val="24"/>
        </w:rPr>
        <w:t xml:space="preserve"> </w:t>
      </w:r>
      <w:r>
        <w:rPr>
          <w:rFonts w:ascii="宋体" w:hAnsi="宋体" w:eastAsia="宋体" w:cs="宋体"/>
          <w:spacing w:val="-8"/>
          <w:sz w:val="24"/>
          <w:szCs w:val="24"/>
        </w:rPr>
        <w:t>°左右，倾角</w:t>
      </w:r>
      <w:r>
        <w:rPr>
          <w:rFonts w:ascii="宋体" w:hAnsi="宋体" w:eastAsia="宋体" w:cs="宋体"/>
          <w:spacing w:val="-45"/>
          <w:sz w:val="24"/>
          <w:szCs w:val="24"/>
        </w:rPr>
        <w:t xml:space="preserve"> </w:t>
      </w:r>
      <w:r>
        <w:rPr>
          <w:rFonts w:ascii="宋体" w:hAnsi="宋体" w:eastAsia="宋体" w:cs="宋体"/>
          <w:spacing w:val="-8"/>
          <w:sz w:val="24"/>
          <w:szCs w:val="24"/>
        </w:rPr>
        <w:t>75～80</w:t>
      </w:r>
      <w:r>
        <w:rPr>
          <w:rFonts w:ascii="宋体" w:hAnsi="宋体" w:eastAsia="宋体" w:cs="宋体"/>
          <w:spacing w:val="-89"/>
          <w:sz w:val="24"/>
          <w:szCs w:val="24"/>
        </w:rPr>
        <w:t xml:space="preserve"> </w:t>
      </w:r>
      <w:r>
        <w:rPr>
          <w:rFonts w:ascii="宋体" w:hAnsi="宋体" w:eastAsia="宋体" w:cs="宋体"/>
          <w:spacing w:val="-8"/>
          <w:sz w:val="24"/>
          <w:szCs w:val="24"/>
        </w:rPr>
        <w:t>°裂隙群组成。1、</w:t>
      </w:r>
    </w:p>
    <w:p w14:paraId="43FA3A35">
      <w:pPr>
        <w:spacing w:before="9" w:line="229" w:lineRule="auto"/>
        <w:ind w:left="26"/>
        <w:rPr>
          <w:rFonts w:ascii="宋体" w:hAnsi="宋体" w:eastAsia="宋体" w:cs="宋体"/>
          <w:sz w:val="24"/>
          <w:szCs w:val="24"/>
        </w:rPr>
      </w:pPr>
      <w:r>
        <w:rPr>
          <w:rFonts w:ascii="宋体" w:hAnsi="宋体" w:eastAsia="宋体" w:cs="宋体"/>
          <w:spacing w:val="-1"/>
          <w:sz w:val="24"/>
          <w:szCs w:val="24"/>
        </w:rPr>
        <w:t>2、3</w:t>
      </w:r>
      <w:r>
        <w:rPr>
          <w:rFonts w:ascii="宋体" w:hAnsi="宋体" w:eastAsia="宋体" w:cs="宋体"/>
          <w:spacing w:val="-43"/>
          <w:sz w:val="24"/>
          <w:szCs w:val="24"/>
        </w:rPr>
        <w:t xml:space="preserve"> </w:t>
      </w:r>
      <w:r>
        <w:rPr>
          <w:rFonts w:ascii="宋体" w:hAnsi="宋体" w:eastAsia="宋体" w:cs="宋体"/>
          <w:spacing w:val="-1"/>
          <w:sz w:val="24"/>
          <w:szCs w:val="24"/>
        </w:rPr>
        <w:t>号等矿体沿裂隙充填。从断面图上看</w:t>
      </w:r>
      <w:r>
        <w:rPr>
          <w:rFonts w:ascii="宋体" w:hAnsi="宋体" w:eastAsia="宋体" w:cs="宋体"/>
          <w:spacing w:val="-54"/>
          <w:sz w:val="24"/>
          <w:szCs w:val="24"/>
        </w:rPr>
        <w:t xml:space="preserve"> </w:t>
      </w:r>
      <w:r>
        <w:rPr>
          <w:rFonts w:ascii="宋体" w:hAnsi="宋体" w:eastAsia="宋体" w:cs="宋体"/>
          <w:spacing w:val="-1"/>
          <w:sz w:val="24"/>
          <w:szCs w:val="24"/>
        </w:rPr>
        <w:t>F</w:t>
      </w:r>
      <w:r>
        <w:rPr>
          <w:rFonts w:ascii="宋体" w:hAnsi="宋体" w:eastAsia="宋体" w:cs="宋体"/>
          <w:spacing w:val="-1"/>
          <w:position w:val="-3"/>
          <w:sz w:val="12"/>
          <w:szCs w:val="12"/>
        </w:rPr>
        <w:t>7-1</w:t>
      </w:r>
      <w:r>
        <w:rPr>
          <w:rFonts w:ascii="宋体" w:hAnsi="宋体" w:eastAsia="宋体" w:cs="宋体"/>
          <w:spacing w:val="-31"/>
          <w:position w:val="-3"/>
          <w:sz w:val="12"/>
          <w:szCs w:val="12"/>
        </w:rPr>
        <w:t xml:space="preserve"> </w:t>
      </w:r>
      <w:r>
        <w:rPr>
          <w:rFonts w:ascii="宋体" w:hAnsi="宋体" w:eastAsia="宋体" w:cs="宋体"/>
          <w:spacing w:val="-1"/>
          <w:sz w:val="24"/>
          <w:szCs w:val="24"/>
        </w:rPr>
        <w:t>、F</w:t>
      </w:r>
      <w:r>
        <w:rPr>
          <w:rFonts w:ascii="宋体" w:hAnsi="宋体" w:eastAsia="宋体" w:cs="宋体"/>
          <w:spacing w:val="-1"/>
          <w:position w:val="-3"/>
          <w:sz w:val="12"/>
          <w:szCs w:val="12"/>
        </w:rPr>
        <w:t>7-2</w:t>
      </w:r>
      <w:r>
        <w:rPr>
          <w:rFonts w:ascii="宋体" w:hAnsi="宋体" w:eastAsia="宋体" w:cs="宋体"/>
          <w:spacing w:val="-34"/>
          <w:position w:val="-3"/>
          <w:sz w:val="12"/>
          <w:szCs w:val="12"/>
        </w:rPr>
        <w:t xml:space="preserve"> </w:t>
      </w:r>
      <w:r>
        <w:rPr>
          <w:rFonts w:ascii="宋体" w:hAnsi="宋体" w:eastAsia="宋体" w:cs="宋体"/>
          <w:spacing w:val="-1"/>
          <w:sz w:val="24"/>
          <w:szCs w:val="24"/>
        </w:rPr>
        <w:t>、F</w:t>
      </w:r>
      <w:r>
        <w:rPr>
          <w:rFonts w:ascii="宋体" w:hAnsi="宋体" w:eastAsia="宋体" w:cs="宋体"/>
          <w:spacing w:val="-1"/>
          <w:position w:val="-3"/>
          <w:sz w:val="12"/>
          <w:szCs w:val="12"/>
        </w:rPr>
        <w:t>7-3</w:t>
      </w:r>
      <w:r>
        <w:rPr>
          <w:rFonts w:ascii="宋体" w:hAnsi="宋体" w:eastAsia="宋体" w:cs="宋体"/>
          <w:spacing w:val="-18"/>
          <w:position w:val="-3"/>
          <w:sz w:val="12"/>
          <w:szCs w:val="12"/>
        </w:rPr>
        <w:t xml:space="preserve"> </w:t>
      </w:r>
      <w:r>
        <w:rPr>
          <w:rFonts w:ascii="宋体" w:hAnsi="宋体" w:eastAsia="宋体" w:cs="宋体"/>
          <w:spacing w:val="-1"/>
          <w:sz w:val="24"/>
          <w:szCs w:val="24"/>
        </w:rPr>
        <w:t>等次级</w:t>
      </w:r>
      <w:r>
        <w:rPr>
          <w:rFonts w:ascii="宋体" w:hAnsi="宋体" w:eastAsia="宋体" w:cs="宋体"/>
          <w:spacing w:val="-2"/>
          <w:sz w:val="24"/>
          <w:szCs w:val="24"/>
        </w:rPr>
        <w:t>断裂有向北西西</w:t>
      </w:r>
    </w:p>
    <w:p w14:paraId="23CD26E1">
      <w:pPr>
        <w:spacing w:line="229" w:lineRule="auto"/>
        <w:rPr>
          <w:rFonts w:ascii="宋体" w:hAnsi="宋体" w:eastAsia="宋体" w:cs="宋体"/>
          <w:sz w:val="24"/>
          <w:szCs w:val="24"/>
        </w:rPr>
        <w:sectPr>
          <w:headerReference r:id="rId250" w:type="default"/>
          <w:footerReference r:id="rId251" w:type="default"/>
          <w:pgSz w:w="11906" w:h="16839"/>
          <w:pgMar w:top="1208" w:right="1719" w:bottom="1358" w:left="1785" w:header="825" w:footer="1195" w:gutter="0"/>
          <w:cols w:space="720" w:num="1"/>
        </w:sectPr>
      </w:pPr>
    </w:p>
    <w:p w14:paraId="6DE4528D">
      <w:pPr>
        <w:pStyle w:val="2"/>
        <w:spacing w:line="265" w:lineRule="auto"/>
      </w:pPr>
    </w:p>
    <w:p w14:paraId="21D3E0FB">
      <w:pPr>
        <w:spacing w:before="78" w:line="360" w:lineRule="auto"/>
        <w:ind w:left="23" w:right="80" w:firstLine="24"/>
        <w:rPr>
          <w:rFonts w:ascii="宋体" w:hAnsi="宋体" w:eastAsia="宋体" w:cs="宋体"/>
          <w:sz w:val="24"/>
          <w:szCs w:val="24"/>
        </w:rPr>
      </w:pPr>
      <w:r>
        <w:rPr>
          <w:rFonts w:ascii="宋体" w:hAnsi="宋体" w:eastAsia="宋体" w:cs="宋体"/>
          <w:spacing w:val="-4"/>
          <w:sz w:val="24"/>
          <w:szCs w:val="24"/>
        </w:rPr>
        <w:t>向撒开，向南东东方向收敛的趋势，显示帚状特征。南东段控制矿区最大的侵入</w:t>
      </w:r>
      <w:r>
        <w:rPr>
          <w:rFonts w:ascii="宋体" w:hAnsi="宋体" w:eastAsia="宋体" w:cs="宋体"/>
          <w:spacing w:val="11"/>
          <w:sz w:val="24"/>
          <w:szCs w:val="24"/>
        </w:rPr>
        <w:t xml:space="preserve"> </w:t>
      </w:r>
      <w:r>
        <w:rPr>
          <w:rFonts w:ascii="宋体" w:hAnsi="宋体" w:eastAsia="宋体" w:cs="宋体"/>
          <w:spacing w:val="-1"/>
          <w:sz w:val="24"/>
          <w:szCs w:val="24"/>
        </w:rPr>
        <w:t>体—燕山早期闪长岩岩珠的分布。</w:t>
      </w:r>
    </w:p>
    <w:p w14:paraId="3854ECEE">
      <w:pPr>
        <w:spacing w:line="219" w:lineRule="auto"/>
        <w:ind w:left="514"/>
        <w:rPr>
          <w:rFonts w:ascii="宋体" w:hAnsi="宋体" w:eastAsia="宋体" w:cs="宋体"/>
          <w:sz w:val="24"/>
          <w:szCs w:val="24"/>
        </w:rPr>
      </w:pPr>
      <w:r>
        <w:rPr>
          <w:rFonts w:ascii="宋体" w:hAnsi="宋体" w:eastAsia="宋体" w:cs="宋体"/>
          <w:spacing w:val="-3"/>
          <w:sz w:val="24"/>
          <w:szCs w:val="24"/>
        </w:rPr>
        <w:t>（3）近南北向断裂带</w:t>
      </w:r>
    </w:p>
    <w:p w14:paraId="3E8B82F3">
      <w:pPr>
        <w:spacing w:before="183" w:line="232" w:lineRule="auto"/>
        <w:ind w:left="505"/>
        <w:rPr>
          <w:rFonts w:ascii="宋体" w:hAnsi="宋体" w:eastAsia="宋体" w:cs="宋体"/>
          <w:sz w:val="24"/>
          <w:szCs w:val="24"/>
        </w:rPr>
      </w:pPr>
      <w:r>
        <w:rPr>
          <w:rFonts w:ascii="宋体" w:hAnsi="宋体" w:eastAsia="宋体" w:cs="宋体"/>
          <w:spacing w:val="-5"/>
          <w:sz w:val="24"/>
          <w:szCs w:val="24"/>
        </w:rPr>
        <w:t>主要为</w:t>
      </w:r>
      <w:r>
        <w:rPr>
          <w:rFonts w:ascii="宋体" w:hAnsi="宋体" w:eastAsia="宋体" w:cs="宋体"/>
          <w:spacing w:val="-53"/>
          <w:sz w:val="24"/>
          <w:szCs w:val="24"/>
        </w:rPr>
        <w:t xml:space="preserve"> </w:t>
      </w:r>
      <w:r>
        <w:rPr>
          <w:rFonts w:ascii="宋体" w:hAnsi="宋体" w:eastAsia="宋体" w:cs="宋体"/>
          <w:spacing w:val="-5"/>
          <w:sz w:val="24"/>
          <w:szCs w:val="24"/>
        </w:rPr>
        <w:t>F</w:t>
      </w:r>
      <w:r>
        <w:rPr>
          <w:rFonts w:ascii="宋体" w:hAnsi="宋体" w:eastAsia="宋体" w:cs="宋体"/>
          <w:spacing w:val="-5"/>
          <w:position w:val="-2"/>
          <w:sz w:val="12"/>
          <w:szCs w:val="12"/>
        </w:rPr>
        <w:t>11</w:t>
      </w:r>
      <w:r>
        <w:rPr>
          <w:rFonts w:ascii="宋体" w:hAnsi="宋体" w:eastAsia="宋体" w:cs="宋体"/>
          <w:spacing w:val="-34"/>
          <w:position w:val="-2"/>
          <w:sz w:val="12"/>
          <w:szCs w:val="12"/>
        </w:rPr>
        <w:t xml:space="preserve"> </w:t>
      </w:r>
      <w:r>
        <w:rPr>
          <w:rFonts w:ascii="宋体" w:hAnsi="宋体" w:eastAsia="宋体" w:cs="宋体"/>
          <w:spacing w:val="-5"/>
          <w:sz w:val="24"/>
          <w:szCs w:val="24"/>
        </w:rPr>
        <w:t>、F</w:t>
      </w:r>
      <w:r>
        <w:rPr>
          <w:rFonts w:ascii="宋体" w:hAnsi="宋体" w:eastAsia="宋体" w:cs="宋体"/>
          <w:spacing w:val="-5"/>
          <w:position w:val="-2"/>
          <w:sz w:val="12"/>
          <w:szCs w:val="12"/>
        </w:rPr>
        <w:t>12</w:t>
      </w:r>
      <w:r>
        <w:rPr>
          <w:rFonts w:ascii="宋体" w:hAnsi="宋体" w:eastAsia="宋体" w:cs="宋体"/>
          <w:spacing w:val="-12"/>
          <w:position w:val="-2"/>
          <w:sz w:val="12"/>
          <w:szCs w:val="12"/>
        </w:rPr>
        <w:t xml:space="preserve"> </w:t>
      </w:r>
      <w:r>
        <w:rPr>
          <w:rFonts w:ascii="宋体" w:hAnsi="宋体" w:eastAsia="宋体" w:cs="宋体"/>
          <w:spacing w:val="-5"/>
          <w:sz w:val="24"/>
          <w:szCs w:val="24"/>
        </w:rPr>
        <w:t>断裂。</w:t>
      </w:r>
    </w:p>
    <w:p w14:paraId="2BFA1D67">
      <w:pPr>
        <w:spacing w:before="166" w:line="352" w:lineRule="auto"/>
        <w:ind w:left="22" w:right="80" w:firstLine="477"/>
        <w:rPr>
          <w:rFonts w:ascii="宋体" w:hAnsi="宋体" w:eastAsia="宋体" w:cs="宋体"/>
          <w:sz w:val="24"/>
          <w:szCs w:val="24"/>
        </w:rPr>
      </w:pPr>
      <w:r>
        <w:rPr>
          <w:rFonts w:ascii="宋体" w:hAnsi="宋体" w:eastAsia="宋体" w:cs="宋体"/>
          <w:spacing w:val="2"/>
          <w:sz w:val="24"/>
          <w:szCs w:val="24"/>
        </w:rPr>
        <w:t>F</w:t>
      </w:r>
      <w:r>
        <w:rPr>
          <w:rFonts w:ascii="宋体" w:hAnsi="宋体" w:eastAsia="宋体" w:cs="宋体"/>
          <w:spacing w:val="2"/>
          <w:position w:val="-3"/>
          <w:sz w:val="12"/>
          <w:szCs w:val="12"/>
        </w:rPr>
        <w:t xml:space="preserve">11 </w:t>
      </w:r>
      <w:r>
        <w:rPr>
          <w:rFonts w:ascii="宋体" w:hAnsi="宋体" w:eastAsia="宋体" w:cs="宋体"/>
          <w:spacing w:val="2"/>
          <w:sz w:val="24"/>
          <w:szCs w:val="24"/>
        </w:rPr>
        <w:t>断裂：位于花敖包特山顶，控制南北向流纹斑岩及石英脉分布。断裂附</w:t>
      </w:r>
      <w:r>
        <w:rPr>
          <w:rFonts w:ascii="宋体" w:hAnsi="宋体" w:eastAsia="宋体" w:cs="宋体"/>
          <w:spacing w:val="9"/>
          <w:sz w:val="24"/>
          <w:szCs w:val="24"/>
        </w:rPr>
        <w:t xml:space="preserve"> </w:t>
      </w:r>
      <w:r>
        <w:rPr>
          <w:rFonts w:ascii="宋体" w:hAnsi="宋体" w:eastAsia="宋体" w:cs="宋体"/>
          <w:spacing w:val="-1"/>
          <w:sz w:val="24"/>
          <w:szCs w:val="24"/>
        </w:rPr>
        <w:t>近分布南北向串珠状激电异常，钻孔中构造破碎带发育。</w:t>
      </w:r>
    </w:p>
    <w:p w14:paraId="52028018">
      <w:pPr>
        <w:spacing w:before="21" w:line="361" w:lineRule="auto"/>
        <w:ind w:left="22" w:right="80" w:firstLine="477"/>
        <w:jc w:val="both"/>
        <w:rPr>
          <w:rFonts w:ascii="宋体" w:hAnsi="宋体" w:eastAsia="宋体" w:cs="宋体"/>
          <w:sz w:val="24"/>
          <w:szCs w:val="24"/>
        </w:rPr>
      </w:pPr>
      <w:r>
        <w:rPr>
          <w:rFonts w:ascii="宋体" w:hAnsi="宋体" w:eastAsia="宋体" w:cs="宋体"/>
          <w:spacing w:val="-1"/>
          <w:sz w:val="24"/>
          <w:szCs w:val="24"/>
        </w:rPr>
        <w:t>F</w:t>
      </w:r>
      <w:r>
        <w:rPr>
          <w:rFonts w:ascii="宋体" w:hAnsi="宋体" w:eastAsia="宋体" w:cs="宋体"/>
          <w:spacing w:val="-1"/>
          <w:position w:val="-3"/>
          <w:sz w:val="12"/>
          <w:szCs w:val="12"/>
        </w:rPr>
        <w:t xml:space="preserve">12 </w:t>
      </w:r>
      <w:r>
        <w:rPr>
          <w:rFonts w:ascii="宋体" w:hAnsi="宋体" w:eastAsia="宋体" w:cs="宋体"/>
          <w:spacing w:val="-1"/>
          <w:sz w:val="24"/>
          <w:szCs w:val="24"/>
        </w:rPr>
        <w:t>断裂：位于花敖包特山东侧北段，始于</w:t>
      </w:r>
      <w:r>
        <w:rPr>
          <w:rFonts w:ascii="宋体" w:hAnsi="宋体" w:eastAsia="宋体" w:cs="宋体"/>
          <w:spacing w:val="-14"/>
          <w:sz w:val="24"/>
          <w:szCs w:val="24"/>
        </w:rPr>
        <w:t xml:space="preserve"> </w:t>
      </w:r>
      <w:r>
        <w:rPr>
          <w:rFonts w:ascii="宋体" w:hAnsi="宋体" w:eastAsia="宋体" w:cs="宋体"/>
          <w:spacing w:val="-1"/>
          <w:sz w:val="24"/>
          <w:szCs w:val="24"/>
        </w:rPr>
        <w:t>1050.8</w:t>
      </w:r>
      <w:r>
        <w:rPr>
          <w:rFonts w:ascii="宋体" w:hAnsi="宋体" w:eastAsia="宋体" w:cs="宋体"/>
          <w:spacing w:val="-42"/>
          <w:sz w:val="24"/>
          <w:szCs w:val="24"/>
        </w:rPr>
        <w:t xml:space="preserve"> </w:t>
      </w:r>
      <w:r>
        <w:rPr>
          <w:rFonts w:ascii="宋体" w:hAnsi="宋体" w:eastAsia="宋体" w:cs="宋体"/>
          <w:spacing w:val="-1"/>
          <w:sz w:val="24"/>
          <w:szCs w:val="24"/>
        </w:rPr>
        <w:t>高地，向南经</w:t>
      </w:r>
      <w:r>
        <w:rPr>
          <w:rFonts w:ascii="宋体" w:hAnsi="宋体" w:eastAsia="宋体" w:cs="宋体"/>
          <w:spacing w:val="-25"/>
          <w:sz w:val="24"/>
          <w:szCs w:val="24"/>
        </w:rPr>
        <w:t xml:space="preserve"> </w:t>
      </w:r>
      <w:r>
        <w:rPr>
          <w:rFonts w:ascii="宋体" w:hAnsi="宋体" w:eastAsia="宋体" w:cs="宋体"/>
          <w:spacing w:val="-1"/>
          <w:sz w:val="24"/>
          <w:szCs w:val="24"/>
        </w:rPr>
        <w:t>1056.2</w:t>
      </w:r>
      <w:r>
        <w:rPr>
          <w:rFonts w:ascii="宋体" w:hAnsi="宋体" w:eastAsia="宋体" w:cs="宋体"/>
          <w:spacing w:val="-42"/>
          <w:sz w:val="24"/>
          <w:szCs w:val="24"/>
        </w:rPr>
        <w:t xml:space="preserve"> </w:t>
      </w:r>
      <w:r>
        <w:rPr>
          <w:rFonts w:ascii="宋体" w:hAnsi="宋体" w:eastAsia="宋体" w:cs="宋体"/>
          <w:spacing w:val="-1"/>
          <w:sz w:val="24"/>
          <w:szCs w:val="24"/>
        </w:rPr>
        <w:t>高</w:t>
      </w:r>
      <w:r>
        <w:rPr>
          <w:rFonts w:ascii="宋体" w:hAnsi="宋体" w:eastAsia="宋体" w:cs="宋体"/>
          <w:sz w:val="24"/>
          <w:szCs w:val="24"/>
        </w:rPr>
        <w:t xml:space="preserve"> </w:t>
      </w:r>
      <w:r>
        <w:rPr>
          <w:rFonts w:ascii="宋体" w:hAnsi="宋体" w:eastAsia="宋体" w:cs="宋体"/>
          <w:spacing w:val="1"/>
          <w:sz w:val="24"/>
          <w:szCs w:val="24"/>
        </w:rPr>
        <w:t>地、1039.2</w:t>
      </w:r>
      <w:r>
        <w:rPr>
          <w:rFonts w:ascii="宋体" w:hAnsi="宋体" w:eastAsia="宋体" w:cs="宋体"/>
          <w:spacing w:val="-39"/>
          <w:sz w:val="24"/>
          <w:szCs w:val="24"/>
        </w:rPr>
        <w:t xml:space="preserve"> </w:t>
      </w:r>
      <w:r>
        <w:rPr>
          <w:rFonts w:ascii="宋体" w:hAnsi="宋体" w:eastAsia="宋体" w:cs="宋体"/>
          <w:spacing w:val="1"/>
          <w:sz w:val="24"/>
          <w:szCs w:val="24"/>
        </w:rPr>
        <w:t>高地自北向南控制南北向分布的流纹斑岩脉硅化带（南北向山脊）</w:t>
      </w:r>
      <w:r>
        <w:rPr>
          <w:rFonts w:ascii="宋体" w:hAnsi="宋体" w:eastAsia="宋体" w:cs="宋体"/>
          <w:sz w:val="24"/>
          <w:szCs w:val="24"/>
        </w:rPr>
        <w:t xml:space="preserve"> </w:t>
      </w:r>
      <w:r>
        <w:rPr>
          <w:rFonts w:ascii="宋体" w:hAnsi="宋体" w:eastAsia="宋体" w:cs="宋体"/>
          <w:spacing w:val="-5"/>
          <w:sz w:val="24"/>
          <w:szCs w:val="24"/>
        </w:rPr>
        <w:t>及南北向激电异常。异常查证发现该断裂倾向西，倾角</w:t>
      </w:r>
      <w:r>
        <w:rPr>
          <w:rFonts w:ascii="宋体" w:hAnsi="宋体" w:eastAsia="宋体" w:cs="宋体"/>
          <w:spacing w:val="-44"/>
          <w:sz w:val="24"/>
          <w:szCs w:val="24"/>
        </w:rPr>
        <w:t xml:space="preserve"> </w:t>
      </w:r>
      <w:r>
        <w:rPr>
          <w:rFonts w:ascii="宋体" w:hAnsi="宋体" w:eastAsia="宋体" w:cs="宋体"/>
          <w:spacing w:val="-5"/>
          <w:sz w:val="24"/>
          <w:szCs w:val="24"/>
        </w:rPr>
        <w:t>75</w:t>
      </w:r>
      <w:r>
        <w:rPr>
          <w:rFonts w:ascii="微软雅黑" w:hAnsi="微软雅黑" w:eastAsia="微软雅黑" w:cs="微软雅黑"/>
          <w:spacing w:val="-5"/>
          <w:sz w:val="24"/>
          <w:szCs w:val="24"/>
        </w:rPr>
        <w:t>。</w:t>
      </w:r>
      <w:r>
        <w:rPr>
          <w:rFonts w:ascii="宋体" w:hAnsi="宋体" w:eastAsia="宋体" w:cs="宋体"/>
          <w:spacing w:val="-5"/>
          <w:sz w:val="24"/>
          <w:szCs w:val="24"/>
        </w:rPr>
        <w:t>，发育有毒砂矿脉及</w:t>
      </w:r>
      <w:r>
        <w:rPr>
          <w:rFonts w:ascii="宋体" w:hAnsi="宋体" w:eastAsia="宋体" w:cs="宋体"/>
          <w:sz w:val="24"/>
          <w:szCs w:val="24"/>
        </w:rPr>
        <w:t xml:space="preserve"> </w:t>
      </w:r>
      <w:r>
        <w:rPr>
          <w:rFonts w:ascii="宋体" w:hAnsi="宋体" w:eastAsia="宋体" w:cs="宋体"/>
          <w:spacing w:val="-2"/>
          <w:sz w:val="24"/>
          <w:szCs w:val="24"/>
        </w:rPr>
        <w:t>次流纹岩脉。</w:t>
      </w:r>
    </w:p>
    <w:p w14:paraId="0AB46AB9">
      <w:pPr>
        <w:spacing w:line="219" w:lineRule="auto"/>
        <w:ind w:left="526"/>
        <w:rPr>
          <w:rFonts w:ascii="宋体" w:hAnsi="宋体" w:eastAsia="宋体" w:cs="宋体"/>
          <w:sz w:val="24"/>
          <w:szCs w:val="24"/>
        </w:rPr>
      </w:pPr>
      <w:r>
        <w:rPr>
          <w:rFonts w:ascii="宋体" w:hAnsi="宋体" w:eastAsia="宋体" w:cs="宋体"/>
          <w:spacing w:val="-5"/>
          <w:sz w:val="24"/>
          <w:szCs w:val="24"/>
        </w:rPr>
        <w:t>四、包气带特征</w:t>
      </w:r>
    </w:p>
    <w:p w14:paraId="043D6E23">
      <w:pPr>
        <w:spacing w:before="186" w:line="357" w:lineRule="auto"/>
        <w:ind w:left="23" w:firstLine="483"/>
        <w:jc w:val="both"/>
        <w:rPr>
          <w:rFonts w:ascii="宋体" w:hAnsi="宋体" w:eastAsia="宋体" w:cs="宋体"/>
          <w:sz w:val="24"/>
          <w:szCs w:val="24"/>
        </w:rPr>
      </w:pPr>
      <w:r>
        <w:rPr>
          <w:rFonts w:ascii="宋体" w:hAnsi="宋体" w:eastAsia="宋体" w:cs="宋体"/>
          <w:spacing w:val="-2"/>
          <w:sz w:val="24"/>
          <w:szCs w:val="24"/>
        </w:rPr>
        <w:t>项目区位于丘陵区，地下水水位埋深一般</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10-11.79m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，地层上部为薄层第四</w:t>
      </w:r>
      <w:r>
        <w:rPr>
          <w:rFonts w:ascii="宋体" w:hAnsi="宋体" w:eastAsia="宋体" w:cs="宋体"/>
          <w:sz w:val="24"/>
          <w:szCs w:val="24"/>
        </w:rPr>
        <w:t xml:space="preserve"> </w:t>
      </w:r>
      <w:r>
        <w:rPr>
          <w:rFonts w:ascii="宋体" w:hAnsi="宋体" w:eastAsia="宋体" w:cs="宋体"/>
          <w:spacing w:val="1"/>
          <w:sz w:val="24"/>
          <w:szCs w:val="24"/>
        </w:rPr>
        <w:t>系全新统风积、冲积层（</w:t>
      </w:r>
      <w:r>
        <w:rPr>
          <w:rFonts w:ascii="Times New Roman" w:hAnsi="Times New Roman" w:eastAsia="Times New Roman" w:cs="Times New Roman"/>
          <w:sz w:val="24"/>
          <w:szCs w:val="24"/>
        </w:rPr>
        <w:t>Q</w:t>
      </w:r>
      <w:r>
        <w:rPr>
          <w:rFonts w:ascii="Times New Roman" w:hAnsi="Times New Roman" w:eastAsia="Times New Roman" w:cs="Times New Roman"/>
          <w:position w:val="-1"/>
          <w:sz w:val="15"/>
          <w:szCs w:val="15"/>
        </w:rPr>
        <w:t>h</w:t>
      </w:r>
      <w:r>
        <w:rPr>
          <w:rFonts w:ascii="Times New Roman" w:hAnsi="Times New Roman" w:eastAsia="Times New Roman" w:cs="Times New Roman"/>
          <w:position w:val="7"/>
          <w:sz w:val="15"/>
          <w:szCs w:val="15"/>
        </w:rPr>
        <w:t>eol</w:t>
      </w:r>
      <w:r>
        <w:rPr>
          <w:rFonts w:ascii="Times New Roman" w:hAnsi="Times New Roman" w:eastAsia="Times New Roman" w:cs="Times New Roman"/>
          <w:spacing w:val="1"/>
          <w:position w:val="7"/>
          <w:sz w:val="15"/>
          <w:szCs w:val="15"/>
        </w:rPr>
        <w:t>+</w:t>
      </w:r>
      <w:r>
        <w:rPr>
          <w:rFonts w:ascii="Times New Roman" w:hAnsi="Times New Roman" w:eastAsia="Times New Roman" w:cs="Times New Roman"/>
          <w:position w:val="7"/>
          <w:sz w:val="15"/>
          <w:szCs w:val="15"/>
        </w:rPr>
        <w:t>al</w:t>
      </w:r>
      <w:r>
        <w:rPr>
          <w:rFonts w:ascii="Times New Roman" w:hAnsi="Times New Roman" w:eastAsia="Times New Roman" w:cs="Times New Roman"/>
          <w:spacing w:val="1"/>
          <w:position w:val="7"/>
          <w:sz w:val="15"/>
          <w:szCs w:val="15"/>
        </w:rPr>
        <w:t xml:space="preserve"> </w:t>
      </w:r>
      <w:r>
        <w:rPr>
          <w:rFonts w:ascii="宋体" w:hAnsi="宋体" w:eastAsia="宋体" w:cs="宋体"/>
          <w:spacing w:val="1"/>
          <w:sz w:val="24"/>
          <w:szCs w:val="24"/>
        </w:rPr>
        <w:t>）粉土、细砂和中砂等，厚</w:t>
      </w:r>
      <w:r>
        <w:rPr>
          <w:rFonts w:ascii="宋体" w:hAnsi="宋体" w:eastAsia="宋体" w:cs="宋体"/>
          <w:sz w:val="24"/>
          <w:szCs w:val="24"/>
        </w:rPr>
        <w:t>度一般小于</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2m</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 xml:space="preserve">，下 </w:t>
      </w:r>
      <w:r>
        <w:rPr>
          <w:rFonts w:ascii="宋体" w:hAnsi="宋体" w:eastAsia="宋体" w:cs="宋体"/>
          <w:spacing w:val="-3"/>
          <w:sz w:val="24"/>
          <w:szCs w:val="24"/>
        </w:rPr>
        <w:t>部为上侏罗统兴安岭群火山碎屑岩组（J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3"/>
          <w:sz w:val="24"/>
          <w:szCs w:val="24"/>
        </w:rPr>
        <w:t>）凝灰质砂砾岩和含角砾岩屑晶屑凝</w:t>
      </w:r>
      <w:r>
        <w:rPr>
          <w:rFonts w:ascii="宋体" w:hAnsi="宋体" w:eastAsia="宋体" w:cs="宋体"/>
          <w:spacing w:val="10"/>
          <w:sz w:val="24"/>
          <w:szCs w:val="24"/>
        </w:rPr>
        <w:t xml:space="preserve"> </w:t>
      </w:r>
      <w:r>
        <w:rPr>
          <w:rFonts w:ascii="宋体" w:hAnsi="宋体" w:eastAsia="宋体" w:cs="宋体"/>
          <w:spacing w:val="-3"/>
          <w:sz w:val="24"/>
          <w:szCs w:val="24"/>
        </w:rPr>
        <w:t>灰岩，其上部透水不含水，下部赋存基岩裂隙水。根据渗水试验计算结果，表层</w:t>
      </w:r>
      <w:r>
        <w:rPr>
          <w:rFonts w:ascii="宋体" w:hAnsi="宋体" w:eastAsia="宋体" w:cs="宋体"/>
          <w:spacing w:val="1"/>
          <w:sz w:val="24"/>
          <w:szCs w:val="24"/>
        </w:rPr>
        <w:t xml:space="preserve"> </w:t>
      </w:r>
      <w:r>
        <w:rPr>
          <w:rFonts w:ascii="宋体" w:hAnsi="宋体" w:eastAsia="宋体" w:cs="宋体"/>
          <w:spacing w:val="-1"/>
          <w:sz w:val="24"/>
          <w:szCs w:val="24"/>
        </w:rPr>
        <w:t>包气带岩性为粉土层，垂直入渗系数</w:t>
      </w:r>
      <w:r>
        <w:rPr>
          <w:rFonts w:ascii="宋体" w:hAnsi="宋体" w:eastAsia="宋体" w:cs="宋体"/>
          <w:spacing w:val="-45"/>
          <w:sz w:val="24"/>
          <w:szCs w:val="24"/>
        </w:rPr>
        <w:t xml:space="preserve"> </w:t>
      </w:r>
      <w:r>
        <w:rPr>
          <w:rFonts w:ascii="宋体" w:hAnsi="宋体" w:eastAsia="宋体" w:cs="宋体"/>
          <w:spacing w:val="-1"/>
          <w:sz w:val="24"/>
          <w:szCs w:val="24"/>
        </w:rPr>
        <w:t>7.75</w:t>
      </w:r>
      <w:r>
        <w:rPr>
          <w:rFonts w:ascii="宋体" w:hAnsi="宋体" w:eastAsia="宋体" w:cs="宋体"/>
          <w:spacing w:val="-2"/>
          <w:sz w:val="24"/>
          <w:szCs w:val="24"/>
        </w:rPr>
        <w:t>×10</w:t>
      </w:r>
      <w:r>
        <w:rPr>
          <w:rFonts w:ascii="宋体" w:hAnsi="宋体" w:eastAsia="宋体" w:cs="宋体"/>
          <w:spacing w:val="-2"/>
          <w:position w:val="11"/>
          <w:sz w:val="12"/>
          <w:szCs w:val="12"/>
        </w:rPr>
        <w:t>-4</w:t>
      </w:r>
      <w:r>
        <w:rPr>
          <w:rFonts w:ascii="宋体" w:hAnsi="宋体" w:eastAsia="宋体" w:cs="宋体"/>
          <w:spacing w:val="-2"/>
          <w:sz w:val="24"/>
          <w:szCs w:val="24"/>
        </w:rPr>
        <w:t>cm/s，根据《环境影响评价技术</w:t>
      </w:r>
      <w:r>
        <w:rPr>
          <w:rFonts w:ascii="宋体" w:hAnsi="宋体" w:eastAsia="宋体" w:cs="宋体"/>
          <w:sz w:val="24"/>
          <w:szCs w:val="24"/>
        </w:rPr>
        <w:t xml:space="preserve"> </w:t>
      </w:r>
      <w:r>
        <w:rPr>
          <w:rFonts w:ascii="宋体" w:hAnsi="宋体" w:eastAsia="宋体" w:cs="宋体"/>
          <w:spacing w:val="-5"/>
          <w:sz w:val="24"/>
          <w:szCs w:val="24"/>
        </w:rPr>
        <w:t>导则 地下水环境》（HJ</w:t>
      </w:r>
      <w:r>
        <w:rPr>
          <w:rFonts w:ascii="宋体" w:hAnsi="宋体" w:eastAsia="宋体" w:cs="宋体"/>
          <w:spacing w:val="-48"/>
          <w:sz w:val="24"/>
          <w:szCs w:val="24"/>
        </w:rPr>
        <w:t xml:space="preserve"> </w:t>
      </w:r>
      <w:r>
        <w:rPr>
          <w:rFonts w:ascii="宋体" w:hAnsi="宋体" w:eastAsia="宋体" w:cs="宋体"/>
          <w:spacing w:val="-5"/>
          <w:sz w:val="24"/>
          <w:szCs w:val="24"/>
        </w:rPr>
        <w:t>610-2016）中包气带防污性能分</w:t>
      </w:r>
      <w:r>
        <w:rPr>
          <w:rFonts w:ascii="宋体" w:hAnsi="宋体" w:eastAsia="宋体" w:cs="宋体"/>
          <w:spacing w:val="-6"/>
          <w:sz w:val="24"/>
          <w:szCs w:val="24"/>
        </w:rPr>
        <w:t>级，包气带防污性能弱。</w:t>
      </w:r>
    </w:p>
    <w:p w14:paraId="4AA23F7B">
      <w:pPr>
        <w:spacing w:before="20" w:line="219" w:lineRule="auto"/>
        <w:ind w:left="24"/>
        <w:outlineLvl w:val="3"/>
        <w:rPr>
          <w:rFonts w:ascii="宋体" w:hAnsi="宋体" w:eastAsia="宋体" w:cs="宋体"/>
          <w:sz w:val="24"/>
          <w:szCs w:val="24"/>
        </w:rPr>
      </w:pPr>
      <w:r>
        <w:rPr>
          <w:rFonts w:ascii="宋体" w:hAnsi="宋体" w:eastAsia="宋体" w:cs="宋体"/>
          <w:spacing w:val="-3"/>
          <w:sz w:val="24"/>
          <w:szCs w:val="24"/>
        </w:rPr>
        <w:t>8.2.1.2</w:t>
      </w:r>
      <w:r>
        <w:rPr>
          <w:rFonts w:ascii="宋体" w:hAnsi="宋体" w:eastAsia="宋体" w:cs="宋体"/>
          <w:spacing w:val="-27"/>
          <w:sz w:val="24"/>
          <w:szCs w:val="24"/>
        </w:rPr>
        <w:t xml:space="preserve"> </w:t>
      </w:r>
      <w:r>
        <w:rPr>
          <w:rFonts w:ascii="宋体" w:hAnsi="宋体" w:eastAsia="宋体" w:cs="宋体"/>
          <w:spacing w:val="-3"/>
          <w:sz w:val="24"/>
          <w:szCs w:val="24"/>
        </w:rPr>
        <w:t>区域水文地质条件</w:t>
      </w:r>
    </w:p>
    <w:p w14:paraId="09049C0C">
      <w:pPr>
        <w:spacing w:before="184" w:line="219" w:lineRule="auto"/>
        <w:ind w:left="507"/>
        <w:rPr>
          <w:rFonts w:ascii="宋体" w:hAnsi="宋体" w:eastAsia="宋体" w:cs="宋体"/>
          <w:sz w:val="24"/>
          <w:szCs w:val="24"/>
        </w:rPr>
      </w:pPr>
      <w:r>
        <w:rPr>
          <w:rFonts w:ascii="宋体" w:hAnsi="宋体" w:eastAsia="宋体" w:cs="宋体"/>
          <w:spacing w:val="-2"/>
          <w:sz w:val="24"/>
          <w:szCs w:val="24"/>
        </w:rPr>
        <w:t>一、含水层特征</w:t>
      </w:r>
    </w:p>
    <w:p w14:paraId="129EDCD2">
      <w:pPr>
        <w:spacing w:before="187" w:line="360" w:lineRule="auto"/>
        <w:ind w:left="22" w:firstLine="498"/>
        <w:jc w:val="both"/>
        <w:rPr>
          <w:rFonts w:ascii="宋体" w:hAnsi="宋体" w:eastAsia="宋体" w:cs="宋体"/>
          <w:sz w:val="24"/>
          <w:szCs w:val="24"/>
        </w:rPr>
      </w:pPr>
      <w:r>
        <w:rPr>
          <w:rFonts w:ascii="宋体" w:hAnsi="宋体" w:eastAsia="宋体" w:cs="宋体"/>
          <w:spacing w:val="-4"/>
          <w:sz w:val="24"/>
          <w:szCs w:val="24"/>
        </w:rPr>
        <w:t>区内地下水主要受地质构造、地貌、岩性和古地理条件控制和影响。新华夏</w:t>
      </w:r>
      <w:r>
        <w:rPr>
          <w:rFonts w:ascii="宋体" w:hAnsi="宋体" w:eastAsia="宋体" w:cs="宋体"/>
          <w:spacing w:val="10"/>
          <w:sz w:val="24"/>
          <w:szCs w:val="24"/>
        </w:rPr>
        <w:t xml:space="preserve"> </w:t>
      </w:r>
      <w:r>
        <w:rPr>
          <w:rFonts w:ascii="宋体" w:hAnsi="宋体" w:eastAsia="宋体" w:cs="宋体"/>
          <w:spacing w:val="-3"/>
          <w:sz w:val="24"/>
          <w:szCs w:val="24"/>
        </w:rPr>
        <w:t>构造体系和北东、东西向构造带控制了区内山川水系，南部、中部、东部为隆起</w:t>
      </w:r>
      <w:r>
        <w:rPr>
          <w:rFonts w:ascii="宋体" w:hAnsi="宋体" w:eastAsia="宋体" w:cs="宋体"/>
          <w:spacing w:val="1"/>
          <w:sz w:val="24"/>
          <w:szCs w:val="24"/>
        </w:rPr>
        <w:t xml:space="preserve"> </w:t>
      </w:r>
      <w:r>
        <w:rPr>
          <w:rFonts w:ascii="宋体" w:hAnsi="宋体" w:eastAsia="宋体" w:cs="宋体"/>
          <w:spacing w:val="-3"/>
          <w:sz w:val="24"/>
          <w:szCs w:val="24"/>
        </w:rPr>
        <w:t>的基岩山系，地形剧烈起伏，基岩裸露，对大气降水渗入有利，但由于多次构造</w:t>
      </w:r>
      <w:r>
        <w:rPr>
          <w:rFonts w:ascii="宋体" w:hAnsi="宋体" w:eastAsia="宋体" w:cs="宋体"/>
          <w:spacing w:val="1"/>
          <w:sz w:val="24"/>
          <w:szCs w:val="24"/>
        </w:rPr>
        <w:t xml:space="preserve"> </w:t>
      </w:r>
      <w:r>
        <w:rPr>
          <w:rFonts w:ascii="宋体" w:hAnsi="宋体" w:eastAsia="宋体" w:cs="宋体"/>
          <w:spacing w:val="-3"/>
          <w:sz w:val="24"/>
          <w:szCs w:val="24"/>
        </w:rPr>
        <w:t>运动影响，使基岩形成了一系列纵横交错的断层、褶皱和节理裂隙，故不利于地</w:t>
      </w:r>
      <w:r>
        <w:rPr>
          <w:rFonts w:ascii="宋体" w:hAnsi="宋体" w:eastAsia="宋体" w:cs="宋体"/>
          <w:spacing w:val="1"/>
          <w:sz w:val="24"/>
          <w:szCs w:val="24"/>
        </w:rPr>
        <w:t xml:space="preserve"> </w:t>
      </w:r>
      <w:r>
        <w:rPr>
          <w:rFonts w:ascii="宋体" w:hAnsi="宋体" w:eastAsia="宋体" w:cs="宋体"/>
          <w:spacing w:val="-3"/>
          <w:sz w:val="24"/>
          <w:szCs w:val="24"/>
        </w:rPr>
        <w:t>下水赋存，中部山系两侧为中生代形成的高力罕和巴彦花盆地，沉积了以白垩统</w:t>
      </w:r>
      <w:r>
        <w:rPr>
          <w:rFonts w:ascii="宋体" w:hAnsi="宋体" w:eastAsia="宋体" w:cs="宋体"/>
          <w:spacing w:val="1"/>
          <w:sz w:val="24"/>
          <w:szCs w:val="24"/>
        </w:rPr>
        <w:t xml:space="preserve"> </w:t>
      </w:r>
      <w:r>
        <w:rPr>
          <w:rFonts w:ascii="宋体" w:hAnsi="宋体" w:eastAsia="宋体" w:cs="宋体"/>
          <w:spacing w:val="-3"/>
          <w:sz w:val="24"/>
          <w:szCs w:val="24"/>
        </w:rPr>
        <w:t>为主的湖沼相地层，含水层为砂岩、砂砾岩构成赋水盆地，区内有三条河流，是</w:t>
      </w:r>
      <w:r>
        <w:rPr>
          <w:rFonts w:ascii="宋体" w:hAnsi="宋体" w:eastAsia="宋体" w:cs="宋体"/>
          <w:spacing w:val="1"/>
          <w:sz w:val="24"/>
          <w:szCs w:val="24"/>
        </w:rPr>
        <w:t xml:space="preserve"> </w:t>
      </w:r>
      <w:r>
        <w:rPr>
          <w:rFonts w:ascii="宋体" w:hAnsi="宋体" w:eastAsia="宋体" w:cs="宋体"/>
          <w:spacing w:val="-3"/>
          <w:sz w:val="24"/>
          <w:szCs w:val="24"/>
        </w:rPr>
        <w:t>沿构造线发育而成，东部为布尔嘎斯河，中部为彦吉嘎河、西部为高勒罕河，三</w:t>
      </w:r>
      <w:r>
        <w:rPr>
          <w:rFonts w:ascii="宋体" w:hAnsi="宋体" w:eastAsia="宋体" w:cs="宋体"/>
          <w:spacing w:val="1"/>
          <w:sz w:val="24"/>
          <w:szCs w:val="24"/>
        </w:rPr>
        <w:t xml:space="preserve"> </w:t>
      </w:r>
      <w:r>
        <w:rPr>
          <w:rFonts w:ascii="宋体" w:hAnsi="宋体" w:eastAsia="宋体" w:cs="宋体"/>
          <w:spacing w:val="-3"/>
          <w:sz w:val="24"/>
          <w:szCs w:val="24"/>
        </w:rPr>
        <w:t>条河流纵贯南北，河流将大量松散物质带到平原或沿河流沉积下来，形成河谷平</w:t>
      </w:r>
      <w:r>
        <w:rPr>
          <w:rFonts w:ascii="宋体" w:hAnsi="宋体" w:eastAsia="宋体" w:cs="宋体"/>
          <w:spacing w:val="1"/>
          <w:sz w:val="24"/>
          <w:szCs w:val="24"/>
        </w:rPr>
        <w:t xml:space="preserve"> </w:t>
      </w:r>
      <w:r>
        <w:rPr>
          <w:rFonts w:ascii="宋体" w:hAnsi="宋体" w:eastAsia="宋体" w:cs="宋体"/>
          <w:spacing w:val="-7"/>
          <w:sz w:val="24"/>
          <w:szCs w:val="24"/>
        </w:rPr>
        <w:t>原，堆积了含水性强的细砂、中粗砂和砂砾石层。地貌条</w:t>
      </w:r>
      <w:r>
        <w:rPr>
          <w:rFonts w:ascii="宋体" w:hAnsi="宋体" w:eastAsia="宋体" w:cs="宋体"/>
          <w:spacing w:val="-8"/>
          <w:sz w:val="24"/>
          <w:szCs w:val="24"/>
        </w:rPr>
        <w:t>件不仅控制地下水补给、</w:t>
      </w:r>
      <w:r>
        <w:rPr>
          <w:rFonts w:ascii="宋体" w:hAnsi="宋体" w:eastAsia="宋体" w:cs="宋体"/>
          <w:sz w:val="24"/>
          <w:szCs w:val="24"/>
        </w:rPr>
        <w:t xml:space="preserve"> </w:t>
      </w:r>
      <w:r>
        <w:rPr>
          <w:rFonts w:ascii="宋体" w:hAnsi="宋体" w:eastAsia="宋体" w:cs="宋体"/>
          <w:spacing w:val="-3"/>
          <w:sz w:val="24"/>
          <w:szCs w:val="24"/>
        </w:rPr>
        <w:t>迳流和排泄条件，而且反映了地下水的分布状况，埋藏部位，富集条件和水质好</w:t>
      </w:r>
    </w:p>
    <w:p w14:paraId="3349E8F7">
      <w:pPr>
        <w:spacing w:line="360" w:lineRule="auto"/>
        <w:rPr>
          <w:rFonts w:ascii="宋体" w:hAnsi="宋体" w:eastAsia="宋体" w:cs="宋体"/>
          <w:sz w:val="24"/>
          <w:szCs w:val="24"/>
        </w:rPr>
        <w:sectPr>
          <w:footerReference r:id="rId252" w:type="default"/>
          <w:pgSz w:w="11906" w:h="16839"/>
          <w:pgMar w:top="1208" w:right="1719" w:bottom="1358" w:left="1785" w:header="825" w:footer="1195" w:gutter="0"/>
          <w:cols w:space="720" w:num="1"/>
        </w:sectPr>
      </w:pPr>
    </w:p>
    <w:p w14:paraId="0F186DFD">
      <w:pPr>
        <w:pStyle w:val="2"/>
        <w:spacing w:line="265" w:lineRule="auto"/>
      </w:pPr>
    </w:p>
    <w:p w14:paraId="774AD18A">
      <w:pPr>
        <w:spacing w:before="78" w:line="360" w:lineRule="auto"/>
        <w:ind w:left="22"/>
        <w:jc w:val="both"/>
        <w:rPr>
          <w:rFonts w:ascii="宋体" w:hAnsi="宋体" w:eastAsia="宋体" w:cs="宋体"/>
          <w:sz w:val="24"/>
          <w:szCs w:val="24"/>
        </w:rPr>
      </w:pPr>
      <w:r>
        <w:rPr>
          <w:rFonts w:ascii="宋体" w:hAnsi="宋体" w:eastAsia="宋体" w:cs="宋体"/>
          <w:spacing w:val="-3"/>
          <w:sz w:val="24"/>
          <w:szCs w:val="24"/>
        </w:rPr>
        <w:t>坏，地下水的赋存条件随地貌条件变化而有差异，高力罕、巴彦花盆地和河谷平</w:t>
      </w:r>
      <w:r>
        <w:rPr>
          <w:rFonts w:ascii="宋体" w:hAnsi="宋体" w:eastAsia="宋体" w:cs="宋体"/>
          <w:spacing w:val="1"/>
          <w:sz w:val="24"/>
          <w:szCs w:val="24"/>
        </w:rPr>
        <w:t xml:space="preserve"> </w:t>
      </w:r>
      <w:r>
        <w:rPr>
          <w:rFonts w:ascii="宋体" w:hAnsi="宋体" w:eastAsia="宋体" w:cs="宋体"/>
          <w:spacing w:val="-3"/>
          <w:sz w:val="24"/>
          <w:szCs w:val="24"/>
        </w:rPr>
        <w:t>原，地势低平开阔，是区内地下水主要汇集地带和赋存地带，也是地下水开发利</w:t>
      </w:r>
      <w:r>
        <w:rPr>
          <w:rFonts w:ascii="宋体" w:hAnsi="宋体" w:eastAsia="宋体" w:cs="宋体"/>
          <w:spacing w:val="1"/>
          <w:sz w:val="24"/>
          <w:szCs w:val="24"/>
        </w:rPr>
        <w:t xml:space="preserve"> </w:t>
      </w:r>
      <w:r>
        <w:rPr>
          <w:rFonts w:ascii="宋体" w:hAnsi="宋体" w:eastAsia="宋体" w:cs="宋体"/>
          <w:spacing w:val="-1"/>
          <w:sz w:val="24"/>
          <w:szCs w:val="24"/>
        </w:rPr>
        <w:t>用的主要地带。岩性决定地下水储存空间，白垩系下统含水层为微胶结的砂岩、</w:t>
      </w:r>
      <w:r>
        <w:rPr>
          <w:rFonts w:ascii="宋体" w:hAnsi="宋体" w:eastAsia="宋体" w:cs="宋体"/>
          <w:spacing w:val="12"/>
          <w:sz w:val="24"/>
          <w:szCs w:val="24"/>
        </w:rPr>
        <w:t xml:space="preserve"> </w:t>
      </w:r>
      <w:r>
        <w:rPr>
          <w:rFonts w:ascii="宋体" w:hAnsi="宋体" w:eastAsia="宋体" w:cs="宋体"/>
          <w:spacing w:val="-7"/>
          <w:sz w:val="24"/>
          <w:szCs w:val="24"/>
        </w:rPr>
        <w:t>砂砾岩，第四系含水层主要为细砂、中粗砂、砂砾石层，</w:t>
      </w:r>
      <w:r>
        <w:rPr>
          <w:rFonts w:ascii="宋体" w:hAnsi="宋体" w:eastAsia="宋体" w:cs="宋体"/>
          <w:spacing w:val="-8"/>
          <w:sz w:val="24"/>
          <w:szCs w:val="24"/>
        </w:rPr>
        <w:t>具备了良好的储水空间。</w:t>
      </w:r>
      <w:r>
        <w:rPr>
          <w:rFonts w:ascii="宋体" w:hAnsi="宋体" w:eastAsia="宋体" w:cs="宋体"/>
          <w:sz w:val="24"/>
          <w:szCs w:val="24"/>
        </w:rPr>
        <w:t xml:space="preserve"> </w:t>
      </w:r>
      <w:r>
        <w:rPr>
          <w:rFonts w:ascii="宋体" w:hAnsi="宋体" w:eastAsia="宋体" w:cs="宋体"/>
          <w:spacing w:val="-3"/>
          <w:sz w:val="24"/>
          <w:szCs w:val="24"/>
        </w:rPr>
        <w:t>气候条件制约地下水补给来源强弱，特别是降水的多少直接影响地下水的充足与</w:t>
      </w:r>
      <w:r>
        <w:rPr>
          <w:rFonts w:ascii="宋体" w:hAnsi="宋体" w:eastAsia="宋体" w:cs="宋体"/>
          <w:spacing w:val="1"/>
          <w:sz w:val="24"/>
          <w:szCs w:val="24"/>
        </w:rPr>
        <w:t xml:space="preserve"> </w:t>
      </w:r>
      <w:r>
        <w:rPr>
          <w:rFonts w:ascii="宋体" w:hAnsi="宋体" w:eastAsia="宋体" w:cs="宋体"/>
          <w:sz w:val="24"/>
          <w:szCs w:val="24"/>
        </w:rPr>
        <w:t>否，降水季节，地下水位显著增高，证明地下水</w:t>
      </w:r>
      <w:r>
        <w:rPr>
          <w:rFonts w:ascii="宋体" w:hAnsi="宋体" w:eastAsia="宋体" w:cs="宋体"/>
          <w:spacing w:val="-1"/>
          <w:sz w:val="24"/>
          <w:szCs w:val="24"/>
        </w:rPr>
        <w:t>补给充足，水量充沛。</w:t>
      </w:r>
    </w:p>
    <w:p w14:paraId="0EF6B616">
      <w:pPr>
        <w:spacing w:before="2" w:line="359" w:lineRule="auto"/>
        <w:ind w:left="39" w:right="80" w:firstLine="481"/>
        <w:rPr>
          <w:rFonts w:ascii="宋体" w:hAnsi="宋体" w:eastAsia="宋体" w:cs="宋体"/>
          <w:sz w:val="24"/>
          <w:szCs w:val="24"/>
        </w:rPr>
      </w:pPr>
      <w:r>
        <w:rPr>
          <w:rFonts w:ascii="宋体" w:hAnsi="宋体" w:eastAsia="宋体" w:cs="宋体"/>
          <w:spacing w:val="-4"/>
          <w:sz w:val="24"/>
          <w:szCs w:val="24"/>
        </w:rPr>
        <w:t>区内地下水类型共分为基岩裂隙水、碎屑岩孔隙裂隙水和第四系松散岩类孔</w:t>
      </w:r>
      <w:r>
        <w:rPr>
          <w:rFonts w:ascii="宋体" w:hAnsi="宋体" w:eastAsia="宋体" w:cs="宋体"/>
          <w:spacing w:val="10"/>
          <w:sz w:val="24"/>
          <w:szCs w:val="24"/>
        </w:rPr>
        <w:t xml:space="preserve"> </w:t>
      </w:r>
      <w:r>
        <w:rPr>
          <w:rFonts w:ascii="宋体" w:hAnsi="宋体" w:eastAsia="宋体" w:cs="宋体"/>
          <w:spacing w:val="-4"/>
          <w:sz w:val="24"/>
          <w:szCs w:val="24"/>
        </w:rPr>
        <w:t>隙水三种类型。</w:t>
      </w:r>
    </w:p>
    <w:p w14:paraId="18D0B02C">
      <w:pPr>
        <w:spacing w:before="3" w:line="359" w:lineRule="auto"/>
        <w:ind w:left="23" w:right="45" w:firstLine="480"/>
        <w:jc w:val="both"/>
        <w:rPr>
          <w:rFonts w:ascii="宋体" w:hAnsi="宋体" w:eastAsia="宋体" w:cs="宋体"/>
          <w:sz w:val="24"/>
          <w:szCs w:val="24"/>
        </w:rPr>
      </w:pPr>
      <w:r>
        <w:rPr>
          <w:rFonts w:ascii="宋体" w:hAnsi="宋体" w:eastAsia="宋体" w:cs="宋体"/>
          <w:spacing w:val="-2"/>
          <w:sz w:val="24"/>
          <w:szCs w:val="24"/>
        </w:rPr>
        <w:t>基岩裂隙水岩性主要为碎屑岩和岩浆岩，蓄存条件为构造裂隙和风化</w:t>
      </w:r>
      <w:r>
        <w:rPr>
          <w:rFonts w:ascii="宋体" w:hAnsi="宋体" w:eastAsia="宋体" w:cs="宋体"/>
          <w:spacing w:val="-3"/>
          <w:sz w:val="24"/>
          <w:szCs w:val="24"/>
        </w:rPr>
        <w:t>裂隙，</w:t>
      </w:r>
      <w:r>
        <w:rPr>
          <w:rFonts w:ascii="宋体" w:hAnsi="宋体" w:eastAsia="宋体" w:cs="宋体"/>
          <w:sz w:val="24"/>
          <w:szCs w:val="24"/>
        </w:rPr>
        <w:t xml:space="preserve"> </w:t>
      </w:r>
      <w:r>
        <w:rPr>
          <w:rFonts w:ascii="宋体" w:hAnsi="宋体" w:eastAsia="宋体" w:cs="宋体"/>
          <w:spacing w:val="-3"/>
          <w:sz w:val="24"/>
          <w:szCs w:val="24"/>
        </w:rPr>
        <w:t>分布于基岩山区，从构造格架来看，北北东向、北东向和东西向构造带交叉，但</w:t>
      </w:r>
      <w:r>
        <w:rPr>
          <w:rFonts w:ascii="宋体" w:hAnsi="宋体" w:eastAsia="宋体" w:cs="宋体"/>
          <w:spacing w:val="1"/>
          <w:sz w:val="24"/>
          <w:szCs w:val="24"/>
        </w:rPr>
        <w:t xml:space="preserve"> </w:t>
      </w:r>
      <w:r>
        <w:rPr>
          <w:rFonts w:ascii="宋体" w:hAnsi="宋体" w:eastAsia="宋体" w:cs="宋体"/>
          <w:spacing w:val="-3"/>
          <w:sz w:val="24"/>
          <w:szCs w:val="24"/>
        </w:rPr>
        <w:t>多为压扭性结构面，加之岩脉和泥质充填，难于储水，构造带之间又多呈块状隆</w:t>
      </w:r>
      <w:r>
        <w:rPr>
          <w:rFonts w:ascii="宋体" w:hAnsi="宋体" w:eastAsia="宋体" w:cs="宋体"/>
          <w:spacing w:val="1"/>
          <w:sz w:val="24"/>
          <w:szCs w:val="24"/>
        </w:rPr>
        <w:t xml:space="preserve"> </w:t>
      </w:r>
      <w:r>
        <w:rPr>
          <w:rFonts w:ascii="宋体" w:hAnsi="宋体" w:eastAsia="宋体" w:cs="宋体"/>
          <w:spacing w:val="-3"/>
          <w:sz w:val="24"/>
          <w:szCs w:val="24"/>
        </w:rPr>
        <w:t>起，互不联系，很难形成好的储存条件。从岩性来看，喷出岩和侵入岩裂隙不发</w:t>
      </w:r>
      <w:r>
        <w:rPr>
          <w:rFonts w:ascii="宋体" w:hAnsi="宋体" w:eastAsia="宋体" w:cs="宋体"/>
          <w:spacing w:val="1"/>
          <w:sz w:val="24"/>
          <w:szCs w:val="24"/>
        </w:rPr>
        <w:t xml:space="preserve"> </w:t>
      </w:r>
      <w:r>
        <w:rPr>
          <w:rFonts w:ascii="宋体" w:hAnsi="宋体" w:eastAsia="宋体" w:cs="宋体"/>
          <w:spacing w:val="-3"/>
          <w:sz w:val="24"/>
          <w:szCs w:val="24"/>
        </w:rPr>
        <w:t>育，碎屑岩多事凝灰质灰岩、凝灰质砾岩和板岩等，质地坚硬，富水性查，分布</w:t>
      </w:r>
      <w:r>
        <w:rPr>
          <w:rFonts w:ascii="宋体" w:hAnsi="宋体" w:eastAsia="宋体" w:cs="宋体"/>
          <w:spacing w:val="1"/>
          <w:sz w:val="24"/>
          <w:szCs w:val="24"/>
        </w:rPr>
        <w:t xml:space="preserve"> </w:t>
      </w:r>
      <w:r>
        <w:rPr>
          <w:rFonts w:ascii="宋体" w:hAnsi="宋体" w:eastAsia="宋体" w:cs="宋体"/>
          <w:spacing w:val="-3"/>
          <w:sz w:val="24"/>
          <w:szCs w:val="24"/>
        </w:rPr>
        <w:t>不均，地貌条件控制地下水分布，因此，在基岩裂隙水分布的地方，多为山间枝</w:t>
      </w:r>
      <w:r>
        <w:rPr>
          <w:rFonts w:ascii="宋体" w:hAnsi="宋体" w:eastAsia="宋体" w:cs="宋体"/>
          <w:spacing w:val="1"/>
          <w:sz w:val="24"/>
          <w:szCs w:val="24"/>
        </w:rPr>
        <w:t xml:space="preserve"> </w:t>
      </w:r>
      <w:r>
        <w:rPr>
          <w:rFonts w:ascii="宋体" w:hAnsi="宋体" w:eastAsia="宋体" w:cs="宋体"/>
          <w:spacing w:val="-1"/>
          <w:sz w:val="24"/>
          <w:szCs w:val="24"/>
        </w:rPr>
        <w:t>状沟谷，根据钻孔和民井资料，疏干水量小于</w:t>
      </w:r>
      <w:r>
        <w:rPr>
          <w:rFonts w:ascii="宋体" w:hAnsi="宋体" w:eastAsia="宋体" w:cs="宋体"/>
          <w:spacing w:val="-33"/>
          <w:sz w:val="24"/>
          <w:szCs w:val="24"/>
        </w:rPr>
        <w:t xml:space="preserve"> </w:t>
      </w:r>
      <w:r>
        <w:rPr>
          <w:rFonts w:ascii="宋体" w:hAnsi="宋体" w:eastAsia="宋体" w:cs="宋体"/>
          <w:spacing w:val="-1"/>
          <w:sz w:val="24"/>
          <w:szCs w:val="24"/>
        </w:rPr>
        <w:t>100m</w:t>
      </w:r>
      <w:r>
        <w:rPr>
          <w:rFonts w:ascii="宋体" w:hAnsi="宋体" w:eastAsia="宋体" w:cs="宋体"/>
          <w:spacing w:val="-1"/>
          <w:position w:val="11"/>
          <w:sz w:val="12"/>
          <w:szCs w:val="12"/>
        </w:rPr>
        <w:t>3</w:t>
      </w:r>
      <w:r>
        <w:rPr>
          <w:rFonts w:ascii="宋体" w:hAnsi="宋体" w:eastAsia="宋体" w:cs="宋体"/>
          <w:spacing w:val="-1"/>
          <w:sz w:val="24"/>
          <w:szCs w:val="24"/>
        </w:rPr>
        <w:t>/d，水质较好，矿化度小于</w:t>
      </w:r>
      <w:r>
        <w:rPr>
          <w:rFonts w:ascii="宋体" w:hAnsi="宋体" w:eastAsia="宋体" w:cs="宋体"/>
          <w:sz w:val="24"/>
          <w:szCs w:val="24"/>
        </w:rPr>
        <w:t xml:space="preserve"> </w:t>
      </w:r>
      <w:r>
        <w:rPr>
          <w:rFonts w:ascii="宋体" w:hAnsi="宋体" w:eastAsia="宋体" w:cs="宋体"/>
          <w:spacing w:val="-2"/>
          <w:sz w:val="24"/>
          <w:szCs w:val="24"/>
        </w:rPr>
        <w:t>1g/L。</w:t>
      </w:r>
    </w:p>
    <w:p w14:paraId="61FA8B1C">
      <w:pPr>
        <w:spacing w:before="6" w:line="360" w:lineRule="auto"/>
        <w:ind w:left="23" w:right="18" w:firstLine="479"/>
        <w:rPr>
          <w:rFonts w:ascii="宋体" w:hAnsi="宋体" w:eastAsia="宋体" w:cs="宋体"/>
          <w:sz w:val="24"/>
          <w:szCs w:val="24"/>
        </w:rPr>
      </w:pPr>
      <w:r>
        <w:rPr>
          <w:rFonts w:ascii="宋体" w:hAnsi="宋体" w:eastAsia="宋体" w:cs="宋体"/>
          <w:spacing w:val="-3"/>
          <w:sz w:val="24"/>
          <w:szCs w:val="24"/>
        </w:rPr>
        <w:t>碎屑岩孔隙裂隙水分布在巴彦花盆地中，含水层是上第三系、下</w:t>
      </w:r>
      <w:r>
        <w:rPr>
          <w:rFonts w:ascii="宋体" w:hAnsi="宋体" w:eastAsia="宋体" w:cs="宋体"/>
          <w:spacing w:val="-4"/>
          <w:sz w:val="24"/>
          <w:szCs w:val="24"/>
        </w:rPr>
        <w:t>白垩统砂砾</w:t>
      </w:r>
      <w:r>
        <w:rPr>
          <w:rFonts w:ascii="宋体" w:hAnsi="宋体" w:eastAsia="宋体" w:cs="宋体"/>
          <w:sz w:val="24"/>
          <w:szCs w:val="24"/>
        </w:rPr>
        <w:t xml:space="preserve"> </w:t>
      </w:r>
      <w:r>
        <w:rPr>
          <w:rFonts w:ascii="宋体" w:hAnsi="宋体" w:eastAsia="宋体" w:cs="宋体"/>
          <w:spacing w:val="-3"/>
          <w:sz w:val="24"/>
          <w:szCs w:val="24"/>
        </w:rPr>
        <w:t>岩、砂岩及泥砾岩，中生代末期，在新华夏构造体系影响下，形成了北北东向展</w:t>
      </w:r>
      <w:r>
        <w:rPr>
          <w:rFonts w:ascii="宋体" w:hAnsi="宋体" w:eastAsia="宋体" w:cs="宋体"/>
          <w:spacing w:val="1"/>
          <w:sz w:val="24"/>
          <w:szCs w:val="24"/>
        </w:rPr>
        <w:t xml:space="preserve"> </w:t>
      </w:r>
      <w:r>
        <w:rPr>
          <w:rFonts w:ascii="宋体" w:hAnsi="宋体" w:eastAsia="宋体" w:cs="宋体"/>
          <w:spacing w:val="-3"/>
          <w:sz w:val="24"/>
          <w:szCs w:val="24"/>
        </w:rPr>
        <w:t>布的巴彦花盆地，并在盆地中先后沉积了下白垩统和上第三系以湖沼相为主的地</w:t>
      </w:r>
      <w:r>
        <w:rPr>
          <w:rFonts w:ascii="宋体" w:hAnsi="宋体" w:eastAsia="宋体" w:cs="宋体"/>
          <w:spacing w:val="1"/>
          <w:sz w:val="24"/>
          <w:szCs w:val="24"/>
        </w:rPr>
        <w:t xml:space="preserve"> </w:t>
      </w:r>
      <w:r>
        <w:rPr>
          <w:rFonts w:ascii="宋体" w:hAnsi="宋体" w:eastAsia="宋体" w:cs="宋体"/>
          <w:spacing w:val="-8"/>
          <w:sz w:val="24"/>
          <w:szCs w:val="24"/>
        </w:rPr>
        <w:t>层，由于第三纪末期地壳上升，使盆地的上第三系地层受到强烈剥蚀而零星分布，</w:t>
      </w:r>
      <w:r>
        <w:rPr>
          <w:rFonts w:ascii="宋体" w:hAnsi="宋体" w:eastAsia="宋体" w:cs="宋体"/>
          <w:spacing w:val="5"/>
          <w:sz w:val="24"/>
          <w:szCs w:val="24"/>
        </w:rPr>
        <w:t xml:space="preserve"> </w:t>
      </w:r>
      <w:r>
        <w:rPr>
          <w:rFonts w:ascii="宋体" w:hAnsi="宋体" w:eastAsia="宋体" w:cs="宋体"/>
          <w:spacing w:val="-3"/>
          <w:sz w:val="24"/>
          <w:szCs w:val="24"/>
        </w:rPr>
        <w:t>上第三系地层岩性主要为泥岩，仅在泥岩底部分布一层厚度不等的砂砾岩，局部</w:t>
      </w:r>
      <w:r>
        <w:rPr>
          <w:rFonts w:ascii="宋体" w:hAnsi="宋体" w:eastAsia="宋体" w:cs="宋体"/>
          <w:spacing w:val="1"/>
          <w:sz w:val="24"/>
          <w:szCs w:val="24"/>
        </w:rPr>
        <w:t xml:space="preserve"> </w:t>
      </w:r>
      <w:r>
        <w:rPr>
          <w:rFonts w:ascii="宋体" w:hAnsi="宋体" w:eastAsia="宋体" w:cs="宋体"/>
          <w:spacing w:val="-3"/>
          <w:sz w:val="24"/>
          <w:szCs w:val="24"/>
        </w:rPr>
        <w:t>含有孔隙层间水，下部白垩统含水层多呈半胶结状，并具有分带性，由于盆地边</w:t>
      </w:r>
      <w:r>
        <w:rPr>
          <w:rFonts w:ascii="宋体" w:hAnsi="宋体" w:eastAsia="宋体" w:cs="宋体"/>
          <w:spacing w:val="1"/>
          <w:sz w:val="24"/>
          <w:szCs w:val="24"/>
        </w:rPr>
        <w:t xml:space="preserve"> </w:t>
      </w:r>
      <w:r>
        <w:rPr>
          <w:rFonts w:ascii="宋体" w:hAnsi="宋体" w:eastAsia="宋体" w:cs="宋体"/>
          <w:spacing w:val="-3"/>
          <w:sz w:val="24"/>
          <w:szCs w:val="24"/>
        </w:rPr>
        <w:t>缘向中心可分为砂砾质带、泥砾质带、泥砂质带。在巴彦花盆地北东、南东边缘</w:t>
      </w:r>
      <w:r>
        <w:rPr>
          <w:rFonts w:ascii="宋体" w:hAnsi="宋体" w:eastAsia="宋体" w:cs="宋体"/>
          <w:spacing w:val="1"/>
          <w:sz w:val="24"/>
          <w:szCs w:val="24"/>
        </w:rPr>
        <w:t xml:space="preserve"> </w:t>
      </w:r>
      <w:r>
        <w:rPr>
          <w:rFonts w:ascii="宋体" w:hAnsi="宋体" w:eastAsia="宋体" w:cs="宋体"/>
          <w:spacing w:val="4"/>
          <w:sz w:val="24"/>
          <w:szCs w:val="24"/>
        </w:rPr>
        <w:t>属于砂砾质带，含水介质为中粗砂岩、砂砾岩为主，富水性好，钻孔疏</w:t>
      </w:r>
      <w:r>
        <w:rPr>
          <w:rFonts w:ascii="宋体" w:hAnsi="宋体" w:eastAsia="宋体" w:cs="宋体"/>
          <w:spacing w:val="3"/>
          <w:sz w:val="24"/>
          <w:szCs w:val="24"/>
        </w:rPr>
        <w:t>干水量</w:t>
      </w:r>
      <w:r>
        <w:rPr>
          <w:rFonts w:ascii="宋体" w:hAnsi="宋体" w:eastAsia="宋体" w:cs="宋体"/>
          <w:sz w:val="24"/>
          <w:szCs w:val="24"/>
        </w:rPr>
        <w:t xml:space="preserve"> </w:t>
      </w:r>
      <w:r>
        <w:rPr>
          <w:rFonts w:ascii="宋体" w:hAnsi="宋体" w:eastAsia="宋体" w:cs="宋体"/>
          <w:spacing w:val="2"/>
          <w:sz w:val="24"/>
          <w:szCs w:val="24"/>
        </w:rPr>
        <w:t>118.54-719.19m</w:t>
      </w:r>
      <w:r>
        <w:rPr>
          <w:rFonts w:ascii="宋体" w:hAnsi="宋体" w:eastAsia="宋体" w:cs="宋体"/>
          <w:spacing w:val="2"/>
          <w:position w:val="11"/>
          <w:sz w:val="12"/>
          <w:szCs w:val="12"/>
        </w:rPr>
        <w:t>3</w:t>
      </w:r>
      <w:r>
        <w:rPr>
          <w:rFonts w:ascii="宋体" w:hAnsi="宋体" w:eastAsia="宋体" w:cs="宋体"/>
          <w:spacing w:val="2"/>
          <w:sz w:val="24"/>
          <w:szCs w:val="24"/>
        </w:rPr>
        <w:t>/d，巴彦花盆地北西边缘为泥砾质带，含水层为泥质砂砾岩、</w:t>
      </w:r>
      <w:r>
        <w:rPr>
          <w:rFonts w:ascii="宋体" w:hAnsi="宋体" w:eastAsia="宋体" w:cs="宋体"/>
          <w:spacing w:val="13"/>
          <w:sz w:val="24"/>
          <w:szCs w:val="24"/>
        </w:rPr>
        <w:t xml:space="preserve"> </w:t>
      </w:r>
      <w:r>
        <w:rPr>
          <w:rFonts w:ascii="宋体" w:hAnsi="宋体" w:eastAsia="宋体" w:cs="宋体"/>
          <w:spacing w:val="-3"/>
          <w:sz w:val="24"/>
          <w:szCs w:val="24"/>
        </w:rPr>
        <w:t>泥质砂岩，富水性较弱，钻孔疏干水量仅达</w:t>
      </w:r>
      <w:r>
        <w:rPr>
          <w:rFonts w:ascii="宋体" w:hAnsi="宋体" w:eastAsia="宋体" w:cs="宋体"/>
          <w:spacing w:val="-47"/>
          <w:sz w:val="24"/>
          <w:szCs w:val="24"/>
        </w:rPr>
        <w:t xml:space="preserve"> </w:t>
      </w:r>
      <w:r>
        <w:rPr>
          <w:rFonts w:ascii="宋体" w:hAnsi="宋体" w:eastAsia="宋体" w:cs="宋体"/>
          <w:spacing w:val="-3"/>
          <w:sz w:val="24"/>
          <w:szCs w:val="24"/>
        </w:rPr>
        <w:t>2.34m</w:t>
      </w:r>
      <w:r>
        <w:rPr>
          <w:rFonts w:ascii="宋体" w:hAnsi="宋体" w:eastAsia="宋体" w:cs="宋体"/>
          <w:spacing w:val="-3"/>
          <w:position w:val="11"/>
          <w:sz w:val="12"/>
          <w:szCs w:val="12"/>
        </w:rPr>
        <w:t>3</w:t>
      </w:r>
      <w:r>
        <w:rPr>
          <w:rFonts w:ascii="宋体" w:hAnsi="宋体" w:eastAsia="宋体" w:cs="宋体"/>
          <w:spacing w:val="-3"/>
          <w:sz w:val="24"/>
          <w:szCs w:val="24"/>
        </w:rPr>
        <w:t>/d，巴彦花盆地中心为泥砂质</w:t>
      </w:r>
      <w:r>
        <w:rPr>
          <w:rFonts w:ascii="宋体" w:hAnsi="宋体" w:eastAsia="宋体" w:cs="宋体"/>
          <w:sz w:val="24"/>
          <w:szCs w:val="24"/>
        </w:rPr>
        <w:t xml:space="preserve"> </w:t>
      </w:r>
      <w:r>
        <w:rPr>
          <w:rFonts w:ascii="宋体" w:hAnsi="宋体" w:eastAsia="宋体" w:cs="宋体"/>
          <w:spacing w:val="-3"/>
          <w:sz w:val="24"/>
          <w:szCs w:val="24"/>
        </w:rPr>
        <w:t>带，地下水赋存于薄层或透镜体状含泥中粗砂岩，中细砂岩中，富水性不好，钻</w:t>
      </w:r>
      <w:r>
        <w:rPr>
          <w:rFonts w:ascii="宋体" w:hAnsi="宋体" w:eastAsia="宋体" w:cs="宋体"/>
          <w:spacing w:val="1"/>
          <w:sz w:val="24"/>
          <w:szCs w:val="24"/>
        </w:rPr>
        <w:t xml:space="preserve"> </w:t>
      </w:r>
      <w:r>
        <w:rPr>
          <w:rFonts w:ascii="宋体" w:hAnsi="宋体" w:eastAsia="宋体" w:cs="宋体"/>
          <w:spacing w:val="-1"/>
          <w:sz w:val="24"/>
          <w:szCs w:val="24"/>
        </w:rPr>
        <w:t>孔疏干水量为</w:t>
      </w:r>
      <w:r>
        <w:rPr>
          <w:rFonts w:ascii="宋体" w:hAnsi="宋体" w:eastAsia="宋体" w:cs="宋体"/>
          <w:spacing w:val="-48"/>
          <w:sz w:val="24"/>
          <w:szCs w:val="24"/>
        </w:rPr>
        <w:t xml:space="preserve"> </w:t>
      </w:r>
      <w:r>
        <w:rPr>
          <w:rFonts w:ascii="宋体" w:hAnsi="宋体" w:eastAsia="宋体" w:cs="宋体"/>
          <w:spacing w:val="-1"/>
          <w:sz w:val="24"/>
          <w:szCs w:val="24"/>
        </w:rPr>
        <w:t>2.96-75.83m</w:t>
      </w:r>
      <w:r>
        <w:rPr>
          <w:rFonts w:ascii="宋体" w:hAnsi="宋体" w:eastAsia="宋体" w:cs="宋体"/>
          <w:spacing w:val="-1"/>
          <w:position w:val="11"/>
          <w:sz w:val="12"/>
          <w:szCs w:val="12"/>
        </w:rPr>
        <w:t>3</w:t>
      </w:r>
      <w:r>
        <w:rPr>
          <w:rFonts w:ascii="宋体" w:hAnsi="宋体" w:eastAsia="宋体" w:cs="宋体"/>
          <w:spacing w:val="-1"/>
          <w:sz w:val="24"/>
          <w:szCs w:val="24"/>
        </w:rPr>
        <w:t>/</w:t>
      </w:r>
      <w:r>
        <w:rPr>
          <w:rFonts w:ascii="宋体" w:hAnsi="宋体" w:eastAsia="宋体" w:cs="宋体"/>
          <w:spacing w:val="-2"/>
          <w:sz w:val="24"/>
          <w:szCs w:val="24"/>
        </w:rPr>
        <w:t>d。</w:t>
      </w:r>
    </w:p>
    <w:p w14:paraId="6D66B49B">
      <w:pPr>
        <w:spacing w:before="1" w:line="218" w:lineRule="auto"/>
        <w:ind w:left="503"/>
        <w:rPr>
          <w:rFonts w:ascii="宋体" w:hAnsi="宋体" w:eastAsia="宋体" w:cs="宋体"/>
          <w:sz w:val="24"/>
          <w:szCs w:val="24"/>
        </w:rPr>
      </w:pPr>
      <w:r>
        <w:rPr>
          <w:rFonts w:ascii="宋体" w:hAnsi="宋体" w:eastAsia="宋体" w:cs="宋体"/>
          <w:spacing w:val="-3"/>
          <w:sz w:val="24"/>
          <w:szCs w:val="24"/>
        </w:rPr>
        <w:t>第四系松散岩类孔隙水分布于风积沙地、湖盆洼地、山间枝状沟</w:t>
      </w:r>
      <w:r>
        <w:rPr>
          <w:rFonts w:ascii="宋体" w:hAnsi="宋体" w:eastAsia="宋体" w:cs="宋体"/>
          <w:spacing w:val="-4"/>
          <w:sz w:val="24"/>
          <w:szCs w:val="24"/>
        </w:rPr>
        <w:t>谷，沼泽化</w:t>
      </w:r>
    </w:p>
    <w:p w14:paraId="29C051C9">
      <w:pPr>
        <w:spacing w:line="218" w:lineRule="auto"/>
        <w:rPr>
          <w:rFonts w:ascii="宋体" w:hAnsi="宋体" w:eastAsia="宋体" w:cs="宋体"/>
          <w:sz w:val="24"/>
          <w:szCs w:val="24"/>
        </w:rPr>
        <w:sectPr>
          <w:footerReference r:id="rId253" w:type="default"/>
          <w:pgSz w:w="11906" w:h="16839"/>
          <w:pgMar w:top="1208" w:right="1719" w:bottom="1358" w:left="1785" w:header="825" w:footer="1195" w:gutter="0"/>
          <w:cols w:space="720" w:num="1"/>
        </w:sectPr>
      </w:pPr>
    </w:p>
    <w:p w14:paraId="2B020A27">
      <w:pPr>
        <w:pStyle w:val="2"/>
        <w:spacing w:line="267" w:lineRule="auto"/>
      </w:pPr>
    </w:p>
    <w:p w14:paraId="1B0F2E20">
      <w:pPr>
        <w:spacing w:before="78" w:line="359" w:lineRule="auto"/>
        <w:ind w:left="22" w:right="53"/>
        <w:jc w:val="both"/>
        <w:rPr>
          <w:rFonts w:ascii="宋体" w:hAnsi="宋体" w:eastAsia="宋体" w:cs="宋体"/>
          <w:sz w:val="24"/>
          <w:szCs w:val="24"/>
        </w:rPr>
      </w:pPr>
      <w:r>
        <w:rPr>
          <w:rFonts w:ascii="宋体" w:hAnsi="宋体" w:eastAsia="宋体" w:cs="宋体"/>
          <w:spacing w:val="-3"/>
          <w:sz w:val="24"/>
          <w:szCs w:val="24"/>
        </w:rPr>
        <w:t>河谷平原、冲洪积平原中，组成含水层岩性为风积砂、细砂、中粗砂、含砾中粗</w:t>
      </w:r>
      <w:r>
        <w:rPr>
          <w:rFonts w:ascii="宋体" w:hAnsi="宋体" w:eastAsia="宋体" w:cs="宋体"/>
          <w:spacing w:val="1"/>
          <w:sz w:val="24"/>
          <w:szCs w:val="24"/>
        </w:rPr>
        <w:t xml:space="preserve"> </w:t>
      </w:r>
      <w:r>
        <w:rPr>
          <w:rFonts w:ascii="宋体" w:hAnsi="宋体" w:eastAsia="宋体" w:cs="宋体"/>
          <w:spacing w:val="-2"/>
          <w:sz w:val="24"/>
          <w:szCs w:val="24"/>
        </w:rPr>
        <w:t>砂、砂砾石和含砾砂土，含水层分布比较连续，厚度一般小于</w:t>
      </w:r>
      <w:r>
        <w:rPr>
          <w:rFonts w:ascii="宋体" w:hAnsi="宋体" w:eastAsia="宋体" w:cs="宋体"/>
          <w:spacing w:val="-31"/>
          <w:sz w:val="24"/>
          <w:szCs w:val="24"/>
        </w:rPr>
        <w:t xml:space="preserve"> </w:t>
      </w:r>
      <w:r>
        <w:rPr>
          <w:rFonts w:ascii="宋体" w:hAnsi="宋体" w:eastAsia="宋体" w:cs="宋体"/>
          <w:spacing w:val="-2"/>
          <w:sz w:val="24"/>
          <w:szCs w:val="24"/>
        </w:rPr>
        <w:t>20m，尤以冲洪积</w:t>
      </w:r>
      <w:r>
        <w:rPr>
          <w:rFonts w:ascii="宋体" w:hAnsi="宋体" w:eastAsia="宋体" w:cs="宋体"/>
          <w:sz w:val="24"/>
          <w:szCs w:val="24"/>
        </w:rPr>
        <w:t xml:space="preserve"> 平原和河谷平原富水性最强，民井单位疏干水量一般</w:t>
      </w:r>
      <w:r>
        <w:rPr>
          <w:rFonts w:ascii="宋体" w:hAnsi="宋体" w:eastAsia="宋体" w:cs="宋体"/>
          <w:spacing w:val="-31"/>
          <w:sz w:val="24"/>
          <w:szCs w:val="24"/>
        </w:rPr>
        <w:t xml:space="preserve"> </w:t>
      </w:r>
      <w:r>
        <w:rPr>
          <w:rFonts w:ascii="宋体" w:hAnsi="宋体" w:eastAsia="宋体" w:cs="宋体"/>
          <w:sz w:val="24"/>
          <w:szCs w:val="24"/>
        </w:rPr>
        <w:t>100</w:t>
      </w:r>
      <w:r>
        <w:rPr>
          <w:rFonts w:ascii="宋体" w:hAnsi="宋体" w:eastAsia="宋体" w:cs="宋体"/>
          <w:spacing w:val="-1"/>
          <w:sz w:val="24"/>
          <w:szCs w:val="24"/>
        </w:rPr>
        <w:t>-1000 m</w:t>
      </w:r>
      <w:r>
        <w:rPr>
          <w:rFonts w:ascii="宋体" w:hAnsi="宋体" w:eastAsia="宋体" w:cs="宋体"/>
          <w:spacing w:val="-1"/>
          <w:position w:val="11"/>
          <w:sz w:val="12"/>
          <w:szCs w:val="12"/>
        </w:rPr>
        <w:t>3</w:t>
      </w:r>
      <w:r>
        <w:rPr>
          <w:rFonts w:ascii="宋体" w:hAnsi="宋体" w:eastAsia="宋体" w:cs="宋体"/>
          <w:spacing w:val="-1"/>
          <w:sz w:val="24"/>
          <w:szCs w:val="24"/>
        </w:rPr>
        <w:t>/d，绝大部分</w:t>
      </w:r>
      <w:r>
        <w:rPr>
          <w:rFonts w:ascii="宋体" w:hAnsi="宋体" w:eastAsia="宋体" w:cs="宋体"/>
          <w:sz w:val="24"/>
          <w:szCs w:val="24"/>
        </w:rPr>
        <w:t xml:space="preserve"> </w:t>
      </w:r>
      <w:r>
        <w:rPr>
          <w:rFonts w:ascii="宋体" w:hAnsi="宋体" w:eastAsia="宋体" w:cs="宋体"/>
          <w:spacing w:val="-2"/>
          <w:sz w:val="24"/>
          <w:szCs w:val="24"/>
        </w:rPr>
        <w:t>地区，富水性较差，民井单位疏干水量小于</w:t>
      </w:r>
      <w:r>
        <w:rPr>
          <w:rFonts w:ascii="宋体" w:hAnsi="宋体" w:eastAsia="宋体" w:cs="宋体"/>
          <w:spacing w:val="-16"/>
          <w:sz w:val="24"/>
          <w:szCs w:val="24"/>
        </w:rPr>
        <w:t xml:space="preserve"> </w:t>
      </w:r>
      <w:r>
        <w:rPr>
          <w:rFonts w:ascii="宋体" w:hAnsi="宋体" w:eastAsia="宋体" w:cs="宋体"/>
          <w:spacing w:val="-2"/>
          <w:sz w:val="24"/>
          <w:szCs w:val="24"/>
        </w:rPr>
        <w:t>100m</w:t>
      </w:r>
      <w:r>
        <w:rPr>
          <w:rFonts w:ascii="宋体" w:hAnsi="宋体" w:eastAsia="宋体" w:cs="宋体"/>
          <w:spacing w:val="-2"/>
          <w:position w:val="11"/>
          <w:sz w:val="12"/>
          <w:szCs w:val="12"/>
        </w:rPr>
        <w:t>3</w:t>
      </w:r>
      <w:r>
        <w:rPr>
          <w:rFonts w:ascii="宋体" w:hAnsi="宋体" w:eastAsia="宋体" w:cs="宋体"/>
          <w:spacing w:val="-2"/>
          <w:sz w:val="24"/>
          <w:szCs w:val="24"/>
        </w:rPr>
        <w:t>/d。</w:t>
      </w:r>
    </w:p>
    <w:p w14:paraId="09F4293A">
      <w:pPr>
        <w:spacing w:before="3" w:line="219" w:lineRule="auto"/>
        <w:ind w:left="507"/>
        <w:rPr>
          <w:rFonts w:ascii="宋体" w:hAnsi="宋体" w:eastAsia="宋体" w:cs="宋体"/>
          <w:sz w:val="24"/>
          <w:szCs w:val="24"/>
        </w:rPr>
      </w:pPr>
      <w:r>
        <w:rPr>
          <w:rFonts w:ascii="宋体" w:hAnsi="宋体" w:eastAsia="宋体" w:cs="宋体"/>
          <w:spacing w:val="-2"/>
          <w:sz w:val="24"/>
          <w:szCs w:val="24"/>
        </w:rPr>
        <w:t>二、地下水补径排条件</w:t>
      </w:r>
    </w:p>
    <w:p w14:paraId="386EB2D0">
      <w:pPr>
        <w:spacing w:before="182" w:line="360" w:lineRule="auto"/>
        <w:ind w:left="23" w:right="18" w:firstLine="480"/>
        <w:jc w:val="both"/>
        <w:rPr>
          <w:rFonts w:ascii="宋体" w:hAnsi="宋体" w:eastAsia="宋体" w:cs="宋体"/>
          <w:sz w:val="24"/>
          <w:szCs w:val="24"/>
        </w:rPr>
      </w:pPr>
      <w:r>
        <w:rPr>
          <w:rFonts w:ascii="宋体" w:hAnsi="宋体" w:eastAsia="宋体" w:cs="宋体"/>
          <w:spacing w:val="-2"/>
          <w:sz w:val="24"/>
          <w:szCs w:val="24"/>
        </w:rPr>
        <w:t>基岩裂隙水主要靠大气降水补给，由于基岩节理裂隙发育，直接裸露</w:t>
      </w:r>
      <w:r>
        <w:rPr>
          <w:rFonts w:ascii="宋体" w:hAnsi="宋体" w:eastAsia="宋体" w:cs="宋体"/>
          <w:spacing w:val="-3"/>
          <w:sz w:val="24"/>
          <w:szCs w:val="24"/>
        </w:rPr>
        <w:t>地表，</w:t>
      </w:r>
      <w:r>
        <w:rPr>
          <w:rFonts w:ascii="宋体" w:hAnsi="宋体" w:eastAsia="宋体" w:cs="宋体"/>
          <w:sz w:val="24"/>
          <w:szCs w:val="24"/>
        </w:rPr>
        <w:t xml:space="preserve"> </w:t>
      </w:r>
      <w:r>
        <w:rPr>
          <w:rFonts w:ascii="宋体" w:hAnsi="宋体" w:eastAsia="宋体" w:cs="宋体"/>
          <w:spacing w:val="-3"/>
          <w:sz w:val="24"/>
          <w:szCs w:val="24"/>
        </w:rPr>
        <w:t>有利于大气降水补给，地下水排泄方式主要以泉和地下迳流方式补给第四系松散</w:t>
      </w:r>
      <w:r>
        <w:rPr>
          <w:rFonts w:ascii="宋体" w:hAnsi="宋体" w:eastAsia="宋体" w:cs="宋体"/>
          <w:spacing w:val="1"/>
          <w:sz w:val="24"/>
          <w:szCs w:val="24"/>
        </w:rPr>
        <w:t xml:space="preserve"> </w:t>
      </w:r>
      <w:r>
        <w:rPr>
          <w:rFonts w:ascii="宋体" w:hAnsi="宋体" w:eastAsia="宋体" w:cs="宋体"/>
          <w:spacing w:val="-1"/>
          <w:sz w:val="24"/>
          <w:szCs w:val="24"/>
        </w:rPr>
        <w:t>岩类孔隙水和碎屑岩孔隙裂隙水，是区域地下水补给区。</w:t>
      </w:r>
    </w:p>
    <w:p w14:paraId="77DA220B">
      <w:pPr>
        <w:spacing w:before="3" w:line="359" w:lineRule="auto"/>
        <w:ind w:left="24" w:right="53" w:firstLine="478"/>
        <w:jc w:val="both"/>
        <w:rPr>
          <w:rFonts w:ascii="宋体" w:hAnsi="宋体" w:eastAsia="宋体" w:cs="宋体"/>
          <w:sz w:val="24"/>
          <w:szCs w:val="24"/>
        </w:rPr>
      </w:pPr>
      <w:r>
        <w:rPr>
          <w:rFonts w:ascii="宋体" w:hAnsi="宋体" w:eastAsia="宋体" w:cs="宋体"/>
          <w:spacing w:val="-3"/>
          <w:sz w:val="24"/>
          <w:szCs w:val="24"/>
        </w:rPr>
        <w:t>碎屑岩孔隙裂隙水由于含水层上部普遍存在隔水层，很难有垂向</w:t>
      </w:r>
      <w:r>
        <w:rPr>
          <w:rFonts w:ascii="宋体" w:hAnsi="宋体" w:eastAsia="宋体" w:cs="宋体"/>
          <w:spacing w:val="-4"/>
          <w:sz w:val="24"/>
          <w:szCs w:val="24"/>
        </w:rPr>
        <w:t>补给，地下</w:t>
      </w:r>
      <w:r>
        <w:rPr>
          <w:rFonts w:ascii="宋体" w:hAnsi="宋体" w:eastAsia="宋体" w:cs="宋体"/>
          <w:sz w:val="24"/>
          <w:szCs w:val="24"/>
        </w:rPr>
        <w:t xml:space="preserve"> </w:t>
      </w:r>
      <w:r>
        <w:rPr>
          <w:rFonts w:ascii="宋体" w:hAnsi="宋体" w:eastAsia="宋体" w:cs="宋体"/>
          <w:spacing w:val="-3"/>
          <w:sz w:val="24"/>
          <w:szCs w:val="24"/>
        </w:rPr>
        <w:t>水主要靠基岩裂隙水补给和侧向地下水径流补给，主要以地下水径流及人工开采</w:t>
      </w:r>
      <w:r>
        <w:rPr>
          <w:rFonts w:ascii="宋体" w:hAnsi="宋体" w:eastAsia="宋体" w:cs="宋体"/>
          <w:sz w:val="24"/>
          <w:szCs w:val="24"/>
        </w:rPr>
        <w:t xml:space="preserve"> </w:t>
      </w:r>
      <w:r>
        <w:rPr>
          <w:rFonts w:ascii="宋体" w:hAnsi="宋体" w:eastAsia="宋体" w:cs="宋体"/>
          <w:spacing w:val="-1"/>
          <w:sz w:val="24"/>
          <w:szCs w:val="24"/>
        </w:rPr>
        <w:t>方式排泄，是区域地下水补给、径流区。</w:t>
      </w:r>
    </w:p>
    <w:p w14:paraId="652C0ED9">
      <w:pPr>
        <w:spacing w:line="360" w:lineRule="auto"/>
        <w:ind w:left="23" w:firstLine="480"/>
        <w:jc w:val="both"/>
        <w:rPr>
          <w:rFonts w:ascii="宋体" w:hAnsi="宋体" w:eastAsia="宋体" w:cs="宋体"/>
          <w:sz w:val="24"/>
          <w:szCs w:val="24"/>
        </w:rPr>
      </w:pPr>
      <w:r>
        <w:rPr>
          <w:rFonts w:ascii="宋体" w:hAnsi="宋体" w:eastAsia="宋体" w:cs="宋体"/>
          <w:spacing w:val="-2"/>
          <w:sz w:val="24"/>
          <w:szCs w:val="24"/>
        </w:rPr>
        <w:t>第四系松散岩类孔隙水主要靠大气降水、河流和基岩裂隙水径流侧向补给。</w:t>
      </w:r>
      <w:r>
        <w:rPr>
          <w:rFonts w:ascii="宋体" w:hAnsi="宋体" w:eastAsia="宋体" w:cs="宋体"/>
          <w:spacing w:val="15"/>
          <w:sz w:val="24"/>
          <w:szCs w:val="24"/>
        </w:rPr>
        <w:t xml:space="preserve"> </w:t>
      </w:r>
      <w:r>
        <w:rPr>
          <w:rFonts w:ascii="宋体" w:hAnsi="宋体" w:eastAsia="宋体" w:cs="宋体"/>
          <w:spacing w:val="-1"/>
          <w:sz w:val="24"/>
          <w:szCs w:val="24"/>
        </w:rPr>
        <w:t>地下水得到补给后，向下游迳流，以蒸发、</w:t>
      </w:r>
      <w:r>
        <w:rPr>
          <w:rFonts w:ascii="宋体" w:hAnsi="宋体" w:eastAsia="宋体" w:cs="宋体"/>
          <w:spacing w:val="-2"/>
          <w:sz w:val="24"/>
          <w:szCs w:val="24"/>
        </w:rPr>
        <w:t>人工开采和地下水迳流的方式排泄，</w:t>
      </w:r>
      <w:r>
        <w:rPr>
          <w:rFonts w:ascii="宋体" w:hAnsi="宋体" w:eastAsia="宋体" w:cs="宋体"/>
          <w:sz w:val="24"/>
          <w:szCs w:val="24"/>
        </w:rPr>
        <w:t xml:space="preserve"> </w:t>
      </w:r>
      <w:r>
        <w:rPr>
          <w:rFonts w:ascii="宋体" w:hAnsi="宋体" w:eastAsia="宋体" w:cs="宋体"/>
          <w:spacing w:val="-1"/>
          <w:sz w:val="24"/>
          <w:szCs w:val="24"/>
        </w:rPr>
        <w:t>是区域地下水排泄区。</w:t>
      </w:r>
    </w:p>
    <w:p w14:paraId="655111FE">
      <w:pPr>
        <w:spacing w:before="1" w:line="217" w:lineRule="auto"/>
        <w:ind w:left="24"/>
        <w:outlineLvl w:val="3"/>
        <w:rPr>
          <w:rFonts w:ascii="宋体" w:hAnsi="宋体" w:eastAsia="宋体" w:cs="宋体"/>
          <w:sz w:val="24"/>
          <w:szCs w:val="24"/>
        </w:rPr>
      </w:pPr>
      <w:r>
        <w:rPr>
          <w:rFonts w:ascii="宋体" w:hAnsi="宋体" w:eastAsia="宋体" w:cs="宋体"/>
          <w:spacing w:val="-2"/>
          <w:sz w:val="24"/>
          <w:szCs w:val="24"/>
        </w:rPr>
        <w:t>8.2.1.3</w:t>
      </w:r>
      <w:r>
        <w:rPr>
          <w:rFonts w:ascii="宋体" w:hAnsi="宋体" w:eastAsia="宋体" w:cs="宋体"/>
          <w:spacing w:val="-40"/>
          <w:sz w:val="24"/>
          <w:szCs w:val="24"/>
        </w:rPr>
        <w:t xml:space="preserve"> </w:t>
      </w:r>
      <w:r>
        <w:rPr>
          <w:rFonts w:ascii="宋体" w:hAnsi="宋体" w:eastAsia="宋体" w:cs="宋体"/>
          <w:spacing w:val="-2"/>
          <w:sz w:val="24"/>
          <w:szCs w:val="24"/>
        </w:rPr>
        <w:t>评价区水文地质条件</w:t>
      </w:r>
    </w:p>
    <w:p w14:paraId="1505950C">
      <w:pPr>
        <w:spacing w:before="186" w:line="219" w:lineRule="auto"/>
        <w:ind w:left="507"/>
        <w:rPr>
          <w:rFonts w:ascii="宋体" w:hAnsi="宋体" w:eastAsia="宋体" w:cs="宋体"/>
          <w:sz w:val="24"/>
          <w:szCs w:val="24"/>
        </w:rPr>
      </w:pPr>
      <w:r>
        <w:rPr>
          <w:rFonts w:ascii="宋体" w:hAnsi="宋体" w:eastAsia="宋体" w:cs="宋体"/>
          <w:spacing w:val="-2"/>
          <w:sz w:val="24"/>
          <w:szCs w:val="24"/>
        </w:rPr>
        <w:t>一、含水层特征</w:t>
      </w:r>
    </w:p>
    <w:p w14:paraId="27FB5946">
      <w:pPr>
        <w:spacing w:before="183" w:line="360" w:lineRule="auto"/>
        <w:ind w:left="22" w:right="18" w:firstLine="480"/>
        <w:jc w:val="both"/>
        <w:rPr>
          <w:rFonts w:ascii="宋体" w:hAnsi="宋体" w:eastAsia="宋体" w:cs="宋体"/>
          <w:sz w:val="24"/>
          <w:szCs w:val="24"/>
        </w:rPr>
      </w:pPr>
      <w:r>
        <w:rPr>
          <w:rFonts w:ascii="宋体" w:hAnsi="宋体" w:eastAsia="宋体" w:cs="宋体"/>
          <w:spacing w:val="-3"/>
          <w:sz w:val="24"/>
          <w:szCs w:val="24"/>
        </w:rPr>
        <w:t>评价区位于丘陵及丘间洼地内，总体地势东北高西南低，丘间洼</w:t>
      </w:r>
      <w:r>
        <w:rPr>
          <w:rFonts w:ascii="宋体" w:hAnsi="宋体" w:eastAsia="宋体" w:cs="宋体"/>
          <w:spacing w:val="-4"/>
          <w:sz w:val="24"/>
          <w:szCs w:val="24"/>
        </w:rPr>
        <w:t>地内由于松</w:t>
      </w:r>
      <w:r>
        <w:rPr>
          <w:rFonts w:ascii="宋体" w:hAnsi="宋体" w:eastAsia="宋体" w:cs="宋体"/>
          <w:sz w:val="24"/>
          <w:szCs w:val="24"/>
        </w:rPr>
        <w:t xml:space="preserve"> </w:t>
      </w:r>
      <w:r>
        <w:rPr>
          <w:rFonts w:ascii="宋体" w:hAnsi="宋体" w:eastAsia="宋体" w:cs="宋体"/>
          <w:spacing w:val="-2"/>
          <w:sz w:val="24"/>
          <w:szCs w:val="24"/>
        </w:rPr>
        <w:t>散沉积物的存在，赋存第四系松散岩类孔隙水，西部丘间洼地第四系地层下部，</w:t>
      </w:r>
      <w:r>
        <w:rPr>
          <w:rFonts w:ascii="宋体" w:hAnsi="宋体" w:eastAsia="宋体" w:cs="宋体"/>
          <w:spacing w:val="2"/>
          <w:sz w:val="24"/>
          <w:szCs w:val="24"/>
        </w:rPr>
        <w:t xml:space="preserve"> </w:t>
      </w:r>
      <w:r>
        <w:rPr>
          <w:rFonts w:ascii="宋体" w:hAnsi="宋体" w:eastAsia="宋体" w:cs="宋体"/>
          <w:spacing w:val="-3"/>
          <w:sz w:val="24"/>
          <w:szCs w:val="24"/>
        </w:rPr>
        <w:t>地层以白垩系碎屑岩为主，赋存碎屑岩类孔隙裂隙水，丘陵地层以基岩为主，赋</w:t>
      </w:r>
      <w:r>
        <w:rPr>
          <w:rFonts w:ascii="宋体" w:hAnsi="宋体" w:eastAsia="宋体" w:cs="宋体"/>
          <w:spacing w:val="1"/>
          <w:sz w:val="24"/>
          <w:szCs w:val="24"/>
        </w:rPr>
        <w:t xml:space="preserve"> </w:t>
      </w:r>
      <w:r>
        <w:rPr>
          <w:rFonts w:ascii="宋体" w:hAnsi="宋体" w:eastAsia="宋体" w:cs="宋体"/>
          <w:spacing w:val="4"/>
          <w:sz w:val="24"/>
          <w:szCs w:val="24"/>
        </w:rPr>
        <w:t>存基岩裂隙水，含水层分布特征及平面富水性特征详见评价区水文地质图</w:t>
      </w:r>
      <w:r>
        <w:rPr>
          <w:rFonts w:ascii="宋体" w:hAnsi="宋体" w:eastAsia="宋体" w:cs="宋体"/>
          <w:spacing w:val="3"/>
          <w:sz w:val="24"/>
          <w:szCs w:val="24"/>
        </w:rPr>
        <w:t>（图</w:t>
      </w:r>
      <w:r>
        <w:rPr>
          <w:rFonts w:ascii="宋体" w:hAnsi="宋体" w:eastAsia="宋体" w:cs="宋体"/>
          <w:sz w:val="24"/>
          <w:szCs w:val="24"/>
        </w:rPr>
        <w:t xml:space="preserve"> </w:t>
      </w:r>
      <w:r>
        <w:rPr>
          <w:rFonts w:ascii="宋体" w:hAnsi="宋体" w:eastAsia="宋体" w:cs="宋体"/>
          <w:spacing w:val="-1"/>
          <w:sz w:val="24"/>
          <w:szCs w:val="24"/>
        </w:rPr>
        <w:t>8.2-2</w:t>
      </w:r>
      <w:r>
        <w:rPr>
          <w:rFonts w:ascii="宋体" w:hAnsi="宋体" w:eastAsia="宋体" w:cs="宋体"/>
          <w:spacing w:val="8"/>
          <w:sz w:val="24"/>
          <w:szCs w:val="24"/>
        </w:rPr>
        <w:t>），</w:t>
      </w:r>
      <w:r>
        <w:rPr>
          <w:rFonts w:ascii="宋体" w:hAnsi="宋体" w:eastAsia="宋体" w:cs="宋体"/>
          <w:spacing w:val="-1"/>
          <w:sz w:val="24"/>
          <w:szCs w:val="24"/>
        </w:rPr>
        <w:t>垂向分布特征详见评价区水文地质剖面图（图</w:t>
      </w:r>
      <w:r>
        <w:rPr>
          <w:rFonts w:ascii="宋体" w:hAnsi="宋体" w:eastAsia="宋体" w:cs="宋体"/>
          <w:spacing w:val="-49"/>
          <w:sz w:val="24"/>
          <w:szCs w:val="24"/>
        </w:rPr>
        <w:t xml:space="preserve"> </w:t>
      </w:r>
      <w:r>
        <w:rPr>
          <w:rFonts w:ascii="宋体" w:hAnsi="宋体" w:eastAsia="宋体" w:cs="宋体"/>
          <w:spacing w:val="-1"/>
          <w:sz w:val="24"/>
          <w:szCs w:val="24"/>
        </w:rPr>
        <w:t>8.2-3）。详述如下：</w:t>
      </w:r>
    </w:p>
    <w:p w14:paraId="1DF17A2E">
      <w:pPr>
        <w:spacing w:line="219" w:lineRule="auto"/>
        <w:ind w:left="521"/>
        <w:rPr>
          <w:rFonts w:ascii="宋体" w:hAnsi="宋体" w:eastAsia="宋体" w:cs="宋体"/>
          <w:sz w:val="24"/>
          <w:szCs w:val="24"/>
        </w:rPr>
      </w:pPr>
      <w:r>
        <w:rPr>
          <w:rFonts w:ascii="宋体" w:hAnsi="宋体" w:eastAsia="宋体" w:cs="宋体"/>
          <w:spacing w:val="-4"/>
          <w:sz w:val="24"/>
          <w:szCs w:val="24"/>
        </w:rPr>
        <w:t>1、基岩裂隙水</w:t>
      </w:r>
    </w:p>
    <w:p w14:paraId="24EC7405">
      <w:pPr>
        <w:spacing w:before="186" w:line="360" w:lineRule="auto"/>
        <w:ind w:left="23" w:right="53" w:firstLine="482"/>
        <w:rPr>
          <w:rFonts w:ascii="宋体" w:hAnsi="宋体" w:eastAsia="宋体" w:cs="宋体"/>
          <w:sz w:val="24"/>
          <w:szCs w:val="24"/>
        </w:rPr>
      </w:pPr>
      <w:r>
        <w:rPr>
          <w:rFonts w:ascii="宋体" w:hAnsi="宋体" w:eastAsia="宋体" w:cs="宋体"/>
          <w:spacing w:val="-3"/>
          <w:sz w:val="24"/>
          <w:szCs w:val="24"/>
        </w:rPr>
        <w:t>分布于低山丘陵区及丘间洼地东部第四系含水层下部。含</w:t>
      </w:r>
      <w:r>
        <w:rPr>
          <w:rFonts w:ascii="宋体" w:hAnsi="宋体" w:eastAsia="宋体" w:cs="宋体"/>
          <w:spacing w:val="-4"/>
          <w:sz w:val="24"/>
          <w:szCs w:val="24"/>
        </w:rPr>
        <w:t>水层岩性由二叠系</w:t>
      </w:r>
      <w:r>
        <w:rPr>
          <w:rFonts w:ascii="宋体" w:hAnsi="宋体" w:eastAsia="宋体" w:cs="宋体"/>
          <w:sz w:val="24"/>
          <w:szCs w:val="24"/>
        </w:rPr>
        <w:t xml:space="preserve"> </w:t>
      </w:r>
      <w:r>
        <w:rPr>
          <w:rFonts w:ascii="宋体" w:hAnsi="宋体" w:eastAsia="宋体" w:cs="宋体"/>
          <w:spacing w:val="-3"/>
          <w:sz w:val="24"/>
          <w:szCs w:val="24"/>
        </w:rPr>
        <w:t>下统（</w:t>
      </w:r>
      <w:r>
        <w:rPr>
          <w:rFonts w:ascii="Times New Roman" w:hAnsi="Times New Roman" w:eastAsia="Times New Roman" w:cs="Times New Roman"/>
          <w:spacing w:val="-3"/>
          <w:sz w:val="24"/>
          <w:szCs w:val="24"/>
        </w:rPr>
        <w:t>P</w:t>
      </w:r>
      <w:r>
        <w:rPr>
          <w:rFonts w:ascii="Times New Roman" w:hAnsi="Times New Roman" w:eastAsia="Times New Roman" w:cs="Times New Roman"/>
          <w:spacing w:val="-3"/>
          <w:position w:val="-1"/>
          <w:sz w:val="15"/>
          <w:szCs w:val="15"/>
        </w:rPr>
        <w:t xml:space="preserve">1 </w:t>
      </w:r>
      <w:r>
        <w:rPr>
          <w:rFonts w:ascii="宋体" w:hAnsi="宋体" w:eastAsia="宋体" w:cs="宋体"/>
          <w:spacing w:val="-3"/>
          <w:sz w:val="24"/>
          <w:szCs w:val="24"/>
        </w:rPr>
        <w:t>）变质砂砾岩、含砾长石砂岩、长石砂岩、长石细砂岩、粉砂岩、侏罗</w:t>
      </w:r>
      <w:r>
        <w:rPr>
          <w:rFonts w:ascii="宋体" w:hAnsi="宋体" w:eastAsia="宋体" w:cs="宋体"/>
          <w:spacing w:val="1"/>
          <w:sz w:val="24"/>
          <w:szCs w:val="24"/>
        </w:rPr>
        <w:t xml:space="preserve"> </w:t>
      </w:r>
      <w:r>
        <w:rPr>
          <w:rFonts w:ascii="宋体" w:hAnsi="宋体" w:eastAsia="宋体" w:cs="宋体"/>
          <w:spacing w:val="-2"/>
          <w:sz w:val="24"/>
          <w:szCs w:val="24"/>
        </w:rPr>
        <w:t>系上统（</w:t>
      </w:r>
      <w:r>
        <w:rPr>
          <w:rFonts w:ascii="Times New Roman" w:hAnsi="Times New Roman" w:eastAsia="Times New Roman" w:cs="Times New Roman"/>
          <w:spacing w:val="-2"/>
          <w:sz w:val="24"/>
          <w:szCs w:val="24"/>
        </w:rPr>
        <w:t>J</w:t>
      </w:r>
      <w:r>
        <w:rPr>
          <w:rFonts w:ascii="Times New Roman" w:hAnsi="Times New Roman" w:eastAsia="Times New Roman" w:cs="Times New Roman"/>
          <w:spacing w:val="-2"/>
          <w:position w:val="-1"/>
          <w:sz w:val="15"/>
          <w:szCs w:val="15"/>
        </w:rPr>
        <w:t xml:space="preserve">3 </w:t>
      </w:r>
      <w:r>
        <w:rPr>
          <w:rFonts w:ascii="宋体" w:hAnsi="宋体" w:eastAsia="宋体" w:cs="宋体"/>
          <w:spacing w:val="-2"/>
          <w:sz w:val="24"/>
          <w:szCs w:val="24"/>
        </w:rPr>
        <w:t>）凝灰质砂砾岩、岩屑晶屑凝灰岩、安山岩形成的风化裂隙带和构造</w:t>
      </w:r>
      <w:r>
        <w:rPr>
          <w:rFonts w:ascii="宋体" w:hAnsi="宋体" w:eastAsia="宋体" w:cs="宋体"/>
          <w:spacing w:val="4"/>
          <w:sz w:val="24"/>
          <w:szCs w:val="24"/>
        </w:rPr>
        <w:t xml:space="preserve"> </w:t>
      </w:r>
      <w:r>
        <w:rPr>
          <w:rFonts w:ascii="宋体" w:hAnsi="宋体" w:eastAsia="宋体" w:cs="宋体"/>
          <w:spacing w:val="-3"/>
          <w:sz w:val="24"/>
          <w:szCs w:val="24"/>
        </w:rPr>
        <w:t>裂隙带。含水层受基岩风化程度和断裂构造的控制，节理裂隙发育程度不均，经</w:t>
      </w:r>
      <w:r>
        <w:rPr>
          <w:rFonts w:ascii="宋体" w:hAnsi="宋体" w:eastAsia="宋体" w:cs="宋体"/>
          <w:spacing w:val="1"/>
          <w:sz w:val="24"/>
          <w:szCs w:val="24"/>
        </w:rPr>
        <w:t xml:space="preserve"> </w:t>
      </w:r>
      <w:r>
        <w:rPr>
          <w:rFonts w:ascii="宋体" w:hAnsi="宋体" w:eastAsia="宋体" w:cs="宋体"/>
          <w:sz w:val="24"/>
          <w:szCs w:val="24"/>
        </w:rPr>
        <w:t>统计区内二叠系下统碎屑岩平均裂隙率为</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26"/>
          <w:sz w:val="24"/>
          <w:szCs w:val="24"/>
        </w:rPr>
        <w:t xml:space="preserve"> </w:t>
      </w:r>
      <w:r>
        <w:rPr>
          <w:rFonts w:ascii="宋体" w:hAnsi="宋体" w:eastAsia="宋体" w:cs="宋体"/>
          <w:sz w:val="24"/>
          <w:szCs w:val="24"/>
        </w:rPr>
        <w:t>，侏罗</w:t>
      </w:r>
      <w:r>
        <w:rPr>
          <w:rFonts w:ascii="宋体" w:hAnsi="宋体" w:eastAsia="宋体" w:cs="宋体"/>
          <w:spacing w:val="-1"/>
          <w:sz w:val="24"/>
          <w:szCs w:val="24"/>
        </w:rPr>
        <w:t>系上统火山熔岩平均裂隙</w:t>
      </w:r>
      <w:r>
        <w:rPr>
          <w:rFonts w:ascii="宋体" w:hAnsi="宋体" w:eastAsia="宋体" w:cs="宋体"/>
          <w:sz w:val="24"/>
          <w:szCs w:val="24"/>
        </w:rPr>
        <w:t xml:space="preserve"> </w:t>
      </w:r>
      <w:r>
        <w:rPr>
          <w:rFonts w:ascii="宋体" w:hAnsi="宋体" w:eastAsia="宋体" w:cs="宋体"/>
          <w:spacing w:val="-3"/>
          <w:sz w:val="24"/>
          <w:szCs w:val="24"/>
        </w:rPr>
        <w:t>率为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，含水层厚度一般</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20-30m</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。裂隙潜水靠大气降水</w:t>
      </w:r>
      <w:r>
        <w:rPr>
          <w:rFonts w:ascii="宋体" w:hAnsi="宋体" w:eastAsia="宋体" w:cs="宋体"/>
          <w:spacing w:val="-4"/>
          <w:sz w:val="24"/>
          <w:szCs w:val="24"/>
        </w:rPr>
        <w:t>直接渗入补给，以泉</w:t>
      </w:r>
      <w:r>
        <w:rPr>
          <w:rFonts w:ascii="宋体" w:hAnsi="宋体" w:eastAsia="宋体" w:cs="宋体"/>
          <w:sz w:val="24"/>
          <w:szCs w:val="24"/>
        </w:rPr>
        <w:t xml:space="preserve"> </w:t>
      </w:r>
      <w:r>
        <w:rPr>
          <w:rFonts w:ascii="宋体" w:hAnsi="宋体" w:eastAsia="宋体" w:cs="宋体"/>
          <w:spacing w:val="-3"/>
          <w:sz w:val="24"/>
          <w:szCs w:val="24"/>
        </w:rPr>
        <w:t>水、地下径流的形式排泄至沟谷中补给第四系松散岩类孔隙水，或补给评价区西</w:t>
      </w:r>
    </w:p>
    <w:p w14:paraId="1D16AE93">
      <w:pPr>
        <w:spacing w:line="360" w:lineRule="auto"/>
        <w:rPr>
          <w:rFonts w:ascii="宋体" w:hAnsi="宋体" w:eastAsia="宋体" w:cs="宋体"/>
          <w:sz w:val="24"/>
          <w:szCs w:val="24"/>
        </w:rPr>
        <w:sectPr>
          <w:headerReference r:id="rId254" w:type="default"/>
          <w:footerReference r:id="rId255" w:type="default"/>
          <w:pgSz w:w="11906" w:h="16839"/>
          <w:pgMar w:top="1208" w:right="1745" w:bottom="1358" w:left="1785" w:header="825" w:footer="1195" w:gutter="0"/>
          <w:cols w:space="720" w:num="1"/>
        </w:sectPr>
      </w:pPr>
    </w:p>
    <w:p w14:paraId="70487E66">
      <w:pPr>
        <w:pStyle w:val="2"/>
        <w:spacing w:line="265" w:lineRule="auto"/>
      </w:pPr>
    </w:p>
    <w:p w14:paraId="31551EF0">
      <w:pPr>
        <w:spacing w:before="78" w:line="359" w:lineRule="auto"/>
        <w:ind w:left="22" w:right="13" w:firstLine="4"/>
        <w:jc w:val="both"/>
        <w:rPr>
          <w:rFonts w:ascii="宋体" w:hAnsi="宋体" w:eastAsia="宋体" w:cs="宋体"/>
          <w:sz w:val="24"/>
          <w:szCs w:val="24"/>
        </w:rPr>
      </w:pPr>
      <w:r>
        <w:rPr>
          <w:rFonts w:ascii="宋体" w:hAnsi="宋体" w:eastAsia="宋体" w:cs="宋体"/>
          <w:spacing w:val="-3"/>
          <w:sz w:val="24"/>
          <w:szCs w:val="24"/>
        </w:rPr>
        <w:t>北部第四系地层下部的碎屑岩类孔隙裂隙水。水位埋深随地形起伏变化，</w:t>
      </w:r>
      <w:r>
        <w:rPr>
          <w:rFonts w:ascii="宋体" w:hAnsi="宋体" w:eastAsia="宋体" w:cs="宋体"/>
          <w:spacing w:val="-4"/>
          <w:sz w:val="24"/>
          <w:szCs w:val="24"/>
        </w:rPr>
        <w:t>一般来</w:t>
      </w:r>
      <w:r>
        <w:rPr>
          <w:rFonts w:ascii="宋体" w:hAnsi="宋体" w:eastAsia="宋体" w:cs="宋体"/>
          <w:sz w:val="24"/>
          <w:szCs w:val="24"/>
        </w:rPr>
        <w:t xml:space="preserve"> </w:t>
      </w:r>
      <w:r>
        <w:rPr>
          <w:rFonts w:ascii="宋体" w:hAnsi="宋体" w:eastAsia="宋体" w:cs="宋体"/>
          <w:spacing w:val="-3"/>
          <w:sz w:val="24"/>
          <w:szCs w:val="24"/>
        </w:rPr>
        <w:t>说，地形高处水位埋藏深，地形低处水位埋藏浅，水量取决于基岩裂隙的发育程</w:t>
      </w:r>
      <w:r>
        <w:rPr>
          <w:rFonts w:ascii="宋体" w:hAnsi="宋体" w:eastAsia="宋体" w:cs="宋体"/>
          <w:spacing w:val="1"/>
          <w:sz w:val="24"/>
          <w:szCs w:val="24"/>
        </w:rPr>
        <w:t xml:space="preserve"> </w:t>
      </w:r>
      <w:r>
        <w:rPr>
          <w:rFonts w:ascii="宋体" w:hAnsi="宋体" w:eastAsia="宋体" w:cs="宋体"/>
          <w:spacing w:val="-5"/>
          <w:sz w:val="24"/>
          <w:szCs w:val="24"/>
        </w:rPr>
        <w:t>度，富水性较差，单井疏干水量（</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0"/>
          <w:sz w:val="24"/>
          <w:szCs w:val="24"/>
        </w:rPr>
        <w:t xml:space="preserve"> </w:t>
      </w:r>
      <w:r>
        <w:rPr>
          <w:rFonts w:ascii="宋体" w:hAnsi="宋体" w:eastAsia="宋体" w:cs="宋体"/>
          <w:spacing w:val="-5"/>
          <w:sz w:val="24"/>
          <w:szCs w:val="24"/>
        </w:rPr>
        <w:t>″</w:t>
      </w:r>
      <w:r>
        <w:rPr>
          <w:rFonts w:ascii="宋体" w:hAnsi="宋体" w:eastAsia="宋体" w:cs="宋体"/>
          <w:spacing w:val="-74"/>
          <w:sz w:val="24"/>
          <w:szCs w:val="24"/>
        </w:rPr>
        <w:t xml:space="preserve"> </w:t>
      </w:r>
      <w:r>
        <w:rPr>
          <w:rFonts w:ascii="宋体" w:hAnsi="宋体" w:eastAsia="宋体" w:cs="宋体"/>
          <w:spacing w:val="-5"/>
          <w:sz w:val="24"/>
          <w:szCs w:val="24"/>
        </w:rPr>
        <w:t>口径，</w:t>
      </w:r>
      <w:r>
        <w:rPr>
          <w:rFonts w:ascii="Times New Roman" w:hAnsi="Times New Roman" w:eastAsia="Times New Roman" w:cs="Times New Roman"/>
          <w:spacing w:val="-5"/>
          <w:sz w:val="24"/>
          <w:szCs w:val="24"/>
        </w:rPr>
        <w:t>5m</w:t>
      </w:r>
      <w:r>
        <w:rPr>
          <w:rFonts w:ascii="Times New Roman" w:hAnsi="Times New Roman" w:eastAsia="Times New Roman" w:cs="Times New Roman"/>
          <w:spacing w:val="26"/>
          <w:w w:val="101"/>
          <w:sz w:val="24"/>
          <w:szCs w:val="24"/>
        </w:rPr>
        <w:t xml:space="preserve"> </w:t>
      </w:r>
      <w:r>
        <w:rPr>
          <w:rFonts w:ascii="宋体" w:hAnsi="宋体" w:eastAsia="宋体" w:cs="宋体"/>
          <w:spacing w:val="-5"/>
          <w:sz w:val="24"/>
          <w:szCs w:val="24"/>
        </w:rPr>
        <w:t>降深）一般小于</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，泉流</w:t>
      </w:r>
      <w:r>
        <w:rPr>
          <w:rFonts w:ascii="宋体" w:hAnsi="宋体" w:eastAsia="宋体" w:cs="宋体"/>
          <w:sz w:val="24"/>
          <w:szCs w:val="24"/>
        </w:rPr>
        <w:t xml:space="preserve"> </w:t>
      </w:r>
      <w:r>
        <w:rPr>
          <w:rFonts w:ascii="宋体" w:hAnsi="宋体" w:eastAsia="宋体" w:cs="宋体"/>
          <w:spacing w:val="-11"/>
          <w:sz w:val="24"/>
          <w:szCs w:val="24"/>
        </w:rPr>
        <w:t>量</w:t>
      </w:r>
      <w:r>
        <w:rPr>
          <w:rFonts w:ascii="宋体" w:hAnsi="宋体" w:eastAsia="宋体" w:cs="宋体"/>
          <w:spacing w:val="-42"/>
          <w:sz w:val="24"/>
          <w:szCs w:val="24"/>
        </w:rPr>
        <w:t xml:space="preserve"> </w:t>
      </w:r>
      <w:r>
        <w:rPr>
          <w:rFonts w:ascii="宋体" w:hAnsi="宋体" w:eastAsia="宋体" w:cs="宋体"/>
          <w:spacing w:val="-11"/>
          <w:sz w:val="24"/>
          <w:szCs w:val="24"/>
        </w:rPr>
        <w:t>小</w:t>
      </w:r>
      <w:r>
        <w:rPr>
          <w:rFonts w:ascii="宋体" w:hAnsi="宋体" w:eastAsia="宋体" w:cs="宋体"/>
          <w:spacing w:val="-44"/>
          <w:sz w:val="24"/>
          <w:szCs w:val="24"/>
        </w:rPr>
        <w:t xml:space="preserve"> </w:t>
      </w:r>
      <w:r>
        <w:rPr>
          <w:rFonts w:ascii="宋体" w:hAnsi="宋体" w:eastAsia="宋体" w:cs="宋体"/>
          <w:spacing w:val="-11"/>
          <w:sz w:val="24"/>
          <w:szCs w:val="24"/>
        </w:rPr>
        <w:t>于</w:t>
      </w:r>
      <w:r>
        <w:rPr>
          <w:rFonts w:ascii="宋体" w:hAnsi="宋体" w:eastAsia="宋体" w:cs="宋体"/>
          <w:spacing w:val="28"/>
          <w:sz w:val="24"/>
          <w:szCs w:val="24"/>
        </w:rPr>
        <w:t xml:space="preserve"> </w:t>
      </w:r>
      <w:r>
        <w:rPr>
          <w:rFonts w:ascii="Times New Roman" w:hAnsi="Times New Roman" w:eastAsia="Times New Roman" w:cs="Times New Roman"/>
          <w:spacing w:val="-11"/>
          <w:sz w:val="24"/>
          <w:szCs w:val="24"/>
        </w:rPr>
        <w:t>1.24L/s</w:t>
      </w:r>
      <w:r>
        <w:rPr>
          <w:rFonts w:ascii="Times New Roman" w:hAnsi="Times New Roman" w:eastAsia="Times New Roman" w:cs="Times New Roman"/>
          <w:spacing w:val="34"/>
          <w:w w:val="101"/>
          <w:sz w:val="24"/>
          <w:szCs w:val="24"/>
        </w:rPr>
        <w:t xml:space="preserve"> </w:t>
      </w:r>
      <w:r>
        <w:rPr>
          <w:rFonts w:ascii="宋体" w:hAnsi="宋体" w:eastAsia="宋体" w:cs="宋体"/>
          <w:spacing w:val="-11"/>
          <w:sz w:val="24"/>
          <w:szCs w:val="24"/>
        </w:rPr>
        <w:t>，</w:t>
      </w:r>
      <w:r>
        <w:rPr>
          <w:rFonts w:ascii="宋体" w:hAnsi="宋体" w:eastAsia="宋体" w:cs="宋体"/>
          <w:spacing w:val="-46"/>
          <w:sz w:val="24"/>
          <w:szCs w:val="24"/>
        </w:rPr>
        <w:t xml:space="preserve"> </w:t>
      </w:r>
      <w:r>
        <w:rPr>
          <w:rFonts w:ascii="宋体" w:hAnsi="宋体" w:eastAsia="宋体" w:cs="宋体"/>
          <w:spacing w:val="-11"/>
          <w:sz w:val="24"/>
          <w:szCs w:val="24"/>
        </w:rPr>
        <w:t>水</w:t>
      </w:r>
      <w:r>
        <w:rPr>
          <w:rFonts w:ascii="宋体" w:hAnsi="宋体" w:eastAsia="宋体" w:cs="宋体"/>
          <w:spacing w:val="-47"/>
          <w:sz w:val="24"/>
          <w:szCs w:val="24"/>
        </w:rPr>
        <w:t xml:space="preserve"> </w:t>
      </w:r>
      <w:r>
        <w:rPr>
          <w:rFonts w:ascii="宋体" w:hAnsi="宋体" w:eastAsia="宋体" w:cs="宋体"/>
          <w:spacing w:val="-11"/>
          <w:sz w:val="24"/>
          <w:szCs w:val="24"/>
        </w:rPr>
        <w:t>质</w:t>
      </w:r>
      <w:r>
        <w:rPr>
          <w:rFonts w:ascii="宋体" w:hAnsi="宋体" w:eastAsia="宋体" w:cs="宋体"/>
          <w:spacing w:val="-51"/>
          <w:sz w:val="24"/>
          <w:szCs w:val="24"/>
        </w:rPr>
        <w:t xml:space="preserve"> </w:t>
      </w:r>
      <w:r>
        <w:rPr>
          <w:rFonts w:ascii="宋体" w:hAnsi="宋体" w:eastAsia="宋体" w:cs="宋体"/>
          <w:spacing w:val="-11"/>
          <w:sz w:val="24"/>
          <w:szCs w:val="24"/>
        </w:rPr>
        <w:t>较</w:t>
      </w:r>
      <w:r>
        <w:rPr>
          <w:rFonts w:ascii="宋体" w:hAnsi="宋体" w:eastAsia="宋体" w:cs="宋体"/>
          <w:spacing w:val="-48"/>
          <w:sz w:val="24"/>
          <w:szCs w:val="24"/>
        </w:rPr>
        <w:t xml:space="preserve"> </w:t>
      </w:r>
      <w:r>
        <w:rPr>
          <w:rFonts w:ascii="宋体" w:hAnsi="宋体" w:eastAsia="宋体" w:cs="宋体"/>
          <w:spacing w:val="-11"/>
          <w:sz w:val="24"/>
          <w:szCs w:val="24"/>
        </w:rPr>
        <w:t>好</w:t>
      </w:r>
      <w:r>
        <w:rPr>
          <w:rFonts w:ascii="宋体" w:hAnsi="宋体" w:eastAsia="宋体" w:cs="宋体"/>
          <w:spacing w:val="-28"/>
          <w:sz w:val="24"/>
          <w:szCs w:val="24"/>
        </w:rPr>
        <w:t xml:space="preserve"> </w:t>
      </w:r>
      <w:r>
        <w:rPr>
          <w:rFonts w:ascii="宋体" w:hAnsi="宋体" w:eastAsia="宋体" w:cs="宋体"/>
          <w:spacing w:val="-11"/>
          <w:sz w:val="24"/>
          <w:szCs w:val="24"/>
        </w:rPr>
        <w:t>，</w:t>
      </w:r>
      <w:r>
        <w:rPr>
          <w:rFonts w:ascii="宋体" w:hAnsi="宋体" w:eastAsia="宋体" w:cs="宋体"/>
          <w:spacing w:val="-50"/>
          <w:sz w:val="24"/>
          <w:szCs w:val="24"/>
        </w:rPr>
        <w:t xml:space="preserve"> </w:t>
      </w:r>
      <w:r>
        <w:rPr>
          <w:rFonts w:ascii="宋体" w:hAnsi="宋体" w:eastAsia="宋体" w:cs="宋体"/>
          <w:spacing w:val="-11"/>
          <w:sz w:val="24"/>
          <w:szCs w:val="24"/>
        </w:rPr>
        <w:t>矿</w:t>
      </w:r>
      <w:r>
        <w:rPr>
          <w:rFonts w:ascii="宋体" w:hAnsi="宋体" w:eastAsia="宋体" w:cs="宋体"/>
          <w:spacing w:val="-47"/>
          <w:sz w:val="24"/>
          <w:szCs w:val="24"/>
        </w:rPr>
        <w:t xml:space="preserve"> </w:t>
      </w:r>
      <w:r>
        <w:rPr>
          <w:rFonts w:ascii="宋体" w:hAnsi="宋体" w:eastAsia="宋体" w:cs="宋体"/>
          <w:spacing w:val="-11"/>
          <w:sz w:val="24"/>
          <w:szCs w:val="24"/>
        </w:rPr>
        <w:t>化</w:t>
      </w:r>
      <w:r>
        <w:rPr>
          <w:rFonts w:ascii="宋体" w:hAnsi="宋体" w:eastAsia="宋体" w:cs="宋体"/>
          <w:spacing w:val="-51"/>
          <w:sz w:val="24"/>
          <w:szCs w:val="24"/>
        </w:rPr>
        <w:t xml:space="preserve"> </w:t>
      </w:r>
      <w:r>
        <w:rPr>
          <w:rFonts w:ascii="宋体" w:hAnsi="宋体" w:eastAsia="宋体" w:cs="宋体"/>
          <w:spacing w:val="-11"/>
          <w:sz w:val="24"/>
          <w:szCs w:val="24"/>
        </w:rPr>
        <w:t>度</w:t>
      </w:r>
      <w:r>
        <w:rPr>
          <w:rFonts w:ascii="宋体" w:hAnsi="宋体" w:eastAsia="宋体" w:cs="宋体"/>
          <w:spacing w:val="-45"/>
          <w:sz w:val="24"/>
          <w:szCs w:val="24"/>
        </w:rPr>
        <w:t xml:space="preserve"> </w:t>
      </w:r>
      <w:r>
        <w:rPr>
          <w:rFonts w:ascii="宋体" w:hAnsi="宋体" w:eastAsia="宋体" w:cs="宋体"/>
          <w:spacing w:val="-11"/>
          <w:sz w:val="24"/>
          <w:szCs w:val="24"/>
        </w:rPr>
        <w:t>一</w:t>
      </w:r>
      <w:r>
        <w:rPr>
          <w:rFonts w:ascii="宋体" w:hAnsi="宋体" w:eastAsia="宋体" w:cs="宋体"/>
          <w:spacing w:val="-49"/>
          <w:sz w:val="24"/>
          <w:szCs w:val="24"/>
        </w:rPr>
        <w:t xml:space="preserve"> </w:t>
      </w:r>
      <w:r>
        <w:rPr>
          <w:rFonts w:ascii="宋体" w:hAnsi="宋体" w:eastAsia="宋体" w:cs="宋体"/>
          <w:spacing w:val="-11"/>
          <w:sz w:val="24"/>
          <w:szCs w:val="24"/>
        </w:rPr>
        <w:t>般</w:t>
      </w:r>
      <w:r>
        <w:rPr>
          <w:rFonts w:ascii="宋体" w:hAnsi="宋体" w:eastAsia="宋体" w:cs="宋体"/>
          <w:spacing w:val="-42"/>
          <w:sz w:val="24"/>
          <w:szCs w:val="24"/>
        </w:rPr>
        <w:t xml:space="preserve"> </w:t>
      </w:r>
      <w:r>
        <w:rPr>
          <w:rFonts w:ascii="宋体" w:hAnsi="宋体" w:eastAsia="宋体" w:cs="宋体"/>
          <w:spacing w:val="-11"/>
          <w:sz w:val="24"/>
          <w:szCs w:val="24"/>
        </w:rPr>
        <w:t>小</w:t>
      </w:r>
      <w:r>
        <w:rPr>
          <w:rFonts w:ascii="宋体" w:hAnsi="宋体" w:eastAsia="宋体" w:cs="宋体"/>
          <w:spacing w:val="-44"/>
          <w:sz w:val="24"/>
          <w:szCs w:val="24"/>
        </w:rPr>
        <w:t xml:space="preserve"> </w:t>
      </w:r>
      <w:r>
        <w:rPr>
          <w:rFonts w:ascii="宋体" w:hAnsi="宋体" w:eastAsia="宋体" w:cs="宋体"/>
          <w:spacing w:val="-11"/>
          <w:sz w:val="24"/>
          <w:szCs w:val="24"/>
        </w:rPr>
        <w:t>于</w:t>
      </w:r>
      <w:r>
        <w:rPr>
          <w:rFonts w:ascii="宋体" w:hAnsi="宋体" w:eastAsia="宋体" w:cs="宋体"/>
          <w:spacing w:val="28"/>
          <w:sz w:val="24"/>
          <w:szCs w:val="24"/>
        </w:rPr>
        <w:t xml:space="preserve"> </w:t>
      </w:r>
      <w:r>
        <w:rPr>
          <w:rFonts w:ascii="Times New Roman" w:hAnsi="Times New Roman" w:eastAsia="Times New Roman" w:cs="Times New Roman"/>
          <w:spacing w:val="-11"/>
          <w:sz w:val="24"/>
          <w:szCs w:val="24"/>
        </w:rPr>
        <w:t>1g/L</w:t>
      </w:r>
      <w:r>
        <w:rPr>
          <w:rFonts w:ascii="Times New Roman" w:hAnsi="Times New Roman" w:eastAsia="Times New Roman" w:cs="Times New Roman"/>
          <w:spacing w:val="34"/>
          <w:sz w:val="24"/>
          <w:szCs w:val="24"/>
        </w:rPr>
        <w:t xml:space="preserve"> </w:t>
      </w:r>
      <w:r>
        <w:rPr>
          <w:rFonts w:ascii="宋体" w:hAnsi="宋体" w:eastAsia="宋体" w:cs="宋体"/>
          <w:spacing w:val="-12"/>
          <w:sz w:val="24"/>
          <w:szCs w:val="24"/>
        </w:rPr>
        <w:t>，</w:t>
      </w:r>
      <w:r>
        <w:rPr>
          <w:rFonts w:ascii="宋体" w:hAnsi="宋体" w:eastAsia="宋体" w:cs="宋体"/>
          <w:spacing w:val="-46"/>
          <w:sz w:val="24"/>
          <w:szCs w:val="24"/>
        </w:rPr>
        <w:t xml:space="preserve"> </w:t>
      </w:r>
      <w:r>
        <w:rPr>
          <w:rFonts w:ascii="宋体" w:hAnsi="宋体" w:eastAsia="宋体" w:cs="宋体"/>
          <w:spacing w:val="-12"/>
          <w:sz w:val="24"/>
          <w:szCs w:val="24"/>
        </w:rPr>
        <w:t>水</w:t>
      </w:r>
      <w:r>
        <w:rPr>
          <w:rFonts w:ascii="宋体" w:hAnsi="宋体" w:eastAsia="宋体" w:cs="宋体"/>
          <w:spacing w:val="-47"/>
          <w:sz w:val="24"/>
          <w:szCs w:val="24"/>
        </w:rPr>
        <w:t xml:space="preserve"> </w:t>
      </w:r>
      <w:r>
        <w:rPr>
          <w:rFonts w:ascii="宋体" w:hAnsi="宋体" w:eastAsia="宋体" w:cs="宋体"/>
          <w:spacing w:val="-12"/>
          <w:sz w:val="24"/>
          <w:szCs w:val="24"/>
        </w:rPr>
        <w:t>化</w:t>
      </w:r>
      <w:r>
        <w:rPr>
          <w:rFonts w:ascii="宋体" w:hAnsi="宋体" w:eastAsia="宋体" w:cs="宋体"/>
          <w:spacing w:val="-46"/>
          <w:sz w:val="24"/>
          <w:szCs w:val="24"/>
        </w:rPr>
        <w:t xml:space="preserve"> </w:t>
      </w:r>
      <w:r>
        <w:rPr>
          <w:rFonts w:ascii="宋体" w:hAnsi="宋体" w:eastAsia="宋体" w:cs="宋体"/>
          <w:spacing w:val="-12"/>
          <w:sz w:val="24"/>
          <w:szCs w:val="24"/>
        </w:rPr>
        <w:t>学</w:t>
      </w:r>
      <w:r>
        <w:rPr>
          <w:rFonts w:ascii="宋体" w:hAnsi="宋体" w:eastAsia="宋体" w:cs="宋体"/>
          <w:spacing w:val="-48"/>
          <w:sz w:val="24"/>
          <w:szCs w:val="24"/>
        </w:rPr>
        <w:t xml:space="preserve"> </w:t>
      </w:r>
      <w:r>
        <w:rPr>
          <w:rFonts w:ascii="宋体" w:hAnsi="宋体" w:eastAsia="宋体" w:cs="宋体"/>
          <w:spacing w:val="-12"/>
          <w:sz w:val="24"/>
          <w:szCs w:val="24"/>
        </w:rPr>
        <w:t>类</w:t>
      </w:r>
      <w:r>
        <w:rPr>
          <w:rFonts w:ascii="宋体" w:hAnsi="宋体" w:eastAsia="宋体" w:cs="宋体"/>
          <w:spacing w:val="-41"/>
          <w:sz w:val="24"/>
          <w:szCs w:val="24"/>
        </w:rPr>
        <w:t xml:space="preserve"> </w:t>
      </w:r>
      <w:r>
        <w:rPr>
          <w:rFonts w:ascii="宋体" w:hAnsi="宋体" w:eastAsia="宋体" w:cs="宋体"/>
          <w:spacing w:val="-12"/>
          <w:sz w:val="24"/>
          <w:szCs w:val="24"/>
        </w:rPr>
        <w:t>型</w:t>
      </w:r>
      <w:r>
        <w:rPr>
          <w:rFonts w:ascii="宋体" w:hAnsi="宋体" w:eastAsia="宋体" w:cs="宋体"/>
          <w:spacing w:val="-47"/>
          <w:sz w:val="24"/>
          <w:szCs w:val="24"/>
        </w:rPr>
        <w:t xml:space="preserve"> </w:t>
      </w:r>
      <w:r>
        <w:rPr>
          <w:rFonts w:ascii="宋体" w:hAnsi="宋体" w:eastAsia="宋体" w:cs="宋体"/>
          <w:spacing w:val="-12"/>
          <w:sz w:val="24"/>
          <w:szCs w:val="24"/>
        </w:rPr>
        <w:t>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4</w:t>
      </w:r>
      <w:r>
        <w:rPr>
          <w:rFonts w:ascii="Times New Roman" w:hAnsi="Times New Roman" w:eastAsia="Times New Roman" w:cs="Times New Roman"/>
          <w:spacing w:val="9"/>
          <w:w w:val="102"/>
          <w:position w:val="-1"/>
          <w:sz w:val="15"/>
          <w:szCs w:val="15"/>
        </w:rPr>
        <w:t xml:space="preserve">  </w:t>
      </w:r>
      <w:r>
        <w:rPr>
          <w:rFonts w:ascii="宋体" w:hAnsi="宋体" w:eastAsia="宋体" w:cs="宋体"/>
          <w:spacing w:val="-19"/>
          <w:sz w:val="24"/>
          <w:szCs w:val="24"/>
        </w:rPr>
        <w:t>·</w:t>
      </w:r>
      <w:r>
        <w:rPr>
          <w:rFonts w:ascii="Times New Roman" w:hAnsi="Times New Roman" w:eastAsia="Times New Roman" w:cs="Times New Roman"/>
          <w:spacing w:val="-19"/>
          <w:sz w:val="24"/>
          <w:szCs w:val="24"/>
        </w:rPr>
        <w:t>Cl-Mg</w:t>
      </w:r>
      <w:r>
        <w:rPr>
          <w:rFonts w:ascii="Times New Roman" w:hAnsi="Times New Roman" w:eastAsia="Times New Roman" w:cs="Times New Roman"/>
          <w:spacing w:val="32"/>
          <w:sz w:val="24"/>
          <w:szCs w:val="24"/>
        </w:rPr>
        <w:t xml:space="preserve"> </w:t>
      </w:r>
      <w:r>
        <w:rPr>
          <w:rFonts w:ascii="宋体" w:hAnsi="宋体" w:eastAsia="宋体" w:cs="宋体"/>
          <w:spacing w:val="-19"/>
          <w:sz w:val="24"/>
          <w:szCs w:val="24"/>
        </w:rPr>
        <w:t>·</w:t>
      </w:r>
      <w:r>
        <w:rPr>
          <w:rFonts w:ascii="Times New Roman" w:hAnsi="Times New Roman" w:eastAsia="Times New Roman" w:cs="Times New Roman"/>
          <w:spacing w:val="-19"/>
          <w:sz w:val="24"/>
          <w:szCs w:val="24"/>
        </w:rPr>
        <w:t>Ca</w:t>
      </w:r>
      <w:r>
        <w:rPr>
          <w:rFonts w:ascii="Times New Roman" w:hAnsi="Times New Roman" w:eastAsia="Times New Roman" w:cs="Times New Roman"/>
          <w:spacing w:val="29"/>
          <w:sz w:val="24"/>
          <w:szCs w:val="24"/>
        </w:rPr>
        <w:t xml:space="preserve"> </w:t>
      </w:r>
      <w:r>
        <w:rPr>
          <w:rFonts w:ascii="宋体" w:hAnsi="宋体" w:eastAsia="宋体" w:cs="宋体"/>
          <w:spacing w:val="-19"/>
          <w:sz w:val="24"/>
          <w:szCs w:val="24"/>
        </w:rPr>
        <w:t>·</w:t>
      </w:r>
      <w:r>
        <w:rPr>
          <w:rFonts w:ascii="Times New Roman" w:hAnsi="Times New Roman" w:eastAsia="Times New Roman" w:cs="Times New Roman"/>
          <w:spacing w:val="-19"/>
          <w:sz w:val="24"/>
          <w:szCs w:val="24"/>
        </w:rPr>
        <w:t>Na</w:t>
      </w:r>
      <w:r>
        <w:rPr>
          <w:rFonts w:ascii="宋体" w:hAnsi="宋体" w:eastAsia="宋体" w:cs="宋体"/>
          <w:spacing w:val="-19"/>
          <w:sz w:val="24"/>
          <w:szCs w:val="24"/>
        </w:rPr>
        <w:t>、</w:t>
      </w:r>
      <w:r>
        <w:rPr>
          <w:rFonts w:ascii="Times New Roman" w:hAnsi="Times New Roman" w:eastAsia="Times New Roman" w:cs="Times New Roman"/>
          <w:spacing w:val="-19"/>
          <w:sz w:val="24"/>
          <w:szCs w:val="24"/>
        </w:rPr>
        <w:t>HCO</w:t>
      </w:r>
      <w:r>
        <w:rPr>
          <w:rFonts w:ascii="Times New Roman" w:hAnsi="Times New Roman" w:eastAsia="Times New Roman" w:cs="Times New Roman"/>
          <w:spacing w:val="14"/>
          <w:position w:val="-1"/>
          <w:sz w:val="15"/>
          <w:szCs w:val="15"/>
        </w:rPr>
        <w:t>3</w:t>
      </w:r>
      <w:r>
        <w:rPr>
          <w:rFonts w:ascii="Times New Roman" w:hAnsi="Times New Roman" w:eastAsia="Times New Roman" w:cs="Times New Roman"/>
          <w:spacing w:val="9"/>
          <w:position w:val="-1"/>
          <w:sz w:val="15"/>
          <w:szCs w:val="15"/>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Cl</w:t>
      </w:r>
      <w:r>
        <w:rPr>
          <w:rFonts w:ascii="Times New Roman" w:hAnsi="Times New Roman" w:eastAsia="Times New Roman" w:cs="Times New Roman"/>
          <w:spacing w:val="30"/>
          <w:sz w:val="24"/>
          <w:szCs w:val="24"/>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SO</w:t>
      </w:r>
      <w:r>
        <w:rPr>
          <w:rFonts w:ascii="Times New Roman" w:hAnsi="Times New Roman" w:eastAsia="Times New Roman" w:cs="Times New Roman"/>
          <w:spacing w:val="2"/>
          <w:sz w:val="15"/>
          <w:szCs w:val="15"/>
        </w:rPr>
        <w:t>4</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w w:val="101"/>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Mg</w:t>
      </w:r>
      <w:r>
        <w:rPr>
          <w:rFonts w:ascii="Times New Roman" w:hAnsi="Times New Roman" w:eastAsia="Times New Roman" w:cs="Times New Roman"/>
          <w:spacing w:val="32"/>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Na</w:t>
      </w:r>
      <w:r>
        <w:rPr>
          <w:rFonts w:ascii="Times New Roman" w:hAnsi="Times New Roman" w:eastAsia="Times New Roman" w:cs="Times New Roman"/>
          <w:spacing w:val="18"/>
          <w:sz w:val="24"/>
          <w:szCs w:val="24"/>
        </w:rPr>
        <w:t xml:space="preserve"> </w:t>
      </w:r>
      <w:r>
        <w:rPr>
          <w:rFonts w:ascii="宋体" w:hAnsi="宋体" w:eastAsia="宋体" w:cs="宋体"/>
          <w:spacing w:val="-13"/>
          <w:sz w:val="24"/>
          <w:szCs w:val="24"/>
        </w:rPr>
        <w:t>型水。丘陵区是评价区地</w:t>
      </w:r>
      <w:r>
        <w:rPr>
          <w:rFonts w:ascii="宋体" w:hAnsi="宋体" w:eastAsia="宋体" w:cs="宋体"/>
          <w:sz w:val="24"/>
          <w:szCs w:val="24"/>
        </w:rPr>
        <w:t xml:space="preserve"> </w:t>
      </w:r>
      <w:r>
        <w:rPr>
          <w:rFonts w:ascii="宋体" w:hAnsi="宋体" w:eastAsia="宋体" w:cs="宋体"/>
          <w:spacing w:val="-2"/>
          <w:sz w:val="24"/>
          <w:szCs w:val="24"/>
        </w:rPr>
        <w:t>下水的补给区。</w:t>
      </w:r>
    </w:p>
    <w:p w14:paraId="48E1C844">
      <w:pPr>
        <w:spacing w:before="8" w:line="219" w:lineRule="auto"/>
        <w:ind w:left="506"/>
        <w:rPr>
          <w:rFonts w:ascii="宋体" w:hAnsi="宋体" w:eastAsia="宋体" w:cs="宋体"/>
          <w:sz w:val="24"/>
          <w:szCs w:val="24"/>
        </w:rPr>
      </w:pPr>
      <w:r>
        <w:rPr>
          <w:rFonts w:ascii="宋体" w:hAnsi="宋体" w:eastAsia="宋体" w:cs="宋体"/>
          <w:spacing w:val="-2"/>
          <w:sz w:val="24"/>
          <w:szCs w:val="24"/>
        </w:rPr>
        <w:t>2、碎屑岩类孔隙裂隙水</w:t>
      </w:r>
    </w:p>
    <w:p w14:paraId="55CB5BA7">
      <w:pPr>
        <w:spacing w:before="186" w:line="359" w:lineRule="auto"/>
        <w:ind w:left="23" w:right="13" w:firstLine="482"/>
        <w:rPr>
          <w:rFonts w:ascii="宋体" w:hAnsi="宋体" w:eastAsia="宋体" w:cs="宋体"/>
          <w:sz w:val="24"/>
          <w:szCs w:val="24"/>
        </w:rPr>
      </w:pPr>
      <w:r>
        <w:rPr>
          <w:rFonts w:ascii="宋体" w:hAnsi="宋体" w:eastAsia="宋体" w:cs="宋体"/>
          <w:spacing w:val="-3"/>
          <w:sz w:val="24"/>
          <w:szCs w:val="24"/>
        </w:rPr>
        <w:t>分布于评价区北部及中部及西部第四系地层下部，含水层</w:t>
      </w:r>
      <w:r>
        <w:rPr>
          <w:rFonts w:ascii="宋体" w:hAnsi="宋体" w:eastAsia="宋体" w:cs="宋体"/>
          <w:spacing w:val="-4"/>
          <w:sz w:val="24"/>
          <w:szCs w:val="24"/>
        </w:rPr>
        <w:t>岩性为白垩系玄武</w:t>
      </w:r>
      <w:r>
        <w:rPr>
          <w:rFonts w:ascii="宋体" w:hAnsi="宋体" w:eastAsia="宋体" w:cs="宋体"/>
          <w:sz w:val="24"/>
          <w:szCs w:val="24"/>
        </w:rPr>
        <w:t xml:space="preserve"> </w:t>
      </w:r>
      <w:r>
        <w:rPr>
          <w:rFonts w:ascii="宋体" w:hAnsi="宋体" w:eastAsia="宋体" w:cs="宋体"/>
          <w:spacing w:val="-3"/>
          <w:sz w:val="24"/>
          <w:szCs w:val="24"/>
        </w:rPr>
        <w:t>岩、新近系上统砂岩，孔隙、裂隙发育，含水透水性较好，由于上部为新近系上</w:t>
      </w:r>
      <w:r>
        <w:rPr>
          <w:rFonts w:ascii="宋体" w:hAnsi="宋体" w:eastAsia="宋体" w:cs="宋体"/>
          <w:spacing w:val="1"/>
          <w:sz w:val="24"/>
          <w:szCs w:val="24"/>
        </w:rPr>
        <w:t xml:space="preserve"> </w:t>
      </w:r>
      <w:r>
        <w:rPr>
          <w:rFonts w:ascii="宋体" w:hAnsi="宋体" w:eastAsia="宋体" w:cs="宋体"/>
          <w:spacing w:val="-3"/>
          <w:sz w:val="24"/>
          <w:szCs w:val="24"/>
        </w:rPr>
        <w:t>统泥岩与第四系岩性为粉质粘土，分布均匀稳定，形成稳定的隔水层，本区碎屑</w:t>
      </w:r>
      <w:r>
        <w:rPr>
          <w:rFonts w:ascii="宋体" w:hAnsi="宋体" w:eastAsia="宋体" w:cs="宋体"/>
          <w:spacing w:val="1"/>
          <w:sz w:val="24"/>
          <w:szCs w:val="24"/>
        </w:rPr>
        <w:t xml:space="preserve"> </w:t>
      </w:r>
      <w:r>
        <w:rPr>
          <w:rFonts w:ascii="宋体" w:hAnsi="宋体" w:eastAsia="宋体" w:cs="宋体"/>
          <w:spacing w:val="-4"/>
          <w:sz w:val="24"/>
          <w:szCs w:val="24"/>
        </w:rPr>
        <w:t>岩类孔隙裂隙水具承压性质，地层直接出露区为潜水。含水层厚度</w:t>
      </w:r>
      <w:r>
        <w:rPr>
          <w:rFonts w:ascii="宋体" w:hAnsi="宋体" w:eastAsia="宋体" w:cs="宋体"/>
          <w:spacing w:val="-32"/>
          <w:sz w:val="24"/>
          <w:szCs w:val="24"/>
        </w:rPr>
        <w:t xml:space="preserve"> </w:t>
      </w:r>
      <w:r>
        <w:rPr>
          <w:rFonts w:ascii="宋体" w:hAnsi="宋体" w:eastAsia="宋体" w:cs="宋体"/>
          <w:spacing w:val="-4"/>
          <w:sz w:val="24"/>
          <w:szCs w:val="24"/>
        </w:rPr>
        <w:t>50m</w:t>
      </w:r>
      <w:r>
        <w:rPr>
          <w:rFonts w:ascii="宋体" w:hAnsi="宋体" w:eastAsia="宋体" w:cs="宋体"/>
          <w:spacing w:val="-48"/>
          <w:sz w:val="24"/>
          <w:szCs w:val="24"/>
        </w:rPr>
        <w:t xml:space="preserve"> </w:t>
      </w:r>
      <w:r>
        <w:rPr>
          <w:rFonts w:ascii="宋体" w:hAnsi="宋体" w:eastAsia="宋体" w:cs="宋体"/>
          <w:spacing w:val="-4"/>
          <w:sz w:val="24"/>
          <w:szCs w:val="24"/>
        </w:rPr>
        <w:t>左右，静</w:t>
      </w:r>
      <w:r>
        <w:rPr>
          <w:rFonts w:ascii="宋体" w:hAnsi="宋体" w:eastAsia="宋体" w:cs="宋体"/>
          <w:sz w:val="24"/>
          <w:szCs w:val="24"/>
        </w:rPr>
        <w:t xml:space="preserve"> </w:t>
      </w:r>
      <w:r>
        <w:rPr>
          <w:rFonts w:ascii="宋体" w:hAnsi="宋体" w:eastAsia="宋体" w:cs="宋体"/>
          <w:spacing w:val="-6"/>
          <w:sz w:val="24"/>
          <w:szCs w:val="24"/>
        </w:rPr>
        <w:t>止水位埋深</w:t>
      </w:r>
      <w:r>
        <w:rPr>
          <w:rFonts w:ascii="宋体" w:hAnsi="宋体" w:eastAsia="宋体" w:cs="宋体"/>
          <w:spacing w:val="-33"/>
          <w:sz w:val="24"/>
          <w:szCs w:val="24"/>
        </w:rPr>
        <w:t xml:space="preserve"> </w:t>
      </w:r>
      <w:r>
        <w:rPr>
          <w:rFonts w:ascii="宋体" w:hAnsi="宋体" w:eastAsia="宋体" w:cs="宋体"/>
          <w:spacing w:val="-6"/>
          <w:sz w:val="24"/>
          <w:szCs w:val="24"/>
        </w:rPr>
        <w:t>10-20m，单井疏干水量（8</w:t>
      </w:r>
      <w:r>
        <w:rPr>
          <w:rFonts w:ascii="宋体" w:hAnsi="宋体" w:eastAsia="宋体" w:cs="宋体"/>
          <w:spacing w:val="-76"/>
          <w:sz w:val="24"/>
          <w:szCs w:val="24"/>
        </w:rPr>
        <w:t xml:space="preserve"> </w:t>
      </w:r>
      <w:r>
        <w:rPr>
          <w:rFonts w:ascii="宋体" w:hAnsi="宋体" w:eastAsia="宋体" w:cs="宋体"/>
          <w:spacing w:val="-6"/>
          <w:sz w:val="24"/>
          <w:szCs w:val="24"/>
        </w:rPr>
        <w:t>″</w:t>
      </w:r>
      <w:r>
        <w:rPr>
          <w:rFonts w:ascii="宋体" w:hAnsi="宋体" w:eastAsia="宋体" w:cs="宋体"/>
          <w:spacing w:val="-74"/>
          <w:sz w:val="24"/>
          <w:szCs w:val="24"/>
        </w:rPr>
        <w:t xml:space="preserve"> </w:t>
      </w:r>
      <w:r>
        <w:rPr>
          <w:rFonts w:ascii="宋体" w:hAnsi="宋体" w:eastAsia="宋体" w:cs="宋体"/>
          <w:spacing w:val="-6"/>
          <w:sz w:val="24"/>
          <w:szCs w:val="24"/>
        </w:rPr>
        <w:t>口径，</w:t>
      </w:r>
      <w:r>
        <w:rPr>
          <w:rFonts w:ascii="宋体" w:hAnsi="宋体" w:eastAsia="宋体" w:cs="宋体"/>
          <w:spacing w:val="-7"/>
          <w:sz w:val="24"/>
          <w:szCs w:val="24"/>
        </w:rPr>
        <w:t>10m</w:t>
      </w:r>
      <w:r>
        <w:rPr>
          <w:rFonts w:ascii="宋体" w:hAnsi="宋体" w:eastAsia="宋体" w:cs="宋体"/>
          <w:spacing w:val="-32"/>
          <w:sz w:val="24"/>
          <w:szCs w:val="24"/>
        </w:rPr>
        <w:t xml:space="preserve"> </w:t>
      </w:r>
      <w:r>
        <w:rPr>
          <w:rFonts w:ascii="宋体" w:hAnsi="宋体" w:eastAsia="宋体" w:cs="宋体"/>
          <w:spacing w:val="-7"/>
          <w:sz w:val="24"/>
          <w:szCs w:val="24"/>
        </w:rPr>
        <w:t>降深）一般小于</w:t>
      </w:r>
      <w:r>
        <w:rPr>
          <w:rFonts w:ascii="宋体" w:hAnsi="宋体" w:eastAsia="宋体" w:cs="宋体"/>
          <w:spacing w:val="-32"/>
          <w:sz w:val="24"/>
          <w:szCs w:val="24"/>
        </w:rPr>
        <w:t xml:space="preserve"> </w:t>
      </w:r>
      <w:r>
        <w:rPr>
          <w:rFonts w:ascii="宋体" w:hAnsi="宋体" w:eastAsia="宋体" w:cs="宋体"/>
          <w:spacing w:val="-7"/>
          <w:sz w:val="24"/>
          <w:szCs w:val="24"/>
        </w:rPr>
        <w:t>100m</w:t>
      </w:r>
      <w:r>
        <w:rPr>
          <w:rFonts w:ascii="宋体" w:hAnsi="宋体" w:eastAsia="宋体" w:cs="宋体"/>
          <w:spacing w:val="-7"/>
          <w:position w:val="11"/>
          <w:sz w:val="12"/>
          <w:szCs w:val="12"/>
        </w:rPr>
        <w:t>3</w:t>
      </w:r>
      <w:r>
        <w:rPr>
          <w:rFonts w:ascii="宋体" w:hAnsi="宋体" w:eastAsia="宋体" w:cs="宋体"/>
          <w:spacing w:val="-7"/>
          <w:sz w:val="24"/>
          <w:szCs w:val="24"/>
        </w:rPr>
        <w:t>/d，矿</w:t>
      </w:r>
      <w:r>
        <w:rPr>
          <w:rFonts w:ascii="宋体" w:hAnsi="宋体" w:eastAsia="宋体" w:cs="宋体"/>
          <w:sz w:val="24"/>
          <w:szCs w:val="24"/>
        </w:rPr>
        <w:t xml:space="preserve"> </w:t>
      </w:r>
      <w:r>
        <w:rPr>
          <w:rFonts w:ascii="宋体" w:hAnsi="宋体" w:eastAsia="宋体" w:cs="宋体"/>
          <w:spacing w:val="-7"/>
          <w:sz w:val="24"/>
          <w:szCs w:val="24"/>
        </w:rPr>
        <w:t>化度</w:t>
      </w:r>
      <w:r>
        <w:rPr>
          <w:rFonts w:ascii="宋体" w:hAnsi="宋体" w:eastAsia="宋体" w:cs="宋体"/>
          <w:spacing w:val="-48"/>
          <w:sz w:val="24"/>
          <w:szCs w:val="24"/>
        </w:rPr>
        <w:t xml:space="preserve"> </w:t>
      </w:r>
      <w:r>
        <w:rPr>
          <w:rFonts w:ascii="宋体" w:hAnsi="宋体" w:eastAsia="宋体" w:cs="宋体"/>
          <w:spacing w:val="-7"/>
          <w:sz w:val="24"/>
          <w:szCs w:val="24"/>
        </w:rPr>
        <w:t>0.62-0.7g/L，水化学类型为</w:t>
      </w:r>
      <w:r>
        <w:rPr>
          <w:rFonts w:ascii="宋体" w:hAnsi="宋体" w:eastAsia="宋体" w:cs="宋体"/>
          <w:spacing w:val="-53"/>
          <w:sz w:val="24"/>
          <w:szCs w:val="24"/>
        </w:rPr>
        <w:t xml:space="preserve"> </w:t>
      </w:r>
      <w:r>
        <w:rPr>
          <w:rFonts w:ascii="宋体" w:hAnsi="宋体" w:eastAsia="宋体" w:cs="宋体"/>
          <w:spacing w:val="-7"/>
          <w:sz w:val="24"/>
          <w:szCs w:val="24"/>
        </w:rPr>
        <w:t>Cl</w:t>
      </w:r>
      <w:r>
        <w:rPr>
          <w:rFonts w:ascii="宋体" w:hAnsi="宋体" w:eastAsia="宋体" w:cs="宋体"/>
          <w:spacing w:val="-28"/>
          <w:sz w:val="24"/>
          <w:szCs w:val="24"/>
        </w:rPr>
        <w:t xml:space="preserve"> </w:t>
      </w:r>
      <w:r>
        <w:rPr>
          <w:rFonts w:ascii="宋体" w:hAnsi="宋体" w:eastAsia="宋体" w:cs="宋体"/>
          <w:spacing w:val="-7"/>
          <w:sz w:val="24"/>
          <w:szCs w:val="24"/>
        </w:rPr>
        <w:t>·HCO</w:t>
      </w:r>
      <w:r>
        <w:rPr>
          <w:rFonts w:ascii="宋体" w:hAnsi="宋体" w:eastAsia="宋体" w:cs="宋体"/>
          <w:spacing w:val="-7"/>
          <w:position w:val="-3"/>
          <w:sz w:val="12"/>
          <w:szCs w:val="12"/>
        </w:rPr>
        <w:t>3</w:t>
      </w:r>
      <w:r>
        <w:rPr>
          <w:rFonts w:ascii="宋体" w:hAnsi="宋体" w:eastAsia="宋体" w:cs="宋体"/>
          <w:spacing w:val="32"/>
          <w:position w:val="-3"/>
          <w:sz w:val="12"/>
          <w:szCs w:val="12"/>
        </w:rPr>
        <w:t xml:space="preserve"> </w:t>
      </w:r>
      <w:r>
        <w:rPr>
          <w:rFonts w:ascii="宋体" w:hAnsi="宋体" w:eastAsia="宋体" w:cs="宋体"/>
          <w:spacing w:val="-7"/>
          <w:sz w:val="24"/>
          <w:szCs w:val="24"/>
        </w:rPr>
        <w:t>·SO</w:t>
      </w:r>
      <w:r>
        <w:rPr>
          <w:rFonts w:ascii="宋体" w:hAnsi="宋体" w:eastAsia="宋体" w:cs="宋体"/>
          <w:spacing w:val="-7"/>
          <w:position w:val="-3"/>
          <w:sz w:val="12"/>
          <w:szCs w:val="12"/>
        </w:rPr>
        <w:t>4</w:t>
      </w:r>
      <w:r>
        <w:rPr>
          <w:rFonts w:ascii="宋体" w:hAnsi="宋体" w:eastAsia="宋体" w:cs="宋体"/>
          <w:spacing w:val="-7"/>
          <w:sz w:val="24"/>
          <w:szCs w:val="24"/>
        </w:rPr>
        <w:t>-Mg</w:t>
      </w:r>
      <w:r>
        <w:rPr>
          <w:rFonts w:ascii="宋体" w:hAnsi="宋体" w:eastAsia="宋体" w:cs="宋体"/>
          <w:spacing w:val="-28"/>
          <w:sz w:val="24"/>
          <w:szCs w:val="24"/>
        </w:rPr>
        <w:t xml:space="preserve"> </w:t>
      </w:r>
      <w:r>
        <w:rPr>
          <w:rFonts w:ascii="宋体" w:hAnsi="宋体" w:eastAsia="宋体" w:cs="宋体"/>
          <w:spacing w:val="-15"/>
          <w:sz w:val="24"/>
          <w:szCs w:val="24"/>
        </w:rPr>
        <w:t>·Ca</w:t>
      </w:r>
      <w:r>
        <w:rPr>
          <w:rFonts w:ascii="宋体" w:hAnsi="宋体" w:eastAsia="宋体" w:cs="宋体"/>
          <w:spacing w:val="-28"/>
          <w:sz w:val="24"/>
          <w:szCs w:val="24"/>
        </w:rPr>
        <w:t xml:space="preserve"> </w:t>
      </w:r>
      <w:r>
        <w:rPr>
          <w:rFonts w:ascii="宋体" w:hAnsi="宋体" w:eastAsia="宋体" w:cs="宋体"/>
          <w:spacing w:val="-15"/>
          <w:sz w:val="24"/>
          <w:szCs w:val="24"/>
        </w:rPr>
        <w:t>·Na</w:t>
      </w:r>
      <w:r>
        <w:rPr>
          <w:rFonts w:ascii="宋体" w:hAnsi="宋体" w:eastAsia="宋体" w:cs="宋体"/>
          <w:spacing w:val="-43"/>
          <w:sz w:val="24"/>
          <w:szCs w:val="24"/>
        </w:rPr>
        <w:t xml:space="preserve"> </w:t>
      </w:r>
      <w:r>
        <w:rPr>
          <w:rFonts w:ascii="宋体" w:hAnsi="宋体" w:eastAsia="宋体" w:cs="宋体"/>
          <w:spacing w:val="-15"/>
          <w:sz w:val="24"/>
          <w:szCs w:val="24"/>
        </w:rPr>
        <w:t>型水。是评价区地</w:t>
      </w:r>
      <w:r>
        <w:rPr>
          <w:rFonts w:ascii="宋体" w:hAnsi="宋体" w:eastAsia="宋体" w:cs="宋体"/>
          <w:sz w:val="24"/>
          <w:szCs w:val="24"/>
        </w:rPr>
        <w:t xml:space="preserve"> </w:t>
      </w:r>
      <w:r>
        <w:rPr>
          <w:rFonts w:ascii="宋体" w:hAnsi="宋体" w:eastAsia="宋体" w:cs="宋体"/>
          <w:spacing w:val="-1"/>
          <w:sz w:val="24"/>
          <w:szCs w:val="24"/>
        </w:rPr>
        <w:t>下水的补给、径流区。</w:t>
      </w:r>
    </w:p>
    <w:p w14:paraId="48C43057">
      <w:pPr>
        <w:spacing w:before="5" w:line="219" w:lineRule="auto"/>
        <w:ind w:left="508"/>
        <w:rPr>
          <w:rFonts w:ascii="宋体" w:hAnsi="宋体" w:eastAsia="宋体" w:cs="宋体"/>
          <w:sz w:val="24"/>
          <w:szCs w:val="24"/>
        </w:rPr>
      </w:pPr>
      <w:r>
        <w:rPr>
          <w:rFonts w:ascii="宋体" w:hAnsi="宋体" w:eastAsia="宋体" w:cs="宋体"/>
          <w:spacing w:val="-2"/>
          <w:sz w:val="24"/>
          <w:szCs w:val="24"/>
        </w:rPr>
        <w:t>3、第四系松散岩类孔隙水</w:t>
      </w:r>
    </w:p>
    <w:p w14:paraId="244E2BBE">
      <w:pPr>
        <w:spacing w:before="184" w:line="358" w:lineRule="auto"/>
        <w:ind w:left="22" w:right="13" w:firstLine="480"/>
        <w:rPr>
          <w:rFonts w:ascii="宋体" w:hAnsi="宋体" w:eastAsia="宋体" w:cs="宋体"/>
          <w:sz w:val="24"/>
          <w:szCs w:val="24"/>
        </w:rPr>
      </w:pPr>
      <w:r>
        <w:rPr>
          <w:rFonts w:ascii="宋体" w:hAnsi="宋体" w:eastAsia="宋体" w:cs="宋体"/>
          <w:spacing w:val="-3"/>
          <w:sz w:val="24"/>
          <w:szCs w:val="24"/>
        </w:rPr>
        <w:t>广泛分布评价区大部分地区。含水层岩性由第四系全新统冲积、</w:t>
      </w:r>
      <w:r>
        <w:rPr>
          <w:rFonts w:ascii="宋体" w:hAnsi="宋体" w:eastAsia="宋体" w:cs="宋体"/>
          <w:spacing w:val="-4"/>
          <w:sz w:val="24"/>
          <w:szCs w:val="24"/>
        </w:rPr>
        <w:t>湖积、风积</w:t>
      </w:r>
      <w:r>
        <w:rPr>
          <w:rFonts w:ascii="宋体" w:hAnsi="宋体" w:eastAsia="宋体" w:cs="宋体"/>
          <w:sz w:val="24"/>
          <w:szCs w:val="24"/>
        </w:rPr>
        <w:t xml:space="preserve"> </w:t>
      </w:r>
      <w:r>
        <w:rPr>
          <w:rFonts w:ascii="宋体" w:hAnsi="宋体" w:eastAsia="宋体" w:cs="宋体"/>
          <w:spacing w:val="-3"/>
          <w:sz w:val="24"/>
          <w:szCs w:val="24"/>
        </w:rPr>
        <w:t>形成的粉细砂、中粗砂、砾砂及第四系中上更新统中粗砂、砾砂组成，岩性随所</w:t>
      </w:r>
      <w:r>
        <w:rPr>
          <w:rFonts w:ascii="宋体" w:hAnsi="宋体" w:eastAsia="宋体" w:cs="宋体"/>
          <w:spacing w:val="1"/>
          <w:sz w:val="24"/>
          <w:szCs w:val="24"/>
        </w:rPr>
        <w:t xml:space="preserve"> </w:t>
      </w:r>
      <w:r>
        <w:rPr>
          <w:rFonts w:ascii="宋体" w:hAnsi="宋体" w:eastAsia="宋体" w:cs="宋体"/>
          <w:spacing w:val="-3"/>
          <w:sz w:val="24"/>
          <w:szCs w:val="24"/>
        </w:rPr>
        <w:t>处地貌的不同而有所差异。含水层厚度在丘陵附近较薄，在丘间洼地中心及西部</w:t>
      </w:r>
      <w:r>
        <w:rPr>
          <w:rFonts w:ascii="宋体" w:hAnsi="宋体" w:eastAsia="宋体" w:cs="宋体"/>
          <w:spacing w:val="1"/>
          <w:sz w:val="24"/>
          <w:szCs w:val="24"/>
        </w:rPr>
        <w:t xml:space="preserve"> </w:t>
      </w:r>
      <w:r>
        <w:rPr>
          <w:rFonts w:ascii="宋体" w:hAnsi="宋体" w:eastAsia="宋体" w:cs="宋体"/>
          <w:spacing w:val="-3"/>
          <w:sz w:val="24"/>
          <w:szCs w:val="24"/>
        </w:rPr>
        <w:t>含水层厚度逐渐变厚，10-55m</w:t>
      </w:r>
      <w:r>
        <w:rPr>
          <w:rFonts w:ascii="宋体" w:hAnsi="宋体" w:eastAsia="宋体" w:cs="宋体"/>
          <w:spacing w:val="-47"/>
          <w:sz w:val="24"/>
          <w:szCs w:val="24"/>
        </w:rPr>
        <w:t xml:space="preserve"> </w:t>
      </w:r>
      <w:r>
        <w:rPr>
          <w:rFonts w:ascii="宋体" w:hAnsi="宋体" w:eastAsia="宋体" w:cs="宋体"/>
          <w:spacing w:val="-3"/>
          <w:sz w:val="24"/>
          <w:szCs w:val="24"/>
        </w:rPr>
        <w:t>不等，水位埋深一般</w:t>
      </w:r>
      <w:r>
        <w:rPr>
          <w:rFonts w:ascii="宋体" w:hAnsi="宋体" w:eastAsia="宋体" w:cs="宋体"/>
          <w:spacing w:val="-47"/>
          <w:sz w:val="24"/>
          <w:szCs w:val="24"/>
        </w:rPr>
        <w:t xml:space="preserve"> </w:t>
      </w:r>
      <w:r>
        <w:rPr>
          <w:rFonts w:ascii="宋体" w:hAnsi="宋体" w:eastAsia="宋体" w:cs="宋体"/>
          <w:spacing w:val="-3"/>
          <w:sz w:val="24"/>
          <w:szCs w:val="24"/>
        </w:rPr>
        <w:t>2.59-14.44m。评价区东部富</w:t>
      </w:r>
      <w:r>
        <w:rPr>
          <w:rFonts w:ascii="宋体" w:hAnsi="宋体" w:eastAsia="宋体" w:cs="宋体"/>
          <w:sz w:val="24"/>
          <w:szCs w:val="24"/>
        </w:rPr>
        <w:t xml:space="preserve"> </w:t>
      </w:r>
      <w:r>
        <w:rPr>
          <w:rFonts w:ascii="宋体" w:hAnsi="宋体" w:eastAsia="宋体" w:cs="宋体"/>
          <w:spacing w:val="-5"/>
          <w:sz w:val="24"/>
          <w:szCs w:val="24"/>
        </w:rPr>
        <w:t>水性较差，单井疏干水量（10</w:t>
      </w:r>
      <w:r>
        <w:rPr>
          <w:rFonts w:ascii="宋体" w:hAnsi="宋体" w:eastAsia="宋体" w:cs="宋体"/>
          <w:spacing w:val="-65"/>
          <w:sz w:val="24"/>
          <w:szCs w:val="24"/>
        </w:rPr>
        <w:t xml:space="preserve"> </w:t>
      </w:r>
      <w:r>
        <w:rPr>
          <w:rFonts w:ascii="宋体" w:hAnsi="宋体" w:eastAsia="宋体" w:cs="宋体"/>
          <w:spacing w:val="-5"/>
          <w:sz w:val="24"/>
          <w:szCs w:val="24"/>
        </w:rPr>
        <w:t>″</w:t>
      </w:r>
      <w:r>
        <w:rPr>
          <w:rFonts w:ascii="宋体" w:hAnsi="宋体" w:eastAsia="宋体" w:cs="宋体"/>
          <w:spacing w:val="-74"/>
          <w:sz w:val="24"/>
          <w:szCs w:val="24"/>
        </w:rPr>
        <w:t xml:space="preserve"> </w:t>
      </w:r>
      <w:r>
        <w:rPr>
          <w:rFonts w:ascii="宋体" w:hAnsi="宋体" w:eastAsia="宋体" w:cs="宋体"/>
          <w:spacing w:val="-5"/>
          <w:sz w:val="24"/>
          <w:szCs w:val="24"/>
        </w:rPr>
        <w:t>口径，5m</w:t>
      </w:r>
      <w:r>
        <w:rPr>
          <w:rFonts w:ascii="宋体" w:hAnsi="宋体" w:eastAsia="宋体" w:cs="宋体"/>
          <w:spacing w:val="-32"/>
          <w:sz w:val="24"/>
          <w:szCs w:val="24"/>
        </w:rPr>
        <w:t xml:space="preserve"> </w:t>
      </w:r>
      <w:r>
        <w:rPr>
          <w:rFonts w:ascii="宋体" w:hAnsi="宋体" w:eastAsia="宋体" w:cs="宋体"/>
          <w:spacing w:val="-5"/>
          <w:sz w:val="24"/>
          <w:szCs w:val="24"/>
        </w:rPr>
        <w:t>降深）一般小于</w:t>
      </w:r>
      <w:r>
        <w:rPr>
          <w:rFonts w:ascii="宋体" w:hAnsi="宋体" w:eastAsia="宋体" w:cs="宋体"/>
          <w:spacing w:val="-33"/>
          <w:sz w:val="24"/>
          <w:szCs w:val="24"/>
        </w:rPr>
        <w:t xml:space="preserve"> </w:t>
      </w:r>
      <w:r>
        <w:rPr>
          <w:rFonts w:ascii="宋体" w:hAnsi="宋体" w:eastAsia="宋体" w:cs="宋体"/>
          <w:spacing w:val="-5"/>
          <w:sz w:val="24"/>
          <w:szCs w:val="24"/>
        </w:rPr>
        <w:t>100m</w:t>
      </w:r>
      <w:r>
        <w:rPr>
          <w:rFonts w:ascii="宋体" w:hAnsi="宋体" w:eastAsia="宋体" w:cs="宋体"/>
          <w:spacing w:val="-5"/>
          <w:position w:val="11"/>
          <w:sz w:val="12"/>
          <w:szCs w:val="12"/>
        </w:rPr>
        <w:t>3</w:t>
      </w:r>
      <w:r>
        <w:rPr>
          <w:rFonts w:ascii="宋体" w:hAnsi="宋体" w:eastAsia="宋体" w:cs="宋体"/>
          <w:spacing w:val="-5"/>
          <w:sz w:val="24"/>
          <w:szCs w:val="24"/>
        </w:rPr>
        <w:t>/d，根据抽水试</w:t>
      </w:r>
      <w:r>
        <w:rPr>
          <w:rFonts w:ascii="宋体" w:hAnsi="宋体" w:eastAsia="宋体" w:cs="宋体"/>
          <w:sz w:val="24"/>
          <w:szCs w:val="24"/>
        </w:rPr>
        <w:t xml:space="preserve"> </w:t>
      </w:r>
      <w:r>
        <w:rPr>
          <w:rFonts w:ascii="宋体" w:hAnsi="宋体" w:eastAsia="宋体" w:cs="宋体"/>
          <w:spacing w:val="-1"/>
          <w:sz w:val="24"/>
          <w:szCs w:val="24"/>
        </w:rPr>
        <w:t>验资料，S2</w:t>
      </w:r>
      <w:r>
        <w:rPr>
          <w:rFonts w:ascii="宋体" w:hAnsi="宋体" w:eastAsia="宋体" w:cs="宋体"/>
          <w:spacing w:val="-29"/>
          <w:sz w:val="24"/>
          <w:szCs w:val="24"/>
        </w:rPr>
        <w:t xml:space="preserve"> </w:t>
      </w:r>
      <w:r>
        <w:rPr>
          <w:rFonts w:ascii="宋体" w:hAnsi="宋体" w:eastAsia="宋体" w:cs="宋体"/>
          <w:spacing w:val="-1"/>
          <w:sz w:val="24"/>
          <w:szCs w:val="24"/>
        </w:rPr>
        <w:t>号井抽水试验降深</w:t>
      </w:r>
      <w:r>
        <w:rPr>
          <w:rFonts w:ascii="宋体" w:hAnsi="宋体" w:eastAsia="宋体" w:cs="宋体"/>
          <w:spacing w:val="-31"/>
          <w:sz w:val="24"/>
          <w:szCs w:val="24"/>
        </w:rPr>
        <w:t xml:space="preserve"> </w:t>
      </w:r>
      <w:r>
        <w:rPr>
          <w:rFonts w:ascii="宋体" w:hAnsi="宋体" w:eastAsia="宋体" w:cs="宋体"/>
          <w:spacing w:val="-1"/>
          <w:sz w:val="24"/>
          <w:szCs w:val="24"/>
        </w:rPr>
        <w:t>15.91m</w:t>
      </w:r>
      <w:r>
        <w:rPr>
          <w:rFonts w:ascii="宋体" w:hAnsi="宋体" w:eastAsia="宋体" w:cs="宋体"/>
          <w:spacing w:val="-34"/>
          <w:sz w:val="24"/>
          <w:szCs w:val="24"/>
        </w:rPr>
        <w:t xml:space="preserve"> </w:t>
      </w:r>
      <w:r>
        <w:rPr>
          <w:rFonts w:ascii="宋体" w:hAnsi="宋体" w:eastAsia="宋体" w:cs="宋体"/>
          <w:spacing w:val="-1"/>
          <w:sz w:val="24"/>
          <w:szCs w:val="24"/>
        </w:rPr>
        <w:t>时疏干水量为</w:t>
      </w:r>
      <w:r>
        <w:rPr>
          <w:rFonts w:ascii="宋体" w:hAnsi="宋体" w:eastAsia="宋体" w:cs="宋体"/>
          <w:spacing w:val="-31"/>
          <w:sz w:val="24"/>
          <w:szCs w:val="24"/>
        </w:rPr>
        <w:t xml:space="preserve"> </w:t>
      </w:r>
      <w:r>
        <w:rPr>
          <w:rFonts w:ascii="宋体" w:hAnsi="宋体" w:eastAsia="宋体" w:cs="宋体"/>
          <w:spacing w:val="-1"/>
          <w:sz w:val="24"/>
          <w:szCs w:val="24"/>
        </w:rPr>
        <w:t>145m</w:t>
      </w:r>
      <w:r>
        <w:rPr>
          <w:rFonts w:ascii="宋体" w:hAnsi="宋体" w:eastAsia="宋体" w:cs="宋体"/>
          <w:spacing w:val="-1"/>
          <w:position w:val="11"/>
          <w:sz w:val="12"/>
          <w:szCs w:val="12"/>
        </w:rPr>
        <w:t>3</w:t>
      </w:r>
      <w:r>
        <w:rPr>
          <w:rFonts w:ascii="宋体" w:hAnsi="宋体" w:eastAsia="宋体" w:cs="宋体"/>
          <w:spacing w:val="-1"/>
          <w:sz w:val="24"/>
          <w:szCs w:val="24"/>
        </w:rPr>
        <w:t>/d，换算疏干水量为</w:t>
      </w:r>
      <w:r>
        <w:rPr>
          <w:rFonts w:ascii="宋体" w:hAnsi="宋体" w:eastAsia="宋体" w:cs="宋体"/>
          <w:sz w:val="24"/>
          <w:szCs w:val="24"/>
        </w:rPr>
        <w:t xml:space="preserve"> </w:t>
      </w:r>
      <w:r>
        <w:rPr>
          <w:rFonts w:ascii="宋体" w:hAnsi="宋体" w:eastAsia="宋体" w:cs="宋体"/>
          <w:spacing w:val="-1"/>
          <w:sz w:val="24"/>
          <w:szCs w:val="24"/>
        </w:rPr>
        <w:t>45.57m</w:t>
      </w:r>
      <w:r>
        <w:rPr>
          <w:rFonts w:ascii="宋体" w:hAnsi="宋体" w:eastAsia="宋体" w:cs="宋体"/>
          <w:spacing w:val="-1"/>
          <w:position w:val="11"/>
          <w:sz w:val="12"/>
          <w:szCs w:val="12"/>
        </w:rPr>
        <w:t>3</w:t>
      </w:r>
      <w:r>
        <w:rPr>
          <w:rFonts w:ascii="宋体" w:hAnsi="宋体" w:eastAsia="宋体" w:cs="宋体"/>
          <w:spacing w:val="-1"/>
          <w:sz w:val="24"/>
          <w:szCs w:val="24"/>
        </w:rPr>
        <w:t>/d；S15</w:t>
      </w:r>
      <w:r>
        <w:rPr>
          <w:rFonts w:ascii="宋体" w:hAnsi="宋体" w:eastAsia="宋体" w:cs="宋体"/>
          <w:spacing w:val="-45"/>
          <w:sz w:val="24"/>
          <w:szCs w:val="24"/>
        </w:rPr>
        <w:t xml:space="preserve"> </w:t>
      </w:r>
      <w:r>
        <w:rPr>
          <w:rFonts w:ascii="宋体" w:hAnsi="宋体" w:eastAsia="宋体" w:cs="宋体"/>
          <w:spacing w:val="-1"/>
          <w:sz w:val="24"/>
          <w:szCs w:val="24"/>
        </w:rPr>
        <w:t>号井抽水试验降深</w:t>
      </w:r>
      <w:r>
        <w:rPr>
          <w:rFonts w:ascii="宋体" w:hAnsi="宋体" w:eastAsia="宋体" w:cs="宋体"/>
          <w:spacing w:val="-52"/>
          <w:sz w:val="24"/>
          <w:szCs w:val="24"/>
        </w:rPr>
        <w:t xml:space="preserve"> </w:t>
      </w:r>
      <w:r>
        <w:rPr>
          <w:rFonts w:ascii="宋体" w:hAnsi="宋体" w:eastAsia="宋体" w:cs="宋体"/>
          <w:spacing w:val="-1"/>
          <w:sz w:val="24"/>
          <w:szCs w:val="24"/>
        </w:rPr>
        <w:t>4</w:t>
      </w:r>
      <w:r>
        <w:rPr>
          <w:rFonts w:ascii="宋体" w:hAnsi="宋体" w:eastAsia="宋体" w:cs="宋体"/>
          <w:spacing w:val="-2"/>
          <w:sz w:val="24"/>
          <w:szCs w:val="24"/>
        </w:rPr>
        <w:t>.1m</w:t>
      </w:r>
      <w:r>
        <w:rPr>
          <w:rFonts w:ascii="宋体" w:hAnsi="宋体" w:eastAsia="宋体" w:cs="宋体"/>
          <w:spacing w:val="-39"/>
          <w:sz w:val="24"/>
          <w:szCs w:val="24"/>
        </w:rPr>
        <w:t xml:space="preserve"> </w:t>
      </w:r>
      <w:r>
        <w:rPr>
          <w:rFonts w:ascii="宋体" w:hAnsi="宋体" w:eastAsia="宋体" w:cs="宋体"/>
          <w:spacing w:val="-2"/>
          <w:sz w:val="24"/>
          <w:szCs w:val="24"/>
        </w:rPr>
        <w:t>时疏干水量为</w:t>
      </w:r>
      <w:r>
        <w:rPr>
          <w:rFonts w:ascii="宋体" w:hAnsi="宋体" w:eastAsia="宋体" w:cs="宋体"/>
          <w:spacing w:val="-46"/>
          <w:sz w:val="24"/>
          <w:szCs w:val="24"/>
        </w:rPr>
        <w:t xml:space="preserve"> </w:t>
      </w:r>
      <w:r>
        <w:rPr>
          <w:rFonts w:ascii="宋体" w:hAnsi="宋体" w:eastAsia="宋体" w:cs="宋体"/>
          <w:spacing w:val="-2"/>
          <w:sz w:val="24"/>
          <w:szCs w:val="24"/>
        </w:rPr>
        <w:t>34m</w:t>
      </w:r>
      <w:r>
        <w:rPr>
          <w:rFonts w:ascii="宋体" w:hAnsi="宋体" w:eastAsia="宋体" w:cs="宋体"/>
          <w:spacing w:val="-2"/>
          <w:position w:val="11"/>
          <w:sz w:val="12"/>
          <w:szCs w:val="12"/>
        </w:rPr>
        <w:t>3</w:t>
      </w:r>
      <w:r>
        <w:rPr>
          <w:rFonts w:ascii="宋体" w:hAnsi="宋体" w:eastAsia="宋体" w:cs="宋体"/>
          <w:spacing w:val="-2"/>
          <w:sz w:val="24"/>
          <w:szCs w:val="24"/>
        </w:rPr>
        <w:t>/d，换算疏干水量为</w:t>
      </w:r>
    </w:p>
    <w:p w14:paraId="7800F1E5">
      <w:pPr>
        <w:spacing w:before="1" w:line="365" w:lineRule="auto"/>
        <w:ind w:left="17" w:right="16" w:firstLine="4"/>
        <w:jc w:val="both"/>
        <w:rPr>
          <w:rFonts w:ascii="宋体" w:hAnsi="宋体" w:eastAsia="宋体" w:cs="宋体"/>
          <w:sz w:val="24"/>
          <w:szCs w:val="24"/>
        </w:rPr>
      </w:pPr>
      <w:r>
        <w:rPr>
          <w:rFonts w:ascii="宋体" w:hAnsi="宋体" w:eastAsia="宋体" w:cs="宋体"/>
          <w:spacing w:val="3"/>
          <w:sz w:val="24"/>
          <w:szCs w:val="24"/>
        </w:rPr>
        <w:t>41.46m</w:t>
      </w:r>
      <w:r>
        <w:rPr>
          <w:rFonts w:ascii="宋体" w:hAnsi="宋体" w:eastAsia="宋体" w:cs="宋体"/>
          <w:spacing w:val="3"/>
          <w:position w:val="11"/>
          <w:sz w:val="12"/>
          <w:szCs w:val="12"/>
        </w:rPr>
        <w:t>3</w:t>
      </w:r>
      <w:r>
        <w:rPr>
          <w:rFonts w:ascii="宋体" w:hAnsi="宋体" w:eastAsia="宋体" w:cs="宋体"/>
          <w:spacing w:val="3"/>
          <w:sz w:val="24"/>
          <w:szCs w:val="24"/>
        </w:rPr>
        <w:t>/d</w:t>
      </w:r>
      <w:r>
        <w:rPr>
          <w:rFonts w:ascii="宋体" w:hAnsi="宋体" w:eastAsia="宋体" w:cs="宋体"/>
          <w:spacing w:val="-70"/>
          <w:sz w:val="24"/>
          <w:szCs w:val="24"/>
        </w:rPr>
        <w:t xml:space="preserve"> </w:t>
      </w:r>
      <w:r>
        <w:rPr>
          <w:rFonts w:ascii="宋体" w:hAnsi="宋体" w:eastAsia="宋体" w:cs="宋体"/>
          <w:spacing w:val="3"/>
          <w:sz w:val="24"/>
          <w:szCs w:val="24"/>
        </w:rPr>
        <w:t>。评价区西部富水性较好</w:t>
      </w:r>
      <w:r>
        <w:rPr>
          <w:rFonts w:ascii="宋体" w:hAnsi="宋体" w:eastAsia="宋体" w:cs="宋体"/>
          <w:spacing w:val="-72"/>
          <w:sz w:val="24"/>
          <w:szCs w:val="24"/>
        </w:rPr>
        <w:t xml:space="preserve"> </w:t>
      </w:r>
      <w:r>
        <w:rPr>
          <w:rFonts w:ascii="宋体" w:hAnsi="宋体" w:eastAsia="宋体" w:cs="宋体"/>
          <w:spacing w:val="3"/>
          <w:sz w:val="24"/>
          <w:szCs w:val="24"/>
        </w:rPr>
        <w:t>，单井疏干水量（</w:t>
      </w:r>
      <w:r>
        <w:rPr>
          <w:rFonts w:ascii="宋体" w:hAnsi="宋体" w:eastAsia="宋体" w:cs="宋体"/>
          <w:spacing w:val="-41"/>
          <w:sz w:val="24"/>
          <w:szCs w:val="24"/>
        </w:rPr>
        <w:t xml:space="preserve"> </w:t>
      </w:r>
      <w:r>
        <w:rPr>
          <w:rFonts w:ascii="宋体" w:hAnsi="宋体" w:eastAsia="宋体" w:cs="宋体"/>
          <w:spacing w:val="3"/>
          <w:sz w:val="24"/>
          <w:szCs w:val="24"/>
        </w:rPr>
        <w:t>10</w:t>
      </w:r>
      <w:r>
        <w:rPr>
          <w:rFonts w:ascii="宋体" w:hAnsi="宋体" w:eastAsia="宋体" w:cs="宋体"/>
          <w:spacing w:val="-56"/>
          <w:sz w:val="24"/>
          <w:szCs w:val="24"/>
        </w:rPr>
        <w:t xml:space="preserve"> </w:t>
      </w:r>
      <w:r>
        <w:rPr>
          <w:rFonts w:ascii="宋体" w:hAnsi="宋体" w:eastAsia="宋体" w:cs="宋体"/>
          <w:spacing w:val="3"/>
          <w:sz w:val="24"/>
          <w:szCs w:val="24"/>
        </w:rPr>
        <w:t>″</w:t>
      </w:r>
      <w:r>
        <w:rPr>
          <w:rFonts w:ascii="宋体" w:hAnsi="宋体" w:eastAsia="宋体" w:cs="宋体"/>
          <w:spacing w:val="-58"/>
          <w:sz w:val="24"/>
          <w:szCs w:val="24"/>
        </w:rPr>
        <w:t xml:space="preserve"> </w:t>
      </w:r>
      <w:r>
        <w:rPr>
          <w:rFonts w:ascii="宋体" w:hAnsi="宋体" w:eastAsia="宋体" w:cs="宋体"/>
          <w:spacing w:val="3"/>
          <w:sz w:val="24"/>
          <w:szCs w:val="24"/>
        </w:rPr>
        <w:t>口径，5</w:t>
      </w:r>
      <w:r>
        <w:rPr>
          <w:rFonts w:ascii="宋体" w:hAnsi="宋体" w:eastAsia="宋体" w:cs="宋体"/>
          <w:spacing w:val="2"/>
          <w:sz w:val="24"/>
          <w:szCs w:val="24"/>
        </w:rPr>
        <w:t>m 降深）</w:t>
      </w:r>
      <w:r>
        <w:rPr>
          <w:rFonts w:ascii="宋体" w:hAnsi="宋体" w:eastAsia="宋体" w:cs="宋体"/>
          <w:sz w:val="24"/>
          <w:szCs w:val="24"/>
        </w:rPr>
        <w:t xml:space="preserve"> </w:t>
      </w:r>
      <w:r>
        <w:rPr>
          <w:rFonts w:ascii="宋体" w:hAnsi="宋体" w:eastAsia="宋体" w:cs="宋体"/>
          <w:spacing w:val="-7"/>
          <w:sz w:val="24"/>
          <w:szCs w:val="24"/>
        </w:rPr>
        <w:t>100-1000m</w:t>
      </w:r>
      <w:r>
        <w:rPr>
          <w:rFonts w:ascii="宋体" w:hAnsi="宋体" w:eastAsia="宋体" w:cs="宋体"/>
          <w:spacing w:val="-7"/>
          <w:position w:val="11"/>
          <w:sz w:val="12"/>
          <w:szCs w:val="12"/>
        </w:rPr>
        <w:t>3</w:t>
      </w:r>
      <w:r>
        <w:rPr>
          <w:rFonts w:ascii="宋体" w:hAnsi="宋体" w:eastAsia="宋体" w:cs="宋体"/>
          <w:spacing w:val="-7"/>
          <w:sz w:val="24"/>
          <w:szCs w:val="24"/>
        </w:rPr>
        <w:t>/d 。</w:t>
      </w:r>
      <w:r>
        <w:rPr>
          <w:rFonts w:ascii="宋体" w:hAnsi="宋体" w:eastAsia="宋体" w:cs="宋体"/>
          <w:spacing w:val="-39"/>
          <w:sz w:val="24"/>
          <w:szCs w:val="24"/>
        </w:rPr>
        <w:t xml:space="preserve"> </w:t>
      </w:r>
      <w:r>
        <w:rPr>
          <w:rFonts w:ascii="宋体" w:hAnsi="宋体" w:eastAsia="宋体" w:cs="宋体"/>
          <w:spacing w:val="-7"/>
          <w:sz w:val="24"/>
          <w:szCs w:val="24"/>
        </w:rPr>
        <w:t>水</w:t>
      </w:r>
      <w:r>
        <w:rPr>
          <w:rFonts w:ascii="宋体" w:hAnsi="宋体" w:eastAsia="宋体" w:cs="宋体"/>
          <w:spacing w:val="-38"/>
          <w:sz w:val="24"/>
          <w:szCs w:val="24"/>
        </w:rPr>
        <w:t xml:space="preserve"> </w:t>
      </w:r>
      <w:r>
        <w:rPr>
          <w:rFonts w:ascii="宋体" w:hAnsi="宋体" w:eastAsia="宋体" w:cs="宋体"/>
          <w:spacing w:val="-7"/>
          <w:sz w:val="24"/>
          <w:szCs w:val="24"/>
        </w:rPr>
        <w:t>质</w:t>
      </w:r>
      <w:r>
        <w:rPr>
          <w:rFonts w:ascii="宋体" w:hAnsi="宋体" w:eastAsia="宋体" w:cs="宋体"/>
          <w:spacing w:val="-41"/>
          <w:sz w:val="24"/>
          <w:szCs w:val="24"/>
        </w:rPr>
        <w:t xml:space="preserve"> </w:t>
      </w:r>
      <w:r>
        <w:rPr>
          <w:rFonts w:ascii="宋体" w:hAnsi="宋体" w:eastAsia="宋体" w:cs="宋体"/>
          <w:spacing w:val="-7"/>
          <w:sz w:val="24"/>
          <w:szCs w:val="24"/>
        </w:rPr>
        <w:t>较</w:t>
      </w:r>
      <w:r>
        <w:rPr>
          <w:rFonts w:ascii="宋体" w:hAnsi="宋体" w:eastAsia="宋体" w:cs="宋体"/>
          <w:spacing w:val="-41"/>
          <w:sz w:val="24"/>
          <w:szCs w:val="24"/>
        </w:rPr>
        <w:t xml:space="preserve"> </w:t>
      </w:r>
      <w:r>
        <w:rPr>
          <w:rFonts w:ascii="宋体" w:hAnsi="宋体" w:eastAsia="宋体" w:cs="宋体"/>
          <w:spacing w:val="-7"/>
          <w:sz w:val="24"/>
          <w:szCs w:val="24"/>
        </w:rPr>
        <w:t>好 ，</w:t>
      </w:r>
      <w:r>
        <w:rPr>
          <w:rFonts w:ascii="宋体" w:hAnsi="宋体" w:eastAsia="宋体" w:cs="宋体"/>
          <w:spacing w:val="-40"/>
          <w:sz w:val="24"/>
          <w:szCs w:val="24"/>
        </w:rPr>
        <w:t xml:space="preserve"> </w:t>
      </w:r>
      <w:r>
        <w:rPr>
          <w:rFonts w:ascii="宋体" w:hAnsi="宋体" w:eastAsia="宋体" w:cs="宋体"/>
          <w:spacing w:val="-7"/>
          <w:sz w:val="24"/>
          <w:szCs w:val="24"/>
        </w:rPr>
        <w:t>矿</w:t>
      </w:r>
      <w:r>
        <w:rPr>
          <w:rFonts w:ascii="宋体" w:hAnsi="宋体" w:eastAsia="宋体" w:cs="宋体"/>
          <w:spacing w:val="-40"/>
          <w:sz w:val="24"/>
          <w:szCs w:val="24"/>
        </w:rPr>
        <w:t xml:space="preserve"> </w:t>
      </w:r>
      <w:r>
        <w:rPr>
          <w:rFonts w:ascii="宋体" w:hAnsi="宋体" w:eastAsia="宋体" w:cs="宋体"/>
          <w:spacing w:val="-7"/>
          <w:sz w:val="24"/>
          <w:szCs w:val="24"/>
        </w:rPr>
        <w:t>化</w:t>
      </w:r>
      <w:r>
        <w:rPr>
          <w:rFonts w:ascii="宋体" w:hAnsi="宋体" w:eastAsia="宋体" w:cs="宋体"/>
          <w:spacing w:val="-42"/>
          <w:sz w:val="24"/>
          <w:szCs w:val="24"/>
        </w:rPr>
        <w:t xml:space="preserve"> </w:t>
      </w:r>
      <w:r>
        <w:rPr>
          <w:rFonts w:ascii="宋体" w:hAnsi="宋体" w:eastAsia="宋体" w:cs="宋体"/>
          <w:spacing w:val="-7"/>
          <w:sz w:val="24"/>
          <w:szCs w:val="24"/>
        </w:rPr>
        <w:t>度</w:t>
      </w:r>
      <w:r>
        <w:rPr>
          <w:rFonts w:ascii="宋体" w:hAnsi="宋体" w:eastAsia="宋体" w:cs="宋体"/>
          <w:spacing w:val="-35"/>
          <w:sz w:val="24"/>
          <w:szCs w:val="24"/>
        </w:rPr>
        <w:t xml:space="preserve"> </w:t>
      </w:r>
      <w:r>
        <w:rPr>
          <w:rFonts w:ascii="宋体" w:hAnsi="宋体" w:eastAsia="宋体" w:cs="宋体"/>
          <w:spacing w:val="-7"/>
          <w:sz w:val="24"/>
          <w:szCs w:val="24"/>
        </w:rPr>
        <w:t>为 0.64g/L 左</w:t>
      </w:r>
      <w:r>
        <w:rPr>
          <w:rFonts w:ascii="宋体" w:hAnsi="宋体" w:eastAsia="宋体" w:cs="宋体"/>
          <w:spacing w:val="-40"/>
          <w:sz w:val="24"/>
          <w:szCs w:val="24"/>
        </w:rPr>
        <w:t xml:space="preserve"> </w:t>
      </w:r>
      <w:r>
        <w:rPr>
          <w:rFonts w:ascii="宋体" w:hAnsi="宋体" w:eastAsia="宋体" w:cs="宋体"/>
          <w:spacing w:val="-7"/>
          <w:sz w:val="24"/>
          <w:szCs w:val="24"/>
        </w:rPr>
        <w:t>右 ，</w:t>
      </w:r>
      <w:r>
        <w:rPr>
          <w:rFonts w:ascii="宋体" w:hAnsi="宋体" w:eastAsia="宋体" w:cs="宋体"/>
          <w:spacing w:val="-38"/>
          <w:sz w:val="24"/>
          <w:szCs w:val="24"/>
        </w:rPr>
        <w:t xml:space="preserve"> </w:t>
      </w:r>
      <w:r>
        <w:rPr>
          <w:rFonts w:ascii="宋体" w:hAnsi="宋体" w:eastAsia="宋体" w:cs="宋体"/>
          <w:spacing w:val="-7"/>
          <w:sz w:val="24"/>
          <w:szCs w:val="24"/>
        </w:rPr>
        <w:t>水</w:t>
      </w:r>
      <w:r>
        <w:rPr>
          <w:rFonts w:ascii="宋体" w:hAnsi="宋体" w:eastAsia="宋体" w:cs="宋体"/>
          <w:spacing w:val="-40"/>
          <w:sz w:val="24"/>
          <w:szCs w:val="24"/>
        </w:rPr>
        <w:t xml:space="preserve"> </w:t>
      </w:r>
      <w:r>
        <w:rPr>
          <w:rFonts w:ascii="宋体" w:hAnsi="宋体" w:eastAsia="宋体" w:cs="宋体"/>
          <w:spacing w:val="-7"/>
          <w:sz w:val="24"/>
          <w:szCs w:val="24"/>
        </w:rPr>
        <w:t>化</w:t>
      </w:r>
      <w:r>
        <w:rPr>
          <w:rFonts w:ascii="宋体" w:hAnsi="宋体" w:eastAsia="宋体" w:cs="宋体"/>
          <w:spacing w:val="-36"/>
          <w:sz w:val="24"/>
          <w:szCs w:val="24"/>
        </w:rPr>
        <w:t xml:space="preserve"> </w:t>
      </w:r>
      <w:r>
        <w:rPr>
          <w:rFonts w:ascii="宋体" w:hAnsi="宋体" w:eastAsia="宋体" w:cs="宋体"/>
          <w:spacing w:val="-7"/>
          <w:sz w:val="24"/>
          <w:szCs w:val="24"/>
        </w:rPr>
        <w:t>学</w:t>
      </w:r>
      <w:r>
        <w:rPr>
          <w:rFonts w:ascii="宋体" w:hAnsi="宋体" w:eastAsia="宋体" w:cs="宋体"/>
          <w:spacing w:val="-39"/>
          <w:sz w:val="24"/>
          <w:szCs w:val="24"/>
        </w:rPr>
        <w:t xml:space="preserve"> </w:t>
      </w:r>
      <w:r>
        <w:rPr>
          <w:rFonts w:ascii="宋体" w:hAnsi="宋体" w:eastAsia="宋体" w:cs="宋体"/>
          <w:spacing w:val="-7"/>
          <w:sz w:val="24"/>
          <w:szCs w:val="24"/>
        </w:rPr>
        <w:t>类</w:t>
      </w:r>
      <w:r>
        <w:rPr>
          <w:rFonts w:ascii="宋体" w:hAnsi="宋体" w:eastAsia="宋体" w:cs="宋体"/>
          <w:spacing w:val="-33"/>
          <w:sz w:val="24"/>
          <w:szCs w:val="24"/>
        </w:rPr>
        <w:t xml:space="preserve"> </w:t>
      </w:r>
      <w:r>
        <w:rPr>
          <w:rFonts w:ascii="宋体" w:hAnsi="宋体" w:eastAsia="宋体" w:cs="宋体"/>
          <w:spacing w:val="-7"/>
          <w:sz w:val="24"/>
          <w:szCs w:val="24"/>
        </w:rPr>
        <w:t>型</w:t>
      </w:r>
      <w:r>
        <w:rPr>
          <w:rFonts w:ascii="宋体" w:hAnsi="宋体" w:eastAsia="宋体" w:cs="宋体"/>
          <w:spacing w:val="-38"/>
          <w:sz w:val="24"/>
          <w:szCs w:val="24"/>
        </w:rPr>
        <w:t xml:space="preserve"> </w:t>
      </w:r>
      <w:r>
        <w:rPr>
          <w:rFonts w:ascii="宋体" w:hAnsi="宋体" w:eastAsia="宋体" w:cs="宋体"/>
          <w:spacing w:val="-7"/>
          <w:sz w:val="24"/>
          <w:szCs w:val="24"/>
        </w:rPr>
        <w:t>为</w:t>
      </w:r>
      <w:r>
        <w:rPr>
          <w:rFonts w:ascii="宋体" w:hAnsi="宋体" w:eastAsia="宋体" w:cs="宋体"/>
          <w:sz w:val="24"/>
          <w:szCs w:val="24"/>
        </w:rPr>
        <w:t xml:space="preserve"> </w:t>
      </w:r>
      <w:r>
        <w:rPr>
          <w:rFonts w:ascii="宋体" w:hAnsi="宋体" w:eastAsia="宋体" w:cs="宋体"/>
          <w:spacing w:val="-1"/>
          <w:sz w:val="24"/>
          <w:szCs w:val="24"/>
        </w:rPr>
        <w:t>HCO</w:t>
      </w:r>
      <w:r>
        <w:rPr>
          <w:rFonts w:ascii="宋体" w:hAnsi="宋体" w:eastAsia="宋体" w:cs="宋体"/>
          <w:spacing w:val="-1"/>
          <w:position w:val="-3"/>
          <w:sz w:val="12"/>
          <w:szCs w:val="12"/>
        </w:rPr>
        <w:t>3</w:t>
      </w:r>
      <w:r>
        <w:rPr>
          <w:rFonts w:ascii="宋体" w:hAnsi="宋体" w:eastAsia="宋体" w:cs="宋体"/>
          <w:spacing w:val="42"/>
          <w:w w:val="101"/>
          <w:position w:val="-3"/>
          <w:sz w:val="12"/>
          <w:szCs w:val="12"/>
        </w:rPr>
        <w:t xml:space="preserve"> </w:t>
      </w:r>
      <w:r>
        <w:rPr>
          <w:rFonts w:ascii="宋体" w:hAnsi="宋体" w:eastAsia="宋体" w:cs="宋体"/>
          <w:spacing w:val="-31"/>
          <w:sz w:val="24"/>
          <w:szCs w:val="24"/>
        </w:rPr>
        <w:t>·Cl</w:t>
      </w:r>
      <w:r>
        <w:rPr>
          <w:rFonts w:ascii="宋体" w:hAnsi="宋体" w:eastAsia="宋体" w:cs="宋体"/>
          <w:spacing w:val="-29"/>
          <w:sz w:val="24"/>
          <w:szCs w:val="24"/>
        </w:rPr>
        <w:t xml:space="preserve"> </w:t>
      </w:r>
      <w:r>
        <w:rPr>
          <w:rFonts w:ascii="宋体" w:hAnsi="宋体" w:eastAsia="宋体" w:cs="宋体"/>
          <w:spacing w:val="-31"/>
          <w:sz w:val="24"/>
          <w:szCs w:val="24"/>
        </w:rPr>
        <w:t>·SO</w:t>
      </w:r>
      <w:r>
        <w:rPr>
          <w:rFonts w:ascii="宋体" w:hAnsi="宋体" w:eastAsia="宋体" w:cs="宋体"/>
          <w:position w:val="-3"/>
          <w:sz w:val="12"/>
          <w:szCs w:val="12"/>
        </w:rPr>
        <w:t>4</w:t>
      </w:r>
      <w:r>
        <w:rPr>
          <w:rFonts w:ascii="宋体" w:hAnsi="宋体" w:eastAsia="宋体" w:cs="宋体"/>
          <w:sz w:val="24"/>
          <w:szCs w:val="24"/>
        </w:rPr>
        <w:t>-Mg</w:t>
      </w:r>
      <w:r>
        <w:rPr>
          <w:rFonts w:ascii="宋体" w:hAnsi="宋体" w:eastAsia="宋体" w:cs="宋体"/>
          <w:spacing w:val="-28"/>
          <w:sz w:val="24"/>
          <w:szCs w:val="24"/>
        </w:rPr>
        <w:t xml:space="preserve"> </w:t>
      </w:r>
      <w:r>
        <w:rPr>
          <w:rFonts w:ascii="宋体" w:hAnsi="宋体" w:eastAsia="宋体" w:cs="宋体"/>
          <w:spacing w:val="-10"/>
          <w:sz w:val="24"/>
          <w:szCs w:val="24"/>
        </w:rPr>
        <w:t>·Na</w:t>
      </w:r>
      <w:r>
        <w:rPr>
          <w:rFonts w:ascii="宋体" w:hAnsi="宋体" w:eastAsia="宋体" w:cs="宋体"/>
          <w:spacing w:val="-28"/>
          <w:sz w:val="24"/>
          <w:szCs w:val="24"/>
        </w:rPr>
        <w:t xml:space="preserve"> </w:t>
      </w:r>
      <w:r>
        <w:rPr>
          <w:rFonts w:ascii="宋体" w:hAnsi="宋体" w:eastAsia="宋体" w:cs="宋体"/>
          <w:spacing w:val="-10"/>
          <w:sz w:val="24"/>
          <w:szCs w:val="24"/>
        </w:rPr>
        <w:t>·Ca</w:t>
      </w:r>
      <w:r>
        <w:rPr>
          <w:rFonts w:ascii="宋体" w:hAnsi="宋体" w:eastAsia="宋体" w:cs="宋体"/>
          <w:spacing w:val="-43"/>
          <w:sz w:val="24"/>
          <w:szCs w:val="24"/>
        </w:rPr>
        <w:t xml:space="preserve"> </w:t>
      </w:r>
      <w:r>
        <w:rPr>
          <w:rFonts w:ascii="宋体" w:hAnsi="宋体" w:eastAsia="宋体" w:cs="宋体"/>
          <w:spacing w:val="-10"/>
          <w:sz w:val="24"/>
          <w:szCs w:val="24"/>
        </w:rPr>
        <w:t>型水。是评价区地下水的排泄区。</w:t>
      </w:r>
    </w:p>
    <w:p w14:paraId="50F1C339">
      <w:pPr>
        <w:spacing w:line="365" w:lineRule="auto"/>
        <w:rPr>
          <w:rFonts w:ascii="宋体" w:hAnsi="宋体" w:eastAsia="宋体" w:cs="宋体"/>
          <w:sz w:val="24"/>
          <w:szCs w:val="24"/>
        </w:rPr>
        <w:sectPr>
          <w:headerReference r:id="rId256" w:type="default"/>
          <w:footerReference r:id="rId257" w:type="default"/>
          <w:pgSz w:w="11906" w:h="16839"/>
          <w:pgMar w:top="1208" w:right="1785" w:bottom="1358" w:left="1785" w:header="825" w:footer="1195" w:gutter="0"/>
          <w:cols w:space="720" w:num="1"/>
        </w:sectPr>
      </w:pPr>
    </w:p>
    <w:p w14:paraId="7E1BC3BD">
      <w:pPr>
        <w:pStyle w:val="2"/>
        <w:spacing w:line="265" w:lineRule="auto"/>
      </w:pPr>
    </w:p>
    <w:p w14:paraId="755965AF">
      <w:pPr>
        <w:spacing w:line="8349" w:lineRule="exact"/>
        <w:ind w:firstLine="14"/>
      </w:pPr>
      <w:r>
        <w:rPr>
          <w:position w:val="-166"/>
        </w:rPr>
        <w:drawing>
          <wp:inline distT="0" distB="0" distL="0" distR="0">
            <wp:extent cx="5274310" cy="530161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93"/>
                    <a:stretch>
                      <a:fillRect/>
                    </a:stretch>
                  </pic:blipFill>
                  <pic:spPr>
                    <a:xfrm>
                      <a:off x="0" y="0"/>
                      <a:ext cx="5274563" cy="5301995"/>
                    </a:xfrm>
                    <a:prstGeom prst="rect">
                      <a:avLst/>
                    </a:prstGeom>
                  </pic:spPr>
                </pic:pic>
              </a:graphicData>
            </a:graphic>
          </wp:inline>
        </w:drawing>
      </w:r>
    </w:p>
    <w:p w14:paraId="33BFA978">
      <w:pPr>
        <w:spacing w:before="152" w:line="218" w:lineRule="auto"/>
        <w:ind w:left="267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宋体" w:hAnsi="宋体" w:eastAsia="宋体" w:cs="宋体"/>
          <w:spacing w:val="-3"/>
          <w:sz w:val="24"/>
          <w:szCs w:val="24"/>
        </w:rPr>
        <w:t>8.2-2  评价区水文地质图</w:t>
      </w:r>
    </w:p>
    <w:p w14:paraId="0821289A">
      <w:pPr>
        <w:spacing w:before="202" w:line="2854" w:lineRule="exact"/>
        <w:ind w:firstLine="14"/>
      </w:pPr>
      <w:r>
        <w:rPr>
          <w:position w:val="-57"/>
        </w:rPr>
        <w:drawing>
          <wp:inline distT="0" distB="0" distL="0" distR="0">
            <wp:extent cx="5274310" cy="181165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94"/>
                    <a:stretch>
                      <a:fillRect/>
                    </a:stretch>
                  </pic:blipFill>
                  <pic:spPr>
                    <a:xfrm>
                      <a:off x="0" y="0"/>
                      <a:ext cx="5274563" cy="1812035"/>
                    </a:xfrm>
                    <a:prstGeom prst="rect">
                      <a:avLst/>
                    </a:prstGeom>
                  </pic:spPr>
                </pic:pic>
              </a:graphicData>
            </a:graphic>
          </wp:inline>
        </w:drawing>
      </w:r>
    </w:p>
    <w:p w14:paraId="5E8E9B6B">
      <w:pPr>
        <w:pStyle w:val="2"/>
        <w:spacing w:line="324" w:lineRule="auto"/>
      </w:pPr>
    </w:p>
    <w:p w14:paraId="52BD375C">
      <w:pPr>
        <w:spacing w:before="78" w:line="219" w:lineRule="auto"/>
        <w:ind w:left="2430"/>
        <w:rPr>
          <w:rFonts w:ascii="宋体" w:hAnsi="宋体" w:eastAsia="宋体" w:cs="宋体"/>
          <w:sz w:val="24"/>
          <w:szCs w:val="24"/>
        </w:rPr>
      </w:pPr>
      <w:r>
        <w:rPr>
          <w:rFonts w:ascii="宋体" w:hAnsi="宋体" w:eastAsia="宋体" w:cs="宋体"/>
          <w:spacing w:val="-5"/>
          <w:sz w:val="24"/>
          <w:szCs w:val="24"/>
        </w:rPr>
        <w:t>图</w:t>
      </w:r>
      <w:r>
        <w:rPr>
          <w:rFonts w:ascii="宋体" w:hAnsi="宋体" w:eastAsia="宋体" w:cs="宋体"/>
          <w:spacing w:val="-38"/>
          <w:sz w:val="24"/>
          <w:szCs w:val="24"/>
        </w:rPr>
        <w:t xml:space="preserve"> </w:t>
      </w:r>
      <w:r>
        <w:rPr>
          <w:rFonts w:ascii="宋体" w:hAnsi="宋体" w:eastAsia="宋体" w:cs="宋体"/>
          <w:spacing w:val="-5"/>
          <w:sz w:val="24"/>
          <w:szCs w:val="24"/>
        </w:rPr>
        <w:t>8.2-3   A-A</w:t>
      </w:r>
      <w:r>
        <w:rPr>
          <w:rFonts w:ascii="宋体" w:hAnsi="宋体" w:eastAsia="宋体" w:cs="宋体"/>
          <w:spacing w:val="-76"/>
          <w:sz w:val="24"/>
          <w:szCs w:val="24"/>
        </w:rPr>
        <w:t xml:space="preserve"> </w:t>
      </w:r>
      <w:r>
        <w:rPr>
          <w:rFonts w:ascii="宋体" w:hAnsi="宋体" w:eastAsia="宋体" w:cs="宋体"/>
          <w:spacing w:val="-5"/>
          <w:sz w:val="24"/>
          <w:szCs w:val="24"/>
        </w:rPr>
        <w:t>′水文地质剖面图</w:t>
      </w:r>
    </w:p>
    <w:p w14:paraId="44BFD40F">
      <w:pPr>
        <w:spacing w:before="182" w:line="219" w:lineRule="auto"/>
        <w:ind w:left="507"/>
        <w:rPr>
          <w:rFonts w:ascii="宋体" w:hAnsi="宋体" w:eastAsia="宋体" w:cs="宋体"/>
          <w:sz w:val="24"/>
          <w:szCs w:val="24"/>
        </w:rPr>
      </w:pPr>
      <w:r>
        <w:rPr>
          <w:rFonts w:ascii="宋体" w:hAnsi="宋体" w:eastAsia="宋体" w:cs="宋体"/>
          <w:spacing w:val="-2"/>
          <w:sz w:val="24"/>
          <w:szCs w:val="24"/>
        </w:rPr>
        <w:t>二、项目区含水层分布特征</w:t>
      </w:r>
    </w:p>
    <w:p w14:paraId="1CD9FAB9">
      <w:pPr>
        <w:spacing w:before="184" w:line="212" w:lineRule="auto"/>
        <w:jc w:val="right"/>
        <w:rPr>
          <w:rFonts w:ascii="宋体" w:hAnsi="宋体" w:eastAsia="宋体" w:cs="宋体"/>
          <w:sz w:val="24"/>
          <w:szCs w:val="24"/>
        </w:rPr>
      </w:pPr>
      <w:r>
        <w:rPr>
          <w:rFonts w:ascii="宋体" w:hAnsi="宋体" w:eastAsia="宋体" w:cs="宋体"/>
          <w:spacing w:val="-4"/>
          <w:sz w:val="24"/>
          <w:szCs w:val="24"/>
        </w:rPr>
        <w:t>本项目区位于丘陵区，地层上部为薄层第四系全新统风积、冲积层（</w:t>
      </w:r>
      <w:r>
        <w:rPr>
          <w:rFonts w:ascii="Times New Roman" w:hAnsi="Times New Roman" w:eastAsia="Times New Roman" w:cs="Times New Roman"/>
          <w:spacing w:val="-4"/>
          <w:sz w:val="24"/>
          <w:szCs w:val="24"/>
        </w:rPr>
        <w:t>Q</w:t>
      </w:r>
      <w:r>
        <w:rPr>
          <w:rFonts w:ascii="Times New Roman" w:hAnsi="Times New Roman" w:eastAsia="Times New Roman" w:cs="Times New Roman"/>
          <w:spacing w:val="-4"/>
          <w:position w:val="-1"/>
          <w:sz w:val="15"/>
          <w:szCs w:val="15"/>
        </w:rPr>
        <w:t>h</w:t>
      </w:r>
      <w:r>
        <w:rPr>
          <w:rFonts w:ascii="Times New Roman" w:hAnsi="Times New Roman" w:eastAsia="Times New Roman" w:cs="Times New Roman"/>
          <w:spacing w:val="-4"/>
          <w:position w:val="7"/>
          <w:sz w:val="15"/>
          <w:szCs w:val="15"/>
        </w:rPr>
        <w:t>eol+al</w:t>
      </w:r>
      <w:r>
        <w:rPr>
          <w:rFonts w:ascii="宋体" w:hAnsi="宋体" w:eastAsia="宋体" w:cs="宋体"/>
          <w:spacing w:val="-4"/>
          <w:sz w:val="24"/>
          <w:szCs w:val="24"/>
        </w:rPr>
        <w:t>）</w:t>
      </w:r>
    </w:p>
    <w:p w14:paraId="4912522E">
      <w:pPr>
        <w:spacing w:line="212" w:lineRule="auto"/>
        <w:rPr>
          <w:rFonts w:ascii="宋体" w:hAnsi="宋体" w:eastAsia="宋体" w:cs="宋体"/>
          <w:sz w:val="24"/>
          <w:szCs w:val="24"/>
        </w:rPr>
        <w:sectPr>
          <w:headerReference r:id="rId258" w:type="default"/>
          <w:footerReference r:id="rId259" w:type="default"/>
          <w:pgSz w:w="11906" w:h="16839"/>
          <w:pgMar w:top="1208" w:right="1700" w:bottom="1358" w:left="1785" w:header="825" w:footer="1195" w:gutter="0"/>
          <w:cols w:space="720" w:num="1"/>
        </w:sectPr>
      </w:pPr>
    </w:p>
    <w:p w14:paraId="51A8F885">
      <w:pPr>
        <w:pStyle w:val="2"/>
        <w:spacing w:line="268" w:lineRule="auto"/>
      </w:pPr>
    </w:p>
    <w:p w14:paraId="5D6B1305">
      <w:pPr>
        <w:spacing w:before="78" w:line="357" w:lineRule="auto"/>
        <w:ind w:left="18" w:right="18" w:firstLine="4"/>
        <w:rPr>
          <w:rFonts w:ascii="宋体" w:hAnsi="宋体" w:eastAsia="宋体" w:cs="宋体"/>
          <w:sz w:val="24"/>
          <w:szCs w:val="24"/>
        </w:rPr>
      </w:pPr>
      <w:r>
        <w:rPr>
          <w:rFonts w:ascii="宋体" w:hAnsi="宋体" w:eastAsia="宋体" w:cs="宋体"/>
          <w:spacing w:val="-1"/>
          <w:sz w:val="24"/>
          <w:szCs w:val="24"/>
        </w:rPr>
        <w:t>粉土、细砂和中砂等，厚度一般小于</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2m</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，下部为上侏罗统兴安岭群火山碎屑岩</w:t>
      </w:r>
      <w:r>
        <w:rPr>
          <w:rFonts w:ascii="宋体" w:hAnsi="宋体" w:eastAsia="宋体" w:cs="宋体"/>
          <w:sz w:val="24"/>
          <w:szCs w:val="24"/>
        </w:rPr>
        <w:t xml:space="preserve"> </w:t>
      </w:r>
      <w:r>
        <w:rPr>
          <w:rFonts w:ascii="宋体" w:hAnsi="宋体" w:eastAsia="宋体" w:cs="宋体"/>
          <w:spacing w:val="-3"/>
          <w:sz w:val="24"/>
          <w:szCs w:val="24"/>
        </w:rPr>
        <w:t>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3"/>
          <w:sz w:val="24"/>
          <w:szCs w:val="24"/>
        </w:rPr>
        <w:t>）凝灰质砂砾岩和含角砾岩屑晶屑凝灰岩，其上部透水不含水，下部赋</w:t>
      </w:r>
      <w:r>
        <w:rPr>
          <w:rFonts w:ascii="宋体" w:hAnsi="宋体" w:eastAsia="宋体" w:cs="宋体"/>
          <w:spacing w:val="15"/>
          <w:sz w:val="24"/>
          <w:szCs w:val="24"/>
        </w:rPr>
        <w:t xml:space="preserve"> </w:t>
      </w:r>
      <w:r>
        <w:rPr>
          <w:rFonts w:ascii="宋体" w:hAnsi="宋体" w:eastAsia="宋体" w:cs="宋体"/>
          <w:spacing w:val="-2"/>
          <w:sz w:val="24"/>
          <w:szCs w:val="24"/>
        </w:rPr>
        <w:t>存基岩裂隙水，地下水水位埋深一般</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10-11.79m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，含水层岩性为基岩风化裂隙带</w:t>
      </w:r>
      <w:r>
        <w:rPr>
          <w:rFonts w:ascii="宋体" w:hAnsi="宋体" w:eastAsia="宋体" w:cs="宋体"/>
          <w:sz w:val="24"/>
          <w:szCs w:val="24"/>
        </w:rPr>
        <w:t xml:space="preserve"> </w:t>
      </w:r>
      <w:r>
        <w:rPr>
          <w:rFonts w:ascii="宋体" w:hAnsi="宋体" w:eastAsia="宋体" w:cs="宋体"/>
          <w:spacing w:val="-17"/>
          <w:sz w:val="24"/>
          <w:szCs w:val="24"/>
        </w:rPr>
        <w:t>和构造裂隙带。富水性较差，单井疏干水量（</w:t>
      </w:r>
      <w:r>
        <w:rPr>
          <w:rFonts w:ascii="宋体" w:hAnsi="宋体" w:eastAsia="宋体" w:cs="宋体"/>
          <w:spacing w:val="-18"/>
          <w:sz w:val="24"/>
          <w:szCs w:val="24"/>
        </w:rPr>
        <w:t>8</w:t>
      </w:r>
      <w:r>
        <w:rPr>
          <w:rFonts w:ascii="宋体" w:hAnsi="宋体" w:eastAsia="宋体" w:cs="宋体"/>
          <w:spacing w:val="-75"/>
          <w:sz w:val="24"/>
          <w:szCs w:val="24"/>
        </w:rPr>
        <w:t xml:space="preserve"> </w:t>
      </w:r>
      <w:r>
        <w:rPr>
          <w:rFonts w:ascii="宋体" w:hAnsi="宋体" w:eastAsia="宋体" w:cs="宋体"/>
          <w:spacing w:val="-18"/>
          <w:sz w:val="24"/>
          <w:szCs w:val="24"/>
        </w:rPr>
        <w:t>″</w:t>
      </w:r>
      <w:r>
        <w:rPr>
          <w:rFonts w:ascii="宋体" w:hAnsi="宋体" w:eastAsia="宋体" w:cs="宋体"/>
          <w:spacing w:val="-74"/>
          <w:sz w:val="24"/>
          <w:szCs w:val="24"/>
        </w:rPr>
        <w:t xml:space="preserve"> </w:t>
      </w:r>
      <w:r>
        <w:rPr>
          <w:rFonts w:ascii="宋体" w:hAnsi="宋体" w:eastAsia="宋体" w:cs="宋体"/>
          <w:spacing w:val="-18"/>
          <w:sz w:val="24"/>
          <w:szCs w:val="24"/>
        </w:rPr>
        <w:t>口径，5m</w:t>
      </w:r>
      <w:r>
        <w:rPr>
          <w:rFonts w:ascii="宋体" w:hAnsi="宋体" w:eastAsia="宋体" w:cs="宋体"/>
          <w:spacing w:val="-32"/>
          <w:sz w:val="24"/>
          <w:szCs w:val="24"/>
        </w:rPr>
        <w:t xml:space="preserve"> </w:t>
      </w:r>
      <w:r>
        <w:rPr>
          <w:rFonts w:ascii="宋体" w:hAnsi="宋体" w:eastAsia="宋体" w:cs="宋体"/>
          <w:spacing w:val="-18"/>
          <w:sz w:val="24"/>
          <w:szCs w:val="24"/>
        </w:rPr>
        <w:t>降深）一般小于</w:t>
      </w:r>
      <w:r>
        <w:rPr>
          <w:rFonts w:ascii="宋体" w:hAnsi="宋体" w:eastAsia="宋体" w:cs="宋体"/>
          <w:spacing w:val="-33"/>
          <w:sz w:val="24"/>
          <w:szCs w:val="24"/>
        </w:rPr>
        <w:t xml:space="preserve"> </w:t>
      </w:r>
      <w:r>
        <w:rPr>
          <w:rFonts w:ascii="宋体" w:hAnsi="宋体" w:eastAsia="宋体" w:cs="宋体"/>
          <w:spacing w:val="-18"/>
          <w:sz w:val="24"/>
          <w:szCs w:val="24"/>
        </w:rPr>
        <w:t>100m</w:t>
      </w:r>
      <w:r>
        <w:rPr>
          <w:rFonts w:ascii="宋体" w:hAnsi="宋体" w:eastAsia="宋体" w:cs="宋体"/>
          <w:position w:val="11"/>
          <w:sz w:val="12"/>
          <w:szCs w:val="12"/>
        </w:rPr>
        <w:t>3</w:t>
      </w:r>
      <w:r>
        <w:rPr>
          <w:rFonts w:ascii="宋体" w:hAnsi="宋体" w:eastAsia="宋体" w:cs="宋体"/>
          <w:spacing w:val="-20"/>
          <w:sz w:val="24"/>
          <w:szCs w:val="24"/>
        </w:rPr>
        <w:t>/d，</w:t>
      </w:r>
      <w:r>
        <w:rPr>
          <w:rFonts w:ascii="宋体" w:hAnsi="宋体" w:eastAsia="宋体" w:cs="宋体"/>
          <w:sz w:val="24"/>
          <w:szCs w:val="24"/>
        </w:rPr>
        <w:t xml:space="preserve"> </w:t>
      </w:r>
      <w:r>
        <w:rPr>
          <w:rFonts w:ascii="宋体" w:hAnsi="宋体" w:eastAsia="宋体" w:cs="宋体"/>
          <w:spacing w:val="3"/>
          <w:sz w:val="24"/>
          <w:szCs w:val="24"/>
        </w:rPr>
        <w:t>水质较好</w:t>
      </w:r>
      <w:r>
        <w:rPr>
          <w:rFonts w:ascii="宋体" w:hAnsi="宋体" w:eastAsia="宋体" w:cs="宋体"/>
          <w:spacing w:val="-55"/>
          <w:sz w:val="24"/>
          <w:szCs w:val="24"/>
        </w:rPr>
        <w:t xml:space="preserve"> </w:t>
      </w:r>
      <w:r>
        <w:rPr>
          <w:rFonts w:ascii="宋体" w:hAnsi="宋体" w:eastAsia="宋体" w:cs="宋体"/>
          <w:spacing w:val="3"/>
          <w:sz w:val="24"/>
          <w:szCs w:val="24"/>
        </w:rPr>
        <w:t xml:space="preserve">，矿化度一般小于 </w:t>
      </w:r>
      <w:r>
        <w:rPr>
          <w:rFonts w:ascii="Times New Roman" w:hAnsi="Times New Roman" w:eastAsia="Times New Roman" w:cs="Times New Roman"/>
          <w:spacing w:val="3"/>
          <w:sz w:val="24"/>
          <w:szCs w:val="24"/>
        </w:rPr>
        <w:t xml:space="preserve">1g/L </w:t>
      </w:r>
      <w:r>
        <w:rPr>
          <w:rFonts w:ascii="宋体" w:hAnsi="宋体" w:eastAsia="宋体" w:cs="宋体"/>
          <w:spacing w:val="3"/>
          <w:sz w:val="24"/>
          <w:szCs w:val="24"/>
        </w:rPr>
        <w:t xml:space="preserve">，水化学类型为 </w:t>
      </w:r>
      <w:r>
        <w:rPr>
          <w:rFonts w:ascii="Times New Roman" w:hAnsi="Times New Roman" w:eastAsia="Times New Roman" w:cs="Times New Roman"/>
          <w:sz w:val="24"/>
          <w:szCs w:val="24"/>
        </w:rPr>
        <w:t>SO</w:t>
      </w:r>
      <w:r>
        <w:rPr>
          <w:rFonts w:ascii="Times New Roman" w:hAnsi="Times New Roman" w:eastAsia="Times New Roman" w:cs="Times New Roman"/>
          <w:spacing w:val="3"/>
          <w:position w:val="-1"/>
          <w:sz w:val="15"/>
          <w:szCs w:val="15"/>
        </w:rPr>
        <w:t xml:space="preserve">4  </w:t>
      </w:r>
      <w:r>
        <w:rPr>
          <w:rFonts w:ascii="宋体" w:hAnsi="宋体" w:eastAsia="宋体" w:cs="宋体"/>
          <w:spacing w:val="3"/>
          <w:sz w:val="24"/>
          <w:szCs w:val="24"/>
        </w:rPr>
        <w:t>·</w:t>
      </w:r>
      <w:r>
        <w:rPr>
          <w:rFonts w:ascii="Times New Roman" w:hAnsi="Times New Roman" w:eastAsia="Times New Roman" w:cs="Times New Roman"/>
          <w:sz w:val="24"/>
          <w:szCs w:val="24"/>
        </w:rPr>
        <w:t>Cl</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Mg</w:t>
      </w:r>
      <w:r>
        <w:rPr>
          <w:rFonts w:ascii="Times New Roman" w:hAnsi="Times New Roman" w:eastAsia="Times New Roman" w:cs="Times New Roman"/>
          <w:spacing w:val="29"/>
          <w:w w:val="10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Na</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HCO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Cl</w:t>
      </w:r>
      <w:r>
        <w:rPr>
          <w:rFonts w:ascii="Times New Roman" w:hAnsi="Times New Roman" w:eastAsia="Times New Roman" w:cs="Times New Roman"/>
          <w:spacing w:val="30"/>
          <w:w w:val="101"/>
          <w:sz w:val="24"/>
          <w:szCs w:val="24"/>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SO</w:t>
      </w:r>
      <w:r>
        <w:rPr>
          <w:rFonts w:ascii="Times New Roman" w:hAnsi="Times New Roman" w:eastAsia="Times New Roman" w:cs="Times New Roman"/>
          <w:spacing w:val="4"/>
          <w:sz w:val="15"/>
          <w:szCs w:val="15"/>
        </w:rPr>
        <w:t>4</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Mg</w:t>
      </w:r>
      <w:r>
        <w:rPr>
          <w:rFonts w:ascii="Times New Roman" w:hAnsi="Times New Roman" w:eastAsia="Times New Roman" w:cs="Times New Roman"/>
          <w:spacing w:val="32"/>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Na</w:t>
      </w:r>
      <w:r>
        <w:rPr>
          <w:rFonts w:ascii="Times New Roman" w:hAnsi="Times New Roman" w:eastAsia="Times New Roman" w:cs="Times New Roman"/>
          <w:spacing w:val="18"/>
          <w:w w:val="101"/>
          <w:sz w:val="24"/>
          <w:szCs w:val="24"/>
        </w:rPr>
        <w:t xml:space="preserve"> </w:t>
      </w:r>
      <w:r>
        <w:rPr>
          <w:rFonts w:ascii="宋体" w:hAnsi="宋体" w:eastAsia="宋体" w:cs="宋体"/>
          <w:spacing w:val="-10"/>
          <w:sz w:val="24"/>
          <w:szCs w:val="24"/>
        </w:rPr>
        <w:t>型水。是评价区地下水的补给区。</w:t>
      </w:r>
    </w:p>
    <w:p w14:paraId="3189898B">
      <w:pPr>
        <w:spacing w:before="23" w:line="359" w:lineRule="auto"/>
        <w:ind w:left="22" w:right="67" w:firstLine="484"/>
        <w:jc w:val="both"/>
        <w:rPr>
          <w:rFonts w:ascii="宋体" w:hAnsi="宋体" w:eastAsia="宋体" w:cs="宋体"/>
          <w:sz w:val="24"/>
          <w:szCs w:val="24"/>
        </w:rPr>
      </w:pPr>
      <w:r>
        <w:rPr>
          <w:rFonts w:ascii="宋体" w:hAnsi="宋体" w:eastAsia="宋体" w:cs="宋体"/>
          <w:spacing w:val="-3"/>
          <w:sz w:val="24"/>
          <w:szCs w:val="24"/>
        </w:rPr>
        <w:t>项目区西侧紧邻第四系沟谷，沟谷区上部赋存第四系松</w:t>
      </w:r>
      <w:r>
        <w:rPr>
          <w:rFonts w:ascii="宋体" w:hAnsi="宋体" w:eastAsia="宋体" w:cs="宋体"/>
          <w:spacing w:val="-4"/>
          <w:sz w:val="24"/>
          <w:szCs w:val="24"/>
        </w:rPr>
        <w:t>散岩类孔隙水，含水</w:t>
      </w:r>
      <w:r>
        <w:rPr>
          <w:rFonts w:ascii="宋体" w:hAnsi="宋体" w:eastAsia="宋体" w:cs="宋体"/>
          <w:sz w:val="24"/>
          <w:szCs w:val="24"/>
        </w:rPr>
        <w:t xml:space="preserve"> </w:t>
      </w:r>
      <w:r>
        <w:rPr>
          <w:rFonts w:ascii="宋体" w:hAnsi="宋体" w:eastAsia="宋体" w:cs="宋体"/>
          <w:spacing w:val="-5"/>
          <w:sz w:val="24"/>
          <w:szCs w:val="24"/>
        </w:rPr>
        <w:t>层岩性以粉细砂为主，次为中粗砂、砾砂，富水性</w:t>
      </w:r>
      <w:r>
        <w:rPr>
          <w:rFonts w:ascii="宋体" w:hAnsi="宋体" w:eastAsia="宋体" w:cs="宋体"/>
          <w:spacing w:val="-6"/>
          <w:sz w:val="24"/>
          <w:szCs w:val="24"/>
        </w:rPr>
        <w:t>较差，单井疏干水量（10</w:t>
      </w:r>
      <w:r>
        <w:rPr>
          <w:rFonts w:ascii="宋体" w:hAnsi="宋体" w:eastAsia="宋体" w:cs="宋体"/>
          <w:spacing w:val="-75"/>
          <w:sz w:val="24"/>
          <w:szCs w:val="24"/>
        </w:rPr>
        <w:t xml:space="preserve"> </w:t>
      </w:r>
      <w:r>
        <w:rPr>
          <w:rFonts w:ascii="宋体" w:hAnsi="宋体" w:eastAsia="宋体" w:cs="宋体"/>
          <w:spacing w:val="-6"/>
          <w:sz w:val="24"/>
          <w:szCs w:val="24"/>
        </w:rPr>
        <w:t>″</w:t>
      </w:r>
      <w:r>
        <w:rPr>
          <w:rFonts w:ascii="宋体" w:hAnsi="宋体" w:eastAsia="宋体" w:cs="宋体"/>
          <w:spacing w:val="-75"/>
          <w:sz w:val="24"/>
          <w:szCs w:val="24"/>
        </w:rPr>
        <w:t xml:space="preserve"> </w:t>
      </w:r>
      <w:r>
        <w:rPr>
          <w:rFonts w:ascii="宋体" w:hAnsi="宋体" w:eastAsia="宋体" w:cs="宋体"/>
          <w:spacing w:val="-6"/>
          <w:sz w:val="24"/>
          <w:szCs w:val="24"/>
        </w:rPr>
        <w:t>口</w:t>
      </w:r>
      <w:r>
        <w:rPr>
          <w:rFonts w:ascii="宋体" w:hAnsi="宋体" w:eastAsia="宋体" w:cs="宋体"/>
          <w:sz w:val="24"/>
          <w:szCs w:val="24"/>
        </w:rPr>
        <w:t xml:space="preserve"> </w:t>
      </w:r>
      <w:r>
        <w:rPr>
          <w:rFonts w:ascii="宋体" w:hAnsi="宋体" w:eastAsia="宋体" w:cs="宋体"/>
          <w:spacing w:val="-3"/>
          <w:sz w:val="24"/>
          <w:szCs w:val="24"/>
        </w:rPr>
        <w:t>径，5m</w:t>
      </w:r>
      <w:r>
        <w:rPr>
          <w:rFonts w:ascii="宋体" w:hAnsi="宋体" w:eastAsia="宋体" w:cs="宋体"/>
          <w:spacing w:val="-14"/>
          <w:sz w:val="24"/>
          <w:szCs w:val="24"/>
        </w:rPr>
        <w:t xml:space="preserve"> </w:t>
      </w:r>
      <w:r>
        <w:rPr>
          <w:rFonts w:ascii="宋体" w:hAnsi="宋体" w:eastAsia="宋体" w:cs="宋体"/>
          <w:spacing w:val="-3"/>
          <w:sz w:val="24"/>
          <w:szCs w:val="24"/>
        </w:rPr>
        <w:t>降深）一般小于</w:t>
      </w:r>
      <w:r>
        <w:rPr>
          <w:rFonts w:ascii="宋体" w:hAnsi="宋体" w:eastAsia="宋体" w:cs="宋体"/>
          <w:spacing w:val="-33"/>
          <w:sz w:val="24"/>
          <w:szCs w:val="24"/>
        </w:rPr>
        <w:t xml:space="preserve"> </w:t>
      </w:r>
      <w:r>
        <w:rPr>
          <w:rFonts w:ascii="宋体" w:hAnsi="宋体" w:eastAsia="宋体" w:cs="宋体"/>
          <w:spacing w:val="-3"/>
          <w:sz w:val="24"/>
          <w:szCs w:val="24"/>
        </w:rPr>
        <w:t>100m</w:t>
      </w:r>
      <w:r>
        <w:rPr>
          <w:rFonts w:ascii="宋体" w:hAnsi="宋体" w:eastAsia="宋体" w:cs="宋体"/>
          <w:spacing w:val="-3"/>
          <w:position w:val="11"/>
          <w:sz w:val="12"/>
          <w:szCs w:val="12"/>
        </w:rPr>
        <w:t>3</w:t>
      </w:r>
      <w:r>
        <w:rPr>
          <w:rFonts w:ascii="宋体" w:hAnsi="宋体" w:eastAsia="宋体" w:cs="宋体"/>
          <w:spacing w:val="-3"/>
          <w:sz w:val="24"/>
          <w:szCs w:val="24"/>
        </w:rPr>
        <w:t>/d；沟谷区下部赋存基岩裂隙水，含水层岩性为基</w:t>
      </w:r>
      <w:r>
        <w:rPr>
          <w:rFonts w:ascii="宋体" w:hAnsi="宋体" w:eastAsia="宋体" w:cs="宋体"/>
          <w:sz w:val="24"/>
          <w:szCs w:val="24"/>
        </w:rPr>
        <w:t xml:space="preserve"> </w:t>
      </w:r>
      <w:r>
        <w:rPr>
          <w:rFonts w:ascii="宋体" w:hAnsi="宋体" w:eastAsia="宋体" w:cs="宋体"/>
          <w:spacing w:val="-4"/>
          <w:sz w:val="24"/>
          <w:szCs w:val="24"/>
        </w:rPr>
        <w:t>岩风化裂隙带和构造裂隙带，富水性较差，单井疏干水量（8</w:t>
      </w:r>
      <w:r>
        <w:rPr>
          <w:rFonts w:ascii="宋体" w:hAnsi="宋体" w:eastAsia="宋体" w:cs="宋体"/>
          <w:spacing w:val="-76"/>
          <w:sz w:val="24"/>
          <w:szCs w:val="24"/>
        </w:rPr>
        <w:t xml:space="preserve"> </w:t>
      </w:r>
      <w:r>
        <w:rPr>
          <w:rFonts w:ascii="宋体" w:hAnsi="宋体" w:eastAsia="宋体" w:cs="宋体"/>
          <w:spacing w:val="-4"/>
          <w:sz w:val="24"/>
          <w:szCs w:val="24"/>
        </w:rPr>
        <w:t>″</w:t>
      </w:r>
      <w:r>
        <w:rPr>
          <w:rFonts w:ascii="宋体" w:hAnsi="宋体" w:eastAsia="宋体" w:cs="宋体"/>
          <w:spacing w:val="-74"/>
          <w:sz w:val="24"/>
          <w:szCs w:val="24"/>
        </w:rPr>
        <w:t xml:space="preserve"> </w:t>
      </w:r>
      <w:r>
        <w:rPr>
          <w:rFonts w:ascii="宋体" w:hAnsi="宋体" w:eastAsia="宋体" w:cs="宋体"/>
          <w:spacing w:val="-4"/>
          <w:sz w:val="24"/>
          <w:szCs w:val="24"/>
        </w:rPr>
        <w:t>口径，</w:t>
      </w:r>
      <w:r>
        <w:rPr>
          <w:rFonts w:ascii="宋体" w:hAnsi="宋体" w:eastAsia="宋体" w:cs="宋体"/>
          <w:spacing w:val="-5"/>
          <w:sz w:val="24"/>
          <w:szCs w:val="24"/>
        </w:rPr>
        <w:t>5m</w:t>
      </w:r>
      <w:r>
        <w:rPr>
          <w:rFonts w:ascii="宋体" w:hAnsi="宋体" w:eastAsia="宋体" w:cs="宋体"/>
          <w:spacing w:val="-32"/>
          <w:sz w:val="24"/>
          <w:szCs w:val="24"/>
        </w:rPr>
        <w:t xml:space="preserve"> </w:t>
      </w:r>
      <w:r>
        <w:rPr>
          <w:rFonts w:ascii="宋体" w:hAnsi="宋体" w:eastAsia="宋体" w:cs="宋体"/>
          <w:spacing w:val="-5"/>
          <w:sz w:val="24"/>
          <w:szCs w:val="24"/>
        </w:rPr>
        <w:t>降深）</w:t>
      </w:r>
      <w:r>
        <w:rPr>
          <w:rFonts w:ascii="宋体" w:hAnsi="宋体" w:eastAsia="宋体" w:cs="宋体"/>
          <w:sz w:val="24"/>
          <w:szCs w:val="24"/>
        </w:rPr>
        <w:t xml:space="preserve"> 一般小于</w:t>
      </w:r>
      <w:r>
        <w:rPr>
          <w:rFonts w:ascii="宋体" w:hAnsi="宋体" w:eastAsia="宋体" w:cs="宋体"/>
          <w:spacing w:val="-33"/>
          <w:sz w:val="24"/>
          <w:szCs w:val="24"/>
        </w:rPr>
        <w:t xml:space="preserve"> </w:t>
      </w:r>
      <w:r>
        <w:rPr>
          <w:rFonts w:ascii="宋体" w:hAnsi="宋体" w:eastAsia="宋体" w:cs="宋体"/>
          <w:sz w:val="24"/>
          <w:szCs w:val="24"/>
        </w:rPr>
        <w:t>100m</w:t>
      </w:r>
      <w:r>
        <w:rPr>
          <w:rFonts w:ascii="宋体" w:hAnsi="宋体" w:eastAsia="宋体" w:cs="宋体"/>
          <w:position w:val="11"/>
          <w:sz w:val="12"/>
          <w:szCs w:val="12"/>
        </w:rPr>
        <w:t>3</w:t>
      </w:r>
      <w:r>
        <w:rPr>
          <w:rFonts w:ascii="宋体" w:hAnsi="宋体" w:eastAsia="宋体" w:cs="宋体"/>
          <w:sz w:val="24"/>
          <w:szCs w:val="24"/>
        </w:rPr>
        <w:t>/d。根据已有井孔地层资料，上下含水</w:t>
      </w:r>
      <w:r>
        <w:rPr>
          <w:rFonts w:ascii="宋体" w:hAnsi="宋体" w:eastAsia="宋体" w:cs="宋体"/>
          <w:spacing w:val="-1"/>
          <w:sz w:val="24"/>
          <w:szCs w:val="24"/>
        </w:rPr>
        <w:t>层直接接触，联系较为密</w:t>
      </w:r>
      <w:r>
        <w:rPr>
          <w:rFonts w:ascii="宋体" w:hAnsi="宋体" w:eastAsia="宋体" w:cs="宋体"/>
          <w:sz w:val="24"/>
          <w:szCs w:val="24"/>
        </w:rPr>
        <w:t xml:space="preserve"> </w:t>
      </w:r>
      <w:r>
        <w:rPr>
          <w:rFonts w:ascii="宋体" w:hAnsi="宋体" w:eastAsia="宋体" w:cs="宋体"/>
          <w:spacing w:val="-5"/>
          <w:sz w:val="24"/>
          <w:szCs w:val="24"/>
        </w:rPr>
        <w:t>切。</w:t>
      </w:r>
    </w:p>
    <w:p w14:paraId="4891CACA">
      <w:pPr>
        <w:spacing w:before="5" w:line="219" w:lineRule="auto"/>
        <w:ind w:left="503"/>
        <w:rPr>
          <w:rFonts w:ascii="宋体" w:hAnsi="宋体" w:eastAsia="宋体" w:cs="宋体"/>
          <w:sz w:val="24"/>
          <w:szCs w:val="24"/>
        </w:rPr>
      </w:pPr>
      <w:r>
        <w:rPr>
          <w:rFonts w:ascii="宋体" w:hAnsi="宋体" w:eastAsia="宋体" w:cs="宋体"/>
          <w:spacing w:val="-1"/>
          <w:sz w:val="24"/>
          <w:szCs w:val="24"/>
        </w:rPr>
        <w:t>三、地下水补迳排条件</w:t>
      </w:r>
    </w:p>
    <w:p w14:paraId="08600608">
      <w:pPr>
        <w:spacing w:before="182" w:line="360" w:lineRule="auto"/>
        <w:ind w:left="22" w:firstLine="510"/>
        <w:jc w:val="both"/>
        <w:rPr>
          <w:rFonts w:ascii="宋体" w:hAnsi="宋体" w:eastAsia="宋体" w:cs="宋体"/>
          <w:sz w:val="24"/>
          <w:szCs w:val="24"/>
        </w:rPr>
      </w:pPr>
      <w:r>
        <w:rPr>
          <w:rFonts w:ascii="宋体" w:hAnsi="宋体" w:eastAsia="宋体" w:cs="宋体"/>
          <w:spacing w:val="-9"/>
          <w:sz w:val="24"/>
          <w:szCs w:val="24"/>
        </w:rPr>
        <w:t>由于区域地下水处在地貌单元的部位的地形条件不同，地下水的补给、径流、</w:t>
      </w:r>
      <w:r>
        <w:rPr>
          <w:rFonts w:ascii="宋体" w:hAnsi="宋体" w:eastAsia="宋体" w:cs="宋体"/>
          <w:spacing w:val="13"/>
          <w:sz w:val="24"/>
          <w:szCs w:val="24"/>
        </w:rPr>
        <w:t xml:space="preserve"> </w:t>
      </w:r>
      <w:r>
        <w:rPr>
          <w:rFonts w:ascii="宋体" w:hAnsi="宋体" w:eastAsia="宋体" w:cs="宋体"/>
          <w:spacing w:val="-3"/>
          <w:sz w:val="24"/>
          <w:szCs w:val="24"/>
        </w:rPr>
        <w:t>排泄条件也有一定差异。总的趋势是：丘陵区是地下水主要补给区，地势低洼区</w:t>
      </w:r>
      <w:r>
        <w:rPr>
          <w:rFonts w:ascii="宋体" w:hAnsi="宋体" w:eastAsia="宋体" w:cs="宋体"/>
          <w:spacing w:val="1"/>
          <w:sz w:val="24"/>
          <w:szCs w:val="24"/>
        </w:rPr>
        <w:t xml:space="preserve"> </w:t>
      </w:r>
      <w:r>
        <w:rPr>
          <w:rFonts w:ascii="宋体" w:hAnsi="宋体" w:eastAsia="宋体" w:cs="宋体"/>
          <w:spacing w:val="-3"/>
          <w:sz w:val="24"/>
          <w:szCs w:val="24"/>
        </w:rPr>
        <w:t>则是地下水的径流、排泄区。大气降水是区内地下水的主要补给来源，除部分地</w:t>
      </w:r>
      <w:r>
        <w:rPr>
          <w:rFonts w:ascii="宋体" w:hAnsi="宋体" w:eastAsia="宋体" w:cs="宋体"/>
          <w:spacing w:val="1"/>
          <w:sz w:val="24"/>
          <w:szCs w:val="24"/>
        </w:rPr>
        <w:t xml:space="preserve"> </w:t>
      </w:r>
      <w:r>
        <w:rPr>
          <w:rFonts w:ascii="宋体" w:hAnsi="宋体" w:eastAsia="宋体" w:cs="宋体"/>
          <w:spacing w:val="-3"/>
          <w:sz w:val="24"/>
          <w:szCs w:val="24"/>
        </w:rPr>
        <w:t>面蒸发外，其余部分则渗入补给地下水或形成地表径流，汇入丘间谷洼地中，地</w:t>
      </w:r>
      <w:r>
        <w:rPr>
          <w:rFonts w:ascii="宋体" w:hAnsi="宋体" w:eastAsia="宋体" w:cs="宋体"/>
          <w:spacing w:val="1"/>
          <w:sz w:val="24"/>
          <w:szCs w:val="24"/>
        </w:rPr>
        <w:t xml:space="preserve"> </w:t>
      </w:r>
      <w:r>
        <w:rPr>
          <w:rFonts w:ascii="宋体" w:hAnsi="宋体" w:eastAsia="宋体" w:cs="宋体"/>
          <w:spacing w:val="-1"/>
          <w:sz w:val="24"/>
          <w:szCs w:val="24"/>
        </w:rPr>
        <w:t>表径流或地下径流过程中不仅补充了下游含水层，沿途又</w:t>
      </w:r>
      <w:r>
        <w:rPr>
          <w:rFonts w:ascii="宋体" w:hAnsi="宋体" w:eastAsia="宋体" w:cs="宋体"/>
          <w:spacing w:val="-2"/>
          <w:sz w:val="24"/>
          <w:szCs w:val="24"/>
        </w:rPr>
        <w:t>侧向补给相邻含水层。</w:t>
      </w:r>
    </w:p>
    <w:p w14:paraId="6D80BF69">
      <w:pPr>
        <w:spacing w:before="3" w:line="359" w:lineRule="auto"/>
        <w:ind w:left="24" w:right="80" w:firstLine="479"/>
        <w:jc w:val="both"/>
        <w:rPr>
          <w:rFonts w:ascii="宋体" w:hAnsi="宋体" w:eastAsia="宋体" w:cs="宋体"/>
          <w:sz w:val="24"/>
          <w:szCs w:val="24"/>
        </w:rPr>
      </w:pPr>
      <w:r>
        <w:rPr>
          <w:rFonts w:ascii="宋体" w:hAnsi="宋体" w:eastAsia="宋体" w:cs="宋体"/>
          <w:spacing w:val="-3"/>
          <w:sz w:val="24"/>
          <w:szCs w:val="24"/>
        </w:rPr>
        <w:t>基岩裂隙水主要接受大气降水的直接渗入补给，沿节理裂隙向地</w:t>
      </w:r>
      <w:r>
        <w:rPr>
          <w:rFonts w:ascii="宋体" w:hAnsi="宋体" w:eastAsia="宋体" w:cs="宋体"/>
          <w:spacing w:val="-4"/>
          <w:sz w:val="24"/>
          <w:szCs w:val="24"/>
        </w:rPr>
        <w:t>形低洼处迳</w:t>
      </w:r>
      <w:r>
        <w:rPr>
          <w:rFonts w:ascii="宋体" w:hAnsi="宋体" w:eastAsia="宋体" w:cs="宋体"/>
          <w:sz w:val="24"/>
          <w:szCs w:val="24"/>
        </w:rPr>
        <w:t xml:space="preserve"> </w:t>
      </w:r>
      <w:r>
        <w:rPr>
          <w:rFonts w:ascii="宋体" w:hAnsi="宋体" w:eastAsia="宋体" w:cs="宋体"/>
          <w:spacing w:val="-3"/>
          <w:sz w:val="24"/>
          <w:szCs w:val="24"/>
        </w:rPr>
        <w:t>流，排泄主要向地形较低处径流补给第四系松散岩类孔隙水含水层及碎屑岩类孔</w:t>
      </w:r>
      <w:r>
        <w:rPr>
          <w:rFonts w:ascii="宋体" w:hAnsi="宋体" w:eastAsia="宋体" w:cs="宋体"/>
          <w:sz w:val="24"/>
          <w:szCs w:val="24"/>
        </w:rPr>
        <w:t xml:space="preserve"> </w:t>
      </w:r>
      <w:r>
        <w:rPr>
          <w:rFonts w:ascii="宋体" w:hAnsi="宋体" w:eastAsia="宋体" w:cs="宋体"/>
          <w:spacing w:val="-1"/>
          <w:sz w:val="24"/>
          <w:szCs w:val="24"/>
        </w:rPr>
        <w:t>隙裂隙水含水层，是评价区地下水补给区。</w:t>
      </w:r>
    </w:p>
    <w:p w14:paraId="682F91C7">
      <w:pPr>
        <w:spacing w:before="5" w:line="359" w:lineRule="auto"/>
        <w:ind w:left="23" w:right="80" w:firstLine="479"/>
        <w:jc w:val="both"/>
        <w:rPr>
          <w:rFonts w:ascii="宋体" w:hAnsi="宋体" w:eastAsia="宋体" w:cs="宋体"/>
          <w:sz w:val="24"/>
          <w:szCs w:val="24"/>
        </w:rPr>
      </w:pPr>
      <w:r>
        <w:rPr>
          <w:rFonts w:ascii="宋体" w:hAnsi="宋体" w:eastAsia="宋体" w:cs="宋体"/>
          <w:spacing w:val="-3"/>
          <w:sz w:val="24"/>
          <w:szCs w:val="24"/>
        </w:rPr>
        <w:t>碎屑岩类孔隙裂隙水主要上游地下水的侧向径流补给、基岩裂隙水</w:t>
      </w:r>
      <w:r>
        <w:rPr>
          <w:rFonts w:ascii="宋体" w:hAnsi="宋体" w:eastAsia="宋体" w:cs="宋体"/>
          <w:spacing w:val="-4"/>
          <w:sz w:val="24"/>
          <w:szCs w:val="24"/>
        </w:rPr>
        <w:t>的侧向补</w:t>
      </w:r>
      <w:r>
        <w:rPr>
          <w:rFonts w:ascii="宋体" w:hAnsi="宋体" w:eastAsia="宋体" w:cs="宋体"/>
          <w:sz w:val="24"/>
          <w:szCs w:val="24"/>
        </w:rPr>
        <w:t xml:space="preserve"> </w:t>
      </w:r>
      <w:r>
        <w:rPr>
          <w:rFonts w:ascii="宋体" w:hAnsi="宋体" w:eastAsia="宋体" w:cs="宋体"/>
          <w:spacing w:val="-3"/>
          <w:sz w:val="24"/>
          <w:szCs w:val="24"/>
        </w:rPr>
        <w:t>给，地表出露处还接受大气降水的直接渗入补给，总体向西南方向径流，主要以</w:t>
      </w:r>
      <w:r>
        <w:rPr>
          <w:rFonts w:ascii="宋体" w:hAnsi="宋体" w:eastAsia="宋体" w:cs="宋体"/>
          <w:spacing w:val="1"/>
          <w:sz w:val="24"/>
          <w:szCs w:val="24"/>
        </w:rPr>
        <w:t xml:space="preserve"> </w:t>
      </w:r>
      <w:r>
        <w:rPr>
          <w:rFonts w:ascii="宋体" w:hAnsi="宋体" w:eastAsia="宋体" w:cs="宋体"/>
          <w:spacing w:val="-3"/>
          <w:sz w:val="24"/>
          <w:szCs w:val="24"/>
        </w:rPr>
        <w:t>地下水径流及人工开采方式排泄，少部分则以地面蒸发方式排泄，是评价区地下</w:t>
      </w:r>
      <w:r>
        <w:rPr>
          <w:rFonts w:ascii="宋体" w:hAnsi="宋体" w:eastAsia="宋体" w:cs="宋体"/>
          <w:spacing w:val="1"/>
          <w:sz w:val="24"/>
          <w:szCs w:val="24"/>
        </w:rPr>
        <w:t xml:space="preserve"> </w:t>
      </w:r>
      <w:r>
        <w:rPr>
          <w:rFonts w:ascii="宋体" w:hAnsi="宋体" w:eastAsia="宋体" w:cs="宋体"/>
          <w:spacing w:val="-2"/>
          <w:sz w:val="24"/>
          <w:szCs w:val="24"/>
        </w:rPr>
        <w:t>水补给、径流区。</w:t>
      </w:r>
    </w:p>
    <w:p w14:paraId="54E9EDAF">
      <w:pPr>
        <w:spacing w:line="360" w:lineRule="auto"/>
        <w:ind w:left="23" w:right="18" w:firstLine="480"/>
        <w:jc w:val="both"/>
        <w:rPr>
          <w:rFonts w:ascii="宋体" w:hAnsi="宋体" w:eastAsia="宋体" w:cs="宋体"/>
          <w:sz w:val="24"/>
          <w:szCs w:val="24"/>
        </w:rPr>
      </w:pPr>
      <w:r>
        <w:rPr>
          <w:rFonts w:ascii="宋体" w:hAnsi="宋体" w:eastAsia="宋体" w:cs="宋体"/>
          <w:spacing w:val="4"/>
          <w:sz w:val="24"/>
          <w:szCs w:val="24"/>
        </w:rPr>
        <w:t>第四系松散岩类孔隙水主要接受基岩裂隙水和碎屑岩类孔隙裂隙水的侧向</w:t>
      </w:r>
      <w:r>
        <w:rPr>
          <w:rFonts w:ascii="宋体" w:hAnsi="宋体" w:eastAsia="宋体" w:cs="宋体"/>
          <w:spacing w:val="7"/>
          <w:sz w:val="24"/>
          <w:szCs w:val="24"/>
        </w:rPr>
        <w:t xml:space="preserve"> </w:t>
      </w:r>
      <w:r>
        <w:rPr>
          <w:rFonts w:ascii="宋体" w:hAnsi="宋体" w:eastAsia="宋体" w:cs="宋体"/>
          <w:spacing w:val="-8"/>
          <w:sz w:val="24"/>
          <w:szCs w:val="24"/>
        </w:rPr>
        <w:t>补给，其次为大气降水的直接入渗补给，地下水得到补给后，沿西南向下游迳流，</w:t>
      </w:r>
      <w:r>
        <w:rPr>
          <w:rFonts w:ascii="宋体" w:hAnsi="宋体" w:eastAsia="宋体" w:cs="宋体"/>
          <w:spacing w:val="5"/>
          <w:sz w:val="24"/>
          <w:szCs w:val="24"/>
        </w:rPr>
        <w:t xml:space="preserve"> </w:t>
      </w:r>
      <w:r>
        <w:rPr>
          <w:rFonts w:ascii="宋体" w:hAnsi="宋体" w:eastAsia="宋体" w:cs="宋体"/>
          <w:sz w:val="24"/>
          <w:szCs w:val="24"/>
        </w:rPr>
        <w:t>以蒸发、人工开采和地下水迳流的方式排泄，</w:t>
      </w:r>
      <w:r>
        <w:rPr>
          <w:rFonts w:ascii="宋体" w:hAnsi="宋体" w:eastAsia="宋体" w:cs="宋体"/>
          <w:spacing w:val="-1"/>
          <w:sz w:val="24"/>
          <w:szCs w:val="24"/>
        </w:rPr>
        <w:t>是评价区地下水排泄区。</w:t>
      </w:r>
    </w:p>
    <w:p w14:paraId="0FAD03CE">
      <w:pPr>
        <w:spacing w:before="1" w:line="219" w:lineRule="auto"/>
        <w:ind w:left="526"/>
        <w:rPr>
          <w:rFonts w:ascii="宋体" w:hAnsi="宋体" w:eastAsia="宋体" w:cs="宋体"/>
          <w:sz w:val="24"/>
          <w:szCs w:val="24"/>
        </w:rPr>
      </w:pPr>
      <w:r>
        <w:rPr>
          <w:rFonts w:ascii="宋体" w:hAnsi="宋体" w:eastAsia="宋体" w:cs="宋体"/>
          <w:spacing w:val="-5"/>
          <w:sz w:val="24"/>
          <w:szCs w:val="24"/>
        </w:rPr>
        <w:t>四、地下水动态</w:t>
      </w:r>
    </w:p>
    <w:p w14:paraId="7E2699E2">
      <w:pPr>
        <w:spacing w:line="219" w:lineRule="auto"/>
        <w:rPr>
          <w:rFonts w:ascii="宋体" w:hAnsi="宋体" w:eastAsia="宋体" w:cs="宋体"/>
          <w:sz w:val="24"/>
          <w:szCs w:val="24"/>
        </w:rPr>
        <w:sectPr>
          <w:headerReference r:id="rId260" w:type="default"/>
          <w:footerReference r:id="rId261" w:type="default"/>
          <w:pgSz w:w="11906" w:h="16839"/>
          <w:pgMar w:top="1208" w:right="1719" w:bottom="1358" w:left="1785" w:header="825" w:footer="1195" w:gutter="0"/>
          <w:cols w:space="720" w:num="1"/>
        </w:sectPr>
      </w:pPr>
    </w:p>
    <w:p w14:paraId="1EAFBD5E">
      <w:pPr>
        <w:pStyle w:val="2"/>
        <w:spacing w:line="264" w:lineRule="auto"/>
      </w:pPr>
    </w:p>
    <w:p w14:paraId="4AAEE924">
      <w:pPr>
        <w:spacing w:before="78" w:line="219" w:lineRule="auto"/>
        <w:ind w:left="776"/>
        <w:rPr>
          <w:rFonts w:ascii="Times New Roman" w:hAnsi="Times New Roman" w:eastAsia="Times New Roman" w:cs="Times New Roman"/>
          <w:sz w:val="24"/>
          <w:szCs w:val="24"/>
        </w:rPr>
      </w:pPr>
      <w:r>
        <w:rPr>
          <w:rFonts w:ascii="宋体" w:hAnsi="宋体" w:eastAsia="宋体" w:cs="宋体"/>
          <w:sz w:val="24"/>
          <w:szCs w:val="24"/>
        </w:rPr>
        <w:t>本次野外工作进行了两次水位监测，监测时间为</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2022 </w:t>
      </w:r>
      <w:r>
        <w:rPr>
          <w:rFonts w:ascii="宋体" w:hAnsi="宋体" w:eastAsia="宋体" w:cs="宋体"/>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月和</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2023 </w:t>
      </w:r>
      <w:r>
        <w:rPr>
          <w:rFonts w:ascii="宋体" w:hAnsi="宋体" w:eastAsia="宋体" w:cs="宋体"/>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5</w:t>
      </w:r>
    </w:p>
    <w:p w14:paraId="388551F9">
      <w:pPr>
        <w:spacing w:before="183" w:line="360" w:lineRule="auto"/>
        <w:ind w:left="295" w:right="205" w:firstLine="5"/>
        <w:jc w:val="both"/>
        <w:rPr>
          <w:rFonts w:ascii="宋体" w:hAnsi="宋体" w:eastAsia="宋体" w:cs="宋体"/>
          <w:sz w:val="24"/>
          <w:szCs w:val="24"/>
        </w:rPr>
      </w:pPr>
      <w:r>
        <w:rPr>
          <w:rFonts w:ascii="宋体" w:hAnsi="宋体" w:eastAsia="宋体" w:cs="宋体"/>
          <w:spacing w:val="1"/>
          <w:sz w:val="24"/>
          <w:szCs w:val="24"/>
        </w:rPr>
        <w:t>月，详见水文地质监测点信息及监测成果表（表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8.2-2</w:t>
      </w:r>
      <w:r>
        <w:rPr>
          <w:rFonts w:ascii="宋体" w:hAnsi="宋体" w:eastAsia="宋体" w:cs="宋体"/>
          <w:spacing w:val="1"/>
          <w:sz w:val="24"/>
          <w:szCs w:val="24"/>
        </w:rPr>
        <w:t>）。根据监测结</w:t>
      </w:r>
      <w:r>
        <w:rPr>
          <w:rFonts w:ascii="宋体" w:hAnsi="宋体" w:eastAsia="宋体" w:cs="宋体"/>
          <w:sz w:val="24"/>
          <w:szCs w:val="24"/>
        </w:rPr>
        <w:t xml:space="preserve">果，评价 </w:t>
      </w:r>
      <w:r>
        <w:rPr>
          <w:rFonts w:ascii="宋体" w:hAnsi="宋体" w:eastAsia="宋体" w:cs="宋体"/>
          <w:spacing w:val="-3"/>
          <w:sz w:val="24"/>
          <w:szCs w:val="24"/>
        </w:rPr>
        <w:t>区主要赋存第四系松散岩类孔隙水、基岩裂隙水和碎屑岩类孔隙裂隙水，水位埋</w:t>
      </w:r>
      <w:r>
        <w:rPr>
          <w:rFonts w:ascii="宋体" w:hAnsi="宋体" w:eastAsia="宋体" w:cs="宋体"/>
          <w:spacing w:val="1"/>
          <w:sz w:val="24"/>
          <w:szCs w:val="24"/>
        </w:rPr>
        <w:t xml:space="preserve"> </w:t>
      </w:r>
      <w:r>
        <w:rPr>
          <w:rFonts w:ascii="宋体" w:hAnsi="宋体" w:eastAsia="宋体" w:cs="宋体"/>
          <w:sz w:val="24"/>
          <w:szCs w:val="24"/>
        </w:rPr>
        <w:t>深一般</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2.59-14.44m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 xml:space="preserve">，地下水动态主要受气象因素的控制，其次受人工开采的影 </w:t>
      </w:r>
      <w:r>
        <w:rPr>
          <w:rFonts w:ascii="宋体" w:hAnsi="宋体" w:eastAsia="宋体" w:cs="宋体"/>
          <w:spacing w:val="-4"/>
          <w:sz w:val="24"/>
          <w:szCs w:val="24"/>
        </w:rPr>
        <w:t>响，地下水水位年变幅</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0.5-1.0m </w:t>
      </w:r>
      <w:r>
        <w:rPr>
          <w:rFonts w:ascii="宋体" w:hAnsi="宋体" w:eastAsia="宋体" w:cs="宋体"/>
          <w:spacing w:val="-4"/>
          <w:sz w:val="24"/>
          <w:szCs w:val="24"/>
        </w:rPr>
        <w:t>左右，详见评价区地下水等水位线图（图</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8.2-4</w:t>
      </w:r>
      <w:r>
        <w:rPr>
          <w:rFonts w:ascii="宋体" w:hAnsi="宋体" w:eastAsia="宋体" w:cs="宋体"/>
          <w:spacing w:val="-4"/>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8.2-5</w:t>
      </w:r>
      <w:r>
        <w:rPr>
          <w:rFonts w:ascii="宋体" w:hAnsi="宋体" w:eastAsia="宋体" w:cs="宋体"/>
          <w:spacing w:val="-2"/>
          <w:sz w:val="24"/>
          <w:szCs w:val="24"/>
        </w:rPr>
        <w:t>）。</w:t>
      </w:r>
    </w:p>
    <w:p w14:paraId="4D8242B8">
      <w:pPr>
        <w:spacing w:line="219" w:lineRule="auto"/>
        <w:ind w:left="224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8.2-2        </w:t>
      </w:r>
      <w:r>
        <w:rPr>
          <w:rFonts w:ascii="宋体" w:hAnsi="宋体" w:eastAsia="宋体" w:cs="宋体"/>
          <w:spacing w:val="-1"/>
          <w:sz w:val="24"/>
          <w:szCs w:val="24"/>
        </w:rPr>
        <w:t>地下水位监测点信息及结果一览表</w:t>
      </w:r>
    </w:p>
    <w:p w14:paraId="4BEE80A6">
      <w:pPr>
        <w:spacing w:line="68" w:lineRule="exact"/>
      </w:pPr>
    </w:p>
    <w:tbl>
      <w:tblPr>
        <w:tblStyle w:val="5"/>
        <w:tblW w:w="88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7"/>
        <w:gridCol w:w="1306"/>
        <w:gridCol w:w="1242"/>
        <w:gridCol w:w="621"/>
        <w:gridCol w:w="743"/>
        <w:gridCol w:w="744"/>
        <w:gridCol w:w="745"/>
        <w:gridCol w:w="743"/>
        <w:gridCol w:w="872"/>
        <w:gridCol w:w="1299"/>
      </w:tblGrid>
      <w:tr w14:paraId="078AF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557" w:type="dxa"/>
            <w:vMerge w:val="restart"/>
            <w:tcBorders>
              <w:bottom w:val="nil"/>
            </w:tcBorders>
            <w:vAlign w:val="top"/>
          </w:tcPr>
          <w:p w14:paraId="70E6251E">
            <w:pPr>
              <w:spacing w:line="461" w:lineRule="auto"/>
              <w:rPr>
                <w:rFonts w:ascii="Arial"/>
                <w:sz w:val="21"/>
              </w:rPr>
            </w:pPr>
          </w:p>
          <w:p w14:paraId="2B99A60D">
            <w:pPr>
              <w:pStyle w:val="6"/>
              <w:spacing w:before="65" w:line="228" w:lineRule="auto"/>
              <w:ind w:left="79"/>
            </w:pPr>
            <w:r>
              <w:rPr>
                <w:spacing w:val="3"/>
              </w:rPr>
              <w:t>编号</w:t>
            </w:r>
          </w:p>
        </w:tc>
        <w:tc>
          <w:tcPr>
            <w:tcW w:w="1306" w:type="dxa"/>
            <w:vMerge w:val="restart"/>
            <w:tcBorders>
              <w:bottom w:val="nil"/>
            </w:tcBorders>
            <w:vAlign w:val="top"/>
          </w:tcPr>
          <w:p w14:paraId="41C9FFCA">
            <w:pPr>
              <w:spacing w:line="461" w:lineRule="auto"/>
              <w:rPr>
                <w:rFonts w:ascii="Arial"/>
                <w:sz w:val="21"/>
              </w:rPr>
            </w:pPr>
          </w:p>
          <w:p w14:paraId="55D2BDE6">
            <w:pPr>
              <w:pStyle w:val="6"/>
              <w:spacing w:before="65" w:line="228" w:lineRule="auto"/>
              <w:ind w:left="448"/>
            </w:pPr>
            <w:r>
              <w:rPr>
                <w:spacing w:val="3"/>
              </w:rPr>
              <w:t>经度</w:t>
            </w:r>
          </w:p>
        </w:tc>
        <w:tc>
          <w:tcPr>
            <w:tcW w:w="1242" w:type="dxa"/>
            <w:vMerge w:val="restart"/>
            <w:tcBorders>
              <w:bottom w:val="nil"/>
            </w:tcBorders>
            <w:vAlign w:val="top"/>
          </w:tcPr>
          <w:p w14:paraId="43A05ABE">
            <w:pPr>
              <w:spacing w:line="461" w:lineRule="auto"/>
              <w:rPr>
                <w:rFonts w:ascii="Arial"/>
                <w:sz w:val="21"/>
              </w:rPr>
            </w:pPr>
          </w:p>
          <w:p w14:paraId="574A1C4E">
            <w:pPr>
              <w:pStyle w:val="6"/>
              <w:spacing w:before="65" w:line="228" w:lineRule="auto"/>
              <w:ind w:left="416"/>
            </w:pPr>
            <w:r>
              <w:rPr>
                <w:spacing w:val="4"/>
              </w:rPr>
              <w:t>纬度</w:t>
            </w:r>
          </w:p>
        </w:tc>
        <w:tc>
          <w:tcPr>
            <w:tcW w:w="621" w:type="dxa"/>
            <w:vMerge w:val="restart"/>
            <w:tcBorders>
              <w:bottom w:val="nil"/>
            </w:tcBorders>
            <w:vAlign w:val="top"/>
          </w:tcPr>
          <w:p w14:paraId="3C85A039">
            <w:pPr>
              <w:spacing w:line="306" w:lineRule="auto"/>
              <w:rPr>
                <w:rFonts w:ascii="Arial"/>
                <w:sz w:val="21"/>
              </w:rPr>
            </w:pPr>
          </w:p>
          <w:p w14:paraId="6D77CB4A">
            <w:pPr>
              <w:pStyle w:val="6"/>
              <w:spacing w:before="65" w:line="228" w:lineRule="auto"/>
              <w:ind w:left="92"/>
            </w:pPr>
            <w:r>
              <w:rPr>
                <w:spacing w:val="4"/>
              </w:rPr>
              <w:t>井深</w:t>
            </w:r>
          </w:p>
          <w:p w14:paraId="1FA94CD4">
            <w:pPr>
              <w:pStyle w:val="6"/>
              <w:spacing w:before="64"/>
              <w:ind w:left="30"/>
            </w:pPr>
            <w:r>
              <w:rPr>
                <w:spacing w:val="-1"/>
              </w:rPr>
              <w:t>（</w:t>
            </w:r>
            <w:r>
              <w:rPr>
                <w:rFonts w:ascii="Times New Roman" w:hAnsi="Times New Roman" w:eastAsia="Times New Roman" w:cs="Times New Roman"/>
                <w:spacing w:val="-1"/>
              </w:rPr>
              <w:t>m</w:t>
            </w:r>
            <w:r>
              <w:rPr>
                <w:spacing w:val="-1"/>
              </w:rPr>
              <w:t>）</w:t>
            </w:r>
          </w:p>
        </w:tc>
        <w:tc>
          <w:tcPr>
            <w:tcW w:w="743" w:type="dxa"/>
            <w:vMerge w:val="restart"/>
            <w:tcBorders>
              <w:bottom w:val="nil"/>
            </w:tcBorders>
            <w:vAlign w:val="top"/>
          </w:tcPr>
          <w:p w14:paraId="451845E0">
            <w:pPr>
              <w:pStyle w:val="6"/>
              <w:spacing w:before="217" w:line="229" w:lineRule="auto"/>
              <w:ind w:left="167"/>
            </w:pPr>
            <w:r>
              <w:rPr>
                <w:spacing w:val="4"/>
              </w:rPr>
              <w:t>地面</w:t>
            </w:r>
          </w:p>
          <w:p w14:paraId="3960946D">
            <w:pPr>
              <w:pStyle w:val="6"/>
              <w:spacing w:before="63" w:line="228" w:lineRule="auto"/>
              <w:ind w:left="173"/>
            </w:pPr>
            <w:r>
              <w:rPr>
                <w:spacing w:val="2"/>
              </w:rPr>
              <w:t>高程</w:t>
            </w:r>
          </w:p>
          <w:p w14:paraId="55D78EE3">
            <w:pPr>
              <w:pStyle w:val="6"/>
              <w:spacing w:before="65"/>
              <w:ind w:left="125"/>
            </w:pPr>
            <w:r>
              <w:rPr>
                <w:spacing w:val="-1"/>
              </w:rPr>
              <w:t>（</w:t>
            </w:r>
            <w:r>
              <w:rPr>
                <w:rFonts w:ascii="Times New Roman" w:hAnsi="Times New Roman" w:eastAsia="Times New Roman" w:cs="Times New Roman"/>
                <w:spacing w:val="-1"/>
              </w:rPr>
              <w:t>m</w:t>
            </w:r>
            <w:r>
              <w:rPr>
                <w:spacing w:val="-1"/>
              </w:rPr>
              <w:t>）</w:t>
            </w:r>
          </w:p>
        </w:tc>
        <w:tc>
          <w:tcPr>
            <w:tcW w:w="1489" w:type="dxa"/>
            <w:gridSpan w:val="2"/>
            <w:vAlign w:val="top"/>
          </w:tcPr>
          <w:p w14:paraId="4ED7EDEE">
            <w:pPr>
              <w:pStyle w:val="6"/>
              <w:spacing w:before="56" w:line="228" w:lineRule="auto"/>
              <w:ind w:left="143"/>
            </w:pPr>
            <w:r>
              <w:rPr>
                <w:rFonts w:ascii="Times New Roman" w:hAnsi="Times New Roman" w:eastAsia="Times New Roman" w:cs="Times New Roman"/>
              </w:rPr>
              <w:t>2022</w:t>
            </w:r>
            <w:r>
              <w:rPr>
                <w:rFonts w:ascii="Times New Roman" w:hAnsi="Times New Roman" w:eastAsia="Times New Roman" w:cs="Times New Roman"/>
                <w:spacing w:val="12"/>
              </w:rPr>
              <w:t xml:space="preserve"> </w:t>
            </w:r>
            <w:r>
              <w:t>年</w:t>
            </w:r>
            <w:r>
              <w:rPr>
                <w:spacing w:val="-23"/>
              </w:rPr>
              <w:t xml:space="preserve"> </w:t>
            </w:r>
            <w:r>
              <w:rPr>
                <w:rFonts w:ascii="Times New Roman" w:hAnsi="Times New Roman" w:eastAsia="Times New Roman" w:cs="Times New Roman"/>
              </w:rPr>
              <w:t>10</w:t>
            </w:r>
            <w:r>
              <w:rPr>
                <w:rFonts w:ascii="Times New Roman" w:hAnsi="Times New Roman" w:eastAsia="Times New Roman" w:cs="Times New Roman"/>
                <w:spacing w:val="14"/>
                <w:w w:val="101"/>
              </w:rPr>
              <w:t xml:space="preserve"> </w:t>
            </w:r>
            <w:r>
              <w:t>月</w:t>
            </w:r>
          </w:p>
        </w:tc>
        <w:tc>
          <w:tcPr>
            <w:tcW w:w="1615" w:type="dxa"/>
            <w:gridSpan w:val="2"/>
            <w:vAlign w:val="top"/>
          </w:tcPr>
          <w:p w14:paraId="7DED775B">
            <w:pPr>
              <w:pStyle w:val="6"/>
              <w:spacing w:before="56" w:line="228" w:lineRule="auto"/>
              <w:ind w:left="259"/>
            </w:pPr>
            <w:r>
              <w:rPr>
                <w:rFonts w:ascii="Times New Roman" w:hAnsi="Times New Roman" w:eastAsia="Times New Roman" w:cs="Times New Roman"/>
                <w:spacing w:val="1"/>
              </w:rPr>
              <w:t>2023</w:t>
            </w:r>
            <w:r>
              <w:rPr>
                <w:rFonts w:ascii="Times New Roman" w:hAnsi="Times New Roman" w:eastAsia="Times New Roman" w:cs="Times New Roman"/>
                <w:spacing w:val="11"/>
              </w:rPr>
              <w:t xml:space="preserve"> </w:t>
            </w:r>
            <w:r>
              <w:rPr>
                <w:spacing w:val="1"/>
              </w:rPr>
              <w:t>年</w:t>
            </w:r>
            <w:r>
              <w:rPr>
                <w:spacing w:val="-35"/>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15"/>
              </w:rPr>
              <w:t xml:space="preserve"> </w:t>
            </w:r>
            <w:r>
              <w:rPr>
                <w:spacing w:val="1"/>
              </w:rPr>
              <w:t>月</w:t>
            </w:r>
          </w:p>
        </w:tc>
        <w:tc>
          <w:tcPr>
            <w:tcW w:w="1299" w:type="dxa"/>
            <w:vMerge w:val="restart"/>
            <w:tcBorders>
              <w:bottom w:val="nil"/>
            </w:tcBorders>
            <w:vAlign w:val="top"/>
          </w:tcPr>
          <w:p w14:paraId="142768D9">
            <w:pPr>
              <w:spacing w:line="461" w:lineRule="auto"/>
              <w:rPr>
                <w:rFonts w:ascii="Arial"/>
                <w:sz w:val="21"/>
              </w:rPr>
            </w:pPr>
          </w:p>
          <w:p w14:paraId="3A7614F8">
            <w:pPr>
              <w:pStyle w:val="6"/>
              <w:spacing w:before="65" w:line="228" w:lineRule="auto"/>
              <w:ind w:left="235"/>
            </w:pPr>
            <w:r>
              <w:rPr>
                <w:spacing w:val="7"/>
              </w:rPr>
              <w:t>监测层位</w:t>
            </w:r>
          </w:p>
        </w:tc>
      </w:tr>
      <w:tr w14:paraId="6932E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Merge w:val="continue"/>
            <w:tcBorders>
              <w:top w:val="nil"/>
            </w:tcBorders>
            <w:vAlign w:val="top"/>
          </w:tcPr>
          <w:p w14:paraId="3A5B3B8A">
            <w:pPr>
              <w:rPr>
                <w:rFonts w:ascii="Arial"/>
                <w:sz w:val="21"/>
              </w:rPr>
            </w:pPr>
          </w:p>
        </w:tc>
        <w:tc>
          <w:tcPr>
            <w:tcW w:w="1306" w:type="dxa"/>
            <w:vMerge w:val="continue"/>
            <w:tcBorders>
              <w:top w:val="nil"/>
            </w:tcBorders>
            <w:vAlign w:val="top"/>
          </w:tcPr>
          <w:p w14:paraId="1E9947E6">
            <w:pPr>
              <w:rPr>
                <w:rFonts w:ascii="Arial"/>
                <w:sz w:val="21"/>
              </w:rPr>
            </w:pPr>
          </w:p>
        </w:tc>
        <w:tc>
          <w:tcPr>
            <w:tcW w:w="1242" w:type="dxa"/>
            <w:vMerge w:val="continue"/>
            <w:tcBorders>
              <w:top w:val="nil"/>
            </w:tcBorders>
            <w:vAlign w:val="top"/>
          </w:tcPr>
          <w:p w14:paraId="7C4FC45B">
            <w:pPr>
              <w:rPr>
                <w:rFonts w:ascii="Arial"/>
                <w:sz w:val="21"/>
              </w:rPr>
            </w:pPr>
          </w:p>
        </w:tc>
        <w:tc>
          <w:tcPr>
            <w:tcW w:w="621" w:type="dxa"/>
            <w:vMerge w:val="continue"/>
            <w:tcBorders>
              <w:top w:val="nil"/>
            </w:tcBorders>
            <w:vAlign w:val="top"/>
          </w:tcPr>
          <w:p w14:paraId="76EB564C">
            <w:pPr>
              <w:rPr>
                <w:rFonts w:ascii="Arial"/>
                <w:sz w:val="21"/>
              </w:rPr>
            </w:pPr>
          </w:p>
        </w:tc>
        <w:tc>
          <w:tcPr>
            <w:tcW w:w="743" w:type="dxa"/>
            <w:vMerge w:val="continue"/>
            <w:tcBorders>
              <w:top w:val="nil"/>
            </w:tcBorders>
            <w:vAlign w:val="top"/>
          </w:tcPr>
          <w:p w14:paraId="59AEA5C4">
            <w:pPr>
              <w:rPr>
                <w:rFonts w:ascii="Arial"/>
                <w:sz w:val="21"/>
              </w:rPr>
            </w:pPr>
          </w:p>
        </w:tc>
        <w:tc>
          <w:tcPr>
            <w:tcW w:w="744" w:type="dxa"/>
            <w:vAlign w:val="top"/>
          </w:tcPr>
          <w:p w14:paraId="0C149281">
            <w:pPr>
              <w:pStyle w:val="6"/>
              <w:spacing w:before="50" w:line="228" w:lineRule="auto"/>
              <w:ind w:left="171"/>
            </w:pPr>
            <w:r>
              <w:rPr>
                <w:spacing w:val="3"/>
              </w:rPr>
              <w:t>水位</w:t>
            </w:r>
          </w:p>
          <w:p w14:paraId="1EBFBD7E">
            <w:pPr>
              <w:pStyle w:val="6"/>
              <w:spacing w:before="64" w:line="231" w:lineRule="auto"/>
              <w:ind w:left="169"/>
            </w:pPr>
            <w:r>
              <w:rPr>
                <w:spacing w:val="4"/>
              </w:rPr>
              <w:t>埋深</w:t>
            </w:r>
          </w:p>
          <w:p w14:paraId="650AB3CD">
            <w:pPr>
              <w:pStyle w:val="6"/>
              <w:spacing w:before="62" w:line="236" w:lineRule="auto"/>
              <w:ind w:left="123"/>
            </w:pPr>
            <w:r>
              <w:rPr>
                <w:spacing w:val="-1"/>
              </w:rPr>
              <w:t>（</w:t>
            </w:r>
            <w:r>
              <w:rPr>
                <w:rFonts w:ascii="Times New Roman" w:hAnsi="Times New Roman" w:eastAsia="Times New Roman" w:cs="Times New Roman"/>
                <w:spacing w:val="-1"/>
              </w:rPr>
              <w:t>m</w:t>
            </w:r>
            <w:r>
              <w:rPr>
                <w:spacing w:val="-1"/>
              </w:rPr>
              <w:t>）</w:t>
            </w:r>
          </w:p>
        </w:tc>
        <w:tc>
          <w:tcPr>
            <w:tcW w:w="745" w:type="dxa"/>
            <w:vAlign w:val="top"/>
          </w:tcPr>
          <w:p w14:paraId="7EE5E792">
            <w:pPr>
              <w:pStyle w:val="6"/>
              <w:spacing w:before="50" w:line="228" w:lineRule="auto"/>
              <w:ind w:left="171"/>
            </w:pPr>
            <w:r>
              <w:rPr>
                <w:spacing w:val="3"/>
              </w:rPr>
              <w:t>水位</w:t>
            </w:r>
          </w:p>
          <w:p w14:paraId="3D8D2993">
            <w:pPr>
              <w:pStyle w:val="6"/>
              <w:spacing w:before="65" w:line="228" w:lineRule="auto"/>
              <w:ind w:left="169"/>
            </w:pPr>
            <w:r>
              <w:rPr>
                <w:spacing w:val="4"/>
              </w:rPr>
              <w:t>标高</w:t>
            </w:r>
          </w:p>
          <w:p w14:paraId="59CEB9EE">
            <w:pPr>
              <w:pStyle w:val="6"/>
              <w:spacing w:before="65" w:line="236" w:lineRule="auto"/>
              <w:ind w:left="126"/>
            </w:pPr>
            <w:r>
              <w:rPr>
                <w:spacing w:val="-1"/>
              </w:rPr>
              <w:t>（</w:t>
            </w:r>
            <w:r>
              <w:rPr>
                <w:rFonts w:ascii="Times New Roman" w:hAnsi="Times New Roman" w:eastAsia="Times New Roman" w:cs="Times New Roman"/>
                <w:spacing w:val="-1"/>
              </w:rPr>
              <w:t>m</w:t>
            </w:r>
            <w:r>
              <w:rPr>
                <w:spacing w:val="-1"/>
              </w:rPr>
              <w:t>）</w:t>
            </w:r>
          </w:p>
        </w:tc>
        <w:tc>
          <w:tcPr>
            <w:tcW w:w="743" w:type="dxa"/>
            <w:vAlign w:val="top"/>
          </w:tcPr>
          <w:p w14:paraId="65339FA6">
            <w:pPr>
              <w:pStyle w:val="6"/>
              <w:spacing w:before="50" w:line="228" w:lineRule="auto"/>
              <w:ind w:left="170"/>
            </w:pPr>
            <w:r>
              <w:rPr>
                <w:spacing w:val="3"/>
              </w:rPr>
              <w:t>水位</w:t>
            </w:r>
          </w:p>
          <w:p w14:paraId="20AF50E3">
            <w:pPr>
              <w:pStyle w:val="6"/>
              <w:spacing w:before="64" w:line="231" w:lineRule="auto"/>
              <w:ind w:left="168"/>
            </w:pPr>
            <w:r>
              <w:rPr>
                <w:spacing w:val="4"/>
              </w:rPr>
              <w:t>埋深</w:t>
            </w:r>
          </w:p>
          <w:p w14:paraId="67193EA6">
            <w:pPr>
              <w:pStyle w:val="6"/>
              <w:spacing w:before="62" w:line="236" w:lineRule="auto"/>
              <w:ind w:left="125"/>
            </w:pPr>
            <w:r>
              <w:rPr>
                <w:spacing w:val="-1"/>
              </w:rPr>
              <w:t>（</w:t>
            </w:r>
            <w:r>
              <w:rPr>
                <w:rFonts w:ascii="Times New Roman" w:hAnsi="Times New Roman" w:eastAsia="Times New Roman" w:cs="Times New Roman"/>
                <w:spacing w:val="-1"/>
              </w:rPr>
              <w:t>m</w:t>
            </w:r>
            <w:r>
              <w:rPr>
                <w:spacing w:val="-1"/>
              </w:rPr>
              <w:t>）</w:t>
            </w:r>
          </w:p>
        </w:tc>
        <w:tc>
          <w:tcPr>
            <w:tcW w:w="872" w:type="dxa"/>
            <w:vAlign w:val="top"/>
          </w:tcPr>
          <w:p w14:paraId="05663AC8">
            <w:pPr>
              <w:pStyle w:val="6"/>
              <w:spacing w:before="207" w:line="289" w:lineRule="auto"/>
              <w:ind w:left="121" w:right="16" w:firstLine="8"/>
            </w:pPr>
            <w:r>
              <w:rPr>
                <w:spacing w:val="6"/>
              </w:rPr>
              <w:t>水位标</w:t>
            </w:r>
            <w:r>
              <w:t xml:space="preserve">  </w:t>
            </w:r>
            <w:r>
              <w:rPr>
                <w:spacing w:val="-7"/>
              </w:rPr>
              <w:t>高（</w:t>
            </w:r>
            <w:r>
              <w:rPr>
                <w:rFonts w:ascii="Times New Roman" w:hAnsi="Times New Roman" w:eastAsia="Times New Roman" w:cs="Times New Roman"/>
                <w:spacing w:val="-7"/>
              </w:rPr>
              <w:t>m</w:t>
            </w:r>
            <w:r>
              <w:rPr>
                <w:spacing w:val="-7"/>
              </w:rPr>
              <w:t>）</w:t>
            </w:r>
          </w:p>
        </w:tc>
        <w:tc>
          <w:tcPr>
            <w:tcW w:w="1299" w:type="dxa"/>
            <w:vMerge w:val="continue"/>
            <w:tcBorders>
              <w:top w:val="nil"/>
            </w:tcBorders>
            <w:vAlign w:val="top"/>
          </w:tcPr>
          <w:p w14:paraId="2014131C">
            <w:pPr>
              <w:rPr>
                <w:rFonts w:ascii="Arial"/>
                <w:sz w:val="21"/>
              </w:rPr>
            </w:pPr>
          </w:p>
        </w:tc>
      </w:tr>
      <w:tr w14:paraId="7937E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57" w:type="dxa"/>
            <w:vAlign w:val="top"/>
          </w:tcPr>
          <w:p w14:paraId="79AF5081">
            <w:pPr>
              <w:spacing w:line="248" w:lineRule="auto"/>
              <w:rPr>
                <w:rFonts w:ascii="Arial"/>
                <w:sz w:val="21"/>
              </w:rPr>
            </w:pPr>
          </w:p>
          <w:p w14:paraId="5A34DBCD">
            <w:pPr>
              <w:spacing w:line="248" w:lineRule="auto"/>
              <w:rPr>
                <w:rFonts w:ascii="Arial"/>
                <w:sz w:val="21"/>
              </w:rPr>
            </w:pPr>
          </w:p>
          <w:p w14:paraId="36A01944">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1306" w:type="dxa"/>
            <w:vAlign w:val="top"/>
          </w:tcPr>
          <w:p w14:paraId="43FFAD05">
            <w:pPr>
              <w:spacing w:line="248" w:lineRule="auto"/>
              <w:rPr>
                <w:rFonts w:ascii="Arial"/>
                <w:sz w:val="21"/>
              </w:rPr>
            </w:pPr>
          </w:p>
          <w:p w14:paraId="3351D15B">
            <w:pPr>
              <w:spacing w:line="248" w:lineRule="auto"/>
              <w:rPr>
                <w:rFonts w:ascii="Arial"/>
                <w:sz w:val="21"/>
              </w:rPr>
            </w:pPr>
          </w:p>
          <w:p w14:paraId="423C27A6">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118°55′4.49″</w:t>
            </w:r>
          </w:p>
        </w:tc>
        <w:tc>
          <w:tcPr>
            <w:tcW w:w="1242" w:type="dxa"/>
            <w:vAlign w:val="top"/>
          </w:tcPr>
          <w:p w14:paraId="379419DF">
            <w:pPr>
              <w:spacing w:line="248" w:lineRule="auto"/>
              <w:rPr>
                <w:rFonts w:ascii="Arial"/>
                <w:sz w:val="21"/>
              </w:rPr>
            </w:pPr>
          </w:p>
          <w:p w14:paraId="2D011962">
            <w:pPr>
              <w:spacing w:line="248" w:lineRule="auto"/>
              <w:rPr>
                <w:rFonts w:ascii="Arial"/>
                <w:sz w:val="21"/>
              </w:rPr>
            </w:pPr>
          </w:p>
          <w:p w14:paraId="2C9D2652">
            <w:pPr>
              <w:spacing w:before="58"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17′4.75″</w:t>
            </w:r>
          </w:p>
        </w:tc>
        <w:tc>
          <w:tcPr>
            <w:tcW w:w="621" w:type="dxa"/>
            <w:vAlign w:val="top"/>
          </w:tcPr>
          <w:p w14:paraId="51CDA444">
            <w:pPr>
              <w:spacing w:line="248" w:lineRule="auto"/>
              <w:rPr>
                <w:rFonts w:ascii="Arial"/>
                <w:sz w:val="21"/>
              </w:rPr>
            </w:pPr>
          </w:p>
          <w:p w14:paraId="3CD2BA78">
            <w:pPr>
              <w:spacing w:line="248" w:lineRule="auto"/>
              <w:rPr>
                <w:rFonts w:ascii="Arial"/>
                <w:sz w:val="21"/>
              </w:rPr>
            </w:pPr>
          </w:p>
          <w:p w14:paraId="59EDD0E5">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43" w:type="dxa"/>
            <w:vAlign w:val="top"/>
          </w:tcPr>
          <w:p w14:paraId="55F5CED4">
            <w:pPr>
              <w:spacing w:line="248" w:lineRule="auto"/>
              <w:rPr>
                <w:rFonts w:ascii="Arial"/>
                <w:sz w:val="21"/>
              </w:rPr>
            </w:pPr>
          </w:p>
          <w:p w14:paraId="241F960C">
            <w:pPr>
              <w:spacing w:line="248" w:lineRule="auto"/>
              <w:rPr>
                <w:rFonts w:ascii="Arial"/>
                <w:sz w:val="21"/>
              </w:rPr>
            </w:pPr>
          </w:p>
          <w:p w14:paraId="26957A51">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955.04</w:t>
            </w:r>
          </w:p>
        </w:tc>
        <w:tc>
          <w:tcPr>
            <w:tcW w:w="744" w:type="dxa"/>
            <w:vAlign w:val="top"/>
          </w:tcPr>
          <w:p w14:paraId="436F7224">
            <w:pPr>
              <w:spacing w:line="248" w:lineRule="auto"/>
              <w:rPr>
                <w:rFonts w:ascii="Arial"/>
                <w:sz w:val="21"/>
              </w:rPr>
            </w:pPr>
          </w:p>
          <w:p w14:paraId="05EC9154">
            <w:pPr>
              <w:spacing w:line="248" w:lineRule="auto"/>
              <w:rPr>
                <w:rFonts w:ascii="Arial"/>
                <w:sz w:val="21"/>
              </w:rPr>
            </w:pPr>
          </w:p>
          <w:p w14:paraId="6D5B4828">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4.02</w:t>
            </w:r>
          </w:p>
        </w:tc>
        <w:tc>
          <w:tcPr>
            <w:tcW w:w="745" w:type="dxa"/>
            <w:vAlign w:val="top"/>
          </w:tcPr>
          <w:p w14:paraId="6816F921">
            <w:pPr>
              <w:spacing w:line="248" w:lineRule="auto"/>
              <w:rPr>
                <w:rFonts w:ascii="Arial"/>
                <w:sz w:val="21"/>
              </w:rPr>
            </w:pPr>
          </w:p>
          <w:p w14:paraId="5C69B620">
            <w:pPr>
              <w:spacing w:line="248" w:lineRule="auto"/>
              <w:rPr>
                <w:rFonts w:ascii="Arial"/>
                <w:sz w:val="21"/>
              </w:rPr>
            </w:pPr>
          </w:p>
          <w:p w14:paraId="04BE04E6">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951.02</w:t>
            </w:r>
          </w:p>
        </w:tc>
        <w:tc>
          <w:tcPr>
            <w:tcW w:w="743" w:type="dxa"/>
            <w:vAlign w:val="top"/>
          </w:tcPr>
          <w:p w14:paraId="4B2F47B4">
            <w:pPr>
              <w:spacing w:line="248" w:lineRule="auto"/>
              <w:rPr>
                <w:rFonts w:ascii="Arial"/>
                <w:sz w:val="21"/>
              </w:rPr>
            </w:pPr>
          </w:p>
          <w:p w14:paraId="03EA6EC1">
            <w:pPr>
              <w:spacing w:line="248" w:lineRule="auto"/>
              <w:rPr>
                <w:rFonts w:ascii="Arial"/>
                <w:sz w:val="21"/>
              </w:rPr>
            </w:pPr>
          </w:p>
          <w:p w14:paraId="0177E7F5">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4.37</w:t>
            </w:r>
          </w:p>
        </w:tc>
        <w:tc>
          <w:tcPr>
            <w:tcW w:w="872" w:type="dxa"/>
            <w:vAlign w:val="top"/>
          </w:tcPr>
          <w:p w14:paraId="11AA8A93">
            <w:pPr>
              <w:spacing w:line="248" w:lineRule="auto"/>
              <w:rPr>
                <w:rFonts w:ascii="Arial"/>
                <w:sz w:val="21"/>
              </w:rPr>
            </w:pPr>
          </w:p>
          <w:p w14:paraId="037D8212">
            <w:pPr>
              <w:spacing w:line="248" w:lineRule="auto"/>
              <w:rPr>
                <w:rFonts w:ascii="Arial"/>
                <w:sz w:val="21"/>
              </w:rPr>
            </w:pPr>
          </w:p>
          <w:p w14:paraId="11114C5D">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950.67</w:t>
            </w:r>
          </w:p>
        </w:tc>
        <w:tc>
          <w:tcPr>
            <w:tcW w:w="1299" w:type="dxa"/>
            <w:vAlign w:val="top"/>
          </w:tcPr>
          <w:p w14:paraId="4800D06E">
            <w:pPr>
              <w:pStyle w:val="6"/>
              <w:spacing w:before="53" w:line="228" w:lineRule="auto"/>
              <w:ind w:left="28"/>
            </w:pPr>
            <w:r>
              <w:rPr>
                <w:spacing w:val="8"/>
              </w:rPr>
              <w:t>第四系松散岩</w:t>
            </w:r>
          </w:p>
          <w:p w14:paraId="3B3B52A5">
            <w:pPr>
              <w:pStyle w:val="6"/>
              <w:spacing w:before="65" w:line="228" w:lineRule="auto"/>
              <w:ind w:left="28"/>
            </w:pPr>
            <w:r>
              <w:rPr>
                <w:spacing w:val="8"/>
              </w:rPr>
              <w:t>类孔隙水、碎</w:t>
            </w:r>
          </w:p>
          <w:p w14:paraId="69224432">
            <w:pPr>
              <w:pStyle w:val="6"/>
              <w:spacing w:before="65" w:line="228" w:lineRule="auto"/>
              <w:ind w:left="32"/>
            </w:pPr>
            <w:r>
              <w:rPr>
                <w:spacing w:val="7"/>
              </w:rPr>
              <w:t>屑岩类孔隙裂</w:t>
            </w:r>
          </w:p>
          <w:p w14:paraId="19DD77E9">
            <w:pPr>
              <w:pStyle w:val="6"/>
              <w:spacing w:before="65" w:line="228" w:lineRule="auto"/>
              <w:ind w:left="462"/>
            </w:pPr>
            <w:r>
              <w:rPr>
                <w:spacing w:val="-3"/>
              </w:rPr>
              <w:t>隙水</w:t>
            </w:r>
          </w:p>
        </w:tc>
      </w:tr>
      <w:tr w14:paraId="399BB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57" w:type="dxa"/>
            <w:vAlign w:val="top"/>
          </w:tcPr>
          <w:p w14:paraId="71A91044">
            <w:pPr>
              <w:spacing w:line="248" w:lineRule="auto"/>
              <w:rPr>
                <w:rFonts w:ascii="Arial"/>
                <w:sz w:val="21"/>
              </w:rPr>
            </w:pPr>
          </w:p>
          <w:p w14:paraId="7FF38BEB">
            <w:pPr>
              <w:spacing w:line="249" w:lineRule="auto"/>
              <w:rPr>
                <w:rFonts w:ascii="Arial"/>
                <w:sz w:val="21"/>
              </w:rPr>
            </w:pPr>
          </w:p>
          <w:p w14:paraId="0382BA39">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306" w:type="dxa"/>
            <w:vAlign w:val="top"/>
          </w:tcPr>
          <w:p w14:paraId="0724F0F0">
            <w:pPr>
              <w:spacing w:line="248" w:lineRule="auto"/>
              <w:rPr>
                <w:rFonts w:ascii="Arial"/>
                <w:sz w:val="21"/>
              </w:rPr>
            </w:pPr>
          </w:p>
          <w:p w14:paraId="679CCF42">
            <w:pPr>
              <w:spacing w:line="249" w:lineRule="auto"/>
              <w:rPr>
                <w:rFonts w:ascii="Arial"/>
                <w:sz w:val="21"/>
              </w:rPr>
            </w:pPr>
          </w:p>
          <w:p w14:paraId="4025F734">
            <w:pPr>
              <w:spacing w:before="57" w:line="195"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118°55′</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1.95″</w:t>
            </w:r>
          </w:p>
        </w:tc>
        <w:tc>
          <w:tcPr>
            <w:tcW w:w="1242" w:type="dxa"/>
            <w:vAlign w:val="top"/>
          </w:tcPr>
          <w:p w14:paraId="540233BE">
            <w:pPr>
              <w:spacing w:line="248" w:lineRule="auto"/>
              <w:rPr>
                <w:rFonts w:ascii="Arial"/>
                <w:sz w:val="21"/>
              </w:rPr>
            </w:pPr>
          </w:p>
          <w:p w14:paraId="1E86D671">
            <w:pPr>
              <w:spacing w:line="249" w:lineRule="auto"/>
              <w:rPr>
                <w:rFonts w:ascii="Arial"/>
                <w:sz w:val="21"/>
              </w:rPr>
            </w:pPr>
          </w:p>
          <w:p w14:paraId="4471DC40">
            <w:pPr>
              <w:spacing w:before="5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11.05″</w:t>
            </w:r>
          </w:p>
        </w:tc>
        <w:tc>
          <w:tcPr>
            <w:tcW w:w="621" w:type="dxa"/>
            <w:vAlign w:val="top"/>
          </w:tcPr>
          <w:p w14:paraId="7C915CAB">
            <w:pPr>
              <w:spacing w:line="248" w:lineRule="auto"/>
              <w:rPr>
                <w:rFonts w:ascii="Arial"/>
                <w:sz w:val="21"/>
              </w:rPr>
            </w:pPr>
          </w:p>
          <w:p w14:paraId="0D5F0AA3">
            <w:pPr>
              <w:spacing w:line="249" w:lineRule="auto"/>
              <w:rPr>
                <w:rFonts w:ascii="Arial"/>
                <w:sz w:val="21"/>
              </w:rPr>
            </w:pPr>
          </w:p>
          <w:p w14:paraId="5EC8E8E1">
            <w:pPr>
              <w:spacing w:before="5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43" w:type="dxa"/>
            <w:vAlign w:val="top"/>
          </w:tcPr>
          <w:p w14:paraId="035EE93C">
            <w:pPr>
              <w:spacing w:line="248" w:lineRule="auto"/>
              <w:rPr>
                <w:rFonts w:ascii="Arial"/>
                <w:sz w:val="21"/>
              </w:rPr>
            </w:pPr>
          </w:p>
          <w:p w14:paraId="3BD00D87">
            <w:pPr>
              <w:spacing w:line="249" w:lineRule="auto"/>
              <w:rPr>
                <w:rFonts w:ascii="Arial"/>
                <w:sz w:val="21"/>
              </w:rPr>
            </w:pPr>
          </w:p>
          <w:p w14:paraId="0C9FE7A4">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950.03</w:t>
            </w:r>
          </w:p>
        </w:tc>
        <w:tc>
          <w:tcPr>
            <w:tcW w:w="744" w:type="dxa"/>
            <w:vAlign w:val="top"/>
          </w:tcPr>
          <w:p w14:paraId="7705AB0D">
            <w:pPr>
              <w:spacing w:line="248" w:lineRule="auto"/>
              <w:rPr>
                <w:rFonts w:ascii="Arial"/>
                <w:sz w:val="21"/>
              </w:rPr>
            </w:pPr>
          </w:p>
          <w:p w14:paraId="1877DE54">
            <w:pPr>
              <w:spacing w:line="249" w:lineRule="auto"/>
              <w:rPr>
                <w:rFonts w:ascii="Arial"/>
                <w:sz w:val="21"/>
              </w:rPr>
            </w:pPr>
          </w:p>
          <w:p w14:paraId="4126D9D2">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c>
          <w:tcPr>
            <w:tcW w:w="745" w:type="dxa"/>
            <w:vAlign w:val="top"/>
          </w:tcPr>
          <w:p w14:paraId="32EC040E">
            <w:pPr>
              <w:spacing w:line="248" w:lineRule="auto"/>
              <w:rPr>
                <w:rFonts w:ascii="Arial"/>
                <w:sz w:val="21"/>
              </w:rPr>
            </w:pPr>
          </w:p>
          <w:p w14:paraId="29EB0664">
            <w:pPr>
              <w:spacing w:line="249" w:lineRule="auto"/>
              <w:rPr>
                <w:rFonts w:ascii="Arial"/>
                <w:sz w:val="21"/>
              </w:rPr>
            </w:pPr>
          </w:p>
          <w:p w14:paraId="4586027C">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944.72</w:t>
            </w:r>
          </w:p>
        </w:tc>
        <w:tc>
          <w:tcPr>
            <w:tcW w:w="743" w:type="dxa"/>
            <w:vAlign w:val="top"/>
          </w:tcPr>
          <w:p w14:paraId="1F7A5535">
            <w:pPr>
              <w:spacing w:line="248" w:lineRule="auto"/>
              <w:rPr>
                <w:rFonts w:ascii="Arial"/>
                <w:sz w:val="21"/>
              </w:rPr>
            </w:pPr>
          </w:p>
          <w:p w14:paraId="5E23E52E">
            <w:pPr>
              <w:spacing w:line="249" w:lineRule="auto"/>
              <w:rPr>
                <w:rFonts w:ascii="Arial"/>
                <w:sz w:val="21"/>
              </w:rPr>
            </w:pPr>
          </w:p>
          <w:p w14:paraId="58AB308E">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5.85</w:t>
            </w:r>
          </w:p>
        </w:tc>
        <w:tc>
          <w:tcPr>
            <w:tcW w:w="872" w:type="dxa"/>
            <w:vAlign w:val="top"/>
          </w:tcPr>
          <w:p w14:paraId="1D5010CB">
            <w:pPr>
              <w:spacing w:line="248" w:lineRule="auto"/>
              <w:rPr>
                <w:rFonts w:ascii="Arial"/>
                <w:sz w:val="21"/>
              </w:rPr>
            </w:pPr>
          </w:p>
          <w:p w14:paraId="4E67E493">
            <w:pPr>
              <w:spacing w:line="249" w:lineRule="auto"/>
              <w:rPr>
                <w:rFonts w:ascii="Arial"/>
                <w:sz w:val="21"/>
              </w:rPr>
            </w:pPr>
          </w:p>
          <w:p w14:paraId="3D046194">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944.18</w:t>
            </w:r>
          </w:p>
        </w:tc>
        <w:tc>
          <w:tcPr>
            <w:tcW w:w="1299" w:type="dxa"/>
            <w:vAlign w:val="top"/>
          </w:tcPr>
          <w:p w14:paraId="52CDA316">
            <w:pPr>
              <w:pStyle w:val="6"/>
              <w:spacing w:before="53" w:line="228" w:lineRule="auto"/>
              <w:ind w:left="28"/>
            </w:pPr>
            <w:r>
              <w:rPr>
                <w:spacing w:val="8"/>
              </w:rPr>
              <w:t>第四系松散岩</w:t>
            </w:r>
          </w:p>
          <w:p w14:paraId="370C992F">
            <w:pPr>
              <w:pStyle w:val="6"/>
              <w:spacing w:before="65" w:line="228" w:lineRule="auto"/>
              <w:ind w:left="28"/>
            </w:pPr>
            <w:r>
              <w:rPr>
                <w:spacing w:val="8"/>
              </w:rPr>
              <w:t>类孔隙水、碎</w:t>
            </w:r>
          </w:p>
          <w:p w14:paraId="69B765F9">
            <w:pPr>
              <w:pStyle w:val="6"/>
              <w:spacing w:before="65" w:line="228" w:lineRule="auto"/>
              <w:ind w:left="32"/>
            </w:pPr>
            <w:r>
              <w:rPr>
                <w:spacing w:val="7"/>
              </w:rPr>
              <w:t>屑岩类孔隙裂</w:t>
            </w:r>
          </w:p>
          <w:p w14:paraId="3E8A02A9">
            <w:pPr>
              <w:pStyle w:val="6"/>
              <w:spacing w:before="65" w:line="228" w:lineRule="auto"/>
              <w:ind w:left="462"/>
            </w:pPr>
            <w:r>
              <w:rPr>
                <w:spacing w:val="-3"/>
              </w:rPr>
              <w:t>隙水</w:t>
            </w:r>
          </w:p>
        </w:tc>
      </w:tr>
      <w:tr w14:paraId="7A697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57" w:type="dxa"/>
            <w:vAlign w:val="top"/>
          </w:tcPr>
          <w:p w14:paraId="522ADB40">
            <w:pPr>
              <w:spacing w:before="24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1306" w:type="dxa"/>
            <w:vAlign w:val="top"/>
          </w:tcPr>
          <w:p w14:paraId="1D59720B">
            <w:pPr>
              <w:spacing w:before="246"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118°54′53.53″</w:t>
            </w:r>
          </w:p>
        </w:tc>
        <w:tc>
          <w:tcPr>
            <w:tcW w:w="1242" w:type="dxa"/>
            <w:vAlign w:val="top"/>
          </w:tcPr>
          <w:p w14:paraId="60D31BCA">
            <w:pPr>
              <w:spacing w:before="246"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16′51.02″</w:t>
            </w:r>
          </w:p>
        </w:tc>
        <w:tc>
          <w:tcPr>
            <w:tcW w:w="621" w:type="dxa"/>
            <w:vAlign w:val="top"/>
          </w:tcPr>
          <w:p w14:paraId="333A9953">
            <w:pPr>
              <w:spacing w:before="246"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9.17</w:t>
            </w:r>
          </w:p>
        </w:tc>
        <w:tc>
          <w:tcPr>
            <w:tcW w:w="743" w:type="dxa"/>
            <w:vAlign w:val="top"/>
          </w:tcPr>
          <w:p w14:paraId="5C3084D1">
            <w:pPr>
              <w:spacing w:before="246"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949.73</w:t>
            </w:r>
          </w:p>
        </w:tc>
        <w:tc>
          <w:tcPr>
            <w:tcW w:w="744" w:type="dxa"/>
            <w:vAlign w:val="top"/>
          </w:tcPr>
          <w:p w14:paraId="46210004">
            <w:pPr>
              <w:spacing w:before="246"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6.01</w:t>
            </w:r>
          </w:p>
        </w:tc>
        <w:tc>
          <w:tcPr>
            <w:tcW w:w="745" w:type="dxa"/>
            <w:vAlign w:val="top"/>
          </w:tcPr>
          <w:p w14:paraId="0183E2F8">
            <w:pPr>
              <w:spacing w:before="246"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943.72</w:t>
            </w:r>
          </w:p>
        </w:tc>
        <w:tc>
          <w:tcPr>
            <w:tcW w:w="743" w:type="dxa"/>
            <w:vAlign w:val="top"/>
          </w:tcPr>
          <w:p w14:paraId="54C2D9B2">
            <w:pPr>
              <w:spacing w:before="24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872" w:type="dxa"/>
            <w:vAlign w:val="top"/>
          </w:tcPr>
          <w:p w14:paraId="28BFF1CB">
            <w:pPr>
              <w:spacing w:before="246"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943.41</w:t>
            </w:r>
          </w:p>
        </w:tc>
        <w:tc>
          <w:tcPr>
            <w:tcW w:w="1299" w:type="dxa"/>
            <w:vAlign w:val="top"/>
          </w:tcPr>
          <w:p w14:paraId="575DE62D">
            <w:pPr>
              <w:pStyle w:val="6"/>
              <w:spacing w:before="54" w:line="228" w:lineRule="auto"/>
              <w:ind w:left="28"/>
            </w:pPr>
            <w:r>
              <w:rPr>
                <w:spacing w:val="8"/>
              </w:rPr>
              <w:t>第四系松散岩</w:t>
            </w:r>
          </w:p>
          <w:p w14:paraId="43232854">
            <w:pPr>
              <w:pStyle w:val="6"/>
              <w:spacing w:before="64" w:line="228" w:lineRule="auto"/>
              <w:ind w:left="239"/>
            </w:pPr>
            <w:r>
              <w:rPr>
                <w:spacing w:val="7"/>
              </w:rPr>
              <w:t>类孔隙水</w:t>
            </w:r>
          </w:p>
        </w:tc>
      </w:tr>
      <w:tr w14:paraId="7D48C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557" w:type="dxa"/>
            <w:vAlign w:val="top"/>
          </w:tcPr>
          <w:p w14:paraId="23539955">
            <w:pPr>
              <w:spacing w:line="248" w:lineRule="auto"/>
              <w:rPr>
                <w:rFonts w:ascii="Arial"/>
                <w:sz w:val="21"/>
              </w:rPr>
            </w:pPr>
          </w:p>
          <w:p w14:paraId="68E46C2E">
            <w:pPr>
              <w:spacing w:line="249" w:lineRule="auto"/>
              <w:rPr>
                <w:rFonts w:ascii="Arial"/>
                <w:sz w:val="21"/>
              </w:rPr>
            </w:pPr>
          </w:p>
          <w:p w14:paraId="4BFAA299">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306" w:type="dxa"/>
            <w:vAlign w:val="top"/>
          </w:tcPr>
          <w:p w14:paraId="0A8E4982">
            <w:pPr>
              <w:spacing w:line="248" w:lineRule="auto"/>
              <w:rPr>
                <w:rFonts w:ascii="Arial"/>
                <w:sz w:val="21"/>
              </w:rPr>
            </w:pPr>
          </w:p>
          <w:p w14:paraId="2EC698A0">
            <w:pPr>
              <w:spacing w:line="249" w:lineRule="auto"/>
              <w:rPr>
                <w:rFonts w:ascii="Arial"/>
                <w:sz w:val="21"/>
              </w:rPr>
            </w:pPr>
          </w:p>
          <w:p w14:paraId="555F3A49">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118°54′50.36″</w:t>
            </w:r>
          </w:p>
        </w:tc>
        <w:tc>
          <w:tcPr>
            <w:tcW w:w="1242" w:type="dxa"/>
            <w:vAlign w:val="top"/>
          </w:tcPr>
          <w:p w14:paraId="531CDCA8">
            <w:pPr>
              <w:spacing w:line="248" w:lineRule="auto"/>
              <w:rPr>
                <w:rFonts w:ascii="Arial"/>
                <w:sz w:val="21"/>
              </w:rPr>
            </w:pPr>
          </w:p>
          <w:p w14:paraId="58448831">
            <w:pPr>
              <w:spacing w:line="249" w:lineRule="auto"/>
              <w:rPr>
                <w:rFonts w:ascii="Arial"/>
                <w:sz w:val="21"/>
              </w:rPr>
            </w:pPr>
          </w:p>
          <w:p w14:paraId="7EC77571">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16′41.15″</w:t>
            </w:r>
          </w:p>
        </w:tc>
        <w:tc>
          <w:tcPr>
            <w:tcW w:w="621" w:type="dxa"/>
            <w:vAlign w:val="top"/>
          </w:tcPr>
          <w:p w14:paraId="0BCF5796">
            <w:pPr>
              <w:spacing w:line="248" w:lineRule="auto"/>
              <w:rPr>
                <w:rFonts w:ascii="Arial"/>
                <w:sz w:val="21"/>
              </w:rPr>
            </w:pPr>
          </w:p>
          <w:p w14:paraId="4D6EA52D">
            <w:pPr>
              <w:spacing w:line="249" w:lineRule="auto"/>
              <w:rPr>
                <w:rFonts w:ascii="Arial"/>
                <w:sz w:val="21"/>
              </w:rPr>
            </w:pPr>
          </w:p>
          <w:p w14:paraId="350738B6">
            <w:pPr>
              <w:spacing w:before="5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43" w:type="dxa"/>
            <w:vAlign w:val="top"/>
          </w:tcPr>
          <w:p w14:paraId="791E6498">
            <w:pPr>
              <w:spacing w:line="248" w:lineRule="auto"/>
              <w:rPr>
                <w:rFonts w:ascii="Arial"/>
                <w:sz w:val="21"/>
              </w:rPr>
            </w:pPr>
          </w:p>
          <w:p w14:paraId="526AC8EC">
            <w:pPr>
              <w:spacing w:line="249" w:lineRule="auto"/>
              <w:rPr>
                <w:rFonts w:ascii="Arial"/>
                <w:sz w:val="21"/>
              </w:rPr>
            </w:pPr>
          </w:p>
          <w:p w14:paraId="0DA2889B">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947.54</w:t>
            </w:r>
          </w:p>
        </w:tc>
        <w:tc>
          <w:tcPr>
            <w:tcW w:w="744" w:type="dxa"/>
            <w:vAlign w:val="top"/>
          </w:tcPr>
          <w:p w14:paraId="200B4C1A">
            <w:pPr>
              <w:spacing w:line="248" w:lineRule="auto"/>
              <w:rPr>
                <w:rFonts w:ascii="Arial"/>
                <w:sz w:val="21"/>
              </w:rPr>
            </w:pPr>
          </w:p>
          <w:p w14:paraId="194EC5D6">
            <w:pPr>
              <w:spacing w:line="249" w:lineRule="auto"/>
              <w:rPr>
                <w:rFonts w:ascii="Arial"/>
                <w:sz w:val="21"/>
              </w:rPr>
            </w:pPr>
          </w:p>
          <w:p w14:paraId="0FB5F132">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5.93</w:t>
            </w:r>
          </w:p>
        </w:tc>
        <w:tc>
          <w:tcPr>
            <w:tcW w:w="745" w:type="dxa"/>
            <w:vAlign w:val="top"/>
          </w:tcPr>
          <w:p w14:paraId="2FC08E51">
            <w:pPr>
              <w:spacing w:line="248" w:lineRule="auto"/>
              <w:rPr>
                <w:rFonts w:ascii="Arial"/>
                <w:sz w:val="21"/>
              </w:rPr>
            </w:pPr>
          </w:p>
          <w:p w14:paraId="010A811C">
            <w:pPr>
              <w:spacing w:line="249" w:lineRule="auto"/>
              <w:rPr>
                <w:rFonts w:ascii="Arial"/>
                <w:sz w:val="21"/>
              </w:rPr>
            </w:pPr>
          </w:p>
          <w:p w14:paraId="4685448E">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941.61</w:t>
            </w:r>
          </w:p>
        </w:tc>
        <w:tc>
          <w:tcPr>
            <w:tcW w:w="743" w:type="dxa"/>
            <w:vAlign w:val="top"/>
          </w:tcPr>
          <w:p w14:paraId="593E50E4">
            <w:pPr>
              <w:spacing w:line="248" w:lineRule="auto"/>
              <w:rPr>
                <w:rFonts w:ascii="Arial"/>
                <w:sz w:val="21"/>
              </w:rPr>
            </w:pPr>
          </w:p>
          <w:p w14:paraId="18795916">
            <w:pPr>
              <w:spacing w:line="249" w:lineRule="auto"/>
              <w:rPr>
                <w:rFonts w:ascii="Arial"/>
                <w:sz w:val="21"/>
              </w:rPr>
            </w:pPr>
          </w:p>
          <w:p w14:paraId="36CF40AA">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6.05</w:t>
            </w:r>
          </w:p>
        </w:tc>
        <w:tc>
          <w:tcPr>
            <w:tcW w:w="872" w:type="dxa"/>
            <w:vAlign w:val="top"/>
          </w:tcPr>
          <w:p w14:paraId="4C4200FA">
            <w:pPr>
              <w:spacing w:line="248" w:lineRule="auto"/>
              <w:rPr>
                <w:rFonts w:ascii="Arial"/>
                <w:sz w:val="21"/>
              </w:rPr>
            </w:pPr>
          </w:p>
          <w:p w14:paraId="3525BA3C">
            <w:pPr>
              <w:spacing w:line="249" w:lineRule="auto"/>
              <w:rPr>
                <w:rFonts w:ascii="Arial"/>
                <w:sz w:val="21"/>
              </w:rPr>
            </w:pPr>
          </w:p>
          <w:p w14:paraId="740C304E">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941.49</w:t>
            </w:r>
          </w:p>
        </w:tc>
        <w:tc>
          <w:tcPr>
            <w:tcW w:w="1299" w:type="dxa"/>
            <w:vAlign w:val="top"/>
          </w:tcPr>
          <w:p w14:paraId="0D96DF04">
            <w:pPr>
              <w:pStyle w:val="6"/>
              <w:spacing w:before="53" w:line="228" w:lineRule="auto"/>
              <w:ind w:left="28"/>
            </w:pPr>
            <w:r>
              <w:rPr>
                <w:spacing w:val="8"/>
              </w:rPr>
              <w:t>第四系松散岩</w:t>
            </w:r>
          </w:p>
          <w:p w14:paraId="71F6E07E">
            <w:pPr>
              <w:pStyle w:val="6"/>
              <w:spacing w:before="65" w:line="228" w:lineRule="auto"/>
              <w:ind w:left="28"/>
            </w:pPr>
            <w:r>
              <w:rPr>
                <w:spacing w:val="8"/>
              </w:rPr>
              <w:t>类孔隙水、碎</w:t>
            </w:r>
          </w:p>
          <w:p w14:paraId="106BFBA6">
            <w:pPr>
              <w:pStyle w:val="6"/>
              <w:spacing w:before="65" w:line="228" w:lineRule="auto"/>
              <w:ind w:left="32"/>
            </w:pPr>
            <w:r>
              <w:rPr>
                <w:spacing w:val="7"/>
              </w:rPr>
              <w:t>屑岩类孔隙裂</w:t>
            </w:r>
          </w:p>
          <w:p w14:paraId="7467C6EB">
            <w:pPr>
              <w:pStyle w:val="6"/>
              <w:spacing w:before="65" w:line="228" w:lineRule="auto"/>
              <w:ind w:left="462"/>
            </w:pPr>
            <w:r>
              <w:rPr>
                <w:spacing w:val="-3"/>
              </w:rPr>
              <w:t>隙水</w:t>
            </w:r>
          </w:p>
        </w:tc>
      </w:tr>
      <w:tr w14:paraId="5DABB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Align w:val="top"/>
          </w:tcPr>
          <w:p w14:paraId="0CE5880E">
            <w:pPr>
              <w:spacing w:line="345" w:lineRule="auto"/>
              <w:rPr>
                <w:rFonts w:ascii="Arial"/>
                <w:sz w:val="21"/>
              </w:rPr>
            </w:pPr>
          </w:p>
          <w:p w14:paraId="7EF4681A">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306" w:type="dxa"/>
            <w:vAlign w:val="top"/>
          </w:tcPr>
          <w:p w14:paraId="72190816">
            <w:pPr>
              <w:spacing w:line="345" w:lineRule="auto"/>
              <w:rPr>
                <w:rFonts w:ascii="Arial"/>
                <w:sz w:val="21"/>
              </w:rPr>
            </w:pPr>
          </w:p>
          <w:p w14:paraId="5DB41FC1">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118°57′2.31″</w:t>
            </w:r>
          </w:p>
        </w:tc>
        <w:tc>
          <w:tcPr>
            <w:tcW w:w="1242" w:type="dxa"/>
            <w:vAlign w:val="top"/>
          </w:tcPr>
          <w:p w14:paraId="19DB7C67">
            <w:pPr>
              <w:spacing w:line="345" w:lineRule="auto"/>
              <w:rPr>
                <w:rFonts w:ascii="Arial"/>
                <w:sz w:val="21"/>
              </w:rPr>
            </w:pPr>
          </w:p>
          <w:p w14:paraId="56FC8E08">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14′56.70″</w:t>
            </w:r>
          </w:p>
        </w:tc>
        <w:tc>
          <w:tcPr>
            <w:tcW w:w="621" w:type="dxa"/>
            <w:vAlign w:val="top"/>
          </w:tcPr>
          <w:p w14:paraId="11A2FAF0">
            <w:pPr>
              <w:spacing w:line="345" w:lineRule="auto"/>
              <w:rPr>
                <w:rFonts w:ascii="Arial"/>
                <w:sz w:val="21"/>
              </w:rPr>
            </w:pPr>
          </w:p>
          <w:p w14:paraId="45E9979D">
            <w:pPr>
              <w:spacing w:before="58"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43" w:type="dxa"/>
            <w:vAlign w:val="top"/>
          </w:tcPr>
          <w:p w14:paraId="579F7340">
            <w:pPr>
              <w:spacing w:line="345" w:lineRule="auto"/>
              <w:rPr>
                <w:rFonts w:ascii="Arial"/>
                <w:sz w:val="21"/>
              </w:rPr>
            </w:pPr>
          </w:p>
          <w:p w14:paraId="35EF8757">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969.48</w:t>
            </w:r>
          </w:p>
        </w:tc>
        <w:tc>
          <w:tcPr>
            <w:tcW w:w="744" w:type="dxa"/>
            <w:vAlign w:val="top"/>
          </w:tcPr>
          <w:p w14:paraId="17DC7C62">
            <w:pPr>
              <w:spacing w:line="345" w:lineRule="auto"/>
              <w:rPr>
                <w:rFonts w:ascii="Arial"/>
                <w:sz w:val="21"/>
              </w:rPr>
            </w:pPr>
          </w:p>
          <w:p w14:paraId="7D69D173">
            <w:pPr>
              <w:spacing w:before="58"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8.36</w:t>
            </w:r>
          </w:p>
        </w:tc>
        <w:tc>
          <w:tcPr>
            <w:tcW w:w="745" w:type="dxa"/>
            <w:vAlign w:val="top"/>
          </w:tcPr>
          <w:p w14:paraId="1312683F">
            <w:pPr>
              <w:spacing w:line="345" w:lineRule="auto"/>
              <w:rPr>
                <w:rFonts w:ascii="Arial"/>
                <w:sz w:val="21"/>
              </w:rPr>
            </w:pPr>
          </w:p>
          <w:p w14:paraId="3AF91449">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961.</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12</w:t>
            </w:r>
          </w:p>
        </w:tc>
        <w:tc>
          <w:tcPr>
            <w:tcW w:w="743" w:type="dxa"/>
            <w:vAlign w:val="top"/>
          </w:tcPr>
          <w:p w14:paraId="6FE7BD83">
            <w:pPr>
              <w:spacing w:line="345" w:lineRule="auto"/>
              <w:rPr>
                <w:rFonts w:ascii="Arial"/>
                <w:sz w:val="21"/>
              </w:rPr>
            </w:pPr>
          </w:p>
          <w:p w14:paraId="25A0B6CB">
            <w:pPr>
              <w:spacing w:before="58"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8.61</w:t>
            </w:r>
          </w:p>
        </w:tc>
        <w:tc>
          <w:tcPr>
            <w:tcW w:w="872" w:type="dxa"/>
            <w:vAlign w:val="top"/>
          </w:tcPr>
          <w:p w14:paraId="503842F3">
            <w:pPr>
              <w:spacing w:line="345" w:lineRule="auto"/>
              <w:rPr>
                <w:rFonts w:ascii="Arial"/>
                <w:sz w:val="21"/>
              </w:rPr>
            </w:pPr>
          </w:p>
          <w:p w14:paraId="3C4FCB0F">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960.87</w:t>
            </w:r>
          </w:p>
        </w:tc>
        <w:tc>
          <w:tcPr>
            <w:tcW w:w="1299" w:type="dxa"/>
            <w:vAlign w:val="top"/>
          </w:tcPr>
          <w:p w14:paraId="188D4487">
            <w:pPr>
              <w:pStyle w:val="6"/>
              <w:spacing w:before="54" w:line="228" w:lineRule="auto"/>
              <w:ind w:left="28"/>
            </w:pPr>
            <w:r>
              <w:rPr>
                <w:spacing w:val="8"/>
              </w:rPr>
              <w:t>第四系松散岩</w:t>
            </w:r>
          </w:p>
          <w:p w14:paraId="71460970">
            <w:pPr>
              <w:pStyle w:val="6"/>
              <w:spacing w:before="65" w:line="228" w:lineRule="auto"/>
              <w:ind w:left="28"/>
            </w:pPr>
            <w:r>
              <w:rPr>
                <w:spacing w:val="8"/>
              </w:rPr>
              <w:t>类孔隙水、基</w:t>
            </w:r>
          </w:p>
          <w:p w14:paraId="46B2D39C">
            <w:pPr>
              <w:pStyle w:val="6"/>
              <w:spacing w:before="64" w:line="228" w:lineRule="auto"/>
              <w:ind w:left="239"/>
            </w:pPr>
            <w:r>
              <w:rPr>
                <w:spacing w:val="7"/>
              </w:rPr>
              <w:t>岩裂隙水</w:t>
            </w:r>
          </w:p>
        </w:tc>
      </w:tr>
      <w:tr w14:paraId="5135A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57" w:type="dxa"/>
            <w:vAlign w:val="top"/>
          </w:tcPr>
          <w:p w14:paraId="0070279B">
            <w:pPr>
              <w:spacing w:line="346" w:lineRule="auto"/>
              <w:rPr>
                <w:rFonts w:ascii="Arial"/>
                <w:sz w:val="21"/>
              </w:rPr>
            </w:pPr>
          </w:p>
          <w:p w14:paraId="6844C7FF">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S6</w:t>
            </w:r>
          </w:p>
        </w:tc>
        <w:tc>
          <w:tcPr>
            <w:tcW w:w="1306" w:type="dxa"/>
            <w:vAlign w:val="top"/>
          </w:tcPr>
          <w:p w14:paraId="1D94C09E">
            <w:pPr>
              <w:spacing w:line="346" w:lineRule="auto"/>
              <w:rPr>
                <w:rFonts w:ascii="Arial"/>
                <w:sz w:val="21"/>
              </w:rPr>
            </w:pPr>
          </w:p>
          <w:p w14:paraId="61EB84C9">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118°56′20.93″</w:t>
            </w:r>
          </w:p>
        </w:tc>
        <w:tc>
          <w:tcPr>
            <w:tcW w:w="1242" w:type="dxa"/>
            <w:vAlign w:val="top"/>
          </w:tcPr>
          <w:p w14:paraId="7524C688">
            <w:pPr>
              <w:spacing w:line="346" w:lineRule="auto"/>
              <w:rPr>
                <w:rFonts w:ascii="Arial"/>
                <w:sz w:val="21"/>
              </w:rPr>
            </w:pPr>
          </w:p>
          <w:p w14:paraId="70A2B4E4">
            <w:pPr>
              <w:spacing w:before="5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16′33.63″</w:t>
            </w:r>
          </w:p>
        </w:tc>
        <w:tc>
          <w:tcPr>
            <w:tcW w:w="621" w:type="dxa"/>
            <w:vAlign w:val="top"/>
          </w:tcPr>
          <w:p w14:paraId="65342F40">
            <w:pPr>
              <w:spacing w:line="346" w:lineRule="auto"/>
              <w:rPr>
                <w:rFonts w:ascii="Arial"/>
                <w:sz w:val="21"/>
              </w:rPr>
            </w:pPr>
          </w:p>
          <w:p w14:paraId="67AAA323">
            <w:pPr>
              <w:spacing w:before="57"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743" w:type="dxa"/>
            <w:vAlign w:val="top"/>
          </w:tcPr>
          <w:p w14:paraId="0A0E384E">
            <w:pPr>
              <w:spacing w:line="346" w:lineRule="auto"/>
              <w:rPr>
                <w:rFonts w:ascii="Arial"/>
                <w:sz w:val="21"/>
              </w:rPr>
            </w:pPr>
          </w:p>
          <w:p w14:paraId="47EECE49">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979.27</w:t>
            </w:r>
          </w:p>
        </w:tc>
        <w:tc>
          <w:tcPr>
            <w:tcW w:w="744" w:type="dxa"/>
            <w:vAlign w:val="top"/>
          </w:tcPr>
          <w:p w14:paraId="429E4A28">
            <w:pPr>
              <w:spacing w:line="346" w:lineRule="auto"/>
              <w:rPr>
                <w:rFonts w:ascii="Arial"/>
                <w:sz w:val="21"/>
              </w:rPr>
            </w:pPr>
          </w:p>
          <w:p w14:paraId="01F62F53">
            <w:pPr>
              <w:spacing w:before="5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11.68</w:t>
            </w:r>
          </w:p>
        </w:tc>
        <w:tc>
          <w:tcPr>
            <w:tcW w:w="745" w:type="dxa"/>
            <w:vAlign w:val="top"/>
          </w:tcPr>
          <w:p w14:paraId="7EDF238B">
            <w:pPr>
              <w:spacing w:line="346" w:lineRule="auto"/>
              <w:rPr>
                <w:rFonts w:ascii="Arial"/>
                <w:sz w:val="21"/>
              </w:rPr>
            </w:pPr>
          </w:p>
          <w:p w14:paraId="23D78DC2">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967.59</w:t>
            </w:r>
          </w:p>
        </w:tc>
        <w:tc>
          <w:tcPr>
            <w:tcW w:w="743" w:type="dxa"/>
            <w:vAlign w:val="top"/>
          </w:tcPr>
          <w:p w14:paraId="1A114448">
            <w:pPr>
              <w:spacing w:line="346" w:lineRule="auto"/>
              <w:rPr>
                <w:rFonts w:ascii="Arial"/>
                <w:sz w:val="21"/>
              </w:rPr>
            </w:pPr>
          </w:p>
          <w:p w14:paraId="4A4F7CF8">
            <w:pPr>
              <w:spacing w:before="5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11.79</w:t>
            </w:r>
          </w:p>
        </w:tc>
        <w:tc>
          <w:tcPr>
            <w:tcW w:w="872" w:type="dxa"/>
            <w:vAlign w:val="top"/>
          </w:tcPr>
          <w:p w14:paraId="2889FBDA">
            <w:pPr>
              <w:spacing w:line="346" w:lineRule="auto"/>
              <w:rPr>
                <w:rFonts w:ascii="Arial"/>
                <w:sz w:val="21"/>
              </w:rPr>
            </w:pPr>
          </w:p>
          <w:p w14:paraId="7FB5EDE4">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967.48</w:t>
            </w:r>
          </w:p>
        </w:tc>
        <w:tc>
          <w:tcPr>
            <w:tcW w:w="1299" w:type="dxa"/>
            <w:vAlign w:val="top"/>
          </w:tcPr>
          <w:p w14:paraId="0CB46AF5">
            <w:pPr>
              <w:pStyle w:val="6"/>
              <w:spacing w:before="55" w:line="228" w:lineRule="auto"/>
              <w:ind w:left="28"/>
            </w:pPr>
            <w:r>
              <w:rPr>
                <w:spacing w:val="8"/>
              </w:rPr>
              <w:t>第四系松散岩</w:t>
            </w:r>
          </w:p>
          <w:p w14:paraId="3D1B1877">
            <w:pPr>
              <w:pStyle w:val="6"/>
              <w:spacing w:before="64" w:line="228" w:lineRule="auto"/>
              <w:ind w:left="28"/>
            </w:pPr>
            <w:r>
              <w:rPr>
                <w:spacing w:val="8"/>
              </w:rPr>
              <w:t>类孔隙水、基</w:t>
            </w:r>
          </w:p>
          <w:p w14:paraId="2C76A3F3">
            <w:pPr>
              <w:pStyle w:val="6"/>
              <w:spacing w:before="65" w:line="228" w:lineRule="auto"/>
              <w:ind w:left="239"/>
            </w:pPr>
            <w:r>
              <w:rPr>
                <w:spacing w:val="7"/>
              </w:rPr>
              <w:t>岩裂隙水</w:t>
            </w:r>
          </w:p>
        </w:tc>
      </w:tr>
      <w:tr w14:paraId="3AB94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57" w:type="dxa"/>
            <w:vAlign w:val="top"/>
          </w:tcPr>
          <w:p w14:paraId="2F5733B0">
            <w:pPr>
              <w:spacing w:line="345" w:lineRule="auto"/>
              <w:rPr>
                <w:rFonts w:ascii="Arial"/>
                <w:sz w:val="21"/>
              </w:rPr>
            </w:pPr>
          </w:p>
          <w:p w14:paraId="352F2CCE">
            <w:pPr>
              <w:spacing w:before="5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c>
          <w:tcPr>
            <w:tcW w:w="1306" w:type="dxa"/>
            <w:vAlign w:val="top"/>
          </w:tcPr>
          <w:p w14:paraId="763F9B46">
            <w:pPr>
              <w:spacing w:line="345" w:lineRule="auto"/>
              <w:rPr>
                <w:rFonts w:ascii="Arial"/>
                <w:sz w:val="21"/>
              </w:rPr>
            </w:pPr>
          </w:p>
          <w:p w14:paraId="192AF0BB">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118°56′43.74″</w:t>
            </w:r>
          </w:p>
        </w:tc>
        <w:tc>
          <w:tcPr>
            <w:tcW w:w="1242" w:type="dxa"/>
            <w:vAlign w:val="top"/>
          </w:tcPr>
          <w:p w14:paraId="175F4A32">
            <w:pPr>
              <w:spacing w:line="345" w:lineRule="auto"/>
              <w:rPr>
                <w:rFonts w:ascii="Arial"/>
                <w:sz w:val="21"/>
              </w:rPr>
            </w:pPr>
          </w:p>
          <w:p w14:paraId="5C0F11AB">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10.17″</w:t>
            </w:r>
          </w:p>
        </w:tc>
        <w:tc>
          <w:tcPr>
            <w:tcW w:w="621" w:type="dxa"/>
            <w:vAlign w:val="top"/>
          </w:tcPr>
          <w:p w14:paraId="5987358C">
            <w:pPr>
              <w:spacing w:line="345" w:lineRule="auto"/>
              <w:rPr>
                <w:rFonts w:ascii="Arial"/>
                <w:sz w:val="21"/>
              </w:rPr>
            </w:pPr>
          </w:p>
          <w:p w14:paraId="7A37FEBF">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43" w:type="dxa"/>
            <w:vAlign w:val="top"/>
          </w:tcPr>
          <w:p w14:paraId="52A63601">
            <w:pPr>
              <w:spacing w:line="345" w:lineRule="auto"/>
              <w:rPr>
                <w:rFonts w:ascii="Arial"/>
                <w:sz w:val="21"/>
              </w:rPr>
            </w:pPr>
          </w:p>
          <w:p w14:paraId="6BD4F30F">
            <w:pPr>
              <w:spacing w:before="5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987.5</w:t>
            </w:r>
          </w:p>
        </w:tc>
        <w:tc>
          <w:tcPr>
            <w:tcW w:w="744" w:type="dxa"/>
            <w:vAlign w:val="top"/>
          </w:tcPr>
          <w:p w14:paraId="71994088">
            <w:pPr>
              <w:spacing w:line="345" w:lineRule="auto"/>
              <w:rPr>
                <w:rFonts w:ascii="Arial"/>
                <w:sz w:val="21"/>
              </w:rPr>
            </w:pPr>
          </w:p>
          <w:p w14:paraId="50583C48">
            <w:pPr>
              <w:spacing w:before="5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5.08</w:t>
            </w:r>
          </w:p>
        </w:tc>
        <w:tc>
          <w:tcPr>
            <w:tcW w:w="745" w:type="dxa"/>
            <w:vAlign w:val="top"/>
          </w:tcPr>
          <w:p w14:paraId="2B2C51C6">
            <w:pPr>
              <w:spacing w:line="345" w:lineRule="auto"/>
              <w:rPr>
                <w:rFonts w:ascii="Arial"/>
                <w:sz w:val="21"/>
              </w:rPr>
            </w:pPr>
          </w:p>
          <w:p w14:paraId="25C1F313">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982.42</w:t>
            </w:r>
          </w:p>
        </w:tc>
        <w:tc>
          <w:tcPr>
            <w:tcW w:w="743" w:type="dxa"/>
            <w:vAlign w:val="top"/>
          </w:tcPr>
          <w:p w14:paraId="1B3416BB">
            <w:pPr>
              <w:spacing w:line="345" w:lineRule="auto"/>
              <w:rPr>
                <w:rFonts w:ascii="Arial"/>
                <w:sz w:val="21"/>
              </w:rPr>
            </w:pPr>
          </w:p>
          <w:p w14:paraId="0204AB38">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5.44</w:t>
            </w:r>
          </w:p>
        </w:tc>
        <w:tc>
          <w:tcPr>
            <w:tcW w:w="872" w:type="dxa"/>
            <w:vAlign w:val="top"/>
          </w:tcPr>
          <w:p w14:paraId="003034D2">
            <w:pPr>
              <w:spacing w:line="345" w:lineRule="auto"/>
              <w:rPr>
                <w:rFonts w:ascii="Arial"/>
                <w:sz w:val="21"/>
              </w:rPr>
            </w:pPr>
          </w:p>
          <w:p w14:paraId="74B0AFA4">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982.06</w:t>
            </w:r>
          </w:p>
        </w:tc>
        <w:tc>
          <w:tcPr>
            <w:tcW w:w="1299" w:type="dxa"/>
            <w:vAlign w:val="top"/>
          </w:tcPr>
          <w:p w14:paraId="54A45978">
            <w:pPr>
              <w:pStyle w:val="6"/>
              <w:spacing w:before="57" w:line="228" w:lineRule="auto"/>
              <w:ind w:left="28"/>
            </w:pPr>
            <w:r>
              <w:rPr>
                <w:spacing w:val="8"/>
              </w:rPr>
              <w:t>第四系松散岩</w:t>
            </w:r>
          </w:p>
          <w:p w14:paraId="49DB4763">
            <w:pPr>
              <w:pStyle w:val="6"/>
              <w:spacing w:before="64" w:line="228" w:lineRule="auto"/>
              <w:ind w:left="28"/>
            </w:pPr>
            <w:r>
              <w:rPr>
                <w:spacing w:val="8"/>
              </w:rPr>
              <w:t>类孔隙水、基</w:t>
            </w:r>
          </w:p>
          <w:p w14:paraId="7CD1F703">
            <w:pPr>
              <w:pStyle w:val="6"/>
              <w:spacing w:before="64" w:line="228" w:lineRule="auto"/>
              <w:ind w:left="239"/>
            </w:pPr>
            <w:r>
              <w:rPr>
                <w:spacing w:val="7"/>
              </w:rPr>
              <w:t>岩裂隙水</w:t>
            </w:r>
          </w:p>
        </w:tc>
      </w:tr>
      <w:tr w14:paraId="116EA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57" w:type="dxa"/>
            <w:vAlign w:val="top"/>
          </w:tcPr>
          <w:p w14:paraId="4146770C">
            <w:pPr>
              <w:spacing w:line="345" w:lineRule="auto"/>
              <w:rPr>
                <w:rFonts w:ascii="Arial"/>
                <w:sz w:val="21"/>
              </w:rPr>
            </w:pPr>
          </w:p>
          <w:p w14:paraId="357FC79C">
            <w:pPr>
              <w:spacing w:before="5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S8</w:t>
            </w:r>
          </w:p>
        </w:tc>
        <w:tc>
          <w:tcPr>
            <w:tcW w:w="1306" w:type="dxa"/>
            <w:vAlign w:val="top"/>
          </w:tcPr>
          <w:p w14:paraId="6EAFC4E1">
            <w:pPr>
              <w:spacing w:line="345" w:lineRule="auto"/>
              <w:rPr>
                <w:rFonts w:ascii="Arial"/>
                <w:sz w:val="21"/>
              </w:rPr>
            </w:pPr>
          </w:p>
          <w:p w14:paraId="63C21F52">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118°56′23.45″</w:t>
            </w:r>
          </w:p>
        </w:tc>
        <w:tc>
          <w:tcPr>
            <w:tcW w:w="1242" w:type="dxa"/>
            <w:vAlign w:val="top"/>
          </w:tcPr>
          <w:p w14:paraId="13D2D851">
            <w:pPr>
              <w:spacing w:line="345" w:lineRule="auto"/>
              <w:rPr>
                <w:rFonts w:ascii="Arial"/>
                <w:sz w:val="21"/>
              </w:rPr>
            </w:pPr>
          </w:p>
          <w:p w14:paraId="6CDA885D">
            <w:pPr>
              <w:spacing w:before="5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15′25.42″</w:t>
            </w:r>
          </w:p>
        </w:tc>
        <w:tc>
          <w:tcPr>
            <w:tcW w:w="621" w:type="dxa"/>
            <w:vAlign w:val="top"/>
          </w:tcPr>
          <w:p w14:paraId="497C1235">
            <w:pPr>
              <w:spacing w:line="345" w:lineRule="auto"/>
              <w:rPr>
                <w:rFonts w:ascii="Arial"/>
                <w:sz w:val="21"/>
              </w:rPr>
            </w:pPr>
          </w:p>
          <w:p w14:paraId="3331E6A2">
            <w:pPr>
              <w:spacing w:before="57"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43" w:type="dxa"/>
            <w:vAlign w:val="top"/>
          </w:tcPr>
          <w:p w14:paraId="7EE22BCD">
            <w:pPr>
              <w:spacing w:line="345" w:lineRule="auto"/>
              <w:rPr>
                <w:rFonts w:ascii="Arial"/>
                <w:sz w:val="21"/>
              </w:rPr>
            </w:pPr>
          </w:p>
          <w:p w14:paraId="7FFC8FAF">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961.04</w:t>
            </w:r>
          </w:p>
        </w:tc>
        <w:tc>
          <w:tcPr>
            <w:tcW w:w="744" w:type="dxa"/>
            <w:vAlign w:val="top"/>
          </w:tcPr>
          <w:p w14:paraId="50B89DA5">
            <w:pPr>
              <w:spacing w:line="345" w:lineRule="auto"/>
              <w:rPr>
                <w:rFonts w:ascii="Arial"/>
                <w:sz w:val="21"/>
              </w:rPr>
            </w:pPr>
          </w:p>
          <w:p w14:paraId="5FD6CD4B">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5.01</w:t>
            </w:r>
          </w:p>
        </w:tc>
        <w:tc>
          <w:tcPr>
            <w:tcW w:w="745" w:type="dxa"/>
            <w:vAlign w:val="top"/>
          </w:tcPr>
          <w:p w14:paraId="70B2FACD">
            <w:pPr>
              <w:spacing w:line="345" w:lineRule="auto"/>
              <w:rPr>
                <w:rFonts w:ascii="Arial"/>
                <w:sz w:val="21"/>
              </w:rPr>
            </w:pPr>
          </w:p>
          <w:p w14:paraId="1665C3FE">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956.03</w:t>
            </w:r>
          </w:p>
        </w:tc>
        <w:tc>
          <w:tcPr>
            <w:tcW w:w="743" w:type="dxa"/>
            <w:vAlign w:val="top"/>
          </w:tcPr>
          <w:p w14:paraId="6535692D">
            <w:pPr>
              <w:spacing w:line="345" w:lineRule="auto"/>
              <w:rPr>
                <w:rFonts w:ascii="Arial"/>
                <w:sz w:val="21"/>
              </w:rPr>
            </w:pPr>
          </w:p>
          <w:p w14:paraId="779C5473">
            <w:pPr>
              <w:spacing w:before="57"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5.19</w:t>
            </w:r>
          </w:p>
        </w:tc>
        <w:tc>
          <w:tcPr>
            <w:tcW w:w="872" w:type="dxa"/>
            <w:vAlign w:val="top"/>
          </w:tcPr>
          <w:p w14:paraId="6E93A402">
            <w:pPr>
              <w:spacing w:line="345" w:lineRule="auto"/>
              <w:rPr>
                <w:rFonts w:ascii="Arial"/>
                <w:sz w:val="21"/>
              </w:rPr>
            </w:pPr>
          </w:p>
          <w:p w14:paraId="05B0BB9F">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955.85</w:t>
            </w:r>
          </w:p>
        </w:tc>
        <w:tc>
          <w:tcPr>
            <w:tcW w:w="1299" w:type="dxa"/>
            <w:vAlign w:val="top"/>
          </w:tcPr>
          <w:p w14:paraId="494D033D">
            <w:pPr>
              <w:pStyle w:val="6"/>
              <w:spacing w:before="56" w:line="228" w:lineRule="auto"/>
              <w:ind w:left="28"/>
            </w:pPr>
            <w:r>
              <w:rPr>
                <w:spacing w:val="8"/>
              </w:rPr>
              <w:t>第四系松散岩</w:t>
            </w:r>
          </w:p>
          <w:p w14:paraId="5B59C7F4">
            <w:pPr>
              <w:pStyle w:val="6"/>
              <w:spacing w:before="64" w:line="228" w:lineRule="auto"/>
              <w:ind w:left="28"/>
            </w:pPr>
            <w:r>
              <w:rPr>
                <w:spacing w:val="8"/>
              </w:rPr>
              <w:t>类孔隙水、基</w:t>
            </w:r>
          </w:p>
          <w:p w14:paraId="29CD4BAF">
            <w:pPr>
              <w:pStyle w:val="6"/>
              <w:spacing w:before="65" w:line="228" w:lineRule="auto"/>
              <w:ind w:left="239"/>
            </w:pPr>
            <w:r>
              <w:rPr>
                <w:spacing w:val="7"/>
              </w:rPr>
              <w:t>岩裂隙水</w:t>
            </w:r>
          </w:p>
        </w:tc>
      </w:tr>
      <w:tr w14:paraId="698D3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57" w:type="dxa"/>
            <w:vAlign w:val="top"/>
          </w:tcPr>
          <w:p w14:paraId="3C8D9360">
            <w:pPr>
              <w:spacing w:before="24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S9</w:t>
            </w:r>
          </w:p>
        </w:tc>
        <w:tc>
          <w:tcPr>
            <w:tcW w:w="1306" w:type="dxa"/>
            <w:vAlign w:val="top"/>
          </w:tcPr>
          <w:p w14:paraId="776779F3">
            <w:pPr>
              <w:spacing w:before="24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118°55′21.22″</w:t>
            </w:r>
          </w:p>
        </w:tc>
        <w:tc>
          <w:tcPr>
            <w:tcW w:w="1242" w:type="dxa"/>
            <w:vAlign w:val="top"/>
          </w:tcPr>
          <w:p w14:paraId="28057F2C">
            <w:pPr>
              <w:spacing w:before="24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14′24.56″</w:t>
            </w:r>
          </w:p>
        </w:tc>
        <w:tc>
          <w:tcPr>
            <w:tcW w:w="621" w:type="dxa"/>
            <w:vAlign w:val="top"/>
          </w:tcPr>
          <w:p w14:paraId="7E8A511F">
            <w:pPr>
              <w:spacing w:before="24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43" w:type="dxa"/>
            <w:vAlign w:val="top"/>
          </w:tcPr>
          <w:p w14:paraId="5110AD3A">
            <w:pPr>
              <w:spacing w:before="24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917.03</w:t>
            </w:r>
          </w:p>
        </w:tc>
        <w:tc>
          <w:tcPr>
            <w:tcW w:w="744" w:type="dxa"/>
            <w:vAlign w:val="top"/>
          </w:tcPr>
          <w:p w14:paraId="0A6E1E24">
            <w:pPr>
              <w:spacing w:before="248"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2.01</w:t>
            </w:r>
          </w:p>
        </w:tc>
        <w:tc>
          <w:tcPr>
            <w:tcW w:w="745" w:type="dxa"/>
            <w:vAlign w:val="top"/>
          </w:tcPr>
          <w:p w14:paraId="6FBDC165">
            <w:pPr>
              <w:spacing w:before="24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915.02</w:t>
            </w:r>
          </w:p>
        </w:tc>
        <w:tc>
          <w:tcPr>
            <w:tcW w:w="743" w:type="dxa"/>
            <w:vAlign w:val="top"/>
          </w:tcPr>
          <w:p w14:paraId="3B8AC13C">
            <w:pPr>
              <w:spacing w:before="24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w:t>
            </w:r>
          </w:p>
        </w:tc>
        <w:tc>
          <w:tcPr>
            <w:tcW w:w="872" w:type="dxa"/>
            <w:vAlign w:val="top"/>
          </w:tcPr>
          <w:p w14:paraId="42960C3E">
            <w:pPr>
              <w:spacing w:before="24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914.44</w:t>
            </w:r>
          </w:p>
        </w:tc>
        <w:tc>
          <w:tcPr>
            <w:tcW w:w="1299" w:type="dxa"/>
            <w:vAlign w:val="top"/>
          </w:tcPr>
          <w:p w14:paraId="4B146B9B">
            <w:pPr>
              <w:pStyle w:val="6"/>
              <w:spacing w:before="56" w:line="228" w:lineRule="auto"/>
              <w:ind w:left="28"/>
            </w:pPr>
            <w:r>
              <w:rPr>
                <w:spacing w:val="8"/>
              </w:rPr>
              <w:t>第四系松散岩</w:t>
            </w:r>
          </w:p>
          <w:p w14:paraId="164EA42C">
            <w:pPr>
              <w:pStyle w:val="6"/>
              <w:spacing w:before="64" w:line="228" w:lineRule="auto"/>
              <w:ind w:left="239"/>
            </w:pPr>
            <w:r>
              <w:rPr>
                <w:spacing w:val="7"/>
              </w:rPr>
              <w:t>类孔隙水</w:t>
            </w:r>
          </w:p>
        </w:tc>
      </w:tr>
    </w:tbl>
    <w:p w14:paraId="16FD3177">
      <w:pPr>
        <w:pStyle w:val="2"/>
      </w:pPr>
    </w:p>
    <w:p w14:paraId="6A5EC306">
      <w:pPr>
        <w:sectPr>
          <w:headerReference r:id="rId262" w:type="default"/>
          <w:footerReference r:id="rId263" w:type="default"/>
          <w:pgSz w:w="11906" w:h="16839"/>
          <w:pgMar w:top="1208" w:right="1514" w:bottom="1358" w:left="1514" w:header="825" w:footer="1195" w:gutter="0"/>
          <w:cols w:space="720" w:num="1"/>
        </w:sectPr>
      </w:pPr>
    </w:p>
    <w:p w14:paraId="60FBE2D8">
      <w:pPr>
        <w:spacing w:line="231" w:lineRule="exact"/>
      </w:pPr>
    </w:p>
    <w:tbl>
      <w:tblPr>
        <w:tblStyle w:val="5"/>
        <w:tblW w:w="88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7"/>
        <w:gridCol w:w="1306"/>
        <w:gridCol w:w="1242"/>
        <w:gridCol w:w="621"/>
        <w:gridCol w:w="743"/>
        <w:gridCol w:w="744"/>
        <w:gridCol w:w="745"/>
        <w:gridCol w:w="743"/>
        <w:gridCol w:w="872"/>
        <w:gridCol w:w="1299"/>
      </w:tblGrid>
      <w:tr w14:paraId="7847E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557" w:type="dxa"/>
            <w:vAlign w:val="top"/>
          </w:tcPr>
          <w:p w14:paraId="602F1D1D">
            <w:pPr>
              <w:spacing w:before="25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S10</w:t>
            </w:r>
          </w:p>
        </w:tc>
        <w:tc>
          <w:tcPr>
            <w:tcW w:w="1306" w:type="dxa"/>
            <w:vAlign w:val="top"/>
          </w:tcPr>
          <w:p w14:paraId="4DC0A038">
            <w:pPr>
              <w:spacing w:before="253"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118°55′32.49″</w:t>
            </w:r>
          </w:p>
        </w:tc>
        <w:tc>
          <w:tcPr>
            <w:tcW w:w="1242" w:type="dxa"/>
            <w:vAlign w:val="top"/>
          </w:tcPr>
          <w:p w14:paraId="33FC3228">
            <w:pPr>
              <w:spacing w:before="253"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10.87″</w:t>
            </w:r>
          </w:p>
        </w:tc>
        <w:tc>
          <w:tcPr>
            <w:tcW w:w="621" w:type="dxa"/>
            <w:vAlign w:val="top"/>
          </w:tcPr>
          <w:p w14:paraId="1E0BB5F4">
            <w:pPr>
              <w:spacing w:before="25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43" w:type="dxa"/>
            <w:vAlign w:val="top"/>
          </w:tcPr>
          <w:p w14:paraId="385E6F05">
            <w:pPr>
              <w:spacing w:before="253"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939.88</w:t>
            </w:r>
          </w:p>
        </w:tc>
        <w:tc>
          <w:tcPr>
            <w:tcW w:w="744" w:type="dxa"/>
            <w:vAlign w:val="top"/>
          </w:tcPr>
          <w:p w14:paraId="350DB7C1">
            <w:pPr>
              <w:spacing w:before="25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14.26</w:t>
            </w:r>
          </w:p>
        </w:tc>
        <w:tc>
          <w:tcPr>
            <w:tcW w:w="745" w:type="dxa"/>
            <w:vAlign w:val="top"/>
          </w:tcPr>
          <w:p w14:paraId="4E067C0D">
            <w:pPr>
              <w:spacing w:before="253"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925.62</w:t>
            </w:r>
          </w:p>
        </w:tc>
        <w:tc>
          <w:tcPr>
            <w:tcW w:w="743" w:type="dxa"/>
            <w:vAlign w:val="top"/>
          </w:tcPr>
          <w:p w14:paraId="196D6B2D">
            <w:pPr>
              <w:spacing w:before="25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14.44</w:t>
            </w:r>
          </w:p>
        </w:tc>
        <w:tc>
          <w:tcPr>
            <w:tcW w:w="872" w:type="dxa"/>
            <w:vAlign w:val="top"/>
          </w:tcPr>
          <w:p w14:paraId="4ACD589E">
            <w:pPr>
              <w:spacing w:before="253"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925.44</w:t>
            </w:r>
          </w:p>
        </w:tc>
        <w:tc>
          <w:tcPr>
            <w:tcW w:w="1299" w:type="dxa"/>
            <w:vAlign w:val="top"/>
          </w:tcPr>
          <w:p w14:paraId="11829076">
            <w:pPr>
              <w:pStyle w:val="6"/>
              <w:spacing w:before="58" w:line="228" w:lineRule="auto"/>
              <w:ind w:left="28"/>
            </w:pPr>
            <w:r>
              <w:rPr>
                <w:spacing w:val="8"/>
              </w:rPr>
              <w:t>第四系松散岩</w:t>
            </w:r>
          </w:p>
          <w:p w14:paraId="3B02B59A">
            <w:pPr>
              <w:pStyle w:val="6"/>
              <w:spacing w:before="65" w:line="228" w:lineRule="auto"/>
              <w:ind w:left="239"/>
            </w:pPr>
            <w:r>
              <w:rPr>
                <w:spacing w:val="7"/>
              </w:rPr>
              <w:t>类孔隙水</w:t>
            </w:r>
          </w:p>
        </w:tc>
      </w:tr>
      <w:tr w14:paraId="09972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57" w:type="dxa"/>
            <w:vAlign w:val="top"/>
          </w:tcPr>
          <w:p w14:paraId="7A34A09B">
            <w:pPr>
              <w:spacing w:before="24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S11</w:t>
            </w:r>
          </w:p>
        </w:tc>
        <w:tc>
          <w:tcPr>
            <w:tcW w:w="1306" w:type="dxa"/>
            <w:vAlign w:val="top"/>
          </w:tcPr>
          <w:p w14:paraId="28068E2F">
            <w:pPr>
              <w:spacing w:before="247" w:line="195" w:lineRule="auto"/>
              <w:ind w:left="72"/>
              <w:rPr>
                <w:rFonts w:ascii="Times New Roman" w:hAnsi="Times New Roman" w:eastAsia="Times New Roman" w:cs="Times New Roman"/>
                <w:sz w:val="20"/>
                <w:szCs w:val="20"/>
              </w:rPr>
            </w:pPr>
            <w:r>
              <w:rPr>
                <w:rFonts w:ascii="Times New Roman" w:hAnsi="Times New Roman" w:eastAsia="Times New Roman" w:cs="Times New Roman"/>
                <w:sz w:val="20"/>
                <w:szCs w:val="20"/>
              </w:rPr>
              <w:t>118°55′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10.51″</w:t>
            </w:r>
          </w:p>
        </w:tc>
        <w:tc>
          <w:tcPr>
            <w:tcW w:w="1242" w:type="dxa"/>
            <w:vAlign w:val="top"/>
          </w:tcPr>
          <w:p w14:paraId="39D8C7BE">
            <w:pPr>
              <w:spacing w:before="24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1"/>
                <w:sz w:val="20"/>
                <w:szCs w:val="20"/>
              </w:rPr>
              <w:t>14′20.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w:t>
            </w:r>
          </w:p>
        </w:tc>
        <w:tc>
          <w:tcPr>
            <w:tcW w:w="621" w:type="dxa"/>
            <w:vAlign w:val="top"/>
          </w:tcPr>
          <w:p w14:paraId="25885825">
            <w:pPr>
              <w:spacing w:before="24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43" w:type="dxa"/>
            <w:vAlign w:val="top"/>
          </w:tcPr>
          <w:p w14:paraId="178DA78E">
            <w:pPr>
              <w:spacing w:before="24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932.82</w:t>
            </w:r>
          </w:p>
        </w:tc>
        <w:tc>
          <w:tcPr>
            <w:tcW w:w="744" w:type="dxa"/>
            <w:vAlign w:val="top"/>
          </w:tcPr>
          <w:p w14:paraId="3841F8CF">
            <w:pPr>
              <w:spacing w:before="24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12.47</w:t>
            </w:r>
          </w:p>
        </w:tc>
        <w:tc>
          <w:tcPr>
            <w:tcW w:w="745" w:type="dxa"/>
            <w:vAlign w:val="top"/>
          </w:tcPr>
          <w:p w14:paraId="161992EB">
            <w:pPr>
              <w:spacing w:before="247"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920.35</w:t>
            </w:r>
          </w:p>
        </w:tc>
        <w:tc>
          <w:tcPr>
            <w:tcW w:w="743" w:type="dxa"/>
            <w:vAlign w:val="top"/>
          </w:tcPr>
          <w:p w14:paraId="1405BDE2">
            <w:pPr>
              <w:spacing w:before="24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13.01</w:t>
            </w:r>
          </w:p>
        </w:tc>
        <w:tc>
          <w:tcPr>
            <w:tcW w:w="872" w:type="dxa"/>
            <w:vAlign w:val="top"/>
          </w:tcPr>
          <w:p w14:paraId="7C4409F5">
            <w:pPr>
              <w:spacing w:before="24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919.81</w:t>
            </w:r>
          </w:p>
        </w:tc>
        <w:tc>
          <w:tcPr>
            <w:tcW w:w="1299" w:type="dxa"/>
            <w:vAlign w:val="top"/>
          </w:tcPr>
          <w:p w14:paraId="4E9EA356">
            <w:pPr>
              <w:pStyle w:val="6"/>
              <w:spacing w:before="55" w:line="228" w:lineRule="auto"/>
              <w:ind w:left="28"/>
            </w:pPr>
            <w:r>
              <w:rPr>
                <w:spacing w:val="8"/>
              </w:rPr>
              <w:t>第四系松散岩</w:t>
            </w:r>
          </w:p>
          <w:p w14:paraId="284E0AB6">
            <w:pPr>
              <w:pStyle w:val="6"/>
              <w:spacing w:before="65" w:line="228" w:lineRule="auto"/>
              <w:ind w:left="239"/>
            </w:pPr>
            <w:r>
              <w:rPr>
                <w:spacing w:val="7"/>
              </w:rPr>
              <w:t>类孔隙水</w:t>
            </w:r>
          </w:p>
        </w:tc>
      </w:tr>
      <w:tr w14:paraId="10614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Align w:val="top"/>
          </w:tcPr>
          <w:p w14:paraId="0148F857">
            <w:pPr>
              <w:spacing w:line="343" w:lineRule="auto"/>
              <w:rPr>
                <w:rFonts w:ascii="Arial"/>
                <w:sz w:val="21"/>
              </w:rPr>
            </w:pPr>
          </w:p>
          <w:p w14:paraId="7892F1E0">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S12</w:t>
            </w:r>
          </w:p>
        </w:tc>
        <w:tc>
          <w:tcPr>
            <w:tcW w:w="1306" w:type="dxa"/>
            <w:vAlign w:val="top"/>
          </w:tcPr>
          <w:p w14:paraId="45B20ED5">
            <w:pPr>
              <w:spacing w:line="343" w:lineRule="auto"/>
              <w:rPr>
                <w:rFonts w:ascii="Arial"/>
                <w:sz w:val="21"/>
              </w:rPr>
            </w:pPr>
          </w:p>
          <w:p w14:paraId="6E2954FB">
            <w:pPr>
              <w:spacing w:before="57"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118°52′20.42″</w:t>
            </w:r>
          </w:p>
        </w:tc>
        <w:tc>
          <w:tcPr>
            <w:tcW w:w="1242" w:type="dxa"/>
            <w:vAlign w:val="top"/>
          </w:tcPr>
          <w:p w14:paraId="1B1679D5">
            <w:pPr>
              <w:spacing w:line="343" w:lineRule="auto"/>
              <w:rPr>
                <w:rFonts w:ascii="Arial"/>
                <w:sz w:val="21"/>
              </w:rPr>
            </w:pPr>
          </w:p>
          <w:p w14:paraId="770A548A">
            <w:pPr>
              <w:spacing w:before="57"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16′31.03″</w:t>
            </w:r>
          </w:p>
        </w:tc>
        <w:tc>
          <w:tcPr>
            <w:tcW w:w="621" w:type="dxa"/>
            <w:vAlign w:val="top"/>
          </w:tcPr>
          <w:p w14:paraId="273B6A79">
            <w:pPr>
              <w:spacing w:line="343" w:lineRule="auto"/>
              <w:rPr>
                <w:rFonts w:ascii="Arial"/>
                <w:sz w:val="21"/>
              </w:rPr>
            </w:pPr>
          </w:p>
          <w:p w14:paraId="49650FE1">
            <w:pPr>
              <w:spacing w:before="57"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43" w:type="dxa"/>
            <w:vAlign w:val="top"/>
          </w:tcPr>
          <w:p w14:paraId="0DBD4EA2">
            <w:pPr>
              <w:spacing w:line="343" w:lineRule="auto"/>
              <w:rPr>
                <w:rFonts w:ascii="Arial"/>
                <w:sz w:val="21"/>
              </w:rPr>
            </w:pPr>
          </w:p>
          <w:p w14:paraId="11B49688">
            <w:pPr>
              <w:spacing w:before="57"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970.25</w:t>
            </w:r>
          </w:p>
        </w:tc>
        <w:tc>
          <w:tcPr>
            <w:tcW w:w="744" w:type="dxa"/>
            <w:vAlign w:val="top"/>
          </w:tcPr>
          <w:p w14:paraId="71BAD541">
            <w:pPr>
              <w:spacing w:line="343" w:lineRule="auto"/>
              <w:rPr>
                <w:rFonts w:ascii="Arial"/>
                <w:sz w:val="21"/>
              </w:rPr>
            </w:pPr>
          </w:p>
          <w:p w14:paraId="0314C5CD">
            <w:pPr>
              <w:spacing w:before="57"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8.65</w:t>
            </w:r>
          </w:p>
        </w:tc>
        <w:tc>
          <w:tcPr>
            <w:tcW w:w="745" w:type="dxa"/>
            <w:vAlign w:val="top"/>
          </w:tcPr>
          <w:p w14:paraId="271A5608">
            <w:pPr>
              <w:spacing w:line="343" w:lineRule="auto"/>
              <w:rPr>
                <w:rFonts w:ascii="Arial"/>
                <w:sz w:val="21"/>
              </w:rPr>
            </w:pPr>
          </w:p>
          <w:p w14:paraId="427E8F89">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961.6</w:t>
            </w:r>
          </w:p>
        </w:tc>
        <w:tc>
          <w:tcPr>
            <w:tcW w:w="743" w:type="dxa"/>
            <w:vAlign w:val="top"/>
          </w:tcPr>
          <w:p w14:paraId="5915B617">
            <w:pPr>
              <w:spacing w:line="343" w:lineRule="auto"/>
              <w:rPr>
                <w:rFonts w:ascii="Arial"/>
                <w:sz w:val="21"/>
              </w:rPr>
            </w:pPr>
          </w:p>
          <w:p w14:paraId="7769F17A">
            <w:pPr>
              <w:spacing w:before="5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9.33</w:t>
            </w:r>
          </w:p>
        </w:tc>
        <w:tc>
          <w:tcPr>
            <w:tcW w:w="872" w:type="dxa"/>
            <w:vAlign w:val="top"/>
          </w:tcPr>
          <w:p w14:paraId="5E1C71D8">
            <w:pPr>
              <w:spacing w:line="343" w:lineRule="auto"/>
              <w:rPr>
                <w:rFonts w:ascii="Arial"/>
                <w:sz w:val="21"/>
              </w:rPr>
            </w:pPr>
          </w:p>
          <w:p w14:paraId="39C1DE24">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960.92</w:t>
            </w:r>
          </w:p>
        </w:tc>
        <w:tc>
          <w:tcPr>
            <w:tcW w:w="1299" w:type="dxa"/>
            <w:vAlign w:val="top"/>
          </w:tcPr>
          <w:p w14:paraId="14EB3D42">
            <w:pPr>
              <w:pStyle w:val="6"/>
              <w:spacing w:before="52" w:line="228" w:lineRule="auto"/>
              <w:ind w:left="28"/>
            </w:pPr>
            <w:r>
              <w:rPr>
                <w:spacing w:val="8"/>
              </w:rPr>
              <w:t>第四系松散岩</w:t>
            </w:r>
          </w:p>
          <w:p w14:paraId="31E1C6C2">
            <w:pPr>
              <w:pStyle w:val="6"/>
              <w:spacing w:before="64" w:line="228" w:lineRule="auto"/>
              <w:ind w:left="28"/>
            </w:pPr>
            <w:r>
              <w:rPr>
                <w:spacing w:val="8"/>
              </w:rPr>
              <w:t>类孔隙水、基</w:t>
            </w:r>
          </w:p>
          <w:p w14:paraId="6713BAAA">
            <w:pPr>
              <w:pStyle w:val="6"/>
              <w:spacing w:before="64" w:line="228" w:lineRule="auto"/>
              <w:ind w:left="239"/>
            </w:pPr>
            <w:r>
              <w:rPr>
                <w:spacing w:val="7"/>
              </w:rPr>
              <w:t>岩裂隙水</w:t>
            </w:r>
          </w:p>
        </w:tc>
      </w:tr>
      <w:tr w14:paraId="2B046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Align w:val="top"/>
          </w:tcPr>
          <w:p w14:paraId="62B37706">
            <w:pPr>
              <w:spacing w:line="343" w:lineRule="auto"/>
              <w:rPr>
                <w:rFonts w:ascii="Arial"/>
                <w:sz w:val="21"/>
              </w:rPr>
            </w:pPr>
          </w:p>
          <w:p w14:paraId="4C3C24E9">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S13</w:t>
            </w:r>
          </w:p>
        </w:tc>
        <w:tc>
          <w:tcPr>
            <w:tcW w:w="1306" w:type="dxa"/>
            <w:vAlign w:val="top"/>
          </w:tcPr>
          <w:p w14:paraId="76C8F34A">
            <w:pPr>
              <w:spacing w:line="343" w:lineRule="auto"/>
              <w:rPr>
                <w:rFonts w:ascii="Arial"/>
                <w:sz w:val="21"/>
              </w:rPr>
            </w:pPr>
          </w:p>
          <w:p w14:paraId="1048B78F">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118°52′50.43″</w:t>
            </w:r>
          </w:p>
        </w:tc>
        <w:tc>
          <w:tcPr>
            <w:tcW w:w="1242" w:type="dxa"/>
            <w:vAlign w:val="top"/>
          </w:tcPr>
          <w:p w14:paraId="5C78C419">
            <w:pPr>
              <w:spacing w:line="343" w:lineRule="auto"/>
              <w:rPr>
                <w:rFonts w:ascii="Arial"/>
                <w:sz w:val="21"/>
              </w:rPr>
            </w:pPr>
          </w:p>
          <w:p w14:paraId="66B19A22">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16′44.08″</w:t>
            </w:r>
          </w:p>
        </w:tc>
        <w:tc>
          <w:tcPr>
            <w:tcW w:w="621" w:type="dxa"/>
            <w:vAlign w:val="top"/>
          </w:tcPr>
          <w:p w14:paraId="2640B272">
            <w:pPr>
              <w:spacing w:line="343" w:lineRule="auto"/>
              <w:rPr>
                <w:rFonts w:ascii="Arial"/>
                <w:sz w:val="21"/>
              </w:rPr>
            </w:pPr>
          </w:p>
          <w:p w14:paraId="76F9CC4F">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743" w:type="dxa"/>
            <w:vAlign w:val="top"/>
          </w:tcPr>
          <w:p w14:paraId="207EB1FC">
            <w:pPr>
              <w:spacing w:line="343" w:lineRule="auto"/>
              <w:rPr>
                <w:rFonts w:ascii="Arial"/>
                <w:sz w:val="21"/>
              </w:rPr>
            </w:pPr>
          </w:p>
          <w:p w14:paraId="48A6AEEE">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966.89</w:t>
            </w:r>
          </w:p>
        </w:tc>
        <w:tc>
          <w:tcPr>
            <w:tcW w:w="744" w:type="dxa"/>
            <w:vAlign w:val="top"/>
          </w:tcPr>
          <w:p w14:paraId="62724786">
            <w:pPr>
              <w:spacing w:line="343" w:lineRule="auto"/>
              <w:rPr>
                <w:rFonts w:ascii="Arial"/>
                <w:sz w:val="21"/>
              </w:rPr>
            </w:pPr>
          </w:p>
          <w:p w14:paraId="35E4CCA1">
            <w:pPr>
              <w:spacing w:before="58"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8.72</w:t>
            </w:r>
          </w:p>
        </w:tc>
        <w:tc>
          <w:tcPr>
            <w:tcW w:w="745" w:type="dxa"/>
            <w:vAlign w:val="top"/>
          </w:tcPr>
          <w:p w14:paraId="7F594573">
            <w:pPr>
              <w:spacing w:line="343" w:lineRule="auto"/>
              <w:rPr>
                <w:rFonts w:ascii="Arial"/>
                <w:sz w:val="21"/>
              </w:rPr>
            </w:pPr>
          </w:p>
          <w:p w14:paraId="0C71A147">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958.17</w:t>
            </w:r>
          </w:p>
        </w:tc>
        <w:tc>
          <w:tcPr>
            <w:tcW w:w="743" w:type="dxa"/>
            <w:vAlign w:val="top"/>
          </w:tcPr>
          <w:p w14:paraId="358568E3">
            <w:pPr>
              <w:spacing w:line="343" w:lineRule="auto"/>
              <w:rPr>
                <w:rFonts w:ascii="Arial"/>
                <w:sz w:val="21"/>
              </w:rPr>
            </w:pPr>
          </w:p>
          <w:p w14:paraId="50368C4A">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9.13</w:t>
            </w:r>
          </w:p>
        </w:tc>
        <w:tc>
          <w:tcPr>
            <w:tcW w:w="872" w:type="dxa"/>
            <w:vAlign w:val="top"/>
          </w:tcPr>
          <w:p w14:paraId="37254D98">
            <w:pPr>
              <w:spacing w:line="343" w:lineRule="auto"/>
              <w:rPr>
                <w:rFonts w:ascii="Arial"/>
                <w:sz w:val="21"/>
              </w:rPr>
            </w:pPr>
          </w:p>
          <w:p w14:paraId="53708012">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957.76</w:t>
            </w:r>
          </w:p>
        </w:tc>
        <w:tc>
          <w:tcPr>
            <w:tcW w:w="1299" w:type="dxa"/>
            <w:vAlign w:val="top"/>
          </w:tcPr>
          <w:p w14:paraId="319D1236">
            <w:pPr>
              <w:pStyle w:val="6"/>
              <w:spacing w:before="52" w:line="228" w:lineRule="auto"/>
              <w:ind w:left="28"/>
            </w:pPr>
            <w:r>
              <w:rPr>
                <w:spacing w:val="8"/>
              </w:rPr>
              <w:t>第四系松散岩</w:t>
            </w:r>
          </w:p>
          <w:p w14:paraId="1251266F">
            <w:pPr>
              <w:pStyle w:val="6"/>
              <w:spacing w:before="65" w:line="228" w:lineRule="auto"/>
              <w:ind w:left="28"/>
            </w:pPr>
            <w:r>
              <w:rPr>
                <w:spacing w:val="8"/>
              </w:rPr>
              <w:t>类孔隙水、基</w:t>
            </w:r>
          </w:p>
          <w:p w14:paraId="5B7E9BA8">
            <w:pPr>
              <w:pStyle w:val="6"/>
              <w:spacing w:before="64" w:line="228" w:lineRule="auto"/>
              <w:ind w:left="239"/>
            </w:pPr>
            <w:r>
              <w:rPr>
                <w:spacing w:val="7"/>
              </w:rPr>
              <w:t>岩裂隙水</w:t>
            </w:r>
          </w:p>
        </w:tc>
      </w:tr>
      <w:tr w14:paraId="75544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57" w:type="dxa"/>
            <w:vAlign w:val="top"/>
          </w:tcPr>
          <w:p w14:paraId="5B4B9E56">
            <w:pPr>
              <w:spacing w:line="344" w:lineRule="auto"/>
              <w:rPr>
                <w:rFonts w:ascii="Arial"/>
                <w:sz w:val="21"/>
              </w:rPr>
            </w:pPr>
          </w:p>
          <w:p w14:paraId="32A20997">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S14</w:t>
            </w:r>
          </w:p>
        </w:tc>
        <w:tc>
          <w:tcPr>
            <w:tcW w:w="1306" w:type="dxa"/>
            <w:vAlign w:val="top"/>
          </w:tcPr>
          <w:p w14:paraId="04B109F2">
            <w:pPr>
              <w:spacing w:line="344" w:lineRule="auto"/>
              <w:rPr>
                <w:rFonts w:ascii="Arial"/>
                <w:sz w:val="21"/>
              </w:rPr>
            </w:pPr>
          </w:p>
          <w:p w14:paraId="5C515A3C">
            <w:pPr>
              <w:spacing w:before="58" w:line="195" w:lineRule="auto"/>
              <w:ind w:left="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118°51′25.79″</w:t>
            </w:r>
          </w:p>
        </w:tc>
        <w:tc>
          <w:tcPr>
            <w:tcW w:w="1242" w:type="dxa"/>
            <w:vAlign w:val="top"/>
          </w:tcPr>
          <w:p w14:paraId="6A05A608">
            <w:pPr>
              <w:spacing w:line="344" w:lineRule="auto"/>
              <w:rPr>
                <w:rFonts w:ascii="Arial"/>
                <w:sz w:val="21"/>
              </w:rPr>
            </w:pPr>
          </w:p>
          <w:p w14:paraId="45748C06">
            <w:pPr>
              <w:spacing w:before="58" w:line="195"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1"/>
                <w:sz w:val="20"/>
                <w:szCs w:val="20"/>
              </w:rPr>
              <w:t>15′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11.26″</w:t>
            </w:r>
          </w:p>
        </w:tc>
        <w:tc>
          <w:tcPr>
            <w:tcW w:w="621" w:type="dxa"/>
            <w:vAlign w:val="top"/>
          </w:tcPr>
          <w:p w14:paraId="6BFD1FB1">
            <w:pPr>
              <w:spacing w:line="344" w:lineRule="auto"/>
              <w:rPr>
                <w:rFonts w:ascii="Arial"/>
                <w:sz w:val="21"/>
              </w:rPr>
            </w:pPr>
          </w:p>
          <w:p w14:paraId="2AA723C9">
            <w:pPr>
              <w:spacing w:before="5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43" w:type="dxa"/>
            <w:vAlign w:val="top"/>
          </w:tcPr>
          <w:p w14:paraId="01A8BA18">
            <w:pPr>
              <w:spacing w:line="344" w:lineRule="auto"/>
              <w:rPr>
                <w:rFonts w:ascii="Arial"/>
                <w:sz w:val="21"/>
              </w:rPr>
            </w:pPr>
          </w:p>
          <w:p w14:paraId="730E5922">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986.31</w:t>
            </w:r>
          </w:p>
        </w:tc>
        <w:tc>
          <w:tcPr>
            <w:tcW w:w="744" w:type="dxa"/>
            <w:vAlign w:val="top"/>
          </w:tcPr>
          <w:p w14:paraId="47C11741">
            <w:pPr>
              <w:spacing w:line="344" w:lineRule="auto"/>
              <w:rPr>
                <w:rFonts w:ascii="Arial"/>
                <w:sz w:val="21"/>
              </w:rPr>
            </w:pPr>
          </w:p>
          <w:p w14:paraId="5E432A72">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3.54</w:t>
            </w:r>
          </w:p>
        </w:tc>
        <w:tc>
          <w:tcPr>
            <w:tcW w:w="745" w:type="dxa"/>
            <w:vAlign w:val="top"/>
          </w:tcPr>
          <w:p w14:paraId="6DE0DC76">
            <w:pPr>
              <w:spacing w:line="344" w:lineRule="auto"/>
              <w:rPr>
                <w:rFonts w:ascii="Arial"/>
                <w:sz w:val="21"/>
              </w:rPr>
            </w:pPr>
          </w:p>
          <w:p w14:paraId="5C8D5C06">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982.77</w:t>
            </w:r>
          </w:p>
        </w:tc>
        <w:tc>
          <w:tcPr>
            <w:tcW w:w="743" w:type="dxa"/>
            <w:vAlign w:val="top"/>
          </w:tcPr>
          <w:p w14:paraId="197BDD74">
            <w:pPr>
              <w:spacing w:line="344" w:lineRule="auto"/>
              <w:rPr>
                <w:rFonts w:ascii="Arial"/>
                <w:sz w:val="21"/>
              </w:rPr>
            </w:pPr>
          </w:p>
          <w:p w14:paraId="1DA54492">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3"/>
                <w:sz w:val="20"/>
                <w:szCs w:val="20"/>
              </w:rPr>
              <w:t>12</w:t>
            </w:r>
          </w:p>
        </w:tc>
        <w:tc>
          <w:tcPr>
            <w:tcW w:w="872" w:type="dxa"/>
            <w:vAlign w:val="top"/>
          </w:tcPr>
          <w:p w14:paraId="2B7ECF22">
            <w:pPr>
              <w:spacing w:line="344" w:lineRule="auto"/>
              <w:rPr>
                <w:rFonts w:ascii="Arial"/>
                <w:sz w:val="21"/>
              </w:rPr>
            </w:pPr>
          </w:p>
          <w:p w14:paraId="18A7F692">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982.19</w:t>
            </w:r>
          </w:p>
        </w:tc>
        <w:tc>
          <w:tcPr>
            <w:tcW w:w="1299" w:type="dxa"/>
            <w:vAlign w:val="top"/>
          </w:tcPr>
          <w:p w14:paraId="69231717">
            <w:pPr>
              <w:pStyle w:val="6"/>
              <w:spacing w:before="55" w:line="228" w:lineRule="auto"/>
              <w:ind w:left="28"/>
            </w:pPr>
            <w:r>
              <w:rPr>
                <w:spacing w:val="8"/>
              </w:rPr>
              <w:t>第四系松散岩</w:t>
            </w:r>
          </w:p>
          <w:p w14:paraId="58E5ACAF">
            <w:pPr>
              <w:pStyle w:val="6"/>
              <w:spacing w:before="65" w:line="228" w:lineRule="auto"/>
              <w:ind w:left="28"/>
            </w:pPr>
            <w:r>
              <w:rPr>
                <w:spacing w:val="8"/>
              </w:rPr>
              <w:t>类孔隙水、基</w:t>
            </w:r>
          </w:p>
          <w:p w14:paraId="08CFE631">
            <w:pPr>
              <w:pStyle w:val="6"/>
              <w:spacing w:before="64" w:line="228" w:lineRule="auto"/>
              <w:ind w:left="239"/>
            </w:pPr>
            <w:r>
              <w:rPr>
                <w:spacing w:val="7"/>
              </w:rPr>
              <w:t>岩裂隙水</w:t>
            </w:r>
          </w:p>
        </w:tc>
      </w:tr>
      <w:tr w14:paraId="01001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557" w:type="dxa"/>
            <w:vAlign w:val="top"/>
          </w:tcPr>
          <w:p w14:paraId="479AE925">
            <w:pPr>
              <w:spacing w:line="349" w:lineRule="auto"/>
              <w:rPr>
                <w:rFonts w:ascii="Arial"/>
                <w:sz w:val="21"/>
              </w:rPr>
            </w:pPr>
          </w:p>
          <w:p w14:paraId="783A890D">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S15</w:t>
            </w:r>
          </w:p>
        </w:tc>
        <w:tc>
          <w:tcPr>
            <w:tcW w:w="1306" w:type="dxa"/>
            <w:vAlign w:val="top"/>
          </w:tcPr>
          <w:p w14:paraId="68A4780C">
            <w:pPr>
              <w:spacing w:line="349" w:lineRule="auto"/>
              <w:rPr>
                <w:rFonts w:ascii="Arial"/>
                <w:sz w:val="21"/>
              </w:rPr>
            </w:pPr>
          </w:p>
          <w:p w14:paraId="7D320D0B">
            <w:pPr>
              <w:spacing w:before="58"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118°56'9.73"</w:t>
            </w:r>
          </w:p>
        </w:tc>
        <w:tc>
          <w:tcPr>
            <w:tcW w:w="1242" w:type="dxa"/>
            <w:vAlign w:val="top"/>
          </w:tcPr>
          <w:p w14:paraId="432529A5">
            <w:pPr>
              <w:spacing w:line="349" w:lineRule="auto"/>
              <w:rPr>
                <w:rFonts w:ascii="Arial"/>
                <w:sz w:val="21"/>
              </w:rPr>
            </w:pPr>
          </w:p>
          <w:p w14:paraId="6EBBA0DE">
            <w:pPr>
              <w:spacing w:before="58"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15'9.55"</w:t>
            </w:r>
          </w:p>
        </w:tc>
        <w:tc>
          <w:tcPr>
            <w:tcW w:w="621" w:type="dxa"/>
            <w:vAlign w:val="top"/>
          </w:tcPr>
          <w:p w14:paraId="3615FBF8">
            <w:pPr>
              <w:spacing w:line="349" w:lineRule="auto"/>
              <w:rPr>
                <w:rFonts w:ascii="Arial"/>
                <w:sz w:val="21"/>
              </w:rPr>
            </w:pPr>
          </w:p>
          <w:p w14:paraId="12EFEEED">
            <w:pPr>
              <w:spacing w:before="5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43" w:type="dxa"/>
            <w:vAlign w:val="top"/>
          </w:tcPr>
          <w:p w14:paraId="3ACFB4A7">
            <w:pPr>
              <w:spacing w:line="349" w:lineRule="auto"/>
              <w:rPr>
                <w:rFonts w:ascii="Arial"/>
                <w:sz w:val="21"/>
              </w:rPr>
            </w:pPr>
          </w:p>
          <w:p w14:paraId="63DB1ACA">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984.13</w:t>
            </w:r>
          </w:p>
        </w:tc>
        <w:tc>
          <w:tcPr>
            <w:tcW w:w="744" w:type="dxa"/>
            <w:vAlign w:val="top"/>
          </w:tcPr>
          <w:p w14:paraId="1360B588">
            <w:pPr>
              <w:spacing w:line="349" w:lineRule="auto"/>
              <w:rPr>
                <w:rFonts w:ascii="Arial"/>
                <w:sz w:val="21"/>
              </w:rPr>
            </w:pPr>
          </w:p>
          <w:p w14:paraId="2A75BA0E">
            <w:pPr>
              <w:spacing w:before="5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3.21</w:t>
            </w:r>
          </w:p>
        </w:tc>
        <w:tc>
          <w:tcPr>
            <w:tcW w:w="745" w:type="dxa"/>
            <w:vAlign w:val="top"/>
          </w:tcPr>
          <w:p w14:paraId="0BD9B4E2">
            <w:pPr>
              <w:spacing w:line="349" w:lineRule="auto"/>
              <w:rPr>
                <w:rFonts w:ascii="Arial"/>
                <w:sz w:val="21"/>
              </w:rPr>
            </w:pPr>
          </w:p>
          <w:p w14:paraId="29BD3362">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980.92</w:t>
            </w:r>
          </w:p>
        </w:tc>
        <w:tc>
          <w:tcPr>
            <w:tcW w:w="743" w:type="dxa"/>
            <w:vAlign w:val="top"/>
          </w:tcPr>
          <w:p w14:paraId="5E8D3F67">
            <w:pPr>
              <w:spacing w:line="349" w:lineRule="auto"/>
              <w:rPr>
                <w:rFonts w:ascii="Arial"/>
                <w:sz w:val="21"/>
              </w:rPr>
            </w:pPr>
          </w:p>
          <w:p w14:paraId="4FC09D09">
            <w:pPr>
              <w:spacing w:before="5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3.52</w:t>
            </w:r>
          </w:p>
        </w:tc>
        <w:tc>
          <w:tcPr>
            <w:tcW w:w="872" w:type="dxa"/>
            <w:vAlign w:val="top"/>
          </w:tcPr>
          <w:p w14:paraId="4F01F8C9">
            <w:pPr>
              <w:spacing w:line="349" w:lineRule="auto"/>
              <w:rPr>
                <w:rFonts w:ascii="Arial"/>
                <w:sz w:val="21"/>
              </w:rPr>
            </w:pPr>
          </w:p>
          <w:p w14:paraId="14221693">
            <w:pPr>
              <w:spacing w:before="5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980.61</w:t>
            </w:r>
          </w:p>
        </w:tc>
        <w:tc>
          <w:tcPr>
            <w:tcW w:w="1299" w:type="dxa"/>
            <w:vAlign w:val="top"/>
          </w:tcPr>
          <w:p w14:paraId="708C8975">
            <w:pPr>
              <w:pStyle w:val="6"/>
              <w:spacing w:before="58" w:line="228" w:lineRule="auto"/>
              <w:ind w:left="28"/>
            </w:pPr>
            <w:r>
              <w:rPr>
                <w:spacing w:val="8"/>
              </w:rPr>
              <w:t>第四系松散岩</w:t>
            </w:r>
          </w:p>
          <w:p w14:paraId="378090FA">
            <w:pPr>
              <w:pStyle w:val="6"/>
              <w:spacing w:before="65" w:line="228" w:lineRule="auto"/>
              <w:ind w:left="28"/>
            </w:pPr>
            <w:r>
              <w:rPr>
                <w:spacing w:val="8"/>
              </w:rPr>
              <w:t>类孔隙水、基</w:t>
            </w:r>
          </w:p>
          <w:p w14:paraId="790DE7D5">
            <w:pPr>
              <w:pStyle w:val="6"/>
              <w:spacing w:before="65" w:line="228" w:lineRule="auto"/>
              <w:ind w:left="239"/>
            </w:pPr>
            <w:r>
              <w:rPr>
                <w:spacing w:val="7"/>
              </w:rPr>
              <w:t>岩裂隙水</w:t>
            </w:r>
          </w:p>
        </w:tc>
      </w:tr>
    </w:tbl>
    <w:p w14:paraId="16DC7BCF">
      <w:pPr>
        <w:spacing w:before="5" w:line="8412" w:lineRule="exact"/>
        <w:ind w:firstLine="285"/>
      </w:pPr>
      <w:r>
        <w:rPr>
          <w:position w:val="-168"/>
        </w:rPr>
        <w:drawing>
          <wp:inline distT="0" distB="0" distL="0" distR="0">
            <wp:extent cx="5274310" cy="53409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95"/>
                    <a:stretch>
                      <a:fillRect/>
                    </a:stretch>
                  </pic:blipFill>
                  <pic:spPr>
                    <a:xfrm>
                      <a:off x="0" y="0"/>
                      <a:ext cx="5274563" cy="5341619"/>
                    </a:xfrm>
                    <a:prstGeom prst="rect">
                      <a:avLst/>
                    </a:prstGeom>
                  </pic:spPr>
                </pic:pic>
              </a:graphicData>
            </a:graphic>
          </wp:inline>
        </w:drawing>
      </w:r>
    </w:p>
    <w:p w14:paraId="5C3B2450">
      <w:pPr>
        <w:spacing w:before="121" w:line="218" w:lineRule="auto"/>
        <w:ind w:left="1912"/>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8.2-4        </w:t>
      </w:r>
      <w:r>
        <w:rPr>
          <w:rFonts w:ascii="宋体" w:hAnsi="宋体" w:eastAsia="宋体" w:cs="宋体"/>
          <w:spacing w:val="-3"/>
          <w:sz w:val="24"/>
          <w:szCs w:val="24"/>
        </w:rPr>
        <w:t>评价区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2022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月地下水位等水位线图</w:t>
      </w:r>
    </w:p>
    <w:p w14:paraId="5425F562">
      <w:pPr>
        <w:spacing w:line="218" w:lineRule="auto"/>
        <w:rPr>
          <w:rFonts w:ascii="宋体" w:hAnsi="宋体" w:eastAsia="宋体" w:cs="宋体"/>
          <w:sz w:val="24"/>
          <w:szCs w:val="24"/>
        </w:rPr>
        <w:sectPr>
          <w:footerReference r:id="rId264" w:type="default"/>
          <w:pgSz w:w="11906" w:h="16839"/>
          <w:pgMar w:top="1208" w:right="1514" w:bottom="1358" w:left="1514" w:header="825" w:footer="1195" w:gutter="0"/>
          <w:cols w:space="720" w:num="1"/>
        </w:sectPr>
      </w:pPr>
    </w:p>
    <w:p w14:paraId="612FD7DD">
      <w:pPr>
        <w:pStyle w:val="2"/>
        <w:spacing w:line="350" w:lineRule="auto"/>
      </w:pPr>
    </w:p>
    <w:p w14:paraId="22195163">
      <w:pPr>
        <w:pStyle w:val="2"/>
        <w:spacing w:line="351" w:lineRule="auto"/>
      </w:pPr>
    </w:p>
    <w:p w14:paraId="203E1E05">
      <w:pPr>
        <w:spacing w:line="8412" w:lineRule="exact"/>
        <w:ind w:firstLine="14"/>
      </w:pPr>
      <w:r>
        <w:rPr>
          <w:position w:val="-168"/>
        </w:rPr>
        <w:drawing>
          <wp:inline distT="0" distB="0" distL="0" distR="0">
            <wp:extent cx="5274310" cy="53409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96"/>
                    <a:stretch>
                      <a:fillRect/>
                    </a:stretch>
                  </pic:blipFill>
                  <pic:spPr>
                    <a:xfrm>
                      <a:off x="0" y="0"/>
                      <a:ext cx="5274563" cy="5341619"/>
                    </a:xfrm>
                    <a:prstGeom prst="rect">
                      <a:avLst/>
                    </a:prstGeom>
                  </pic:spPr>
                </pic:pic>
              </a:graphicData>
            </a:graphic>
          </wp:inline>
        </w:drawing>
      </w:r>
    </w:p>
    <w:p w14:paraId="1BA3CD52">
      <w:pPr>
        <w:spacing w:before="118" w:line="218" w:lineRule="auto"/>
        <w:ind w:left="200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8.2-5  </w:t>
      </w:r>
      <w:r>
        <w:rPr>
          <w:rFonts w:ascii="宋体" w:hAnsi="宋体" w:eastAsia="宋体" w:cs="宋体"/>
          <w:spacing w:val="-3"/>
          <w:sz w:val="24"/>
          <w:szCs w:val="24"/>
        </w:rPr>
        <w:t>评价区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2023 </w:t>
      </w:r>
      <w:r>
        <w:rPr>
          <w:rFonts w:ascii="宋体" w:hAnsi="宋体" w:eastAsia="宋体" w:cs="宋体"/>
          <w:spacing w:val="-3"/>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月地下水位等值线图</w:t>
      </w:r>
    </w:p>
    <w:p w14:paraId="0D46AE93">
      <w:pPr>
        <w:spacing w:before="185" w:line="219" w:lineRule="auto"/>
        <w:ind w:left="24"/>
        <w:outlineLvl w:val="3"/>
        <w:rPr>
          <w:rFonts w:ascii="宋体" w:hAnsi="宋体" w:eastAsia="宋体" w:cs="宋体"/>
          <w:sz w:val="24"/>
          <w:szCs w:val="24"/>
        </w:rPr>
      </w:pPr>
      <w:r>
        <w:rPr>
          <w:rFonts w:ascii="宋体" w:hAnsi="宋体" w:eastAsia="宋体" w:cs="宋体"/>
          <w:spacing w:val="-2"/>
          <w:sz w:val="24"/>
          <w:szCs w:val="24"/>
        </w:rPr>
        <w:t>8.2.1.4</w:t>
      </w:r>
      <w:r>
        <w:rPr>
          <w:rFonts w:ascii="宋体" w:hAnsi="宋体" w:eastAsia="宋体" w:cs="宋体"/>
          <w:spacing w:val="-44"/>
          <w:sz w:val="24"/>
          <w:szCs w:val="24"/>
        </w:rPr>
        <w:t xml:space="preserve"> </w:t>
      </w:r>
      <w:r>
        <w:rPr>
          <w:rFonts w:ascii="宋体" w:hAnsi="宋体" w:eastAsia="宋体" w:cs="宋体"/>
          <w:spacing w:val="-2"/>
          <w:sz w:val="24"/>
          <w:szCs w:val="24"/>
        </w:rPr>
        <w:t>参数计算与选择</w:t>
      </w:r>
    </w:p>
    <w:p w14:paraId="1C2CEC75">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）水文地质参数计算与选择</w:t>
      </w:r>
    </w:p>
    <w:p w14:paraId="6110A649">
      <w:pPr>
        <w:spacing w:before="182" w:line="360" w:lineRule="auto"/>
        <w:ind w:left="21" w:firstLine="482"/>
        <w:rPr>
          <w:rFonts w:ascii="宋体" w:hAnsi="宋体" w:eastAsia="宋体" w:cs="宋体"/>
          <w:sz w:val="24"/>
          <w:szCs w:val="24"/>
        </w:rPr>
      </w:pPr>
      <w:r>
        <w:rPr>
          <w:rFonts w:ascii="宋体" w:hAnsi="宋体" w:eastAsia="宋体" w:cs="宋体"/>
          <w:spacing w:val="-3"/>
          <w:sz w:val="24"/>
          <w:szCs w:val="24"/>
        </w:rPr>
        <w:t>本次计算涉及到的水文地质参数主要有：渗透系数（</w:t>
      </w:r>
      <w:r>
        <w:rPr>
          <w:rFonts w:ascii="Times New Roman" w:hAnsi="Times New Roman" w:eastAsia="Times New Roman" w:cs="Times New Roman"/>
          <w:spacing w:val="-3"/>
          <w:sz w:val="24"/>
          <w:szCs w:val="24"/>
        </w:rPr>
        <w:t>K</w:t>
      </w:r>
      <w:r>
        <w:rPr>
          <w:rFonts w:ascii="宋体" w:hAnsi="宋体" w:eastAsia="宋体" w:cs="宋体"/>
          <w:spacing w:val="-3"/>
          <w:sz w:val="24"/>
          <w:szCs w:val="24"/>
        </w:rPr>
        <w:t>）、导水系数 (</w:t>
      </w:r>
      <w:r>
        <w:rPr>
          <w:rFonts w:ascii="Times New Roman" w:hAnsi="Times New Roman" w:eastAsia="Times New Roman" w:cs="Times New Roman"/>
          <w:spacing w:val="-3"/>
          <w:sz w:val="24"/>
          <w:szCs w:val="24"/>
        </w:rPr>
        <w:t>Τ</w:t>
      </w:r>
      <w:r>
        <w:rPr>
          <w:rFonts w:ascii="宋体" w:hAnsi="宋体" w:eastAsia="宋体" w:cs="宋体"/>
          <w:spacing w:val="-3"/>
          <w:sz w:val="24"/>
          <w:szCs w:val="24"/>
        </w:rPr>
        <w:t>) 、</w:t>
      </w:r>
      <w:r>
        <w:rPr>
          <w:rFonts w:ascii="宋体" w:hAnsi="宋体" w:eastAsia="宋体" w:cs="宋体"/>
          <w:spacing w:val="3"/>
          <w:sz w:val="24"/>
          <w:szCs w:val="24"/>
        </w:rPr>
        <w:t xml:space="preserve"> </w:t>
      </w:r>
      <w:r>
        <w:rPr>
          <w:rFonts w:ascii="宋体" w:hAnsi="宋体" w:eastAsia="宋体" w:cs="宋体"/>
          <w:spacing w:val="-3"/>
          <w:sz w:val="24"/>
          <w:szCs w:val="24"/>
        </w:rPr>
        <w:t>影响半径（</w:t>
      </w:r>
      <w:r>
        <w:rPr>
          <w:rFonts w:ascii="Times New Roman" w:hAnsi="Times New Roman" w:eastAsia="Times New Roman" w:cs="Times New Roman"/>
          <w:spacing w:val="-3"/>
          <w:sz w:val="24"/>
          <w:szCs w:val="24"/>
        </w:rPr>
        <w:t>R</w:t>
      </w:r>
      <w:r>
        <w:rPr>
          <w:rFonts w:ascii="宋体" w:hAnsi="宋体" w:eastAsia="宋体" w:cs="宋体"/>
          <w:spacing w:val="-3"/>
          <w:sz w:val="24"/>
          <w:szCs w:val="24"/>
        </w:rPr>
        <w:t>）、水力梯度（</w:t>
      </w:r>
      <w:r>
        <w:rPr>
          <w:rFonts w:ascii="Times New Roman" w:hAnsi="Times New Roman" w:eastAsia="Times New Roman" w:cs="Times New Roman"/>
          <w:spacing w:val="-3"/>
          <w:sz w:val="24"/>
          <w:szCs w:val="24"/>
        </w:rPr>
        <w:t>I</w:t>
      </w:r>
      <w:r>
        <w:rPr>
          <w:rFonts w:ascii="宋体" w:hAnsi="宋体" w:eastAsia="宋体" w:cs="宋体"/>
          <w:spacing w:val="-3"/>
          <w:sz w:val="24"/>
          <w:szCs w:val="24"/>
        </w:rPr>
        <w:t>）等，通过井孔抽水试验资料及水位监测资料计算</w:t>
      </w:r>
      <w:r>
        <w:rPr>
          <w:rFonts w:ascii="宋体" w:hAnsi="宋体" w:eastAsia="宋体" w:cs="宋体"/>
          <w:spacing w:val="5"/>
          <w:sz w:val="24"/>
          <w:szCs w:val="24"/>
        </w:rPr>
        <w:t xml:space="preserve"> </w:t>
      </w:r>
      <w:r>
        <w:rPr>
          <w:rFonts w:ascii="宋体" w:hAnsi="宋体" w:eastAsia="宋体" w:cs="宋体"/>
          <w:spacing w:val="-2"/>
          <w:sz w:val="24"/>
          <w:szCs w:val="24"/>
        </w:rPr>
        <w:t>进行求取。</w:t>
      </w:r>
    </w:p>
    <w:p w14:paraId="0AC9E03C">
      <w:pPr>
        <w:spacing w:before="1" w:line="336" w:lineRule="auto"/>
        <w:ind w:left="29" w:right="93" w:firstLine="474"/>
        <w:rPr>
          <w:rFonts w:ascii="宋体" w:hAnsi="宋体" w:eastAsia="宋体" w:cs="宋体"/>
          <w:sz w:val="24"/>
          <w:szCs w:val="24"/>
        </w:rPr>
      </w:pPr>
      <w:r>
        <w:rPr>
          <w:rFonts w:ascii="宋体" w:hAnsi="宋体" w:eastAsia="宋体" w:cs="宋体"/>
          <w:spacing w:val="-2"/>
          <w:sz w:val="24"/>
          <w:szCs w:val="24"/>
        </w:rPr>
        <w:t>本次抽水试验采用稳定流抽水试验，稳定流方法主要计算渗透系数（</w:t>
      </w:r>
      <w:r>
        <w:rPr>
          <w:rFonts w:ascii="Times New Roman" w:hAnsi="Times New Roman" w:eastAsia="Times New Roman" w:cs="Times New Roman"/>
          <w:spacing w:val="-2"/>
          <w:sz w:val="24"/>
          <w:szCs w:val="24"/>
        </w:rPr>
        <w:t>K</w:t>
      </w:r>
      <w:r>
        <w:rPr>
          <w:rFonts w:ascii="宋体" w:hAnsi="宋体" w:eastAsia="宋体" w:cs="宋体"/>
          <w:spacing w:val="-2"/>
          <w:sz w:val="24"/>
          <w:szCs w:val="24"/>
        </w:rPr>
        <w:t>）、</w:t>
      </w:r>
      <w:r>
        <w:rPr>
          <w:rFonts w:ascii="宋体" w:hAnsi="宋体" w:eastAsia="宋体" w:cs="宋体"/>
          <w:spacing w:val="14"/>
          <w:sz w:val="24"/>
          <w:szCs w:val="24"/>
        </w:rPr>
        <w:t xml:space="preserve"> </w:t>
      </w:r>
      <w:r>
        <w:rPr>
          <w:rFonts w:ascii="宋体" w:hAnsi="宋体" w:eastAsia="宋体" w:cs="宋体"/>
          <w:spacing w:val="-3"/>
          <w:sz w:val="24"/>
          <w:szCs w:val="24"/>
        </w:rPr>
        <w:t>导水系数 (</w:t>
      </w:r>
      <w:r>
        <w:rPr>
          <w:rFonts w:ascii="Times New Roman" w:hAnsi="Times New Roman" w:eastAsia="Times New Roman" w:cs="Times New Roman"/>
          <w:spacing w:val="-3"/>
          <w:sz w:val="24"/>
          <w:szCs w:val="24"/>
        </w:rPr>
        <w:t>Τ</w:t>
      </w:r>
      <w:r>
        <w:rPr>
          <w:rFonts w:ascii="宋体" w:hAnsi="宋体" w:eastAsia="宋体" w:cs="宋体"/>
          <w:spacing w:val="-3"/>
          <w:sz w:val="24"/>
          <w:szCs w:val="24"/>
        </w:rPr>
        <w:t>)</w:t>
      </w:r>
      <w:r>
        <w:rPr>
          <w:rFonts w:ascii="宋体" w:hAnsi="宋体" w:eastAsia="宋体" w:cs="宋体"/>
          <w:spacing w:val="43"/>
          <w:sz w:val="24"/>
          <w:szCs w:val="24"/>
        </w:rPr>
        <w:t xml:space="preserve"> </w:t>
      </w:r>
      <w:r>
        <w:rPr>
          <w:rFonts w:ascii="宋体" w:hAnsi="宋体" w:eastAsia="宋体" w:cs="宋体"/>
          <w:spacing w:val="-3"/>
          <w:sz w:val="24"/>
          <w:szCs w:val="24"/>
        </w:rPr>
        <w:t>、影响半径（</w:t>
      </w:r>
      <w:r>
        <w:rPr>
          <w:rFonts w:ascii="Times New Roman" w:hAnsi="Times New Roman" w:eastAsia="Times New Roman" w:cs="Times New Roman"/>
          <w:spacing w:val="-3"/>
          <w:sz w:val="24"/>
          <w:szCs w:val="24"/>
        </w:rPr>
        <w:t>R</w:t>
      </w:r>
      <w:r>
        <w:rPr>
          <w:rFonts w:ascii="宋体" w:hAnsi="宋体" w:eastAsia="宋体" w:cs="宋体"/>
          <w:spacing w:val="3"/>
          <w:sz w:val="24"/>
          <w:szCs w:val="24"/>
        </w:rPr>
        <w:t>），</w:t>
      </w:r>
      <w:r>
        <w:rPr>
          <w:rFonts w:ascii="宋体" w:hAnsi="宋体" w:eastAsia="宋体" w:cs="宋体"/>
          <w:spacing w:val="-3"/>
          <w:sz w:val="24"/>
          <w:szCs w:val="24"/>
        </w:rPr>
        <w:t>其计算公式</w:t>
      </w:r>
      <w:r>
        <w:rPr>
          <w:rFonts w:ascii="宋体" w:hAnsi="宋体" w:eastAsia="宋体" w:cs="宋体"/>
          <w:spacing w:val="-4"/>
          <w:sz w:val="24"/>
          <w:szCs w:val="24"/>
        </w:rPr>
        <w:t>为：</w:t>
      </w:r>
    </w:p>
    <w:p w14:paraId="24B02649">
      <w:pPr>
        <w:pStyle w:val="2"/>
        <w:spacing w:line="730" w:lineRule="exact"/>
        <w:ind w:left="533"/>
        <w:rPr>
          <w:sz w:val="23"/>
          <w:szCs w:val="23"/>
        </w:rPr>
      </w:pPr>
      <w:r>
        <w:pict>
          <v:shape id="_x0000_s1046" o:spid="_x0000_s1046" o:spt="202" type="#_x0000_t202" style="position:absolute;left:0pt;margin-left:27.95pt;margin-top:32.2pt;height:16.6pt;width:2.6pt;z-index:-251597824;mso-width-relative:page;mso-height-relative:page;" filled="f" stroked="f" coordsize="21600,21600">
            <v:path/>
            <v:fill on="f" focussize="0,0"/>
            <v:stroke on="f"/>
            <v:imagedata o:title=""/>
            <o:lock v:ext="edit" aspectratio="f"/>
            <v:textbox inset="0mm,0mm,0mm,0mm">
              <w:txbxContent>
                <w:p w14:paraId="51C8326E">
                  <w:pPr>
                    <w:spacing w:before="20" w:line="291" w:lineRule="exact"/>
                    <w:ind w:left="20"/>
                  </w:pPr>
                  <w:r>
                    <w:rPr>
                      <w:position w:val="-6"/>
                    </w:rPr>
                    <w:drawing>
                      <wp:inline distT="0" distB="0" distL="0" distR="0">
                        <wp:extent cx="6985" cy="1847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97"/>
                                <a:stretch>
                                  <a:fillRect/>
                                </a:stretch>
                              </pic:blipFill>
                              <pic:spPr>
                                <a:xfrm>
                                  <a:off x="0" y="0"/>
                                  <a:ext cx="7105" cy="185045"/>
                                </a:xfrm>
                                <a:prstGeom prst="rect">
                                  <a:avLst/>
                                </a:prstGeom>
                              </pic:spPr>
                            </pic:pic>
                          </a:graphicData>
                        </a:graphic>
                      </wp:inline>
                    </w:drawing>
                  </w:r>
                </w:p>
              </w:txbxContent>
            </v:textbox>
          </v:shape>
        </w:pict>
      </w:r>
      <w:r>
        <w:rPr>
          <w:rFonts w:ascii="微软雅黑" w:hAnsi="微软雅黑" w:eastAsia="微软雅黑" w:cs="微软雅黑"/>
          <w:spacing w:val="18"/>
          <w:w w:val="125"/>
          <w:position w:val="-7"/>
          <w:sz w:val="23"/>
          <w:szCs w:val="23"/>
        </w:rPr>
        <w:t>{</w:t>
      </w:r>
      <w:r>
        <w:rPr>
          <w:position w:val="8"/>
          <w:sz w:val="23"/>
          <w:szCs w:val="23"/>
        </w:rPr>
        <w:drawing>
          <wp:inline distT="0" distB="0" distL="0" distR="0">
            <wp:extent cx="6350" cy="1847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97"/>
                    <a:stretch>
                      <a:fillRect/>
                    </a:stretch>
                  </pic:blipFill>
                  <pic:spPr>
                    <a:xfrm>
                      <a:off x="0" y="0"/>
                      <a:ext cx="6504" cy="185045"/>
                    </a:xfrm>
                    <a:prstGeom prst="rect">
                      <a:avLst/>
                    </a:prstGeom>
                  </pic:spPr>
                </pic:pic>
              </a:graphicData>
            </a:graphic>
          </wp:inline>
        </w:drawing>
      </w:r>
      <w:r>
        <w:rPr>
          <w:rFonts w:ascii="微软雅黑" w:hAnsi="微软雅黑" w:eastAsia="微软雅黑" w:cs="微软雅黑"/>
          <w:spacing w:val="-15"/>
          <w:w w:val="64"/>
          <w:position w:val="36"/>
          <w:sz w:val="23"/>
          <w:szCs w:val="23"/>
        </w:rPr>
        <w:t>〔</w:t>
      </w:r>
      <w:r>
        <w:rPr>
          <w:rFonts w:ascii="Times New Roman" w:hAnsi="Times New Roman" w:eastAsia="Times New Roman" w:cs="Times New Roman"/>
          <w:i/>
          <w:iCs/>
          <w:spacing w:val="-15"/>
          <w:w w:val="64"/>
          <w:position w:val="17"/>
          <w:sz w:val="23"/>
          <w:szCs w:val="23"/>
        </w:rPr>
        <w:t>K</w:t>
      </w:r>
      <w:r>
        <w:rPr>
          <w:rFonts w:ascii="Times New Roman" w:hAnsi="Times New Roman" w:eastAsia="Times New Roman" w:cs="Times New Roman"/>
          <w:i/>
          <w:iCs/>
          <w:spacing w:val="22"/>
          <w:position w:val="17"/>
          <w:sz w:val="23"/>
          <w:szCs w:val="23"/>
        </w:rPr>
        <w:t xml:space="preserve"> </w:t>
      </w:r>
      <w:r>
        <w:rPr>
          <w:rFonts w:ascii="微软雅黑" w:hAnsi="微软雅黑" w:eastAsia="微软雅黑" w:cs="微软雅黑"/>
          <w:spacing w:val="-15"/>
          <w:w w:val="64"/>
          <w:position w:val="17"/>
          <w:sz w:val="23"/>
          <w:szCs w:val="23"/>
        </w:rPr>
        <w:t>=</w:t>
      </w:r>
      <w:r>
        <w:rPr>
          <w:rFonts w:ascii="微软雅黑" w:hAnsi="微软雅黑" w:eastAsia="微软雅黑" w:cs="微软雅黑"/>
          <w:spacing w:val="-5"/>
          <w:position w:val="17"/>
          <w:sz w:val="23"/>
          <w:szCs w:val="23"/>
        </w:rPr>
        <w:t xml:space="preserve"> </w:t>
      </w:r>
      <w:r>
        <w:rPr>
          <w:rFonts w:ascii="微软雅黑" w:hAnsi="微软雅黑" w:eastAsia="微软雅黑" w:cs="微软雅黑"/>
          <w:strike/>
          <w:spacing w:val="-65"/>
          <w:position w:val="-1"/>
          <w:sz w:val="38"/>
          <w:szCs w:val="38"/>
        </w:rPr>
        <w:t xml:space="preserve"> </w:t>
      </w:r>
      <w:r>
        <w:rPr>
          <w:rFonts w:ascii="微软雅黑" w:hAnsi="微软雅黑" w:eastAsia="微软雅黑" w:cs="微软雅黑"/>
          <w:strike/>
          <w:spacing w:val="-14"/>
          <w:w w:val="74"/>
          <w:position w:val="-1"/>
          <w:sz w:val="38"/>
          <w:szCs w:val="38"/>
        </w:rPr>
        <w:t>(</w:t>
      </w:r>
      <w:r>
        <w:fldChar w:fldCharType="begin"/>
      </w:r>
      <w:r>
        <w:instrText xml:space="preserve">EQ \* jc3 \* hps23 \o\al(\s\up 10(</w:instrText>
      </w:r>
      <w:r>
        <w:rPr>
          <w:rFonts w:ascii="Times New Roman" w:hAnsi="Times New Roman" w:eastAsia="Times New Roman" w:cs="Times New Roman"/>
          <w:w w:val="123"/>
          <w:position w:val="11"/>
          <w:sz w:val="23"/>
          <w:szCs w:val="23"/>
        </w:rPr>
        <w:instrText xml:space="preserve">0</w:instrText>
      </w:r>
      <w:r>
        <w:instrText xml:space="preserve">),</w:instrText>
      </w:r>
      <w:r>
        <w:rPr>
          <w:rFonts w:ascii="Times New Roman" w:hAnsi="Times New Roman" w:eastAsia="Times New Roman" w:cs="Times New Roman"/>
          <w:i/>
          <w:iCs/>
          <w:w w:val="112"/>
          <w:position w:val="-1"/>
          <w:sz w:val="23"/>
          <w:szCs w:val="23"/>
        </w:rPr>
        <w:instrText xml:space="preserve">H</w:instrText>
      </w:r>
      <w:r>
        <w:instrText xml:space="preserve">)</w:instrText>
      </w:r>
      <w:r>
        <w:fldChar w:fldCharType="end"/>
      </w:r>
      <w:r>
        <w:rPr>
          <w:rFonts w:ascii="Times New Roman" w:hAnsi="Times New Roman" w:eastAsia="Times New Roman" w:cs="Times New Roman"/>
          <w:spacing w:val="-14"/>
          <w:w w:val="74"/>
          <w:position w:val="32"/>
          <w:sz w:val="23"/>
          <w:szCs w:val="23"/>
        </w:rPr>
        <w:t>.</w:t>
      </w:r>
      <w:r>
        <w:fldChar w:fldCharType="begin"/>
      </w:r>
      <w:r>
        <w:instrText xml:space="preserve">EQ \* jc3 \* hps23 \o\al(\s\up 10(</w:instrText>
      </w:r>
      <w:r>
        <w:rPr>
          <w:rFonts w:ascii="Times New Roman" w:hAnsi="Times New Roman" w:eastAsia="Times New Roman" w:cs="Times New Roman"/>
          <w:w w:val="104"/>
          <w:position w:val="11"/>
          <w:sz w:val="23"/>
          <w:szCs w:val="23"/>
        </w:rPr>
        <w:instrText xml:space="preserve">7</w:instrText>
      </w:r>
      <w:r>
        <w:instrText xml:space="preserve">),</w:instrText>
      </w:r>
      <w:r>
        <w:rPr>
          <w:rFonts w:ascii="Times New Roman" w:hAnsi="Times New Roman" w:eastAsia="Times New Roman" w:cs="Times New Roman"/>
          <w:w w:val="112"/>
          <w:position w:val="10"/>
          <w:sz w:val="15"/>
          <w:szCs w:val="15"/>
        </w:rPr>
        <w:instrText xml:space="preserve">2</w:instrText>
      </w:r>
      <w:r>
        <w:instrText xml:space="preserve">)</w:instrText>
      </w:r>
      <w:r>
        <w:fldChar w:fldCharType="end"/>
      </w:r>
      <w:r>
        <w:rPr>
          <w:rFonts w:ascii="Times New Roman" w:hAnsi="Times New Roman" w:eastAsia="Times New Roman" w:cs="Times New Roman"/>
          <w:spacing w:val="-14"/>
          <w:w w:val="74"/>
          <w:position w:val="32"/>
          <w:sz w:val="23"/>
          <w:szCs w:val="23"/>
        </w:rPr>
        <w:t>3</w:t>
      </w:r>
      <w:r>
        <w:rPr>
          <w:rFonts w:ascii="微软雅黑" w:hAnsi="微软雅黑" w:eastAsia="微软雅黑" w:cs="微软雅黑"/>
          <w:spacing w:val="-14"/>
          <w:w w:val="74"/>
          <w:position w:val="32"/>
          <w:sz w:val="23"/>
          <w:szCs w:val="23"/>
        </w:rPr>
        <w:t>-</w:t>
      </w:r>
      <w:r>
        <w:rPr>
          <w:rFonts w:ascii="Times New Roman" w:hAnsi="Times New Roman" w:eastAsia="Times New Roman" w:cs="Times New Roman"/>
          <w:spacing w:val="-14"/>
          <w:w w:val="74"/>
          <w:position w:val="32"/>
          <w:sz w:val="23"/>
          <w:szCs w:val="23"/>
        </w:rPr>
        <w:t>3</w:t>
      </w:r>
      <w:r>
        <w:fldChar w:fldCharType="begin"/>
      </w:r>
      <w:r>
        <w:instrText xml:space="preserve">EQ \* jc3 \* hps23 \o\al(\s\up 10(</w:instrText>
      </w:r>
      <w:r>
        <w:rPr>
          <w:rFonts w:ascii="Times New Roman" w:hAnsi="Times New Roman" w:eastAsia="Times New Roman" w:cs="Times New Roman"/>
          <w:i/>
          <w:iCs/>
          <w:w w:val="98"/>
          <w:position w:val="11"/>
          <w:sz w:val="23"/>
          <w:szCs w:val="23"/>
        </w:rPr>
        <w:instrText xml:space="preserve">Q</w:instrText>
      </w:r>
      <w:r>
        <w:instrText xml:space="preserve">),</w:instrText>
      </w:r>
      <w:r>
        <w:rPr>
          <w:rFonts w:ascii="Times New Roman" w:hAnsi="Times New Roman" w:eastAsia="Times New Roman" w:cs="Times New Roman"/>
          <w:i/>
          <w:iCs/>
          <w:w w:val="92"/>
          <w:position w:val="-1"/>
          <w:sz w:val="23"/>
          <w:szCs w:val="23"/>
        </w:rPr>
        <w:instrText xml:space="preserve">h</w:instrText>
      </w:r>
      <w:r>
        <w:instrText xml:space="preserve">)</w:instrText>
      </w:r>
      <w:r>
        <w:fldChar w:fldCharType="end"/>
      </w:r>
      <w:r>
        <w:rPr>
          <w:rFonts w:ascii="Times New Roman" w:hAnsi="Times New Roman" w:eastAsia="Times New Roman" w:cs="Times New Roman"/>
          <w:spacing w:val="-14"/>
          <w:w w:val="74"/>
          <w:position w:val="10"/>
          <w:sz w:val="15"/>
          <w:szCs w:val="15"/>
        </w:rPr>
        <w:t>2</w:t>
      </w:r>
      <w:r>
        <w:rPr>
          <w:rFonts w:ascii="微软雅黑" w:hAnsi="微软雅黑" w:eastAsia="微软雅黑" w:cs="微软雅黑"/>
          <w:strike/>
          <w:spacing w:val="-64"/>
          <w:position w:val="-1"/>
          <w:sz w:val="38"/>
          <w:szCs w:val="38"/>
        </w:rPr>
        <w:t xml:space="preserve"> </w:t>
      </w:r>
      <w:r>
        <w:rPr>
          <w:rFonts w:ascii="微软雅黑" w:hAnsi="微软雅黑" w:eastAsia="微软雅黑" w:cs="微软雅黑"/>
          <w:strike/>
          <w:spacing w:val="-6"/>
          <w:w w:val="86"/>
          <w:position w:val="-1"/>
          <w:sz w:val="38"/>
          <w:szCs w:val="38"/>
        </w:rPr>
        <w:t>)</w:t>
      </w:r>
      <w:r>
        <w:rPr>
          <w:rFonts w:ascii="Times New Roman" w:hAnsi="Times New Roman" w:eastAsia="Times New Roman" w:cs="Times New Roman"/>
          <w:spacing w:val="-10"/>
          <w:w w:val="89"/>
          <w:position w:val="17"/>
          <w:sz w:val="23"/>
          <w:szCs w:val="23"/>
        </w:rPr>
        <w:t>lg</w:t>
      </w:r>
      <w:r>
        <w:rPr>
          <w:b/>
          <w:bCs/>
          <w:spacing w:val="-10"/>
          <w:w w:val="89"/>
          <w:position w:val="18"/>
          <w:sz w:val="23"/>
          <w:szCs w:val="23"/>
        </w:rPr>
        <w:t>|</w:t>
      </w:r>
      <w:r>
        <w:rPr>
          <w:rFonts w:ascii="微软雅黑" w:hAnsi="微软雅黑" w:eastAsia="微软雅黑" w:cs="微软雅黑"/>
          <w:spacing w:val="-10"/>
          <w:w w:val="89"/>
          <w:position w:val="-7"/>
          <w:sz w:val="23"/>
          <w:szCs w:val="23"/>
        </w:rPr>
        <w:t>(</w:t>
      </w:r>
      <w:r>
        <w:rPr>
          <w:rFonts w:ascii="微软雅黑" w:hAnsi="微软雅黑" w:eastAsia="微软雅黑" w:cs="微软雅黑"/>
          <w:spacing w:val="-10"/>
          <w:w w:val="89"/>
          <w:position w:val="34"/>
          <w:sz w:val="23"/>
          <w:szCs w:val="23"/>
        </w:rPr>
        <w:t>(</w:t>
      </w:r>
      <w:r>
        <w:rPr>
          <w:rFonts w:ascii="微软雅黑" w:hAnsi="微软雅黑" w:eastAsia="微软雅黑" w:cs="微软雅黑"/>
          <w:spacing w:val="-53"/>
          <w:position w:val="34"/>
          <w:sz w:val="23"/>
          <w:szCs w:val="23"/>
        </w:rPr>
        <w:t xml:space="preserve"> </w:t>
      </w:r>
      <w:r>
        <w:rPr>
          <w:position w:val="-7"/>
          <w:sz w:val="23"/>
          <w:szCs w:val="23"/>
        </w:rPr>
        <w:drawing>
          <wp:inline distT="0" distB="0" distL="0" distR="0">
            <wp:extent cx="142240" cy="3556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98"/>
                    <a:stretch>
                      <a:fillRect/>
                    </a:stretch>
                  </pic:blipFill>
                  <pic:spPr>
                    <a:xfrm>
                      <a:off x="0" y="0"/>
                      <a:ext cx="142426" cy="355762"/>
                    </a:xfrm>
                    <a:prstGeom prst="rect">
                      <a:avLst/>
                    </a:prstGeom>
                  </pic:spPr>
                </pic:pic>
              </a:graphicData>
            </a:graphic>
          </wp:inline>
        </w:drawing>
      </w:r>
      <w:r>
        <w:rPr>
          <w:rFonts w:ascii="微软雅黑" w:hAnsi="微软雅黑" w:eastAsia="微软雅黑" w:cs="微软雅黑"/>
          <w:spacing w:val="-10"/>
          <w:w w:val="89"/>
          <w:position w:val="34"/>
          <w:sz w:val="23"/>
          <w:szCs w:val="23"/>
        </w:rPr>
        <w:t>)</w:t>
      </w:r>
      <w:r>
        <w:rPr>
          <w:rFonts w:ascii="微软雅黑" w:hAnsi="微软雅黑" w:eastAsia="微软雅黑" w:cs="微软雅黑"/>
          <w:spacing w:val="-10"/>
          <w:w w:val="89"/>
          <w:position w:val="-7"/>
          <w:sz w:val="23"/>
          <w:szCs w:val="23"/>
        </w:rPr>
        <w:t>,</w:t>
      </w:r>
      <w:r>
        <w:rPr>
          <w:position w:val="13"/>
          <w:sz w:val="23"/>
          <w:szCs w:val="23"/>
        </w:rPr>
        <w:drawing>
          <wp:inline distT="0" distB="0" distL="0" distR="0">
            <wp:extent cx="6350" cy="1847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499"/>
                    <a:stretch>
                      <a:fillRect/>
                    </a:stretch>
                  </pic:blipFill>
                  <pic:spPr>
                    <a:xfrm>
                      <a:off x="0" y="0"/>
                      <a:ext cx="6643" cy="185045"/>
                    </a:xfrm>
                    <a:prstGeom prst="rect">
                      <a:avLst/>
                    </a:prstGeom>
                  </pic:spPr>
                </pic:pic>
              </a:graphicData>
            </a:graphic>
          </wp:inline>
        </w:drawing>
      </w:r>
    </w:p>
    <w:p w14:paraId="75DF1C17">
      <w:pPr>
        <w:spacing w:before="86" w:line="238" w:lineRule="auto"/>
        <w:ind w:left="579"/>
        <w:rPr>
          <w:sz w:val="23"/>
          <w:szCs w:val="23"/>
        </w:rPr>
      </w:pPr>
      <w:r>
        <w:rPr>
          <w:rFonts w:ascii="微软雅黑" w:hAnsi="微软雅黑" w:eastAsia="微软雅黑" w:cs="微软雅黑"/>
          <w:spacing w:val="-19"/>
          <w:w w:val="99"/>
          <w:position w:val="-2"/>
          <w:sz w:val="23"/>
          <w:szCs w:val="23"/>
        </w:rPr>
        <w:t>l</w:t>
      </w:r>
      <w:r>
        <w:rPr>
          <w:rFonts w:ascii="Times New Roman" w:hAnsi="Times New Roman" w:eastAsia="Times New Roman" w:cs="Times New Roman"/>
          <w:i/>
          <w:iCs/>
          <w:spacing w:val="-19"/>
          <w:w w:val="99"/>
          <w:position w:val="1"/>
          <w:sz w:val="23"/>
          <w:szCs w:val="23"/>
        </w:rPr>
        <w:t>R</w:t>
      </w:r>
      <w:r>
        <w:rPr>
          <w:rFonts w:ascii="Times New Roman" w:hAnsi="Times New Roman" w:eastAsia="Times New Roman" w:cs="Times New Roman"/>
          <w:i/>
          <w:iCs/>
          <w:spacing w:val="18"/>
          <w:position w:val="1"/>
          <w:sz w:val="23"/>
          <w:szCs w:val="23"/>
        </w:rPr>
        <w:t xml:space="preserve"> </w:t>
      </w:r>
      <w:r>
        <w:rPr>
          <w:rFonts w:ascii="微软雅黑" w:hAnsi="微软雅黑" w:eastAsia="微软雅黑" w:cs="微软雅黑"/>
          <w:spacing w:val="-19"/>
          <w:w w:val="99"/>
          <w:sz w:val="23"/>
          <w:szCs w:val="23"/>
        </w:rPr>
        <w:t>=</w:t>
      </w:r>
      <w:r>
        <w:rPr>
          <w:rFonts w:ascii="微软雅黑" w:hAnsi="微软雅黑" w:eastAsia="微软雅黑" w:cs="微软雅黑"/>
          <w:spacing w:val="1"/>
          <w:sz w:val="23"/>
          <w:szCs w:val="23"/>
        </w:rPr>
        <w:t xml:space="preserve"> </w:t>
      </w:r>
      <w:r>
        <w:rPr>
          <w:rFonts w:ascii="Times New Roman" w:hAnsi="Times New Roman" w:eastAsia="Times New Roman" w:cs="Times New Roman"/>
          <w:spacing w:val="-19"/>
          <w:w w:val="99"/>
          <w:position w:val="1"/>
          <w:sz w:val="23"/>
          <w:szCs w:val="23"/>
        </w:rPr>
        <w:t>2</w:t>
      </w:r>
      <w:r>
        <w:rPr>
          <w:rFonts w:ascii="Times New Roman" w:hAnsi="Times New Roman" w:eastAsia="Times New Roman" w:cs="Times New Roman"/>
          <w:i/>
          <w:iCs/>
          <w:spacing w:val="-19"/>
          <w:w w:val="99"/>
          <w:position w:val="1"/>
          <w:sz w:val="23"/>
          <w:szCs w:val="23"/>
        </w:rPr>
        <w:t>S</w:t>
      </w:r>
      <w:r>
        <w:rPr>
          <w:rFonts w:ascii="微软雅黑" w:hAnsi="微软雅黑" w:eastAsia="微软雅黑" w:cs="微软雅黑"/>
          <w:strike/>
          <w:spacing w:val="-19"/>
          <w:w w:val="99"/>
          <w:position w:val="-3"/>
          <w:sz w:val="23"/>
          <w:szCs w:val="23"/>
        </w:rPr>
        <w:t>、</w:t>
      </w:r>
      <w:r>
        <w:rPr>
          <w:position w:val="2"/>
          <w:sz w:val="23"/>
          <w:szCs w:val="23"/>
        </w:rPr>
        <w:drawing>
          <wp:inline distT="0" distB="0" distL="0" distR="0">
            <wp:extent cx="290195" cy="15748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00"/>
                    <a:stretch>
                      <a:fillRect/>
                    </a:stretch>
                  </pic:blipFill>
                  <pic:spPr>
                    <a:xfrm>
                      <a:off x="0" y="0"/>
                      <a:ext cx="290474" cy="157962"/>
                    </a:xfrm>
                    <a:prstGeom prst="rect">
                      <a:avLst/>
                    </a:prstGeom>
                  </pic:spPr>
                </pic:pic>
              </a:graphicData>
            </a:graphic>
          </wp:inline>
        </w:drawing>
      </w:r>
    </w:p>
    <w:p w14:paraId="45A71CA2">
      <w:pPr>
        <w:spacing w:line="238" w:lineRule="auto"/>
        <w:rPr>
          <w:sz w:val="23"/>
          <w:szCs w:val="23"/>
        </w:rPr>
        <w:sectPr>
          <w:headerReference r:id="rId265" w:type="default"/>
          <w:footerReference r:id="rId266" w:type="default"/>
          <w:pgSz w:w="11906" w:h="16839"/>
          <w:pgMar w:top="1208" w:right="1719" w:bottom="1358" w:left="1785" w:header="825" w:footer="1195" w:gutter="0"/>
          <w:cols w:space="720" w:num="1"/>
        </w:sectPr>
      </w:pPr>
    </w:p>
    <w:p w14:paraId="1200CFF6">
      <w:pPr>
        <w:pStyle w:val="2"/>
        <w:spacing w:line="343" w:lineRule="auto"/>
      </w:pPr>
    </w:p>
    <w:p w14:paraId="475507CB">
      <w:pPr>
        <w:spacing w:before="78" w:line="201" w:lineRule="auto"/>
        <w:ind w:left="603"/>
        <w:rPr>
          <w:rFonts w:ascii="宋体" w:hAnsi="宋体" w:eastAsia="宋体" w:cs="宋体"/>
          <w:sz w:val="24"/>
          <w:szCs w:val="24"/>
        </w:rPr>
      </w:pPr>
      <w:r>
        <w:rPr>
          <w:rFonts w:ascii="宋体" w:hAnsi="宋体" w:eastAsia="宋体" w:cs="宋体"/>
          <w:spacing w:val="4"/>
          <w:sz w:val="24"/>
          <w:szCs w:val="24"/>
        </w:rPr>
        <w:t>其中：</w:t>
      </w:r>
      <w:r>
        <w:rPr>
          <w:rFonts w:ascii="Times New Roman" w:hAnsi="Times New Roman" w:eastAsia="Times New Roman" w:cs="Times New Roman"/>
          <w:i/>
          <w:iCs/>
          <w:spacing w:val="4"/>
          <w:sz w:val="23"/>
          <w:szCs w:val="23"/>
        </w:rPr>
        <w:t>Q</w:t>
      </w:r>
      <w:r>
        <w:rPr>
          <w:rFonts w:ascii="Times New Roman" w:hAnsi="Times New Roman" w:eastAsia="Times New Roman" w:cs="Times New Roman"/>
          <w:spacing w:val="4"/>
          <w:sz w:val="24"/>
          <w:szCs w:val="24"/>
        </w:rPr>
        <w:t>—</w:t>
      </w:r>
      <w:r>
        <w:rPr>
          <w:rFonts w:ascii="宋体" w:hAnsi="宋体" w:eastAsia="宋体" w:cs="宋体"/>
          <w:spacing w:val="4"/>
          <w:sz w:val="24"/>
          <w:szCs w:val="24"/>
        </w:rPr>
        <w:t>疏干水量（</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/d</w:t>
      </w:r>
      <w:r>
        <w:rPr>
          <w:rFonts w:ascii="宋体" w:hAnsi="宋体" w:eastAsia="宋体" w:cs="宋体"/>
          <w:spacing w:val="3"/>
          <w:sz w:val="24"/>
          <w:szCs w:val="24"/>
        </w:rPr>
        <w:t>）；</w:t>
      </w:r>
    </w:p>
    <w:p w14:paraId="45FADAFD">
      <w:pPr>
        <w:spacing w:before="284" w:line="219" w:lineRule="auto"/>
        <w:ind w:left="1327"/>
        <w:rPr>
          <w:rFonts w:ascii="宋体" w:hAnsi="宋体" w:eastAsia="宋体" w:cs="宋体"/>
          <w:sz w:val="24"/>
          <w:szCs w:val="24"/>
        </w:rPr>
      </w:pPr>
      <w:r>
        <w:rPr>
          <w:rFonts w:ascii="Times New Roman" w:hAnsi="Times New Roman" w:eastAsia="Times New Roman" w:cs="Times New Roman"/>
          <w:spacing w:val="-3"/>
          <w:sz w:val="24"/>
          <w:szCs w:val="24"/>
        </w:rPr>
        <w:t>S—</w:t>
      </w:r>
      <w:r>
        <w:rPr>
          <w:rFonts w:ascii="宋体" w:hAnsi="宋体" w:eastAsia="宋体" w:cs="宋体"/>
          <w:spacing w:val="-3"/>
          <w:sz w:val="24"/>
          <w:szCs w:val="24"/>
        </w:rPr>
        <w:t>水位降深（</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23"/>
          <w:sz w:val="24"/>
          <w:szCs w:val="24"/>
        </w:rPr>
        <w:t xml:space="preserve"> </w:t>
      </w:r>
      <w:r>
        <w:rPr>
          <w:rFonts w:ascii="宋体" w:hAnsi="宋体" w:eastAsia="宋体" w:cs="宋体"/>
          <w:spacing w:val="-15"/>
          <w:sz w:val="24"/>
          <w:szCs w:val="24"/>
        </w:rPr>
        <w:t>）；</w:t>
      </w:r>
    </w:p>
    <w:p w14:paraId="5E680D0A">
      <w:pPr>
        <w:spacing w:before="183" w:line="219" w:lineRule="auto"/>
        <w:ind w:left="1316"/>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含水层厚度（</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24"/>
          <w:sz w:val="24"/>
          <w:szCs w:val="24"/>
        </w:rPr>
        <w:t xml:space="preserve"> </w:t>
      </w:r>
      <w:r>
        <w:rPr>
          <w:rFonts w:ascii="宋体" w:hAnsi="宋体" w:eastAsia="宋体" w:cs="宋体"/>
          <w:spacing w:val="-16"/>
          <w:sz w:val="24"/>
          <w:szCs w:val="24"/>
        </w:rPr>
        <w:t>）；</w:t>
      </w:r>
    </w:p>
    <w:p w14:paraId="55511F45">
      <w:pPr>
        <w:spacing w:before="182" w:line="219" w:lineRule="auto"/>
        <w:ind w:left="1314"/>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动水位至含水层底板深度（</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26"/>
          <w:sz w:val="24"/>
          <w:szCs w:val="24"/>
        </w:rPr>
        <w:t xml:space="preserve"> </w:t>
      </w:r>
      <w:r>
        <w:rPr>
          <w:rFonts w:ascii="宋体" w:hAnsi="宋体" w:eastAsia="宋体" w:cs="宋体"/>
          <w:spacing w:val="-12"/>
          <w:sz w:val="24"/>
          <w:szCs w:val="24"/>
        </w:rPr>
        <w:t>）；</w:t>
      </w:r>
    </w:p>
    <w:p w14:paraId="15A1856D">
      <w:pPr>
        <w:spacing w:before="184" w:line="219" w:lineRule="auto"/>
        <w:ind w:left="1314"/>
        <w:rPr>
          <w:rFonts w:ascii="宋体" w:hAnsi="宋体" w:eastAsia="宋体" w:cs="宋体"/>
          <w:sz w:val="24"/>
          <w:szCs w:val="24"/>
        </w:rPr>
      </w:pPr>
      <w:r>
        <w:rPr>
          <w:rFonts w:ascii="Times New Roman" w:hAnsi="Times New Roman" w:eastAsia="Times New Roman" w:cs="Times New Roman"/>
          <w:spacing w:val="-3"/>
          <w:sz w:val="24"/>
          <w:szCs w:val="24"/>
        </w:rPr>
        <w:t>r</w:t>
      </w:r>
      <w:r>
        <w:rPr>
          <w:rFonts w:ascii="Times New Roman" w:hAnsi="Times New Roman" w:eastAsia="Times New Roman" w:cs="Times New Roman"/>
          <w:spacing w:val="-3"/>
          <w:position w:val="-1"/>
          <w:sz w:val="15"/>
          <w:szCs w:val="15"/>
        </w:rPr>
        <w:t>w</w:t>
      </w:r>
      <w:r>
        <w:rPr>
          <w:rFonts w:ascii="Times New Roman" w:hAnsi="Times New Roman" w:eastAsia="Times New Roman" w:cs="Times New Roman"/>
          <w:spacing w:val="-3"/>
          <w:sz w:val="24"/>
          <w:szCs w:val="24"/>
        </w:rPr>
        <w:t>—</w:t>
      </w:r>
      <w:r>
        <w:rPr>
          <w:rFonts w:ascii="宋体" w:hAnsi="宋体" w:eastAsia="宋体" w:cs="宋体"/>
          <w:spacing w:val="-3"/>
          <w:sz w:val="24"/>
          <w:szCs w:val="24"/>
        </w:rPr>
        <w:t>抽水井半径（</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w:t>
      </w:r>
    </w:p>
    <w:p w14:paraId="24C146DE">
      <w:pPr>
        <w:spacing w:before="183" w:line="219" w:lineRule="auto"/>
        <w:ind w:left="1082"/>
        <w:rPr>
          <w:rFonts w:ascii="宋体" w:hAnsi="宋体" w:eastAsia="宋体" w:cs="宋体"/>
          <w:sz w:val="24"/>
          <w:szCs w:val="24"/>
        </w:rPr>
      </w:pPr>
      <w:r>
        <w:rPr>
          <w:rFonts w:ascii="宋体" w:hAnsi="宋体" w:eastAsia="宋体" w:cs="宋体"/>
          <w:spacing w:val="-2"/>
          <w:sz w:val="24"/>
          <w:szCs w:val="24"/>
        </w:rPr>
        <w:t>根据公式，对</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S2</w:t>
      </w:r>
      <w:r>
        <w:rPr>
          <w:rFonts w:ascii="宋体" w:hAnsi="宋体" w:eastAsia="宋体" w:cs="宋体"/>
          <w:spacing w:val="-2"/>
          <w:sz w:val="24"/>
          <w:szCs w:val="24"/>
        </w:rPr>
        <w:t>、</w:t>
      </w:r>
      <w:r>
        <w:rPr>
          <w:rFonts w:ascii="Times New Roman" w:hAnsi="Times New Roman" w:eastAsia="Times New Roman" w:cs="Times New Roman"/>
          <w:spacing w:val="-2"/>
          <w:sz w:val="24"/>
          <w:szCs w:val="24"/>
        </w:rPr>
        <w:t>S15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号孔计算结果见下表。</w:t>
      </w:r>
    </w:p>
    <w:p w14:paraId="67D7FE3E">
      <w:pPr>
        <w:spacing w:before="183" w:line="219" w:lineRule="auto"/>
        <w:ind w:left="20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8.2-3      </w:t>
      </w:r>
      <w:r>
        <w:rPr>
          <w:rFonts w:ascii="宋体" w:hAnsi="宋体" w:eastAsia="宋体" w:cs="宋体"/>
          <w:spacing w:val="-1"/>
          <w:sz w:val="24"/>
          <w:szCs w:val="24"/>
        </w:rPr>
        <w:t>稳定流水文地质参数计算结果表</w:t>
      </w:r>
    </w:p>
    <w:p w14:paraId="69B94203">
      <w:pPr>
        <w:spacing w:line="69" w:lineRule="exact"/>
      </w:pPr>
    </w:p>
    <w:tbl>
      <w:tblPr>
        <w:tblStyle w:val="5"/>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3"/>
        <w:gridCol w:w="1242"/>
        <w:gridCol w:w="1242"/>
        <w:gridCol w:w="1140"/>
        <w:gridCol w:w="1169"/>
        <w:gridCol w:w="1316"/>
        <w:gridCol w:w="1469"/>
      </w:tblGrid>
      <w:tr w14:paraId="70FE3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943" w:type="dxa"/>
            <w:vAlign w:val="top"/>
          </w:tcPr>
          <w:p w14:paraId="2DA10037">
            <w:pPr>
              <w:spacing w:line="301" w:lineRule="auto"/>
              <w:rPr>
                <w:rFonts w:ascii="Arial"/>
                <w:sz w:val="21"/>
              </w:rPr>
            </w:pPr>
          </w:p>
          <w:p w14:paraId="01F46F00">
            <w:pPr>
              <w:pStyle w:val="6"/>
              <w:spacing w:before="65" w:line="228" w:lineRule="auto"/>
              <w:ind w:left="161"/>
            </w:pPr>
            <w:r>
              <w:rPr>
                <w:spacing w:val="6"/>
              </w:rPr>
              <w:t>井孔号</w:t>
            </w:r>
          </w:p>
        </w:tc>
        <w:tc>
          <w:tcPr>
            <w:tcW w:w="1242" w:type="dxa"/>
            <w:vAlign w:val="top"/>
          </w:tcPr>
          <w:p w14:paraId="7D315936">
            <w:pPr>
              <w:pStyle w:val="6"/>
              <w:spacing w:before="133" w:line="227" w:lineRule="auto"/>
              <w:ind w:left="205"/>
            </w:pPr>
            <w:r>
              <w:rPr>
                <w:spacing w:val="7"/>
              </w:rPr>
              <w:t>疏干水量</w:t>
            </w:r>
          </w:p>
          <w:p w14:paraId="607CEF48">
            <w:pPr>
              <w:spacing w:before="240" w:line="21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/d)</w:t>
            </w:r>
          </w:p>
        </w:tc>
        <w:tc>
          <w:tcPr>
            <w:tcW w:w="1242" w:type="dxa"/>
            <w:vAlign w:val="top"/>
          </w:tcPr>
          <w:p w14:paraId="73620AB3">
            <w:pPr>
              <w:pStyle w:val="6"/>
              <w:spacing w:before="133" w:line="369" w:lineRule="auto"/>
              <w:ind w:left="267" w:right="201" w:hanging="61"/>
              <w:rPr>
                <w:rFonts w:ascii="Times New Roman" w:hAnsi="Times New Roman" w:eastAsia="Times New Roman" w:cs="Times New Roman"/>
              </w:rPr>
            </w:pPr>
            <w:r>
              <w:rPr>
                <w:spacing w:val="7"/>
              </w:rPr>
              <w:t>含水层厚</w:t>
            </w:r>
            <w:r>
              <w:t xml:space="preserve"> </w:t>
            </w:r>
            <w:r>
              <w:rPr>
                <w:spacing w:val="3"/>
              </w:rPr>
              <w:t>度</w:t>
            </w:r>
            <w:r>
              <w:rPr>
                <w:spacing w:val="-42"/>
              </w:rPr>
              <w:t xml:space="preserve"> </w:t>
            </w:r>
            <w:r>
              <w:rPr>
                <w:rFonts w:ascii="Times New Roman" w:hAnsi="Times New Roman" w:eastAsia="Times New Roman" w:cs="Times New Roman"/>
                <w:spacing w:val="3"/>
              </w:rPr>
              <w:t>H(m)</w:t>
            </w:r>
          </w:p>
        </w:tc>
        <w:tc>
          <w:tcPr>
            <w:tcW w:w="1140" w:type="dxa"/>
            <w:vAlign w:val="top"/>
          </w:tcPr>
          <w:p w14:paraId="1E850222">
            <w:pPr>
              <w:pStyle w:val="6"/>
              <w:spacing w:before="132" w:line="228" w:lineRule="auto"/>
              <w:ind w:left="156"/>
            </w:pPr>
            <w:r>
              <w:rPr>
                <w:spacing w:val="7"/>
              </w:rPr>
              <w:t>抽水降深</w:t>
            </w:r>
          </w:p>
          <w:p w14:paraId="2E83291A">
            <w:pPr>
              <w:spacing w:before="253" w:line="201"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1169" w:type="dxa"/>
            <w:vAlign w:val="top"/>
          </w:tcPr>
          <w:p w14:paraId="4BFCB767">
            <w:pPr>
              <w:pStyle w:val="6"/>
              <w:spacing w:before="132" w:line="392" w:lineRule="auto"/>
              <w:ind w:left="276" w:right="163" w:hanging="104"/>
              <w:rPr>
                <w:rFonts w:ascii="Times New Roman" w:hAnsi="Times New Roman" w:eastAsia="Times New Roman" w:cs="Times New Roman"/>
              </w:rPr>
            </w:pPr>
            <w:r>
              <w:rPr>
                <w:spacing w:val="7"/>
              </w:rPr>
              <w:t>渗透系数</w:t>
            </w:r>
            <w:r>
              <w:t xml:space="preserve"> </w:t>
            </w:r>
            <w:r>
              <w:rPr>
                <w:rFonts w:ascii="Times New Roman" w:hAnsi="Times New Roman" w:eastAsia="Times New Roman" w:cs="Times New Roman"/>
                <w:spacing w:val="4"/>
              </w:rPr>
              <w:t>K(m/d)</w:t>
            </w:r>
          </w:p>
        </w:tc>
        <w:tc>
          <w:tcPr>
            <w:tcW w:w="1316" w:type="dxa"/>
            <w:vAlign w:val="top"/>
          </w:tcPr>
          <w:p w14:paraId="79892E2C">
            <w:pPr>
              <w:pStyle w:val="6"/>
              <w:spacing w:before="132" w:line="392" w:lineRule="auto"/>
              <w:ind w:left="332" w:right="235" w:hanging="81"/>
              <w:rPr>
                <w:rFonts w:ascii="Times New Roman" w:hAnsi="Times New Roman" w:eastAsia="Times New Roman" w:cs="Times New Roman"/>
              </w:rPr>
            </w:pPr>
            <w:r>
              <w:rPr>
                <w:spacing w:val="6"/>
              </w:rPr>
              <w:t>导水系数</w:t>
            </w:r>
            <w:r>
              <w:t xml:space="preserve"> </w:t>
            </w:r>
            <w:r>
              <w:rPr>
                <w:rFonts w:ascii="Times New Roman" w:hAnsi="Times New Roman" w:eastAsia="Times New Roman" w:cs="Times New Roman"/>
                <w:spacing w:val="3"/>
              </w:rPr>
              <w:t>T(m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rPr>
              <w:t>/d)</w:t>
            </w:r>
          </w:p>
        </w:tc>
        <w:tc>
          <w:tcPr>
            <w:tcW w:w="1469" w:type="dxa"/>
            <w:vAlign w:val="top"/>
          </w:tcPr>
          <w:p w14:paraId="2A66B472">
            <w:pPr>
              <w:pStyle w:val="6"/>
              <w:spacing w:before="132" w:line="228" w:lineRule="auto"/>
              <w:ind w:left="319"/>
            </w:pPr>
            <w:r>
              <w:rPr>
                <w:spacing w:val="7"/>
              </w:rPr>
              <w:t>影响半径</w:t>
            </w:r>
          </w:p>
          <w:p w14:paraId="792C098E">
            <w:pPr>
              <w:spacing w:before="253" w:line="201"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R(m)</w:t>
            </w:r>
          </w:p>
        </w:tc>
      </w:tr>
      <w:tr w14:paraId="22567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43" w:type="dxa"/>
            <w:vAlign w:val="top"/>
          </w:tcPr>
          <w:p w14:paraId="3E7FA56F">
            <w:pPr>
              <w:spacing w:before="169"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242" w:type="dxa"/>
            <w:vAlign w:val="top"/>
          </w:tcPr>
          <w:p w14:paraId="76E5A18D">
            <w:pPr>
              <w:spacing w:before="163" w:line="189" w:lineRule="auto"/>
              <w:ind w:left="477"/>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145</w:t>
            </w:r>
          </w:p>
        </w:tc>
        <w:tc>
          <w:tcPr>
            <w:tcW w:w="1242" w:type="dxa"/>
            <w:vAlign w:val="top"/>
          </w:tcPr>
          <w:p w14:paraId="70B537C6">
            <w:pPr>
              <w:spacing w:before="163" w:line="189" w:lineRule="auto"/>
              <w:ind w:left="37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32.15</w:t>
            </w:r>
          </w:p>
        </w:tc>
        <w:tc>
          <w:tcPr>
            <w:tcW w:w="1140" w:type="dxa"/>
            <w:vAlign w:val="top"/>
          </w:tcPr>
          <w:p w14:paraId="51C727CB">
            <w:pPr>
              <w:spacing w:before="163" w:line="189" w:lineRule="auto"/>
              <w:ind w:left="34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15.91</w:t>
            </w:r>
          </w:p>
        </w:tc>
        <w:tc>
          <w:tcPr>
            <w:tcW w:w="1169" w:type="dxa"/>
            <w:vAlign w:val="top"/>
          </w:tcPr>
          <w:p w14:paraId="0F9F095F">
            <w:pPr>
              <w:spacing w:before="163" w:line="189" w:lineRule="auto"/>
              <w:ind w:left="3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0.50</w:t>
            </w:r>
          </w:p>
        </w:tc>
        <w:tc>
          <w:tcPr>
            <w:tcW w:w="1316" w:type="dxa"/>
            <w:vAlign w:val="top"/>
          </w:tcPr>
          <w:p w14:paraId="03C05A46">
            <w:pPr>
              <w:spacing w:before="163" w:line="189" w:lineRule="auto"/>
              <w:ind w:left="43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16.08</w:t>
            </w:r>
          </w:p>
        </w:tc>
        <w:tc>
          <w:tcPr>
            <w:tcW w:w="1469" w:type="dxa"/>
            <w:vAlign w:val="top"/>
          </w:tcPr>
          <w:p w14:paraId="493387B8">
            <w:pPr>
              <w:spacing w:before="163" w:line="189" w:lineRule="auto"/>
              <w:ind w:left="59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r>
      <w:tr w14:paraId="54EF0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43" w:type="dxa"/>
            <w:vAlign w:val="top"/>
          </w:tcPr>
          <w:p w14:paraId="0711325B">
            <w:pPr>
              <w:spacing w:before="169"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S15</w:t>
            </w:r>
          </w:p>
        </w:tc>
        <w:tc>
          <w:tcPr>
            <w:tcW w:w="1242" w:type="dxa"/>
            <w:vAlign w:val="top"/>
          </w:tcPr>
          <w:p w14:paraId="1F50CFA0">
            <w:pPr>
              <w:spacing w:before="164" w:line="189" w:lineRule="auto"/>
              <w:ind w:left="51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34</w:t>
            </w:r>
          </w:p>
        </w:tc>
        <w:tc>
          <w:tcPr>
            <w:tcW w:w="1242" w:type="dxa"/>
            <w:vAlign w:val="top"/>
          </w:tcPr>
          <w:p w14:paraId="40C067AE">
            <w:pPr>
              <w:spacing w:before="164" w:line="189" w:lineRule="auto"/>
              <w:ind w:left="43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7.95</w:t>
            </w:r>
          </w:p>
        </w:tc>
        <w:tc>
          <w:tcPr>
            <w:tcW w:w="1140" w:type="dxa"/>
            <w:vAlign w:val="top"/>
          </w:tcPr>
          <w:p w14:paraId="219718F4">
            <w:pPr>
              <w:spacing w:before="164" w:line="189" w:lineRule="auto"/>
              <w:ind w:left="43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4.1</w:t>
            </w:r>
          </w:p>
        </w:tc>
        <w:tc>
          <w:tcPr>
            <w:tcW w:w="1169" w:type="dxa"/>
            <w:vAlign w:val="top"/>
          </w:tcPr>
          <w:p w14:paraId="724C7064">
            <w:pPr>
              <w:spacing w:before="164" w:line="189" w:lineRule="auto"/>
              <w:ind w:left="39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0.45</w:t>
            </w:r>
          </w:p>
        </w:tc>
        <w:tc>
          <w:tcPr>
            <w:tcW w:w="1316" w:type="dxa"/>
            <w:vAlign w:val="top"/>
          </w:tcPr>
          <w:p w14:paraId="5AFA26B3">
            <w:pPr>
              <w:spacing w:before="164" w:line="189" w:lineRule="auto"/>
              <w:ind w:left="47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3.58</w:t>
            </w:r>
          </w:p>
        </w:tc>
        <w:tc>
          <w:tcPr>
            <w:tcW w:w="1469" w:type="dxa"/>
            <w:vAlign w:val="top"/>
          </w:tcPr>
          <w:p w14:paraId="67D850F0">
            <w:pPr>
              <w:spacing w:before="164" w:line="189" w:lineRule="auto"/>
              <w:ind w:left="593"/>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100</w:t>
            </w:r>
          </w:p>
        </w:tc>
      </w:tr>
    </w:tbl>
    <w:p w14:paraId="0101B42B">
      <w:pPr>
        <w:spacing w:before="115" w:line="360" w:lineRule="auto"/>
        <w:ind w:left="122" w:right="107" w:firstLine="480"/>
        <w:jc w:val="both"/>
        <w:rPr>
          <w:rFonts w:ascii="宋体" w:hAnsi="宋体" w:eastAsia="宋体" w:cs="宋体"/>
          <w:sz w:val="24"/>
          <w:szCs w:val="24"/>
        </w:rPr>
      </w:pPr>
      <w:r>
        <w:rPr>
          <w:rFonts w:ascii="宋体" w:hAnsi="宋体" w:eastAsia="宋体" w:cs="宋体"/>
          <w:spacing w:val="-3"/>
          <w:sz w:val="24"/>
          <w:szCs w:val="24"/>
        </w:rPr>
        <w:t>根据计算结果，评价区沟谷内赋存第四系松散岩类孔隙水，含水</w:t>
      </w:r>
      <w:r>
        <w:rPr>
          <w:rFonts w:ascii="宋体" w:hAnsi="宋体" w:eastAsia="宋体" w:cs="宋体"/>
          <w:spacing w:val="-4"/>
          <w:sz w:val="24"/>
          <w:szCs w:val="24"/>
        </w:rPr>
        <w:t>层岩性为粉</w:t>
      </w:r>
      <w:r>
        <w:rPr>
          <w:rFonts w:ascii="宋体" w:hAnsi="宋体" w:eastAsia="宋体" w:cs="宋体"/>
          <w:sz w:val="24"/>
          <w:szCs w:val="24"/>
        </w:rPr>
        <w:t xml:space="preserve"> </w:t>
      </w:r>
      <w:r>
        <w:rPr>
          <w:rFonts w:ascii="宋体" w:hAnsi="宋体" w:eastAsia="宋体" w:cs="宋体"/>
          <w:spacing w:val="-2"/>
          <w:sz w:val="24"/>
          <w:szCs w:val="24"/>
        </w:rPr>
        <w:t>细砂、中粗砂、砾砂，渗透系数</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0.45-0.5m/d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，导水系数</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3.58-16.08m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。另外，</w:t>
      </w:r>
      <w:r>
        <w:rPr>
          <w:rFonts w:ascii="宋体" w:hAnsi="宋体" w:eastAsia="宋体" w:cs="宋体"/>
          <w:sz w:val="24"/>
          <w:szCs w:val="24"/>
        </w:rPr>
        <w:t xml:space="preserve"> </w:t>
      </w:r>
      <w:r>
        <w:rPr>
          <w:rFonts w:ascii="宋体" w:hAnsi="宋体" w:eastAsia="宋体" w:cs="宋体"/>
          <w:spacing w:val="-1"/>
          <w:sz w:val="24"/>
          <w:szCs w:val="24"/>
        </w:rPr>
        <w:t>根据水位监测资料，计算项目区西北部沟谷内水力梯度为</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8.97</w:t>
      </w:r>
      <w:r>
        <w:rPr>
          <w:rFonts w:ascii="宋体" w:hAnsi="宋体" w:eastAsia="宋体" w:cs="宋体"/>
          <w:spacing w:val="-1"/>
          <w:sz w:val="24"/>
          <w:szCs w:val="24"/>
        </w:rPr>
        <w:t>‰。</w:t>
      </w:r>
    </w:p>
    <w:p w14:paraId="0E3F5FF7">
      <w:pPr>
        <w:spacing w:before="1" w:line="219"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）包气带垂直入渗系数计算</w:t>
      </w:r>
    </w:p>
    <w:p w14:paraId="1BB9DE04">
      <w:pPr>
        <w:spacing w:before="105" w:line="359" w:lineRule="auto"/>
        <w:ind w:left="121" w:right="27" w:firstLine="482"/>
        <w:rPr>
          <w:rFonts w:ascii="宋体" w:hAnsi="宋体" w:eastAsia="宋体" w:cs="宋体"/>
          <w:sz w:val="24"/>
          <w:szCs w:val="24"/>
        </w:rPr>
      </w:pPr>
      <w:r>
        <w:rPr>
          <w:rFonts w:ascii="宋体" w:hAnsi="宋体" w:eastAsia="宋体" w:cs="宋体"/>
          <w:spacing w:val="4"/>
          <w:sz w:val="24"/>
          <w:szCs w:val="24"/>
        </w:rPr>
        <w:t>污染物对地下水的影响主要是由于降水或废水排放等通过垂直渗透进入包</w:t>
      </w:r>
      <w:r>
        <w:rPr>
          <w:rFonts w:ascii="宋体" w:hAnsi="宋体" w:eastAsia="宋体" w:cs="宋体"/>
          <w:spacing w:val="6"/>
          <w:sz w:val="24"/>
          <w:szCs w:val="24"/>
        </w:rPr>
        <w:t xml:space="preserve"> </w:t>
      </w:r>
      <w:r>
        <w:rPr>
          <w:rFonts w:ascii="宋体" w:hAnsi="宋体" w:eastAsia="宋体" w:cs="宋体"/>
          <w:spacing w:val="-7"/>
          <w:sz w:val="24"/>
          <w:szCs w:val="24"/>
        </w:rPr>
        <w:t>气带，而后在物理、化学和生物作用下经吸附、转化、迁</w:t>
      </w:r>
      <w:r>
        <w:rPr>
          <w:rFonts w:ascii="宋体" w:hAnsi="宋体" w:eastAsia="宋体" w:cs="宋体"/>
          <w:spacing w:val="-8"/>
          <w:sz w:val="24"/>
          <w:szCs w:val="24"/>
        </w:rPr>
        <w:t>移和分解后输入地下水。</w:t>
      </w:r>
      <w:r>
        <w:rPr>
          <w:rFonts w:ascii="宋体" w:hAnsi="宋体" w:eastAsia="宋体" w:cs="宋体"/>
          <w:sz w:val="24"/>
          <w:szCs w:val="24"/>
        </w:rPr>
        <w:t xml:space="preserve"> </w:t>
      </w:r>
      <w:r>
        <w:rPr>
          <w:rFonts w:ascii="宋体" w:hAnsi="宋体" w:eastAsia="宋体" w:cs="宋体"/>
          <w:spacing w:val="-3"/>
          <w:sz w:val="24"/>
          <w:szCs w:val="24"/>
        </w:rPr>
        <w:t>因此，包气带是联接地面污染物与地下含水层的主要通道和过渡带，既是污染物</w:t>
      </w:r>
      <w:r>
        <w:rPr>
          <w:rFonts w:ascii="宋体" w:hAnsi="宋体" w:eastAsia="宋体" w:cs="宋体"/>
          <w:spacing w:val="1"/>
          <w:sz w:val="24"/>
          <w:szCs w:val="24"/>
        </w:rPr>
        <w:t xml:space="preserve"> </w:t>
      </w:r>
      <w:r>
        <w:rPr>
          <w:rFonts w:ascii="宋体" w:hAnsi="宋体" w:eastAsia="宋体" w:cs="宋体"/>
          <w:spacing w:val="-3"/>
          <w:sz w:val="24"/>
          <w:szCs w:val="24"/>
        </w:rPr>
        <w:t>媒介体，又是污染物的净化场所和防护层。为了了解评价区内包气带的岩性及渗</w:t>
      </w:r>
      <w:r>
        <w:rPr>
          <w:rFonts w:ascii="宋体" w:hAnsi="宋体" w:eastAsia="宋体" w:cs="宋体"/>
          <w:spacing w:val="1"/>
          <w:sz w:val="24"/>
          <w:szCs w:val="24"/>
        </w:rPr>
        <w:t xml:space="preserve"> </w:t>
      </w:r>
      <w:r>
        <w:rPr>
          <w:rFonts w:ascii="宋体" w:hAnsi="宋体" w:eastAsia="宋体" w:cs="宋体"/>
          <w:spacing w:val="-1"/>
          <w:sz w:val="24"/>
          <w:szCs w:val="24"/>
        </w:rPr>
        <w:t>透性，需要进行渗水试验工作。</w:t>
      </w:r>
    </w:p>
    <w:p w14:paraId="7340BBC6">
      <w:pPr>
        <w:spacing w:before="3" w:line="352" w:lineRule="auto"/>
        <w:ind w:left="121" w:right="72" w:firstLine="481"/>
        <w:jc w:val="both"/>
        <w:rPr>
          <w:rFonts w:ascii="宋体" w:hAnsi="宋体" w:eastAsia="宋体" w:cs="宋体"/>
          <w:sz w:val="24"/>
          <w:szCs w:val="24"/>
        </w:rPr>
      </w:pPr>
      <w:r>
        <w:rPr>
          <w:rFonts w:ascii="宋体" w:hAnsi="宋体" w:eastAsia="宋体" w:cs="宋体"/>
          <w:spacing w:val="4"/>
          <w:sz w:val="24"/>
          <w:szCs w:val="24"/>
        </w:rPr>
        <w:t xml:space="preserve">本次渗水试验采用单环法进行，具体方法为：在试验土层中嵌入一个高为 </w:t>
      </w:r>
      <w:r>
        <w:rPr>
          <w:rFonts w:ascii="Times New Roman" w:hAnsi="Times New Roman" w:eastAsia="Times New Roman" w:cs="Times New Roman"/>
          <w:spacing w:val="-4"/>
          <w:sz w:val="24"/>
          <w:szCs w:val="24"/>
        </w:rPr>
        <w:t>30cm</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，直径</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35.75cm</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的铁环，铁环入土深度大于</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10cm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，试验开始后，持续向铁</w:t>
      </w:r>
      <w:r>
        <w:rPr>
          <w:rFonts w:ascii="宋体" w:hAnsi="宋体" w:eastAsia="宋体" w:cs="宋体"/>
          <w:sz w:val="24"/>
          <w:szCs w:val="24"/>
        </w:rPr>
        <w:t xml:space="preserve"> </w:t>
      </w:r>
      <w:r>
        <w:rPr>
          <w:rFonts w:ascii="宋体" w:hAnsi="宋体" w:eastAsia="宋体" w:cs="宋体"/>
          <w:spacing w:val="1"/>
          <w:sz w:val="24"/>
          <w:szCs w:val="24"/>
        </w:rPr>
        <w:t>环内注入清水，使铁环内水柱保持在</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z w:val="24"/>
          <w:szCs w:val="24"/>
        </w:rPr>
        <w:t>cm</w:t>
      </w:r>
      <w:r>
        <w:rPr>
          <w:rFonts w:ascii="Times New Roman" w:hAnsi="Times New Roman" w:eastAsia="Times New Roman" w:cs="Times New Roman"/>
          <w:spacing w:val="19"/>
          <w:w w:val="101"/>
          <w:sz w:val="24"/>
          <w:szCs w:val="24"/>
        </w:rPr>
        <w:t xml:space="preserve"> </w:t>
      </w:r>
      <w:r>
        <w:rPr>
          <w:rFonts w:ascii="宋体" w:hAnsi="宋体" w:eastAsia="宋体" w:cs="宋体"/>
          <w:spacing w:val="1"/>
          <w:sz w:val="24"/>
          <w:szCs w:val="24"/>
        </w:rPr>
        <w:t>高度上，系统</w:t>
      </w:r>
      <w:r>
        <w:rPr>
          <w:rFonts w:ascii="宋体" w:hAnsi="宋体" w:eastAsia="宋体" w:cs="宋体"/>
          <w:sz w:val="24"/>
          <w:szCs w:val="24"/>
        </w:rPr>
        <w:t>记录每</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20 </w:t>
      </w:r>
      <w:r>
        <w:rPr>
          <w:rFonts w:ascii="宋体" w:hAnsi="宋体" w:eastAsia="宋体" w:cs="宋体"/>
          <w:sz w:val="24"/>
          <w:szCs w:val="24"/>
        </w:rPr>
        <w:t xml:space="preserve">分钟内的注 </w:t>
      </w:r>
      <w:r>
        <w:rPr>
          <w:rFonts w:ascii="宋体" w:hAnsi="宋体" w:eastAsia="宋体" w:cs="宋体"/>
          <w:spacing w:val="-3"/>
          <w:sz w:val="24"/>
          <w:szCs w:val="24"/>
        </w:rPr>
        <w:t>水量，求得各个时间段内的平均渗透速度，渗透速度随时间逐渐减小，及至减小</w:t>
      </w:r>
      <w:r>
        <w:rPr>
          <w:rFonts w:ascii="宋体" w:hAnsi="宋体" w:eastAsia="宋体" w:cs="宋体"/>
          <w:spacing w:val="1"/>
          <w:sz w:val="24"/>
          <w:szCs w:val="24"/>
        </w:rPr>
        <w:t xml:space="preserve"> </w:t>
      </w:r>
      <w:r>
        <w:rPr>
          <w:rFonts w:ascii="宋体" w:hAnsi="宋体" w:eastAsia="宋体" w:cs="宋体"/>
          <w:spacing w:val="-3"/>
          <w:sz w:val="24"/>
          <w:szCs w:val="24"/>
        </w:rPr>
        <w:t>到趋于稳定，此时的渗透速度即为所求的渗透系数值。本次完成</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组渗水试验，</w:t>
      </w:r>
      <w:r>
        <w:rPr>
          <w:rFonts w:ascii="宋体" w:hAnsi="宋体" w:eastAsia="宋体" w:cs="宋体"/>
          <w:sz w:val="24"/>
          <w:szCs w:val="24"/>
        </w:rPr>
        <w:t xml:space="preserve"> </w:t>
      </w:r>
      <w:r>
        <w:rPr>
          <w:rFonts w:ascii="宋体" w:hAnsi="宋体" w:eastAsia="宋体" w:cs="宋体"/>
          <w:spacing w:val="2"/>
          <w:sz w:val="24"/>
          <w:szCs w:val="24"/>
        </w:rPr>
        <w:t>在项目区空地内进行。根据上述试验方法，在野外试验中，均系统记录了每</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分钟的注水量（即渗水量</w:t>
      </w:r>
      <w:r>
        <w:rPr>
          <w:rFonts w:ascii="宋体" w:hAnsi="宋体" w:eastAsia="宋体" w:cs="宋体"/>
          <w:spacing w:val="6"/>
          <w:sz w:val="24"/>
          <w:szCs w:val="24"/>
        </w:rPr>
        <w:t>），</w:t>
      </w:r>
      <w:r>
        <w:rPr>
          <w:rFonts w:ascii="宋体" w:hAnsi="宋体" w:eastAsia="宋体" w:cs="宋体"/>
          <w:spacing w:val="-2"/>
          <w:sz w:val="24"/>
          <w:szCs w:val="24"/>
        </w:rPr>
        <w:t>求得各个时间段内</w:t>
      </w:r>
      <w:r>
        <w:rPr>
          <w:rFonts w:ascii="宋体" w:hAnsi="宋体" w:eastAsia="宋体" w:cs="宋体"/>
          <w:spacing w:val="-3"/>
          <w:sz w:val="24"/>
          <w:szCs w:val="24"/>
        </w:rPr>
        <w:t>的平均渗透速度，计算公式为：</w:t>
      </w:r>
    </w:p>
    <w:p w14:paraId="415F67A1">
      <w:pPr>
        <w:spacing w:line="323" w:lineRule="exact"/>
        <w:ind w:left="1194"/>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V=Q/F</w:t>
      </w:r>
    </w:p>
    <w:p w14:paraId="68C39647">
      <w:pPr>
        <w:spacing w:before="153" w:line="219" w:lineRule="auto"/>
        <w:ind w:left="606"/>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V——</w:t>
      </w:r>
      <w:r>
        <w:rPr>
          <w:rFonts w:ascii="宋体" w:hAnsi="宋体" w:eastAsia="宋体" w:cs="宋体"/>
          <w:spacing w:val="-1"/>
          <w:sz w:val="24"/>
          <w:szCs w:val="24"/>
        </w:rPr>
        <w:t>时间段内的平均渗透速度（</w:t>
      </w:r>
      <w:r>
        <w:rPr>
          <w:rFonts w:ascii="Times New Roman" w:hAnsi="Times New Roman" w:eastAsia="Times New Roman" w:cs="Times New Roman"/>
          <w:spacing w:val="-1"/>
          <w:sz w:val="24"/>
          <w:szCs w:val="24"/>
        </w:rPr>
        <w:t>cm/20min</w:t>
      </w:r>
      <w:r>
        <w:rPr>
          <w:rFonts w:ascii="宋体" w:hAnsi="宋体" w:eastAsia="宋体" w:cs="宋体"/>
          <w:spacing w:val="4"/>
          <w:sz w:val="24"/>
          <w:szCs w:val="24"/>
        </w:rPr>
        <w:t>）；</w:t>
      </w:r>
    </w:p>
    <w:p w14:paraId="07FD395E">
      <w:pPr>
        <w:spacing w:line="219" w:lineRule="auto"/>
        <w:rPr>
          <w:rFonts w:ascii="宋体" w:hAnsi="宋体" w:eastAsia="宋体" w:cs="宋体"/>
          <w:sz w:val="24"/>
          <w:szCs w:val="24"/>
        </w:rPr>
        <w:sectPr>
          <w:headerReference r:id="rId267" w:type="default"/>
          <w:footerReference r:id="rId268" w:type="default"/>
          <w:pgSz w:w="11906" w:h="16839"/>
          <w:pgMar w:top="1208" w:right="1692" w:bottom="1358" w:left="1687" w:header="825" w:footer="1195" w:gutter="0"/>
          <w:cols w:space="720" w:num="1"/>
        </w:sectPr>
      </w:pPr>
    </w:p>
    <w:p w14:paraId="0D7D15DE">
      <w:pPr>
        <w:spacing w:before="265" w:line="212" w:lineRule="auto"/>
        <w:ind w:left="1321"/>
        <w:rPr>
          <w:rFonts w:ascii="宋体" w:hAnsi="宋体" w:eastAsia="宋体" w:cs="宋体"/>
          <w:sz w:val="24"/>
          <w:szCs w:val="24"/>
        </w:rPr>
      </w:pPr>
      <w:r>
        <w:rPr>
          <w:rFonts w:ascii="Times New Roman" w:hAnsi="Times New Roman" w:eastAsia="Times New Roman" w:cs="Times New Roman"/>
          <w:spacing w:val="-1"/>
          <w:sz w:val="24"/>
          <w:szCs w:val="24"/>
        </w:rPr>
        <w:t>Q——</w:t>
      </w:r>
      <w:r>
        <w:rPr>
          <w:rFonts w:ascii="宋体" w:hAnsi="宋体" w:eastAsia="宋体" w:cs="宋体"/>
          <w:spacing w:val="-1"/>
          <w:sz w:val="24"/>
          <w:szCs w:val="24"/>
        </w:rPr>
        <w:t>时间段内的渗水量（</w:t>
      </w:r>
      <w:r>
        <w:rPr>
          <w:rFonts w:ascii="Times New Roman" w:hAnsi="Times New Roman" w:eastAsia="Times New Roman" w:cs="Times New Roman"/>
          <w:spacing w:val="-1"/>
          <w:sz w:val="24"/>
          <w:szCs w:val="24"/>
        </w:rPr>
        <w:t>cm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/20min</w:t>
      </w:r>
      <w:r>
        <w:rPr>
          <w:rFonts w:ascii="宋体" w:hAnsi="宋体" w:eastAsia="宋体" w:cs="宋体"/>
          <w:spacing w:val="7"/>
          <w:sz w:val="24"/>
          <w:szCs w:val="24"/>
        </w:rPr>
        <w:t>）；</w:t>
      </w:r>
    </w:p>
    <w:p w14:paraId="7541C41B">
      <w:pPr>
        <w:spacing w:before="192" w:line="220" w:lineRule="auto"/>
        <w:ind w:left="1316"/>
        <w:rPr>
          <w:rFonts w:ascii="宋体" w:hAnsi="宋体" w:eastAsia="宋体" w:cs="宋体"/>
          <w:sz w:val="24"/>
          <w:szCs w:val="24"/>
        </w:rPr>
      </w:pPr>
      <w:r>
        <w:rPr>
          <w:rFonts w:ascii="Times New Roman" w:hAnsi="Times New Roman" w:eastAsia="Times New Roman" w:cs="Times New Roman"/>
          <w:spacing w:val="-3"/>
          <w:sz w:val="24"/>
          <w:szCs w:val="24"/>
        </w:rPr>
        <w:t>F——</w:t>
      </w:r>
      <w:r>
        <w:rPr>
          <w:rFonts w:ascii="宋体" w:hAnsi="宋体" w:eastAsia="宋体" w:cs="宋体"/>
          <w:spacing w:val="-3"/>
          <w:sz w:val="24"/>
          <w:szCs w:val="24"/>
        </w:rPr>
        <w:t>铁环底面积（</w:t>
      </w:r>
      <w:r>
        <w:rPr>
          <w:rFonts w:ascii="Times New Roman" w:hAnsi="Times New Roman" w:eastAsia="Times New Roman" w:cs="Times New Roman"/>
          <w:spacing w:val="-3"/>
          <w:sz w:val="24"/>
          <w:szCs w:val="24"/>
        </w:rPr>
        <w:t>cm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4"/>
          <w:szCs w:val="24"/>
        </w:rPr>
        <w:t>）。</w:t>
      </w:r>
    </w:p>
    <w:p w14:paraId="6453D7D2">
      <w:pPr>
        <w:spacing w:before="181" w:line="359" w:lineRule="auto"/>
        <w:ind w:left="122" w:right="109" w:firstLine="480"/>
        <w:jc w:val="both"/>
        <w:rPr>
          <w:rFonts w:ascii="宋体" w:hAnsi="宋体" w:eastAsia="宋体" w:cs="宋体"/>
          <w:sz w:val="24"/>
          <w:szCs w:val="24"/>
        </w:rPr>
      </w:pPr>
      <w:r>
        <w:rPr>
          <w:rFonts w:ascii="宋体" w:hAnsi="宋体" w:eastAsia="宋体" w:cs="宋体"/>
          <w:spacing w:val="-3"/>
          <w:sz w:val="24"/>
          <w:szCs w:val="24"/>
        </w:rPr>
        <w:t>根据要求，时间段内的平均渗透速度趋于稳定时的渗透速度即为</w:t>
      </w:r>
      <w:r>
        <w:rPr>
          <w:rFonts w:ascii="宋体" w:hAnsi="宋体" w:eastAsia="宋体" w:cs="宋体"/>
          <w:spacing w:val="-4"/>
          <w:sz w:val="24"/>
          <w:szCs w:val="24"/>
        </w:rPr>
        <w:t>所求的渗透</w:t>
      </w:r>
      <w:r>
        <w:rPr>
          <w:rFonts w:ascii="宋体" w:hAnsi="宋体" w:eastAsia="宋体" w:cs="宋体"/>
          <w:sz w:val="24"/>
          <w:szCs w:val="24"/>
        </w:rPr>
        <w:t xml:space="preserve"> </w:t>
      </w:r>
      <w:r>
        <w:rPr>
          <w:rFonts w:ascii="宋体" w:hAnsi="宋体" w:eastAsia="宋体" w:cs="宋体"/>
          <w:spacing w:val="-3"/>
          <w:sz w:val="24"/>
          <w:szCs w:val="24"/>
        </w:rPr>
        <w:t>系数值，渗水试验点位分布情况详见渗水试验点分布图，计算结果详见渗透系数</w:t>
      </w:r>
      <w:r>
        <w:rPr>
          <w:rFonts w:ascii="宋体" w:hAnsi="宋体" w:eastAsia="宋体" w:cs="宋体"/>
          <w:spacing w:val="1"/>
          <w:sz w:val="24"/>
          <w:szCs w:val="24"/>
        </w:rPr>
        <w:t xml:space="preserve"> </w:t>
      </w:r>
      <w:r>
        <w:rPr>
          <w:rFonts w:ascii="宋体" w:hAnsi="宋体" w:eastAsia="宋体" w:cs="宋体"/>
          <w:spacing w:val="-2"/>
          <w:sz w:val="24"/>
          <w:szCs w:val="24"/>
        </w:rPr>
        <w:t>计算结果表。</w:t>
      </w:r>
    </w:p>
    <w:p w14:paraId="5385C8A3">
      <w:pPr>
        <w:spacing w:line="219" w:lineRule="auto"/>
        <w:ind w:left="261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 xml:space="preserve">8.2-4      </w:t>
      </w:r>
      <w:r>
        <w:rPr>
          <w:rFonts w:ascii="宋体" w:hAnsi="宋体" w:eastAsia="宋体" w:cs="宋体"/>
          <w:spacing w:val="-2"/>
          <w:sz w:val="24"/>
          <w:szCs w:val="24"/>
        </w:rPr>
        <w:t>渗透系数计算结果表</w:t>
      </w:r>
    </w:p>
    <w:p w14:paraId="5CE89620">
      <w:pPr>
        <w:spacing w:line="145"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9"/>
        <w:gridCol w:w="1659"/>
        <w:gridCol w:w="1550"/>
        <w:gridCol w:w="1986"/>
        <w:gridCol w:w="1889"/>
      </w:tblGrid>
      <w:tr w14:paraId="6505E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439" w:type="dxa"/>
            <w:vMerge w:val="restart"/>
            <w:tcBorders>
              <w:bottom w:val="nil"/>
            </w:tcBorders>
            <w:vAlign w:val="top"/>
          </w:tcPr>
          <w:p w14:paraId="04B9AEB0">
            <w:pPr>
              <w:spacing w:line="306" w:lineRule="auto"/>
              <w:rPr>
                <w:rFonts w:ascii="Arial"/>
                <w:sz w:val="21"/>
              </w:rPr>
            </w:pPr>
          </w:p>
          <w:p w14:paraId="45106068">
            <w:pPr>
              <w:pStyle w:val="6"/>
              <w:spacing w:before="65" w:line="229" w:lineRule="auto"/>
              <w:ind w:left="525"/>
            </w:pPr>
            <w:r>
              <w:rPr>
                <w:spacing w:val="-1"/>
              </w:rPr>
              <w:t>点号</w:t>
            </w:r>
          </w:p>
        </w:tc>
        <w:tc>
          <w:tcPr>
            <w:tcW w:w="3209" w:type="dxa"/>
            <w:gridSpan w:val="2"/>
            <w:vAlign w:val="top"/>
          </w:tcPr>
          <w:p w14:paraId="47B97F05">
            <w:pPr>
              <w:pStyle w:val="6"/>
              <w:spacing w:before="135" w:line="228" w:lineRule="auto"/>
              <w:ind w:left="1399"/>
            </w:pPr>
            <w:r>
              <w:rPr>
                <w:spacing w:val="4"/>
              </w:rPr>
              <w:t>坐标</w:t>
            </w:r>
          </w:p>
        </w:tc>
        <w:tc>
          <w:tcPr>
            <w:tcW w:w="1986" w:type="dxa"/>
            <w:vMerge w:val="restart"/>
            <w:tcBorders>
              <w:bottom w:val="nil"/>
            </w:tcBorders>
            <w:vAlign w:val="top"/>
          </w:tcPr>
          <w:p w14:paraId="1846C2DC">
            <w:pPr>
              <w:spacing w:line="305" w:lineRule="auto"/>
              <w:rPr>
                <w:rFonts w:ascii="Arial"/>
                <w:sz w:val="21"/>
              </w:rPr>
            </w:pPr>
          </w:p>
          <w:p w14:paraId="6759E81E">
            <w:pPr>
              <w:pStyle w:val="6"/>
              <w:spacing w:before="65" w:line="228" w:lineRule="auto"/>
              <w:ind w:left="474"/>
            </w:pPr>
            <w:r>
              <w:rPr>
                <w:spacing w:val="8"/>
              </w:rPr>
              <w:t>包气带岩性</w:t>
            </w:r>
          </w:p>
        </w:tc>
        <w:tc>
          <w:tcPr>
            <w:tcW w:w="1889" w:type="dxa"/>
            <w:vMerge w:val="restart"/>
            <w:tcBorders>
              <w:bottom w:val="nil"/>
            </w:tcBorders>
            <w:vAlign w:val="top"/>
          </w:tcPr>
          <w:p w14:paraId="74D361EB">
            <w:pPr>
              <w:spacing w:line="306" w:lineRule="auto"/>
              <w:rPr>
                <w:rFonts w:ascii="Arial"/>
                <w:sz w:val="21"/>
              </w:rPr>
            </w:pPr>
          </w:p>
          <w:p w14:paraId="7FABC46E">
            <w:pPr>
              <w:pStyle w:val="6"/>
              <w:spacing w:before="65" w:line="228" w:lineRule="auto"/>
              <w:ind w:left="121"/>
            </w:pPr>
            <w:r>
              <w:rPr>
                <w:spacing w:val="7"/>
              </w:rPr>
              <w:t>渗透速度（</w:t>
            </w:r>
            <w:r>
              <w:rPr>
                <w:rFonts w:ascii="Times New Roman" w:hAnsi="Times New Roman" w:eastAsia="Times New Roman" w:cs="Times New Roman"/>
              </w:rPr>
              <w:t>cm</w:t>
            </w:r>
            <w:r>
              <w:rPr>
                <w:rFonts w:ascii="Times New Roman" w:hAnsi="Times New Roman" w:eastAsia="Times New Roman" w:cs="Times New Roman"/>
                <w:spacing w:val="7"/>
              </w:rPr>
              <w:t>/s</w:t>
            </w:r>
            <w:r>
              <w:rPr>
                <w:spacing w:val="7"/>
              </w:rPr>
              <w:t>）</w:t>
            </w:r>
          </w:p>
        </w:tc>
      </w:tr>
      <w:tr w14:paraId="6BF66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439" w:type="dxa"/>
            <w:vMerge w:val="continue"/>
            <w:tcBorders>
              <w:top w:val="nil"/>
            </w:tcBorders>
            <w:vAlign w:val="top"/>
          </w:tcPr>
          <w:p w14:paraId="355D130A">
            <w:pPr>
              <w:rPr>
                <w:rFonts w:ascii="Arial"/>
                <w:sz w:val="21"/>
              </w:rPr>
            </w:pPr>
          </w:p>
        </w:tc>
        <w:tc>
          <w:tcPr>
            <w:tcW w:w="1659" w:type="dxa"/>
            <w:vAlign w:val="top"/>
          </w:tcPr>
          <w:p w14:paraId="20B1C0F3">
            <w:pPr>
              <w:spacing w:before="170" w:line="192"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1550" w:type="dxa"/>
            <w:vAlign w:val="top"/>
          </w:tcPr>
          <w:p w14:paraId="74157B31">
            <w:pPr>
              <w:spacing w:before="170" w:line="192"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986" w:type="dxa"/>
            <w:vMerge w:val="continue"/>
            <w:tcBorders>
              <w:top w:val="nil"/>
            </w:tcBorders>
            <w:vAlign w:val="top"/>
          </w:tcPr>
          <w:p w14:paraId="2B7D4815">
            <w:pPr>
              <w:rPr>
                <w:rFonts w:ascii="Arial"/>
                <w:sz w:val="21"/>
              </w:rPr>
            </w:pPr>
          </w:p>
        </w:tc>
        <w:tc>
          <w:tcPr>
            <w:tcW w:w="1889" w:type="dxa"/>
            <w:vMerge w:val="continue"/>
            <w:tcBorders>
              <w:top w:val="nil"/>
            </w:tcBorders>
            <w:vAlign w:val="top"/>
          </w:tcPr>
          <w:p w14:paraId="1935E300">
            <w:pPr>
              <w:rPr>
                <w:rFonts w:ascii="Arial"/>
                <w:sz w:val="21"/>
              </w:rPr>
            </w:pPr>
          </w:p>
        </w:tc>
      </w:tr>
      <w:tr w14:paraId="66E30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439" w:type="dxa"/>
            <w:vAlign w:val="top"/>
          </w:tcPr>
          <w:p w14:paraId="692C45FE">
            <w:pPr>
              <w:pStyle w:val="6"/>
              <w:spacing w:before="134" w:line="228" w:lineRule="auto"/>
              <w:ind w:left="541"/>
              <w:rPr>
                <w:rFonts w:ascii="Times New Roman" w:hAnsi="Times New Roman" w:eastAsia="Times New Roman" w:cs="Times New Roman"/>
              </w:rPr>
            </w:pPr>
            <w:r>
              <w:t>渗</w:t>
            </w:r>
            <w:r>
              <w:rPr>
                <w:spacing w:val="-23"/>
              </w:rPr>
              <w:t xml:space="preserve"> </w:t>
            </w:r>
            <w:r>
              <w:rPr>
                <w:rFonts w:ascii="Times New Roman" w:hAnsi="Times New Roman" w:eastAsia="Times New Roman" w:cs="Times New Roman"/>
              </w:rPr>
              <w:t>1</w:t>
            </w:r>
          </w:p>
        </w:tc>
        <w:tc>
          <w:tcPr>
            <w:tcW w:w="1659" w:type="dxa"/>
            <w:vAlign w:val="top"/>
          </w:tcPr>
          <w:p w14:paraId="6ACBB065">
            <w:pPr>
              <w:spacing w:before="169"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5015655</w:t>
            </w:r>
          </w:p>
        </w:tc>
        <w:tc>
          <w:tcPr>
            <w:tcW w:w="1550" w:type="dxa"/>
            <w:vAlign w:val="top"/>
          </w:tcPr>
          <w:p w14:paraId="5768863B">
            <w:pPr>
              <w:spacing w:before="16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418070</w:t>
            </w:r>
          </w:p>
        </w:tc>
        <w:tc>
          <w:tcPr>
            <w:tcW w:w="1986" w:type="dxa"/>
            <w:vAlign w:val="top"/>
          </w:tcPr>
          <w:p w14:paraId="0E0A0DB3">
            <w:pPr>
              <w:pStyle w:val="6"/>
              <w:spacing w:before="133" w:line="228" w:lineRule="auto"/>
              <w:ind w:left="787"/>
            </w:pPr>
            <w:r>
              <w:rPr>
                <w:spacing w:val="5"/>
              </w:rPr>
              <w:t>粉土</w:t>
            </w:r>
          </w:p>
        </w:tc>
        <w:tc>
          <w:tcPr>
            <w:tcW w:w="1889" w:type="dxa"/>
            <w:vAlign w:val="top"/>
          </w:tcPr>
          <w:p w14:paraId="570293CD">
            <w:pPr>
              <w:spacing w:before="149" w:line="216" w:lineRule="auto"/>
              <w:ind w:left="544"/>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7.75×10</w:t>
            </w:r>
            <w:r>
              <w:rPr>
                <w:rFonts w:ascii="Times New Roman" w:hAnsi="Times New Roman" w:eastAsia="Times New Roman" w:cs="Times New Roman"/>
                <w:spacing w:val="2"/>
                <w:position w:val="6"/>
                <w:sz w:val="13"/>
                <w:szCs w:val="13"/>
              </w:rPr>
              <w:t>-4</w:t>
            </w:r>
          </w:p>
        </w:tc>
      </w:tr>
    </w:tbl>
    <w:p w14:paraId="69A94121">
      <w:pPr>
        <w:spacing w:before="273" w:line="361" w:lineRule="auto"/>
        <w:ind w:left="122" w:right="47" w:firstLine="480"/>
        <w:jc w:val="both"/>
        <w:rPr>
          <w:rFonts w:ascii="宋体" w:hAnsi="宋体" w:eastAsia="宋体" w:cs="宋体"/>
          <w:sz w:val="24"/>
          <w:szCs w:val="24"/>
        </w:rPr>
      </w:pPr>
      <w:r>
        <w:rPr>
          <w:rFonts w:ascii="宋体" w:hAnsi="宋体" w:eastAsia="宋体" w:cs="宋体"/>
          <w:spacing w:val="-3"/>
          <w:sz w:val="24"/>
          <w:szCs w:val="24"/>
        </w:rPr>
        <w:t>根据计算，项目区包气带岩性为粉土，垂向渗透系数为</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7.75×10</w:t>
      </w:r>
      <w:r>
        <w:rPr>
          <w:rFonts w:ascii="Times New Roman" w:hAnsi="Times New Roman" w:eastAsia="Times New Roman" w:cs="Times New Roman"/>
          <w:spacing w:val="-3"/>
          <w:position w:val="8"/>
          <w:sz w:val="15"/>
          <w:szCs w:val="15"/>
        </w:rPr>
        <w:t>-4</w:t>
      </w:r>
      <w:r>
        <w:rPr>
          <w:rFonts w:ascii="Times New Roman" w:hAnsi="Times New Roman" w:eastAsia="Times New Roman" w:cs="Times New Roman"/>
          <w:spacing w:val="-3"/>
          <w:sz w:val="24"/>
          <w:szCs w:val="24"/>
        </w:rPr>
        <w:t>cm/s</w:t>
      </w:r>
      <w:r>
        <w:rPr>
          <w:rFonts w:ascii="宋体" w:hAnsi="宋体" w:eastAsia="宋体" w:cs="宋体"/>
          <w:spacing w:val="-3"/>
          <w:sz w:val="24"/>
          <w:szCs w:val="24"/>
        </w:rPr>
        <w:t>。根据</w:t>
      </w:r>
      <w:r>
        <w:rPr>
          <w:rFonts w:ascii="宋体" w:hAnsi="宋体" w:eastAsia="宋体" w:cs="宋体"/>
          <w:sz w:val="24"/>
          <w:szCs w:val="24"/>
        </w:rPr>
        <w:t xml:space="preserve"> </w:t>
      </w:r>
      <w:r>
        <w:rPr>
          <w:rFonts w:ascii="宋体" w:hAnsi="宋体" w:eastAsia="宋体" w:cs="宋体"/>
          <w:spacing w:val="-5"/>
          <w:sz w:val="24"/>
          <w:szCs w:val="24"/>
        </w:rPr>
        <w:t>《环境影响评价技术导则 地下水环境》（</w:t>
      </w:r>
      <w:r>
        <w:rPr>
          <w:rFonts w:ascii="Times New Roman" w:hAnsi="Times New Roman" w:eastAsia="Times New Roman" w:cs="Times New Roman"/>
          <w:spacing w:val="-5"/>
          <w:sz w:val="24"/>
          <w:szCs w:val="24"/>
        </w:rPr>
        <w:t>HJ 610-2016</w:t>
      </w:r>
      <w:r>
        <w:rPr>
          <w:rFonts w:ascii="宋体" w:hAnsi="宋体" w:eastAsia="宋体" w:cs="宋体"/>
          <w:spacing w:val="-5"/>
          <w:sz w:val="24"/>
          <w:szCs w:val="24"/>
        </w:rPr>
        <w:t>）中包气带防污性能分级，</w:t>
      </w:r>
      <w:r>
        <w:rPr>
          <w:rFonts w:ascii="宋体" w:hAnsi="宋体" w:eastAsia="宋体" w:cs="宋体"/>
          <w:sz w:val="24"/>
          <w:szCs w:val="24"/>
        </w:rPr>
        <w:t xml:space="preserve"> </w:t>
      </w:r>
      <w:r>
        <w:rPr>
          <w:rFonts w:ascii="宋体" w:hAnsi="宋体" w:eastAsia="宋体" w:cs="宋体"/>
          <w:spacing w:val="-2"/>
          <w:sz w:val="24"/>
          <w:szCs w:val="24"/>
        </w:rPr>
        <w:t>包气带防污性能弱。</w:t>
      </w:r>
    </w:p>
    <w:p w14:paraId="47113DE3">
      <w:pPr>
        <w:spacing w:line="361" w:lineRule="auto"/>
        <w:rPr>
          <w:rFonts w:ascii="宋体" w:hAnsi="宋体" w:eastAsia="宋体" w:cs="宋体"/>
          <w:sz w:val="24"/>
          <w:szCs w:val="24"/>
        </w:rPr>
        <w:sectPr>
          <w:headerReference r:id="rId269" w:type="default"/>
          <w:footerReference r:id="rId270" w:type="default"/>
          <w:pgSz w:w="11906" w:h="16839"/>
          <w:pgMar w:top="1208" w:right="1690" w:bottom="1358" w:left="1687" w:header="825" w:footer="1195" w:gutter="0"/>
          <w:cols w:space="720" w:num="1"/>
        </w:sectPr>
      </w:pPr>
    </w:p>
    <w:p w14:paraId="07947B7A">
      <w:pPr>
        <w:pStyle w:val="2"/>
        <w:spacing w:line="255" w:lineRule="auto"/>
      </w:pPr>
    </w:p>
    <w:p w14:paraId="631AC81D">
      <w:pPr>
        <w:spacing w:line="8360" w:lineRule="exact"/>
        <w:ind w:firstLine="14"/>
      </w:pPr>
      <w:r>
        <w:rPr>
          <w:position w:val="-167"/>
        </w:rPr>
        <w:drawing>
          <wp:inline distT="0" distB="0" distL="0" distR="0">
            <wp:extent cx="5274310" cy="530796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01"/>
                    <a:stretch>
                      <a:fillRect/>
                    </a:stretch>
                  </pic:blipFill>
                  <pic:spPr>
                    <a:xfrm>
                      <a:off x="0" y="0"/>
                      <a:ext cx="5274563" cy="5308091"/>
                    </a:xfrm>
                    <a:prstGeom prst="rect">
                      <a:avLst/>
                    </a:prstGeom>
                  </pic:spPr>
                </pic:pic>
              </a:graphicData>
            </a:graphic>
          </wp:inline>
        </w:drawing>
      </w:r>
    </w:p>
    <w:p w14:paraId="6889A28A">
      <w:pPr>
        <w:spacing w:before="151" w:line="219" w:lineRule="auto"/>
        <w:ind w:left="290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8.2-6  </w:t>
      </w:r>
      <w:r>
        <w:rPr>
          <w:rFonts w:ascii="宋体" w:hAnsi="宋体" w:eastAsia="宋体" w:cs="宋体"/>
          <w:spacing w:val="-3"/>
          <w:sz w:val="24"/>
          <w:szCs w:val="24"/>
        </w:rPr>
        <w:t>渗水试验点位分布图</w:t>
      </w:r>
    </w:p>
    <w:p w14:paraId="6A843C51">
      <w:pPr>
        <w:spacing w:before="184" w:line="219" w:lineRule="auto"/>
        <w:ind w:left="508"/>
        <w:outlineLvl w:val="2"/>
        <w:rPr>
          <w:rFonts w:ascii="宋体" w:hAnsi="宋体" w:eastAsia="宋体" w:cs="宋体"/>
          <w:sz w:val="24"/>
          <w:szCs w:val="24"/>
        </w:rPr>
      </w:pPr>
      <w:bookmarkStart w:id="128" w:name="bookmark113"/>
      <w:bookmarkEnd w:id="128"/>
      <w:r>
        <w:rPr>
          <w:rFonts w:ascii="Times New Roman" w:hAnsi="Times New Roman" w:eastAsia="Times New Roman" w:cs="Times New Roman"/>
          <w:spacing w:val="-2"/>
          <w:sz w:val="24"/>
          <w:szCs w:val="24"/>
        </w:rPr>
        <w:t xml:space="preserve">8.2.2 </w:t>
      </w:r>
      <w:r>
        <w:rPr>
          <w:rFonts w:ascii="宋体" w:hAnsi="宋体" w:eastAsia="宋体" w:cs="宋体"/>
          <w:spacing w:val="-2"/>
          <w:sz w:val="24"/>
          <w:szCs w:val="24"/>
        </w:rPr>
        <w:t>地下水影响预测</w:t>
      </w:r>
    </w:p>
    <w:p w14:paraId="78BFFC2E">
      <w:pPr>
        <w:spacing w:before="182" w:line="218" w:lineRule="auto"/>
        <w:ind w:left="507"/>
        <w:rPr>
          <w:rFonts w:ascii="宋体" w:hAnsi="宋体" w:eastAsia="宋体" w:cs="宋体"/>
          <w:sz w:val="24"/>
          <w:szCs w:val="24"/>
        </w:rPr>
      </w:pPr>
      <w:r>
        <w:rPr>
          <w:rFonts w:ascii="宋体" w:hAnsi="宋体" w:eastAsia="宋体" w:cs="宋体"/>
          <w:spacing w:val="-1"/>
          <w:sz w:val="24"/>
          <w:szCs w:val="24"/>
        </w:rPr>
        <w:t>一、建设期地下水环境影响预测评价</w:t>
      </w:r>
    </w:p>
    <w:p w14:paraId="310E0E88">
      <w:pPr>
        <w:spacing w:before="185" w:line="219" w:lineRule="auto"/>
        <w:ind w:right="13"/>
        <w:jc w:val="right"/>
        <w:rPr>
          <w:rFonts w:ascii="宋体" w:hAnsi="宋体" w:eastAsia="宋体" w:cs="宋体"/>
          <w:sz w:val="24"/>
          <w:szCs w:val="24"/>
        </w:rPr>
      </w:pPr>
      <w:r>
        <w:rPr>
          <w:rFonts w:ascii="宋体" w:hAnsi="宋体" w:eastAsia="宋体" w:cs="宋体"/>
          <w:spacing w:val="-3"/>
          <w:sz w:val="24"/>
          <w:szCs w:val="24"/>
        </w:rPr>
        <w:t>项目建设期的地下水污染源包括施工人员生活排水和施</w:t>
      </w:r>
      <w:r>
        <w:rPr>
          <w:rFonts w:ascii="宋体" w:hAnsi="宋体" w:eastAsia="宋体" w:cs="宋体"/>
          <w:spacing w:val="-4"/>
          <w:sz w:val="24"/>
          <w:szCs w:val="24"/>
        </w:rPr>
        <w:t>工生产排水。生活污</w:t>
      </w:r>
    </w:p>
    <w:p w14:paraId="1EE6A722">
      <w:pPr>
        <w:spacing w:before="184" w:line="352" w:lineRule="auto"/>
        <w:ind w:left="22" w:right="13" w:firstLine="3"/>
        <w:jc w:val="both"/>
        <w:rPr>
          <w:rFonts w:ascii="宋体" w:hAnsi="宋体" w:eastAsia="宋体" w:cs="宋体"/>
          <w:sz w:val="24"/>
          <w:szCs w:val="24"/>
        </w:rPr>
      </w:pPr>
      <w:r>
        <w:rPr>
          <w:rFonts w:ascii="宋体" w:hAnsi="宋体" w:eastAsia="宋体" w:cs="宋体"/>
          <w:spacing w:val="6"/>
          <w:sz w:val="24"/>
          <w:szCs w:val="24"/>
        </w:rPr>
        <w:t>水：根据同类项目施工人数调查，按施工高峰期</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50</w:t>
      </w:r>
      <w:r>
        <w:rPr>
          <w:rFonts w:ascii="Times New Roman" w:hAnsi="Times New Roman" w:eastAsia="Times New Roman" w:cs="Times New Roman"/>
          <w:spacing w:val="21"/>
          <w:sz w:val="24"/>
          <w:szCs w:val="24"/>
        </w:rPr>
        <w:t xml:space="preserve"> </w:t>
      </w:r>
      <w:r>
        <w:rPr>
          <w:rFonts w:ascii="宋体" w:hAnsi="宋体" w:eastAsia="宋体" w:cs="宋体"/>
          <w:spacing w:val="6"/>
          <w:sz w:val="24"/>
          <w:szCs w:val="24"/>
        </w:rPr>
        <w:t>人，每人生活污水产生量</w:t>
      </w:r>
      <w:r>
        <w:rPr>
          <w:rFonts w:ascii="宋体" w:hAnsi="宋体" w:eastAsia="宋体" w:cs="宋体"/>
          <w:sz w:val="24"/>
          <w:szCs w:val="24"/>
        </w:rPr>
        <w:t xml:space="preserve"> </w:t>
      </w:r>
      <w:r>
        <w:rPr>
          <w:rFonts w:ascii="Times New Roman" w:hAnsi="Times New Roman" w:eastAsia="Times New Roman" w:cs="Times New Roman"/>
          <w:spacing w:val="-10"/>
          <w:sz w:val="24"/>
          <w:szCs w:val="24"/>
        </w:rPr>
        <w:t>0.</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0"/>
          <w:sz w:val="24"/>
          <w:szCs w:val="24"/>
        </w:rPr>
        <w:t>1m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 xml:space="preserve">/d  </w:t>
      </w:r>
      <w:r>
        <w:rPr>
          <w:rFonts w:ascii="宋体" w:hAnsi="宋体" w:eastAsia="宋体" w:cs="宋体"/>
          <w:sz w:val="24"/>
          <w:szCs w:val="24"/>
        </w:rPr>
        <w:t>计，生活污水总产生量为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5m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，主要污染物为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COD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BOD</w:t>
      </w:r>
      <w:r>
        <w:rPr>
          <w:rFonts w:ascii="Times New Roman" w:hAnsi="Times New Roman" w:eastAsia="Times New Roman" w:cs="Times New Roman"/>
          <w:position w:val="-1"/>
          <w:sz w:val="15"/>
          <w:szCs w:val="15"/>
        </w:rPr>
        <w:t>5</w:t>
      </w:r>
      <w:r>
        <w:rPr>
          <w:rFonts w:ascii="Times New Roman" w:hAnsi="Times New Roman" w:eastAsia="Times New Roman" w:cs="Times New Roman"/>
          <w:spacing w:val="-8"/>
          <w:position w:val="-1"/>
          <w:sz w:val="15"/>
          <w:szCs w:val="15"/>
        </w:rPr>
        <w:t xml:space="preserve"> </w:t>
      </w:r>
      <w:r>
        <w:rPr>
          <w:rFonts w:ascii="宋体" w:hAnsi="宋体" w:eastAsia="宋体" w:cs="宋体"/>
          <w:sz w:val="24"/>
          <w:szCs w:val="24"/>
        </w:rPr>
        <w:t xml:space="preserve">、氨氮和 </w:t>
      </w:r>
      <w:r>
        <w:rPr>
          <w:rFonts w:ascii="Times New Roman" w:hAnsi="Times New Roman" w:eastAsia="Times New Roman" w:cs="Times New Roman"/>
          <w:spacing w:val="-3"/>
          <w:sz w:val="24"/>
          <w:szCs w:val="24"/>
        </w:rPr>
        <w:t>SS</w:t>
      </w:r>
      <w:r>
        <w:rPr>
          <w:rFonts w:ascii="宋体" w:hAnsi="宋体" w:eastAsia="宋体" w:cs="宋体"/>
          <w:spacing w:val="-3"/>
          <w:sz w:val="24"/>
          <w:szCs w:val="24"/>
        </w:rPr>
        <w:t>。</w:t>
      </w:r>
    </w:p>
    <w:p w14:paraId="754E97CA">
      <w:pPr>
        <w:spacing w:before="30" w:line="361" w:lineRule="auto"/>
        <w:ind w:left="23" w:right="13" w:firstLine="479"/>
        <w:jc w:val="both"/>
        <w:rPr>
          <w:rFonts w:ascii="宋体" w:hAnsi="宋体" w:eastAsia="宋体" w:cs="宋体"/>
          <w:sz w:val="24"/>
          <w:szCs w:val="24"/>
        </w:rPr>
      </w:pPr>
      <w:r>
        <w:rPr>
          <w:rFonts w:ascii="宋体" w:hAnsi="宋体" w:eastAsia="宋体" w:cs="宋体"/>
          <w:spacing w:val="-3"/>
          <w:sz w:val="24"/>
          <w:szCs w:val="24"/>
        </w:rPr>
        <w:t>施工生产废水：主要来自施工工程的冲洗水、施工机械的冲洗水</w:t>
      </w:r>
      <w:r>
        <w:rPr>
          <w:rFonts w:ascii="宋体" w:hAnsi="宋体" w:eastAsia="宋体" w:cs="宋体"/>
          <w:spacing w:val="-4"/>
          <w:sz w:val="24"/>
          <w:szCs w:val="24"/>
        </w:rPr>
        <w:t>等，数量变</w:t>
      </w:r>
      <w:r>
        <w:rPr>
          <w:rFonts w:ascii="宋体" w:hAnsi="宋体" w:eastAsia="宋体" w:cs="宋体"/>
          <w:sz w:val="24"/>
          <w:szCs w:val="24"/>
        </w:rPr>
        <w:t xml:space="preserve"> 化较大，主要污染物为</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 xml:space="preserve">、油类。在施工场地设置简易隔油池、厕所及化粪池 </w:t>
      </w:r>
      <w:r>
        <w:rPr>
          <w:rFonts w:ascii="宋体" w:hAnsi="宋体" w:eastAsia="宋体" w:cs="宋体"/>
          <w:spacing w:val="-2"/>
          <w:sz w:val="24"/>
          <w:szCs w:val="24"/>
        </w:rPr>
        <w:t>（隔油池、厕所及化粪池根据相关规范的要求做好防渗措施</w:t>
      </w:r>
      <w:r>
        <w:rPr>
          <w:rFonts w:ascii="宋体" w:hAnsi="宋体" w:eastAsia="宋体" w:cs="宋体"/>
          <w:spacing w:val="-19"/>
          <w:sz w:val="24"/>
          <w:szCs w:val="24"/>
        </w:rPr>
        <w:t>），</w:t>
      </w:r>
      <w:r>
        <w:rPr>
          <w:rFonts w:ascii="宋体" w:hAnsi="宋体" w:eastAsia="宋体" w:cs="宋体"/>
          <w:spacing w:val="-2"/>
          <w:sz w:val="24"/>
          <w:szCs w:val="24"/>
        </w:rPr>
        <w:t>对施工队伍居住</w:t>
      </w:r>
      <w:r>
        <w:rPr>
          <w:rFonts w:ascii="宋体" w:hAnsi="宋体" w:eastAsia="宋体" w:cs="宋体"/>
          <w:sz w:val="24"/>
          <w:szCs w:val="24"/>
        </w:rPr>
        <w:t xml:space="preserve"> </w:t>
      </w:r>
      <w:r>
        <w:rPr>
          <w:rFonts w:ascii="宋体" w:hAnsi="宋体" w:eastAsia="宋体" w:cs="宋体"/>
          <w:spacing w:val="-3"/>
          <w:sz w:val="24"/>
          <w:szCs w:val="24"/>
        </w:rPr>
        <w:t>地的食堂、浴室及厕所粪便污水进行预处理，使污水在池中充分停留消化后排入</w:t>
      </w:r>
    </w:p>
    <w:p w14:paraId="17E84D14">
      <w:pPr>
        <w:spacing w:line="361" w:lineRule="auto"/>
        <w:rPr>
          <w:rFonts w:ascii="宋体" w:hAnsi="宋体" w:eastAsia="宋体" w:cs="宋体"/>
          <w:sz w:val="24"/>
          <w:szCs w:val="24"/>
        </w:rPr>
        <w:sectPr>
          <w:headerReference r:id="rId271" w:type="default"/>
          <w:footerReference r:id="rId272" w:type="default"/>
          <w:pgSz w:w="11906" w:h="16839"/>
          <w:pgMar w:top="1208" w:right="1785" w:bottom="1358" w:left="1785" w:header="825" w:footer="1195" w:gutter="0"/>
          <w:cols w:space="720" w:num="1"/>
        </w:sectPr>
      </w:pPr>
    </w:p>
    <w:p w14:paraId="195D7A55">
      <w:pPr>
        <w:pStyle w:val="2"/>
        <w:spacing w:line="265" w:lineRule="auto"/>
      </w:pPr>
    </w:p>
    <w:p w14:paraId="4BF667C6">
      <w:pPr>
        <w:spacing w:before="78" w:line="360" w:lineRule="auto"/>
        <w:ind w:left="29" w:firstLine="20"/>
        <w:rPr>
          <w:rFonts w:ascii="宋体" w:hAnsi="宋体" w:eastAsia="宋体" w:cs="宋体"/>
          <w:sz w:val="24"/>
          <w:szCs w:val="24"/>
        </w:rPr>
      </w:pPr>
      <w:r>
        <w:rPr>
          <w:rFonts w:ascii="宋体" w:hAnsi="宋体" w:eastAsia="宋体" w:cs="宋体"/>
          <w:spacing w:val="-5"/>
          <w:sz w:val="24"/>
          <w:szCs w:val="24"/>
        </w:rPr>
        <w:t>已有生活污水处理设施进行处理；施工机械维修过程中产生的</w:t>
      </w:r>
      <w:r>
        <w:rPr>
          <w:rFonts w:ascii="宋体" w:hAnsi="宋体" w:eastAsia="宋体" w:cs="宋体"/>
          <w:spacing w:val="-6"/>
          <w:sz w:val="24"/>
          <w:szCs w:val="24"/>
        </w:rPr>
        <w:t>油污水应予以收集，</w:t>
      </w:r>
      <w:r>
        <w:rPr>
          <w:rFonts w:ascii="宋体" w:hAnsi="宋体" w:eastAsia="宋体" w:cs="宋体"/>
          <w:sz w:val="24"/>
          <w:szCs w:val="24"/>
        </w:rPr>
        <w:t xml:space="preserve"> </w:t>
      </w:r>
      <w:r>
        <w:rPr>
          <w:rFonts w:ascii="宋体" w:hAnsi="宋体" w:eastAsia="宋体" w:cs="宋体"/>
          <w:spacing w:val="-1"/>
          <w:sz w:val="24"/>
          <w:szCs w:val="24"/>
        </w:rPr>
        <w:t>统一处理后委托环卫部门及时清运。</w:t>
      </w:r>
    </w:p>
    <w:p w14:paraId="0B7079D4">
      <w:pPr>
        <w:spacing w:line="219" w:lineRule="auto"/>
        <w:ind w:left="509"/>
        <w:rPr>
          <w:rFonts w:ascii="宋体" w:hAnsi="宋体" w:eastAsia="宋体" w:cs="宋体"/>
          <w:sz w:val="24"/>
          <w:szCs w:val="24"/>
        </w:rPr>
      </w:pPr>
      <w:r>
        <w:rPr>
          <w:rFonts w:ascii="宋体" w:hAnsi="宋体" w:eastAsia="宋体" w:cs="宋体"/>
          <w:spacing w:val="-1"/>
          <w:sz w:val="24"/>
          <w:szCs w:val="24"/>
        </w:rPr>
        <w:t>总之，项目建设期的生活、生产废水在防渗措施的基础上对地下水无影响。</w:t>
      </w:r>
    </w:p>
    <w:p w14:paraId="0830FC7B">
      <w:pPr>
        <w:spacing w:before="182" w:line="218" w:lineRule="auto"/>
        <w:ind w:left="507"/>
        <w:rPr>
          <w:rFonts w:ascii="宋体" w:hAnsi="宋体" w:eastAsia="宋体" w:cs="宋体"/>
          <w:sz w:val="24"/>
          <w:szCs w:val="24"/>
        </w:rPr>
      </w:pPr>
      <w:r>
        <w:rPr>
          <w:rFonts w:ascii="宋体" w:hAnsi="宋体" w:eastAsia="宋体" w:cs="宋体"/>
          <w:spacing w:val="-1"/>
          <w:sz w:val="24"/>
          <w:szCs w:val="24"/>
        </w:rPr>
        <w:t>二、服务期满后地下水环境影响预测评价</w:t>
      </w:r>
    </w:p>
    <w:p w14:paraId="046E458D">
      <w:pPr>
        <w:spacing w:before="184" w:line="360" w:lineRule="auto"/>
        <w:ind w:left="25" w:right="181" w:firstLine="478"/>
        <w:rPr>
          <w:rFonts w:ascii="宋体" w:hAnsi="宋体" w:eastAsia="宋体" w:cs="宋体"/>
          <w:sz w:val="24"/>
          <w:szCs w:val="24"/>
        </w:rPr>
      </w:pPr>
      <w:r>
        <w:rPr>
          <w:rFonts w:ascii="宋体" w:hAnsi="宋体" w:eastAsia="宋体" w:cs="宋体"/>
          <w:spacing w:val="-3"/>
          <w:sz w:val="24"/>
          <w:szCs w:val="24"/>
        </w:rPr>
        <w:t>服务期满后，项目不再产生污废水，污水处理设施里存留污水经</w:t>
      </w:r>
      <w:r>
        <w:rPr>
          <w:rFonts w:ascii="宋体" w:hAnsi="宋体" w:eastAsia="宋体" w:cs="宋体"/>
          <w:spacing w:val="-4"/>
          <w:sz w:val="24"/>
          <w:szCs w:val="24"/>
        </w:rPr>
        <w:t>处理后由环</w:t>
      </w:r>
      <w:r>
        <w:rPr>
          <w:rFonts w:ascii="宋体" w:hAnsi="宋体" w:eastAsia="宋体" w:cs="宋体"/>
          <w:sz w:val="24"/>
          <w:szCs w:val="24"/>
        </w:rPr>
        <w:t xml:space="preserve"> 卫部门清运。项目区内不再存在污染源，不会</w:t>
      </w:r>
      <w:r>
        <w:rPr>
          <w:rFonts w:ascii="宋体" w:hAnsi="宋体" w:eastAsia="宋体" w:cs="宋体"/>
          <w:spacing w:val="-1"/>
          <w:sz w:val="24"/>
          <w:szCs w:val="24"/>
        </w:rPr>
        <w:t>对周边地下水环境产生影响。</w:t>
      </w:r>
    </w:p>
    <w:p w14:paraId="71751D27">
      <w:pPr>
        <w:spacing w:before="1" w:line="217" w:lineRule="auto"/>
        <w:ind w:left="503"/>
        <w:rPr>
          <w:rFonts w:ascii="宋体" w:hAnsi="宋体" w:eastAsia="宋体" w:cs="宋体"/>
          <w:sz w:val="24"/>
          <w:szCs w:val="24"/>
        </w:rPr>
      </w:pPr>
      <w:r>
        <w:rPr>
          <w:rFonts w:ascii="宋体" w:hAnsi="宋体" w:eastAsia="宋体" w:cs="宋体"/>
          <w:spacing w:val="-1"/>
          <w:sz w:val="24"/>
          <w:szCs w:val="24"/>
        </w:rPr>
        <w:t>三、运营期地下水环境影响预测评价</w:t>
      </w:r>
    </w:p>
    <w:p w14:paraId="2071ED51">
      <w:pPr>
        <w:spacing w:before="185" w:line="219" w:lineRule="auto"/>
        <w:ind w:left="522"/>
        <w:rPr>
          <w:rFonts w:ascii="宋体" w:hAnsi="宋体" w:eastAsia="宋体" w:cs="宋体"/>
          <w:sz w:val="24"/>
          <w:szCs w:val="24"/>
        </w:rPr>
      </w:pPr>
      <w:r>
        <w:rPr>
          <w:rFonts w:ascii="Times New Roman" w:hAnsi="Times New Roman" w:eastAsia="Times New Roman" w:cs="Times New Roman"/>
          <w:spacing w:val="-5"/>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5"/>
          <w:sz w:val="24"/>
          <w:szCs w:val="24"/>
        </w:rPr>
        <w:t>、水流模型建立与参数识别</w:t>
      </w:r>
    </w:p>
    <w:p w14:paraId="7D03A63A">
      <w:pPr>
        <w:spacing w:before="183" w:line="217" w:lineRule="auto"/>
        <w:ind w:left="502"/>
        <w:rPr>
          <w:rFonts w:ascii="宋体" w:hAnsi="宋体" w:eastAsia="宋体" w:cs="宋体"/>
          <w:sz w:val="24"/>
          <w:szCs w:val="24"/>
        </w:rPr>
      </w:pPr>
      <w:r>
        <w:rPr>
          <w:rFonts w:ascii="宋体" w:hAnsi="宋体" w:eastAsia="宋体" w:cs="宋体"/>
          <w:spacing w:val="-2"/>
          <w:sz w:val="24"/>
          <w:szCs w:val="24"/>
        </w:rPr>
        <w:t>①预测方法</w:t>
      </w:r>
    </w:p>
    <w:p w14:paraId="073B9337">
      <w:pPr>
        <w:spacing w:before="185" w:line="340" w:lineRule="auto"/>
        <w:ind w:left="16" w:right="181" w:firstLine="487"/>
        <w:jc w:val="both"/>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Times New Roman" w:hAnsi="Times New Roman" w:eastAsia="Times New Roman" w:cs="Times New Roman"/>
          <w:spacing w:val="-1"/>
          <w:sz w:val="24"/>
          <w:szCs w:val="24"/>
        </w:rPr>
        <w:t>HJ 610-2016</w:t>
      </w:r>
      <w:r>
        <w:rPr>
          <w:rFonts w:ascii="宋体" w:hAnsi="宋体" w:eastAsia="宋体" w:cs="宋体"/>
          <w:spacing w:val="-1"/>
          <w:sz w:val="24"/>
          <w:szCs w:val="24"/>
        </w:rPr>
        <w:t>）的要求，本次</w:t>
      </w:r>
      <w:r>
        <w:rPr>
          <w:rFonts w:ascii="宋体" w:hAnsi="宋体" w:eastAsia="宋体" w:cs="宋体"/>
          <w:spacing w:val="8"/>
          <w:sz w:val="24"/>
          <w:szCs w:val="24"/>
        </w:rPr>
        <w:t xml:space="preserve"> </w:t>
      </w:r>
      <w:r>
        <w:rPr>
          <w:rFonts w:ascii="宋体" w:hAnsi="宋体" w:eastAsia="宋体" w:cs="宋体"/>
          <w:spacing w:val="-1"/>
          <w:sz w:val="24"/>
          <w:szCs w:val="24"/>
        </w:rPr>
        <w:t>预测采用数值法，利用</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Visual modflow Premi</w:t>
      </w:r>
      <w:r>
        <w:rPr>
          <w:rFonts w:ascii="Times New Roman" w:hAnsi="Times New Roman" w:eastAsia="Times New Roman" w:cs="Times New Roman"/>
          <w:spacing w:val="-2"/>
          <w:sz w:val="24"/>
          <w:szCs w:val="24"/>
        </w:rPr>
        <w:t xml:space="preserve">um 2011.1 </w:t>
      </w:r>
      <w:r>
        <w:rPr>
          <w:rFonts w:ascii="宋体" w:hAnsi="宋体" w:eastAsia="宋体" w:cs="宋体"/>
          <w:spacing w:val="-2"/>
          <w:sz w:val="24"/>
          <w:szCs w:val="24"/>
        </w:rPr>
        <w:t>地下水数值模拟软件中的</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modflow 2005 </w:t>
      </w:r>
      <w:r>
        <w:rPr>
          <w:rFonts w:ascii="宋体" w:hAnsi="宋体" w:eastAsia="宋体" w:cs="宋体"/>
          <w:sz w:val="24"/>
          <w:szCs w:val="24"/>
        </w:rPr>
        <w:t>模块建立水流数</w:t>
      </w:r>
      <w:r>
        <w:rPr>
          <w:rFonts w:ascii="宋体" w:hAnsi="宋体" w:eastAsia="宋体" w:cs="宋体"/>
          <w:spacing w:val="-1"/>
          <w:sz w:val="24"/>
          <w:szCs w:val="24"/>
        </w:rPr>
        <w:t>值模型。</w:t>
      </w:r>
    </w:p>
    <w:p w14:paraId="0AF50F15">
      <w:pPr>
        <w:spacing w:line="219" w:lineRule="auto"/>
        <w:ind w:left="435"/>
        <w:rPr>
          <w:rFonts w:ascii="宋体" w:hAnsi="宋体" w:eastAsia="宋体" w:cs="宋体"/>
          <w:sz w:val="24"/>
          <w:szCs w:val="24"/>
        </w:rPr>
      </w:pPr>
      <w:r>
        <w:rPr>
          <w:rFonts w:ascii="宋体" w:hAnsi="宋体" w:eastAsia="宋体" w:cs="宋体"/>
          <w:spacing w:val="-2"/>
          <w:sz w:val="24"/>
          <w:szCs w:val="24"/>
        </w:rPr>
        <w:t>数学模型为：</w:t>
      </w:r>
    </w:p>
    <w:p w14:paraId="2B856DD2">
      <w:pPr>
        <w:spacing w:before="184" w:line="547" w:lineRule="exact"/>
        <w:ind w:left="424"/>
      </w:pPr>
      <w:r>
        <w:rPr>
          <w:position w:val="-11"/>
        </w:rPr>
        <w:drawing>
          <wp:inline distT="0" distB="0" distL="0" distR="0">
            <wp:extent cx="2596515" cy="34734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02"/>
                    <a:stretch>
                      <a:fillRect/>
                    </a:stretch>
                  </pic:blipFill>
                  <pic:spPr>
                    <a:xfrm>
                      <a:off x="0" y="0"/>
                      <a:ext cx="2596896" cy="347471"/>
                    </a:xfrm>
                    <a:prstGeom prst="rect">
                      <a:avLst/>
                    </a:prstGeom>
                  </pic:spPr>
                </pic:pic>
              </a:graphicData>
            </a:graphic>
          </wp:inline>
        </w:drawing>
      </w:r>
    </w:p>
    <w:p w14:paraId="7F752A2C">
      <w:pPr>
        <w:spacing w:before="153" w:line="220" w:lineRule="auto"/>
        <w:ind w:left="434"/>
        <w:rPr>
          <w:rFonts w:ascii="宋体" w:hAnsi="宋体" w:eastAsia="宋体" w:cs="宋体"/>
          <w:sz w:val="24"/>
          <w:szCs w:val="24"/>
        </w:rPr>
      </w:pPr>
      <w:r>
        <w:rPr>
          <w:rFonts w:ascii="宋体" w:hAnsi="宋体" w:eastAsia="宋体" w:cs="宋体"/>
          <w:spacing w:val="-4"/>
          <w:sz w:val="24"/>
          <w:szCs w:val="24"/>
        </w:rPr>
        <w:t>其中：</w:t>
      </w:r>
    </w:p>
    <w:p w14:paraId="39346AC1">
      <w:pPr>
        <w:spacing w:before="183" w:line="348" w:lineRule="auto"/>
        <w:ind w:left="22" w:right="183" w:firstLine="406"/>
        <w:rPr>
          <w:rFonts w:ascii="Times New Roman" w:hAnsi="Times New Roman" w:eastAsia="Times New Roman" w:cs="Times New Roman"/>
          <w:sz w:val="24"/>
          <w:szCs w:val="24"/>
        </w:rPr>
      </w:pPr>
      <w:r>
        <w:rPr>
          <w:rFonts w:ascii="Times New Roman" w:hAnsi="Times New Roman" w:eastAsia="Times New Roman" w:cs="Times New Roman"/>
          <w:sz w:val="24"/>
          <w:szCs w:val="24"/>
        </w:rPr>
        <w:t>K</w:t>
      </w:r>
      <w:r>
        <w:rPr>
          <w:rFonts w:ascii="Times New Roman" w:hAnsi="Times New Roman" w:eastAsia="Times New Roman" w:cs="Times New Roman"/>
          <w:position w:val="-1"/>
          <w:sz w:val="15"/>
          <w:szCs w:val="15"/>
        </w:rPr>
        <w:t>xx</w:t>
      </w:r>
      <w:r>
        <w:rPr>
          <w:rFonts w:ascii="Times New Roman" w:hAnsi="Times New Roman" w:eastAsia="Times New Roman" w:cs="Times New Roman"/>
          <w:spacing w:val="7"/>
          <w:position w:val="-1"/>
          <w:sz w:val="15"/>
          <w:szCs w:val="15"/>
        </w:rPr>
        <w:t xml:space="preserve"> </w:t>
      </w:r>
      <w:r>
        <w:rPr>
          <w:rFonts w:ascii="宋体" w:hAnsi="宋体" w:eastAsia="宋体" w:cs="宋体"/>
          <w:spacing w:val="-18"/>
          <w:sz w:val="24"/>
          <w:szCs w:val="24"/>
        </w:rPr>
        <w:t>，</w:t>
      </w:r>
      <w:r>
        <w:rPr>
          <w:rFonts w:ascii="Times New Roman" w:hAnsi="Times New Roman" w:eastAsia="Times New Roman" w:cs="Times New Roman"/>
          <w:spacing w:val="-18"/>
          <w:sz w:val="24"/>
          <w:szCs w:val="24"/>
        </w:rPr>
        <w:t>K</w:t>
      </w:r>
      <w:r>
        <w:rPr>
          <w:rFonts w:ascii="Times New Roman" w:hAnsi="Times New Roman" w:eastAsia="Times New Roman" w:cs="Times New Roman"/>
          <w:spacing w:val="-3"/>
          <w:position w:val="-1"/>
          <w:sz w:val="15"/>
          <w:szCs w:val="15"/>
        </w:rPr>
        <w:t>yy</w:t>
      </w:r>
      <w:r>
        <w:rPr>
          <w:rFonts w:ascii="Times New Roman" w:hAnsi="Times New Roman" w:eastAsia="Times New Roman" w:cs="Times New Roman"/>
          <w:spacing w:val="15"/>
          <w:w w:val="101"/>
          <w:position w:val="-1"/>
          <w:sz w:val="15"/>
          <w:szCs w:val="15"/>
        </w:rPr>
        <w:t xml:space="preserve"> </w:t>
      </w:r>
      <w:r>
        <w:rPr>
          <w:rFonts w:ascii="宋体" w:hAnsi="宋体" w:eastAsia="宋体" w:cs="宋体"/>
          <w:spacing w:val="-3"/>
          <w:sz w:val="24"/>
          <w:szCs w:val="24"/>
        </w:rPr>
        <w:t>和</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K</w:t>
      </w:r>
      <w:r>
        <w:rPr>
          <w:rFonts w:ascii="Times New Roman" w:hAnsi="Times New Roman" w:eastAsia="Times New Roman" w:cs="Times New Roman"/>
          <w:spacing w:val="-3"/>
          <w:position w:val="-1"/>
          <w:sz w:val="15"/>
          <w:szCs w:val="15"/>
        </w:rPr>
        <w:t>zz</w:t>
      </w:r>
      <w:r>
        <w:rPr>
          <w:rFonts w:ascii="Times New Roman" w:hAnsi="Times New Roman" w:eastAsia="Times New Roman" w:cs="Times New Roman"/>
          <w:spacing w:val="14"/>
          <w:position w:val="-1"/>
          <w:sz w:val="15"/>
          <w:szCs w:val="15"/>
        </w:rPr>
        <w:t xml:space="preserve"> </w:t>
      </w:r>
      <w:r>
        <w:rPr>
          <w:rFonts w:ascii="宋体" w:hAnsi="宋体" w:eastAsia="宋体" w:cs="宋体"/>
          <w:spacing w:val="-3"/>
          <w:sz w:val="24"/>
          <w:szCs w:val="24"/>
        </w:rPr>
        <w:t>为渗透系数在</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x</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y </w:t>
      </w:r>
      <w:r>
        <w:rPr>
          <w:rFonts w:ascii="宋体" w:hAnsi="宋体" w:eastAsia="宋体" w:cs="宋体"/>
          <w:spacing w:val="-3"/>
          <w:sz w:val="24"/>
          <w:szCs w:val="24"/>
        </w:rPr>
        <w:t>和</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z </w:t>
      </w:r>
      <w:r>
        <w:rPr>
          <w:rFonts w:ascii="宋体" w:hAnsi="宋体" w:eastAsia="宋体" w:cs="宋体"/>
          <w:spacing w:val="-3"/>
          <w:sz w:val="24"/>
          <w:szCs w:val="24"/>
        </w:rPr>
        <w:t>方向上的分量。在这里，我们假定渗</w:t>
      </w:r>
      <w:r>
        <w:rPr>
          <w:rFonts w:ascii="宋体" w:hAnsi="宋体" w:eastAsia="宋体" w:cs="宋体"/>
          <w:sz w:val="24"/>
          <w:szCs w:val="24"/>
        </w:rPr>
        <w:t xml:space="preserve"> </w:t>
      </w:r>
      <w:r>
        <w:rPr>
          <w:rFonts w:ascii="宋体" w:hAnsi="宋体" w:eastAsia="宋体" w:cs="宋体"/>
          <w:spacing w:val="-2"/>
          <w:sz w:val="24"/>
          <w:szCs w:val="24"/>
        </w:rPr>
        <w:t>透系数的主轴方向与坐标轴方向一致，量纲为（</w:t>
      </w:r>
      <w:r>
        <w:rPr>
          <w:rFonts w:ascii="Times New Roman" w:hAnsi="Times New Roman" w:eastAsia="Times New Roman" w:cs="Times New Roman"/>
          <w:spacing w:val="-2"/>
          <w:sz w:val="24"/>
          <w:szCs w:val="24"/>
        </w:rPr>
        <w:t>LT</w:t>
      </w:r>
      <w:r>
        <w:rPr>
          <w:rFonts w:ascii="Times New Roman" w:hAnsi="Times New Roman" w:eastAsia="Times New Roman" w:cs="Times New Roman"/>
          <w:spacing w:val="-2"/>
          <w:position w:val="7"/>
          <w:sz w:val="15"/>
          <w:szCs w:val="15"/>
        </w:rPr>
        <w:t xml:space="preserve">-1 </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p>
    <w:p w14:paraId="1506FECC">
      <w:pPr>
        <w:spacing w:before="30" w:line="219" w:lineRule="auto"/>
        <w:ind w:left="425"/>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水头（</w:t>
      </w:r>
      <w:r>
        <w:rPr>
          <w:rFonts w:ascii="Times New Roman" w:hAnsi="Times New Roman" w:eastAsia="Times New Roman" w:cs="Times New Roman"/>
          <w:spacing w:val="-1"/>
          <w:sz w:val="24"/>
          <w:szCs w:val="24"/>
        </w:rPr>
        <w:t>L</w:t>
      </w:r>
      <w:r>
        <w:rPr>
          <w:rFonts w:ascii="宋体" w:hAnsi="宋体" w:eastAsia="宋体" w:cs="宋体"/>
          <w:sz w:val="24"/>
          <w:szCs w:val="24"/>
        </w:rPr>
        <w:t>）；</w:t>
      </w:r>
    </w:p>
    <w:p w14:paraId="04B3C7A9">
      <w:pPr>
        <w:spacing w:before="184" w:line="219" w:lineRule="auto"/>
        <w:ind w:left="427"/>
        <w:rPr>
          <w:rFonts w:ascii="宋体" w:hAnsi="宋体" w:eastAsia="宋体" w:cs="宋体"/>
          <w:sz w:val="24"/>
          <w:szCs w:val="24"/>
        </w:rPr>
      </w:pPr>
      <w:r>
        <w:rPr>
          <w:rFonts w:ascii="Times New Roman" w:hAnsi="Times New Roman" w:eastAsia="Times New Roman" w:cs="Times New Roman"/>
          <w:spacing w:val="-2"/>
          <w:sz w:val="24"/>
          <w:szCs w:val="24"/>
        </w:rPr>
        <w:t>W:</w:t>
      </w:r>
      <w:r>
        <w:rPr>
          <w:rFonts w:ascii="宋体" w:hAnsi="宋体" w:eastAsia="宋体" w:cs="宋体"/>
          <w:spacing w:val="-2"/>
          <w:sz w:val="24"/>
          <w:szCs w:val="24"/>
        </w:rPr>
        <w:t>单位体积流量（</w:t>
      </w:r>
      <w:r>
        <w:rPr>
          <w:rFonts w:ascii="Times New Roman" w:hAnsi="Times New Roman" w:eastAsia="Times New Roman" w:cs="Times New Roman"/>
          <w:spacing w:val="-2"/>
          <w:sz w:val="24"/>
          <w:szCs w:val="24"/>
        </w:rPr>
        <w:t>T-1</w:t>
      </w:r>
      <w:r>
        <w:rPr>
          <w:rFonts w:ascii="宋体" w:hAnsi="宋体" w:eastAsia="宋体" w:cs="宋体"/>
          <w:spacing w:val="8"/>
          <w:sz w:val="24"/>
          <w:szCs w:val="24"/>
        </w:rPr>
        <w:t>），</w:t>
      </w:r>
      <w:r>
        <w:rPr>
          <w:rFonts w:ascii="宋体" w:hAnsi="宋体" w:eastAsia="宋体" w:cs="宋体"/>
          <w:spacing w:val="-2"/>
          <w:sz w:val="24"/>
          <w:szCs w:val="24"/>
        </w:rPr>
        <w:t>用以代表流进汇或来自源的水量；</w:t>
      </w:r>
    </w:p>
    <w:p w14:paraId="620DD026">
      <w:pPr>
        <w:spacing w:before="183" w:line="212" w:lineRule="auto"/>
        <w:ind w:left="4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u</w:t>
      </w:r>
      <w:r>
        <w:rPr>
          <w:rFonts w:ascii="宋体" w:hAnsi="宋体" w:eastAsia="宋体" w:cs="宋体"/>
          <w:spacing w:val="-2"/>
          <w:sz w:val="24"/>
          <w:szCs w:val="24"/>
        </w:rPr>
        <w:t>：给水度（</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7"/>
          <w:sz w:val="15"/>
          <w:szCs w:val="15"/>
        </w:rPr>
        <w:t xml:space="preserve">-1 </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p>
    <w:p w14:paraId="49B43FCB">
      <w:pPr>
        <w:spacing w:before="193" w:line="221" w:lineRule="auto"/>
        <w:ind w:left="426"/>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时间（</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260446F4">
      <w:pPr>
        <w:spacing w:before="180" w:line="219" w:lineRule="auto"/>
        <w:ind w:left="432"/>
        <w:rPr>
          <w:rFonts w:ascii="宋体" w:hAnsi="宋体" w:eastAsia="宋体" w:cs="宋体"/>
          <w:sz w:val="24"/>
          <w:szCs w:val="24"/>
        </w:rPr>
      </w:pPr>
      <w:r>
        <w:rPr>
          <w:rFonts w:ascii="宋体" w:hAnsi="宋体" w:eastAsia="宋体" w:cs="宋体"/>
          <w:spacing w:val="-3"/>
          <w:sz w:val="24"/>
          <w:szCs w:val="24"/>
        </w:rPr>
        <w:t>边界条件</w:t>
      </w:r>
    </w:p>
    <w:p w14:paraId="09E501A2">
      <w:pPr>
        <w:spacing w:before="183" w:line="219" w:lineRule="auto"/>
        <w:ind w:left="433"/>
        <w:rPr>
          <w:rFonts w:ascii="宋体" w:hAnsi="宋体" w:eastAsia="宋体" w:cs="宋体"/>
          <w:sz w:val="24"/>
          <w:szCs w:val="24"/>
        </w:rPr>
      </w:pPr>
      <w:r>
        <w:rPr>
          <w:rFonts w:ascii="宋体" w:hAnsi="宋体" w:eastAsia="宋体" w:cs="宋体"/>
          <w:spacing w:val="-4"/>
          <w:sz w:val="24"/>
          <w:szCs w:val="24"/>
        </w:rPr>
        <w:t>第</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类边界（水头边界</w:t>
      </w:r>
      <w:r>
        <w:rPr>
          <w:rFonts w:ascii="宋体" w:hAnsi="宋体" w:eastAsia="宋体" w:cs="宋体"/>
          <w:spacing w:val="2"/>
          <w:sz w:val="24"/>
          <w:szCs w:val="24"/>
        </w:rPr>
        <w:t>）：</w:t>
      </w:r>
    </w:p>
    <w:p w14:paraId="2658D76A">
      <w:pPr>
        <w:spacing w:before="140" w:line="323" w:lineRule="exact"/>
        <w:ind w:left="425"/>
        <w:rPr>
          <w:rFonts w:ascii="Times New Roman" w:hAnsi="Times New Roman" w:eastAsia="Times New Roman" w:cs="Times New Roman"/>
          <w:sz w:val="15"/>
          <w:szCs w:val="15"/>
        </w:rPr>
      </w:pPr>
      <w:r>
        <w:rPr>
          <w:rFonts w:ascii="Times New Roman" w:hAnsi="Times New Roman" w:eastAsia="Times New Roman" w:cs="Times New Roman"/>
          <w:spacing w:val="-106"/>
          <w:w w:val="95"/>
          <w:position w:val="2"/>
          <w:sz w:val="24"/>
          <w:szCs w:val="24"/>
        </w:rPr>
        <w:t>h</w:t>
      </w:r>
      <w:r>
        <w:rPr>
          <w:rFonts w:ascii="Times New Roman" w:hAnsi="Times New Roman" w:eastAsia="Times New Roman" w:cs="Times New Roman"/>
          <w:spacing w:val="51"/>
          <w:position w:val="2"/>
          <w:sz w:val="24"/>
          <w:szCs w:val="24"/>
        </w:rPr>
        <w:t xml:space="preserve"> </w:t>
      </w:r>
      <w:r>
        <w:rPr>
          <w:rFonts w:ascii="宋体" w:hAnsi="宋体" w:eastAsia="宋体" w:cs="宋体"/>
          <w:spacing w:val="-106"/>
          <w:w w:val="95"/>
          <w:position w:val="2"/>
          <w:sz w:val="24"/>
          <w:szCs w:val="24"/>
        </w:rPr>
        <w:t>︱</w:t>
      </w:r>
      <w:r>
        <w:rPr>
          <w:rFonts w:ascii="宋体" w:hAnsi="宋体" w:eastAsia="宋体" w:cs="宋体"/>
          <w:spacing w:val="-1"/>
          <w:position w:val="2"/>
          <w:sz w:val="24"/>
          <w:szCs w:val="24"/>
        </w:rPr>
        <w:t xml:space="preserve"> </w:t>
      </w:r>
      <w:r>
        <w:rPr>
          <w:rFonts w:ascii="Times New Roman" w:hAnsi="Times New Roman" w:eastAsia="Times New Roman" w:cs="Times New Roman"/>
          <w:position w:val="1"/>
          <w:sz w:val="15"/>
          <w:szCs w:val="15"/>
        </w:rPr>
        <w:t>Γ1</w:t>
      </w:r>
      <w:r>
        <w:rPr>
          <w:rFonts w:ascii="Times New Roman" w:hAnsi="Times New Roman" w:eastAsia="Times New Roman" w:cs="Times New Roman"/>
          <w:position w:val="2"/>
          <w:sz w:val="24"/>
          <w:szCs w:val="24"/>
        </w:rPr>
        <w:t>=h</w:t>
      </w:r>
      <w:r>
        <w:rPr>
          <w:rFonts w:ascii="Times New Roman" w:hAnsi="Times New Roman" w:eastAsia="Times New Roman" w:cs="Times New Roman"/>
          <w:position w:val="1"/>
          <w:sz w:val="15"/>
          <w:szCs w:val="15"/>
        </w:rPr>
        <w:t>1</w:t>
      </w:r>
      <w:r>
        <w:rPr>
          <w:rFonts w:ascii="Times New Roman" w:hAnsi="Times New Roman" w:eastAsia="Times New Roman" w:cs="Times New Roman"/>
          <w:position w:val="2"/>
          <w:sz w:val="24"/>
          <w:szCs w:val="24"/>
        </w:rPr>
        <w:t xml:space="preserve">(x,y,z)             </w:t>
      </w:r>
      <w:r>
        <w:rPr>
          <w:rFonts w:ascii="Times New Roman" w:hAnsi="Times New Roman" w:eastAsia="Times New Roman" w:cs="Times New Roman"/>
          <w:spacing w:val="-1"/>
          <w:position w:val="2"/>
          <w:sz w:val="24"/>
          <w:szCs w:val="24"/>
        </w:rPr>
        <w:t xml:space="preserve">             (x,y,z)</w:t>
      </w:r>
      <w:r>
        <w:rPr>
          <w:rFonts w:ascii="宋体" w:hAnsi="宋体" w:eastAsia="宋体" w:cs="宋体"/>
          <w:spacing w:val="-1"/>
          <w:position w:val="2"/>
          <w:sz w:val="24"/>
          <w:szCs w:val="24"/>
        </w:rPr>
        <w:t>∈</w:t>
      </w:r>
      <w:r>
        <w:rPr>
          <w:rFonts w:ascii="Times New Roman" w:hAnsi="Times New Roman" w:eastAsia="Times New Roman" w:cs="Times New Roman"/>
          <w:spacing w:val="-1"/>
          <w:position w:val="2"/>
          <w:sz w:val="24"/>
          <w:szCs w:val="24"/>
        </w:rPr>
        <w:t>Γ</w:t>
      </w:r>
      <w:r>
        <w:rPr>
          <w:rFonts w:ascii="Times New Roman" w:hAnsi="Times New Roman" w:eastAsia="Times New Roman" w:cs="Times New Roman"/>
          <w:spacing w:val="-1"/>
          <w:position w:val="1"/>
          <w:sz w:val="15"/>
          <w:szCs w:val="15"/>
        </w:rPr>
        <w:t>1</w:t>
      </w:r>
    </w:p>
    <w:p w14:paraId="516A48B7">
      <w:pPr>
        <w:spacing w:before="189" w:line="219" w:lineRule="auto"/>
        <w:ind w:left="433"/>
        <w:rPr>
          <w:rFonts w:ascii="Times New Roman" w:hAnsi="Times New Roman" w:eastAsia="Times New Roman" w:cs="Times New Roman"/>
          <w:sz w:val="24"/>
          <w:szCs w:val="24"/>
        </w:rPr>
      </w:pPr>
      <w:r>
        <w:rPr>
          <w:rFonts w:ascii="宋体" w:hAnsi="宋体" w:eastAsia="宋体" w:cs="宋体"/>
          <w:sz w:val="24"/>
          <w:szCs w:val="24"/>
        </w:rPr>
        <w:t>第</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类边界（流量边界）</w:t>
      </w:r>
      <w:r>
        <w:rPr>
          <w:rFonts w:ascii="Times New Roman" w:hAnsi="Times New Roman" w:eastAsia="Times New Roman" w:cs="Times New Roman"/>
          <w:sz w:val="24"/>
          <w:szCs w:val="24"/>
        </w:rPr>
        <w:t>:</w:t>
      </w:r>
    </w:p>
    <w:p w14:paraId="590274FB">
      <w:pPr>
        <w:spacing w:before="133"/>
        <w:ind w:left="428"/>
        <w:rPr>
          <w:rFonts w:ascii="Times New Roman" w:hAnsi="Times New Roman" w:eastAsia="Times New Roman" w:cs="Times New Roman"/>
          <w:sz w:val="15"/>
          <w:szCs w:val="15"/>
        </w:rPr>
      </w:pPr>
      <w:r>
        <w:rPr>
          <w:rFonts w:ascii="宋体" w:hAnsi="宋体" w:eastAsia="宋体" w:cs="宋体"/>
          <w:position w:val="-15"/>
          <w:sz w:val="24"/>
          <w:szCs w:val="24"/>
        </w:rPr>
        <w:drawing>
          <wp:inline distT="0" distB="0" distL="0" distR="0">
            <wp:extent cx="259080" cy="31369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03"/>
                    <a:stretch>
                      <a:fillRect/>
                    </a:stretch>
                  </pic:blipFill>
                  <pic:spPr>
                    <a:xfrm>
                      <a:off x="0" y="0"/>
                      <a:ext cx="259537" cy="313944"/>
                    </a:xfrm>
                    <a:prstGeom prst="rect">
                      <a:avLst/>
                    </a:prstGeom>
                  </pic:spPr>
                </pic:pic>
              </a:graphicData>
            </a:graphic>
          </wp:inline>
        </w:drawing>
      </w:r>
      <w:r>
        <w:rPr>
          <w:rFonts w:ascii="宋体" w:hAnsi="宋体" w:eastAsia="宋体" w:cs="宋体"/>
          <w:spacing w:val="-2"/>
          <w:sz w:val="24"/>
          <w:szCs w:val="24"/>
        </w:rPr>
        <w:t xml:space="preserve"> </w:t>
      </w:r>
      <w:r>
        <w:rPr>
          <w:rFonts w:ascii="宋体" w:hAnsi="宋体" w:eastAsia="宋体" w:cs="宋体"/>
          <w:spacing w:val="-146"/>
          <w:w w:val="66"/>
          <w:sz w:val="24"/>
          <w:szCs w:val="24"/>
        </w:rPr>
        <w:t>︱</w:t>
      </w:r>
      <w:r>
        <w:rPr>
          <w:rFonts w:ascii="宋体" w:hAnsi="宋体" w:eastAsia="宋体" w:cs="宋体"/>
          <w:spacing w:val="-1"/>
          <w:sz w:val="24"/>
          <w:szCs w:val="24"/>
        </w:rPr>
        <w:t xml:space="preserve"> </w:t>
      </w:r>
      <w:r>
        <w:rPr>
          <w:rFonts w:ascii="Times New Roman" w:hAnsi="Times New Roman" w:eastAsia="Times New Roman" w:cs="Times New Roman"/>
          <w:spacing w:val="-3"/>
          <w:position w:val="-1"/>
          <w:sz w:val="15"/>
          <w:szCs w:val="15"/>
        </w:rPr>
        <w:t>Γ2</w:t>
      </w:r>
      <w:r>
        <w:rPr>
          <w:rFonts w:ascii="Times New Roman" w:hAnsi="Times New Roman" w:eastAsia="Times New Roman" w:cs="Times New Roman"/>
          <w:spacing w:val="-3"/>
          <w:sz w:val="24"/>
          <w:szCs w:val="24"/>
        </w:rPr>
        <w:t>=q(x,y,z)                         (x,y,z)</w:t>
      </w:r>
      <w:r>
        <w:rPr>
          <w:rFonts w:ascii="Times New Roman" w:hAnsi="Times New Roman" w:eastAsia="Times New Roman" w:cs="Times New Roman"/>
          <w:spacing w:val="45"/>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Γ</w:t>
      </w:r>
      <w:r>
        <w:rPr>
          <w:rFonts w:ascii="Times New Roman" w:hAnsi="Times New Roman" w:eastAsia="Times New Roman" w:cs="Times New Roman"/>
          <w:spacing w:val="-3"/>
          <w:position w:val="-1"/>
          <w:sz w:val="15"/>
          <w:szCs w:val="15"/>
        </w:rPr>
        <w:t>2</w:t>
      </w:r>
    </w:p>
    <w:p w14:paraId="65AEFFBE">
      <w:pPr>
        <w:spacing w:before="180" w:line="219" w:lineRule="auto"/>
        <w:ind w:left="433"/>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类边界（混合边界</w:t>
      </w:r>
      <w:r>
        <w:rPr>
          <w:rFonts w:ascii="宋体" w:hAnsi="宋体" w:eastAsia="宋体" w:cs="宋体"/>
          <w:sz w:val="24"/>
          <w:szCs w:val="24"/>
        </w:rPr>
        <w:t>）：</w:t>
      </w:r>
    </w:p>
    <w:p w14:paraId="6742EFC2">
      <w:pPr>
        <w:spacing w:before="122"/>
        <w:ind w:left="432"/>
        <w:rPr>
          <w:rFonts w:ascii="Times New Roman" w:hAnsi="Times New Roman" w:eastAsia="Times New Roman" w:cs="Times New Roman"/>
          <w:sz w:val="15"/>
          <w:szCs w:val="15"/>
        </w:rPr>
      </w:pPr>
      <w:r>
        <w:rPr>
          <w:rFonts w:ascii="Times New Roman" w:hAnsi="Times New Roman" w:eastAsia="Times New Roman" w:cs="Times New Roman"/>
          <w:spacing w:val="-28"/>
          <w:sz w:val="24"/>
          <w:szCs w:val="24"/>
        </w:rPr>
        <w:t>q(x,y,z)</w:t>
      </w:r>
      <w:r>
        <w:rPr>
          <w:rFonts w:ascii="Times New Roman" w:hAnsi="Times New Roman" w:eastAsia="Times New Roman" w:cs="Times New Roman"/>
          <w:spacing w:val="47"/>
          <w:sz w:val="24"/>
          <w:szCs w:val="24"/>
        </w:rPr>
        <w:t xml:space="preserve"> </w:t>
      </w:r>
      <w:r>
        <w:rPr>
          <w:rFonts w:ascii="宋体" w:hAnsi="宋体" w:eastAsia="宋体" w:cs="宋体"/>
          <w:spacing w:val="-28"/>
          <w:sz w:val="24"/>
          <w:szCs w:val="24"/>
        </w:rPr>
        <w:t>︱</w:t>
      </w:r>
      <w:r>
        <w:rPr>
          <w:rFonts w:ascii="宋体" w:hAnsi="宋体" w:eastAsia="宋体" w:cs="宋体"/>
          <w:spacing w:val="-1"/>
          <w:sz w:val="24"/>
          <w:szCs w:val="24"/>
        </w:rPr>
        <w:t xml:space="preserve"> </w:t>
      </w:r>
      <w:r>
        <w:rPr>
          <w:rFonts w:ascii="Times New Roman" w:hAnsi="Times New Roman" w:eastAsia="Times New Roman" w:cs="Times New Roman"/>
          <w:spacing w:val="-2"/>
          <w:position w:val="-1"/>
          <w:sz w:val="15"/>
          <w:szCs w:val="15"/>
        </w:rPr>
        <w:t>Γ3</w:t>
      </w:r>
      <w:r>
        <w:rPr>
          <w:rFonts w:ascii="Times New Roman" w:hAnsi="Times New Roman" w:eastAsia="Times New Roman" w:cs="Times New Roman"/>
          <w:spacing w:val="-2"/>
          <w:sz w:val="24"/>
          <w:szCs w:val="24"/>
        </w:rPr>
        <w:t xml:space="preserve">=  </w:t>
      </w:r>
      <w:r>
        <w:rPr>
          <w:position w:val="-15"/>
          <w:sz w:val="24"/>
          <w:szCs w:val="24"/>
        </w:rPr>
        <w:drawing>
          <wp:inline distT="0" distB="0" distL="0" distR="0">
            <wp:extent cx="533400" cy="3016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04"/>
                    <a:stretch>
                      <a:fillRect/>
                    </a:stretch>
                  </pic:blipFill>
                  <pic:spPr>
                    <a:xfrm>
                      <a:off x="0" y="0"/>
                      <a:ext cx="533400" cy="301752"/>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(x,y,z)</w:t>
      </w:r>
      <w:r>
        <w:rPr>
          <w:rFonts w:ascii="Times New Roman" w:hAnsi="Times New Roman" w:eastAsia="Times New Roman" w:cs="Times New Roman"/>
          <w:spacing w:val="54"/>
          <w:sz w:val="24"/>
          <w:szCs w:val="24"/>
        </w:rPr>
        <w:t xml:space="preserve"> </w:t>
      </w:r>
      <w:r>
        <w:rPr>
          <w:rFonts w:ascii="宋体" w:hAnsi="宋体" w:eastAsia="宋体" w:cs="宋体"/>
          <w:spacing w:val="-20"/>
          <w:sz w:val="24"/>
          <w:szCs w:val="24"/>
        </w:rPr>
        <w:t>∈</w:t>
      </w:r>
      <w:r>
        <w:rPr>
          <w:rFonts w:ascii="Times New Roman" w:hAnsi="Times New Roman" w:eastAsia="Times New Roman" w:cs="Times New Roman"/>
          <w:spacing w:val="-20"/>
          <w:sz w:val="24"/>
          <w:szCs w:val="24"/>
        </w:rPr>
        <w:t>Γ</w:t>
      </w:r>
      <w:r>
        <w:rPr>
          <w:rFonts w:ascii="Times New Roman" w:hAnsi="Times New Roman" w:eastAsia="Times New Roman" w:cs="Times New Roman"/>
          <w:spacing w:val="2"/>
          <w:position w:val="-1"/>
          <w:sz w:val="15"/>
          <w:szCs w:val="15"/>
        </w:rPr>
        <w:t>3</w:t>
      </w:r>
    </w:p>
    <w:p w14:paraId="448BF7F5">
      <w:pPr>
        <w:rPr>
          <w:rFonts w:ascii="Times New Roman" w:hAnsi="Times New Roman" w:eastAsia="Times New Roman" w:cs="Times New Roman"/>
          <w:sz w:val="15"/>
          <w:szCs w:val="15"/>
        </w:rPr>
        <w:sectPr>
          <w:headerReference r:id="rId273" w:type="default"/>
          <w:footerReference r:id="rId274" w:type="default"/>
          <w:pgSz w:w="11906" w:h="16839"/>
          <w:pgMar w:top="1208" w:right="1618" w:bottom="1358" w:left="1785" w:header="825" w:footer="1195" w:gutter="0"/>
          <w:cols w:space="720" w:num="1"/>
        </w:sectPr>
      </w:pPr>
    </w:p>
    <w:p w14:paraId="0CBD0293">
      <w:pPr>
        <w:pStyle w:val="2"/>
        <w:spacing w:line="265" w:lineRule="auto"/>
      </w:pPr>
    </w:p>
    <w:p w14:paraId="4F99F5E6">
      <w:pPr>
        <w:spacing w:before="78" w:line="212" w:lineRule="auto"/>
        <w:ind w:left="438"/>
        <w:rPr>
          <w:rFonts w:ascii="宋体" w:hAnsi="宋体" w:eastAsia="宋体" w:cs="宋体"/>
          <w:sz w:val="24"/>
          <w:szCs w:val="24"/>
        </w:rPr>
      </w:pPr>
      <w:r>
        <w:rPr>
          <w:rFonts w:ascii="宋体" w:hAnsi="宋体" w:eastAsia="宋体" w:cs="宋体"/>
          <w:spacing w:val="-2"/>
          <w:sz w:val="24"/>
          <w:szCs w:val="24"/>
        </w:rPr>
        <w:t>式中</w:t>
      </w:r>
      <w:r>
        <w:rPr>
          <w:rFonts w:ascii="Times New Roman" w:hAnsi="Times New Roman" w:eastAsia="Times New Roman" w:cs="Times New Roman"/>
          <w:spacing w:val="-2"/>
          <w:sz w:val="24"/>
          <w:szCs w:val="24"/>
        </w:rPr>
        <w:t>Γ</w:t>
      </w:r>
      <w:r>
        <w:rPr>
          <w:rFonts w:ascii="Times New Roman" w:hAnsi="Times New Roman" w:eastAsia="Times New Roman" w:cs="Times New Roman"/>
          <w:spacing w:val="-2"/>
          <w:position w:val="-1"/>
          <w:sz w:val="15"/>
          <w:szCs w:val="15"/>
        </w:rPr>
        <w:t>1</w:t>
      </w:r>
      <w:r>
        <w:rPr>
          <w:rFonts w:ascii="Times New Roman" w:hAnsi="Times New Roman" w:eastAsia="Times New Roman" w:cs="Times New Roman"/>
          <w:spacing w:val="-2"/>
          <w:sz w:val="24"/>
          <w:szCs w:val="24"/>
        </w:rPr>
        <w:t>, Γ</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 Γ</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16"/>
          <w:w w:val="101"/>
          <w:position w:val="-1"/>
          <w:sz w:val="15"/>
          <w:szCs w:val="15"/>
        </w:rPr>
        <w:t xml:space="preserve"> </w:t>
      </w:r>
      <w:r>
        <w:rPr>
          <w:rFonts w:ascii="宋体" w:hAnsi="宋体" w:eastAsia="宋体" w:cs="宋体"/>
          <w:spacing w:val="-2"/>
          <w:sz w:val="24"/>
          <w:szCs w:val="24"/>
        </w:rPr>
        <w:t>分别表示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1,2,3 </w:t>
      </w:r>
      <w:r>
        <w:rPr>
          <w:rFonts w:ascii="宋体" w:hAnsi="宋体" w:eastAsia="宋体" w:cs="宋体"/>
          <w:spacing w:val="-2"/>
          <w:sz w:val="24"/>
          <w:szCs w:val="24"/>
        </w:rPr>
        <w:t>类边界。</w:t>
      </w:r>
    </w:p>
    <w:p w14:paraId="3CB9FA7E">
      <w:pPr>
        <w:spacing w:before="192" w:line="219" w:lineRule="auto"/>
        <w:ind w:left="432"/>
        <w:rPr>
          <w:rFonts w:ascii="宋体" w:hAnsi="宋体" w:eastAsia="宋体" w:cs="宋体"/>
          <w:sz w:val="24"/>
          <w:szCs w:val="24"/>
        </w:rPr>
      </w:pPr>
      <w:r>
        <w:rPr>
          <w:rFonts w:ascii="宋体" w:hAnsi="宋体" w:eastAsia="宋体" w:cs="宋体"/>
          <w:spacing w:val="-3"/>
          <w:sz w:val="24"/>
          <w:szCs w:val="24"/>
        </w:rPr>
        <w:t>初始条件</w:t>
      </w:r>
    </w:p>
    <w:p w14:paraId="244C116C">
      <w:pPr>
        <w:spacing w:before="139" w:line="323" w:lineRule="exact"/>
        <w:ind w:left="425"/>
        <w:rPr>
          <w:rFonts w:ascii="Times New Roman" w:hAnsi="Times New Roman" w:eastAsia="Times New Roman" w:cs="Times New Roman"/>
          <w:sz w:val="24"/>
          <w:szCs w:val="24"/>
        </w:rPr>
      </w:pPr>
      <w:r>
        <w:rPr>
          <w:rFonts w:ascii="Times New Roman" w:hAnsi="Times New Roman" w:eastAsia="Times New Roman" w:cs="Times New Roman"/>
          <w:spacing w:val="-106"/>
          <w:w w:val="95"/>
          <w:position w:val="2"/>
          <w:sz w:val="24"/>
          <w:szCs w:val="24"/>
        </w:rPr>
        <w:t>h</w:t>
      </w:r>
      <w:r>
        <w:rPr>
          <w:rFonts w:ascii="Times New Roman" w:hAnsi="Times New Roman" w:eastAsia="Times New Roman" w:cs="Times New Roman"/>
          <w:spacing w:val="57"/>
          <w:position w:val="2"/>
          <w:sz w:val="24"/>
          <w:szCs w:val="24"/>
        </w:rPr>
        <w:t xml:space="preserve"> </w:t>
      </w:r>
      <w:r>
        <w:rPr>
          <w:rFonts w:ascii="宋体" w:hAnsi="宋体" w:eastAsia="宋体" w:cs="宋体"/>
          <w:spacing w:val="-106"/>
          <w:w w:val="95"/>
          <w:position w:val="2"/>
          <w:sz w:val="24"/>
          <w:szCs w:val="24"/>
        </w:rPr>
        <w:t>︱</w:t>
      </w:r>
      <w:r>
        <w:rPr>
          <w:rFonts w:ascii="宋体" w:hAnsi="宋体" w:eastAsia="宋体" w:cs="宋体"/>
          <w:spacing w:val="-2"/>
          <w:position w:val="2"/>
          <w:sz w:val="24"/>
          <w:szCs w:val="24"/>
        </w:rPr>
        <w:t xml:space="preserve"> </w:t>
      </w:r>
      <w:r>
        <w:rPr>
          <w:rFonts w:ascii="Times New Roman" w:hAnsi="Times New Roman" w:eastAsia="Times New Roman" w:cs="Times New Roman"/>
          <w:spacing w:val="-1"/>
          <w:position w:val="1"/>
          <w:sz w:val="15"/>
          <w:szCs w:val="15"/>
        </w:rPr>
        <w:t>t=0</w:t>
      </w:r>
      <w:r>
        <w:rPr>
          <w:rFonts w:ascii="Times New Roman" w:hAnsi="Times New Roman" w:eastAsia="Times New Roman" w:cs="Times New Roman"/>
          <w:spacing w:val="-1"/>
          <w:position w:val="2"/>
          <w:sz w:val="24"/>
          <w:szCs w:val="24"/>
        </w:rPr>
        <w:t>=h</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
          <w:position w:val="2"/>
          <w:sz w:val="24"/>
          <w:szCs w:val="24"/>
        </w:rPr>
        <w:t>(x,y,z)</w:t>
      </w:r>
    </w:p>
    <w:p w14:paraId="70849761">
      <w:pPr>
        <w:spacing w:before="188" w:line="217" w:lineRule="auto"/>
        <w:ind w:left="501"/>
        <w:rPr>
          <w:rFonts w:ascii="宋体" w:hAnsi="宋体" w:eastAsia="宋体" w:cs="宋体"/>
          <w:sz w:val="24"/>
          <w:szCs w:val="24"/>
        </w:rPr>
      </w:pPr>
      <w:r>
        <w:rPr>
          <w:rFonts w:ascii="宋体" w:hAnsi="宋体" w:eastAsia="宋体" w:cs="宋体"/>
          <w:spacing w:val="-2"/>
          <w:sz w:val="24"/>
          <w:szCs w:val="24"/>
        </w:rPr>
        <w:t>②预测范围</w:t>
      </w:r>
    </w:p>
    <w:p w14:paraId="00B22042">
      <w:pPr>
        <w:spacing w:before="186" w:line="338" w:lineRule="auto"/>
        <w:ind w:left="26" w:right="13" w:firstLine="477"/>
        <w:rPr>
          <w:rFonts w:ascii="宋体" w:hAnsi="宋体" w:eastAsia="宋体" w:cs="宋体"/>
          <w:sz w:val="24"/>
          <w:szCs w:val="24"/>
        </w:rPr>
      </w:pPr>
      <w:r>
        <w:rPr>
          <w:rFonts w:ascii="宋体" w:hAnsi="宋体" w:eastAsia="宋体" w:cs="宋体"/>
          <w:spacing w:val="-2"/>
          <w:sz w:val="24"/>
          <w:szCs w:val="24"/>
        </w:rPr>
        <w:t>地下水环境影响预测范围为本次评价区范围，面积</w:t>
      </w:r>
      <w:r>
        <w:rPr>
          <w:rFonts w:ascii="Times New Roman" w:hAnsi="Times New Roman" w:eastAsia="Times New Roman" w:cs="Times New Roman"/>
          <w:spacing w:val="-2"/>
          <w:sz w:val="24"/>
          <w:szCs w:val="24"/>
        </w:rPr>
        <w:t>53.78km</w:t>
      </w:r>
      <w:r>
        <w:rPr>
          <w:rFonts w:ascii="Times New Roman" w:hAnsi="Times New Roman" w:eastAsia="Times New Roman" w:cs="Times New Roman"/>
          <w:spacing w:val="-2"/>
          <w:position w:val="7"/>
          <w:sz w:val="15"/>
          <w:szCs w:val="15"/>
        </w:rPr>
        <w:t>2</w:t>
      </w:r>
      <w:r>
        <w:rPr>
          <w:rFonts w:ascii="宋体" w:hAnsi="宋体" w:eastAsia="宋体" w:cs="宋体"/>
          <w:spacing w:val="-2"/>
          <w:sz w:val="24"/>
          <w:szCs w:val="24"/>
        </w:rPr>
        <w:t>，见预测范围剖</w:t>
      </w:r>
      <w:r>
        <w:rPr>
          <w:rFonts w:ascii="宋体" w:hAnsi="宋体" w:eastAsia="宋体" w:cs="宋体"/>
          <w:spacing w:val="8"/>
          <w:sz w:val="24"/>
          <w:szCs w:val="24"/>
        </w:rPr>
        <w:t xml:space="preserve"> </w:t>
      </w:r>
      <w:r>
        <w:rPr>
          <w:rFonts w:ascii="宋体" w:hAnsi="宋体" w:eastAsia="宋体" w:cs="宋体"/>
          <w:spacing w:val="-2"/>
          <w:sz w:val="24"/>
          <w:szCs w:val="24"/>
        </w:rPr>
        <w:t>分图（图</w:t>
      </w:r>
      <w:r>
        <w:rPr>
          <w:rFonts w:ascii="Times New Roman" w:hAnsi="Times New Roman" w:eastAsia="Times New Roman" w:cs="Times New Roman"/>
          <w:spacing w:val="-2"/>
          <w:sz w:val="24"/>
          <w:szCs w:val="24"/>
        </w:rPr>
        <w:t>8.2-7</w:t>
      </w:r>
      <w:r>
        <w:rPr>
          <w:rFonts w:ascii="宋体" w:hAnsi="宋体" w:eastAsia="宋体" w:cs="宋体"/>
          <w:spacing w:val="-2"/>
          <w:sz w:val="24"/>
          <w:szCs w:val="24"/>
        </w:rPr>
        <w:t>）。</w:t>
      </w:r>
    </w:p>
    <w:p w14:paraId="60912999">
      <w:pPr>
        <w:spacing w:line="8307" w:lineRule="exact"/>
        <w:ind w:firstLine="14"/>
      </w:pPr>
      <w:r>
        <w:rPr>
          <w:position w:val="-166"/>
        </w:rPr>
        <w:drawing>
          <wp:inline distT="0" distB="0" distL="0" distR="0">
            <wp:extent cx="5274310" cy="527431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05"/>
                    <a:stretch>
                      <a:fillRect/>
                    </a:stretch>
                  </pic:blipFill>
                  <pic:spPr>
                    <a:xfrm>
                      <a:off x="0" y="0"/>
                      <a:ext cx="5274563" cy="5274563"/>
                    </a:xfrm>
                    <a:prstGeom prst="rect">
                      <a:avLst/>
                    </a:prstGeom>
                  </pic:spPr>
                </pic:pic>
              </a:graphicData>
            </a:graphic>
          </wp:inline>
        </w:drawing>
      </w:r>
    </w:p>
    <w:p w14:paraId="3FFB5B23">
      <w:pPr>
        <w:spacing w:before="174" w:line="220" w:lineRule="auto"/>
        <w:ind w:left="3140"/>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 xml:space="preserve">8.2-7  </w:t>
      </w:r>
      <w:r>
        <w:rPr>
          <w:rFonts w:ascii="宋体" w:hAnsi="宋体" w:eastAsia="宋体" w:cs="宋体"/>
          <w:spacing w:val="-4"/>
          <w:sz w:val="24"/>
          <w:szCs w:val="24"/>
        </w:rPr>
        <w:t>预测范围剖分图</w:t>
      </w:r>
    </w:p>
    <w:p w14:paraId="73925F7B">
      <w:pPr>
        <w:spacing w:before="182" w:line="217" w:lineRule="auto"/>
        <w:ind w:left="501"/>
        <w:rPr>
          <w:rFonts w:ascii="宋体" w:hAnsi="宋体" w:eastAsia="宋体" w:cs="宋体"/>
          <w:sz w:val="24"/>
          <w:szCs w:val="24"/>
        </w:rPr>
      </w:pPr>
      <w:r>
        <w:rPr>
          <w:rFonts w:ascii="宋体" w:hAnsi="宋体" w:eastAsia="宋体" w:cs="宋体"/>
          <w:spacing w:val="-2"/>
          <w:sz w:val="24"/>
          <w:szCs w:val="24"/>
        </w:rPr>
        <w:t>③预测层位</w:t>
      </w:r>
    </w:p>
    <w:p w14:paraId="2D6A1968">
      <w:pPr>
        <w:spacing w:before="187" w:line="361" w:lineRule="auto"/>
        <w:ind w:left="22" w:right="13" w:firstLine="480"/>
        <w:rPr>
          <w:rFonts w:ascii="宋体" w:hAnsi="宋体" w:eastAsia="宋体" w:cs="宋体"/>
          <w:sz w:val="24"/>
          <w:szCs w:val="24"/>
        </w:rPr>
      </w:pPr>
      <w:r>
        <w:rPr>
          <w:rFonts w:ascii="宋体" w:hAnsi="宋体" w:eastAsia="宋体" w:cs="宋体"/>
          <w:spacing w:val="-3"/>
          <w:sz w:val="24"/>
          <w:szCs w:val="24"/>
        </w:rPr>
        <w:t>根据水文地质条件分析，预测层位为评价区内的第四系松散岩类</w:t>
      </w:r>
      <w:r>
        <w:rPr>
          <w:rFonts w:ascii="宋体" w:hAnsi="宋体" w:eastAsia="宋体" w:cs="宋体"/>
          <w:spacing w:val="-4"/>
          <w:sz w:val="24"/>
          <w:szCs w:val="24"/>
        </w:rPr>
        <w:t>孔隙水、基</w:t>
      </w:r>
      <w:r>
        <w:rPr>
          <w:rFonts w:ascii="宋体" w:hAnsi="宋体" w:eastAsia="宋体" w:cs="宋体"/>
          <w:sz w:val="24"/>
          <w:szCs w:val="24"/>
        </w:rPr>
        <w:t xml:space="preserve"> </w:t>
      </w:r>
      <w:r>
        <w:rPr>
          <w:rFonts w:ascii="宋体" w:hAnsi="宋体" w:eastAsia="宋体" w:cs="宋体"/>
          <w:spacing w:val="-3"/>
          <w:sz w:val="24"/>
          <w:szCs w:val="24"/>
        </w:rPr>
        <w:t>岩裂隙水，评价区西侧下部为碎屑岩类孔隙裂隙水，由于具有承压性质，本项目</w:t>
      </w:r>
      <w:r>
        <w:rPr>
          <w:rFonts w:ascii="宋体" w:hAnsi="宋体" w:eastAsia="宋体" w:cs="宋体"/>
          <w:spacing w:val="1"/>
          <w:sz w:val="24"/>
          <w:szCs w:val="24"/>
        </w:rPr>
        <w:t xml:space="preserve"> </w:t>
      </w:r>
      <w:r>
        <w:rPr>
          <w:rFonts w:ascii="宋体" w:hAnsi="宋体" w:eastAsia="宋体" w:cs="宋体"/>
          <w:spacing w:val="-1"/>
          <w:sz w:val="24"/>
          <w:szCs w:val="24"/>
        </w:rPr>
        <w:t>对其影响可能性较小，不作为目标预测层位。</w:t>
      </w:r>
    </w:p>
    <w:p w14:paraId="70381A04">
      <w:pPr>
        <w:spacing w:line="361" w:lineRule="auto"/>
        <w:rPr>
          <w:rFonts w:ascii="宋体" w:hAnsi="宋体" w:eastAsia="宋体" w:cs="宋体"/>
          <w:sz w:val="24"/>
          <w:szCs w:val="24"/>
        </w:rPr>
        <w:sectPr>
          <w:headerReference r:id="rId275" w:type="default"/>
          <w:footerReference r:id="rId276" w:type="default"/>
          <w:pgSz w:w="11906" w:h="16839"/>
          <w:pgMar w:top="1208" w:right="1785" w:bottom="1358" w:left="1785" w:header="825" w:footer="1195" w:gutter="0"/>
          <w:cols w:space="720" w:num="1"/>
        </w:sectPr>
      </w:pPr>
    </w:p>
    <w:p w14:paraId="225EEFF9">
      <w:pPr>
        <w:pStyle w:val="2"/>
        <w:spacing w:line="265" w:lineRule="auto"/>
      </w:pPr>
    </w:p>
    <w:p w14:paraId="7CC75AEB">
      <w:pPr>
        <w:spacing w:before="78" w:line="217" w:lineRule="auto"/>
        <w:ind w:left="600"/>
        <w:rPr>
          <w:rFonts w:ascii="宋体" w:hAnsi="宋体" w:eastAsia="宋体" w:cs="宋体"/>
          <w:sz w:val="24"/>
          <w:szCs w:val="24"/>
        </w:rPr>
      </w:pPr>
      <w:r>
        <w:rPr>
          <w:rFonts w:ascii="宋体" w:hAnsi="宋体" w:eastAsia="宋体" w:cs="宋体"/>
          <w:spacing w:val="-2"/>
          <w:sz w:val="24"/>
          <w:szCs w:val="24"/>
        </w:rPr>
        <w:t>④预测模型概化</w:t>
      </w:r>
    </w:p>
    <w:p w14:paraId="647DD8A9">
      <w:pPr>
        <w:spacing w:before="185" w:line="360" w:lineRule="auto"/>
        <w:ind w:left="123" w:right="77" w:firstLine="496"/>
        <w:rPr>
          <w:rFonts w:ascii="宋体" w:hAnsi="宋体" w:eastAsia="宋体" w:cs="宋体"/>
          <w:sz w:val="24"/>
          <w:szCs w:val="24"/>
        </w:rPr>
      </w:pPr>
      <w:r>
        <w:rPr>
          <w:rFonts w:ascii="宋体" w:hAnsi="宋体" w:eastAsia="宋体" w:cs="宋体"/>
          <w:spacing w:val="-4"/>
          <w:sz w:val="24"/>
          <w:szCs w:val="24"/>
        </w:rPr>
        <w:t>区内地下水流动态存在季节变化性，但地下水等水位线形状在全年基本保持</w:t>
      </w:r>
      <w:r>
        <w:rPr>
          <w:rFonts w:ascii="宋体" w:hAnsi="宋体" w:eastAsia="宋体" w:cs="宋体"/>
          <w:spacing w:val="10"/>
          <w:sz w:val="24"/>
          <w:szCs w:val="24"/>
        </w:rPr>
        <w:t xml:space="preserve"> </w:t>
      </w:r>
      <w:r>
        <w:rPr>
          <w:rFonts w:ascii="宋体" w:hAnsi="宋体" w:eastAsia="宋体" w:cs="宋体"/>
          <w:spacing w:val="-2"/>
          <w:sz w:val="24"/>
          <w:szCs w:val="24"/>
        </w:rPr>
        <w:t>不变，决定污染物扩散的水流速度、水力梯度等参数年内基本保持不变，因此，</w:t>
      </w:r>
      <w:r>
        <w:rPr>
          <w:rFonts w:ascii="宋体" w:hAnsi="宋体" w:eastAsia="宋体" w:cs="宋体"/>
          <w:sz w:val="24"/>
          <w:szCs w:val="24"/>
        </w:rPr>
        <w:t xml:space="preserve"> </w:t>
      </w:r>
      <w:r>
        <w:rPr>
          <w:rFonts w:ascii="宋体" w:hAnsi="宋体" w:eastAsia="宋体" w:cs="宋体"/>
          <w:spacing w:val="-3"/>
          <w:sz w:val="24"/>
          <w:szCs w:val="24"/>
        </w:rPr>
        <w:t>本次为简化起见概化为稳定流。地下水径流符合平面顺层水平流规律，因此，本</w:t>
      </w:r>
      <w:r>
        <w:rPr>
          <w:rFonts w:ascii="宋体" w:hAnsi="宋体" w:eastAsia="宋体" w:cs="宋体"/>
          <w:sz w:val="24"/>
          <w:szCs w:val="24"/>
        </w:rPr>
        <w:t xml:space="preserve"> </w:t>
      </w:r>
      <w:r>
        <w:rPr>
          <w:rFonts w:ascii="宋体" w:hAnsi="宋体" w:eastAsia="宋体" w:cs="宋体"/>
          <w:spacing w:val="-1"/>
          <w:sz w:val="24"/>
          <w:szCs w:val="24"/>
        </w:rPr>
        <w:t>次模拟将地下水流系统概化为二维均质稳定地下水流系统。</w:t>
      </w:r>
    </w:p>
    <w:p w14:paraId="327DE4DA">
      <w:pPr>
        <w:spacing w:line="217" w:lineRule="auto"/>
        <w:ind w:left="600"/>
        <w:rPr>
          <w:rFonts w:ascii="宋体" w:hAnsi="宋体" w:eastAsia="宋体" w:cs="宋体"/>
          <w:sz w:val="24"/>
          <w:szCs w:val="24"/>
        </w:rPr>
      </w:pPr>
      <w:r>
        <w:rPr>
          <w:rFonts w:ascii="宋体" w:hAnsi="宋体" w:eastAsia="宋体" w:cs="宋体"/>
          <w:spacing w:val="-2"/>
          <w:sz w:val="24"/>
          <w:szCs w:val="24"/>
        </w:rPr>
        <w:t>⑤边界条件</w:t>
      </w:r>
    </w:p>
    <w:p w14:paraId="6DA38D07">
      <w:pPr>
        <w:spacing w:before="185" w:line="360" w:lineRule="auto"/>
        <w:ind w:left="125" w:right="112" w:firstLine="476"/>
        <w:rPr>
          <w:rFonts w:ascii="宋体" w:hAnsi="宋体" w:eastAsia="宋体" w:cs="宋体"/>
          <w:sz w:val="24"/>
          <w:szCs w:val="24"/>
        </w:rPr>
      </w:pPr>
      <w:r>
        <w:rPr>
          <w:rFonts w:ascii="宋体" w:hAnsi="宋体" w:eastAsia="宋体" w:cs="宋体"/>
          <w:spacing w:val="-3"/>
          <w:sz w:val="24"/>
          <w:szCs w:val="24"/>
        </w:rPr>
        <w:t>模拟区内赋存第四系松散岩类孔隙水、基岩裂隙水，地下水总体</w:t>
      </w:r>
      <w:r>
        <w:rPr>
          <w:rFonts w:ascii="宋体" w:hAnsi="宋体" w:eastAsia="宋体" w:cs="宋体"/>
          <w:spacing w:val="-4"/>
          <w:sz w:val="24"/>
          <w:szCs w:val="24"/>
        </w:rPr>
        <w:t>流向由东北</w:t>
      </w:r>
      <w:r>
        <w:rPr>
          <w:rFonts w:ascii="宋体" w:hAnsi="宋体" w:eastAsia="宋体" w:cs="宋体"/>
          <w:sz w:val="24"/>
          <w:szCs w:val="24"/>
        </w:rPr>
        <w:t xml:space="preserve"> </w:t>
      </w:r>
      <w:r>
        <w:rPr>
          <w:rFonts w:ascii="宋体" w:hAnsi="宋体" w:eastAsia="宋体" w:cs="宋体"/>
          <w:spacing w:val="-3"/>
          <w:sz w:val="24"/>
          <w:szCs w:val="24"/>
        </w:rPr>
        <w:t>向西南，评价区西边界和西南界与地下水流向垂直，可设为流量边界；其它</w:t>
      </w:r>
      <w:r>
        <w:rPr>
          <w:rFonts w:ascii="宋体" w:hAnsi="宋体" w:eastAsia="宋体" w:cs="宋体"/>
          <w:spacing w:val="-4"/>
          <w:sz w:val="24"/>
          <w:szCs w:val="24"/>
        </w:rPr>
        <w:t>为分</w:t>
      </w:r>
      <w:r>
        <w:rPr>
          <w:rFonts w:ascii="宋体" w:hAnsi="宋体" w:eastAsia="宋体" w:cs="宋体"/>
          <w:sz w:val="24"/>
          <w:szCs w:val="24"/>
        </w:rPr>
        <w:t xml:space="preserve"> </w:t>
      </w:r>
      <w:r>
        <w:rPr>
          <w:rFonts w:ascii="宋体" w:hAnsi="宋体" w:eastAsia="宋体" w:cs="宋体"/>
          <w:spacing w:val="-3"/>
          <w:sz w:val="24"/>
          <w:szCs w:val="24"/>
        </w:rPr>
        <w:t>水岭，可设为零流量边界。模拟区主要接受大气降水入渗补给，排泄方式主</w:t>
      </w:r>
      <w:r>
        <w:rPr>
          <w:rFonts w:ascii="宋体" w:hAnsi="宋体" w:eastAsia="宋体" w:cs="宋体"/>
          <w:spacing w:val="-4"/>
          <w:sz w:val="24"/>
          <w:szCs w:val="24"/>
        </w:rPr>
        <w:t>要为</w:t>
      </w:r>
      <w:r>
        <w:rPr>
          <w:rFonts w:ascii="宋体" w:hAnsi="宋体" w:eastAsia="宋体" w:cs="宋体"/>
          <w:sz w:val="24"/>
          <w:szCs w:val="24"/>
        </w:rPr>
        <w:t xml:space="preserve"> </w:t>
      </w:r>
      <w:r>
        <w:rPr>
          <w:rFonts w:ascii="宋体" w:hAnsi="宋体" w:eastAsia="宋体" w:cs="宋体"/>
          <w:spacing w:val="-1"/>
          <w:sz w:val="24"/>
          <w:szCs w:val="24"/>
        </w:rPr>
        <w:t>蒸发、人工开采和地下水径流。</w:t>
      </w:r>
    </w:p>
    <w:p w14:paraId="1806B479">
      <w:pPr>
        <w:spacing w:line="217" w:lineRule="auto"/>
        <w:ind w:left="600"/>
        <w:rPr>
          <w:rFonts w:ascii="宋体" w:hAnsi="宋体" w:eastAsia="宋体" w:cs="宋体"/>
          <w:sz w:val="24"/>
          <w:szCs w:val="24"/>
        </w:rPr>
      </w:pPr>
      <w:r>
        <w:rPr>
          <w:rFonts w:ascii="宋体" w:hAnsi="宋体" w:eastAsia="宋体" w:cs="宋体"/>
          <w:spacing w:val="-1"/>
          <w:sz w:val="24"/>
          <w:szCs w:val="24"/>
        </w:rPr>
        <w:t>⑥水文地质参数分区</w:t>
      </w:r>
    </w:p>
    <w:p w14:paraId="06702F15">
      <w:pPr>
        <w:spacing w:before="186" w:line="360" w:lineRule="auto"/>
        <w:ind w:left="126" w:right="112" w:firstLine="477"/>
        <w:rPr>
          <w:rFonts w:ascii="宋体" w:hAnsi="宋体" w:eastAsia="宋体" w:cs="宋体"/>
          <w:sz w:val="24"/>
          <w:szCs w:val="24"/>
        </w:rPr>
      </w:pPr>
      <w:r>
        <w:rPr>
          <w:rFonts w:ascii="宋体" w:hAnsi="宋体" w:eastAsia="宋体" w:cs="宋体"/>
          <w:spacing w:val="-3"/>
          <w:sz w:val="24"/>
          <w:szCs w:val="24"/>
        </w:rPr>
        <w:t>依据评价区地层岩性、井孔抽水试验资料和以往水文地质勘</w:t>
      </w:r>
      <w:r>
        <w:rPr>
          <w:rFonts w:ascii="宋体" w:hAnsi="宋体" w:eastAsia="宋体" w:cs="宋体"/>
          <w:spacing w:val="-4"/>
          <w:sz w:val="24"/>
          <w:szCs w:val="24"/>
        </w:rPr>
        <w:t>探成果，将评价</w:t>
      </w:r>
      <w:r>
        <w:rPr>
          <w:rFonts w:ascii="宋体" w:hAnsi="宋体" w:eastAsia="宋体" w:cs="宋体"/>
          <w:sz w:val="24"/>
          <w:szCs w:val="24"/>
        </w:rPr>
        <w:t xml:space="preserve"> </w:t>
      </w:r>
      <w:r>
        <w:rPr>
          <w:rFonts w:ascii="宋体" w:hAnsi="宋体" w:eastAsia="宋体" w:cs="宋体"/>
          <w:spacing w:val="-3"/>
          <w:sz w:val="24"/>
          <w:szCs w:val="24"/>
        </w:rPr>
        <w:t>区水文地质参数分为三个区，东部丘间沟谷区第四系松散岩类孔隙水含</w:t>
      </w:r>
      <w:r>
        <w:rPr>
          <w:rFonts w:ascii="宋体" w:hAnsi="宋体" w:eastAsia="宋体" w:cs="宋体"/>
          <w:spacing w:val="-4"/>
          <w:sz w:val="24"/>
          <w:szCs w:val="24"/>
        </w:rPr>
        <w:t>水层渗透</w:t>
      </w:r>
      <w:r>
        <w:rPr>
          <w:rFonts w:ascii="宋体" w:hAnsi="宋体" w:eastAsia="宋体" w:cs="宋体"/>
          <w:sz w:val="24"/>
          <w:szCs w:val="24"/>
        </w:rPr>
        <w:t xml:space="preserve"> 系数为</w:t>
      </w:r>
      <w:r>
        <w:rPr>
          <w:rFonts w:ascii="Times New Roman" w:hAnsi="Times New Roman" w:eastAsia="Times New Roman" w:cs="Times New Roman"/>
          <w:sz w:val="24"/>
          <w:szCs w:val="24"/>
        </w:rPr>
        <w:t>0.45m/d</w:t>
      </w:r>
      <w:r>
        <w:rPr>
          <w:rFonts w:ascii="宋体" w:hAnsi="宋体" w:eastAsia="宋体" w:cs="宋体"/>
          <w:sz w:val="24"/>
          <w:szCs w:val="24"/>
        </w:rPr>
        <w:t>；西部沟谷区第四系松散岩类孔隙</w:t>
      </w:r>
      <w:r>
        <w:rPr>
          <w:rFonts w:ascii="宋体" w:hAnsi="宋体" w:eastAsia="宋体" w:cs="宋体"/>
          <w:spacing w:val="-1"/>
          <w:sz w:val="24"/>
          <w:szCs w:val="24"/>
        </w:rPr>
        <w:t>水含水层渗透系数为</w:t>
      </w:r>
      <w:r>
        <w:rPr>
          <w:rFonts w:ascii="Times New Roman" w:hAnsi="Times New Roman" w:eastAsia="Times New Roman" w:cs="Times New Roman"/>
          <w:spacing w:val="-1"/>
          <w:sz w:val="24"/>
          <w:szCs w:val="24"/>
        </w:rPr>
        <w:t>0.5m/d</w:t>
      </w:r>
      <w:r>
        <w:rPr>
          <w:rFonts w:ascii="宋体" w:hAnsi="宋体" w:eastAsia="宋体" w:cs="宋体"/>
          <w:spacing w:val="-1"/>
          <w:sz w:val="24"/>
          <w:szCs w:val="24"/>
        </w:rPr>
        <w:t>；</w:t>
      </w:r>
    </w:p>
    <w:p w14:paraId="3F60EEE3">
      <w:pPr>
        <w:spacing w:line="219" w:lineRule="auto"/>
        <w:ind w:left="122"/>
        <w:rPr>
          <w:rFonts w:ascii="宋体" w:hAnsi="宋体" w:eastAsia="宋体" w:cs="宋体"/>
          <w:sz w:val="24"/>
          <w:szCs w:val="24"/>
        </w:rPr>
      </w:pPr>
      <w:r>
        <w:rPr>
          <w:rFonts w:ascii="宋体" w:hAnsi="宋体" w:eastAsia="宋体" w:cs="宋体"/>
          <w:spacing w:val="-1"/>
          <w:sz w:val="24"/>
          <w:szCs w:val="24"/>
        </w:rPr>
        <w:t>丘陵区基岩裂隙水含水层渗透系数</w:t>
      </w:r>
      <w:r>
        <w:rPr>
          <w:rFonts w:ascii="Times New Roman" w:hAnsi="Times New Roman" w:eastAsia="Times New Roman" w:cs="Times New Roman"/>
          <w:spacing w:val="-1"/>
          <w:sz w:val="24"/>
          <w:szCs w:val="24"/>
        </w:rPr>
        <w:t>0.05m/d</w:t>
      </w:r>
      <w:r>
        <w:rPr>
          <w:rFonts w:ascii="宋体" w:hAnsi="宋体" w:eastAsia="宋体" w:cs="宋体"/>
          <w:spacing w:val="-1"/>
          <w:sz w:val="24"/>
          <w:szCs w:val="24"/>
        </w:rPr>
        <w:t>。</w:t>
      </w:r>
    </w:p>
    <w:p w14:paraId="5A5DF699">
      <w:pPr>
        <w:spacing w:before="104" w:line="219" w:lineRule="auto"/>
        <w:ind w:left="2434"/>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 xml:space="preserve">8.2-5    </w:t>
      </w:r>
      <w:r>
        <w:rPr>
          <w:rFonts w:ascii="宋体" w:hAnsi="宋体" w:eastAsia="宋体" w:cs="宋体"/>
          <w:spacing w:val="-2"/>
          <w:sz w:val="24"/>
          <w:szCs w:val="24"/>
        </w:rPr>
        <w:t>水文地质参数分区一览表</w:t>
      </w:r>
    </w:p>
    <w:p w14:paraId="50D60F71">
      <w:pPr>
        <w:spacing w:line="14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0"/>
        <w:gridCol w:w="2046"/>
        <w:gridCol w:w="2048"/>
        <w:gridCol w:w="2052"/>
      </w:tblGrid>
      <w:tr w14:paraId="4338D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380" w:type="dxa"/>
            <w:vAlign w:val="top"/>
          </w:tcPr>
          <w:p w14:paraId="5270E07D">
            <w:pPr>
              <w:pStyle w:val="6"/>
              <w:spacing w:before="133" w:line="228" w:lineRule="auto"/>
              <w:ind w:left="777"/>
            </w:pPr>
            <w:r>
              <w:rPr>
                <w:spacing w:val="6"/>
              </w:rPr>
              <w:t>参数分区</w:t>
            </w:r>
          </w:p>
        </w:tc>
        <w:tc>
          <w:tcPr>
            <w:tcW w:w="2046" w:type="dxa"/>
            <w:vAlign w:val="top"/>
          </w:tcPr>
          <w:p w14:paraId="6A810E43">
            <w:pPr>
              <w:pStyle w:val="6"/>
              <w:spacing w:before="133" w:line="233" w:lineRule="auto"/>
              <w:ind w:left="885"/>
            </w:pPr>
            <w:r>
              <w:rPr>
                <w:spacing w:val="-34"/>
              </w:rPr>
              <w:t>Ⅰ</w:t>
            </w:r>
            <w:r>
              <w:rPr>
                <w:spacing w:val="-75"/>
              </w:rPr>
              <w:t xml:space="preserve"> </w:t>
            </w:r>
            <w:r>
              <w:rPr>
                <w:spacing w:val="-34"/>
              </w:rPr>
              <w:t>区</w:t>
            </w:r>
          </w:p>
        </w:tc>
        <w:tc>
          <w:tcPr>
            <w:tcW w:w="2048" w:type="dxa"/>
            <w:vAlign w:val="top"/>
          </w:tcPr>
          <w:p w14:paraId="1768F1ED">
            <w:pPr>
              <w:pStyle w:val="6"/>
              <w:spacing w:before="133" w:line="233" w:lineRule="auto"/>
              <w:ind w:left="854"/>
            </w:pPr>
            <w:r>
              <w:rPr>
                <w:spacing w:val="-12"/>
              </w:rPr>
              <w:t>Ⅱ区</w:t>
            </w:r>
          </w:p>
        </w:tc>
        <w:tc>
          <w:tcPr>
            <w:tcW w:w="2052" w:type="dxa"/>
            <w:vAlign w:val="top"/>
          </w:tcPr>
          <w:p w14:paraId="0D292CD7">
            <w:pPr>
              <w:pStyle w:val="6"/>
              <w:spacing w:before="133" w:line="233" w:lineRule="auto"/>
              <w:ind w:left="819"/>
            </w:pPr>
            <w:r>
              <w:rPr>
                <w:spacing w:val="6"/>
              </w:rPr>
              <w:t>Ⅲ区</w:t>
            </w:r>
          </w:p>
        </w:tc>
      </w:tr>
      <w:tr w14:paraId="1AB1A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380" w:type="dxa"/>
            <w:vAlign w:val="top"/>
          </w:tcPr>
          <w:p w14:paraId="235C24C3">
            <w:pPr>
              <w:pStyle w:val="6"/>
              <w:spacing w:before="131" w:line="228" w:lineRule="auto"/>
              <w:ind w:left="776"/>
            </w:pPr>
            <w:r>
              <w:rPr>
                <w:spacing w:val="7"/>
              </w:rPr>
              <w:t>渗透系数</w:t>
            </w:r>
          </w:p>
        </w:tc>
        <w:tc>
          <w:tcPr>
            <w:tcW w:w="2046" w:type="dxa"/>
            <w:vAlign w:val="top"/>
          </w:tcPr>
          <w:p w14:paraId="106637F8">
            <w:pPr>
              <w:spacing w:before="163" w:line="199"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0.05m/d</w:t>
            </w:r>
          </w:p>
        </w:tc>
        <w:tc>
          <w:tcPr>
            <w:tcW w:w="2048" w:type="dxa"/>
            <w:vAlign w:val="top"/>
          </w:tcPr>
          <w:p w14:paraId="5E23E0A2">
            <w:pPr>
              <w:spacing w:before="163" w:line="199"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0.45m/d</w:t>
            </w:r>
          </w:p>
        </w:tc>
        <w:tc>
          <w:tcPr>
            <w:tcW w:w="2052" w:type="dxa"/>
            <w:vAlign w:val="top"/>
          </w:tcPr>
          <w:p w14:paraId="52A003DD">
            <w:pPr>
              <w:spacing w:before="163" w:line="199" w:lineRule="auto"/>
              <w:ind w:left="7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0.5m/d</w:t>
            </w:r>
          </w:p>
        </w:tc>
      </w:tr>
    </w:tbl>
    <w:p w14:paraId="1876F882">
      <w:pPr>
        <w:pStyle w:val="2"/>
      </w:pPr>
    </w:p>
    <w:p w14:paraId="3EE8C51C">
      <w:pPr>
        <w:sectPr>
          <w:headerReference r:id="rId277" w:type="default"/>
          <w:footerReference r:id="rId278" w:type="default"/>
          <w:pgSz w:w="11906" w:h="16839"/>
          <w:pgMar w:top="1208" w:right="1687" w:bottom="1358" w:left="1687" w:header="825" w:footer="1195" w:gutter="0"/>
          <w:cols w:space="720" w:num="1"/>
        </w:sectPr>
      </w:pPr>
    </w:p>
    <w:p w14:paraId="3F1F6A9D">
      <w:pPr>
        <w:pStyle w:val="2"/>
        <w:spacing w:line="255" w:lineRule="auto"/>
      </w:pPr>
    </w:p>
    <w:p w14:paraId="26303721">
      <w:pPr>
        <w:spacing w:line="8372" w:lineRule="exact"/>
        <w:ind w:firstLine="14"/>
      </w:pPr>
      <w:r>
        <w:rPr>
          <w:position w:val="-167"/>
        </w:rPr>
        <w:drawing>
          <wp:inline distT="0" distB="0" distL="0" distR="0">
            <wp:extent cx="5263515" cy="53155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506"/>
                    <a:stretch>
                      <a:fillRect/>
                    </a:stretch>
                  </pic:blipFill>
                  <pic:spPr>
                    <a:xfrm>
                      <a:off x="0" y="0"/>
                      <a:ext cx="5263895" cy="5315712"/>
                    </a:xfrm>
                    <a:prstGeom prst="rect">
                      <a:avLst/>
                    </a:prstGeom>
                  </pic:spPr>
                </pic:pic>
              </a:graphicData>
            </a:graphic>
          </wp:inline>
        </w:drawing>
      </w:r>
    </w:p>
    <w:p w14:paraId="743934D9">
      <w:pPr>
        <w:spacing w:before="140" w:line="219" w:lineRule="auto"/>
        <w:ind w:left="290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8.2-8  </w:t>
      </w:r>
      <w:r>
        <w:rPr>
          <w:rFonts w:ascii="宋体" w:hAnsi="宋体" w:eastAsia="宋体" w:cs="宋体"/>
          <w:spacing w:val="-3"/>
          <w:sz w:val="24"/>
          <w:szCs w:val="24"/>
        </w:rPr>
        <w:t>水文地质参数分区图</w:t>
      </w:r>
    </w:p>
    <w:p w14:paraId="45579993">
      <w:pPr>
        <w:spacing w:before="183" w:line="217" w:lineRule="auto"/>
        <w:ind w:left="501"/>
        <w:rPr>
          <w:rFonts w:ascii="宋体" w:hAnsi="宋体" w:eastAsia="宋体" w:cs="宋体"/>
          <w:sz w:val="24"/>
          <w:szCs w:val="24"/>
        </w:rPr>
      </w:pPr>
      <w:r>
        <w:rPr>
          <w:rFonts w:ascii="宋体" w:hAnsi="宋体" w:eastAsia="宋体" w:cs="宋体"/>
          <w:spacing w:val="-1"/>
          <w:sz w:val="24"/>
          <w:szCs w:val="24"/>
        </w:rPr>
        <w:t>⑦其他参数及汇源项确定</w:t>
      </w:r>
    </w:p>
    <w:p w14:paraId="0C6AAD6C">
      <w:pPr>
        <w:spacing w:before="185" w:line="360" w:lineRule="auto"/>
        <w:ind w:left="47" w:right="13" w:firstLine="454"/>
        <w:rPr>
          <w:rFonts w:ascii="宋体" w:hAnsi="宋体" w:eastAsia="宋体" w:cs="宋体"/>
          <w:sz w:val="24"/>
          <w:szCs w:val="24"/>
        </w:rPr>
      </w:pPr>
      <w:r>
        <w:rPr>
          <w:rFonts w:ascii="宋体" w:hAnsi="宋体" w:eastAsia="宋体" w:cs="宋体"/>
          <w:spacing w:val="-3"/>
          <w:sz w:val="24"/>
          <w:szCs w:val="24"/>
        </w:rPr>
        <w:t>评价区内补给项主要为大气降水入渗补给，排泄项有蒸发量、人</w:t>
      </w:r>
      <w:r>
        <w:rPr>
          <w:rFonts w:ascii="宋体" w:hAnsi="宋体" w:eastAsia="宋体" w:cs="宋体"/>
          <w:spacing w:val="-4"/>
          <w:sz w:val="24"/>
          <w:szCs w:val="24"/>
        </w:rPr>
        <w:t>工开采和侧</w:t>
      </w:r>
      <w:r>
        <w:rPr>
          <w:rFonts w:ascii="宋体" w:hAnsi="宋体" w:eastAsia="宋体" w:cs="宋体"/>
          <w:sz w:val="24"/>
          <w:szCs w:val="24"/>
        </w:rPr>
        <w:t xml:space="preserve"> </w:t>
      </w:r>
      <w:r>
        <w:rPr>
          <w:rFonts w:ascii="宋体" w:hAnsi="宋体" w:eastAsia="宋体" w:cs="宋体"/>
          <w:spacing w:val="-6"/>
          <w:sz w:val="24"/>
          <w:szCs w:val="24"/>
        </w:rPr>
        <w:t>向径流排泄。</w:t>
      </w:r>
    </w:p>
    <w:p w14:paraId="0056BE1D">
      <w:pPr>
        <w:spacing w:line="219" w:lineRule="auto"/>
        <w:ind w:left="522"/>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）降水入渗量</w:t>
      </w:r>
    </w:p>
    <w:p w14:paraId="73D97DC3">
      <w:pPr>
        <w:spacing w:before="182" w:line="349" w:lineRule="auto"/>
        <w:ind w:left="25" w:right="13" w:firstLine="480"/>
        <w:rPr>
          <w:rFonts w:ascii="宋体" w:hAnsi="宋体" w:eastAsia="宋体" w:cs="宋体"/>
          <w:sz w:val="24"/>
          <w:szCs w:val="24"/>
        </w:rPr>
      </w:pPr>
      <w:r>
        <w:rPr>
          <w:rFonts w:ascii="宋体" w:hAnsi="宋体" w:eastAsia="宋体" w:cs="宋体"/>
          <w:spacing w:val="-3"/>
          <w:sz w:val="24"/>
          <w:szCs w:val="24"/>
        </w:rPr>
        <w:t>大气降水入渗补给主要受包气带岩性、地貌及降水特征等</w:t>
      </w:r>
      <w:r>
        <w:rPr>
          <w:rFonts w:ascii="宋体" w:hAnsi="宋体" w:eastAsia="宋体" w:cs="宋体"/>
          <w:spacing w:val="-4"/>
          <w:sz w:val="24"/>
          <w:szCs w:val="24"/>
        </w:rPr>
        <w:t>因素影响。一般情</w:t>
      </w:r>
      <w:r>
        <w:rPr>
          <w:rFonts w:ascii="宋体" w:hAnsi="宋体" w:eastAsia="宋体" w:cs="宋体"/>
          <w:sz w:val="24"/>
          <w:szCs w:val="24"/>
        </w:rPr>
        <w:t xml:space="preserve"> </w:t>
      </w:r>
      <w:r>
        <w:rPr>
          <w:rFonts w:ascii="宋体" w:hAnsi="宋体" w:eastAsia="宋体" w:cs="宋体"/>
          <w:spacing w:val="-3"/>
          <w:sz w:val="24"/>
          <w:szCs w:val="24"/>
        </w:rPr>
        <w:t>况下地下水位埋藏深度浅、包气带岩性颗粒粗，则地下水接受大气降水入渗补给</w:t>
      </w:r>
      <w:r>
        <w:rPr>
          <w:rFonts w:ascii="宋体" w:hAnsi="宋体" w:eastAsia="宋体" w:cs="宋体"/>
          <w:sz w:val="24"/>
          <w:szCs w:val="24"/>
        </w:rPr>
        <w:t xml:space="preserve"> </w:t>
      </w:r>
      <w:r>
        <w:rPr>
          <w:rFonts w:ascii="宋体" w:hAnsi="宋体" w:eastAsia="宋体" w:cs="宋体"/>
          <w:spacing w:val="-1"/>
          <w:sz w:val="24"/>
          <w:szCs w:val="24"/>
        </w:rPr>
        <w:t>就多，反之则少。降水入渗补给量通常采用下式计算：</w:t>
      </w:r>
    </w:p>
    <w:p w14:paraId="7D374551">
      <w:pPr>
        <w:spacing w:line="323" w:lineRule="exact"/>
        <w:ind w:left="502"/>
        <w:rPr>
          <w:rFonts w:ascii="Times New Roman" w:hAnsi="Times New Roman" w:eastAsia="Times New Roman" w:cs="Times New Roman"/>
          <w:sz w:val="24"/>
          <w:szCs w:val="24"/>
        </w:rPr>
      </w:pPr>
      <w:r>
        <w:rPr>
          <w:rFonts w:ascii="Times New Roman" w:hAnsi="Times New Roman" w:eastAsia="Times New Roman" w:cs="Times New Roman"/>
          <w:spacing w:val="-3"/>
          <w:position w:val="4"/>
          <w:sz w:val="24"/>
          <w:szCs w:val="24"/>
        </w:rPr>
        <w:t>Q</w:t>
      </w:r>
      <w:r>
        <w:rPr>
          <w:rFonts w:ascii="Times New Roman" w:hAnsi="Times New Roman" w:eastAsia="Times New Roman" w:cs="Times New Roman"/>
          <w:spacing w:val="14"/>
          <w:position w:val="4"/>
          <w:sz w:val="24"/>
          <w:szCs w:val="24"/>
        </w:rPr>
        <w:t xml:space="preserve"> </w:t>
      </w:r>
      <w:r>
        <w:rPr>
          <w:rFonts w:ascii="宋体" w:hAnsi="宋体" w:eastAsia="宋体" w:cs="宋体"/>
          <w:spacing w:val="-3"/>
          <w:position w:val="1"/>
          <w:sz w:val="12"/>
          <w:szCs w:val="12"/>
        </w:rPr>
        <w:t>降</w:t>
      </w:r>
      <w:r>
        <w:rPr>
          <w:rFonts w:ascii="Times New Roman" w:hAnsi="Times New Roman" w:eastAsia="Times New Roman" w:cs="Times New Roman"/>
          <w:spacing w:val="-3"/>
          <w:position w:val="4"/>
          <w:sz w:val="24"/>
          <w:szCs w:val="24"/>
        </w:rPr>
        <w:t>=α·F·P</w:t>
      </w:r>
    </w:p>
    <w:p w14:paraId="6B894791">
      <w:pPr>
        <w:spacing w:before="189" w:line="219" w:lineRule="auto"/>
        <w:ind w:left="508"/>
        <w:rPr>
          <w:rFonts w:ascii="宋体" w:hAnsi="宋体" w:eastAsia="宋体" w:cs="宋体"/>
          <w:sz w:val="24"/>
          <w:szCs w:val="24"/>
        </w:rPr>
      </w:pPr>
      <w:r>
        <w:rPr>
          <w:rFonts w:ascii="宋体" w:hAnsi="宋体" w:eastAsia="宋体" w:cs="宋体"/>
          <w:spacing w:val="-2"/>
          <w:sz w:val="24"/>
          <w:szCs w:val="24"/>
        </w:rPr>
        <w:t>式中：</w:t>
      </w:r>
      <w:r>
        <w:rPr>
          <w:rFonts w:ascii="Times New Roman" w:hAnsi="Times New Roman" w:eastAsia="Times New Roman" w:cs="Times New Roman"/>
          <w:spacing w:val="-2"/>
          <w:sz w:val="24"/>
          <w:szCs w:val="24"/>
        </w:rPr>
        <w:t>α——</w:t>
      </w:r>
      <w:r>
        <w:rPr>
          <w:rFonts w:ascii="宋体" w:hAnsi="宋体" w:eastAsia="宋体" w:cs="宋体"/>
          <w:spacing w:val="-2"/>
          <w:sz w:val="24"/>
          <w:szCs w:val="24"/>
        </w:rPr>
        <w:t>降水入渗系数；</w:t>
      </w:r>
    </w:p>
    <w:p w14:paraId="5F7EC6B0">
      <w:pPr>
        <w:pStyle w:val="2"/>
        <w:spacing w:line="259" w:lineRule="auto"/>
      </w:pPr>
    </w:p>
    <w:p w14:paraId="02E94729">
      <w:pPr>
        <w:spacing w:before="79" w:line="219" w:lineRule="auto"/>
        <w:ind w:left="497"/>
        <w:rPr>
          <w:rFonts w:ascii="宋体" w:hAnsi="宋体" w:eastAsia="宋体" w:cs="宋体"/>
          <w:sz w:val="24"/>
          <w:szCs w:val="24"/>
        </w:rPr>
      </w:pPr>
      <w:r>
        <w:rPr>
          <w:rFonts w:ascii="Times New Roman" w:hAnsi="Times New Roman" w:eastAsia="Times New Roman" w:cs="Times New Roman"/>
          <w:spacing w:val="-3"/>
          <w:sz w:val="24"/>
          <w:szCs w:val="24"/>
        </w:rPr>
        <w:t>F—</w:t>
      </w:r>
      <w:r>
        <w:rPr>
          <w:rFonts w:ascii="宋体" w:hAnsi="宋体" w:eastAsia="宋体" w:cs="宋体"/>
          <w:spacing w:val="-3"/>
          <w:sz w:val="24"/>
          <w:szCs w:val="24"/>
        </w:rPr>
        <w:t>接受降水入渗的地表面积（</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 xml:space="preserve">2 </w:t>
      </w:r>
      <w:r>
        <w:rPr>
          <w:rFonts w:ascii="宋体" w:hAnsi="宋体" w:eastAsia="宋体" w:cs="宋体"/>
          <w:spacing w:val="-3"/>
          <w:sz w:val="24"/>
          <w:szCs w:val="24"/>
        </w:rPr>
        <w:t>）。</w:t>
      </w:r>
    </w:p>
    <w:p w14:paraId="598ECCF0">
      <w:pPr>
        <w:spacing w:line="219" w:lineRule="auto"/>
        <w:rPr>
          <w:rFonts w:ascii="宋体" w:hAnsi="宋体" w:eastAsia="宋体" w:cs="宋体"/>
          <w:sz w:val="24"/>
          <w:szCs w:val="24"/>
        </w:rPr>
        <w:sectPr>
          <w:headerReference r:id="rId279" w:type="default"/>
          <w:footerReference r:id="rId280" w:type="default"/>
          <w:pgSz w:w="11906" w:h="16839"/>
          <w:pgMar w:top="1208" w:right="1785" w:bottom="1358" w:left="1785" w:header="825" w:footer="1195" w:gutter="0"/>
          <w:cols w:space="720" w:num="1"/>
        </w:sectPr>
      </w:pPr>
    </w:p>
    <w:p w14:paraId="42700F03">
      <w:pPr>
        <w:pStyle w:val="2"/>
        <w:spacing w:line="265" w:lineRule="auto"/>
      </w:pPr>
    </w:p>
    <w:p w14:paraId="3B141978">
      <w:pPr>
        <w:spacing w:before="78" w:line="219" w:lineRule="auto"/>
        <w:ind w:left="588"/>
        <w:rPr>
          <w:rFonts w:ascii="宋体" w:hAnsi="宋体" w:eastAsia="宋体" w:cs="宋体"/>
          <w:sz w:val="24"/>
          <w:szCs w:val="24"/>
        </w:rPr>
      </w:pPr>
      <w:r>
        <w:rPr>
          <w:rFonts w:ascii="Times New Roman" w:hAnsi="Times New Roman" w:eastAsia="Times New Roman" w:cs="Times New Roman"/>
          <w:spacing w:val="-1"/>
          <w:sz w:val="24"/>
          <w:szCs w:val="24"/>
        </w:rPr>
        <w:t>P—</w:t>
      </w:r>
      <w:r>
        <w:rPr>
          <w:rFonts w:ascii="宋体" w:hAnsi="宋体" w:eastAsia="宋体" w:cs="宋体"/>
          <w:spacing w:val="-1"/>
          <w:sz w:val="24"/>
          <w:szCs w:val="24"/>
        </w:rPr>
        <w:t>年平均降水量（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25"/>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1"/>
          <w:sz w:val="24"/>
          <w:szCs w:val="24"/>
        </w:rPr>
        <w:t>259.5mm</w:t>
      </w:r>
      <w:r>
        <w:rPr>
          <w:rFonts w:ascii="宋体" w:hAnsi="宋体" w:eastAsia="宋体" w:cs="宋体"/>
          <w:spacing w:val="-1"/>
          <w:sz w:val="24"/>
          <w:szCs w:val="24"/>
        </w:rPr>
        <w:t>（</w:t>
      </w:r>
      <w:r>
        <w:rPr>
          <w:rFonts w:ascii="Times New Roman" w:hAnsi="Times New Roman" w:eastAsia="Times New Roman" w:cs="Times New Roman"/>
          <w:spacing w:val="-1"/>
          <w:sz w:val="24"/>
          <w:szCs w:val="24"/>
        </w:rPr>
        <w:t>0.2595m</w:t>
      </w:r>
      <w:r>
        <w:rPr>
          <w:rFonts w:ascii="宋体" w:hAnsi="宋体" w:eastAsia="宋体" w:cs="宋体"/>
          <w:spacing w:val="-1"/>
          <w:sz w:val="24"/>
          <w:szCs w:val="24"/>
        </w:rPr>
        <w:t>）。</w:t>
      </w:r>
    </w:p>
    <w:p w14:paraId="566FD679">
      <w:pPr>
        <w:spacing w:before="104" w:line="219" w:lineRule="auto"/>
        <w:ind w:left="230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8.2-6    </w:t>
      </w:r>
      <w:r>
        <w:rPr>
          <w:rFonts w:ascii="宋体" w:hAnsi="宋体" w:eastAsia="宋体" w:cs="宋体"/>
          <w:spacing w:val="-1"/>
          <w:sz w:val="24"/>
          <w:szCs w:val="24"/>
        </w:rPr>
        <w:t>降水入渗补给量计算</w:t>
      </w:r>
      <w:r>
        <w:rPr>
          <w:rFonts w:ascii="宋体" w:hAnsi="宋体" w:eastAsia="宋体" w:cs="宋体"/>
          <w:spacing w:val="-2"/>
          <w:sz w:val="24"/>
          <w:szCs w:val="24"/>
        </w:rPr>
        <w:t>一览表</w:t>
      </w:r>
    </w:p>
    <w:p w14:paraId="79CC17A5">
      <w:pPr>
        <w:spacing w:line="147"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1697"/>
        <w:gridCol w:w="1839"/>
        <w:gridCol w:w="1696"/>
        <w:gridCol w:w="2316"/>
      </w:tblGrid>
      <w:tr w14:paraId="54575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61" w:type="dxa"/>
            <w:vAlign w:val="top"/>
          </w:tcPr>
          <w:p w14:paraId="3256FE73">
            <w:pPr>
              <w:spacing w:before="55" w:line="232" w:lineRule="auto"/>
              <w:ind w:left="284"/>
              <w:rPr>
                <w:rFonts w:ascii="仿宋" w:hAnsi="仿宋" w:eastAsia="仿宋" w:cs="仿宋"/>
                <w:sz w:val="20"/>
                <w:szCs w:val="20"/>
              </w:rPr>
            </w:pPr>
            <w:r>
              <w:rPr>
                <w:rFonts w:ascii="仿宋" w:hAnsi="仿宋" w:eastAsia="仿宋" w:cs="仿宋"/>
                <w:sz w:val="20"/>
                <w:szCs w:val="20"/>
              </w:rPr>
              <w:t>分区</w:t>
            </w:r>
          </w:p>
        </w:tc>
        <w:tc>
          <w:tcPr>
            <w:tcW w:w="1697" w:type="dxa"/>
            <w:vAlign w:val="top"/>
          </w:tcPr>
          <w:p w14:paraId="78FDFC50">
            <w:pPr>
              <w:spacing w:before="54" w:line="232" w:lineRule="auto"/>
              <w:ind w:left="275"/>
              <w:rPr>
                <w:rFonts w:ascii="仿宋" w:hAnsi="仿宋" w:eastAsia="仿宋" w:cs="仿宋"/>
                <w:sz w:val="20"/>
                <w:szCs w:val="20"/>
              </w:rPr>
            </w:pPr>
            <w:r>
              <w:rPr>
                <w:rFonts w:ascii="仿宋" w:hAnsi="仿宋" w:eastAsia="仿宋" w:cs="仿宋"/>
                <w:spacing w:val="5"/>
                <w:sz w:val="20"/>
                <w:szCs w:val="20"/>
              </w:rPr>
              <w:t>面积（</w:t>
            </w:r>
            <w:r>
              <w:rPr>
                <w:rFonts w:ascii="Times New Roman" w:hAnsi="Times New Roman" w:eastAsia="Times New Roman" w:cs="Times New Roman"/>
                <w:sz w:val="20"/>
                <w:szCs w:val="20"/>
              </w:rPr>
              <w:t>km</w:t>
            </w:r>
            <w:r>
              <w:rPr>
                <w:rFonts w:ascii="Times New Roman" w:hAnsi="Times New Roman" w:eastAsia="Times New Roman" w:cs="Times New Roman"/>
                <w:spacing w:val="5"/>
                <w:position w:val="6"/>
                <w:sz w:val="13"/>
                <w:szCs w:val="13"/>
              </w:rPr>
              <w:t>2</w:t>
            </w:r>
            <w:r>
              <w:rPr>
                <w:rFonts w:ascii="仿宋" w:hAnsi="仿宋" w:eastAsia="仿宋" w:cs="仿宋"/>
                <w:spacing w:val="5"/>
                <w:sz w:val="20"/>
                <w:szCs w:val="20"/>
              </w:rPr>
              <w:t>）</w:t>
            </w:r>
          </w:p>
        </w:tc>
        <w:tc>
          <w:tcPr>
            <w:tcW w:w="1839" w:type="dxa"/>
            <w:vAlign w:val="top"/>
          </w:tcPr>
          <w:p w14:paraId="0E427D03">
            <w:pPr>
              <w:spacing w:before="55" w:line="232" w:lineRule="auto"/>
              <w:ind w:left="252"/>
              <w:rPr>
                <w:rFonts w:ascii="仿宋" w:hAnsi="仿宋" w:eastAsia="仿宋" w:cs="仿宋"/>
                <w:sz w:val="20"/>
                <w:szCs w:val="20"/>
              </w:rPr>
            </w:pPr>
            <w:r>
              <w:rPr>
                <w:rFonts w:ascii="仿宋" w:hAnsi="仿宋" w:eastAsia="仿宋" w:cs="仿宋"/>
                <w:spacing w:val="5"/>
                <w:sz w:val="20"/>
                <w:szCs w:val="20"/>
              </w:rPr>
              <w:t>降雨量（</w:t>
            </w:r>
            <w:r>
              <w:rPr>
                <w:rFonts w:ascii="Times New Roman" w:hAnsi="Times New Roman" w:eastAsia="Times New Roman" w:cs="Times New Roman"/>
                <w:sz w:val="20"/>
                <w:szCs w:val="20"/>
              </w:rPr>
              <w:t>mm</w:t>
            </w:r>
            <w:r>
              <w:rPr>
                <w:rFonts w:ascii="仿宋" w:hAnsi="仿宋" w:eastAsia="仿宋" w:cs="仿宋"/>
                <w:spacing w:val="5"/>
                <w:sz w:val="20"/>
                <w:szCs w:val="20"/>
              </w:rPr>
              <w:t>）</w:t>
            </w:r>
          </w:p>
        </w:tc>
        <w:tc>
          <w:tcPr>
            <w:tcW w:w="1696" w:type="dxa"/>
            <w:vAlign w:val="top"/>
          </w:tcPr>
          <w:p w14:paraId="2C4921B2">
            <w:pPr>
              <w:spacing w:before="54" w:line="232" w:lineRule="auto"/>
              <w:ind w:left="240"/>
              <w:rPr>
                <w:rFonts w:ascii="仿宋" w:hAnsi="仿宋" w:eastAsia="仿宋" w:cs="仿宋"/>
                <w:sz w:val="20"/>
                <w:szCs w:val="20"/>
              </w:rPr>
            </w:pPr>
            <w:r>
              <w:rPr>
                <w:rFonts w:ascii="仿宋" w:hAnsi="仿宋" w:eastAsia="仿宋" w:cs="仿宋"/>
                <w:spacing w:val="5"/>
                <w:sz w:val="20"/>
                <w:szCs w:val="20"/>
              </w:rPr>
              <w:t>降雨入渗系数</w:t>
            </w:r>
          </w:p>
        </w:tc>
        <w:tc>
          <w:tcPr>
            <w:tcW w:w="2316" w:type="dxa"/>
            <w:vAlign w:val="top"/>
          </w:tcPr>
          <w:p w14:paraId="78E34D3A">
            <w:pPr>
              <w:spacing w:before="55" w:line="232" w:lineRule="auto"/>
              <w:ind w:left="197"/>
              <w:rPr>
                <w:rFonts w:ascii="仿宋" w:hAnsi="仿宋" w:eastAsia="仿宋" w:cs="仿宋"/>
                <w:sz w:val="20"/>
                <w:szCs w:val="20"/>
              </w:rPr>
            </w:pPr>
            <w:r>
              <w:rPr>
                <w:rFonts w:ascii="仿宋" w:hAnsi="仿宋" w:eastAsia="仿宋" w:cs="仿宋"/>
                <w:spacing w:val="5"/>
                <w:sz w:val="20"/>
                <w:szCs w:val="20"/>
              </w:rPr>
              <w:t>降雨入渗量（万</w:t>
            </w:r>
            <w:r>
              <w:rPr>
                <w:rFonts w:ascii="仿宋" w:hAnsi="仿宋" w:eastAsia="仿宋" w:cs="仿宋"/>
                <w:spacing w:val="-43"/>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仿宋" w:hAnsi="仿宋" w:eastAsia="仿宋" w:cs="仿宋"/>
                <w:spacing w:val="5"/>
                <w:sz w:val="20"/>
                <w:szCs w:val="20"/>
              </w:rPr>
              <w:t>）</w:t>
            </w:r>
          </w:p>
        </w:tc>
      </w:tr>
      <w:tr w14:paraId="2214E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1" w:type="dxa"/>
            <w:vAlign w:val="top"/>
          </w:tcPr>
          <w:p w14:paraId="2C516614">
            <w:pPr>
              <w:pStyle w:val="6"/>
              <w:spacing w:before="51" w:line="235" w:lineRule="auto"/>
              <w:ind w:left="343"/>
              <w:rPr>
                <w:rFonts w:ascii="仿宋" w:hAnsi="仿宋" w:eastAsia="仿宋" w:cs="仿宋"/>
              </w:rPr>
            </w:pPr>
            <w:r>
              <w:rPr>
                <w:spacing w:val="-34"/>
              </w:rPr>
              <w:t>Ⅰ</w:t>
            </w:r>
            <w:r>
              <w:rPr>
                <w:spacing w:val="-69"/>
              </w:rPr>
              <w:t xml:space="preserve"> </w:t>
            </w:r>
            <w:r>
              <w:rPr>
                <w:rFonts w:ascii="仿宋" w:hAnsi="仿宋" w:eastAsia="仿宋" w:cs="仿宋"/>
                <w:spacing w:val="-34"/>
              </w:rPr>
              <w:t>区</w:t>
            </w:r>
          </w:p>
        </w:tc>
        <w:tc>
          <w:tcPr>
            <w:tcW w:w="1697" w:type="dxa"/>
            <w:vAlign w:val="top"/>
          </w:tcPr>
          <w:p w14:paraId="6E6857CB">
            <w:pPr>
              <w:spacing w:before="87"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19.05</w:t>
            </w:r>
          </w:p>
        </w:tc>
        <w:tc>
          <w:tcPr>
            <w:tcW w:w="1839" w:type="dxa"/>
            <w:vAlign w:val="top"/>
          </w:tcPr>
          <w:p w14:paraId="03C9F367">
            <w:pPr>
              <w:spacing w:before="87"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259.5</w:t>
            </w:r>
          </w:p>
        </w:tc>
        <w:tc>
          <w:tcPr>
            <w:tcW w:w="1696" w:type="dxa"/>
            <w:vAlign w:val="top"/>
          </w:tcPr>
          <w:p w14:paraId="1E1691BE">
            <w:pPr>
              <w:spacing w:before="87"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2316" w:type="dxa"/>
            <w:vAlign w:val="top"/>
          </w:tcPr>
          <w:p w14:paraId="010A0613">
            <w:pPr>
              <w:spacing w:before="87" w:line="195" w:lineRule="auto"/>
              <w:ind w:left="9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9.887</w:t>
            </w:r>
          </w:p>
        </w:tc>
      </w:tr>
      <w:tr w14:paraId="55AA2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1" w:type="dxa"/>
            <w:vAlign w:val="top"/>
          </w:tcPr>
          <w:p w14:paraId="47F754C8">
            <w:pPr>
              <w:pStyle w:val="6"/>
              <w:spacing w:before="52" w:line="234" w:lineRule="auto"/>
              <w:ind w:left="311"/>
              <w:rPr>
                <w:rFonts w:ascii="仿宋" w:hAnsi="仿宋" w:eastAsia="仿宋" w:cs="仿宋"/>
              </w:rPr>
            </w:pPr>
            <w:r>
              <w:rPr>
                <w:spacing w:val="-18"/>
              </w:rPr>
              <w:t>Ⅱ</w:t>
            </w:r>
            <w:r>
              <w:rPr>
                <w:spacing w:val="-69"/>
              </w:rPr>
              <w:t xml:space="preserve"> </w:t>
            </w:r>
            <w:r>
              <w:rPr>
                <w:rFonts w:ascii="仿宋" w:hAnsi="仿宋" w:eastAsia="仿宋" w:cs="仿宋"/>
                <w:spacing w:val="-18"/>
              </w:rPr>
              <w:t>区</w:t>
            </w:r>
          </w:p>
        </w:tc>
        <w:tc>
          <w:tcPr>
            <w:tcW w:w="1697" w:type="dxa"/>
            <w:vAlign w:val="top"/>
          </w:tcPr>
          <w:p w14:paraId="14B092CA">
            <w:pPr>
              <w:spacing w:before="88"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15.71</w:t>
            </w:r>
          </w:p>
        </w:tc>
        <w:tc>
          <w:tcPr>
            <w:tcW w:w="1839" w:type="dxa"/>
            <w:vAlign w:val="top"/>
          </w:tcPr>
          <w:p w14:paraId="4DB087B1">
            <w:pPr>
              <w:spacing w:before="88"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259.5</w:t>
            </w:r>
          </w:p>
        </w:tc>
        <w:tc>
          <w:tcPr>
            <w:tcW w:w="1696" w:type="dxa"/>
            <w:vAlign w:val="top"/>
          </w:tcPr>
          <w:p w14:paraId="477FD9B7">
            <w:pPr>
              <w:spacing w:before="88"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2316" w:type="dxa"/>
            <w:vAlign w:val="top"/>
          </w:tcPr>
          <w:p w14:paraId="67866CFA">
            <w:pPr>
              <w:spacing w:before="88" w:line="195" w:lineRule="auto"/>
              <w:ind w:left="8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28.537</w:t>
            </w:r>
          </w:p>
        </w:tc>
      </w:tr>
      <w:tr w14:paraId="0F311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1" w:type="dxa"/>
            <w:vAlign w:val="top"/>
          </w:tcPr>
          <w:p w14:paraId="38A089C9">
            <w:pPr>
              <w:pStyle w:val="6"/>
              <w:spacing w:before="55" w:line="231" w:lineRule="auto"/>
              <w:ind w:left="275"/>
              <w:rPr>
                <w:rFonts w:ascii="仿宋" w:hAnsi="仿宋" w:eastAsia="仿宋" w:cs="仿宋"/>
              </w:rPr>
            </w:pPr>
            <w:r>
              <w:rPr>
                <w:spacing w:val="5"/>
              </w:rPr>
              <w:t>Ⅲ</w:t>
            </w:r>
            <w:r>
              <w:rPr>
                <w:rFonts w:ascii="仿宋" w:hAnsi="仿宋" w:eastAsia="仿宋" w:cs="仿宋"/>
                <w:spacing w:val="5"/>
              </w:rPr>
              <w:t>区</w:t>
            </w:r>
          </w:p>
        </w:tc>
        <w:tc>
          <w:tcPr>
            <w:tcW w:w="1697" w:type="dxa"/>
            <w:vAlign w:val="top"/>
          </w:tcPr>
          <w:p w14:paraId="57638586">
            <w:pPr>
              <w:spacing w:before="91"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19.02</w:t>
            </w:r>
          </w:p>
        </w:tc>
        <w:tc>
          <w:tcPr>
            <w:tcW w:w="1839" w:type="dxa"/>
            <w:vAlign w:val="top"/>
          </w:tcPr>
          <w:p w14:paraId="488E8579">
            <w:pPr>
              <w:spacing w:before="91"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259.5</w:t>
            </w:r>
          </w:p>
        </w:tc>
        <w:tc>
          <w:tcPr>
            <w:tcW w:w="1696" w:type="dxa"/>
            <w:vAlign w:val="top"/>
          </w:tcPr>
          <w:p w14:paraId="7E297BC0">
            <w:pPr>
              <w:spacing w:before="91" w:line="195"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2316" w:type="dxa"/>
            <w:vAlign w:val="top"/>
          </w:tcPr>
          <w:p w14:paraId="77B57F6B">
            <w:pPr>
              <w:spacing w:before="91"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49.357</w:t>
            </w:r>
          </w:p>
        </w:tc>
      </w:tr>
      <w:tr w14:paraId="736A0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193" w:type="dxa"/>
            <w:gridSpan w:val="4"/>
            <w:vAlign w:val="top"/>
          </w:tcPr>
          <w:p w14:paraId="64BE32E9">
            <w:pPr>
              <w:spacing w:before="56" w:line="232" w:lineRule="auto"/>
              <w:ind w:left="2488"/>
              <w:rPr>
                <w:rFonts w:ascii="仿宋" w:hAnsi="仿宋" w:eastAsia="仿宋" w:cs="仿宋"/>
                <w:sz w:val="20"/>
                <w:szCs w:val="20"/>
              </w:rPr>
            </w:pPr>
            <w:r>
              <w:rPr>
                <w:rFonts w:ascii="仿宋" w:hAnsi="仿宋" w:eastAsia="仿宋" w:cs="仿宋"/>
                <w:spacing w:val="5"/>
                <w:sz w:val="20"/>
                <w:szCs w:val="20"/>
              </w:rPr>
              <w:t>总降雨入渗量</w:t>
            </w:r>
          </w:p>
        </w:tc>
        <w:tc>
          <w:tcPr>
            <w:tcW w:w="2316" w:type="dxa"/>
            <w:vAlign w:val="top"/>
          </w:tcPr>
          <w:p w14:paraId="53D2E1FF">
            <w:pPr>
              <w:spacing w:before="91" w:line="195"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87.781</w:t>
            </w:r>
          </w:p>
        </w:tc>
      </w:tr>
    </w:tbl>
    <w:p w14:paraId="6F6C30EA">
      <w:pPr>
        <w:spacing w:before="114" w:line="361" w:lineRule="auto"/>
        <w:ind w:left="116" w:right="103" w:firstLine="496"/>
        <w:jc w:val="both"/>
        <w:rPr>
          <w:rFonts w:ascii="宋体" w:hAnsi="宋体" w:eastAsia="宋体" w:cs="宋体"/>
          <w:sz w:val="24"/>
          <w:szCs w:val="24"/>
        </w:rPr>
      </w:pPr>
      <w:r>
        <w:rPr>
          <w:rFonts w:ascii="宋体" w:hAnsi="宋体" w:eastAsia="宋体" w:cs="宋体"/>
          <w:spacing w:val="-4"/>
          <w:sz w:val="24"/>
          <w:szCs w:val="24"/>
        </w:rPr>
        <w:t>降水入渗补给系数见表</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8.2-6</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，降水入渗补给系数分区见图</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8.2-9</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。通过对降</w:t>
      </w:r>
      <w:r>
        <w:rPr>
          <w:rFonts w:ascii="宋体" w:hAnsi="宋体" w:eastAsia="宋体" w:cs="宋体"/>
          <w:sz w:val="24"/>
          <w:szCs w:val="24"/>
        </w:rPr>
        <w:t xml:space="preserve"> 水入渗参数进行分区，得到模拟范围降水补给量总量约为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87.</w:t>
      </w:r>
      <w:r>
        <w:rPr>
          <w:rFonts w:ascii="Times New Roman" w:hAnsi="Times New Roman" w:eastAsia="Times New Roman" w:cs="Times New Roman"/>
          <w:spacing w:val="-1"/>
          <w:sz w:val="24"/>
          <w:szCs w:val="24"/>
        </w:rPr>
        <w:t>781</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万</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，降水</w:t>
      </w:r>
      <w:r>
        <w:rPr>
          <w:rFonts w:ascii="宋体" w:hAnsi="宋体" w:eastAsia="宋体" w:cs="宋体"/>
          <w:sz w:val="24"/>
          <w:szCs w:val="24"/>
        </w:rPr>
        <w:t xml:space="preserve"> </w:t>
      </w:r>
      <w:r>
        <w:rPr>
          <w:rFonts w:ascii="宋体" w:hAnsi="宋体" w:eastAsia="宋体" w:cs="宋体"/>
          <w:spacing w:val="-1"/>
          <w:sz w:val="24"/>
          <w:szCs w:val="24"/>
        </w:rPr>
        <w:t>主要集中在夏季，平均补给量为</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2404.96m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1925E560">
      <w:pPr>
        <w:spacing w:before="74" w:line="8350" w:lineRule="exact"/>
        <w:ind w:firstLine="116"/>
      </w:pPr>
      <w:r>
        <w:rPr>
          <w:position w:val="-166"/>
        </w:rPr>
        <w:drawing>
          <wp:inline distT="0" distB="0" distL="0" distR="0">
            <wp:extent cx="5251450" cy="530161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07"/>
                    <a:stretch>
                      <a:fillRect/>
                    </a:stretch>
                  </pic:blipFill>
                  <pic:spPr>
                    <a:xfrm>
                      <a:off x="0" y="0"/>
                      <a:ext cx="5251703" cy="5301995"/>
                    </a:xfrm>
                    <a:prstGeom prst="rect">
                      <a:avLst/>
                    </a:prstGeom>
                  </pic:spPr>
                </pic:pic>
              </a:graphicData>
            </a:graphic>
          </wp:inline>
        </w:drawing>
      </w:r>
    </w:p>
    <w:p w14:paraId="22994823">
      <w:pPr>
        <w:spacing w:before="150" w:line="219" w:lineRule="auto"/>
        <w:ind w:left="2991"/>
        <w:rPr>
          <w:rFonts w:ascii="宋体" w:hAnsi="宋体" w:eastAsia="宋体" w:cs="宋体"/>
          <w:sz w:val="24"/>
          <w:szCs w:val="24"/>
        </w:rPr>
      </w:pPr>
      <w:r>
        <w:rPr>
          <w:rFonts w:ascii="宋体" w:hAnsi="宋体" w:eastAsia="宋体" w:cs="宋体"/>
          <w:spacing w:val="-6"/>
          <w:sz w:val="24"/>
          <w:szCs w:val="24"/>
        </w:rPr>
        <w:t>图</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8.2-9</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降水入渗参数分区图</w:t>
      </w:r>
    </w:p>
    <w:p w14:paraId="09FB45CB">
      <w:pPr>
        <w:spacing w:before="183" w:line="219" w:lineRule="auto"/>
        <w:ind w:left="58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）侧向迳流量</w:t>
      </w:r>
    </w:p>
    <w:p w14:paraId="56EC4CF6">
      <w:pPr>
        <w:spacing w:before="183" w:line="218" w:lineRule="auto"/>
        <w:ind w:left="593"/>
        <w:rPr>
          <w:rFonts w:ascii="宋体" w:hAnsi="宋体" w:eastAsia="宋体" w:cs="宋体"/>
          <w:sz w:val="24"/>
          <w:szCs w:val="24"/>
        </w:rPr>
      </w:pPr>
      <w:r>
        <w:rPr>
          <w:rFonts w:ascii="宋体" w:hAnsi="宋体" w:eastAsia="宋体" w:cs="宋体"/>
          <w:spacing w:val="-3"/>
          <w:sz w:val="24"/>
          <w:szCs w:val="24"/>
        </w:rPr>
        <w:t>评价区西部丘间洼地和西南部丘间沟谷均为流出边界，无流入，本</w:t>
      </w:r>
      <w:r>
        <w:rPr>
          <w:rFonts w:ascii="宋体" w:hAnsi="宋体" w:eastAsia="宋体" w:cs="宋体"/>
          <w:spacing w:val="-4"/>
          <w:sz w:val="24"/>
          <w:szCs w:val="24"/>
        </w:rPr>
        <w:t>次将迳流</w:t>
      </w:r>
    </w:p>
    <w:p w14:paraId="0CD7309A">
      <w:pPr>
        <w:spacing w:line="218" w:lineRule="auto"/>
        <w:rPr>
          <w:rFonts w:ascii="宋体" w:hAnsi="宋体" w:eastAsia="宋体" w:cs="宋体"/>
          <w:sz w:val="24"/>
          <w:szCs w:val="24"/>
        </w:rPr>
        <w:sectPr>
          <w:headerReference r:id="rId281" w:type="default"/>
          <w:footerReference r:id="rId282" w:type="default"/>
          <w:pgSz w:w="11906" w:h="16839"/>
          <w:pgMar w:top="1208" w:right="1696" w:bottom="1358" w:left="1695" w:header="825" w:footer="1195" w:gutter="0"/>
          <w:cols w:space="720" w:num="1"/>
        </w:sectPr>
      </w:pPr>
    </w:p>
    <w:p w14:paraId="74DC5D2C">
      <w:pPr>
        <w:pStyle w:val="2"/>
        <w:spacing w:line="264" w:lineRule="auto"/>
      </w:pPr>
    </w:p>
    <w:p w14:paraId="19972E16">
      <w:pPr>
        <w:spacing w:before="78" w:line="340" w:lineRule="auto"/>
        <w:ind w:left="72"/>
        <w:jc w:val="both"/>
        <w:rPr>
          <w:rFonts w:ascii="宋体" w:hAnsi="宋体" w:eastAsia="宋体" w:cs="宋体"/>
          <w:sz w:val="24"/>
          <w:szCs w:val="24"/>
        </w:rPr>
      </w:pPr>
      <w:r>
        <w:rPr>
          <w:rFonts w:ascii="宋体" w:hAnsi="宋体" w:eastAsia="宋体" w:cs="宋体"/>
          <w:spacing w:val="-5"/>
          <w:sz w:val="24"/>
          <w:szCs w:val="24"/>
        </w:rPr>
        <w:t>边界离散为沿着边界分布的注水井，注水井的注水量由侧向流入流出量平均分配，</w:t>
      </w:r>
      <w:r>
        <w:rPr>
          <w:rFonts w:ascii="宋体" w:hAnsi="宋体" w:eastAsia="宋体" w:cs="宋体"/>
          <w:spacing w:val="18"/>
          <w:sz w:val="24"/>
          <w:szCs w:val="24"/>
        </w:rPr>
        <w:t xml:space="preserve"> </w:t>
      </w:r>
      <w:r>
        <w:rPr>
          <w:rFonts w:ascii="宋体" w:hAnsi="宋体" w:eastAsia="宋体" w:cs="宋体"/>
          <w:spacing w:val="-3"/>
          <w:sz w:val="24"/>
          <w:szCs w:val="24"/>
        </w:rPr>
        <w:t>侧向流入流出量根据流入流出边界附近含水层厚度、渗透系数、水力梯度等参数</w:t>
      </w:r>
      <w:r>
        <w:rPr>
          <w:rFonts w:ascii="宋体" w:hAnsi="宋体" w:eastAsia="宋体" w:cs="宋体"/>
          <w:spacing w:val="1"/>
          <w:sz w:val="24"/>
          <w:szCs w:val="24"/>
        </w:rPr>
        <w:t xml:space="preserve">  </w:t>
      </w:r>
      <w:r>
        <w:rPr>
          <w:rFonts w:ascii="宋体" w:hAnsi="宋体" w:eastAsia="宋体" w:cs="宋体"/>
          <w:sz w:val="24"/>
          <w:szCs w:val="24"/>
        </w:rPr>
        <w:t>采用达西定律进行计算。根据计算得出流出边界侧向径流量为</w:t>
      </w:r>
      <w:r>
        <w:rPr>
          <w:rFonts w:ascii="宋体" w:hAnsi="宋体" w:eastAsia="宋体" w:cs="宋体"/>
          <w:spacing w:val="-57"/>
          <w:sz w:val="24"/>
          <w:szCs w:val="24"/>
        </w:rPr>
        <w:t xml:space="preserve"> </w:t>
      </w:r>
      <w:r>
        <w:rPr>
          <w:rFonts w:ascii="Times New Roman" w:hAnsi="Times New Roman" w:eastAsia="Times New Roman" w:cs="Times New Roman"/>
          <w:sz w:val="24"/>
          <w:szCs w:val="24"/>
        </w:rPr>
        <w:t>43</w:t>
      </w:r>
      <w:r>
        <w:rPr>
          <w:rFonts w:ascii="Times New Roman" w:hAnsi="Times New Roman" w:eastAsia="Times New Roman" w:cs="Times New Roman"/>
          <w:spacing w:val="-1"/>
          <w:sz w:val="24"/>
          <w:szCs w:val="24"/>
        </w:rPr>
        <w:t>6.01m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3EEA633C">
      <w:pPr>
        <w:spacing w:line="219" w:lineRule="auto"/>
        <w:ind w:left="2506"/>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8.2-7    </w:t>
      </w:r>
      <w:r>
        <w:rPr>
          <w:rFonts w:ascii="宋体" w:hAnsi="宋体" w:eastAsia="宋体" w:cs="宋体"/>
          <w:spacing w:val="-2"/>
          <w:sz w:val="24"/>
          <w:szCs w:val="24"/>
        </w:rPr>
        <w:t>侧向径流量计算结果表</w:t>
      </w:r>
    </w:p>
    <w:p w14:paraId="605BD08B">
      <w:pPr>
        <w:spacing w:line="147" w:lineRule="exact"/>
      </w:pPr>
    </w:p>
    <w:tbl>
      <w:tblPr>
        <w:tblStyle w:val="5"/>
        <w:tblW w:w="84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1469"/>
        <w:gridCol w:w="1085"/>
        <w:gridCol w:w="1238"/>
        <w:gridCol w:w="1082"/>
        <w:gridCol w:w="1850"/>
      </w:tblGrid>
      <w:tr w14:paraId="46A49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1706" w:type="dxa"/>
            <w:vAlign w:val="top"/>
          </w:tcPr>
          <w:p w14:paraId="1AC8D0EE">
            <w:pPr>
              <w:pStyle w:val="6"/>
              <w:spacing w:before="263" w:line="228" w:lineRule="auto"/>
              <w:ind w:left="656"/>
            </w:pPr>
            <w:r>
              <w:t>断面</w:t>
            </w:r>
          </w:p>
        </w:tc>
        <w:tc>
          <w:tcPr>
            <w:tcW w:w="1469" w:type="dxa"/>
            <w:vAlign w:val="top"/>
          </w:tcPr>
          <w:p w14:paraId="53AD884C">
            <w:pPr>
              <w:pStyle w:val="6"/>
              <w:spacing w:before="263" w:line="221" w:lineRule="auto"/>
              <w:ind w:left="174"/>
              <w:rPr>
                <w:rFonts w:ascii="Times New Roman" w:hAnsi="Times New Roman" w:eastAsia="Times New Roman" w:cs="Times New Roman"/>
              </w:rPr>
            </w:pPr>
            <w:r>
              <w:rPr>
                <w:spacing w:val="5"/>
              </w:rPr>
              <w:t>断面宽度</w:t>
            </w:r>
            <w:r>
              <w:rPr>
                <w:rFonts w:ascii="Times New Roman" w:hAnsi="Times New Roman" w:eastAsia="Times New Roman" w:cs="Times New Roman"/>
                <w:spacing w:val="5"/>
              </w:rPr>
              <w:t>(m)</w:t>
            </w:r>
          </w:p>
        </w:tc>
        <w:tc>
          <w:tcPr>
            <w:tcW w:w="1085" w:type="dxa"/>
            <w:vAlign w:val="top"/>
          </w:tcPr>
          <w:p w14:paraId="438AACFE">
            <w:pPr>
              <w:pStyle w:val="6"/>
              <w:spacing w:before="263" w:line="228" w:lineRule="auto"/>
              <w:ind w:left="130"/>
            </w:pPr>
            <w:r>
              <w:rPr>
                <w:spacing w:val="6"/>
              </w:rPr>
              <w:t>水力坡度</w:t>
            </w:r>
          </w:p>
        </w:tc>
        <w:tc>
          <w:tcPr>
            <w:tcW w:w="1238" w:type="dxa"/>
            <w:vAlign w:val="top"/>
          </w:tcPr>
          <w:p w14:paraId="2F24726A">
            <w:pPr>
              <w:pStyle w:val="6"/>
              <w:spacing w:before="107" w:line="228" w:lineRule="auto"/>
              <w:ind w:left="203"/>
            </w:pPr>
            <w:r>
              <w:rPr>
                <w:spacing w:val="7"/>
              </w:rPr>
              <w:t>平均含水</w:t>
            </w:r>
          </w:p>
          <w:p w14:paraId="484D1028">
            <w:pPr>
              <w:pStyle w:val="6"/>
              <w:spacing w:before="65" w:line="221" w:lineRule="auto"/>
              <w:ind w:left="159"/>
              <w:rPr>
                <w:rFonts w:ascii="Times New Roman" w:hAnsi="Times New Roman" w:eastAsia="Times New Roman" w:cs="Times New Roman"/>
              </w:rPr>
            </w:pPr>
            <w:r>
              <w:rPr>
                <w:spacing w:val="5"/>
              </w:rPr>
              <w:t>层厚度</w:t>
            </w:r>
            <w:r>
              <w:rPr>
                <w:rFonts w:ascii="Times New Roman" w:hAnsi="Times New Roman" w:eastAsia="Times New Roman" w:cs="Times New Roman"/>
                <w:spacing w:val="5"/>
              </w:rPr>
              <w:t>(m)</w:t>
            </w:r>
          </w:p>
        </w:tc>
        <w:tc>
          <w:tcPr>
            <w:tcW w:w="1082" w:type="dxa"/>
            <w:vAlign w:val="top"/>
          </w:tcPr>
          <w:p w14:paraId="4EF587D3">
            <w:pPr>
              <w:pStyle w:val="6"/>
              <w:spacing w:before="107" w:line="228" w:lineRule="auto"/>
              <w:ind w:left="129"/>
            </w:pPr>
            <w:r>
              <w:rPr>
                <w:spacing w:val="7"/>
              </w:rPr>
              <w:t>渗透系数</w:t>
            </w:r>
          </w:p>
          <w:p w14:paraId="71DE7C5E">
            <w:pPr>
              <w:spacing w:before="97" w:line="201"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(m/d)</w:t>
            </w:r>
          </w:p>
        </w:tc>
        <w:tc>
          <w:tcPr>
            <w:tcW w:w="1850" w:type="dxa"/>
            <w:vAlign w:val="top"/>
          </w:tcPr>
          <w:p w14:paraId="7C569773">
            <w:pPr>
              <w:pStyle w:val="6"/>
              <w:spacing w:before="263" w:line="221" w:lineRule="auto"/>
              <w:ind w:left="252"/>
              <w:rPr>
                <w:rFonts w:ascii="Times New Roman" w:hAnsi="Times New Roman" w:eastAsia="Times New Roman" w:cs="Times New Roman"/>
              </w:rPr>
            </w:pPr>
            <w:r>
              <w:rPr>
                <w:spacing w:val="4"/>
              </w:rPr>
              <w:t>断面流量</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r>
      <w:tr w14:paraId="70E2C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706" w:type="dxa"/>
            <w:vAlign w:val="top"/>
          </w:tcPr>
          <w:p w14:paraId="373640EC">
            <w:pPr>
              <w:pStyle w:val="6"/>
              <w:spacing w:before="146" w:line="228" w:lineRule="auto"/>
              <w:ind w:left="233"/>
            </w:pPr>
            <w:r>
              <w:rPr>
                <w:spacing w:val="7"/>
              </w:rPr>
              <w:t>西部丘间洼地</w:t>
            </w:r>
          </w:p>
        </w:tc>
        <w:tc>
          <w:tcPr>
            <w:tcW w:w="1469" w:type="dxa"/>
            <w:vAlign w:val="top"/>
          </w:tcPr>
          <w:p w14:paraId="14A25047">
            <w:pPr>
              <w:spacing w:before="183"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6020</w:t>
            </w:r>
          </w:p>
        </w:tc>
        <w:tc>
          <w:tcPr>
            <w:tcW w:w="1085" w:type="dxa"/>
            <w:vAlign w:val="top"/>
          </w:tcPr>
          <w:p w14:paraId="27ED6EE2">
            <w:pPr>
              <w:spacing w:before="183"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0.00896</w:t>
            </w:r>
          </w:p>
        </w:tc>
        <w:tc>
          <w:tcPr>
            <w:tcW w:w="1238" w:type="dxa"/>
            <w:vAlign w:val="top"/>
          </w:tcPr>
          <w:p w14:paraId="33E959AC">
            <w:pPr>
              <w:spacing w:before="183"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082" w:type="dxa"/>
            <w:vAlign w:val="top"/>
          </w:tcPr>
          <w:p w14:paraId="75F0091E">
            <w:pPr>
              <w:spacing w:before="183"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50" w:type="dxa"/>
            <w:vAlign w:val="top"/>
          </w:tcPr>
          <w:p w14:paraId="5CC311DE">
            <w:pPr>
              <w:spacing w:before="183"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377.57</w:t>
            </w:r>
          </w:p>
        </w:tc>
      </w:tr>
      <w:tr w14:paraId="72FE0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706" w:type="dxa"/>
            <w:vAlign w:val="top"/>
          </w:tcPr>
          <w:p w14:paraId="33EB81CA">
            <w:pPr>
              <w:pStyle w:val="6"/>
              <w:spacing w:before="129" w:line="228" w:lineRule="auto"/>
              <w:ind w:left="128"/>
            </w:pPr>
            <w:r>
              <w:rPr>
                <w:spacing w:val="7"/>
              </w:rPr>
              <w:t>西南部丘间沟谷</w:t>
            </w:r>
          </w:p>
        </w:tc>
        <w:tc>
          <w:tcPr>
            <w:tcW w:w="1469" w:type="dxa"/>
            <w:vAlign w:val="top"/>
          </w:tcPr>
          <w:p w14:paraId="2346A660">
            <w:pPr>
              <w:spacing w:before="16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w:t>
            </w:r>
          </w:p>
        </w:tc>
        <w:tc>
          <w:tcPr>
            <w:tcW w:w="1085" w:type="dxa"/>
            <w:vAlign w:val="top"/>
          </w:tcPr>
          <w:p w14:paraId="3B022D46">
            <w:pPr>
              <w:spacing w:before="166" w:line="195"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0.01061</w:t>
            </w:r>
          </w:p>
        </w:tc>
        <w:tc>
          <w:tcPr>
            <w:tcW w:w="1238" w:type="dxa"/>
            <w:vAlign w:val="top"/>
          </w:tcPr>
          <w:p w14:paraId="03A48B10">
            <w:pPr>
              <w:spacing w:before="166"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1082" w:type="dxa"/>
            <w:vAlign w:val="top"/>
          </w:tcPr>
          <w:p w14:paraId="21B1990F">
            <w:pPr>
              <w:spacing w:before="16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1850" w:type="dxa"/>
            <w:vAlign w:val="top"/>
          </w:tcPr>
          <w:p w14:paraId="388B92DE">
            <w:pPr>
              <w:spacing w:before="166"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58.44</w:t>
            </w:r>
          </w:p>
        </w:tc>
      </w:tr>
      <w:tr w14:paraId="1DE78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706" w:type="dxa"/>
            <w:vAlign w:val="top"/>
          </w:tcPr>
          <w:p w14:paraId="4F628D13">
            <w:pPr>
              <w:pStyle w:val="6"/>
              <w:spacing w:before="108" w:line="229" w:lineRule="auto"/>
              <w:ind w:left="649"/>
            </w:pPr>
            <w:r>
              <w:rPr>
                <w:spacing w:val="4"/>
              </w:rPr>
              <w:t>合计</w:t>
            </w:r>
          </w:p>
        </w:tc>
        <w:tc>
          <w:tcPr>
            <w:tcW w:w="1469" w:type="dxa"/>
            <w:vAlign w:val="top"/>
          </w:tcPr>
          <w:p w14:paraId="55957ECF">
            <w:pPr>
              <w:rPr>
                <w:rFonts w:ascii="Arial"/>
                <w:sz w:val="21"/>
              </w:rPr>
            </w:pPr>
          </w:p>
        </w:tc>
        <w:tc>
          <w:tcPr>
            <w:tcW w:w="1085" w:type="dxa"/>
            <w:vAlign w:val="top"/>
          </w:tcPr>
          <w:p w14:paraId="2743C56F">
            <w:pPr>
              <w:rPr>
                <w:rFonts w:ascii="Arial"/>
                <w:sz w:val="21"/>
              </w:rPr>
            </w:pPr>
          </w:p>
        </w:tc>
        <w:tc>
          <w:tcPr>
            <w:tcW w:w="1238" w:type="dxa"/>
            <w:vAlign w:val="top"/>
          </w:tcPr>
          <w:p w14:paraId="4F10A3E5">
            <w:pPr>
              <w:rPr>
                <w:rFonts w:ascii="Arial"/>
                <w:sz w:val="21"/>
              </w:rPr>
            </w:pPr>
          </w:p>
        </w:tc>
        <w:tc>
          <w:tcPr>
            <w:tcW w:w="1082" w:type="dxa"/>
            <w:vAlign w:val="top"/>
          </w:tcPr>
          <w:p w14:paraId="230A1B8A">
            <w:pPr>
              <w:rPr>
                <w:rFonts w:ascii="Arial"/>
                <w:sz w:val="21"/>
              </w:rPr>
            </w:pPr>
          </w:p>
        </w:tc>
        <w:tc>
          <w:tcPr>
            <w:tcW w:w="1850" w:type="dxa"/>
            <w:vAlign w:val="top"/>
          </w:tcPr>
          <w:p w14:paraId="7E8B9D0E">
            <w:pPr>
              <w:spacing w:before="144" w:line="195" w:lineRule="auto"/>
              <w:ind w:left="6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436.01</w:t>
            </w:r>
          </w:p>
        </w:tc>
      </w:tr>
    </w:tbl>
    <w:p w14:paraId="7100D783">
      <w:pPr>
        <w:spacing w:before="115" w:line="220" w:lineRule="auto"/>
        <w:ind w:left="554"/>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）蒸发排泄量</w:t>
      </w:r>
    </w:p>
    <w:p w14:paraId="642015C9">
      <w:pPr>
        <w:spacing w:before="181" w:line="360" w:lineRule="auto"/>
        <w:ind w:left="69" w:right="181" w:firstLine="487"/>
        <w:rPr>
          <w:rFonts w:ascii="宋体" w:hAnsi="宋体" w:eastAsia="宋体" w:cs="宋体"/>
          <w:sz w:val="24"/>
          <w:szCs w:val="24"/>
        </w:rPr>
      </w:pPr>
      <w:r>
        <w:rPr>
          <w:rFonts w:ascii="宋体" w:hAnsi="宋体" w:eastAsia="宋体" w:cs="宋体"/>
          <w:spacing w:val="-3"/>
          <w:sz w:val="24"/>
          <w:szCs w:val="24"/>
        </w:rPr>
        <w:t>蒸发排泄主要是地下水埋深较小区域，从包气带蒸发或植</w:t>
      </w:r>
      <w:r>
        <w:rPr>
          <w:rFonts w:ascii="宋体" w:hAnsi="宋体" w:eastAsia="宋体" w:cs="宋体"/>
          <w:spacing w:val="-4"/>
          <w:sz w:val="24"/>
          <w:szCs w:val="24"/>
        </w:rPr>
        <w:t>物蒸腾为水汽的现</w:t>
      </w:r>
      <w:r>
        <w:rPr>
          <w:rFonts w:ascii="宋体" w:hAnsi="宋体" w:eastAsia="宋体" w:cs="宋体"/>
          <w:sz w:val="24"/>
          <w:szCs w:val="24"/>
        </w:rPr>
        <w:t xml:space="preserve"> </w:t>
      </w:r>
      <w:r>
        <w:rPr>
          <w:rFonts w:ascii="宋体" w:hAnsi="宋体" w:eastAsia="宋体" w:cs="宋体"/>
          <w:spacing w:val="-3"/>
          <w:sz w:val="24"/>
          <w:szCs w:val="24"/>
        </w:rPr>
        <w:t>象。本次蒸发量的计算是由软件提供的蒸发蒸腾子程序包完成的，其三个参数包</w:t>
      </w:r>
      <w:r>
        <w:rPr>
          <w:rFonts w:ascii="宋体" w:hAnsi="宋体" w:eastAsia="宋体" w:cs="宋体"/>
          <w:spacing w:val="5"/>
          <w:sz w:val="24"/>
          <w:szCs w:val="24"/>
        </w:rPr>
        <w:t xml:space="preserve"> </w:t>
      </w:r>
      <w:r>
        <w:rPr>
          <w:rFonts w:ascii="宋体" w:hAnsi="宋体" w:eastAsia="宋体" w:cs="宋体"/>
          <w:spacing w:val="-1"/>
          <w:sz w:val="24"/>
          <w:szCs w:val="24"/>
        </w:rPr>
        <w:t>括：蒸发高程，取地表高程；潜水最大蒸发强度，多年平</w:t>
      </w:r>
      <w:r>
        <w:rPr>
          <w:rFonts w:ascii="宋体" w:hAnsi="宋体" w:eastAsia="宋体" w:cs="宋体"/>
          <w:spacing w:val="-2"/>
          <w:sz w:val="24"/>
          <w:szCs w:val="24"/>
        </w:rPr>
        <w:t>均蒸发量</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1750.2mm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冬季地下潜水蒸发量可忽略不计，去掉</w:t>
      </w:r>
      <w:r>
        <w:rPr>
          <w:rFonts w:ascii="宋体" w:hAnsi="宋体" w:eastAsia="宋体" w:cs="宋体"/>
          <w:spacing w:val="-18"/>
          <w:sz w:val="24"/>
          <w:szCs w:val="24"/>
        </w:rPr>
        <w:t xml:space="preserve"> </w:t>
      </w:r>
      <w:r>
        <w:rPr>
          <w:rFonts w:ascii="Times New Roman" w:hAnsi="Times New Roman" w:eastAsia="Times New Roman" w:cs="Times New Roman"/>
          <w:sz w:val="24"/>
          <w:szCs w:val="24"/>
        </w:rPr>
        <w:t>12-4</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 xml:space="preserve">月的蒸发量，根据收集月平均蒸发 </w:t>
      </w:r>
      <w:r>
        <w:rPr>
          <w:rFonts w:ascii="宋体" w:hAnsi="宋体" w:eastAsia="宋体" w:cs="宋体"/>
          <w:spacing w:val="-3"/>
          <w:sz w:val="24"/>
          <w:szCs w:val="24"/>
        </w:rPr>
        <w:t>量数据，评价区多年平均水面蒸发强度为</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1137.63mm/a</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，水面蒸发强度换算为地</w:t>
      </w:r>
      <w:r>
        <w:rPr>
          <w:rFonts w:ascii="宋体" w:hAnsi="宋体" w:eastAsia="宋体" w:cs="宋体"/>
          <w:sz w:val="24"/>
          <w:szCs w:val="24"/>
        </w:rPr>
        <w:t xml:space="preserve"> </w:t>
      </w:r>
      <w:r>
        <w:rPr>
          <w:rFonts w:ascii="宋体" w:hAnsi="宋体" w:eastAsia="宋体" w:cs="宋体"/>
          <w:spacing w:val="-3"/>
          <w:sz w:val="24"/>
          <w:szCs w:val="24"/>
        </w:rPr>
        <w:t>下水蒸发强度的蒸发系数为</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0.018</w:t>
      </w:r>
      <w:r>
        <w:rPr>
          <w:rFonts w:ascii="宋体" w:hAnsi="宋体" w:eastAsia="宋体" w:cs="宋体"/>
          <w:spacing w:val="-3"/>
          <w:sz w:val="24"/>
          <w:szCs w:val="24"/>
        </w:rPr>
        <w:t>，潜水蒸发强度为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0.02047734m/a</w:t>
      </w:r>
      <w:r>
        <w:rPr>
          <w:rFonts w:ascii="宋体" w:hAnsi="宋体" w:eastAsia="宋体" w:cs="宋体"/>
          <w:spacing w:val="-3"/>
          <w:sz w:val="24"/>
          <w:szCs w:val="24"/>
        </w:rPr>
        <w:t>，平均日蒸发</w:t>
      </w:r>
      <w:r>
        <w:rPr>
          <w:rFonts w:ascii="宋体" w:hAnsi="宋体" w:eastAsia="宋体" w:cs="宋体"/>
          <w:sz w:val="24"/>
          <w:szCs w:val="24"/>
        </w:rPr>
        <w:t xml:space="preserve"> </w:t>
      </w:r>
      <w:r>
        <w:rPr>
          <w:rFonts w:ascii="宋体" w:hAnsi="宋体" w:eastAsia="宋体" w:cs="宋体"/>
          <w:spacing w:val="-1"/>
          <w:sz w:val="24"/>
          <w:szCs w:val="24"/>
        </w:rPr>
        <w:t>强度为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0.0000561m/d</w:t>
      </w:r>
      <w:r>
        <w:rPr>
          <w:rFonts w:ascii="宋体" w:hAnsi="宋体" w:eastAsia="宋体" w:cs="宋体"/>
          <w:spacing w:val="-1"/>
          <w:sz w:val="24"/>
          <w:szCs w:val="24"/>
        </w:rPr>
        <w:t>；极限埋深根据区域水文地质资料，取</w:t>
      </w:r>
      <w:r>
        <w:rPr>
          <w:rFonts w:ascii="宋体" w:hAnsi="宋体" w:eastAsia="宋体" w:cs="宋体"/>
          <w:spacing w:val="-2"/>
          <w:sz w:val="24"/>
          <w:szCs w:val="24"/>
        </w:rPr>
        <w:t>经验值</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5m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，根据评</w:t>
      </w:r>
      <w:r>
        <w:rPr>
          <w:rFonts w:ascii="宋体" w:hAnsi="宋体" w:eastAsia="宋体" w:cs="宋体"/>
          <w:sz w:val="24"/>
          <w:szCs w:val="24"/>
        </w:rPr>
        <w:t xml:space="preserve"> </w:t>
      </w:r>
      <w:r>
        <w:rPr>
          <w:rFonts w:ascii="宋体" w:hAnsi="宋体" w:eastAsia="宋体" w:cs="宋体"/>
          <w:spacing w:val="7"/>
          <w:sz w:val="24"/>
          <w:szCs w:val="24"/>
        </w:rPr>
        <w:t>价区井点水位情况，评价区总面积</w:t>
      </w:r>
      <w:r>
        <w:rPr>
          <w:rFonts w:ascii="宋体" w:hAnsi="宋体" w:eastAsia="宋体" w:cs="宋体"/>
          <w:spacing w:val="-21"/>
          <w:sz w:val="24"/>
          <w:szCs w:val="24"/>
        </w:rPr>
        <w:t xml:space="preserve"> </w:t>
      </w:r>
      <w:r>
        <w:rPr>
          <w:rFonts w:ascii="Times New Roman" w:hAnsi="Times New Roman" w:eastAsia="Times New Roman" w:cs="Times New Roman"/>
          <w:spacing w:val="7"/>
          <w:sz w:val="24"/>
          <w:szCs w:val="24"/>
        </w:rPr>
        <w:t>53.78</w:t>
      </w:r>
      <w:r>
        <w:rPr>
          <w:rFonts w:ascii="Times New Roman" w:hAnsi="Times New Roman" w:eastAsia="Times New Roman" w:cs="Times New Roman"/>
          <w:sz w:val="24"/>
          <w:szCs w:val="24"/>
        </w:rPr>
        <w:t>km</w:t>
      </w:r>
      <w:r>
        <w:rPr>
          <w:rFonts w:ascii="Times New Roman" w:hAnsi="Times New Roman" w:eastAsia="Times New Roman" w:cs="Times New Roman"/>
          <w:spacing w:val="7"/>
          <w:position w:val="8"/>
          <w:sz w:val="15"/>
          <w:szCs w:val="15"/>
        </w:rPr>
        <w:t xml:space="preserve">2 </w:t>
      </w:r>
      <w:r>
        <w:rPr>
          <w:rFonts w:ascii="宋体" w:hAnsi="宋体" w:eastAsia="宋体" w:cs="宋体"/>
          <w:spacing w:val="7"/>
          <w:sz w:val="24"/>
          <w:szCs w:val="24"/>
        </w:rPr>
        <w:t xml:space="preserve">，其中水位埋深 </w:t>
      </w:r>
      <w:r>
        <w:rPr>
          <w:rFonts w:ascii="Times New Roman" w:hAnsi="Times New Roman" w:eastAsia="Times New Roman" w:cs="Times New Roman"/>
          <w:spacing w:val="7"/>
          <w:sz w:val="24"/>
          <w:szCs w:val="24"/>
        </w:rPr>
        <w:t>1-5m</w:t>
      </w:r>
      <w:r>
        <w:rPr>
          <w:rFonts w:ascii="Times New Roman" w:hAnsi="Times New Roman" w:eastAsia="Times New Roman" w:cs="Times New Roman"/>
          <w:spacing w:val="47"/>
          <w:sz w:val="24"/>
          <w:szCs w:val="24"/>
        </w:rPr>
        <w:t xml:space="preserve"> </w:t>
      </w:r>
      <w:r>
        <w:rPr>
          <w:rFonts w:ascii="宋体" w:hAnsi="宋体" w:eastAsia="宋体" w:cs="宋体"/>
          <w:spacing w:val="7"/>
          <w:sz w:val="24"/>
          <w:szCs w:val="24"/>
        </w:rPr>
        <w:t>区域面积</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22.23km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2"/>
          <w:position w:val="8"/>
          <w:sz w:val="15"/>
          <w:szCs w:val="15"/>
        </w:rPr>
        <w:t xml:space="preserve"> </w:t>
      </w:r>
      <w:r>
        <w:rPr>
          <w:rFonts w:ascii="宋体" w:hAnsi="宋体" w:eastAsia="宋体" w:cs="宋体"/>
          <w:spacing w:val="-2"/>
          <w:sz w:val="24"/>
          <w:szCs w:val="24"/>
        </w:rPr>
        <w:t>，其他区域不进行蒸发量计算。</w:t>
      </w:r>
    </w:p>
    <w:p w14:paraId="0A68C7DF">
      <w:pPr>
        <w:spacing w:line="219" w:lineRule="auto"/>
        <w:ind w:left="256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8.2-8    </w:t>
      </w:r>
      <w:r>
        <w:rPr>
          <w:rFonts w:ascii="宋体" w:hAnsi="宋体" w:eastAsia="宋体" w:cs="宋体"/>
          <w:spacing w:val="-2"/>
          <w:sz w:val="24"/>
          <w:szCs w:val="24"/>
        </w:rPr>
        <w:t>侧向径流量计算结果表</w:t>
      </w:r>
    </w:p>
    <w:p w14:paraId="7F48ED35">
      <w:pPr>
        <w:spacing w:line="68" w:lineRule="exact"/>
      </w:pPr>
    </w:p>
    <w:tbl>
      <w:tblPr>
        <w:tblStyle w:val="5"/>
        <w:tblW w:w="8260"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133"/>
        <w:gridCol w:w="1417"/>
        <w:gridCol w:w="1133"/>
        <w:gridCol w:w="1839"/>
        <w:gridCol w:w="1625"/>
      </w:tblGrid>
      <w:tr w14:paraId="60D09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113" w:type="dxa"/>
            <w:vAlign w:val="top"/>
          </w:tcPr>
          <w:p w14:paraId="20D1423A">
            <w:pPr>
              <w:pStyle w:val="6"/>
              <w:spacing w:before="264" w:line="228" w:lineRule="auto"/>
              <w:ind w:left="368"/>
            </w:pPr>
            <w:r>
              <w:rPr>
                <w:spacing w:val="-3"/>
              </w:rPr>
              <w:t>区域</w:t>
            </w:r>
          </w:p>
        </w:tc>
        <w:tc>
          <w:tcPr>
            <w:tcW w:w="1133" w:type="dxa"/>
            <w:vAlign w:val="top"/>
          </w:tcPr>
          <w:p w14:paraId="1D8E3B4D">
            <w:pPr>
              <w:pStyle w:val="6"/>
              <w:spacing w:before="263" w:line="221" w:lineRule="auto"/>
              <w:ind w:left="123"/>
              <w:rPr>
                <w:rFonts w:ascii="Times New Roman" w:hAnsi="Times New Roman" w:eastAsia="Times New Roman" w:cs="Times New Roman"/>
              </w:rPr>
            </w:pPr>
            <w:r>
              <w:rPr>
                <w:spacing w:val="6"/>
              </w:rPr>
              <w:t>面积</w:t>
            </w:r>
            <w:r>
              <w:rPr>
                <w:rFonts w:ascii="Times New Roman" w:hAnsi="Times New Roman" w:eastAsia="Times New Roman" w:cs="Times New Roman"/>
                <w:spacing w:val="6"/>
              </w:rPr>
              <w:t>(</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rPr>
              <w:t>)</w:t>
            </w:r>
          </w:p>
        </w:tc>
        <w:tc>
          <w:tcPr>
            <w:tcW w:w="1417" w:type="dxa"/>
            <w:vAlign w:val="top"/>
          </w:tcPr>
          <w:p w14:paraId="6D05E395">
            <w:pPr>
              <w:pStyle w:val="6"/>
              <w:spacing w:before="107" w:line="286" w:lineRule="auto"/>
              <w:ind w:left="160" w:right="170" w:firstLine="32"/>
            </w:pPr>
            <w:r>
              <w:rPr>
                <w:spacing w:val="7"/>
              </w:rPr>
              <w:t>水面蒸发强</w:t>
            </w:r>
            <w:r>
              <w:rPr>
                <w:spacing w:val="2"/>
              </w:rPr>
              <w:t xml:space="preserve"> </w:t>
            </w:r>
            <w:r>
              <w:rPr>
                <w:spacing w:val="5"/>
              </w:rPr>
              <w:t>度（</w:t>
            </w:r>
            <w:r>
              <w:rPr>
                <w:rFonts w:ascii="Times New Roman" w:hAnsi="Times New Roman" w:eastAsia="Times New Roman" w:cs="Times New Roman"/>
              </w:rPr>
              <w:t>mm</w:t>
            </w:r>
            <w:r>
              <w:rPr>
                <w:rFonts w:ascii="Times New Roman" w:hAnsi="Times New Roman" w:eastAsia="Times New Roman" w:cs="Times New Roman"/>
                <w:spacing w:val="5"/>
              </w:rPr>
              <w:t>/a</w:t>
            </w:r>
            <w:r>
              <w:rPr>
                <w:spacing w:val="5"/>
              </w:rPr>
              <w:t>）</w:t>
            </w:r>
          </w:p>
        </w:tc>
        <w:tc>
          <w:tcPr>
            <w:tcW w:w="1133" w:type="dxa"/>
            <w:vAlign w:val="top"/>
          </w:tcPr>
          <w:p w14:paraId="7EF80C7E">
            <w:pPr>
              <w:pStyle w:val="6"/>
              <w:spacing w:before="263" w:line="228" w:lineRule="auto"/>
              <w:ind w:left="154"/>
            </w:pPr>
            <w:r>
              <w:rPr>
                <w:spacing w:val="6"/>
              </w:rPr>
              <w:t>换算系数</w:t>
            </w:r>
          </w:p>
        </w:tc>
        <w:tc>
          <w:tcPr>
            <w:tcW w:w="1839" w:type="dxa"/>
            <w:vAlign w:val="top"/>
          </w:tcPr>
          <w:p w14:paraId="34AE719B">
            <w:pPr>
              <w:pStyle w:val="6"/>
              <w:spacing w:before="107" w:line="228" w:lineRule="auto"/>
              <w:ind w:left="190"/>
            </w:pPr>
            <w:r>
              <w:rPr>
                <w:spacing w:val="8"/>
              </w:rPr>
              <w:t>地下水蒸发强度</w:t>
            </w:r>
          </w:p>
          <w:p w14:paraId="3F9D7626">
            <w:pPr>
              <w:pStyle w:val="6"/>
              <w:spacing w:before="65"/>
              <w:ind w:left="489"/>
            </w:pPr>
            <w:r>
              <w:rPr>
                <w:spacing w:val="2"/>
              </w:rPr>
              <w:t>（</w:t>
            </w:r>
            <w:r>
              <w:rPr>
                <w:rFonts w:ascii="Times New Roman" w:hAnsi="Times New Roman" w:eastAsia="Times New Roman" w:cs="Times New Roman"/>
              </w:rPr>
              <w:t>mm</w:t>
            </w:r>
            <w:r>
              <w:rPr>
                <w:rFonts w:ascii="Times New Roman" w:hAnsi="Times New Roman" w:eastAsia="Times New Roman" w:cs="Times New Roman"/>
                <w:spacing w:val="2"/>
              </w:rPr>
              <w:t>/a</w:t>
            </w:r>
            <w:r>
              <w:rPr>
                <w:spacing w:val="2"/>
              </w:rPr>
              <w:t>）</w:t>
            </w:r>
          </w:p>
        </w:tc>
        <w:tc>
          <w:tcPr>
            <w:tcW w:w="1625" w:type="dxa"/>
            <w:vAlign w:val="top"/>
          </w:tcPr>
          <w:p w14:paraId="30ED3B8B">
            <w:pPr>
              <w:pStyle w:val="6"/>
              <w:spacing w:before="263" w:line="221" w:lineRule="auto"/>
              <w:ind w:left="238"/>
              <w:rPr>
                <w:rFonts w:ascii="Times New Roman" w:hAnsi="Times New Roman" w:eastAsia="Times New Roman" w:cs="Times New Roman"/>
              </w:rPr>
            </w:pPr>
            <w:r>
              <w:rPr>
                <w:spacing w:val="4"/>
              </w:rPr>
              <w:t>蒸发量</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r>
      <w:tr w14:paraId="16928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1113" w:type="dxa"/>
            <w:vAlign w:val="top"/>
          </w:tcPr>
          <w:p w14:paraId="168CF83D">
            <w:pPr>
              <w:pStyle w:val="6"/>
              <w:spacing w:before="195" w:line="228" w:lineRule="auto"/>
              <w:ind w:left="143"/>
            </w:pPr>
            <w:r>
              <w:rPr>
                <w:spacing w:val="7"/>
              </w:rPr>
              <w:t>水位埋深</w:t>
            </w:r>
          </w:p>
          <w:p w14:paraId="49133E39">
            <w:pPr>
              <w:spacing w:before="10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1-5m</w:t>
            </w:r>
          </w:p>
        </w:tc>
        <w:tc>
          <w:tcPr>
            <w:tcW w:w="1133" w:type="dxa"/>
            <w:vAlign w:val="top"/>
          </w:tcPr>
          <w:p w14:paraId="3A7669FA">
            <w:pPr>
              <w:spacing w:line="328" w:lineRule="auto"/>
              <w:rPr>
                <w:rFonts w:ascii="Arial"/>
                <w:sz w:val="21"/>
              </w:rPr>
            </w:pPr>
          </w:p>
          <w:p w14:paraId="3D2BC92D">
            <w:pPr>
              <w:spacing w:before="57"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22.23</w:t>
            </w:r>
          </w:p>
        </w:tc>
        <w:tc>
          <w:tcPr>
            <w:tcW w:w="1417" w:type="dxa"/>
            <w:vAlign w:val="top"/>
          </w:tcPr>
          <w:p w14:paraId="79D4D22E">
            <w:pPr>
              <w:spacing w:line="328" w:lineRule="auto"/>
              <w:rPr>
                <w:rFonts w:ascii="Arial"/>
                <w:sz w:val="21"/>
              </w:rPr>
            </w:pPr>
          </w:p>
          <w:p w14:paraId="169B0230">
            <w:pPr>
              <w:spacing w:before="5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1137.63</w:t>
            </w:r>
          </w:p>
        </w:tc>
        <w:tc>
          <w:tcPr>
            <w:tcW w:w="1133" w:type="dxa"/>
            <w:vAlign w:val="top"/>
          </w:tcPr>
          <w:p w14:paraId="3F89A623">
            <w:pPr>
              <w:spacing w:line="328" w:lineRule="auto"/>
              <w:rPr>
                <w:rFonts w:ascii="Arial"/>
                <w:sz w:val="21"/>
              </w:rPr>
            </w:pPr>
          </w:p>
          <w:p w14:paraId="39073547">
            <w:pPr>
              <w:spacing w:before="57"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c>
          <w:tcPr>
            <w:tcW w:w="1839" w:type="dxa"/>
            <w:vAlign w:val="top"/>
          </w:tcPr>
          <w:p w14:paraId="67F8FABC">
            <w:pPr>
              <w:spacing w:line="328" w:lineRule="auto"/>
              <w:rPr>
                <w:rFonts w:ascii="Arial"/>
                <w:sz w:val="21"/>
              </w:rPr>
            </w:pPr>
          </w:p>
          <w:p w14:paraId="0C61AA2A">
            <w:pPr>
              <w:spacing w:before="5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20.47734</w:t>
            </w:r>
          </w:p>
        </w:tc>
        <w:tc>
          <w:tcPr>
            <w:tcW w:w="1625" w:type="dxa"/>
            <w:vAlign w:val="top"/>
          </w:tcPr>
          <w:p w14:paraId="150125DC">
            <w:pPr>
              <w:spacing w:line="328" w:lineRule="auto"/>
              <w:rPr>
                <w:rFonts w:ascii="Arial"/>
                <w:sz w:val="21"/>
              </w:rPr>
            </w:pPr>
          </w:p>
          <w:p w14:paraId="55A56F9B">
            <w:pPr>
              <w:spacing w:before="5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1247.10</w:t>
            </w:r>
          </w:p>
        </w:tc>
      </w:tr>
    </w:tbl>
    <w:p w14:paraId="6884EF57">
      <w:pPr>
        <w:spacing w:before="115" w:line="219" w:lineRule="auto"/>
        <w:ind w:left="548"/>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）人工开采量</w:t>
      </w:r>
    </w:p>
    <w:p w14:paraId="7B263282">
      <w:pPr>
        <w:spacing w:before="183" w:line="360" w:lineRule="auto"/>
        <w:ind w:left="73" w:right="101" w:firstLine="482"/>
        <w:rPr>
          <w:rFonts w:ascii="宋体" w:hAnsi="宋体" w:eastAsia="宋体" w:cs="宋体"/>
          <w:sz w:val="24"/>
          <w:szCs w:val="24"/>
        </w:rPr>
      </w:pPr>
      <w:r>
        <w:rPr>
          <w:rFonts w:ascii="宋体" w:hAnsi="宋体" w:eastAsia="宋体" w:cs="宋体"/>
          <w:spacing w:val="-2"/>
          <w:sz w:val="24"/>
          <w:szCs w:val="24"/>
        </w:rPr>
        <w:t xml:space="preserve">人工开采量在收集资料的基础上，现状调查的评价区开采量，利用 </w:t>
      </w:r>
      <w:r>
        <w:rPr>
          <w:rFonts w:ascii="Times New Roman" w:hAnsi="Times New Roman" w:eastAsia="Times New Roman" w:cs="Times New Roman"/>
          <w:spacing w:val="-2"/>
          <w:sz w:val="24"/>
          <w:szCs w:val="24"/>
        </w:rPr>
        <w:t>Wells</w:t>
      </w:r>
      <w:r>
        <w:rPr>
          <w:rFonts w:ascii="宋体" w:hAnsi="宋体" w:eastAsia="宋体" w:cs="宋体"/>
          <w:spacing w:val="-2"/>
          <w:sz w:val="24"/>
          <w:szCs w:val="24"/>
        </w:rPr>
        <w:t>子</w:t>
      </w:r>
      <w:r>
        <w:rPr>
          <w:rFonts w:ascii="宋体" w:hAnsi="宋体" w:eastAsia="宋体" w:cs="宋体"/>
          <w:spacing w:val="6"/>
          <w:sz w:val="24"/>
          <w:szCs w:val="24"/>
        </w:rPr>
        <w:t xml:space="preserve"> </w:t>
      </w:r>
      <w:r>
        <w:rPr>
          <w:rFonts w:ascii="宋体" w:hAnsi="宋体" w:eastAsia="宋体" w:cs="宋体"/>
          <w:spacing w:val="-1"/>
          <w:sz w:val="24"/>
          <w:szCs w:val="24"/>
        </w:rPr>
        <w:t>程序包来处理，根据调查，区内人工开采强度平均值为</w:t>
      </w:r>
      <w:r>
        <w:rPr>
          <w:rFonts w:ascii="Times New Roman" w:hAnsi="Times New Roman" w:eastAsia="Times New Roman" w:cs="Times New Roman"/>
          <w:spacing w:val="-1"/>
          <w:sz w:val="24"/>
          <w:szCs w:val="24"/>
        </w:rPr>
        <w:t>605.5m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。评价区内地</w:t>
      </w:r>
      <w:r>
        <w:rPr>
          <w:rFonts w:ascii="宋体" w:hAnsi="宋体" w:eastAsia="宋体" w:cs="宋体"/>
          <w:sz w:val="24"/>
          <w:szCs w:val="24"/>
        </w:rPr>
        <w:t xml:space="preserve">  </w:t>
      </w:r>
      <w:r>
        <w:rPr>
          <w:rFonts w:ascii="宋体" w:hAnsi="宋体" w:eastAsia="宋体" w:cs="宋体"/>
          <w:spacing w:val="-3"/>
          <w:sz w:val="24"/>
          <w:szCs w:val="24"/>
        </w:rPr>
        <w:t>下水开采为分散开采，主要集中在牧民居住区。评价区内地下水开采量按照开采</w:t>
      </w:r>
      <w:r>
        <w:rPr>
          <w:rFonts w:ascii="宋体" w:hAnsi="宋体" w:eastAsia="宋体" w:cs="宋体"/>
          <w:spacing w:val="1"/>
          <w:sz w:val="24"/>
          <w:szCs w:val="24"/>
        </w:rPr>
        <w:t xml:space="preserve"> </w:t>
      </w:r>
      <w:r>
        <w:rPr>
          <w:rFonts w:ascii="宋体" w:hAnsi="宋体" w:eastAsia="宋体" w:cs="宋体"/>
          <w:spacing w:val="-2"/>
          <w:sz w:val="24"/>
          <w:szCs w:val="24"/>
        </w:rPr>
        <w:t>井的分布规律概化为</w:t>
      </w:r>
      <w:r>
        <w:rPr>
          <w:rFonts w:ascii="Times New Roman" w:hAnsi="Times New Roman" w:eastAsia="Times New Roman" w:cs="Times New Roman"/>
          <w:spacing w:val="-2"/>
          <w:sz w:val="24"/>
          <w:szCs w:val="24"/>
        </w:rPr>
        <w:t>13</w:t>
      </w:r>
      <w:r>
        <w:rPr>
          <w:rFonts w:ascii="宋体" w:hAnsi="宋体" w:eastAsia="宋体" w:cs="宋体"/>
          <w:spacing w:val="-2"/>
          <w:sz w:val="24"/>
          <w:szCs w:val="24"/>
        </w:rPr>
        <w:t>口开采井，分布牧民家区域，一般开采井量为</w:t>
      </w:r>
      <w:r>
        <w:rPr>
          <w:rFonts w:ascii="Times New Roman" w:hAnsi="Times New Roman" w:eastAsia="Times New Roman" w:cs="Times New Roman"/>
          <w:spacing w:val="-2"/>
          <w:sz w:val="24"/>
          <w:szCs w:val="24"/>
        </w:rPr>
        <w:t>10-60m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p>
    <w:p w14:paraId="1F933BAF">
      <w:pPr>
        <w:spacing w:before="1" w:line="217" w:lineRule="auto"/>
        <w:ind w:left="552"/>
        <w:rPr>
          <w:rFonts w:ascii="宋体" w:hAnsi="宋体" w:eastAsia="宋体" w:cs="宋体"/>
          <w:sz w:val="24"/>
          <w:szCs w:val="24"/>
        </w:rPr>
      </w:pPr>
      <w:r>
        <w:rPr>
          <w:rFonts w:ascii="宋体" w:hAnsi="宋体" w:eastAsia="宋体" w:cs="宋体"/>
          <w:spacing w:val="-2"/>
          <w:sz w:val="24"/>
          <w:szCs w:val="24"/>
        </w:rPr>
        <w:t>⑧模型验证</w:t>
      </w:r>
    </w:p>
    <w:p w14:paraId="6E7D1533">
      <w:pPr>
        <w:spacing w:line="217" w:lineRule="auto"/>
        <w:rPr>
          <w:rFonts w:ascii="宋体" w:hAnsi="宋体" w:eastAsia="宋体" w:cs="宋体"/>
          <w:sz w:val="24"/>
          <w:szCs w:val="24"/>
        </w:rPr>
        <w:sectPr>
          <w:headerReference r:id="rId283" w:type="default"/>
          <w:footerReference r:id="rId284" w:type="default"/>
          <w:pgSz w:w="11906" w:h="16839"/>
          <w:pgMar w:top="1208" w:right="1618" w:bottom="1358" w:left="1735" w:header="825" w:footer="1195" w:gutter="0"/>
          <w:cols w:space="720" w:num="1"/>
        </w:sectPr>
      </w:pPr>
    </w:p>
    <w:p w14:paraId="4121534E">
      <w:pPr>
        <w:pStyle w:val="2"/>
        <w:spacing w:line="265" w:lineRule="auto"/>
      </w:pPr>
    </w:p>
    <w:p w14:paraId="7235137A">
      <w:pPr>
        <w:spacing w:before="78" w:line="360" w:lineRule="auto"/>
        <w:ind w:left="123" w:firstLine="478"/>
        <w:jc w:val="both"/>
        <w:rPr>
          <w:rFonts w:ascii="宋体" w:hAnsi="宋体" w:eastAsia="宋体" w:cs="宋体"/>
          <w:sz w:val="24"/>
          <w:szCs w:val="24"/>
        </w:rPr>
      </w:pPr>
      <w:r>
        <w:rPr>
          <w:rFonts w:ascii="宋体" w:hAnsi="宋体" w:eastAsia="宋体" w:cs="宋体"/>
          <w:spacing w:val="-3"/>
          <w:sz w:val="24"/>
          <w:szCs w:val="24"/>
        </w:rPr>
        <w:t>模型的识别与验证过程是整个模拟中极为重要的一步工作，通常要</w:t>
      </w:r>
      <w:r>
        <w:rPr>
          <w:rFonts w:ascii="宋体" w:hAnsi="宋体" w:eastAsia="宋体" w:cs="宋体"/>
          <w:spacing w:val="-4"/>
          <w:sz w:val="24"/>
          <w:szCs w:val="24"/>
        </w:rPr>
        <w:t>在反复修</w:t>
      </w:r>
      <w:r>
        <w:rPr>
          <w:rFonts w:ascii="宋体" w:hAnsi="宋体" w:eastAsia="宋体" w:cs="宋体"/>
          <w:sz w:val="24"/>
          <w:szCs w:val="24"/>
        </w:rPr>
        <w:t xml:space="preserve">  </w:t>
      </w:r>
      <w:r>
        <w:rPr>
          <w:rFonts w:ascii="宋体" w:hAnsi="宋体" w:eastAsia="宋体" w:cs="宋体"/>
          <w:spacing w:val="-3"/>
          <w:sz w:val="24"/>
          <w:szCs w:val="24"/>
        </w:rPr>
        <w:t>改参数和调整某些源汇项输入的基础上，才能达到较为理想的拟合结果。此模型</w:t>
      </w:r>
      <w:r>
        <w:rPr>
          <w:rFonts w:ascii="宋体" w:hAnsi="宋体" w:eastAsia="宋体" w:cs="宋体"/>
          <w:sz w:val="24"/>
          <w:szCs w:val="24"/>
        </w:rPr>
        <w:t xml:space="preserve">  </w:t>
      </w:r>
      <w:r>
        <w:rPr>
          <w:rFonts w:ascii="宋体" w:hAnsi="宋体" w:eastAsia="宋体" w:cs="宋体"/>
          <w:spacing w:val="-4"/>
          <w:sz w:val="24"/>
          <w:szCs w:val="24"/>
        </w:rPr>
        <w:t>的识别与检验过程采用的方法称为试估—校正法，属于反求参数的间接方法之一。</w:t>
      </w:r>
      <w:r>
        <w:rPr>
          <w:rFonts w:ascii="宋体" w:hAnsi="宋体" w:eastAsia="宋体" w:cs="宋体"/>
          <w:sz w:val="24"/>
          <w:szCs w:val="24"/>
        </w:rPr>
        <w:t xml:space="preserve"> </w:t>
      </w:r>
      <w:r>
        <w:rPr>
          <w:rFonts w:ascii="宋体" w:hAnsi="宋体" w:eastAsia="宋体" w:cs="宋体"/>
          <w:spacing w:val="-1"/>
          <w:sz w:val="24"/>
          <w:szCs w:val="24"/>
        </w:rPr>
        <w:t>稳定流模型识别和验证主要遵循以下原则：</w:t>
      </w:r>
    </w:p>
    <w:p w14:paraId="5266194A">
      <w:pPr>
        <w:spacing w:before="1" w:line="289" w:lineRule="auto"/>
        <w:ind w:left="124" w:right="226"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）模拟的地下水流场要与实际地下水流场基本一致，即要求地下水模拟</w:t>
      </w:r>
      <w:r>
        <w:rPr>
          <w:rFonts w:ascii="宋体" w:hAnsi="宋体" w:eastAsia="宋体" w:cs="宋体"/>
          <w:spacing w:val="11"/>
          <w:sz w:val="24"/>
          <w:szCs w:val="24"/>
        </w:rPr>
        <w:t xml:space="preserve"> </w:t>
      </w:r>
      <w:r>
        <w:rPr>
          <w:rFonts w:ascii="宋体" w:hAnsi="宋体" w:eastAsia="宋体" w:cs="宋体"/>
          <w:spacing w:val="-1"/>
          <w:sz w:val="24"/>
          <w:szCs w:val="24"/>
        </w:rPr>
        <w:t>等值线与实测地下水位等值线形状相似；</w:t>
      </w:r>
    </w:p>
    <w:p w14:paraId="2FE0A05F">
      <w:pPr>
        <w:spacing w:before="183" w:line="289" w:lineRule="auto"/>
        <w:ind w:left="121" w:right="226"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）水位监测点监测数据要与模拟值接近，参加拟合的水位监测点至少有</w:t>
      </w:r>
      <w:r>
        <w:rPr>
          <w:rFonts w:ascii="宋体" w:hAnsi="宋体" w:eastAsia="宋体" w:cs="宋体"/>
          <w:spacing w:val="11"/>
          <w:sz w:val="24"/>
          <w:szCs w:val="24"/>
        </w:rPr>
        <w:t xml:space="preserve"> </w:t>
      </w:r>
      <w:r>
        <w:rPr>
          <w:rFonts w:ascii="Times New Roman" w:hAnsi="Times New Roman" w:eastAsia="Times New Roman" w:cs="Times New Roman"/>
          <w:spacing w:val="-1"/>
          <w:sz w:val="24"/>
          <w:szCs w:val="24"/>
        </w:rPr>
        <w:t>75%</w:t>
      </w:r>
      <w:r>
        <w:rPr>
          <w:rFonts w:ascii="宋体" w:hAnsi="宋体" w:eastAsia="宋体" w:cs="宋体"/>
          <w:spacing w:val="-1"/>
          <w:sz w:val="24"/>
          <w:szCs w:val="24"/>
        </w:rPr>
        <w:t>的点水位模拟值与计算值的偏差在</w:t>
      </w:r>
      <w:r>
        <w:rPr>
          <w:rFonts w:ascii="Times New Roman" w:hAnsi="Times New Roman" w:eastAsia="Times New Roman" w:cs="Times New Roman"/>
          <w:spacing w:val="-1"/>
          <w:sz w:val="24"/>
          <w:szCs w:val="24"/>
        </w:rPr>
        <w:t>0.5m</w:t>
      </w:r>
      <w:r>
        <w:rPr>
          <w:rFonts w:ascii="宋体" w:hAnsi="宋体" w:eastAsia="宋体" w:cs="宋体"/>
          <w:spacing w:val="-1"/>
          <w:sz w:val="24"/>
          <w:szCs w:val="24"/>
        </w:rPr>
        <w:t>以内；</w:t>
      </w:r>
    </w:p>
    <w:p w14:paraId="62FC1E27">
      <w:pPr>
        <w:spacing w:before="184" w:line="219" w:lineRule="auto"/>
        <w:ind w:left="61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）稳定流模型源之总和与汇之总和相对误差在</w:t>
      </w:r>
      <w:r>
        <w:rPr>
          <w:rFonts w:ascii="Times New Roman" w:hAnsi="Times New Roman" w:eastAsia="Times New Roman" w:cs="Times New Roman"/>
          <w:spacing w:val="-1"/>
          <w:sz w:val="24"/>
          <w:szCs w:val="24"/>
        </w:rPr>
        <w:t>5%</w:t>
      </w:r>
      <w:r>
        <w:rPr>
          <w:rFonts w:ascii="宋体" w:hAnsi="宋体" w:eastAsia="宋体" w:cs="宋体"/>
          <w:spacing w:val="-1"/>
          <w:sz w:val="24"/>
          <w:szCs w:val="24"/>
        </w:rPr>
        <w:t>以内；</w:t>
      </w:r>
    </w:p>
    <w:p w14:paraId="5CB67034">
      <w:pPr>
        <w:spacing w:before="183" w:line="219" w:lineRule="auto"/>
        <w:ind w:left="61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）识别的水文地质参数要符合实际水文地质条件。</w:t>
      </w:r>
    </w:p>
    <w:p w14:paraId="73A5DA6E">
      <w:pPr>
        <w:spacing w:before="183" w:line="360" w:lineRule="auto"/>
        <w:ind w:left="122" w:right="200"/>
        <w:rPr>
          <w:rFonts w:ascii="宋体" w:hAnsi="宋体" w:eastAsia="宋体" w:cs="宋体"/>
          <w:sz w:val="24"/>
          <w:szCs w:val="24"/>
        </w:rPr>
      </w:pPr>
      <w:r>
        <w:rPr>
          <w:rFonts w:ascii="宋体" w:hAnsi="宋体" w:eastAsia="宋体" w:cs="宋体"/>
          <w:spacing w:val="-3"/>
          <w:sz w:val="24"/>
          <w:szCs w:val="24"/>
        </w:rPr>
        <w:t>根据以上四个原则，对模拟区地下水系统进行了识别和验证，通过反复调整参数</w:t>
      </w:r>
      <w:r>
        <w:rPr>
          <w:rFonts w:ascii="宋体" w:hAnsi="宋体" w:eastAsia="宋体" w:cs="宋体"/>
          <w:spacing w:val="1"/>
          <w:sz w:val="24"/>
          <w:szCs w:val="24"/>
        </w:rPr>
        <w:t xml:space="preserve"> </w:t>
      </w:r>
      <w:r>
        <w:rPr>
          <w:rFonts w:ascii="宋体" w:hAnsi="宋体" w:eastAsia="宋体" w:cs="宋体"/>
          <w:spacing w:val="-1"/>
          <w:sz w:val="24"/>
          <w:szCs w:val="24"/>
        </w:rPr>
        <w:t>和均衡量，识别水文地质条件，确定了模型结构、参数和均衡要素。</w:t>
      </w:r>
    </w:p>
    <w:p w14:paraId="77C4E51B">
      <w:pPr>
        <w:spacing w:before="1" w:line="217" w:lineRule="auto"/>
        <w:ind w:left="631"/>
        <w:rPr>
          <w:rFonts w:ascii="宋体" w:hAnsi="宋体" w:eastAsia="宋体" w:cs="宋体"/>
          <w:sz w:val="24"/>
          <w:szCs w:val="24"/>
        </w:rPr>
      </w:pPr>
      <w:r>
        <w:rPr>
          <w:rFonts w:ascii="宋体" w:hAnsi="宋体" w:eastAsia="宋体" w:cs="宋体"/>
          <w:spacing w:val="-1"/>
          <w:sz w:val="24"/>
          <w:szCs w:val="24"/>
        </w:rPr>
        <w:t>由图</w:t>
      </w:r>
      <w:r>
        <w:rPr>
          <w:rFonts w:ascii="Times New Roman" w:hAnsi="Times New Roman" w:eastAsia="Times New Roman" w:cs="Times New Roman"/>
          <w:spacing w:val="-1"/>
          <w:sz w:val="24"/>
          <w:szCs w:val="24"/>
        </w:rPr>
        <w:t>8.2-10</w:t>
      </w:r>
      <w:r>
        <w:rPr>
          <w:rFonts w:ascii="宋体" w:hAnsi="宋体" w:eastAsia="宋体" w:cs="宋体"/>
          <w:spacing w:val="-1"/>
          <w:sz w:val="24"/>
          <w:szCs w:val="24"/>
        </w:rPr>
        <w:t>和表</w:t>
      </w:r>
      <w:r>
        <w:rPr>
          <w:rFonts w:ascii="Times New Roman" w:hAnsi="Times New Roman" w:eastAsia="Times New Roman" w:cs="Times New Roman"/>
          <w:spacing w:val="-1"/>
          <w:sz w:val="24"/>
          <w:szCs w:val="24"/>
        </w:rPr>
        <w:t>8.2-8</w:t>
      </w:r>
      <w:r>
        <w:rPr>
          <w:rFonts w:ascii="宋体" w:hAnsi="宋体" w:eastAsia="宋体" w:cs="宋体"/>
          <w:spacing w:val="-1"/>
          <w:sz w:val="24"/>
          <w:szCs w:val="24"/>
        </w:rPr>
        <w:t>可知：评价区观测孔实测水位与模拟水位拟合</w:t>
      </w:r>
      <w:r>
        <w:rPr>
          <w:rFonts w:ascii="宋体" w:hAnsi="宋体" w:eastAsia="宋体" w:cs="宋体"/>
          <w:spacing w:val="-2"/>
          <w:sz w:val="24"/>
          <w:szCs w:val="24"/>
        </w:rPr>
        <w:t>较好，</w:t>
      </w:r>
    </w:p>
    <w:p w14:paraId="114E515A">
      <w:pPr>
        <w:spacing w:before="185" w:line="360" w:lineRule="auto"/>
        <w:ind w:left="124" w:right="214" w:firstLine="3"/>
        <w:rPr>
          <w:rFonts w:ascii="宋体" w:hAnsi="宋体" w:eastAsia="宋体" w:cs="宋体"/>
          <w:sz w:val="24"/>
          <w:szCs w:val="24"/>
        </w:rPr>
      </w:pPr>
      <w:r>
        <w:rPr>
          <w:rFonts w:ascii="Times New Roman" w:hAnsi="Times New Roman" w:eastAsia="Times New Roman" w:cs="Times New Roman"/>
          <w:sz w:val="24"/>
          <w:szCs w:val="24"/>
        </w:rPr>
        <w:t>80</w:t>
      </w:r>
      <w:r>
        <w:rPr>
          <w:rFonts w:ascii="宋体" w:hAnsi="宋体" w:eastAsia="宋体" w:cs="宋体"/>
          <w:sz w:val="24"/>
          <w:szCs w:val="24"/>
        </w:rPr>
        <w:t>％的观测点模拟水位与实测水位差在</w:t>
      </w:r>
      <w:r>
        <w:rPr>
          <w:rFonts w:ascii="Times New Roman" w:hAnsi="Times New Roman" w:eastAsia="Times New Roman" w:cs="Times New Roman"/>
          <w:sz w:val="24"/>
          <w:szCs w:val="24"/>
        </w:rPr>
        <w:t>0.</w:t>
      </w:r>
      <w:r>
        <w:rPr>
          <w:rFonts w:ascii="Times New Roman" w:hAnsi="Times New Roman" w:eastAsia="Times New Roman" w:cs="Times New Roman"/>
          <w:spacing w:val="-1"/>
          <w:sz w:val="24"/>
          <w:szCs w:val="24"/>
        </w:rPr>
        <w:t>30m</w:t>
      </w:r>
      <w:r>
        <w:rPr>
          <w:rFonts w:ascii="宋体" w:hAnsi="宋体" w:eastAsia="宋体" w:cs="宋体"/>
          <w:spacing w:val="-1"/>
          <w:sz w:val="24"/>
          <w:szCs w:val="24"/>
        </w:rPr>
        <w:t>以内，水位观测点拟合较好；由图</w:t>
      </w:r>
      <w:r>
        <w:rPr>
          <w:rFonts w:ascii="宋体" w:hAnsi="宋体" w:eastAsia="宋体" w:cs="宋体"/>
          <w:sz w:val="24"/>
          <w:szCs w:val="24"/>
        </w:rPr>
        <w:t xml:space="preserve"> </w:t>
      </w:r>
      <w:r>
        <w:rPr>
          <w:rFonts w:ascii="Times New Roman" w:hAnsi="Times New Roman" w:eastAsia="Times New Roman" w:cs="Times New Roman"/>
          <w:spacing w:val="-1"/>
          <w:sz w:val="24"/>
          <w:szCs w:val="24"/>
        </w:rPr>
        <w:t>8.2-11</w:t>
      </w:r>
      <w:r>
        <w:rPr>
          <w:rFonts w:ascii="宋体" w:hAnsi="宋体" w:eastAsia="宋体" w:cs="宋体"/>
          <w:spacing w:val="-1"/>
          <w:sz w:val="24"/>
          <w:szCs w:val="24"/>
        </w:rPr>
        <w:t>可知：经识别后实测流场（图中浅蓝色等水位线）和模拟流场（图中红色</w:t>
      </w:r>
      <w:r>
        <w:rPr>
          <w:rFonts w:ascii="宋体" w:hAnsi="宋体" w:eastAsia="宋体" w:cs="宋体"/>
          <w:spacing w:val="17"/>
          <w:sz w:val="24"/>
          <w:szCs w:val="24"/>
        </w:rPr>
        <w:t xml:space="preserve"> </w:t>
      </w:r>
      <w:r>
        <w:rPr>
          <w:rFonts w:ascii="宋体" w:hAnsi="宋体" w:eastAsia="宋体" w:cs="宋体"/>
          <w:spacing w:val="-2"/>
          <w:sz w:val="24"/>
          <w:szCs w:val="24"/>
        </w:rPr>
        <w:t>等水位线）拟合较好。</w:t>
      </w:r>
    </w:p>
    <w:p w14:paraId="49A951FF">
      <w:pPr>
        <w:spacing w:before="4" w:line="359" w:lineRule="auto"/>
        <w:ind w:left="121" w:right="120" w:firstLine="483"/>
        <w:jc w:val="both"/>
        <w:rPr>
          <w:rFonts w:ascii="宋体" w:hAnsi="宋体" w:eastAsia="宋体" w:cs="宋体"/>
          <w:sz w:val="24"/>
          <w:szCs w:val="24"/>
        </w:rPr>
      </w:pPr>
      <w:r>
        <w:rPr>
          <w:rFonts w:ascii="宋体" w:hAnsi="宋体" w:eastAsia="宋体" w:cs="宋体"/>
          <w:spacing w:val="-3"/>
          <w:sz w:val="24"/>
          <w:szCs w:val="24"/>
        </w:rPr>
        <w:t>综上，所建立的模拟模型可以达到精度要求，符合水文地</w:t>
      </w:r>
      <w:r>
        <w:rPr>
          <w:rFonts w:ascii="宋体" w:hAnsi="宋体" w:eastAsia="宋体" w:cs="宋体"/>
          <w:spacing w:val="-4"/>
          <w:sz w:val="24"/>
          <w:szCs w:val="24"/>
        </w:rPr>
        <w:t>质条件，能够真实</w:t>
      </w:r>
      <w:r>
        <w:rPr>
          <w:rFonts w:ascii="宋体" w:hAnsi="宋体" w:eastAsia="宋体" w:cs="宋体"/>
          <w:sz w:val="24"/>
          <w:szCs w:val="24"/>
        </w:rPr>
        <w:t xml:space="preserve"> </w:t>
      </w:r>
      <w:r>
        <w:rPr>
          <w:rFonts w:ascii="宋体" w:hAnsi="宋体" w:eastAsia="宋体" w:cs="宋体"/>
          <w:spacing w:val="-7"/>
          <w:sz w:val="24"/>
          <w:szCs w:val="24"/>
        </w:rPr>
        <w:t>地反映地下水系统的水文特征，可靠性强，满足进行地下</w:t>
      </w:r>
      <w:r>
        <w:rPr>
          <w:rFonts w:ascii="宋体" w:hAnsi="宋体" w:eastAsia="宋体" w:cs="宋体"/>
          <w:spacing w:val="-8"/>
          <w:sz w:val="24"/>
          <w:szCs w:val="24"/>
        </w:rPr>
        <w:t>水环境影响评价的要求。</w:t>
      </w:r>
      <w:r>
        <w:rPr>
          <w:rFonts w:ascii="宋体" w:hAnsi="宋体" w:eastAsia="宋体" w:cs="宋体"/>
          <w:sz w:val="24"/>
          <w:szCs w:val="24"/>
        </w:rPr>
        <w:t xml:space="preserve"> 在此基础上，建立溶质模型进行污染预测，可保证</w:t>
      </w:r>
      <w:r>
        <w:rPr>
          <w:rFonts w:ascii="宋体" w:hAnsi="宋体" w:eastAsia="宋体" w:cs="宋体"/>
          <w:spacing w:val="-1"/>
          <w:sz w:val="24"/>
          <w:szCs w:val="24"/>
        </w:rPr>
        <w:t>预测的精度与可靠性。</w:t>
      </w:r>
    </w:p>
    <w:p w14:paraId="074A4991">
      <w:pPr>
        <w:spacing w:line="218" w:lineRule="auto"/>
        <w:ind w:left="267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8.2-8        </w:t>
      </w:r>
      <w:r>
        <w:rPr>
          <w:rFonts w:ascii="宋体" w:hAnsi="宋体" w:eastAsia="宋体" w:cs="宋体"/>
          <w:spacing w:val="-1"/>
          <w:sz w:val="24"/>
          <w:szCs w:val="24"/>
        </w:rPr>
        <w:t>观测点拟合结果一览表</w:t>
      </w:r>
    </w:p>
    <w:p w14:paraId="1017248F">
      <w:pPr>
        <w:spacing w:line="70"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2080"/>
        <w:gridCol w:w="2659"/>
        <w:gridCol w:w="2640"/>
      </w:tblGrid>
      <w:tr w14:paraId="311B5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138" w:type="dxa"/>
            <w:vAlign w:val="top"/>
          </w:tcPr>
          <w:p w14:paraId="5E0D9196">
            <w:pPr>
              <w:pStyle w:val="6"/>
              <w:spacing w:before="213" w:line="222" w:lineRule="auto"/>
              <w:ind w:left="367"/>
              <w:rPr>
                <w:sz w:val="22"/>
                <w:szCs w:val="22"/>
              </w:rPr>
            </w:pPr>
            <w:r>
              <w:rPr>
                <w:spacing w:val="-10"/>
                <w:sz w:val="22"/>
                <w:szCs w:val="22"/>
              </w:rPr>
              <w:t>点号</w:t>
            </w:r>
          </w:p>
        </w:tc>
        <w:tc>
          <w:tcPr>
            <w:tcW w:w="2080" w:type="dxa"/>
            <w:vAlign w:val="top"/>
          </w:tcPr>
          <w:p w14:paraId="56A80CF1">
            <w:pPr>
              <w:pStyle w:val="6"/>
              <w:spacing w:before="214" w:line="220" w:lineRule="auto"/>
              <w:ind w:left="604"/>
              <w:rPr>
                <w:sz w:val="22"/>
                <w:szCs w:val="22"/>
              </w:rPr>
            </w:pPr>
            <w:r>
              <w:rPr>
                <w:spacing w:val="-3"/>
                <w:sz w:val="22"/>
                <w:szCs w:val="22"/>
              </w:rPr>
              <w:t>监测水位</w:t>
            </w:r>
          </w:p>
        </w:tc>
        <w:tc>
          <w:tcPr>
            <w:tcW w:w="2659" w:type="dxa"/>
            <w:vAlign w:val="top"/>
          </w:tcPr>
          <w:p w14:paraId="7673E7CB">
            <w:pPr>
              <w:pStyle w:val="6"/>
              <w:spacing w:before="214" w:line="220" w:lineRule="auto"/>
              <w:ind w:left="894"/>
              <w:rPr>
                <w:sz w:val="22"/>
                <w:szCs w:val="22"/>
              </w:rPr>
            </w:pPr>
            <w:r>
              <w:rPr>
                <w:spacing w:val="-2"/>
                <w:sz w:val="22"/>
                <w:szCs w:val="22"/>
              </w:rPr>
              <w:t>计算水位</w:t>
            </w:r>
          </w:p>
        </w:tc>
        <w:tc>
          <w:tcPr>
            <w:tcW w:w="2640" w:type="dxa"/>
            <w:vAlign w:val="top"/>
          </w:tcPr>
          <w:p w14:paraId="75C3D1C6">
            <w:pPr>
              <w:pStyle w:val="6"/>
              <w:spacing w:before="214" w:line="220" w:lineRule="auto"/>
              <w:ind w:left="611"/>
              <w:rPr>
                <w:sz w:val="22"/>
                <w:szCs w:val="22"/>
              </w:rPr>
            </w:pPr>
            <w:r>
              <w:rPr>
                <w:spacing w:val="-2"/>
                <w:sz w:val="22"/>
                <w:szCs w:val="22"/>
              </w:rPr>
              <w:t>计算值-监测值</w:t>
            </w:r>
          </w:p>
        </w:tc>
      </w:tr>
      <w:tr w14:paraId="01FF6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602CD0B3">
            <w:pPr>
              <w:pStyle w:val="6"/>
              <w:spacing w:before="73" w:line="217" w:lineRule="auto"/>
              <w:ind w:left="465"/>
              <w:rPr>
                <w:sz w:val="22"/>
                <w:szCs w:val="22"/>
              </w:rPr>
            </w:pPr>
            <w:r>
              <w:rPr>
                <w:spacing w:val="-5"/>
                <w:sz w:val="22"/>
                <w:szCs w:val="22"/>
              </w:rPr>
              <w:t>S1</w:t>
            </w:r>
          </w:p>
        </w:tc>
        <w:tc>
          <w:tcPr>
            <w:tcW w:w="2080" w:type="dxa"/>
            <w:vAlign w:val="top"/>
          </w:tcPr>
          <w:p w14:paraId="3BD3A8F9">
            <w:pPr>
              <w:pStyle w:val="6"/>
              <w:spacing w:before="73" w:line="217" w:lineRule="auto"/>
              <w:ind w:left="714"/>
              <w:rPr>
                <w:sz w:val="22"/>
                <w:szCs w:val="22"/>
              </w:rPr>
            </w:pPr>
            <w:r>
              <w:rPr>
                <w:spacing w:val="-2"/>
                <w:sz w:val="22"/>
                <w:szCs w:val="22"/>
              </w:rPr>
              <w:t>950.67</w:t>
            </w:r>
          </w:p>
        </w:tc>
        <w:tc>
          <w:tcPr>
            <w:tcW w:w="2659" w:type="dxa"/>
            <w:vAlign w:val="top"/>
          </w:tcPr>
          <w:p w14:paraId="4737F16D">
            <w:pPr>
              <w:pStyle w:val="6"/>
              <w:spacing w:before="73" w:line="217" w:lineRule="auto"/>
              <w:ind w:left="1005"/>
              <w:rPr>
                <w:sz w:val="22"/>
                <w:szCs w:val="22"/>
              </w:rPr>
            </w:pPr>
            <w:r>
              <w:rPr>
                <w:spacing w:val="-2"/>
                <w:sz w:val="22"/>
                <w:szCs w:val="22"/>
              </w:rPr>
              <w:t>950.51</w:t>
            </w:r>
          </w:p>
        </w:tc>
        <w:tc>
          <w:tcPr>
            <w:tcW w:w="2640" w:type="dxa"/>
            <w:vAlign w:val="top"/>
          </w:tcPr>
          <w:p w14:paraId="7056B135">
            <w:pPr>
              <w:pStyle w:val="6"/>
              <w:spacing w:before="61" w:line="227" w:lineRule="auto"/>
              <w:ind w:left="1048"/>
              <w:rPr>
                <w:sz w:val="22"/>
                <w:szCs w:val="22"/>
              </w:rPr>
            </w:pPr>
            <w:r>
              <w:rPr>
                <w:spacing w:val="-1"/>
                <w:sz w:val="22"/>
                <w:szCs w:val="22"/>
              </w:rPr>
              <w:t>-0.16</w:t>
            </w:r>
          </w:p>
        </w:tc>
      </w:tr>
      <w:tr w14:paraId="1174C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2175964A">
            <w:pPr>
              <w:pStyle w:val="6"/>
              <w:spacing w:before="73" w:line="217" w:lineRule="auto"/>
              <w:ind w:left="465"/>
              <w:rPr>
                <w:sz w:val="22"/>
                <w:szCs w:val="22"/>
              </w:rPr>
            </w:pPr>
            <w:r>
              <w:rPr>
                <w:spacing w:val="-5"/>
                <w:sz w:val="22"/>
                <w:szCs w:val="22"/>
              </w:rPr>
              <w:t>S2</w:t>
            </w:r>
          </w:p>
        </w:tc>
        <w:tc>
          <w:tcPr>
            <w:tcW w:w="2080" w:type="dxa"/>
            <w:vAlign w:val="top"/>
          </w:tcPr>
          <w:p w14:paraId="07DF4788">
            <w:pPr>
              <w:pStyle w:val="6"/>
              <w:spacing w:before="73" w:line="217" w:lineRule="auto"/>
              <w:ind w:left="714"/>
              <w:rPr>
                <w:sz w:val="22"/>
                <w:szCs w:val="22"/>
              </w:rPr>
            </w:pPr>
            <w:r>
              <w:rPr>
                <w:spacing w:val="-2"/>
                <w:sz w:val="22"/>
                <w:szCs w:val="22"/>
              </w:rPr>
              <w:t>944.18</w:t>
            </w:r>
          </w:p>
        </w:tc>
        <w:tc>
          <w:tcPr>
            <w:tcW w:w="2659" w:type="dxa"/>
            <w:vAlign w:val="top"/>
          </w:tcPr>
          <w:p w14:paraId="01F8D930">
            <w:pPr>
              <w:pStyle w:val="6"/>
              <w:spacing w:before="73" w:line="217" w:lineRule="auto"/>
              <w:ind w:left="1005"/>
              <w:rPr>
                <w:sz w:val="22"/>
                <w:szCs w:val="22"/>
              </w:rPr>
            </w:pPr>
            <w:r>
              <w:rPr>
                <w:spacing w:val="-2"/>
                <w:sz w:val="22"/>
                <w:szCs w:val="22"/>
              </w:rPr>
              <w:t>943.76</w:t>
            </w:r>
          </w:p>
        </w:tc>
        <w:tc>
          <w:tcPr>
            <w:tcW w:w="2640" w:type="dxa"/>
            <w:vAlign w:val="top"/>
          </w:tcPr>
          <w:p w14:paraId="12F249D7">
            <w:pPr>
              <w:pStyle w:val="6"/>
              <w:spacing w:before="61" w:line="227" w:lineRule="auto"/>
              <w:ind w:left="1048"/>
              <w:rPr>
                <w:sz w:val="22"/>
                <w:szCs w:val="22"/>
              </w:rPr>
            </w:pPr>
            <w:r>
              <w:rPr>
                <w:spacing w:val="-1"/>
                <w:sz w:val="22"/>
                <w:szCs w:val="22"/>
              </w:rPr>
              <w:t>-0.42</w:t>
            </w:r>
          </w:p>
        </w:tc>
      </w:tr>
      <w:tr w14:paraId="50F22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2B05ED19">
            <w:pPr>
              <w:pStyle w:val="6"/>
              <w:spacing w:before="74" w:line="217" w:lineRule="auto"/>
              <w:ind w:left="465"/>
              <w:rPr>
                <w:sz w:val="22"/>
                <w:szCs w:val="22"/>
              </w:rPr>
            </w:pPr>
            <w:r>
              <w:rPr>
                <w:spacing w:val="-5"/>
                <w:sz w:val="22"/>
                <w:szCs w:val="22"/>
              </w:rPr>
              <w:t>S3</w:t>
            </w:r>
          </w:p>
        </w:tc>
        <w:tc>
          <w:tcPr>
            <w:tcW w:w="2080" w:type="dxa"/>
            <w:vAlign w:val="top"/>
          </w:tcPr>
          <w:p w14:paraId="2AFF8040">
            <w:pPr>
              <w:pStyle w:val="6"/>
              <w:spacing w:before="74" w:line="217" w:lineRule="auto"/>
              <w:ind w:left="714"/>
              <w:rPr>
                <w:sz w:val="22"/>
                <w:szCs w:val="22"/>
              </w:rPr>
            </w:pPr>
            <w:r>
              <w:rPr>
                <w:spacing w:val="-2"/>
                <w:sz w:val="22"/>
                <w:szCs w:val="22"/>
              </w:rPr>
              <w:t>943.41</w:t>
            </w:r>
          </w:p>
        </w:tc>
        <w:tc>
          <w:tcPr>
            <w:tcW w:w="2659" w:type="dxa"/>
            <w:vAlign w:val="top"/>
          </w:tcPr>
          <w:p w14:paraId="04AC48BA">
            <w:pPr>
              <w:pStyle w:val="6"/>
              <w:spacing w:before="74" w:line="217" w:lineRule="auto"/>
              <w:ind w:left="1005"/>
              <w:rPr>
                <w:sz w:val="22"/>
                <w:szCs w:val="22"/>
              </w:rPr>
            </w:pPr>
            <w:r>
              <w:rPr>
                <w:spacing w:val="-2"/>
                <w:sz w:val="22"/>
                <w:szCs w:val="22"/>
              </w:rPr>
              <w:t>943.22</w:t>
            </w:r>
          </w:p>
        </w:tc>
        <w:tc>
          <w:tcPr>
            <w:tcW w:w="2640" w:type="dxa"/>
            <w:vAlign w:val="top"/>
          </w:tcPr>
          <w:p w14:paraId="1BDB7B3A">
            <w:pPr>
              <w:pStyle w:val="6"/>
              <w:spacing w:before="62" w:line="227" w:lineRule="auto"/>
              <w:ind w:left="1048"/>
              <w:rPr>
                <w:sz w:val="22"/>
                <w:szCs w:val="22"/>
              </w:rPr>
            </w:pPr>
            <w:r>
              <w:rPr>
                <w:spacing w:val="-1"/>
                <w:sz w:val="22"/>
                <w:szCs w:val="22"/>
              </w:rPr>
              <w:t>-0.19</w:t>
            </w:r>
          </w:p>
        </w:tc>
      </w:tr>
      <w:tr w14:paraId="0D1BA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38" w:type="dxa"/>
            <w:vAlign w:val="top"/>
          </w:tcPr>
          <w:p w14:paraId="3C9A99C1">
            <w:pPr>
              <w:pStyle w:val="6"/>
              <w:spacing w:before="48" w:line="217" w:lineRule="auto"/>
              <w:ind w:left="465"/>
              <w:rPr>
                <w:sz w:val="22"/>
                <w:szCs w:val="22"/>
              </w:rPr>
            </w:pPr>
            <w:r>
              <w:rPr>
                <w:spacing w:val="-5"/>
                <w:sz w:val="22"/>
                <w:szCs w:val="22"/>
              </w:rPr>
              <w:t>S4</w:t>
            </w:r>
          </w:p>
        </w:tc>
        <w:tc>
          <w:tcPr>
            <w:tcW w:w="2080" w:type="dxa"/>
            <w:vAlign w:val="top"/>
          </w:tcPr>
          <w:p w14:paraId="73D67D38">
            <w:pPr>
              <w:pStyle w:val="6"/>
              <w:spacing w:before="48" w:line="217" w:lineRule="auto"/>
              <w:ind w:left="714"/>
              <w:rPr>
                <w:sz w:val="22"/>
                <w:szCs w:val="22"/>
              </w:rPr>
            </w:pPr>
            <w:r>
              <w:rPr>
                <w:spacing w:val="-2"/>
                <w:sz w:val="22"/>
                <w:szCs w:val="22"/>
              </w:rPr>
              <w:t>941.49</w:t>
            </w:r>
          </w:p>
        </w:tc>
        <w:tc>
          <w:tcPr>
            <w:tcW w:w="2659" w:type="dxa"/>
            <w:vAlign w:val="top"/>
          </w:tcPr>
          <w:p w14:paraId="414FCC91">
            <w:pPr>
              <w:pStyle w:val="6"/>
              <w:spacing w:before="48" w:line="217" w:lineRule="auto"/>
              <w:ind w:left="1005"/>
              <w:rPr>
                <w:sz w:val="22"/>
                <w:szCs w:val="22"/>
              </w:rPr>
            </w:pPr>
            <w:r>
              <w:rPr>
                <w:spacing w:val="-2"/>
                <w:sz w:val="22"/>
                <w:szCs w:val="22"/>
              </w:rPr>
              <w:t>941.74</w:t>
            </w:r>
          </w:p>
        </w:tc>
        <w:tc>
          <w:tcPr>
            <w:tcW w:w="2640" w:type="dxa"/>
            <w:vAlign w:val="top"/>
          </w:tcPr>
          <w:p w14:paraId="13513A4A">
            <w:pPr>
              <w:pStyle w:val="6"/>
              <w:spacing w:before="48" w:line="217" w:lineRule="auto"/>
              <w:ind w:left="1107"/>
              <w:rPr>
                <w:sz w:val="22"/>
                <w:szCs w:val="22"/>
              </w:rPr>
            </w:pPr>
            <w:r>
              <w:rPr>
                <w:spacing w:val="-3"/>
                <w:sz w:val="22"/>
                <w:szCs w:val="22"/>
              </w:rPr>
              <w:t>0.25</w:t>
            </w:r>
          </w:p>
        </w:tc>
      </w:tr>
      <w:tr w14:paraId="3E653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2C7E1485">
            <w:pPr>
              <w:pStyle w:val="6"/>
              <w:spacing w:before="74" w:line="217" w:lineRule="auto"/>
              <w:ind w:left="465"/>
              <w:rPr>
                <w:sz w:val="22"/>
                <w:szCs w:val="22"/>
              </w:rPr>
            </w:pPr>
            <w:r>
              <w:rPr>
                <w:spacing w:val="-5"/>
                <w:sz w:val="22"/>
                <w:szCs w:val="22"/>
              </w:rPr>
              <w:t>S5</w:t>
            </w:r>
          </w:p>
        </w:tc>
        <w:tc>
          <w:tcPr>
            <w:tcW w:w="2080" w:type="dxa"/>
            <w:vAlign w:val="top"/>
          </w:tcPr>
          <w:p w14:paraId="7576EA96">
            <w:pPr>
              <w:pStyle w:val="6"/>
              <w:spacing w:before="74" w:line="217" w:lineRule="auto"/>
              <w:ind w:left="714"/>
              <w:rPr>
                <w:sz w:val="22"/>
                <w:szCs w:val="22"/>
              </w:rPr>
            </w:pPr>
            <w:r>
              <w:rPr>
                <w:spacing w:val="-2"/>
                <w:sz w:val="22"/>
                <w:szCs w:val="22"/>
              </w:rPr>
              <w:t>960.87</w:t>
            </w:r>
          </w:p>
        </w:tc>
        <w:tc>
          <w:tcPr>
            <w:tcW w:w="2659" w:type="dxa"/>
            <w:vAlign w:val="top"/>
          </w:tcPr>
          <w:p w14:paraId="17951873">
            <w:pPr>
              <w:pStyle w:val="6"/>
              <w:spacing w:before="74" w:line="217" w:lineRule="auto"/>
              <w:ind w:left="1005"/>
              <w:rPr>
                <w:sz w:val="22"/>
                <w:szCs w:val="22"/>
              </w:rPr>
            </w:pPr>
            <w:r>
              <w:rPr>
                <w:spacing w:val="-2"/>
                <w:sz w:val="22"/>
                <w:szCs w:val="22"/>
              </w:rPr>
              <w:t>960.97</w:t>
            </w:r>
          </w:p>
        </w:tc>
        <w:tc>
          <w:tcPr>
            <w:tcW w:w="2640" w:type="dxa"/>
            <w:vAlign w:val="top"/>
          </w:tcPr>
          <w:p w14:paraId="57CFBFBA">
            <w:pPr>
              <w:pStyle w:val="6"/>
              <w:spacing w:before="62" w:line="227" w:lineRule="auto"/>
              <w:ind w:left="1107"/>
              <w:rPr>
                <w:sz w:val="22"/>
                <w:szCs w:val="22"/>
              </w:rPr>
            </w:pPr>
            <w:r>
              <w:rPr>
                <w:spacing w:val="-3"/>
                <w:sz w:val="22"/>
                <w:szCs w:val="22"/>
              </w:rPr>
              <w:t>0.10</w:t>
            </w:r>
          </w:p>
        </w:tc>
      </w:tr>
      <w:tr w14:paraId="697EB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34D96345">
            <w:pPr>
              <w:pStyle w:val="6"/>
              <w:spacing w:before="74" w:line="216" w:lineRule="auto"/>
              <w:ind w:left="465"/>
              <w:rPr>
                <w:sz w:val="22"/>
                <w:szCs w:val="22"/>
              </w:rPr>
            </w:pPr>
            <w:r>
              <w:rPr>
                <w:spacing w:val="-5"/>
                <w:sz w:val="22"/>
                <w:szCs w:val="22"/>
              </w:rPr>
              <w:t>S6</w:t>
            </w:r>
          </w:p>
        </w:tc>
        <w:tc>
          <w:tcPr>
            <w:tcW w:w="2080" w:type="dxa"/>
            <w:vAlign w:val="top"/>
          </w:tcPr>
          <w:p w14:paraId="4F71393D">
            <w:pPr>
              <w:pStyle w:val="6"/>
              <w:spacing w:before="74" w:line="216" w:lineRule="auto"/>
              <w:ind w:left="714"/>
              <w:rPr>
                <w:sz w:val="22"/>
                <w:szCs w:val="22"/>
              </w:rPr>
            </w:pPr>
            <w:r>
              <w:rPr>
                <w:spacing w:val="-2"/>
                <w:sz w:val="22"/>
                <w:szCs w:val="22"/>
              </w:rPr>
              <w:t>967.48</w:t>
            </w:r>
          </w:p>
        </w:tc>
        <w:tc>
          <w:tcPr>
            <w:tcW w:w="2659" w:type="dxa"/>
            <w:vAlign w:val="top"/>
          </w:tcPr>
          <w:p w14:paraId="61BBDFCF">
            <w:pPr>
              <w:pStyle w:val="6"/>
              <w:spacing w:before="74" w:line="216" w:lineRule="auto"/>
              <w:ind w:left="1005"/>
              <w:rPr>
                <w:sz w:val="22"/>
                <w:szCs w:val="22"/>
              </w:rPr>
            </w:pPr>
            <w:r>
              <w:rPr>
                <w:spacing w:val="-2"/>
                <w:sz w:val="22"/>
                <w:szCs w:val="22"/>
              </w:rPr>
              <w:t>967.61</w:t>
            </w:r>
          </w:p>
        </w:tc>
        <w:tc>
          <w:tcPr>
            <w:tcW w:w="2640" w:type="dxa"/>
            <w:vAlign w:val="top"/>
          </w:tcPr>
          <w:p w14:paraId="1EB8C064">
            <w:pPr>
              <w:pStyle w:val="6"/>
              <w:spacing w:before="62" w:line="226" w:lineRule="auto"/>
              <w:ind w:left="1107"/>
              <w:rPr>
                <w:sz w:val="22"/>
                <w:szCs w:val="22"/>
              </w:rPr>
            </w:pPr>
            <w:r>
              <w:rPr>
                <w:spacing w:val="-3"/>
                <w:sz w:val="22"/>
                <w:szCs w:val="22"/>
              </w:rPr>
              <w:t>0.13</w:t>
            </w:r>
          </w:p>
        </w:tc>
      </w:tr>
      <w:tr w14:paraId="32F9E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13D59A51">
            <w:pPr>
              <w:pStyle w:val="6"/>
              <w:spacing w:before="75" w:line="216" w:lineRule="auto"/>
              <w:ind w:left="465"/>
              <w:rPr>
                <w:sz w:val="22"/>
                <w:szCs w:val="22"/>
              </w:rPr>
            </w:pPr>
            <w:r>
              <w:rPr>
                <w:spacing w:val="-5"/>
                <w:sz w:val="22"/>
                <w:szCs w:val="22"/>
              </w:rPr>
              <w:t>S7</w:t>
            </w:r>
          </w:p>
        </w:tc>
        <w:tc>
          <w:tcPr>
            <w:tcW w:w="2080" w:type="dxa"/>
            <w:vAlign w:val="top"/>
          </w:tcPr>
          <w:p w14:paraId="67C5556C">
            <w:pPr>
              <w:pStyle w:val="6"/>
              <w:spacing w:before="75" w:line="216" w:lineRule="auto"/>
              <w:ind w:left="714"/>
              <w:rPr>
                <w:sz w:val="22"/>
                <w:szCs w:val="22"/>
              </w:rPr>
            </w:pPr>
            <w:r>
              <w:rPr>
                <w:spacing w:val="-2"/>
                <w:sz w:val="22"/>
                <w:szCs w:val="22"/>
              </w:rPr>
              <w:t>982.06</w:t>
            </w:r>
          </w:p>
        </w:tc>
        <w:tc>
          <w:tcPr>
            <w:tcW w:w="2659" w:type="dxa"/>
            <w:vAlign w:val="top"/>
          </w:tcPr>
          <w:p w14:paraId="733E43CA">
            <w:pPr>
              <w:pStyle w:val="6"/>
              <w:spacing w:before="75" w:line="216" w:lineRule="auto"/>
              <w:ind w:left="1005"/>
              <w:rPr>
                <w:sz w:val="22"/>
                <w:szCs w:val="22"/>
              </w:rPr>
            </w:pPr>
            <w:r>
              <w:rPr>
                <w:spacing w:val="-2"/>
                <w:sz w:val="22"/>
                <w:szCs w:val="22"/>
              </w:rPr>
              <w:t>981.80</w:t>
            </w:r>
          </w:p>
        </w:tc>
        <w:tc>
          <w:tcPr>
            <w:tcW w:w="2640" w:type="dxa"/>
            <w:vAlign w:val="top"/>
          </w:tcPr>
          <w:p w14:paraId="62236F97">
            <w:pPr>
              <w:pStyle w:val="6"/>
              <w:spacing w:before="63" w:line="226" w:lineRule="auto"/>
              <w:ind w:left="1048"/>
              <w:rPr>
                <w:sz w:val="22"/>
                <w:szCs w:val="22"/>
              </w:rPr>
            </w:pPr>
            <w:r>
              <w:rPr>
                <w:spacing w:val="-1"/>
                <w:sz w:val="22"/>
                <w:szCs w:val="22"/>
              </w:rPr>
              <w:t>-0.26</w:t>
            </w:r>
          </w:p>
        </w:tc>
      </w:tr>
      <w:tr w14:paraId="514D9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77928750">
            <w:pPr>
              <w:pStyle w:val="6"/>
              <w:spacing w:before="75" w:line="216" w:lineRule="auto"/>
              <w:ind w:left="465"/>
              <w:rPr>
                <w:sz w:val="22"/>
                <w:szCs w:val="22"/>
              </w:rPr>
            </w:pPr>
            <w:r>
              <w:rPr>
                <w:spacing w:val="-5"/>
                <w:sz w:val="22"/>
                <w:szCs w:val="22"/>
              </w:rPr>
              <w:t>S8</w:t>
            </w:r>
          </w:p>
        </w:tc>
        <w:tc>
          <w:tcPr>
            <w:tcW w:w="2080" w:type="dxa"/>
            <w:vAlign w:val="top"/>
          </w:tcPr>
          <w:p w14:paraId="1648618E">
            <w:pPr>
              <w:pStyle w:val="6"/>
              <w:spacing w:before="75" w:line="216" w:lineRule="auto"/>
              <w:ind w:left="714"/>
              <w:rPr>
                <w:sz w:val="22"/>
                <w:szCs w:val="22"/>
              </w:rPr>
            </w:pPr>
            <w:r>
              <w:rPr>
                <w:spacing w:val="-2"/>
                <w:sz w:val="22"/>
                <w:szCs w:val="22"/>
              </w:rPr>
              <w:t>955.85</w:t>
            </w:r>
          </w:p>
        </w:tc>
        <w:tc>
          <w:tcPr>
            <w:tcW w:w="2659" w:type="dxa"/>
            <w:vAlign w:val="top"/>
          </w:tcPr>
          <w:p w14:paraId="762B6E98">
            <w:pPr>
              <w:pStyle w:val="6"/>
              <w:spacing w:before="75" w:line="216" w:lineRule="auto"/>
              <w:ind w:left="1005"/>
              <w:rPr>
                <w:sz w:val="22"/>
                <w:szCs w:val="22"/>
              </w:rPr>
            </w:pPr>
            <w:r>
              <w:rPr>
                <w:spacing w:val="-2"/>
                <w:sz w:val="22"/>
                <w:szCs w:val="22"/>
              </w:rPr>
              <w:t>955.93</w:t>
            </w:r>
          </w:p>
        </w:tc>
        <w:tc>
          <w:tcPr>
            <w:tcW w:w="2640" w:type="dxa"/>
            <w:vAlign w:val="top"/>
          </w:tcPr>
          <w:p w14:paraId="5CBF3959">
            <w:pPr>
              <w:pStyle w:val="6"/>
              <w:spacing w:before="63" w:line="226" w:lineRule="auto"/>
              <w:ind w:left="1107"/>
              <w:rPr>
                <w:sz w:val="22"/>
                <w:szCs w:val="22"/>
              </w:rPr>
            </w:pPr>
            <w:r>
              <w:rPr>
                <w:spacing w:val="-3"/>
                <w:sz w:val="22"/>
                <w:szCs w:val="22"/>
              </w:rPr>
              <w:t>0.08</w:t>
            </w:r>
          </w:p>
        </w:tc>
      </w:tr>
      <w:tr w14:paraId="00E2E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122A59A2">
            <w:pPr>
              <w:pStyle w:val="6"/>
              <w:spacing w:before="75" w:line="215" w:lineRule="auto"/>
              <w:ind w:left="465"/>
              <w:rPr>
                <w:sz w:val="22"/>
                <w:szCs w:val="22"/>
              </w:rPr>
            </w:pPr>
            <w:r>
              <w:rPr>
                <w:spacing w:val="-5"/>
                <w:sz w:val="22"/>
                <w:szCs w:val="22"/>
              </w:rPr>
              <w:t>S9</w:t>
            </w:r>
          </w:p>
        </w:tc>
        <w:tc>
          <w:tcPr>
            <w:tcW w:w="2080" w:type="dxa"/>
            <w:vAlign w:val="top"/>
          </w:tcPr>
          <w:p w14:paraId="5DF4E1A4">
            <w:pPr>
              <w:pStyle w:val="6"/>
              <w:spacing w:before="75" w:line="215" w:lineRule="auto"/>
              <w:ind w:left="714"/>
              <w:rPr>
                <w:sz w:val="22"/>
                <w:szCs w:val="22"/>
              </w:rPr>
            </w:pPr>
            <w:r>
              <w:rPr>
                <w:spacing w:val="-2"/>
                <w:sz w:val="22"/>
                <w:szCs w:val="22"/>
              </w:rPr>
              <w:t>914.44</w:t>
            </w:r>
          </w:p>
        </w:tc>
        <w:tc>
          <w:tcPr>
            <w:tcW w:w="2659" w:type="dxa"/>
            <w:vAlign w:val="top"/>
          </w:tcPr>
          <w:p w14:paraId="32EC75A5">
            <w:pPr>
              <w:pStyle w:val="6"/>
              <w:spacing w:before="75" w:line="215" w:lineRule="auto"/>
              <w:ind w:left="1005"/>
              <w:rPr>
                <w:sz w:val="22"/>
                <w:szCs w:val="22"/>
              </w:rPr>
            </w:pPr>
            <w:r>
              <w:rPr>
                <w:spacing w:val="-2"/>
                <w:sz w:val="22"/>
                <w:szCs w:val="22"/>
              </w:rPr>
              <w:t>914.75</w:t>
            </w:r>
          </w:p>
        </w:tc>
        <w:tc>
          <w:tcPr>
            <w:tcW w:w="2640" w:type="dxa"/>
            <w:vAlign w:val="top"/>
          </w:tcPr>
          <w:p w14:paraId="3B905685">
            <w:pPr>
              <w:pStyle w:val="6"/>
              <w:spacing w:before="63" w:line="225" w:lineRule="auto"/>
              <w:ind w:left="1107"/>
              <w:rPr>
                <w:sz w:val="22"/>
                <w:szCs w:val="22"/>
              </w:rPr>
            </w:pPr>
            <w:r>
              <w:rPr>
                <w:spacing w:val="-3"/>
                <w:sz w:val="22"/>
                <w:szCs w:val="22"/>
              </w:rPr>
              <w:t>0.31</w:t>
            </w:r>
          </w:p>
        </w:tc>
      </w:tr>
      <w:tr w14:paraId="64E6E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138" w:type="dxa"/>
            <w:vAlign w:val="top"/>
          </w:tcPr>
          <w:p w14:paraId="764C38E6">
            <w:pPr>
              <w:pStyle w:val="6"/>
              <w:spacing w:before="76" w:line="215" w:lineRule="auto"/>
              <w:ind w:left="410"/>
              <w:rPr>
                <w:sz w:val="22"/>
                <w:szCs w:val="22"/>
              </w:rPr>
            </w:pPr>
            <w:r>
              <w:rPr>
                <w:spacing w:val="-3"/>
                <w:sz w:val="22"/>
                <w:szCs w:val="22"/>
              </w:rPr>
              <w:t>S10</w:t>
            </w:r>
          </w:p>
        </w:tc>
        <w:tc>
          <w:tcPr>
            <w:tcW w:w="2080" w:type="dxa"/>
            <w:vAlign w:val="top"/>
          </w:tcPr>
          <w:p w14:paraId="490A3B75">
            <w:pPr>
              <w:pStyle w:val="6"/>
              <w:spacing w:before="76" w:line="215" w:lineRule="auto"/>
              <w:ind w:left="714"/>
              <w:rPr>
                <w:sz w:val="22"/>
                <w:szCs w:val="22"/>
              </w:rPr>
            </w:pPr>
            <w:r>
              <w:rPr>
                <w:spacing w:val="-2"/>
                <w:sz w:val="22"/>
                <w:szCs w:val="22"/>
              </w:rPr>
              <w:t>925.44</w:t>
            </w:r>
          </w:p>
        </w:tc>
        <w:tc>
          <w:tcPr>
            <w:tcW w:w="2659" w:type="dxa"/>
            <w:vAlign w:val="top"/>
          </w:tcPr>
          <w:p w14:paraId="348F40D9">
            <w:pPr>
              <w:pStyle w:val="6"/>
              <w:spacing w:before="76" w:line="215" w:lineRule="auto"/>
              <w:ind w:left="1005"/>
              <w:rPr>
                <w:sz w:val="22"/>
                <w:szCs w:val="22"/>
              </w:rPr>
            </w:pPr>
            <w:r>
              <w:rPr>
                <w:spacing w:val="-2"/>
                <w:sz w:val="22"/>
                <w:szCs w:val="22"/>
              </w:rPr>
              <w:t>925.20</w:t>
            </w:r>
          </w:p>
        </w:tc>
        <w:tc>
          <w:tcPr>
            <w:tcW w:w="2640" w:type="dxa"/>
            <w:vAlign w:val="top"/>
          </w:tcPr>
          <w:p w14:paraId="70DC4FFC">
            <w:pPr>
              <w:pStyle w:val="6"/>
              <w:spacing w:before="64" w:line="225" w:lineRule="auto"/>
              <w:ind w:left="1048"/>
              <w:rPr>
                <w:sz w:val="22"/>
                <w:szCs w:val="22"/>
              </w:rPr>
            </w:pPr>
            <w:r>
              <w:rPr>
                <w:spacing w:val="-1"/>
                <w:sz w:val="22"/>
                <w:szCs w:val="22"/>
              </w:rPr>
              <w:t>-0.24</w:t>
            </w:r>
          </w:p>
        </w:tc>
      </w:tr>
      <w:tr w14:paraId="471A3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138" w:type="dxa"/>
            <w:vAlign w:val="top"/>
          </w:tcPr>
          <w:p w14:paraId="23D69D07">
            <w:pPr>
              <w:pStyle w:val="6"/>
              <w:spacing w:before="76" w:line="217" w:lineRule="auto"/>
              <w:ind w:left="410"/>
              <w:rPr>
                <w:sz w:val="22"/>
                <w:szCs w:val="22"/>
              </w:rPr>
            </w:pPr>
            <w:r>
              <w:rPr>
                <w:spacing w:val="-3"/>
                <w:sz w:val="22"/>
                <w:szCs w:val="22"/>
              </w:rPr>
              <w:t>S11</w:t>
            </w:r>
          </w:p>
        </w:tc>
        <w:tc>
          <w:tcPr>
            <w:tcW w:w="2080" w:type="dxa"/>
            <w:vAlign w:val="top"/>
          </w:tcPr>
          <w:p w14:paraId="198BD6C3">
            <w:pPr>
              <w:pStyle w:val="6"/>
              <w:spacing w:before="76" w:line="217" w:lineRule="auto"/>
              <w:ind w:left="714"/>
              <w:rPr>
                <w:sz w:val="22"/>
                <w:szCs w:val="22"/>
              </w:rPr>
            </w:pPr>
            <w:r>
              <w:rPr>
                <w:spacing w:val="-2"/>
                <w:sz w:val="22"/>
                <w:szCs w:val="22"/>
              </w:rPr>
              <w:t>919.81</w:t>
            </w:r>
          </w:p>
        </w:tc>
        <w:tc>
          <w:tcPr>
            <w:tcW w:w="2659" w:type="dxa"/>
            <w:vAlign w:val="top"/>
          </w:tcPr>
          <w:p w14:paraId="76E051DE">
            <w:pPr>
              <w:pStyle w:val="6"/>
              <w:spacing w:before="76" w:line="217" w:lineRule="auto"/>
              <w:ind w:left="1005"/>
              <w:rPr>
                <w:sz w:val="22"/>
                <w:szCs w:val="22"/>
              </w:rPr>
            </w:pPr>
            <w:r>
              <w:rPr>
                <w:spacing w:val="-2"/>
                <w:sz w:val="22"/>
                <w:szCs w:val="22"/>
              </w:rPr>
              <w:t>919.95</w:t>
            </w:r>
          </w:p>
        </w:tc>
        <w:tc>
          <w:tcPr>
            <w:tcW w:w="2640" w:type="dxa"/>
            <w:vAlign w:val="top"/>
          </w:tcPr>
          <w:p w14:paraId="574A4FC4">
            <w:pPr>
              <w:pStyle w:val="6"/>
              <w:spacing w:before="64" w:line="227" w:lineRule="auto"/>
              <w:ind w:left="1107"/>
              <w:rPr>
                <w:sz w:val="22"/>
                <w:szCs w:val="22"/>
              </w:rPr>
            </w:pPr>
            <w:r>
              <w:rPr>
                <w:spacing w:val="-3"/>
                <w:sz w:val="22"/>
                <w:szCs w:val="22"/>
              </w:rPr>
              <w:t>0.14</w:t>
            </w:r>
          </w:p>
        </w:tc>
      </w:tr>
    </w:tbl>
    <w:p w14:paraId="591BE996">
      <w:pPr>
        <w:pStyle w:val="2"/>
        <w:spacing w:line="214" w:lineRule="exact"/>
        <w:rPr>
          <w:sz w:val="18"/>
        </w:rPr>
      </w:pPr>
    </w:p>
    <w:p w14:paraId="62AD6448">
      <w:pPr>
        <w:spacing w:line="214" w:lineRule="exact"/>
        <w:rPr>
          <w:sz w:val="18"/>
          <w:szCs w:val="18"/>
        </w:rPr>
        <w:sectPr>
          <w:headerReference r:id="rId285" w:type="default"/>
          <w:footerReference r:id="rId286" w:type="default"/>
          <w:pgSz w:w="11906" w:h="16839"/>
          <w:pgMar w:top="1208" w:right="1599" w:bottom="1358" w:left="1687" w:header="825" w:footer="1195" w:gutter="0"/>
          <w:cols w:space="720" w:num="1"/>
        </w:sectPr>
      </w:pPr>
    </w:p>
    <w:p w14:paraId="4CDAF127">
      <w:pPr>
        <w:spacing w:line="231" w:lineRule="exact"/>
      </w:pPr>
    </w:p>
    <w:tbl>
      <w:tblPr>
        <w:tblStyle w:val="5"/>
        <w:tblW w:w="85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2080"/>
        <w:gridCol w:w="2659"/>
        <w:gridCol w:w="2640"/>
      </w:tblGrid>
      <w:tr w14:paraId="58DE5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38" w:type="dxa"/>
            <w:vAlign w:val="top"/>
          </w:tcPr>
          <w:p w14:paraId="7DD6AA73">
            <w:pPr>
              <w:pStyle w:val="6"/>
              <w:spacing w:before="77" w:line="217" w:lineRule="auto"/>
              <w:ind w:left="410"/>
              <w:rPr>
                <w:sz w:val="22"/>
                <w:szCs w:val="22"/>
              </w:rPr>
            </w:pPr>
            <w:r>
              <w:rPr>
                <w:spacing w:val="-3"/>
                <w:sz w:val="22"/>
                <w:szCs w:val="22"/>
              </w:rPr>
              <w:t>S12</w:t>
            </w:r>
          </w:p>
        </w:tc>
        <w:tc>
          <w:tcPr>
            <w:tcW w:w="2080" w:type="dxa"/>
            <w:vAlign w:val="top"/>
          </w:tcPr>
          <w:p w14:paraId="115ADE81">
            <w:pPr>
              <w:pStyle w:val="6"/>
              <w:spacing w:before="77" w:line="217" w:lineRule="auto"/>
              <w:ind w:left="714"/>
              <w:rPr>
                <w:sz w:val="22"/>
                <w:szCs w:val="22"/>
              </w:rPr>
            </w:pPr>
            <w:r>
              <w:rPr>
                <w:spacing w:val="-2"/>
                <w:sz w:val="22"/>
                <w:szCs w:val="22"/>
              </w:rPr>
              <w:t>960.92</w:t>
            </w:r>
          </w:p>
        </w:tc>
        <w:tc>
          <w:tcPr>
            <w:tcW w:w="2659" w:type="dxa"/>
            <w:vAlign w:val="top"/>
          </w:tcPr>
          <w:p w14:paraId="723D70F3">
            <w:pPr>
              <w:pStyle w:val="6"/>
              <w:spacing w:before="77" w:line="217" w:lineRule="auto"/>
              <w:ind w:left="1005"/>
              <w:rPr>
                <w:sz w:val="22"/>
                <w:szCs w:val="22"/>
              </w:rPr>
            </w:pPr>
            <w:r>
              <w:rPr>
                <w:spacing w:val="-2"/>
                <w:sz w:val="22"/>
                <w:szCs w:val="22"/>
              </w:rPr>
              <w:t>961.30</w:t>
            </w:r>
          </w:p>
        </w:tc>
        <w:tc>
          <w:tcPr>
            <w:tcW w:w="2640" w:type="dxa"/>
            <w:vAlign w:val="top"/>
          </w:tcPr>
          <w:p w14:paraId="7D101A45">
            <w:pPr>
              <w:pStyle w:val="6"/>
              <w:spacing w:before="63" w:line="229" w:lineRule="auto"/>
              <w:ind w:left="1107"/>
              <w:rPr>
                <w:sz w:val="22"/>
                <w:szCs w:val="22"/>
              </w:rPr>
            </w:pPr>
            <w:r>
              <w:rPr>
                <w:spacing w:val="-3"/>
                <w:sz w:val="22"/>
                <w:szCs w:val="22"/>
              </w:rPr>
              <w:t>0.38</w:t>
            </w:r>
          </w:p>
        </w:tc>
      </w:tr>
      <w:tr w14:paraId="5F949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8" w:type="dxa"/>
            <w:vAlign w:val="top"/>
          </w:tcPr>
          <w:p w14:paraId="6765BCF7">
            <w:pPr>
              <w:pStyle w:val="6"/>
              <w:spacing w:before="47" w:line="217" w:lineRule="auto"/>
              <w:ind w:left="410"/>
              <w:rPr>
                <w:sz w:val="22"/>
                <w:szCs w:val="22"/>
              </w:rPr>
            </w:pPr>
            <w:r>
              <w:rPr>
                <w:spacing w:val="-3"/>
                <w:sz w:val="22"/>
                <w:szCs w:val="22"/>
              </w:rPr>
              <w:t>S13</w:t>
            </w:r>
          </w:p>
        </w:tc>
        <w:tc>
          <w:tcPr>
            <w:tcW w:w="2080" w:type="dxa"/>
            <w:vAlign w:val="top"/>
          </w:tcPr>
          <w:p w14:paraId="0605BFCE">
            <w:pPr>
              <w:pStyle w:val="6"/>
              <w:spacing w:before="47" w:line="217" w:lineRule="auto"/>
              <w:ind w:left="714"/>
              <w:rPr>
                <w:sz w:val="22"/>
                <w:szCs w:val="22"/>
              </w:rPr>
            </w:pPr>
            <w:r>
              <w:rPr>
                <w:spacing w:val="-2"/>
                <w:sz w:val="22"/>
                <w:szCs w:val="22"/>
              </w:rPr>
              <w:t>957.76</w:t>
            </w:r>
          </w:p>
        </w:tc>
        <w:tc>
          <w:tcPr>
            <w:tcW w:w="2659" w:type="dxa"/>
            <w:vAlign w:val="top"/>
          </w:tcPr>
          <w:p w14:paraId="6BA9FB67">
            <w:pPr>
              <w:pStyle w:val="6"/>
              <w:spacing w:before="47" w:line="217" w:lineRule="auto"/>
              <w:ind w:left="1005"/>
              <w:rPr>
                <w:sz w:val="22"/>
                <w:szCs w:val="22"/>
              </w:rPr>
            </w:pPr>
            <w:r>
              <w:rPr>
                <w:spacing w:val="-2"/>
                <w:sz w:val="22"/>
                <w:szCs w:val="22"/>
              </w:rPr>
              <w:t>957.64</w:t>
            </w:r>
          </w:p>
        </w:tc>
        <w:tc>
          <w:tcPr>
            <w:tcW w:w="2640" w:type="dxa"/>
            <w:vAlign w:val="top"/>
          </w:tcPr>
          <w:p w14:paraId="489F5F64">
            <w:pPr>
              <w:pStyle w:val="6"/>
              <w:spacing w:before="47" w:line="217" w:lineRule="auto"/>
              <w:ind w:left="1048"/>
              <w:rPr>
                <w:sz w:val="22"/>
                <w:szCs w:val="22"/>
              </w:rPr>
            </w:pPr>
            <w:r>
              <w:rPr>
                <w:spacing w:val="-1"/>
                <w:sz w:val="22"/>
                <w:szCs w:val="22"/>
              </w:rPr>
              <w:t>-0.12</w:t>
            </w:r>
          </w:p>
        </w:tc>
      </w:tr>
      <w:tr w14:paraId="027A7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38" w:type="dxa"/>
            <w:vAlign w:val="top"/>
          </w:tcPr>
          <w:p w14:paraId="01AAB1F5">
            <w:pPr>
              <w:pStyle w:val="6"/>
              <w:spacing w:before="74" w:line="216" w:lineRule="auto"/>
              <w:ind w:left="410"/>
              <w:rPr>
                <w:sz w:val="22"/>
                <w:szCs w:val="22"/>
              </w:rPr>
            </w:pPr>
            <w:r>
              <w:rPr>
                <w:spacing w:val="-3"/>
                <w:sz w:val="22"/>
                <w:szCs w:val="22"/>
              </w:rPr>
              <w:t>S14</w:t>
            </w:r>
          </w:p>
        </w:tc>
        <w:tc>
          <w:tcPr>
            <w:tcW w:w="2080" w:type="dxa"/>
            <w:vAlign w:val="top"/>
          </w:tcPr>
          <w:p w14:paraId="257C38EC">
            <w:pPr>
              <w:pStyle w:val="6"/>
              <w:spacing w:before="74" w:line="216" w:lineRule="auto"/>
              <w:ind w:left="714"/>
              <w:rPr>
                <w:sz w:val="22"/>
                <w:szCs w:val="22"/>
              </w:rPr>
            </w:pPr>
            <w:r>
              <w:rPr>
                <w:spacing w:val="-2"/>
                <w:sz w:val="22"/>
                <w:szCs w:val="22"/>
              </w:rPr>
              <w:t>982.19</w:t>
            </w:r>
          </w:p>
        </w:tc>
        <w:tc>
          <w:tcPr>
            <w:tcW w:w="2659" w:type="dxa"/>
            <w:vAlign w:val="top"/>
          </w:tcPr>
          <w:p w14:paraId="24AF4D3D">
            <w:pPr>
              <w:pStyle w:val="6"/>
              <w:spacing w:before="74" w:line="216" w:lineRule="auto"/>
              <w:ind w:left="1005"/>
              <w:rPr>
                <w:sz w:val="22"/>
                <w:szCs w:val="22"/>
              </w:rPr>
            </w:pPr>
            <w:r>
              <w:rPr>
                <w:spacing w:val="-2"/>
                <w:sz w:val="22"/>
                <w:szCs w:val="22"/>
              </w:rPr>
              <w:t>982.47</w:t>
            </w:r>
          </w:p>
        </w:tc>
        <w:tc>
          <w:tcPr>
            <w:tcW w:w="2640" w:type="dxa"/>
            <w:vAlign w:val="top"/>
          </w:tcPr>
          <w:p w14:paraId="556FEAF9">
            <w:pPr>
              <w:pStyle w:val="6"/>
              <w:spacing w:before="62" w:line="226" w:lineRule="auto"/>
              <w:ind w:left="1107"/>
              <w:rPr>
                <w:sz w:val="22"/>
                <w:szCs w:val="22"/>
              </w:rPr>
            </w:pPr>
            <w:r>
              <w:rPr>
                <w:spacing w:val="-3"/>
                <w:sz w:val="22"/>
                <w:szCs w:val="22"/>
              </w:rPr>
              <w:t>0.28</w:t>
            </w:r>
          </w:p>
        </w:tc>
      </w:tr>
      <w:tr w14:paraId="4F446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138" w:type="dxa"/>
            <w:vAlign w:val="top"/>
          </w:tcPr>
          <w:p w14:paraId="1BAB7355">
            <w:pPr>
              <w:pStyle w:val="6"/>
              <w:spacing w:before="76" w:line="218" w:lineRule="auto"/>
              <w:ind w:left="410"/>
              <w:rPr>
                <w:sz w:val="22"/>
                <w:szCs w:val="22"/>
              </w:rPr>
            </w:pPr>
            <w:r>
              <w:rPr>
                <w:spacing w:val="-3"/>
                <w:sz w:val="22"/>
                <w:szCs w:val="22"/>
              </w:rPr>
              <w:t>S15</w:t>
            </w:r>
          </w:p>
        </w:tc>
        <w:tc>
          <w:tcPr>
            <w:tcW w:w="2080" w:type="dxa"/>
            <w:vAlign w:val="top"/>
          </w:tcPr>
          <w:p w14:paraId="57DB4162">
            <w:pPr>
              <w:pStyle w:val="6"/>
              <w:spacing w:before="76" w:line="218" w:lineRule="auto"/>
              <w:ind w:left="714"/>
              <w:rPr>
                <w:sz w:val="22"/>
                <w:szCs w:val="22"/>
              </w:rPr>
            </w:pPr>
            <w:r>
              <w:rPr>
                <w:spacing w:val="-2"/>
                <w:sz w:val="22"/>
                <w:szCs w:val="22"/>
              </w:rPr>
              <w:t>980.61</w:t>
            </w:r>
          </w:p>
        </w:tc>
        <w:tc>
          <w:tcPr>
            <w:tcW w:w="2659" w:type="dxa"/>
            <w:vAlign w:val="top"/>
          </w:tcPr>
          <w:p w14:paraId="1346583A">
            <w:pPr>
              <w:pStyle w:val="6"/>
              <w:spacing w:before="76" w:line="218" w:lineRule="auto"/>
              <w:ind w:left="1005"/>
              <w:rPr>
                <w:sz w:val="22"/>
                <w:szCs w:val="22"/>
              </w:rPr>
            </w:pPr>
            <w:r>
              <w:rPr>
                <w:spacing w:val="-2"/>
                <w:sz w:val="22"/>
                <w:szCs w:val="22"/>
              </w:rPr>
              <w:t>980.50</w:t>
            </w:r>
          </w:p>
        </w:tc>
        <w:tc>
          <w:tcPr>
            <w:tcW w:w="2640" w:type="dxa"/>
            <w:vAlign w:val="top"/>
          </w:tcPr>
          <w:p w14:paraId="2B557FC7">
            <w:pPr>
              <w:pStyle w:val="6"/>
              <w:spacing w:before="64" w:line="228" w:lineRule="auto"/>
              <w:ind w:left="1048"/>
              <w:rPr>
                <w:sz w:val="22"/>
                <w:szCs w:val="22"/>
              </w:rPr>
            </w:pPr>
            <w:r>
              <w:rPr>
                <w:spacing w:val="-1"/>
                <w:sz w:val="22"/>
                <w:szCs w:val="22"/>
              </w:rPr>
              <w:t>-0.11</w:t>
            </w:r>
          </w:p>
        </w:tc>
      </w:tr>
    </w:tbl>
    <w:p w14:paraId="3C5D178F">
      <w:pPr>
        <w:spacing w:before="116" w:line="219" w:lineRule="auto"/>
        <w:ind w:left="243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8.2-9        </w:t>
      </w:r>
      <w:r>
        <w:rPr>
          <w:rFonts w:ascii="宋体" w:hAnsi="宋体" w:eastAsia="宋体" w:cs="宋体"/>
          <w:spacing w:val="-1"/>
          <w:sz w:val="24"/>
          <w:szCs w:val="24"/>
        </w:rPr>
        <w:t>模型水均衡计算结果一览表</w:t>
      </w:r>
    </w:p>
    <w:p w14:paraId="4EEC060E">
      <w:pPr>
        <w:spacing w:line="67" w:lineRule="exact"/>
      </w:pPr>
    </w:p>
    <w:tbl>
      <w:tblPr>
        <w:tblStyle w:val="5"/>
        <w:tblW w:w="8471"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17"/>
        <w:gridCol w:w="2890"/>
        <w:gridCol w:w="2564"/>
      </w:tblGrid>
      <w:tr w14:paraId="279F9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017" w:type="dxa"/>
            <w:vAlign w:val="top"/>
          </w:tcPr>
          <w:p w14:paraId="42459B75">
            <w:pPr>
              <w:pStyle w:val="6"/>
              <w:spacing w:before="59" w:line="221" w:lineRule="auto"/>
              <w:ind w:left="1183"/>
              <w:rPr>
                <w:sz w:val="22"/>
                <w:szCs w:val="22"/>
              </w:rPr>
            </w:pPr>
            <w:r>
              <w:rPr>
                <w:spacing w:val="-2"/>
                <w:sz w:val="22"/>
                <w:szCs w:val="22"/>
              </w:rPr>
              <w:t>源汇项</w:t>
            </w:r>
          </w:p>
        </w:tc>
        <w:tc>
          <w:tcPr>
            <w:tcW w:w="2890" w:type="dxa"/>
            <w:vAlign w:val="top"/>
          </w:tcPr>
          <w:p w14:paraId="51B771D8">
            <w:pPr>
              <w:pStyle w:val="6"/>
              <w:spacing w:before="59" w:line="221" w:lineRule="auto"/>
              <w:ind w:left="805"/>
              <w:rPr>
                <w:sz w:val="22"/>
                <w:szCs w:val="22"/>
              </w:rPr>
            </w:pPr>
            <w:r>
              <w:rPr>
                <w:spacing w:val="-1"/>
                <w:sz w:val="22"/>
                <w:szCs w:val="22"/>
              </w:rPr>
              <w:t>补给（</w:t>
            </w:r>
            <w:r>
              <w:rPr>
                <w:rFonts w:ascii="Times New Roman" w:hAnsi="Times New Roman" w:eastAsia="Times New Roman" w:cs="Times New Roman"/>
                <w:spacing w:val="-1"/>
                <w:sz w:val="22"/>
                <w:szCs w:val="22"/>
              </w:rPr>
              <w:t>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/d</w:t>
            </w:r>
            <w:r>
              <w:rPr>
                <w:spacing w:val="-1"/>
                <w:sz w:val="22"/>
                <w:szCs w:val="22"/>
              </w:rPr>
              <w:t>）</w:t>
            </w:r>
          </w:p>
        </w:tc>
        <w:tc>
          <w:tcPr>
            <w:tcW w:w="2564" w:type="dxa"/>
            <w:vAlign w:val="top"/>
          </w:tcPr>
          <w:p w14:paraId="57738F72">
            <w:pPr>
              <w:pStyle w:val="6"/>
              <w:spacing w:before="60" w:line="222" w:lineRule="auto"/>
              <w:ind w:left="643"/>
              <w:rPr>
                <w:sz w:val="22"/>
                <w:szCs w:val="22"/>
              </w:rPr>
            </w:pPr>
            <w:r>
              <w:rPr>
                <w:spacing w:val="-1"/>
                <w:sz w:val="22"/>
                <w:szCs w:val="22"/>
              </w:rPr>
              <w:t>排泄（</w:t>
            </w:r>
            <w:r>
              <w:rPr>
                <w:rFonts w:ascii="Times New Roman" w:hAnsi="Times New Roman" w:eastAsia="Times New Roman" w:cs="Times New Roman"/>
                <w:spacing w:val="-1"/>
                <w:sz w:val="22"/>
                <w:szCs w:val="22"/>
              </w:rPr>
              <w:t>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sz w:val="22"/>
                <w:szCs w:val="22"/>
              </w:rPr>
              <w:t>/d</w:t>
            </w:r>
            <w:r>
              <w:rPr>
                <w:spacing w:val="-1"/>
                <w:sz w:val="22"/>
                <w:szCs w:val="22"/>
              </w:rPr>
              <w:t>）</w:t>
            </w:r>
          </w:p>
        </w:tc>
      </w:tr>
      <w:tr w14:paraId="2E415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512BBF3F">
            <w:pPr>
              <w:pStyle w:val="6"/>
              <w:spacing w:before="58" w:line="221" w:lineRule="auto"/>
              <w:ind w:left="854"/>
              <w:rPr>
                <w:sz w:val="22"/>
                <w:szCs w:val="22"/>
              </w:rPr>
            </w:pPr>
            <w:r>
              <w:rPr>
                <w:spacing w:val="-2"/>
                <w:sz w:val="22"/>
                <w:szCs w:val="22"/>
              </w:rPr>
              <w:t>给定流量边界</w:t>
            </w:r>
          </w:p>
        </w:tc>
        <w:tc>
          <w:tcPr>
            <w:tcW w:w="2890" w:type="dxa"/>
            <w:vAlign w:val="top"/>
          </w:tcPr>
          <w:p w14:paraId="2F3D412D">
            <w:pPr>
              <w:rPr>
                <w:rFonts w:ascii="Arial"/>
                <w:sz w:val="21"/>
              </w:rPr>
            </w:pPr>
          </w:p>
        </w:tc>
        <w:tc>
          <w:tcPr>
            <w:tcW w:w="2564" w:type="dxa"/>
            <w:vAlign w:val="top"/>
          </w:tcPr>
          <w:p w14:paraId="1B52D16D">
            <w:pPr>
              <w:spacing w:before="94" w:line="189" w:lineRule="auto"/>
              <w:ind w:left="9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-436.01</w:t>
            </w:r>
          </w:p>
        </w:tc>
      </w:tr>
      <w:tr w14:paraId="41E97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3877A753">
            <w:pPr>
              <w:pStyle w:val="6"/>
              <w:spacing w:before="60" w:line="219" w:lineRule="auto"/>
              <w:ind w:left="1185"/>
              <w:rPr>
                <w:sz w:val="22"/>
                <w:szCs w:val="22"/>
              </w:rPr>
            </w:pPr>
            <w:r>
              <w:rPr>
                <w:spacing w:val="-3"/>
                <w:sz w:val="22"/>
                <w:szCs w:val="22"/>
              </w:rPr>
              <w:t>开采量</w:t>
            </w:r>
          </w:p>
        </w:tc>
        <w:tc>
          <w:tcPr>
            <w:tcW w:w="2890" w:type="dxa"/>
            <w:vAlign w:val="top"/>
          </w:tcPr>
          <w:p w14:paraId="74722739">
            <w:pPr>
              <w:rPr>
                <w:rFonts w:ascii="Arial"/>
                <w:sz w:val="21"/>
              </w:rPr>
            </w:pPr>
          </w:p>
        </w:tc>
        <w:tc>
          <w:tcPr>
            <w:tcW w:w="2564" w:type="dxa"/>
            <w:vAlign w:val="top"/>
          </w:tcPr>
          <w:p w14:paraId="255117A3">
            <w:pPr>
              <w:spacing w:before="95" w:line="189" w:lineRule="auto"/>
              <w:ind w:left="95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-605.50</w:t>
            </w:r>
          </w:p>
        </w:tc>
      </w:tr>
      <w:tr w14:paraId="75A40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2477FD93">
            <w:pPr>
              <w:pStyle w:val="6"/>
              <w:spacing w:before="59" w:line="220" w:lineRule="auto"/>
              <w:ind w:left="760"/>
              <w:rPr>
                <w:sz w:val="22"/>
                <w:szCs w:val="22"/>
              </w:rPr>
            </w:pPr>
            <w:r>
              <w:rPr>
                <w:spacing w:val="-4"/>
                <w:sz w:val="22"/>
                <w:szCs w:val="22"/>
              </w:rPr>
              <w:t>降水入渗补给量</w:t>
            </w:r>
          </w:p>
        </w:tc>
        <w:tc>
          <w:tcPr>
            <w:tcW w:w="2890" w:type="dxa"/>
            <w:vAlign w:val="top"/>
          </w:tcPr>
          <w:p w14:paraId="15436F3B">
            <w:pPr>
              <w:spacing w:before="97" w:line="189" w:lineRule="auto"/>
              <w:ind w:left="108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2404.96</w:t>
            </w:r>
          </w:p>
        </w:tc>
        <w:tc>
          <w:tcPr>
            <w:tcW w:w="2564" w:type="dxa"/>
            <w:vAlign w:val="top"/>
          </w:tcPr>
          <w:p w14:paraId="691D9210">
            <w:pPr>
              <w:rPr>
                <w:rFonts w:ascii="Arial"/>
                <w:sz w:val="21"/>
              </w:rPr>
            </w:pPr>
          </w:p>
        </w:tc>
      </w:tr>
      <w:tr w14:paraId="77BA3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05F79500">
            <w:pPr>
              <w:pStyle w:val="6"/>
              <w:spacing w:before="60" w:line="221" w:lineRule="auto"/>
              <w:ind w:left="1187"/>
              <w:rPr>
                <w:sz w:val="22"/>
                <w:szCs w:val="22"/>
              </w:rPr>
            </w:pPr>
            <w:r>
              <w:rPr>
                <w:spacing w:val="-4"/>
                <w:sz w:val="22"/>
                <w:szCs w:val="22"/>
              </w:rPr>
              <w:t>蒸发量</w:t>
            </w:r>
          </w:p>
        </w:tc>
        <w:tc>
          <w:tcPr>
            <w:tcW w:w="2890" w:type="dxa"/>
            <w:vAlign w:val="top"/>
          </w:tcPr>
          <w:p w14:paraId="65C9473A">
            <w:pPr>
              <w:rPr>
                <w:rFonts w:ascii="Arial"/>
                <w:sz w:val="21"/>
              </w:rPr>
            </w:pPr>
          </w:p>
        </w:tc>
        <w:tc>
          <w:tcPr>
            <w:tcW w:w="2564" w:type="dxa"/>
            <w:vAlign w:val="top"/>
          </w:tcPr>
          <w:p w14:paraId="35CA737C">
            <w:pPr>
              <w:spacing w:before="96" w:line="189" w:lineRule="auto"/>
              <w:ind w:left="89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-1247.10</w:t>
            </w:r>
          </w:p>
        </w:tc>
      </w:tr>
      <w:tr w14:paraId="69E8F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017" w:type="dxa"/>
            <w:vAlign w:val="top"/>
          </w:tcPr>
          <w:p w14:paraId="35E7B87E">
            <w:pPr>
              <w:pStyle w:val="6"/>
              <w:spacing w:before="62" w:line="221" w:lineRule="auto"/>
              <w:ind w:left="962"/>
              <w:rPr>
                <w:sz w:val="22"/>
                <w:szCs w:val="22"/>
              </w:rPr>
            </w:pPr>
            <w:r>
              <w:rPr>
                <w:spacing w:val="-2"/>
                <w:sz w:val="22"/>
                <w:szCs w:val="22"/>
              </w:rPr>
              <w:t>源汇项总和</w:t>
            </w:r>
          </w:p>
        </w:tc>
        <w:tc>
          <w:tcPr>
            <w:tcW w:w="2890" w:type="dxa"/>
            <w:vAlign w:val="top"/>
          </w:tcPr>
          <w:p w14:paraId="674B71A3">
            <w:pPr>
              <w:spacing w:before="98" w:line="189" w:lineRule="auto"/>
              <w:ind w:left="108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2404.96</w:t>
            </w:r>
          </w:p>
        </w:tc>
        <w:tc>
          <w:tcPr>
            <w:tcW w:w="2564" w:type="dxa"/>
            <w:vAlign w:val="top"/>
          </w:tcPr>
          <w:p w14:paraId="10E81F8A">
            <w:pPr>
              <w:spacing w:before="98" w:line="189" w:lineRule="auto"/>
              <w:ind w:left="89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-2288.61</w:t>
            </w:r>
          </w:p>
        </w:tc>
      </w:tr>
      <w:tr w14:paraId="1699F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17" w:type="dxa"/>
            <w:vAlign w:val="top"/>
          </w:tcPr>
          <w:p w14:paraId="76274E2C">
            <w:pPr>
              <w:pStyle w:val="6"/>
              <w:spacing w:before="63" w:line="222" w:lineRule="auto"/>
              <w:ind w:left="705"/>
              <w:rPr>
                <w:sz w:val="22"/>
                <w:szCs w:val="22"/>
              </w:rPr>
            </w:pPr>
            <w:r>
              <w:rPr>
                <w:spacing w:val="-1"/>
                <w:sz w:val="22"/>
                <w:szCs w:val="22"/>
              </w:rPr>
              <w:t>源</w:t>
            </w:r>
            <w:r>
              <w:rPr>
                <w:rFonts w:ascii="Times New Roman" w:hAnsi="Times New Roman" w:eastAsia="Times New Roman" w:cs="Times New Roman"/>
                <w:spacing w:val="-1"/>
                <w:sz w:val="22"/>
                <w:szCs w:val="22"/>
              </w:rPr>
              <w:t>-</w:t>
            </w:r>
            <w:r>
              <w:rPr>
                <w:spacing w:val="-1"/>
                <w:sz w:val="22"/>
                <w:szCs w:val="22"/>
              </w:rPr>
              <w:t>汇及相对误差</w:t>
            </w:r>
          </w:p>
        </w:tc>
        <w:tc>
          <w:tcPr>
            <w:tcW w:w="2890" w:type="dxa"/>
            <w:vAlign w:val="top"/>
          </w:tcPr>
          <w:p w14:paraId="55E6D82C">
            <w:pPr>
              <w:pStyle w:val="6"/>
              <w:spacing w:before="64" w:line="223" w:lineRule="auto"/>
              <w:ind w:left="1065"/>
              <w:rPr>
                <w:sz w:val="22"/>
                <w:szCs w:val="22"/>
              </w:rPr>
            </w:pPr>
            <w:r>
              <w:rPr>
                <w:sz w:val="22"/>
                <w:szCs w:val="22"/>
              </w:rPr>
              <w:t xml:space="preserve">源 </w:t>
            </w:r>
            <w:r>
              <w:rPr>
                <w:rFonts w:ascii="Times New Roman" w:hAnsi="Times New Roman" w:eastAsia="Times New Roman" w:cs="Times New Roman"/>
                <w:sz w:val="22"/>
                <w:szCs w:val="22"/>
              </w:rPr>
              <w:t xml:space="preserve">–  </w:t>
            </w:r>
            <w:r>
              <w:rPr>
                <w:sz w:val="22"/>
                <w:szCs w:val="22"/>
              </w:rPr>
              <w:t>汇</w:t>
            </w:r>
          </w:p>
        </w:tc>
        <w:tc>
          <w:tcPr>
            <w:tcW w:w="2564" w:type="dxa"/>
            <w:vAlign w:val="top"/>
          </w:tcPr>
          <w:p w14:paraId="1F61B3B0">
            <w:pPr>
              <w:pStyle w:val="6"/>
              <w:spacing w:before="63" w:line="222" w:lineRule="auto"/>
              <w:ind w:left="759"/>
              <w:rPr>
                <w:rFonts w:ascii="Times New Roman" w:hAnsi="Times New Roman" w:eastAsia="Times New Roman" w:cs="Times New Roman"/>
                <w:sz w:val="22"/>
                <w:szCs w:val="22"/>
              </w:rPr>
            </w:pPr>
            <w:r>
              <w:rPr>
                <w:spacing w:val="-2"/>
                <w:sz w:val="22"/>
                <w:szCs w:val="22"/>
              </w:rPr>
              <w:t>相对误差</w:t>
            </w:r>
            <w:r>
              <w:rPr>
                <w:rFonts w:ascii="Times New Roman" w:hAnsi="Times New Roman" w:eastAsia="Times New Roman" w:cs="Times New Roman"/>
                <w:spacing w:val="-2"/>
                <w:sz w:val="22"/>
                <w:szCs w:val="22"/>
              </w:rPr>
              <w:t>%</w:t>
            </w:r>
          </w:p>
        </w:tc>
      </w:tr>
      <w:tr w14:paraId="26924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017" w:type="dxa"/>
            <w:vAlign w:val="top"/>
          </w:tcPr>
          <w:p w14:paraId="5F8A7AC2">
            <w:pPr>
              <w:spacing w:before="95" w:line="193" w:lineRule="auto"/>
              <w:ind w:left="89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Sources/Sinks</w:t>
            </w:r>
          </w:p>
        </w:tc>
        <w:tc>
          <w:tcPr>
            <w:tcW w:w="2890" w:type="dxa"/>
            <w:vAlign w:val="top"/>
          </w:tcPr>
          <w:p w14:paraId="58785301">
            <w:pPr>
              <w:spacing w:before="100" w:line="189" w:lineRule="auto"/>
              <w:ind w:left="117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116.35</w:t>
            </w:r>
          </w:p>
        </w:tc>
        <w:tc>
          <w:tcPr>
            <w:tcW w:w="2564" w:type="dxa"/>
            <w:vAlign w:val="top"/>
          </w:tcPr>
          <w:p w14:paraId="68F50FB5">
            <w:pPr>
              <w:spacing w:before="100" w:line="189" w:lineRule="auto"/>
              <w:ind w:left="1092"/>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4.84</w:t>
            </w:r>
          </w:p>
        </w:tc>
      </w:tr>
    </w:tbl>
    <w:p w14:paraId="4D4FEEED">
      <w:pPr>
        <w:spacing w:before="272" w:line="361" w:lineRule="auto"/>
        <w:ind w:left="123" w:right="103" w:firstLine="481"/>
        <w:rPr>
          <w:rFonts w:ascii="宋体" w:hAnsi="宋体" w:eastAsia="宋体" w:cs="宋体"/>
          <w:sz w:val="24"/>
          <w:szCs w:val="24"/>
        </w:rPr>
      </w:pPr>
      <w:r>
        <w:rPr>
          <w:rFonts w:ascii="宋体" w:hAnsi="宋体" w:eastAsia="宋体" w:cs="宋体"/>
          <w:spacing w:val="-3"/>
          <w:sz w:val="24"/>
          <w:szCs w:val="24"/>
        </w:rPr>
        <w:t>水均衡结果表明：降雨入渗补给是评价区内地下水主要补</w:t>
      </w:r>
      <w:r>
        <w:rPr>
          <w:rFonts w:ascii="宋体" w:hAnsi="宋体" w:eastAsia="宋体" w:cs="宋体"/>
          <w:spacing w:val="-4"/>
          <w:sz w:val="24"/>
          <w:szCs w:val="24"/>
        </w:rPr>
        <w:t>给方式；人工开采</w:t>
      </w:r>
      <w:r>
        <w:rPr>
          <w:rFonts w:ascii="宋体" w:hAnsi="宋体" w:eastAsia="宋体" w:cs="宋体"/>
          <w:sz w:val="24"/>
          <w:szCs w:val="24"/>
        </w:rPr>
        <w:t xml:space="preserve"> </w:t>
      </w:r>
      <w:r>
        <w:rPr>
          <w:rFonts w:ascii="宋体" w:hAnsi="宋体" w:eastAsia="宋体" w:cs="宋体"/>
          <w:spacing w:val="-1"/>
          <w:sz w:val="24"/>
          <w:szCs w:val="24"/>
        </w:rPr>
        <w:t>和蒸发是评价区内地下水最主要排泄方式。</w:t>
      </w:r>
    </w:p>
    <w:p w14:paraId="6BECDB4A">
      <w:pPr>
        <w:spacing w:line="361" w:lineRule="auto"/>
        <w:rPr>
          <w:rFonts w:ascii="宋体" w:hAnsi="宋体" w:eastAsia="宋体" w:cs="宋体"/>
          <w:sz w:val="24"/>
          <w:szCs w:val="24"/>
        </w:rPr>
        <w:sectPr>
          <w:headerReference r:id="rId287" w:type="default"/>
          <w:footerReference r:id="rId288" w:type="default"/>
          <w:pgSz w:w="11906" w:h="16839"/>
          <w:pgMar w:top="1208" w:right="1696" w:bottom="1358" w:left="1687" w:header="825" w:footer="1195" w:gutter="0"/>
          <w:cols w:space="720" w:num="1"/>
        </w:sectPr>
      </w:pPr>
    </w:p>
    <w:p w14:paraId="16213879">
      <w:pPr>
        <w:pStyle w:val="2"/>
        <w:spacing w:line="308" w:lineRule="auto"/>
      </w:pPr>
    </w:p>
    <w:p w14:paraId="73C3180D">
      <w:pPr>
        <w:spacing w:line="8577" w:lineRule="exact"/>
        <w:ind w:firstLine="14"/>
      </w:pPr>
      <w:r>
        <w:rPr>
          <w:position w:val="-171"/>
        </w:rPr>
        <w:drawing>
          <wp:inline distT="0" distB="0" distL="0" distR="0">
            <wp:extent cx="5274310" cy="544639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508"/>
                    <a:stretch>
                      <a:fillRect/>
                    </a:stretch>
                  </pic:blipFill>
                  <pic:spPr>
                    <a:xfrm>
                      <a:off x="0" y="0"/>
                      <a:ext cx="5274563" cy="5446775"/>
                    </a:xfrm>
                    <a:prstGeom prst="rect">
                      <a:avLst/>
                    </a:prstGeom>
                  </pic:spPr>
                </pic:pic>
              </a:graphicData>
            </a:graphic>
          </wp:inline>
        </w:drawing>
      </w:r>
    </w:p>
    <w:p w14:paraId="563AAF9B">
      <w:pPr>
        <w:pStyle w:val="2"/>
        <w:spacing w:line="269" w:lineRule="auto"/>
      </w:pPr>
    </w:p>
    <w:p w14:paraId="489E5436">
      <w:pPr>
        <w:spacing w:before="78" w:line="219" w:lineRule="auto"/>
        <w:ind w:left="2000"/>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8.2-10  </w:t>
      </w:r>
      <w:r>
        <w:rPr>
          <w:rFonts w:ascii="宋体" w:hAnsi="宋体" w:eastAsia="宋体" w:cs="宋体"/>
          <w:spacing w:val="-2"/>
          <w:sz w:val="24"/>
          <w:szCs w:val="24"/>
        </w:rPr>
        <w:t>数值模型计算、观测水</w:t>
      </w:r>
      <w:r>
        <w:rPr>
          <w:rFonts w:ascii="宋体" w:hAnsi="宋体" w:eastAsia="宋体" w:cs="宋体"/>
          <w:spacing w:val="-3"/>
          <w:sz w:val="24"/>
          <w:szCs w:val="24"/>
        </w:rPr>
        <w:t>位对比图</w:t>
      </w:r>
    </w:p>
    <w:p w14:paraId="246AD894">
      <w:pPr>
        <w:spacing w:line="219" w:lineRule="auto"/>
        <w:rPr>
          <w:rFonts w:ascii="宋体" w:hAnsi="宋体" w:eastAsia="宋体" w:cs="宋体"/>
          <w:sz w:val="24"/>
          <w:szCs w:val="24"/>
        </w:rPr>
        <w:sectPr>
          <w:headerReference r:id="rId289" w:type="default"/>
          <w:footerReference r:id="rId290" w:type="default"/>
          <w:pgSz w:w="11906" w:h="16839"/>
          <w:pgMar w:top="1208" w:right="1785" w:bottom="1358" w:left="1785" w:header="825" w:footer="1195" w:gutter="0"/>
          <w:cols w:space="720" w:num="1"/>
        </w:sectPr>
      </w:pPr>
    </w:p>
    <w:p w14:paraId="1F34215D">
      <w:pPr>
        <w:pStyle w:val="2"/>
        <w:spacing w:line="286" w:lineRule="auto"/>
      </w:pPr>
    </w:p>
    <w:p w14:paraId="69E517C5">
      <w:pPr>
        <w:spacing w:line="8307" w:lineRule="exact"/>
        <w:ind w:firstLine="14"/>
      </w:pPr>
      <w:r>
        <w:rPr>
          <w:position w:val="-166"/>
        </w:rPr>
        <w:drawing>
          <wp:inline distT="0" distB="0" distL="0" distR="0">
            <wp:extent cx="5274310" cy="527431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509"/>
                    <a:stretch>
                      <a:fillRect/>
                    </a:stretch>
                  </pic:blipFill>
                  <pic:spPr>
                    <a:xfrm>
                      <a:off x="0" y="0"/>
                      <a:ext cx="5274563" cy="5274564"/>
                    </a:xfrm>
                    <a:prstGeom prst="rect">
                      <a:avLst/>
                    </a:prstGeom>
                  </pic:spPr>
                </pic:pic>
              </a:graphicData>
            </a:graphic>
          </wp:inline>
        </w:drawing>
      </w:r>
    </w:p>
    <w:p w14:paraId="4966D132">
      <w:pPr>
        <w:spacing w:before="173" w:line="219" w:lineRule="auto"/>
        <w:ind w:left="2962"/>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8.2-11  </w:t>
      </w:r>
      <w:r>
        <w:rPr>
          <w:rFonts w:ascii="宋体" w:hAnsi="宋体" w:eastAsia="宋体" w:cs="宋体"/>
          <w:spacing w:val="-4"/>
          <w:sz w:val="24"/>
          <w:szCs w:val="24"/>
        </w:rPr>
        <w:t>模拟地下水流场图</w:t>
      </w:r>
    </w:p>
    <w:p w14:paraId="1C11F8B4">
      <w:pPr>
        <w:spacing w:before="184"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、溶质运移模型建立与预测结果</w:t>
      </w:r>
    </w:p>
    <w:p w14:paraId="25D45AC6">
      <w:pPr>
        <w:spacing w:before="183" w:line="217" w:lineRule="auto"/>
        <w:ind w:left="502"/>
        <w:rPr>
          <w:rFonts w:ascii="宋体" w:hAnsi="宋体" w:eastAsia="宋体" w:cs="宋体"/>
          <w:sz w:val="24"/>
          <w:szCs w:val="24"/>
        </w:rPr>
      </w:pPr>
      <w:r>
        <w:rPr>
          <w:rFonts w:ascii="宋体" w:hAnsi="宋体" w:eastAsia="宋体" w:cs="宋体"/>
          <w:spacing w:val="-2"/>
          <w:sz w:val="24"/>
          <w:szCs w:val="24"/>
        </w:rPr>
        <w:t>①预测方法</w:t>
      </w:r>
    </w:p>
    <w:p w14:paraId="549BCA05">
      <w:pPr>
        <w:spacing w:before="185" w:line="360" w:lineRule="auto"/>
        <w:ind w:left="18" w:right="13" w:firstLine="485"/>
        <w:jc w:val="both"/>
        <w:rPr>
          <w:rFonts w:ascii="宋体" w:hAnsi="宋体" w:eastAsia="宋体" w:cs="宋体"/>
          <w:sz w:val="24"/>
          <w:szCs w:val="24"/>
        </w:rPr>
      </w:pPr>
      <w:r>
        <w:rPr>
          <w:rFonts w:ascii="宋体" w:hAnsi="宋体" w:eastAsia="宋体" w:cs="宋体"/>
          <w:spacing w:val="-1"/>
          <w:sz w:val="24"/>
          <w:szCs w:val="24"/>
        </w:rPr>
        <w:t>根据《环境影响评价技术导则 地下水环境》（</w:t>
      </w:r>
      <w:r>
        <w:rPr>
          <w:rFonts w:ascii="Times New Roman" w:hAnsi="Times New Roman" w:eastAsia="Times New Roman" w:cs="Times New Roman"/>
          <w:spacing w:val="-1"/>
          <w:sz w:val="24"/>
          <w:szCs w:val="24"/>
        </w:rPr>
        <w:t>HJ 610-2016</w:t>
      </w:r>
      <w:r>
        <w:rPr>
          <w:rFonts w:ascii="宋体" w:hAnsi="宋体" w:eastAsia="宋体" w:cs="宋体"/>
          <w:spacing w:val="-1"/>
          <w:sz w:val="24"/>
          <w:szCs w:val="24"/>
        </w:rPr>
        <w:t>）的要求，本次</w:t>
      </w:r>
      <w:r>
        <w:rPr>
          <w:rFonts w:ascii="宋体" w:hAnsi="宋体" w:eastAsia="宋体" w:cs="宋体"/>
          <w:spacing w:val="8"/>
          <w:sz w:val="24"/>
          <w:szCs w:val="24"/>
        </w:rPr>
        <w:t xml:space="preserve"> </w:t>
      </w:r>
      <w:r>
        <w:rPr>
          <w:rFonts w:ascii="宋体" w:hAnsi="宋体" w:eastAsia="宋体" w:cs="宋体"/>
          <w:spacing w:val="-1"/>
          <w:sz w:val="24"/>
          <w:szCs w:val="24"/>
        </w:rPr>
        <w:t>预测采用数值法，利用</w:t>
      </w:r>
      <w:r>
        <w:rPr>
          <w:rFonts w:ascii="Times New Roman" w:hAnsi="Times New Roman" w:eastAsia="Times New Roman" w:cs="Times New Roman"/>
          <w:spacing w:val="-1"/>
          <w:sz w:val="24"/>
          <w:szCs w:val="24"/>
        </w:rPr>
        <w:t>Visual modflow Premium 2011.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地下水数</w:t>
      </w:r>
      <w:r>
        <w:rPr>
          <w:rFonts w:ascii="宋体" w:hAnsi="宋体" w:eastAsia="宋体" w:cs="宋体"/>
          <w:spacing w:val="-2"/>
          <w:sz w:val="24"/>
          <w:szCs w:val="24"/>
        </w:rPr>
        <w:t>值模拟软件中的</w:t>
      </w:r>
      <w:r>
        <w:rPr>
          <w:rFonts w:ascii="宋体" w:hAnsi="宋体" w:eastAsia="宋体" w:cs="宋体"/>
          <w:sz w:val="24"/>
          <w:szCs w:val="24"/>
        </w:rPr>
        <w:t xml:space="preserve"> </w:t>
      </w:r>
      <w:r>
        <w:rPr>
          <w:rFonts w:ascii="Times New Roman" w:hAnsi="Times New Roman" w:eastAsia="Times New Roman" w:cs="Times New Roman"/>
          <w:spacing w:val="-1"/>
          <w:sz w:val="24"/>
          <w:szCs w:val="24"/>
        </w:rPr>
        <w:t>MT3D</w:t>
      </w:r>
      <w:r>
        <w:rPr>
          <w:rFonts w:ascii="宋体" w:hAnsi="宋体" w:eastAsia="宋体" w:cs="宋体"/>
          <w:spacing w:val="-1"/>
          <w:sz w:val="24"/>
          <w:szCs w:val="24"/>
        </w:rPr>
        <w:t>模块建立溶质模型。</w:t>
      </w:r>
    </w:p>
    <w:p w14:paraId="6E4174F8">
      <w:pPr>
        <w:spacing w:line="219" w:lineRule="auto"/>
        <w:ind w:left="983"/>
        <w:rPr>
          <w:rFonts w:ascii="宋体" w:hAnsi="宋体" w:eastAsia="宋体" w:cs="宋体"/>
          <w:sz w:val="24"/>
          <w:szCs w:val="24"/>
        </w:rPr>
      </w:pPr>
      <w:r>
        <w:rPr>
          <w:rFonts w:ascii="宋体" w:hAnsi="宋体" w:eastAsia="宋体" w:cs="宋体"/>
          <w:spacing w:val="-2"/>
          <w:sz w:val="24"/>
          <w:szCs w:val="24"/>
        </w:rPr>
        <w:t>地下水溶质模型：</w:t>
      </w:r>
    </w:p>
    <w:p w14:paraId="2C3442DC">
      <w:pPr>
        <w:pStyle w:val="2"/>
        <w:spacing w:line="271" w:lineRule="auto"/>
      </w:pPr>
    </w:p>
    <w:p w14:paraId="04F89972">
      <w:pPr>
        <w:spacing w:line="765" w:lineRule="exact"/>
        <w:ind w:firstLine="494"/>
      </w:pPr>
      <w:r>
        <w:rPr>
          <w:position w:val="-15"/>
        </w:rPr>
        <w:drawing>
          <wp:inline distT="0" distB="0" distL="0" distR="0">
            <wp:extent cx="4675505" cy="4857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510"/>
                    <a:stretch>
                      <a:fillRect/>
                    </a:stretch>
                  </pic:blipFill>
                  <pic:spPr>
                    <a:xfrm>
                      <a:off x="0" y="0"/>
                      <a:ext cx="4675632" cy="486155"/>
                    </a:xfrm>
                    <a:prstGeom prst="rect">
                      <a:avLst/>
                    </a:prstGeom>
                  </pic:spPr>
                </pic:pic>
              </a:graphicData>
            </a:graphic>
          </wp:inline>
        </w:drawing>
      </w:r>
    </w:p>
    <w:p w14:paraId="0494B9FA">
      <w:pPr>
        <w:spacing w:before="201" w:line="220" w:lineRule="auto"/>
        <w:ind w:left="504"/>
        <w:rPr>
          <w:rFonts w:ascii="宋体" w:hAnsi="宋体" w:eastAsia="宋体" w:cs="宋体"/>
          <w:sz w:val="24"/>
          <w:szCs w:val="24"/>
        </w:rPr>
      </w:pPr>
      <w:r>
        <w:rPr>
          <w:rFonts w:ascii="宋体" w:hAnsi="宋体" w:eastAsia="宋体" w:cs="宋体"/>
          <w:spacing w:val="-4"/>
          <w:sz w:val="24"/>
          <w:szCs w:val="24"/>
        </w:rPr>
        <w:t>其中：</w:t>
      </w:r>
    </w:p>
    <w:p w14:paraId="7D49D8D7">
      <w:pPr>
        <w:spacing w:before="125"/>
        <w:ind w:left="498"/>
        <w:rPr>
          <w:rFonts w:ascii="宋体" w:hAnsi="宋体" w:eastAsia="宋体" w:cs="宋体"/>
          <w:sz w:val="24"/>
          <w:szCs w:val="24"/>
        </w:rPr>
      </w:pPr>
      <w:r>
        <w:rPr>
          <w:rFonts w:ascii="Times New Roman" w:hAnsi="Times New Roman" w:eastAsia="Times New Roman" w:cs="Times New Roman"/>
          <w:spacing w:val="-1"/>
          <w:sz w:val="24"/>
          <w:szCs w:val="24"/>
        </w:rPr>
        <w:t>R-</w:t>
      </w:r>
      <w:r>
        <w:rPr>
          <w:rFonts w:ascii="宋体" w:hAnsi="宋体" w:eastAsia="宋体" w:cs="宋体"/>
          <w:spacing w:val="-1"/>
          <w:sz w:val="24"/>
          <w:szCs w:val="24"/>
        </w:rPr>
        <w:t>迟滞系数，无量纲。</w:t>
      </w:r>
      <w:r>
        <w:rPr>
          <w:position w:val="-15"/>
          <w:sz w:val="24"/>
          <w:szCs w:val="24"/>
        </w:rPr>
        <w:drawing>
          <wp:inline distT="0" distB="0" distL="0" distR="0">
            <wp:extent cx="990600" cy="3244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511"/>
                    <a:stretch>
                      <a:fillRect/>
                    </a:stretch>
                  </pic:blipFill>
                  <pic:spPr>
                    <a:xfrm>
                      <a:off x="0" y="0"/>
                      <a:ext cx="990600" cy="324611"/>
                    </a:xfrm>
                    <a:prstGeom prst="rect">
                      <a:avLst/>
                    </a:prstGeom>
                  </pic:spPr>
                </pic:pic>
              </a:graphicData>
            </a:graphic>
          </wp:inline>
        </w:drawing>
      </w:r>
      <w:r>
        <w:rPr>
          <w:rFonts w:ascii="宋体" w:hAnsi="宋体" w:eastAsia="宋体" w:cs="宋体"/>
          <w:spacing w:val="-1"/>
          <w:sz w:val="24"/>
          <w:szCs w:val="24"/>
        </w:rPr>
        <w:t>；</w:t>
      </w:r>
    </w:p>
    <w:p w14:paraId="58A6C30C">
      <w:pPr>
        <w:rPr>
          <w:rFonts w:ascii="宋体" w:hAnsi="宋体" w:eastAsia="宋体" w:cs="宋体"/>
          <w:sz w:val="24"/>
          <w:szCs w:val="24"/>
        </w:rPr>
        <w:sectPr>
          <w:footerReference r:id="rId291" w:type="default"/>
          <w:pgSz w:w="11906" w:h="16839"/>
          <w:pgMar w:top="1208" w:right="1785" w:bottom="1358" w:left="1785" w:header="825" w:footer="1195" w:gutter="0"/>
          <w:cols w:space="720" w:num="1"/>
        </w:sectPr>
      </w:pPr>
    </w:p>
    <w:p w14:paraId="1789C804">
      <w:pPr>
        <w:pStyle w:val="2"/>
        <w:spacing w:line="358" w:lineRule="auto"/>
      </w:pPr>
    </w:p>
    <w:p w14:paraId="4EF1EF40">
      <w:pPr>
        <w:spacing w:before="78" w:line="218" w:lineRule="auto"/>
        <w:ind w:left="494"/>
        <w:rPr>
          <w:rFonts w:ascii="宋体" w:hAnsi="宋体" w:eastAsia="宋体" w:cs="宋体"/>
          <w:sz w:val="24"/>
          <w:szCs w:val="24"/>
        </w:rPr>
      </w:pPr>
      <w:r>
        <w:rPr>
          <w:rFonts w:ascii="Times New Roman" w:hAnsi="Times New Roman" w:eastAsia="Times New Roman" w:cs="Times New Roman"/>
          <w:position w:val="-5"/>
          <w:sz w:val="24"/>
          <w:szCs w:val="24"/>
        </w:rPr>
        <w:drawing>
          <wp:inline distT="0" distB="0" distL="0" distR="0">
            <wp:extent cx="180975" cy="13589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512"/>
                    <a:stretch>
                      <a:fillRect/>
                    </a:stretch>
                  </pic:blipFill>
                  <pic:spPr>
                    <a:xfrm>
                      <a:off x="0" y="0"/>
                      <a:ext cx="181355" cy="136083"/>
                    </a:xfrm>
                    <a:prstGeom prst="rect">
                      <a:avLst/>
                    </a:prstGeom>
                  </pic:spPr>
                </pic:pic>
              </a:graphicData>
            </a:graphic>
          </wp:inline>
        </w:drawing>
      </w:r>
      <w:r>
        <w:rPr>
          <w:rFonts w:ascii="Times New Roman" w:hAnsi="Times New Roman" w:eastAsia="Times New Roman" w:cs="Times New Roman"/>
          <w:sz w:val="24"/>
          <w:szCs w:val="24"/>
        </w:rPr>
        <w:t>-</w:t>
      </w:r>
      <w:r>
        <w:rPr>
          <w:rFonts w:ascii="宋体" w:hAnsi="宋体" w:eastAsia="宋体" w:cs="宋体"/>
          <w:sz w:val="24"/>
          <w:szCs w:val="24"/>
        </w:rPr>
        <w:t>介质密度，</w:t>
      </w:r>
      <w:r>
        <w:rPr>
          <w:rFonts w:ascii="Times New Roman" w:hAnsi="Times New Roman" w:eastAsia="Times New Roman" w:cs="Times New Roman"/>
          <w:sz w:val="24"/>
          <w:szCs w:val="24"/>
        </w:rPr>
        <w:t>kg/(dm)</w:t>
      </w:r>
      <w:r>
        <w:rPr>
          <w:rFonts w:ascii="Times New Roman" w:hAnsi="Times New Roman" w:eastAsia="Times New Roman" w:cs="Times New Roman"/>
          <w:position w:val="7"/>
          <w:sz w:val="15"/>
          <w:szCs w:val="15"/>
        </w:rPr>
        <w:t>3</w:t>
      </w:r>
      <w:r>
        <w:rPr>
          <w:rFonts w:ascii="宋体" w:hAnsi="宋体" w:eastAsia="宋体" w:cs="宋体"/>
          <w:sz w:val="24"/>
          <w:szCs w:val="24"/>
        </w:rPr>
        <w:t>；</w:t>
      </w:r>
    </w:p>
    <w:p w14:paraId="78A8BC78">
      <w:pPr>
        <w:pStyle w:val="2"/>
        <w:spacing w:line="415" w:lineRule="auto"/>
      </w:pPr>
    </w:p>
    <w:p w14:paraId="23ED1714">
      <w:pPr>
        <w:spacing w:before="78" w:line="234" w:lineRule="auto"/>
        <w:ind w:left="494"/>
        <w:rPr>
          <w:rFonts w:ascii="宋体" w:hAnsi="宋体" w:eastAsia="宋体" w:cs="宋体"/>
          <w:sz w:val="24"/>
          <w:szCs w:val="24"/>
        </w:rPr>
      </w:pPr>
      <w:r>
        <w:rPr>
          <w:rFonts w:ascii="Times New Roman" w:hAnsi="Times New Roman" w:eastAsia="Times New Roman" w:cs="Times New Roman"/>
          <w:position w:val="1"/>
          <w:sz w:val="24"/>
          <w:szCs w:val="24"/>
        </w:rPr>
        <w:drawing>
          <wp:inline distT="0" distB="0" distL="0" distR="0">
            <wp:extent cx="114300" cy="13525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513"/>
                    <a:stretch>
                      <a:fillRect/>
                    </a:stretch>
                  </pic:blipFill>
                  <pic:spPr>
                    <a:xfrm>
                      <a:off x="0" y="0"/>
                      <a:ext cx="114300" cy="135635"/>
                    </a:xfrm>
                    <a:prstGeom prst="rect">
                      <a:avLst/>
                    </a:prstGeom>
                  </pic:spPr>
                </pic:pic>
              </a:graphicData>
            </a:graphic>
          </wp:inline>
        </w:drawing>
      </w:r>
      <w:r>
        <w:rPr>
          <w:rFonts w:ascii="Times New Roman" w:hAnsi="Times New Roman" w:eastAsia="Times New Roman" w:cs="Times New Roman"/>
          <w:spacing w:val="-1"/>
          <w:sz w:val="24"/>
          <w:szCs w:val="24"/>
        </w:rPr>
        <w:t>-</w:t>
      </w:r>
      <w:r>
        <w:rPr>
          <w:rFonts w:ascii="宋体" w:hAnsi="宋体" w:eastAsia="宋体" w:cs="宋体"/>
          <w:spacing w:val="-1"/>
          <w:sz w:val="24"/>
          <w:szCs w:val="24"/>
        </w:rPr>
        <w:t>介质孔隙度，无量纲；</w:t>
      </w:r>
    </w:p>
    <w:p w14:paraId="2E1A2D56">
      <w:pPr>
        <w:pStyle w:val="2"/>
        <w:spacing w:line="303" w:lineRule="auto"/>
      </w:pPr>
    </w:p>
    <w:p w14:paraId="7D426D38">
      <w:pPr>
        <w:spacing w:before="78" w:line="212" w:lineRule="auto"/>
        <w:ind w:left="502"/>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组分的浓度，</w:t>
      </w:r>
      <w:r>
        <w:rPr>
          <w:rFonts w:ascii="Times New Roman" w:hAnsi="Times New Roman" w:eastAsia="Times New Roman" w:cs="Times New Roman"/>
          <w:spacing w:val="-1"/>
          <w:sz w:val="24"/>
          <w:szCs w:val="24"/>
        </w:rPr>
        <w:t>g/L</w:t>
      </w:r>
      <w:r>
        <w:rPr>
          <w:rFonts w:ascii="宋体" w:hAnsi="宋体" w:eastAsia="宋体" w:cs="宋体"/>
          <w:spacing w:val="-1"/>
          <w:sz w:val="24"/>
          <w:szCs w:val="24"/>
        </w:rPr>
        <w:t>；</w:t>
      </w:r>
    </w:p>
    <w:p w14:paraId="79A444E2">
      <w:pPr>
        <w:spacing w:before="238" w:line="235" w:lineRule="auto"/>
        <w:ind w:left="494"/>
        <w:rPr>
          <w:rFonts w:ascii="宋体" w:hAnsi="宋体" w:eastAsia="宋体" w:cs="宋体"/>
          <w:sz w:val="24"/>
          <w:szCs w:val="24"/>
        </w:rPr>
      </w:pPr>
      <w:r>
        <w:rPr>
          <w:rFonts w:ascii="Times New Roman" w:hAnsi="Times New Roman" w:eastAsia="Times New Roman" w:cs="Times New Roman"/>
          <w:sz w:val="24"/>
          <w:szCs w:val="24"/>
        </w:rPr>
        <w:drawing>
          <wp:inline distT="0" distB="0" distL="0" distR="0">
            <wp:extent cx="104775" cy="16319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514"/>
                    <a:stretch>
                      <a:fillRect/>
                    </a:stretch>
                  </pic:blipFill>
                  <pic:spPr>
                    <a:xfrm>
                      <a:off x="0" y="0"/>
                      <a:ext cx="105155" cy="163576"/>
                    </a:xfrm>
                    <a:prstGeom prst="rect">
                      <a:avLst/>
                    </a:prstGeom>
                  </pic:spPr>
                </pic:pic>
              </a:graphicData>
            </a:graphic>
          </wp:inline>
        </w:drawing>
      </w:r>
      <w:r>
        <w:rPr>
          <w:rFonts w:ascii="Times New Roman" w:hAnsi="Times New Roman" w:eastAsia="Times New Roman" w:cs="Times New Roman"/>
          <w:spacing w:val="-1"/>
          <w:sz w:val="24"/>
          <w:szCs w:val="24"/>
        </w:rPr>
        <w:t>-</w:t>
      </w:r>
      <w:r>
        <w:rPr>
          <w:rFonts w:ascii="宋体" w:hAnsi="宋体" w:eastAsia="宋体" w:cs="宋体"/>
          <w:spacing w:val="-1"/>
          <w:sz w:val="24"/>
          <w:szCs w:val="24"/>
        </w:rPr>
        <w:t>介质骨架吸附的溶质浓度，</w:t>
      </w:r>
      <w:r>
        <w:rPr>
          <w:rFonts w:ascii="Times New Roman" w:hAnsi="Times New Roman" w:eastAsia="Times New Roman" w:cs="Times New Roman"/>
          <w:spacing w:val="-1"/>
          <w:sz w:val="24"/>
          <w:szCs w:val="24"/>
        </w:rPr>
        <w:t>g/kg</w:t>
      </w:r>
      <w:r>
        <w:rPr>
          <w:rFonts w:ascii="宋体" w:hAnsi="宋体" w:eastAsia="宋体" w:cs="宋体"/>
          <w:spacing w:val="-1"/>
          <w:sz w:val="24"/>
          <w:szCs w:val="24"/>
        </w:rPr>
        <w:t>；</w:t>
      </w:r>
    </w:p>
    <w:p w14:paraId="7A0C7BDB">
      <w:pPr>
        <w:spacing w:before="257" w:line="221" w:lineRule="auto"/>
        <w:ind w:left="496"/>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时间，</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6D8D2A8B">
      <w:pPr>
        <w:spacing w:before="180" w:line="212" w:lineRule="auto"/>
        <w:ind w:left="497"/>
        <w:rPr>
          <w:rFonts w:ascii="宋体" w:hAnsi="宋体" w:eastAsia="宋体" w:cs="宋体"/>
          <w:sz w:val="24"/>
          <w:szCs w:val="24"/>
        </w:rPr>
      </w:pPr>
      <w:r>
        <w:rPr>
          <w:rFonts w:ascii="Times New Roman" w:hAnsi="Times New Roman" w:eastAsia="Times New Roman" w:cs="Times New Roman"/>
          <w:spacing w:val="-3"/>
          <w:sz w:val="24"/>
          <w:szCs w:val="24"/>
        </w:rPr>
        <w:t>x</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y-</w:t>
      </w:r>
      <w:r>
        <w:rPr>
          <w:rFonts w:ascii="宋体" w:hAnsi="宋体" w:eastAsia="宋体" w:cs="宋体"/>
          <w:spacing w:val="-3"/>
          <w:sz w:val="24"/>
          <w:szCs w:val="24"/>
        </w:rPr>
        <w:t>空间位置坐标，</w:t>
      </w:r>
      <w:r>
        <w:rPr>
          <w:rFonts w:ascii="Times New Roman" w:hAnsi="Times New Roman" w:eastAsia="Times New Roman" w:cs="Times New Roman"/>
          <w:spacing w:val="-3"/>
          <w:sz w:val="24"/>
          <w:szCs w:val="24"/>
        </w:rPr>
        <w:t>m</w:t>
      </w:r>
      <w:r>
        <w:rPr>
          <w:rFonts w:ascii="宋体" w:hAnsi="宋体" w:eastAsia="宋体" w:cs="宋体"/>
          <w:spacing w:val="-3"/>
          <w:sz w:val="24"/>
          <w:szCs w:val="24"/>
        </w:rPr>
        <w:t>；</w:t>
      </w:r>
    </w:p>
    <w:p w14:paraId="6AA439F1">
      <w:pPr>
        <w:pStyle w:val="2"/>
        <w:spacing w:before="212" w:line="363" w:lineRule="auto"/>
        <w:ind w:left="494" w:right="4402"/>
        <w:rPr>
          <w:rFonts w:ascii="宋体" w:hAnsi="宋体" w:eastAsia="宋体" w:cs="宋体"/>
          <w:sz w:val="24"/>
          <w:szCs w:val="24"/>
        </w:rPr>
      </w:pPr>
      <w:r>
        <w:rPr>
          <w:rFonts w:ascii="Times New Roman" w:hAnsi="Times New Roman" w:eastAsia="Times New Roman" w:cs="Times New Roman"/>
          <w:position w:val="-10"/>
          <w:sz w:val="24"/>
          <w:szCs w:val="24"/>
        </w:rPr>
        <w:drawing>
          <wp:inline distT="0" distB="0" distL="0" distR="0">
            <wp:extent cx="210185" cy="2286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515"/>
                    <a:stretch>
                      <a:fillRect/>
                    </a:stretch>
                  </pic:blipFill>
                  <pic:spPr>
                    <a:xfrm>
                      <a:off x="0" y="0"/>
                      <a:ext cx="210311" cy="228600"/>
                    </a:xfrm>
                    <a:prstGeom prst="rect">
                      <a:avLst/>
                    </a:prstGeom>
                  </pic:spPr>
                </pic:pic>
              </a:graphicData>
            </a:graphic>
          </wp:inline>
        </w:drawing>
      </w:r>
      <w:r>
        <w:rPr>
          <w:rFonts w:ascii="Times New Roman" w:hAnsi="Times New Roman" w:eastAsia="Times New Roman" w:cs="Times New Roman"/>
          <w:spacing w:val="-4"/>
          <w:sz w:val="24"/>
          <w:szCs w:val="24"/>
        </w:rPr>
        <w:t>-</w:t>
      </w:r>
      <w:r>
        <w:rPr>
          <w:rFonts w:ascii="宋体" w:hAnsi="宋体" w:eastAsia="宋体" w:cs="宋体"/>
          <w:spacing w:val="-4"/>
          <w:sz w:val="24"/>
          <w:szCs w:val="24"/>
        </w:rPr>
        <w:t>水动力弥散系数张量，</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4"/>
          <w:sz w:val="24"/>
          <w:szCs w:val="24"/>
        </w:rPr>
        <w:t>/d</w:t>
      </w:r>
      <w:r>
        <w:rPr>
          <w:rFonts w:ascii="宋体" w:hAnsi="宋体" w:eastAsia="宋体" w:cs="宋体"/>
          <w:spacing w:val="-4"/>
          <w:sz w:val="24"/>
          <w:szCs w:val="24"/>
        </w:rPr>
        <w:t>；</w:t>
      </w:r>
      <w:r>
        <w:rPr>
          <w:rFonts w:ascii="宋体" w:hAnsi="宋体" w:eastAsia="宋体" w:cs="宋体"/>
          <w:spacing w:val="1"/>
          <w:sz w:val="24"/>
          <w:szCs w:val="24"/>
        </w:rPr>
        <w:t xml:space="preserve"> </w:t>
      </w:r>
      <w:r>
        <w:rPr>
          <w:color w:val="919093"/>
          <w:position w:val="-1"/>
          <w:sz w:val="30"/>
          <w:szCs w:val="30"/>
        </w:rPr>
        <w:t>vi</w:t>
      </w:r>
      <w:r>
        <w:rPr>
          <w:rFonts w:ascii="Times New Roman" w:hAnsi="Times New Roman" w:eastAsia="Times New Roman" w:cs="Times New Roman"/>
          <w:sz w:val="24"/>
          <w:szCs w:val="24"/>
        </w:rPr>
        <w:t>-</w:t>
      </w:r>
      <w:r>
        <w:rPr>
          <w:rFonts w:ascii="宋体" w:hAnsi="宋体" w:eastAsia="宋体" w:cs="宋体"/>
          <w:sz w:val="24"/>
          <w:szCs w:val="24"/>
        </w:rPr>
        <w:t>地下水渗流速度张量，</w:t>
      </w:r>
      <w:r>
        <w:rPr>
          <w:rFonts w:ascii="Times New Roman" w:hAnsi="Times New Roman" w:eastAsia="Times New Roman" w:cs="Times New Roman"/>
          <w:sz w:val="24"/>
          <w:szCs w:val="24"/>
        </w:rPr>
        <w:t>m/d</w:t>
      </w:r>
      <w:r>
        <w:rPr>
          <w:rFonts w:ascii="宋体" w:hAnsi="宋体" w:eastAsia="宋体" w:cs="宋体"/>
          <w:sz w:val="24"/>
          <w:szCs w:val="24"/>
        </w:rPr>
        <w:t>；</w:t>
      </w:r>
      <w:r>
        <w:rPr>
          <w:rFonts w:ascii="宋体" w:hAnsi="宋体" w:eastAsia="宋体" w:cs="宋体"/>
          <w:spacing w:val="4"/>
          <w:sz w:val="24"/>
          <w:szCs w:val="24"/>
        </w:rPr>
        <w:t xml:space="preserve">  </w:t>
      </w:r>
      <w:r>
        <w:rPr>
          <w:rFonts w:ascii="Times New Roman" w:hAnsi="Times New Roman" w:eastAsia="Times New Roman" w:cs="Times New Roman"/>
          <w:spacing w:val="-1"/>
          <w:sz w:val="24"/>
          <w:szCs w:val="24"/>
        </w:rPr>
        <w:t>W-</w:t>
      </w:r>
      <w:r>
        <w:rPr>
          <w:rFonts w:ascii="宋体" w:hAnsi="宋体" w:eastAsia="宋体" w:cs="宋体"/>
          <w:spacing w:val="-1"/>
          <w:sz w:val="24"/>
          <w:szCs w:val="24"/>
        </w:rPr>
        <w:t>水流的源和汇，</w:t>
      </w:r>
      <w:r>
        <w:rPr>
          <w:rFonts w:ascii="Times New Roman" w:hAnsi="Times New Roman" w:eastAsia="Times New Roman" w:cs="Times New Roman"/>
          <w:spacing w:val="-1"/>
          <w:sz w:val="24"/>
          <w:szCs w:val="24"/>
        </w:rPr>
        <w:t>1/d</w:t>
      </w:r>
      <w:r>
        <w:rPr>
          <w:rFonts w:ascii="宋体" w:hAnsi="宋体" w:eastAsia="宋体" w:cs="宋体"/>
          <w:spacing w:val="-1"/>
          <w:sz w:val="24"/>
          <w:szCs w:val="24"/>
        </w:rPr>
        <w:t>；</w:t>
      </w:r>
    </w:p>
    <w:p w14:paraId="527A77B7">
      <w:pPr>
        <w:spacing w:before="209" w:line="239" w:lineRule="auto"/>
        <w:ind w:left="494"/>
        <w:rPr>
          <w:rFonts w:ascii="宋体" w:hAnsi="宋体" w:eastAsia="宋体" w:cs="宋体"/>
          <w:sz w:val="24"/>
          <w:szCs w:val="24"/>
        </w:rPr>
      </w:pPr>
      <w:r>
        <w:rPr>
          <w:rFonts w:ascii="Times New Roman" w:hAnsi="Times New Roman" w:eastAsia="Times New Roman" w:cs="Times New Roman"/>
          <w:position w:val="-5"/>
          <w:sz w:val="24"/>
          <w:szCs w:val="24"/>
        </w:rPr>
        <w:drawing>
          <wp:inline distT="0" distB="0" distL="0" distR="0">
            <wp:extent cx="172085" cy="21018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516"/>
                    <a:stretch>
                      <a:fillRect/>
                    </a:stretch>
                  </pic:blipFill>
                  <pic:spPr>
                    <a:xfrm>
                      <a:off x="0" y="0"/>
                      <a:ext cx="172211" cy="210311"/>
                    </a:xfrm>
                    <a:prstGeom prst="rect">
                      <a:avLst/>
                    </a:prstGeom>
                  </pic:spPr>
                </pic:pic>
              </a:graphicData>
            </a:graphic>
          </wp:inline>
        </w:drawing>
      </w:r>
      <w:r>
        <w:rPr>
          <w:rFonts w:ascii="Times New Roman" w:hAnsi="Times New Roman" w:eastAsia="Times New Roman" w:cs="Times New Roman"/>
          <w:spacing w:val="-1"/>
          <w:sz w:val="24"/>
          <w:szCs w:val="24"/>
        </w:rPr>
        <w:t>-</w:t>
      </w:r>
      <w:r>
        <w:rPr>
          <w:rFonts w:ascii="宋体" w:hAnsi="宋体" w:eastAsia="宋体" w:cs="宋体"/>
          <w:spacing w:val="-1"/>
          <w:sz w:val="24"/>
          <w:szCs w:val="24"/>
        </w:rPr>
        <w:t>组分的浓度，</w:t>
      </w:r>
      <w:r>
        <w:rPr>
          <w:rFonts w:ascii="Times New Roman" w:hAnsi="Times New Roman" w:eastAsia="Times New Roman" w:cs="Times New Roman"/>
          <w:spacing w:val="-1"/>
          <w:sz w:val="24"/>
          <w:szCs w:val="24"/>
        </w:rPr>
        <w:t>g/L</w:t>
      </w:r>
      <w:r>
        <w:rPr>
          <w:rFonts w:ascii="宋体" w:hAnsi="宋体" w:eastAsia="宋体" w:cs="宋体"/>
          <w:spacing w:val="-1"/>
          <w:sz w:val="24"/>
          <w:szCs w:val="24"/>
        </w:rPr>
        <w:t>；</w:t>
      </w:r>
    </w:p>
    <w:p w14:paraId="427F0252">
      <w:pPr>
        <w:spacing w:before="275"/>
        <w:ind w:left="494"/>
        <w:rPr>
          <w:rFonts w:ascii="宋体" w:hAnsi="宋体" w:eastAsia="宋体" w:cs="宋体"/>
          <w:sz w:val="24"/>
          <w:szCs w:val="24"/>
        </w:rPr>
      </w:pPr>
      <w:r>
        <w:rPr>
          <w:rFonts w:ascii="Times New Roman" w:hAnsi="Times New Roman" w:eastAsia="Times New Roman" w:cs="Times New Roman"/>
          <w:position w:val="-5"/>
          <w:sz w:val="24"/>
          <w:szCs w:val="24"/>
        </w:rPr>
        <w:drawing>
          <wp:inline distT="0" distB="0" distL="0" distR="0">
            <wp:extent cx="161290" cy="2101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517"/>
                    <a:stretch>
                      <a:fillRect/>
                    </a:stretch>
                  </pic:blipFill>
                  <pic:spPr>
                    <a:xfrm>
                      <a:off x="0" y="0"/>
                      <a:ext cx="161544" cy="210311"/>
                    </a:xfrm>
                    <a:prstGeom prst="rect">
                      <a:avLst/>
                    </a:prstGeom>
                  </pic:spPr>
                </pic:pic>
              </a:graphicData>
            </a:graphic>
          </wp:inline>
        </w:drawing>
      </w:r>
      <w:r>
        <w:rPr>
          <w:rFonts w:ascii="Times New Roman" w:hAnsi="Times New Roman" w:eastAsia="Times New Roman" w:cs="Times New Roman"/>
          <w:sz w:val="24"/>
          <w:szCs w:val="24"/>
        </w:rPr>
        <w:t>-</w:t>
      </w:r>
      <w:r>
        <w:rPr>
          <w:rFonts w:ascii="宋体" w:hAnsi="宋体" w:eastAsia="宋体" w:cs="宋体"/>
          <w:sz w:val="24"/>
          <w:szCs w:val="24"/>
        </w:rPr>
        <w:t>溶解相一级反应速率，</w:t>
      </w:r>
      <w:r>
        <w:rPr>
          <w:rFonts w:ascii="Times New Roman" w:hAnsi="Times New Roman" w:eastAsia="Times New Roman" w:cs="Times New Roman"/>
          <w:sz w:val="24"/>
          <w:szCs w:val="24"/>
        </w:rPr>
        <w:t>1/d</w:t>
      </w:r>
      <w:r>
        <w:rPr>
          <w:rFonts w:ascii="宋体" w:hAnsi="宋体" w:eastAsia="宋体" w:cs="宋体"/>
          <w:sz w:val="24"/>
          <w:szCs w:val="24"/>
        </w:rPr>
        <w:t>；</w:t>
      </w:r>
    </w:p>
    <w:p w14:paraId="2A522349">
      <w:pPr>
        <w:spacing w:before="274" w:line="324" w:lineRule="auto"/>
        <w:ind w:left="502" w:right="5064" w:hanging="8"/>
        <w:rPr>
          <w:rFonts w:ascii="宋体" w:hAnsi="宋体" w:eastAsia="宋体" w:cs="宋体"/>
          <w:sz w:val="24"/>
          <w:szCs w:val="24"/>
        </w:rPr>
      </w:pPr>
      <w:r>
        <w:rPr>
          <w:rFonts w:ascii="Times New Roman" w:hAnsi="Times New Roman" w:eastAsia="Times New Roman" w:cs="Times New Roman"/>
          <w:position w:val="-5"/>
          <w:sz w:val="24"/>
          <w:szCs w:val="24"/>
        </w:rPr>
        <w:drawing>
          <wp:inline distT="0" distB="0" distL="0" distR="0">
            <wp:extent cx="172085" cy="21018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518"/>
                    <a:stretch>
                      <a:fillRect/>
                    </a:stretch>
                  </pic:blipFill>
                  <pic:spPr>
                    <a:xfrm>
                      <a:off x="0" y="0"/>
                      <a:ext cx="172211" cy="210311"/>
                    </a:xfrm>
                    <a:prstGeom prst="rect">
                      <a:avLst/>
                    </a:prstGeom>
                  </pic:spPr>
                </pic:pic>
              </a:graphicData>
            </a:graphic>
          </wp:inline>
        </w:drawing>
      </w:r>
      <w:r>
        <w:rPr>
          <w:rFonts w:ascii="Times New Roman" w:hAnsi="Times New Roman" w:eastAsia="Times New Roman" w:cs="Times New Roman"/>
          <w:spacing w:val="-4"/>
          <w:sz w:val="24"/>
          <w:szCs w:val="24"/>
        </w:rPr>
        <w:t>-</w:t>
      </w:r>
      <w:r>
        <w:rPr>
          <w:rFonts w:ascii="宋体" w:hAnsi="宋体" w:eastAsia="宋体" w:cs="宋体"/>
          <w:spacing w:val="-4"/>
          <w:sz w:val="24"/>
          <w:szCs w:val="24"/>
        </w:rPr>
        <w:t>吸附相反应速率，</w:t>
      </w:r>
      <w:r>
        <w:rPr>
          <w:rFonts w:ascii="Times New Roman" w:hAnsi="Times New Roman" w:eastAsia="Times New Roman" w:cs="Times New Roman"/>
          <w:spacing w:val="-4"/>
          <w:sz w:val="24"/>
          <w:szCs w:val="24"/>
        </w:rPr>
        <w:t>1/d</w:t>
      </w:r>
      <w:r>
        <w:rPr>
          <w:rFonts w:ascii="宋体" w:hAnsi="宋体" w:eastAsia="宋体" w:cs="宋体"/>
          <w:spacing w:val="-4"/>
          <w:sz w:val="24"/>
          <w:szCs w:val="24"/>
        </w:rPr>
        <w:t>。</w:t>
      </w:r>
      <w:r>
        <w:rPr>
          <w:rFonts w:ascii="宋体" w:hAnsi="宋体" w:eastAsia="宋体" w:cs="宋体"/>
          <w:spacing w:val="8"/>
          <w:sz w:val="24"/>
          <w:szCs w:val="24"/>
        </w:rPr>
        <w:t xml:space="preserve"> </w:t>
      </w:r>
      <w:r>
        <w:rPr>
          <w:rFonts w:ascii="宋体" w:hAnsi="宋体" w:eastAsia="宋体" w:cs="宋体"/>
          <w:spacing w:val="-3"/>
          <w:sz w:val="24"/>
          <w:szCs w:val="24"/>
        </w:rPr>
        <w:t>初始条件</w:t>
      </w:r>
    </w:p>
    <w:p w14:paraId="02016530">
      <w:pPr>
        <w:pStyle w:val="2"/>
        <w:spacing w:before="215" w:line="355" w:lineRule="auto"/>
        <w:ind w:left="503" w:right="2980" w:hanging="9"/>
        <w:rPr>
          <w:rFonts w:ascii="宋体" w:hAnsi="宋体" w:eastAsia="宋体" w:cs="宋体"/>
          <w:sz w:val="24"/>
          <w:szCs w:val="24"/>
        </w:rPr>
      </w:pPr>
      <w:r>
        <w:rPr>
          <w:color w:val="828288"/>
          <w:spacing w:val="-17"/>
          <w:sz w:val="34"/>
          <w:szCs w:val="34"/>
        </w:rPr>
        <w:t>C(x,</w:t>
      </w:r>
      <w:r>
        <w:rPr>
          <w:color w:val="828288"/>
          <w:spacing w:val="-54"/>
          <w:sz w:val="34"/>
          <w:szCs w:val="34"/>
        </w:rPr>
        <w:t xml:space="preserve"> </w:t>
      </w:r>
      <w:r>
        <w:rPr>
          <w:color w:val="828288"/>
          <w:spacing w:val="-17"/>
          <w:sz w:val="34"/>
          <w:szCs w:val="34"/>
        </w:rPr>
        <w:t>y,z,t)</w:t>
      </w:r>
      <w:r>
        <w:rPr>
          <w:rFonts w:ascii="Times New Roman" w:hAnsi="Times New Roman" w:eastAsia="Times New Roman" w:cs="Times New Roman"/>
          <w:spacing w:val="-17"/>
          <w:position w:val="-1"/>
          <w:sz w:val="24"/>
          <w:szCs w:val="24"/>
        </w:rPr>
        <w:t>=</w:t>
      </w:r>
      <w:r>
        <w:rPr>
          <w:color w:val="888790"/>
          <w:spacing w:val="-17"/>
          <w:sz w:val="34"/>
          <w:szCs w:val="34"/>
        </w:rPr>
        <w:t>co(x,</w:t>
      </w:r>
      <w:r>
        <w:rPr>
          <w:color w:val="888790"/>
          <w:spacing w:val="-55"/>
          <w:sz w:val="34"/>
          <w:szCs w:val="34"/>
        </w:rPr>
        <w:t xml:space="preserve"> </w:t>
      </w:r>
      <w:r>
        <w:rPr>
          <w:color w:val="888790"/>
          <w:spacing w:val="-17"/>
          <w:sz w:val="34"/>
          <w:szCs w:val="34"/>
        </w:rPr>
        <w:t>y,z,</w:t>
      </w:r>
      <w:r>
        <w:rPr>
          <w:color w:val="888790"/>
          <w:spacing w:val="-54"/>
          <w:sz w:val="34"/>
          <w:szCs w:val="34"/>
        </w:rPr>
        <w:t xml:space="preserve"> </w:t>
      </w:r>
      <w:r>
        <w:rPr>
          <w:color w:val="888790"/>
          <w:spacing w:val="-17"/>
          <w:sz w:val="34"/>
          <w:szCs w:val="34"/>
        </w:rPr>
        <w:t>t</w:t>
      </w:r>
      <w:r>
        <w:rPr>
          <w:color w:val="888790"/>
          <w:spacing w:val="-18"/>
          <w:sz w:val="34"/>
          <w:szCs w:val="34"/>
        </w:rPr>
        <w:t>)(x,</w:t>
      </w:r>
      <w:r>
        <w:rPr>
          <w:color w:val="888790"/>
          <w:spacing w:val="-55"/>
          <w:sz w:val="34"/>
          <w:szCs w:val="34"/>
        </w:rPr>
        <w:t xml:space="preserve"> </w:t>
      </w:r>
      <w:r>
        <w:rPr>
          <w:color w:val="888790"/>
          <w:spacing w:val="-18"/>
          <w:sz w:val="34"/>
          <w:szCs w:val="34"/>
        </w:rPr>
        <w:t>y,</w:t>
      </w:r>
      <w:r>
        <w:rPr>
          <w:color w:val="888790"/>
          <w:spacing w:val="-54"/>
          <w:sz w:val="34"/>
          <w:szCs w:val="34"/>
        </w:rPr>
        <w:t xml:space="preserve"> </w:t>
      </w:r>
      <w:r>
        <w:rPr>
          <w:color w:val="888790"/>
          <w:spacing w:val="-18"/>
          <w:sz w:val="34"/>
          <w:szCs w:val="34"/>
        </w:rPr>
        <w:t>z)eQ2,</w:t>
      </w:r>
      <w:r>
        <w:rPr>
          <w:color w:val="888790"/>
          <w:spacing w:val="-54"/>
          <w:sz w:val="34"/>
          <w:szCs w:val="34"/>
        </w:rPr>
        <w:t xml:space="preserve"> </w:t>
      </w:r>
      <w:r>
        <w:rPr>
          <w:color w:val="888790"/>
          <w:spacing w:val="26"/>
          <w:sz w:val="34"/>
          <w:szCs w:val="34"/>
        </w:rPr>
        <w:t>t=0</w:t>
      </w:r>
      <w:r>
        <w:rPr>
          <w:color w:val="888790"/>
          <w:sz w:val="34"/>
          <w:szCs w:val="34"/>
        </w:rPr>
        <w:t xml:space="preserve"> </w:t>
      </w:r>
      <w:r>
        <w:rPr>
          <w:rFonts w:ascii="宋体" w:hAnsi="宋体" w:eastAsia="宋体" w:cs="宋体"/>
          <w:spacing w:val="-1"/>
          <w:sz w:val="24"/>
          <w:szCs w:val="24"/>
        </w:rPr>
        <w:t>第一类边界</w:t>
      </w:r>
      <w:r>
        <w:rPr>
          <w:rFonts w:ascii="Times New Roman" w:hAnsi="Times New Roman" w:eastAsia="Times New Roman" w:cs="Times New Roman"/>
          <w:spacing w:val="-1"/>
          <w:sz w:val="24"/>
          <w:szCs w:val="24"/>
        </w:rPr>
        <w:t>-</w:t>
      </w:r>
      <w:r>
        <w:rPr>
          <w:rFonts w:ascii="宋体" w:hAnsi="宋体" w:eastAsia="宋体" w:cs="宋体"/>
          <w:spacing w:val="-1"/>
          <w:sz w:val="24"/>
          <w:szCs w:val="24"/>
        </w:rPr>
        <w:t>给定浓度边界</w:t>
      </w:r>
    </w:p>
    <w:p w14:paraId="12F38CB9">
      <w:pPr>
        <w:pStyle w:val="2"/>
        <w:spacing w:before="19" w:line="340" w:lineRule="auto"/>
        <w:ind w:left="503" w:right="2690" w:hanging="9"/>
        <w:rPr>
          <w:rFonts w:ascii="宋体" w:hAnsi="宋体" w:eastAsia="宋体" w:cs="宋体"/>
          <w:sz w:val="24"/>
          <w:szCs w:val="24"/>
        </w:rPr>
      </w:pPr>
      <w:r>
        <w:rPr>
          <w:color w:val="83878A"/>
          <w:spacing w:val="-2"/>
          <w:sz w:val="32"/>
          <w:szCs w:val="32"/>
        </w:rPr>
        <w:t>C(x,</w:t>
      </w:r>
      <w:r>
        <w:rPr>
          <w:color w:val="83878A"/>
          <w:spacing w:val="-38"/>
          <w:sz w:val="32"/>
          <w:szCs w:val="32"/>
        </w:rPr>
        <w:t xml:space="preserve"> </w:t>
      </w:r>
      <w:r>
        <w:rPr>
          <w:color w:val="83878A"/>
          <w:spacing w:val="-2"/>
          <w:sz w:val="32"/>
          <w:szCs w:val="32"/>
        </w:rPr>
        <w:t>y,z,t)</w:t>
      </w:r>
      <w:r>
        <w:rPr>
          <w:color w:val="83878A"/>
          <w:spacing w:val="33"/>
          <w:sz w:val="32"/>
          <w:szCs w:val="32"/>
        </w:rPr>
        <w:t xml:space="preserve"> </w:t>
      </w:r>
      <w:r>
        <w:rPr>
          <w:color w:val="9EA4A4"/>
          <w:spacing w:val="-2"/>
          <w:sz w:val="32"/>
          <w:szCs w:val="32"/>
        </w:rPr>
        <w:t>I</w:t>
      </w:r>
      <w:r>
        <w:rPr>
          <w:color w:val="9EA4A4"/>
          <w:spacing w:val="58"/>
          <w:sz w:val="32"/>
          <w:szCs w:val="32"/>
        </w:rPr>
        <w:t xml:space="preserve"> </w:t>
      </w:r>
      <w:r>
        <w:rPr>
          <w:spacing w:val="-2"/>
          <w:sz w:val="32"/>
          <w:szCs w:val="32"/>
        </w:rPr>
        <w:t>r,=c(x,</w:t>
      </w:r>
      <w:r>
        <w:rPr>
          <w:spacing w:val="-49"/>
          <w:sz w:val="32"/>
          <w:szCs w:val="32"/>
        </w:rPr>
        <w:t xml:space="preserve"> </w:t>
      </w:r>
      <w:r>
        <w:rPr>
          <w:spacing w:val="-2"/>
          <w:sz w:val="32"/>
          <w:szCs w:val="32"/>
        </w:rPr>
        <w:t>y,z,t)</w:t>
      </w:r>
      <w:r>
        <w:rPr>
          <w:rFonts w:ascii="Times New Roman" w:hAnsi="Times New Roman" w:eastAsia="Times New Roman" w:cs="Times New Roman"/>
          <w:spacing w:val="-2"/>
          <w:sz w:val="24"/>
          <w:szCs w:val="24"/>
        </w:rPr>
        <w:t>(x</w:t>
      </w:r>
      <w:r>
        <w:rPr>
          <w:rFonts w:ascii="Times New Roman" w:hAnsi="Times New Roman" w:eastAsia="Times New Roman" w:cs="Times New Roman"/>
          <w:spacing w:val="-2"/>
          <w:position w:val="-3"/>
          <w:sz w:val="24"/>
          <w:szCs w:val="24"/>
        </w:rPr>
        <w:t>,y,</w:t>
      </w:r>
      <w:r>
        <w:rPr>
          <w:rFonts w:ascii="Times New Roman" w:hAnsi="Times New Roman" w:eastAsia="Times New Roman" w:cs="Times New Roman"/>
          <w:spacing w:val="-2"/>
          <w:position w:val="1"/>
          <w:sz w:val="24"/>
          <w:szCs w:val="24"/>
        </w:rPr>
        <w:t>z)</w:t>
      </w: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Γ</w:t>
      </w:r>
      <w:r>
        <w:rPr>
          <w:rFonts w:ascii="Times New Roman" w:hAnsi="Times New Roman" w:eastAsia="Times New Roman" w:cs="Times New Roman"/>
          <w:spacing w:val="-2"/>
          <w:position w:val="-2"/>
          <w:sz w:val="15"/>
          <w:szCs w:val="15"/>
        </w:rPr>
        <w:t>1</w:t>
      </w:r>
      <w:r>
        <w:rPr>
          <w:rFonts w:ascii="Times New Roman" w:hAnsi="Times New Roman" w:eastAsia="Times New Roman" w:cs="Times New Roman"/>
          <w:spacing w:val="-10"/>
          <w:position w:val="-2"/>
          <w:sz w:val="15"/>
          <w:szCs w:val="15"/>
        </w:rPr>
        <w:t xml:space="preserve"> </w:t>
      </w:r>
      <w:r>
        <w:rPr>
          <w:rFonts w:ascii="宋体" w:hAnsi="宋体" w:eastAsia="宋体" w:cs="宋体"/>
          <w:spacing w:val="-2"/>
          <w:position w:val="-4"/>
          <w:sz w:val="24"/>
          <w:szCs w:val="24"/>
        </w:rPr>
        <w:t>，</w:t>
      </w:r>
      <w:r>
        <w:rPr>
          <w:rFonts w:ascii="Times New Roman" w:hAnsi="Times New Roman" w:eastAsia="Times New Roman" w:cs="Times New Roman"/>
          <w:spacing w:val="-2"/>
          <w:position w:val="2"/>
          <w:sz w:val="24"/>
          <w:szCs w:val="24"/>
        </w:rPr>
        <w:t>t≥0</w:t>
      </w:r>
      <w:r>
        <w:rPr>
          <w:rFonts w:ascii="宋体" w:hAnsi="宋体" w:eastAsia="宋体" w:cs="宋体"/>
          <w:spacing w:val="-2"/>
          <w:position w:val="2"/>
          <w:sz w:val="24"/>
          <w:szCs w:val="24"/>
        </w:rPr>
        <w:t>；</w:t>
      </w:r>
      <w:r>
        <w:rPr>
          <w:rFonts w:ascii="宋体" w:hAnsi="宋体" w:eastAsia="宋体" w:cs="宋体"/>
          <w:position w:val="2"/>
          <w:sz w:val="24"/>
          <w:szCs w:val="24"/>
        </w:rPr>
        <w:t xml:space="preserve"> </w:t>
      </w:r>
      <w:r>
        <w:rPr>
          <w:rFonts w:ascii="宋体" w:hAnsi="宋体" w:eastAsia="宋体" w:cs="宋体"/>
          <w:spacing w:val="-1"/>
          <w:sz w:val="24"/>
          <w:szCs w:val="24"/>
        </w:rPr>
        <w:t>第二类边界</w:t>
      </w:r>
      <w:r>
        <w:rPr>
          <w:rFonts w:ascii="Times New Roman" w:hAnsi="Times New Roman" w:eastAsia="Times New Roman" w:cs="Times New Roman"/>
          <w:spacing w:val="-1"/>
          <w:sz w:val="24"/>
          <w:szCs w:val="24"/>
        </w:rPr>
        <w:t>-</w:t>
      </w:r>
      <w:r>
        <w:rPr>
          <w:rFonts w:ascii="宋体" w:hAnsi="宋体" w:eastAsia="宋体" w:cs="宋体"/>
          <w:spacing w:val="-1"/>
          <w:sz w:val="24"/>
          <w:szCs w:val="24"/>
        </w:rPr>
        <w:t>给定弥散通量边界</w:t>
      </w:r>
    </w:p>
    <w:p w14:paraId="572A5ED2">
      <w:pPr>
        <w:ind w:left="494"/>
        <w:rPr>
          <w:rFonts w:ascii="宋体" w:hAnsi="宋体" w:eastAsia="宋体" w:cs="宋体"/>
          <w:sz w:val="24"/>
          <w:szCs w:val="24"/>
        </w:rPr>
      </w:pPr>
      <w:r>
        <w:rPr>
          <w:rFonts w:ascii="Times New Roman" w:hAnsi="Times New Roman" w:eastAsia="Times New Roman" w:cs="Times New Roman"/>
          <w:position w:val="-22"/>
          <w:sz w:val="24"/>
          <w:szCs w:val="24"/>
        </w:rPr>
        <w:drawing>
          <wp:inline distT="0" distB="0" distL="0" distR="0">
            <wp:extent cx="1933575" cy="36258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519"/>
                    <a:stretch>
                      <a:fillRect/>
                    </a:stretch>
                  </pic:blipFill>
                  <pic:spPr>
                    <a:xfrm>
                      <a:off x="0" y="0"/>
                      <a:ext cx="1933955" cy="362711"/>
                    </a:xfrm>
                    <a:prstGeom prst="rect">
                      <a:avLst/>
                    </a:prstGeom>
                  </pic:spPr>
                </pic:pic>
              </a:graphicData>
            </a:graphic>
          </wp:inline>
        </w:drawing>
      </w:r>
      <w:r>
        <w:rPr>
          <w:rFonts w:ascii="Times New Roman" w:hAnsi="Times New Roman" w:eastAsia="Times New Roman" w:cs="Times New Roman"/>
          <w:spacing w:val="-3"/>
          <w:sz w:val="24"/>
          <w:szCs w:val="24"/>
        </w:rPr>
        <w:t>(x,y,z)</w:t>
      </w:r>
      <w:r>
        <w:rPr>
          <w:rFonts w:ascii="宋体" w:hAnsi="宋体" w:eastAsia="宋体" w:cs="宋体"/>
          <w:spacing w:val="-3"/>
          <w:sz w:val="24"/>
          <w:szCs w:val="24"/>
        </w:rPr>
        <w:t>∈</w:t>
      </w:r>
      <w:r>
        <w:rPr>
          <w:rFonts w:ascii="Times New Roman" w:hAnsi="Times New Roman" w:eastAsia="Times New Roman" w:cs="Times New Roman"/>
          <w:spacing w:val="-3"/>
          <w:sz w:val="24"/>
          <w:szCs w:val="24"/>
        </w:rPr>
        <w:t>Γ</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8"/>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t≥0</w:t>
      </w:r>
      <w:r>
        <w:rPr>
          <w:rFonts w:ascii="宋体" w:hAnsi="宋体" w:eastAsia="宋体" w:cs="宋体"/>
          <w:spacing w:val="-3"/>
          <w:sz w:val="24"/>
          <w:szCs w:val="24"/>
        </w:rPr>
        <w:t>；</w:t>
      </w:r>
    </w:p>
    <w:p w14:paraId="690509AC">
      <w:pPr>
        <w:spacing w:before="141" w:line="219" w:lineRule="auto"/>
        <w:ind w:left="503"/>
        <w:rPr>
          <w:rFonts w:ascii="宋体" w:hAnsi="宋体" w:eastAsia="宋体" w:cs="宋体"/>
          <w:sz w:val="24"/>
          <w:szCs w:val="24"/>
        </w:rPr>
      </w:pPr>
      <w:r>
        <w:drawing>
          <wp:anchor distT="0" distB="0" distL="0" distR="0" simplePos="0" relativeHeight="251732992" behindDoc="0" locked="0" layoutInCell="1" allowOverlap="1">
            <wp:simplePos x="0" y="0"/>
            <wp:positionH relativeFrom="column">
              <wp:posOffset>313690</wp:posOffset>
            </wp:positionH>
            <wp:positionV relativeFrom="paragraph">
              <wp:posOffset>316865</wp:posOffset>
            </wp:positionV>
            <wp:extent cx="2609215" cy="38989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520"/>
                    <a:stretch>
                      <a:fillRect/>
                    </a:stretch>
                  </pic:blipFill>
                  <pic:spPr>
                    <a:xfrm>
                      <a:off x="0" y="0"/>
                      <a:ext cx="2609088" cy="390144"/>
                    </a:xfrm>
                    <a:prstGeom prst="rect">
                      <a:avLst/>
                    </a:prstGeom>
                  </pic:spPr>
                </pic:pic>
              </a:graphicData>
            </a:graphic>
          </wp:anchor>
        </w:drawing>
      </w:r>
      <w:r>
        <w:rPr>
          <w:rFonts w:ascii="宋体" w:hAnsi="宋体" w:eastAsia="宋体" w:cs="宋体"/>
          <w:spacing w:val="-1"/>
          <w:sz w:val="24"/>
          <w:szCs w:val="24"/>
        </w:rPr>
        <w:t>第三类边界</w:t>
      </w:r>
      <w:r>
        <w:rPr>
          <w:rFonts w:ascii="Times New Roman" w:hAnsi="Times New Roman" w:eastAsia="Times New Roman" w:cs="Times New Roman"/>
          <w:spacing w:val="-1"/>
          <w:sz w:val="24"/>
          <w:szCs w:val="24"/>
        </w:rPr>
        <w:t>-</w:t>
      </w:r>
      <w:r>
        <w:rPr>
          <w:rFonts w:ascii="宋体" w:hAnsi="宋体" w:eastAsia="宋体" w:cs="宋体"/>
          <w:spacing w:val="-1"/>
          <w:sz w:val="24"/>
          <w:szCs w:val="24"/>
        </w:rPr>
        <w:t>给定溶质通量边界</w:t>
      </w:r>
    </w:p>
    <w:p w14:paraId="5F77AB7B">
      <w:pPr>
        <w:spacing w:before="252" w:line="212" w:lineRule="auto"/>
        <w:ind w:left="4612"/>
        <w:rPr>
          <w:rFonts w:ascii="宋体" w:hAnsi="宋体" w:eastAsia="宋体" w:cs="宋体"/>
          <w:sz w:val="24"/>
          <w:szCs w:val="24"/>
        </w:rPr>
      </w:pPr>
      <w:r>
        <w:rPr>
          <w:rFonts w:ascii="Times New Roman" w:hAnsi="Times New Roman" w:eastAsia="Times New Roman" w:cs="Times New Roman"/>
          <w:spacing w:val="-4"/>
          <w:sz w:val="24"/>
          <w:szCs w:val="24"/>
        </w:rPr>
        <w:t>(x,y,z)</w:t>
      </w:r>
      <w:r>
        <w:rPr>
          <w:rFonts w:ascii="宋体" w:hAnsi="宋体" w:eastAsia="宋体" w:cs="宋体"/>
          <w:spacing w:val="-4"/>
          <w:sz w:val="24"/>
          <w:szCs w:val="24"/>
        </w:rPr>
        <w:t>∈</w:t>
      </w:r>
      <w:r>
        <w:rPr>
          <w:rFonts w:ascii="Times New Roman" w:hAnsi="Times New Roman" w:eastAsia="Times New Roman" w:cs="Times New Roman"/>
          <w:spacing w:val="-4"/>
          <w:sz w:val="24"/>
          <w:szCs w:val="24"/>
        </w:rPr>
        <w:t>Γ</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3"/>
          <w:position w:val="-1"/>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t≥0</w:t>
      </w:r>
      <w:r>
        <w:rPr>
          <w:rFonts w:ascii="宋体" w:hAnsi="宋体" w:eastAsia="宋体" w:cs="宋体"/>
          <w:spacing w:val="-4"/>
          <w:sz w:val="24"/>
          <w:szCs w:val="24"/>
        </w:rPr>
        <w:t>。</w:t>
      </w:r>
    </w:p>
    <w:p w14:paraId="22B940D5">
      <w:pPr>
        <w:spacing w:before="279" w:line="217" w:lineRule="auto"/>
        <w:ind w:left="501"/>
        <w:rPr>
          <w:rFonts w:ascii="宋体" w:hAnsi="宋体" w:eastAsia="宋体" w:cs="宋体"/>
          <w:sz w:val="24"/>
          <w:szCs w:val="24"/>
        </w:rPr>
      </w:pPr>
      <w:r>
        <w:rPr>
          <w:rFonts w:ascii="宋体" w:hAnsi="宋体" w:eastAsia="宋体" w:cs="宋体"/>
          <w:spacing w:val="-2"/>
          <w:sz w:val="24"/>
          <w:szCs w:val="24"/>
        </w:rPr>
        <w:t>②污染识别</w:t>
      </w:r>
    </w:p>
    <w:p w14:paraId="6273CED7">
      <w:pPr>
        <w:spacing w:before="262" w:line="218"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）正常状况情景下地下水环境影响预测评价</w:t>
      </w:r>
    </w:p>
    <w:p w14:paraId="182C366A">
      <w:pPr>
        <w:pStyle w:val="2"/>
        <w:spacing w:line="337" w:lineRule="auto"/>
      </w:pPr>
    </w:p>
    <w:p w14:paraId="76F248DD">
      <w:pPr>
        <w:spacing w:before="79" w:line="362" w:lineRule="auto"/>
        <w:ind w:left="22" w:right="13" w:firstLine="481"/>
        <w:rPr>
          <w:rFonts w:ascii="宋体" w:hAnsi="宋体" w:eastAsia="宋体" w:cs="宋体"/>
          <w:sz w:val="24"/>
          <w:szCs w:val="24"/>
        </w:rPr>
      </w:pPr>
      <w:r>
        <w:rPr>
          <w:rFonts w:ascii="宋体" w:hAnsi="宋体" w:eastAsia="宋体" w:cs="宋体"/>
          <w:spacing w:val="-3"/>
          <w:sz w:val="24"/>
          <w:szCs w:val="24"/>
        </w:rPr>
        <w:t>本项目废水主要为生产废水和生活污水。生产废水主要为选矿</w:t>
      </w:r>
      <w:r>
        <w:rPr>
          <w:rFonts w:ascii="宋体" w:hAnsi="宋体" w:eastAsia="宋体" w:cs="宋体"/>
          <w:spacing w:val="-4"/>
          <w:sz w:val="24"/>
          <w:szCs w:val="24"/>
        </w:rPr>
        <w:t>废水，排入尾</w:t>
      </w:r>
      <w:r>
        <w:rPr>
          <w:rFonts w:ascii="宋体" w:hAnsi="宋体" w:eastAsia="宋体" w:cs="宋体"/>
          <w:sz w:val="24"/>
          <w:szCs w:val="24"/>
        </w:rPr>
        <w:t xml:space="preserve"> </w:t>
      </w:r>
      <w:r>
        <w:rPr>
          <w:rFonts w:ascii="宋体" w:hAnsi="宋体" w:eastAsia="宋体" w:cs="宋体"/>
          <w:spacing w:val="-3"/>
          <w:sz w:val="24"/>
          <w:szCs w:val="24"/>
        </w:rPr>
        <w:t>矿库后，经沉淀处理，澄清水全部返回选矿工艺循环利用，不外排；生活污水经</w:t>
      </w:r>
    </w:p>
    <w:p w14:paraId="0A1A7903">
      <w:pPr>
        <w:spacing w:line="362" w:lineRule="auto"/>
        <w:rPr>
          <w:rFonts w:ascii="宋体" w:hAnsi="宋体" w:eastAsia="宋体" w:cs="宋体"/>
          <w:sz w:val="24"/>
          <w:szCs w:val="24"/>
        </w:rPr>
        <w:sectPr>
          <w:footerReference r:id="rId292" w:type="default"/>
          <w:pgSz w:w="11906" w:h="16839"/>
          <w:pgMar w:top="1208" w:right="1785" w:bottom="1358" w:left="1785" w:header="825" w:footer="1195" w:gutter="0"/>
          <w:cols w:space="720" w:num="1"/>
        </w:sectPr>
      </w:pPr>
    </w:p>
    <w:p w14:paraId="0D6EE531">
      <w:pPr>
        <w:pStyle w:val="2"/>
        <w:spacing w:line="265" w:lineRule="auto"/>
      </w:pPr>
    </w:p>
    <w:p w14:paraId="076656DB">
      <w:pPr>
        <w:spacing w:before="78" w:line="360" w:lineRule="auto"/>
        <w:ind w:left="25"/>
        <w:rPr>
          <w:rFonts w:ascii="宋体" w:hAnsi="宋体" w:eastAsia="宋体" w:cs="宋体"/>
          <w:sz w:val="24"/>
          <w:szCs w:val="24"/>
        </w:rPr>
      </w:pPr>
      <w:r>
        <w:rPr>
          <w:rFonts w:ascii="宋体" w:hAnsi="宋体" w:eastAsia="宋体" w:cs="宋体"/>
          <w:spacing w:val="-6"/>
          <w:sz w:val="24"/>
          <w:szCs w:val="24"/>
        </w:rPr>
        <w:t>现有污水处理设施处理后，出水达到《城市杂用水水质标准》</w:t>
      </w:r>
      <w:r>
        <w:rPr>
          <w:rFonts w:ascii="宋体" w:hAnsi="宋体" w:eastAsia="宋体" w:cs="宋体"/>
          <w:spacing w:val="-7"/>
          <w:sz w:val="24"/>
          <w:szCs w:val="24"/>
        </w:rPr>
        <w:t>（</w:t>
      </w:r>
      <w:r>
        <w:rPr>
          <w:rFonts w:ascii="Times New Roman" w:hAnsi="Times New Roman" w:eastAsia="Times New Roman" w:cs="Times New Roman"/>
          <w:spacing w:val="-7"/>
          <w:sz w:val="24"/>
          <w:szCs w:val="24"/>
        </w:rPr>
        <w:t>GB/T18920-2002</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后作为厂区绿化用水，不外排。</w:t>
      </w:r>
    </w:p>
    <w:p w14:paraId="511E78A5">
      <w:pPr>
        <w:spacing w:before="2" w:line="359" w:lineRule="auto"/>
        <w:ind w:left="24" w:right="37" w:firstLine="479"/>
        <w:rPr>
          <w:rFonts w:ascii="宋体" w:hAnsi="宋体" w:eastAsia="宋体" w:cs="宋体"/>
          <w:sz w:val="24"/>
          <w:szCs w:val="24"/>
        </w:rPr>
      </w:pPr>
      <w:r>
        <w:rPr>
          <w:rFonts w:ascii="宋体" w:hAnsi="宋体" w:eastAsia="宋体" w:cs="宋体"/>
          <w:spacing w:val="-3"/>
          <w:sz w:val="24"/>
          <w:szCs w:val="24"/>
        </w:rPr>
        <w:t>尾矿库坝体底部设置</w:t>
      </w:r>
      <w:r>
        <w:rPr>
          <w:rFonts w:ascii="Times New Roman" w:hAnsi="Times New Roman" w:eastAsia="Times New Roman" w:cs="Times New Roman"/>
          <w:spacing w:val="-3"/>
          <w:sz w:val="24"/>
          <w:szCs w:val="24"/>
        </w:rPr>
        <w:t>1m</w:t>
      </w:r>
      <w:r>
        <w:rPr>
          <w:rFonts w:ascii="宋体" w:hAnsi="宋体" w:eastAsia="宋体" w:cs="宋体"/>
          <w:spacing w:val="-3"/>
          <w:sz w:val="24"/>
          <w:szCs w:val="24"/>
        </w:rPr>
        <w:t>厚碾压堆石褥垫层，褥垫层上下均</w:t>
      </w:r>
      <w:r>
        <w:rPr>
          <w:rFonts w:ascii="宋体" w:hAnsi="宋体" w:eastAsia="宋体" w:cs="宋体"/>
          <w:spacing w:val="-4"/>
          <w:sz w:val="24"/>
          <w:szCs w:val="24"/>
        </w:rPr>
        <w:t>铺设土工布反滤，</w:t>
      </w:r>
      <w:r>
        <w:rPr>
          <w:rFonts w:ascii="宋体" w:hAnsi="宋体" w:eastAsia="宋体" w:cs="宋体"/>
          <w:sz w:val="24"/>
          <w:szCs w:val="24"/>
        </w:rPr>
        <w:t xml:space="preserve"> 库内边坡铺设有</w:t>
      </w:r>
      <w:r>
        <w:rPr>
          <w:rFonts w:ascii="Times New Roman" w:hAnsi="Times New Roman" w:eastAsia="Times New Roman" w:cs="Times New Roman"/>
          <w:sz w:val="24"/>
          <w:szCs w:val="24"/>
        </w:rPr>
        <w:t>400g/m</w:t>
      </w:r>
      <w:r>
        <w:rPr>
          <w:rFonts w:ascii="Times New Roman" w:hAnsi="Times New Roman" w:eastAsia="Times New Roman" w:cs="Times New Roman"/>
          <w:position w:val="7"/>
          <w:sz w:val="15"/>
          <w:szCs w:val="15"/>
        </w:rPr>
        <w:t>2</w:t>
      </w:r>
      <w:r>
        <w:rPr>
          <w:rFonts w:ascii="宋体" w:hAnsi="宋体" w:eastAsia="宋体" w:cs="宋体"/>
          <w:sz w:val="24"/>
          <w:szCs w:val="24"/>
        </w:rPr>
        <w:t>复合土工膜（</w:t>
      </w:r>
      <w:r>
        <w:rPr>
          <w:rFonts w:ascii="Times New Roman" w:hAnsi="Times New Roman" w:eastAsia="Times New Roman" w:cs="Times New Roman"/>
          <w:sz w:val="24"/>
          <w:szCs w:val="24"/>
        </w:rPr>
        <w:t>1.5mmHDPE</w:t>
      </w:r>
      <w:r>
        <w:rPr>
          <w:rFonts w:ascii="宋体" w:hAnsi="宋体" w:eastAsia="宋体" w:cs="宋体"/>
          <w:spacing w:val="-1"/>
          <w:sz w:val="24"/>
          <w:szCs w:val="24"/>
        </w:rPr>
        <w:t>）用于防渗，库底铺设有</w:t>
      </w:r>
    </w:p>
    <w:p w14:paraId="278397E1">
      <w:pPr>
        <w:spacing w:before="9" w:line="359" w:lineRule="auto"/>
        <w:ind w:left="21" w:right="18" w:firstLine="20"/>
        <w:rPr>
          <w:rFonts w:ascii="宋体" w:hAnsi="宋体" w:eastAsia="宋体" w:cs="宋体"/>
          <w:sz w:val="24"/>
          <w:szCs w:val="24"/>
        </w:rPr>
      </w:pPr>
      <w:r>
        <w:rPr>
          <w:rFonts w:ascii="Times New Roman" w:hAnsi="Times New Roman" w:eastAsia="Times New Roman" w:cs="Times New Roman"/>
          <w:spacing w:val="-1"/>
          <w:sz w:val="24"/>
          <w:szCs w:val="24"/>
        </w:rPr>
        <w:t>1.5mmHDPE</w:t>
      </w:r>
      <w:r>
        <w:rPr>
          <w:rFonts w:ascii="宋体" w:hAnsi="宋体" w:eastAsia="宋体" w:cs="宋体"/>
          <w:spacing w:val="-1"/>
          <w:sz w:val="24"/>
          <w:szCs w:val="24"/>
        </w:rPr>
        <w:t>土工膜用于防渗。为排出坝基渗水，于主坝下游平行坝轴线开挖一</w:t>
      </w:r>
      <w:r>
        <w:rPr>
          <w:rFonts w:ascii="宋体" w:hAnsi="宋体" w:eastAsia="宋体" w:cs="宋体"/>
          <w:spacing w:val="4"/>
          <w:sz w:val="24"/>
          <w:szCs w:val="24"/>
        </w:rPr>
        <w:t xml:space="preserve">  </w:t>
      </w:r>
      <w:r>
        <w:rPr>
          <w:rFonts w:ascii="宋体" w:hAnsi="宋体" w:eastAsia="宋体" w:cs="宋体"/>
          <w:spacing w:val="-3"/>
          <w:sz w:val="24"/>
          <w:szCs w:val="24"/>
        </w:rPr>
        <w:t>条截渗池，截渗池长</w:t>
      </w:r>
      <w:r>
        <w:rPr>
          <w:rFonts w:ascii="Times New Roman" w:hAnsi="Times New Roman" w:eastAsia="Times New Roman" w:cs="Times New Roman"/>
          <w:spacing w:val="-3"/>
          <w:sz w:val="24"/>
          <w:szCs w:val="24"/>
        </w:rPr>
        <w:t>80m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，底宽</w:t>
      </w:r>
      <w:r>
        <w:rPr>
          <w:rFonts w:ascii="Times New Roman" w:hAnsi="Times New Roman" w:eastAsia="Times New Roman" w:cs="Times New Roman"/>
          <w:spacing w:val="-3"/>
          <w:sz w:val="24"/>
          <w:szCs w:val="24"/>
        </w:rPr>
        <w:t>10m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，顶宽</w:t>
      </w:r>
      <w:r>
        <w:rPr>
          <w:rFonts w:ascii="Times New Roman" w:hAnsi="Times New Roman" w:eastAsia="Times New Roman" w:cs="Times New Roman"/>
          <w:spacing w:val="-3"/>
          <w:sz w:val="24"/>
          <w:szCs w:val="24"/>
        </w:rPr>
        <w:t>28m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，深度</w:t>
      </w:r>
      <w:r>
        <w:rPr>
          <w:rFonts w:ascii="Times New Roman" w:hAnsi="Times New Roman" w:eastAsia="Times New Roman" w:cs="Times New Roman"/>
          <w:spacing w:val="-3"/>
          <w:sz w:val="24"/>
          <w:szCs w:val="24"/>
        </w:rPr>
        <w:t>6m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宋体" w:hAnsi="宋体" w:eastAsia="宋体" w:cs="宋体"/>
          <w:spacing w:val="-4"/>
          <w:sz w:val="24"/>
          <w:szCs w:val="24"/>
        </w:rPr>
        <w:t>截渗池池底及边坡铺</w:t>
      </w:r>
      <w:r>
        <w:rPr>
          <w:rFonts w:ascii="宋体" w:hAnsi="宋体" w:eastAsia="宋体" w:cs="宋体"/>
          <w:sz w:val="24"/>
          <w:szCs w:val="24"/>
        </w:rPr>
        <w:t xml:space="preserve"> </w:t>
      </w:r>
      <w:r>
        <w:rPr>
          <w:rFonts w:ascii="宋体" w:hAnsi="宋体" w:eastAsia="宋体" w:cs="宋体"/>
          <w:spacing w:val="-3"/>
          <w:sz w:val="24"/>
          <w:szCs w:val="24"/>
        </w:rPr>
        <w:t>设</w:t>
      </w:r>
      <w:r>
        <w:rPr>
          <w:rFonts w:ascii="Times New Roman" w:hAnsi="Times New Roman" w:eastAsia="Times New Roman" w:cs="Times New Roman"/>
          <w:spacing w:val="-3"/>
          <w:sz w:val="24"/>
          <w:szCs w:val="24"/>
        </w:rPr>
        <w:t>1.5mmHDPE</w:t>
      </w:r>
      <w:r>
        <w:rPr>
          <w:rFonts w:ascii="宋体" w:hAnsi="宋体" w:eastAsia="宋体" w:cs="宋体"/>
          <w:spacing w:val="-3"/>
          <w:sz w:val="24"/>
          <w:szCs w:val="24"/>
        </w:rPr>
        <w:t>土工膜进行防渗，用于回收主坝基底渗流水和选厂排入</w:t>
      </w:r>
      <w:r>
        <w:rPr>
          <w:rFonts w:ascii="宋体" w:hAnsi="宋体" w:eastAsia="宋体" w:cs="宋体"/>
          <w:spacing w:val="-4"/>
          <w:sz w:val="24"/>
          <w:szCs w:val="24"/>
        </w:rPr>
        <w:t>生产废水。</w:t>
      </w:r>
      <w:r>
        <w:rPr>
          <w:rFonts w:ascii="宋体" w:hAnsi="宋体" w:eastAsia="宋体" w:cs="宋体"/>
          <w:sz w:val="24"/>
          <w:szCs w:val="24"/>
        </w:rPr>
        <w:t xml:space="preserve"> </w:t>
      </w:r>
      <w:r>
        <w:rPr>
          <w:rFonts w:ascii="宋体" w:hAnsi="宋体" w:eastAsia="宋体" w:cs="宋体"/>
          <w:spacing w:val="-7"/>
          <w:sz w:val="24"/>
          <w:szCs w:val="24"/>
        </w:rPr>
        <w:t>同时，根据污染物控制难易程度、天然包气带防污性能分级</w:t>
      </w:r>
      <w:r>
        <w:rPr>
          <w:rFonts w:ascii="宋体" w:hAnsi="宋体" w:eastAsia="宋体" w:cs="宋体"/>
          <w:spacing w:val="-8"/>
          <w:sz w:val="24"/>
          <w:szCs w:val="24"/>
        </w:rPr>
        <w:t>、污染物类型等因素，</w:t>
      </w:r>
      <w:r>
        <w:rPr>
          <w:rFonts w:ascii="宋体" w:hAnsi="宋体" w:eastAsia="宋体" w:cs="宋体"/>
          <w:sz w:val="24"/>
          <w:szCs w:val="24"/>
        </w:rPr>
        <w:t xml:space="preserve"> 将项目区水处理车间和深度处理回用水池等区域作为重点</w:t>
      </w:r>
      <w:r>
        <w:rPr>
          <w:rFonts w:ascii="宋体" w:hAnsi="宋体" w:eastAsia="宋体" w:cs="宋体"/>
          <w:spacing w:val="-1"/>
          <w:sz w:val="24"/>
          <w:szCs w:val="24"/>
        </w:rPr>
        <w:t>污染防治区进行污染</w:t>
      </w:r>
      <w:r>
        <w:rPr>
          <w:rFonts w:ascii="宋体" w:hAnsi="宋体" w:eastAsia="宋体" w:cs="宋体"/>
          <w:sz w:val="24"/>
          <w:szCs w:val="24"/>
        </w:rPr>
        <w:t xml:space="preserve">   防治，防渗效果不低于</w:t>
      </w:r>
      <w:r>
        <w:rPr>
          <w:rFonts w:ascii="Times New Roman" w:hAnsi="Times New Roman" w:eastAsia="Times New Roman" w:cs="Times New Roman"/>
          <w:sz w:val="24"/>
          <w:szCs w:val="24"/>
        </w:rPr>
        <w:t>6.0m</w:t>
      </w:r>
      <w:r>
        <w:rPr>
          <w:rFonts w:ascii="宋体" w:hAnsi="宋体" w:eastAsia="宋体" w:cs="宋体"/>
          <w:sz w:val="24"/>
          <w:szCs w:val="24"/>
        </w:rPr>
        <w:t>厚渗透系数为</w:t>
      </w:r>
      <w:r>
        <w:rPr>
          <w:rFonts w:ascii="Times New Roman" w:hAnsi="Times New Roman" w:eastAsia="Times New Roman" w:cs="Times New Roman"/>
          <w:sz w:val="24"/>
          <w:szCs w:val="24"/>
        </w:rPr>
        <w:t>1.0×10</w:t>
      </w:r>
      <w:r>
        <w:rPr>
          <w:rFonts w:ascii="Times New Roman" w:hAnsi="Times New Roman" w:eastAsia="Times New Roman" w:cs="Times New Roman"/>
          <w:position w:val="7"/>
          <w:sz w:val="15"/>
          <w:szCs w:val="15"/>
        </w:rPr>
        <w:t>-7</w:t>
      </w:r>
      <w:r>
        <w:rPr>
          <w:rFonts w:ascii="Times New Roman" w:hAnsi="Times New Roman" w:eastAsia="Times New Roman" w:cs="Times New Roman"/>
          <w:sz w:val="24"/>
          <w:szCs w:val="24"/>
        </w:rPr>
        <w:t>cm/s</w:t>
      </w:r>
      <w:r>
        <w:rPr>
          <w:rFonts w:ascii="宋体" w:hAnsi="宋体" w:eastAsia="宋体" w:cs="宋体"/>
          <w:sz w:val="24"/>
          <w:szCs w:val="24"/>
        </w:rPr>
        <w:t>的粘土层的防渗</w:t>
      </w:r>
      <w:r>
        <w:rPr>
          <w:rFonts w:ascii="宋体" w:hAnsi="宋体" w:eastAsia="宋体" w:cs="宋体"/>
          <w:spacing w:val="-1"/>
          <w:sz w:val="24"/>
          <w:szCs w:val="24"/>
        </w:rPr>
        <w:t>性能。因</w:t>
      </w:r>
      <w:r>
        <w:rPr>
          <w:rFonts w:ascii="宋体" w:hAnsi="宋体" w:eastAsia="宋体" w:cs="宋体"/>
          <w:sz w:val="24"/>
          <w:szCs w:val="24"/>
        </w:rPr>
        <w:t xml:space="preserve">  此，在正常状况情景下，各设施不会通过渗漏</w:t>
      </w:r>
      <w:r>
        <w:rPr>
          <w:rFonts w:ascii="宋体" w:hAnsi="宋体" w:eastAsia="宋体" w:cs="宋体"/>
          <w:spacing w:val="-1"/>
          <w:sz w:val="24"/>
          <w:szCs w:val="24"/>
        </w:rPr>
        <w:t>对地下水产生影响。</w:t>
      </w:r>
    </w:p>
    <w:p w14:paraId="07180BE9">
      <w:pPr>
        <w:spacing w:before="1" w:line="217"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）非正常和事故状况情景下地下水环境影响预测评价</w:t>
      </w:r>
    </w:p>
    <w:p w14:paraId="1A77C89D">
      <w:pPr>
        <w:spacing w:before="184" w:line="360" w:lineRule="auto"/>
        <w:ind w:left="23" w:right="99" w:firstLine="479"/>
        <w:rPr>
          <w:rFonts w:ascii="宋体" w:hAnsi="宋体" w:eastAsia="宋体" w:cs="宋体"/>
          <w:sz w:val="24"/>
          <w:szCs w:val="24"/>
        </w:rPr>
      </w:pPr>
      <w:r>
        <w:rPr>
          <w:rFonts w:ascii="宋体" w:hAnsi="宋体" w:eastAsia="宋体" w:cs="宋体"/>
          <w:spacing w:val="-3"/>
          <w:sz w:val="24"/>
          <w:szCs w:val="24"/>
        </w:rPr>
        <w:t>在非正常和事故状况情景下，当项目的工艺设备和地下水环境保</w:t>
      </w:r>
      <w:r>
        <w:rPr>
          <w:rFonts w:ascii="宋体" w:hAnsi="宋体" w:eastAsia="宋体" w:cs="宋体"/>
          <w:spacing w:val="-4"/>
          <w:sz w:val="24"/>
          <w:szCs w:val="24"/>
        </w:rPr>
        <w:t>护措施因系</w:t>
      </w:r>
      <w:r>
        <w:rPr>
          <w:rFonts w:ascii="宋体" w:hAnsi="宋体" w:eastAsia="宋体" w:cs="宋体"/>
          <w:sz w:val="24"/>
          <w:szCs w:val="24"/>
        </w:rPr>
        <w:t xml:space="preserve"> </w:t>
      </w:r>
      <w:r>
        <w:rPr>
          <w:rFonts w:ascii="宋体" w:hAnsi="宋体" w:eastAsia="宋体" w:cs="宋体"/>
          <w:spacing w:val="-3"/>
          <w:sz w:val="24"/>
          <w:szCs w:val="24"/>
        </w:rPr>
        <w:t>统老化、腐蚀等原因不能正常运行或保护效果不能达到设计要求时，项目的运营</w:t>
      </w:r>
      <w:r>
        <w:rPr>
          <w:rFonts w:ascii="宋体" w:hAnsi="宋体" w:eastAsia="宋体" w:cs="宋体"/>
          <w:spacing w:val="1"/>
          <w:sz w:val="24"/>
          <w:szCs w:val="24"/>
        </w:rPr>
        <w:t xml:space="preserve"> </w:t>
      </w:r>
      <w:r>
        <w:rPr>
          <w:rFonts w:ascii="宋体" w:hAnsi="宋体" w:eastAsia="宋体" w:cs="宋体"/>
          <w:spacing w:val="-3"/>
          <w:sz w:val="24"/>
          <w:szCs w:val="24"/>
        </w:rPr>
        <w:t>可能对区域地下水造成影响。根据分析，本项目对地下水影响较大的设施主要为</w:t>
      </w:r>
      <w:r>
        <w:rPr>
          <w:rFonts w:ascii="宋体" w:hAnsi="宋体" w:eastAsia="宋体" w:cs="宋体"/>
          <w:spacing w:val="1"/>
          <w:sz w:val="24"/>
          <w:szCs w:val="24"/>
        </w:rPr>
        <w:t xml:space="preserve"> </w:t>
      </w:r>
      <w:r>
        <w:rPr>
          <w:rFonts w:ascii="宋体" w:hAnsi="宋体" w:eastAsia="宋体" w:cs="宋体"/>
          <w:spacing w:val="-1"/>
          <w:sz w:val="24"/>
          <w:szCs w:val="24"/>
        </w:rPr>
        <w:t>尾矿库下游的截渗池。</w:t>
      </w:r>
    </w:p>
    <w:p w14:paraId="7B62102F">
      <w:pPr>
        <w:spacing w:line="217" w:lineRule="auto"/>
        <w:ind w:left="501"/>
        <w:rPr>
          <w:rFonts w:ascii="宋体" w:hAnsi="宋体" w:eastAsia="宋体" w:cs="宋体"/>
          <w:sz w:val="24"/>
          <w:szCs w:val="24"/>
        </w:rPr>
      </w:pPr>
      <w:r>
        <w:rPr>
          <w:rFonts w:ascii="宋体" w:hAnsi="宋体" w:eastAsia="宋体" w:cs="宋体"/>
          <w:spacing w:val="-2"/>
          <w:sz w:val="24"/>
          <w:szCs w:val="24"/>
        </w:rPr>
        <w:t>③情景设定</w:t>
      </w:r>
    </w:p>
    <w:p w14:paraId="16253CCE">
      <w:pPr>
        <w:spacing w:before="185" w:line="360" w:lineRule="auto"/>
        <w:ind w:left="22" w:right="18" w:firstLine="480"/>
        <w:rPr>
          <w:rFonts w:ascii="宋体" w:hAnsi="宋体" w:eastAsia="宋体" w:cs="宋体"/>
          <w:sz w:val="24"/>
          <w:szCs w:val="24"/>
        </w:rPr>
      </w:pPr>
      <w:r>
        <w:rPr>
          <w:rFonts w:ascii="宋体" w:hAnsi="宋体" w:eastAsia="宋体" w:cs="宋体"/>
          <w:spacing w:val="-3"/>
          <w:sz w:val="24"/>
          <w:szCs w:val="24"/>
        </w:rPr>
        <w:t>根据企业的实际情况分析，如果是可视场所发生硬化面破损，即</w:t>
      </w:r>
      <w:r>
        <w:rPr>
          <w:rFonts w:ascii="宋体" w:hAnsi="宋体" w:eastAsia="宋体" w:cs="宋体"/>
          <w:spacing w:val="-4"/>
          <w:sz w:val="24"/>
          <w:szCs w:val="24"/>
        </w:rPr>
        <w:t>使有物料或</w:t>
      </w:r>
      <w:r>
        <w:rPr>
          <w:rFonts w:ascii="宋体" w:hAnsi="宋体" w:eastAsia="宋体" w:cs="宋体"/>
          <w:sz w:val="24"/>
          <w:szCs w:val="24"/>
        </w:rPr>
        <w:t xml:space="preserve"> </w:t>
      </w:r>
      <w:r>
        <w:rPr>
          <w:rFonts w:ascii="宋体" w:hAnsi="宋体" w:eastAsia="宋体" w:cs="宋体"/>
          <w:spacing w:val="-3"/>
          <w:sz w:val="24"/>
          <w:szCs w:val="24"/>
        </w:rPr>
        <w:t>污水等泄漏，按目前企业的管理规范，必须及时采取措施，不可能任由物料或污</w:t>
      </w:r>
      <w:r>
        <w:rPr>
          <w:rFonts w:ascii="宋体" w:hAnsi="宋体" w:eastAsia="宋体" w:cs="宋体"/>
          <w:spacing w:val="1"/>
          <w:sz w:val="24"/>
          <w:szCs w:val="24"/>
        </w:rPr>
        <w:t xml:space="preserve"> </w:t>
      </w:r>
      <w:r>
        <w:rPr>
          <w:rFonts w:ascii="宋体" w:hAnsi="宋体" w:eastAsia="宋体" w:cs="宋体"/>
          <w:spacing w:val="-3"/>
          <w:sz w:val="24"/>
          <w:szCs w:val="24"/>
        </w:rPr>
        <w:t>水漫流渗漏，而对于泄漏初期短时间物料暴露而污染的少量土壤，则会尽快通过</w:t>
      </w:r>
      <w:r>
        <w:rPr>
          <w:rFonts w:ascii="宋体" w:hAnsi="宋体" w:eastAsia="宋体" w:cs="宋体"/>
          <w:spacing w:val="1"/>
          <w:sz w:val="24"/>
          <w:szCs w:val="24"/>
        </w:rPr>
        <w:t xml:space="preserve"> </w:t>
      </w:r>
      <w:r>
        <w:rPr>
          <w:rFonts w:ascii="宋体" w:hAnsi="宋体" w:eastAsia="宋体" w:cs="宋体"/>
          <w:spacing w:val="-3"/>
          <w:sz w:val="24"/>
          <w:szCs w:val="24"/>
        </w:rPr>
        <w:t>挖出进行处置，不会任其渗入地下水。因此，只在地下或半地下非可视部位发生</w:t>
      </w:r>
      <w:r>
        <w:rPr>
          <w:rFonts w:ascii="宋体" w:hAnsi="宋体" w:eastAsia="宋体" w:cs="宋体"/>
          <w:spacing w:val="1"/>
          <w:sz w:val="24"/>
          <w:szCs w:val="24"/>
        </w:rPr>
        <w:t xml:space="preserve"> </w:t>
      </w:r>
      <w:r>
        <w:rPr>
          <w:rFonts w:ascii="宋体" w:hAnsi="宋体" w:eastAsia="宋体" w:cs="宋体"/>
          <w:spacing w:val="-7"/>
          <w:sz w:val="24"/>
          <w:szCs w:val="24"/>
        </w:rPr>
        <w:t>小面积渗漏时，才可能有少量污染物通过漏点，逐步渗入</w:t>
      </w:r>
      <w:r>
        <w:rPr>
          <w:rFonts w:ascii="宋体" w:hAnsi="宋体" w:eastAsia="宋体" w:cs="宋体"/>
          <w:spacing w:val="-8"/>
          <w:sz w:val="24"/>
          <w:szCs w:val="24"/>
        </w:rPr>
        <w:t>土壤并可能进入地下水。</w:t>
      </w:r>
      <w:r>
        <w:rPr>
          <w:rFonts w:ascii="宋体" w:hAnsi="宋体" w:eastAsia="宋体" w:cs="宋体"/>
          <w:sz w:val="24"/>
          <w:szCs w:val="24"/>
        </w:rPr>
        <w:t xml:space="preserve"> </w:t>
      </w:r>
      <w:r>
        <w:rPr>
          <w:rFonts w:ascii="宋体" w:hAnsi="宋体" w:eastAsia="宋体" w:cs="宋体"/>
          <w:spacing w:val="-3"/>
          <w:sz w:val="24"/>
          <w:szCs w:val="24"/>
        </w:rPr>
        <w:t>经工程分析，截渗池为地下设施，发生持续泄漏的可能性较高。本次评价非正常</w:t>
      </w:r>
      <w:r>
        <w:rPr>
          <w:rFonts w:ascii="宋体" w:hAnsi="宋体" w:eastAsia="宋体" w:cs="宋体"/>
          <w:spacing w:val="1"/>
          <w:sz w:val="24"/>
          <w:szCs w:val="24"/>
        </w:rPr>
        <w:t xml:space="preserve"> </w:t>
      </w:r>
      <w:r>
        <w:rPr>
          <w:rFonts w:ascii="宋体" w:hAnsi="宋体" w:eastAsia="宋体" w:cs="宋体"/>
          <w:spacing w:val="-1"/>
          <w:sz w:val="24"/>
          <w:szCs w:val="24"/>
        </w:rPr>
        <w:t>状况情景为：截渗池防渗层老化，防渗效果变差，因局部出现裂缝，污水泄露，</w:t>
      </w:r>
      <w:r>
        <w:rPr>
          <w:rFonts w:ascii="宋体" w:hAnsi="宋体" w:eastAsia="宋体" w:cs="宋体"/>
          <w:spacing w:val="12"/>
          <w:sz w:val="24"/>
          <w:szCs w:val="24"/>
        </w:rPr>
        <w:t xml:space="preserve"> </w:t>
      </w:r>
      <w:r>
        <w:rPr>
          <w:rFonts w:ascii="宋体" w:hAnsi="宋体" w:eastAsia="宋体" w:cs="宋体"/>
          <w:spacing w:val="-1"/>
          <w:sz w:val="24"/>
          <w:szCs w:val="24"/>
        </w:rPr>
        <w:t>铅和砷污染地下水。</w:t>
      </w:r>
    </w:p>
    <w:p w14:paraId="72FC4280">
      <w:pPr>
        <w:spacing w:line="360" w:lineRule="auto"/>
        <w:ind w:left="24" w:right="37" w:firstLine="478"/>
        <w:jc w:val="both"/>
        <w:rPr>
          <w:rFonts w:ascii="宋体" w:hAnsi="宋体" w:eastAsia="宋体" w:cs="宋体"/>
          <w:sz w:val="24"/>
          <w:szCs w:val="24"/>
        </w:rPr>
      </w:pPr>
      <w:r>
        <w:rPr>
          <w:rFonts w:ascii="宋体" w:hAnsi="宋体" w:eastAsia="宋体" w:cs="宋体"/>
          <w:spacing w:val="-3"/>
          <w:sz w:val="24"/>
          <w:szCs w:val="24"/>
        </w:rPr>
        <w:t>在评价区范围内，尾矿库下游的截渗池主要影响西向沟谷下游的</w:t>
      </w:r>
      <w:r>
        <w:rPr>
          <w:rFonts w:ascii="宋体" w:hAnsi="宋体" w:eastAsia="宋体" w:cs="宋体"/>
          <w:spacing w:val="-4"/>
          <w:sz w:val="24"/>
          <w:szCs w:val="24"/>
        </w:rPr>
        <w:t>敏感点，主</w:t>
      </w:r>
      <w:r>
        <w:rPr>
          <w:rFonts w:ascii="宋体" w:hAnsi="宋体" w:eastAsia="宋体" w:cs="宋体"/>
          <w:sz w:val="24"/>
          <w:szCs w:val="24"/>
        </w:rPr>
        <w:t xml:space="preserve"> </w:t>
      </w:r>
      <w:r>
        <w:rPr>
          <w:rFonts w:ascii="宋体" w:hAnsi="宋体" w:eastAsia="宋体" w:cs="宋体"/>
          <w:spacing w:val="-4"/>
          <w:sz w:val="24"/>
          <w:szCs w:val="24"/>
        </w:rPr>
        <w:t>要影响</w:t>
      </w:r>
      <w:r>
        <w:rPr>
          <w:rFonts w:ascii="Times New Roman" w:hAnsi="Times New Roman" w:eastAsia="Times New Roman" w:cs="Times New Roman"/>
          <w:spacing w:val="-4"/>
          <w:sz w:val="24"/>
          <w:szCs w:val="24"/>
        </w:rPr>
        <w:t>S3</w:t>
      </w:r>
      <w:r>
        <w:rPr>
          <w:rFonts w:ascii="Times New Roman" w:hAnsi="Times New Roman" w:eastAsia="Times New Roman" w:cs="Times New Roman"/>
          <w:spacing w:val="-2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S4</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S10</w:t>
      </w:r>
      <w:r>
        <w:rPr>
          <w:rFonts w:ascii="宋体" w:hAnsi="宋体" w:eastAsia="宋体" w:cs="宋体"/>
          <w:spacing w:val="-4"/>
          <w:sz w:val="24"/>
          <w:szCs w:val="24"/>
        </w:rPr>
        <w:t>和</w:t>
      </w:r>
      <w:r>
        <w:rPr>
          <w:rFonts w:ascii="Times New Roman" w:hAnsi="Times New Roman" w:eastAsia="Times New Roman" w:cs="Times New Roman"/>
          <w:spacing w:val="-4"/>
          <w:sz w:val="24"/>
          <w:szCs w:val="24"/>
        </w:rPr>
        <w:t>S11</w:t>
      </w:r>
      <w:r>
        <w:rPr>
          <w:rFonts w:ascii="宋体" w:hAnsi="宋体" w:eastAsia="宋体" w:cs="宋体"/>
          <w:spacing w:val="-4"/>
          <w:sz w:val="24"/>
          <w:szCs w:val="24"/>
        </w:rPr>
        <w:t>井，其余敏感点均位于西向沟谷侧向或西南向沟谷内，</w:t>
      </w:r>
      <w:r>
        <w:rPr>
          <w:rFonts w:ascii="宋体" w:hAnsi="宋体" w:eastAsia="宋体" w:cs="宋体"/>
          <w:sz w:val="24"/>
          <w:szCs w:val="24"/>
        </w:rPr>
        <w:t xml:space="preserve"> 本项目基本不会对其产生影响。因此，本次预测方</w:t>
      </w:r>
      <w:r>
        <w:rPr>
          <w:rFonts w:ascii="宋体" w:hAnsi="宋体" w:eastAsia="宋体" w:cs="宋体"/>
          <w:spacing w:val="-1"/>
          <w:sz w:val="24"/>
          <w:szCs w:val="24"/>
        </w:rPr>
        <w:t>向以截渗池西向沟谷为主。</w:t>
      </w:r>
    </w:p>
    <w:p w14:paraId="4B78E955">
      <w:pPr>
        <w:spacing w:before="1" w:line="217" w:lineRule="auto"/>
        <w:ind w:left="501"/>
        <w:rPr>
          <w:rFonts w:ascii="宋体" w:hAnsi="宋体" w:eastAsia="宋体" w:cs="宋体"/>
          <w:sz w:val="24"/>
          <w:szCs w:val="24"/>
        </w:rPr>
      </w:pPr>
      <w:r>
        <w:rPr>
          <w:rFonts w:ascii="宋体" w:hAnsi="宋体" w:eastAsia="宋体" w:cs="宋体"/>
          <w:spacing w:val="-1"/>
          <w:sz w:val="24"/>
          <w:szCs w:val="24"/>
        </w:rPr>
        <w:t>④污染因子和源强</w:t>
      </w:r>
    </w:p>
    <w:p w14:paraId="16E486B9">
      <w:pPr>
        <w:spacing w:line="217" w:lineRule="auto"/>
        <w:rPr>
          <w:rFonts w:ascii="宋体" w:hAnsi="宋体" w:eastAsia="宋体" w:cs="宋体"/>
          <w:sz w:val="24"/>
          <w:szCs w:val="24"/>
        </w:rPr>
        <w:sectPr>
          <w:headerReference r:id="rId293" w:type="default"/>
          <w:footerReference r:id="rId294" w:type="default"/>
          <w:pgSz w:w="11906" w:h="16839"/>
          <w:pgMar w:top="1208" w:right="1700" w:bottom="1358" w:left="1785" w:header="825" w:footer="1195" w:gutter="0"/>
          <w:cols w:space="720" w:num="1"/>
        </w:sectPr>
      </w:pPr>
    </w:p>
    <w:p w14:paraId="3305D034">
      <w:pPr>
        <w:pStyle w:val="2"/>
        <w:spacing w:line="265" w:lineRule="auto"/>
      </w:pPr>
    </w:p>
    <w:p w14:paraId="7A86E7CF">
      <w:pPr>
        <w:spacing w:before="78" w:line="360" w:lineRule="auto"/>
        <w:ind w:left="165" w:right="154" w:firstLine="480"/>
        <w:jc w:val="both"/>
        <w:rPr>
          <w:rFonts w:ascii="宋体" w:hAnsi="宋体" w:eastAsia="宋体" w:cs="宋体"/>
          <w:sz w:val="24"/>
          <w:szCs w:val="24"/>
        </w:rPr>
      </w:pPr>
      <w:r>
        <w:rPr>
          <w:rFonts w:ascii="宋体" w:hAnsi="宋体" w:eastAsia="宋体" w:cs="宋体"/>
          <w:sz w:val="24"/>
          <w:szCs w:val="24"/>
        </w:rPr>
        <w:t>根据</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2012 </w:t>
      </w:r>
      <w:r>
        <w:rPr>
          <w:rFonts w:ascii="宋体" w:hAnsi="宋体" w:eastAsia="宋体" w:cs="宋体"/>
          <w:sz w:val="24"/>
          <w:szCs w:val="24"/>
        </w:rPr>
        <w:t xml:space="preserve">年锡林郭勒盟环境保护监测站对玉龙矿业车间总排口进行的废水 </w:t>
      </w:r>
      <w:r>
        <w:rPr>
          <w:rFonts w:ascii="宋体" w:hAnsi="宋体" w:eastAsia="宋体" w:cs="宋体"/>
          <w:spacing w:val="4"/>
          <w:sz w:val="24"/>
          <w:szCs w:val="24"/>
        </w:rPr>
        <w:t>水质监测结果和内蒙古自治区第十地质矿产勘查开发院实验室对玉龙矿业尾矿</w:t>
      </w:r>
      <w:r>
        <w:rPr>
          <w:rFonts w:ascii="宋体" w:hAnsi="宋体" w:eastAsia="宋体" w:cs="宋体"/>
          <w:sz w:val="24"/>
          <w:szCs w:val="24"/>
        </w:rPr>
        <w:t xml:space="preserve"> </w:t>
      </w:r>
      <w:r>
        <w:rPr>
          <w:rFonts w:ascii="宋体" w:hAnsi="宋体" w:eastAsia="宋体" w:cs="宋体"/>
          <w:spacing w:val="3"/>
          <w:sz w:val="24"/>
          <w:szCs w:val="24"/>
        </w:rPr>
        <w:t>的浸出毒性监测结果，各项指标基本都满足《地下</w:t>
      </w:r>
      <w:r>
        <w:rPr>
          <w:rFonts w:ascii="宋体" w:hAnsi="宋体" w:eastAsia="宋体" w:cs="宋体"/>
          <w:spacing w:val="2"/>
          <w:sz w:val="24"/>
          <w:szCs w:val="24"/>
        </w:rPr>
        <w:t>水质量标准》（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32"/>
          <w:w w:val="101"/>
          <w:sz w:val="24"/>
          <w:szCs w:val="24"/>
        </w:rPr>
        <w:t xml:space="preserve"> </w:t>
      </w:r>
      <w:r>
        <w:rPr>
          <w:rFonts w:ascii="Times New Roman" w:hAnsi="Times New Roman" w:eastAsia="Times New Roman" w:cs="Times New Roman"/>
          <w:spacing w:val="2"/>
          <w:sz w:val="24"/>
          <w:szCs w:val="24"/>
        </w:rPr>
        <w:t>14848</w:t>
      </w:r>
      <w:r>
        <w:rPr>
          <w:rFonts w:ascii="Times New Roman" w:hAnsi="Times New Roman" w:eastAsia="Times New Roman" w:cs="Times New Roman"/>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2017</w:t>
      </w:r>
      <w:r>
        <w:rPr>
          <w:rFonts w:ascii="宋体" w:hAnsi="宋体" w:eastAsia="宋体" w:cs="宋体"/>
          <w:sz w:val="24"/>
          <w:szCs w:val="24"/>
        </w:rPr>
        <w:t>）中的Ⅲ类标准，其中主要为铅、砷、汞、镉超标，本次根据项目污染物</w:t>
      </w:r>
      <w:r>
        <w:rPr>
          <w:rFonts w:ascii="宋体" w:hAnsi="宋体" w:eastAsia="宋体" w:cs="宋体"/>
          <w:spacing w:val="16"/>
          <w:sz w:val="24"/>
          <w:szCs w:val="24"/>
        </w:rPr>
        <w:t xml:space="preserve"> </w:t>
      </w:r>
      <w:r>
        <w:rPr>
          <w:rFonts w:ascii="宋体" w:hAnsi="宋体" w:eastAsia="宋体" w:cs="宋体"/>
          <w:spacing w:val="-1"/>
          <w:sz w:val="24"/>
          <w:szCs w:val="24"/>
        </w:rPr>
        <w:t>特征及超标情况，将截渗池中的砷和铅作为预测因子进行预测。</w:t>
      </w:r>
    </w:p>
    <w:p w14:paraId="7EFEDCB4">
      <w:pPr>
        <w:spacing w:line="219" w:lineRule="auto"/>
        <w:ind w:left="127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 xml:space="preserve">8.2-10      </w:t>
      </w:r>
      <w:r>
        <w:rPr>
          <w:rFonts w:ascii="宋体" w:hAnsi="宋体" w:eastAsia="宋体" w:cs="宋体"/>
          <w:spacing w:val="-1"/>
          <w:sz w:val="24"/>
          <w:szCs w:val="24"/>
        </w:rPr>
        <w:t>选厂车间总排口废水监测和尾矿浸出毒性监测结果</w:t>
      </w:r>
    </w:p>
    <w:p w14:paraId="656E5B35">
      <w:pPr>
        <w:spacing w:line="68" w:lineRule="exact"/>
      </w:pPr>
    </w:p>
    <w:tbl>
      <w:tblPr>
        <w:tblStyle w:val="5"/>
        <w:tblW w:w="86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5"/>
        <w:gridCol w:w="849"/>
        <w:gridCol w:w="1275"/>
        <w:gridCol w:w="1137"/>
        <w:gridCol w:w="1132"/>
        <w:gridCol w:w="1271"/>
        <w:gridCol w:w="1562"/>
      </w:tblGrid>
      <w:tr w14:paraId="7E0A8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85" w:type="dxa"/>
            <w:vMerge w:val="restart"/>
            <w:tcBorders>
              <w:bottom w:val="nil"/>
            </w:tcBorders>
            <w:vAlign w:val="top"/>
          </w:tcPr>
          <w:p w14:paraId="7EAA411E">
            <w:pPr>
              <w:spacing w:line="301" w:lineRule="auto"/>
              <w:rPr>
                <w:rFonts w:ascii="Arial"/>
                <w:sz w:val="21"/>
              </w:rPr>
            </w:pPr>
          </w:p>
          <w:p w14:paraId="686BB717">
            <w:pPr>
              <w:spacing w:before="65" w:line="232" w:lineRule="auto"/>
              <w:ind w:left="290"/>
              <w:rPr>
                <w:rFonts w:ascii="仿宋" w:hAnsi="仿宋" w:eastAsia="仿宋" w:cs="仿宋"/>
                <w:sz w:val="20"/>
                <w:szCs w:val="20"/>
              </w:rPr>
            </w:pPr>
            <w:r>
              <w:rPr>
                <w:rFonts w:ascii="仿宋" w:hAnsi="仿宋" w:eastAsia="仿宋" w:cs="仿宋"/>
                <w:spacing w:val="4"/>
                <w:sz w:val="20"/>
                <w:szCs w:val="20"/>
              </w:rPr>
              <w:t>监测项目</w:t>
            </w:r>
          </w:p>
        </w:tc>
        <w:tc>
          <w:tcPr>
            <w:tcW w:w="849" w:type="dxa"/>
            <w:vMerge w:val="restart"/>
            <w:tcBorders>
              <w:bottom w:val="nil"/>
            </w:tcBorders>
            <w:vAlign w:val="top"/>
          </w:tcPr>
          <w:p w14:paraId="32CE3A36">
            <w:pPr>
              <w:spacing w:line="302" w:lineRule="auto"/>
              <w:rPr>
                <w:rFonts w:ascii="Arial"/>
                <w:sz w:val="21"/>
              </w:rPr>
            </w:pPr>
          </w:p>
          <w:p w14:paraId="0F41878B">
            <w:pPr>
              <w:spacing w:before="65" w:line="229" w:lineRule="auto"/>
              <w:ind w:left="228"/>
              <w:rPr>
                <w:rFonts w:ascii="仿宋" w:hAnsi="仿宋" w:eastAsia="仿宋" w:cs="仿宋"/>
                <w:sz w:val="20"/>
                <w:szCs w:val="20"/>
              </w:rPr>
            </w:pPr>
            <w:r>
              <w:rPr>
                <w:rFonts w:ascii="仿宋" w:hAnsi="仿宋" w:eastAsia="仿宋" w:cs="仿宋"/>
                <w:spacing w:val="-1"/>
                <w:sz w:val="20"/>
                <w:szCs w:val="20"/>
              </w:rPr>
              <w:t>单位</w:t>
            </w:r>
          </w:p>
        </w:tc>
        <w:tc>
          <w:tcPr>
            <w:tcW w:w="2412" w:type="dxa"/>
            <w:gridSpan w:val="2"/>
            <w:vAlign w:val="top"/>
          </w:tcPr>
          <w:p w14:paraId="1F9729CA">
            <w:pPr>
              <w:spacing w:before="97" w:line="228" w:lineRule="auto"/>
              <w:ind w:left="129"/>
              <w:rPr>
                <w:rFonts w:ascii="仿宋" w:hAnsi="仿宋" w:eastAsia="仿宋" w:cs="仿宋"/>
                <w:sz w:val="20"/>
                <w:szCs w:val="20"/>
              </w:rPr>
            </w:pPr>
            <w:r>
              <w:rPr>
                <w:rFonts w:ascii="Times New Roman" w:hAnsi="Times New Roman" w:eastAsia="Times New Roman" w:cs="Times New Roman"/>
                <w:spacing w:val="5"/>
                <w:sz w:val="20"/>
                <w:szCs w:val="20"/>
              </w:rPr>
              <w:t>2012</w:t>
            </w:r>
            <w:r>
              <w:rPr>
                <w:rFonts w:ascii="Times New Roman" w:hAnsi="Times New Roman" w:eastAsia="Times New Roman" w:cs="Times New Roman"/>
                <w:spacing w:val="26"/>
                <w:sz w:val="20"/>
                <w:szCs w:val="20"/>
              </w:rPr>
              <w:t xml:space="preserve"> </w:t>
            </w:r>
            <w:r>
              <w:rPr>
                <w:rFonts w:ascii="仿宋" w:hAnsi="仿宋" w:eastAsia="仿宋" w:cs="仿宋"/>
                <w:spacing w:val="5"/>
                <w:sz w:val="20"/>
                <w:szCs w:val="20"/>
              </w:rPr>
              <w:t>年选矿车间总排</w:t>
            </w:r>
            <w:r>
              <w:rPr>
                <w:rFonts w:ascii="仿宋" w:hAnsi="仿宋" w:eastAsia="仿宋" w:cs="仿宋"/>
                <w:spacing w:val="-49"/>
                <w:sz w:val="20"/>
                <w:szCs w:val="20"/>
              </w:rPr>
              <w:t xml:space="preserve"> </w:t>
            </w:r>
            <w:r>
              <w:rPr>
                <w:rFonts w:ascii="仿宋" w:hAnsi="仿宋" w:eastAsia="仿宋" w:cs="仿宋"/>
                <w:spacing w:val="5"/>
                <w:sz w:val="20"/>
                <w:szCs w:val="20"/>
              </w:rPr>
              <w:t>口</w:t>
            </w:r>
          </w:p>
        </w:tc>
        <w:tc>
          <w:tcPr>
            <w:tcW w:w="2403" w:type="dxa"/>
            <w:gridSpan w:val="2"/>
            <w:vAlign w:val="top"/>
          </w:tcPr>
          <w:p w14:paraId="3CE84CD5">
            <w:pPr>
              <w:spacing w:before="96" w:line="229" w:lineRule="auto"/>
              <w:ind w:left="164"/>
              <w:rPr>
                <w:rFonts w:ascii="仿宋" w:hAnsi="仿宋" w:eastAsia="仿宋" w:cs="仿宋"/>
                <w:sz w:val="20"/>
                <w:szCs w:val="20"/>
              </w:rPr>
            </w:pPr>
            <w:r>
              <w:rPr>
                <w:rFonts w:ascii="仿宋" w:hAnsi="仿宋" w:eastAsia="仿宋" w:cs="仿宋"/>
                <w:spacing w:val="8"/>
                <w:sz w:val="20"/>
                <w:szCs w:val="20"/>
              </w:rPr>
              <w:t>尾矿浸出毒性鉴别结果</w:t>
            </w:r>
          </w:p>
        </w:tc>
        <w:tc>
          <w:tcPr>
            <w:tcW w:w="1562" w:type="dxa"/>
            <w:vMerge w:val="restart"/>
            <w:tcBorders>
              <w:bottom w:val="nil"/>
            </w:tcBorders>
            <w:vAlign w:val="top"/>
          </w:tcPr>
          <w:p w14:paraId="70080825">
            <w:pPr>
              <w:spacing w:before="56" w:line="270" w:lineRule="auto"/>
              <w:ind w:left="134" w:right="119" w:firstLine="26"/>
              <w:jc w:val="both"/>
              <w:rPr>
                <w:rFonts w:ascii="仿宋" w:hAnsi="仿宋" w:eastAsia="仿宋" w:cs="仿宋"/>
                <w:sz w:val="20"/>
                <w:szCs w:val="20"/>
              </w:rPr>
            </w:pPr>
            <w:r>
              <w:rPr>
                <w:rFonts w:ascii="仿宋" w:hAnsi="仿宋" w:eastAsia="仿宋" w:cs="仿宋"/>
                <w:spacing w:val="7"/>
                <w:sz w:val="20"/>
                <w:szCs w:val="20"/>
              </w:rPr>
              <w:t>《地下水质量</w:t>
            </w:r>
            <w:r>
              <w:rPr>
                <w:rFonts w:ascii="仿宋" w:hAnsi="仿宋" w:eastAsia="仿宋" w:cs="仿宋"/>
                <w:spacing w:val="1"/>
                <w:sz w:val="20"/>
                <w:szCs w:val="20"/>
              </w:rPr>
              <w:t xml:space="preserve"> </w:t>
            </w:r>
            <w:r>
              <w:rPr>
                <w:rFonts w:ascii="仿宋" w:hAnsi="仿宋" w:eastAsia="仿宋" w:cs="仿宋"/>
                <w:spacing w:val="7"/>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/T</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7"/>
                <w:sz w:val="20"/>
                <w:szCs w:val="20"/>
              </w:rPr>
              <w:t>14848-2017</w:t>
            </w:r>
            <w:r>
              <w:rPr>
                <w:rFonts w:ascii="仿宋" w:hAnsi="仿宋" w:eastAsia="仿宋" w:cs="仿宋"/>
                <w:spacing w:val="7"/>
                <w:sz w:val="20"/>
                <w:szCs w:val="20"/>
              </w:rPr>
              <w:t>）</w:t>
            </w:r>
          </w:p>
        </w:tc>
      </w:tr>
      <w:tr w14:paraId="5ECE2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385" w:type="dxa"/>
            <w:vMerge w:val="continue"/>
            <w:tcBorders>
              <w:top w:val="nil"/>
            </w:tcBorders>
            <w:vAlign w:val="top"/>
          </w:tcPr>
          <w:p w14:paraId="4F715E3A">
            <w:pPr>
              <w:rPr>
                <w:rFonts w:ascii="Arial"/>
                <w:sz w:val="21"/>
              </w:rPr>
            </w:pPr>
          </w:p>
        </w:tc>
        <w:tc>
          <w:tcPr>
            <w:tcW w:w="849" w:type="dxa"/>
            <w:vMerge w:val="continue"/>
            <w:tcBorders>
              <w:top w:val="nil"/>
            </w:tcBorders>
            <w:vAlign w:val="top"/>
          </w:tcPr>
          <w:p w14:paraId="57F09B10">
            <w:pPr>
              <w:rPr>
                <w:rFonts w:ascii="Arial"/>
                <w:sz w:val="21"/>
              </w:rPr>
            </w:pPr>
          </w:p>
        </w:tc>
        <w:tc>
          <w:tcPr>
            <w:tcW w:w="1275" w:type="dxa"/>
            <w:vAlign w:val="top"/>
          </w:tcPr>
          <w:p w14:paraId="587F0AB6">
            <w:pPr>
              <w:spacing w:before="161" w:line="231" w:lineRule="auto"/>
              <w:ind w:left="337"/>
              <w:rPr>
                <w:rFonts w:ascii="仿宋" w:hAnsi="仿宋" w:eastAsia="仿宋" w:cs="仿宋"/>
                <w:sz w:val="20"/>
                <w:szCs w:val="20"/>
              </w:rPr>
            </w:pPr>
            <w:r>
              <w:rPr>
                <w:rFonts w:ascii="仿宋" w:hAnsi="仿宋" w:eastAsia="仿宋" w:cs="仿宋"/>
                <w:spacing w:val="3"/>
                <w:sz w:val="20"/>
                <w:szCs w:val="20"/>
              </w:rPr>
              <w:t>实测值</w:t>
            </w:r>
          </w:p>
        </w:tc>
        <w:tc>
          <w:tcPr>
            <w:tcW w:w="1137" w:type="dxa"/>
            <w:vAlign w:val="top"/>
          </w:tcPr>
          <w:p w14:paraId="1747E1EF">
            <w:pPr>
              <w:spacing w:before="161" w:line="231" w:lineRule="auto"/>
              <w:ind w:left="160"/>
              <w:rPr>
                <w:rFonts w:ascii="仿宋" w:hAnsi="仿宋" w:eastAsia="仿宋" w:cs="仿宋"/>
                <w:sz w:val="20"/>
                <w:szCs w:val="20"/>
              </w:rPr>
            </w:pPr>
            <w:r>
              <w:rPr>
                <w:rFonts w:ascii="仿宋" w:hAnsi="仿宋" w:eastAsia="仿宋" w:cs="仿宋"/>
                <w:spacing w:val="5"/>
                <w:sz w:val="20"/>
                <w:szCs w:val="20"/>
              </w:rPr>
              <w:t>超标倍数</w:t>
            </w:r>
          </w:p>
        </w:tc>
        <w:tc>
          <w:tcPr>
            <w:tcW w:w="1132" w:type="dxa"/>
            <w:vAlign w:val="top"/>
          </w:tcPr>
          <w:p w14:paraId="39087863">
            <w:pPr>
              <w:spacing w:before="161" w:line="231" w:lineRule="auto"/>
              <w:ind w:left="267"/>
              <w:rPr>
                <w:rFonts w:ascii="仿宋" w:hAnsi="仿宋" w:eastAsia="仿宋" w:cs="仿宋"/>
                <w:sz w:val="20"/>
                <w:szCs w:val="20"/>
              </w:rPr>
            </w:pPr>
            <w:r>
              <w:rPr>
                <w:rFonts w:ascii="仿宋" w:hAnsi="仿宋" w:eastAsia="仿宋" w:cs="仿宋"/>
                <w:spacing w:val="3"/>
                <w:sz w:val="20"/>
                <w:szCs w:val="20"/>
              </w:rPr>
              <w:t>实测值</w:t>
            </w:r>
          </w:p>
        </w:tc>
        <w:tc>
          <w:tcPr>
            <w:tcW w:w="1271" w:type="dxa"/>
            <w:vAlign w:val="top"/>
          </w:tcPr>
          <w:p w14:paraId="40BDF926">
            <w:pPr>
              <w:spacing w:before="161" w:line="231" w:lineRule="auto"/>
              <w:ind w:left="229"/>
              <w:rPr>
                <w:rFonts w:ascii="仿宋" w:hAnsi="仿宋" w:eastAsia="仿宋" w:cs="仿宋"/>
                <w:sz w:val="20"/>
                <w:szCs w:val="20"/>
              </w:rPr>
            </w:pPr>
            <w:r>
              <w:rPr>
                <w:rFonts w:ascii="仿宋" w:hAnsi="仿宋" w:eastAsia="仿宋" w:cs="仿宋"/>
                <w:spacing w:val="5"/>
                <w:sz w:val="20"/>
                <w:szCs w:val="20"/>
              </w:rPr>
              <w:t>超标倍数</w:t>
            </w:r>
          </w:p>
        </w:tc>
        <w:tc>
          <w:tcPr>
            <w:tcW w:w="1562" w:type="dxa"/>
            <w:vMerge w:val="continue"/>
            <w:tcBorders>
              <w:top w:val="nil"/>
            </w:tcBorders>
            <w:vAlign w:val="top"/>
          </w:tcPr>
          <w:p w14:paraId="21BEEA43">
            <w:pPr>
              <w:rPr>
                <w:rFonts w:ascii="Arial"/>
                <w:sz w:val="21"/>
              </w:rPr>
            </w:pPr>
          </w:p>
        </w:tc>
      </w:tr>
      <w:tr w14:paraId="03A84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105FCFF9">
            <w:pPr>
              <w:spacing w:before="134" w:line="194"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849" w:type="dxa"/>
            <w:vAlign w:val="top"/>
          </w:tcPr>
          <w:p w14:paraId="66746664">
            <w:pPr>
              <w:spacing w:before="96" w:line="233" w:lineRule="auto"/>
              <w:ind w:left="121"/>
              <w:rPr>
                <w:rFonts w:ascii="仿宋" w:hAnsi="仿宋" w:eastAsia="仿宋" w:cs="仿宋"/>
                <w:sz w:val="20"/>
                <w:szCs w:val="20"/>
              </w:rPr>
            </w:pPr>
            <w:r>
              <w:rPr>
                <w:rFonts w:ascii="仿宋" w:hAnsi="仿宋" w:eastAsia="仿宋" w:cs="仿宋"/>
                <w:spacing w:val="4"/>
                <w:sz w:val="20"/>
                <w:szCs w:val="20"/>
              </w:rPr>
              <w:t>无量纲</w:t>
            </w:r>
          </w:p>
        </w:tc>
        <w:tc>
          <w:tcPr>
            <w:tcW w:w="1275" w:type="dxa"/>
            <w:vAlign w:val="top"/>
          </w:tcPr>
          <w:p w14:paraId="4A83F416">
            <w:pPr>
              <w:spacing w:before="132" w:line="195" w:lineRule="auto"/>
              <w:ind w:left="41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11.35</w:t>
            </w:r>
          </w:p>
        </w:tc>
        <w:tc>
          <w:tcPr>
            <w:tcW w:w="1137" w:type="dxa"/>
            <w:vAlign w:val="top"/>
          </w:tcPr>
          <w:p w14:paraId="36BE97EF">
            <w:pPr>
              <w:spacing w:before="132" w:line="195" w:lineRule="auto"/>
              <w:ind w:left="447"/>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1.3</w:t>
            </w:r>
          </w:p>
        </w:tc>
        <w:tc>
          <w:tcPr>
            <w:tcW w:w="1132" w:type="dxa"/>
            <w:vAlign w:val="top"/>
          </w:tcPr>
          <w:p w14:paraId="5F651174">
            <w:pPr>
              <w:spacing w:before="132"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271" w:type="dxa"/>
            <w:vAlign w:val="top"/>
          </w:tcPr>
          <w:p w14:paraId="5A40B30A">
            <w:pPr>
              <w:spacing w:before="195" w:line="135" w:lineRule="exact"/>
              <w:ind w:left="535"/>
              <w:rPr>
                <w:rFonts w:ascii="仿宋" w:hAnsi="仿宋" w:eastAsia="仿宋" w:cs="仿宋"/>
                <w:sz w:val="20"/>
                <w:szCs w:val="20"/>
              </w:rPr>
            </w:pPr>
            <w:r>
              <w:rPr>
                <w:rFonts w:ascii="仿宋" w:hAnsi="仿宋" w:eastAsia="仿宋" w:cs="仿宋"/>
                <w:spacing w:val="2"/>
                <w:position w:val="-3"/>
                <w:sz w:val="20"/>
                <w:szCs w:val="20"/>
              </w:rPr>
              <w:t>—</w:t>
            </w:r>
          </w:p>
        </w:tc>
        <w:tc>
          <w:tcPr>
            <w:tcW w:w="1562" w:type="dxa"/>
            <w:vAlign w:val="top"/>
          </w:tcPr>
          <w:p w14:paraId="76E5D63B">
            <w:pPr>
              <w:spacing w:before="132"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6.5-8.5</w:t>
            </w:r>
          </w:p>
        </w:tc>
      </w:tr>
      <w:tr w14:paraId="4099B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85" w:type="dxa"/>
            <w:vAlign w:val="top"/>
          </w:tcPr>
          <w:p w14:paraId="5CF5A864">
            <w:pPr>
              <w:spacing w:before="94" w:line="231" w:lineRule="auto"/>
              <w:ind w:left="598"/>
              <w:rPr>
                <w:rFonts w:ascii="仿宋" w:hAnsi="仿宋" w:eastAsia="仿宋" w:cs="仿宋"/>
                <w:sz w:val="20"/>
                <w:szCs w:val="20"/>
              </w:rPr>
            </w:pPr>
            <w:r>
              <w:rPr>
                <w:rFonts w:ascii="仿宋" w:hAnsi="仿宋" w:eastAsia="仿宋" w:cs="仿宋"/>
                <w:sz w:val="20"/>
                <w:szCs w:val="20"/>
              </w:rPr>
              <w:t>铅</w:t>
            </w:r>
          </w:p>
        </w:tc>
        <w:tc>
          <w:tcPr>
            <w:tcW w:w="849" w:type="dxa"/>
            <w:vAlign w:val="top"/>
          </w:tcPr>
          <w:p w14:paraId="0BFA84D4">
            <w:pPr>
              <w:spacing w:before="126"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3A75ACEC">
            <w:pPr>
              <w:spacing w:before="130" w:line="195" w:lineRule="auto"/>
              <w:ind w:left="40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0.051</w:t>
            </w:r>
          </w:p>
        </w:tc>
        <w:tc>
          <w:tcPr>
            <w:tcW w:w="1137" w:type="dxa"/>
            <w:vAlign w:val="top"/>
          </w:tcPr>
          <w:p w14:paraId="18B224B4">
            <w:pPr>
              <w:spacing w:before="130" w:line="195" w:lineRule="auto"/>
              <w:ind w:left="440"/>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5.1</w:t>
            </w:r>
          </w:p>
        </w:tc>
        <w:tc>
          <w:tcPr>
            <w:tcW w:w="1132" w:type="dxa"/>
            <w:vAlign w:val="top"/>
          </w:tcPr>
          <w:p w14:paraId="4C482535">
            <w:pPr>
              <w:spacing w:before="130" w:line="195" w:lineRule="auto"/>
              <w:ind w:left="38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0.08</w:t>
            </w:r>
          </w:p>
        </w:tc>
        <w:tc>
          <w:tcPr>
            <w:tcW w:w="1271" w:type="dxa"/>
            <w:vAlign w:val="top"/>
          </w:tcPr>
          <w:p w14:paraId="3544FCDD">
            <w:pPr>
              <w:spacing w:before="131" w:line="194" w:lineRule="auto"/>
              <w:ind w:left="58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8</w:t>
            </w:r>
          </w:p>
        </w:tc>
        <w:tc>
          <w:tcPr>
            <w:tcW w:w="1562" w:type="dxa"/>
            <w:vAlign w:val="top"/>
          </w:tcPr>
          <w:p w14:paraId="531291AC">
            <w:pPr>
              <w:spacing w:before="94" w:line="270"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0.01</w:t>
            </w:r>
          </w:p>
        </w:tc>
      </w:tr>
      <w:tr w14:paraId="24ECB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85" w:type="dxa"/>
            <w:vAlign w:val="top"/>
          </w:tcPr>
          <w:p w14:paraId="49D4464A">
            <w:pPr>
              <w:spacing w:before="96" w:line="229" w:lineRule="auto"/>
              <w:ind w:left="598"/>
              <w:rPr>
                <w:rFonts w:ascii="仿宋" w:hAnsi="仿宋" w:eastAsia="仿宋" w:cs="仿宋"/>
                <w:sz w:val="20"/>
                <w:szCs w:val="20"/>
              </w:rPr>
            </w:pPr>
            <w:r>
              <w:rPr>
                <w:rFonts w:ascii="仿宋" w:hAnsi="仿宋" w:eastAsia="仿宋" w:cs="仿宋"/>
                <w:sz w:val="20"/>
                <w:szCs w:val="20"/>
              </w:rPr>
              <w:t>砷</w:t>
            </w:r>
          </w:p>
        </w:tc>
        <w:tc>
          <w:tcPr>
            <w:tcW w:w="849" w:type="dxa"/>
            <w:vAlign w:val="top"/>
          </w:tcPr>
          <w:p w14:paraId="31FAF9DE">
            <w:pPr>
              <w:spacing w:before="128"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54EB6481">
            <w:pPr>
              <w:spacing w:before="132" w:line="195" w:lineRule="auto"/>
              <w:ind w:left="35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0.0418</w:t>
            </w:r>
          </w:p>
        </w:tc>
        <w:tc>
          <w:tcPr>
            <w:tcW w:w="1137" w:type="dxa"/>
            <w:vAlign w:val="top"/>
          </w:tcPr>
          <w:p w14:paraId="75B564E4">
            <w:pPr>
              <w:spacing w:before="132" w:line="195" w:lineRule="auto"/>
              <w:ind w:left="43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4.2</w:t>
            </w:r>
          </w:p>
        </w:tc>
        <w:tc>
          <w:tcPr>
            <w:tcW w:w="1132" w:type="dxa"/>
            <w:vAlign w:val="top"/>
          </w:tcPr>
          <w:p w14:paraId="01C32F2A">
            <w:pPr>
              <w:spacing w:before="96" w:line="229" w:lineRule="auto"/>
              <w:ind w:left="265"/>
              <w:rPr>
                <w:rFonts w:ascii="仿宋" w:hAnsi="仿宋" w:eastAsia="仿宋" w:cs="仿宋"/>
                <w:sz w:val="20"/>
                <w:szCs w:val="20"/>
              </w:rPr>
            </w:pPr>
            <w:r>
              <w:rPr>
                <w:rFonts w:ascii="仿宋" w:hAnsi="仿宋" w:eastAsia="仿宋" w:cs="仿宋"/>
                <w:spacing w:val="4"/>
                <w:sz w:val="20"/>
                <w:szCs w:val="20"/>
              </w:rPr>
              <w:t>未检出</w:t>
            </w:r>
          </w:p>
        </w:tc>
        <w:tc>
          <w:tcPr>
            <w:tcW w:w="1271" w:type="dxa"/>
            <w:vAlign w:val="top"/>
          </w:tcPr>
          <w:p w14:paraId="6652C9A1">
            <w:pPr>
              <w:tabs>
                <w:tab w:val="left" w:pos="736"/>
              </w:tabs>
              <w:spacing w:before="3"/>
              <w:ind w:left="535"/>
              <w:rPr>
                <w:rFonts w:ascii="Arial"/>
                <w:sz w:val="21"/>
              </w:rPr>
            </w:pPr>
            <w:r>
              <w:rPr>
                <w:rFonts w:ascii="Arial" w:hAnsi="Arial" w:eastAsia="Arial" w:cs="Arial"/>
                <w:sz w:val="21"/>
                <w:szCs w:val="21"/>
                <w:u w:val="single" w:color="auto"/>
              </w:rPr>
              <w:tab/>
            </w:r>
          </w:p>
        </w:tc>
        <w:tc>
          <w:tcPr>
            <w:tcW w:w="1562" w:type="dxa"/>
            <w:vAlign w:val="top"/>
          </w:tcPr>
          <w:p w14:paraId="687B3806">
            <w:pPr>
              <w:spacing w:before="96" w:line="270"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0.01</w:t>
            </w:r>
          </w:p>
        </w:tc>
      </w:tr>
      <w:tr w14:paraId="48F28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0280B16A">
            <w:pPr>
              <w:spacing w:before="96" w:line="232" w:lineRule="auto"/>
              <w:ind w:left="599"/>
              <w:rPr>
                <w:rFonts w:ascii="仿宋" w:hAnsi="仿宋" w:eastAsia="仿宋" w:cs="仿宋"/>
                <w:sz w:val="20"/>
                <w:szCs w:val="20"/>
              </w:rPr>
            </w:pPr>
            <w:r>
              <w:rPr>
                <w:rFonts w:ascii="仿宋" w:hAnsi="仿宋" w:eastAsia="仿宋" w:cs="仿宋"/>
                <w:sz w:val="20"/>
                <w:szCs w:val="20"/>
              </w:rPr>
              <w:t>汞</w:t>
            </w:r>
          </w:p>
        </w:tc>
        <w:tc>
          <w:tcPr>
            <w:tcW w:w="849" w:type="dxa"/>
            <w:vAlign w:val="top"/>
          </w:tcPr>
          <w:p w14:paraId="3EDA0E29">
            <w:pPr>
              <w:spacing w:before="128"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358035E9">
            <w:pPr>
              <w:spacing w:before="132"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0.00004L</w:t>
            </w:r>
          </w:p>
        </w:tc>
        <w:tc>
          <w:tcPr>
            <w:tcW w:w="1137" w:type="dxa"/>
            <w:vAlign w:val="top"/>
          </w:tcPr>
          <w:p w14:paraId="63C162EC">
            <w:pPr>
              <w:tabs>
                <w:tab w:val="left" w:pos="669"/>
              </w:tabs>
              <w:spacing w:before="3"/>
              <w:ind w:left="466"/>
              <w:rPr>
                <w:rFonts w:ascii="Arial"/>
                <w:sz w:val="21"/>
              </w:rPr>
            </w:pPr>
            <w:r>
              <w:rPr>
                <w:rFonts w:ascii="Arial" w:hAnsi="Arial" w:eastAsia="Arial" w:cs="Arial"/>
                <w:sz w:val="21"/>
                <w:szCs w:val="21"/>
                <w:u w:val="single" w:color="auto"/>
              </w:rPr>
              <w:tab/>
            </w:r>
          </w:p>
        </w:tc>
        <w:tc>
          <w:tcPr>
            <w:tcW w:w="1132" w:type="dxa"/>
            <w:vAlign w:val="top"/>
          </w:tcPr>
          <w:p w14:paraId="50406413">
            <w:pPr>
              <w:spacing w:before="132" w:line="195" w:lineRule="auto"/>
              <w:ind w:left="38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0.01</w:t>
            </w:r>
          </w:p>
        </w:tc>
        <w:tc>
          <w:tcPr>
            <w:tcW w:w="1271" w:type="dxa"/>
            <w:vAlign w:val="top"/>
          </w:tcPr>
          <w:p w14:paraId="6571162D">
            <w:pPr>
              <w:spacing w:before="132" w:line="195" w:lineRule="auto"/>
              <w:ind w:left="542"/>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1562" w:type="dxa"/>
            <w:vAlign w:val="top"/>
          </w:tcPr>
          <w:p w14:paraId="66C3FCC3">
            <w:pPr>
              <w:spacing w:before="96" w:line="269" w:lineRule="exact"/>
              <w:ind w:left="458"/>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0.001</w:t>
            </w:r>
          </w:p>
        </w:tc>
      </w:tr>
      <w:tr w14:paraId="24A67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40E1DB93">
            <w:pPr>
              <w:spacing w:before="97" w:line="232" w:lineRule="auto"/>
              <w:ind w:left="599"/>
              <w:rPr>
                <w:rFonts w:ascii="仿宋" w:hAnsi="仿宋" w:eastAsia="仿宋" w:cs="仿宋"/>
                <w:sz w:val="20"/>
                <w:szCs w:val="20"/>
              </w:rPr>
            </w:pPr>
            <w:r>
              <w:rPr>
                <w:rFonts w:ascii="仿宋" w:hAnsi="仿宋" w:eastAsia="仿宋" w:cs="仿宋"/>
                <w:sz w:val="20"/>
                <w:szCs w:val="20"/>
              </w:rPr>
              <w:t>镉</w:t>
            </w:r>
          </w:p>
        </w:tc>
        <w:tc>
          <w:tcPr>
            <w:tcW w:w="849" w:type="dxa"/>
            <w:vAlign w:val="top"/>
          </w:tcPr>
          <w:p w14:paraId="66E6DCE0">
            <w:pPr>
              <w:spacing w:before="129"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1F56ABD0">
            <w:pPr>
              <w:spacing w:before="13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0.0048</w:t>
            </w:r>
          </w:p>
        </w:tc>
        <w:tc>
          <w:tcPr>
            <w:tcW w:w="1137" w:type="dxa"/>
            <w:vAlign w:val="top"/>
          </w:tcPr>
          <w:p w14:paraId="74BB5DE0">
            <w:pPr>
              <w:tabs>
                <w:tab w:val="left" w:pos="669"/>
              </w:tabs>
              <w:spacing w:before="4"/>
              <w:ind w:left="466"/>
              <w:rPr>
                <w:rFonts w:ascii="Arial"/>
                <w:sz w:val="21"/>
              </w:rPr>
            </w:pPr>
            <w:r>
              <w:rPr>
                <w:rFonts w:ascii="Arial" w:hAnsi="Arial" w:eastAsia="Arial" w:cs="Arial"/>
                <w:sz w:val="21"/>
                <w:szCs w:val="21"/>
                <w:u w:val="single" w:color="auto"/>
              </w:rPr>
              <w:tab/>
            </w:r>
          </w:p>
        </w:tc>
        <w:tc>
          <w:tcPr>
            <w:tcW w:w="1132" w:type="dxa"/>
            <w:vAlign w:val="top"/>
          </w:tcPr>
          <w:p w14:paraId="0A8466B9">
            <w:pPr>
              <w:spacing w:before="133" w:line="195" w:lineRule="auto"/>
              <w:ind w:left="38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0.02</w:t>
            </w:r>
          </w:p>
        </w:tc>
        <w:tc>
          <w:tcPr>
            <w:tcW w:w="1271" w:type="dxa"/>
            <w:vAlign w:val="top"/>
          </w:tcPr>
          <w:p w14:paraId="22ADBF7A">
            <w:pPr>
              <w:spacing w:before="133" w:line="195" w:lineRule="auto"/>
              <w:ind w:left="58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4</w:t>
            </w:r>
          </w:p>
        </w:tc>
        <w:tc>
          <w:tcPr>
            <w:tcW w:w="1562" w:type="dxa"/>
            <w:vAlign w:val="top"/>
          </w:tcPr>
          <w:p w14:paraId="03AFDB36">
            <w:pPr>
              <w:spacing w:before="97" w:line="269" w:lineRule="exact"/>
              <w:ind w:left="458"/>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0.005</w:t>
            </w:r>
          </w:p>
        </w:tc>
      </w:tr>
      <w:tr w14:paraId="501DB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02454DDA">
            <w:pPr>
              <w:spacing w:before="98" w:line="230" w:lineRule="auto"/>
              <w:ind w:left="389"/>
              <w:rPr>
                <w:rFonts w:ascii="仿宋" w:hAnsi="仿宋" w:eastAsia="仿宋" w:cs="仿宋"/>
                <w:sz w:val="20"/>
                <w:szCs w:val="20"/>
              </w:rPr>
            </w:pPr>
            <w:r>
              <w:rPr>
                <w:rFonts w:ascii="仿宋" w:hAnsi="仿宋" w:eastAsia="仿宋" w:cs="仿宋"/>
                <w:spacing w:val="4"/>
                <w:sz w:val="20"/>
                <w:szCs w:val="20"/>
              </w:rPr>
              <w:t>六价铬</w:t>
            </w:r>
          </w:p>
        </w:tc>
        <w:tc>
          <w:tcPr>
            <w:tcW w:w="849" w:type="dxa"/>
            <w:vAlign w:val="top"/>
          </w:tcPr>
          <w:p w14:paraId="16ED6183">
            <w:pPr>
              <w:spacing w:before="130"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3B291778">
            <w:pPr>
              <w:spacing w:before="134"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0.004L</w:t>
            </w:r>
          </w:p>
        </w:tc>
        <w:tc>
          <w:tcPr>
            <w:tcW w:w="1137" w:type="dxa"/>
            <w:vAlign w:val="top"/>
          </w:tcPr>
          <w:p w14:paraId="1D34F820">
            <w:pPr>
              <w:tabs>
                <w:tab w:val="left" w:pos="669"/>
              </w:tabs>
              <w:spacing w:before="5"/>
              <w:ind w:left="466"/>
              <w:rPr>
                <w:rFonts w:ascii="Arial"/>
                <w:sz w:val="21"/>
              </w:rPr>
            </w:pPr>
            <w:r>
              <w:rPr>
                <w:rFonts w:ascii="Arial" w:hAnsi="Arial" w:eastAsia="Arial" w:cs="Arial"/>
                <w:sz w:val="21"/>
                <w:szCs w:val="21"/>
                <w:u w:val="single" w:color="auto"/>
              </w:rPr>
              <w:tab/>
            </w:r>
          </w:p>
        </w:tc>
        <w:tc>
          <w:tcPr>
            <w:tcW w:w="1132" w:type="dxa"/>
            <w:vAlign w:val="top"/>
          </w:tcPr>
          <w:p w14:paraId="6B709936">
            <w:pPr>
              <w:spacing w:before="98" w:line="229" w:lineRule="auto"/>
              <w:ind w:left="265"/>
              <w:rPr>
                <w:rFonts w:ascii="仿宋" w:hAnsi="仿宋" w:eastAsia="仿宋" w:cs="仿宋"/>
                <w:sz w:val="20"/>
                <w:szCs w:val="20"/>
              </w:rPr>
            </w:pPr>
            <w:r>
              <w:rPr>
                <w:rFonts w:ascii="仿宋" w:hAnsi="仿宋" w:eastAsia="仿宋" w:cs="仿宋"/>
                <w:spacing w:val="4"/>
                <w:sz w:val="20"/>
                <w:szCs w:val="20"/>
              </w:rPr>
              <w:t>未检出</w:t>
            </w:r>
          </w:p>
        </w:tc>
        <w:tc>
          <w:tcPr>
            <w:tcW w:w="1271" w:type="dxa"/>
            <w:vAlign w:val="top"/>
          </w:tcPr>
          <w:p w14:paraId="42E7FB31">
            <w:pPr>
              <w:tabs>
                <w:tab w:val="left" w:pos="736"/>
              </w:tabs>
              <w:spacing w:before="5"/>
              <w:ind w:left="535"/>
              <w:rPr>
                <w:rFonts w:ascii="Arial"/>
                <w:sz w:val="21"/>
              </w:rPr>
            </w:pPr>
            <w:r>
              <w:rPr>
                <w:rFonts w:ascii="Arial" w:hAnsi="Arial" w:eastAsia="Arial" w:cs="Arial"/>
                <w:sz w:val="21"/>
                <w:szCs w:val="21"/>
                <w:u w:val="single" w:color="auto"/>
              </w:rPr>
              <w:tab/>
            </w:r>
          </w:p>
        </w:tc>
        <w:tc>
          <w:tcPr>
            <w:tcW w:w="1562" w:type="dxa"/>
            <w:vAlign w:val="top"/>
          </w:tcPr>
          <w:p w14:paraId="4D3B68DD">
            <w:pPr>
              <w:spacing w:before="98"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0.05</w:t>
            </w:r>
          </w:p>
        </w:tc>
      </w:tr>
      <w:tr w14:paraId="36351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85" w:type="dxa"/>
            <w:vAlign w:val="top"/>
          </w:tcPr>
          <w:p w14:paraId="49AB9382">
            <w:pPr>
              <w:spacing w:before="96" w:line="231" w:lineRule="auto"/>
              <w:ind w:left="598"/>
              <w:rPr>
                <w:rFonts w:ascii="仿宋" w:hAnsi="仿宋" w:eastAsia="仿宋" w:cs="仿宋"/>
                <w:sz w:val="20"/>
                <w:szCs w:val="20"/>
              </w:rPr>
            </w:pPr>
            <w:r>
              <w:rPr>
                <w:rFonts w:ascii="仿宋" w:hAnsi="仿宋" w:eastAsia="仿宋" w:cs="仿宋"/>
                <w:sz w:val="20"/>
                <w:szCs w:val="20"/>
              </w:rPr>
              <w:t>锌</w:t>
            </w:r>
          </w:p>
        </w:tc>
        <w:tc>
          <w:tcPr>
            <w:tcW w:w="849" w:type="dxa"/>
            <w:vAlign w:val="top"/>
          </w:tcPr>
          <w:p w14:paraId="029CF374">
            <w:pPr>
              <w:spacing w:before="129"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165EB3E1">
            <w:pPr>
              <w:spacing w:before="132"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1137" w:type="dxa"/>
            <w:vAlign w:val="top"/>
          </w:tcPr>
          <w:p w14:paraId="78ECC6E8">
            <w:pPr>
              <w:tabs>
                <w:tab w:val="left" w:pos="669"/>
              </w:tabs>
              <w:spacing w:before="3"/>
              <w:ind w:left="466"/>
              <w:rPr>
                <w:rFonts w:ascii="Arial"/>
                <w:sz w:val="21"/>
              </w:rPr>
            </w:pPr>
            <w:r>
              <w:rPr>
                <w:rFonts w:ascii="Arial" w:hAnsi="Arial" w:eastAsia="Arial" w:cs="Arial"/>
                <w:sz w:val="21"/>
                <w:szCs w:val="21"/>
                <w:u w:val="single" w:color="auto"/>
              </w:rPr>
              <w:tab/>
            </w:r>
          </w:p>
        </w:tc>
        <w:tc>
          <w:tcPr>
            <w:tcW w:w="1132" w:type="dxa"/>
            <w:vAlign w:val="top"/>
          </w:tcPr>
          <w:p w14:paraId="5439CDDD">
            <w:pPr>
              <w:spacing w:before="132"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271" w:type="dxa"/>
            <w:vAlign w:val="top"/>
          </w:tcPr>
          <w:p w14:paraId="78319110">
            <w:pPr>
              <w:tabs>
                <w:tab w:val="left" w:pos="736"/>
              </w:tabs>
              <w:spacing w:before="3"/>
              <w:ind w:left="535"/>
              <w:rPr>
                <w:rFonts w:ascii="Arial"/>
                <w:sz w:val="21"/>
              </w:rPr>
            </w:pPr>
            <w:r>
              <w:rPr>
                <w:rFonts w:ascii="Arial" w:hAnsi="Arial" w:eastAsia="Arial" w:cs="Arial"/>
                <w:sz w:val="21"/>
                <w:szCs w:val="21"/>
                <w:u w:val="single" w:color="auto"/>
              </w:rPr>
              <w:tab/>
            </w:r>
          </w:p>
        </w:tc>
        <w:tc>
          <w:tcPr>
            <w:tcW w:w="1562" w:type="dxa"/>
            <w:vAlign w:val="top"/>
          </w:tcPr>
          <w:p w14:paraId="18FFAE7C">
            <w:pPr>
              <w:spacing w:before="97"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1.00</w:t>
            </w:r>
          </w:p>
        </w:tc>
      </w:tr>
      <w:tr w14:paraId="125BB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2F6550AF">
            <w:pPr>
              <w:spacing w:before="98" w:line="232" w:lineRule="auto"/>
              <w:ind w:left="600"/>
              <w:rPr>
                <w:rFonts w:ascii="仿宋" w:hAnsi="仿宋" w:eastAsia="仿宋" w:cs="仿宋"/>
                <w:sz w:val="20"/>
                <w:szCs w:val="20"/>
              </w:rPr>
            </w:pPr>
            <w:r>
              <w:rPr>
                <w:rFonts w:ascii="仿宋" w:hAnsi="仿宋" w:eastAsia="仿宋" w:cs="仿宋"/>
                <w:sz w:val="20"/>
                <w:szCs w:val="20"/>
              </w:rPr>
              <w:t>铜</w:t>
            </w:r>
          </w:p>
        </w:tc>
        <w:tc>
          <w:tcPr>
            <w:tcW w:w="849" w:type="dxa"/>
            <w:vAlign w:val="top"/>
          </w:tcPr>
          <w:p w14:paraId="584DC22C">
            <w:pPr>
              <w:spacing w:before="131"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627FBBBC">
            <w:pPr>
              <w:spacing w:before="134"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1137" w:type="dxa"/>
            <w:vAlign w:val="top"/>
          </w:tcPr>
          <w:p w14:paraId="3BAEB0CF">
            <w:pPr>
              <w:tabs>
                <w:tab w:val="left" w:pos="669"/>
              </w:tabs>
              <w:spacing w:before="5"/>
              <w:ind w:left="466"/>
              <w:rPr>
                <w:rFonts w:ascii="Arial"/>
                <w:sz w:val="21"/>
              </w:rPr>
            </w:pPr>
            <w:r>
              <w:rPr>
                <w:rFonts w:ascii="Arial" w:hAnsi="Arial" w:eastAsia="Arial" w:cs="Arial"/>
                <w:sz w:val="21"/>
                <w:szCs w:val="21"/>
                <w:u w:val="single" w:color="auto"/>
              </w:rPr>
              <w:tab/>
            </w:r>
          </w:p>
        </w:tc>
        <w:tc>
          <w:tcPr>
            <w:tcW w:w="1132" w:type="dxa"/>
            <w:vAlign w:val="top"/>
          </w:tcPr>
          <w:p w14:paraId="2B372258">
            <w:pPr>
              <w:spacing w:before="134"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271" w:type="dxa"/>
            <w:vAlign w:val="top"/>
          </w:tcPr>
          <w:p w14:paraId="6FC0D920">
            <w:pPr>
              <w:tabs>
                <w:tab w:val="left" w:pos="736"/>
              </w:tabs>
              <w:spacing w:before="5"/>
              <w:ind w:left="535"/>
              <w:rPr>
                <w:rFonts w:ascii="Arial"/>
                <w:sz w:val="21"/>
              </w:rPr>
            </w:pPr>
            <w:r>
              <w:rPr>
                <w:rFonts w:ascii="Arial" w:hAnsi="Arial" w:eastAsia="Arial" w:cs="Arial"/>
                <w:sz w:val="21"/>
                <w:szCs w:val="21"/>
                <w:u w:val="single" w:color="auto"/>
              </w:rPr>
              <w:tab/>
            </w:r>
          </w:p>
        </w:tc>
        <w:tc>
          <w:tcPr>
            <w:tcW w:w="1562" w:type="dxa"/>
            <w:vAlign w:val="top"/>
          </w:tcPr>
          <w:p w14:paraId="27B2B920">
            <w:pPr>
              <w:spacing w:before="99"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1.00</w:t>
            </w:r>
          </w:p>
        </w:tc>
      </w:tr>
      <w:tr w14:paraId="3E6D6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85" w:type="dxa"/>
            <w:vAlign w:val="top"/>
          </w:tcPr>
          <w:p w14:paraId="69D7E2F6">
            <w:pPr>
              <w:spacing w:before="98" w:line="229" w:lineRule="auto"/>
              <w:ind w:left="397"/>
              <w:rPr>
                <w:rFonts w:ascii="仿宋" w:hAnsi="仿宋" w:eastAsia="仿宋" w:cs="仿宋"/>
                <w:sz w:val="20"/>
                <w:szCs w:val="20"/>
              </w:rPr>
            </w:pPr>
            <w:r>
              <w:rPr>
                <w:rFonts w:ascii="仿宋" w:hAnsi="仿宋" w:eastAsia="仿宋" w:cs="仿宋"/>
                <w:spacing w:val="1"/>
                <w:sz w:val="20"/>
                <w:szCs w:val="20"/>
              </w:rPr>
              <w:t>氰化物</w:t>
            </w:r>
          </w:p>
        </w:tc>
        <w:tc>
          <w:tcPr>
            <w:tcW w:w="849" w:type="dxa"/>
            <w:vAlign w:val="top"/>
          </w:tcPr>
          <w:p w14:paraId="2E81DFD3">
            <w:pPr>
              <w:spacing w:before="129"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6C8035D6">
            <w:pPr>
              <w:spacing w:before="133"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0.001L</w:t>
            </w:r>
          </w:p>
        </w:tc>
        <w:tc>
          <w:tcPr>
            <w:tcW w:w="1137" w:type="dxa"/>
            <w:vAlign w:val="top"/>
          </w:tcPr>
          <w:p w14:paraId="77378962">
            <w:pPr>
              <w:tabs>
                <w:tab w:val="left" w:pos="669"/>
              </w:tabs>
              <w:spacing w:before="4"/>
              <w:ind w:left="466"/>
              <w:rPr>
                <w:rFonts w:ascii="Arial"/>
                <w:sz w:val="21"/>
              </w:rPr>
            </w:pPr>
            <w:r>
              <w:rPr>
                <w:rFonts w:ascii="Arial" w:hAnsi="Arial" w:eastAsia="Arial" w:cs="Arial"/>
                <w:sz w:val="21"/>
                <w:szCs w:val="21"/>
                <w:u w:val="single" w:color="auto"/>
              </w:rPr>
              <w:tab/>
            </w:r>
          </w:p>
        </w:tc>
        <w:tc>
          <w:tcPr>
            <w:tcW w:w="1132" w:type="dxa"/>
            <w:vAlign w:val="top"/>
          </w:tcPr>
          <w:p w14:paraId="0A117E3F">
            <w:pPr>
              <w:spacing w:before="97" w:line="229" w:lineRule="auto"/>
              <w:ind w:left="265"/>
              <w:rPr>
                <w:rFonts w:ascii="仿宋" w:hAnsi="仿宋" w:eastAsia="仿宋" w:cs="仿宋"/>
                <w:sz w:val="20"/>
                <w:szCs w:val="20"/>
              </w:rPr>
            </w:pPr>
            <w:r>
              <w:rPr>
                <w:rFonts w:ascii="仿宋" w:hAnsi="仿宋" w:eastAsia="仿宋" w:cs="仿宋"/>
                <w:spacing w:val="4"/>
                <w:sz w:val="20"/>
                <w:szCs w:val="20"/>
              </w:rPr>
              <w:t>未检出</w:t>
            </w:r>
          </w:p>
        </w:tc>
        <w:tc>
          <w:tcPr>
            <w:tcW w:w="1271" w:type="dxa"/>
            <w:vAlign w:val="top"/>
          </w:tcPr>
          <w:p w14:paraId="043BE589">
            <w:pPr>
              <w:tabs>
                <w:tab w:val="left" w:pos="736"/>
              </w:tabs>
              <w:spacing w:before="4"/>
              <w:ind w:left="535"/>
              <w:rPr>
                <w:rFonts w:ascii="Arial"/>
                <w:sz w:val="21"/>
              </w:rPr>
            </w:pPr>
            <w:r>
              <w:rPr>
                <w:rFonts w:ascii="Arial" w:hAnsi="Arial" w:eastAsia="Arial" w:cs="Arial"/>
                <w:sz w:val="21"/>
                <w:szCs w:val="21"/>
                <w:u w:val="single" w:color="auto"/>
              </w:rPr>
              <w:tab/>
            </w:r>
          </w:p>
        </w:tc>
        <w:tc>
          <w:tcPr>
            <w:tcW w:w="1562" w:type="dxa"/>
            <w:vAlign w:val="top"/>
          </w:tcPr>
          <w:p w14:paraId="25C1843E">
            <w:pPr>
              <w:spacing w:before="97"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0.05</w:t>
            </w:r>
          </w:p>
        </w:tc>
      </w:tr>
      <w:tr w14:paraId="6E75D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85" w:type="dxa"/>
            <w:vAlign w:val="top"/>
          </w:tcPr>
          <w:p w14:paraId="74D1E268">
            <w:pPr>
              <w:spacing w:before="99" w:line="239" w:lineRule="auto"/>
              <w:ind w:left="598"/>
              <w:rPr>
                <w:rFonts w:ascii="仿宋" w:hAnsi="仿宋" w:eastAsia="仿宋" w:cs="仿宋"/>
                <w:sz w:val="20"/>
                <w:szCs w:val="20"/>
              </w:rPr>
            </w:pPr>
            <w:r>
              <w:rPr>
                <w:rFonts w:ascii="仿宋" w:hAnsi="仿宋" w:eastAsia="仿宋" w:cs="仿宋"/>
                <w:sz w:val="20"/>
                <w:szCs w:val="20"/>
              </w:rPr>
              <w:t>锰</w:t>
            </w:r>
          </w:p>
        </w:tc>
        <w:tc>
          <w:tcPr>
            <w:tcW w:w="849" w:type="dxa"/>
            <w:vAlign w:val="top"/>
          </w:tcPr>
          <w:p w14:paraId="093F52CA">
            <w:pPr>
              <w:spacing w:before="130" w:line="201"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275" w:type="dxa"/>
            <w:vAlign w:val="top"/>
          </w:tcPr>
          <w:p w14:paraId="327616FE">
            <w:pPr>
              <w:spacing w:before="134"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1137" w:type="dxa"/>
            <w:vAlign w:val="top"/>
          </w:tcPr>
          <w:p w14:paraId="55CFA061">
            <w:pPr>
              <w:tabs>
                <w:tab w:val="left" w:pos="669"/>
              </w:tabs>
              <w:spacing w:before="5"/>
              <w:ind w:left="466"/>
              <w:rPr>
                <w:rFonts w:ascii="Arial"/>
                <w:sz w:val="21"/>
              </w:rPr>
            </w:pPr>
            <w:r>
              <w:rPr>
                <w:rFonts w:ascii="Arial" w:hAnsi="Arial" w:eastAsia="Arial" w:cs="Arial"/>
                <w:sz w:val="21"/>
                <w:szCs w:val="21"/>
                <w:u w:val="single" w:color="auto"/>
              </w:rPr>
              <w:tab/>
            </w:r>
          </w:p>
        </w:tc>
        <w:tc>
          <w:tcPr>
            <w:tcW w:w="1132" w:type="dxa"/>
            <w:vAlign w:val="top"/>
          </w:tcPr>
          <w:p w14:paraId="5A563669">
            <w:pPr>
              <w:tabs>
                <w:tab w:val="left" w:pos="666"/>
              </w:tabs>
              <w:spacing w:before="5"/>
              <w:ind w:left="464"/>
              <w:rPr>
                <w:rFonts w:ascii="Arial"/>
                <w:sz w:val="21"/>
              </w:rPr>
            </w:pPr>
            <w:r>
              <w:rPr>
                <w:rFonts w:ascii="Arial" w:hAnsi="Arial" w:eastAsia="Arial" w:cs="Arial"/>
                <w:sz w:val="21"/>
                <w:szCs w:val="21"/>
                <w:u w:val="single" w:color="auto"/>
              </w:rPr>
              <w:tab/>
            </w:r>
          </w:p>
        </w:tc>
        <w:tc>
          <w:tcPr>
            <w:tcW w:w="1271" w:type="dxa"/>
            <w:vAlign w:val="top"/>
          </w:tcPr>
          <w:p w14:paraId="4CEC871F">
            <w:pPr>
              <w:tabs>
                <w:tab w:val="left" w:pos="736"/>
              </w:tabs>
              <w:spacing w:before="5"/>
              <w:ind w:left="535"/>
              <w:rPr>
                <w:rFonts w:ascii="Arial"/>
                <w:sz w:val="21"/>
              </w:rPr>
            </w:pPr>
            <w:r>
              <w:rPr>
                <w:rFonts w:ascii="Arial" w:hAnsi="Arial" w:eastAsia="Arial" w:cs="Arial"/>
                <w:sz w:val="21"/>
                <w:szCs w:val="21"/>
                <w:u w:val="single" w:color="auto"/>
              </w:rPr>
              <w:tab/>
            </w:r>
          </w:p>
        </w:tc>
        <w:tc>
          <w:tcPr>
            <w:tcW w:w="1562" w:type="dxa"/>
            <w:vAlign w:val="top"/>
          </w:tcPr>
          <w:p w14:paraId="7177F0EF">
            <w:pPr>
              <w:spacing w:before="98" w:line="269" w:lineRule="exact"/>
              <w:ind w:left="511"/>
              <w:rPr>
                <w:rFonts w:ascii="Times New Roman" w:hAnsi="Times New Roman" w:eastAsia="Times New Roman" w:cs="Times New Roman"/>
                <w:sz w:val="20"/>
                <w:szCs w:val="20"/>
              </w:rPr>
            </w:pPr>
            <w:r>
              <w:rPr>
                <w:rFonts w:ascii="仿宋" w:hAnsi="仿宋" w:eastAsia="仿宋" w:cs="仿宋"/>
                <w:spacing w:val="1"/>
                <w:position w:val="1"/>
                <w:sz w:val="20"/>
                <w:szCs w:val="20"/>
              </w:rPr>
              <w:t>≤</w:t>
            </w:r>
            <w:r>
              <w:rPr>
                <w:rFonts w:ascii="Times New Roman" w:hAnsi="Times New Roman" w:eastAsia="Times New Roman" w:cs="Times New Roman"/>
                <w:spacing w:val="1"/>
                <w:position w:val="1"/>
                <w:sz w:val="20"/>
                <w:szCs w:val="20"/>
              </w:rPr>
              <w:t>0.10</w:t>
            </w:r>
          </w:p>
        </w:tc>
      </w:tr>
    </w:tbl>
    <w:p w14:paraId="7BAF5243">
      <w:pPr>
        <w:spacing w:before="111" w:line="355" w:lineRule="auto"/>
        <w:ind w:left="164" w:right="154" w:firstLine="484"/>
        <w:rPr>
          <w:rFonts w:ascii="宋体" w:hAnsi="宋体" w:eastAsia="宋体" w:cs="宋体"/>
          <w:sz w:val="24"/>
          <w:szCs w:val="24"/>
        </w:rPr>
      </w:pPr>
      <w:r>
        <w:rPr>
          <w:rFonts w:ascii="宋体" w:hAnsi="宋体" w:eastAsia="宋体" w:cs="宋体"/>
          <w:spacing w:val="-3"/>
          <w:sz w:val="24"/>
          <w:szCs w:val="24"/>
        </w:rPr>
        <w:t>非正常情况下，假设截渗池池底局部防渗膜发生老化、</w:t>
      </w:r>
      <w:r>
        <w:rPr>
          <w:rFonts w:ascii="宋体" w:hAnsi="宋体" w:eastAsia="宋体" w:cs="宋体"/>
          <w:spacing w:val="-4"/>
          <w:sz w:val="24"/>
          <w:szCs w:val="24"/>
        </w:rPr>
        <w:t>破裂，泄露面积为池</w:t>
      </w:r>
      <w:r>
        <w:rPr>
          <w:rFonts w:ascii="宋体" w:hAnsi="宋体" w:eastAsia="宋体" w:cs="宋体"/>
          <w:sz w:val="24"/>
          <w:szCs w:val="24"/>
        </w:rPr>
        <w:t xml:space="preserve"> </w:t>
      </w:r>
      <w:r>
        <w:rPr>
          <w:rFonts w:ascii="宋体" w:hAnsi="宋体" w:eastAsia="宋体" w:cs="宋体"/>
          <w:spacing w:val="-12"/>
          <w:sz w:val="24"/>
          <w:szCs w:val="24"/>
        </w:rPr>
        <w:t>底</w:t>
      </w:r>
      <w:r>
        <w:rPr>
          <w:rFonts w:ascii="宋体" w:hAnsi="宋体" w:eastAsia="宋体" w:cs="宋体"/>
          <w:spacing w:val="-62"/>
          <w:sz w:val="24"/>
          <w:szCs w:val="24"/>
        </w:rPr>
        <w:t xml:space="preserve"> </w:t>
      </w:r>
      <w:r>
        <w:rPr>
          <w:rFonts w:ascii="宋体" w:hAnsi="宋体" w:eastAsia="宋体" w:cs="宋体"/>
          <w:spacing w:val="-12"/>
          <w:sz w:val="24"/>
          <w:szCs w:val="24"/>
        </w:rPr>
        <w:t>面</w:t>
      </w:r>
      <w:r>
        <w:rPr>
          <w:rFonts w:ascii="宋体" w:hAnsi="宋体" w:eastAsia="宋体" w:cs="宋体"/>
          <w:spacing w:val="-65"/>
          <w:sz w:val="24"/>
          <w:szCs w:val="24"/>
        </w:rPr>
        <w:t xml:space="preserve"> </w:t>
      </w:r>
      <w:r>
        <w:rPr>
          <w:rFonts w:ascii="宋体" w:hAnsi="宋体" w:eastAsia="宋体" w:cs="宋体"/>
          <w:spacing w:val="-12"/>
          <w:sz w:val="24"/>
          <w:szCs w:val="24"/>
        </w:rPr>
        <w:t>积</w:t>
      </w:r>
      <w:r>
        <w:rPr>
          <w:rFonts w:ascii="宋体" w:hAnsi="宋体" w:eastAsia="宋体" w:cs="宋体"/>
          <w:spacing w:val="-46"/>
          <w:sz w:val="24"/>
          <w:szCs w:val="24"/>
        </w:rPr>
        <w:t xml:space="preserve"> </w:t>
      </w:r>
      <w:r>
        <w:rPr>
          <w:rFonts w:ascii="宋体" w:hAnsi="宋体" w:eastAsia="宋体" w:cs="宋体"/>
          <w:spacing w:val="-12"/>
          <w:sz w:val="24"/>
          <w:szCs w:val="24"/>
        </w:rPr>
        <w:t xml:space="preserve">的 </w:t>
      </w:r>
      <w:r>
        <w:rPr>
          <w:rFonts w:ascii="Times New Roman" w:hAnsi="Times New Roman" w:eastAsia="Times New Roman" w:cs="Times New Roman"/>
          <w:spacing w:val="-12"/>
          <w:sz w:val="24"/>
          <w:szCs w:val="24"/>
        </w:rPr>
        <w:t>3%</w:t>
      </w:r>
      <w:r>
        <w:rPr>
          <w:rFonts w:ascii="Times New Roman" w:hAnsi="Times New Roman" w:eastAsia="Times New Roman" w:cs="Times New Roman"/>
          <w:spacing w:val="16"/>
          <w:w w:val="101"/>
          <w:sz w:val="24"/>
          <w:szCs w:val="24"/>
        </w:rPr>
        <w:t xml:space="preserve"> </w:t>
      </w:r>
      <w:r>
        <w:rPr>
          <w:rFonts w:ascii="宋体" w:hAnsi="宋体" w:eastAsia="宋体" w:cs="宋体"/>
          <w:spacing w:val="-12"/>
          <w:sz w:val="24"/>
          <w:szCs w:val="24"/>
        </w:rPr>
        <w:t>，</w:t>
      </w:r>
      <w:r>
        <w:rPr>
          <w:rFonts w:ascii="宋体" w:hAnsi="宋体" w:eastAsia="宋体" w:cs="宋体"/>
          <w:spacing w:val="-60"/>
          <w:sz w:val="24"/>
          <w:szCs w:val="24"/>
        </w:rPr>
        <w:t xml:space="preserve"> </w:t>
      </w:r>
      <w:r>
        <w:rPr>
          <w:rFonts w:ascii="宋体" w:hAnsi="宋体" w:eastAsia="宋体" w:cs="宋体"/>
          <w:spacing w:val="-12"/>
          <w:sz w:val="24"/>
          <w:szCs w:val="24"/>
        </w:rPr>
        <w:t>则</w:t>
      </w:r>
      <w:r>
        <w:rPr>
          <w:rFonts w:ascii="宋体" w:hAnsi="宋体" w:eastAsia="宋体" w:cs="宋体"/>
          <w:spacing w:val="-61"/>
          <w:sz w:val="24"/>
          <w:szCs w:val="24"/>
        </w:rPr>
        <w:t xml:space="preserve"> </w:t>
      </w:r>
      <w:r>
        <w:rPr>
          <w:rFonts w:ascii="宋体" w:hAnsi="宋体" w:eastAsia="宋体" w:cs="宋体"/>
          <w:spacing w:val="-12"/>
          <w:sz w:val="24"/>
          <w:szCs w:val="24"/>
        </w:rPr>
        <w:t>泄</w:t>
      </w:r>
      <w:r>
        <w:rPr>
          <w:rFonts w:ascii="宋体" w:hAnsi="宋体" w:eastAsia="宋体" w:cs="宋体"/>
          <w:spacing w:val="-60"/>
          <w:sz w:val="24"/>
          <w:szCs w:val="24"/>
        </w:rPr>
        <w:t xml:space="preserve"> </w:t>
      </w:r>
      <w:r>
        <w:rPr>
          <w:rFonts w:ascii="宋体" w:hAnsi="宋体" w:eastAsia="宋体" w:cs="宋体"/>
          <w:spacing w:val="-12"/>
          <w:sz w:val="24"/>
          <w:szCs w:val="24"/>
        </w:rPr>
        <w:t>露</w:t>
      </w:r>
      <w:r>
        <w:rPr>
          <w:rFonts w:ascii="宋体" w:hAnsi="宋体" w:eastAsia="宋体" w:cs="宋体"/>
          <w:spacing w:val="-64"/>
          <w:sz w:val="24"/>
          <w:szCs w:val="24"/>
        </w:rPr>
        <w:t xml:space="preserve"> </w:t>
      </w:r>
      <w:r>
        <w:rPr>
          <w:rFonts w:ascii="宋体" w:hAnsi="宋体" w:eastAsia="宋体" w:cs="宋体"/>
          <w:spacing w:val="-12"/>
          <w:sz w:val="24"/>
          <w:szCs w:val="24"/>
        </w:rPr>
        <w:t>面</w:t>
      </w:r>
      <w:r>
        <w:rPr>
          <w:rFonts w:ascii="宋体" w:hAnsi="宋体" w:eastAsia="宋体" w:cs="宋体"/>
          <w:spacing w:val="-63"/>
          <w:sz w:val="24"/>
          <w:szCs w:val="24"/>
        </w:rPr>
        <w:t xml:space="preserve"> </w:t>
      </w:r>
      <w:r>
        <w:rPr>
          <w:rFonts w:ascii="宋体" w:hAnsi="宋体" w:eastAsia="宋体" w:cs="宋体"/>
          <w:spacing w:val="-12"/>
          <w:sz w:val="24"/>
          <w:szCs w:val="24"/>
        </w:rPr>
        <w:t>积</w:t>
      </w:r>
      <w:r>
        <w:rPr>
          <w:rFonts w:ascii="宋体" w:hAnsi="宋体" w:eastAsia="宋体" w:cs="宋体"/>
          <w:spacing w:val="-62"/>
          <w:sz w:val="24"/>
          <w:szCs w:val="24"/>
        </w:rPr>
        <w:t xml:space="preserve"> </w:t>
      </w:r>
      <w:r>
        <w:rPr>
          <w:rFonts w:ascii="宋体" w:hAnsi="宋体" w:eastAsia="宋体" w:cs="宋体"/>
          <w:spacing w:val="-12"/>
          <w:sz w:val="24"/>
          <w:szCs w:val="24"/>
        </w:rPr>
        <w:t xml:space="preserve">为 </w:t>
      </w:r>
      <w:r>
        <w:rPr>
          <w:rFonts w:ascii="Times New Roman" w:hAnsi="Times New Roman" w:eastAsia="Times New Roman" w:cs="Times New Roman"/>
          <w:spacing w:val="-12"/>
          <w:sz w:val="24"/>
          <w:szCs w:val="24"/>
        </w:rPr>
        <w:t>80</w:t>
      </w:r>
      <w:r>
        <w:rPr>
          <w:rFonts w:ascii="Times New Roman" w:hAnsi="Times New Roman" w:eastAsia="Times New Roman" w:cs="Times New Roman"/>
          <w:spacing w:val="32"/>
          <w:sz w:val="24"/>
          <w:szCs w:val="24"/>
        </w:rPr>
        <w:t xml:space="preserve"> </w:t>
      </w:r>
      <w:r>
        <w:rPr>
          <w:rFonts w:ascii="宋体" w:hAnsi="宋体" w:eastAsia="宋体" w:cs="宋体"/>
          <w:spacing w:val="-12"/>
          <w:sz w:val="24"/>
          <w:szCs w:val="24"/>
        </w:rPr>
        <w:t>×</w:t>
      </w:r>
      <w:r>
        <w:rPr>
          <w:rFonts w:ascii="宋体" w:hAnsi="宋体" w:eastAsia="宋体" w:cs="宋体"/>
          <w:spacing w:val="-47"/>
          <w:sz w:val="24"/>
          <w:szCs w:val="24"/>
        </w:rPr>
        <w:t xml:space="preserve"> </w:t>
      </w:r>
      <w:r>
        <w:rPr>
          <w:rFonts w:ascii="Times New Roman" w:hAnsi="Times New Roman" w:eastAsia="Times New Roman" w:cs="Times New Roman"/>
          <w:spacing w:val="-12"/>
          <w:sz w:val="24"/>
          <w:szCs w:val="24"/>
        </w:rPr>
        <w:t>10</w:t>
      </w:r>
      <w:r>
        <w:rPr>
          <w:rFonts w:ascii="Times New Roman" w:hAnsi="Times New Roman" w:eastAsia="Times New Roman" w:cs="Times New Roman"/>
          <w:spacing w:val="29"/>
          <w:sz w:val="24"/>
          <w:szCs w:val="24"/>
        </w:rPr>
        <w:t xml:space="preserve"> </w:t>
      </w:r>
      <w:r>
        <w:rPr>
          <w:rFonts w:ascii="宋体" w:hAnsi="宋体" w:eastAsia="宋体" w:cs="宋体"/>
          <w:spacing w:val="-12"/>
          <w:sz w:val="24"/>
          <w:szCs w:val="24"/>
        </w:rPr>
        <w:t>×</w:t>
      </w:r>
      <w:r>
        <w:rPr>
          <w:rFonts w:ascii="宋体" w:hAnsi="宋体" w:eastAsia="宋体" w:cs="宋体"/>
          <w:spacing w:val="-65"/>
          <w:sz w:val="24"/>
          <w:szCs w:val="24"/>
        </w:rPr>
        <w:t xml:space="preserve"> </w:t>
      </w:r>
      <w:r>
        <w:rPr>
          <w:rFonts w:ascii="Times New Roman" w:hAnsi="Times New Roman" w:eastAsia="Times New Roman" w:cs="Times New Roman"/>
          <w:spacing w:val="-12"/>
          <w:sz w:val="24"/>
          <w:szCs w:val="24"/>
        </w:rPr>
        <w:t>3%=24m</w:t>
      </w:r>
      <w:r>
        <w:rPr>
          <w:rFonts w:ascii="Times New Roman" w:hAnsi="Times New Roman" w:eastAsia="Times New Roman" w:cs="Times New Roman"/>
          <w:spacing w:val="8"/>
          <w:position w:val="7"/>
          <w:sz w:val="15"/>
          <w:szCs w:val="15"/>
        </w:rPr>
        <w:t>2</w:t>
      </w:r>
      <w:r>
        <w:rPr>
          <w:rFonts w:ascii="Times New Roman" w:hAnsi="Times New Roman" w:eastAsia="Times New Roman" w:cs="Times New Roman"/>
          <w:position w:val="7"/>
          <w:sz w:val="15"/>
          <w:szCs w:val="15"/>
        </w:rPr>
        <w:t xml:space="preserve">  </w:t>
      </w:r>
      <w:r>
        <w:rPr>
          <w:rFonts w:ascii="宋体" w:hAnsi="宋体" w:eastAsia="宋体" w:cs="宋体"/>
          <w:spacing w:val="-16"/>
          <w:sz w:val="24"/>
          <w:szCs w:val="24"/>
        </w:rPr>
        <w:t>，</w:t>
      </w:r>
      <w:r>
        <w:rPr>
          <w:rFonts w:ascii="宋体" w:hAnsi="宋体" w:eastAsia="宋体" w:cs="宋体"/>
          <w:spacing w:val="-65"/>
          <w:sz w:val="24"/>
          <w:szCs w:val="24"/>
        </w:rPr>
        <w:t xml:space="preserve"> </w:t>
      </w:r>
      <w:r>
        <w:rPr>
          <w:rFonts w:ascii="宋体" w:hAnsi="宋体" w:eastAsia="宋体" w:cs="宋体"/>
          <w:spacing w:val="-16"/>
          <w:sz w:val="24"/>
          <w:szCs w:val="24"/>
        </w:rPr>
        <w:t>废</w:t>
      </w:r>
      <w:r>
        <w:rPr>
          <w:rFonts w:ascii="宋体" w:hAnsi="宋体" w:eastAsia="宋体" w:cs="宋体"/>
          <w:spacing w:val="-62"/>
          <w:sz w:val="24"/>
          <w:szCs w:val="24"/>
        </w:rPr>
        <w:t xml:space="preserve"> </w:t>
      </w:r>
      <w:r>
        <w:rPr>
          <w:rFonts w:ascii="宋体" w:hAnsi="宋体" w:eastAsia="宋体" w:cs="宋体"/>
          <w:spacing w:val="-16"/>
          <w:sz w:val="24"/>
          <w:szCs w:val="24"/>
        </w:rPr>
        <w:t>水</w:t>
      </w:r>
      <w:r>
        <w:rPr>
          <w:rFonts w:ascii="宋体" w:hAnsi="宋体" w:eastAsia="宋体" w:cs="宋体"/>
          <w:spacing w:val="-57"/>
          <w:sz w:val="24"/>
          <w:szCs w:val="24"/>
        </w:rPr>
        <w:t xml:space="preserve"> </w:t>
      </w:r>
      <w:r>
        <w:rPr>
          <w:rFonts w:ascii="宋体" w:hAnsi="宋体" w:eastAsia="宋体" w:cs="宋体"/>
          <w:spacing w:val="-16"/>
          <w:sz w:val="24"/>
          <w:szCs w:val="24"/>
        </w:rPr>
        <w:t>下</w:t>
      </w:r>
      <w:r>
        <w:rPr>
          <w:rFonts w:ascii="宋体" w:hAnsi="宋体" w:eastAsia="宋体" w:cs="宋体"/>
          <w:spacing w:val="-65"/>
          <w:sz w:val="24"/>
          <w:szCs w:val="24"/>
        </w:rPr>
        <w:t xml:space="preserve"> </w:t>
      </w:r>
      <w:r>
        <w:rPr>
          <w:rFonts w:ascii="宋体" w:hAnsi="宋体" w:eastAsia="宋体" w:cs="宋体"/>
          <w:spacing w:val="-16"/>
          <w:sz w:val="24"/>
          <w:szCs w:val="24"/>
        </w:rPr>
        <w:t>渗</w:t>
      </w:r>
      <w:r>
        <w:rPr>
          <w:rFonts w:ascii="宋体" w:hAnsi="宋体" w:eastAsia="宋体" w:cs="宋体"/>
          <w:spacing w:val="-56"/>
          <w:sz w:val="24"/>
          <w:szCs w:val="24"/>
        </w:rPr>
        <w:t xml:space="preserve"> </w:t>
      </w:r>
      <w:r>
        <w:rPr>
          <w:rFonts w:ascii="宋体" w:hAnsi="宋体" w:eastAsia="宋体" w:cs="宋体"/>
          <w:spacing w:val="-16"/>
          <w:sz w:val="24"/>
          <w:szCs w:val="24"/>
        </w:rPr>
        <w:t>强</w:t>
      </w:r>
      <w:r>
        <w:rPr>
          <w:rFonts w:ascii="宋体" w:hAnsi="宋体" w:eastAsia="宋体" w:cs="宋体"/>
          <w:spacing w:val="-66"/>
          <w:sz w:val="24"/>
          <w:szCs w:val="24"/>
        </w:rPr>
        <w:t xml:space="preserve"> </w:t>
      </w:r>
      <w:r>
        <w:rPr>
          <w:rFonts w:ascii="宋体" w:hAnsi="宋体" w:eastAsia="宋体" w:cs="宋体"/>
          <w:spacing w:val="-16"/>
          <w:sz w:val="24"/>
          <w:szCs w:val="24"/>
        </w:rPr>
        <w:t>度</w:t>
      </w:r>
      <w:r>
        <w:rPr>
          <w:rFonts w:ascii="宋体" w:hAnsi="宋体" w:eastAsia="宋体" w:cs="宋体"/>
          <w:spacing w:val="-63"/>
          <w:sz w:val="24"/>
          <w:szCs w:val="24"/>
        </w:rPr>
        <w:t xml:space="preserve"> </w:t>
      </w:r>
      <w:r>
        <w:rPr>
          <w:rFonts w:ascii="宋体" w:hAnsi="宋体" w:eastAsia="宋体" w:cs="宋体"/>
          <w:spacing w:val="-16"/>
          <w:sz w:val="24"/>
          <w:szCs w:val="24"/>
        </w:rPr>
        <w:t>为</w:t>
      </w:r>
      <w:r>
        <w:rPr>
          <w:rFonts w:ascii="宋体" w:hAnsi="宋体" w:eastAsia="宋体" w:cs="宋体"/>
          <w:spacing w:val="-44"/>
          <w:sz w:val="24"/>
          <w:szCs w:val="24"/>
        </w:rPr>
        <w:t xml:space="preserve"> </w:t>
      </w:r>
      <w:r>
        <w:rPr>
          <w:rFonts w:ascii="宋体" w:hAnsi="宋体" w:eastAsia="宋体" w:cs="宋体"/>
          <w:spacing w:val="-16"/>
          <w:sz w:val="24"/>
          <w:szCs w:val="24"/>
        </w:rPr>
        <w:t>：</w:t>
      </w:r>
      <w:r>
        <w:rPr>
          <w:rFonts w:ascii="宋体" w:hAnsi="宋体" w:eastAsia="宋体" w:cs="宋体"/>
          <w:sz w:val="24"/>
          <w:szCs w:val="24"/>
        </w:rPr>
        <w:t xml:space="preserve"> </w:t>
      </w:r>
      <w:r>
        <w:rPr>
          <w:rFonts w:ascii="Times New Roman" w:hAnsi="Times New Roman" w:eastAsia="Times New Roman" w:cs="Times New Roman"/>
          <w:spacing w:val="-13"/>
          <w:sz w:val="24"/>
          <w:szCs w:val="24"/>
        </w:rPr>
        <w:t>Q=K</w:t>
      </w:r>
      <w:r>
        <w:rPr>
          <w:rFonts w:ascii="Times New Roman" w:hAnsi="Times New Roman" w:eastAsia="Times New Roman" w:cs="Times New Roman"/>
          <w:spacing w:val="40"/>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I</w:t>
      </w:r>
      <w:r>
        <w:rPr>
          <w:rFonts w:ascii="Times New Roman" w:hAnsi="Times New Roman" w:eastAsia="Times New Roman" w:cs="Times New Roman"/>
          <w:spacing w:val="33"/>
          <w:w w:val="101"/>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S=K</w:t>
      </w:r>
      <w:r>
        <w:rPr>
          <w:rFonts w:ascii="Times New Roman" w:hAnsi="Times New Roman" w:eastAsia="Times New Roman" w:cs="Times New Roman"/>
          <w:spacing w:val="32"/>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H/M</w:t>
      </w:r>
      <w:r>
        <w:rPr>
          <w:rFonts w:ascii="宋体" w:hAnsi="宋体" w:eastAsia="宋体" w:cs="宋体"/>
          <w:spacing w:val="-13"/>
          <w:sz w:val="24"/>
          <w:szCs w:val="24"/>
        </w:rPr>
        <w:t>） ·</w:t>
      </w:r>
      <w:r>
        <w:rPr>
          <w:rFonts w:ascii="Times New Roman" w:hAnsi="Times New Roman" w:eastAsia="Times New Roman" w:cs="Times New Roman"/>
          <w:spacing w:val="-13"/>
          <w:sz w:val="24"/>
          <w:szCs w:val="24"/>
        </w:rPr>
        <w:t>S=0.67</w:t>
      </w:r>
      <w:r>
        <w:rPr>
          <w:rFonts w:ascii="宋体" w:hAnsi="宋体" w:eastAsia="宋体" w:cs="宋体"/>
          <w:spacing w:val="-13"/>
          <w:sz w:val="24"/>
          <w:szCs w:val="24"/>
        </w:rPr>
        <w:t>×</w:t>
      </w:r>
      <w:r>
        <w:rPr>
          <w:rFonts w:ascii="Times New Roman" w:hAnsi="Times New Roman" w:eastAsia="Times New Roman" w:cs="Times New Roman"/>
          <w:spacing w:val="-13"/>
          <w:sz w:val="24"/>
          <w:szCs w:val="24"/>
        </w:rPr>
        <w:t>1.0</w:t>
      </w:r>
      <w:r>
        <w:rPr>
          <w:rFonts w:ascii="宋体" w:hAnsi="宋体" w:eastAsia="宋体" w:cs="宋体"/>
          <w:spacing w:val="-13"/>
          <w:sz w:val="24"/>
          <w:szCs w:val="24"/>
        </w:rPr>
        <w:t>×</w:t>
      </w:r>
      <w:r>
        <w:rPr>
          <w:rFonts w:ascii="Times New Roman" w:hAnsi="Times New Roman" w:eastAsia="Times New Roman" w:cs="Times New Roman"/>
          <w:spacing w:val="-13"/>
          <w:sz w:val="24"/>
          <w:szCs w:val="24"/>
        </w:rPr>
        <w:t>24m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16m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，非正常状况下预测采</w:t>
      </w:r>
      <w:r>
        <w:rPr>
          <w:rFonts w:ascii="宋体" w:hAnsi="宋体" w:eastAsia="宋体" w:cs="宋体"/>
          <w:sz w:val="24"/>
          <w:szCs w:val="24"/>
        </w:rPr>
        <w:t xml:space="preserve"> </w:t>
      </w:r>
      <w:r>
        <w:rPr>
          <w:rFonts w:ascii="宋体" w:hAnsi="宋体" w:eastAsia="宋体" w:cs="宋体"/>
          <w:spacing w:val="8"/>
          <w:sz w:val="24"/>
          <w:szCs w:val="24"/>
        </w:rPr>
        <w:t>用最不利条件进行预测，最终确定砷初始浓度取</w:t>
      </w:r>
      <w:r>
        <w:rPr>
          <w:rFonts w:ascii="宋体" w:hAnsi="宋体" w:eastAsia="宋体" w:cs="宋体"/>
          <w:spacing w:val="-39"/>
          <w:sz w:val="24"/>
          <w:szCs w:val="24"/>
        </w:rPr>
        <w:t xml:space="preserve"> </w:t>
      </w:r>
      <w:r>
        <w:rPr>
          <w:rFonts w:ascii="Times New Roman" w:hAnsi="Times New Roman" w:eastAsia="Times New Roman" w:cs="Times New Roman"/>
          <w:spacing w:val="7"/>
          <w:sz w:val="24"/>
          <w:szCs w:val="24"/>
        </w:rPr>
        <w:t>0.0418</w:t>
      </w:r>
      <w:r>
        <w:rPr>
          <w:rFonts w:ascii="Times New Roman" w:hAnsi="Times New Roman" w:eastAsia="Times New Roman" w:cs="Times New Roman"/>
          <w:sz w:val="24"/>
          <w:szCs w:val="24"/>
        </w:rPr>
        <w:t>mg</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、铅初始浓度取</w:t>
      </w:r>
      <w:r>
        <w:rPr>
          <w:rFonts w:ascii="宋体" w:hAnsi="宋体" w:eastAsia="宋体" w:cs="宋体"/>
          <w:sz w:val="24"/>
          <w:szCs w:val="24"/>
        </w:rPr>
        <w:t xml:space="preserve"> </w:t>
      </w:r>
      <w:r>
        <w:rPr>
          <w:rFonts w:ascii="Times New Roman" w:hAnsi="Times New Roman" w:eastAsia="Times New Roman" w:cs="Times New Roman"/>
          <w:spacing w:val="-1"/>
          <w:sz w:val="24"/>
          <w:szCs w:val="24"/>
        </w:rPr>
        <w:t>0.08mg/L</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。背景值取距离截渗池较近的</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S5 </w:t>
      </w:r>
      <w:r>
        <w:rPr>
          <w:rFonts w:ascii="宋体" w:hAnsi="宋体" w:eastAsia="宋体" w:cs="宋体"/>
          <w:spacing w:val="-1"/>
          <w:sz w:val="24"/>
          <w:szCs w:val="24"/>
        </w:rPr>
        <w:t>井监测结果，砷和铅含量均未检出。</w:t>
      </w:r>
      <w:r>
        <w:rPr>
          <w:rFonts w:ascii="宋体" w:hAnsi="宋体" w:eastAsia="宋体" w:cs="宋体"/>
          <w:sz w:val="24"/>
          <w:szCs w:val="24"/>
        </w:rPr>
        <w:t xml:space="preserve"> </w:t>
      </w:r>
      <w:r>
        <w:rPr>
          <w:rFonts w:ascii="宋体" w:hAnsi="宋体" w:eastAsia="宋体" w:cs="宋体"/>
          <w:spacing w:val="-3"/>
          <w:sz w:val="24"/>
          <w:szCs w:val="24"/>
        </w:rPr>
        <w:t>根据监测频率，假设连续泄露时间为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天。</w:t>
      </w:r>
      <w:r>
        <w:rPr>
          <w:rFonts w:ascii="宋体" w:hAnsi="宋体" w:eastAsia="宋体" w:cs="宋体"/>
          <w:spacing w:val="-4"/>
          <w:sz w:val="24"/>
          <w:szCs w:val="24"/>
        </w:rPr>
        <w:t>根据假设情景，可将项目的污染源</w:t>
      </w:r>
      <w:r>
        <w:rPr>
          <w:rFonts w:ascii="宋体" w:hAnsi="宋体" w:eastAsia="宋体" w:cs="宋体"/>
          <w:sz w:val="24"/>
          <w:szCs w:val="24"/>
        </w:rPr>
        <w:t xml:space="preserve"> </w:t>
      </w:r>
      <w:r>
        <w:rPr>
          <w:rFonts w:ascii="宋体" w:hAnsi="宋体" w:eastAsia="宋体" w:cs="宋体"/>
          <w:spacing w:val="-2"/>
          <w:sz w:val="24"/>
          <w:szCs w:val="24"/>
        </w:rPr>
        <w:t>概化为点状源。</w:t>
      </w:r>
    </w:p>
    <w:p w14:paraId="08720DDD">
      <w:pPr>
        <w:spacing w:before="48" w:line="217" w:lineRule="auto"/>
        <w:ind w:left="643"/>
        <w:rPr>
          <w:rFonts w:ascii="宋体" w:hAnsi="宋体" w:eastAsia="宋体" w:cs="宋体"/>
          <w:sz w:val="24"/>
          <w:szCs w:val="24"/>
        </w:rPr>
      </w:pPr>
      <w:r>
        <w:rPr>
          <w:rFonts w:ascii="宋体" w:hAnsi="宋体" w:eastAsia="宋体" w:cs="宋体"/>
          <w:spacing w:val="-1"/>
          <w:sz w:val="24"/>
          <w:szCs w:val="24"/>
        </w:rPr>
        <w:t>⑤预测及评价结果</w:t>
      </w:r>
    </w:p>
    <w:p w14:paraId="35F0A0D2">
      <w:pPr>
        <w:spacing w:before="185" w:line="219" w:lineRule="auto"/>
        <w:ind w:left="647"/>
        <w:rPr>
          <w:rFonts w:ascii="宋体" w:hAnsi="宋体" w:eastAsia="宋体" w:cs="宋体"/>
          <w:sz w:val="24"/>
          <w:szCs w:val="24"/>
        </w:rPr>
      </w:pPr>
      <w:r>
        <w:rPr>
          <w:rFonts w:ascii="宋体" w:hAnsi="宋体" w:eastAsia="宋体" w:cs="宋体"/>
          <w:spacing w:val="-1"/>
          <w:sz w:val="24"/>
          <w:szCs w:val="24"/>
        </w:rPr>
        <w:t>经过模拟运算，得出如下结果：</w:t>
      </w:r>
    </w:p>
    <w:p w14:paraId="014E1CC4">
      <w:pPr>
        <w:spacing w:before="184" w:line="220" w:lineRule="auto"/>
        <w:ind w:left="65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）污染物铅运移结果</w:t>
      </w:r>
    </w:p>
    <w:p w14:paraId="125A77A1">
      <w:pPr>
        <w:spacing w:before="182" w:line="357" w:lineRule="auto"/>
        <w:ind w:left="168" w:right="104" w:firstLine="476"/>
        <w:rPr>
          <w:rFonts w:ascii="Times New Roman" w:hAnsi="Times New Roman" w:eastAsia="Times New Roman" w:cs="Times New Roman"/>
          <w:sz w:val="24"/>
          <w:szCs w:val="24"/>
        </w:rPr>
      </w:pPr>
      <w:r>
        <w:rPr>
          <w:rFonts w:ascii="宋体" w:hAnsi="宋体" w:eastAsia="宋体" w:cs="宋体"/>
          <w:spacing w:val="-3"/>
          <w:sz w:val="24"/>
          <w:szCs w:val="24"/>
        </w:rPr>
        <w:t>截渗池池底局部防渗膜发生老化、破裂</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200d </w:t>
      </w:r>
      <w:r>
        <w:rPr>
          <w:rFonts w:ascii="宋体" w:hAnsi="宋体" w:eastAsia="宋体" w:cs="宋体"/>
          <w:spacing w:val="-3"/>
          <w:sz w:val="24"/>
          <w:szCs w:val="24"/>
        </w:rPr>
        <w:t>后，铅污染晕面积</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9811.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16m</w:t>
      </w:r>
      <w:r>
        <w:rPr>
          <w:rFonts w:ascii="Times New Roman" w:hAnsi="Times New Roman" w:eastAsia="Times New Roman" w:cs="Times New Roman"/>
          <w:spacing w:val="-3"/>
          <w:position w:val="7"/>
          <w:sz w:val="15"/>
          <w:szCs w:val="15"/>
        </w:rPr>
        <w:t>2</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最大运移距离</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113.05m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，污染晕中心浓度</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0.05mg/L</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1085d </w:t>
      </w:r>
      <w:r>
        <w:rPr>
          <w:rFonts w:ascii="宋体" w:hAnsi="宋体" w:eastAsia="宋体" w:cs="宋体"/>
          <w:spacing w:val="-2"/>
          <w:sz w:val="24"/>
          <w:szCs w:val="24"/>
        </w:rPr>
        <w:t>污</w:t>
      </w:r>
      <w:r>
        <w:rPr>
          <w:rFonts w:ascii="宋体" w:hAnsi="宋体" w:eastAsia="宋体" w:cs="宋体"/>
          <w:spacing w:val="-3"/>
          <w:sz w:val="24"/>
          <w:szCs w:val="24"/>
        </w:rPr>
        <w:t>染晕面积达到最大</w:t>
      </w:r>
      <w:r>
        <w:rPr>
          <w:rFonts w:ascii="宋体" w:hAnsi="宋体" w:eastAsia="宋体" w:cs="宋体"/>
          <w:sz w:val="24"/>
          <w:szCs w:val="24"/>
        </w:rPr>
        <w:t xml:space="preserve"> 为</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37014.47m</w:t>
      </w:r>
      <w:r>
        <w:rPr>
          <w:rFonts w:ascii="Times New Roman" w:hAnsi="Times New Roman" w:eastAsia="Times New Roman" w:cs="Times New Roman"/>
          <w:position w:val="7"/>
          <w:sz w:val="15"/>
          <w:szCs w:val="15"/>
        </w:rPr>
        <w:t xml:space="preserve">2 </w:t>
      </w:r>
      <w:r>
        <w:rPr>
          <w:rFonts w:ascii="宋体" w:hAnsi="宋体" w:eastAsia="宋体" w:cs="宋体"/>
          <w:sz w:val="24"/>
          <w:szCs w:val="24"/>
        </w:rPr>
        <w:t>，最大运移距离为</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441.91m</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，污染晕中心浓度</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0.023mg/L</w:t>
      </w:r>
      <w:r>
        <w:rPr>
          <w:rFonts w:ascii="宋体" w:hAnsi="宋体" w:eastAsia="宋体" w:cs="宋体"/>
          <w:sz w:val="24"/>
          <w:szCs w:val="24"/>
        </w:rPr>
        <w:t>；</w:t>
      </w:r>
      <w:r>
        <w:rPr>
          <w:rFonts w:ascii="Times New Roman" w:hAnsi="Times New Roman" w:eastAsia="Times New Roman" w:cs="Times New Roman"/>
          <w:sz w:val="24"/>
          <w:szCs w:val="24"/>
        </w:rPr>
        <w:t>2170d</w:t>
      </w:r>
    </w:p>
    <w:p w14:paraId="14B9112F">
      <w:pPr>
        <w:spacing w:line="357" w:lineRule="auto"/>
        <w:rPr>
          <w:rFonts w:ascii="Times New Roman" w:hAnsi="Times New Roman" w:eastAsia="Times New Roman" w:cs="Times New Roman"/>
          <w:sz w:val="24"/>
          <w:szCs w:val="24"/>
        </w:rPr>
        <w:sectPr>
          <w:headerReference r:id="rId295" w:type="default"/>
          <w:footerReference r:id="rId296" w:type="default"/>
          <w:pgSz w:w="11906" w:h="16839"/>
          <w:pgMar w:top="1208" w:right="1645" w:bottom="1358" w:left="1644" w:header="825" w:footer="1195" w:gutter="0"/>
          <w:cols w:space="720" w:num="1"/>
        </w:sectPr>
      </w:pPr>
    </w:p>
    <w:p w14:paraId="365A3E3B">
      <w:pPr>
        <w:pStyle w:val="2"/>
        <w:spacing w:line="265" w:lineRule="auto"/>
      </w:pPr>
    </w:p>
    <w:p w14:paraId="72AF02DB">
      <w:pPr>
        <w:spacing w:before="78" w:line="362" w:lineRule="auto"/>
        <w:ind w:left="25" w:right="13"/>
        <w:rPr>
          <w:rFonts w:ascii="宋体" w:hAnsi="宋体" w:eastAsia="宋体" w:cs="宋体"/>
          <w:sz w:val="24"/>
          <w:szCs w:val="24"/>
        </w:rPr>
      </w:pPr>
      <w:r>
        <w:rPr>
          <w:rFonts w:ascii="宋体" w:hAnsi="宋体" w:eastAsia="宋体" w:cs="宋体"/>
          <w:spacing w:val="-3"/>
          <w:sz w:val="24"/>
          <w:szCs w:val="24"/>
        </w:rPr>
        <w:t>后在距离节渗池下游</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697.02m </w:t>
      </w:r>
      <w:r>
        <w:rPr>
          <w:rFonts w:ascii="宋体" w:hAnsi="宋体" w:eastAsia="宋体" w:cs="宋体"/>
          <w:spacing w:val="-3"/>
          <w:sz w:val="24"/>
          <w:szCs w:val="24"/>
        </w:rPr>
        <w:t>处消失，地下水水质得到恢复，污染</w:t>
      </w:r>
      <w:r>
        <w:rPr>
          <w:rFonts w:ascii="宋体" w:hAnsi="宋体" w:eastAsia="宋体" w:cs="宋体"/>
          <w:spacing w:val="-4"/>
          <w:sz w:val="24"/>
          <w:szCs w:val="24"/>
        </w:rPr>
        <w:t>物运移过程中</w:t>
      </w:r>
      <w:r>
        <w:rPr>
          <w:rFonts w:ascii="宋体" w:hAnsi="宋体" w:eastAsia="宋体" w:cs="宋体"/>
          <w:sz w:val="24"/>
          <w:szCs w:val="24"/>
        </w:rPr>
        <w:t xml:space="preserve"> </w:t>
      </w:r>
      <w:r>
        <w:rPr>
          <w:rFonts w:ascii="宋体" w:hAnsi="宋体" w:eastAsia="宋体" w:cs="宋体"/>
          <w:spacing w:val="-3"/>
          <w:sz w:val="24"/>
          <w:szCs w:val="24"/>
        </w:rPr>
        <w:t>污染羽范围内无敏感点（图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8.2-12</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8.2-13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8.2-14</w:t>
      </w:r>
      <w:r>
        <w:rPr>
          <w:rFonts w:ascii="宋体" w:hAnsi="宋体" w:eastAsia="宋体" w:cs="宋体"/>
          <w:spacing w:val="-3"/>
          <w:sz w:val="24"/>
          <w:szCs w:val="24"/>
        </w:rPr>
        <w:t>）。</w:t>
      </w:r>
    </w:p>
    <w:p w14:paraId="02BAD677">
      <w:pPr>
        <w:spacing w:before="151" w:line="5691" w:lineRule="exact"/>
        <w:ind w:firstLine="266"/>
      </w:pPr>
      <w:r>
        <w:rPr>
          <w:position w:val="-113"/>
        </w:rPr>
        <w:drawing>
          <wp:inline distT="0" distB="0" distL="0" distR="0">
            <wp:extent cx="4951095" cy="361315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521"/>
                    <a:stretch>
                      <a:fillRect/>
                    </a:stretch>
                  </pic:blipFill>
                  <pic:spPr>
                    <a:xfrm>
                      <a:off x="0" y="0"/>
                      <a:ext cx="4951475" cy="3613403"/>
                    </a:xfrm>
                    <a:prstGeom prst="rect">
                      <a:avLst/>
                    </a:prstGeom>
                  </pic:spPr>
                </pic:pic>
              </a:graphicData>
            </a:graphic>
          </wp:inline>
        </w:drawing>
      </w:r>
    </w:p>
    <w:p w14:paraId="5C3379C7">
      <w:pPr>
        <w:spacing w:before="236" w:line="220" w:lineRule="auto"/>
        <w:ind w:left="256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8.2-12    </w:t>
      </w:r>
      <w:r>
        <w:rPr>
          <w:rFonts w:ascii="宋体" w:hAnsi="宋体" w:eastAsia="宋体" w:cs="宋体"/>
          <w:spacing w:val="-2"/>
          <w:sz w:val="24"/>
          <w:szCs w:val="24"/>
        </w:rPr>
        <w:t>铅</w:t>
      </w:r>
      <w:r>
        <w:rPr>
          <w:rFonts w:ascii="Times New Roman" w:hAnsi="Times New Roman" w:eastAsia="Times New Roman" w:cs="Times New Roman"/>
          <w:spacing w:val="-2"/>
          <w:sz w:val="24"/>
          <w:szCs w:val="24"/>
        </w:rPr>
        <w:t>200d</w:t>
      </w:r>
      <w:r>
        <w:rPr>
          <w:rFonts w:ascii="宋体" w:hAnsi="宋体" w:eastAsia="宋体" w:cs="宋体"/>
          <w:spacing w:val="-2"/>
          <w:sz w:val="24"/>
          <w:szCs w:val="24"/>
        </w:rPr>
        <w:t>污染晕运移图</w:t>
      </w:r>
    </w:p>
    <w:p w14:paraId="11BD8E4E">
      <w:pPr>
        <w:spacing w:before="123" w:line="5815" w:lineRule="exact"/>
        <w:ind w:firstLine="237"/>
      </w:pPr>
      <w:r>
        <w:rPr>
          <w:position w:val="-116"/>
        </w:rPr>
        <w:drawing>
          <wp:inline distT="0" distB="0" distL="0" distR="0">
            <wp:extent cx="4982845" cy="36925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522"/>
                    <a:stretch>
                      <a:fillRect/>
                    </a:stretch>
                  </pic:blipFill>
                  <pic:spPr>
                    <a:xfrm>
                      <a:off x="0" y="0"/>
                      <a:ext cx="4983479" cy="3692652"/>
                    </a:xfrm>
                    <a:prstGeom prst="rect">
                      <a:avLst/>
                    </a:prstGeom>
                  </pic:spPr>
                </pic:pic>
              </a:graphicData>
            </a:graphic>
          </wp:inline>
        </w:drawing>
      </w:r>
    </w:p>
    <w:p w14:paraId="705A94DD">
      <w:pPr>
        <w:spacing w:before="171" w:line="220" w:lineRule="auto"/>
        <w:ind w:left="250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8.2-14    </w:t>
      </w:r>
      <w:r>
        <w:rPr>
          <w:rFonts w:ascii="宋体" w:hAnsi="宋体" w:eastAsia="宋体" w:cs="宋体"/>
          <w:spacing w:val="-2"/>
          <w:sz w:val="24"/>
          <w:szCs w:val="24"/>
        </w:rPr>
        <w:t>铅</w:t>
      </w:r>
      <w:r>
        <w:rPr>
          <w:rFonts w:ascii="Times New Roman" w:hAnsi="Times New Roman" w:eastAsia="Times New Roman" w:cs="Times New Roman"/>
          <w:spacing w:val="-2"/>
          <w:sz w:val="24"/>
          <w:szCs w:val="24"/>
        </w:rPr>
        <w:t>1085d</w:t>
      </w:r>
      <w:r>
        <w:rPr>
          <w:rFonts w:ascii="宋体" w:hAnsi="宋体" w:eastAsia="宋体" w:cs="宋体"/>
          <w:spacing w:val="-2"/>
          <w:sz w:val="24"/>
          <w:szCs w:val="24"/>
        </w:rPr>
        <w:t>污染晕运移图</w:t>
      </w:r>
    </w:p>
    <w:p w14:paraId="24FB572B">
      <w:pPr>
        <w:spacing w:line="220" w:lineRule="auto"/>
        <w:rPr>
          <w:rFonts w:ascii="宋体" w:hAnsi="宋体" w:eastAsia="宋体" w:cs="宋体"/>
          <w:sz w:val="24"/>
          <w:szCs w:val="24"/>
        </w:rPr>
        <w:sectPr>
          <w:headerReference r:id="rId297" w:type="default"/>
          <w:footerReference r:id="rId298" w:type="default"/>
          <w:pgSz w:w="11906" w:h="16839"/>
          <w:pgMar w:top="1208" w:right="1785" w:bottom="1358" w:left="1785" w:header="825" w:footer="1195" w:gutter="0"/>
          <w:cols w:space="720" w:num="1"/>
        </w:sectPr>
      </w:pPr>
    </w:p>
    <w:p w14:paraId="5351AED6">
      <w:pPr>
        <w:spacing w:before="235" w:line="5919" w:lineRule="exact"/>
        <w:ind w:firstLine="191"/>
      </w:pPr>
      <w:r>
        <w:rPr>
          <w:position w:val="-118"/>
        </w:rPr>
        <w:drawing>
          <wp:inline distT="0" distB="0" distL="0" distR="0">
            <wp:extent cx="5044440" cy="375793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523"/>
                    <a:stretch>
                      <a:fillRect/>
                    </a:stretch>
                  </pic:blipFill>
                  <pic:spPr>
                    <a:xfrm>
                      <a:off x="0" y="0"/>
                      <a:ext cx="5044440" cy="3758184"/>
                    </a:xfrm>
                    <a:prstGeom prst="rect">
                      <a:avLst/>
                    </a:prstGeom>
                  </pic:spPr>
                </pic:pic>
              </a:graphicData>
            </a:graphic>
          </wp:inline>
        </w:drawing>
      </w:r>
    </w:p>
    <w:p w14:paraId="31B6A15D">
      <w:pPr>
        <w:spacing w:before="118" w:line="220" w:lineRule="auto"/>
        <w:ind w:left="250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8.2-15    </w:t>
      </w:r>
      <w:r>
        <w:rPr>
          <w:rFonts w:ascii="宋体" w:hAnsi="宋体" w:eastAsia="宋体" w:cs="宋体"/>
          <w:spacing w:val="-2"/>
          <w:sz w:val="24"/>
          <w:szCs w:val="24"/>
        </w:rPr>
        <w:t>铅</w:t>
      </w:r>
      <w:r>
        <w:rPr>
          <w:rFonts w:ascii="Times New Roman" w:hAnsi="Times New Roman" w:eastAsia="Times New Roman" w:cs="Times New Roman"/>
          <w:spacing w:val="-2"/>
          <w:sz w:val="24"/>
          <w:szCs w:val="24"/>
        </w:rPr>
        <w:t>2170d</w:t>
      </w:r>
      <w:r>
        <w:rPr>
          <w:rFonts w:ascii="宋体" w:hAnsi="宋体" w:eastAsia="宋体" w:cs="宋体"/>
          <w:spacing w:val="-2"/>
          <w:sz w:val="24"/>
          <w:szCs w:val="24"/>
        </w:rPr>
        <w:t>污染晕运移图</w:t>
      </w:r>
    </w:p>
    <w:p w14:paraId="135C5FC4">
      <w:pPr>
        <w:spacing w:before="18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）污染物砷运移结果</w:t>
      </w:r>
    </w:p>
    <w:p w14:paraId="5FCD9475">
      <w:pPr>
        <w:pStyle w:val="2"/>
        <w:spacing w:line="260" w:lineRule="auto"/>
      </w:pPr>
    </w:p>
    <w:p w14:paraId="0082E0DB">
      <w:pPr>
        <w:spacing w:before="78" w:line="358" w:lineRule="auto"/>
        <w:ind w:left="25" w:firstLine="477"/>
        <w:rPr>
          <w:rFonts w:ascii="宋体" w:hAnsi="宋体" w:eastAsia="宋体" w:cs="宋体"/>
          <w:sz w:val="24"/>
          <w:szCs w:val="24"/>
        </w:rPr>
      </w:pPr>
      <w:r>
        <w:rPr>
          <w:rFonts w:ascii="宋体" w:hAnsi="宋体" w:eastAsia="宋体" w:cs="宋体"/>
          <w:spacing w:val="-2"/>
          <w:sz w:val="24"/>
          <w:szCs w:val="24"/>
        </w:rPr>
        <w:t>截渗池池底局部防渗膜发生老化、破裂</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200d </w:t>
      </w:r>
      <w:r>
        <w:rPr>
          <w:rFonts w:ascii="宋体" w:hAnsi="宋体" w:eastAsia="宋体" w:cs="宋体"/>
          <w:spacing w:val="-2"/>
          <w:sz w:val="24"/>
          <w:szCs w:val="24"/>
        </w:rPr>
        <w:t>后，砷污染晕面积</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5858.24</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2</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最大运移距离</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81.37m</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，污染晕中心浓度</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0.02</w:t>
      </w:r>
      <w:r>
        <w:rPr>
          <w:rFonts w:ascii="Times New Roman" w:hAnsi="Times New Roman" w:eastAsia="Times New Roman" w:cs="Times New Roman"/>
          <w:spacing w:val="-2"/>
          <w:sz w:val="24"/>
          <w:szCs w:val="24"/>
        </w:rPr>
        <w:t>3mg/L</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880d </w:t>
      </w:r>
      <w:r>
        <w:rPr>
          <w:rFonts w:ascii="宋体" w:hAnsi="宋体" w:eastAsia="宋体" w:cs="宋体"/>
          <w:spacing w:val="-2"/>
          <w:sz w:val="24"/>
          <w:szCs w:val="24"/>
        </w:rPr>
        <w:t>污染晕面积达到最大</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21546.06m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7"/>
          <w:position w:val="7"/>
          <w:sz w:val="15"/>
          <w:szCs w:val="15"/>
        </w:rPr>
        <w:t xml:space="preserve"> </w:t>
      </w:r>
      <w:r>
        <w:rPr>
          <w:rFonts w:ascii="宋体" w:hAnsi="宋体" w:eastAsia="宋体" w:cs="宋体"/>
          <w:spacing w:val="-2"/>
          <w:sz w:val="24"/>
          <w:szCs w:val="24"/>
        </w:rPr>
        <w:t>，最大运移距离为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363.42m</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，污染晕中心浓度</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0.015mg/L</w:t>
      </w:r>
      <w:r>
        <w:rPr>
          <w:rFonts w:ascii="宋体" w:hAnsi="宋体" w:eastAsia="宋体" w:cs="宋体"/>
          <w:spacing w:val="-2"/>
          <w:sz w:val="24"/>
          <w:szCs w:val="24"/>
        </w:rPr>
        <w:t>；</w:t>
      </w:r>
      <w:r>
        <w:rPr>
          <w:rFonts w:ascii="Times New Roman" w:hAnsi="Times New Roman" w:eastAsia="Times New Roman" w:cs="Times New Roman"/>
          <w:spacing w:val="-2"/>
          <w:sz w:val="24"/>
          <w:szCs w:val="24"/>
        </w:rPr>
        <w:t>1755d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后在距离节渗池下游</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601.07m </w:t>
      </w:r>
      <w:r>
        <w:rPr>
          <w:rFonts w:ascii="宋体" w:hAnsi="宋体" w:eastAsia="宋体" w:cs="宋体"/>
          <w:spacing w:val="-3"/>
          <w:sz w:val="24"/>
          <w:szCs w:val="24"/>
        </w:rPr>
        <w:t>处消失，地下水水质得到恢复，污染</w:t>
      </w:r>
      <w:r>
        <w:rPr>
          <w:rFonts w:ascii="宋体" w:hAnsi="宋体" w:eastAsia="宋体" w:cs="宋体"/>
          <w:spacing w:val="-4"/>
          <w:sz w:val="24"/>
          <w:szCs w:val="24"/>
        </w:rPr>
        <w:t>物运移过程中</w:t>
      </w:r>
      <w:r>
        <w:rPr>
          <w:rFonts w:ascii="宋体" w:hAnsi="宋体" w:eastAsia="宋体" w:cs="宋体"/>
          <w:sz w:val="24"/>
          <w:szCs w:val="24"/>
        </w:rPr>
        <w:t xml:space="preserve"> </w:t>
      </w:r>
      <w:r>
        <w:rPr>
          <w:rFonts w:ascii="宋体" w:hAnsi="宋体" w:eastAsia="宋体" w:cs="宋体"/>
          <w:spacing w:val="-3"/>
          <w:sz w:val="24"/>
          <w:szCs w:val="24"/>
        </w:rPr>
        <w:t>污染羽范围内无敏感点（图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8.2-15</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8.2-16</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8.2-17</w:t>
      </w:r>
      <w:r>
        <w:rPr>
          <w:rFonts w:ascii="宋体" w:hAnsi="宋体" w:eastAsia="宋体" w:cs="宋体"/>
          <w:spacing w:val="-3"/>
          <w:sz w:val="24"/>
          <w:szCs w:val="24"/>
        </w:rPr>
        <w:t>）。</w:t>
      </w:r>
    </w:p>
    <w:p w14:paraId="2EE69BF2">
      <w:pPr>
        <w:spacing w:line="358" w:lineRule="auto"/>
        <w:rPr>
          <w:rFonts w:ascii="宋体" w:hAnsi="宋体" w:eastAsia="宋体" w:cs="宋体"/>
          <w:sz w:val="24"/>
          <w:szCs w:val="24"/>
        </w:rPr>
        <w:sectPr>
          <w:headerReference r:id="rId299" w:type="default"/>
          <w:footerReference r:id="rId300" w:type="default"/>
          <w:pgSz w:w="11906" w:h="16839"/>
          <w:pgMar w:top="1208" w:right="1740" w:bottom="1358" w:left="1785" w:header="825" w:footer="1195" w:gutter="0"/>
          <w:cols w:space="720" w:num="1"/>
        </w:sectPr>
      </w:pPr>
    </w:p>
    <w:p w14:paraId="25D48ADF">
      <w:pPr>
        <w:pStyle w:val="2"/>
        <w:spacing w:line="317" w:lineRule="auto"/>
      </w:pPr>
    </w:p>
    <w:p w14:paraId="077744B3">
      <w:pPr>
        <w:spacing w:line="6060" w:lineRule="exact"/>
        <w:ind w:firstLine="14"/>
      </w:pPr>
      <w:r>
        <w:rPr>
          <w:position w:val="-121"/>
        </w:rPr>
        <w:drawing>
          <wp:inline distT="0" distB="0" distL="0" distR="0">
            <wp:extent cx="5274310" cy="38481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524"/>
                    <a:stretch>
                      <a:fillRect/>
                    </a:stretch>
                  </pic:blipFill>
                  <pic:spPr>
                    <a:xfrm>
                      <a:off x="0" y="0"/>
                      <a:ext cx="5274563" cy="3848100"/>
                    </a:xfrm>
                    <a:prstGeom prst="rect">
                      <a:avLst/>
                    </a:prstGeom>
                  </pic:spPr>
                </pic:pic>
              </a:graphicData>
            </a:graphic>
          </wp:inline>
        </w:drawing>
      </w:r>
    </w:p>
    <w:p w14:paraId="133B4011">
      <w:pPr>
        <w:spacing w:before="205" w:line="220" w:lineRule="auto"/>
        <w:ind w:left="256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8.2-15    </w:t>
      </w:r>
      <w:r>
        <w:rPr>
          <w:rFonts w:ascii="宋体" w:hAnsi="宋体" w:eastAsia="宋体" w:cs="宋体"/>
          <w:spacing w:val="-2"/>
          <w:sz w:val="24"/>
          <w:szCs w:val="24"/>
        </w:rPr>
        <w:t>砷</w:t>
      </w:r>
      <w:r>
        <w:rPr>
          <w:rFonts w:ascii="Times New Roman" w:hAnsi="Times New Roman" w:eastAsia="Times New Roman" w:cs="Times New Roman"/>
          <w:spacing w:val="-2"/>
          <w:sz w:val="24"/>
          <w:szCs w:val="24"/>
        </w:rPr>
        <w:t>200d</w:t>
      </w:r>
      <w:r>
        <w:rPr>
          <w:rFonts w:ascii="宋体" w:hAnsi="宋体" w:eastAsia="宋体" w:cs="宋体"/>
          <w:spacing w:val="-2"/>
          <w:sz w:val="24"/>
          <w:szCs w:val="24"/>
        </w:rPr>
        <w:t>污染晕运移图</w:t>
      </w:r>
    </w:p>
    <w:p w14:paraId="19458F47">
      <w:pPr>
        <w:spacing w:before="123" w:line="6127" w:lineRule="exact"/>
        <w:ind w:firstLine="14"/>
      </w:pPr>
      <w:r>
        <w:rPr>
          <w:position w:val="-122"/>
        </w:rPr>
        <w:drawing>
          <wp:inline distT="0" distB="0" distL="0" distR="0">
            <wp:extent cx="5277485" cy="389064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525"/>
                    <a:stretch>
                      <a:fillRect/>
                    </a:stretch>
                  </pic:blipFill>
                  <pic:spPr>
                    <a:xfrm>
                      <a:off x="0" y="0"/>
                      <a:ext cx="5277611" cy="3890771"/>
                    </a:xfrm>
                    <a:prstGeom prst="rect">
                      <a:avLst/>
                    </a:prstGeom>
                  </pic:spPr>
                </pic:pic>
              </a:graphicData>
            </a:graphic>
          </wp:inline>
        </w:drawing>
      </w:r>
    </w:p>
    <w:p w14:paraId="5405962C">
      <w:pPr>
        <w:spacing w:before="171" w:line="220" w:lineRule="auto"/>
        <w:ind w:left="256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8.2-16    </w:t>
      </w:r>
      <w:r>
        <w:rPr>
          <w:rFonts w:ascii="宋体" w:hAnsi="宋体" w:eastAsia="宋体" w:cs="宋体"/>
          <w:spacing w:val="-2"/>
          <w:sz w:val="24"/>
          <w:szCs w:val="24"/>
        </w:rPr>
        <w:t>砷</w:t>
      </w:r>
      <w:r>
        <w:rPr>
          <w:rFonts w:ascii="Times New Roman" w:hAnsi="Times New Roman" w:eastAsia="Times New Roman" w:cs="Times New Roman"/>
          <w:spacing w:val="-2"/>
          <w:sz w:val="24"/>
          <w:szCs w:val="24"/>
        </w:rPr>
        <w:t>880d</w:t>
      </w:r>
      <w:r>
        <w:rPr>
          <w:rFonts w:ascii="宋体" w:hAnsi="宋体" w:eastAsia="宋体" w:cs="宋体"/>
          <w:spacing w:val="-2"/>
          <w:sz w:val="24"/>
          <w:szCs w:val="24"/>
        </w:rPr>
        <w:t>污染晕运移图</w:t>
      </w:r>
    </w:p>
    <w:p w14:paraId="4045516F">
      <w:pPr>
        <w:spacing w:line="220" w:lineRule="auto"/>
        <w:rPr>
          <w:rFonts w:ascii="宋体" w:hAnsi="宋体" w:eastAsia="宋体" w:cs="宋体"/>
          <w:sz w:val="24"/>
          <w:szCs w:val="24"/>
        </w:rPr>
        <w:sectPr>
          <w:headerReference r:id="rId301" w:type="default"/>
          <w:footerReference r:id="rId302" w:type="default"/>
          <w:pgSz w:w="11906" w:h="16839"/>
          <w:pgMar w:top="1208" w:right="1785" w:bottom="1358" w:left="1785" w:header="825" w:footer="1195" w:gutter="0"/>
          <w:cols w:space="720" w:num="1"/>
        </w:sectPr>
      </w:pPr>
    </w:p>
    <w:p w14:paraId="716D362B">
      <w:pPr>
        <w:pStyle w:val="2"/>
        <w:spacing w:line="267" w:lineRule="auto"/>
      </w:pPr>
    </w:p>
    <w:p w14:paraId="56CA410E">
      <w:pPr>
        <w:spacing w:line="5839" w:lineRule="exact"/>
        <w:ind w:firstLine="251"/>
      </w:pPr>
      <w:r>
        <w:rPr>
          <w:position w:val="-116"/>
        </w:rPr>
        <w:drawing>
          <wp:inline distT="0" distB="0" distL="0" distR="0">
            <wp:extent cx="4963160" cy="370776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526"/>
                    <a:stretch>
                      <a:fillRect/>
                    </a:stretch>
                  </pic:blipFill>
                  <pic:spPr>
                    <a:xfrm>
                      <a:off x="0" y="0"/>
                      <a:ext cx="4963667" cy="3707891"/>
                    </a:xfrm>
                    <a:prstGeom prst="rect">
                      <a:avLst/>
                    </a:prstGeom>
                  </pic:spPr>
                </pic:pic>
              </a:graphicData>
            </a:graphic>
          </wp:inline>
        </w:drawing>
      </w:r>
    </w:p>
    <w:p w14:paraId="4C8DD2E1">
      <w:pPr>
        <w:spacing w:before="164" w:line="220" w:lineRule="auto"/>
        <w:ind w:left="2509"/>
        <w:rPr>
          <w:rFonts w:ascii="宋体" w:hAnsi="宋体" w:eastAsia="宋体" w:cs="宋体"/>
          <w:sz w:val="24"/>
          <w:szCs w:val="24"/>
        </w:rPr>
      </w:pPr>
      <w:r>
        <w:rPr>
          <w:rFonts w:ascii="宋体" w:hAnsi="宋体" w:eastAsia="宋体" w:cs="宋体"/>
          <w:spacing w:val="-2"/>
          <w:sz w:val="24"/>
          <w:szCs w:val="24"/>
        </w:rPr>
        <w:t>图</w:t>
      </w:r>
      <w:r>
        <w:rPr>
          <w:rFonts w:ascii="Times New Roman" w:hAnsi="Times New Roman" w:eastAsia="Times New Roman" w:cs="Times New Roman"/>
          <w:spacing w:val="-2"/>
          <w:sz w:val="24"/>
          <w:szCs w:val="24"/>
        </w:rPr>
        <w:t xml:space="preserve">8.2-17    </w:t>
      </w:r>
      <w:r>
        <w:rPr>
          <w:rFonts w:ascii="宋体" w:hAnsi="宋体" w:eastAsia="宋体" w:cs="宋体"/>
          <w:spacing w:val="-2"/>
          <w:sz w:val="24"/>
          <w:szCs w:val="24"/>
        </w:rPr>
        <w:t>砷</w:t>
      </w:r>
      <w:r>
        <w:rPr>
          <w:rFonts w:ascii="Times New Roman" w:hAnsi="Times New Roman" w:eastAsia="Times New Roman" w:cs="Times New Roman"/>
          <w:spacing w:val="-2"/>
          <w:sz w:val="24"/>
          <w:szCs w:val="24"/>
        </w:rPr>
        <w:t>1755d</w:t>
      </w:r>
      <w:r>
        <w:rPr>
          <w:rFonts w:ascii="宋体" w:hAnsi="宋体" w:eastAsia="宋体" w:cs="宋体"/>
          <w:spacing w:val="-2"/>
          <w:sz w:val="24"/>
          <w:szCs w:val="24"/>
        </w:rPr>
        <w:t>污染晕运移图</w:t>
      </w:r>
    </w:p>
    <w:p w14:paraId="1A4AA420">
      <w:pPr>
        <w:spacing w:before="181" w:line="360" w:lineRule="auto"/>
        <w:ind w:left="23" w:firstLine="480"/>
        <w:jc w:val="both"/>
        <w:rPr>
          <w:rFonts w:ascii="宋体" w:hAnsi="宋体" w:eastAsia="宋体" w:cs="宋体"/>
          <w:sz w:val="24"/>
          <w:szCs w:val="24"/>
        </w:rPr>
      </w:pPr>
      <w:r>
        <w:rPr>
          <w:rFonts w:ascii="宋体" w:hAnsi="宋体" w:eastAsia="宋体" w:cs="宋体"/>
          <w:spacing w:val="-3"/>
          <w:sz w:val="24"/>
          <w:szCs w:val="24"/>
        </w:rPr>
        <w:t>根据上述在事故状况情景下污染物预测结果可知：事故状况情景</w:t>
      </w:r>
      <w:r>
        <w:rPr>
          <w:rFonts w:ascii="宋体" w:hAnsi="宋体" w:eastAsia="宋体" w:cs="宋体"/>
          <w:spacing w:val="-4"/>
          <w:sz w:val="24"/>
          <w:szCs w:val="24"/>
        </w:rPr>
        <w:t>下污染物对</w:t>
      </w:r>
      <w:r>
        <w:rPr>
          <w:rFonts w:ascii="宋体" w:hAnsi="宋体" w:eastAsia="宋体" w:cs="宋体"/>
          <w:sz w:val="24"/>
          <w:szCs w:val="24"/>
        </w:rPr>
        <w:t xml:space="preserve"> </w:t>
      </w:r>
      <w:r>
        <w:rPr>
          <w:rFonts w:ascii="宋体" w:hAnsi="宋体" w:eastAsia="宋体" w:cs="宋体"/>
          <w:spacing w:val="-3"/>
          <w:sz w:val="24"/>
          <w:szCs w:val="24"/>
        </w:rPr>
        <w:t>地下水含水层造成一定的污染，出现了超标现象，但超标范围有限，超标区内无</w:t>
      </w:r>
      <w:r>
        <w:rPr>
          <w:rFonts w:ascii="宋体" w:hAnsi="宋体" w:eastAsia="宋体" w:cs="宋体"/>
          <w:spacing w:val="1"/>
          <w:sz w:val="24"/>
          <w:szCs w:val="24"/>
        </w:rPr>
        <w:t xml:space="preserve"> </w:t>
      </w:r>
      <w:r>
        <w:rPr>
          <w:rFonts w:ascii="宋体" w:hAnsi="宋体" w:eastAsia="宋体" w:cs="宋体"/>
          <w:spacing w:val="-2"/>
          <w:sz w:val="24"/>
          <w:szCs w:val="24"/>
        </w:rPr>
        <w:t>敏感保护区，污染晕距离敏感点</w:t>
      </w:r>
      <w:r>
        <w:rPr>
          <w:rFonts w:ascii="Times New Roman" w:hAnsi="Times New Roman" w:eastAsia="Times New Roman" w:cs="Times New Roman"/>
          <w:spacing w:val="-2"/>
          <w:sz w:val="24"/>
          <w:szCs w:val="24"/>
        </w:rPr>
        <w:t>S3</w:t>
      </w:r>
      <w:r>
        <w:rPr>
          <w:rFonts w:ascii="宋体" w:hAnsi="宋体" w:eastAsia="宋体" w:cs="宋体"/>
          <w:spacing w:val="-2"/>
          <w:sz w:val="24"/>
          <w:szCs w:val="24"/>
        </w:rPr>
        <w:t>号井最近还有</w:t>
      </w:r>
      <w:r>
        <w:rPr>
          <w:rFonts w:ascii="Times New Roman" w:hAnsi="Times New Roman" w:eastAsia="Times New Roman" w:cs="Times New Roman"/>
          <w:spacing w:val="-2"/>
          <w:sz w:val="24"/>
          <w:szCs w:val="24"/>
        </w:rPr>
        <w:t>1358.57m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，不会对其产生影响。</w:t>
      </w:r>
      <w:r>
        <w:rPr>
          <w:rFonts w:ascii="宋体" w:hAnsi="宋体" w:eastAsia="宋体" w:cs="宋体"/>
          <w:sz w:val="24"/>
          <w:szCs w:val="24"/>
        </w:rPr>
        <w:t xml:space="preserve"> </w:t>
      </w:r>
      <w:r>
        <w:rPr>
          <w:rFonts w:ascii="宋体" w:hAnsi="宋体" w:eastAsia="宋体" w:cs="宋体"/>
          <w:spacing w:val="-3"/>
          <w:sz w:val="24"/>
          <w:szCs w:val="24"/>
        </w:rPr>
        <w:t>不会造成地下水环境质量的恶化，也不会影响地下水利用现状。另外，本次模型</w:t>
      </w:r>
      <w:r>
        <w:rPr>
          <w:rFonts w:ascii="宋体" w:hAnsi="宋体" w:eastAsia="宋体" w:cs="宋体"/>
          <w:spacing w:val="1"/>
          <w:sz w:val="24"/>
          <w:szCs w:val="24"/>
        </w:rPr>
        <w:t xml:space="preserve"> </w:t>
      </w:r>
      <w:r>
        <w:rPr>
          <w:rFonts w:ascii="宋体" w:hAnsi="宋体" w:eastAsia="宋体" w:cs="宋体"/>
          <w:spacing w:val="-3"/>
          <w:sz w:val="24"/>
          <w:szCs w:val="24"/>
        </w:rPr>
        <w:t>预测是考虑污染物直接进入地下水，未考虑防渗层和包气带，在实际情况中，由</w:t>
      </w:r>
      <w:r>
        <w:rPr>
          <w:rFonts w:ascii="宋体" w:hAnsi="宋体" w:eastAsia="宋体" w:cs="宋体"/>
          <w:spacing w:val="1"/>
          <w:sz w:val="24"/>
          <w:szCs w:val="24"/>
        </w:rPr>
        <w:t xml:space="preserve"> </w:t>
      </w:r>
      <w:r>
        <w:rPr>
          <w:rFonts w:ascii="宋体" w:hAnsi="宋体" w:eastAsia="宋体" w:cs="宋体"/>
          <w:spacing w:val="-3"/>
          <w:sz w:val="24"/>
          <w:szCs w:val="24"/>
        </w:rPr>
        <w:t>于污染物超标十分有限，在穿过防渗层和包气带过程中可能就被吸附、降解为标</w:t>
      </w:r>
      <w:r>
        <w:rPr>
          <w:rFonts w:ascii="宋体" w:hAnsi="宋体" w:eastAsia="宋体" w:cs="宋体"/>
          <w:spacing w:val="1"/>
          <w:sz w:val="24"/>
          <w:szCs w:val="24"/>
        </w:rPr>
        <w:t xml:space="preserve"> </w:t>
      </w:r>
      <w:r>
        <w:rPr>
          <w:rFonts w:ascii="宋体" w:hAnsi="宋体" w:eastAsia="宋体" w:cs="宋体"/>
          <w:spacing w:val="-1"/>
          <w:sz w:val="24"/>
          <w:szCs w:val="24"/>
        </w:rPr>
        <w:t>准值以下，难以对地下水产生影响。</w:t>
      </w:r>
    </w:p>
    <w:p w14:paraId="3F418B4C">
      <w:pPr>
        <w:spacing w:line="219" w:lineRule="auto"/>
        <w:ind w:left="28"/>
        <w:outlineLvl w:val="2"/>
        <w:rPr>
          <w:rFonts w:ascii="宋体" w:hAnsi="宋体" w:eastAsia="宋体" w:cs="宋体"/>
          <w:sz w:val="24"/>
          <w:szCs w:val="24"/>
        </w:rPr>
      </w:pPr>
      <w:bookmarkStart w:id="129" w:name="bookmark114"/>
      <w:bookmarkEnd w:id="129"/>
      <w:r>
        <w:rPr>
          <w:rFonts w:ascii="Times New Roman" w:hAnsi="Times New Roman" w:eastAsia="Times New Roman" w:cs="Times New Roman"/>
          <w:spacing w:val="-1"/>
          <w:sz w:val="24"/>
          <w:szCs w:val="24"/>
        </w:rPr>
        <w:t xml:space="preserve">8.2.3 </w:t>
      </w:r>
      <w:r>
        <w:rPr>
          <w:rFonts w:ascii="宋体" w:hAnsi="宋体" w:eastAsia="宋体" w:cs="宋体"/>
          <w:spacing w:val="-1"/>
          <w:sz w:val="24"/>
          <w:szCs w:val="24"/>
        </w:rPr>
        <w:t>地下水污染防治及环境监测</w:t>
      </w:r>
    </w:p>
    <w:p w14:paraId="0D0A6880">
      <w:pPr>
        <w:spacing w:before="183" w:line="360" w:lineRule="auto"/>
        <w:ind w:left="23" w:right="19" w:firstLine="480"/>
        <w:jc w:val="both"/>
        <w:rPr>
          <w:rFonts w:ascii="宋体" w:hAnsi="宋体" w:eastAsia="宋体" w:cs="宋体"/>
          <w:sz w:val="24"/>
          <w:szCs w:val="24"/>
        </w:rPr>
      </w:pPr>
      <w:r>
        <w:rPr>
          <w:rFonts w:ascii="宋体" w:hAnsi="宋体" w:eastAsia="宋体" w:cs="宋体"/>
          <w:spacing w:val="-3"/>
          <w:sz w:val="24"/>
          <w:szCs w:val="24"/>
        </w:rPr>
        <w:t>针对项目可能发生的地下水污染情况，地下水防控措施按照“源</w:t>
      </w:r>
      <w:r>
        <w:rPr>
          <w:rFonts w:ascii="宋体" w:hAnsi="宋体" w:eastAsia="宋体" w:cs="宋体"/>
          <w:spacing w:val="-4"/>
          <w:sz w:val="24"/>
          <w:szCs w:val="24"/>
        </w:rPr>
        <w:t>头控制、分</w:t>
      </w:r>
      <w:r>
        <w:rPr>
          <w:rFonts w:ascii="宋体" w:hAnsi="宋体" w:eastAsia="宋体" w:cs="宋体"/>
          <w:sz w:val="24"/>
          <w:szCs w:val="24"/>
        </w:rPr>
        <w:t xml:space="preserve"> </w:t>
      </w:r>
      <w:r>
        <w:rPr>
          <w:rFonts w:ascii="宋体" w:hAnsi="宋体" w:eastAsia="宋体" w:cs="宋体"/>
          <w:spacing w:val="-2"/>
          <w:sz w:val="24"/>
          <w:szCs w:val="24"/>
        </w:rPr>
        <w:t>区防控、污染监控、应急响应</w:t>
      </w:r>
      <w:r>
        <w:rPr>
          <w:rFonts w:ascii="宋体" w:hAnsi="宋体" w:eastAsia="宋体" w:cs="宋体"/>
          <w:spacing w:val="-88"/>
          <w:sz w:val="24"/>
          <w:szCs w:val="24"/>
        </w:rPr>
        <w:t xml:space="preserve"> </w:t>
      </w:r>
      <w:r>
        <w:rPr>
          <w:rFonts w:ascii="宋体" w:hAnsi="宋体" w:eastAsia="宋体" w:cs="宋体"/>
          <w:spacing w:val="-2"/>
          <w:sz w:val="24"/>
          <w:szCs w:val="24"/>
        </w:rPr>
        <w:t>”相结合的原则，从</w:t>
      </w:r>
      <w:r>
        <w:rPr>
          <w:rFonts w:ascii="宋体" w:hAnsi="宋体" w:eastAsia="宋体" w:cs="宋体"/>
          <w:spacing w:val="-3"/>
          <w:sz w:val="24"/>
          <w:szCs w:val="24"/>
        </w:rPr>
        <w:t>污染物的产生、入渗、扩散、</w:t>
      </w:r>
      <w:r>
        <w:rPr>
          <w:rFonts w:ascii="宋体" w:hAnsi="宋体" w:eastAsia="宋体" w:cs="宋体"/>
          <w:sz w:val="24"/>
          <w:szCs w:val="24"/>
        </w:rPr>
        <w:t xml:space="preserve"> </w:t>
      </w:r>
      <w:r>
        <w:rPr>
          <w:rFonts w:ascii="宋体" w:hAnsi="宋体" w:eastAsia="宋体" w:cs="宋体"/>
          <w:spacing w:val="-1"/>
          <w:sz w:val="24"/>
          <w:szCs w:val="24"/>
        </w:rPr>
        <w:t>应急响应全阶段进行控制。拟建项目以主动</w:t>
      </w:r>
      <w:r>
        <w:rPr>
          <w:rFonts w:ascii="宋体" w:hAnsi="宋体" w:eastAsia="宋体" w:cs="宋体"/>
          <w:spacing w:val="-2"/>
          <w:sz w:val="24"/>
          <w:szCs w:val="24"/>
        </w:rPr>
        <w:t>防渗措施为主，被动防渗措施为辅，</w:t>
      </w:r>
      <w:r>
        <w:rPr>
          <w:rFonts w:ascii="宋体" w:hAnsi="宋体" w:eastAsia="宋体" w:cs="宋体"/>
          <w:sz w:val="24"/>
          <w:szCs w:val="24"/>
        </w:rPr>
        <w:t xml:space="preserve"> </w:t>
      </w:r>
      <w:r>
        <w:rPr>
          <w:rFonts w:ascii="宋体" w:hAnsi="宋体" w:eastAsia="宋体" w:cs="宋体"/>
          <w:spacing w:val="-1"/>
          <w:sz w:val="24"/>
          <w:szCs w:val="24"/>
        </w:rPr>
        <w:t>人工防渗措施和自然防渗条件保护相结合，防止地下水受到污染。</w:t>
      </w:r>
    </w:p>
    <w:p w14:paraId="240F49A8">
      <w:pPr>
        <w:spacing w:before="1" w:line="219" w:lineRule="auto"/>
        <w:ind w:left="507"/>
        <w:rPr>
          <w:rFonts w:ascii="宋体" w:hAnsi="宋体" w:eastAsia="宋体" w:cs="宋体"/>
          <w:sz w:val="24"/>
          <w:szCs w:val="24"/>
        </w:rPr>
      </w:pPr>
      <w:r>
        <w:rPr>
          <w:rFonts w:ascii="宋体" w:hAnsi="宋体" w:eastAsia="宋体" w:cs="宋体"/>
          <w:spacing w:val="-2"/>
          <w:sz w:val="24"/>
          <w:szCs w:val="24"/>
        </w:rPr>
        <w:t>一、源头控制措施</w:t>
      </w:r>
    </w:p>
    <w:p w14:paraId="0408987A">
      <w:pPr>
        <w:spacing w:before="183" w:line="360" w:lineRule="auto"/>
        <w:ind w:left="22" w:right="72" w:firstLine="483"/>
        <w:rPr>
          <w:rFonts w:ascii="宋体" w:hAnsi="宋体" w:eastAsia="宋体" w:cs="宋体"/>
          <w:sz w:val="24"/>
          <w:szCs w:val="24"/>
        </w:rPr>
      </w:pPr>
      <w:r>
        <w:rPr>
          <w:rFonts w:ascii="宋体" w:hAnsi="宋体" w:eastAsia="宋体" w:cs="宋体"/>
          <w:spacing w:val="-3"/>
          <w:sz w:val="24"/>
          <w:szCs w:val="24"/>
        </w:rPr>
        <w:t>为防止和降低污染物跑、冒、滴、漏，将污染物泄漏的环</w:t>
      </w:r>
      <w:r>
        <w:rPr>
          <w:rFonts w:ascii="宋体" w:hAnsi="宋体" w:eastAsia="宋体" w:cs="宋体"/>
          <w:spacing w:val="-4"/>
          <w:sz w:val="24"/>
          <w:szCs w:val="24"/>
        </w:rPr>
        <w:t>境风险事故降到最</w:t>
      </w:r>
      <w:r>
        <w:rPr>
          <w:rFonts w:ascii="宋体" w:hAnsi="宋体" w:eastAsia="宋体" w:cs="宋体"/>
          <w:sz w:val="24"/>
          <w:szCs w:val="24"/>
        </w:rPr>
        <w:t xml:space="preserve"> </w:t>
      </w:r>
      <w:r>
        <w:rPr>
          <w:rFonts w:ascii="宋体" w:hAnsi="宋体" w:eastAsia="宋体" w:cs="宋体"/>
          <w:spacing w:val="-1"/>
          <w:sz w:val="24"/>
          <w:szCs w:val="24"/>
        </w:rPr>
        <w:t>低程度，建议从以下几方面着手：</w:t>
      </w:r>
    </w:p>
    <w:p w14:paraId="6A72F0FC">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）主动控制措施</w:t>
      </w:r>
    </w:p>
    <w:p w14:paraId="5AD517D4">
      <w:pPr>
        <w:spacing w:line="220" w:lineRule="auto"/>
        <w:rPr>
          <w:rFonts w:ascii="宋体" w:hAnsi="宋体" w:eastAsia="宋体" w:cs="宋体"/>
          <w:sz w:val="24"/>
          <w:szCs w:val="24"/>
        </w:rPr>
        <w:sectPr>
          <w:headerReference r:id="rId303" w:type="default"/>
          <w:footerReference r:id="rId304" w:type="default"/>
          <w:pgSz w:w="11906" w:h="16839"/>
          <w:pgMar w:top="1208" w:right="1726" w:bottom="1358" w:left="1785" w:header="825" w:footer="1195" w:gutter="0"/>
          <w:cols w:space="720" w:num="1"/>
        </w:sectPr>
      </w:pPr>
    </w:p>
    <w:p w14:paraId="26C2890E">
      <w:pPr>
        <w:pStyle w:val="2"/>
        <w:spacing w:line="265" w:lineRule="auto"/>
      </w:pPr>
    </w:p>
    <w:p w14:paraId="3C41E6C4">
      <w:pPr>
        <w:spacing w:before="78" w:line="360" w:lineRule="auto"/>
        <w:ind w:left="24" w:right="26" w:firstLine="481"/>
        <w:jc w:val="both"/>
        <w:rPr>
          <w:rFonts w:ascii="宋体" w:hAnsi="宋体" w:eastAsia="宋体" w:cs="宋体"/>
          <w:sz w:val="24"/>
          <w:szCs w:val="24"/>
        </w:rPr>
      </w:pPr>
      <w:r>
        <w:rPr>
          <w:rFonts w:ascii="宋体" w:hAnsi="宋体" w:eastAsia="宋体" w:cs="宋体"/>
          <w:spacing w:val="-3"/>
          <w:sz w:val="24"/>
          <w:szCs w:val="24"/>
        </w:rPr>
        <w:t>从生产过程入手，在工艺、管道、设备、给排水等方面尽</w:t>
      </w:r>
      <w:r>
        <w:rPr>
          <w:rFonts w:ascii="宋体" w:hAnsi="宋体" w:eastAsia="宋体" w:cs="宋体"/>
          <w:spacing w:val="-4"/>
          <w:sz w:val="24"/>
          <w:szCs w:val="24"/>
        </w:rPr>
        <w:t>可能地采取泄漏控</w:t>
      </w:r>
      <w:r>
        <w:rPr>
          <w:rFonts w:ascii="宋体" w:hAnsi="宋体" w:eastAsia="宋体" w:cs="宋体"/>
          <w:sz w:val="24"/>
          <w:szCs w:val="24"/>
        </w:rPr>
        <w:t xml:space="preserve"> </w:t>
      </w:r>
      <w:r>
        <w:rPr>
          <w:rFonts w:ascii="宋体" w:hAnsi="宋体" w:eastAsia="宋体" w:cs="宋体"/>
          <w:spacing w:val="-3"/>
          <w:sz w:val="24"/>
          <w:szCs w:val="24"/>
        </w:rPr>
        <w:t>制措施，以防止和降低污染物的跑、冒、滴、漏，将污染物泄漏的环境风险事故</w:t>
      </w:r>
      <w:r>
        <w:rPr>
          <w:rFonts w:ascii="宋体" w:hAnsi="宋体" w:eastAsia="宋体" w:cs="宋体"/>
          <w:sz w:val="24"/>
          <w:szCs w:val="24"/>
        </w:rPr>
        <w:t xml:space="preserve"> </w:t>
      </w:r>
      <w:r>
        <w:rPr>
          <w:rFonts w:ascii="宋体" w:hAnsi="宋体" w:eastAsia="宋体" w:cs="宋体"/>
          <w:spacing w:val="-2"/>
          <w:sz w:val="24"/>
          <w:szCs w:val="24"/>
        </w:rPr>
        <w:t>降到最低程度，一旦出现泄露等事故，即可由区域内的各种配套措施进行收集、</w:t>
      </w:r>
      <w:r>
        <w:rPr>
          <w:rFonts w:ascii="宋体" w:hAnsi="宋体" w:eastAsia="宋体" w:cs="宋体"/>
          <w:spacing w:val="18"/>
          <w:sz w:val="24"/>
          <w:szCs w:val="24"/>
        </w:rPr>
        <w:t xml:space="preserve"> </w:t>
      </w:r>
      <w:r>
        <w:rPr>
          <w:rFonts w:ascii="宋体" w:hAnsi="宋体" w:eastAsia="宋体" w:cs="宋体"/>
          <w:spacing w:val="-1"/>
          <w:sz w:val="24"/>
          <w:szCs w:val="24"/>
        </w:rPr>
        <w:t>处置，同时经过防渗处理的地面能有效阻止污染物的下渗。</w:t>
      </w:r>
    </w:p>
    <w:p w14:paraId="1643F7D5">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）被动防渗措施</w:t>
      </w:r>
    </w:p>
    <w:p w14:paraId="3D575DC6">
      <w:pPr>
        <w:spacing w:before="182" w:line="360" w:lineRule="auto"/>
        <w:ind w:left="27" w:right="80" w:firstLine="476"/>
        <w:rPr>
          <w:rFonts w:ascii="宋体" w:hAnsi="宋体" w:eastAsia="宋体" w:cs="宋体"/>
          <w:sz w:val="24"/>
          <w:szCs w:val="24"/>
        </w:rPr>
      </w:pPr>
      <w:r>
        <w:rPr>
          <w:rFonts w:ascii="宋体" w:hAnsi="宋体" w:eastAsia="宋体" w:cs="宋体"/>
          <w:spacing w:val="-3"/>
          <w:sz w:val="24"/>
          <w:szCs w:val="24"/>
        </w:rPr>
        <w:t>被动防渗措施即末端控制措施，在污染区地面进行防渗处理，防</w:t>
      </w:r>
      <w:r>
        <w:rPr>
          <w:rFonts w:ascii="宋体" w:hAnsi="宋体" w:eastAsia="宋体" w:cs="宋体"/>
          <w:spacing w:val="-4"/>
          <w:sz w:val="24"/>
          <w:szCs w:val="24"/>
        </w:rPr>
        <w:t>止泄漏的污</w:t>
      </w:r>
      <w:r>
        <w:rPr>
          <w:rFonts w:ascii="宋体" w:hAnsi="宋体" w:eastAsia="宋体" w:cs="宋体"/>
          <w:sz w:val="24"/>
          <w:szCs w:val="24"/>
        </w:rPr>
        <w:t xml:space="preserve"> </w:t>
      </w:r>
      <w:r>
        <w:rPr>
          <w:rFonts w:ascii="宋体" w:hAnsi="宋体" w:eastAsia="宋体" w:cs="宋体"/>
          <w:spacing w:val="2"/>
          <w:sz w:val="24"/>
          <w:szCs w:val="24"/>
        </w:rPr>
        <w:t>染物渗入地下。根据《环境影响评价地下水导则》（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 xml:space="preserve"> 610-2016</w:t>
      </w:r>
      <w:r>
        <w:rPr>
          <w:rFonts w:ascii="宋体" w:hAnsi="宋体" w:eastAsia="宋体" w:cs="宋体"/>
          <w:spacing w:val="2"/>
          <w:sz w:val="24"/>
          <w:szCs w:val="24"/>
        </w:rPr>
        <w:t>）中有关防渗</w:t>
      </w:r>
      <w:r>
        <w:rPr>
          <w:rFonts w:ascii="宋体" w:hAnsi="宋体" w:eastAsia="宋体" w:cs="宋体"/>
          <w:spacing w:val="9"/>
          <w:sz w:val="24"/>
          <w:szCs w:val="24"/>
        </w:rPr>
        <w:t xml:space="preserve"> </w:t>
      </w:r>
      <w:r>
        <w:rPr>
          <w:rFonts w:ascii="宋体" w:hAnsi="宋体" w:eastAsia="宋体" w:cs="宋体"/>
          <w:spacing w:val="-3"/>
          <w:sz w:val="24"/>
          <w:szCs w:val="24"/>
        </w:rPr>
        <w:t>的要求，结合建设项目在正常、非正常状态下对地下水环境影响预测分析</w:t>
      </w:r>
      <w:r>
        <w:rPr>
          <w:rFonts w:ascii="宋体" w:hAnsi="宋体" w:eastAsia="宋体" w:cs="宋体"/>
          <w:spacing w:val="-4"/>
          <w:sz w:val="24"/>
          <w:szCs w:val="24"/>
        </w:rPr>
        <w:t>及评价</w:t>
      </w:r>
      <w:r>
        <w:rPr>
          <w:rFonts w:ascii="宋体" w:hAnsi="宋体" w:eastAsia="宋体" w:cs="宋体"/>
          <w:sz w:val="24"/>
          <w:szCs w:val="24"/>
        </w:rPr>
        <w:t xml:space="preserve"> </w:t>
      </w:r>
      <w:r>
        <w:rPr>
          <w:rFonts w:ascii="宋体" w:hAnsi="宋体" w:eastAsia="宋体" w:cs="宋体"/>
          <w:spacing w:val="-1"/>
          <w:sz w:val="24"/>
          <w:szCs w:val="24"/>
        </w:rPr>
        <w:t>结果，对项目场地区进行防渗处理。</w:t>
      </w:r>
    </w:p>
    <w:p w14:paraId="44560CFB">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）应急响应措施</w:t>
      </w:r>
    </w:p>
    <w:p w14:paraId="50353205">
      <w:pPr>
        <w:spacing w:before="181" w:line="360" w:lineRule="auto"/>
        <w:ind w:left="27" w:right="80" w:firstLine="480"/>
        <w:rPr>
          <w:rFonts w:ascii="宋体" w:hAnsi="宋体" w:eastAsia="宋体" w:cs="宋体"/>
          <w:sz w:val="24"/>
          <w:szCs w:val="24"/>
        </w:rPr>
      </w:pPr>
      <w:r>
        <w:rPr>
          <w:rFonts w:ascii="宋体" w:hAnsi="宋体" w:eastAsia="宋体" w:cs="宋体"/>
          <w:spacing w:val="-3"/>
          <w:sz w:val="24"/>
          <w:szCs w:val="24"/>
        </w:rPr>
        <w:t>一旦发现地下水污染事故，立即启动应急预案、采取应</w:t>
      </w:r>
      <w:r>
        <w:rPr>
          <w:rFonts w:ascii="宋体" w:hAnsi="宋体" w:eastAsia="宋体" w:cs="宋体"/>
          <w:spacing w:val="-4"/>
          <w:sz w:val="24"/>
          <w:szCs w:val="24"/>
        </w:rPr>
        <w:t>急措施控制地下水污</w:t>
      </w:r>
      <w:r>
        <w:rPr>
          <w:rFonts w:ascii="宋体" w:hAnsi="宋体" w:eastAsia="宋体" w:cs="宋体"/>
          <w:sz w:val="24"/>
          <w:szCs w:val="24"/>
        </w:rPr>
        <w:t xml:space="preserve"> </w:t>
      </w:r>
      <w:r>
        <w:rPr>
          <w:rFonts w:ascii="宋体" w:hAnsi="宋体" w:eastAsia="宋体" w:cs="宋体"/>
          <w:spacing w:val="-2"/>
          <w:sz w:val="24"/>
          <w:szCs w:val="24"/>
        </w:rPr>
        <w:t>染，并使污染得到治理。</w:t>
      </w:r>
    </w:p>
    <w:p w14:paraId="6C71AB06">
      <w:pPr>
        <w:spacing w:line="220" w:lineRule="auto"/>
        <w:ind w:left="507"/>
        <w:rPr>
          <w:rFonts w:ascii="宋体" w:hAnsi="宋体" w:eastAsia="宋体" w:cs="宋体"/>
          <w:sz w:val="24"/>
          <w:szCs w:val="24"/>
        </w:rPr>
      </w:pPr>
      <w:r>
        <w:rPr>
          <w:rFonts w:ascii="宋体" w:hAnsi="宋体" w:eastAsia="宋体" w:cs="宋体"/>
          <w:spacing w:val="-2"/>
          <w:sz w:val="24"/>
          <w:szCs w:val="24"/>
        </w:rPr>
        <w:t>二、分区防控措施</w:t>
      </w:r>
    </w:p>
    <w:p w14:paraId="1525F7E5">
      <w:pPr>
        <w:spacing w:before="182" w:line="360" w:lineRule="auto"/>
        <w:ind w:left="21" w:right="45" w:firstLine="481"/>
        <w:jc w:val="both"/>
        <w:rPr>
          <w:rFonts w:ascii="宋体" w:hAnsi="宋体" w:eastAsia="宋体" w:cs="宋体"/>
          <w:sz w:val="24"/>
          <w:szCs w:val="24"/>
        </w:rPr>
      </w:pPr>
      <w:r>
        <w:rPr>
          <w:rFonts w:ascii="宋体" w:hAnsi="宋体" w:eastAsia="宋体" w:cs="宋体"/>
          <w:spacing w:val="-2"/>
          <w:sz w:val="24"/>
          <w:szCs w:val="24"/>
        </w:rPr>
        <w:t>根据污染物控制难易程度、天然包气带防污性能分级、污染物类型等</w:t>
      </w:r>
      <w:r>
        <w:rPr>
          <w:rFonts w:ascii="宋体" w:hAnsi="宋体" w:eastAsia="宋体" w:cs="宋体"/>
          <w:spacing w:val="-3"/>
          <w:sz w:val="24"/>
          <w:szCs w:val="24"/>
        </w:rPr>
        <w:t>因素，</w:t>
      </w:r>
      <w:r>
        <w:rPr>
          <w:rFonts w:ascii="宋体" w:hAnsi="宋体" w:eastAsia="宋体" w:cs="宋体"/>
          <w:sz w:val="24"/>
          <w:szCs w:val="24"/>
        </w:rPr>
        <w:t xml:space="preserve"> </w:t>
      </w:r>
      <w:r>
        <w:rPr>
          <w:rFonts w:ascii="宋体" w:hAnsi="宋体" w:eastAsia="宋体" w:cs="宋体"/>
          <w:spacing w:val="4"/>
          <w:sz w:val="24"/>
          <w:szCs w:val="24"/>
        </w:rPr>
        <w:t>将项目区内水处理间和深度处理回用水池等区域作为重点污染防治区进行污染</w:t>
      </w:r>
      <w:r>
        <w:rPr>
          <w:rFonts w:ascii="宋体" w:hAnsi="宋体" w:eastAsia="宋体" w:cs="宋体"/>
          <w:spacing w:val="1"/>
          <w:sz w:val="24"/>
          <w:szCs w:val="24"/>
        </w:rPr>
        <w:t xml:space="preserve"> </w:t>
      </w:r>
      <w:r>
        <w:rPr>
          <w:rFonts w:ascii="宋体" w:hAnsi="宋体" w:eastAsia="宋体" w:cs="宋体"/>
          <w:spacing w:val="-3"/>
          <w:sz w:val="24"/>
          <w:szCs w:val="24"/>
        </w:rPr>
        <w:t>防治，将中间堆场、选厂综合仓库、选厂机电修间、磨矿车间、浮选车间、脱水</w:t>
      </w:r>
      <w:r>
        <w:rPr>
          <w:rFonts w:ascii="宋体" w:hAnsi="宋体" w:eastAsia="宋体" w:cs="宋体"/>
          <w:spacing w:val="2"/>
          <w:sz w:val="24"/>
          <w:szCs w:val="24"/>
        </w:rPr>
        <w:t xml:space="preserve"> </w:t>
      </w:r>
      <w:r>
        <w:rPr>
          <w:rFonts w:ascii="宋体" w:hAnsi="宋体" w:eastAsia="宋体" w:cs="宋体"/>
          <w:spacing w:val="-2"/>
          <w:sz w:val="24"/>
          <w:szCs w:val="24"/>
        </w:rPr>
        <w:t>车间、精矿车间、直接回用水池、消防水池、</w:t>
      </w:r>
      <w:r>
        <w:rPr>
          <w:rFonts w:ascii="宋体" w:hAnsi="宋体" w:eastAsia="宋体" w:cs="宋体"/>
          <w:spacing w:val="-3"/>
          <w:sz w:val="24"/>
          <w:szCs w:val="24"/>
        </w:rPr>
        <w:t>粗碎车间、原矿仓、1</w:t>
      </w:r>
      <w:r>
        <w:rPr>
          <w:rFonts w:ascii="宋体" w:hAnsi="宋体" w:eastAsia="宋体" w:cs="宋体"/>
          <w:spacing w:val="-45"/>
          <w:sz w:val="24"/>
          <w:szCs w:val="24"/>
        </w:rPr>
        <w:t xml:space="preserve"> </w:t>
      </w:r>
      <w:r>
        <w:rPr>
          <w:rFonts w:ascii="宋体" w:hAnsi="宋体" w:eastAsia="宋体" w:cs="宋体"/>
          <w:spacing w:val="-3"/>
          <w:sz w:val="24"/>
          <w:szCs w:val="24"/>
        </w:rPr>
        <w:t>号和</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5"/>
          <w:sz w:val="24"/>
          <w:szCs w:val="24"/>
        </w:rPr>
        <w:t xml:space="preserve"> </w:t>
      </w:r>
      <w:r>
        <w:rPr>
          <w:rFonts w:ascii="宋体" w:hAnsi="宋体" w:eastAsia="宋体" w:cs="宋体"/>
          <w:spacing w:val="-3"/>
          <w:sz w:val="24"/>
          <w:szCs w:val="24"/>
        </w:rPr>
        <w:t>号转</w:t>
      </w:r>
      <w:r>
        <w:rPr>
          <w:rFonts w:ascii="宋体" w:hAnsi="宋体" w:eastAsia="宋体" w:cs="宋体"/>
          <w:sz w:val="24"/>
          <w:szCs w:val="24"/>
        </w:rPr>
        <w:t xml:space="preserve"> 运站等区域作为一般防渗区进行污染防治，其他</w:t>
      </w:r>
      <w:r>
        <w:rPr>
          <w:rFonts w:ascii="宋体" w:hAnsi="宋体" w:eastAsia="宋体" w:cs="宋体"/>
          <w:spacing w:val="-1"/>
          <w:sz w:val="24"/>
          <w:szCs w:val="24"/>
        </w:rPr>
        <w:t>区域为简单防渗区。</w:t>
      </w:r>
    </w:p>
    <w:p w14:paraId="4E55E189">
      <w:pPr>
        <w:spacing w:before="8" w:line="359" w:lineRule="auto"/>
        <w:ind w:left="21" w:firstLine="482"/>
        <w:jc w:val="both"/>
        <w:rPr>
          <w:rFonts w:ascii="宋体" w:hAnsi="宋体" w:eastAsia="宋体" w:cs="宋体"/>
          <w:sz w:val="24"/>
          <w:szCs w:val="24"/>
        </w:rPr>
      </w:pPr>
      <w:r>
        <w:rPr>
          <w:rFonts w:ascii="宋体" w:hAnsi="宋体" w:eastAsia="宋体" w:cs="宋体"/>
          <w:sz w:val="24"/>
          <w:szCs w:val="24"/>
        </w:rPr>
        <w:t>重点防渗区：建议采用天然黏土+土工膜+抗渗钢筋混凝土+防腐涂层的复合</w:t>
      </w:r>
      <w:r>
        <w:rPr>
          <w:rFonts w:ascii="宋体" w:hAnsi="宋体" w:eastAsia="宋体" w:cs="宋体"/>
          <w:spacing w:val="15"/>
          <w:sz w:val="24"/>
          <w:szCs w:val="24"/>
        </w:rPr>
        <w:t xml:space="preserve"> </w:t>
      </w:r>
      <w:r>
        <w:rPr>
          <w:rFonts w:ascii="宋体" w:hAnsi="宋体" w:eastAsia="宋体" w:cs="宋体"/>
          <w:spacing w:val="10"/>
          <w:sz w:val="24"/>
          <w:szCs w:val="24"/>
        </w:rPr>
        <w:t>防渗结构，重点污染防治区抗渗混凝土的抗渗等级不宜＜P10，其厚度不</w:t>
      </w:r>
      <w:r>
        <w:rPr>
          <w:rFonts w:ascii="宋体" w:hAnsi="宋体" w:eastAsia="宋体" w:cs="宋体"/>
          <w:spacing w:val="9"/>
          <w:sz w:val="24"/>
          <w:szCs w:val="24"/>
        </w:rPr>
        <w:t>宜&lt;</w:t>
      </w:r>
      <w:r>
        <w:rPr>
          <w:rFonts w:ascii="宋体" w:hAnsi="宋体" w:eastAsia="宋体" w:cs="宋体"/>
          <w:sz w:val="24"/>
          <w:szCs w:val="24"/>
        </w:rPr>
        <w:t xml:space="preserve">  150mm；HDPE</w:t>
      </w:r>
      <w:r>
        <w:rPr>
          <w:rFonts w:ascii="宋体" w:hAnsi="宋体" w:eastAsia="宋体" w:cs="宋体"/>
          <w:spacing w:val="-51"/>
          <w:sz w:val="24"/>
          <w:szCs w:val="24"/>
        </w:rPr>
        <w:t xml:space="preserve"> </w:t>
      </w:r>
      <w:r>
        <w:rPr>
          <w:rFonts w:ascii="宋体" w:hAnsi="宋体" w:eastAsia="宋体" w:cs="宋体"/>
          <w:sz w:val="24"/>
          <w:szCs w:val="24"/>
        </w:rPr>
        <w:t>膜层厚度不宜＜1.5mm，HDPE 膜宜在地面以下不小于</w:t>
      </w:r>
      <w:r>
        <w:rPr>
          <w:rFonts w:ascii="宋体" w:hAnsi="宋体" w:eastAsia="宋体" w:cs="宋体"/>
          <w:spacing w:val="-44"/>
          <w:sz w:val="24"/>
          <w:szCs w:val="24"/>
        </w:rPr>
        <w:t xml:space="preserve"> </w:t>
      </w:r>
      <w:r>
        <w:rPr>
          <w:rFonts w:ascii="宋体" w:hAnsi="宋体" w:eastAsia="宋体" w:cs="宋体"/>
          <w:spacing w:val="-1"/>
          <w:sz w:val="24"/>
          <w:szCs w:val="24"/>
        </w:rPr>
        <w:t>300mm。防渗</w:t>
      </w:r>
      <w:r>
        <w:rPr>
          <w:rFonts w:ascii="宋体" w:hAnsi="宋体" w:eastAsia="宋体" w:cs="宋体"/>
          <w:sz w:val="24"/>
          <w:szCs w:val="24"/>
        </w:rPr>
        <w:t xml:space="preserve"> </w:t>
      </w:r>
      <w:r>
        <w:rPr>
          <w:rFonts w:ascii="宋体" w:hAnsi="宋体" w:eastAsia="宋体" w:cs="宋体"/>
          <w:spacing w:val="-1"/>
          <w:sz w:val="24"/>
          <w:szCs w:val="24"/>
        </w:rPr>
        <w:t>钢筋混凝土水池所有缝应设置止水带，止水带宜选用塑料止水带和橡胶止水带，</w:t>
      </w:r>
      <w:r>
        <w:rPr>
          <w:rFonts w:ascii="宋体" w:hAnsi="宋体" w:eastAsia="宋体" w:cs="宋体"/>
          <w:spacing w:val="13"/>
          <w:sz w:val="24"/>
          <w:szCs w:val="24"/>
        </w:rPr>
        <w:t xml:space="preserve"> </w:t>
      </w:r>
      <w:r>
        <w:rPr>
          <w:rFonts w:ascii="宋体" w:hAnsi="宋体" w:eastAsia="宋体" w:cs="宋体"/>
          <w:sz w:val="24"/>
          <w:szCs w:val="24"/>
        </w:rPr>
        <w:t>厚度不宜＜3mm。缝内应填置填缝板和嵌缝密封料，接缝处等细部构造应采取防</w:t>
      </w:r>
      <w:r>
        <w:rPr>
          <w:rFonts w:ascii="宋体" w:hAnsi="宋体" w:eastAsia="宋体" w:cs="宋体"/>
          <w:spacing w:val="17"/>
          <w:sz w:val="24"/>
          <w:szCs w:val="24"/>
        </w:rPr>
        <w:t xml:space="preserve"> </w:t>
      </w:r>
      <w:r>
        <w:rPr>
          <w:rFonts w:ascii="宋体" w:hAnsi="宋体" w:eastAsia="宋体" w:cs="宋体"/>
          <w:spacing w:val="-5"/>
          <w:sz w:val="24"/>
          <w:szCs w:val="24"/>
        </w:rPr>
        <w:t>渗处理。防渗效果不低于6.0m</w:t>
      </w:r>
      <w:r>
        <w:rPr>
          <w:rFonts w:ascii="宋体" w:hAnsi="宋体" w:eastAsia="宋体" w:cs="宋体"/>
          <w:spacing w:val="-58"/>
          <w:sz w:val="24"/>
          <w:szCs w:val="24"/>
        </w:rPr>
        <w:t xml:space="preserve"> </w:t>
      </w:r>
      <w:r>
        <w:rPr>
          <w:rFonts w:ascii="宋体" w:hAnsi="宋体" w:eastAsia="宋体" w:cs="宋体"/>
          <w:spacing w:val="-5"/>
          <w:sz w:val="24"/>
          <w:szCs w:val="24"/>
        </w:rPr>
        <w:t>厚渗透系数为</w:t>
      </w:r>
      <w:r>
        <w:rPr>
          <w:rFonts w:ascii="宋体" w:hAnsi="宋体" w:eastAsia="宋体" w:cs="宋体"/>
          <w:spacing w:val="-57"/>
          <w:sz w:val="24"/>
          <w:szCs w:val="24"/>
        </w:rPr>
        <w:t xml:space="preserve"> </w:t>
      </w:r>
      <w:r>
        <w:rPr>
          <w:rFonts w:ascii="宋体" w:hAnsi="宋体" w:eastAsia="宋体" w:cs="宋体"/>
          <w:spacing w:val="-5"/>
          <w:sz w:val="24"/>
          <w:szCs w:val="24"/>
        </w:rPr>
        <w:t>1.0×10</w:t>
      </w:r>
      <w:r>
        <w:rPr>
          <w:rFonts w:ascii="宋体" w:hAnsi="宋体" w:eastAsia="宋体" w:cs="宋体"/>
          <w:spacing w:val="-5"/>
          <w:position w:val="11"/>
          <w:sz w:val="12"/>
          <w:szCs w:val="12"/>
        </w:rPr>
        <w:t>-7</w:t>
      </w:r>
      <w:r>
        <w:rPr>
          <w:rFonts w:ascii="宋体" w:hAnsi="宋体" w:eastAsia="宋体" w:cs="宋体"/>
          <w:spacing w:val="-5"/>
          <w:sz w:val="24"/>
          <w:szCs w:val="24"/>
        </w:rPr>
        <w:t>cm/s</w:t>
      </w:r>
      <w:r>
        <w:rPr>
          <w:rFonts w:ascii="宋体" w:hAnsi="宋体" w:eastAsia="宋体" w:cs="宋体"/>
          <w:spacing w:val="-52"/>
          <w:sz w:val="24"/>
          <w:szCs w:val="24"/>
        </w:rPr>
        <w:t xml:space="preserve"> </w:t>
      </w:r>
      <w:r>
        <w:rPr>
          <w:rFonts w:ascii="宋体" w:hAnsi="宋体" w:eastAsia="宋体" w:cs="宋体"/>
          <w:spacing w:val="-5"/>
          <w:sz w:val="24"/>
          <w:szCs w:val="24"/>
        </w:rPr>
        <w:t>的粘土层的防渗性能。</w:t>
      </w:r>
    </w:p>
    <w:p w14:paraId="6B69C8F3">
      <w:pPr>
        <w:spacing w:line="360" w:lineRule="auto"/>
        <w:ind w:left="24" w:right="80" w:firstLine="482"/>
        <w:jc w:val="both"/>
        <w:rPr>
          <w:rFonts w:ascii="宋体" w:hAnsi="宋体" w:eastAsia="宋体" w:cs="宋体"/>
          <w:sz w:val="24"/>
          <w:szCs w:val="24"/>
        </w:rPr>
      </w:pPr>
      <w:r>
        <w:rPr>
          <w:rFonts w:ascii="宋体" w:hAnsi="宋体" w:eastAsia="宋体" w:cs="宋体"/>
          <w:spacing w:val="-3"/>
          <w:sz w:val="24"/>
          <w:szCs w:val="24"/>
        </w:rPr>
        <w:t>一般防渗区防渗措施为：通过在抗渗混凝土面层中掺水</w:t>
      </w:r>
      <w:r>
        <w:rPr>
          <w:rFonts w:ascii="宋体" w:hAnsi="宋体" w:eastAsia="宋体" w:cs="宋体"/>
          <w:spacing w:val="-4"/>
          <w:sz w:val="24"/>
          <w:szCs w:val="24"/>
        </w:rPr>
        <w:t>泥及渗透结晶型防水</w:t>
      </w:r>
      <w:r>
        <w:rPr>
          <w:rFonts w:ascii="宋体" w:hAnsi="宋体" w:eastAsia="宋体" w:cs="宋体"/>
          <w:sz w:val="24"/>
          <w:szCs w:val="24"/>
        </w:rPr>
        <w:t xml:space="preserve"> </w:t>
      </w:r>
      <w:r>
        <w:rPr>
          <w:rFonts w:ascii="宋体" w:hAnsi="宋体" w:eastAsia="宋体" w:cs="宋体"/>
          <w:spacing w:val="-3"/>
          <w:sz w:val="24"/>
          <w:szCs w:val="24"/>
        </w:rPr>
        <w:t>剂，其下铺砌砂石基层，原土夯实达到防渗的目的。抗渗混凝土的抗渗等级不宜</w:t>
      </w:r>
      <w:r>
        <w:rPr>
          <w:rFonts w:ascii="宋体" w:hAnsi="宋体" w:eastAsia="宋体" w:cs="宋体"/>
          <w:sz w:val="24"/>
          <w:szCs w:val="24"/>
        </w:rPr>
        <w:t xml:space="preserve"> </w:t>
      </w:r>
      <w:r>
        <w:rPr>
          <w:rFonts w:ascii="宋体" w:hAnsi="宋体" w:eastAsia="宋体" w:cs="宋体"/>
          <w:spacing w:val="3"/>
          <w:sz w:val="24"/>
          <w:szCs w:val="24"/>
        </w:rPr>
        <w:t>小于</w:t>
      </w:r>
      <w:r>
        <w:rPr>
          <w:rFonts w:ascii="宋体" w:hAnsi="宋体" w:eastAsia="宋体" w:cs="宋体"/>
          <w:spacing w:val="-42"/>
          <w:sz w:val="24"/>
          <w:szCs w:val="24"/>
        </w:rPr>
        <w:t xml:space="preserve"> </w:t>
      </w:r>
      <w:r>
        <w:rPr>
          <w:rFonts w:ascii="宋体" w:hAnsi="宋体" w:eastAsia="宋体" w:cs="宋体"/>
          <w:spacing w:val="3"/>
          <w:sz w:val="24"/>
          <w:szCs w:val="24"/>
        </w:rPr>
        <w:t>P8，其厚度不宜小于</w:t>
      </w:r>
      <w:r>
        <w:rPr>
          <w:rFonts w:ascii="宋体" w:hAnsi="宋体" w:eastAsia="宋体" w:cs="宋体"/>
          <w:spacing w:val="-21"/>
          <w:sz w:val="24"/>
          <w:szCs w:val="24"/>
        </w:rPr>
        <w:t xml:space="preserve"> </w:t>
      </w:r>
      <w:r>
        <w:rPr>
          <w:rFonts w:ascii="宋体" w:hAnsi="宋体" w:eastAsia="宋体" w:cs="宋体"/>
          <w:spacing w:val="3"/>
          <w:sz w:val="24"/>
          <w:szCs w:val="24"/>
        </w:rPr>
        <w:t>100</w:t>
      </w:r>
      <w:r>
        <w:rPr>
          <w:rFonts w:ascii="宋体" w:hAnsi="宋体" w:eastAsia="宋体" w:cs="宋体"/>
          <w:sz w:val="24"/>
          <w:szCs w:val="24"/>
        </w:rPr>
        <w:t>mm</w:t>
      </w:r>
      <w:r>
        <w:rPr>
          <w:rFonts w:ascii="宋体" w:hAnsi="宋体" w:eastAsia="宋体" w:cs="宋体"/>
          <w:spacing w:val="3"/>
          <w:sz w:val="24"/>
          <w:szCs w:val="24"/>
        </w:rPr>
        <w:t>，防渗效果不低于</w:t>
      </w:r>
      <w:r>
        <w:rPr>
          <w:rFonts w:ascii="宋体" w:hAnsi="宋体" w:eastAsia="宋体" w:cs="宋体"/>
          <w:spacing w:val="-21"/>
          <w:sz w:val="24"/>
          <w:szCs w:val="24"/>
        </w:rPr>
        <w:t xml:space="preserve"> </w:t>
      </w:r>
      <w:r>
        <w:rPr>
          <w:rFonts w:ascii="宋体" w:hAnsi="宋体" w:eastAsia="宋体" w:cs="宋体"/>
          <w:spacing w:val="2"/>
          <w:sz w:val="24"/>
          <w:szCs w:val="24"/>
        </w:rPr>
        <w:t>1.5m</w:t>
      </w:r>
      <w:r>
        <w:rPr>
          <w:rFonts w:ascii="宋体" w:hAnsi="宋体" w:eastAsia="宋体" w:cs="宋体"/>
          <w:spacing w:val="-33"/>
          <w:sz w:val="24"/>
          <w:szCs w:val="24"/>
        </w:rPr>
        <w:t xml:space="preserve"> </w:t>
      </w:r>
      <w:r>
        <w:rPr>
          <w:rFonts w:ascii="宋体" w:hAnsi="宋体" w:eastAsia="宋体" w:cs="宋体"/>
          <w:spacing w:val="2"/>
          <w:sz w:val="24"/>
          <w:szCs w:val="24"/>
        </w:rPr>
        <w:t>厚渗透系数为</w:t>
      </w:r>
      <w:r>
        <w:rPr>
          <w:rFonts w:ascii="宋体" w:hAnsi="宋体" w:eastAsia="宋体" w:cs="宋体"/>
          <w:spacing w:val="-21"/>
          <w:sz w:val="24"/>
          <w:szCs w:val="24"/>
        </w:rPr>
        <w:t xml:space="preserve"> </w:t>
      </w:r>
      <w:r>
        <w:rPr>
          <w:rFonts w:ascii="宋体" w:hAnsi="宋体" w:eastAsia="宋体" w:cs="宋体"/>
          <w:spacing w:val="2"/>
          <w:sz w:val="24"/>
          <w:szCs w:val="24"/>
        </w:rPr>
        <w:t>1.0</w:t>
      </w:r>
      <w:r>
        <w:rPr>
          <w:rFonts w:ascii="宋体" w:hAnsi="宋体" w:eastAsia="宋体" w:cs="宋体"/>
          <w:spacing w:val="-64"/>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3"/>
          <w:sz w:val="24"/>
          <w:szCs w:val="24"/>
        </w:rPr>
        <w:t>10</w:t>
      </w:r>
      <w:r>
        <w:rPr>
          <w:rFonts w:ascii="宋体" w:hAnsi="宋体" w:eastAsia="宋体" w:cs="宋体"/>
          <w:spacing w:val="-3"/>
          <w:position w:val="11"/>
          <w:sz w:val="12"/>
          <w:szCs w:val="12"/>
        </w:rPr>
        <w:t>-7</w:t>
      </w:r>
      <w:r>
        <w:rPr>
          <w:rFonts w:ascii="宋体" w:hAnsi="宋体" w:eastAsia="宋体" w:cs="宋体"/>
          <w:spacing w:val="-3"/>
          <w:sz w:val="24"/>
          <w:szCs w:val="24"/>
        </w:rPr>
        <w:t>cm/s</w:t>
      </w:r>
      <w:r>
        <w:rPr>
          <w:rFonts w:ascii="宋体" w:hAnsi="宋体" w:eastAsia="宋体" w:cs="宋体"/>
          <w:spacing w:val="-18"/>
          <w:sz w:val="24"/>
          <w:szCs w:val="24"/>
        </w:rPr>
        <w:t xml:space="preserve"> </w:t>
      </w:r>
      <w:r>
        <w:rPr>
          <w:rFonts w:ascii="宋体" w:hAnsi="宋体" w:eastAsia="宋体" w:cs="宋体"/>
          <w:spacing w:val="-3"/>
          <w:sz w:val="24"/>
          <w:szCs w:val="24"/>
        </w:rPr>
        <w:t>的粘土层的防渗性能。</w:t>
      </w:r>
    </w:p>
    <w:p w14:paraId="09C0429C">
      <w:pPr>
        <w:spacing w:before="1" w:line="218" w:lineRule="auto"/>
        <w:ind w:left="508"/>
        <w:rPr>
          <w:rFonts w:ascii="宋体" w:hAnsi="宋体" w:eastAsia="宋体" w:cs="宋体"/>
          <w:sz w:val="24"/>
          <w:szCs w:val="24"/>
        </w:rPr>
      </w:pPr>
      <w:r>
        <w:rPr>
          <w:rFonts w:ascii="宋体" w:hAnsi="宋体" w:eastAsia="宋体" w:cs="宋体"/>
          <w:spacing w:val="-1"/>
          <w:sz w:val="24"/>
          <w:szCs w:val="24"/>
        </w:rPr>
        <w:t>简单防渗区防渗措施为：进行一般硬化防渗即可。</w:t>
      </w:r>
    </w:p>
    <w:p w14:paraId="2C882735">
      <w:pPr>
        <w:spacing w:line="218" w:lineRule="auto"/>
        <w:rPr>
          <w:rFonts w:ascii="宋体" w:hAnsi="宋体" w:eastAsia="宋体" w:cs="宋体"/>
          <w:sz w:val="24"/>
          <w:szCs w:val="24"/>
        </w:rPr>
        <w:sectPr>
          <w:headerReference r:id="rId305" w:type="default"/>
          <w:footerReference r:id="rId306" w:type="default"/>
          <w:pgSz w:w="11906" w:h="16839"/>
          <w:pgMar w:top="1208" w:right="1719" w:bottom="1358" w:left="1785" w:header="825" w:footer="1195" w:gutter="0"/>
          <w:cols w:space="720" w:num="1"/>
        </w:sectPr>
      </w:pPr>
    </w:p>
    <w:p w14:paraId="440A0E2D">
      <w:pPr>
        <w:pStyle w:val="2"/>
        <w:spacing w:line="323" w:lineRule="auto"/>
      </w:pPr>
    </w:p>
    <w:p w14:paraId="24721DEA">
      <w:pPr>
        <w:pStyle w:val="2"/>
        <w:spacing w:line="324" w:lineRule="auto"/>
      </w:pPr>
    </w:p>
    <w:p w14:paraId="741C0423">
      <w:pPr>
        <w:spacing w:line="7363" w:lineRule="exact"/>
        <w:ind w:firstLine="300"/>
      </w:pPr>
      <w:r>
        <w:rPr>
          <w:position w:val="-147"/>
        </w:rPr>
        <w:drawing>
          <wp:inline distT="0" distB="0" distL="0" distR="0">
            <wp:extent cx="8455025" cy="467550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527"/>
                    <a:stretch>
                      <a:fillRect/>
                    </a:stretch>
                  </pic:blipFill>
                  <pic:spPr>
                    <a:xfrm>
                      <a:off x="0" y="0"/>
                      <a:ext cx="8455152" cy="4675632"/>
                    </a:xfrm>
                    <a:prstGeom prst="rect">
                      <a:avLst/>
                    </a:prstGeom>
                  </pic:spPr>
                </pic:pic>
              </a:graphicData>
            </a:graphic>
          </wp:inline>
        </w:drawing>
      </w:r>
    </w:p>
    <w:p w14:paraId="5E42A997">
      <w:pPr>
        <w:pStyle w:val="2"/>
        <w:spacing w:line="252" w:lineRule="auto"/>
      </w:pPr>
    </w:p>
    <w:p w14:paraId="3927655A">
      <w:pPr>
        <w:spacing w:before="78" w:line="220" w:lineRule="auto"/>
        <w:ind w:left="5761"/>
        <w:rPr>
          <w:rFonts w:ascii="宋体" w:hAnsi="宋体" w:eastAsia="宋体" w:cs="宋体"/>
          <w:sz w:val="24"/>
          <w:szCs w:val="24"/>
        </w:rPr>
      </w:pPr>
      <w:r>
        <w:rPr>
          <w:rFonts w:ascii="宋体" w:hAnsi="宋体" w:eastAsia="宋体" w:cs="宋体"/>
          <w:spacing w:val="-6"/>
          <w:sz w:val="24"/>
          <w:szCs w:val="24"/>
        </w:rPr>
        <w:t>图</w:t>
      </w:r>
      <w:r>
        <w:rPr>
          <w:rFonts w:ascii="宋体" w:hAnsi="宋体" w:eastAsia="宋体" w:cs="宋体"/>
          <w:spacing w:val="-47"/>
          <w:sz w:val="24"/>
          <w:szCs w:val="24"/>
        </w:rPr>
        <w:t xml:space="preserve"> </w:t>
      </w:r>
      <w:r>
        <w:rPr>
          <w:rFonts w:ascii="宋体" w:hAnsi="宋体" w:eastAsia="宋体" w:cs="宋体"/>
          <w:spacing w:val="-6"/>
          <w:sz w:val="24"/>
          <w:szCs w:val="24"/>
        </w:rPr>
        <w:t>8.2-18</w:t>
      </w:r>
      <w:r>
        <w:rPr>
          <w:rFonts w:ascii="宋体" w:hAnsi="宋体" w:eastAsia="宋体" w:cs="宋体"/>
          <w:spacing w:val="12"/>
          <w:sz w:val="24"/>
          <w:szCs w:val="24"/>
        </w:rPr>
        <w:t xml:space="preserve">  </w:t>
      </w:r>
      <w:r>
        <w:rPr>
          <w:rFonts w:ascii="宋体" w:hAnsi="宋体" w:eastAsia="宋体" w:cs="宋体"/>
          <w:spacing w:val="-6"/>
          <w:sz w:val="24"/>
          <w:szCs w:val="24"/>
        </w:rPr>
        <w:t>防渗分区图</w:t>
      </w:r>
    </w:p>
    <w:p w14:paraId="0D9F2DB1">
      <w:pPr>
        <w:spacing w:line="220" w:lineRule="auto"/>
        <w:rPr>
          <w:rFonts w:ascii="宋体" w:hAnsi="宋体" w:eastAsia="宋体" w:cs="宋体"/>
          <w:sz w:val="24"/>
          <w:szCs w:val="24"/>
        </w:rPr>
        <w:sectPr>
          <w:headerReference r:id="rId307" w:type="default"/>
          <w:footerReference r:id="rId308" w:type="default"/>
          <w:pgSz w:w="16839" w:h="11906"/>
          <w:pgMar w:top="1208" w:right="1440" w:bottom="1358" w:left="1440" w:header="825" w:footer="1195" w:gutter="0"/>
          <w:cols w:space="720" w:num="1"/>
        </w:sectPr>
      </w:pPr>
    </w:p>
    <w:p w14:paraId="64E22B9D">
      <w:pPr>
        <w:pStyle w:val="2"/>
        <w:spacing w:line="265" w:lineRule="auto"/>
      </w:pPr>
    </w:p>
    <w:p w14:paraId="10BEB788">
      <w:pPr>
        <w:spacing w:before="78" w:line="219" w:lineRule="auto"/>
        <w:ind w:left="602"/>
        <w:rPr>
          <w:rFonts w:ascii="宋体" w:hAnsi="宋体" w:eastAsia="宋体" w:cs="宋体"/>
          <w:sz w:val="24"/>
          <w:szCs w:val="24"/>
        </w:rPr>
      </w:pPr>
      <w:r>
        <w:rPr>
          <w:rFonts w:ascii="宋体" w:hAnsi="宋体" w:eastAsia="宋体" w:cs="宋体"/>
          <w:spacing w:val="-1"/>
          <w:sz w:val="24"/>
          <w:szCs w:val="24"/>
        </w:rPr>
        <w:t>三、地下水环境监测方案</w:t>
      </w:r>
    </w:p>
    <w:p w14:paraId="448924F0">
      <w:pPr>
        <w:spacing w:before="182" w:line="360" w:lineRule="auto"/>
        <w:ind w:left="125" w:right="50" w:firstLine="477"/>
        <w:jc w:val="both"/>
        <w:rPr>
          <w:rFonts w:ascii="宋体" w:hAnsi="宋体" w:eastAsia="宋体" w:cs="宋体"/>
          <w:sz w:val="24"/>
          <w:szCs w:val="24"/>
        </w:rPr>
      </w:pPr>
      <w:r>
        <w:rPr>
          <w:rFonts w:ascii="宋体" w:hAnsi="宋体" w:eastAsia="宋体" w:cs="宋体"/>
          <w:spacing w:val="-6"/>
          <w:sz w:val="24"/>
          <w:szCs w:val="24"/>
        </w:rPr>
        <w:t>根据《工业企业土壤和地下水自行监测技术指南（试行）》（</w:t>
      </w:r>
      <w:r>
        <w:rPr>
          <w:rFonts w:ascii="Times New Roman" w:hAnsi="Times New Roman" w:eastAsia="Times New Roman" w:cs="Times New Roman"/>
          <w:spacing w:val="-6"/>
          <w:sz w:val="24"/>
          <w:szCs w:val="24"/>
        </w:rPr>
        <w:t>HJ1209-2021</w:t>
      </w:r>
      <w:r>
        <w:rPr>
          <w:rFonts w:ascii="宋体" w:hAnsi="宋体" w:eastAsia="宋体" w:cs="宋体"/>
          <w:spacing w:val="-56"/>
          <w:w w:val="89"/>
          <w:sz w:val="24"/>
          <w:szCs w:val="24"/>
        </w:rPr>
        <w:t>），</w:t>
      </w:r>
      <w:r>
        <w:rPr>
          <w:rFonts w:ascii="宋体" w:hAnsi="宋体" w:eastAsia="宋体" w:cs="宋体"/>
          <w:spacing w:val="3"/>
          <w:sz w:val="24"/>
          <w:szCs w:val="24"/>
        </w:rPr>
        <w:t xml:space="preserve"> </w:t>
      </w:r>
      <w:r>
        <w:rPr>
          <w:rFonts w:ascii="宋体" w:hAnsi="宋体" w:eastAsia="宋体" w:cs="宋体"/>
          <w:spacing w:val="-3"/>
          <w:sz w:val="24"/>
          <w:szCs w:val="24"/>
        </w:rPr>
        <w:t>结合评价区含水层系统和地下水径流系统特征，考虑潜在污染源位置、环境</w:t>
      </w:r>
      <w:r>
        <w:rPr>
          <w:rFonts w:ascii="宋体" w:hAnsi="宋体" w:eastAsia="宋体" w:cs="宋体"/>
          <w:spacing w:val="-4"/>
          <w:sz w:val="24"/>
          <w:szCs w:val="24"/>
        </w:rPr>
        <w:t>保护</w:t>
      </w:r>
      <w:r>
        <w:rPr>
          <w:rFonts w:ascii="宋体" w:hAnsi="宋体" w:eastAsia="宋体" w:cs="宋体"/>
          <w:sz w:val="24"/>
          <w:szCs w:val="24"/>
        </w:rPr>
        <w:t xml:space="preserve"> </w:t>
      </w:r>
      <w:r>
        <w:rPr>
          <w:rFonts w:ascii="宋体" w:hAnsi="宋体" w:eastAsia="宋体" w:cs="宋体"/>
          <w:spacing w:val="-2"/>
          <w:sz w:val="24"/>
          <w:szCs w:val="24"/>
        </w:rPr>
        <w:t>目标等因素，布置地下水监测点。本次不新建监测井，均</w:t>
      </w:r>
      <w:r>
        <w:rPr>
          <w:rFonts w:ascii="宋体" w:hAnsi="宋体" w:eastAsia="宋体" w:cs="宋体"/>
          <w:spacing w:val="-3"/>
          <w:sz w:val="24"/>
          <w:szCs w:val="24"/>
        </w:rPr>
        <w:t>利用已有</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眼监测井，</w:t>
      </w:r>
      <w:r>
        <w:rPr>
          <w:rFonts w:ascii="宋体" w:hAnsi="宋体" w:eastAsia="宋体" w:cs="宋体"/>
          <w:sz w:val="24"/>
          <w:szCs w:val="24"/>
        </w:rPr>
        <w:t xml:space="preserve"> </w:t>
      </w:r>
      <w:r>
        <w:rPr>
          <w:rFonts w:ascii="宋体" w:hAnsi="宋体" w:eastAsia="宋体" w:cs="宋体"/>
          <w:spacing w:val="2"/>
          <w:sz w:val="24"/>
          <w:szCs w:val="24"/>
        </w:rPr>
        <w:t>分别为老尾矿库</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号监测井（</w:t>
      </w:r>
      <w:r>
        <w:rPr>
          <w:rFonts w:ascii="Times New Roman" w:hAnsi="Times New Roman" w:eastAsia="Times New Roman" w:cs="Times New Roman"/>
          <w:spacing w:val="2"/>
          <w:sz w:val="24"/>
          <w:szCs w:val="24"/>
        </w:rPr>
        <w:t>5#</w:t>
      </w:r>
      <w:r>
        <w:rPr>
          <w:rFonts w:ascii="宋体" w:hAnsi="宋体" w:eastAsia="宋体" w:cs="宋体"/>
          <w:spacing w:val="2"/>
          <w:sz w:val="24"/>
          <w:szCs w:val="24"/>
        </w:rPr>
        <w:t>）、新尾矿库</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号监测井（</w:t>
      </w:r>
      <w:r>
        <w:rPr>
          <w:rFonts w:ascii="Times New Roman" w:hAnsi="Times New Roman" w:eastAsia="Times New Roman" w:cs="Times New Roman"/>
          <w:spacing w:val="2"/>
          <w:sz w:val="24"/>
          <w:szCs w:val="24"/>
        </w:rPr>
        <w:t>3#</w:t>
      </w:r>
      <w:r>
        <w:rPr>
          <w:rFonts w:ascii="宋体" w:hAnsi="宋体" w:eastAsia="宋体" w:cs="宋体"/>
          <w:spacing w:val="1"/>
          <w:sz w:val="24"/>
          <w:szCs w:val="24"/>
        </w:rPr>
        <w:t>）和新尾矿库</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号监测井（</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14:paraId="2B91F1C4">
      <w:pPr>
        <w:spacing w:before="2" w:line="333" w:lineRule="auto"/>
        <w:ind w:left="126" w:right="112" w:firstLine="476"/>
        <w:rPr>
          <w:rFonts w:ascii="宋体" w:hAnsi="宋体" w:eastAsia="宋体" w:cs="宋体"/>
          <w:sz w:val="24"/>
          <w:szCs w:val="24"/>
        </w:rPr>
      </w:pPr>
      <w:r>
        <w:rPr>
          <w:rFonts w:ascii="宋体" w:hAnsi="宋体" w:eastAsia="宋体" w:cs="宋体"/>
          <w:spacing w:val="-3"/>
          <w:sz w:val="24"/>
          <w:szCs w:val="24"/>
        </w:rPr>
        <w:t>地下水监测孔位置及坐标、监测计划、孔深、监测井结构、监测</w:t>
      </w:r>
      <w:r>
        <w:rPr>
          <w:rFonts w:ascii="宋体" w:hAnsi="宋体" w:eastAsia="宋体" w:cs="宋体"/>
          <w:spacing w:val="-4"/>
          <w:sz w:val="24"/>
          <w:szCs w:val="24"/>
        </w:rPr>
        <w:t>层位、监测</w:t>
      </w:r>
      <w:r>
        <w:rPr>
          <w:rFonts w:ascii="宋体" w:hAnsi="宋体" w:eastAsia="宋体" w:cs="宋体"/>
          <w:sz w:val="24"/>
          <w:szCs w:val="24"/>
        </w:rPr>
        <w:t xml:space="preserve"> </w:t>
      </w:r>
      <w:r>
        <w:rPr>
          <w:rFonts w:ascii="宋体" w:hAnsi="宋体" w:eastAsia="宋体" w:cs="宋体"/>
          <w:spacing w:val="-2"/>
          <w:sz w:val="24"/>
          <w:szCs w:val="24"/>
        </w:rPr>
        <w:t>项目、监测频率等见表</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8.2-11 </w:t>
      </w:r>
      <w:r>
        <w:rPr>
          <w:rFonts w:ascii="宋体" w:hAnsi="宋体" w:eastAsia="宋体" w:cs="宋体"/>
          <w:spacing w:val="-2"/>
          <w:sz w:val="24"/>
          <w:szCs w:val="24"/>
        </w:rPr>
        <w:t>及图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8.2-</w:t>
      </w:r>
      <w:r>
        <w:rPr>
          <w:rFonts w:ascii="Times New Roman" w:hAnsi="Times New Roman" w:eastAsia="Times New Roman" w:cs="Times New Roman"/>
          <w:spacing w:val="-3"/>
          <w:sz w:val="24"/>
          <w:szCs w:val="24"/>
        </w:rPr>
        <w:t>19</w:t>
      </w:r>
      <w:r>
        <w:rPr>
          <w:rFonts w:ascii="宋体" w:hAnsi="宋体" w:eastAsia="宋体" w:cs="宋体"/>
          <w:spacing w:val="-3"/>
          <w:sz w:val="24"/>
          <w:szCs w:val="24"/>
        </w:rPr>
        <w:t>。</w:t>
      </w:r>
    </w:p>
    <w:p w14:paraId="5B1B0C40">
      <w:pPr>
        <w:spacing w:line="219" w:lineRule="auto"/>
        <w:ind w:left="2590"/>
        <w:rPr>
          <w:rFonts w:ascii="宋体" w:hAnsi="宋体" w:eastAsia="宋体" w:cs="宋体"/>
          <w:sz w:val="22"/>
          <w:szCs w:val="22"/>
        </w:rPr>
      </w:pPr>
      <w:r>
        <w:rPr>
          <w:rFonts w:ascii="宋体" w:hAnsi="宋体" w:eastAsia="宋体" w:cs="宋体"/>
          <w:spacing w:val="-2"/>
          <w:sz w:val="22"/>
          <w:szCs w:val="22"/>
        </w:rPr>
        <w:t>表</w:t>
      </w:r>
      <w:r>
        <w:rPr>
          <w:rFonts w:ascii="宋体" w:hAnsi="宋体" w:eastAsia="宋体" w:cs="宋体"/>
          <w:spacing w:val="-27"/>
          <w:sz w:val="22"/>
          <w:szCs w:val="22"/>
        </w:rPr>
        <w:t xml:space="preserve"> </w:t>
      </w:r>
      <w:r>
        <w:rPr>
          <w:rFonts w:ascii="Times New Roman" w:hAnsi="Times New Roman" w:eastAsia="Times New Roman" w:cs="Times New Roman"/>
          <w:spacing w:val="-2"/>
          <w:sz w:val="22"/>
          <w:szCs w:val="22"/>
        </w:rPr>
        <w:t xml:space="preserve">8.2-11  </w:t>
      </w:r>
      <w:r>
        <w:rPr>
          <w:rFonts w:ascii="宋体" w:hAnsi="宋体" w:eastAsia="宋体" w:cs="宋体"/>
          <w:spacing w:val="-2"/>
          <w:sz w:val="22"/>
          <w:szCs w:val="22"/>
        </w:rPr>
        <w:t>本项目地下水监测计划一览表</w:t>
      </w:r>
    </w:p>
    <w:p w14:paraId="03D330F3">
      <w:pPr>
        <w:spacing w:line="5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1431"/>
        <w:gridCol w:w="591"/>
        <w:gridCol w:w="827"/>
        <w:gridCol w:w="1126"/>
        <w:gridCol w:w="1448"/>
        <w:gridCol w:w="2066"/>
      </w:tblGrid>
      <w:tr w14:paraId="24795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5" w:hRule="atLeast"/>
        </w:trPr>
        <w:tc>
          <w:tcPr>
            <w:tcW w:w="1037" w:type="dxa"/>
            <w:vAlign w:val="top"/>
          </w:tcPr>
          <w:p w14:paraId="59E5A251">
            <w:pPr>
              <w:spacing w:line="311" w:lineRule="auto"/>
              <w:rPr>
                <w:rFonts w:ascii="Arial"/>
                <w:sz w:val="21"/>
              </w:rPr>
            </w:pPr>
          </w:p>
          <w:p w14:paraId="0D590472">
            <w:pPr>
              <w:pStyle w:val="6"/>
              <w:spacing w:before="61" w:line="228" w:lineRule="auto"/>
              <w:ind w:left="325"/>
              <w:rPr>
                <w:sz w:val="19"/>
                <w:szCs w:val="19"/>
              </w:rPr>
            </w:pPr>
            <w:r>
              <w:rPr>
                <w:spacing w:val="4"/>
                <w:sz w:val="19"/>
                <w:szCs w:val="19"/>
              </w:rPr>
              <w:t>编号</w:t>
            </w:r>
          </w:p>
        </w:tc>
        <w:tc>
          <w:tcPr>
            <w:tcW w:w="1431" w:type="dxa"/>
            <w:vAlign w:val="top"/>
          </w:tcPr>
          <w:p w14:paraId="10BF6C0A">
            <w:pPr>
              <w:spacing w:line="310" w:lineRule="auto"/>
              <w:rPr>
                <w:rFonts w:ascii="Arial"/>
                <w:sz w:val="21"/>
              </w:rPr>
            </w:pPr>
          </w:p>
          <w:p w14:paraId="1AA912E4">
            <w:pPr>
              <w:pStyle w:val="6"/>
              <w:spacing w:before="62" w:line="229" w:lineRule="auto"/>
              <w:ind w:left="218"/>
              <w:rPr>
                <w:sz w:val="19"/>
                <w:szCs w:val="19"/>
              </w:rPr>
            </w:pPr>
            <w:r>
              <w:rPr>
                <w:spacing w:val="8"/>
                <w:sz w:val="19"/>
                <w:szCs w:val="19"/>
              </w:rPr>
              <w:t>地点及坐标</w:t>
            </w:r>
          </w:p>
        </w:tc>
        <w:tc>
          <w:tcPr>
            <w:tcW w:w="591" w:type="dxa"/>
            <w:vAlign w:val="top"/>
          </w:tcPr>
          <w:p w14:paraId="0DAD5BE8">
            <w:pPr>
              <w:pStyle w:val="6"/>
              <w:spacing w:before="62" w:line="229" w:lineRule="auto"/>
              <w:ind w:left="198"/>
              <w:rPr>
                <w:sz w:val="19"/>
                <w:szCs w:val="19"/>
              </w:rPr>
            </w:pPr>
            <w:r>
              <w:rPr>
                <w:spacing w:val="1"/>
                <w:sz w:val="19"/>
                <w:szCs w:val="19"/>
              </w:rPr>
              <w:t>井</w:t>
            </w:r>
          </w:p>
          <w:p w14:paraId="38A5E39D">
            <w:pPr>
              <w:pStyle w:val="6"/>
              <w:spacing w:before="76" w:line="231" w:lineRule="auto"/>
              <w:ind w:left="198"/>
              <w:rPr>
                <w:sz w:val="19"/>
                <w:szCs w:val="19"/>
              </w:rPr>
            </w:pPr>
            <w:r>
              <w:rPr>
                <w:spacing w:val="1"/>
                <w:sz w:val="19"/>
                <w:szCs w:val="19"/>
              </w:rPr>
              <w:t>深</w:t>
            </w:r>
          </w:p>
          <w:p w14:paraId="7EAE62A8">
            <w:pPr>
              <w:spacing w:before="105" w:line="201" w:lineRule="auto"/>
              <w:ind w:left="15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(m)</w:t>
            </w:r>
          </w:p>
        </w:tc>
        <w:tc>
          <w:tcPr>
            <w:tcW w:w="827" w:type="dxa"/>
            <w:vAlign w:val="top"/>
          </w:tcPr>
          <w:p w14:paraId="66B1D0DA">
            <w:pPr>
              <w:spacing w:line="310" w:lineRule="auto"/>
              <w:rPr>
                <w:rFonts w:ascii="Arial"/>
                <w:sz w:val="21"/>
              </w:rPr>
            </w:pPr>
          </w:p>
          <w:p w14:paraId="303FF2DF">
            <w:pPr>
              <w:pStyle w:val="6"/>
              <w:spacing w:before="62" w:line="229" w:lineRule="auto"/>
              <w:ind w:left="118"/>
              <w:rPr>
                <w:sz w:val="19"/>
                <w:szCs w:val="19"/>
              </w:rPr>
            </w:pPr>
            <w:r>
              <w:rPr>
                <w:spacing w:val="7"/>
                <w:sz w:val="19"/>
                <w:szCs w:val="19"/>
              </w:rPr>
              <w:t>井结构</w:t>
            </w:r>
          </w:p>
        </w:tc>
        <w:tc>
          <w:tcPr>
            <w:tcW w:w="1126" w:type="dxa"/>
            <w:vAlign w:val="top"/>
          </w:tcPr>
          <w:p w14:paraId="707618B6">
            <w:pPr>
              <w:pStyle w:val="6"/>
              <w:spacing w:before="218" w:line="230" w:lineRule="auto"/>
              <w:ind w:left="370"/>
              <w:rPr>
                <w:sz w:val="19"/>
                <w:szCs w:val="19"/>
              </w:rPr>
            </w:pPr>
            <w:r>
              <w:rPr>
                <w:spacing w:val="4"/>
                <w:sz w:val="19"/>
                <w:szCs w:val="19"/>
              </w:rPr>
              <w:t>监测</w:t>
            </w:r>
          </w:p>
          <w:p w14:paraId="53BCA94F">
            <w:pPr>
              <w:pStyle w:val="6"/>
              <w:spacing w:before="75" w:line="228" w:lineRule="auto"/>
              <w:ind w:left="369"/>
              <w:rPr>
                <w:sz w:val="19"/>
                <w:szCs w:val="19"/>
              </w:rPr>
            </w:pPr>
            <w:r>
              <w:rPr>
                <w:spacing w:val="5"/>
                <w:sz w:val="19"/>
                <w:szCs w:val="19"/>
              </w:rPr>
              <w:t>层位</w:t>
            </w:r>
          </w:p>
        </w:tc>
        <w:tc>
          <w:tcPr>
            <w:tcW w:w="1448" w:type="dxa"/>
            <w:vAlign w:val="top"/>
          </w:tcPr>
          <w:p w14:paraId="6D14F79A">
            <w:pPr>
              <w:spacing w:line="311" w:lineRule="auto"/>
              <w:rPr>
                <w:rFonts w:ascii="Arial"/>
                <w:sz w:val="21"/>
              </w:rPr>
            </w:pPr>
          </w:p>
          <w:p w14:paraId="296B728D">
            <w:pPr>
              <w:pStyle w:val="6"/>
              <w:spacing w:before="61" w:line="228" w:lineRule="auto"/>
              <w:ind w:left="331"/>
              <w:rPr>
                <w:sz w:val="19"/>
                <w:szCs w:val="19"/>
              </w:rPr>
            </w:pPr>
            <w:r>
              <w:rPr>
                <w:spacing w:val="7"/>
                <w:sz w:val="19"/>
                <w:szCs w:val="19"/>
              </w:rPr>
              <w:t>监测频率</w:t>
            </w:r>
          </w:p>
        </w:tc>
        <w:tc>
          <w:tcPr>
            <w:tcW w:w="2066" w:type="dxa"/>
            <w:vAlign w:val="top"/>
          </w:tcPr>
          <w:p w14:paraId="57BB92B8">
            <w:pPr>
              <w:spacing w:line="310" w:lineRule="auto"/>
              <w:rPr>
                <w:rFonts w:ascii="Arial"/>
                <w:sz w:val="21"/>
              </w:rPr>
            </w:pPr>
          </w:p>
          <w:p w14:paraId="294027DA">
            <w:pPr>
              <w:pStyle w:val="6"/>
              <w:spacing w:before="62" w:line="229" w:lineRule="auto"/>
              <w:ind w:left="640"/>
              <w:rPr>
                <w:sz w:val="19"/>
                <w:szCs w:val="19"/>
              </w:rPr>
            </w:pPr>
            <w:r>
              <w:rPr>
                <w:spacing w:val="7"/>
                <w:sz w:val="19"/>
                <w:szCs w:val="19"/>
              </w:rPr>
              <w:t>监测项目</w:t>
            </w:r>
          </w:p>
        </w:tc>
      </w:tr>
      <w:tr w14:paraId="1568B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1037" w:type="dxa"/>
            <w:vAlign w:val="top"/>
          </w:tcPr>
          <w:p w14:paraId="681291A2">
            <w:pPr>
              <w:spacing w:line="368" w:lineRule="auto"/>
              <w:rPr>
                <w:rFonts w:ascii="Arial"/>
                <w:sz w:val="21"/>
              </w:rPr>
            </w:pPr>
          </w:p>
          <w:p w14:paraId="3E7BF82C">
            <w:pPr>
              <w:pStyle w:val="6"/>
              <w:spacing w:before="62" w:line="229" w:lineRule="auto"/>
              <w:ind w:right="19"/>
              <w:jc w:val="right"/>
              <w:rPr>
                <w:sz w:val="19"/>
                <w:szCs w:val="19"/>
              </w:rPr>
            </w:pPr>
            <w:r>
              <w:rPr>
                <w:rFonts w:ascii="Times New Roman" w:hAnsi="Times New Roman" w:eastAsia="Times New Roman" w:cs="Times New Roman"/>
                <w:spacing w:val="-10"/>
                <w:sz w:val="19"/>
                <w:szCs w:val="19"/>
              </w:rPr>
              <w:t>5#</w:t>
            </w:r>
            <w:r>
              <w:rPr>
                <w:spacing w:val="-10"/>
                <w:sz w:val="19"/>
                <w:szCs w:val="19"/>
              </w:rPr>
              <w:t>（已有）</w:t>
            </w:r>
          </w:p>
        </w:tc>
        <w:tc>
          <w:tcPr>
            <w:tcW w:w="1431" w:type="dxa"/>
            <w:vAlign w:val="top"/>
          </w:tcPr>
          <w:p w14:paraId="511B1EA1">
            <w:pPr>
              <w:pStyle w:val="6"/>
              <w:spacing w:before="120" w:line="229" w:lineRule="auto"/>
              <w:ind w:left="221"/>
              <w:rPr>
                <w:sz w:val="19"/>
                <w:szCs w:val="19"/>
              </w:rPr>
            </w:pPr>
            <w:r>
              <w:rPr>
                <w:spacing w:val="7"/>
                <w:sz w:val="19"/>
                <w:szCs w:val="19"/>
              </w:rPr>
              <w:t>项目区上游</w:t>
            </w:r>
          </w:p>
          <w:p w14:paraId="71C798CA">
            <w:pPr>
              <w:spacing w:before="111"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118°57'54.00"</w:t>
            </w:r>
          </w:p>
          <w:p w14:paraId="27E5C9F3">
            <w:pPr>
              <w:spacing w:before="13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45°</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2"/>
                <w:sz w:val="19"/>
                <w:szCs w:val="19"/>
              </w:rPr>
              <w:t>15'56.00"</w:t>
            </w:r>
          </w:p>
        </w:tc>
        <w:tc>
          <w:tcPr>
            <w:tcW w:w="591" w:type="dxa"/>
            <w:vAlign w:val="top"/>
          </w:tcPr>
          <w:p w14:paraId="7D0E0B94">
            <w:pPr>
              <w:spacing w:line="409" w:lineRule="auto"/>
              <w:rPr>
                <w:rFonts w:ascii="Arial"/>
                <w:sz w:val="21"/>
              </w:rPr>
            </w:pPr>
          </w:p>
          <w:p w14:paraId="66042888">
            <w:pPr>
              <w:spacing w:before="55" w:line="195" w:lineRule="auto"/>
              <w:ind w:left="1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827" w:type="dxa"/>
            <w:vMerge w:val="restart"/>
            <w:tcBorders>
              <w:bottom w:val="nil"/>
            </w:tcBorders>
            <w:vAlign w:val="top"/>
          </w:tcPr>
          <w:p w14:paraId="34A7768E">
            <w:pPr>
              <w:spacing w:line="253" w:lineRule="auto"/>
              <w:rPr>
                <w:rFonts w:ascii="Arial"/>
                <w:sz w:val="21"/>
              </w:rPr>
            </w:pPr>
          </w:p>
          <w:p w14:paraId="470E5780">
            <w:pPr>
              <w:spacing w:line="253" w:lineRule="auto"/>
              <w:rPr>
                <w:rFonts w:ascii="Arial"/>
                <w:sz w:val="21"/>
              </w:rPr>
            </w:pPr>
          </w:p>
          <w:p w14:paraId="28177221">
            <w:pPr>
              <w:spacing w:line="253" w:lineRule="auto"/>
              <w:rPr>
                <w:rFonts w:ascii="Arial"/>
                <w:sz w:val="21"/>
              </w:rPr>
            </w:pPr>
          </w:p>
          <w:p w14:paraId="0DF5F8A8">
            <w:pPr>
              <w:spacing w:line="253" w:lineRule="auto"/>
              <w:rPr>
                <w:rFonts w:ascii="Arial"/>
                <w:sz w:val="21"/>
              </w:rPr>
            </w:pPr>
          </w:p>
          <w:p w14:paraId="12559919">
            <w:pPr>
              <w:spacing w:line="253" w:lineRule="auto"/>
              <w:rPr>
                <w:rFonts w:ascii="Arial"/>
                <w:sz w:val="21"/>
              </w:rPr>
            </w:pPr>
          </w:p>
          <w:p w14:paraId="7684A28A">
            <w:pPr>
              <w:spacing w:line="254" w:lineRule="auto"/>
              <w:rPr>
                <w:rFonts w:ascii="Arial"/>
                <w:sz w:val="21"/>
              </w:rPr>
            </w:pPr>
          </w:p>
          <w:p w14:paraId="388A1B6E">
            <w:pPr>
              <w:spacing w:line="254" w:lineRule="auto"/>
              <w:rPr>
                <w:rFonts w:ascii="Arial"/>
                <w:sz w:val="21"/>
              </w:rPr>
            </w:pPr>
          </w:p>
          <w:p w14:paraId="575FB031">
            <w:pPr>
              <w:pStyle w:val="6"/>
              <w:spacing w:before="62" w:line="229" w:lineRule="auto"/>
              <w:ind w:left="119"/>
              <w:rPr>
                <w:sz w:val="19"/>
                <w:szCs w:val="19"/>
              </w:rPr>
            </w:pPr>
            <w:r>
              <w:rPr>
                <w:spacing w:val="7"/>
                <w:sz w:val="19"/>
                <w:szCs w:val="19"/>
              </w:rPr>
              <w:t>监测井</w:t>
            </w:r>
          </w:p>
          <w:p w14:paraId="1008A4AB">
            <w:pPr>
              <w:pStyle w:val="6"/>
              <w:spacing w:before="76" w:line="229" w:lineRule="auto"/>
              <w:ind w:left="121"/>
              <w:rPr>
                <w:sz w:val="19"/>
                <w:szCs w:val="19"/>
              </w:rPr>
            </w:pPr>
            <w:r>
              <w:rPr>
                <w:spacing w:val="6"/>
                <w:sz w:val="19"/>
                <w:szCs w:val="19"/>
              </w:rPr>
              <w:t>建议孔</w:t>
            </w:r>
          </w:p>
          <w:p w14:paraId="4BF78229">
            <w:pPr>
              <w:pStyle w:val="6"/>
              <w:spacing w:before="76" w:line="228" w:lineRule="auto"/>
              <w:ind w:left="118"/>
              <w:rPr>
                <w:sz w:val="19"/>
                <w:szCs w:val="19"/>
              </w:rPr>
            </w:pPr>
            <w:r>
              <w:rPr>
                <w:spacing w:val="7"/>
                <w:sz w:val="19"/>
                <w:szCs w:val="19"/>
              </w:rPr>
              <w:t>径大于</w:t>
            </w:r>
          </w:p>
          <w:p w14:paraId="775B97C2">
            <w:pPr>
              <w:spacing w:before="111" w:line="195" w:lineRule="auto"/>
              <w:ind w:left="108"/>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200</w:t>
            </w:r>
            <w:r>
              <w:rPr>
                <w:rFonts w:ascii="Times New Roman" w:hAnsi="Times New Roman" w:eastAsia="Times New Roman" w:cs="Times New Roman"/>
                <w:sz w:val="19"/>
                <w:szCs w:val="19"/>
              </w:rPr>
              <w:t>mm</w:t>
            </w:r>
          </w:p>
        </w:tc>
        <w:tc>
          <w:tcPr>
            <w:tcW w:w="1126" w:type="dxa"/>
            <w:vMerge w:val="restart"/>
            <w:tcBorders>
              <w:bottom w:val="nil"/>
            </w:tcBorders>
            <w:vAlign w:val="top"/>
          </w:tcPr>
          <w:p w14:paraId="08774E0C">
            <w:pPr>
              <w:spacing w:line="253" w:lineRule="auto"/>
              <w:rPr>
                <w:rFonts w:ascii="Arial"/>
                <w:sz w:val="21"/>
              </w:rPr>
            </w:pPr>
          </w:p>
          <w:p w14:paraId="3B9D1F62">
            <w:pPr>
              <w:spacing w:line="253" w:lineRule="auto"/>
              <w:rPr>
                <w:rFonts w:ascii="Arial"/>
                <w:sz w:val="21"/>
              </w:rPr>
            </w:pPr>
          </w:p>
          <w:p w14:paraId="3BC99984">
            <w:pPr>
              <w:spacing w:line="253" w:lineRule="auto"/>
              <w:rPr>
                <w:rFonts w:ascii="Arial"/>
                <w:sz w:val="21"/>
              </w:rPr>
            </w:pPr>
          </w:p>
          <w:p w14:paraId="0FF810BC">
            <w:pPr>
              <w:spacing w:line="253" w:lineRule="auto"/>
              <w:rPr>
                <w:rFonts w:ascii="Arial"/>
                <w:sz w:val="21"/>
              </w:rPr>
            </w:pPr>
          </w:p>
          <w:p w14:paraId="7878F8FC">
            <w:pPr>
              <w:spacing w:line="253" w:lineRule="auto"/>
              <w:rPr>
                <w:rFonts w:ascii="Arial"/>
                <w:sz w:val="21"/>
              </w:rPr>
            </w:pPr>
          </w:p>
          <w:p w14:paraId="0C3EDE54">
            <w:pPr>
              <w:spacing w:line="254" w:lineRule="auto"/>
              <w:rPr>
                <w:rFonts w:ascii="Arial"/>
                <w:sz w:val="21"/>
              </w:rPr>
            </w:pPr>
          </w:p>
          <w:p w14:paraId="5C76388B">
            <w:pPr>
              <w:spacing w:line="254" w:lineRule="auto"/>
              <w:rPr>
                <w:rFonts w:ascii="Arial"/>
                <w:sz w:val="21"/>
              </w:rPr>
            </w:pPr>
          </w:p>
          <w:p w14:paraId="6875E3FE">
            <w:pPr>
              <w:pStyle w:val="6"/>
              <w:spacing w:before="62" w:line="228" w:lineRule="auto"/>
              <w:ind w:left="167"/>
              <w:rPr>
                <w:sz w:val="19"/>
                <w:szCs w:val="19"/>
              </w:rPr>
            </w:pPr>
            <w:r>
              <w:rPr>
                <w:spacing w:val="7"/>
                <w:sz w:val="19"/>
                <w:szCs w:val="19"/>
              </w:rPr>
              <w:t>第四系松</w:t>
            </w:r>
          </w:p>
          <w:p w14:paraId="661B18F6">
            <w:pPr>
              <w:pStyle w:val="6"/>
              <w:spacing w:before="77" w:line="228" w:lineRule="auto"/>
              <w:ind w:left="167"/>
              <w:rPr>
                <w:sz w:val="19"/>
                <w:szCs w:val="19"/>
              </w:rPr>
            </w:pPr>
            <w:r>
              <w:rPr>
                <w:spacing w:val="8"/>
                <w:sz w:val="19"/>
                <w:szCs w:val="19"/>
              </w:rPr>
              <w:t>散岩类孔</w:t>
            </w:r>
          </w:p>
          <w:p w14:paraId="4EA0F980">
            <w:pPr>
              <w:pStyle w:val="6"/>
              <w:spacing w:before="77" w:line="228" w:lineRule="auto"/>
              <w:ind w:left="125"/>
              <w:rPr>
                <w:sz w:val="19"/>
                <w:szCs w:val="19"/>
              </w:rPr>
            </w:pPr>
            <w:r>
              <w:rPr>
                <w:spacing w:val="-13"/>
                <w:sz w:val="19"/>
                <w:szCs w:val="19"/>
              </w:rPr>
              <w:t>隙水、基岩</w:t>
            </w:r>
          </w:p>
          <w:p w14:paraId="5944974D">
            <w:pPr>
              <w:pStyle w:val="6"/>
              <w:spacing w:before="77" w:line="228" w:lineRule="auto"/>
              <w:ind w:left="268"/>
              <w:rPr>
                <w:sz w:val="19"/>
                <w:szCs w:val="19"/>
              </w:rPr>
            </w:pPr>
            <w:r>
              <w:rPr>
                <w:spacing w:val="7"/>
                <w:sz w:val="19"/>
                <w:szCs w:val="19"/>
              </w:rPr>
              <w:t>裂隙水</w:t>
            </w:r>
          </w:p>
        </w:tc>
        <w:tc>
          <w:tcPr>
            <w:tcW w:w="1448" w:type="dxa"/>
            <w:vMerge w:val="restart"/>
            <w:tcBorders>
              <w:bottom w:val="nil"/>
            </w:tcBorders>
            <w:vAlign w:val="top"/>
          </w:tcPr>
          <w:p w14:paraId="192DCADB">
            <w:pPr>
              <w:spacing w:line="281" w:lineRule="auto"/>
              <w:rPr>
                <w:rFonts w:ascii="Arial"/>
                <w:sz w:val="21"/>
              </w:rPr>
            </w:pPr>
          </w:p>
          <w:p w14:paraId="0F1B005B">
            <w:pPr>
              <w:spacing w:line="281" w:lineRule="auto"/>
              <w:rPr>
                <w:rFonts w:ascii="Arial"/>
                <w:sz w:val="21"/>
              </w:rPr>
            </w:pPr>
          </w:p>
          <w:p w14:paraId="78A26655">
            <w:pPr>
              <w:spacing w:line="281" w:lineRule="auto"/>
              <w:rPr>
                <w:rFonts w:ascii="Arial"/>
                <w:sz w:val="21"/>
              </w:rPr>
            </w:pPr>
          </w:p>
          <w:p w14:paraId="743EC57E">
            <w:pPr>
              <w:pStyle w:val="6"/>
              <w:spacing w:before="62" w:line="303" w:lineRule="auto"/>
              <w:ind w:left="132" w:right="119" w:firstLine="399"/>
              <w:rPr>
                <w:sz w:val="19"/>
                <w:szCs w:val="19"/>
              </w:rPr>
            </w:pPr>
            <w:r>
              <w:rPr>
                <w:rFonts w:ascii="Times New Roman" w:hAnsi="Times New Roman" w:eastAsia="Times New Roman" w:cs="Times New Roman"/>
                <w:spacing w:val="6"/>
                <w:sz w:val="19"/>
                <w:szCs w:val="19"/>
              </w:rPr>
              <w:t>5#</w:t>
            </w:r>
            <w:r>
              <w:rPr>
                <w:spacing w:val="6"/>
                <w:sz w:val="19"/>
                <w:szCs w:val="19"/>
              </w:rPr>
              <w:t>井每年</w:t>
            </w:r>
            <w:r>
              <w:rPr>
                <w:sz w:val="19"/>
                <w:szCs w:val="19"/>
              </w:rPr>
              <w:t xml:space="preserve"> </w:t>
            </w:r>
            <w:r>
              <w:rPr>
                <w:spacing w:val="8"/>
                <w:sz w:val="19"/>
                <w:szCs w:val="19"/>
              </w:rPr>
              <w:t>监测一次，其</w:t>
            </w:r>
          </w:p>
          <w:p w14:paraId="5F620E3E">
            <w:pPr>
              <w:pStyle w:val="6"/>
              <w:spacing w:line="228" w:lineRule="auto"/>
              <w:ind w:left="131"/>
              <w:rPr>
                <w:sz w:val="19"/>
                <w:szCs w:val="19"/>
              </w:rPr>
            </w:pPr>
            <w:r>
              <w:rPr>
                <w:spacing w:val="8"/>
                <w:sz w:val="19"/>
                <w:szCs w:val="19"/>
              </w:rPr>
              <w:t>他井每半年监</w:t>
            </w:r>
          </w:p>
          <w:p w14:paraId="745AC252">
            <w:pPr>
              <w:pStyle w:val="6"/>
              <w:spacing w:before="77" w:line="228" w:lineRule="auto"/>
              <w:ind w:left="132"/>
              <w:rPr>
                <w:sz w:val="19"/>
                <w:szCs w:val="19"/>
              </w:rPr>
            </w:pPr>
            <w:r>
              <w:rPr>
                <w:spacing w:val="8"/>
                <w:sz w:val="19"/>
                <w:szCs w:val="19"/>
              </w:rPr>
              <w:t>测一次，遇到</w:t>
            </w:r>
          </w:p>
          <w:p w14:paraId="208516B4">
            <w:pPr>
              <w:pStyle w:val="6"/>
              <w:spacing w:before="77" w:line="228" w:lineRule="auto"/>
              <w:ind w:left="131"/>
              <w:rPr>
                <w:sz w:val="19"/>
                <w:szCs w:val="19"/>
              </w:rPr>
            </w:pPr>
            <w:r>
              <w:rPr>
                <w:spacing w:val="8"/>
                <w:sz w:val="19"/>
                <w:szCs w:val="19"/>
              </w:rPr>
              <w:t>特殊情况或发</w:t>
            </w:r>
          </w:p>
          <w:p w14:paraId="41E22F1F">
            <w:pPr>
              <w:pStyle w:val="6"/>
              <w:spacing w:before="77" w:line="229" w:lineRule="auto"/>
              <w:ind w:left="133"/>
              <w:rPr>
                <w:sz w:val="19"/>
                <w:szCs w:val="19"/>
              </w:rPr>
            </w:pPr>
            <w:r>
              <w:rPr>
                <w:spacing w:val="6"/>
                <w:sz w:val="19"/>
                <w:szCs w:val="19"/>
              </w:rPr>
              <w:t>生污染事故，</w:t>
            </w:r>
          </w:p>
          <w:p w14:paraId="0353B8E7">
            <w:pPr>
              <w:pStyle w:val="6"/>
              <w:spacing w:before="76" w:line="230" w:lineRule="auto"/>
              <w:ind w:left="133"/>
              <w:rPr>
                <w:sz w:val="19"/>
                <w:szCs w:val="19"/>
              </w:rPr>
            </w:pPr>
            <w:r>
              <w:rPr>
                <w:spacing w:val="8"/>
                <w:sz w:val="19"/>
                <w:szCs w:val="19"/>
              </w:rPr>
              <w:t>可能影响地下</w:t>
            </w:r>
          </w:p>
          <w:p w14:paraId="438AFEB6">
            <w:pPr>
              <w:pStyle w:val="6"/>
              <w:spacing w:before="75" w:line="228" w:lineRule="auto"/>
              <w:ind w:left="133"/>
              <w:rPr>
                <w:sz w:val="19"/>
                <w:szCs w:val="19"/>
              </w:rPr>
            </w:pPr>
            <w:r>
              <w:rPr>
                <w:spacing w:val="8"/>
                <w:sz w:val="19"/>
                <w:szCs w:val="19"/>
              </w:rPr>
              <w:t>水水质时，应</w:t>
            </w:r>
          </w:p>
          <w:p w14:paraId="2639E830">
            <w:pPr>
              <w:pStyle w:val="6"/>
              <w:spacing w:before="77" w:line="227" w:lineRule="auto"/>
              <w:ind w:left="142"/>
              <w:rPr>
                <w:sz w:val="19"/>
                <w:szCs w:val="19"/>
              </w:rPr>
            </w:pPr>
            <w:r>
              <w:rPr>
                <w:spacing w:val="6"/>
                <w:sz w:val="19"/>
                <w:szCs w:val="19"/>
              </w:rPr>
              <w:t>随时增加采样</w:t>
            </w:r>
          </w:p>
          <w:p w14:paraId="18359831">
            <w:pPr>
              <w:pStyle w:val="6"/>
              <w:spacing w:before="78" w:line="228" w:lineRule="auto"/>
              <w:ind w:left="432"/>
              <w:rPr>
                <w:sz w:val="19"/>
                <w:szCs w:val="19"/>
              </w:rPr>
            </w:pPr>
            <w:r>
              <w:rPr>
                <w:spacing w:val="3"/>
                <w:sz w:val="19"/>
                <w:szCs w:val="19"/>
              </w:rPr>
              <w:t>频次。</w:t>
            </w:r>
          </w:p>
        </w:tc>
        <w:tc>
          <w:tcPr>
            <w:tcW w:w="2066" w:type="dxa"/>
            <w:vMerge w:val="restart"/>
            <w:tcBorders>
              <w:bottom w:val="nil"/>
            </w:tcBorders>
            <w:vAlign w:val="top"/>
          </w:tcPr>
          <w:p w14:paraId="73CA5E01">
            <w:pPr>
              <w:pStyle w:val="6"/>
              <w:tabs>
                <w:tab w:val="left" w:pos="301"/>
              </w:tabs>
              <w:spacing w:before="133" w:line="303" w:lineRule="auto"/>
              <w:ind w:left="111" w:right="41" w:firstLine="404"/>
              <w:rPr>
                <w:sz w:val="19"/>
                <w:szCs w:val="19"/>
              </w:rPr>
            </w:pPr>
            <w:r>
              <w:rPr>
                <w:spacing w:val="8"/>
                <w:sz w:val="19"/>
                <w:szCs w:val="19"/>
              </w:rPr>
              <w:t>初次监测：</w:t>
            </w:r>
            <w:r>
              <w:rPr>
                <w:rFonts w:ascii="Times New Roman" w:hAnsi="Times New Roman" w:eastAsia="Times New Roman" w:cs="Times New Roman"/>
                <w:sz w:val="19"/>
                <w:szCs w:val="19"/>
              </w:rPr>
              <w:t>pH</w:t>
            </w:r>
            <w:r>
              <w:rPr>
                <w:rFonts w:ascii="Times New Roman" w:hAnsi="Times New Roman" w:eastAsia="Times New Roman" w:cs="Times New Roman"/>
                <w:spacing w:val="-21"/>
                <w:sz w:val="19"/>
                <w:szCs w:val="19"/>
              </w:rPr>
              <w:t xml:space="preserve"> </w:t>
            </w:r>
            <w:r>
              <w:rPr>
                <w:spacing w:val="8"/>
                <w:sz w:val="19"/>
                <w:szCs w:val="19"/>
              </w:rPr>
              <w:t>、</w:t>
            </w:r>
            <w:r>
              <w:rPr>
                <w:sz w:val="19"/>
                <w:szCs w:val="19"/>
              </w:rPr>
              <w:t xml:space="preserve"> </w:t>
            </w:r>
            <w:r>
              <w:rPr>
                <w:spacing w:val="11"/>
                <w:sz w:val="19"/>
                <w:szCs w:val="19"/>
              </w:rPr>
              <w:t>总硬度、溶解性总固</w:t>
            </w:r>
            <w:r>
              <w:rPr>
                <w:spacing w:val="3"/>
                <w:sz w:val="19"/>
                <w:szCs w:val="19"/>
              </w:rPr>
              <w:t xml:space="preserve">  </w:t>
            </w:r>
            <w:r>
              <w:rPr>
                <w:spacing w:val="11"/>
                <w:sz w:val="19"/>
                <w:szCs w:val="19"/>
              </w:rPr>
              <w:t>体、铁、锰、锌、挥</w:t>
            </w:r>
            <w:r>
              <w:rPr>
                <w:spacing w:val="3"/>
                <w:sz w:val="19"/>
                <w:szCs w:val="19"/>
              </w:rPr>
              <w:t xml:space="preserve">  </w:t>
            </w:r>
            <w:r>
              <w:rPr>
                <w:sz w:val="19"/>
                <w:szCs w:val="19"/>
              </w:rPr>
              <w:t>发酚、耗氧量、氨氮、</w:t>
            </w:r>
            <w:r>
              <w:rPr>
                <w:spacing w:val="6"/>
                <w:sz w:val="19"/>
                <w:szCs w:val="19"/>
              </w:rPr>
              <w:t xml:space="preserve"> </w:t>
            </w:r>
            <w:r>
              <w:rPr>
                <w:spacing w:val="11"/>
                <w:sz w:val="19"/>
                <w:szCs w:val="19"/>
              </w:rPr>
              <w:t>总大肠菌群、细菌总</w:t>
            </w:r>
            <w:r>
              <w:rPr>
                <w:spacing w:val="3"/>
                <w:sz w:val="19"/>
                <w:szCs w:val="19"/>
              </w:rPr>
              <w:t xml:space="preserve">  </w:t>
            </w:r>
            <w:r>
              <w:rPr>
                <w:spacing w:val="11"/>
                <w:sz w:val="19"/>
                <w:szCs w:val="19"/>
              </w:rPr>
              <w:t>数、亚硝酸盐氮、硝</w:t>
            </w:r>
            <w:r>
              <w:rPr>
                <w:spacing w:val="3"/>
                <w:sz w:val="19"/>
                <w:szCs w:val="19"/>
              </w:rPr>
              <w:t xml:space="preserve">  </w:t>
            </w:r>
            <w:r>
              <w:rPr>
                <w:sz w:val="19"/>
                <w:szCs w:val="19"/>
              </w:rPr>
              <w:t>酸盐氮、氟化物、汞、</w:t>
            </w:r>
            <w:r>
              <w:rPr>
                <w:spacing w:val="6"/>
                <w:sz w:val="19"/>
                <w:szCs w:val="19"/>
              </w:rPr>
              <w:t xml:space="preserve"> </w:t>
            </w:r>
            <w:r>
              <w:rPr>
                <w:sz w:val="19"/>
                <w:szCs w:val="19"/>
              </w:rPr>
              <w:t>砷、镉、六价铬、铅、</w:t>
            </w:r>
            <w:r>
              <w:rPr>
                <w:spacing w:val="6"/>
                <w:sz w:val="19"/>
                <w:szCs w:val="19"/>
              </w:rPr>
              <w:t xml:space="preserve"> </w:t>
            </w:r>
            <w:r>
              <w:rPr>
                <w:spacing w:val="-5"/>
                <w:sz w:val="19"/>
                <w:szCs w:val="19"/>
              </w:rPr>
              <w:t>钠（</w:t>
            </w:r>
            <w:r>
              <w:rPr>
                <w:rFonts w:ascii="Times New Roman" w:hAnsi="Times New Roman" w:eastAsia="Times New Roman" w:cs="Times New Roman"/>
                <w:spacing w:val="-5"/>
                <w:sz w:val="19"/>
                <w:szCs w:val="19"/>
              </w:rPr>
              <w:t>Na</w:t>
            </w:r>
            <w:r>
              <w:rPr>
                <w:rFonts w:ascii="Times New Roman" w:hAnsi="Times New Roman" w:eastAsia="Times New Roman" w:cs="Times New Roman"/>
                <w:spacing w:val="-5"/>
                <w:position w:val="6"/>
                <w:sz w:val="12"/>
                <w:szCs w:val="12"/>
              </w:rPr>
              <w:t>+</w:t>
            </w:r>
            <w:r>
              <w:rPr>
                <w:spacing w:val="-5"/>
                <w:sz w:val="19"/>
                <w:szCs w:val="19"/>
              </w:rPr>
              <w:t>）、</w:t>
            </w:r>
            <w:r>
              <w:rPr>
                <w:rFonts w:ascii="Times New Roman" w:hAnsi="Times New Roman" w:eastAsia="Times New Roman" w:cs="Times New Roman"/>
                <w:spacing w:val="-5"/>
                <w:sz w:val="19"/>
                <w:szCs w:val="19"/>
              </w:rPr>
              <w:t>K</w:t>
            </w:r>
            <w:r>
              <w:rPr>
                <w:rFonts w:ascii="Times New Roman" w:hAnsi="Times New Roman" w:eastAsia="Times New Roman" w:cs="Times New Roman"/>
                <w:spacing w:val="-5"/>
                <w:position w:val="6"/>
                <w:sz w:val="12"/>
                <w:szCs w:val="12"/>
              </w:rPr>
              <w:t>+</w:t>
            </w:r>
            <w:r>
              <w:rPr>
                <w:spacing w:val="-5"/>
                <w:sz w:val="19"/>
                <w:szCs w:val="19"/>
              </w:rPr>
              <w:t>、</w:t>
            </w:r>
            <w:r>
              <w:rPr>
                <w:rFonts w:ascii="Times New Roman" w:hAnsi="Times New Roman" w:eastAsia="Times New Roman" w:cs="Times New Roman"/>
                <w:spacing w:val="-5"/>
                <w:sz w:val="19"/>
                <w:szCs w:val="19"/>
              </w:rPr>
              <w:t>Ca</w:t>
            </w:r>
            <w:r>
              <w:rPr>
                <w:rFonts w:ascii="Times New Roman" w:hAnsi="Times New Roman" w:eastAsia="Times New Roman" w:cs="Times New Roman"/>
                <w:spacing w:val="-5"/>
                <w:position w:val="6"/>
                <w:sz w:val="12"/>
                <w:szCs w:val="12"/>
              </w:rPr>
              <w:t>2+</w:t>
            </w:r>
            <w:r>
              <w:rPr>
                <w:spacing w:val="-5"/>
                <w:sz w:val="19"/>
                <w:szCs w:val="19"/>
              </w:rPr>
              <w:t>、</w:t>
            </w:r>
            <w:r>
              <w:rPr>
                <w:spacing w:val="8"/>
                <w:sz w:val="19"/>
                <w:szCs w:val="19"/>
              </w:rPr>
              <w:t xml:space="preserve"> </w:t>
            </w:r>
            <w:r>
              <w:rPr>
                <w:rFonts w:ascii="Times New Roman" w:hAnsi="Times New Roman" w:eastAsia="Times New Roman" w:cs="Times New Roman"/>
                <w:sz w:val="19"/>
                <w:szCs w:val="19"/>
              </w:rPr>
              <w:t>Mg</w:t>
            </w:r>
            <w:r>
              <w:rPr>
                <w:rFonts w:ascii="Times New Roman" w:hAnsi="Times New Roman" w:eastAsia="Times New Roman" w:cs="Times New Roman"/>
                <w:spacing w:val="9"/>
                <w:position w:val="6"/>
                <w:sz w:val="12"/>
                <w:szCs w:val="12"/>
              </w:rPr>
              <w:t>2+</w:t>
            </w:r>
            <w:r>
              <w:rPr>
                <w:spacing w:val="-20"/>
                <w:sz w:val="19"/>
                <w:szCs w:val="19"/>
              </w:rPr>
              <w:t>、硫酸盐（</w:t>
            </w:r>
            <w:r>
              <w:rPr>
                <w:rFonts w:ascii="Times New Roman" w:hAnsi="Times New Roman" w:eastAsia="Times New Roman" w:cs="Times New Roman"/>
                <w:spacing w:val="-20"/>
                <w:sz w:val="19"/>
                <w:szCs w:val="19"/>
              </w:rPr>
              <w:t>SO</w:t>
            </w:r>
            <w:r>
              <w:rPr>
                <w:rFonts w:ascii="Times New Roman" w:hAnsi="Times New Roman" w:eastAsia="Times New Roman" w:cs="Times New Roman"/>
                <w:spacing w:val="5"/>
                <w:position w:val="-2"/>
                <w:sz w:val="12"/>
                <w:szCs w:val="12"/>
              </w:rPr>
              <w:t>4</w:t>
            </w:r>
            <w:r>
              <w:rPr>
                <w:rFonts w:ascii="Times New Roman" w:hAnsi="Times New Roman" w:eastAsia="Times New Roman" w:cs="Times New Roman"/>
                <w:spacing w:val="5"/>
                <w:sz w:val="12"/>
                <w:szCs w:val="12"/>
              </w:rPr>
              <w:t>2-</w:t>
            </w:r>
            <w:r>
              <w:rPr>
                <w:spacing w:val="-45"/>
                <w:w w:val="94"/>
                <w:sz w:val="19"/>
                <w:szCs w:val="19"/>
              </w:rPr>
              <w:t>）、</w:t>
            </w:r>
            <w:r>
              <w:rPr>
                <w:spacing w:val="1"/>
                <w:sz w:val="19"/>
                <w:szCs w:val="19"/>
              </w:rPr>
              <w:t xml:space="preserve"> </w:t>
            </w:r>
            <w:r>
              <w:rPr>
                <w:spacing w:val="-5"/>
                <w:sz w:val="19"/>
                <w:szCs w:val="19"/>
              </w:rPr>
              <w:t>氯化物（</w:t>
            </w:r>
            <w:r>
              <w:rPr>
                <w:rFonts w:ascii="Times New Roman" w:hAnsi="Times New Roman" w:eastAsia="Times New Roman" w:cs="Times New Roman"/>
                <w:spacing w:val="-5"/>
                <w:sz w:val="19"/>
                <w:szCs w:val="19"/>
              </w:rPr>
              <w:t>Cl</w:t>
            </w:r>
            <w:r>
              <w:rPr>
                <w:rFonts w:ascii="Times New Roman" w:hAnsi="Times New Roman" w:eastAsia="Times New Roman" w:cs="Times New Roman"/>
                <w:spacing w:val="-5"/>
                <w:sz w:val="12"/>
                <w:szCs w:val="12"/>
              </w:rPr>
              <w:t>-</w:t>
            </w:r>
            <w:r>
              <w:rPr>
                <w:spacing w:val="-5"/>
                <w:sz w:val="19"/>
                <w:szCs w:val="19"/>
              </w:rPr>
              <w:t>）、</w:t>
            </w:r>
            <w:r>
              <w:rPr>
                <w:rFonts w:ascii="Times New Roman" w:hAnsi="Times New Roman" w:eastAsia="Times New Roman" w:cs="Times New Roman"/>
                <w:spacing w:val="-5"/>
                <w:sz w:val="19"/>
                <w:szCs w:val="19"/>
              </w:rPr>
              <w:t>CO</w:t>
            </w:r>
            <w:r>
              <w:rPr>
                <w:rFonts w:ascii="Times New Roman" w:hAnsi="Times New Roman" w:eastAsia="Times New Roman" w:cs="Times New Roman"/>
                <w:spacing w:val="-5"/>
                <w:position w:val="-1"/>
                <w:sz w:val="12"/>
                <w:szCs w:val="12"/>
              </w:rPr>
              <w:t>3</w:t>
            </w:r>
            <w:r>
              <w:rPr>
                <w:rFonts w:ascii="Times New Roman" w:hAnsi="Times New Roman" w:eastAsia="Times New Roman" w:cs="Times New Roman"/>
                <w:spacing w:val="-5"/>
                <w:position w:val="6"/>
                <w:sz w:val="12"/>
                <w:szCs w:val="12"/>
              </w:rPr>
              <w:t>2-</w:t>
            </w:r>
            <w:r>
              <w:rPr>
                <w:spacing w:val="-5"/>
                <w:sz w:val="19"/>
                <w:szCs w:val="19"/>
              </w:rPr>
              <w:t>、</w:t>
            </w:r>
            <w:r>
              <w:rPr>
                <w:spacing w:val="7"/>
                <w:sz w:val="19"/>
                <w:szCs w:val="19"/>
              </w:rPr>
              <w:t xml:space="preserve"> </w:t>
            </w:r>
            <w:r>
              <w:rPr>
                <w:rFonts w:ascii="Times New Roman" w:hAnsi="Times New Roman" w:eastAsia="Times New Roman" w:cs="Times New Roman"/>
                <w:sz w:val="19"/>
                <w:szCs w:val="19"/>
              </w:rPr>
              <w:tab/>
            </w:r>
            <w:r>
              <w:rPr>
                <w:rFonts w:ascii="Times New Roman" w:hAnsi="Times New Roman" w:eastAsia="Times New Roman" w:cs="Times New Roman"/>
                <w:sz w:val="19"/>
                <w:szCs w:val="19"/>
              </w:rPr>
              <w:t>HCO</w:t>
            </w:r>
            <w:r>
              <w:rPr>
                <w:rFonts w:ascii="Times New Roman" w:hAnsi="Times New Roman" w:eastAsia="Times New Roman" w:cs="Times New Roman"/>
                <w:spacing w:val="6"/>
                <w:position w:val="6"/>
                <w:sz w:val="12"/>
                <w:szCs w:val="12"/>
              </w:rPr>
              <w:t>-</w:t>
            </w:r>
            <w:r>
              <w:rPr>
                <w:rFonts w:ascii="Times New Roman" w:hAnsi="Times New Roman" w:eastAsia="Times New Roman" w:cs="Times New Roman"/>
                <w:spacing w:val="-7"/>
                <w:position w:val="6"/>
                <w:sz w:val="12"/>
                <w:szCs w:val="12"/>
              </w:rPr>
              <w:t xml:space="preserve"> </w:t>
            </w:r>
            <w:r>
              <w:rPr>
                <w:spacing w:val="6"/>
                <w:sz w:val="19"/>
                <w:szCs w:val="19"/>
              </w:rPr>
              <w:t>、石油类。</w:t>
            </w:r>
          </w:p>
          <w:p w14:paraId="31DB86C6">
            <w:pPr>
              <w:spacing w:line="246" w:lineRule="auto"/>
              <w:rPr>
                <w:rFonts w:ascii="Arial"/>
                <w:sz w:val="21"/>
              </w:rPr>
            </w:pPr>
          </w:p>
          <w:p w14:paraId="0582425B">
            <w:pPr>
              <w:pStyle w:val="6"/>
              <w:spacing w:before="61" w:line="305" w:lineRule="auto"/>
              <w:ind w:left="238" w:right="131" w:hanging="99"/>
              <w:rPr>
                <w:sz w:val="19"/>
                <w:szCs w:val="19"/>
              </w:rPr>
            </w:pPr>
            <w:r>
              <w:rPr>
                <w:spacing w:val="8"/>
                <w:sz w:val="19"/>
                <w:szCs w:val="19"/>
              </w:rPr>
              <w:t>后期监测：氨氮、氟</w:t>
            </w:r>
            <w:r>
              <w:rPr>
                <w:spacing w:val="7"/>
                <w:sz w:val="19"/>
                <w:szCs w:val="19"/>
              </w:rPr>
              <w:t xml:space="preserve"> 化物、铅、砷等。</w:t>
            </w:r>
          </w:p>
        </w:tc>
      </w:tr>
      <w:tr w14:paraId="7F113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037" w:type="dxa"/>
            <w:vAlign w:val="top"/>
          </w:tcPr>
          <w:p w14:paraId="14DAC1F7">
            <w:pPr>
              <w:spacing w:line="309" w:lineRule="auto"/>
              <w:rPr>
                <w:rFonts w:ascii="Arial"/>
                <w:sz w:val="21"/>
              </w:rPr>
            </w:pPr>
          </w:p>
          <w:p w14:paraId="7D9970F2">
            <w:pPr>
              <w:spacing w:line="309" w:lineRule="auto"/>
              <w:rPr>
                <w:rFonts w:ascii="Arial"/>
                <w:sz w:val="21"/>
              </w:rPr>
            </w:pPr>
          </w:p>
          <w:p w14:paraId="2CF7E2AC">
            <w:pPr>
              <w:pStyle w:val="6"/>
              <w:spacing w:before="62" w:line="229" w:lineRule="auto"/>
              <w:ind w:right="19"/>
              <w:jc w:val="right"/>
              <w:rPr>
                <w:sz w:val="19"/>
                <w:szCs w:val="19"/>
              </w:rPr>
            </w:pPr>
            <w:r>
              <w:rPr>
                <w:rFonts w:ascii="Times New Roman" w:hAnsi="Times New Roman" w:eastAsia="Times New Roman" w:cs="Times New Roman"/>
                <w:spacing w:val="-9"/>
                <w:sz w:val="19"/>
                <w:szCs w:val="19"/>
              </w:rPr>
              <w:t>3#</w:t>
            </w:r>
            <w:r>
              <w:rPr>
                <w:spacing w:val="-9"/>
                <w:sz w:val="19"/>
                <w:szCs w:val="19"/>
              </w:rPr>
              <w:t>（已有）</w:t>
            </w:r>
          </w:p>
        </w:tc>
        <w:tc>
          <w:tcPr>
            <w:tcW w:w="1431" w:type="dxa"/>
            <w:vAlign w:val="top"/>
          </w:tcPr>
          <w:p w14:paraId="5480E180">
            <w:pPr>
              <w:pStyle w:val="6"/>
              <w:spacing w:before="59" w:line="229" w:lineRule="auto"/>
              <w:ind w:left="217"/>
              <w:rPr>
                <w:sz w:val="19"/>
                <w:szCs w:val="19"/>
              </w:rPr>
            </w:pPr>
            <w:r>
              <w:rPr>
                <w:spacing w:val="8"/>
                <w:sz w:val="19"/>
                <w:szCs w:val="19"/>
              </w:rPr>
              <w:t>截渗池下游</w:t>
            </w:r>
          </w:p>
          <w:p w14:paraId="4603FD36">
            <w:pPr>
              <w:pStyle w:val="6"/>
              <w:spacing w:before="76" w:line="228" w:lineRule="auto"/>
              <w:ind w:left="130"/>
              <w:rPr>
                <w:sz w:val="19"/>
                <w:szCs w:val="19"/>
              </w:rPr>
            </w:pPr>
            <w:r>
              <w:rPr>
                <w:spacing w:val="7"/>
                <w:sz w:val="19"/>
                <w:szCs w:val="19"/>
              </w:rPr>
              <w:t>（包括新尾矿</w:t>
            </w:r>
          </w:p>
          <w:p w14:paraId="37C6AE67">
            <w:pPr>
              <w:pStyle w:val="6"/>
              <w:spacing w:before="77" w:line="228" w:lineRule="auto"/>
              <w:ind w:left="320"/>
              <w:rPr>
                <w:sz w:val="19"/>
                <w:szCs w:val="19"/>
              </w:rPr>
            </w:pPr>
            <w:r>
              <w:rPr>
                <w:spacing w:val="5"/>
                <w:sz w:val="19"/>
                <w:szCs w:val="19"/>
              </w:rPr>
              <w:t>库下游）</w:t>
            </w:r>
          </w:p>
          <w:p w14:paraId="34381F8B">
            <w:pPr>
              <w:spacing w:before="111"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118°56'23.00"</w:t>
            </w:r>
          </w:p>
          <w:p w14:paraId="3B5E95F9">
            <w:pPr>
              <w:spacing w:before="13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45°</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2"/>
                <w:sz w:val="19"/>
                <w:szCs w:val="19"/>
              </w:rPr>
              <w:t>16'35.00"</w:t>
            </w:r>
          </w:p>
        </w:tc>
        <w:tc>
          <w:tcPr>
            <w:tcW w:w="591" w:type="dxa"/>
            <w:vAlign w:val="top"/>
          </w:tcPr>
          <w:p w14:paraId="0988F637">
            <w:pPr>
              <w:spacing w:line="329" w:lineRule="auto"/>
              <w:rPr>
                <w:rFonts w:ascii="Arial"/>
                <w:sz w:val="21"/>
              </w:rPr>
            </w:pPr>
          </w:p>
          <w:p w14:paraId="6F96D75A">
            <w:pPr>
              <w:spacing w:line="330" w:lineRule="auto"/>
              <w:rPr>
                <w:rFonts w:ascii="Arial"/>
                <w:sz w:val="21"/>
              </w:rPr>
            </w:pPr>
          </w:p>
          <w:p w14:paraId="4624758D">
            <w:pPr>
              <w:spacing w:before="55" w:line="195" w:lineRule="auto"/>
              <w:ind w:left="1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w:t>
            </w:r>
          </w:p>
        </w:tc>
        <w:tc>
          <w:tcPr>
            <w:tcW w:w="827" w:type="dxa"/>
            <w:vMerge w:val="continue"/>
            <w:tcBorders>
              <w:top w:val="nil"/>
              <w:bottom w:val="nil"/>
            </w:tcBorders>
            <w:vAlign w:val="top"/>
          </w:tcPr>
          <w:p w14:paraId="57F8B714">
            <w:pPr>
              <w:rPr>
                <w:rFonts w:ascii="Arial"/>
                <w:sz w:val="21"/>
              </w:rPr>
            </w:pPr>
          </w:p>
        </w:tc>
        <w:tc>
          <w:tcPr>
            <w:tcW w:w="1126" w:type="dxa"/>
            <w:vMerge w:val="continue"/>
            <w:tcBorders>
              <w:top w:val="nil"/>
              <w:bottom w:val="nil"/>
            </w:tcBorders>
            <w:vAlign w:val="top"/>
          </w:tcPr>
          <w:p w14:paraId="5986EC6A">
            <w:pPr>
              <w:rPr>
                <w:rFonts w:ascii="Arial"/>
                <w:sz w:val="21"/>
              </w:rPr>
            </w:pPr>
          </w:p>
        </w:tc>
        <w:tc>
          <w:tcPr>
            <w:tcW w:w="1448" w:type="dxa"/>
            <w:vMerge w:val="continue"/>
            <w:tcBorders>
              <w:top w:val="nil"/>
              <w:bottom w:val="nil"/>
            </w:tcBorders>
            <w:vAlign w:val="top"/>
          </w:tcPr>
          <w:p w14:paraId="2B7F2568">
            <w:pPr>
              <w:rPr>
                <w:rFonts w:ascii="Arial"/>
                <w:sz w:val="21"/>
              </w:rPr>
            </w:pPr>
          </w:p>
        </w:tc>
        <w:tc>
          <w:tcPr>
            <w:tcW w:w="2066" w:type="dxa"/>
            <w:vMerge w:val="continue"/>
            <w:tcBorders>
              <w:top w:val="nil"/>
              <w:bottom w:val="nil"/>
            </w:tcBorders>
            <w:vAlign w:val="top"/>
          </w:tcPr>
          <w:p w14:paraId="1BB36493">
            <w:pPr>
              <w:rPr>
                <w:rFonts w:ascii="Arial"/>
                <w:sz w:val="21"/>
              </w:rPr>
            </w:pPr>
          </w:p>
        </w:tc>
      </w:tr>
      <w:tr w14:paraId="3236A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1037" w:type="dxa"/>
            <w:vAlign w:val="top"/>
          </w:tcPr>
          <w:p w14:paraId="0D5912F0">
            <w:pPr>
              <w:spacing w:line="309" w:lineRule="auto"/>
              <w:rPr>
                <w:rFonts w:ascii="Arial"/>
                <w:sz w:val="21"/>
              </w:rPr>
            </w:pPr>
          </w:p>
          <w:p w14:paraId="7D8CB5EA">
            <w:pPr>
              <w:spacing w:line="310" w:lineRule="auto"/>
              <w:rPr>
                <w:rFonts w:ascii="Arial"/>
                <w:sz w:val="21"/>
              </w:rPr>
            </w:pPr>
          </w:p>
          <w:p w14:paraId="2B4DFB91">
            <w:pPr>
              <w:spacing w:line="310" w:lineRule="auto"/>
              <w:rPr>
                <w:rFonts w:ascii="Arial"/>
                <w:sz w:val="21"/>
              </w:rPr>
            </w:pPr>
          </w:p>
          <w:p w14:paraId="364AF63A">
            <w:pPr>
              <w:pStyle w:val="6"/>
              <w:spacing w:before="62" w:line="229" w:lineRule="auto"/>
              <w:ind w:right="19"/>
              <w:jc w:val="right"/>
              <w:rPr>
                <w:sz w:val="19"/>
                <w:szCs w:val="19"/>
              </w:rPr>
            </w:pPr>
            <w:r>
              <w:rPr>
                <w:rFonts w:ascii="Times New Roman" w:hAnsi="Times New Roman" w:eastAsia="Times New Roman" w:cs="Times New Roman"/>
                <w:spacing w:val="-12"/>
                <w:sz w:val="19"/>
                <w:szCs w:val="19"/>
              </w:rPr>
              <w:t>1#</w:t>
            </w:r>
            <w:r>
              <w:rPr>
                <w:spacing w:val="-12"/>
                <w:sz w:val="19"/>
                <w:szCs w:val="19"/>
              </w:rPr>
              <w:t>（已有）</w:t>
            </w:r>
          </w:p>
        </w:tc>
        <w:tc>
          <w:tcPr>
            <w:tcW w:w="1431" w:type="dxa"/>
            <w:vAlign w:val="top"/>
          </w:tcPr>
          <w:p w14:paraId="5BFC2077">
            <w:pPr>
              <w:pStyle w:val="6"/>
              <w:spacing w:before="61" w:line="229" w:lineRule="auto"/>
              <w:ind w:left="123"/>
              <w:rPr>
                <w:sz w:val="19"/>
                <w:szCs w:val="19"/>
              </w:rPr>
            </w:pPr>
            <w:r>
              <w:rPr>
                <w:spacing w:val="8"/>
                <w:sz w:val="19"/>
                <w:szCs w:val="19"/>
              </w:rPr>
              <w:t>项目区厂界下</w:t>
            </w:r>
          </w:p>
          <w:p w14:paraId="3F4F4AF5">
            <w:pPr>
              <w:pStyle w:val="6"/>
              <w:spacing w:before="76" w:line="228" w:lineRule="auto"/>
              <w:ind w:left="120"/>
              <w:rPr>
                <w:sz w:val="19"/>
                <w:szCs w:val="19"/>
              </w:rPr>
            </w:pPr>
            <w:r>
              <w:rPr>
                <w:spacing w:val="8"/>
                <w:sz w:val="19"/>
                <w:szCs w:val="19"/>
              </w:rPr>
              <w:t>游（包括水处</w:t>
            </w:r>
          </w:p>
          <w:p w14:paraId="3181B985">
            <w:pPr>
              <w:pStyle w:val="6"/>
              <w:spacing w:before="77" w:line="229" w:lineRule="auto"/>
              <w:ind w:left="122"/>
              <w:rPr>
                <w:sz w:val="19"/>
                <w:szCs w:val="19"/>
              </w:rPr>
            </w:pPr>
            <w:r>
              <w:rPr>
                <w:spacing w:val="8"/>
                <w:sz w:val="19"/>
                <w:szCs w:val="19"/>
              </w:rPr>
              <w:t>理间和深度处</w:t>
            </w:r>
          </w:p>
          <w:p w14:paraId="1026C2F2">
            <w:pPr>
              <w:pStyle w:val="6"/>
              <w:spacing w:before="76" w:line="228" w:lineRule="auto"/>
              <w:ind w:left="122"/>
              <w:rPr>
                <w:sz w:val="19"/>
                <w:szCs w:val="19"/>
              </w:rPr>
            </w:pPr>
            <w:r>
              <w:rPr>
                <w:spacing w:val="8"/>
                <w:sz w:val="19"/>
                <w:szCs w:val="19"/>
              </w:rPr>
              <w:t>理回用水池下</w:t>
            </w:r>
          </w:p>
          <w:p w14:paraId="5577662B">
            <w:pPr>
              <w:pStyle w:val="6"/>
              <w:spacing w:before="77" w:line="229" w:lineRule="auto"/>
              <w:ind w:left="518"/>
              <w:rPr>
                <w:sz w:val="19"/>
                <w:szCs w:val="19"/>
              </w:rPr>
            </w:pPr>
            <w:r>
              <w:rPr>
                <w:sz w:val="19"/>
                <w:szCs w:val="19"/>
              </w:rPr>
              <w:t>游）</w:t>
            </w:r>
          </w:p>
          <w:p w14:paraId="03510BF9">
            <w:pPr>
              <w:spacing w:before="111"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118°57'21.00"</w:t>
            </w:r>
          </w:p>
          <w:p w14:paraId="0B218712">
            <w:pPr>
              <w:spacing w:before="13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45°</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z w:val="19"/>
                <w:szCs w:val="19"/>
              </w:rPr>
              <w:t>16'</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z w:val="19"/>
                <w:szCs w:val="19"/>
              </w:rPr>
              <w:t>14.00"</w:t>
            </w:r>
          </w:p>
        </w:tc>
        <w:tc>
          <w:tcPr>
            <w:tcW w:w="591" w:type="dxa"/>
            <w:vAlign w:val="top"/>
          </w:tcPr>
          <w:p w14:paraId="6E038677">
            <w:pPr>
              <w:spacing w:line="242" w:lineRule="auto"/>
              <w:rPr>
                <w:rFonts w:ascii="Arial"/>
                <w:sz w:val="21"/>
              </w:rPr>
            </w:pPr>
          </w:p>
          <w:p w14:paraId="40AEB896">
            <w:pPr>
              <w:spacing w:line="243" w:lineRule="auto"/>
              <w:rPr>
                <w:rFonts w:ascii="Arial"/>
                <w:sz w:val="21"/>
              </w:rPr>
            </w:pPr>
          </w:p>
          <w:p w14:paraId="5B465681">
            <w:pPr>
              <w:spacing w:line="243" w:lineRule="auto"/>
              <w:rPr>
                <w:rFonts w:ascii="Arial"/>
                <w:sz w:val="21"/>
              </w:rPr>
            </w:pPr>
          </w:p>
          <w:p w14:paraId="3EE7149B">
            <w:pPr>
              <w:spacing w:line="243" w:lineRule="auto"/>
              <w:rPr>
                <w:rFonts w:ascii="Arial"/>
                <w:sz w:val="21"/>
              </w:rPr>
            </w:pPr>
          </w:p>
          <w:p w14:paraId="02C48203">
            <w:pPr>
              <w:spacing w:before="55" w:line="195" w:lineRule="auto"/>
              <w:ind w:left="1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w:t>
            </w:r>
          </w:p>
        </w:tc>
        <w:tc>
          <w:tcPr>
            <w:tcW w:w="827" w:type="dxa"/>
            <w:vMerge w:val="continue"/>
            <w:tcBorders>
              <w:top w:val="nil"/>
            </w:tcBorders>
            <w:vAlign w:val="top"/>
          </w:tcPr>
          <w:p w14:paraId="3D6821C3">
            <w:pPr>
              <w:rPr>
                <w:rFonts w:ascii="Arial"/>
                <w:sz w:val="21"/>
              </w:rPr>
            </w:pPr>
          </w:p>
        </w:tc>
        <w:tc>
          <w:tcPr>
            <w:tcW w:w="1126" w:type="dxa"/>
            <w:vMerge w:val="continue"/>
            <w:tcBorders>
              <w:top w:val="nil"/>
            </w:tcBorders>
            <w:vAlign w:val="top"/>
          </w:tcPr>
          <w:p w14:paraId="2C65006E">
            <w:pPr>
              <w:rPr>
                <w:rFonts w:ascii="Arial"/>
                <w:sz w:val="21"/>
              </w:rPr>
            </w:pPr>
          </w:p>
        </w:tc>
        <w:tc>
          <w:tcPr>
            <w:tcW w:w="1448" w:type="dxa"/>
            <w:vMerge w:val="continue"/>
            <w:tcBorders>
              <w:top w:val="nil"/>
            </w:tcBorders>
            <w:vAlign w:val="top"/>
          </w:tcPr>
          <w:p w14:paraId="6E0FD021">
            <w:pPr>
              <w:rPr>
                <w:rFonts w:ascii="Arial"/>
                <w:sz w:val="21"/>
              </w:rPr>
            </w:pPr>
          </w:p>
        </w:tc>
        <w:tc>
          <w:tcPr>
            <w:tcW w:w="2066" w:type="dxa"/>
            <w:vMerge w:val="continue"/>
            <w:tcBorders>
              <w:top w:val="nil"/>
            </w:tcBorders>
            <w:vAlign w:val="top"/>
          </w:tcPr>
          <w:p w14:paraId="7CD0467B">
            <w:pPr>
              <w:rPr>
                <w:rFonts w:ascii="Arial"/>
                <w:sz w:val="21"/>
              </w:rPr>
            </w:pPr>
          </w:p>
        </w:tc>
      </w:tr>
    </w:tbl>
    <w:p w14:paraId="7E3E86CC">
      <w:pPr>
        <w:pStyle w:val="2"/>
      </w:pPr>
    </w:p>
    <w:p w14:paraId="36C7EDA9">
      <w:pPr>
        <w:sectPr>
          <w:headerReference r:id="rId309" w:type="default"/>
          <w:footerReference r:id="rId310" w:type="default"/>
          <w:pgSz w:w="11906" w:h="16839"/>
          <w:pgMar w:top="1208" w:right="1687" w:bottom="1358" w:left="1687" w:header="825" w:footer="1195" w:gutter="0"/>
          <w:cols w:space="720" w:num="1"/>
        </w:sectPr>
      </w:pPr>
    </w:p>
    <w:p w14:paraId="1B44C389">
      <w:pPr>
        <w:pStyle w:val="2"/>
        <w:spacing w:line="322" w:lineRule="auto"/>
      </w:pPr>
    </w:p>
    <w:p w14:paraId="11B4718C">
      <w:pPr>
        <w:spacing w:line="6989" w:lineRule="exact"/>
        <w:ind w:firstLine="177"/>
      </w:pPr>
      <w:r>
        <w:rPr>
          <w:position w:val="-139"/>
        </w:rPr>
        <w:drawing>
          <wp:inline distT="0" distB="0" distL="0" distR="0">
            <wp:extent cx="5064125" cy="443738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528"/>
                    <a:stretch>
                      <a:fillRect/>
                    </a:stretch>
                  </pic:blipFill>
                  <pic:spPr>
                    <a:xfrm>
                      <a:off x="0" y="0"/>
                      <a:ext cx="5064252" cy="4437888"/>
                    </a:xfrm>
                    <a:prstGeom prst="rect">
                      <a:avLst/>
                    </a:prstGeom>
                  </pic:spPr>
                </pic:pic>
              </a:graphicData>
            </a:graphic>
          </wp:inline>
        </w:drawing>
      </w:r>
    </w:p>
    <w:p w14:paraId="027A33C8">
      <w:pPr>
        <w:spacing w:before="130" w:line="219" w:lineRule="auto"/>
        <w:ind w:left="278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8.2-19    </w:t>
      </w:r>
      <w:r>
        <w:rPr>
          <w:rFonts w:ascii="宋体" w:hAnsi="宋体" w:eastAsia="宋体" w:cs="宋体"/>
          <w:spacing w:val="-3"/>
          <w:sz w:val="24"/>
          <w:szCs w:val="24"/>
        </w:rPr>
        <w:t>地下水监测井布置图</w:t>
      </w:r>
    </w:p>
    <w:p w14:paraId="4A59FB25">
      <w:pPr>
        <w:spacing w:before="104" w:line="360" w:lineRule="auto"/>
        <w:ind w:left="22" w:right="28" w:firstLine="480"/>
        <w:jc w:val="both"/>
        <w:rPr>
          <w:rFonts w:ascii="宋体" w:hAnsi="宋体" w:eastAsia="宋体" w:cs="宋体"/>
          <w:sz w:val="24"/>
          <w:szCs w:val="24"/>
        </w:rPr>
      </w:pPr>
      <w:r>
        <w:rPr>
          <w:rFonts w:ascii="宋体" w:hAnsi="宋体" w:eastAsia="宋体" w:cs="宋体"/>
          <w:spacing w:val="-2"/>
          <w:sz w:val="24"/>
          <w:szCs w:val="24"/>
        </w:rPr>
        <w:t>地下水环境监测信息公开工作由地下水环境监测部门负责执行，</w:t>
      </w:r>
      <w:r>
        <w:rPr>
          <w:rFonts w:ascii="宋体" w:hAnsi="宋体" w:eastAsia="宋体" w:cs="宋体"/>
          <w:spacing w:val="-3"/>
          <w:sz w:val="24"/>
          <w:szCs w:val="24"/>
        </w:rPr>
        <w:t>主要包括：</w:t>
      </w:r>
      <w:r>
        <w:rPr>
          <w:rFonts w:ascii="宋体" w:hAnsi="宋体" w:eastAsia="宋体" w:cs="宋体"/>
          <w:sz w:val="24"/>
          <w:szCs w:val="24"/>
        </w:rPr>
        <w:t xml:space="preserve"> </w:t>
      </w:r>
      <w:r>
        <w:rPr>
          <w:rFonts w:ascii="宋体" w:hAnsi="宋体" w:eastAsia="宋体" w:cs="宋体"/>
          <w:spacing w:val="-3"/>
          <w:sz w:val="24"/>
          <w:szCs w:val="24"/>
        </w:rPr>
        <w:t>①项目排放污染物种类、数量、浓度；②项目产生污染物的贮存与处理装置、事</w:t>
      </w:r>
      <w:r>
        <w:rPr>
          <w:rFonts w:ascii="宋体" w:hAnsi="宋体" w:eastAsia="宋体" w:cs="宋体"/>
          <w:spacing w:val="1"/>
          <w:sz w:val="24"/>
          <w:szCs w:val="24"/>
        </w:rPr>
        <w:t xml:space="preserve"> </w:t>
      </w:r>
      <w:r>
        <w:rPr>
          <w:rFonts w:ascii="宋体" w:hAnsi="宋体" w:eastAsia="宋体" w:cs="宋体"/>
          <w:spacing w:val="-3"/>
          <w:sz w:val="24"/>
          <w:szCs w:val="24"/>
        </w:rPr>
        <w:t>故应急装置等设施的运行情况、跑冒滴漏记录、维护记录；③地下水环境监测数</w:t>
      </w:r>
      <w:r>
        <w:rPr>
          <w:rFonts w:ascii="宋体" w:hAnsi="宋体" w:eastAsia="宋体" w:cs="宋体"/>
          <w:sz w:val="24"/>
          <w:szCs w:val="24"/>
        </w:rPr>
        <w:t xml:space="preserve"> </w:t>
      </w:r>
      <w:r>
        <w:rPr>
          <w:rFonts w:ascii="宋体" w:hAnsi="宋体" w:eastAsia="宋体" w:cs="宋体"/>
          <w:spacing w:val="-1"/>
          <w:sz w:val="24"/>
          <w:szCs w:val="24"/>
        </w:rPr>
        <w:t>据，特别是项目特征因子的地下水环境监测值。</w:t>
      </w:r>
    </w:p>
    <w:p w14:paraId="4FDA8773">
      <w:pPr>
        <w:spacing w:line="360" w:lineRule="auto"/>
        <w:ind w:left="25" w:right="61" w:firstLine="501"/>
        <w:rPr>
          <w:rFonts w:ascii="宋体" w:hAnsi="宋体" w:eastAsia="宋体" w:cs="宋体"/>
          <w:sz w:val="24"/>
          <w:szCs w:val="24"/>
        </w:rPr>
      </w:pPr>
      <w:r>
        <w:rPr>
          <w:rFonts w:ascii="宋体" w:hAnsi="宋体" w:eastAsia="宋体" w:cs="宋体"/>
          <w:spacing w:val="-4"/>
          <w:sz w:val="24"/>
          <w:szCs w:val="24"/>
        </w:rPr>
        <w:t>同时，地下水环境监测部门需要制定地下水污染应急响应预案，明确污染状</w:t>
      </w:r>
      <w:r>
        <w:rPr>
          <w:rFonts w:ascii="宋体" w:hAnsi="宋体" w:eastAsia="宋体" w:cs="宋体"/>
          <w:spacing w:val="4"/>
          <w:sz w:val="24"/>
          <w:szCs w:val="24"/>
        </w:rPr>
        <w:t xml:space="preserve"> </w:t>
      </w:r>
      <w:r>
        <w:rPr>
          <w:rFonts w:ascii="宋体" w:hAnsi="宋体" w:eastAsia="宋体" w:cs="宋体"/>
          <w:spacing w:val="-1"/>
          <w:sz w:val="24"/>
          <w:szCs w:val="24"/>
        </w:rPr>
        <w:t>况下应采取的控制污染源、切断污染途径等措施。</w:t>
      </w:r>
    </w:p>
    <w:p w14:paraId="291077BA">
      <w:pPr>
        <w:spacing w:line="221" w:lineRule="auto"/>
        <w:ind w:left="526"/>
        <w:rPr>
          <w:rFonts w:ascii="宋体" w:hAnsi="宋体" w:eastAsia="宋体" w:cs="宋体"/>
          <w:sz w:val="24"/>
          <w:szCs w:val="24"/>
        </w:rPr>
      </w:pPr>
      <w:r>
        <w:rPr>
          <w:rFonts w:ascii="宋体" w:hAnsi="宋体" w:eastAsia="宋体" w:cs="宋体"/>
          <w:spacing w:val="-6"/>
          <w:sz w:val="24"/>
          <w:szCs w:val="24"/>
        </w:rPr>
        <w:t>四、应急响应</w:t>
      </w:r>
    </w:p>
    <w:p w14:paraId="5B9BF2D7">
      <w:pPr>
        <w:spacing w:before="177" w:line="361" w:lineRule="auto"/>
        <w:ind w:left="24" w:firstLine="482"/>
        <w:jc w:val="both"/>
        <w:rPr>
          <w:rFonts w:ascii="宋体" w:hAnsi="宋体" w:eastAsia="宋体" w:cs="宋体"/>
          <w:sz w:val="24"/>
          <w:szCs w:val="24"/>
        </w:rPr>
      </w:pPr>
      <w:r>
        <w:rPr>
          <w:rFonts w:ascii="宋体" w:hAnsi="宋体" w:eastAsia="宋体" w:cs="宋体"/>
          <w:spacing w:val="-3"/>
          <w:sz w:val="24"/>
          <w:szCs w:val="24"/>
        </w:rPr>
        <w:t>一旦事故液态污染物进入地下水环境，应及时采取构筑</w:t>
      </w:r>
      <w:r>
        <w:rPr>
          <w:rFonts w:ascii="宋体" w:hAnsi="宋体" w:eastAsia="宋体" w:cs="宋体"/>
          <w:spacing w:val="-4"/>
          <w:sz w:val="24"/>
          <w:szCs w:val="24"/>
        </w:rPr>
        <w:t>围堤、挖坑收容和应</w:t>
      </w:r>
      <w:r>
        <w:rPr>
          <w:rFonts w:ascii="宋体" w:hAnsi="宋体" w:eastAsia="宋体" w:cs="宋体"/>
          <w:sz w:val="24"/>
          <w:szCs w:val="24"/>
        </w:rPr>
        <w:t xml:space="preserve"> </w:t>
      </w:r>
      <w:r>
        <w:rPr>
          <w:rFonts w:ascii="宋体" w:hAnsi="宋体" w:eastAsia="宋体" w:cs="宋体"/>
          <w:spacing w:val="-3"/>
          <w:sz w:val="24"/>
          <w:szCs w:val="24"/>
        </w:rPr>
        <w:t>急井抽注水，把液态污染物拦截住，并用抽吸软管移除液态污染物，或用防爆泵</w:t>
      </w:r>
      <w:r>
        <w:rPr>
          <w:rFonts w:ascii="宋体" w:hAnsi="宋体" w:eastAsia="宋体" w:cs="宋体"/>
          <w:sz w:val="24"/>
          <w:szCs w:val="24"/>
        </w:rPr>
        <w:t xml:space="preserve"> </w:t>
      </w:r>
      <w:r>
        <w:rPr>
          <w:rFonts w:ascii="宋体" w:hAnsi="宋体" w:eastAsia="宋体" w:cs="宋体"/>
          <w:spacing w:val="-3"/>
          <w:sz w:val="24"/>
          <w:szCs w:val="24"/>
        </w:rPr>
        <w:t>转移至槽车或专用收集器内，回收或运至废物处理厂处置。迅速将被污染的土壤</w:t>
      </w:r>
      <w:r>
        <w:rPr>
          <w:rFonts w:ascii="宋体" w:hAnsi="宋体" w:eastAsia="宋体" w:cs="宋体"/>
          <w:sz w:val="24"/>
          <w:szCs w:val="24"/>
        </w:rPr>
        <w:t xml:space="preserve"> </w:t>
      </w:r>
      <w:r>
        <w:rPr>
          <w:rFonts w:ascii="宋体" w:hAnsi="宋体" w:eastAsia="宋体" w:cs="宋体"/>
          <w:spacing w:val="-8"/>
          <w:sz w:val="24"/>
          <w:szCs w:val="24"/>
        </w:rPr>
        <w:t>收集，转移到安全地方，并进一步对污染区域环境作降解消除污染物处置。其中，</w:t>
      </w:r>
      <w:r>
        <w:rPr>
          <w:rFonts w:ascii="宋体" w:hAnsi="宋体" w:eastAsia="宋体" w:cs="宋体"/>
          <w:spacing w:val="4"/>
          <w:sz w:val="24"/>
          <w:szCs w:val="24"/>
        </w:rPr>
        <w:t xml:space="preserve"> </w:t>
      </w:r>
      <w:r>
        <w:rPr>
          <w:rFonts w:ascii="宋体" w:hAnsi="宋体" w:eastAsia="宋体" w:cs="宋体"/>
          <w:spacing w:val="-3"/>
          <w:sz w:val="24"/>
          <w:szCs w:val="24"/>
        </w:rPr>
        <w:t>主要采用应急井进行抽水，一旦监测井出现水质异常情况，应尽快对所有潜在污</w:t>
      </w:r>
      <w:r>
        <w:rPr>
          <w:rFonts w:ascii="宋体" w:hAnsi="宋体" w:eastAsia="宋体" w:cs="宋体"/>
          <w:sz w:val="24"/>
          <w:szCs w:val="24"/>
        </w:rPr>
        <w:t xml:space="preserve"> </w:t>
      </w:r>
      <w:r>
        <w:rPr>
          <w:rFonts w:ascii="宋体" w:hAnsi="宋体" w:eastAsia="宋体" w:cs="宋体"/>
          <w:spacing w:val="-8"/>
          <w:sz w:val="24"/>
          <w:szCs w:val="24"/>
        </w:rPr>
        <w:t>染设施进行检查排除，在事故点下游施工应急抽水井，将污染物质及时抽出处理，</w:t>
      </w:r>
    </w:p>
    <w:p w14:paraId="6A7389F8">
      <w:pPr>
        <w:spacing w:line="361" w:lineRule="auto"/>
        <w:rPr>
          <w:rFonts w:ascii="宋体" w:hAnsi="宋体" w:eastAsia="宋体" w:cs="宋体"/>
          <w:sz w:val="24"/>
          <w:szCs w:val="24"/>
        </w:rPr>
        <w:sectPr>
          <w:headerReference r:id="rId311" w:type="default"/>
          <w:footerReference r:id="rId312" w:type="default"/>
          <w:pgSz w:w="11906" w:h="16839"/>
          <w:pgMar w:top="1208" w:right="1738" w:bottom="1358" w:left="1785" w:header="825" w:footer="1195" w:gutter="0"/>
          <w:cols w:space="720" w:num="1"/>
        </w:sectPr>
      </w:pPr>
    </w:p>
    <w:p w14:paraId="6BCB2364">
      <w:pPr>
        <w:pStyle w:val="2"/>
        <w:spacing w:line="265" w:lineRule="auto"/>
      </w:pPr>
    </w:p>
    <w:p w14:paraId="766ED95F">
      <w:pPr>
        <w:spacing w:before="78" w:line="360" w:lineRule="auto"/>
        <w:ind w:left="25" w:right="26" w:hanging="1"/>
        <w:rPr>
          <w:rFonts w:ascii="宋体" w:hAnsi="宋体" w:eastAsia="宋体" w:cs="宋体"/>
          <w:sz w:val="24"/>
          <w:szCs w:val="24"/>
        </w:rPr>
      </w:pPr>
      <w:r>
        <w:rPr>
          <w:rFonts w:ascii="宋体" w:hAnsi="宋体" w:eastAsia="宋体" w:cs="宋体"/>
          <w:spacing w:val="-2"/>
          <w:sz w:val="24"/>
          <w:szCs w:val="24"/>
        </w:rPr>
        <w:t>提高地下水径流速度，加快污染物的流动，使得应急井能快速抽出全部污染物，</w:t>
      </w:r>
      <w:r>
        <w:rPr>
          <w:rFonts w:ascii="宋体" w:hAnsi="宋体" w:eastAsia="宋体" w:cs="宋体"/>
          <w:sz w:val="24"/>
          <w:szCs w:val="24"/>
        </w:rPr>
        <w:t xml:space="preserve"> </w:t>
      </w:r>
      <w:r>
        <w:rPr>
          <w:rFonts w:ascii="宋体" w:hAnsi="宋体" w:eastAsia="宋体" w:cs="宋体"/>
          <w:spacing w:val="-1"/>
          <w:sz w:val="24"/>
          <w:szCs w:val="24"/>
        </w:rPr>
        <w:t>形成小范围的阻水帷幕，提高应急处理的效果。</w:t>
      </w:r>
    </w:p>
    <w:p w14:paraId="5E6BD1DB">
      <w:pPr>
        <w:spacing w:before="1" w:line="220" w:lineRule="auto"/>
        <w:ind w:left="502"/>
        <w:outlineLvl w:val="2"/>
        <w:rPr>
          <w:rFonts w:ascii="宋体" w:hAnsi="宋体" w:eastAsia="宋体" w:cs="宋体"/>
          <w:sz w:val="24"/>
          <w:szCs w:val="24"/>
        </w:rPr>
      </w:pPr>
      <w:bookmarkStart w:id="130" w:name="bookmark115"/>
      <w:bookmarkEnd w:id="130"/>
      <w:r>
        <w:rPr>
          <w:rFonts w:ascii="Times New Roman" w:hAnsi="Times New Roman" w:eastAsia="Times New Roman" w:cs="Times New Roman"/>
          <w:b/>
          <w:bCs/>
          <w:spacing w:val="-5"/>
          <w:sz w:val="24"/>
          <w:szCs w:val="24"/>
        </w:rPr>
        <w:t>8.2.6</w:t>
      </w:r>
      <w:r>
        <w:rPr>
          <w:rFonts w:ascii="Times New Roman" w:hAnsi="Times New Roman" w:eastAsia="Times New Roman" w:cs="Times New Roman"/>
          <w:b/>
          <w:bCs/>
          <w:spacing w:val="20"/>
          <w:sz w:val="24"/>
          <w:szCs w:val="24"/>
        </w:rPr>
        <w:t xml:space="preserve"> </w:t>
      </w:r>
      <w:r>
        <w:rPr>
          <w:rFonts w:ascii="宋体" w:hAnsi="宋体" w:eastAsia="宋体" w:cs="宋体"/>
          <w:b/>
          <w:bCs/>
          <w:spacing w:val="-5"/>
          <w:sz w:val="24"/>
          <w:szCs w:val="24"/>
        </w:rPr>
        <w:t>结论</w:t>
      </w:r>
    </w:p>
    <w:p w14:paraId="33761100">
      <w:pPr>
        <w:spacing w:before="181" w:line="219" w:lineRule="auto"/>
        <w:ind w:left="507"/>
        <w:rPr>
          <w:rFonts w:ascii="宋体" w:hAnsi="宋体" w:eastAsia="宋体" w:cs="宋体"/>
          <w:sz w:val="24"/>
          <w:szCs w:val="24"/>
        </w:rPr>
      </w:pPr>
      <w:r>
        <w:rPr>
          <w:rFonts w:ascii="宋体" w:hAnsi="宋体" w:eastAsia="宋体" w:cs="宋体"/>
          <w:spacing w:val="-2"/>
          <w:sz w:val="24"/>
          <w:szCs w:val="24"/>
        </w:rPr>
        <w:t>一、环境水文地质现状</w:t>
      </w:r>
    </w:p>
    <w:p w14:paraId="74708E31">
      <w:pPr>
        <w:spacing w:before="182" w:line="360" w:lineRule="auto"/>
        <w:ind w:left="22" w:right="26" w:firstLine="480"/>
        <w:jc w:val="both"/>
        <w:rPr>
          <w:rFonts w:ascii="宋体" w:hAnsi="宋体" w:eastAsia="宋体" w:cs="宋体"/>
          <w:sz w:val="24"/>
          <w:szCs w:val="24"/>
        </w:rPr>
      </w:pPr>
      <w:r>
        <w:rPr>
          <w:rFonts w:ascii="宋体" w:hAnsi="宋体" w:eastAsia="宋体" w:cs="宋体"/>
          <w:spacing w:val="-3"/>
          <w:sz w:val="24"/>
          <w:szCs w:val="24"/>
        </w:rPr>
        <w:t>评价区位于丘陵及丘间洼地内，总体地势东北高西南低，丘间洼</w:t>
      </w:r>
      <w:r>
        <w:rPr>
          <w:rFonts w:ascii="宋体" w:hAnsi="宋体" w:eastAsia="宋体" w:cs="宋体"/>
          <w:spacing w:val="-4"/>
          <w:sz w:val="24"/>
          <w:szCs w:val="24"/>
        </w:rPr>
        <w:t>地内由于松</w:t>
      </w:r>
      <w:r>
        <w:rPr>
          <w:rFonts w:ascii="宋体" w:hAnsi="宋体" w:eastAsia="宋体" w:cs="宋体"/>
          <w:sz w:val="24"/>
          <w:szCs w:val="24"/>
        </w:rPr>
        <w:t xml:space="preserve"> </w:t>
      </w:r>
      <w:r>
        <w:rPr>
          <w:rFonts w:ascii="宋体" w:hAnsi="宋体" w:eastAsia="宋体" w:cs="宋体"/>
          <w:spacing w:val="-2"/>
          <w:sz w:val="24"/>
          <w:szCs w:val="24"/>
        </w:rPr>
        <w:t>散沉积物的存在，赋存第四系松散岩类孔隙水，西部丘间洼地第四系地层下部，</w:t>
      </w:r>
      <w:r>
        <w:rPr>
          <w:rFonts w:ascii="宋体" w:hAnsi="宋体" w:eastAsia="宋体" w:cs="宋体"/>
          <w:spacing w:val="2"/>
          <w:sz w:val="24"/>
          <w:szCs w:val="24"/>
        </w:rPr>
        <w:t xml:space="preserve"> </w:t>
      </w:r>
      <w:r>
        <w:rPr>
          <w:rFonts w:ascii="宋体" w:hAnsi="宋体" w:eastAsia="宋体" w:cs="宋体"/>
          <w:spacing w:val="-3"/>
          <w:sz w:val="24"/>
          <w:szCs w:val="24"/>
        </w:rPr>
        <w:t>地层以白垩系碎屑岩为主，赋存碎屑岩类孔隙裂隙水，丘陵地层以基岩为主，赋</w:t>
      </w:r>
      <w:r>
        <w:rPr>
          <w:rFonts w:ascii="宋体" w:hAnsi="宋体" w:eastAsia="宋体" w:cs="宋体"/>
          <w:spacing w:val="1"/>
          <w:sz w:val="24"/>
          <w:szCs w:val="24"/>
        </w:rPr>
        <w:t xml:space="preserve"> </w:t>
      </w:r>
      <w:r>
        <w:rPr>
          <w:rFonts w:ascii="宋体" w:hAnsi="宋体" w:eastAsia="宋体" w:cs="宋体"/>
          <w:spacing w:val="-2"/>
          <w:sz w:val="24"/>
          <w:szCs w:val="24"/>
        </w:rPr>
        <w:t>存基岩裂隙水。</w:t>
      </w:r>
    </w:p>
    <w:p w14:paraId="107D849E">
      <w:pPr>
        <w:spacing w:before="12" w:line="359" w:lineRule="auto"/>
        <w:ind w:left="22" w:firstLine="480"/>
        <w:jc w:val="both"/>
        <w:rPr>
          <w:rFonts w:ascii="宋体" w:hAnsi="宋体" w:eastAsia="宋体" w:cs="宋体"/>
          <w:sz w:val="24"/>
          <w:szCs w:val="24"/>
        </w:rPr>
      </w:pPr>
      <w:r>
        <w:rPr>
          <w:rFonts w:ascii="宋体" w:hAnsi="宋体" w:eastAsia="宋体" w:cs="宋体"/>
          <w:spacing w:val="-3"/>
          <w:sz w:val="24"/>
          <w:szCs w:val="24"/>
        </w:rPr>
        <w:t>基岩裂隙水分布于低山丘陵区及丘间洼地东部第四系含水层下部</w:t>
      </w:r>
      <w:r>
        <w:rPr>
          <w:rFonts w:ascii="宋体" w:hAnsi="宋体" w:eastAsia="宋体" w:cs="宋体"/>
          <w:spacing w:val="-4"/>
          <w:sz w:val="24"/>
          <w:szCs w:val="24"/>
        </w:rPr>
        <w:t>。含水层岩</w:t>
      </w:r>
      <w:r>
        <w:rPr>
          <w:rFonts w:ascii="宋体" w:hAnsi="宋体" w:eastAsia="宋体" w:cs="宋体"/>
          <w:sz w:val="24"/>
          <w:szCs w:val="24"/>
        </w:rPr>
        <w:t xml:space="preserve"> </w:t>
      </w:r>
      <w:r>
        <w:rPr>
          <w:rFonts w:ascii="宋体" w:hAnsi="宋体" w:eastAsia="宋体" w:cs="宋体"/>
          <w:spacing w:val="-2"/>
          <w:sz w:val="24"/>
          <w:szCs w:val="24"/>
        </w:rPr>
        <w:t>性由二叠系下统（P</w:t>
      </w:r>
      <w:r>
        <w:rPr>
          <w:rFonts w:ascii="宋体" w:hAnsi="宋体" w:eastAsia="宋体" w:cs="宋体"/>
          <w:spacing w:val="-2"/>
          <w:position w:val="-3"/>
          <w:sz w:val="12"/>
          <w:szCs w:val="12"/>
        </w:rPr>
        <w:t>1</w:t>
      </w:r>
      <w:r>
        <w:rPr>
          <w:rFonts w:ascii="宋体" w:hAnsi="宋体" w:eastAsia="宋体" w:cs="宋体"/>
          <w:spacing w:val="-26"/>
          <w:position w:val="-3"/>
          <w:sz w:val="12"/>
          <w:szCs w:val="12"/>
        </w:rPr>
        <w:t xml:space="preserve"> </w:t>
      </w:r>
      <w:r>
        <w:rPr>
          <w:rFonts w:ascii="宋体" w:hAnsi="宋体" w:eastAsia="宋体" w:cs="宋体"/>
          <w:spacing w:val="-2"/>
          <w:sz w:val="24"/>
          <w:szCs w:val="24"/>
        </w:rPr>
        <w:t>）变质砂砾岩、含砾长石砂岩、长石砂岩、长</w:t>
      </w:r>
      <w:r>
        <w:rPr>
          <w:rFonts w:ascii="宋体" w:hAnsi="宋体" w:eastAsia="宋体" w:cs="宋体"/>
          <w:spacing w:val="-3"/>
          <w:sz w:val="24"/>
          <w:szCs w:val="24"/>
        </w:rPr>
        <w:t>石细砂岩、粉</w:t>
      </w:r>
      <w:r>
        <w:rPr>
          <w:rFonts w:ascii="宋体" w:hAnsi="宋体" w:eastAsia="宋体" w:cs="宋体"/>
          <w:sz w:val="24"/>
          <w:szCs w:val="24"/>
        </w:rPr>
        <w:t xml:space="preserve"> </w:t>
      </w:r>
      <w:r>
        <w:rPr>
          <w:rFonts w:ascii="宋体" w:hAnsi="宋体" w:eastAsia="宋体" w:cs="宋体"/>
          <w:spacing w:val="-2"/>
          <w:sz w:val="24"/>
          <w:szCs w:val="24"/>
        </w:rPr>
        <w:t>砂岩、侏罗系上统（J</w:t>
      </w:r>
      <w:r>
        <w:rPr>
          <w:rFonts w:ascii="宋体" w:hAnsi="宋体" w:eastAsia="宋体" w:cs="宋体"/>
          <w:spacing w:val="-2"/>
          <w:position w:val="-3"/>
          <w:sz w:val="12"/>
          <w:szCs w:val="12"/>
        </w:rPr>
        <w:t>3</w:t>
      </w:r>
      <w:r>
        <w:rPr>
          <w:rFonts w:ascii="宋体" w:hAnsi="宋体" w:eastAsia="宋体" w:cs="宋体"/>
          <w:spacing w:val="-26"/>
          <w:position w:val="-3"/>
          <w:sz w:val="12"/>
          <w:szCs w:val="12"/>
        </w:rPr>
        <w:t xml:space="preserve"> </w:t>
      </w:r>
      <w:r>
        <w:rPr>
          <w:rFonts w:ascii="宋体" w:hAnsi="宋体" w:eastAsia="宋体" w:cs="宋体"/>
          <w:spacing w:val="-2"/>
          <w:sz w:val="24"/>
          <w:szCs w:val="24"/>
        </w:rPr>
        <w:t>）凝灰质砂砾岩、岩屑晶屑凝灰岩、安山岩</w:t>
      </w:r>
      <w:r>
        <w:rPr>
          <w:rFonts w:ascii="宋体" w:hAnsi="宋体" w:eastAsia="宋体" w:cs="宋体"/>
          <w:spacing w:val="-3"/>
          <w:sz w:val="24"/>
          <w:szCs w:val="24"/>
        </w:rPr>
        <w:t>形成的风化裂</w:t>
      </w:r>
      <w:r>
        <w:rPr>
          <w:rFonts w:ascii="宋体" w:hAnsi="宋体" w:eastAsia="宋体" w:cs="宋体"/>
          <w:sz w:val="24"/>
          <w:szCs w:val="24"/>
        </w:rPr>
        <w:t xml:space="preserve"> </w:t>
      </w:r>
      <w:r>
        <w:rPr>
          <w:rFonts w:ascii="宋体" w:hAnsi="宋体" w:eastAsia="宋体" w:cs="宋体"/>
          <w:spacing w:val="-3"/>
          <w:sz w:val="24"/>
          <w:szCs w:val="24"/>
        </w:rPr>
        <w:t>隙带和构造裂隙带。含水层受基岩风化程度和断裂构造的控制，节理裂隙发育程</w:t>
      </w:r>
      <w:r>
        <w:rPr>
          <w:rFonts w:ascii="宋体" w:hAnsi="宋体" w:eastAsia="宋体" w:cs="宋体"/>
          <w:spacing w:val="1"/>
          <w:sz w:val="24"/>
          <w:szCs w:val="24"/>
        </w:rPr>
        <w:t xml:space="preserve"> </w:t>
      </w:r>
      <w:r>
        <w:rPr>
          <w:rFonts w:ascii="宋体" w:hAnsi="宋体" w:eastAsia="宋体" w:cs="宋体"/>
          <w:spacing w:val="2"/>
          <w:sz w:val="24"/>
          <w:szCs w:val="24"/>
        </w:rPr>
        <w:t>度不均，经统计区内二叠系下统碎屑岩平均裂隙率为</w:t>
      </w:r>
      <w:r>
        <w:rPr>
          <w:rFonts w:ascii="宋体" w:hAnsi="宋体" w:eastAsia="宋体" w:cs="宋体"/>
          <w:spacing w:val="-48"/>
          <w:sz w:val="24"/>
          <w:szCs w:val="24"/>
        </w:rPr>
        <w:t xml:space="preserve"> </w:t>
      </w:r>
      <w:r>
        <w:rPr>
          <w:rFonts w:ascii="宋体" w:hAnsi="宋体" w:eastAsia="宋体" w:cs="宋体"/>
          <w:spacing w:val="2"/>
          <w:sz w:val="24"/>
          <w:szCs w:val="24"/>
        </w:rPr>
        <w:t>2.1%，</w:t>
      </w:r>
      <w:r>
        <w:rPr>
          <w:rFonts w:ascii="宋体" w:hAnsi="宋体" w:eastAsia="宋体" w:cs="宋体"/>
          <w:spacing w:val="1"/>
          <w:sz w:val="24"/>
          <w:szCs w:val="24"/>
        </w:rPr>
        <w:t>侏罗系上统火山熔</w:t>
      </w:r>
      <w:r>
        <w:rPr>
          <w:rFonts w:ascii="宋体" w:hAnsi="宋体" w:eastAsia="宋体" w:cs="宋体"/>
          <w:sz w:val="24"/>
          <w:szCs w:val="24"/>
        </w:rPr>
        <w:t xml:space="preserve"> </w:t>
      </w:r>
      <w:r>
        <w:rPr>
          <w:rFonts w:ascii="宋体" w:hAnsi="宋体" w:eastAsia="宋体" w:cs="宋体"/>
          <w:spacing w:val="-1"/>
          <w:sz w:val="24"/>
          <w:szCs w:val="24"/>
        </w:rPr>
        <w:t>岩平均裂隙率为</w:t>
      </w:r>
      <w:r>
        <w:rPr>
          <w:rFonts w:ascii="宋体" w:hAnsi="宋体" w:eastAsia="宋体" w:cs="宋体"/>
          <w:spacing w:val="-17"/>
          <w:sz w:val="24"/>
          <w:szCs w:val="24"/>
        </w:rPr>
        <w:t xml:space="preserve"> </w:t>
      </w:r>
      <w:r>
        <w:rPr>
          <w:rFonts w:ascii="宋体" w:hAnsi="宋体" w:eastAsia="宋体" w:cs="宋体"/>
          <w:spacing w:val="-1"/>
          <w:sz w:val="24"/>
          <w:szCs w:val="24"/>
        </w:rPr>
        <w:t>1.5%，含水层厚度一般</w:t>
      </w:r>
      <w:r>
        <w:rPr>
          <w:rFonts w:ascii="宋体" w:hAnsi="宋体" w:eastAsia="宋体" w:cs="宋体"/>
          <w:spacing w:val="-48"/>
          <w:sz w:val="24"/>
          <w:szCs w:val="24"/>
        </w:rPr>
        <w:t xml:space="preserve"> </w:t>
      </w:r>
      <w:r>
        <w:rPr>
          <w:rFonts w:ascii="宋体" w:hAnsi="宋体" w:eastAsia="宋体" w:cs="宋体"/>
          <w:spacing w:val="-1"/>
          <w:sz w:val="24"/>
          <w:szCs w:val="24"/>
        </w:rPr>
        <w:t>20-30m。裂隙潜水靠大气降水直接渗入</w:t>
      </w:r>
      <w:r>
        <w:rPr>
          <w:rFonts w:ascii="宋体" w:hAnsi="宋体" w:eastAsia="宋体" w:cs="宋体"/>
          <w:sz w:val="24"/>
          <w:szCs w:val="24"/>
        </w:rPr>
        <w:t xml:space="preserve"> </w:t>
      </w:r>
      <w:r>
        <w:rPr>
          <w:rFonts w:ascii="宋体" w:hAnsi="宋体" w:eastAsia="宋体" w:cs="宋体"/>
          <w:spacing w:val="-3"/>
          <w:sz w:val="24"/>
          <w:szCs w:val="24"/>
        </w:rPr>
        <w:t>补给，以泉水、地下径流的形式排泄至沟谷中补给第四系松散岩类孔隙水，或补</w:t>
      </w:r>
      <w:r>
        <w:rPr>
          <w:rFonts w:ascii="宋体" w:hAnsi="宋体" w:eastAsia="宋体" w:cs="宋体"/>
          <w:spacing w:val="1"/>
          <w:sz w:val="24"/>
          <w:szCs w:val="24"/>
        </w:rPr>
        <w:t xml:space="preserve"> </w:t>
      </w:r>
      <w:r>
        <w:rPr>
          <w:rFonts w:ascii="宋体" w:hAnsi="宋体" w:eastAsia="宋体" w:cs="宋体"/>
          <w:spacing w:val="-3"/>
          <w:sz w:val="24"/>
          <w:szCs w:val="24"/>
        </w:rPr>
        <w:t>给评价区西北部第四系地层下部的碎屑岩类孔隙裂隙水。水位埋深随地形起伏变</w:t>
      </w:r>
      <w:r>
        <w:rPr>
          <w:rFonts w:ascii="宋体" w:hAnsi="宋体" w:eastAsia="宋体" w:cs="宋体"/>
          <w:spacing w:val="1"/>
          <w:sz w:val="24"/>
          <w:szCs w:val="24"/>
        </w:rPr>
        <w:t xml:space="preserve"> </w:t>
      </w:r>
      <w:r>
        <w:rPr>
          <w:rFonts w:ascii="宋体" w:hAnsi="宋体" w:eastAsia="宋体" w:cs="宋体"/>
          <w:spacing w:val="-3"/>
          <w:sz w:val="24"/>
          <w:szCs w:val="24"/>
        </w:rPr>
        <w:t>化，一般来说，地形高处水位埋藏深，地形低处水位埋藏浅，水量取决于基岩裂</w:t>
      </w:r>
      <w:r>
        <w:rPr>
          <w:rFonts w:ascii="宋体" w:hAnsi="宋体" w:eastAsia="宋体" w:cs="宋体"/>
          <w:spacing w:val="1"/>
          <w:sz w:val="24"/>
          <w:szCs w:val="24"/>
        </w:rPr>
        <w:t xml:space="preserve"> </w:t>
      </w:r>
      <w:r>
        <w:rPr>
          <w:rFonts w:ascii="宋体" w:hAnsi="宋体" w:eastAsia="宋体" w:cs="宋体"/>
          <w:spacing w:val="-18"/>
          <w:sz w:val="24"/>
          <w:szCs w:val="24"/>
        </w:rPr>
        <w:t>隙的发育程度，富水性较差，单井疏干水量（8</w:t>
      </w:r>
      <w:r>
        <w:rPr>
          <w:rFonts w:ascii="宋体" w:hAnsi="宋体" w:eastAsia="宋体" w:cs="宋体"/>
          <w:spacing w:val="-74"/>
          <w:sz w:val="24"/>
          <w:szCs w:val="24"/>
        </w:rPr>
        <w:t xml:space="preserve"> </w:t>
      </w:r>
      <w:r>
        <w:rPr>
          <w:rFonts w:ascii="宋体" w:hAnsi="宋体" w:eastAsia="宋体" w:cs="宋体"/>
          <w:spacing w:val="-18"/>
          <w:sz w:val="24"/>
          <w:szCs w:val="24"/>
        </w:rPr>
        <w:t>″</w:t>
      </w:r>
      <w:r>
        <w:rPr>
          <w:rFonts w:ascii="宋体" w:hAnsi="宋体" w:eastAsia="宋体" w:cs="宋体"/>
          <w:spacing w:val="-74"/>
          <w:sz w:val="24"/>
          <w:szCs w:val="24"/>
        </w:rPr>
        <w:t xml:space="preserve"> </w:t>
      </w:r>
      <w:r>
        <w:rPr>
          <w:rFonts w:ascii="宋体" w:hAnsi="宋体" w:eastAsia="宋体" w:cs="宋体"/>
          <w:spacing w:val="-18"/>
          <w:sz w:val="24"/>
          <w:szCs w:val="24"/>
        </w:rPr>
        <w:t>口径，5m</w:t>
      </w:r>
      <w:r>
        <w:rPr>
          <w:rFonts w:ascii="宋体" w:hAnsi="宋体" w:eastAsia="宋体" w:cs="宋体"/>
          <w:spacing w:val="-32"/>
          <w:sz w:val="24"/>
          <w:szCs w:val="24"/>
        </w:rPr>
        <w:t xml:space="preserve"> </w:t>
      </w:r>
      <w:r>
        <w:rPr>
          <w:rFonts w:ascii="宋体" w:hAnsi="宋体" w:eastAsia="宋体" w:cs="宋体"/>
          <w:spacing w:val="-18"/>
          <w:sz w:val="24"/>
          <w:szCs w:val="24"/>
        </w:rPr>
        <w:t>降深）一般小于</w:t>
      </w:r>
      <w:r>
        <w:rPr>
          <w:rFonts w:ascii="宋体" w:hAnsi="宋体" w:eastAsia="宋体" w:cs="宋体"/>
          <w:spacing w:val="-33"/>
          <w:sz w:val="24"/>
          <w:szCs w:val="24"/>
        </w:rPr>
        <w:t xml:space="preserve"> </w:t>
      </w:r>
      <w:r>
        <w:rPr>
          <w:rFonts w:ascii="宋体" w:hAnsi="宋体" w:eastAsia="宋体" w:cs="宋体"/>
          <w:spacing w:val="-18"/>
          <w:sz w:val="24"/>
          <w:szCs w:val="24"/>
        </w:rPr>
        <w:t>100m</w:t>
      </w:r>
      <w:r>
        <w:rPr>
          <w:rFonts w:ascii="宋体" w:hAnsi="宋体" w:eastAsia="宋体" w:cs="宋体"/>
          <w:spacing w:val="14"/>
          <w:w w:val="102"/>
          <w:position w:val="11"/>
          <w:sz w:val="12"/>
          <w:szCs w:val="12"/>
        </w:rPr>
        <w:t>3</w:t>
      </w:r>
      <w:r>
        <w:rPr>
          <w:rFonts w:ascii="宋体" w:hAnsi="宋体" w:eastAsia="宋体" w:cs="宋体"/>
          <w:spacing w:val="-20"/>
          <w:sz w:val="24"/>
          <w:szCs w:val="24"/>
        </w:rPr>
        <w:t>/d，</w:t>
      </w:r>
      <w:r>
        <w:rPr>
          <w:rFonts w:ascii="宋体" w:hAnsi="宋体" w:eastAsia="宋体" w:cs="宋体"/>
          <w:sz w:val="24"/>
          <w:szCs w:val="24"/>
        </w:rPr>
        <w:t xml:space="preserve"> </w:t>
      </w:r>
      <w:r>
        <w:rPr>
          <w:rFonts w:ascii="宋体" w:hAnsi="宋体" w:eastAsia="宋体" w:cs="宋体"/>
          <w:spacing w:val="12"/>
          <w:sz w:val="24"/>
          <w:szCs w:val="24"/>
        </w:rPr>
        <w:t>泉流量</w:t>
      </w:r>
      <w:r>
        <w:rPr>
          <w:rFonts w:ascii="宋体" w:hAnsi="宋体" w:eastAsia="宋体" w:cs="宋体"/>
          <w:spacing w:val="-71"/>
          <w:sz w:val="24"/>
          <w:szCs w:val="24"/>
        </w:rPr>
        <w:t xml:space="preserve"> </w:t>
      </w:r>
      <w:r>
        <w:rPr>
          <w:rFonts w:ascii="宋体" w:hAnsi="宋体" w:eastAsia="宋体" w:cs="宋体"/>
          <w:spacing w:val="12"/>
          <w:sz w:val="24"/>
          <w:szCs w:val="24"/>
        </w:rPr>
        <w:t>小于 1.24L/s</w:t>
      </w:r>
      <w:r>
        <w:rPr>
          <w:rFonts w:ascii="宋体" w:hAnsi="宋体" w:eastAsia="宋体" w:cs="宋体"/>
          <w:spacing w:val="-57"/>
          <w:sz w:val="24"/>
          <w:szCs w:val="24"/>
        </w:rPr>
        <w:t xml:space="preserve"> </w:t>
      </w:r>
      <w:r>
        <w:rPr>
          <w:rFonts w:ascii="宋体" w:hAnsi="宋体" w:eastAsia="宋体" w:cs="宋体"/>
          <w:spacing w:val="12"/>
          <w:sz w:val="24"/>
          <w:szCs w:val="24"/>
        </w:rPr>
        <w:t>，水质较好</w:t>
      </w:r>
      <w:r>
        <w:rPr>
          <w:rFonts w:ascii="宋体" w:hAnsi="宋体" w:eastAsia="宋体" w:cs="宋体"/>
          <w:spacing w:val="-60"/>
          <w:sz w:val="24"/>
          <w:szCs w:val="24"/>
        </w:rPr>
        <w:t xml:space="preserve"> </w:t>
      </w:r>
      <w:r>
        <w:rPr>
          <w:rFonts w:ascii="宋体" w:hAnsi="宋体" w:eastAsia="宋体" w:cs="宋体"/>
          <w:spacing w:val="12"/>
          <w:sz w:val="24"/>
          <w:szCs w:val="24"/>
        </w:rPr>
        <w:t>，矿化度一般</w:t>
      </w:r>
      <w:r>
        <w:rPr>
          <w:rFonts w:ascii="宋体" w:hAnsi="宋体" w:eastAsia="宋体" w:cs="宋体"/>
          <w:spacing w:val="-71"/>
          <w:sz w:val="24"/>
          <w:szCs w:val="24"/>
        </w:rPr>
        <w:t xml:space="preserve"> </w:t>
      </w:r>
      <w:r>
        <w:rPr>
          <w:rFonts w:ascii="宋体" w:hAnsi="宋体" w:eastAsia="宋体" w:cs="宋体"/>
          <w:spacing w:val="12"/>
          <w:sz w:val="24"/>
          <w:szCs w:val="24"/>
        </w:rPr>
        <w:t>小于 1g/L</w:t>
      </w:r>
      <w:r>
        <w:rPr>
          <w:rFonts w:ascii="宋体" w:hAnsi="宋体" w:eastAsia="宋体" w:cs="宋体"/>
          <w:spacing w:val="-57"/>
          <w:sz w:val="24"/>
          <w:szCs w:val="24"/>
        </w:rPr>
        <w:t xml:space="preserve"> </w:t>
      </w:r>
      <w:r>
        <w:rPr>
          <w:rFonts w:ascii="宋体" w:hAnsi="宋体" w:eastAsia="宋体" w:cs="宋体"/>
          <w:spacing w:val="12"/>
          <w:sz w:val="24"/>
          <w:szCs w:val="24"/>
        </w:rPr>
        <w:t>，</w:t>
      </w:r>
      <w:r>
        <w:rPr>
          <w:rFonts w:ascii="宋体" w:hAnsi="宋体" w:eastAsia="宋体" w:cs="宋体"/>
          <w:spacing w:val="11"/>
          <w:sz w:val="24"/>
          <w:szCs w:val="24"/>
        </w:rPr>
        <w:t>水化学类型为</w:t>
      </w:r>
      <w:r>
        <w:rPr>
          <w:rFonts w:ascii="宋体" w:hAnsi="宋体" w:eastAsia="宋体" w:cs="宋体"/>
          <w:sz w:val="24"/>
          <w:szCs w:val="24"/>
        </w:rPr>
        <w:t xml:space="preserve"> </w:t>
      </w:r>
      <w:r>
        <w:rPr>
          <w:rFonts w:ascii="宋体" w:hAnsi="宋体" w:eastAsia="宋体" w:cs="宋体"/>
          <w:spacing w:val="-3"/>
          <w:sz w:val="24"/>
          <w:szCs w:val="24"/>
        </w:rPr>
        <w:t>SO</w:t>
      </w:r>
      <w:r>
        <w:rPr>
          <w:rFonts w:ascii="宋体" w:hAnsi="宋体" w:eastAsia="宋体" w:cs="宋体"/>
          <w:spacing w:val="-3"/>
          <w:position w:val="-3"/>
          <w:sz w:val="12"/>
          <w:szCs w:val="12"/>
        </w:rPr>
        <w:t>4</w:t>
      </w:r>
      <w:r>
        <w:rPr>
          <w:rFonts w:ascii="宋体" w:hAnsi="宋体" w:eastAsia="宋体" w:cs="宋体"/>
          <w:spacing w:val="45"/>
          <w:position w:val="-3"/>
          <w:sz w:val="12"/>
          <w:szCs w:val="12"/>
        </w:rPr>
        <w:t xml:space="preserve"> </w:t>
      </w:r>
      <w:r>
        <w:rPr>
          <w:rFonts w:ascii="宋体" w:hAnsi="宋体" w:eastAsia="宋体" w:cs="宋体"/>
          <w:spacing w:val="-18"/>
          <w:sz w:val="24"/>
          <w:szCs w:val="24"/>
        </w:rPr>
        <w:t>·Cl-Mg</w:t>
      </w:r>
      <w:r>
        <w:rPr>
          <w:rFonts w:ascii="宋体" w:hAnsi="宋体" w:eastAsia="宋体" w:cs="宋体"/>
          <w:spacing w:val="-28"/>
          <w:sz w:val="24"/>
          <w:szCs w:val="24"/>
        </w:rPr>
        <w:t xml:space="preserve"> </w:t>
      </w:r>
      <w:r>
        <w:rPr>
          <w:rFonts w:ascii="宋体" w:hAnsi="宋体" w:eastAsia="宋体" w:cs="宋体"/>
          <w:spacing w:val="-18"/>
          <w:sz w:val="24"/>
          <w:szCs w:val="24"/>
        </w:rPr>
        <w:t>·Ca</w:t>
      </w:r>
      <w:r>
        <w:rPr>
          <w:rFonts w:ascii="宋体" w:hAnsi="宋体" w:eastAsia="宋体" w:cs="宋体"/>
          <w:spacing w:val="-28"/>
          <w:sz w:val="24"/>
          <w:szCs w:val="24"/>
        </w:rPr>
        <w:t xml:space="preserve"> </w:t>
      </w:r>
      <w:r>
        <w:rPr>
          <w:rFonts w:ascii="宋体" w:hAnsi="宋体" w:eastAsia="宋体" w:cs="宋体"/>
          <w:spacing w:val="-18"/>
          <w:sz w:val="24"/>
          <w:szCs w:val="24"/>
        </w:rPr>
        <w:t>·Na、HCO</w:t>
      </w:r>
      <w:r>
        <w:rPr>
          <w:rFonts w:ascii="宋体" w:hAnsi="宋体" w:eastAsia="宋体" w:cs="宋体"/>
          <w:spacing w:val="14"/>
          <w:position w:val="-3"/>
          <w:sz w:val="12"/>
          <w:szCs w:val="12"/>
        </w:rPr>
        <w:t>3</w:t>
      </w:r>
      <w:r>
        <w:rPr>
          <w:rFonts w:ascii="宋体" w:hAnsi="宋体" w:eastAsia="宋体" w:cs="宋体"/>
          <w:spacing w:val="31"/>
          <w:w w:val="101"/>
          <w:position w:val="-3"/>
          <w:sz w:val="12"/>
          <w:szCs w:val="12"/>
        </w:rPr>
        <w:t xml:space="preserve"> </w:t>
      </w:r>
      <w:r>
        <w:rPr>
          <w:rFonts w:ascii="宋体" w:hAnsi="宋体" w:eastAsia="宋体" w:cs="宋体"/>
          <w:spacing w:val="-31"/>
          <w:sz w:val="24"/>
          <w:szCs w:val="24"/>
        </w:rPr>
        <w:t>·Cl</w:t>
      </w:r>
      <w:r>
        <w:rPr>
          <w:rFonts w:ascii="宋体" w:hAnsi="宋体" w:eastAsia="宋体" w:cs="宋体"/>
          <w:spacing w:val="-28"/>
          <w:sz w:val="24"/>
          <w:szCs w:val="24"/>
        </w:rPr>
        <w:t xml:space="preserve"> </w:t>
      </w:r>
      <w:r>
        <w:rPr>
          <w:rFonts w:ascii="宋体" w:hAnsi="宋体" w:eastAsia="宋体" w:cs="宋体"/>
          <w:spacing w:val="-31"/>
          <w:sz w:val="24"/>
          <w:szCs w:val="24"/>
        </w:rPr>
        <w:t>·SO</w:t>
      </w:r>
      <w:r>
        <w:rPr>
          <w:rFonts w:ascii="宋体" w:hAnsi="宋体" w:eastAsia="宋体" w:cs="宋体"/>
          <w:position w:val="-3"/>
          <w:sz w:val="12"/>
          <w:szCs w:val="12"/>
        </w:rPr>
        <w:t>4</w:t>
      </w:r>
      <w:r>
        <w:rPr>
          <w:rFonts w:ascii="宋体" w:hAnsi="宋体" w:eastAsia="宋体" w:cs="宋体"/>
          <w:sz w:val="24"/>
          <w:szCs w:val="24"/>
        </w:rPr>
        <w:t>-Ca</w:t>
      </w:r>
      <w:r>
        <w:rPr>
          <w:rFonts w:ascii="宋体" w:hAnsi="宋体" w:eastAsia="宋体" w:cs="宋体"/>
          <w:spacing w:val="-28"/>
          <w:sz w:val="24"/>
          <w:szCs w:val="24"/>
        </w:rPr>
        <w:t xml:space="preserve"> </w:t>
      </w:r>
      <w:r>
        <w:rPr>
          <w:rFonts w:ascii="宋体" w:hAnsi="宋体" w:eastAsia="宋体" w:cs="宋体"/>
          <w:spacing w:val="-10"/>
          <w:sz w:val="24"/>
          <w:szCs w:val="24"/>
        </w:rPr>
        <w:t>·Mg</w:t>
      </w:r>
      <w:r>
        <w:rPr>
          <w:rFonts w:ascii="宋体" w:hAnsi="宋体" w:eastAsia="宋体" w:cs="宋体"/>
          <w:spacing w:val="-28"/>
          <w:sz w:val="24"/>
          <w:szCs w:val="24"/>
        </w:rPr>
        <w:t xml:space="preserve"> </w:t>
      </w:r>
      <w:r>
        <w:rPr>
          <w:rFonts w:ascii="宋体" w:hAnsi="宋体" w:eastAsia="宋体" w:cs="宋体"/>
          <w:spacing w:val="-10"/>
          <w:sz w:val="24"/>
          <w:szCs w:val="24"/>
        </w:rPr>
        <w:t>·Na</w:t>
      </w:r>
      <w:r>
        <w:rPr>
          <w:rFonts w:ascii="宋体" w:hAnsi="宋体" w:eastAsia="宋体" w:cs="宋体"/>
          <w:spacing w:val="-41"/>
          <w:sz w:val="24"/>
          <w:szCs w:val="24"/>
        </w:rPr>
        <w:t xml:space="preserve"> </w:t>
      </w:r>
      <w:r>
        <w:rPr>
          <w:rFonts w:ascii="宋体" w:hAnsi="宋体" w:eastAsia="宋体" w:cs="宋体"/>
          <w:spacing w:val="-10"/>
          <w:sz w:val="24"/>
          <w:szCs w:val="24"/>
        </w:rPr>
        <w:t>型水。丘陵区是评价区地下水</w:t>
      </w:r>
      <w:r>
        <w:rPr>
          <w:rFonts w:ascii="宋体" w:hAnsi="宋体" w:eastAsia="宋体" w:cs="宋体"/>
          <w:sz w:val="24"/>
          <w:szCs w:val="24"/>
        </w:rPr>
        <w:t xml:space="preserve"> </w:t>
      </w:r>
      <w:r>
        <w:rPr>
          <w:rFonts w:ascii="宋体" w:hAnsi="宋体" w:eastAsia="宋体" w:cs="宋体"/>
          <w:spacing w:val="-2"/>
          <w:sz w:val="24"/>
          <w:szCs w:val="24"/>
        </w:rPr>
        <w:t>的补给区。</w:t>
      </w:r>
    </w:p>
    <w:p w14:paraId="7095114F">
      <w:pPr>
        <w:spacing w:before="7" w:line="357" w:lineRule="auto"/>
        <w:ind w:left="23" w:right="26" w:firstLine="479"/>
        <w:jc w:val="both"/>
        <w:rPr>
          <w:rFonts w:ascii="宋体" w:hAnsi="宋体" w:eastAsia="宋体" w:cs="宋体"/>
          <w:sz w:val="24"/>
          <w:szCs w:val="24"/>
        </w:rPr>
      </w:pPr>
      <w:r>
        <w:rPr>
          <w:rFonts w:ascii="宋体" w:hAnsi="宋体" w:eastAsia="宋体" w:cs="宋体"/>
          <w:spacing w:val="-3"/>
          <w:sz w:val="24"/>
          <w:szCs w:val="24"/>
        </w:rPr>
        <w:t>碎屑岩类孔隙裂隙水分布于评价区北部及中部及西部第四系地层</w:t>
      </w:r>
      <w:r>
        <w:rPr>
          <w:rFonts w:ascii="宋体" w:hAnsi="宋体" w:eastAsia="宋体" w:cs="宋体"/>
          <w:spacing w:val="-4"/>
          <w:sz w:val="24"/>
          <w:szCs w:val="24"/>
        </w:rPr>
        <w:t>下部，含水</w:t>
      </w:r>
      <w:r>
        <w:rPr>
          <w:rFonts w:ascii="宋体" w:hAnsi="宋体" w:eastAsia="宋体" w:cs="宋体"/>
          <w:sz w:val="24"/>
          <w:szCs w:val="24"/>
        </w:rPr>
        <w:t xml:space="preserve"> </w:t>
      </w:r>
      <w:r>
        <w:rPr>
          <w:rFonts w:ascii="宋体" w:hAnsi="宋体" w:eastAsia="宋体" w:cs="宋体"/>
          <w:spacing w:val="-2"/>
          <w:sz w:val="24"/>
          <w:szCs w:val="24"/>
        </w:rPr>
        <w:t>层岩性为白垩系玄武岩、新近系上统砂岩，孔隙、裂隙发育，含水透水性较好，</w:t>
      </w:r>
      <w:r>
        <w:rPr>
          <w:rFonts w:ascii="宋体" w:hAnsi="宋体" w:eastAsia="宋体" w:cs="宋体"/>
          <w:spacing w:val="1"/>
          <w:sz w:val="24"/>
          <w:szCs w:val="24"/>
        </w:rPr>
        <w:t xml:space="preserve"> </w:t>
      </w:r>
      <w:r>
        <w:rPr>
          <w:rFonts w:ascii="宋体" w:hAnsi="宋体" w:eastAsia="宋体" w:cs="宋体"/>
          <w:spacing w:val="-3"/>
          <w:sz w:val="24"/>
          <w:szCs w:val="24"/>
        </w:rPr>
        <w:t>由于上部为新近系上统泥岩与第四系岩性为粉质粘土，分布均匀稳定，形成稳定</w:t>
      </w:r>
      <w:r>
        <w:rPr>
          <w:rFonts w:ascii="宋体" w:hAnsi="宋体" w:eastAsia="宋体" w:cs="宋体"/>
          <w:spacing w:val="1"/>
          <w:sz w:val="24"/>
          <w:szCs w:val="24"/>
        </w:rPr>
        <w:t xml:space="preserve"> </w:t>
      </w:r>
      <w:r>
        <w:rPr>
          <w:rFonts w:ascii="宋体" w:hAnsi="宋体" w:eastAsia="宋体" w:cs="宋体"/>
          <w:spacing w:val="-3"/>
          <w:sz w:val="24"/>
          <w:szCs w:val="24"/>
        </w:rPr>
        <w:t>的隔水层，本区碎屑岩类孔隙裂隙水具承压性质，地层直接出露区为潜水。含水</w:t>
      </w:r>
      <w:r>
        <w:rPr>
          <w:rFonts w:ascii="宋体" w:hAnsi="宋体" w:eastAsia="宋体" w:cs="宋体"/>
          <w:spacing w:val="1"/>
          <w:sz w:val="24"/>
          <w:szCs w:val="24"/>
        </w:rPr>
        <w:t xml:space="preserve"> </w:t>
      </w:r>
      <w:r>
        <w:rPr>
          <w:rFonts w:ascii="宋体" w:hAnsi="宋体" w:eastAsia="宋体" w:cs="宋体"/>
          <w:spacing w:val="-4"/>
          <w:sz w:val="24"/>
          <w:szCs w:val="24"/>
        </w:rPr>
        <w:t>层厚度</w:t>
      </w:r>
      <w:r>
        <w:rPr>
          <w:rFonts w:ascii="宋体" w:hAnsi="宋体" w:eastAsia="宋体" w:cs="宋体"/>
          <w:spacing w:val="-46"/>
          <w:sz w:val="24"/>
          <w:szCs w:val="24"/>
        </w:rPr>
        <w:t xml:space="preserve"> </w:t>
      </w:r>
      <w:r>
        <w:rPr>
          <w:rFonts w:ascii="宋体" w:hAnsi="宋体" w:eastAsia="宋体" w:cs="宋体"/>
          <w:spacing w:val="-4"/>
          <w:sz w:val="24"/>
          <w:szCs w:val="24"/>
        </w:rPr>
        <w:t>50m</w:t>
      </w:r>
      <w:r>
        <w:rPr>
          <w:rFonts w:ascii="宋体" w:hAnsi="宋体" w:eastAsia="宋体" w:cs="宋体"/>
          <w:spacing w:val="-48"/>
          <w:sz w:val="24"/>
          <w:szCs w:val="24"/>
        </w:rPr>
        <w:t xml:space="preserve"> </w:t>
      </w:r>
      <w:r>
        <w:rPr>
          <w:rFonts w:ascii="宋体" w:hAnsi="宋体" w:eastAsia="宋体" w:cs="宋体"/>
          <w:spacing w:val="-4"/>
          <w:sz w:val="24"/>
          <w:szCs w:val="24"/>
        </w:rPr>
        <w:t>左右，静止水位埋深</w:t>
      </w:r>
      <w:r>
        <w:rPr>
          <w:rFonts w:ascii="宋体" w:hAnsi="宋体" w:eastAsia="宋体" w:cs="宋体"/>
          <w:spacing w:val="-31"/>
          <w:sz w:val="24"/>
          <w:szCs w:val="24"/>
        </w:rPr>
        <w:t xml:space="preserve"> </w:t>
      </w:r>
      <w:r>
        <w:rPr>
          <w:rFonts w:ascii="宋体" w:hAnsi="宋体" w:eastAsia="宋体" w:cs="宋体"/>
          <w:spacing w:val="-4"/>
          <w:sz w:val="24"/>
          <w:szCs w:val="24"/>
        </w:rPr>
        <w:t>10-20m，单井疏干水量（8</w:t>
      </w:r>
      <w:r>
        <w:rPr>
          <w:rFonts w:ascii="宋体" w:hAnsi="宋体" w:eastAsia="宋体" w:cs="宋体"/>
          <w:spacing w:val="-76"/>
          <w:sz w:val="24"/>
          <w:szCs w:val="24"/>
        </w:rPr>
        <w:t xml:space="preserve"> </w:t>
      </w:r>
      <w:r>
        <w:rPr>
          <w:rFonts w:ascii="宋体" w:hAnsi="宋体" w:eastAsia="宋体" w:cs="宋体"/>
          <w:spacing w:val="-4"/>
          <w:sz w:val="24"/>
          <w:szCs w:val="24"/>
        </w:rPr>
        <w:t>″</w:t>
      </w:r>
      <w:r>
        <w:rPr>
          <w:rFonts w:ascii="宋体" w:hAnsi="宋体" w:eastAsia="宋体" w:cs="宋体"/>
          <w:spacing w:val="-74"/>
          <w:sz w:val="24"/>
          <w:szCs w:val="24"/>
        </w:rPr>
        <w:t xml:space="preserve"> </w:t>
      </w:r>
      <w:r>
        <w:rPr>
          <w:rFonts w:ascii="宋体" w:hAnsi="宋体" w:eastAsia="宋体" w:cs="宋体"/>
          <w:spacing w:val="-4"/>
          <w:sz w:val="24"/>
          <w:szCs w:val="24"/>
        </w:rPr>
        <w:t>口径，10m</w:t>
      </w:r>
      <w:r>
        <w:rPr>
          <w:rFonts w:ascii="宋体" w:hAnsi="宋体" w:eastAsia="宋体" w:cs="宋体"/>
          <w:spacing w:val="-32"/>
          <w:sz w:val="24"/>
          <w:szCs w:val="24"/>
        </w:rPr>
        <w:t xml:space="preserve"> </w:t>
      </w:r>
      <w:r>
        <w:rPr>
          <w:rFonts w:ascii="宋体" w:hAnsi="宋体" w:eastAsia="宋体" w:cs="宋体"/>
          <w:spacing w:val="-4"/>
          <w:sz w:val="24"/>
          <w:szCs w:val="24"/>
        </w:rPr>
        <w:t>降深）</w:t>
      </w:r>
    </w:p>
    <w:p w14:paraId="4E3B8F4F">
      <w:pPr>
        <w:spacing w:before="1" w:line="366" w:lineRule="auto"/>
        <w:ind w:left="21" w:right="61" w:firstLine="5"/>
        <w:rPr>
          <w:rFonts w:ascii="宋体" w:hAnsi="宋体" w:eastAsia="宋体" w:cs="宋体"/>
          <w:sz w:val="24"/>
          <w:szCs w:val="24"/>
        </w:rPr>
      </w:pPr>
      <w:r>
        <w:rPr>
          <w:rFonts w:ascii="宋体" w:hAnsi="宋体" w:eastAsia="宋体" w:cs="宋体"/>
          <w:spacing w:val="-10"/>
          <w:sz w:val="24"/>
          <w:szCs w:val="24"/>
        </w:rPr>
        <w:t>一</w:t>
      </w:r>
      <w:r>
        <w:rPr>
          <w:rFonts w:ascii="宋体" w:hAnsi="宋体" w:eastAsia="宋体" w:cs="宋体"/>
          <w:spacing w:val="49"/>
          <w:sz w:val="24"/>
          <w:szCs w:val="24"/>
        </w:rPr>
        <w:t xml:space="preserve"> </w:t>
      </w:r>
      <w:r>
        <w:rPr>
          <w:rFonts w:ascii="宋体" w:hAnsi="宋体" w:eastAsia="宋体" w:cs="宋体"/>
          <w:spacing w:val="-10"/>
          <w:sz w:val="24"/>
          <w:szCs w:val="24"/>
        </w:rPr>
        <w:t>般</w:t>
      </w:r>
      <w:r>
        <w:rPr>
          <w:rFonts w:ascii="宋体" w:hAnsi="宋体" w:eastAsia="宋体" w:cs="宋体"/>
          <w:spacing w:val="50"/>
          <w:sz w:val="24"/>
          <w:szCs w:val="24"/>
        </w:rPr>
        <w:t xml:space="preserve"> </w:t>
      </w:r>
      <w:r>
        <w:rPr>
          <w:rFonts w:ascii="宋体" w:hAnsi="宋体" w:eastAsia="宋体" w:cs="宋体"/>
          <w:spacing w:val="-10"/>
          <w:sz w:val="24"/>
          <w:szCs w:val="24"/>
        </w:rPr>
        <w:t>小</w:t>
      </w:r>
      <w:r>
        <w:rPr>
          <w:rFonts w:ascii="宋体" w:hAnsi="宋体" w:eastAsia="宋体" w:cs="宋体"/>
          <w:spacing w:val="49"/>
          <w:sz w:val="24"/>
          <w:szCs w:val="24"/>
        </w:rPr>
        <w:t xml:space="preserve"> </w:t>
      </w:r>
      <w:r>
        <w:rPr>
          <w:rFonts w:ascii="宋体" w:hAnsi="宋体" w:eastAsia="宋体" w:cs="宋体"/>
          <w:spacing w:val="-10"/>
          <w:sz w:val="24"/>
          <w:szCs w:val="24"/>
        </w:rPr>
        <w:t>于</w:t>
      </w:r>
      <w:r>
        <w:rPr>
          <w:rFonts w:ascii="宋体" w:hAnsi="宋体" w:eastAsia="宋体" w:cs="宋体"/>
          <w:spacing w:val="1"/>
          <w:sz w:val="24"/>
          <w:szCs w:val="24"/>
        </w:rPr>
        <w:t xml:space="preserve">  </w:t>
      </w:r>
      <w:r>
        <w:rPr>
          <w:rFonts w:ascii="宋体" w:hAnsi="宋体" w:eastAsia="宋体" w:cs="宋体"/>
          <w:spacing w:val="-10"/>
          <w:sz w:val="24"/>
          <w:szCs w:val="24"/>
        </w:rPr>
        <w:t>100m</w:t>
      </w:r>
      <w:r>
        <w:rPr>
          <w:rFonts w:ascii="宋体" w:hAnsi="宋体" w:eastAsia="宋体" w:cs="宋体"/>
          <w:position w:val="11"/>
          <w:sz w:val="12"/>
          <w:szCs w:val="12"/>
        </w:rPr>
        <w:t>3</w:t>
      </w:r>
      <w:r>
        <w:rPr>
          <w:rFonts w:ascii="宋体" w:hAnsi="宋体" w:eastAsia="宋体" w:cs="宋体"/>
          <w:sz w:val="24"/>
          <w:szCs w:val="24"/>
        </w:rPr>
        <w:t>/d</w:t>
      </w:r>
      <w:r>
        <w:rPr>
          <w:rFonts w:ascii="宋体" w:hAnsi="宋体" w:eastAsia="宋体" w:cs="宋体"/>
          <w:spacing w:val="64"/>
          <w:sz w:val="24"/>
          <w:szCs w:val="24"/>
        </w:rPr>
        <w:t xml:space="preserve"> </w:t>
      </w:r>
      <w:r>
        <w:rPr>
          <w:rFonts w:ascii="宋体" w:hAnsi="宋体" w:eastAsia="宋体" w:cs="宋体"/>
          <w:spacing w:val="-8"/>
          <w:sz w:val="24"/>
          <w:szCs w:val="24"/>
        </w:rPr>
        <w:t>，</w:t>
      </w:r>
      <w:r>
        <w:rPr>
          <w:rFonts w:ascii="宋体" w:hAnsi="宋体" w:eastAsia="宋体" w:cs="宋体"/>
          <w:spacing w:val="44"/>
          <w:sz w:val="24"/>
          <w:szCs w:val="24"/>
        </w:rPr>
        <w:t xml:space="preserve"> </w:t>
      </w:r>
      <w:r>
        <w:rPr>
          <w:rFonts w:ascii="宋体" w:hAnsi="宋体" w:eastAsia="宋体" w:cs="宋体"/>
          <w:spacing w:val="-8"/>
          <w:sz w:val="24"/>
          <w:szCs w:val="24"/>
        </w:rPr>
        <w:t>矿</w:t>
      </w:r>
      <w:r>
        <w:rPr>
          <w:rFonts w:ascii="宋体" w:hAnsi="宋体" w:eastAsia="宋体" w:cs="宋体"/>
          <w:spacing w:val="44"/>
          <w:sz w:val="24"/>
          <w:szCs w:val="24"/>
        </w:rPr>
        <w:t xml:space="preserve"> </w:t>
      </w:r>
      <w:r>
        <w:rPr>
          <w:rFonts w:ascii="宋体" w:hAnsi="宋体" w:eastAsia="宋体" w:cs="宋体"/>
          <w:spacing w:val="-8"/>
          <w:sz w:val="24"/>
          <w:szCs w:val="24"/>
        </w:rPr>
        <w:t>化</w:t>
      </w:r>
      <w:r>
        <w:rPr>
          <w:rFonts w:ascii="宋体" w:hAnsi="宋体" w:eastAsia="宋体" w:cs="宋体"/>
          <w:spacing w:val="45"/>
          <w:sz w:val="24"/>
          <w:szCs w:val="24"/>
        </w:rPr>
        <w:t xml:space="preserve"> </w:t>
      </w:r>
      <w:r>
        <w:rPr>
          <w:rFonts w:ascii="宋体" w:hAnsi="宋体" w:eastAsia="宋体" w:cs="宋体"/>
          <w:spacing w:val="-8"/>
          <w:sz w:val="24"/>
          <w:szCs w:val="24"/>
        </w:rPr>
        <w:t>度</w:t>
      </w:r>
      <w:r>
        <w:rPr>
          <w:rFonts w:ascii="宋体" w:hAnsi="宋体" w:eastAsia="宋体" w:cs="宋体"/>
          <w:spacing w:val="107"/>
          <w:sz w:val="24"/>
          <w:szCs w:val="24"/>
        </w:rPr>
        <w:t xml:space="preserve"> </w:t>
      </w:r>
      <w:r>
        <w:rPr>
          <w:rFonts w:ascii="宋体" w:hAnsi="宋体" w:eastAsia="宋体" w:cs="宋体"/>
          <w:spacing w:val="-8"/>
          <w:sz w:val="24"/>
          <w:szCs w:val="24"/>
        </w:rPr>
        <w:t>0.62-0.7g/L</w:t>
      </w:r>
      <w:r>
        <w:rPr>
          <w:rFonts w:ascii="宋体" w:hAnsi="宋体" w:eastAsia="宋体" w:cs="宋体"/>
          <w:spacing w:val="65"/>
          <w:sz w:val="24"/>
          <w:szCs w:val="24"/>
        </w:rPr>
        <w:t xml:space="preserve"> </w:t>
      </w:r>
      <w:r>
        <w:rPr>
          <w:rFonts w:ascii="宋体" w:hAnsi="宋体" w:eastAsia="宋体" w:cs="宋体"/>
          <w:spacing w:val="-8"/>
          <w:sz w:val="24"/>
          <w:szCs w:val="24"/>
        </w:rPr>
        <w:t>，</w:t>
      </w:r>
      <w:r>
        <w:rPr>
          <w:rFonts w:ascii="宋体" w:hAnsi="宋体" w:eastAsia="宋体" w:cs="宋体"/>
          <w:spacing w:val="48"/>
          <w:sz w:val="24"/>
          <w:szCs w:val="24"/>
        </w:rPr>
        <w:t xml:space="preserve"> </w:t>
      </w:r>
      <w:r>
        <w:rPr>
          <w:rFonts w:ascii="宋体" w:hAnsi="宋体" w:eastAsia="宋体" w:cs="宋体"/>
          <w:spacing w:val="-8"/>
          <w:sz w:val="24"/>
          <w:szCs w:val="24"/>
        </w:rPr>
        <w:t>水</w:t>
      </w:r>
      <w:r>
        <w:rPr>
          <w:rFonts w:ascii="宋体" w:hAnsi="宋体" w:eastAsia="宋体" w:cs="宋体"/>
          <w:spacing w:val="44"/>
          <w:sz w:val="24"/>
          <w:szCs w:val="24"/>
        </w:rPr>
        <w:t xml:space="preserve"> </w:t>
      </w:r>
      <w:r>
        <w:rPr>
          <w:rFonts w:ascii="宋体" w:hAnsi="宋体" w:eastAsia="宋体" w:cs="宋体"/>
          <w:spacing w:val="-8"/>
          <w:sz w:val="24"/>
          <w:szCs w:val="24"/>
        </w:rPr>
        <w:t>化</w:t>
      </w:r>
      <w:r>
        <w:rPr>
          <w:rFonts w:ascii="宋体" w:hAnsi="宋体" w:eastAsia="宋体" w:cs="宋体"/>
          <w:spacing w:val="50"/>
          <w:sz w:val="24"/>
          <w:szCs w:val="24"/>
        </w:rPr>
        <w:t xml:space="preserve"> </w:t>
      </w:r>
      <w:r>
        <w:rPr>
          <w:rFonts w:ascii="宋体" w:hAnsi="宋体" w:eastAsia="宋体" w:cs="宋体"/>
          <w:spacing w:val="-8"/>
          <w:sz w:val="24"/>
          <w:szCs w:val="24"/>
        </w:rPr>
        <w:t>学</w:t>
      </w:r>
      <w:r>
        <w:rPr>
          <w:rFonts w:ascii="宋体" w:hAnsi="宋体" w:eastAsia="宋体" w:cs="宋体"/>
          <w:spacing w:val="46"/>
          <w:sz w:val="24"/>
          <w:szCs w:val="24"/>
        </w:rPr>
        <w:t xml:space="preserve"> </w:t>
      </w:r>
      <w:r>
        <w:rPr>
          <w:rFonts w:ascii="宋体" w:hAnsi="宋体" w:eastAsia="宋体" w:cs="宋体"/>
          <w:spacing w:val="-8"/>
          <w:sz w:val="24"/>
          <w:szCs w:val="24"/>
        </w:rPr>
        <w:t>类</w:t>
      </w:r>
      <w:r>
        <w:rPr>
          <w:rFonts w:ascii="宋体" w:hAnsi="宋体" w:eastAsia="宋体" w:cs="宋体"/>
          <w:spacing w:val="52"/>
          <w:sz w:val="24"/>
          <w:szCs w:val="24"/>
        </w:rPr>
        <w:t xml:space="preserve"> </w:t>
      </w:r>
      <w:r>
        <w:rPr>
          <w:rFonts w:ascii="宋体" w:hAnsi="宋体" w:eastAsia="宋体" w:cs="宋体"/>
          <w:spacing w:val="-8"/>
          <w:sz w:val="24"/>
          <w:szCs w:val="24"/>
        </w:rPr>
        <w:t>型</w:t>
      </w:r>
      <w:r>
        <w:rPr>
          <w:rFonts w:ascii="宋体" w:hAnsi="宋体" w:eastAsia="宋体" w:cs="宋体"/>
          <w:spacing w:val="49"/>
          <w:sz w:val="24"/>
          <w:szCs w:val="24"/>
        </w:rPr>
        <w:t xml:space="preserve"> </w:t>
      </w:r>
      <w:r>
        <w:rPr>
          <w:rFonts w:ascii="宋体" w:hAnsi="宋体" w:eastAsia="宋体" w:cs="宋体"/>
          <w:spacing w:val="-8"/>
          <w:sz w:val="24"/>
          <w:szCs w:val="24"/>
        </w:rPr>
        <w:t>为</w:t>
      </w:r>
      <w:r>
        <w:rPr>
          <w:rFonts w:ascii="宋体" w:hAnsi="宋体" w:eastAsia="宋体" w:cs="宋体"/>
          <w:sz w:val="24"/>
          <w:szCs w:val="24"/>
        </w:rPr>
        <w:t xml:space="preserve"> </w:t>
      </w:r>
      <w:r>
        <w:rPr>
          <w:rFonts w:ascii="宋体" w:hAnsi="宋体" w:eastAsia="宋体" w:cs="宋体"/>
          <w:spacing w:val="-17"/>
          <w:sz w:val="24"/>
          <w:szCs w:val="24"/>
        </w:rPr>
        <w:t>Cl</w:t>
      </w:r>
      <w:r>
        <w:rPr>
          <w:rFonts w:ascii="宋体" w:hAnsi="宋体" w:eastAsia="宋体" w:cs="宋体"/>
          <w:spacing w:val="-11"/>
          <w:sz w:val="24"/>
          <w:szCs w:val="24"/>
        </w:rPr>
        <w:t xml:space="preserve"> </w:t>
      </w:r>
      <w:r>
        <w:rPr>
          <w:rFonts w:ascii="宋体" w:hAnsi="宋体" w:eastAsia="宋体" w:cs="宋体"/>
          <w:spacing w:val="-17"/>
          <w:sz w:val="24"/>
          <w:szCs w:val="24"/>
        </w:rPr>
        <w:t>·HCO</w:t>
      </w:r>
      <w:r>
        <w:rPr>
          <w:rFonts w:ascii="宋体" w:hAnsi="宋体" w:eastAsia="宋体" w:cs="宋体"/>
          <w:spacing w:val="1"/>
          <w:position w:val="-3"/>
          <w:sz w:val="12"/>
          <w:szCs w:val="12"/>
        </w:rPr>
        <w:t>3</w:t>
      </w:r>
      <w:r>
        <w:rPr>
          <w:rFonts w:ascii="宋体" w:hAnsi="宋体" w:eastAsia="宋体" w:cs="宋体"/>
          <w:spacing w:val="31"/>
          <w:w w:val="101"/>
          <w:position w:val="-3"/>
          <w:sz w:val="12"/>
          <w:szCs w:val="12"/>
        </w:rPr>
        <w:t xml:space="preserve"> </w:t>
      </w:r>
      <w:r>
        <w:rPr>
          <w:rFonts w:ascii="宋体" w:hAnsi="宋体" w:eastAsia="宋体" w:cs="宋体"/>
          <w:spacing w:val="-31"/>
          <w:sz w:val="24"/>
          <w:szCs w:val="24"/>
        </w:rPr>
        <w:t>·SO</w:t>
      </w:r>
      <w:r>
        <w:rPr>
          <w:rFonts w:ascii="宋体" w:hAnsi="宋体" w:eastAsia="宋体" w:cs="宋体"/>
          <w:position w:val="-3"/>
          <w:sz w:val="12"/>
          <w:szCs w:val="12"/>
        </w:rPr>
        <w:t>4</w:t>
      </w:r>
      <w:r>
        <w:rPr>
          <w:rFonts w:ascii="宋体" w:hAnsi="宋体" w:eastAsia="宋体" w:cs="宋体"/>
          <w:sz w:val="24"/>
          <w:szCs w:val="24"/>
        </w:rPr>
        <w:t>-Mg</w:t>
      </w:r>
      <w:r>
        <w:rPr>
          <w:rFonts w:ascii="宋体" w:hAnsi="宋体" w:eastAsia="宋体" w:cs="宋体"/>
          <w:spacing w:val="-28"/>
          <w:sz w:val="24"/>
          <w:szCs w:val="24"/>
        </w:rPr>
        <w:t xml:space="preserve"> </w:t>
      </w:r>
      <w:r>
        <w:rPr>
          <w:rFonts w:ascii="宋体" w:hAnsi="宋体" w:eastAsia="宋体" w:cs="宋体"/>
          <w:spacing w:val="-9"/>
          <w:sz w:val="24"/>
          <w:szCs w:val="24"/>
        </w:rPr>
        <w:t>·Ca</w:t>
      </w:r>
      <w:r>
        <w:rPr>
          <w:rFonts w:ascii="宋体" w:hAnsi="宋体" w:eastAsia="宋体" w:cs="宋体"/>
          <w:spacing w:val="-28"/>
          <w:sz w:val="24"/>
          <w:szCs w:val="24"/>
        </w:rPr>
        <w:t xml:space="preserve"> </w:t>
      </w:r>
      <w:r>
        <w:rPr>
          <w:rFonts w:ascii="宋体" w:hAnsi="宋体" w:eastAsia="宋体" w:cs="宋体"/>
          <w:spacing w:val="-9"/>
          <w:sz w:val="24"/>
          <w:szCs w:val="24"/>
        </w:rPr>
        <w:t>·Na</w:t>
      </w:r>
      <w:r>
        <w:rPr>
          <w:rFonts w:ascii="宋体" w:hAnsi="宋体" w:eastAsia="宋体" w:cs="宋体"/>
          <w:spacing w:val="-44"/>
          <w:sz w:val="24"/>
          <w:szCs w:val="24"/>
        </w:rPr>
        <w:t xml:space="preserve"> </w:t>
      </w:r>
      <w:r>
        <w:rPr>
          <w:rFonts w:ascii="宋体" w:hAnsi="宋体" w:eastAsia="宋体" w:cs="宋体"/>
          <w:spacing w:val="-9"/>
          <w:sz w:val="24"/>
          <w:szCs w:val="24"/>
        </w:rPr>
        <w:t>型水。是评价区地下水的补给、径流区。</w:t>
      </w:r>
    </w:p>
    <w:p w14:paraId="0FD55CD0">
      <w:pPr>
        <w:spacing w:before="1" w:line="217" w:lineRule="auto"/>
        <w:ind w:left="503"/>
        <w:rPr>
          <w:rFonts w:ascii="宋体" w:hAnsi="宋体" w:eastAsia="宋体" w:cs="宋体"/>
          <w:sz w:val="24"/>
          <w:szCs w:val="24"/>
        </w:rPr>
      </w:pPr>
      <w:r>
        <w:rPr>
          <w:rFonts w:ascii="宋体" w:hAnsi="宋体" w:eastAsia="宋体" w:cs="宋体"/>
          <w:spacing w:val="-3"/>
          <w:sz w:val="24"/>
          <w:szCs w:val="24"/>
        </w:rPr>
        <w:t>第四系松散岩类孔隙水广泛分布评价区大部分地区。含水层岩性</w:t>
      </w:r>
      <w:r>
        <w:rPr>
          <w:rFonts w:ascii="宋体" w:hAnsi="宋体" w:eastAsia="宋体" w:cs="宋体"/>
          <w:spacing w:val="-4"/>
          <w:sz w:val="24"/>
          <w:szCs w:val="24"/>
        </w:rPr>
        <w:t>由第四系全</w:t>
      </w:r>
    </w:p>
    <w:p w14:paraId="05FCE4EC">
      <w:pPr>
        <w:spacing w:line="217" w:lineRule="auto"/>
        <w:rPr>
          <w:rFonts w:ascii="宋体" w:hAnsi="宋体" w:eastAsia="宋体" w:cs="宋体"/>
          <w:sz w:val="24"/>
          <w:szCs w:val="24"/>
        </w:rPr>
        <w:sectPr>
          <w:footerReference r:id="rId313" w:type="default"/>
          <w:pgSz w:w="11906" w:h="16839"/>
          <w:pgMar w:top="1208" w:right="1738" w:bottom="1358" w:left="1785" w:header="825" w:footer="1195" w:gutter="0"/>
          <w:cols w:space="720" w:num="1"/>
        </w:sectPr>
      </w:pPr>
    </w:p>
    <w:p w14:paraId="6BC13228">
      <w:pPr>
        <w:pStyle w:val="2"/>
        <w:spacing w:line="265" w:lineRule="auto"/>
      </w:pPr>
    </w:p>
    <w:p w14:paraId="0BBF8CB0">
      <w:pPr>
        <w:spacing w:before="78" w:line="360" w:lineRule="auto"/>
        <w:ind w:left="22" w:right="18" w:firstLine="1"/>
        <w:jc w:val="both"/>
        <w:rPr>
          <w:rFonts w:ascii="宋体" w:hAnsi="宋体" w:eastAsia="宋体" w:cs="宋体"/>
          <w:sz w:val="24"/>
          <w:szCs w:val="24"/>
        </w:rPr>
      </w:pPr>
      <w:r>
        <w:rPr>
          <w:rFonts w:ascii="宋体" w:hAnsi="宋体" w:eastAsia="宋体" w:cs="宋体"/>
          <w:spacing w:val="-7"/>
          <w:sz w:val="24"/>
          <w:szCs w:val="24"/>
        </w:rPr>
        <w:t>新统冲积、湖积、风积形成的粉细砂、中粗砂、砾砂</w:t>
      </w:r>
      <w:r>
        <w:rPr>
          <w:rFonts w:ascii="宋体" w:hAnsi="宋体" w:eastAsia="宋体" w:cs="宋体"/>
          <w:spacing w:val="-8"/>
          <w:sz w:val="24"/>
          <w:szCs w:val="24"/>
        </w:rPr>
        <w:t>及第四系中上更新统中粗砂、</w:t>
      </w:r>
      <w:r>
        <w:rPr>
          <w:rFonts w:ascii="宋体" w:hAnsi="宋体" w:eastAsia="宋体" w:cs="宋体"/>
          <w:sz w:val="24"/>
          <w:szCs w:val="24"/>
        </w:rPr>
        <w:t xml:space="preserve"> </w:t>
      </w:r>
      <w:r>
        <w:rPr>
          <w:rFonts w:ascii="宋体" w:hAnsi="宋体" w:eastAsia="宋体" w:cs="宋体"/>
          <w:spacing w:val="-3"/>
          <w:sz w:val="24"/>
          <w:szCs w:val="24"/>
        </w:rPr>
        <w:t>砾砂组成，岩性随所处地貌的不同而有所差异。含水层厚度在丘陵附近较薄，在</w:t>
      </w:r>
      <w:r>
        <w:rPr>
          <w:rFonts w:ascii="宋体" w:hAnsi="宋体" w:eastAsia="宋体" w:cs="宋体"/>
          <w:spacing w:val="1"/>
          <w:sz w:val="24"/>
          <w:szCs w:val="24"/>
        </w:rPr>
        <w:t xml:space="preserve"> </w:t>
      </w:r>
      <w:r>
        <w:rPr>
          <w:rFonts w:ascii="宋体" w:hAnsi="宋体" w:eastAsia="宋体" w:cs="宋体"/>
          <w:spacing w:val="17"/>
          <w:sz w:val="24"/>
          <w:szCs w:val="24"/>
        </w:rPr>
        <w:t>丘间洼地中心及西部含水层厚度逐渐变厚</w:t>
      </w:r>
      <w:r>
        <w:rPr>
          <w:rFonts w:ascii="宋体" w:hAnsi="宋体" w:eastAsia="宋体" w:cs="宋体"/>
          <w:spacing w:val="-57"/>
          <w:sz w:val="24"/>
          <w:szCs w:val="24"/>
        </w:rPr>
        <w:t xml:space="preserve"> </w:t>
      </w:r>
      <w:r>
        <w:rPr>
          <w:rFonts w:ascii="宋体" w:hAnsi="宋体" w:eastAsia="宋体" w:cs="宋体"/>
          <w:spacing w:val="17"/>
          <w:sz w:val="24"/>
          <w:szCs w:val="24"/>
        </w:rPr>
        <w:t>，</w:t>
      </w:r>
      <w:r>
        <w:rPr>
          <w:rFonts w:ascii="宋体" w:hAnsi="宋体" w:eastAsia="宋体" w:cs="宋体"/>
          <w:spacing w:val="-67"/>
          <w:sz w:val="24"/>
          <w:szCs w:val="24"/>
        </w:rPr>
        <w:t xml:space="preserve"> </w:t>
      </w:r>
      <w:r>
        <w:rPr>
          <w:rFonts w:ascii="宋体" w:hAnsi="宋体" w:eastAsia="宋体" w:cs="宋体"/>
          <w:spacing w:val="17"/>
          <w:sz w:val="24"/>
          <w:szCs w:val="24"/>
        </w:rPr>
        <w:t>10-55m</w:t>
      </w:r>
      <w:r>
        <w:rPr>
          <w:rFonts w:ascii="宋体" w:hAnsi="宋体" w:eastAsia="宋体" w:cs="宋体"/>
          <w:spacing w:val="-15"/>
          <w:sz w:val="24"/>
          <w:szCs w:val="24"/>
        </w:rPr>
        <w:t xml:space="preserve"> </w:t>
      </w:r>
      <w:r>
        <w:rPr>
          <w:rFonts w:ascii="宋体" w:hAnsi="宋体" w:eastAsia="宋体" w:cs="宋体"/>
          <w:spacing w:val="17"/>
          <w:sz w:val="24"/>
          <w:szCs w:val="24"/>
        </w:rPr>
        <w:t>不等</w:t>
      </w:r>
      <w:r>
        <w:rPr>
          <w:rFonts w:ascii="宋体" w:hAnsi="宋体" w:eastAsia="宋体" w:cs="宋体"/>
          <w:spacing w:val="-63"/>
          <w:sz w:val="24"/>
          <w:szCs w:val="24"/>
        </w:rPr>
        <w:t xml:space="preserve"> </w:t>
      </w:r>
      <w:r>
        <w:rPr>
          <w:rFonts w:ascii="宋体" w:hAnsi="宋体" w:eastAsia="宋体" w:cs="宋体"/>
          <w:spacing w:val="17"/>
          <w:sz w:val="24"/>
          <w:szCs w:val="24"/>
        </w:rPr>
        <w:t>，水位埋深一般</w:t>
      </w:r>
      <w:r>
        <w:rPr>
          <w:rFonts w:ascii="宋体" w:hAnsi="宋体" w:eastAsia="宋体" w:cs="宋体"/>
          <w:sz w:val="24"/>
          <w:szCs w:val="24"/>
        </w:rPr>
        <w:t xml:space="preserve"> </w:t>
      </w:r>
      <w:r>
        <w:rPr>
          <w:rFonts w:ascii="宋体" w:hAnsi="宋体" w:eastAsia="宋体" w:cs="宋体"/>
          <w:spacing w:val="-4"/>
          <w:sz w:val="24"/>
          <w:szCs w:val="24"/>
        </w:rPr>
        <w:t>2.59-14.44m。评价区东部富水性较差，单井疏干水量（10</w:t>
      </w:r>
      <w:r>
        <w:rPr>
          <w:rFonts w:ascii="宋体" w:hAnsi="宋体" w:eastAsia="宋体" w:cs="宋体"/>
          <w:spacing w:val="-69"/>
          <w:sz w:val="24"/>
          <w:szCs w:val="24"/>
        </w:rPr>
        <w:t xml:space="preserve"> </w:t>
      </w:r>
      <w:r>
        <w:rPr>
          <w:rFonts w:ascii="宋体" w:hAnsi="宋体" w:eastAsia="宋体" w:cs="宋体"/>
          <w:spacing w:val="-4"/>
          <w:sz w:val="24"/>
          <w:szCs w:val="24"/>
        </w:rPr>
        <w:t>″</w:t>
      </w:r>
      <w:r>
        <w:rPr>
          <w:rFonts w:ascii="宋体" w:hAnsi="宋体" w:eastAsia="宋体" w:cs="宋体"/>
          <w:spacing w:val="-75"/>
          <w:sz w:val="24"/>
          <w:szCs w:val="24"/>
        </w:rPr>
        <w:t xml:space="preserve"> </w:t>
      </w:r>
      <w:r>
        <w:rPr>
          <w:rFonts w:ascii="宋体" w:hAnsi="宋体" w:eastAsia="宋体" w:cs="宋体"/>
          <w:spacing w:val="-4"/>
          <w:sz w:val="24"/>
          <w:szCs w:val="24"/>
        </w:rPr>
        <w:t>口径，5m</w:t>
      </w:r>
      <w:r>
        <w:rPr>
          <w:rFonts w:ascii="宋体" w:hAnsi="宋体" w:eastAsia="宋体" w:cs="宋体"/>
          <w:spacing w:val="-32"/>
          <w:sz w:val="24"/>
          <w:szCs w:val="24"/>
        </w:rPr>
        <w:t xml:space="preserve"> </w:t>
      </w:r>
      <w:r>
        <w:rPr>
          <w:rFonts w:ascii="宋体" w:hAnsi="宋体" w:eastAsia="宋体" w:cs="宋体"/>
          <w:spacing w:val="-4"/>
          <w:sz w:val="24"/>
          <w:szCs w:val="24"/>
        </w:rPr>
        <w:t>降深）一</w:t>
      </w:r>
      <w:r>
        <w:rPr>
          <w:rFonts w:ascii="宋体" w:hAnsi="宋体" w:eastAsia="宋体" w:cs="宋体"/>
          <w:sz w:val="24"/>
          <w:szCs w:val="24"/>
        </w:rPr>
        <w:t xml:space="preserve"> </w:t>
      </w:r>
      <w:r>
        <w:rPr>
          <w:rFonts w:ascii="宋体" w:hAnsi="宋体" w:eastAsia="宋体" w:cs="宋体"/>
          <w:spacing w:val="-1"/>
          <w:sz w:val="24"/>
          <w:szCs w:val="24"/>
        </w:rPr>
        <w:t>般小于</w:t>
      </w:r>
      <w:r>
        <w:rPr>
          <w:rFonts w:ascii="宋体" w:hAnsi="宋体" w:eastAsia="宋体" w:cs="宋体"/>
          <w:spacing w:val="-17"/>
          <w:sz w:val="24"/>
          <w:szCs w:val="24"/>
        </w:rPr>
        <w:t xml:space="preserve"> </w:t>
      </w:r>
      <w:r>
        <w:rPr>
          <w:rFonts w:ascii="宋体" w:hAnsi="宋体" w:eastAsia="宋体" w:cs="宋体"/>
          <w:spacing w:val="-1"/>
          <w:sz w:val="24"/>
          <w:szCs w:val="24"/>
        </w:rPr>
        <w:t>100m</w:t>
      </w:r>
      <w:r>
        <w:rPr>
          <w:rFonts w:ascii="宋体" w:hAnsi="宋体" w:eastAsia="宋体" w:cs="宋体"/>
          <w:spacing w:val="-1"/>
          <w:position w:val="11"/>
          <w:sz w:val="12"/>
          <w:szCs w:val="12"/>
        </w:rPr>
        <w:t>3</w:t>
      </w:r>
      <w:r>
        <w:rPr>
          <w:rFonts w:ascii="宋体" w:hAnsi="宋体" w:eastAsia="宋体" w:cs="宋体"/>
          <w:spacing w:val="-1"/>
          <w:sz w:val="24"/>
          <w:szCs w:val="24"/>
        </w:rPr>
        <w:t>/d，根据抽水试验资料，S2</w:t>
      </w:r>
      <w:r>
        <w:rPr>
          <w:rFonts w:ascii="宋体" w:hAnsi="宋体" w:eastAsia="宋体" w:cs="宋体"/>
          <w:spacing w:val="-41"/>
          <w:sz w:val="24"/>
          <w:szCs w:val="24"/>
        </w:rPr>
        <w:t xml:space="preserve"> </w:t>
      </w:r>
      <w:r>
        <w:rPr>
          <w:rFonts w:ascii="宋体" w:hAnsi="宋体" w:eastAsia="宋体" w:cs="宋体"/>
          <w:spacing w:val="-1"/>
          <w:sz w:val="24"/>
          <w:szCs w:val="24"/>
        </w:rPr>
        <w:t>号井抽水试验降深</w:t>
      </w:r>
      <w:r>
        <w:rPr>
          <w:rFonts w:ascii="宋体" w:hAnsi="宋体" w:eastAsia="宋体" w:cs="宋体"/>
          <w:spacing w:val="-30"/>
          <w:sz w:val="24"/>
          <w:szCs w:val="24"/>
        </w:rPr>
        <w:t xml:space="preserve"> </w:t>
      </w:r>
      <w:r>
        <w:rPr>
          <w:rFonts w:ascii="宋体" w:hAnsi="宋体" w:eastAsia="宋体" w:cs="宋体"/>
          <w:spacing w:val="-1"/>
          <w:sz w:val="24"/>
          <w:szCs w:val="24"/>
        </w:rPr>
        <w:t>15.91m</w:t>
      </w:r>
      <w:r>
        <w:rPr>
          <w:rFonts w:ascii="宋体" w:hAnsi="宋体" w:eastAsia="宋体" w:cs="宋体"/>
          <w:spacing w:val="-37"/>
          <w:sz w:val="24"/>
          <w:szCs w:val="24"/>
        </w:rPr>
        <w:t xml:space="preserve"> </w:t>
      </w:r>
      <w:r>
        <w:rPr>
          <w:rFonts w:ascii="宋体" w:hAnsi="宋体" w:eastAsia="宋体" w:cs="宋体"/>
          <w:spacing w:val="-1"/>
          <w:sz w:val="24"/>
          <w:szCs w:val="24"/>
        </w:rPr>
        <w:t>时疏干水量</w:t>
      </w:r>
      <w:r>
        <w:rPr>
          <w:rFonts w:ascii="宋体" w:hAnsi="宋体" w:eastAsia="宋体" w:cs="宋体"/>
          <w:sz w:val="24"/>
          <w:szCs w:val="24"/>
        </w:rPr>
        <w:t xml:space="preserve"> 为</w:t>
      </w:r>
      <w:r>
        <w:rPr>
          <w:rFonts w:ascii="宋体" w:hAnsi="宋体" w:eastAsia="宋体" w:cs="宋体"/>
          <w:spacing w:val="-31"/>
          <w:sz w:val="24"/>
          <w:szCs w:val="24"/>
        </w:rPr>
        <w:t xml:space="preserve"> </w:t>
      </w:r>
      <w:r>
        <w:rPr>
          <w:rFonts w:ascii="宋体" w:hAnsi="宋体" w:eastAsia="宋体" w:cs="宋体"/>
          <w:sz w:val="24"/>
          <w:szCs w:val="24"/>
        </w:rPr>
        <w:t>145m</w:t>
      </w:r>
      <w:r>
        <w:rPr>
          <w:rFonts w:ascii="宋体" w:hAnsi="宋体" w:eastAsia="宋体" w:cs="宋体"/>
          <w:position w:val="11"/>
          <w:sz w:val="12"/>
          <w:szCs w:val="12"/>
        </w:rPr>
        <w:t>3</w:t>
      </w:r>
      <w:r>
        <w:rPr>
          <w:rFonts w:ascii="宋体" w:hAnsi="宋体" w:eastAsia="宋体" w:cs="宋体"/>
          <w:sz w:val="24"/>
          <w:szCs w:val="24"/>
        </w:rPr>
        <w:t>/d，换算疏干水量为</w:t>
      </w:r>
      <w:r>
        <w:rPr>
          <w:rFonts w:ascii="宋体" w:hAnsi="宋体" w:eastAsia="宋体" w:cs="宋体"/>
          <w:spacing w:val="-47"/>
          <w:sz w:val="24"/>
          <w:szCs w:val="24"/>
        </w:rPr>
        <w:t xml:space="preserve"> </w:t>
      </w:r>
      <w:r>
        <w:rPr>
          <w:rFonts w:ascii="宋体" w:hAnsi="宋体" w:eastAsia="宋体" w:cs="宋体"/>
          <w:sz w:val="24"/>
          <w:szCs w:val="24"/>
        </w:rPr>
        <w:t>45.57m</w:t>
      </w:r>
      <w:r>
        <w:rPr>
          <w:rFonts w:ascii="宋体" w:hAnsi="宋体" w:eastAsia="宋体" w:cs="宋体"/>
          <w:position w:val="11"/>
          <w:sz w:val="12"/>
          <w:szCs w:val="12"/>
        </w:rPr>
        <w:t>3</w:t>
      </w:r>
      <w:r>
        <w:rPr>
          <w:rFonts w:ascii="宋体" w:hAnsi="宋体" w:eastAsia="宋体" w:cs="宋体"/>
          <w:spacing w:val="-1"/>
          <w:sz w:val="24"/>
          <w:szCs w:val="24"/>
        </w:rPr>
        <w:t>/d；S15</w:t>
      </w:r>
      <w:r>
        <w:rPr>
          <w:rFonts w:ascii="宋体" w:hAnsi="宋体" w:eastAsia="宋体" w:cs="宋体"/>
          <w:spacing w:val="-42"/>
          <w:sz w:val="24"/>
          <w:szCs w:val="24"/>
        </w:rPr>
        <w:t xml:space="preserve"> </w:t>
      </w:r>
      <w:r>
        <w:rPr>
          <w:rFonts w:ascii="宋体" w:hAnsi="宋体" w:eastAsia="宋体" w:cs="宋体"/>
          <w:spacing w:val="-1"/>
          <w:sz w:val="24"/>
          <w:szCs w:val="24"/>
        </w:rPr>
        <w:t>号井抽水试验降深</w:t>
      </w:r>
      <w:r>
        <w:rPr>
          <w:rFonts w:ascii="宋体" w:hAnsi="宋体" w:eastAsia="宋体" w:cs="宋体"/>
          <w:spacing w:val="-47"/>
          <w:sz w:val="24"/>
          <w:szCs w:val="24"/>
        </w:rPr>
        <w:t xml:space="preserve"> </w:t>
      </w:r>
      <w:r>
        <w:rPr>
          <w:rFonts w:ascii="宋体" w:hAnsi="宋体" w:eastAsia="宋体" w:cs="宋体"/>
          <w:spacing w:val="-1"/>
          <w:sz w:val="24"/>
          <w:szCs w:val="24"/>
        </w:rPr>
        <w:t>4.1m</w:t>
      </w:r>
      <w:r>
        <w:rPr>
          <w:rFonts w:ascii="宋体" w:hAnsi="宋体" w:eastAsia="宋体" w:cs="宋体"/>
          <w:spacing w:val="-37"/>
          <w:sz w:val="24"/>
          <w:szCs w:val="24"/>
        </w:rPr>
        <w:t xml:space="preserve"> </w:t>
      </w:r>
      <w:r>
        <w:rPr>
          <w:rFonts w:ascii="宋体" w:hAnsi="宋体" w:eastAsia="宋体" w:cs="宋体"/>
          <w:spacing w:val="-1"/>
          <w:sz w:val="24"/>
          <w:szCs w:val="24"/>
        </w:rPr>
        <w:t>时疏干水</w:t>
      </w:r>
      <w:r>
        <w:rPr>
          <w:rFonts w:ascii="宋体" w:hAnsi="宋体" w:eastAsia="宋体" w:cs="宋体"/>
          <w:sz w:val="24"/>
          <w:szCs w:val="24"/>
        </w:rPr>
        <w:t xml:space="preserve"> 量为</w:t>
      </w:r>
      <w:r>
        <w:rPr>
          <w:rFonts w:ascii="宋体" w:hAnsi="宋体" w:eastAsia="宋体" w:cs="宋体"/>
          <w:spacing w:val="-46"/>
          <w:sz w:val="24"/>
          <w:szCs w:val="24"/>
        </w:rPr>
        <w:t xml:space="preserve"> </w:t>
      </w:r>
      <w:r>
        <w:rPr>
          <w:rFonts w:ascii="宋体" w:hAnsi="宋体" w:eastAsia="宋体" w:cs="宋体"/>
          <w:sz w:val="24"/>
          <w:szCs w:val="24"/>
        </w:rPr>
        <w:t>34m</w:t>
      </w:r>
      <w:r>
        <w:rPr>
          <w:rFonts w:ascii="宋体" w:hAnsi="宋体" w:eastAsia="宋体" w:cs="宋体"/>
          <w:position w:val="11"/>
          <w:sz w:val="12"/>
          <w:szCs w:val="12"/>
        </w:rPr>
        <w:t>3</w:t>
      </w:r>
      <w:r>
        <w:rPr>
          <w:rFonts w:ascii="宋体" w:hAnsi="宋体" w:eastAsia="宋体" w:cs="宋体"/>
          <w:sz w:val="24"/>
          <w:szCs w:val="24"/>
        </w:rPr>
        <w:t>/d，换算疏干水量为</w:t>
      </w:r>
      <w:r>
        <w:rPr>
          <w:rFonts w:ascii="宋体" w:hAnsi="宋体" w:eastAsia="宋体" w:cs="宋体"/>
          <w:spacing w:val="-52"/>
          <w:sz w:val="24"/>
          <w:szCs w:val="24"/>
        </w:rPr>
        <w:t xml:space="preserve"> </w:t>
      </w:r>
      <w:r>
        <w:rPr>
          <w:rFonts w:ascii="宋体" w:hAnsi="宋体" w:eastAsia="宋体" w:cs="宋体"/>
          <w:sz w:val="24"/>
          <w:szCs w:val="24"/>
        </w:rPr>
        <w:t>41.46m</w:t>
      </w:r>
      <w:r>
        <w:rPr>
          <w:rFonts w:ascii="宋体" w:hAnsi="宋体" w:eastAsia="宋体" w:cs="宋体"/>
          <w:position w:val="11"/>
          <w:sz w:val="12"/>
          <w:szCs w:val="12"/>
        </w:rPr>
        <w:t>3</w:t>
      </w:r>
      <w:r>
        <w:rPr>
          <w:rFonts w:ascii="宋体" w:hAnsi="宋体" w:eastAsia="宋体" w:cs="宋体"/>
          <w:sz w:val="24"/>
          <w:szCs w:val="24"/>
        </w:rPr>
        <w:t>/d。评价区西部富水性较好</w:t>
      </w:r>
      <w:r>
        <w:rPr>
          <w:rFonts w:ascii="宋体" w:hAnsi="宋体" w:eastAsia="宋体" w:cs="宋体"/>
          <w:spacing w:val="-1"/>
          <w:sz w:val="24"/>
          <w:szCs w:val="24"/>
        </w:rPr>
        <w:t>，单井疏干水</w:t>
      </w:r>
      <w:r>
        <w:rPr>
          <w:rFonts w:ascii="宋体" w:hAnsi="宋体" w:eastAsia="宋体" w:cs="宋体"/>
          <w:sz w:val="24"/>
          <w:szCs w:val="24"/>
        </w:rPr>
        <w:t xml:space="preserve"> </w:t>
      </w:r>
      <w:r>
        <w:rPr>
          <w:rFonts w:ascii="宋体" w:hAnsi="宋体" w:eastAsia="宋体" w:cs="宋体"/>
          <w:spacing w:val="-5"/>
          <w:sz w:val="24"/>
          <w:szCs w:val="24"/>
        </w:rPr>
        <w:t>量（10</w:t>
      </w:r>
      <w:r>
        <w:rPr>
          <w:rFonts w:ascii="宋体" w:hAnsi="宋体" w:eastAsia="宋体" w:cs="宋体"/>
          <w:spacing w:val="-76"/>
          <w:sz w:val="24"/>
          <w:szCs w:val="24"/>
        </w:rPr>
        <w:t xml:space="preserve"> </w:t>
      </w:r>
      <w:r>
        <w:rPr>
          <w:rFonts w:ascii="宋体" w:hAnsi="宋体" w:eastAsia="宋体" w:cs="宋体"/>
          <w:spacing w:val="-5"/>
          <w:sz w:val="24"/>
          <w:szCs w:val="24"/>
        </w:rPr>
        <w:t>″</w:t>
      </w:r>
      <w:r>
        <w:rPr>
          <w:rFonts w:ascii="宋体" w:hAnsi="宋体" w:eastAsia="宋体" w:cs="宋体"/>
          <w:spacing w:val="-74"/>
          <w:sz w:val="24"/>
          <w:szCs w:val="24"/>
        </w:rPr>
        <w:t xml:space="preserve"> </w:t>
      </w:r>
      <w:r>
        <w:rPr>
          <w:rFonts w:ascii="宋体" w:hAnsi="宋体" w:eastAsia="宋体" w:cs="宋体"/>
          <w:spacing w:val="-5"/>
          <w:sz w:val="24"/>
          <w:szCs w:val="24"/>
        </w:rPr>
        <w:t>口径，5m</w:t>
      </w:r>
      <w:r>
        <w:rPr>
          <w:rFonts w:ascii="宋体" w:hAnsi="宋体" w:eastAsia="宋体" w:cs="宋体"/>
          <w:spacing w:val="-32"/>
          <w:sz w:val="24"/>
          <w:szCs w:val="24"/>
        </w:rPr>
        <w:t xml:space="preserve"> </w:t>
      </w:r>
      <w:r>
        <w:rPr>
          <w:rFonts w:ascii="宋体" w:hAnsi="宋体" w:eastAsia="宋体" w:cs="宋体"/>
          <w:spacing w:val="-5"/>
          <w:sz w:val="24"/>
          <w:szCs w:val="24"/>
        </w:rPr>
        <w:t>降深）100-1000m</w:t>
      </w:r>
      <w:r>
        <w:rPr>
          <w:rFonts w:ascii="宋体" w:hAnsi="宋体" w:eastAsia="宋体" w:cs="宋体"/>
          <w:spacing w:val="-5"/>
          <w:position w:val="11"/>
          <w:sz w:val="12"/>
          <w:szCs w:val="12"/>
        </w:rPr>
        <w:t>3</w:t>
      </w:r>
      <w:r>
        <w:rPr>
          <w:rFonts w:ascii="宋体" w:hAnsi="宋体" w:eastAsia="宋体" w:cs="宋体"/>
          <w:spacing w:val="-5"/>
          <w:sz w:val="24"/>
          <w:szCs w:val="24"/>
        </w:rPr>
        <w:t>/d。水质较好，矿</w:t>
      </w:r>
      <w:r>
        <w:rPr>
          <w:rFonts w:ascii="宋体" w:hAnsi="宋体" w:eastAsia="宋体" w:cs="宋体"/>
          <w:spacing w:val="-6"/>
          <w:sz w:val="24"/>
          <w:szCs w:val="24"/>
        </w:rPr>
        <w:t>化度为</w:t>
      </w:r>
      <w:r>
        <w:rPr>
          <w:rFonts w:ascii="宋体" w:hAnsi="宋体" w:eastAsia="宋体" w:cs="宋体"/>
          <w:spacing w:val="-49"/>
          <w:sz w:val="24"/>
          <w:szCs w:val="24"/>
        </w:rPr>
        <w:t xml:space="preserve"> </w:t>
      </w:r>
      <w:r>
        <w:rPr>
          <w:rFonts w:ascii="宋体" w:hAnsi="宋体" w:eastAsia="宋体" w:cs="宋体"/>
          <w:spacing w:val="-6"/>
          <w:sz w:val="24"/>
          <w:szCs w:val="24"/>
        </w:rPr>
        <w:t>0.64g/L</w:t>
      </w:r>
      <w:r>
        <w:rPr>
          <w:rFonts w:ascii="宋体" w:hAnsi="宋体" w:eastAsia="宋体" w:cs="宋体"/>
          <w:spacing w:val="-49"/>
          <w:sz w:val="24"/>
          <w:szCs w:val="24"/>
        </w:rPr>
        <w:t xml:space="preserve"> </w:t>
      </w:r>
      <w:r>
        <w:rPr>
          <w:rFonts w:ascii="宋体" w:hAnsi="宋体" w:eastAsia="宋体" w:cs="宋体"/>
          <w:spacing w:val="-6"/>
          <w:sz w:val="24"/>
          <w:szCs w:val="24"/>
        </w:rPr>
        <w:t>左右，水</w:t>
      </w:r>
      <w:r>
        <w:rPr>
          <w:rFonts w:ascii="宋体" w:hAnsi="宋体" w:eastAsia="宋体" w:cs="宋体"/>
          <w:sz w:val="24"/>
          <w:szCs w:val="24"/>
        </w:rPr>
        <w:t xml:space="preserve"> </w:t>
      </w:r>
      <w:r>
        <w:rPr>
          <w:rFonts w:ascii="宋体" w:hAnsi="宋体" w:eastAsia="宋体" w:cs="宋体"/>
          <w:spacing w:val="-9"/>
          <w:sz w:val="24"/>
          <w:szCs w:val="24"/>
        </w:rPr>
        <w:t>化学类型为</w:t>
      </w:r>
      <w:r>
        <w:rPr>
          <w:rFonts w:ascii="宋体" w:hAnsi="宋体" w:eastAsia="宋体" w:cs="宋体"/>
          <w:spacing w:val="-46"/>
          <w:sz w:val="24"/>
          <w:szCs w:val="24"/>
        </w:rPr>
        <w:t xml:space="preserve"> </w:t>
      </w:r>
      <w:r>
        <w:rPr>
          <w:rFonts w:ascii="宋体" w:hAnsi="宋体" w:eastAsia="宋体" w:cs="宋体"/>
          <w:spacing w:val="-9"/>
          <w:sz w:val="24"/>
          <w:szCs w:val="24"/>
        </w:rPr>
        <w:t>HCO</w:t>
      </w:r>
      <w:r>
        <w:rPr>
          <w:rFonts w:ascii="宋体" w:hAnsi="宋体" w:eastAsia="宋体" w:cs="宋体"/>
          <w:spacing w:val="-9"/>
          <w:position w:val="-3"/>
          <w:sz w:val="12"/>
          <w:szCs w:val="12"/>
        </w:rPr>
        <w:t>3</w:t>
      </w:r>
      <w:r>
        <w:rPr>
          <w:rFonts w:ascii="宋体" w:hAnsi="宋体" w:eastAsia="宋体" w:cs="宋体"/>
          <w:spacing w:val="32"/>
          <w:position w:val="-3"/>
          <w:sz w:val="12"/>
          <w:szCs w:val="12"/>
        </w:rPr>
        <w:t xml:space="preserve"> </w:t>
      </w:r>
      <w:r>
        <w:rPr>
          <w:rFonts w:ascii="宋体" w:hAnsi="宋体" w:eastAsia="宋体" w:cs="宋体"/>
          <w:spacing w:val="-9"/>
          <w:sz w:val="24"/>
          <w:szCs w:val="24"/>
        </w:rPr>
        <w:t>·Cl</w:t>
      </w:r>
      <w:r>
        <w:rPr>
          <w:rFonts w:ascii="宋体" w:hAnsi="宋体" w:eastAsia="宋体" w:cs="宋体"/>
          <w:spacing w:val="-29"/>
          <w:sz w:val="24"/>
          <w:szCs w:val="24"/>
        </w:rPr>
        <w:t xml:space="preserve"> </w:t>
      </w:r>
      <w:r>
        <w:rPr>
          <w:rFonts w:ascii="宋体" w:hAnsi="宋体" w:eastAsia="宋体" w:cs="宋体"/>
          <w:spacing w:val="-30"/>
          <w:sz w:val="24"/>
          <w:szCs w:val="24"/>
        </w:rPr>
        <w:t>·SO</w:t>
      </w:r>
      <w:r>
        <w:rPr>
          <w:rFonts w:ascii="宋体" w:hAnsi="宋体" w:eastAsia="宋体" w:cs="宋体"/>
          <w:position w:val="-3"/>
          <w:sz w:val="12"/>
          <w:szCs w:val="12"/>
        </w:rPr>
        <w:t>4</w:t>
      </w:r>
      <w:r>
        <w:rPr>
          <w:rFonts w:ascii="宋体" w:hAnsi="宋体" w:eastAsia="宋体" w:cs="宋体"/>
          <w:sz w:val="24"/>
          <w:szCs w:val="24"/>
        </w:rPr>
        <w:t>-Mg</w:t>
      </w:r>
      <w:r>
        <w:rPr>
          <w:rFonts w:ascii="宋体" w:hAnsi="宋体" w:eastAsia="宋体" w:cs="宋体"/>
          <w:spacing w:val="-28"/>
          <w:sz w:val="24"/>
          <w:szCs w:val="24"/>
        </w:rPr>
        <w:t xml:space="preserve"> </w:t>
      </w:r>
      <w:r>
        <w:rPr>
          <w:rFonts w:ascii="宋体" w:hAnsi="宋体" w:eastAsia="宋体" w:cs="宋体"/>
          <w:spacing w:val="-10"/>
          <w:sz w:val="24"/>
          <w:szCs w:val="24"/>
        </w:rPr>
        <w:t>·Na</w:t>
      </w:r>
      <w:r>
        <w:rPr>
          <w:rFonts w:ascii="宋体" w:hAnsi="宋体" w:eastAsia="宋体" w:cs="宋体"/>
          <w:spacing w:val="-28"/>
          <w:sz w:val="24"/>
          <w:szCs w:val="24"/>
        </w:rPr>
        <w:t xml:space="preserve"> </w:t>
      </w:r>
      <w:r>
        <w:rPr>
          <w:rFonts w:ascii="宋体" w:hAnsi="宋体" w:eastAsia="宋体" w:cs="宋体"/>
          <w:spacing w:val="-10"/>
          <w:sz w:val="24"/>
          <w:szCs w:val="24"/>
        </w:rPr>
        <w:t>·Ca</w:t>
      </w:r>
      <w:r>
        <w:rPr>
          <w:rFonts w:ascii="宋体" w:hAnsi="宋体" w:eastAsia="宋体" w:cs="宋体"/>
          <w:spacing w:val="-43"/>
          <w:sz w:val="24"/>
          <w:szCs w:val="24"/>
        </w:rPr>
        <w:t xml:space="preserve"> </w:t>
      </w:r>
      <w:r>
        <w:rPr>
          <w:rFonts w:ascii="宋体" w:hAnsi="宋体" w:eastAsia="宋体" w:cs="宋体"/>
          <w:spacing w:val="-10"/>
          <w:sz w:val="24"/>
          <w:szCs w:val="24"/>
        </w:rPr>
        <w:t>型水。是评价区地下水的排泄区。</w:t>
      </w:r>
    </w:p>
    <w:p w14:paraId="5887257B">
      <w:pPr>
        <w:spacing w:line="358" w:lineRule="auto"/>
        <w:ind w:left="18" w:firstLine="486"/>
        <w:rPr>
          <w:rFonts w:ascii="宋体" w:hAnsi="宋体" w:eastAsia="宋体" w:cs="宋体"/>
          <w:sz w:val="24"/>
          <w:szCs w:val="24"/>
        </w:rPr>
      </w:pPr>
      <w:r>
        <w:rPr>
          <w:rFonts w:ascii="宋体" w:hAnsi="宋体" w:eastAsia="宋体" w:cs="宋体"/>
          <w:spacing w:val="-4"/>
          <w:sz w:val="24"/>
          <w:szCs w:val="24"/>
        </w:rPr>
        <w:t>本项目区位于丘陵区，地层上部为薄层第四系全新统风积、冲积层（</w:t>
      </w:r>
      <w:r>
        <w:rPr>
          <w:rFonts w:ascii="Times New Roman" w:hAnsi="Times New Roman" w:eastAsia="Times New Roman" w:cs="Times New Roman"/>
          <w:spacing w:val="-4"/>
          <w:sz w:val="24"/>
          <w:szCs w:val="24"/>
        </w:rPr>
        <w:t>Q</w:t>
      </w:r>
      <w:r>
        <w:rPr>
          <w:rFonts w:ascii="Times New Roman" w:hAnsi="Times New Roman" w:eastAsia="Times New Roman" w:cs="Times New Roman"/>
          <w:spacing w:val="-4"/>
          <w:position w:val="-1"/>
          <w:sz w:val="15"/>
          <w:szCs w:val="15"/>
        </w:rPr>
        <w:t>h</w:t>
      </w:r>
      <w:r>
        <w:rPr>
          <w:rFonts w:ascii="Times New Roman" w:hAnsi="Times New Roman" w:eastAsia="Times New Roman" w:cs="Times New Roman"/>
          <w:spacing w:val="-4"/>
          <w:position w:val="7"/>
          <w:sz w:val="15"/>
          <w:szCs w:val="15"/>
        </w:rPr>
        <w:t>eol+al</w:t>
      </w:r>
      <w:r>
        <w:rPr>
          <w:rFonts w:ascii="宋体" w:hAnsi="宋体" w:eastAsia="宋体" w:cs="宋体"/>
          <w:spacing w:val="-4"/>
          <w:sz w:val="24"/>
          <w:szCs w:val="24"/>
        </w:rPr>
        <w:t>）</w:t>
      </w:r>
      <w:r>
        <w:rPr>
          <w:rFonts w:ascii="宋体" w:hAnsi="宋体" w:eastAsia="宋体" w:cs="宋体"/>
          <w:spacing w:val="5"/>
          <w:sz w:val="24"/>
          <w:szCs w:val="24"/>
        </w:rPr>
        <w:t xml:space="preserve"> </w:t>
      </w:r>
      <w:r>
        <w:rPr>
          <w:rFonts w:ascii="宋体" w:hAnsi="宋体" w:eastAsia="宋体" w:cs="宋体"/>
          <w:spacing w:val="-1"/>
          <w:sz w:val="24"/>
          <w:szCs w:val="24"/>
        </w:rPr>
        <w:t>粉土、细砂和中砂等，厚度一般小于</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2m</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，下部为上侏罗统兴安岭群火山碎屑岩</w:t>
      </w:r>
      <w:r>
        <w:rPr>
          <w:rFonts w:ascii="宋体" w:hAnsi="宋体" w:eastAsia="宋体" w:cs="宋体"/>
          <w:sz w:val="24"/>
          <w:szCs w:val="24"/>
        </w:rPr>
        <w:t xml:space="preserve">  </w:t>
      </w:r>
      <w:r>
        <w:rPr>
          <w:rFonts w:ascii="宋体" w:hAnsi="宋体" w:eastAsia="宋体" w:cs="宋体"/>
          <w:spacing w:val="-3"/>
          <w:sz w:val="24"/>
          <w:szCs w:val="24"/>
        </w:rPr>
        <w:t>组（J</w:t>
      </w:r>
      <w:r>
        <w:rPr>
          <w:rFonts w:ascii="宋体" w:hAnsi="宋体" w:eastAsia="宋体" w:cs="宋体"/>
          <w:spacing w:val="-3"/>
          <w:position w:val="-3"/>
          <w:sz w:val="12"/>
          <w:szCs w:val="12"/>
        </w:rPr>
        <w:t>3</w:t>
      </w:r>
      <w:r>
        <w:rPr>
          <w:rFonts w:ascii="宋体" w:hAnsi="宋体" w:eastAsia="宋体" w:cs="宋体"/>
          <w:spacing w:val="-3"/>
          <w:sz w:val="24"/>
          <w:szCs w:val="24"/>
        </w:rPr>
        <w:t>xn</w:t>
      </w:r>
      <w:r>
        <w:rPr>
          <w:rFonts w:ascii="宋体" w:hAnsi="宋体" w:eastAsia="宋体" w:cs="宋体"/>
          <w:spacing w:val="-3"/>
          <w:position w:val="11"/>
          <w:sz w:val="12"/>
          <w:szCs w:val="12"/>
        </w:rPr>
        <w:t>1</w:t>
      </w:r>
      <w:r>
        <w:rPr>
          <w:rFonts w:ascii="宋体" w:hAnsi="宋体" w:eastAsia="宋体" w:cs="宋体"/>
          <w:spacing w:val="-3"/>
          <w:sz w:val="24"/>
          <w:szCs w:val="24"/>
        </w:rPr>
        <w:t>）凝灰质砂砾岩和含角砾岩屑晶屑凝灰岩，其上部透水不含水，下部赋</w:t>
      </w:r>
      <w:r>
        <w:rPr>
          <w:rFonts w:ascii="宋体" w:hAnsi="宋体" w:eastAsia="宋体" w:cs="宋体"/>
          <w:spacing w:val="15"/>
          <w:sz w:val="24"/>
          <w:szCs w:val="24"/>
        </w:rPr>
        <w:t xml:space="preserve"> </w:t>
      </w:r>
      <w:r>
        <w:rPr>
          <w:rFonts w:ascii="宋体" w:hAnsi="宋体" w:eastAsia="宋体" w:cs="宋体"/>
          <w:spacing w:val="-2"/>
          <w:sz w:val="24"/>
          <w:szCs w:val="24"/>
        </w:rPr>
        <w:t>存基岩裂隙水，地下水水位埋深一般</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10-11.79m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，含水层岩性为基岩风化裂隙带</w:t>
      </w:r>
      <w:r>
        <w:rPr>
          <w:rFonts w:ascii="宋体" w:hAnsi="宋体" w:eastAsia="宋体" w:cs="宋体"/>
          <w:sz w:val="24"/>
          <w:szCs w:val="24"/>
        </w:rPr>
        <w:t xml:space="preserve">  </w:t>
      </w:r>
      <w:r>
        <w:rPr>
          <w:rFonts w:ascii="宋体" w:hAnsi="宋体" w:eastAsia="宋体" w:cs="宋体"/>
          <w:spacing w:val="-17"/>
          <w:sz w:val="24"/>
          <w:szCs w:val="24"/>
        </w:rPr>
        <w:t>和构造裂隙带。富水性较差，单井疏干水量（</w:t>
      </w:r>
      <w:r>
        <w:rPr>
          <w:rFonts w:ascii="宋体" w:hAnsi="宋体" w:eastAsia="宋体" w:cs="宋体"/>
          <w:spacing w:val="-18"/>
          <w:sz w:val="24"/>
          <w:szCs w:val="24"/>
        </w:rPr>
        <w:t>8</w:t>
      </w:r>
      <w:r>
        <w:rPr>
          <w:rFonts w:ascii="宋体" w:hAnsi="宋体" w:eastAsia="宋体" w:cs="宋体"/>
          <w:spacing w:val="-73"/>
          <w:sz w:val="24"/>
          <w:szCs w:val="24"/>
        </w:rPr>
        <w:t xml:space="preserve"> </w:t>
      </w:r>
      <w:r>
        <w:rPr>
          <w:rFonts w:ascii="宋体" w:hAnsi="宋体" w:eastAsia="宋体" w:cs="宋体"/>
          <w:spacing w:val="-18"/>
          <w:sz w:val="24"/>
          <w:szCs w:val="24"/>
        </w:rPr>
        <w:t>″</w:t>
      </w:r>
      <w:r>
        <w:rPr>
          <w:rFonts w:ascii="宋体" w:hAnsi="宋体" w:eastAsia="宋体" w:cs="宋体"/>
          <w:spacing w:val="-74"/>
          <w:sz w:val="24"/>
          <w:szCs w:val="24"/>
        </w:rPr>
        <w:t xml:space="preserve"> </w:t>
      </w:r>
      <w:r>
        <w:rPr>
          <w:rFonts w:ascii="宋体" w:hAnsi="宋体" w:eastAsia="宋体" w:cs="宋体"/>
          <w:spacing w:val="-18"/>
          <w:sz w:val="24"/>
          <w:szCs w:val="24"/>
        </w:rPr>
        <w:t>口径，5m</w:t>
      </w:r>
      <w:r>
        <w:rPr>
          <w:rFonts w:ascii="宋体" w:hAnsi="宋体" w:eastAsia="宋体" w:cs="宋体"/>
          <w:spacing w:val="-32"/>
          <w:sz w:val="24"/>
          <w:szCs w:val="24"/>
        </w:rPr>
        <w:t xml:space="preserve"> </w:t>
      </w:r>
      <w:r>
        <w:rPr>
          <w:rFonts w:ascii="宋体" w:hAnsi="宋体" w:eastAsia="宋体" w:cs="宋体"/>
          <w:spacing w:val="-18"/>
          <w:sz w:val="24"/>
          <w:szCs w:val="24"/>
        </w:rPr>
        <w:t>降深）一般小于</w:t>
      </w:r>
      <w:r>
        <w:rPr>
          <w:rFonts w:ascii="宋体" w:hAnsi="宋体" w:eastAsia="宋体" w:cs="宋体"/>
          <w:spacing w:val="-33"/>
          <w:sz w:val="24"/>
          <w:szCs w:val="24"/>
        </w:rPr>
        <w:t xml:space="preserve"> </w:t>
      </w:r>
      <w:r>
        <w:rPr>
          <w:rFonts w:ascii="宋体" w:hAnsi="宋体" w:eastAsia="宋体" w:cs="宋体"/>
          <w:spacing w:val="-18"/>
          <w:sz w:val="24"/>
          <w:szCs w:val="24"/>
        </w:rPr>
        <w:t>100m</w:t>
      </w:r>
      <w:r>
        <w:rPr>
          <w:rFonts w:ascii="宋体" w:hAnsi="宋体" w:eastAsia="宋体" w:cs="宋体"/>
          <w:spacing w:val="-6"/>
          <w:position w:val="11"/>
          <w:sz w:val="12"/>
          <w:szCs w:val="12"/>
        </w:rPr>
        <w:t>3</w:t>
      </w:r>
      <w:r>
        <w:rPr>
          <w:rFonts w:ascii="宋体" w:hAnsi="宋体" w:eastAsia="宋体" w:cs="宋体"/>
          <w:spacing w:val="-6"/>
          <w:sz w:val="24"/>
          <w:szCs w:val="24"/>
        </w:rPr>
        <w:t>/d，</w:t>
      </w:r>
      <w:r>
        <w:rPr>
          <w:rFonts w:ascii="宋体" w:hAnsi="宋体" w:eastAsia="宋体" w:cs="宋体"/>
          <w:sz w:val="24"/>
          <w:szCs w:val="24"/>
        </w:rPr>
        <w:t xml:space="preserve"> </w:t>
      </w:r>
      <w:r>
        <w:rPr>
          <w:rFonts w:ascii="宋体" w:hAnsi="宋体" w:eastAsia="宋体" w:cs="宋体"/>
          <w:spacing w:val="3"/>
          <w:sz w:val="24"/>
          <w:szCs w:val="24"/>
        </w:rPr>
        <w:t>水质较好</w:t>
      </w:r>
      <w:r>
        <w:rPr>
          <w:rFonts w:ascii="宋体" w:hAnsi="宋体" w:eastAsia="宋体" w:cs="宋体"/>
          <w:spacing w:val="-55"/>
          <w:sz w:val="24"/>
          <w:szCs w:val="24"/>
        </w:rPr>
        <w:t xml:space="preserve"> </w:t>
      </w:r>
      <w:r>
        <w:rPr>
          <w:rFonts w:ascii="宋体" w:hAnsi="宋体" w:eastAsia="宋体" w:cs="宋体"/>
          <w:spacing w:val="3"/>
          <w:sz w:val="24"/>
          <w:szCs w:val="24"/>
        </w:rPr>
        <w:t xml:space="preserve">，矿化度一般小于 </w:t>
      </w:r>
      <w:r>
        <w:rPr>
          <w:rFonts w:ascii="Times New Roman" w:hAnsi="Times New Roman" w:eastAsia="Times New Roman" w:cs="Times New Roman"/>
          <w:spacing w:val="3"/>
          <w:sz w:val="24"/>
          <w:szCs w:val="24"/>
        </w:rPr>
        <w:t xml:space="preserve">1g/L </w:t>
      </w:r>
      <w:r>
        <w:rPr>
          <w:rFonts w:ascii="宋体" w:hAnsi="宋体" w:eastAsia="宋体" w:cs="宋体"/>
          <w:spacing w:val="3"/>
          <w:sz w:val="24"/>
          <w:szCs w:val="24"/>
        </w:rPr>
        <w:t xml:space="preserve">，水化学类型为 </w:t>
      </w:r>
      <w:r>
        <w:rPr>
          <w:rFonts w:ascii="Times New Roman" w:hAnsi="Times New Roman" w:eastAsia="Times New Roman" w:cs="Times New Roman"/>
          <w:sz w:val="24"/>
          <w:szCs w:val="24"/>
        </w:rPr>
        <w:t>SO</w:t>
      </w:r>
      <w:r>
        <w:rPr>
          <w:rFonts w:ascii="Times New Roman" w:hAnsi="Times New Roman" w:eastAsia="Times New Roman" w:cs="Times New Roman"/>
          <w:spacing w:val="3"/>
          <w:position w:val="-1"/>
          <w:sz w:val="15"/>
          <w:szCs w:val="15"/>
        </w:rPr>
        <w:t xml:space="preserve">4  </w:t>
      </w:r>
      <w:r>
        <w:rPr>
          <w:rFonts w:ascii="宋体" w:hAnsi="宋体" w:eastAsia="宋体" w:cs="宋体"/>
          <w:spacing w:val="3"/>
          <w:sz w:val="24"/>
          <w:szCs w:val="24"/>
        </w:rPr>
        <w:t>·</w:t>
      </w:r>
      <w:r>
        <w:rPr>
          <w:rFonts w:ascii="Times New Roman" w:hAnsi="Times New Roman" w:eastAsia="Times New Roman" w:cs="Times New Roman"/>
          <w:sz w:val="24"/>
          <w:szCs w:val="24"/>
        </w:rPr>
        <w:t>Cl</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Mg</w:t>
      </w:r>
      <w:r>
        <w:rPr>
          <w:rFonts w:ascii="Times New Roman" w:hAnsi="Times New Roman" w:eastAsia="Times New Roman" w:cs="Times New Roman"/>
          <w:spacing w:val="29"/>
          <w:w w:val="10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Na</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1"/>
          <w:sz w:val="24"/>
          <w:szCs w:val="24"/>
        </w:rPr>
        <w:t>HCO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2"/>
          <w:w w:val="101"/>
          <w:position w:val="-1"/>
          <w:sz w:val="15"/>
          <w:szCs w:val="15"/>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Cl</w:t>
      </w:r>
      <w:r>
        <w:rPr>
          <w:rFonts w:ascii="Times New Roman" w:hAnsi="Times New Roman" w:eastAsia="Times New Roman" w:cs="Times New Roman"/>
          <w:spacing w:val="30"/>
          <w:w w:val="101"/>
          <w:sz w:val="24"/>
          <w:szCs w:val="24"/>
        </w:rPr>
        <w:t xml:space="preserve"> </w:t>
      </w:r>
      <w:r>
        <w:rPr>
          <w:rFonts w:ascii="宋体" w:hAnsi="宋体" w:eastAsia="宋体" w:cs="宋体"/>
          <w:spacing w:val="-31"/>
          <w:sz w:val="24"/>
          <w:szCs w:val="24"/>
        </w:rPr>
        <w:t>·</w:t>
      </w:r>
      <w:r>
        <w:rPr>
          <w:rFonts w:ascii="Times New Roman" w:hAnsi="Times New Roman" w:eastAsia="Times New Roman" w:cs="Times New Roman"/>
          <w:spacing w:val="-31"/>
          <w:sz w:val="24"/>
          <w:szCs w:val="24"/>
        </w:rPr>
        <w:t>SO</w:t>
      </w:r>
      <w:r>
        <w:rPr>
          <w:rFonts w:ascii="Times New Roman" w:hAnsi="Times New Roman" w:eastAsia="Times New Roman" w:cs="Times New Roman"/>
          <w:spacing w:val="4"/>
          <w:sz w:val="15"/>
          <w:szCs w:val="15"/>
        </w:rPr>
        <w:t>4</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Ca</w:t>
      </w:r>
      <w:r>
        <w:rPr>
          <w:rFonts w:ascii="Times New Roman" w:hAnsi="Times New Roman" w:eastAsia="Times New Roman" w:cs="Times New Roman"/>
          <w:spacing w:val="31"/>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Mg</w:t>
      </w:r>
      <w:r>
        <w:rPr>
          <w:rFonts w:ascii="Times New Roman" w:hAnsi="Times New Roman" w:eastAsia="Times New Roman" w:cs="Times New Roman"/>
          <w:spacing w:val="32"/>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Na</w:t>
      </w:r>
      <w:r>
        <w:rPr>
          <w:rFonts w:ascii="Times New Roman" w:hAnsi="Times New Roman" w:eastAsia="Times New Roman" w:cs="Times New Roman"/>
          <w:spacing w:val="18"/>
          <w:w w:val="101"/>
          <w:sz w:val="24"/>
          <w:szCs w:val="24"/>
        </w:rPr>
        <w:t xml:space="preserve"> </w:t>
      </w:r>
      <w:r>
        <w:rPr>
          <w:rFonts w:ascii="宋体" w:hAnsi="宋体" w:eastAsia="宋体" w:cs="宋体"/>
          <w:spacing w:val="-10"/>
          <w:sz w:val="24"/>
          <w:szCs w:val="24"/>
        </w:rPr>
        <w:t>型水。是评价区地下水的补给区。</w:t>
      </w:r>
    </w:p>
    <w:p w14:paraId="7676EF76">
      <w:pPr>
        <w:spacing w:before="20" w:line="359" w:lineRule="auto"/>
        <w:ind w:left="22" w:right="86" w:firstLine="484"/>
        <w:jc w:val="both"/>
        <w:rPr>
          <w:rFonts w:ascii="宋体" w:hAnsi="宋体" w:eastAsia="宋体" w:cs="宋体"/>
          <w:sz w:val="24"/>
          <w:szCs w:val="24"/>
        </w:rPr>
      </w:pPr>
      <w:r>
        <w:rPr>
          <w:rFonts w:ascii="宋体" w:hAnsi="宋体" w:eastAsia="宋体" w:cs="宋体"/>
          <w:spacing w:val="-3"/>
          <w:sz w:val="24"/>
          <w:szCs w:val="24"/>
        </w:rPr>
        <w:t>项目区西侧紧邻第四系沟谷，沟谷区上部赋存第四系松</w:t>
      </w:r>
      <w:r>
        <w:rPr>
          <w:rFonts w:ascii="宋体" w:hAnsi="宋体" w:eastAsia="宋体" w:cs="宋体"/>
          <w:spacing w:val="-4"/>
          <w:sz w:val="24"/>
          <w:szCs w:val="24"/>
        </w:rPr>
        <w:t>散岩类孔隙水，含水</w:t>
      </w:r>
      <w:r>
        <w:rPr>
          <w:rFonts w:ascii="宋体" w:hAnsi="宋体" w:eastAsia="宋体" w:cs="宋体"/>
          <w:sz w:val="24"/>
          <w:szCs w:val="24"/>
        </w:rPr>
        <w:t xml:space="preserve"> </w:t>
      </w:r>
      <w:r>
        <w:rPr>
          <w:rFonts w:ascii="宋体" w:hAnsi="宋体" w:eastAsia="宋体" w:cs="宋体"/>
          <w:spacing w:val="-5"/>
          <w:sz w:val="24"/>
          <w:szCs w:val="24"/>
        </w:rPr>
        <w:t>层岩性以粉细砂为主，次为中粗砂、砾砂，富水性</w:t>
      </w:r>
      <w:r>
        <w:rPr>
          <w:rFonts w:ascii="宋体" w:hAnsi="宋体" w:eastAsia="宋体" w:cs="宋体"/>
          <w:spacing w:val="-6"/>
          <w:sz w:val="24"/>
          <w:szCs w:val="24"/>
        </w:rPr>
        <w:t>较差，单井疏干水量（10</w:t>
      </w:r>
      <w:r>
        <w:rPr>
          <w:rFonts w:ascii="宋体" w:hAnsi="宋体" w:eastAsia="宋体" w:cs="宋体"/>
          <w:spacing w:val="-75"/>
          <w:sz w:val="24"/>
          <w:szCs w:val="24"/>
        </w:rPr>
        <w:t xml:space="preserve"> </w:t>
      </w:r>
      <w:r>
        <w:rPr>
          <w:rFonts w:ascii="宋体" w:hAnsi="宋体" w:eastAsia="宋体" w:cs="宋体"/>
          <w:spacing w:val="-6"/>
          <w:sz w:val="24"/>
          <w:szCs w:val="24"/>
        </w:rPr>
        <w:t>″</w:t>
      </w:r>
      <w:r>
        <w:rPr>
          <w:rFonts w:ascii="宋体" w:hAnsi="宋体" w:eastAsia="宋体" w:cs="宋体"/>
          <w:spacing w:val="-75"/>
          <w:sz w:val="24"/>
          <w:szCs w:val="24"/>
        </w:rPr>
        <w:t xml:space="preserve"> </w:t>
      </w:r>
      <w:r>
        <w:rPr>
          <w:rFonts w:ascii="宋体" w:hAnsi="宋体" w:eastAsia="宋体" w:cs="宋体"/>
          <w:spacing w:val="-6"/>
          <w:sz w:val="24"/>
          <w:szCs w:val="24"/>
        </w:rPr>
        <w:t>口</w:t>
      </w:r>
      <w:r>
        <w:rPr>
          <w:rFonts w:ascii="宋体" w:hAnsi="宋体" w:eastAsia="宋体" w:cs="宋体"/>
          <w:sz w:val="24"/>
          <w:szCs w:val="24"/>
        </w:rPr>
        <w:t xml:space="preserve"> </w:t>
      </w:r>
      <w:r>
        <w:rPr>
          <w:rFonts w:ascii="宋体" w:hAnsi="宋体" w:eastAsia="宋体" w:cs="宋体"/>
          <w:spacing w:val="-3"/>
          <w:sz w:val="24"/>
          <w:szCs w:val="24"/>
        </w:rPr>
        <w:t>径，5m</w:t>
      </w:r>
      <w:r>
        <w:rPr>
          <w:rFonts w:ascii="宋体" w:hAnsi="宋体" w:eastAsia="宋体" w:cs="宋体"/>
          <w:spacing w:val="-14"/>
          <w:sz w:val="24"/>
          <w:szCs w:val="24"/>
        </w:rPr>
        <w:t xml:space="preserve"> </w:t>
      </w:r>
      <w:r>
        <w:rPr>
          <w:rFonts w:ascii="宋体" w:hAnsi="宋体" w:eastAsia="宋体" w:cs="宋体"/>
          <w:spacing w:val="-3"/>
          <w:sz w:val="24"/>
          <w:szCs w:val="24"/>
        </w:rPr>
        <w:t>降深）一般小于</w:t>
      </w:r>
      <w:r>
        <w:rPr>
          <w:rFonts w:ascii="宋体" w:hAnsi="宋体" w:eastAsia="宋体" w:cs="宋体"/>
          <w:spacing w:val="-33"/>
          <w:sz w:val="24"/>
          <w:szCs w:val="24"/>
        </w:rPr>
        <w:t xml:space="preserve"> </w:t>
      </w:r>
      <w:r>
        <w:rPr>
          <w:rFonts w:ascii="宋体" w:hAnsi="宋体" w:eastAsia="宋体" w:cs="宋体"/>
          <w:spacing w:val="-3"/>
          <w:sz w:val="24"/>
          <w:szCs w:val="24"/>
        </w:rPr>
        <w:t>100m</w:t>
      </w:r>
      <w:r>
        <w:rPr>
          <w:rFonts w:ascii="宋体" w:hAnsi="宋体" w:eastAsia="宋体" w:cs="宋体"/>
          <w:spacing w:val="-3"/>
          <w:position w:val="11"/>
          <w:sz w:val="12"/>
          <w:szCs w:val="12"/>
        </w:rPr>
        <w:t>3</w:t>
      </w:r>
      <w:r>
        <w:rPr>
          <w:rFonts w:ascii="宋体" w:hAnsi="宋体" w:eastAsia="宋体" w:cs="宋体"/>
          <w:spacing w:val="-3"/>
          <w:sz w:val="24"/>
          <w:szCs w:val="24"/>
        </w:rPr>
        <w:t>/d；沟谷区下部赋存基岩裂隙水，含水层岩性为基</w:t>
      </w:r>
      <w:r>
        <w:rPr>
          <w:rFonts w:ascii="宋体" w:hAnsi="宋体" w:eastAsia="宋体" w:cs="宋体"/>
          <w:sz w:val="24"/>
          <w:szCs w:val="24"/>
        </w:rPr>
        <w:t xml:space="preserve"> </w:t>
      </w:r>
      <w:r>
        <w:rPr>
          <w:rFonts w:ascii="宋体" w:hAnsi="宋体" w:eastAsia="宋体" w:cs="宋体"/>
          <w:spacing w:val="-4"/>
          <w:sz w:val="24"/>
          <w:szCs w:val="24"/>
        </w:rPr>
        <w:t>岩风化裂隙带和构造裂隙带，富水性较差，单井疏干水量（8</w:t>
      </w:r>
      <w:r>
        <w:rPr>
          <w:rFonts w:ascii="宋体" w:hAnsi="宋体" w:eastAsia="宋体" w:cs="宋体"/>
          <w:spacing w:val="-76"/>
          <w:sz w:val="24"/>
          <w:szCs w:val="24"/>
        </w:rPr>
        <w:t xml:space="preserve"> </w:t>
      </w:r>
      <w:r>
        <w:rPr>
          <w:rFonts w:ascii="宋体" w:hAnsi="宋体" w:eastAsia="宋体" w:cs="宋体"/>
          <w:spacing w:val="-4"/>
          <w:sz w:val="24"/>
          <w:szCs w:val="24"/>
        </w:rPr>
        <w:t>″</w:t>
      </w:r>
      <w:r>
        <w:rPr>
          <w:rFonts w:ascii="宋体" w:hAnsi="宋体" w:eastAsia="宋体" w:cs="宋体"/>
          <w:spacing w:val="-74"/>
          <w:sz w:val="24"/>
          <w:szCs w:val="24"/>
        </w:rPr>
        <w:t xml:space="preserve"> </w:t>
      </w:r>
      <w:r>
        <w:rPr>
          <w:rFonts w:ascii="宋体" w:hAnsi="宋体" w:eastAsia="宋体" w:cs="宋体"/>
          <w:spacing w:val="-4"/>
          <w:sz w:val="24"/>
          <w:szCs w:val="24"/>
        </w:rPr>
        <w:t>口径，</w:t>
      </w:r>
      <w:r>
        <w:rPr>
          <w:rFonts w:ascii="宋体" w:hAnsi="宋体" w:eastAsia="宋体" w:cs="宋体"/>
          <w:spacing w:val="-5"/>
          <w:sz w:val="24"/>
          <w:szCs w:val="24"/>
        </w:rPr>
        <w:t>5m</w:t>
      </w:r>
      <w:r>
        <w:rPr>
          <w:rFonts w:ascii="宋体" w:hAnsi="宋体" w:eastAsia="宋体" w:cs="宋体"/>
          <w:spacing w:val="-32"/>
          <w:sz w:val="24"/>
          <w:szCs w:val="24"/>
        </w:rPr>
        <w:t xml:space="preserve"> </w:t>
      </w:r>
      <w:r>
        <w:rPr>
          <w:rFonts w:ascii="宋体" w:hAnsi="宋体" w:eastAsia="宋体" w:cs="宋体"/>
          <w:spacing w:val="-5"/>
          <w:sz w:val="24"/>
          <w:szCs w:val="24"/>
        </w:rPr>
        <w:t>降深）</w:t>
      </w:r>
      <w:r>
        <w:rPr>
          <w:rFonts w:ascii="宋体" w:hAnsi="宋体" w:eastAsia="宋体" w:cs="宋体"/>
          <w:sz w:val="24"/>
          <w:szCs w:val="24"/>
        </w:rPr>
        <w:t xml:space="preserve"> 一般小于</w:t>
      </w:r>
      <w:r>
        <w:rPr>
          <w:rFonts w:ascii="宋体" w:hAnsi="宋体" w:eastAsia="宋体" w:cs="宋体"/>
          <w:spacing w:val="-33"/>
          <w:sz w:val="24"/>
          <w:szCs w:val="24"/>
        </w:rPr>
        <w:t xml:space="preserve"> </w:t>
      </w:r>
      <w:r>
        <w:rPr>
          <w:rFonts w:ascii="宋体" w:hAnsi="宋体" w:eastAsia="宋体" w:cs="宋体"/>
          <w:sz w:val="24"/>
          <w:szCs w:val="24"/>
        </w:rPr>
        <w:t>100m</w:t>
      </w:r>
      <w:r>
        <w:rPr>
          <w:rFonts w:ascii="宋体" w:hAnsi="宋体" w:eastAsia="宋体" w:cs="宋体"/>
          <w:position w:val="11"/>
          <w:sz w:val="12"/>
          <w:szCs w:val="12"/>
        </w:rPr>
        <w:t>3</w:t>
      </w:r>
      <w:r>
        <w:rPr>
          <w:rFonts w:ascii="宋体" w:hAnsi="宋体" w:eastAsia="宋体" w:cs="宋体"/>
          <w:sz w:val="24"/>
          <w:szCs w:val="24"/>
        </w:rPr>
        <w:t>/d。根据已有井孔地层资料，上下含水</w:t>
      </w:r>
      <w:r>
        <w:rPr>
          <w:rFonts w:ascii="宋体" w:hAnsi="宋体" w:eastAsia="宋体" w:cs="宋体"/>
          <w:spacing w:val="-1"/>
          <w:sz w:val="24"/>
          <w:szCs w:val="24"/>
        </w:rPr>
        <w:t>层直接接触，联系较为密</w:t>
      </w:r>
      <w:r>
        <w:rPr>
          <w:rFonts w:ascii="宋体" w:hAnsi="宋体" w:eastAsia="宋体" w:cs="宋体"/>
          <w:sz w:val="24"/>
          <w:szCs w:val="24"/>
        </w:rPr>
        <w:t xml:space="preserve"> </w:t>
      </w:r>
      <w:r>
        <w:rPr>
          <w:rFonts w:ascii="宋体" w:hAnsi="宋体" w:eastAsia="宋体" w:cs="宋体"/>
          <w:spacing w:val="-5"/>
          <w:sz w:val="24"/>
          <w:szCs w:val="24"/>
        </w:rPr>
        <w:t>切。</w:t>
      </w:r>
    </w:p>
    <w:p w14:paraId="794ECF76">
      <w:pPr>
        <w:spacing w:before="4" w:line="360" w:lineRule="auto"/>
        <w:ind w:left="24" w:right="99" w:firstLine="479"/>
        <w:rPr>
          <w:rFonts w:ascii="宋体" w:hAnsi="宋体" w:eastAsia="宋体" w:cs="宋体"/>
          <w:sz w:val="24"/>
          <w:szCs w:val="24"/>
        </w:rPr>
      </w:pPr>
      <w:r>
        <w:rPr>
          <w:rFonts w:ascii="宋体" w:hAnsi="宋体" w:eastAsia="宋体" w:cs="宋体"/>
          <w:spacing w:val="-2"/>
          <w:sz w:val="24"/>
          <w:szCs w:val="24"/>
        </w:rPr>
        <w:t>根据《地下水质量标准》（GB/T</w:t>
      </w:r>
      <w:r>
        <w:rPr>
          <w:rFonts w:ascii="宋体" w:hAnsi="宋体" w:eastAsia="宋体" w:cs="宋体"/>
          <w:spacing w:val="-26"/>
          <w:sz w:val="24"/>
          <w:szCs w:val="24"/>
        </w:rPr>
        <w:t xml:space="preserve"> </w:t>
      </w:r>
      <w:r>
        <w:rPr>
          <w:rFonts w:ascii="宋体" w:hAnsi="宋体" w:eastAsia="宋体" w:cs="宋体"/>
          <w:spacing w:val="-2"/>
          <w:sz w:val="24"/>
          <w:szCs w:val="24"/>
        </w:rPr>
        <w:t>14848－2017）分类指标，评价区地下水仅</w:t>
      </w:r>
      <w:r>
        <w:rPr>
          <w:rFonts w:ascii="宋体" w:hAnsi="宋体" w:eastAsia="宋体" w:cs="宋体"/>
          <w:sz w:val="24"/>
          <w:szCs w:val="24"/>
        </w:rPr>
        <w:t xml:space="preserve"> </w:t>
      </w:r>
      <w:r>
        <w:rPr>
          <w:rFonts w:ascii="宋体" w:hAnsi="宋体" w:eastAsia="宋体" w:cs="宋体"/>
          <w:spacing w:val="-3"/>
          <w:sz w:val="24"/>
          <w:szCs w:val="24"/>
        </w:rPr>
        <w:t>有</w:t>
      </w:r>
      <w:r>
        <w:rPr>
          <w:rFonts w:ascii="宋体" w:hAnsi="宋体" w:eastAsia="宋体" w:cs="宋体"/>
          <w:spacing w:val="-37"/>
          <w:sz w:val="24"/>
          <w:szCs w:val="24"/>
        </w:rPr>
        <w:t xml:space="preserve"> </w:t>
      </w:r>
      <w:r>
        <w:rPr>
          <w:rFonts w:ascii="宋体" w:hAnsi="宋体" w:eastAsia="宋体" w:cs="宋体"/>
          <w:spacing w:val="-3"/>
          <w:sz w:val="24"/>
          <w:szCs w:val="24"/>
        </w:rPr>
        <w:t>S5</w:t>
      </w:r>
      <w:r>
        <w:rPr>
          <w:rFonts w:ascii="宋体" w:hAnsi="宋体" w:eastAsia="宋体" w:cs="宋体"/>
          <w:spacing w:val="-50"/>
          <w:sz w:val="24"/>
          <w:szCs w:val="24"/>
        </w:rPr>
        <w:t xml:space="preserve"> </w:t>
      </w:r>
      <w:r>
        <w:rPr>
          <w:rFonts w:ascii="宋体" w:hAnsi="宋体" w:eastAsia="宋体" w:cs="宋体"/>
          <w:spacing w:val="-3"/>
          <w:sz w:val="24"/>
          <w:szCs w:val="24"/>
        </w:rPr>
        <w:t>井氨氮和S6</w:t>
      </w:r>
      <w:r>
        <w:rPr>
          <w:rFonts w:ascii="宋体" w:hAnsi="宋体" w:eastAsia="宋体" w:cs="宋体"/>
          <w:spacing w:val="-51"/>
          <w:sz w:val="24"/>
          <w:szCs w:val="24"/>
        </w:rPr>
        <w:t xml:space="preserve"> </w:t>
      </w:r>
      <w:r>
        <w:rPr>
          <w:rFonts w:ascii="宋体" w:hAnsi="宋体" w:eastAsia="宋体" w:cs="宋体"/>
          <w:spacing w:val="-3"/>
          <w:sz w:val="24"/>
          <w:szCs w:val="24"/>
        </w:rPr>
        <w:t>井氟化物超标，其他指标均为</w:t>
      </w:r>
      <w:r>
        <w:rPr>
          <w:rFonts w:ascii="宋体" w:hAnsi="宋体" w:eastAsia="宋体" w:cs="宋体"/>
          <w:spacing w:val="-33"/>
          <w:sz w:val="24"/>
          <w:szCs w:val="24"/>
        </w:rPr>
        <w:t xml:space="preserve"> </w:t>
      </w:r>
      <w:r>
        <w:rPr>
          <w:rFonts w:ascii="宋体" w:hAnsi="宋体" w:eastAsia="宋体" w:cs="宋体"/>
          <w:spacing w:val="-3"/>
          <w:sz w:val="24"/>
          <w:szCs w:val="24"/>
        </w:rPr>
        <w:t>Ⅰ—Ⅲ类。</w:t>
      </w:r>
    </w:p>
    <w:p w14:paraId="1A0A7D2F">
      <w:pPr>
        <w:spacing w:line="219" w:lineRule="auto"/>
        <w:ind w:left="507"/>
        <w:rPr>
          <w:rFonts w:ascii="宋体" w:hAnsi="宋体" w:eastAsia="宋体" w:cs="宋体"/>
          <w:sz w:val="24"/>
          <w:szCs w:val="24"/>
        </w:rPr>
      </w:pPr>
      <w:r>
        <w:rPr>
          <w:rFonts w:ascii="宋体" w:hAnsi="宋体" w:eastAsia="宋体" w:cs="宋体"/>
          <w:spacing w:val="-2"/>
          <w:sz w:val="24"/>
          <w:szCs w:val="24"/>
        </w:rPr>
        <w:t>二、地下水环境影响</w:t>
      </w:r>
    </w:p>
    <w:p w14:paraId="47A67645">
      <w:pPr>
        <w:spacing w:before="183" w:line="360" w:lineRule="auto"/>
        <w:ind w:left="25" w:right="99" w:firstLine="480"/>
        <w:rPr>
          <w:rFonts w:ascii="宋体" w:hAnsi="宋体" w:eastAsia="宋体" w:cs="宋体"/>
          <w:sz w:val="24"/>
          <w:szCs w:val="24"/>
        </w:rPr>
      </w:pPr>
      <w:r>
        <w:rPr>
          <w:rFonts w:ascii="宋体" w:hAnsi="宋体" w:eastAsia="宋体" w:cs="宋体"/>
          <w:spacing w:val="-3"/>
          <w:sz w:val="24"/>
          <w:szCs w:val="24"/>
        </w:rPr>
        <w:t>经过分析，项目建设期的生活、生产废水在做好防渗措施的</w:t>
      </w:r>
      <w:r>
        <w:rPr>
          <w:rFonts w:ascii="宋体" w:hAnsi="宋体" w:eastAsia="宋体" w:cs="宋体"/>
          <w:spacing w:val="-4"/>
          <w:sz w:val="24"/>
          <w:szCs w:val="24"/>
        </w:rPr>
        <w:t>基础上对地下水</w:t>
      </w:r>
      <w:r>
        <w:rPr>
          <w:rFonts w:ascii="宋体" w:hAnsi="宋体" w:eastAsia="宋体" w:cs="宋体"/>
          <w:sz w:val="24"/>
          <w:szCs w:val="24"/>
        </w:rPr>
        <w:t xml:space="preserve"> </w:t>
      </w:r>
      <w:r>
        <w:rPr>
          <w:rFonts w:ascii="宋体" w:hAnsi="宋体" w:eastAsia="宋体" w:cs="宋体"/>
          <w:spacing w:val="-3"/>
          <w:sz w:val="24"/>
          <w:szCs w:val="24"/>
        </w:rPr>
        <w:t>无影响。</w:t>
      </w:r>
    </w:p>
    <w:p w14:paraId="25149A14">
      <w:pPr>
        <w:spacing w:before="2" w:line="361" w:lineRule="auto"/>
        <w:ind w:left="25" w:right="99" w:firstLine="478"/>
        <w:rPr>
          <w:rFonts w:ascii="宋体" w:hAnsi="宋体" w:eastAsia="宋体" w:cs="宋体"/>
          <w:sz w:val="24"/>
          <w:szCs w:val="24"/>
        </w:rPr>
      </w:pPr>
      <w:r>
        <w:rPr>
          <w:rFonts w:ascii="宋体" w:hAnsi="宋体" w:eastAsia="宋体" w:cs="宋体"/>
          <w:spacing w:val="-3"/>
          <w:sz w:val="24"/>
          <w:szCs w:val="24"/>
        </w:rPr>
        <w:t>服务期满后，项目不再产生污废水，污水处理设施里存留污水经</w:t>
      </w:r>
      <w:r>
        <w:rPr>
          <w:rFonts w:ascii="宋体" w:hAnsi="宋体" w:eastAsia="宋体" w:cs="宋体"/>
          <w:spacing w:val="-4"/>
          <w:sz w:val="24"/>
          <w:szCs w:val="24"/>
        </w:rPr>
        <w:t>处理后由环</w:t>
      </w:r>
      <w:r>
        <w:rPr>
          <w:rFonts w:ascii="宋体" w:hAnsi="宋体" w:eastAsia="宋体" w:cs="宋体"/>
          <w:sz w:val="24"/>
          <w:szCs w:val="24"/>
        </w:rPr>
        <w:t xml:space="preserve"> 卫部门清运。项目区内不再存在污染源，不会</w:t>
      </w:r>
      <w:r>
        <w:rPr>
          <w:rFonts w:ascii="宋体" w:hAnsi="宋体" w:eastAsia="宋体" w:cs="宋体"/>
          <w:spacing w:val="-1"/>
          <w:sz w:val="24"/>
          <w:szCs w:val="24"/>
        </w:rPr>
        <w:t>对周边地下水环境产生影响。</w:t>
      </w:r>
    </w:p>
    <w:p w14:paraId="70D7BE36">
      <w:pPr>
        <w:spacing w:line="361" w:lineRule="auto"/>
        <w:rPr>
          <w:rFonts w:ascii="宋体" w:hAnsi="宋体" w:eastAsia="宋体" w:cs="宋体"/>
          <w:sz w:val="24"/>
          <w:szCs w:val="24"/>
        </w:rPr>
        <w:sectPr>
          <w:headerReference r:id="rId314" w:type="default"/>
          <w:footerReference r:id="rId315" w:type="default"/>
          <w:pgSz w:w="11906" w:h="16839"/>
          <w:pgMar w:top="1208" w:right="1700" w:bottom="1358" w:left="1785" w:header="825" w:footer="1195" w:gutter="0"/>
          <w:cols w:space="720" w:num="1"/>
        </w:sectPr>
      </w:pPr>
    </w:p>
    <w:p w14:paraId="1F0ED0DD">
      <w:pPr>
        <w:pStyle w:val="2"/>
        <w:spacing w:line="265" w:lineRule="auto"/>
      </w:pPr>
    </w:p>
    <w:p w14:paraId="6490B66F">
      <w:pPr>
        <w:spacing w:before="78" w:line="360" w:lineRule="auto"/>
        <w:ind w:left="23" w:firstLine="480"/>
        <w:jc w:val="both"/>
        <w:rPr>
          <w:rFonts w:ascii="宋体" w:hAnsi="宋体" w:eastAsia="宋体" w:cs="宋体"/>
          <w:sz w:val="24"/>
          <w:szCs w:val="24"/>
        </w:rPr>
      </w:pPr>
      <w:r>
        <w:rPr>
          <w:rFonts w:ascii="宋体" w:hAnsi="宋体" w:eastAsia="宋体" w:cs="宋体"/>
          <w:spacing w:val="-3"/>
          <w:sz w:val="24"/>
          <w:szCs w:val="24"/>
        </w:rPr>
        <w:t>根据上述在事故状况情景下污染物预测结果可知：事故状况情景</w:t>
      </w:r>
      <w:r>
        <w:rPr>
          <w:rFonts w:ascii="宋体" w:hAnsi="宋体" w:eastAsia="宋体" w:cs="宋体"/>
          <w:spacing w:val="-4"/>
          <w:sz w:val="24"/>
          <w:szCs w:val="24"/>
        </w:rPr>
        <w:t>下污染物对</w:t>
      </w:r>
      <w:r>
        <w:rPr>
          <w:rFonts w:ascii="宋体" w:hAnsi="宋体" w:eastAsia="宋体" w:cs="宋体"/>
          <w:sz w:val="24"/>
          <w:szCs w:val="24"/>
        </w:rPr>
        <w:t xml:space="preserve"> </w:t>
      </w:r>
      <w:r>
        <w:rPr>
          <w:rFonts w:ascii="宋体" w:hAnsi="宋体" w:eastAsia="宋体" w:cs="宋体"/>
          <w:spacing w:val="-3"/>
          <w:sz w:val="24"/>
          <w:szCs w:val="24"/>
        </w:rPr>
        <w:t>地下水含水层造成一定的污染，出现了超标现象，但超标范围有限，超标区内无</w:t>
      </w:r>
      <w:r>
        <w:rPr>
          <w:rFonts w:ascii="宋体" w:hAnsi="宋体" w:eastAsia="宋体" w:cs="宋体"/>
          <w:spacing w:val="1"/>
          <w:sz w:val="24"/>
          <w:szCs w:val="24"/>
        </w:rPr>
        <w:t xml:space="preserve"> </w:t>
      </w:r>
      <w:r>
        <w:rPr>
          <w:rFonts w:ascii="宋体" w:hAnsi="宋体" w:eastAsia="宋体" w:cs="宋体"/>
          <w:spacing w:val="-2"/>
          <w:sz w:val="24"/>
          <w:szCs w:val="24"/>
        </w:rPr>
        <w:t>敏感保护区，污染晕距离敏感点</w:t>
      </w:r>
      <w:r>
        <w:rPr>
          <w:rFonts w:ascii="Times New Roman" w:hAnsi="Times New Roman" w:eastAsia="Times New Roman" w:cs="Times New Roman"/>
          <w:spacing w:val="-2"/>
          <w:sz w:val="24"/>
          <w:szCs w:val="24"/>
        </w:rPr>
        <w:t>S3</w:t>
      </w:r>
      <w:r>
        <w:rPr>
          <w:rFonts w:ascii="宋体" w:hAnsi="宋体" w:eastAsia="宋体" w:cs="宋体"/>
          <w:spacing w:val="-2"/>
          <w:sz w:val="24"/>
          <w:szCs w:val="24"/>
        </w:rPr>
        <w:t>号井最近还有</w:t>
      </w:r>
      <w:r>
        <w:rPr>
          <w:rFonts w:ascii="Times New Roman" w:hAnsi="Times New Roman" w:eastAsia="Times New Roman" w:cs="Times New Roman"/>
          <w:spacing w:val="-2"/>
          <w:sz w:val="24"/>
          <w:szCs w:val="24"/>
        </w:rPr>
        <w:t>1358.57m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，不会对其产生影响。</w:t>
      </w:r>
      <w:r>
        <w:rPr>
          <w:rFonts w:ascii="宋体" w:hAnsi="宋体" w:eastAsia="宋体" w:cs="宋体"/>
          <w:sz w:val="24"/>
          <w:szCs w:val="24"/>
        </w:rPr>
        <w:t xml:space="preserve"> </w:t>
      </w:r>
      <w:r>
        <w:rPr>
          <w:rFonts w:ascii="宋体" w:hAnsi="宋体" w:eastAsia="宋体" w:cs="宋体"/>
          <w:spacing w:val="-3"/>
          <w:sz w:val="24"/>
          <w:szCs w:val="24"/>
        </w:rPr>
        <w:t>不会造成地下水环境质量的恶化，也不会影响地下水利用现状。另外，本次模型</w:t>
      </w:r>
      <w:r>
        <w:rPr>
          <w:rFonts w:ascii="宋体" w:hAnsi="宋体" w:eastAsia="宋体" w:cs="宋体"/>
          <w:spacing w:val="1"/>
          <w:sz w:val="24"/>
          <w:szCs w:val="24"/>
        </w:rPr>
        <w:t xml:space="preserve"> </w:t>
      </w:r>
      <w:r>
        <w:rPr>
          <w:rFonts w:ascii="宋体" w:hAnsi="宋体" w:eastAsia="宋体" w:cs="宋体"/>
          <w:spacing w:val="-3"/>
          <w:sz w:val="24"/>
          <w:szCs w:val="24"/>
        </w:rPr>
        <w:t>预测是考虑污染物直接进入地下水，未考虑防渗层和包气带，在实际情况中，由</w:t>
      </w:r>
      <w:r>
        <w:rPr>
          <w:rFonts w:ascii="宋体" w:hAnsi="宋体" w:eastAsia="宋体" w:cs="宋体"/>
          <w:spacing w:val="1"/>
          <w:sz w:val="24"/>
          <w:szCs w:val="24"/>
        </w:rPr>
        <w:t xml:space="preserve"> </w:t>
      </w:r>
      <w:r>
        <w:rPr>
          <w:rFonts w:ascii="宋体" w:hAnsi="宋体" w:eastAsia="宋体" w:cs="宋体"/>
          <w:spacing w:val="-3"/>
          <w:sz w:val="24"/>
          <w:szCs w:val="24"/>
        </w:rPr>
        <w:t>于污染物超标十分有限，在穿过防渗层和包气带过程中可能就被吸附、降解为标</w:t>
      </w:r>
      <w:r>
        <w:rPr>
          <w:rFonts w:ascii="宋体" w:hAnsi="宋体" w:eastAsia="宋体" w:cs="宋体"/>
          <w:spacing w:val="1"/>
          <w:sz w:val="24"/>
          <w:szCs w:val="24"/>
        </w:rPr>
        <w:t xml:space="preserve"> </w:t>
      </w:r>
      <w:r>
        <w:rPr>
          <w:rFonts w:ascii="宋体" w:hAnsi="宋体" w:eastAsia="宋体" w:cs="宋体"/>
          <w:spacing w:val="-1"/>
          <w:sz w:val="24"/>
          <w:szCs w:val="24"/>
        </w:rPr>
        <w:t>准值以下，难以对地下水产生影响。</w:t>
      </w:r>
    </w:p>
    <w:p w14:paraId="08C380B0">
      <w:pPr>
        <w:spacing w:line="219" w:lineRule="auto"/>
        <w:ind w:left="503"/>
        <w:rPr>
          <w:rFonts w:ascii="宋体" w:hAnsi="宋体" w:eastAsia="宋体" w:cs="宋体"/>
          <w:sz w:val="24"/>
          <w:szCs w:val="24"/>
        </w:rPr>
      </w:pPr>
      <w:r>
        <w:rPr>
          <w:rFonts w:ascii="宋体" w:hAnsi="宋体" w:eastAsia="宋体" w:cs="宋体"/>
          <w:spacing w:val="-1"/>
          <w:sz w:val="24"/>
          <w:szCs w:val="24"/>
        </w:rPr>
        <w:t>三、地下水环境污染防控措施</w:t>
      </w:r>
    </w:p>
    <w:p w14:paraId="26BEF132">
      <w:pPr>
        <w:spacing w:before="182" w:line="360" w:lineRule="auto"/>
        <w:ind w:left="21" w:right="37" w:firstLine="481"/>
        <w:jc w:val="both"/>
        <w:rPr>
          <w:rFonts w:ascii="宋体" w:hAnsi="宋体" w:eastAsia="宋体" w:cs="宋体"/>
          <w:sz w:val="24"/>
          <w:szCs w:val="24"/>
        </w:rPr>
      </w:pPr>
      <w:r>
        <w:rPr>
          <w:rFonts w:ascii="宋体" w:hAnsi="宋体" w:eastAsia="宋体" w:cs="宋体"/>
          <w:spacing w:val="-2"/>
          <w:sz w:val="24"/>
          <w:szCs w:val="24"/>
        </w:rPr>
        <w:t>根据污染物控制难易程度、天然包气带防污性能分级、污染物类型等</w:t>
      </w:r>
      <w:r>
        <w:rPr>
          <w:rFonts w:ascii="宋体" w:hAnsi="宋体" w:eastAsia="宋体" w:cs="宋体"/>
          <w:spacing w:val="-3"/>
          <w:sz w:val="24"/>
          <w:szCs w:val="24"/>
        </w:rPr>
        <w:t>因素，</w:t>
      </w:r>
      <w:r>
        <w:rPr>
          <w:rFonts w:ascii="宋体" w:hAnsi="宋体" w:eastAsia="宋体" w:cs="宋体"/>
          <w:sz w:val="24"/>
          <w:szCs w:val="24"/>
        </w:rPr>
        <w:t xml:space="preserve"> </w:t>
      </w:r>
      <w:r>
        <w:rPr>
          <w:rFonts w:ascii="宋体" w:hAnsi="宋体" w:eastAsia="宋体" w:cs="宋体"/>
          <w:spacing w:val="4"/>
          <w:sz w:val="24"/>
          <w:szCs w:val="24"/>
        </w:rPr>
        <w:t>将项目区内水处理间和深度处理回用水池等区域作为重点污染防治区进行污染</w:t>
      </w:r>
      <w:r>
        <w:rPr>
          <w:rFonts w:ascii="宋体" w:hAnsi="宋体" w:eastAsia="宋体" w:cs="宋体"/>
          <w:spacing w:val="1"/>
          <w:sz w:val="24"/>
          <w:szCs w:val="24"/>
        </w:rPr>
        <w:t xml:space="preserve"> </w:t>
      </w:r>
      <w:r>
        <w:rPr>
          <w:rFonts w:ascii="宋体" w:hAnsi="宋体" w:eastAsia="宋体" w:cs="宋体"/>
          <w:spacing w:val="-3"/>
          <w:sz w:val="24"/>
          <w:szCs w:val="24"/>
        </w:rPr>
        <w:t>防治，将中间堆场、选厂综合仓库、选厂机电修间、磨矿车间、浮选车间、脱水</w:t>
      </w:r>
      <w:r>
        <w:rPr>
          <w:rFonts w:ascii="宋体" w:hAnsi="宋体" w:eastAsia="宋体" w:cs="宋体"/>
          <w:spacing w:val="2"/>
          <w:sz w:val="24"/>
          <w:szCs w:val="24"/>
        </w:rPr>
        <w:t xml:space="preserve"> </w:t>
      </w:r>
      <w:r>
        <w:rPr>
          <w:rFonts w:ascii="宋体" w:hAnsi="宋体" w:eastAsia="宋体" w:cs="宋体"/>
          <w:spacing w:val="-2"/>
          <w:sz w:val="24"/>
          <w:szCs w:val="24"/>
        </w:rPr>
        <w:t>车间、精矿车间、直接回用水池、消防水池、粗碎车间、原矿</w:t>
      </w:r>
      <w:r>
        <w:rPr>
          <w:rFonts w:ascii="宋体" w:hAnsi="宋体" w:eastAsia="宋体" w:cs="宋体"/>
          <w:spacing w:val="-3"/>
          <w:sz w:val="24"/>
          <w:szCs w:val="24"/>
        </w:rPr>
        <w:t>仓、</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号和</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号转</w:t>
      </w:r>
      <w:r>
        <w:rPr>
          <w:rFonts w:ascii="宋体" w:hAnsi="宋体" w:eastAsia="宋体" w:cs="宋体"/>
          <w:sz w:val="24"/>
          <w:szCs w:val="24"/>
        </w:rPr>
        <w:t xml:space="preserve"> 运站等区域作为一般防渗区进行污染防治，其他</w:t>
      </w:r>
      <w:r>
        <w:rPr>
          <w:rFonts w:ascii="宋体" w:hAnsi="宋体" w:eastAsia="宋体" w:cs="宋体"/>
          <w:spacing w:val="-1"/>
          <w:sz w:val="24"/>
          <w:szCs w:val="24"/>
        </w:rPr>
        <w:t>区域为简单防渗区。</w:t>
      </w:r>
    </w:p>
    <w:p w14:paraId="44D78983">
      <w:pPr>
        <w:spacing w:before="1" w:line="217" w:lineRule="auto"/>
        <w:ind w:left="526"/>
        <w:rPr>
          <w:rFonts w:ascii="宋体" w:hAnsi="宋体" w:eastAsia="宋体" w:cs="宋体"/>
          <w:sz w:val="24"/>
          <w:szCs w:val="24"/>
        </w:rPr>
      </w:pPr>
      <w:r>
        <w:rPr>
          <w:rFonts w:ascii="宋体" w:hAnsi="宋体" w:eastAsia="宋体" w:cs="宋体"/>
          <w:spacing w:val="-3"/>
          <w:sz w:val="24"/>
          <w:szCs w:val="24"/>
        </w:rPr>
        <w:t>四、地下水环境影响评价结论</w:t>
      </w:r>
    </w:p>
    <w:p w14:paraId="1463B08F">
      <w:pPr>
        <w:spacing w:before="184" w:line="361" w:lineRule="auto"/>
        <w:ind w:left="23" w:right="72" w:firstLine="480"/>
        <w:jc w:val="both"/>
        <w:rPr>
          <w:rFonts w:ascii="宋体" w:hAnsi="宋体" w:eastAsia="宋体" w:cs="宋体"/>
          <w:sz w:val="24"/>
          <w:szCs w:val="24"/>
        </w:rPr>
      </w:pPr>
      <w:r>
        <w:rPr>
          <w:rFonts w:ascii="宋体" w:hAnsi="宋体" w:eastAsia="宋体" w:cs="宋体"/>
          <w:spacing w:val="-3"/>
          <w:sz w:val="24"/>
          <w:szCs w:val="24"/>
        </w:rPr>
        <w:t>根据上述结论，综合考虑项目环境水文地质条件、地下水环境影</w:t>
      </w:r>
      <w:r>
        <w:rPr>
          <w:rFonts w:ascii="宋体" w:hAnsi="宋体" w:eastAsia="宋体" w:cs="宋体"/>
          <w:spacing w:val="-4"/>
          <w:sz w:val="24"/>
          <w:szCs w:val="24"/>
        </w:rPr>
        <w:t>响、地下水</w:t>
      </w:r>
      <w:r>
        <w:rPr>
          <w:rFonts w:ascii="宋体" w:hAnsi="宋体" w:eastAsia="宋体" w:cs="宋体"/>
          <w:sz w:val="24"/>
          <w:szCs w:val="24"/>
        </w:rPr>
        <w:t xml:space="preserve"> </w:t>
      </w:r>
      <w:r>
        <w:rPr>
          <w:rFonts w:ascii="宋体" w:hAnsi="宋体" w:eastAsia="宋体" w:cs="宋体"/>
          <w:spacing w:val="-3"/>
          <w:sz w:val="24"/>
          <w:szCs w:val="24"/>
        </w:rPr>
        <w:t>环境污染防治措施、项目建设的总平面布置情况等因素，在做好防渗措施，严格</w:t>
      </w:r>
      <w:r>
        <w:rPr>
          <w:rFonts w:ascii="宋体" w:hAnsi="宋体" w:eastAsia="宋体" w:cs="宋体"/>
          <w:spacing w:val="1"/>
          <w:sz w:val="24"/>
          <w:szCs w:val="24"/>
        </w:rPr>
        <w:t xml:space="preserve"> </w:t>
      </w:r>
      <w:r>
        <w:rPr>
          <w:rFonts w:ascii="宋体" w:hAnsi="宋体" w:eastAsia="宋体" w:cs="宋体"/>
          <w:spacing w:val="-3"/>
          <w:sz w:val="24"/>
          <w:szCs w:val="24"/>
        </w:rPr>
        <w:t>执行废、污水处理程序，严格执行地下水环境跟踪监测的基础上，本项目不会造</w:t>
      </w:r>
      <w:r>
        <w:rPr>
          <w:rFonts w:ascii="宋体" w:hAnsi="宋体" w:eastAsia="宋体" w:cs="宋体"/>
          <w:spacing w:val="1"/>
          <w:sz w:val="24"/>
          <w:szCs w:val="24"/>
        </w:rPr>
        <w:t xml:space="preserve"> </w:t>
      </w:r>
      <w:r>
        <w:rPr>
          <w:rFonts w:ascii="宋体" w:hAnsi="宋体" w:eastAsia="宋体" w:cs="宋体"/>
          <w:sz w:val="24"/>
          <w:szCs w:val="24"/>
        </w:rPr>
        <w:t>成地下水环境质量的恶化，不会影响地下水利用现</w:t>
      </w:r>
      <w:r>
        <w:rPr>
          <w:rFonts w:ascii="宋体" w:hAnsi="宋体" w:eastAsia="宋体" w:cs="宋体"/>
          <w:spacing w:val="-1"/>
          <w:sz w:val="24"/>
          <w:szCs w:val="24"/>
        </w:rPr>
        <w:t>状，项目建设是可行的。</w:t>
      </w:r>
    </w:p>
    <w:p w14:paraId="013813A1">
      <w:pPr>
        <w:spacing w:line="361" w:lineRule="auto"/>
        <w:rPr>
          <w:rFonts w:ascii="宋体" w:hAnsi="宋体" w:eastAsia="宋体" w:cs="宋体"/>
          <w:sz w:val="24"/>
          <w:szCs w:val="24"/>
        </w:rPr>
        <w:sectPr>
          <w:headerReference r:id="rId316" w:type="default"/>
          <w:footerReference r:id="rId317" w:type="default"/>
          <w:pgSz w:w="11906" w:h="16839"/>
          <w:pgMar w:top="1208" w:right="1726" w:bottom="1358" w:left="1785" w:header="825" w:footer="1195" w:gutter="0"/>
          <w:cols w:space="720" w:num="1"/>
        </w:sectPr>
      </w:pPr>
    </w:p>
    <w:p w14:paraId="601A0E06">
      <w:pPr>
        <w:spacing w:before="271" w:line="222" w:lineRule="auto"/>
        <w:ind w:left="23"/>
        <w:outlineLvl w:val="1"/>
        <w:rPr>
          <w:rFonts w:ascii="黑体" w:hAnsi="黑体" w:eastAsia="黑体" w:cs="黑体"/>
          <w:sz w:val="28"/>
          <w:szCs w:val="28"/>
        </w:rPr>
      </w:pPr>
      <w:bookmarkStart w:id="131" w:name="bookmark116"/>
      <w:bookmarkEnd w:id="131"/>
      <w:r>
        <w:rPr>
          <w:rFonts w:ascii="Times New Roman" w:hAnsi="Times New Roman" w:eastAsia="Times New Roman" w:cs="Times New Roman"/>
          <w:b/>
          <w:bCs/>
          <w:spacing w:val="-3"/>
          <w:sz w:val="28"/>
          <w:szCs w:val="28"/>
        </w:rPr>
        <w:t xml:space="preserve">8.3 </w:t>
      </w:r>
      <w:r>
        <w:rPr>
          <w:rFonts w:ascii="黑体" w:hAnsi="黑体" w:eastAsia="黑体" w:cs="黑体"/>
          <w:b/>
          <w:bCs/>
          <w:spacing w:val="-3"/>
          <w:sz w:val="28"/>
          <w:szCs w:val="28"/>
        </w:rPr>
        <w:t>地表水环境影响分析</w:t>
      </w:r>
    </w:p>
    <w:p w14:paraId="02A15AE7">
      <w:pPr>
        <w:spacing w:before="257" w:line="355" w:lineRule="auto"/>
        <w:ind w:left="24" w:right="39" w:firstLine="482"/>
        <w:jc w:val="both"/>
        <w:rPr>
          <w:rFonts w:ascii="宋体" w:hAnsi="宋体" w:eastAsia="宋体" w:cs="宋体"/>
          <w:sz w:val="24"/>
          <w:szCs w:val="24"/>
        </w:rPr>
      </w:pPr>
      <w:r>
        <w:rPr>
          <w:rFonts w:ascii="宋体" w:hAnsi="宋体" w:eastAsia="宋体" w:cs="宋体"/>
          <w:spacing w:val="-5"/>
          <w:sz w:val="24"/>
          <w:szCs w:val="24"/>
        </w:rPr>
        <w:t>项目铅精矿浓缩溢流废水、锌精矿浓缩溢流废水分别经相应的回水池收集后，</w:t>
      </w:r>
      <w:r>
        <w:rPr>
          <w:rFonts w:ascii="宋体" w:hAnsi="宋体" w:eastAsia="宋体" w:cs="宋体"/>
          <w:spacing w:val="3"/>
          <w:sz w:val="24"/>
          <w:szCs w:val="24"/>
        </w:rPr>
        <w:t xml:space="preserve"> </w:t>
      </w:r>
      <w:r>
        <w:rPr>
          <w:rFonts w:ascii="宋体" w:hAnsi="宋体" w:eastAsia="宋体" w:cs="宋体"/>
          <w:sz w:val="24"/>
          <w:szCs w:val="24"/>
        </w:rPr>
        <w:t>泵至相应的铅、锌选别工序回用；尾矿浓密溢流水经尾矿回水处理系统处理后，</w:t>
      </w:r>
      <w:r>
        <w:rPr>
          <w:rFonts w:ascii="宋体" w:hAnsi="宋体" w:eastAsia="宋体" w:cs="宋体"/>
          <w:spacing w:val="17"/>
          <w:sz w:val="24"/>
          <w:szCs w:val="24"/>
        </w:rPr>
        <w:t xml:space="preserve"> </w:t>
      </w:r>
      <w:r>
        <w:rPr>
          <w:rFonts w:ascii="宋体" w:hAnsi="宋体" w:eastAsia="宋体" w:cs="宋体"/>
          <w:spacing w:val="-2"/>
          <w:sz w:val="24"/>
          <w:szCs w:val="24"/>
        </w:rPr>
        <w:t>返回选厂循环利用。</w:t>
      </w:r>
    </w:p>
    <w:p w14:paraId="2EE23A35">
      <w:pPr>
        <w:spacing w:line="360" w:lineRule="auto"/>
        <w:ind w:left="22" w:right="221" w:firstLine="480"/>
        <w:rPr>
          <w:rFonts w:ascii="宋体" w:hAnsi="宋体" w:eastAsia="宋体" w:cs="宋体"/>
          <w:sz w:val="24"/>
          <w:szCs w:val="24"/>
        </w:rPr>
      </w:pPr>
      <w:r>
        <w:rPr>
          <w:rFonts w:ascii="宋体" w:hAnsi="宋体" w:eastAsia="宋体" w:cs="宋体"/>
          <w:sz w:val="24"/>
          <w:szCs w:val="24"/>
        </w:rPr>
        <w:t>选矿车间建有</w:t>
      </w:r>
      <w:r>
        <w:rPr>
          <w:rFonts w:ascii="宋体" w:hAnsi="宋体" w:eastAsia="宋体" w:cs="宋体"/>
          <w:spacing w:val="-27"/>
          <w:sz w:val="24"/>
          <w:szCs w:val="24"/>
        </w:rPr>
        <w:t xml:space="preserve"> </w:t>
      </w:r>
      <w:r>
        <w:rPr>
          <w:rFonts w:ascii="宋体" w:hAnsi="宋体" w:eastAsia="宋体" w:cs="宋体"/>
          <w:sz w:val="24"/>
          <w:szCs w:val="24"/>
        </w:rPr>
        <w:t>1</w:t>
      </w:r>
      <w:r>
        <w:rPr>
          <w:rFonts w:ascii="宋体" w:hAnsi="宋体" w:eastAsia="宋体" w:cs="宋体"/>
          <w:spacing w:val="-44"/>
          <w:sz w:val="24"/>
          <w:szCs w:val="24"/>
        </w:rPr>
        <w:t xml:space="preserve"> </w:t>
      </w:r>
      <w:r>
        <w:rPr>
          <w:rFonts w:ascii="宋体" w:hAnsi="宋体" w:eastAsia="宋体" w:cs="宋体"/>
          <w:sz w:val="24"/>
          <w:szCs w:val="24"/>
        </w:rPr>
        <w:t>座处理能力</w:t>
      </w:r>
      <w:r>
        <w:rPr>
          <w:rFonts w:ascii="宋体" w:hAnsi="宋体" w:eastAsia="宋体" w:cs="宋体"/>
          <w:spacing w:val="-47"/>
          <w:sz w:val="24"/>
          <w:szCs w:val="24"/>
        </w:rPr>
        <w:t xml:space="preserve"> </w:t>
      </w:r>
      <w:r>
        <w:rPr>
          <w:rFonts w:ascii="宋体" w:hAnsi="宋体" w:eastAsia="宋体" w:cs="宋体"/>
          <w:sz w:val="24"/>
          <w:szCs w:val="24"/>
        </w:rPr>
        <w:t>9000m</w:t>
      </w:r>
      <w:r>
        <w:rPr>
          <w:rFonts w:ascii="宋体" w:hAnsi="宋体" w:eastAsia="宋体" w:cs="宋体"/>
          <w:position w:val="12"/>
          <w:sz w:val="12"/>
          <w:szCs w:val="12"/>
        </w:rPr>
        <w:t>3</w:t>
      </w:r>
      <w:r>
        <w:rPr>
          <w:rFonts w:ascii="宋体" w:hAnsi="宋体" w:eastAsia="宋体" w:cs="宋体"/>
          <w:sz w:val="24"/>
          <w:szCs w:val="24"/>
        </w:rPr>
        <w:t>/d</w:t>
      </w:r>
      <w:r>
        <w:rPr>
          <w:rFonts w:ascii="宋体" w:hAnsi="宋体" w:eastAsia="宋体" w:cs="宋体"/>
          <w:spacing w:val="-48"/>
          <w:sz w:val="24"/>
          <w:szCs w:val="24"/>
        </w:rPr>
        <w:t xml:space="preserve"> </w:t>
      </w:r>
      <w:r>
        <w:rPr>
          <w:rFonts w:ascii="宋体" w:hAnsi="宋体" w:eastAsia="宋体" w:cs="宋体"/>
          <w:sz w:val="24"/>
          <w:szCs w:val="24"/>
        </w:rPr>
        <w:t xml:space="preserve">尾矿回水处理系统，用于处理全厂尾 </w:t>
      </w:r>
      <w:r>
        <w:rPr>
          <w:rFonts w:ascii="宋体" w:hAnsi="宋体" w:eastAsia="宋体" w:cs="宋体"/>
          <w:spacing w:val="-3"/>
          <w:sz w:val="24"/>
          <w:szCs w:val="24"/>
        </w:rPr>
        <w:t>矿回水，尾矿回水处理系统采用混凝沉淀法。废水汇集至调节池进行水质水量的</w:t>
      </w:r>
      <w:r>
        <w:rPr>
          <w:rFonts w:ascii="宋体" w:hAnsi="宋体" w:eastAsia="宋体" w:cs="宋体"/>
          <w:spacing w:val="1"/>
          <w:sz w:val="24"/>
          <w:szCs w:val="24"/>
        </w:rPr>
        <w:t xml:space="preserve"> </w:t>
      </w:r>
      <w:r>
        <w:rPr>
          <w:rFonts w:ascii="宋体" w:hAnsi="宋体" w:eastAsia="宋体" w:cs="宋体"/>
          <w:sz w:val="24"/>
          <w:szCs w:val="24"/>
        </w:rPr>
        <w:t>调节，池中加设曝气搅拌，主要不使</w:t>
      </w:r>
      <w:r>
        <w:rPr>
          <w:rFonts w:ascii="宋体" w:hAnsi="宋体" w:eastAsia="宋体" w:cs="宋体"/>
          <w:spacing w:val="-49"/>
          <w:sz w:val="24"/>
          <w:szCs w:val="24"/>
        </w:rPr>
        <w:t xml:space="preserve"> </w:t>
      </w:r>
      <w:r>
        <w:rPr>
          <w:rFonts w:ascii="宋体" w:hAnsi="宋体" w:eastAsia="宋体" w:cs="宋体"/>
          <w:sz w:val="24"/>
          <w:szCs w:val="24"/>
        </w:rPr>
        <w:t>SS</w:t>
      </w:r>
      <w:r>
        <w:rPr>
          <w:rFonts w:ascii="宋体" w:hAnsi="宋体" w:eastAsia="宋体" w:cs="宋体"/>
          <w:spacing w:val="-51"/>
          <w:sz w:val="24"/>
          <w:szCs w:val="24"/>
        </w:rPr>
        <w:t xml:space="preserve"> </w:t>
      </w:r>
      <w:r>
        <w:rPr>
          <w:rFonts w:ascii="宋体" w:hAnsi="宋体" w:eastAsia="宋体" w:cs="宋体"/>
          <w:sz w:val="24"/>
          <w:szCs w:val="24"/>
        </w:rPr>
        <w:t>沉淀下来，并去除一部分</w:t>
      </w:r>
      <w:r>
        <w:rPr>
          <w:rFonts w:ascii="宋体" w:hAnsi="宋体" w:eastAsia="宋体" w:cs="宋体"/>
          <w:spacing w:val="-1"/>
          <w:sz w:val="24"/>
          <w:szCs w:val="24"/>
        </w:rPr>
        <w:t>有机物含量；</w:t>
      </w:r>
      <w:r>
        <w:rPr>
          <w:rFonts w:ascii="宋体" w:hAnsi="宋体" w:eastAsia="宋体" w:cs="宋体"/>
          <w:sz w:val="24"/>
          <w:szCs w:val="24"/>
        </w:rPr>
        <w:t xml:space="preserve"> 调节池后段加入碱调节pH</w:t>
      </w:r>
      <w:r>
        <w:rPr>
          <w:rFonts w:ascii="宋体" w:hAnsi="宋体" w:eastAsia="宋体" w:cs="宋体"/>
          <w:spacing w:val="-44"/>
          <w:sz w:val="24"/>
          <w:szCs w:val="24"/>
        </w:rPr>
        <w:t xml:space="preserve"> </w:t>
      </w:r>
      <w:r>
        <w:rPr>
          <w:rFonts w:ascii="宋体" w:hAnsi="宋体" w:eastAsia="宋体" w:cs="宋体"/>
          <w:sz w:val="24"/>
          <w:szCs w:val="24"/>
        </w:rPr>
        <w:t>值形成沉淀物后自流至混凝斜管沉淀池，经投加FeSO</w:t>
      </w:r>
      <w:r>
        <w:rPr>
          <w:rFonts w:ascii="宋体" w:hAnsi="宋体" w:eastAsia="宋体" w:cs="宋体"/>
          <w:position w:val="-3"/>
          <w:sz w:val="12"/>
          <w:szCs w:val="12"/>
        </w:rPr>
        <w:t xml:space="preserve">4 </w:t>
      </w:r>
      <w:r>
        <w:rPr>
          <w:rFonts w:ascii="宋体" w:hAnsi="宋体" w:eastAsia="宋体" w:cs="宋体"/>
          <w:spacing w:val="-3"/>
          <w:sz w:val="24"/>
          <w:szCs w:val="24"/>
        </w:rPr>
        <w:t>及</w:t>
      </w:r>
      <w:r>
        <w:rPr>
          <w:rFonts w:ascii="宋体" w:hAnsi="宋体" w:eastAsia="宋体" w:cs="宋体"/>
          <w:spacing w:val="-55"/>
          <w:sz w:val="24"/>
          <w:szCs w:val="24"/>
        </w:rPr>
        <w:t xml:space="preserve"> </w:t>
      </w:r>
      <w:r>
        <w:rPr>
          <w:rFonts w:ascii="宋体" w:hAnsi="宋体" w:eastAsia="宋体" w:cs="宋体"/>
          <w:spacing w:val="-3"/>
          <w:sz w:val="24"/>
          <w:szCs w:val="24"/>
        </w:rPr>
        <w:t>PAM</w:t>
      </w:r>
      <w:r>
        <w:rPr>
          <w:rFonts w:ascii="宋体" w:hAnsi="宋体" w:eastAsia="宋体" w:cs="宋体"/>
          <w:spacing w:val="-50"/>
          <w:sz w:val="24"/>
          <w:szCs w:val="24"/>
        </w:rPr>
        <w:t xml:space="preserve"> </w:t>
      </w:r>
      <w:r>
        <w:rPr>
          <w:rFonts w:ascii="宋体" w:hAnsi="宋体" w:eastAsia="宋体" w:cs="宋体"/>
          <w:spacing w:val="-3"/>
          <w:sz w:val="24"/>
          <w:szCs w:val="24"/>
        </w:rPr>
        <w:t>加速沉淀；沉淀后的上清液再自流进入气浮池去除</w:t>
      </w:r>
      <w:r>
        <w:rPr>
          <w:rFonts w:ascii="宋体" w:hAnsi="宋体" w:eastAsia="宋体" w:cs="宋体"/>
          <w:spacing w:val="-4"/>
          <w:sz w:val="24"/>
          <w:szCs w:val="24"/>
        </w:rPr>
        <w:t>部分油、有机物及一些</w:t>
      </w:r>
      <w:r>
        <w:rPr>
          <w:rFonts w:ascii="宋体" w:hAnsi="宋体" w:eastAsia="宋体" w:cs="宋体"/>
          <w:sz w:val="24"/>
          <w:szCs w:val="24"/>
        </w:rPr>
        <w:t xml:space="preserve"> </w:t>
      </w:r>
      <w:r>
        <w:rPr>
          <w:rFonts w:ascii="宋体" w:hAnsi="宋体" w:eastAsia="宋体" w:cs="宋体"/>
          <w:spacing w:val="-3"/>
          <w:sz w:val="24"/>
          <w:szCs w:val="24"/>
        </w:rPr>
        <w:t>重金属离子；而后流入中间水池；多介质过滤器、精密过滤器从中间水池抽水过</w:t>
      </w:r>
      <w:r>
        <w:rPr>
          <w:rFonts w:ascii="宋体" w:hAnsi="宋体" w:eastAsia="宋体" w:cs="宋体"/>
          <w:spacing w:val="1"/>
          <w:sz w:val="24"/>
          <w:szCs w:val="24"/>
        </w:rPr>
        <w:t xml:space="preserve"> </w:t>
      </w:r>
      <w:r>
        <w:rPr>
          <w:rFonts w:ascii="宋体" w:hAnsi="宋体" w:eastAsia="宋体" w:cs="宋体"/>
          <w:spacing w:val="2"/>
          <w:sz w:val="24"/>
          <w:szCs w:val="24"/>
        </w:rPr>
        <w:t>滤；最后废水再进入超滤装置过滤，合格水进入回用水池，同时调整</w:t>
      </w:r>
      <w:r>
        <w:rPr>
          <w:rFonts w:ascii="宋体" w:hAnsi="宋体" w:eastAsia="宋体" w:cs="宋体"/>
          <w:sz w:val="24"/>
          <w:szCs w:val="24"/>
        </w:rPr>
        <w:t>pH</w:t>
      </w:r>
      <w:r>
        <w:rPr>
          <w:rFonts w:ascii="宋体" w:hAnsi="宋体" w:eastAsia="宋体" w:cs="宋体"/>
          <w:spacing w:val="-50"/>
          <w:sz w:val="24"/>
          <w:szCs w:val="24"/>
        </w:rPr>
        <w:t xml:space="preserve"> </w:t>
      </w:r>
      <w:r>
        <w:rPr>
          <w:rFonts w:ascii="宋体" w:hAnsi="宋体" w:eastAsia="宋体" w:cs="宋体"/>
          <w:spacing w:val="2"/>
          <w:sz w:val="24"/>
          <w:szCs w:val="24"/>
        </w:rPr>
        <w:t>值，出</w:t>
      </w:r>
      <w:r>
        <w:rPr>
          <w:rFonts w:ascii="宋体" w:hAnsi="宋体" w:eastAsia="宋体" w:cs="宋体"/>
          <w:sz w:val="24"/>
          <w:szCs w:val="24"/>
        </w:rPr>
        <w:t xml:space="preserve"> </w:t>
      </w:r>
      <w:r>
        <w:rPr>
          <w:rFonts w:ascii="宋体" w:hAnsi="宋体" w:eastAsia="宋体" w:cs="宋体"/>
          <w:spacing w:val="-3"/>
          <w:sz w:val="24"/>
          <w:szCs w:val="24"/>
        </w:rPr>
        <w:t>水水质参考执行《铅、锌工业污染物排放标准》（GB25466-2010）表</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9"/>
          <w:sz w:val="24"/>
          <w:szCs w:val="24"/>
        </w:rPr>
        <w:t xml:space="preserve"> </w:t>
      </w:r>
      <w:r>
        <w:rPr>
          <w:rFonts w:ascii="宋体" w:hAnsi="宋体" w:eastAsia="宋体" w:cs="宋体"/>
          <w:spacing w:val="-4"/>
          <w:sz w:val="24"/>
          <w:szCs w:val="24"/>
        </w:rPr>
        <w:t>直接排放</w:t>
      </w:r>
      <w:r>
        <w:rPr>
          <w:rFonts w:ascii="宋体" w:hAnsi="宋体" w:eastAsia="宋体" w:cs="宋体"/>
          <w:sz w:val="24"/>
          <w:szCs w:val="24"/>
        </w:rPr>
        <w:t xml:space="preserve"> </w:t>
      </w:r>
      <w:r>
        <w:rPr>
          <w:rFonts w:ascii="宋体" w:hAnsi="宋体" w:eastAsia="宋体" w:cs="宋体"/>
          <w:spacing w:val="-1"/>
          <w:sz w:val="24"/>
          <w:szCs w:val="24"/>
        </w:rPr>
        <w:t>标准要求，由变频供水设备供给选厂回水系统。</w:t>
      </w:r>
    </w:p>
    <w:p w14:paraId="4126C3C0">
      <w:pPr>
        <w:spacing w:before="6" w:line="355" w:lineRule="auto"/>
        <w:ind w:left="23" w:right="161" w:firstLine="479"/>
        <w:jc w:val="both"/>
        <w:rPr>
          <w:rFonts w:ascii="宋体" w:hAnsi="宋体" w:eastAsia="宋体" w:cs="宋体"/>
          <w:sz w:val="24"/>
          <w:szCs w:val="24"/>
        </w:rPr>
      </w:pPr>
      <w:r>
        <w:rPr>
          <w:rFonts w:ascii="宋体" w:hAnsi="宋体" w:eastAsia="宋体" w:cs="宋体"/>
          <w:spacing w:val="2"/>
          <w:sz w:val="24"/>
          <w:szCs w:val="24"/>
        </w:rPr>
        <w:t>选矿车间劳动定员</w:t>
      </w:r>
      <w:r>
        <w:rPr>
          <w:rFonts w:ascii="宋体" w:hAnsi="宋体" w:eastAsia="宋体" w:cs="宋体"/>
          <w:spacing w:val="-35"/>
          <w:sz w:val="24"/>
          <w:szCs w:val="24"/>
        </w:rPr>
        <w:t xml:space="preserve"> </w:t>
      </w:r>
      <w:r>
        <w:rPr>
          <w:rFonts w:ascii="宋体" w:hAnsi="宋体" w:eastAsia="宋体" w:cs="宋体"/>
          <w:spacing w:val="2"/>
          <w:sz w:val="24"/>
          <w:szCs w:val="24"/>
        </w:rPr>
        <w:t>348</w:t>
      </w:r>
      <w:r>
        <w:rPr>
          <w:rFonts w:ascii="宋体" w:hAnsi="宋体" w:eastAsia="宋体" w:cs="宋体"/>
          <w:spacing w:val="-44"/>
          <w:sz w:val="24"/>
          <w:szCs w:val="24"/>
        </w:rPr>
        <w:t xml:space="preserve"> </w:t>
      </w:r>
      <w:r>
        <w:rPr>
          <w:rFonts w:ascii="宋体" w:hAnsi="宋体" w:eastAsia="宋体" w:cs="宋体"/>
          <w:spacing w:val="2"/>
          <w:sz w:val="24"/>
          <w:szCs w:val="24"/>
        </w:rPr>
        <w:t>人，生活用水量为</w:t>
      </w:r>
      <w:r>
        <w:rPr>
          <w:rFonts w:ascii="宋体" w:hAnsi="宋体" w:eastAsia="宋体" w:cs="宋体"/>
          <w:spacing w:val="-41"/>
          <w:sz w:val="24"/>
          <w:szCs w:val="24"/>
        </w:rPr>
        <w:t xml:space="preserve"> </w:t>
      </w:r>
      <w:r>
        <w:rPr>
          <w:rFonts w:ascii="宋体" w:hAnsi="宋体" w:eastAsia="宋体" w:cs="宋体"/>
          <w:spacing w:val="2"/>
          <w:sz w:val="24"/>
          <w:szCs w:val="24"/>
        </w:rPr>
        <w:t>34.8m</w:t>
      </w:r>
      <w:r>
        <w:rPr>
          <w:rFonts w:ascii="宋体" w:hAnsi="宋体" w:eastAsia="宋体" w:cs="宋体"/>
          <w:spacing w:val="2"/>
          <w:position w:val="12"/>
          <w:sz w:val="12"/>
          <w:szCs w:val="12"/>
        </w:rPr>
        <w:t>3</w:t>
      </w:r>
      <w:r>
        <w:rPr>
          <w:rFonts w:ascii="宋体" w:hAnsi="宋体" w:eastAsia="宋体" w:cs="宋体"/>
          <w:spacing w:val="2"/>
          <w:sz w:val="24"/>
          <w:szCs w:val="24"/>
        </w:rPr>
        <w:t>/d，废水排放量按用水量</w:t>
      </w:r>
      <w:r>
        <w:rPr>
          <w:rFonts w:ascii="宋体" w:hAnsi="宋体" w:eastAsia="宋体" w:cs="宋体"/>
          <w:sz w:val="24"/>
          <w:szCs w:val="24"/>
        </w:rPr>
        <w:t xml:space="preserve"> </w:t>
      </w:r>
      <w:r>
        <w:rPr>
          <w:rFonts w:ascii="宋体" w:hAnsi="宋体" w:eastAsia="宋体" w:cs="宋体"/>
          <w:spacing w:val="-5"/>
          <w:sz w:val="24"/>
          <w:szCs w:val="24"/>
        </w:rPr>
        <w:t>80%计，则生活污水排放量为</w:t>
      </w:r>
      <w:r>
        <w:rPr>
          <w:rFonts w:ascii="宋体" w:hAnsi="宋体" w:eastAsia="宋体" w:cs="宋体"/>
          <w:spacing w:val="-48"/>
          <w:sz w:val="24"/>
          <w:szCs w:val="24"/>
        </w:rPr>
        <w:t xml:space="preserve"> </w:t>
      </w:r>
      <w:r>
        <w:rPr>
          <w:rFonts w:ascii="宋体" w:hAnsi="宋体" w:eastAsia="宋体" w:cs="宋体"/>
          <w:spacing w:val="-5"/>
          <w:sz w:val="24"/>
          <w:szCs w:val="24"/>
        </w:rPr>
        <w:t>27.84m</w:t>
      </w:r>
      <w:r>
        <w:rPr>
          <w:rFonts w:ascii="宋体" w:hAnsi="宋体" w:eastAsia="宋体" w:cs="宋体"/>
          <w:spacing w:val="-5"/>
          <w:position w:val="12"/>
          <w:sz w:val="12"/>
          <w:szCs w:val="12"/>
        </w:rPr>
        <w:t>3</w:t>
      </w:r>
      <w:r>
        <w:rPr>
          <w:rFonts w:ascii="宋体" w:hAnsi="宋体" w:eastAsia="宋体" w:cs="宋体"/>
          <w:spacing w:val="-5"/>
          <w:sz w:val="24"/>
          <w:szCs w:val="24"/>
        </w:rPr>
        <w:t>/d。生活污水的</w:t>
      </w:r>
      <w:r>
        <w:rPr>
          <w:rFonts w:ascii="宋体" w:hAnsi="宋体" w:eastAsia="宋体" w:cs="宋体"/>
          <w:spacing w:val="-6"/>
          <w:sz w:val="24"/>
          <w:szCs w:val="24"/>
        </w:rPr>
        <w:t>主要污染物为</w:t>
      </w:r>
      <w:r>
        <w:rPr>
          <w:rFonts w:ascii="宋体" w:hAnsi="宋体" w:eastAsia="宋体" w:cs="宋体"/>
          <w:spacing w:val="-49"/>
          <w:sz w:val="24"/>
          <w:szCs w:val="24"/>
        </w:rPr>
        <w:t xml:space="preserve"> </w:t>
      </w:r>
      <w:r>
        <w:rPr>
          <w:rFonts w:ascii="宋体" w:hAnsi="宋体" w:eastAsia="宋体" w:cs="宋体"/>
          <w:spacing w:val="-6"/>
          <w:sz w:val="24"/>
          <w:szCs w:val="24"/>
        </w:rPr>
        <w:t>SS、COD、BOD</w:t>
      </w:r>
      <w:r>
        <w:rPr>
          <w:rFonts w:ascii="宋体" w:hAnsi="宋体" w:eastAsia="宋体" w:cs="宋体"/>
          <w:spacing w:val="-6"/>
          <w:position w:val="-3"/>
          <w:sz w:val="12"/>
          <w:szCs w:val="12"/>
        </w:rPr>
        <w:t>5</w:t>
      </w:r>
      <w:r>
        <w:rPr>
          <w:rFonts w:ascii="宋体" w:hAnsi="宋体" w:eastAsia="宋体" w:cs="宋体"/>
          <w:position w:val="-3"/>
          <w:sz w:val="12"/>
          <w:szCs w:val="12"/>
        </w:rPr>
        <w:t xml:space="preserve">  </w:t>
      </w:r>
      <w:r>
        <w:rPr>
          <w:rFonts w:ascii="宋体" w:hAnsi="宋体" w:eastAsia="宋体" w:cs="宋体"/>
          <w:spacing w:val="-2"/>
          <w:sz w:val="24"/>
          <w:szCs w:val="24"/>
        </w:rPr>
        <w:t>和</w:t>
      </w:r>
      <w:r>
        <w:rPr>
          <w:rFonts w:ascii="宋体" w:hAnsi="宋体" w:eastAsia="宋体" w:cs="宋体"/>
          <w:spacing w:val="-58"/>
          <w:sz w:val="24"/>
          <w:szCs w:val="24"/>
        </w:rPr>
        <w:t xml:space="preserve"> </w:t>
      </w:r>
      <w:r>
        <w:rPr>
          <w:rFonts w:ascii="宋体" w:hAnsi="宋体" w:eastAsia="宋体" w:cs="宋体"/>
          <w:spacing w:val="-2"/>
          <w:sz w:val="24"/>
          <w:szCs w:val="24"/>
        </w:rPr>
        <w:t>NH</w:t>
      </w:r>
      <w:r>
        <w:rPr>
          <w:rFonts w:ascii="宋体" w:hAnsi="宋体" w:eastAsia="宋体" w:cs="宋体"/>
          <w:spacing w:val="-2"/>
          <w:position w:val="-3"/>
          <w:sz w:val="12"/>
          <w:szCs w:val="12"/>
        </w:rPr>
        <w:t>3</w:t>
      </w:r>
      <w:r>
        <w:rPr>
          <w:rFonts w:ascii="宋体" w:hAnsi="宋体" w:eastAsia="宋体" w:cs="宋体"/>
          <w:spacing w:val="-2"/>
          <w:sz w:val="24"/>
          <w:szCs w:val="24"/>
        </w:rPr>
        <w:t>-N 等，产生浓度为</w:t>
      </w:r>
      <w:r>
        <w:rPr>
          <w:rFonts w:ascii="宋体" w:hAnsi="宋体" w:eastAsia="宋体" w:cs="宋体"/>
          <w:spacing w:val="-53"/>
          <w:sz w:val="24"/>
          <w:szCs w:val="24"/>
        </w:rPr>
        <w:t xml:space="preserve"> </w:t>
      </w:r>
      <w:r>
        <w:rPr>
          <w:rFonts w:ascii="宋体" w:hAnsi="宋体" w:eastAsia="宋体" w:cs="宋体"/>
          <w:spacing w:val="-2"/>
          <w:sz w:val="24"/>
          <w:szCs w:val="24"/>
        </w:rPr>
        <w:t>COD：300mg/</w:t>
      </w:r>
      <w:r>
        <w:rPr>
          <w:rFonts w:ascii="宋体" w:hAnsi="宋体" w:eastAsia="宋体" w:cs="宋体"/>
          <w:spacing w:val="-3"/>
          <w:sz w:val="24"/>
          <w:szCs w:val="24"/>
        </w:rPr>
        <w:t>L，BOD</w:t>
      </w:r>
      <w:r>
        <w:rPr>
          <w:rFonts w:ascii="宋体" w:hAnsi="宋体" w:eastAsia="宋体" w:cs="宋体"/>
          <w:spacing w:val="-3"/>
          <w:position w:val="-3"/>
          <w:sz w:val="12"/>
          <w:szCs w:val="12"/>
        </w:rPr>
        <w:t>5</w:t>
      </w:r>
      <w:r>
        <w:rPr>
          <w:rFonts w:ascii="宋体" w:hAnsi="宋体" w:eastAsia="宋体" w:cs="宋体"/>
          <w:spacing w:val="-30"/>
          <w:position w:val="-3"/>
          <w:sz w:val="12"/>
          <w:szCs w:val="12"/>
        </w:rPr>
        <w:t xml:space="preserve"> </w:t>
      </w:r>
      <w:r>
        <w:rPr>
          <w:rFonts w:ascii="宋体" w:hAnsi="宋体" w:eastAsia="宋体" w:cs="宋体"/>
          <w:spacing w:val="-3"/>
          <w:sz w:val="24"/>
          <w:szCs w:val="24"/>
        </w:rPr>
        <w:t>：150mg/L，SS：120mg/L，NH</w:t>
      </w:r>
      <w:r>
        <w:rPr>
          <w:rFonts w:ascii="宋体" w:hAnsi="宋体" w:eastAsia="宋体" w:cs="宋体"/>
          <w:spacing w:val="-3"/>
          <w:position w:val="-3"/>
          <w:sz w:val="12"/>
          <w:szCs w:val="12"/>
        </w:rPr>
        <w:t>3</w:t>
      </w:r>
      <w:r>
        <w:rPr>
          <w:rFonts w:ascii="宋体" w:hAnsi="宋体" w:eastAsia="宋体" w:cs="宋体"/>
          <w:spacing w:val="-3"/>
          <w:sz w:val="24"/>
          <w:szCs w:val="24"/>
        </w:rPr>
        <w:t>-N：</w:t>
      </w:r>
      <w:r>
        <w:rPr>
          <w:rFonts w:ascii="宋体" w:hAnsi="宋体" w:eastAsia="宋体" w:cs="宋体"/>
          <w:sz w:val="24"/>
          <w:szCs w:val="24"/>
        </w:rPr>
        <w:t xml:space="preserve"> </w:t>
      </w:r>
      <w:r>
        <w:rPr>
          <w:rFonts w:ascii="宋体" w:hAnsi="宋体" w:eastAsia="宋体" w:cs="宋体"/>
          <w:spacing w:val="1"/>
          <w:sz w:val="24"/>
          <w:szCs w:val="24"/>
        </w:rPr>
        <w:t>15</w:t>
      </w:r>
      <w:r>
        <w:rPr>
          <w:rFonts w:ascii="宋体" w:hAnsi="宋体" w:eastAsia="宋体" w:cs="宋体"/>
          <w:sz w:val="24"/>
          <w:szCs w:val="24"/>
        </w:rPr>
        <w:t>mg</w:t>
      </w:r>
      <w:r>
        <w:rPr>
          <w:rFonts w:ascii="宋体" w:hAnsi="宋体" w:eastAsia="宋体" w:cs="宋体"/>
          <w:spacing w:val="1"/>
          <w:sz w:val="24"/>
          <w:szCs w:val="24"/>
        </w:rPr>
        <w:t>/L。企业现有一座</w:t>
      </w:r>
      <w:r>
        <w:rPr>
          <w:rFonts w:ascii="宋体" w:hAnsi="宋体" w:eastAsia="宋体" w:cs="宋体"/>
          <w:spacing w:val="-28"/>
          <w:sz w:val="24"/>
          <w:szCs w:val="24"/>
        </w:rPr>
        <w:t xml:space="preserve"> </w:t>
      </w:r>
      <w:r>
        <w:rPr>
          <w:rFonts w:ascii="宋体" w:hAnsi="宋体" w:eastAsia="宋体" w:cs="宋体"/>
          <w:spacing w:val="1"/>
          <w:sz w:val="24"/>
          <w:szCs w:val="24"/>
        </w:rPr>
        <w:t>144 m</w:t>
      </w:r>
      <w:r>
        <w:rPr>
          <w:rFonts w:ascii="宋体" w:hAnsi="宋体" w:eastAsia="宋体" w:cs="宋体"/>
          <w:spacing w:val="1"/>
          <w:position w:val="12"/>
          <w:sz w:val="12"/>
          <w:szCs w:val="12"/>
        </w:rPr>
        <w:t>3</w:t>
      </w:r>
      <w:r>
        <w:rPr>
          <w:rFonts w:ascii="宋体" w:hAnsi="宋体" w:eastAsia="宋体" w:cs="宋体"/>
          <w:spacing w:val="1"/>
          <w:sz w:val="24"/>
          <w:szCs w:val="24"/>
        </w:rPr>
        <w:t>/d</w:t>
      </w:r>
      <w:r>
        <w:rPr>
          <w:rFonts w:ascii="宋体" w:hAnsi="宋体" w:eastAsia="宋体" w:cs="宋体"/>
          <w:spacing w:val="-46"/>
          <w:sz w:val="24"/>
          <w:szCs w:val="24"/>
        </w:rPr>
        <w:t xml:space="preserve"> </w:t>
      </w:r>
      <w:r>
        <w:rPr>
          <w:rFonts w:ascii="宋体" w:hAnsi="宋体" w:eastAsia="宋体" w:cs="宋体"/>
          <w:spacing w:val="1"/>
          <w:sz w:val="24"/>
          <w:szCs w:val="24"/>
        </w:rPr>
        <w:t>生活污水处理站，</w:t>
      </w:r>
      <w:r>
        <w:rPr>
          <w:rFonts w:ascii="宋体" w:hAnsi="宋体" w:eastAsia="宋体" w:cs="宋体"/>
          <w:sz w:val="24"/>
          <w:szCs w:val="24"/>
        </w:rPr>
        <w:t>用于处理全厂生活污水。生 活污水处理站采用MBR</w:t>
      </w:r>
      <w:r>
        <w:rPr>
          <w:rFonts w:ascii="宋体" w:hAnsi="宋体" w:eastAsia="宋体" w:cs="宋体"/>
          <w:spacing w:val="-52"/>
          <w:sz w:val="24"/>
          <w:szCs w:val="24"/>
        </w:rPr>
        <w:t xml:space="preserve"> </w:t>
      </w:r>
      <w:r>
        <w:rPr>
          <w:rFonts w:ascii="宋体" w:hAnsi="宋体" w:eastAsia="宋体" w:cs="宋体"/>
          <w:sz w:val="24"/>
          <w:szCs w:val="24"/>
        </w:rPr>
        <w:t>膜生物反应器，MBR</w:t>
      </w:r>
      <w:r>
        <w:rPr>
          <w:rFonts w:ascii="宋体" w:hAnsi="宋体" w:eastAsia="宋体" w:cs="宋体"/>
          <w:spacing w:val="-52"/>
          <w:sz w:val="24"/>
          <w:szCs w:val="24"/>
        </w:rPr>
        <w:t xml:space="preserve"> </w:t>
      </w:r>
      <w:r>
        <w:rPr>
          <w:rFonts w:ascii="宋体" w:hAnsi="宋体" w:eastAsia="宋体" w:cs="宋体"/>
          <w:sz w:val="24"/>
          <w:szCs w:val="24"/>
        </w:rPr>
        <w:t xml:space="preserve">膜生物反应器是将膜分离技术和生物 </w:t>
      </w:r>
      <w:r>
        <w:rPr>
          <w:rFonts w:ascii="宋体" w:hAnsi="宋体" w:eastAsia="宋体" w:cs="宋体"/>
          <w:spacing w:val="-3"/>
          <w:sz w:val="24"/>
          <w:szCs w:val="24"/>
        </w:rPr>
        <w:t>反应器的生物降解作用集于一体的生物反应系统，是一种将高效膜分离技术与传</w:t>
      </w:r>
      <w:r>
        <w:rPr>
          <w:rFonts w:ascii="宋体" w:hAnsi="宋体" w:eastAsia="宋体" w:cs="宋体"/>
          <w:spacing w:val="1"/>
          <w:sz w:val="24"/>
          <w:szCs w:val="24"/>
        </w:rPr>
        <w:t xml:space="preserve"> </w:t>
      </w:r>
      <w:r>
        <w:rPr>
          <w:rFonts w:ascii="宋体" w:hAnsi="宋体" w:eastAsia="宋体" w:cs="宋体"/>
          <w:spacing w:val="-3"/>
          <w:sz w:val="24"/>
          <w:szCs w:val="24"/>
        </w:rPr>
        <w:t>统活性污泥法相结合的新型高效污水处理工艺，取代了传统生化工艺中二沉池和</w:t>
      </w:r>
      <w:r>
        <w:rPr>
          <w:rFonts w:ascii="宋体" w:hAnsi="宋体" w:eastAsia="宋体" w:cs="宋体"/>
          <w:spacing w:val="1"/>
          <w:sz w:val="24"/>
          <w:szCs w:val="24"/>
        </w:rPr>
        <w:t xml:space="preserve"> </w:t>
      </w:r>
      <w:r>
        <w:rPr>
          <w:rFonts w:ascii="宋体" w:hAnsi="宋体" w:eastAsia="宋体" w:cs="宋体"/>
          <w:spacing w:val="-1"/>
          <w:sz w:val="24"/>
          <w:szCs w:val="24"/>
        </w:rPr>
        <w:t>三级处理工艺，生活污水经一体化污水处理装置处理后</w:t>
      </w:r>
      <w:r>
        <w:rPr>
          <w:rFonts w:ascii="宋体" w:hAnsi="宋体" w:eastAsia="宋体" w:cs="宋体"/>
          <w:spacing w:val="-2"/>
          <w:sz w:val="24"/>
          <w:szCs w:val="24"/>
        </w:rPr>
        <w:t>用于厂区绿化，不外排。</w:t>
      </w:r>
    </w:p>
    <w:p w14:paraId="5410AC0F">
      <w:pPr>
        <w:spacing w:line="226" w:lineRule="auto"/>
        <w:ind w:left="2354"/>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9"/>
          <w:sz w:val="20"/>
          <w:szCs w:val="20"/>
        </w:rPr>
        <w:t xml:space="preserve"> </w:t>
      </w:r>
      <w:r>
        <w:rPr>
          <w:rFonts w:ascii="Times New Roman" w:hAnsi="Times New Roman" w:eastAsia="Times New Roman" w:cs="Times New Roman"/>
          <w:spacing w:val="5"/>
          <w:sz w:val="20"/>
          <w:szCs w:val="20"/>
        </w:rPr>
        <w:t xml:space="preserve">8.3-1        </w:t>
      </w:r>
      <w:r>
        <w:rPr>
          <w:rFonts w:ascii="宋体" w:hAnsi="宋体" w:eastAsia="宋体" w:cs="宋体"/>
          <w:spacing w:val="5"/>
          <w:sz w:val="20"/>
          <w:szCs w:val="20"/>
        </w:rPr>
        <w:t>地表水环境影响评价自查表</w:t>
      </w:r>
    </w:p>
    <w:p w14:paraId="3F2C88B0">
      <w:pPr>
        <w:spacing w:line="15" w:lineRule="exact"/>
      </w:pPr>
    </w:p>
    <w:tbl>
      <w:tblPr>
        <w:tblStyle w:val="5"/>
        <w:tblW w:w="852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133"/>
        <w:gridCol w:w="3117"/>
        <w:gridCol w:w="3598"/>
      </w:tblGrid>
      <w:tr w14:paraId="0ABCA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812" w:type="dxa"/>
            <w:gridSpan w:val="2"/>
            <w:vAlign w:val="top"/>
          </w:tcPr>
          <w:p w14:paraId="2AEF23B8">
            <w:pPr>
              <w:pStyle w:val="6"/>
              <w:spacing w:before="69" w:line="228" w:lineRule="auto"/>
              <w:ind w:left="495"/>
            </w:pPr>
            <w:r>
              <w:rPr>
                <w:spacing w:val="6"/>
              </w:rPr>
              <w:t>工作内容</w:t>
            </w:r>
          </w:p>
        </w:tc>
        <w:tc>
          <w:tcPr>
            <w:tcW w:w="6715" w:type="dxa"/>
            <w:gridSpan w:val="2"/>
            <w:vAlign w:val="top"/>
          </w:tcPr>
          <w:p w14:paraId="07FF6EB7">
            <w:pPr>
              <w:pStyle w:val="6"/>
              <w:spacing w:before="70" w:line="228" w:lineRule="auto"/>
              <w:ind w:left="2975"/>
            </w:pPr>
            <w:r>
              <w:rPr>
                <w:spacing w:val="-2"/>
              </w:rPr>
              <w:t>自查项目</w:t>
            </w:r>
          </w:p>
        </w:tc>
      </w:tr>
      <w:tr w14:paraId="26C5D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9" w:type="dxa"/>
            <w:vMerge w:val="restart"/>
            <w:tcBorders>
              <w:bottom w:val="nil"/>
            </w:tcBorders>
            <w:vAlign w:val="top"/>
          </w:tcPr>
          <w:p w14:paraId="019A31DD">
            <w:pPr>
              <w:spacing w:line="257" w:lineRule="auto"/>
              <w:rPr>
                <w:rFonts w:ascii="Arial"/>
                <w:sz w:val="21"/>
              </w:rPr>
            </w:pPr>
          </w:p>
          <w:p w14:paraId="66B73251">
            <w:pPr>
              <w:spacing w:line="258" w:lineRule="auto"/>
              <w:rPr>
                <w:rFonts w:ascii="Arial"/>
                <w:sz w:val="21"/>
              </w:rPr>
            </w:pPr>
          </w:p>
          <w:p w14:paraId="6F1B9949">
            <w:pPr>
              <w:spacing w:line="258" w:lineRule="auto"/>
              <w:rPr>
                <w:rFonts w:ascii="Arial"/>
                <w:sz w:val="21"/>
              </w:rPr>
            </w:pPr>
          </w:p>
          <w:p w14:paraId="4B3CD1FA">
            <w:pPr>
              <w:spacing w:line="258" w:lineRule="auto"/>
              <w:rPr>
                <w:rFonts w:ascii="Arial"/>
                <w:sz w:val="21"/>
              </w:rPr>
            </w:pPr>
          </w:p>
          <w:p w14:paraId="3EE06F33">
            <w:pPr>
              <w:spacing w:line="258" w:lineRule="auto"/>
              <w:rPr>
                <w:rFonts w:ascii="Arial"/>
                <w:sz w:val="21"/>
              </w:rPr>
            </w:pPr>
          </w:p>
          <w:p w14:paraId="0854C5EB">
            <w:pPr>
              <w:pStyle w:val="6"/>
              <w:spacing w:before="65" w:line="230" w:lineRule="auto"/>
              <w:ind w:left="135"/>
            </w:pPr>
            <w:r>
              <w:rPr>
                <w:spacing w:val="4"/>
              </w:rPr>
              <w:t>影响</w:t>
            </w:r>
          </w:p>
          <w:p w14:paraId="607B0925">
            <w:pPr>
              <w:pStyle w:val="6"/>
              <w:spacing w:before="63" w:line="228" w:lineRule="auto"/>
              <w:ind w:left="136"/>
            </w:pPr>
            <w:r>
              <w:rPr>
                <w:spacing w:val="3"/>
              </w:rPr>
              <w:t>识别</w:t>
            </w:r>
          </w:p>
        </w:tc>
        <w:tc>
          <w:tcPr>
            <w:tcW w:w="1133" w:type="dxa"/>
            <w:vAlign w:val="top"/>
          </w:tcPr>
          <w:p w14:paraId="7A236C07">
            <w:pPr>
              <w:pStyle w:val="6"/>
              <w:spacing w:before="66" w:line="228" w:lineRule="auto"/>
              <w:ind w:left="149"/>
            </w:pPr>
            <w:r>
              <w:rPr>
                <w:spacing w:val="7"/>
              </w:rPr>
              <w:t>影响类型</w:t>
            </w:r>
          </w:p>
        </w:tc>
        <w:tc>
          <w:tcPr>
            <w:tcW w:w="6715" w:type="dxa"/>
            <w:gridSpan w:val="2"/>
            <w:vAlign w:val="top"/>
          </w:tcPr>
          <w:p w14:paraId="51705919">
            <w:pPr>
              <w:pStyle w:val="6"/>
              <w:spacing w:before="66" w:line="228" w:lineRule="auto"/>
              <w:ind w:left="1829"/>
              <w:rPr>
                <w:rFonts w:ascii="Times New Roman" w:hAnsi="Times New Roman" w:eastAsia="Times New Roman" w:cs="Times New Roman"/>
              </w:rPr>
            </w:pPr>
            <w:r>
              <w:rPr>
                <w:spacing w:val="8"/>
              </w:rPr>
              <w:t>水污染影响型；水文要素影响型</w:t>
            </w:r>
            <w:r>
              <w:rPr>
                <w:rFonts w:ascii="Times New Roman" w:hAnsi="Times New Roman" w:eastAsia="Times New Roman" w:cs="Times New Roman"/>
                <w:spacing w:val="8"/>
              </w:rPr>
              <w:t>□</w:t>
            </w:r>
          </w:p>
        </w:tc>
      </w:tr>
      <w:tr w14:paraId="09AAA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79" w:type="dxa"/>
            <w:vMerge w:val="continue"/>
            <w:tcBorders>
              <w:top w:val="nil"/>
              <w:bottom w:val="nil"/>
            </w:tcBorders>
            <w:vAlign w:val="top"/>
          </w:tcPr>
          <w:p w14:paraId="76EF278F">
            <w:pPr>
              <w:rPr>
                <w:rFonts w:ascii="Arial"/>
                <w:sz w:val="21"/>
              </w:rPr>
            </w:pPr>
          </w:p>
        </w:tc>
        <w:tc>
          <w:tcPr>
            <w:tcW w:w="1133" w:type="dxa"/>
            <w:vAlign w:val="top"/>
          </w:tcPr>
          <w:p w14:paraId="38699981">
            <w:pPr>
              <w:spacing w:line="298" w:lineRule="auto"/>
              <w:rPr>
                <w:rFonts w:ascii="Arial"/>
                <w:sz w:val="21"/>
              </w:rPr>
            </w:pPr>
          </w:p>
          <w:p w14:paraId="34923E36">
            <w:pPr>
              <w:pStyle w:val="6"/>
              <w:spacing w:before="65" w:line="228" w:lineRule="auto"/>
              <w:ind w:left="152"/>
            </w:pPr>
            <w:r>
              <w:rPr>
                <w:spacing w:val="6"/>
              </w:rPr>
              <w:t>水环境保</w:t>
            </w:r>
          </w:p>
          <w:p w14:paraId="12ECBF23">
            <w:pPr>
              <w:pStyle w:val="6"/>
              <w:spacing w:before="65" w:line="228" w:lineRule="auto"/>
              <w:ind w:left="256"/>
            </w:pPr>
            <w:r>
              <w:rPr>
                <w:spacing w:val="6"/>
              </w:rPr>
              <w:t>护目标</w:t>
            </w:r>
          </w:p>
        </w:tc>
        <w:tc>
          <w:tcPr>
            <w:tcW w:w="6715" w:type="dxa"/>
            <w:gridSpan w:val="2"/>
            <w:vAlign w:val="top"/>
          </w:tcPr>
          <w:p w14:paraId="2284D57D">
            <w:pPr>
              <w:pStyle w:val="6"/>
              <w:spacing w:before="53" w:line="228" w:lineRule="auto"/>
              <w:ind w:left="113"/>
            </w:pPr>
            <w:r>
              <w:rPr>
                <w:spacing w:val="3"/>
              </w:rPr>
              <w:t>饮用水水源保护区</w:t>
            </w:r>
            <w:r>
              <w:rPr>
                <w:rFonts w:ascii="Times New Roman" w:hAnsi="Times New Roman" w:eastAsia="Times New Roman" w:cs="Times New Roman"/>
                <w:spacing w:val="3"/>
              </w:rPr>
              <w:t>□</w:t>
            </w:r>
            <w:r>
              <w:rPr>
                <w:spacing w:val="3"/>
              </w:rPr>
              <w:t>；饮用水取水口</w:t>
            </w:r>
            <w:r>
              <w:rPr>
                <w:rFonts w:ascii="Times New Roman" w:hAnsi="Times New Roman" w:eastAsia="Times New Roman" w:cs="Times New Roman"/>
                <w:spacing w:val="3"/>
              </w:rPr>
              <w:t>□</w:t>
            </w:r>
            <w:r>
              <w:rPr>
                <w:spacing w:val="3"/>
              </w:rPr>
              <w:t>；涉及的自然保护区</w:t>
            </w:r>
            <w:r>
              <w:rPr>
                <w:rFonts w:ascii="Times New Roman" w:hAnsi="Times New Roman" w:eastAsia="Times New Roman" w:cs="Times New Roman"/>
                <w:spacing w:val="3"/>
              </w:rPr>
              <w:t>□</w:t>
            </w:r>
            <w:r>
              <w:rPr>
                <w:spacing w:val="3"/>
              </w:rPr>
              <w:t>；重要湿地</w:t>
            </w:r>
            <w:r>
              <w:rPr>
                <w:rFonts w:ascii="Times New Roman" w:hAnsi="Times New Roman" w:eastAsia="Times New Roman" w:cs="Times New Roman"/>
                <w:spacing w:val="2"/>
              </w:rPr>
              <w:t>□</w:t>
            </w:r>
            <w:r>
              <w:rPr>
                <w:rFonts w:ascii="Times New Roman" w:hAnsi="Times New Roman" w:eastAsia="Times New Roman" w:cs="Times New Roman"/>
                <w:spacing w:val="-26"/>
              </w:rPr>
              <w:t xml:space="preserve"> </w:t>
            </w:r>
            <w:r>
              <w:rPr>
                <w:spacing w:val="2"/>
              </w:rPr>
              <w:t>;</w:t>
            </w:r>
          </w:p>
          <w:p w14:paraId="60223F88">
            <w:pPr>
              <w:pStyle w:val="6"/>
              <w:spacing w:before="65" w:line="228" w:lineRule="auto"/>
              <w:ind w:left="114"/>
            </w:pPr>
            <w:r>
              <w:rPr>
                <w:spacing w:val="9"/>
              </w:rPr>
              <w:t>重点保护与珍稀水生生物的栖息地；重要水生生物的自然产卵场及索饵</w:t>
            </w:r>
          </w:p>
          <w:p w14:paraId="798C33D9">
            <w:pPr>
              <w:pStyle w:val="6"/>
              <w:spacing w:before="64" w:line="228" w:lineRule="auto"/>
              <w:ind w:left="112"/>
            </w:pPr>
            <w:r>
              <w:rPr>
                <w:spacing w:val="8"/>
              </w:rPr>
              <w:t>场、越冬场和洄游通道、天然渔场等渔业水体</w:t>
            </w:r>
            <w:r>
              <w:rPr>
                <w:rFonts w:ascii="Times New Roman" w:hAnsi="Times New Roman" w:eastAsia="Times New Roman" w:cs="Times New Roman"/>
                <w:spacing w:val="8"/>
              </w:rPr>
              <w:t>□</w:t>
            </w:r>
            <w:r>
              <w:rPr>
                <w:rFonts w:ascii="Times New Roman" w:hAnsi="Times New Roman" w:eastAsia="Times New Roman" w:cs="Times New Roman"/>
                <w:spacing w:val="-14"/>
              </w:rPr>
              <w:t xml:space="preserve"> </w:t>
            </w:r>
            <w:r>
              <w:rPr>
                <w:spacing w:val="8"/>
              </w:rPr>
              <w:t>；涉水的风景名胜区</w:t>
            </w:r>
            <w:r>
              <w:rPr>
                <w:rFonts w:ascii="Times New Roman" w:hAnsi="Times New Roman" w:eastAsia="Times New Roman" w:cs="Times New Roman"/>
                <w:spacing w:val="8"/>
              </w:rPr>
              <w:t>□</w:t>
            </w:r>
            <w:r>
              <w:rPr>
                <w:rFonts w:ascii="Times New Roman" w:hAnsi="Times New Roman" w:eastAsia="Times New Roman" w:cs="Times New Roman"/>
                <w:spacing w:val="-23"/>
              </w:rPr>
              <w:t xml:space="preserve"> </w:t>
            </w:r>
            <w:r>
              <w:rPr>
                <w:spacing w:val="8"/>
              </w:rPr>
              <w:t>;</w:t>
            </w:r>
          </w:p>
          <w:p w14:paraId="2E04CC11">
            <w:pPr>
              <w:pStyle w:val="6"/>
              <w:spacing w:before="65" w:line="228" w:lineRule="auto"/>
              <w:ind w:left="3087"/>
              <w:rPr>
                <w:rFonts w:ascii="Times New Roman" w:hAnsi="Times New Roman" w:eastAsia="Times New Roman" w:cs="Times New Roman"/>
              </w:rPr>
            </w:pPr>
            <w:r>
              <w:rPr>
                <w:spacing w:val="5"/>
              </w:rPr>
              <w:t>其他</w:t>
            </w:r>
            <w:r>
              <w:rPr>
                <w:rFonts w:ascii="Times New Roman" w:hAnsi="Times New Roman" w:eastAsia="Times New Roman" w:cs="Times New Roman"/>
                <w:spacing w:val="5"/>
              </w:rPr>
              <w:t>□</w:t>
            </w:r>
          </w:p>
        </w:tc>
      </w:tr>
      <w:tr w14:paraId="22A2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002D6755">
            <w:pPr>
              <w:rPr>
                <w:rFonts w:ascii="Arial"/>
                <w:sz w:val="21"/>
              </w:rPr>
            </w:pPr>
          </w:p>
        </w:tc>
        <w:tc>
          <w:tcPr>
            <w:tcW w:w="1133" w:type="dxa"/>
            <w:vMerge w:val="restart"/>
            <w:tcBorders>
              <w:bottom w:val="nil"/>
            </w:tcBorders>
            <w:vAlign w:val="top"/>
          </w:tcPr>
          <w:p w14:paraId="01BFAEBC">
            <w:pPr>
              <w:pStyle w:val="6"/>
              <w:spacing w:before="244" w:line="228" w:lineRule="auto"/>
              <w:ind w:left="149"/>
            </w:pPr>
            <w:r>
              <w:rPr>
                <w:spacing w:val="7"/>
              </w:rPr>
              <w:t>影响途径</w:t>
            </w:r>
          </w:p>
        </w:tc>
        <w:tc>
          <w:tcPr>
            <w:tcW w:w="3117" w:type="dxa"/>
            <w:vAlign w:val="top"/>
          </w:tcPr>
          <w:p w14:paraId="15BA2C05">
            <w:pPr>
              <w:pStyle w:val="6"/>
              <w:spacing w:before="69" w:line="228" w:lineRule="auto"/>
              <w:ind w:left="936"/>
            </w:pPr>
            <w:r>
              <w:rPr>
                <w:spacing w:val="7"/>
              </w:rPr>
              <w:t>水污染影响型</w:t>
            </w:r>
          </w:p>
        </w:tc>
        <w:tc>
          <w:tcPr>
            <w:tcW w:w="3598" w:type="dxa"/>
            <w:vAlign w:val="top"/>
          </w:tcPr>
          <w:p w14:paraId="30A5F1E8">
            <w:pPr>
              <w:pStyle w:val="6"/>
              <w:spacing w:before="69" w:line="228" w:lineRule="auto"/>
              <w:ind w:left="1071"/>
            </w:pPr>
            <w:r>
              <w:rPr>
                <w:spacing w:val="8"/>
              </w:rPr>
              <w:t>水文要素影响型</w:t>
            </w:r>
          </w:p>
        </w:tc>
      </w:tr>
      <w:tr w14:paraId="72D85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0DBE13CF">
            <w:pPr>
              <w:rPr>
                <w:rFonts w:ascii="Arial"/>
                <w:sz w:val="21"/>
              </w:rPr>
            </w:pPr>
          </w:p>
        </w:tc>
        <w:tc>
          <w:tcPr>
            <w:tcW w:w="1133" w:type="dxa"/>
            <w:vMerge w:val="continue"/>
            <w:tcBorders>
              <w:top w:val="nil"/>
            </w:tcBorders>
            <w:vAlign w:val="top"/>
          </w:tcPr>
          <w:p w14:paraId="4920B461">
            <w:pPr>
              <w:rPr>
                <w:rFonts w:ascii="Arial"/>
                <w:sz w:val="21"/>
              </w:rPr>
            </w:pPr>
          </w:p>
        </w:tc>
        <w:tc>
          <w:tcPr>
            <w:tcW w:w="3117" w:type="dxa"/>
            <w:vAlign w:val="top"/>
          </w:tcPr>
          <w:p w14:paraId="44D29A14">
            <w:pPr>
              <w:pStyle w:val="6"/>
              <w:spacing w:before="69"/>
              <w:ind w:left="115"/>
              <w:rPr>
                <w:rFonts w:ascii="MS Gothic" w:hAnsi="MS Gothic" w:eastAsia="MS Gothic" w:cs="MS Gothic"/>
              </w:rPr>
            </w:pPr>
            <w:r>
              <w:rPr>
                <w:spacing w:val="2"/>
              </w:rPr>
              <w:t>直接排放</w:t>
            </w:r>
            <w:r>
              <w:rPr>
                <w:rFonts w:ascii="Times New Roman" w:hAnsi="Times New Roman" w:eastAsia="Times New Roman" w:cs="Times New Roman"/>
                <w:spacing w:val="2"/>
              </w:rPr>
              <w:t>□</w:t>
            </w:r>
            <w:r>
              <w:rPr>
                <w:rFonts w:ascii="Times New Roman" w:hAnsi="Times New Roman" w:eastAsia="Times New Roman" w:cs="Times New Roman"/>
                <w:spacing w:val="-21"/>
              </w:rPr>
              <w:t xml:space="preserve"> </w:t>
            </w:r>
            <w:r>
              <w:rPr>
                <w:spacing w:val="2"/>
              </w:rPr>
              <w:t>；间接排放</w:t>
            </w:r>
            <w:r>
              <w:rPr>
                <w:rFonts w:ascii="Times New Roman" w:hAnsi="Times New Roman" w:eastAsia="Times New Roman" w:cs="Times New Roman"/>
                <w:spacing w:val="2"/>
              </w:rPr>
              <w:t>□</w:t>
            </w:r>
            <w:r>
              <w:rPr>
                <w:spacing w:val="2"/>
              </w:rPr>
              <w:t>；其他</w:t>
            </w:r>
            <w:r>
              <w:rPr>
                <w:rFonts w:ascii="MS Gothic" w:hAnsi="MS Gothic" w:eastAsia="MS Gothic" w:cs="MS Gothic"/>
                <w:spacing w:val="2"/>
              </w:rPr>
              <w:t>☑</w:t>
            </w:r>
          </w:p>
        </w:tc>
        <w:tc>
          <w:tcPr>
            <w:tcW w:w="3598" w:type="dxa"/>
            <w:vAlign w:val="top"/>
          </w:tcPr>
          <w:p w14:paraId="4415770C">
            <w:pPr>
              <w:pStyle w:val="6"/>
              <w:spacing w:before="69" w:line="228" w:lineRule="auto"/>
              <w:ind w:left="565"/>
              <w:rPr>
                <w:rFonts w:ascii="Times New Roman" w:hAnsi="Times New Roman" w:eastAsia="Times New Roman" w:cs="Times New Roman"/>
              </w:rPr>
            </w:pPr>
            <w:r>
              <w:rPr>
                <w:spacing w:val="4"/>
              </w:rPr>
              <w:t>水温</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；径流</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；水域面积</w:t>
            </w:r>
            <w:r>
              <w:rPr>
                <w:rFonts w:ascii="Times New Roman" w:hAnsi="Times New Roman" w:eastAsia="Times New Roman" w:cs="Times New Roman"/>
                <w:spacing w:val="4"/>
              </w:rPr>
              <w:t>□</w:t>
            </w:r>
          </w:p>
        </w:tc>
      </w:tr>
      <w:tr w14:paraId="02DB2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79" w:type="dxa"/>
            <w:vMerge w:val="continue"/>
            <w:tcBorders>
              <w:top w:val="nil"/>
            </w:tcBorders>
            <w:vAlign w:val="top"/>
          </w:tcPr>
          <w:p w14:paraId="6B39A2E4">
            <w:pPr>
              <w:rPr>
                <w:rFonts w:ascii="Arial"/>
                <w:sz w:val="21"/>
              </w:rPr>
            </w:pPr>
          </w:p>
        </w:tc>
        <w:tc>
          <w:tcPr>
            <w:tcW w:w="1133" w:type="dxa"/>
            <w:vAlign w:val="top"/>
          </w:tcPr>
          <w:p w14:paraId="63D6C05B">
            <w:pPr>
              <w:spacing w:line="301" w:lineRule="auto"/>
              <w:rPr>
                <w:rFonts w:ascii="Arial"/>
                <w:sz w:val="21"/>
              </w:rPr>
            </w:pPr>
          </w:p>
          <w:p w14:paraId="38B50579">
            <w:pPr>
              <w:pStyle w:val="6"/>
              <w:spacing w:before="65" w:line="228" w:lineRule="auto"/>
              <w:ind w:left="149"/>
            </w:pPr>
            <w:r>
              <w:rPr>
                <w:spacing w:val="7"/>
              </w:rPr>
              <w:t>影响因子</w:t>
            </w:r>
          </w:p>
        </w:tc>
        <w:tc>
          <w:tcPr>
            <w:tcW w:w="3117" w:type="dxa"/>
            <w:vAlign w:val="top"/>
          </w:tcPr>
          <w:p w14:paraId="02F23B60">
            <w:pPr>
              <w:pStyle w:val="6"/>
              <w:spacing w:before="55" w:line="228" w:lineRule="auto"/>
              <w:ind w:left="116"/>
            </w:pPr>
            <w:r>
              <w:rPr>
                <w:spacing w:val="4"/>
              </w:rPr>
              <w:t xml:space="preserve">持久性污染物 </w:t>
            </w:r>
            <w:r>
              <w:rPr>
                <w:rFonts w:ascii="Times New Roman" w:hAnsi="Times New Roman" w:eastAsia="Times New Roman" w:cs="Times New Roman"/>
                <w:spacing w:val="4"/>
              </w:rPr>
              <w:t>□</w:t>
            </w:r>
            <w:r>
              <w:rPr>
                <w:spacing w:val="4"/>
              </w:rPr>
              <w:t>；有毒有害污染</w:t>
            </w:r>
          </w:p>
          <w:p w14:paraId="7362FC95">
            <w:pPr>
              <w:pStyle w:val="6"/>
              <w:spacing w:before="65" w:line="239" w:lineRule="auto"/>
              <w:ind w:left="305"/>
            </w:pPr>
            <w:r>
              <w:rPr>
                <w:spacing w:val="6"/>
              </w:rPr>
              <w:t xml:space="preserve">物 </w:t>
            </w:r>
            <w:r>
              <w:rPr>
                <w:rFonts w:ascii="MS Gothic" w:hAnsi="MS Gothic" w:eastAsia="MS Gothic" w:cs="MS Gothic"/>
                <w:spacing w:val="6"/>
              </w:rPr>
              <w:t>☑</w:t>
            </w:r>
            <w:r>
              <w:rPr>
                <w:spacing w:val="6"/>
              </w:rPr>
              <w:t>；非持久性污染物</w:t>
            </w:r>
            <w:r>
              <w:rPr>
                <w:rFonts w:ascii="Times New Roman" w:hAnsi="Times New Roman" w:eastAsia="Times New Roman" w:cs="Times New Roman"/>
                <w:spacing w:val="6"/>
              </w:rPr>
              <w:t>□</w:t>
            </w:r>
            <w:r>
              <w:rPr>
                <w:rFonts w:ascii="Times New Roman" w:hAnsi="Times New Roman" w:eastAsia="Times New Roman" w:cs="Times New Roman"/>
                <w:spacing w:val="-26"/>
              </w:rPr>
              <w:t xml:space="preserve"> </w:t>
            </w:r>
            <w:r>
              <w:rPr>
                <w:spacing w:val="6"/>
              </w:rPr>
              <w:t>;</w:t>
            </w:r>
          </w:p>
          <w:p w14:paraId="60EE4B55">
            <w:pPr>
              <w:pStyle w:val="6"/>
              <w:spacing w:before="53" w:line="221" w:lineRule="auto"/>
              <w:ind w:left="104"/>
            </w:pPr>
            <w:r>
              <w:rPr>
                <w:rFonts w:ascii="Times New Roman" w:hAnsi="Times New Roman" w:eastAsia="Times New Roman" w:cs="Times New Roman"/>
              </w:rPr>
              <w:t xml:space="preserve">pH </w:t>
            </w:r>
            <w:r>
              <w:t>值</w:t>
            </w:r>
            <w:r>
              <w:rPr>
                <w:spacing w:val="36"/>
              </w:rPr>
              <w:t xml:space="preserve"> </w:t>
            </w:r>
            <w:r>
              <w:rPr>
                <w:rFonts w:ascii="MS Gothic" w:hAnsi="MS Gothic" w:eastAsia="MS Gothic" w:cs="MS Gothic"/>
              </w:rPr>
              <w:t>☑</w:t>
            </w:r>
            <w:r>
              <w:t>；热污染</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；富营养化</w:t>
            </w:r>
          </w:p>
        </w:tc>
        <w:tc>
          <w:tcPr>
            <w:tcW w:w="3598" w:type="dxa"/>
            <w:vAlign w:val="top"/>
          </w:tcPr>
          <w:p w14:paraId="7EE7E154">
            <w:pPr>
              <w:pStyle w:val="6"/>
              <w:spacing w:before="211" w:line="228" w:lineRule="auto"/>
              <w:ind w:left="116"/>
            </w:pPr>
            <w:r>
              <w:rPr>
                <w:spacing w:val="2"/>
              </w:rPr>
              <w:t xml:space="preserve">水温 </w:t>
            </w:r>
            <w:r>
              <w:rPr>
                <w:rFonts w:ascii="Times New Roman" w:hAnsi="Times New Roman" w:eastAsia="Times New Roman" w:cs="Times New Roman"/>
                <w:spacing w:val="2"/>
              </w:rPr>
              <w:t>□</w:t>
            </w:r>
            <w:r>
              <w:rPr>
                <w:rFonts w:ascii="Times New Roman" w:hAnsi="Times New Roman" w:eastAsia="Times New Roman" w:cs="Times New Roman"/>
                <w:spacing w:val="-22"/>
              </w:rPr>
              <w:t xml:space="preserve"> </w:t>
            </w:r>
            <w:r>
              <w:rPr>
                <w:spacing w:val="2"/>
              </w:rPr>
              <w:t>；水位（水深）</w:t>
            </w:r>
            <w:r>
              <w:rPr>
                <w:spacing w:val="31"/>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；流速</w:t>
            </w:r>
            <w:r>
              <w:rPr>
                <w:spacing w:val="20"/>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2"/>
              </w:rPr>
              <w:t xml:space="preserve"> </w:t>
            </w:r>
            <w:r>
              <w:rPr>
                <w:spacing w:val="2"/>
              </w:rPr>
              <w:t>;</w:t>
            </w:r>
          </w:p>
          <w:p w14:paraId="7C871F22">
            <w:pPr>
              <w:pStyle w:val="6"/>
              <w:spacing w:before="65" w:line="228" w:lineRule="auto"/>
              <w:ind w:left="942"/>
            </w:pPr>
            <w:r>
              <w:rPr>
                <w:spacing w:val="-1"/>
              </w:rPr>
              <w:t>流量</w:t>
            </w:r>
            <w:r>
              <w:rPr>
                <w:spacing w:val="22"/>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；其他</w:t>
            </w:r>
            <w:r>
              <w:rPr>
                <w:spacing w:val="20"/>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p>
        </w:tc>
      </w:tr>
    </w:tbl>
    <w:p w14:paraId="04D7E520">
      <w:pPr>
        <w:pStyle w:val="2"/>
        <w:spacing w:line="228" w:lineRule="exact"/>
        <w:rPr>
          <w:sz w:val="19"/>
        </w:rPr>
      </w:pPr>
    </w:p>
    <w:p w14:paraId="76160CDF">
      <w:pPr>
        <w:spacing w:line="228" w:lineRule="exact"/>
        <w:rPr>
          <w:sz w:val="19"/>
          <w:szCs w:val="19"/>
        </w:rPr>
        <w:sectPr>
          <w:headerReference r:id="rId318" w:type="default"/>
          <w:footerReference r:id="rId319" w:type="default"/>
          <w:pgSz w:w="11906" w:h="16839"/>
          <w:pgMar w:top="1208" w:right="1578" w:bottom="1358" w:left="1785" w:header="825" w:footer="1195" w:gutter="0"/>
          <w:cols w:space="720" w:num="1"/>
        </w:sectPr>
      </w:pPr>
    </w:p>
    <w:p w14:paraId="7B3161A1">
      <w:pPr>
        <w:spacing w:line="231" w:lineRule="exact"/>
      </w:pPr>
    </w:p>
    <w:tbl>
      <w:tblPr>
        <w:tblStyle w:val="5"/>
        <w:tblW w:w="852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133"/>
        <w:gridCol w:w="1383"/>
        <w:gridCol w:w="1631"/>
        <w:gridCol w:w="103"/>
        <w:gridCol w:w="1698"/>
        <w:gridCol w:w="438"/>
        <w:gridCol w:w="1462"/>
      </w:tblGrid>
      <w:tr w14:paraId="267BE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79" w:type="dxa"/>
            <w:vAlign w:val="top"/>
          </w:tcPr>
          <w:p w14:paraId="493C2B07">
            <w:pPr>
              <w:rPr>
                <w:rFonts w:ascii="Arial"/>
                <w:sz w:val="21"/>
              </w:rPr>
            </w:pPr>
          </w:p>
        </w:tc>
        <w:tc>
          <w:tcPr>
            <w:tcW w:w="1133" w:type="dxa"/>
            <w:vAlign w:val="top"/>
          </w:tcPr>
          <w:p w14:paraId="3E23C37D">
            <w:pPr>
              <w:rPr>
                <w:rFonts w:ascii="Arial"/>
                <w:sz w:val="21"/>
              </w:rPr>
            </w:pPr>
          </w:p>
        </w:tc>
        <w:tc>
          <w:tcPr>
            <w:tcW w:w="3117" w:type="dxa"/>
            <w:gridSpan w:val="3"/>
            <w:vAlign w:val="top"/>
          </w:tcPr>
          <w:p w14:paraId="3568872B">
            <w:pPr>
              <w:pStyle w:val="6"/>
              <w:spacing w:before="56" w:line="228" w:lineRule="auto"/>
              <w:ind w:left="1075"/>
              <w:rPr>
                <w:rFonts w:ascii="Times New Roman" w:hAnsi="Times New Roman" w:eastAsia="Times New Roman" w:cs="Times New Roman"/>
              </w:rPr>
            </w:pPr>
            <w:r>
              <w:rPr>
                <w:rFonts w:ascii="Times New Roman" w:hAnsi="Times New Roman" w:eastAsia="Times New Roman" w:cs="Times New Roman"/>
                <w:spacing w:val="-2"/>
              </w:rPr>
              <w:t>□</w:t>
            </w:r>
            <w:r>
              <w:rPr>
                <w:rFonts w:ascii="Times New Roman" w:hAnsi="Times New Roman" w:eastAsia="Times New Roman" w:cs="Times New Roman"/>
                <w:spacing w:val="-21"/>
              </w:rPr>
              <w:t xml:space="preserve"> </w:t>
            </w:r>
            <w:r>
              <w:rPr>
                <w:spacing w:val="-2"/>
              </w:rPr>
              <w:t>；其他</w:t>
            </w:r>
            <w:r>
              <w:rPr>
                <w:spacing w:val="20"/>
              </w:rPr>
              <w:t xml:space="preserve"> </w:t>
            </w:r>
            <w:r>
              <w:rPr>
                <w:rFonts w:ascii="Times New Roman" w:hAnsi="Times New Roman" w:eastAsia="Times New Roman" w:cs="Times New Roman"/>
                <w:spacing w:val="-2"/>
              </w:rPr>
              <w:t>□</w:t>
            </w:r>
          </w:p>
        </w:tc>
        <w:tc>
          <w:tcPr>
            <w:tcW w:w="3598" w:type="dxa"/>
            <w:gridSpan w:val="3"/>
            <w:vAlign w:val="top"/>
          </w:tcPr>
          <w:p w14:paraId="2A406FCB">
            <w:pPr>
              <w:rPr>
                <w:rFonts w:ascii="Arial"/>
                <w:sz w:val="21"/>
              </w:rPr>
            </w:pPr>
          </w:p>
        </w:tc>
      </w:tr>
      <w:tr w14:paraId="12CAB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2" w:type="dxa"/>
            <w:gridSpan w:val="2"/>
            <w:vMerge w:val="restart"/>
            <w:tcBorders>
              <w:bottom w:val="nil"/>
            </w:tcBorders>
            <w:vAlign w:val="top"/>
          </w:tcPr>
          <w:p w14:paraId="2A70D974">
            <w:pPr>
              <w:spacing w:line="316" w:lineRule="auto"/>
              <w:rPr>
                <w:rFonts w:ascii="Arial"/>
                <w:sz w:val="21"/>
              </w:rPr>
            </w:pPr>
          </w:p>
          <w:p w14:paraId="79963836">
            <w:pPr>
              <w:pStyle w:val="6"/>
              <w:spacing w:before="65" w:line="226" w:lineRule="auto"/>
              <w:ind w:left="491"/>
            </w:pPr>
            <w:r>
              <w:rPr>
                <w:spacing w:val="7"/>
              </w:rPr>
              <w:t>评价等级</w:t>
            </w:r>
          </w:p>
        </w:tc>
        <w:tc>
          <w:tcPr>
            <w:tcW w:w="3117" w:type="dxa"/>
            <w:gridSpan w:val="3"/>
            <w:vAlign w:val="top"/>
          </w:tcPr>
          <w:p w14:paraId="74BBC15A">
            <w:pPr>
              <w:pStyle w:val="6"/>
              <w:spacing w:before="65" w:line="228" w:lineRule="auto"/>
              <w:ind w:left="936"/>
            </w:pPr>
            <w:r>
              <w:rPr>
                <w:spacing w:val="7"/>
              </w:rPr>
              <w:t>水污染影响型</w:t>
            </w:r>
          </w:p>
        </w:tc>
        <w:tc>
          <w:tcPr>
            <w:tcW w:w="3598" w:type="dxa"/>
            <w:gridSpan w:val="3"/>
            <w:vAlign w:val="top"/>
          </w:tcPr>
          <w:p w14:paraId="78D01A08">
            <w:pPr>
              <w:pStyle w:val="6"/>
              <w:spacing w:before="65" w:line="228" w:lineRule="auto"/>
              <w:ind w:left="1071"/>
            </w:pPr>
            <w:r>
              <w:rPr>
                <w:spacing w:val="8"/>
              </w:rPr>
              <w:t>水文要素影响型</w:t>
            </w:r>
          </w:p>
        </w:tc>
      </w:tr>
      <w:tr w14:paraId="5BFEC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12" w:type="dxa"/>
            <w:gridSpan w:val="2"/>
            <w:vMerge w:val="continue"/>
            <w:tcBorders>
              <w:top w:val="nil"/>
            </w:tcBorders>
            <w:vAlign w:val="top"/>
          </w:tcPr>
          <w:p w14:paraId="66CF668E">
            <w:pPr>
              <w:rPr>
                <w:rFonts w:ascii="Arial"/>
                <w:sz w:val="21"/>
              </w:rPr>
            </w:pPr>
          </w:p>
        </w:tc>
        <w:tc>
          <w:tcPr>
            <w:tcW w:w="3117" w:type="dxa"/>
            <w:gridSpan w:val="3"/>
            <w:vAlign w:val="top"/>
          </w:tcPr>
          <w:p w14:paraId="3B8CF964">
            <w:pPr>
              <w:pStyle w:val="6"/>
              <w:spacing w:before="52" w:line="230" w:lineRule="auto"/>
              <w:ind w:left="116"/>
            </w:pPr>
            <w:r>
              <w:rPr>
                <w:spacing w:val="-3"/>
              </w:rPr>
              <w:t xml:space="preserve">一级 </w:t>
            </w:r>
            <w:r>
              <w:rPr>
                <w:rFonts w:ascii="Times New Roman" w:hAnsi="Times New Roman" w:eastAsia="Times New Roman" w:cs="Times New Roman"/>
                <w:spacing w:val="-3"/>
              </w:rPr>
              <w:t>□</w:t>
            </w:r>
            <w:r>
              <w:rPr>
                <w:rFonts w:ascii="Times New Roman" w:hAnsi="Times New Roman" w:eastAsia="Times New Roman" w:cs="Times New Roman"/>
                <w:spacing w:val="-12"/>
              </w:rPr>
              <w:t xml:space="preserve"> </w:t>
            </w:r>
            <w:r>
              <w:rPr>
                <w:spacing w:val="-3"/>
              </w:rPr>
              <w:t>；二级</w:t>
            </w:r>
            <w:r>
              <w:rPr>
                <w:spacing w:val="22"/>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；三级</w:t>
            </w:r>
            <w:r>
              <w:rPr>
                <w:spacing w:val="-41"/>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6"/>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5"/>
              </w:rPr>
              <w:t xml:space="preserve"> </w:t>
            </w:r>
            <w:r>
              <w:rPr>
                <w:spacing w:val="-3"/>
              </w:rPr>
              <w:t>；三</w:t>
            </w:r>
          </w:p>
          <w:p w14:paraId="51B62416">
            <w:pPr>
              <w:pStyle w:val="6"/>
              <w:spacing w:before="63" w:line="235" w:lineRule="auto"/>
              <w:ind w:left="1141"/>
              <w:rPr>
                <w:rFonts w:ascii="MS Gothic" w:hAnsi="MS Gothic" w:eastAsia="MS Gothic" w:cs="MS Gothic"/>
              </w:rPr>
            </w:pPr>
            <w:r>
              <w:rPr>
                <w:spacing w:val="-1"/>
              </w:rPr>
              <w:t>级</w:t>
            </w:r>
            <w:r>
              <w:rPr>
                <w:spacing w:val="-43"/>
              </w:rPr>
              <w:t xml:space="preserve"> </w:t>
            </w:r>
            <w:r>
              <w:rPr>
                <w:rFonts w:ascii="Times New Roman" w:hAnsi="Times New Roman" w:eastAsia="Times New Roman" w:cs="Times New Roman"/>
                <w:spacing w:val="-1"/>
              </w:rPr>
              <w:t>B</w:t>
            </w:r>
            <w:r>
              <w:rPr>
                <w:rFonts w:ascii="MS Gothic" w:hAnsi="MS Gothic" w:eastAsia="MS Gothic" w:cs="MS Gothic"/>
                <w:spacing w:val="-1"/>
              </w:rPr>
              <w:t>☑</w:t>
            </w:r>
          </w:p>
        </w:tc>
        <w:tc>
          <w:tcPr>
            <w:tcW w:w="3598" w:type="dxa"/>
            <w:gridSpan w:val="3"/>
            <w:vAlign w:val="top"/>
          </w:tcPr>
          <w:p w14:paraId="0E5A28C1">
            <w:pPr>
              <w:pStyle w:val="6"/>
              <w:spacing w:before="208" w:line="230" w:lineRule="auto"/>
              <w:ind w:left="619"/>
              <w:rPr>
                <w:rFonts w:ascii="Times New Roman" w:hAnsi="Times New Roman" w:eastAsia="Times New Roman" w:cs="Times New Roman"/>
              </w:rPr>
            </w:pPr>
            <w:r>
              <w:rPr>
                <w:spacing w:val="-1"/>
              </w:rPr>
              <w:t>一级</w:t>
            </w:r>
            <w:r>
              <w:rPr>
                <w:spacing w:val="25"/>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；二级</w:t>
            </w:r>
            <w:r>
              <w:rPr>
                <w:spacing w:val="23"/>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6"/>
              </w:rPr>
              <w:t xml:space="preserve"> </w:t>
            </w:r>
            <w:r>
              <w:rPr>
                <w:spacing w:val="-1"/>
              </w:rPr>
              <w:t>；三级</w:t>
            </w:r>
            <w:r>
              <w:rPr>
                <w:spacing w:val="23"/>
              </w:rPr>
              <w:t xml:space="preserve"> </w:t>
            </w:r>
            <w:r>
              <w:rPr>
                <w:rFonts w:ascii="Times New Roman" w:hAnsi="Times New Roman" w:eastAsia="Times New Roman" w:cs="Times New Roman"/>
                <w:spacing w:val="-1"/>
              </w:rPr>
              <w:t>□</w:t>
            </w:r>
          </w:p>
        </w:tc>
      </w:tr>
      <w:tr w14:paraId="284FC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1E5E5584">
            <w:pPr>
              <w:spacing w:line="247" w:lineRule="auto"/>
              <w:rPr>
                <w:rFonts w:ascii="Arial"/>
                <w:sz w:val="21"/>
              </w:rPr>
            </w:pPr>
          </w:p>
          <w:p w14:paraId="421F9747">
            <w:pPr>
              <w:spacing w:line="247" w:lineRule="auto"/>
              <w:rPr>
                <w:rFonts w:ascii="Arial"/>
                <w:sz w:val="21"/>
              </w:rPr>
            </w:pPr>
          </w:p>
          <w:p w14:paraId="2CFBA8CF">
            <w:pPr>
              <w:spacing w:line="247" w:lineRule="auto"/>
              <w:rPr>
                <w:rFonts w:ascii="Arial"/>
                <w:sz w:val="21"/>
              </w:rPr>
            </w:pPr>
          </w:p>
          <w:p w14:paraId="07A718C4">
            <w:pPr>
              <w:spacing w:line="247" w:lineRule="auto"/>
              <w:rPr>
                <w:rFonts w:ascii="Arial"/>
                <w:sz w:val="21"/>
              </w:rPr>
            </w:pPr>
          </w:p>
          <w:p w14:paraId="38ED2872">
            <w:pPr>
              <w:spacing w:line="248" w:lineRule="auto"/>
              <w:rPr>
                <w:rFonts w:ascii="Arial"/>
                <w:sz w:val="21"/>
              </w:rPr>
            </w:pPr>
          </w:p>
          <w:p w14:paraId="0654DA9D">
            <w:pPr>
              <w:spacing w:line="248" w:lineRule="auto"/>
              <w:rPr>
                <w:rFonts w:ascii="Arial"/>
                <w:sz w:val="21"/>
              </w:rPr>
            </w:pPr>
          </w:p>
          <w:p w14:paraId="3128B614">
            <w:pPr>
              <w:spacing w:line="248" w:lineRule="auto"/>
              <w:rPr>
                <w:rFonts w:ascii="Arial"/>
                <w:sz w:val="21"/>
              </w:rPr>
            </w:pPr>
          </w:p>
          <w:p w14:paraId="45541523">
            <w:pPr>
              <w:spacing w:line="248" w:lineRule="auto"/>
              <w:rPr>
                <w:rFonts w:ascii="Arial"/>
                <w:sz w:val="21"/>
              </w:rPr>
            </w:pPr>
          </w:p>
          <w:p w14:paraId="034E30BB">
            <w:pPr>
              <w:spacing w:line="248" w:lineRule="auto"/>
              <w:rPr>
                <w:rFonts w:ascii="Arial"/>
                <w:sz w:val="21"/>
              </w:rPr>
            </w:pPr>
          </w:p>
          <w:p w14:paraId="594F4C67">
            <w:pPr>
              <w:pStyle w:val="6"/>
              <w:spacing w:before="65" w:line="228" w:lineRule="auto"/>
              <w:ind w:left="136"/>
            </w:pPr>
            <w:r>
              <w:rPr>
                <w:spacing w:val="3"/>
              </w:rPr>
              <w:t>现状</w:t>
            </w:r>
          </w:p>
          <w:p w14:paraId="17676888">
            <w:pPr>
              <w:pStyle w:val="6"/>
              <w:spacing w:before="65" w:line="230" w:lineRule="auto"/>
              <w:ind w:left="136"/>
            </w:pPr>
            <w:r>
              <w:rPr>
                <w:spacing w:val="3"/>
              </w:rPr>
              <w:t>调查</w:t>
            </w:r>
          </w:p>
        </w:tc>
        <w:tc>
          <w:tcPr>
            <w:tcW w:w="1133" w:type="dxa"/>
            <w:vMerge w:val="restart"/>
            <w:tcBorders>
              <w:bottom w:val="nil"/>
            </w:tcBorders>
            <w:vAlign w:val="top"/>
          </w:tcPr>
          <w:p w14:paraId="6A08513A">
            <w:pPr>
              <w:spacing w:line="316" w:lineRule="auto"/>
              <w:rPr>
                <w:rFonts w:ascii="Arial"/>
                <w:sz w:val="21"/>
              </w:rPr>
            </w:pPr>
          </w:p>
          <w:p w14:paraId="126D5F22">
            <w:pPr>
              <w:pStyle w:val="6"/>
              <w:spacing w:before="65" w:line="228" w:lineRule="auto"/>
              <w:ind w:left="165"/>
            </w:pPr>
            <w:r>
              <w:rPr>
                <w:spacing w:val="3"/>
              </w:rPr>
              <w:t>区域污染</w:t>
            </w:r>
          </w:p>
          <w:p w14:paraId="2A606884">
            <w:pPr>
              <w:pStyle w:val="6"/>
              <w:spacing w:before="64" w:line="231" w:lineRule="auto"/>
              <w:ind w:left="465"/>
            </w:pPr>
            <w:r>
              <w:rPr>
                <w:spacing w:val="1"/>
              </w:rPr>
              <w:t>源</w:t>
            </w:r>
          </w:p>
        </w:tc>
        <w:tc>
          <w:tcPr>
            <w:tcW w:w="3117" w:type="dxa"/>
            <w:gridSpan w:val="3"/>
            <w:vAlign w:val="top"/>
          </w:tcPr>
          <w:p w14:paraId="56EBA4C5">
            <w:pPr>
              <w:pStyle w:val="6"/>
              <w:spacing w:before="66" w:line="228" w:lineRule="auto"/>
              <w:ind w:left="1144"/>
            </w:pPr>
            <w:r>
              <w:rPr>
                <w:spacing w:val="6"/>
              </w:rPr>
              <w:t>调查项目</w:t>
            </w:r>
          </w:p>
        </w:tc>
        <w:tc>
          <w:tcPr>
            <w:tcW w:w="3598" w:type="dxa"/>
            <w:gridSpan w:val="3"/>
            <w:vAlign w:val="top"/>
          </w:tcPr>
          <w:p w14:paraId="02F95791">
            <w:pPr>
              <w:pStyle w:val="6"/>
              <w:spacing w:before="65" w:line="228" w:lineRule="auto"/>
              <w:ind w:left="1385"/>
            </w:pPr>
            <w:r>
              <w:rPr>
                <w:spacing w:val="6"/>
              </w:rPr>
              <w:t>数据来源</w:t>
            </w:r>
          </w:p>
        </w:tc>
      </w:tr>
      <w:tr w14:paraId="2C0AE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Merge w:val="continue"/>
            <w:tcBorders>
              <w:top w:val="nil"/>
              <w:bottom w:val="nil"/>
            </w:tcBorders>
            <w:vAlign w:val="top"/>
          </w:tcPr>
          <w:p w14:paraId="068E1122">
            <w:pPr>
              <w:rPr>
                <w:rFonts w:ascii="Arial"/>
                <w:sz w:val="21"/>
              </w:rPr>
            </w:pPr>
          </w:p>
        </w:tc>
        <w:tc>
          <w:tcPr>
            <w:tcW w:w="1133" w:type="dxa"/>
            <w:vMerge w:val="continue"/>
            <w:tcBorders>
              <w:top w:val="nil"/>
            </w:tcBorders>
            <w:vAlign w:val="top"/>
          </w:tcPr>
          <w:p w14:paraId="7D83097A">
            <w:pPr>
              <w:rPr>
                <w:rFonts w:ascii="Arial"/>
                <w:sz w:val="21"/>
              </w:rPr>
            </w:pPr>
          </w:p>
        </w:tc>
        <w:tc>
          <w:tcPr>
            <w:tcW w:w="1383" w:type="dxa"/>
            <w:vAlign w:val="top"/>
          </w:tcPr>
          <w:p w14:paraId="53C61F56">
            <w:pPr>
              <w:pStyle w:val="6"/>
              <w:spacing w:before="52" w:line="229" w:lineRule="auto"/>
              <w:ind w:left="184"/>
            </w:pPr>
            <w:r>
              <w:rPr>
                <w:spacing w:val="-7"/>
              </w:rPr>
              <w:t>已建</w:t>
            </w:r>
            <w:r>
              <w:rPr>
                <w:spacing w:val="23"/>
              </w:rPr>
              <w:t xml:space="preserve"> </w:t>
            </w:r>
            <w:r>
              <w:rPr>
                <w:rFonts w:ascii="Times New Roman" w:hAnsi="Times New Roman" w:eastAsia="Times New Roman" w:cs="Times New Roman"/>
                <w:spacing w:val="-7"/>
              </w:rPr>
              <w:t>□</w:t>
            </w:r>
            <w:r>
              <w:rPr>
                <w:rFonts w:ascii="Times New Roman" w:hAnsi="Times New Roman" w:eastAsia="Times New Roman" w:cs="Times New Roman"/>
                <w:spacing w:val="-23"/>
              </w:rPr>
              <w:t xml:space="preserve"> </w:t>
            </w:r>
            <w:r>
              <w:rPr>
                <w:spacing w:val="-7"/>
              </w:rPr>
              <w:t>；在</w:t>
            </w:r>
          </w:p>
          <w:p w14:paraId="0946AB7C">
            <w:pPr>
              <w:pStyle w:val="6"/>
              <w:spacing w:before="63" w:line="227" w:lineRule="auto"/>
              <w:ind w:left="164"/>
            </w:pPr>
            <w:r>
              <w:rPr>
                <w:spacing w:val="-2"/>
              </w:rPr>
              <w:t>建</w:t>
            </w:r>
            <w:r>
              <w:rPr>
                <w:spacing w:val="21"/>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6"/>
              </w:rPr>
              <w:t xml:space="preserve"> </w:t>
            </w:r>
            <w:r>
              <w:rPr>
                <w:spacing w:val="-2"/>
              </w:rPr>
              <w:t>；拟建</w:t>
            </w:r>
          </w:p>
          <w:p w14:paraId="348E22FE">
            <w:pPr>
              <w:pStyle w:val="6"/>
              <w:spacing w:before="66" w:line="228" w:lineRule="auto"/>
              <w:ind w:left="209"/>
              <w:rPr>
                <w:rFonts w:ascii="Times New Roman" w:hAnsi="Times New Roman" w:eastAsia="Times New Roman" w:cs="Times New Roman"/>
              </w:rPr>
            </w:pP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；其他</w:t>
            </w:r>
            <w:r>
              <w:rPr>
                <w:spacing w:val="22"/>
              </w:rPr>
              <w:t xml:space="preserve"> </w:t>
            </w:r>
            <w:r>
              <w:rPr>
                <w:rFonts w:ascii="Times New Roman" w:hAnsi="Times New Roman" w:eastAsia="Times New Roman" w:cs="Times New Roman"/>
                <w:spacing w:val="-2"/>
              </w:rPr>
              <w:t>□</w:t>
            </w:r>
          </w:p>
        </w:tc>
        <w:tc>
          <w:tcPr>
            <w:tcW w:w="1734" w:type="dxa"/>
            <w:gridSpan w:val="2"/>
            <w:vAlign w:val="top"/>
          </w:tcPr>
          <w:p w14:paraId="75CA033F">
            <w:pPr>
              <w:pStyle w:val="6"/>
              <w:spacing w:before="208" w:line="227" w:lineRule="auto"/>
              <w:ind w:left="136"/>
            </w:pPr>
            <w:r>
              <w:rPr>
                <w:spacing w:val="8"/>
              </w:rPr>
              <w:t>拟替代的污染源</w:t>
            </w:r>
          </w:p>
          <w:p w14:paraId="5648E0E1">
            <w:pPr>
              <w:spacing w:before="147" w:line="141" w:lineRule="exact"/>
              <w:ind w:left="815"/>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3598" w:type="dxa"/>
            <w:gridSpan w:val="3"/>
            <w:vAlign w:val="top"/>
          </w:tcPr>
          <w:p w14:paraId="065ADF64">
            <w:pPr>
              <w:pStyle w:val="6"/>
              <w:spacing w:before="51" w:line="228" w:lineRule="auto"/>
              <w:ind w:left="114"/>
            </w:pPr>
            <w:r>
              <w:rPr>
                <w:spacing w:val="-3"/>
              </w:rPr>
              <w:t xml:space="preserve">排污许可证 </w:t>
            </w:r>
            <w:r>
              <w:rPr>
                <w:rFonts w:ascii="Times New Roman" w:hAnsi="Times New Roman" w:eastAsia="Times New Roman" w:cs="Times New Roman"/>
                <w:spacing w:val="-3"/>
              </w:rPr>
              <w:t>□</w:t>
            </w:r>
            <w:r>
              <w:rPr>
                <w:spacing w:val="-3"/>
              </w:rPr>
              <w:t>；环评</w:t>
            </w:r>
            <w:r>
              <w:rPr>
                <w:spacing w:val="34"/>
              </w:rPr>
              <w:t xml:space="preserve"> </w:t>
            </w:r>
            <w:r>
              <w:rPr>
                <w:rFonts w:ascii="Times New Roman" w:hAnsi="Times New Roman" w:eastAsia="Times New Roman" w:cs="Times New Roman"/>
                <w:spacing w:val="-3"/>
              </w:rPr>
              <w:t>□</w:t>
            </w:r>
            <w:r>
              <w:rPr>
                <w:spacing w:val="-3"/>
              </w:rPr>
              <w:t>；环保验收</w:t>
            </w:r>
            <w:r>
              <w:rPr>
                <w:spacing w:val="23"/>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5"/>
              </w:rPr>
              <w:t xml:space="preserve"> </w:t>
            </w:r>
            <w:r>
              <w:rPr>
                <w:spacing w:val="-3"/>
              </w:rPr>
              <w:t>;</w:t>
            </w:r>
          </w:p>
          <w:p w14:paraId="0EEE69B9">
            <w:pPr>
              <w:pStyle w:val="6"/>
              <w:spacing w:before="65" w:line="228" w:lineRule="auto"/>
              <w:ind w:left="126"/>
            </w:pPr>
            <w:r>
              <w:rPr>
                <w:spacing w:val="2"/>
              </w:rPr>
              <w:t xml:space="preserve">既有实测 </w:t>
            </w:r>
            <w:r>
              <w:rPr>
                <w:rFonts w:ascii="Times New Roman" w:hAnsi="Times New Roman" w:eastAsia="Times New Roman" w:cs="Times New Roman"/>
                <w:spacing w:val="2"/>
              </w:rPr>
              <w:t>□</w:t>
            </w:r>
            <w:r>
              <w:rPr>
                <w:rFonts w:ascii="Times New Roman" w:hAnsi="Times New Roman" w:eastAsia="Times New Roman" w:cs="Times New Roman"/>
                <w:spacing w:val="-20"/>
              </w:rPr>
              <w:t xml:space="preserve"> </w:t>
            </w:r>
            <w:r>
              <w:rPr>
                <w:spacing w:val="2"/>
              </w:rPr>
              <w:t>；现场监测</w:t>
            </w:r>
            <w:r>
              <w:rPr>
                <w:spacing w:val="22"/>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；入河排放</w:t>
            </w:r>
          </w:p>
          <w:p w14:paraId="543A0FC2">
            <w:pPr>
              <w:pStyle w:val="6"/>
              <w:spacing w:before="64" w:line="228" w:lineRule="auto"/>
              <w:ind w:left="973"/>
              <w:rPr>
                <w:rFonts w:ascii="Times New Roman" w:hAnsi="Times New Roman" w:eastAsia="Times New Roman" w:cs="Times New Roman"/>
              </w:rPr>
            </w:pPr>
            <w:r>
              <w:rPr>
                <w:spacing w:val="-3"/>
              </w:rPr>
              <w:t>口数据</w:t>
            </w:r>
            <w:r>
              <w:rPr>
                <w:spacing w:val="25"/>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；其他</w:t>
            </w:r>
            <w:r>
              <w:rPr>
                <w:spacing w:val="21"/>
              </w:rPr>
              <w:t xml:space="preserve"> </w:t>
            </w:r>
            <w:r>
              <w:rPr>
                <w:rFonts w:ascii="Times New Roman" w:hAnsi="Times New Roman" w:eastAsia="Times New Roman" w:cs="Times New Roman"/>
                <w:spacing w:val="-3"/>
              </w:rPr>
              <w:t>□</w:t>
            </w:r>
          </w:p>
        </w:tc>
      </w:tr>
      <w:tr w14:paraId="00F9D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052E3BC3">
            <w:pPr>
              <w:rPr>
                <w:rFonts w:ascii="Arial"/>
                <w:sz w:val="21"/>
              </w:rPr>
            </w:pPr>
          </w:p>
        </w:tc>
        <w:tc>
          <w:tcPr>
            <w:tcW w:w="1133" w:type="dxa"/>
            <w:vMerge w:val="restart"/>
            <w:tcBorders>
              <w:bottom w:val="nil"/>
            </w:tcBorders>
            <w:vAlign w:val="top"/>
          </w:tcPr>
          <w:p w14:paraId="5F0AD6CA">
            <w:pPr>
              <w:pStyle w:val="6"/>
              <w:spacing w:before="227" w:line="228" w:lineRule="auto"/>
              <w:ind w:left="153"/>
            </w:pPr>
            <w:r>
              <w:rPr>
                <w:spacing w:val="6"/>
              </w:rPr>
              <w:t>受影响水</w:t>
            </w:r>
          </w:p>
          <w:p w14:paraId="0452C519">
            <w:pPr>
              <w:pStyle w:val="6"/>
              <w:spacing w:before="64" w:line="228" w:lineRule="auto"/>
              <w:ind w:left="149"/>
            </w:pPr>
            <w:r>
              <w:rPr>
                <w:spacing w:val="7"/>
              </w:rPr>
              <w:t>体水环境</w:t>
            </w:r>
          </w:p>
          <w:p w14:paraId="1B82197B">
            <w:pPr>
              <w:pStyle w:val="6"/>
              <w:spacing w:before="65" w:line="228" w:lineRule="auto"/>
              <w:ind w:left="361"/>
            </w:pPr>
            <w:r>
              <w:rPr>
                <w:spacing w:val="4"/>
              </w:rPr>
              <w:t>质量</w:t>
            </w:r>
          </w:p>
        </w:tc>
        <w:tc>
          <w:tcPr>
            <w:tcW w:w="3117" w:type="dxa"/>
            <w:gridSpan w:val="3"/>
            <w:vAlign w:val="top"/>
          </w:tcPr>
          <w:p w14:paraId="66090B06">
            <w:pPr>
              <w:pStyle w:val="6"/>
              <w:spacing w:before="67" w:line="228" w:lineRule="auto"/>
              <w:ind w:left="1144"/>
            </w:pPr>
            <w:r>
              <w:rPr>
                <w:spacing w:val="6"/>
              </w:rPr>
              <w:t>调查时期</w:t>
            </w:r>
          </w:p>
        </w:tc>
        <w:tc>
          <w:tcPr>
            <w:tcW w:w="3598" w:type="dxa"/>
            <w:gridSpan w:val="3"/>
            <w:vAlign w:val="top"/>
          </w:tcPr>
          <w:p w14:paraId="2A6D0C4B">
            <w:pPr>
              <w:pStyle w:val="6"/>
              <w:spacing w:before="66" w:line="228" w:lineRule="auto"/>
              <w:ind w:left="1385"/>
            </w:pPr>
            <w:r>
              <w:rPr>
                <w:spacing w:val="6"/>
              </w:rPr>
              <w:t>数据来源</w:t>
            </w:r>
          </w:p>
        </w:tc>
      </w:tr>
      <w:tr w14:paraId="0BAD5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Merge w:val="continue"/>
            <w:tcBorders>
              <w:top w:val="nil"/>
              <w:bottom w:val="nil"/>
            </w:tcBorders>
            <w:vAlign w:val="top"/>
          </w:tcPr>
          <w:p w14:paraId="636D6340">
            <w:pPr>
              <w:rPr>
                <w:rFonts w:ascii="Arial"/>
                <w:sz w:val="21"/>
              </w:rPr>
            </w:pPr>
          </w:p>
        </w:tc>
        <w:tc>
          <w:tcPr>
            <w:tcW w:w="1133" w:type="dxa"/>
            <w:vMerge w:val="continue"/>
            <w:tcBorders>
              <w:top w:val="nil"/>
            </w:tcBorders>
            <w:vAlign w:val="top"/>
          </w:tcPr>
          <w:p w14:paraId="3A776B31">
            <w:pPr>
              <w:rPr>
                <w:rFonts w:ascii="Arial"/>
                <w:sz w:val="21"/>
              </w:rPr>
            </w:pPr>
          </w:p>
        </w:tc>
        <w:tc>
          <w:tcPr>
            <w:tcW w:w="3117" w:type="dxa"/>
            <w:gridSpan w:val="3"/>
            <w:vAlign w:val="top"/>
          </w:tcPr>
          <w:p w14:paraId="04E56E3F">
            <w:pPr>
              <w:pStyle w:val="6"/>
              <w:spacing w:before="53" w:line="288" w:lineRule="auto"/>
              <w:ind w:left="1133" w:right="260" w:hanging="1019"/>
              <w:rPr>
                <w:rFonts w:ascii="Times New Roman" w:hAnsi="Times New Roman" w:eastAsia="Times New Roman" w:cs="Times New Roman"/>
              </w:rPr>
            </w:pPr>
            <w:r>
              <w:rPr>
                <w:spacing w:val="-1"/>
              </w:rPr>
              <w:t>丰水期</w:t>
            </w:r>
            <w:r>
              <w:rPr>
                <w:rFonts w:ascii="Times New Roman" w:hAnsi="Times New Roman" w:eastAsia="Times New Roman" w:cs="Times New Roman"/>
                <w:spacing w:val="-1"/>
              </w:rPr>
              <w:t>□</w:t>
            </w:r>
            <w:r>
              <w:rPr>
                <w:rFonts w:ascii="Times New Roman" w:hAnsi="Times New Roman" w:eastAsia="Times New Roman" w:cs="Times New Roman"/>
                <w:spacing w:val="-16"/>
              </w:rPr>
              <w:t xml:space="preserve"> </w:t>
            </w:r>
            <w:r>
              <w:rPr>
                <w:spacing w:val="-1"/>
              </w:rPr>
              <w:t>；平水期</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；枯水期</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t xml:space="preserve"> </w:t>
            </w:r>
            <w:r>
              <w:rPr>
                <w:spacing w:val="5"/>
              </w:rPr>
              <w:t>冰封期</w:t>
            </w:r>
            <w:r>
              <w:rPr>
                <w:spacing w:val="20"/>
              </w:rPr>
              <w:t xml:space="preserve"> </w:t>
            </w:r>
            <w:r>
              <w:rPr>
                <w:rFonts w:ascii="Times New Roman" w:hAnsi="Times New Roman" w:eastAsia="Times New Roman" w:cs="Times New Roman"/>
                <w:spacing w:val="5"/>
              </w:rPr>
              <w:t>□</w:t>
            </w:r>
          </w:p>
          <w:p w14:paraId="5FE254EF">
            <w:pPr>
              <w:pStyle w:val="6"/>
              <w:spacing w:line="227" w:lineRule="auto"/>
              <w:ind w:left="155"/>
              <w:rPr>
                <w:rFonts w:ascii="Times New Roman" w:hAnsi="Times New Roman" w:eastAsia="Times New Roman" w:cs="Times New Roman"/>
              </w:rPr>
            </w:pPr>
            <w:r>
              <w:rPr>
                <w:spacing w:val="2"/>
              </w:rPr>
              <w:t>春季</w:t>
            </w:r>
            <w:r>
              <w:rPr>
                <w:rFonts w:ascii="Times New Roman" w:hAnsi="Times New Roman" w:eastAsia="Times New Roman" w:cs="Times New Roman"/>
                <w:spacing w:val="2"/>
              </w:rPr>
              <w:t>□</w:t>
            </w:r>
            <w:r>
              <w:rPr>
                <w:rFonts w:ascii="Times New Roman" w:hAnsi="Times New Roman" w:eastAsia="Times New Roman" w:cs="Times New Roman"/>
                <w:spacing w:val="-12"/>
              </w:rPr>
              <w:t xml:space="preserve"> </w:t>
            </w:r>
            <w:r>
              <w:rPr>
                <w:spacing w:val="2"/>
              </w:rPr>
              <w:t>；夏季</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；秋季</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；冬季</w:t>
            </w:r>
            <w:r>
              <w:rPr>
                <w:rFonts w:ascii="Times New Roman" w:hAnsi="Times New Roman" w:eastAsia="Times New Roman" w:cs="Times New Roman"/>
                <w:spacing w:val="2"/>
              </w:rPr>
              <w:t>□</w:t>
            </w:r>
          </w:p>
        </w:tc>
        <w:tc>
          <w:tcPr>
            <w:tcW w:w="3598" w:type="dxa"/>
            <w:gridSpan w:val="3"/>
            <w:vAlign w:val="top"/>
          </w:tcPr>
          <w:p w14:paraId="424F5F4A">
            <w:pPr>
              <w:pStyle w:val="6"/>
              <w:spacing w:before="208" w:line="228" w:lineRule="auto"/>
              <w:ind w:left="115"/>
            </w:pPr>
            <w:r>
              <w:rPr>
                <w:spacing w:val="4"/>
              </w:rPr>
              <w:t>生态环境主管部门</w:t>
            </w:r>
            <w:r>
              <w:rPr>
                <w:rFonts w:ascii="Times New Roman" w:hAnsi="Times New Roman" w:eastAsia="Times New Roman" w:cs="Times New Roman"/>
                <w:spacing w:val="4"/>
              </w:rPr>
              <w:t>□</w:t>
            </w:r>
            <w:r>
              <w:rPr>
                <w:rFonts w:ascii="Times New Roman" w:hAnsi="Times New Roman" w:eastAsia="Times New Roman" w:cs="Times New Roman"/>
                <w:spacing w:val="-19"/>
              </w:rPr>
              <w:t xml:space="preserve"> </w:t>
            </w:r>
            <w:r>
              <w:rPr>
                <w:spacing w:val="4"/>
              </w:rPr>
              <w:t>；补充监测</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；其</w:t>
            </w:r>
          </w:p>
          <w:p w14:paraId="45A6FE80">
            <w:pPr>
              <w:pStyle w:val="6"/>
              <w:spacing w:before="65" w:line="228" w:lineRule="auto"/>
              <w:ind w:left="1635"/>
              <w:rPr>
                <w:rFonts w:ascii="Times New Roman" w:hAnsi="Times New Roman" w:eastAsia="Times New Roman" w:cs="Times New Roman"/>
              </w:rPr>
            </w:pPr>
            <w:r>
              <w:rPr>
                <w:spacing w:val="8"/>
              </w:rPr>
              <w:t>他</w:t>
            </w:r>
            <w:r>
              <w:rPr>
                <w:rFonts w:ascii="Times New Roman" w:hAnsi="Times New Roman" w:eastAsia="Times New Roman" w:cs="Times New Roman"/>
                <w:spacing w:val="8"/>
              </w:rPr>
              <w:t>□</w:t>
            </w:r>
          </w:p>
        </w:tc>
      </w:tr>
      <w:tr w14:paraId="70886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79" w:type="dxa"/>
            <w:vMerge w:val="continue"/>
            <w:tcBorders>
              <w:top w:val="nil"/>
              <w:bottom w:val="nil"/>
            </w:tcBorders>
            <w:vAlign w:val="top"/>
          </w:tcPr>
          <w:p w14:paraId="722EB446">
            <w:pPr>
              <w:rPr>
                <w:rFonts w:ascii="Arial"/>
                <w:sz w:val="21"/>
              </w:rPr>
            </w:pPr>
          </w:p>
        </w:tc>
        <w:tc>
          <w:tcPr>
            <w:tcW w:w="1133" w:type="dxa"/>
            <w:vAlign w:val="top"/>
          </w:tcPr>
          <w:p w14:paraId="12F28DDD">
            <w:pPr>
              <w:pStyle w:val="6"/>
              <w:spacing w:before="53" w:line="228" w:lineRule="auto"/>
              <w:ind w:left="165"/>
            </w:pPr>
            <w:r>
              <w:rPr>
                <w:spacing w:val="3"/>
              </w:rPr>
              <w:t>区域水资</w:t>
            </w:r>
          </w:p>
          <w:p w14:paraId="109DDFFA">
            <w:pPr>
              <w:pStyle w:val="6"/>
              <w:spacing w:before="66" w:line="260" w:lineRule="auto"/>
              <w:ind w:left="256" w:right="148" w:hanging="108"/>
            </w:pPr>
            <w:r>
              <w:rPr>
                <w:spacing w:val="7"/>
              </w:rPr>
              <w:t>源开发利</w:t>
            </w:r>
            <w:r>
              <w:rPr>
                <w:spacing w:val="1"/>
              </w:rPr>
              <w:t xml:space="preserve"> </w:t>
            </w:r>
            <w:r>
              <w:rPr>
                <w:spacing w:val="6"/>
              </w:rPr>
              <w:t>用状况</w:t>
            </w:r>
          </w:p>
        </w:tc>
        <w:tc>
          <w:tcPr>
            <w:tcW w:w="6715" w:type="dxa"/>
            <w:gridSpan w:val="6"/>
            <w:vAlign w:val="top"/>
          </w:tcPr>
          <w:p w14:paraId="540FA15F">
            <w:pPr>
              <w:spacing w:line="299" w:lineRule="auto"/>
              <w:rPr>
                <w:rFonts w:ascii="Arial"/>
                <w:sz w:val="21"/>
              </w:rPr>
            </w:pPr>
          </w:p>
          <w:p w14:paraId="1971027B">
            <w:pPr>
              <w:pStyle w:val="6"/>
              <w:spacing w:before="65" w:line="228" w:lineRule="auto"/>
              <w:ind w:left="1163"/>
              <w:rPr>
                <w:rFonts w:ascii="Times New Roman" w:hAnsi="Times New Roman" w:eastAsia="Times New Roman" w:cs="Times New Roman"/>
              </w:rPr>
            </w:pPr>
            <w:r>
              <w:rPr>
                <w:spacing w:val="5"/>
              </w:rPr>
              <w:t>未开发</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；开发量</w:t>
            </w:r>
            <w:r>
              <w:rPr>
                <w:spacing w:val="-42"/>
              </w:rPr>
              <w:t xml:space="preserve"> </w:t>
            </w:r>
            <w:r>
              <w:rPr>
                <w:rFonts w:ascii="Times New Roman" w:hAnsi="Times New Roman" w:eastAsia="Times New Roman" w:cs="Times New Roman"/>
                <w:spacing w:val="5"/>
              </w:rPr>
              <w:t>40%</w:t>
            </w:r>
            <w:r>
              <w:rPr>
                <w:spacing w:val="5"/>
              </w:rPr>
              <w:t>以下</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；开发量</w:t>
            </w:r>
            <w:r>
              <w:rPr>
                <w:spacing w:val="-42"/>
              </w:rPr>
              <w:t xml:space="preserve"> </w:t>
            </w:r>
            <w:r>
              <w:rPr>
                <w:rFonts w:ascii="Times New Roman" w:hAnsi="Times New Roman" w:eastAsia="Times New Roman" w:cs="Times New Roman"/>
                <w:spacing w:val="5"/>
              </w:rPr>
              <w:t>40%</w:t>
            </w:r>
            <w:r>
              <w:rPr>
                <w:spacing w:val="5"/>
              </w:rPr>
              <w:t>以上</w:t>
            </w:r>
            <w:r>
              <w:rPr>
                <w:rFonts w:ascii="Times New Roman" w:hAnsi="Times New Roman" w:eastAsia="Times New Roman" w:cs="Times New Roman"/>
                <w:spacing w:val="5"/>
              </w:rPr>
              <w:t>□</w:t>
            </w:r>
          </w:p>
        </w:tc>
      </w:tr>
      <w:tr w14:paraId="3FDDE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0FDBD4D3">
            <w:pPr>
              <w:rPr>
                <w:rFonts w:ascii="Arial"/>
                <w:sz w:val="21"/>
              </w:rPr>
            </w:pPr>
          </w:p>
        </w:tc>
        <w:tc>
          <w:tcPr>
            <w:tcW w:w="1133" w:type="dxa"/>
            <w:vMerge w:val="restart"/>
            <w:tcBorders>
              <w:bottom w:val="nil"/>
            </w:tcBorders>
            <w:vAlign w:val="top"/>
          </w:tcPr>
          <w:p w14:paraId="1D3E112E">
            <w:pPr>
              <w:spacing w:line="473" w:lineRule="auto"/>
              <w:rPr>
                <w:rFonts w:ascii="Arial"/>
                <w:sz w:val="21"/>
              </w:rPr>
            </w:pPr>
          </w:p>
          <w:p w14:paraId="47033E78">
            <w:pPr>
              <w:pStyle w:val="6"/>
              <w:spacing w:before="65" w:line="228" w:lineRule="auto"/>
              <w:ind w:left="152"/>
            </w:pPr>
            <w:r>
              <w:rPr>
                <w:spacing w:val="6"/>
              </w:rPr>
              <w:t>水文情势</w:t>
            </w:r>
          </w:p>
          <w:p w14:paraId="28B675D4">
            <w:pPr>
              <w:pStyle w:val="6"/>
              <w:spacing w:before="65" w:line="230" w:lineRule="auto"/>
              <w:ind w:left="362"/>
            </w:pPr>
            <w:r>
              <w:rPr>
                <w:spacing w:val="3"/>
              </w:rPr>
              <w:t>调查</w:t>
            </w:r>
          </w:p>
        </w:tc>
        <w:tc>
          <w:tcPr>
            <w:tcW w:w="3014" w:type="dxa"/>
            <w:gridSpan w:val="2"/>
            <w:vAlign w:val="top"/>
          </w:tcPr>
          <w:p w14:paraId="5AADF0B8">
            <w:pPr>
              <w:pStyle w:val="6"/>
              <w:spacing w:before="69" w:line="228" w:lineRule="auto"/>
              <w:ind w:left="1094"/>
            </w:pPr>
            <w:r>
              <w:rPr>
                <w:spacing w:val="6"/>
              </w:rPr>
              <w:t>调查时期</w:t>
            </w:r>
          </w:p>
        </w:tc>
        <w:tc>
          <w:tcPr>
            <w:tcW w:w="3701" w:type="dxa"/>
            <w:gridSpan w:val="4"/>
            <w:vAlign w:val="top"/>
          </w:tcPr>
          <w:p w14:paraId="7D099F3F">
            <w:pPr>
              <w:pStyle w:val="6"/>
              <w:spacing w:before="68" w:line="228" w:lineRule="auto"/>
              <w:ind w:left="1438"/>
            </w:pPr>
            <w:r>
              <w:rPr>
                <w:spacing w:val="6"/>
              </w:rPr>
              <w:t>数据来源</w:t>
            </w:r>
          </w:p>
        </w:tc>
      </w:tr>
      <w:tr w14:paraId="1ED7B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9" w:type="dxa"/>
            <w:vMerge w:val="continue"/>
            <w:tcBorders>
              <w:top w:val="nil"/>
            </w:tcBorders>
            <w:vAlign w:val="top"/>
          </w:tcPr>
          <w:p w14:paraId="328183F6">
            <w:pPr>
              <w:rPr>
                <w:rFonts w:ascii="Arial"/>
                <w:sz w:val="21"/>
              </w:rPr>
            </w:pPr>
          </w:p>
        </w:tc>
        <w:tc>
          <w:tcPr>
            <w:tcW w:w="1133" w:type="dxa"/>
            <w:vMerge w:val="continue"/>
            <w:tcBorders>
              <w:top w:val="nil"/>
            </w:tcBorders>
            <w:vAlign w:val="top"/>
          </w:tcPr>
          <w:p w14:paraId="5E9D34F6">
            <w:pPr>
              <w:rPr>
                <w:rFonts w:ascii="Arial"/>
                <w:sz w:val="21"/>
              </w:rPr>
            </w:pPr>
          </w:p>
        </w:tc>
        <w:tc>
          <w:tcPr>
            <w:tcW w:w="3014" w:type="dxa"/>
            <w:gridSpan w:val="2"/>
            <w:vAlign w:val="top"/>
          </w:tcPr>
          <w:p w14:paraId="085C4CF7">
            <w:pPr>
              <w:pStyle w:val="6"/>
              <w:spacing w:before="54" w:line="228" w:lineRule="auto"/>
              <w:ind w:left="126"/>
            </w:pPr>
            <w:r>
              <w:rPr>
                <w:spacing w:val="3"/>
              </w:rPr>
              <w:t xml:space="preserve">丰水期 </w:t>
            </w:r>
            <w:r>
              <w:rPr>
                <w:rFonts w:ascii="Times New Roman" w:hAnsi="Times New Roman" w:eastAsia="Times New Roman" w:cs="Times New Roman"/>
                <w:spacing w:val="3"/>
              </w:rPr>
              <w:t>□</w:t>
            </w:r>
            <w:r>
              <w:rPr>
                <w:rFonts w:ascii="Times New Roman" w:hAnsi="Times New Roman" w:eastAsia="Times New Roman" w:cs="Times New Roman"/>
                <w:spacing w:val="-22"/>
              </w:rPr>
              <w:t xml:space="preserve"> </w:t>
            </w:r>
            <w:r>
              <w:rPr>
                <w:spacing w:val="3"/>
              </w:rPr>
              <w:t>；平水期</w:t>
            </w:r>
            <w:r>
              <w:rPr>
                <w:spacing w:val="23"/>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；枯水期</w:t>
            </w:r>
          </w:p>
          <w:p w14:paraId="07021340">
            <w:pPr>
              <w:pStyle w:val="6"/>
              <w:spacing w:before="65" w:line="228" w:lineRule="auto"/>
              <w:ind w:left="919"/>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spacing w:val="-22"/>
              </w:rPr>
              <w:t xml:space="preserve"> </w:t>
            </w:r>
            <w:r>
              <w:t>；冰封期</w:t>
            </w:r>
            <w:r>
              <w:rPr>
                <w:spacing w:val="20"/>
              </w:rPr>
              <w:t xml:space="preserve"> </w:t>
            </w:r>
            <w:r>
              <w:rPr>
                <w:rFonts w:ascii="Times New Roman" w:hAnsi="Times New Roman" w:eastAsia="Times New Roman" w:cs="Times New Roman"/>
              </w:rPr>
              <w:t>□</w:t>
            </w:r>
          </w:p>
          <w:p w14:paraId="29BD3C67">
            <w:pPr>
              <w:pStyle w:val="6"/>
              <w:spacing w:before="64" w:line="228" w:lineRule="auto"/>
              <w:ind w:left="115"/>
            </w:pPr>
            <w:r>
              <w:t xml:space="preserve">春季 </w:t>
            </w:r>
            <w:r>
              <w:rPr>
                <w:rFonts w:ascii="Times New Roman" w:hAnsi="Times New Roman" w:eastAsia="Times New Roman" w:cs="Times New Roman"/>
              </w:rPr>
              <w:t>□</w:t>
            </w:r>
            <w:r>
              <w:rPr>
                <w:rFonts w:ascii="Times New Roman" w:hAnsi="Times New Roman" w:eastAsia="Times New Roman" w:cs="Times New Roman"/>
                <w:spacing w:val="-20"/>
              </w:rPr>
              <w:t xml:space="preserve"> </w:t>
            </w:r>
            <w:r>
              <w:t>；夏季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；秋季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；冬</w:t>
            </w:r>
          </w:p>
          <w:p w14:paraId="46F333B4">
            <w:pPr>
              <w:pStyle w:val="6"/>
              <w:spacing w:before="64" w:line="228" w:lineRule="auto"/>
              <w:ind w:left="1292"/>
              <w:rPr>
                <w:rFonts w:ascii="Times New Roman" w:hAnsi="Times New Roman" w:eastAsia="Times New Roman" w:cs="Times New Roman"/>
              </w:rPr>
            </w:pPr>
            <w:r>
              <w:t>季</w:t>
            </w:r>
            <w:r>
              <w:rPr>
                <w:spacing w:val="20"/>
              </w:rPr>
              <w:t xml:space="preserve"> </w:t>
            </w:r>
            <w:r>
              <w:rPr>
                <w:rFonts w:ascii="Times New Roman" w:hAnsi="Times New Roman" w:eastAsia="Times New Roman" w:cs="Times New Roman"/>
              </w:rPr>
              <w:t>□</w:t>
            </w:r>
          </w:p>
        </w:tc>
        <w:tc>
          <w:tcPr>
            <w:tcW w:w="3701" w:type="dxa"/>
            <w:gridSpan w:val="4"/>
            <w:vAlign w:val="top"/>
          </w:tcPr>
          <w:p w14:paraId="2B648872">
            <w:pPr>
              <w:spacing w:line="299" w:lineRule="auto"/>
              <w:rPr>
                <w:rFonts w:ascii="Arial"/>
                <w:sz w:val="21"/>
              </w:rPr>
            </w:pPr>
          </w:p>
          <w:p w14:paraId="712E0545">
            <w:pPr>
              <w:pStyle w:val="6"/>
              <w:spacing w:before="65" w:line="228" w:lineRule="auto"/>
              <w:ind w:left="157"/>
            </w:pPr>
            <w:r>
              <w:rPr>
                <w:spacing w:val="4"/>
              </w:rPr>
              <w:t xml:space="preserve">水行政主管部门 </w:t>
            </w:r>
            <w:r>
              <w:rPr>
                <w:rFonts w:ascii="Times New Roman" w:hAnsi="Times New Roman" w:eastAsia="Times New Roman" w:cs="Times New Roman"/>
                <w:spacing w:val="4"/>
              </w:rPr>
              <w:t>□</w:t>
            </w:r>
            <w:r>
              <w:rPr>
                <w:rFonts w:ascii="Times New Roman" w:hAnsi="Times New Roman" w:eastAsia="Times New Roman" w:cs="Times New Roman"/>
                <w:spacing w:val="-21"/>
              </w:rPr>
              <w:t xml:space="preserve"> </w:t>
            </w:r>
            <w:r>
              <w:rPr>
                <w:spacing w:val="4"/>
              </w:rPr>
              <w:t>；补充监测</w:t>
            </w:r>
            <w:r>
              <w:rPr>
                <w:spacing w:val="23"/>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；其</w:t>
            </w:r>
          </w:p>
          <w:p w14:paraId="562B0586">
            <w:pPr>
              <w:pStyle w:val="6"/>
              <w:spacing w:before="65" w:line="228" w:lineRule="auto"/>
              <w:ind w:left="1635"/>
              <w:rPr>
                <w:rFonts w:ascii="Times New Roman" w:hAnsi="Times New Roman" w:eastAsia="Times New Roman" w:cs="Times New Roman"/>
              </w:rPr>
            </w:pPr>
            <w:r>
              <w:t>他</w:t>
            </w:r>
            <w:r>
              <w:rPr>
                <w:spacing w:val="20"/>
              </w:rPr>
              <w:t xml:space="preserve"> </w:t>
            </w:r>
            <w:r>
              <w:rPr>
                <w:rFonts w:ascii="Times New Roman" w:hAnsi="Times New Roman" w:eastAsia="Times New Roman" w:cs="Times New Roman"/>
              </w:rPr>
              <w:t>□</w:t>
            </w:r>
          </w:p>
        </w:tc>
      </w:tr>
      <w:tr w14:paraId="75976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2" w:type="dxa"/>
            <w:gridSpan w:val="2"/>
            <w:vAlign w:val="top"/>
          </w:tcPr>
          <w:p w14:paraId="4A4EC1AE">
            <w:pPr>
              <w:pStyle w:val="6"/>
              <w:spacing w:before="69" w:line="228" w:lineRule="auto"/>
              <w:ind w:left="495"/>
            </w:pPr>
            <w:r>
              <w:rPr>
                <w:spacing w:val="6"/>
              </w:rPr>
              <w:t>工作内容</w:t>
            </w:r>
          </w:p>
        </w:tc>
        <w:tc>
          <w:tcPr>
            <w:tcW w:w="6715" w:type="dxa"/>
            <w:gridSpan w:val="6"/>
            <w:vAlign w:val="top"/>
          </w:tcPr>
          <w:p w14:paraId="37FE9963">
            <w:pPr>
              <w:pStyle w:val="6"/>
              <w:spacing w:before="70" w:line="228" w:lineRule="auto"/>
              <w:ind w:left="2975"/>
            </w:pPr>
            <w:r>
              <w:rPr>
                <w:spacing w:val="-2"/>
              </w:rPr>
              <w:t>自查项目</w:t>
            </w:r>
          </w:p>
        </w:tc>
      </w:tr>
      <w:tr w14:paraId="58205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4188858F">
            <w:pPr>
              <w:rPr>
                <w:rFonts w:ascii="Arial"/>
                <w:sz w:val="21"/>
              </w:rPr>
            </w:pPr>
          </w:p>
        </w:tc>
        <w:tc>
          <w:tcPr>
            <w:tcW w:w="1133" w:type="dxa"/>
            <w:vMerge w:val="restart"/>
            <w:tcBorders>
              <w:bottom w:val="nil"/>
            </w:tcBorders>
            <w:vAlign w:val="top"/>
          </w:tcPr>
          <w:p w14:paraId="7E30BF87">
            <w:pPr>
              <w:spacing w:line="315" w:lineRule="auto"/>
              <w:rPr>
                <w:rFonts w:ascii="Arial"/>
                <w:sz w:val="21"/>
              </w:rPr>
            </w:pPr>
          </w:p>
          <w:p w14:paraId="367EB15B">
            <w:pPr>
              <w:spacing w:line="315" w:lineRule="auto"/>
              <w:rPr>
                <w:rFonts w:ascii="Arial"/>
                <w:sz w:val="21"/>
              </w:rPr>
            </w:pPr>
          </w:p>
          <w:p w14:paraId="5F3080CA">
            <w:pPr>
              <w:pStyle w:val="6"/>
              <w:spacing w:before="65" w:line="228" w:lineRule="auto"/>
              <w:ind w:left="149"/>
            </w:pPr>
            <w:r>
              <w:rPr>
                <w:spacing w:val="7"/>
              </w:rPr>
              <w:t>补充监测</w:t>
            </w:r>
          </w:p>
        </w:tc>
        <w:tc>
          <w:tcPr>
            <w:tcW w:w="3014" w:type="dxa"/>
            <w:gridSpan w:val="2"/>
            <w:vAlign w:val="top"/>
          </w:tcPr>
          <w:p w14:paraId="3C7DDF51">
            <w:pPr>
              <w:pStyle w:val="6"/>
              <w:spacing w:before="70" w:line="228" w:lineRule="auto"/>
              <w:ind w:left="1093"/>
            </w:pPr>
            <w:r>
              <w:rPr>
                <w:spacing w:val="7"/>
              </w:rPr>
              <w:t>监测时期</w:t>
            </w:r>
          </w:p>
        </w:tc>
        <w:tc>
          <w:tcPr>
            <w:tcW w:w="1801" w:type="dxa"/>
            <w:gridSpan w:val="2"/>
            <w:vAlign w:val="top"/>
          </w:tcPr>
          <w:p w14:paraId="4F2E0C6C">
            <w:pPr>
              <w:pStyle w:val="6"/>
              <w:spacing w:before="70" w:line="228" w:lineRule="auto"/>
              <w:ind w:left="489"/>
            </w:pPr>
            <w:r>
              <w:rPr>
                <w:spacing w:val="7"/>
              </w:rPr>
              <w:t>监测因子</w:t>
            </w:r>
          </w:p>
        </w:tc>
        <w:tc>
          <w:tcPr>
            <w:tcW w:w="1900" w:type="dxa"/>
            <w:gridSpan w:val="2"/>
            <w:vAlign w:val="top"/>
          </w:tcPr>
          <w:p w14:paraId="60BCD99E">
            <w:pPr>
              <w:pStyle w:val="6"/>
              <w:spacing w:before="69" w:line="228" w:lineRule="auto"/>
              <w:ind w:left="221"/>
            </w:pPr>
            <w:r>
              <w:rPr>
                <w:spacing w:val="8"/>
              </w:rPr>
              <w:t>监测断面或点位</w:t>
            </w:r>
          </w:p>
        </w:tc>
      </w:tr>
      <w:tr w14:paraId="4982D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9" w:type="dxa"/>
            <w:vMerge w:val="continue"/>
            <w:tcBorders>
              <w:top w:val="nil"/>
            </w:tcBorders>
            <w:vAlign w:val="top"/>
          </w:tcPr>
          <w:p w14:paraId="43C30AEA">
            <w:pPr>
              <w:rPr>
                <w:rFonts w:ascii="Arial"/>
                <w:sz w:val="21"/>
              </w:rPr>
            </w:pPr>
          </w:p>
        </w:tc>
        <w:tc>
          <w:tcPr>
            <w:tcW w:w="1133" w:type="dxa"/>
            <w:vMerge w:val="continue"/>
            <w:tcBorders>
              <w:top w:val="nil"/>
            </w:tcBorders>
            <w:vAlign w:val="top"/>
          </w:tcPr>
          <w:p w14:paraId="068195E7">
            <w:pPr>
              <w:rPr>
                <w:rFonts w:ascii="Arial"/>
                <w:sz w:val="21"/>
              </w:rPr>
            </w:pPr>
          </w:p>
        </w:tc>
        <w:tc>
          <w:tcPr>
            <w:tcW w:w="3014" w:type="dxa"/>
            <w:gridSpan w:val="2"/>
            <w:vAlign w:val="top"/>
          </w:tcPr>
          <w:p w14:paraId="4416A3D8">
            <w:pPr>
              <w:pStyle w:val="6"/>
              <w:spacing w:before="55" w:line="228" w:lineRule="auto"/>
              <w:ind w:left="126"/>
            </w:pPr>
            <w:r>
              <w:rPr>
                <w:spacing w:val="3"/>
              </w:rPr>
              <w:t xml:space="preserve">丰水期 </w:t>
            </w:r>
            <w:r>
              <w:rPr>
                <w:rFonts w:ascii="Times New Roman" w:hAnsi="Times New Roman" w:eastAsia="Times New Roman" w:cs="Times New Roman"/>
                <w:spacing w:val="3"/>
              </w:rPr>
              <w:t>□</w:t>
            </w:r>
            <w:r>
              <w:rPr>
                <w:rFonts w:ascii="Times New Roman" w:hAnsi="Times New Roman" w:eastAsia="Times New Roman" w:cs="Times New Roman"/>
                <w:spacing w:val="-22"/>
              </w:rPr>
              <w:t xml:space="preserve"> </w:t>
            </w:r>
            <w:r>
              <w:rPr>
                <w:spacing w:val="3"/>
              </w:rPr>
              <w:t>；平水期</w:t>
            </w:r>
            <w:r>
              <w:rPr>
                <w:spacing w:val="23"/>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3"/>
              </w:rPr>
              <w:t xml:space="preserve"> </w:t>
            </w:r>
            <w:r>
              <w:rPr>
                <w:spacing w:val="3"/>
              </w:rPr>
              <w:t>；枯水期</w:t>
            </w:r>
          </w:p>
          <w:p w14:paraId="19D50B92">
            <w:pPr>
              <w:pStyle w:val="6"/>
              <w:spacing w:before="65" w:line="228" w:lineRule="auto"/>
              <w:ind w:left="919"/>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spacing w:val="-22"/>
              </w:rPr>
              <w:t xml:space="preserve"> </w:t>
            </w:r>
            <w:r>
              <w:t>；冰封期</w:t>
            </w:r>
            <w:r>
              <w:rPr>
                <w:spacing w:val="20"/>
              </w:rPr>
              <w:t xml:space="preserve"> </w:t>
            </w:r>
            <w:r>
              <w:rPr>
                <w:rFonts w:ascii="Times New Roman" w:hAnsi="Times New Roman" w:eastAsia="Times New Roman" w:cs="Times New Roman"/>
              </w:rPr>
              <w:t>□</w:t>
            </w:r>
          </w:p>
          <w:p w14:paraId="2EC160CA">
            <w:pPr>
              <w:pStyle w:val="6"/>
              <w:spacing w:before="64" w:line="228" w:lineRule="auto"/>
              <w:ind w:left="115"/>
            </w:pPr>
            <w:r>
              <w:t xml:space="preserve">春季 </w:t>
            </w:r>
            <w:r>
              <w:rPr>
                <w:rFonts w:ascii="Times New Roman" w:hAnsi="Times New Roman" w:eastAsia="Times New Roman" w:cs="Times New Roman"/>
              </w:rPr>
              <w:t>□</w:t>
            </w:r>
            <w:r>
              <w:rPr>
                <w:rFonts w:ascii="Times New Roman" w:hAnsi="Times New Roman" w:eastAsia="Times New Roman" w:cs="Times New Roman"/>
                <w:spacing w:val="-20"/>
              </w:rPr>
              <w:t xml:space="preserve"> </w:t>
            </w:r>
            <w:r>
              <w:t>；夏季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；秋季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；冬</w:t>
            </w:r>
          </w:p>
          <w:p w14:paraId="54A3B3DF">
            <w:pPr>
              <w:pStyle w:val="6"/>
              <w:spacing w:before="64" w:line="228" w:lineRule="auto"/>
              <w:ind w:left="1292"/>
              <w:rPr>
                <w:rFonts w:ascii="Times New Roman" w:hAnsi="Times New Roman" w:eastAsia="Times New Roman" w:cs="Times New Roman"/>
              </w:rPr>
            </w:pPr>
            <w:r>
              <w:t>季</w:t>
            </w:r>
            <w:r>
              <w:rPr>
                <w:spacing w:val="20"/>
              </w:rPr>
              <w:t xml:space="preserve"> </w:t>
            </w:r>
            <w:r>
              <w:rPr>
                <w:rFonts w:ascii="Times New Roman" w:hAnsi="Times New Roman" w:eastAsia="Times New Roman" w:cs="Times New Roman"/>
              </w:rPr>
              <w:t>□</w:t>
            </w:r>
          </w:p>
        </w:tc>
        <w:tc>
          <w:tcPr>
            <w:tcW w:w="1801" w:type="dxa"/>
            <w:gridSpan w:val="2"/>
            <w:vAlign w:val="top"/>
          </w:tcPr>
          <w:p w14:paraId="03A8822A">
            <w:pPr>
              <w:spacing w:line="455" w:lineRule="auto"/>
              <w:rPr>
                <w:rFonts w:ascii="Arial"/>
                <w:sz w:val="21"/>
              </w:rPr>
            </w:pPr>
          </w:p>
          <w:p w14:paraId="6FDC83F9">
            <w:pPr>
              <w:pStyle w:val="6"/>
              <w:spacing w:before="65" w:line="231" w:lineRule="auto"/>
              <w:ind w:left="807"/>
            </w:pPr>
            <w:r>
              <w:rPr>
                <w:spacing w:val="-10"/>
              </w:rPr>
              <w:t>()</w:t>
            </w:r>
          </w:p>
        </w:tc>
        <w:tc>
          <w:tcPr>
            <w:tcW w:w="1900" w:type="dxa"/>
            <w:gridSpan w:val="2"/>
            <w:vAlign w:val="top"/>
          </w:tcPr>
          <w:p w14:paraId="4D8259D5">
            <w:pPr>
              <w:spacing w:line="302" w:lineRule="auto"/>
              <w:rPr>
                <w:rFonts w:ascii="Arial"/>
                <w:sz w:val="21"/>
              </w:rPr>
            </w:pPr>
          </w:p>
          <w:p w14:paraId="07D18E96">
            <w:pPr>
              <w:pStyle w:val="6"/>
              <w:spacing w:before="65" w:line="289" w:lineRule="auto"/>
              <w:ind w:left="536" w:right="110" w:hanging="420"/>
            </w:pPr>
            <w:r>
              <w:rPr>
                <w:spacing w:val="8"/>
              </w:rPr>
              <w:t>监测断面或点位个</w:t>
            </w:r>
            <w:r>
              <w:rPr>
                <w:spacing w:val="3"/>
              </w:rPr>
              <w:t xml:space="preserve"> </w:t>
            </w:r>
            <w:r>
              <w:t>数</w:t>
            </w:r>
            <w:r>
              <w:rPr>
                <w:spacing w:val="-11"/>
              </w:rPr>
              <w:t>（）</w:t>
            </w:r>
            <w:r>
              <w:rPr>
                <w:spacing w:val="-51"/>
              </w:rPr>
              <w:t xml:space="preserve"> </w:t>
            </w:r>
            <w:r>
              <w:t>个</w:t>
            </w:r>
          </w:p>
        </w:tc>
      </w:tr>
      <w:tr w14:paraId="7BA82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50383C9F">
            <w:pPr>
              <w:spacing w:line="265" w:lineRule="auto"/>
              <w:rPr>
                <w:rFonts w:ascii="Arial"/>
                <w:sz w:val="21"/>
              </w:rPr>
            </w:pPr>
          </w:p>
          <w:p w14:paraId="6423EB2C">
            <w:pPr>
              <w:spacing w:line="266" w:lineRule="auto"/>
              <w:rPr>
                <w:rFonts w:ascii="Arial"/>
                <w:sz w:val="21"/>
              </w:rPr>
            </w:pPr>
          </w:p>
          <w:p w14:paraId="26DD7CAF">
            <w:pPr>
              <w:spacing w:line="266" w:lineRule="auto"/>
              <w:rPr>
                <w:rFonts w:ascii="Arial"/>
                <w:sz w:val="21"/>
              </w:rPr>
            </w:pPr>
          </w:p>
          <w:p w14:paraId="49A05C84">
            <w:pPr>
              <w:spacing w:line="266" w:lineRule="auto"/>
              <w:rPr>
                <w:rFonts w:ascii="Arial"/>
                <w:sz w:val="21"/>
              </w:rPr>
            </w:pPr>
          </w:p>
          <w:p w14:paraId="289243EB">
            <w:pPr>
              <w:spacing w:line="266" w:lineRule="auto"/>
              <w:rPr>
                <w:rFonts w:ascii="Arial"/>
                <w:sz w:val="21"/>
              </w:rPr>
            </w:pPr>
          </w:p>
          <w:p w14:paraId="34FA0A15">
            <w:pPr>
              <w:spacing w:line="266" w:lineRule="auto"/>
              <w:rPr>
                <w:rFonts w:ascii="Arial"/>
                <w:sz w:val="21"/>
              </w:rPr>
            </w:pPr>
          </w:p>
          <w:p w14:paraId="54F6D37B">
            <w:pPr>
              <w:spacing w:line="266" w:lineRule="auto"/>
              <w:rPr>
                <w:rFonts w:ascii="Arial"/>
                <w:sz w:val="21"/>
              </w:rPr>
            </w:pPr>
          </w:p>
          <w:p w14:paraId="0DFDEBE0">
            <w:pPr>
              <w:spacing w:line="266" w:lineRule="auto"/>
              <w:rPr>
                <w:rFonts w:ascii="Arial"/>
                <w:sz w:val="21"/>
              </w:rPr>
            </w:pPr>
          </w:p>
          <w:p w14:paraId="1D1B6130">
            <w:pPr>
              <w:spacing w:line="266" w:lineRule="auto"/>
              <w:rPr>
                <w:rFonts w:ascii="Arial"/>
                <w:sz w:val="21"/>
              </w:rPr>
            </w:pPr>
          </w:p>
          <w:p w14:paraId="40912BC1">
            <w:pPr>
              <w:pStyle w:val="6"/>
              <w:spacing w:before="65" w:line="228" w:lineRule="auto"/>
              <w:ind w:left="136"/>
            </w:pPr>
            <w:r>
              <w:rPr>
                <w:spacing w:val="3"/>
              </w:rPr>
              <w:t>现状</w:t>
            </w:r>
          </w:p>
          <w:p w14:paraId="4A3EAD90">
            <w:pPr>
              <w:pStyle w:val="6"/>
              <w:spacing w:before="65" w:line="226" w:lineRule="auto"/>
              <w:ind w:left="134"/>
            </w:pPr>
            <w:r>
              <w:rPr>
                <w:spacing w:val="5"/>
              </w:rPr>
              <w:t>评价</w:t>
            </w:r>
          </w:p>
        </w:tc>
        <w:tc>
          <w:tcPr>
            <w:tcW w:w="1133" w:type="dxa"/>
            <w:vAlign w:val="top"/>
          </w:tcPr>
          <w:p w14:paraId="34050852">
            <w:pPr>
              <w:pStyle w:val="6"/>
              <w:spacing w:before="71" w:line="226" w:lineRule="auto"/>
              <w:ind w:left="148"/>
            </w:pPr>
            <w:r>
              <w:rPr>
                <w:spacing w:val="7"/>
              </w:rPr>
              <w:t>评价范围</w:t>
            </w:r>
          </w:p>
        </w:tc>
        <w:tc>
          <w:tcPr>
            <w:tcW w:w="6715" w:type="dxa"/>
            <w:gridSpan w:val="6"/>
            <w:vAlign w:val="top"/>
          </w:tcPr>
          <w:p w14:paraId="5291DEF8">
            <w:pPr>
              <w:pStyle w:val="6"/>
              <w:spacing w:before="70" w:line="228" w:lineRule="auto"/>
              <w:ind w:left="643"/>
              <w:rPr>
                <w:rFonts w:ascii="Times New Roman" w:hAnsi="Times New Roman" w:eastAsia="Times New Roman" w:cs="Times New Roman"/>
                <w:sz w:val="13"/>
                <w:szCs w:val="13"/>
              </w:rPr>
            </w:pPr>
            <w:r>
              <w:rPr>
                <w:spacing w:val="10"/>
              </w:rPr>
              <w:t>河流：长度</w:t>
            </w:r>
            <w:r>
              <w:rPr>
                <w:spacing w:val="-9"/>
              </w:rPr>
              <w:t>（）</w:t>
            </w:r>
            <w:r>
              <w:rPr>
                <w:spacing w:val="-57"/>
              </w:rPr>
              <w:t xml:space="preserve"> </w:t>
            </w:r>
            <w:r>
              <w:rPr>
                <w:rFonts w:ascii="Times New Roman" w:hAnsi="Times New Roman" w:eastAsia="Times New Roman" w:cs="Times New Roman"/>
              </w:rPr>
              <w:t>km</w:t>
            </w:r>
            <w:r>
              <w:rPr>
                <w:spacing w:val="10"/>
              </w:rPr>
              <w:t>；湖库、河口及近岸海域：面积</w:t>
            </w:r>
            <w:r>
              <w:rPr>
                <w:spacing w:val="-9"/>
              </w:rPr>
              <w:t>（）</w:t>
            </w:r>
            <w:r>
              <w:rPr>
                <w:spacing w:val="-57"/>
              </w:rPr>
              <w:t xml:space="preserve"> </w:t>
            </w:r>
            <w:r>
              <w:rPr>
                <w:rFonts w:ascii="Times New Roman" w:hAnsi="Times New Roman" w:eastAsia="Times New Roman" w:cs="Times New Roman"/>
              </w:rPr>
              <w:t>km</w:t>
            </w:r>
            <w:r>
              <w:rPr>
                <w:rFonts w:ascii="Times New Roman" w:hAnsi="Times New Roman" w:eastAsia="Times New Roman" w:cs="Times New Roman"/>
                <w:spacing w:val="10"/>
                <w:position w:val="6"/>
                <w:sz w:val="13"/>
                <w:szCs w:val="13"/>
              </w:rPr>
              <w:t>2</w:t>
            </w:r>
          </w:p>
        </w:tc>
      </w:tr>
      <w:tr w14:paraId="2167D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374A2A53">
            <w:pPr>
              <w:rPr>
                <w:rFonts w:ascii="Arial"/>
                <w:sz w:val="21"/>
              </w:rPr>
            </w:pPr>
          </w:p>
        </w:tc>
        <w:tc>
          <w:tcPr>
            <w:tcW w:w="1133" w:type="dxa"/>
            <w:vAlign w:val="top"/>
          </w:tcPr>
          <w:p w14:paraId="07EC5997">
            <w:pPr>
              <w:pStyle w:val="6"/>
              <w:spacing w:before="69" w:line="226" w:lineRule="auto"/>
              <w:ind w:left="148"/>
            </w:pPr>
            <w:r>
              <w:rPr>
                <w:spacing w:val="7"/>
              </w:rPr>
              <w:t>评价因子</w:t>
            </w:r>
          </w:p>
        </w:tc>
        <w:tc>
          <w:tcPr>
            <w:tcW w:w="6715" w:type="dxa"/>
            <w:gridSpan w:val="6"/>
            <w:vAlign w:val="top"/>
          </w:tcPr>
          <w:p w14:paraId="780FE191">
            <w:pPr>
              <w:pStyle w:val="6"/>
              <w:spacing w:before="68" w:line="231" w:lineRule="auto"/>
              <w:ind w:left="3262"/>
            </w:pPr>
            <w:r>
              <w:rPr>
                <w:spacing w:val="-10"/>
              </w:rPr>
              <w:t>()</w:t>
            </w:r>
          </w:p>
        </w:tc>
      </w:tr>
      <w:tr w14:paraId="35CD4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79" w:type="dxa"/>
            <w:vMerge w:val="continue"/>
            <w:tcBorders>
              <w:top w:val="nil"/>
              <w:bottom w:val="nil"/>
            </w:tcBorders>
            <w:vAlign w:val="top"/>
          </w:tcPr>
          <w:p w14:paraId="717743EA">
            <w:pPr>
              <w:rPr>
                <w:rFonts w:ascii="Arial"/>
                <w:sz w:val="21"/>
              </w:rPr>
            </w:pPr>
          </w:p>
        </w:tc>
        <w:tc>
          <w:tcPr>
            <w:tcW w:w="1133" w:type="dxa"/>
            <w:vAlign w:val="top"/>
          </w:tcPr>
          <w:p w14:paraId="04220B60">
            <w:pPr>
              <w:spacing w:line="300" w:lineRule="auto"/>
              <w:rPr>
                <w:rFonts w:ascii="Arial"/>
                <w:sz w:val="21"/>
              </w:rPr>
            </w:pPr>
          </w:p>
          <w:p w14:paraId="2CB22CFA">
            <w:pPr>
              <w:pStyle w:val="6"/>
              <w:spacing w:before="65" w:line="226" w:lineRule="auto"/>
              <w:ind w:left="148"/>
            </w:pPr>
            <w:r>
              <w:rPr>
                <w:spacing w:val="7"/>
              </w:rPr>
              <w:t>评价标准</w:t>
            </w:r>
          </w:p>
        </w:tc>
        <w:tc>
          <w:tcPr>
            <w:tcW w:w="6715" w:type="dxa"/>
            <w:gridSpan w:val="6"/>
            <w:vAlign w:val="top"/>
          </w:tcPr>
          <w:p w14:paraId="0BB8916B">
            <w:pPr>
              <w:pStyle w:val="6"/>
              <w:spacing w:before="54" w:line="228" w:lineRule="auto"/>
              <w:ind w:left="494"/>
              <w:rPr>
                <w:rFonts w:ascii="Times New Roman" w:hAnsi="Times New Roman" w:eastAsia="Times New Roman" w:cs="Times New Roman"/>
              </w:rPr>
            </w:pPr>
            <w:r>
              <w:rPr>
                <w:spacing w:val="2"/>
              </w:rPr>
              <w:t>河流、湖库、河口：</w:t>
            </w:r>
            <w:r>
              <w:rPr>
                <w:rFonts w:ascii="Times New Roman" w:hAnsi="Times New Roman" w:eastAsia="Times New Roman" w:cs="Times New Roman"/>
                <w:spacing w:val="2"/>
              </w:rPr>
              <w:t xml:space="preserve">I </w:t>
            </w:r>
            <w:r>
              <w:rPr>
                <w:spacing w:val="2"/>
              </w:rPr>
              <w:t>类</w:t>
            </w:r>
            <w:r>
              <w:rPr>
                <w:spacing w:val="-33"/>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w:t>
            </w:r>
            <w:r>
              <w:rPr>
                <w:rFonts w:ascii="Times New Roman" w:hAnsi="Times New Roman" w:eastAsia="Times New Roman" w:cs="Times New Roman"/>
              </w:rPr>
              <w:t>II</w:t>
            </w:r>
            <w:r>
              <w:rPr>
                <w:rFonts w:ascii="Times New Roman" w:hAnsi="Times New Roman" w:eastAsia="Times New Roman" w:cs="Times New Roman"/>
                <w:spacing w:val="14"/>
              </w:rPr>
              <w:t xml:space="preserve"> </w:t>
            </w:r>
            <w:r>
              <w:rPr>
                <w:spacing w:val="2"/>
              </w:rPr>
              <w:t>类</w:t>
            </w:r>
            <w:r>
              <w:rPr>
                <w:spacing w:val="-33"/>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w:t>
            </w:r>
            <w:r>
              <w:rPr>
                <w:rFonts w:ascii="Times New Roman" w:hAnsi="Times New Roman" w:eastAsia="Times New Roman" w:cs="Times New Roman"/>
              </w:rPr>
              <w:t>III</w:t>
            </w:r>
            <w:r>
              <w:rPr>
                <w:rFonts w:ascii="Times New Roman" w:hAnsi="Times New Roman" w:eastAsia="Times New Roman" w:cs="Times New Roman"/>
                <w:spacing w:val="2"/>
              </w:rPr>
              <w:t xml:space="preserve"> </w:t>
            </w:r>
            <w:r>
              <w:rPr>
                <w:spacing w:val="2"/>
              </w:rPr>
              <w:t>类</w:t>
            </w:r>
            <w:r>
              <w:rPr>
                <w:spacing w:val="-30"/>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rPr>
                <w:rFonts w:ascii="Times New Roman" w:hAnsi="Times New Roman" w:eastAsia="Times New Roman" w:cs="Times New Roman"/>
              </w:rPr>
              <w:t>IV</w:t>
            </w:r>
            <w:r>
              <w:rPr>
                <w:rFonts w:ascii="Times New Roman" w:hAnsi="Times New Roman" w:eastAsia="Times New Roman" w:cs="Times New Roman"/>
                <w:spacing w:val="14"/>
              </w:rPr>
              <w:t xml:space="preserve"> </w:t>
            </w:r>
            <w:r>
              <w:rPr>
                <w:spacing w:val="1"/>
              </w:rPr>
              <w:t>类</w:t>
            </w:r>
            <w:r>
              <w:rPr>
                <w:spacing w:val="-33"/>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rPr>
                <w:rFonts w:ascii="Times New Roman" w:hAnsi="Times New Roman" w:eastAsia="Times New Roman" w:cs="Times New Roman"/>
                <w:spacing w:val="1"/>
              </w:rPr>
              <w:t xml:space="preserve">V </w:t>
            </w:r>
            <w:r>
              <w:rPr>
                <w:spacing w:val="1"/>
              </w:rPr>
              <w:t>类</w:t>
            </w:r>
            <w:r>
              <w:rPr>
                <w:spacing w:val="-30"/>
              </w:rPr>
              <w:t xml:space="preserve"> </w:t>
            </w:r>
            <w:r>
              <w:rPr>
                <w:rFonts w:ascii="Times New Roman" w:hAnsi="Times New Roman" w:eastAsia="Times New Roman" w:cs="Times New Roman"/>
                <w:spacing w:val="1"/>
              </w:rPr>
              <w:t>□</w:t>
            </w:r>
          </w:p>
          <w:p w14:paraId="067BF8D3">
            <w:pPr>
              <w:pStyle w:val="6"/>
              <w:spacing w:before="65" w:line="228" w:lineRule="auto"/>
              <w:ind w:left="849"/>
              <w:rPr>
                <w:rFonts w:ascii="Times New Roman" w:hAnsi="Times New Roman" w:eastAsia="Times New Roman" w:cs="Times New Roman"/>
              </w:rPr>
            </w:pPr>
            <w:r>
              <w:rPr>
                <w:spacing w:val="5"/>
              </w:rPr>
              <w:t xml:space="preserve">近岸海域：第一类 </w:t>
            </w:r>
            <w:r>
              <w:rPr>
                <w:rFonts w:ascii="Times New Roman" w:hAnsi="Times New Roman" w:eastAsia="Times New Roman" w:cs="Times New Roman"/>
                <w:spacing w:val="5"/>
              </w:rPr>
              <w:t>□</w:t>
            </w:r>
            <w:r>
              <w:rPr>
                <w:rFonts w:ascii="Times New Roman" w:hAnsi="Times New Roman" w:eastAsia="Times New Roman" w:cs="Times New Roman"/>
                <w:spacing w:val="-26"/>
              </w:rPr>
              <w:t xml:space="preserve"> </w:t>
            </w:r>
            <w:r>
              <w:rPr>
                <w:spacing w:val="5"/>
              </w:rPr>
              <w:t xml:space="preserve">；第二类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；第三类</w:t>
            </w:r>
            <w:r>
              <w:rPr>
                <w:spacing w:val="22"/>
              </w:rPr>
              <w:t xml:space="preserve">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；第四类</w:t>
            </w:r>
            <w:r>
              <w:rPr>
                <w:rFonts w:ascii="Times New Roman" w:hAnsi="Times New Roman" w:eastAsia="Times New Roman" w:cs="Times New Roman"/>
                <w:spacing w:val="5"/>
              </w:rPr>
              <w:t>□</w:t>
            </w:r>
          </w:p>
          <w:p w14:paraId="484AFD45">
            <w:pPr>
              <w:pStyle w:val="6"/>
              <w:spacing w:before="65" w:line="226" w:lineRule="auto"/>
              <w:ind w:left="2418"/>
            </w:pPr>
            <w:r>
              <w:rPr>
                <w:spacing w:val="4"/>
              </w:rPr>
              <w:t>规划年评价标准</w:t>
            </w:r>
            <w:r>
              <w:rPr>
                <w:spacing w:val="24"/>
              </w:rPr>
              <w:t xml:space="preserve"> </w:t>
            </w:r>
            <w:r>
              <w:rPr>
                <w:spacing w:val="4"/>
              </w:rPr>
              <w:t>()</w:t>
            </w:r>
          </w:p>
        </w:tc>
      </w:tr>
      <w:tr w14:paraId="20101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bottom w:val="nil"/>
            </w:tcBorders>
            <w:vAlign w:val="top"/>
          </w:tcPr>
          <w:p w14:paraId="19533D13">
            <w:pPr>
              <w:rPr>
                <w:rFonts w:ascii="Arial"/>
                <w:sz w:val="21"/>
              </w:rPr>
            </w:pPr>
          </w:p>
        </w:tc>
        <w:tc>
          <w:tcPr>
            <w:tcW w:w="1133" w:type="dxa"/>
            <w:vAlign w:val="top"/>
          </w:tcPr>
          <w:p w14:paraId="0764CD88">
            <w:pPr>
              <w:pStyle w:val="6"/>
              <w:spacing w:before="213" w:line="226" w:lineRule="auto"/>
              <w:ind w:left="148"/>
            </w:pPr>
            <w:r>
              <w:rPr>
                <w:spacing w:val="7"/>
              </w:rPr>
              <w:t>评价时期</w:t>
            </w:r>
          </w:p>
        </w:tc>
        <w:tc>
          <w:tcPr>
            <w:tcW w:w="6715" w:type="dxa"/>
            <w:gridSpan w:val="6"/>
            <w:vAlign w:val="top"/>
          </w:tcPr>
          <w:p w14:paraId="22B44E3F">
            <w:pPr>
              <w:pStyle w:val="6"/>
              <w:spacing w:before="57" w:line="259" w:lineRule="auto"/>
              <w:ind w:left="1741" w:right="1318" w:hanging="418"/>
              <w:rPr>
                <w:rFonts w:ascii="Times New Roman" w:hAnsi="Times New Roman" w:eastAsia="Times New Roman" w:cs="Times New Roman"/>
              </w:rPr>
            </w:pPr>
            <w:r>
              <w:rPr>
                <w:spacing w:val="1"/>
              </w:rPr>
              <w:t xml:space="preserve">丰水期 </w:t>
            </w:r>
            <w:r>
              <w:rPr>
                <w:rFonts w:ascii="Times New Roman" w:hAnsi="Times New Roman" w:eastAsia="Times New Roman" w:cs="Times New Roman"/>
                <w:spacing w:val="1"/>
              </w:rPr>
              <w:t>□</w:t>
            </w:r>
            <w:r>
              <w:rPr>
                <w:rFonts w:ascii="Times New Roman" w:hAnsi="Times New Roman" w:eastAsia="Times New Roman" w:cs="Times New Roman"/>
                <w:spacing w:val="-7"/>
              </w:rPr>
              <w:t xml:space="preserve"> </w:t>
            </w:r>
            <w:r>
              <w:rPr>
                <w:spacing w:val="1"/>
              </w:rPr>
              <w:t>；平水期</w:t>
            </w:r>
            <w:r>
              <w:rPr>
                <w:spacing w:val="20"/>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2"/>
              </w:rPr>
              <w:t xml:space="preserve"> </w:t>
            </w:r>
            <w:r>
              <w:rPr>
                <w:spacing w:val="1"/>
              </w:rPr>
              <w:t>；枯水期</w:t>
            </w:r>
            <w:r>
              <w:rPr>
                <w:spacing w:val="22"/>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；冰封期</w:t>
            </w:r>
            <w:r>
              <w:rPr>
                <w:spacing w:val="23"/>
              </w:rPr>
              <w:t xml:space="preserve"> </w:t>
            </w:r>
            <w:r>
              <w:rPr>
                <w:rFonts w:ascii="Times New Roman" w:hAnsi="Times New Roman" w:eastAsia="Times New Roman" w:cs="Times New Roman"/>
                <w:spacing w:val="1"/>
              </w:rPr>
              <w:t>□</w:t>
            </w:r>
            <w:r>
              <w:rPr>
                <w:rFonts w:ascii="Times New Roman" w:hAnsi="Times New Roman" w:eastAsia="Times New Roman" w:cs="Times New Roman"/>
              </w:rPr>
              <w:t xml:space="preserve"> </w:t>
            </w:r>
            <w:r>
              <w:t xml:space="preserve">春季 </w:t>
            </w:r>
            <w:r>
              <w:rPr>
                <w:rFonts w:ascii="Times New Roman" w:hAnsi="Times New Roman" w:eastAsia="Times New Roman" w:cs="Times New Roman"/>
              </w:rPr>
              <w:t>□</w:t>
            </w:r>
            <w:r>
              <w:rPr>
                <w:rFonts w:ascii="Times New Roman" w:hAnsi="Times New Roman" w:eastAsia="Times New Roman" w:cs="Times New Roman"/>
                <w:spacing w:val="-13"/>
              </w:rPr>
              <w:t xml:space="preserve"> </w:t>
            </w:r>
            <w:r>
              <w:t>；夏季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；秋季</w:t>
            </w:r>
            <w:r>
              <w:rPr>
                <w:spacing w:val="23"/>
              </w:rPr>
              <w:t xml:space="preserve"> </w:t>
            </w:r>
            <w:r>
              <w:rPr>
                <w:rFonts w:ascii="Times New Roman" w:hAnsi="Times New Roman" w:eastAsia="Times New Roman" w:cs="Times New Roman"/>
              </w:rPr>
              <w:t>□</w:t>
            </w:r>
            <w:r>
              <w:rPr>
                <w:rFonts w:ascii="Times New Roman" w:hAnsi="Times New Roman" w:eastAsia="Times New Roman" w:cs="Times New Roman"/>
                <w:spacing w:val="-26"/>
              </w:rPr>
              <w:t xml:space="preserve"> </w:t>
            </w:r>
            <w:r>
              <w:t>；冬季</w:t>
            </w:r>
            <w:r>
              <w:rPr>
                <w:spacing w:val="23"/>
              </w:rPr>
              <w:t xml:space="preserve"> </w:t>
            </w:r>
            <w:r>
              <w:rPr>
                <w:rFonts w:ascii="Times New Roman" w:hAnsi="Times New Roman" w:eastAsia="Times New Roman" w:cs="Times New Roman"/>
              </w:rPr>
              <w:t>□</w:t>
            </w:r>
          </w:p>
        </w:tc>
      </w:tr>
      <w:tr w14:paraId="04228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bottom w:val="nil"/>
            </w:tcBorders>
            <w:vAlign w:val="top"/>
          </w:tcPr>
          <w:p w14:paraId="36FA88AB">
            <w:pPr>
              <w:rPr>
                <w:rFonts w:ascii="Arial"/>
                <w:sz w:val="21"/>
              </w:rPr>
            </w:pPr>
          </w:p>
        </w:tc>
        <w:tc>
          <w:tcPr>
            <w:tcW w:w="1133" w:type="dxa"/>
            <w:vMerge w:val="restart"/>
            <w:tcBorders>
              <w:bottom w:val="nil"/>
            </w:tcBorders>
            <w:vAlign w:val="top"/>
          </w:tcPr>
          <w:p w14:paraId="49F7D9DB">
            <w:pPr>
              <w:spacing w:line="283" w:lineRule="auto"/>
              <w:rPr>
                <w:rFonts w:ascii="Arial"/>
                <w:sz w:val="21"/>
              </w:rPr>
            </w:pPr>
          </w:p>
          <w:p w14:paraId="557A322D">
            <w:pPr>
              <w:spacing w:line="283" w:lineRule="auto"/>
              <w:rPr>
                <w:rFonts w:ascii="Arial"/>
                <w:sz w:val="21"/>
              </w:rPr>
            </w:pPr>
          </w:p>
          <w:p w14:paraId="1730AC65">
            <w:pPr>
              <w:spacing w:line="283" w:lineRule="auto"/>
              <w:rPr>
                <w:rFonts w:ascii="Arial"/>
                <w:sz w:val="21"/>
              </w:rPr>
            </w:pPr>
          </w:p>
          <w:p w14:paraId="11C115FC">
            <w:pPr>
              <w:spacing w:line="283" w:lineRule="auto"/>
              <w:rPr>
                <w:rFonts w:ascii="Arial"/>
                <w:sz w:val="21"/>
              </w:rPr>
            </w:pPr>
          </w:p>
          <w:p w14:paraId="3B3B2577">
            <w:pPr>
              <w:spacing w:line="284" w:lineRule="auto"/>
              <w:rPr>
                <w:rFonts w:ascii="Arial"/>
                <w:sz w:val="21"/>
              </w:rPr>
            </w:pPr>
          </w:p>
          <w:p w14:paraId="6549A597">
            <w:pPr>
              <w:pStyle w:val="6"/>
              <w:spacing w:before="65" w:line="226" w:lineRule="auto"/>
              <w:ind w:left="148"/>
            </w:pPr>
            <w:r>
              <w:rPr>
                <w:spacing w:val="7"/>
              </w:rPr>
              <w:t>评价结论</w:t>
            </w:r>
          </w:p>
        </w:tc>
        <w:tc>
          <w:tcPr>
            <w:tcW w:w="5253" w:type="dxa"/>
            <w:gridSpan w:val="5"/>
            <w:vAlign w:val="top"/>
          </w:tcPr>
          <w:p w14:paraId="54049013">
            <w:pPr>
              <w:pStyle w:val="6"/>
              <w:spacing w:before="56" w:line="228" w:lineRule="auto"/>
              <w:ind w:left="116"/>
            </w:pPr>
            <w:r>
              <w:rPr>
                <w:spacing w:val="9"/>
              </w:rPr>
              <w:t>水环境功能区或水功能区、近岸海域环境功能区水质达</w:t>
            </w:r>
          </w:p>
          <w:p w14:paraId="1C828511">
            <w:pPr>
              <w:pStyle w:val="6"/>
              <w:spacing w:before="64" w:line="228" w:lineRule="auto"/>
              <w:ind w:left="1235"/>
              <w:rPr>
                <w:rFonts w:ascii="Times New Roman" w:hAnsi="Times New Roman" w:eastAsia="Times New Roman" w:cs="Times New Roman"/>
              </w:rPr>
            </w:pPr>
            <w:r>
              <w:rPr>
                <w:spacing w:val="2"/>
              </w:rPr>
              <w:t xml:space="preserve">标状况 </w:t>
            </w:r>
            <w:r>
              <w:rPr>
                <w:rFonts w:ascii="Times New Roman" w:hAnsi="Times New Roman" w:eastAsia="Times New Roman" w:cs="Times New Roman"/>
                <w:spacing w:val="2"/>
              </w:rPr>
              <w:t>□</w:t>
            </w:r>
            <w:r>
              <w:rPr>
                <w:rFonts w:ascii="Times New Roman" w:hAnsi="Times New Roman" w:eastAsia="Times New Roman" w:cs="Times New Roman"/>
                <w:spacing w:val="-16"/>
              </w:rPr>
              <w:t xml:space="preserve"> </w:t>
            </w:r>
            <w:r>
              <w:rPr>
                <w:spacing w:val="2"/>
              </w:rPr>
              <w:t>：达标</w:t>
            </w:r>
            <w:r>
              <w:rPr>
                <w:spacing w:val="20"/>
              </w:rPr>
              <w:t xml:space="preserve"> </w:t>
            </w:r>
            <w:r>
              <w:rPr>
                <w:rFonts w:ascii="Times New Roman" w:hAnsi="Times New Roman" w:eastAsia="Times New Roman" w:cs="Times New Roman"/>
                <w:spacing w:val="2"/>
              </w:rPr>
              <w:t>□</w:t>
            </w:r>
            <w:r>
              <w:rPr>
                <w:rFonts w:ascii="Times New Roman" w:hAnsi="Times New Roman" w:eastAsia="Times New Roman" w:cs="Times New Roman"/>
                <w:spacing w:val="-23"/>
              </w:rPr>
              <w:t xml:space="preserve"> </w:t>
            </w:r>
            <w:r>
              <w:rPr>
                <w:spacing w:val="2"/>
              </w:rPr>
              <w:t>；不达标</w:t>
            </w:r>
            <w:r>
              <w:rPr>
                <w:spacing w:val="23"/>
              </w:rPr>
              <w:t xml:space="preserve"> </w:t>
            </w:r>
            <w:r>
              <w:rPr>
                <w:rFonts w:ascii="Times New Roman" w:hAnsi="Times New Roman" w:eastAsia="Times New Roman" w:cs="Times New Roman"/>
                <w:spacing w:val="2"/>
              </w:rPr>
              <w:t>□</w:t>
            </w:r>
          </w:p>
        </w:tc>
        <w:tc>
          <w:tcPr>
            <w:tcW w:w="1462" w:type="dxa"/>
            <w:vMerge w:val="restart"/>
            <w:tcBorders>
              <w:bottom w:val="nil"/>
            </w:tcBorders>
            <w:vAlign w:val="top"/>
          </w:tcPr>
          <w:p w14:paraId="7901B58D">
            <w:pPr>
              <w:spacing w:line="252" w:lineRule="auto"/>
              <w:rPr>
                <w:rFonts w:ascii="Arial"/>
                <w:sz w:val="21"/>
              </w:rPr>
            </w:pPr>
          </w:p>
          <w:p w14:paraId="2FCB9221">
            <w:pPr>
              <w:spacing w:line="252" w:lineRule="auto"/>
              <w:rPr>
                <w:rFonts w:ascii="Arial"/>
                <w:sz w:val="21"/>
              </w:rPr>
            </w:pPr>
          </w:p>
          <w:p w14:paraId="0F680A7C">
            <w:pPr>
              <w:spacing w:line="252" w:lineRule="auto"/>
              <w:rPr>
                <w:rFonts w:ascii="Arial"/>
                <w:sz w:val="21"/>
              </w:rPr>
            </w:pPr>
          </w:p>
          <w:p w14:paraId="143A9637">
            <w:pPr>
              <w:spacing w:line="252" w:lineRule="auto"/>
              <w:rPr>
                <w:rFonts w:ascii="Arial"/>
                <w:sz w:val="21"/>
              </w:rPr>
            </w:pPr>
          </w:p>
          <w:p w14:paraId="5F5F38C9">
            <w:pPr>
              <w:spacing w:line="252" w:lineRule="auto"/>
              <w:rPr>
                <w:rFonts w:ascii="Arial"/>
                <w:sz w:val="21"/>
              </w:rPr>
            </w:pPr>
          </w:p>
          <w:p w14:paraId="3186BD49">
            <w:pPr>
              <w:pStyle w:val="6"/>
              <w:spacing w:before="65" w:line="290" w:lineRule="auto"/>
              <w:ind w:left="256" w:right="245" w:firstLine="101"/>
              <w:rPr>
                <w:rFonts w:ascii="Times New Roman" w:hAnsi="Times New Roman" w:eastAsia="Times New Roman" w:cs="Times New Roman"/>
              </w:rPr>
            </w:pPr>
            <w:r>
              <w:rPr>
                <w:spacing w:val="6"/>
              </w:rPr>
              <w:t>达标区</w:t>
            </w:r>
            <w:r>
              <w:rPr>
                <w:rFonts w:ascii="Times New Roman" w:hAnsi="Times New Roman" w:eastAsia="Times New Roman" w:cs="Times New Roman"/>
                <w:spacing w:val="6"/>
              </w:rPr>
              <w:t>□</w:t>
            </w:r>
            <w:r>
              <w:rPr>
                <w:rFonts w:ascii="Times New Roman" w:hAnsi="Times New Roman" w:eastAsia="Times New Roman" w:cs="Times New Roman"/>
              </w:rPr>
              <w:t xml:space="preserve">   </w:t>
            </w:r>
            <w:r>
              <w:rPr>
                <w:spacing w:val="6"/>
              </w:rPr>
              <w:t>不达标区</w:t>
            </w:r>
            <w:r>
              <w:rPr>
                <w:rFonts w:ascii="Times New Roman" w:hAnsi="Times New Roman" w:eastAsia="Times New Roman" w:cs="Times New Roman"/>
                <w:spacing w:val="6"/>
              </w:rPr>
              <w:t>□</w:t>
            </w:r>
          </w:p>
        </w:tc>
      </w:tr>
      <w:tr w14:paraId="172D5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bottom w:val="nil"/>
            </w:tcBorders>
            <w:vAlign w:val="top"/>
          </w:tcPr>
          <w:p w14:paraId="47F98624">
            <w:pPr>
              <w:rPr>
                <w:rFonts w:ascii="Arial"/>
                <w:sz w:val="21"/>
              </w:rPr>
            </w:pPr>
          </w:p>
        </w:tc>
        <w:tc>
          <w:tcPr>
            <w:tcW w:w="1133" w:type="dxa"/>
            <w:vMerge w:val="continue"/>
            <w:tcBorders>
              <w:top w:val="nil"/>
              <w:bottom w:val="nil"/>
            </w:tcBorders>
            <w:vAlign w:val="top"/>
          </w:tcPr>
          <w:p w14:paraId="2BE42282">
            <w:pPr>
              <w:rPr>
                <w:rFonts w:ascii="Arial"/>
                <w:sz w:val="21"/>
              </w:rPr>
            </w:pPr>
          </w:p>
        </w:tc>
        <w:tc>
          <w:tcPr>
            <w:tcW w:w="5253" w:type="dxa"/>
            <w:gridSpan w:val="5"/>
            <w:vAlign w:val="top"/>
          </w:tcPr>
          <w:p w14:paraId="704E59E0">
            <w:pPr>
              <w:pStyle w:val="6"/>
              <w:spacing w:before="56" w:line="228" w:lineRule="auto"/>
              <w:ind w:left="116"/>
            </w:pPr>
            <w:r>
              <w:rPr>
                <w:spacing w:val="5"/>
              </w:rPr>
              <w:t xml:space="preserve">水环境控制单元或断面水质达标状况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 xml:space="preserve">：达标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；不达</w:t>
            </w:r>
          </w:p>
          <w:p w14:paraId="14F5B05E">
            <w:pPr>
              <w:pStyle w:val="6"/>
              <w:spacing w:before="65" w:line="228" w:lineRule="auto"/>
              <w:ind w:left="2413"/>
              <w:rPr>
                <w:rFonts w:ascii="Times New Roman" w:hAnsi="Times New Roman" w:eastAsia="Times New Roman" w:cs="Times New Roman"/>
              </w:rPr>
            </w:pPr>
            <w:r>
              <w:t>标</w:t>
            </w:r>
            <w:r>
              <w:rPr>
                <w:spacing w:val="20"/>
              </w:rPr>
              <w:t xml:space="preserve"> </w:t>
            </w:r>
            <w:r>
              <w:rPr>
                <w:rFonts w:ascii="Times New Roman" w:hAnsi="Times New Roman" w:eastAsia="Times New Roman" w:cs="Times New Roman"/>
              </w:rPr>
              <w:t>□</w:t>
            </w:r>
          </w:p>
        </w:tc>
        <w:tc>
          <w:tcPr>
            <w:tcW w:w="1462" w:type="dxa"/>
            <w:vMerge w:val="continue"/>
            <w:tcBorders>
              <w:top w:val="nil"/>
              <w:bottom w:val="nil"/>
            </w:tcBorders>
            <w:vAlign w:val="top"/>
          </w:tcPr>
          <w:p w14:paraId="7D520AB1">
            <w:pPr>
              <w:rPr>
                <w:rFonts w:ascii="Arial"/>
                <w:sz w:val="21"/>
              </w:rPr>
            </w:pPr>
          </w:p>
        </w:tc>
      </w:tr>
      <w:tr w14:paraId="3A6E4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16F90145">
            <w:pPr>
              <w:rPr>
                <w:rFonts w:ascii="Arial"/>
                <w:sz w:val="21"/>
              </w:rPr>
            </w:pPr>
          </w:p>
        </w:tc>
        <w:tc>
          <w:tcPr>
            <w:tcW w:w="1133" w:type="dxa"/>
            <w:vMerge w:val="continue"/>
            <w:tcBorders>
              <w:top w:val="nil"/>
              <w:bottom w:val="nil"/>
            </w:tcBorders>
            <w:vAlign w:val="top"/>
          </w:tcPr>
          <w:p w14:paraId="799A9758">
            <w:pPr>
              <w:rPr>
                <w:rFonts w:ascii="Arial"/>
                <w:sz w:val="21"/>
              </w:rPr>
            </w:pPr>
          </w:p>
        </w:tc>
        <w:tc>
          <w:tcPr>
            <w:tcW w:w="5253" w:type="dxa"/>
            <w:gridSpan w:val="5"/>
            <w:vAlign w:val="top"/>
          </w:tcPr>
          <w:p w14:paraId="560F3BD8">
            <w:pPr>
              <w:pStyle w:val="6"/>
              <w:spacing w:before="70" w:line="228" w:lineRule="auto"/>
              <w:ind w:left="396"/>
              <w:rPr>
                <w:rFonts w:ascii="Times New Roman" w:hAnsi="Times New Roman" w:eastAsia="Times New Roman" w:cs="Times New Roman"/>
              </w:rPr>
            </w:pPr>
            <w:r>
              <w:rPr>
                <w:spacing w:val="5"/>
              </w:rPr>
              <w:t xml:space="preserve">水环境保护目标质量状况 </w:t>
            </w:r>
            <w:r>
              <w:rPr>
                <w:rFonts w:ascii="Times New Roman" w:hAnsi="Times New Roman" w:eastAsia="Times New Roman" w:cs="Times New Roman"/>
                <w:spacing w:val="5"/>
              </w:rPr>
              <w:t>□</w:t>
            </w:r>
            <w:r>
              <w:rPr>
                <w:rFonts w:ascii="Times New Roman" w:hAnsi="Times New Roman" w:eastAsia="Times New Roman" w:cs="Times New Roman"/>
                <w:spacing w:val="-5"/>
              </w:rPr>
              <w:t xml:space="preserve"> </w:t>
            </w:r>
            <w:r>
              <w:rPr>
                <w:spacing w:val="5"/>
              </w:rPr>
              <w:t xml:space="preserve">：达标 </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；不达标</w:t>
            </w:r>
            <w:r>
              <w:rPr>
                <w:spacing w:val="23"/>
              </w:rPr>
              <w:t xml:space="preserve"> </w:t>
            </w:r>
            <w:r>
              <w:rPr>
                <w:rFonts w:ascii="Times New Roman" w:hAnsi="Times New Roman" w:eastAsia="Times New Roman" w:cs="Times New Roman"/>
                <w:spacing w:val="5"/>
              </w:rPr>
              <w:t>□</w:t>
            </w:r>
          </w:p>
        </w:tc>
        <w:tc>
          <w:tcPr>
            <w:tcW w:w="1462" w:type="dxa"/>
            <w:vMerge w:val="continue"/>
            <w:tcBorders>
              <w:top w:val="nil"/>
              <w:bottom w:val="nil"/>
            </w:tcBorders>
            <w:vAlign w:val="top"/>
          </w:tcPr>
          <w:p w14:paraId="37CFCA2F">
            <w:pPr>
              <w:rPr>
                <w:rFonts w:ascii="Arial"/>
                <w:sz w:val="21"/>
              </w:rPr>
            </w:pPr>
          </w:p>
        </w:tc>
      </w:tr>
      <w:tr w14:paraId="699A1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679" w:type="dxa"/>
            <w:vMerge w:val="continue"/>
            <w:tcBorders>
              <w:top w:val="nil"/>
            </w:tcBorders>
            <w:vAlign w:val="top"/>
          </w:tcPr>
          <w:p w14:paraId="1ED9526D">
            <w:pPr>
              <w:rPr>
                <w:rFonts w:ascii="Arial"/>
                <w:sz w:val="21"/>
              </w:rPr>
            </w:pPr>
          </w:p>
        </w:tc>
        <w:tc>
          <w:tcPr>
            <w:tcW w:w="1133" w:type="dxa"/>
            <w:vMerge w:val="continue"/>
            <w:tcBorders>
              <w:top w:val="nil"/>
            </w:tcBorders>
            <w:vAlign w:val="top"/>
          </w:tcPr>
          <w:p w14:paraId="6C2FC7EC">
            <w:pPr>
              <w:rPr>
                <w:rFonts w:ascii="Arial"/>
                <w:sz w:val="21"/>
              </w:rPr>
            </w:pPr>
          </w:p>
        </w:tc>
        <w:tc>
          <w:tcPr>
            <w:tcW w:w="5253" w:type="dxa"/>
            <w:gridSpan w:val="5"/>
            <w:vAlign w:val="top"/>
          </w:tcPr>
          <w:p w14:paraId="78674320">
            <w:pPr>
              <w:pStyle w:val="6"/>
              <w:spacing w:before="56" w:line="228" w:lineRule="auto"/>
              <w:ind w:left="112"/>
            </w:pPr>
            <w:r>
              <w:rPr>
                <w:spacing w:val="7"/>
              </w:rPr>
              <w:t xml:space="preserve">对照断面、控制断面等代表性断面的水质状况 </w:t>
            </w:r>
            <w:r>
              <w:rPr>
                <w:rFonts w:ascii="Times New Roman" w:hAnsi="Times New Roman" w:eastAsia="Times New Roman" w:cs="Times New Roman"/>
                <w:spacing w:val="7"/>
              </w:rPr>
              <w:t>□</w:t>
            </w:r>
            <w:r>
              <w:rPr>
                <w:rFonts w:ascii="Times New Roman" w:hAnsi="Times New Roman" w:eastAsia="Times New Roman" w:cs="Times New Roman"/>
                <w:spacing w:val="-17"/>
              </w:rPr>
              <w:t xml:space="preserve"> </w:t>
            </w:r>
            <w:r>
              <w:rPr>
                <w:spacing w:val="7"/>
              </w:rPr>
              <w:t>：达标</w:t>
            </w:r>
          </w:p>
          <w:p w14:paraId="35D2A1C5">
            <w:pPr>
              <w:pStyle w:val="6"/>
              <w:spacing w:before="65" w:line="228" w:lineRule="auto"/>
              <w:ind w:left="2040"/>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spacing w:val="-25"/>
              </w:rPr>
              <w:t xml:space="preserve"> </w:t>
            </w:r>
            <w:r>
              <w:t>；不达标</w:t>
            </w:r>
            <w:r>
              <w:rPr>
                <w:spacing w:val="23"/>
              </w:rPr>
              <w:t xml:space="preserve"> </w:t>
            </w:r>
            <w:r>
              <w:rPr>
                <w:rFonts w:ascii="Times New Roman" w:hAnsi="Times New Roman" w:eastAsia="Times New Roman" w:cs="Times New Roman"/>
              </w:rPr>
              <w:t>□</w:t>
            </w:r>
          </w:p>
          <w:p w14:paraId="4FA58132">
            <w:pPr>
              <w:pStyle w:val="6"/>
              <w:spacing w:before="64" w:line="226" w:lineRule="auto"/>
              <w:ind w:left="1886"/>
              <w:rPr>
                <w:rFonts w:ascii="Times New Roman" w:hAnsi="Times New Roman" w:eastAsia="Times New Roman" w:cs="Times New Roman"/>
              </w:rPr>
            </w:pPr>
            <w:r>
              <w:rPr>
                <w:spacing w:val="7"/>
              </w:rPr>
              <w:t>底泥污染评价</w:t>
            </w:r>
            <w:r>
              <w:rPr>
                <w:spacing w:val="23"/>
              </w:rPr>
              <w:t xml:space="preserve"> </w:t>
            </w:r>
            <w:r>
              <w:rPr>
                <w:rFonts w:ascii="Times New Roman" w:hAnsi="Times New Roman" w:eastAsia="Times New Roman" w:cs="Times New Roman"/>
                <w:spacing w:val="7"/>
              </w:rPr>
              <w:t>□</w:t>
            </w:r>
          </w:p>
          <w:p w14:paraId="3AF03DCE">
            <w:pPr>
              <w:pStyle w:val="6"/>
              <w:spacing w:before="67" w:line="226" w:lineRule="auto"/>
              <w:ind w:left="629"/>
              <w:rPr>
                <w:rFonts w:ascii="Times New Roman" w:hAnsi="Times New Roman" w:eastAsia="Times New Roman" w:cs="Times New Roman"/>
              </w:rPr>
            </w:pPr>
            <w:r>
              <w:rPr>
                <w:spacing w:val="9"/>
              </w:rPr>
              <w:t xml:space="preserve">水资源与开发利用程度及其水文情势评价 </w:t>
            </w:r>
            <w:r>
              <w:rPr>
                <w:rFonts w:ascii="Times New Roman" w:hAnsi="Times New Roman" w:eastAsia="Times New Roman" w:cs="Times New Roman"/>
                <w:spacing w:val="9"/>
              </w:rPr>
              <w:t>□</w:t>
            </w:r>
          </w:p>
          <w:p w14:paraId="46E7EB69">
            <w:pPr>
              <w:pStyle w:val="6"/>
              <w:spacing w:before="67" w:line="226" w:lineRule="auto"/>
              <w:ind w:left="1575"/>
              <w:rPr>
                <w:rFonts w:ascii="Times New Roman" w:hAnsi="Times New Roman" w:eastAsia="Times New Roman" w:cs="Times New Roman"/>
              </w:rPr>
            </w:pPr>
            <w:r>
              <w:rPr>
                <w:spacing w:val="8"/>
              </w:rPr>
              <w:t xml:space="preserve">水环境质量回顾评价 </w:t>
            </w:r>
            <w:r>
              <w:rPr>
                <w:rFonts w:ascii="Times New Roman" w:hAnsi="Times New Roman" w:eastAsia="Times New Roman" w:cs="Times New Roman"/>
                <w:spacing w:val="8"/>
              </w:rPr>
              <w:t>□</w:t>
            </w:r>
          </w:p>
        </w:tc>
        <w:tc>
          <w:tcPr>
            <w:tcW w:w="1462" w:type="dxa"/>
            <w:vMerge w:val="continue"/>
            <w:tcBorders>
              <w:top w:val="nil"/>
            </w:tcBorders>
            <w:vAlign w:val="top"/>
          </w:tcPr>
          <w:p w14:paraId="0AF435CC">
            <w:pPr>
              <w:rPr>
                <w:rFonts w:ascii="Arial"/>
                <w:sz w:val="21"/>
              </w:rPr>
            </w:pPr>
          </w:p>
        </w:tc>
      </w:tr>
    </w:tbl>
    <w:p w14:paraId="6D8496F3">
      <w:pPr>
        <w:pStyle w:val="2"/>
        <w:spacing w:line="116" w:lineRule="exact"/>
        <w:rPr>
          <w:sz w:val="10"/>
        </w:rPr>
      </w:pPr>
    </w:p>
    <w:p w14:paraId="74D6827E">
      <w:pPr>
        <w:spacing w:line="116" w:lineRule="exact"/>
        <w:rPr>
          <w:sz w:val="10"/>
          <w:szCs w:val="10"/>
        </w:rPr>
        <w:sectPr>
          <w:footerReference r:id="rId320" w:type="default"/>
          <w:pgSz w:w="11906" w:h="16839"/>
          <w:pgMar w:top="1208" w:right="1578" w:bottom="1358" w:left="1785" w:header="825" w:footer="1195" w:gutter="0"/>
          <w:cols w:space="720" w:num="1"/>
        </w:sectPr>
      </w:pPr>
    </w:p>
    <w:p w14:paraId="428F27E1">
      <w:pPr>
        <w:spacing w:line="231" w:lineRule="exact"/>
      </w:pPr>
    </w:p>
    <w:tbl>
      <w:tblPr>
        <w:tblStyle w:val="5"/>
        <w:tblW w:w="852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133"/>
        <w:gridCol w:w="1089"/>
        <w:gridCol w:w="867"/>
        <w:gridCol w:w="446"/>
        <w:gridCol w:w="1312"/>
        <w:gridCol w:w="498"/>
        <w:gridCol w:w="931"/>
        <w:gridCol w:w="110"/>
        <w:gridCol w:w="1462"/>
      </w:tblGrid>
      <w:tr w14:paraId="395CA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679" w:type="dxa"/>
            <w:vAlign w:val="top"/>
          </w:tcPr>
          <w:p w14:paraId="3B355F6C">
            <w:pPr>
              <w:rPr>
                <w:rFonts w:ascii="Arial"/>
                <w:sz w:val="21"/>
              </w:rPr>
            </w:pPr>
          </w:p>
        </w:tc>
        <w:tc>
          <w:tcPr>
            <w:tcW w:w="1133" w:type="dxa"/>
            <w:vAlign w:val="top"/>
          </w:tcPr>
          <w:p w14:paraId="3F9E89B6">
            <w:pPr>
              <w:rPr>
                <w:rFonts w:ascii="Arial"/>
                <w:sz w:val="21"/>
              </w:rPr>
            </w:pPr>
          </w:p>
        </w:tc>
        <w:tc>
          <w:tcPr>
            <w:tcW w:w="5253" w:type="dxa"/>
            <w:gridSpan w:val="7"/>
            <w:vAlign w:val="top"/>
          </w:tcPr>
          <w:p w14:paraId="060A6DA4">
            <w:pPr>
              <w:pStyle w:val="6"/>
              <w:spacing w:before="56" w:line="228" w:lineRule="auto"/>
              <w:ind w:left="114"/>
            </w:pPr>
            <w:r>
              <w:rPr>
                <w:spacing w:val="9"/>
              </w:rPr>
              <w:t>流域（区域）水资源（包括水能资源）与开发利用总体</w:t>
            </w:r>
          </w:p>
          <w:p w14:paraId="73AEFE36">
            <w:pPr>
              <w:pStyle w:val="6"/>
              <w:spacing w:before="65" w:line="228" w:lineRule="auto"/>
              <w:ind w:left="113"/>
            </w:pPr>
            <w:r>
              <w:rPr>
                <w:spacing w:val="9"/>
              </w:rPr>
              <w:t>状况、生态流量管理要求与现状满足程度、建设项目占</w:t>
            </w:r>
          </w:p>
          <w:p w14:paraId="01137EF7">
            <w:pPr>
              <w:pStyle w:val="6"/>
              <w:spacing w:before="64" w:line="228" w:lineRule="auto"/>
              <w:ind w:left="734"/>
              <w:rPr>
                <w:rFonts w:ascii="Times New Roman" w:hAnsi="Times New Roman" w:eastAsia="Times New Roman" w:cs="Times New Roman"/>
              </w:rPr>
            </w:pPr>
            <w:r>
              <w:rPr>
                <w:spacing w:val="9"/>
              </w:rPr>
              <w:t xml:space="preserve">用水域空间的水流状况与河湖演变状况 </w:t>
            </w:r>
            <w:r>
              <w:rPr>
                <w:rFonts w:ascii="Times New Roman" w:hAnsi="Times New Roman" w:eastAsia="Times New Roman" w:cs="Times New Roman"/>
                <w:spacing w:val="9"/>
              </w:rPr>
              <w:t>□</w:t>
            </w:r>
          </w:p>
        </w:tc>
        <w:tc>
          <w:tcPr>
            <w:tcW w:w="1462" w:type="dxa"/>
            <w:vAlign w:val="top"/>
          </w:tcPr>
          <w:p w14:paraId="1ED013E1">
            <w:pPr>
              <w:rPr>
                <w:rFonts w:ascii="Arial"/>
                <w:sz w:val="21"/>
              </w:rPr>
            </w:pPr>
          </w:p>
        </w:tc>
      </w:tr>
      <w:tr w14:paraId="157D0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586F73B9">
            <w:pPr>
              <w:spacing w:line="335" w:lineRule="auto"/>
              <w:rPr>
                <w:rFonts w:ascii="Arial"/>
                <w:sz w:val="21"/>
              </w:rPr>
            </w:pPr>
          </w:p>
          <w:p w14:paraId="581F643F">
            <w:pPr>
              <w:pStyle w:val="6"/>
              <w:spacing w:before="65" w:line="230" w:lineRule="auto"/>
              <w:ind w:left="135"/>
            </w:pPr>
            <w:r>
              <w:rPr>
                <w:spacing w:val="4"/>
              </w:rPr>
              <w:t>影响</w:t>
            </w:r>
          </w:p>
          <w:p w14:paraId="30EA9C39">
            <w:pPr>
              <w:pStyle w:val="6"/>
              <w:spacing w:before="63" w:line="228" w:lineRule="auto"/>
              <w:ind w:left="136"/>
            </w:pPr>
            <w:r>
              <w:rPr>
                <w:spacing w:val="3"/>
              </w:rPr>
              <w:t>预测</w:t>
            </w:r>
          </w:p>
        </w:tc>
        <w:tc>
          <w:tcPr>
            <w:tcW w:w="1133" w:type="dxa"/>
            <w:vAlign w:val="top"/>
          </w:tcPr>
          <w:p w14:paraId="6CA8FCE5">
            <w:pPr>
              <w:pStyle w:val="6"/>
              <w:spacing w:before="66" w:line="228" w:lineRule="auto"/>
              <w:ind w:left="151"/>
            </w:pPr>
            <w:r>
              <w:rPr>
                <w:spacing w:val="6"/>
              </w:rPr>
              <w:t>预测范围</w:t>
            </w:r>
          </w:p>
        </w:tc>
        <w:tc>
          <w:tcPr>
            <w:tcW w:w="6715" w:type="dxa"/>
            <w:gridSpan w:val="8"/>
            <w:vAlign w:val="top"/>
          </w:tcPr>
          <w:p w14:paraId="2F4192D7">
            <w:pPr>
              <w:pStyle w:val="6"/>
              <w:spacing w:before="66" w:line="228" w:lineRule="auto"/>
              <w:ind w:left="643"/>
              <w:rPr>
                <w:rFonts w:ascii="Times New Roman" w:hAnsi="Times New Roman" w:eastAsia="Times New Roman" w:cs="Times New Roman"/>
                <w:sz w:val="13"/>
                <w:szCs w:val="13"/>
              </w:rPr>
            </w:pPr>
            <w:r>
              <w:rPr>
                <w:spacing w:val="10"/>
              </w:rPr>
              <w:t>河流：长度</w:t>
            </w:r>
            <w:r>
              <w:rPr>
                <w:spacing w:val="-9"/>
              </w:rPr>
              <w:t>（）</w:t>
            </w:r>
            <w:r>
              <w:rPr>
                <w:spacing w:val="-57"/>
              </w:rPr>
              <w:t xml:space="preserve"> </w:t>
            </w:r>
            <w:r>
              <w:rPr>
                <w:rFonts w:ascii="Times New Roman" w:hAnsi="Times New Roman" w:eastAsia="Times New Roman" w:cs="Times New Roman"/>
              </w:rPr>
              <w:t>km</w:t>
            </w:r>
            <w:r>
              <w:rPr>
                <w:spacing w:val="10"/>
              </w:rPr>
              <w:t>；湖库、河口及近岸海域：面积</w:t>
            </w:r>
            <w:r>
              <w:rPr>
                <w:spacing w:val="-9"/>
              </w:rPr>
              <w:t>（）</w:t>
            </w:r>
            <w:r>
              <w:rPr>
                <w:spacing w:val="-57"/>
              </w:rPr>
              <w:t xml:space="preserve"> </w:t>
            </w:r>
            <w:r>
              <w:rPr>
                <w:rFonts w:ascii="Times New Roman" w:hAnsi="Times New Roman" w:eastAsia="Times New Roman" w:cs="Times New Roman"/>
              </w:rPr>
              <w:t>km</w:t>
            </w:r>
            <w:r>
              <w:rPr>
                <w:rFonts w:ascii="Times New Roman" w:hAnsi="Times New Roman" w:eastAsia="Times New Roman" w:cs="Times New Roman"/>
                <w:spacing w:val="10"/>
                <w:position w:val="6"/>
                <w:sz w:val="13"/>
                <w:szCs w:val="13"/>
              </w:rPr>
              <w:t>2</w:t>
            </w:r>
          </w:p>
        </w:tc>
      </w:tr>
      <w:tr w14:paraId="7B2DE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continue"/>
            <w:tcBorders>
              <w:top w:val="nil"/>
              <w:bottom w:val="nil"/>
            </w:tcBorders>
            <w:vAlign w:val="top"/>
          </w:tcPr>
          <w:p w14:paraId="1F770DF1">
            <w:pPr>
              <w:rPr>
                <w:rFonts w:ascii="Arial"/>
                <w:sz w:val="21"/>
              </w:rPr>
            </w:pPr>
          </w:p>
        </w:tc>
        <w:tc>
          <w:tcPr>
            <w:tcW w:w="1133" w:type="dxa"/>
            <w:vAlign w:val="top"/>
          </w:tcPr>
          <w:p w14:paraId="0A988F15">
            <w:pPr>
              <w:pStyle w:val="6"/>
              <w:spacing w:before="67" w:line="228" w:lineRule="auto"/>
              <w:ind w:left="151"/>
            </w:pPr>
            <w:r>
              <w:rPr>
                <w:spacing w:val="6"/>
              </w:rPr>
              <w:t>预测因子</w:t>
            </w:r>
          </w:p>
        </w:tc>
        <w:tc>
          <w:tcPr>
            <w:tcW w:w="6715" w:type="dxa"/>
            <w:gridSpan w:val="8"/>
            <w:vAlign w:val="top"/>
          </w:tcPr>
          <w:p w14:paraId="260F7B0E">
            <w:pPr>
              <w:pStyle w:val="6"/>
              <w:spacing w:before="66" w:line="231" w:lineRule="auto"/>
              <w:ind w:left="3262"/>
            </w:pPr>
            <w:r>
              <w:rPr>
                <w:spacing w:val="-10"/>
              </w:rPr>
              <w:t>()</w:t>
            </w:r>
          </w:p>
        </w:tc>
      </w:tr>
      <w:tr w14:paraId="15EED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tcBorders>
            <w:vAlign w:val="top"/>
          </w:tcPr>
          <w:p w14:paraId="755B23F5">
            <w:pPr>
              <w:rPr>
                <w:rFonts w:ascii="Arial"/>
                <w:sz w:val="21"/>
              </w:rPr>
            </w:pPr>
          </w:p>
        </w:tc>
        <w:tc>
          <w:tcPr>
            <w:tcW w:w="1133" w:type="dxa"/>
            <w:vAlign w:val="top"/>
          </w:tcPr>
          <w:p w14:paraId="70E77E1D">
            <w:pPr>
              <w:pStyle w:val="6"/>
              <w:spacing w:before="209" w:line="228" w:lineRule="auto"/>
              <w:ind w:left="151"/>
            </w:pPr>
            <w:r>
              <w:rPr>
                <w:spacing w:val="6"/>
              </w:rPr>
              <w:t>预测时期</w:t>
            </w:r>
          </w:p>
        </w:tc>
        <w:tc>
          <w:tcPr>
            <w:tcW w:w="6715" w:type="dxa"/>
            <w:gridSpan w:val="8"/>
            <w:vAlign w:val="top"/>
          </w:tcPr>
          <w:p w14:paraId="35540EAE">
            <w:pPr>
              <w:pStyle w:val="6"/>
              <w:spacing w:before="53" w:line="261" w:lineRule="auto"/>
              <w:ind w:left="1741" w:right="1318" w:hanging="418"/>
              <w:rPr>
                <w:rFonts w:ascii="Times New Roman" w:hAnsi="Times New Roman" w:eastAsia="Times New Roman" w:cs="Times New Roman"/>
              </w:rPr>
            </w:pPr>
            <w:r>
              <w:rPr>
                <w:spacing w:val="1"/>
              </w:rPr>
              <w:t xml:space="preserve">丰水期 </w:t>
            </w:r>
            <w:r>
              <w:rPr>
                <w:rFonts w:ascii="Times New Roman" w:hAnsi="Times New Roman" w:eastAsia="Times New Roman" w:cs="Times New Roman"/>
                <w:spacing w:val="1"/>
              </w:rPr>
              <w:t>□</w:t>
            </w:r>
            <w:r>
              <w:rPr>
                <w:rFonts w:ascii="Times New Roman" w:hAnsi="Times New Roman" w:eastAsia="Times New Roman" w:cs="Times New Roman"/>
                <w:spacing w:val="-7"/>
              </w:rPr>
              <w:t xml:space="preserve"> </w:t>
            </w:r>
            <w:r>
              <w:rPr>
                <w:spacing w:val="1"/>
              </w:rPr>
              <w:t>；平水期</w:t>
            </w:r>
            <w:r>
              <w:rPr>
                <w:spacing w:val="20"/>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2"/>
              </w:rPr>
              <w:t xml:space="preserve"> </w:t>
            </w:r>
            <w:r>
              <w:rPr>
                <w:spacing w:val="1"/>
              </w:rPr>
              <w:t>；枯水期</w:t>
            </w:r>
            <w:r>
              <w:rPr>
                <w:spacing w:val="22"/>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；冰封期</w:t>
            </w:r>
            <w:r>
              <w:rPr>
                <w:spacing w:val="23"/>
              </w:rPr>
              <w:t xml:space="preserve"> </w:t>
            </w:r>
            <w:r>
              <w:rPr>
                <w:rFonts w:ascii="Times New Roman" w:hAnsi="Times New Roman" w:eastAsia="Times New Roman" w:cs="Times New Roman"/>
                <w:spacing w:val="1"/>
              </w:rPr>
              <w:t>□</w:t>
            </w:r>
            <w:r>
              <w:rPr>
                <w:rFonts w:ascii="Times New Roman" w:hAnsi="Times New Roman" w:eastAsia="Times New Roman" w:cs="Times New Roman"/>
              </w:rPr>
              <w:t xml:space="preserve"> </w:t>
            </w:r>
            <w:r>
              <w:t xml:space="preserve">春季 </w:t>
            </w:r>
            <w:r>
              <w:rPr>
                <w:rFonts w:ascii="Times New Roman" w:hAnsi="Times New Roman" w:eastAsia="Times New Roman" w:cs="Times New Roman"/>
              </w:rPr>
              <w:t>□</w:t>
            </w:r>
            <w:r>
              <w:rPr>
                <w:rFonts w:ascii="Times New Roman" w:hAnsi="Times New Roman" w:eastAsia="Times New Roman" w:cs="Times New Roman"/>
                <w:spacing w:val="-13"/>
              </w:rPr>
              <w:t xml:space="preserve"> </w:t>
            </w:r>
            <w:r>
              <w:t>；夏季</w:t>
            </w:r>
            <w:r>
              <w:rPr>
                <w:spacing w:val="20"/>
              </w:rPr>
              <w:t xml:space="preserve"> </w:t>
            </w:r>
            <w:r>
              <w:rPr>
                <w:rFonts w:ascii="Times New Roman" w:hAnsi="Times New Roman" w:eastAsia="Times New Roman" w:cs="Times New Roman"/>
              </w:rPr>
              <w:t>□</w:t>
            </w:r>
            <w:r>
              <w:rPr>
                <w:rFonts w:ascii="Times New Roman" w:hAnsi="Times New Roman" w:eastAsia="Times New Roman" w:cs="Times New Roman"/>
                <w:spacing w:val="-23"/>
              </w:rPr>
              <w:t xml:space="preserve"> </w:t>
            </w:r>
            <w:r>
              <w:t>；秋季</w:t>
            </w:r>
            <w:r>
              <w:rPr>
                <w:spacing w:val="23"/>
              </w:rPr>
              <w:t xml:space="preserve"> </w:t>
            </w:r>
            <w:r>
              <w:rPr>
                <w:rFonts w:ascii="Times New Roman" w:hAnsi="Times New Roman" w:eastAsia="Times New Roman" w:cs="Times New Roman"/>
              </w:rPr>
              <w:t>□</w:t>
            </w:r>
            <w:r>
              <w:rPr>
                <w:rFonts w:ascii="Times New Roman" w:hAnsi="Times New Roman" w:eastAsia="Times New Roman" w:cs="Times New Roman"/>
                <w:spacing w:val="-26"/>
              </w:rPr>
              <w:t xml:space="preserve"> </w:t>
            </w:r>
            <w:r>
              <w:t>；冬季</w:t>
            </w:r>
            <w:r>
              <w:rPr>
                <w:spacing w:val="23"/>
              </w:rPr>
              <w:t xml:space="preserve"> </w:t>
            </w:r>
            <w:r>
              <w:rPr>
                <w:rFonts w:ascii="Times New Roman" w:hAnsi="Times New Roman" w:eastAsia="Times New Roman" w:cs="Times New Roman"/>
              </w:rPr>
              <w:t>□</w:t>
            </w:r>
          </w:p>
        </w:tc>
      </w:tr>
      <w:tr w14:paraId="612C7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2" w:type="dxa"/>
            <w:gridSpan w:val="2"/>
            <w:vAlign w:val="top"/>
          </w:tcPr>
          <w:p w14:paraId="766D986F">
            <w:pPr>
              <w:pStyle w:val="6"/>
              <w:spacing w:before="66" w:line="228" w:lineRule="auto"/>
              <w:ind w:left="495"/>
            </w:pPr>
            <w:r>
              <w:rPr>
                <w:spacing w:val="6"/>
              </w:rPr>
              <w:t>工作内容</w:t>
            </w:r>
          </w:p>
        </w:tc>
        <w:tc>
          <w:tcPr>
            <w:tcW w:w="6715" w:type="dxa"/>
            <w:gridSpan w:val="8"/>
            <w:vAlign w:val="top"/>
          </w:tcPr>
          <w:p w14:paraId="38009DCA">
            <w:pPr>
              <w:pStyle w:val="6"/>
              <w:spacing w:before="67" w:line="228" w:lineRule="auto"/>
              <w:ind w:left="2975"/>
            </w:pPr>
            <w:r>
              <w:rPr>
                <w:spacing w:val="-2"/>
              </w:rPr>
              <w:t>自查项目</w:t>
            </w:r>
          </w:p>
        </w:tc>
      </w:tr>
      <w:tr w14:paraId="22885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9" w:type="dxa"/>
            <w:vMerge w:val="restart"/>
            <w:tcBorders>
              <w:bottom w:val="nil"/>
            </w:tcBorders>
            <w:vAlign w:val="top"/>
          </w:tcPr>
          <w:p w14:paraId="4912201F">
            <w:pPr>
              <w:rPr>
                <w:rFonts w:ascii="Arial"/>
                <w:sz w:val="21"/>
              </w:rPr>
            </w:pPr>
          </w:p>
        </w:tc>
        <w:tc>
          <w:tcPr>
            <w:tcW w:w="1133" w:type="dxa"/>
            <w:vAlign w:val="top"/>
          </w:tcPr>
          <w:p w14:paraId="3A033F00">
            <w:pPr>
              <w:pStyle w:val="6"/>
              <w:spacing w:before="67" w:line="228" w:lineRule="auto"/>
              <w:ind w:left="151"/>
            </w:pPr>
            <w:r>
              <w:rPr>
                <w:spacing w:val="6"/>
              </w:rPr>
              <w:t>预测时期</w:t>
            </w:r>
          </w:p>
        </w:tc>
        <w:tc>
          <w:tcPr>
            <w:tcW w:w="6715" w:type="dxa"/>
            <w:gridSpan w:val="8"/>
            <w:vAlign w:val="top"/>
          </w:tcPr>
          <w:p w14:paraId="5D5005D7">
            <w:pPr>
              <w:pStyle w:val="6"/>
              <w:spacing w:before="66" w:line="228" w:lineRule="auto"/>
              <w:ind w:left="2620"/>
              <w:rPr>
                <w:rFonts w:ascii="Times New Roman" w:hAnsi="Times New Roman" w:eastAsia="Times New Roman" w:cs="Times New Roman"/>
              </w:rPr>
            </w:pPr>
            <w:r>
              <w:rPr>
                <w:spacing w:val="6"/>
              </w:rPr>
              <w:t>设计水文条件</w:t>
            </w:r>
            <w:r>
              <w:rPr>
                <w:spacing w:val="23"/>
              </w:rPr>
              <w:t xml:space="preserve"> </w:t>
            </w:r>
            <w:r>
              <w:rPr>
                <w:rFonts w:ascii="Times New Roman" w:hAnsi="Times New Roman" w:eastAsia="Times New Roman" w:cs="Times New Roman"/>
                <w:spacing w:val="6"/>
              </w:rPr>
              <w:t>□</w:t>
            </w:r>
          </w:p>
        </w:tc>
      </w:tr>
      <w:tr w14:paraId="5571A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79" w:type="dxa"/>
            <w:vMerge w:val="continue"/>
            <w:tcBorders>
              <w:top w:val="nil"/>
              <w:bottom w:val="nil"/>
            </w:tcBorders>
            <w:vAlign w:val="top"/>
          </w:tcPr>
          <w:p w14:paraId="1A54A2FF">
            <w:pPr>
              <w:rPr>
                <w:rFonts w:ascii="Arial"/>
                <w:sz w:val="21"/>
              </w:rPr>
            </w:pPr>
          </w:p>
        </w:tc>
        <w:tc>
          <w:tcPr>
            <w:tcW w:w="1133" w:type="dxa"/>
            <w:vAlign w:val="top"/>
          </w:tcPr>
          <w:p w14:paraId="5CDA1C82">
            <w:pPr>
              <w:spacing w:line="453" w:lineRule="auto"/>
              <w:rPr>
                <w:rFonts w:ascii="Arial"/>
                <w:sz w:val="21"/>
              </w:rPr>
            </w:pPr>
          </w:p>
          <w:p w14:paraId="39692458">
            <w:pPr>
              <w:pStyle w:val="6"/>
              <w:spacing w:before="65" w:line="228" w:lineRule="auto"/>
              <w:ind w:left="151"/>
            </w:pPr>
            <w:r>
              <w:rPr>
                <w:spacing w:val="6"/>
              </w:rPr>
              <w:t>预测情景</w:t>
            </w:r>
          </w:p>
        </w:tc>
        <w:tc>
          <w:tcPr>
            <w:tcW w:w="6715" w:type="dxa"/>
            <w:gridSpan w:val="8"/>
            <w:vAlign w:val="top"/>
          </w:tcPr>
          <w:p w14:paraId="05B7D321">
            <w:pPr>
              <w:pStyle w:val="6"/>
              <w:spacing w:before="52" w:line="228" w:lineRule="auto"/>
              <w:ind w:left="1440"/>
              <w:rPr>
                <w:rFonts w:ascii="Times New Roman" w:hAnsi="Times New Roman" w:eastAsia="Times New Roman" w:cs="Times New Roman"/>
              </w:rPr>
            </w:pPr>
            <w:r>
              <w:rPr>
                <w:spacing w:val="4"/>
              </w:rPr>
              <w:t xml:space="preserve">建设期 </w:t>
            </w:r>
            <w:r>
              <w:rPr>
                <w:rFonts w:ascii="Times New Roman" w:hAnsi="Times New Roman" w:eastAsia="Times New Roman" w:cs="Times New Roman"/>
                <w:spacing w:val="4"/>
              </w:rPr>
              <w:t>□</w:t>
            </w:r>
            <w:r>
              <w:rPr>
                <w:rFonts w:ascii="Times New Roman" w:hAnsi="Times New Roman" w:eastAsia="Times New Roman" w:cs="Times New Roman"/>
                <w:spacing w:val="-17"/>
              </w:rPr>
              <w:t xml:space="preserve"> </w:t>
            </w:r>
            <w:r>
              <w:rPr>
                <w:spacing w:val="4"/>
              </w:rPr>
              <w:t>；生产运行期</w:t>
            </w:r>
            <w:r>
              <w:rPr>
                <w:spacing w:val="22"/>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；服务期满后</w:t>
            </w:r>
            <w:r>
              <w:rPr>
                <w:spacing w:val="21"/>
              </w:rPr>
              <w:t xml:space="preserve"> </w:t>
            </w:r>
            <w:r>
              <w:rPr>
                <w:rFonts w:ascii="Times New Roman" w:hAnsi="Times New Roman" w:eastAsia="Times New Roman" w:cs="Times New Roman"/>
                <w:spacing w:val="4"/>
              </w:rPr>
              <w:t>□</w:t>
            </w:r>
          </w:p>
          <w:p w14:paraId="1DA86041">
            <w:pPr>
              <w:pStyle w:val="6"/>
              <w:spacing w:before="65" w:line="228" w:lineRule="auto"/>
              <w:ind w:left="2083"/>
              <w:rPr>
                <w:rFonts w:ascii="Times New Roman" w:hAnsi="Times New Roman" w:eastAsia="Times New Roman" w:cs="Times New Roman"/>
              </w:rPr>
            </w:pPr>
            <w:r>
              <w:rPr>
                <w:spacing w:val="5"/>
              </w:rPr>
              <w:t xml:space="preserve">正常工况 </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；非正常工况</w:t>
            </w:r>
            <w:r>
              <w:rPr>
                <w:spacing w:val="20"/>
              </w:rPr>
              <w:t xml:space="preserve"> </w:t>
            </w:r>
            <w:r>
              <w:rPr>
                <w:rFonts w:ascii="Times New Roman" w:hAnsi="Times New Roman" w:eastAsia="Times New Roman" w:cs="Times New Roman"/>
                <w:spacing w:val="5"/>
              </w:rPr>
              <w:t>□</w:t>
            </w:r>
          </w:p>
          <w:p w14:paraId="3CE34D26">
            <w:pPr>
              <w:pStyle w:val="6"/>
              <w:spacing w:before="64" w:line="228" w:lineRule="auto"/>
              <w:ind w:left="2092"/>
              <w:rPr>
                <w:rFonts w:ascii="Times New Roman" w:hAnsi="Times New Roman" w:eastAsia="Times New Roman" w:cs="Times New Roman"/>
              </w:rPr>
            </w:pPr>
            <w:r>
              <w:rPr>
                <w:spacing w:val="9"/>
              </w:rPr>
              <w:t xml:space="preserve">污染控制和减缓措施方案 </w:t>
            </w:r>
            <w:r>
              <w:rPr>
                <w:rFonts w:ascii="Times New Roman" w:hAnsi="Times New Roman" w:eastAsia="Times New Roman" w:cs="Times New Roman"/>
                <w:spacing w:val="9"/>
              </w:rPr>
              <w:t>□</w:t>
            </w:r>
          </w:p>
          <w:p w14:paraId="7569624B">
            <w:pPr>
              <w:pStyle w:val="6"/>
              <w:spacing w:before="64" w:line="228" w:lineRule="auto"/>
              <w:ind w:left="1475"/>
              <w:rPr>
                <w:rFonts w:ascii="Times New Roman" w:hAnsi="Times New Roman" w:eastAsia="Times New Roman" w:cs="Times New Roman"/>
              </w:rPr>
            </w:pPr>
            <w:r>
              <w:rPr>
                <w:spacing w:val="8"/>
              </w:rPr>
              <w:t xml:space="preserve">区（流）域环境质量改善目标要求情景 </w:t>
            </w:r>
            <w:r>
              <w:rPr>
                <w:rFonts w:ascii="Times New Roman" w:hAnsi="Times New Roman" w:eastAsia="Times New Roman" w:cs="Times New Roman"/>
                <w:spacing w:val="8"/>
              </w:rPr>
              <w:t>□</w:t>
            </w:r>
          </w:p>
        </w:tc>
      </w:tr>
      <w:tr w14:paraId="3ED9C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tcBorders>
            <w:vAlign w:val="top"/>
          </w:tcPr>
          <w:p w14:paraId="4C536B0B">
            <w:pPr>
              <w:rPr>
                <w:rFonts w:ascii="Arial"/>
                <w:sz w:val="21"/>
              </w:rPr>
            </w:pPr>
          </w:p>
        </w:tc>
        <w:tc>
          <w:tcPr>
            <w:tcW w:w="1133" w:type="dxa"/>
            <w:vAlign w:val="top"/>
          </w:tcPr>
          <w:p w14:paraId="0419C27D">
            <w:pPr>
              <w:pStyle w:val="6"/>
              <w:spacing w:before="210" w:line="228" w:lineRule="auto"/>
              <w:ind w:left="151"/>
            </w:pPr>
            <w:r>
              <w:rPr>
                <w:spacing w:val="6"/>
              </w:rPr>
              <w:t>预测方法</w:t>
            </w:r>
          </w:p>
        </w:tc>
        <w:tc>
          <w:tcPr>
            <w:tcW w:w="6715" w:type="dxa"/>
            <w:gridSpan w:val="8"/>
            <w:vAlign w:val="top"/>
          </w:tcPr>
          <w:p w14:paraId="0C5033E6">
            <w:pPr>
              <w:pStyle w:val="6"/>
              <w:spacing w:before="53" w:line="261" w:lineRule="auto"/>
              <w:ind w:left="2189" w:right="1959" w:hanging="224"/>
              <w:rPr>
                <w:rFonts w:ascii="Times New Roman" w:hAnsi="Times New Roman" w:eastAsia="Times New Roman" w:cs="Times New Roman"/>
              </w:rPr>
            </w:pPr>
            <w:r>
              <w:rPr>
                <w:spacing w:val="1"/>
              </w:rPr>
              <w:t xml:space="preserve">数值解 </w:t>
            </w:r>
            <w:r>
              <w:rPr>
                <w:rFonts w:ascii="Times New Roman" w:hAnsi="Times New Roman" w:eastAsia="Times New Roman" w:cs="Times New Roman"/>
                <w:spacing w:val="1"/>
              </w:rPr>
              <w:t>□</w:t>
            </w:r>
            <w:r>
              <w:rPr>
                <w:rFonts w:ascii="Times New Roman" w:hAnsi="Times New Roman" w:eastAsia="Times New Roman" w:cs="Times New Roman"/>
                <w:spacing w:val="-13"/>
              </w:rPr>
              <w:t xml:space="preserve"> </w:t>
            </w:r>
            <w:r>
              <w:rPr>
                <w:spacing w:val="1"/>
              </w:rPr>
              <w:t>；解析解</w:t>
            </w:r>
            <w:r>
              <w:rPr>
                <w:spacing w:val="21"/>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；其他</w:t>
            </w:r>
            <w:r>
              <w:rPr>
                <w:spacing w:val="22"/>
              </w:rPr>
              <w:t xml:space="preserve"> </w:t>
            </w:r>
            <w:r>
              <w:rPr>
                <w:rFonts w:ascii="Times New Roman" w:hAnsi="Times New Roman" w:eastAsia="Times New Roman" w:cs="Times New Roman"/>
                <w:spacing w:val="1"/>
              </w:rPr>
              <w:t>□</w:t>
            </w:r>
            <w:r>
              <w:rPr>
                <w:rFonts w:ascii="Times New Roman" w:hAnsi="Times New Roman" w:eastAsia="Times New Roman" w:cs="Times New Roman"/>
              </w:rPr>
              <w:t xml:space="preserve"> </w:t>
            </w:r>
            <w:r>
              <w:rPr>
                <w:spacing w:val="3"/>
              </w:rPr>
              <w:t>导则推荐模式</w:t>
            </w:r>
            <w:r>
              <w:rPr>
                <w:spacing w:val="26"/>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26"/>
              </w:rPr>
              <w:t xml:space="preserve"> </w:t>
            </w:r>
            <w:r>
              <w:rPr>
                <w:spacing w:val="3"/>
              </w:rPr>
              <w:t>；其他</w:t>
            </w:r>
            <w:r>
              <w:rPr>
                <w:spacing w:val="23"/>
              </w:rPr>
              <w:t xml:space="preserve"> </w:t>
            </w:r>
            <w:r>
              <w:rPr>
                <w:rFonts w:ascii="Times New Roman" w:hAnsi="Times New Roman" w:eastAsia="Times New Roman" w:cs="Times New Roman"/>
                <w:spacing w:val="3"/>
              </w:rPr>
              <w:t>□</w:t>
            </w:r>
          </w:p>
        </w:tc>
      </w:tr>
      <w:tr w14:paraId="608A3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679" w:type="dxa"/>
            <w:vMerge w:val="restart"/>
            <w:tcBorders>
              <w:bottom w:val="nil"/>
            </w:tcBorders>
            <w:vAlign w:val="top"/>
          </w:tcPr>
          <w:p w14:paraId="368E784F">
            <w:pPr>
              <w:rPr>
                <w:rFonts w:ascii="Arial"/>
                <w:sz w:val="21"/>
              </w:rPr>
            </w:pPr>
          </w:p>
          <w:p w14:paraId="16288C92">
            <w:pPr>
              <w:rPr>
                <w:rFonts w:ascii="Arial"/>
                <w:sz w:val="21"/>
              </w:rPr>
            </w:pPr>
          </w:p>
          <w:p w14:paraId="71EF8F1C">
            <w:pPr>
              <w:rPr>
                <w:rFonts w:ascii="Arial"/>
                <w:sz w:val="21"/>
              </w:rPr>
            </w:pPr>
          </w:p>
          <w:p w14:paraId="2AC2E8A1">
            <w:pPr>
              <w:rPr>
                <w:rFonts w:ascii="Arial"/>
                <w:sz w:val="21"/>
              </w:rPr>
            </w:pPr>
          </w:p>
          <w:p w14:paraId="7EDFF9A2">
            <w:pPr>
              <w:rPr>
                <w:rFonts w:ascii="Arial"/>
                <w:sz w:val="21"/>
              </w:rPr>
            </w:pPr>
          </w:p>
          <w:p w14:paraId="10B2BA00">
            <w:pPr>
              <w:rPr>
                <w:rFonts w:ascii="Arial"/>
                <w:sz w:val="21"/>
              </w:rPr>
            </w:pPr>
          </w:p>
          <w:p w14:paraId="430236F8">
            <w:pPr>
              <w:spacing w:line="241" w:lineRule="auto"/>
              <w:rPr>
                <w:rFonts w:ascii="Arial"/>
                <w:sz w:val="21"/>
              </w:rPr>
            </w:pPr>
          </w:p>
          <w:p w14:paraId="2EC09F14">
            <w:pPr>
              <w:spacing w:line="241" w:lineRule="auto"/>
              <w:rPr>
                <w:rFonts w:ascii="Arial"/>
                <w:sz w:val="21"/>
              </w:rPr>
            </w:pPr>
          </w:p>
          <w:p w14:paraId="0B6665D0">
            <w:pPr>
              <w:spacing w:line="241" w:lineRule="auto"/>
              <w:rPr>
                <w:rFonts w:ascii="Arial"/>
                <w:sz w:val="21"/>
              </w:rPr>
            </w:pPr>
          </w:p>
          <w:p w14:paraId="7A028601">
            <w:pPr>
              <w:spacing w:line="241" w:lineRule="auto"/>
              <w:rPr>
                <w:rFonts w:ascii="Arial"/>
                <w:sz w:val="21"/>
              </w:rPr>
            </w:pPr>
          </w:p>
          <w:p w14:paraId="4A5F500E">
            <w:pPr>
              <w:spacing w:line="241" w:lineRule="auto"/>
              <w:rPr>
                <w:rFonts w:ascii="Arial"/>
                <w:sz w:val="21"/>
              </w:rPr>
            </w:pPr>
          </w:p>
          <w:p w14:paraId="1ACBB2C2">
            <w:pPr>
              <w:spacing w:line="241" w:lineRule="auto"/>
              <w:rPr>
                <w:rFonts w:ascii="Arial"/>
                <w:sz w:val="21"/>
              </w:rPr>
            </w:pPr>
          </w:p>
          <w:p w14:paraId="6F75178C">
            <w:pPr>
              <w:spacing w:line="241" w:lineRule="auto"/>
              <w:rPr>
                <w:rFonts w:ascii="Arial"/>
                <w:sz w:val="21"/>
              </w:rPr>
            </w:pPr>
          </w:p>
          <w:p w14:paraId="20C9E1DD">
            <w:pPr>
              <w:spacing w:line="241" w:lineRule="auto"/>
              <w:rPr>
                <w:rFonts w:ascii="Arial"/>
                <w:sz w:val="21"/>
              </w:rPr>
            </w:pPr>
          </w:p>
          <w:p w14:paraId="5164BA05">
            <w:pPr>
              <w:spacing w:line="241" w:lineRule="auto"/>
              <w:rPr>
                <w:rFonts w:ascii="Arial"/>
                <w:sz w:val="21"/>
              </w:rPr>
            </w:pPr>
          </w:p>
          <w:p w14:paraId="1A0A94B6">
            <w:pPr>
              <w:spacing w:line="241" w:lineRule="auto"/>
              <w:rPr>
                <w:rFonts w:ascii="Arial"/>
                <w:sz w:val="21"/>
              </w:rPr>
            </w:pPr>
          </w:p>
          <w:p w14:paraId="1E660D1D">
            <w:pPr>
              <w:spacing w:line="241" w:lineRule="auto"/>
              <w:rPr>
                <w:rFonts w:ascii="Arial"/>
                <w:sz w:val="21"/>
              </w:rPr>
            </w:pPr>
          </w:p>
          <w:p w14:paraId="5B86145A">
            <w:pPr>
              <w:pStyle w:val="6"/>
              <w:spacing w:before="65" w:line="230" w:lineRule="auto"/>
              <w:ind w:left="135"/>
            </w:pPr>
            <w:r>
              <w:rPr>
                <w:spacing w:val="4"/>
              </w:rPr>
              <w:t>影响</w:t>
            </w:r>
          </w:p>
          <w:p w14:paraId="518635B2">
            <w:pPr>
              <w:pStyle w:val="6"/>
              <w:spacing w:before="63" w:line="226" w:lineRule="auto"/>
              <w:ind w:left="134"/>
            </w:pPr>
            <w:r>
              <w:rPr>
                <w:spacing w:val="5"/>
              </w:rPr>
              <w:t>评价</w:t>
            </w:r>
          </w:p>
        </w:tc>
        <w:tc>
          <w:tcPr>
            <w:tcW w:w="1133" w:type="dxa"/>
            <w:vAlign w:val="top"/>
          </w:tcPr>
          <w:p w14:paraId="6B85864B">
            <w:pPr>
              <w:pStyle w:val="6"/>
              <w:spacing w:before="53" w:line="228" w:lineRule="auto"/>
              <w:ind w:left="152"/>
            </w:pPr>
            <w:r>
              <w:rPr>
                <w:spacing w:val="6"/>
              </w:rPr>
              <w:t>水污染控</w:t>
            </w:r>
          </w:p>
          <w:p w14:paraId="5D68A099">
            <w:pPr>
              <w:pStyle w:val="6"/>
              <w:spacing w:before="64" w:line="228" w:lineRule="auto"/>
              <w:ind w:left="150"/>
            </w:pPr>
            <w:r>
              <w:rPr>
                <w:spacing w:val="7"/>
              </w:rPr>
              <w:t>制和水环</w:t>
            </w:r>
          </w:p>
          <w:p w14:paraId="59C425E5">
            <w:pPr>
              <w:pStyle w:val="6"/>
              <w:spacing w:before="65" w:line="228" w:lineRule="auto"/>
              <w:ind w:left="150"/>
            </w:pPr>
            <w:r>
              <w:rPr>
                <w:spacing w:val="7"/>
              </w:rPr>
              <w:t>境影响减</w:t>
            </w:r>
          </w:p>
          <w:p w14:paraId="5249BF84">
            <w:pPr>
              <w:pStyle w:val="6"/>
              <w:spacing w:before="64" w:line="228" w:lineRule="auto"/>
              <w:ind w:left="152"/>
            </w:pPr>
            <w:r>
              <w:rPr>
                <w:spacing w:val="6"/>
              </w:rPr>
              <w:t>缓措施有</w:t>
            </w:r>
          </w:p>
          <w:p w14:paraId="78A3C324">
            <w:pPr>
              <w:pStyle w:val="6"/>
              <w:spacing w:before="65" w:line="226" w:lineRule="auto"/>
              <w:ind w:left="154"/>
            </w:pPr>
            <w:r>
              <w:rPr>
                <w:spacing w:val="6"/>
              </w:rPr>
              <w:t>效性评价</w:t>
            </w:r>
          </w:p>
        </w:tc>
        <w:tc>
          <w:tcPr>
            <w:tcW w:w="6715" w:type="dxa"/>
            <w:gridSpan w:val="8"/>
            <w:vAlign w:val="top"/>
          </w:tcPr>
          <w:p w14:paraId="07ABED50">
            <w:pPr>
              <w:spacing w:line="304" w:lineRule="auto"/>
              <w:rPr>
                <w:rFonts w:ascii="Arial"/>
                <w:sz w:val="21"/>
              </w:rPr>
            </w:pPr>
          </w:p>
          <w:p w14:paraId="0AD6EDEC">
            <w:pPr>
              <w:spacing w:line="304" w:lineRule="auto"/>
              <w:rPr>
                <w:rFonts w:ascii="Arial"/>
                <w:sz w:val="21"/>
              </w:rPr>
            </w:pPr>
          </w:p>
          <w:p w14:paraId="0AFC1250">
            <w:pPr>
              <w:pStyle w:val="6"/>
              <w:spacing w:before="65" w:line="228" w:lineRule="auto"/>
              <w:ind w:left="1045"/>
              <w:rPr>
                <w:rFonts w:ascii="Times New Roman" w:hAnsi="Times New Roman" w:eastAsia="Times New Roman" w:cs="Times New Roman"/>
              </w:rPr>
            </w:pPr>
            <w:r>
              <w:rPr>
                <w:spacing w:val="7"/>
              </w:rPr>
              <w:t xml:space="preserve">区（流）域水环境质量改善目标 </w:t>
            </w:r>
            <w:r>
              <w:rPr>
                <w:rFonts w:ascii="Times New Roman" w:hAnsi="Times New Roman" w:eastAsia="Times New Roman" w:cs="Times New Roman"/>
                <w:spacing w:val="7"/>
              </w:rPr>
              <w:t>□</w:t>
            </w:r>
            <w:r>
              <w:rPr>
                <w:rFonts w:ascii="Times New Roman" w:hAnsi="Times New Roman" w:eastAsia="Times New Roman" w:cs="Times New Roman"/>
                <w:spacing w:val="-13"/>
              </w:rPr>
              <w:t xml:space="preserve"> </w:t>
            </w:r>
            <w:r>
              <w:rPr>
                <w:spacing w:val="7"/>
              </w:rPr>
              <w:t xml:space="preserve">；替代削减源 </w:t>
            </w:r>
            <w:r>
              <w:rPr>
                <w:rFonts w:ascii="Times New Roman" w:hAnsi="Times New Roman" w:eastAsia="Times New Roman" w:cs="Times New Roman"/>
                <w:spacing w:val="7"/>
              </w:rPr>
              <w:t>□</w:t>
            </w:r>
          </w:p>
        </w:tc>
      </w:tr>
      <w:tr w14:paraId="63799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679" w:type="dxa"/>
            <w:vMerge w:val="continue"/>
            <w:tcBorders>
              <w:top w:val="nil"/>
              <w:bottom w:val="nil"/>
            </w:tcBorders>
            <w:vAlign w:val="top"/>
          </w:tcPr>
          <w:p w14:paraId="5E3D0519">
            <w:pPr>
              <w:rPr>
                <w:rFonts w:ascii="Arial"/>
                <w:sz w:val="21"/>
              </w:rPr>
            </w:pPr>
          </w:p>
        </w:tc>
        <w:tc>
          <w:tcPr>
            <w:tcW w:w="1133" w:type="dxa"/>
            <w:vAlign w:val="top"/>
          </w:tcPr>
          <w:p w14:paraId="2BFFF4EC">
            <w:pPr>
              <w:spacing w:line="242" w:lineRule="auto"/>
              <w:rPr>
                <w:rFonts w:ascii="Arial"/>
                <w:sz w:val="21"/>
              </w:rPr>
            </w:pPr>
          </w:p>
          <w:p w14:paraId="67BF1D73">
            <w:pPr>
              <w:spacing w:line="242" w:lineRule="auto"/>
              <w:rPr>
                <w:rFonts w:ascii="Arial"/>
                <w:sz w:val="21"/>
              </w:rPr>
            </w:pPr>
          </w:p>
          <w:p w14:paraId="7C21D4F4">
            <w:pPr>
              <w:spacing w:line="242" w:lineRule="auto"/>
              <w:rPr>
                <w:rFonts w:ascii="Arial"/>
                <w:sz w:val="21"/>
              </w:rPr>
            </w:pPr>
          </w:p>
          <w:p w14:paraId="53826267">
            <w:pPr>
              <w:spacing w:line="242" w:lineRule="auto"/>
              <w:rPr>
                <w:rFonts w:ascii="Arial"/>
                <w:sz w:val="21"/>
              </w:rPr>
            </w:pPr>
          </w:p>
          <w:p w14:paraId="20695A65">
            <w:pPr>
              <w:spacing w:line="242" w:lineRule="auto"/>
              <w:rPr>
                <w:rFonts w:ascii="Arial"/>
                <w:sz w:val="21"/>
              </w:rPr>
            </w:pPr>
          </w:p>
          <w:p w14:paraId="55786978">
            <w:pPr>
              <w:spacing w:line="242" w:lineRule="auto"/>
              <w:rPr>
                <w:rFonts w:ascii="Arial"/>
                <w:sz w:val="21"/>
              </w:rPr>
            </w:pPr>
          </w:p>
          <w:p w14:paraId="32F41F19">
            <w:pPr>
              <w:spacing w:line="242" w:lineRule="auto"/>
              <w:rPr>
                <w:rFonts w:ascii="Arial"/>
                <w:sz w:val="21"/>
              </w:rPr>
            </w:pPr>
          </w:p>
          <w:p w14:paraId="122BAA2F">
            <w:pPr>
              <w:pStyle w:val="6"/>
              <w:spacing w:before="65" w:line="228" w:lineRule="auto"/>
              <w:ind w:left="152"/>
            </w:pPr>
            <w:r>
              <w:rPr>
                <w:spacing w:val="6"/>
              </w:rPr>
              <w:t>水环境影</w:t>
            </w:r>
          </w:p>
          <w:p w14:paraId="36174496">
            <w:pPr>
              <w:pStyle w:val="6"/>
              <w:spacing w:before="65" w:line="226" w:lineRule="auto"/>
              <w:ind w:left="266"/>
            </w:pPr>
            <w:r>
              <w:rPr>
                <w:spacing w:val="3"/>
              </w:rPr>
              <w:t>响评价</w:t>
            </w:r>
          </w:p>
        </w:tc>
        <w:tc>
          <w:tcPr>
            <w:tcW w:w="6715" w:type="dxa"/>
            <w:gridSpan w:val="8"/>
            <w:vAlign w:val="top"/>
          </w:tcPr>
          <w:p w14:paraId="663DF73F">
            <w:pPr>
              <w:pStyle w:val="6"/>
              <w:spacing w:before="53" w:line="228" w:lineRule="auto"/>
              <w:ind w:left="113"/>
              <w:rPr>
                <w:rFonts w:ascii="Times New Roman" w:hAnsi="Times New Roman" w:eastAsia="Times New Roman" w:cs="Times New Roman"/>
              </w:rPr>
            </w:pPr>
            <w:r>
              <w:rPr>
                <w:spacing w:val="9"/>
              </w:rPr>
              <w:t xml:space="preserve">排放口混合区外满足水环境管理要求 </w:t>
            </w:r>
            <w:r>
              <w:rPr>
                <w:rFonts w:ascii="Times New Roman" w:hAnsi="Times New Roman" w:eastAsia="Times New Roman" w:cs="Times New Roman"/>
                <w:spacing w:val="9"/>
              </w:rPr>
              <w:t>□</w:t>
            </w:r>
          </w:p>
          <w:p w14:paraId="01D71EE6">
            <w:pPr>
              <w:pStyle w:val="6"/>
              <w:spacing w:before="65" w:line="228" w:lineRule="auto"/>
              <w:ind w:left="116"/>
              <w:rPr>
                <w:rFonts w:ascii="Times New Roman" w:hAnsi="Times New Roman" w:eastAsia="Times New Roman" w:cs="Times New Roman"/>
              </w:rPr>
            </w:pPr>
            <w:r>
              <w:rPr>
                <w:spacing w:val="9"/>
              </w:rPr>
              <w:t xml:space="preserve">水环境功能区或水功能区、近岸海域环境功能区水质达标 </w:t>
            </w:r>
            <w:r>
              <w:rPr>
                <w:rFonts w:ascii="Times New Roman" w:hAnsi="Times New Roman" w:eastAsia="Times New Roman" w:cs="Times New Roman"/>
                <w:spacing w:val="9"/>
              </w:rPr>
              <w:t>□</w:t>
            </w:r>
          </w:p>
          <w:p w14:paraId="29586E56">
            <w:pPr>
              <w:pStyle w:val="6"/>
              <w:spacing w:before="64" w:line="228" w:lineRule="auto"/>
              <w:ind w:left="113"/>
              <w:rPr>
                <w:rFonts w:ascii="Times New Roman" w:hAnsi="Times New Roman" w:eastAsia="Times New Roman" w:cs="Times New Roman"/>
              </w:rPr>
            </w:pPr>
            <w:r>
              <w:rPr>
                <w:spacing w:val="9"/>
              </w:rPr>
              <w:t xml:space="preserve">满足水环境保护目标水域水环境质量要求 </w:t>
            </w:r>
            <w:r>
              <w:rPr>
                <w:rFonts w:ascii="Times New Roman" w:hAnsi="Times New Roman" w:eastAsia="Times New Roman" w:cs="Times New Roman"/>
                <w:spacing w:val="9"/>
              </w:rPr>
              <w:t>□</w:t>
            </w:r>
          </w:p>
          <w:p w14:paraId="3FCCC4B4">
            <w:pPr>
              <w:pStyle w:val="6"/>
              <w:spacing w:before="65" w:line="228" w:lineRule="auto"/>
              <w:ind w:left="116"/>
              <w:rPr>
                <w:rFonts w:ascii="Times New Roman" w:hAnsi="Times New Roman" w:eastAsia="Times New Roman" w:cs="Times New Roman"/>
              </w:rPr>
            </w:pPr>
            <w:r>
              <w:rPr>
                <w:spacing w:val="9"/>
              </w:rPr>
              <w:t xml:space="preserve">水环境控制单元或断面水质达标 </w:t>
            </w:r>
            <w:r>
              <w:rPr>
                <w:rFonts w:ascii="Times New Roman" w:hAnsi="Times New Roman" w:eastAsia="Times New Roman" w:cs="Times New Roman"/>
                <w:spacing w:val="9"/>
              </w:rPr>
              <w:t>□</w:t>
            </w:r>
          </w:p>
          <w:p w14:paraId="568850AA">
            <w:pPr>
              <w:pStyle w:val="6"/>
              <w:spacing w:before="65" w:line="288" w:lineRule="auto"/>
              <w:ind w:left="113" w:right="110"/>
              <w:rPr>
                <w:rFonts w:ascii="Times New Roman" w:hAnsi="Times New Roman" w:eastAsia="Times New Roman" w:cs="Times New Roman"/>
              </w:rPr>
            </w:pPr>
            <w:r>
              <w:rPr>
                <w:spacing w:val="9"/>
              </w:rPr>
              <w:t>满足重点水污染物排放总量控制指标要求，重点行业建设项目主要污染</w:t>
            </w:r>
            <w:r>
              <w:rPr>
                <w:spacing w:val="6"/>
              </w:rPr>
              <w:t xml:space="preserve"> </w:t>
            </w:r>
            <w:r>
              <w:rPr>
                <w:spacing w:val="9"/>
              </w:rPr>
              <w:t xml:space="preserve">物排放满足等量或减量替代要求 </w:t>
            </w:r>
            <w:r>
              <w:rPr>
                <w:rFonts w:ascii="Times New Roman" w:hAnsi="Times New Roman" w:eastAsia="Times New Roman" w:cs="Times New Roman"/>
                <w:spacing w:val="9"/>
              </w:rPr>
              <w:t>□</w:t>
            </w:r>
          </w:p>
          <w:p w14:paraId="7474204F">
            <w:pPr>
              <w:pStyle w:val="6"/>
              <w:spacing w:line="227" w:lineRule="auto"/>
              <w:ind w:left="113"/>
              <w:rPr>
                <w:rFonts w:ascii="Times New Roman" w:hAnsi="Times New Roman" w:eastAsia="Times New Roman" w:cs="Times New Roman"/>
              </w:rPr>
            </w:pPr>
            <w:r>
              <w:rPr>
                <w:spacing w:val="9"/>
              </w:rPr>
              <w:t xml:space="preserve">满足区（流）域水环境质量改善目标要求 </w:t>
            </w:r>
            <w:r>
              <w:rPr>
                <w:rFonts w:ascii="Times New Roman" w:hAnsi="Times New Roman" w:eastAsia="Times New Roman" w:cs="Times New Roman"/>
                <w:spacing w:val="9"/>
              </w:rPr>
              <w:t>□</w:t>
            </w:r>
          </w:p>
          <w:p w14:paraId="61164D54">
            <w:pPr>
              <w:pStyle w:val="6"/>
              <w:spacing w:before="66" w:line="288" w:lineRule="auto"/>
              <w:ind w:left="113" w:right="110" w:firstLine="2"/>
              <w:rPr>
                <w:rFonts w:ascii="Times New Roman" w:hAnsi="Times New Roman" w:eastAsia="Times New Roman" w:cs="Times New Roman"/>
              </w:rPr>
            </w:pPr>
            <w:r>
              <w:rPr>
                <w:spacing w:val="9"/>
              </w:rPr>
              <w:t>水文要素影响型建设项目同时应包括水文情势变化评价、主要水文特征</w:t>
            </w:r>
            <w:r>
              <w:rPr>
                <w:spacing w:val="3"/>
              </w:rPr>
              <w:t xml:space="preserve"> </w:t>
            </w:r>
            <w:r>
              <w:rPr>
                <w:spacing w:val="9"/>
              </w:rPr>
              <w:t xml:space="preserve">值影响评价、生态流量符合性评价 </w:t>
            </w:r>
            <w:r>
              <w:rPr>
                <w:rFonts w:ascii="Times New Roman" w:hAnsi="Times New Roman" w:eastAsia="Times New Roman" w:cs="Times New Roman"/>
                <w:spacing w:val="9"/>
              </w:rPr>
              <w:t>□</w:t>
            </w:r>
          </w:p>
          <w:p w14:paraId="72AA3402">
            <w:pPr>
              <w:pStyle w:val="6"/>
              <w:spacing w:line="288" w:lineRule="auto"/>
              <w:ind w:left="112" w:right="110"/>
              <w:rPr>
                <w:rFonts w:ascii="Times New Roman" w:hAnsi="Times New Roman" w:eastAsia="Times New Roman" w:cs="Times New Roman"/>
              </w:rPr>
            </w:pPr>
            <w:r>
              <w:rPr>
                <w:spacing w:val="9"/>
              </w:rPr>
              <w:t>对于新设或调整入河（湖库、近岸海域）排放口的建设项目，应包括排</w:t>
            </w:r>
            <w:r>
              <w:rPr>
                <w:spacing w:val="7"/>
              </w:rPr>
              <w:t xml:space="preserve"> </w:t>
            </w:r>
            <w:r>
              <w:rPr>
                <w:spacing w:val="9"/>
              </w:rPr>
              <w:t xml:space="preserve">放口设置的环境合理性评价 </w:t>
            </w:r>
            <w:r>
              <w:rPr>
                <w:rFonts w:ascii="Times New Roman" w:hAnsi="Times New Roman" w:eastAsia="Times New Roman" w:cs="Times New Roman"/>
                <w:spacing w:val="9"/>
              </w:rPr>
              <w:t>□</w:t>
            </w:r>
          </w:p>
          <w:p w14:paraId="3BFA22ED">
            <w:pPr>
              <w:pStyle w:val="6"/>
              <w:spacing w:before="1" w:line="259" w:lineRule="auto"/>
              <w:ind w:left="115" w:right="110" w:hanging="2"/>
              <w:rPr>
                <w:rFonts w:ascii="Times New Roman" w:hAnsi="Times New Roman" w:eastAsia="Times New Roman" w:cs="Times New Roman"/>
              </w:rPr>
            </w:pPr>
            <w:r>
              <w:rPr>
                <w:spacing w:val="9"/>
              </w:rPr>
              <w:t>满足生态保护红线、水环境质量底线、资源利用上线和环境准入清单管</w:t>
            </w:r>
            <w:r>
              <w:rPr>
                <w:spacing w:val="6"/>
              </w:rPr>
              <w:t xml:space="preserve"> </w:t>
            </w:r>
            <w:r>
              <w:rPr>
                <w:spacing w:val="4"/>
              </w:rPr>
              <w:t>理要求</w:t>
            </w:r>
            <w:r>
              <w:rPr>
                <w:spacing w:val="21"/>
              </w:rPr>
              <w:t xml:space="preserve"> </w:t>
            </w:r>
            <w:r>
              <w:rPr>
                <w:rFonts w:ascii="Times New Roman" w:hAnsi="Times New Roman" w:eastAsia="Times New Roman" w:cs="Times New Roman"/>
                <w:spacing w:val="4"/>
              </w:rPr>
              <w:t>□</w:t>
            </w:r>
          </w:p>
        </w:tc>
      </w:tr>
      <w:tr w14:paraId="493DD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38101F5F">
            <w:pPr>
              <w:rPr>
                <w:rFonts w:ascii="Arial"/>
                <w:sz w:val="21"/>
              </w:rPr>
            </w:pPr>
          </w:p>
        </w:tc>
        <w:tc>
          <w:tcPr>
            <w:tcW w:w="1133" w:type="dxa"/>
            <w:vMerge w:val="restart"/>
            <w:tcBorders>
              <w:bottom w:val="nil"/>
            </w:tcBorders>
            <w:vAlign w:val="top"/>
          </w:tcPr>
          <w:p w14:paraId="13731055">
            <w:pPr>
              <w:spacing w:line="477" w:lineRule="auto"/>
              <w:rPr>
                <w:rFonts w:ascii="Arial"/>
                <w:sz w:val="21"/>
              </w:rPr>
            </w:pPr>
          </w:p>
          <w:p w14:paraId="62954B21">
            <w:pPr>
              <w:pStyle w:val="6"/>
              <w:spacing w:before="65" w:line="228" w:lineRule="auto"/>
              <w:ind w:left="151"/>
            </w:pPr>
            <w:r>
              <w:rPr>
                <w:spacing w:val="6"/>
              </w:rPr>
              <w:t>污染物排</w:t>
            </w:r>
          </w:p>
          <w:p w14:paraId="43A4CF40">
            <w:pPr>
              <w:pStyle w:val="6"/>
              <w:spacing w:before="64" w:line="228" w:lineRule="auto"/>
              <w:ind w:left="149"/>
            </w:pPr>
            <w:r>
              <w:rPr>
                <w:spacing w:val="7"/>
              </w:rPr>
              <w:t>放量核算</w:t>
            </w:r>
          </w:p>
        </w:tc>
        <w:tc>
          <w:tcPr>
            <w:tcW w:w="1956" w:type="dxa"/>
            <w:gridSpan w:val="2"/>
            <w:vAlign w:val="top"/>
          </w:tcPr>
          <w:p w14:paraId="62F0C663">
            <w:pPr>
              <w:pStyle w:val="6"/>
              <w:spacing w:before="56" w:line="228" w:lineRule="auto"/>
              <w:ind w:left="458"/>
            </w:pPr>
            <w:r>
              <w:rPr>
                <w:spacing w:val="7"/>
              </w:rPr>
              <w:t>污染物名称</w:t>
            </w:r>
          </w:p>
        </w:tc>
        <w:tc>
          <w:tcPr>
            <w:tcW w:w="2256" w:type="dxa"/>
            <w:gridSpan w:val="3"/>
            <w:vAlign w:val="top"/>
          </w:tcPr>
          <w:p w14:paraId="20917E03">
            <w:pPr>
              <w:pStyle w:val="6"/>
              <w:spacing w:before="55" w:line="229" w:lineRule="auto"/>
              <w:ind w:left="504"/>
            </w:pPr>
            <w:r>
              <w:rPr>
                <w:spacing w:val="4"/>
              </w:rPr>
              <w:t>排放量（</w:t>
            </w:r>
            <w:r>
              <w:rPr>
                <w:rFonts w:ascii="Times New Roman" w:hAnsi="Times New Roman" w:eastAsia="Times New Roman" w:cs="Times New Roman"/>
                <w:spacing w:val="4"/>
              </w:rPr>
              <w:t>t/a</w:t>
            </w:r>
            <w:r>
              <w:rPr>
                <w:spacing w:val="4"/>
              </w:rPr>
              <w:t>）</w:t>
            </w:r>
          </w:p>
        </w:tc>
        <w:tc>
          <w:tcPr>
            <w:tcW w:w="2503" w:type="dxa"/>
            <w:gridSpan w:val="3"/>
            <w:vAlign w:val="top"/>
          </w:tcPr>
          <w:p w14:paraId="28E0C5EC">
            <w:pPr>
              <w:pStyle w:val="6"/>
              <w:spacing w:before="55" w:line="221" w:lineRule="auto"/>
              <w:ind w:left="370"/>
            </w:pPr>
            <w:r>
              <w:rPr>
                <w:spacing w:val="7"/>
              </w:rPr>
              <w:t>排放浓度</w:t>
            </w:r>
            <w:r>
              <w:rPr>
                <w:rFonts w:ascii="Times New Roman" w:hAnsi="Times New Roman" w:eastAsia="Times New Roman" w:cs="Times New Roman"/>
                <w:spacing w:val="7"/>
              </w:rPr>
              <w:t>/</w:t>
            </w:r>
            <w:r>
              <w:rPr>
                <w:spacing w:val="7"/>
              </w:rPr>
              <w:t>（</w:t>
            </w:r>
            <w:r>
              <w:rPr>
                <w:rFonts w:ascii="Times New Roman" w:hAnsi="Times New Roman" w:eastAsia="Times New Roman" w:cs="Times New Roman"/>
              </w:rPr>
              <w:t>mg</w:t>
            </w:r>
            <w:r>
              <w:rPr>
                <w:rFonts w:ascii="Times New Roman" w:hAnsi="Times New Roman" w:eastAsia="Times New Roman" w:cs="Times New Roman"/>
                <w:spacing w:val="7"/>
              </w:rPr>
              <w:t>/L</w:t>
            </w:r>
            <w:r>
              <w:rPr>
                <w:spacing w:val="7"/>
              </w:rPr>
              <w:t>）</w:t>
            </w:r>
          </w:p>
        </w:tc>
      </w:tr>
      <w:tr w14:paraId="1230C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642D2702">
            <w:pPr>
              <w:rPr>
                <w:rFonts w:ascii="Arial"/>
                <w:sz w:val="21"/>
              </w:rPr>
            </w:pPr>
          </w:p>
        </w:tc>
        <w:tc>
          <w:tcPr>
            <w:tcW w:w="1133" w:type="dxa"/>
            <w:vMerge w:val="continue"/>
            <w:tcBorders>
              <w:top w:val="nil"/>
              <w:bottom w:val="nil"/>
            </w:tcBorders>
            <w:vAlign w:val="top"/>
          </w:tcPr>
          <w:p w14:paraId="4AC8F637">
            <w:pPr>
              <w:rPr>
                <w:rFonts w:ascii="Arial"/>
                <w:sz w:val="21"/>
              </w:rPr>
            </w:pPr>
          </w:p>
        </w:tc>
        <w:tc>
          <w:tcPr>
            <w:tcW w:w="1956" w:type="dxa"/>
            <w:gridSpan w:val="2"/>
            <w:vAlign w:val="top"/>
          </w:tcPr>
          <w:p w14:paraId="7562F733">
            <w:pPr>
              <w:spacing w:before="91" w:line="195" w:lineRule="auto"/>
              <w:ind w:left="7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256" w:type="dxa"/>
            <w:gridSpan w:val="3"/>
            <w:vAlign w:val="top"/>
          </w:tcPr>
          <w:p w14:paraId="24DCBC3F">
            <w:pPr>
              <w:spacing w:before="91"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03" w:type="dxa"/>
            <w:gridSpan w:val="3"/>
            <w:vAlign w:val="top"/>
          </w:tcPr>
          <w:p w14:paraId="404887D6">
            <w:pPr>
              <w:spacing w:before="91" w:line="195" w:lineRule="auto"/>
              <w:ind w:left="1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383C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0510F043">
            <w:pPr>
              <w:rPr>
                <w:rFonts w:ascii="Arial"/>
                <w:sz w:val="21"/>
              </w:rPr>
            </w:pPr>
          </w:p>
        </w:tc>
        <w:tc>
          <w:tcPr>
            <w:tcW w:w="1133" w:type="dxa"/>
            <w:vMerge w:val="continue"/>
            <w:tcBorders>
              <w:top w:val="nil"/>
              <w:bottom w:val="nil"/>
            </w:tcBorders>
            <w:vAlign w:val="top"/>
          </w:tcPr>
          <w:p w14:paraId="656AB429">
            <w:pPr>
              <w:rPr>
                <w:rFonts w:ascii="Arial"/>
                <w:sz w:val="21"/>
              </w:rPr>
            </w:pPr>
          </w:p>
        </w:tc>
        <w:tc>
          <w:tcPr>
            <w:tcW w:w="1956" w:type="dxa"/>
            <w:gridSpan w:val="2"/>
            <w:vAlign w:val="top"/>
          </w:tcPr>
          <w:p w14:paraId="536A2479">
            <w:pPr>
              <w:spacing w:before="93" w:line="202" w:lineRule="auto"/>
              <w:ind w:left="723"/>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256" w:type="dxa"/>
            <w:gridSpan w:val="3"/>
            <w:vAlign w:val="top"/>
          </w:tcPr>
          <w:p w14:paraId="663FFE8D">
            <w:pPr>
              <w:spacing w:before="93"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03" w:type="dxa"/>
            <w:gridSpan w:val="3"/>
            <w:vAlign w:val="top"/>
          </w:tcPr>
          <w:p w14:paraId="66C6A08B">
            <w:pPr>
              <w:spacing w:before="93" w:line="195" w:lineRule="auto"/>
              <w:ind w:left="1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B137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07FCAA47">
            <w:pPr>
              <w:rPr>
                <w:rFonts w:ascii="Arial"/>
                <w:sz w:val="21"/>
              </w:rPr>
            </w:pPr>
          </w:p>
        </w:tc>
        <w:tc>
          <w:tcPr>
            <w:tcW w:w="1133" w:type="dxa"/>
            <w:vMerge w:val="continue"/>
            <w:tcBorders>
              <w:top w:val="nil"/>
              <w:bottom w:val="nil"/>
            </w:tcBorders>
            <w:vAlign w:val="top"/>
          </w:tcPr>
          <w:p w14:paraId="4DB71B20">
            <w:pPr>
              <w:rPr>
                <w:rFonts w:ascii="Arial"/>
                <w:sz w:val="21"/>
              </w:rPr>
            </w:pPr>
          </w:p>
        </w:tc>
        <w:tc>
          <w:tcPr>
            <w:tcW w:w="1956" w:type="dxa"/>
            <w:gridSpan w:val="2"/>
            <w:vAlign w:val="top"/>
          </w:tcPr>
          <w:p w14:paraId="5D69C0C6">
            <w:pPr>
              <w:spacing w:before="92"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256" w:type="dxa"/>
            <w:gridSpan w:val="3"/>
            <w:vAlign w:val="top"/>
          </w:tcPr>
          <w:p w14:paraId="6EA77EB0">
            <w:pPr>
              <w:spacing w:before="92"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03" w:type="dxa"/>
            <w:gridSpan w:val="3"/>
            <w:vAlign w:val="top"/>
          </w:tcPr>
          <w:p w14:paraId="15221C06">
            <w:pPr>
              <w:spacing w:before="92" w:line="195" w:lineRule="auto"/>
              <w:ind w:left="1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2FC6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9" w:type="dxa"/>
            <w:vMerge w:val="continue"/>
            <w:tcBorders>
              <w:top w:val="nil"/>
              <w:bottom w:val="nil"/>
            </w:tcBorders>
            <w:vAlign w:val="top"/>
          </w:tcPr>
          <w:p w14:paraId="7093A328">
            <w:pPr>
              <w:rPr>
                <w:rFonts w:ascii="Arial"/>
                <w:sz w:val="21"/>
              </w:rPr>
            </w:pPr>
          </w:p>
        </w:tc>
        <w:tc>
          <w:tcPr>
            <w:tcW w:w="1133" w:type="dxa"/>
            <w:vMerge w:val="continue"/>
            <w:tcBorders>
              <w:top w:val="nil"/>
            </w:tcBorders>
            <w:vAlign w:val="top"/>
          </w:tcPr>
          <w:p w14:paraId="1EF2851B">
            <w:pPr>
              <w:rPr>
                <w:rFonts w:ascii="Arial"/>
                <w:sz w:val="21"/>
              </w:rPr>
            </w:pPr>
          </w:p>
        </w:tc>
        <w:tc>
          <w:tcPr>
            <w:tcW w:w="1956" w:type="dxa"/>
            <w:gridSpan w:val="2"/>
            <w:vAlign w:val="top"/>
          </w:tcPr>
          <w:p w14:paraId="0CE3E0C4">
            <w:pPr>
              <w:pStyle w:val="6"/>
              <w:spacing w:before="56" w:line="227" w:lineRule="auto"/>
              <w:ind w:left="773"/>
            </w:pPr>
            <w:r>
              <w:rPr>
                <w:spacing w:val="4"/>
              </w:rPr>
              <w:t>氨氮</w:t>
            </w:r>
          </w:p>
        </w:tc>
        <w:tc>
          <w:tcPr>
            <w:tcW w:w="2256" w:type="dxa"/>
            <w:gridSpan w:val="3"/>
            <w:vAlign w:val="top"/>
          </w:tcPr>
          <w:p w14:paraId="7021B1A8">
            <w:pPr>
              <w:spacing w:before="92" w:line="195" w:lineRule="auto"/>
              <w:ind w:left="10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503" w:type="dxa"/>
            <w:gridSpan w:val="3"/>
            <w:vAlign w:val="top"/>
          </w:tcPr>
          <w:p w14:paraId="70E4D86D">
            <w:pPr>
              <w:spacing w:before="92" w:line="195" w:lineRule="auto"/>
              <w:ind w:left="1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8C49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79" w:type="dxa"/>
            <w:vMerge w:val="continue"/>
            <w:tcBorders>
              <w:top w:val="nil"/>
              <w:bottom w:val="nil"/>
            </w:tcBorders>
            <w:vAlign w:val="top"/>
          </w:tcPr>
          <w:p w14:paraId="0994ED13">
            <w:pPr>
              <w:rPr>
                <w:rFonts w:ascii="Arial"/>
                <w:sz w:val="21"/>
              </w:rPr>
            </w:pPr>
          </w:p>
        </w:tc>
        <w:tc>
          <w:tcPr>
            <w:tcW w:w="1133" w:type="dxa"/>
            <w:vMerge w:val="restart"/>
            <w:tcBorders>
              <w:bottom w:val="nil"/>
            </w:tcBorders>
            <w:vAlign w:val="top"/>
          </w:tcPr>
          <w:p w14:paraId="0B3CF0D5">
            <w:pPr>
              <w:pStyle w:val="6"/>
              <w:spacing w:before="242" w:line="228" w:lineRule="auto"/>
              <w:ind w:left="158"/>
            </w:pPr>
            <w:r>
              <w:rPr>
                <w:spacing w:val="5"/>
              </w:rPr>
              <w:t>替代能源</w:t>
            </w:r>
          </w:p>
          <w:p w14:paraId="27D27AE6">
            <w:pPr>
              <w:pStyle w:val="6"/>
              <w:spacing w:before="65" w:line="228" w:lineRule="auto"/>
              <w:ind w:left="149"/>
            </w:pPr>
            <w:r>
              <w:rPr>
                <w:spacing w:val="7"/>
              </w:rPr>
              <w:t>排放情况</w:t>
            </w:r>
          </w:p>
        </w:tc>
        <w:tc>
          <w:tcPr>
            <w:tcW w:w="1089" w:type="dxa"/>
            <w:vAlign w:val="top"/>
          </w:tcPr>
          <w:p w14:paraId="36A7A3BB">
            <w:pPr>
              <w:pStyle w:val="6"/>
              <w:spacing w:before="56" w:line="228" w:lineRule="auto"/>
              <w:ind w:left="132"/>
            </w:pPr>
            <w:r>
              <w:rPr>
                <w:spacing w:val="6"/>
              </w:rPr>
              <w:t>污染源名</w:t>
            </w:r>
          </w:p>
          <w:p w14:paraId="7E4EAE96">
            <w:pPr>
              <w:pStyle w:val="6"/>
              <w:spacing w:before="64" w:line="230" w:lineRule="auto"/>
              <w:ind w:left="443"/>
            </w:pPr>
            <w:r>
              <w:rPr>
                <w:spacing w:val="1"/>
              </w:rPr>
              <w:t>称</w:t>
            </w:r>
          </w:p>
        </w:tc>
        <w:tc>
          <w:tcPr>
            <w:tcW w:w="1313" w:type="dxa"/>
            <w:gridSpan w:val="2"/>
            <w:vAlign w:val="top"/>
          </w:tcPr>
          <w:p w14:paraId="7E258BDA">
            <w:pPr>
              <w:pStyle w:val="6"/>
              <w:spacing w:before="56" w:line="228" w:lineRule="auto"/>
              <w:ind w:left="135"/>
            </w:pPr>
            <w:r>
              <w:rPr>
                <w:spacing w:val="8"/>
              </w:rPr>
              <w:t>排污许可证</w:t>
            </w:r>
          </w:p>
          <w:p w14:paraId="5562E60D">
            <w:pPr>
              <w:pStyle w:val="6"/>
              <w:spacing w:before="64" w:line="228" w:lineRule="auto"/>
              <w:ind w:left="454"/>
            </w:pPr>
            <w:r>
              <w:rPr>
                <w:spacing w:val="3"/>
              </w:rPr>
              <w:t>编号</w:t>
            </w:r>
          </w:p>
        </w:tc>
        <w:tc>
          <w:tcPr>
            <w:tcW w:w="1312" w:type="dxa"/>
            <w:vAlign w:val="top"/>
          </w:tcPr>
          <w:p w14:paraId="059EC90A">
            <w:pPr>
              <w:pStyle w:val="6"/>
              <w:spacing w:before="212" w:line="228" w:lineRule="auto"/>
              <w:ind w:left="139"/>
            </w:pPr>
            <w:r>
              <w:rPr>
                <w:spacing w:val="7"/>
              </w:rPr>
              <w:t>污染物名称</w:t>
            </w:r>
          </w:p>
        </w:tc>
        <w:tc>
          <w:tcPr>
            <w:tcW w:w="1429" w:type="dxa"/>
            <w:gridSpan w:val="2"/>
            <w:vAlign w:val="top"/>
          </w:tcPr>
          <w:p w14:paraId="4953EA86">
            <w:pPr>
              <w:pStyle w:val="6"/>
              <w:spacing w:before="212" w:line="229" w:lineRule="auto"/>
              <w:ind w:right="12"/>
              <w:jc w:val="right"/>
            </w:pPr>
            <w:r>
              <w:rPr>
                <w:spacing w:val="4"/>
              </w:rPr>
              <w:t>排放量</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t/a</w:t>
            </w:r>
            <w:r>
              <w:rPr>
                <w:spacing w:val="4"/>
              </w:rPr>
              <w:t>）</w:t>
            </w:r>
          </w:p>
        </w:tc>
        <w:tc>
          <w:tcPr>
            <w:tcW w:w="1572" w:type="dxa"/>
            <w:gridSpan w:val="2"/>
            <w:vAlign w:val="top"/>
          </w:tcPr>
          <w:p w14:paraId="67370CEB">
            <w:pPr>
              <w:pStyle w:val="6"/>
              <w:spacing w:before="56" w:line="228" w:lineRule="auto"/>
              <w:ind w:left="341"/>
              <w:rPr>
                <w:rFonts w:ascii="Times New Roman" w:hAnsi="Times New Roman" w:eastAsia="Times New Roman" w:cs="Times New Roman"/>
              </w:rPr>
            </w:pPr>
            <w:r>
              <w:rPr>
                <w:spacing w:val="6"/>
              </w:rPr>
              <w:t>排放浓度</w:t>
            </w:r>
            <w:r>
              <w:rPr>
                <w:rFonts w:ascii="Times New Roman" w:hAnsi="Times New Roman" w:eastAsia="Times New Roman" w:cs="Times New Roman"/>
                <w:spacing w:val="6"/>
              </w:rPr>
              <w:t>/</w:t>
            </w:r>
          </w:p>
          <w:p w14:paraId="2A247DAE">
            <w:pPr>
              <w:pStyle w:val="6"/>
              <w:spacing w:before="64" w:line="221" w:lineRule="auto"/>
              <w:ind w:left="363"/>
            </w:pP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r>
      <w:tr w14:paraId="06199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79" w:type="dxa"/>
            <w:vMerge w:val="continue"/>
            <w:tcBorders>
              <w:top w:val="nil"/>
              <w:bottom w:val="nil"/>
            </w:tcBorders>
            <w:vAlign w:val="top"/>
          </w:tcPr>
          <w:p w14:paraId="758F7B70">
            <w:pPr>
              <w:rPr>
                <w:rFonts w:ascii="Arial"/>
                <w:sz w:val="21"/>
              </w:rPr>
            </w:pPr>
          </w:p>
        </w:tc>
        <w:tc>
          <w:tcPr>
            <w:tcW w:w="1133" w:type="dxa"/>
            <w:vMerge w:val="continue"/>
            <w:tcBorders>
              <w:top w:val="nil"/>
            </w:tcBorders>
            <w:vAlign w:val="top"/>
          </w:tcPr>
          <w:p w14:paraId="196A4287">
            <w:pPr>
              <w:rPr>
                <w:rFonts w:ascii="Arial"/>
                <w:sz w:val="21"/>
              </w:rPr>
            </w:pPr>
          </w:p>
        </w:tc>
        <w:tc>
          <w:tcPr>
            <w:tcW w:w="1089" w:type="dxa"/>
            <w:vAlign w:val="top"/>
          </w:tcPr>
          <w:p w14:paraId="0D7840EA">
            <w:pPr>
              <w:pStyle w:val="6"/>
              <w:spacing w:before="83" w:line="231" w:lineRule="auto"/>
              <w:ind w:left="449"/>
            </w:pPr>
            <w:r>
              <w:rPr>
                <w:spacing w:val="-10"/>
              </w:rPr>
              <w:t>()</w:t>
            </w:r>
          </w:p>
        </w:tc>
        <w:tc>
          <w:tcPr>
            <w:tcW w:w="1313" w:type="dxa"/>
            <w:gridSpan w:val="2"/>
            <w:vAlign w:val="top"/>
          </w:tcPr>
          <w:p w14:paraId="3D021C82">
            <w:pPr>
              <w:pStyle w:val="6"/>
              <w:spacing w:before="83" w:line="231" w:lineRule="auto"/>
              <w:ind w:left="562"/>
            </w:pPr>
            <w:r>
              <w:rPr>
                <w:spacing w:val="-10"/>
              </w:rPr>
              <w:t>()</w:t>
            </w:r>
          </w:p>
        </w:tc>
        <w:tc>
          <w:tcPr>
            <w:tcW w:w="1312" w:type="dxa"/>
            <w:vAlign w:val="top"/>
          </w:tcPr>
          <w:p w14:paraId="12688058">
            <w:pPr>
              <w:pStyle w:val="6"/>
              <w:spacing w:before="83" w:line="231" w:lineRule="auto"/>
              <w:ind w:left="562"/>
            </w:pPr>
            <w:r>
              <w:rPr>
                <w:spacing w:val="-10"/>
              </w:rPr>
              <w:t>()</w:t>
            </w:r>
          </w:p>
        </w:tc>
        <w:tc>
          <w:tcPr>
            <w:tcW w:w="1429" w:type="dxa"/>
            <w:gridSpan w:val="2"/>
            <w:vAlign w:val="top"/>
          </w:tcPr>
          <w:p w14:paraId="393F90EF">
            <w:pPr>
              <w:pStyle w:val="6"/>
              <w:spacing w:before="83" w:line="231" w:lineRule="auto"/>
              <w:ind w:left="620"/>
            </w:pPr>
            <w:r>
              <w:rPr>
                <w:spacing w:val="-10"/>
              </w:rPr>
              <w:t>()</w:t>
            </w:r>
          </w:p>
        </w:tc>
        <w:tc>
          <w:tcPr>
            <w:tcW w:w="1572" w:type="dxa"/>
            <w:gridSpan w:val="2"/>
            <w:vAlign w:val="top"/>
          </w:tcPr>
          <w:p w14:paraId="74C17CE2">
            <w:pPr>
              <w:pStyle w:val="6"/>
              <w:spacing w:before="83" w:line="231" w:lineRule="auto"/>
              <w:ind w:left="691"/>
            </w:pPr>
            <w:r>
              <w:rPr>
                <w:spacing w:val="-10"/>
              </w:rPr>
              <w:t>()</w:t>
            </w:r>
          </w:p>
        </w:tc>
      </w:tr>
      <w:tr w14:paraId="51633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79" w:type="dxa"/>
            <w:vMerge w:val="continue"/>
            <w:tcBorders>
              <w:top w:val="nil"/>
            </w:tcBorders>
            <w:vAlign w:val="top"/>
          </w:tcPr>
          <w:p w14:paraId="3EE57C20">
            <w:pPr>
              <w:rPr>
                <w:rFonts w:ascii="Arial"/>
                <w:sz w:val="21"/>
              </w:rPr>
            </w:pPr>
          </w:p>
        </w:tc>
        <w:tc>
          <w:tcPr>
            <w:tcW w:w="1133" w:type="dxa"/>
            <w:vAlign w:val="top"/>
          </w:tcPr>
          <w:p w14:paraId="754EADCB">
            <w:pPr>
              <w:pStyle w:val="6"/>
              <w:spacing w:before="55" w:line="231" w:lineRule="auto"/>
              <w:ind w:left="151"/>
            </w:pPr>
            <w:r>
              <w:rPr>
                <w:spacing w:val="6"/>
              </w:rPr>
              <w:t>生态流量</w:t>
            </w:r>
          </w:p>
          <w:p w14:paraId="5EB8AC9B">
            <w:pPr>
              <w:pStyle w:val="6"/>
              <w:spacing w:before="61" w:line="228" w:lineRule="auto"/>
              <w:ind w:left="360"/>
            </w:pPr>
            <w:r>
              <w:rPr>
                <w:spacing w:val="4"/>
              </w:rPr>
              <w:t>确定</w:t>
            </w:r>
          </w:p>
        </w:tc>
        <w:tc>
          <w:tcPr>
            <w:tcW w:w="6715" w:type="dxa"/>
            <w:gridSpan w:val="8"/>
            <w:vAlign w:val="top"/>
          </w:tcPr>
          <w:p w14:paraId="6F6F1951">
            <w:pPr>
              <w:pStyle w:val="6"/>
              <w:spacing w:before="55" w:line="228" w:lineRule="auto"/>
              <w:ind w:left="182"/>
            </w:pPr>
            <w:r>
              <w:rPr>
                <w:spacing w:val="7"/>
              </w:rPr>
              <w:t>生态流量：一般水期</w:t>
            </w:r>
            <w:r>
              <w:rPr>
                <w:spacing w:val="-11"/>
              </w:rPr>
              <w:t>（）</w:t>
            </w:r>
            <w:r>
              <w:rPr>
                <w:spacing w:val="-53"/>
              </w:rPr>
              <w:t xml:space="preserve"> </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/s</w:t>
            </w:r>
            <w:r>
              <w:rPr>
                <w:spacing w:val="7"/>
              </w:rPr>
              <w:t>；鱼类繁殖期</w:t>
            </w:r>
            <w:r>
              <w:rPr>
                <w:spacing w:val="-11"/>
              </w:rPr>
              <w:t>（）</w:t>
            </w:r>
            <w:r>
              <w:rPr>
                <w:spacing w:val="-57"/>
              </w:rPr>
              <w:t xml:space="preserve"> </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w:t>
            </w:r>
            <w:r>
              <w:rPr>
                <w:rFonts w:ascii="Times New Roman" w:hAnsi="Times New Roman" w:eastAsia="Times New Roman" w:cs="Times New Roman"/>
                <w:spacing w:val="6"/>
              </w:rPr>
              <w:t>s</w:t>
            </w:r>
            <w:r>
              <w:rPr>
                <w:spacing w:val="6"/>
              </w:rPr>
              <w:t>；其他</w:t>
            </w:r>
            <w:r>
              <w:rPr>
                <w:spacing w:val="-11"/>
              </w:rPr>
              <w:t>（）</w:t>
            </w:r>
            <w:r>
              <w:rPr>
                <w:spacing w:val="-54"/>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rPr>
              <w:t>/s</w:t>
            </w:r>
            <w:r>
              <w:rPr>
                <w:spacing w:val="6"/>
              </w:rPr>
              <w:t>；</w:t>
            </w:r>
          </w:p>
          <w:p w14:paraId="76ACEA13">
            <w:pPr>
              <w:pStyle w:val="6"/>
              <w:spacing w:before="64" w:line="228" w:lineRule="auto"/>
              <w:ind w:left="494"/>
            </w:pPr>
            <w:r>
              <w:rPr>
                <w:spacing w:val="5"/>
              </w:rPr>
              <w:t>生态水位：一般水期</w:t>
            </w:r>
            <w:r>
              <w:rPr>
                <w:spacing w:val="-8"/>
              </w:rPr>
              <w:t>（）</w:t>
            </w:r>
            <w:r>
              <w:rPr>
                <w:spacing w:val="-54"/>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23"/>
              </w:rPr>
              <w:t xml:space="preserve"> </w:t>
            </w:r>
            <w:r>
              <w:rPr>
                <w:spacing w:val="5"/>
              </w:rPr>
              <w:t>；鱼类繁殖期</w:t>
            </w:r>
            <w:r>
              <w:rPr>
                <w:spacing w:val="-8"/>
              </w:rPr>
              <w:t>（）</w:t>
            </w:r>
            <w:r>
              <w:rPr>
                <w:spacing w:val="-57"/>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23"/>
              </w:rPr>
              <w:t xml:space="preserve"> </w:t>
            </w:r>
            <w:r>
              <w:rPr>
                <w:spacing w:val="5"/>
              </w:rPr>
              <w:t>；其他</w:t>
            </w:r>
            <w:r>
              <w:rPr>
                <w:spacing w:val="-8"/>
              </w:rPr>
              <w:t>（）</w:t>
            </w:r>
            <w:r>
              <w:rPr>
                <w:spacing w:val="-57"/>
              </w:rPr>
              <w:t xml:space="preserve"> </w:t>
            </w:r>
            <w:r>
              <w:rPr>
                <w:rFonts w:ascii="Times New Roman" w:hAnsi="Times New Roman" w:eastAsia="Times New Roman" w:cs="Times New Roman"/>
                <w:spacing w:val="5"/>
              </w:rPr>
              <w:t>m</w:t>
            </w:r>
            <w:r>
              <w:rPr>
                <w:spacing w:val="5"/>
              </w:rPr>
              <w:t>；</w:t>
            </w:r>
          </w:p>
        </w:tc>
      </w:tr>
    </w:tbl>
    <w:p w14:paraId="772DA8CC">
      <w:pPr>
        <w:pStyle w:val="2"/>
      </w:pPr>
    </w:p>
    <w:p w14:paraId="2F124E2A">
      <w:pPr>
        <w:sectPr>
          <w:footerReference r:id="rId321" w:type="default"/>
          <w:pgSz w:w="11906" w:h="16839"/>
          <w:pgMar w:top="1208" w:right="1578" w:bottom="1358" w:left="1785" w:header="825" w:footer="1195" w:gutter="0"/>
          <w:cols w:space="720" w:num="1"/>
        </w:sectPr>
      </w:pPr>
    </w:p>
    <w:p w14:paraId="1CB2B0DE">
      <w:pPr>
        <w:spacing w:line="231" w:lineRule="exact"/>
      </w:pPr>
    </w:p>
    <w:tbl>
      <w:tblPr>
        <w:tblStyle w:val="5"/>
        <w:tblW w:w="852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133"/>
        <w:gridCol w:w="1956"/>
        <w:gridCol w:w="2256"/>
        <w:gridCol w:w="2503"/>
      </w:tblGrid>
      <w:tr w14:paraId="258DD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79" w:type="dxa"/>
            <w:vMerge w:val="restart"/>
            <w:tcBorders>
              <w:bottom w:val="nil"/>
            </w:tcBorders>
            <w:vAlign w:val="top"/>
          </w:tcPr>
          <w:p w14:paraId="7ED3E62E">
            <w:pPr>
              <w:spacing w:line="290" w:lineRule="auto"/>
              <w:rPr>
                <w:rFonts w:ascii="Arial"/>
                <w:sz w:val="21"/>
              </w:rPr>
            </w:pPr>
          </w:p>
          <w:p w14:paraId="33108871">
            <w:pPr>
              <w:spacing w:line="291" w:lineRule="auto"/>
              <w:rPr>
                <w:rFonts w:ascii="Arial"/>
                <w:sz w:val="21"/>
              </w:rPr>
            </w:pPr>
          </w:p>
          <w:p w14:paraId="645A9370">
            <w:pPr>
              <w:spacing w:line="291" w:lineRule="auto"/>
              <w:rPr>
                <w:rFonts w:ascii="Arial"/>
                <w:sz w:val="21"/>
              </w:rPr>
            </w:pPr>
          </w:p>
          <w:p w14:paraId="03260D4A">
            <w:pPr>
              <w:spacing w:line="291" w:lineRule="auto"/>
              <w:rPr>
                <w:rFonts w:ascii="Arial"/>
                <w:sz w:val="21"/>
              </w:rPr>
            </w:pPr>
          </w:p>
          <w:p w14:paraId="49A8DF21">
            <w:pPr>
              <w:pStyle w:val="6"/>
              <w:spacing w:before="65" w:line="228" w:lineRule="auto"/>
              <w:ind w:left="148"/>
            </w:pPr>
            <w:r>
              <w:rPr>
                <w:spacing w:val="-2"/>
              </w:rPr>
              <w:t>防治</w:t>
            </w:r>
          </w:p>
          <w:p w14:paraId="0602B575">
            <w:pPr>
              <w:pStyle w:val="6"/>
              <w:spacing w:before="65" w:line="228" w:lineRule="auto"/>
              <w:ind w:left="135"/>
            </w:pPr>
            <w:r>
              <w:rPr>
                <w:spacing w:val="4"/>
              </w:rPr>
              <w:t>措施</w:t>
            </w:r>
          </w:p>
        </w:tc>
        <w:tc>
          <w:tcPr>
            <w:tcW w:w="1133" w:type="dxa"/>
            <w:vAlign w:val="top"/>
          </w:tcPr>
          <w:p w14:paraId="049983A2">
            <w:pPr>
              <w:pStyle w:val="6"/>
              <w:spacing w:before="212" w:line="228" w:lineRule="auto"/>
              <w:ind w:left="149"/>
            </w:pPr>
            <w:r>
              <w:rPr>
                <w:spacing w:val="7"/>
              </w:rPr>
              <w:t>环保措施</w:t>
            </w:r>
          </w:p>
        </w:tc>
        <w:tc>
          <w:tcPr>
            <w:tcW w:w="6715" w:type="dxa"/>
            <w:gridSpan w:val="3"/>
            <w:vAlign w:val="top"/>
          </w:tcPr>
          <w:p w14:paraId="32BE041F">
            <w:pPr>
              <w:pStyle w:val="6"/>
              <w:spacing w:before="56" w:line="228" w:lineRule="auto"/>
              <w:ind w:left="115"/>
            </w:pPr>
            <w:r>
              <w:rPr>
                <w:spacing w:val="-1"/>
              </w:rPr>
              <w:t xml:space="preserve">污水处理设施   ；水文减缓设施 </w:t>
            </w:r>
            <w:r>
              <w:rPr>
                <w:rFonts w:ascii="Times New Roman" w:hAnsi="Times New Roman" w:eastAsia="Times New Roman" w:cs="Times New Roman"/>
                <w:spacing w:val="-1"/>
              </w:rPr>
              <w:t>□</w:t>
            </w:r>
            <w:r>
              <w:rPr>
                <w:spacing w:val="-1"/>
              </w:rPr>
              <w:t>；生态流量保障设施</w:t>
            </w:r>
            <w:r>
              <w:rPr>
                <w:spacing w:val="31"/>
              </w:rPr>
              <w:t xml:space="preserve"> </w:t>
            </w:r>
            <w:r>
              <w:rPr>
                <w:rFonts w:ascii="Times New Roman" w:hAnsi="Times New Roman" w:eastAsia="Times New Roman" w:cs="Times New Roman"/>
                <w:spacing w:val="-1"/>
              </w:rPr>
              <w:t>□</w:t>
            </w:r>
            <w:r>
              <w:rPr>
                <w:spacing w:val="-1"/>
              </w:rPr>
              <w:t>；区域削减</w:t>
            </w:r>
            <w:r>
              <w:rPr>
                <w:spacing w:val="23"/>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w:t>
            </w:r>
          </w:p>
          <w:p w14:paraId="52EA6361">
            <w:pPr>
              <w:pStyle w:val="6"/>
              <w:spacing w:before="65" w:line="227" w:lineRule="auto"/>
              <w:ind w:left="1977"/>
              <w:rPr>
                <w:rFonts w:ascii="Times New Roman" w:hAnsi="Times New Roman" w:eastAsia="Times New Roman" w:cs="Times New Roman"/>
              </w:rPr>
            </w:pPr>
            <w:r>
              <w:rPr>
                <w:spacing w:val="5"/>
              </w:rPr>
              <w:t xml:space="preserve">依托其他工程措施 </w:t>
            </w:r>
            <w:r>
              <w:rPr>
                <w:rFonts w:ascii="Times New Roman" w:hAnsi="Times New Roman" w:eastAsia="Times New Roman" w:cs="Times New Roman"/>
                <w:spacing w:val="5"/>
              </w:rPr>
              <w:t>□</w:t>
            </w:r>
            <w:r>
              <w:rPr>
                <w:rFonts w:ascii="Times New Roman" w:hAnsi="Times New Roman" w:eastAsia="Times New Roman" w:cs="Times New Roman"/>
                <w:spacing w:val="-13"/>
              </w:rPr>
              <w:t xml:space="preserve"> </w:t>
            </w:r>
            <w:r>
              <w:rPr>
                <w:spacing w:val="5"/>
              </w:rPr>
              <w:t>；其他</w:t>
            </w:r>
            <w:r>
              <w:rPr>
                <w:spacing w:val="21"/>
              </w:rPr>
              <w:t xml:space="preserve"> </w:t>
            </w:r>
            <w:r>
              <w:rPr>
                <w:rFonts w:ascii="Times New Roman" w:hAnsi="Times New Roman" w:eastAsia="Times New Roman" w:cs="Times New Roman"/>
                <w:spacing w:val="5"/>
              </w:rPr>
              <w:t>□</w:t>
            </w:r>
          </w:p>
        </w:tc>
      </w:tr>
      <w:tr w14:paraId="1B88E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79" w:type="dxa"/>
            <w:vMerge w:val="continue"/>
            <w:tcBorders>
              <w:top w:val="nil"/>
              <w:bottom w:val="nil"/>
            </w:tcBorders>
            <w:vAlign w:val="top"/>
          </w:tcPr>
          <w:p w14:paraId="2383C2F7">
            <w:pPr>
              <w:rPr>
                <w:rFonts w:ascii="Arial"/>
                <w:sz w:val="21"/>
              </w:rPr>
            </w:pPr>
          </w:p>
        </w:tc>
        <w:tc>
          <w:tcPr>
            <w:tcW w:w="1133" w:type="dxa"/>
            <w:vMerge w:val="restart"/>
            <w:tcBorders>
              <w:bottom w:val="nil"/>
            </w:tcBorders>
            <w:vAlign w:val="top"/>
          </w:tcPr>
          <w:p w14:paraId="763FF0CD">
            <w:pPr>
              <w:spacing w:line="341" w:lineRule="auto"/>
              <w:rPr>
                <w:rFonts w:ascii="Arial"/>
                <w:sz w:val="21"/>
              </w:rPr>
            </w:pPr>
          </w:p>
          <w:p w14:paraId="21975CAF">
            <w:pPr>
              <w:spacing w:line="342" w:lineRule="auto"/>
              <w:rPr>
                <w:rFonts w:ascii="Arial"/>
                <w:sz w:val="21"/>
              </w:rPr>
            </w:pPr>
          </w:p>
          <w:p w14:paraId="1BEE1872">
            <w:pPr>
              <w:pStyle w:val="6"/>
              <w:spacing w:before="65" w:line="229" w:lineRule="auto"/>
              <w:ind w:left="150"/>
            </w:pPr>
            <w:r>
              <w:rPr>
                <w:spacing w:val="7"/>
              </w:rPr>
              <w:t>监测计划</w:t>
            </w:r>
          </w:p>
        </w:tc>
        <w:tc>
          <w:tcPr>
            <w:tcW w:w="1956" w:type="dxa"/>
            <w:vAlign w:val="top"/>
          </w:tcPr>
          <w:p w14:paraId="2CAEB068">
            <w:pPr>
              <w:rPr>
                <w:rFonts w:ascii="Arial"/>
                <w:sz w:val="21"/>
              </w:rPr>
            </w:pPr>
          </w:p>
        </w:tc>
        <w:tc>
          <w:tcPr>
            <w:tcW w:w="2256" w:type="dxa"/>
            <w:vAlign w:val="top"/>
          </w:tcPr>
          <w:p w14:paraId="3BA0F6DB">
            <w:pPr>
              <w:pStyle w:val="6"/>
              <w:spacing w:before="74" w:line="228" w:lineRule="auto"/>
              <w:ind w:left="713"/>
            </w:pPr>
            <w:r>
              <w:rPr>
                <w:spacing w:val="7"/>
              </w:rPr>
              <w:t>环境质量</w:t>
            </w:r>
          </w:p>
        </w:tc>
        <w:tc>
          <w:tcPr>
            <w:tcW w:w="2503" w:type="dxa"/>
            <w:vAlign w:val="top"/>
          </w:tcPr>
          <w:p w14:paraId="065AD8E2">
            <w:pPr>
              <w:pStyle w:val="6"/>
              <w:spacing w:before="74" w:line="228" w:lineRule="auto"/>
              <w:ind w:left="943"/>
            </w:pPr>
            <w:r>
              <w:rPr>
                <w:spacing w:val="6"/>
              </w:rPr>
              <w:t>污染源</w:t>
            </w:r>
          </w:p>
        </w:tc>
      </w:tr>
      <w:tr w14:paraId="3D00C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Merge w:val="continue"/>
            <w:tcBorders>
              <w:top w:val="nil"/>
              <w:bottom w:val="nil"/>
            </w:tcBorders>
            <w:vAlign w:val="top"/>
          </w:tcPr>
          <w:p w14:paraId="01D5073C">
            <w:pPr>
              <w:rPr>
                <w:rFonts w:ascii="Arial"/>
                <w:sz w:val="21"/>
              </w:rPr>
            </w:pPr>
          </w:p>
        </w:tc>
        <w:tc>
          <w:tcPr>
            <w:tcW w:w="1133" w:type="dxa"/>
            <w:vMerge w:val="continue"/>
            <w:tcBorders>
              <w:top w:val="nil"/>
              <w:bottom w:val="nil"/>
            </w:tcBorders>
            <w:vAlign w:val="top"/>
          </w:tcPr>
          <w:p w14:paraId="7AF2BEBA">
            <w:pPr>
              <w:rPr>
                <w:rFonts w:ascii="Arial"/>
                <w:sz w:val="21"/>
              </w:rPr>
            </w:pPr>
          </w:p>
        </w:tc>
        <w:tc>
          <w:tcPr>
            <w:tcW w:w="1956" w:type="dxa"/>
            <w:vAlign w:val="top"/>
          </w:tcPr>
          <w:p w14:paraId="448EBD69">
            <w:pPr>
              <w:pStyle w:val="6"/>
              <w:spacing w:before="209" w:line="229" w:lineRule="auto"/>
              <w:ind w:left="563"/>
            </w:pPr>
            <w:r>
              <w:rPr>
                <w:spacing w:val="7"/>
              </w:rPr>
              <w:t>监测方式</w:t>
            </w:r>
          </w:p>
        </w:tc>
        <w:tc>
          <w:tcPr>
            <w:tcW w:w="2256" w:type="dxa"/>
            <w:vAlign w:val="top"/>
          </w:tcPr>
          <w:p w14:paraId="2843ED6A">
            <w:pPr>
              <w:pStyle w:val="6"/>
              <w:spacing w:before="54" w:line="228" w:lineRule="auto"/>
              <w:ind w:left="113"/>
            </w:pPr>
            <w:r>
              <w:rPr>
                <w:spacing w:val="-8"/>
              </w:rPr>
              <w:t>手动</w:t>
            </w:r>
            <w:r>
              <w:rPr>
                <w:spacing w:val="24"/>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25"/>
              </w:rPr>
              <w:t xml:space="preserve"> </w:t>
            </w:r>
            <w:r>
              <w:rPr>
                <w:spacing w:val="-8"/>
              </w:rPr>
              <w:t>；自动</w:t>
            </w:r>
            <w:r>
              <w:rPr>
                <w:spacing w:val="20"/>
              </w:rPr>
              <w:t xml:space="preserve"> </w:t>
            </w:r>
            <w:r>
              <w:rPr>
                <w:rFonts w:ascii="Times New Roman" w:hAnsi="Times New Roman" w:eastAsia="Times New Roman" w:cs="Times New Roman"/>
                <w:spacing w:val="-8"/>
              </w:rPr>
              <w:t>□</w:t>
            </w:r>
            <w:r>
              <w:rPr>
                <w:spacing w:val="-8"/>
              </w:rPr>
              <w:t>；无监</w:t>
            </w:r>
          </w:p>
          <w:p w14:paraId="127BA9FA">
            <w:pPr>
              <w:pStyle w:val="6"/>
              <w:spacing w:before="64" w:line="229" w:lineRule="auto"/>
              <w:ind w:left="913"/>
              <w:rPr>
                <w:rFonts w:ascii="Times New Roman" w:hAnsi="Times New Roman" w:eastAsia="Times New Roman" w:cs="Times New Roman"/>
              </w:rPr>
            </w:pPr>
            <w:r>
              <w:t>测</w:t>
            </w:r>
            <w:r>
              <w:rPr>
                <w:spacing w:val="20"/>
              </w:rPr>
              <w:t xml:space="preserve"> </w:t>
            </w:r>
            <w:r>
              <w:rPr>
                <w:rFonts w:ascii="Times New Roman" w:hAnsi="Times New Roman" w:eastAsia="Times New Roman" w:cs="Times New Roman"/>
              </w:rPr>
              <w:t>□</w:t>
            </w:r>
          </w:p>
        </w:tc>
        <w:tc>
          <w:tcPr>
            <w:tcW w:w="2503" w:type="dxa"/>
            <w:vAlign w:val="top"/>
          </w:tcPr>
          <w:p w14:paraId="14A91D65">
            <w:pPr>
              <w:pStyle w:val="6"/>
              <w:spacing w:before="54" w:line="228" w:lineRule="auto"/>
              <w:ind w:left="115"/>
            </w:pPr>
            <w:r>
              <w:rPr>
                <w:spacing w:val="-4"/>
              </w:rPr>
              <w:t>手动</w:t>
            </w:r>
            <w:r>
              <w:rPr>
                <w:spacing w:val="26"/>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；自动</w:t>
            </w:r>
            <w:r>
              <w:rPr>
                <w:spacing w:val="22"/>
              </w:rPr>
              <w:t xml:space="preserve"> </w:t>
            </w:r>
            <w:r>
              <w:rPr>
                <w:rFonts w:ascii="Times New Roman" w:hAnsi="Times New Roman" w:eastAsia="Times New Roman" w:cs="Times New Roman"/>
                <w:spacing w:val="-4"/>
              </w:rPr>
              <w:t>□</w:t>
            </w:r>
            <w:r>
              <w:rPr>
                <w:spacing w:val="-4"/>
              </w:rPr>
              <w:t>；无监测</w:t>
            </w:r>
          </w:p>
          <w:p w14:paraId="28A804CD">
            <w:pPr>
              <w:spacing w:before="146" w:line="141" w:lineRule="exact"/>
              <w:ind w:left="1200"/>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14:paraId="6E1AB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679" w:type="dxa"/>
            <w:vMerge w:val="continue"/>
            <w:tcBorders>
              <w:top w:val="nil"/>
              <w:bottom w:val="nil"/>
            </w:tcBorders>
            <w:vAlign w:val="top"/>
          </w:tcPr>
          <w:p w14:paraId="7AB5931D">
            <w:pPr>
              <w:rPr>
                <w:rFonts w:ascii="Arial"/>
                <w:sz w:val="21"/>
              </w:rPr>
            </w:pPr>
          </w:p>
        </w:tc>
        <w:tc>
          <w:tcPr>
            <w:tcW w:w="1133" w:type="dxa"/>
            <w:vMerge w:val="continue"/>
            <w:tcBorders>
              <w:top w:val="nil"/>
              <w:bottom w:val="nil"/>
            </w:tcBorders>
            <w:vAlign w:val="top"/>
          </w:tcPr>
          <w:p w14:paraId="77B2B361">
            <w:pPr>
              <w:rPr>
                <w:rFonts w:ascii="Arial"/>
                <w:sz w:val="21"/>
              </w:rPr>
            </w:pPr>
          </w:p>
        </w:tc>
        <w:tc>
          <w:tcPr>
            <w:tcW w:w="1956" w:type="dxa"/>
            <w:vAlign w:val="top"/>
          </w:tcPr>
          <w:p w14:paraId="58D5717E">
            <w:pPr>
              <w:pStyle w:val="6"/>
              <w:spacing w:before="73" w:line="229" w:lineRule="auto"/>
              <w:ind w:left="563"/>
            </w:pPr>
            <w:r>
              <w:rPr>
                <w:spacing w:val="7"/>
              </w:rPr>
              <w:t>监测点位</w:t>
            </w:r>
          </w:p>
        </w:tc>
        <w:tc>
          <w:tcPr>
            <w:tcW w:w="2256" w:type="dxa"/>
            <w:vAlign w:val="top"/>
          </w:tcPr>
          <w:p w14:paraId="58E55549">
            <w:pPr>
              <w:pStyle w:val="6"/>
              <w:spacing w:before="73" w:line="231" w:lineRule="auto"/>
              <w:ind w:left="1034"/>
            </w:pPr>
            <w:r>
              <w:rPr>
                <w:spacing w:val="-10"/>
              </w:rPr>
              <w:t>()</w:t>
            </w:r>
          </w:p>
        </w:tc>
        <w:tc>
          <w:tcPr>
            <w:tcW w:w="2503" w:type="dxa"/>
            <w:vAlign w:val="top"/>
          </w:tcPr>
          <w:p w14:paraId="3856E59B">
            <w:pPr>
              <w:pStyle w:val="6"/>
              <w:spacing w:before="73" w:line="231" w:lineRule="auto"/>
              <w:ind w:left="1157"/>
            </w:pPr>
            <w:r>
              <w:rPr>
                <w:spacing w:val="-10"/>
              </w:rPr>
              <w:t>()</w:t>
            </w:r>
          </w:p>
        </w:tc>
      </w:tr>
      <w:tr w14:paraId="3F8C9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679" w:type="dxa"/>
            <w:vMerge w:val="continue"/>
            <w:tcBorders>
              <w:top w:val="nil"/>
              <w:bottom w:val="nil"/>
            </w:tcBorders>
            <w:vAlign w:val="top"/>
          </w:tcPr>
          <w:p w14:paraId="799D9788">
            <w:pPr>
              <w:rPr>
                <w:rFonts w:ascii="Arial"/>
                <w:sz w:val="21"/>
              </w:rPr>
            </w:pPr>
          </w:p>
        </w:tc>
        <w:tc>
          <w:tcPr>
            <w:tcW w:w="1133" w:type="dxa"/>
            <w:vMerge w:val="continue"/>
            <w:tcBorders>
              <w:top w:val="nil"/>
            </w:tcBorders>
            <w:vAlign w:val="top"/>
          </w:tcPr>
          <w:p w14:paraId="04945AA4">
            <w:pPr>
              <w:rPr>
                <w:rFonts w:ascii="Arial"/>
                <w:sz w:val="21"/>
              </w:rPr>
            </w:pPr>
          </w:p>
        </w:tc>
        <w:tc>
          <w:tcPr>
            <w:tcW w:w="1956" w:type="dxa"/>
            <w:vAlign w:val="top"/>
          </w:tcPr>
          <w:p w14:paraId="3D0F91CC">
            <w:pPr>
              <w:pStyle w:val="6"/>
              <w:spacing w:before="75" w:line="228" w:lineRule="auto"/>
              <w:ind w:left="563"/>
            </w:pPr>
            <w:r>
              <w:rPr>
                <w:spacing w:val="7"/>
              </w:rPr>
              <w:t>监测因子</w:t>
            </w:r>
          </w:p>
        </w:tc>
        <w:tc>
          <w:tcPr>
            <w:tcW w:w="2256" w:type="dxa"/>
            <w:vAlign w:val="top"/>
          </w:tcPr>
          <w:p w14:paraId="58ED1FDD">
            <w:pPr>
              <w:pStyle w:val="6"/>
              <w:spacing w:before="74" w:line="231" w:lineRule="auto"/>
              <w:ind w:left="1034"/>
            </w:pPr>
            <w:r>
              <w:rPr>
                <w:spacing w:val="-10"/>
              </w:rPr>
              <w:t>()</w:t>
            </w:r>
          </w:p>
        </w:tc>
        <w:tc>
          <w:tcPr>
            <w:tcW w:w="2503" w:type="dxa"/>
            <w:vAlign w:val="top"/>
          </w:tcPr>
          <w:p w14:paraId="341B0C90">
            <w:pPr>
              <w:pStyle w:val="6"/>
              <w:spacing w:before="74" w:line="231" w:lineRule="auto"/>
              <w:ind w:left="1157"/>
            </w:pPr>
            <w:r>
              <w:rPr>
                <w:spacing w:val="-10"/>
              </w:rPr>
              <w:t>()</w:t>
            </w:r>
          </w:p>
        </w:tc>
      </w:tr>
      <w:tr w14:paraId="317CC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79" w:type="dxa"/>
            <w:vMerge w:val="continue"/>
            <w:tcBorders>
              <w:top w:val="nil"/>
            </w:tcBorders>
            <w:vAlign w:val="top"/>
          </w:tcPr>
          <w:p w14:paraId="74981980">
            <w:pPr>
              <w:rPr>
                <w:rFonts w:ascii="Arial"/>
                <w:sz w:val="21"/>
              </w:rPr>
            </w:pPr>
          </w:p>
        </w:tc>
        <w:tc>
          <w:tcPr>
            <w:tcW w:w="1133" w:type="dxa"/>
            <w:vAlign w:val="top"/>
          </w:tcPr>
          <w:p w14:paraId="6272F5C8">
            <w:pPr>
              <w:pStyle w:val="6"/>
              <w:spacing w:before="56" w:line="259" w:lineRule="auto"/>
              <w:ind w:left="254" w:right="148" w:hanging="103"/>
            </w:pPr>
            <w:r>
              <w:rPr>
                <w:spacing w:val="6"/>
              </w:rPr>
              <w:t>污染物排</w:t>
            </w:r>
            <w:r>
              <w:rPr>
                <w:spacing w:val="2"/>
              </w:rPr>
              <w:t xml:space="preserve"> </w:t>
            </w:r>
            <w:r>
              <w:rPr>
                <w:spacing w:val="6"/>
              </w:rPr>
              <w:t>放清单</w:t>
            </w:r>
          </w:p>
        </w:tc>
        <w:tc>
          <w:tcPr>
            <w:tcW w:w="6715" w:type="dxa"/>
            <w:gridSpan w:val="3"/>
            <w:vAlign w:val="top"/>
          </w:tcPr>
          <w:p w14:paraId="5D0D0672">
            <w:pPr>
              <w:rPr>
                <w:rFonts w:ascii="Arial"/>
                <w:sz w:val="21"/>
              </w:rPr>
            </w:pPr>
          </w:p>
        </w:tc>
      </w:tr>
      <w:tr w14:paraId="0E3AC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12" w:type="dxa"/>
            <w:gridSpan w:val="2"/>
            <w:vAlign w:val="top"/>
          </w:tcPr>
          <w:p w14:paraId="3E48057D">
            <w:pPr>
              <w:pStyle w:val="6"/>
              <w:spacing w:before="71" w:line="226" w:lineRule="auto"/>
              <w:ind w:left="491"/>
            </w:pPr>
            <w:r>
              <w:rPr>
                <w:spacing w:val="7"/>
              </w:rPr>
              <w:t>评价结论</w:t>
            </w:r>
          </w:p>
        </w:tc>
        <w:tc>
          <w:tcPr>
            <w:tcW w:w="6715" w:type="dxa"/>
            <w:gridSpan w:val="3"/>
            <w:vAlign w:val="top"/>
          </w:tcPr>
          <w:p w14:paraId="5F5264FD">
            <w:pPr>
              <w:pStyle w:val="6"/>
              <w:spacing w:before="71"/>
              <w:ind w:left="1999"/>
              <w:rPr>
                <w:rFonts w:ascii="Times New Roman" w:hAnsi="Times New Roman" w:eastAsia="Times New Roman" w:cs="Times New Roman"/>
              </w:rPr>
            </w:pPr>
            <w:r>
              <w:rPr>
                <w:spacing w:val="5"/>
              </w:rPr>
              <w:t>可以接受</w:t>
            </w:r>
            <w:r>
              <w:rPr>
                <w:rFonts w:ascii="MS Gothic" w:hAnsi="MS Gothic" w:eastAsia="MS Gothic" w:cs="MS Gothic"/>
                <w:spacing w:val="5"/>
              </w:rPr>
              <w:t>☑</w:t>
            </w:r>
            <w:r>
              <w:rPr>
                <w:rFonts w:ascii="MS Gothic" w:hAnsi="MS Gothic" w:eastAsia="MS Gothic" w:cs="MS Gothic"/>
                <w:spacing w:val="20"/>
              </w:rPr>
              <w:t xml:space="preserve">  </w:t>
            </w:r>
            <w:r>
              <w:rPr>
                <w:spacing w:val="5"/>
              </w:rPr>
              <w:t xml:space="preserve">；不可以接受 </w:t>
            </w:r>
            <w:r>
              <w:rPr>
                <w:rFonts w:ascii="Times New Roman" w:hAnsi="Times New Roman" w:eastAsia="Times New Roman" w:cs="Times New Roman"/>
                <w:spacing w:val="5"/>
              </w:rPr>
              <w:t>□</w:t>
            </w:r>
          </w:p>
        </w:tc>
      </w:tr>
      <w:tr w14:paraId="74AEA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27" w:type="dxa"/>
            <w:gridSpan w:val="5"/>
            <w:vAlign w:val="top"/>
          </w:tcPr>
          <w:p w14:paraId="4C69488B">
            <w:pPr>
              <w:pStyle w:val="6"/>
              <w:spacing w:before="68" w:line="228" w:lineRule="auto"/>
              <w:ind w:left="984"/>
            </w:pPr>
            <w:r>
              <w:rPr>
                <w:spacing w:val="7"/>
              </w:rPr>
              <w:t>注：</w:t>
            </w:r>
            <w:r>
              <w:rPr>
                <w:rFonts w:ascii="Times New Roman" w:hAnsi="Times New Roman" w:eastAsia="Times New Roman" w:cs="Times New Roman"/>
                <w:spacing w:val="7"/>
              </w:rPr>
              <w:t>“</w:t>
            </w:r>
            <w:r>
              <w:rPr>
                <w:rFonts w:ascii="Times New Roman" w:hAnsi="Times New Roman" w:eastAsia="Times New Roman" w:cs="Times New Roman"/>
                <w:spacing w:val="-34"/>
              </w:rPr>
              <w:t xml:space="preserve"> </w:t>
            </w:r>
            <w:r>
              <w:rPr>
                <w:rFonts w:ascii="Times New Roman" w:hAnsi="Times New Roman" w:eastAsia="Times New Roman" w:cs="Times New Roman"/>
                <w:spacing w:val="7"/>
              </w:rPr>
              <w:t>□”</w:t>
            </w:r>
            <w:r>
              <w:rPr>
                <w:spacing w:val="7"/>
              </w:rPr>
              <w:t>为勾选项，可  ；</w:t>
            </w:r>
            <w:r>
              <w:rPr>
                <w:rFonts w:ascii="Times New Roman" w:hAnsi="Times New Roman" w:eastAsia="Times New Roman" w:cs="Times New Roman"/>
                <w:spacing w:val="7"/>
              </w:rPr>
              <w:t xml:space="preserve">“  </w:t>
            </w:r>
            <w:r>
              <w:rPr>
                <w:spacing w:val="7"/>
              </w:rPr>
              <w:t>()</w:t>
            </w:r>
            <w:r>
              <w:rPr>
                <w:spacing w:val="27"/>
              </w:rPr>
              <w:t xml:space="preserve"> </w:t>
            </w:r>
            <w:r>
              <w:rPr>
                <w:rFonts w:ascii="Times New Roman" w:hAnsi="Times New Roman" w:eastAsia="Times New Roman" w:cs="Times New Roman"/>
                <w:spacing w:val="7"/>
              </w:rPr>
              <w:t>”</w:t>
            </w:r>
            <w:r>
              <w:rPr>
                <w:spacing w:val="7"/>
              </w:rPr>
              <w:t>为内容填写项；</w:t>
            </w:r>
            <w:r>
              <w:rPr>
                <w:rFonts w:ascii="Times New Roman" w:hAnsi="Times New Roman" w:eastAsia="Times New Roman" w:cs="Times New Roman"/>
                <w:spacing w:val="7"/>
              </w:rPr>
              <w:t>“</w:t>
            </w:r>
            <w:r>
              <w:rPr>
                <w:spacing w:val="7"/>
              </w:rPr>
              <w:t>备注</w:t>
            </w:r>
            <w:r>
              <w:rPr>
                <w:rFonts w:ascii="Times New Roman" w:hAnsi="Times New Roman" w:eastAsia="Times New Roman" w:cs="Times New Roman"/>
                <w:spacing w:val="7"/>
              </w:rPr>
              <w:t>”</w:t>
            </w:r>
            <w:r>
              <w:rPr>
                <w:spacing w:val="7"/>
              </w:rPr>
              <w:t>为</w:t>
            </w:r>
            <w:r>
              <w:rPr>
                <w:spacing w:val="6"/>
              </w:rPr>
              <w:t>其他补充内容</w:t>
            </w:r>
          </w:p>
        </w:tc>
      </w:tr>
    </w:tbl>
    <w:p w14:paraId="6D6A5290">
      <w:pPr>
        <w:pStyle w:val="2"/>
      </w:pPr>
    </w:p>
    <w:p w14:paraId="35D06F52">
      <w:pPr>
        <w:sectPr>
          <w:footerReference r:id="rId322" w:type="default"/>
          <w:pgSz w:w="11906" w:h="16839"/>
          <w:pgMar w:top="1208" w:right="1578" w:bottom="1358" w:left="1785" w:header="825" w:footer="1195" w:gutter="0"/>
          <w:cols w:space="720" w:num="1"/>
        </w:sectPr>
      </w:pPr>
    </w:p>
    <w:p w14:paraId="667F54DA">
      <w:pPr>
        <w:spacing w:before="271" w:line="222" w:lineRule="auto"/>
        <w:ind w:left="23"/>
        <w:outlineLvl w:val="1"/>
        <w:rPr>
          <w:rFonts w:ascii="黑体" w:hAnsi="黑体" w:eastAsia="黑体" w:cs="黑体"/>
          <w:sz w:val="28"/>
          <w:szCs w:val="28"/>
        </w:rPr>
      </w:pPr>
      <w:bookmarkStart w:id="132" w:name="bookmark117"/>
      <w:bookmarkEnd w:id="132"/>
      <w:bookmarkStart w:id="133" w:name="bookmark118"/>
      <w:bookmarkEnd w:id="133"/>
      <w:r>
        <w:rPr>
          <w:rFonts w:ascii="Times New Roman" w:hAnsi="Times New Roman" w:eastAsia="Times New Roman" w:cs="Times New Roman"/>
          <w:b/>
          <w:bCs/>
          <w:spacing w:val="-3"/>
          <w:sz w:val="28"/>
          <w:szCs w:val="28"/>
        </w:rPr>
        <w:t xml:space="preserve">8.4 </w:t>
      </w:r>
      <w:r>
        <w:rPr>
          <w:rFonts w:ascii="黑体" w:hAnsi="黑体" w:eastAsia="黑体" w:cs="黑体"/>
          <w:b/>
          <w:bCs/>
          <w:spacing w:val="-3"/>
          <w:sz w:val="28"/>
          <w:szCs w:val="28"/>
        </w:rPr>
        <w:t>环境噪声现状及影响分析</w:t>
      </w:r>
    </w:p>
    <w:p w14:paraId="158AEBEE">
      <w:pPr>
        <w:spacing w:before="257" w:line="219" w:lineRule="auto"/>
        <w:ind w:left="502"/>
        <w:outlineLvl w:val="2"/>
        <w:rPr>
          <w:rFonts w:ascii="宋体" w:hAnsi="宋体" w:eastAsia="宋体" w:cs="宋体"/>
          <w:sz w:val="24"/>
          <w:szCs w:val="24"/>
        </w:rPr>
      </w:pPr>
      <w:bookmarkStart w:id="134" w:name="bookmark210"/>
      <w:bookmarkEnd w:id="134"/>
      <w:r>
        <w:rPr>
          <w:rFonts w:ascii="Times New Roman" w:hAnsi="Times New Roman" w:eastAsia="Times New Roman" w:cs="Times New Roman"/>
          <w:b/>
          <w:bCs/>
          <w:spacing w:val="-2"/>
          <w:sz w:val="24"/>
          <w:szCs w:val="24"/>
        </w:rPr>
        <w:t xml:space="preserve">8.4.1 </w:t>
      </w:r>
      <w:r>
        <w:rPr>
          <w:rFonts w:ascii="宋体" w:hAnsi="宋体" w:eastAsia="宋体" w:cs="宋体"/>
          <w:b/>
          <w:bCs/>
          <w:spacing w:val="-2"/>
          <w:sz w:val="24"/>
          <w:szCs w:val="24"/>
        </w:rPr>
        <w:t>主要噪声源声学参数</w:t>
      </w:r>
    </w:p>
    <w:p w14:paraId="7696B0DE">
      <w:pPr>
        <w:spacing w:before="182" w:line="219" w:lineRule="auto"/>
        <w:ind w:left="504"/>
        <w:rPr>
          <w:rFonts w:ascii="宋体" w:hAnsi="宋体" w:eastAsia="宋体" w:cs="宋体"/>
          <w:sz w:val="24"/>
          <w:szCs w:val="24"/>
        </w:rPr>
      </w:pPr>
      <w:r>
        <w:rPr>
          <w:rFonts w:ascii="宋体" w:hAnsi="宋体" w:eastAsia="宋体" w:cs="宋体"/>
          <w:spacing w:val="-2"/>
          <w:sz w:val="24"/>
          <w:szCs w:val="24"/>
        </w:rPr>
        <w:t>本项目主要新增噪声源声学参数见表</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8.4-1</w:t>
      </w:r>
      <w:r>
        <w:rPr>
          <w:rFonts w:ascii="宋体" w:hAnsi="宋体" w:eastAsia="宋体" w:cs="宋体"/>
          <w:spacing w:val="-2"/>
          <w:sz w:val="24"/>
          <w:szCs w:val="24"/>
        </w:rPr>
        <w:t>。</w:t>
      </w:r>
    </w:p>
    <w:p w14:paraId="1394BE14">
      <w:pPr>
        <w:spacing w:line="219" w:lineRule="auto"/>
        <w:rPr>
          <w:rFonts w:ascii="宋体" w:hAnsi="宋体" w:eastAsia="宋体" w:cs="宋体"/>
          <w:sz w:val="24"/>
          <w:szCs w:val="24"/>
        </w:rPr>
        <w:sectPr>
          <w:headerReference r:id="rId323" w:type="default"/>
          <w:footerReference r:id="rId324" w:type="default"/>
          <w:pgSz w:w="11906" w:h="16839"/>
          <w:pgMar w:top="1208" w:right="1785" w:bottom="1358" w:left="1785" w:header="825" w:footer="1195" w:gutter="0"/>
          <w:cols w:space="720" w:num="1"/>
        </w:sectPr>
      </w:pPr>
    </w:p>
    <w:p w14:paraId="60881D47">
      <w:pPr>
        <w:pStyle w:val="2"/>
        <w:spacing w:line="285" w:lineRule="auto"/>
      </w:pPr>
    </w:p>
    <w:p w14:paraId="329C7622">
      <w:pPr>
        <w:pStyle w:val="2"/>
        <w:spacing w:line="286" w:lineRule="auto"/>
      </w:pPr>
    </w:p>
    <w:p w14:paraId="765AE4B8">
      <w:pPr>
        <w:spacing w:before="65" w:line="228" w:lineRule="auto"/>
        <w:ind w:left="5026"/>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0"/>
          <w:sz w:val="20"/>
          <w:szCs w:val="20"/>
        </w:rPr>
        <w:t xml:space="preserve"> </w:t>
      </w:r>
      <w:r>
        <w:rPr>
          <w:rFonts w:ascii="Times New Roman" w:hAnsi="Times New Roman" w:eastAsia="Times New Roman" w:cs="Times New Roman"/>
          <w:spacing w:val="6"/>
          <w:sz w:val="20"/>
          <w:szCs w:val="20"/>
        </w:rPr>
        <w:t xml:space="preserve">8.4-1        </w:t>
      </w:r>
      <w:r>
        <w:rPr>
          <w:rFonts w:ascii="宋体" w:hAnsi="宋体" w:eastAsia="宋体" w:cs="宋体"/>
          <w:spacing w:val="6"/>
          <w:sz w:val="20"/>
          <w:szCs w:val="20"/>
        </w:rPr>
        <w:t>技改工程主要新增噪声源声学参数</w:t>
      </w:r>
    </w:p>
    <w:p w14:paraId="7FEE5229">
      <w:pPr>
        <w:spacing w:line="134" w:lineRule="auto"/>
        <w:rPr>
          <w:rFonts w:ascii="Arial"/>
          <w:sz w:val="2"/>
        </w:rPr>
      </w:pPr>
    </w:p>
    <w:tbl>
      <w:tblPr>
        <w:tblStyle w:val="5"/>
        <w:tblW w:w="14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
        <w:gridCol w:w="812"/>
        <w:gridCol w:w="1900"/>
        <w:gridCol w:w="2551"/>
        <w:gridCol w:w="1113"/>
        <w:gridCol w:w="1007"/>
        <w:gridCol w:w="564"/>
        <w:gridCol w:w="564"/>
        <w:gridCol w:w="670"/>
        <w:gridCol w:w="734"/>
        <w:gridCol w:w="860"/>
        <w:gridCol w:w="962"/>
        <w:gridCol w:w="773"/>
        <w:gridCol w:w="831"/>
        <w:gridCol w:w="684"/>
      </w:tblGrid>
      <w:tr w14:paraId="6EC4B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17" w:type="dxa"/>
            <w:vMerge w:val="restart"/>
            <w:tcBorders>
              <w:bottom w:val="nil"/>
            </w:tcBorders>
            <w:textDirection w:val="tbRlV"/>
            <w:vAlign w:val="top"/>
          </w:tcPr>
          <w:p w14:paraId="1705AAAB">
            <w:pPr>
              <w:pStyle w:val="6"/>
              <w:spacing w:before="52" w:line="218" w:lineRule="auto"/>
              <w:ind w:left="369"/>
            </w:pPr>
            <w:r>
              <w:rPr>
                <w:spacing w:val="6"/>
              </w:rPr>
              <w:t>序 号</w:t>
            </w:r>
          </w:p>
        </w:tc>
        <w:tc>
          <w:tcPr>
            <w:tcW w:w="812" w:type="dxa"/>
            <w:vMerge w:val="restart"/>
            <w:tcBorders>
              <w:bottom w:val="nil"/>
            </w:tcBorders>
            <w:vAlign w:val="top"/>
          </w:tcPr>
          <w:p w14:paraId="53EB21E5">
            <w:pPr>
              <w:spacing w:line="303" w:lineRule="auto"/>
              <w:rPr>
                <w:rFonts w:ascii="Arial"/>
                <w:sz w:val="21"/>
              </w:rPr>
            </w:pPr>
          </w:p>
          <w:p w14:paraId="1E579619">
            <w:pPr>
              <w:pStyle w:val="6"/>
              <w:spacing w:before="65" w:line="290" w:lineRule="auto"/>
              <w:ind w:left="302" w:right="91" w:hanging="205"/>
            </w:pPr>
            <w:r>
              <w:rPr>
                <w:spacing w:val="6"/>
              </w:rPr>
              <w:t>工艺名</w:t>
            </w:r>
            <w:r>
              <w:t xml:space="preserve"> </w:t>
            </w:r>
            <w:r>
              <w:rPr>
                <w:spacing w:val="1"/>
              </w:rPr>
              <w:t>称</w:t>
            </w:r>
          </w:p>
        </w:tc>
        <w:tc>
          <w:tcPr>
            <w:tcW w:w="1900" w:type="dxa"/>
            <w:vMerge w:val="restart"/>
            <w:tcBorders>
              <w:bottom w:val="nil"/>
            </w:tcBorders>
            <w:vAlign w:val="top"/>
          </w:tcPr>
          <w:p w14:paraId="11EE2281">
            <w:pPr>
              <w:spacing w:line="457" w:lineRule="auto"/>
              <w:rPr>
                <w:rFonts w:ascii="Arial"/>
                <w:sz w:val="21"/>
              </w:rPr>
            </w:pPr>
          </w:p>
          <w:p w14:paraId="30B6D85C">
            <w:pPr>
              <w:pStyle w:val="6"/>
              <w:spacing w:before="65" w:line="228" w:lineRule="auto"/>
              <w:ind w:left="537"/>
            </w:pPr>
            <w:r>
              <w:rPr>
                <w:spacing w:val="6"/>
              </w:rPr>
              <w:t>声源名称</w:t>
            </w:r>
          </w:p>
        </w:tc>
        <w:tc>
          <w:tcPr>
            <w:tcW w:w="2551" w:type="dxa"/>
            <w:vMerge w:val="restart"/>
            <w:tcBorders>
              <w:bottom w:val="nil"/>
            </w:tcBorders>
            <w:vAlign w:val="top"/>
          </w:tcPr>
          <w:p w14:paraId="3A50C1D6">
            <w:pPr>
              <w:spacing w:line="457" w:lineRule="auto"/>
              <w:rPr>
                <w:rFonts w:ascii="Arial"/>
                <w:sz w:val="21"/>
              </w:rPr>
            </w:pPr>
          </w:p>
          <w:p w14:paraId="401C0959">
            <w:pPr>
              <w:pStyle w:val="6"/>
              <w:spacing w:before="65" w:line="229" w:lineRule="auto"/>
              <w:ind w:left="1075"/>
            </w:pPr>
            <w:r>
              <w:rPr>
                <w:spacing w:val="1"/>
              </w:rPr>
              <w:t>型号</w:t>
            </w:r>
          </w:p>
        </w:tc>
        <w:tc>
          <w:tcPr>
            <w:tcW w:w="1113" w:type="dxa"/>
            <w:vMerge w:val="restart"/>
            <w:tcBorders>
              <w:bottom w:val="nil"/>
            </w:tcBorders>
            <w:vAlign w:val="top"/>
          </w:tcPr>
          <w:p w14:paraId="3A260B45">
            <w:pPr>
              <w:spacing w:line="457" w:lineRule="auto"/>
              <w:rPr>
                <w:rFonts w:ascii="Arial"/>
                <w:sz w:val="21"/>
              </w:rPr>
            </w:pPr>
          </w:p>
          <w:p w14:paraId="07240161">
            <w:pPr>
              <w:pStyle w:val="6"/>
              <w:spacing w:before="65" w:line="228" w:lineRule="auto"/>
              <w:ind w:left="146"/>
            </w:pPr>
            <w:r>
              <w:rPr>
                <w:spacing w:val="6"/>
              </w:rPr>
              <w:t>声源源强</w:t>
            </w:r>
          </w:p>
        </w:tc>
        <w:tc>
          <w:tcPr>
            <w:tcW w:w="1007" w:type="dxa"/>
            <w:vMerge w:val="restart"/>
            <w:tcBorders>
              <w:bottom w:val="nil"/>
            </w:tcBorders>
            <w:vAlign w:val="top"/>
          </w:tcPr>
          <w:p w14:paraId="5CB00EE0">
            <w:pPr>
              <w:spacing w:line="301" w:lineRule="auto"/>
              <w:rPr>
                <w:rFonts w:ascii="Arial"/>
                <w:sz w:val="21"/>
              </w:rPr>
            </w:pPr>
          </w:p>
          <w:p w14:paraId="0609780B">
            <w:pPr>
              <w:pStyle w:val="6"/>
              <w:spacing w:before="65" w:line="290" w:lineRule="auto"/>
              <w:ind w:left="298" w:right="81" w:hanging="204"/>
            </w:pPr>
            <w:r>
              <w:rPr>
                <w:spacing w:val="6"/>
              </w:rPr>
              <w:t>声源控制</w:t>
            </w:r>
            <w:r>
              <w:t xml:space="preserve"> </w:t>
            </w:r>
            <w:r>
              <w:rPr>
                <w:spacing w:val="4"/>
              </w:rPr>
              <w:t>措施</w:t>
            </w:r>
          </w:p>
        </w:tc>
        <w:tc>
          <w:tcPr>
            <w:tcW w:w="1798" w:type="dxa"/>
            <w:gridSpan w:val="3"/>
            <w:vAlign w:val="top"/>
          </w:tcPr>
          <w:p w14:paraId="002C8677">
            <w:pPr>
              <w:pStyle w:val="6"/>
              <w:spacing w:before="71" w:line="229" w:lineRule="auto"/>
              <w:ind w:left="172"/>
              <w:rPr>
                <w:rFonts w:ascii="Times New Roman" w:hAnsi="Times New Roman" w:eastAsia="Times New Roman" w:cs="Times New Roman"/>
              </w:rPr>
            </w:pPr>
            <w:r>
              <w:rPr>
                <w:spacing w:val="6"/>
              </w:rPr>
              <w:t>空间相对位置</w:t>
            </w:r>
            <w:r>
              <w:rPr>
                <w:rFonts w:ascii="Times New Roman" w:hAnsi="Times New Roman" w:eastAsia="Times New Roman" w:cs="Times New Roman"/>
                <w:spacing w:val="6"/>
              </w:rPr>
              <w:t>/m</w:t>
            </w:r>
          </w:p>
        </w:tc>
        <w:tc>
          <w:tcPr>
            <w:tcW w:w="734" w:type="dxa"/>
            <w:vMerge w:val="restart"/>
            <w:tcBorders>
              <w:bottom w:val="nil"/>
            </w:tcBorders>
            <w:vAlign w:val="top"/>
          </w:tcPr>
          <w:p w14:paraId="07A5EF96">
            <w:pPr>
              <w:pStyle w:val="6"/>
              <w:spacing w:before="212" w:line="228" w:lineRule="auto"/>
              <w:ind w:left="59"/>
            </w:pPr>
            <w:r>
              <w:rPr>
                <w:spacing w:val="7"/>
              </w:rPr>
              <w:t>距室内</w:t>
            </w:r>
          </w:p>
          <w:p w14:paraId="695D3E03">
            <w:pPr>
              <w:pStyle w:val="6"/>
              <w:spacing w:before="65" w:line="229" w:lineRule="auto"/>
              <w:ind w:left="59"/>
            </w:pPr>
            <w:r>
              <w:rPr>
                <w:spacing w:val="7"/>
              </w:rPr>
              <w:t>边界距</w:t>
            </w:r>
          </w:p>
          <w:p w14:paraId="6DD68F1A">
            <w:pPr>
              <w:pStyle w:val="6"/>
              <w:spacing w:before="64" w:line="228" w:lineRule="auto"/>
              <w:ind w:left="161"/>
              <w:rPr>
                <w:rFonts w:ascii="Times New Roman" w:hAnsi="Times New Roman" w:eastAsia="Times New Roman" w:cs="Times New Roman"/>
              </w:rPr>
            </w:pPr>
            <w:r>
              <w:rPr>
                <w:spacing w:val="2"/>
              </w:rPr>
              <w:t>离</w:t>
            </w:r>
            <w:r>
              <w:rPr>
                <w:rFonts w:ascii="Times New Roman" w:hAnsi="Times New Roman" w:eastAsia="Times New Roman" w:cs="Times New Roman"/>
                <w:spacing w:val="2"/>
              </w:rPr>
              <w:t>/m</w:t>
            </w:r>
          </w:p>
        </w:tc>
        <w:tc>
          <w:tcPr>
            <w:tcW w:w="860" w:type="dxa"/>
            <w:vMerge w:val="restart"/>
            <w:tcBorders>
              <w:bottom w:val="nil"/>
            </w:tcBorders>
            <w:vAlign w:val="top"/>
          </w:tcPr>
          <w:p w14:paraId="2E3E6FFF">
            <w:pPr>
              <w:pStyle w:val="6"/>
              <w:spacing w:before="212" w:line="228" w:lineRule="auto"/>
              <w:ind w:left="20"/>
            </w:pPr>
            <w:r>
              <w:rPr>
                <w:spacing w:val="6"/>
              </w:rPr>
              <w:t>室内边界</w:t>
            </w:r>
          </w:p>
          <w:p w14:paraId="32E71DEB">
            <w:pPr>
              <w:pStyle w:val="6"/>
              <w:spacing w:before="65" w:line="228" w:lineRule="auto"/>
              <w:ind w:left="230"/>
            </w:pPr>
            <w:r>
              <w:rPr>
                <w:spacing w:val="2"/>
              </w:rPr>
              <w:t>声级</w:t>
            </w:r>
          </w:p>
          <w:p w14:paraId="19F35617">
            <w:pPr>
              <w:spacing w:before="96" w:line="201"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aB</w:t>
            </w:r>
            <w:r>
              <w:rPr>
                <w:rFonts w:ascii="Times New Roman" w:hAnsi="Times New Roman" w:eastAsia="Times New Roman" w:cs="Times New Roman"/>
                <w:spacing w:val="6"/>
                <w:sz w:val="20"/>
                <w:szCs w:val="20"/>
              </w:rPr>
              <w:t>(A)</w:t>
            </w:r>
          </w:p>
        </w:tc>
        <w:tc>
          <w:tcPr>
            <w:tcW w:w="962" w:type="dxa"/>
            <w:vMerge w:val="restart"/>
            <w:tcBorders>
              <w:bottom w:val="nil"/>
            </w:tcBorders>
            <w:vAlign w:val="top"/>
          </w:tcPr>
          <w:p w14:paraId="538673D7">
            <w:pPr>
              <w:spacing w:line="302" w:lineRule="auto"/>
              <w:rPr>
                <w:rFonts w:ascii="Arial"/>
                <w:sz w:val="21"/>
              </w:rPr>
            </w:pPr>
          </w:p>
          <w:p w14:paraId="7CC45404">
            <w:pPr>
              <w:pStyle w:val="6"/>
              <w:spacing w:before="65" w:line="228" w:lineRule="auto"/>
              <w:ind w:left="277"/>
            </w:pPr>
            <w:r>
              <w:rPr>
                <w:spacing w:val="4"/>
              </w:rPr>
              <w:t>运行</w:t>
            </w:r>
          </w:p>
          <w:p w14:paraId="0AD160E4">
            <w:pPr>
              <w:pStyle w:val="6"/>
              <w:spacing w:before="64" w:line="229" w:lineRule="auto"/>
              <w:ind w:left="287"/>
            </w:pPr>
            <w:r>
              <w:rPr>
                <w:spacing w:val="-1"/>
              </w:rPr>
              <w:t>时段</w:t>
            </w:r>
          </w:p>
        </w:tc>
        <w:tc>
          <w:tcPr>
            <w:tcW w:w="773" w:type="dxa"/>
            <w:vMerge w:val="restart"/>
            <w:tcBorders>
              <w:bottom w:val="nil"/>
            </w:tcBorders>
            <w:vAlign w:val="top"/>
          </w:tcPr>
          <w:p w14:paraId="069F79DC">
            <w:pPr>
              <w:pStyle w:val="6"/>
              <w:spacing w:before="57" w:line="228" w:lineRule="auto"/>
              <w:ind w:left="81"/>
            </w:pPr>
            <w:r>
              <w:rPr>
                <w:spacing w:val="6"/>
              </w:rPr>
              <w:t>建筑物</w:t>
            </w:r>
          </w:p>
          <w:p w14:paraId="426E6DCA">
            <w:pPr>
              <w:pStyle w:val="6"/>
              <w:spacing w:before="65" w:line="228" w:lineRule="auto"/>
              <w:ind w:left="78"/>
            </w:pPr>
            <w:r>
              <w:rPr>
                <w:spacing w:val="7"/>
              </w:rPr>
              <w:t>插入损</w:t>
            </w:r>
          </w:p>
          <w:p w14:paraId="305F5517">
            <w:pPr>
              <w:pStyle w:val="6"/>
              <w:spacing w:before="64" w:line="229" w:lineRule="auto"/>
              <w:ind w:left="213"/>
              <w:rPr>
                <w:rFonts w:ascii="Times New Roman" w:hAnsi="Times New Roman" w:eastAsia="Times New Roman" w:cs="Times New Roman"/>
              </w:rPr>
            </w:pPr>
            <w:r>
              <w:rPr>
                <w:spacing w:val="-1"/>
              </w:rPr>
              <w:t>失</w:t>
            </w:r>
            <w:r>
              <w:rPr>
                <w:spacing w:val="5"/>
              </w:rPr>
              <w:t xml:space="preserve"> </w:t>
            </w:r>
            <w:r>
              <w:rPr>
                <w:rFonts w:ascii="Times New Roman" w:hAnsi="Times New Roman" w:eastAsia="Times New Roman" w:cs="Times New Roman"/>
                <w:spacing w:val="-1"/>
              </w:rPr>
              <w:t>/</w:t>
            </w:r>
          </w:p>
          <w:p w14:paraId="6E7535D4">
            <w:pPr>
              <w:spacing w:before="95" w:line="201"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1515" w:type="dxa"/>
            <w:gridSpan w:val="2"/>
            <w:vAlign w:val="top"/>
          </w:tcPr>
          <w:p w14:paraId="4E373531">
            <w:pPr>
              <w:pStyle w:val="6"/>
              <w:spacing w:before="71" w:line="228" w:lineRule="auto"/>
              <w:ind w:left="134"/>
            </w:pPr>
            <w:r>
              <w:rPr>
                <w:spacing w:val="7"/>
              </w:rPr>
              <w:t>建筑物外噪声</w:t>
            </w:r>
          </w:p>
        </w:tc>
      </w:tr>
      <w:tr w14:paraId="5D111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317" w:type="dxa"/>
            <w:vMerge w:val="continue"/>
            <w:tcBorders>
              <w:top w:val="nil"/>
            </w:tcBorders>
            <w:textDirection w:val="tbRlV"/>
            <w:vAlign w:val="top"/>
          </w:tcPr>
          <w:p w14:paraId="6365E292">
            <w:pPr>
              <w:rPr>
                <w:rFonts w:ascii="Arial"/>
                <w:sz w:val="21"/>
              </w:rPr>
            </w:pPr>
          </w:p>
        </w:tc>
        <w:tc>
          <w:tcPr>
            <w:tcW w:w="812" w:type="dxa"/>
            <w:vMerge w:val="continue"/>
            <w:tcBorders>
              <w:top w:val="nil"/>
            </w:tcBorders>
            <w:vAlign w:val="top"/>
          </w:tcPr>
          <w:p w14:paraId="091F2F98">
            <w:pPr>
              <w:rPr>
                <w:rFonts w:ascii="Arial"/>
                <w:sz w:val="21"/>
              </w:rPr>
            </w:pPr>
          </w:p>
        </w:tc>
        <w:tc>
          <w:tcPr>
            <w:tcW w:w="1900" w:type="dxa"/>
            <w:vMerge w:val="continue"/>
            <w:tcBorders>
              <w:top w:val="nil"/>
            </w:tcBorders>
            <w:vAlign w:val="top"/>
          </w:tcPr>
          <w:p w14:paraId="69150F8E">
            <w:pPr>
              <w:rPr>
                <w:rFonts w:ascii="Arial"/>
                <w:sz w:val="21"/>
              </w:rPr>
            </w:pPr>
          </w:p>
        </w:tc>
        <w:tc>
          <w:tcPr>
            <w:tcW w:w="2551" w:type="dxa"/>
            <w:vMerge w:val="continue"/>
            <w:tcBorders>
              <w:top w:val="nil"/>
            </w:tcBorders>
            <w:vAlign w:val="top"/>
          </w:tcPr>
          <w:p w14:paraId="2E5DA06E">
            <w:pPr>
              <w:rPr>
                <w:rFonts w:ascii="Arial"/>
                <w:sz w:val="21"/>
              </w:rPr>
            </w:pPr>
          </w:p>
        </w:tc>
        <w:tc>
          <w:tcPr>
            <w:tcW w:w="1113" w:type="dxa"/>
            <w:vMerge w:val="continue"/>
            <w:tcBorders>
              <w:top w:val="nil"/>
            </w:tcBorders>
            <w:vAlign w:val="top"/>
          </w:tcPr>
          <w:p w14:paraId="30E8EB15">
            <w:pPr>
              <w:rPr>
                <w:rFonts w:ascii="Arial"/>
                <w:sz w:val="21"/>
              </w:rPr>
            </w:pPr>
          </w:p>
        </w:tc>
        <w:tc>
          <w:tcPr>
            <w:tcW w:w="1007" w:type="dxa"/>
            <w:vMerge w:val="continue"/>
            <w:tcBorders>
              <w:top w:val="nil"/>
            </w:tcBorders>
            <w:vAlign w:val="top"/>
          </w:tcPr>
          <w:p w14:paraId="12111344">
            <w:pPr>
              <w:rPr>
                <w:rFonts w:ascii="Arial"/>
                <w:sz w:val="21"/>
              </w:rPr>
            </w:pPr>
          </w:p>
        </w:tc>
        <w:tc>
          <w:tcPr>
            <w:tcW w:w="564" w:type="dxa"/>
            <w:vAlign w:val="top"/>
          </w:tcPr>
          <w:p w14:paraId="48DC4DD1">
            <w:pPr>
              <w:spacing w:line="325" w:lineRule="auto"/>
              <w:rPr>
                <w:rFonts w:ascii="Arial"/>
                <w:sz w:val="21"/>
              </w:rPr>
            </w:pPr>
          </w:p>
          <w:p w14:paraId="01E0DB23">
            <w:pPr>
              <w:spacing w:before="58"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64" w:type="dxa"/>
            <w:vAlign w:val="top"/>
          </w:tcPr>
          <w:p w14:paraId="174F61A9">
            <w:pPr>
              <w:spacing w:line="325" w:lineRule="auto"/>
              <w:rPr>
                <w:rFonts w:ascii="Arial"/>
                <w:sz w:val="21"/>
              </w:rPr>
            </w:pPr>
          </w:p>
          <w:p w14:paraId="73087F7C">
            <w:pPr>
              <w:spacing w:before="58" w:line="192"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670" w:type="dxa"/>
            <w:vAlign w:val="top"/>
          </w:tcPr>
          <w:p w14:paraId="6E059A7A">
            <w:pPr>
              <w:spacing w:line="325" w:lineRule="auto"/>
              <w:rPr>
                <w:rFonts w:ascii="Arial"/>
                <w:sz w:val="21"/>
              </w:rPr>
            </w:pPr>
          </w:p>
          <w:p w14:paraId="7EB4B5E2">
            <w:pPr>
              <w:spacing w:before="58" w:line="192"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734" w:type="dxa"/>
            <w:vMerge w:val="continue"/>
            <w:tcBorders>
              <w:top w:val="nil"/>
            </w:tcBorders>
            <w:vAlign w:val="top"/>
          </w:tcPr>
          <w:p w14:paraId="2447C830">
            <w:pPr>
              <w:rPr>
                <w:rFonts w:ascii="Arial"/>
                <w:sz w:val="21"/>
              </w:rPr>
            </w:pPr>
          </w:p>
        </w:tc>
        <w:tc>
          <w:tcPr>
            <w:tcW w:w="860" w:type="dxa"/>
            <w:vMerge w:val="continue"/>
            <w:tcBorders>
              <w:top w:val="nil"/>
            </w:tcBorders>
            <w:vAlign w:val="top"/>
          </w:tcPr>
          <w:p w14:paraId="78C2CD3E">
            <w:pPr>
              <w:rPr>
                <w:rFonts w:ascii="Arial"/>
                <w:sz w:val="21"/>
              </w:rPr>
            </w:pPr>
          </w:p>
        </w:tc>
        <w:tc>
          <w:tcPr>
            <w:tcW w:w="962" w:type="dxa"/>
            <w:vMerge w:val="continue"/>
            <w:tcBorders>
              <w:top w:val="nil"/>
            </w:tcBorders>
            <w:vAlign w:val="top"/>
          </w:tcPr>
          <w:p w14:paraId="18909BC4">
            <w:pPr>
              <w:rPr>
                <w:rFonts w:ascii="Arial"/>
                <w:sz w:val="21"/>
              </w:rPr>
            </w:pPr>
          </w:p>
        </w:tc>
        <w:tc>
          <w:tcPr>
            <w:tcW w:w="773" w:type="dxa"/>
            <w:vMerge w:val="continue"/>
            <w:tcBorders>
              <w:top w:val="nil"/>
            </w:tcBorders>
            <w:vAlign w:val="top"/>
          </w:tcPr>
          <w:p w14:paraId="5198D263">
            <w:pPr>
              <w:rPr>
                <w:rFonts w:ascii="Arial"/>
                <w:sz w:val="21"/>
              </w:rPr>
            </w:pPr>
          </w:p>
        </w:tc>
        <w:tc>
          <w:tcPr>
            <w:tcW w:w="831" w:type="dxa"/>
            <w:vAlign w:val="top"/>
          </w:tcPr>
          <w:p w14:paraId="6B052A2B">
            <w:pPr>
              <w:pStyle w:val="6"/>
              <w:spacing w:before="189" w:line="311" w:lineRule="auto"/>
              <w:ind w:left="118" w:right="97" w:hanging="7"/>
              <w:rPr>
                <w:rFonts w:ascii="Times New Roman" w:hAnsi="Times New Roman" w:eastAsia="Times New Roman" w:cs="Times New Roman"/>
              </w:rPr>
            </w:pPr>
            <w:r>
              <w:rPr>
                <w:spacing w:val="5"/>
              </w:rPr>
              <w:t>声压级</w:t>
            </w:r>
            <w:r>
              <w:t xml:space="preserve"> </w:t>
            </w:r>
            <w:r>
              <w:rPr>
                <w:rFonts w:ascii="Times New Roman" w:hAnsi="Times New Roman" w:eastAsia="Times New Roman" w:cs="Times New Roman"/>
                <w:spacing w:val="6"/>
              </w:rPr>
              <w:t>/</w:t>
            </w:r>
            <w:r>
              <w:rPr>
                <w:rFonts w:ascii="Times New Roman" w:hAnsi="Times New Roman" w:eastAsia="Times New Roman" w:cs="Times New Roman"/>
              </w:rPr>
              <w:t>dB</w:t>
            </w:r>
            <w:r>
              <w:rPr>
                <w:rFonts w:ascii="Times New Roman" w:hAnsi="Times New Roman" w:eastAsia="Times New Roman" w:cs="Times New Roman"/>
                <w:spacing w:val="6"/>
              </w:rPr>
              <w:t>(A)</w:t>
            </w:r>
          </w:p>
        </w:tc>
        <w:tc>
          <w:tcPr>
            <w:tcW w:w="684" w:type="dxa"/>
            <w:vAlign w:val="top"/>
          </w:tcPr>
          <w:p w14:paraId="3FB09BCB">
            <w:pPr>
              <w:pStyle w:val="6"/>
              <w:spacing w:before="190" w:line="228" w:lineRule="auto"/>
              <w:ind w:left="35"/>
            </w:pPr>
            <w:r>
              <w:rPr>
                <w:spacing w:val="6"/>
              </w:rPr>
              <w:t>建筑物</w:t>
            </w:r>
          </w:p>
          <w:p w14:paraId="0BB367E5">
            <w:pPr>
              <w:pStyle w:val="6"/>
              <w:spacing w:before="64" w:line="228" w:lineRule="auto"/>
              <w:ind w:left="36"/>
            </w:pPr>
            <w:r>
              <w:rPr>
                <w:spacing w:val="5"/>
              </w:rPr>
              <w:t>外距离</w:t>
            </w:r>
          </w:p>
        </w:tc>
      </w:tr>
      <w:tr w14:paraId="3076C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0DFCB116">
            <w:pPr>
              <w:spacing w:before="24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12" w:type="dxa"/>
            <w:vMerge w:val="restart"/>
            <w:tcBorders>
              <w:bottom w:val="nil"/>
            </w:tcBorders>
            <w:vAlign w:val="top"/>
          </w:tcPr>
          <w:p w14:paraId="17336582">
            <w:pPr>
              <w:spacing w:line="270" w:lineRule="auto"/>
              <w:rPr>
                <w:rFonts w:ascii="Arial"/>
                <w:sz w:val="21"/>
              </w:rPr>
            </w:pPr>
          </w:p>
          <w:p w14:paraId="3CA6182E">
            <w:pPr>
              <w:spacing w:line="270" w:lineRule="auto"/>
              <w:rPr>
                <w:rFonts w:ascii="Arial"/>
                <w:sz w:val="21"/>
              </w:rPr>
            </w:pPr>
          </w:p>
          <w:p w14:paraId="23DB0C0C">
            <w:pPr>
              <w:spacing w:line="270" w:lineRule="auto"/>
              <w:rPr>
                <w:rFonts w:ascii="Arial"/>
                <w:sz w:val="21"/>
              </w:rPr>
            </w:pPr>
          </w:p>
          <w:p w14:paraId="322943D1">
            <w:pPr>
              <w:spacing w:line="271" w:lineRule="auto"/>
              <w:rPr>
                <w:rFonts w:ascii="Arial"/>
                <w:sz w:val="21"/>
              </w:rPr>
            </w:pPr>
          </w:p>
          <w:p w14:paraId="1E2374C2">
            <w:pPr>
              <w:spacing w:line="271" w:lineRule="auto"/>
              <w:rPr>
                <w:rFonts w:ascii="Arial"/>
                <w:sz w:val="21"/>
              </w:rPr>
            </w:pPr>
          </w:p>
          <w:p w14:paraId="5F282880">
            <w:pPr>
              <w:pStyle w:val="6"/>
              <w:spacing w:before="65" w:line="228" w:lineRule="auto"/>
              <w:ind w:left="97"/>
            </w:pPr>
            <w:r>
              <w:rPr>
                <w:spacing w:val="6"/>
              </w:rPr>
              <w:t>磨浮车</w:t>
            </w:r>
          </w:p>
          <w:p w14:paraId="27D4A86F">
            <w:pPr>
              <w:pStyle w:val="6"/>
              <w:spacing w:before="64" w:line="231" w:lineRule="auto"/>
              <w:ind w:left="319"/>
            </w:pPr>
            <w:r>
              <w:t>间</w:t>
            </w:r>
          </w:p>
        </w:tc>
        <w:tc>
          <w:tcPr>
            <w:tcW w:w="1900" w:type="dxa"/>
            <w:vAlign w:val="top"/>
          </w:tcPr>
          <w:p w14:paraId="6113A832">
            <w:pPr>
              <w:pStyle w:val="6"/>
              <w:spacing w:before="242" w:line="228" w:lineRule="auto"/>
              <w:ind w:left="33"/>
            </w:pPr>
            <w:r>
              <w:rPr>
                <w:spacing w:val="4"/>
              </w:rPr>
              <w:t>尾矿输送泵（2</w:t>
            </w:r>
            <w:r>
              <w:rPr>
                <w:spacing w:val="-21"/>
              </w:rPr>
              <w:t xml:space="preserve"> </w:t>
            </w:r>
            <w:r>
              <w:rPr>
                <w:spacing w:val="4"/>
              </w:rPr>
              <w:t>台）</w:t>
            </w:r>
          </w:p>
        </w:tc>
        <w:tc>
          <w:tcPr>
            <w:tcW w:w="2551" w:type="dxa"/>
            <w:vAlign w:val="top"/>
          </w:tcPr>
          <w:p w14:paraId="1F494B59">
            <w:pPr>
              <w:pStyle w:val="6"/>
              <w:spacing w:before="36" w:line="269" w:lineRule="exact"/>
              <w:ind w:left="112"/>
            </w:pPr>
            <w:r>
              <w:rPr>
                <w:spacing w:val="4"/>
              </w:rPr>
              <w:t>100/80E-</w:t>
            </w:r>
            <w:r>
              <w:t>HHK</w:t>
            </w:r>
            <w:r>
              <w:rPr>
                <w:spacing w:val="4"/>
              </w:rPr>
              <w:t>，Q=70m</w:t>
            </w:r>
            <w:r>
              <w:rPr>
                <w:spacing w:val="4"/>
                <w:position w:val="10"/>
                <w:sz w:val="10"/>
                <w:szCs w:val="10"/>
              </w:rPr>
              <w:t>3</w:t>
            </w:r>
            <w:r>
              <w:rPr>
                <w:spacing w:val="4"/>
              </w:rPr>
              <w:t>/h，</w:t>
            </w:r>
          </w:p>
          <w:p w14:paraId="5EB0E725">
            <w:pPr>
              <w:pStyle w:val="6"/>
              <w:spacing w:before="59" w:line="233" w:lineRule="auto"/>
              <w:ind w:left="1011"/>
            </w:pPr>
            <w:r>
              <w:rPr>
                <w:spacing w:val="4"/>
              </w:rPr>
              <w:t>H=75m</w:t>
            </w:r>
          </w:p>
        </w:tc>
        <w:tc>
          <w:tcPr>
            <w:tcW w:w="1113" w:type="dxa"/>
            <w:vAlign w:val="top"/>
          </w:tcPr>
          <w:p w14:paraId="2987DED5">
            <w:pPr>
              <w:pStyle w:val="6"/>
              <w:spacing w:before="209"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63A17042">
            <w:pPr>
              <w:pStyle w:val="6"/>
              <w:spacing w:before="210" w:line="228" w:lineRule="auto"/>
              <w:ind w:left="11"/>
            </w:pPr>
            <w:r>
              <w:rPr>
                <w:spacing w:val="-3"/>
              </w:rPr>
              <w:t>减振、隔声</w:t>
            </w:r>
          </w:p>
        </w:tc>
        <w:tc>
          <w:tcPr>
            <w:tcW w:w="564" w:type="dxa"/>
            <w:vAlign w:val="top"/>
          </w:tcPr>
          <w:p w14:paraId="26377E9D">
            <w:pPr>
              <w:spacing w:before="24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516</w:t>
            </w:r>
          </w:p>
        </w:tc>
        <w:tc>
          <w:tcPr>
            <w:tcW w:w="564" w:type="dxa"/>
            <w:vAlign w:val="top"/>
          </w:tcPr>
          <w:p w14:paraId="176F4E23">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628</w:t>
            </w:r>
          </w:p>
        </w:tc>
        <w:tc>
          <w:tcPr>
            <w:tcW w:w="670" w:type="dxa"/>
            <w:vAlign w:val="top"/>
          </w:tcPr>
          <w:p w14:paraId="7A47CFEA">
            <w:pPr>
              <w:spacing w:before="24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15DB29F7">
            <w:pPr>
              <w:spacing w:before="2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65D12299">
            <w:pPr>
              <w:spacing w:before="2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66.4</w:t>
            </w:r>
          </w:p>
        </w:tc>
        <w:tc>
          <w:tcPr>
            <w:tcW w:w="962" w:type="dxa"/>
            <w:vAlign w:val="top"/>
          </w:tcPr>
          <w:p w14:paraId="47CF3D74">
            <w:pPr>
              <w:pStyle w:val="6"/>
              <w:spacing w:before="20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6F464923">
            <w:pPr>
              <w:spacing w:line="258" w:lineRule="auto"/>
              <w:rPr>
                <w:rFonts w:ascii="Arial"/>
                <w:sz w:val="21"/>
              </w:rPr>
            </w:pPr>
          </w:p>
          <w:p w14:paraId="76FC51E5">
            <w:pPr>
              <w:spacing w:line="258" w:lineRule="auto"/>
              <w:rPr>
                <w:rFonts w:ascii="Arial"/>
                <w:sz w:val="21"/>
              </w:rPr>
            </w:pPr>
          </w:p>
          <w:p w14:paraId="30F131A3">
            <w:pPr>
              <w:spacing w:line="258" w:lineRule="auto"/>
              <w:rPr>
                <w:rFonts w:ascii="Arial"/>
                <w:sz w:val="21"/>
              </w:rPr>
            </w:pPr>
          </w:p>
          <w:p w14:paraId="449B9417">
            <w:pPr>
              <w:spacing w:line="259" w:lineRule="auto"/>
              <w:rPr>
                <w:rFonts w:ascii="Arial"/>
                <w:sz w:val="21"/>
              </w:rPr>
            </w:pPr>
          </w:p>
          <w:p w14:paraId="672B5729">
            <w:pPr>
              <w:spacing w:line="259" w:lineRule="auto"/>
              <w:rPr>
                <w:rFonts w:ascii="Arial"/>
                <w:sz w:val="21"/>
              </w:rPr>
            </w:pPr>
          </w:p>
          <w:p w14:paraId="536FE917">
            <w:pPr>
              <w:spacing w:line="259" w:lineRule="auto"/>
              <w:rPr>
                <w:rFonts w:ascii="Arial"/>
                <w:sz w:val="21"/>
              </w:rPr>
            </w:pPr>
          </w:p>
          <w:p w14:paraId="63A751D1">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30D7725C">
            <w:pPr>
              <w:spacing w:line="258" w:lineRule="auto"/>
              <w:rPr>
                <w:rFonts w:ascii="Arial"/>
                <w:sz w:val="21"/>
              </w:rPr>
            </w:pPr>
          </w:p>
          <w:p w14:paraId="4ED4E108">
            <w:pPr>
              <w:spacing w:line="258" w:lineRule="auto"/>
              <w:rPr>
                <w:rFonts w:ascii="Arial"/>
                <w:sz w:val="21"/>
              </w:rPr>
            </w:pPr>
          </w:p>
          <w:p w14:paraId="1DCE5091">
            <w:pPr>
              <w:spacing w:line="258" w:lineRule="auto"/>
              <w:rPr>
                <w:rFonts w:ascii="Arial"/>
                <w:sz w:val="21"/>
              </w:rPr>
            </w:pPr>
          </w:p>
          <w:p w14:paraId="57C98B07">
            <w:pPr>
              <w:spacing w:line="259" w:lineRule="auto"/>
              <w:rPr>
                <w:rFonts w:ascii="Arial"/>
                <w:sz w:val="21"/>
              </w:rPr>
            </w:pPr>
          </w:p>
          <w:p w14:paraId="42A6E0F5">
            <w:pPr>
              <w:spacing w:line="259" w:lineRule="auto"/>
              <w:rPr>
                <w:rFonts w:ascii="Arial"/>
                <w:sz w:val="21"/>
              </w:rPr>
            </w:pPr>
          </w:p>
          <w:p w14:paraId="61DB4596">
            <w:pPr>
              <w:spacing w:line="259" w:lineRule="auto"/>
              <w:rPr>
                <w:rFonts w:ascii="Arial"/>
                <w:sz w:val="21"/>
              </w:rPr>
            </w:pPr>
          </w:p>
          <w:p w14:paraId="0790B59E">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2D0F9EC8">
            <w:pPr>
              <w:spacing w:line="258" w:lineRule="auto"/>
              <w:rPr>
                <w:rFonts w:ascii="Arial"/>
                <w:sz w:val="21"/>
              </w:rPr>
            </w:pPr>
          </w:p>
          <w:p w14:paraId="6993ECA3">
            <w:pPr>
              <w:spacing w:line="258" w:lineRule="auto"/>
              <w:rPr>
                <w:rFonts w:ascii="Arial"/>
                <w:sz w:val="21"/>
              </w:rPr>
            </w:pPr>
          </w:p>
          <w:p w14:paraId="4D70874F">
            <w:pPr>
              <w:spacing w:line="258" w:lineRule="auto"/>
              <w:rPr>
                <w:rFonts w:ascii="Arial"/>
                <w:sz w:val="21"/>
              </w:rPr>
            </w:pPr>
          </w:p>
          <w:p w14:paraId="79CB37E8">
            <w:pPr>
              <w:spacing w:line="259" w:lineRule="auto"/>
              <w:rPr>
                <w:rFonts w:ascii="Arial"/>
                <w:sz w:val="21"/>
              </w:rPr>
            </w:pPr>
          </w:p>
          <w:p w14:paraId="4FBE6E6F">
            <w:pPr>
              <w:spacing w:line="259" w:lineRule="auto"/>
              <w:rPr>
                <w:rFonts w:ascii="Arial"/>
                <w:sz w:val="21"/>
              </w:rPr>
            </w:pPr>
          </w:p>
          <w:p w14:paraId="5361019A">
            <w:pPr>
              <w:spacing w:line="259" w:lineRule="auto"/>
              <w:rPr>
                <w:rFonts w:ascii="Arial"/>
                <w:sz w:val="21"/>
              </w:rPr>
            </w:pPr>
          </w:p>
          <w:p w14:paraId="7763BAC1">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8DCC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61D93CB6">
            <w:pPr>
              <w:spacing w:before="11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2" w:type="dxa"/>
            <w:vMerge w:val="continue"/>
            <w:tcBorders>
              <w:top w:val="nil"/>
              <w:bottom w:val="nil"/>
            </w:tcBorders>
            <w:vAlign w:val="top"/>
          </w:tcPr>
          <w:p w14:paraId="0FB81A82">
            <w:pPr>
              <w:rPr>
                <w:rFonts w:ascii="Arial"/>
                <w:sz w:val="21"/>
              </w:rPr>
            </w:pPr>
          </w:p>
        </w:tc>
        <w:tc>
          <w:tcPr>
            <w:tcW w:w="1900" w:type="dxa"/>
            <w:vAlign w:val="top"/>
          </w:tcPr>
          <w:p w14:paraId="7B8CC75A">
            <w:pPr>
              <w:pStyle w:val="6"/>
              <w:spacing w:before="112" w:line="224" w:lineRule="auto"/>
              <w:ind w:left="427"/>
            </w:pPr>
            <w:r>
              <w:rPr>
                <w:spacing w:val="8"/>
              </w:rPr>
              <w:t>尾矿输送泵</w:t>
            </w:r>
          </w:p>
        </w:tc>
        <w:tc>
          <w:tcPr>
            <w:tcW w:w="2551" w:type="dxa"/>
            <w:vAlign w:val="top"/>
          </w:tcPr>
          <w:p w14:paraId="3D42730D">
            <w:pPr>
              <w:pStyle w:val="6"/>
              <w:spacing w:before="61" w:line="269" w:lineRule="exact"/>
              <w:ind w:left="3"/>
            </w:pPr>
            <w:r>
              <w:rPr>
                <w:spacing w:val="-1"/>
              </w:rPr>
              <w:t>HGB-90/1，Q=70m</w:t>
            </w:r>
            <w:r>
              <w:rPr>
                <w:spacing w:val="-1"/>
                <w:position w:val="10"/>
                <w:sz w:val="10"/>
                <w:szCs w:val="10"/>
              </w:rPr>
              <w:t>3</w:t>
            </w:r>
            <w:r>
              <w:rPr>
                <w:spacing w:val="-1"/>
              </w:rPr>
              <w:t>/h，H=100m</w:t>
            </w:r>
          </w:p>
        </w:tc>
        <w:tc>
          <w:tcPr>
            <w:tcW w:w="1113" w:type="dxa"/>
            <w:vAlign w:val="top"/>
          </w:tcPr>
          <w:p w14:paraId="17C38560">
            <w:pPr>
              <w:spacing w:before="11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7" w:type="dxa"/>
            <w:vAlign w:val="top"/>
          </w:tcPr>
          <w:p w14:paraId="25F11977">
            <w:pPr>
              <w:pStyle w:val="6"/>
              <w:spacing w:before="78" w:line="228" w:lineRule="auto"/>
              <w:ind w:left="11"/>
            </w:pPr>
            <w:r>
              <w:rPr>
                <w:spacing w:val="-3"/>
              </w:rPr>
              <w:t>减振、隔声</w:t>
            </w:r>
          </w:p>
        </w:tc>
        <w:tc>
          <w:tcPr>
            <w:tcW w:w="564" w:type="dxa"/>
            <w:vAlign w:val="top"/>
          </w:tcPr>
          <w:p w14:paraId="6836F71F">
            <w:pPr>
              <w:spacing w:before="11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510</w:t>
            </w:r>
          </w:p>
        </w:tc>
        <w:tc>
          <w:tcPr>
            <w:tcW w:w="564" w:type="dxa"/>
            <w:vAlign w:val="top"/>
          </w:tcPr>
          <w:p w14:paraId="3D11A500">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670" w:type="dxa"/>
            <w:vAlign w:val="top"/>
          </w:tcPr>
          <w:p w14:paraId="55EA27F0">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17067ADC">
            <w:pPr>
              <w:spacing w:before="11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294E689A">
            <w:pPr>
              <w:spacing w:before="11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63.4</w:t>
            </w:r>
          </w:p>
        </w:tc>
        <w:tc>
          <w:tcPr>
            <w:tcW w:w="962" w:type="dxa"/>
            <w:vAlign w:val="top"/>
          </w:tcPr>
          <w:p w14:paraId="24D88159">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1CA081C">
            <w:pPr>
              <w:rPr>
                <w:rFonts w:ascii="Arial"/>
                <w:sz w:val="21"/>
              </w:rPr>
            </w:pPr>
          </w:p>
        </w:tc>
        <w:tc>
          <w:tcPr>
            <w:tcW w:w="831" w:type="dxa"/>
            <w:vMerge w:val="continue"/>
            <w:tcBorders>
              <w:top w:val="nil"/>
              <w:bottom w:val="nil"/>
            </w:tcBorders>
            <w:vAlign w:val="top"/>
          </w:tcPr>
          <w:p w14:paraId="4DB418B1">
            <w:pPr>
              <w:rPr>
                <w:rFonts w:ascii="Arial"/>
                <w:sz w:val="21"/>
              </w:rPr>
            </w:pPr>
          </w:p>
        </w:tc>
        <w:tc>
          <w:tcPr>
            <w:tcW w:w="684" w:type="dxa"/>
            <w:vMerge w:val="continue"/>
            <w:tcBorders>
              <w:top w:val="nil"/>
              <w:bottom w:val="nil"/>
            </w:tcBorders>
            <w:vAlign w:val="top"/>
          </w:tcPr>
          <w:p w14:paraId="4D0F6536">
            <w:pPr>
              <w:rPr>
                <w:rFonts w:ascii="Arial"/>
                <w:sz w:val="21"/>
              </w:rPr>
            </w:pPr>
          </w:p>
        </w:tc>
      </w:tr>
      <w:tr w14:paraId="48A8A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317" w:type="dxa"/>
            <w:vAlign w:val="top"/>
          </w:tcPr>
          <w:p w14:paraId="56B29ACD">
            <w:pPr>
              <w:spacing w:before="192"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2" w:type="dxa"/>
            <w:vMerge w:val="continue"/>
            <w:tcBorders>
              <w:top w:val="nil"/>
              <w:bottom w:val="nil"/>
            </w:tcBorders>
            <w:vAlign w:val="top"/>
          </w:tcPr>
          <w:p w14:paraId="18D9EDBC">
            <w:pPr>
              <w:rPr>
                <w:rFonts w:ascii="Arial"/>
                <w:sz w:val="21"/>
              </w:rPr>
            </w:pPr>
          </w:p>
        </w:tc>
        <w:tc>
          <w:tcPr>
            <w:tcW w:w="1900" w:type="dxa"/>
            <w:vAlign w:val="top"/>
          </w:tcPr>
          <w:p w14:paraId="02840036">
            <w:pPr>
              <w:pStyle w:val="6"/>
              <w:spacing w:before="156" w:line="228" w:lineRule="auto"/>
              <w:ind w:left="35"/>
            </w:pPr>
            <w:r>
              <w:rPr>
                <w:spacing w:val="4"/>
              </w:rPr>
              <w:t>直线振动筛（2</w:t>
            </w:r>
            <w:r>
              <w:rPr>
                <w:spacing w:val="-22"/>
              </w:rPr>
              <w:t xml:space="preserve"> </w:t>
            </w:r>
            <w:r>
              <w:rPr>
                <w:spacing w:val="4"/>
              </w:rPr>
              <w:t>台）</w:t>
            </w:r>
          </w:p>
        </w:tc>
        <w:tc>
          <w:tcPr>
            <w:tcW w:w="2551" w:type="dxa"/>
            <w:vAlign w:val="top"/>
          </w:tcPr>
          <w:p w14:paraId="02C38031">
            <w:pPr>
              <w:pStyle w:val="6"/>
              <w:spacing w:before="157" w:line="268" w:lineRule="exact"/>
              <w:ind w:left="860"/>
            </w:pPr>
            <w:r>
              <w:rPr>
                <w:position w:val="1"/>
              </w:rPr>
              <w:t>SLG</w:t>
            </w:r>
            <w:r>
              <w:rPr>
                <w:spacing w:val="6"/>
                <w:position w:val="1"/>
              </w:rPr>
              <w:t>1848W</w:t>
            </w:r>
          </w:p>
        </w:tc>
        <w:tc>
          <w:tcPr>
            <w:tcW w:w="1113" w:type="dxa"/>
            <w:vAlign w:val="top"/>
          </w:tcPr>
          <w:p w14:paraId="16F0262D">
            <w:pPr>
              <w:pStyle w:val="6"/>
              <w:spacing w:before="156" w:line="228" w:lineRule="auto"/>
              <w:ind w:left="41"/>
            </w:pPr>
            <w:r>
              <w:rPr>
                <w:rFonts w:ascii="Times New Roman" w:hAnsi="Times New Roman" w:eastAsia="Times New Roman" w:cs="Times New Roman"/>
                <w:spacing w:val="4"/>
              </w:rPr>
              <w:t>83</w:t>
            </w:r>
            <w:r>
              <w:rPr>
                <w:spacing w:val="4"/>
              </w:rPr>
              <w:t>（等效）</w:t>
            </w:r>
          </w:p>
        </w:tc>
        <w:tc>
          <w:tcPr>
            <w:tcW w:w="1007" w:type="dxa"/>
            <w:vAlign w:val="top"/>
          </w:tcPr>
          <w:p w14:paraId="02720821">
            <w:pPr>
              <w:pStyle w:val="6"/>
              <w:spacing w:before="157" w:line="228" w:lineRule="auto"/>
              <w:ind w:left="11"/>
            </w:pPr>
            <w:r>
              <w:rPr>
                <w:spacing w:val="-3"/>
              </w:rPr>
              <w:t>减振、隔声</w:t>
            </w:r>
          </w:p>
        </w:tc>
        <w:tc>
          <w:tcPr>
            <w:tcW w:w="564" w:type="dxa"/>
            <w:vAlign w:val="top"/>
          </w:tcPr>
          <w:p w14:paraId="7B44AF90">
            <w:pPr>
              <w:spacing w:before="19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517</w:t>
            </w:r>
          </w:p>
        </w:tc>
        <w:tc>
          <w:tcPr>
            <w:tcW w:w="564" w:type="dxa"/>
            <w:vAlign w:val="top"/>
          </w:tcPr>
          <w:p w14:paraId="54CEEE3C">
            <w:pPr>
              <w:spacing w:before="192"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715</w:t>
            </w:r>
          </w:p>
        </w:tc>
        <w:tc>
          <w:tcPr>
            <w:tcW w:w="670" w:type="dxa"/>
            <w:vAlign w:val="top"/>
          </w:tcPr>
          <w:p w14:paraId="507C450E">
            <w:pPr>
              <w:spacing w:before="19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1005.3</w:t>
            </w:r>
          </w:p>
        </w:tc>
        <w:tc>
          <w:tcPr>
            <w:tcW w:w="734" w:type="dxa"/>
            <w:vAlign w:val="top"/>
          </w:tcPr>
          <w:p w14:paraId="063A4435">
            <w:pPr>
              <w:spacing w:before="192"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0" w:type="dxa"/>
            <w:vAlign w:val="top"/>
          </w:tcPr>
          <w:p w14:paraId="5EA518FE">
            <w:pPr>
              <w:spacing w:before="19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54.4</w:t>
            </w:r>
          </w:p>
        </w:tc>
        <w:tc>
          <w:tcPr>
            <w:tcW w:w="962" w:type="dxa"/>
            <w:vAlign w:val="top"/>
          </w:tcPr>
          <w:p w14:paraId="7F730668">
            <w:pPr>
              <w:pStyle w:val="6"/>
              <w:spacing w:before="1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0E39CA9">
            <w:pPr>
              <w:rPr>
                <w:rFonts w:ascii="Arial"/>
                <w:sz w:val="21"/>
              </w:rPr>
            </w:pPr>
          </w:p>
        </w:tc>
        <w:tc>
          <w:tcPr>
            <w:tcW w:w="831" w:type="dxa"/>
            <w:vMerge w:val="continue"/>
            <w:tcBorders>
              <w:top w:val="nil"/>
              <w:bottom w:val="nil"/>
            </w:tcBorders>
            <w:vAlign w:val="top"/>
          </w:tcPr>
          <w:p w14:paraId="364CF938">
            <w:pPr>
              <w:rPr>
                <w:rFonts w:ascii="Arial"/>
                <w:sz w:val="21"/>
              </w:rPr>
            </w:pPr>
          </w:p>
        </w:tc>
        <w:tc>
          <w:tcPr>
            <w:tcW w:w="684" w:type="dxa"/>
            <w:vMerge w:val="continue"/>
            <w:tcBorders>
              <w:top w:val="nil"/>
              <w:bottom w:val="nil"/>
            </w:tcBorders>
            <w:vAlign w:val="top"/>
          </w:tcPr>
          <w:p w14:paraId="3CFCF44A">
            <w:pPr>
              <w:rPr>
                <w:rFonts w:ascii="Arial"/>
                <w:sz w:val="21"/>
              </w:rPr>
            </w:pPr>
          </w:p>
        </w:tc>
      </w:tr>
      <w:tr w14:paraId="31CB4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7" w:type="dxa"/>
            <w:vAlign w:val="top"/>
          </w:tcPr>
          <w:p w14:paraId="34DFB649">
            <w:pPr>
              <w:spacing w:before="105"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12" w:type="dxa"/>
            <w:vMerge w:val="continue"/>
            <w:tcBorders>
              <w:top w:val="nil"/>
              <w:bottom w:val="nil"/>
            </w:tcBorders>
            <w:vAlign w:val="top"/>
          </w:tcPr>
          <w:p w14:paraId="2655AB9B">
            <w:pPr>
              <w:rPr>
                <w:rFonts w:ascii="Arial"/>
                <w:sz w:val="21"/>
              </w:rPr>
            </w:pPr>
          </w:p>
        </w:tc>
        <w:tc>
          <w:tcPr>
            <w:tcW w:w="1900" w:type="dxa"/>
            <w:vAlign w:val="top"/>
          </w:tcPr>
          <w:p w14:paraId="46D6E534">
            <w:pPr>
              <w:pStyle w:val="6"/>
              <w:spacing w:before="68" w:line="228" w:lineRule="auto"/>
              <w:ind w:left="429"/>
            </w:pPr>
            <w:r>
              <w:rPr>
                <w:spacing w:val="7"/>
              </w:rPr>
              <w:t>直线振动筛</w:t>
            </w:r>
          </w:p>
        </w:tc>
        <w:tc>
          <w:tcPr>
            <w:tcW w:w="2551" w:type="dxa"/>
            <w:vAlign w:val="top"/>
          </w:tcPr>
          <w:p w14:paraId="0593F8A9">
            <w:pPr>
              <w:pStyle w:val="6"/>
              <w:spacing w:before="69" w:line="266" w:lineRule="exact"/>
              <w:ind w:left="860"/>
            </w:pPr>
            <w:r>
              <w:rPr>
                <w:position w:val="1"/>
              </w:rPr>
              <w:t>SLG</w:t>
            </w:r>
            <w:r>
              <w:rPr>
                <w:spacing w:val="6"/>
                <w:position w:val="1"/>
              </w:rPr>
              <w:t>1536W</w:t>
            </w:r>
          </w:p>
        </w:tc>
        <w:tc>
          <w:tcPr>
            <w:tcW w:w="1113" w:type="dxa"/>
            <w:vAlign w:val="top"/>
          </w:tcPr>
          <w:p w14:paraId="51EF4A9D">
            <w:pPr>
              <w:spacing w:before="105"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07" w:type="dxa"/>
            <w:vAlign w:val="top"/>
          </w:tcPr>
          <w:p w14:paraId="62AB1521">
            <w:pPr>
              <w:pStyle w:val="6"/>
              <w:spacing w:before="69" w:line="228" w:lineRule="auto"/>
              <w:ind w:left="11"/>
            </w:pPr>
            <w:r>
              <w:rPr>
                <w:spacing w:val="-3"/>
              </w:rPr>
              <w:t>减振、隔声</w:t>
            </w:r>
          </w:p>
        </w:tc>
        <w:tc>
          <w:tcPr>
            <w:tcW w:w="564" w:type="dxa"/>
            <w:vAlign w:val="top"/>
          </w:tcPr>
          <w:p w14:paraId="5AC4868C">
            <w:pPr>
              <w:spacing w:before="105"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511</w:t>
            </w:r>
          </w:p>
        </w:tc>
        <w:tc>
          <w:tcPr>
            <w:tcW w:w="564" w:type="dxa"/>
            <w:vAlign w:val="top"/>
          </w:tcPr>
          <w:p w14:paraId="15C6728A">
            <w:pPr>
              <w:spacing w:before="105"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712</w:t>
            </w:r>
          </w:p>
        </w:tc>
        <w:tc>
          <w:tcPr>
            <w:tcW w:w="670" w:type="dxa"/>
            <w:vAlign w:val="top"/>
          </w:tcPr>
          <w:p w14:paraId="3F7F9512">
            <w:pPr>
              <w:spacing w:before="10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1005.3</w:t>
            </w:r>
          </w:p>
        </w:tc>
        <w:tc>
          <w:tcPr>
            <w:tcW w:w="734" w:type="dxa"/>
            <w:vAlign w:val="top"/>
          </w:tcPr>
          <w:p w14:paraId="04CD2505">
            <w:pPr>
              <w:spacing w:before="1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0" w:type="dxa"/>
            <w:vAlign w:val="top"/>
          </w:tcPr>
          <w:p w14:paraId="4A56E75E">
            <w:pPr>
              <w:spacing w:before="105"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w:t>
            </w:r>
          </w:p>
        </w:tc>
        <w:tc>
          <w:tcPr>
            <w:tcW w:w="962" w:type="dxa"/>
            <w:vAlign w:val="top"/>
          </w:tcPr>
          <w:p w14:paraId="7DB9EE15">
            <w:pPr>
              <w:pStyle w:val="6"/>
              <w:spacing w:before="6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A50124C">
            <w:pPr>
              <w:rPr>
                <w:rFonts w:ascii="Arial"/>
                <w:sz w:val="21"/>
              </w:rPr>
            </w:pPr>
          </w:p>
        </w:tc>
        <w:tc>
          <w:tcPr>
            <w:tcW w:w="831" w:type="dxa"/>
            <w:vMerge w:val="continue"/>
            <w:tcBorders>
              <w:top w:val="nil"/>
              <w:bottom w:val="nil"/>
            </w:tcBorders>
            <w:vAlign w:val="top"/>
          </w:tcPr>
          <w:p w14:paraId="7CA461B2">
            <w:pPr>
              <w:rPr>
                <w:rFonts w:ascii="Arial"/>
                <w:sz w:val="21"/>
              </w:rPr>
            </w:pPr>
          </w:p>
        </w:tc>
        <w:tc>
          <w:tcPr>
            <w:tcW w:w="684" w:type="dxa"/>
            <w:vMerge w:val="continue"/>
            <w:tcBorders>
              <w:top w:val="nil"/>
              <w:bottom w:val="nil"/>
            </w:tcBorders>
            <w:vAlign w:val="top"/>
          </w:tcPr>
          <w:p w14:paraId="5E6E7BC3">
            <w:pPr>
              <w:rPr>
                <w:rFonts w:ascii="Arial"/>
                <w:sz w:val="21"/>
              </w:rPr>
            </w:pPr>
          </w:p>
        </w:tc>
      </w:tr>
      <w:tr w14:paraId="2196A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7" w:type="dxa"/>
            <w:vAlign w:val="top"/>
          </w:tcPr>
          <w:p w14:paraId="556F7608">
            <w:pPr>
              <w:spacing w:before="106" w:line="192"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12" w:type="dxa"/>
            <w:vMerge w:val="continue"/>
            <w:tcBorders>
              <w:top w:val="nil"/>
              <w:bottom w:val="nil"/>
            </w:tcBorders>
            <w:vAlign w:val="top"/>
          </w:tcPr>
          <w:p w14:paraId="19F61E44">
            <w:pPr>
              <w:rPr>
                <w:rFonts w:ascii="Arial"/>
                <w:sz w:val="21"/>
              </w:rPr>
            </w:pPr>
          </w:p>
        </w:tc>
        <w:tc>
          <w:tcPr>
            <w:tcW w:w="1900" w:type="dxa"/>
            <w:vAlign w:val="top"/>
          </w:tcPr>
          <w:p w14:paraId="35F983EA">
            <w:pPr>
              <w:pStyle w:val="6"/>
              <w:spacing w:before="66" w:line="228" w:lineRule="auto"/>
              <w:ind w:left="39"/>
            </w:pPr>
            <w:r>
              <w:rPr>
                <w:spacing w:val="3"/>
              </w:rPr>
              <w:t>高效搅拌槽（2</w:t>
            </w:r>
            <w:r>
              <w:rPr>
                <w:spacing w:val="-17"/>
              </w:rPr>
              <w:t xml:space="preserve"> </w:t>
            </w:r>
            <w:r>
              <w:rPr>
                <w:spacing w:val="3"/>
              </w:rPr>
              <w:t>台）</w:t>
            </w:r>
          </w:p>
        </w:tc>
        <w:tc>
          <w:tcPr>
            <w:tcW w:w="2551" w:type="dxa"/>
            <w:vAlign w:val="top"/>
          </w:tcPr>
          <w:p w14:paraId="6E5AA47A">
            <w:pPr>
              <w:pStyle w:val="6"/>
              <w:spacing w:before="67" w:line="267" w:lineRule="exact"/>
              <w:ind w:left="910"/>
            </w:pPr>
            <w:r>
              <w:rPr>
                <w:position w:val="1"/>
              </w:rPr>
              <w:t>XB</w:t>
            </w:r>
            <w:r>
              <w:rPr>
                <w:spacing w:val="6"/>
                <w:position w:val="1"/>
              </w:rPr>
              <w:t>-3500</w:t>
            </w:r>
          </w:p>
        </w:tc>
        <w:tc>
          <w:tcPr>
            <w:tcW w:w="1113" w:type="dxa"/>
            <w:vAlign w:val="top"/>
          </w:tcPr>
          <w:p w14:paraId="149FA151">
            <w:pPr>
              <w:pStyle w:val="6"/>
              <w:spacing w:before="66" w:line="228" w:lineRule="auto"/>
              <w:ind w:left="36"/>
            </w:pPr>
            <w:r>
              <w:rPr>
                <w:rFonts w:ascii="Times New Roman" w:hAnsi="Times New Roman" w:eastAsia="Times New Roman" w:cs="Times New Roman"/>
                <w:spacing w:val="5"/>
              </w:rPr>
              <w:t>73</w:t>
            </w:r>
            <w:r>
              <w:rPr>
                <w:spacing w:val="5"/>
              </w:rPr>
              <w:t>（等效）</w:t>
            </w:r>
          </w:p>
        </w:tc>
        <w:tc>
          <w:tcPr>
            <w:tcW w:w="1007" w:type="dxa"/>
            <w:vAlign w:val="top"/>
          </w:tcPr>
          <w:p w14:paraId="6210E563">
            <w:pPr>
              <w:pStyle w:val="6"/>
              <w:spacing w:before="67" w:line="228" w:lineRule="auto"/>
              <w:ind w:left="11"/>
            </w:pPr>
            <w:r>
              <w:rPr>
                <w:spacing w:val="-3"/>
              </w:rPr>
              <w:t>减振、隔声</w:t>
            </w:r>
          </w:p>
        </w:tc>
        <w:tc>
          <w:tcPr>
            <w:tcW w:w="564" w:type="dxa"/>
            <w:vAlign w:val="top"/>
          </w:tcPr>
          <w:p w14:paraId="41C22750">
            <w:pPr>
              <w:spacing w:before="10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515</w:t>
            </w:r>
          </w:p>
        </w:tc>
        <w:tc>
          <w:tcPr>
            <w:tcW w:w="564" w:type="dxa"/>
            <w:vAlign w:val="top"/>
          </w:tcPr>
          <w:p w14:paraId="4F57528E">
            <w:pPr>
              <w:spacing w:before="103"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670" w:type="dxa"/>
            <w:vAlign w:val="top"/>
          </w:tcPr>
          <w:p w14:paraId="4E308F58">
            <w:pPr>
              <w:spacing w:before="10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1005.2</w:t>
            </w:r>
          </w:p>
        </w:tc>
        <w:tc>
          <w:tcPr>
            <w:tcW w:w="734" w:type="dxa"/>
            <w:vAlign w:val="top"/>
          </w:tcPr>
          <w:p w14:paraId="0C9AFCAA">
            <w:pPr>
              <w:spacing w:before="10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1CACA56F">
            <w:pPr>
              <w:spacing w:before="10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39.9</w:t>
            </w:r>
          </w:p>
        </w:tc>
        <w:tc>
          <w:tcPr>
            <w:tcW w:w="962" w:type="dxa"/>
            <w:vAlign w:val="top"/>
          </w:tcPr>
          <w:p w14:paraId="47DF6A9E">
            <w:pPr>
              <w:pStyle w:val="6"/>
              <w:spacing w:before="6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65B6B1B6">
            <w:pPr>
              <w:rPr>
                <w:rFonts w:ascii="Arial"/>
                <w:sz w:val="21"/>
              </w:rPr>
            </w:pPr>
          </w:p>
        </w:tc>
        <w:tc>
          <w:tcPr>
            <w:tcW w:w="831" w:type="dxa"/>
            <w:vMerge w:val="continue"/>
            <w:tcBorders>
              <w:top w:val="nil"/>
              <w:bottom w:val="nil"/>
            </w:tcBorders>
            <w:vAlign w:val="top"/>
          </w:tcPr>
          <w:p w14:paraId="0F8EF45C">
            <w:pPr>
              <w:rPr>
                <w:rFonts w:ascii="Arial"/>
                <w:sz w:val="21"/>
              </w:rPr>
            </w:pPr>
          </w:p>
        </w:tc>
        <w:tc>
          <w:tcPr>
            <w:tcW w:w="684" w:type="dxa"/>
            <w:vMerge w:val="continue"/>
            <w:tcBorders>
              <w:top w:val="nil"/>
              <w:bottom w:val="nil"/>
            </w:tcBorders>
            <w:vAlign w:val="top"/>
          </w:tcPr>
          <w:p w14:paraId="09E14930">
            <w:pPr>
              <w:rPr>
                <w:rFonts w:ascii="Arial"/>
                <w:sz w:val="21"/>
              </w:rPr>
            </w:pPr>
          </w:p>
        </w:tc>
      </w:tr>
      <w:tr w14:paraId="57ADA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3CF95347">
            <w:pPr>
              <w:spacing w:before="113"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12" w:type="dxa"/>
            <w:vMerge w:val="continue"/>
            <w:tcBorders>
              <w:top w:val="nil"/>
              <w:bottom w:val="nil"/>
            </w:tcBorders>
            <w:vAlign w:val="top"/>
          </w:tcPr>
          <w:p w14:paraId="36B15C4F">
            <w:pPr>
              <w:rPr>
                <w:rFonts w:ascii="Arial"/>
                <w:sz w:val="21"/>
              </w:rPr>
            </w:pPr>
          </w:p>
        </w:tc>
        <w:tc>
          <w:tcPr>
            <w:tcW w:w="1900" w:type="dxa"/>
            <w:vAlign w:val="top"/>
          </w:tcPr>
          <w:p w14:paraId="4164DFD0">
            <w:pPr>
              <w:pStyle w:val="6"/>
              <w:spacing w:before="111" w:line="225" w:lineRule="auto"/>
              <w:ind w:left="37"/>
            </w:pPr>
            <w:r>
              <w:rPr>
                <w:spacing w:val="4"/>
              </w:rPr>
              <w:t>离心鼓风机（2</w:t>
            </w:r>
            <w:r>
              <w:rPr>
                <w:spacing w:val="-24"/>
              </w:rPr>
              <w:t xml:space="preserve"> </w:t>
            </w:r>
            <w:r>
              <w:rPr>
                <w:spacing w:val="4"/>
              </w:rPr>
              <w:t>台）</w:t>
            </w:r>
          </w:p>
        </w:tc>
        <w:tc>
          <w:tcPr>
            <w:tcW w:w="2551" w:type="dxa"/>
            <w:vAlign w:val="top"/>
          </w:tcPr>
          <w:p w14:paraId="78325A52">
            <w:pPr>
              <w:pStyle w:val="6"/>
              <w:spacing w:before="77" w:line="268" w:lineRule="exact"/>
              <w:ind w:left="963"/>
            </w:pPr>
            <w:r>
              <w:rPr>
                <w:position w:val="1"/>
              </w:rPr>
              <w:t>GM</w:t>
            </w:r>
            <w:r>
              <w:rPr>
                <w:spacing w:val="6"/>
                <w:position w:val="1"/>
              </w:rPr>
              <w:t>9004</w:t>
            </w:r>
          </w:p>
        </w:tc>
        <w:tc>
          <w:tcPr>
            <w:tcW w:w="1113" w:type="dxa"/>
            <w:vAlign w:val="top"/>
          </w:tcPr>
          <w:p w14:paraId="00E14742">
            <w:pPr>
              <w:pStyle w:val="6"/>
              <w:spacing w:before="76" w:line="228" w:lineRule="auto"/>
              <w:ind w:left="37"/>
            </w:pPr>
            <w:r>
              <w:rPr>
                <w:rFonts w:ascii="Times New Roman" w:hAnsi="Times New Roman" w:eastAsia="Times New Roman" w:cs="Times New Roman"/>
                <w:spacing w:val="4"/>
              </w:rPr>
              <w:t>93</w:t>
            </w:r>
            <w:r>
              <w:rPr>
                <w:spacing w:val="4"/>
              </w:rPr>
              <w:t>（等效）</w:t>
            </w:r>
          </w:p>
        </w:tc>
        <w:tc>
          <w:tcPr>
            <w:tcW w:w="1007" w:type="dxa"/>
            <w:vAlign w:val="top"/>
          </w:tcPr>
          <w:p w14:paraId="2E012D0B">
            <w:pPr>
              <w:pStyle w:val="6"/>
              <w:spacing w:before="77" w:line="228" w:lineRule="auto"/>
              <w:ind w:left="11"/>
            </w:pPr>
            <w:r>
              <w:rPr>
                <w:spacing w:val="-3"/>
              </w:rPr>
              <w:t>减振、隔声</w:t>
            </w:r>
          </w:p>
        </w:tc>
        <w:tc>
          <w:tcPr>
            <w:tcW w:w="564" w:type="dxa"/>
            <w:vAlign w:val="top"/>
          </w:tcPr>
          <w:p w14:paraId="1417D194">
            <w:pPr>
              <w:spacing w:before="11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520</w:t>
            </w:r>
          </w:p>
        </w:tc>
        <w:tc>
          <w:tcPr>
            <w:tcW w:w="564" w:type="dxa"/>
            <w:vAlign w:val="top"/>
          </w:tcPr>
          <w:p w14:paraId="455B72AB">
            <w:pPr>
              <w:spacing w:before="11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689</w:t>
            </w:r>
          </w:p>
        </w:tc>
        <w:tc>
          <w:tcPr>
            <w:tcW w:w="670" w:type="dxa"/>
            <w:vAlign w:val="top"/>
          </w:tcPr>
          <w:p w14:paraId="0364BEB0">
            <w:pPr>
              <w:spacing w:before="11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4596144C">
            <w:pPr>
              <w:spacing w:before="11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2B9418DA">
            <w:pPr>
              <w:spacing w:before="113"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w:t>
            </w:r>
          </w:p>
        </w:tc>
        <w:tc>
          <w:tcPr>
            <w:tcW w:w="962" w:type="dxa"/>
            <w:vAlign w:val="top"/>
          </w:tcPr>
          <w:p w14:paraId="0727B1DB">
            <w:pPr>
              <w:pStyle w:val="6"/>
              <w:spacing w:before="7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97CED90">
            <w:pPr>
              <w:rPr>
                <w:rFonts w:ascii="Arial"/>
                <w:sz w:val="21"/>
              </w:rPr>
            </w:pPr>
          </w:p>
        </w:tc>
        <w:tc>
          <w:tcPr>
            <w:tcW w:w="831" w:type="dxa"/>
            <w:vMerge w:val="continue"/>
            <w:tcBorders>
              <w:top w:val="nil"/>
              <w:bottom w:val="nil"/>
            </w:tcBorders>
            <w:vAlign w:val="top"/>
          </w:tcPr>
          <w:p w14:paraId="73D843DC">
            <w:pPr>
              <w:rPr>
                <w:rFonts w:ascii="Arial"/>
                <w:sz w:val="21"/>
              </w:rPr>
            </w:pPr>
          </w:p>
        </w:tc>
        <w:tc>
          <w:tcPr>
            <w:tcW w:w="684" w:type="dxa"/>
            <w:vMerge w:val="continue"/>
            <w:tcBorders>
              <w:top w:val="nil"/>
              <w:bottom w:val="nil"/>
            </w:tcBorders>
            <w:vAlign w:val="top"/>
          </w:tcPr>
          <w:p w14:paraId="419A602E">
            <w:pPr>
              <w:rPr>
                <w:rFonts w:ascii="Arial"/>
                <w:sz w:val="21"/>
              </w:rPr>
            </w:pPr>
          </w:p>
        </w:tc>
      </w:tr>
      <w:tr w14:paraId="4C7C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3E28AF83">
            <w:pPr>
              <w:spacing w:before="127" w:line="192"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12" w:type="dxa"/>
            <w:vMerge w:val="continue"/>
            <w:tcBorders>
              <w:top w:val="nil"/>
              <w:bottom w:val="nil"/>
            </w:tcBorders>
            <w:vAlign w:val="top"/>
          </w:tcPr>
          <w:p w14:paraId="14B97A0B">
            <w:pPr>
              <w:rPr>
                <w:rFonts w:ascii="Arial"/>
                <w:sz w:val="21"/>
              </w:rPr>
            </w:pPr>
          </w:p>
        </w:tc>
        <w:tc>
          <w:tcPr>
            <w:tcW w:w="1900" w:type="dxa"/>
            <w:vAlign w:val="top"/>
          </w:tcPr>
          <w:p w14:paraId="6309A217">
            <w:pPr>
              <w:pStyle w:val="6"/>
              <w:spacing w:before="127" w:line="227" w:lineRule="auto"/>
              <w:ind w:left="33"/>
            </w:pPr>
            <w:r>
              <w:rPr>
                <w:spacing w:val="4"/>
              </w:rPr>
              <w:t>立式渣浆泵（8</w:t>
            </w:r>
            <w:r>
              <w:rPr>
                <w:spacing w:val="-21"/>
              </w:rPr>
              <w:t xml:space="preserve"> </w:t>
            </w:r>
            <w:r>
              <w:rPr>
                <w:spacing w:val="4"/>
              </w:rPr>
              <w:t>台）</w:t>
            </w:r>
          </w:p>
        </w:tc>
        <w:tc>
          <w:tcPr>
            <w:tcW w:w="2551" w:type="dxa"/>
            <w:vAlign w:val="top"/>
          </w:tcPr>
          <w:p w14:paraId="42AF1BD8">
            <w:pPr>
              <w:pStyle w:val="6"/>
              <w:spacing w:before="71" w:line="269" w:lineRule="exact"/>
              <w:ind w:left="151"/>
            </w:pPr>
            <w:r>
              <w:rPr>
                <w:spacing w:val="5"/>
              </w:rPr>
              <w:t>65Q-</w:t>
            </w:r>
            <w:r>
              <w:t>LP</w:t>
            </w:r>
            <w:r>
              <w:rPr>
                <w:spacing w:val="5"/>
              </w:rPr>
              <w:t xml:space="preserve"> </w:t>
            </w:r>
            <w:r>
              <w:t>Q</w:t>
            </w:r>
            <w:r>
              <w:rPr>
                <w:spacing w:val="5"/>
              </w:rPr>
              <w:t>=62m</w:t>
            </w:r>
            <w:r>
              <w:rPr>
                <w:spacing w:val="5"/>
                <w:position w:val="10"/>
                <w:sz w:val="10"/>
                <w:szCs w:val="10"/>
              </w:rPr>
              <w:t>3</w:t>
            </w:r>
            <w:r>
              <w:rPr>
                <w:spacing w:val="5"/>
              </w:rPr>
              <w:t>/</w:t>
            </w:r>
            <w:r>
              <w:t>h</w:t>
            </w:r>
            <w:r>
              <w:rPr>
                <w:spacing w:val="5"/>
              </w:rPr>
              <w:t xml:space="preserve">  </w:t>
            </w:r>
            <w:r>
              <w:t>H</w:t>
            </w:r>
            <w:r>
              <w:rPr>
                <w:spacing w:val="5"/>
              </w:rPr>
              <w:t>=20m</w:t>
            </w:r>
          </w:p>
        </w:tc>
        <w:tc>
          <w:tcPr>
            <w:tcW w:w="1113" w:type="dxa"/>
            <w:vAlign w:val="top"/>
          </w:tcPr>
          <w:p w14:paraId="23629AAF">
            <w:pPr>
              <w:pStyle w:val="6"/>
              <w:spacing w:before="88" w:line="228" w:lineRule="auto"/>
              <w:ind w:left="41"/>
            </w:pPr>
            <w:r>
              <w:rPr>
                <w:rFonts w:ascii="Times New Roman" w:hAnsi="Times New Roman" w:eastAsia="Times New Roman" w:cs="Times New Roman"/>
                <w:spacing w:val="4"/>
              </w:rPr>
              <w:t>84</w:t>
            </w:r>
            <w:r>
              <w:rPr>
                <w:spacing w:val="4"/>
              </w:rPr>
              <w:t>（等效）</w:t>
            </w:r>
          </w:p>
        </w:tc>
        <w:tc>
          <w:tcPr>
            <w:tcW w:w="1007" w:type="dxa"/>
            <w:vAlign w:val="top"/>
          </w:tcPr>
          <w:p w14:paraId="42586805">
            <w:pPr>
              <w:pStyle w:val="6"/>
              <w:spacing w:before="89" w:line="228" w:lineRule="auto"/>
              <w:ind w:left="11"/>
            </w:pPr>
            <w:r>
              <w:rPr>
                <w:spacing w:val="-3"/>
              </w:rPr>
              <w:t>减振、隔声</w:t>
            </w:r>
          </w:p>
        </w:tc>
        <w:tc>
          <w:tcPr>
            <w:tcW w:w="564" w:type="dxa"/>
            <w:vAlign w:val="top"/>
          </w:tcPr>
          <w:p w14:paraId="320F20A1">
            <w:pPr>
              <w:spacing w:before="12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521</w:t>
            </w:r>
          </w:p>
        </w:tc>
        <w:tc>
          <w:tcPr>
            <w:tcW w:w="564" w:type="dxa"/>
            <w:vAlign w:val="top"/>
          </w:tcPr>
          <w:p w14:paraId="6064DED9">
            <w:pPr>
              <w:spacing w:before="12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669</w:t>
            </w:r>
          </w:p>
        </w:tc>
        <w:tc>
          <w:tcPr>
            <w:tcW w:w="670" w:type="dxa"/>
            <w:vAlign w:val="top"/>
          </w:tcPr>
          <w:p w14:paraId="4D2A8B3E">
            <w:pPr>
              <w:spacing w:before="12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783461E9">
            <w:pPr>
              <w:spacing w:before="12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1CA1F005">
            <w:pPr>
              <w:spacing w:before="124"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52.7</w:t>
            </w:r>
          </w:p>
        </w:tc>
        <w:tc>
          <w:tcPr>
            <w:tcW w:w="962" w:type="dxa"/>
            <w:vAlign w:val="top"/>
          </w:tcPr>
          <w:p w14:paraId="2E0696DF">
            <w:pPr>
              <w:pStyle w:val="6"/>
              <w:spacing w:before="8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417E1D46">
            <w:pPr>
              <w:rPr>
                <w:rFonts w:ascii="Arial"/>
                <w:sz w:val="21"/>
              </w:rPr>
            </w:pPr>
          </w:p>
        </w:tc>
        <w:tc>
          <w:tcPr>
            <w:tcW w:w="831" w:type="dxa"/>
            <w:vMerge w:val="continue"/>
            <w:tcBorders>
              <w:top w:val="nil"/>
              <w:bottom w:val="nil"/>
            </w:tcBorders>
            <w:vAlign w:val="top"/>
          </w:tcPr>
          <w:p w14:paraId="17FBF91C">
            <w:pPr>
              <w:rPr>
                <w:rFonts w:ascii="Arial"/>
                <w:sz w:val="21"/>
              </w:rPr>
            </w:pPr>
          </w:p>
        </w:tc>
        <w:tc>
          <w:tcPr>
            <w:tcW w:w="684" w:type="dxa"/>
            <w:vMerge w:val="continue"/>
            <w:tcBorders>
              <w:top w:val="nil"/>
              <w:bottom w:val="nil"/>
            </w:tcBorders>
            <w:vAlign w:val="top"/>
          </w:tcPr>
          <w:p w14:paraId="45AA19E9">
            <w:pPr>
              <w:rPr>
                <w:rFonts w:ascii="Arial"/>
                <w:sz w:val="21"/>
              </w:rPr>
            </w:pPr>
          </w:p>
        </w:tc>
      </w:tr>
      <w:tr w14:paraId="5E2D6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05D5A069">
            <w:pPr>
              <w:spacing w:before="123"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12" w:type="dxa"/>
            <w:vMerge w:val="continue"/>
            <w:tcBorders>
              <w:top w:val="nil"/>
            </w:tcBorders>
            <w:vAlign w:val="top"/>
          </w:tcPr>
          <w:p w14:paraId="61E0BDFE">
            <w:pPr>
              <w:rPr>
                <w:rFonts w:ascii="Arial"/>
                <w:sz w:val="21"/>
              </w:rPr>
            </w:pPr>
          </w:p>
        </w:tc>
        <w:tc>
          <w:tcPr>
            <w:tcW w:w="1900" w:type="dxa"/>
            <w:vAlign w:val="top"/>
          </w:tcPr>
          <w:p w14:paraId="6F85B284">
            <w:pPr>
              <w:pStyle w:val="6"/>
              <w:spacing w:before="128" w:line="227" w:lineRule="auto"/>
              <w:ind w:left="33"/>
            </w:pPr>
            <w:r>
              <w:rPr>
                <w:spacing w:val="4"/>
              </w:rPr>
              <w:t>立式渣浆泵（2</w:t>
            </w:r>
            <w:r>
              <w:rPr>
                <w:spacing w:val="-21"/>
              </w:rPr>
              <w:t xml:space="preserve"> </w:t>
            </w:r>
            <w:r>
              <w:rPr>
                <w:spacing w:val="4"/>
              </w:rPr>
              <w:t>台）</w:t>
            </w:r>
          </w:p>
        </w:tc>
        <w:tc>
          <w:tcPr>
            <w:tcW w:w="2551" w:type="dxa"/>
            <w:vAlign w:val="top"/>
          </w:tcPr>
          <w:p w14:paraId="4BE0C96E">
            <w:pPr>
              <w:pStyle w:val="6"/>
              <w:spacing w:before="72" w:line="267" w:lineRule="exact"/>
              <w:ind w:left="62"/>
            </w:pPr>
            <w:r>
              <w:rPr>
                <w:spacing w:val="5"/>
              </w:rPr>
              <w:t>100R-</w:t>
            </w:r>
            <w:r>
              <w:t>LPR</w:t>
            </w:r>
            <w:r>
              <w:rPr>
                <w:spacing w:val="5"/>
              </w:rPr>
              <w:t xml:space="preserve"> </w:t>
            </w:r>
            <w:r>
              <w:t>Q</w:t>
            </w:r>
            <w:r>
              <w:rPr>
                <w:spacing w:val="5"/>
              </w:rPr>
              <w:t>=142m</w:t>
            </w:r>
            <w:r>
              <w:rPr>
                <w:spacing w:val="5"/>
                <w:position w:val="10"/>
                <w:sz w:val="10"/>
                <w:szCs w:val="10"/>
              </w:rPr>
              <w:t>3</w:t>
            </w:r>
            <w:r>
              <w:rPr>
                <w:spacing w:val="5"/>
              </w:rPr>
              <w:t>/</w:t>
            </w:r>
            <w:r>
              <w:t>h</w:t>
            </w:r>
            <w:r>
              <w:rPr>
                <w:spacing w:val="5"/>
              </w:rPr>
              <w:t xml:space="preserve"> </w:t>
            </w:r>
            <w:r>
              <w:t>H</w:t>
            </w:r>
            <w:r>
              <w:rPr>
                <w:spacing w:val="5"/>
              </w:rPr>
              <w:t>=24m</w:t>
            </w:r>
          </w:p>
        </w:tc>
        <w:tc>
          <w:tcPr>
            <w:tcW w:w="1113" w:type="dxa"/>
            <w:vAlign w:val="top"/>
          </w:tcPr>
          <w:p w14:paraId="6F128547">
            <w:pPr>
              <w:pStyle w:val="6"/>
              <w:spacing w:before="87"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5894B22F">
            <w:pPr>
              <w:pStyle w:val="6"/>
              <w:spacing w:before="88" w:line="228" w:lineRule="auto"/>
              <w:ind w:left="11"/>
            </w:pPr>
            <w:r>
              <w:rPr>
                <w:spacing w:val="-3"/>
              </w:rPr>
              <w:t>减振、隔声</w:t>
            </w:r>
          </w:p>
        </w:tc>
        <w:tc>
          <w:tcPr>
            <w:tcW w:w="564" w:type="dxa"/>
            <w:vAlign w:val="top"/>
          </w:tcPr>
          <w:p w14:paraId="34B78DF8">
            <w:pPr>
              <w:spacing w:before="12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525</w:t>
            </w:r>
          </w:p>
        </w:tc>
        <w:tc>
          <w:tcPr>
            <w:tcW w:w="564" w:type="dxa"/>
            <w:vAlign w:val="top"/>
          </w:tcPr>
          <w:p w14:paraId="68A097BF">
            <w:pPr>
              <w:spacing w:before="12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657</w:t>
            </w:r>
          </w:p>
        </w:tc>
        <w:tc>
          <w:tcPr>
            <w:tcW w:w="670" w:type="dxa"/>
            <w:vAlign w:val="top"/>
          </w:tcPr>
          <w:p w14:paraId="62CA5621">
            <w:pPr>
              <w:spacing w:before="12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1004.5</w:t>
            </w:r>
          </w:p>
        </w:tc>
        <w:tc>
          <w:tcPr>
            <w:tcW w:w="734" w:type="dxa"/>
            <w:vAlign w:val="top"/>
          </w:tcPr>
          <w:p w14:paraId="71ADC6B7">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2E382ECF">
            <w:pPr>
              <w:spacing w:before="12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w:t>
            </w:r>
          </w:p>
        </w:tc>
        <w:tc>
          <w:tcPr>
            <w:tcW w:w="962" w:type="dxa"/>
            <w:vAlign w:val="top"/>
          </w:tcPr>
          <w:p w14:paraId="5925E6FC">
            <w:pPr>
              <w:pStyle w:val="6"/>
              <w:spacing w:before="8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5FB40399">
            <w:pPr>
              <w:rPr>
                <w:rFonts w:ascii="Arial"/>
                <w:sz w:val="21"/>
              </w:rPr>
            </w:pPr>
          </w:p>
        </w:tc>
        <w:tc>
          <w:tcPr>
            <w:tcW w:w="831" w:type="dxa"/>
            <w:vMerge w:val="continue"/>
            <w:tcBorders>
              <w:top w:val="nil"/>
            </w:tcBorders>
            <w:vAlign w:val="top"/>
          </w:tcPr>
          <w:p w14:paraId="3E463CD1">
            <w:pPr>
              <w:rPr>
                <w:rFonts w:ascii="Arial"/>
                <w:sz w:val="21"/>
              </w:rPr>
            </w:pPr>
          </w:p>
        </w:tc>
        <w:tc>
          <w:tcPr>
            <w:tcW w:w="684" w:type="dxa"/>
            <w:vMerge w:val="continue"/>
            <w:tcBorders>
              <w:top w:val="nil"/>
            </w:tcBorders>
            <w:vAlign w:val="top"/>
          </w:tcPr>
          <w:p w14:paraId="7D602106">
            <w:pPr>
              <w:rPr>
                <w:rFonts w:ascii="Arial"/>
                <w:sz w:val="21"/>
              </w:rPr>
            </w:pPr>
          </w:p>
        </w:tc>
      </w:tr>
      <w:tr w14:paraId="4E66C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515A38D2">
            <w:pPr>
              <w:spacing w:before="115"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12" w:type="dxa"/>
            <w:vMerge w:val="restart"/>
            <w:tcBorders>
              <w:bottom w:val="nil"/>
            </w:tcBorders>
            <w:vAlign w:val="top"/>
          </w:tcPr>
          <w:p w14:paraId="7AC6B93A">
            <w:pPr>
              <w:pStyle w:val="6"/>
              <w:spacing w:before="302" w:line="228" w:lineRule="auto"/>
              <w:ind w:left="95"/>
            </w:pPr>
            <w:r>
              <w:rPr>
                <w:spacing w:val="6"/>
              </w:rPr>
              <w:t>脱水车</w:t>
            </w:r>
          </w:p>
          <w:p w14:paraId="676ADE55">
            <w:pPr>
              <w:pStyle w:val="6"/>
              <w:spacing w:before="64" w:line="231" w:lineRule="auto"/>
              <w:ind w:left="319"/>
            </w:pPr>
            <w:r>
              <w:t>间</w:t>
            </w:r>
          </w:p>
        </w:tc>
        <w:tc>
          <w:tcPr>
            <w:tcW w:w="1900" w:type="dxa"/>
            <w:vAlign w:val="top"/>
          </w:tcPr>
          <w:p w14:paraId="3F6DEE39">
            <w:pPr>
              <w:pStyle w:val="6"/>
              <w:spacing w:before="110" w:line="226" w:lineRule="auto"/>
              <w:ind w:left="327"/>
            </w:pPr>
            <w:r>
              <w:rPr>
                <w:spacing w:val="7"/>
              </w:rPr>
              <w:t>高浓度搅拌槽</w:t>
            </w:r>
          </w:p>
        </w:tc>
        <w:tc>
          <w:tcPr>
            <w:tcW w:w="2551" w:type="dxa"/>
            <w:vAlign w:val="top"/>
          </w:tcPr>
          <w:p w14:paraId="1B7516F4">
            <w:pPr>
              <w:pStyle w:val="6"/>
              <w:spacing w:before="79" w:line="268" w:lineRule="exact"/>
              <w:ind w:left="857"/>
            </w:pPr>
            <w:r>
              <w:rPr>
                <w:position w:val="1"/>
              </w:rPr>
              <w:t>XBN</w:t>
            </w:r>
            <w:r>
              <w:rPr>
                <w:spacing w:val="7"/>
                <w:position w:val="1"/>
              </w:rPr>
              <w:t>-1500</w:t>
            </w:r>
          </w:p>
        </w:tc>
        <w:tc>
          <w:tcPr>
            <w:tcW w:w="1113" w:type="dxa"/>
            <w:vAlign w:val="top"/>
          </w:tcPr>
          <w:p w14:paraId="7FE55AE2">
            <w:pPr>
              <w:spacing w:before="115"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6F2ADFA3">
            <w:pPr>
              <w:pStyle w:val="6"/>
              <w:spacing w:before="79" w:line="228" w:lineRule="auto"/>
              <w:ind w:left="11"/>
            </w:pPr>
            <w:r>
              <w:rPr>
                <w:spacing w:val="-3"/>
              </w:rPr>
              <w:t>减振、隔声</w:t>
            </w:r>
          </w:p>
        </w:tc>
        <w:tc>
          <w:tcPr>
            <w:tcW w:w="564" w:type="dxa"/>
            <w:vAlign w:val="top"/>
          </w:tcPr>
          <w:p w14:paraId="08C97652">
            <w:pPr>
              <w:spacing w:before="11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w:t>
            </w:r>
          </w:p>
        </w:tc>
        <w:tc>
          <w:tcPr>
            <w:tcW w:w="564" w:type="dxa"/>
            <w:vAlign w:val="top"/>
          </w:tcPr>
          <w:p w14:paraId="5A582B91">
            <w:pPr>
              <w:spacing w:before="1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684</w:t>
            </w:r>
          </w:p>
        </w:tc>
        <w:tc>
          <w:tcPr>
            <w:tcW w:w="670" w:type="dxa"/>
            <w:vAlign w:val="top"/>
          </w:tcPr>
          <w:p w14:paraId="66CF6720">
            <w:pPr>
              <w:spacing w:before="11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1003.2</w:t>
            </w:r>
          </w:p>
        </w:tc>
        <w:tc>
          <w:tcPr>
            <w:tcW w:w="734" w:type="dxa"/>
            <w:vAlign w:val="top"/>
          </w:tcPr>
          <w:p w14:paraId="2DDEA4D3">
            <w:pPr>
              <w:spacing w:before="11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66EC1177">
            <w:pPr>
              <w:spacing w:before="115"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2" w:type="dxa"/>
            <w:vAlign w:val="top"/>
          </w:tcPr>
          <w:p w14:paraId="3A8C6E15">
            <w:pPr>
              <w:pStyle w:val="6"/>
              <w:spacing w:before="7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62CED217">
            <w:pPr>
              <w:spacing w:line="434" w:lineRule="auto"/>
              <w:rPr>
                <w:rFonts w:ascii="Arial"/>
                <w:sz w:val="21"/>
              </w:rPr>
            </w:pPr>
          </w:p>
          <w:p w14:paraId="3A080ABA">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081AFE9E">
            <w:pPr>
              <w:spacing w:line="434" w:lineRule="auto"/>
              <w:rPr>
                <w:rFonts w:ascii="Arial"/>
                <w:sz w:val="21"/>
              </w:rPr>
            </w:pPr>
          </w:p>
          <w:p w14:paraId="163CB27A">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2019E239">
            <w:pPr>
              <w:spacing w:line="434" w:lineRule="auto"/>
              <w:rPr>
                <w:rFonts w:ascii="Arial"/>
                <w:sz w:val="21"/>
              </w:rPr>
            </w:pPr>
          </w:p>
          <w:p w14:paraId="6EAEC2D7">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4F70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09D37E47">
            <w:pPr>
              <w:spacing w:before="114"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12" w:type="dxa"/>
            <w:vMerge w:val="continue"/>
            <w:tcBorders>
              <w:top w:val="nil"/>
              <w:bottom w:val="nil"/>
            </w:tcBorders>
            <w:vAlign w:val="top"/>
          </w:tcPr>
          <w:p w14:paraId="3E9FF588">
            <w:pPr>
              <w:rPr>
                <w:rFonts w:ascii="Arial"/>
                <w:sz w:val="21"/>
              </w:rPr>
            </w:pPr>
          </w:p>
        </w:tc>
        <w:tc>
          <w:tcPr>
            <w:tcW w:w="1900" w:type="dxa"/>
            <w:vAlign w:val="top"/>
          </w:tcPr>
          <w:p w14:paraId="25D22601">
            <w:pPr>
              <w:pStyle w:val="6"/>
              <w:spacing w:before="112" w:line="224" w:lineRule="auto"/>
              <w:ind w:left="327"/>
            </w:pPr>
            <w:r>
              <w:rPr>
                <w:spacing w:val="7"/>
              </w:rPr>
              <w:t>高浓度搅拌槽</w:t>
            </w:r>
          </w:p>
        </w:tc>
        <w:tc>
          <w:tcPr>
            <w:tcW w:w="2551" w:type="dxa"/>
            <w:vAlign w:val="top"/>
          </w:tcPr>
          <w:p w14:paraId="7AEA2CD0">
            <w:pPr>
              <w:pStyle w:val="6"/>
              <w:spacing w:before="78" w:line="269" w:lineRule="exact"/>
              <w:ind w:left="857"/>
            </w:pPr>
            <w:r>
              <w:rPr>
                <w:position w:val="1"/>
              </w:rPr>
              <w:t>XBN</w:t>
            </w:r>
            <w:r>
              <w:rPr>
                <w:spacing w:val="7"/>
                <w:position w:val="1"/>
              </w:rPr>
              <w:t>-2000</w:t>
            </w:r>
          </w:p>
        </w:tc>
        <w:tc>
          <w:tcPr>
            <w:tcW w:w="1113" w:type="dxa"/>
            <w:vAlign w:val="top"/>
          </w:tcPr>
          <w:p w14:paraId="744CB9A3">
            <w:pPr>
              <w:spacing w:before="114"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36294EEA">
            <w:pPr>
              <w:pStyle w:val="6"/>
              <w:spacing w:before="79" w:line="228" w:lineRule="auto"/>
              <w:ind w:left="11"/>
            </w:pPr>
            <w:r>
              <w:rPr>
                <w:spacing w:val="-3"/>
              </w:rPr>
              <w:t>减振、隔声</w:t>
            </w:r>
          </w:p>
        </w:tc>
        <w:tc>
          <w:tcPr>
            <w:tcW w:w="564" w:type="dxa"/>
            <w:vAlign w:val="top"/>
          </w:tcPr>
          <w:p w14:paraId="7B14FB5C">
            <w:pPr>
              <w:spacing w:before="114"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475</w:t>
            </w:r>
          </w:p>
        </w:tc>
        <w:tc>
          <w:tcPr>
            <w:tcW w:w="564" w:type="dxa"/>
            <w:vAlign w:val="top"/>
          </w:tcPr>
          <w:p w14:paraId="6CC9601D">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672</w:t>
            </w:r>
          </w:p>
        </w:tc>
        <w:tc>
          <w:tcPr>
            <w:tcW w:w="670" w:type="dxa"/>
            <w:vAlign w:val="top"/>
          </w:tcPr>
          <w:p w14:paraId="166BE6B6">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1003.2</w:t>
            </w:r>
          </w:p>
        </w:tc>
        <w:tc>
          <w:tcPr>
            <w:tcW w:w="734" w:type="dxa"/>
            <w:vAlign w:val="top"/>
          </w:tcPr>
          <w:p w14:paraId="071E6C4E">
            <w:pPr>
              <w:spacing w:before="114"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73601E13">
            <w:pPr>
              <w:spacing w:before="11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36.9</w:t>
            </w:r>
          </w:p>
        </w:tc>
        <w:tc>
          <w:tcPr>
            <w:tcW w:w="962" w:type="dxa"/>
            <w:vAlign w:val="top"/>
          </w:tcPr>
          <w:p w14:paraId="6A5B2248">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076138B">
            <w:pPr>
              <w:rPr>
                <w:rFonts w:ascii="Arial"/>
                <w:sz w:val="21"/>
              </w:rPr>
            </w:pPr>
          </w:p>
        </w:tc>
        <w:tc>
          <w:tcPr>
            <w:tcW w:w="831" w:type="dxa"/>
            <w:vMerge w:val="continue"/>
            <w:tcBorders>
              <w:top w:val="nil"/>
              <w:bottom w:val="nil"/>
            </w:tcBorders>
            <w:vAlign w:val="top"/>
          </w:tcPr>
          <w:p w14:paraId="701752BA">
            <w:pPr>
              <w:rPr>
                <w:rFonts w:ascii="Arial"/>
                <w:sz w:val="21"/>
              </w:rPr>
            </w:pPr>
          </w:p>
        </w:tc>
        <w:tc>
          <w:tcPr>
            <w:tcW w:w="684" w:type="dxa"/>
            <w:vMerge w:val="continue"/>
            <w:tcBorders>
              <w:top w:val="nil"/>
              <w:bottom w:val="nil"/>
            </w:tcBorders>
            <w:vAlign w:val="top"/>
          </w:tcPr>
          <w:p w14:paraId="2FA667E2">
            <w:pPr>
              <w:rPr>
                <w:rFonts w:ascii="Arial"/>
                <w:sz w:val="21"/>
              </w:rPr>
            </w:pPr>
          </w:p>
        </w:tc>
      </w:tr>
      <w:tr w14:paraId="56BE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7" w:type="dxa"/>
            <w:vAlign w:val="top"/>
          </w:tcPr>
          <w:p w14:paraId="43474760">
            <w:pPr>
              <w:spacing w:before="124"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12" w:type="dxa"/>
            <w:vMerge w:val="continue"/>
            <w:tcBorders>
              <w:top w:val="nil"/>
            </w:tcBorders>
            <w:vAlign w:val="top"/>
          </w:tcPr>
          <w:p w14:paraId="2103CE52">
            <w:pPr>
              <w:rPr>
                <w:rFonts w:ascii="Arial"/>
                <w:sz w:val="21"/>
              </w:rPr>
            </w:pPr>
          </w:p>
        </w:tc>
        <w:tc>
          <w:tcPr>
            <w:tcW w:w="1900" w:type="dxa"/>
            <w:vAlign w:val="top"/>
          </w:tcPr>
          <w:p w14:paraId="3FDE6935">
            <w:pPr>
              <w:pStyle w:val="6"/>
              <w:spacing w:before="126" w:line="228" w:lineRule="auto"/>
              <w:ind w:left="244"/>
            </w:pPr>
            <w:r>
              <w:rPr>
                <w:spacing w:val="2"/>
              </w:rPr>
              <w:t>渣浆泵（2</w:t>
            </w:r>
            <w:r>
              <w:rPr>
                <w:spacing w:val="-19"/>
              </w:rPr>
              <w:t xml:space="preserve"> </w:t>
            </w:r>
            <w:r>
              <w:rPr>
                <w:spacing w:val="2"/>
              </w:rPr>
              <w:t>台）</w:t>
            </w:r>
          </w:p>
        </w:tc>
        <w:tc>
          <w:tcPr>
            <w:tcW w:w="2551" w:type="dxa"/>
            <w:vAlign w:val="top"/>
          </w:tcPr>
          <w:p w14:paraId="5A89D8B7">
            <w:pPr>
              <w:pStyle w:val="6"/>
              <w:spacing w:before="70" w:line="270" w:lineRule="exact"/>
              <w:ind w:left="151"/>
            </w:pPr>
            <w:r>
              <w:rPr>
                <w:spacing w:val="5"/>
              </w:rPr>
              <w:t>65Q-</w:t>
            </w:r>
            <w:r>
              <w:t>LP</w:t>
            </w:r>
            <w:r>
              <w:rPr>
                <w:spacing w:val="5"/>
              </w:rPr>
              <w:t xml:space="preserve"> </w:t>
            </w:r>
            <w:r>
              <w:t>Q</w:t>
            </w:r>
            <w:r>
              <w:rPr>
                <w:spacing w:val="5"/>
              </w:rPr>
              <w:t>=62m</w:t>
            </w:r>
            <w:r>
              <w:rPr>
                <w:spacing w:val="5"/>
                <w:position w:val="10"/>
                <w:sz w:val="10"/>
                <w:szCs w:val="10"/>
              </w:rPr>
              <w:t>3</w:t>
            </w:r>
            <w:r>
              <w:rPr>
                <w:spacing w:val="5"/>
              </w:rPr>
              <w:t>/</w:t>
            </w:r>
            <w:r>
              <w:t>h</w:t>
            </w:r>
            <w:r>
              <w:rPr>
                <w:spacing w:val="5"/>
              </w:rPr>
              <w:t xml:space="preserve">  </w:t>
            </w:r>
            <w:r>
              <w:t>H</w:t>
            </w:r>
            <w:r>
              <w:rPr>
                <w:spacing w:val="5"/>
              </w:rPr>
              <w:t>=20m</w:t>
            </w:r>
          </w:p>
        </w:tc>
        <w:tc>
          <w:tcPr>
            <w:tcW w:w="1113" w:type="dxa"/>
            <w:vAlign w:val="top"/>
          </w:tcPr>
          <w:p w14:paraId="0EFCF94C">
            <w:pPr>
              <w:pStyle w:val="6"/>
              <w:spacing w:before="87"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23D7887E">
            <w:pPr>
              <w:pStyle w:val="6"/>
              <w:spacing w:before="88" w:line="228" w:lineRule="auto"/>
              <w:ind w:left="11"/>
            </w:pPr>
            <w:r>
              <w:rPr>
                <w:spacing w:val="-3"/>
              </w:rPr>
              <w:t>减振、隔声</w:t>
            </w:r>
          </w:p>
        </w:tc>
        <w:tc>
          <w:tcPr>
            <w:tcW w:w="564" w:type="dxa"/>
            <w:vAlign w:val="top"/>
          </w:tcPr>
          <w:p w14:paraId="11CF3541">
            <w:pPr>
              <w:spacing w:before="12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476</w:t>
            </w:r>
          </w:p>
        </w:tc>
        <w:tc>
          <w:tcPr>
            <w:tcW w:w="564" w:type="dxa"/>
            <w:vAlign w:val="top"/>
          </w:tcPr>
          <w:p w14:paraId="5B4C1DA1">
            <w:pPr>
              <w:spacing w:before="12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652</w:t>
            </w:r>
          </w:p>
        </w:tc>
        <w:tc>
          <w:tcPr>
            <w:tcW w:w="670" w:type="dxa"/>
            <w:vAlign w:val="top"/>
          </w:tcPr>
          <w:p w14:paraId="07B9A0C4">
            <w:pPr>
              <w:spacing w:before="12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1002.5</w:t>
            </w:r>
          </w:p>
        </w:tc>
        <w:tc>
          <w:tcPr>
            <w:tcW w:w="734" w:type="dxa"/>
            <w:vAlign w:val="top"/>
          </w:tcPr>
          <w:p w14:paraId="4BACB441">
            <w:pPr>
              <w:spacing w:before="123"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860" w:type="dxa"/>
            <w:vAlign w:val="top"/>
          </w:tcPr>
          <w:p w14:paraId="4C790C6E">
            <w:pPr>
              <w:spacing w:before="12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w:t>
            </w:r>
          </w:p>
        </w:tc>
        <w:tc>
          <w:tcPr>
            <w:tcW w:w="962" w:type="dxa"/>
            <w:vAlign w:val="top"/>
          </w:tcPr>
          <w:p w14:paraId="63839033">
            <w:pPr>
              <w:pStyle w:val="6"/>
              <w:spacing w:before="8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68A11DB9">
            <w:pPr>
              <w:rPr>
                <w:rFonts w:ascii="Arial"/>
                <w:sz w:val="21"/>
              </w:rPr>
            </w:pPr>
          </w:p>
        </w:tc>
        <w:tc>
          <w:tcPr>
            <w:tcW w:w="831" w:type="dxa"/>
            <w:vMerge w:val="continue"/>
            <w:tcBorders>
              <w:top w:val="nil"/>
            </w:tcBorders>
            <w:vAlign w:val="top"/>
          </w:tcPr>
          <w:p w14:paraId="0E6CCCF3">
            <w:pPr>
              <w:rPr>
                <w:rFonts w:ascii="Arial"/>
                <w:sz w:val="21"/>
              </w:rPr>
            </w:pPr>
          </w:p>
        </w:tc>
        <w:tc>
          <w:tcPr>
            <w:tcW w:w="684" w:type="dxa"/>
            <w:vMerge w:val="continue"/>
            <w:tcBorders>
              <w:top w:val="nil"/>
            </w:tcBorders>
            <w:vAlign w:val="top"/>
          </w:tcPr>
          <w:p w14:paraId="2184B4C4">
            <w:pPr>
              <w:rPr>
                <w:rFonts w:ascii="Arial"/>
                <w:sz w:val="21"/>
              </w:rPr>
            </w:pPr>
          </w:p>
        </w:tc>
      </w:tr>
      <w:tr w14:paraId="22304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31A8BEB1">
            <w:pPr>
              <w:spacing w:before="293"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12" w:type="dxa"/>
            <w:vMerge w:val="restart"/>
            <w:tcBorders>
              <w:bottom w:val="nil"/>
            </w:tcBorders>
            <w:vAlign w:val="top"/>
          </w:tcPr>
          <w:p w14:paraId="2387025F">
            <w:pPr>
              <w:spacing w:line="259" w:lineRule="auto"/>
              <w:rPr>
                <w:rFonts w:ascii="Arial"/>
                <w:sz w:val="21"/>
              </w:rPr>
            </w:pPr>
          </w:p>
          <w:p w14:paraId="50C9D683">
            <w:pPr>
              <w:spacing w:line="259" w:lineRule="auto"/>
              <w:rPr>
                <w:rFonts w:ascii="Arial"/>
                <w:sz w:val="21"/>
              </w:rPr>
            </w:pPr>
          </w:p>
          <w:p w14:paraId="3FD5586B">
            <w:pPr>
              <w:spacing w:line="259" w:lineRule="auto"/>
              <w:rPr>
                <w:rFonts w:ascii="Arial"/>
                <w:sz w:val="21"/>
              </w:rPr>
            </w:pPr>
          </w:p>
          <w:p w14:paraId="44009789">
            <w:pPr>
              <w:pStyle w:val="6"/>
              <w:spacing w:before="65" w:line="227" w:lineRule="auto"/>
              <w:ind w:left="97"/>
            </w:pPr>
            <w:r>
              <w:rPr>
                <w:spacing w:val="6"/>
              </w:rPr>
              <w:t>药剂制</w:t>
            </w:r>
          </w:p>
          <w:p w14:paraId="7EA865E4">
            <w:pPr>
              <w:pStyle w:val="6"/>
              <w:spacing w:before="66" w:line="229" w:lineRule="auto"/>
              <w:ind w:left="305"/>
            </w:pPr>
            <w:r>
              <w:t>备</w:t>
            </w:r>
          </w:p>
        </w:tc>
        <w:tc>
          <w:tcPr>
            <w:tcW w:w="1900" w:type="dxa"/>
            <w:vAlign w:val="top"/>
          </w:tcPr>
          <w:p w14:paraId="5BADC417">
            <w:pPr>
              <w:pStyle w:val="6"/>
              <w:spacing w:before="110" w:line="227" w:lineRule="auto"/>
              <w:ind w:left="62"/>
            </w:pPr>
            <w:r>
              <w:rPr>
                <w:spacing w:val="8"/>
              </w:rPr>
              <w:t>药剂防腐搅拌槽（3</w:t>
            </w:r>
          </w:p>
          <w:p w14:paraId="64BAC0CF">
            <w:pPr>
              <w:pStyle w:val="6"/>
              <w:spacing w:before="114" w:line="224" w:lineRule="auto"/>
              <w:ind w:left="758"/>
            </w:pPr>
            <w:r>
              <w:rPr>
                <w:spacing w:val="-8"/>
              </w:rPr>
              <w:t>台）</w:t>
            </w:r>
          </w:p>
        </w:tc>
        <w:tc>
          <w:tcPr>
            <w:tcW w:w="2551" w:type="dxa"/>
            <w:vAlign w:val="top"/>
          </w:tcPr>
          <w:p w14:paraId="10507DB2">
            <w:pPr>
              <w:pStyle w:val="6"/>
              <w:spacing w:before="257" w:line="226" w:lineRule="auto"/>
              <w:ind w:left="858"/>
            </w:pPr>
            <w:r>
              <w:t>RJW</w:t>
            </w:r>
            <w:r>
              <w:rPr>
                <w:spacing w:val="6"/>
              </w:rPr>
              <w:t>-2500</w:t>
            </w:r>
          </w:p>
        </w:tc>
        <w:tc>
          <w:tcPr>
            <w:tcW w:w="1113" w:type="dxa"/>
            <w:vAlign w:val="top"/>
          </w:tcPr>
          <w:p w14:paraId="0851B82C">
            <w:pPr>
              <w:pStyle w:val="6"/>
              <w:spacing w:before="256"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00982032">
            <w:pPr>
              <w:pStyle w:val="6"/>
              <w:spacing w:before="257" w:line="228" w:lineRule="auto"/>
              <w:ind w:left="11"/>
            </w:pPr>
            <w:r>
              <w:rPr>
                <w:spacing w:val="-3"/>
              </w:rPr>
              <w:t>减振、隔声</w:t>
            </w:r>
          </w:p>
        </w:tc>
        <w:tc>
          <w:tcPr>
            <w:tcW w:w="564" w:type="dxa"/>
            <w:vAlign w:val="top"/>
          </w:tcPr>
          <w:p w14:paraId="736EAD26">
            <w:pPr>
              <w:spacing w:before="293"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492</w:t>
            </w:r>
          </w:p>
        </w:tc>
        <w:tc>
          <w:tcPr>
            <w:tcW w:w="564" w:type="dxa"/>
            <w:vAlign w:val="top"/>
          </w:tcPr>
          <w:p w14:paraId="250C44CE">
            <w:pPr>
              <w:spacing w:before="29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642</w:t>
            </w:r>
          </w:p>
        </w:tc>
        <w:tc>
          <w:tcPr>
            <w:tcW w:w="670" w:type="dxa"/>
            <w:vAlign w:val="top"/>
          </w:tcPr>
          <w:p w14:paraId="0C0491EF">
            <w:pPr>
              <w:spacing w:before="293"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1004.2</w:t>
            </w:r>
          </w:p>
        </w:tc>
        <w:tc>
          <w:tcPr>
            <w:tcW w:w="734" w:type="dxa"/>
            <w:vAlign w:val="top"/>
          </w:tcPr>
          <w:p w14:paraId="39202E94">
            <w:pPr>
              <w:spacing w:before="29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60" w:type="dxa"/>
            <w:vAlign w:val="top"/>
          </w:tcPr>
          <w:p w14:paraId="0EC256AC">
            <w:pPr>
              <w:spacing w:before="29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c>
          <w:tcPr>
            <w:tcW w:w="962" w:type="dxa"/>
            <w:vAlign w:val="top"/>
          </w:tcPr>
          <w:p w14:paraId="3FFD3E3B">
            <w:pPr>
              <w:pStyle w:val="6"/>
              <w:spacing w:before="257"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7C39805F">
            <w:pPr>
              <w:spacing w:line="244" w:lineRule="auto"/>
              <w:rPr>
                <w:rFonts w:ascii="Arial"/>
                <w:sz w:val="21"/>
              </w:rPr>
            </w:pPr>
          </w:p>
          <w:p w14:paraId="2369B6D4">
            <w:pPr>
              <w:spacing w:line="244" w:lineRule="auto"/>
              <w:rPr>
                <w:rFonts w:ascii="Arial"/>
                <w:sz w:val="21"/>
              </w:rPr>
            </w:pPr>
          </w:p>
          <w:p w14:paraId="1056E95B">
            <w:pPr>
              <w:spacing w:line="244" w:lineRule="auto"/>
              <w:rPr>
                <w:rFonts w:ascii="Arial"/>
                <w:sz w:val="21"/>
              </w:rPr>
            </w:pPr>
          </w:p>
          <w:p w14:paraId="7C0113A2">
            <w:pPr>
              <w:spacing w:line="244" w:lineRule="auto"/>
              <w:rPr>
                <w:rFonts w:ascii="Arial"/>
                <w:sz w:val="21"/>
              </w:rPr>
            </w:pPr>
          </w:p>
          <w:p w14:paraId="75AAC539">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6726392D">
            <w:pPr>
              <w:spacing w:line="244" w:lineRule="auto"/>
              <w:rPr>
                <w:rFonts w:ascii="Arial"/>
                <w:sz w:val="21"/>
              </w:rPr>
            </w:pPr>
          </w:p>
          <w:p w14:paraId="66ABD1E6">
            <w:pPr>
              <w:spacing w:line="244" w:lineRule="auto"/>
              <w:rPr>
                <w:rFonts w:ascii="Arial"/>
                <w:sz w:val="21"/>
              </w:rPr>
            </w:pPr>
          </w:p>
          <w:p w14:paraId="6719F671">
            <w:pPr>
              <w:spacing w:line="244" w:lineRule="auto"/>
              <w:rPr>
                <w:rFonts w:ascii="Arial"/>
                <w:sz w:val="21"/>
              </w:rPr>
            </w:pPr>
          </w:p>
          <w:p w14:paraId="38AACE63">
            <w:pPr>
              <w:spacing w:line="244" w:lineRule="auto"/>
              <w:rPr>
                <w:rFonts w:ascii="Arial"/>
                <w:sz w:val="21"/>
              </w:rPr>
            </w:pPr>
          </w:p>
          <w:p w14:paraId="7B3F2C60">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2813D3BE">
            <w:pPr>
              <w:spacing w:line="244" w:lineRule="auto"/>
              <w:rPr>
                <w:rFonts w:ascii="Arial"/>
                <w:sz w:val="21"/>
              </w:rPr>
            </w:pPr>
          </w:p>
          <w:p w14:paraId="47E7035F">
            <w:pPr>
              <w:spacing w:line="244" w:lineRule="auto"/>
              <w:rPr>
                <w:rFonts w:ascii="Arial"/>
                <w:sz w:val="21"/>
              </w:rPr>
            </w:pPr>
          </w:p>
          <w:p w14:paraId="34C9722C">
            <w:pPr>
              <w:spacing w:line="244" w:lineRule="auto"/>
              <w:rPr>
                <w:rFonts w:ascii="Arial"/>
                <w:sz w:val="21"/>
              </w:rPr>
            </w:pPr>
          </w:p>
          <w:p w14:paraId="34183102">
            <w:pPr>
              <w:spacing w:line="244" w:lineRule="auto"/>
              <w:rPr>
                <w:rFonts w:ascii="Arial"/>
                <w:sz w:val="21"/>
              </w:rPr>
            </w:pPr>
          </w:p>
          <w:p w14:paraId="3306E3DB">
            <w:pPr>
              <w:spacing w:before="57"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25FB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77DF4D86">
            <w:pPr>
              <w:spacing w:before="29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12" w:type="dxa"/>
            <w:vMerge w:val="continue"/>
            <w:tcBorders>
              <w:top w:val="nil"/>
              <w:bottom w:val="nil"/>
            </w:tcBorders>
            <w:vAlign w:val="top"/>
          </w:tcPr>
          <w:p w14:paraId="77C23605">
            <w:pPr>
              <w:rPr>
                <w:rFonts w:ascii="Arial"/>
                <w:sz w:val="21"/>
              </w:rPr>
            </w:pPr>
          </w:p>
        </w:tc>
        <w:tc>
          <w:tcPr>
            <w:tcW w:w="1900" w:type="dxa"/>
            <w:vAlign w:val="top"/>
          </w:tcPr>
          <w:p w14:paraId="6D1DC8DA">
            <w:pPr>
              <w:pStyle w:val="6"/>
              <w:spacing w:before="111" w:line="227" w:lineRule="auto"/>
              <w:ind w:left="62"/>
            </w:pPr>
            <w:r>
              <w:rPr>
                <w:spacing w:val="8"/>
              </w:rPr>
              <w:t>药剂防腐搅拌槽（3</w:t>
            </w:r>
          </w:p>
          <w:p w14:paraId="170249B6">
            <w:pPr>
              <w:pStyle w:val="6"/>
              <w:spacing w:before="114" w:line="224" w:lineRule="auto"/>
              <w:ind w:left="758"/>
            </w:pPr>
            <w:r>
              <w:rPr>
                <w:spacing w:val="-8"/>
              </w:rPr>
              <w:t>台）</w:t>
            </w:r>
          </w:p>
        </w:tc>
        <w:tc>
          <w:tcPr>
            <w:tcW w:w="2551" w:type="dxa"/>
            <w:vAlign w:val="top"/>
          </w:tcPr>
          <w:p w14:paraId="636F4832">
            <w:pPr>
              <w:pStyle w:val="6"/>
              <w:spacing w:before="260" w:line="226" w:lineRule="auto"/>
              <w:ind w:left="858"/>
            </w:pPr>
            <w:r>
              <w:t>RJW</w:t>
            </w:r>
            <w:r>
              <w:rPr>
                <w:spacing w:val="6"/>
              </w:rPr>
              <w:t>-1500</w:t>
            </w:r>
          </w:p>
        </w:tc>
        <w:tc>
          <w:tcPr>
            <w:tcW w:w="1113" w:type="dxa"/>
            <w:vAlign w:val="top"/>
          </w:tcPr>
          <w:p w14:paraId="7B997B4B">
            <w:pPr>
              <w:pStyle w:val="6"/>
              <w:spacing w:before="259"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6E77ACBF">
            <w:pPr>
              <w:pStyle w:val="6"/>
              <w:spacing w:before="260" w:line="228" w:lineRule="auto"/>
              <w:ind w:left="11"/>
            </w:pPr>
            <w:r>
              <w:rPr>
                <w:spacing w:val="-3"/>
              </w:rPr>
              <w:t>减振、隔声</w:t>
            </w:r>
          </w:p>
        </w:tc>
        <w:tc>
          <w:tcPr>
            <w:tcW w:w="564" w:type="dxa"/>
            <w:vAlign w:val="top"/>
          </w:tcPr>
          <w:p w14:paraId="26E9C21D">
            <w:pPr>
              <w:spacing w:before="29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495</w:t>
            </w:r>
          </w:p>
        </w:tc>
        <w:tc>
          <w:tcPr>
            <w:tcW w:w="564" w:type="dxa"/>
            <w:vAlign w:val="top"/>
          </w:tcPr>
          <w:p w14:paraId="73F994DC">
            <w:pPr>
              <w:spacing w:before="29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637</w:t>
            </w:r>
          </w:p>
        </w:tc>
        <w:tc>
          <w:tcPr>
            <w:tcW w:w="670" w:type="dxa"/>
            <w:vAlign w:val="top"/>
          </w:tcPr>
          <w:p w14:paraId="773924DB">
            <w:pPr>
              <w:spacing w:before="29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1004.2</w:t>
            </w:r>
          </w:p>
        </w:tc>
        <w:tc>
          <w:tcPr>
            <w:tcW w:w="734" w:type="dxa"/>
            <w:vAlign w:val="top"/>
          </w:tcPr>
          <w:p w14:paraId="609EE378">
            <w:pPr>
              <w:spacing w:before="29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60" w:type="dxa"/>
            <w:vAlign w:val="top"/>
          </w:tcPr>
          <w:p w14:paraId="3807AA6E">
            <w:pPr>
              <w:spacing w:before="29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c>
          <w:tcPr>
            <w:tcW w:w="962" w:type="dxa"/>
            <w:vAlign w:val="top"/>
          </w:tcPr>
          <w:p w14:paraId="6E4C4676">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3C6049F">
            <w:pPr>
              <w:rPr>
                <w:rFonts w:ascii="Arial"/>
                <w:sz w:val="21"/>
              </w:rPr>
            </w:pPr>
          </w:p>
        </w:tc>
        <w:tc>
          <w:tcPr>
            <w:tcW w:w="831" w:type="dxa"/>
            <w:vMerge w:val="continue"/>
            <w:tcBorders>
              <w:top w:val="nil"/>
              <w:bottom w:val="nil"/>
            </w:tcBorders>
            <w:vAlign w:val="top"/>
          </w:tcPr>
          <w:p w14:paraId="3167B747">
            <w:pPr>
              <w:rPr>
                <w:rFonts w:ascii="Arial"/>
                <w:sz w:val="21"/>
              </w:rPr>
            </w:pPr>
          </w:p>
        </w:tc>
        <w:tc>
          <w:tcPr>
            <w:tcW w:w="684" w:type="dxa"/>
            <w:vMerge w:val="continue"/>
            <w:tcBorders>
              <w:top w:val="nil"/>
              <w:bottom w:val="nil"/>
            </w:tcBorders>
            <w:vAlign w:val="top"/>
          </w:tcPr>
          <w:p w14:paraId="2451D80E">
            <w:pPr>
              <w:rPr>
                <w:rFonts w:ascii="Arial"/>
                <w:sz w:val="21"/>
              </w:rPr>
            </w:pPr>
          </w:p>
        </w:tc>
      </w:tr>
      <w:tr w14:paraId="0F6B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174EF1E4">
            <w:pPr>
              <w:spacing w:before="11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12" w:type="dxa"/>
            <w:vMerge w:val="continue"/>
            <w:tcBorders>
              <w:top w:val="nil"/>
              <w:bottom w:val="nil"/>
            </w:tcBorders>
            <w:vAlign w:val="top"/>
          </w:tcPr>
          <w:p w14:paraId="7330CCD0">
            <w:pPr>
              <w:rPr>
                <w:rFonts w:ascii="Arial"/>
                <w:sz w:val="21"/>
              </w:rPr>
            </w:pPr>
          </w:p>
        </w:tc>
        <w:tc>
          <w:tcPr>
            <w:tcW w:w="1900" w:type="dxa"/>
            <w:vAlign w:val="top"/>
          </w:tcPr>
          <w:p w14:paraId="05D1DB3B">
            <w:pPr>
              <w:pStyle w:val="6"/>
              <w:spacing w:before="114" w:line="222" w:lineRule="auto"/>
              <w:ind w:left="114"/>
            </w:pPr>
            <w:r>
              <w:rPr>
                <w:spacing w:val="8"/>
              </w:rPr>
              <w:t>脉动式自动加药机</w:t>
            </w:r>
          </w:p>
        </w:tc>
        <w:tc>
          <w:tcPr>
            <w:tcW w:w="2551" w:type="dxa"/>
            <w:vAlign w:val="top"/>
          </w:tcPr>
          <w:p w14:paraId="47E345C9">
            <w:pPr>
              <w:pStyle w:val="6"/>
              <w:spacing w:before="81" w:line="226" w:lineRule="auto"/>
              <w:ind w:left="753"/>
            </w:pPr>
            <w:r>
              <w:t>JDI</w:t>
            </w:r>
            <w:r>
              <w:rPr>
                <w:spacing w:val="6"/>
              </w:rPr>
              <w:t>-X-P-32</w:t>
            </w:r>
          </w:p>
        </w:tc>
        <w:tc>
          <w:tcPr>
            <w:tcW w:w="1113" w:type="dxa"/>
            <w:vAlign w:val="top"/>
          </w:tcPr>
          <w:p w14:paraId="1FFEFB3B">
            <w:pPr>
              <w:spacing w:before="11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0D81CB77">
            <w:pPr>
              <w:pStyle w:val="6"/>
              <w:spacing w:before="81" w:line="228" w:lineRule="auto"/>
              <w:ind w:left="11"/>
            </w:pPr>
            <w:r>
              <w:rPr>
                <w:spacing w:val="-3"/>
              </w:rPr>
              <w:t>减振、隔声</w:t>
            </w:r>
          </w:p>
        </w:tc>
        <w:tc>
          <w:tcPr>
            <w:tcW w:w="564" w:type="dxa"/>
            <w:vAlign w:val="top"/>
          </w:tcPr>
          <w:p w14:paraId="4AB5CA9A">
            <w:pPr>
              <w:spacing w:before="11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498</w:t>
            </w:r>
          </w:p>
        </w:tc>
        <w:tc>
          <w:tcPr>
            <w:tcW w:w="564" w:type="dxa"/>
            <w:vAlign w:val="top"/>
          </w:tcPr>
          <w:p w14:paraId="07163939">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631</w:t>
            </w:r>
          </w:p>
        </w:tc>
        <w:tc>
          <w:tcPr>
            <w:tcW w:w="670" w:type="dxa"/>
            <w:vAlign w:val="top"/>
          </w:tcPr>
          <w:p w14:paraId="6164789D">
            <w:pPr>
              <w:spacing w:before="11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1004.0</w:t>
            </w:r>
          </w:p>
        </w:tc>
        <w:tc>
          <w:tcPr>
            <w:tcW w:w="734" w:type="dxa"/>
            <w:vAlign w:val="top"/>
          </w:tcPr>
          <w:p w14:paraId="6125F18F">
            <w:pPr>
              <w:spacing w:before="11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60" w:type="dxa"/>
            <w:vAlign w:val="top"/>
          </w:tcPr>
          <w:p w14:paraId="2CC01E8B">
            <w:pPr>
              <w:spacing w:before="11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962" w:type="dxa"/>
            <w:vAlign w:val="top"/>
          </w:tcPr>
          <w:p w14:paraId="02BF4C99">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7937966">
            <w:pPr>
              <w:rPr>
                <w:rFonts w:ascii="Arial"/>
                <w:sz w:val="21"/>
              </w:rPr>
            </w:pPr>
          </w:p>
        </w:tc>
        <w:tc>
          <w:tcPr>
            <w:tcW w:w="831" w:type="dxa"/>
            <w:vMerge w:val="continue"/>
            <w:tcBorders>
              <w:top w:val="nil"/>
              <w:bottom w:val="nil"/>
            </w:tcBorders>
            <w:vAlign w:val="top"/>
          </w:tcPr>
          <w:p w14:paraId="053DA4D7">
            <w:pPr>
              <w:rPr>
                <w:rFonts w:ascii="Arial"/>
                <w:sz w:val="21"/>
              </w:rPr>
            </w:pPr>
          </w:p>
        </w:tc>
        <w:tc>
          <w:tcPr>
            <w:tcW w:w="684" w:type="dxa"/>
            <w:vMerge w:val="continue"/>
            <w:tcBorders>
              <w:top w:val="nil"/>
              <w:bottom w:val="nil"/>
            </w:tcBorders>
            <w:vAlign w:val="top"/>
          </w:tcPr>
          <w:p w14:paraId="387E480F">
            <w:pPr>
              <w:rPr>
                <w:rFonts w:ascii="Arial"/>
                <w:sz w:val="21"/>
              </w:rPr>
            </w:pPr>
          </w:p>
        </w:tc>
      </w:tr>
      <w:tr w14:paraId="4E157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317" w:type="dxa"/>
            <w:vAlign w:val="top"/>
          </w:tcPr>
          <w:p w14:paraId="34C08817">
            <w:pPr>
              <w:spacing w:before="125"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12" w:type="dxa"/>
            <w:vMerge w:val="continue"/>
            <w:tcBorders>
              <w:top w:val="nil"/>
            </w:tcBorders>
            <w:vAlign w:val="top"/>
          </w:tcPr>
          <w:p w14:paraId="29B92F7A">
            <w:pPr>
              <w:rPr>
                <w:rFonts w:ascii="Arial"/>
                <w:sz w:val="21"/>
              </w:rPr>
            </w:pPr>
          </w:p>
        </w:tc>
        <w:tc>
          <w:tcPr>
            <w:tcW w:w="1900" w:type="dxa"/>
            <w:vAlign w:val="top"/>
          </w:tcPr>
          <w:p w14:paraId="001B5C7C">
            <w:pPr>
              <w:pStyle w:val="6"/>
              <w:spacing w:before="128" w:line="228" w:lineRule="auto"/>
              <w:ind w:left="324"/>
            </w:pPr>
            <w:r>
              <w:rPr>
                <w:spacing w:val="7"/>
              </w:rPr>
              <w:t>耐腐蚀液下泵</w:t>
            </w:r>
          </w:p>
        </w:tc>
        <w:tc>
          <w:tcPr>
            <w:tcW w:w="2551" w:type="dxa"/>
            <w:vAlign w:val="top"/>
          </w:tcPr>
          <w:p w14:paraId="4A228303">
            <w:pPr>
              <w:pStyle w:val="6"/>
              <w:spacing w:before="90" w:line="268" w:lineRule="exact"/>
              <w:ind w:left="856"/>
            </w:pPr>
            <w:r>
              <w:rPr>
                <w:position w:val="1"/>
              </w:rPr>
              <w:t>DB</w:t>
            </w:r>
            <w:r>
              <w:rPr>
                <w:spacing w:val="6"/>
                <w:position w:val="1"/>
              </w:rPr>
              <w:t>25Y-16</w:t>
            </w:r>
          </w:p>
        </w:tc>
        <w:tc>
          <w:tcPr>
            <w:tcW w:w="1113" w:type="dxa"/>
            <w:vAlign w:val="top"/>
          </w:tcPr>
          <w:p w14:paraId="4F270401">
            <w:pPr>
              <w:spacing w:before="125"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7DF3D875">
            <w:pPr>
              <w:pStyle w:val="6"/>
              <w:spacing w:before="90" w:line="228" w:lineRule="auto"/>
              <w:ind w:left="11"/>
            </w:pPr>
            <w:r>
              <w:rPr>
                <w:spacing w:val="-3"/>
              </w:rPr>
              <w:t>减振、隔声</w:t>
            </w:r>
          </w:p>
        </w:tc>
        <w:tc>
          <w:tcPr>
            <w:tcW w:w="564" w:type="dxa"/>
            <w:vAlign w:val="top"/>
          </w:tcPr>
          <w:p w14:paraId="23FAC5F3">
            <w:pPr>
              <w:spacing w:before="12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564" w:type="dxa"/>
            <w:vAlign w:val="top"/>
          </w:tcPr>
          <w:p w14:paraId="1775B298">
            <w:pPr>
              <w:spacing w:before="12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670" w:type="dxa"/>
            <w:vAlign w:val="top"/>
          </w:tcPr>
          <w:p w14:paraId="66D5F7EA">
            <w:pPr>
              <w:spacing w:before="12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1003.5</w:t>
            </w:r>
          </w:p>
        </w:tc>
        <w:tc>
          <w:tcPr>
            <w:tcW w:w="734" w:type="dxa"/>
            <w:vAlign w:val="top"/>
          </w:tcPr>
          <w:p w14:paraId="4C9B9CA1">
            <w:pPr>
              <w:spacing w:before="12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60" w:type="dxa"/>
            <w:vAlign w:val="top"/>
          </w:tcPr>
          <w:p w14:paraId="156709B9">
            <w:pPr>
              <w:spacing w:before="125"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45.3</w:t>
            </w:r>
          </w:p>
        </w:tc>
        <w:tc>
          <w:tcPr>
            <w:tcW w:w="962" w:type="dxa"/>
            <w:vAlign w:val="top"/>
          </w:tcPr>
          <w:p w14:paraId="51815D6D">
            <w:pPr>
              <w:pStyle w:val="6"/>
              <w:spacing w:before="5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23758CE9">
            <w:pPr>
              <w:rPr>
                <w:rFonts w:ascii="Arial"/>
                <w:sz w:val="21"/>
              </w:rPr>
            </w:pPr>
          </w:p>
        </w:tc>
        <w:tc>
          <w:tcPr>
            <w:tcW w:w="831" w:type="dxa"/>
            <w:vMerge w:val="continue"/>
            <w:tcBorders>
              <w:top w:val="nil"/>
            </w:tcBorders>
            <w:vAlign w:val="top"/>
          </w:tcPr>
          <w:p w14:paraId="0C7C6D9B">
            <w:pPr>
              <w:rPr>
                <w:rFonts w:ascii="Arial"/>
                <w:sz w:val="21"/>
              </w:rPr>
            </w:pPr>
          </w:p>
        </w:tc>
        <w:tc>
          <w:tcPr>
            <w:tcW w:w="684" w:type="dxa"/>
            <w:vMerge w:val="continue"/>
            <w:tcBorders>
              <w:top w:val="nil"/>
            </w:tcBorders>
            <w:vAlign w:val="top"/>
          </w:tcPr>
          <w:p w14:paraId="2E6E236F">
            <w:pPr>
              <w:rPr>
                <w:rFonts w:ascii="Arial"/>
                <w:sz w:val="21"/>
              </w:rPr>
            </w:pPr>
          </w:p>
        </w:tc>
      </w:tr>
    </w:tbl>
    <w:p w14:paraId="340155FD">
      <w:pPr>
        <w:pStyle w:val="2"/>
      </w:pPr>
    </w:p>
    <w:p w14:paraId="2CA937D8">
      <w:pPr>
        <w:sectPr>
          <w:headerReference r:id="rId325" w:type="default"/>
          <w:footerReference r:id="rId326" w:type="default"/>
          <w:pgSz w:w="16839" w:h="11906"/>
          <w:pgMar w:top="1208" w:right="1245" w:bottom="1358" w:left="1245" w:header="825" w:footer="1195" w:gutter="0"/>
          <w:cols w:space="720" w:num="1"/>
        </w:sectPr>
      </w:pPr>
    </w:p>
    <w:p w14:paraId="6C1D98F2">
      <w:pPr>
        <w:spacing w:before="53"/>
      </w:pPr>
    </w:p>
    <w:p w14:paraId="36050F9D">
      <w:pPr>
        <w:spacing w:before="52"/>
      </w:pPr>
    </w:p>
    <w:tbl>
      <w:tblPr>
        <w:tblStyle w:val="5"/>
        <w:tblW w:w="143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
        <w:gridCol w:w="812"/>
        <w:gridCol w:w="1900"/>
        <w:gridCol w:w="2551"/>
        <w:gridCol w:w="1113"/>
        <w:gridCol w:w="1007"/>
        <w:gridCol w:w="564"/>
        <w:gridCol w:w="564"/>
        <w:gridCol w:w="670"/>
        <w:gridCol w:w="734"/>
        <w:gridCol w:w="860"/>
        <w:gridCol w:w="962"/>
        <w:gridCol w:w="773"/>
        <w:gridCol w:w="831"/>
        <w:gridCol w:w="684"/>
      </w:tblGrid>
      <w:tr w14:paraId="4739E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7" w:type="dxa"/>
            <w:vAlign w:val="top"/>
          </w:tcPr>
          <w:p w14:paraId="455C02A6">
            <w:pPr>
              <w:spacing w:before="116"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12" w:type="dxa"/>
            <w:vMerge w:val="restart"/>
            <w:tcBorders>
              <w:bottom w:val="nil"/>
            </w:tcBorders>
            <w:vAlign w:val="top"/>
          </w:tcPr>
          <w:p w14:paraId="4BE09E0D">
            <w:pPr>
              <w:spacing w:line="260" w:lineRule="auto"/>
              <w:rPr>
                <w:rFonts w:ascii="Arial"/>
                <w:sz w:val="21"/>
              </w:rPr>
            </w:pPr>
          </w:p>
          <w:p w14:paraId="0DD77F73">
            <w:pPr>
              <w:spacing w:line="260" w:lineRule="auto"/>
              <w:rPr>
                <w:rFonts w:ascii="Arial"/>
                <w:sz w:val="21"/>
              </w:rPr>
            </w:pPr>
          </w:p>
          <w:p w14:paraId="2D07B236">
            <w:pPr>
              <w:spacing w:line="261" w:lineRule="auto"/>
              <w:rPr>
                <w:rFonts w:ascii="Arial"/>
                <w:sz w:val="21"/>
              </w:rPr>
            </w:pPr>
          </w:p>
          <w:p w14:paraId="2A4278A6">
            <w:pPr>
              <w:spacing w:line="261" w:lineRule="auto"/>
              <w:rPr>
                <w:rFonts w:ascii="Arial"/>
                <w:sz w:val="21"/>
              </w:rPr>
            </w:pPr>
          </w:p>
          <w:p w14:paraId="32980681">
            <w:pPr>
              <w:spacing w:line="261" w:lineRule="auto"/>
              <w:rPr>
                <w:rFonts w:ascii="Arial"/>
                <w:sz w:val="21"/>
              </w:rPr>
            </w:pPr>
          </w:p>
          <w:p w14:paraId="53FE1E56">
            <w:pPr>
              <w:spacing w:line="261" w:lineRule="auto"/>
              <w:rPr>
                <w:rFonts w:ascii="Arial"/>
                <w:sz w:val="21"/>
              </w:rPr>
            </w:pPr>
          </w:p>
          <w:p w14:paraId="12B439C0">
            <w:pPr>
              <w:spacing w:line="261" w:lineRule="auto"/>
              <w:rPr>
                <w:rFonts w:ascii="Arial"/>
                <w:sz w:val="21"/>
              </w:rPr>
            </w:pPr>
          </w:p>
          <w:p w14:paraId="290BE469">
            <w:pPr>
              <w:spacing w:line="261" w:lineRule="auto"/>
              <w:rPr>
                <w:rFonts w:ascii="Arial"/>
                <w:sz w:val="21"/>
              </w:rPr>
            </w:pPr>
          </w:p>
          <w:p w14:paraId="561FEB71">
            <w:pPr>
              <w:pStyle w:val="6"/>
              <w:spacing w:before="65" w:line="228" w:lineRule="auto"/>
              <w:ind w:left="94"/>
            </w:pPr>
            <w:r>
              <w:rPr>
                <w:spacing w:val="6"/>
              </w:rPr>
              <w:t>尾矿回</w:t>
            </w:r>
          </w:p>
          <w:p w14:paraId="7CA189C2">
            <w:pPr>
              <w:pStyle w:val="6"/>
              <w:spacing w:before="65" w:line="228" w:lineRule="auto"/>
              <w:ind w:left="97"/>
            </w:pPr>
            <w:r>
              <w:rPr>
                <w:spacing w:val="6"/>
              </w:rPr>
              <w:t>水处理</w:t>
            </w:r>
          </w:p>
        </w:tc>
        <w:tc>
          <w:tcPr>
            <w:tcW w:w="1900" w:type="dxa"/>
            <w:vAlign w:val="top"/>
          </w:tcPr>
          <w:p w14:paraId="433F5E71">
            <w:pPr>
              <w:pStyle w:val="6"/>
              <w:spacing w:before="111" w:line="228" w:lineRule="auto"/>
              <w:ind w:left="535"/>
            </w:pPr>
            <w:r>
              <w:rPr>
                <w:spacing w:val="6"/>
              </w:rPr>
              <w:t>溶气水泵</w:t>
            </w:r>
          </w:p>
        </w:tc>
        <w:tc>
          <w:tcPr>
            <w:tcW w:w="2551" w:type="dxa"/>
            <w:vAlign w:val="top"/>
          </w:tcPr>
          <w:p w14:paraId="17A11E49">
            <w:pPr>
              <w:pStyle w:val="6"/>
              <w:spacing w:before="63" w:line="270" w:lineRule="exact"/>
              <w:ind w:left="515"/>
            </w:pPr>
            <w:r>
              <w:rPr>
                <w:spacing w:val="4"/>
              </w:rPr>
              <w:t>Q=90m</w:t>
            </w:r>
            <w:r>
              <w:rPr>
                <w:spacing w:val="4"/>
                <w:position w:val="10"/>
                <w:sz w:val="10"/>
                <w:szCs w:val="10"/>
              </w:rPr>
              <w:t>3</w:t>
            </w:r>
            <w:r>
              <w:rPr>
                <w:spacing w:val="4"/>
              </w:rPr>
              <w:t>/h，H=44m</w:t>
            </w:r>
          </w:p>
        </w:tc>
        <w:tc>
          <w:tcPr>
            <w:tcW w:w="1113" w:type="dxa"/>
            <w:vAlign w:val="top"/>
          </w:tcPr>
          <w:p w14:paraId="55308209">
            <w:pPr>
              <w:spacing w:before="11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07" w:type="dxa"/>
            <w:vAlign w:val="top"/>
          </w:tcPr>
          <w:p w14:paraId="4DFFA498">
            <w:pPr>
              <w:pStyle w:val="6"/>
              <w:spacing w:before="81" w:line="228" w:lineRule="auto"/>
              <w:ind w:left="11"/>
            </w:pPr>
            <w:r>
              <w:rPr>
                <w:spacing w:val="-3"/>
              </w:rPr>
              <w:t>减振、隔声</w:t>
            </w:r>
          </w:p>
        </w:tc>
        <w:tc>
          <w:tcPr>
            <w:tcW w:w="564" w:type="dxa"/>
            <w:vAlign w:val="top"/>
          </w:tcPr>
          <w:p w14:paraId="66A201D8">
            <w:pPr>
              <w:spacing w:before="116"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w:t>
            </w:r>
          </w:p>
        </w:tc>
        <w:tc>
          <w:tcPr>
            <w:tcW w:w="564" w:type="dxa"/>
            <w:vAlign w:val="top"/>
          </w:tcPr>
          <w:p w14:paraId="6D224936">
            <w:pPr>
              <w:spacing w:before="11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636</w:t>
            </w:r>
          </w:p>
        </w:tc>
        <w:tc>
          <w:tcPr>
            <w:tcW w:w="670" w:type="dxa"/>
            <w:vAlign w:val="top"/>
          </w:tcPr>
          <w:p w14:paraId="6C68D753">
            <w:pPr>
              <w:spacing w:before="11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251C90E2">
            <w:pPr>
              <w:spacing w:before="11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0A211028">
            <w:pPr>
              <w:spacing w:before="116"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50.2</w:t>
            </w:r>
          </w:p>
        </w:tc>
        <w:tc>
          <w:tcPr>
            <w:tcW w:w="962" w:type="dxa"/>
            <w:vAlign w:val="top"/>
          </w:tcPr>
          <w:p w14:paraId="4E542D7E">
            <w:pPr>
              <w:pStyle w:val="6"/>
              <w:spacing w:before="80"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restart"/>
            <w:tcBorders>
              <w:bottom w:val="nil"/>
            </w:tcBorders>
            <w:vAlign w:val="top"/>
          </w:tcPr>
          <w:p w14:paraId="083EA8FA">
            <w:pPr>
              <w:spacing w:line="253" w:lineRule="auto"/>
              <w:rPr>
                <w:rFonts w:ascii="Arial"/>
                <w:sz w:val="21"/>
              </w:rPr>
            </w:pPr>
          </w:p>
          <w:p w14:paraId="7D7D457D">
            <w:pPr>
              <w:spacing w:line="253" w:lineRule="auto"/>
              <w:rPr>
                <w:rFonts w:ascii="Arial"/>
                <w:sz w:val="21"/>
              </w:rPr>
            </w:pPr>
          </w:p>
          <w:p w14:paraId="58217409">
            <w:pPr>
              <w:spacing w:line="254" w:lineRule="auto"/>
              <w:rPr>
                <w:rFonts w:ascii="Arial"/>
                <w:sz w:val="21"/>
              </w:rPr>
            </w:pPr>
          </w:p>
          <w:p w14:paraId="5FD1A20A">
            <w:pPr>
              <w:spacing w:line="254" w:lineRule="auto"/>
              <w:rPr>
                <w:rFonts w:ascii="Arial"/>
                <w:sz w:val="21"/>
              </w:rPr>
            </w:pPr>
          </w:p>
          <w:p w14:paraId="335A14E8">
            <w:pPr>
              <w:spacing w:line="254" w:lineRule="auto"/>
              <w:rPr>
                <w:rFonts w:ascii="Arial"/>
                <w:sz w:val="21"/>
              </w:rPr>
            </w:pPr>
          </w:p>
          <w:p w14:paraId="22D9738D">
            <w:pPr>
              <w:spacing w:line="254" w:lineRule="auto"/>
              <w:rPr>
                <w:rFonts w:ascii="Arial"/>
                <w:sz w:val="21"/>
              </w:rPr>
            </w:pPr>
          </w:p>
          <w:p w14:paraId="6C6F8050">
            <w:pPr>
              <w:spacing w:line="254" w:lineRule="auto"/>
              <w:rPr>
                <w:rFonts w:ascii="Arial"/>
                <w:sz w:val="21"/>
              </w:rPr>
            </w:pPr>
          </w:p>
          <w:p w14:paraId="6950EAC1">
            <w:pPr>
              <w:spacing w:line="254" w:lineRule="auto"/>
              <w:rPr>
                <w:rFonts w:ascii="Arial"/>
                <w:sz w:val="21"/>
              </w:rPr>
            </w:pPr>
          </w:p>
          <w:p w14:paraId="07DB5C58">
            <w:pPr>
              <w:spacing w:line="254" w:lineRule="auto"/>
              <w:rPr>
                <w:rFonts w:ascii="Arial"/>
                <w:sz w:val="21"/>
              </w:rPr>
            </w:pPr>
          </w:p>
          <w:p w14:paraId="03CE246F">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31" w:type="dxa"/>
            <w:vMerge w:val="restart"/>
            <w:tcBorders>
              <w:bottom w:val="nil"/>
            </w:tcBorders>
            <w:vAlign w:val="top"/>
          </w:tcPr>
          <w:p w14:paraId="10D57218">
            <w:pPr>
              <w:spacing w:line="253" w:lineRule="auto"/>
              <w:rPr>
                <w:rFonts w:ascii="Arial"/>
                <w:sz w:val="21"/>
              </w:rPr>
            </w:pPr>
          </w:p>
          <w:p w14:paraId="200C2679">
            <w:pPr>
              <w:spacing w:line="253" w:lineRule="auto"/>
              <w:rPr>
                <w:rFonts w:ascii="Arial"/>
                <w:sz w:val="21"/>
              </w:rPr>
            </w:pPr>
          </w:p>
          <w:p w14:paraId="3C0331CC">
            <w:pPr>
              <w:spacing w:line="254" w:lineRule="auto"/>
              <w:rPr>
                <w:rFonts w:ascii="Arial"/>
                <w:sz w:val="21"/>
              </w:rPr>
            </w:pPr>
          </w:p>
          <w:p w14:paraId="3E90A607">
            <w:pPr>
              <w:spacing w:line="254" w:lineRule="auto"/>
              <w:rPr>
                <w:rFonts w:ascii="Arial"/>
                <w:sz w:val="21"/>
              </w:rPr>
            </w:pPr>
          </w:p>
          <w:p w14:paraId="5F6E0B1E">
            <w:pPr>
              <w:spacing w:line="254" w:lineRule="auto"/>
              <w:rPr>
                <w:rFonts w:ascii="Arial"/>
                <w:sz w:val="21"/>
              </w:rPr>
            </w:pPr>
          </w:p>
          <w:p w14:paraId="156DA284">
            <w:pPr>
              <w:spacing w:line="254" w:lineRule="auto"/>
              <w:rPr>
                <w:rFonts w:ascii="Arial"/>
                <w:sz w:val="21"/>
              </w:rPr>
            </w:pPr>
          </w:p>
          <w:p w14:paraId="03850114">
            <w:pPr>
              <w:spacing w:line="254" w:lineRule="auto"/>
              <w:rPr>
                <w:rFonts w:ascii="Arial"/>
                <w:sz w:val="21"/>
              </w:rPr>
            </w:pPr>
          </w:p>
          <w:p w14:paraId="7F8D85AA">
            <w:pPr>
              <w:spacing w:line="254" w:lineRule="auto"/>
              <w:rPr>
                <w:rFonts w:ascii="Arial"/>
                <w:sz w:val="21"/>
              </w:rPr>
            </w:pPr>
          </w:p>
          <w:p w14:paraId="2624015C">
            <w:pPr>
              <w:spacing w:line="254" w:lineRule="auto"/>
              <w:rPr>
                <w:rFonts w:ascii="Arial"/>
                <w:sz w:val="21"/>
              </w:rPr>
            </w:pPr>
          </w:p>
          <w:p w14:paraId="6632C5D3">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4" w:type="dxa"/>
            <w:vMerge w:val="restart"/>
            <w:tcBorders>
              <w:bottom w:val="nil"/>
            </w:tcBorders>
            <w:vAlign w:val="top"/>
          </w:tcPr>
          <w:p w14:paraId="54914C9A">
            <w:pPr>
              <w:spacing w:line="253" w:lineRule="auto"/>
              <w:rPr>
                <w:rFonts w:ascii="Arial"/>
                <w:sz w:val="21"/>
              </w:rPr>
            </w:pPr>
          </w:p>
          <w:p w14:paraId="76A8E089">
            <w:pPr>
              <w:spacing w:line="253" w:lineRule="auto"/>
              <w:rPr>
                <w:rFonts w:ascii="Arial"/>
                <w:sz w:val="21"/>
              </w:rPr>
            </w:pPr>
          </w:p>
          <w:p w14:paraId="20F293AA">
            <w:pPr>
              <w:spacing w:line="254" w:lineRule="auto"/>
              <w:rPr>
                <w:rFonts w:ascii="Arial"/>
                <w:sz w:val="21"/>
              </w:rPr>
            </w:pPr>
          </w:p>
          <w:p w14:paraId="1E7B1CE1">
            <w:pPr>
              <w:spacing w:line="254" w:lineRule="auto"/>
              <w:rPr>
                <w:rFonts w:ascii="Arial"/>
                <w:sz w:val="21"/>
              </w:rPr>
            </w:pPr>
          </w:p>
          <w:p w14:paraId="647F12F8">
            <w:pPr>
              <w:spacing w:line="254" w:lineRule="auto"/>
              <w:rPr>
                <w:rFonts w:ascii="Arial"/>
                <w:sz w:val="21"/>
              </w:rPr>
            </w:pPr>
          </w:p>
          <w:p w14:paraId="2BF4B76A">
            <w:pPr>
              <w:spacing w:line="254" w:lineRule="auto"/>
              <w:rPr>
                <w:rFonts w:ascii="Arial"/>
                <w:sz w:val="21"/>
              </w:rPr>
            </w:pPr>
          </w:p>
          <w:p w14:paraId="5D6D7C57">
            <w:pPr>
              <w:spacing w:line="254" w:lineRule="auto"/>
              <w:rPr>
                <w:rFonts w:ascii="Arial"/>
                <w:sz w:val="21"/>
              </w:rPr>
            </w:pPr>
          </w:p>
          <w:p w14:paraId="423B27D5">
            <w:pPr>
              <w:spacing w:line="254" w:lineRule="auto"/>
              <w:rPr>
                <w:rFonts w:ascii="Arial"/>
                <w:sz w:val="21"/>
              </w:rPr>
            </w:pPr>
          </w:p>
          <w:p w14:paraId="635EEBD4">
            <w:pPr>
              <w:spacing w:line="254" w:lineRule="auto"/>
              <w:rPr>
                <w:rFonts w:ascii="Arial"/>
                <w:sz w:val="21"/>
              </w:rPr>
            </w:pPr>
          </w:p>
          <w:p w14:paraId="1E5FB6D9">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92D9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7ADCADC4">
            <w:pPr>
              <w:spacing w:before="112"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12" w:type="dxa"/>
            <w:vMerge w:val="continue"/>
            <w:tcBorders>
              <w:top w:val="nil"/>
              <w:bottom w:val="nil"/>
            </w:tcBorders>
            <w:vAlign w:val="top"/>
          </w:tcPr>
          <w:p w14:paraId="5CA0FFE8">
            <w:pPr>
              <w:rPr>
                <w:rFonts w:ascii="Arial"/>
                <w:sz w:val="21"/>
              </w:rPr>
            </w:pPr>
          </w:p>
        </w:tc>
        <w:tc>
          <w:tcPr>
            <w:tcW w:w="1900" w:type="dxa"/>
            <w:vAlign w:val="top"/>
          </w:tcPr>
          <w:p w14:paraId="7B05C33F">
            <w:pPr>
              <w:pStyle w:val="6"/>
              <w:spacing w:before="110" w:line="226" w:lineRule="auto"/>
              <w:ind w:left="645"/>
            </w:pPr>
            <w:r>
              <w:rPr>
                <w:spacing w:val="4"/>
              </w:rPr>
              <w:t>空压机</w:t>
            </w:r>
          </w:p>
        </w:tc>
        <w:tc>
          <w:tcPr>
            <w:tcW w:w="2551" w:type="dxa"/>
            <w:vAlign w:val="top"/>
          </w:tcPr>
          <w:p w14:paraId="5FD8C0D9">
            <w:pPr>
              <w:pStyle w:val="6"/>
              <w:spacing w:before="76" w:line="268" w:lineRule="exact"/>
              <w:ind w:left="644"/>
            </w:pPr>
            <w:r>
              <w:rPr>
                <w:spacing w:val="6"/>
                <w:position w:val="1"/>
              </w:rPr>
              <w:t>V-1 P=0.8</w:t>
            </w:r>
            <w:r>
              <w:rPr>
                <w:position w:val="1"/>
              </w:rPr>
              <w:t>MPa</w:t>
            </w:r>
          </w:p>
        </w:tc>
        <w:tc>
          <w:tcPr>
            <w:tcW w:w="1113" w:type="dxa"/>
            <w:vAlign w:val="top"/>
          </w:tcPr>
          <w:p w14:paraId="7EF4F607">
            <w:pPr>
              <w:spacing w:before="112"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007" w:type="dxa"/>
            <w:vAlign w:val="top"/>
          </w:tcPr>
          <w:p w14:paraId="706F1BF8">
            <w:pPr>
              <w:pStyle w:val="6"/>
              <w:spacing w:before="77" w:line="228" w:lineRule="auto"/>
              <w:ind w:left="11"/>
            </w:pPr>
            <w:r>
              <w:rPr>
                <w:spacing w:val="-3"/>
              </w:rPr>
              <w:t>减振、隔声</w:t>
            </w:r>
          </w:p>
        </w:tc>
        <w:tc>
          <w:tcPr>
            <w:tcW w:w="564" w:type="dxa"/>
            <w:vAlign w:val="top"/>
          </w:tcPr>
          <w:p w14:paraId="2F1B474C">
            <w:pPr>
              <w:spacing w:before="11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410</w:t>
            </w:r>
          </w:p>
        </w:tc>
        <w:tc>
          <w:tcPr>
            <w:tcW w:w="564" w:type="dxa"/>
            <w:vAlign w:val="top"/>
          </w:tcPr>
          <w:p w14:paraId="0C67BB8D">
            <w:pPr>
              <w:spacing w:before="11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630</w:t>
            </w:r>
          </w:p>
        </w:tc>
        <w:tc>
          <w:tcPr>
            <w:tcW w:w="670" w:type="dxa"/>
            <w:vAlign w:val="top"/>
          </w:tcPr>
          <w:p w14:paraId="3F9526BA">
            <w:pPr>
              <w:spacing w:before="11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1002.5</w:t>
            </w:r>
          </w:p>
        </w:tc>
        <w:tc>
          <w:tcPr>
            <w:tcW w:w="734" w:type="dxa"/>
            <w:vAlign w:val="top"/>
          </w:tcPr>
          <w:p w14:paraId="3D16BBBC">
            <w:pPr>
              <w:spacing w:before="11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5933DD35">
            <w:pPr>
              <w:spacing w:before="11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51.9</w:t>
            </w:r>
          </w:p>
        </w:tc>
        <w:tc>
          <w:tcPr>
            <w:tcW w:w="962" w:type="dxa"/>
            <w:vAlign w:val="top"/>
          </w:tcPr>
          <w:p w14:paraId="1AA35348">
            <w:pPr>
              <w:pStyle w:val="6"/>
              <w:spacing w:before="7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0DB7736E">
            <w:pPr>
              <w:rPr>
                <w:rFonts w:ascii="Arial"/>
                <w:sz w:val="21"/>
              </w:rPr>
            </w:pPr>
          </w:p>
        </w:tc>
        <w:tc>
          <w:tcPr>
            <w:tcW w:w="831" w:type="dxa"/>
            <w:vMerge w:val="continue"/>
            <w:tcBorders>
              <w:top w:val="nil"/>
              <w:bottom w:val="nil"/>
            </w:tcBorders>
            <w:vAlign w:val="top"/>
          </w:tcPr>
          <w:p w14:paraId="5CA0E2A5">
            <w:pPr>
              <w:rPr>
                <w:rFonts w:ascii="Arial"/>
                <w:sz w:val="21"/>
              </w:rPr>
            </w:pPr>
          </w:p>
        </w:tc>
        <w:tc>
          <w:tcPr>
            <w:tcW w:w="684" w:type="dxa"/>
            <w:vMerge w:val="continue"/>
            <w:tcBorders>
              <w:top w:val="nil"/>
              <w:bottom w:val="nil"/>
            </w:tcBorders>
            <w:vAlign w:val="top"/>
          </w:tcPr>
          <w:p w14:paraId="7DD01210">
            <w:pPr>
              <w:rPr>
                <w:rFonts w:ascii="Arial"/>
                <w:sz w:val="21"/>
              </w:rPr>
            </w:pPr>
          </w:p>
        </w:tc>
      </w:tr>
      <w:tr w14:paraId="68EAF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5359E514">
            <w:pPr>
              <w:spacing w:before="112"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12" w:type="dxa"/>
            <w:vMerge w:val="continue"/>
            <w:tcBorders>
              <w:top w:val="nil"/>
              <w:bottom w:val="nil"/>
            </w:tcBorders>
            <w:vAlign w:val="top"/>
          </w:tcPr>
          <w:p w14:paraId="2424F1F5">
            <w:pPr>
              <w:rPr>
                <w:rFonts w:ascii="Arial"/>
                <w:sz w:val="21"/>
              </w:rPr>
            </w:pPr>
          </w:p>
        </w:tc>
        <w:tc>
          <w:tcPr>
            <w:tcW w:w="1900" w:type="dxa"/>
            <w:vAlign w:val="top"/>
          </w:tcPr>
          <w:p w14:paraId="30C39DC5">
            <w:pPr>
              <w:pStyle w:val="6"/>
              <w:spacing w:before="110" w:line="226" w:lineRule="auto"/>
              <w:ind w:left="638"/>
            </w:pPr>
            <w:r>
              <w:rPr>
                <w:spacing w:val="6"/>
              </w:rPr>
              <w:t>刮渣机</w:t>
            </w:r>
          </w:p>
        </w:tc>
        <w:tc>
          <w:tcPr>
            <w:tcW w:w="2551" w:type="dxa"/>
            <w:vAlign w:val="top"/>
          </w:tcPr>
          <w:p w14:paraId="355EB436">
            <w:pPr>
              <w:spacing w:before="108" w:line="199" w:lineRule="auto"/>
              <w:ind w:left="1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3" w:type="dxa"/>
            <w:vAlign w:val="top"/>
          </w:tcPr>
          <w:p w14:paraId="5EF325B1">
            <w:pPr>
              <w:spacing w:before="11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007" w:type="dxa"/>
            <w:vAlign w:val="top"/>
          </w:tcPr>
          <w:p w14:paraId="4FB4350D">
            <w:pPr>
              <w:pStyle w:val="6"/>
              <w:spacing w:before="76" w:line="228" w:lineRule="auto"/>
              <w:ind w:left="11"/>
            </w:pPr>
            <w:r>
              <w:rPr>
                <w:spacing w:val="-3"/>
              </w:rPr>
              <w:t>减振、隔声</w:t>
            </w:r>
          </w:p>
        </w:tc>
        <w:tc>
          <w:tcPr>
            <w:tcW w:w="564" w:type="dxa"/>
            <w:vAlign w:val="top"/>
          </w:tcPr>
          <w:p w14:paraId="35EDC4AE">
            <w:pPr>
              <w:spacing w:before="112"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412</w:t>
            </w:r>
          </w:p>
        </w:tc>
        <w:tc>
          <w:tcPr>
            <w:tcW w:w="564" w:type="dxa"/>
            <w:vAlign w:val="top"/>
          </w:tcPr>
          <w:p w14:paraId="588BF68B">
            <w:pPr>
              <w:spacing w:before="112"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625</w:t>
            </w:r>
          </w:p>
        </w:tc>
        <w:tc>
          <w:tcPr>
            <w:tcW w:w="670" w:type="dxa"/>
            <w:vAlign w:val="top"/>
          </w:tcPr>
          <w:p w14:paraId="77F9F2D5">
            <w:pPr>
              <w:spacing w:before="112"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678DD062">
            <w:pPr>
              <w:spacing w:before="11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60" w:type="dxa"/>
            <w:vAlign w:val="top"/>
          </w:tcPr>
          <w:p w14:paraId="631F97F7">
            <w:pPr>
              <w:spacing w:before="11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41.9</w:t>
            </w:r>
          </w:p>
        </w:tc>
        <w:tc>
          <w:tcPr>
            <w:tcW w:w="962" w:type="dxa"/>
            <w:vAlign w:val="top"/>
          </w:tcPr>
          <w:p w14:paraId="0179EC62">
            <w:pPr>
              <w:pStyle w:val="6"/>
              <w:spacing w:before="76"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7FBEE3C4">
            <w:pPr>
              <w:rPr>
                <w:rFonts w:ascii="Arial"/>
                <w:sz w:val="21"/>
              </w:rPr>
            </w:pPr>
          </w:p>
        </w:tc>
        <w:tc>
          <w:tcPr>
            <w:tcW w:w="831" w:type="dxa"/>
            <w:vMerge w:val="continue"/>
            <w:tcBorders>
              <w:top w:val="nil"/>
              <w:bottom w:val="nil"/>
            </w:tcBorders>
            <w:vAlign w:val="top"/>
          </w:tcPr>
          <w:p w14:paraId="0FA869C4">
            <w:pPr>
              <w:rPr>
                <w:rFonts w:ascii="Arial"/>
                <w:sz w:val="21"/>
              </w:rPr>
            </w:pPr>
          </w:p>
        </w:tc>
        <w:tc>
          <w:tcPr>
            <w:tcW w:w="684" w:type="dxa"/>
            <w:vMerge w:val="continue"/>
            <w:tcBorders>
              <w:top w:val="nil"/>
              <w:bottom w:val="nil"/>
            </w:tcBorders>
            <w:vAlign w:val="top"/>
          </w:tcPr>
          <w:p w14:paraId="3BCFD388">
            <w:pPr>
              <w:rPr>
                <w:rFonts w:ascii="Arial"/>
                <w:sz w:val="21"/>
              </w:rPr>
            </w:pPr>
          </w:p>
        </w:tc>
      </w:tr>
      <w:tr w14:paraId="05589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535278CE">
            <w:pPr>
              <w:spacing w:before="111" w:line="195" w:lineRule="auto"/>
              <w:ind w:left="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12" w:type="dxa"/>
            <w:vMerge w:val="continue"/>
            <w:tcBorders>
              <w:top w:val="nil"/>
              <w:bottom w:val="nil"/>
            </w:tcBorders>
            <w:vAlign w:val="top"/>
          </w:tcPr>
          <w:p w14:paraId="4DDE5C94">
            <w:pPr>
              <w:rPr>
                <w:rFonts w:ascii="Arial"/>
                <w:sz w:val="21"/>
              </w:rPr>
            </w:pPr>
          </w:p>
        </w:tc>
        <w:tc>
          <w:tcPr>
            <w:tcW w:w="1900" w:type="dxa"/>
            <w:vAlign w:val="top"/>
          </w:tcPr>
          <w:p w14:paraId="18DFB3DD">
            <w:pPr>
              <w:pStyle w:val="6"/>
              <w:spacing w:before="109" w:line="227" w:lineRule="auto"/>
              <w:ind w:left="32"/>
            </w:pPr>
            <w:r>
              <w:rPr>
                <w:spacing w:val="4"/>
              </w:rPr>
              <w:t>废水增压泵（4</w:t>
            </w:r>
            <w:r>
              <w:rPr>
                <w:spacing w:val="-20"/>
              </w:rPr>
              <w:t xml:space="preserve"> </w:t>
            </w:r>
            <w:r>
              <w:rPr>
                <w:spacing w:val="4"/>
              </w:rPr>
              <w:t>台）</w:t>
            </w:r>
          </w:p>
        </w:tc>
        <w:tc>
          <w:tcPr>
            <w:tcW w:w="2551" w:type="dxa"/>
            <w:vAlign w:val="top"/>
          </w:tcPr>
          <w:p w14:paraId="375CF71C">
            <w:pPr>
              <w:pStyle w:val="6"/>
              <w:spacing w:before="58" w:line="269" w:lineRule="exact"/>
              <w:ind w:left="464"/>
            </w:pPr>
            <w:r>
              <w:rPr>
                <w:spacing w:val="4"/>
              </w:rPr>
              <w:t>Q=120m</w:t>
            </w:r>
            <w:r>
              <w:rPr>
                <w:spacing w:val="4"/>
                <w:position w:val="10"/>
                <w:sz w:val="10"/>
                <w:szCs w:val="10"/>
              </w:rPr>
              <w:t>3</w:t>
            </w:r>
            <w:r>
              <w:rPr>
                <w:spacing w:val="4"/>
              </w:rPr>
              <w:t>/h，H=35m</w:t>
            </w:r>
          </w:p>
        </w:tc>
        <w:tc>
          <w:tcPr>
            <w:tcW w:w="1113" w:type="dxa"/>
            <w:vAlign w:val="top"/>
          </w:tcPr>
          <w:p w14:paraId="70D0DA84">
            <w:pPr>
              <w:pStyle w:val="6"/>
              <w:spacing w:before="75" w:line="228" w:lineRule="auto"/>
              <w:ind w:left="41"/>
            </w:pPr>
            <w:r>
              <w:rPr>
                <w:rFonts w:ascii="Times New Roman" w:hAnsi="Times New Roman" w:eastAsia="Times New Roman" w:cs="Times New Roman"/>
                <w:spacing w:val="4"/>
              </w:rPr>
              <w:t>81</w:t>
            </w:r>
            <w:r>
              <w:rPr>
                <w:spacing w:val="4"/>
              </w:rPr>
              <w:t>（等效）</w:t>
            </w:r>
          </w:p>
        </w:tc>
        <w:tc>
          <w:tcPr>
            <w:tcW w:w="1007" w:type="dxa"/>
            <w:vAlign w:val="top"/>
          </w:tcPr>
          <w:p w14:paraId="7D047ADE">
            <w:pPr>
              <w:pStyle w:val="6"/>
              <w:spacing w:before="76" w:line="228" w:lineRule="auto"/>
              <w:ind w:left="11"/>
            </w:pPr>
            <w:r>
              <w:rPr>
                <w:spacing w:val="-3"/>
              </w:rPr>
              <w:t>减振、隔声</w:t>
            </w:r>
          </w:p>
        </w:tc>
        <w:tc>
          <w:tcPr>
            <w:tcW w:w="564" w:type="dxa"/>
            <w:vAlign w:val="top"/>
          </w:tcPr>
          <w:p w14:paraId="276335F2">
            <w:pPr>
              <w:spacing w:before="11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w:t>
            </w:r>
          </w:p>
        </w:tc>
        <w:tc>
          <w:tcPr>
            <w:tcW w:w="564" w:type="dxa"/>
            <w:vAlign w:val="top"/>
          </w:tcPr>
          <w:p w14:paraId="7A518AB2">
            <w:pPr>
              <w:spacing w:before="11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619</w:t>
            </w:r>
          </w:p>
        </w:tc>
        <w:tc>
          <w:tcPr>
            <w:tcW w:w="670" w:type="dxa"/>
            <w:vAlign w:val="top"/>
          </w:tcPr>
          <w:p w14:paraId="0CDC626E">
            <w:pPr>
              <w:spacing w:before="111"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0748EB26">
            <w:pPr>
              <w:spacing w:before="11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w:t>
            </w:r>
          </w:p>
        </w:tc>
        <w:tc>
          <w:tcPr>
            <w:tcW w:w="860" w:type="dxa"/>
            <w:vAlign w:val="top"/>
          </w:tcPr>
          <w:p w14:paraId="06204E5C">
            <w:pPr>
              <w:spacing w:before="11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69.4</w:t>
            </w:r>
          </w:p>
        </w:tc>
        <w:tc>
          <w:tcPr>
            <w:tcW w:w="962" w:type="dxa"/>
            <w:vAlign w:val="top"/>
          </w:tcPr>
          <w:p w14:paraId="4E2B906F">
            <w:pPr>
              <w:pStyle w:val="6"/>
              <w:spacing w:before="75"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20F0D2CA">
            <w:pPr>
              <w:rPr>
                <w:rFonts w:ascii="Arial"/>
                <w:sz w:val="21"/>
              </w:rPr>
            </w:pPr>
          </w:p>
        </w:tc>
        <w:tc>
          <w:tcPr>
            <w:tcW w:w="831" w:type="dxa"/>
            <w:vMerge w:val="continue"/>
            <w:tcBorders>
              <w:top w:val="nil"/>
              <w:bottom w:val="nil"/>
            </w:tcBorders>
            <w:vAlign w:val="top"/>
          </w:tcPr>
          <w:p w14:paraId="3EEC6A75">
            <w:pPr>
              <w:rPr>
                <w:rFonts w:ascii="Arial"/>
                <w:sz w:val="21"/>
              </w:rPr>
            </w:pPr>
          </w:p>
        </w:tc>
        <w:tc>
          <w:tcPr>
            <w:tcW w:w="684" w:type="dxa"/>
            <w:vMerge w:val="continue"/>
            <w:tcBorders>
              <w:top w:val="nil"/>
              <w:bottom w:val="nil"/>
            </w:tcBorders>
            <w:vAlign w:val="top"/>
          </w:tcPr>
          <w:p w14:paraId="77A1A655">
            <w:pPr>
              <w:rPr>
                <w:rFonts w:ascii="Arial"/>
                <w:sz w:val="21"/>
              </w:rPr>
            </w:pPr>
          </w:p>
        </w:tc>
      </w:tr>
      <w:tr w14:paraId="26D07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317" w:type="dxa"/>
            <w:vAlign w:val="top"/>
          </w:tcPr>
          <w:p w14:paraId="2C95DAF4">
            <w:pPr>
              <w:spacing w:before="291"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12" w:type="dxa"/>
            <w:vMerge w:val="continue"/>
            <w:tcBorders>
              <w:top w:val="nil"/>
              <w:bottom w:val="nil"/>
            </w:tcBorders>
            <w:vAlign w:val="top"/>
          </w:tcPr>
          <w:p w14:paraId="63DEBDE1">
            <w:pPr>
              <w:rPr>
                <w:rFonts w:ascii="Arial"/>
                <w:sz w:val="21"/>
              </w:rPr>
            </w:pPr>
          </w:p>
        </w:tc>
        <w:tc>
          <w:tcPr>
            <w:tcW w:w="1900" w:type="dxa"/>
            <w:vAlign w:val="top"/>
          </w:tcPr>
          <w:p w14:paraId="59D20601">
            <w:pPr>
              <w:pStyle w:val="6"/>
              <w:spacing w:before="108" w:line="227" w:lineRule="auto"/>
              <w:ind w:left="7"/>
            </w:pPr>
            <w:r>
              <w:rPr>
                <w:spacing w:val="8"/>
              </w:rPr>
              <w:t>全自动多介质过滤器</w:t>
            </w:r>
          </w:p>
          <w:p w14:paraId="376BD4AC">
            <w:pPr>
              <w:pStyle w:val="6"/>
              <w:spacing w:before="114" w:line="226" w:lineRule="auto"/>
              <w:ind w:left="569"/>
            </w:pPr>
            <w:r>
              <w:rPr>
                <w:spacing w:val="-6"/>
              </w:rPr>
              <w:t>（6</w:t>
            </w:r>
            <w:r>
              <w:rPr>
                <w:spacing w:val="-20"/>
              </w:rPr>
              <w:t xml:space="preserve"> </w:t>
            </w:r>
            <w:r>
              <w:rPr>
                <w:spacing w:val="-6"/>
              </w:rPr>
              <w:t>台）</w:t>
            </w:r>
          </w:p>
        </w:tc>
        <w:tc>
          <w:tcPr>
            <w:tcW w:w="2551" w:type="dxa"/>
            <w:vAlign w:val="top"/>
          </w:tcPr>
          <w:p w14:paraId="3A0B06FE">
            <w:pPr>
              <w:pStyle w:val="6"/>
              <w:spacing w:before="255" w:line="268" w:lineRule="exact"/>
              <w:ind w:left="571"/>
            </w:pPr>
            <w:r>
              <w:rPr>
                <w:spacing w:val="3"/>
                <w:position w:val="1"/>
              </w:rPr>
              <w:t>Φ2800×4680</w:t>
            </w:r>
            <w:r>
              <w:rPr>
                <w:position w:val="1"/>
              </w:rPr>
              <w:t>mm</w:t>
            </w:r>
          </w:p>
        </w:tc>
        <w:tc>
          <w:tcPr>
            <w:tcW w:w="1113" w:type="dxa"/>
            <w:vAlign w:val="top"/>
          </w:tcPr>
          <w:p w14:paraId="51F8F078">
            <w:pPr>
              <w:pStyle w:val="6"/>
              <w:spacing w:before="255" w:line="228" w:lineRule="auto"/>
              <w:jc w:val="right"/>
            </w:pPr>
            <w:r>
              <w:rPr>
                <w:rFonts w:ascii="Times New Roman" w:hAnsi="Times New Roman" w:eastAsia="Times New Roman" w:cs="Times New Roman"/>
                <w:spacing w:val="-7"/>
              </w:rPr>
              <w:t>77.8</w:t>
            </w:r>
            <w:r>
              <w:rPr>
                <w:spacing w:val="-7"/>
              </w:rPr>
              <w:t>（等效）</w:t>
            </w:r>
          </w:p>
        </w:tc>
        <w:tc>
          <w:tcPr>
            <w:tcW w:w="1007" w:type="dxa"/>
            <w:vAlign w:val="top"/>
          </w:tcPr>
          <w:p w14:paraId="751588ED">
            <w:pPr>
              <w:pStyle w:val="6"/>
              <w:spacing w:before="255" w:line="228" w:lineRule="auto"/>
              <w:ind w:left="11"/>
            </w:pPr>
            <w:r>
              <w:rPr>
                <w:spacing w:val="-3"/>
              </w:rPr>
              <w:t>减振、隔声</w:t>
            </w:r>
          </w:p>
        </w:tc>
        <w:tc>
          <w:tcPr>
            <w:tcW w:w="564" w:type="dxa"/>
            <w:vAlign w:val="top"/>
          </w:tcPr>
          <w:p w14:paraId="06CF3161">
            <w:pPr>
              <w:spacing w:before="291"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w:t>
            </w:r>
          </w:p>
        </w:tc>
        <w:tc>
          <w:tcPr>
            <w:tcW w:w="564" w:type="dxa"/>
            <w:vAlign w:val="top"/>
          </w:tcPr>
          <w:p w14:paraId="76A466C3">
            <w:pPr>
              <w:spacing w:before="291"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c>
          <w:tcPr>
            <w:tcW w:w="670" w:type="dxa"/>
            <w:vAlign w:val="top"/>
          </w:tcPr>
          <w:p w14:paraId="08D10A13">
            <w:pPr>
              <w:spacing w:before="291"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1001.6</w:t>
            </w:r>
          </w:p>
        </w:tc>
        <w:tc>
          <w:tcPr>
            <w:tcW w:w="734" w:type="dxa"/>
            <w:vAlign w:val="top"/>
          </w:tcPr>
          <w:p w14:paraId="7F83A2AE">
            <w:pPr>
              <w:spacing w:before="29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71BF5838">
            <w:pPr>
              <w:spacing w:before="29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58.0</w:t>
            </w:r>
          </w:p>
        </w:tc>
        <w:tc>
          <w:tcPr>
            <w:tcW w:w="962" w:type="dxa"/>
            <w:vAlign w:val="top"/>
          </w:tcPr>
          <w:p w14:paraId="775B4A43">
            <w:pPr>
              <w:pStyle w:val="6"/>
              <w:spacing w:before="255"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56AC5210">
            <w:pPr>
              <w:rPr>
                <w:rFonts w:ascii="Arial"/>
                <w:sz w:val="21"/>
              </w:rPr>
            </w:pPr>
          </w:p>
        </w:tc>
        <w:tc>
          <w:tcPr>
            <w:tcW w:w="831" w:type="dxa"/>
            <w:vMerge w:val="continue"/>
            <w:tcBorders>
              <w:top w:val="nil"/>
              <w:bottom w:val="nil"/>
            </w:tcBorders>
            <w:vAlign w:val="top"/>
          </w:tcPr>
          <w:p w14:paraId="71E28C3C">
            <w:pPr>
              <w:rPr>
                <w:rFonts w:ascii="Arial"/>
                <w:sz w:val="21"/>
              </w:rPr>
            </w:pPr>
          </w:p>
        </w:tc>
        <w:tc>
          <w:tcPr>
            <w:tcW w:w="684" w:type="dxa"/>
            <w:vMerge w:val="continue"/>
            <w:tcBorders>
              <w:top w:val="nil"/>
              <w:bottom w:val="nil"/>
            </w:tcBorders>
            <w:vAlign w:val="top"/>
          </w:tcPr>
          <w:p w14:paraId="43D78119">
            <w:pPr>
              <w:rPr>
                <w:rFonts w:ascii="Arial"/>
                <w:sz w:val="21"/>
              </w:rPr>
            </w:pPr>
          </w:p>
        </w:tc>
      </w:tr>
      <w:tr w14:paraId="69130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7" w:type="dxa"/>
            <w:vAlign w:val="top"/>
          </w:tcPr>
          <w:p w14:paraId="06AC2F19">
            <w:pPr>
              <w:spacing w:before="114"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12" w:type="dxa"/>
            <w:vMerge w:val="continue"/>
            <w:tcBorders>
              <w:top w:val="nil"/>
              <w:bottom w:val="nil"/>
            </w:tcBorders>
            <w:vAlign w:val="top"/>
          </w:tcPr>
          <w:p w14:paraId="6C1D070D">
            <w:pPr>
              <w:rPr>
                <w:rFonts w:ascii="Arial"/>
                <w:sz w:val="21"/>
              </w:rPr>
            </w:pPr>
          </w:p>
        </w:tc>
        <w:tc>
          <w:tcPr>
            <w:tcW w:w="1900" w:type="dxa"/>
            <w:vAlign w:val="top"/>
          </w:tcPr>
          <w:p w14:paraId="46FA2EA0">
            <w:pPr>
              <w:pStyle w:val="6"/>
              <w:spacing w:before="110" w:line="226" w:lineRule="auto"/>
              <w:jc w:val="right"/>
            </w:pPr>
            <w:r>
              <w:rPr>
                <w:spacing w:val="-13"/>
              </w:rPr>
              <w:t>自清洗过滤器（3</w:t>
            </w:r>
            <w:r>
              <w:rPr>
                <w:spacing w:val="-18"/>
              </w:rPr>
              <w:t xml:space="preserve"> </w:t>
            </w:r>
            <w:r>
              <w:rPr>
                <w:spacing w:val="-13"/>
              </w:rPr>
              <w:t>台）</w:t>
            </w:r>
          </w:p>
        </w:tc>
        <w:tc>
          <w:tcPr>
            <w:tcW w:w="2551" w:type="dxa"/>
            <w:vAlign w:val="top"/>
          </w:tcPr>
          <w:p w14:paraId="6B21F8A3">
            <w:pPr>
              <w:pStyle w:val="6"/>
              <w:spacing w:before="61" w:line="269" w:lineRule="exact"/>
              <w:ind w:left="991"/>
            </w:pPr>
            <w:r>
              <w:rPr>
                <w:spacing w:val="2"/>
              </w:rPr>
              <w:t>60m</w:t>
            </w:r>
            <w:r>
              <w:rPr>
                <w:spacing w:val="2"/>
                <w:position w:val="10"/>
                <w:sz w:val="10"/>
                <w:szCs w:val="10"/>
              </w:rPr>
              <w:t>3</w:t>
            </w:r>
            <w:r>
              <w:rPr>
                <w:spacing w:val="2"/>
              </w:rPr>
              <w:t>/h</w:t>
            </w:r>
          </w:p>
        </w:tc>
        <w:tc>
          <w:tcPr>
            <w:tcW w:w="1113" w:type="dxa"/>
            <w:vAlign w:val="top"/>
          </w:tcPr>
          <w:p w14:paraId="60171FFC">
            <w:pPr>
              <w:pStyle w:val="6"/>
              <w:spacing w:before="78" w:line="228" w:lineRule="auto"/>
              <w:jc w:val="right"/>
            </w:pPr>
            <w:r>
              <w:rPr>
                <w:rFonts w:ascii="Times New Roman" w:hAnsi="Times New Roman" w:eastAsia="Times New Roman" w:cs="Times New Roman"/>
                <w:spacing w:val="-7"/>
              </w:rPr>
              <w:t>74.8</w:t>
            </w:r>
            <w:r>
              <w:rPr>
                <w:spacing w:val="-7"/>
              </w:rPr>
              <w:t>（等效）</w:t>
            </w:r>
          </w:p>
        </w:tc>
        <w:tc>
          <w:tcPr>
            <w:tcW w:w="1007" w:type="dxa"/>
            <w:vAlign w:val="top"/>
          </w:tcPr>
          <w:p w14:paraId="68718B8B">
            <w:pPr>
              <w:pStyle w:val="6"/>
              <w:spacing w:before="78" w:line="228" w:lineRule="auto"/>
              <w:ind w:left="11"/>
            </w:pPr>
            <w:r>
              <w:rPr>
                <w:spacing w:val="-3"/>
              </w:rPr>
              <w:t>减振、隔声</w:t>
            </w:r>
          </w:p>
        </w:tc>
        <w:tc>
          <w:tcPr>
            <w:tcW w:w="564" w:type="dxa"/>
            <w:vAlign w:val="top"/>
          </w:tcPr>
          <w:p w14:paraId="26B745A8">
            <w:pPr>
              <w:spacing w:before="114"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392</w:t>
            </w:r>
          </w:p>
        </w:tc>
        <w:tc>
          <w:tcPr>
            <w:tcW w:w="564" w:type="dxa"/>
            <w:vAlign w:val="top"/>
          </w:tcPr>
          <w:p w14:paraId="2EDF0655">
            <w:pPr>
              <w:spacing w:before="114"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611</w:t>
            </w:r>
          </w:p>
        </w:tc>
        <w:tc>
          <w:tcPr>
            <w:tcW w:w="670" w:type="dxa"/>
            <w:vAlign w:val="top"/>
          </w:tcPr>
          <w:p w14:paraId="54153DBC">
            <w:pPr>
              <w:spacing w:before="114"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1001.6</w:t>
            </w:r>
          </w:p>
        </w:tc>
        <w:tc>
          <w:tcPr>
            <w:tcW w:w="734" w:type="dxa"/>
            <w:vAlign w:val="top"/>
          </w:tcPr>
          <w:p w14:paraId="2CED5FB1">
            <w:pPr>
              <w:spacing w:before="11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w:t>
            </w:r>
          </w:p>
        </w:tc>
        <w:tc>
          <w:tcPr>
            <w:tcW w:w="860" w:type="dxa"/>
            <w:vAlign w:val="top"/>
          </w:tcPr>
          <w:p w14:paraId="0D35DC37">
            <w:pPr>
              <w:spacing w:before="11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962" w:type="dxa"/>
            <w:vAlign w:val="top"/>
          </w:tcPr>
          <w:p w14:paraId="54061572">
            <w:pPr>
              <w:pStyle w:val="6"/>
              <w:spacing w:before="78"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161AB1EA">
            <w:pPr>
              <w:rPr>
                <w:rFonts w:ascii="Arial"/>
                <w:sz w:val="21"/>
              </w:rPr>
            </w:pPr>
          </w:p>
        </w:tc>
        <w:tc>
          <w:tcPr>
            <w:tcW w:w="831" w:type="dxa"/>
            <w:vMerge w:val="continue"/>
            <w:tcBorders>
              <w:top w:val="nil"/>
              <w:bottom w:val="nil"/>
            </w:tcBorders>
            <w:vAlign w:val="top"/>
          </w:tcPr>
          <w:p w14:paraId="538A2114">
            <w:pPr>
              <w:rPr>
                <w:rFonts w:ascii="Arial"/>
                <w:sz w:val="21"/>
              </w:rPr>
            </w:pPr>
          </w:p>
        </w:tc>
        <w:tc>
          <w:tcPr>
            <w:tcW w:w="684" w:type="dxa"/>
            <w:vMerge w:val="continue"/>
            <w:tcBorders>
              <w:top w:val="nil"/>
              <w:bottom w:val="nil"/>
            </w:tcBorders>
            <w:vAlign w:val="top"/>
          </w:tcPr>
          <w:p w14:paraId="0CF06BA2">
            <w:pPr>
              <w:rPr>
                <w:rFonts w:ascii="Arial"/>
                <w:sz w:val="21"/>
              </w:rPr>
            </w:pPr>
          </w:p>
        </w:tc>
      </w:tr>
      <w:tr w14:paraId="073D2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57542100">
            <w:pPr>
              <w:spacing w:before="246"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12" w:type="dxa"/>
            <w:vMerge w:val="continue"/>
            <w:tcBorders>
              <w:top w:val="nil"/>
              <w:bottom w:val="nil"/>
            </w:tcBorders>
            <w:vAlign w:val="top"/>
          </w:tcPr>
          <w:p w14:paraId="6B0E0050">
            <w:pPr>
              <w:rPr>
                <w:rFonts w:ascii="Arial"/>
                <w:sz w:val="21"/>
              </w:rPr>
            </w:pPr>
          </w:p>
        </w:tc>
        <w:tc>
          <w:tcPr>
            <w:tcW w:w="1900" w:type="dxa"/>
            <w:vAlign w:val="top"/>
          </w:tcPr>
          <w:p w14:paraId="549BF524">
            <w:pPr>
              <w:pStyle w:val="6"/>
              <w:spacing w:before="240" w:line="228" w:lineRule="auto"/>
              <w:ind w:left="244"/>
            </w:pPr>
            <w:r>
              <w:rPr>
                <w:spacing w:val="2"/>
              </w:rPr>
              <w:t>双吸泵（3</w:t>
            </w:r>
            <w:r>
              <w:rPr>
                <w:spacing w:val="-19"/>
              </w:rPr>
              <w:t xml:space="preserve"> </w:t>
            </w:r>
            <w:r>
              <w:rPr>
                <w:spacing w:val="2"/>
              </w:rPr>
              <w:t>台）</w:t>
            </w:r>
          </w:p>
        </w:tc>
        <w:tc>
          <w:tcPr>
            <w:tcW w:w="2551" w:type="dxa"/>
            <w:vAlign w:val="top"/>
          </w:tcPr>
          <w:p w14:paraId="27973104">
            <w:pPr>
              <w:pStyle w:val="6"/>
              <w:spacing w:before="36" w:line="270" w:lineRule="exact"/>
              <w:jc w:val="right"/>
            </w:pPr>
            <w:r>
              <w:t>SLOW</w:t>
            </w:r>
            <w:r>
              <w:rPr>
                <w:spacing w:val="3"/>
              </w:rPr>
              <w:t>125-240A，Q=320m</w:t>
            </w:r>
            <w:r>
              <w:rPr>
                <w:spacing w:val="3"/>
                <w:position w:val="10"/>
                <w:sz w:val="10"/>
                <w:szCs w:val="10"/>
              </w:rPr>
              <w:t>3</w:t>
            </w:r>
            <w:r>
              <w:rPr>
                <w:spacing w:val="3"/>
              </w:rPr>
              <w:t>/h，</w:t>
            </w:r>
          </w:p>
          <w:p w14:paraId="67B76F5C">
            <w:pPr>
              <w:pStyle w:val="6"/>
              <w:spacing w:before="59" w:line="233" w:lineRule="auto"/>
              <w:ind w:left="1011"/>
            </w:pPr>
            <w:r>
              <w:rPr>
                <w:spacing w:val="4"/>
              </w:rPr>
              <w:t>H=55m</w:t>
            </w:r>
          </w:p>
        </w:tc>
        <w:tc>
          <w:tcPr>
            <w:tcW w:w="1113" w:type="dxa"/>
            <w:vAlign w:val="top"/>
          </w:tcPr>
          <w:p w14:paraId="3EEC8976">
            <w:pPr>
              <w:pStyle w:val="6"/>
              <w:spacing w:before="209"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1227C4BE">
            <w:pPr>
              <w:pStyle w:val="6"/>
              <w:spacing w:before="210" w:line="228" w:lineRule="auto"/>
              <w:ind w:left="11"/>
            </w:pPr>
            <w:r>
              <w:rPr>
                <w:spacing w:val="-3"/>
              </w:rPr>
              <w:t>减振、隔声</w:t>
            </w:r>
          </w:p>
        </w:tc>
        <w:tc>
          <w:tcPr>
            <w:tcW w:w="564" w:type="dxa"/>
            <w:vAlign w:val="top"/>
          </w:tcPr>
          <w:p w14:paraId="149AF2BF">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w:t>
            </w:r>
          </w:p>
        </w:tc>
        <w:tc>
          <w:tcPr>
            <w:tcW w:w="564" w:type="dxa"/>
            <w:vAlign w:val="top"/>
          </w:tcPr>
          <w:p w14:paraId="5681FD4E">
            <w:pPr>
              <w:spacing w:before="24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624</w:t>
            </w:r>
          </w:p>
        </w:tc>
        <w:tc>
          <w:tcPr>
            <w:tcW w:w="670" w:type="dxa"/>
            <w:vAlign w:val="top"/>
          </w:tcPr>
          <w:p w14:paraId="28A46D3A">
            <w:pPr>
              <w:spacing w:before="24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6EE03DBA">
            <w:pPr>
              <w:spacing w:before="2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7E09C70D">
            <w:pPr>
              <w:spacing w:before="2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30ED98D0">
            <w:pPr>
              <w:pStyle w:val="6"/>
              <w:spacing w:before="20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3386DAFD">
            <w:pPr>
              <w:rPr>
                <w:rFonts w:ascii="Arial"/>
                <w:sz w:val="21"/>
              </w:rPr>
            </w:pPr>
          </w:p>
        </w:tc>
        <w:tc>
          <w:tcPr>
            <w:tcW w:w="831" w:type="dxa"/>
            <w:vMerge w:val="continue"/>
            <w:tcBorders>
              <w:top w:val="nil"/>
              <w:bottom w:val="nil"/>
            </w:tcBorders>
            <w:vAlign w:val="top"/>
          </w:tcPr>
          <w:p w14:paraId="3479D934">
            <w:pPr>
              <w:rPr>
                <w:rFonts w:ascii="Arial"/>
                <w:sz w:val="21"/>
              </w:rPr>
            </w:pPr>
          </w:p>
        </w:tc>
        <w:tc>
          <w:tcPr>
            <w:tcW w:w="684" w:type="dxa"/>
            <w:vMerge w:val="continue"/>
            <w:tcBorders>
              <w:top w:val="nil"/>
              <w:bottom w:val="nil"/>
            </w:tcBorders>
            <w:vAlign w:val="top"/>
          </w:tcPr>
          <w:p w14:paraId="3900E293">
            <w:pPr>
              <w:rPr>
                <w:rFonts w:ascii="Arial"/>
                <w:sz w:val="21"/>
              </w:rPr>
            </w:pPr>
          </w:p>
        </w:tc>
      </w:tr>
      <w:tr w14:paraId="448D9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753AD7FE">
            <w:pPr>
              <w:spacing w:before="246"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12" w:type="dxa"/>
            <w:vMerge w:val="continue"/>
            <w:tcBorders>
              <w:top w:val="nil"/>
              <w:bottom w:val="nil"/>
            </w:tcBorders>
            <w:vAlign w:val="top"/>
          </w:tcPr>
          <w:p w14:paraId="589C6282">
            <w:pPr>
              <w:rPr>
                <w:rFonts w:ascii="Arial"/>
                <w:sz w:val="21"/>
              </w:rPr>
            </w:pPr>
          </w:p>
        </w:tc>
        <w:tc>
          <w:tcPr>
            <w:tcW w:w="1900" w:type="dxa"/>
            <w:vAlign w:val="top"/>
          </w:tcPr>
          <w:p w14:paraId="212941FD">
            <w:pPr>
              <w:pStyle w:val="6"/>
              <w:spacing w:before="243" w:line="228" w:lineRule="auto"/>
              <w:ind w:left="244"/>
            </w:pPr>
            <w:r>
              <w:rPr>
                <w:spacing w:val="2"/>
              </w:rPr>
              <w:t>双吸泵（3</w:t>
            </w:r>
            <w:r>
              <w:rPr>
                <w:spacing w:val="-19"/>
              </w:rPr>
              <w:t xml:space="preserve"> </w:t>
            </w:r>
            <w:r>
              <w:rPr>
                <w:spacing w:val="2"/>
              </w:rPr>
              <w:t>台）</w:t>
            </w:r>
          </w:p>
        </w:tc>
        <w:tc>
          <w:tcPr>
            <w:tcW w:w="2551" w:type="dxa"/>
            <w:vAlign w:val="top"/>
          </w:tcPr>
          <w:p w14:paraId="3AC5F270">
            <w:pPr>
              <w:pStyle w:val="6"/>
              <w:spacing w:before="37" w:line="269" w:lineRule="exact"/>
              <w:ind w:left="47"/>
            </w:pPr>
            <w:r>
              <w:t>SLOW</w:t>
            </w:r>
            <w:r>
              <w:rPr>
                <w:spacing w:val="5"/>
              </w:rPr>
              <w:t>80-280B，Q=130m</w:t>
            </w:r>
            <w:r>
              <w:rPr>
                <w:spacing w:val="5"/>
                <w:position w:val="10"/>
                <w:sz w:val="10"/>
                <w:szCs w:val="10"/>
              </w:rPr>
              <w:t>3</w:t>
            </w:r>
            <w:r>
              <w:rPr>
                <w:spacing w:val="5"/>
              </w:rPr>
              <w:t>/h，</w:t>
            </w:r>
          </w:p>
          <w:p w14:paraId="76C3F384">
            <w:pPr>
              <w:pStyle w:val="6"/>
              <w:spacing w:before="59" w:line="232" w:lineRule="auto"/>
              <w:ind w:left="1011"/>
            </w:pPr>
            <w:r>
              <w:rPr>
                <w:spacing w:val="4"/>
              </w:rPr>
              <w:t>H=65m</w:t>
            </w:r>
          </w:p>
        </w:tc>
        <w:tc>
          <w:tcPr>
            <w:tcW w:w="1113" w:type="dxa"/>
            <w:vAlign w:val="top"/>
          </w:tcPr>
          <w:p w14:paraId="53187EE5">
            <w:pPr>
              <w:pStyle w:val="6"/>
              <w:spacing w:before="210"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0319FD7A">
            <w:pPr>
              <w:pStyle w:val="6"/>
              <w:spacing w:before="211" w:line="228" w:lineRule="auto"/>
              <w:ind w:left="11"/>
            </w:pPr>
            <w:r>
              <w:rPr>
                <w:spacing w:val="-3"/>
              </w:rPr>
              <w:t>减振、隔声</w:t>
            </w:r>
          </w:p>
        </w:tc>
        <w:tc>
          <w:tcPr>
            <w:tcW w:w="564" w:type="dxa"/>
            <w:vAlign w:val="top"/>
          </w:tcPr>
          <w:p w14:paraId="7A3D18B0">
            <w:pPr>
              <w:spacing w:before="24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c>
          <w:tcPr>
            <w:tcW w:w="564" w:type="dxa"/>
            <w:vAlign w:val="top"/>
          </w:tcPr>
          <w:p w14:paraId="4B890536">
            <w:pPr>
              <w:spacing w:before="246"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618</w:t>
            </w:r>
          </w:p>
        </w:tc>
        <w:tc>
          <w:tcPr>
            <w:tcW w:w="670" w:type="dxa"/>
            <w:vAlign w:val="top"/>
          </w:tcPr>
          <w:p w14:paraId="6E7D5D63">
            <w:pPr>
              <w:spacing w:before="246"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03D61F3C">
            <w:pPr>
              <w:spacing w:before="24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36EB2492">
            <w:pPr>
              <w:spacing w:before="24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11563EE5">
            <w:pPr>
              <w:pStyle w:val="6"/>
              <w:spacing w:before="210"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79C01409">
            <w:pPr>
              <w:rPr>
                <w:rFonts w:ascii="Arial"/>
                <w:sz w:val="21"/>
              </w:rPr>
            </w:pPr>
          </w:p>
        </w:tc>
        <w:tc>
          <w:tcPr>
            <w:tcW w:w="831" w:type="dxa"/>
            <w:vMerge w:val="continue"/>
            <w:tcBorders>
              <w:top w:val="nil"/>
              <w:bottom w:val="nil"/>
            </w:tcBorders>
            <w:vAlign w:val="top"/>
          </w:tcPr>
          <w:p w14:paraId="4E08CFE9">
            <w:pPr>
              <w:rPr>
                <w:rFonts w:ascii="Arial"/>
                <w:sz w:val="21"/>
              </w:rPr>
            </w:pPr>
          </w:p>
        </w:tc>
        <w:tc>
          <w:tcPr>
            <w:tcW w:w="684" w:type="dxa"/>
            <w:vMerge w:val="continue"/>
            <w:tcBorders>
              <w:top w:val="nil"/>
              <w:bottom w:val="nil"/>
            </w:tcBorders>
            <w:vAlign w:val="top"/>
          </w:tcPr>
          <w:p w14:paraId="130D48D8">
            <w:pPr>
              <w:rPr>
                <w:rFonts w:ascii="Arial"/>
                <w:sz w:val="21"/>
              </w:rPr>
            </w:pPr>
          </w:p>
        </w:tc>
      </w:tr>
      <w:tr w14:paraId="6EED4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17" w:type="dxa"/>
            <w:vAlign w:val="top"/>
          </w:tcPr>
          <w:p w14:paraId="75F95C52">
            <w:pPr>
              <w:spacing w:before="247"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2" w:type="dxa"/>
            <w:vMerge w:val="continue"/>
            <w:tcBorders>
              <w:top w:val="nil"/>
              <w:bottom w:val="nil"/>
            </w:tcBorders>
            <w:vAlign w:val="top"/>
          </w:tcPr>
          <w:p w14:paraId="1C64B325">
            <w:pPr>
              <w:rPr>
                <w:rFonts w:ascii="Arial"/>
                <w:sz w:val="21"/>
              </w:rPr>
            </w:pPr>
          </w:p>
        </w:tc>
        <w:tc>
          <w:tcPr>
            <w:tcW w:w="1900" w:type="dxa"/>
            <w:vAlign w:val="top"/>
          </w:tcPr>
          <w:p w14:paraId="28FAC6FB">
            <w:pPr>
              <w:pStyle w:val="6"/>
              <w:spacing w:before="244" w:line="228" w:lineRule="auto"/>
              <w:ind w:left="244"/>
            </w:pPr>
            <w:r>
              <w:rPr>
                <w:spacing w:val="2"/>
              </w:rPr>
              <w:t>双吸泵（3</w:t>
            </w:r>
            <w:r>
              <w:rPr>
                <w:spacing w:val="-19"/>
              </w:rPr>
              <w:t xml:space="preserve"> </w:t>
            </w:r>
            <w:r>
              <w:rPr>
                <w:spacing w:val="2"/>
              </w:rPr>
              <w:t>台）</w:t>
            </w:r>
          </w:p>
        </w:tc>
        <w:tc>
          <w:tcPr>
            <w:tcW w:w="2551" w:type="dxa"/>
            <w:vAlign w:val="top"/>
          </w:tcPr>
          <w:p w14:paraId="0C80204D">
            <w:pPr>
              <w:pStyle w:val="6"/>
              <w:spacing w:before="54" w:line="260" w:lineRule="auto"/>
              <w:ind w:left="464" w:right="381" w:hanging="129"/>
            </w:pPr>
            <w:r>
              <w:t>SLOW</w:t>
            </w:r>
            <w:r>
              <w:rPr>
                <w:spacing w:val="2"/>
              </w:rPr>
              <w:t>80-280（I）C，</w:t>
            </w:r>
            <w:r>
              <w:rPr>
                <w:spacing w:val="5"/>
              </w:rPr>
              <w:t xml:space="preserve"> </w:t>
            </w:r>
            <w:r>
              <w:rPr>
                <w:spacing w:val="4"/>
              </w:rPr>
              <w:t>Q=120m</w:t>
            </w:r>
            <w:r>
              <w:rPr>
                <w:spacing w:val="4"/>
                <w:position w:val="10"/>
                <w:sz w:val="10"/>
                <w:szCs w:val="10"/>
              </w:rPr>
              <w:t>3</w:t>
            </w:r>
            <w:r>
              <w:rPr>
                <w:spacing w:val="4"/>
              </w:rPr>
              <w:t>/h，H=50m</w:t>
            </w:r>
          </w:p>
        </w:tc>
        <w:tc>
          <w:tcPr>
            <w:tcW w:w="1113" w:type="dxa"/>
            <w:vAlign w:val="top"/>
          </w:tcPr>
          <w:p w14:paraId="3B5827BF">
            <w:pPr>
              <w:pStyle w:val="6"/>
              <w:spacing w:before="210" w:line="228" w:lineRule="auto"/>
              <w:jc w:val="right"/>
            </w:pPr>
            <w:r>
              <w:rPr>
                <w:rFonts w:ascii="Times New Roman" w:hAnsi="Times New Roman" w:eastAsia="Times New Roman" w:cs="Times New Roman"/>
                <w:spacing w:val="-7"/>
              </w:rPr>
              <w:t>79.8</w:t>
            </w:r>
            <w:r>
              <w:rPr>
                <w:spacing w:val="-7"/>
              </w:rPr>
              <w:t>（等效）</w:t>
            </w:r>
          </w:p>
        </w:tc>
        <w:tc>
          <w:tcPr>
            <w:tcW w:w="1007" w:type="dxa"/>
            <w:vAlign w:val="top"/>
          </w:tcPr>
          <w:p w14:paraId="0C9F7AFB">
            <w:pPr>
              <w:pStyle w:val="6"/>
              <w:spacing w:before="211" w:line="228" w:lineRule="auto"/>
              <w:ind w:left="11"/>
            </w:pPr>
            <w:r>
              <w:rPr>
                <w:spacing w:val="-3"/>
              </w:rPr>
              <w:t>减振、隔声</w:t>
            </w:r>
          </w:p>
        </w:tc>
        <w:tc>
          <w:tcPr>
            <w:tcW w:w="564" w:type="dxa"/>
            <w:vAlign w:val="top"/>
          </w:tcPr>
          <w:p w14:paraId="0D1EE366">
            <w:pPr>
              <w:spacing w:before="24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c>
          <w:tcPr>
            <w:tcW w:w="564" w:type="dxa"/>
            <w:vAlign w:val="top"/>
          </w:tcPr>
          <w:p w14:paraId="60286160">
            <w:pPr>
              <w:spacing w:before="24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613</w:t>
            </w:r>
          </w:p>
        </w:tc>
        <w:tc>
          <w:tcPr>
            <w:tcW w:w="670" w:type="dxa"/>
            <w:vAlign w:val="top"/>
          </w:tcPr>
          <w:p w14:paraId="018068D4">
            <w:pPr>
              <w:spacing w:before="247"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2A6E6EED">
            <w:pPr>
              <w:spacing w:before="24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60" w:type="dxa"/>
            <w:vAlign w:val="top"/>
          </w:tcPr>
          <w:p w14:paraId="1281557B">
            <w:pPr>
              <w:spacing w:before="24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62" w:type="dxa"/>
            <w:vAlign w:val="top"/>
          </w:tcPr>
          <w:p w14:paraId="1B9B0E1C">
            <w:pPr>
              <w:pStyle w:val="6"/>
              <w:spacing w:before="211"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bottom w:val="nil"/>
            </w:tcBorders>
            <w:vAlign w:val="top"/>
          </w:tcPr>
          <w:p w14:paraId="20D2309F">
            <w:pPr>
              <w:rPr>
                <w:rFonts w:ascii="Arial"/>
                <w:sz w:val="21"/>
              </w:rPr>
            </w:pPr>
          </w:p>
        </w:tc>
        <w:tc>
          <w:tcPr>
            <w:tcW w:w="831" w:type="dxa"/>
            <w:vMerge w:val="continue"/>
            <w:tcBorders>
              <w:top w:val="nil"/>
              <w:bottom w:val="nil"/>
            </w:tcBorders>
            <w:vAlign w:val="top"/>
          </w:tcPr>
          <w:p w14:paraId="150737E4">
            <w:pPr>
              <w:rPr>
                <w:rFonts w:ascii="Arial"/>
                <w:sz w:val="21"/>
              </w:rPr>
            </w:pPr>
          </w:p>
        </w:tc>
        <w:tc>
          <w:tcPr>
            <w:tcW w:w="684" w:type="dxa"/>
            <w:vMerge w:val="continue"/>
            <w:tcBorders>
              <w:top w:val="nil"/>
              <w:bottom w:val="nil"/>
            </w:tcBorders>
            <w:vAlign w:val="top"/>
          </w:tcPr>
          <w:p w14:paraId="7558AC63">
            <w:pPr>
              <w:rPr>
                <w:rFonts w:ascii="Arial"/>
                <w:sz w:val="21"/>
              </w:rPr>
            </w:pPr>
          </w:p>
        </w:tc>
      </w:tr>
      <w:tr w14:paraId="413A6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7" w:type="dxa"/>
            <w:vAlign w:val="top"/>
          </w:tcPr>
          <w:p w14:paraId="26C77794">
            <w:pPr>
              <w:spacing w:before="115"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12" w:type="dxa"/>
            <w:vMerge w:val="continue"/>
            <w:tcBorders>
              <w:top w:val="nil"/>
            </w:tcBorders>
            <w:vAlign w:val="top"/>
          </w:tcPr>
          <w:p w14:paraId="53FD61F3">
            <w:pPr>
              <w:rPr>
                <w:rFonts w:ascii="Arial"/>
                <w:sz w:val="21"/>
              </w:rPr>
            </w:pPr>
          </w:p>
        </w:tc>
        <w:tc>
          <w:tcPr>
            <w:tcW w:w="1900" w:type="dxa"/>
            <w:vAlign w:val="top"/>
          </w:tcPr>
          <w:p w14:paraId="7F3F0B23">
            <w:pPr>
              <w:pStyle w:val="6"/>
              <w:spacing w:before="113" w:line="227" w:lineRule="auto"/>
              <w:ind w:left="426"/>
            </w:pPr>
            <w:r>
              <w:rPr>
                <w:spacing w:val="8"/>
              </w:rPr>
              <w:t>潜水污水泵</w:t>
            </w:r>
          </w:p>
        </w:tc>
        <w:tc>
          <w:tcPr>
            <w:tcW w:w="2551" w:type="dxa"/>
            <w:vAlign w:val="top"/>
          </w:tcPr>
          <w:p w14:paraId="669ED7EF">
            <w:pPr>
              <w:pStyle w:val="6"/>
              <w:spacing w:before="62" w:line="269" w:lineRule="exact"/>
              <w:ind w:left="1"/>
            </w:pPr>
            <w:r>
              <w:rPr>
                <w:spacing w:val="-1"/>
              </w:rPr>
              <w:t>WQ2120-202</w:t>
            </w:r>
            <w:r>
              <w:rPr>
                <w:spacing w:val="-32"/>
              </w:rPr>
              <w:t xml:space="preserve"> </w:t>
            </w:r>
            <w:r>
              <w:rPr>
                <w:spacing w:val="-1"/>
              </w:rPr>
              <w:t>型</w:t>
            </w:r>
            <w:r>
              <w:rPr>
                <w:spacing w:val="-55"/>
              </w:rPr>
              <w:t xml:space="preserve"> </w:t>
            </w:r>
            <w:r>
              <w:rPr>
                <w:spacing w:val="-1"/>
              </w:rPr>
              <w:t>Q=8m</w:t>
            </w:r>
            <w:r>
              <w:rPr>
                <w:spacing w:val="-1"/>
                <w:position w:val="10"/>
                <w:sz w:val="10"/>
                <w:szCs w:val="10"/>
              </w:rPr>
              <w:t>3</w:t>
            </w:r>
            <w:r>
              <w:rPr>
                <w:spacing w:val="-1"/>
              </w:rPr>
              <w:t>/h，H=25</w:t>
            </w:r>
          </w:p>
        </w:tc>
        <w:tc>
          <w:tcPr>
            <w:tcW w:w="1113" w:type="dxa"/>
            <w:vAlign w:val="top"/>
          </w:tcPr>
          <w:p w14:paraId="3A10F5D2">
            <w:pPr>
              <w:pStyle w:val="6"/>
              <w:spacing w:before="79" w:line="228" w:lineRule="auto"/>
              <w:ind w:left="36"/>
            </w:pPr>
            <w:r>
              <w:rPr>
                <w:rFonts w:ascii="Times New Roman" w:hAnsi="Times New Roman" w:eastAsia="Times New Roman" w:cs="Times New Roman"/>
                <w:spacing w:val="5"/>
              </w:rPr>
              <w:t>78</w:t>
            </w:r>
            <w:r>
              <w:rPr>
                <w:spacing w:val="5"/>
              </w:rPr>
              <w:t>（等效）</w:t>
            </w:r>
          </w:p>
        </w:tc>
        <w:tc>
          <w:tcPr>
            <w:tcW w:w="1007" w:type="dxa"/>
            <w:vAlign w:val="top"/>
          </w:tcPr>
          <w:p w14:paraId="61E6A8D4">
            <w:pPr>
              <w:pStyle w:val="6"/>
              <w:spacing w:before="80" w:line="228" w:lineRule="auto"/>
              <w:ind w:left="11"/>
            </w:pPr>
            <w:r>
              <w:rPr>
                <w:spacing w:val="-3"/>
              </w:rPr>
              <w:t>减振、隔声</w:t>
            </w:r>
          </w:p>
        </w:tc>
        <w:tc>
          <w:tcPr>
            <w:tcW w:w="564" w:type="dxa"/>
            <w:vAlign w:val="top"/>
          </w:tcPr>
          <w:p w14:paraId="68C36899">
            <w:pPr>
              <w:spacing w:before="1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383</w:t>
            </w:r>
          </w:p>
        </w:tc>
        <w:tc>
          <w:tcPr>
            <w:tcW w:w="564" w:type="dxa"/>
            <w:vAlign w:val="top"/>
          </w:tcPr>
          <w:p w14:paraId="3A90DD0F">
            <w:pPr>
              <w:spacing w:before="115"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607</w:t>
            </w:r>
          </w:p>
        </w:tc>
        <w:tc>
          <w:tcPr>
            <w:tcW w:w="670" w:type="dxa"/>
            <w:vAlign w:val="top"/>
          </w:tcPr>
          <w:p w14:paraId="28BC17AD">
            <w:pPr>
              <w:spacing w:before="115" w:line="195" w:lineRule="auto"/>
              <w:ind w:left="69"/>
              <w:rPr>
                <w:rFonts w:ascii="Times New Roman" w:hAnsi="Times New Roman" w:eastAsia="Times New Roman" w:cs="Times New Roman"/>
                <w:sz w:val="20"/>
                <w:szCs w:val="20"/>
              </w:rPr>
            </w:pPr>
            <w:r>
              <w:rPr>
                <w:rFonts w:ascii="Times New Roman" w:hAnsi="Times New Roman" w:eastAsia="Times New Roman" w:cs="Times New Roman"/>
                <w:sz w:val="20"/>
                <w:szCs w:val="20"/>
              </w:rPr>
              <w:t>1001.3</w:t>
            </w:r>
          </w:p>
        </w:tc>
        <w:tc>
          <w:tcPr>
            <w:tcW w:w="734" w:type="dxa"/>
            <w:vAlign w:val="top"/>
          </w:tcPr>
          <w:p w14:paraId="484AD767">
            <w:pPr>
              <w:spacing w:before="11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60" w:type="dxa"/>
            <w:vAlign w:val="top"/>
          </w:tcPr>
          <w:p w14:paraId="4F9A33DD">
            <w:pPr>
              <w:spacing w:before="11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66.4</w:t>
            </w:r>
          </w:p>
        </w:tc>
        <w:tc>
          <w:tcPr>
            <w:tcW w:w="962" w:type="dxa"/>
            <w:vAlign w:val="top"/>
          </w:tcPr>
          <w:p w14:paraId="406F5D05">
            <w:pPr>
              <w:pStyle w:val="6"/>
              <w:spacing w:before="79" w:line="230" w:lineRule="auto"/>
              <w:ind w:left="142"/>
            </w:pPr>
            <w:r>
              <w:rPr>
                <w:rFonts w:ascii="Times New Roman" w:hAnsi="Times New Roman" w:eastAsia="Times New Roman" w:cs="Times New Roman"/>
                <w:spacing w:val="2"/>
              </w:rPr>
              <w:t>24</w:t>
            </w:r>
            <w:r>
              <w:rPr>
                <w:rFonts w:ascii="Times New Roman" w:hAnsi="Times New Roman" w:eastAsia="Times New Roman" w:cs="Times New Roman"/>
                <w:spacing w:val="18"/>
              </w:rPr>
              <w:t xml:space="preserve"> </w:t>
            </w:r>
            <w:r>
              <w:rPr>
                <w:spacing w:val="2"/>
              </w:rPr>
              <w:t>小时</w:t>
            </w:r>
          </w:p>
        </w:tc>
        <w:tc>
          <w:tcPr>
            <w:tcW w:w="773" w:type="dxa"/>
            <w:vMerge w:val="continue"/>
            <w:tcBorders>
              <w:top w:val="nil"/>
            </w:tcBorders>
            <w:vAlign w:val="top"/>
          </w:tcPr>
          <w:p w14:paraId="56B2AFB8">
            <w:pPr>
              <w:rPr>
                <w:rFonts w:ascii="Arial"/>
                <w:sz w:val="21"/>
              </w:rPr>
            </w:pPr>
          </w:p>
        </w:tc>
        <w:tc>
          <w:tcPr>
            <w:tcW w:w="831" w:type="dxa"/>
            <w:vMerge w:val="continue"/>
            <w:tcBorders>
              <w:top w:val="nil"/>
            </w:tcBorders>
            <w:vAlign w:val="top"/>
          </w:tcPr>
          <w:p w14:paraId="5C2FAD9C">
            <w:pPr>
              <w:rPr>
                <w:rFonts w:ascii="Arial"/>
                <w:sz w:val="21"/>
              </w:rPr>
            </w:pPr>
          </w:p>
        </w:tc>
        <w:tc>
          <w:tcPr>
            <w:tcW w:w="684" w:type="dxa"/>
            <w:vMerge w:val="continue"/>
            <w:tcBorders>
              <w:top w:val="nil"/>
            </w:tcBorders>
            <w:vAlign w:val="top"/>
          </w:tcPr>
          <w:p w14:paraId="580415DB">
            <w:pPr>
              <w:rPr>
                <w:rFonts w:ascii="Arial"/>
                <w:sz w:val="21"/>
              </w:rPr>
            </w:pPr>
          </w:p>
        </w:tc>
      </w:tr>
    </w:tbl>
    <w:p w14:paraId="13786024">
      <w:pPr>
        <w:pStyle w:val="2"/>
      </w:pPr>
    </w:p>
    <w:p w14:paraId="2FCA9A2A">
      <w:pPr>
        <w:sectPr>
          <w:footerReference r:id="rId327" w:type="default"/>
          <w:pgSz w:w="16839" w:h="11906"/>
          <w:pgMar w:top="1208" w:right="1245" w:bottom="1358" w:left="1245" w:header="825" w:footer="1195" w:gutter="0"/>
          <w:cols w:space="720" w:num="1"/>
        </w:sectPr>
      </w:pPr>
    </w:p>
    <w:p w14:paraId="01A38524">
      <w:pPr>
        <w:pStyle w:val="2"/>
        <w:spacing w:line="265" w:lineRule="auto"/>
      </w:pPr>
    </w:p>
    <w:p w14:paraId="7E36027A">
      <w:pPr>
        <w:spacing w:before="78" w:line="219" w:lineRule="auto"/>
        <w:ind w:left="502"/>
        <w:outlineLvl w:val="2"/>
        <w:rPr>
          <w:rFonts w:ascii="宋体" w:hAnsi="宋体" w:eastAsia="宋体" w:cs="宋体"/>
          <w:sz w:val="24"/>
          <w:szCs w:val="24"/>
        </w:rPr>
      </w:pPr>
      <w:bookmarkStart w:id="135" w:name="bookmark119"/>
      <w:bookmarkEnd w:id="135"/>
      <w:r>
        <w:rPr>
          <w:rFonts w:ascii="Times New Roman" w:hAnsi="Times New Roman" w:eastAsia="Times New Roman" w:cs="Times New Roman"/>
          <w:b/>
          <w:bCs/>
          <w:spacing w:val="-2"/>
          <w:sz w:val="24"/>
          <w:szCs w:val="24"/>
        </w:rPr>
        <w:t xml:space="preserve">8.4.2 </w:t>
      </w:r>
      <w:r>
        <w:rPr>
          <w:rFonts w:ascii="宋体" w:hAnsi="宋体" w:eastAsia="宋体" w:cs="宋体"/>
          <w:b/>
          <w:bCs/>
          <w:spacing w:val="-2"/>
          <w:sz w:val="24"/>
          <w:szCs w:val="24"/>
        </w:rPr>
        <w:t>预测模式与方法</w:t>
      </w:r>
    </w:p>
    <w:p w14:paraId="1890EE44">
      <w:pPr>
        <w:spacing w:before="182" w:line="360" w:lineRule="auto"/>
        <w:ind w:left="23" w:right="13" w:firstLine="479"/>
        <w:jc w:val="both"/>
        <w:rPr>
          <w:rFonts w:ascii="宋体" w:hAnsi="宋体" w:eastAsia="宋体" w:cs="宋体"/>
          <w:sz w:val="24"/>
          <w:szCs w:val="24"/>
        </w:rPr>
      </w:pPr>
      <w:r>
        <w:rPr>
          <w:rFonts w:ascii="宋体" w:hAnsi="宋体" w:eastAsia="宋体" w:cs="宋体"/>
          <w:spacing w:val="-3"/>
          <w:sz w:val="24"/>
          <w:szCs w:val="24"/>
        </w:rPr>
        <w:t>在进行噪声预测时，采用声源的倍频带声功</w:t>
      </w:r>
      <w:r>
        <w:rPr>
          <w:rFonts w:ascii="宋体" w:hAnsi="宋体" w:eastAsia="宋体" w:cs="宋体"/>
          <w:spacing w:val="-4"/>
          <w:sz w:val="24"/>
          <w:szCs w:val="24"/>
        </w:rPr>
        <w:t>率级，</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声功率级或靠近源某一</w:t>
      </w:r>
      <w:r>
        <w:rPr>
          <w:rFonts w:ascii="宋体" w:hAnsi="宋体" w:eastAsia="宋体" w:cs="宋体"/>
          <w:sz w:val="24"/>
          <w:szCs w:val="24"/>
        </w:rPr>
        <w:t xml:space="preserve"> </w:t>
      </w:r>
      <w:r>
        <w:rPr>
          <w:rFonts w:ascii="宋体" w:hAnsi="宋体" w:eastAsia="宋体" w:cs="宋体"/>
          <w:spacing w:val="-3"/>
          <w:sz w:val="24"/>
          <w:szCs w:val="24"/>
        </w:rPr>
        <w:t>位置的倍频带声压级、</w:t>
      </w:r>
      <w:r>
        <w:rPr>
          <w:rFonts w:ascii="Times New Roman" w:hAnsi="Times New Roman" w:eastAsia="Times New Roman" w:cs="Times New Roman"/>
          <w:spacing w:val="-3"/>
          <w:sz w:val="24"/>
          <w:szCs w:val="24"/>
        </w:rPr>
        <w:t xml:space="preserve">A </w:t>
      </w:r>
      <w:r>
        <w:rPr>
          <w:rFonts w:ascii="宋体" w:hAnsi="宋体" w:eastAsia="宋体" w:cs="宋体"/>
          <w:spacing w:val="-3"/>
          <w:sz w:val="24"/>
          <w:szCs w:val="24"/>
        </w:rPr>
        <w:t>声级来预测计算不同距离的声级。工业声源有室外和室</w:t>
      </w:r>
      <w:r>
        <w:rPr>
          <w:rFonts w:ascii="宋体" w:hAnsi="宋体" w:eastAsia="宋体" w:cs="宋体"/>
          <w:spacing w:val="10"/>
          <w:sz w:val="24"/>
          <w:szCs w:val="24"/>
        </w:rPr>
        <w:t xml:space="preserve"> </w:t>
      </w:r>
      <w:r>
        <w:rPr>
          <w:rFonts w:ascii="宋体" w:hAnsi="宋体" w:eastAsia="宋体" w:cs="宋体"/>
          <w:spacing w:val="-1"/>
          <w:sz w:val="24"/>
          <w:szCs w:val="24"/>
        </w:rPr>
        <w:t>内两种声源分别计算。预测模式如下：</w:t>
      </w:r>
    </w:p>
    <w:p w14:paraId="6DC77138">
      <w:pPr>
        <w:spacing w:line="217" w:lineRule="auto"/>
        <w:ind w:left="502"/>
        <w:rPr>
          <w:rFonts w:ascii="宋体" w:hAnsi="宋体" w:eastAsia="宋体" w:cs="宋体"/>
          <w:sz w:val="24"/>
          <w:szCs w:val="24"/>
        </w:rPr>
      </w:pPr>
      <w:r>
        <w:rPr>
          <w:rFonts w:ascii="宋体" w:hAnsi="宋体" w:eastAsia="宋体" w:cs="宋体"/>
          <w:spacing w:val="-2"/>
          <w:sz w:val="24"/>
          <w:szCs w:val="24"/>
        </w:rPr>
        <w:t>①室外声源</w:t>
      </w:r>
    </w:p>
    <w:p w14:paraId="29D7BC5E">
      <w:pPr>
        <w:spacing w:before="186" w:line="219" w:lineRule="auto"/>
        <w:ind w:left="502"/>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计算某个声源在预测点的倍频带声压级：</w:t>
      </w:r>
    </w:p>
    <w:p w14:paraId="7D14422E">
      <w:pPr>
        <w:spacing w:before="138" w:line="376" w:lineRule="auto"/>
        <w:ind w:left="508" w:right="3668" w:firstLine="230"/>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3"/>
          <w:sz w:val="24"/>
          <w:szCs w:val="24"/>
        </w:rPr>
        <w:t>(r)=</w:t>
      </w: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w</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D</w:t>
      </w:r>
      <w:r>
        <w:rPr>
          <w:rFonts w:ascii="Times New Roman" w:hAnsi="Times New Roman" w:eastAsia="Times New Roman" w:cs="Times New Roman"/>
          <w:position w:val="-1"/>
          <w:sz w:val="15"/>
          <w:szCs w:val="15"/>
        </w:rPr>
        <w:t>c</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div</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atm</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bar</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gr</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w:t>
      </w:r>
      <w:r>
        <w:rPr>
          <w:rFonts w:ascii="Times New Roman" w:hAnsi="Times New Roman" w:eastAsia="Times New Roman" w:cs="Times New Roman"/>
          <w:sz w:val="15"/>
          <w:szCs w:val="15"/>
        </w:rPr>
        <w:t>misc</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式中：</w:t>
      </w:r>
      <w:r>
        <w:rPr>
          <w:rFonts w:ascii="Times New Roman" w:hAnsi="Times New Roman" w:eastAsia="Times New Roman" w:cs="Times New Roman"/>
          <w:i/>
          <w:iCs/>
          <w:spacing w:val="-1"/>
          <w:sz w:val="24"/>
          <w:szCs w:val="24"/>
        </w:rPr>
        <w:t>L</w:t>
      </w:r>
      <w:r>
        <w:rPr>
          <w:rFonts w:ascii="Times New Roman" w:hAnsi="Times New Roman" w:eastAsia="Times New Roman" w:cs="Times New Roman"/>
          <w:i/>
          <w:iCs/>
          <w:spacing w:val="-1"/>
          <w:sz w:val="13"/>
          <w:szCs w:val="13"/>
        </w:rPr>
        <w:t>w</w:t>
      </w:r>
      <w:r>
        <w:rPr>
          <w:rFonts w:ascii="Times New Roman" w:hAnsi="Times New Roman" w:eastAsia="Times New Roman" w:cs="Times New Roman"/>
          <w:spacing w:val="-1"/>
          <w:sz w:val="24"/>
          <w:szCs w:val="24"/>
        </w:rPr>
        <w:t>-</w:t>
      </w:r>
      <w:r>
        <w:rPr>
          <w:rFonts w:ascii="宋体" w:hAnsi="宋体" w:eastAsia="宋体" w:cs="宋体"/>
          <w:spacing w:val="-1"/>
          <w:sz w:val="24"/>
          <w:szCs w:val="24"/>
        </w:rPr>
        <w:t>倍频带声功率级，</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p>
    <w:p w14:paraId="1BB37EAE">
      <w:pPr>
        <w:spacing w:before="59" w:line="360" w:lineRule="auto"/>
        <w:ind w:left="22" w:right="13" w:firstLine="464"/>
        <w:jc w:val="both"/>
        <w:rPr>
          <w:rFonts w:ascii="宋体" w:hAnsi="宋体" w:eastAsia="宋体" w:cs="宋体"/>
          <w:sz w:val="24"/>
          <w:szCs w:val="24"/>
        </w:rPr>
      </w:pPr>
      <w:r>
        <w:rPr>
          <w:rFonts w:ascii="Times New Roman" w:hAnsi="Times New Roman" w:eastAsia="Times New Roman" w:cs="Times New Roman"/>
          <w:i/>
          <w:iCs/>
          <w:sz w:val="24"/>
          <w:szCs w:val="24"/>
        </w:rPr>
        <w:t>D</w:t>
      </w:r>
      <w:r>
        <w:rPr>
          <w:rFonts w:ascii="Times New Roman" w:hAnsi="Times New Roman" w:eastAsia="Times New Roman" w:cs="Times New Roman"/>
          <w:i/>
          <w:iCs/>
          <w:sz w:val="13"/>
          <w:szCs w:val="13"/>
        </w:rPr>
        <w:t>c</w:t>
      </w:r>
      <w:r>
        <w:rPr>
          <w:rFonts w:ascii="Times New Roman" w:hAnsi="Times New Roman" w:eastAsia="Times New Roman" w:cs="Times New Roman"/>
          <w:spacing w:val="1"/>
          <w:sz w:val="24"/>
          <w:szCs w:val="24"/>
        </w:rPr>
        <w:t>-</w:t>
      </w:r>
      <w:r>
        <w:rPr>
          <w:rFonts w:ascii="宋体" w:hAnsi="宋体" w:eastAsia="宋体" w:cs="宋体"/>
          <w:spacing w:val="1"/>
          <w:sz w:val="24"/>
          <w:szCs w:val="24"/>
        </w:rPr>
        <w:t>指向性校正，</w:t>
      </w:r>
      <w:r>
        <w:rPr>
          <w:rFonts w:ascii="Times New Roman" w:hAnsi="Times New Roman" w:eastAsia="Times New Roman" w:cs="Times New Roman"/>
          <w:sz w:val="24"/>
          <w:szCs w:val="24"/>
        </w:rPr>
        <w:t>dB</w:t>
      </w:r>
      <w:r>
        <w:rPr>
          <w:rFonts w:ascii="宋体" w:hAnsi="宋体" w:eastAsia="宋体" w:cs="宋体"/>
          <w:spacing w:val="1"/>
          <w:sz w:val="24"/>
          <w:szCs w:val="24"/>
        </w:rPr>
        <w:t>；它描述点声源的等效连续声压级与产生声功率级的全</w:t>
      </w:r>
      <w:r>
        <w:rPr>
          <w:rFonts w:ascii="宋体" w:hAnsi="宋体" w:eastAsia="宋体" w:cs="宋体"/>
          <w:spacing w:val="10"/>
          <w:sz w:val="24"/>
          <w:szCs w:val="24"/>
        </w:rPr>
        <w:t xml:space="preserve"> </w:t>
      </w:r>
      <w:r>
        <w:rPr>
          <w:rFonts w:ascii="宋体" w:hAnsi="宋体" w:eastAsia="宋体" w:cs="宋体"/>
          <w:spacing w:val="2"/>
          <w:sz w:val="24"/>
          <w:szCs w:val="24"/>
        </w:rPr>
        <w:t>向点声源定方向的级的偏差程度。指向性校正等于点声源的指向性指数</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D</w:t>
      </w:r>
      <w:r>
        <w:rPr>
          <w:rFonts w:ascii="Times New Roman" w:hAnsi="Times New Roman" w:eastAsia="Times New Roman" w:cs="Times New Roman"/>
          <w:i/>
          <w:iCs/>
          <w:sz w:val="13"/>
          <w:szCs w:val="13"/>
        </w:rPr>
        <w:t>l</w:t>
      </w:r>
      <w:r>
        <w:rPr>
          <w:rFonts w:ascii="Times New Roman" w:hAnsi="Times New Roman" w:eastAsia="Times New Roman" w:cs="Times New Roman"/>
          <w:i/>
          <w:iCs/>
          <w:spacing w:val="13"/>
          <w:sz w:val="13"/>
          <w:szCs w:val="13"/>
        </w:rPr>
        <w:t xml:space="preserve"> </w:t>
      </w:r>
      <w:r>
        <w:rPr>
          <w:rFonts w:ascii="宋体" w:hAnsi="宋体" w:eastAsia="宋体" w:cs="宋体"/>
          <w:spacing w:val="2"/>
          <w:sz w:val="24"/>
          <w:szCs w:val="24"/>
        </w:rPr>
        <w:t>加上</w:t>
      </w:r>
      <w:r>
        <w:rPr>
          <w:rFonts w:ascii="宋体" w:hAnsi="宋体" w:eastAsia="宋体" w:cs="宋体"/>
          <w:sz w:val="24"/>
          <w:szCs w:val="24"/>
        </w:rPr>
        <w:t xml:space="preserve"> </w:t>
      </w:r>
      <w:r>
        <w:rPr>
          <w:rFonts w:ascii="宋体" w:hAnsi="宋体" w:eastAsia="宋体" w:cs="宋体"/>
          <w:spacing w:val="-3"/>
          <w:sz w:val="24"/>
          <w:szCs w:val="24"/>
        </w:rPr>
        <w:t>计到小于</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4π</w:t>
      </w:r>
      <w:r>
        <w:rPr>
          <w:rFonts w:ascii="宋体" w:hAnsi="宋体" w:eastAsia="宋体" w:cs="宋体"/>
          <w:spacing w:val="-3"/>
          <w:sz w:val="24"/>
          <w:szCs w:val="24"/>
        </w:rPr>
        <w:t>球面度（</w:t>
      </w:r>
      <w:r>
        <w:rPr>
          <w:rFonts w:ascii="Times New Roman" w:hAnsi="Times New Roman" w:eastAsia="Times New Roman" w:cs="Times New Roman"/>
          <w:spacing w:val="-3"/>
          <w:sz w:val="24"/>
          <w:szCs w:val="24"/>
        </w:rPr>
        <w:t>sr</w:t>
      </w:r>
      <w:r>
        <w:rPr>
          <w:rFonts w:ascii="宋体" w:hAnsi="宋体" w:eastAsia="宋体" w:cs="宋体"/>
          <w:spacing w:val="-3"/>
          <w:sz w:val="24"/>
          <w:szCs w:val="24"/>
        </w:rPr>
        <w:t>）立体角内的声传播指数。对辐射到自由空间的全向点声</w:t>
      </w:r>
      <w:r>
        <w:rPr>
          <w:rFonts w:ascii="宋体" w:hAnsi="宋体" w:eastAsia="宋体" w:cs="宋体"/>
          <w:sz w:val="24"/>
          <w:szCs w:val="24"/>
        </w:rPr>
        <w:t xml:space="preserve"> </w:t>
      </w:r>
      <w:r>
        <w:rPr>
          <w:rFonts w:ascii="宋体" w:hAnsi="宋体" w:eastAsia="宋体" w:cs="宋体"/>
          <w:spacing w:val="-1"/>
          <w:sz w:val="24"/>
          <w:szCs w:val="24"/>
        </w:rPr>
        <w:t>源，</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1"/>
          <w:sz w:val="13"/>
          <w:szCs w:val="13"/>
        </w:rPr>
        <w:t>c</w:t>
      </w:r>
      <w:r>
        <w:rPr>
          <w:rFonts w:ascii="Times New Roman" w:hAnsi="Times New Roman" w:eastAsia="Times New Roman" w:cs="Times New Roman"/>
          <w:spacing w:val="-1"/>
          <w:sz w:val="24"/>
          <w:szCs w:val="24"/>
        </w:rPr>
        <w:t>=0dB</w:t>
      </w:r>
      <w:r>
        <w:rPr>
          <w:rFonts w:ascii="宋体" w:hAnsi="宋体" w:eastAsia="宋体" w:cs="宋体"/>
          <w:spacing w:val="-1"/>
          <w:sz w:val="24"/>
          <w:szCs w:val="24"/>
        </w:rPr>
        <w:t>。</w:t>
      </w:r>
    </w:p>
    <w:p w14:paraId="1F271731">
      <w:pPr>
        <w:spacing w:before="1" w:line="219" w:lineRule="auto"/>
        <w:ind w:left="482"/>
        <w:rPr>
          <w:rFonts w:ascii="宋体" w:hAnsi="宋体" w:eastAsia="宋体" w:cs="宋体"/>
          <w:sz w:val="24"/>
          <w:szCs w:val="24"/>
        </w:rPr>
      </w:pPr>
      <w:r>
        <w:rPr>
          <w:rFonts w:ascii="Times New Roman" w:hAnsi="Times New Roman" w:eastAsia="Times New Roman" w:cs="Times New Roman"/>
          <w:i/>
          <w:iCs/>
          <w:spacing w:val="1"/>
          <w:sz w:val="24"/>
          <w:szCs w:val="24"/>
        </w:rPr>
        <w:t>A</w:t>
      </w:r>
      <w:r>
        <w:rPr>
          <w:rFonts w:ascii="Times New Roman" w:hAnsi="Times New Roman" w:eastAsia="Times New Roman" w:cs="Times New Roman"/>
          <w:spacing w:val="1"/>
          <w:sz w:val="24"/>
          <w:szCs w:val="24"/>
        </w:rPr>
        <w:t>-</w:t>
      </w:r>
      <w:r>
        <w:rPr>
          <w:rFonts w:ascii="宋体" w:hAnsi="宋体" w:eastAsia="宋体" w:cs="宋体"/>
          <w:spacing w:val="1"/>
          <w:sz w:val="24"/>
          <w:szCs w:val="24"/>
        </w:rPr>
        <w:t>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5E5ADCFF">
      <w:pPr>
        <w:spacing w:before="183" w:line="225"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div</w:t>
      </w:r>
      <w:r>
        <w:rPr>
          <w:rFonts w:ascii="Times New Roman" w:hAnsi="Times New Roman" w:eastAsia="Times New Roman" w:cs="Times New Roman"/>
          <w:spacing w:val="1"/>
          <w:sz w:val="24"/>
          <w:szCs w:val="24"/>
        </w:rPr>
        <w:t>-</w:t>
      </w:r>
      <w:r>
        <w:rPr>
          <w:rFonts w:ascii="宋体" w:hAnsi="宋体" w:eastAsia="宋体" w:cs="宋体"/>
          <w:spacing w:val="1"/>
          <w:sz w:val="24"/>
          <w:szCs w:val="24"/>
        </w:rPr>
        <w:t>几何发散引起的倍频带衰减，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2D1E46E3">
      <w:pPr>
        <w:spacing w:before="175" w:line="219"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atm</w:t>
      </w:r>
      <w:r>
        <w:rPr>
          <w:rFonts w:ascii="Times New Roman" w:hAnsi="Times New Roman" w:eastAsia="Times New Roman" w:cs="Times New Roman"/>
          <w:spacing w:val="1"/>
          <w:sz w:val="24"/>
          <w:szCs w:val="24"/>
        </w:rPr>
        <w:t>-</w:t>
      </w:r>
      <w:r>
        <w:rPr>
          <w:rFonts w:ascii="宋体" w:hAnsi="宋体" w:eastAsia="宋体" w:cs="宋体"/>
          <w:spacing w:val="1"/>
          <w:sz w:val="24"/>
          <w:szCs w:val="24"/>
        </w:rPr>
        <w:t>大气吸收引起的倍频带衰减，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02B19FFD">
      <w:pPr>
        <w:spacing w:before="183" w:line="217"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gr</w:t>
      </w:r>
      <w:r>
        <w:rPr>
          <w:rFonts w:ascii="Times New Roman" w:hAnsi="Times New Roman" w:eastAsia="Times New Roman" w:cs="Times New Roman"/>
          <w:spacing w:val="1"/>
          <w:sz w:val="24"/>
          <w:szCs w:val="24"/>
        </w:rPr>
        <w:t>-</w:t>
      </w:r>
      <w:r>
        <w:rPr>
          <w:rFonts w:ascii="宋体" w:hAnsi="宋体" w:eastAsia="宋体" w:cs="宋体"/>
          <w:spacing w:val="1"/>
          <w:sz w:val="24"/>
          <w:szCs w:val="24"/>
        </w:rPr>
        <w:t>地面效应引起的倍频带衰减，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741D627A">
      <w:pPr>
        <w:spacing w:before="187" w:line="226"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bar</w:t>
      </w:r>
      <w:r>
        <w:rPr>
          <w:rFonts w:ascii="Times New Roman" w:hAnsi="Times New Roman" w:eastAsia="Times New Roman" w:cs="Times New Roman"/>
          <w:spacing w:val="1"/>
          <w:sz w:val="24"/>
          <w:szCs w:val="24"/>
        </w:rPr>
        <w:t>-</w:t>
      </w:r>
      <w:r>
        <w:rPr>
          <w:rFonts w:ascii="宋体" w:hAnsi="宋体" w:eastAsia="宋体" w:cs="宋体"/>
          <w:spacing w:val="1"/>
          <w:sz w:val="24"/>
          <w:szCs w:val="24"/>
        </w:rPr>
        <w:t>声屏障引起的倍频带衰减，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10FB2A14">
      <w:pPr>
        <w:spacing w:before="174" w:line="219" w:lineRule="auto"/>
        <w:ind w:left="482"/>
        <w:rPr>
          <w:rFonts w:ascii="宋体" w:hAnsi="宋体" w:eastAsia="宋体" w:cs="宋体"/>
          <w:sz w:val="24"/>
          <w:szCs w:val="24"/>
        </w:rPr>
      </w:pPr>
      <w:r>
        <w:rPr>
          <w:rFonts w:ascii="Times New Roman" w:hAnsi="Times New Roman" w:eastAsia="Times New Roman" w:cs="Times New Roman"/>
          <w:i/>
          <w:iCs/>
          <w:sz w:val="24"/>
          <w:szCs w:val="24"/>
        </w:rPr>
        <w:t>A</w:t>
      </w:r>
      <w:r>
        <w:rPr>
          <w:rFonts w:ascii="Times New Roman" w:hAnsi="Times New Roman" w:eastAsia="Times New Roman" w:cs="Times New Roman"/>
          <w:i/>
          <w:iCs/>
          <w:sz w:val="13"/>
          <w:szCs w:val="13"/>
        </w:rPr>
        <w:t>misc</w:t>
      </w:r>
      <w:r>
        <w:rPr>
          <w:rFonts w:ascii="Times New Roman" w:hAnsi="Times New Roman" w:eastAsia="Times New Roman" w:cs="Times New Roman"/>
          <w:spacing w:val="1"/>
          <w:sz w:val="24"/>
          <w:szCs w:val="24"/>
        </w:rPr>
        <w:t>-</w:t>
      </w:r>
      <w:r>
        <w:rPr>
          <w:rFonts w:ascii="宋体" w:hAnsi="宋体" w:eastAsia="宋体" w:cs="宋体"/>
          <w:spacing w:val="1"/>
          <w:sz w:val="24"/>
          <w:szCs w:val="24"/>
        </w:rPr>
        <w:t>其他多方面效应引起的倍频带衰减，</w:t>
      </w:r>
      <w:r>
        <w:rPr>
          <w:rFonts w:ascii="Times New Roman" w:hAnsi="Times New Roman" w:eastAsia="Times New Roman" w:cs="Times New Roman"/>
          <w:sz w:val="24"/>
          <w:szCs w:val="24"/>
        </w:rPr>
        <w:t>dB</w:t>
      </w:r>
      <w:r>
        <w:rPr>
          <w:rFonts w:ascii="宋体" w:hAnsi="宋体" w:eastAsia="宋体" w:cs="宋体"/>
          <w:spacing w:val="1"/>
          <w:sz w:val="24"/>
          <w:szCs w:val="24"/>
        </w:rPr>
        <w:t>。</w:t>
      </w:r>
    </w:p>
    <w:p w14:paraId="57B28DC3">
      <w:pPr>
        <w:spacing w:before="183" w:line="219" w:lineRule="auto"/>
        <w:ind w:left="493"/>
        <w:rPr>
          <w:rFonts w:ascii="宋体" w:hAnsi="宋体" w:eastAsia="宋体" w:cs="宋体"/>
          <w:sz w:val="24"/>
          <w:szCs w:val="24"/>
        </w:rPr>
      </w:pPr>
      <w:r>
        <w:rPr>
          <w:rFonts w:ascii="Times New Roman" w:hAnsi="Times New Roman" w:eastAsia="Times New Roman" w:cs="Times New Roman"/>
          <w:spacing w:val="-2"/>
          <w:sz w:val="24"/>
          <w:szCs w:val="24"/>
        </w:rPr>
        <w:t>b.</w:t>
      </w:r>
      <w:r>
        <w:rPr>
          <w:rFonts w:ascii="Times New Roman" w:hAnsi="Times New Roman" w:eastAsia="Times New Roman" w:cs="Times New Roman"/>
          <w:spacing w:val="-8"/>
          <w:sz w:val="24"/>
          <w:szCs w:val="24"/>
        </w:rPr>
        <w:t xml:space="preserve"> </w:t>
      </w:r>
      <w:r>
        <w:rPr>
          <w:rFonts w:ascii="宋体" w:hAnsi="宋体" w:eastAsia="宋体" w:cs="宋体"/>
          <w:spacing w:val="-2"/>
          <w:sz w:val="24"/>
          <w:szCs w:val="24"/>
        </w:rPr>
        <w:t>由各倍频带声压级合成计算出该声源产生的</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声级</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1"/>
          <w:sz w:val="15"/>
          <w:szCs w:val="15"/>
        </w:rPr>
        <w:t>A</w:t>
      </w:r>
      <w:r>
        <w:rPr>
          <w:rFonts w:ascii="宋体" w:hAnsi="宋体" w:eastAsia="宋体" w:cs="宋体"/>
          <w:spacing w:val="-2"/>
          <w:sz w:val="24"/>
          <w:szCs w:val="24"/>
        </w:rPr>
        <w:t>。</w:t>
      </w:r>
    </w:p>
    <w:p w14:paraId="4F7B3628">
      <w:pPr>
        <w:spacing w:before="183" w:line="217" w:lineRule="auto"/>
        <w:ind w:left="501"/>
        <w:rPr>
          <w:rFonts w:ascii="宋体" w:hAnsi="宋体" w:eastAsia="宋体" w:cs="宋体"/>
          <w:sz w:val="24"/>
          <w:szCs w:val="24"/>
        </w:rPr>
      </w:pPr>
      <w:r>
        <w:rPr>
          <w:rFonts w:ascii="宋体" w:hAnsi="宋体" w:eastAsia="宋体" w:cs="宋体"/>
          <w:spacing w:val="-2"/>
          <w:sz w:val="24"/>
          <w:szCs w:val="24"/>
        </w:rPr>
        <w:t>②室内声源</w:t>
      </w:r>
    </w:p>
    <w:p w14:paraId="316C9631">
      <w:pPr>
        <w:spacing w:before="186" w:line="219" w:lineRule="auto"/>
        <w:ind w:left="502"/>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室内声源等效室外声源声功率级计算：</w:t>
      </w:r>
    </w:p>
    <w:p w14:paraId="6DF057FC">
      <w:pPr>
        <w:spacing w:before="183" w:line="349" w:lineRule="auto"/>
        <w:ind w:left="24" w:right="13" w:firstLine="483"/>
        <w:jc w:val="both"/>
        <w:rPr>
          <w:rFonts w:ascii="宋体" w:hAnsi="宋体" w:eastAsia="宋体" w:cs="宋体"/>
          <w:sz w:val="24"/>
          <w:szCs w:val="24"/>
        </w:rPr>
      </w:pPr>
      <w:r>
        <w:rPr>
          <w:rFonts w:ascii="宋体" w:hAnsi="宋体" w:eastAsia="宋体" w:cs="宋体"/>
          <w:spacing w:val="-3"/>
          <w:sz w:val="24"/>
          <w:szCs w:val="24"/>
        </w:rPr>
        <w:t>声源位于室内，室内声源可采用等效室外声源声功率</w:t>
      </w:r>
      <w:r>
        <w:rPr>
          <w:rFonts w:ascii="宋体" w:hAnsi="宋体" w:eastAsia="宋体" w:cs="宋体"/>
          <w:spacing w:val="-4"/>
          <w:sz w:val="24"/>
          <w:szCs w:val="24"/>
        </w:rPr>
        <w:t>级法进行计算。设靠近</w:t>
      </w:r>
      <w:r>
        <w:rPr>
          <w:rFonts w:ascii="宋体" w:hAnsi="宋体" w:eastAsia="宋体" w:cs="宋体"/>
          <w:sz w:val="24"/>
          <w:szCs w:val="24"/>
        </w:rPr>
        <w:t xml:space="preserve"> </w:t>
      </w:r>
      <w:r>
        <w:rPr>
          <w:rFonts w:ascii="宋体" w:hAnsi="宋体" w:eastAsia="宋体" w:cs="宋体"/>
          <w:spacing w:val="-3"/>
          <w:sz w:val="24"/>
          <w:szCs w:val="24"/>
        </w:rPr>
        <w:t>开口处（或窗户）室内、室外某倍频带的声压级分别为</w:t>
      </w:r>
      <w:r>
        <w:rPr>
          <w:rFonts w:ascii="宋体" w:hAnsi="宋体" w:eastAsia="宋体" w:cs="宋体"/>
          <w:spacing w:val="-61"/>
          <w:sz w:val="24"/>
          <w:szCs w:val="24"/>
        </w:rPr>
        <w:t xml:space="preserve"> </w:t>
      </w:r>
      <w:r>
        <w:rPr>
          <w:rFonts w:ascii="Times New Roman" w:hAnsi="Times New Roman" w:eastAsia="Times New Roman" w:cs="Times New Roman"/>
          <w:i/>
          <w:iCs/>
          <w:spacing w:val="-3"/>
          <w:sz w:val="24"/>
          <w:szCs w:val="24"/>
        </w:rPr>
        <w:t>L</w:t>
      </w:r>
      <w:r>
        <w:rPr>
          <w:rFonts w:ascii="Times New Roman" w:hAnsi="Times New Roman" w:eastAsia="Times New Roman" w:cs="Times New Roman"/>
          <w:i/>
          <w:iCs/>
          <w:spacing w:val="-3"/>
          <w:position w:val="-1"/>
          <w:sz w:val="15"/>
          <w:szCs w:val="15"/>
        </w:rPr>
        <w:t>p</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13"/>
          <w:position w:val="-1"/>
          <w:sz w:val="15"/>
          <w:szCs w:val="15"/>
        </w:rPr>
        <w:t xml:space="preserve"> </w:t>
      </w:r>
      <w:r>
        <w:rPr>
          <w:rFonts w:ascii="宋体" w:hAnsi="宋体" w:eastAsia="宋体" w:cs="宋体"/>
          <w:spacing w:val="-3"/>
          <w:sz w:val="24"/>
          <w:szCs w:val="24"/>
        </w:rPr>
        <w:t>和</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L</w:t>
      </w:r>
      <w:r>
        <w:rPr>
          <w:rFonts w:ascii="Times New Roman" w:hAnsi="Times New Roman" w:eastAsia="Times New Roman" w:cs="Times New Roman"/>
          <w:i/>
          <w:iCs/>
          <w:spacing w:val="-3"/>
          <w:position w:val="-1"/>
          <w:sz w:val="15"/>
          <w:szCs w:val="15"/>
        </w:rPr>
        <w:t>p</w:t>
      </w:r>
      <w:r>
        <w:rPr>
          <w:rFonts w:ascii="Times New Roman" w:hAnsi="Times New Roman" w:eastAsia="Times New Roman" w:cs="Times New Roman"/>
          <w:spacing w:val="-3"/>
          <w:position w:val="-1"/>
          <w:sz w:val="15"/>
          <w:szCs w:val="15"/>
        </w:rPr>
        <w:t>2</w:t>
      </w:r>
      <w:r>
        <w:rPr>
          <w:rFonts w:ascii="宋体" w:hAnsi="宋体" w:eastAsia="宋体" w:cs="宋体"/>
          <w:spacing w:val="-3"/>
          <w:sz w:val="24"/>
          <w:szCs w:val="24"/>
        </w:rPr>
        <w:t>。若声源所在室</w:t>
      </w:r>
      <w:r>
        <w:rPr>
          <w:rFonts w:ascii="宋体" w:hAnsi="宋体" w:eastAsia="宋体" w:cs="宋体"/>
          <w:sz w:val="24"/>
          <w:szCs w:val="24"/>
        </w:rPr>
        <w:t xml:space="preserve"> </w:t>
      </w:r>
      <w:r>
        <w:rPr>
          <w:rFonts w:ascii="宋体" w:hAnsi="宋体" w:eastAsia="宋体" w:cs="宋体"/>
          <w:spacing w:val="-1"/>
          <w:sz w:val="24"/>
          <w:szCs w:val="24"/>
        </w:rPr>
        <w:t>内声场为近似扩散声场，则室外的倍频带声压级可近似求出：</w:t>
      </w:r>
    </w:p>
    <w:p w14:paraId="769D9D6A">
      <w:pPr>
        <w:spacing w:line="323" w:lineRule="exact"/>
        <w:ind w:left="486"/>
        <w:rPr>
          <w:rFonts w:ascii="宋体" w:hAnsi="宋体" w:eastAsia="宋体" w:cs="宋体"/>
          <w:sz w:val="24"/>
          <w:szCs w:val="24"/>
        </w:rPr>
      </w:pPr>
      <w:r>
        <w:rPr>
          <w:rFonts w:ascii="Times New Roman" w:hAnsi="Times New Roman" w:eastAsia="Times New Roman" w:cs="Times New Roman"/>
          <w:i/>
          <w:iCs/>
          <w:position w:val="3"/>
          <w:sz w:val="24"/>
          <w:szCs w:val="24"/>
        </w:rPr>
        <w:t>L</w:t>
      </w:r>
      <w:r>
        <w:rPr>
          <w:rFonts w:ascii="Times New Roman" w:hAnsi="Times New Roman" w:eastAsia="Times New Roman" w:cs="Times New Roman"/>
          <w:i/>
          <w:iCs/>
          <w:position w:val="2"/>
          <w:sz w:val="15"/>
          <w:szCs w:val="15"/>
        </w:rPr>
        <w:t>p</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i/>
          <w:iCs/>
          <w:position w:val="3"/>
          <w:sz w:val="24"/>
          <w:szCs w:val="24"/>
        </w:rPr>
        <w:t>L</w:t>
      </w:r>
      <w:r>
        <w:rPr>
          <w:rFonts w:ascii="Times New Roman" w:hAnsi="Times New Roman" w:eastAsia="Times New Roman" w:cs="Times New Roman"/>
          <w:i/>
          <w:iCs/>
          <w:position w:val="2"/>
          <w:sz w:val="15"/>
          <w:szCs w:val="15"/>
        </w:rPr>
        <w:t>p</w:t>
      </w:r>
      <w:r>
        <w:rPr>
          <w:rFonts w:ascii="Times New Roman" w:hAnsi="Times New Roman" w:eastAsia="Times New Roman" w:cs="Times New Roman"/>
          <w:spacing w:val="1"/>
          <w:position w:val="2"/>
          <w:sz w:val="15"/>
          <w:szCs w:val="15"/>
        </w:rPr>
        <w:t>1</w:t>
      </w:r>
      <w:r>
        <w:rPr>
          <w:rFonts w:ascii="Times New Roman" w:hAnsi="Times New Roman" w:eastAsia="Times New Roman" w:cs="Times New Roman"/>
          <w:spacing w:val="1"/>
          <w:position w:val="3"/>
          <w:sz w:val="24"/>
          <w:szCs w:val="24"/>
        </w:rPr>
        <w:t>-</w:t>
      </w:r>
      <w:r>
        <w:rPr>
          <w:rFonts w:ascii="宋体" w:hAnsi="宋体" w:eastAsia="宋体" w:cs="宋体"/>
          <w:spacing w:val="1"/>
          <w:position w:val="3"/>
          <w:sz w:val="24"/>
          <w:szCs w:val="24"/>
        </w:rPr>
        <w:t>（</w:t>
      </w:r>
      <w:r>
        <w:rPr>
          <w:rFonts w:ascii="Times New Roman" w:hAnsi="Times New Roman" w:eastAsia="Times New Roman" w:cs="Times New Roman"/>
          <w:position w:val="3"/>
          <w:sz w:val="24"/>
          <w:szCs w:val="24"/>
        </w:rPr>
        <w:t>TL</w:t>
      </w:r>
      <w:r>
        <w:rPr>
          <w:rFonts w:ascii="Times New Roman" w:hAnsi="Times New Roman" w:eastAsia="Times New Roman" w:cs="Times New Roman"/>
          <w:spacing w:val="1"/>
          <w:position w:val="3"/>
          <w:sz w:val="24"/>
          <w:szCs w:val="24"/>
        </w:rPr>
        <w:t>+6</w:t>
      </w:r>
      <w:r>
        <w:rPr>
          <w:rFonts w:ascii="宋体" w:hAnsi="宋体" w:eastAsia="宋体" w:cs="宋体"/>
          <w:spacing w:val="1"/>
          <w:position w:val="3"/>
          <w:sz w:val="24"/>
          <w:szCs w:val="24"/>
        </w:rPr>
        <w:t>）</w:t>
      </w:r>
    </w:p>
    <w:p w14:paraId="5A27E949">
      <w:pPr>
        <w:spacing w:before="189" w:line="219" w:lineRule="auto"/>
        <w:ind w:left="50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i/>
          <w:iCs/>
          <w:spacing w:val="-1"/>
          <w:sz w:val="24"/>
          <w:szCs w:val="24"/>
        </w:rPr>
        <w:t>TL</w:t>
      </w:r>
      <w:r>
        <w:rPr>
          <w:rFonts w:ascii="Times New Roman" w:hAnsi="Times New Roman" w:eastAsia="Times New Roman" w:cs="Times New Roman"/>
          <w:spacing w:val="-1"/>
          <w:sz w:val="24"/>
          <w:szCs w:val="24"/>
        </w:rPr>
        <w:t>-</w:t>
      </w:r>
      <w:r>
        <w:rPr>
          <w:rFonts w:ascii="宋体" w:hAnsi="宋体" w:eastAsia="宋体" w:cs="宋体"/>
          <w:spacing w:val="-1"/>
          <w:sz w:val="24"/>
          <w:szCs w:val="24"/>
        </w:rPr>
        <w:t>隔墙（或窗户）倍频带的隔声量，</w:t>
      </w:r>
      <w:r>
        <w:rPr>
          <w:rFonts w:ascii="Times New Roman" w:hAnsi="Times New Roman" w:eastAsia="Times New Roman" w:cs="Times New Roman"/>
          <w:spacing w:val="-1"/>
          <w:sz w:val="24"/>
          <w:szCs w:val="24"/>
        </w:rPr>
        <w:t>dB</w:t>
      </w:r>
      <w:r>
        <w:rPr>
          <w:rFonts w:ascii="宋体" w:hAnsi="宋体" w:eastAsia="宋体" w:cs="宋体"/>
          <w:spacing w:val="-1"/>
          <w:sz w:val="24"/>
          <w:szCs w:val="24"/>
        </w:rPr>
        <w:t>。</w:t>
      </w:r>
    </w:p>
    <w:p w14:paraId="3A8A1354">
      <w:pPr>
        <w:spacing w:before="183" w:line="219" w:lineRule="auto"/>
        <w:ind w:left="493"/>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某一室内声源靠近围护结构处产生的倍频带声压级：</w:t>
      </w:r>
    </w:p>
    <w:p w14:paraId="07309393">
      <w:pPr>
        <w:spacing w:before="138" w:line="705" w:lineRule="exact"/>
        <w:ind w:left="530"/>
      </w:pPr>
      <w:r>
        <w:rPr>
          <w:position w:val="-14"/>
        </w:rPr>
        <w:drawing>
          <wp:inline distT="0" distB="0" distL="0" distR="0">
            <wp:extent cx="1732915" cy="44704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529"/>
                    <a:stretch>
                      <a:fillRect/>
                    </a:stretch>
                  </pic:blipFill>
                  <pic:spPr>
                    <a:xfrm>
                      <a:off x="0" y="0"/>
                      <a:ext cx="1733049" cy="447593"/>
                    </a:xfrm>
                    <a:prstGeom prst="rect">
                      <a:avLst/>
                    </a:prstGeom>
                  </pic:spPr>
                </pic:pic>
              </a:graphicData>
            </a:graphic>
          </wp:inline>
        </w:drawing>
      </w:r>
    </w:p>
    <w:p w14:paraId="7A11638B">
      <w:pPr>
        <w:spacing w:line="705" w:lineRule="exact"/>
        <w:sectPr>
          <w:headerReference r:id="rId328" w:type="default"/>
          <w:footerReference r:id="rId329" w:type="default"/>
          <w:pgSz w:w="11906" w:h="16839"/>
          <w:pgMar w:top="1208" w:right="1785" w:bottom="1358" w:left="1785" w:header="825" w:footer="1195" w:gutter="0"/>
          <w:cols w:space="720" w:num="1"/>
        </w:sectPr>
      </w:pPr>
    </w:p>
    <w:p w14:paraId="7AFD36EE">
      <w:pPr>
        <w:pStyle w:val="2"/>
        <w:spacing w:line="265" w:lineRule="auto"/>
      </w:pPr>
    </w:p>
    <w:p w14:paraId="2F0FA1B8">
      <w:pPr>
        <w:spacing w:before="78" w:line="226" w:lineRule="auto"/>
        <w:ind w:left="508"/>
        <w:rPr>
          <w:rFonts w:ascii="宋体" w:hAnsi="宋体" w:eastAsia="宋体" w:cs="宋体"/>
          <w:sz w:val="24"/>
          <w:szCs w:val="24"/>
        </w:rPr>
      </w:pPr>
      <w:r>
        <w:rPr>
          <w:rFonts w:ascii="宋体" w:hAnsi="宋体" w:eastAsia="宋体" w:cs="宋体"/>
          <w:sz w:val="24"/>
          <w:szCs w:val="24"/>
        </w:rPr>
        <w:t>式中：</w:t>
      </w:r>
      <w:r>
        <w:rPr>
          <w:rFonts w:ascii="Times New Roman" w:hAnsi="Times New Roman" w:eastAsia="Times New Roman" w:cs="Times New Roman"/>
          <w:sz w:val="24"/>
          <w:szCs w:val="24"/>
        </w:rPr>
        <w:t>L</w:t>
      </w:r>
      <w:r>
        <w:rPr>
          <w:rFonts w:ascii="Times New Roman" w:hAnsi="Times New Roman" w:eastAsia="Times New Roman" w:cs="Times New Roman"/>
          <w:sz w:val="15"/>
          <w:szCs w:val="15"/>
        </w:rPr>
        <w:t>p1</w:t>
      </w:r>
      <w:r>
        <w:rPr>
          <w:rFonts w:ascii="Times New Roman" w:hAnsi="Times New Roman" w:eastAsia="Times New Roman" w:cs="Times New Roman"/>
          <w:sz w:val="24"/>
          <w:szCs w:val="24"/>
        </w:rPr>
        <w:t>-</w:t>
      </w:r>
      <w:r>
        <w:rPr>
          <w:rFonts w:ascii="宋体" w:hAnsi="宋体" w:eastAsia="宋体" w:cs="宋体"/>
          <w:sz w:val="24"/>
          <w:szCs w:val="24"/>
        </w:rPr>
        <w:t>某个室内声源在靠近围护结构</w:t>
      </w:r>
      <w:r>
        <w:rPr>
          <w:rFonts w:ascii="宋体" w:hAnsi="宋体" w:eastAsia="宋体" w:cs="宋体"/>
          <w:spacing w:val="-1"/>
          <w:sz w:val="24"/>
          <w:szCs w:val="24"/>
        </w:rPr>
        <w:t>处产生的倍频带声压级；</w:t>
      </w:r>
    </w:p>
    <w:p w14:paraId="19CE4AD4">
      <w:pPr>
        <w:spacing w:before="174" w:line="219" w:lineRule="auto"/>
        <w:ind w:left="1218"/>
        <w:rPr>
          <w:rFonts w:ascii="宋体" w:hAnsi="宋体" w:eastAsia="宋体" w:cs="宋体"/>
          <w:sz w:val="24"/>
          <w:szCs w:val="24"/>
        </w:rPr>
      </w:pP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w</w:t>
      </w:r>
      <w:r>
        <w:rPr>
          <w:rFonts w:ascii="Times New Roman" w:hAnsi="Times New Roman" w:eastAsia="Times New Roman" w:cs="Times New Roman"/>
          <w:spacing w:val="-1"/>
          <w:sz w:val="24"/>
          <w:szCs w:val="24"/>
        </w:rPr>
        <w:t>-</w:t>
      </w:r>
      <w:r>
        <w:rPr>
          <w:rFonts w:ascii="宋体" w:hAnsi="宋体" w:eastAsia="宋体" w:cs="宋体"/>
          <w:spacing w:val="-1"/>
          <w:sz w:val="24"/>
          <w:szCs w:val="24"/>
        </w:rPr>
        <w:t>某个声源的倍频带声功率级；</w:t>
      </w:r>
    </w:p>
    <w:p w14:paraId="5B07733F">
      <w:pPr>
        <w:spacing w:before="183" w:line="219" w:lineRule="auto"/>
        <w:ind w:left="1215"/>
        <w:rPr>
          <w:rFonts w:ascii="宋体" w:hAnsi="宋体" w:eastAsia="宋体" w:cs="宋体"/>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sz w:val="15"/>
          <w:szCs w:val="15"/>
        </w:rPr>
        <w:t>1</w:t>
      </w:r>
      <w:r>
        <w:rPr>
          <w:rFonts w:ascii="Times New Roman" w:hAnsi="Times New Roman" w:eastAsia="Times New Roman" w:cs="Times New Roman"/>
          <w:sz w:val="24"/>
          <w:szCs w:val="24"/>
        </w:rPr>
        <w:t>-</w:t>
      </w:r>
      <w:r>
        <w:rPr>
          <w:rFonts w:ascii="宋体" w:hAnsi="宋体" w:eastAsia="宋体" w:cs="宋体"/>
          <w:sz w:val="24"/>
          <w:szCs w:val="24"/>
        </w:rPr>
        <w:t>室内某个声源与靠近结构围护处的距离（</w:t>
      </w:r>
      <w:r>
        <w:rPr>
          <w:rFonts w:ascii="Times New Roman" w:hAnsi="Times New Roman" w:eastAsia="Times New Roman" w:cs="Times New Roman"/>
          <w:sz w:val="24"/>
          <w:szCs w:val="24"/>
        </w:rPr>
        <w:t>m</w:t>
      </w:r>
      <w:r>
        <w:rPr>
          <w:rFonts w:ascii="Times New Roman" w:hAnsi="Times New Roman" w:eastAsia="Times New Roman" w:cs="Times New Roman"/>
          <w:spacing w:val="-24"/>
          <w:sz w:val="24"/>
          <w:szCs w:val="24"/>
        </w:rPr>
        <w:t xml:space="preserve"> </w:t>
      </w:r>
      <w:r>
        <w:rPr>
          <w:rFonts w:ascii="宋体" w:hAnsi="宋体" w:eastAsia="宋体" w:cs="宋体"/>
          <w:spacing w:val="-18"/>
          <w:sz w:val="24"/>
          <w:szCs w:val="24"/>
        </w:rPr>
        <w:t>）；</w:t>
      </w:r>
    </w:p>
    <w:p w14:paraId="24474602">
      <w:pPr>
        <w:spacing w:before="183" w:line="219" w:lineRule="auto"/>
        <w:ind w:left="1218"/>
        <w:rPr>
          <w:rFonts w:ascii="宋体" w:hAnsi="宋体" w:eastAsia="宋体" w:cs="宋体"/>
          <w:sz w:val="24"/>
          <w:szCs w:val="24"/>
        </w:rPr>
      </w:pPr>
      <w:r>
        <w:rPr>
          <w:rFonts w:ascii="Times New Roman" w:hAnsi="Times New Roman" w:eastAsia="Times New Roman" w:cs="Times New Roman"/>
          <w:spacing w:val="-1"/>
          <w:sz w:val="24"/>
          <w:szCs w:val="24"/>
        </w:rPr>
        <w:t>R-</w:t>
      </w:r>
      <w:r>
        <w:rPr>
          <w:rFonts w:ascii="宋体" w:hAnsi="宋体" w:eastAsia="宋体" w:cs="宋体"/>
          <w:spacing w:val="-1"/>
          <w:sz w:val="24"/>
          <w:szCs w:val="24"/>
        </w:rPr>
        <w:t>房间常数；</w:t>
      </w:r>
    </w:p>
    <w:p w14:paraId="566C22C0">
      <w:pPr>
        <w:spacing w:before="182" w:line="212" w:lineRule="auto"/>
        <w:ind w:left="1222"/>
        <w:rPr>
          <w:rFonts w:ascii="宋体" w:hAnsi="宋体" w:eastAsia="宋体" w:cs="宋体"/>
          <w:sz w:val="24"/>
          <w:szCs w:val="24"/>
        </w:rPr>
      </w:pPr>
      <w:r>
        <w:rPr>
          <w:rFonts w:ascii="Times New Roman" w:hAnsi="Times New Roman" w:eastAsia="Times New Roman" w:cs="Times New Roman"/>
          <w:spacing w:val="-2"/>
          <w:sz w:val="24"/>
          <w:szCs w:val="24"/>
        </w:rPr>
        <w:t>Q-</w:t>
      </w:r>
      <w:r>
        <w:rPr>
          <w:rFonts w:ascii="宋体" w:hAnsi="宋体" w:eastAsia="宋体" w:cs="宋体"/>
          <w:spacing w:val="-2"/>
          <w:sz w:val="24"/>
          <w:szCs w:val="24"/>
        </w:rPr>
        <w:t>方向性因子。</w:t>
      </w:r>
    </w:p>
    <w:p w14:paraId="7E7C5894">
      <w:pPr>
        <w:spacing w:before="193" w:line="219" w:lineRule="auto"/>
        <w:ind w:left="502"/>
        <w:rPr>
          <w:rFonts w:ascii="宋体" w:hAnsi="宋体" w:eastAsia="宋体" w:cs="宋体"/>
          <w:sz w:val="24"/>
          <w:szCs w:val="24"/>
        </w:rPr>
      </w:pPr>
      <w:r>
        <w:rPr>
          <w:rFonts w:ascii="Times New Roman" w:hAnsi="Times New Roman" w:eastAsia="Times New Roman" w:cs="Times New Roman"/>
          <w:sz w:val="24"/>
          <w:szCs w:val="24"/>
        </w:rPr>
        <w:t>c.</w:t>
      </w:r>
      <w:r>
        <w:rPr>
          <w:rFonts w:ascii="宋体" w:hAnsi="宋体" w:eastAsia="宋体" w:cs="宋体"/>
          <w:sz w:val="24"/>
          <w:szCs w:val="24"/>
        </w:rPr>
        <w:t>计算出所有室内声源在靠近围护结构处</w:t>
      </w:r>
      <w:r>
        <w:rPr>
          <w:rFonts w:ascii="宋体" w:hAnsi="宋体" w:eastAsia="宋体" w:cs="宋体"/>
          <w:spacing w:val="-1"/>
          <w:sz w:val="24"/>
          <w:szCs w:val="24"/>
        </w:rPr>
        <w:t>产生的总倍频带声压级：</w:t>
      </w:r>
    </w:p>
    <w:p w14:paraId="27751022">
      <w:pPr>
        <w:spacing w:before="142" w:line="671" w:lineRule="exact"/>
        <w:ind w:left="546"/>
      </w:pPr>
      <w:r>
        <w:rPr>
          <w:position w:val="-13"/>
        </w:rPr>
        <w:drawing>
          <wp:inline distT="0" distB="0" distL="0" distR="0">
            <wp:extent cx="2193925" cy="42545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530"/>
                    <a:stretch>
                      <a:fillRect/>
                    </a:stretch>
                  </pic:blipFill>
                  <pic:spPr>
                    <a:xfrm>
                      <a:off x="0" y="0"/>
                      <a:ext cx="2194404" cy="425763"/>
                    </a:xfrm>
                    <a:prstGeom prst="rect">
                      <a:avLst/>
                    </a:prstGeom>
                  </pic:spPr>
                </pic:pic>
              </a:graphicData>
            </a:graphic>
          </wp:inline>
        </w:drawing>
      </w:r>
    </w:p>
    <w:p w14:paraId="0735BBA1">
      <w:pPr>
        <w:pStyle w:val="2"/>
        <w:spacing w:line="260" w:lineRule="auto"/>
      </w:pPr>
    </w:p>
    <w:p w14:paraId="3C94A7AD">
      <w:pPr>
        <w:spacing w:before="78" w:line="219" w:lineRule="auto"/>
        <w:ind w:left="502"/>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计算出室外靠近围护结构处的声压级：</w:t>
      </w:r>
    </w:p>
    <w:p w14:paraId="28DA0E49">
      <w:pPr>
        <w:spacing w:before="156" w:line="170" w:lineRule="auto"/>
        <w:ind w:left="546"/>
        <w:rPr>
          <w:rFonts w:ascii="Times New Roman" w:hAnsi="Times New Roman" w:eastAsia="Times New Roman" w:cs="Times New Roman"/>
          <w:sz w:val="29"/>
          <w:szCs w:val="29"/>
        </w:rPr>
      </w:pPr>
      <w:r>
        <w:rPr>
          <w:rFonts w:ascii="Times New Roman" w:hAnsi="Times New Roman" w:eastAsia="Times New Roman" w:cs="Times New Roman"/>
          <w:i/>
          <w:iCs/>
          <w:sz w:val="29"/>
          <w:szCs w:val="29"/>
        </w:rPr>
        <w:t>L</w:t>
      </w:r>
      <w:r>
        <w:rPr>
          <w:rFonts w:ascii="Times New Roman" w:hAnsi="Times New Roman" w:eastAsia="Times New Roman" w:cs="Times New Roman"/>
          <w:i/>
          <w:iCs/>
          <w:position w:val="-6"/>
          <w:sz w:val="17"/>
          <w:szCs w:val="17"/>
        </w:rPr>
        <w:t>p</w:t>
      </w:r>
      <w:r>
        <w:rPr>
          <w:rFonts w:ascii="Times New Roman" w:hAnsi="Times New Roman" w:eastAsia="Times New Roman" w:cs="Times New Roman"/>
          <w:i/>
          <w:iCs/>
          <w:spacing w:val="3"/>
          <w:position w:val="-6"/>
          <w:sz w:val="17"/>
          <w:szCs w:val="17"/>
        </w:rPr>
        <w:t xml:space="preserve"> </w:t>
      </w:r>
      <w:r>
        <w:rPr>
          <w:rFonts w:ascii="Times New Roman" w:hAnsi="Times New Roman" w:eastAsia="Times New Roman" w:cs="Times New Roman"/>
          <w:spacing w:val="3"/>
          <w:position w:val="-6"/>
          <w:sz w:val="17"/>
          <w:szCs w:val="17"/>
        </w:rPr>
        <w:t>2</w:t>
      </w:r>
      <w:r>
        <w:rPr>
          <w:rFonts w:ascii="Times New Roman" w:hAnsi="Times New Roman" w:eastAsia="Times New Roman" w:cs="Times New Roman"/>
          <w:spacing w:val="-9"/>
          <w:position w:val="-6"/>
          <w:sz w:val="17"/>
          <w:szCs w:val="17"/>
        </w:rPr>
        <w:t xml:space="preserve"> </w:t>
      </w:r>
      <w:r>
        <w:rPr>
          <w:rFonts w:ascii="Times New Roman" w:hAnsi="Times New Roman" w:eastAsia="Times New Roman" w:cs="Times New Roman"/>
          <w:i/>
          <w:iCs/>
          <w:spacing w:val="3"/>
          <w:position w:val="-6"/>
          <w:sz w:val="17"/>
          <w:szCs w:val="17"/>
        </w:rPr>
        <w:t>i</w:t>
      </w:r>
      <w:r>
        <w:rPr>
          <w:rFonts w:ascii="Times New Roman" w:hAnsi="Times New Roman" w:eastAsia="Times New Roman" w:cs="Times New Roman"/>
          <w:i/>
          <w:iCs/>
          <w:spacing w:val="22"/>
          <w:position w:val="-6"/>
          <w:sz w:val="17"/>
          <w:szCs w:val="17"/>
        </w:rPr>
        <w:t xml:space="preserve"> </w:t>
      </w:r>
      <w:r>
        <w:rPr>
          <w:rFonts w:ascii="Times New Roman" w:hAnsi="Times New Roman" w:eastAsia="Times New Roman" w:cs="Times New Roman"/>
          <w:spacing w:val="3"/>
          <w:sz w:val="29"/>
          <w:szCs w:val="29"/>
        </w:rPr>
        <w:t>(</w:t>
      </w:r>
      <w:r>
        <w:rPr>
          <w:rFonts w:ascii="Times New Roman" w:hAnsi="Times New Roman" w:eastAsia="Times New Roman" w:cs="Times New Roman"/>
          <w:i/>
          <w:iCs/>
          <w:spacing w:val="3"/>
          <w:sz w:val="29"/>
          <w:szCs w:val="29"/>
        </w:rPr>
        <w:t>T</w:t>
      </w:r>
      <w:r>
        <w:rPr>
          <w:rFonts w:ascii="Times New Roman" w:hAnsi="Times New Roman" w:eastAsia="Times New Roman" w:cs="Times New Roman"/>
          <w:i/>
          <w:iCs/>
          <w:spacing w:val="-24"/>
          <w:sz w:val="29"/>
          <w:szCs w:val="29"/>
        </w:rPr>
        <w:t xml:space="preserve"> </w:t>
      </w:r>
      <w:r>
        <w:rPr>
          <w:rFonts w:ascii="Times New Roman" w:hAnsi="Times New Roman" w:eastAsia="Times New Roman" w:cs="Times New Roman"/>
          <w:spacing w:val="3"/>
          <w:sz w:val="29"/>
          <w:szCs w:val="29"/>
        </w:rPr>
        <w:t>)</w:t>
      </w:r>
      <w:r>
        <w:rPr>
          <w:rFonts w:ascii="Times New Roman" w:hAnsi="Times New Roman" w:eastAsia="Times New Roman" w:cs="Times New Roman"/>
          <w:spacing w:val="25"/>
          <w:w w:val="101"/>
          <w:sz w:val="29"/>
          <w:szCs w:val="29"/>
        </w:rPr>
        <w:t xml:space="preserve"> </w:t>
      </w:r>
      <w:r>
        <w:rPr>
          <w:rFonts w:ascii="微软雅黑" w:hAnsi="微软雅黑" w:eastAsia="微软雅黑" w:cs="微软雅黑"/>
          <w:spacing w:val="3"/>
          <w:sz w:val="29"/>
          <w:szCs w:val="29"/>
        </w:rPr>
        <w:t xml:space="preserve">= </w:t>
      </w:r>
      <w:r>
        <w:rPr>
          <w:rFonts w:ascii="Times New Roman" w:hAnsi="Times New Roman" w:eastAsia="Times New Roman" w:cs="Times New Roman"/>
          <w:i/>
          <w:iCs/>
          <w:sz w:val="29"/>
          <w:szCs w:val="29"/>
        </w:rPr>
        <w:t>L</w:t>
      </w:r>
      <w:r>
        <w:rPr>
          <w:rFonts w:ascii="Times New Roman" w:hAnsi="Times New Roman" w:eastAsia="Times New Roman" w:cs="Times New Roman"/>
          <w:i/>
          <w:iCs/>
          <w:position w:val="-6"/>
          <w:sz w:val="17"/>
          <w:szCs w:val="17"/>
        </w:rPr>
        <w:t>p</w:t>
      </w:r>
      <w:r>
        <w:rPr>
          <w:rFonts w:ascii="Times New Roman" w:hAnsi="Times New Roman" w:eastAsia="Times New Roman" w:cs="Times New Roman"/>
          <w:spacing w:val="3"/>
          <w:position w:val="-6"/>
          <w:sz w:val="17"/>
          <w:szCs w:val="17"/>
        </w:rPr>
        <w:t>1</w:t>
      </w:r>
      <w:r>
        <w:rPr>
          <w:rFonts w:ascii="Times New Roman" w:hAnsi="Times New Roman" w:eastAsia="Times New Roman" w:cs="Times New Roman"/>
          <w:i/>
          <w:iCs/>
          <w:spacing w:val="3"/>
          <w:position w:val="-6"/>
          <w:sz w:val="17"/>
          <w:szCs w:val="17"/>
        </w:rPr>
        <w:t>i</w:t>
      </w:r>
      <w:r>
        <w:rPr>
          <w:rFonts w:ascii="Times New Roman" w:hAnsi="Times New Roman" w:eastAsia="Times New Roman" w:cs="Times New Roman"/>
          <w:i/>
          <w:iCs/>
          <w:spacing w:val="21"/>
          <w:w w:val="101"/>
          <w:position w:val="-6"/>
          <w:sz w:val="17"/>
          <w:szCs w:val="17"/>
        </w:rPr>
        <w:t xml:space="preserve"> </w:t>
      </w:r>
      <w:r>
        <w:rPr>
          <w:rFonts w:ascii="Times New Roman" w:hAnsi="Times New Roman" w:eastAsia="Times New Roman" w:cs="Times New Roman"/>
          <w:spacing w:val="3"/>
          <w:sz w:val="29"/>
          <w:szCs w:val="29"/>
        </w:rPr>
        <w:t>(</w:t>
      </w:r>
      <w:r>
        <w:rPr>
          <w:rFonts w:ascii="Times New Roman" w:hAnsi="Times New Roman" w:eastAsia="Times New Roman" w:cs="Times New Roman"/>
          <w:i/>
          <w:iCs/>
          <w:spacing w:val="3"/>
          <w:sz w:val="29"/>
          <w:szCs w:val="29"/>
        </w:rPr>
        <w:t>T</w:t>
      </w:r>
      <w:r>
        <w:rPr>
          <w:rFonts w:ascii="Times New Roman" w:hAnsi="Times New Roman" w:eastAsia="Times New Roman" w:cs="Times New Roman"/>
          <w:i/>
          <w:iCs/>
          <w:spacing w:val="-24"/>
          <w:sz w:val="29"/>
          <w:szCs w:val="29"/>
        </w:rPr>
        <w:t xml:space="preserve"> </w:t>
      </w:r>
      <w:r>
        <w:rPr>
          <w:rFonts w:ascii="Times New Roman" w:hAnsi="Times New Roman" w:eastAsia="Times New Roman" w:cs="Times New Roman"/>
          <w:spacing w:val="3"/>
          <w:sz w:val="29"/>
          <w:szCs w:val="29"/>
        </w:rPr>
        <w:t xml:space="preserve">) </w:t>
      </w:r>
      <w:r>
        <w:rPr>
          <w:rFonts w:ascii="微软雅黑" w:hAnsi="微软雅黑" w:eastAsia="微软雅黑" w:cs="微软雅黑"/>
          <w:spacing w:val="3"/>
          <w:sz w:val="29"/>
          <w:szCs w:val="29"/>
        </w:rPr>
        <w:t xml:space="preserve">- </w:t>
      </w:r>
      <w:r>
        <w:rPr>
          <w:rFonts w:ascii="Times New Roman" w:hAnsi="Times New Roman" w:eastAsia="Times New Roman" w:cs="Times New Roman"/>
          <w:spacing w:val="3"/>
          <w:sz w:val="29"/>
          <w:szCs w:val="29"/>
        </w:rPr>
        <w:t>(</w:t>
      </w:r>
      <w:r>
        <w:rPr>
          <w:rFonts w:ascii="Times New Roman" w:hAnsi="Times New Roman" w:eastAsia="Times New Roman" w:cs="Times New Roman"/>
          <w:i/>
          <w:iCs/>
          <w:sz w:val="29"/>
          <w:szCs w:val="29"/>
        </w:rPr>
        <w:t>TL</w:t>
      </w:r>
      <w:r>
        <w:rPr>
          <w:rFonts w:ascii="Times New Roman" w:hAnsi="Times New Roman" w:eastAsia="Times New Roman" w:cs="Times New Roman"/>
          <w:i/>
          <w:iCs/>
          <w:spacing w:val="-27"/>
          <w:sz w:val="29"/>
          <w:szCs w:val="29"/>
        </w:rPr>
        <w:t xml:space="preserve"> </w:t>
      </w:r>
      <w:r>
        <w:rPr>
          <w:rFonts w:ascii="Times New Roman" w:hAnsi="Times New Roman" w:eastAsia="Times New Roman" w:cs="Times New Roman"/>
          <w:i/>
          <w:iCs/>
          <w:position w:val="-6"/>
          <w:sz w:val="17"/>
          <w:szCs w:val="17"/>
        </w:rPr>
        <w:t>i</w:t>
      </w:r>
      <w:r>
        <w:rPr>
          <w:rFonts w:ascii="Times New Roman" w:hAnsi="Times New Roman" w:eastAsia="Times New Roman" w:cs="Times New Roman"/>
          <w:i/>
          <w:iCs/>
          <w:spacing w:val="3"/>
          <w:position w:val="-6"/>
          <w:sz w:val="17"/>
          <w:szCs w:val="17"/>
        </w:rPr>
        <w:t xml:space="preserve">   </w:t>
      </w:r>
      <w:r>
        <w:rPr>
          <w:rFonts w:ascii="微软雅黑" w:hAnsi="微软雅黑" w:eastAsia="微软雅黑" w:cs="微软雅黑"/>
          <w:spacing w:val="3"/>
          <w:sz w:val="29"/>
          <w:szCs w:val="29"/>
        </w:rPr>
        <w:t xml:space="preserve">+ </w:t>
      </w:r>
      <w:r>
        <w:rPr>
          <w:rFonts w:ascii="Times New Roman" w:hAnsi="Times New Roman" w:eastAsia="Times New Roman" w:cs="Times New Roman"/>
          <w:spacing w:val="3"/>
          <w:sz w:val="29"/>
          <w:szCs w:val="29"/>
        </w:rPr>
        <w:t>6)</w:t>
      </w:r>
    </w:p>
    <w:p w14:paraId="48233474">
      <w:pPr>
        <w:spacing w:before="317" w:line="290" w:lineRule="auto"/>
        <w:ind w:left="23" w:right="13" w:firstLine="479"/>
        <w:rPr>
          <w:rFonts w:ascii="宋体" w:hAnsi="宋体" w:eastAsia="宋体" w:cs="宋体"/>
          <w:sz w:val="24"/>
          <w:szCs w:val="24"/>
        </w:rPr>
      </w:pPr>
      <w:r>
        <w:rPr>
          <w:rFonts w:ascii="Times New Roman" w:hAnsi="Times New Roman" w:eastAsia="Times New Roman" w:cs="Times New Roman"/>
          <w:spacing w:val="-2"/>
          <w:sz w:val="24"/>
          <w:szCs w:val="24"/>
        </w:rPr>
        <w:t>e.</w:t>
      </w:r>
      <w:r>
        <w:rPr>
          <w:rFonts w:ascii="宋体" w:hAnsi="宋体" w:eastAsia="宋体" w:cs="宋体"/>
          <w:spacing w:val="-2"/>
          <w:sz w:val="24"/>
          <w:szCs w:val="24"/>
        </w:rPr>
        <w:t>将室外声级</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1"/>
          <w:sz w:val="15"/>
          <w:szCs w:val="15"/>
        </w:rPr>
        <w:t>p2</w:t>
      </w:r>
      <w:r>
        <w:rPr>
          <w:rFonts w:ascii="宋体" w:hAnsi="宋体" w:eastAsia="宋体" w:cs="宋体"/>
          <w:spacing w:val="-2"/>
          <w:sz w:val="24"/>
          <w:szCs w:val="24"/>
        </w:rPr>
        <w:t>（</w:t>
      </w:r>
      <w:r>
        <w:rPr>
          <w:rFonts w:ascii="Times New Roman" w:hAnsi="Times New Roman" w:eastAsia="Times New Roman" w:cs="Times New Roman"/>
          <w:spacing w:val="-2"/>
          <w:sz w:val="24"/>
          <w:szCs w:val="24"/>
        </w:rPr>
        <w:t>T</w:t>
      </w:r>
      <w:r>
        <w:rPr>
          <w:rFonts w:ascii="宋体" w:hAnsi="宋体" w:eastAsia="宋体" w:cs="宋体"/>
          <w:spacing w:val="-2"/>
          <w:sz w:val="24"/>
          <w:szCs w:val="24"/>
        </w:rPr>
        <w:t>）和透声面积换算成等效的室外声源，计算出等效声源</w:t>
      </w:r>
      <w:r>
        <w:rPr>
          <w:rFonts w:ascii="宋体" w:hAnsi="宋体" w:eastAsia="宋体" w:cs="宋体"/>
          <w:sz w:val="24"/>
          <w:szCs w:val="24"/>
        </w:rPr>
        <w:t xml:space="preserve"> </w:t>
      </w:r>
      <w:r>
        <w:rPr>
          <w:rFonts w:ascii="宋体" w:hAnsi="宋体" w:eastAsia="宋体" w:cs="宋体"/>
          <w:spacing w:val="-1"/>
          <w:sz w:val="24"/>
          <w:szCs w:val="24"/>
        </w:rPr>
        <w:t>倍频带的声功率级</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w</w:t>
      </w:r>
      <w:r>
        <w:rPr>
          <w:rFonts w:ascii="宋体" w:hAnsi="宋体" w:eastAsia="宋体" w:cs="宋体"/>
          <w:spacing w:val="-1"/>
          <w:sz w:val="24"/>
          <w:szCs w:val="24"/>
        </w:rPr>
        <w:t>：</w:t>
      </w:r>
    </w:p>
    <w:p w14:paraId="2A3F8711">
      <w:pPr>
        <w:spacing w:before="156" w:line="170" w:lineRule="auto"/>
        <w:ind w:left="550"/>
        <w:rPr>
          <w:rFonts w:ascii="Times New Roman" w:hAnsi="Times New Roman" w:eastAsia="Times New Roman" w:cs="Times New Roman"/>
          <w:sz w:val="29"/>
          <w:szCs w:val="29"/>
        </w:rPr>
      </w:pPr>
      <w:r>
        <w:rPr>
          <w:rFonts w:ascii="Times New Roman" w:hAnsi="Times New Roman" w:eastAsia="Times New Roman" w:cs="Times New Roman"/>
          <w:i/>
          <w:iCs/>
          <w:spacing w:val="3"/>
          <w:sz w:val="29"/>
          <w:szCs w:val="29"/>
        </w:rPr>
        <w:t>L</w:t>
      </w:r>
      <w:r>
        <w:rPr>
          <w:rFonts w:ascii="Times New Roman" w:hAnsi="Times New Roman" w:eastAsia="Times New Roman" w:cs="Times New Roman"/>
          <w:i/>
          <w:iCs/>
          <w:spacing w:val="-39"/>
          <w:sz w:val="29"/>
          <w:szCs w:val="29"/>
        </w:rPr>
        <w:t xml:space="preserve"> </w:t>
      </w:r>
      <w:r>
        <w:rPr>
          <w:rFonts w:ascii="Times New Roman" w:hAnsi="Times New Roman" w:eastAsia="Times New Roman" w:cs="Times New Roman"/>
          <w:i/>
          <w:iCs/>
          <w:spacing w:val="3"/>
          <w:position w:val="-6"/>
          <w:sz w:val="17"/>
          <w:szCs w:val="17"/>
        </w:rPr>
        <w:t>w</w:t>
      </w:r>
      <w:r>
        <w:rPr>
          <w:rFonts w:ascii="Times New Roman" w:hAnsi="Times New Roman" w:eastAsia="Times New Roman" w:cs="Times New Roman"/>
          <w:i/>
          <w:iCs/>
          <w:spacing w:val="9"/>
          <w:position w:val="-6"/>
          <w:sz w:val="17"/>
          <w:szCs w:val="17"/>
        </w:rPr>
        <w:t xml:space="preserve">   </w:t>
      </w:r>
      <w:r>
        <w:rPr>
          <w:rFonts w:ascii="微软雅黑" w:hAnsi="微软雅黑" w:eastAsia="微软雅黑" w:cs="微软雅黑"/>
          <w:spacing w:val="-4"/>
          <w:sz w:val="29"/>
          <w:szCs w:val="29"/>
        </w:rPr>
        <w:t>=</w:t>
      </w:r>
      <w:r>
        <w:rPr>
          <w:rFonts w:ascii="微软雅黑" w:hAnsi="微软雅黑" w:eastAsia="微软雅黑" w:cs="微软雅黑"/>
          <w:spacing w:val="45"/>
          <w:w w:val="101"/>
          <w:sz w:val="29"/>
          <w:szCs w:val="29"/>
        </w:rPr>
        <w:t xml:space="preserve"> </w:t>
      </w:r>
      <w:r>
        <w:rPr>
          <w:rFonts w:ascii="Times New Roman" w:hAnsi="Times New Roman" w:eastAsia="Times New Roman" w:cs="Times New Roman"/>
          <w:i/>
          <w:iCs/>
          <w:spacing w:val="-4"/>
          <w:sz w:val="29"/>
          <w:szCs w:val="29"/>
        </w:rPr>
        <w:t>L</w:t>
      </w:r>
      <w:r>
        <w:rPr>
          <w:rFonts w:ascii="Times New Roman" w:hAnsi="Times New Roman" w:eastAsia="Times New Roman" w:cs="Times New Roman"/>
          <w:i/>
          <w:iCs/>
          <w:spacing w:val="-4"/>
          <w:position w:val="-6"/>
          <w:sz w:val="17"/>
          <w:szCs w:val="17"/>
        </w:rPr>
        <w:t xml:space="preserve">p </w:t>
      </w:r>
      <w:r>
        <w:rPr>
          <w:rFonts w:ascii="Times New Roman" w:hAnsi="Times New Roman" w:eastAsia="Times New Roman" w:cs="Times New Roman"/>
          <w:spacing w:val="-4"/>
          <w:position w:val="-6"/>
          <w:sz w:val="17"/>
          <w:szCs w:val="17"/>
        </w:rPr>
        <w:t>2</w:t>
      </w:r>
      <w:r>
        <w:rPr>
          <w:rFonts w:ascii="Times New Roman" w:hAnsi="Times New Roman" w:eastAsia="Times New Roman" w:cs="Times New Roman"/>
          <w:spacing w:val="26"/>
          <w:position w:val="-6"/>
          <w:sz w:val="17"/>
          <w:szCs w:val="17"/>
        </w:rPr>
        <w:t xml:space="preserve"> </w:t>
      </w:r>
      <w:r>
        <w:rPr>
          <w:rFonts w:ascii="Times New Roman" w:hAnsi="Times New Roman" w:eastAsia="Times New Roman" w:cs="Times New Roman"/>
          <w:spacing w:val="-4"/>
          <w:sz w:val="29"/>
          <w:szCs w:val="29"/>
        </w:rPr>
        <w:t>(</w:t>
      </w:r>
      <w:r>
        <w:rPr>
          <w:rFonts w:ascii="Times New Roman" w:hAnsi="Times New Roman" w:eastAsia="Times New Roman" w:cs="Times New Roman"/>
          <w:i/>
          <w:iCs/>
          <w:spacing w:val="-4"/>
          <w:sz w:val="29"/>
          <w:szCs w:val="29"/>
        </w:rPr>
        <w:t xml:space="preserve">T </w:t>
      </w:r>
      <w:r>
        <w:rPr>
          <w:rFonts w:ascii="Times New Roman" w:hAnsi="Times New Roman" w:eastAsia="Times New Roman" w:cs="Times New Roman"/>
          <w:spacing w:val="-4"/>
          <w:sz w:val="29"/>
          <w:szCs w:val="29"/>
        </w:rPr>
        <w:t>)</w:t>
      </w:r>
      <w:r>
        <w:rPr>
          <w:rFonts w:ascii="Times New Roman" w:hAnsi="Times New Roman" w:eastAsia="Times New Roman" w:cs="Times New Roman"/>
          <w:spacing w:val="15"/>
          <w:sz w:val="29"/>
          <w:szCs w:val="29"/>
        </w:rPr>
        <w:t xml:space="preserve"> </w:t>
      </w:r>
      <w:r>
        <w:rPr>
          <w:rFonts w:ascii="微软雅黑" w:hAnsi="微软雅黑" w:eastAsia="微软雅黑" w:cs="微软雅黑"/>
          <w:spacing w:val="-4"/>
          <w:sz w:val="29"/>
          <w:szCs w:val="29"/>
        </w:rPr>
        <w:t xml:space="preserve">+ </w:t>
      </w:r>
      <w:r>
        <w:rPr>
          <w:rFonts w:ascii="Times New Roman" w:hAnsi="Times New Roman" w:eastAsia="Times New Roman" w:cs="Times New Roman"/>
          <w:spacing w:val="-6"/>
          <w:sz w:val="29"/>
          <w:szCs w:val="29"/>
        </w:rPr>
        <w:t>10</w:t>
      </w:r>
      <w:r>
        <w:rPr>
          <w:rFonts w:ascii="Times New Roman" w:hAnsi="Times New Roman" w:eastAsia="Times New Roman" w:cs="Times New Roman"/>
          <w:spacing w:val="36"/>
          <w:sz w:val="29"/>
          <w:szCs w:val="29"/>
        </w:rPr>
        <w:t xml:space="preserve"> </w:t>
      </w:r>
      <w:r>
        <w:rPr>
          <w:rFonts w:ascii="Times New Roman" w:hAnsi="Times New Roman" w:eastAsia="Times New Roman" w:cs="Times New Roman"/>
          <w:spacing w:val="-6"/>
          <w:sz w:val="29"/>
          <w:szCs w:val="29"/>
        </w:rPr>
        <w:t>lg</w:t>
      </w:r>
      <w:r>
        <w:rPr>
          <w:rFonts w:ascii="Times New Roman" w:hAnsi="Times New Roman" w:eastAsia="Times New Roman" w:cs="Times New Roman"/>
          <w:spacing w:val="33"/>
          <w:sz w:val="29"/>
          <w:szCs w:val="29"/>
        </w:rPr>
        <w:t xml:space="preserve"> </w:t>
      </w:r>
      <w:r>
        <w:rPr>
          <w:rFonts w:ascii="Times New Roman" w:hAnsi="Times New Roman" w:eastAsia="Times New Roman" w:cs="Times New Roman"/>
          <w:i/>
          <w:iCs/>
          <w:spacing w:val="-6"/>
          <w:sz w:val="29"/>
          <w:szCs w:val="29"/>
        </w:rPr>
        <w:t>S</w:t>
      </w:r>
    </w:p>
    <w:p w14:paraId="028A1BAD">
      <w:pPr>
        <w:spacing w:before="318" w:line="220" w:lineRule="auto"/>
        <w:ind w:left="508"/>
        <w:rPr>
          <w:rFonts w:ascii="宋体" w:hAnsi="宋体" w:eastAsia="宋体" w:cs="宋体"/>
          <w:sz w:val="24"/>
          <w:szCs w:val="24"/>
        </w:rPr>
      </w:pPr>
      <w:r>
        <w:rPr>
          <w:rFonts w:ascii="宋体" w:hAnsi="宋体" w:eastAsia="宋体" w:cs="宋体"/>
          <w:spacing w:val="-4"/>
          <w:sz w:val="24"/>
          <w:szCs w:val="24"/>
        </w:rPr>
        <w:t>式中：</w:t>
      </w:r>
      <w:r>
        <w:rPr>
          <w:rFonts w:ascii="Times New Roman" w:hAnsi="Times New Roman" w:eastAsia="Times New Roman" w:cs="Times New Roman"/>
          <w:spacing w:val="-4"/>
          <w:sz w:val="24"/>
          <w:szCs w:val="24"/>
        </w:rPr>
        <w:t>S-</w:t>
      </w:r>
      <w:r>
        <w:rPr>
          <w:rFonts w:ascii="宋体" w:hAnsi="宋体" w:eastAsia="宋体" w:cs="宋体"/>
          <w:spacing w:val="-4"/>
          <w:sz w:val="24"/>
          <w:szCs w:val="24"/>
        </w:rPr>
        <w:t>透声面积（</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2 </w:t>
      </w:r>
      <w:r>
        <w:rPr>
          <w:rFonts w:ascii="宋体" w:hAnsi="宋体" w:eastAsia="宋体" w:cs="宋体"/>
          <w:spacing w:val="-4"/>
          <w:sz w:val="24"/>
          <w:szCs w:val="24"/>
        </w:rPr>
        <w:t>）。</w:t>
      </w:r>
    </w:p>
    <w:p w14:paraId="7679DEE1">
      <w:pPr>
        <w:spacing w:before="182" w:line="219" w:lineRule="auto"/>
        <w:ind w:left="504"/>
        <w:rPr>
          <w:rFonts w:ascii="宋体" w:hAnsi="宋体" w:eastAsia="宋体" w:cs="宋体"/>
          <w:sz w:val="24"/>
          <w:szCs w:val="24"/>
        </w:rPr>
      </w:pPr>
      <w:r>
        <w:rPr>
          <w:rFonts w:ascii="宋体" w:hAnsi="宋体" w:eastAsia="宋体" w:cs="宋体"/>
          <w:spacing w:val="-1"/>
          <w:sz w:val="24"/>
          <w:szCs w:val="24"/>
        </w:rPr>
        <w:t>然后按室外声源预测方法计算预测点的</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声级。</w:t>
      </w:r>
    </w:p>
    <w:p w14:paraId="2E25BC37">
      <w:pPr>
        <w:spacing w:before="183" w:line="217" w:lineRule="auto"/>
        <w:ind w:left="501"/>
        <w:rPr>
          <w:rFonts w:ascii="宋体" w:hAnsi="宋体" w:eastAsia="宋体" w:cs="宋体"/>
          <w:sz w:val="24"/>
          <w:szCs w:val="24"/>
        </w:rPr>
      </w:pPr>
      <w:r>
        <w:rPr>
          <w:rFonts w:ascii="宋体" w:hAnsi="宋体" w:eastAsia="宋体" w:cs="宋体"/>
          <w:spacing w:val="-1"/>
          <w:sz w:val="24"/>
          <w:szCs w:val="24"/>
        </w:rPr>
        <w:t>③计算噪声贡献值</w:t>
      </w:r>
    </w:p>
    <w:p w14:paraId="7FCADE27">
      <w:pPr>
        <w:spacing w:before="188" w:line="347" w:lineRule="auto"/>
        <w:ind w:left="26" w:right="13" w:firstLine="480"/>
        <w:rPr>
          <w:rFonts w:ascii="宋体" w:hAnsi="宋体" w:eastAsia="宋体" w:cs="宋体"/>
          <w:sz w:val="24"/>
          <w:szCs w:val="24"/>
        </w:rPr>
      </w:pPr>
      <w:r>
        <w:rPr>
          <w:rFonts w:ascii="宋体" w:hAnsi="宋体" w:eastAsia="宋体" w:cs="宋体"/>
          <w:spacing w:val="-3"/>
          <w:sz w:val="24"/>
          <w:szCs w:val="24"/>
        </w:rPr>
        <w:t>设第</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i </w:t>
      </w:r>
      <w:r>
        <w:rPr>
          <w:rFonts w:ascii="宋体" w:hAnsi="宋体" w:eastAsia="宋体" w:cs="宋体"/>
          <w:spacing w:val="-3"/>
          <w:sz w:val="24"/>
          <w:szCs w:val="24"/>
        </w:rPr>
        <w:t>个室外声源在预测点产生的</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声级为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1"/>
          <w:sz w:val="15"/>
          <w:szCs w:val="15"/>
        </w:rPr>
        <w:t>Ai</w:t>
      </w:r>
      <w:r>
        <w:rPr>
          <w:rFonts w:ascii="Times New Roman" w:hAnsi="Times New Roman" w:eastAsia="Times New Roman" w:cs="Times New Roman"/>
          <w:spacing w:val="-9"/>
          <w:position w:val="-1"/>
          <w:sz w:val="15"/>
          <w:szCs w:val="15"/>
        </w:rPr>
        <w:t xml:space="preserve"> </w:t>
      </w:r>
      <w:r>
        <w:rPr>
          <w:rFonts w:ascii="宋体" w:hAnsi="宋体" w:eastAsia="宋体" w:cs="宋体"/>
          <w:spacing w:val="-3"/>
          <w:sz w:val="24"/>
          <w:szCs w:val="24"/>
        </w:rPr>
        <w:t>，在</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时间内该声源工作时</w:t>
      </w:r>
      <w:r>
        <w:rPr>
          <w:rFonts w:ascii="宋体" w:hAnsi="宋体" w:eastAsia="宋体" w:cs="宋体"/>
          <w:sz w:val="24"/>
          <w:szCs w:val="24"/>
        </w:rPr>
        <w:t xml:space="preserve"> </w:t>
      </w:r>
      <w:r>
        <w:rPr>
          <w:rFonts w:ascii="宋体" w:hAnsi="宋体" w:eastAsia="宋体" w:cs="宋体"/>
          <w:spacing w:val="-1"/>
          <w:sz w:val="24"/>
          <w:szCs w:val="24"/>
        </w:rPr>
        <w:t>间为</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1"/>
          <w:position w:val="-1"/>
          <w:sz w:val="15"/>
          <w:szCs w:val="15"/>
        </w:rPr>
        <w:t xml:space="preserve">i </w:t>
      </w:r>
      <w:r>
        <w:rPr>
          <w:rFonts w:ascii="宋体" w:hAnsi="宋体" w:eastAsia="宋体" w:cs="宋体"/>
          <w:spacing w:val="-1"/>
          <w:sz w:val="24"/>
          <w:szCs w:val="24"/>
        </w:rPr>
        <w:t>；第</w:t>
      </w:r>
      <w:r>
        <w:rPr>
          <w:rFonts w:ascii="Times New Roman" w:hAnsi="Times New Roman" w:eastAsia="Times New Roman" w:cs="Times New Roman"/>
          <w:spacing w:val="-1"/>
          <w:sz w:val="24"/>
          <w:szCs w:val="24"/>
        </w:rPr>
        <w:t xml:space="preserve">j </w:t>
      </w:r>
      <w:r>
        <w:rPr>
          <w:rFonts w:ascii="宋体" w:hAnsi="宋体" w:eastAsia="宋体" w:cs="宋体"/>
          <w:spacing w:val="-1"/>
          <w:sz w:val="24"/>
          <w:szCs w:val="24"/>
        </w:rPr>
        <w:t>个等效室外声源在预测点产生的</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声级为</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 xml:space="preserve">Aj </w:t>
      </w:r>
      <w:r>
        <w:rPr>
          <w:rFonts w:ascii="宋体" w:hAnsi="宋体" w:eastAsia="宋体" w:cs="宋体"/>
          <w:spacing w:val="-1"/>
          <w:sz w:val="24"/>
          <w:szCs w:val="24"/>
        </w:rPr>
        <w:t>，在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时间内该声源</w:t>
      </w:r>
      <w:r>
        <w:rPr>
          <w:rFonts w:ascii="宋体" w:hAnsi="宋体" w:eastAsia="宋体" w:cs="宋体"/>
          <w:sz w:val="24"/>
          <w:szCs w:val="24"/>
        </w:rPr>
        <w:t xml:space="preserve"> </w:t>
      </w:r>
      <w:r>
        <w:rPr>
          <w:rFonts w:ascii="宋体" w:hAnsi="宋体" w:eastAsia="宋体" w:cs="宋体"/>
          <w:spacing w:val="-3"/>
          <w:sz w:val="24"/>
          <w:szCs w:val="24"/>
        </w:rPr>
        <w:t>工作时间为</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3"/>
          <w:position w:val="-1"/>
          <w:sz w:val="15"/>
          <w:szCs w:val="15"/>
        </w:rPr>
        <w:t>j</w:t>
      </w:r>
      <w:r>
        <w:rPr>
          <w:rFonts w:ascii="Times New Roman" w:hAnsi="Times New Roman" w:eastAsia="Times New Roman" w:cs="Times New Roman"/>
          <w:spacing w:val="-9"/>
          <w:position w:val="-1"/>
          <w:sz w:val="15"/>
          <w:szCs w:val="15"/>
        </w:rPr>
        <w:t xml:space="preserve"> </w:t>
      </w:r>
      <w:r>
        <w:rPr>
          <w:rFonts w:ascii="宋体" w:hAnsi="宋体" w:eastAsia="宋体" w:cs="宋体"/>
          <w:spacing w:val="-3"/>
          <w:sz w:val="24"/>
          <w:szCs w:val="24"/>
        </w:rPr>
        <w:t>，则预测点产生的贡献值为：</w:t>
      </w:r>
    </w:p>
    <w:p w14:paraId="77E69E16">
      <w:pPr>
        <w:spacing w:line="626" w:lineRule="exact"/>
        <w:ind w:left="533"/>
      </w:pPr>
      <w:r>
        <w:rPr>
          <w:position w:val="-13"/>
        </w:rPr>
        <w:drawing>
          <wp:inline distT="0" distB="0" distL="0" distR="0">
            <wp:extent cx="2794000" cy="39751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531"/>
                    <a:stretch>
                      <a:fillRect/>
                    </a:stretch>
                  </pic:blipFill>
                  <pic:spPr>
                    <a:xfrm>
                      <a:off x="0" y="0"/>
                      <a:ext cx="2794071" cy="397875"/>
                    </a:xfrm>
                    <a:prstGeom prst="rect">
                      <a:avLst/>
                    </a:prstGeom>
                  </pic:spPr>
                </pic:pic>
              </a:graphicData>
            </a:graphic>
          </wp:inline>
        </w:drawing>
      </w:r>
    </w:p>
    <w:p w14:paraId="7F2434FC">
      <w:pPr>
        <w:pStyle w:val="2"/>
        <w:spacing w:line="255" w:lineRule="auto"/>
      </w:pPr>
    </w:p>
    <w:p w14:paraId="57A0290A">
      <w:pPr>
        <w:spacing w:before="78" w:line="219" w:lineRule="auto"/>
        <w:ind w:left="508"/>
        <w:rPr>
          <w:rFonts w:ascii="宋体" w:hAnsi="宋体" w:eastAsia="宋体" w:cs="宋体"/>
          <w:sz w:val="24"/>
          <w:szCs w:val="24"/>
        </w:rPr>
      </w:pPr>
      <w:r>
        <w:rPr>
          <w:rFonts w:ascii="宋体" w:hAnsi="宋体" w:eastAsia="宋体" w:cs="宋体"/>
          <w:spacing w:val="-3"/>
          <w:sz w:val="24"/>
          <w:szCs w:val="24"/>
        </w:rPr>
        <w:t>式中：</w:t>
      </w:r>
      <w:r>
        <w:rPr>
          <w:rFonts w:ascii="Times New Roman" w:hAnsi="Times New Roman" w:eastAsia="Times New Roman" w:cs="Times New Roman"/>
          <w:spacing w:val="-3"/>
          <w:sz w:val="24"/>
          <w:szCs w:val="24"/>
        </w:rPr>
        <w:t>T-</w:t>
      </w:r>
      <w:r>
        <w:rPr>
          <w:rFonts w:ascii="宋体" w:hAnsi="宋体" w:eastAsia="宋体" w:cs="宋体"/>
          <w:spacing w:val="-3"/>
          <w:sz w:val="24"/>
          <w:szCs w:val="24"/>
        </w:rPr>
        <w:t>计算等效声级的时间；</w:t>
      </w:r>
    </w:p>
    <w:p w14:paraId="128DFC54">
      <w:pPr>
        <w:spacing w:before="184" w:line="219" w:lineRule="auto"/>
        <w:ind w:left="1211"/>
        <w:rPr>
          <w:rFonts w:ascii="宋体" w:hAnsi="宋体" w:eastAsia="宋体" w:cs="宋体"/>
          <w:sz w:val="24"/>
          <w:szCs w:val="24"/>
        </w:rPr>
      </w:pPr>
      <w:r>
        <w:rPr>
          <w:rFonts w:ascii="Times New Roman" w:hAnsi="Times New Roman" w:eastAsia="Times New Roman" w:cs="Times New Roman"/>
          <w:sz w:val="24"/>
          <w:szCs w:val="24"/>
        </w:rPr>
        <w:t>N-</w:t>
      </w:r>
      <w:r>
        <w:rPr>
          <w:rFonts w:ascii="宋体" w:hAnsi="宋体" w:eastAsia="宋体" w:cs="宋体"/>
          <w:sz w:val="24"/>
          <w:szCs w:val="24"/>
        </w:rPr>
        <w:t>室外声源个数；</w:t>
      </w:r>
    </w:p>
    <w:p w14:paraId="2935B1A9">
      <w:pPr>
        <w:spacing w:before="183" w:line="219" w:lineRule="auto"/>
        <w:ind w:left="1218"/>
        <w:rPr>
          <w:rFonts w:ascii="宋体" w:hAnsi="宋体" w:eastAsia="宋体" w:cs="宋体"/>
          <w:sz w:val="24"/>
          <w:szCs w:val="24"/>
        </w:rPr>
      </w:pPr>
      <w:r>
        <w:rPr>
          <w:rFonts w:ascii="Times New Roman" w:hAnsi="Times New Roman" w:eastAsia="Times New Roman" w:cs="Times New Roman"/>
          <w:spacing w:val="-1"/>
          <w:sz w:val="24"/>
          <w:szCs w:val="24"/>
        </w:rPr>
        <w:t>M-</w:t>
      </w:r>
      <w:r>
        <w:rPr>
          <w:rFonts w:ascii="宋体" w:hAnsi="宋体" w:eastAsia="宋体" w:cs="宋体"/>
          <w:spacing w:val="-1"/>
          <w:sz w:val="24"/>
          <w:szCs w:val="24"/>
        </w:rPr>
        <w:t>等效室外声源个数。</w:t>
      </w:r>
    </w:p>
    <w:p w14:paraId="2AB01D3E">
      <w:pPr>
        <w:spacing w:before="183" w:line="217" w:lineRule="auto"/>
        <w:ind w:left="501"/>
        <w:rPr>
          <w:rFonts w:ascii="宋体" w:hAnsi="宋体" w:eastAsia="宋体" w:cs="宋体"/>
          <w:sz w:val="24"/>
          <w:szCs w:val="24"/>
        </w:rPr>
      </w:pPr>
      <w:r>
        <w:rPr>
          <w:rFonts w:ascii="宋体" w:hAnsi="宋体" w:eastAsia="宋体" w:cs="宋体"/>
          <w:spacing w:val="-2"/>
          <w:sz w:val="24"/>
          <w:szCs w:val="24"/>
        </w:rPr>
        <w:t>④预测值计算</w:t>
      </w:r>
    </w:p>
    <w:p w14:paraId="66FFC5BA">
      <w:pPr>
        <w:spacing w:before="186" w:line="211" w:lineRule="auto"/>
        <w:ind w:left="505"/>
        <w:rPr>
          <w:rFonts w:ascii="宋体" w:hAnsi="宋体" w:eastAsia="宋体" w:cs="宋体"/>
          <w:sz w:val="24"/>
          <w:szCs w:val="24"/>
        </w:rPr>
      </w:pPr>
      <w:r>
        <w:rPr>
          <w:rFonts w:ascii="宋体" w:hAnsi="宋体" w:eastAsia="宋体" w:cs="宋体"/>
          <w:spacing w:val="-2"/>
          <w:sz w:val="24"/>
          <w:szCs w:val="24"/>
        </w:rPr>
        <w:t>预测点的预测等效声级（</w:t>
      </w: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2"/>
          <w:sz w:val="15"/>
          <w:szCs w:val="15"/>
        </w:rPr>
        <w:t>eq</w:t>
      </w:r>
      <w:r>
        <w:rPr>
          <w:rFonts w:ascii="Times New Roman" w:hAnsi="Times New Roman" w:eastAsia="Times New Roman" w:cs="Times New Roman"/>
          <w:spacing w:val="-6"/>
          <w:position w:val="-2"/>
          <w:sz w:val="15"/>
          <w:szCs w:val="15"/>
        </w:rPr>
        <w:t xml:space="preserve"> </w:t>
      </w:r>
      <w:r>
        <w:rPr>
          <w:rFonts w:ascii="宋体" w:hAnsi="宋体" w:eastAsia="宋体" w:cs="宋体"/>
          <w:spacing w:val="-2"/>
          <w:position w:val="-2"/>
          <w:sz w:val="12"/>
          <w:szCs w:val="12"/>
        </w:rPr>
        <w:t>）</w:t>
      </w:r>
      <w:r>
        <w:rPr>
          <w:rFonts w:ascii="宋体" w:hAnsi="宋体" w:eastAsia="宋体" w:cs="宋体"/>
          <w:spacing w:val="-2"/>
          <w:sz w:val="24"/>
          <w:szCs w:val="24"/>
        </w:rPr>
        <w:t>计算公式：</w:t>
      </w:r>
    </w:p>
    <w:p w14:paraId="2CF7CD5B">
      <w:pPr>
        <w:spacing w:before="148" w:line="323" w:lineRule="exact"/>
        <w:ind w:left="498"/>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L</w:t>
      </w:r>
      <w:r>
        <w:rPr>
          <w:rFonts w:ascii="Times New Roman" w:hAnsi="Times New Roman" w:eastAsia="Times New Roman" w:cs="Times New Roman"/>
          <w:spacing w:val="-1"/>
          <w:position w:val="2"/>
          <w:sz w:val="15"/>
          <w:szCs w:val="15"/>
        </w:rPr>
        <w:t>eq</w:t>
      </w:r>
      <w:r>
        <w:rPr>
          <w:rFonts w:ascii="Times New Roman" w:hAnsi="Times New Roman" w:eastAsia="Times New Roman" w:cs="Times New Roman"/>
          <w:spacing w:val="-1"/>
          <w:position w:val="4"/>
          <w:sz w:val="24"/>
          <w:szCs w:val="24"/>
        </w:rPr>
        <w:t>=</w:t>
      </w:r>
      <w:r>
        <w:rPr>
          <w:rFonts w:ascii="Times New Roman" w:hAnsi="Times New Roman" w:eastAsia="Times New Roman" w:cs="Times New Roman"/>
          <w:spacing w:val="-33"/>
          <w:position w:val="4"/>
          <w:sz w:val="24"/>
          <w:szCs w:val="24"/>
        </w:rPr>
        <w:t xml:space="preserve"> </w:t>
      </w:r>
      <w:r>
        <w:rPr>
          <w:rFonts w:ascii="Times New Roman" w:hAnsi="Times New Roman" w:eastAsia="Times New Roman" w:cs="Times New Roman"/>
          <w:spacing w:val="-1"/>
          <w:position w:val="4"/>
          <w:sz w:val="24"/>
          <w:szCs w:val="24"/>
        </w:rPr>
        <w:t>10lg(10</w:t>
      </w:r>
      <w:r>
        <w:rPr>
          <w:rFonts w:ascii="Times New Roman" w:hAnsi="Times New Roman" w:eastAsia="Times New Roman" w:cs="Times New Roman"/>
          <w:spacing w:val="-1"/>
          <w:position w:val="11"/>
          <w:sz w:val="15"/>
          <w:szCs w:val="15"/>
        </w:rPr>
        <w:t>0.</w:t>
      </w:r>
      <w:r>
        <w:rPr>
          <w:rFonts w:ascii="Times New Roman" w:hAnsi="Times New Roman" w:eastAsia="Times New Roman" w:cs="Times New Roman"/>
          <w:spacing w:val="-19"/>
          <w:position w:val="11"/>
          <w:sz w:val="15"/>
          <w:szCs w:val="15"/>
        </w:rPr>
        <w:t xml:space="preserve"> </w:t>
      </w:r>
      <w:r>
        <w:rPr>
          <w:rFonts w:ascii="Times New Roman" w:hAnsi="Times New Roman" w:eastAsia="Times New Roman" w:cs="Times New Roman"/>
          <w:spacing w:val="-1"/>
          <w:position w:val="11"/>
          <w:sz w:val="15"/>
          <w:szCs w:val="15"/>
        </w:rPr>
        <w:t>1Leqg</w:t>
      </w:r>
      <w:r>
        <w:rPr>
          <w:rFonts w:ascii="Times New Roman" w:hAnsi="Times New Roman" w:eastAsia="Times New Roman" w:cs="Times New Roman"/>
          <w:spacing w:val="-1"/>
          <w:position w:val="4"/>
          <w:sz w:val="24"/>
          <w:szCs w:val="24"/>
        </w:rPr>
        <w:t>+10</w:t>
      </w:r>
      <w:r>
        <w:rPr>
          <w:rFonts w:ascii="Times New Roman" w:hAnsi="Times New Roman" w:eastAsia="Times New Roman" w:cs="Times New Roman"/>
          <w:spacing w:val="-1"/>
          <w:position w:val="11"/>
          <w:sz w:val="15"/>
          <w:szCs w:val="15"/>
        </w:rPr>
        <w:t>0.</w:t>
      </w:r>
      <w:r>
        <w:rPr>
          <w:rFonts w:ascii="Times New Roman" w:hAnsi="Times New Roman" w:eastAsia="Times New Roman" w:cs="Times New Roman"/>
          <w:spacing w:val="-20"/>
          <w:position w:val="11"/>
          <w:sz w:val="15"/>
          <w:szCs w:val="15"/>
        </w:rPr>
        <w:t xml:space="preserve"> </w:t>
      </w:r>
      <w:r>
        <w:rPr>
          <w:rFonts w:ascii="Times New Roman" w:hAnsi="Times New Roman" w:eastAsia="Times New Roman" w:cs="Times New Roman"/>
          <w:spacing w:val="-1"/>
          <w:position w:val="11"/>
          <w:sz w:val="15"/>
          <w:szCs w:val="15"/>
        </w:rPr>
        <w:t>1Le</w:t>
      </w:r>
      <w:r>
        <w:rPr>
          <w:rFonts w:ascii="Times New Roman" w:hAnsi="Times New Roman" w:eastAsia="Times New Roman" w:cs="Times New Roman"/>
          <w:spacing w:val="-2"/>
          <w:position w:val="11"/>
          <w:sz w:val="15"/>
          <w:szCs w:val="15"/>
        </w:rPr>
        <w:t>qb</w:t>
      </w:r>
      <w:r>
        <w:rPr>
          <w:rFonts w:ascii="Times New Roman" w:hAnsi="Times New Roman" w:eastAsia="Times New Roman" w:cs="Times New Roman"/>
          <w:spacing w:val="-2"/>
          <w:position w:val="4"/>
          <w:sz w:val="24"/>
          <w:szCs w:val="24"/>
        </w:rPr>
        <w:t>)</w:t>
      </w:r>
    </w:p>
    <w:p w14:paraId="3828007F">
      <w:pPr>
        <w:spacing w:before="190" w:line="220" w:lineRule="auto"/>
        <w:ind w:left="508"/>
        <w:rPr>
          <w:rFonts w:ascii="宋体" w:hAnsi="宋体" w:eastAsia="宋体" w:cs="宋体"/>
          <w:sz w:val="24"/>
          <w:szCs w:val="24"/>
        </w:rPr>
      </w:pPr>
      <w:r>
        <w:rPr>
          <w:rFonts w:ascii="宋体" w:hAnsi="宋体" w:eastAsia="宋体" w:cs="宋体"/>
          <w:spacing w:val="-5"/>
          <w:sz w:val="24"/>
          <w:szCs w:val="24"/>
        </w:rPr>
        <w:t>式中：</w:t>
      </w:r>
    </w:p>
    <w:p w14:paraId="6F5610C3">
      <w:pPr>
        <w:spacing w:before="183" w:line="211" w:lineRule="auto"/>
        <w:ind w:left="498"/>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sz w:val="24"/>
          <w:szCs w:val="24"/>
        </w:rPr>
        <w:t>-</w:t>
      </w:r>
      <w:r>
        <w:rPr>
          <w:rFonts w:ascii="宋体" w:hAnsi="宋体" w:eastAsia="宋体" w:cs="宋体"/>
          <w:sz w:val="24"/>
          <w:szCs w:val="24"/>
        </w:rPr>
        <w:t>建设项目声源在预测点的等效声级贡献值，</w:t>
      </w:r>
      <w:r>
        <w:rPr>
          <w:rFonts w:ascii="Times New Roman" w:hAnsi="Times New Roman" w:eastAsia="Times New Roman" w:cs="Times New Roman"/>
          <w:sz w:val="24"/>
          <w:szCs w:val="24"/>
        </w:rPr>
        <w:t>dB(A)</w:t>
      </w:r>
      <w:r>
        <w:rPr>
          <w:rFonts w:ascii="宋体" w:hAnsi="宋体" w:eastAsia="宋体" w:cs="宋体"/>
          <w:sz w:val="24"/>
          <w:szCs w:val="24"/>
        </w:rPr>
        <w:t>；</w:t>
      </w:r>
    </w:p>
    <w:p w14:paraId="07CC32C0">
      <w:pPr>
        <w:spacing w:line="211" w:lineRule="auto"/>
        <w:rPr>
          <w:rFonts w:ascii="宋体" w:hAnsi="宋体" w:eastAsia="宋体" w:cs="宋体"/>
          <w:sz w:val="24"/>
          <w:szCs w:val="24"/>
        </w:rPr>
        <w:sectPr>
          <w:footerReference r:id="rId330" w:type="default"/>
          <w:pgSz w:w="11906" w:h="16839"/>
          <w:pgMar w:top="1208" w:right="1785" w:bottom="1358" w:left="1785" w:header="825" w:footer="1195" w:gutter="0"/>
          <w:cols w:space="720" w:num="1"/>
        </w:sectPr>
      </w:pPr>
    </w:p>
    <w:p w14:paraId="076E8F92">
      <w:pPr>
        <w:pStyle w:val="2"/>
        <w:spacing w:line="265" w:lineRule="auto"/>
      </w:pPr>
    </w:p>
    <w:p w14:paraId="3942E9B3">
      <w:pPr>
        <w:spacing w:before="78" w:line="212" w:lineRule="auto"/>
        <w:ind w:left="597"/>
        <w:rPr>
          <w:rFonts w:ascii="宋体" w:hAnsi="宋体" w:eastAsia="宋体" w:cs="宋体"/>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rPr>
        <w:t>eqb</w:t>
      </w:r>
      <w:r>
        <w:rPr>
          <w:rFonts w:ascii="Times New Roman" w:hAnsi="Times New Roman" w:eastAsia="Times New Roman" w:cs="Times New Roman"/>
          <w:sz w:val="24"/>
          <w:szCs w:val="24"/>
        </w:rPr>
        <w:t>-</w:t>
      </w:r>
      <w:r>
        <w:rPr>
          <w:rFonts w:ascii="宋体" w:hAnsi="宋体" w:eastAsia="宋体" w:cs="宋体"/>
          <w:sz w:val="24"/>
          <w:szCs w:val="24"/>
        </w:rPr>
        <w:t>预测点的背景值，</w:t>
      </w:r>
      <w:r>
        <w:rPr>
          <w:rFonts w:ascii="Times New Roman" w:hAnsi="Times New Roman" w:eastAsia="Times New Roman" w:cs="Times New Roman"/>
          <w:sz w:val="24"/>
          <w:szCs w:val="24"/>
        </w:rPr>
        <w:t>dB(A)</w:t>
      </w:r>
      <w:r>
        <w:rPr>
          <w:rFonts w:ascii="宋体" w:hAnsi="宋体" w:eastAsia="宋体" w:cs="宋体"/>
          <w:sz w:val="24"/>
          <w:szCs w:val="24"/>
        </w:rPr>
        <w:t>。</w:t>
      </w:r>
    </w:p>
    <w:p w14:paraId="63142AA4">
      <w:pPr>
        <w:spacing w:before="192" w:line="220" w:lineRule="auto"/>
        <w:ind w:left="601"/>
        <w:outlineLvl w:val="2"/>
        <w:rPr>
          <w:rFonts w:ascii="宋体" w:hAnsi="宋体" w:eastAsia="宋体" w:cs="宋体"/>
          <w:sz w:val="24"/>
          <w:szCs w:val="24"/>
        </w:rPr>
      </w:pPr>
      <w:bookmarkStart w:id="136" w:name="bookmark120"/>
      <w:bookmarkEnd w:id="136"/>
      <w:r>
        <w:rPr>
          <w:rFonts w:ascii="Times New Roman" w:hAnsi="Times New Roman" w:eastAsia="Times New Roman" w:cs="Times New Roman"/>
          <w:b/>
          <w:bCs/>
          <w:spacing w:val="-2"/>
          <w:sz w:val="24"/>
          <w:szCs w:val="24"/>
        </w:rPr>
        <w:t xml:space="preserve">8.4.3 </w:t>
      </w:r>
      <w:r>
        <w:rPr>
          <w:rFonts w:ascii="宋体" w:hAnsi="宋体" w:eastAsia="宋体" w:cs="宋体"/>
          <w:b/>
          <w:bCs/>
          <w:spacing w:val="-2"/>
          <w:sz w:val="24"/>
          <w:szCs w:val="24"/>
        </w:rPr>
        <w:t>预测结果</w:t>
      </w:r>
    </w:p>
    <w:p w14:paraId="01092E34">
      <w:pPr>
        <w:spacing w:before="182" w:line="219" w:lineRule="auto"/>
        <w:ind w:left="603"/>
        <w:rPr>
          <w:rFonts w:ascii="宋体" w:hAnsi="宋体" w:eastAsia="宋体" w:cs="宋体"/>
          <w:sz w:val="24"/>
          <w:szCs w:val="24"/>
        </w:rPr>
      </w:pPr>
      <w:r>
        <w:rPr>
          <w:rFonts w:ascii="宋体" w:hAnsi="宋体" w:eastAsia="宋体" w:cs="宋体"/>
          <w:spacing w:val="-1"/>
          <w:sz w:val="24"/>
          <w:szCs w:val="24"/>
        </w:rPr>
        <w:t>技改工程实施后，工业场地噪声预测结果见表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8.4-2</w:t>
      </w:r>
      <w:r>
        <w:rPr>
          <w:rFonts w:ascii="宋体" w:hAnsi="宋体" w:eastAsia="宋体" w:cs="宋体"/>
          <w:spacing w:val="-1"/>
          <w:sz w:val="24"/>
          <w:szCs w:val="24"/>
        </w:rPr>
        <w:t>。</w:t>
      </w:r>
    </w:p>
    <w:p w14:paraId="0081480C">
      <w:pPr>
        <w:spacing w:before="121" w:line="228" w:lineRule="auto"/>
        <w:ind w:left="2978"/>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28"/>
          <w:sz w:val="20"/>
          <w:szCs w:val="20"/>
        </w:rPr>
        <w:t xml:space="preserve"> </w:t>
      </w:r>
      <w:r>
        <w:rPr>
          <w:rFonts w:ascii="Times New Roman" w:hAnsi="Times New Roman" w:eastAsia="Times New Roman" w:cs="Times New Roman"/>
          <w:spacing w:val="5"/>
          <w:sz w:val="20"/>
          <w:szCs w:val="20"/>
        </w:rPr>
        <w:t xml:space="preserve">8.4-2    </w:t>
      </w:r>
      <w:r>
        <w:rPr>
          <w:rFonts w:ascii="宋体" w:hAnsi="宋体" w:eastAsia="宋体" w:cs="宋体"/>
          <w:spacing w:val="5"/>
          <w:sz w:val="20"/>
          <w:szCs w:val="20"/>
        </w:rPr>
        <w:t>厂界噪声预测结果</w:t>
      </w:r>
    </w:p>
    <w:p w14:paraId="0BFCC0AE">
      <w:pPr>
        <w:spacing w:line="133"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1275"/>
        <w:gridCol w:w="1081"/>
        <w:gridCol w:w="1356"/>
        <w:gridCol w:w="1356"/>
        <w:gridCol w:w="1361"/>
      </w:tblGrid>
      <w:tr w14:paraId="474EA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097" w:type="dxa"/>
            <w:vMerge w:val="restart"/>
            <w:tcBorders>
              <w:bottom w:val="nil"/>
            </w:tcBorders>
            <w:vAlign w:val="top"/>
          </w:tcPr>
          <w:p w14:paraId="7323DFB6">
            <w:pPr>
              <w:pStyle w:val="6"/>
              <w:spacing w:before="236" w:line="229" w:lineRule="auto"/>
              <w:ind w:left="853"/>
            </w:pPr>
            <w:r>
              <w:rPr>
                <w:spacing w:val="-1"/>
              </w:rPr>
              <w:t>点位</w:t>
            </w:r>
          </w:p>
        </w:tc>
        <w:tc>
          <w:tcPr>
            <w:tcW w:w="2356" w:type="dxa"/>
            <w:gridSpan w:val="2"/>
            <w:vAlign w:val="top"/>
          </w:tcPr>
          <w:p w14:paraId="1DD9E56D">
            <w:pPr>
              <w:pStyle w:val="6"/>
              <w:spacing w:before="65" w:line="228" w:lineRule="auto"/>
              <w:ind w:left="869"/>
            </w:pPr>
            <w:r>
              <w:rPr>
                <w:spacing w:val="6"/>
              </w:rPr>
              <w:t>现状值</w:t>
            </w:r>
          </w:p>
        </w:tc>
        <w:tc>
          <w:tcPr>
            <w:tcW w:w="1356" w:type="dxa"/>
            <w:vMerge w:val="restart"/>
            <w:tcBorders>
              <w:bottom w:val="nil"/>
            </w:tcBorders>
            <w:vAlign w:val="top"/>
          </w:tcPr>
          <w:p w14:paraId="79A621D3">
            <w:pPr>
              <w:pStyle w:val="6"/>
              <w:spacing w:before="236" w:line="228" w:lineRule="auto"/>
              <w:ind w:left="371"/>
            </w:pPr>
            <w:r>
              <w:rPr>
                <w:spacing w:val="6"/>
              </w:rPr>
              <w:t>贡献值</w:t>
            </w:r>
          </w:p>
        </w:tc>
        <w:tc>
          <w:tcPr>
            <w:tcW w:w="2717" w:type="dxa"/>
            <w:gridSpan w:val="2"/>
            <w:vAlign w:val="top"/>
          </w:tcPr>
          <w:p w14:paraId="10B6777C">
            <w:pPr>
              <w:pStyle w:val="6"/>
              <w:spacing w:before="65" w:line="228" w:lineRule="auto"/>
              <w:ind w:left="1052"/>
            </w:pPr>
            <w:r>
              <w:rPr>
                <w:spacing w:val="5"/>
              </w:rPr>
              <w:t>叠加值</w:t>
            </w:r>
          </w:p>
        </w:tc>
      </w:tr>
      <w:tr w14:paraId="3DB38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7" w:type="dxa"/>
            <w:vMerge w:val="continue"/>
            <w:tcBorders>
              <w:top w:val="nil"/>
            </w:tcBorders>
            <w:vAlign w:val="top"/>
          </w:tcPr>
          <w:p w14:paraId="65D1BF37">
            <w:pPr>
              <w:rPr>
                <w:rFonts w:ascii="Arial"/>
                <w:sz w:val="21"/>
              </w:rPr>
            </w:pPr>
          </w:p>
        </w:tc>
        <w:tc>
          <w:tcPr>
            <w:tcW w:w="1275" w:type="dxa"/>
            <w:vAlign w:val="top"/>
          </w:tcPr>
          <w:p w14:paraId="444322C8">
            <w:pPr>
              <w:pStyle w:val="6"/>
              <w:spacing w:before="59" w:line="231" w:lineRule="auto"/>
              <w:ind w:left="430"/>
            </w:pPr>
            <w:r>
              <w:rPr>
                <w:spacing w:val="5"/>
              </w:rPr>
              <w:t>昼间</w:t>
            </w:r>
          </w:p>
        </w:tc>
        <w:tc>
          <w:tcPr>
            <w:tcW w:w="1081" w:type="dxa"/>
            <w:vAlign w:val="top"/>
          </w:tcPr>
          <w:p w14:paraId="3F962222">
            <w:pPr>
              <w:pStyle w:val="6"/>
              <w:spacing w:before="60" w:line="228" w:lineRule="auto"/>
              <w:ind w:left="340"/>
            </w:pPr>
            <w:r>
              <w:rPr>
                <w:spacing w:val="3"/>
              </w:rPr>
              <w:t>夜间</w:t>
            </w:r>
          </w:p>
        </w:tc>
        <w:tc>
          <w:tcPr>
            <w:tcW w:w="1356" w:type="dxa"/>
            <w:vMerge w:val="continue"/>
            <w:tcBorders>
              <w:top w:val="nil"/>
            </w:tcBorders>
            <w:vAlign w:val="top"/>
          </w:tcPr>
          <w:p w14:paraId="4790A2E0">
            <w:pPr>
              <w:rPr>
                <w:rFonts w:ascii="Arial"/>
                <w:sz w:val="21"/>
              </w:rPr>
            </w:pPr>
          </w:p>
        </w:tc>
        <w:tc>
          <w:tcPr>
            <w:tcW w:w="1356" w:type="dxa"/>
            <w:vAlign w:val="top"/>
          </w:tcPr>
          <w:p w14:paraId="3FBF9B02">
            <w:pPr>
              <w:pStyle w:val="6"/>
              <w:spacing w:before="59" w:line="231" w:lineRule="auto"/>
              <w:ind w:left="474"/>
            </w:pPr>
            <w:r>
              <w:rPr>
                <w:spacing w:val="5"/>
              </w:rPr>
              <w:t>昼间</w:t>
            </w:r>
          </w:p>
        </w:tc>
        <w:tc>
          <w:tcPr>
            <w:tcW w:w="1361" w:type="dxa"/>
            <w:vAlign w:val="top"/>
          </w:tcPr>
          <w:p w14:paraId="35301AB5">
            <w:pPr>
              <w:pStyle w:val="6"/>
              <w:spacing w:before="60" w:line="228" w:lineRule="auto"/>
              <w:ind w:left="478"/>
            </w:pPr>
            <w:r>
              <w:rPr>
                <w:spacing w:val="3"/>
              </w:rPr>
              <w:t>夜间</w:t>
            </w:r>
          </w:p>
        </w:tc>
      </w:tr>
      <w:tr w14:paraId="13739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7" w:type="dxa"/>
            <w:vAlign w:val="top"/>
          </w:tcPr>
          <w:p w14:paraId="435B482D">
            <w:pPr>
              <w:pStyle w:val="6"/>
              <w:spacing w:before="61" w:line="228" w:lineRule="auto"/>
              <w:ind w:left="527"/>
            </w:pPr>
            <w:r>
              <w:rPr>
                <w:spacing w:val="8"/>
              </w:rPr>
              <w:t>选矿厂界东</w:t>
            </w:r>
          </w:p>
        </w:tc>
        <w:tc>
          <w:tcPr>
            <w:tcW w:w="1275" w:type="dxa"/>
            <w:vAlign w:val="top"/>
          </w:tcPr>
          <w:p w14:paraId="12C50C64">
            <w:pPr>
              <w:spacing w:before="98" w:line="195"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081" w:type="dxa"/>
            <w:vAlign w:val="top"/>
          </w:tcPr>
          <w:p w14:paraId="6DA898CF">
            <w:pPr>
              <w:spacing w:before="98"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356" w:type="dxa"/>
            <w:vAlign w:val="top"/>
          </w:tcPr>
          <w:p w14:paraId="221D6E25">
            <w:pPr>
              <w:spacing w:before="98"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33.8</w:t>
            </w:r>
          </w:p>
        </w:tc>
        <w:tc>
          <w:tcPr>
            <w:tcW w:w="1356" w:type="dxa"/>
            <w:vAlign w:val="top"/>
          </w:tcPr>
          <w:p w14:paraId="78F50503">
            <w:pPr>
              <w:spacing w:before="98"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361" w:type="dxa"/>
            <w:vAlign w:val="top"/>
          </w:tcPr>
          <w:p w14:paraId="20A21011">
            <w:pPr>
              <w:spacing w:before="98"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14:paraId="645E0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7" w:type="dxa"/>
            <w:vAlign w:val="top"/>
          </w:tcPr>
          <w:p w14:paraId="0688A6F3">
            <w:pPr>
              <w:pStyle w:val="6"/>
              <w:spacing w:before="63" w:line="228" w:lineRule="auto"/>
              <w:ind w:left="527"/>
            </w:pPr>
            <w:r>
              <w:rPr>
                <w:spacing w:val="8"/>
              </w:rPr>
              <w:t>选矿厂界南</w:t>
            </w:r>
          </w:p>
        </w:tc>
        <w:tc>
          <w:tcPr>
            <w:tcW w:w="1275" w:type="dxa"/>
            <w:vAlign w:val="top"/>
          </w:tcPr>
          <w:p w14:paraId="159F712C">
            <w:pPr>
              <w:spacing w:before="99" w:line="195"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081" w:type="dxa"/>
            <w:vAlign w:val="top"/>
          </w:tcPr>
          <w:p w14:paraId="4B3A61CA">
            <w:pPr>
              <w:spacing w:before="10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356" w:type="dxa"/>
            <w:vAlign w:val="top"/>
          </w:tcPr>
          <w:p w14:paraId="1DDBE648">
            <w:pPr>
              <w:spacing w:before="99"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c>
          <w:tcPr>
            <w:tcW w:w="1356" w:type="dxa"/>
            <w:vAlign w:val="top"/>
          </w:tcPr>
          <w:p w14:paraId="7C0EF4BB">
            <w:pPr>
              <w:spacing w:before="99" w:line="195"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361" w:type="dxa"/>
            <w:vAlign w:val="top"/>
          </w:tcPr>
          <w:p w14:paraId="2B670836">
            <w:pPr>
              <w:spacing w:before="10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08B0B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097" w:type="dxa"/>
            <w:vAlign w:val="top"/>
          </w:tcPr>
          <w:p w14:paraId="78F027A4">
            <w:pPr>
              <w:pStyle w:val="6"/>
              <w:spacing w:before="63" w:line="228" w:lineRule="auto"/>
              <w:ind w:left="527"/>
            </w:pPr>
            <w:r>
              <w:rPr>
                <w:spacing w:val="8"/>
              </w:rPr>
              <w:t>选矿厂界西</w:t>
            </w:r>
          </w:p>
        </w:tc>
        <w:tc>
          <w:tcPr>
            <w:tcW w:w="1275" w:type="dxa"/>
            <w:vAlign w:val="top"/>
          </w:tcPr>
          <w:p w14:paraId="7D674AED">
            <w:pPr>
              <w:spacing w:before="102" w:line="192"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81" w:type="dxa"/>
            <w:vAlign w:val="top"/>
          </w:tcPr>
          <w:p w14:paraId="1AB4A572">
            <w:pPr>
              <w:spacing w:before="9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356" w:type="dxa"/>
            <w:vAlign w:val="top"/>
          </w:tcPr>
          <w:p w14:paraId="6B6727E3">
            <w:pPr>
              <w:spacing w:before="99"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356" w:type="dxa"/>
            <w:vAlign w:val="top"/>
          </w:tcPr>
          <w:p w14:paraId="0D4912DF">
            <w:pPr>
              <w:spacing w:before="102" w:line="192"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361" w:type="dxa"/>
            <w:vAlign w:val="top"/>
          </w:tcPr>
          <w:p w14:paraId="31827712">
            <w:pPr>
              <w:spacing w:before="99"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14:paraId="05AAB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097" w:type="dxa"/>
            <w:vAlign w:val="top"/>
          </w:tcPr>
          <w:p w14:paraId="472DA005">
            <w:pPr>
              <w:pStyle w:val="6"/>
              <w:spacing w:before="64" w:line="228" w:lineRule="auto"/>
              <w:ind w:left="527"/>
            </w:pPr>
            <w:r>
              <w:rPr>
                <w:spacing w:val="8"/>
              </w:rPr>
              <w:t>选矿厂界北</w:t>
            </w:r>
          </w:p>
        </w:tc>
        <w:tc>
          <w:tcPr>
            <w:tcW w:w="1275" w:type="dxa"/>
            <w:vAlign w:val="top"/>
          </w:tcPr>
          <w:p w14:paraId="07643A11">
            <w:pPr>
              <w:spacing w:before="104" w:line="192"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81" w:type="dxa"/>
            <w:vAlign w:val="top"/>
          </w:tcPr>
          <w:p w14:paraId="2E50EFD3">
            <w:pPr>
              <w:spacing w:before="101"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356" w:type="dxa"/>
            <w:vAlign w:val="top"/>
          </w:tcPr>
          <w:p w14:paraId="15A87E9C">
            <w:pPr>
              <w:spacing w:before="101"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32.3</w:t>
            </w:r>
          </w:p>
        </w:tc>
        <w:tc>
          <w:tcPr>
            <w:tcW w:w="1356" w:type="dxa"/>
            <w:vAlign w:val="top"/>
          </w:tcPr>
          <w:p w14:paraId="7B51CDFB">
            <w:pPr>
              <w:spacing w:before="104" w:line="192" w:lineRule="auto"/>
              <w:ind w:left="58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361" w:type="dxa"/>
            <w:vAlign w:val="top"/>
          </w:tcPr>
          <w:p w14:paraId="6B8040F3">
            <w:pPr>
              <w:spacing w:before="101"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bl>
    <w:p w14:paraId="42FECFCF">
      <w:pPr>
        <w:spacing w:before="114" w:line="360" w:lineRule="auto"/>
        <w:ind w:left="122" w:right="58" w:firstLine="509"/>
        <w:jc w:val="both"/>
        <w:rPr>
          <w:rFonts w:ascii="宋体" w:hAnsi="宋体" w:eastAsia="宋体" w:cs="宋体"/>
          <w:sz w:val="24"/>
          <w:szCs w:val="24"/>
        </w:rPr>
      </w:pPr>
      <w:r>
        <w:rPr>
          <w:rFonts w:ascii="宋体" w:hAnsi="宋体" w:eastAsia="宋体" w:cs="宋体"/>
          <w:spacing w:val="-2"/>
          <w:sz w:val="24"/>
          <w:szCs w:val="24"/>
        </w:rPr>
        <w:t>由表可见，技改工程实施后，各测量点的噪</w:t>
      </w:r>
      <w:r>
        <w:rPr>
          <w:rFonts w:ascii="宋体" w:hAnsi="宋体" w:eastAsia="宋体" w:cs="宋体"/>
          <w:spacing w:val="-3"/>
          <w:sz w:val="24"/>
          <w:szCs w:val="24"/>
        </w:rPr>
        <w:t>声值在现状的基础上变化不大。</w:t>
      </w:r>
      <w:r>
        <w:rPr>
          <w:rFonts w:ascii="宋体" w:hAnsi="宋体" w:eastAsia="宋体" w:cs="宋体"/>
          <w:sz w:val="24"/>
          <w:szCs w:val="24"/>
        </w:rPr>
        <w:t xml:space="preserve"> </w:t>
      </w:r>
      <w:r>
        <w:rPr>
          <w:rFonts w:ascii="宋体" w:hAnsi="宋体" w:eastAsia="宋体" w:cs="宋体"/>
          <w:spacing w:val="-1"/>
          <w:sz w:val="24"/>
          <w:szCs w:val="24"/>
        </w:rPr>
        <w:t>厂区昼间厂界噪声叠加值分布范围为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54~55dB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z w:val="24"/>
          <w:szCs w:val="24"/>
        </w:rPr>
        <w:t>），</w:t>
      </w:r>
      <w:r>
        <w:rPr>
          <w:rFonts w:ascii="宋体" w:hAnsi="宋体" w:eastAsia="宋体" w:cs="宋体"/>
          <w:spacing w:val="-1"/>
          <w:sz w:val="24"/>
          <w:szCs w:val="24"/>
        </w:rPr>
        <w:t>夜间厂界噪</w:t>
      </w:r>
      <w:r>
        <w:rPr>
          <w:rFonts w:ascii="宋体" w:hAnsi="宋体" w:eastAsia="宋体" w:cs="宋体"/>
          <w:spacing w:val="-2"/>
          <w:sz w:val="24"/>
          <w:szCs w:val="24"/>
        </w:rPr>
        <w:t>声叠加值分布</w:t>
      </w:r>
      <w:r>
        <w:rPr>
          <w:rFonts w:ascii="宋体" w:hAnsi="宋体" w:eastAsia="宋体" w:cs="宋体"/>
          <w:sz w:val="24"/>
          <w:szCs w:val="24"/>
        </w:rPr>
        <w:t xml:space="preserve"> </w:t>
      </w:r>
      <w:r>
        <w:rPr>
          <w:rFonts w:ascii="宋体" w:hAnsi="宋体" w:eastAsia="宋体" w:cs="宋体"/>
          <w:spacing w:val="-1"/>
          <w:sz w:val="24"/>
          <w:szCs w:val="24"/>
        </w:rPr>
        <w:t>范围为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44~45dB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）。技改工程完成后本项目的预测值均满足《工业企业厂界</w:t>
      </w:r>
      <w:r>
        <w:rPr>
          <w:rFonts w:ascii="宋体" w:hAnsi="宋体" w:eastAsia="宋体" w:cs="宋体"/>
          <w:sz w:val="24"/>
          <w:szCs w:val="24"/>
        </w:rPr>
        <w:t xml:space="preserve"> 环境噪声排放标准》（</w:t>
      </w:r>
      <w:r>
        <w:rPr>
          <w:rFonts w:ascii="Times New Roman" w:hAnsi="Times New Roman" w:eastAsia="Times New Roman" w:cs="Times New Roman"/>
          <w:sz w:val="24"/>
          <w:szCs w:val="24"/>
        </w:rPr>
        <w:t>GB12348-20</w:t>
      </w:r>
      <w:r>
        <w:rPr>
          <w:rFonts w:ascii="Times New Roman" w:hAnsi="Times New Roman" w:eastAsia="Times New Roman" w:cs="Times New Roman"/>
          <w:spacing w:val="-1"/>
          <w:sz w:val="24"/>
          <w:szCs w:val="24"/>
        </w:rPr>
        <w:t>08</w:t>
      </w:r>
      <w:r>
        <w:rPr>
          <w:rFonts w:ascii="宋体" w:hAnsi="宋体" w:eastAsia="宋体" w:cs="宋体"/>
          <w:spacing w:val="-1"/>
          <w:sz w:val="24"/>
          <w:szCs w:val="24"/>
        </w:rPr>
        <w:t>）规定的</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类标准限值要求。</w:t>
      </w:r>
    </w:p>
    <w:p w14:paraId="646F7C28">
      <w:pPr>
        <w:spacing w:line="218" w:lineRule="auto"/>
        <w:ind w:left="620"/>
        <w:rPr>
          <w:rFonts w:ascii="宋体" w:hAnsi="宋体" w:eastAsia="宋体" w:cs="宋体"/>
          <w:sz w:val="24"/>
          <w:szCs w:val="24"/>
        </w:rPr>
      </w:pPr>
      <w:r>
        <w:rPr>
          <w:rFonts w:ascii="宋体" w:hAnsi="宋体" w:eastAsia="宋体" w:cs="宋体"/>
          <w:spacing w:val="-2"/>
          <w:sz w:val="24"/>
          <w:szCs w:val="24"/>
        </w:rPr>
        <w:t>因此，本工程运行后噪声对周围环境的影响不大。</w:t>
      </w:r>
    </w:p>
    <w:p w14:paraId="4634C52D">
      <w:pPr>
        <w:spacing w:before="184" w:line="219" w:lineRule="auto"/>
        <w:ind w:left="601"/>
        <w:outlineLvl w:val="2"/>
        <w:rPr>
          <w:rFonts w:ascii="宋体" w:hAnsi="宋体" w:eastAsia="宋体" w:cs="宋体"/>
          <w:sz w:val="24"/>
          <w:szCs w:val="24"/>
        </w:rPr>
      </w:pPr>
      <w:bookmarkStart w:id="137" w:name="bookmark121"/>
      <w:bookmarkEnd w:id="137"/>
      <w:r>
        <w:rPr>
          <w:rFonts w:ascii="Times New Roman" w:hAnsi="Times New Roman" w:eastAsia="Times New Roman" w:cs="Times New Roman"/>
          <w:b/>
          <w:bCs/>
          <w:spacing w:val="-2"/>
          <w:sz w:val="24"/>
          <w:szCs w:val="24"/>
        </w:rPr>
        <w:t xml:space="preserve">8.4.4 </w:t>
      </w:r>
      <w:r>
        <w:rPr>
          <w:rFonts w:ascii="宋体" w:hAnsi="宋体" w:eastAsia="宋体" w:cs="宋体"/>
          <w:b/>
          <w:bCs/>
          <w:spacing w:val="-2"/>
          <w:sz w:val="24"/>
          <w:szCs w:val="24"/>
        </w:rPr>
        <w:t>运输噪声对敏感点的影响</w:t>
      </w:r>
    </w:p>
    <w:p w14:paraId="4A8641C3">
      <w:pPr>
        <w:spacing w:before="182" w:line="359" w:lineRule="auto"/>
        <w:ind w:left="121" w:right="50" w:firstLine="484"/>
        <w:jc w:val="both"/>
        <w:rPr>
          <w:rFonts w:ascii="宋体" w:hAnsi="宋体" w:eastAsia="宋体" w:cs="宋体"/>
          <w:sz w:val="24"/>
          <w:szCs w:val="24"/>
        </w:rPr>
      </w:pPr>
      <w:r>
        <w:rPr>
          <w:rFonts w:ascii="宋体" w:hAnsi="宋体" w:eastAsia="宋体" w:cs="宋体"/>
          <w:spacing w:val="-3"/>
          <w:sz w:val="24"/>
          <w:szCs w:val="24"/>
        </w:rPr>
        <w:t>项目实施后，来自矿石和干选精料运输的噪声源主要为</w:t>
      </w:r>
      <w:r>
        <w:rPr>
          <w:rFonts w:ascii="宋体" w:hAnsi="宋体" w:eastAsia="宋体" w:cs="宋体"/>
          <w:spacing w:val="-4"/>
          <w:sz w:val="24"/>
          <w:szCs w:val="24"/>
        </w:rPr>
        <w:t>汽车运行噪声及鸣笛</w:t>
      </w:r>
      <w:r>
        <w:rPr>
          <w:rFonts w:ascii="宋体" w:hAnsi="宋体" w:eastAsia="宋体" w:cs="宋体"/>
          <w:sz w:val="24"/>
          <w:szCs w:val="24"/>
        </w:rPr>
        <w:t xml:space="preserve"> </w:t>
      </w:r>
      <w:r>
        <w:rPr>
          <w:rFonts w:ascii="宋体" w:hAnsi="宋体" w:eastAsia="宋体" w:cs="宋体"/>
          <w:spacing w:val="-3"/>
          <w:sz w:val="24"/>
          <w:szCs w:val="24"/>
        </w:rPr>
        <w:t>声，另外还有货物装卸过程中发出的噪声。汽车正常行驶产生的交通噪声一般在</w:t>
      </w:r>
      <w:r>
        <w:rPr>
          <w:rFonts w:ascii="宋体" w:hAnsi="宋体" w:eastAsia="宋体" w:cs="宋体"/>
          <w:spacing w:val="1"/>
          <w:sz w:val="24"/>
          <w:szCs w:val="24"/>
        </w:rPr>
        <w:t xml:space="preserve"> </w:t>
      </w:r>
      <w:r>
        <w:rPr>
          <w:rFonts w:ascii="Times New Roman" w:hAnsi="Times New Roman" w:eastAsia="Times New Roman" w:cs="Times New Roman"/>
          <w:spacing w:val="-4"/>
          <w:sz w:val="24"/>
          <w:szCs w:val="24"/>
        </w:rPr>
        <w:t>73</w:t>
      </w:r>
      <w:r>
        <w:rPr>
          <w:rFonts w:ascii="宋体" w:hAnsi="宋体" w:eastAsia="宋体" w:cs="宋体"/>
          <w:spacing w:val="-4"/>
          <w:sz w:val="24"/>
          <w:szCs w:val="24"/>
        </w:rPr>
        <w:t>～</w:t>
      </w:r>
      <w:r>
        <w:rPr>
          <w:rFonts w:ascii="Times New Roman" w:hAnsi="Times New Roman" w:eastAsia="Times New Roman" w:cs="Times New Roman"/>
          <w:spacing w:val="-4"/>
          <w:sz w:val="24"/>
          <w:szCs w:val="24"/>
        </w:rPr>
        <w:t>82dB(A)</w:t>
      </w:r>
      <w:r>
        <w:rPr>
          <w:rFonts w:ascii="宋体" w:hAnsi="宋体" w:eastAsia="宋体" w:cs="宋体"/>
          <w:spacing w:val="-4"/>
          <w:sz w:val="24"/>
          <w:szCs w:val="24"/>
        </w:rPr>
        <w:t>之间，通常运输车辆在项目区内</w:t>
      </w:r>
      <w:r>
        <w:rPr>
          <w:rFonts w:ascii="宋体" w:hAnsi="宋体" w:eastAsia="宋体" w:cs="宋体"/>
          <w:spacing w:val="-5"/>
          <w:sz w:val="24"/>
          <w:szCs w:val="24"/>
        </w:rPr>
        <w:t>运输和出入项目区时速度相对缓慢，</w:t>
      </w:r>
      <w:r>
        <w:rPr>
          <w:rFonts w:ascii="宋体" w:hAnsi="宋体" w:eastAsia="宋体" w:cs="宋体"/>
          <w:sz w:val="24"/>
          <w:szCs w:val="24"/>
        </w:rPr>
        <w:t xml:space="preserve"> </w:t>
      </w:r>
      <w:r>
        <w:rPr>
          <w:rFonts w:ascii="宋体" w:hAnsi="宋体" w:eastAsia="宋体" w:cs="宋体"/>
          <w:spacing w:val="-2"/>
          <w:sz w:val="24"/>
          <w:szCs w:val="24"/>
        </w:rPr>
        <w:t>产生噪声在</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63</w:t>
      </w:r>
      <w:r>
        <w:rPr>
          <w:rFonts w:ascii="宋体" w:hAnsi="宋体" w:eastAsia="宋体" w:cs="宋体"/>
          <w:spacing w:val="-2"/>
          <w:sz w:val="24"/>
          <w:szCs w:val="24"/>
        </w:rPr>
        <w:t>～</w:t>
      </w:r>
      <w:r>
        <w:rPr>
          <w:rFonts w:ascii="Times New Roman" w:hAnsi="Times New Roman" w:eastAsia="Times New Roman" w:cs="Times New Roman"/>
          <w:spacing w:val="-2"/>
          <w:sz w:val="24"/>
          <w:szCs w:val="24"/>
        </w:rPr>
        <w:t>70dB(A)</w:t>
      </w:r>
      <w:r>
        <w:rPr>
          <w:rFonts w:ascii="宋体" w:hAnsi="宋体" w:eastAsia="宋体" w:cs="宋体"/>
          <w:spacing w:val="-2"/>
          <w:sz w:val="24"/>
          <w:szCs w:val="24"/>
        </w:rPr>
        <w:t>之间。</w:t>
      </w:r>
    </w:p>
    <w:p w14:paraId="56BB5235">
      <w:pPr>
        <w:spacing w:before="6" w:line="360" w:lineRule="auto"/>
        <w:ind w:left="123" w:right="58" w:firstLine="480"/>
        <w:rPr>
          <w:rFonts w:ascii="宋体" w:hAnsi="宋体" w:eastAsia="宋体" w:cs="宋体"/>
          <w:sz w:val="24"/>
          <w:szCs w:val="24"/>
        </w:rPr>
      </w:pPr>
      <w:r>
        <w:rPr>
          <w:rFonts w:ascii="宋体" w:hAnsi="宋体" w:eastAsia="宋体" w:cs="宋体"/>
          <w:spacing w:val="-3"/>
          <w:sz w:val="24"/>
          <w:szCs w:val="24"/>
        </w:rPr>
        <w:t>本项目运输过程中经过牧民点，为了保障沿线环境不受噪声污</w:t>
      </w:r>
      <w:r>
        <w:rPr>
          <w:rFonts w:ascii="宋体" w:hAnsi="宋体" w:eastAsia="宋体" w:cs="宋体"/>
          <w:spacing w:val="-4"/>
          <w:sz w:val="24"/>
          <w:szCs w:val="24"/>
        </w:rPr>
        <w:t>染影响，环评</w:t>
      </w:r>
      <w:r>
        <w:rPr>
          <w:rFonts w:ascii="宋体" w:hAnsi="宋体" w:eastAsia="宋体" w:cs="宋体"/>
          <w:sz w:val="24"/>
          <w:szCs w:val="24"/>
        </w:rPr>
        <w:t xml:space="preserve"> </w:t>
      </w:r>
      <w:r>
        <w:rPr>
          <w:rFonts w:ascii="宋体" w:hAnsi="宋体" w:eastAsia="宋体" w:cs="宋体"/>
          <w:spacing w:val="-2"/>
          <w:sz w:val="24"/>
          <w:szCs w:val="24"/>
        </w:rPr>
        <w:t>要求运输车辆禁止在夜间运输，昼间必须减速慢行，禁止鸣笛，防止噪声扰民。</w:t>
      </w:r>
    </w:p>
    <w:p w14:paraId="5AE0AD13">
      <w:pPr>
        <w:spacing w:line="362" w:lineRule="auto"/>
        <w:ind w:left="133" w:right="33" w:firstLine="470"/>
        <w:rPr>
          <w:rFonts w:ascii="宋体" w:hAnsi="宋体" w:eastAsia="宋体" w:cs="宋体"/>
          <w:sz w:val="24"/>
          <w:szCs w:val="24"/>
        </w:rPr>
      </w:pPr>
      <w:r>
        <w:rPr>
          <w:rFonts w:ascii="宋体" w:hAnsi="宋体" w:eastAsia="宋体" w:cs="宋体"/>
          <w:spacing w:val="-1"/>
          <w:sz w:val="24"/>
          <w:szCs w:val="24"/>
        </w:rPr>
        <w:t>经采取以上措施后，运输道路两侧声环境质量能够满足《声环境质量标准》</w:t>
      </w:r>
      <w:r>
        <w:rPr>
          <w:rFonts w:ascii="宋体" w:hAnsi="宋体" w:eastAsia="宋体" w:cs="宋体"/>
          <w:spacing w:val="6"/>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 3096-2008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类标准的要求。</w:t>
      </w:r>
    </w:p>
    <w:p w14:paraId="25AEBD4E">
      <w:pPr>
        <w:spacing w:line="362" w:lineRule="auto"/>
        <w:rPr>
          <w:rFonts w:ascii="宋体" w:hAnsi="宋体" w:eastAsia="宋体" w:cs="宋体"/>
          <w:sz w:val="24"/>
          <w:szCs w:val="24"/>
        </w:rPr>
        <w:sectPr>
          <w:headerReference r:id="rId331" w:type="default"/>
          <w:footerReference r:id="rId332" w:type="default"/>
          <w:pgSz w:w="11906" w:h="16839"/>
          <w:pgMar w:top="1208" w:right="1687" w:bottom="1358" w:left="1687" w:header="825" w:footer="1195" w:gutter="0"/>
          <w:cols w:space="720" w:num="1"/>
        </w:sectPr>
      </w:pPr>
    </w:p>
    <w:p w14:paraId="147FBE58">
      <w:pPr>
        <w:spacing w:before="271" w:line="222" w:lineRule="auto"/>
        <w:ind w:left="114"/>
        <w:outlineLvl w:val="1"/>
        <w:rPr>
          <w:rFonts w:ascii="黑体" w:hAnsi="黑体" w:eastAsia="黑体" w:cs="黑体"/>
          <w:sz w:val="28"/>
          <w:szCs w:val="28"/>
        </w:rPr>
      </w:pPr>
      <w:bookmarkStart w:id="138" w:name="bookmark122"/>
      <w:bookmarkEnd w:id="138"/>
      <w:bookmarkStart w:id="139" w:name="bookmark123"/>
      <w:bookmarkEnd w:id="139"/>
      <w:r>
        <w:rPr>
          <w:rFonts w:ascii="Times New Roman" w:hAnsi="Times New Roman" w:eastAsia="Times New Roman" w:cs="Times New Roman"/>
          <w:b/>
          <w:bCs/>
          <w:spacing w:val="-5"/>
          <w:sz w:val="28"/>
          <w:szCs w:val="28"/>
        </w:rPr>
        <w:t>8.5</w:t>
      </w:r>
      <w:r>
        <w:rPr>
          <w:rFonts w:ascii="Times New Roman" w:hAnsi="Times New Roman" w:eastAsia="Times New Roman" w:cs="Times New Roman"/>
          <w:b/>
          <w:bCs/>
          <w:spacing w:val="35"/>
          <w:sz w:val="28"/>
          <w:szCs w:val="28"/>
        </w:rPr>
        <w:t xml:space="preserve"> </w:t>
      </w:r>
      <w:r>
        <w:rPr>
          <w:rFonts w:ascii="黑体" w:hAnsi="黑体" w:eastAsia="黑体" w:cs="黑体"/>
          <w:b/>
          <w:bCs/>
          <w:spacing w:val="-5"/>
          <w:sz w:val="28"/>
          <w:szCs w:val="28"/>
        </w:rPr>
        <w:t>固体废物环境影响分析</w:t>
      </w:r>
    </w:p>
    <w:p w14:paraId="2C41670D">
      <w:pPr>
        <w:spacing w:before="257" w:line="219" w:lineRule="auto"/>
        <w:ind w:left="593"/>
        <w:outlineLvl w:val="2"/>
        <w:rPr>
          <w:rFonts w:ascii="宋体" w:hAnsi="宋体" w:eastAsia="宋体" w:cs="宋体"/>
          <w:sz w:val="24"/>
          <w:szCs w:val="24"/>
        </w:rPr>
      </w:pPr>
      <w:bookmarkStart w:id="140" w:name="bookmark211"/>
      <w:bookmarkEnd w:id="140"/>
      <w:r>
        <w:rPr>
          <w:rFonts w:ascii="Times New Roman" w:hAnsi="Times New Roman" w:eastAsia="Times New Roman" w:cs="Times New Roman"/>
          <w:b/>
          <w:bCs/>
          <w:spacing w:val="-4"/>
          <w:sz w:val="24"/>
          <w:szCs w:val="24"/>
        </w:rPr>
        <w:t>8.5.1</w:t>
      </w:r>
      <w:r>
        <w:rPr>
          <w:rFonts w:ascii="Times New Roman" w:hAnsi="Times New Roman" w:eastAsia="Times New Roman" w:cs="Times New Roman"/>
          <w:b/>
          <w:bCs/>
          <w:spacing w:val="34"/>
          <w:w w:val="101"/>
          <w:sz w:val="24"/>
          <w:szCs w:val="24"/>
        </w:rPr>
        <w:t xml:space="preserve"> </w:t>
      </w:r>
      <w:r>
        <w:rPr>
          <w:rFonts w:ascii="宋体" w:hAnsi="宋体" w:eastAsia="宋体" w:cs="宋体"/>
          <w:b/>
          <w:bCs/>
          <w:spacing w:val="-4"/>
          <w:sz w:val="24"/>
          <w:szCs w:val="24"/>
        </w:rPr>
        <w:t>固体废物种类及产生量</w:t>
      </w:r>
    </w:p>
    <w:p w14:paraId="5F4145AB">
      <w:pPr>
        <w:spacing w:before="184" w:line="343" w:lineRule="auto"/>
        <w:ind w:left="116" w:right="219" w:firstLine="479"/>
        <w:jc w:val="both"/>
        <w:rPr>
          <w:rFonts w:ascii="宋体" w:hAnsi="宋体" w:eastAsia="宋体" w:cs="宋体"/>
          <w:sz w:val="24"/>
          <w:szCs w:val="24"/>
        </w:rPr>
      </w:pPr>
      <w:r>
        <w:rPr>
          <w:rFonts w:ascii="宋体" w:hAnsi="宋体" w:eastAsia="宋体" w:cs="宋体"/>
          <w:spacing w:val="-3"/>
          <w:sz w:val="24"/>
          <w:szCs w:val="24"/>
        </w:rPr>
        <w:t>本项目产生的固废为：尾矿、除尘灰、浮选药品废弃包装材料</w:t>
      </w:r>
      <w:r>
        <w:rPr>
          <w:rFonts w:ascii="宋体" w:hAnsi="宋体" w:eastAsia="宋体" w:cs="宋体"/>
          <w:spacing w:val="-4"/>
          <w:sz w:val="24"/>
          <w:szCs w:val="24"/>
        </w:rPr>
        <w:t>、尾矿回水处</w:t>
      </w:r>
      <w:r>
        <w:rPr>
          <w:rFonts w:ascii="宋体" w:hAnsi="宋体" w:eastAsia="宋体" w:cs="宋体"/>
          <w:sz w:val="24"/>
          <w:szCs w:val="24"/>
        </w:rPr>
        <w:t xml:space="preserve"> 理系统污泥、废机油和生活垃圾。见表</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8.5-1</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。技改工程实施后，全厂</w:t>
      </w:r>
      <w:r>
        <w:rPr>
          <w:rFonts w:ascii="宋体" w:hAnsi="宋体" w:eastAsia="宋体" w:cs="宋体"/>
          <w:spacing w:val="-1"/>
          <w:sz w:val="24"/>
          <w:szCs w:val="24"/>
        </w:rPr>
        <w:t>固废的产</w:t>
      </w:r>
      <w:r>
        <w:rPr>
          <w:rFonts w:ascii="宋体" w:hAnsi="宋体" w:eastAsia="宋体" w:cs="宋体"/>
          <w:sz w:val="24"/>
          <w:szCs w:val="24"/>
        </w:rPr>
        <w:t xml:space="preserve"> </w:t>
      </w:r>
      <w:r>
        <w:rPr>
          <w:rFonts w:ascii="宋体" w:hAnsi="宋体" w:eastAsia="宋体" w:cs="宋体"/>
          <w:spacing w:val="-2"/>
          <w:sz w:val="24"/>
          <w:szCs w:val="24"/>
        </w:rPr>
        <w:t>生情况如下：</w:t>
      </w:r>
    </w:p>
    <w:p w14:paraId="709D1C95">
      <w:pPr>
        <w:spacing w:line="227" w:lineRule="auto"/>
        <w:ind w:left="1710"/>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5"/>
          <w:sz w:val="20"/>
          <w:szCs w:val="20"/>
        </w:rPr>
        <w:t xml:space="preserve"> </w:t>
      </w:r>
      <w:r>
        <w:rPr>
          <w:rFonts w:ascii="Times New Roman" w:hAnsi="Times New Roman" w:eastAsia="Times New Roman" w:cs="Times New Roman"/>
          <w:spacing w:val="7"/>
          <w:sz w:val="20"/>
          <w:szCs w:val="20"/>
        </w:rPr>
        <w:t xml:space="preserve">8.5-1        </w:t>
      </w:r>
      <w:r>
        <w:rPr>
          <w:rFonts w:ascii="宋体" w:hAnsi="宋体" w:eastAsia="宋体" w:cs="宋体"/>
          <w:spacing w:val="7"/>
          <w:sz w:val="20"/>
          <w:szCs w:val="20"/>
        </w:rPr>
        <w:t>技改完成后</w:t>
      </w:r>
      <w:r>
        <w:rPr>
          <w:rFonts w:ascii="宋体" w:hAnsi="宋体" w:eastAsia="宋体" w:cs="宋体"/>
          <w:spacing w:val="6"/>
          <w:sz w:val="20"/>
          <w:szCs w:val="20"/>
        </w:rPr>
        <w:t>选矿工程固体废弃物情况一览表</w:t>
      </w:r>
    </w:p>
    <w:p w14:paraId="5416F1B6">
      <w:pPr>
        <w:spacing w:line="15"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8"/>
        <w:gridCol w:w="1258"/>
        <w:gridCol w:w="1098"/>
        <w:gridCol w:w="1858"/>
        <w:gridCol w:w="1041"/>
        <w:gridCol w:w="2176"/>
      </w:tblGrid>
      <w:tr w14:paraId="558F3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78" w:type="dxa"/>
            <w:vAlign w:val="top"/>
          </w:tcPr>
          <w:p w14:paraId="77953484">
            <w:pPr>
              <w:pStyle w:val="6"/>
              <w:spacing w:before="211" w:line="228" w:lineRule="auto"/>
              <w:ind w:left="126"/>
            </w:pPr>
            <w:r>
              <w:rPr>
                <w:spacing w:val="6"/>
              </w:rPr>
              <w:t>生产环节</w:t>
            </w:r>
          </w:p>
        </w:tc>
        <w:tc>
          <w:tcPr>
            <w:tcW w:w="1258" w:type="dxa"/>
            <w:vAlign w:val="top"/>
          </w:tcPr>
          <w:p w14:paraId="5FA5381B">
            <w:pPr>
              <w:pStyle w:val="6"/>
              <w:spacing w:before="211" w:line="230" w:lineRule="auto"/>
              <w:ind w:left="424"/>
            </w:pPr>
            <w:r>
              <w:rPr>
                <w:spacing w:val="3"/>
              </w:rPr>
              <w:t>名称</w:t>
            </w:r>
          </w:p>
        </w:tc>
        <w:tc>
          <w:tcPr>
            <w:tcW w:w="1098" w:type="dxa"/>
            <w:vAlign w:val="top"/>
          </w:tcPr>
          <w:p w14:paraId="0060BE9C">
            <w:pPr>
              <w:pStyle w:val="6"/>
              <w:spacing w:before="212" w:line="228" w:lineRule="auto"/>
              <w:ind w:left="346"/>
            </w:pPr>
            <w:r>
              <w:rPr>
                <w:spacing w:val="3"/>
              </w:rPr>
              <w:t>成分</w:t>
            </w:r>
          </w:p>
        </w:tc>
        <w:tc>
          <w:tcPr>
            <w:tcW w:w="1858" w:type="dxa"/>
            <w:vAlign w:val="top"/>
          </w:tcPr>
          <w:p w14:paraId="4DBE3CE5">
            <w:pPr>
              <w:pStyle w:val="6"/>
              <w:spacing w:before="212" w:line="228" w:lineRule="auto"/>
              <w:ind w:left="531"/>
            </w:pPr>
            <w:r>
              <w:rPr>
                <w:spacing w:val="2"/>
              </w:rPr>
              <w:t>固废属性</w:t>
            </w:r>
          </w:p>
        </w:tc>
        <w:tc>
          <w:tcPr>
            <w:tcW w:w="1041" w:type="dxa"/>
            <w:vAlign w:val="top"/>
          </w:tcPr>
          <w:p w14:paraId="73472564">
            <w:pPr>
              <w:pStyle w:val="6"/>
              <w:spacing w:before="55" w:line="228" w:lineRule="auto"/>
              <w:ind w:left="213"/>
            </w:pPr>
            <w:r>
              <w:rPr>
                <w:spacing w:val="6"/>
              </w:rPr>
              <w:t>产生量</w:t>
            </w:r>
          </w:p>
          <w:p w14:paraId="5087BC6E">
            <w:pPr>
              <w:spacing w:before="97" w:line="201"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2176" w:type="dxa"/>
            <w:vAlign w:val="top"/>
          </w:tcPr>
          <w:p w14:paraId="14FAA778">
            <w:pPr>
              <w:pStyle w:val="6"/>
              <w:spacing w:before="212" w:line="228" w:lineRule="auto"/>
              <w:ind w:left="679"/>
            </w:pPr>
            <w:r>
              <w:rPr>
                <w:spacing w:val="6"/>
              </w:rPr>
              <w:t>处置措施</w:t>
            </w:r>
          </w:p>
        </w:tc>
      </w:tr>
      <w:tr w14:paraId="5CE2B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78" w:type="dxa"/>
            <w:vAlign w:val="top"/>
          </w:tcPr>
          <w:p w14:paraId="525E9E61">
            <w:pPr>
              <w:spacing w:line="296" w:lineRule="auto"/>
              <w:rPr>
                <w:rFonts w:ascii="Arial"/>
                <w:sz w:val="21"/>
              </w:rPr>
            </w:pPr>
          </w:p>
          <w:p w14:paraId="3C379884">
            <w:pPr>
              <w:pStyle w:val="6"/>
              <w:spacing w:before="65" w:line="228" w:lineRule="auto"/>
              <w:ind w:left="123"/>
            </w:pPr>
            <w:r>
              <w:rPr>
                <w:spacing w:val="7"/>
              </w:rPr>
              <w:t>选矿车间</w:t>
            </w:r>
          </w:p>
        </w:tc>
        <w:tc>
          <w:tcPr>
            <w:tcW w:w="1258" w:type="dxa"/>
            <w:vAlign w:val="top"/>
          </w:tcPr>
          <w:p w14:paraId="3C27182F">
            <w:pPr>
              <w:spacing w:line="296" w:lineRule="auto"/>
              <w:rPr>
                <w:rFonts w:ascii="Arial"/>
                <w:sz w:val="21"/>
              </w:rPr>
            </w:pPr>
          </w:p>
          <w:p w14:paraId="4CFC8820">
            <w:pPr>
              <w:pStyle w:val="6"/>
              <w:spacing w:before="65" w:line="228" w:lineRule="auto"/>
              <w:ind w:left="421"/>
            </w:pPr>
            <w:r>
              <w:rPr>
                <w:spacing w:val="4"/>
              </w:rPr>
              <w:t>尾矿</w:t>
            </w:r>
          </w:p>
        </w:tc>
        <w:tc>
          <w:tcPr>
            <w:tcW w:w="1098" w:type="dxa"/>
            <w:vAlign w:val="top"/>
          </w:tcPr>
          <w:p w14:paraId="12E72D0A">
            <w:pPr>
              <w:spacing w:line="336" w:lineRule="auto"/>
              <w:rPr>
                <w:rFonts w:ascii="Arial"/>
                <w:sz w:val="21"/>
              </w:rPr>
            </w:pPr>
          </w:p>
          <w:p w14:paraId="392D98BC">
            <w:pPr>
              <w:spacing w:before="57" w:line="206" w:lineRule="auto"/>
              <w:ind w:left="361"/>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p>
        </w:tc>
        <w:tc>
          <w:tcPr>
            <w:tcW w:w="1858" w:type="dxa"/>
            <w:vAlign w:val="top"/>
          </w:tcPr>
          <w:p w14:paraId="04D64BE3">
            <w:pPr>
              <w:spacing w:line="297" w:lineRule="auto"/>
              <w:rPr>
                <w:rFonts w:ascii="Arial"/>
                <w:sz w:val="21"/>
              </w:rPr>
            </w:pPr>
          </w:p>
          <w:p w14:paraId="7DECA229">
            <w:pPr>
              <w:pStyle w:val="6"/>
              <w:spacing w:before="65" w:line="228" w:lineRule="auto"/>
              <w:ind w:left="517"/>
            </w:pPr>
            <w:r>
              <w:rPr>
                <w:spacing w:val="6"/>
              </w:rPr>
              <w:t>一般固废</w:t>
            </w:r>
          </w:p>
        </w:tc>
        <w:tc>
          <w:tcPr>
            <w:tcW w:w="1041" w:type="dxa"/>
            <w:vAlign w:val="top"/>
          </w:tcPr>
          <w:p w14:paraId="62894B6A">
            <w:pPr>
              <w:spacing w:line="297" w:lineRule="auto"/>
              <w:rPr>
                <w:rFonts w:ascii="Arial"/>
                <w:sz w:val="21"/>
              </w:rPr>
            </w:pPr>
          </w:p>
          <w:p w14:paraId="4DA8B11C">
            <w:pPr>
              <w:pStyle w:val="6"/>
              <w:spacing w:before="65" w:line="228" w:lineRule="auto"/>
              <w:ind w:left="115"/>
            </w:pPr>
            <w:r>
              <w:rPr>
                <w:rFonts w:ascii="Times New Roman" w:hAnsi="Times New Roman" w:eastAsia="Times New Roman" w:cs="Times New Roman"/>
                <w:spacing w:val="2"/>
              </w:rPr>
              <w:t xml:space="preserve">63.094 </w:t>
            </w:r>
            <w:r>
              <w:rPr>
                <w:spacing w:val="2"/>
              </w:rPr>
              <w:t>万</w:t>
            </w:r>
          </w:p>
        </w:tc>
        <w:tc>
          <w:tcPr>
            <w:tcW w:w="2176" w:type="dxa"/>
            <w:vAlign w:val="top"/>
          </w:tcPr>
          <w:p w14:paraId="5E7B892E">
            <w:pPr>
              <w:pStyle w:val="6"/>
              <w:spacing w:before="51" w:line="228" w:lineRule="auto"/>
              <w:ind w:left="154"/>
            </w:pPr>
            <w:r>
              <w:rPr>
                <w:spacing w:val="8"/>
              </w:rPr>
              <w:t>管道输送至尾矿库堆</w:t>
            </w:r>
          </w:p>
          <w:p w14:paraId="0880756E">
            <w:pPr>
              <w:pStyle w:val="6"/>
              <w:spacing w:before="64" w:line="228" w:lineRule="auto"/>
              <w:ind w:left="148"/>
            </w:pPr>
            <w:r>
              <w:rPr>
                <w:spacing w:val="9"/>
              </w:rPr>
              <w:t>存，大部分尾矿充填</w:t>
            </w:r>
          </w:p>
          <w:p w14:paraId="0CF92C55">
            <w:pPr>
              <w:pStyle w:val="6"/>
              <w:spacing w:before="65" w:line="228" w:lineRule="auto"/>
              <w:ind w:left="883"/>
            </w:pPr>
            <w:r>
              <w:rPr>
                <w:spacing w:val="4"/>
              </w:rPr>
              <w:t>井下</w:t>
            </w:r>
          </w:p>
        </w:tc>
      </w:tr>
      <w:tr w14:paraId="3139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8" w:type="dxa"/>
            <w:vAlign w:val="top"/>
          </w:tcPr>
          <w:p w14:paraId="4EA6CC4E">
            <w:pPr>
              <w:pStyle w:val="6"/>
              <w:spacing w:before="210" w:line="228" w:lineRule="auto"/>
              <w:ind w:left="242"/>
            </w:pPr>
            <w:r>
              <w:rPr>
                <w:spacing w:val="2"/>
              </w:rPr>
              <w:t>除尘器</w:t>
            </w:r>
          </w:p>
        </w:tc>
        <w:tc>
          <w:tcPr>
            <w:tcW w:w="1258" w:type="dxa"/>
            <w:vAlign w:val="top"/>
          </w:tcPr>
          <w:p w14:paraId="6624285D">
            <w:pPr>
              <w:pStyle w:val="6"/>
              <w:spacing w:before="210" w:line="228" w:lineRule="auto"/>
              <w:ind w:left="331"/>
            </w:pPr>
            <w:r>
              <w:rPr>
                <w:spacing w:val="2"/>
              </w:rPr>
              <w:t>除尘灰</w:t>
            </w:r>
          </w:p>
        </w:tc>
        <w:tc>
          <w:tcPr>
            <w:tcW w:w="1098" w:type="dxa"/>
            <w:vAlign w:val="top"/>
          </w:tcPr>
          <w:p w14:paraId="345DD981">
            <w:pPr>
              <w:pStyle w:val="6"/>
              <w:spacing w:before="54" w:line="260" w:lineRule="auto"/>
              <w:ind w:left="240" w:right="129" w:hanging="103"/>
            </w:pPr>
            <w:r>
              <w:rPr>
                <w:spacing w:val="6"/>
              </w:rPr>
              <w:t>与原矿成</w:t>
            </w:r>
            <w:r>
              <w:t xml:space="preserve"> </w:t>
            </w:r>
            <w:r>
              <w:rPr>
                <w:spacing w:val="6"/>
              </w:rPr>
              <w:t>分一致</w:t>
            </w:r>
          </w:p>
        </w:tc>
        <w:tc>
          <w:tcPr>
            <w:tcW w:w="1858" w:type="dxa"/>
            <w:vAlign w:val="top"/>
          </w:tcPr>
          <w:p w14:paraId="2BB081BF">
            <w:pPr>
              <w:pStyle w:val="6"/>
              <w:spacing w:before="210" w:line="228" w:lineRule="auto"/>
              <w:ind w:left="517"/>
            </w:pPr>
            <w:r>
              <w:rPr>
                <w:spacing w:val="6"/>
              </w:rPr>
              <w:t>一般固废</w:t>
            </w:r>
          </w:p>
        </w:tc>
        <w:tc>
          <w:tcPr>
            <w:tcW w:w="1041" w:type="dxa"/>
            <w:vAlign w:val="top"/>
          </w:tcPr>
          <w:p w14:paraId="68F0B344">
            <w:pPr>
              <w:spacing w:before="246"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368.42</w:t>
            </w:r>
          </w:p>
        </w:tc>
        <w:tc>
          <w:tcPr>
            <w:tcW w:w="2176" w:type="dxa"/>
            <w:vAlign w:val="top"/>
          </w:tcPr>
          <w:p w14:paraId="4FD67C46">
            <w:pPr>
              <w:pStyle w:val="6"/>
              <w:spacing w:before="210" w:line="228" w:lineRule="auto"/>
              <w:ind w:left="464"/>
            </w:pPr>
            <w:r>
              <w:rPr>
                <w:spacing w:val="8"/>
              </w:rPr>
              <w:t>作为原料回用</w:t>
            </w:r>
          </w:p>
        </w:tc>
      </w:tr>
      <w:tr w14:paraId="3EFDA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078" w:type="dxa"/>
            <w:vAlign w:val="top"/>
          </w:tcPr>
          <w:p w14:paraId="36ADEF62">
            <w:pPr>
              <w:spacing w:line="300" w:lineRule="auto"/>
              <w:rPr>
                <w:rFonts w:ascii="Arial"/>
                <w:sz w:val="21"/>
              </w:rPr>
            </w:pPr>
          </w:p>
          <w:p w14:paraId="67E964BE">
            <w:pPr>
              <w:pStyle w:val="6"/>
              <w:spacing w:before="65" w:line="227" w:lineRule="auto"/>
              <w:ind w:left="232"/>
            </w:pPr>
            <w:r>
              <w:rPr>
                <w:spacing w:val="6"/>
              </w:rPr>
              <w:t>药剂库</w:t>
            </w:r>
          </w:p>
        </w:tc>
        <w:tc>
          <w:tcPr>
            <w:tcW w:w="1258" w:type="dxa"/>
            <w:vAlign w:val="top"/>
          </w:tcPr>
          <w:p w14:paraId="59D8656A">
            <w:pPr>
              <w:pStyle w:val="6"/>
              <w:spacing w:before="55" w:line="228" w:lineRule="auto"/>
              <w:ind w:left="214"/>
            </w:pPr>
            <w:r>
              <w:rPr>
                <w:spacing w:val="6"/>
              </w:rPr>
              <w:t>浮选药品</w:t>
            </w:r>
          </w:p>
          <w:p w14:paraId="2A101666">
            <w:pPr>
              <w:pStyle w:val="6"/>
              <w:spacing w:before="64" w:line="228" w:lineRule="auto"/>
              <w:ind w:left="212"/>
            </w:pPr>
            <w:r>
              <w:rPr>
                <w:spacing w:val="7"/>
              </w:rPr>
              <w:t>废弃包装</w:t>
            </w:r>
          </w:p>
          <w:p w14:paraId="29465C3D">
            <w:pPr>
              <w:pStyle w:val="6"/>
              <w:spacing w:before="65" w:line="227" w:lineRule="auto"/>
              <w:ind w:left="421"/>
            </w:pPr>
            <w:r>
              <w:rPr>
                <w:spacing w:val="4"/>
              </w:rPr>
              <w:t>材料</w:t>
            </w:r>
          </w:p>
        </w:tc>
        <w:tc>
          <w:tcPr>
            <w:tcW w:w="1098" w:type="dxa"/>
            <w:vAlign w:val="top"/>
          </w:tcPr>
          <w:p w14:paraId="2035D523">
            <w:pPr>
              <w:pStyle w:val="6"/>
              <w:spacing w:before="211" w:line="289" w:lineRule="auto"/>
              <w:ind w:left="133" w:right="129" w:firstLine="104"/>
            </w:pPr>
            <w:r>
              <w:rPr>
                <w:spacing w:val="7"/>
              </w:rPr>
              <w:t>废包装</w:t>
            </w:r>
            <w:r>
              <w:t xml:space="preserve">  </w:t>
            </w:r>
            <w:r>
              <w:rPr>
                <w:spacing w:val="7"/>
              </w:rPr>
              <w:t>袋、铁桶</w:t>
            </w:r>
          </w:p>
        </w:tc>
        <w:tc>
          <w:tcPr>
            <w:tcW w:w="1858" w:type="dxa"/>
            <w:vAlign w:val="top"/>
          </w:tcPr>
          <w:p w14:paraId="11A427B7">
            <w:pPr>
              <w:pStyle w:val="6"/>
              <w:spacing w:before="211" w:line="228" w:lineRule="auto"/>
              <w:ind w:left="204"/>
            </w:pPr>
            <w:r>
              <w:rPr>
                <w:rFonts w:ascii="Times New Roman" w:hAnsi="Times New Roman" w:eastAsia="Times New Roman" w:cs="Times New Roman"/>
              </w:rPr>
              <w:t>HW</w:t>
            </w:r>
            <w:r>
              <w:rPr>
                <w:rFonts w:ascii="Times New Roman" w:hAnsi="Times New Roman" w:eastAsia="Times New Roman" w:cs="Times New Roman"/>
                <w:spacing w:val="8"/>
              </w:rPr>
              <w:t>49</w:t>
            </w:r>
            <w:r>
              <w:rPr>
                <w:rFonts w:ascii="Times New Roman" w:hAnsi="Times New Roman" w:eastAsia="Times New Roman" w:cs="Times New Roman"/>
                <w:spacing w:val="14"/>
                <w:w w:val="101"/>
              </w:rPr>
              <w:t xml:space="preserve"> </w:t>
            </w:r>
            <w:r>
              <w:rPr>
                <w:spacing w:val="8"/>
              </w:rPr>
              <w:t>危险废物</w:t>
            </w:r>
          </w:p>
          <w:p w14:paraId="26C91B70">
            <w:pPr>
              <w:spacing w:before="10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900-047-49</w:t>
            </w:r>
          </w:p>
        </w:tc>
        <w:tc>
          <w:tcPr>
            <w:tcW w:w="1041" w:type="dxa"/>
            <w:vAlign w:val="top"/>
          </w:tcPr>
          <w:p w14:paraId="79FF9428">
            <w:pPr>
              <w:spacing w:line="343" w:lineRule="auto"/>
              <w:rPr>
                <w:rFonts w:ascii="Arial"/>
                <w:sz w:val="21"/>
              </w:rPr>
            </w:pPr>
          </w:p>
          <w:p w14:paraId="7DF1158B">
            <w:pPr>
              <w:spacing w:before="57"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2176" w:type="dxa"/>
            <w:vAlign w:val="top"/>
          </w:tcPr>
          <w:p w14:paraId="13850DF8">
            <w:pPr>
              <w:pStyle w:val="6"/>
              <w:spacing w:before="210" w:line="290" w:lineRule="auto"/>
              <w:ind w:left="254" w:right="140" w:hanging="103"/>
            </w:pPr>
            <w:r>
              <w:rPr>
                <w:spacing w:val="8"/>
              </w:rPr>
              <w:t>危废暂存间暂存，委</w:t>
            </w:r>
            <w:r>
              <w:rPr>
                <w:spacing w:val="5"/>
              </w:rPr>
              <w:t xml:space="preserve"> </w:t>
            </w:r>
            <w:r>
              <w:rPr>
                <w:spacing w:val="8"/>
              </w:rPr>
              <w:t>托有资质单位处置</w:t>
            </w:r>
          </w:p>
        </w:tc>
      </w:tr>
      <w:tr w14:paraId="7C329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78" w:type="dxa"/>
            <w:vAlign w:val="top"/>
          </w:tcPr>
          <w:p w14:paraId="6D476527">
            <w:pPr>
              <w:pStyle w:val="6"/>
              <w:spacing w:before="55" w:line="228" w:lineRule="auto"/>
              <w:ind w:left="126"/>
            </w:pPr>
            <w:r>
              <w:rPr>
                <w:spacing w:val="6"/>
              </w:rPr>
              <w:t>生产设备</w:t>
            </w:r>
          </w:p>
          <w:p w14:paraId="2A253F16">
            <w:pPr>
              <w:pStyle w:val="6"/>
              <w:spacing w:before="64" w:line="228" w:lineRule="auto"/>
              <w:ind w:left="339"/>
            </w:pPr>
            <w:r>
              <w:rPr>
                <w:spacing w:val="3"/>
              </w:rPr>
              <w:t>维修</w:t>
            </w:r>
          </w:p>
        </w:tc>
        <w:tc>
          <w:tcPr>
            <w:tcW w:w="1258" w:type="dxa"/>
            <w:vAlign w:val="top"/>
          </w:tcPr>
          <w:p w14:paraId="033CA434">
            <w:pPr>
              <w:pStyle w:val="6"/>
              <w:spacing w:before="211" w:line="227" w:lineRule="auto"/>
              <w:ind w:left="317"/>
            </w:pPr>
            <w:r>
              <w:rPr>
                <w:spacing w:val="7"/>
              </w:rPr>
              <w:t>废机油</w:t>
            </w:r>
          </w:p>
        </w:tc>
        <w:tc>
          <w:tcPr>
            <w:tcW w:w="1098" w:type="dxa"/>
            <w:vAlign w:val="top"/>
          </w:tcPr>
          <w:p w14:paraId="1A920E79">
            <w:pPr>
              <w:pStyle w:val="6"/>
              <w:spacing w:before="211" w:line="228" w:lineRule="auto"/>
              <w:ind w:left="348"/>
            </w:pPr>
            <w:r>
              <w:rPr>
                <w:spacing w:val="3"/>
              </w:rPr>
              <w:t>油类</w:t>
            </w:r>
          </w:p>
        </w:tc>
        <w:tc>
          <w:tcPr>
            <w:tcW w:w="1858" w:type="dxa"/>
            <w:vAlign w:val="top"/>
          </w:tcPr>
          <w:p w14:paraId="7079EECD">
            <w:pPr>
              <w:pStyle w:val="6"/>
              <w:spacing w:before="56" w:line="228" w:lineRule="auto"/>
              <w:ind w:left="204"/>
            </w:pPr>
            <w:r>
              <w:rPr>
                <w:rFonts w:ascii="Times New Roman" w:hAnsi="Times New Roman" w:eastAsia="Times New Roman" w:cs="Times New Roman"/>
              </w:rPr>
              <w:t>HW</w:t>
            </w:r>
            <w:r>
              <w:rPr>
                <w:rFonts w:ascii="Times New Roman" w:hAnsi="Times New Roman" w:eastAsia="Times New Roman" w:cs="Times New Roman"/>
                <w:spacing w:val="8"/>
              </w:rPr>
              <w:t>08</w:t>
            </w:r>
            <w:r>
              <w:rPr>
                <w:rFonts w:ascii="Times New Roman" w:hAnsi="Times New Roman" w:eastAsia="Times New Roman" w:cs="Times New Roman"/>
                <w:spacing w:val="14"/>
                <w:w w:val="101"/>
              </w:rPr>
              <w:t xml:space="preserve"> </w:t>
            </w:r>
            <w:r>
              <w:rPr>
                <w:spacing w:val="8"/>
              </w:rPr>
              <w:t>危险废物</w:t>
            </w:r>
          </w:p>
          <w:p w14:paraId="5187B1F1">
            <w:pPr>
              <w:spacing w:before="10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1041" w:type="dxa"/>
            <w:vAlign w:val="top"/>
          </w:tcPr>
          <w:p w14:paraId="43897534">
            <w:pPr>
              <w:spacing w:before="247" w:line="195"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76" w:type="dxa"/>
            <w:vAlign w:val="top"/>
          </w:tcPr>
          <w:p w14:paraId="302BF847">
            <w:pPr>
              <w:pStyle w:val="6"/>
              <w:spacing w:before="54" w:line="260" w:lineRule="auto"/>
              <w:ind w:left="254" w:right="140" w:hanging="103"/>
            </w:pPr>
            <w:r>
              <w:rPr>
                <w:spacing w:val="8"/>
              </w:rPr>
              <w:t>危废暂存间暂存，委</w:t>
            </w:r>
            <w:r>
              <w:rPr>
                <w:spacing w:val="5"/>
              </w:rPr>
              <w:t xml:space="preserve"> </w:t>
            </w:r>
            <w:r>
              <w:rPr>
                <w:spacing w:val="8"/>
              </w:rPr>
              <w:t>托有资质单位处置</w:t>
            </w:r>
          </w:p>
        </w:tc>
      </w:tr>
      <w:tr w14:paraId="5AA46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78" w:type="dxa"/>
            <w:vAlign w:val="top"/>
          </w:tcPr>
          <w:p w14:paraId="07562749">
            <w:pPr>
              <w:pStyle w:val="6"/>
              <w:spacing w:before="55" w:line="228" w:lineRule="auto"/>
              <w:ind w:left="124"/>
            </w:pPr>
            <w:r>
              <w:rPr>
                <w:spacing w:val="7"/>
              </w:rPr>
              <w:t>尾矿回水</w:t>
            </w:r>
          </w:p>
          <w:p w14:paraId="4E7DDBCE">
            <w:pPr>
              <w:pStyle w:val="6"/>
              <w:spacing w:before="65" w:line="229" w:lineRule="auto"/>
              <w:ind w:left="128"/>
            </w:pPr>
            <w:r>
              <w:rPr>
                <w:spacing w:val="6"/>
              </w:rPr>
              <w:t>处理系统</w:t>
            </w:r>
          </w:p>
        </w:tc>
        <w:tc>
          <w:tcPr>
            <w:tcW w:w="1258" w:type="dxa"/>
            <w:vAlign w:val="top"/>
          </w:tcPr>
          <w:p w14:paraId="68AC420A">
            <w:pPr>
              <w:pStyle w:val="6"/>
              <w:spacing w:before="212" w:line="230" w:lineRule="auto"/>
              <w:ind w:left="423"/>
            </w:pPr>
            <w:r>
              <w:rPr>
                <w:spacing w:val="3"/>
              </w:rPr>
              <w:t>污泥</w:t>
            </w:r>
          </w:p>
        </w:tc>
        <w:tc>
          <w:tcPr>
            <w:tcW w:w="1098" w:type="dxa"/>
            <w:vAlign w:val="top"/>
          </w:tcPr>
          <w:p w14:paraId="72747629">
            <w:pPr>
              <w:spacing w:before="244" w:line="206" w:lineRule="auto"/>
              <w:ind w:left="361"/>
              <w:rPr>
                <w:rFonts w:ascii="Times New Roman" w:hAnsi="Times New Roman" w:eastAsia="Times New Roman" w:cs="Times New Roman"/>
                <w:sz w:val="13"/>
                <w:szCs w:val="13"/>
              </w:rPr>
            </w:pPr>
            <w:r>
              <w:rPr>
                <w:rFonts w:ascii="Times New Roman" w:hAnsi="Times New Roman" w:eastAsia="Times New Roman" w:cs="Times New Roman"/>
                <w:sz w:val="20"/>
                <w:szCs w:val="20"/>
              </w:rPr>
              <w:t>SiO</w:t>
            </w:r>
            <w:r>
              <w:rPr>
                <w:rFonts w:ascii="Times New Roman" w:hAnsi="Times New Roman" w:eastAsia="Times New Roman" w:cs="Times New Roman"/>
                <w:spacing w:val="5"/>
                <w:position w:val="-1"/>
                <w:sz w:val="13"/>
                <w:szCs w:val="13"/>
              </w:rPr>
              <w:t>2</w:t>
            </w:r>
          </w:p>
        </w:tc>
        <w:tc>
          <w:tcPr>
            <w:tcW w:w="1858" w:type="dxa"/>
            <w:vAlign w:val="top"/>
          </w:tcPr>
          <w:p w14:paraId="56EEBAA5">
            <w:pPr>
              <w:pStyle w:val="6"/>
              <w:spacing w:before="212" w:line="228" w:lineRule="auto"/>
              <w:ind w:left="517"/>
            </w:pPr>
            <w:r>
              <w:rPr>
                <w:spacing w:val="6"/>
              </w:rPr>
              <w:t>一般固废</w:t>
            </w:r>
          </w:p>
        </w:tc>
        <w:tc>
          <w:tcPr>
            <w:tcW w:w="1041" w:type="dxa"/>
            <w:vAlign w:val="top"/>
          </w:tcPr>
          <w:p w14:paraId="72732F71">
            <w:pPr>
              <w:spacing w:before="24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176" w:type="dxa"/>
            <w:vAlign w:val="top"/>
          </w:tcPr>
          <w:p w14:paraId="066C8E5C">
            <w:pPr>
              <w:pStyle w:val="6"/>
              <w:spacing w:before="211" w:line="228" w:lineRule="auto"/>
              <w:ind w:left="464"/>
            </w:pPr>
            <w:r>
              <w:rPr>
                <w:spacing w:val="8"/>
              </w:rPr>
              <w:t>堆存于尾矿库</w:t>
            </w:r>
          </w:p>
        </w:tc>
      </w:tr>
      <w:tr w14:paraId="5CA6F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78" w:type="dxa"/>
            <w:vAlign w:val="top"/>
          </w:tcPr>
          <w:p w14:paraId="1DB9CEE4">
            <w:pPr>
              <w:pStyle w:val="6"/>
              <w:spacing w:before="211" w:line="228" w:lineRule="auto"/>
              <w:ind w:left="128"/>
            </w:pPr>
            <w:r>
              <w:rPr>
                <w:spacing w:val="6"/>
              </w:rPr>
              <w:t>办公生活</w:t>
            </w:r>
          </w:p>
        </w:tc>
        <w:tc>
          <w:tcPr>
            <w:tcW w:w="1258" w:type="dxa"/>
            <w:vAlign w:val="top"/>
          </w:tcPr>
          <w:p w14:paraId="1BAFE20A">
            <w:pPr>
              <w:pStyle w:val="6"/>
              <w:spacing w:before="212" w:line="228" w:lineRule="auto"/>
              <w:ind w:left="214"/>
            </w:pPr>
            <w:r>
              <w:rPr>
                <w:spacing w:val="6"/>
              </w:rPr>
              <w:t>生活垃圾</w:t>
            </w:r>
          </w:p>
        </w:tc>
        <w:tc>
          <w:tcPr>
            <w:tcW w:w="1098" w:type="dxa"/>
            <w:vAlign w:val="top"/>
          </w:tcPr>
          <w:p w14:paraId="53664431">
            <w:pPr>
              <w:spacing w:before="243" w:line="199"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58" w:type="dxa"/>
            <w:vAlign w:val="top"/>
          </w:tcPr>
          <w:p w14:paraId="029202D0">
            <w:pPr>
              <w:spacing w:before="243"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1" w:type="dxa"/>
            <w:vAlign w:val="top"/>
          </w:tcPr>
          <w:p w14:paraId="47C62597">
            <w:pPr>
              <w:spacing w:before="24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73.08</w:t>
            </w:r>
          </w:p>
        </w:tc>
        <w:tc>
          <w:tcPr>
            <w:tcW w:w="2176" w:type="dxa"/>
            <w:vAlign w:val="top"/>
          </w:tcPr>
          <w:p w14:paraId="1623BB96">
            <w:pPr>
              <w:pStyle w:val="6"/>
              <w:spacing w:before="55" w:line="262" w:lineRule="auto"/>
              <w:ind w:left="465" w:right="140" w:hanging="311"/>
            </w:pPr>
            <w:r>
              <w:rPr>
                <w:spacing w:val="8"/>
              </w:rPr>
              <w:t>定期清运至当地环卫</w:t>
            </w:r>
            <w:r>
              <w:rPr>
                <w:spacing w:val="2"/>
              </w:rPr>
              <w:t xml:space="preserve"> </w:t>
            </w:r>
            <w:r>
              <w:rPr>
                <w:spacing w:val="7"/>
              </w:rPr>
              <w:t>部门指定地点</w:t>
            </w:r>
          </w:p>
        </w:tc>
      </w:tr>
    </w:tbl>
    <w:p w14:paraId="684E81C2">
      <w:pPr>
        <w:pStyle w:val="2"/>
        <w:spacing w:line="251" w:lineRule="auto"/>
      </w:pPr>
    </w:p>
    <w:p w14:paraId="09C97356">
      <w:pPr>
        <w:pStyle w:val="2"/>
        <w:spacing w:line="251" w:lineRule="auto"/>
      </w:pPr>
    </w:p>
    <w:p w14:paraId="3FFB9BC6">
      <w:pPr>
        <w:spacing w:before="78" w:line="220" w:lineRule="auto"/>
        <w:ind w:left="593"/>
        <w:outlineLvl w:val="2"/>
        <w:rPr>
          <w:rFonts w:ascii="宋体" w:hAnsi="宋体" w:eastAsia="宋体" w:cs="宋体"/>
          <w:sz w:val="24"/>
          <w:szCs w:val="24"/>
        </w:rPr>
      </w:pPr>
      <w:bookmarkStart w:id="141" w:name="bookmark124"/>
      <w:bookmarkEnd w:id="141"/>
      <w:r>
        <w:rPr>
          <w:rFonts w:ascii="Times New Roman" w:hAnsi="Times New Roman" w:eastAsia="Times New Roman" w:cs="Times New Roman"/>
          <w:b/>
          <w:bCs/>
          <w:spacing w:val="-4"/>
          <w:sz w:val="24"/>
          <w:szCs w:val="24"/>
        </w:rPr>
        <w:t>8.5.2</w:t>
      </w:r>
      <w:r>
        <w:rPr>
          <w:rFonts w:ascii="Times New Roman" w:hAnsi="Times New Roman" w:eastAsia="Times New Roman" w:cs="Times New Roman"/>
          <w:b/>
          <w:bCs/>
          <w:spacing w:val="30"/>
          <w:sz w:val="24"/>
          <w:szCs w:val="24"/>
        </w:rPr>
        <w:t xml:space="preserve"> </w:t>
      </w:r>
      <w:r>
        <w:rPr>
          <w:rFonts w:ascii="宋体" w:hAnsi="宋体" w:eastAsia="宋体" w:cs="宋体"/>
          <w:b/>
          <w:bCs/>
          <w:spacing w:val="-4"/>
          <w:sz w:val="24"/>
          <w:szCs w:val="24"/>
        </w:rPr>
        <w:t>固体废物影响分析</w:t>
      </w:r>
    </w:p>
    <w:p w14:paraId="3FE39D63">
      <w:pPr>
        <w:spacing w:before="182" w:line="220" w:lineRule="auto"/>
        <w:ind w:left="599"/>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8.5.2.1 </w:t>
      </w:r>
      <w:r>
        <w:rPr>
          <w:rFonts w:ascii="宋体" w:hAnsi="宋体" w:eastAsia="宋体" w:cs="宋体"/>
          <w:spacing w:val="-1"/>
          <w:sz w:val="24"/>
          <w:szCs w:val="24"/>
        </w:rPr>
        <w:t>尾砂环境影响分析</w:t>
      </w:r>
    </w:p>
    <w:p w14:paraId="7159AF97">
      <w:pPr>
        <w:spacing w:before="182" w:line="360" w:lineRule="auto"/>
        <w:ind w:left="116" w:right="219" w:firstLine="478"/>
        <w:rPr>
          <w:rFonts w:ascii="宋体" w:hAnsi="宋体" w:eastAsia="宋体" w:cs="宋体"/>
          <w:sz w:val="24"/>
          <w:szCs w:val="24"/>
        </w:rPr>
      </w:pPr>
      <w:r>
        <w:rPr>
          <w:rFonts w:ascii="宋体" w:hAnsi="宋体" w:eastAsia="宋体" w:cs="宋体"/>
          <w:spacing w:val="4"/>
          <w:sz w:val="24"/>
          <w:szCs w:val="24"/>
        </w:rPr>
        <w:t>根据内蒙古自治区第十地质矿产勘查开发院实验室对玉龙矿业尾矿的浸出</w:t>
      </w:r>
      <w:r>
        <w:rPr>
          <w:rFonts w:ascii="宋体" w:hAnsi="宋体" w:eastAsia="宋体" w:cs="宋体"/>
          <w:spacing w:val="7"/>
          <w:sz w:val="24"/>
          <w:szCs w:val="24"/>
        </w:rPr>
        <w:t xml:space="preserve"> </w:t>
      </w:r>
      <w:r>
        <w:rPr>
          <w:rFonts w:ascii="宋体" w:hAnsi="宋体" w:eastAsia="宋体" w:cs="宋体"/>
          <w:spacing w:val="14"/>
          <w:sz w:val="24"/>
          <w:szCs w:val="24"/>
        </w:rPr>
        <w:t>毒性监测，所有项目检测值均未超过《危险废物鉴别标准</w:t>
      </w:r>
      <w:r>
        <w:rPr>
          <w:rFonts w:ascii="宋体" w:hAnsi="宋体" w:eastAsia="宋体" w:cs="宋体"/>
          <w:spacing w:val="40"/>
          <w:sz w:val="24"/>
          <w:szCs w:val="24"/>
        </w:rPr>
        <w:t xml:space="preserve"> </w:t>
      </w:r>
      <w:r>
        <w:rPr>
          <w:rFonts w:ascii="宋体" w:hAnsi="宋体" w:eastAsia="宋体" w:cs="宋体"/>
          <w:spacing w:val="14"/>
          <w:sz w:val="24"/>
          <w:szCs w:val="24"/>
        </w:rPr>
        <w:t>浸出毒</w:t>
      </w:r>
      <w:r>
        <w:rPr>
          <w:rFonts w:ascii="宋体" w:hAnsi="宋体" w:eastAsia="宋体" w:cs="宋体"/>
          <w:spacing w:val="13"/>
          <w:sz w:val="24"/>
          <w:szCs w:val="24"/>
        </w:rPr>
        <w:t>性鉴别》</w:t>
      </w:r>
    </w:p>
    <w:p w14:paraId="5B96EB9E">
      <w:pPr>
        <w:spacing w:line="360" w:lineRule="auto"/>
        <w:ind w:left="133" w:hanging="8"/>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GB5085.3-2007</w:t>
      </w:r>
      <w:r>
        <w:rPr>
          <w:rFonts w:ascii="宋体" w:hAnsi="宋体" w:eastAsia="宋体" w:cs="宋体"/>
          <w:spacing w:val="-9"/>
          <w:sz w:val="24"/>
          <w:szCs w:val="24"/>
        </w:rPr>
        <w:t>）中浸出毒性鉴别标准值和《污水综合排放标准》（</w:t>
      </w:r>
      <w:r>
        <w:rPr>
          <w:rFonts w:ascii="Times New Roman" w:hAnsi="Times New Roman" w:eastAsia="Times New Roman" w:cs="Times New Roman"/>
          <w:spacing w:val="-9"/>
          <w:sz w:val="24"/>
          <w:szCs w:val="24"/>
        </w:rPr>
        <w:t>GB8978-1996</w:t>
      </w:r>
      <w:r>
        <w:rPr>
          <w:rFonts w:ascii="宋体" w:hAnsi="宋体" w:eastAsia="宋体" w:cs="宋体"/>
          <w:spacing w:val="-9"/>
          <w:sz w:val="24"/>
          <w:szCs w:val="24"/>
        </w:rPr>
        <w:t>）</w:t>
      </w:r>
      <w:r>
        <w:rPr>
          <w:rFonts w:ascii="宋体" w:hAnsi="宋体" w:eastAsia="宋体" w:cs="宋体"/>
          <w:spacing w:val="18"/>
          <w:sz w:val="24"/>
          <w:szCs w:val="24"/>
        </w:rPr>
        <w:t xml:space="preserve"> </w:t>
      </w:r>
      <w:r>
        <w:rPr>
          <w:rFonts w:ascii="宋体" w:hAnsi="宋体" w:eastAsia="宋体" w:cs="宋体"/>
          <w:spacing w:val="-6"/>
          <w:sz w:val="24"/>
          <w:szCs w:val="24"/>
        </w:rPr>
        <w:t>中最高允许浓度限值，尾矿属于第</w:t>
      </w:r>
      <w:r>
        <w:rPr>
          <w:rFonts w:ascii="宋体" w:hAnsi="宋体" w:eastAsia="宋体" w:cs="宋体"/>
          <w:spacing w:val="-33"/>
          <w:sz w:val="24"/>
          <w:szCs w:val="24"/>
        </w:rPr>
        <w:t xml:space="preserve"> </w:t>
      </w:r>
      <w:r>
        <w:rPr>
          <w:rFonts w:ascii="宋体" w:hAnsi="宋体" w:eastAsia="宋体" w:cs="宋体"/>
          <w:spacing w:val="-6"/>
          <w:sz w:val="24"/>
          <w:szCs w:val="24"/>
        </w:rPr>
        <w:t>Ⅰ类一般工业固体废物并且不属于有浸出毒性</w:t>
      </w:r>
      <w:r>
        <w:rPr>
          <w:rFonts w:ascii="宋体" w:hAnsi="宋体" w:eastAsia="宋体" w:cs="宋体"/>
          <w:sz w:val="24"/>
          <w:szCs w:val="24"/>
        </w:rPr>
        <w:t xml:space="preserve">  </w:t>
      </w:r>
      <w:r>
        <w:rPr>
          <w:rFonts w:ascii="宋体" w:hAnsi="宋体" w:eastAsia="宋体" w:cs="宋体"/>
          <w:spacing w:val="-5"/>
          <w:sz w:val="24"/>
          <w:szCs w:val="24"/>
        </w:rPr>
        <w:t>的危险废物。</w:t>
      </w:r>
    </w:p>
    <w:p w14:paraId="630A56FD">
      <w:pPr>
        <w:spacing w:before="2" w:line="359" w:lineRule="auto"/>
        <w:ind w:left="118" w:right="219" w:firstLine="477"/>
        <w:rPr>
          <w:rFonts w:ascii="宋体" w:hAnsi="宋体" w:eastAsia="宋体" w:cs="宋体"/>
          <w:sz w:val="24"/>
          <w:szCs w:val="24"/>
        </w:rPr>
      </w:pPr>
      <w:r>
        <w:rPr>
          <w:rFonts w:ascii="宋体" w:hAnsi="宋体" w:eastAsia="宋体" w:cs="宋体"/>
          <w:sz w:val="24"/>
          <w:szCs w:val="24"/>
        </w:rPr>
        <w:t>本项目尾矿年产量为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63.094×10</w:t>
      </w:r>
      <w:r>
        <w:rPr>
          <w:rFonts w:ascii="Times New Roman" w:hAnsi="Times New Roman" w:eastAsia="Times New Roman" w:cs="Times New Roman"/>
          <w:position w:val="8"/>
          <w:sz w:val="15"/>
          <w:szCs w:val="15"/>
        </w:rPr>
        <w:t>4</w:t>
      </w:r>
      <w:r>
        <w:rPr>
          <w:rFonts w:ascii="Times New Roman" w:hAnsi="Times New Roman" w:eastAsia="Times New Roman" w:cs="Times New Roman"/>
          <w:sz w:val="24"/>
          <w:szCs w:val="24"/>
        </w:rPr>
        <w:t>t/a</w:t>
      </w:r>
      <w:r>
        <w:rPr>
          <w:rFonts w:ascii="宋体" w:hAnsi="宋体" w:eastAsia="宋体" w:cs="宋体"/>
          <w:sz w:val="24"/>
          <w:szCs w:val="24"/>
        </w:rPr>
        <w:t>（每天产生量约为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3004t</w:t>
      </w:r>
      <w:r>
        <w:rPr>
          <w:rFonts w:ascii="宋体" w:hAnsi="宋体" w:eastAsia="宋体" w:cs="宋体"/>
          <w:spacing w:val="8"/>
          <w:sz w:val="24"/>
          <w:szCs w:val="24"/>
        </w:rPr>
        <w:t>），</w:t>
      </w:r>
      <w:r>
        <w:rPr>
          <w:rFonts w:ascii="宋体" w:hAnsi="宋体" w:eastAsia="宋体" w:cs="宋体"/>
          <w:sz w:val="24"/>
          <w:szCs w:val="24"/>
        </w:rPr>
        <w:t>尾</w:t>
      </w:r>
      <w:r>
        <w:rPr>
          <w:rFonts w:ascii="宋体" w:hAnsi="宋体" w:eastAsia="宋体" w:cs="宋体"/>
          <w:spacing w:val="-1"/>
          <w:sz w:val="24"/>
          <w:szCs w:val="24"/>
        </w:rPr>
        <w:t>矿经过厂</w:t>
      </w:r>
      <w:r>
        <w:rPr>
          <w:rFonts w:ascii="宋体" w:hAnsi="宋体" w:eastAsia="宋体" w:cs="宋体"/>
          <w:sz w:val="24"/>
          <w:szCs w:val="24"/>
        </w:rPr>
        <w:t xml:space="preserve"> </w:t>
      </w:r>
      <w:r>
        <w:rPr>
          <w:rFonts w:ascii="宋体" w:hAnsi="宋体" w:eastAsia="宋体" w:cs="宋体"/>
          <w:spacing w:val="-1"/>
          <w:sz w:val="24"/>
          <w:szCs w:val="24"/>
        </w:rPr>
        <w:t>前浓密后经管道输送至现有尾矿库贮存。</w:t>
      </w:r>
    </w:p>
    <w:p w14:paraId="0656E778">
      <w:pPr>
        <w:spacing w:before="1" w:line="220" w:lineRule="auto"/>
        <w:ind w:left="599"/>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8.5.2.2 </w:t>
      </w:r>
      <w:r>
        <w:rPr>
          <w:rFonts w:ascii="宋体" w:hAnsi="宋体" w:eastAsia="宋体" w:cs="宋体"/>
          <w:spacing w:val="-1"/>
          <w:sz w:val="24"/>
          <w:szCs w:val="24"/>
        </w:rPr>
        <w:t>其他一般工业固废环境影响分析</w:t>
      </w:r>
    </w:p>
    <w:p w14:paraId="47B4E6AB">
      <w:pPr>
        <w:spacing w:before="182" w:line="362" w:lineRule="auto"/>
        <w:ind w:left="114" w:right="219" w:firstLine="480"/>
        <w:rPr>
          <w:rFonts w:ascii="宋体" w:hAnsi="宋体" w:eastAsia="宋体" w:cs="宋体"/>
          <w:sz w:val="24"/>
          <w:szCs w:val="24"/>
        </w:rPr>
      </w:pPr>
      <w:r>
        <w:rPr>
          <w:rFonts w:ascii="宋体" w:hAnsi="宋体" w:eastAsia="宋体" w:cs="宋体"/>
          <w:spacing w:val="-3"/>
          <w:sz w:val="24"/>
          <w:szCs w:val="24"/>
        </w:rPr>
        <w:t>其他一般工业固废有袋式除尘器收集的粉尘、尾矿回水污泥。</w:t>
      </w:r>
      <w:r>
        <w:rPr>
          <w:rFonts w:ascii="宋体" w:hAnsi="宋体" w:eastAsia="宋体" w:cs="宋体"/>
          <w:spacing w:val="-4"/>
          <w:sz w:val="24"/>
          <w:szCs w:val="24"/>
        </w:rPr>
        <w:t>其中袋式除尘</w:t>
      </w:r>
      <w:r>
        <w:rPr>
          <w:rFonts w:ascii="宋体" w:hAnsi="宋体" w:eastAsia="宋体" w:cs="宋体"/>
          <w:sz w:val="24"/>
          <w:szCs w:val="24"/>
        </w:rPr>
        <w:t xml:space="preserve"> </w:t>
      </w:r>
      <w:r>
        <w:rPr>
          <w:rFonts w:ascii="宋体" w:hAnsi="宋体" w:eastAsia="宋体" w:cs="宋体"/>
          <w:spacing w:val="-3"/>
          <w:sz w:val="24"/>
          <w:szCs w:val="24"/>
        </w:rPr>
        <w:t>器收尘为原是矿粉，将直接回到浮选生产线；尾矿回水污泥属于一般废物，管道</w:t>
      </w:r>
    </w:p>
    <w:p w14:paraId="22525A42">
      <w:pPr>
        <w:spacing w:line="362" w:lineRule="auto"/>
        <w:rPr>
          <w:rFonts w:ascii="宋体" w:hAnsi="宋体" w:eastAsia="宋体" w:cs="宋体"/>
          <w:sz w:val="24"/>
          <w:szCs w:val="24"/>
        </w:rPr>
        <w:sectPr>
          <w:headerReference r:id="rId333" w:type="default"/>
          <w:footerReference r:id="rId334" w:type="default"/>
          <w:pgSz w:w="11906" w:h="16839"/>
          <w:pgMar w:top="1208" w:right="1580" w:bottom="1358" w:left="1695" w:header="825" w:footer="1195" w:gutter="0"/>
          <w:cols w:space="720" w:num="1"/>
        </w:sectPr>
      </w:pPr>
    </w:p>
    <w:p w14:paraId="297EA590">
      <w:pPr>
        <w:pStyle w:val="2"/>
        <w:spacing w:line="265" w:lineRule="auto"/>
      </w:pPr>
    </w:p>
    <w:p w14:paraId="426085C2">
      <w:pPr>
        <w:spacing w:before="78" w:line="219" w:lineRule="auto"/>
        <w:ind w:left="22"/>
        <w:rPr>
          <w:rFonts w:ascii="宋体" w:hAnsi="宋体" w:eastAsia="宋体" w:cs="宋体"/>
          <w:sz w:val="24"/>
          <w:szCs w:val="24"/>
        </w:rPr>
      </w:pPr>
      <w:r>
        <w:rPr>
          <w:rFonts w:ascii="宋体" w:hAnsi="宋体" w:eastAsia="宋体" w:cs="宋体"/>
          <w:sz w:val="24"/>
          <w:szCs w:val="24"/>
        </w:rPr>
        <w:t>输送至尾矿库堆存。合理处置后，可消除工业固</w:t>
      </w:r>
      <w:r>
        <w:rPr>
          <w:rFonts w:ascii="宋体" w:hAnsi="宋体" w:eastAsia="宋体" w:cs="宋体"/>
          <w:spacing w:val="-1"/>
          <w:sz w:val="24"/>
          <w:szCs w:val="24"/>
        </w:rPr>
        <w:t>废对环境的不良影响。</w:t>
      </w:r>
    </w:p>
    <w:p w14:paraId="2162E887">
      <w:pPr>
        <w:spacing w:before="182" w:line="220"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8.5.2.3 </w:t>
      </w:r>
      <w:r>
        <w:rPr>
          <w:rFonts w:ascii="宋体" w:hAnsi="宋体" w:eastAsia="宋体" w:cs="宋体"/>
          <w:spacing w:val="-1"/>
          <w:sz w:val="24"/>
          <w:szCs w:val="24"/>
        </w:rPr>
        <w:t>危险废物环境影响分析</w:t>
      </w:r>
    </w:p>
    <w:p w14:paraId="4C99E97A">
      <w:pPr>
        <w:spacing w:before="182"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）危险废物暂存环境影响</w:t>
      </w:r>
    </w:p>
    <w:p w14:paraId="41E3D900">
      <w:pPr>
        <w:spacing w:before="183" w:line="217" w:lineRule="auto"/>
        <w:ind w:left="502"/>
        <w:rPr>
          <w:rFonts w:ascii="宋体" w:hAnsi="宋体" w:eastAsia="宋体" w:cs="宋体"/>
          <w:sz w:val="24"/>
          <w:szCs w:val="24"/>
        </w:rPr>
      </w:pPr>
      <w:r>
        <w:rPr>
          <w:rFonts w:ascii="宋体" w:hAnsi="宋体" w:eastAsia="宋体" w:cs="宋体"/>
          <w:spacing w:val="-2"/>
          <w:sz w:val="24"/>
          <w:szCs w:val="24"/>
        </w:rPr>
        <w:t>①选址合理性</w:t>
      </w:r>
    </w:p>
    <w:p w14:paraId="1FD3B1CA">
      <w:pPr>
        <w:spacing w:before="185" w:line="360" w:lineRule="auto"/>
        <w:ind w:left="22" w:right="105" w:firstLine="480"/>
        <w:jc w:val="both"/>
        <w:rPr>
          <w:rFonts w:ascii="宋体" w:hAnsi="宋体" w:eastAsia="宋体" w:cs="宋体"/>
          <w:sz w:val="24"/>
          <w:szCs w:val="24"/>
        </w:rPr>
      </w:pPr>
      <w:r>
        <w:rPr>
          <w:rFonts w:ascii="宋体" w:hAnsi="宋体" w:eastAsia="宋体" w:cs="宋体"/>
          <w:spacing w:val="-3"/>
          <w:sz w:val="24"/>
          <w:szCs w:val="24"/>
        </w:rPr>
        <w:t>机械设备（如球磨机、装载机等）的维护、维修过程可能会产生</w:t>
      </w:r>
      <w:r>
        <w:rPr>
          <w:rFonts w:ascii="宋体" w:hAnsi="宋体" w:eastAsia="宋体" w:cs="宋体"/>
          <w:spacing w:val="-4"/>
          <w:sz w:val="24"/>
          <w:szCs w:val="24"/>
        </w:rPr>
        <w:t>少量的废机</w:t>
      </w:r>
      <w:r>
        <w:rPr>
          <w:rFonts w:ascii="宋体" w:hAnsi="宋体" w:eastAsia="宋体" w:cs="宋体"/>
          <w:sz w:val="24"/>
          <w:szCs w:val="24"/>
        </w:rPr>
        <w:t xml:space="preserve"> </w:t>
      </w:r>
      <w:r>
        <w:rPr>
          <w:rFonts w:ascii="宋体" w:hAnsi="宋体" w:eastAsia="宋体" w:cs="宋体"/>
          <w:spacing w:val="1"/>
          <w:sz w:val="24"/>
          <w:szCs w:val="24"/>
        </w:rPr>
        <w:t>油，废机油的产生量约为</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1t/a</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。废机油属</w:t>
      </w:r>
      <w:r>
        <w:rPr>
          <w:rFonts w:ascii="宋体" w:hAnsi="宋体" w:eastAsia="宋体" w:cs="宋体"/>
          <w:sz w:val="24"/>
          <w:szCs w:val="24"/>
        </w:rPr>
        <w:t>于危险废物，危废类别为</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 xml:space="preserve">HW08  </w:t>
      </w:r>
      <w:r>
        <w:rPr>
          <w:rFonts w:ascii="宋体" w:hAnsi="宋体" w:eastAsia="宋体" w:cs="宋体"/>
          <w:sz w:val="24"/>
          <w:szCs w:val="24"/>
        </w:rPr>
        <w:t xml:space="preserve">废矿 </w:t>
      </w:r>
      <w:r>
        <w:rPr>
          <w:rFonts w:ascii="宋体" w:hAnsi="宋体" w:eastAsia="宋体" w:cs="宋体"/>
          <w:spacing w:val="-1"/>
          <w:sz w:val="24"/>
          <w:szCs w:val="24"/>
        </w:rPr>
        <w:t>物油与含矿物油废物，废物代码：</w:t>
      </w:r>
      <w:r>
        <w:rPr>
          <w:rFonts w:ascii="Times New Roman" w:hAnsi="Times New Roman" w:eastAsia="Times New Roman" w:cs="Times New Roman"/>
          <w:spacing w:val="-1"/>
          <w:sz w:val="24"/>
          <w:szCs w:val="24"/>
        </w:rPr>
        <w:t>900-214-08</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，废机油收集后储放在危废专用的</w:t>
      </w:r>
      <w:r>
        <w:rPr>
          <w:rFonts w:ascii="宋体" w:hAnsi="宋体" w:eastAsia="宋体" w:cs="宋体"/>
          <w:sz w:val="24"/>
          <w:szCs w:val="24"/>
        </w:rPr>
        <w:t xml:space="preserve"> </w:t>
      </w:r>
      <w:r>
        <w:rPr>
          <w:rFonts w:ascii="宋体" w:hAnsi="宋体" w:eastAsia="宋体" w:cs="宋体"/>
          <w:spacing w:val="-1"/>
          <w:sz w:val="24"/>
          <w:szCs w:val="24"/>
        </w:rPr>
        <w:t>铁桶内，暂存在危废暂存间，定期委托资质的单位处置。</w:t>
      </w:r>
    </w:p>
    <w:p w14:paraId="342918AC">
      <w:pPr>
        <w:spacing w:line="360" w:lineRule="auto"/>
        <w:ind w:left="23" w:right="168" w:firstLine="481"/>
        <w:rPr>
          <w:rFonts w:ascii="宋体" w:hAnsi="宋体" w:eastAsia="宋体" w:cs="宋体"/>
          <w:sz w:val="24"/>
          <w:szCs w:val="24"/>
        </w:rPr>
      </w:pPr>
      <w:r>
        <w:rPr>
          <w:rFonts w:ascii="宋体" w:hAnsi="宋体" w:eastAsia="宋体" w:cs="宋体"/>
          <w:spacing w:val="9"/>
          <w:sz w:val="24"/>
          <w:szCs w:val="24"/>
        </w:rPr>
        <w:t>浮选药品废弃包装材料属于危险废物，危废类别为</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HW</w:t>
      </w:r>
      <w:r>
        <w:rPr>
          <w:rFonts w:ascii="Times New Roman" w:hAnsi="Times New Roman" w:eastAsia="Times New Roman" w:cs="Times New Roman"/>
          <w:spacing w:val="9"/>
          <w:sz w:val="24"/>
          <w:szCs w:val="24"/>
        </w:rPr>
        <w:t>49</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，废物</w:t>
      </w:r>
      <w:r>
        <w:rPr>
          <w:rFonts w:ascii="宋体" w:hAnsi="宋体" w:eastAsia="宋体" w:cs="宋体"/>
          <w:spacing w:val="8"/>
          <w:sz w:val="24"/>
          <w:szCs w:val="24"/>
        </w:rPr>
        <w:t>代码：</w:t>
      </w:r>
      <w:r>
        <w:rPr>
          <w:rFonts w:ascii="宋体" w:hAnsi="宋体" w:eastAsia="宋体" w:cs="宋体"/>
          <w:sz w:val="24"/>
          <w:szCs w:val="24"/>
        </w:rPr>
        <w:t xml:space="preserve"> </w:t>
      </w:r>
      <w:r>
        <w:rPr>
          <w:rFonts w:ascii="Times New Roman" w:hAnsi="Times New Roman" w:eastAsia="Times New Roman" w:cs="Times New Roman"/>
          <w:spacing w:val="-1"/>
          <w:sz w:val="24"/>
          <w:szCs w:val="24"/>
        </w:rPr>
        <w:t>900-047-49</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，暂存在危废暂存间，定期</w:t>
      </w:r>
      <w:r>
        <w:rPr>
          <w:rFonts w:ascii="宋体" w:hAnsi="宋体" w:eastAsia="宋体" w:cs="宋体"/>
          <w:spacing w:val="-2"/>
          <w:sz w:val="24"/>
          <w:szCs w:val="24"/>
        </w:rPr>
        <w:t>委托资质的单位处置。</w:t>
      </w:r>
    </w:p>
    <w:p w14:paraId="251B3C59">
      <w:pPr>
        <w:spacing w:before="6" w:line="359" w:lineRule="auto"/>
        <w:ind w:left="22" w:firstLine="480"/>
        <w:jc w:val="both"/>
        <w:rPr>
          <w:rFonts w:ascii="宋体" w:hAnsi="宋体" w:eastAsia="宋体" w:cs="宋体"/>
          <w:sz w:val="24"/>
          <w:szCs w:val="24"/>
        </w:rPr>
      </w:pPr>
      <w:r>
        <w:rPr>
          <w:rFonts w:ascii="宋体" w:hAnsi="宋体" w:eastAsia="宋体" w:cs="宋体"/>
          <w:spacing w:val="-1"/>
          <w:sz w:val="24"/>
          <w:szCs w:val="24"/>
        </w:rPr>
        <w:t>根据《建筑抗震设计规范》（</w:t>
      </w:r>
      <w:r>
        <w:rPr>
          <w:rFonts w:ascii="Times New Roman" w:hAnsi="Times New Roman" w:eastAsia="Times New Roman" w:cs="Times New Roman"/>
          <w:spacing w:val="-1"/>
          <w:sz w:val="24"/>
          <w:szCs w:val="24"/>
        </w:rPr>
        <w:t>GB50011-2010</w:t>
      </w:r>
      <w:r>
        <w:rPr>
          <w:rFonts w:ascii="宋体" w:hAnsi="宋体" w:eastAsia="宋体" w:cs="宋体"/>
          <w:spacing w:val="-1"/>
          <w:sz w:val="24"/>
          <w:szCs w:val="24"/>
        </w:rPr>
        <w:t>）</w:t>
      </w:r>
      <w:r>
        <w:rPr>
          <w:rFonts w:ascii="宋体" w:hAnsi="宋体" w:eastAsia="宋体" w:cs="宋体"/>
          <w:spacing w:val="-2"/>
          <w:sz w:val="24"/>
          <w:szCs w:val="24"/>
        </w:rPr>
        <w:t>和《中国地震动参数区划图》</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18306-2001</w:t>
      </w:r>
      <w:r>
        <w:rPr>
          <w:rFonts w:ascii="宋体" w:hAnsi="宋体" w:eastAsia="宋体" w:cs="宋体"/>
          <w:spacing w:val="10"/>
          <w:sz w:val="24"/>
          <w:szCs w:val="24"/>
        </w:rPr>
        <w:t>），</w:t>
      </w:r>
      <w:r>
        <w:rPr>
          <w:rFonts w:ascii="宋体" w:hAnsi="宋体" w:eastAsia="宋体" w:cs="宋体"/>
          <w:spacing w:val="2"/>
          <w:sz w:val="24"/>
          <w:szCs w:val="24"/>
        </w:rPr>
        <w:t>所在区域地质条件相对较稳定，地</w:t>
      </w:r>
      <w:r>
        <w:rPr>
          <w:rFonts w:ascii="宋体" w:hAnsi="宋体" w:eastAsia="宋体" w:cs="宋体"/>
          <w:spacing w:val="1"/>
          <w:sz w:val="24"/>
          <w:szCs w:val="24"/>
        </w:rPr>
        <w:t>震危险性较小。危废暂</w:t>
      </w:r>
      <w:r>
        <w:rPr>
          <w:rFonts w:ascii="宋体" w:hAnsi="宋体" w:eastAsia="宋体" w:cs="宋体"/>
          <w:sz w:val="24"/>
          <w:szCs w:val="24"/>
        </w:rPr>
        <w:t xml:space="preserve">  存间占地面积</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20m</w:t>
      </w:r>
      <w:r>
        <w:rPr>
          <w:rFonts w:ascii="Times New Roman" w:hAnsi="Times New Roman" w:eastAsia="Times New Roman" w:cs="Times New Roman"/>
          <w:position w:val="7"/>
          <w:sz w:val="15"/>
          <w:szCs w:val="15"/>
        </w:rPr>
        <w:t>2</w:t>
      </w:r>
      <w:r>
        <w:rPr>
          <w:rFonts w:ascii="宋体" w:hAnsi="宋体" w:eastAsia="宋体" w:cs="宋体"/>
          <w:sz w:val="24"/>
          <w:szCs w:val="24"/>
        </w:rPr>
        <w:t>（</w:t>
      </w:r>
      <w:r>
        <w:rPr>
          <w:rFonts w:ascii="Times New Roman" w:hAnsi="Times New Roman" w:eastAsia="Times New Roman" w:cs="Times New Roman"/>
          <w:sz w:val="24"/>
          <w:szCs w:val="24"/>
        </w:rPr>
        <w:t>5m×4m</w:t>
      </w:r>
      <w:r>
        <w:rPr>
          <w:rFonts w:ascii="宋体" w:hAnsi="宋体" w:eastAsia="宋体" w:cs="宋体"/>
          <w:spacing w:val="10"/>
          <w:sz w:val="24"/>
          <w:szCs w:val="24"/>
        </w:rPr>
        <w:t>）；</w:t>
      </w:r>
      <w:r>
        <w:rPr>
          <w:rFonts w:ascii="宋体" w:hAnsi="宋体" w:eastAsia="宋体" w:cs="宋体"/>
          <w:sz w:val="24"/>
          <w:szCs w:val="24"/>
        </w:rPr>
        <w:t xml:space="preserve">储存区位于厂区边界、临近厂内道路一侧，便  </w:t>
      </w:r>
      <w:r>
        <w:rPr>
          <w:rFonts w:ascii="宋体" w:hAnsi="宋体" w:eastAsia="宋体" w:cs="宋体"/>
          <w:spacing w:val="-1"/>
          <w:sz w:val="24"/>
          <w:szCs w:val="24"/>
        </w:rPr>
        <w:t>于物料运输，减少因运输可能产生的物料倾倒风险。</w:t>
      </w:r>
    </w:p>
    <w:p w14:paraId="37BBE5B9">
      <w:pPr>
        <w:spacing w:line="219" w:lineRule="auto"/>
        <w:ind w:left="506"/>
        <w:rPr>
          <w:rFonts w:ascii="宋体" w:hAnsi="宋体" w:eastAsia="宋体" w:cs="宋体"/>
          <w:sz w:val="24"/>
          <w:szCs w:val="24"/>
        </w:rPr>
      </w:pPr>
      <w:r>
        <w:rPr>
          <w:rFonts w:ascii="宋体" w:hAnsi="宋体" w:eastAsia="宋体" w:cs="宋体"/>
          <w:spacing w:val="-1"/>
          <w:sz w:val="24"/>
          <w:szCs w:val="24"/>
        </w:rPr>
        <w:t>综上，危废储存区选址合理。</w:t>
      </w:r>
    </w:p>
    <w:p w14:paraId="3829B8D2">
      <w:pPr>
        <w:spacing w:before="183" w:line="217" w:lineRule="auto"/>
        <w:ind w:left="501"/>
        <w:rPr>
          <w:rFonts w:ascii="宋体" w:hAnsi="宋体" w:eastAsia="宋体" w:cs="宋体"/>
          <w:sz w:val="24"/>
          <w:szCs w:val="24"/>
        </w:rPr>
      </w:pPr>
      <w:r>
        <w:rPr>
          <w:rFonts w:ascii="宋体" w:hAnsi="宋体" w:eastAsia="宋体" w:cs="宋体"/>
          <w:spacing w:val="-1"/>
          <w:sz w:val="24"/>
          <w:szCs w:val="24"/>
        </w:rPr>
        <w:t>②贮存能力合理性</w:t>
      </w:r>
    </w:p>
    <w:p w14:paraId="06A8241D">
      <w:pPr>
        <w:spacing w:before="186" w:line="360" w:lineRule="auto"/>
        <w:ind w:left="22" w:right="101" w:firstLine="480"/>
        <w:rPr>
          <w:rFonts w:ascii="宋体" w:hAnsi="宋体" w:eastAsia="宋体" w:cs="宋体"/>
          <w:sz w:val="24"/>
          <w:szCs w:val="24"/>
        </w:rPr>
      </w:pPr>
      <w:r>
        <w:rPr>
          <w:rFonts w:ascii="宋体" w:hAnsi="宋体" w:eastAsia="宋体" w:cs="宋体"/>
          <w:spacing w:val="-2"/>
          <w:sz w:val="24"/>
          <w:szCs w:val="24"/>
        </w:rPr>
        <w:t>废机油和浮选药品废弃包装材料转运周期为每年一次，最大储存量</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2.8t</w:t>
      </w:r>
      <w:r>
        <w:rPr>
          <w:rFonts w:ascii="宋体" w:hAnsi="宋体" w:eastAsia="宋体" w:cs="宋体"/>
          <w:spacing w:val="-2"/>
          <w:sz w:val="24"/>
          <w:szCs w:val="24"/>
        </w:rPr>
        <w:t>。危</w:t>
      </w:r>
      <w:r>
        <w:rPr>
          <w:rFonts w:ascii="宋体" w:hAnsi="宋体" w:eastAsia="宋体" w:cs="宋体"/>
          <w:sz w:val="24"/>
          <w:szCs w:val="24"/>
        </w:rPr>
        <w:t xml:space="preserve"> </w:t>
      </w:r>
      <w:r>
        <w:rPr>
          <w:rFonts w:ascii="宋体" w:hAnsi="宋体" w:eastAsia="宋体" w:cs="宋体"/>
          <w:spacing w:val="-4"/>
          <w:sz w:val="24"/>
          <w:szCs w:val="24"/>
        </w:rPr>
        <w:t>废库占地面积</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20m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7"/>
          <w:position w:val="7"/>
          <w:sz w:val="15"/>
          <w:szCs w:val="15"/>
        </w:rPr>
        <w:t xml:space="preserve"> </w:t>
      </w:r>
      <w:r>
        <w:rPr>
          <w:rFonts w:ascii="宋体" w:hAnsi="宋体" w:eastAsia="宋体" w:cs="宋体"/>
          <w:spacing w:val="-4"/>
          <w:sz w:val="24"/>
          <w:szCs w:val="24"/>
        </w:rPr>
        <w:t>，贮存规模为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10t</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，因此危废库可完全容纳产生</w:t>
      </w:r>
      <w:r>
        <w:rPr>
          <w:rFonts w:ascii="宋体" w:hAnsi="宋体" w:eastAsia="宋体" w:cs="宋体"/>
          <w:spacing w:val="-5"/>
          <w:sz w:val="24"/>
          <w:szCs w:val="24"/>
        </w:rPr>
        <w:t>的危险废物，</w:t>
      </w:r>
      <w:r>
        <w:rPr>
          <w:rFonts w:ascii="宋体" w:hAnsi="宋体" w:eastAsia="宋体" w:cs="宋体"/>
          <w:sz w:val="24"/>
          <w:szCs w:val="24"/>
        </w:rPr>
        <w:t xml:space="preserve"> </w:t>
      </w:r>
      <w:r>
        <w:rPr>
          <w:rFonts w:ascii="宋体" w:hAnsi="宋体" w:eastAsia="宋体" w:cs="宋体"/>
          <w:spacing w:val="-2"/>
          <w:sz w:val="24"/>
          <w:szCs w:val="24"/>
        </w:rPr>
        <w:t>满足贮存要求。</w:t>
      </w:r>
    </w:p>
    <w:p w14:paraId="5E430144">
      <w:pPr>
        <w:spacing w:line="217" w:lineRule="auto"/>
        <w:ind w:left="501"/>
        <w:rPr>
          <w:rFonts w:ascii="宋体" w:hAnsi="宋体" w:eastAsia="宋体" w:cs="宋体"/>
          <w:sz w:val="24"/>
          <w:szCs w:val="24"/>
        </w:rPr>
      </w:pPr>
      <w:r>
        <w:rPr>
          <w:rFonts w:ascii="宋体" w:hAnsi="宋体" w:eastAsia="宋体" w:cs="宋体"/>
          <w:spacing w:val="-1"/>
          <w:sz w:val="24"/>
          <w:szCs w:val="24"/>
        </w:rPr>
        <w:t>③危险废物贮存对环境的影响分析</w:t>
      </w:r>
    </w:p>
    <w:p w14:paraId="1A9A61B9">
      <w:pPr>
        <w:spacing w:before="186" w:line="360" w:lineRule="auto"/>
        <w:ind w:left="22" w:right="105" w:firstLine="480"/>
        <w:rPr>
          <w:rFonts w:ascii="宋体" w:hAnsi="宋体" w:eastAsia="宋体" w:cs="宋体"/>
          <w:sz w:val="24"/>
          <w:szCs w:val="24"/>
        </w:rPr>
      </w:pPr>
      <w:r>
        <w:rPr>
          <w:rFonts w:ascii="宋体" w:hAnsi="宋体" w:eastAsia="宋体" w:cs="宋体"/>
          <w:spacing w:val="-3"/>
          <w:sz w:val="24"/>
          <w:szCs w:val="24"/>
        </w:rPr>
        <w:t>废机油采用带盖的密闭专用危废容器盛装，项目危险废物按《危</w:t>
      </w:r>
      <w:r>
        <w:rPr>
          <w:rFonts w:ascii="宋体" w:hAnsi="宋体" w:eastAsia="宋体" w:cs="宋体"/>
          <w:spacing w:val="-4"/>
          <w:sz w:val="24"/>
          <w:szCs w:val="24"/>
        </w:rPr>
        <w:t>险废物贮存</w:t>
      </w:r>
      <w:r>
        <w:rPr>
          <w:rFonts w:ascii="宋体" w:hAnsi="宋体" w:eastAsia="宋体" w:cs="宋体"/>
          <w:sz w:val="24"/>
          <w:szCs w:val="24"/>
        </w:rPr>
        <w:t xml:space="preserve"> </w:t>
      </w:r>
      <w:r>
        <w:rPr>
          <w:rFonts w:ascii="宋体" w:hAnsi="宋体" w:eastAsia="宋体" w:cs="宋体"/>
          <w:spacing w:val="-2"/>
          <w:sz w:val="24"/>
          <w:szCs w:val="24"/>
        </w:rPr>
        <w:t>污染控制标准》（</w:t>
      </w:r>
      <w:r>
        <w:rPr>
          <w:rFonts w:ascii="Times New Roman" w:hAnsi="Times New Roman" w:eastAsia="Times New Roman" w:cs="Times New Roman"/>
          <w:spacing w:val="-2"/>
          <w:sz w:val="24"/>
          <w:szCs w:val="24"/>
        </w:rPr>
        <w:t>GBl8597-200</w:t>
      </w:r>
      <w:r>
        <w:rPr>
          <w:rFonts w:ascii="Times New Roman" w:hAnsi="Times New Roman" w:eastAsia="Times New Roman" w:cs="Times New Roman"/>
          <w:spacing w:val="-3"/>
          <w:sz w:val="24"/>
          <w:szCs w:val="24"/>
        </w:rPr>
        <w:t>1</w:t>
      </w:r>
      <w:r>
        <w:rPr>
          <w:rFonts w:ascii="宋体" w:hAnsi="宋体" w:eastAsia="宋体" w:cs="宋体"/>
          <w:spacing w:val="-3"/>
          <w:sz w:val="24"/>
          <w:szCs w:val="24"/>
        </w:rPr>
        <w:t>）及其他危险废物的相关规定进行收集，并对贮</w:t>
      </w:r>
      <w:r>
        <w:rPr>
          <w:rFonts w:ascii="宋体" w:hAnsi="宋体" w:eastAsia="宋体" w:cs="宋体"/>
          <w:sz w:val="24"/>
          <w:szCs w:val="24"/>
        </w:rPr>
        <w:t xml:space="preserve"> 存区进行防渗，暂存区的防渗系数</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K≤1.0×10</w:t>
      </w:r>
      <w:r>
        <w:rPr>
          <w:rFonts w:ascii="Times New Roman" w:hAnsi="Times New Roman" w:eastAsia="Times New Roman" w:cs="Times New Roman"/>
          <w:position w:val="7"/>
          <w:sz w:val="15"/>
          <w:szCs w:val="15"/>
        </w:rPr>
        <w:t>-10</w:t>
      </w:r>
      <w:r>
        <w:rPr>
          <w:rFonts w:ascii="Times New Roman" w:hAnsi="Times New Roman" w:eastAsia="Times New Roman" w:cs="Times New Roman"/>
          <w:sz w:val="24"/>
          <w:szCs w:val="24"/>
        </w:rPr>
        <w:t xml:space="preserve">cm/s  </w:t>
      </w:r>
      <w:r>
        <w:rPr>
          <w:rFonts w:ascii="宋体" w:hAnsi="宋体" w:eastAsia="宋体" w:cs="宋体"/>
          <w:sz w:val="24"/>
          <w:szCs w:val="24"/>
        </w:rPr>
        <w:t xml:space="preserve">的防渗要求，危险废物存放 </w:t>
      </w:r>
      <w:r>
        <w:rPr>
          <w:rFonts w:ascii="宋体" w:hAnsi="宋体" w:eastAsia="宋体" w:cs="宋体"/>
          <w:spacing w:val="-2"/>
          <w:sz w:val="24"/>
          <w:szCs w:val="24"/>
        </w:rPr>
        <w:t>间设置有屋顶和围墙，能做到防风、防雨、防晒、防渗漏</w:t>
      </w:r>
      <w:r>
        <w:rPr>
          <w:rFonts w:ascii="Times New Roman" w:hAnsi="Times New Roman" w:eastAsia="Times New Roman" w:cs="Times New Roman"/>
          <w:spacing w:val="-2"/>
          <w:sz w:val="24"/>
          <w:szCs w:val="24"/>
        </w:rPr>
        <w:t>“</w:t>
      </w:r>
      <w:r>
        <w:rPr>
          <w:rFonts w:ascii="宋体" w:hAnsi="宋体" w:eastAsia="宋体" w:cs="宋体"/>
          <w:spacing w:val="-2"/>
          <w:sz w:val="24"/>
          <w:szCs w:val="24"/>
        </w:rPr>
        <w:t>四防</w:t>
      </w:r>
      <w:r>
        <w:rPr>
          <w:rFonts w:ascii="Times New Roman" w:hAnsi="Times New Roman" w:eastAsia="Times New Roman" w:cs="Times New Roman"/>
          <w:spacing w:val="-2"/>
          <w:sz w:val="24"/>
          <w:szCs w:val="24"/>
        </w:rPr>
        <w:t>”</w:t>
      </w:r>
      <w:r>
        <w:rPr>
          <w:rFonts w:ascii="宋体" w:hAnsi="宋体" w:eastAsia="宋体" w:cs="宋体"/>
          <w:spacing w:val="-2"/>
          <w:sz w:val="24"/>
          <w:szCs w:val="24"/>
        </w:rPr>
        <w:t>要求</w:t>
      </w:r>
      <w:r>
        <w:rPr>
          <w:rFonts w:ascii="宋体" w:hAnsi="宋体" w:eastAsia="宋体" w:cs="宋体"/>
          <w:spacing w:val="-3"/>
          <w:sz w:val="24"/>
          <w:szCs w:val="24"/>
        </w:rPr>
        <w:t>。正常贮存</w:t>
      </w:r>
      <w:r>
        <w:rPr>
          <w:rFonts w:ascii="宋体" w:hAnsi="宋体" w:eastAsia="宋体" w:cs="宋体"/>
          <w:sz w:val="24"/>
          <w:szCs w:val="24"/>
        </w:rPr>
        <w:t xml:space="preserve"> 情况下，危废贮存不会对环境空气、地表水、地</w:t>
      </w:r>
      <w:r>
        <w:rPr>
          <w:rFonts w:ascii="宋体" w:hAnsi="宋体" w:eastAsia="宋体" w:cs="宋体"/>
          <w:spacing w:val="-1"/>
          <w:sz w:val="24"/>
          <w:szCs w:val="24"/>
        </w:rPr>
        <w:t>下水、土壤产生影响。</w:t>
      </w:r>
    </w:p>
    <w:p w14:paraId="45586410">
      <w:pPr>
        <w:spacing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）危险废物运输过程的环境影响分析</w:t>
      </w:r>
    </w:p>
    <w:p w14:paraId="23C643D8">
      <w:pPr>
        <w:spacing w:before="185" w:line="361" w:lineRule="auto"/>
        <w:ind w:left="22" w:right="105" w:firstLine="484"/>
        <w:rPr>
          <w:rFonts w:ascii="宋体" w:hAnsi="宋体" w:eastAsia="宋体" w:cs="宋体"/>
          <w:sz w:val="24"/>
          <w:szCs w:val="24"/>
        </w:rPr>
      </w:pPr>
      <w:r>
        <w:rPr>
          <w:rFonts w:ascii="宋体" w:hAnsi="宋体" w:eastAsia="宋体" w:cs="宋体"/>
          <w:spacing w:val="-3"/>
          <w:sz w:val="24"/>
          <w:szCs w:val="24"/>
        </w:rPr>
        <w:t>项目产生的废机油采用危废专用容器盛装，运输均在厂</w:t>
      </w:r>
      <w:r>
        <w:rPr>
          <w:rFonts w:ascii="宋体" w:hAnsi="宋体" w:eastAsia="宋体" w:cs="宋体"/>
          <w:spacing w:val="-4"/>
          <w:sz w:val="24"/>
          <w:szCs w:val="24"/>
        </w:rPr>
        <w:t>区小范围内，危废暂</w:t>
      </w:r>
      <w:r>
        <w:rPr>
          <w:rFonts w:ascii="宋体" w:hAnsi="宋体" w:eastAsia="宋体" w:cs="宋体"/>
          <w:sz w:val="24"/>
          <w:szCs w:val="24"/>
        </w:rPr>
        <w:t xml:space="preserve"> </w:t>
      </w:r>
      <w:r>
        <w:rPr>
          <w:rFonts w:ascii="宋体" w:hAnsi="宋体" w:eastAsia="宋体" w:cs="宋体"/>
          <w:spacing w:val="-3"/>
          <w:sz w:val="24"/>
          <w:szCs w:val="24"/>
        </w:rPr>
        <w:t>存紧邻磨浮生产车间布置，在运输过程中避免物料倾倒、散落，避开厂区上下班</w:t>
      </w:r>
      <w:r>
        <w:rPr>
          <w:rFonts w:ascii="宋体" w:hAnsi="宋体" w:eastAsia="宋体" w:cs="宋体"/>
          <w:spacing w:val="1"/>
          <w:sz w:val="24"/>
          <w:szCs w:val="24"/>
        </w:rPr>
        <w:t xml:space="preserve"> </w:t>
      </w:r>
      <w:r>
        <w:rPr>
          <w:rFonts w:ascii="宋体" w:hAnsi="宋体" w:eastAsia="宋体" w:cs="宋体"/>
          <w:spacing w:val="-3"/>
          <w:sz w:val="24"/>
          <w:szCs w:val="24"/>
        </w:rPr>
        <w:t>期间运送物料，因此在合理规划危废物料转运时间、从产废工序运输到暂存库过</w:t>
      </w:r>
    </w:p>
    <w:p w14:paraId="70EEA294">
      <w:pPr>
        <w:spacing w:line="361" w:lineRule="auto"/>
        <w:rPr>
          <w:rFonts w:ascii="宋体" w:hAnsi="宋体" w:eastAsia="宋体" w:cs="宋体"/>
          <w:sz w:val="24"/>
          <w:szCs w:val="24"/>
        </w:rPr>
        <w:sectPr>
          <w:headerReference r:id="rId335" w:type="default"/>
          <w:footerReference r:id="rId336" w:type="default"/>
          <w:pgSz w:w="11906" w:h="16839"/>
          <w:pgMar w:top="1208" w:right="1693" w:bottom="1358" w:left="1785" w:header="825" w:footer="1195" w:gutter="0"/>
          <w:cols w:space="720" w:num="1"/>
        </w:sectPr>
      </w:pPr>
    </w:p>
    <w:p w14:paraId="261BE2DF">
      <w:pPr>
        <w:pStyle w:val="2"/>
        <w:spacing w:line="265" w:lineRule="auto"/>
      </w:pPr>
    </w:p>
    <w:p w14:paraId="50CFE10E">
      <w:pPr>
        <w:spacing w:before="78" w:line="362" w:lineRule="auto"/>
        <w:ind w:left="22" w:right="13"/>
        <w:rPr>
          <w:rFonts w:ascii="宋体" w:hAnsi="宋体" w:eastAsia="宋体" w:cs="宋体"/>
          <w:sz w:val="24"/>
          <w:szCs w:val="24"/>
        </w:rPr>
      </w:pPr>
      <w:r>
        <w:rPr>
          <w:rFonts w:ascii="宋体" w:hAnsi="宋体" w:eastAsia="宋体" w:cs="宋体"/>
          <w:spacing w:val="-3"/>
          <w:sz w:val="24"/>
          <w:szCs w:val="24"/>
        </w:rPr>
        <w:t>程中小心轻放的情况下，可有效减少和避免物料散落、泄漏的风险，危险废物的</w:t>
      </w:r>
      <w:r>
        <w:rPr>
          <w:rFonts w:ascii="宋体" w:hAnsi="宋体" w:eastAsia="宋体" w:cs="宋体"/>
          <w:spacing w:val="1"/>
          <w:sz w:val="24"/>
          <w:szCs w:val="24"/>
        </w:rPr>
        <w:t xml:space="preserve"> </w:t>
      </w:r>
      <w:r>
        <w:rPr>
          <w:rFonts w:ascii="宋体" w:hAnsi="宋体" w:eastAsia="宋体" w:cs="宋体"/>
          <w:spacing w:val="-1"/>
          <w:sz w:val="24"/>
          <w:szCs w:val="24"/>
        </w:rPr>
        <w:t>运输路线对环境的影响可接受。</w:t>
      </w:r>
    </w:p>
    <w:p w14:paraId="2B126207">
      <w:pPr>
        <w:spacing w:before="77" w:line="222" w:lineRule="auto"/>
        <w:ind w:left="23"/>
        <w:outlineLvl w:val="1"/>
        <w:rPr>
          <w:rFonts w:ascii="黑体" w:hAnsi="黑体" w:eastAsia="黑体" w:cs="黑体"/>
          <w:sz w:val="28"/>
          <w:szCs w:val="28"/>
        </w:rPr>
      </w:pPr>
      <w:bookmarkStart w:id="142" w:name="bookmark125"/>
      <w:bookmarkEnd w:id="142"/>
      <w:bookmarkStart w:id="143" w:name="bookmark126"/>
      <w:bookmarkEnd w:id="143"/>
      <w:r>
        <w:rPr>
          <w:rFonts w:ascii="Times New Roman" w:hAnsi="Times New Roman" w:eastAsia="Times New Roman" w:cs="Times New Roman"/>
          <w:b/>
          <w:bCs/>
          <w:spacing w:val="-3"/>
          <w:sz w:val="28"/>
          <w:szCs w:val="28"/>
        </w:rPr>
        <w:t xml:space="preserve">8.6 </w:t>
      </w:r>
      <w:r>
        <w:rPr>
          <w:rFonts w:ascii="黑体" w:hAnsi="黑体" w:eastAsia="黑体" w:cs="黑体"/>
          <w:b/>
          <w:bCs/>
          <w:spacing w:val="-3"/>
          <w:sz w:val="28"/>
          <w:szCs w:val="28"/>
        </w:rPr>
        <w:t>生态环境影响分析</w:t>
      </w:r>
    </w:p>
    <w:p w14:paraId="56532481">
      <w:pPr>
        <w:spacing w:before="257" w:line="220" w:lineRule="auto"/>
        <w:ind w:left="502"/>
        <w:outlineLvl w:val="2"/>
        <w:rPr>
          <w:rFonts w:ascii="宋体" w:hAnsi="宋体" w:eastAsia="宋体" w:cs="宋体"/>
          <w:sz w:val="24"/>
          <w:szCs w:val="24"/>
        </w:rPr>
      </w:pPr>
      <w:bookmarkStart w:id="144" w:name="bookmark212"/>
      <w:bookmarkEnd w:id="144"/>
      <w:r>
        <w:rPr>
          <w:rFonts w:ascii="Times New Roman" w:hAnsi="Times New Roman" w:eastAsia="Times New Roman" w:cs="Times New Roman"/>
          <w:b/>
          <w:bCs/>
          <w:spacing w:val="-2"/>
          <w:sz w:val="24"/>
          <w:szCs w:val="24"/>
        </w:rPr>
        <w:t xml:space="preserve">8.6.1 </w:t>
      </w:r>
      <w:r>
        <w:rPr>
          <w:rFonts w:ascii="宋体" w:hAnsi="宋体" w:eastAsia="宋体" w:cs="宋体"/>
          <w:b/>
          <w:bCs/>
          <w:spacing w:val="-2"/>
          <w:sz w:val="24"/>
          <w:szCs w:val="24"/>
        </w:rPr>
        <w:t>土地利用影响分析</w:t>
      </w:r>
    </w:p>
    <w:p w14:paraId="1A825D38">
      <w:pPr>
        <w:spacing w:before="181" w:line="360" w:lineRule="auto"/>
        <w:ind w:left="23" w:right="13" w:firstLine="480"/>
        <w:jc w:val="both"/>
        <w:rPr>
          <w:rFonts w:ascii="宋体" w:hAnsi="宋体" w:eastAsia="宋体" w:cs="宋体"/>
          <w:sz w:val="24"/>
          <w:szCs w:val="24"/>
        </w:rPr>
      </w:pPr>
      <w:r>
        <w:rPr>
          <w:rFonts w:ascii="宋体" w:hAnsi="宋体" w:eastAsia="宋体" w:cs="宋体"/>
          <w:spacing w:val="-1"/>
          <w:sz w:val="24"/>
          <w:szCs w:val="24"/>
        </w:rPr>
        <w:t>本次技改在现有</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选矿工程厂房内进行，不新增建设用地。土地利用</w:t>
      </w:r>
      <w:r>
        <w:rPr>
          <w:rFonts w:ascii="宋体" w:hAnsi="宋体" w:eastAsia="宋体" w:cs="宋体"/>
          <w:sz w:val="24"/>
          <w:szCs w:val="24"/>
        </w:rPr>
        <w:t xml:space="preserve"> </w:t>
      </w:r>
      <w:r>
        <w:rPr>
          <w:rFonts w:ascii="宋体" w:hAnsi="宋体" w:eastAsia="宋体" w:cs="宋体"/>
          <w:spacing w:val="-3"/>
          <w:sz w:val="24"/>
          <w:szCs w:val="24"/>
        </w:rPr>
        <w:t>类型未发生变化。因此，技改工程未新增植被破坏及覆盖面积，不会对项目区的</w:t>
      </w:r>
      <w:r>
        <w:rPr>
          <w:rFonts w:ascii="宋体" w:hAnsi="宋体" w:eastAsia="宋体" w:cs="宋体"/>
          <w:spacing w:val="1"/>
          <w:sz w:val="24"/>
          <w:szCs w:val="24"/>
        </w:rPr>
        <w:t xml:space="preserve"> </w:t>
      </w:r>
      <w:r>
        <w:rPr>
          <w:rFonts w:ascii="宋体" w:hAnsi="宋体" w:eastAsia="宋体" w:cs="宋体"/>
          <w:spacing w:val="-1"/>
          <w:sz w:val="24"/>
          <w:szCs w:val="24"/>
        </w:rPr>
        <w:t>涵养水源和水土保持功能造成影响。</w:t>
      </w:r>
    </w:p>
    <w:p w14:paraId="07A94472">
      <w:pPr>
        <w:spacing w:before="2" w:line="359" w:lineRule="auto"/>
        <w:ind w:left="22" w:right="13" w:firstLine="483"/>
        <w:rPr>
          <w:rFonts w:ascii="宋体" w:hAnsi="宋体" w:eastAsia="宋体" w:cs="宋体"/>
          <w:sz w:val="24"/>
          <w:szCs w:val="24"/>
        </w:rPr>
      </w:pPr>
      <w:r>
        <w:rPr>
          <w:rFonts w:ascii="宋体" w:hAnsi="宋体" w:eastAsia="宋体" w:cs="宋体"/>
          <w:spacing w:val="-3"/>
          <w:sz w:val="24"/>
          <w:szCs w:val="24"/>
        </w:rPr>
        <w:t>建设单位通过对现有工程占用的土地周边采取植被恢复等</w:t>
      </w:r>
      <w:r>
        <w:rPr>
          <w:rFonts w:ascii="宋体" w:hAnsi="宋体" w:eastAsia="宋体" w:cs="宋体"/>
          <w:spacing w:val="-4"/>
          <w:sz w:val="24"/>
          <w:szCs w:val="24"/>
        </w:rPr>
        <w:t>措施，可将现有工</w:t>
      </w:r>
      <w:r>
        <w:rPr>
          <w:rFonts w:ascii="宋体" w:hAnsi="宋体" w:eastAsia="宋体" w:cs="宋体"/>
          <w:sz w:val="24"/>
          <w:szCs w:val="24"/>
        </w:rPr>
        <w:t xml:space="preserve"> </w:t>
      </w:r>
      <w:r>
        <w:rPr>
          <w:rFonts w:ascii="宋体" w:hAnsi="宋体" w:eastAsia="宋体" w:cs="宋体"/>
          <w:spacing w:val="-1"/>
          <w:sz w:val="24"/>
          <w:szCs w:val="24"/>
        </w:rPr>
        <w:t>程对土地的影响降至最低。</w:t>
      </w:r>
    </w:p>
    <w:p w14:paraId="65632DD1">
      <w:pPr>
        <w:spacing w:before="1" w:line="219" w:lineRule="auto"/>
        <w:ind w:left="502"/>
        <w:outlineLvl w:val="2"/>
        <w:rPr>
          <w:rFonts w:ascii="宋体" w:hAnsi="宋体" w:eastAsia="宋体" w:cs="宋体"/>
          <w:sz w:val="24"/>
          <w:szCs w:val="24"/>
        </w:rPr>
      </w:pPr>
      <w:bookmarkStart w:id="145" w:name="bookmark127"/>
      <w:bookmarkEnd w:id="145"/>
      <w:r>
        <w:rPr>
          <w:rFonts w:ascii="Times New Roman" w:hAnsi="Times New Roman" w:eastAsia="Times New Roman" w:cs="Times New Roman"/>
          <w:b/>
          <w:bCs/>
          <w:spacing w:val="-2"/>
          <w:sz w:val="24"/>
          <w:szCs w:val="24"/>
        </w:rPr>
        <w:t xml:space="preserve">8.6.2 </w:t>
      </w:r>
      <w:r>
        <w:rPr>
          <w:rFonts w:ascii="宋体" w:hAnsi="宋体" w:eastAsia="宋体" w:cs="宋体"/>
          <w:b/>
          <w:bCs/>
          <w:spacing w:val="-2"/>
          <w:sz w:val="24"/>
          <w:szCs w:val="24"/>
        </w:rPr>
        <w:t>水土流失影响分析</w:t>
      </w:r>
    </w:p>
    <w:p w14:paraId="0C6BA0A0">
      <w:pPr>
        <w:spacing w:before="183" w:line="360" w:lineRule="auto"/>
        <w:ind w:left="25" w:right="13" w:firstLine="479"/>
        <w:jc w:val="both"/>
        <w:rPr>
          <w:rFonts w:ascii="宋体" w:hAnsi="宋体" w:eastAsia="宋体" w:cs="宋体"/>
          <w:sz w:val="24"/>
          <w:szCs w:val="24"/>
        </w:rPr>
      </w:pPr>
      <w:r>
        <w:rPr>
          <w:rFonts w:ascii="宋体" w:hAnsi="宋体" w:eastAsia="宋体" w:cs="宋体"/>
          <w:spacing w:val="-1"/>
          <w:sz w:val="24"/>
          <w:szCs w:val="24"/>
        </w:rPr>
        <w:t>本次技改在现有</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选矿工程厂房内进行，不新增建设用地。不会对项</w:t>
      </w:r>
      <w:r>
        <w:rPr>
          <w:rFonts w:ascii="宋体" w:hAnsi="宋体" w:eastAsia="宋体" w:cs="宋体"/>
          <w:sz w:val="24"/>
          <w:szCs w:val="24"/>
        </w:rPr>
        <w:t xml:space="preserve"> </w:t>
      </w:r>
      <w:r>
        <w:rPr>
          <w:rFonts w:ascii="宋体" w:hAnsi="宋体" w:eastAsia="宋体" w:cs="宋体"/>
          <w:spacing w:val="-3"/>
          <w:sz w:val="24"/>
          <w:szCs w:val="24"/>
        </w:rPr>
        <w:t>目区水土流失造成影响。建设单位通过对现有工程占用的土地周边采取植被恢复</w:t>
      </w:r>
      <w:r>
        <w:rPr>
          <w:rFonts w:ascii="宋体" w:hAnsi="宋体" w:eastAsia="宋体" w:cs="宋体"/>
          <w:sz w:val="24"/>
          <w:szCs w:val="24"/>
        </w:rPr>
        <w:t xml:space="preserve"> </w:t>
      </w:r>
      <w:r>
        <w:rPr>
          <w:rFonts w:ascii="宋体" w:hAnsi="宋体" w:eastAsia="宋体" w:cs="宋体"/>
          <w:spacing w:val="-1"/>
          <w:sz w:val="24"/>
          <w:szCs w:val="24"/>
        </w:rPr>
        <w:t>等措施，可将现有工程对水土流失影响得到极大缓解并趋于消失。</w:t>
      </w:r>
    </w:p>
    <w:p w14:paraId="00A06BFC">
      <w:pPr>
        <w:spacing w:line="219" w:lineRule="auto"/>
        <w:ind w:left="502"/>
        <w:outlineLvl w:val="2"/>
        <w:rPr>
          <w:rFonts w:ascii="宋体" w:hAnsi="宋体" w:eastAsia="宋体" w:cs="宋体"/>
          <w:sz w:val="24"/>
          <w:szCs w:val="24"/>
        </w:rPr>
      </w:pPr>
      <w:bookmarkStart w:id="146" w:name="bookmark128"/>
      <w:bookmarkEnd w:id="146"/>
      <w:r>
        <w:rPr>
          <w:rFonts w:ascii="Times New Roman" w:hAnsi="Times New Roman" w:eastAsia="Times New Roman" w:cs="Times New Roman"/>
          <w:b/>
          <w:bCs/>
          <w:spacing w:val="-2"/>
          <w:sz w:val="24"/>
          <w:szCs w:val="24"/>
        </w:rPr>
        <w:t xml:space="preserve">8.6.3 </w:t>
      </w:r>
      <w:r>
        <w:rPr>
          <w:rFonts w:ascii="宋体" w:hAnsi="宋体" w:eastAsia="宋体" w:cs="宋体"/>
          <w:b/>
          <w:bCs/>
          <w:spacing w:val="-2"/>
          <w:sz w:val="24"/>
          <w:szCs w:val="24"/>
        </w:rPr>
        <w:t>对生物多样性的影响</w:t>
      </w:r>
    </w:p>
    <w:p w14:paraId="1A5A2DA1">
      <w:pPr>
        <w:spacing w:before="18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）对植被的影响</w:t>
      </w:r>
    </w:p>
    <w:p w14:paraId="6CAACDD1">
      <w:pPr>
        <w:spacing w:before="184" w:line="217" w:lineRule="auto"/>
        <w:ind w:left="502"/>
        <w:rPr>
          <w:rFonts w:ascii="宋体" w:hAnsi="宋体" w:eastAsia="宋体" w:cs="宋体"/>
          <w:sz w:val="24"/>
          <w:szCs w:val="24"/>
        </w:rPr>
      </w:pPr>
      <w:r>
        <w:rPr>
          <w:rFonts w:ascii="宋体" w:hAnsi="宋体" w:eastAsia="宋体" w:cs="宋体"/>
          <w:spacing w:val="-3"/>
          <w:sz w:val="24"/>
          <w:szCs w:val="24"/>
        </w:rPr>
        <w:t>①建设期</w:t>
      </w:r>
    </w:p>
    <w:p w14:paraId="449F9EEA">
      <w:pPr>
        <w:spacing w:before="185" w:line="360" w:lineRule="auto"/>
        <w:ind w:left="23" w:right="13" w:firstLine="480"/>
        <w:rPr>
          <w:rFonts w:ascii="宋体" w:hAnsi="宋体" w:eastAsia="宋体" w:cs="宋体"/>
          <w:sz w:val="24"/>
          <w:szCs w:val="24"/>
        </w:rPr>
      </w:pPr>
      <w:r>
        <w:rPr>
          <w:rFonts w:ascii="宋体" w:hAnsi="宋体" w:eastAsia="宋体" w:cs="宋体"/>
          <w:spacing w:val="-1"/>
          <w:sz w:val="24"/>
          <w:szCs w:val="24"/>
        </w:rPr>
        <w:t>本次技改在现有</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选矿工程厂房内进行，不新增建设用地，因此对植</w:t>
      </w:r>
      <w:r>
        <w:rPr>
          <w:rFonts w:ascii="宋体" w:hAnsi="宋体" w:eastAsia="宋体" w:cs="宋体"/>
          <w:sz w:val="24"/>
          <w:szCs w:val="24"/>
        </w:rPr>
        <w:t xml:space="preserve"> </w:t>
      </w:r>
      <w:r>
        <w:rPr>
          <w:rFonts w:ascii="宋体" w:hAnsi="宋体" w:eastAsia="宋体" w:cs="宋体"/>
          <w:spacing w:val="-2"/>
          <w:sz w:val="24"/>
          <w:szCs w:val="24"/>
        </w:rPr>
        <w:t>被造成的影响甚微。</w:t>
      </w:r>
    </w:p>
    <w:p w14:paraId="509AB6A5">
      <w:pPr>
        <w:spacing w:line="360" w:lineRule="auto"/>
        <w:ind w:left="23" w:right="13" w:firstLine="498"/>
        <w:jc w:val="both"/>
        <w:rPr>
          <w:rFonts w:ascii="宋体" w:hAnsi="宋体" w:eastAsia="宋体" w:cs="宋体"/>
          <w:sz w:val="24"/>
          <w:szCs w:val="24"/>
        </w:rPr>
      </w:pPr>
      <w:r>
        <w:rPr>
          <w:rFonts w:ascii="宋体" w:hAnsi="宋体" w:eastAsia="宋体" w:cs="宋体"/>
          <w:spacing w:val="-4"/>
          <w:sz w:val="24"/>
          <w:szCs w:val="24"/>
        </w:rPr>
        <w:t>因此，项目建设不会使整个评价区植物群落的种类组成发生变化，也不会造</w:t>
      </w:r>
      <w:r>
        <w:rPr>
          <w:rFonts w:ascii="宋体" w:hAnsi="宋体" w:eastAsia="宋体" w:cs="宋体"/>
          <w:spacing w:val="9"/>
          <w:sz w:val="24"/>
          <w:szCs w:val="24"/>
        </w:rPr>
        <w:t xml:space="preserve"> </w:t>
      </w:r>
      <w:r>
        <w:rPr>
          <w:rFonts w:ascii="宋体" w:hAnsi="宋体" w:eastAsia="宋体" w:cs="宋体"/>
          <w:spacing w:val="-3"/>
          <w:sz w:val="24"/>
          <w:szCs w:val="24"/>
        </w:rPr>
        <w:t>成某一物种在评价区范围内的消失。同时由于建设单位通过对现有工程占用的土</w:t>
      </w:r>
      <w:r>
        <w:rPr>
          <w:rFonts w:ascii="宋体" w:hAnsi="宋体" w:eastAsia="宋体" w:cs="宋体"/>
          <w:spacing w:val="1"/>
          <w:sz w:val="24"/>
          <w:szCs w:val="24"/>
        </w:rPr>
        <w:t xml:space="preserve"> </w:t>
      </w:r>
      <w:r>
        <w:rPr>
          <w:rFonts w:ascii="宋体" w:hAnsi="宋体" w:eastAsia="宋体" w:cs="宋体"/>
          <w:spacing w:val="-3"/>
          <w:sz w:val="24"/>
          <w:szCs w:val="24"/>
        </w:rPr>
        <w:t>地周边采取土地复垦、绿化等生态恢复工作在逐步开展，生物量损失会得以适当</w:t>
      </w:r>
      <w:r>
        <w:rPr>
          <w:rFonts w:ascii="宋体" w:hAnsi="宋体" w:eastAsia="宋体" w:cs="宋体"/>
          <w:spacing w:val="1"/>
          <w:sz w:val="24"/>
          <w:szCs w:val="24"/>
        </w:rPr>
        <w:t xml:space="preserve"> </w:t>
      </w:r>
      <w:r>
        <w:rPr>
          <w:rFonts w:ascii="宋体" w:hAnsi="宋体" w:eastAsia="宋体" w:cs="宋体"/>
          <w:spacing w:val="-1"/>
          <w:sz w:val="24"/>
          <w:szCs w:val="24"/>
        </w:rPr>
        <w:t>补偿。因此，本工程对区域植被影响很小。</w:t>
      </w:r>
    </w:p>
    <w:p w14:paraId="42F5012F">
      <w:pPr>
        <w:spacing w:line="217" w:lineRule="auto"/>
        <w:ind w:left="501"/>
        <w:rPr>
          <w:rFonts w:ascii="宋体" w:hAnsi="宋体" w:eastAsia="宋体" w:cs="宋体"/>
          <w:sz w:val="24"/>
          <w:szCs w:val="24"/>
        </w:rPr>
      </w:pPr>
      <w:r>
        <w:rPr>
          <w:rFonts w:ascii="宋体" w:hAnsi="宋体" w:eastAsia="宋体" w:cs="宋体"/>
          <w:spacing w:val="-2"/>
          <w:sz w:val="24"/>
          <w:szCs w:val="24"/>
        </w:rPr>
        <w:t>②运营期</w:t>
      </w:r>
    </w:p>
    <w:p w14:paraId="04B5C4A8">
      <w:pPr>
        <w:spacing w:before="186" w:line="360" w:lineRule="auto"/>
        <w:ind w:left="22" w:right="13" w:firstLine="481"/>
        <w:rPr>
          <w:rFonts w:ascii="宋体" w:hAnsi="宋体" w:eastAsia="宋体" w:cs="宋体"/>
          <w:sz w:val="24"/>
          <w:szCs w:val="24"/>
        </w:rPr>
      </w:pPr>
      <w:r>
        <w:rPr>
          <w:rFonts w:ascii="宋体" w:hAnsi="宋体" w:eastAsia="宋体" w:cs="宋体"/>
          <w:spacing w:val="-3"/>
          <w:sz w:val="24"/>
          <w:szCs w:val="24"/>
        </w:rPr>
        <w:t>本项目为选矿项目，选别完的尾矿堆存在现有尾矿库内；堆存</w:t>
      </w:r>
      <w:r>
        <w:rPr>
          <w:rFonts w:ascii="宋体" w:hAnsi="宋体" w:eastAsia="宋体" w:cs="宋体"/>
          <w:spacing w:val="-4"/>
          <w:sz w:val="24"/>
          <w:szCs w:val="24"/>
        </w:rPr>
        <w:t>的尾矿会产生</w:t>
      </w:r>
      <w:r>
        <w:rPr>
          <w:rFonts w:ascii="宋体" w:hAnsi="宋体" w:eastAsia="宋体" w:cs="宋体"/>
          <w:sz w:val="24"/>
          <w:szCs w:val="24"/>
        </w:rPr>
        <w:t xml:space="preserve"> </w:t>
      </w:r>
      <w:r>
        <w:rPr>
          <w:rFonts w:ascii="宋体" w:hAnsi="宋体" w:eastAsia="宋体" w:cs="宋体"/>
          <w:spacing w:val="-1"/>
          <w:sz w:val="24"/>
          <w:szCs w:val="24"/>
        </w:rPr>
        <w:t>扬尘污染，可能对周围环境的植被产生不良影响。</w:t>
      </w:r>
    </w:p>
    <w:p w14:paraId="70920A8B">
      <w:pPr>
        <w:spacing w:before="5" w:line="360" w:lineRule="auto"/>
        <w:ind w:left="22" w:right="13" w:firstLine="480"/>
        <w:jc w:val="both"/>
        <w:rPr>
          <w:rFonts w:ascii="宋体" w:hAnsi="宋体" w:eastAsia="宋体" w:cs="宋体"/>
          <w:sz w:val="24"/>
          <w:szCs w:val="24"/>
        </w:rPr>
      </w:pPr>
      <w:r>
        <w:rPr>
          <w:rFonts w:ascii="宋体" w:hAnsi="宋体" w:eastAsia="宋体" w:cs="宋体"/>
          <w:spacing w:val="-3"/>
          <w:sz w:val="24"/>
          <w:szCs w:val="24"/>
        </w:rPr>
        <w:t>矿石等物料运输过程中产生的粉尘会对附近区域的植物产生一定</w:t>
      </w:r>
      <w:r>
        <w:rPr>
          <w:rFonts w:ascii="宋体" w:hAnsi="宋体" w:eastAsia="宋体" w:cs="宋体"/>
          <w:spacing w:val="-4"/>
          <w:sz w:val="24"/>
          <w:szCs w:val="24"/>
        </w:rPr>
        <w:t>影响。粉尘</w:t>
      </w:r>
      <w:r>
        <w:rPr>
          <w:rFonts w:ascii="宋体" w:hAnsi="宋体" w:eastAsia="宋体" w:cs="宋体"/>
          <w:sz w:val="24"/>
          <w:szCs w:val="24"/>
        </w:rPr>
        <w:t xml:space="preserve"> </w:t>
      </w:r>
      <w:r>
        <w:rPr>
          <w:rFonts w:ascii="宋体" w:hAnsi="宋体" w:eastAsia="宋体" w:cs="宋体"/>
          <w:spacing w:val="-3"/>
          <w:sz w:val="24"/>
          <w:szCs w:val="24"/>
        </w:rPr>
        <w:t>会降落在植物叶面上，吸收水分形成灰色薄壳，降低叶面的光合作用。堵塞页面</w:t>
      </w:r>
      <w:r>
        <w:rPr>
          <w:rFonts w:ascii="宋体" w:hAnsi="宋体" w:eastAsia="宋体" w:cs="宋体"/>
          <w:spacing w:val="1"/>
          <w:sz w:val="24"/>
          <w:szCs w:val="24"/>
        </w:rPr>
        <w:t xml:space="preserve"> </w:t>
      </w:r>
      <w:r>
        <w:rPr>
          <w:rFonts w:ascii="宋体" w:hAnsi="宋体" w:eastAsia="宋体" w:cs="宋体"/>
          <w:spacing w:val="-3"/>
          <w:sz w:val="24"/>
          <w:szCs w:val="24"/>
        </w:rPr>
        <w:t>气孔，阻碍气孔的呼吸作用及水分蒸发，减弱调湿和机体代谢功能，造成叶尖失</w:t>
      </w:r>
      <w:r>
        <w:rPr>
          <w:rFonts w:ascii="宋体" w:hAnsi="宋体" w:eastAsia="宋体" w:cs="宋体"/>
          <w:spacing w:val="1"/>
          <w:sz w:val="24"/>
          <w:szCs w:val="24"/>
        </w:rPr>
        <w:t xml:space="preserve"> </w:t>
      </w:r>
      <w:r>
        <w:rPr>
          <w:rFonts w:ascii="宋体" w:hAnsi="宋体" w:eastAsia="宋体" w:cs="宋体"/>
          <w:spacing w:val="-3"/>
          <w:sz w:val="24"/>
          <w:szCs w:val="24"/>
        </w:rPr>
        <w:t>水、干枯、落叶和减产。粉尘还能破坏叶面表层物质，使植物生长减慢。运输扬</w:t>
      </w:r>
    </w:p>
    <w:p w14:paraId="07D2892A">
      <w:pPr>
        <w:spacing w:line="360" w:lineRule="auto"/>
        <w:rPr>
          <w:rFonts w:ascii="宋体" w:hAnsi="宋体" w:eastAsia="宋体" w:cs="宋体"/>
          <w:sz w:val="24"/>
          <w:szCs w:val="24"/>
        </w:rPr>
        <w:sectPr>
          <w:headerReference r:id="rId337" w:type="default"/>
          <w:footerReference r:id="rId338" w:type="default"/>
          <w:pgSz w:w="11906" w:h="16839"/>
          <w:pgMar w:top="1208" w:right="1785" w:bottom="1358" w:left="1785" w:header="825" w:footer="1195" w:gutter="0"/>
          <w:cols w:space="720" w:num="1"/>
        </w:sectPr>
      </w:pPr>
    </w:p>
    <w:p w14:paraId="5EF7059F">
      <w:pPr>
        <w:pStyle w:val="2"/>
        <w:spacing w:line="265" w:lineRule="auto"/>
      </w:pPr>
    </w:p>
    <w:p w14:paraId="0B36195D">
      <w:pPr>
        <w:spacing w:before="78" w:line="360" w:lineRule="auto"/>
        <w:ind w:left="23" w:right="61" w:firstLine="1"/>
        <w:jc w:val="both"/>
        <w:rPr>
          <w:rFonts w:ascii="宋体" w:hAnsi="宋体" w:eastAsia="宋体" w:cs="宋体"/>
          <w:sz w:val="24"/>
          <w:szCs w:val="24"/>
        </w:rPr>
      </w:pPr>
      <w:r>
        <w:rPr>
          <w:rFonts w:ascii="宋体" w:hAnsi="宋体" w:eastAsia="宋体" w:cs="宋体"/>
          <w:spacing w:val="-1"/>
          <w:sz w:val="24"/>
          <w:szCs w:val="24"/>
        </w:rPr>
        <w:t>尘对植物生长密度的影响在公路两侧</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 xml:space="preserve">1km  </w:t>
      </w:r>
      <w:r>
        <w:rPr>
          <w:rFonts w:ascii="宋体" w:hAnsi="宋体" w:eastAsia="宋体" w:cs="宋体"/>
          <w:spacing w:val="-1"/>
          <w:sz w:val="24"/>
          <w:szCs w:val="24"/>
        </w:rPr>
        <w:t>范围内，本项目在生产及运输过程中</w:t>
      </w:r>
      <w:r>
        <w:rPr>
          <w:rFonts w:ascii="宋体" w:hAnsi="宋体" w:eastAsia="宋体" w:cs="宋体"/>
          <w:sz w:val="24"/>
          <w:szCs w:val="24"/>
        </w:rPr>
        <w:t xml:space="preserve"> </w:t>
      </w:r>
      <w:r>
        <w:rPr>
          <w:rFonts w:ascii="宋体" w:hAnsi="宋体" w:eastAsia="宋体" w:cs="宋体"/>
          <w:spacing w:val="-3"/>
          <w:sz w:val="24"/>
          <w:szCs w:val="24"/>
        </w:rPr>
        <w:t>定期洒水，有效控制了粉尘的扩散，在正常生产条件下，项目建设不会对附近植</w:t>
      </w:r>
      <w:r>
        <w:rPr>
          <w:rFonts w:ascii="宋体" w:hAnsi="宋体" w:eastAsia="宋体" w:cs="宋体"/>
          <w:spacing w:val="1"/>
          <w:sz w:val="24"/>
          <w:szCs w:val="24"/>
        </w:rPr>
        <w:t xml:space="preserve"> </w:t>
      </w:r>
      <w:r>
        <w:rPr>
          <w:rFonts w:ascii="宋体" w:hAnsi="宋体" w:eastAsia="宋体" w:cs="宋体"/>
          <w:spacing w:val="-2"/>
          <w:sz w:val="24"/>
          <w:szCs w:val="24"/>
        </w:rPr>
        <w:t>物产生不利影响。</w:t>
      </w:r>
    </w:p>
    <w:p w14:paraId="6C995426">
      <w:pPr>
        <w:spacing w:line="360" w:lineRule="auto"/>
        <w:ind w:left="22" w:firstLine="480"/>
        <w:jc w:val="both"/>
        <w:rPr>
          <w:rFonts w:ascii="宋体" w:hAnsi="宋体" w:eastAsia="宋体" w:cs="宋体"/>
          <w:sz w:val="24"/>
          <w:szCs w:val="24"/>
        </w:rPr>
      </w:pPr>
      <w:r>
        <w:rPr>
          <w:rFonts w:ascii="宋体" w:hAnsi="宋体" w:eastAsia="宋体" w:cs="宋体"/>
          <w:spacing w:val="-3"/>
          <w:sz w:val="24"/>
          <w:szCs w:val="24"/>
        </w:rPr>
        <w:t>在项目区进行部分植被恢复，植树造林、种植牧草，将有利</w:t>
      </w:r>
      <w:r>
        <w:rPr>
          <w:rFonts w:ascii="宋体" w:hAnsi="宋体" w:eastAsia="宋体" w:cs="宋体"/>
          <w:spacing w:val="-4"/>
          <w:sz w:val="24"/>
          <w:szCs w:val="24"/>
        </w:rPr>
        <w:t>于植被的保护与</w:t>
      </w:r>
      <w:r>
        <w:rPr>
          <w:rFonts w:ascii="宋体" w:hAnsi="宋体" w:eastAsia="宋体" w:cs="宋体"/>
          <w:sz w:val="24"/>
          <w:szCs w:val="24"/>
        </w:rPr>
        <w:t xml:space="preserve"> </w:t>
      </w:r>
      <w:r>
        <w:rPr>
          <w:rFonts w:ascii="宋体" w:hAnsi="宋体" w:eastAsia="宋体" w:cs="宋体"/>
          <w:spacing w:val="-8"/>
          <w:sz w:val="24"/>
          <w:szCs w:val="24"/>
        </w:rPr>
        <w:t>恢复；营造水土保持林、防风固沙林等，会增加项目区的林草覆盖率和生物产量，</w:t>
      </w:r>
      <w:r>
        <w:rPr>
          <w:rFonts w:ascii="宋体" w:hAnsi="宋体" w:eastAsia="宋体" w:cs="宋体"/>
          <w:spacing w:val="6"/>
          <w:sz w:val="24"/>
          <w:szCs w:val="24"/>
        </w:rPr>
        <w:t xml:space="preserve"> </w:t>
      </w:r>
      <w:r>
        <w:rPr>
          <w:rFonts w:ascii="宋体" w:hAnsi="宋体" w:eastAsia="宋体" w:cs="宋体"/>
          <w:spacing w:val="-3"/>
          <w:sz w:val="24"/>
          <w:szCs w:val="24"/>
        </w:rPr>
        <w:t>并有利于植物的生长；在种植初期的土地平整会使土壤变得疏松，易于发生土壤</w:t>
      </w:r>
      <w:r>
        <w:rPr>
          <w:rFonts w:ascii="宋体" w:hAnsi="宋体" w:eastAsia="宋体" w:cs="宋体"/>
          <w:spacing w:val="1"/>
          <w:sz w:val="24"/>
          <w:szCs w:val="24"/>
        </w:rPr>
        <w:t xml:space="preserve"> </w:t>
      </w:r>
      <w:r>
        <w:rPr>
          <w:rFonts w:ascii="宋体" w:hAnsi="宋体" w:eastAsia="宋体" w:cs="宋体"/>
          <w:spacing w:val="-8"/>
          <w:sz w:val="24"/>
          <w:szCs w:val="24"/>
        </w:rPr>
        <w:t>侵蚀，但这种影响是短暂的，随着人工种植植物的发育生长和植被覆盖度的提高，</w:t>
      </w:r>
      <w:r>
        <w:rPr>
          <w:rFonts w:ascii="宋体" w:hAnsi="宋体" w:eastAsia="宋体" w:cs="宋体"/>
          <w:spacing w:val="6"/>
          <w:sz w:val="24"/>
          <w:szCs w:val="24"/>
        </w:rPr>
        <w:t xml:space="preserve"> </w:t>
      </w:r>
      <w:r>
        <w:rPr>
          <w:rFonts w:ascii="宋体" w:hAnsi="宋体" w:eastAsia="宋体" w:cs="宋体"/>
          <w:spacing w:val="-3"/>
          <w:sz w:val="24"/>
          <w:szCs w:val="24"/>
        </w:rPr>
        <w:t>会使项目区的植物生存环境逐渐变好。通过营建一个更适合本区持续发展的人工</w:t>
      </w:r>
      <w:r>
        <w:rPr>
          <w:rFonts w:ascii="宋体" w:hAnsi="宋体" w:eastAsia="宋体" w:cs="宋体"/>
          <w:spacing w:val="1"/>
          <w:sz w:val="24"/>
          <w:szCs w:val="24"/>
        </w:rPr>
        <w:t xml:space="preserve"> </w:t>
      </w:r>
      <w:r>
        <w:rPr>
          <w:rFonts w:ascii="宋体" w:hAnsi="宋体" w:eastAsia="宋体" w:cs="宋体"/>
          <w:spacing w:val="-3"/>
          <w:sz w:val="24"/>
          <w:szCs w:val="24"/>
        </w:rPr>
        <w:t>植物群落，使原来被影响或破坏的植物逐渐得到恢复。植被变化特征呈现自然植</w:t>
      </w:r>
      <w:r>
        <w:rPr>
          <w:rFonts w:ascii="宋体" w:hAnsi="宋体" w:eastAsia="宋体" w:cs="宋体"/>
          <w:spacing w:val="1"/>
          <w:sz w:val="24"/>
          <w:szCs w:val="24"/>
        </w:rPr>
        <w:t xml:space="preserve"> </w:t>
      </w:r>
      <w:r>
        <w:rPr>
          <w:rFonts w:ascii="宋体" w:hAnsi="宋体" w:eastAsia="宋体" w:cs="宋体"/>
          <w:spacing w:val="-1"/>
          <w:sz w:val="24"/>
          <w:szCs w:val="24"/>
        </w:rPr>
        <w:t>被</w:t>
      </w:r>
      <w:r>
        <w:rPr>
          <w:rFonts w:ascii="Times New Roman" w:hAnsi="Times New Roman" w:eastAsia="Times New Roman" w:cs="Times New Roman"/>
          <w:spacing w:val="-1"/>
          <w:sz w:val="24"/>
          <w:szCs w:val="24"/>
        </w:rPr>
        <w:t>-</w:t>
      </w:r>
      <w:r>
        <w:rPr>
          <w:rFonts w:ascii="宋体" w:hAnsi="宋体" w:eastAsia="宋体" w:cs="宋体"/>
          <w:spacing w:val="-1"/>
          <w:sz w:val="24"/>
          <w:szCs w:val="24"/>
        </w:rPr>
        <w:t>人工植被</w:t>
      </w:r>
      <w:r>
        <w:rPr>
          <w:rFonts w:ascii="Times New Roman" w:hAnsi="Times New Roman" w:eastAsia="Times New Roman" w:cs="Times New Roman"/>
          <w:spacing w:val="-1"/>
          <w:sz w:val="24"/>
          <w:szCs w:val="24"/>
        </w:rPr>
        <w:t>-</w:t>
      </w:r>
      <w:r>
        <w:rPr>
          <w:rFonts w:ascii="宋体" w:hAnsi="宋体" w:eastAsia="宋体" w:cs="宋体"/>
          <w:spacing w:val="-1"/>
          <w:sz w:val="24"/>
          <w:szCs w:val="24"/>
        </w:rPr>
        <w:t>自然植被的变化规律。</w:t>
      </w:r>
    </w:p>
    <w:p w14:paraId="2B5AE1FA">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）对动物的影响</w:t>
      </w:r>
    </w:p>
    <w:p w14:paraId="6E82F883">
      <w:pPr>
        <w:spacing w:before="181" w:line="360" w:lineRule="auto"/>
        <w:ind w:left="22" w:firstLine="481"/>
        <w:rPr>
          <w:rFonts w:ascii="宋体" w:hAnsi="宋体" w:eastAsia="宋体" w:cs="宋体"/>
          <w:sz w:val="24"/>
          <w:szCs w:val="24"/>
        </w:rPr>
      </w:pPr>
      <w:r>
        <w:rPr>
          <w:rFonts w:ascii="宋体" w:hAnsi="宋体" w:eastAsia="宋体" w:cs="宋体"/>
          <w:spacing w:val="-3"/>
          <w:sz w:val="24"/>
          <w:szCs w:val="24"/>
        </w:rPr>
        <w:t>本项目厂区所在区域经过多年的生产及长期人员活动、交通运</w:t>
      </w:r>
      <w:r>
        <w:rPr>
          <w:rFonts w:ascii="宋体" w:hAnsi="宋体" w:eastAsia="宋体" w:cs="宋体"/>
          <w:spacing w:val="-4"/>
          <w:sz w:val="24"/>
          <w:szCs w:val="24"/>
        </w:rPr>
        <w:t>输及声、气干</w:t>
      </w:r>
      <w:r>
        <w:rPr>
          <w:rFonts w:ascii="宋体" w:hAnsi="宋体" w:eastAsia="宋体" w:cs="宋体"/>
          <w:sz w:val="24"/>
          <w:szCs w:val="24"/>
        </w:rPr>
        <w:t xml:space="preserve"> </w:t>
      </w:r>
      <w:r>
        <w:rPr>
          <w:rFonts w:ascii="宋体" w:hAnsi="宋体" w:eastAsia="宋体" w:cs="宋体"/>
          <w:spacing w:val="-3"/>
          <w:sz w:val="24"/>
          <w:szCs w:val="24"/>
        </w:rPr>
        <w:t>扰，评价区内大型野生动物已稀少。经野外调查和实地访问，评价范围内无重点</w:t>
      </w:r>
      <w:r>
        <w:rPr>
          <w:rFonts w:ascii="宋体" w:hAnsi="宋体" w:eastAsia="宋体" w:cs="宋体"/>
          <w:spacing w:val="1"/>
          <w:sz w:val="24"/>
          <w:szCs w:val="24"/>
        </w:rPr>
        <w:t xml:space="preserve"> </w:t>
      </w:r>
      <w:r>
        <w:rPr>
          <w:rFonts w:ascii="宋体" w:hAnsi="宋体" w:eastAsia="宋体" w:cs="宋体"/>
          <w:spacing w:val="-3"/>
          <w:sz w:val="24"/>
          <w:szCs w:val="24"/>
        </w:rPr>
        <w:t>保护野生动物，故项目对区域野生动物迁徙、栖息地环境不存在显著影响。评价</w:t>
      </w:r>
      <w:r>
        <w:rPr>
          <w:rFonts w:ascii="宋体" w:hAnsi="宋体" w:eastAsia="宋体" w:cs="宋体"/>
          <w:spacing w:val="1"/>
          <w:sz w:val="24"/>
          <w:szCs w:val="24"/>
        </w:rPr>
        <w:t xml:space="preserve"> </w:t>
      </w:r>
      <w:r>
        <w:rPr>
          <w:rFonts w:ascii="宋体" w:hAnsi="宋体" w:eastAsia="宋体" w:cs="宋体"/>
          <w:spacing w:val="-3"/>
          <w:sz w:val="24"/>
          <w:szCs w:val="24"/>
        </w:rPr>
        <w:t>区内的其他小型野生动物由于受粉尘、噪声等污染，会迁徙到评价区以外的相似</w:t>
      </w:r>
      <w:r>
        <w:rPr>
          <w:rFonts w:ascii="宋体" w:hAnsi="宋体" w:eastAsia="宋体" w:cs="宋体"/>
          <w:spacing w:val="1"/>
          <w:sz w:val="24"/>
          <w:szCs w:val="24"/>
        </w:rPr>
        <w:t xml:space="preserve"> </w:t>
      </w:r>
      <w:r>
        <w:rPr>
          <w:rFonts w:ascii="宋体" w:hAnsi="宋体" w:eastAsia="宋体" w:cs="宋体"/>
          <w:spacing w:val="-3"/>
          <w:sz w:val="24"/>
          <w:szCs w:val="24"/>
        </w:rPr>
        <w:t>生境区域。因此，本项目对评价区内重点保护野生动物几乎没有影响。但在运行</w:t>
      </w:r>
      <w:r>
        <w:rPr>
          <w:rFonts w:ascii="宋体" w:hAnsi="宋体" w:eastAsia="宋体" w:cs="宋体"/>
          <w:spacing w:val="1"/>
          <w:sz w:val="24"/>
          <w:szCs w:val="24"/>
        </w:rPr>
        <w:t xml:space="preserve"> </w:t>
      </w:r>
      <w:r>
        <w:rPr>
          <w:rFonts w:ascii="宋体" w:hAnsi="宋体" w:eastAsia="宋体" w:cs="宋体"/>
          <w:spacing w:val="-3"/>
          <w:sz w:val="24"/>
          <w:szCs w:val="24"/>
        </w:rPr>
        <w:t>期间，工程建设活动会干扰到原有生态系统的平衡，因项目技改施工被铲除占用</w:t>
      </w:r>
      <w:r>
        <w:rPr>
          <w:rFonts w:ascii="宋体" w:hAnsi="宋体" w:eastAsia="宋体" w:cs="宋体"/>
          <w:spacing w:val="1"/>
          <w:sz w:val="24"/>
          <w:szCs w:val="24"/>
        </w:rPr>
        <w:t xml:space="preserve"> </w:t>
      </w:r>
      <w:r>
        <w:rPr>
          <w:rFonts w:ascii="宋体" w:hAnsi="宋体" w:eastAsia="宋体" w:cs="宋体"/>
          <w:spacing w:val="-3"/>
          <w:sz w:val="24"/>
          <w:szCs w:val="24"/>
        </w:rPr>
        <w:t>的植被破坏剥夺了一些小型兽类、爬行类如鼠类、野兔等的栖息环境，会使施工</w:t>
      </w:r>
      <w:r>
        <w:rPr>
          <w:rFonts w:ascii="宋体" w:hAnsi="宋体" w:eastAsia="宋体" w:cs="宋体"/>
          <w:spacing w:val="1"/>
          <w:sz w:val="24"/>
          <w:szCs w:val="24"/>
        </w:rPr>
        <w:t xml:space="preserve"> </w:t>
      </w:r>
      <w:r>
        <w:rPr>
          <w:rFonts w:ascii="宋体" w:hAnsi="宋体" w:eastAsia="宋体" w:cs="宋体"/>
          <w:spacing w:val="-3"/>
          <w:sz w:val="24"/>
          <w:szCs w:val="24"/>
        </w:rPr>
        <w:t>区域这些普通动物数量有所减少。公司应加强对入厂员工的环境保护教育，禁止</w:t>
      </w:r>
      <w:r>
        <w:rPr>
          <w:rFonts w:ascii="宋体" w:hAnsi="宋体" w:eastAsia="宋体" w:cs="宋体"/>
          <w:spacing w:val="1"/>
          <w:sz w:val="24"/>
          <w:szCs w:val="24"/>
        </w:rPr>
        <w:t xml:space="preserve"> </w:t>
      </w:r>
      <w:r>
        <w:rPr>
          <w:rFonts w:ascii="宋体" w:hAnsi="宋体" w:eastAsia="宋体" w:cs="宋体"/>
          <w:spacing w:val="-3"/>
          <w:sz w:val="24"/>
          <w:szCs w:val="24"/>
        </w:rPr>
        <w:t>捕猎野生动物并严格按照环评落实措施进行生态恢复工作，本项目的建设不会使</w:t>
      </w:r>
      <w:r>
        <w:rPr>
          <w:rFonts w:ascii="宋体" w:hAnsi="宋体" w:eastAsia="宋体" w:cs="宋体"/>
          <w:spacing w:val="1"/>
          <w:sz w:val="24"/>
          <w:szCs w:val="24"/>
        </w:rPr>
        <w:t xml:space="preserve"> </w:t>
      </w:r>
      <w:r>
        <w:rPr>
          <w:rFonts w:ascii="宋体" w:hAnsi="宋体" w:eastAsia="宋体" w:cs="宋体"/>
          <w:spacing w:val="-8"/>
          <w:sz w:val="24"/>
          <w:szCs w:val="24"/>
        </w:rPr>
        <w:t>评价区野生动物物种数发生较大变化，种群数量也不会发生明显改变。在营运期，</w:t>
      </w:r>
      <w:r>
        <w:rPr>
          <w:rFonts w:ascii="宋体" w:hAnsi="宋体" w:eastAsia="宋体" w:cs="宋体"/>
          <w:spacing w:val="6"/>
          <w:sz w:val="24"/>
          <w:szCs w:val="24"/>
        </w:rPr>
        <w:t xml:space="preserve"> </w:t>
      </w:r>
      <w:r>
        <w:rPr>
          <w:rFonts w:ascii="宋体" w:hAnsi="宋体" w:eastAsia="宋体" w:cs="宋体"/>
          <w:spacing w:val="-8"/>
          <w:sz w:val="24"/>
          <w:szCs w:val="24"/>
        </w:rPr>
        <w:t>随着绿化的建设，通过植灌种草、恢复当地的植物覆盖，植被覆盖率将有所增加，</w:t>
      </w:r>
      <w:r>
        <w:rPr>
          <w:rFonts w:ascii="宋体" w:hAnsi="宋体" w:eastAsia="宋体" w:cs="宋体"/>
          <w:spacing w:val="6"/>
          <w:sz w:val="24"/>
          <w:szCs w:val="24"/>
        </w:rPr>
        <w:t xml:space="preserve"> </w:t>
      </w:r>
      <w:r>
        <w:rPr>
          <w:rFonts w:ascii="宋体" w:hAnsi="宋体" w:eastAsia="宋体" w:cs="宋体"/>
          <w:spacing w:val="-1"/>
          <w:sz w:val="24"/>
          <w:szCs w:val="24"/>
        </w:rPr>
        <w:t>会给野生动物栖息与生存提供有利条件。</w:t>
      </w:r>
    </w:p>
    <w:p w14:paraId="3E229D32">
      <w:pPr>
        <w:spacing w:line="218" w:lineRule="auto"/>
        <w:ind w:left="522"/>
        <w:rPr>
          <w:rFonts w:ascii="宋体" w:hAnsi="宋体" w:eastAsia="宋体" w:cs="宋体"/>
          <w:sz w:val="24"/>
          <w:szCs w:val="24"/>
        </w:rPr>
      </w:pPr>
      <w:r>
        <w:rPr>
          <w:rFonts w:ascii="宋体" w:hAnsi="宋体" w:eastAsia="宋体" w:cs="宋体"/>
          <w:spacing w:val="-1"/>
          <w:sz w:val="24"/>
          <w:szCs w:val="24"/>
        </w:rPr>
        <w:t>因此，只要落实好生态建设，本项目的建设对野生动物基本不存在影响。</w:t>
      </w:r>
    </w:p>
    <w:p w14:paraId="489FEEB3">
      <w:pPr>
        <w:spacing w:before="184" w:line="219" w:lineRule="auto"/>
        <w:ind w:left="502"/>
        <w:outlineLvl w:val="2"/>
        <w:rPr>
          <w:rFonts w:ascii="宋体" w:hAnsi="宋体" w:eastAsia="宋体" w:cs="宋体"/>
          <w:sz w:val="24"/>
          <w:szCs w:val="24"/>
        </w:rPr>
      </w:pPr>
      <w:bookmarkStart w:id="147" w:name="bookmark129"/>
      <w:bookmarkEnd w:id="147"/>
      <w:r>
        <w:rPr>
          <w:rFonts w:ascii="Times New Roman" w:hAnsi="Times New Roman" w:eastAsia="Times New Roman" w:cs="Times New Roman"/>
          <w:b/>
          <w:bCs/>
          <w:spacing w:val="-2"/>
          <w:sz w:val="24"/>
          <w:szCs w:val="24"/>
        </w:rPr>
        <w:t xml:space="preserve">8.6.4 </w:t>
      </w:r>
      <w:r>
        <w:rPr>
          <w:rFonts w:ascii="宋体" w:hAnsi="宋体" w:eastAsia="宋体" w:cs="宋体"/>
          <w:b/>
          <w:bCs/>
          <w:spacing w:val="-2"/>
          <w:sz w:val="24"/>
          <w:szCs w:val="24"/>
        </w:rPr>
        <w:t>对景观生态系统的影响</w:t>
      </w:r>
    </w:p>
    <w:p w14:paraId="7E1A67F4">
      <w:pPr>
        <w:spacing w:before="183" w:line="361" w:lineRule="auto"/>
        <w:ind w:left="22" w:right="7" w:firstLine="481"/>
        <w:jc w:val="both"/>
        <w:rPr>
          <w:rFonts w:ascii="宋体" w:hAnsi="宋体" w:eastAsia="宋体" w:cs="宋体"/>
          <w:sz w:val="24"/>
          <w:szCs w:val="24"/>
        </w:rPr>
      </w:pPr>
      <w:r>
        <w:rPr>
          <w:rFonts w:ascii="宋体" w:hAnsi="宋体" w:eastAsia="宋体" w:cs="宋体"/>
          <w:spacing w:val="4"/>
          <w:sz w:val="24"/>
          <w:szCs w:val="24"/>
        </w:rPr>
        <w:t>本项目技改工程完成后将形成以工业场地为中心的生态体系和由各种道路</w:t>
      </w:r>
      <w:r>
        <w:rPr>
          <w:rFonts w:ascii="宋体" w:hAnsi="宋体" w:eastAsia="宋体" w:cs="宋体"/>
          <w:spacing w:val="6"/>
          <w:sz w:val="24"/>
          <w:szCs w:val="24"/>
        </w:rPr>
        <w:t xml:space="preserve"> </w:t>
      </w:r>
      <w:r>
        <w:rPr>
          <w:rFonts w:ascii="宋体" w:hAnsi="宋体" w:eastAsia="宋体" w:cs="宋体"/>
          <w:spacing w:val="-1"/>
          <w:sz w:val="24"/>
          <w:szCs w:val="24"/>
        </w:rPr>
        <w:t>组成的道路生态体系，这些体系组成结构是否</w:t>
      </w:r>
      <w:r>
        <w:rPr>
          <w:rFonts w:ascii="宋体" w:hAnsi="宋体" w:eastAsia="宋体" w:cs="宋体"/>
          <w:spacing w:val="-2"/>
          <w:sz w:val="24"/>
          <w:szCs w:val="24"/>
        </w:rPr>
        <w:t>合理将决定景观功能状况的优劣。</w:t>
      </w:r>
      <w:r>
        <w:rPr>
          <w:rFonts w:ascii="宋体" w:hAnsi="宋体" w:eastAsia="宋体" w:cs="宋体"/>
          <w:sz w:val="24"/>
          <w:szCs w:val="24"/>
        </w:rPr>
        <w:t xml:space="preserve"> </w:t>
      </w:r>
      <w:r>
        <w:rPr>
          <w:rFonts w:ascii="宋体" w:hAnsi="宋体" w:eastAsia="宋体" w:cs="宋体"/>
          <w:spacing w:val="-3"/>
          <w:sz w:val="24"/>
          <w:szCs w:val="24"/>
        </w:rPr>
        <w:t>对本区而言，从内因上讲应该说决定生态体系结构的关键因素是水和植物；从外</w:t>
      </w:r>
      <w:r>
        <w:rPr>
          <w:rFonts w:ascii="宋体" w:hAnsi="宋体" w:eastAsia="宋体" w:cs="宋体"/>
          <w:spacing w:val="1"/>
          <w:sz w:val="24"/>
          <w:szCs w:val="24"/>
        </w:rPr>
        <w:t xml:space="preserve"> </w:t>
      </w:r>
      <w:r>
        <w:rPr>
          <w:rFonts w:ascii="宋体" w:hAnsi="宋体" w:eastAsia="宋体" w:cs="宋体"/>
          <w:spacing w:val="-1"/>
          <w:sz w:val="24"/>
          <w:szCs w:val="24"/>
        </w:rPr>
        <w:t>因上讲，决定生态优劣的是人为因素。</w:t>
      </w:r>
    </w:p>
    <w:p w14:paraId="6A394301">
      <w:pPr>
        <w:spacing w:line="361" w:lineRule="auto"/>
        <w:rPr>
          <w:rFonts w:ascii="宋体" w:hAnsi="宋体" w:eastAsia="宋体" w:cs="宋体"/>
          <w:sz w:val="24"/>
          <w:szCs w:val="24"/>
        </w:rPr>
        <w:sectPr>
          <w:headerReference r:id="rId339" w:type="default"/>
          <w:footerReference r:id="rId340" w:type="default"/>
          <w:pgSz w:w="11906" w:h="16839"/>
          <w:pgMar w:top="1208" w:right="1738" w:bottom="1358" w:left="1785" w:header="825" w:footer="1195" w:gutter="0"/>
          <w:cols w:space="720" w:num="1"/>
        </w:sectPr>
      </w:pPr>
    </w:p>
    <w:p w14:paraId="66A1522D">
      <w:pPr>
        <w:pStyle w:val="2"/>
        <w:spacing w:line="265" w:lineRule="auto"/>
      </w:pPr>
    </w:p>
    <w:p w14:paraId="6DEAD9AC">
      <w:pPr>
        <w:spacing w:before="78" w:line="360" w:lineRule="auto"/>
        <w:ind w:left="22" w:right="61" w:firstLine="484"/>
        <w:jc w:val="both"/>
        <w:rPr>
          <w:rFonts w:ascii="宋体" w:hAnsi="宋体" w:eastAsia="宋体" w:cs="宋体"/>
          <w:sz w:val="24"/>
          <w:szCs w:val="24"/>
        </w:rPr>
      </w:pPr>
      <w:r>
        <w:rPr>
          <w:rFonts w:ascii="宋体" w:hAnsi="宋体" w:eastAsia="宋体" w:cs="宋体"/>
          <w:spacing w:val="-3"/>
          <w:sz w:val="24"/>
          <w:szCs w:val="24"/>
        </w:rPr>
        <w:t>项目建设过程中将使本区绿色植物受到一定损失，景观</w:t>
      </w:r>
      <w:r>
        <w:rPr>
          <w:rFonts w:ascii="宋体" w:hAnsi="宋体" w:eastAsia="宋体" w:cs="宋体"/>
          <w:spacing w:val="-4"/>
          <w:sz w:val="24"/>
          <w:szCs w:val="24"/>
        </w:rPr>
        <w:t>生态体系负面组分优</w:t>
      </w:r>
      <w:r>
        <w:rPr>
          <w:rFonts w:ascii="宋体" w:hAnsi="宋体" w:eastAsia="宋体" w:cs="宋体"/>
          <w:sz w:val="24"/>
          <w:szCs w:val="24"/>
        </w:rPr>
        <w:t xml:space="preserve"> </w:t>
      </w:r>
      <w:r>
        <w:rPr>
          <w:rFonts w:ascii="宋体" w:hAnsi="宋体" w:eastAsia="宋体" w:cs="宋体"/>
          <w:spacing w:val="-3"/>
          <w:sz w:val="24"/>
          <w:szCs w:val="24"/>
        </w:rPr>
        <w:t>势度有所上升、草地的优势度有所下降，从而对评价区内景观生态系统质量有所</w:t>
      </w:r>
      <w:r>
        <w:rPr>
          <w:rFonts w:ascii="宋体" w:hAnsi="宋体" w:eastAsia="宋体" w:cs="宋体"/>
          <w:spacing w:val="1"/>
          <w:sz w:val="24"/>
          <w:szCs w:val="24"/>
        </w:rPr>
        <w:t xml:space="preserve"> </w:t>
      </w:r>
      <w:r>
        <w:rPr>
          <w:rFonts w:ascii="宋体" w:hAnsi="宋体" w:eastAsia="宋体" w:cs="宋体"/>
          <w:spacing w:val="-3"/>
          <w:sz w:val="24"/>
          <w:szCs w:val="24"/>
        </w:rPr>
        <w:t>降低。项目建设将使生态防护功能变得趋于脆弱。项目区的植被由于大规模的机</w:t>
      </w:r>
      <w:r>
        <w:rPr>
          <w:rFonts w:ascii="宋体" w:hAnsi="宋体" w:eastAsia="宋体" w:cs="宋体"/>
          <w:spacing w:val="1"/>
          <w:sz w:val="24"/>
          <w:szCs w:val="24"/>
        </w:rPr>
        <w:t xml:space="preserve"> </w:t>
      </w:r>
      <w:r>
        <w:rPr>
          <w:rFonts w:ascii="宋体" w:hAnsi="宋体" w:eastAsia="宋体" w:cs="宋体"/>
          <w:spacing w:val="-3"/>
          <w:sz w:val="24"/>
          <w:szCs w:val="24"/>
        </w:rPr>
        <w:t>械和人员活动永远消亡，而且在相当一段时间内难以恢复原状。植被破坏后，土</w:t>
      </w:r>
      <w:r>
        <w:rPr>
          <w:rFonts w:ascii="宋体" w:hAnsi="宋体" w:eastAsia="宋体" w:cs="宋体"/>
          <w:spacing w:val="1"/>
          <w:sz w:val="24"/>
          <w:szCs w:val="24"/>
        </w:rPr>
        <w:t xml:space="preserve"> </w:t>
      </w:r>
      <w:r>
        <w:rPr>
          <w:rFonts w:ascii="宋体" w:hAnsi="宋体" w:eastAsia="宋体" w:cs="宋体"/>
          <w:spacing w:val="-3"/>
          <w:sz w:val="24"/>
          <w:szCs w:val="24"/>
        </w:rPr>
        <w:t>壤表层外露，水分蒸发增大，表土有机质分解加速，土壤理化性质恶化，降低或</w:t>
      </w:r>
      <w:r>
        <w:rPr>
          <w:rFonts w:ascii="宋体" w:hAnsi="宋体" w:eastAsia="宋体" w:cs="宋体"/>
          <w:spacing w:val="1"/>
          <w:sz w:val="24"/>
          <w:szCs w:val="24"/>
        </w:rPr>
        <w:t xml:space="preserve"> </w:t>
      </w:r>
      <w:r>
        <w:rPr>
          <w:rFonts w:ascii="宋体" w:hAnsi="宋体" w:eastAsia="宋体" w:cs="宋体"/>
          <w:spacing w:val="-1"/>
          <w:sz w:val="24"/>
          <w:szCs w:val="24"/>
        </w:rPr>
        <w:t>破坏草地的水源涵养作用，也会造成一定程度的水土流失。</w:t>
      </w:r>
    </w:p>
    <w:p w14:paraId="3EDC254E">
      <w:pPr>
        <w:spacing w:before="6" w:line="359" w:lineRule="auto"/>
        <w:ind w:left="23" w:right="61" w:firstLine="481"/>
        <w:jc w:val="both"/>
        <w:rPr>
          <w:rFonts w:ascii="宋体" w:hAnsi="宋体" w:eastAsia="宋体" w:cs="宋体"/>
          <w:sz w:val="24"/>
          <w:szCs w:val="24"/>
        </w:rPr>
      </w:pPr>
      <w:r>
        <w:rPr>
          <w:rFonts w:ascii="宋体" w:hAnsi="宋体" w:eastAsia="宋体" w:cs="宋体"/>
          <w:spacing w:val="-3"/>
          <w:sz w:val="24"/>
          <w:szCs w:val="24"/>
        </w:rPr>
        <w:t>生态环境恢复重建时，在建设和生产中能充分重视项目区生</w:t>
      </w:r>
      <w:r>
        <w:rPr>
          <w:rFonts w:ascii="宋体" w:hAnsi="宋体" w:eastAsia="宋体" w:cs="宋体"/>
          <w:spacing w:val="-4"/>
          <w:sz w:val="24"/>
          <w:szCs w:val="24"/>
        </w:rPr>
        <w:t>态保护工作，努</w:t>
      </w:r>
      <w:r>
        <w:rPr>
          <w:rFonts w:ascii="宋体" w:hAnsi="宋体" w:eastAsia="宋体" w:cs="宋体"/>
          <w:sz w:val="24"/>
          <w:szCs w:val="24"/>
        </w:rPr>
        <w:t xml:space="preserve"> </w:t>
      </w:r>
      <w:r>
        <w:rPr>
          <w:rFonts w:ascii="宋体" w:hAnsi="宋体" w:eastAsia="宋体" w:cs="宋体"/>
          <w:spacing w:val="-3"/>
          <w:sz w:val="24"/>
          <w:szCs w:val="24"/>
        </w:rPr>
        <w:t>力做好所占土地上的植被恢复和土地综合整治，则可以保持现有评价区域内生态</w:t>
      </w:r>
      <w:r>
        <w:rPr>
          <w:rFonts w:ascii="宋体" w:hAnsi="宋体" w:eastAsia="宋体" w:cs="宋体"/>
          <w:spacing w:val="1"/>
          <w:sz w:val="24"/>
          <w:szCs w:val="24"/>
        </w:rPr>
        <w:t xml:space="preserve"> </w:t>
      </w:r>
      <w:r>
        <w:rPr>
          <w:rFonts w:ascii="宋体" w:hAnsi="宋体" w:eastAsia="宋体" w:cs="宋体"/>
          <w:spacing w:val="-3"/>
          <w:sz w:val="24"/>
          <w:szCs w:val="24"/>
        </w:rPr>
        <w:t>系统平衡。根据这两方面的分析，可以认为本工程在运行过程中对评价区景观生</w:t>
      </w:r>
      <w:r>
        <w:rPr>
          <w:rFonts w:ascii="宋体" w:hAnsi="宋体" w:eastAsia="宋体" w:cs="宋体"/>
          <w:spacing w:val="1"/>
          <w:sz w:val="24"/>
          <w:szCs w:val="24"/>
        </w:rPr>
        <w:t xml:space="preserve"> </w:t>
      </w:r>
      <w:r>
        <w:rPr>
          <w:rFonts w:ascii="宋体" w:hAnsi="宋体" w:eastAsia="宋体" w:cs="宋体"/>
          <w:spacing w:val="-3"/>
          <w:sz w:val="24"/>
          <w:szCs w:val="24"/>
        </w:rPr>
        <w:t>态体系的质量影响较大，但通过生态环境恢复重建工作，可逐渐使评价区景观生</w:t>
      </w:r>
      <w:r>
        <w:rPr>
          <w:rFonts w:ascii="宋体" w:hAnsi="宋体" w:eastAsia="宋体" w:cs="宋体"/>
          <w:spacing w:val="1"/>
          <w:sz w:val="24"/>
          <w:szCs w:val="24"/>
        </w:rPr>
        <w:t xml:space="preserve"> </w:t>
      </w:r>
      <w:r>
        <w:rPr>
          <w:rFonts w:ascii="宋体" w:hAnsi="宋体" w:eastAsia="宋体" w:cs="宋体"/>
          <w:sz w:val="24"/>
          <w:szCs w:val="24"/>
        </w:rPr>
        <w:t>态体系的质量向好的方向发展，因此，必须大力</w:t>
      </w:r>
      <w:r>
        <w:rPr>
          <w:rFonts w:ascii="宋体" w:hAnsi="宋体" w:eastAsia="宋体" w:cs="宋体"/>
          <w:spacing w:val="-1"/>
          <w:sz w:val="24"/>
          <w:szCs w:val="24"/>
        </w:rPr>
        <w:t>加强生态恢复重建工作。</w:t>
      </w:r>
    </w:p>
    <w:p w14:paraId="2C7FAA7B">
      <w:pPr>
        <w:spacing w:before="1" w:line="217" w:lineRule="auto"/>
        <w:ind w:left="502"/>
        <w:outlineLvl w:val="2"/>
        <w:rPr>
          <w:rFonts w:ascii="宋体" w:hAnsi="宋体" w:eastAsia="宋体" w:cs="宋体"/>
          <w:sz w:val="24"/>
          <w:szCs w:val="24"/>
        </w:rPr>
      </w:pPr>
      <w:bookmarkStart w:id="148" w:name="bookmark130"/>
      <w:bookmarkEnd w:id="148"/>
      <w:r>
        <w:rPr>
          <w:rFonts w:ascii="Times New Roman" w:hAnsi="Times New Roman" w:eastAsia="Times New Roman" w:cs="Times New Roman"/>
          <w:b/>
          <w:bCs/>
          <w:spacing w:val="-2"/>
          <w:sz w:val="24"/>
          <w:szCs w:val="24"/>
        </w:rPr>
        <w:t xml:space="preserve">8.6.5 </w:t>
      </w:r>
      <w:r>
        <w:rPr>
          <w:rFonts w:ascii="宋体" w:hAnsi="宋体" w:eastAsia="宋体" w:cs="宋体"/>
          <w:b/>
          <w:bCs/>
          <w:spacing w:val="-2"/>
          <w:sz w:val="24"/>
          <w:szCs w:val="24"/>
        </w:rPr>
        <w:t>生态环境影响评价结论</w:t>
      </w:r>
    </w:p>
    <w:p w14:paraId="3DB68F48">
      <w:pPr>
        <w:spacing w:before="184" w:line="360" w:lineRule="auto"/>
        <w:ind w:left="22" w:firstLine="487"/>
        <w:jc w:val="both"/>
        <w:rPr>
          <w:rFonts w:ascii="宋体" w:hAnsi="宋体" w:eastAsia="宋体" w:cs="宋体"/>
          <w:sz w:val="24"/>
          <w:szCs w:val="24"/>
        </w:rPr>
      </w:pPr>
      <w:r>
        <w:rPr>
          <w:rFonts w:ascii="宋体" w:hAnsi="宋体" w:eastAsia="宋体" w:cs="宋体"/>
          <w:spacing w:val="-6"/>
          <w:sz w:val="24"/>
          <w:szCs w:val="24"/>
        </w:rPr>
        <w:t>总体来看，本次技改在现有</w:t>
      </w:r>
      <w:r>
        <w:rPr>
          <w:rFonts w:ascii="宋体" w:hAnsi="宋体" w:eastAsia="宋体" w:cs="宋体"/>
          <w:spacing w:val="-15"/>
          <w:sz w:val="24"/>
          <w:szCs w:val="24"/>
        </w:rPr>
        <w:t xml:space="preserve"> </w:t>
      </w:r>
      <w:r>
        <w:rPr>
          <w:rFonts w:ascii="Times New Roman" w:hAnsi="Times New Roman" w:eastAsia="Times New Roman" w:cs="Times New Roman"/>
          <w:spacing w:val="-6"/>
          <w:sz w:val="24"/>
          <w:szCs w:val="24"/>
        </w:rPr>
        <w:t xml:space="preserve">1400t/d </w:t>
      </w:r>
      <w:r>
        <w:rPr>
          <w:rFonts w:ascii="宋体" w:hAnsi="宋体" w:eastAsia="宋体" w:cs="宋体"/>
          <w:spacing w:val="-6"/>
          <w:sz w:val="24"/>
          <w:szCs w:val="24"/>
        </w:rPr>
        <w:t>选矿工程厂房内进行，不新增建设用地，</w:t>
      </w:r>
      <w:r>
        <w:rPr>
          <w:rFonts w:ascii="宋体" w:hAnsi="宋体" w:eastAsia="宋体" w:cs="宋体"/>
          <w:sz w:val="24"/>
          <w:szCs w:val="24"/>
        </w:rPr>
        <w:t xml:space="preserve"> </w:t>
      </w:r>
      <w:r>
        <w:rPr>
          <w:rFonts w:ascii="宋体" w:hAnsi="宋体" w:eastAsia="宋体" w:cs="宋体"/>
          <w:spacing w:val="-3"/>
          <w:sz w:val="24"/>
          <w:szCs w:val="24"/>
        </w:rPr>
        <w:t>不会影响评价区范围内的整体土地利用格局。建设单位通过对现有工程占用的土</w:t>
      </w:r>
      <w:r>
        <w:rPr>
          <w:rFonts w:ascii="宋体" w:hAnsi="宋体" w:eastAsia="宋体" w:cs="宋体"/>
          <w:spacing w:val="1"/>
          <w:sz w:val="24"/>
          <w:szCs w:val="24"/>
        </w:rPr>
        <w:t xml:space="preserve"> </w:t>
      </w:r>
      <w:r>
        <w:rPr>
          <w:rFonts w:ascii="宋体" w:hAnsi="宋体" w:eastAsia="宋体" w:cs="宋体"/>
          <w:spacing w:val="-3"/>
          <w:sz w:val="24"/>
          <w:szCs w:val="24"/>
        </w:rPr>
        <w:t>地周边采取植被恢复等措施，可将现有工程对水土流失影响得到极大缓解并趋于</w:t>
      </w:r>
      <w:r>
        <w:rPr>
          <w:rFonts w:ascii="宋体" w:hAnsi="宋体" w:eastAsia="宋体" w:cs="宋体"/>
          <w:spacing w:val="1"/>
          <w:sz w:val="24"/>
          <w:szCs w:val="24"/>
        </w:rPr>
        <w:t xml:space="preserve"> </w:t>
      </w:r>
      <w:r>
        <w:rPr>
          <w:rFonts w:ascii="宋体" w:hAnsi="宋体" w:eastAsia="宋体" w:cs="宋体"/>
          <w:spacing w:val="-3"/>
          <w:sz w:val="24"/>
          <w:szCs w:val="24"/>
        </w:rPr>
        <w:t>消失。项目不会使整个评价区植物群落的种类组成发生变化，也不会造成某一物</w:t>
      </w:r>
      <w:r>
        <w:rPr>
          <w:rFonts w:ascii="宋体" w:hAnsi="宋体" w:eastAsia="宋体" w:cs="宋体"/>
          <w:spacing w:val="1"/>
          <w:sz w:val="24"/>
          <w:szCs w:val="24"/>
        </w:rPr>
        <w:t xml:space="preserve"> </w:t>
      </w:r>
      <w:r>
        <w:rPr>
          <w:rFonts w:ascii="宋体" w:hAnsi="宋体" w:eastAsia="宋体" w:cs="宋体"/>
          <w:spacing w:val="-3"/>
          <w:sz w:val="24"/>
          <w:szCs w:val="24"/>
        </w:rPr>
        <w:t>种在评价区范围内的消失。同时项目推进土地复垦、绿化等生态恢复工作的逐步</w:t>
      </w:r>
      <w:r>
        <w:rPr>
          <w:rFonts w:ascii="宋体" w:hAnsi="宋体" w:eastAsia="宋体" w:cs="宋体"/>
          <w:spacing w:val="1"/>
          <w:sz w:val="24"/>
          <w:szCs w:val="24"/>
        </w:rPr>
        <w:t xml:space="preserve"> </w:t>
      </w:r>
      <w:r>
        <w:rPr>
          <w:rFonts w:ascii="宋体" w:hAnsi="宋体" w:eastAsia="宋体" w:cs="宋体"/>
          <w:spacing w:val="-3"/>
          <w:sz w:val="24"/>
          <w:szCs w:val="24"/>
        </w:rPr>
        <w:t>开展能够补偿建设导致的生物量损失。区域内基本形成的人工强烈干扰的生态环</w:t>
      </w:r>
      <w:r>
        <w:rPr>
          <w:rFonts w:ascii="宋体" w:hAnsi="宋体" w:eastAsia="宋体" w:cs="宋体"/>
          <w:spacing w:val="1"/>
          <w:sz w:val="24"/>
          <w:szCs w:val="24"/>
        </w:rPr>
        <w:t xml:space="preserve"> </w:t>
      </w:r>
      <w:r>
        <w:rPr>
          <w:rFonts w:ascii="宋体" w:hAnsi="宋体" w:eastAsia="宋体" w:cs="宋体"/>
          <w:spacing w:val="-3"/>
          <w:sz w:val="24"/>
          <w:szCs w:val="24"/>
        </w:rPr>
        <w:t>境，存在大型野生动物及其栖息地的可能性很小，不会对野生动物构成影响。复</w:t>
      </w:r>
      <w:r>
        <w:rPr>
          <w:rFonts w:ascii="宋体" w:hAnsi="宋体" w:eastAsia="宋体" w:cs="宋体"/>
          <w:spacing w:val="1"/>
          <w:sz w:val="24"/>
          <w:szCs w:val="24"/>
        </w:rPr>
        <w:t xml:space="preserve"> </w:t>
      </w:r>
      <w:r>
        <w:rPr>
          <w:rFonts w:ascii="宋体" w:hAnsi="宋体" w:eastAsia="宋体" w:cs="宋体"/>
          <w:spacing w:val="-3"/>
          <w:sz w:val="24"/>
          <w:szCs w:val="24"/>
        </w:rPr>
        <w:t>垦和绿化将会恢复部分小型野生动物的生境，在服役期满后，评价区的部分野生</w:t>
      </w:r>
      <w:r>
        <w:rPr>
          <w:rFonts w:ascii="宋体" w:hAnsi="宋体" w:eastAsia="宋体" w:cs="宋体"/>
          <w:spacing w:val="1"/>
          <w:sz w:val="24"/>
          <w:szCs w:val="24"/>
        </w:rPr>
        <w:t xml:space="preserve"> </w:t>
      </w:r>
      <w:r>
        <w:rPr>
          <w:rFonts w:ascii="宋体" w:hAnsi="宋体" w:eastAsia="宋体" w:cs="宋体"/>
          <w:spacing w:val="-1"/>
          <w:sz w:val="24"/>
          <w:szCs w:val="24"/>
        </w:rPr>
        <w:t>动物种群将会有较大程度的恢复。</w:t>
      </w:r>
    </w:p>
    <w:p w14:paraId="0A75861E">
      <w:pPr>
        <w:spacing w:before="1" w:line="361" w:lineRule="auto"/>
        <w:ind w:left="23" w:right="61" w:firstLine="486"/>
        <w:jc w:val="both"/>
        <w:rPr>
          <w:rFonts w:ascii="宋体" w:hAnsi="宋体" w:eastAsia="宋体" w:cs="宋体"/>
          <w:sz w:val="24"/>
          <w:szCs w:val="24"/>
        </w:rPr>
      </w:pPr>
      <w:r>
        <w:rPr>
          <w:rFonts w:ascii="宋体" w:hAnsi="宋体" w:eastAsia="宋体" w:cs="宋体"/>
          <w:spacing w:val="-3"/>
          <w:sz w:val="24"/>
          <w:szCs w:val="24"/>
        </w:rPr>
        <w:t>总体而言，本工程对周围区域的生态环境影响程</w:t>
      </w:r>
      <w:r>
        <w:rPr>
          <w:rFonts w:ascii="宋体" w:hAnsi="宋体" w:eastAsia="宋体" w:cs="宋体"/>
          <w:spacing w:val="-4"/>
          <w:sz w:val="24"/>
          <w:szCs w:val="24"/>
        </w:rPr>
        <w:t>度相对较轻，在评价区生态</w:t>
      </w:r>
      <w:r>
        <w:rPr>
          <w:rFonts w:ascii="宋体" w:hAnsi="宋体" w:eastAsia="宋体" w:cs="宋体"/>
          <w:sz w:val="24"/>
          <w:szCs w:val="24"/>
        </w:rPr>
        <w:t xml:space="preserve"> </w:t>
      </w:r>
      <w:r>
        <w:rPr>
          <w:rFonts w:ascii="宋体" w:hAnsi="宋体" w:eastAsia="宋体" w:cs="宋体"/>
          <w:spacing w:val="-3"/>
          <w:sz w:val="24"/>
          <w:szCs w:val="24"/>
        </w:rPr>
        <w:t>环境系统承受范围内，且随着复垦、绿化等生态环境保护措施的实施，区域生态</w:t>
      </w:r>
      <w:r>
        <w:rPr>
          <w:rFonts w:ascii="宋体" w:hAnsi="宋体" w:eastAsia="宋体" w:cs="宋体"/>
          <w:spacing w:val="1"/>
          <w:sz w:val="24"/>
          <w:szCs w:val="24"/>
        </w:rPr>
        <w:t xml:space="preserve"> </w:t>
      </w:r>
      <w:r>
        <w:rPr>
          <w:rFonts w:ascii="宋体" w:hAnsi="宋体" w:eastAsia="宋体" w:cs="宋体"/>
          <w:spacing w:val="-2"/>
          <w:sz w:val="24"/>
          <w:szCs w:val="24"/>
        </w:rPr>
        <w:t>环境将趋于恢复。</w:t>
      </w:r>
    </w:p>
    <w:p w14:paraId="2B7B501B">
      <w:pPr>
        <w:spacing w:line="361" w:lineRule="auto"/>
        <w:rPr>
          <w:rFonts w:ascii="宋体" w:hAnsi="宋体" w:eastAsia="宋体" w:cs="宋体"/>
          <w:sz w:val="24"/>
          <w:szCs w:val="24"/>
        </w:rPr>
        <w:sectPr>
          <w:footerReference r:id="rId341" w:type="default"/>
          <w:pgSz w:w="11906" w:h="16839"/>
          <w:pgMar w:top="1208" w:right="1738" w:bottom="1358" w:left="1785" w:header="825" w:footer="1195" w:gutter="0"/>
          <w:cols w:space="720" w:num="1"/>
        </w:sectPr>
      </w:pPr>
    </w:p>
    <w:p w14:paraId="444A51F3">
      <w:pPr>
        <w:spacing w:before="271" w:line="222" w:lineRule="auto"/>
        <w:ind w:left="121"/>
        <w:outlineLvl w:val="1"/>
        <w:rPr>
          <w:rFonts w:ascii="黑体" w:hAnsi="黑体" w:eastAsia="黑体" w:cs="黑体"/>
          <w:sz w:val="28"/>
          <w:szCs w:val="28"/>
        </w:rPr>
      </w:pPr>
      <w:bookmarkStart w:id="149" w:name="bookmark131"/>
      <w:bookmarkEnd w:id="149"/>
      <w:r>
        <w:rPr>
          <w:rFonts w:ascii="Times New Roman" w:hAnsi="Times New Roman" w:eastAsia="Times New Roman" w:cs="Times New Roman"/>
          <w:b/>
          <w:bCs/>
          <w:spacing w:val="-3"/>
          <w:sz w:val="28"/>
          <w:szCs w:val="28"/>
        </w:rPr>
        <w:t xml:space="preserve">8.7 </w:t>
      </w:r>
      <w:r>
        <w:rPr>
          <w:rFonts w:ascii="黑体" w:hAnsi="黑体" w:eastAsia="黑体" w:cs="黑体"/>
          <w:b/>
          <w:bCs/>
          <w:spacing w:val="-3"/>
          <w:sz w:val="28"/>
          <w:szCs w:val="28"/>
        </w:rPr>
        <w:t>环境风险评价</w:t>
      </w:r>
    </w:p>
    <w:p w14:paraId="08DEFD27">
      <w:pPr>
        <w:spacing w:before="257" w:line="360" w:lineRule="auto"/>
        <w:ind w:left="122" w:right="111" w:firstLine="479"/>
        <w:jc w:val="both"/>
        <w:rPr>
          <w:rFonts w:ascii="宋体" w:hAnsi="宋体" w:eastAsia="宋体" w:cs="宋体"/>
          <w:sz w:val="24"/>
          <w:szCs w:val="24"/>
        </w:rPr>
      </w:pPr>
      <w:r>
        <w:rPr>
          <w:rFonts w:ascii="宋体" w:hAnsi="宋体" w:eastAsia="宋体" w:cs="宋体"/>
          <w:spacing w:val="-3"/>
          <w:sz w:val="24"/>
          <w:szCs w:val="24"/>
        </w:rPr>
        <w:t>环境风险是指在自然环境中产生的或者通过自然环境传递的，对</w:t>
      </w:r>
      <w:r>
        <w:rPr>
          <w:rFonts w:ascii="宋体" w:hAnsi="宋体" w:eastAsia="宋体" w:cs="宋体"/>
          <w:spacing w:val="-4"/>
          <w:sz w:val="24"/>
          <w:szCs w:val="24"/>
        </w:rPr>
        <w:t>人类健康和</w:t>
      </w:r>
      <w:r>
        <w:rPr>
          <w:rFonts w:ascii="宋体" w:hAnsi="宋体" w:eastAsia="宋体" w:cs="宋体"/>
          <w:sz w:val="24"/>
          <w:szCs w:val="24"/>
        </w:rPr>
        <w:t xml:space="preserve"> </w:t>
      </w:r>
      <w:r>
        <w:rPr>
          <w:rFonts w:ascii="宋体" w:hAnsi="宋体" w:eastAsia="宋体" w:cs="宋体"/>
          <w:spacing w:val="-3"/>
          <w:sz w:val="24"/>
          <w:szCs w:val="24"/>
        </w:rPr>
        <w:t>幸福产生不利影响同时又具有某些不确定性的危害事件。环境风险评价就是评估</w:t>
      </w:r>
      <w:r>
        <w:rPr>
          <w:rFonts w:ascii="宋体" w:hAnsi="宋体" w:eastAsia="宋体" w:cs="宋体"/>
          <w:sz w:val="24"/>
          <w:szCs w:val="24"/>
        </w:rPr>
        <w:t xml:space="preserve"> </w:t>
      </w:r>
      <w:r>
        <w:rPr>
          <w:rFonts w:ascii="宋体" w:hAnsi="宋体" w:eastAsia="宋体" w:cs="宋体"/>
          <w:spacing w:val="-3"/>
          <w:sz w:val="24"/>
          <w:szCs w:val="24"/>
        </w:rPr>
        <w:t>其事件发生概率以及在不同概率事件后果的严重性，并决定采取适宜的对策。环</w:t>
      </w:r>
      <w:r>
        <w:rPr>
          <w:rFonts w:ascii="宋体" w:hAnsi="宋体" w:eastAsia="宋体" w:cs="宋体"/>
          <w:sz w:val="24"/>
          <w:szCs w:val="24"/>
        </w:rPr>
        <w:t xml:space="preserve"> </w:t>
      </w:r>
      <w:r>
        <w:rPr>
          <w:rFonts w:ascii="宋体" w:hAnsi="宋体" w:eastAsia="宋体" w:cs="宋体"/>
          <w:spacing w:val="-3"/>
          <w:sz w:val="24"/>
          <w:szCs w:val="24"/>
        </w:rPr>
        <w:t>境风险评价的主要特点是评价环境中的不确定性和突发性的风险问题，关心的风</w:t>
      </w:r>
      <w:r>
        <w:rPr>
          <w:rFonts w:ascii="宋体" w:hAnsi="宋体" w:eastAsia="宋体" w:cs="宋体"/>
          <w:sz w:val="24"/>
          <w:szCs w:val="24"/>
        </w:rPr>
        <w:t xml:space="preserve"> </w:t>
      </w:r>
      <w:r>
        <w:rPr>
          <w:rFonts w:ascii="宋体" w:hAnsi="宋体" w:eastAsia="宋体" w:cs="宋体"/>
          <w:spacing w:val="-1"/>
          <w:sz w:val="24"/>
          <w:szCs w:val="24"/>
        </w:rPr>
        <w:t>险事故发生的可能性及其产生的环境后果。</w:t>
      </w:r>
    </w:p>
    <w:p w14:paraId="5A8F0ABC">
      <w:pPr>
        <w:spacing w:line="360" w:lineRule="auto"/>
        <w:ind w:left="124" w:right="111" w:firstLine="478"/>
        <w:jc w:val="both"/>
        <w:rPr>
          <w:rFonts w:ascii="宋体" w:hAnsi="宋体" w:eastAsia="宋体" w:cs="宋体"/>
          <w:sz w:val="24"/>
          <w:szCs w:val="24"/>
        </w:rPr>
      </w:pPr>
      <w:r>
        <w:rPr>
          <w:rFonts w:ascii="宋体" w:hAnsi="宋体" w:eastAsia="宋体" w:cs="宋体"/>
          <w:spacing w:val="-3"/>
          <w:sz w:val="24"/>
          <w:szCs w:val="24"/>
        </w:rPr>
        <w:t>本次环境风险评价根据项目自身特点，通过实地调查及资料收</w:t>
      </w:r>
      <w:r>
        <w:rPr>
          <w:rFonts w:ascii="宋体" w:hAnsi="宋体" w:eastAsia="宋体" w:cs="宋体"/>
          <w:spacing w:val="-4"/>
          <w:sz w:val="24"/>
          <w:szCs w:val="24"/>
        </w:rPr>
        <w:t>集的方法，对</w:t>
      </w:r>
      <w:r>
        <w:rPr>
          <w:rFonts w:ascii="宋体" w:hAnsi="宋体" w:eastAsia="宋体" w:cs="宋体"/>
          <w:sz w:val="24"/>
          <w:szCs w:val="24"/>
        </w:rPr>
        <w:t xml:space="preserve"> </w:t>
      </w:r>
      <w:r>
        <w:rPr>
          <w:rFonts w:ascii="宋体" w:hAnsi="宋体" w:eastAsia="宋体" w:cs="宋体"/>
          <w:spacing w:val="-3"/>
          <w:sz w:val="24"/>
          <w:szCs w:val="24"/>
        </w:rPr>
        <w:t>建设项目各个环节的环境风险性进行详细的分析，了解建设项目存在的风险</w:t>
      </w:r>
      <w:r>
        <w:rPr>
          <w:rFonts w:ascii="宋体" w:hAnsi="宋体" w:eastAsia="宋体" w:cs="宋体"/>
          <w:spacing w:val="-4"/>
          <w:sz w:val="24"/>
          <w:szCs w:val="24"/>
        </w:rPr>
        <w:t>以及</w:t>
      </w:r>
      <w:r>
        <w:rPr>
          <w:rFonts w:ascii="宋体" w:hAnsi="宋体" w:eastAsia="宋体" w:cs="宋体"/>
          <w:sz w:val="24"/>
          <w:szCs w:val="24"/>
        </w:rPr>
        <w:t xml:space="preserve"> </w:t>
      </w:r>
      <w:r>
        <w:rPr>
          <w:rFonts w:ascii="宋体" w:hAnsi="宋体" w:eastAsia="宋体" w:cs="宋体"/>
          <w:spacing w:val="-3"/>
          <w:sz w:val="24"/>
          <w:szCs w:val="24"/>
        </w:rPr>
        <w:t>发生风险事故后所产生的事故后果，并提出相应的措施和计划以避免或减少</w:t>
      </w:r>
      <w:r>
        <w:rPr>
          <w:rFonts w:ascii="宋体" w:hAnsi="宋体" w:eastAsia="宋体" w:cs="宋体"/>
          <w:spacing w:val="-4"/>
          <w:sz w:val="24"/>
          <w:szCs w:val="24"/>
        </w:rPr>
        <w:t>风险</w:t>
      </w:r>
      <w:r>
        <w:rPr>
          <w:rFonts w:ascii="宋体" w:hAnsi="宋体" w:eastAsia="宋体" w:cs="宋体"/>
          <w:sz w:val="24"/>
          <w:szCs w:val="24"/>
        </w:rPr>
        <w:t xml:space="preserve"> </w:t>
      </w:r>
      <w:r>
        <w:rPr>
          <w:rFonts w:ascii="宋体" w:hAnsi="宋体" w:eastAsia="宋体" w:cs="宋体"/>
          <w:spacing w:val="-2"/>
          <w:sz w:val="24"/>
          <w:szCs w:val="24"/>
        </w:rPr>
        <w:t>发生后的事故损失。</w:t>
      </w:r>
    </w:p>
    <w:p w14:paraId="55930FC6">
      <w:pPr>
        <w:spacing w:before="1" w:line="217" w:lineRule="auto"/>
        <w:ind w:left="600"/>
        <w:outlineLvl w:val="2"/>
        <w:rPr>
          <w:rFonts w:ascii="宋体" w:hAnsi="宋体" w:eastAsia="宋体" w:cs="宋体"/>
          <w:sz w:val="24"/>
          <w:szCs w:val="24"/>
        </w:rPr>
      </w:pPr>
      <w:bookmarkStart w:id="150" w:name="bookmark132"/>
      <w:bookmarkEnd w:id="150"/>
      <w:r>
        <w:rPr>
          <w:rFonts w:ascii="Times New Roman" w:hAnsi="Times New Roman" w:eastAsia="Times New Roman" w:cs="Times New Roman"/>
          <w:b/>
          <w:bCs/>
          <w:spacing w:val="-2"/>
          <w:sz w:val="24"/>
          <w:szCs w:val="24"/>
        </w:rPr>
        <w:t xml:space="preserve">8.7.1 </w:t>
      </w:r>
      <w:r>
        <w:rPr>
          <w:rFonts w:ascii="宋体" w:hAnsi="宋体" w:eastAsia="宋体" w:cs="宋体"/>
          <w:b/>
          <w:bCs/>
          <w:spacing w:val="-2"/>
          <w:sz w:val="24"/>
          <w:szCs w:val="24"/>
        </w:rPr>
        <w:t>评价依据</w:t>
      </w:r>
    </w:p>
    <w:p w14:paraId="55354A49">
      <w:pPr>
        <w:spacing w:before="185" w:line="219" w:lineRule="auto"/>
        <w:ind w:left="606"/>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8.7.1.1 </w:t>
      </w:r>
      <w:r>
        <w:rPr>
          <w:rFonts w:ascii="宋体" w:hAnsi="宋体" w:eastAsia="宋体" w:cs="宋体"/>
          <w:spacing w:val="-1"/>
          <w:sz w:val="24"/>
          <w:szCs w:val="24"/>
        </w:rPr>
        <w:t>环境风险潜势划分</w:t>
      </w:r>
    </w:p>
    <w:p w14:paraId="098F1278">
      <w:pPr>
        <w:spacing w:before="183" w:line="219" w:lineRule="auto"/>
        <w:ind w:left="604"/>
        <w:rPr>
          <w:rFonts w:ascii="宋体" w:hAnsi="宋体" w:eastAsia="宋体" w:cs="宋体"/>
          <w:sz w:val="24"/>
          <w:szCs w:val="24"/>
        </w:rPr>
      </w:pPr>
      <w:r>
        <w:rPr>
          <w:rFonts w:ascii="宋体" w:hAnsi="宋体" w:eastAsia="宋体" w:cs="宋体"/>
          <w:spacing w:val="-4"/>
          <w:sz w:val="24"/>
          <w:szCs w:val="24"/>
        </w:rPr>
        <w:t>建设项目环境风险潜势划分为</w:t>
      </w:r>
      <w:r>
        <w:rPr>
          <w:rFonts w:ascii="Times New Roman" w:hAnsi="Times New Roman" w:eastAsia="Times New Roman" w:cs="Times New Roman"/>
          <w:spacing w:val="-4"/>
          <w:sz w:val="24"/>
          <w:szCs w:val="24"/>
        </w:rPr>
        <w:t>Ⅰ</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Ⅱ</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Ⅲ</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Ⅳ/Ⅳ+</w:t>
      </w:r>
      <w:r>
        <w:rPr>
          <w:rFonts w:ascii="宋体" w:hAnsi="宋体" w:eastAsia="宋体" w:cs="宋体"/>
          <w:spacing w:val="-4"/>
          <w:sz w:val="24"/>
          <w:szCs w:val="24"/>
        </w:rPr>
        <w:t>级。</w:t>
      </w:r>
    </w:p>
    <w:p w14:paraId="0C942DA7">
      <w:pPr>
        <w:spacing w:before="184" w:line="343" w:lineRule="auto"/>
        <w:ind w:left="126" w:right="76" w:firstLine="474"/>
        <w:rPr>
          <w:rFonts w:ascii="宋体" w:hAnsi="宋体" w:eastAsia="宋体" w:cs="宋体"/>
          <w:sz w:val="24"/>
          <w:szCs w:val="24"/>
        </w:rPr>
      </w:pPr>
      <w:r>
        <w:rPr>
          <w:rFonts w:ascii="宋体" w:hAnsi="宋体" w:eastAsia="宋体" w:cs="宋体"/>
          <w:spacing w:val="-2"/>
          <w:sz w:val="24"/>
          <w:szCs w:val="24"/>
        </w:rPr>
        <w:t>根据建设项目涉及的物质和工艺系统的危险性及其所在地的环境敏感</w:t>
      </w:r>
      <w:r>
        <w:rPr>
          <w:rFonts w:ascii="宋体" w:hAnsi="宋体" w:eastAsia="宋体" w:cs="宋体"/>
          <w:spacing w:val="-3"/>
          <w:sz w:val="24"/>
          <w:szCs w:val="24"/>
        </w:rPr>
        <w:t>程度，</w:t>
      </w:r>
      <w:r>
        <w:rPr>
          <w:rFonts w:ascii="宋体" w:hAnsi="宋体" w:eastAsia="宋体" w:cs="宋体"/>
          <w:sz w:val="24"/>
          <w:szCs w:val="24"/>
        </w:rPr>
        <w:t xml:space="preserve"> </w:t>
      </w:r>
      <w:r>
        <w:rPr>
          <w:rFonts w:ascii="宋体" w:hAnsi="宋体" w:eastAsia="宋体" w:cs="宋体"/>
          <w:spacing w:val="-3"/>
          <w:sz w:val="24"/>
          <w:szCs w:val="24"/>
        </w:rPr>
        <w:t>结合事故情形下环境影响途径，对建设项目潜在环境危害程度进行概</w:t>
      </w:r>
      <w:r>
        <w:rPr>
          <w:rFonts w:ascii="宋体" w:hAnsi="宋体" w:eastAsia="宋体" w:cs="宋体"/>
          <w:spacing w:val="-4"/>
          <w:sz w:val="24"/>
          <w:szCs w:val="24"/>
        </w:rPr>
        <w:t>化分析，按</w:t>
      </w:r>
      <w:r>
        <w:rPr>
          <w:rFonts w:ascii="宋体" w:hAnsi="宋体" w:eastAsia="宋体" w:cs="宋体"/>
          <w:sz w:val="24"/>
          <w:szCs w:val="24"/>
        </w:rPr>
        <w:t xml:space="preserve"> </w:t>
      </w:r>
      <w:r>
        <w:rPr>
          <w:rFonts w:ascii="宋体" w:hAnsi="宋体" w:eastAsia="宋体" w:cs="宋体"/>
          <w:spacing w:val="-2"/>
          <w:sz w:val="24"/>
          <w:szCs w:val="24"/>
        </w:rPr>
        <w:t>照表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8.7-1 </w:t>
      </w:r>
      <w:r>
        <w:rPr>
          <w:rFonts w:ascii="宋体" w:hAnsi="宋体" w:eastAsia="宋体" w:cs="宋体"/>
          <w:spacing w:val="-2"/>
          <w:sz w:val="24"/>
          <w:szCs w:val="24"/>
        </w:rPr>
        <w:t>确定环境风险潜势。</w:t>
      </w:r>
    </w:p>
    <w:p w14:paraId="0317D4F0">
      <w:pPr>
        <w:spacing w:before="1" w:line="227" w:lineRule="auto"/>
        <w:ind w:left="2451"/>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9"/>
          <w:sz w:val="20"/>
          <w:szCs w:val="20"/>
        </w:rPr>
        <w:t xml:space="preserve"> </w:t>
      </w:r>
      <w:r>
        <w:rPr>
          <w:rFonts w:ascii="Times New Roman" w:hAnsi="Times New Roman" w:eastAsia="Times New Roman" w:cs="Times New Roman"/>
          <w:spacing w:val="5"/>
          <w:sz w:val="20"/>
          <w:szCs w:val="20"/>
        </w:rPr>
        <w:t xml:space="preserve">8.7-1        </w:t>
      </w:r>
      <w:r>
        <w:rPr>
          <w:rFonts w:ascii="宋体" w:hAnsi="宋体" w:eastAsia="宋体" w:cs="宋体"/>
          <w:spacing w:val="5"/>
          <w:sz w:val="20"/>
          <w:szCs w:val="20"/>
        </w:rPr>
        <w:t>建设项目环境风险潜势划分</w:t>
      </w:r>
    </w:p>
    <w:p w14:paraId="4DC4EAC4">
      <w:pPr>
        <w:spacing w:line="14" w:lineRule="exact"/>
      </w:pPr>
    </w:p>
    <w:tbl>
      <w:tblPr>
        <w:tblStyle w:val="5"/>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2"/>
        <w:gridCol w:w="1558"/>
        <w:gridCol w:w="1558"/>
        <w:gridCol w:w="1558"/>
        <w:gridCol w:w="1538"/>
      </w:tblGrid>
      <w:tr w14:paraId="10C2B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12" w:type="dxa"/>
            <w:vMerge w:val="restart"/>
            <w:tcBorders>
              <w:bottom w:val="nil"/>
            </w:tcBorders>
            <w:vAlign w:val="top"/>
          </w:tcPr>
          <w:p w14:paraId="73E30696">
            <w:pPr>
              <w:pStyle w:val="6"/>
              <w:spacing w:before="216" w:line="228" w:lineRule="auto"/>
              <w:ind w:left="258"/>
            </w:pPr>
            <w:r>
              <w:rPr>
                <w:spacing w:val="7"/>
              </w:rPr>
              <w:t>环境敏感程度（</w:t>
            </w:r>
            <w:r>
              <w:rPr>
                <w:rFonts w:ascii="Times New Roman" w:hAnsi="Times New Roman" w:eastAsia="Times New Roman" w:cs="Times New Roman"/>
                <w:spacing w:val="7"/>
              </w:rPr>
              <w:t>E</w:t>
            </w:r>
            <w:r>
              <w:rPr>
                <w:spacing w:val="7"/>
              </w:rPr>
              <w:t>）</w:t>
            </w:r>
          </w:p>
        </w:tc>
        <w:tc>
          <w:tcPr>
            <w:tcW w:w="6212" w:type="dxa"/>
            <w:gridSpan w:val="4"/>
            <w:vAlign w:val="top"/>
          </w:tcPr>
          <w:p w14:paraId="552AE2D4">
            <w:pPr>
              <w:pStyle w:val="6"/>
              <w:spacing w:before="56" w:line="228" w:lineRule="auto"/>
              <w:ind w:left="1585"/>
            </w:pPr>
            <w:r>
              <w:rPr>
                <w:spacing w:val="8"/>
              </w:rPr>
              <w:t>危险物质及工艺系统危险性（</w:t>
            </w:r>
            <w:r>
              <w:rPr>
                <w:rFonts w:ascii="Times New Roman" w:hAnsi="Times New Roman" w:eastAsia="Times New Roman" w:cs="Times New Roman"/>
                <w:spacing w:val="8"/>
              </w:rPr>
              <w:t>P</w:t>
            </w:r>
            <w:r>
              <w:rPr>
                <w:spacing w:val="8"/>
              </w:rPr>
              <w:t>）</w:t>
            </w:r>
          </w:p>
        </w:tc>
      </w:tr>
      <w:tr w14:paraId="238A2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12" w:type="dxa"/>
            <w:vMerge w:val="continue"/>
            <w:tcBorders>
              <w:top w:val="nil"/>
            </w:tcBorders>
            <w:vAlign w:val="top"/>
          </w:tcPr>
          <w:p w14:paraId="4FA30251">
            <w:pPr>
              <w:rPr>
                <w:rFonts w:ascii="Arial"/>
                <w:sz w:val="21"/>
              </w:rPr>
            </w:pPr>
          </w:p>
        </w:tc>
        <w:tc>
          <w:tcPr>
            <w:tcW w:w="1558" w:type="dxa"/>
            <w:vAlign w:val="top"/>
          </w:tcPr>
          <w:p w14:paraId="18E69622">
            <w:pPr>
              <w:pStyle w:val="6"/>
              <w:spacing w:before="51" w:line="228" w:lineRule="auto"/>
              <w:ind w:right="12"/>
              <w:jc w:val="right"/>
            </w:pPr>
            <w:r>
              <w:rPr>
                <w:spacing w:val="1"/>
              </w:rPr>
              <w:t>极高危害（</w:t>
            </w:r>
            <w:r>
              <w:rPr>
                <w:rFonts w:ascii="Times New Roman" w:hAnsi="Times New Roman" w:eastAsia="Times New Roman" w:cs="Times New Roman"/>
                <w:spacing w:val="1"/>
              </w:rPr>
              <w:t>P1</w:t>
            </w:r>
            <w:r>
              <w:rPr>
                <w:spacing w:val="1"/>
              </w:rPr>
              <w:t>）</w:t>
            </w:r>
          </w:p>
        </w:tc>
        <w:tc>
          <w:tcPr>
            <w:tcW w:w="1558" w:type="dxa"/>
            <w:vAlign w:val="top"/>
          </w:tcPr>
          <w:p w14:paraId="4D08973E">
            <w:pPr>
              <w:pStyle w:val="6"/>
              <w:spacing w:before="51" w:line="228" w:lineRule="auto"/>
              <w:ind w:right="12"/>
              <w:jc w:val="right"/>
            </w:pPr>
            <w:r>
              <w:rPr>
                <w:spacing w:val="1"/>
              </w:rPr>
              <w:t>高度危害（</w:t>
            </w:r>
            <w:r>
              <w:rPr>
                <w:rFonts w:ascii="Times New Roman" w:hAnsi="Times New Roman" w:eastAsia="Times New Roman" w:cs="Times New Roman"/>
                <w:spacing w:val="1"/>
              </w:rPr>
              <w:t>P2</w:t>
            </w:r>
            <w:r>
              <w:rPr>
                <w:spacing w:val="1"/>
              </w:rPr>
              <w:t>）</w:t>
            </w:r>
          </w:p>
        </w:tc>
        <w:tc>
          <w:tcPr>
            <w:tcW w:w="1558" w:type="dxa"/>
            <w:vAlign w:val="top"/>
          </w:tcPr>
          <w:p w14:paraId="1F126FC7">
            <w:pPr>
              <w:pStyle w:val="6"/>
              <w:spacing w:before="51" w:line="228" w:lineRule="auto"/>
              <w:ind w:right="10"/>
              <w:jc w:val="right"/>
            </w:pPr>
            <w:r>
              <w:rPr>
                <w:spacing w:val="-1"/>
              </w:rPr>
              <w:t>中度危害（</w:t>
            </w:r>
            <w:r>
              <w:rPr>
                <w:rFonts w:ascii="Times New Roman" w:hAnsi="Times New Roman" w:eastAsia="Times New Roman" w:cs="Times New Roman"/>
                <w:spacing w:val="-1"/>
              </w:rPr>
              <w:t>P3</w:t>
            </w:r>
            <w:r>
              <w:rPr>
                <w:spacing w:val="-1"/>
              </w:rPr>
              <w:t>）</w:t>
            </w:r>
          </w:p>
        </w:tc>
        <w:tc>
          <w:tcPr>
            <w:tcW w:w="1538" w:type="dxa"/>
            <w:vAlign w:val="top"/>
          </w:tcPr>
          <w:p w14:paraId="7AE85AE8">
            <w:pPr>
              <w:pStyle w:val="6"/>
              <w:spacing w:before="51" w:line="228" w:lineRule="auto"/>
              <w:ind w:right="14"/>
              <w:jc w:val="right"/>
            </w:pPr>
            <w:r>
              <w:rPr>
                <w:spacing w:val="-2"/>
              </w:rPr>
              <w:t>轻度危害（</w:t>
            </w:r>
            <w:r>
              <w:rPr>
                <w:rFonts w:ascii="Times New Roman" w:hAnsi="Times New Roman" w:eastAsia="Times New Roman" w:cs="Times New Roman"/>
                <w:spacing w:val="-2"/>
              </w:rPr>
              <w:t>P4</w:t>
            </w:r>
            <w:r>
              <w:rPr>
                <w:spacing w:val="-2"/>
              </w:rPr>
              <w:t>）</w:t>
            </w:r>
          </w:p>
        </w:tc>
      </w:tr>
      <w:tr w14:paraId="6ED09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12" w:type="dxa"/>
            <w:vAlign w:val="top"/>
          </w:tcPr>
          <w:p w14:paraId="4E5BE836">
            <w:pPr>
              <w:pStyle w:val="6"/>
              <w:spacing w:before="54" w:line="228" w:lineRule="auto"/>
              <w:ind w:left="114"/>
            </w:pPr>
            <w:r>
              <w:rPr>
                <w:spacing w:val="7"/>
              </w:rPr>
              <w:t>环境高度敏感区（</w:t>
            </w:r>
            <w:r>
              <w:rPr>
                <w:rFonts w:ascii="Times New Roman" w:hAnsi="Times New Roman" w:eastAsia="Times New Roman" w:cs="Times New Roman"/>
                <w:spacing w:val="7"/>
              </w:rPr>
              <w:t>E1</w:t>
            </w:r>
            <w:r>
              <w:rPr>
                <w:spacing w:val="7"/>
              </w:rPr>
              <w:t>）</w:t>
            </w:r>
          </w:p>
        </w:tc>
        <w:tc>
          <w:tcPr>
            <w:tcW w:w="1558" w:type="dxa"/>
            <w:vAlign w:val="top"/>
          </w:tcPr>
          <w:p w14:paraId="7A54BD92">
            <w:pPr>
              <w:spacing w:before="93" w:line="192"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Ⅳ+</w:t>
            </w:r>
          </w:p>
        </w:tc>
        <w:tc>
          <w:tcPr>
            <w:tcW w:w="1558" w:type="dxa"/>
            <w:vAlign w:val="top"/>
          </w:tcPr>
          <w:p w14:paraId="57A9B963">
            <w:pPr>
              <w:spacing w:before="93" w:line="192"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558" w:type="dxa"/>
            <w:vAlign w:val="top"/>
          </w:tcPr>
          <w:p w14:paraId="3D6C49D4">
            <w:pPr>
              <w:spacing w:before="93"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38" w:type="dxa"/>
            <w:vAlign w:val="top"/>
          </w:tcPr>
          <w:p w14:paraId="306631F4">
            <w:pPr>
              <w:spacing w:before="93" w:line="192" w:lineRule="auto"/>
              <w:ind w:left="6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r>
      <w:tr w14:paraId="0B588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12" w:type="dxa"/>
            <w:vAlign w:val="top"/>
          </w:tcPr>
          <w:p w14:paraId="082EA939">
            <w:pPr>
              <w:pStyle w:val="6"/>
              <w:spacing w:before="54" w:line="228" w:lineRule="auto"/>
              <w:ind w:left="114"/>
            </w:pPr>
            <w:r>
              <w:rPr>
                <w:spacing w:val="7"/>
              </w:rPr>
              <w:t>环境中度敏感区（</w:t>
            </w:r>
            <w:r>
              <w:rPr>
                <w:rFonts w:ascii="Times New Roman" w:hAnsi="Times New Roman" w:eastAsia="Times New Roman" w:cs="Times New Roman"/>
                <w:spacing w:val="7"/>
              </w:rPr>
              <w:t>E2</w:t>
            </w:r>
            <w:r>
              <w:rPr>
                <w:spacing w:val="7"/>
              </w:rPr>
              <w:t>）</w:t>
            </w:r>
          </w:p>
        </w:tc>
        <w:tc>
          <w:tcPr>
            <w:tcW w:w="1558" w:type="dxa"/>
            <w:vAlign w:val="top"/>
          </w:tcPr>
          <w:p w14:paraId="6907A82F">
            <w:pPr>
              <w:spacing w:before="93" w:line="192"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Ⅳ</w:t>
            </w:r>
          </w:p>
        </w:tc>
        <w:tc>
          <w:tcPr>
            <w:tcW w:w="1558" w:type="dxa"/>
            <w:vAlign w:val="top"/>
          </w:tcPr>
          <w:p w14:paraId="7DFEF66A">
            <w:pPr>
              <w:spacing w:before="93" w:line="192"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58" w:type="dxa"/>
            <w:vAlign w:val="top"/>
          </w:tcPr>
          <w:p w14:paraId="29E76CE7">
            <w:pPr>
              <w:spacing w:before="93" w:line="192"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38" w:type="dxa"/>
            <w:vAlign w:val="top"/>
          </w:tcPr>
          <w:p w14:paraId="75D2DB93">
            <w:pPr>
              <w:spacing w:before="93" w:line="192" w:lineRule="auto"/>
              <w:ind w:left="702"/>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r>
      <w:tr w14:paraId="38F6B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12" w:type="dxa"/>
            <w:vAlign w:val="top"/>
          </w:tcPr>
          <w:p w14:paraId="2FE3C503">
            <w:pPr>
              <w:pStyle w:val="6"/>
              <w:spacing w:before="55" w:line="228" w:lineRule="auto"/>
              <w:ind w:left="114"/>
            </w:pPr>
            <w:r>
              <w:rPr>
                <w:spacing w:val="7"/>
              </w:rPr>
              <w:t>环境低度敏感区（</w:t>
            </w:r>
            <w:r>
              <w:rPr>
                <w:rFonts w:ascii="Times New Roman" w:hAnsi="Times New Roman" w:eastAsia="Times New Roman" w:cs="Times New Roman"/>
                <w:spacing w:val="7"/>
              </w:rPr>
              <w:t>E3</w:t>
            </w:r>
            <w:r>
              <w:rPr>
                <w:spacing w:val="7"/>
              </w:rPr>
              <w:t>）</w:t>
            </w:r>
          </w:p>
        </w:tc>
        <w:tc>
          <w:tcPr>
            <w:tcW w:w="1558" w:type="dxa"/>
            <w:vAlign w:val="top"/>
          </w:tcPr>
          <w:p w14:paraId="575149C7">
            <w:pPr>
              <w:spacing w:before="94" w:line="192" w:lineRule="auto"/>
              <w:ind w:left="6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58" w:type="dxa"/>
            <w:vAlign w:val="top"/>
          </w:tcPr>
          <w:p w14:paraId="0311AC2D">
            <w:pPr>
              <w:spacing w:before="94" w:line="192"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558" w:type="dxa"/>
            <w:vAlign w:val="top"/>
          </w:tcPr>
          <w:p w14:paraId="77487FDE">
            <w:pPr>
              <w:spacing w:before="94" w:line="192" w:lineRule="auto"/>
              <w:ind w:left="715"/>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538" w:type="dxa"/>
            <w:vAlign w:val="top"/>
          </w:tcPr>
          <w:p w14:paraId="085E6EF6">
            <w:pPr>
              <w:spacing w:before="94" w:line="192" w:lineRule="auto"/>
              <w:ind w:left="736"/>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5C8B9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524" w:type="dxa"/>
            <w:gridSpan w:val="5"/>
            <w:vAlign w:val="top"/>
          </w:tcPr>
          <w:p w14:paraId="5E59D841">
            <w:pPr>
              <w:pStyle w:val="6"/>
              <w:spacing w:before="55" w:line="228" w:lineRule="auto"/>
              <w:ind w:left="2994"/>
            </w:pPr>
            <w:r>
              <w:rPr>
                <w:spacing w:val="7"/>
              </w:rPr>
              <w:t>注：</w:t>
            </w:r>
            <w:r>
              <w:rPr>
                <w:rFonts w:ascii="Times New Roman" w:hAnsi="Times New Roman" w:eastAsia="Times New Roman" w:cs="Times New Roman"/>
                <w:spacing w:val="7"/>
              </w:rPr>
              <w:t xml:space="preserve">Ⅳ+  </w:t>
            </w:r>
            <w:r>
              <w:rPr>
                <w:spacing w:val="7"/>
              </w:rPr>
              <w:t>为极高环境风险。</w:t>
            </w:r>
          </w:p>
        </w:tc>
      </w:tr>
    </w:tbl>
    <w:p w14:paraId="7A4B6385">
      <w:pPr>
        <w:spacing w:before="116" w:line="220" w:lineRule="auto"/>
        <w:ind w:left="595"/>
        <w:rPr>
          <w:rFonts w:ascii="宋体" w:hAnsi="宋体" w:eastAsia="宋体" w:cs="宋体"/>
          <w:sz w:val="24"/>
          <w:szCs w:val="24"/>
        </w:rPr>
      </w:pPr>
      <w:r>
        <w:rPr>
          <w:rFonts w:ascii="Times New Roman" w:hAnsi="Times New Roman" w:eastAsia="Times New Roman" w:cs="Times New Roman"/>
          <w:spacing w:val="-5"/>
          <w:sz w:val="24"/>
          <w:szCs w:val="24"/>
        </w:rPr>
        <w:t>P</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的分级确定：</w:t>
      </w:r>
    </w:p>
    <w:p w14:paraId="12C04E4C">
      <w:pPr>
        <w:spacing w:before="180" w:line="360" w:lineRule="auto"/>
        <w:ind w:left="120" w:right="111" w:firstLine="483"/>
        <w:jc w:val="both"/>
        <w:rPr>
          <w:rFonts w:ascii="宋体" w:hAnsi="宋体" w:eastAsia="宋体" w:cs="宋体"/>
          <w:sz w:val="24"/>
          <w:szCs w:val="24"/>
        </w:rPr>
      </w:pPr>
      <w:r>
        <w:rPr>
          <w:rFonts w:ascii="宋体" w:hAnsi="宋体" w:eastAsia="宋体" w:cs="宋体"/>
          <w:spacing w:val="-3"/>
          <w:sz w:val="24"/>
          <w:szCs w:val="24"/>
        </w:rPr>
        <w:t>分析建设项目生产、使用、储存过程中涉及的有毒有害、</w:t>
      </w:r>
      <w:r>
        <w:rPr>
          <w:rFonts w:ascii="宋体" w:hAnsi="宋体" w:eastAsia="宋体" w:cs="宋体"/>
          <w:spacing w:val="-4"/>
          <w:sz w:val="24"/>
          <w:szCs w:val="24"/>
        </w:rPr>
        <w:t>易燃易爆物质，参</w:t>
      </w:r>
      <w:r>
        <w:rPr>
          <w:rFonts w:ascii="宋体" w:hAnsi="宋体" w:eastAsia="宋体" w:cs="宋体"/>
          <w:sz w:val="24"/>
          <w:szCs w:val="24"/>
        </w:rPr>
        <w:t xml:space="preserve"> </w:t>
      </w:r>
      <w:r>
        <w:rPr>
          <w:rFonts w:ascii="宋体" w:hAnsi="宋体" w:eastAsia="宋体" w:cs="宋体"/>
          <w:spacing w:val="2"/>
          <w:sz w:val="24"/>
          <w:szCs w:val="24"/>
        </w:rPr>
        <w:t>见风险导则附录</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确定危险物质的临界量。定量分析危险物质数量与临界量的</w:t>
      </w:r>
      <w:r>
        <w:rPr>
          <w:rFonts w:ascii="宋体" w:hAnsi="宋体" w:eastAsia="宋体" w:cs="宋体"/>
          <w:sz w:val="24"/>
          <w:szCs w:val="24"/>
        </w:rPr>
        <w:t xml:space="preserve"> </w:t>
      </w:r>
      <w:r>
        <w:rPr>
          <w:rFonts w:ascii="宋体" w:hAnsi="宋体" w:eastAsia="宋体" w:cs="宋体"/>
          <w:spacing w:val="1"/>
          <w:sz w:val="24"/>
          <w:szCs w:val="24"/>
        </w:rPr>
        <w:t>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）和所属行业及生产工艺特点（</w:t>
      </w:r>
      <w:r>
        <w:rPr>
          <w:rFonts w:ascii="Times New Roman" w:hAnsi="Times New Roman" w:eastAsia="Times New Roman" w:cs="Times New Roman"/>
          <w:spacing w:val="1"/>
          <w:sz w:val="24"/>
          <w:szCs w:val="24"/>
        </w:rPr>
        <w:t>M</w:t>
      </w:r>
      <w:r>
        <w:rPr>
          <w:rFonts w:ascii="宋体" w:hAnsi="宋体" w:eastAsia="宋体" w:cs="宋体"/>
          <w:spacing w:val="17"/>
          <w:sz w:val="24"/>
          <w:szCs w:val="24"/>
        </w:rPr>
        <w:t>），</w:t>
      </w:r>
      <w:r>
        <w:rPr>
          <w:rFonts w:ascii="宋体" w:hAnsi="宋体" w:eastAsia="宋体" w:cs="宋体"/>
          <w:spacing w:val="1"/>
          <w:sz w:val="24"/>
          <w:szCs w:val="24"/>
        </w:rPr>
        <w:t xml:space="preserve">按风险导则附录 </w:t>
      </w:r>
      <w:r>
        <w:rPr>
          <w:rFonts w:ascii="Times New Roman" w:hAnsi="Times New Roman" w:eastAsia="Times New Roman" w:cs="Times New Roman"/>
          <w:spacing w:val="1"/>
          <w:sz w:val="24"/>
          <w:szCs w:val="24"/>
        </w:rPr>
        <w:t xml:space="preserve">C  </w:t>
      </w:r>
      <w:r>
        <w:rPr>
          <w:rFonts w:ascii="宋体" w:hAnsi="宋体" w:eastAsia="宋体" w:cs="宋体"/>
          <w:spacing w:val="1"/>
          <w:sz w:val="24"/>
          <w:szCs w:val="24"/>
        </w:rPr>
        <w:t xml:space="preserve">对危险物质 </w:t>
      </w:r>
      <w:r>
        <w:rPr>
          <w:rFonts w:ascii="宋体" w:hAnsi="宋体" w:eastAsia="宋体" w:cs="宋体"/>
          <w:spacing w:val="-1"/>
          <w:sz w:val="24"/>
          <w:szCs w:val="24"/>
        </w:rPr>
        <w:t>及工艺系统危险性（</w:t>
      </w:r>
      <w:r>
        <w:rPr>
          <w:rFonts w:ascii="Times New Roman" w:hAnsi="Times New Roman" w:eastAsia="Times New Roman" w:cs="Times New Roman"/>
          <w:spacing w:val="-1"/>
          <w:sz w:val="24"/>
          <w:szCs w:val="24"/>
        </w:rPr>
        <w:t>P</w:t>
      </w:r>
      <w:r>
        <w:rPr>
          <w:rFonts w:ascii="宋体" w:hAnsi="宋体" w:eastAsia="宋体" w:cs="宋体"/>
          <w:spacing w:val="-1"/>
          <w:sz w:val="24"/>
          <w:szCs w:val="24"/>
        </w:rPr>
        <w:t>）等级进行判断。</w:t>
      </w:r>
    </w:p>
    <w:p w14:paraId="03FFA2CF">
      <w:pPr>
        <w:spacing w:before="2" w:line="210" w:lineRule="auto"/>
        <w:ind w:left="604"/>
        <w:rPr>
          <w:rFonts w:ascii="宋体" w:hAnsi="宋体" w:eastAsia="宋体" w:cs="宋体"/>
          <w:sz w:val="24"/>
          <w:szCs w:val="24"/>
        </w:rPr>
      </w:pPr>
      <w:r>
        <w:rPr>
          <w:rFonts w:ascii="宋体" w:hAnsi="宋体" w:eastAsia="宋体" w:cs="宋体"/>
          <w:spacing w:val="-1"/>
          <w:sz w:val="24"/>
          <w:szCs w:val="24"/>
        </w:rPr>
        <w:t>危险物质数量与临界量比值（</w:t>
      </w:r>
      <w:r>
        <w:rPr>
          <w:rFonts w:ascii="Times New Roman" w:hAnsi="Times New Roman" w:eastAsia="Times New Roman" w:cs="Times New Roman"/>
          <w:spacing w:val="-1"/>
          <w:sz w:val="24"/>
          <w:szCs w:val="24"/>
        </w:rPr>
        <w:t>Q</w:t>
      </w:r>
      <w:r>
        <w:rPr>
          <w:rFonts w:ascii="宋体" w:hAnsi="宋体" w:eastAsia="宋体" w:cs="宋体"/>
          <w:spacing w:val="-1"/>
          <w:sz w:val="24"/>
          <w:szCs w:val="24"/>
        </w:rPr>
        <w:t>）确定：</w:t>
      </w:r>
    </w:p>
    <w:p w14:paraId="21C24F64">
      <w:pPr>
        <w:spacing w:before="194" w:line="337" w:lineRule="auto"/>
        <w:ind w:left="120" w:right="31" w:firstLine="480"/>
        <w:jc w:val="both"/>
        <w:rPr>
          <w:rFonts w:ascii="宋体" w:hAnsi="宋体" w:eastAsia="宋体" w:cs="宋体"/>
          <w:sz w:val="24"/>
          <w:szCs w:val="24"/>
        </w:rPr>
      </w:pPr>
      <w:r>
        <w:rPr>
          <w:rFonts w:ascii="宋体" w:hAnsi="宋体" w:eastAsia="宋体" w:cs="宋体"/>
          <w:spacing w:val="2"/>
          <w:sz w:val="24"/>
          <w:szCs w:val="24"/>
        </w:rPr>
        <w:t>计算所涉及的每种危险物质在厂界内的最大</w:t>
      </w:r>
      <w:r>
        <w:rPr>
          <w:rFonts w:ascii="宋体" w:hAnsi="宋体" w:eastAsia="宋体" w:cs="宋体"/>
          <w:spacing w:val="1"/>
          <w:sz w:val="24"/>
          <w:szCs w:val="24"/>
        </w:rPr>
        <w:t>存在总量与其在附录</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35"/>
          <w:w w:val="101"/>
          <w:sz w:val="24"/>
          <w:szCs w:val="24"/>
        </w:rPr>
        <w:t xml:space="preserve"> </w:t>
      </w:r>
      <w:r>
        <w:rPr>
          <w:rFonts w:ascii="宋体" w:hAnsi="宋体" w:eastAsia="宋体" w:cs="宋体"/>
          <w:spacing w:val="1"/>
          <w:sz w:val="24"/>
          <w:szCs w:val="24"/>
        </w:rPr>
        <w:t>中对应</w:t>
      </w:r>
      <w:r>
        <w:rPr>
          <w:rFonts w:ascii="宋体" w:hAnsi="宋体" w:eastAsia="宋体" w:cs="宋体"/>
          <w:sz w:val="24"/>
          <w:szCs w:val="24"/>
        </w:rPr>
        <w:t xml:space="preserve"> </w:t>
      </w:r>
      <w:r>
        <w:rPr>
          <w:rFonts w:ascii="宋体" w:hAnsi="宋体" w:eastAsia="宋体" w:cs="宋体"/>
          <w:spacing w:val="-7"/>
          <w:sz w:val="24"/>
          <w:szCs w:val="24"/>
        </w:rPr>
        <w:t>临界量的比值</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Q</w:t>
      </w:r>
      <w:r>
        <w:rPr>
          <w:rFonts w:ascii="宋体" w:hAnsi="宋体" w:eastAsia="宋体" w:cs="宋体"/>
          <w:spacing w:val="-7"/>
          <w:sz w:val="24"/>
          <w:szCs w:val="24"/>
        </w:rPr>
        <w:t>。在不同厂区的同一种物质，按其在</w:t>
      </w:r>
      <w:r>
        <w:rPr>
          <w:rFonts w:ascii="宋体" w:hAnsi="宋体" w:eastAsia="宋体" w:cs="宋体"/>
          <w:spacing w:val="-8"/>
          <w:sz w:val="24"/>
          <w:szCs w:val="24"/>
        </w:rPr>
        <w:t>厂界内的最大存在总量计算。</w:t>
      </w:r>
      <w:r>
        <w:rPr>
          <w:rFonts w:ascii="宋体" w:hAnsi="宋体" w:eastAsia="宋体" w:cs="宋体"/>
          <w:sz w:val="24"/>
          <w:szCs w:val="24"/>
        </w:rPr>
        <w:t xml:space="preserve"> 对于长输管线项目，按照两个截断阀室之间管段危险物</w:t>
      </w:r>
      <w:r>
        <w:rPr>
          <w:rFonts w:ascii="宋体" w:hAnsi="宋体" w:eastAsia="宋体" w:cs="宋体"/>
          <w:spacing w:val="-1"/>
          <w:sz w:val="24"/>
          <w:szCs w:val="24"/>
        </w:rPr>
        <w:t>质最大存在总量计算。</w:t>
      </w:r>
    </w:p>
    <w:p w14:paraId="1C6B60F0">
      <w:pPr>
        <w:spacing w:line="337" w:lineRule="auto"/>
        <w:rPr>
          <w:rFonts w:ascii="宋体" w:hAnsi="宋体" w:eastAsia="宋体" w:cs="宋体"/>
          <w:sz w:val="24"/>
          <w:szCs w:val="24"/>
        </w:rPr>
        <w:sectPr>
          <w:headerReference r:id="rId342" w:type="default"/>
          <w:footerReference r:id="rId343" w:type="default"/>
          <w:pgSz w:w="11906" w:h="16839"/>
          <w:pgMar w:top="1208" w:right="1688" w:bottom="1358" w:left="1688" w:header="825" w:footer="1195" w:gutter="0"/>
          <w:cols w:space="720" w:num="1"/>
        </w:sectPr>
      </w:pPr>
    </w:p>
    <w:p w14:paraId="666F804C">
      <w:pPr>
        <w:pStyle w:val="2"/>
        <w:spacing w:line="264" w:lineRule="auto"/>
      </w:pPr>
    </w:p>
    <w:p w14:paraId="648BA21F">
      <w:pPr>
        <w:spacing w:before="78" w:line="323" w:lineRule="auto"/>
        <w:ind w:left="617" w:right="324"/>
        <w:rPr>
          <w:rFonts w:ascii="宋体" w:hAnsi="宋体" w:eastAsia="宋体" w:cs="宋体"/>
          <w:sz w:val="24"/>
          <w:szCs w:val="24"/>
        </w:rPr>
      </w:pPr>
      <w:r>
        <w:rPr>
          <w:rFonts w:ascii="宋体" w:hAnsi="宋体" w:eastAsia="宋体" w:cs="宋体"/>
          <w:spacing w:val="-3"/>
          <w:sz w:val="24"/>
          <w:szCs w:val="24"/>
        </w:rPr>
        <w:t>当只涉及一种危险物质时，计算该物质的总量与其临界量比值，即为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Q</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当存在多种危险物质时，则按下式计算物质总量与其临界量比值（</w:t>
      </w:r>
      <w:r>
        <w:rPr>
          <w:rFonts w:ascii="Times New Roman" w:hAnsi="Times New Roman" w:eastAsia="Times New Roman" w:cs="Times New Roman"/>
          <w:spacing w:val="-1"/>
          <w:sz w:val="24"/>
          <w:szCs w:val="24"/>
        </w:rPr>
        <w:t>Q</w:t>
      </w:r>
      <w:r>
        <w:rPr>
          <w:rFonts w:ascii="宋体" w:hAnsi="宋体" w:eastAsia="宋体" w:cs="宋体"/>
          <w:spacing w:val="2"/>
          <w:sz w:val="24"/>
          <w:szCs w:val="24"/>
        </w:rPr>
        <w:t>）：</w:t>
      </w:r>
    </w:p>
    <w:p w14:paraId="21D5EB5A">
      <w:pPr>
        <w:spacing w:line="777" w:lineRule="exact"/>
        <w:ind w:firstLine="2476"/>
      </w:pPr>
      <w:r>
        <w:rPr>
          <w:position w:val="-15"/>
        </w:rPr>
        <w:drawing>
          <wp:inline distT="0" distB="0" distL="0" distR="0">
            <wp:extent cx="1922780" cy="49339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532"/>
                    <a:stretch>
                      <a:fillRect/>
                    </a:stretch>
                  </pic:blipFill>
                  <pic:spPr>
                    <a:xfrm>
                      <a:off x="0" y="0"/>
                      <a:ext cx="1923287" cy="493776"/>
                    </a:xfrm>
                    <a:prstGeom prst="rect">
                      <a:avLst/>
                    </a:prstGeom>
                  </pic:spPr>
                </pic:pic>
              </a:graphicData>
            </a:graphic>
          </wp:inline>
        </w:drawing>
      </w:r>
    </w:p>
    <w:p w14:paraId="44ADD9D7">
      <w:pPr>
        <w:pStyle w:val="2"/>
        <w:spacing w:line="372" w:lineRule="auto"/>
      </w:pPr>
    </w:p>
    <w:p w14:paraId="6FEE0CF5">
      <w:pPr>
        <w:spacing w:before="78" w:line="210" w:lineRule="auto"/>
        <w:ind w:left="606"/>
        <w:rPr>
          <w:rFonts w:ascii="宋体" w:hAnsi="宋体" w:eastAsia="宋体" w:cs="宋体"/>
          <w:sz w:val="24"/>
          <w:szCs w:val="24"/>
        </w:rPr>
      </w:pPr>
      <w:r>
        <w:rPr>
          <w:rFonts w:ascii="宋体" w:hAnsi="宋体" w:eastAsia="宋体" w:cs="宋体"/>
          <w:spacing w:val="-3"/>
          <w:sz w:val="24"/>
          <w:szCs w:val="24"/>
        </w:rPr>
        <w:t>式中：</w:t>
      </w:r>
      <w:r>
        <w:rPr>
          <w:rFonts w:ascii="Times New Roman" w:hAnsi="Times New Roman" w:eastAsia="Times New Roman" w:cs="Times New Roman"/>
          <w:spacing w:val="-3"/>
          <w:sz w:val="24"/>
          <w:szCs w:val="24"/>
        </w:rPr>
        <w:t>q1</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qn--</w:t>
      </w:r>
      <w:r>
        <w:rPr>
          <w:rFonts w:ascii="宋体" w:hAnsi="宋体" w:eastAsia="宋体" w:cs="宋体"/>
          <w:spacing w:val="-3"/>
          <w:sz w:val="24"/>
          <w:szCs w:val="24"/>
        </w:rPr>
        <w:t>每种危险物质的最大存在总量，</w:t>
      </w:r>
      <w:r>
        <w:rPr>
          <w:rFonts w:ascii="Times New Roman" w:hAnsi="Times New Roman" w:eastAsia="Times New Roman" w:cs="Times New Roman"/>
          <w:spacing w:val="-3"/>
          <w:sz w:val="24"/>
          <w:szCs w:val="24"/>
        </w:rPr>
        <w:t>t</w:t>
      </w:r>
      <w:r>
        <w:rPr>
          <w:rFonts w:ascii="宋体" w:hAnsi="宋体" w:eastAsia="宋体" w:cs="宋体"/>
          <w:spacing w:val="-3"/>
          <w:sz w:val="24"/>
          <w:szCs w:val="24"/>
        </w:rPr>
        <w:t>；</w:t>
      </w:r>
    </w:p>
    <w:p w14:paraId="6A91A4B5">
      <w:pPr>
        <w:spacing w:before="192" w:line="212" w:lineRule="auto"/>
        <w:ind w:left="1321"/>
        <w:rPr>
          <w:rFonts w:ascii="宋体" w:hAnsi="宋体" w:eastAsia="宋体" w:cs="宋体"/>
          <w:sz w:val="24"/>
          <w:szCs w:val="24"/>
        </w:rPr>
      </w:pPr>
      <w:r>
        <w:rPr>
          <w:rFonts w:ascii="Times New Roman" w:hAnsi="Times New Roman" w:eastAsia="Times New Roman" w:cs="Times New Roman"/>
          <w:spacing w:val="-3"/>
          <w:sz w:val="24"/>
          <w:szCs w:val="24"/>
        </w:rPr>
        <w:t>Q1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Qn--</w:t>
      </w:r>
      <w:r>
        <w:rPr>
          <w:rFonts w:ascii="宋体" w:hAnsi="宋体" w:eastAsia="宋体" w:cs="宋体"/>
          <w:spacing w:val="-3"/>
          <w:sz w:val="24"/>
          <w:szCs w:val="24"/>
        </w:rPr>
        <w:t>每种危险物质的临界量，</w:t>
      </w:r>
      <w:r>
        <w:rPr>
          <w:rFonts w:ascii="Times New Roman" w:hAnsi="Times New Roman" w:eastAsia="Times New Roman" w:cs="Times New Roman"/>
          <w:spacing w:val="-3"/>
          <w:sz w:val="24"/>
          <w:szCs w:val="24"/>
        </w:rPr>
        <w:t>t</w:t>
      </w:r>
      <w:r>
        <w:rPr>
          <w:rFonts w:ascii="宋体" w:hAnsi="宋体" w:eastAsia="宋体" w:cs="宋体"/>
          <w:spacing w:val="-3"/>
          <w:sz w:val="24"/>
          <w:szCs w:val="24"/>
        </w:rPr>
        <w:t>。</w:t>
      </w:r>
    </w:p>
    <w:p w14:paraId="64E2DD15">
      <w:pPr>
        <w:spacing w:before="192" w:line="210" w:lineRule="auto"/>
        <w:ind w:left="1337"/>
        <w:rPr>
          <w:rFonts w:ascii="宋体" w:hAnsi="宋体" w:eastAsia="宋体" w:cs="宋体"/>
          <w:sz w:val="24"/>
          <w:szCs w:val="24"/>
        </w:rPr>
      </w:pPr>
      <w:r>
        <w:rPr>
          <w:rFonts w:ascii="宋体" w:hAnsi="宋体" w:eastAsia="宋体" w:cs="宋体"/>
          <w:spacing w:val="-4"/>
          <w:sz w:val="24"/>
          <w:szCs w:val="24"/>
        </w:rPr>
        <w:t>当</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Q</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时，该项目环境风险潜势为</w:t>
      </w:r>
      <w:r>
        <w:rPr>
          <w:rFonts w:ascii="Times New Roman" w:hAnsi="Times New Roman" w:eastAsia="Times New Roman" w:cs="Times New Roman"/>
          <w:spacing w:val="-4"/>
          <w:sz w:val="24"/>
          <w:szCs w:val="24"/>
        </w:rPr>
        <w:t>Ⅰ</w:t>
      </w:r>
      <w:r>
        <w:rPr>
          <w:rFonts w:ascii="宋体" w:hAnsi="宋体" w:eastAsia="宋体" w:cs="宋体"/>
          <w:spacing w:val="-4"/>
          <w:sz w:val="24"/>
          <w:szCs w:val="24"/>
        </w:rPr>
        <w:t>。</w:t>
      </w:r>
    </w:p>
    <w:p w14:paraId="0255C5E2">
      <w:pPr>
        <w:spacing w:before="193" w:line="358" w:lineRule="auto"/>
        <w:ind w:left="121" w:right="10" w:firstLine="1216"/>
        <w:rPr>
          <w:rFonts w:ascii="宋体" w:hAnsi="宋体" w:eastAsia="宋体" w:cs="宋体"/>
          <w:sz w:val="24"/>
          <w:szCs w:val="24"/>
        </w:rPr>
      </w:pPr>
      <w:r>
        <w:rPr>
          <w:rFonts w:ascii="宋体" w:hAnsi="宋体" w:eastAsia="宋体" w:cs="宋体"/>
          <w:spacing w:val="-1"/>
          <w:sz w:val="24"/>
          <w:szCs w:val="24"/>
        </w:rPr>
        <w:t>当</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Q≥1</w:t>
      </w:r>
      <w:r>
        <w:rPr>
          <w:rFonts w:ascii="Times New Roman" w:hAnsi="Times New Roman" w:eastAsia="Times New Roman" w:cs="Times New Roman"/>
          <w:spacing w:val="21"/>
          <w:w w:val="101"/>
          <w:sz w:val="24"/>
          <w:szCs w:val="24"/>
        </w:rPr>
        <w:t xml:space="preserve"> </w:t>
      </w:r>
      <w:r>
        <w:rPr>
          <w:rFonts w:ascii="宋体" w:hAnsi="宋体" w:eastAsia="宋体" w:cs="宋体"/>
          <w:spacing w:val="-1"/>
          <w:sz w:val="24"/>
          <w:szCs w:val="24"/>
        </w:rPr>
        <w:t xml:space="preserve">时，将 </w:t>
      </w:r>
      <w:r>
        <w:rPr>
          <w:rFonts w:ascii="Times New Roman" w:hAnsi="Times New Roman" w:eastAsia="Times New Roman" w:cs="Times New Roman"/>
          <w:spacing w:val="-1"/>
          <w:sz w:val="24"/>
          <w:szCs w:val="24"/>
        </w:rPr>
        <w:t xml:space="preserve">Q  </w:t>
      </w:r>
      <w:r>
        <w:rPr>
          <w:rFonts w:ascii="宋体" w:hAnsi="宋体" w:eastAsia="宋体" w:cs="宋体"/>
          <w:spacing w:val="-1"/>
          <w:sz w:val="24"/>
          <w:szCs w:val="24"/>
        </w:rPr>
        <w:t>值划分为</w:t>
      </w:r>
      <w:r>
        <w:rPr>
          <w:rFonts w:ascii="宋体" w:hAnsi="宋体" w:eastAsia="宋体" w:cs="宋体"/>
          <w:spacing w:val="-42"/>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1≤Q</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4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Times New Roman" w:hAnsi="Times New Roman" w:eastAsia="Times New Roman" w:cs="Times New Roman"/>
          <w:spacing w:val="-2"/>
          <w:sz w:val="24"/>
          <w:szCs w:val="24"/>
        </w:rPr>
        <w:t>10≤Q</w:t>
      </w:r>
      <w:r>
        <w:rPr>
          <w:rFonts w:ascii="宋体" w:hAnsi="宋体" w:eastAsia="宋体" w:cs="宋体"/>
          <w:spacing w:val="-2"/>
          <w:sz w:val="24"/>
          <w:szCs w:val="24"/>
        </w:rPr>
        <w:t>＜</w:t>
      </w:r>
      <w:r>
        <w:rPr>
          <w:rFonts w:ascii="Times New Roman" w:hAnsi="Times New Roman" w:eastAsia="Times New Roman" w:cs="Times New Roman"/>
          <w:spacing w:val="-2"/>
          <w:sz w:val="24"/>
          <w:szCs w:val="24"/>
        </w:rPr>
        <w:t>100</w:t>
      </w:r>
      <w:r>
        <w:rPr>
          <w:rFonts w:ascii="宋体" w:hAnsi="宋体" w:eastAsia="宋体" w:cs="宋体"/>
          <w:spacing w:val="-4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Q≥100</w:t>
      </w:r>
      <w:r>
        <w:rPr>
          <w:rFonts w:ascii="宋体" w:hAnsi="宋体" w:eastAsia="宋体" w:cs="宋体"/>
          <w:spacing w:val="-2"/>
          <w:sz w:val="24"/>
          <w:szCs w:val="24"/>
        </w:rPr>
        <w:t>。</w:t>
      </w:r>
    </w:p>
    <w:p w14:paraId="0E08D41A">
      <w:pPr>
        <w:spacing w:before="81" w:line="219" w:lineRule="auto"/>
        <w:ind w:left="601"/>
        <w:rPr>
          <w:rFonts w:ascii="宋体" w:hAnsi="宋体" w:eastAsia="宋体" w:cs="宋体"/>
          <w:sz w:val="24"/>
          <w:szCs w:val="24"/>
        </w:rPr>
      </w:pPr>
      <w:r>
        <w:rPr>
          <w:rFonts w:ascii="宋体" w:hAnsi="宋体" w:eastAsia="宋体" w:cs="宋体"/>
          <w:spacing w:val="-2"/>
          <w:sz w:val="24"/>
          <w:szCs w:val="24"/>
        </w:rPr>
        <w:t>对照附录</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，技改后涉及的环境风险物质和最大存储量如下：</w:t>
      </w:r>
    </w:p>
    <w:p w14:paraId="3895482A">
      <w:pPr>
        <w:spacing w:before="106" w:line="212" w:lineRule="auto"/>
        <w:ind w:left="135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8.7-2        </w:t>
      </w:r>
      <w:r>
        <w:rPr>
          <w:rFonts w:ascii="宋体" w:hAnsi="宋体" w:eastAsia="宋体" w:cs="宋体"/>
          <w:spacing w:val="-1"/>
          <w:sz w:val="24"/>
          <w:szCs w:val="24"/>
        </w:rPr>
        <w:t>建设项目环境风险物质最大储存量和临界量</w:t>
      </w: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1820"/>
        <w:gridCol w:w="1950"/>
        <w:gridCol w:w="1430"/>
        <w:gridCol w:w="1430"/>
        <w:gridCol w:w="1143"/>
      </w:tblGrid>
      <w:tr w14:paraId="44012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0" w:type="dxa"/>
            <w:vAlign w:val="top"/>
          </w:tcPr>
          <w:p w14:paraId="67384D18">
            <w:pPr>
              <w:pStyle w:val="6"/>
              <w:spacing w:before="56" w:line="229" w:lineRule="auto"/>
              <w:ind w:left="170"/>
            </w:pPr>
            <w:r>
              <w:rPr>
                <w:spacing w:val="5"/>
              </w:rPr>
              <w:t>序号</w:t>
            </w:r>
          </w:p>
        </w:tc>
        <w:tc>
          <w:tcPr>
            <w:tcW w:w="1820" w:type="dxa"/>
            <w:vAlign w:val="top"/>
          </w:tcPr>
          <w:p w14:paraId="4B1B7CC3">
            <w:pPr>
              <w:pStyle w:val="6"/>
              <w:spacing w:before="56" w:line="228" w:lineRule="auto"/>
              <w:ind w:left="702"/>
            </w:pPr>
            <w:r>
              <w:rPr>
                <w:spacing w:val="4"/>
              </w:rPr>
              <w:t>物质</w:t>
            </w:r>
          </w:p>
        </w:tc>
        <w:tc>
          <w:tcPr>
            <w:tcW w:w="1950" w:type="dxa"/>
            <w:vAlign w:val="top"/>
          </w:tcPr>
          <w:p w14:paraId="11C0E5A8">
            <w:pPr>
              <w:pStyle w:val="6"/>
              <w:spacing w:before="56" w:line="229" w:lineRule="auto"/>
              <w:ind w:left="617"/>
            </w:pPr>
            <w:r>
              <w:rPr>
                <w:rFonts w:ascii="Times New Roman" w:hAnsi="Times New Roman" w:eastAsia="Times New Roman" w:cs="Times New Roman"/>
              </w:rPr>
              <w:t>CAS</w:t>
            </w:r>
            <w:r>
              <w:rPr>
                <w:rFonts w:ascii="Times New Roman" w:hAnsi="Times New Roman" w:eastAsia="Times New Roman" w:cs="Times New Roman"/>
                <w:spacing w:val="10"/>
              </w:rPr>
              <w:t xml:space="preserve">  </w:t>
            </w:r>
            <w:r>
              <w:rPr>
                <w:spacing w:val="9"/>
              </w:rPr>
              <w:t>号</w:t>
            </w:r>
          </w:p>
        </w:tc>
        <w:tc>
          <w:tcPr>
            <w:tcW w:w="1430" w:type="dxa"/>
            <w:vAlign w:val="top"/>
          </w:tcPr>
          <w:p w14:paraId="1FAE82F1">
            <w:pPr>
              <w:pStyle w:val="6"/>
              <w:spacing w:before="55" w:line="228" w:lineRule="auto"/>
              <w:ind w:left="361"/>
              <w:rPr>
                <w:rFonts w:ascii="Times New Roman" w:hAnsi="Times New Roman" w:eastAsia="Times New Roman" w:cs="Times New Roman"/>
              </w:rPr>
            </w:pPr>
            <w:r>
              <w:rPr>
                <w:spacing w:val="2"/>
              </w:rPr>
              <w:t>临界量</w:t>
            </w:r>
            <w:r>
              <w:rPr>
                <w:spacing w:val="-45"/>
              </w:rPr>
              <w:t xml:space="preserve"> </w:t>
            </w:r>
            <w:r>
              <w:rPr>
                <w:rFonts w:ascii="Times New Roman" w:hAnsi="Times New Roman" w:eastAsia="Times New Roman" w:cs="Times New Roman"/>
                <w:spacing w:val="2"/>
              </w:rPr>
              <w:t>t</w:t>
            </w:r>
          </w:p>
        </w:tc>
        <w:tc>
          <w:tcPr>
            <w:tcW w:w="1430" w:type="dxa"/>
            <w:vAlign w:val="top"/>
          </w:tcPr>
          <w:p w14:paraId="31A22539">
            <w:pPr>
              <w:pStyle w:val="6"/>
              <w:spacing w:before="55" w:line="228" w:lineRule="auto"/>
              <w:ind w:left="144"/>
              <w:rPr>
                <w:rFonts w:ascii="Times New Roman" w:hAnsi="Times New Roman" w:eastAsia="Times New Roman" w:cs="Times New Roman"/>
              </w:rPr>
            </w:pPr>
            <w:r>
              <w:rPr>
                <w:spacing w:val="6"/>
              </w:rPr>
              <w:t>最大存储量</w:t>
            </w:r>
            <w:r>
              <w:rPr>
                <w:spacing w:val="-44"/>
              </w:rPr>
              <w:t xml:space="preserve"> </w:t>
            </w:r>
            <w:r>
              <w:rPr>
                <w:rFonts w:ascii="Times New Roman" w:hAnsi="Times New Roman" w:eastAsia="Times New Roman" w:cs="Times New Roman"/>
                <w:spacing w:val="6"/>
              </w:rPr>
              <w:t>t</w:t>
            </w:r>
          </w:p>
        </w:tc>
        <w:tc>
          <w:tcPr>
            <w:tcW w:w="1143" w:type="dxa"/>
            <w:vAlign w:val="top"/>
          </w:tcPr>
          <w:p w14:paraId="27999FCB">
            <w:pPr>
              <w:pStyle w:val="6"/>
              <w:spacing w:before="56" w:line="221" w:lineRule="auto"/>
              <w:ind w:left="369"/>
            </w:pPr>
            <w:r>
              <w:rPr>
                <w:rFonts w:ascii="Times New Roman" w:hAnsi="Times New Roman" w:eastAsia="Times New Roman" w:cs="Times New Roman"/>
                <w:spacing w:val="-1"/>
              </w:rPr>
              <w:t>Q</w:t>
            </w:r>
            <w:r>
              <w:rPr>
                <w:rFonts w:ascii="Times New Roman" w:hAnsi="Times New Roman" w:eastAsia="Times New Roman" w:cs="Times New Roman"/>
                <w:spacing w:val="12"/>
              </w:rPr>
              <w:t xml:space="preserve"> </w:t>
            </w:r>
            <w:r>
              <w:rPr>
                <w:spacing w:val="-1"/>
              </w:rPr>
              <w:t>值</w:t>
            </w:r>
          </w:p>
        </w:tc>
      </w:tr>
      <w:tr w14:paraId="76E93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50" w:type="dxa"/>
            <w:vAlign w:val="top"/>
          </w:tcPr>
          <w:p w14:paraId="6BBF5C5C">
            <w:pPr>
              <w:spacing w:before="88" w:line="195"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20" w:type="dxa"/>
            <w:vAlign w:val="top"/>
          </w:tcPr>
          <w:p w14:paraId="3F467785">
            <w:pPr>
              <w:pStyle w:val="6"/>
              <w:spacing w:before="52" w:line="227" w:lineRule="auto"/>
              <w:ind w:left="598"/>
            </w:pPr>
            <w:r>
              <w:rPr>
                <w:spacing w:val="7"/>
              </w:rPr>
              <w:t>废机油</w:t>
            </w:r>
          </w:p>
        </w:tc>
        <w:tc>
          <w:tcPr>
            <w:tcW w:w="1950" w:type="dxa"/>
            <w:vAlign w:val="top"/>
          </w:tcPr>
          <w:p w14:paraId="14442D4B">
            <w:pPr>
              <w:spacing w:before="84" w:line="199"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30" w:type="dxa"/>
            <w:vAlign w:val="top"/>
          </w:tcPr>
          <w:p w14:paraId="54E40ED7">
            <w:pPr>
              <w:spacing w:before="88"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430" w:type="dxa"/>
            <w:vAlign w:val="top"/>
          </w:tcPr>
          <w:p w14:paraId="67EEB545">
            <w:pPr>
              <w:spacing w:before="88" w:line="195" w:lineRule="auto"/>
              <w:ind w:left="6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3" w:type="dxa"/>
            <w:vAlign w:val="top"/>
          </w:tcPr>
          <w:p w14:paraId="0D24063C">
            <w:pPr>
              <w:spacing w:before="88"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0.0004</w:t>
            </w:r>
          </w:p>
        </w:tc>
      </w:tr>
      <w:tr w14:paraId="48C1C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0" w:type="dxa"/>
            <w:vAlign w:val="top"/>
          </w:tcPr>
          <w:p w14:paraId="69F07CD0">
            <w:pPr>
              <w:pStyle w:val="6"/>
              <w:spacing w:before="54" w:line="229" w:lineRule="auto"/>
              <w:ind w:left="171"/>
            </w:pPr>
            <w:r>
              <w:rPr>
                <w:spacing w:val="4"/>
              </w:rPr>
              <w:t>合计</w:t>
            </w:r>
          </w:p>
        </w:tc>
        <w:tc>
          <w:tcPr>
            <w:tcW w:w="6630" w:type="dxa"/>
            <w:gridSpan w:val="4"/>
            <w:vAlign w:val="top"/>
          </w:tcPr>
          <w:p w14:paraId="6F9E7A85">
            <w:pPr>
              <w:spacing w:before="90" w:line="197" w:lineRule="auto"/>
              <w:ind w:left="31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ΣQ</w:t>
            </w:r>
          </w:p>
        </w:tc>
        <w:tc>
          <w:tcPr>
            <w:tcW w:w="1143" w:type="dxa"/>
            <w:vAlign w:val="top"/>
          </w:tcPr>
          <w:p w14:paraId="0D0D0E23">
            <w:pPr>
              <w:spacing w:before="90"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r>
    </w:tbl>
    <w:p w14:paraId="13657493">
      <w:pPr>
        <w:spacing w:before="72" w:line="323" w:lineRule="exact"/>
        <w:ind w:left="603"/>
        <w:rPr>
          <w:rFonts w:ascii="宋体" w:hAnsi="宋体" w:eastAsia="宋体" w:cs="宋体"/>
          <w:sz w:val="24"/>
          <w:szCs w:val="24"/>
        </w:rPr>
      </w:pPr>
      <w:r>
        <w:rPr>
          <w:rFonts w:ascii="宋体" w:hAnsi="宋体" w:eastAsia="宋体" w:cs="宋体"/>
          <w:spacing w:val="-3"/>
          <w:position w:val="2"/>
          <w:sz w:val="24"/>
          <w:szCs w:val="24"/>
        </w:rPr>
        <w:t>本项目</w:t>
      </w:r>
      <w:r>
        <w:rPr>
          <w:rFonts w:ascii="宋体" w:hAnsi="宋体" w:eastAsia="宋体" w:cs="宋体"/>
          <w:spacing w:val="-46"/>
          <w:position w:val="2"/>
          <w:sz w:val="24"/>
          <w:szCs w:val="24"/>
        </w:rPr>
        <w:t xml:space="preserve"> </w:t>
      </w:r>
      <w:r>
        <w:rPr>
          <w:rFonts w:ascii="Times New Roman" w:hAnsi="Times New Roman" w:eastAsia="Times New Roman" w:cs="Times New Roman"/>
          <w:spacing w:val="-3"/>
          <w:position w:val="2"/>
          <w:sz w:val="24"/>
          <w:szCs w:val="24"/>
        </w:rPr>
        <w:t>Q=0.0004</w:t>
      </w:r>
      <w:r>
        <w:rPr>
          <w:rFonts w:ascii="Times New Roman" w:hAnsi="Times New Roman" w:eastAsia="Times New Roman" w:cs="Times New Roman"/>
          <w:spacing w:val="-31"/>
          <w:position w:val="2"/>
          <w:sz w:val="24"/>
          <w:szCs w:val="24"/>
        </w:rPr>
        <w:t xml:space="preserve"> </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1≤Q</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10</w:t>
      </w:r>
      <w:r>
        <w:rPr>
          <w:rFonts w:ascii="宋体" w:hAnsi="宋体" w:eastAsia="宋体" w:cs="宋体"/>
          <w:spacing w:val="-3"/>
          <w:position w:val="2"/>
          <w:sz w:val="24"/>
          <w:szCs w:val="24"/>
        </w:rPr>
        <w:t>。</w:t>
      </w:r>
    </w:p>
    <w:p w14:paraId="6BECE75C">
      <w:pPr>
        <w:spacing w:before="189" w:line="219" w:lineRule="auto"/>
        <w:ind w:left="607"/>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8.7.1.2 </w:t>
      </w:r>
      <w:r>
        <w:rPr>
          <w:rFonts w:ascii="宋体" w:hAnsi="宋体" w:eastAsia="宋体" w:cs="宋体"/>
          <w:spacing w:val="-1"/>
          <w:sz w:val="24"/>
          <w:szCs w:val="24"/>
        </w:rPr>
        <w:t>环境风险等级划分</w:t>
      </w:r>
    </w:p>
    <w:p w14:paraId="6DF77F33">
      <w:pPr>
        <w:spacing w:before="182" w:line="360" w:lineRule="auto"/>
        <w:ind w:left="126" w:right="109" w:firstLine="476"/>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pacing w:val="-2"/>
          <w:sz w:val="24"/>
          <w:szCs w:val="24"/>
        </w:rPr>
        <w:t>HJ169-2018</w:t>
      </w:r>
      <w:r>
        <w:rPr>
          <w:rFonts w:ascii="宋体" w:hAnsi="宋体" w:eastAsia="宋体" w:cs="宋体"/>
          <w:spacing w:val="-10"/>
          <w:sz w:val="24"/>
          <w:szCs w:val="24"/>
        </w:rPr>
        <w:t>），</w:t>
      </w:r>
      <w:r>
        <w:rPr>
          <w:rFonts w:ascii="宋体" w:hAnsi="宋体" w:eastAsia="宋体" w:cs="宋体"/>
          <w:spacing w:val="-2"/>
          <w:sz w:val="24"/>
          <w:szCs w:val="24"/>
        </w:rPr>
        <w:t>环境风险评价等</w:t>
      </w:r>
      <w:r>
        <w:rPr>
          <w:rFonts w:ascii="宋体" w:hAnsi="宋体" w:eastAsia="宋体" w:cs="宋体"/>
          <w:spacing w:val="1"/>
          <w:sz w:val="24"/>
          <w:szCs w:val="24"/>
        </w:rPr>
        <w:t xml:space="preserve"> </w:t>
      </w:r>
      <w:r>
        <w:rPr>
          <w:rFonts w:ascii="宋体" w:hAnsi="宋体" w:eastAsia="宋体" w:cs="宋体"/>
          <w:spacing w:val="-3"/>
          <w:sz w:val="24"/>
          <w:szCs w:val="24"/>
        </w:rPr>
        <w:t>级判定见表</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8.7-3</w:t>
      </w:r>
      <w:r>
        <w:rPr>
          <w:rFonts w:ascii="宋体" w:hAnsi="宋体" w:eastAsia="宋体" w:cs="宋体"/>
          <w:spacing w:val="-3"/>
          <w:sz w:val="24"/>
          <w:szCs w:val="24"/>
        </w:rPr>
        <w:t>。</w:t>
      </w:r>
    </w:p>
    <w:p w14:paraId="56A7A860">
      <w:pPr>
        <w:spacing w:before="2" w:line="217" w:lineRule="auto"/>
        <w:ind w:left="26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8.7-3      </w:t>
      </w:r>
      <w:r>
        <w:rPr>
          <w:rFonts w:ascii="宋体" w:hAnsi="宋体" w:eastAsia="宋体" w:cs="宋体"/>
          <w:spacing w:val="-1"/>
          <w:sz w:val="24"/>
          <w:szCs w:val="24"/>
        </w:rPr>
        <w:t>环境风险评价等级判</w:t>
      </w:r>
      <w:r>
        <w:rPr>
          <w:rFonts w:ascii="宋体" w:hAnsi="宋体" w:eastAsia="宋体" w:cs="宋体"/>
          <w:spacing w:val="-2"/>
          <w:sz w:val="24"/>
          <w:szCs w:val="24"/>
        </w:rPr>
        <w:t>定表</w:t>
      </w:r>
    </w:p>
    <w:p w14:paraId="1D80C6BD">
      <w:pPr>
        <w:spacing w:line="70" w:lineRule="exact"/>
      </w:pPr>
    </w:p>
    <w:tbl>
      <w:tblPr>
        <w:tblStyle w:val="5"/>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7"/>
        <w:gridCol w:w="1701"/>
        <w:gridCol w:w="1702"/>
        <w:gridCol w:w="1702"/>
        <w:gridCol w:w="1709"/>
      </w:tblGrid>
      <w:tr w14:paraId="4E707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707" w:type="dxa"/>
            <w:vAlign w:val="top"/>
          </w:tcPr>
          <w:p w14:paraId="7961F0AB">
            <w:pPr>
              <w:pStyle w:val="6"/>
              <w:spacing w:before="56" w:line="228" w:lineRule="auto"/>
              <w:ind w:left="228"/>
            </w:pPr>
            <w:r>
              <w:rPr>
                <w:spacing w:val="8"/>
              </w:rPr>
              <w:t>环境风险潜势</w:t>
            </w:r>
          </w:p>
        </w:tc>
        <w:tc>
          <w:tcPr>
            <w:tcW w:w="1701" w:type="dxa"/>
            <w:vAlign w:val="top"/>
          </w:tcPr>
          <w:p w14:paraId="41245A6A">
            <w:pPr>
              <w:pStyle w:val="6"/>
              <w:spacing w:before="96" w:line="183" w:lineRule="auto"/>
              <w:ind w:left="441"/>
              <w:rPr>
                <w:rFonts w:ascii="Times New Roman" w:hAnsi="Times New Roman" w:eastAsia="Times New Roman" w:cs="Times New Roman"/>
              </w:rPr>
            </w:pPr>
            <w:r>
              <w:rPr>
                <w:rFonts w:ascii="Times New Roman" w:hAnsi="Times New Roman" w:eastAsia="Times New Roman" w:cs="Times New Roman"/>
              </w:rPr>
              <w:t>Ⅳ</w:t>
            </w:r>
            <w:r>
              <w:rPr>
                <w:rFonts w:ascii="Times New Roman" w:hAnsi="Times New Roman" w:eastAsia="Times New Roman" w:cs="Times New Roman"/>
                <w:spacing w:val="-27"/>
              </w:rPr>
              <w:t xml:space="preserve"> </w:t>
            </w:r>
            <w:r>
              <w:t>、</w:t>
            </w:r>
            <w:r>
              <w:rPr>
                <w:rFonts w:ascii="Times New Roman" w:hAnsi="Times New Roman" w:eastAsia="Times New Roman" w:cs="Times New Roman"/>
              </w:rPr>
              <w:t>Ⅳ</w:t>
            </w:r>
            <w:r>
              <w:rPr>
                <w:rFonts w:ascii="Times New Roman" w:hAnsi="Times New Roman" w:eastAsia="Times New Roman" w:cs="Times New Roman"/>
                <w:spacing w:val="8"/>
              </w:rPr>
              <w:t xml:space="preserve"> </w:t>
            </w:r>
            <w:r>
              <w:rPr>
                <w:rFonts w:ascii="Times New Roman" w:hAnsi="Times New Roman" w:eastAsia="Times New Roman" w:cs="Times New Roman"/>
              </w:rPr>
              <w:t>+</w:t>
            </w:r>
          </w:p>
        </w:tc>
        <w:tc>
          <w:tcPr>
            <w:tcW w:w="1702" w:type="dxa"/>
            <w:vAlign w:val="top"/>
          </w:tcPr>
          <w:p w14:paraId="53BFBB55">
            <w:pPr>
              <w:spacing w:before="95" w:line="192"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Ⅲ</w:t>
            </w:r>
          </w:p>
        </w:tc>
        <w:tc>
          <w:tcPr>
            <w:tcW w:w="1702" w:type="dxa"/>
            <w:vAlign w:val="top"/>
          </w:tcPr>
          <w:p w14:paraId="1A2909CE">
            <w:pPr>
              <w:spacing w:before="95" w:line="192" w:lineRule="auto"/>
              <w:ind w:left="787"/>
              <w:rPr>
                <w:rFonts w:ascii="Times New Roman" w:hAnsi="Times New Roman" w:eastAsia="Times New Roman" w:cs="Times New Roman"/>
                <w:sz w:val="20"/>
                <w:szCs w:val="20"/>
              </w:rPr>
            </w:pPr>
            <w:r>
              <w:rPr>
                <w:rFonts w:ascii="Times New Roman" w:hAnsi="Times New Roman" w:eastAsia="Times New Roman" w:cs="Times New Roman"/>
                <w:sz w:val="20"/>
                <w:szCs w:val="20"/>
              </w:rPr>
              <w:t>Ⅱ</w:t>
            </w:r>
          </w:p>
        </w:tc>
        <w:tc>
          <w:tcPr>
            <w:tcW w:w="1709" w:type="dxa"/>
            <w:vAlign w:val="top"/>
          </w:tcPr>
          <w:p w14:paraId="4E99D93C">
            <w:pPr>
              <w:spacing w:before="95" w:line="192" w:lineRule="auto"/>
              <w:ind w:left="822"/>
              <w:rPr>
                <w:rFonts w:ascii="Times New Roman" w:hAnsi="Times New Roman" w:eastAsia="Times New Roman" w:cs="Times New Roman"/>
                <w:sz w:val="20"/>
                <w:szCs w:val="20"/>
              </w:rPr>
            </w:pPr>
            <w:r>
              <w:rPr>
                <w:rFonts w:ascii="Times New Roman" w:hAnsi="Times New Roman" w:eastAsia="Times New Roman" w:cs="Times New Roman"/>
                <w:sz w:val="20"/>
                <w:szCs w:val="20"/>
              </w:rPr>
              <w:t>Ⅰ</w:t>
            </w:r>
          </w:p>
        </w:tc>
      </w:tr>
      <w:tr w14:paraId="689E3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07" w:type="dxa"/>
            <w:vAlign w:val="top"/>
          </w:tcPr>
          <w:p w14:paraId="0BF6DC27">
            <w:pPr>
              <w:pStyle w:val="6"/>
              <w:spacing w:before="53" w:line="226" w:lineRule="auto"/>
              <w:ind w:left="227"/>
            </w:pPr>
            <w:r>
              <w:rPr>
                <w:spacing w:val="8"/>
              </w:rPr>
              <w:t>评价工作等级</w:t>
            </w:r>
          </w:p>
        </w:tc>
        <w:tc>
          <w:tcPr>
            <w:tcW w:w="1701" w:type="dxa"/>
            <w:vAlign w:val="top"/>
          </w:tcPr>
          <w:p w14:paraId="4B041A0A">
            <w:pPr>
              <w:pStyle w:val="6"/>
              <w:spacing w:before="131" w:line="156" w:lineRule="exact"/>
              <w:ind w:left="752"/>
            </w:pPr>
            <w:r>
              <w:rPr>
                <w:position w:val="-4"/>
              </w:rPr>
              <w:t>一</w:t>
            </w:r>
          </w:p>
        </w:tc>
        <w:tc>
          <w:tcPr>
            <w:tcW w:w="1702" w:type="dxa"/>
            <w:vAlign w:val="top"/>
          </w:tcPr>
          <w:p w14:paraId="521D0F9A">
            <w:pPr>
              <w:pStyle w:val="6"/>
              <w:spacing w:before="92" w:line="183" w:lineRule="auto"/>
              <w:ind w:left="755"/>
            </w:pPr>
            <w:r>
              <w:t>二</w:t>
            </w:r>
          </w:p>
        </w:tc>
        <w:tc>
          <w:tcPr>
            <w:tcW w:w="1702" w:type="dxa"/>
            <w:vAlign w:val="top"/>
          </w:tcPr>
          <w:p w14:paraId="69E1D66F">
            <w:pPr>
              <w:pStyle w:val="6"/>
              <w:spacing w:before="53" w:line="265" w:lineRule="exact"/>
              <w:ind w:left="751"/>
            </w:pPr>
            <w:r>
              <w:rPr>
                <w:position w:val="1"/>
              </w:rPr>
              <w:t>三</w:t>
            </w:r>
          </w:p>
        </w:tc>
        <w:tc>
          <w:tcPr>
            <w:tcW w:w="1709" w:type="dxa"/>
            <w:vAlign w:val="top"/>
          </w:tcPr>
          <w:p w14:paraId="72C40DDB">
            <w:pPr>
              <w:pStyle w:val="6"/>
              <w:spacing w:before="53" w:line="227" w:lineRule="auto"/>
              <w:ind w:left="371"/>
              <w:rPr>
                <w:rFonts w:ascii="Times New Roman" w:hAnsi="Times New Roman" w:eastAsia="Times New Roman" w:cs="Times New Roman"/>
              </w:rPr>
            </w:pPr>
            <w:r>
              <w:rPr>
                <w:spacing w:val="5"/>
              </w:rPr>
              <w:t>简单分析</w:t>
            </w:r>
            <w:r>
              <w:rPr>
                <w:spacing w:val="-38"/>
              </w:rPr>
              <w:t xml:space="preserve"> </w:t>
            </w:r>
            <w:r>
              <w:rPr>
                <w:rFonts w:ascii="Times New Roman" w:hAnsi="Times New Roman" w:eastAsia="Times New Roman" w:cs="Times New Roman"/>
                <w:spacing w:val="5"/>
              </w:rPr>
              <w:t>a</w:t>
            </w:r>
          </w:p>
        </w:tc>
      </w:tr>
      <w:tr w14:paraId="03444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521" w:type="dxa"/>
            <w:gridSpan w:val="5"/>
            <w:vAlign w:val="top"/>
          </w:tcPr>
          <w:p w14:paraId="656D3690">
            <w:pPr>
              <w:pStyle w:val="6"/>
              <w:spacing w:before="53" w:line="226" w:lineRule="auto"/>
              <w:ind w:left="115"/>
            </w:pPr>
            <w:r>
              <w:rPr>
                <w:rFonts w:ascii="Times New Roman" w:hAnsi="Times New Roman" w:eastAsia="Times New Roman" w:cs="Times New Roman"/>
                <w:spacing w:val="7"/>
              </w:rPr>
              <w:t xml:space="preserve">a  </w:t>
            </w:r>
            <w:r>
              <w:rPr>
                <w:spacing w:val="7"/>
              </w:rPr>
              <w:t>是相对于详细评价工作内容而言，在描述危险物质、环境影响途径、环境危害后果、风险</w:t>
            </w:r>
          </w:p>
          <w:p w14:paraId="7418FB68">
            <w:pPr>
              <w:pStyle w:val="6"/>
              <w:spacing w:before="66" w:line="227" w:lineRule="auto"/>
              <w:ind w:left="2161"/>
            </w:pPr>
            <w:r>
              <w:rPr>
                <w:spacing w:val="7"/>
              </w:rPr>
              <w:t xml:space="preserve">防范措施等方面给出定性的说明。见附录 </w:t>
            </w:r>
            <w:r>
              <w:rPr>
                <w:rFonts w:ascii="Times New Roman" w:hAnsi="Times New Roman" w:eastAsia="Times New Roman" w:cs="Times New Roman"/>
                <w:spacing w:val="7"/>
              </w:rPr>
              <w:t>A</w:t>
            </w:r>
            <w:r>
              <w:rPr>
                <w:spacing w:val="7"/>
              </w:rPr>
              <w:t>。</w:t>
            </w:r>
          </w:p>
        </w:tc>
      </w:tr>
    </w:tbl>
    <w:p w14:paraId="187C1B8F">
      <w:pPr>
        <w:spacing w:before="115" w:line="216" w:lineRule="auto"/>
        <w:ind w:right="37"/>
        <w:jc w:val="right"/>
        <w:rPr>
          <w:rFonts w:ascii="宋体" w:hAnsi="宋体" w:eastAsia="宋体" w:cs="宋体"/>
          <w:sz w:val="24"/>
          <w:szCs w:val="24"/>
        </w:rPr>
      </w:pPr>
      <w:r>
        <w:rPr>
          <w:rFonts w:ascii="宋体" w:hAnsi="宋体" w:eastAsia="宋体" w:cs="宋体"/>
          <w:spacing w:val="-4"/>
          <w:sz w:val="24"/>
          <w:szCs w:val="24"/>
        </w:rPr>
        <w:t>由表</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 xml:space="preserve">8.7-3 </w:t>
      </w:r>
      <w:r>
        <w:rPr>
          <w:rFonts w:ascii="宋体" w:hAnsi="宋体" w:eastAsia="宋体" w:cs="宋体"/>
          <w:spacing w:val="-4"/>
          <w:sz w:val="24"/>
          <w:szCs w:val="24"/>
        </w:rPr>
        <w:t>可见，项目风险潜势为</w:t>
      </w:r>
      <w:r>
        <w:rPr>
          <w:rFonts w:ascii="Times New Roman" w:hAnsi="Times New Roman" w:eastAsia="Times New Roman" w:cs="Times New Roman"/>
          <w:spacing w:val="-4"/>
          <w:sz w:val="24"/>
          <w:szCs w:val="24"/>
        </w:rPr>
        <w:t>Ⅰ</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w:t>
      </w:r>
      <w:r>
        <w:rPr>
          <w:rFonts w:ascii="宋体" w:hAnsi="宋体" w:eastAsia="宋体" w:cs="宋体"/>
          <w:spacing w:val="61"/>
          <w:sz w:val="24"/>
          <w:szCs w:val="24"/>
        </w:rPr>
        <w:t xml:space="preserve"> </w:t>
      </w:r>
      <w:r>
        <w:rPr>
          <w:rFonts w:ascii="宋体" w:hAnsi="宋体" w:eastAsia="宋体" w:cs="宋体"/>
          <w:spacing w:val="-4"/>
          <w:sz w:val="24"/>
          <w:szCs w:val="24"/>
        </w:rPr>
        <w:t>仅需要对风险等级进行简单分析即可。</w:t>
      </w:r>
    </w:p>
    <w:p w14:paraId="485D1316">
      <w:pPr>
        <w:spacing w:before="187" w:line="220" w:lineRule="auto"/>
        <w:ind w:left="601"/>
        <w:outlineLvl w:val="2"/>
        <w:rPr>
          <w:rFonts w:ascii="宋体" w:hAnsi="宋体" w:eastAsia="宋体" w:cs="宋体"/>
          <w:sz w:val="24"/>
          <w:szCs w:val="24"/>
        </w:rPr>
      </w:pPr>
      <w:bookmarkStart w:id="151" w:name="bookmark133"/>
      <w:bookmarkEnd w:id="151"/>
      <w:r>
        <w:rPr>
          <w:rFonts w:ascii="Times New Roman" w:hAnsi="Times New Roman" w:eastAsia="Times New Roman" w:cs="Times New Roman"/>
          <w:b/>
          <w:bCs/>
          <w:spacing w:val="-2"/>
          <w:sz w:val="24"/>
          <w:szCs w:val="24"/>
        </w:rPr>
        <w:t xml:space="preserve">8.7.3 </w:t>
      </w:r>
      <w:r>
        <w:rPr>
          <w:rFonts w:ascii="宋体" w:hAnsi="宋体" w:eastAsia="宋体" w:cs="宋体"/>
          <w:b/>
          <w:bCs/>
          <w:spacing w:val="-2"/>
          <w:sz w:val="24"/>
          <w:szCs w:val="24"/>
        </w:rPr>
        <w:t>环境风险识别</w:t>
      </w:r>
    </w:p>
    <w:p w14:paraId="3EB14956">
      <w:pPr>
        <w:spacing w:before="182" w:line="217" w:lineRule="auto"/>
        <w:ind w:left="601"/>
        <w:rPr>
          <w:rFonts w:ascii="宋体" w:hAnsi="宋体" w:eastAsia="宋体" w:cs="宋体"/>
          <w:sz w:val="24"/>
          <w:szCs w:val="24"/>
        </w:rPr>
      </w:pPr>
      <w:r>
        <w:rPr>
          <w:rFonts w:ascii="宋体" w:hAnsi="宋体" w:eastAsia="宋体" w:cs="宋体"/>
          <w:spacing w:val="-1"/>
          <w:sz w:val="24"/>
          <w:szCs w:val="24"/>
        </w:rPr>
        <w:t>①生产物质风险识别</w:t>
      </w:r>
    </w:p>
    <w:p w14:paraId="7C5AEEB6">
      <w:pPr>
        <w:spacing w:before="184" w:line="361" w:lineRule="auto"/>
        <w:ind w:left="121" w:right="109" w:firstLine="481"/>
        <w:rPr>
          <w:rFonts w:ascii="宋体" w:hAnsi="宋体" w:eastAsia="宋体" w:cs="宋体"/>
          <w:sz w:val="24"/>
          <w:szCs w:val="24"/>
        </w:rPr>
      </w:pPr>
      <w:r>
        <w:rPr>
          <w:rFonts w:ascii="宋体" w:hAnsi="宋体" w:eastAsia="宋体" w:cs="宋体"/>
          <w:spacing w:val="4"/>
          <w:sz w:val="24"/>
          <w:szCs w:val="24"/>
        </w:rPr>
        <w:t>本次技改项目生产过程中使用的物质主要有：丁黄药、硫酸铜、石灰、</w:t>
      </w:r>
      <w:r>
        <w:rPr>
          <w:rFonts w:ascii="Times New Roman" w:hAnsi="Times New Roman" w:eastAsia="Times New Roman" w:cs="Times New Roman"/>
          <w:spacing w:val="4"/>
          <w:sz w:val="24"/>
          <w:szCs w:val="24"/>
        </w:rPr>
        <w:t>2#</w:t>
      </w:r>
      <w:r>
        <w:rPr>
          <w:rFonts w:ascii="Times New Roman" w:hAnsi="Times New Roman" w:eastAsia="Times New Roman" w:cs="Times New Roman"/>
          <w:sz w:val="24"/>
          <w:szCs w:val="24"/>
        </w:rPr>
        <w:t xml:space="preserve"> </w:t>
      </w:r>
      <w:r>
        <w:rPr>
          <w:rFonts w:ascii="宋体" w:hAnsi="宋体" w:eastAsia="宋体" w:cs="宋体"/>
          <w:spacing w:val="-3"/>
          <w:sz w:val="24"/>
          <w:szCs w:val="24"/>
        </w:rPr>
        <w:t>油、硫氨酯、硫酸锌、亚硫酸钠、乙硫氮等，本次技改使用浮选药剂的使用量和</w:t>
      </w:r>
      <w:r>
        <w:rPr>
          <w:rFonts w:ascii="宋体" w:hAnsi="宋体" w:eastAsia="宋体" w:cs="宋体"/>
          <w:spacing w:val="1"/>
          <w:sz w:val="24"/>
          <w:szCs w:val="24"/>
        </w:rPr>
        <w:t xml:space="preserve"> </w:t>
      </w:r>
      <w:r>
        <w:rPr>
          <w:rFonts w:ascii="宋体" w:hAnsi="宋体" w:eastAsia="宋体" w:cs="宋体"/>
          <w:spacing w:val="-2"/>
          <w:sz w:val="24"/>
          <w:szCs w:val="24"/>
        </w:rPr>
        <w:t>储存量均较小，均未列入《建设项目环境风险评价技术导则》（</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3"/>
          <w:sz w:val="24"/>
          <w:szCs w:val="24"/>
        </w:rPr>
        <w:t>169-2018</w:t>
      </w:r>
      <w:r>
        <w:rPr>
          <w:rFonts w:ascii="宋体" w:hAnsi="宋体" w:eastAsia="宋体" w:cs="宋体"/>
          <w:spacing w:val="-3"/>
          <w:sz w:val="24"/>
          <w:szCs w:val="24"/>
        </w:rPr>
        <w:t>）附</w:t>
      </w:r>
      <w:r>
        <w:rPr>
          <w:rFonts w:ascii="宋体" w:hAnsi="宋体" w:eastAsia="宋体" w:cs="宋体"/>
          <w:sz w:val="24"/>
          <w:szCs w:val="24"/>
        </w:rPr>
        <w:t xml:space="preserve"> </w:t>
      </w:r>
      <w:r>
        <w:rPr>
          <w:rFonts w:ascii="宋体" w:hAnsi="宋体" w:eastAsia="宋体" w:cs="宋体"/>
          <w:spacing w:val="-2"/>
          <w:sz w:val="24"/>
          <w:szCs w:val="24"/>
        </w:rPr>
        <w:t>录</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32"/>
          <w:w w:val="101"/>
          <w:sz w:val="24"/>
          <w:szCs w:val="24"/>
        </w:rPr>
        <w:t xml:space="preserve"> </w:t>
      </w:r>
      <w:r>
        <w:rPr>
          <w:rFonts w:ascii="宋体" w:hAnsi="宋体" w:eastAsia="宋体" w:cs="宋体"/>
          <w:spacing w:val="-2"/>
          <w:sz w:val="24"/>
          <w:szCs w:val="24"/>
        </w:rPr>
        <w:t>中重点关注的危险物质。根据《危险化学品名录》（</w:t>
      </w:r>
      <w:r>
        <w:rPr>
          <w:rFonts w:ascii="Times New Roman" w:hAnsi="Times New Roman" w:eastAsia="Times New Roman" w:cs="Times New Roman"/>
          <w:spacing w:val="-2"/>
          <w:sz w:val="24"/>
          <w:szCs w:val="24"/>
        </w:rPr>
        <w:t xml:space="preserve">2015  </w:t>
      </w:r>
      <w:r>
        <w:rPr>
          <w:rFonts w:ascii="宋体" w:hAnsi="宋体" w:eastAsia="宋体" w:cs="宋体"/>
          <w:spacing w:val="-2"/>
          <w:sz w:val="24"/>
          <w:szCs w:val="24"/>
        </w:rPr>
        <w:t>版</w:t>
      </w:r>
      <w:r>
        <w:rPr>
          <w:rFonts w:ascii="宋体" w:hAnsi="宋体" w:eastAsia="宋体" w:cs="宋体"/>
          <w:spacing w:val="5"/>
          <w:sz w:val="24"/>
          <w:szCs w:val="24"/>
        </w:rPr>
        <w:t>），</w:t>
      </w:r>
      <w:r>
        <w:rPr>
          <w:rFonts w:ascii="宋体" w:hAnsi="宋体" w:eastAsia="宋体" w:cs="宋体"/>
          <w:spacing w:val="-2"/>
          <w:sz w:val="24"/>
          <w:szCs w:val="24"/>
        </w:rPr>
        <w:t>项目产品</w:t>
      </w:r>
      <w:r>
        <w:rPr>
          <w:rFonts w:ascii="宋体" w:hAnsi="宋体" w:eastAsia="宋体" w:cs="宋体"/>
          <w:sz w:val="24"/>
          <w:szCs w:val="24"/>
        </w:rPr>
        <w:t xml:space="preserve"> </w:t>
      </w:r>
      <w:r>
        <w:rPr>
          <w:rFonts w:ascii="宋体" w:hAnsi="宋体" w:eastAsia="宋体" w:cs="宋体"/>
          <w:spacing w:val="-2"/>
          <w:sz w:val="24"/>
          <w:szCs w:val="24"/>
        </w:rPr>
        <w:t>及</w:t>
      </w:r>
      <w:r>
        <w:rPr>
          <w:rFonts w:ascii="Times New Roman" w:hAnsi="Times New Roman" w:eastAsia="Times New Roman" w:cs="Times New Roman"/>
          <w:spacing w:val="-2"/>
          <w:sz w:val="24"/>
          <w:szCs w:val="24"/>
        </w:rPr>
        <w:t>“</w:t>
      </w:r>
      <w:r>
        <w:rPr>
          <w:rFonts w:ascii="宋体" w:hAnsi="宋体" w:eastAsia="宋体" w:cs="宋体"/>
          <w:spacing w:val="-2"/>
          <w:sz w:val="24"/>
          <w:szCs w:val="24"/>
        </w:rPr>
        <w:t>三废</w:t>
      </w:r>
      <w:r>
        <w:rPr>
          <w:rFonts w:ascii="Times New Roman" w:hAnsi="Times New Roman" w:eastAsia="Times New Roman" w:cs="Times New Roman"/>
          <w:spacing w:val="-2"/>
          <w:sz w:val="24"/>
          <w:szCs w:val="24"/>
        </w:rPr>
        <w:t>”</w:t>
      </w:r>
      <w:r>
        <w:rPr>
          <w:rFonts w:ascii="宋体" w:hAnsi="宋体" w:eastAsia="宋体" w:cs="宋体"/>
          <w:spacing w:val="-2"/>
          <w:sz w:val="24"/>
          <w:szCs w:val="24"/>
        </w:rPr>
        <w:t>均不属危险化学品。项目设备维修过程产生少量废机油。因</w:t>
      </w:r>
      <w:r>
        <w:rPr>
          <w:rFonts w:ascii="宋体" w:hAnsi="宋体" w:eastAsia="宋体" w:cs="宋体"/>
          <w:spacing w:val="-3"/>
          <w:sz w:val="24"/>
          <w:szCs w:val="24"/>
        </w:rPr>
        <w:t>此，项目物</w:t>
      </w:r>
    </w:p>
    <w:p w14:paraId="71A69EE5">
      <w:pPr>
        <w:spacing w:line="361" w:lineRule="auto"/>
        <w:rPr>
          <w:rFonts w:ascii="宋体" w:hAnsi="宋体" w:eastAsia="宋体" w:cs="宋体"/>
          <w:sz w:val="24"/>
          <w:szCs w:val="24"/>
        </w:rPr>
        <w:sectPr>
          <w:headerReference r:id="rId344" w:type="default"/>
          <w:footerReference r:id="rId345" w:type="default"/>
          <w:pgSz w:w="11906" w:h="16839"/>
          <w:pgMar w:top="1208" w:right="1690" w:bottom="1358" w:left="1687" w:header="825" w:footer="1195" w:gutter="0"/>
          <w:cols w:space="720" w:num="1"/>
        </w:sectPr>
      </w:pPr>
    </w:p>
    <w:p w14:paraId="4092CF7D">
      <w:pPr>
        <w:pStyle w:val="2"/>
        <w:spacing w:line="264" w:lineRule="auto"/>
      </w:pPr>
    </w:p>
    <w:p w14:paraId="1476C101">
      <w:pPr>
        <w:spacing w:before="78" w:line="219" w:lineRule="auto"/>
        <w:ind w:left="27"/>
        <w:rPr>
          <w:rFonts w:ascii="宋体" w:hAnsi="宋体" w:eastAsia="宋体" w:cs="宋体"/>
          <w:sz w:val="24"/>
          <w:szCs w:val="24"/>
        </w:rPr>
      </w:pPr>
      <w:r>
        <w:rPr>
          <w:rFonts w:ascii="宋体" w:hAnsi="宋体" w:eastAsia="宋体" w:cs="宋体"/>
          <w:spacing w:val="4"/>
          <w:sz w:val="24"/>
          <w:szCs w:val="24"/>
        </w:rPr>
        <w:t>质风险类型主要为废机油等液体物料泄漏风险。风险物质的理化性质</w:t>
      </w:r>
      <w:r>
        <w:rPr>
          <w:rFonts w:ascii="宋体" w:hAnsi="宋体" w:eastAsia="宋体" w:cs="宋体"/>
          <w:spacing w:val="3"/>
          <w:sz w:val="24"/>
          <w:szCs w:val="24"/>
        </w:rPr>
        <w:t>具体见表</w:t>
      </w:r>
    </w:p>
    <w:p w14:paraId="7656E5E5">
      <w:pPr>
        <w:spacing w:before="225" w:line="180" w:lineRule="auto"/>
        <w:ind w:left="31"/>
        <w:rPr>
          <w:rFonts w:ascii="宋体" w:hAnsi="宋体" w:eastAsia="宋体" w:cs="宋体"/>
          <w:sz w:val="24"/>
          <w:szCs w:val="24"/>
        </w:rPr>
      </w:pPr>
      <w:r>
        <w:rPr>
          <w:rFonts w:ascii="Times New Roman" w:hAnsi="Times New Roman" w:eastAsia="Times New Roman" w:cs="Times New Roman"/>
          <w:spacing w:val="-3"/>
          <w:sz w:val="24"/>
          <w:szCs w:val="24"/>
        </w:rPr>
        <w:t>8.7-4</w:t>
      </w:r>
      <w:r>
        <w:rPr>
          <w:rFonts w:ascii="宋体" w:hAnsi="宋体" w:eastAsia="宋体" w:cs="宋体"/>
          <w:spacing w:val="-3"/>
          <w:sz w:val="24"/>
          <w:szCs w:val="24"/>
        </w:rPr>
        <w:t>。</w:t>
      </w:r>
    </w:p>
    <w:p w14:paraId="68A8FF74">
      <w:pPr>
        <w:spacing w:before="191" w:line="219" w:lineRule="auto"/>
        <w:ind w:left="251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8.7-4          </w:t>
      </w:r>
      <w:r>
        <w:rPr>
          <w:rFonts w:ascii="宋体" w:hAnsi="宋体" w:eastAsia="宋体" w:cs="宋体"/>
          <w:spacing w:val="-1"/>
          <w:sz w:val="24"/>
          <w:szCs w:val="24"/>
        </w:rPr>
        <w:t>废机油理化性质一览表</w:t>
      </w:r>
    </w:p>
    <w:p w14:paraId="627D6390">
      <w:pPr>
        <w:spacing w:line="69" w:lineRule="exact"/>
      </w:pPr>
    </w:p>
    <w:tbl>
      <w:tblPr>
        <w:tblStyle w:val="5"/>
        <w:tblW w:w="83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3"/>
        <w:gridCol w:w="1413"/>
        <w:gridCol w:w="1425"/>
        <w:gridCol w:w="730"/>
        <w:gridCol w:w="1922"/>
      </w:tblGrid>
      <w:tr w14:paraId="2153B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56" w:type="dxa"/>
            <w:gridSpan w:val="2"/>
            <w:vAlign w:val="top"/>
          </w:tcPr>
          <w:p w14:paraId="102EA3B0">
            <w:pPr>
              <w:pStyle w:val="6"/>
              <w:spacing w:before="36" w:line="216" w:lineRule="auto"/>
              <w:ind w:left="535"/>
            </w:pPr>
            <w:r>
              <w:rPr>
                <w:spacing w:val="8"/>
              </w:rPr>
              <w:t>物质名称：润滑油；机油</w:t>
            </w:r>
          </w:p>
        </w:tc>
        <w:tc>
          <w:tcPr>
            <w:tcW w:w="2155" w:type="dxa"/>
            <w:gridSpan w:val="2"/>
            <w:vAlign w:val="top"/>
          </w:tcPr>
          <w:p w14:paraId="31822EEF">
            <w:pPr>
              <w:pStyle w:val="6"/>
              <w:spacing w:before="36" w:line="216" w:lineRule="auto"/>
              <w:ind w:left="487"/>
            </w:pPr>
            <w:r>
              <w:rPr>
                <w:spacing w:val="7"/>
              </w:rPr>
              <w:t>危规号：—</w:t>
            </w:r>
          </w:p>
        </w:tc>
        <w:tc>
          <w:tcPr>
            <w:tcW w:w="1922" w:type="dxa"/>
            <w:vAlign w:val="top"/>
          </w:tcPr>
          <w:p w14:paraId="6D54AB32">
            <w:pPr>
              <w:pStyle w:val="6"/>
              <w:spacing w:before="36" w:line="216" w:lineRule="auto"/>
              <w:ind w:left="486"/>
            </w:pPr>
            <w:r>
              <w:rPr>
                <w:spacing w:val="6"/>
              </w:rPr>
              <w:t>可燃液体</w:t>
            </w:r>
          </w:p>
        </w:tc>
      </w:tr>
      <w:tr w14:paraId="2645E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33" w:type="dxa"/>
            <w:gridSpan w:val="5"/>
            <w:vAlign w:val="top"/>
          </w:tcPr>
          <w:p w14:paraId="3C0F4F76">
            <w:pPr>
              <w:pStyle w:val="6"/>
              <w:spacing w:before="31" w:line="218" w:lineRule="auto"/>
              <w:ind w:left="3963"/>
            </w:pPr>
            <w:r>
              <w:rPr>
                <w:spacing w:val="6"/>
              </w:rPr>
              <w:t>理化特性</w:t>
            </w:r>
          </w:p>
        </w:tc>
      </w:tr>
      <w:tr w14:paraId="07F08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0BCA13B3">
            <w:pPr>
              <w:pStyle w:val="6"/>
              <w:spacing w:before="31" w:line="217" w:lineRule="auto"/>
              <w:ind w:left="540"/>
            </w:pPr>
            <w:r>
              <w:rPr>
                <w:spacing w:val="9"/>
              </w:rPr>
              <w:t>外观与性状：油状液体，淡黄色至褐色，无气味或略带异味。</w:t>
            </w:r>
          </w:p>
        </w:tc>
      </w:tr>
      <w:tr w14:paraId="60D38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5C24EEE7">
            <w:pPr>
              <w:pStyle w:val="6"/>
              <w:spacing w:before="32" w:line="216" w:lineRule="auto"/>
              <w:ind w:left="537"/>
            </w:pPr>
            <w:r>
              <w:rPr>
                <w:spacing w:val="9"/>
              </w:rPr>
              <w:t>主要用途：用于机械的摩擦部分，起润滑、冷却和密封作用。</w:t>
            </w:r>
          </w:p>
        </w:tc>
      </w:tr>
      <w:tr w14:paraId="41329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256" w:type="dxa"/>
            <w:gridSpan w:val="2"/>
            <w:vAlign w:val="top"/>
          </w:tcPr>
          <w:p w14:paraId="676C0160">
            <w:pPr>
              <w:pStyle w:val="6"/>
              <w:spacing w:before="31" w:line="218" w:lineRule="auto"/>
              <w:ind w:left="536"/>
            </w:pPr>
            <w:r>
              <w:rPr>
                <w:spacing w:val="1"/>
              </w:rPr>
              <w:t>熔点</w:t>
            </w:r>
            <w:r>
              <w:rPr>
                <w:spacing w:val="25"/>
              </w:rPr>
              <w:t xml:space="preserve"> </w:t>
            </w:r>
            <w:r>
              <w:rPr>
                <w:spacing w:val="1"/>
              </w:rPr>
              <w:t>(℃)</w:t>
            </w:r>
            <w:r>
              <w:rPr>
                <w:spacing w:val="44"/>
              </w:rPr>
              <w:t xml:space="preserve"> </w:t>
            </w:r>
            <w:r>
              <w:rPr>
                <w:spacing w:val="1"/>
              </w:rPr>
              <w:t>：无资料</w:t>
            </w:r>
          </w:p>
        </w:tc>
        <w:tc>
          <w:tcPr>
            <w:tcW w:w="4077" w:type="dxa"/>
            <w:gridSpan w:val="3"/>
            <w:vAlign w:val="top"/>
          </w:tcPr>
          <w:p w14:paraId="1A7F7A6E">
            <w:pPr>
              <w:pStyle w:val="6"/>
              <w:spacing w:before="31" w:line="218" w:lineRule="auto"/>
              <w:ind w:left="543"/>
            </w:pPr>
            <w:r>
              <w:rPr>
                <w:spacing w:val="1"/>
              </w:rPr>
              <w:t>沸点</w:t>
            </w:r>
            <w:r>
              <w:rPr>
                <w:spacing w:val="25"/>
              </w:rPr>
              <w:t xml:space="preserve"> </w:t>
            </w:r>
            <w:r>
              <w:rPr>
                <w:spacing w:val="1"/>
              </w:rPr>
              <w:t>(℃)</w:t>
            </w:r>
            <w:r>
              <w:rPr>
                <w:spacing w:val="44"/>
              </w:rPr>
              <w:t xml:space="preserve"> </w:t>
            </w:r>
            <w:r>
              <w:rPr>
                <w:spacing w:val="1"/>
              </w:rPr>
              <w:t>：无资料</w:t>
            </w:r>
          </w:p>
        </w:tc>
      </w:tr>
      <w:tr w14:paraId="3C270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56" w:type="dxa"/>
            <w:gridSpan w:val="2"/>
            <w:vAlign w:val="top"/>
          </w:tcPr>
          <w:p w14:paraId="1D2F482E">
            <w:pPr>
              <w:pStyle w:val="6"/>
              <w:spacing w:before="32" w:line="216" w:lineRule="auto"/>
              <w:ind w:left="554"/>
            </w:pPr>
            <w:r>
              <w:rPr>
                <w:spacing w:val="-3"/>
              </w:rPr>
              <w:t>闪点</w:t>
            </w:r>
            <w:r>
              <w:rPr>
                <w:spacing w:val="21"/>
              </w:rPr>
              <w:t xml:space="preserve"> </w:t>
            </w:r>
            <w:r>
              <w:rPr>
                <w:spacing w:val="-3"/>
              </w:rPr>
              <w:t>(℃)</w:t>
            </w:r>
            <w:r>
              <w:rPr>
                <w:spacing w:val="45"/>
              </w:rPr>
              <w:t xml:space="preserve"> </w:t>
            </w:r>
            <w:r>
              <w:rPr>
                <w:spacing w:val="-3"/>
              </w:rPr>
              <w:t>：76</w:t>
            </w:r>
          </w:p>
        </w:tc>
        <w:tc>
          <w:tcPr>
            <w:tcW w:w="4077" w:type="dxa"/>
            <w:gridSpan w:val="3"/>
            <w:vAlign w:val="top"/>
          </w:tcPr>
          <w:p w14:paraId="36470147">
            <w:pPr>
              <w:pStyle w:val="6"/>
              <w:spacing w:before="32" w:line="216" w:lineRule="auto"/>
              <w:ind w:left="557"/>
            </w:pPr>
            <w:r>
              <w:t>引燃温度</w:t>
            </w:r>
            <w:r>
              <w:rPr>
                <w:spacing w:val="26"/>
              </w:rPr>
              <w:t xml:space="preserve"> </w:t>
            </w:r>
            <w:r>
              <w:t>(℃)</w:t>
            </w:r>
            <w:r>
              <w:rPr>
                <w:spacing w:val="45"/>
              </w:rPr>
              <w:t xml:space="preserve"> </w:t>
            </w:r>
            <w:r>
              <w:t>：248</w:t>
            </w:r>
          </w:p>
        </w:tc>
      </w:tr>
      <w:tr w14:paraId="7C700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56" w:type="dxa"/>
            <w:gridSpan w:val="2"/>
            <w:vAlign w:val="top"/>
          </w:tcPr>
          <w:p w14:paraId="5F70B34F">
            <w:pPr>
              <w:pStyle w:val="6"/>
              <w:spacing w:before="30" w:line="218" w:lineRule="auto"/>
              <w:ind w:left="535"/>
            </w:pPr>
            <w:r>
              <w:rPr>
                <w:spacing w:val="7"/>
              </w:rPr>
              <w:t>相对蒸气密度（空气=1</w:t>
            </w:r>
            <w:r>
              <w:rPr>
                <w:spacing w:val="20"/>
              </w:rPr>
              <w:t>）：</w:t>
            </w:r>
            <w:r>
              <w:rPr>
                <w:spacing w:val="7"/>
              </w:rPr>
              <w:t>无资料</w:t>
            </w:r>
          </w:p>
        </w:tc>
        <w:tc>
          <w:tcPr>
            <w:tcW w:w="4077" w:type="dxa"/>
            <w:gridSpan w:val="3"/>
            <w:vAlign w:val="top"/>
          </w:tcPr>
          <w:p w14:paraId="11D63ABD">
            <w:pPr>
              <w:pStyle w:val="6"/>
              <w:spacing w:before="30" w:line="218" w:lineRule="auto"/>
              <w:ind w:left="541"/>
            </w:pPr>
            <w:r>
              <w:rPr>
                <w:spacing w:val="9"/>
              </w:rPr>
              <w:t>饱和蒸气压（</w:t>
            </w:r>
            <w:r>
              <w:t>kPa</w:t>
            </w:r>
            <w:r>
              <w:rPr>
                <w:spacing w:val="17"/>
              </w:rPr>
              <w:t>）：</w:t>
            </w:r>
            <w:r>
              <w:rPr>
                <w:spacing w:val="9"/>
              </w:rPr>
              <w:t>无资料</w:t>
            </w:r>
          </w:p>
        </w:tc>
      </w:tr>
      <w:tr w14:paraId="7B237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256" w:type="dxa"/>
            <w:gridSpan w:val="2"/>
            <w:vAlign w:val="top"/>
          </w:tcPr>
          <w:p w14:paraId="4D3A0984">
            <w:pPr>
              <w:pStyle w:val="6"/>
              <w:spacing w:before="32" w:line="217" w:lineRule="auto"/>
              <w:ind w:left="535"/>
            </w:pPr>
            <w:r>
              <w:rPr>
                <w:spacing w:val="10"/>
              </w:rPr>
              <w:t>相对密度（水=1</w:t>
            </w:r>
            <w:r>
              <w:rPr>
                <w:spacing w:val="1"/>
              </w:rPr>
              <w:t>）：＜</w:t>
            </w:r>
            <w:r>
              <w:rPr>
                <w:spacing w:val="10"/>
              </w:rPr>
              <w:t>1</w:t>
            </w:r>
          </w:p>
        </w:tc>
        <w:tc>
          <w:tcPr>
            <w:tcW w:w="4077" w:type="dxa"/>
            <w:gridSpan w:val="3"/>
            <w:vAlign w:val="top"/>
          </w:tcPr>
          <w:p w14:paraId="7D402C8E">
            <w:pPr>
              <w:pStyle w:val="6"/>
              <w:spacing w:before="32" w:line="217" w:lineRule="auto"/>
              <w:ind w:left="544"/>
            </w:pPr>
            <w:r>
              <w:rPr>
                <w:spacing w:val="8"/>
              </w:rPr>
              <w:t>溶解性：无资料</w:t>
            </w:r>
          </w:p>
        </w:tc>
      </w:tr>
      <w:tr w14:paraId="2DAD8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6B0BD10D">
            <w:pPr>
              <w:pStyle w:val="6"/>
              <w:spacing w:before="29" w:line="219" w:lineRule="auto"/>
              <w:ind w:left="3542"/>
            </w:pPr>
            <w:r>
              <w:rPr>
                <w:spacing w:val="8"/>
              </w:rPr>
              <w:t>火灾爆炸危险数据</w:t>
            </w:r>
          </w:p>
        </w:tc>
      </w:tr>
      <w:tr w14:paraId="09D64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256" w:type="dxa"/>
            <w:gridSpan w:val="2"/>
            <w:vAlign w:val="top"/>
          </w:tcPr>
          <w:p w14:paraId="2275D9C7">
            <w:pPr>
              <w:pStyle w:val="6"/>
              <w:spacing w:before="31" w:line="217" w:lineRule="auto"/>
              <w:ind w:left="535"/>
            </w:pPr>
            <w:r>
              <w:rPr>
                <w:spacing w:val="6"/>
              </w:rPr>
              <w:t>爆炸上限%（V/V</w:t>
            </w:r>
            <w:r>
              <w:rPr>
                <w:spacing w:val="18"/>
              </w:rPr>
              <w:t>）：</w:t>
            </w:r>
            <w:r>
              <w:rPr>
                <w:spacing w:val="6"/>
              </w:rPr>
              <w:t>无资料</w:t>
            </w:r>
          </w:p>
        </w:tc>
        <w:tc>
          <w:tcPr>
            <w:tcW w:w="4077" w:type="dxa"/>
            <w:gridSpan w:val="3"/>
            <w:vAlign w:val="top"/>
          </w:tcPr>
          <w:p w14:paraId="2948F57A">
            <w:pPr>
              <w:pStyle w:val="6"/>
              <w:spacing w:before="31" w:line="217" w:lineRule="auto"/>
              <w:ind w:left="542"/>
            </w:pPr>
            <w:r>
              <w:rPr>
                <w:spacing w:val="6"/>
              </w:rPr>
              <w:t>爆炸下限%（V/V</w:t>
            </w:r>
            <w:r>
              <w:rPr>
                <w:spacing w:val="18"/>
              </w:rPr>
              <w:t>）：</w:t>
            </w:r>
            <w:r>
              <w:rPr>
                <w:spacing w:val="6"/>
              </w:rPr>
              <w:t>无资料</w:t>
            </w:r>
          </w:p>
        </w:tc>
      </w:tr>
      <w:tr w14:paraId="3DF74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33" w:type="dxa"/>
            <w:gridSpan w:val="5"/>
            <w:vAlign w:val="top"/>
          </w:tcPr>
          <w:p w14:paraId="36F97199">
            <w:pPr>
              <w:pStyle w:val="6"/>
              <w:spacing w:before="32" w:line="217" w:lineRule="auto"/>
              <w:ind w:left="538"/>
            </w:pPr>
            <w:r>
              <w:rPr>
                <w:spacing w:val="8"/>
              </w:rPr>
              <w:t>危险特性：遇明火、高热可燃。</w:t>
            </w:r>
          </w:p>
        </w:tc>
      </w:tr>
      <w:tr w14:paraId="0DA23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333" w:type="dxa"/>
            <w:gridSpan w:val="5"/>
            <w:vAlign w:val="top"/>
          </w:tcPr>
          <w:p w14:paraId="111ED217">
            <w:pPr>
              <w:pStyle w:val="6"/>
              <w:spacing w:before="29" w:line="243" w:lineRule="auto"/>
              <w:ind w:left="115" w:right="37" w:firstLine="424"/>
              <w:jc w:val="both"/>
            </w:pPr>
            <w:r>
              <w:rPr>
                <w:spacing w:val="7"/>
              </w:rPr>
              <w:t>灭火方式：消防人员须佩戴防毒面具、穿全身消防服，在上风向灭火。尽可能将容器</w:t>
            </w:r>
            <w:r>
              <w:rPr>
                <w:spacing w:val="18"/>
              </w:rPr>
              <w:t xml:space="preserve"> </w:t>
            </w:r>
            <w:r>
              <w:rPr>
                <w:spacing w:val="8"/>
              </w:rPr>
              <w:t>从火场移至空旷处。喷水保持火场容器冷却，直至灭火结束。处</w:t>
            </w:r>
            <w:r>
              <w:rPr>
                <w:spacing w:val="7"/>
              </w:rPr>
              <w:t>在火场中的容器若已变色</w:t>
            </w:r>
            <w:r>
              <w:t xml:space="preserve"> </w:t>
            </w:r>
            <w:r>
              <w:rPr>
                <w:spacing w:val="4"/>
              </w:rPr>
              <w:t>或从安全泄压装置中产生声音，必须马上撤离。灭火剂：雾状水、泡沫、干粉、二氧化碳、</w:t>
            </w:r>
            <w:r>
              <w:rPr>
                <w:spacing w:val="14"/>
              </w:rPr>
              <w:t xml:space="preserve"> </w:t>
            </w:r>
            <w:r>
              <w:rPr>
                <w:spacing w:val="3"/>
              </w:rPr>
              <w:t>砂土。</w:t>
            </w:r>
          </w:p>
        </w:tc>
      </w:tr>
      <w:tr w14:paraId="00B10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33" w:type="dxa"/>
            <w:gridSpan w:val="5"/>
            <w:vAlign w:val="top"/>
          </w:tcPr>
          <w:p w14:paraId="1A72BCD0">
            <w:pPr>
              <w:pStyle w:val="6"/>
              <w:spacing w:before="33" w:line="216" w:lineRule="auto"/>
              <w:ind w:left="3751"/>
            </w:pPr>
            <w:r>
              <w:rPr>
                <w:spacing w:val="8"/>
              </w:rPr>
              <w:t>健康危害数据</w:t>
            </w:r>
          </w:p>
        </w:tc>
      </w:tr>
      <w:tr w14:paraId="7ED7F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843" w:type="dxa"/>
            <w:vAlign w:val="top"/>
          </w:tcPr>
          <w:p w14:paraId="03BCC3D3">
            <w:pPr>
              <w:pStyle w:val="6"/>
              <w:spacing w:before="31" w:line="217" w:lineRule="auto"/>
              <w:ind w:left="537"/>
            </w:pPr>
            <w:r>
              <w:rPr>
                <w:spacing w:val="7"/>
              </w:rPr>
              <w:t>侵入途径：吸入。</w:t>
            </w:r>
          </w:p>
        </w:tc>
        <w:tc>
          <w:tcPr>
            <w:tcW w:w="5490" w:type="dxa"/>
            <w:gridSpan w:val="4"/>
            <w:vAlign w:val="top"/>
          </w:tcPr>
          <w:p w14:paraId="190DEBCF">
            <w:pPr>
              <w:pStyle w:val="6"/>
              <w:spacing w:before="31" w:line="217" w:lineRule="auto"/>
              <w:ind w:left="538"/>
            </w:pPr>
            <w:r>
              <w:rPr>
                <w:spacing w:val="6"/>
              </w:rPr>
              <w:t>急性毒性：</w:t>
            </w:r>
            <w:r>
              <w:t>LD</w:t>
            </w:r>
            <w:r>
              <w:rPr>
                <w:spacing w:val="6"/>
                <w:position w:val="-2"/>
                <w:sz w:val="10"/>
                <w:szCs w:val="10"/>
              </w:rPr>
              <w:t>50</w:t>
            </w:r>
            <w:r>
              <w:rPr>
                <w:spacing w:val="6"/>
              </w:rPr>
              <w:t>：—</w:t>
            </w:r>
            <w:r>
              <w:rPr>
                <w:spacing w:val="-71"/>
              </w:rPr>
              <w:t xml:space="preserve"> </w:t>
            </w:r>
            <w:r>
              <w:rPr>
                <w:spacing w:val="6"/>
              </w:rPr>
              <w:t>；</w:t>
            </w:r>
            <w:r>
              <w:t>LC</w:t>
            </w:r>
            <w:r>
              <w:rPr>
                <w:spacing w:val="6"/>
                <w:position w:val="-2"/>
                <w:sz w:val="10"/>
                <w:szCs w:val="10"/>
              </w:rPr>
              <w:t>50</w:t>
            </w:r>
            <w:r>
              <w:rPr>
                <w:spacing w:val="6"/>
              </w:rPr>
              <w:t>：—</w:t>
            </w:r>
          </w:p>
        </w:tc>
      </w:tr>
      <w:tr w14:paraId="6CA99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33" w:type="dxa"/>
            <w:gridSpan w:val="5"/>
            <w:vAlign w:val="top"/>
          </w:tcPr>
          <w:p w14:paraId="757CDA7F">
            <w:pPr>
              <w:pStyle w:val="6"/>
              <w:spacing w:before="34" w:line="239" w:lineRule="auto"/>
              <w:ind w:left="115" w:right="37" w:firstLine="420"/>
              <w:jc w:val="both"/>
            </w:pPr>
            <w:r>
              <w:rPr>
                <w:spacing w:val="10"/>
              </w:rPr>
              <w:t>健康危害：急性吸入，可出现乏力、头晕、头</w:t>
            </w:r>
            <w:r>
              <w:rPr>
                <w:spacing w:val="9"/>
              </w:rPr>
              <w:t>痛、恶心，严重者可引起油脂性肺炎。</w:t>
            </w:r>
            <w:r>
              <w:t xml:space="preserve"> </w:t>
            </w:r>
            <w:r>
              <w:rPr>
                <w:spacing w:val="8"/>
              </w:rPr>
              <w:t>慢接触者，暴露部位可发生油性痤疮和接触性皮炎。可引起神经</w:t>
            </w:r>
            <w:r>
              <w:rPr>
                <w:spacing w:val="7"/>
              </w:rPr>
              <w:t>衰弱综合征，呼吸道和眼</w:t>
            </w:r>
            <w:r>
              <w:t xml:space="preserve"> </w:t>
            </w:r>
            <w:r>
              <w:rPr>
                <w:spacing w:val="4"/>
              </w:rPr>
              <w:t>刺激症状及慢性油脂性肺炎。有资料报道，接触石油润滑油类的工人，有致癌的病例报告。</w:t>
            </w:r>
          </w:p>
        </w:tc>
      </w:tr>
      <w:tr w14:paraId="03AB1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0E1E3C79">
            <w:pPr>
              <w:pStyle w:val="6"/>
              <w:spacing w:before="33" w:line="216" w:lineRule="auto"/>
              <w:ind w:left="3967"/>
            </w:pPr>
            <w:r>
              <w:rPr>
                <w:spacing w:val="5"/>
              </w:rPr>
              <w:t>急救措施</w:t>
            </w:r>
          </w:p>
        </w:tc>
      </w:tr>
      <w:tr w14:paraId="2E117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333" w:type="dxa"/>
            <w:gridSpan w:val="5"/>
            <w:vAlign w:val="top"/>
          </w:tcPr>
          <w:p w14:paraId="10DE460D">
            <w:pPr>
              <w:pStyle w:val="6"/>
              <w:spacing w:before="33" w:line="216" w:lineRule="auto"/>
              <w:ind w:left="549"/>
            </w:pPr>
            <w:r>
              <w:rPr>
                <w:spacing w:val="8"/>
              </w:rPr>
              <w:t>眼睛接触：提起眼睑，用流动清水或生理盐水冲洗。就医。</w:t>
            </w:r>
          </w:p>
        </w:tc>
      </w:tr>
      <w:tr w14:paraId="5CBBA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03F62DDF">
            <w:pPr>
              <w:pStyle w:val="6"/>
              <w:spacing w:before="34" w:line="215" w:lineRule="auto"/>
              <w:ind w:left="535"/>
            </w:pPr>
            <w:r>
              <w:rPr>
                <w:spacing w:val="8"/>
              </w:rPr>
              <w:t>食入：饮足量温水，催吐。就医。</w:t>
            </w:r>
          </w:p>
        </w:tc>
      </w:tr>
      <w:tr w14:paraId="458B2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843" w:type="dxa"/>
            <w:vAlign w:val="top"/>
          </w:tcPr>
          <w:p w14:paraId="1B18357B">
            <w:pPr>
              <w:pStyle w:val="6"/>
              <w:spacing w:before="34" w:line="239" w:lineRule="auto"/>
              <w:ind w:left="115" w:right="36" w:firstLine="423"/>
              <w:jc w:val="both"/>
            </w:pPr>
            <w:r>
              <w:rPr>
                <w:spacing w:val="14"/>
              </w:rPr>
              <w:t>皮肤接触：</w:t>
            </w:r>
            <w:r>
              <w:rPr>
                <w:spacing w:val="-52"/>
              </w:rPr>
              <w:t xml:space="preserve"> </w:t>
            </w:r>
            <w:r>
              <w:rPr>
                <w:spacing w:val="14"/>
              </w:rPr>
              <w:t>脱去污染的</w:t>
            </w:r>
            <w:r>
              <w:t xml:space="preserve"> </w:t>
            </w:r>
            <w:r>
              <w:rPr>
                <w:spacing w:val="6"/>
              </w:rPr>
              <w:t>衣着，用大量流动清水冲洗。</w:t>
            </w:r>
            <w:r>
              <w:rPr>
                <w:spacing w:val="7"/>
              </w:rPr>
              <w:t xml:space="preserve"> </w:t>
            </w:r>
            <w:r>
              <w:rPr>
                <w:spacing w:val="3"/>
              </w:rPr>
              <w:t>就医。</w:t>
            </w:r>
          </w:p>
        </w:tc>
        <w:tc>
          <w:tcPr>
            <w:tcW w:w="5490" w:type="dxa"/>
            <w:gridSpan w:val="4"/>
            <w:vAlign w:val="top"/>
          </w:tcPr>
          <w:p w14:paraId="3E9A0405">
            <w:pPr>
              <w:pStyle w:val="6"/>
              <w:spacing w:before="34" w:line="239" w:lineRule="auto"/>
              <w:ind w:left="113" w:right="37" w:firstLine="426"/>
            </w:pPr>
            <w:r>
              <w:rPr>
                <w:spacing w:val="4"/>
              </w:rPr>
              <w:t>吸入：迅速脱离现场至空气新鲜处。保持呼吸道通畅。</w:t>
            </w:r>
            <w:r>
              <w:rPr>
                <w:spacing w:val="10"/>
              </w:rPr>
              <w:t xml:space="preserve"> </w:t>
            </w:r>
            <w:r>
              <w:rPr>
                <w:spacing w:val="11"/>
              </w:rPr>
              <w:t>如呼吸困难，给输氧。如呼吸停止，立即进行人工呼吸。</w:t>
            </w:r>
            <w:r>
              <w:rPr>
                <w:spacing w:val="6"/>
              </w:rPr>
              <w:t xml:space="preserve"> </w:t>
            </w:r>
            <w:r>
              <w:rPr>
                <w:spacing w:val="2"/>
              </w:rPr>
              <w:t>就医。</w:t>
            </w:r>
          </w:p>
        </w:tc>
      </w:tr>
      <w:tr w14:paraId="4F9FD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3" w:type="dxa"/>
            <w:gridSpan w:val="5"/>
            <w:vAlign w:val="top"/>
          </w:tcPr>
          <w:p w14:paraId="43C2B82E">
            <w:pPr>
              <w:pStyle w:val="6"/>
              <w:spacing w:before="35" w:line="214" w:lineRule="auto"/>
              <w:ind w:left="3332"/>
            </w:pPr>
            <w:r>
              <w:rPr>
                <w:spacing w:val="8"/>
              </w:rPr>
              <w:t>稳定性及反应活性数据</w:t>
            </w:r>
          </w:p>
        </w:tc>
      </w:tr>
      <w:tr w14:paraId="67ACB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843" w:type="dxa"/>
            <w:vAlign w:val="top"/>
          </w:tcPr>
          <w:p w14:paraId="6336CB90">
            <w:pPr>
              <w:pStyle w:val="6"/>
              <w:spacing w:before="36" w:line="214" w:lineRule="auto"/>
              <w:ind w:left="536"/>
            </w:pPr>
            <w:r>
              <w:rPr>
                <w:spacing w:val="8"/>
              </w:rPr>
              <w:t>稳定性：稳定</w:t>
            </w:r>
          </w:p>
        </w:tc>
        <w:tc>
          <w:tcPr>
            <w:tcW w:w="2838" w:type="dxa"/>
            <w:gridSpan w:val="2"/>
            <w:vAlign w:val="top"/>
          </w:tcPr>
          <w:p w14:paraId="3A85CB86">
            <w:pPr>
              <w:pStyle w:val="6"/>
              <w:spacing w:before="36" w:line="214" w:lineRule="auto"/>
              <w:ind w:left="540"/>
            </w:pPr>
            <w:r>
              <w:rPr>
                <w:spacing w:val="7"/>
              </w:rPr>
              <w:t>聚合危害：不聚合</w:t>
            </w:r>
          </w:p>
        </w:tc>
        <w:tc>
          <w:tcPr>
            <w:tcW w:w="2652" w:type="dxa"/>
            <w:gridSpan w:val="2"/>
            <w:vAlign w:val="top"/>
          </w:tcPr>
          <w:p w14:paraId="247F2FAC">
            <w:pPr>
              <w:pStyle w:val="6"/>
              <w:spacing w:before="36" w:line="214" w:lineRule="auto"/>
              <w:ind w:left="535"/>
            </w:pPr>
            <w:r>
              <w:rPr>
                <w:spacing w:val="8"/>
              </w:rPr>
              <w:t>禁忌物：强氧化剂</w:t>
            </w:r>
          </w:p>
        </w:tc>
      </w:tr>
      <w:tr w14:paraId="6EA1A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256" w:type="dxa"/>
            <w:gridSpan w:val="2"/>
            <w:vAlign w:val="top"/>
          </w:tcPr>
          <w:p w14:paraId="76765E28">
            <w:pPr>
              <w:pStyle w:val="6"/>
              <w:spacing w:before="33" w:line="228" w:lineRule="auto"/>
              <w:ind w:left="534"/>
            </w:pPr>
            <w:r>
              <w:rPr>
                <w:spacing w:val="8"/>
              </w:rPr>
              <w:t>避免接触条件：—</w:t>
            </w:r>
          </w:p>
        </w:tc>
        <w:tc>
          <w:tcPr>
            <w:tcW w:w="4077" w:type="dxa"/>
            <w:gridSpan w:val="3"/>
            <w:vAlign w:val="top"/>
          </w:tcPr>
          <w:p w14:paraId="245B1C5E">
            <w:pPr>
              <w:pStyle w:val="6"/>
              <w:spacing w:before="34" w:line="233" w:lineRule="auto"/>
              <w:ind w:left="123" w:right="108" w:firstLine="420"/>
            </w:pPr>
            <w:r>
              <w:rPr>
                <w:spacing w:val="13"/>
              </w:rPr>
              <w:t>燃烧（分解）产物：一氧化碳、二氧</w:t>
            </w:r>
            <w:r>
              <w:rPr>
                <w:spacing w:val="11"/>
              </w:rPr>
              <w:t xml:space="preserve"> </w:t>
            </w:r>
            <w:r>
              <w:rPr>
                <w:spacing w:val="4"/>
              </w:rPr>
              <w:t>化碳</w:t>
            </w:r>
          </w:p>
        </w:tc>
      </w:tr>
      <w:tr w14:paraId="2EF90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8333" w:type="dxa"/>
            <w:gridSpan w:val="5"/>
            <w:vAlign w:val="top"/>
          </w:tcPr>
          <w:p w14:paraId="26E35273">
            <w:pPr>
              <w:pStyle w:val="6"/>
              <w:spacing w:before="34" w:line="244" w:lineRule="auto"/>
              <w:ind w:left="114" w:right="108" w:firstLine="425"/>
              <w:jc w:val="both"/>
            </w:pPr>
            <w:r>
              <w:rPr>
                <w:spacing w:val="8"/>
              </w:rPr>
              <w:t>泄漏紧急处理：迅速撤离泄漏污染区人员至安</w:t>
            </w:r>
            <w:r>
              <w:rPr>
                <w:spacing w:val="7"/>
              </w:rPr>
              <w:t>全区，并进行隔离，严格限制出入。切</w:t>
            </w:r>
            <w:r>
              <w:t xml:space="preserve"> </w:t>
            </w:r>
            <w:r>
              <w:rPr>
                <w:spacing w:val="8"/>
              </w:rPr>
              <w:t>断火源。建议应急处理人员戴自给正压式呼吸器，穿防毒服。尽可能切</w:t>
            </w:r>
            <w:r>
              <w:rPr>
                <w:spacing w:val="7"/>
              </w:rPr>
              <w:t>断泄漏源。防止流</w:t>
            </w:r>
            <w:r>
              <w:t xml:space="preserve"> </w:t>
            </w:r>
            <w:r>
              <w:rPr>
                <w:spacing w:val="8"/>
              </w:rPr>
              <w:t>入下水道、排洪沟等限制性空间。小量泄漏：用砂土或其它不燃材料吸</w:t>
            </w:r>
            <w:r>
              <w:rPr>
                <w:spacing w:val="7"/>
              </w:rPr>
              <w:t>附或吸收。大量泄</w:t>
            </w:r>
            <w:r>
              <w:t xml:space="preserve"> </w:t>
            </w:r>
            <w:r>
              <w:rPr>
                <w:spacing w:val="8"/>
              </w:rPr>
              <w:t>漏：构筑围堤或挖坑收容。用泵转移至槽车或专用收集器内，回收</w:t>
            </w:r>
            <w:r>
              <w:rPr>
                <w:spacing w:val="7"/>
              </w:rPr>
              <w:t>或运至废物处理场所处</w:t>
            </w:r>
            <w:r>
              <w:t xml:space="preserve"> </w:t>
            </w:r>
            <w:r>
              <w:rPr>
                <w:spacing w:val="1"/>
              </w:rPr>
              <w:t>置。</w:t>
            </w:r>
          </w:p>
        </w:tc>
      </w:tr>
      <w:tr w14:paraId="4B006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8333" w:type="dxa"/>
            <w:gridSpan w:val="5"/>
            <w:vAlign w:val="top"/>
          </w:tcPr>
          <w:p w14:paraId="06D112BC">
            <w:pPr>
              <w:pStyle w:val="6"/>
              <w:spacing w:before="34" w:line="246" w:lineRule="auto"/>
              <w:ind w:left="115" w:right="37" w:firstLine="420"/>
              <w:jc w:val="both"/>
            </w:pPr>
            <w:r>
              <w:rPr>
                <w:spacing w:val="10"/>
              </w:rPr>
              <w:t>储运注意事项：储存于阴凉、通风的库房。远离</w:t>
            </w:r>
            <w:r>
              <w:rPr>
                <w:spacing w:val="9"/>
              </w:rPr>
              <w:t>火种、热源。应与氧化剂分开存放，</w:t>
            </w:r>
            <w:r>
              <w:t xml:space="preserve"> </w:t>
            </w:r>
            <w:r>
              <w:rPr>
                <w:spacing w:val="8"/>
              </w:rPr>
              <w:t>切忌混储。配备相应品种和数量的消防器材。储区应备有泄漏应急处</w:t>
            </w:r>
            <w:r>
              <w:rPr>
                <w:spacing w:val="7"/>
              </w:rPr>
              <w:t>理设备和合适的收容</w:t>
            </w:r>
            <w:r>
              <w:t xml:space="preserve"> </w:t>
            </w:r>
            <w:r>
              <w:rPr>
                <w:spacing w:val="4"/>
              </w:rPr>
              <w:t>材料。运输前应先检查包装容器是否完整、密封，运输过程中要确保容器不泄漏、不倒塌、</w:t>
            </w:r>
            <w:r>
              <w:rPr>
                <w:spacing w:val="14"/>
              </w:rPr>
              <w:t xml:space="preserve"> </w:t>
            </w:r>
            <w:r>
              <w:rPr>
                <w:spacing w:val="4"/>
              </w:rPr>
              <w:t>不坠落、不损坏。严禁与氧化剂、食用化学品等混装混运。运输车船必须彻底清洗、消毒，</w:t>
            </w:r>
            <w:r>
              <w:rPr>
                <w:spacing w:val="14"/>
              </w:rPr>
              <w:t xml:space="preserve"> </w:t>
            </w:r>
            <w:r>
              <w:rPr>
                <w:spacing w:val="8"/>
              </w:rPr>
              <w:t>否则不得装运其它物品。船运时，配装位置应远离卧室、厨房，并与</w:t>
            </w:r>
            <w:r>
              <w:rPr>
                <w:spacing w:val="7"/>
              </w:rPr>
              <w:t>机舱、电源、火源等</w:t>
            </w:r>
            <w:r>
              <w:t xml:space="preserve"> </w:t>
            </w:r>
            <w:r>
              <w:rPr>
                <w:spacing w:val="8"/>
              </w:rPr>
              <w:t>部位隔离。公路运输时要按规定路线行驶。</w:t>
            </w:r>
          </w:p>
        </w:tc>
      </w:tr>
    </w:tbl>
    <w:p w14:paraId="02459845">
      <w:pPr>
        <w:spacing w:before="116" w:line="217" w:lineRule="auto"/>
        <w:ind w:left="504"/>
        <w:rPr>
          <w:rFonts w:ascii="宋体" w:hAnsi="宋体" w:eastAsia="宋体" w:cs="宋体"/>
          <w:sz w:val="24"/>
          <w:szCs w:val="24"/>
        </w:rPr>
      </w:pPr>
      <w:r>
        <w:rPr>
          <w:rFonts w:ascii="宋体" w:hAnsi="宋体" w:eastAsia="宋体" w:cs="宋体"/>
          <w:spacing w:val="-1"/>
          <w:sz w:val="24"/>
          <w:szCs w:val="24"/>
        </w:rPr>
        <w:t>②生产设施风险识别</w:t>
      </w:r>
    </w:p>
    <w:p w14:paraId="041D1CF9">
      <w:pPr>
        <w:spacing w:before="186" w:line="219" w:lineRule="auto"/>
        <w:ind w:right="15"/>
        <w:jc w:val="right"/>
        <w:rPr>
          <w:rFonts w:ascii="宋体" w:hAnsi="宋体" w:eastAsia="宋体" w:cs="宋体"/>
          <w:sz w:val="24"/>
          <w:szCs w:val="24"/>
        </w:rPr>
      </w:pPr>
      <w:r>
        <w:rPr>
          <w:rFonts w:ascii="宋体" w:hAnsi="宋体" w:eastAsia="宋体" w:cs="宋体"/>
          <w:spacing w:val="-3"/>
          <w:sz w:val="24"/>
          <w:szCs w:val="24"/>
        </w:rPr>
        <w:t>生产设施存在的风险主要是环保设施，如浓密池、回水池等</w:t>
      </w:r>
      <w:r>
        <w:rPr>
          <w:rFonts w:ascii="宋体" w:hAnsi="宋体" w:eastAsia="宋体" w:cs="宋体"/>
          <w:spacing w:val="-4"/>
          <w:sz w:val="24"/>
          <w:szCs w:val="24"/>
        </w:rPr>
        <w:t>发生破裂造成事</w:t>
      </w:r>
    </w:p>
    <w:p w14:paraId="5846D6C2">
      <w:pPr>
        <w:spacing w:line="219" w:lineRule="auto"/>
        <w:rPr>
          <w:rFonts w:ascii="宋体" w:hAnsi="宋体" w:eastAsia="宋体" w:cs="宋体"/>
          <w:sz w:val="24"/>
          <w:szCs w:val="24"/>
        </w:rPr>
        <w:sectPr>
          <w:headerReference r:id="rId346" w:type="default"/>
          <w:footerReference r:id="rId347" w:type="default"/>
          <w:pgSz w:w="11906" w:h="16839"/>
          <w:pgMar w:top="1208" w:right="1784" w:bottom="1358" w:left="1783" w:header="825" w:footer="1195" w:gutter="0"/>
          <w:cols w:space="720" w:num="1"/>
        </w:sectPr>
      </w:pPr>
    </w:p>
    <w:p w14:paraId="02B3ADA1">
      <w:pPr>
        <w:pStyle w:val="2"/>
        <w:spacing w:line="265" w:lineRule="auto"/>
      </w:pPr>
    </w:p>
    <w:p w14:paraId="54A15250">
      <w:pPr>
        <w:spacing w:before="78" w:line="360" w:lineRule="auto"/>
        <w:ind w:left="24" w:right="181" w:firstLine="2"/>
        <w:jc w:val="both"/>
        <w:rPr>
          <w:rFonts w:ascii="宋体" w:hAnsi="宋体" w:eastAsia="宋体" w:cs="宋体"/>
          <w:sz w:val="24"/>
          <w:szCs w:val="24"/>
        </w:rPr>
      </w:pPr>
      <w:r>
        <w:rPr>
          <w:rFonts w:ascii="宋体" w:hAnsi="宋体" w:eastAsia="宋体" w:cs="宋体"/>
          <w:spacing w:val="-3"/>
          <w:sz w:val="24"/>
          <w:szCs w:val="24"/>
        </w:rPr>
        <w:t>故排放或由于管理不善造成废水下渗等事故排放，对地下水产生污染。项</w:t>
      </w:r>
      <w:r>
        <w:rPr>
          <w:rFonts w:ascii="宋体" w:hAnsi="宋体" w:eastAsia="宋体" w:cs="宋体"/>
          <w:spacing w:val="-4"/>
          <w:sz w:val="24"/>
          <w:szCs w:val="24"/>
        </w:rPr>
        <w:t>目运营</w:t>
      </w:r>
      <w:r>
        <w:rPr>
          <w:rFonts w:ascii="宋体" w:hAnsi="宋体" w:eastAsia="宋体" w:cs="宋体"/>
          <w:sz w:val="24"/>
          <w:szCs w:val="24"/>
        </w:rPr>
        <w:t xml:space="preserve"> </w:t>
      </w:r>
      <w:r>
        <w:rPr>
          <w:rFonts w:ascii="宋体" w:hAnsi="宋体" w:eastAsia="宋体" w:cs="宋体"/>
          <w:spacing w:val="-3"/>
          <w:sz w:val="24"/>
          <w:szCs w:val="24"/>
        </w:rPr>
        <w:t>过程中，废机油在储存过程中可能会发生泄漏，对土壤污染的主要途径为污染物</w:t>
      </w:r>
      <w:r>
        <w:rPr>
          <w:rFonts w:ascii="宋体" w:hAnsi="宋体" w:eastAsia="宋体" w:cs="宋体"/>
          <w:sz w:val="24"/>
          <w:szCs w:val="24"/>
        </w:rPr>
        <w:t xml:space="preserve"> </w:t>
      </w:r>
      <w:r>
        <w:rPr>
          <w:rFonts w:ascii="宋体" w:hAnsi="宋体" w:eastAsia="宋体" w:cs="宋体"/>
          <w:spacing w:val="-1"/>
          <w:sz w:val="24"/>
          <w:szCs w:val="24"/>
        </w:rPr>
        <w:t>垂直入渗进入土壤环境造成污染。</w:t>
      </w:r>
    </w:p>
    <w:p w14:paraId="52AE31BE">
      <w:pPr>
        <w:spacing w:line="360" w:lineRule="auto"/>
        <w:ind w:left="23" w:right="181" w:firstLine="483"/>
        <w:jc w:val="both"/>
        <w:rPr>
          <w:rFonts w:ascii="宋体" w:hAnsi="宋体" w:eastAsia="宋体" w:cs="宋体"/>
          <w:sz w:val="24"/>
          <w:szCs w:val="24"/>
        </w:rPr>
      </w:pPr>
      <w:r>
        <w:rPr>
          <w:rFonts w:ascii="宋体" w:hAnsi="宋体" w:eastAsia="宋体" w:cs="宋体"/>
          <w:spacing w:val="-3"/>
          <w:sz w:val="24"/>
          <w:szCs w:val="24"/>
        </w:rPr>
        <w:t>项目运营过程中排放的废气产生来源主要为矿石运输及</w:t>
      </w:r>
      <w:r>
        <w:rPr>
          <w:rFonts w:ascii="宋体" w:hAnsi="宋体" w:eastAsia="宋体" w:cs="宋体"/>
          <w:spacing w:val="-4"/>
          <w:sz w:val="24"/>
          <w:szCs w:val="24"/>
        </w:rPr>
        <w:t>破碎产生的粉尘，粉</w:t>
      </w:r>
      <w:r>
        <w:rPr>
          <w:rFonts w:ascii="宋体" w:hAnsi="宋体" w:eastAsia="宋体" w:cs="宋体"/>
          <w:sz w:val="24"/>
          <w:szCs w:val="24"/>
        </w:rPr>
        <w:t xml:space="preserve"> </w:t>
      </w:r>
      <w:r>
        <w:rPr>
          <w:rFonts w:ascii="宋体" w:hAnsi="宋体" w:eastAsia="宋体" w:cs="宋体"/>
          <w:spacing w:val="2"/>
          <w:sz w:val="24"/>
          <w:szCs w:val="24"/>
        </w:rPr>
        <w:t>尘主要成分为</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SiO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7"/>
          <w:position w:val="-1"/>
          <w:sz w:val="15"/>
          <w:szCs w:val="15"/>
        </w:rPr>
        <w:t xml:space="preserve"> </w:t>
      </w:r>
      <w:r>
        <w:rPr>
          <w:rFonts w:ascii="宋体" w:hAnsi="宋体" w:eastAsia="宋体" w:cs="宋体"/>
          <w:spacing w:val="2"/>
          <w:sz w:val="24"/>
          <w:szCs w:val="24"/>
        </w:rPr>
        <w:t>，含有铅、锌、银等重金属，多</w:t>
      </w:r>
      <w:r>
        <w:rPr>
          <w:rFonts w:ascii="宋体" w:hAnsi="宋体" w:eastAsia="宋体" w:cs="宋体"/>
          <w:spacing w:val="1"/>
          <w:sz w:val="24"/>
          <w:szCs w:val="24"/>
        </w:rPr>
        <w:t>数通过自降和降水淋溶等途</w:t>
      </w:r>
      <w:r>
        <w:rPr>
          <w:rFonts w:ascii="宋体" w:hAnsi="宋体" w:eastAsia="宋体" w:cs="宋体"/>
          <w:sz w:val="24"/>
          <w:szCs w:val="24"/>
        </w:rPr>
        <w:t xml:space="preserve"> </w:t>
      </w:r>
      <w:r>
        <w:rPr>
          <w:rFonts w:ascii="宋体" w:hAnsi="宋体" w:eastAsia="宋体" w:cs="宋体"/>
          <w:spacing w:val="-2"/>
          <w:sz w:val="24"/>
          <w:szCs w:val="24"/>
        </w:rPr>
        <w:t>径进入土壤环境。</w:t>
      </w:r>
    </w:p>
    <w:p w14:paraId="518CD530">
      <w:pPr>
        <w:spacing w:line="220" w:lineRule="auto"/>
        <w:ind w:left="502"/>
        <w:outlineLvl w:val="2"/>
        <w:rPr>
          <w:rFonts w:ascii="宋体" w:hAnsi="宋体" w:eastAsia="宋体" w:cs="宋体"/>
          <w:sz w:val="24"/>
          <w:szCs w:val="24"/>
        </w:rPr>
      </w:pPr>
      <w:bookmarkStart w:id="152" w:name="bookmark134"/>
      <w:bookmarkEnd w:id="152"/>
      <w:r>
        <w:rPr>
          <w:rFonts w:ascii="Times New Roman" w:hAnsi="Times New Roman" w:eastAsia="Times New Roman" w:cs="Times New Roman"/>
          <w:b/>
          <w:bCs/>
          <w:spacing w:val="-2"/>
          <w:sz w:val="24"/>
          <w:szCs w:val="24"/>
        </w:rPr>
        <w:t xml:space="preserve">8.7.4 </w:t>
      </w:r>
      <w:r>
        <w:rPr>
          <w:rFonts w:ascii="宋体" w:hAnsi="宋体" w:eastAsia="宋体" w:cs="宋体"/>
          <w:b/>
          <w:bCs/>
          <w:spacing w:val="-2"/>
          <w:sz w:val="24"/>
          <w:szCs w:val="24"/>
        </w:rPr>
        <w:t>环境风险分析</w:t>
      </w:r>
    </w:p>
    <w:p w14:paraId="769E9423">
      <w:pPr>
        <w:spacing w:before="182" w:line="217" w:lineRule="auto"/>
        <w:ind w:left="502"/>
        <w:rPr>
          <w:rFonts w:ascii="宋体" w:hAnsi="宋体" w:eastAsia="宋体" w:cs="宋体"/>
          <w:sz w:val="24"/>
          <w:szCs w:val="24"/>
        </w:rPr>
      </w:pPr>
      <w:r>
        <w:rPr>
          <w:rFonts w:ascii="宋体" w:hAnsi="宋体" w:eastAsia="宋体" w:cs="宋体"/>
          <w:spacing w:val="-2"/>
          <w:sz w:val="24"/>
          <w:szCs w:val="24"/>
        </w:rPr>
        <w:t>①地下水环境</w:t>
      </w:r>
    </w:p>
    <w:p w14:paraId="65024363">
      <w:pPr>
        <w:spacing w:before="185" w:line="360" w:lineRule="auto"/>
        <w:ind w:left="25" w:right="181" w:firstLine="477"/>
        <w:rPr>
          <w:rFonts w:ascii="宋体" w:hAnsi="宋体" w:eastAsia="宋体" w:cs="宋体"/>
          <w:sz w:val="24"/>
          <w:szCs w:val="24"/>
        </w:rPr>
      </w:pPr>
      <w:r>
        <w:rPr>
          <w:rFonts w:ascii="宋体" w:hAnsi="宋体" w:eastAsia="宋体" w:cs="宋体"/>
          <w:spacing w:val="-3"/>
          <w:sz w:val="24"/>
          <w:szCs w:val="24"/>
        </w:rPr>
        <w:t>废机油发生泄漏渗入地下，会给周边地下水环境带来污染隐患。</w:t>
      </w:r>
      <w:r>
        <w:rPr>
          <w:rFonts w:ascii="宋体" w:hAnsi="宋体" w:eastAsia="宋体" w:cs="宋体"/>
          <w:spacing w:val="-4"/>
          <w:sz w:val="24"/>
          <w:szCs w:val="24"/>
        </w:rPr>
        <w:t>废润滑油产</w:t>
      </w:r>
      <w:r>
        <w:rPr>
          <w:rFonts w:ascii="宋体" w:hAnsi="宋体" w:eastAsia="宋体" w:cs="宋体"/>
          <w:sz w:val="24"/>
          <w:szCs w:val="24"/>
        </w:rPr>
        <w:t xml:space="preserve"> </w:t>
      </w:r>
      <w:r>
        <w:rPr>
          <w:rFonts w:ascii="宋体" w:hAnsi="宋体" w:eastAsia="宋体" w:cs="宋体"/>
          <w:spacing w:val="-3"/>
          <w:sz w:val="24"/>
          <w:szCs w:val="24"/>
        </w:rPr>
        <w:t>生量少，厂内存量也很小，即使发生泄漏，其影响范围也大多集中在危废暂存间</w:t>
      </w:r>
      <w:r>
        <w:rPr>
          <w:rFonts w:ascii="宋体" w:hAnsi="宋体" w:eastAsia="宋体" w:cs="宋体"/>
          <w:sz w:val="24"/>
          <w:szCs w:val="24"/>
        </w:rPr>
        <w:t xml:space="preserve"> </w:t>
      </w:r>
      <w:r>
        <w:rPr>
          <w:rFonts w:ascii="宋体" w:hAnsi="宋体" w:eastAsia="宋体" w:cs="宋体"/>
          <w:spacing w:val="-3"/>
          <w:sz w:val="24"/>
          <w:szCs w:val="24"/>
        </w:rPr>
        <w:t>内，溢出外界很少，危废暂存间设有地面防渗措施。所以废润滑油泄漏对地下水</w:t>
      </w:r>
      <w:r>
        <w:rPr>
          <w:rFonts w:ascii="宋体" w:hAnsi="宋体" w:eastAsia="宋体" w:cs="宋体"/>
          <w:sz w:val="24"/>
          <w:szCs w:val="24"/>
        </w:rPr>
        <w:t xml:space="preserve"> </w:t>
      </w:r>
      <w:r>
        <w:rPr>
          <w:rFonts w:ascii="宋体" w:hAnsi="宋体" w:eastAsia="宋体" w:cs="宋体"/>
          <w:spacing w:val="-2"/>
          <w:sz w:val="24"/>
          <w:szCs w:val="24"/>
        </w:rPr>
        <w:t>的影响较小。</w:t>
      </w:r>
    </w:p>
    <w:p w14:paraId="518663B8">
      <w:pPr>
        <w:spacing w:line="217" w:lineRule="auto"/>
        <w:ind w:left="501"/>
        <w:rPr>
          <w:rFonts w:ascii="宋体" w:hAnsi="宋体" w:eastAsia="宋体" w:cs="宋体"/>
          <w:sz w:val="24"/>
          <w:szCs w:val="24"/>
        </w:rPr>
      </w:pPr>
      <w:r>
        <w:rPr>
          <w:rFonts w:ascii="宋体" w:hAnsi="宋体" w:eastAsia="宋体" w:cs="宋体"/>
          <w:spacing w:val="-2"/>
          <w:sz w:val="24"/>
          <w:szCs w:val="24"/>
        </w:rPr>
        <w:t>②大气环境</w:t>
      </w:r>
    </w:p>
    <w:p w14:paraId="4CB9ED85">
      <w:pPr>
        <w:spacing w:before="185" w:line="360" w:lineRule="auto"/>
        <w:ind w:left="22" w:firstLine="484"/>
        <w:rPr>
          <w:rFonts w:ascii="宋体" w:hAnsi="宋体" w:eastAsia="宋体" w:cs="宋体"/>
          <w:sz w:val="24"/>
          <w:szCs w:val="24"/>
        </w:rPr>
      </w:pPr>
      <w:r>
        <w:rPr>
          <w:rFonts w:ascii="宋体" w:hAnsi="宋体" w:eastAsia="宋体" w:cs="宋体"/>
          <w:spacing w:val="-6"/>
          <w:sz w:val="24"/>
          <w:szCs w:val="24"/>
        </w:rPr>
        <w:t>项目废气产生来源主要为矿石运输及破碎产生的粉尘，粉尘主要成分为</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SiO</w:t>
      </w:r>
      <w:r>
        <w:rPr>
          <w:rFonts w:ascii="Times New Roman" w:hAnsi="Times New Roman" w:eastAsia="Times New Roman" w:cs="Times New Roman"/>
          <w:spacing w:val="-6"/>
          <w:position w:val="-1"/>
          <w:sz w:val="15"/>
          <w:szCs w:val="15"/>
        </w:rPr>
        <w:t>2</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3"/>
          <w:sz w:val="24"/>
          <w:szCs w:val="24"/>
        </w:rPr>
        <w:t>含有铅、锌、银等重金属，多数通过自降和降水淋溶等途径进入土壤环境。粉尘</w:t>
      </w:r>
      <w:r>
        <w:rPr>
          <w:rFonts w:ascii="宋体" w:hAnsi="宋体" w:eastAsia="宋体" w:cs="宋体"/>
          <w:sz w:val="24"/>
          <w:szCs w:val="24"/>
        </w:rPr>
        <w:t xml:space="preserve">  </w:t>
      </w:r>
      <w:r>
        <w:rPr>
          <w:rFonts w:ascii="宋体" w:hAnsi="宋体" w:eastAsia="宋体" w:cs="宋体"/>
          <w:spacing w:val="-3"/>
          <w:sz w:val="24"/>
          <w:szCs w:val="24"/>
        </w:rPr>
        <w:t>在土壤中累积会增强土壤粘结性，造成土壤板结，并且降低土壤孔隙度，使土壤</w:t>
      </w:r>
      <w:r>
        <w:rPr>
          <w:rFonts w:ascii="宋体" w:hAnsi="宋体" w:eastAsia="宋体" w:cs="宋体"/>
          <w:sz w:val="24"/>
          <w:szCs w:val="24"/>
        </w:rPr>
        <w:t xml:space="preserve">  </w:t>
      </w:r>
      <w:r>
        <w:rPr>
          <w:rFonts w:ascii="宋体" w:hAnsi="宋体" w:eastAsia="宋体" w:cs="宋体"/>
          <w:spacing w:val="-3"/>
          <w:sz w:val="24"/>
          <w:szCs w:val="24"/>
        </w:rPr>
        <w:t>表层结壳，阻碍土壤与大气的气体交换，抑制土壤微生物活动，影响土壤的力正</w:t>
      </w:r>
      <w:r>
        <w:rPr>
          <w:rFonts w:ascii="宋体" w:hAnsi="宋体" w:eastAsia="宋体" w:cs="宋体"/>
          <w:sz w:val="24"/>
          <w:szCs w:val="24"/>
        </w:rPr>
        <w:t xml:space="preserve">  </w:t>
      </w:r>
      <w:r>
        <w:rPr>
          <w:rFonts w:ascii="宋体" w:hAnsi="宋体" w:eastAsia="宋体" w:cs="宋体"/>
          <w:spacing w:val="-3"/>
          <w:sz w:val="24"/>
          <w:szCs w:val="24"/>
        </w:rPr>
        <w:t>常发挥，降低土壤肥力。根据有关粉尘对土壤影响的试验研究，粉尘量达到每年</w:t>
      </w:r>
      <w:r>
        <w:rPr>
          <w:rFonts w:ascii="宋体" w:hAnsi="宋体" w:eastAsia="宋体" w:cs="宋体"/>
          <w:sz w:val="24"/>
          <w:szCs w:val="24"/>
        </w:rPr>
        <w:t xml:space="preserve">  </w:t>
      </w:r>
      <w:r>
        <w:rPr>
          <w:rFonts w:ascii="宋体" w:hAnsi="宋体" w:eastAsia="宋体" w:cs="宋体"/>
          <w:spacing w:val="-3"/>
          <w:sz w:val="24"/>
          <w:szCs w:val="24"/>
        </w:rPr>
        <w:t>每千克土壤接纳</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2g </w:t>
      </w:r>
      <w:r>
        <w:rPr>
          <w:rFonts w:ascii="宋体" w:hAnsi="宋体" w:eastAsia="宋体" w:cs="宋体"/>
          <w:spacing w:val="-3"/>
          <w:sz w:val="24"/>
          <w:szCs w:val="24"/>
        </w:rPr>
        <w:t>粉尘条件下，经过</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 </w:t>
      </w:r>
      <w:r>
        <w:rPr>
          <w:rFonts w:ascii="宋体" w:hAnsi="宋体" w:eastAsia="宋体" w:cs="宋体"/>
          <w:spacing w:val="-3"/>
          <w:sz w:val="24"/>
          <w:szCs w:val="24"/>
        </w:rPr>
        <w:t>年的积累，才能对土壤结构产生明显影</w:t>
      </w:r>
      <w:r>
        <w:rPr>
          <w:rFonts w:ascii="宋体" w:hAnsi="宋体" w:eastAsia="宋体" w:cs="宋体"/>
          <w:sz w:val="24"/>
          <w:szCs w:val="24"/>
        </w:rPr>
        <w:t xml:space="preserve">  </w:t>
      </w:r>
      <w:r>
        <w:rPr>
          <w:rFonts w:ascii="宋体" w:hAnsi="宋体" w:eastAsia="宋体" w:cs="宋体"/>
          <w:spacing w:val="-3"/>
          <w:sz w:val="24"/>
          <w:szCs w:val="24"/>
        </w:rPr>
        <w:t>响，采矿过程中的扬尘强度远低于该数值，所以不会对土壤结构产生明显不利影</w:t>
      </w:r>
      <w:r>
        <w:rPr>
          <w:rFonts w:ascii="宋体" w:hAnsi="宋体" w:eastAsia="宋体" w:cs="宋体"/>
          <w:sz w:val="24"/>
          <w:szCs w:val="24"/>
        </w:rPr>
        <w:t xml:space="preserve">  </w:t>
      </w:r>
      <w:r>
        <w:rPr>
          <w:rFonts w:ascii="宋体" w:hAnsi="宋体" w:eastAsia="宋体" w:cs="宋体"/>
          <w:spacing w:val="-5"/>
          <w:sz w:val="24"/>
          <w:szCs w:val="24"/>
        </w:rPr>
        <w:t>响。</w:t>
      </w:r>
    </w:p>
    <w:p w14:paraId="046BF9D6">
      <w:pPr>
        <w:spacing w:line="220" w:lineRule="auto"/>
        <w:ind w:left="502"/>
        <w:outlineLvl w:val="2"/>
        <w:rPr>
          <w:rFonts w:ascii="宋体" w:hAnsi="宋体" w:eastAsia="宋体" w:cs="宋体"/>
          <w:sz w:val="24"/>
          <w:szCs w:val="24"/>
        </w:rPr>
      </w:pPr>
      <w:bookmarkStart w:id="153" w:name="bookmark135"/>
      <w:bookmarkEnd w:id="153"/>
      <w:r>
        <w:rPr>
          <w:rFonts w:ascii="Times New Roman" w:hAnsi="Times New Roman" w:eastAsia="Times New Roman" w:cs="Times New Roman"/>
          <w:b/>
          <w:bCs/>
          <w:spacing w:val="-2"/>
          <w:sz w:val="24"/>
          <w:szCs w:val="24"/>
        </w:rPr>
        <w:t xml:space="preserve">8.7.5 </w:t>
      </w:r>
      <w:r>
        <w:rPr>
          <w:rFonts w:ascii="宋体" w:hAnsi="宋体" w:eastAsia="宋体" w:cs="宋体"/>
          <w:b/>
          <w:bCs/>
          <w:spacing w:val="-2"/>
          <w:sz w:val="24"/>
          <w:szCs w:val="24"/>
        </w:rPr>
        <w:t>环境风险防范措施及应急要求</w:t>
      </w:r>
    </w:p>
    <w:p w14:paraId="2B81BEDA">
      <w:pPr>
        <w:spacing w:before="18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）物质风险防范措施</w:t>
      </w:r>
    </w:p>
    <w:p w14:paraId="6A562935">
      <w:pPr>
        <w:spacing w:before="182" w:line="360" w:lineRule="auto"/>
        <w:ind w:left="23" w:right="101" w:firstLine="480"/>
        <w:rPr>
          <w:rFonts w:ascii="宋体" w:hAnsi="宋体" w:eastAsia="宋体" w:cs="宋体"/>
          <w:sz w:val="24"/>
          <w:szCs w:val="24"/>
        </w:rPr>
      </w:pPr>
      <w:r>
        <w:rPr>
          <w:rFonts w:ascii="宋体" w:hAnsi="宋体" w:eastAsia="宋体" w:cs="宋体"/>
          <w:spacing w:val="-3"/>
          <w:sz w:val="24"/>
          <w:szCs w:val="24"/>
        </w:rPr>
        <w:t>尽管项目所涉及的选矿药剂均不属于有毒物质和易燃易爆物质</w:t>
      </w:r>
      <w:r>
        <w:rPr>
          <w:rFonts w:ascii="宋体" w:hAnsi="宋体" w:eastAsia="宋体" w:cs="宋体"/>
          <w:spacing w:val="-4"/>
          <w:sz w:val="24"/>
          <w:szCs w:val="24"/>
        </w:rPr>
        <w:t>，但药剂一旦</w:t>
      </w:r>
      <w:r>
        <w:rPr>
          <w:rFonts w:ascii="宋体" w:hAnsi="宋体" w:eastAsia="宋体" w:cs="宋体"/>
          <w:sz w:val="24"/>
          <w:szCs w:val="24"/>
        </w:rPr>
        <w:t xml:space="preserve"> </w:t>
      </w:r>
      <w:r>
        <w:rPr>
          <w:rFonts w:ascii="宋体" w:hAnsi="宋体" w:eastAsia="宋体" w:cs="宋体"/>
          <w:spacing w:val="-7"/>
          <w:sz w:val="24"/>
          <w:szCs w:val="24"/>
        </w:rPr>
        <w:t>管理不当就有可能发生意外，造成人身伤害及环境污染</w:t>
      </w:r>
      <w:r>
        <w:rPr>
          <w:rFonts w:ascii="宋体" w:hAnsi="宋体" w:eastAsia="宋体" w:cs="宋体"/>
          <w:spacing w:val="-8"/>
          <w:sz w:val="24"/>
          <w:szCs w:val="24"/>
        </w:rPr>
        <w:t>，所以必须在药剂的存储、</w:t>
      </w:r>
      <w:r>
        <w:rPr>
          <w:rFonts w:ascii="宋体" w:hAnsi="宋体" w:eastAsia="宋体" w:cs="宋体"/>
          <w:sz w:val="24"/>
          <w:szCs w:val="24"/>
        </w:rPr>
        <w:t xml:space="preserve"> </w:t>
      </w:r>
      <w:r>
        <w:rPr>
          <w:rFonts w:ascii="宋体" w:hAnsi="宋体" w:eastAsia="宋体" w:cs="宋体"/>
          <w:spacing w:val="-1"/>
          <w:sz w:val="24"/>
          <w:szCs w:val="24"/>
        </w:rPr>
        <w:t>运输等环节严格管理，杜绝和减少泄漏事故的发生。</w:t>
      </w:r>
    </w:p>
    <w:p w14:paraId="4162C0E5">
      <w:pPr>
        <w:spacing w:before="1" w:line="361" w:lineRule="auto"/>
        <w:ind w:left="22" w:right="181" w:firstLine="480"/>
        <w:jc w:val="both"/>
        <w:rPr>
          <w:rFonts w:ascii="宋体" w:hAnsi="宋体" w:eastAsia="宋体" w:cs="宋体"/>
          <w:sz w:val="24"/>
          <w:szCs w:val="24"/>
        </w:rPr>
      </w:pPr>
      <w:r>
        <w:rPr>
          <w:rFonts w:ascii="宋体" w:hAnsi="宋体" w:eastAsia="宋体" w:cs="宋体"/>
          <w:spacing w:val="-3"/>
          <w:sz w:val="24"/>
          <w:szCs w:val="24"/>
        </w:rPr>
        <w:t>①按一般化学品管理选矿药剂的采购、运输、贮存和使用，厂区</w:t>
      </w:r>
      <w:r>
        <w:rPr>
          <w:rFonts w:ascii="宋体" w:hAnsi="宋体" w:eastAsia="宋体" w:cs="宋体"/>
          <w:spacing w:val="-4"/>
          <w:sz w:val="24"/>
          <w:szCs w:val="24"/>
        </w:rPr>
        <w:t>内药剂的贮</w:t>
      </w:r>
      <w:r>
        <w:rPr>
          <w:rFonts w:ascii="宋体" w:hAnsi="宋体" w:eastAsia="宋体" w:cs="宋体"/>
          <w:sz w:val="24"/>
          <w:szCs w:val="24"/>
        </w:rPr>
        <w:t xml:space="preserve"> </w:t>
      </w:r>
      <w:r>
        <w:rPr>
          <w:rFonts w:ascii="宋体" w:hAnsi="宋体" w:eastAsia="宋体" w:cs="宋体"/>
          <w:spacing w:val="-3"/>
          <w:sz w:val="24"/>
          <w:szCs w:val="24"/>
        </w:rPr>
        <w:t>存量满足额定存放量即可，避免过多的药剂贮存于厂内。选矿药剂在贮存过程中</w:t>
      </w:r>
      <w:r>
        <w:rPr>
          <w:rFonts w:ascii="宋体" w:hAnsi="宋体" w:eastAsia="宋体" w:cs="宋体"/>
          <w:spacing w:val="1"/>
          <w:sz w:val="24"/>
          <w:szCs w:val="24"/>
        </w:rPr>
        <w:t xml:space="preserve"> </w:t>
      </w:r>
      <w:r>
        <w:rPr>
          <w:rFonts w:ascii="宋体" w:hAnsi="宋体" w:eastAsia="宋体" w:cs="宋体"/>
          <w:spacing w:val="-1"/>
          <w:sz w:val="24"/>
          <w:szCs w:val="24"/>
        </w:rPr>
        <w:t>必须设有防漏、防渗、防火措施，并安排专人进行保管。</w:t>
      </w:r>
    </w:p>
    <w:p w14:paraId="7EFE572A">
      <w:pPr>
        <w:spacing w:line="361" w:lineRule="auto"/>
        <w:rPr>
          <w:rFonts w:ascii="宋体" w:hAnsi="宋体" w:eastAsia="宋体" w:cs="宋体"/>
          <w:sz w:val="24"/>
          <w:szCs w:val="24"/>
        </w:rPr>
        <w:sectPr>
          <w:headerReference r:id="rId348" w:type="default"/>
          <w:footerReference r:id="rId349" w:type="default"/>
          <w:pgSz w:w="11906" w:h="16839"/>
          <w:pgMar w:top="1208" w:right="1618" w:bottom="1358" w:left="1785" w:header="825" w:footer="1195" w:gutter="0"/>
          <w:cols w:space="720" w:num="1"/>
        </w:sectPr>
      </w:pPr>
    </w:p>
    <w:p w14:paraId="45159538">
      <w:pPr>
        <w:pStyle w:val="2"/>
        <w:spacing w:line="264" w:lineRule="auto"/>
      </w:pPr>
    </w:p>
    <w:p w14:paraId="42A9C324">
      <w:pPr>
        <w:spacing w:before="78" w:line="313" w:lineRule="auto"/>
        <w:ind w:left="25" w:right="80" w:firstLine="476"/>
        <w:rPr>
          <w:rFonts w:ascii="宋体" w:hAnsi="宋体" w:eastAsia="宋体" w:cs="宋体"/>
          <w:sz w:val="24"/>
          <w:szCs w:val="24"/>
        </w:rPr>
      </w:pPr>
      <w:r>
        <w:rPr>
          <w:rFonts w:ascii="宋体" w:hAnsi="宋体" w:eastAsia="宋体" w:cs="宋体"/>
          <w:spacing w:val="-3"/>
          <w:sz w:val="24"/>
          <w:szCs w:val="24"/>
        </w:rPr>
        <w:t>②选矿药剂在空气中浓度较大时可能会散发出一定气味，为保障厂</w:t>
      </w:r>
      <w:r>
        <w:rPr>
          <w:rFonts w:ascii="宋体" w:hAnsi="宋体" w:eastAsia="宋体" w:cs="宋体"/>
          <w:spacing w:val="-4"/>
          <w:sz w:val="24"/>
          <w:szCs w:val="24"/>
        </w:rPr>
        <w:t>区内工作</w:t>
      </w:r>
      <w:r>
        <w:rPr>
          <w:rFonts w:ascii="宋体" w:hAnsi="宋体" w:eastAsia="宋体" w:cs="宋体"/>
          <w:sz w:val="24"/>
          <w:szCs w:val="24"/>
        </w:rPr>
        <w:t xml:space="preserve"> </w:t>
      </w:r>
      <w:r>
        <w:rPr>
          <w:rFonts w:ascii="宋体" w:hAnsi="宋体" w:eastAsia="宋体" w:cs="宋体"/>
          <w:spacing w:val="-3"/>
          <w:sz w:val="24"/>
          <w:szCs w:val="24"/>
        </w:rPr>
        <w:t>人员的健康，操作人员应佩戴口罩。此外，配制药剂工人宜戴上手套护手，工作</w:t>
      </w:r>
      <w:r>
        <w:rPr>
          <w:rFonts w:ascii="宋体" w:hAnsi="宋体" w:eastAsia="宋体" w:cs="宋体"/>
          <w:sz w:val="24"/>
          <w:szCs w:val="24"/>
        </w:rPr>
        <w:t xml:space="preserve"> </w:t>
      </w:r>
      <w:r>
        <w:rPr>
          <w:rFonts w:ascii="宋体" w:hAnsi="宋体" w:eastAsia="宋体" w:cs="宋体"/>
          <w:spacing w:val="-1"/>
          <w:sz w:val="24"/>
          <w:szCs w:val="24"/>
        </w:rPr>
        <w:t>现场严禁吸烟，保持良好的卫生习惯。</w:t>
      </w:r>
    </w:p>
    <w:p w14:paraId="0E3381BC">
      <w:pPr>
        <w:spacing w:before="182" w:line="290" w:lineRule="auto"/>
        <w:ind w:left="38" w:right="82" w:firstLine="462"/>
        <w:rPr>
          <w:rFonts w:ascii="宋体" w:hAnsi="宋体" w:eastAsia="宋体" w:cs="宋体"/>
          <w:sz w:val="24"/>
          <w:szCs w:val="24"/>
        </w:rPr>
      </w:pPr>
      <w:r>
        <w:rPr>
          <w:rFonts w:ascii="宋体" w:hAnsi="宋体" w:eastAsia="宋体" w:cs="宋体"/>
          <w:spacing w:val="-3"/>
          <w:sz w:val="24"/>
          <w:szCs w:val="24"/>
        </w:rPr>
        <w:t>③合理布置药剂房，加强空气对流，设置防火防爆装置，加强</w:t>
      </w:r>
      <w:r>
        <w:rPr>
          <w:rFonts w:ascii="宋体" w:hAnsi="宋体" w:eastAsia="宋体" w:cs="宋体"/>
          <w:spacing w:val="-4"/>
          <w:sz w:val="24"/>
          <w:szCs w:val="24"/>
        </w:rPr>
        <w:t>对药剂泄露的</w:t>
      </w:r>
      <w:r>
        <w:rPr>
          <w:rFonts w:ascii="宋体" w:hAnsi="宋体" w:eastAsia="宋体" w:cs="宋体"/>
          <w:sz w:val="24"/>
          <w:szCs w:val="24"/>
        </w:rPr>
        <w:t xml:space="preserve"> </w:t>
      </w:r>
      <w:r>
        <w:rPr>
          <w:rFonts w:ascii="宋体" w:hAnsi="宋体" w:eastAsia="宋体" w:cs="宋体"/>
          <w:spacing w:val="-1"/>
          <w:sz w:val="24"/>
          <w:szCs w:val="24"/>
        </w:rPr>
        <w:t>防范，加强工人的安全防护和防范，杜绝风险事故的发生。</w:t>
      </w:r>
    </w:p>
    <w:p w14:paraId="192B50AF">
      <w:pPr>
        <w:spacing w:before="183" w:line="217" w:lineRule="auto"/>
        <w:ind w:left="501"/>
        <w:rPr>
          <w:rFonts w:ascii="宋体" w:hAnsi="宋体" w:eastAsia="宋体" w:cs="宋体"/>
          <w:sz w:val="24"/>
          <w:szCs w:val="24"/>
        </w:rPr>
      </w:pPr>
      <w:r>
        <w:rPr>
          <w:rFonts w:ascii="宋体" w:hAnsi="宋体" w:eastAsia="宋体" w:cs="宋体"/>
          <w:sz w:val="24"/>
          <w:szCs w:val="24"/>
        </w:rPr>
        <w:t>④定期对药剂房、药剂池等进行检查，发现泄露</w:t>
      </w:r>
      <w:r>
        <w:rPr>
          <w:rFonts w:ascii="宋体" w:hAnsi="宋体" w:eastAsia="宋体" w:cs="宋体"/>
          <w:spacing w:val="-1"/>
          <w:sz w:val="24"/>
          <w:szCs w:val="24"/>
        </w:rPr>
        <w:t>要及时修理、更换。</w:t>
      </w:r>
    </w:p>
    <w:p w14:paraId="5DD5C1B2">
      <w:pPr>
        <w:spacing w:before="186" w:line="289" w:lineRule="auto"/>
        <w:ind w:left="27" w:firstLine="474"/>
        <w:rPr>
          <w:rFonts w:ascii="宋体" w:hAnsi="宋体" w:eastAsia="宋体" w:cs="宋体"/>
          <w:sz w:val="24"/>
          <w:szCs w:val="24"/>
        </w:rPr>
      </w:pPr>
      <w:r>
        <w:rPr>
          <w:rFonts w:ascii="宋体" w:hAnsi="宋体" w:eastAsia="宋体" w:cs="宋体"/>
          <w:spacing w:val="-8"/>
          <w:sz w:val="24"/>
          <w:szCs w:val="24"/>
        </w:rPr>
        <w:t>⑤对不符合法律、行政法规、规章规定或者国家标准、行业标准要求的设施、</w:t>
      </w:r>
      <w:r>
        <w:rPr>
          <w:rFonts w:ascii="宋体" w:hAnsi="宋体" w:eastAsia="宋体" w:cs="宋体"/>
          <w:spacing w:val="10"/>
          <w:sz w:val="24"/>
          <w:szCs w:val="24"/>
        </w:rPr>
        <w:t xml:space="preserve"> </w:t>
      </w:r>
      <w:r>
        <w:rPr>
          <w:rFonts w:ascii="宋体" w:hAnsi="宋体" w:eastAsia="宋体" w:cs="宋体"/>
          <w:spacing w:val="-1"/>
          <w:sz w:val="24"/>
          <w:szCs w:val="24"/>
        </w:rPr>
        <w:t>设备、装置、器材、运输工具等，禁止使用。</w:t>
      </w:r>
    </w:p>
    <w:p w14:paraId="50FFBA1B">
      <w:pPr>
        <w:spacing w:before="184" w:line="313" w:lineRule="auto"/>
        <w:ind w:left="25" w:firstLine="476"/>
        <w:rPr>
          <w:rFonts w:ascii="宋体" w:hAnsi="宋体" w:eastAsia="宋体" w:cs="宋体"/>
          <w:sz w:val="24"/>
          <w:szCs w:val="24"/>
        </w:rPr>
      </w:pPr>
      <w:r>
        <w:rPr>
          <w:rFonts w:ascii="宋体" w:hAnsi="宋体" w:eastAsia="宋体" w:cs="宋体"/>
          <w:spacing w:val="-8"/>
          <w:sz w:val="24"/>
          <w:szCs w:val="24"/>
        </w:rPr>
        <w:t>⑥起运时包装要完整，装载应稳妥。运输过程中要确保容器不泄漏、不倒塌、</w:t>
      </w:r>
      <w:r>
        <w:rPr>
          <w:rFonts w:ascii="宋体" w:hAnsi="宋体" w:eastAsia="宋体" w:cs="宋体"/>
          <w:spacing w:val="10"/>
          <w:sz w:val="24"/>
          <w:szCs w:val="24"/>
        </w:rPr>
        <w:t xml:space="preserve"> </w:t>
      </w:r>
      <w:r>
        <w:rPr>
          <w:rFonts w:ascii="宋体" w:hAnsi="宋体" w:eastAsia="宋体" w:cs="宋体"/>
          <w:spacing w:val="-7"/>
          <w:sz w:val="24"/>
          <w:szCs w:val="24"/>
        </w:rPr>
        <w:t>不坠落、不损坏。严禁与其它物品混装混运。运输</w:t>
      </w:r>
      <w:r>
        <w:rPr>
          <w:rFonts w:ascii="宋体" w:hAnsi="宋体" w:eastAsia="宋体" w:cs="宋体"/>
          <w:spacing w:val="-8"/>
          <w:sz w:val="24"/>
          <w:szCs w:val="24"/>
        </w:rPr>
        <w:t>途中应防曝晒、雨淋，防高温。</w:t>
      </w:r>
      <w:r>
        <w:rPr>
          <w:rFonts w:ascii="宋体" w:hAnsi="宋体" w:eastAsia="宋体" w:cs="宋体"/>
          <w:sz w:val="24"/>
          <w:szCs w:val="24"/>
        </w:rPr>
        <w:t xml:space="preserve"> </w:t>
      </w:r>
      <w:r>
        <w:rPr>
          <w:rFonts w:ascii="宋体" w:hAnsi="宋体" w:eastAsia="宋体" w:cs="宋体"/>
          <w:spacing w:val="-1"/>
          <w:sz w:val="24"/>
          <w:szCs w:val="24"/>
        </w:rPr>
        <w:t>车辆运输完毕应进行彻底清扫。</w:t>
      </w:r>
    </w:p>
    <w:p w14:paraId="7EC66A57">
      <w:pPr>
        <w:spacing w:before="183" w:line="313" w:lineRule="auto"/>
        <w:ind w:left="22" w:right="18" w:firstLine="479"/>
        <w:rPr>
          <w:rFonts w:ascii="宋体" w:hAnsi="宋体" w:eastAsia="宋体" w:cs="宋体"/>
          <w:sz w:val="24"/>
          <w:szCs w:val="24"/>
        </w:rPr>
      </w:pPr>
      <w:r>
        <w:rPr>
          <w:rFonts w:ascii="宋体" w:hAnsi="宋体" w:eastAsia="宋体" w:cs="宋体"/>
          <w:spacing w:val="-8"/>
          <w:sz w:val="24"/>
          <w:szCs w:val="24"/>
        </w:rPr>
        <w:t>⑦制定风险事故应急预案、风险事故应急措施。如发生泄</w:t>
      </w:r>
      <w:r>
        <w:rPr>
          <w:rFonts w:ascii="宋体" w:hAnsi="宋体" w:eastAsia="宋体" w:cs="宋体"/>
          <w:spacing w:val="-9"/>
          <w:sz w:val="24"/>
          <w:szCs w:val="24"/>
        </w:rPr>
        <w:t>漏引起火灾等事故，</w:t>
      </w:r>
      <w:r>
        <w:rPr>
          <w:rFonts w:ascii="宋体" w:hAnsi="宋体" w:eastAsia="宋体" w:cs="宋体"/>
          <w:sz w:val="24"/>
          <w:szCs w:val="24"/>
        </w:rPr>
        <w:t xml:space="preserve"> </w:t>
      </w:r>
      <w:r>
        <w:rPr>
          <w:rFonts w:ascii="宋体" w:hAnsi="宋体" w:eastAsia="宋体" w:cs="宋体"/>
          <w:spacing w:val="-1"/>
          <w:sz w:val="24"/>
          <w:szCs w:val="24"/>
        </w:rPr>
        <w:t>必须穿戴防毒面具及全身护身服，切断电源及火源，用泡沫、二</w:t>
      </w:r>
      <w:r>
        <w:rPr>
          <w:rFonts w:ascii="宋体" w:hAnsi="宋体" w:eastAsia="宋体" w:cs="宋体"/>
          <w:spacing w:val="-2"/>
          <w:sz w:val="24"/>
          <w:szCs w:val="24"/>
        </w:rPr>
        <w:t>氧化碳、干粉、</w:t>
      </w:r>
      <w:r>
        <w:rPr>
          <w:rFonts w:ascii="宋体" w:hAnsi="宋体" w:eastAsia="宋体" w:cs="宋体"/>
          <w:sz w:val="24"/>
          <w:szCs w:val="24"/>
        </w:rPr>
        <w:t xml:space="preserve"> </w:t>
      </w:r>
      <w:r>
        <w:rPr>
          <w:rFonts w:ascii="宋体" w:hAnsi="宋体" w:eastAsia="宋体" w:cs="宋体"/>
          <w:spacing w:val="-1"/>
          <w:sz w:val="24"/>
          <w:szCs w:val="24"/>
        </w:rPr>
        <w:t>砂土等灭火方法进行灭火。</w:t>
      </w:r>
    </w:p>
    <w:p w14:paraId="498FB13D">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）生产设施风险防范措施</w:t>
      </w:r>
    </w:p>
    <w:p w14:paraId="04FF85B4">
      <w:pPr>
        <w:spacing w:before="183" w:line="217" w:lineRule="auto"/>
        <w:ind w:left="502"/>
        <w:rPr>
          <w:rFonts w:ascii="宋体" w:hAnsi="宋体" w:eastAsia="宋体" w:cs="宋体"/>
          <w:sz w:val="24"/>
          <w:szCs w:val="24"/>
        </w:rPr>
      </w:pPr>
      <w:r>
        <w:rPr>
          <w:rFonts w:ascii="宋体" w:hAnsi="宋体" w:eastAsia="宋体" w:cs="宋体"/>
          <w:sz w:val="24"/>
          <w:szCs w:val="24"/>
        </w:rPr>
        <w:t>①加强企业管理，规范操作规程，严格执行</w:t>
      </w:r>
      <w:r>
        <w:rPr>
          <w:rFonts w:ascii="宋体" w:hAnsi="宋体" w:eastAsia="宋体" w:cs="宋体"/>
          <w:spacing w:val="-1"/>
          <w:sz w:val="24"/>
          <w:szCs w:val="24"/>
        </w:rPr>
        <w:t>采场各项制度和规定。</w:t>
      </w:r>
    </w:p>
    <w:p w14:paraId="20A9490F">
      <w:pPr>
        <w:spacing w:before="186" w:line="313" w:lineRule="auto"/>
        <w:ind w:left="23" w:right="18" w:firstLine="478"/>
        <w:rPr>
          <w:rFonts w:ascii="宋体" w:hAnsi="宋体" w:eastAsia="宋体" w:cs="宋体"/>
          <w:sz w:val="24"/>
          <w:szCs w:val="24"/>
        </w:rPr>
      </w:pPr>
      <w:r>
        <w:rPr>
          <w:rFonts w:ascii="宋体" w:hAnsi="宋体" w:eastAsia="宋体" w:cs="宋体"/>
          <w:spacing w:val="-3"/>
          <w:sz w:val="24"/>
          <w:szCs w:val="24"/>
        </w:rPr>
        <w:t>②公司成立应急救援小组，发生事故时，以应急救援小组为基础，</w:t>
      </w:r>
      <w:r>
        <w:rPr>
          <w:rFonts w:ascii="宋体" w:hAnsi="宋体" w:eastAsia="宋体" w:cs="宋体"/>
          <w:spacing w:val="-4"/>
          <w:sz w:val="24"/>
          <w:szCs w:val="24"/>
        </w:rPr>
        <w:t>立即成立</w:t>
      </w:r>
      <w:r>
        <w:rPr>
          <w:rFonts w:ascii="宋体" w:hAnsi="宋体" w:eastAsia="宋体" w:cs="宋体"/>
          <w:sz w:val="24"/>
          <w:szCs w:val="24"/>
        </w:rPr>
        <w:t xml:space="preserve"> </w:t>
      </w:r>
      <w:r>
        <w:rPr>
          <w:rFonts w:ascii="宋体" w:hAnsi="宋体" w:eastAsia="宋体" w:cs="宋体"/>
          <w:spacing w:val="-8"/>
          <w:sz w:val="24"/>
          <w:szCs w:val="24"/>
        </w:rPr>
        <w:t>应急救援指挥部，负责全单位应急救援工作的组织和指挥，及时对事故进行处理，</w:t>
      </w:r>
      <w:r>
        <w:rPr>
          <w:rFonts w:ascii="宋体" w:hAnsi="宋体" w:eastAsia="宋体" w:cs="宋体"/>
          <w:spacing w:val="5"/>
          <w:sz w:val="24"/>
          <w:szCs w:val="24"/>
        </w:rPr>
        <w:t xml:space="preserve"> </w:t>
      </w:r>
      <w:r>
        <w:rPr>
          <w:rFonts w:ascii="宋体" w:hAnsi="宋体" w:eastAsia="宋体" w:cs="宋体"/>
          <w:spacing w:val="-1"/>
          <w:sz w:val="24"/>
          <w:szCs w:val="24"/>
        </w:rPr>
        <w:t>消除环境风险污染源。</w:t>
      </w:r>
    </w:p>
    <w:p w14:paraId="3A42258C">
      <w:pPr>
        <w:spacing w:before="183" w:line="220" w:lineRule="auto"/>
        <w:ind w:left="502"/>
        <w:outlineLvl w:val="2"/>
        <w:rPr>
          <w:rFonts w:ascii="宋体" w:hAnsi="宋体" w:eastAsia="宋体" w:cs="宋体"/>
          <w:sz w:val="24"/>
          <w:szCs w:val="24"/>
        </w:rPr>
      </w:pPr>
      <w:bookmarkStart w:id="154" w:name="bookmark136"/>
      <w:bookmarkEnd w:id="154"/>
      <w:r>
        <w:rPr>
          <w:rFonts w:ascii="Times New Roman" w:hAnsi="Times New Roman" w:eastAsia="Times New Roman" w:cs="Times New Roman"/>
          <w:b/>
          <w:bCs/>
          <w:spacing w:val="-2"/>
          <w:sz w:val="24"/>
          <w:szCs w:val="24"/>
        </w:rPr>
        <w:t xml:space="preserve">8.7.6 </w:t>
      </w:r>
      <w:r>
        <w:rPr>
          <w:rFonts w:ascii="宋体" w:hAnsi="宋体" w:eastAsia="宋体" w:cs="宋体"/>
          <w:b/>
          <w:bCs/>
          <w:spacing w:val="-2"/>
          <w:sz w:val="24"/>
          <w:szCs w:val="24"/>
        </w:rPr>
        <w:t>环境风险事故应急预案</w:t>
      </w:r>
    </w:p>
    <w:p w14:paraId="035F3B95">
      <w:pPr>
        <w:spacing w:before="182" w:line="360" w:lineRule="auto"/>
        <w:ind w:left="23" w:right="80" w:firstLine="483"/>
        <w:rPr>
          <w:rFonts w:ascii="宋体" w:hAnsi="宋体" w:eastAsia="宋体" w:cs="宋体"/>
          <w:sz w:val="24"/>
          <w:szCs w:val="24"/>
        </w:rPr>
      </w:pPr>
      <w:r>
        <w:rPr>
          <w:rFonts w:ascii="宋体" w:hAnsi="宋体" w:eastAsia="宋体" w:cs="宋体"/>
          <w:spacing w:val="-3"/>
          <w:sz w:val="24"/>
          <w:szCs w:val="24"/>
        </w:rPr>
        <w:t>企业除在安全技术和管理上采取相应的劳动安全卫生对</w:t>
      </w:r>
      <w:r>
        <w:rPr>
          <w:rFonts w:ascii="宋体" w:hAnsi="宋体" w:eastAsia="宋体" w:cs="宋体"/>
          <w:spacing w:val="-4"/>
          <w:sz w:val="24"/>
          <w:szCs w:val="24"/>
        </w:rPr>
        <w:t>策措施以外，应尽力</w:t>
      </w:r>
      <w:r>
        <w:rPr>
          <w:rFonts w:ascii="宋体" w:hAnsi="宋体" w:eastAsia="宋体" w:cs="宋体"/>
          <w:sz w:val="24"/>
          <w:szCs w:val="24"/>
        </w:rPr>
        <w:t xml:space="preserve"> </w:t>
      </w:r>
      <w:r>
        <w:rPr>
          <w:rFonts w:ascii="宋体" w:hAnsi="宋体" w:eastAsia="宋体" w:cs="宋体"/>
          <w:spacing w:val="-1"/>
          <w:sz w:val="24"/>
          <w:szCs w:val="24"/>
        </w:rPr>
        <w:t>事故的应急救援预案，并经常加以演练。</w:t>
      </w:r>
    </w:p>
    <w:p w14:paraId="166374BB">
      <w:pPr>
        <w:spacing w:before="1" w:line="220" w:lineRule="auto"/>
        <w:ind w:left="522"/>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）指导思想</w:t>
      </w:r>
    </w:p>
    <w:p w14:paraId="03656FBD">
      <w:pPr>
        <w:spacing w:before="181" w:line="360" w:lineRule="auto"/>
        <w:ind w:left="43" w:right="30" w:firstLine="464"/>
        <w:rPr>
          <w:rFonts w:ascii="宋体" w:hAnsi="宋体" w:eastAsia="宋体" w:cs="宋体"/>
          <w:sz w:val="24"/>
          <w:szCs w:val="24"/>
        </w:rPr>
      </w:pPr>
      <w:r>
        <w:rPr>
          <w:rFonts w:ascii="宋体" w:hAnsi="宋体" w:eastAsia="宋体" w:cs="宋体"/>
          <w:spacing w:val="5"/>
          <w:sz w:val="24"/>
          <w:szCs w:val="24"/>
        </w:rPr>
        <w:t>企业应根据自身特点，本着</w:t>
      </w:r>
      <w:r>
        <w:rPr>
          <w:rFonts w:ascii="Times New Roman" w:hAnsi="Times New Roman" w:eastAsia="Times New Roman" w:cs="Times New Roman"/>
          <w:spacing w:val="5"/>
          <w:sz w:val="24"/>
          <w:szCs w:val="24"/>
        </w:rPr>
        <w:t>“</w:t>
      </w:r>
      <w:r>
        <w:rPr>
          <w:rFonts w:ascii="宋体" w:hAnsi="宋体" w:eastAsia="宋体" w:cs="宋体"/>
          <w:spacing w:val="5"/>
          <w:sz w:val="24"/>
          <w:szCs w:val="24"/>
        </w:rPr>
        <w:t>预防为主、</w:t>
      </w:r>
      <w:r>
        <w:rPr>
          <w:rFonts w:ascii="宋体" w:hAnsi="宋体" w:eastAsia="宋体" w:cs="宋体"/>
          <w:spacing w:val="-66"/>
          <w:sz w:val="24"/>
          <w:szCs w:val="24"/>
        </w:rPr>
        <w:t xml:space="preserve"> </w:t>
      </w:r>
      <w:r>
        <w:rPr>
          <w:rFonts w:ascii="宋体" w:hAnsi="宋体" w:eastAsia="宋体" w:cs="宋体"/>
          <w:spacing w:val="5"/>
          <w:sz w:val="24"/>
          <w:szCs w:val="24"/>
        </w:rPr>
        <w:t>自救为主</w:t>
      </w:r>
      <w:r>
        <w:rPr>
          <w:rFonts w:ascii="宋体" w:hAnsi="宋体" w:eastAsia="宋体" w:cs="宋体"/>
          <w:spacing w:val="4"/>
          <w:sz w:val="24"/>
          <w:szCs w:val="24"/>
        </w:rPr>
        <w:t>、统一指挥、分工负责</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的原则，根据有关事故应急救援的要求，制定事故应急救援预</w:t>
      </w:r>
      <w:r>
        <w:rPr>
          <w:rFonts w:ascii="宋体" w:hAnsi="宋体" w:eastAsia="宋体" w:cs="宋体"/>
          <w:spacing w:val="-2"/>
          <w:sz w:val="24"/>
          <w:szCs w:val="24"/>
        </w:rPr>
        <w:t>案。</w:t>
      </w:r>
    </w:p>
    <w:p w14:paraId="305A235F">
      <w:pPr>
        <w:spacing w:before="1" w:line="218"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）组织机构与职责</w:t>
      </w:r>
    </w:p>
    <w:p w14:paraId="14107FB7">
      <w:pPr>
        <w:spacing w:before="183" w:line="221" w:lineRule="auto"/>
        <w:ind w:left="522"/>
        <w:rPr>
          <w:rFonts w:ascii="宋体" w:hAnsi="宋体" w:eastAsia="宋体" w:cs="宋体"/>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、应急组织体系</w:t>
      </w:r>
    </w:p>
    <w:p w14:paraId="5E606A8C">
      <w:pPr>
        <w:spacing w:before="181"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）应急领导小组</w:t>
      </w:r>
    </w:p>
    <w:p w14:paraId="0D1D97A1">
      <w:pPr>
        <w:spacing w:before="183" w:line="219" w:lineRule="auto"/>
        <w:ind w:left="506"/>
        <w:rPr>
          <w:rFonts w:ascii="宋体" w:hAnsi="宋体" w:eastAsia="宋体" w:cs="宋体"/>
          <w:sz w:val="24"/>
          <w:szCs w:val="24"/>
        </w:rPr>
      </w:pPr>
      <w:r>
        <w:rPr>
          <w:rFonts w:ascii="宋体" w:hAnsi="宋体" w:eastAsia="宋体" w:cs="宋体"/>
          <w:spacing w:val="4"/>
          <w:sz w:val="24"/>
          <w:szCs w:val="24"/>
        </w:rPr>
        <w:t>为有效实施突发环境事件应急处置，成立突发环境事件应急处置领导小组</w:t>
      </w:r>
    </w:p>
    <w:p w14:paraId="12242DF8">
      <w:pPr>
        <w:spacing w:line="219" w:lineRule="auto"/>
        <w:rPr>
          <w:rFonts w:ascii="宋体" w:hAnsi="宋体" w:eastAsia="宋体" w:cs="宋体"/>
          <w:sz w:val="24"/>
          <w:szCs w:val="24"/>
        </w:rPr>
        <w:sectPr>
          <w:headerReference r:id="rId350" w:type="default"/>
          <w:footerReference r:id="rId351" w:type="default"/>
          <w:pgSz w:w="11906" w:h="16839"/>
          <w:pgMar w:top="1208" w:right="1719" w:bottom="1358" w:left="1785" w:header="825" w:footer="1195" w:gutter="0"/>
          <w:cols w:space="720" w:num="1"/>
        </w:sectPr>
      </w:pPr>
    </w:p>
    <w:p w14:paraId="2C8B73D5">
      <w:pPr>
        <w:pStyle w:val="2"/>
        <w:spacing w:line="265" w:lineRule="auto"/>
      </w:pPr>
    </w:p>
    <w:p w14:paraId="18DEDA0D">
      <w:pPr>
        <w:spacing w:before="78" w:line="212" w:lineRule="auto"/>
        <w:ind w:left="23"/>
        <w:rPr>
          <w:rFonts w:ascii="宋体" w:hAnsi="宋体" w:eastAsia="宋体" w:cs="宋体"/>
          <w:sz w:val="24"/>
          <w:szCs w:val="24"/>
        </w:rPr>
      </w:pPr>
      <w:r>
        <w:rPr>
          <w:rFonts w:ascii="Times New Roman" w:hAnsi="Times New Roman" w:eastAsia="Times New Roman" w:cs="Times New Roman"/>
          <w:spacing w:val="-3"/>
          <w:sz w:val="24"/>
          <w:szCs w:val="24"/>
        </w:rPr>
        <w:t>(</w:t>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以下简称应急领导小组</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，负责领导突发环境事件应急处置工作。</w:t>
      </w:r>
    </w:p>
    <w:p w14:paraId="46E695AB">
      <w:pPr>
        <w:spacing w:before="192" w:line="223" w:lineRule="auto"/>
        <w:ind w:left="506"/>
        <w:rPr>
          <w:rFonts w:ascii="宋体" w:hAnsi="宋体" w:eastAsia="宋体" w:cs="宋体"/>
          <w:sz w:val="24"/>
          <w:szCs w:val="24"/>
        </w:rPr>
      </w:pPr>
      <w:r>
        <w:rPr>
          <w:rFonts w:ascii="宋体" w:hAnsi="宋体" w:eastAsia="宋体" w:cs="宋体"/>
          <w:spacing w:val="-5"/>
          <w:sz w:val="24"/>
          <w:szCs w:val="24"/>
        </w:rPr>
        <w:t>组长</w:t>
      </w:r>
      <w:r>
        <w:rPr>
          <w:rFonts w:ascii="Times New Roman" w:hAnsi="Times New Roman" w:eastAsia="Times New Roman" w:cs="Times New Roman"/>
          <w:spacing w:val="-5"/>
          <w:sz w:val="24"/>
          <w:szCs w:val="24"/>
        </w:rPr>
        <w:t>:</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总经理</w:t>
      </w:r>
    </w:p>
    <w:p w14:paraId="72A49E5F">
      <w:pPr>
        <w:spacing w:before="178" w:line="219" w:lineRule="auto"/>
        <w:ind w:left="508"/>
        <w:rPr>
          <w:rFonts w:ascii="宋体" w:hAnsi="宋体" w:eastAsia="宋体" w:cs="宋体"/>
          <w:sz w:val="24"/>
          <w:szCs w:val="24"/>
        </w:rPr>
      </w:pPr>
      <w:r>
        <w:rPr>
          <w:rFonts w:ascii="宋体" w:hAnsi="宋体" w:eastAsia="宋体" w:cs="宋体"/>
          <w:spacing w:val="-2"/>
          <w:sz w:val="24"/>
          <w:szCs w:val="24"/>
        </w:rPr>
        <w:t>副组长</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副总、总工；</w:t>
      </w:r>
    </w:p>
    <w:p w14:paraId="5784C9D5">
      <w:pPr>
        <w:spacing w:before="182" w:line="219" w:lineRule="auto"/>
        <w:ind w:left="505"/>
        <w:rPr>
          <w:rFonts w:ascii="宋体" w:hAnsi="宋体" w:eastAsia="宋体" w:cs="宋体"/>
          <w:sz w:val="24"/>
          <w:szCs w:val="24"/>
        </w:rPr>
      </w:pPr>
      <w:r>
        <w:rPr>
          <w:rFonts w:ascii="宋体" w:hAnsi="宋体" w:eastAsia="宋体" w:cs="宋体"/>
          <w:spacing w:val="-1"/>
          <w:sz w:val="24"/>
          <w:szCs w:val="24"/>
        </w:rPr>
        <w:t>成员：生产技术、机电、环保部、物管部、财务部等部门负责人。</w:t>
      </w:r>
    </w:p>
    <w:p w14:paraId="49772DE0">
      <w:pPr>
        <w:spacing w:before="184" w:line="219" w:lineRule="auto"/>
        <w:ind w:left="507"/>
        <w:rPr>
          <w:rFonts w:ascii="宋体" w:hAnsi="宋体" w:eastAsia="宋体" w:cs="宋体"/>
          <w:sz w:val="24"/>
          <w:szCs w:val="24"/>
        </w:rPr>
      </w:pPr>
      <w:r>
        <w:rPr>
          <w:rFonts w:ascii="宋体" w:hAnsi="宋体" w:eastAsia="宋体" w:cs="宋体"/>
          <w:spacing w:val="-2"/>
          <w:sz w:val="24"/>
          <w:szCs w:val="24"/>
        </w:rPr>
        <w:t>项目应急小组组织结构见图</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8.7-1</w:t>
      </w:r>
      <w:r>
        <w:rPr>
          <w:rFonts w:ascii="宋体" w:hAnsi="宋体" w:eastAsia="宋体" w:cs="宋体"/>
          <w:spacing w:val="-2"/>
          <w:sz w:val="24"/>
          <w:szCs w:val="24"/>
        </w:rPr>
        <w:t>。</w:t>
      </w:r>
    </w:p>
    <w:p w14:paraId="48F970FB">
      <w:pPr>
        <w:spacing w:before="183" w:line="219" w:lineRule="auto"/>
        <w:ind w:left="503"/>
        <w:rPr>
          <w:rFonts w:ascii="宋体" w:hAnsi="宋体" w:eastAsia="宋体" w:cs="宋体"/>
          <w:sz w:val="24"/>
          <w:szCs w:val="24"/>
        </w:rPr>
      </w:pPr>
      <w:r>
        <w:rPr>
          <w:rFonts w:ascii="宋体" w:hAnsi="宋体" w:eastAsia="宋体" w:cs="宋体"/>
          <w:spacing w:val="-1"/>
          <w:sz w:val="24"/>
          <w:szCs w:val="24"/>
        </w:rPr>
        <w:t>应急领导小组全面负责公司突发环境事件应急处置工作：</w:t>
      </w:r>
    </w:p>
    <w:p w14:paraId="7BEC0241">
      <w:pPr>
        <w:spacing w:before="183" w:line="217" w:lineRule="auto"/>
        <w:ind w:left="502"/>
        <w:rPr>
          <w:rFonts w:ascii="宋体" w:hAnsi="宋体" w:eastAsia="宋体" w:cs="宋体"/>
          <w:sz w:val="24"/>
          <w:szCs w:val="24"/>
        </w:rPr>
      </w:pPr>
      <w:r>
        <w:rPr>
          <w:rFonts w:ascii="宋体" w:hAnsi="宋体" w:eastAsia="宋体" w:cs="宋体"/>
          <w:spacing w:val="-1"/>
          <w:sz w:val="24"/>
          <w:szCs w:val="24"/>
        </w:rPr>
        <w:t>①负责编制、修订公司突发环境事件应急预案。</w:t>
      </w:r>
    </w:p>
    <w:p w14:paraId="5E95AC63">
      <w:pPr>
        <w:spacing w:before="186" w:line="217" w:lineRule="auto"/>
        <w:ind w:left="501"/>
        <w:rPr>
          <w:rFonts w:ascii="宋体" w:hAnsi="宋体" w:eastAsia="宋体" w:cs="宋体"/>
          <w:sz w:val="24"/>
          <w:szCs w:val="24"/>
        </w:rPr>
      </w:pPr>
      <w:r>
        <w:rPr>
          <w:rFonts w:ascii="宋体" w:hAnsi="宋体" w:eastAsia="宋体" w:cs="宋体"/>
          <w:spacing w:val="-1"/>
          <w:sz w:val="24"/>
          <w:szCs w:val="24"/>
        </w:rPr>
        <w:t>②组建应急救援队伍，配备救援器材和装备。</w:t>
      </w:r>
    </w:p>
    <w:p w14:paraId="2D10F81D">
      <w:pPr>
        <w:spacing w:before="186" w:line="217" w:lineRule="auto"/>
        <w:ind w:left="501"/>
        <w:rPr>
          <w:rFonts w:ascii="宋体" w:hAnsi="宋体" w:eastAsia="宋体" w:cs="宋体"/>
          <w:sz w:val="24"/>
          <w:szCs w:val="24"/>
        </w:rPr>
      </w:pPr>
      <w:r>
        <w:rPr>
          <w:rFonts w:ascii="宋体" w:hAnsi="宋体" w:eastAsia="宋体" w:cs="宋体"/>
          <w:spacing w:val="-1"/>
          <w:sz w:val="24"/>
          <w:szCs w:val="24"/>
        </w:rPr>
        <w:t>③组织应急预案的培训、演练和演习。</w:t>
      </w:r>
    </w:p>
    <w:p w14:paraId="43787F94">
      <w:pPr>
        <w:spacing w:before="186" w:line="217" w:lineRule="auto"/>
        <w:ind w:left="501"/>
        <w:rPr>
          <w:rFonts w:ascii="宋体" w:hAnsi="宋体" w:eastAsia="宋体" w:cs="宋体"/>
          <w:sz w:val="24"/>
          <w:szCs w:val="24"/>
        </w:rPr>
      </w:pPr>
      <w:r>
        <w:rPr>
          <w:rFonts w:ascii="宋体" w:hAnsi="宋体" w:eastAsia="宋体" w:cs="宋体"/>
          <w:spacing w:val="-7"/>
          <w:sz w:val="24"/>
          <w:szCs w:val="24"/>
        </w:rPr>
        <w:t>④接受地方政府的指令及调动，指挥、调度公司应急救援力量参加社会志愿。</w:t>
      </w:r>
    </w:p>
    <w:p w14:paraId="545C8F3C">
      <w:pPr>
        <w:spacing w:before="185" w:line="217" w:lineRule="auto"/>
        <w:ind w:left="501"/>
        <w:rPr>
          <w:rFonts w:ascii="宋体" w:hAnsi="宋体" w:eastAsia="宋体" w:cs="宋体"/>
          <w:sz w:val="24"/>
          <w:szCs w:val="24"/>
        </w:rPr>
      </w:pPr>
      <w:r>
        <w:rPr>
          <w:rFonts w:ascii="宋体" w:hAnsi="宋体" w:eastAsia="宋体" w:cs="宋体"/>
          <w:sz w:val="24"/>
          <w:szCs w:val="24"/>
        </w:rPr>
        <w:t>⑤负责生产安全事故和突发事件上报和应急救</w:t>
      </w:r>
      <w:r>
        <w:rPr>
          <w:rFonts w:ascii="宋体" w:hAnsi="宋体" w:eastAsia="宋体" w:cs="宋体"/>
          <w:spacing w:val="-1"/>
          <w:sz w:val="24"/>
          <w:szCs w:val="24"/>
        </w:rPr>
        <w:t>援实施情况的通报。</w:t>
      </w:r>
    </w:p>
    <w:p w14:paraId="7F1ABFF8">
      <w:pPr>
        <w:spacing w:before="151" w:line="4831" w:lineRule="exact"/>
        <w:ind w:firstLine="731"/>
      </w:pPr>
      <w:r>
        <w:rPr>
          <w:position w:val="-96"/>
        </w:rPr>
        <w:drawing>
          <wp:inline distT="0" distB="0" distL="0" distR="0">
            <wp:extent cx="4515485" cy="306768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533"/>
                    <a:stretch>
                      <a:fillRect/>
                    </a:stretch>
                  </pic:blipFill>
                  <pic:spPr>
                    <a:xfrm>
                      <a:off x="0" y="0"/>
                      <a:ext cx="4515611" cy="3067811"/>
                    </a:xfrm>
                    <a:prstGeom prst="rect">
                      <a:avLst/>
                    </a:prstGeom>
                  </pic:spPr>
                </pic:pic>
              </a:graphicData>
            </a:graphic>
          </wp:inline>
        </w:drawing>
      </w:r>
    </w:p>
    <w:p w14:paraId="52E906B8">
      <w:pPr>
        <w:spacing w:before="196" w:line="220" w:lineRule="auto"/>
        <w:ind w:left="2758"/>
        <w:rPr>
          <w:rFonts w:ascii="宋体" w:hAnsi="宋体" w:eastAsia="宋体" w:cs="宋体"/>
          <w:sz w:val="24"/>
          <w:szCs w:val="24"/>
        </w:rPr>
      </w:pPr>
      <w:r>
        <w:rPr>
          <w:rFonts w:ascii="宋体" w:hAnsi="宋体" w:eastAsia="宋体" w:cs="宋体"/>
          <w:spacing w:val="-2"/>
          <w:sz w:val="24"/>
          <w:szCs w:val="24"/>
        </w:rPr>
        <w:t>图8.7-1     应急小组分组图</w:t>
      </w:r>
    </w:p>
    <w:p w14:paraId="0C38B1B9">
      <w:pPr>
        <w:spacing w:before="18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）应急领导办公室</w:t>
      </w:r>
    </w:p>
    <w:p w14:paraId="7F8B1EE7">
      <w:pPr>
        <w:spacing w:before="182" w:line="360" w:lineRule="auto"/>
        <w:ind w:left="29" w:right="1738" w:firstLine="474"/>
        <w:rPr>
          <w:rFonts w:ascii="宋体" w:hAnsi="宋体" w:eastAsia="宋体" w:cs="宋体"/>
          <w:sz w:val="24"/>
          <w:szCs w:val="24"/>
        </w:rPr>
      </w:pPr>
      <w:r>
        <w:rPr>
          <w:rFonts w:ascii="宋体" w:hAnsi="宋体" w:eastAsia="宋体" w:cs="宋体"/>
          <w:spacing w:val="-8"/>
          <w:sz w:val="24"/>
          <w:szCs w:val="24"/>
        </w:rPr>
        <w:t>应急领导小组下设办公室，办公室设在环保部，环保</w:t>
      </w:r>
      <w:r>
        <w:rPr>
          <w:rFonts w:ascii="宋体" w:hAnsi="宋体" w:eastAsia="宋体" w:cs="宋体"/>
          <w:spacing w:val="-9"/>
          <w:sz w:val="24"/>
          <w:szCs w:val="24"/>
        </w:rPr>
        <w:t>部主任兼任办公室主任，</w:t>
      </w:r>
      <w:r>
        <w:rPr>
          <w:rFonts w:ascii="宋体" w:hAnsi="宋体" w:eastAsia="宋体" w:cs="宋体"/>
          <w:sz w:val="24"/>
          <w:szCs w:val="24"/>
        </w:rPr>
        <w:t xml:space="preserve"> </w:t>
      </w:r>
      <w:r>
        <w:rPr>
          <w:rFonts w:ascii="宋体" w:hAnsi="宋体" w:eastAsia="宋体" w:cs="宋体"/>
          <w:spacing w:val="-3"/>
          <w:sz w:val="24"/>
          <w:szCs w:val="24"/>
        </w:rPr>
        <w:t>并由环保部配备</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名工作人员。办公室在应急领导小</w:t>
      </w:r>
      <w:r>
        <w:rPr>
          <w:rFonts w:ascii="宋体" w:hAnsi="宋体" w:eastAsia="宋体" w:cs="宋体"/>
          <w:spacing w:val="-4"/>
          <w:sz w:val="24"/>
          <w:szCs w:val="24"/>
        </w:rPr>
        <w:t>组的直接领导下，全面负责</w:t>
      </w:r>
      <w:r>
        <w:rPr>
          <w:rFonts w:ascii="宋体" w:hAnsi="宋体" w:eastAsia="宋体" w:cs="宋体"/>
          <w:sz w:val="24"/>
          <w:szCs w:val="24"/>
        </w:rPr>
        <w:t xml:space="preserve"> </w:t>
      </w:r>
      <w:r>
        <w:rPr>
          <w:rFonts w:ascii="宋体" w:hAnsi="宋体" w:eastAsia="宋体" w:cs="宋体"/>
          <w:spacing w:val="-1"/>
          <w:sz w:val="24"/>
          <w:szCs w:val="24"/>
        </w:rPr>
        <w:t>日常业务和组织协调工作，完成应急领导小组交办的各项任务。</w:t>
      </w:r>
    </w:p>
    <w:p w14:paraId="0D1CCF0F">
      <w:pPr>
        <w:spacing w:before="1" w:line="219" w:lineRule="auto"/>
        <w:ind w:left="503"/>
        <w:rPr>
          <w:rFonts w:ascii="宋体" w:hAnsi="宋体" w:eastAsia="宋体" w:cs="宋体"/>
          <w:sz w:val="24"/>
          <w:szCs w:val="24"/>
        </w:rPr>
      </w:pPr>
      <w:r>
        <w:rPr>
          <w:rFonts w:ascii="宋体" w:hAnsi="宋体" w:eastAsia="宋体" w:cs="宋体"/>
          <w:spacing w:val="-1"/>
          <w:sz w:val="24"/>
          <w:szCs w:val="24"/>
        </w:rPr>
        <w:t>应急领导小组办公室主任职责：</w:t>
      </w:r>
    </w:p>
    <w:p w14:paraId="0C4E6A4E">
      <w:pPr>
        <w:spacing w:before="183" w:line="217" w:lineRule="auto"/>
        <w:ind w:left="502"/>
        <w:rPr>
          <w:rFonts w:ascii="宋体" w:hAnsi="宋体" w:eastAsia="宋体" w:cs="宋体"/>
          <w:sz w:val="24"/>
          <w:szCs w:val="24"/>
        </w:rPr>
      </w:pPr>
      <w:r>
        <w:rPr>
          <w:rFonts w:ascii="宋体" w:hAnsi="宋体" w:eastAsia="宋体" w:cs="宋体"/>
          <w:sz w:val="24"/>
          <w:szCs w:val="24"/>
        </w:rPr>
        <w:t>①根据实际生产情况及时编制、修订公司突</w:t>
      </w:r>
      <w:r>
        <w:rPr>
          <w:rFonts w:ascii="宋体" w:hAnsi="宋体" w:eastAsia="宋体" w:cs="宋体"/>
          <w:spacing w:val="-1"/>
          <w:sz w:val="24"/>
          <w:szCs w:val="24"/>
        </w:rPr>
        <w:t>发环境事件应急预案。</w:t>
      </w:r>
    </w:p>
    <w:p w14:paraId="5FC01B82">
      <w:pPr>
        <w:spacing w:before="186" w:line="217" w:lineRule="auto"/>
        <w:ind w:left="501"/>
        <w:rPr>
          <w:rFonts w:ascii="宋体" w:hAnsi="宋体" w:eastAsia="宋体" w:cs="宋体"/>
          <w:sz w:val="24"/>
          <w:szCs w:val="24"/>
        </w:rPr>
      </w:pPr>
      <w:r>
        <w:rPr>
          <w:rFonts w:ascii="宋体" w:hAnsi="宋体" w:eastAsia="宋体" w:cs="宋体"/>
          <w:spacing w:val="-1"/>
          <w:sz w:val="24"/>
          <w:szCs w:val="24"/>
        </w:rPr>
        <w:t>②负责编制救援器材和装备购买计划报领导小组审批。</w:t>
      </w:r>
    </w:p>
    <w:p w14:paraId="55083533">
      <w:pPr>
        <w:spacing w:before="228" w:line="188"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p w14:paraId="3EBBBD87">
      <w:pPr>
        <w:pStyle w:val="2"/>
        <w:spacing w:line="282" w:lineRule="auto"/>
      </w:pPr>
    </w:p>
    <w:p w14:paraId="63E4B42C">
      <w:pPr>
        <w:pStyle w:val="2"/>
        <w:spacing w:line="283" w:lineRule="auto"/>
      </w:pPr>
    </w:p>
    <w:p w14:paraId="2F0E547D">
      <w:pPr>
        <w:spacing w:line="443" w:lineRule="exact"/>
        <w:ind w:firstLine="9996"/>
      </w:pPr>
      <w:r>
        <w:rPr>
          <w:position w:val="-8"/>
        </w:rPr>
        <w:drawing>
          <wp:inline distT="0" distB="0" distL="0" distR="0">
            <wp:extent cx="78105" cy="28067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534"/>
                    <a:stretch>
                      <a:fillRect/>
                    </a:stretch>
                  </pic:blipFill>
                  <pic:spPr>
                    <a:xfrm>
                      <a:off x="0" y="0"/>
                      <a:ext cx="78561" cy="281063"/>
                    </a:xfrm>
                    <a:prstGeom prst="rect">
                      <a:avLst/>
                    </a:prstGeom>
                  </pic:spPr>
                </pic:pic>
              </a:graphicData>
            </a:graphic>
          </wp:inline>
        </w:drawing>
      </w:r>
    </w:p>
    <w:p w14:paraId="49F35A20">
      <w:pPr>
        <w:spacing w:line="443" w:lineRule="exact"/>
        <w:sectPr>
          <w:headerReference r:id="rId352" w:type="default"/>
          <w:footerReference r:id="rId353" w:type="default"/>
          <w:pgSz w:w="11906" w:h="16839"/>
          <w:pgMar w:top="1208" w:right="0" w:bottom="174" w:left="1785" w:header="825" w:footer="0" w:gutter="0"/>
          <w:cols w:space="720" w:num="1"/>
        </w:sectPr>
      </w:pPr>
    </w:p>
    <w:p w14:paraId="79EFDCEF">
      <w:pPr>
        <w:pStyle w:val="2"/>
        <w:spacing w:line="265" w:lineRule="auto"/>
      </w:pPr>
    </w:p>
    <w:p w14:paraId="63234571">
      <w:pPr>
        <w:spacing w:before="78" w:line="217" w:lineRule="auto"/>
        <w:ind w:left="501"/>
        <w:rPr>
          <w:rFonts w:ascii="宋体" w:hAnsi="宋体" w:eastAsia="宋体" w:cs="宋体"/>
          <w:sz w:val="24"/>
          <w:szCs w:val="24"/>
        </w:rPr>
      </w:pPr>
      <w:r>
        <w:rPr>
          <w:rFonts w:ascii="宋体" w:hAnsi="宋体" w:eastAsia="宋体" w:cs="宋体"/>
          <w:spacing w:val="-1"/>
          <w:sz w:val="24"/>
          <w:szCs w:val="24"/>
        </w:rPr>
        <w:t>③负责编制应急预案的培训、演练方案报领导小组审批。</w:t>
      </w:r>
    </w:p>
    <w:p w14:paraId="7914B153">
      <w:pPr>
        <w:spacing w:before="185" w:line="217" w:lineRule="auto"/>
        <w:ind w:left="501"/>
        <w:rPr>
          <w:rFonts w:ascii="宋体" w:hAnsi="宋体" w:eastAsia="宋体" w:cs="宋体"/>
          <w:sz w:val="24"/>
          <w:szCs w:val="24"/>
        </w:rPr>
      </w:pPr>
      <w:r>
        <w:rPr>
          <w:rFonts w:ascii="宋体" w:hAnsi="宋体" w:eastAsia="宋体" w:cs="宋体"/>
          <w:spacing w:val="-1"/>
          <w:sz w:val="24"/>
          <w:szCs w:val="24"/>
        </w:rPr>
        <w:t>④监督应急物资储存情况，监督检查应急体系的运行情况。</w:t>
      </w:r>
    </w:p>
    <w:p w14:paraId="63120E3B">
      <w:pPr>
        <w:spacing w:before="185" w:line="217" w:lineRule="auto"/>
        <w:ind w:left="501"/>
        <w:rPr>
          <w:rFonts w:ascii="宋体" w:hAnsi="宋体" w:eastAsia="宋体" w:cs="宋体"/>
          <w:sz w:val="24"/>
          <w:szCs w:val="24"/>
        </w:rPr>
      </w:pPr>
      <w:r>
        <w:rPr>
          <w:rFonts w:ascii="宋体" w:hAnsi="宋体" w:eastAsia="宋体" w:cs="宋体"/>
          <w:spacing w:val="-1"/>
          <w:sz w:val="24"/>
          <w:szCs w:val="24"/>
        </w:rPr>
        <w:t>⑤完成应急领导小组交办的各项任务。</w:t>
      </w:r>
    </w:p>
    <w:p w14:paraId="66CAFF66">
      <w:pPr>
        <w:spacing w:before="186" w:line="219" w:lineRule="auto"/>
        <w:ind w:left="503"/>
        <w:rPr>
          <w:rFonts w:ascii="宋体" w:hAnsi="宋体" w:eastAsia="宋体" w:cs="宋体"/>
          <w:sz w:val="24"/>
          <w:szCs w:val="24"/>
        </w:rPr>
      </w:pPr>
      <w:r>
        <w:rPr>
          <w:rFonts w:ascii="宋体" w:hAnsi="宋体" w:eastAsia="宋体" w:cs="宋体"/>
          <w:spacing w:val="-1"/>
          <w:sz w:val="24"/>
          <w:szCs w:val="24"/>
        </w:rPr>
        <w:t>应急领导小组办公室工作人员职责：</w:t>
      </w:r>
    </w:p>
    <w:p w14:paraId="3101248B">
      <w:pPr>
        <w:spacing w:before="183" w:line="217" w:lineRule="auto"/>
        <w:ind w:left="502"/>
        <w:rPr>
          <w:rFonts w:ascii="宋体" w:hAnsi="宋体" w:eastAsia="宋体" w:cs="宋体"/>
          <w:sz w:val="24"/>
          <w:szCs w:val="24"/>
        </w:rPr>
      </w:pPr>
      <w:r>
        <w:rPr>
          <w:rFonts w:ascii="宋体" w:hAnsi="宋体" w:eastAsia="宋体" w:cs="宋体"/>
          <w:sz w:val="24"/>
          <w:szCs w:val="24"/>
        </w:rPr>
        <w:t>①协助编制、修订公司应急救援预案，定期落</w:t>
      </w:r>
      <w:r>
        <w:rPr>
          <w:rFonts w:ascii="宋体" w:hAnsi="宋体" w:eastAsia="宋体" w:cs="宋体"/>
          <w:spacing w:val="-1"/>
          <w:sz w:val="24"/>
          <w:szCs w:val="24"/>
        </w:rPr>
        <w:t>实应急物资储存情况。</w:t>
      </w:r>
    </w:p>
    <w:p w14:paraId="0912266C">
      <w:pPr>
        <w:spacing w:before="186" w:line="217" w:lineRule="auto"/>
        <w:ind w:left="501"/>
        <w:rPr>
          <w:rFonts w:ascii="宋体" w:hAnsi="宋体" w:eastAsia="宋体" w:cs="宋体"/>
          <w:sz w:val="24"/>
          <w:szCs w:val="24"/>
        </w:rPr>
      </w:pPr>
      <w:r>
        <w:rPr>
          <w:rFonts w:ascii="宋体" w:hAnsi="宋体" w:eastAsia="宋体" w:cs="宋体"/>
          <w:spacing w:val="-1"/>
          <w:sz w:val="24"/>
          <w:szCs w:val="24"/>
        </w:rPr>
        <w:t>②做好应急领导小组各项指令的上传下达。</w:t>
      </w:r>
    </w:p>
    <w:p w14:paraId="1268BD71">
      <w:pPr>
        <w:spacing w:before="186" w:line="217" w:lineRule="auto"/>
        <w:ind w:left="501"/>
        <w:rPr>
          <w:rFonts w:ascii="宋体" w:hAnsi="宋体" w:eastAsia="宋体" w:cs="宋体"/>
          <w:sz w:val="24"/>
          <w:szCs w:val="24"/>
        </w:rPr>
      </w:pPr>
      <w:r>
        <w:rPr>
          <w:rFonts w:ascii="宋体" w:hAnsi="宋体" w:eastAsia="宋体" w:cs="宋体"/>
          <w:spacing w:val="-1"/>
          <w:sz w:val="24"/>
          <w:szCs w:val="24"/>
        </w:rPr>
        <w:t>③配合编制应急预案的培训、演练方案。</w:t>
      </w:r>
    </w:p>
    <w:p w14:paraId="319F2FCD">
      <w:pPr>
        <w:spacing w:before="186" w:line="217" w:lineRule="auto"/>
        <w:ind w:left="501"/>
        <w:rPr>
          <w:rFonts w:ascii="宋体" w:hAnsi="宋体" w:eastAsia="宋体" w:cs="宋体"/>
          <w:sz w:val="24"/>
          <w:szCs w:val="24"/>
        </w:rPr>
      </w:pPr>
      <w:r>
        <w:rPr>
          <w:rFonts w:ascii="宋体" w:hAnsi="宋体" w:eastAsia="宋体" w:cs="宋体"/>
          <w:spacing w:val="-1"/>
          <w:sz w:val="24"/>
          <w:szCs w:val="24"/>
        </w:rPr>
        <w:t>④处理应急办公室其它的日常事务。</w:t>
      </w:r>
    </w:p>
    <w:p w14:paraId="3408E762">
      <w:pPr>
        <w:spacing w:before="185" w:line="221" w:lineRule="auto"/>
        <w:ind w:left="499"/>
        <w:rPr>
          <w:rFonts w:ascii="宋体" w:hAnsi="宋体" w:eastAsia="宋体" w:cs="宋体"/>
          <w:sz w:val="24"/>
          <w:szCs w:val="24"/>
        </w:rPr>
      </w:pPr>
      <w:r>
        <w:rPr>
          <w:rFonts w:ascii="Times New Roman" w:hAnsi="Times New Roman" w:eastAsia="Times New Roman" w:cs="Times New Roman"/>
          <w:spacing w:val="-8"/>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、职责</w:t>
      </w:r>
    </w:p>
    <w:p w14:paraId="616D9A19">
      <w:pPr>
        <w:spacing w:before="182"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）应急指挥部</w:t>
      </w:r>
    </w:p>
    <w:p w14:paraId="793B7B67">
      <w:pPr>
        <w:spacing w:before="183" w:line="360" w:lineRule="auto"/>
        <w:ind w:left="24" w:right="58" w:firstLine="486"/>
        <w:jc w:val="both"/>
        <w:rPr>
          <w:rFonts w:ascii="宋体" w:hAnsi="宋体" w:eastAsia="宋体" w:cs="宋体"/>
          <w:sz w:val="24"/>
          <w:szCs w:val="24"/>
        </w:rPr>
      </w:pPr>
      <w:r>
        <w:rPr>
          <w:rFonts w:ascii="宋体" w:hAnsi="宋体" w:eastAsia="宋体" w:cs="宋体"/>
          <w:spacing w:val="-3"/>
          <w:sz w:val="24"/>
          <w:szCs w:val="24"/>
        </w:rPr>
        <w:t>公司设立突发环境事件应急指挥部，负责组织</w:t>
      </w:r>
      <w:r>
        <w:rPr>
          <w:rFonts w:ascii="宋体" w:hAnsi="宋体" w:eastAsia="宋体" w:cs="宋体"/>
          <w:spacing w:val="-4"/>
          <w:sz w:val="24"/>
          <w:szCs w:val="24"/>
        </w:rPr>
        <w:t>指挥应急救援工作。总指挥由</w:t>
      </w:r>
      <w:r>
        <w:rPr>
          <w:rFonts w:ascii="宋体" w:hAnsi="宋体" w:eastAsia="宋体" w:cs="宋体"/>
          <w:sz w:val="24"/>
          <w:szCs w:val="24"/>
        </w:rPr>
        <w:t xml:space="preserve"> </w:t>
      </w:r>
      <w:r>
        <w:rPr>
          <w:rFonts w:ascii="宋体" w:hAnsi="宋体" w:eastAsia="宋体" w:cs="宋体"/>
          <w:spacing w:val="-3"/>
          <w:sz w:val="24"/>
          <w:szCs w:val="24"/>
        </w:rPr>
        <w:t>总经理担任，副总指挥由分管环保工作的副总经理、总工程师担任。指挥部下设</w:t>
      </w:r>
      <w:r>
        <w:rPr>
          <w:rFonts w:ascii="宋体" w:hAnsi="宋体" w:eastAsia="宋体" w:cs="宋体"/>
          <w:sz w:val="24"/>
          <w:szCs w:val="24"/>
        </w:rPr>
        <w:t xml:space="preserve"> </w:t>
      </w:r>
      <w:r>
        <w:rPr>
          <w:rFonts w:ascii="宋体" w:hAnsi="宋体" w:eastAsia="宋体" w:cs="宋体"/>
          <w:spacing w:val="-3"/>
          <w:sz w:val="24"/>
          <w:szCs w:val="24"/>
        </w:rPr>
        <w:t>办公室，在指挥部的统一领导下，负责调集应急救援队伍，组织实施应急救援工</w:t>
      </w:r>
      <w:r>
        <w:rPr>
          <w:rFonts w:ascii="宋体" w:hAnsi="宋体" w:eastAsia="宋体" w:cs="宋体"/>
          <w:sz w:val="24"/>
          <w:szCs w:val="24"/>
        </w:rPr>
        <w:t xml:space="preserve"> </w:t>
      </w:r>
      <w:r>
        <w:rPr>
          <w:rFonts w:ascii="宋体" w:hAnsi="宋体" w:eastAsia="宋体" w:cs="宋体"/>
          <w:spacing w:val="-6"/>
          <w:sz w:val="24"/>
          <w:szCs w:val="24"/>
        </w:rPr>
        <w:t>作。</w:t>
      </w:r>
    </w:p>
    <w:p w14:paraId="1813F046">
      <w:pPr>
        <w:spacing w:before="3" w:line="359" w:lineRule="auto"/>
        <w:ind w:left="29" w:firstLine="480"/>
        <w:jc w:val="both"/>
        <w:rPr>
          <w:rFonts w:ascii="宋体" w:hAnsi="宋体" w:eastAsia="宋体" w:cs="宋体"/>
          <w:sz w:val="24"/>
          <w:szCs w:val="24"/>
        </w:rPr>
      </w:pPr>
      <w:r>
        <w:rPr>
          <w:rFonts w:ascii="宋体" w:hAnsi="宋体" w:eastAsia="宋体" w:cs="宋体"/>
          <w:spacing w:val="-9"/>
          <w:sz w:val="24"/>
          <w:szCs w:val="24"/>
        </w:rPr>
        <w:t>总指挥职责：根据现场的危险等级、潜在后果等，决定《应急预案》的启动；</w:t>
      </w:r>
      <w:r>
        <w:rPr>
          <w:rFonts w:ascii="宋体" w:hAnsi="宋体" w:eastAsia="宋体" w:cs="宋体"/>
          <w:spacing w:val="14"/>
          <w:sz w:val="24"/>
          <w:szCs w:val="24"/>
        </w:rPr>
        <w:t xml:space="preserve"> </w:t>
      </w:r>
      <w:r>
        <w:rPr>
          <w:rFonts w:ascii="宋体" w:hAnsi="宋体" w:eastAsia="宋体" w:cs="宋体"/>
          <w:spacing w:val="-3"/>
          <w:sz w:val="24"/>
          <w:szCs w:val="24"/>
        </w:rPr>
        <w:t>负责应急行动期间各单位的运作协调，不熟应急策略，保证应急救援</w:t>
      </w:r>
      <w:r>
        <w:rPr>
          <w:rFonts w:ascii="宋体" w:hAnsi="宋体" w:eastAsia="宋体" w:cs="宋体"/>
          <w:spacing w:val="-4"/>
          <w:sz w:val="24"/>
          <w:szCs w:val="24"/>
        </w:rPr>
        <w:t>工作的顺利</w:t>
      </w:r>
      <w:r>
        <w:rPr>
          <w:rFonts w:ascii="宋体" w:hAnsi="宋体" w:eastAsia="宋体" w:cs="宋体"/>
          <w:sz w:val="24"/>
          <w:szCs w:val="24"/>
        </w:rPr>
        <w:t xml:space="preserve"> </w:t>
      </w:r>
      <w:r>
        <w:rPr>
          <w:rFonts w:ascii="宋体" w:hAnsi="宋体" w:eastAsia="宋体" w:cs="宋体"/>
          <w:spacing w:val="-6"/>
          <w:sz w:val="24"/>
          <w:szCs w:val="24"/>
        </w:rPr>
        <w:t>实施。</w:t>
      </w:r>
    </w:p>
    <w:p w14:paraId="0AD9DC03">
      <w:pPr>
        <w:spacing w:before="4" w:line="359" w:lineRule="auto"/>
        <w:ind w:left="23" w:right="58" w:firstLine="484"/>
        <w:jc w:val="both"/>
        <w:rPr>
          <w:rFonts w:ascii="宋体" w:hAnsi="宋体" w:eastAsia="宋体" w:cs="宋体"/>
          <w:sz w:val="24"/>
          <w:szCs w:val="24"/>
        </w:rPr>
      </w:pPr>
      <w:r>
        <w:rPr>
          <w:rFonts w:ascii="宋体" w:hAnsi="宋体" w:eastAsia="宋体" w:cs="宋体"/>
          <w:spacing w:val="-2"/>
          <w:sz w:val="24"/>
          <w:szCs w:val="24"/>
        </w:rPr>
        <w:t>副总指挥职责</w:t>
      </w:r>
      <w:r>
        <w:rPr>
          <w:rFonts w:ascii="Times New Roman" w:hAnsi="Times New Roman" w:eastAsia="Times New Roman" w:cs="Times New Roman"/>
          <w:spacing w:val="-2"/>
          <w:sz w:val="24"/>
          <w:szCs w:val="24"/>
        </w:rPr>
        <w:t>:</w:t>
      </w:r>
      <w:r>
        <w:rPr>
          <w:rFonts w:ascii="宋体" w:hAnsi="宋体" w:eastAsia="宋体" w:cs="宋体"/>
          <w:spacing w:val="-2"/>
          <w:sz w:val="24"/>
          <w:szCs w:val="24"/>
        </w:rPr>
        <w:t>协助总指挥组织或根据总指挥授权， 指挥完成应急行动；向</w:t>
      </w:r>
      <w:r>
        <w:rPr>
          <w:rFonts w:ascii="宋体" w:hAnsi="宋体" w:eastAsia="宋体" w:cs="宋体"/>
          <w:spacing w:val="12"/>
          <w:sz w:val="24"/>
          <w:szCs w:val="24"/>
        </w:rPr>
        <w:t xml:space="preserve"> </w:t>
      </w:r>
      <w:r>
        <w:rPr>
          <w:rFonts w:ascii="宋体" w:hAnsi="宋体" w:eastAsia="宋体" w:cs="宋体"/>
          <w:spacing w:val="-3"/>
          <w:sz w:val="24"/>
          <w:szCs w:val="24"/>
        </w:rPr>
        <w:t>总指挥提出应采取的减轻事故后果的应急程序和行动建议；协调、组织应急行动</w:t>
      </w:r>
      <w:r>
        <w:rPr>
          <w:rFonts w:ascii="宋体" w:hAnsi="宋体" w:eastAsia="宋体" w:cs="宋体"/>
          <w:spacing w:val="1"/>
          <w:sz w:val="24"/>
          <w:szCs w:val="24"/>
        </w:rPr>
        <w:t xml:space="preserve"> </w:t>
      </w:r>
      <w:r>
        <w:rPr>
          <w:rFonts w:ascii="宋体" w:hAnsi="宋体" w:eastAsia="宋体" w:cs="宋体"/>
          <w:spacing w:val="-1"/>
          <w:sz w:val="24"/>
          <w:szCs w:val="24"/>
        </w:rPr>
        <w:t>所需人员、队伍和物资、设备的调运等。</w:t>
      </w:r>
    </w:p>
    <w:p w14:paraId="498B45E2">
      <w:pPr>
        <w:spacing w:before="1"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）应急救援小组及职责</w:t>
      </w:r>
    </w:p>
    <w:p w14:paraId="4E50BBB2">
      <w:pPr>
        <w:spacing w:before="183" w:line="219" w:lineRule="auto"/>
        <w:ind w:left="503"/>
        <w:rPr>
          <w:rFonts w:ascii="宋体" w:hAnsi="宋体" w:eastAsia="宋体" w:cs="宋体"/>
          <w:sz w:val="24"/>
          <w:szCs w:val="24"/>
        </w:rPr>
      </w:pPr>
      <w:r>
        <w:rPr>
          <w:rFonts w:ascii="宋体" w:hAnsi="宋体" w:eastAsia="宋体" w:cs="宋体"/>
          <w:spacing w:val="-1"/>
          <w:sz w:val="24"/>
          <w:szCs w:val="24"/>
        </w:rPr>
        <w:t>根据事故类型和应急工作需要，指挥部下设</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个应急救援小组。</w:t>
      </w:r>
    </w:p>
    <w:p w14:paraId="53A004E9">
      <w:pPr>
        <w:spacing w:before="183" w:line="313" w:lineRule="auto"/>
        <w:ind w:left="24" w:right="58" w:firstLine="478"/>
        <w:rPr>
          <w:rFonts w:ascii="宋体" w:hAnsi="宋体" w:eastAsia="宋体" w:cs="宋体"/>
          <w:sz w:val="24"/>
          <w:szCs w:val="24"/>
        </w:rPr>
      </w:pPr>
      <w:r>
        <w:rPr>
          <w:rFonts w:ascii="宋体" w:hAnsi="宋体" w:eastAsia="宋体" w:cs="宋体"/>
          <w:spacing w:val="-3"/>
          <w:sz w:val="24"/>
          <w:szCs w:val="24"/>
        </w:rPr>
        <w:t>①现场指挥组：由公司分管环保工作的副总经理任组长，负责实</w:t>
      </w:r>
      <w:r>
        <w:rPr>
          <w:rFonts w:ascii="宋体" w:hAnsi="宋体" w:eastAsia="宋体" w:cs="宋体"/>
          <w:spacing w:val="-4"/>
          <w:sz w:val="24"/>
          <w:szCs w:val="24"/>
        </w:rPr>
        <w:t>施抢险救灾</w:t>
      </w:r>
      <w:r>
        <w:rPr>
          <w:rFonts w:ascii="宋体" w:hAnsi="宋体" w:eastAsia="宋体" w:cs="宋体"/>
          <w:sz w:val="24"/>
          <w:szCs w:val="24"/>
        </w:rPr>
        <w:t xml:space="preserve"> </w:t>
      </w:r>
      <w:r>
        <w:rPr>
          <w:rFonts w:ascii="宋体" w:hAnsi="宋体" w:eastAsia="宋体" w:cs="宋体"/>
          <w:spacing w:val="-3"/>
          <w:sz w:val="24"/>
          <w:szCs w:val="24"/>
        </w:rPr>
        <w:t>方案和安全技术措施，对事故危害程度和范围、发展趋势做出预测，及时处理突</w:t>
      </w:r>
      <w:r>
        <w:rPr>
          <w:rFonts w:ascii="宋体" w:hAnsi="宋体" w:eastAsia="宋体" w:cs="宋体"/>
          <w:sz w:val="24"/>
          <w:szCs w:val="24"/>
        </w:rPr>
        <w:t xml:space="preserve"> 发灾变；知道应急救援队伍进行应急处理与处置</w:t>
      </w:r>
      <w:r>
        <w:rPr>
          <w:rFonts w:ascii="宋体" w:hAnsi="宋体" w:eastAsia="宋体" w:cs="宋体"/>
          <w:spacing w:val="-1"/>
          <w:sz w:val="24"/>
          <w:szCs w:val="24"/>
        </w:rPr>
        <w:t>；提出事故防范措施建议。</w:t>
      </w:r>
    </w:p>
    <w:p w14:paraId="4AEC5627">
      <w:pPr>
        <w:spacing w:before="182" w:line="290" w:lineRule="auto"/>
        <w:ind w:left="24" w:right="58" w:firstLine="477"/>
        <w:rPr>
          <w:rFonts w:ascii="宋体" w:hAnsi="宋体" w:eastAsia="宋体" w:cs="宋体"/>
          <w:sz w:val="24"/>
          <w:szCs w:val="24"/>
        </w:rPr>
      </w:pPr>
      <w:r>
        <w:rPr>
          <w:rFonts w:ascii="宋体" w:hAnsi="宋体" w:eastAsia="宋体" w:cs="宋体"/>
          <w:spacing w:val="-3"/>
          <w:sz w:val="24"/>
          <w:szCs w:val="24"/>
        </w:rPr>
        <w:t>②技术专家组：由公司总工程师任组长，负责进行事故原因分析，</w:t>
      </w:r>
      <w:r>
        <w:rPr>
          <w:rFonts w:ascii="宋体" w:hAnsi="宋体" w:eastAsia="宋体" w:cs="宋体"/>
          <w:spacing w:val="-4"/>
          <w:sz w:val="24"/>
          <w:szCs w:val="24"/>
        </w:rPr>
        <w:t>主要研究</w:t>
      </w:r>
      <w:r>
        <w:rPr>
          <w:rFonts w:ascii="宋体" w:hAnsi="宋体" w:eastAsia="宋体" w:cs="宋体"/>
          <w:sz w:val="24"/>
          <w:szCs w:val="24"/>
        </w:rPr>
        <w:t xml:space="preserve"> </w:t>
      </w:r>
      <w:r>
        <w:rPr>
          <w:rFonts w:ascii="宋体" w:hAnsi="宋体" w:eastAsia="宋体" w:cs="宋体"/>
          <w:spacing w:val="-1"/>
          <w:sz w:val="24"/>
          <w:szCs w:val="24"/>
        </w:rPr>
        <w:t>制定抢救技术方案和措施，解决事故抢救过程中遇到的技术难题。</w:t>
      </w:r>
    </w:p>
    <w:p w14:paraId="1882A49F">
      <w:pPr>
        <w:spacing w:before="182" w:line="290" w:lineRule="auto"/>
        <w:ind w:left="24" w:right="58" w:firstLine="477"/>
        <w:rPr>
          <w:rFonts w:ascii="宋体" w:hAnsi="宋体" w:eastAsia="宋体" w:cs="宋体"/>
          <w:sz w:val="24"/>
          <w:szCs w:val="24"/>
        </w:rPr>
      </w:pPr>
      <w:r>
        <w:rPr>
          <w:rFonts w:ascii="宋体" w:hAnsi="宋体" w:eastAsia="宋体" w:cs="宋体"/>
          <w:spacing w:val="-3"/>
          <w:sz w:val="24"/>
          <w:szCs w:val="24"/>
        </w:rPr>
        <w:t>③抢险救护组：由公司公司分管环保工作的副总经理任组长，负责</w:t>
      </w:r>
      <w:r>
        <w:rPr>
          <w:rFonts w:ascii="宋体" w:hAnsi="宋体" w:eastAsia="宋体" w:cs="宋体"/>
          <w:spacing w:val="-4"/>
          <w:sz w:val="24"/>
          <w:szCs w:val="24"/>
        </w:rPr>
        <w:t>按照抢险</w:t>
      </w:r>
      <w:r>
        <w:rPr>
          <w:rFonts w:ascii="宋体" w:hAnsi="宋体" w:eastAsia="宋体" w:cs="宋体"/>
          <w:sz w:val="24"/>
          <w:szCs w:val="24"/>
        </w:rPr>
        <w:t xml:space="preserve"> </w:t>
      </w:r>
      <w:r>
        <w:rPr>
          <w:rFonts w:ascii="宋体" w:hAnsi="宋体" w:eastAsia="宋体" w:cs="宋体"/>
          <w:spacing w:val="-1"/>
          <w:sz w:val="24"/>
          <w:szCs w:val="24"/>
        </w:rPr>
        <w:t>方案，组织实施现场探险、抢险救援行动。</w:t>
      </w:r>
    </w:p>
    <w:p w14:paraId="1C1E4718">
      <w:pPr>
        <w:spacing w:line="290" w:lineRule="auto"/>
        <w:rPr>
          <w:rFonts w:ascii="宋体" w:hAnsi="宋体" w:eastAsia="宋体" w:cs="宋体"/>
          <w:sz w:val="24"/>
          <w:szCs w:val="24"/>
        </w:rPr>
        <w:sectPr>
          <w:headerReference r:id="rId354" w:type="default"/>
          <w:footerReference r:id="rId355" w:type="default"/>
          <w:pgSz w:w="11906" w:h="16839"/>
          <w:pgMar w:top="1208" w:right="1740" w:bottom="1358" w:left="1785" w:header="825" w:footer="1195" w:gutter="0"/>
          <w:cols w:space="720" w:num="1"/>
        </w:sectPr>
      </w:pPr>
    </w:p>
    <w:p w14:paraId="07A6DEFA">
      <w:pPr>
        <w:pStyle w:val="2"/>
        <w:spacing w:line="264" w:lineRule="auto"/>
      </w:pPr>
    </w:p>
    <w:p w14:paraId="4B44744A">
      <w:pPr>
        <w:spacing w:before="78" w:line="290" w:lineRule="auto"/>
        <w:ind w:left="24" w:right="80" w:firstLine="477"/>
        <w:rPr>
          <w:rFonts w:ascii="宋体" w:hAnsi="宋体" w:eastAsia="宋体" w:cs="宋体"/>
          <w:sz w:val="24"/>
          <w:szCs w:val="24"/>
        </w:rPr>
      </w:pPr>
      <w:r>
        <w:rPr>
          <w:rFonts w:ascii="宋体" w:hAnsi="宋体" w:eastAsia="宋体" w:cs="宋体"/>
          <w:spacing w:val="-3"/>
          <w:sz w:val="24"/>
          <w:szCs w:val="24"/>
        </w:rPr>
        <w:t>④医疗救护组：由公司副经理任组长，主要负责指导现场抢救人员</w:t>
      </w:r>
      <w:r>
        <w:rPr>
          <w:rFonts w:ascii="宋体" w:hAnsi="宋体" w:eastAsia="宋体" w:cs="宋体"/>
          <w:spacing w:val="-4"/>
          <w:sz w:val="24"/>
          <w:szCs w:val="24"/>
        </w:rPr>
        <w:t>采取正确</w:t>
      </w:r>
      <w:r>
        <w:rPr>
          <w:rFonts w:ascii="宋体" w:hAnsi="宋体" w:eastAsia="宋体" w:cs="宋体"/>
          <w:sz w:val="24"/>
          <w:szCs w:val="24"/>
        </w:rPr>
        <w:t xml:space="preserve"> </w:t>
      </w:r>
      <w:r>
        <w:rPr>
          <w:rFonts w:ascii="宋体" w:hAnsi="宋体" w:eastAsia="宋体" w:cs="宋体"/>
          <w:spacing w:val="-2"/>
          <w:sz w:val="24"/>
          <w:szCs w:val="24"/>
        </w:rPr>
        <w:t>有效的方法进行急救。</w:t>
      </w:r>
    </w:p>
    <w:p w14:paraId="7E63B080">
      <w:pPr>
        <w:spacing w:before="183" w:line="313" w:lineRule="auto"/>
        <w:ind w:left="23" w:right="80" w:firstLine="478"/>
        <w:rPr>
          <w:rFonts w:ascii="宋体" w:hAnsi="宋体" w:eastAsia="宋体" w:cs="宋体"/>
          <w:sz w:val="24"/>
          <w:szCs w:val="24"/>
        </w:rPr>
      </w:pPr>
      <w:r>
        <w:rPr>
          <w:rFonts w:ascii="宋体" w:hAnsi="宋体" w:eastAsia="宋体" w:cs="宋体"/>
          <w:spacing w:val="-3"/>
          <w:sz w:val="24"/>
          <w:szCs w:val="24"/>
        </w:rPr>
        <w:t>⑤后勤保障组：由分管销售副总经理任组长，负责应急所需材料和</w:t>
      </w:r>
      <w:r>
        <w:rPr>
          <w:rFonts w:ascii="宋体" w:hAnsi="宋体" w:eastAsia="宋体" w:cs="宋体"/>
          <w:spacing w:val="-4"/>
          <w:sz w:val="24"/>
          <w:szCs w:val="24"/>
        </w:rPr>
        <w:t>设备的储</w:t>
      </w:r>
      <w:r>
        <w:rPr>
          <w:rFonts w:ascii="宋体" w:hAnsi="宋体" w:eastAsia="宋体" w:cs="宋体"/>
          <w:sz w:val="24"/>
          <w:szCs w:val="24"/>
        </w:rPr>
        <w:t xml:space="preserve"> </w:t>
      </w:r>
      <w:r>
        <w:rPr>
          <w:rFonts w:ascii="宋体" w:hAnsi="宋体" w:eastAsia="宋体" w:cs="宋体"/>
          <w:spacing w:val="-3"/>
          <w:sz w:val="24"/>
          <w:szCs w:val="24"/>
        </w:rPr>
        <w:t>备，为井下抢险救灾提供应急材料和设备，并提供运输保障；通讯保障、电力供</w:t>
      </w:r>
      <w:r>
        <w:rPr>
          <w:rFonts w:ascii="宋体" w:hAnsi="宋体" w:eastAsia="宋体" w:cs="宋体"/>
          <w:spacing w:val="1"/>
          <w:sz w:val="24"/>
          <w:szCs w:val="24"/>
        </w:rPr>
        <w:t xml:space="preserve"> </w:t>
      </w:r>
      <w:r>
        <w:rPr>
          <w:rFonts w:ascii="宋体" w:hAnsi="宋体" w:eastAsia="宋体" w:cs="宋体"/>
          <w:sz w:val="24"/>
          <w:szCs w:val="24"/>
        </w:rPr>
        <w:t>应、抢险费用的计划和拨付并监督资金使用</w:t>
      </w:r>
      <w:r>
        <w:rPr>
          <w:rFonts w:ascii="宋体" w:hAnsi="宋体" w:eastAsia="宋体" w:cs="宋体"/>
          <w:spacing w:val="-1"/>
          <w:sz w:val="24"/>
          <w:szCs w:val="24"/>
        </w:rPr>
        <w:t>情况，车辆调度等工作。</w:t>
      </w:r>
    </w:p>
    <w:p w14:paraId="748349F2">
      <w:pPr>
        <w:spacing w:before="181" w:line="290" w:lineRule="auto"/>
        <w:ind w:left="24" w:right="18" w:firstLine="477"/>
        <w:rPr>
          <w:rFonts w:ascii="宋体" w:hAnsi="宋体" w:eastAsia="宋体" w:cs="宋体"/>
          <w:sz w:val="24"/>
          <w:szCs w:val="24"/>
        </w:rPr>
      </w:pPr>
      <w:r>
        <w:rPr>
          <w:rFonts w:ascii="宋体" w:hAnsi="宋体" w:eastAsia="宋体" w:cs="宋体"/>
          <w:spacing w:val="-8"/>
          <w:sz w:val="24"/>
          <w:szCs w:val="24"/>
        </w:rPr>
        <w:t>⑥保卫警戒组：由保安队队长任组长，负责抢险救灾工作</w:t>
      </w:r>
      <w:r>
        <w:rPr>
          <w:rFonts w:ascii="宋体" w:hAnsi="宋体" w:eastAsia="宋体" w:cs="宋体"/>
          <w:spacing w:val="-9"/>
          <w:sz w:val="24"/>
          <w:szCs w:val="24"/>
        </w:rPr>
        <w:t>中的地面警戒设置，</w:t>
      </w:r>
      <w:r>
        <w:rPr>
          <w:rFonts w:ascii="宋体" w:hAnsi="宋体" w:eastAsia="宋体" w:cs="宋体"/>
          <w:sz w:val="24"/>
          <w:szCs w:val="24"/>
        </w:rPr>
        <w:t xml:space="preserve"> </w:t>
      </w:r>
      <w:r>
        <w:rPr>
          <w:rFonts w:ascii="宋体" w:hAnsi="宋体" w:eastAsia="宋体" w:cs="宋体"/>
          <w:spacing w:val="-1"/>
          <w:sz w:val="24"/>
          <w:szCs w:val="24"/>
        </w:rPr>
        <w:t>疏散人员，维持秩序和矿区治安。</w:t>
      </w:r>
    </w:p>
    <w:p w14:paraId="0C180D66">
      <w:pPr>
        <w:spacing w:before="183" w:line="313" w:lineRule="auto"/>
        <w:ind w:left="23" w:right="80" w:firstLine="478"/>
        <w:rPr>
          <w:rFonts w:ascii="宋体" w:hAnsi="宋体" w:eastAsia="宋体" w:cs="宋体"/>
          <w:sz w:val="24"/>
          <w:szCs w:val="24"/>
        </w:rPr>
      </w:pPr>
      <w:r>
        <w:rPr>
          <w:rFonts w:ascii="宋体" w:hAnsi="宋体" w:eastAsia="宋体" w:cs="宋体"/>
          <w:spacing w:val="-3"/>
          <w:sz w:val="24"/>
          <w:szCs w:val="24"/>
        </w:rPr>
        <w:t>⑦事故调查组：由公司分管环保工作的副总经理任组长，主要负责</w:t>
      </w:r>
      <w:r>
        <w:rPr>
          <w:rFonts w:ascii="宋体" w:hAnsi="宋体" w:eastAsia="宋体" w:cs="宋体"/>
          <w:spacing w:val="-4"/>
          <w:sz w:val="24"/>
          <w:szCs w:val="24"/>
        </w:rPr>
        <w:t>对事故进</w:t>
      </w:r>
      <w:r>
        <w:rPr>
          <w:rFonts w:ascii="宋体" w:hAnsi="宋体" w:eastAsia="宋体" w:cs="宋体"/>
          <w:sz w:val="24"/>
          <w:szCs w:val="24"/>
        </w:rPr>
        <w:t xml:space="preserve"> </w:t>
      </w:r>
      <w:r>
        <w:rPr>
          <w:rFonts w:ascii="宋体" w:hAnsi="宋体" w:eastAsia="宋体" w:cs="宋体"/>
          <w:spacing w:val="-3"/>
          <w:sz w:val="24"/>
          <w:szCs w:val="24"/>
        </w:rPr>
        <w:t>行现场勘查、调查取证；协助和配合上级有关部门对事故进行调查分析；协助和</w:t>
      </w:r>
      <w:r>
        <w:rPr>
          <w:rFonts w:ascii="宋体" w:hAnsi="宋体" w:eastAsia="宋体" w:cs="宋体"/>
          <w:spacing w:val="1"/>
          <w:sz w:val="24"/>
          <w:szCs w:val="24"/>
        </w:rPr>
        <w:t xml:space="preserve"> </w:t>
      </w:r>
      <w:r>
        <w:rPr>
          <w:rFonts w:ascii="宋体" w:hAnsi="宋体" w:eastAsia="宋体" w:cs="宋体"/>
          <w:spacing w:val="-1"/>
          <w:sz w:val="24"/>
          <w:szCs w:val="24"/>
        </w:rPr>
        <w:t>配合上级有关部门对事故进行处理。</w:t>
      </w:r>
    </w:p>
    <w:p w14:paraId="36E40355">
      <w:pPr>
        <w:spacing w:before="181" w:line="313" w:lineRule="auto"/>
        <w:ind w:left="22" w:right="18" w:firstLine="479"/>
        <w:rPr>
          <w:rFonts w:ascii="宋体" w:hAnsi="宋体" w:eastAsia="宋体" w:cs="宋体"/>
          <w:sz w:val="24"/>
          <w:szCs w:val="24"/>
        </w:rPr>
      </w:pPr>
      <w:r>
        <w:rPr>
          <w:rFonts w:ascii="宋体" w:hAnsi="宋体" w:eastAsia="宋体" w:cs="宋体"/>
          <w:spacing w:val="-8"/>
          <w:sz w:val="24"/>
          <w:szCs w:val="24"/>
        </w:rPr>
        <w:t>⑧信息发布组：由公司分管环保工作的副总经理任组长，</w:t>
      </w:r>
      <w:r>
        <w:rPr>
          <w:rFonts w:ascii="宋体" w:hAnsi="宋体" w:eastAsia="宋体" w:cs="宋体"/>
          <w:spacing w:val="-9"/>
          <w:sz w:val="24"/>
          <w:szCs w:val="24"/>
        </w:rPr>
        <w:t>负责信息发布工作，</w:t>
      </w:r>
      <w:r>
        <w:rPr>
          <w:rFonts w:ascii="宋体" w:hAnsi="宋体" w:eastAsia="宋体" w:cs="宋体"/>
          <w:sz w:val="24"/>
          <w:szCs w:val="24"/>
        </w:rPr>
        <w:t xml:space="preserve"> </w:t>
      </w:r>
      <w:r>
        <w:rPr>
          <w:rFonts w:ascii="宋体" w:hAnsi="宋体" w:eastAsia="宋体" w:cs="宋体"/>
          <w:spacing w:val="-3"/>
          <w:sz w:val="24"/>
          <w:szCs w:val="24"/>
        </w:rPr>
        <w:t>及时与新闻媒体联系，协助做好事故现场新闻发布工作，正确引导媒体和公众舆</w:t>
      </w:r>
      <w:r>
        <w:rPr>
          <w:rFonts w:ascii="宋体" w:hAnsi="宋体" w:eastAsia="宋体" w:cs="宋体"/>
          <w:spacing w:val="1"/>
          <w:sz w:val="24"/>
          <w:szCs w:val="24"/>
        </w:rPr>
        <w:t xml:space="preserve"> </w:t>
      </w:r>
      <w:r>
        <w:rPr>
          <w:rFonts w:ascii="宋体" w:hAnsi="宋体" w:eastAsia="宋体" w:cs="宋体"/>
          <w:spacing w:val="-1"/>
          <w:sz w:val="24"/>
          <w:szCs w:val="24"/>
        </w:rPr>
        <w:t>论，负责事故调查报告起草工作。</w:t>
      </w:r>
    </w:p>
    <w:p w14:paraId="570C34E9">
      <w:pPr>
        <w:spacing w:before="185" w:line="290" w:lineRule="auto"/>
        <w:ind w:left="26" w:right="80" w:firstLine="475"/>
        <w:rPr>
          <w:rFonts w:ascii="宋体" w:hAnsi="宋体" w:eastAsia="宋体" w:cs="宋体"/>
          <w:sz w:val="24"/>
          <w:szCs w:val="24"/>
        </w:rPr>
      </w:pPr>
      <w:r>
        <w:rPr>
          <w:rFonts w:ascii="宋体" w:hAnsi="宋体" w:eastAsia="宋体" w:cs="宋体"/>
          <w:spacing w:val="-3"/>
          <w:sz w:val="24"/>
          <w:szCs w:val="24"/>
        </w:rPr>
        <w:t>⑨善后处理组：由财务部部长任组长，负责伤亡人员家属安抚、抚</w:t>
      </w:r>
      <w:r>
        <w:rPr>
          <w:rFonts w:ascii="宋体" w:hAnsi="宋体" w:eastAsia="宋体" w:cs="宋体"/>
          <w:spacing w:val="-4"/>
          <w:sz w:val="24"/>
          <w:szCs w:val="24"/>
        </w:rPr>
        <w:t>恤等善后</w:t>
      </w:r>
      <w:r>
        <w:rPr>
          <w:rFonts w:ascii="宋体" w:hAnsi="宋体" w:eastAsia="宋体" w:cs="宋体"/>
          <w:sz w:val="24"/>
          <w:szCs w:val="24"/>
        </w:rPr>
        <w:t xml:space="preserve"> </w:t>
      </w:r>
      <w:r>
        <w:rPr>
          <w:rFonts w:ascii="宋体" w:hAnsi="宋体" w:eastAsia="宋体" w:cs="宋体"/>
          <w:spacing w:val="-5"/>
          <w:sz w:val="24"/>
          <w:szCs w:val="24"/>
        </w:rPr>
        <w:t>工作。</w:t>
      </w:r>
    </w:p>
    <w:p w14:paraId="09112FA3">
      <w:pPr>
        <w:spacing w:before="182" w:line="219"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）应急预案内容</w:t>
      </w:r>
    </w:p>
    <w:p w14:paraId="615EF489">
      <w:pPr>
        <w:spacing w:before="183" w:line="360" w:lineRule="auto"/>
        <w:ind w:left="23" w:right="80" w:firstLine="482"/>
        <w:jc w:val="both"/>
        <w:rPr>
          <w:rFonts w:ascii="宋体" w:hAnsi="宋体" w:eastAsia="宋体" w:cs="宋体"/>
          <w:sz w:val="24"/>
          <w:szCs w:val="24"/>
        </w:rPr>
      </w:pPr>
      <w:r>
        <w:rPr>
          <w:rFonts w:ascii="宋体" w:hAnsi="宋体" w:eastAsia="宋体" w:cs="宋体"/>
          <w:spacing w:val="-3"/>
          <w:sz w:val="24"/>
          <w:szCs w:val="24"/>
        </w:rPr>
        <w:t>建设单位应对本次评价提出的可能的环境事故，分别编制</w:t>
      </w:r>
      <w:r>
        <w:rPr>
          <w:rFonts w:ascii="宋体" w:hAnsi="宋体" w:eastAsia="宋体" w:cs="宋体"/>
          <w:spacing w:val="-4"/>
          <w:sz w:val="24"/>
          <w:szCs w:val="24"/>
        </w:rPr>
        <w:t>应急预案。从应急</w:t>
      </w:r>
      <w:r>
        <w:rPr>
          <w:rFonts w:ascii="宋体" w:hAnsi="宋体" w:eastAsia="宋体" w:cs="宋体"/>
          <w:sz w:val="24"/>
          <w:szCs w:val="24"/>
        </w:rPr>
        <w:t xml:space="preserve"> </w:t>
      </w:r>
      <w:r>
        <w:rPr>
          <w:rFonts w:ascii="宋体" w:hAnsi="宋体" w:eastAsia="宋体" w:cs="宋体"/>
          <w:spacing w:val="-3"/>
          <w:sz w:val="24"/>
          <w:szCs w:val="24"/>
        </w:rPr>
        <w:t>工作程序上，可以分为预防预警、应急响应、应急处理、应急终止、信息发布五</w:t>
      </w:r>
      <w:r>
        <w:rPr>
          <w:rFonts w:ascii="宋体" w:hAnsi="宋体" w:eastAsia="宋体" w:cs="宋体"/>
          <w:spacing w:val="1"/>
          <w:sz w:val="24"/>
          <w:szCs w:val="24"/>
        </w:rPr>
        <w:t xml:space="preserve"> </w:t>
      </w:r>
      <w:r>
        <w:rPr>
          <w:rFonts w:ascii="宋体" w:hAnsi="宋体" w:eastAsia="宋体" w:cs="宋体"/>
          <w:spacing w:val="-3"/>
          <w:sz w:val="24"/>
          <w:szCs w:val="24"/>
        </w:rPr>
        <w:t>个步骤。建设单位编制的环境事故应急预案应对以下内容进行细化，并明确各项</w:t>
      </w:r>
      <w:r>
        <w:rPr>
          <w:rFonts w:ascii="宋体" w:hAnsi="宋体" w:eastAsia="宋体" w:cs="宋体"/>
          <w:spacing w:val="1"/>
          <w:sz w:val="24"/>
          <w:szCs w:val="24"/>
        </w:rPr>
        <w:t xml:space="preserve"> </w:t>
      </w:r>
      <w:r>
        <w:rPr>
          <w:rFonts w:ascii="宋体" w:hAnsi="宋体" w:eastAsia="宋体" w:cs="宋体"/>
          <w:spacing w:val="-2"/>
          <w:sz w:val="24"/>
          <w:szCs w:val="24"/>
        </w:rPr>
        <w:t>工作的责任人。</w:t>
      </w:r>
    </w:p>
    <w:p w14:paraId="23849E98">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）预防预警</w:t>
      </w:r>
    </w:p>
    <w:p w14:paraId="796B18C7">
      <w:pPr>
        <w:spacing w:before="182" w:line="360" w:lineRule="auto"/>
        <w:ind w:left="29" w:firstLine="475"/>
        <w:rPr>
          <w:rFonts w:ascii="宋体" w:hAnsi="宋体" w:eastAsia="宋体" w:cs="宋体"/>
          <w:sz w:val="24"/>
          <w:szCs w:val="24"/>
        </w:rPr>
      </w:pPr>
      <w:r>
        <w:rPr>
          <w:rFonts w:ascii="宋体" w:hAnsi="宋体" w:eastAsia="宋体" w:cs="宋体"/>
          <w:spacing w:val="-1"/>
          <w:sz w:val="24"/>
          <w:szCs w:val="24"/>
        </w:rPr>
        <w:t>预防与预警是处理环境安全突发事件的必要前提。根据突发事件的严重性、</w:t>
      </w:r>
      <w:r>
        <w:rPr>
          <w:rFonts w:ascii="宋体" w:hAnsi="宋体" w:eastAsia="宋体" w:cs="宋体"/>
          <w:spacing w:val="7"/>
          <w:sz w:val="24"/>
          <w:szCs w:val="24"/>
        </w:rPr>
        <w:t xml:space="preserve"> </w:t>
      </w:r>
      <w:r>
        <w:rPr>
          <w:rFonts w:ascii="宋体" w:hAnsi="宋体" w:eastAsia="宋体" w:cs="宋体"/>
          <w:spacing w:val="-3"/>
          <w:sz w:val="24"/>
          <w:szCs w:val="24"/>
        </w:rPr>
        <w:t>紧急程度和可能波及的范围，划分预警级别，并根据事态的发展情</w:t>
      </w:r>
      <w:r>
        <w:rPr>
          <w:rFonts w:ascii="宋体" w:hAnsi="宋体" w:eastAsia="宋体" w:cs="宋体"/>
          <w:spacing w:val="-4"/>
          <w:sz w:val="24"/>
          <w:szCs w:val="24"/>
        </w:rPr>
        <w:t>况和采取措施</w:t>
      </w:r>
      <w:r>
        <w:rPr>
          <w:rFonts w:ascii="宋体" w:hAnsi="宋体" w:eastAsia="宋体" w:cs="宋体"/>
          <w:sz w:val="24"/>
          <w:szCs w:val="24"/>
        </w:rPr>
        <w:t xml:space="preserve"> </w:t>
      </w:r>
      <w:r>
        <w:rPr>
          <w:rFonts w:ascii="宋体" w:hAnsi="宋体" w:eastAsia="宋体" w:cs="宋体"/>
          <w:spacing w:val="-1"/>
          <w:sz w:val="24"/>
          <w:szCs w:val="24"/>
        </w:rPr>
        <w:t>的效果，提高或者降低应急预警级别。</w:t>
      </w:r>
    </w:p>
    <w:p w14:paraId="111FEDC3">
      <w:pPr>
        <w:spacing w:before="1" w:line="221"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）应急响应</w:t>
      </w:r>
    </w:p>
    <w:p w14:paraId="4DAA59A8">
      <w:pPr>
        <w:spacing w:before="180" w:line="360" w:lineRule="auto"/>
        <w:ind w:left="24" w:firstLine="479"/>
        <w:rPr>
          <w:rFonts w:ascii="宋体" w:hAnsi="宋体" w:eastAsia="宋体" w:cs="宋体"/>
          <w:sz w:val="24"/>
          <w:szCs w:val="24"/>
        </w:rPr>
      </w:pPr>
      <w:r>
        <w:rPr>
          <w:rFonts w:ascii="宋体" w:hAnsi="宋体" w:eastAsia="宋体" w:cs="宋体"/>
          <w:spacing w:val="-3"/>
          <w:sz w:val="24"/>
          <w:szCs w:val="24"/>
        </w:rPr>
        <w:t>环境安全突发事件发生后，应立即启动并实施相应应急预案，及</w:t>
      </w:r>
      <w:r>
        <w:rPr>
          <w:rFonts w:ascii="宋体" w:hAnsi="宋体" w:eastAsia="宋体" w:cs="宋体"/>
          <w:spacing w:val="-4"/>
          <w:sz w:val="24"/>
          <w:szCs w:val="24"/>
        </w:rPr>
        <w:t>时向当地环</w:t>
      </w:r>
      <w:r>
        <w:rPr>
          <w:rFonts w:ascii="宋体" w:hAnsi="宋体" w:eastAsia="宋体" w:cs="宋体"/>
          <w:sz w:val="24"/>
          <w:szCs w:val="24"/>
        </w:rPr>
        <w:t xml:space="preserve"> </w:t>
      </w:r>
      <w:r>
        <w:rPr>
          <w:rFonts w:ascii="宋体" w:hAnsi="宋体" w:eastAsia="宋体" w:cs="宋体"/>
          <w:spacing w:val="-3"/>
          <w:sz w:val="24"/>
          <w:szCs w:val="24"/>
        </w:rPr>
        <w:t>保部门、政府上报；同时，启动建设单位应急专业指挥机构；应急救援力量应立</w:t>
      </w:r>
      <w:r>
        <w:rPr>
          <w:rFonts w:ascii="宋体" w:hAnsi="宋体" w:eastAsia="宋体" w:cs="宋体"/>
          <w:sz w:val="24"/>
          <w:szCs w:val="24"/>
        </w:rPr>
        <w:t xml:space="preserve"> </w:t>
      </w:r>
      <w:r>
        <w:rPr>
          <w:rFonts w:ascii="宋体" w:hAnsi="宋体" w:eastAsia="宋体" w:cs="宋体"/>
          <w:spacing w:val="-7"/>
          <w:sz w:val="24"/>
          <w:szCs w:val="24"/>
        </w:rPr>
        <w:t>即开展应急救援工作；需要其他应急救援力量支援时</w:t>
      </w:r>
      <w:r>
        <w:rPr>
          <w:rFonts w:ascii="宋体" w:hAnsi="宋体" w:eastAsia="宋体" w:cs="宋体"/>
          <w:spacing w:val="-8"/>
          <w:sz w:val="24"/>
          <w:szCs w:val="24"/>
        </w:rPr>
        <w:t>，应及时向镇政府提出申请。</w:t>
      </w:r>
    </w:p>
    <w:p w14:paraId="719AC8AD">
      <w:pPr>
        <w:spacing w:line="221"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）应急处理</w:t>
      </w:r>
    </w:p>
    <w:p w14:paraId="782F3AF5">
      <w:pPr>
        <w:spacing w:line="221" w:lineRule="auto"/>
        <w:rPr>
          <w:rFonts w:ascii="宋体" w:hAnsi="宋体" w:eastAsia="宋体" w:cs="宋体"/>
          <w:sz w:val="24"/>
          <w:szCs w:val="24"/>
        </w:rPr>
        <w:sectPr>
          <w:headerReference r:id="rId356" w:type="default"/>
          <w:footerReference r:id="rId357" w:type="default"/>
          <w:pgSz w:w="11906" w:h="16839"/>
          <w:pgMar w:top="1208" w:right="1719" w:bottom="1358" w:left="1785" w:header="825" w:footer="1195" w:gutter="0"/>
          <w:cols w:space="720" w:num="1"/>
        </w:sectPr>
      </w:pPr>
    </w:p>
    <w:p w14:paraId="5C26BCF6">
      <w:pPr>
        <w:pStyle w:val="2"/>
        <w:spacing w:line="265" w:lineRule="auto"/>
      </w:pPr>
    </w:p>
    <w:p w14:paraId="5DB5E6B8">
      <w:pPr>
        <w:spacing w:before="78" w:line="360" w:lineRule="auto"/>
        <w:ind w:left="127" w:right="115" w:firstLine="478"/>
        <w:rPr>
          <w:rFonts w:ascii="宋体" w:hAnsi="宋体" w:eastAsia="宋体" w:cs="宋体"/>
          <w:sz w:val="24"/>
          <w:szCs w:val="24"/>
        </w:rPr>
      </w:pPr>
      <w:r>
        <w:rPr>
          <w:rFonts w:ascii="宋体" w:hAnsi="宋体" w:eastAsia="宋体" w:cs="宋体"/>
          <w:spacing w:val="-3"/>
          <w:sz w:val="24"/>
          <w:szCs w:val="24"/>
        </w:rPr>
        <w:t>对各类环境事故，根据相应的救援方案进行救援的处理，同时应</w:t>
      </w:r>
      <w:r>
        <w:rPr>
          <w:rFonts w:ascii="宋体" w:hAnsi="宋体" w:eastAsia="宋体" w:cs="宋体"/>
          <w:spacing w:val="-4"/>
          <w:sz w:val="24"/>
          <w:szCs w:val="24"/>
        </w:rPr>
        <w:t>进行应急环</w:t>
      </w:r>
      <w:r>
        <w:rPr>
          <w:rFonts w:ascii="宋体" w:hAnsi="宋体" w:eastAsia="宋体" w:cs="宋体"/>
          <w:sz w:val="24"/>
          <w:szCs w:val="24"/>
        </w:rPr>
        <w:t xml:space="preserve"> </w:t>
      </w:r>
      <w:r>
        <w:rPr>
          <w:rFonts w:ascii="宋体" w:hAnsi="宋体" w:eastAsia="宋体" w:cs="宋体"/>
          <w:spacing w:val="-1"/>
          <w:sz w:val="24"/>
          <w:szCs w:val="24"/>
        </w:rPr>
        <w:t>境监测。本次评价提出应急环境监测方案，供建设单位参考，见表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8.7-5</w:t>
      </w:r>
      <w:r>
        <w:rPr>
          <w:rFonts w:ascii="宋体" w:hAnsi="宋体" w:eastAsia="宋体" w:cs="宋体"/>
          <w:spacing w:val="-1"/>
          <w:sz w:val="24"/>
          <w:szCs w:val="24"/>
        </w:rPr>
        <w:t>。</w:t>
      </w:r>
    </w:p>
    <w:p w14:paraId="4B94EC5E">
      <w:pPr>
        <w:spacing w:line="218" w:lineRule="auto"/>
        <w:ind w:left="255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8.7-5        </w:t>
      </w:r>
      <w:r>
        <w:rPr>
          <w:rFonts w:ascii="宋体" w:hAnsi="宋体" w:eastAsia="宋体" w:cs="宋体"/>
          <w:spacing w:val="-1"/>
          <w:sz w:val="24"/>
          <w:szCs w:val="24"/>
        </w:rPr>
        <w:t>本项目应急环境监测方案</w:t>
      </w:r>
    </w:p>
    <w:p w14:paraId="7BD39941">
      <w:pPr>
        <w:spacing w:line="69" w:lineRule="exact"/>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2"/>
        <w:gridCol w:w="1446"/>
        <w:gridCol w:w="1445"/>
        <w:gridCol w:w="1445"/>
        <w:gridCol w:w="1274"/>
        <w:gridCol w:w="1621"/>
      </w:tblGrid>
      <w:tr w14:paraId="4AB33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748" w:type="dxa"/>
            <w:gridSpan w:val="2"/>
            <w:vAlign w:val="top"/>
          </w:tcPr>
          <w:p w14:paraId="5E9B26FC">
            <w:pPr>
              <w:pStyle w:val="6"/>
              <w:spacing w:before="70" w:line="228" w:lineRule="auto"/>
              <w:ind w:left="960"/>
            </w:pPr>
            <w:r>
              <w:rPr>
                <w:spacing w:val="7"/>
              </w:rPr>
              <w:t>监测内容</w:t>
            </w:r>
          </w:p>
        </w:tc>
        <w:tc>
          <w:tcPr>
            <w:tcW w:w="1445" w:type="dxa"/>
            <w:vAlign w:val="top"/>
          </w:tcPr>
          <w:p w14:paraId="6EDFE7CC">
            <w:pPr>
              <w:pStyle w:val="6"/>
              <w:spacing w:before="70" w:line="227" w:lineRule="auto"/>
              <w:ind w:left="307"/>
            </w:pPr>
            <w:r>
              <w:rPr>
                <w:spacing w:val="7"/>
              </w:rPr>
              <w:t>监测布设</w:t>
            </w:r>
          </w:p>
        </w:tc>
        <w:tc>
          <w:tcPr>
            <w:tcW w:w="1445" w:type="dxa"/>
            <w:vAlign w:val="top"/>
          </w:tcPr>
          <w:p w14:paraId="76F6FADF">
            <w:pPr>
              <w:pStyle w:val="6"/>
              <w:spacing w:before="71" w:line="228" w:lineRule="auto"/>
              <w:ind w:left="310"/>
            </w:pPr>
            <w:r>
              <w:rPr>
                <w:spacing w:val="7"/>
              </w:rPr>
              <w:t>监测项目</w:t>
            </w:r>
          </w:p>
        </w:tc>
        <w:tc>
          <w:tcPr>
            <w:tcW w:w="1274" w:type="dxa"/>
            <w:vAlign w:val="top"/>
          </w:tcPr>
          <w:p w14:paraId="2B8888CB">
            <w:pPr>
              <w:pStyle w:val="6"/>
              <w:spacing w:before="70" w:line="228" w:lineRule="auto"/>
              <w:ind w:left="223"/>
            </w:pPr>
            <w:r>
              <w:rPr>
                <w:spacing w:val="7"/>
              </w:rPr>
              <w:t>监测频次</w:t>
            </w:r>
          </w:p>
        </w:tc>
        <w:tc>
          <w:tcPr>
            <w:tcW w:w="1621" w:type="dxa"/>
            <w:vAlign w:val="top"/>
          </w:tcPr>
          <w:p w14:paraId="248FF0AA">
            <w:pPr>
              <w:pStyle w:val="6"/>
              <w:spacing w:before="70" w:line="229" w:lineRule="auto"/>
              <w:ind w:left="607"/>
            </w:pPr>
            <w:r>
              <w:rPr>
                <w:spacing w:val="3"/>
              </w:rPr>
              <w:t>备注</w:t>
            </w:r>
          </w:p>
        </w:tc>
      </w:tr>
      <w:tr w14:paraId="5E26E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02" w:type="dxa"/>
            <w:vAlign w:val="top"/>
          </w:tcPr>
          <w:p w14:paraId="49426556">
            <w:pPr>
              <w:spacing w:line="298" w:lineRule="auto"/>
              <w:rPr>
                <w:rFonts w:ascii="Arial"/>
                <w:sz w:val="21"/>
              </w:rPr>
            </w:pPr>
          </w:p>
          <w:p w14:paraId="6D0EE263">
            <w:pPr>
              <w:pStyle w:val="6"/>
              <w:spacing w:before="65" w:line="228" w:lineRule="auto"/>
              <w:ind w:left="240"/>
            </w:pPr>
            <w:r>
              <w:rPr>
                <w:spacing w:val="6"/>
              </w:rPr>
              <w:t>厂界监测</w:t>
            </w:r>
          </w:p>
        </w:tc>
        <w:tc>
          <w:tcPr>
            <w:tcW w:w="1446" w:type="dxa"/>
            <w:vAlign w:val="top"/>
          </w:tcPr>
          <w:p w14:paraId="1999500F">
            <w:pPr>
              <w:spacing w:line="298" w:lineRule="auto"/>
              <w:rPr>
                <w:rFonts w:ascii="Arial"/>
                <w:sz w:val="21"/>
              </w:rPr>
            </w:pPr>
          </w:p>
          <w:p w14:paraId="6B3F4AB2">
            <w:pPr>
              <w:pStyle w:val="6"/>
              <w:spacing w:before="65" w:line="228" w:lineRule="auto"/>
              <w:ind w:left="516"/>
            </w:pPr>
            <w:r>
              <w:rPr>
                <w:spacing w:val="5"/>
              </w:rPr>
              <w:t>废气</w:t>
            </w:r>
          </w:p>
        </w:tc>
        <w:tc>
          <w:tcPr>
            <w:tcW w:w="1445" w:type="dxa"/>
            <w:vAlign w:val="top"/>
          </w:tcPr>
          <w:p w14:paraId="180B02CF">
            <w:pPr>
              <w:pStyle w:val="6"/>
              <w:spacing w:before="52" w:line="227" w:lineRule="auto"/>
              <w:ind w:left="206"/>
            </w:pPr>
            <w:r>
              <w:rPr>
                <w:spacing w:val="7"/>
              </w:rPr>
              <w:t>厂界布点监</w:t>
            </w:r>
          </w:p>
          <w:p w14:paraId="17F4D898">
            <w:pPr>
              <w:pStyle w:val="6"/>
              <w:spacing w:before="66" w:line="228" w:lineRule="auto"/>
              <w:ind w:left="204"/>
            </w:pPr>
            <w:r>
              <w:rPr>
                <w:spacing w:val="7"/>
              </w:rPr>
              <w:t>测废气排放</w:t>
            </w:r>
          </w:p>
          <w:p w14:paraId="1C2FCA38">
            <w:pPr>
              <w:pStyle w:val="6"/>
              <w:spacing w:before="64" w:line="228" w:lineRule="auto"/>
              <w:ind w:left="519"/>
            </w:pPr>
            <w:r>
              <w:rPr>
                <w:spacing w:val="4"/>
              </w:rPr>
              <w:t>情况</w:t>
            </w:r>
          </w:p>
        </w:tc>
        <w:tc>
          <w:tcPr>
            <w:tcW w:w="1445" w:type="dxa"/>
            <w:vAlign w:val="top"/>
          </w:tcPr>
          <w:p w14:paraId="3AA21EE0">
            <w:pPr>
              <w:pStyle w:val="6"/>
              <w:spacing w:before="208" w:line="228" w:lineRule="auto"/>
              <w:ind w:left="140"/>
            </w:pPr>
            <w:r>
              <w:rPr>
                <w:spacing w:val="7"/>
              </w:rPr>
              <w:t>粉尘、</w:t>
            </w:r>
            <w:r>
              <w:rPr>
                <w:rFonts w:ascii="Times New Roman" w:hAnsi="Times New Roman" w:eastAsia="Times New Roman" w:cs="Times New Roman"/>
              </w:rPr>
              <w:t>SO</w:t>
            </w:r>
            <w:r>
              <w:rPr>
                <w:rFonts w:ascii="Times New Roman" w:hAnsi="Times New Roman" w:eastAsia="Times New Roman" w:cs="Times New Roman"/>
                <w:spacing w:val="7"/>
                <w:position w:val="-1"/>
                <w:sz w:val="13"/>
                <w:szCs w:val="13"/>
              </w:rPr>
              <w:t>2</w:t>
            </w:r>
            <w:r>
              <w:rPr>
                <w:spacing w:val="7"/>
              </w:rPr>
              <w:t>、</w:t>
            </w:r>
          </w:p>
          <w:p w14:paraId="1C7D6AEE">
            <w:pPr>
              <w:spacing w:before="101" w:line="202" w:lineRule="auto"/>
              <w:ind w:left="517"/>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X</w:t>
            </w:r>
          </w:p>
        </w:tc>
        <w:tc>
          <w:tcPr>
            <w:tcW w:w="1274" w:type="dxa"/>
            <w:vMerge w:val="restart"/>
            <w:tcBorders>
              <w:bottom w:val="nil"/>
            </w:tcBorders>
            <w:vAlign w:val="top"/>
          </w:tcPr>
          <w:p w14:paraId="6D3E2426">
            <w:pPr>
              <w:spacing w:line="257" w:lineRule="auto"/>
              <w:rPr>
                <w:rFonts w:ascii="Arial"/>
                <w:sz w:val="21"/>
              </w:rPr>
            </w:pPr>
          </w:p>
          <w:p w14:paraId="47FA145D">
            <w:pPr>
              <w:spacing w:line="257" w:lineRule="auto"/>
              <w:rPr>
                <w:rFonts w:ascii="Arial"/>
                <w:sz w:val="21"/>
              </w:rPr>
            </w:pPr>
          </w:p>
          <w:p w14:paraId="3410E80A">
            <w:pPr>
              <w:spacing w:line="258" w:lineRule="auto"/>
              <w:rPr>
                <w:rFonts w:ascii="Arial"/>
                <w:sz w:val="21"/>
              </w:rPr>
            </w:pPr>
          </w:p>
          <w:p w14:paraId="1B604E45">
            <w:pPr>
              <w:pStyle w:val="6"/>
              <w:spacing w:before="65" w:line="228" w:lineRule="auto"/>
              <w:ind w:left="119"/>
            </w:pPr>
            <w:r>
              <w:rPr>
                <w:spacing w:val="8"/>
              </w:rPr>
              <w:t>根据事故发</w:t>
            </w:r>
          </w:p>
          <w:p w14:paraId="41B6434B">
            <w:pPr>
              <w:pStyle w:val="6"/>
              <w:spacing w:before="65" w:line="228" w:lineRule="auto"/>
              <w:ind w:left="121"/>
            </w:pPr>
            <w:r>
              <w:rPr>
                <w:spacing w:val="7"/>
              </w:rPr>
              <w:t>生后现场的</w:t>
            </w:r>
          </w:p>
          <w:p w14:paraId="743B4104">
            <w:pPr>
              <w:pStyle w:val="6"/>
              <w:spacing w:before="65" w:line="228" w:lineRule="auto"/>
              <w:ind w:left="123"/>
            </w:pPr>
            <w:r>
              <w:rPr>
                <w:spacing w:val="7"/>
              </w:rPr>
              <w:t>具体污染情</w:t>
            </w:r>
          </w:p>
          <w:p w14:paraId="14294915">
            <w:pPr>
              <w:pStyle w:val="6"/>
              <w:spacing w:before="65" w:line="289" w:lineRule="auto"/>
              <w:ind w:left="223" w:right="108" w:hanging="102"/>
            </w:pPr>
            <w:r>
              <w:rPr>
                <w:spacing w:val="7"/>
              </w:rPr>
              <w:t>况确定应急</w:t>
            </w:r>
            <w:r>
              <w:rPr>
                <w:spacing w:val="3"/>
              </w:rPr>
              <w:t xml:space="preserve"> </w:t>
            </w:r>
            <w:r>
              <w:rPr>
                <w:spacing w:val="7"/>
              </w:rPr>
              <w:t>监测频次</w:t>
            </w:r>
          </w:p>
        </w:tc>
        <w:tc>
          <w:tcPr>
            <w:tcW w:w="1621" w:type="dxa"/>
            <w:vAlign w:val="top"/>
          </w:tcPr>
          <w:p w14:paraId="04C1DF02">
            <w:pPr>
              <w:pStyle w:val="6"/>
              <w:spacing w:before="53" w:line="228" w:lineRule="auto"/>
              <w:ind w:left="185"/>
            </w:pPr>
            <w:r>
              <w:rPr>
                <w:spacing w:val="8"/>
              </w:rPr>
              <w:t>密切监控事故</w:t>
            </w:r>
          </w:p>
          <w:p w14:paraId="3F3F20C3">
            <w:pPr>
              <w:pStyle w:val="6"/>
              <w:spacing w:before="64" w:line="228" w:lineRule="auto"/>
              <w:ind w:left="188"/>
            </w:pPr>
            <w:r>
              <w:rPr>
                <w:spacing w:val="7"/>
              </w:rPr>
              <w:t>发生后厂区内</w:t>
            </w:r>
          </w:p>
          <w:p w14:paraId="72686836">
            <w:pPr>
              <w:pStyle w:val="6"/>
              <w:spacing w:before="65" w:line="228" w:lineRule="auto"/>
              <w:ind w:left="183"/>
            </w:pPr>
            <w:r>
              <w:rPr>
                <w:spacing w:val="8"/>
              </w:rPr>
              <w:t>废气排放情况</w:t>
            </w:r>
          </w:p>
        </w:tc>
      </w:tr>
      <w:tr w14:paraId="28808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2" w:type="dxa"/>
            <w:vMerge w:val="restart"/>
            <w:tcBorders>
              <w:bottom w:val="nil"/>
            </w:tcBorders>
            <w:vAlign w:val="top"/>
          </w:tcPr>
          <w:p w14:paraId="61B7E737">
            <w:pPr>
              <w:spacing w:line="307" w:lineRule="auto"/>
              <w:rPr>
                <w:rFonts w:ascii="Arial"/>
                <w:sz w:val="21"/>
              </w:rPr>
            </w:pPr>
          </w:p>
          <w:p w14:paraId="69D15718">
            <w:pPr>
              <w:spacing w:line="307" w:lineRule="auto"/>
              <w:rPr>
                <w:rFonts w:ascii="Arial"/>
                <w:sz w:val="21"/>
              </w:rPr>
            </w:pPr>
          </w:p>
          <w:p w14:paraId="49AA980A">
            <w:pPr>
              <w:pStyle w:val="6"/>
              <w:spacing w:before="65" w:line="228" w:lineRule="auto"/>
              <w:ind w:left="134"/>
            </w:pPr>
            <w:r>
              <w:rPr>
                <w:spacing w:val="7"/>
              </w:rPr>
              <w:t>厂区周围外</w:t>
            </w:r>
          </w:p>
          <w:p w14:paraId="794A2492">
            <w:pPr>
              <w:pStyle w:val="6"/>
              <w:spacing w:before="64" w:line="228" w:lineRule="auto"/>
              <w:ind w:left="131"/>
            </w:pPr>
            <w:r>
              <w:rPr>
                <w:spacing w:val="8"/>
              </w:rPr>
              <w:t>环境质量监</w:t>
            </w:r>
          </w:p>
          <w:p w14:paraId="1BFC5BB4">
            <w:pPr>
              <w:pStyle w:val="6"/>
              <w:spacing w:before="64" w:line="229" w:lineRule="auto"/>
              <w:ind w:left="552"/>
            </w:pPr>
            <w:r>
              <w:t>测</w:t>
            </w:r>
          </w:p>
        </w:tc>
        <w:tc>
          <w:tcPr>
            <w:tcW w:w="1446" w:type="dxa"/>
            <w:vAlign w:val="top"/>
          </w:tcPr>
          <w:p w14:paraId="54C19F28">
            <w:pPr>
              <w:spacing w:line="300" w:lineRule="auto"/>
              <w:rPr>
                <w:rFonts w:ascii="Arial"/>
                <w:sz w:val="21"/>
              </w:rPr>
            </w:pPr>
          </w:p>
          <w:p w14:paraId="291D775A">
            <w:pPr>
              <w:pStyle w:val="6"/>
              <w:spacing w:before="65" w:line="228" w:lineRule="auto"/>
              <w:ind w:left="308"/>
            </w:pPr>
            <w:r>
              <w:rPr>
                <w:spacing w:val="6"/>
              </w:rPr>
              <w:t>大气环境</w:t>
            </w:r>
          </w:p>
        </w:tc>
        <w:tc>
          <w:tcPr>
            <w:tcW w:w="1445" w:type="dxa"/>
            <w:vAlign w:val="top"/>
          </w:tcPr>
          <w:p w14:paraId="308FC97C">
            <w:pPr>
              <w:pStyle w:val="6"/>
              <w:spacing w:before="210" w:line="228" w:lineRule="auto"/>
              <w:ind w:left="206"/>
            </w:pPr>
            <w:r>
              <w:rPr>
                <w:spacing w:val="7"/>
              </w:rPr>
              <w:t>厂区周边牧</w:t>
            </w:r>
          </w:p>
          <w:p w14:paraId="2B493B49">
            <w:pPr>
              <w:pStyle w:val="6"/>
              <w:spacing w:before="65" w:line="228" w:lineRule="auto"/>
              <w:ind w:left="538"/>
            </w:pPr>
            <w:r>
              <w:rPr>
                <w:spacing w:val="-6"/>
              </w:rPr>
              <w:t>民家</w:t>
            </w:r>
          </w:p>
        </w:tc>
        <w:tc>
          <w:tcPr>
            <w:tcW w:w="1445" w:type="dxa"/>
            <w:vAlign w:val="top"/>
          </w:tcPr>
          <w:p w14:paraId="0D091BB9">
            <w:pPr>
              <w:spacing w:line="299" w:lineRule="auto"/>
              <w:rPr>
                <w:rFonts w:ascii="Arial"/>
                <w:sz w:val="21"/>
              </w:rPr>
            </w:pPr>
          </w:p>
          <w:p w14:paraId="54D6B73D">
            <w:pPr>
              <w:pStyle w:val="6"/>
              <w:spacing w:before="65" w:line="228" w:lineRule="auto"/>
              <w:ind w:left="517"/>
            </w:pPr>
            <w:r>
              <w:rPr>
                <w:spacing w:val="5"/>
              </w:rPr>
              <w:t>粉尘</w:t>
            </w:r>
          </w:p>
        </w:tc>
        <w:tc>
          <w:tcPr>
            <w:tcW w:w="1274" w:type="dxa"/>
            <w:vMerge w:val="continue"/>
            <w:tcBorders>
              <w:top w:val="nil"/>
              <w:bottom w:val="nil"/>
            </w:tcBorders>
            <w:vAlign w:val="top"/>
          </w:tcPr>
          <w:p w14:paraId="69A5630F">
            <w:pPr>
              <w:rPr>
                <w:rFonts w:ascii="Arial"/>
                <w:sz w:val="21"/>
              </w:rPr>
            </w:pPr>
          </w:p>
        </w:tc>
        <w:tc>
          <w:tcPr>
            <w:tcW w:w="1621" w:type="dxa"/>
            <w:vAlign w:val="top"/>
          </w:tcPr>
          <w:p w14:paraId="488AF3C3">
            <w:pPr>
              <w:pStyle w:val="6"/>
              <w:spacing w:before="54" w:line="228" w:lineRule="auto"/>
              <w:ind w:left="185"/>
            </w:pPr>
            <w:r>
              <w:rPr>
                <w:spacing w:val="8"/>
              </w:rPr>
              <w:t>重点关注环境</w:t>
            </w:r>
          </w:p>
          <w:p w14:paraId="3ECC4E9F">
            <w:pPr>
              <w:pStyle w:val="6"/>
              <w:spacing w:before="64" w:line="260" w:lineRule="auto"/>
              <w:ind w:left="290" w:right="181" w:hanging="105"/>
            </w:pPr>
            <w:r>
              <w:rPr>
                <w:spacing w:val="8"/>
              </w:rPr>
              <w:t>敏感目标的环</w:t>
            </w:r>
            <w:r>
              <w:t xml:space="preserve"> </w:t>
            </w:r>
            <w:r>
              <w:rPr>
                <w:spacing w:val="7"/>
              </w:rPr>
              <w:t>境空气质量</w:t>
            </w:r>
          </w:p>
        </w:tc>
      </w:tr>
      <w:tr w14:paraId="44CC2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1302" w:type="dxa"/>
            <w:vMerge w:val="continue"/>
            <w:tcBorders>
              <w:top w:val="nil"/>
            </w:tcBorders>
            <w:vAlign w:val="top"/>
          </w:tcPr>
          <w:p w14:paraId="477C8A8B">
            <w:pPr>
              <w:rPr>
                <w:rFonts w:ascii="Arial"/>
                <w:sz w:val="21"/>
              </w:rPr>
            </w:pPr>
          </w:p>
        </w:tc>
        <w:tc>
          <w:tcPr>
            <w:tcW w:w="1446" w:type="dxa"/>
            <w:vAlign w:val="top"/>
          </w:tcPr>
          <w:p w14:paraId="3F1256A4">
            <w:pPr>
              <w:spacing w:line="299" w:lineRule="auto"/>
              <w:rPr>
                <w:rFonts w:ascii="Arial"/>
                <w:sz w:val="21"/>
              </w:rPr>
            </w:pPr>
          </w:p>
          <w:p w14:paraId="1D264F78">
            <w:pPr>
              <w:pStyle w:val="6"/>
              <w:spacing w:before="65" w:line="228" w:lineRule="auto"/>
              <w:ind w:left="202"/>
            </w:pPr>
            <w:r>
              <w:rPr>
                <w:spacing w:val="8"/>
              </w:rPr>
              <w:t>地下水环境</w:t>
            </w:r>
          </w:p>
          <w:p w14:paraId="798F3DCA">
            <w:pPr>
              <w:pStyle w:val="6"/>
              <w:spacing w:before="65" w:line="229" w:lineRule="auto"/>
              <w:ind w:left="517"/>
            </w:pPr>
            <w:r>
              <w:rPr>
                <w:spacing w:val="4"/>
              </w:rPr>
              <w:t>监测</w:t>
            </w:r>
          </w:p>
        </w:tc>
        <w:tc>
          <w:tcPr>
            <w:tcW w:w="1445" w:type="dxa"/>
            <w:vAlign w:val="top"/>
          </w:tcPr>
          <w:p w14:paraId="49FD13AF">
            <w:pPr>
              <w:spacing w:line="301" w:lineRule="auto"/>
              <w:rPr>
                <w:rFonts w:ascii="Arial"/>
                <w:sz w:val="21"/>
              </w:rPr>
            </w:pPr>
          </w:p>
          <w:p w14:paraId="15144EF1">
            <w:pPr>
              <w:pStyle w:val="6"/>
              <w:spacing w:before="65" w:line="289" w:lineRule="auto"/>
              <w:ind w:left="327" w:right="195" w:hanging="121"/>
            </w:pPr>
            <w:r>
              <w:rPr>
                <w:spacing w:val="7"/>
              </w:rPr>
              <w:t>厂区周边牧</w:t>
            </w:r>
            <w:r>
              <w:rPr>
                <w:spacing w:val="2"/>
              </w:rPr>
              <w:t xml:space="preserve"> 民家水井</w:t>
            </w:r>
          </w:p>
        </w:tc>
        <w:tc>
          <w:tcPr>
            <w:tcW w:w="1445" w:type="dxa"/>
            <w:vAlign w:val="top"/>
          </w:tcPr>
          <w:p w14:paraId="01942C11">
            <w:pPr>
              <w:pStyle w:val="6"/>
              <w:spacing w:before="90" w:line="188" w:lineRule="auto"/>
              <w:ind w:left="159"/>
            </w:pPr>
            <w:r>
              <w:rPr>
                <w:rFonts w:ascii="Times New Roman" w:hAnsi="Times New Roman" w:eastAsia="Times New Roman" w:cs="Times New Roman"/>
              </w:rPr>
              <w:t>pH</w:t>
            </w:r>
            <w:r>
              <w:rPr>
                <w:rFonts w:ascii="Times New Roman" w:hAnsi="Times New Roman" w:eastAsia="Times New Roman" w:cs="Times New Roman"/>
                <w:spacing w:val="-27"/>
              </w:rPr>
              <w:t xml:space="preserve"> </w:t>
            </w:r>
            <w:r>
              <w:rPr>
                <w:spacing w:val="9"/>
              </w:rPr>
              <w:t>、</w:t>
            </w:r>
            <w:r>
              <w:rPr>
                <w:rFonts w:ascii="Times New Roman" w:hAnsi="Times New Roman" w:eastAsia="Times New Roman" w:cs="Times New Roman"/>
              </w:rPr>
              <w:t>COD</w:t>
            </w:r>
            <w:r>
              <w:rPr>
                <w:spacing w:val="9"/>
              </w:rPr>
              <w:t>、</w:t>
            </w:r>
          </w:p>
          <w:p w14:paraId="7D7E8228">
            <w:pPr>
              <w:pStyle w:val="6"/>
              <w:spacing w:before="108" w:line="200" w:lineRule="auto"/>
              <w:ind w:left="119"/>
            </w:pPr>
            <w:r>
              <w:rPr>
                <w:rFonts w:ascii="Times New Roman" w:hAnsi="Times New Roman" w:eastAsia="Times New Roman" w:cs="Times New Roman"/>
              </w:rPr>
              <w:t>SS</w:t>
            </w:r>
            <w:r>
              <w:rPr>
                <w:rFonts w:ascii="Times New Roman" w:hAnsi="Times New Roman" w:eastAsia="Times New Roman" w:cs="Times New Roman"/>
                <w:spacing w:val="-25"/>
              </w:rPr>
              <w:t xml:space="preserve"> </w:t>
            </w:r>
            <w:r>
              <w:rPr>
                <w:spacing w:val="1"/>
              </w:rPr>
              <w:t>、</w:t>
            </w:r>
            <w:r>
              <w:rPr>
                <w:rFonts w:ascii="Times New Roman" w:hAnsi="Times New Roman" w:eastAsia="Times New Roman" w:cs="Times New Roman"/>
              </w:rPr>
              <w:t>NH</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
              </w:rPr>
              <w:t>-N</w:t>
            </w:r>
            <w:r>
              <w:rPr>
                <w:spacing w:val="1"/>
              </w:rPr>
              <w:t>、</w:t>
            </w:r>
          </w:p>
          <w:p w14:paraId="71638856">
            <w:pPr>
              <w:pStyle w:val="6"/>
              <w:spacing w:before="91" w:line="191" w:lineRule="auto"/>
              <w:ind w:left="158"/>
              <w:rPr>
                <w:rFonts w:ascii="Times New Roman" w:hAnsi="Times New Roman" w:eastAsia="Times New Roman" w:cs="Times New Roman"/>
              </w:rPr>
            </w:pPr>
            <w:r>
              <w:rPr>
                <w:rFonts w:ascii="Times New Roman" w:hAnsi="Times New Roman" w:eastAsia="Times New Roman" w:cs="Times New Roman"/>
              </w:rPr>
              <w:t>Pb</w:t>
            </w:r>
            <w:r>
              <w:rPr>
                <w:rFonts w:ascii="Times New Roman" w:hAnsi="Times New Roman" w:eastAsia="Times New Roman" w:cs="Times New Roman"/>
                <w:spacing w:val="-27"/>
              </w:rPr>
              <w:t xml:space="preserve"> </w:t>
            </w:r>
            <w:r>
              <w:t>、</w:t>
            </w:r>
            <w:r>
              <w:rPr>
                <w:rFonts w:ascii="Times New Roman" w:hAnsi="Times New Roman" w:eastAsia="Times New Roman" w:cs="Times New Roman"/>
              </w:rPr>
              <w:t>Zn</w:t>
            </w:r>
            <w:r>
              <w:rPr>
                <w:rFonts w:ascii="Times New Roman" w:hAnsi="Times New Roman" w:eastAsia="Times New Roman" w:cs="Times New Roman"/>
                <w:spacing w:val="-27"/>
              </w:rPr>
              <w:t xml:space="preserve"> </w:t>
            </w:r>
            <w:r>
              <w:t>、</w:t>
            </w:r>
            <w:r>
              <w:rPr>
                <w:rFonts w:ascii="Times New Roman" w:hAnsi="Times New Roman" w:eastAsia="Times New Roman" w:cs="Times New Roman"/>
              </w:rPr>
              <w:t>Ag</w:t>
            </w:r>
          </w:p>
          <w:p w14:paraId="739CD30D">
            <w:pPr>
              <w:pStyle w:val="6"/>
              <w:spacing w:before="72" w:line="228" w:lineRule="auto"/>
              <w:ind w:left="625"/>
            </w:pPr>
            <w:r>
              <w:t>等</w:t>
            </w:r>
          </w:p>
        </w:tc>
        <w:tc>
          <w:tcPr>
            <w:tcW w:w="1274" w:type="dxa"/>
            <w:vMerge w:val="continue"/>
            <w:tcBorders>
              <w:top w:val="nil"/>
            </w:tcBorders>
            <w:vAlign w:val="top"/>
          </w:tcPr>
          <w:p w14:paraId="53F2FE37">
            <w:pPr>
              <w:rPr>
                <w:rFonts w:ascii="Arial"/>
                <w:sz w:val="21"/>
              </w:rPr>
            </w:pPr>
          </w:p>
        </w:tc>
        <w:tc>
          <w:tcPr>
            <w:tcW w:w="1621" w:type="dxa"/>
            <w:vAlign w:val="top"/>
          </w:tcPr>
          <w:p w14:paraId="18E9F713">
            <w:pPr>
              <w:pStyle w:val="6"/>
              <w:spacing w:before="55" w:line="228" w:lineRule="auto"/>
              <w:ind w:left="185"/>
            </w:pPr>
            <w:r>
              <w:rPr>
                <w:spacing w:val="8"/>
              </w:rPr>
              <w:t>密切监控地下</w:t>
            </w:r>
          </w:p>
          <w:p w14:paraId="66D44111">
            <w:pPr>
              <w:pStyle w:val="6"/>
              <w:spacing w:before="64" w:line="228" w:lineRule="auto"/>
              <w:ind w:left="117"/>
            </w:pPr>
            <w:r>
              <w:rPr>
                <w:spacing w:val="-2"/>
              </w:rPr>
              <w:t>水质量，防止项</w:t>
            </w:r>
          </w:p>
          <w:p w14:paraId="5D0D33A6">
            <w:pPr>
              <w:pStyle w:val="6"/>
              <w:spacing w:before="65" w:line="228" w:lineRule="auto"/>
              <w:ind w:left="224"/>
            </w:pPr>
            <w:r>
              <w:rPr>
                <w:spacing w:val="1"/>
              </w:rPr>
              <w:t>目产生的废水</w:t>
            </w:r>
          </w:p>
          <w:p w14:paraId="7365EE2C">
            <w:pPr>
              <w:pStyle w:val="6"/>
              <w:spacing w:before="64" w:line="228" w:lineRule="auto"/>
              <w:ind w:left="292"/>
            </w:pPr>
            <w:r>
              <w:rPr>
                <w:spacing w:val="7"/>
              </w:rPr>
              <w:t>污染地下水</w:t>
            </w:r>
          </w:p>
        </w:tc>
      </w:tr>
    </w:tbl>
    <w:p w14:paraId="4A37A818">
      <w:pPr>
        <w:pStyle w:val="2"/>
        <w:spacing w:line="447" w:lineRule="auto"/>
      </w:pPr>
    </w:p>
    <w:p w14:paraId="6D98FDFB">
      <w:pPr>
        <w:spacing w:before="78" w:line="360" w:lineRule="auto"/>
        <w:ind w:left="126" w:right="115" w:firstLine="480"/>
        <w:jc w:val="both"/>
        <w:rPr>
          <w:rFonts w:ascii="宋体" w:hAnsi="宋体" w:eastAsia="宋体" w:cs="宋体"/>
          <w:sz w:val="24"/>
          <w:szCs w:val="24"/>
        </w:rPr>
      </w:pPr>
      <w:r>
        <w:rPr>
          <w:rFonts w:ascii="宋体" w:hAnsi="宋体" w:eastAsia="宋体" w:cs="宋体"/>
          <w:spacing w:val="-3"/>
          <w:sz w:val="24"/>
          <w:szCs w:val="24"/>
        </w:rPr>
        <w:t>根据监测结果，综合分析突发环境事件污染变化趋势，并通过专</w:t>
      </w:r>
      <w:r>
        <w:rPr>
          <w:rFonts w:ascii="宋体" w:hAnsi="宋体" w:eastAsia="宋体" w:cs="宋体"/>
          <w:spacing w:val="-4"/>
          <w:sz w:val="24"/>
          <w:szCs w:val="24"/>
        </w:rPr>
        <w:t>家咨询和讨</w:t>
      </w:r>
      <w:r>
        <w:rPr>
          <w:rFonts w:ascii="宋体" w:hAnsi="宋体" w:eastAsia="宋体" w:cs="宋体"/>
          <w:sz w:val="24"/>
          <w:szCs w:val="24"/>
        </w:rPr>
        <w:t xml:space="preserve"> </w:t>
      </w:r>
      <w:r>
        <w:rPr>
          <w:rFonts w:ascii="宋体" w:hAnsi="宋体" w:eastAsia="宋体" w:cs="宋体"/>
          <w:spacing w:val="-3"/>
          <w:sz w:val="24"/>
          <w:szCs w:val="24"/>
        </w:rPr>
        <w:t>论的方式，预测并报告突发环境事件的发展情况和污染物的变化情况，作为突发</w:t>
      </w:r>
      <w:r>
        <w:rPr>
          <w:rFonts w:ascii="宋体" w:hAnsi="宋体" w:eastAsia="宋体" w:cs="宋体"/>
          <w:spacing w:val="1"/>
          <w:sz w:val="24"/>
          <w:szCs w:val="24"/>
        </w:rPr>
        <w:t xml:space="preserve"> </w:t>
      </w:r>
      <w:r>
        <w:rPr>
          <w:rFonts w:ascii="宋体" w:hAnsi="宋体" w:eastAsia="宋体" w:cs="宋体"/>
          <w:spacing w:val="-1"/>
          <w:sz w:val="24"/>
          <w:szCs w:val="24"/>
        </w:rPr>
        <w:t>环境事件应急决策的依据。</w:t>
      </w:r>
    </w:p>
    <w:p w14:paraId="4FDA0974">
      <w:pPr>
        <w:spacing w:before="1" w:line="221" w:lineRule="auto"/>
        <w:ind w:left="6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）应急终止</w:t>
      </w:r>
    </w:p>
    <w:p w14:paraId="002D2B4F">
      <w:pPr>
        <w:spacing w:before="180" w:line="360" w:lineRule="auto"/>
        <w:ind w:left="126" w:right="115" w:firstLine="480"/>
        <w:rPr>
          <w:rFonts w:ascii="宋体" w:hAnsi="宋体" w:eastAsia="宋体" w:cs="宋体"/>
          <w:sz w:val="24"/>
          <w:szCs w:val="24"/>
        </w:rPr>
      </w:pPr>
      <w:r>
        <w:rPr>
          <w:rFonts w:ascii="宋体" w:hAnsi="宋体" w:eastAsia="宋体" w:cs="宋体"/>
          <w:spacing w:val="-3"/>
          <w:sz w:val="24"/>
          <w:szCs w:val="24"/>
        </w:rPr>
        <w:t>应急终止须经现场救援指挥部确认，由现场救援指挥部向所属各</w:t>
      </w:r>
      <w:r>
        <w:rPr>
          <w:rFonts w:ascii="宋体" w:hAnsi="宋体" w:eastAsia="宋体" w:cs="宋体"/>
          <w:spacing w:val="-4"/>
          <w:sz w:val="24"/>
          <w:szCs w:val="24"/>
        </w:rPr>
        <w:t>专业应急救</w:t>
      </w:r>
      <w:r>
        <w:rPr>
          <w:rFonts w:ascii="宋体" w:hAnsi="宋体" w:eastAsia="宋体" w:cs="宋体"/>
          <w:sz w:val="24"/>
          <w:szCs w:val="24"/>
        </w:rPr>
        <w:t xml:space="preserve"> </w:t>
      </w:r>
      <w:r>
        <w:rPr>
          <w:rFonts w:ascii="宋体" w:hAnsi="宋体" w:eastAsia="宋体" w:cs="宋体"/>
          <w:spacing w:val="-1"/>
          <w:sz w:val="24"/>
          <w:szCs w:val="24"/>
        </w:rPr>
        <w:t>援队伍下达应急终止命令。</w:t>
      </w:r>
    </w:p>
    <w:p w14:paraId="5BBF18C2">
      <w:pPr>
        <w:spacing w:before="2" w:line="359" w:lineRule="auto"/>
        <w:ind w:left="127" w:right="115" w:firstLine="479"/>
        <w:rPr>
          <w:rFonts w:ascii="宋体" w:hAnsi="宋体" w:eastAsia="宋体" w:cs="宋体"/>
          <w:sz w:val="24"/>
          <w:szCs w:val="24"/>
        </w:rPr>
      </w:pPr>
      <w:r>
        <w:rPr>
          <w:rFonts w:ascii="宋体" w:hAnsi="宋体" w:eastAsia="宋体" w:cs="宋体"/>
          <w:spacing w:val="-3"/>
          <w:sz w:val="24"/>
          <w:szCs w:val="24"/>
        </w:rPr>
        <w:t>应急状态终止后，建设单位应根据上级有关指示和实际情况，继</w:t>
      </w:r>
      <w:r>
        <w:rPr>
          <w:rFonts w:ascii="宋体" w:hAnsi="宋体" w:eastAsia="宋体" w:cs="宋体"/>
          <w:spacing w:val="-4"/>
          <w:sz w:val="24"/>
          <w:szCs w:val="24"/>
        </w:rPr>
        <w:t>续进行环境</w:t>
      </w:r>
      <w:r>
        <w:rPr>
          <w:rFonts w:ascii="宋体" w:hAnsi="宋体" w:eastAsia="宋体" w:cs="宋体"/>
          <w:sz w:val="24"/>
          <w:szCs w:val="24"/>
        </w:rPr>
        <w:t xml:space="preserve"> </w:t>
      </w:r>
      <w:r>
        <w:rPr>
          <w:rFonts w:ascii="宋体" w:hAnsi="宋体" w:eastAsia="宋体" w:cs="宋体"/>
          <w:spacing w:val="-1"/>
          <w:sz w:val="24"/>
          <w:szCs w:val="24"/>
        </w:rPr>
        <w:t>监测和评价工作，直至其他补救措施无需继续进行为止。</w:t>
      </w:r>
    </w:p>
    <w:p w14:paraId="0A529304">
      <w:pPr>
        <w:spacing w:before="1" w:line="218" w:lineRule="auto"/>
        <w:ind w:left="6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）信息发布</w:t>
      </w:r>
    </w:p>
    <w:p w14:paraId="6DEA48E8">
      <w:pPr>
        <w:spacing w:before="184" w:line="360" w:lineRule="auto"/>
        <w:ind w:left="125" w:right="53" w:firstLine="489"/>
        <w:rPr>
          <w:rFonts w:ascii="宋体" w:hAnsi="宋体" w:eastAsia="宋体" w:cs="宋体"/>
          <w:sz w:val="24"/>
          <w:szCs w:val="24"/>
        </w:rPr>
      </w:pPr>
      <w:r>
        <w:rPr>
          <w:rFonts w:ascii="宋体" w:hAnsi="宋体" w:eastAsia="宋体" w:cs="宋体"/>
          <w:spacing w:val="-9"/>
          <w:sz w:val="24"/>
          <w:szCs w:val="24"/>
        </w:rPr>
        <w:t>突发环境安全事件终止后，要通过报纸、广播、电视和网络等多种媒体方式，</w:t>
      </w:r>
      <w:r>
        <w:rPr>
          <w:rFonts w:ascii="宋体" w:hAnsi="宋体" w:eastAsia="宋体" w:cs="宋体"/>
          <w:spacing w:val="15"/>
          <w:sz w:val="24"/>
          <w:szCs w:val="24"/>
        </w:rPr>
        <w:t xml:space="preserve"> </w:t>
      </w:r>
      <w:r>
        <w:rPr>
          <w:rFonts w:ascii="宋体" w:hAnsi="宋体" w:eastAsia="宋体" w:cs="宋体"/>
          <w:spacing w:val="-3"/>
          <w:sz w:val="24"/>
          <w:szCs w:val="24"/>
        </w:rPr>
        <w:t>及时发布准确、权威的信息，正确引导社会舆论，增强对于环境安全应急措施的</w:t>
      </w:r>
      <w:r>
        <w:rPr>
          <w:rFonts w:ascii="宋体" w:hAnsi="宋体" w:eastAsia="宋体" w:cs="宋体"/>
          <w:spacing w:val="1"/>
          <w:sz w:val="24"/>
          <w:szCs w:val="24"/>
        </w:rPr>
        <w:t xml:space="preserve"> </w:t>
      </w:r>
      <w:r>
        <w:rPr>
          <w:rFonts w:ascii="宋体" w:hAnsi="宋体" w:eastAsia="宋体" w:cs="宋体"/>
          <w:spacing w:val="-3"/>
          <w:sz w:val="24"/>
          <w:szCs w:val="24"/>
        </w:rPr>
        <w:t>透明度。</w:t>
      </w:r>
    </w:p>
    <w:p w14:paraId="3046F086">
      <w:pPr>
        <w:spacing w:line="219" w:lineRule="auto"/>
        <w:ind w:left="600"/>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）监督管理</w:t>
      </w:r>
    </w:p>
    <w:p w14:paraId="1421E77B">
      <w:pPr>
        <w:spacing w:before="183" w:line="220" w:lineRule="auto"/>
        <w:ind w:left="6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）预案演练</w:t>
      </w:r>
    </w:p>
    <w:p w14:paraId="09A7C8F4">
      <w:pPr>
        <w:spacing w:before="182" w:line="360" w:lineRule="auto"/>
        <w:ind w:left="133" w:right="115" w:firstLine="474"/>
        <w:rPr>
          <w:rFonts w:ascii="宋体" w:hAnsi="宋体" w:eastAsia="宋体" w:cs="宋体"/>
          <w:sz w:val="24"/>
          <w:szCs w:val="24"/>
        </w:rPr>
      </w:pPr>
      <w:r>
        <w:rPr>
          <w:rFonts w:ascii="宋体" w:hAnsi="宋体" w:eastAsia="宋体" w:cs="宋体"/>
          <w:spacing w:val="-3"/>
          <w:sz w:val="24"/>
          <w:szCs w:val="24"/>
        </w:rPr>
        <w:t>按照环境应急预案及相关单项预案，建设单位应定期组织不</w:t>
      </w:r>
      <w:r>
        <w:rPr>
          <w:rFonts w:ascii="宋体" w:hAnsi="宋体" w:eastAsia="宋体" w:cs="宋体"/>
          <w:spacing w:val="-4"/>
          <w:sz w:val="24"/>
          <w:szCs w:val="24"/>
        </w:rPr>
        <w:t>同类型的环境应</w:t>
      </w:r>
      <w:r>
        <w:rPr>
          <w:rFonts w:ascii="宋体" w:hAnsi="宋体" w:eastAsia="宋体" w:cs="宋体"/>
          <w:sz w:val="24"/>
          <w:szCs w:val="24"/>
        </w:rPr>
        <w:t xml:space="preserve"> </w:t>
      </w:r>
      <w:r>
        <w:rPr>
          <w:rFonts w:ascii="宋体" w:hAnsi="宋体" w:eastAsia="宋体" w:cs="宋体"/>
          <w:spacing w:val="-1"/>
          <w:sz w:val="24"/>
          <w:szCs w:val="24"/>
        </w:rPr>
        <w:t>急实战演练，提高防范和处置突发环境事件的技能，增强实战能力。</w:t>
      </w:r>
    </w:p>
    <w:p w14:paraId="2D5728D2">
      <w:pPr>
        <w:spacing w:before="1" w:line="218" w:lineRule="auto"/>
        <w:ind w:left="61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）宣传与培训</w:t>
      </w:r>
    </w:p>
    <w:p w14:paraId="20F4DAFB">
      <w:pPr>
        <w:spacing w:before="183" w:line="219" w:lineRule="auto"/>
        <w:ind w:left="609"/>
        <w:rPr>
          <w:rFonts w:ascii="宋体" w:hAnsi="宋体" w:eastAsia="宋体" w:cs="宋体"/>
          <w:sz w:val="24"/>
          <w:szCs w:val="24"/>
        </w:rPr>
      </w:pPr>
      <w:r>
        <w:rPr>
          <w:rFonts w:ascii="宋体" w:hAnsi="宋体" w:eastAsia="宋体" w:cs="宋体"/>
          <w:spacing w:val="-3"/>
          <w:sz w:val="24"/>
          <w:szCs w:val="24"/>
        </w:rPr>
        <w:t>建设单位加强环境保护科普宣传教育工作，普及环境污染事件预防常识，编</w:t>
      </w:r>
    </w:p>
    <w:p w14:paraId="77E726FF">
      <w:pPr>
        <w:spacing w:line="219" w:lineRule="auto"/>
        <w:rPr>
          <w:rFonts w:ascii="宋体" w:hAnsi="宋体" w:eastAsia="宋体" w:cs="宋体"/>
          <w:sz w:val="24"/>
          <w:szCs w:val="24"/>
        </w:rPr>
        <w:sectPr>
          <w:headerReference r:id="rId358" w:type="default"/>
          <w:footerReference r:id="rId359" w:type="default"/>
          <w:pgSz w:w="11906" w:h="16839"/>
          <w:pgMar w:top="1208" w:right="1684" w:bottom="1358" w:left="1683" w:header="825" w:footer="1195" w:gutter="0"/>
          <w:cols w:space="720" w:num="1"/>
        </w:sectPr>
      </w:pPr>
    </w:p>
    <w:p w14:paraId="2C5441BE">
      <w:pPr>
        <w:pStyle w:val="2"/>
        <w:spacing w:line="265" w:lineRule="auto"/>
      </w:pPr>
    </w:p>
    <w:p w14:paraId="292FE0EE">
      <w:pPr>
        <w:spacing w:before="78" w:line="360" w:lineRule="auto"/>
        <w:ind w:left="120" w:right="111" w:firstLine="19"/>
        <w:jc w:val="both"/>
        <w:rPr>
          <w:rFonts w:ascii="宋体" w:hAnsi="宋体" w:eastAsia="宋体" w:cs="宋体"/>
          <w:sz w:val="24"/>
          <w:szCs w:val="24"/>
        </w:rPr>
      </w:pPr>
      <w:r>
        <w:rPr>
          <w:rFonts w:ascii="宋体" w:hAnsi="宋体" w:eastAsia="宋体" w:cs="宋体"/>
          <w:spacing w:val="-3"/>
          <w:sz w:val="24"/>
          <w:szCs w:val="24"/>
        </w:rPr>
        <w:t>印、发放有毒有害物质污染公众防护</w:t>
      </w:r>
      <w:r>
        <w:rPr>
          <w:rFonts w:ascii="Times New Roman" w:hAnsi="Times New Roman" w:eastAsia="Times New Roman" w:cs="Times New Roman"/>
          <w:spacing w:val="-3"/>
          <w:sz w:val="24"/>
          <w:szCs w:val="24"/>
        </w:rPr>
        <w:t>“</w:t>
      </w:r>
      <w:r>
        <w:rPr>
          <w:rFonts w:ascii="宋体" w:hAnsi="宋体" w:eastAsia="宋体" w:cs="宋体"/>
          <w:spacing w:val="-3"/>
          <w:sz w:val="24"/>
          <w:szCs w:val="24"/>
        </w:rPr>
        <w:t>明白卡</w:t>
      </w:r>
      <w:r>
        <w:rPr>
          <w:rFonts w:ascii="Times New Roman" w:hAnsi="Times New Roman" w:eastAsia="Times New Roman" w:cs="Times New Roman"/>
          <w:spacing w:val="-3"/>
          <w:sz w:val="24"/>
          <w:szCs w:val="24"/>
        </w:rPr>
        <w:t>”</w:t>
      </w:r>
      <w:r>
        <w:rPr>
          <w:rFonts w:ascii="宋体" w:hAnsi="宋体" w:eastAsia="宋体" w:cs="宋体"/>
          <w:spacing w:val="-3"/>
          <w:sz w:val="24"/>
          <w:szCs w:val="24"/>
        </w:rPr>
        <w:t>，增强公众的防范意识和相关心理</w:t>
      </w:r>
      <w:r>
        <w:rPr>
          <w:rFonts w:ascii="宋体" w:hAnsi="宋体" w:eastAsia="宋体" w:cs="宋体"/>
          <w:spacing w:val="12"/>
          <w:sz w:val="24"/>
          <w:szCs w:val="24"/>
        </w:rPr>
        <w:t xml:space="preserve"> </w:t>
      </w:r>
      <w:r>
        <w:rPr>
          <w:rFonts w:ascii="宋体" w:hAnsi="宋体" w:eastAsia="宋体" w:cs="宋体"/>
          <w:spacing w:val="-3"/>
          <w:sz w:val="24"/>
          <w:szCs w:val="24"/>
        </w:rPr>
        <w:t>准备，提高公众的防范能力。企业内工作人员应积极主动接受日常培训，企业应</w:t>
      </w:r>
      <w:r>
        <w:rPr>
          <w:rFonts w:ascii="宋体" w:hAnsi="宋体" w:eastAsia="宋体" w:cs="宋体"/>
          <w:spacing w:val="1"/>
          <w:sz w:val="24"/>
          <w:szCs w:val="24"/>
        </w:rPr>
        <w:t xml:space="preserve"> </w:t>
      </w:r>
      <w:r>
        <w:rPr>
          <w:rFonts w:ascii="宋体" w:hAnsi="宋体" w:eastAsia="宋体" w:cs="宋体"/>
          <w:spacing w:val="-1"/>
          <w:sz w:val="24"/>
          <w:szCs w:val="24"/>
        </w:rPr>
        <w:t>对重要目标工作人员进行培训和管理。</w:t>
      </w:r>
    </w:p>
    <w:p w14:paraId="74D12982">
      <w:pPr>
        <w:spacing w:before="1" w:line="217" w:lineRule="auto"/>
        <w:ind w:left="61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）监督与评价</w:t>
      </w:r>
    </w:p>
    <w:p w14:paraId="4DAEC123">
      <w:pPr>
        <w:spacing w:before="184" w:line="360" w:lineRule="auto"/>
        <w:ind w:left="121" w:right="111" w:firstLine="482"/>
        <w:rPr>
          <w:rFonts w:ascii="宋体" w:hAnsi="宋体" w:eastAsia="宋体" w:cs="宋体"/>
          <w:sz w:val="24"/>
          <w:szCs w:val="24"/>
        </w:rPr>
      </w:pPr>
      <w:r>
        <w:rPr>
          <w:rFonts w:ascii="宋体" w:hAnsi="宋体" w:eastAsia="宋体" w:cs="宋体"/>
          <w:spacing w:val="-3"/>
          <w:sz w:val="24"/>
          <w:szCs w:val="24"/>
        </w:rPr>
        <w:t>为保障环境应急体系始终处于良好的战备状态，并实现持</w:t>
      </w:r>
      <w:r>
        <w:rPr>
          <w:rFonts w:ascii="宋体" w:hAnsi="宋体" w:eastAsia="宋体" w:cs="宋体"/>
          <w:spacing w:val="-4"/>
          <w:sz w:val="24"/>
          <w:szCs w:val="24"/>
        </w:rPr>
        <w:t>续改进，建设单位</w:t>
      </w:r>
      <w:r>
        <w:rPr>
          <w:rFonts w:ascii="宋体" w:hAnsi="宋体" w:eastAsia="宋体" w:cs="宋体"/>
          <w:sz w:val="24"/>
          <w:szCs w:val="24"/>
        </w:rPr>
        <w:t xml:space="preserve"> </w:t>
      </w:r>
      <w:r>
        <w:rPr>
          <w:rFonts w:ascii="宋体" w:hAnsi="宋体" w:eastAsia="宋体" w:cs="宋体"/>
          <w:spacing w:val="-3"/>
          <w:sz w:val="24"/>
          <w:szCs w:val="24"/>
        </w:rPr>
        <w:t>应在环境应急能力评价体系中实行自上而下的监督、检查和考核机制。监督和评</w:t>
      </w:r>
      <w:r>
        <w:rPr>
          <w:rFonts w:ascii="宋体" w:hAnsi="宋体" w:eastAsia="宋体" w:cs="宋体"/>
          <w:spacing w:val="1"/>
          <w:sz w:val="24"/>
          <w:szCs w:val="24"/>
        </w:rPr>
        <w:t xml:space="preserve"> </w:t>
      </w:r>
      <w:r>
        <w:rPr>
          <w:rFonts w:ascii="宋体" w:hAnsi="宋体" w:eastAsia="宋体" w:cs="宋体"/>
          <w:spacing w:val="-3"/>
          <w:sz w:val="24"/>
          <w:szCs w:val="24"/>
        </w:rPr>
        <w:t>价内容包括：应急机构的设置；应急工作程序的建立与执行情况；应急救援队伍</w:t>
      </w:r>
      <w:r>
        <w:rPr>
          <w:rFonts w:ascii="宋体" w:hAnsi="宋体" w:eastAsia="宋体" w:cs="宋体"/>
          <w:spacing w:val="1"/>
          <w:sz w:val="24"/>
          <w:szCs w:val="24"/>
        </w:rPr>
        <w:t xml:space="preserve"> </w:t>
      </w:r>
      <w:r>
        <w:rPr>
          <w:rFonts w:ascii="宋体" w:hAnsi="宋体" w:eastAsia="宋体" w:cs="宋体"/>
          <w:sz w:val="24"/>
          <w:szCs w:val="24"/>
        </w:rPr>
        <w:t>的建设；应急人员培训与考核情况；应急装备</w:t>
      </w:r>
      <w:r>
        <w:rPr>
          <w:rFonts w:ascii="宋体" w:hAnsi="宋体" w:eastAsia="宋体" w:cs="宋体"/>
          <w:spacing w:val="-1"/>
          <w:sz w:val="24"/>
          <w:szCs w:val="24"/>
        </w:rPr>
        <w:t>使用和经费管理情况等。</w:t>
      </w:r>
    </w:p>
    <w:p w14:paraId="46FC9410">
      <w:pPr>
        <w:spacing w:line="220" w:lineRule="auto"/>
        <w:ind w:left="600"/>
        <w:outlineLvl w:val="2"/>
        <w:rPr>
          <w:rFonts w:ascii="宋体" w:hAnsi="宋体" w:eastAsia="宋体" w:cs="宋体"/>
          <w:sz w:val="24"/>
          <w:szCs w:val="24"/>
        </w:rPr>
      </w:pPr>
      <w:bookmarkStart w:id="155" w:name="bookmark137"/>
      <w:bookmarkEnd w:id="155"/>
      <w:r>
        <w:rPr>
          <w:rFonts w:ascii="Times New Roman" w:hAnsi="Times New Roman" w:eastAsia="Times New Roman" w:cs="Times New Roman"/>
          <w:b/>
          <w:bCs/>
          <w:spacing w:val="-2"/>
          <w:sz w:val="24"/>
          <w:szCs w:val="24"/>
        </w:rPr>
        <w:t xml:space="preserve">8.7.6 </w:t>
      </w:r>
      <w:r>
        <w:rPr>
          <w:rFonts w:ascii="宋体" w:hAnsi="宋体" w:eastAsia="宋体" w:cs="宋体"/>
          <w:b/>
          <w:bCs/>
          <w:spacing w:val="-2"/>
          <w:sz w:val="24"/>
          <w:szCs w:val="24"/>
        </w:rPr>
        <w:t>分析结论</w:t>
      </w:r>
    </w:p>
    <w:p w14:paraId="01527DFE">
      <w:pPr>
        <w:spacing w:before="181" w:line="360" w:lineRule="auto"/>
        <w:ind w:left="121" w:right="111" w:firstLine="480"/>
        <w:rPr>
          <w:rFonts w:ascii="宋体" w:hAnsi="宋体" w:eastAsia="宋体" w:cs="宋体"/>
          <w:sz w:val="24"/>
          <w:szCs w:val="24"/>
        </w:rPr>
      </w:pPr>
      <w:r>
        <w:rPr>
          <w:rFonts w:ascii="宋体" w:hAnsi="宋体" w:eastAsia="宋体" w:cs="宋体"/>
          <w:spacing w:val="-3"/>
          <w:sz w:val="24"/>
          <w:szCs w:val="24"/>
        </w:rPr>
        <w:t>通过风险防范应急措施的设立，可以最大限度防止风险事故的发</w:t>
      </w:r>
      <w:r>
        <w:rPr>
          <w:rFonts w:ascii="宋体" w:hAnsi="宋体" w:eastAsia="宋体" w:cs="宋体"/>
          <w:spacing w:val="-4"/>
          <w:sz w:val="24"/>
          <w:szCs w:val="24"/>
        </w:rPr>
        <w:t>生，而且当</w:t>
      </w:r>
      <w:r>
        <w:rPr>
          <w:rFonts w:ascii="宋体" w:hAnsi="宋体" w:eastAsia="宋体" w:cs="宋体"/>
          <w:sz w:val="24"/>
          <w:szCs w:val="24"/>
        </w:rPr>
        <w:t xml:space="preserve"> </w:t>
      </w:r>
      <w:r>
        <w:rPr>
          <w:rFonts w:ascii="宋体" w:hAnsi="宋体" w:eastAsia="宋体" w:cs="宋体"/>
          <w:spacing w:val="-1"/>
          <w:sz w:val="24"/>
          <w:szCs w:val="24"/>
        </w:rPr>
        <w:t>事故发生时，可以将其得到有效地控制。</w:t>
      </w:r>
    </w:p>
    <w:p w14:paraId="4470A653">
      <w:pPr>
        <w:spacing w:line="336" w:lineRule="auto"/>
        <w:ind w:left="160" w:right="111" w:firstLine="441"/>
        <w:rPr>
          <w:rFonts w:ascii="宋体" w:hAnsi="宋体" w:eastAsia="宋体" w:cs="宋体"/>
          <w:sz w:val="24"/>
          <w:szCs w:val="24"/>
        </w:rPr>
      </w:pPr>
      <w:r>
        <w:rPr>
          <w:rFonts w:ascii="宋体" w:hAnsi="宋体" w:eastAsia="宋体" w:cs="宋体"/>
          <w:sz w:val="24"/>
          <w:szCs w:val="24"/>
        </w:rPr>
        <w:t>本项目建设项目环境风险简单分析内容见表</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8.7-6</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 xml:space="preserve">，建设项目环境风险评价 </w:t>
      </w:r>
      <w:r>
        <w:rPr>
          <w:rFonts w:ascii="宋体" w:hAnsi="宋体" w:eastAsia="宋体" w:cs="宋体"/>
          <w:spacing w:val="-6"/>
          <w:sz w:val="24"/>
          <w:szCs w:val="24"/>
        </w:rPr>
        <w:t>自查内容见表</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8.7-7</w:t>
      </w:r>
      <w:r>
        <w:rPr>
          <w:rFonts w:ascii="宋体" w:hAnsi="宋体" w:eastAsia="宋体" w:cs="宋体"/>
          <w:spacing w:val="-6"/>
          <w:sz w:val="24"/>
          <w:szCs w:val="24"/>
        </w:rPr>
        <w:t>。</w:t>
      </w:r>
    </w:p>
    <w:p w14:paraId="40D23D32">
      <w:pPr>
        <w:spacing w:before="1" w:line="226" w:lineRule="auto"/>
        <w:ind w:left="2643"/>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23"/>
          <w:sz w:val="20"/>
          <w:szCs w:val="20"/>
        </w:rPr>
        <w:t xml:space="preserve"> </w:t>
      </w:r>
      <w:r>
        <w:rPr>
          <w:rFonts w:ascii="Times New Roman" w:hAnsi="Times New Roman" w:eastAsia="Times New Roman" w:cs="Times New Roman"/>
          <w:spacing w:val="6"/>
          <w:sz w:val="20"/>
          <w:szCs w:val="20"/>
        </w:rPr>
        <w:t xml:space="preserve">10-5        </w:t>
      </w:r>
      <w:r>
        <w:rPr>
          <w:rFonts w:ascii="宋体" w:hAnsi="宋体" w:eastAsia="宋体" w:cs="宋体"/>
          <w:spacing w:val="6"/>
          <w:sz w:val="20"/>
          <w:szCs w:val="20"/>
        </w:rPr>
        <w:t>建设项目环境风险简</w:t>
      </w:r>
      <w:r>
        <w:rPr>
          <w:rFonts w:ascii="宋体" w:hAnsi="宋体" w:eastAsia="宋体" w:cs="宋体"/>
          <w:spacing w:val="5"/>
          <w:sz w:val="20"/>
          <w:szCs w:val="20"/>
        </w:rPr>
        <w:t>单分析内容表</w:t>
      </w:r>
    </w:p>
    <w:p w14:paraId="0FE9E353">
      <w:pPr>
        <w:spacing w:line="14" w:lineRule="exact"/>
      </w:pPr>
    </w:p>
    <w:tbl>
      <w:tblPr>
        <w:tblStyle w:val="5"/>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1"/>
        <w:gridCol w:w="1749"/>
        <w:gridCol w:w="1560"/>
        <w:gridCol w:w="894"/>
        <w:gridCol w:w="1078"/>
        <w:gridCol w:w="1212"/>
      </w:tblGrid>
      <w:tr w14:paraId="68352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031" w:type="dxa"/>
            <w:vAlign w:val="top"/>
          </w:tcPr>
          <w:p w14:paraId="12858455">
            <w:pPr>
              <w:pStyle w:val="6"/>
              <w:spacing w:before="212" w:line="228" w:lineRule="auto"/>
              <w:ind w:left="393"/>
            </w:pPr>
            <w:r>
              <w:rPr>
                <w:spacing w:val="7"/>
              </w:rPr>
              <w:t>建设项目名称</w:t>
            </w:r>
          </w:p>
        </w:tc>
        <w:tc>
          <w:tcPr>
            <w:tcW w:w="6493" w:type="dxa"/>
            <w:gridSpan w:val="5"/>
            <w:vAlign w:val="top"/>
          </w:tcPr>
          <w:p w14:paraId="3B815598">
            <w:pPr>
              <w:pStyle w:val="6"/>
              <w:spacing w:before="56" w:line="228" w:lineRule="auto"/>
              <w:ind w:left="197"/>
              <w:rPr>
                <w:rFonts w:ascii="Times New Roman" w:hAnsi="Times New Roman" w:eastAsia="Times New Roman" w:cs="Times New Roman"/>
              </w:rPr>
            </w:pPr>
            <w:r>
              <w:rPr>
                <w:spacing w:val="8"/>
              </w:rPr>
              <w:t>内蒙古玉龙矿业股份有限公司西乌珠穆沁旗</w:t>
            </w:r>
            <w:r>
              <w:rPr>
                <w:spacing w:val="7"/>
              </w:rPr>
              <w:t>花敖包特银铅矿</w:t>
            </w:r>
            <w:r>
              <w:rPr>
                <w:spacing w:val="-41"/>
              </w:rPr>
              <w:t xml:space="preserve"> </w:t>
            </w:r>
            <w:r>
              <w:rPr>
                <w:rFonts w:ascii="Times New Roman" w:hAnsi="Times New Roman" w:eastAsia="Times New Roman" w:cs="Times New Roman"/>
                <w:spacing w:val="7"/>
              </w:rPr>
              <w:t>2000t/d</w:t>
            </w:r>
          </w:p>
          <w:p w14:paraId="26580C84">
            <w:pPr>
              <w:pStyle w:val="6"/>
              <w:spacing w:before="65" w:line="228" w:lineRule="auto"/>
              <w:ind w:left="2304"/>
            </w:pPr>
            <w:r>
              <w:rPr>
                <w:spacing w:val="9"/>
              </w:rPr>
              <w:t>选矿厂技术改造项目</w:t>
            </w:r>
          </w:p>
        </w:tc>
      </w:tr>
      <w:tr w14:paraId="4EDEE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2031" w:type="dxa"/>
            <w:vAlign w:val="top"/>
          </w:tcPr>
          <w:p w14:paraId="2E146B66">
            <w:pPr>
              <w:spacing w:line="297" w:lineRule="auto"/>
              <w:rPr>
                <w:rFonts w:ascii="Arial"/>
                <w:sz w:val="21"/>
              </w:rPr>
            </w:pPr>
          </w:p>
          <w:p w14:paraId="3230F094">
            <w:pPr>
              <w:pStyle w:val="6"/>
              <w:spacing w:before="65" w:line="229" w:lineRule="auto"/>
              <w:ind w:left="602"/>
            </w:pPr>
            <w:r>
              <w:rPr>
                <w:spacing w:val="6"/>
              </w:rPr>
              <w:t>建设地点</w:t>
            </w:r>
          </w:p>
        </w:tc>
        <w:tc>
          <w:tcPr>
            <w:tcW w:w="1749" w:type="dxa"/>
            <w:vAlign w:val="top"/>
          </w:tcPr>
          <w:p w14:paraId="58EA6F79">
            <w:pPr>
              <w:pStyle w:val="6"/>
              <w:spacing w:before="207" w:line="228" w:lineRule="auto"/>
              <w:ind w:left="153"/>
            </w:pPr>
            <w:r>
              <w:rPr>
                <w:spacing w:val="-1"/>
              </w:rPr>
              <w:t>（内蒙古）</w:t>
            </w:r>
            <w:r>
              <w:rPr>
                <w:spacing w:val="-44"/>
              </w:rPr>
              <w:t xml:space="preserve"> </w:t>
            </w:r>
            <w:r>
              <w:rPr>
                <w:spacing w:val="-1"/>
              </w:rPr>
              <w:t>自治</w:t>
            </w:r>
          </w:p>
          <w:p w14:paraId="35F4967D">
            <w:pPr>
              <w:pStyle w:val="6"/>
              <w:spacing w:before="65" w:line="233" w:lineRule="auto"/>
              <w:ind w:left="789"/>
            </w:pPr>
            <w:r>
              <w:t>区</w:t>
            </w:r>
          </w:p>
        </w:tc>
        <w:tc>
          <w:tcPr>
            <w:tcW w:w="1560" w:type="dxa"/>
            <w:vAlign w:val="top"/>
          </w:tcPr>
          <w:p w14:paraId="475217B9">
            <w:pPr>
              <w:pStyle w:val="6"/>
              <w:spacing w:before="207" w:line="227" w:lineRule="auto"/>
              <w:ind w:left="165"/>
            </w:pPr>
            <w:r>
              <w:rPr>
                <w:spacing w:val="4"/>
              </w:rPr>
              <w:t>（锡林郭勒）</w:t>
            </w:r>
          </w:p>
          <w:p w14:paraId="1443870D">
            <w:pPr>
              <w:pStyle w:val="6"/>
              <w:spacing w:before="66" w:line="238" w:lineRule="auto"/>
              <w:ind w:left="678"/>
            </w:pPr>
            <w:r>
              <w:t>盟</w:t>
            </w:r>
          </w:p>
        </w:tc>
        <w:tc>
          <w:tcPr>
            <w:tcW w:w="894" w:type="dxa"/>
            <w:vAlign w:val="top"/>
          </w:tcPr>
          <w:p w14:paraId="23BF0E4B">
            <w:pPr>
              <w:pStyle w:val="6"/>
              <w:spacing w:before="52" w:line="270" w:lineRule="auto"/>
              <w:ind w:left="141" w:right="129" w:firstLine="7"/>
            </w:pPr>
            <w:r>
              <w:rPr>
                <w:spacing w:val="2"/>
              </w:rPr>
              <w:t>（西乌</w:t>
            </w:r>
            <w:r>
              <w:rPr>
                <w:spacing w:val="1"/>
              </w:rPr>
              <w:t xml:space="preserve"> </w:t>
            </w:r>
            <w:r>
              <w:rPr>
                <w:spacing w:val="15"/>
                <w:w w:val="120"/>
              </w:rPr>
              <w:t>珠穆</w:t>
            </w:r>
            <w:r>
              <w:t xml:space="preserve">  </w:t>
            </w:r>
            <w:r>
              <w:rPr>
                <w:spacing w:val="6"/>
              </w:rPr>
              <w:t>沁）旗</w:t>
            </w:r>
          </w:p>
        </w:tc>
        <w:tc>
          <w:tcPr>
            <w:tcW w:w="1078" w:type="dxa"/>
            <w:vAlign w:val="top"/>
          </w:tcPr>
          <w:p w14:paraId="40B58A27">
            <w:pPr>
              <w:spacing w:line="297" w:lineRule="auto"/>
              <w:rPr>
                <w:rFonts w:ascii="Arial"/>
                <w:sz w:val="21"/>
              </w:rPr>
            </w:pPr>
          </w:p>
          <w:p w14:paraId="2BF54E0C">
            <w:pPr>
              <w:pStyle w:val="6"/>
              <w:spacing w:before="65" w:line="227" w:lineRule="auto"/>
              <w:ind w:left="147"/>
            </w:pPr>
            <w:r>
              <w:rPr>
                <w:spacing w:val="1"/>
              </w:rPr>
              <w:t>巴彦花镇</w:t>
            </w:r>
          </w:p>
        </w:tc>
        <w:tc>
          <w:tcPr>
            <w:tcW w:w="1212" w:type="dxa"/>
            <w:vAlign w:val="top"/>
          </w:tcPr>
          <w:p w14:paraId="243E4B10">
            <w:pPr>
              <w:pStyle w:val="6"/>
              <w:spacing w:before="207" w:line="227" w:lineRule="auto"/>
              <w:ind w:left="214"/>
            </w:pPr>
            <w:r>
              <w:rPr>
                <w:spacing w:val="1"/>
              </w:rPr>
              <w:t>巴彦胡博</w:t>
            </w:r>
          </w:p>
          <w:p w14:paraId="6E3D6C8D">
            <w:pPr>
              <w:pStyle w:val="6"/>
              <w:spacing w:before="65" w:line="230" w:lineRule="auto"/>
              <w:ind w:left="406"/>
            </w:pPr>
            <w:r>
              <w:rPr>
                <w:spacing w:val="2"/>
              </w:rPr>
              <w:t>嘎查</w:t>
            </w:r>
          </w:p>
        </w:tc>
      </w:tr>
      <w:tr w14:paraId="14F37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31" w:type="dxa"/>
            <w:vAlign w:val="top"/>
          </w:tcPr>
          <w:p w14:paraId="12065A43">
            <w:pPr>
              <w:pStyle w:val="6"/>
              <w:spacing w:before="53" w:line="228" w:lineRule="auto"/>
              <w:ind w:left="599"/>
            </w:pPr>
            <w:r>
              <w:rPr>
                <w:spacing w:val="7"/>
              </w:rPr>
              <w:t>地理坐标</w:t>
            </w:r>
          </w:p>
        </w:tc>
        <w:tc>
          <w:tcPr>
            <w:tcW w:w="1749" w:type="dxa"/>
            <w:vAlign w:val="top"/>
          </w:tcPr>
          <w:p w14:paraId="23E76549">
            <w:pPr>
              <w:pStyle w:val="6"/>
              <w:spacing w:before="53" w:line="228" w:lineRule="auto"/>
              <w:ind w:left="670"/>
            </w:pPr>
            <w:r>
              <w:rPr>
                <w:spacing w:val="3"/>
              </w:rPr>
              <w:t>经度</w:t>
            </w:r>
          </w:p>
        </w:tc>
        <w:tc>
          <w:tcPr>
            <w:tcW w:w="1560" w:type="dxa"/>
            <w:vAlign w:val="top"/>
          </w:tcPr>
          <w:p w14:paraId="2C056ED1">
            <w:pPr>
              <w:pStyle w:val="6"/>
              <w:spacing w:before="76" w:line="197" w:lineRule="auto"/>
              <w:ind w:left="140"/>
              <w:rPr>
                <w:rFonts w:ascii="Times New Roman" w:hAnsi="Times New Roman" w:eastAsia="Times New Roman" w:cs="Times New Roman"/>
              </w:rPr>
            </w:pPr>
            <w:r>
              <w:rPr>
                <w:rFonts w:ascii="Times New Roman" w:hAnsi="Times New Roman" w:eastAsia="Times New Roman" w:cs="Times New Roman"/>
              </w:rPr>
              <w:t>118</w:t>
            </w:r>
            <w:r>
              <w:rPr>
                <w:rFonts w:ascii="Times New Roman" w:hAnsi="Times New Roman" w:eastAsia="Times New Roman" w:cs="Times New Roman"/>
                <w:spacing w:val="-20"/>
              </w:rPr>
              <w:t xml:space="preserve"> </w:t>
            </w:r>
            <w:r>
              <w:t>°</w:t>
            </w:r>
            <w:r>
              <w:rPr>
                <w:rFonts w:ascii="Times New Roman" w:hAnsi="Times New Roman" w:eastAsia="Times New Roman" w:cs="Times New Roman"/>
              </w:rPr>
              <w:t>57'30.88"</w:t>
            </w:r>
          </w:p>
        </w:tc>
        <w:tc>
          <w:tcPr>
            <w:tcW w:w="894" w:type="dxa"/>
            <w:vAlign w:val="top"/>
          </w:tcPr>
          <w:p w14:paraId="6B02B61B">
            <w:pPr>
              <w:pStyle w:val="6"/>
              <w:spacing w:before="53" w:line="228" w:lineRule="auto"/>
              <w:ind w:left="242"/>
            </w:pPr>
            <w:r>
              <w:rPr>
                <w:spacing w:val="4"/>
              </w:rPr>
              <w:t>纬度</w:t>
            </w:r>
          </w:p>
        </w:tc>
        <w:tc>
          <w:tcPr>
            <w:tcW w:w="2290" w:type="dxa"/>
            <w:gridSpan w:val="2"/>
            <w:vAlign w:val="top"/>
          </w:tcPr>
          <w:p w14:paraId="6ADA7FF8">
            <w:pPr>
              <w:pStyle w:val="6"/>
              <w:spacing w:before="76" w:line="197" w:lineRule="auto"/>
              <w:ind w:left="531"/>
              <w:rPr>
                <w:rFonts w:ascii="Times New Roman" w:hAnsi="Times New Roman" w:eastAsia="Times New Roman" w:cs="Times New Roman"/>
              </w:rPr>
            </w:pPr>
            <w:r>
              <w:rPr>
                <w:rFonts w:ascii="Times New Roman" w:hAnsi="Times New Roman" w:eastAsia="Times New Roman" w:cs="Times New Roman"/>
                <w:spacing w:val="-2"/>
              </w:rPr>
              <w:t>45</w:t>
            </w:r>
            <w:r>
              <w:rPr>
                <w:rFonts w:ascii="Times New Roman" w:hAnsi="Times New Roman" w:eastAsia="Times New Roman" w:cs="Times New Roman"/>
                <w:spacing w:val="-18"/>
              </w:rPr>
              <w:t xml:space="preserve"> </w:t>
            </w:r>
            <w:r>
              <w:rPr>
                <w:spacing w:val="-2"/>
              </w:rPr>
              <w:t>°</w:t>
            </w:r>
            <w:r>
              <w:rPr>
                <w:spacing w:val="-76"/>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27"/>
              </w:rPr>
              <w:t xml:space="preserve"> </w:t>
            </w:r>
            <w:r>
              <w:rPr>
                <w:rFonts w:ascii="Times New Roman" w:hAnsi="Times New Roman" w:eastAsia="Times New Roman" w:cs="Times New Roman"/>
                <w:spacing w:val="-2"/>
              </w:rPr>
              <w:t>17.28"</w:t>
            </w:r>
          </w:p>
        </w:tc>
      </w:tr>
      <w:tr w14:paraId="112BD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031" w:type="dxa"/>
            <w:vAlign w:val="top"/>
          </w:tcPr>
          <w:p w14:paraId="310D2C05">
            <w:pPr>
              <w:pStyle w:val="6"/>
              <w:spacing w:before="52" w:line="228" w:lineRule="auto"/>
              <w:ind w:left="181"/>
            </w:pPr>
            <w:r>
              <w:rPr>
                <w:spacing w:val="8"/>
              </w:rPr>
              <w:t>主要危险物质及分</w:t>
            </w:r>
          </w:p>
          <w:p w14:paraId="4A106B70">
            <w:pPr>
              <w:pStyle w:val="6"/>
              <w:spacing w:before="64" w:line="227" w:lineRule="auto"/>
              <w:ind w:left="916"/>
            </w:pPr>
            <w:r>
              <w:t>布</w:t>
            </w:r>
          </w:p>
        </w:tc>
        <w:tc>
          <w:tcPr>
            <w:tcW w:w="6493" w:type="dxa"/>
            <w:gridSpan w:val="5"/>
            <w:vAlign w:val="top"/>
          </w:tcPr>
          <w:p w14:paraId="0F36D8C0">
            <w:pPr>
              <w:pStyle w:val="6"/>
              <w:spacing w:before="208" w:line="227" w:lineRule="auto"/>
              <w:ind w:left="1673"/>
            </w:pPr>
            <w:r>
              <w:rPr>
                <w:spacing w:val="9"/>
              </w:rPr>
              <w:t>废机油，储存于选厂危废暂存间内</w:t>
            </w:r>
          </w:p>
        </w:tc>
      </w:tr>
      <w:tr w14:paraId="57089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6" w:hRule="atLeast"/>
        </w:trPr>
        <w:tc>
          <w:tcPr>
            <w:tcW w:w="2031" w:type="dxa"/>
            <w:vAlign w:val="top"/>
          </w:tcPr>
          <w:p w14:paraId="33911513">
            <w:pPr>
              <w:spacing w:line="276" w:lineRule="auto"/>
              <w:rPr>
                <w:rFonts w:ascii="Arial"/>
                <w:sz w:val="21"/>
              </w:rPr>
            </w:pPr>
          </w:p>
          <w:p w14:paraId="7C8CB93C">
            <w:pPr>
              <w:spacing w:line="277" w:lineRule="auto"/>
              <w:rPr>
                <w:rFonts w:ascii="Arial"/>
                <w:sz w:val="21"/>
              </w:rPr>
            </w:pPr>
          </w:p>
          <w:p w14:paraId="594E8C10">
            <w:pPr>
              <w:spacing w:line="277" w:lineRule="auto"/>
              <w:rPr>
                <w:rFonts w:ascii="Arial"/>
                <w:sz w:val="21"/>
              </w:rPr>
            </w:pPr>
          </w:p>
          <w:p w14:paraId="2C9B8F54">
            <w:pPr>
              <w:spacing w:line="277" w:lineRule="auto"/>
              <w:rPr>
                <w:rFonts w:ascii="Arial"/>
                <w:sz w:val="21"/>
              </w:rPr>
            </w:pPr>
          </w:p>
          <w:p w14:paraId="511C2DAE">
            <w:pPr>
              <w:spacing w:line="277" w:lineRule="auto"/>
              <w:rPr>
                <w:rFonts w:ascii="Arial"/>
                <w:sz w:val="21"/>
              </w:rPr>
            </w:pPr>
          </w:p>
          <w:p w14:paraId="01892637">
            <w:pPr>
              <w:pStyle w:val="6"/>
              <w:spacing w:before="65" w:line="228" w:lineRule="auto"/>
              <w:ind w:left="179"/>
            </w:pPr>
            <w:r>
              <w:rPr>
                <w:spacing w:val="8"/>
              </w:rPr>
              <w:t>环境影响途径及危</w:t>
            </w:r>
          </w:p>
          <w:p w14:paraId="338467A5">
            <w:pPr>
              <w:pStyle w:val="6"/>
              <w:spacing w:before="65" w:line="228" w:lineRule="auto"/>
              <w:ind w:left="119"/>
            </w:pPr>
            <w:r>
              <w:rPr>
                <w:spacing w:val="-1"/>
              </w:rPr>
              <w:t>害后果（大气、地表</w:t>
            </w:r>
          </w:p>
          <w:p w14:paraId="457E8409">
            <w:pPr>
              <w:pStyle w:val="6"/>
              <w:spacing w:before="64" w:line="228" w:lineRule="auto"/>
              <w:ind w:left="287"/>
            </w:pPr>
            <w:r>
              <w:rPr>
                <w:spacing w:val="6"/>
              </w:rPr>
              <w:t>水、地下水等）</w:t>
            </w:r>
          </w:p>
        </w:tc>
        <w:tc>
          <w:tcPr>
            <w:tcW w:w="6493" w:type="dxa"/>
            <w:gridSpan w:val="5"/>
            <w:vAlign w:val="top"/>
          </w:tcPr>
          <w:p w14:paraId="0118E252">
            <w:pPr>
              <w:pStyle w:val="6"/>
              <w:spacing w:before="54" w:line="225" w:lineRule="auto"/>
              <w:ind w:left="111"/>
            </w:pPr>
            <w:r>
              <w:rPr>
                <w:spacing w:val="8"/>
              </w:rPr>
              <w:t>①地下水环境</w:t>
            </w:r>
          </w:p>
          <w:p w14:paraId="69DCD3B3">
            <w:pPr>
              <w:pStyle w:val="6"/>
              <w:spacing w:before="67" w:line="288" w:lineRule="auto"/>
              <w:ind w:left="110" w:right="541"/>
            </w:pPr>
            <w:r>
              <w:rPr>
                <w:spacing w:val="8"/>
              </w:rPr>
              <w:t>废机油发生泄漏渗入地下，会给周边地下水环境带来污染隐患。</w:t>
            </w:r>
            <w:r>
              <w:rPr>
                <w:spacing w:val="10"/>
              </w:rPr>
              <w:t xml:space="preserve"> </w:t>
            </w:r>
            <w:r>
              <w:rPr>
                <w:spacing w:val="8"/>
              </w:rPr>
              <w:t>②大气环境</w:t>
            </w:r>
          </w:p>
          <w:p w14:paraId="631902B0">
            <w:pPr>
              <w:pStyle w:val="6"/>
              <w:spacing w:before="5" w:line="281" w:lineRule="auto"/>
              <w:ind w:left="110" w:right="53" w:firstLine="5"/>
            </w:pPr>
            <w:r>
              <w:rPr>
                <w:spacing w:val="9"/>
              </w:rPr>
              <w:t>项目废气产生来源主要为矿石运输及破碎产生的</w:t>
            </w:r>
            <w:r>
              <w:rPr>
                <w:spacing w:val="8"/>
              </w:rPr>
              <w:t>粉尘，粉尘主要成分</w:t>
            </w:r>
            <w:r>
              <w:t xml:space="preserve"> </w:t>
            </w:r>
            <w:r>
              <w:rPr>
                <w:spacing w:val="7"/>
              </w:rPr>
              <w:t>为</w:t>
            </w:r>
            <w:r>
              <w:rPr>
                <w:spacing w:val="-34"/>
              </w:rPr>
              <w:t xml:space="preserve"> </w:t>
            </w:r>
            <w:r>
              <w:rPr>
                <w:rFonts w:ascii="Times New Roman" w:hAnsi="Times New Roman" w:eastAsia="Times New Roman" w:cs="Times New Roman"/>
              </w:rPr>
              <w:t>SiO</w:t>
            </w:r>
            <w:r>
              <w:rPr>
                <w:rFonts w:ascii="Times New Roman" w:hAnsi="Times New Roman" w:eastAsia="Times New Roman" w:cs="Times New Roman"/>
                <w:spacing w:val="7"/>
                <w:position w:val="-1"/>
                <w:sz w:val="13"/>
                <w:szCs w:val="13"/>
              </w:rPr>
              <w:t>2</w:t>
            </w:r>
            <w:r>
              <w:rPr>
                <w:rFonts w:ascii="Times New Roman" w:hAnsi="Times New Roman" w:eastAsia="Times New Roman" w:cs="Times New Roman"/>
                <w:spacing w:val="-6"/>
                <w:position w:val="-1"/>
                <w:sz w:val="13"/>
                <w:szCs w:val="13"/>
              </w:rPr>
              <w:t xml:space="preserve"> </w:t>
            </w:r>
            <w:r>
              <w:rPr>
                <w:spacing w:val="7"/>
              </w:rPr>
              <w:t>，含有铅、锌、银等重金属，多数通过自降和降</w:t>
            </w:r>
            <w:r>
              <w:rPr>
                <w:spacing w:val="6"/>
              </w:rPr>
              <w:t>水淋溶等途径</w:t>
            </w:r>
            <w:r>
              <w:t xml:space="preserve"> </w:t>
            </w:r>
            <w:r>
              <w:rPr>
                <w:spacing w:val="4"/>
              </w:rPr>
              <w:t>进入土壤环境。粉尘在土壤中累积会增强土壤粘结性，造成土壤板结，</w:t>
            </w:r>
            <w:r>
              <w:t xml:space="preserve"> </w:t>
            </w:r>
            <w:r>
              <w:rPr>
                <w:spacing w:val="4"/>
              </w:rPr>
              <w:t>并且降低土壤孔隙度，使土壤表层结壳，阻碍土壤与大气的气体交换，</w:t>
            </w:r>
            <w:r>
              <w:t xml:space="preserve"> </w:t>
            </w:r>
            <w:r>
              <w:rPr>
                <w:spacing w:val="9"/>
              </w:rPr>
              <w:t>抑制土壤微生物活动，影响土壤的力正常发挥，降低土壤肥</w:t>
            </w:r>
            <w:r>
              <w:rPr>
                <w:spacing w:val="8"/>
              </w:rPr>
              <w:t>力。根据</w:t>
            </w:r>
            <w:r>
              <w:t xml:space="preserve"> </w:t>
            </w:r>
            <w:r>
              <w:rPr>
                <w:spacing w:val="7"/>
              </w:rPr>
              <w:t>有关粉尘对土壤影响的试验研究，粉尘量达到每年每千</w:t>
            </w:r>
            <w:r>
              <w:rPr>
                <w:spacing w:val="6"/>
              </w:rPr>
              <w:t>克土壤接纳</w:t>
            </w:r>
            <w:r>
              <w:rPr>
                <w:spacing w:val="-41"/>
              </w:rPr>
              <w:t xml:space="preserve"> </w:t>
            </w:r>
            <w:r>
              <w:rPr>
                <w:rFonts w:ascii="Times New Roman" w:hAnsi="Times New Roman" w:eastAsia="Times New Roman" w:cs="Times New Roman"/>
                <w:spacing w:val="6"/>
              </w:rPr>
              <w:t>2g</w:t>
            </w:r>
            <w:r>
              <w:rPr>
                <w:rFonts w:ascii="Times New Roman" w:hAnsi="Times New Roman" w:eastAsia="Times New Roman" w:cs="Times New Roman"/>
              </w:rPr>
              <w:t xml:space="preserve">  </w:t>
            </w:r>
            <w:r>
              <w:rPr>
                <w:spacing w:val="11"/>
              </w:rPr>
              <w:t>粉尘条件下，经过</w:t>
            </w:r>
            <w:r>
              <w:rPr>
                <w:spacing w:val="-23"/>
              </w:rPr>
              <w:t xml:space="preserve"> </w:t>
            </w:r>
            <w:r>
              <w:rPr>
                <w:rFonts w:ascii="Times New Roman" w:hAnsi="Times New Roman" w:eastAsia="Times New Roman" w:cs="Times New Roman"/>
                <w:spacing w:val="11"/>
              </w:rPr>
              <w:t xml:space="preserve">20 </w:t>
            </w:r>
            <w:r>
              <w:rPr>
                <w:spacing w:val="11"/>
              </w:rPr>
              <w:t>年的积累，才能对土壤结构产生明显影响，选</w:t>
            </w:r>
            <w:r>
              <w:t xml:space="preserve"> </w:t>
            </w:r>
            <w:r>
              <w:rPr>
                <w:spacing w:val="9"/>
              </w:rPr>
              <w:t>矿过程中的扬尘强度远低于该数值，所以不会对土壤结构产</w:t>
            </w:r>
            <w:r>
              <w:rPr>
                <w:spacing w:val="8"/>
              </w:rPr>
              <w:t>生明显不</w:t>
            </w:r>
            <w:r>
              <w:t xml:space="preserve"> </w:t>
            </w:r>
            <w:r>
              <w:rPr>
                <w:spacing w:val="5"/>
              </w:rPr>
              <w:t>利影响。</w:t>
            </w:r>
          </w:p>
        </w:tc>
      </w:tr>
      <w:tr w14:paraId="4BD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2031" w:type="dxa"/>
            <w:vAlign w:val="top"/>
          </w:tcPr>
          <w:p w14:paraId="6D353A2C">
            <w:pPr>
              <w:spacing w:line="457" w:lineRule="auto"/>
              <w:rPr>
                <w:rFonts w:ascii="Arial"/>
                <w:sz w:val="21"/>
              </w:rPr>
            </w:pPr>
          </w:p>
          <w:p w14:paraId="2A5D7980">
            <w:pPr>
              <w:pStyle w:val="6"/>
              <w:spacing w:before="65" w:line="228" w:lineRule="auto"/>
              <w:ind w:left="180"/>
            </w:pPr>
            <w:r>
              <w:rPr>
                <w:spacing w:val="8"/>
              </w:rPr>
              <w:t>风险防范措施要求</w:t>
            </w:r>
          </w:p>
        </w:tc>
        <w:tc>
          <w:tcPr>
            <w:tcW w:w="6493" w:type="dxa"/>
            <w:gridSpan w:val="5"/>
            <w:vAlign w:val="top"/>
          </w:tcPr>
          <w:p w14:paraId="7ADAB72F">
            <w:pPr>
              <w:pStyle w:val="6"/>
              <w:spacing w:before="57" w:line="225" w:lineRule="auto"/>
              <w:ind w:left="111"/>
            </w:pPr>
            <w:r>
              <w:rPr>
                <w:spacing w:val="7"/>
              </w:rPr>
              <w:t>①设计方面</w:t>
            </w:r>
          </w:p>
          <w:p w14:paraId="2401A0B7">
            <w:pPr>
              <w:pStyle w:val="6"/>
              <w:spacing w:before="66" w:line="270" w:lineRule="auto"/>
              <w:ind w:left="112" w:right="108" w:firstLine="2"/>
            </w:pPr>
            <w:r>
              <w:rPr>
                <w:spacing w:val="9"/>
              </w:rPr>
              <w:t>设计阶段应尽可能全面考虑各种风险因素，消除</w:t>
            </w:r>
            <w:r>
              <w:rPr>
                <w:spacing w:val="8"/>
              </w:rPr>
              <w:t>隐患，为施工和运营</w:t>
            </w:r>
            <w:r>
              <w:t xml:space="preserve"> </w:t>
            </w:r>
            <w:r>
              <w:rPr>
                <w:spacing w:val="9"/>
              </w:rPr>
              <w:t>提供安全保障前提。地下水影响方面，设计时重点考虑生产</w:t>
            </w:r>
            <w:r>
              <w:rPr>
                <w:spacing w:val="8"/>
              </w:rPr>
              <w:t>区域的防</w:t>
            </w:r>
            <w:r>
              <w:t xml:space="preserve"> </w:t>
            </w:r>
            <w:r>
              <w:rPr>
                <w:spacing w:val="8"/>
              </w:rPr>
              <w:t>渗措施以及做好日常管理。</w:t>
            </w:r>
          </w:p>
        </w:tc>
      </w:tr>
    </w:tbl>
    <w:p w14:paraId="09E555E5">
      <w:pPr>
        <w:pStyle w:val="2"/>
        <w:spacing w:line="79" w:lineRule="exact"/>
        <w:rPr>
          <w:sz w:val="6"/>
        </w:rPr>
      </w:pPr>
    </w:p>
    <w:p w14:paraId="64CDD49E">
      <w:pPr>
        <w:spacing w:line="79" w:lineRule="exact"/>
        <w:rPr>
          <w:sz w:val="6"/>
          <w:szCs w:val="6"/>
        </w:rPr>
        <w:sectPr>
          <w:headerReference r:id="rId360" w:type="default"/>
          <w:footerReference r:id="rId361" w:type="default"/>
          <w:pgSz w:w="11906" w:h="16839"/>
          <w:pgMar w:top="1208" w:right="1688" w:bottom="1358" w:left="1688" w:header="825" w:footer="1195" w:gutter="0"/>
          <w:cols w:space="720" w:num="1"/>
        </w:sectPr>
      </w:pPr>
    </w:p>
    <w:p w14:paraId="7AFB15D2">
      <w:pPr>
        <w:spacing w:line="231" w:lineRule="exact"/>
      </w:pPr>
    </w:p>
    <w:tbl>
      <w:tblPr>
        <w:tblStyle w:val="5"/>
        <w:tblW w:w="8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0"/>
        <w:gridCol w:w="6494"/>
      </w:tblGrid>
      <w:tr w14:paraId="714C3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2030" w:type="dxa"/>
            <w:vAlign w:val="top"/>
          </w:tcPr>
          <w:p w14:paraId="1F0EAAB5">
            <w:pPr>
              <w:rPr>
                <w:rFonts w:ascii="Arial"/>
                <w:sz w:val="21"/>
              </w:rPr>
            </w:pPr>
          </w:p>
        </w:tc>
        <w:tc>
          <w:tcPr>
            <w:tcW w:w="6494" w:type="dxa"/>
            <w:vAlign w:val="top"/>
          </w:tcPr>
          <w:p w14:paraId="0B83339D">
            <w:pPr>
              <w:pStyle w:val="6"/>
              <w:spacing w:before="56" w:line="225" w:lineRule="auto"/>
              <w:ind w:left="111"/>
            </w:pPr>
            <w:r>
              <w:rPr>
                <w:spacing w:val="8"/>
              </w:rPr>
              <w:t>②运营方面</w:t>
            </w:r>
          </w:p>
          <w:p w14:paraId="4873237F">
            <w:pPr>
              <w:pStyle w:val="6"/>
              <w:spacing w:before="67" w:line="227" w:lineRule="auto"/>
              <w:ind w:left="106"/>
            </w:pPr>
            <w:r>
              <w:rPr>
                <w:rFonts w:ascii="Times New Roman" w:hAnsi="Times New Roman" w:eastAsia="Times New Roman" w:cs="Times New Roman"/>
                <w:spacing w:val="9"/>
              </w:rPr>
              <w:t xml:space="preserve">A </w:t>
            </w:r>
            <w:r>
              <w:rPr>
                <w:spacing w:val="9"/>
              </w:rPr>
              <w:t>加强企业管理，规范操作规程，严格执行采场各项制度和规定。</w:t>
            </w:r>
          </w:p>
          <w:p w14:paraId="49A877FF">
            <w:pPr>
              <w:pStyle w:val="6"/>
              <w:spacing w:before="67" w:line="269" w:lineRule="auto"/>
              <w:ind w:left="122" w:right="108" w:hanging="14"/>
            </w:pPr>
            <w:r>
              <w:rPr>
                <w:rFonts w:ascii="Times New Roman" w:hAnsi="Times New Roman" w:eastAsia="Times New Roman" w:cs="Times New Roman"/>
                <w:spacing w:val="9"/>
              </w:rPr>
              <w:t>B</w:t>
            </w:r>
            <w:r>
              <w:rPr>
                <w:rFonts w:ascii="Times New Roman" w:hAnsi="Times New Roman" w:eastAsia="Times New Roman" w:cs="Times New Roman"/>
                <w:spacing w:val="18"/>
              </w:rPr>
              <w:t xml:space="preserve"> </w:t>
            </w:r>
            <w:r>
              <w:rPr>
                <w:spacing w:val="9"/>
              </w:rPr>
              <w:t>公司成立应急救援小组，发生事故时，以应急救援小组为基础，立</w:t>
            </w:r>
            <w:r>
              <w:t xml:space="preserve"> </w:t>
            </w:r>
            <w:r>
              <w:rPr>
                <w:spacing w:val="8"/>
              </w:rPr>
              <w:t>即成立应急救援指挥部，负责全单位应急救援工作的组织和指挥，及</w:t>
            </w:r>
            <w:r>
              <w:rPr>
                <w:spacing w:val="17"/>
              </w:rPr>
              <w:t xml:space="preserve"> </w:t>
            </w:r>
            <w:r>
              <w:rPr>
                <w:spacing w:val="8"/>
              </w:rPr>
              <w:t>时对事故进行处理，消除环境风险污染源。</w:t>
            </w:r>
          </w:p>
        </w:tc>
      </w:tr>
      <w:tr w14:paraId="5A2D1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524" w:type="dxa"/>
            <w:gridSpan w:val="2"/>
            <w:vAlign w:val="top"/>
          </w:tcPr>
          <w:p w14:paraId="7C62B87E">
            <w:pPr>
              <w:pStyle w:val="6"/>
              <w:spacing w:before="54" w:line="225" w:lineRule="auto"/>
              <w:ind w:left="116"/>
            </w:pPr>
            <w:r>
              <w:rPr>
                <w:spacing w:val="9"/>
              </w:rPr>
              <w:t>填表说明（列出项目相关信息及评价说明</w:t>
            </w:r>
            <w:r>
              <w:rPr>
                <w:spacing w:val="2"/>
              </w:rPr>
              <w:t>）：</w:t>
            </w:r>
          </w:p>
          <w:p w14:paraId="680ACD79">
            <w:pPr>
              <w:pStyle w:val="6"/>
              <w:spacing w:before="67" w:line="262" w:lineRule="auto"/>
              <w:ind w:left="117" w:right="110" w:hanging="2"/>
            </w:pPr>
            <w:r>
              <w:rPr>
                <w:spacing w:val="7"/>
              </w:rPr>
              <w:t>技改工程完成后，采场废机油运至矿区内干选厂厂区危废暂存间内储存。在此条件下，废机</w:t>
            </w:r>
            <w:r>
              <w:rPr>
                <w:spacing w:val="11"/>
              </w:rPr>
              <w:t xml:space="preserve"> </w:t>
            </w:r>
            <w:r>
              <w:rPr>
                <w:spacing w:val="9"/>
              </w:rPr>
              <w:t>油泄露可得到有效控制，对土壤、地下水的影响很小。</w:t>
            </w:r>
          </w:p>
        </w:tc>
      </w:tr>
    </w:tbl>
    <w:p w14:paraId="31DC0F62">
      <w:pPr>
        <w:pStyle w:val="2"/>
        <w:spacing w:line="269" w:lineRule="auto"/>
      </w:pPr>
    </w:p>
    <w:p w14:paraId="5E0A7172">
      <w:pPr>
        <w:spacing w:before="78" w:line="212" w:lineRule="auto"/>
        <w:ind w:left="2673"/>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8.7-7    </w:t>
      </w:r>
      <w:r>
        <w:rPr>
          <w:rFonts w:ascii="宋体" w:hAnsi="宋体" w:eastAsia="宋体" w:cs="宋体"/>
          <w:spacing w:val="-2"/>
          <w:sz w:val="24"/>
          <w:szCs w:val="24"/>
        </w:rPr>
        <w:t>环境风险评价自查表</w:t>
      </w:r>
    </w:p>
    <w:tbl>
      <w:tblPr>
        <w:tblStyle w:val="5"/>
        <w:tblW w:w="8366" w:type="dxa"/>
        <w:tblInd w:w="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1341"/>
        <w:gridCol w:w="903"/>
        <w:gridCol w:w="577"/>
        <w:gridCol w:w="1161"/>
        <w:gridCol w:w="406"/>
        <w:gridCol w:w="812"/>
        <w:gridCol w:w="638"/>
        <w:gridCol w:w="339"/>
        <w:gridCol w:w="475"/>
        <w:gridCol w:w="1275"/>
      </w:tblGrid>
      <w:tr w14:paraId="6A08B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780" w:type="dxa"/>
            <w:gridSpan w:val="2"/>
            <w:vAlign w:val="top"/>
          </w:tcPr>
          <w:p w14:paraId="097C632F">
            <w:pPr>
              <w:pStyle w:val="6"/>
              <w:spacing w:before="69" w:line="228" w:lineRule="auto"/>
              <w:ind w:left="477"/>
            </w:pPr>
            <w:r>
              <w:rPr>
                <w:spacing w:val="6"/>
              </w:rPr>
              <w:t>工作内容</w:t>
            </w:r>
          </w:p>
        </w:tc>
        <w:tc>
          <w:tcPr>
            <w:tcW w:w="6586" w:type="dxa"/>
            <w:gridSpan w:val="9"/>
            <w:vAlign w:val="top"/>
          </w:tcPr>
          <w:p w14:paraId="33F3AC2D">
            <w:pPr>
              <w:pStyle w:val="6"/>
              <w:spacing w:before="69" w:line="228" w:lineRule="auto"/>
              <w:ind w:left="2877"/>
            </w:pPr>
            <w:r>
              <w:rPr>
                <w:spacing w:val="6"/>
              </w:rPr>
              <w:t>完成情况</w:t>
            </w:r>
          </w:p>
        </w:tc>
      </w:tr>
      <w:tr w14:paraId="6770C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9" w:type="dxa"/>
            <w:vMerge w:val="restart"/>
            <w:tcBorders>
              <w:bottom w:val="nil"/>
            </w:tcBorders>
            <w:textDirection w:val="tbRlV"/>
            <w:vAlign w:val="top"/>
          </w:tcPr>
          <w:p w14:paraId="14544C43">
            <w:pPr>
              <w:pStyle w:val="6"/>
              <w:spacing w:before="112" w:line="216" w:lineRule="auto"/>
              <w:ind w:left="810"/>
            </w:pPr>
            <w:r>
              <w:rPr>
                <w:spacing w:val="6"/>
              </w:rPr>
              <w:t>风 危 险 调 查</w:t>
            </w:r>
          </w:p>
        </w:tc>
        <w:tc>
          <w:tcPr>
            <w:tcW w:w="1341" w:type="dxa"/>
            <w:vMerge w:val="restart"/>
            <w:tcBorders>
              <w:bottom w:val="nil"/>
            </w:tcBorders>
            <w:vAlign w:val="top"/>
          </w:tcPr>
          <w:p w14:paraId="2F2D62C1">
            <w:pPr>
              <w:spacing w:line="316" w:lineRule="auto"/>
              <w:rPr>
                <w:rFonts w:ascii="Arial"/>
                <w:sz w:val="21"/>
              </w:rPr>
            </w:pPr>
          </w:p>
          <w:p w14:paraId="2FD42BB7">
            <w:pPr>
              <w:pStyle w:val="6"/>
              <w:spacing w:before="65" w:line="228" w:lineRule="auto"/>
              <w:ind w:left="257"/>
            </w:pPr>
            <w:r>
              <w:rPr>
                <w:spacing w:val="6"/>
              </w:rPr>
              <w:t>危险物质</w:t>
            </w:r>
          </w:p>
        </w:tc>
        <w:tc>
          <w:tcPr>
            <w:tcW w:w="903" w:type="dxa"/>
            <w:vAlign w:val="top"/>
          </w:tcPr>
          <w:p w14:paraId="7782C7EF">
            <w:pPr>
              <w:pStyle w:val="6"/>
              <w:spacing w:before="65" w:line="230" w:lineRule="auto"/>
              <w:ind w:left="248"/>
            </w:pPr>
            <w:r>
              <w:rPr>
                <w:spacing w:val="3"/>
              </w:rPr>
              <w:t>名称</w:t>
            </w:r>
          </w:p>
        </w:tc>
        <w:tc>
          <w:tcPr>
            <w:tcW w:w="5683" w:type="dxa"/>
            <w:gridSpan w:val="8"/>
            <w:vAlign w:val="top"/>
          </w:tcPr>
          <w:p w14:paraId="156D2877">
            <w:pPr>
              <w:pStyle w:val="6"/>
              <w:spacing w:before="65" w:line="228" w:lineRule="auto"/>
              <w:ind w:left="2528"/>
            </w:pPr>
            <w:r>
              <w:rPr>
                <w:spacing w:val="7"/>
              </w:rPr>
              <w:t>废油类</w:t>
            </w:r>
          </w:p>
        </w:tc>
      </w:tr>
      <w:tr w14:paraId="1983E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39" w:type="dxa"/>
            <w:vMerge w:val="continue"/>
            <w:tcBorders>
              <w:top w:val="nil"/>
              <w:bottom w:val="nil"/>
            </w:tcBorders>
            <w:textDirection w:val="tbRlV"/>
            <w:vAlign w:val="top"/>
          </w:tcPr>
          <w:p w14:paraId="6F898D31">
            <w:pPr>
              <w:rPr>
                <w:rFonts w:ascii="Arial"/>
                <w:sz w:val="21"/>
              </w:rPr>
            </w:pPr>
          </w:p>
        </w:tc>
        <w:tc>
          <w:tcPr>
            <w:tcW w:w="1341" w:type="dxa"/>
            <w:vMerge w:val="continue"/>
            <w:tcBorders>
              <w:top w:val="nil"/>
            </w:tcBorders>
            <w:vAlign w:val="top"/>
          </w:tcPr>
          <w:p w14:paraId="13604CDC">
            <w:pPr>
              <w:rPr>
                <w:rFonts w:ascii="Arial"/>
                <w:sz w:val="21"/>
              </w:rPr>
            </w:pPr>
          </w:p>
        </w:tc>
        <w:tc>
          <w:tcPr>
            <w:tcW w:w="903" w:type="dxa"/>
            <w:vAlign w:val="top"/>
          </w:tcPr>
          <w:p w14:paraId="0FAAD4F0">
            <w:pPr>
              <w:pStyle w:val="6"/>
              <w:spacing w:before="52" w:line="228" w:lineRule="auto"/>
              <w:ind w:left="35"/>
            </w:pPr>
            <w:r>
              <w:rPr>
                <w:spacing w:val="7"/>
              </w:rPr>
              <w:t>存在总量</w:t>
            </w:r>
          </w:p>
          <w:p w14:paraId="406CDD24">
            <w:pPr>
              <w:spacing w:before="97"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p>
        </w:tc>
        <w:tc>
          <w:tcPr>
            <w:tcW w:w="5683" w:type="dxa"/>
            <w:gridSpan w:val="8"/>
            <w:vAlign w:val="top"/>
          </w:tcPr>
          <w:p w14:paraId="3C918267">
            <w:pPr>
              <w:spacing w:before="245" w:line="195" w:lineRule="auto"/>
              <w:ind w:left="281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5A7C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40C04895">
            <w:pPr>
              <w:rPr>
                <w:rFonts w:ascii="Arial"/>
                <w:sz w:val="21"/>
              </w:rPr>
            </w:pPr>
          </w:p>
        </w:tc>
        <w:tc>
          <w:tcPr>
            <w:tcW w:w="1341" w:type="dxa"/>
            <w:vMerge w:val="restart"/>
            <w:tcBorders>
              <w:bottom w:val="nil"/>
            </w:tcBorders>
            <w:vAlign w:val="top"/>
          </w:tcPr>
          <w:p w14:paraId="6A79BAC6">
            <w:pPr>
              <w:spacing w:line="291" w:lineRule="auto"/>
              <w:rPr>
                <w:rFonts w:ascii="Arial"/>
                <w:sz w:val="21"/>
              </w:rPr>
            </w:pPr>
          </w:p>
          <w:p w14:paraId="77E49151">
            <w:pPr>
              <w:spacing w:line="291" w:lineRule="auto"/>
              <w:rPr>
                <w:rFonts w:ascii="Arial"/>
                <w:sz w:val="21"/>
              </w:rPr>
            </w:pPr>
          </w:p>
          <w:p w14:paraId="39467095">
            <w:pPr>
              <w:spacing w:line="291" w:lineRule="auto"/>
              <w:rPr>
                <w:rFonts w:ascii="Arial"/>
                <w:sz w:val="21"/>
              </w:rPr>
            </w:pPr>
          </w:p>
          <w:p w14:paraId="6C19EBDF">
            <w:pPr>
              <w:pStyle w:val="6"/>
              <w:spacing w:before="65" w:line="228" w:lineRule="auto"/>
              <w:ind w:left="148"/>
            </w:pPr>
            <w:r>
              <w:rPr>
                <w:spacing w:val="8"/>
              </w:rPr>
              <w:t>环境敏感性</w:t>
            </w:r>
          </w:p>
        </w:tc>
        <w:tc>
          <w:tcPr>
            <w:tcW w:w="903" w:type="dxa"/>
            <w:vMerge w:val="restart"/>
            <w:tcBorders>
              <w:bottom w:val="nil"/>
            </w:tcBorders>
            <w:vAlign w:val="top"/>
          </w:tcPr>
          <w:p w14:paraId="3B5BA207">
            <w:pPr>
              <w:pStyle w:val="6"/>
              <w:spacing w:before="243" w:line="227" w:lineRule="auto"/>
              <w:ind w:left="248"/>
            </w:pPr>
            <w:r>
              <w:rPr>
                <w:spacing w:val="3"/>
              </w:rPr>
              <w:t>大气</w:t>
            </w:r>
          </w:p>
        </w:tc>
        <w:tc>
          <w:tcPr>
            <w:tcW w:w="2956" w:type="dxa"/>
            <w:gridSpan w:val="4"/>
            <w:vAlign w:val="top"/>
          </w:tcPr>
          <w:p w14:paraId="19C40219">
            <w:pPr>
              <w:pStyle w:val="6"/>
              <w:spacing w:before="67" w:line="228" w:lineRule="auto"/>
              <w:ind w:left="378"/>
            </w:pPr>
            <w:r>
              <w:rPr>
                <w:rFonts w:ascii="Times New Roman" w:hAnsi="Times New Roman" w:eastAsia="Times New Roman" w:cs="Times New Roman"/>
                <w:spacing w:val="5"/>
              </w:rPr>
              <w:t xml:space="preserve">500m </w:t>
            </w:r>
            <w:r>
              <w:rPr>
                <w:spacing w:val="5"/>
              </w:rPr>
              <w:t>范围内人口数</w:t>
            </w:r>
            <w:r>
              <w:rPr>
                <w:spacing w:val="-34"/>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13"/>
                <w:w w:val="101"/>
              </w:rPr>
              <w:t xml:space="preserve"> </w:t>
            </w:r>
            <w:r>
              <w:rPr>
                <w:spacing w:val="5"/>
              </w:rPr>
              <w:t>人</w:t>
            </w:r>
          </w:p>
        </w:tc>
        <w:tc>
          <w:tcPr>
            <w:tcW w:w="2727" w:type="dxa"/>
            <w:gridSpan w:val="4"/>
            <w:vAlign w:val="top"/>
          </w:tcPr>
          <w:p w14:paraId="23F5DD63">
            <w:pPr>
              <w:pStyle w:val="6"/>
              <w:spacing w:before="67" w:line="228" w:lineRule="auto"/>
              <w:ind w:left="211"/>
            </w:pPr>
            <w:r>
              <w:rPr>
                <w:rFonts w:ascii="Times New Roman" w:hAnsi="Times New Roman" w:eastAsia="Times New Roman" w:cs="Times New Roman"/>
                <w:spacing w:val="4"/>
              </w:rPr>
              <w:t>5</w:t>
            </w:r>
            <w:r>
              <w:rPr>
                <w:rFonts w:ascii="Times New Roman" w:hAnsi="Times New Roman" w:eastAsia="Times New Roman" w:cs="Times New Roman"/>
              </w:rPr>
              <w:t>km</w:t>
            </w:r>
            <w:r>
              <w:rPr>
                <w:rFonts w:ascii="Times New Roman" w:hAnsi="Times New Roman" w:eastAsia="Times New Roman" w:cs="Times New Roman"/>
                <w:spacing w:val="22"/>
                <w:w w:val="101"/>
              </w:rPr>
              <w:t xml:space="preserve"> </w:t>
            </w:r>
            <w:r>
              <w:rPr>
                <w:spacing w:val="4"/>
              </w:rPr>
              <w:t>范围内人口数</w:t>
            </w:r>
            <w:r>
              <w:rPr>
                <w:spacing w:val="-21"/>
              </w:rPr>
              <w:t xml:space="preserve"> </w:t>
            </w:r>
            <w:r>
              <w:rPr>
                <w:rFonts w:ascii="Times New Roman" w:hAnsi="Times New Roman" w:eastAsia="Times New Roman" w:cs="Times New Roman"/>
                <w:spacing w:val="4"/>
              </w:rPr>
              <w:t xml:space="preserve">167 </w:t>
            </w:r>
            <w:r>
              <w:rPr>
                <w:spacing w:val="4"/>
              </w:rPr>
              <w:t>人</w:t>
            </w:r>
          </w:p>
        </w:tc>
      </w:tr>
      <w:tr w14:paraId="0240A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08AE4EA9">
            <w:pPr>
              <w:rPr>
                <w:rFonts w:ascii="Arial"/>
                <w:sz w:val="21"/>
              </w:rPr>
            </w:pPr>
          </w:p>
        </w:tc>
        <w:tc>
          <w:tcPr>
            <w:tcW w:w="1341" w:type="dxa"/>
            <w:vMerge w:val="continue"/>
            <w:tcBorders>
              <w:top w:val="nil"/>
              <w:bottom w:val="nil"/>
            </w:tcBorders>
            <w:vAlign w:val="top"/>
          </w:tcPr>
          <w:p w14:paraId="7F466C17">
            <w:pPr>
              <w:rPr>
                <w:rFonts w:ascii="Arial"/>
                <w:sz w:val="21"/>
              </w:rPr>
            </w:pPr>
          </w:p>
        </w:tc>
        <w:tc>
          <w:tcPr>
            <w:tcW w:w="903" w:type="dxa"/>
            <w:vMerge w:val="continue"/>
            <w:tcBorders>
              <w:top w:val="nil"/>
            </w:tcBorders>
            <w:vAlign w:val="top"/>
          </w:tcPr>
          <w:p w14:paraId="34C06EE5">
            <w:pPr>
              <w:rPr>
                <w:rFonts w:ascii="Arial"/>
                <w:sz w:val="21"/>
              </w:rPr>
            </w:pPr>
          </w:p>
        </w:tc>
        <w:tc>
          <w:tcPr>
            <w:tcW w:w="4408" w:type="dxa"/>
            <w:gridSpan w:val="7"/>
            <w:vAlign w:val="top"/>
          </w:tcPr>
          <w:p w14:paraId="4D6E7571">
            <w:pPr>
              <w:pStyle w:val="6"/>
              <w:spacing w:before="68" w:line="228" w:lineRule="auto"/>
              <w:ind w:left="134"/>
            </w:pPr>
            <w:r>
              <w:rPr>
                <w:spacing w:val="7"/>
              </w:rPr>
              <w:t>每公里管段周边</w:t>
            </w:r>
            <w:r>
              <w:rPr>
                <w:spacing w:val="-28"/>
              </w:rPr>
              <w:t xml:space="preserve"> </w:t>
            </w:r>
            <w:r>
              <w:rPr>
                <w:rFonts w:ascii="Times New Roman" w:hAnsi="Times New Roman" w:eastAsia="Times New Roman" w:cs="Times New Roman"/>
                <w:spacing w:val="7"/>
              </w:rPr>
              <w:t xml:space="preserve">200m </w:t>
            </w:r>
            <w:r>
              <w:rPr>
                <w:spacing w:val="7"/>
              </w:rPr>
              <w:t>范围内人口数（最大）</w:t>
            </w:r>
          </w:p>
        </w:tc>
        <w:tc>
          <w:tcPr>
            <w:tcW w:w="1275" w:type="dxa"/>
            <w:vAlign w:val="top"/>
          </w:tcPr>
          <w:p w14:paraId="50F15507">
            <w:pPr>
              <w:pStyle w:val="6"/>
              <w:spacing w:before="67" w:line="231" w:lineRule="auto"/>
              <w:ind w:left="698"/>
            </w:pPr>
            <w:r>
              <w:t>人</w:t>
            </w:r>
          </w:p>
        </w:tc>
      </w:tr>
      <w:tr w14:paraId="34A72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4DF573EE">
            <w:pPr>
              <w:rPr>
                <w:rFonts w:ascii="Arial"/>
                <w:sz w:val="21"/>
              </w:rPr>
            </w:pPr>
          </w:p>
        </w:tc>
        <w:tc>
          <w:tcPr>
            <w:tcW w:w="1341" w:type="dxa"/>
            <w:vMerge w:val="continue"/>
            <w:tcBorders>
              <w:top w:val="nil"/>
              <w:bottom w:val="nil"/>
            </w:tcBorders>
            <w:vAlign w:val="top"/>
          </w:tcPr>
          <w:p w14:paraId="6DA0D837">
            <w:pPr>
              <w:rPr>
                <w:rFonts w:ascii="Arial"/>
                <w:sz w:val="21"/>
              </w:rPr>
            </w:pPr>
          </w:p>
        </w:tc>
        <w:tc>
          <w:tcPr>
            <w:tcW w:w="903" w:type="dxa"/>
            <w:vMerge w:val="restart"/>
            <w:tcBorders>
              <w:bottom w:val="nil"/>
            </w:tcBorders>
            <w:vAlign w:val="top"/>
          </w:tcPr>
          <w:p w14:paraId="3A789872">
            <w:pPr>
              <w:pStyle w:val="6"/>
              <w:spacing w:before="243" w:line="228" w:lineRule="auto"/>
              <w:ind w:left="139"/>
            </w:pPr>
            <w:r>
              <w:rPr>
                <w:spacing w:val="6"/>
              </w:rPr>
              <w:t>地表水</w:t>
            </w:r>
          </w:p>
        </w:tc>
        <w:tc>
          <w:tcPr>
            <w:tcW w:w="1738" w:type="dxa"/>
            <w:gridSpan w:val="2"/>
            <w:vAlign w:val="top"/>
          </w:tcPr>
          <w:p w14:paraId="3FE2EA57">
            <w:pPr>
              <w:pStyle w:val="6"/>
              <w:spacing w:before="68" w:line="228" w:lineRule="auto"/>
              <w:ind w:left="33"/>
            </w:pPr>
            <w:r>
              <w:rPr>
                <w:spacing w:val="8"/>
              </w:rPr>
              <w:t>地表水功能敏感性</w:t>
            </w:r>
          </w:p>
        </w:tc>
        <w:tc>
          <w:tcPr>
            <w:tcW w:w="1218" w:type="dxa"/>
            <w:gridSpan w:val="2"/>
            <w:vAlign w:val="top"/>
          </w:tcPr>
          <w:p w14:paraId="5C8BF1F9">
            <w:pPr>
              <w:spacing w:before="70" w:line="185" w:lineRule="auto"/>
              <w:ind w:left="405"/>
              <w:rPr>
                <w:rFonts w:ascii="微软雅黑" w:hAnsi="微软雅黑" w:eastAsia="微软雅黑" w:cs="微软雅黑"/>
                <w:sz w:val="20"/>
                <w:szCs w:val="20"/>
              </w:rPr>
            </w:pPr>
            <w:r>
              <w:rPr>
                <w:rFonts w:ascii="Times New Roman" w:hAnsi="Times New Roman" w:eastAsia="Times New Roman" w:cs="Times New Roman"/>
                <w:spacing w:val="20"/>
                <w:sz w:val="20"/>
                <w:szCs w:val="20"/>
              </w:rPr>
              <w:t>F1</w:t>
            </w:r>
            <w:r>
              <w:rPr>
                <w:rFonts w:ascii="微软雅黑" w:hAnsi="微软雅黑" w:eastAsia="微软雅黑" w:cs="微软雅黑"/>
                <w:spacing w:val="20"/>
                <w:sz w:val="20"/>
                <w:szCs w:val="20"/>
              </w:rPr>
              <w:t>□</w:t>
            </w:r>
          </w:p>
        </w:tc>
        <w:tc>
          <w:tcPr>
            <w:tcW w:w="1452" w:type="dxa"/>
            <w:gridSpan w:val="3"/>
            <w:vAlign w:val="top"/>
          </w:tcPr>
          <w:p w14:paraId="68A0CEE0">
            <w:pPr>
              <w:spacing w:before="70" w:line="185" w:lineRule="auto"/>
              <w:ind w:left="524"/>
              <w:rPr>
                <w:rFonts w:ascii="微软雅黑" w:hAnsi="微软雅黑" w:eastAsia="微软雅黑" w:cs="微软雅黑"/>
                <w:sz w:val="20"/>
                <w:szCs w:val="20"/>
              </w:rPr>
            </w:pPr>
            <w:r>
              <w:rPr>
                <w:rFonts w:ascii="Times New Roman" w:hAnsi="Times New Roman" w:eastAsia="Times New Roman" w:cs="Times New Roman"/>
                <w:spacing w:val="20"/>
                <w:sz w:val="20"/>
                <w:szCs w:val="20"/>
              </w:rPr>
              <w:t>F2</w:t>
            </w:r>
            <w:r>
              <w:rPr>
                <w:rFonts w:ascii="微软雅黑" w:hAnsi="微软雅黑" w:eastAsia="微软雅黑" w:cs="微软雅黑"/>
                <w:spacing w:val="20"/>
                <w:sz w:val="20"/>
                <w:szCs w:val="20"/>
              </w:rPr>
              <w:t>□</w:t>
            </w:r>
          </w:p>
        </w:tc>
        <w:tc>
          <w:tcPr>
            <w:tcW w:w="1275" w:type="dxa"/>
            <w:vAlign w:val="top"/>
          </w:tcPr>
          <w:p w14:paraId="3B44827E">
            <w:pPr>
              <w:spacing w:before="70" w:line="185" w:lineRule="auto"/>
              <w:ind w:left="432"/>
              <w:rPr>
                <w:rFonts w:ascii="微软雅黑" w:hAnsi="微软雅黑" w:eastAsia="微软雅黑" w:cs="微软雅黑"/>
                <w:sz w:val="20"/>
                <w:szCs w:val="20"/>
              </w:rPr>
            </w:pPr>
            <w:r>
              <w:rPr>
                <w:rFonts w:ascii="Times New Roman" w:hAnsi="Times New Roman" w:eastAsia="Times New Roman" w:cs="Times New Roman"/>
                <w:spacing w:val="21"/>
                <w:sz w:val="20"/>
                <w:szCs w:val="20"/>
              </w:rPr>
              <w:t>F3</w:t>
            </w:r>
            <w:r>
              <w:rPr>
                <w:rFonts w:ascii="微软雅黑" w:hAnsi="微软雅黑" w:eastAsia="微软雅黑" w:cs="微软雅黑"/>
                <w:spacing w:val="21"/>
                <w:sz w:val="20"/>
                <w:szCs w:val="20"/>
              </w:rPr>
              <w:t>□</w:t>
            </w:r>
          </w:p>
        </w:tc>
      </w:tr>
      <w:tr w14:paraId="4DD1B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3F147130">
            <w:pPr>
              <w:rPr>
                <w:rFonts w:ascii="Arial"/>
                <w:sz w:val="21"/>
              </w:rPr>
            </w:pPr>
          </w:p>
        </w:tc>
        <w:tc>
          <w:tcPr>
            <w:tcW w:w="1341" w:type="dxa"/>
            <w:vMerge w:val="continue"/>
            <w:tcBorders>
              <w:top w:val="nil"/>
              <w:bottom w:val="nil"/>
            </w:tcBorders>
            <w:vAlign w:val="top"/>
          </w:tcPr>
          <w:p w14:paraId="3F2FB502">
            <w:pPr>
              <w:rPr>
                <w:rFonts w:ascii="Arial"/>
                <w:sz w:val="21"/>
              </w:rPr>
            </w:pPr>
          </w:p>
        </w:tc>
        <w:tc>
          <w:tcPr>
            <w:tcW w:w="903" w:type="dxa"/>
            <w:vMerge w:val="continue"/>
            <w:tcBorders>
              <w:top w:val="nil"/>
            </w:tcBorders>
            <w:vAlign w:val="top"/>
          </w:tcPr>
          <w:p w14:paraId="22AA0A7C">
            <w:pPr>
              <w:rPr>
                <w:rFonts w:ascii="Arial"/>
                <w:sz w:val="21"/>
              </w:rPr>
            </w:pPr>
          </w:p>
        </w:tc>
        <w:tc>
          <w:tcPr>
            <w:tcW w:w="1738" w:type="dxa"/>
            <w:gridSpan w:val="2"/>
            <w:vAlign w:val="top"/>
          </w:tcPr>
          <w:p w14:paraId="0333145E">
            <w:pPr>
              <w:pStyle w:val="6"/>
              <w:spacing w:before="68" w:line="228" w:lineRule="auto"/>
              <w:ind w:left="33"/>
            </w:pPr>
            <w:r>
              <w:rPr>
                <w:spacing w:val="8"/>
              </w:rPr>
              <w:t>环境敏感目标分级</w:t>
            </w:r>
          </w:p>
        </w:tc>
        <w:tc>
          <w:tcPr>
            <w:tcW w:w="1218" w:type="dxa"/>
            <w:gridSpan w:val="2"/>
            <w:vAlign w:val="top"/>
          </w:tcPr>
          <w:p w14:paraId="2DEE6455">
            <w:pPr>
              <w:spacing w:before="70" w:line="185" w:lineRule="auto"/>
              <w:ind w:left="415"/>
              <w:rPr>
                <w:rFonts w:ascii="微软雅黑" w:hAnsi="微软雅黑" w:eastAsia="微软雅黑" w:cs="微软雅黑"/>
                <w:sz w:val="20"/>
                <w:szCs w:val="20"/>
              </w:rPr>
            </w:pPr>
            <w:r>
              <w:rPr>
                <w:rFonts w:ascii="Times New Roman" w:hAnsi="Times New Roman" w:eastAsia="Times New Roman" w:cs="Times New Roman"/>
                <w:spacing w:val="17"/>
                <w:sz w:val="20"/>
                <w:szCs w:val="20"/>
              </w:rPr>
              <w:t>S1</w:t>
            </w:r>
            <w:r>
              <w:rPr>
                <w:rFonts w:ascii="微软雅黑" w:hAnsi="微软雅黑" w:eastAsia="微软雅黑" w:cs="微软雅黑"/>
                <w:spacing w:val="17"/>
                <w:sz w:val="20"/>
                <w:szCs w:val="20"/>
              </w:rPr>
              <w:t>□</w:t>
            </w:r>
          </w:p>
        </w:tc>
        <w:tc>
          <w:tcPr>
            <w:tcW w:w="1452" w:type="dxa"/>
            <w:gridSpan w:val="3"/>
            <w:vAlign w:val="top"/>
          </w:tcPr>
          <w:p w14:paraId="2711106F">
            <w:pPr>
              <w:spacing w:before="70" w:line="185" w:lineRule="auto"/>
              <w:ind w:left="533"/>
              <w:rPr>
                <w:rFonts w:ascii="微软雅黑" w:hAnsi="微软雅黑" w:eastAsia="微软雅黑" w:cs="微软雅黑"/>
                <w:sz w:val="20"/>
                <w:szCs w:val="20"/>
              </w:rPr>
            </w:pPr>
            <w:r>
              <w:rPr>
                <w:rFonts w:ascii="Times New Roman" w:hAnsi="Times New Roman" w:eastAsia="Times New Roman" w:cs="Times New Roman"/>
                <w:spacing w:val="17"/>
                <w:sz w:val="20"/>
                <w:szCs w:val="20"/>
              </w:rPr>
              <w:t>S2</w:t>
            </w:r>
            <w:r>
              <w:rPr>
                <w:rFonts w:ascii="微软雅黑" w:hAnsi="微软雅黑" w:eastAsia="微软雅黑" w:cs="微软雅黑"/>
                <w:spacing w:val="17"/>
                <w:sz w:val="20"/>
                <w:szCs w:val="20"/>
              </w:rPr>
              <w:t>□</w:t>
            </w:r>
          </w:p>
        </w:tc>
        <w:tc>
          <w:tcPr>
            <w:tcW w:w="1275" w:type="dxa"/>
            <w:vAlign w:val="top"/>
          </w:tcPr>
          <w:p w14:paraId="0AEB2788">
            <w:pPr>
              <w:spacing w:before="70" w:line="185" w:lineRule="auto"/>
              <w:ind w:left="442"/>
              <w:rPr>
                <w:rFonts w:ascii="微软雅黑" w:hAnsi="微软雅黑" w:eastAsia="微软雅黑" w:cs="微软雅黑"/>
                <w:sz w:val="20"/>
                <w:szCs w:val="20"/>
              </w:rPr>
            </w:pPr>
            <w:r>
              <w:rPr>
                <w:rFonts w:ascii="Times New Roman" w:hAnsi="Times New Roman" w:eastAsia="Times New Roman" w:cs="Times New Roman"/>
                <w:spacing w:val="18"/>
                <w:sz w:val="20"/>
                <w:szCs w:val="20"/>
              </w:rPr>
              <w:t>S3</w:t>
            </w:r>
            <w:r>
              <w:rPr>
                <w:rFonts w:ascii="微软雅黑" w:hAnsi="微软雅黑" w:eastAsia="微软雅黑" w:cs="微软雅黑"/>
                <w:spacing w:val="18"/>
                <w:sz w:val="20"/>
                <w:szCs w:val="20"/>
              </w:rPr>
              <w:t>□</w:t>
            </w:r>
          </w:p>
        </w:tc>
      </w:tr>
      <w:tr w14:paraId="48735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75C08B3F">
            <w:pPr>
              <w:rPr>
                <w:rFonts w:ascii="Arial"/>
                <w:sz w:val="21"/>
              </w:rPr>
            </w:pPr>
          </w:p>
        </w:tc>
        <w:tc>
          <w:tcPr>
            <w:tcW w:w="1341" w:type="dxa"/>
            <w:vMerge w:val="continue"/>
            <w:tcBorders>
              <w:top w:val="nil"/>
              <w:bottom w:val="nil"/>
            </w:tcBorders>
            <w:vAlign w:val="top"/>
          </w:tcPr>
          <w:p w14:paraId="6C0F367A">
            <w:pPr>
              <w:rPr>
                <w:rFonts w:ascii="Arial"/>
                <w:sz w:val="21"/>
              </w:rPr>
            </w:pPr>
          </w:p>
        </w:tc>
        <w:tc>
          <w:tcPr>
            <w:tcW w:w="903" w:type="dxa"/>
            <w:vMerge w:val="restart"/>
            <w:tcBorders>
              <w:bottom w:val="nil"/>
            </w:tcBorders>
            <w:vAlign w:val="top"/>
          </w:tcPr>
          <w:p w14:paraId="4FCD98B9">
            <w:pPr>
              <w:pStyle w:val="6"/>
              <w:spacing w:before="242" w:line="228" w:lineRule="auto"/>
              <w:ind w:left="139"/>
            </w:pPr>
            <w:r>
              <w:rPr>
                <w:spacing w:val="6"/>
              </w:rPr>
              <w:t>地下水</w:t>
            </w:r>
          </w:p>
        </w:tc>
        <w:tc>
          <w:tcPr>
            <w:tcW w:w="1738" w:type="dxa"/>
            <w:gridSpan w:val="2"/>
            <w:vAlign w:val="top"/>
          </w:tcPr>
          <w:p w14:paraId="44347A51">
            <w:pPr>
              <w:pStyle w:val="6"/>
              <w:spacing w:before="66" w:line="228" w:lineRule="auto"/>
              <w:ind w:left="33"/>
            </w:pPr>
            <w:r>
              <w:rPr>
                <w:spacing w:val="8"/>
              </w:rPr>
              <w:t>地下水功能敏感性</w:t>
            </w:r>
          </w:p>
        </w:tc>
        <w:tc>
          <w:tcPr>
            <w:tcW w:w="1218" w:type="dxa"/>
            <w:gridSpan w:val="2"/>
            <w:vAlign w:val="top"/>
          </w:tcPr>
          <w:p w14:paraId="256C99DB">
            <w:pPr>
              <w:spacing w:before="70" w:line="185" w:lineRule="auto"/>
              <w:ind w:left="392"/>
              <w:rPr>
                <w:rFonts w:ascii="微软雅黑" w:hAnsi="微软雅黑" w:eastAsia="微软雅黑" w:cs="微软雅黑"/>
                <w:sz w:val="20"/>
                <w:szCs w:val="20"/>
              </w:rPr>
            </w:pPr>
            <w:r>
              <w:rPr>
                <w:rFonts w:ascii="Times New Roman" w:hAnsi="Times New Roman" w:eastAsia="Times New Roman" w:cs="Times New Roman"/>
                <w:spacing w:val="19"/>
                <w:sz w:val="20"/>
                <w:szCs w:val="20"/>
              </w:rPr>
              <w:t>G1</w:t>
            </w:r>
            <w:r>
              <w:rPr>
                <w:rFonts w:ascii="微软雅黑" w:hAnsi="微软雅黑" w:eastAsia="微软雅黑" w:cs="微软雅黑"/>
                <w:spacing w:val="19"/>
                <w:sz w:val="20"/>
                <w:szCs w:val="20"/>
              </w:rPr>
              <w:t>□</w:t>
            </w:r>
          </w:p>
        </w:tc>
        <w:tc>
          <w:tcPr>
            <w:tcW w:w="1452" w:type="dxa"/>
            <w:gridSpan w:val="3"/>
            <w:vAlign w:val="top"/>
          </w:tcPr>
          <w:p w14:paraId="78AD7B80">
            <w:pPr>
              <w:spacing w:before="84" w:line="162" w:lineRule="auto"/>
              <w:ind w:left="508"/>
              <w:rPr>
                <w:rFonts w:ascii="微软雅黑" w:hAnsi="微软雅黑" w:eastAsia="微软雅黑" w:cs="微软雅黑"/>
                <w:sz w:val="20"/>
                <w:szCs w:val="20"/>
              </w:rPr>
            </w:pPr>
            <w:r>
              <w:rPr>
                <w:rFonts w:ascii="Times New Roman" w:hAnsi="Times New Roman" w:eastAsia="Times New Roman" w:cs="Times New Roman"/>
                <w:spacing w:val="1"/>
                <w:sz w:val="20"/>
                <w:szCs w:val="20"/>
              </w:rPr>
              <w:t>G2</w:t>
            </w:r>
            <w:r>
              <w:rPr>
                <w:rFonts w:ascii="微软雅黑" w:hAnsi="微软雅黑" w:eastAsia="微软雅黑" w:cs="微软雅黑"/>
                <w:spacing w:val="1"/>
                <w:sz w:val="20"/>
                <w:szCs w:val="20"/>
              </w:rPr>
              <w:t>四</w:t>
            </w:r>
          </w:p>
        </w:tc>
        <w:tc>
          <w:tcPr>
            <w:tcW w:w="1275" w:type="dxa"/>
            <w:vAlign w:val="top"/>
          </w:tcPr>
          <w:p w14:paraId="78E4618C">
            <w:pPr>
              <w:spacing w:before="70" w:line="185" w:lineRule="auto"/>
              <w:ind w:left="420"/>
              <w:rPr>
                <w:rFonts w:ascii="微软雅黑" w:hAnsi="微软雅黑" w:eastAsia="微软雅黑" w:cs="微软雅黑"/>
                <w:sz w:val="20"/>
                <w:szCs w:val="20"/>
              </w:rPr>
            </w:pPr>
            <w:r>
              <w:rPr>
                <w:rFonts w:ascii="Times New Roman" w:hAnsi="Times New Roman" w:eastAsia="Times New Roman" w:cs="Times New Roman"/>
                <w:spacing w:val="20"/>
                <w:sz w:val="20"/>
                <w:szCs w:val="20"/>
              </w:rPr>
              <w:t>G2</w:t>
            </w:r>
            <w:r>
              <w:rPr>
                <w:rFonts w:ascii="微软雅黑" w:hAnsi="微软雅黑" w:eastAsia="微软雅黑" w:cs="微软雅黑"/>
                <w:spacing w:val="20"/>
                <w:sz w:val="20"/>
                <w:szCs w:val="20"/>
              </w:rPr>
              <w:t>□</w:t>
            </w:r>
          </w:p>
        </w:tc>
      </w:tr>
      <w:tr w14:paraId="0806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tcBorders>
            <w:textDirection w:val="tbRlV"/>
            <w:vAlign w:val="top"/>
          </w:tcPr>
          <w:p w14:paraId="63A69105">
            <w:pPr>
              <w:rPr>
                <w:rFonts w:ascii="Arial"/>
                <w:sz w:val="21"/>
              </w:rPr>
            </w:pPr>
          </w:p>
        </w:tc>
        <w:tc>
          <w:tcPr>
            <w:tcW w:w="1341" w:type="dxa"/>
            <w:vMerge w:val="continue"/>
            <w:tcBorders>
              <w:top w:val="nil"/>
            </w:tcBorders>
            <w:vAlign w:val="top"/>
          </w:tcPr>
          <w:p w14:paraId="6F467A66">
            <w:pPr>
              <w:rPr>
                <w:rFonts w:ascii="Arial"/>
                <w:sz w:val="21"/>
              </w:rPr>
            </w:pPr>
          </w:p>
        </w:tc>
        <w:tc>
          <w:tcPr>
            <w:tcW w:w="903" w:type="dxa"/>
            <w:vMerge w:val="continue"/>
            <w:tcBorders>
              <w:top w:val="nil"/>
            </w:tcBorders>
            <w:vAlign w:val="top"/>
          </w:tcPr>
          <w:p w14:paraId="0BE3982F">
            <w:pPr>
              <w:rPr>
                <w:rFonts w:ascii="Arial"/>
                <w:sz w:val="21"/>
              </w:rPr>
            </w:pPr>
          </w:p>
        </w:tc>
        <w:tc>
          <w:tcPr>
            <w:tcW w:w="1738" w:type="dxa"/>
            <w:gridSpan w:val="2"/>
            <w:vAlign w:val="top"/>
          </w:tcPr>
          <w:p w14:paraId="2CA7E89D">
            <w:pPr>
              <w:pStyle w:val="6"/>
              <w:spacing w:before="67" w:line="227" w:lineRule="auto"/>
              <w:ind w:left="139"/>
            </w:pPr>
            <w:r>
              <w:rPr>
                <w:spacing w:val="8"/>
              </w:rPr>
              <w:t>包气带防污性能</w:t>
            </w:r>
          </w:p>
        </w:tc>
        <w:tc>
          <w:tcPr>
            <w:tcW w:w="1218" w:type="dxa"/>
            <w:gridSpan w:val="2"/>
            <w:vAlign w:val="top"/>
          </w:tcPr>
          <w:p w14:paraId="68060D70">
            <w:pPr>
              <w:spacing w:before="70" w:line="185" w:lineRule="auto"/>
              <w:ind w:left="388"/>
              <w:rPr>
                <w:rFonts w:ascii="微软雅黑" w:hAnsi="微软雅黑" w:eastAsia="微软雅黑" w:cs="微软雅黑"/>
                <w:sz w:val="20"/>
                <w:szCs w:val="20"/>
              </w:rPr>
            </w:pPr>
            <w:r>
              <w:rPr>
                <w:rFonts w:ascii="Times New Roman" w:hAnsi="Times New Roman" w:eastAsia="Times New Roman" w:cs="Times New Roman"/>
                <w:spacing w:val="20"/>
                <w:sz w:val="20"/>
                <w:szCs w:val="20"/>
              </w:rPr>
              <w:t>D1</w:t>
            </w:r>
            <w:r>
              <w:rPr>
                <w:rFonts w:ascii="微软雅黑" w:hAnsi="微软雅黑" w:eastAsia="微软雅黑" w:cs="微软雅黑"/>
                <w:spacing w:val="20"/>
                <w:sz w:val="20"/>
                <w:szCs w:val="20"/>
              </w:rPr>
              <w:t>□</w:t>
            </w:r>
          </w:p>
        </w:tc>
        <w:tc>
          <w:tcPr>
            <w:tcW w:w="1452" w:type="dxa"/>
            <w:gridSpan w:val="3"/>
            <w:vAlign w:val="top"/>
          </w:tcPr>
          <w:p w14:paraId="46A4E005">
            <w:pPr>
              <w:spacing w:before="85" w:line="160" w:lineRule="auto"/>
              <w:ind w:left="505"/>
              <w:rPr>
                <w:rFonts w:ascii="微软雅黑" w:hAnsi="微软雅黑" w:eastAsia="微软雅黑" w:cs="微软雅黑"/>
                <w:sz w:val="20"/>
                <w:szCs w:val="20"/>
              </w:rPr>
            </w:pPr>
            <w:r>
              <w:rPr>
                <w:rFonts w:ascii="Times New Roman" w:hAnsi="Times New Roman" w:eastAsia="Times New Roman" w:cs="Times New Roman"/>
                <w:spacing w:val="2"/>
                <w:sz w:val="20"/>
                <w:szCs w:val="20"/>
              </w:rPr>
              <w:t>D2</w:t>
            </w:r>
            <w:r>
              <w:rPr>
                <w:rFonts w:ascii="微软雅黑" w:hAnsi="微软雅黑" w:eastAsia="微软雅黑" w:cs="微软雅黑"/>
                <w:spacing w:val="2"/>
                <w:sz w:val="20"/>
                <w:szCs w:val="20"/>
              </w:rPr>
              <w:t>四</w:t>
            </w:r>
          </w:p>
        </w:tc>
        <w:tc>
          <w:tcPr>
            <w:tcW w:w="1275" w:type="dxa"/>
            <w:vAlign w:val="top"/>
          </w:tcPr>
          <w:p w14:paraId="177C9067">
            <w:pPr>
              <w:spacing w:before="70" w:line="185" w:lineRule="auto"/>
              <w:ind w:left="416"/>
              <w:rPr>
                <w:rFonts w:ascii="微软雅黑" w:hAnsi="微软雅黑" w:eastAsia="微软雅黑" w:cs="微软雅黑"/>
                <w:sz w:val="20"/>
                <w:szCs w:val="20"/>
              </w:rPr>
            </w:pPr>
            <w:r>
              <w:rPr>
                <w:rFonts w:ascii="Times New Roman" w:hAnsi="Times New Roman" w:eastAsia="Times New Roman" w:cs="Times New Roman"/>
                <w:spacing w:val="21"/>
                <w:sz w:val="20"/>
                <w:szCs w:val="20"/>
              </w:rPr>
              <w:t>D3</w:t>
            </w:r>
            <w:r>
              <w:rPr>
                <w:rFonts w:ascii="微软雅黑" w:hAnsi="微软雅黑" w:eastAsia="微软雅黑" w:cs="微软雅黑"/>
                <w:spacing w:val="21"/>
                <w:sz w:val="20"/>
                <w:szCs w:val="20"/>
              </w:rPr>
              <w:t>□</w:t>
            </w:r>
          </w:p>
        </w:tc>
      </w:tr>
      <w:tr w14:paraId="3F20E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restart"/>
            <w:tcBorders>
              <w:bottom w:val="nil"/>
            </w:tcBorders>
            <w:vAlign w:val="top"/>
          </w:tcPr>
          <w:p w14:paraId="6C0B227B">
            <w:pPr>
              <w:pStyle w:val="6"/>
              <w:spacing w:before="261" w:line="290" w:lineRule="auto"/>
              <w:ind w:left="697" w:right="50" w:hanging="642"/>
            </w:pPr>
            <w:r>
              <w:rPr>
                <w:spacing w:val="8"/>
              </w:rPr>
              <w:t>物质及工艺系统危</w:t>
            </w:r>
            <w:r>
              <w:rPr>
                <w:spacing w:val="4"/>
              </w:rPr>
              <w:t xml:space="preserve"> </w:t>
            </w:r>
            <w:r>
              <w:rPr>
                <w:spacing w:val="-1"/>
              </w:rPr>
              <w:t>险性</w:t>
            </w:r>
          </w:p>
        </w:tc>
        <w:tc>
          <w:tcPr>
            <w:tcW w:w="903" w:type="dxa"/>
            <w:vAlign w:val="top"/>
          </w:tcPr>
          <w:p w14:paraId="6709D280">
            <w:pPr>
              <w:spacing w:before="103" w:line="197"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Q</w:t>
            </w:r>
          </w:p>
        </w:tc>
        <w:tc>
          <w:tcPr>
            <w:tcW w:w="1738" w:type="dxa"/>
            <w:gridSpan w:val="2"/>
            <w:vAlign w:val="top"/>
          </w:tcPr>
          <w:p w14:paraId="3A8EC555">
            <w:pPr>
              <w:spacing w:before="84" w:line="175" w:lineRule="auto"/>
              <w:ind w:left="592"/>
              <w:rPr>
                <w:rFonts w:ascii="微软雅黑" w:hAnsi="微软雅黑" w:eastAsia="微软雅黑" w:cs="微软雅黑"/>
                <w:sz w:val="20"/>
                <w:szCs w:val="20"/>
              </w:rPr>
            </w:pPr>
            <w:r>
              <w:rPr>
                <w:rFonts w:ascii="Times New Roman" w:hAnsi="Times New Roman" w:eastAsia="Times New Roman" w:cs="Times New Roman"/>
                <w:spacing w:val="2"/>
                <w:sz w:val="20"/>
                <w:szCs w:val="20"/>
              </w:rPr>
              <w:t>Q&lt;1</w:t>
            </w:r>
            <w:r>
              <w:rPr>
                <w:rFonts w:ascii="微软雅黑" w:hAnsi="微软雅黑" w:eastAsia="微软雅黑" w:cs="微软雅黑"/>
                <w:spacing w:val="2"/>
                <w:sz w:val="20"/>
                <w:szCs w:val="20"/>
              </w:rPr>
              <w:t>四</w:t>
            </w:r>
          </w:p>
        </w:tc>
        <w:tc>
          <w:tcPr>
            <w:tcW w:w="1218" w:type="dxa"/>
            <w:gridSpan w:val="2"/>
            <w:vAlign w:val="top"/>
          </w:tcPr>
          <w:p w14:paraId="48638B04">
            <w:pPr>
              <w:spacing w:before="71" w:line="184" w:lineRule="auto"/>
              <w:ind w:left="188"/>
              <w:rPr>
                <w:rFonts w:ascii="微软雅黑" w:hAnsi="微软雅黑" w:eastAsia="微软雅黑" w:cs="微软雅黑"/>
                <w:sz w:val="20"/>
                <w:szCs w:val="20"/>
              </w:rPr>
            </w:pPr>
            <w:r>
              <w:rPr>
                <w:rFonts w:ascii="Times New Roman" w:hAnsi="Times New Roman" w:eastAsia="Times New Roman" w:cs="Times New Roman"/>
                <w:spacing w:val="8"/>
                <w:sz w:val="20"/>
                <w:szCs w:val="20"/>
              </w:rPr>
              <w:t>1≤Q&lt;10</w:t>
            </w:r>
            <w:r>
              <w:rPr>
                <w:rFonts w:ascii="微软雅黑" w:hAnsi="微软雅黑" w:eastAsia="微软雅黑" w:cs="微软雅黑"/>
                <w:spacing w:val="8"/>
                <w:sz w:val="20"/>
                <w:szCs w:val="20"/>
              </w:rPr>
              <w:t>□</w:t>
            </w:r>
          </w:p>
        </w:tc>
        <w:tc>
          <w:tcPr>
            <w:tcW w:w="1452" w:type="dxa"/>
            <w:gridSpan w:val="3"/>
            <w:vAlign w:val="top"/>
          </w:tcPr>
          <w:p w14:paraId="3417E184">
            <w:pPr>
              <w:spacing w:before="71" w:line="184" w:lineRule="auto"/>
              <w:ind w:left="202"/>
              <w:rPr>
                <w:rFonts w:ascii="微软雅黑" w:hAnsi="微软雅黑" w:eastAsia="微软雅黑" w:cs="微软雅黑"/>
                <w:sz w:val="20"/>
                <w:szCs w:val="20"/>
              </w:rPr>
            </w:pPr>
            <w:r>
              <w:rPr>
                <w:rFonts w:ascii="Times New Roman" w:hAnsi="Times New Roman" w:eastAsia="Times New Roman" w:cs="Times New Roman"/>
                <w:spacing w:val="8"/>
                <w:sz w:val="20"/>
                <w:szCs w:val="20"/>
              </w:rPr>
              <w:t>10≤Q&lt;100</w:t>
            </w:r>
            <w:r>
              <w:rPr>
                <w:rFonts w:ascii="微软雅黑" w:hAnsi="微软雅黑" w:eastAsia="微软雅黑" w:cs="微软雅黑"/>
                <w:spacing w:val="8"/>
                <w:sz w:val="20"/>
                <w:szCs w:val="20"/>
              </w:rPr>
              <w:t>□</w:t>
            </w:r>
          </w:p>
        </w:tc>
        <w:tc>
          <w:tcPr>
            <w:tcW w:w="1275" w:type="dxa"/>
            <w:vAlign w:val="top"/>
          </w:tcPr>
          <w:p w14:paraId="15C6072F">
            <w:pPr>
              <w:spacing w:before="71" w:line="184" w:lineRule="auto"/>
              <w:ind w:left="256"/>
              <w:rPr>
                <w:rFonts w:ascii="微软雅黑" w:hAnsi="微软雅黑" w:eastAsia="微软雅黑" w:cs="微软雅黑"/>
                <w:sz w:val="20"/>
                <w:szCs w:val="20"/>
              </w:rPr>
            </w:pPr>
            <w:r>
              <w:rPr>
                <w:rFonts w:ascii="Times New Roman" w:hAnsi="Times New Roman" w:eastAsia="Times New Roman" w:cs="Times New Roman"/>
                <w:spacing w:val="12"/>
                <w:sz w:val="20"/>
                <w:szCs w:val="20"/>
              </w:rPr>
              <w:t>Q&gt;100</w:t>
            </w:r>
            <w:r>
              <w:rPr>
                <w:rFonts w:ascii="微软雅黑" w:hAnsi="微软雅黑" w:eastAsia="微软雅黑" w:cs="微软雅黑"/>
                <w:spacing w:val="12"/>
                <w:sz w:val="20"/>
                <w:szCs w:val="20"/>
              </w:rPr>
              <w:t>□</w:t>
            </w:r>
          </w:p>
        </w:tc>
      </w:tr>
      <w:tr w14:paraId="3012C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continue"/>
            <w:tcBorders>
              <w:top w:val="nil"/>
              <w:bottom w:val="nil"/>
            </w:tcBorders>
            <w:vAlign w:val="top"/>
          </w:tcPr>
          <w:p w14:paraId="2320F7CA">
            <w:pPr>
              <w:rPr>
                <w:rFonts w:ascii="Arial"/>
                <w:sz w:val="21"/>
              </w:rPr>
            </w:pPr>
          </w:p>
        </w:tc>
        <w:tc>
          <w:tcPr>
            <w:tcW w:w="903" w:type="dxa"/>
            <w:vAlign w:val="top"/>
          </w:tcPr>
          <w:p w14:paraId="11B8D029">
            <w:pPr>
              <w:spacing w:before="107" w:line="192"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1738" w:type="dxa"/>
            <w:gridSpan w:val="2"/>
            <w:vAlign w:val="top"/>
          </w:tcPr>
          <w:p w14:paraId="4BF06BAA">
            <w:pPr>
              <w:spacing w:before="71" w:line="184" w:lineRule="auto"/>
              <w:ind w:left="629"/>
              <w:rPr>
                <w:rFonts w:ascii="微软雅黑" w:hAnsi="微软雅黑" w:eastAsia="微软雅黑" w:cs="微软雅黑"/>
                <w:sz w:val="20"/>
                <w:szCs w:val="20"/>
              </w:rPr>
            </w:pPr>
            <w:r>
              <w:rPr>
                <w:rFonts w:ascii="Times New Roman" w:hAnsi="Times New Roman" w:eastAsia="Times New Roman" w:cs="Times New Roman"/>
                <w:spacing w:val="22"/>
                <w:sz w:val="20"/>
                <w:szCs w:val="20"/>
              </w:rPr>
              <w:t>M1</w:t>
            </w:r>
            <w:r>
              <w:rPr>
                <w:rFonts w:ascii="微软雅黑" w:hAnsi="微软雅黑" w:eastAsia="微软雅黑" w:cs="微软雅黑"/>
                <w:spacing w:val="22"/>
                <w:sz w:val="20"/>
                <w:szCs w:val="20"/>
              </w:rPr>
              <w:t>□</w:t>
            </w:r>
          </w:p>
        </w:tc>
        <w:tc>
          <w:tcPr>
            <w:tcW w:w="1218" w:type="dxa"/>
            <w:gridSpan w:val="2"/>
            <w:vAlign w:val="top"/>
          </w:tcPr>
          <w:p w14:paraId="6E4285D8">
            <w:pPr>
              <w:spacing w:before="71" w:line="184" w:lineRule="auto"/>
              <w:ind w:left="371"/>
              <w:rPr>
                <w:rFonts w:ascii="微软雅黑" w:hAnsi="微软雅黑" w:eastAsia="微软雅黑" w:cs="微软雅黑"/>
                <w:sz w:val="20"/>
                <w:szCs w:val="20"/>
              </w:rPr>
            </w:pPr>
            <w:r>
              <w:rPr>
                <w:rFonts w:ascii="Times New Roman" w:hAnsi="Times New Roman" w:eastAsia="Times New Roman" w:cs="Times New Roman"/>
                <w:spacing w:val="21"/>
                <w:sz w:val="20"/>
                <w:szCs w:val="20"/>
              </w:rPr>
              <w:t>M2</w:t>
            </w:r>
            <w:r>
              <w:rPr>
                <w:rFonts w:ascii="微软雅黑" w:hAnsi="微软雅黑" w:eastAsia="微软雅黑" w:cs="微软雅黑"/>
                <w:spacing w:val="21"/>
                <w:sz w:val="20"/>
                <w:szCs w:val="20"/>
              </w:rPr>
              <w:t>□</w:t>
            </w:r>
          </w:p>
        </w:tc>
        <w:tc>
          <w:tcPr>
            <w:tcW w:w="1452" w:type="dxa"/>
            <w:gridSpan w:val="3"/>
            <w:vAlign w:val="top"/>
          </w:tcPr>
          <w:p w14:paraId="77139FC1">
            <w:pPr>
              <w:spacing w:before="71" w:line="184" w:lineRule="auto"/>
              <w:ind w:left="488"/>
              <w:rPr>
                <w:rFonts w:ascii="微软雅黑" w:hAnsi="微软雅黑" w:eastAsia="微软雅黑" w:cs="微软雅黑"/>
                <w:sz w:val="20"/>
                <w:szCs w:val="20"/>
              </w:rPr>
            </w:pPr>
            <w:r>
              <w:rPr>
                <w:rFonts w:ascii="Times New Roman" w:hAnsi="Times New Roman" w:eastAsia="Times New Roman" w:cs="Times New Roman"/>
                <w:spacing w:val="22"/>
                <w:sz w:val="20"/>
                <w:szCs w:val="20"/>
              </w:rPr>
              <w:t>M3</w:t>
            </w:r>
            <w:r>
              <w:rPr>
                <w:rFonts w:ascii="微软雅黑" w:hAnsi="微软雅黑" w:eastAsia="微软雅黑" w:cs="微软雅黑"/>
                <w:spacing w:val="22"/>
                <w:sz w:val="20"/>
                <w:szCs w:val="20"/>
              </w:rPr>
              <w:t>□</w:t>
            </w:r>
          </w:p>
        </w:tc>
        <w:tc>
          <w:tcPr>
            <w:tcW w:w="1275" w:type="dxa"/>
            <w:vAlign w:val="top"/>
          </w:tcPr>
          <w:p w14:paraId="34312C6E">
            <w:pPr>
              <w:spacing w:before="71" w:line="184" w:lineRule="auto"/>
              <w:ind w:left="399"/>
              <w:rPr>
                <w:rFonts w:ascii="微软雅黑" w:hAnsi="微软雅黑" w:eastAsia="微软雅黑" w:cs="微软雅黑"/>
                <w:sz w:val="20"/>
                <w:szCs w:val="20"/>
              </w:rPr>
            </w:pPr>
            <w:r>
              <w:rPr>
                <w:rFonts w:ascii="Times New Roman" w:hAnsi="Times New Roman" w:eastAsia="Times New Roman" w:cs="Times New Roman"/>
                <w:spacing w:val="21"/>
                <w:sz w:val="20"/>
                <w:szCs w:val="20"/>
              </w:rPr>
              <w:t>M4</w:t>
            </w:r>
            <w:r>
              <w:rPr>
                <w:rFonts w:ascii="微软雅黑" w:hAnsi="微软雅黑" w:eastAsia="微软雅黑" w:cs="微软雅黑"/>
                <w:spacing w:val="21"/>
                <w:sz w:val="20"/>
                <w:szCs w:val="20"/>
              </w:rPr>
              <w:t>□</w:t>
            </w:r>
          </w:p>
        </w:tc>
      </w:tr>
      <w:tr w14:paraId="23FE7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continue"/>
            <w:tcBorders>
              <w:top w:val="nil"/>
            </w:tcBorders>
            <w:vAlign w:val="top"/>
          </w:tcPr>
          <w:p w14:paraId="1545E5AE">
            <w:pPr>
              <w:rPr>
                <w:rFonts w:ascii="Arial"/>
                <w:sz w:val="21"/>
              </w:rPr>
            </w:pPr>
          </w:p>
        </w:tc>
        <w:tc>
          <w:tcPr>
            <w:tcW w:w="903" w:type="dxa"/>
            <w:vAlign w:val="top"/>
          </w:tcPr>
          <w:p w14:paraId="49B9DB97">
            <w:pPr>
              <w:spacing w:before="107" w:line="192"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P</w:t>
            </w:r>
          </w:p>
        </w:tc>
        <w:tc>
          <w:tcPr>
            <w:tcW w:w="1738" w:type="dxa"/>
            <w:gridSpan w:val="2"/>
            <w:vAlign w:val="top"/>
          </w:tcPr>
          <w:p w14:paraId="3F1E587E">
            <w:pPr>
              <w:spacing w:before="70" w:line="185" w:lineRule="auto"/>
              <w:ind w:left="665"/>
              <w:rPr>
                <w:rFonts w:ascii="微软雅黑" w:hAnsi="微软雅黑" w:eastAsia="微软雅黑" w:cs="微软雅黑"/>
                <w:sz w:val="20"/>
                <w:szCs w:val="20"/>
              </w:rPr>
            </w:pPr>
            <w:r>
              <w:rPr>
                <w:rFonts w:ascii="Times New Roman" w:hAnsi="Times New Roman" w:eastAsia="Times New Roman" w:cs="Times New Roman"/>
                <w:spacing w:val="20"/>
                <w:sz w:val="20"/>
                <w:szCs w:val="20"/>
              </w:rPr>
              <w:t>P1</w:t>
            </w:r>
            <w:r>
              <w:rPr>
                <w:rFonts w:ascii="微软雅黑" w:hAnsi="微软雅黑" w:eastAsia="微软雅黑" w:cs="微软雅黑"/>
                <w:spacing w:val="20"/>
                <w:sz w:val="20"/>
                <w:szCs w:val="20"/>
              </w:rPr>
              <w:t>□</w:t>
            </w:r>
          </w:p>
        </w:tc>
        <w:tc>
          <w:tcPr>
            <w:tcW w:w="1218" w:type="dxa"/>
            <w:gridSpan w:val="2"/>
            <w:vAlign w:val="top"/>
          </w:tcPr>
          <w:p w14:paraId="22F4D029">
            <w:pPr>
              <w:spacing w:before="70" w:line="185" w:lineRule="auto"/>
              <w:ind w:left="405"/>
              <w:rPr>
                <w:rFonts w:ascii="微软雅黑" w:hAnsi="微软雅黑" w:eastAsia="微软雅黑" w:cs="微软雅黑"/>
                <w:sz w:val="20"/>
                <w:szCs w:val="20"/>
              </w:rPr>
            </w:pPr>
            <w:r>
              <w:rPr>
                <w:rFonts w:ascii="Times New Roman" w:hAnsi="Times New Roman" w:eastAsia="Times New Roman" w:cs="Times New Roman"/>
                <w:spacing w:val="20"/>
                <w:sz w:val="20"/>
                <w:szCs w:val="20"/>
              </w:rPr>
              <w:t>P2</w:t>
            </w:r>
            <w:r>
              <w:rPr>
                <w:rFonts w:ascii="微软雅黑" w:hAnsi="微软雅黑" w:eastAsia="微软雅黑" w:cs="微软雅黑"/>
                <w:spacing w:val="20"/>
                <w:sz w:val="20"/>
                <w:szCs w:val="20"/>
              </w:rPr>
              <w:t>□</w:t>
            </w:r>
          </w:p>
        </w:tc>
        <w:tc>
          <w:tcPr>
            <w:tcW w:w="1452" w:type="dxa"/>
            <w:gridSpan w:val="3"/>
            <w:vAlign w:val="top"/>
          </w:tcPr>
          <w:p w14:paraId="631C2340">
            <w:pPr>
              <w:spacing w:before="70" w:line="185" w:lineRule="auto"/>
              <w:ind w:left="524"/>
              <w:rPr>
                <w:rFonts w:ascii="微软雅黑" w:hAnsi="微软雅黑" w:eastAsia="微软雅黑" w:cs="微软雅黑"/>
                <w:sz w:val="20"/>
                <w:szCs w:val="20"/>
              </w:rPr>
            </w:pPr>
            <w:r>
              <w:rPr>
                <w:rFonts w:ascii="Times New Roman" w:hAnsi="Times New Roman" w:eastAsia="Times New Roman" w:cs="Times New Roman"/>
                <w:spacing w:val="20"/>
                <w:sz w:val="20"/>
                <w:szCs w:val="20"/>
              </w:rPr>
              <w:t>P3</w:t>
            </w:r>
            <w:r>
              <w:rPr>
                <w:rFonts w:ascii="微软雅黑" w:hAnsi="微软雅黑" w:eastAsia="微软雅黑" w:cs="微软雅黑"/>
                <w:spacing w:val="20"/>
                <w:sz w:val="20"/>
                <w:szCs w:val="20"/>
              </w:rPr>
              <w:t>□</w:t>
            </w:r>
          </w:p>
        </w:tc>
        <w:tc>
          <w:tcPr>
            <w:tcW w:w="1275" w:type="dxa"/>
            <w:vAlign w:val="top"/>
          </w:tcPr>
          <w:p w14:paraId="7DF954CD">
            <w:pPr>
              <w:spacing w:before="70" w:line="185" w:lineRule="auto"/>
              <w:ind w:left="433"/>
              <w:rPr>
                <w:rFonts w:ascii="微软雅黑" w:hAnsi="微软雅黑" w:eastAsia="微软雅黑" w:cs="微软雅黑"/>
                <w:sz w:val="20"/>
                <w:szCs w:val="20"/>
              </w:rPr>
            </w:pPr>
            <w:r>
              <w:rPr>
                <w:rFonts w:ascii="Times New Roman" w:hAnsi="Times New Roman" w:eastAsia="Times New Roman" w:cs="Times New Roman"/>
                <w:spacing w:val="21"/>
                <w:sz w:val="20"/>
                <w:szCs w:val="20"/>
              </w:rPr>
              <w:t>P4</w:t>
            </w:r>
            <w:r>
              <w:rPr>
                <w:rFonts w:ascii="微软雅黑" w:hAnsi="微软雅黑" w:eastAsia="微软雅黑" w:cs="微软雅黑"/>
                <w:spacing w:val="21"/>
                <w:sz w:val="20"/>
                <w:szCs w:val="20"/>
              </w:rPr>
              <w:t>□</w:t>
            </w:r>
          </w:p>
        </w:tc>
      </w:tr>
      <w:tr w14:paraId="66FF4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restart"/>
            <w:tcBorders>
              <w:bottom w:val="nil"/>
            </w:tcBorders>
            <w:vAlign w:val="top"/>
          </w:tcPr>
          <w:p w14:paraId="40805CCA">
            <w:pPr>
              <w:spacing w:line="349" w:lineRule="auto"/>
              <w:rPr>
                <w:rFonts w:ascii="Arial"/>
                <w:sz w:val="21"/>
              </w:rPr>
            </w:pPr>
          </w:p>
          <w:p w14:paraId="133BB21F">
            <w:pPr>
              <w:pStyle w:val="6"/>
              <w:spacing w:before="65" w:line="228" w:lineRule="auto"/>
              <w:ind w:left="266"/>
            </w:pPr>
            <w:r>
              <w:rPr>
                <w:spacing w:val="8"/>
              </w:rPr>
              <w:t>环境敏感程度</w:t>
            </w:r>
          </w:p>
        </w:tc>
        <w:tc>
          <w:tcPr>
            <w:tcW w:w="903" w:type="dxa"/>
            <w:vAlign w:val="top"/>
          </w:tcPr>
          <w:p w14:paraId="38A2B884">
            <w:pPr>
              <w:pStyle w:val="6"/>
              <w:spacing w:before="69" w:line="227" w:lineRule="auto"/>
              <w:ind w:left="248"/>
            </w:pPr>
            <w:r>
              <w:rPr>
                <w:spacing w:val="3"/>
              </w:rPr>
              <w:t>大气</w:t>
            </w:r>
          </w:p>
        </w:tc>
        <w:tc>
          <w:tcPr>
            <w:tcW w:w="1738" w:type="dxa"/>
            <w:gridSpan w:val="2"/>
            <w:vAlign w:val="top"/>
          </w:tcPr>
          <w:p w14:paraId="02B5005D">
            <w:pPr>
              <w:spacing w:before="70" w:line="185" w:lineRule="auto"/>
              <w:ind w:left="661"/>
              <w:rPr>
                <w:rFonts w:ascii="微软雅黑" w:hAnsi="微软雅黑" w:eastAsia="微软雅黑" w:cs="微软雅黑"/>
                <w:sz w:val="20"/>
                <w:szCs w:val="20"/>
              </w:rPr>
            </w:pPr>
            <w:r>
              <w:rPr>
                <w:rFonts w:ascii="Times New Roman" w:hAnsi="Times New Roman" w:eastAsia="Times New Roman" w:cs="Times New Roman"/>
                <w:spacing w:val="20"/>
                <w:sz w:val="20"/>
                <w:szCs w:val="20"/>
              </w:rPr>
              <w:t>E1</w:t>
            </w:r>
            <w:r>
              <w:rPr>
                <w:rFonts w:ascii="微软雅黑" w:hAnsi="微软雅黑" w:eastAsia="微软雅黑" w:cs="微软雅黑"/>
                <w:spacing w:val="20"/>
                <w:sz w:val="20"/>
                <w:szCs w:val="20"/>
              </w:rPr>
              <w:t>□</w:t>
            </w:r>
          </w:p>
        </w:tc>
        <w:tc>
          <w:tcPr>
            <w:tcW w:w="2195" w:type="dxa"/>
            <w:gridSpan w:val="4"/>
            <w:vAlign w:val="top"/>
          </w:tcPr>
          <w:p w14:paraId="7090D7D5">
            <w:pPr>
              <w:spacing w:before="70" w:line="185" w:lineRule="auto"/>
              <w:ind w:left="898"/>
              <w:rPr>
                <w:rFonts w:ascii="微软雅黑" w:hAnsi="微软雅黑" w:eastAsia="微软雅黑" w:cs="微软雅黑"/>
                <w:sz w:val="20"/>
                <w:szCs w:val="20"/>
              </w:rPr>
            </w:pPr>
            <w:r>
              <w:rPr>
                <w:rFonts w:ascii="Times New Roman" w:hAnsi="Times New Roman" w:eastAsia="Times New Roman" w:cs="Times New Roman"/>
                <w:spacing w:val="20"/>
                <w:sz w:val="20"/>
                <w:szCs w:val="20"/>
              </w:rPr>
              <w:t>E2</w:t>
            </w:r>
            <w:r>
              <w:rPr>
                <w:rFonts w:ascii="微软雅黑" w:hAnsi="微软雅黑" w:eastAsia="微软雅黑" w:cs="微软雅黑"/>
                <w:spacing w:val="20"/>
                <w:sz w:val="20"/>
                <w:szCs w:val="20"/>
              </w:rPr>
              <w:t>□</w:t>
            </w:r>
          </w:p>
        </w:tc>
        <w:tc>
          <w:tcPr>
            <w:tcW w:w="1750" w:type="dxa"/>
            <w:gridSpan w:val="2"/>
            <w:vAlign w:val="top"/>
          </w:tcPr>
          <w:p w14:paraId="1629324A">
            <w:pPr>
              <w:spacing w:before="70" w:line="185" w:lineRule="auto"/>
              <w:ind w:left="676"/>
              <w:rPr>
                <w:rFonts w:ascii="微软雅黑" w:hAnsi="微软雅黑" w:eastAsia="微软雅黑" w:cs="微软雅黑"/>
                <w:sz w:val="20"/>
                <w:szCs w:val="20"/>
              </w:rPr>
            </w:pPr>
            <w:r>
              <w:rPr>
                <w:rFonts w:ascii="Times New Roman" w:hAnsi="Times New Roman" w:eastAsia="Times New Roman" w:cs="Times New Roman"/>
                <w:spacing w:val="20"/>
                <w:sz w:val="20"/>
                <w:szCs w:val="20"/>
              </w:rPr>
              <w:t>E3</w:t>
            </w:r>
            <w:r>
              <w:rPr>
                <w:rFonts w:ascii="微软雅黑" w:hAnsi="微软雅黑" w:eastAsia="微软雅黑" w:cs="微软雅黑"/>
                <w:spacing w:val="20"/>
                <w:sz w:val="20"/>
                <w:szCs w:val="20"/>
              </w:rPr>
              <w:t>□</w:t>
            </w:r>
          </w:p>
        </w:tc>
      </w:tr>
      <w:tr w14:paraId="6DC61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continue"/>
            <w:tcBorders>
              <w:top w:val="nil"/>
              <w:bottom w:val="nil"/>
            </w:tcBorders>
            <w:vAlign w:val="top"/>
          </w:tcPr>
          <w:p w14:paraId="7ECFB281">
            <w:pPr>
              <w:rPr>
                <w:rFonts w:ascii="Arial"/>
                <w:sz w:val="21"/>
              </w:rPr>
            </w:pPr>
          </w:p>
        </w:tc>
        <w:tc>
          <w:tcPr>
            <w:tcW w:w="903" w:type="dxa"/>
            <w:vAlign w:val="top"/>
          </w:tcPr>
          <w:p w14:paraId="032353DD">
            <w:pPr>
              <w:pStyle w:val="6"/>
              <w:spacing w:before="66" w:line="228" w:lineRule="auto"/>
              <w:ind w:left="139"/>
            </w:pPr>
            <w:r>
              <w:rPr>
                <w:spacing w:val="6"/>
              </w:rPr>
              <w:t>地表水</w:t>
            </w:r>
          </w:p>
        </w:tc>
        <w:tc>
          <w:tcPr>
            <w:tcW w:w="1738" w:type="dxa"/>
            <w:gridSpan w:val="2"/>
            <w:vAlign w:val="top"/>
          </w:tcPr>
          <w:p w14:paraId="6DD11259">
            <w:pPr>
              <w:spacing w:before="70" w:line="185" w:lineRule="auto"/>
              <w:ind w:left="661"/>
              <w:rPr>
                <w:rFonts w:ascii="微软雅黑" w:hAnsi="微软雅黑" w:eastAsia="微软雅黑" w:cs="微软雅黑"/>
                <w:sz w:val="20"/>
                <w:szCs w:val="20"/>
              </w:rPr>
            </w:pPr>
            <w:r>
              <w:rPr>
                <w:rFonts w:ascii="Times New Roman" w:hAnsi="Times New Roman" w:eastAsia="Times New Roman" w:cs="Times New Roman"/>
                <w:spacing w:val="20"/>
                <w:sz w:val="20"/>
                <w:szCs w:val="20"/>
              </w:rPr>
              <w:t>E1</w:t>
            </w:r>
            <w:r>
              <w:rPr>
                <w:rFonts w:ascii="微软雅黑" w:hAnsi="微软雅黑" w:eastAsia="微软雅黑" w:cs="微软雅黑"/>
                <w:spacing w:val="20"/>
                <w:sz w:val="20"/>
                <w:szCs w:val="20"/>
              </w:rPr>
              <w:t>□</w:t>
            </w:r>
          </w:p>
        </w:tc>
        <w:tc>
          <w:tcPr>
            <w:tcW w:w="2195" w:type="dxa"/>
            <w:gridSpan w:val="4"/>
            <w:vAlign w:val="top"/>
          </w:tcPr>
          <w:p w14:paraId="48A8BD9F">
            <w:pPr>
              <w:spacing w:before="70" w:line="185" w:lineRule="auto"/>
              <w:ind w:left="898"/>
              <w:rPr>
                <w:rFonts w:ascii="微软雅黑" w:hAnsi="微软雅黑" w:eastAsia="微软雅黑" w:cs="微软雅黑"/>
                <w:sz w:val="20"/>
                <w:szCs w:val="20"/>
              </w:rPr>
            </w:pPr>
            <w:r>
              <w:rPr>
                <w:rFonts w:ascii="Times New Roman" w:hAnsi="Times New Roman" w:eastAsia="Times New Roman" w:cs="Times New Roman"/>
                <w:spacing w:val="20"/>
                <w:sz w:val="20"/>
                <w:szCs w:val="20"/>
              </w:rPr>
              <w:t>E2</w:t>
            </w:r>
            <w:r>
              <w:rPr>
                <w:rFonts w:ascii="微软雅黑" w:hAnsi="微软雅黑" w:eastAsia="微软雅黑" w:cs="微软雅黑"/>
                <w:spacing w:val="20"/>
                <w:sz w:val="20"/>
                <w:szCs w:val="20"/>
              </w:rPr>
              <w:t>□</w:t>
            </w:r>
          </w:p>
        </w:tc>
        <w:tc>
          <w:tcPr>
            <w:tcW w:w="1750" w:type="dxa"/>
            <w:gridSpan w:val="2"/>
            <w:vAlign w:val="top"/>
          </w:tcPr>
          <w:p w14:paraId="4DF516B0">
            <w:pPr>
              <w:spacing w:before="70" w:line="185" w:lineRule="auto"/>
              <w:ind w:left="676"/>
              <w:rPr>
                <w:rFonts w:ascii="微软雅黑" w:hAnsi="微软雅黑" w:eastAsia="微软雅黑" w:cs="微软雅黑"/>
                <w:sz w:val="20"/>
                <w:szCs w:val="20"/>
              </w:rPr>
            </w:pPr>
            <w:r>
              <w:rPr>
                <w:rFonts w:ascii="Times New Roman" w:hAnsi="Times New Roman" w:eastAsia="Times New Roman" w:cs="Times New Roman"/>
                <w:spacing w:val="20"/>
                <w:sz w:val="20"/>
                <w:szCs w:val="20"/>
              </w:rPr>
              <w:t>E3</w:t>
            </w:r>
            <w:r>
              <w:rPr>
                <w:rFonts w:ascii="微软雅黑" w:hAnsi="微软雅黑" w:eastAsia="微软雅黑" w:cs="微软雅黑"/>
                <w:spacing w:val="20"/>
                <w:sz w:val="20"/>
                <w:szCs w:val="20"/>
              </w:rPr>
              <w:t>□</w:t>
            </w:r>
          </w:p>
        </w:tc>
      </w:tr>
      <w:tr w14:paraId="594C5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Merge w:val="continue"/>
            <w:tcBorders>
              <w:top w:val="nil"/>
            </w:tcBorders>
            <w:vAlign w:val="top"/>
          </w:tcPr>
          <w:p w14:paraId="66A548E7">
            <w:pPr>
              <w:rPr>
                <w:rFonts w:ascii="Arial"/>
                <w:sz w:val="21"/>
              </w:rPr>
            </w:pPr>
          </w:p>
        </w:tc>
        <w:tc>
          <w:tcPr>
            <w:tcW w:w="903" w:type="dxa"/>
            <w:vAlign w:val="top"/>
          </w:tcPr>
          <w:p w14:paraId="72A7848D">
            <w:pPr>
              <w:pStyle w:val="6"/>
              <w:spacing w:before="67" w:line="228" w:lineRule="auto"/>
              <w:ind w:left="139"/>
            </w:pPr>
            <w:r>
              <w:rPr>
                <w:spacing w:val="6"/>
              </w:rPr>
              <w:t>地下水</w:t>
            </w:r>
          </w:p>
        </w:tc>
        <w:tc>
          <w:tcPr>
            <w:tcW w:w="1738" w:type="dxa"/>
            <w:gridSpan w:val="2"/>
            <w:vAlign w:val="top"/>
          </w:tcPr>
          <w:p w14:paraId="0F677352">
            <w:pPr>
              <w:spacing w:before="70" w:line="185" w:lineRule="auto"/>
              <w:ind w:left="661"/>
              <w:rPr>
                <w:rFonts w:ascii="微软雅黑" w:hAnsi="微软雅黑" w:eastAsia="微软雅黑" w:cs="微软雅黑"/>
                <w:sz w:val="20"/>
                <w:szCs w:val="20"/>
              </w:rPr>
            </w:pPr>
            <w:r>
              <w:rPr>
                <w:rFonts w:ascii="Times New Roman" w:hAnsi="Times New Roman" w:eastAsia="Times New Roman" w:cs="Times New Roman"/>
                <w:spacing w:val="20"/>
                <w:sz w:val="20"/>
                <w:szCs w:val="20"/>
              </w:rPr>
              <w:t>E1</w:t>
            </w:r>
            <w:r>
              <w:rPr>
                <w:rFonts w:ascii="微软雅黑" w:hAnsi="微软雅黑" w:eastAsia="微软雅黑" w:cs="微软雅黑"/>
                <w:spacing w:val="20"/>
                <w:sz w:val="20"/>
                <w:szCs w:val="20"/>
              </w:rPr>
              <w:t>□</w:t>
            </w:r>
          </w:p>
        </w:tc>
        <w:tc>
          <w:tcPr>
            <w:tcW w:w="1218" w:type="dxa"/>
            <w:gridSpan w:val="2"/>
            <w:vAlign w:val="top"/>
          </w:tcPr>
          <w:p w14:paraId="4A7D1EBB">
            <w:pPr>
              <w:spacing w:before="85" w:line="160" w:lineRule="auto"/>
              <w:ind w:left="401"/>
              <w:rPr>
                <w:rFonts w:ascii="微软雅黑" w:hAnsi="微软雅黑" w:eastAsia="微软雅黑" w:cs="微软雅黑"/>
                <w:sz w:val="20"/>
                <w:szCs w:val="20"/>
              </w:rPr>
            </w:pPr>
            <w:r>
              <w:rPr>
                <w:rFonts w:ascii="Times New Roman" w:hAnsi="Times New Roman" w:eastAsia="Times New Roman" w:cs="Times New Roman"/>
                <w:spacing w:val="1"/>
                <w:sz w:val="20"/>
                <w:szCs w:val="20"/>
              </w:rPr>
              <w:t>E2</w:t>
            </w:r>
            <w:r>
              <w:rPr>
                <w:rFonts w:ascii="微软雅黑" w:hAnsi="微软雅黑" w:eastAsia="微软雅黑" w:cs="微软雅黑"/>
                <w:spacing w:val="1"/>
                <w:sz w:val="20"/>
                <w:szCs w:val="20"/>
              </w:rPr>
              <w:t>四</w:t>
            </w:r>
          </w:p>
        </w:tc>
        <w:tc>
          <w:tcPr>
            <w:tcW w:w="2727" w:type="dxa"/>
            <w:gridSpan w:val="4"/>
            <w:vAlign w:val="top"/>
          </w:tcPr>
          <w:p w14:paraId="7AEE6234">
            <w:pPr>
              <w:spacing w:before="70" w:line="185" w:lineRule="auto"/>
              <w:ind w:left="1153"/>
              <w:rPr>
                <w:rFonts w:ascii="微软雅黑" w:hAnsi="微软雅黑" w:eastAsia="微软雅黑" w:cs="微软雅黑"/>
                <w:sz w:val="20"/>
                <w:szCs w:val="20"/>
              </w:rPr>
            </w:pPr>
            <w:r>
              <w:rPr>
                <w:rFonts w:ascii="Times New Roman" w:hAnsi="Times New Roman" w:eastAsia="Times New Roman" w:cs="Times New Roman"/>
                <w:spacing w:val="21"/>
                <w:sz w:val="20"/>
                <w:szCs w:val="20"/>
              </w:rPr>
              <w:t>E3</w:t>
            </w:r>
            <w:r>
              <w:rPr>
                <w:rFonts w:ascii="微软雅黑" w:hAnsi="微软雅黑" w:eastAsia="微软雅黑" w:cs="微软雅黑"/>
                <w:spacing w:val="21"/>
                <w:sz w:val="20"/>
                <w:szCs w:val="20"/>
              </w:rPr>
              <w:t>□</w:t>
            </w:r>
          </w:p>
        </w:tc>
      </w:tr>
      <w:tr w14:paraId="3755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Align w:val="top"/>
          </w:tcPr>
          <w:p w14:paraId="6771CF85">
            <w:pPr>
              <w:pStyle w:val="6"/>
              <w:spacing w:before="67" w:line="228" w:lineRule="auto"/>
              <w:ind w:left="266"/>
            </w:pPr>
            <w:r>
              <w:rPr>
                <w:spacing w:val="8"/>
              </w:rPr>
              <w:t>环境风险潜势</w:t>
            </w:r>
          </w:p>
        </w:tc>
        <w:tc>
          <w:tcPr>
            <w:tcW w:w="903" w:type="dxa"/>
            <w:vAlign w:val="top"/>
          </w:tcPr>
          <w:p w14:paraId="3F6117BE">
            <w:pPr>
              <w:spacing w:before="71" w:line="184" w:lineRule="auto"/>
              <w:ind w:left="189"/>
              <w:rPr>
                <w:rFonts w:ascii="微软雅黑" w:hAnsi="微软雅黑" w:eastAsia="微软雅黑" w:cs="微软雅黑"/>
                <w:sz w:val="20"/>
                <w:szCs w:val="20"/>
              </w:rPr>
            </w:pPr>
            <w:r>
              <w:rPr>
                <w:rFonts w:ascii="Times New Roman" w:hAnsi="Times New Roman" w:eastAsia="Times New Roman" w:cs="Times New Roman"/>
                <w:sz w:val="20"/>
                <w:szCs w:val="20"/>
              </w:rPr>
              <w:t>IV</w:t>
            </w:r>
            <w:r>
              <w:rPr>
                <w:rFonts w:ascii="Times New Roman" w:hAnsi="Times New Roman" w:eastAsia="Times New Roman" w:cs="Times New Roman"/>
                <w:spacing w:val="32"/>
                <w:sz w:val="20"/>
                <w:szCs w:val="20"/>
              </w:rPr>
              <w:t>+</w:t>
            </w:r>
            <w:r>
              <w:rPr>
                <w:rFonts w:ascii="微软雅黑" w:hAnsi="微软雅黑" w:eastAsia="微软雅黑" w:cs="微软雅黑"/>
                <w:spacing w:val="32"/>
                <w:sz w:val="20"/>
                <w:szCs w:val="20"/>
              </w:rPr>
              <w:t>□</w:t>
            </w:r>
          </w:p>
        </w:tc>
        <w:tc>
          <w:tcPr>
            <w:tcW w:w="1738" w:type="dxa"/>
            <w:gridSpan w:val="2"/>
            <w:vAlign w:val="top"/>
          </w:tcPr>
          <w:p w14:paraId="369C77C7">
            <w:pPr>
              <w:spacing w:before="71" w:line="184" w:lineRule="auto"/>
              <w:ind w:left="666"/>
              <w:rPr>
                <w:rFonts w:ascii="微软雅黑" w:hAnsi="微软雅黑" w:eastAsia="微软雅黑" w:cs="微软雅黑"/>
                <w:sz w:val="20"/>
                <w:szCs w:val="20"/>
              </w:rPr>
            </w:pPr>
            <w:r>
              <w:rPr>
                <w:rFonts w:ascii="Times New Roman" w:hAnsi="Times New Roman" w:eastAsia="Times New Roman" w:cs="Times New Roman"/>
                <w:spacing w:val="20"/>
                <w:sz w:val="20"/>
                <w:szCs w:val="20"/>
              </w:rPr>
              <w:t>IV</w:t>
            </w:r>
            <w:r>
              <w:rPr>
                <w:rFonts w:ascii="微软雅黑" w:hAnsi="微软雅黑" w:eastAsia="微软雅黑" w:cs="微软雅黑"/>
                <w:spacing w:val="20"/>
                <w:sz w:val="20"/>
                <w:szCs w:val="20"/>
              </w:rPr>
              <w:t>□</w:t>
            </w:r>
          </w:p>
        </w:tc>
        <w:tc>
          <w:tcPr>
            <w:tcW w:w="1218" w:type="dxa"/>
            <w:gridSpan w:val="2"/>
            <w:vAlign w:val="top"/>
          </w:tcPr>
          <w:p w14:paraId="0E5D59E0">
            <w:pPr>
              <w:spacing w:before="71" w:line="184" w:lineRule="auto"/>
              <w:ind w:left="414"/>
              <w:rPr>
                <w:rFonts w:ascii="微软雅黑" w:hAnsi="微软雅黑" w:eastAsia="微软雅黑" w:cs="微软雅黑"/>
                <w:sz w:val="20"/>
                <w:szCs w:val="20"/>
              </w:rPr>
            </w:pPr>
            <w:r>
              <w:rPr>
                <w:rFonts w:ascii="Times New Roman" w:hAnsi="Times New Roman" w:eastAsia="Times New Roman" w:cs="Times New Roman"/>
                <w:spacing w:val="14"/>
                <w:sz w:val="20"/>
                <w:szCs w:val="20"/>
              </w:rPr>
              <w:t>III</w:t>
            </w:r>
            <w:r>
              <w:rPr>
                <w:rFonts w:ascii="微软雅黑" w:hAnsi="微软雅黑" w:eastAsia="微软雅黑" w:cs="微软雅黑"/>
                <w:spacing w:val="14"/>
                <w:sz w:val="20"/>
                <w:szCs w:val="20"/>
              </w:rPr>
              <w:t>□</w:t>
            </w:r>
          </w:p>
        </w:tc>
        <w:tc>
          <w:tcPr>
            <w:tcW w:w="1452" w:type="dxa"/>
            <w:gridSpan w:val="3"/>
            <w:vAlign w:val="top"/>
          </w:tcPr>
          <w:p w14:paraId="6F16F6CB">
            <w:pPr>
              <w:spacing w:before="85" w:line="160" w:lineRule="auto"/>
              <w:ind w:left="566"/>
              <w:rPr>
                <w:rFonts w:ascii="微软雅黑" w:hAnsi="微软雅黑" w:eastAsia="微软雅黑" w:cs="微软雅黑"/>
                <w:sz w:val="20"/>
                <w:szCs w:val="20"/>
              </w:rPr>
            </w:pPr>
            <w:r>
              <w:rPr>
                <w:rFonts w:ascii="Times New Roman" w:hAnsi="Times New Roman" w:eastAsia="Times New Roman" w:cs="Times New Roman"/>
                <w:sz w:val="20"/>
                <w:szCs w:val="20"/>
              </w:rPr>
              <w:t>II</w:t>
            </w:r>
            <w:r>
              <w:rPr>
                <w:rFonts w:ascii="微软雅黑" w:hAnsi="微软雅黑" w:eastAsia="微软雅黑" w:cs="微软雅黑"/>
                <w:sz w:val="20"/>
                <w:szCs w:val="20"/>
              </w:rPr>
              <w:t>四</w:t>
            </w:r>
          </w:p>
        </w:tc>
        <w:tc>
          <w:tcPr>
            <w:tcW w:w="1275" w:type="dxa"/>
            <w:vAlign w:val="top"/>
          </w:tcPr>
          <w:p w14:paraId="6BA913A5">
            <w:pPr>
              <w:spacing w:before="85" w:line="160" w:lineRule="auto"/>
              <w:ind w:left="511"/>
              <w:rPr>
                <w:rFonts w:ascii="微软雅黑" w:hAnsi="微软雅黑" w:eastAsia="微软雅黑" w:cs="微软雅黑"/>
                <w:sz w:val="20"/>
                <w:szCs w:val="20"/>
              </w:rPr>
            </w:pPr>
            <w:r>
              <w:rPr>
                <w:rFonts w:ascii="Times New Roman" w:hAnsi="Times New Roman" w:eastAsia="Times New Roman" w:cs="Times New Roman"/>
                <w:spacing w:val="-2"/>
                <w:sz w:val="20"/>
                <w:szCs w:val="20"/>
              </w:rPr>
              <w:t>I</w:t>
            </w:r>
            <w:r>
              <w:rPr>
                <w:rFonts w:ascii="微软雅黑" w:hAnsi="微软雅黑" w:eastAsia="微软雅黑" w:cs="微软雅黑"/>
                <w:spacing w:val="-2"/>
                <w:sz w:val="20"/>
                <w:szCs w:val="20"/>
              </w:rPr>
              <w:t>四</w:t>
            </w:r>
          </w:p>
        </w:tc>
      </w:tr>
      <w:tr w14:paraId="0ACE6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Align w:val="top"/>
          </w:tcPr>
          <w:p w14:paraId="4A883A19">
            <w:pPr>
              <w:pStyle w:val="6"/>
              <w:spacing w:before="68" w:line="226" w:lineRule="auto"/>
              <w:ind w:left="474"/>
            </w:pPr>
            <w:r>
              <w:rPr>
                <w:spacing w:val="7"/>
              </w:rPr>
              <w:t>评价等级</w:t>
            </w:r>
          </w:p>
        </w:tc>
        <w:tc>
          <w:tcPr>
            <w:tcW w:w="2641" w:type="dxa"/>
            <w:gridSpan w:val="3"/>
            <w:vAlign w:val="top"/>
          </w:tcPr>
          <w:p w14:paraId="06AC4F77">
            <w:pPr>
              <w:pStyle w:val="6"/>
              <w:spacing w:before="68" w:line="230" w:lineRule="auto"/>
              <w:ind w:left="1117"/>
            </w:pPr>
            <w:r>
              <w:rPr>
                <w:spacing w:val="3"/>
              </w:rPr>
              <w:t>一级</w:t>
            </w:r>
          </w:p>
        </w:tc>
        <w:tc>
          <w:tcPr>
            <w:tcW w:w="1218" w:type="dxa"/>
            <w:gridSpan w:val="2"/>
            <w:vAlign w:val="top"/>
          </w:tcPr>
          <w:p w14:paraId="1D2F7FBB">
            <w:pPr>
              <w:pStyle w:val="6"/>
              <w:spacing w:before="68" w:line="230" w:lineRule="auto"/>
              <w:ind w:left="408"/>
            </w:pPr>
            <w:r>
              <w:rPr>
                <w:spacing w:val="3"/>
              </w:rPr>
              <w:t>二级</w:t>
            </w:r>
          </w:p>
        </w:tc>
        <w:tc>
          <w:tcPr>
            <w:tcW w:w="1452" w:type="dxa"/>
            <w:gridSpan w:val="3"/>
            <w:vAlign w:val="top"/>
          </w:tcPr>
          <w:p w14:paraId="74FB7B86">
            <w:pPr>
              <w:pStyle w:val="6"/>
              <w:spacing w:before="68" w:line="230" w:lineRule="auto"/>
              <w:ind w:left="521"/>
            </w:pPr>
            <w:r>
              <w:rPr>
                <w:spacing w:val="4"/>
              </w:rPr>
              <w:t>三级</w:t>
            </w:r>
          </w:p>
        </w:tc>
        <w:tc>
          <w:tcPr>
            <w:tcW w:w="1275" w:type="dxa"/>
            <w:vAlign w:val="top"/>
          </w:tcPr>
          <w:p w14:paraId="32B8C3EC">
            <w:pPr>
              <w:pStyle w:val="6"/>
              <w:spacing w:before="68" w:line="227" w:lineRule="auto"/>
              <w:ind w:left="225"/>
            </w:pPr>
            <w:r>
              <w:rPr>
                <w:spacing w:val="6"/>
              </w:rPr>
              <w:t>简单分析</w:t>
            </w:r>
          </w:p>
        </w:tc>
      </w:tr>
      <w:tr w14:paraId="488FA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restart"/>
            <w:tcBorders>
              <w:bottom w:val="nil"/>
            </w:tcBorders>
            <w:textDirection w:val="tbRlV"/>
            <w:vAlign w:val="top"/>
          </w:tcPr>
          <w:p w14:paraId="2FE18403">
            <w:pPr>
              <w:pStyle w:val="6"/>
              <w:spacing w:before="112" w:line="216" w:lineRule="auto"/>
              <w:ind w:left="54"/>
            </w:pPr>
            <w:r>
              <w:rPr>
                <w:spacing w:val="6"/>
              </w:rPr>
              <w:t>风 危 险 识 别</w:t>
            </w:r>
          </w:p>
        </w:tc>
        <w:tc>
          <w:tcPr>
            <w:tcW w:w="1341" w:type="dxa"/>
            <w:vAlign w:val="top"/>
          </w:tcPr>
          <w:p w14:paraId="4690DDE0">
            <w:pPr>
              <w:pStyle w:val="6"/>
              <w:spacing w:before="69" w:line="228" w:lineRule="auto"/>
              <w:ind w:left="148"/>
            </w:pPr>
            <w:r>
              <w:rPr>
                <w:spacing w:val="8"/>
              </w:rPr>
              <w:t>物质危险性</w:t>
            </w:r>
          </w:p>
        </w:tc>
        <w:tc>
          <w:tcPr>
            <w:tcW w:w="2641" w:type="dxa"/>
            <w:gridSpan w:val="3"/>
            <w:vAlign w:val="top"/>
          </w:tcPr>
          <w:p w14:paraId="2926E816">
            <w:pPr>
              <w:pStyle w:val="6"/>
              <w:spacing w:before="69" w:line="186" w:lineRule="auto"/>
              <w:ind w:left="812"/>
              <w:rPr>
                <w:rFonts w:ascii="微软雅黑" w:hAnsi="微软雅黑" w:eastAsia="微软雅黑" w:cs="微软雅黑"/>
              </w:rPr>
            </w:pPr>
            <w:r>
              <w:rPr>
                <w:spacing w:val="5"/>
              </w:rPr>
              <w:t>有毒有害</w:t>
            </w:r>
            <w:r>
              <w:rPr>
                <w:rFonts w:ascii="微软雅黑" w:hAnsi="微软雅黑" w:eastAsia="微软雅黑" w:cs="微软雅黑"/>
                <w:spacing w:val="5"/>
              </w:rPr>
              <w:t>四</w:t>
            </w:r>
          </w:p>
        </w:tc>
        <w:tc>
          <w:tcPr>
            <w:tcW w:w="3945" w:type="dxa"/>
            <w:gridSpan w:val="6"/>
            <w:vAlign w:val="top"/>
          </w:tcPr>
          <w:p w14:paraId="29BA3FED">
            <w:pPr>
              <w:pStyle w:val="6"/>
              <w:spacing w:before="69" w:line="186" w:lineRule="auto"/>
              <w:ind w:left="1477"/>
              <w:rPr>
                <w:rFonts w:ascii="微软雅黑" w:hAnsi="微软雅黑" w:eastAsia="微软雅黑" w:cs="微软雅黑"/>
              </w:rPr>
            </w:pPr>
            <w:r>
              <w:rPr>
                <w:spacing w:val="3"/>
              </w:rPr>
              <w:t>易燃易爆</w:t>
            </w:r>
            <w:r>
              <w:rPr>
                <w:rFonts w:ascii="微软雅黑" w:hAnsi="微软雅黑" w:eastAsia="微软雅黑" w:cs="微软雅黑"/>
                <w:spacing w:val="3"/>
              </w:rPr>
              <w:t>四</w:t>
            </w:r>
          </w:p>
        </w:tc>
      </w:tr>
      <w:tr w14:paraId="48847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447D340C">
            <w:pPr>
              <w:rPr>
                <w:rFonts w:ascii="Arial"/>
                <w:sz w:val="21"/>
              </w:rPr>
            </w:pPr>
          </w:p>
        </w:tc>
        <w:tc>
          <w:tcPr>
            <w:tcW w:w="1341" w:type="dxa"/>
            <w:vAlign w:val="top"/>
          </w:tcPr>
          <w:p w14:paraId="04B5FFA7">
            <w:pPr>
              <w:pStyle w:val="6"/>
              <w:spacing w:before="68" w:line="228" w:lineRule="auto"/>
              <w:ind w:left="43"/>
            </w:pPr>
            <w:r>
              <w:rPr>
                <w:spacing w:val="8"/>
              </w:rPr>
              <w:t>环境风险类型</w:t>
            </w:r>
          </w:p>
        </w:tc>
        <w:tc>
          <w:tcPr>
            <w:tcW w:w="2641" w:type="dxa"/>
            <w:gridSpan w:val="3"/>
            <w:vAlign w:val="top"/>
          </w:tcPr>
          <w:p w14:paraId="33313BF4">
            <w:pPr>
              <w:pStyle w:val="6"/>
              <w:spacing w:before="69" w:line="186" w:lineRule="auto"/>
              <w:ind w:left="1024"/>
              <w:rPr>
                <w:rFonts w:ascii="微软雅黑" w:hAnsi="微软雅黑" w:eastAsia="微软雅黑" w:cs="微软雅黑"/>
              </w:rPr>
            </w:pPr>
            <w:r>
              <w:rPr>
                <w:spacing w:val="2"/>
              </w:rPr>
              <w:t>泄漏</w:t>
            </w:r>
            <w:r>
              <w:rPr>
                <w:rFonts w:ascii="微软雅黑" w:hAnsi="微软雅黑" w:eastAsia="微软雅黑" w:cs="微软雅黑"/>
                <w:spacing w:val="2"/>
              </w:rPr>
              <w:t>四</w:t>
            </w:r>
          </w:p>
        </w:tc>
        <w:tc>
          <w:tcPr>
            <w:tcW w:w="3945" w:type="dxa"/>
            <w:gridSpan w:val="6"/>
            <w:vAlign w:val="top"/>
          </w:tcPr>
          <w:p w14:paraId="6D20432D">
            <w:pPr>
              <w:pStyle w:val="6"/>
              <w:spacing w:before="69" w:line="186" w:lineRule="auto"/>
              <w:ind w:left="176"/>
              <w:rPr>
                <w:rFonts w:ascii="微软雅黑" w:hAnsi="微软雅黑" w:eastAsia="微软雅黑" w:cs="微软雅黑"/>
              </w:rPr>
            </w:pPr>
            <w:r>
              <w:rPr>
                <w:spacing w:val="8"/>
              </w:rPr>
              <w:t>火灾、爆炸引发伴生</w:t>
            </w:r>
            <w:r>
              <w:rPr>
                <w:rFonts w:ascii="Times New Roman" w:hAnsi="Times New Roman" w:eastAsia="Times New Roman" w:cs="Times New Roman"/>
                <w:spacing w:val="8"/>
              </w:rPr>
              <w:t>/</w:t>
            </w:r>
            <w:r>
              <w:rPr>
                <w:spacing w:val="8"/>
              </w:rPr>
              <w:t>次生污染物排放</w:t>
            </w:r>
            <w:r>
              <w:rPr>
                <w:rFonts w:ascii="微软雅黑" w:hAnsi="微软雅黑" w:eastAsia="微软雅黑" w:cs="微软雅黑"/>
                <w:spacing w:val="8"/>
              </w:rPr>
              <w:t>四</w:t>
            </w:r>
          </w:p>
        </w:tc>
      </w:tr>
      <w:tr w14:paraId="09B10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39" w:type="dxa"/>
            <w:vMerge w:val="continue"/>
            <w:tcBorders>
              <w:top w:val="nil"/>
            </w:tcBorders>
            <w:textDirection w:val="tbRlV"/>
            <w:vAlign w:val="top"/>
          </w:tcPr>
          <w:p w14:paraId="54531594">
            <w:pPr>
              <w:rPr>
                <w:rFonts w:ascii="Arial"/>
                <w:sz w:val="21"/>
              </w:rPr>
            </w:pPr>
          </w:p>
        </w:tc>
        <w:tc>
          <w:tcPr>
            <w:tcW w:w="1341" w:type="dxa"/>
            <w:vAlign w:val="top"/>
          </w:tcPr>
          <w:p w14:paraId="3C80933E">
            <w:pPr>
              <w:spacing w:line="261" w:lineRule="auto"/>
              <w:rPr>
                <w:rFonts w:ascii="Arial"/>
                <w:sz w:val="21"/>
              </w:rPr>
            </w:pPr>
          </w:p>
          <w:p w14:paraId="437DE082">
            <w:pPr>
              <w:pStyle w:val="6"/>
              <w:spacing w:before="65" w:line="228" w:lineRule="auto"/>
              <w:ind w:left="254"/>
            </w:pPr>
            <w:r>
              <w:rPr>
                <w:spacing w:val="7"/>
              </w:rPr>
              <w:t>影响途径</w:t>
            </w:r>
          </w:p>
        </w:tc>
        <w:tc>
          <w:tcPr>
            <w:tcW w:w="2641" w:type="dxa"/>
            <w:gridSpan w:val="3"/>
            <w:vAlign w:val="top"/>
          </w:tcPr>
          <w:p w14:paraId="138ED480">
            <w:pPr>
              <w:spacing w:line="262" w:lineRule="auto"/>
              <w:rPr>
                <w:rFonts w:ascii="Arial"/>
                <w:sz w:val="21"/>
              </w:rPr>
            </w:pPr>
          </w:p>
          <w:p w14:paraId="5731E739">
            <w:pPr>
              <w:pStyle w:val="6"/>
              <w:spacing w:before="65" w:line="227" w:lineRule="auto"/>
              <w:ind w:left="1116"/>
            </w:pPr>
            <w:r>
              <w:rPr>
                <w:spacing w:val="3"/>
              </w:rPr>
              <w:t>大气</w:t>
            </w:r>
          </w:p>
        </w:tc>
        <w:tc>
          <w:tcPr>
            <w:tcW w:w="1856" w:type="dxa"/>
            <w:gridSpan w:val="3"/>
            <w:vAlign w:val="top"/>
          </w:tcPr>
          <w:p w14:paraId="701230B1">
            <w:pPr>
              <w:spacing w:line="261" w:lineRule="auto"/>
              <w:rPr>
                <w:rFonts w:ascii="Arial"/>
                <w:sz w:val="21"/>
              </w:rPr>
            </w:pPr>
          </w:p>
          <w:p w14:paraId="76C2ABA3">
            <w:pPr>
              <w:pStyle w:val="6"/>
              <w:spacing w:before="65" w:line="228" w:lineRule="auto"/>
              <w:ind w:left="618"/>
            </w:pPr>
            <w:r>
              <w:rPr>
                <w:spacing w:val="6"/>
              </w:rPr>
              <w:t>地表水</w:t>
            </w:r>
          </w:p>
        </w:tc>
        <w:tc>
          <w:tcPr>
            <w:tcW w:w="2089" w:type="dxa"/>
            <w:gridSpan w:val="3"/>
            <w:vAlign w:val="top"/>
          </w:tcPr>
          <w:p w14:paraId="7259F02A">
            <w:pPr>
              <w:spacing w:line="241" w:lineRule="auto"/>
              <w:rPr>
                <w:rFonts w:ascii="Arial"/>
                <w:sz w:val="21"/>
              </w:rPr>
            </w:pPr>
          </w:p>
          <w:p w14:paraId="3FBCB235">
            <w:pPr>
              <w:pStyle w:val="6"/>
              <w:spacing w:before="86" w:line="193" w:lineRule="auto"/>
              <w:ind w:left="639"/>
              <w:rPr>
                <w:rFonts w:ascii="微软雅黑" w:hAnsi="微软雅黑" w:eastAsia="微软雅黑" w:cs="微软雅黑"/>
              </w:rPr>
            </w:pPr>
            <w:r>
              <w:rPr>
                <w:spacing w:val="5"/>
              </w:rPr>
              <w:t>地下水</w:t>
            </w:r>
            <w:r>
              <w:rPr>
                <w:rFonts w:ascii="微软雅黑" w:hAnsi="微软雅黑" w:eastAsia="微软雅黑" w:cs="微软雅黑"/>
                <w:spacing w:val="5"/>
              </w:rPr>
              <w:t>四</w:t>
            </w:r>
          </w:p>
        </w:tc>
      </w:tr>
      <w:tr w14:paraId="183F2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780" w:type="dxa"/>
            <w:gridSpan w:val="2"/>
            <w:vAlign w:val="top"/>
          </w:tcPr>
          <w:p w14:paraId="5B20C7ED">
            <w:pPr>
              <w:pStyle w:val="6"/>
              <w:spacing w:before="69" w:line="228" w:lineRule="auto"/>
              <w:ind w:left="266"/>
            </w:pPr>
            <w:r>
              <w:rPr>
                <w:spacing w:val="8"/>
              </w:rPr>
              <w:t>事故情形分析</w:t>
            </w:r>
          </w:p>
        </w:tc>
        <w:tc>
          <w:tcPr>
            <w:tcW w:w="1480" w:type="dxa"/>
            <w:gridSpan w:val="2"/>
            <w:vAlign w:val="top"/>
          </w:tcPr>
          <w:p w14:paraId="1C155D02">
            <w:pPr>
              <w:pStyle w:val="6"/>
              <w:spacing w:before="69" w:line="228" w:lineRule="auto"/>
              <w:ind w:left="112"/>
            </w:pPr>
            <w:r>
              <w:rPr>
                <w:spacing w:val="8"/>
              </w:rPr>
              <w:t>源强设定方法</w:t>
            </w:r>
          </w:p>
        </w:tc>
        <w:tc>
          <w:tcPr>
            <w:tcW w:w="1567" w:type="dxa"/>
            <w:gridSpan w:val="2"/>
            <w:vAlign w:val="top"/>
          </w:tcPr>
          <w:p w14:paraId="7AB5807A">
            <w:pPr>
              <w:pStyle w:val="6"/>
              <w:spacing w:before="69" w:line="228" w:lineRule="auto"/>
              <w:ind w:left="474"/>
            </w:pPr>
            <w:r>
              <w:rPr>
                <w:spacing w:val="6"/>
              </w:rPr>
              <w:t>计算法</w:t>
            </w:r>
          </w:p>
        </w:tc>
        <w:tc>
          <w:tcPr>
            <w:tcW w:w="1789" w:type="dxa"/>
            <w:gridSpan w:val="3"/>
            <w:vAlign w:val="top"/>
          </w:tcPr>
          <w:p w14:paraId="19F31E6D">
            <w:pPr>
              <w:pStyle w:val="6"/>
              <w:spacing w:before="69" w:line="226" w:lineRule="auto"/>
              <w:ind w:left="368"/>
            </w:pPr>
            <w:r>
              <w:rPr>
                <w:spacing w:val="7"/>
              </w:rPr>
              <w:t>经验估算法</w:t>
            </w:r>
          </w:p>
        </w:tc>
        <w:tc>
          <w:tcPr>
            <w:tcW w:w="1750" w:type="dxa"/>
            <w:gridSpan w:val="2"/>
            <w:vAlign w:val="top"/>
          </w:tcPr>
          <w:p w14:paraId="54F91B22">
            <w:pPr>
              <w:pStyle w:val="6"/>
              <w:spacing w:before="69" w:line="225" w:lineRule="auto"/>
              <w:ind w:left="347"/>
            </w:pPr>
            <w:r>
              <w:rPr>
                <w:spacing w:val="7"/>
              </w:rPr>
              <w:t>其他估算法</w:t>
            </w:r>
          </w:p>
        </w:tc>
      </w:tr>
      <w:tr w14:paraId="19058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restart"/>
            <w:tcBorders>
              <w:bottom w:val="nil"/>
            </w:tcBorders>
            <w:textDirection w:val="tbRlV"/>
            <w:vAlign w:val="top"/>
          </w:tcPr>
          <w:p w14:paraId="59DCB155">
            <w:pPr>
              <w:pStyle w:val="6"/>
              <w:spacing w:before="113" w:line="215" w:lineRule="auto"/>
              <w:ind w:left="55"/>
            </w:pPr>
            <w:r>
              <w:rPr>
                <w:spacing w:val="6"/>
              </w:rPr>
              <w:t>风 险 预 测 与 评 价</w:t>
            </w:r>
          </w:p>
        </w:tc>
        <w:tc>
          <w:tcPr>
            <w:tcW w:w="1341" w:type="dxa"/>
            <w:vMerge w:val="restart"/>
            <w:tcBorders>
              <w:bottom w:val="nil"/>
            </w:tcBorders>
            <w:vAlign w:val="top"/>
          </w:tcPr>
          <w:p w14:paraId="79B8D99C">
            <w:pPr>
              <w:spacing w:line="352" w:lineRule="auto"/>
              <w:rPr>
                <w:rFonts w:ascii="Arial"/>
                <w:sz w:val="21"/>
              </w:rPr>
            </w:pPr>
          </w:p>
          <w:p w14:paraId="44CCE83A">
            <w:pPr>
              <w:pStyle w:val="6"/>
              <w:spacing w:before="66" w:line="227" w:lineRule="auto"/>
              <w:ind w:left="465"/>
            </w:pPr>
            <w:r>
              <w:rPr>
                <w:spacing w:val="3"/>
              </w:rPr>
              <w:t>大气</w:t>
            </w:r>
          </w:p>
        </w:tc>
        <w:tc>
          <w:tcPr>
            <w:tcW w:w="1480" w:type="dxa"/>
            <w:gridSpan w:val="2"/>
            <w:vAlign w:val="top"/>
          </w:tcPr>
          <w:p w14:paraId="68805CBE">
            <w:pPr>
              <w:pStyle w:val="6"/>
              <w:spacing w:before="69" w:line="228" w:lineRule="auto"/>
              <w:ind w:left="326"/>
            </w:pPr>
            <w:r>
              <w:rPr>
                <w:spacing w:val="6"/>
              </w:rPr>
              <w:t>预测模型</w:t>
            </w:r>
          </w:p>
        </w:tc>
        <w:tc>
          <w:tcPr>
            <w:tcW w:w="1567" w:type="dxa"/>
            <w:gridSpan w:val="2"/>
            <w:vAlign w:val="top"/>
          </w:tcPr>
          <w:p w14:paraId="7805D3FE">
            <w:pPr>
              <w:spacing w:before="70" w:line="185" w:lineRule="auto"/>
              <w:ind w:left="431"/>
              <w:rPr>
                <w:rFonts w:ascii="微软雅黑" w:hAnsi="微软雅黑" w:eastAsia="微软雅黑" w:cs="微软雅黑"/>
                <w:sz w:val="20"/>
                <w:szCs w:val="20"/>
              </w:rPr>
            </w:pPr>
            <w:r>
              <w:rPr>
                <w:rFonts w:ascii="Times New Roman" w:hAnsi="Times New Roman" w:eastAsia="Times New Roman" w:cs="Times New Roman"/>
                <w:spacing w:val="13"/>
                <w:sz w:val="20"/>
                <w:szCs w:val="20"/>
              </w:rPr>
              <w:t>SLAB</w:t>
            </w:r>
            <w:r>
              <w:rPr>
                <w:rFonts w:ascii="微软雅黑" w:hAnsi="微软雅黑" w:eastAsia="微软雅黑" w:cs="微软雅黑"/>
                <w:spacing w:val="13"/>
                <w:sz w:val="20"/>
                <w:szCs w:val="20"/>
              </w:rPr>
              <w:t>□</w:t>
            </w:r>
          </w:p>
        </w:tc>
        <w:tc>
          <w:tcPr>
            <w:tcW w:w="1789" w:type="dxa"/>
            <w:gridSpan w:val="3"/>
            <w:vAlign w:val="top"/>
          </w:tcPr>
          <w:p w14:paraId="73B0F93E">
            <w:pPr>
              <w:spacing w:before="70" w:line="185" w:lineRule="auto"/>
              <w:ind w:left="444"/>
              <w:rPr>
                <w:rFonts w:ascii="微软雅黑" w:hAnsi="微软雅黑" w:eastAsia="微软雅黑" w:cs="微软雅黑"/>
                <w:sz w:val="20"/>
                <w:szCs w:val="20"/>
              </w:rPr>
            </w:pPr>
            <w:r>
              <w:rPr>
                <w:rFonts w:ascii="Times New Roman" w:hAnsi="Times New Roman" w:eastAsia="Times New Roman" w:cs="Times New Roman"/>
                <w:spacing w:val="13"/>
                <w:sz w:val="20"/>
                <w:szCs w:val="20"/>
              </w:rPr>
              <w:t>AFTOX</w:t>
            </w:r>
            <w:r>
              <w:rPr>
                <w:rFonts w:ascii="微软雅黑" w:hAnsi="微软雅黑" w:eastAsia="微软雅黑" w:cs="微软雅黑"/>
                <w:spacing w:val="13"/>
                <w:sz w:val="20"/>
                <w:szCs w:val="20"/>
              </w:rPr>
              <w:t>□</w:t>
            </w:r>
          </w:p>
        </w:tc>
        <w:tc>
          <w:tcPr>
            <w:tcW w:w="1750" w:type="dxa"/>
            <w:gridSpan w:val="2"/>
            <w:vAlign w:val="top"/>
          </w:tcPr>
          <w:p w14:paraId="4FA7A914">
            <w:pPr>
              <w:pStyle w:val="6"/>
              <w:spacing w:before="70" w:line="225" w:lineRule="auto"/>
              <w:ind w:left="661"/>
            </w:pPr>
            <w:r>
              <w:rPr>
                <w:spacing w:val="4"/>
              </w:rPr>
              <w:t>其他</w:t>
            </w:r>
          </w:p>
        </w:tc>
      </w:tr>
      <w:tr w14:paraId="43F9E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2D20E6E4">
            <w:pPr>
              <w:rPr>
                <w:rFonts w:ascii="Arial"/>
                <w:sz w:val="21"/>
              </w:rPr>
            </w:pPr>
          </w:p>
        </w:tc>
        <w:tc>
          <w:tcPr>
            <w:tcW w:w="1341" w:type="dxa"/>
            <w:vMerge w:val="continue"/>
            <w:tcBorders>
              <w:top w:val="nil"/>
              <w:bottom w:val="nil"/>
            </w:tcBorders>
            <w:vAlign w:val="top"/>
          </w:tcPr>
          <w:p w14:paraId="48C6AD13">
            <w:pPr>
              <w:rPr>
                <w:rFonts w:ascii="Arial"/>
                <w:sz w:val="21"/>
              </w:rPr>
            </w:pPr>
          </w:p>
        </w:tc>
        <w:tc>
          <w:tcPr>
            <w:tcW w:w="1480" w:type="dxa"/>
            <w:gridSpan w:val="2"/>
            <w:vMerge w:val="restart"/>
            <w:tcBorders>
              <w:bottom w:val="nil"/>
            </w:tcBorders>
            <w:vAlign w:val="top"/>
          </w:tcPr>
          <w:p w14:paraId="6029D239">
            <w:pPr>
              <w:pStyle w:val="6"/>
              <w:spacing w:before="245" w:line="228" w:lineRule="auto"/>
              <w:ind w:left="326"/>
            </w:pPr>
            <w:r>
              <w:rPr>
                <w:spacing w:val="6"/>
              </w:rPr>
              <w:t>预测结果</w:t>
            </w:r>
          </w:p>
        </w:tc>
        <w:tc>
          <w:tcPr>
            <w:tcW w:w="5106" w:type="dxa"/>
            <w:gridSpan w:val="7"/>
            <w:vAlign w:val="top"/>
          </w:tcPr>
          <w:p w14:paraId="58C98258">
            <w:pPr>
              <w:pStyle w:val="6"/>
              <w:spacing w:before="70" w:line="227" w:lineRule="auto"/>
              <w:ind w:left="709"/>
              <w:rPr>
                <w:rFonts w:ascii="Times New Roman" w:hAnsi="Times New Roman" w:eastAsia="Times New Roman" w:cs="Times New Roman"/>
              </w:rPr>
            </w:pPr>
            <w:r>
              <w:rPr>
                <w:spacing w:val="7"/>
              </w:rPr>
              <w:t>大气毒性终点浓度</w:t>
            </w:r>
            <w:r>
              <w:rPr>
                <w:rFonts w:ascii="Times New Roman" w:hAnsi="Times New Roman" w:eastAsia="Times New Roman" w:cs="Times New Roman"/>
                <w:spacing w:val="7"/>
              </w:rPr>
              <w:t xml:space="preserve">-1  </w:t>
            </w:r>
            <w:r>
              <w:rPr>
                <w:spacing w:val="7"/>
              </w:rPr>
              <w:t xml:space="preserve">最大影响范围   </w:t>
            </w:r>
            <w:r>
              <w:rPr>
                <w:rFonts w:ascii="Times New Roman" w:hAnsi="Times New Roman" w:eastAsia="Times New Roman" w:cs="Times New Roman"/>
                <w:spacing w:val="7"/>
              </w:rPr>
              <w:t>m</w:t>
            </w:r>
          </w:p>
        </w:tc>
      </w:tr>
      <w:tr w14:paraId="02ABB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2B11EEA7">
            <w:pPr>
              <w:rPr>
                <w:rFonts w:ascii="Arial"/>
                <w:sz w:val="21"/>
              </w:rPr>
            </w:pPr>
          </w:p>
        </w:tc>
        <w:tc>
          <w:tcPr>
            <w:tcW w:w="1341" w:type="dxa"/>
            <w:vMerge w:val="continue"/>
            <w:tcBorders>
              <w:top w:val="nil"/>
            </w:tcBorders>
            <w:vAlign w:val="top"/>
          </w:tcPr>
          <w:p w14:paraId="47FB3531">
            <w:pPr>
              <w:rPr>
                <w:rFonts w:ascii="Arial"/>
                <w:sz w:val="21"/>
              </w:rPr>
            </w:pPr>
          </w:p>
        </w:tc>
        <w:tc>
          <w:tcPr>
            <w:tcW w:w="1480" w:type="dxa"/>
            <w:gridSpan w:val="2"/>
            <w:vMerge w:val="continue"/>
            <w:tcBorders>
              <w:top w:val="nil"/>
            </w:tcBorders>
            <w:vAlign w:val="top"/>
          </w:tcPr>
          <w:p w14:paraId="3C4508EC">
            <w:pPr>
              <w:rPr>
                <w:rFonts w:ascii="Arial"/>
                <w:sz w:val="21"/>
              </w:rPr>
            </w:pPr>
          </w:p>
        </w:tc>
        <w:tc>
          <w:tcPr>
            <w:tcW w:w="5106" w:type="dxa"/>
            <w:gridSpan w:val="7"/>
            <w:vAlign w:val="top"/>
          </w:tcPr>
          <w:p w14:paraId="6B2A24D1">
            <w:pPr>
              <w:pStyle w:val="6"/>
              <w:spacing w:before="68" w:line="227" w:lineRule="auto"/>
              <w:ind w:left="709"/>
              <w:rPr>
                <w:rFonts w:ascii="Times New Roman" w:hAnsi="Times New Roman" w:eastAsia="Times New Roman" w:cs="Times New Roman"/>
              </w:rPr>
            </w:pPr>
            <w:r>
              <w:rPr>
                <w:spacing w:val="7"/>
              </w:rPr>
              <w:t>大气毒性终点浓度</w:t>
            </w:r>
            <w:r>
              <w:rPr>
                <w:rFonts w:ascii="Times New Roman" w:hAnsi="Times New Roman" w:eastAsia="Times New Roman" w:cs="Times New Roman"/>
                <w:spacing w:val="7"/>
              </w:rPr>
              <w:t xml:space="preserve">-2  </w:t>
            </w:r>
            <w:r>
              <w:rPr>
                <w:spacing w:val="7"/>
              </w:rPr>
              <w:t xml:space="preserve">最大影响范围   </w:t>
            </w:r>
            <w:r>
              <w:rPr>
                <w:rFonts w:ascii="Times New Roman" w:hAnsi="Times New Roman" w:eastAsia="Times New Roman" w:cs="Times New Roman"/>
                <w:spacing w:val="7"/>
              </w:rPr>
              <w:t>m</w:t>
            </w:r>
          </w:p>
        </w:tc>
      </w:tr>
      <w:tr w14:paraId="5F8B5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4B09699B">
            <w:pPr>
              <w:rPr>
                <w:rFonts w:ascii="Arial"/>
                <w:sz w:val="21"/>
              </w:rPr>
            </w:pPr>
          </w:p>
        </w:tc>
        <w:tc>
          <w:tcPr>
            <w:tcW w:w="1341" w:type="dxa"/>
            <w:vAlign w:val="top"/>
          </w:tcPr>
          <w:p w14:paraId="2F1975A0">
            <w:pPr>
              <w:pStyle w:val="6"/>
              <w:spacing w:before="68" w:line="228" w:lineRule="auto"/>
              <w:ind w:left="357"/>
            </w:pPr>
            <w:r>
              <w:rPr>
                <w:spacing w:val="6"/>
              </w:rPr>
              <w:t>地表水</w:t>
            </w:r>
          </w:p>
        </w:tc>
        <w:tc>
          <w:tcPr>
            <w:tcW w:w="6586" w:type="dxa"/>
            <w:gridSpan w:val="9"/>
            <w:vAlign w:val="top"/>
          </w:tcPr>
          <w:p w14:paraId="2D3A796A">
            <w:pPr>
              <w:pStyle w:val="6"/>
              <w:spacing w:before="68" w:line="228" w:lineRule="auto"/>
              <w:ind w:left="1565"/>
              <w:rPr>
                <w:rFonts w:ascii="Times New Roman" w:hAnsi="Times New Roman" w:eastAsia="Times New Roman" w:cs="Times New Roman"/>
              </w:rPr>
            </w:pPr>
            <w:r>
              <w:rPr>
                <w:spacing w:val="6"/>
              </w:rPr>
              <w:t>最近环境敏感目标</w:t>
            </w:r>
            <w:r>
              <w:rPr>
                <w:spacing w:val="16"/>
              </w:rPr>
              <w:t xml:space="preserve">   </w:t>
            </w:r>
            <w:r>
              <w:rPr>
                <w:spacing w:val="6"/>
              </w:rPr>
              <w:t xml:space="preserve">，到达时间   </w:t>
            </w:r>
            <w:r>
              <w:rPr>
                <w:rFonts w:ascii="Times New Roman" w:hAnsi="Times New Roman" w:eastAsia="Times New Roman" w:cs="Times New Roman"/>
                <w:spacing w:val="6"/>
              </w:rPr>
              <w:t>h</w:t>
            </w:r>
          </w:p>
        </w:tc>
      </w:tr>
      <w:tr w14:paraId="0FB29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textDirection w:val="tbRlV"/>
            <w:vAlign w:val="top"/>
          </w:tcPr>
          <w:p w14:paraId="32C03AD4">
            <w:pPr>
              <w:rPr>
                <w:rFonts w:ascii="Arial"/>
                <w:sz w:val="21"/>
              </w:rPr>
            </w:pPr>
          </w:p>
        </w:tc>
        <w:tc>
          <w:tcPr>
            <w:tcW w:w="1341" w:type="dxa"/>
            <w:vMerge w:val="restart"/>
            <w:tcBorders>
              <w:bottom w:val="nil"/>
            </w:tcBorders>
            <w:vAlign w:val="top"/>
          </w:tcPr>
          <w:p w14:paraId="170E5D38">
            <w:pPr>
              <w:pStyle w:val="6"/>
              <w:spacing w:before="291" w:line="228" w:lineRule="auto"/>
              <w:ind w:left="357"/>
            </w:pPr>
            <w:r>
              <w:rPr>
                <w:spacing w:val="6"/>
              </w:rPr>
              <w:t>地下水</w:t>
            </w:r>
          </w:p>
        </w:tc>
        <w:tc>
          <w:tcPr>
            <w:tcW w:w="6586" w:type="dxa"/>
            <w:gridSpan w:val="9"/>
            <w:vAlign w:val="top"/>
          </w:tcPr>
          <w:p w14:paraId="7455C1E1">
            <w:pPr>
              <w:pStyle w:val="6"/>
              <w:spacing w:before="69" w:line="228" w:lineRule="auto"/>
              <w:ind w:left="2042"/>
              <w:rPr>
                <w:rFonts w:ascii="Times New Roman" w:hAnsi="Times New Roman" w:eastAsia="Times New Roman" w:cs="Times New Roman"/>
              </w:rPr>
            </w:pPr>
            <w:r>
              <w:rPr>
                <w:spacing w:val="7"/>
              </w:rPr>
              <w:t xml:space="preserve">下游厂区边界到达时间   </w:t>
            </w:r>
            <w:r>
              <w:rPr>
                <w:rFonts w:ascii="Times New Roman" w:hAnsi="Times New Roman" w:eastAsia="Times New Roman" w:cs="Times New Roman"/>
                <w:spacing w:val="7"/>
              </w:rPr>
              <w:t>d</w:t>
            </w:r>
          </w:p>
        </w:tc>
      </w:tr>
      <w:tr w14:paraId="6FB62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439" w:type="dxa"/>
            <w:vMerge w:val="continue"/>
            <w:tcBorders>
              <w:top w:val="nil"/>
            </w:tcBorders>
            <w:textDirection w:val="tbRlV"/>
            <w:vAlign w:val="top"/>
          </w:tcPr>
          <w:p w14:paraId="4F939F3F">
            <w:pPr>
              <w:rPr>
                <w:rFonts w:ascii="Arial"/>
                <w:sz w:val="21"/>
              </w:rPr>
            </w:pPr>
          </w:p>
        </w:tc>
        <w:tc>
          <w:tcPr>
            <w:tcW w:w="1341" w:type="dxa"/>
            <w:vMerge w:val="continue"/>
            <w:tcBorders>
              <w:top w:val="nil"/>
            </w:tcBorders>
            <w:vAlign w:val="top"/>
          </w:tcPr>
          <w:p w14:paraId="1A0D80A4">
            <w:pPr>
              <w:rPr>
                <w:rFonts w:ascii="Arial"/>
                <w:sz w:val="21"/>
              </w:rPr>
            </w:pPr>
          </w:p>
        </w:tc>
        <w:tc>
          <w:tcPr>
            <w:tcW w:w="6586" w:type="dxa"/>
            <w:gridSpan w:val="9"/>
            <w:vAlign w:val="top"/>
          </w:tcPr>
          <w:p w14:paraId="37F99C35">
            <w:pPr>
              <w:pStyle w:val="6"/>
              <w:spacing w:before="117" w:line="228" w:lineRule="auto"/>
              <w:ind w:left="1565"/>
              <w:rPr>
                <w:rFonts w:ascii="Times New Roman" w:hAnsi="Times New Roman" w:eastAsia="Times New Roman" w:cs="Times New Roman"/>
              </w:rPr>
            </w:pPr>
            <w:r>
              <w:rPr>
                <w:spacing w:val="6"/>
              </w:rPr>
              <w:t>最近环境敏感目标</w:t>
            </w:r>
            <w:r>
              <w:rPr>
                <w:spacing w:val="17"/>
              </w:rPr>
              <w:t xml:space="preserve">   </w:t>
            </w:r>
            <w:r>
              <w:rPr>
                <w:spacing w:val="6"/>
              </w:rPr>
              <w:t xml:space="preserve">，到达时间   </w:t>
            </w:r>
            <w:r>
              <w:rPr>
                <w:rFonts w:ascii="Times New Roman" w:hAnsi="Times New Roman" w:eastAsia="Times New Roman" w:cs="Times New Roman"/>
                <w:spacing w:val="6"/>
              </w:rPr>
              <w:t>d</w:t>
            </w:r>
          </w:p>
        </w:tc>
      </w:tr>
      <w:tr w14:paraId="4B099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80" w:type="dxa"/>
            <w:gridSpan w:val="2"/>
            <w:vAlign w:val="top"/>
          </w:tcPr>
          <w:p w14:paraId="4FEBA294">
            <w:pPr>
              <w:pStyle w:val="6"/>
              <w:spacing w:before="70" w:line="228" w:lineRule="auto"/>
              <w:ind w:left="55"/>
            </w:pPr>
            <w:r>
              <w:rPr>
                <w:spacing w:val="8"/>
              </w:rPr>
              <w:t>重点风险防范措施</w:t>
            </w:r>
          </w:p>
        </w:tc>
        <w:tc>
          <w:tcPr>
            <w:tcW w:w="6586" w:type="dxa"/>
            <w:gridSpan w:val="9"/>
            <w:vAlign w:val="top"/>
          </w:tcPr>
          <w:p w14:paraId="2FB40C0D">
            <w:pPr>
              <w:pStyle w:val="6"/>
              <w:spacing w:before="55" w:line="228" w:lineRule="auto"/>
              <w:ind w:left="31"/>
            </w:pPr>
            <w:r>
              <w:rPr>
                <w:spacing w:val="9"/>
              </w:rPr>
              <w:t>废润滑油集中在危废暂存间内，危废暂存间有地面防渗措施。</w:t>
            </w:r>
          </w:p>
        </w:tc>
      </w:tr>
    </w:tbl>
    <w:p w14:paraId="3AF464D8">
      <w:pPr>
        <w:pStyle w:val="2"/>
        <w:spacing w:line="174" w:lineRule="exact"/>
        <w:rPr>
          <w:sz w:val="15"/>
        </w:rPr>
      </w:pPr>
    </w:p>
    <w:p w14:paraId="6D0C7A2D">
      <w:pPr>
        <w:spacing w:line="174" w:lineRule="exact"/>
        <w:rPr>
          <w:sz w:val="15"/>
          <w:szCs w:val="15"/>
        </w:rPr>
        <w:sectPr>
          <w:footerReference r:id="rId362" w:type="default"/>
          <w:pgSz w:w="11906" w:h="16839"/>
          <w:pgMar w:top="1208" w:right="1688" w:bottom="1358" w:left="1688" w:header="825" w:footer="1195" w:gutter="0"/>
          <w:cols w:space="720" w:num="1"/>
        </w:sectPr>
      </w:pPr>
    </w:p>
    <w:p w14:paraId="73D738F5">
      <w:pPr>
        <w:spacing w:line="231" w:lineRule="exact"/>
      </w:pPr>
    </w:p>
    <w:tbl>
      <w:tblPr>
        <w:tblStyle w:val="5"/>
        <w:tblW w:w="8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9"/>
        <w:gridCol w:w="6587"/>
      </w:tblGrid>
      <w:tr w14:paraId="12BF2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779" w:type="dxa"/>
            <w:vAlign w:val="top"/>
          </w:tcPr>
          <w:p w14:paraId="6D3AF24E">
            <w:pPr>
              <w:pStyle w:val="6"/>
              <w:spacing w:before="212" w:line="226" w:lineRule="auto"/>
              <w:ind w:left="159"/>
            </w:pPr>
            <w:r>
              <w:rPr>
                <w:spacing w:val="8"/>
              </w:rPr>
              <w:t>评价结论与建议</w:t>
            </w:r>
          </w:p>
        </w:tc>
        <w:tc>
          <w:tcPr>
            <w:tcW w:w="6587" w:type="dxa"/>
            <w:vAlign w:val="top"/>
          </w:tcPr>
          <w:p w14:paraId="53AA95E8">
            <w:pPr>
              <w:pStyle w:val="6"/>
              <w:spacing w:before="56" w:line="260" w:lineRule="auto"/>
              <w:ind w:left="32" w:right="29"/>
            </w:pPr>
            <w:r>
              <w:rPr>
                <w:spacing w:val="10"/>
              </w:rPr>
              <w:t>通过风险防范应急措施的设立，可以最大限度防止风险事故的发生，而</w:t>
            </w:r>
            <w:r>
              <w:rPr>
                <w:spacing w:val="9"/>
              </w:rPr>
              <w:t xml:space="preserve"> 且当事故发生时，可以将其得到有效的控制。</w:t>
            </w:r>
          </w:p>
        </w:tc>
      </w:tr>
      <w:tr w14:paraId="05AE6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366" w:type="dxa"/>
            <w:gridSpan w:val="2"/>
            <w:vAlign w:val="top"/>
          </w:tcPr>
          <w:p w14:paraId="391D186D">
            <w:pPr>
              <w:pStyle w:val="6"/>
              <w:spacing w:before="69" w:line="188" w:lineRule="auto"/>
              <w:ind w:left="2596"/>
            </w:pPr>
            <w:r>
              <w:rPr>
                <w:spacing w:val="7"/>
              </w:rPr>
              <w:t>注：</w:t>
            </w:r>
            <w:r>
              <w:rPr>
                <w:rFonts w:ascii="Times New Roman" w:hAnsi="Times New Roman" w:eastAsia="Times New Roman" w:cs="Times New Roman"/>
                <w:spacing w:val="7"/>
              </w:rPr>
              <w:t>“</w:t>
            </w:r>
            <w:r>
              <w:rPr>
                <w:rFonts w:ascii="Times New Roman" w:hAnsi="Times New Roman" w:eastAsia="Times New Roman" w:cs="Times New Roman"/>
                <w:spacing w:val="-19"/>
              </w:rPr>
              <w:t xml:space="preserve"> </w:t>
            </w:r>
            <w:r>
              <w:rPr>
                <w:rFonts w:ascii="微软雅黑" w:hAnsi="微软雅黑" w:eastAsia="微软雅黑" w:cs="微软雅黑"/>
                <w:spacing w:val="7"/>
              </w:rPr>
              <w:t>□</w:t>
            </w:r>
            <w:r>
              <w:rPr>
                <w:rFonts w:ascii="Times New Roman" w:hAnsi="Times New Roman" w:eastAsia="Times New Roman" w:cs="Times New Roman"/>
                <w:spacing w:val="7"/>
              </w:rPr>
              <w:t>”</w:t>
            </w:r>
            <w:r>
              <w:rPr>
                <w:spacing w:val="7"/>
              </w:rPr>
              <w:t>为勾选项；</w:t>
            </w:r>
            <w:r>
              <w:rPr>
                <w:rFonts w:ascii="Times New Roman" w:hAnsi="Times New Roman" w:eastAsia="Times New Roman" w:cs="Times New Roman"/>
                <w:spacing w:val="7"/>
              </w:rPr>
              <w:t>“      ”</w:t>
            </w:r>
            <w:r>
              <w:rPr>
                <w:spacing w:val="7"/>
              </w:rPr>
              <w:t>为填写项</w:t>
            </w:r>
          </w:p>
        </w:tc>
      </w:tr>
    </w:tbl>
    <w:p w14:paraId="20ECB9E2">
      <w:pPr>
        <w:pStyle w:val="2"/>
      </w:pPr>
    </w:p>
    <w:p w14:paraId="5FCA93A6">
      <w:pPr>
        <w:sectPr>
          <w:headerReference r:id="rId363" w:type="default"/>
          <w:footerReference r:id="rId364" w:type="default"/>
          <w:pgSz w:w="11906" w:h="16839"/>
          <w:pgMar w:top="1208" w:right="1767" w:bottom="1358" w:left="1767" w:header="825" w:footer="1195" w:gutter="0"/>
          <w:cols w:space="720" w:num="1"/>
        </w:sectPr>
      </w:pPr>
    </w:p>
    <w:p w14:paraId="651B9E76">
      <w:pPr>
        <w:spacing w:before="271" w:line="222" w:lineRule="auto"/>
        <w:ind w:left="213"/>
        <w:outlineLvl w:val="1"/>
        <w:rPr>
          <w:rFonts w:ascii="黑体" w:hAnsi="黑体" w:eastAsia="黑体" w:cs="黑体"/>
          <w:sz w:val="28"/>
          <w:szCs w:val="28"/>
        </w:rPr>
      </w:pPr>
      <w:bookmarkStart w:id="156" w:name="bookmark139"/>
      <w:bookmarkEnd w:id="156"/>
      <w:bookmarkStart w:id="157" w:name="bookmark138"/>
      <w:bookmarkEnd w:id="157"/>
      <w:r>
        <w:rPr>
          <w:rFonts w:ascii="Times New Roman" w:hAnsi="Times New Roman" w:eastAsia="Times New Roman" w:cs="Times New Roman"/>
          <w:b/>
          <w:bCs/>
          <w:spacing w:val="-3"/>
          <w:sz w:val="28"/>
          <w:szCs w:val="28"/>
        </w:rPr>
        <w:t xml:space="preserve">8.8 </w:t>
      </w:r>
      <w:r>
        <w:rPr>
          <w:rFonts w:ascii="黑体" w:hAnsi="黑体" w:eastAsia="黑体" w:cs="黑体"/>
          <w:b/>
          <w:bCs/>
          <w:spacing w:val="-3"/>
          <w:sz w:val="28"/>
          <w:szCs w:val="28"/>
        </w:rPr>
        <w:t>土壤环境影响评价</w:t>
      </w:r>
    </w:p>
    <w:p w14:paraId="2FD6F24F">
      <w:pPr>
        <w:spacing w:before="257" w:line="219" w:lineRule="auto"/>
        <w:ind w:left="692"/>
        <w:outlineLvl w:val="2"/>
        <w:rPr>
          <w:rFonts w:ascii="宋体" w:hAnsi="宋体" w:eastAsia="宋体" w:cs="宋体"/>
          <w:sz w:val="24"/>
          <w:szCs w:val="24"/>
        </w:rPr>
      </w:pPr>
      <w:bookmarkStart w:id="158" w:name="bookmark213"/>
      <w:bookmarkEnd w:id="158"/>
      <w:r>
        <w:rPr>
          <w:rFonts w:ascii="Times New Roman" w:hAnsi="Times New Roman" w:eastAsia="Times New Roman" w:cs="Times New Roman"/>
          <w:b/>
          <w:bCs/>
          <w:spacing w:val="-5"/>
          <w:sz w:val="24"/>
          <w:szCs w:val="24"/>
        </w:rPr>
        <w:t>8.8.1</w:t>
      </w:r>
      <w:r>
        <w:rPr>
          <w:rFonts w:ascii="Times New Roman" w:hAnsi="Times New Roman" w:eastAsia="Times New Roman" w:cs="Times New Roman"/>
          <w:b/>
          <w:bCs/>
          <w:spacing w:val="35"/>
          <w:sz w:val="24"/>
          <w:szCs w:val="24"/>
        </w:rPr>
        <w:t xml:space="preserve"> </w:t>
      </w:r>
      <w:r>
        <w:rPr>
          <w:rFonts w:ascii="宋体" w:hAnsi="宋体" w:eastAsia="宋体" w:cs="宋体"/>
          <w:b/>
          <w:bCs/>
          <w:spacing w:val="-5"/>
          <w:sz w:val="24"/>
          <w:szCs w:val="24"/>
        </w:rPr>
        <w:t>区域环境条件</w:t>
      </w:r>
    </w:p>
    <w:p w14:paraId="3C0CCEA6">
      <w:pPr>
        <w:spacing w:before="182" w:line="219" w:lineRule="auto"/>
        <w:ind w:left="692"/>
        <w:rPr>
          <w:rFonts w:ascii="宋体" w:hAnsi="宋体" w:eastAsia="宋体" w:cs="宋体"/>
          <w:sz w:val="24"/>
          <w:szCs w:val="24"/>
        </w:rPr>
      </w:pPr>
      <w:r>
        <w:rPr>
          <w:rFonts w:ascii="宋体" w:hAnsi="宋体" w:eastAsia="宋体" w:cs="宋体"/>
          <w:spacing w:val="-1"/>
          <w:sz w:val="24"/>
          <w:szCs w:val="24"/>
        </w:rPr>
        <w:t>场地的水文地质特征和地层岩性特征见</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6.3</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8"/>
          <w:w w:val="101"/>
          <w:sz w:val="24"/>
          <w:szCs w:val="24"/>
        </w:rPr>
        <w:t xml:space="preserve"> </w:t>
      </w:r>
      <w:r>
        <w:rPr>
          <w:rFonts w:ascii="宋体" w:hAnsi="宋体" w:eastAsia="宋体" w:cs="宋体"/>
          <w:spacing w:val="-2"/>
          <w:sz w:val="24"/>
          <w:szCs w:val="24"/>
        </w:rPr>
        <w:t>章节相关内容。</w:t>
      </w:r>
    </w:p>
    <w:p w14:paraId="3D6A08F5">
      <w:pPr>
        <w:spacing w:before="183" w:line="220" w:lineRule="auto"/>
        <w:ind w:left="692"/>
        <w:outlineLvl w:val="2"/>
        <w:rPr>
          <w:rFonts w:ascii="宋体" w:hAnsi="宋体" w:eastAsia="宋体" w:cs="宋体"/>
          <w:sz w:val="24"/>
          <w:szCs w:val="24"/>
        </w:rPr>
      </w:pPr>
      <w:bookmarkStart w:id="159" w:name="bookmark140"/>
      <w:bookmarkEnd w:id="159"/>
      <w:r>
        <w:rPr>
          <w:rFonts w:ascii="Times New Roman" w:hAnsi="Times New Roman" w:eastAsia="Times New Roman" w:cs="Times New Roman"/>
          <w:b/>
          <w:bCs/>
          <w:spacing w:val="-2"/>
          <w:sz w:val="24"/>
          <w:szCs w:val="24"/>
        </w:rPr>
        <w:t xml:space="preserve">8.8.2 </w:t>
      </w:r>
      <w:r>
        <w:rPr>
          <w:rFonts w:ascii="宋体" w:hAnsi="宋体" w:eastAsia="宋体" w:cs="宋体"/>
          <w:b/>
          <w:bCs/>
          <w:spacing w:val="-2"/>
          <w:sz w:val="24"/>
          <w:szCs w:val="24"/>
        </w:rPr>
        <w:t>土壤环境影响识别</w:t>
      </w:r>
    </w:p>
    <w:p w14:paraId="03350974">
      <w:pPr>
        <w:spacing w:before="182" w:line="360" w:lineRule="auto"/>
        <w:ind w:left="214" w:right="202" w:firstLine="479"/>
        <w:jc w:val="both"/>
        <w:rPr>
          <w:rFonts w:ascii="宋体" w:hAnsi="宋体" w:eastAsia="宋体" w:cs="宋体"/>
          <w:sz w:val="24"/>
          <w:szCs w:val="24"/>
        </w:rPr>
      </w:pPr>
      <w:r>
        <w:rPr>
          <w:rFonts w:ascii="宋体" w:hAnsi="宋体" w:eastAsia="宋体" w:cs="宋体"/>
          <w:spacing w:val="-1"/>
          <w:sz w:val="24"/>
          <w:szCs w:val="24"/>
        </w:rPr>
        <w:t>根据《环境影响评价技术导则 土壤环境（试行）》（</w:t>
      </w:r>
      <w:r>
        <w:rPr>
          <w:rFonts w:ascii="Times New Roman" w:hAnsi="Times New Roman" w:eastAsia="Times New Roman" w:cs="Times New Roman"/>
          <w:spacing w:val="-1"/>
          <w:sz w:val="24"/>
          <w:szCs w:val="24"/>
        </w:rPr>
        <w:t>HJ 964-2018</w:t>
      </w:r>
      <w:r>
        <w:rPr>
          <w:rFonts w:ascii="宋体" w:hAnsi="宋体" w:eastAsia="宋体" w:cs="宋体"/>
          <w:spacing w:val="-1"/>
          <w:sz w:val="24"/>
          <w:szCs w:val="24"/>
        </w:rPr>
        <w:t>）要求，</w:t>
      </w:r>
      <w:r>
        <w:rPr>
          <w:rFonts w:ascii="宋体" w:hAnsi="宋体" w:eastAsia="宋体" w:cs="宋体"/>
          <w:spacing w:val="8"/>
          <w:sz w:val="24"/>
          <w:szCs w:val="24"/>
        </w:rPr>
        <w:t xml:space="preserve"> </w:t>
      </w:r>
      <w:r>
        <w:rPr>
          <w:rFonts w:ascii="宋体" w:hAnsi="宋体" w:eastAsia="宋体" w:cs="宋体"/>
          <w:spacing w:val="-3"/>
          <w:sz w:val="24"/>
          <w:szCs w:val="24"/>
        </w:rPr>
        <w:t>土壤环境影响评价在工程分析的基础上，结合土壤环境敏感目标，根据建设项目</w:t>
      </w:r>
      <w:r>
        <w:rPr>
          <w:rFonts w:ascii="宋体" w:hAnsi="宋体" w:eastAsia="宋体" w:cs="宋体"/>
          <w:sz w:val="24"/>
          <w:szCs w:val="24"/>
        </w:rPr>
        <w:t xml:space="preserve"> </w:t>
      </w:r>
      <w:r>
        <w:rPr>
          <w:rFonts w:ascii="宋体" w:hAnsi="宋体" w:eastAsia="宋体" w:cs="宋体"/>
          <w:spacing w:val="-3"/>
          <w:sz w:val="24"/>
          <w:szCs w:val="24"/>
        </w:rPr>
        <w:t>建设期、运营期和服务期满后（可根据项目情况选择）三个阶段的具体特征，识</w:t>
      </w:r>
      <w:r>
        <w:rPr>
          <w:rFonts w:ascii="宋体" w:hAnsi="宋体" w:eastAsia="宋体" w:cs="宋体"/>
          <w:sz w:val="24"/>
          <w:szCs w:val="24"/>
        </w:rPr>
        <w:t xml:space="preserve"> </w:t>
      </w:r>
      <w:r>
        <w:rPr>
          <w:rFonts w:ascii="宋体" w:hAnsi="宋体" w:eastAsia="宋体" w:cs="宋体"/>
          <w:spacing w:val="-1"/>
          <w:sz w:val="24"/>
          <w:szCs w:val="24"/>
        </w:rPr>
        <w:t>别土壤环境影响类型与影响途径。</w:t>
      </w:r>
    </w:p>
    <w:p w14:paraId="59F5006A">
      <w:pPr>
        <w:spacing w:before="2" w:line="343" w:lineRule="auto"/>
        <w:ind w:left="213" w:right="202" w:firstLine="480"/>
        <w:jc w:val="both"/>
        <w:rPr>
          <w:rFonts w:ascii="宋体" w:hAnsi="宋体" w:eastAsia="宋体" w:cs="宋体"/>
          <w:sz w:val="24"/>
          <w:szCs w:val="24"/>
        </w:rPr>
      </w:pPr>
      <w:r>
        <w:rPr>
          <w:rFonts w:ascii="宋体" w:hAnsi="宋体" w:eastAsia="宋体" w:cs="宋体"/>
          <w:spacing w:val="-3"/>
          <w:sz w:val="24"/>
          <w:szCs w:val="24"/>
        </w:rPr>
        <w:t>根据工程概况及工程分析，本项目土壤环境影响类型为污染影响</w:t>
      </w:r>
      <w:r>
        <w:rPr>
          <w:rFonts w:ascii="宋体" w:hAnsi="宋体" w:eastAsia="宋体" w:cs="宋体"/>
          <w:spacing w:val="-4"/>
          <w:sz w:val="24"/>
          <w:szCs w:val="24"/>
        </w:rPr>
        <w:t>型，且服务</w:t>
      </w:r>
      <w:r>
        <w:rPr>
          <w:rFonts w:ascii="宋体" w:hAnsi="宋体" w:eastAsia="宋体" w:cs="宋体"/>
          <w:sz w:val="24"/>
          <w:szCs w:val="24"/>
        </w:rPr>
        <w:t xml:space="preserve"> </w:t>
      </w:r>
      <w:r>
        <w:rPr>
          <w:rFonts w:ascii="宋体" w:hAnsi="宋体" w:eastAsia="宋体" w:cs="宋体"/>
          <w:spacing w:val="-3"/>
          <w:sz w:val="24"/>
          <w:szCs w:val="24"/>
        </w:rPr>
        <w:t>期满后项目对土壤环境无影响，因此主要识别建设期和运营期项目对土壤环境的</w:t>
      </w:r>
      <w:r>
        <w:rPr>
          <w:rFonts w:ascii="宋体" w:hAnsi="宋体" w:eastAsia="宋体" w:cs="宋体"/>
          <w:spacing w:val="1"/>
          <w:sz w:val="24"/>
          <w:szCs w:val="24"/>
        </w:rPr>
        <w:t xml:space="preserve"> </w:t>
      </w:r>
      <w:r>
        <w:rPr>
          <w:rFonts w:ascii="宋体" w:hAnsi="宋体" w:eastAsia="宋体" w:cs="宋体"/>
          <w:spacing w:val="-2"/>
          <w:sz w:val="24"/>
          <w:szCs w:val="24"/>
        </w:rPr>
        <w:t>影响。环境影响识别过程见表</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8.8-1 </w:t>
      </w:r>
      <w:r>
        <w:rPr>
          <w:rFonts w:ascii="宋体" w:hAnsi="宋体" w:eastAsia="宋体" w:cs="宋体"/>
          <w:spacing w:val="-2"/>
          <w:sz w:val="24"/>
          <w:szCs w:val="24"/>
        </w:rPr>
        <w:t>和</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8.8-2</w:t>
      </w:r>
      <w:r>
        <w:rPr>
          <w:rFonts w:ascii="宋体" w:hAnsi="宋体" w:eastAsia="宋体" w:cs="宋体"/>
          <w:spacing w:val="-2"/>
          <w:sz w:val="24"/>
          <w:szCs w:val="24"/>
        </w:rPr>
        <w:t>。</w:t>
      </w:r>
    </w:p>
    <w:p w14:paraId="7BD9B480">
      <w:pPr>
        <w:spacing w:before="1" w:line="227" w:lineRule="auto"/>
        <w:ind w:left="2018"/>
        <w:rPr>
          <w:rFonts w:ascii="宋体" w:hAnsi="宋体" w:eastAsia="宋体" w:cs="宋体"/>
          <w:sz w:val="20"/>
          <w:szCs w:val="20"/>
        </w:rPr>
      </w:pPr>
      <w:r>
        <w:rPr>
          <w:rFonts w:ascii="宋体" w:hAnsi="宋体" w:eastAsia="宋体" w:cs="宋体"/>
          <w:spacing w:val="7"/>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spacing w:val="7"/>
          <w:sz w:val="20"/>
          <w:szCs w:val="20"/>
        </w:rPr>
        <w:t xml:space="preserve">8.8-1    </w:t>
      </w:r>
      <w:r>
        <w:rPr>
          <w:rFonts w:ascii="宋体" w:hAnsi="宋体" w:eastAsia="宋体" w:cs="宋体"/>
          <w:spacing w:val="7"/>
          <w:sz w:val="20"/>
          <w:szCs w:val="20"/>
        </w:rPr>
        <w:t>建设项目土壤环境影响类型与影响途径表</w:t>
      </w:r>
    </w:p>
    <w:p w14:paraId="6F9E0925">
      <w:pPr>
        <w:spacing w:line="14" w:lineRule="exact"/>
      </w:pPr>
    </w:p>
    <w:tbl>
      <w:tblPr>
        <w:tblStyle w:val="5"/>
        <w:tblW w:w="87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0"/>
        <w:gridCol w:w="1851"/>
        <w:gridCol w:w="1917"/>
        <w:gridCol w:w="1788"/>
        <w:gridCol w:w="1231"/>
      </w:tblGrid>
      <w:tr w14:paraId="05193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920" w:type="dxa"/>
            <w:vAlign w:val="top"/>
          </w:tcPr>
          <w:p w14:paraId="13ECE506">
            <w:pPr>
              <w:rPr>
                <w:rFonts w:ascii="Arial"/>
                <w:sz w:val="21"/>
              </w:rPr>
            </w:pPr>
          </w:p>
        </w:tc>
        <w:tc>
          <w:tcPr>
            <w:tcW w:w="1851" w:type="dxa"/>
            <w:vAlign w:val="top"/>
          </w:tcPr>
          <w:p w14:paraId="522EEEF5">
            <w:pPr>
              <w:pStyle w:val="6"/>
              <w:spacing w:before="55" w:line="228" w:lineRule="auto"/>
              <w:ind w:left="514"/>
            </w:pPr>
            <w:r>
              <w:rPr>
                <w:spacing w:val="6"/>
              </w:rPr>
              <w:t>大气沉降</w:t>
            </w:r>
          </w:p>
        </w:tc>
        <w:tc>
          <w:tcPr>
            <w:tcW w:w="1917" w:type="dxa"/>
            <w:vAlign w:val="top"/>
          </w:tcPr>
          <w:p w14:paraId="1FF75EC5">
            <w:pPr>
              <w:pStyle w:val="6"/>
              <w:spacing w:before="56" w:line="228" w:lineRule="auto"/>
              <w:ind w:left="544"/>
            </w:pPr>
            <w:r>
              <w:rPr>
                <w:spacing w:val="7"/>
              </w:rPr>
              <w:t>地面漫流</w:t>
            </w:r>
          </w:p>
        </w:tc>
        <w:tc>
          <w:tcPr>
            <w:tcW w:w="1788" w:type="dxa"/>
            <w:vAlign w:val="top"/>
          </w:tcPr>
          <w:p w14:paraId="63F7C726">
            <w:pPr>
              <w:pStyle w:val="6"/>
              <w:spacing w:before="56" w:line="228" w:lineRule="auto"/>
              <w:ind w:left="481"/>
            </w:pPr>
            <w:r>
              <w:rPr>
                <w:spacing w:val="7"/>
              </w:rPr>
              <w:t>垂直入渗</w:t>
            </w:r>
          </w:p>
        </w:tc>
        <w:tc>
          <w:tcPr>
            <w:tcW w:w="1231" w:type="dxa"/>
            <w:vAlign w:val="top"/>
          </w:tcPr>
          <w:p w14:paraId="444FEA08">
            <w:pPr>
              <w:pStyle w:val="6"/>
              <w:spacing w:before="56" w:line="228" w:lineRule="auto"/>
              <w:ind w:left="411"/>
            </w:pPr>
            <w:r>
              <w:rPr>
                <w:spacing w:val="4"/>
              </w:rPr>
              <w:t>其他</w:t>
            </w:r>
          </w:p>
        </w:tc>
      </w:tr>
      <w:tr w14:paraId="12DE4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920" w:type="dxa"/>
            <w:vAlign w:val="top"/>
          </w:tcPr>
          <w:p w14:paraId="7C6485CD">
            <w:pPr>
              <w:pStyle w:val="6"/>
              <w:spacing w:before="53" w:line="228" w:lineRule="auto"/>
              <w:ind w:left="653"/>
            </w:pPr>
            <w:r>
              <w:rPr>
                <w:spacing w:val="6"/>
              </w:rPr>
              <w:t>建设期</w:t>
            </w:r>
          </w:p>
        </w:tc>
        <w:tc>
          <w:tcPr>
            <w:tcW w:w="1851" w:type="dxa"/>
            <w:vAlign w:val="top"/>
          </w:tcPr>
          <w:p w14:paraId="6616A7DD">
            <w:pPr>
              <w:spacing w:before="15" w:line="281" w:lineRule="exact"/>
              <w:ind w:left="872"/>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917" w:type="dxa"/>
            <w:vAlign w:val="top"/>
          </w:tcPr>
          <w:p w14:paraId="46A0B0E2">
            <w:pPr>
              <w:spacing w:before="84" w:line="199" w:lineRule="auto"/>
              <w:ind w:left="9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8" w:type="dxa"/>
            <w:vAlign w:val="top"/>
          </w:tcPr>
          <w:p w14:paraId="02FD9E33">
            <w:pPr>
              <w:spacing w:before="15" w:line="281" w:lineRule="exact"/>
              <w:ind w:left="84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231" w:type="dxa"/>
            <w:vAlign w:val="top"/>
          </w:tcPr>
          <w:p w14:paraId="73AF88A8">
            <w:pPr>
              <w:spacing w:before="84" w:line="199"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3A19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20" w:type="dxa"/>
            <w:vAlign w:val="top"/>
          </w:tcPr>
          <w:p w14:paraId="3707E539">
            <w:pPr>
              <w:pStyle w:val="6"/>
              <w:spacing w:before="55" w:line="228" w:lineRule="auto"/>
              <w:ind w:left="650"/>
            </w:pPr>
            <w:r>
              <w:rPr>
                <w:spacing w:val="6"/>
              </w:rPr>
              <w:t>运营期</w:t>
            </w:r>
          </w:p>
        </w:tc>
        <w:tc>
          <w:tcPr>
            <w:tcW w:w="1851" w:type="dxa"/>
            <w:vAlign w:val="top"/>
          </w:tcPr>
          <w:p w14:paraId="58BF7815">
            <w:pPr>
              <w:spacing w:before="17" w:line="281" w:lineRule="exact"/>
              <w:ind w:left="872"/>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917" w:type="dxa"/>
            <w:vAlign w:val="top"/>
          </w:tcPr>
          <w:p w14:paraId="16C4DDAE">
            <w:pPr>
              <w:spacing w:before="86" w:line="199" w:lineRule="auto"/>
              <w:ind w:left="9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8" w:type="dxa"/>
            <w:vAlign w:val="top"/>
          </w:tcPr>
          <w:p w14:paraId="7F5668C5">
            <w:pPr>
              <w:spacing w:before="17" w:line="281" w:lineRule="exact"/>
              <w:ind w:left="84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231" w:type="dxa"/>
            <w:vAlign w:val="top"/>
          </w:tcPr>
          <w:p w14:paraId="07B44D63">
            <w:pPr>
              <w:spacing w:before="86" w:line="199"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E564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07" w:type="dxa"/>
            <w:gridSpan w:val="5"/>
            <w:vAlign w:val="top"/>
          </w:tcPr>
          <w:p w14:paraId="6AC9ABE9">
            <w:pPr>
              <w:pStyle w:val="6"/>
              <w:spacing w:before="17" w:line="281" w:lineRule="exact"/>
              <w:ind w:left="2213"/>
            </w:pPr>
            <w:r>
              <w:rPr>
                <w:spacing w:val="8"/>
              </w:rPr>
              <w:t>注：在可能产生的土壤环境影响类型处打</w:t>
            </w:r>
            <w:r>
              <w:rPr>
                <w:rFonts w:ascii="Times New Roman" w:hAnsi="Times New Roman" w:eastAsia="Times New Roman" w:cs="Times New Roman"/>
                <w:spacing w:val="8"/>
              </w:rPr>
              <w:t>“√”</w:t>
            </w:r>
            <w:r>
              <w:rPr>
                <w:spacing w:val="8"/>
              </w:rPr>
              <w:t>。</w:t>
            </w:r>
          </w:p>
        </w:tc>
      </w:tr>
    </w:tbl>
    <w:p w14:paraId="0F03617D">
      <w:pPr>
        <w:spacing w:before="51" w:line="228" w:lineRule="auto"/>
        <w:ind w:left="2229"/>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2"/>
          <w:sz w:val="20"/>
          <w:szCs w:val="20"/>
        </w:rPr>
        <w:t xml:space="preserve"> </w:t>
      </w:r>
      <w:r>
        <w:rPr>
          <w:rFonts w:ascii="Times New Roman" w:hAnsi="Times New Roman" w:eastAsia="Times New Roman" w:cs="Times New Roman"/>
          <w:spacing w:val="6"/>
          <w:sz w:val="20"/>
          <w:szCs w:val="20"/>
        </w:rPr>
        <w:t xml:space="preserve">8.8-2        </w:t>
      </w:r>
      <w:r>
        <w:rPr>
          <w:rFonts w:ascii="宋体" w:hAnsi="宋体" w:eastAsia="宋体" w:cs="宋体"/>
          <w:spacing w:val="6"/>
          <w:sz w:val="20"/>
          <w:szCs w:val="20"/>
        </w:rPr>
        <w:t>土壤环境影响源及影响因子识别表</w:t>
      </w:r>
    </w:p>
    <w:p w14:paraId="6733B8FF">
      <w:pPr>
        <w:spacing w:line="14" w:lineRule="exact"/>
      </w:pPr>
    </w:p>
    <w:tbl>
      <w:tblPr>
        <w:tblStyle w:val="5"/>
        <w:tblW w:w="87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6"/>
        <w:gridCol w:w="1571"/>
        <w:gridCol w:w="1132"/>
        <w:gridCol w:w="1841"/>
        <w:gridCol w:w="991"/>
        <w:gridCol w:w="2046"/>
      </w:tblGrid>
      <w:tr w14:paraId="308AE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26" w:type="dxa"/>
            <w:vAlign w:val="top"/>
          </w:tcPr>
          <w:p w14:paraId="1D4D5DEE">
            <w:pPr>
              <w:pStyle w:val="6"/>
              <w:spacing w:before="55" w:line="228" w:lineRule="auto"/>
              <w:ind w:left="256"/>
            </w:pPr>
            <w:r>
              <w:rPr>
                <w:spacing w:val="6"/>
              </w:rPr>
              <w:t>污染源</w:t>
            </w:r>
          </w:p>
        </w:tc>
        <w:tc>
          <w:tcPr>
            <w:tcW w:w="1571" w:type="dxa"/>
            <w:vAlign w:val="top"/>
          </w:tcPr>
          <w:p w14:paraId="77F53448">
            <w:pPr>
              <w:pStyle w:val="6"/>
              <w:spacing w:before="55" w:line="228" w:lineRule="auto"/>
              <w:ind w:left="132"/>
            </w:pPr>
            <w:r>
              <w:rPr>
                <w:spacing w:val="7"/>
              </w:rPr>
              <w:t>工艺流程</w:t>
            </w:r>
            <w:r>
              <w:rPr>
                <w:rFonts w:ascii="Times New Roman" w:hAnsi="Times New Roman" w:eastAsia="Times New Roman" w:cs="Times New Roman"/>
                <w:spacing w:val="7"/>
              </w:rPr>
              <w:t>/</w:t>
            </w:r>
            <w:r>
              <w:rPr>
                <w:spacing w:val="7"/>
              </w:rPr>
              <w:t>节点</w:t>
            </w:r>
          </w:p>
        </w:tc>
        <w:tc>
          <w:tcPr>
            <w:tcW w:w="1132" w:type="dxa"/>
            <w:vAlign w:val="top"/>
          </w:tcPr>
          <w:p w14:paraId="405E49DB">
            <w:pPr>
              <w:pStyle w:val="6"/>
              <w:spacing w:before="54" w:line="228" w:lineRule="auto"/>
              <w:ind w:left="151"/>
            </w:pPr>
            <w:r>
              <w:rPr>
                <w:spacing w:val="6"/>
              </w:rPr>
              <w:t>污染途径</w:t>
            </w:r>
          </w:p>
        </w:tc>
        <w:tc>
          <w:tcPr>
            <w:tcW w:w="1841" w:type="dxa"/>
            <w:vAlign w:val="top"/>
          </w:tcPr>
          <w:p w14:paraId="606393DB">
            <w:pPr>
              <w:pStyle w:val="6"/>
              <w:spacing w:before="54" w:line="228" w:lineRule="auto"/>
              <w:ind w:left="119"/>
              <w:rPr>
                <w:rFonts w:ascii="Times New Roman" w:hAnsi="Times New Roman" w:eastAsia="Times New Roman" w:cs="Times New Roman"/>
              </w:rPr>
            </w:pPr>
            <w:r>
              <w:rPr>
                <w:spacing w:val="7"/>
              </w:rPr>
              <w:t>全部污染物指标</w:t>
            </w:r>
            <w:r>
              <w:rPr>
                <w:spacing w:val="-37"/>
              </w:rPr>
              <w:t xml:space="preserve"> </w:t>
            </w:r>
            <w:r>
              <w:rPr>
                <w:rFonts w:ascii="Times New Roman" w:hAnsi="Times New Roman" w:eastAsia="Times New Roman" w:cs="Times New Roman"/>
                <w:spacing w:val="7"/>
              </w:rPr>
              <w:t>a</w:t>
            </w:r>
          </w:p>
        </w:tc>
        <w:tc>
          <w:tcPr>
            <w:tcW w:w="991" w:type="dxa"/>
            <w:vAlign w:val="top"/>
          </w:tcPr>
          <w:p w14:paraId="4FF725C6">
            <w:pPr>
              <w:pStyle w:val="6"/>
              <w:spacing w:before="54" w:line="228" w:lineRule="auto"/>
              <w:ind w:left="83"/>
            </w:pPr>
            <w:r>
              <w:rPr>
                <w:spacing w:val="7"/>
              </w:rPr>
              <w:t>特征因子</w:t>
            </w:r>
          </w:p>
        </w:tc>
        <w:tc>
          <w:tcPr>
            <w:tcW w:w="2046" w:type="dxa"/>
            <w:vAlign w:val="top"/>
          </w:tcPr>
          <w:p w14:paraId="0A6CD659">
            <w:pPr>
              <w:pStyle w:val="6"/>
              <w:spacing w:before="55" w:line="229" w:lineRule="auto"/>
              <w:ind w:left="820"/>
            </w:pPr>
            <w:r>
              <w:rPr>
                <w:spacing w:val="3"/>
              </w:rPr>
              <w:t>备注</w:t>
            </w:r>
          </w:p>
        </w:tc>
      </w:tr>
      <w:tr w14:paraId="181E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26" w:type="dxa"/>
            <w:vAlign w:val="top"/>
          </w:tcPr>
          <w:p w14:paraId="3690D7D1">
            <w:pPr>
              <w:spacing w:line="453" w:lineRule="auto"/>
              <w:rPr>
                <w:rFonts w:ascii="Arial"/>
                <w:sz w:val="21"/>
              </w:rPr>
            </w:pPr>
          </w:p>
          <w:p w14:paraId="70DB06A0">
            <w:pPr>
              <w:pStyle w:val="6"/>
              <w:spacing w:before="65" w:line="228" w:lineRule="auto"/>
              <w:ind w:left="148"/>
            </w:pPr>
            <w:r>
              <w:rPr>
                <w:spacing w:val="7"/>
              </w:rPr>
              <w:t>施工废水</w:t>
            </w:r>
          </w:p>
        </w:tc>
        <w:tc>
          <w:tcPr>
            <w:tcW w:w="1571" w:type="dxa"/>
            <w:vAlign w:val="top"/>
          </w:tcPr>
          <w:p w14:paraId="2D2082EB">
            <w:pPr>
              <w:spacing w:line="453" w:lineRule="auto"/>
              <w:rPr>
                <w:rFonts w:ascii="Arial"/>
                <w:sz w:val="21"/>
              </w:rPr>
            </w:pPr>
          </w:p>
          <w:p w14:paraId="4BC84FB7">
            <w:pPr>
              <w:pStyle w:val="6"/>
              <w:spacing w:before="65" w:line="228" w:lineRule="auto"/>
              <w:ind w:left="368"/>
            </w:pPr>
            <w:r>
              <w:rPr>
                <w:spacing w:val="7"/>
              </w:rPr>
              <w:t>场地施工</w:t>
            </w:r>
          </w:p>
        </w:tc>
        <w:tc>
          <w:tcPr>
            <w:tcW w:w="1132" w:type="dxa"/>
            <w:vAlign w:val="top"/>
          </w:tcPr>
          <w:p w14:paraId="6AEEA964">
            <w:pPr>
              <w:spacing w:line="453" w:lineRule="auto"/>
              <w:rPr>
                <w:rFonts w:ascii="Arial"/>
                <w:sz w:val="21"/>
              </w:rPr>
            </w:pPr>
          </w:p>
          <w:p w14:paraId="090F138F">
            <w:pPr>
              <w:pStyle w:val="6"/>
              <w:spacing w:before="65" w:line="228" w:lineRule="auto"/>
              <w:ind w:left="150"/>
            </w:pPr>
            <w:r>
              <w:rPr>
                <w:spacing w:val="7"/>
              </w:rPr>
              <w:t>垂直入渗</w:t>
            </w:r>
          </w:p>
        </w:tc>
        <w:tc>
          <w:tcPr>
            <w:tcW w:w="1841" w:type="dxa"/>
            <w:vAlign w:val="top"/>
          </w:tcPr>
          <w:p w14:paraId="3E29C290">
            <w:pPr>
              <w:spacing w:line="453" w:lineRule="auto"/>
              <w:rPr>
                <w:rFonts w:ascii="Arial"/>
                <w:sz w:val="21"/>
              </w:rPr>
            </w:pPr>
          </w:p>
          <w:p w14:paraId="45AAC988">
            <w:pPr>
              <w:pStyle w:val="6"/>
              <w:spacing w:before="65" w:line="227" w:lineRule="auto"/>
              <w:ind w:right="1"/>
              <w:jc w:val="right"/>
            </w:pPr>
            <w:r>
              <w:rPr>
                <w:rFonts w:ascii="Times New Roman" w:hAnsi="Times New Roman" w:eastAsia="Times New Roman" w:cs="Times New Roman"/>
              </w:rPr>
              <w:t>COD</w:t>
            </w:r>
            <w:r>
              <w:t>、氨氮、石油类</w:t>
            </w:r>
          </w:p>
        </w:tc>
        <w:tc>
          <w:tcPr>
            <w:tcW w:w="991" w:type="dxa"/>
            <w:vAlign w:val="top"/>
          </w:tcPr>
          <w:p w14:paraId="2E1448AB">
            <w:pPr>
              <w:spacing w:line="453" w:lineRule="auto"/>
              <w:rPr>
                <w:rFonts w:ascii="Arial"/>
                <w:sz w:val="21"/>
              </w:rPr>
            </w:pPr>
          </w:p>
          <w:p w14:paraId="0FA6BA54">
            <w:pPr>
              <w:pStyle w:val="6"/>
              <w:spacing w:before="65" w:line="228" w:lineRule="auto"/>
              <w:ind w:left="189"/>
            </w:pPr>
            <w:r>
              <w:rPr>
                <w:spacing w:val="6"/>
              </w:rPr>
              <w:t>石油类</w:t>
            </w:r>
          </w:p>
        </w:tc>
        <w:tc>
          <w:tcPr>
            <w:tcW w:w="2046" w:type="dxa"/>
            <w:vAlign w:val="top"/>
          </w:tcPr>
          <w:p w14:paraId="420EA076">
            <w:pPr>
              <w:pStyle w:val="6"/>
              <w:spacing w:before="52" w:line="228" w:lineRule="auto"/>
              <w:ind w:left="17"/>
            </w:pPr>
            <w:r>
              <w:rPr>
                <w:spacing w:val="1"/>
              </w:rPr>
              <w:t>非正常状况下，施工废</w:t>
            </w:r>
          </w:p>
          <w:p w14:paraId="159D9DF7">
            <w:pPr>
              <w:pStyle w:val="6"/>
              <w:spacing w:before="65" w:line="227" w:lineRule="auto"/>
              <w:ind w:left="86"/>
            </w:pPr>
            <w:r>
              <w:rPr>
                <w:spacing w:val="8"/>
              </w:rPr>
              <w:t>水可能会出现地面漫</w:t>
            </w:r>
          </w:p>
          <w:p w14:paraId="2BF6BA4C">
            <w:pPr>
              <w:pStyle w:val="6"/>
              <w:spacing w:before="65" w:line="228" w:lineRule="auto"/>
              <w:ind w:left="14"/>
            </w:pPr>
            <w:r>
              <w:rPr>
                <w:spacing w:val="2"/>
              </w:rPr>
              <w:t>流和垂直入渗，随着施</w:t>
            </w:r>
          </w:p>
          <w:p w14:paraId="6F878DF1">
            <w:pPr>
              <w:pStyle w:val="6"/>
              <w:spacing w:before="65" w:line="228" w:lineRule="auto"/>
              <w:ind w:left="297"/>
            </w:pPr>
            <w:r>
              <w:rPr>
                <w:spacing w:val="6"/>
              </w:rPr>
              <w:t>工完成而结束。</w:t>
            </w:r>
          </w:p>
        </w:tc>
      </w:tr>
      <w:tr w14:paraId="06904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1126" w:type="dxa"/>
            <w:vAlign w:val="top"/>
          </w:tcPr>
          <w:p w14:paraId="061B2B9E">
            <w:pPr>
              <w:spacing w:line="306" w:lineRule="auto"/>
              <w:rPr>
                <w:rFonts w:ascii="Arial"/>
                <w:sz w:val="21"/>
              </w:rPr>
            </w:pPr>
          </w:p>
          <w:p w14:paraId="06827198">
            <w:pPr>
              <w:spacing w:line="306" w:lineRule="auto"/>
              <w:rPr>
                <w:rFonts w:ascii="Arial"/>
                <w:sz w:val="21"/>
              </w:rPr>
            </w:pPr>
          </w:p>
          <w:p w14:paraId="7A496640">
            <w:pPr>
              <w:spacing w:line="306" w:lineRule="auto"/>
              <w:rPr>
                <w:rFonts w:ascii="Arial"/>
                <w:sz w:val="21"/>
              </w:rPr>
            </w:pPr>
          </w:p>
          <w:p w14:paraId="1A080333">
            <w:pPr>
              <w:pStyle w:val="6"/>
              <w:spacing w:before="65" w:line="228" w:lineRule="auto"/>
              <w:ind w:left="254"/>
            </w:pPr>
            <w:r>
              <w:rPr>
                <w:spacing w:val="6"/>
              </w:rPr>
              <w:t>尾矿库</w:t>
            </w:r>
          </w:p>
        </w:tc>
        <w:tc>
          <w:tcPr>
            <w:tcW w:w="1571" w:type="dxa"/>
            <w:vAlign w:val="top"/>
          </w:tcPr>
          <w:p w14:paraId="64E58652">
            <w:pPr>
              <w:spacing w:line="306" w:lineRule="auto"/>
              <w:rPr>
                <w:rFonts w:ascii="Arial"/>
                <w:sz w:val="21"/>
              </w:rPr>
            </w:pPr>
          </w:p>
          <w:p w14:paraId="5C2B4B76">
            <w:pPr>
              <w:spacing w:line="306" w:lineRule="auto"/>
              <w:rPr>
                <w:rFonts w:ascii="Arial"/>
                <w:sz w:val="21"/>
              </w:rPr>
            </w:pPr>
          </w:p>
          <w:p w14:paraId="031803E9">
            <w:pPr>
              <w:spacing w:line="306" w:lineRule="auto"/>
              <w:rPr>
                <w:rFonts w:ascii="Arial"/>
                <w:sz w:val="21"/>
              </w:rPr>
            </w:pPr>
          </w:p>
          <w:p w14:paraId="31BC5C42">
            <w:pPr>
              <w:pStyle w:val="6"/>
              <w:spacing w:before="65" w:line="228" w:lineRule="auto"/>
              <w:ind w:left="369"/>
            </w:pPr>
            <w:r>
              <w:rPr>
                <w:spacing w:val="7"/>
              </w:rPr>
              <w:t>尾矿堆放</w:t>
            </w:r>
          </w:p>
        </w:tc>
        <w:tc>
          <w:tcPr>
            <w:tcW w:w="1132" w:type="dxa"/>
            <w:vAlign w:val="top"/>
          </w:tcPr>
          <w:p w14:paraId="32E78905">
            <w:pPr>
              <w:spacing w:line="306" w:lineRule="auto"/>
              <w:rPr>
                <w:rFonts w:ascii="Arial"/>
                <w:sz w:val="21"/>
              </w:rPr>
            </w:pPr>
          </w:p>
          <w:p w14:paraId="2449274F">
            <w:pPr>
              <w:spacing w:line="306" w:lineRule="auto"/>
              <w:rPr>
                <w:rFonts w:ascii="Arial"/>
                <w:sz w:val="21"/>
              </w:rPr>
            </w:pPr>
          </w:p>
          <w:p w14:paraId="319A8682">
            <w:pPr>
              <w:spacing w:line="307" w:lineRule="auto"/>
              <w:rPr>
                <w:rFonts w:ascii="Arial"/>
                <w:sz w:val="21"/>
              </w:rPr>
            </w:pPr>
          </w:p>
          <w:p w14:paraId="74F2C1D2">
            <w:pPr>
              <w:pStyle w:val="6"/>
              <w:spacing w:before="65" w:line="228" w:lineRule="auto"/>
              <w:ind w:left="150"/>
            </w:pPr>
            <w:r>
              <w:rPr>
                <w:spacing w:val="7"/>
              </w:rPr>
              <w:t>垂直入渗</w:t>
            </w:r>
          </w:p>
        </w:tc>
        <w:tc>
          <w:tcPr>
            <w:tcW w:w="1841" w:type="dxa"/>
            <w:vAlign w:val="top"/>
          </w:tcPr>
          <w:p w14:paraId="38DA46BB">
            <w:pPr>
              <w:pStyle w:val="6"/>
              <w:spacing w:before="53" w:line="221" w:lineRule="auto"/>
              <w:ind w:left="2"/>
            </w:pPr>
            <w:r>
              <w:rPr>
                <w:rFonts w:ascii="Times New Roman" w:hAnsi="Times New Roman" w:eastAsia="Times New Roman" w:cs="Times New Roman"/>
                <w:spacing w:val="-2"/>
              </w:rPr>
              <w:t>pH</w:t>
            </w:r>
            <w:r>
              <w:rPr>
                <w:spacing w:val="-2"/>
              </w:rPr>
              <w:t>、硫酸盐、砷、氯</w:t>
            </w:r>
          </w:p>
          <w:p w14:paraId="05D072B0">
            <w:pPr>
              <w:pStyle w:val="6"/>
              <w:spacing w:before="72" w:line="229" w:lineRule="auto"/>
              <w:ind w:left="12"/>
            </w:pPr>
            <w:r>
              <w:rPr>
                <w:spacing w:val="2"/>
              </w:rPr>
              <w:t>化物、硫化物、硝酸</w:t>
            </w:r>
          </w:p>
          <w:p w14:paraId="15673821">
            <w:pPr>
              <w:pStyle w:val="6"/>
              <w:spacing w:before="63" w:line="227" w:lineRule="auto"/>
              <w:ind w:left="13"/>
            </w:pPr>
            <w:r>
              <w:rPr>
                <w:spacing w:val="2"/>
              </w:rPr>
              <w:t>盐氮、挥发酚、氰化</w:t>
            </w:r>
          </w:p>
          <w:p w14:paraId="0FBE1121">
            <w:pPr>
              <w:pStyle w:val="6"/>
              <w:spacing w:before="66" w:line="229" w:lineRule="auto"/>
              <w:jc w:val="right"/>
            </w:pPr>
            <w:r>
              <w:rPr>
                <w:spacing w:val="-12"/>
              </w:rPr>
              <w:t>物、</w:t>
            </w:r>
            <w:r>
              <w:rPr>
                <w:rFonts w:ascii="Times New Roman" w:hAnsi="Times New Roman" w:eastAsia="Times New Roman" w:cs="Times New Roman"/>
                <w:spacing w:val="-12"/>
              </w:rPr>
              <w:t>NH</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
              </w:rPr>
              <w:t>-N</w:t>
            </w:r>
            <w:r>
              <w:rPr>
                <w:spacing w:val="-16"/>
              </w:rPr>
              <w:t>、</w:t>
            </w:r>
            <w:r>
              <w:rPr>
                <w:rFonts w:ascii="Times New Roman" w:hAnsi="Times New Roman" w:eastAsia="Times New Roman" w:cs="Times New Roman"/>
                <w:spacing w:val="-16"/>
              </w:rPr>
              <w:t>Fe</w:t>
            </w:r>
            <w:r>
              <w:rPr>
                <w:spacing w:val="-16"/>
              </w:rPr>
              <w:t>、</w:t>
            </w:r>
            <w:r>
              <w:rPr>
                <w:rFonts w:ascii="Times New Roman" w:hAnsi="Times New Roman" w:eastAsia="Times New Roman" w:cs="Times New Roman"/>
                <w:spacing w:val="-16"/>
              </w:rPr>
              <w:t>Pb</w:t>
            </w:r>
            <w:r>
              <w:rPr>
                <w:spacing w:val="-16"/>
              </w:rPr>
              <w:t>、</w:t>
            </w:r>
          </w:p>
          <w:p w14:paraId="4E85F43D">
            <w:pPr>
              <w:pStyle w:val="6"/>
              <w:spacing w:before="100" w:line="188" w:lineRule="auto"/>
              <w:jc w:val="right"/>
            </w:pPr>
            <w:r>
              <w:rPr>
                <w:rFonts w:ascii="Times New Roman" w:hAnsi="Times New Roman" w:eastAsia="Times New Roman" w:cs="Times New Roman"/>
                <w:spacing w:val="-3"/>
              </w:rPr>
              <w:t>Zn</w:t>
            </w:r>
            <w:r>
              <w:rPr>
                <w:rFonts w:ascii="Times New Roman" w:hAnsi="Times New Roman" w:eastAsia="Times New Roman" w:cs="Times New Roman"/>
                <w:spacing w:val="-16"/>
              </w:rPr>
              <w:t xml:space="preserve"> </w:t>
            </w:r>
            <w:r>
              <w:rPr>
                <w:spacing w:val="-3"/>
              </w:rPr>
              <w:t>、</w:t>
            </w:r>
            <w:r>
              <w:rPr>
                <w:rFonts w:ascii="Times New Roman" w:hAnsi="Times New Roman" w:eastAsia="Times New Roman" w:cs="Times New Roman"/>
                <w:spacing w:val="-3"/>
              </w:rPr>
              <w:t>Ag</w:t>
            </w:r>
            <w:r>
              <w:rPr>
                <w:rFonts w:ascii="Times New Roman" w:hAnsi="Times New Roman" w:eastAsia="Times New Roman" w:cs="Times New Roman"/>
                <w:spacing w:val="-26"/>
              </w:rPr>
              <w:t xml:space="preserve"> </w:t>
            </w:r>
            <w:r>
              <w:rPr>
                <w:spacing w:val="-3"/>
              </w:rPr>
              <w:t>、</w:t>
            </w:r>
            <w:r>
              <w:rPr>
                <w:rFonts w:ascii="Times New Roman" w:hAnsi="Times New Roman" w:eastAsia="Times New Roman" w:cs="Times New Roman"/>
                <w:spacing w:val="-3"/>
              </w:rPr>
              <w:t>As</w:t>
            </w:r>
            <w:r>
              <w:rPr>
                <w:rFonts w:ascii="Times New Roman" w:hAnsi="Times New Roman" w:eastAsia="Times New Roman" w:cs="Times New Roman"/>
                <w:spacing w:val="-25"/>
              </w:rPr>
              <w:t xml:space="preserve"> </w:t>
            </w:r>
            <w:r>
              <w:rPr>
                <w:spacing w:val="-3"/>
              </w:rPr>
              <w:t>、</w:t>
            </w:r>
            <w:r>
              <w:rPr>
                <w:rFonts w:ascii="Times New Roman" w:hAnsi="Times New Roman" w:eastAsia="Times New Roman" w:cs="Times New Roman"/>
                <w:spacing w:val="-3"/>
              </w:rPr>
              <w:t>Mn</w:t>
            </w:r>
            <w:r>
              <w:rPr>
                <w:spacing w:val="-3"/>
              </w:rPr>
              <w:t>、</w:t>
            </w:r>
          </w:p>
          <w:p w14:paraId="43BFBB0A">
            <w:pPr>
              <w:pStyle w:val="6"/>
              <w:spacing w:before="72" w:line="221" w:lineRule="auto"/>
              <w:ind w:left="6"/>
            </w:pPr>
            <w:r>
              <w:rPr>
                <w:rFonts w:ascii="Times New Roman" w:hAnsi="Times New Roman" w:eastAsia="Times New Roman" w:cs="Times New Roman"/>
              </w:rPr>
              <w:t>Hg</w:t>
            </w:r>
            <w:r>
              <w:rPr>
                <w:rFonts w:ascii="Times New Roman" w:hAnsi="Times New Roman" w:eastAsia="Times New Roman" w:cs="Times New Roman"/>
                <w:spacing w:val="-29"/>
              </w:rPr>
              <w:t xml:space="preserve"> </w:t>
            </w:r>
            <w:r>
              <w:t>、</w:t>
            </w:r>
            <w:r>
              <w:rPr>
                <w:rFonts w:ascii="Times New Roman" w:hAnsi="Times New Roman" w:eastAsia="Times New Roman" w:cs="Times New Roman"/>
              </w:rPr>
              <w:t>Cr</w:t>
            </w:r>
            <w:r>
              <w:rPr>
                <w:rFonts w:ascii="Times New Roman" w:hAnsi="Times New Roman" w:eastAsia="Times New Roman" w:cs="Times New Roman"/>
                <w:position w:val="6"/>
                <w:sz w:val="13"/>
                <w:szCs w:val="13"/>
              </w:rPr>
              <w:t>6+</w:t>
            </w:r>
            <w:r>
              <w:rPr>
                <w:rFonts w:ascii="Times New Roman" w:hAnsi="Times New Roman" w:eastAsia="Times New Roman" w:cs="Times New Roman"/>
                <w:spacing w:val="-12"/>
                <w:position w:val="6"/>
                <w:sz w:val="13"/>
                <w:szCs w:val="13"/>
              </w:rPr>
              <w:t xml:space="preserve"> </w:t>
            </w:r>
            <w:r>
              <w:t>、镉、高锰</w:t>
            </w:r>
          </w:p>
          <w:p w14:paraId="7004DA4E">
            <w:pPr>
              <w:pStyle w:val="6"/>
              <w:spacing w:before="72" w:line="228" w:lineRule="auto"/>
              <w:ind w:left="506"/>
            </w:pPr>
            <w:r>
              <w:rPr>
                <w:spacing w:val="7"/>
              </w:rPr>
              <w:t>酸盐指数</w:t>
            </w:r>
          </w:p>
        </w:tc>
        <w:tc>
          <w:tcPr>
            <w:tcW w:w="991" w:type="dxa"/>
            <w:vAlign w:val="top"/>
          </w:tcPr>
          <w:p w14:paraId="50E3ADB2">
            <w:pPr>
              <w:spacing w:line="254" w:lineRule="auto"/>
              <w:rPr>
                <w:rFonts w:ascii="Arial"/>
                <w:sz w:val="21"/>
              </w:rPr>
            </w:pPr>
          </w:p>
          <w:p w14:paraId="61491F1F">
            <w:pPr>
              <w:spacing w:line="255" w:lineRule="auto"/>
              <w:rPr>
                <w:rFonts w:ascii="Arial"/>
                <w:sz w:val="21"/>
              </w:rPr>
            </w:pPr>
          </w:p>
          <w:p w14:paraId="3D5EFEDB">
            <w:pPr>
              <w:spacing w:line="255" w:lineRule="auto"/>
              <w:rPr>
                <w:rFonts w:ascii="Arial"/>
                <w:sz w:val="21"/>
              </w:rPr>
            </w:pPr>
          </w:p>
          <w:p w14:paraId="7BA0A062">
            <w:pPr>
              <w:pStyle w:val="6"/>
              <w:spacing w:before="65" w:line="228" w:lineRule="auto"/>
              <w:jc w:val="right"/>
            </w:pPr>
            <w:r>
              <w:rPr>
                <w:spacing w:val="-19"/>
                <w:w w:val="91"/>
              </w:rPr>
              <w:t>砷、</w:t>
            </w:r>
            <w:r>
              <w:rPr>
                <w:rFonts w:ascii="Times New Roman" w:hAnsi="Times New Roman" w:eastAsia="Times New Roman" w:cs="Times New Roman"/>
                <w:spacing w:val="-19"/>
                <w:w w:val="91"/>
              </w:rPr>
              <w:t>Pb</w:t>
            </w:r>
            <w:r>
              <w:rPr>
                <w:spacing w:val="-19"/>
                <w:w w:val="91"/>
              </w:rPr>
              <w:t>、</w:t>
            </w:r>
            <w:r>
              <w:rPr>
                <w:rFonts w:ascii="Times New Roman" w:hAnsi="Times New Roman" w:eastAsia="Times New Roman" w:cs="Times New Roman"/>
                <w:spacing w:val="-19"/>
                <w:w w:val="91"/>
              </w:rPr>
              <w:t>Zn</w:t>
            </w:r>
            <w:r>
              <w:rPr>
                <w:spacing w:val="-19"/>
                <w:w w:val="91"/>
              </w:rPr>
              <w:t>、</w:t>
            </w:r>
          </w:p>
          <w:p w14:paraId="0C453BFA">
            <w:pPr>
              <w:spacing w:before="100" w:line="197"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Ag</w:t>
            </w:r>
          </w:p>
        </w:tc>
        <w:tc>
          <w:tcPr>
            <w:tcW w:w="2046" w:type="dxa"/>
            <w:vAlign w:val="top"/>
          </w:tcPr>
          <w:p w14:paraId="386D18FE">
            <w:pPr>
              <w:spacing w:line="453" w:lineRule="auto"/>
              <w:rPr>
                <w:rFonts w:ascii="Arial"/>
                <w:sz w:val="21"/>
              </w:rPr>
            </w:pPr>
          </w:p>
          <w:p w14:paraId="11E854A3">
            <w:pPr>
              <w:pStyle w:val="6"/>
              <w:spacing w:before="65" w:line="228" w:lineRule="auto"/>
              <w:ind w:left="17"/>
            </w:pPr>
            <w:r>
              <w:rPr>
                <w:spacing w:val="1"/>
              </w:rPr>
              <w:t>非正常状况下，尾矿库</w:t>
            </w:r>
          </w:p>
          <w:p w14:paraId="5A136FD9">
            <w:pPr>
              <w:pStyle w:val="6"/>
              <w:spacing w:before="65" w:line="228" w:lineRule="auto"/>
              <w:ind w:left="27"/>
            </w:pPr>
            <w:r>
              <w:t>防渗层破损，尾矿废水</w:t>
            </w:r>
          </w:p>
          <w:p w14:paraId="00BBDDC1">
            <w:pPr>
              <w:pStyle w:val="6"/>
              <w:spacing w:before="64" w:line="228" w:lineRule="auto"/>
              <w:ind w:left="14"/>
            </w:pPr>
            <w:r>
              <w:rPr>
                <w:spacing w:val="2"/>
              </w:rPr>
              <w:t>垂直入渗，随着补救措</w:t>
            </w:r>
          </w:p>
          <w:p w14:paraId="78DF6B27">
            <w:pPr>
              <w:pStyle w:val="6"/>
              <w:spacing w:before="64" w:line="228" w:lineRule="auto"/>
              <w:ind w:left="397"/>
            </w:pPr>
            <w:r>
              <w:rPr>
                <w:spacing w:val="8"/>
              </w:rPr>
              <w:t>施完成而结束</w:t>
            </w:r>
          </w:p>
        </w:tc>
      </w:tr>
      <w:tr w14:paraId="6A00A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26" w:type="dxa"/>
            <w:vAlign w:val="top"/>
          </w:tcPr>
          <w:p w14:paraId="59696E63">
            <w:pPr>
              <w:pStyle w:val="6"/>
              <w:spacing w:before="55" w:line="228" w:lineRule="auto"/>
              <w:ind w:left="357"/>
            </w:pPr>
            <w:r>
              <w:rPr>
                <w:spacing w:val="5"/>
              </w:rPr>
              <w:t>粉尘</w:t>
            </w:r>
          </w:p>
        </w:tc>
        <w:tc>
          <w:tcPr>
            <w:tcW w:w="1571" w:type="dxa"/>
            <w:vAlign w:val="top"/>
          </w:tcPr>
          <w:p w14:paraId="6392360D">
            <w:pPr>
              <w:pStyle w:val="6"/>
              <w:spacing w:before="55" w:line="228" w:lineRule="auto"/>
              <w:ind w:left="583"/>
            </w:pPr>
            <w:r>
              <w:rPr>
                <w:spacing w:val="3"/>
              </w:rPr>
              <w:t>厂界</w:t>
            </w:r>
          </w:p>
        </w:tc>
        <w:tc>
          <w:tcPr>
            <w:tcW w:w="1132" w:type="dxa"/>
            <w:vAlign w:val="top"/>
          </w:tcPr>
          <w:p w14:paraId="41D14C51">
            <w:pPr>
              <w:pStyle w:val="6"/>
              <w:spacing w:before="55" w:line="228" w:lineRule="auto"/>
              <w:ind w:left="152"/>
            </w:pPr>
            <w:r>
              <w:rPr>
                <w:spacing w:val="6"/>
              </w:rPr>
              <w:t>大气沉降</w:t>
            </w:r>
          </w:p>
        </w:tc>
        <w:tc>
          <w:tcPr>
            <w:tcW w:w="1841" w:type="dxa"/>
            <w:vAlign w:val="top"/>
          </w:tcPr>
          <w:p w14:paraId="74AE0216">
            <w:pPr>
              <w:pStyle w:val="6"/>
              <w:spacing w:before="55" w:line="228" w:lineRule="auto"/>
              <w:ind w:left="610"/>
            </w:pPr>
            <w:r>
              <w:rPr>
                <w:spacing w:val="7"/>
              </w:rPr>
              <w:t>颗粒物</w:t>
            </w:r>
          </w:p>
        </w:tc>
        <w:tc>
          <w:tcPr>
            <w:tcW w:w="991" w:type="dxa"/>
            <w:vAlign w:val="top"/>
          </w:tcPr>
          <w:p w14:paraId="67024A6E">
            <w:pPr>
              <w:pStyle w:val="6"/>
              <w:spacing w:before="55" w:line="228" w:lineRule="auto"/>
              <w:ind w:left="188"/>
            </w:pPr>
            <w:r>
              <w:rPr>
                <w:spacing w:val="7"/>
              </w:rPr>
              <w:t>颗粒物</w:t>
            </w:r>
          </w:p>
        </w:tc>
        <w:tc>
          <w:tcPr>
            <w:tcW w:w="2046" w:type="dxa"/>
            <w:vAlign w:val="top"/>
          </w:tcPr>
          <w:p w14:paraId="2420EE20">
            <w:pPr>
              <w:pStyle w:val="6"/>
              <w:spacing w:before="55" w:line="228" w:lineRule="auto"/>
              <w:ind w:left="192"/>
            </w:pPr>
            <w:r>
              <w:rPr>
                <w:spacing w:val="8"/>
              </w:rPr>
              <w:t>项目周围有牧草地</w:t>
            </w:r>
          </w:p>
        </w:tc>
      </w:tr>
      <w:tr w14:paraId="135E0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707" w:type="dxa"/>
            <w:gridSpan w:val="6"/>
            <w:vAlign w:val="top"/>
          </w:tcPr>
          <w:p w14:paraId="45B9C5F4">
            <w:pPr>
              <w:pStyle w:val="6"/>
              <w:spacing w:before="55" w:line="228" w:lineRule="auto"/>
              <w:ind w:left="11"/>
            </w:pPr>
            <w:r>
              <w:rPr>
                <w:rFonts w:ascii="Times New Roman" w:hAnsi="Times New Roman" w:eastAsia="Times New Roman" w:cs="Times New Roman"/>
                <w:spacing w:val="7"/>
              </w:rPr>
              <w:t xml:space="preserve">a </w:t>
            </w:r>
            <w:r>
              <w:rPr>
                <w:spacing w:val="7"/>
              </w:rPr>
              <w:t>根据工程分析结果填写。</w:t>
            </w:r>
          </w:p>
          <w:p w14:paraId="1E650F2A">
            <w:pPr>
              <w:pStyle w:val="6"/>
              <w:spacing w:before="64" w:line="262" w:lineRule="auto"/>
              <w:ind w:left="11" w:right="7" w:hanging="7"/>
            </w:pPr>
            <w:r>
              <w:rPr>
                <w:rFonts w:ascii="Times New Roman" w:hAnsi="Times New Roman" w:eastAsia="Times New Roman" w:cs="Times New Roman"/>
                <w:spacing w:val="8"/>
              </w:rPr>
              <w:t xml:space="preserve">b </w:t>
            </w:r>
            <w:r>
              <w:rPr>
                <w:spacing w:val="8"/>
              </w:rPr>
              <w:t>应描述污染源特征，如连续、间断、正常、事故等；涉及大气沉降途径的，应识别</w:t>
            </w:r>
            <w:r>
              <w:rPr>
                <w:spacing w:val="7"/>
              </w:rPr>
              <w:t>建设项目周</w:t>
            </w:r>
            <w:r>
              <w:t xml:space="preserve"> </w:t>
            </w:r>
            <w:r>
              <w:rPr>
                <w:spacing w:val="8"/>
              </w:rPr>
              <w:t>边的土壤环境敏感目标。</w:t>
            </w:r>
          </w:p>
        </w:tc>
      </w:tr>
    </w:tbl>
    <w:p w14:paraId="467DAB7D">
      <w:pPr>
        <w:spacing w:before="116" w:line="218" w:lineRule="auto"/>
        <w:ind w:left="692"/>
        <w:outlineLvl w:val="2"/>
        <w:rPr>
          <w:rFonts w:ascii="宋体" w:hAnsi="宋体" w:eastAsia="宋体" w:cs="宋体"/>
          <w:sz w:val="24"/>
          <w:szCs w:val="24"/>
        </w:rPr>
      </w:pPr>
      <w:bookmarkStart w:id="160" w:name="bookmark141"/>
      <w:bookmarkEnd w:id="160"/>
      <w:r>
        <w:rPr>
          <w:rFonts w:ascii="Times New Roman" w:hAnsi="Times New Roman" w:eastAsia="Times New Roman" w:cs="Times New Roman"/>
          <w:b/>
          <w:bCs/>
          <w:spacing w:val="-2"/>
          <w:sz w:val="24"/>
          <w:szCs w:val="24"/>
        </w:rPr>
        <w:t xml:space="preserve">8.8.3 </w:t>
      </w:r>
      <w:r>
        <w:rPr>
          <w:rFonts w:ascii="宋体" w:hAnsi="宋体" w:eastAsia="宋体" w:cs="宋体"/>
          <w:b/>
          <w:bCs/>
          <w:spacing w:val="-2"/>
          <w:sz w:val="24"/>
          <w:szCs w:val="24"/>
        </w:rPr>
        <w:t>土壤预测评价范围</w:t>
      </w:r>
    </w:p>
    <w:p w14:paraId="1B0B1282">
      <w:pPr>
        <w:spacing w:before="184" w:line="218" w:lineRule="auto"/>
        <w:ind w:left="694"/>
        <w:rPr>
          <w:rFonts w:ascii="宋体" w:hAnsi="宋体" w:eastAsia="宋体" w:cs="宋体"/>
          <w:sz w:val="24"/>
          <w:szCs w:val="24"/>
        </w:rPr>
      </w:pPr>
      <w:r>
        <w:rPr>
          <w:rFonts w:ascii="宋体" w:hAnsi="宋体" w:eastAsia="宋体" w:cs="宋体"/>
          <w:spacing w:val="-1"/>
          <w:sz w:val="24"/>
          <w:szCs w:val="24"/>
        </w:rPr>
        <w:t>本项目土壤环境的预测评价范围与调查评价范围一致。</w:t>
      </w:r>
    </w:p>
    <w:p w14:paraId="4F7F8A75">
      <w:pPr>
        <w:spacing w:before="185" w:line="218" w:lineRule="auto"/>
        <w:ind w:left="692"/>
        <w:outlineLvl w:val="2"/>
        <w:rPr>
          <w:rFonts w:ascii="宋体" w:hAnsi="宋体" w:eastAsia="宋体" w:cs="宋体"/>
          <w:sz w:val="24"/>
          <w:szCs w:val="24"/>
        </w:rPr>
      </w:pPr>
      <w:bookmarkStart w:id="161" w:name="bookmark142"/>
      <w:bookmarkEnd w:id="161"/>
      <w:r>
        <w:rPr>
          <w:rFonts w:ascii="Times New Roman" w:hAnsi="Times New Roman" w:eastAsia="Times New Roman" w:cs="Times New Roman"/>
          <w:b/>
          <w:bCs/>
          <w:spacing w:val="-2"/>
          <w:sz w:val="24"/>
          <w:szCs w:val="24"/>
        </w:rPr>
        <w:t xml:space="preserve">8.8.4 </w:t>
      </w:r>
      <w:r>
        <w:rPr>
          <w:rFonts w:ascii="宋体" w:hAnsi="宋体" w:eastAsia="宋体" w:cs="宋体"/>
          <w:b/>
          <w:bCs/>
          <w:spacing w:val="-2"/>
          <w:sz w:val="24"/>
          <w:szCs w:val="24"/>
        </w:rPr>
        <w:t>大气沉降壤环境影响预测与评价</w:t>
      </w:r>
    </w:p>
    <w:p w14:paraId="126C2DFB">
      <w:pPr>
        <w:spacing w:line="218" w:lineRule="auto"/>
        <w:rPr>
          <w:rFonts w:ascii="宋体" w:hAnsi="宋体" w:eastAsia="宋体" w:cs="宋体"/>
          <w:sz w:val="24"/>
          <w:szCs w:val="24"/>
        </w:rPr>
        <w:sectPr>
          <w:headerReference r:id="rId365" w:type="default"/>
          <w:footerReference r:id="rId366" w:type="default"/>
          <w:pgSz w:w="11906" w:h="16839"/>
          <w:pgMar w:top="1208" w:right="1597" w:bottom="1358" w:left="1596" w:header="825" w:footer="1195" w:gutter="0"/>
          <w:cols w:space="720" w:num="1"/>
        </w:sectPr>
      </w:pPr>
    </w:p>
    <w:p w14:paraId="7E5B15FA">
      <w:pPr>
        <w:pStyle w:val="2"/>
        <w:spacing w:line="265" w:lineRule="auto"/>
      </w:pPr>
    </w:p>
    <w:p w14:paraId="1D2661A0">
      <w:pPr>
        <w:spacing w:before="78" w:line="220"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8.8.4.1 </w:t>
      </w:r>
      <w:r>
        <w:rPr>
          <w:rFonts w:ascii="宋体" w:hAnsi="宋体" w:eastAsia="宋体" w:cs="宋体"/>
          <w:spacing w:val="-1"/>
          <w:sz w:val="24"/>
          <w:szCs w:val="24"/>
        </w:rPr>
        <w:t>土壤环境影响识别</w:t>
      </w:r>
    </w:p>
    <w:p w14:paraId="72B2675D">
      <w:pPr>
        <w:spacing w:before="181" w:line="360" w:lineRule="auto"/>
        <w:ind w:left="23" w:right="178" w:firstLine="483"/>
        <w:jc w:val="both"/>
        <w:rPr>
          <w:rFonts w:ascii="宋体" w:hAnsi="宋体" w:eastAsia="宋体" w:cs="宋体"/>
          <w:sz w:val="24"/>
          <w:szCs w:val="24"/>
        </w:rPr>
      </w:pPr>
      <w:r>
        <w:rPr>
          <w:rFonts w:ascii="宋体" w:hAnsi="宋体" w:eastAsia="宋体" w:cs="宋体"/>
          <w:spacing w:val="4"/>
          <w:sz w:val="24"/>
          <w:szCs w:val="24"/>
        </w:rPr>
        <w:t xml:space="preserve">项目运营期对土壤环境影响主要包括厂区内含重金属的矿石物料进入土壤 </w:t>
      </w:r>
      <w:r>
        <w:rPr>
          <w:rFonts w:ascii="宋体" w:hAnsi="宋体" w:eastAsia="宋体" w:cs="宋体"/>
          <w:spacing w:val="-3"/>
          <w:sz w:val="24"/>
          <w:szCs w:val="24"/>
        </w:rPr>
        <w:t>环境对土壤造成的影响；粉尘发生大气沉降进入土壤环境对土壤造成的影响；危</w:t>
      </w:r>
      <w:r>
        <w:rPr>
          <w:rFonts w:ascii="宋体" w:hAnsi="宋体" w:eastAsia="宋体" w:cs="宋体"/>
          <w:spacing w:val="1"/>
          <w:sz w:val="24"/>
          <w:szCs w:val="24"/>
        </w:rPr>
        <w:t xml:space="preserve"> </w:t>
      </w:r>
      <w:r>
        <w:rPr>
          <w:rFonts w:ascii="宋体" w:hAnsi="宋体" w:eastAsia="宋体" w:cs="宋体"/>
          <w:sz w:val="24"/>
          <w:szCs w:val="24"/>
        </w:rPr>
        <w:t>险废物暂存间地面发生渗漏，污染物进入土壤</w:t>
      </w:r>
      <w:r>
        <w:rPr>
          <w:rFonts w:ascii="宋体" w:hAnsi="宋体" w:eastAsia="宋体" w:cs="宋体"/>
          <w:spacing w:val="-1"/>
          <w:sz w:val="24"/>
          <w:szCs w:val="24"/>
        </w:rPr>
        <w:t>环境对土壤造成的影响。</w:t>
      </w:r>
    </w:p>
    <w:p w14:paraId="3FE34A9E">
      <w:pPr>
        <w:spacing w:before="1" w:line="217"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8.8.4.2 </w:t>
      </w:r>
      <w:r>
        <w:rPr>
          <w:rFonts w:ascii="宋体" w:hAnsi="宋体" w:eastAsia="宋体" w:cs="宋体"/>
          <w:spacing w:val="-1"/>
          <w:sz w:val="24"/>
          <w:szCs w:val="24"/>
        </w:rPr>
        <w:t>土壤预测评价范围</w:t>
      </w:r>
    </w:p>
    <w:p w14:paraId="4CFCFEEF">
      <w:pPr>
        <w:spacing w:before="184" w:line="360" w:lineRule="auto"/>
        <w:ind w:left="43" w:right="178" w:firstLine="461"/>
        <w:rPr>
          <w:rFonts w:ascii="宋体" w:hAnsi="宋体" w:eastAsia="宋体" w:cs="宋体"/>
          <w:sz w:val="24"/>
          <w:szCs w:val="24"/>
        </w:rPr>
      </w:pPr>
      <w:r>
        <w:rPr>
          <w:rFonts w:ascii="宋体" w:hAnsi="宋体" w:eastAsia="宋体" w:cs="宋体"/>
          <w:spacing w:val="1"/>
          <w:sz w:val="24"/>
          <w:szCs w:val="24"/>
        </w:rPr>
        <w:t>土壤预测评价范围与现状调查评价范围一致</w:t>
      </w:r>
      <w:r>
        <w:rPr>
          <w:rFonts w:ascii="宋体" w:hAnsi="宋体" w:eastAsia="宋体" w:cs="宋体"/>
          <w:sz w:val="24"/>
          <w:szCs w:val="24"/>
        </w:rPr>
        <w:t>，为项目占地范围外</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1km</w:t>
      </w:r>
      <w:r>
        <w:rPr>
          <w:rFonts w:ascii="Times New Roman" w:hAnsi="Times New Roman" w:eastAsia="Times New Roman" w:cs="Times New Roman"/>
          <w:spacing w:val="21"/>
          <w:sz w:val="24"/>
          <w:szCs w:val="24"/>
        </w:rPr>
        <w:t xml:space="preserve"> </w:t>
      </w:r>
      <w:r>
        <w:rPr>
          <w:rFonts w:ascii="宋体" w:hAnsi="宋体" w:eastAsia="宋体" w:cs="宋体"/>
          <w:sz w:val="24"/>
          <w:szCs w:val="24"/>
        </w:rPr>
        <w:t xml:space="preserve">范围 </w:t>
      </w:r>
      <w:r>
        <w:rPr>
          <w:rFonts w:ascii="宋体" w:hAnsi="宋体" w:eastAsia="宋体" w:cs="宋体"/>
          <w:spacing w:val="-1"/>
          <w:sz w:val="24"/>
          <w:szCs w:val="24"/>
        </w:rPr>
        <w:t>的区域，本项目所在场地边界土壤环境影响评价面积约</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
          <w:sz w:val="24"/>
          <w:szCs w:val="24"/>
        </w:rPr>
        <w:t>..05km</w:t>
      </w:r>
      <w:r>
        <w:rPr>
          <w:rFonts w:ascii="Times New Roman" w:hAnsi="Times New Roman" w:eastAsia="Times New Roman" w:cs="Times New Roman"/>
          <w:spacing w:val="-2"/>
          <w:position w:val="7"/>
          <w:sz w:val="15"/>
          <w:szCs w:val="15"/>
        </w:rPr>
        <w:t>2</w:t>
      </w:r>
      <w:r>
        <w:rPr>
          <w:rFonts w:ascii="宋体" w:hAnsi="宋体" w:eastAsia="宋体" w:cs="宋体"/>
          <w:spacing w:val="-2"/>
          <w:sz w:val="24"/>
          <w:szCs w:val="24"/>
        </w:rPr>
        <w:t>。</w:t>
      </w:r>
    </w:p>
    <w:p w14:paraId="6B7C08BC">
      <w:pPr>
        <w:spacing w:before="1" w:line="217"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8.8.4.3 </w:t>
      </w:r>
      <w:r>
        <w:rPr>
          <w:rFonts w:ascii="宋体" w:hAnsi="宋体" w:eastAsia="宋体" w:cs="宋体"/>
          <w:spacing w:val="-1"/>
          <w:sz w:val="24"/>
          <w:szCs w:val="24"/>
        </w:rPr>
        <w:t>土壤预测评价时段、评价因子</w:t>
      </w:r>
    </w:p>
    <w:p w14:paraId="0B36E526">
      <w:pPr>
        <w:spacing w:before="185" w:line="360" w:lineRule="auto"/>
        <w:ind w:left="23" w:right="178" w:firstLine="483"/>
        <w:jc w:val="both"/>
        <w:rPr>
          <w:rFonts w:ascii="宋体" w:hAnsi="宋体" w:eastAsia="宋体" w:cs="宋体"/>
          <w:sz w:val="24"/>
          <w:szCs w:val="24"/>
        </w:rPr>
      </w:pPr>
      <w:r>
        <w:rPr>
          <w:rFonts w:ascii="宋体" w:hAnsi="宋体" w:eastAsia="宋体" w:cs="宋体"/>
          <w:spacing w:val="-3"/>
          <w:sz w:val="24"/>
          <w:szCs w:val="24"/>
        </w:rPr>
        <w:t>项目施工期属于短期局部影响，待施工结束后，对周围</w:t>
      </w:r>
      <w:r>
        <w:rPr>
          <w:rFonts w:ascii="宋体" w:hAnsi="宋体" w:eastAsia="宋体" w:cs="宋体"/>
          <w:spacing w:val="-4"/>
          <w:sz w:val="24"/>
          <w:szCs w:val="24"/>
        </w:rPr>
        <w:t>土壤环境的影响随之</w:t>
      </w:r>
      <w:r>
        <w:rPr>
          <w:rFonts w:ascii="宋体" w:hAnsi="宋体" w:eastAsia="宋体" w:cs="宋体"/>
          <w:sz w:val="24"/>
          <w:szCs w:val="24"/>
        </w:rPr>
        <w:t xml:space="preserve"> </w:t>
      </w:r>
      <w:r>
        <w:rPr>
          <w:rFonts w:ascii="宋体" w:hAnsi="宋体" w:eastAsia="宋体" w:cs="宋体"/>
          <w:spacing w:val="-3"/>
          <w:sz w:val="24"/>
          <w:szCs w:val="24"/>
        </w:rPr>
        <w:t>结束。对建设项目占地范围内及周边土壤影响较大的为运营期，根据建设项目土</w:t>
      </w:r>
      <w:r>
        <w:rPr>
          <w:rFonts w:ascii="宋体" w:hAnsi="宋体" w:eastAsia="宋体" w:cs="宋体"/>
          <w:spacing w:val="1"/>
          <w:sz w:val="24"/>
          <w:szCs w:val="24"/>
        </w:rPr>
        <w:t xml:space="preserve"> </w:t>
      </w:r>
      <w:r>
        <w:rPr>
          <w:rFonts w:ascii="宋体" w:hAnsi="宋体" w:eastAsia="宋体" w:cs="宋体"/>
          <w:spacing w:val="-1"/>
          <w:sz w:val="24"/>
          <w:szCs w:val="24"/>
        </w:rPr>
        <w:t>壤环境影响识别分析结果确定预测时段为建设项目的运营期。</w:t>
      </w:r>
    </w:p>
    <w:p w14:paraId="089D760D">
      <w:pPr>
        <w:spacing w:line="360" w:lineRule="auto"/>
        <w:ind w:left="26" w:right="178" w:firstLine="480"/>
        <w:jc w:val="both"/>
        <w:rPr>
          <w:rFonts w:ascii="宋体" w:hAnsi="宋体" w:eastAsia="宋体" w:cs="宋体"/>
          <w:sz w:val="24"/>
          <w:szCs w:val="24"/>
        </w:rPr>
      </w:pPr>
      <w:r>
        <w:rPr>
          <w:rFonts w:ascii="宋体" w:hAnsi="宋体" w:eastAsia="宋体" w:cs="宋体"/>
          <w:spacing w:val="-3"/>
          <w:sz w:val="24"/>
          <w:szCs w:val="24"/>
        </w:rPr>
        <w:t>项目堆场、尾矿库、危险废物暂存间均按照要求进行了</w:t>
      </w:r>
      <w:r>
        <w:rPr>
          <w:rFonts w:ascii="宋体" w:hAnsi="宋体" w:eastAsia="宋体" w:cs="宋体"/>
          <w:spacing w:val="-4"/>
          <w:sz w:val="24"/>
          <w:szCs w:val="24"/>
        </w:rPr>
        <w:t>基础防渗，正常情况</w:t>
      </w:r>
      <w:r>
        <w:rPr>
          <w:rFonts w:ascii="宋体" w:hAnsi="宋体" w:eastAsia="宋体" w:cs="宋体"/>
          <w:sz w:val="24"/>
          <w:szCs w:val="24"/>
        </w:rPr>
        <w:t xml:space="preserve"> </w:t>
      </w:r>
      <w:r>
        <w:rPr>
          <w:rFonts w:ascii="宋体" w:hAnsi="宋体" w:eastAsia="宋体" w:cs="宋体"/>
          <w:spacing w:val="-3"/>
          <w:sz w:val="24"/>
          <w:szCs w:val="24"/>
        </w:rPr>
        <w:t>下不会发生污染物渗漏。因此，项目土壤预测与评价考虑逸散粉尘中重金属</w:t>
      </w:r>
      <w:r>
        <w:rPr>
          <w:rFonts w:ascii="宋体" w:hAnsi="宋体" w:eastAsia="宋体" w:cs="宋体"/>
          <w:spacing w:val="-4"/>
          <w:sz w:val="24"/>
          <w:szCs w:val="24"/>
        </w:rPr>
        <w:t>发生</w:t>
      </w:r>
      <w:r>
        <w:rPr>
          <w:rFonts w:ascii="宋体" w:hAnsi="宋体" w:eastAsia="宋体" w:cs="宋体"/>
          <w:sz w:val="24"/>
          <w:szCs w:val="24"/>
        </w:rPr>
        <w:t xml:space="preserve"> </w:t>
      </w:r>
      <w:r>
        <w:rPr>
          <w:rFonts w:ascii="宋体" w:hAnsi="宋体" w:eastAsia="宋体" w:cs="宋体"/>
          <w:spacing w:val="-1"/>
          <w:sz w:val="24"/>
          <w:szCs w:val="24"/>
        </w:rPr>
        <w:t>大气沉降进入土壤环境对土壤造成的影响。</w:t>
      </w:r>
    </w:p>
    <w:p w14:paraId="5A2314EF">
      <w:pPr>
        <w:spacing w:before="1" w:line="217"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8.8.4.4 </w:t>
      </w:r>
      <w:r>
        <w:rPr>
          <w:rFonts w:ascii="宋体" w:hAnsi="宋体" w:eastAsia="宋体" w:cs="宋体"/>
          <w:spacing w:val="-1"/>
          <w:sz w:val="24"/>
          <w:szCs w:val="24"/>
        </w:rPr>
        <w:t>土壤预测与评价方法</w:t>
      </w:r>
    </w:p>
    <w:p w14:paraId="42229E6F">
      <w:pPr>
        <w:spacing w:before="185" w:line="360" w:lineRule="auto"/>
        <w:ind w:left="46" w:right="178" w:firstLine="456"/>
        <w:rPr>
          <w:rFonts w:ascii="宋体" w:hAnsi="宋体" w:eastAsia="宋体" w:cs="宋体"/>
          <w:sz w:val="24"/>
          <w:szCs w:val="24"/>
        </w:rPr>
      </w:pPr>
      <w:r>
        <w:rPr>
          <w:rFonts w:ascii="宋体" w:hAnsi="宋体" w:eastAsia="宋体" w:cs="宋体"/>
          <w:spacing w:val="1"/>
          <w:sz w:val="24"/>
          <w:szCs w:val="24"/>
        </w:rPr>
        <w:t>采用《环境影响评价技术导则 土壤环境（试行）》（</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964-2018</w:t>
      </w:r>
      <w:r>
        <w:rPr>
          <w:rFonts w:ascii="宋体" w:hAnsi="宋体" w:eastAsia="宋体" w:cs="宋体"/>
          <w:spacing w:val="1"/>
          <w:sz w:val="24"/>
          <w:szCs w:val="24"/>
        </w:rPr>
        <w:t>）附录</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中的方法一进行预测。</w:t>
      </w:r>
    </w:p>
    <w:p w14:paraId="6516472B">
      <w:pPr>
        <w:spacing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）单位质量土壤中某种物质的增量可用下式计算：</w:t>
      </w:r>
    </w:p>
    <w:p w14:paraId="2B19486F">
      <w:pPr>
        <w:spacing w:before="146" w:line="218"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ΔS=n(Is-Ls-Rs)/(</w:t>
      </w:r>
      <w:r>
        <w:rPr>
          <w:rFonts w:ascii="微软雅黑" w:hAnsi="微软雅黑" w:eastAsia="微软雅黑" w:cs="微软雅黑"/>
          <w:spacing w:val="-2"/>
          <w:sz w:val="24"/>
          <w:szCs w:val="24"/>
        </w:rPr>
        <w:t>p</w:t>
      </w:r>
      <w:r>
        <w:rPr>
          <w:rFonts w:ascii="Times New Roman" w:hAnsi="Times New Roman" w:eastAsia="Times New Roman" w:cs="Times New Roman"/>
          <w:spacing w:val="-2"/>
          <w:position w:val="-1"/>
          <w:sz w:val="15"/>
          <w:szCs w:val="15"/>
        </w:rPr>
        <w:t>b</w:t>
      </w:r>
      <w:r>
        <w:rPr>
          <w:rFonts w:ascii="Times New Roman" w:hAnsi="Times New Roman" w:eastAsia="Times New Roman" w:cs="Times New Roman"/>
          <w:spacing w:val="-19"/>
          <w:position w:val="-1"/>
          <w:sz w:val="15"/>
          <w:szCs w:val="15"/>
        </w:rPr>
        <w:t xml:space="preserve"> </w:t>
      </w:r>
      <w:r>
        <w:rPr>
          <w:rFonts w:ascii="Times New Roman" w:hAnsi="Times New Roman" w:eastAsia="Times New Roman" w:cs="Times New Roman"/>
          <w:spacing w:val="-2"/>
          <w:sz w:val="24"/>
          <w:szCs w:val="24"/>
        </w:rPr>
        <w:t>×A×D)</w:t>
      </w:r>
    </w:p>
    <w:p w14:paraId="50357C63">
      <w:pPr>
        <w:spacing w:before="131" w:line="212" w:lineRule="auto"/>
        <w:ind w:left="50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ΔS-</w:t>
      </w:r>
      <w:r>
        <w:rPr>
          <w:rFonts w:ascii="宋体" w:hAnsi="宋体" w:eastAsia="宋体" w:cs="宋体"/>
          <w:spacing w:val="-1"/>
          <w:sz w:val="24"/>
          <w:szCs w:val="24"/>
        </w:rPr>
        <w:t>单位质量表层土壤中某种物质的增量，</w:t>
      </w:r>
      <w:r>
        <w:rPr>
          <w:rFonts w:ascii="Times New Roman" w:hAnsi="Times New Roman" w:eastAsia="Times New Roman" w:cs="Times New Roman"/>
          <w:spacing w:val="-1"/>
          <w:sz w:val="24"/>
          <w:szCs w:val="24"/>
        </w:rPr>
        <w:t>g/kg</w:t>
      </w:r>
      <w:r>
        <w:rPr>
          <w:rFonts w:ascii="宋体" w:hAnsi="宋体" w:eastAsia="宋体" w:cs="宋体"/>
          <w:spacing w:val="-1"/>
          <w:sz w:val="24"/>
          <w:szCs w:val="24"/>
        </w:rPr>
        <w:t>；</w:t>
      </w:r>
    </w:p>
    <w:p w14:paraId="269CF46E">
      <w:pPr>
        <w:spacing w:before="192" w:line="212" w:lineRule="auto"/>
        <w:ind w:left="1220"/>
        <w:rPr>
          <w:rFonts w:ascii="宋体" w:hAnsi="宋体" w:eastAsia="宋体" w:cs="宋体"/>
          <w:sz w:val="24"/>
          <w:szCs w:val="24"/>
        </w:rPr>
      </w:pPr>
      <w:r>
        <w:rPr>
          <w:rFonts w:ascii="Times New Roman" w:hAnsi="Times New Roman" w:eastAsia="Times New Roman" w:cs="Times New Roman"/>
          <w:sz w:val="24"/>
          <w:szCs w:val="24"/>
        </w:rPr>
        <w:t>Is-</w:t>
      </w:r>
      <w:r>
        <w:rPr>
          <w:rFonts w:ascii="宋体" w:hAnsi="宋体" w:eastAsia="宋体" w:cs="宋体"/>
          <w:sz w:val="24"/>
          <w:szCs w:val="24"/>
        </w:rPr>
        <w:t>预测评价范围内单位年份表层土壤中某种</w:t>
      </w:r>
      <w:r>
        <w:rPr>
          <w:rFonts w:ascii="宋体" w:hAnsi="宋体" w:eastAsia="宋体" w:cs="宋体"/>
          <w:spacing w:val="-1"/>
          <w:sz w:val="24"/>
          <w:szCs w:val="24"/>
        </w:rPr>
        <w:t>物质的输入量，</w:t>
      </w:r>
      <w:r>
        <w:rPr>
          <w:rFonts w:ascii="Times New Roman" w:hAnsi="Times New Roman" w:eastAsia="Times New Roman" w:cs="Times New Roman"/>
          <w:spacing w:val="-1"/>
          <w:sz w:val="24"/>
          <w:szCs w:val="24"/>
        </w:rPr>
        <w:t>g</w:t>
      </w:r>
      <w:r>
        <w:rPr>
          <w:rFonts w:ascii="宋体" w:hAnsi="宋体" w:eastAsia="宋体" w:cs="宋体"/>
          <w:spacing w:val="-1"/>
          <w:sz w:val="24"/>
          <w:szCs w:val="24"/>
        </w:rPr>
        <w:t>；</w:t>
      </w:r>
    </w:p>
    <w:p w14:paraId="4C52DE56">
      <w:pPr>
        <w:spacing w:before="194" w:line="350" w:lineRule="auto"/>
        <w:ind w:left="1218"/>
        <w:rPr>
          <w:rFonts w:ascii="宋体" w:hAnsi="宋体" w:eastAsia="宋体" w:cs="宋体"/>
          <w:sz w:val="24"/>
          <w:szCs w:val="24"/>
        </w:rPr>
      </w:pPr>
      <w:r>
        <w:rPr>
          <w:rFonts w:ascii="Times New Roman" w:hAnsi="Times New Roman" w:eastAsia="Times New Roman" w:cs="Times New Roman"/>
          <w:spacing w:val="-4"/>
          <w:sz w:val="24"/>
          <w:szCs w:val="24"/>
        </w:rPr>
        <w:t>Ls-</w:t>
      </w:r>
      <w:r>
        <w:rPr>
          <w:rFonts w:ascii="宋体" w:hAnsi="宋体" w:eastAsia="宋体" w:cs="宋体"/>
          <w:spacing w:val="-4"/>
          <w:sz w:val="24"/>
          <w:szCs w:val="24"/>
        </w:rPr>
        <w:t>预测评价范围内单位年份表层土壤中某种物质经淋溶排出的量，</w:t>
      </w:r>
      <w:r>
        <w:rPr>
          <w:rFonts w:ascii="Times New Roman" w:hAnsi="Times New Roman" w:eastAsia="Times New Roman" w:cs="Times New Roman"/>
          <w:spacing w:val="-4"/>
          <w:sz w:val="24"/>
          <w:szCs w:val="24"/>
        </w:rPr>
        <w:t>g</w:t>
      </w:r>
      <w:r>
        <w:rPr>
          <w:rFonts w:ascii="宋体" w:hAnsi="宋体" w:eastAsia="宋体" w:cs="宋体"/>
          <w:spacing w:val="-4"/>
          <w:sz w:val="24"/>
          <w:szCs w:val="24"/>
        </w:rPr>
        <w:t>；</w:t>
      </w:r>
      <w:r>
        <w:rPr>
          <w:rFonts w:ascii="宋体" w:hAnsi="宋体" w:eastAsia="宋体" w:cs="宋体"/>
          <w:spacing w:val="11"/>
          <w:sz w:val="24"/>
          <w:szCs w:val="24"/>
        </w:rPr>
        <w:t xml:space="preserve"> </w:t>
      </w:r>
      <w:r>
        <w:rPr>
          <w:rFonts w:ascii="Times New Roman" w:hAnsi="Times New Roman" w:eastAsia="Times New Roman" w:cs="Times New Roman"/>
          <w:spacing w:val="-4"/>
          <w:sz w:val="24"/>
          <w:szCs w:val="24"/>
        </w:rPr>
        <w:t>Rs-</w:t>
      </w:r>
      <w:r>
        <w:rPr>
          <w:rFonts w:ascii="宋体" w:hAnsi="宋体" w:eastAsia="宋体" w:cs="宋体"/>
          <w:spacing w:val="-4"/>
          <w:sz w:val="24"/>
          <w:szCs w:val="24"/>
        </w:rPr>
        <w:t>预测评价范围内单位年份表层土壤中某种物质经径流排出的量，</w:t>
      </w:r>
      <w:r>
        <w:rPr>
          <w:rFonts w:ascii="Times New Roman" w:hAnsi="Times New Roman" w:eastAsia="Times New Roman" w:cs="Times New Roman"/>
          <w:spacing w:val="-5"/>
          <w:sz w:val="24"/>
          <w:szCs w:val="24"/>
        </w:rPr>
        <w:t>g</w:t>
      </w:r>
      <w:r>
        <w:rPr>
          <w:rFonts w:ascii="宋体" w:hAnsi="宋体" w:eastAsia="宋体" w:cs="宋体"/>
          <w:spacing w:val="-5"/>
          <w:sz w:val="24"/>
          <w:szCs w:val="24"/>
        </w:rPr>
        <w:t>；</w:t>
      </w:r>
    </w:p>
    <w:p w14:paraId="624264D6">
      <w:pPr>
        <w:spacing w:before="24" w:line="180" w:lineRule="auto"/>
        <w:ind w:left="1226"/>
        <w:rPr>
          <w:rFonts w:ascii="宋体" w:hAnsi="宋体" w:eastAsia="宋体" w:cs="宋体"/>
          <w:sz w:val="24"/>
          <w:szCs w:val="24"/>
        </w:rPr>
      </w:pPr>
      <w:r>
        <w:rPr>
          <w:rFonts w:ascii="微软雅黑" w:hAnsi="微软雅黑" w:eastAsia="微软雅黑" w:cs="微软雅黑"/>
          <w:spacing w:val="-32"/>
          <w:w w:val="98"/>
          <w:sz w:val="24"/>
          <w:szCs w:val="24"/>
        </w:rPr>
        <w:t>p</w:t>
      </w:r>
      <w:r>
        <w:rPr>
          <w:rFonts w:ascii="Times New Roman" w:hAnsi="Times New Roman" w:eastAsia="Times New Roman" w:cs="Times New Roman"/>
          <w:sz w:val="15"/>
          <w:szCs w:val="15"/>
        </w:rPr>
        <w:t>b</w:t>
      </w:r>
      <w:r>
        <w:rPr>
          <w:rFonts w:ascii="Times New Roman" w:hAnsi="Times New Roman" w:eastAsia="Times New Roman" w:cs="Times New Roman"/>
          <w:sz w:val="24"/>
          <w:szCs w:val="24"/>
        </w:rPr>
        <w:t>-</w:t>
      </w:r>
      <w:r>
        <w:rPr>
          <w:rFonts w:ascii="宋体" w:hAnsi="宋体" w:eastAsia="宋体" w:cs="宋体"/>
          <w:sz w:val="24"/>
          <w:szCs w:val="24"/>
        </w:rPr>
        <w:t>表层土壤容重，</w:t>
      </w:r>
      <w:r>
        <w:rPr>
          <w:rFonts w:ascii="Times New Roman" w:hAnsi="Times New Roman" w:eastAsia="Times New Roman" w:cs="Times New Roman"/>
          <w:sz w:val="24"/>
          <w:szCs w:val="24"/>
        </w:rPr>
        <w:t>kg/m</w:t>
      </w:r>
      <w:r>
        <w:rPr>
          <w:rFonts w:ascii="Times New Roman" w:hAnsi="Times New Roman" w:eastAsia="Times New Roman" w:cs="Times New Roman"/>
          <w:position w:val="7"/>
          <w:sz w:val="15"/>
          <w:szCs w:val="15"/>
        </w:rPr>
        <w:t>3</w:t>
      </w:r>
      <w:r>
        <w:rPr>
          <w:rFonts w:ascii="宋体" w:hAnsi="宋体" w:eastAsia="宋体" w:cs="宋体"/>
          <w:sz w:val="24"/>
          <w:szCs w:val="24"/>
        </w:rPr>
        <w:t>；</w:t>
      </w:r>
    </w:p>
    <w:p w14:paraId="2785EE29">
      <w:pPr>
        <w:spacing w:before="160" w:line="218" w:lineRule="auto"/>
        <w:ind w:left="1216"/>
        <w:rPr>
          <w:rFonts w:ascii="宋体" w:hAnsi="宋体" w:eastAsia="宋体" w:cs="宋体"/>
          <w:sz w:val="24"/>
          <w:szCs w:val="24"/>
        </w:rPr>
      </w:pPr>
      <w:r>
        <w:rPr>
          <w:rFonts w:ascii="Times New Roman" w:hAnsi="Times New Roman" w:eastAsia="Times New Roman" w:cs="Times New Roman"/>
          <w:sz w:val="24"/>
          <w:szCs w:val="24"/>
        </w:rPr>
        <w:t>A-</w:t>
      </w:r>
      <w:r>
        <w:rPr>
          <w:rFonts w:ascii="宋体" w:hAnsi="宋体" w:eastAsia="宋体" w:cs="宋体"/>
          <w:sz w:val="24"/>
          <w:szCs w:val="24"/>
        </w:rPr>
        <w:t>预测评价范围，</w:t>
      </w:r>
      <w:r>
        <w:rPr>
          <w:rFonts w:ascii="Times New Roman" w:hAnsi="Times New Roman" w:eastAsia="Times New Roman" w:cs="Times New Roman"/>
          <w:sz w:val="24"/>
          <w:szCs w:val="24"/>
        </w:rPr>
        <w:t>m</w:t>
      </w:r>
      <w:r>
        <w:rPr>
          <w:rFonts w:ascii="Times New Roman" w:hAnsi="Times New Roman" w:eastAsia="Times New Roman" w:cs="Times New Roman"/>
          <w:position w:val="7"/>
          <w:sz w:val="15"/>
          <w:szCs w:val="15"/>
        </w:rPr>
        <w:t>2</w:t>
      </w:r>
      <w:r>
        <w:rPr>
          <w:rFonts w:ascii="宋体" w:hAnsi="宋体" w:eastAsia="宋体" w:cs="宋体"/>
          <w:sz w:val="24"/>
          <w:szCs w:val="24"/>
        </w:rPr>
        <w:t>；</w:t>
      </w:r>
    </w:p>
    <w:p w14:paraId="34BF5342">
      <w:pPr>
        <w:spacing w:before="185" w:line="219" w:lineRule="auto"/>
        <w:ind w:left="1218"/>
        <w:rPr>
          <w:rFonts w:ascii="宋体" w:hAnsi="宋体" w:eastAsia="宋体" w:cs="宋体"/>
          <w:sz w:val="24"/>
          <w:szCs w:val="24"/>
        </w:rPr>
      </w:pPr>
      <w:r>
        <w:rPr>
          <w:rFonts w:ascii="Times New Roman" w:hAnsi="Times New Roman" w:eastAsia="Times New Roman" w:cs="Times New Roman"/>
          <w:spacing w:val="-2"/>
          <w:sz w:val="24"/>
          <w:szCs w:val="24"/>
        </w:rPr>
        <w:t>D-</w:t>
      </w:r>
      <w:r>
        <w:rPr>
          <w:rFonts w:ascii="宋体" w:hAnsi="宋体" w:eastAsia="宋体" w:cs="宋体"/>
          <w:spacing w:val="-2"/>
          <w:sz w:val="24"/>
          <w:szCs w:val="24"/>
        </w:rPr>
        <w:t>表层土壤深度，一般取</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0.2m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，可根据实际情况适当调整；</w:t>
      </w:r>
    </w:p>
    <w:p w14:paraId="6CF6D4CF">
      <w:pPr>
        <w:spacing w:before="183" w:line="219" w:lineRule="auto"/>
        <w:ind w:left="1215"/>
        <w:rPr>
          <w:rFonts w:ascii="宋体" w:hAnsi="宋体" w:eastAsia="宋体" w:cs="宋体"/>
          <w:sz w:val="24"/>
          <w:szCs w:val="24"/>
        </w:rPr>
      </w:pPr>
      <w:r>
        <w:rPr>
          <w:rFonts w:ascii="Times New Roman" w:hAnsi="Times New Roman" w:eastAsia="Times New Roman" w:cs="Times New Roman"/>
          <w:spacing w:val="-1"/>
          <w:sz w:val="24"/>
          <w:szCs w:val="24"/>
        </w:rPr>
        <w:t>n-</w:t>
      </w:r>
      <w:r>
        <w:rPr>
          <w:rFonts w:ascii="宋体" w:hAnsi="宋体" w:eastAsia="宋体" w:cs="宋体"/>
          <w:spacing w:val="-1"/>
          <w:sz w:val="24"/>
          <w:szCs w:val="24"/>
        </w:rPr>
        <w:t>持续年份，</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7C158840">
      <w:pPr>
        <w:spacing w:before="184" w:line="343" w:lineRule="auto"/>
        <w:ind w:left="27" w:right="117" w:firstLine="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）单位质量土壤中某种物质的预测值可根据其增量叠加现状值进</w:t>
      </w:r>
      <w:r>
        <w:rPr>
          <w:rFonts w:ascii="宋体" w:hAnsi="宋体" w:eastAsia="宋体" w:cs="宋体"/>
          <w:spacing w:val="-6"/>
          <w:sz w:val="24"/>
          <w:szCs w:val="24"/>
        </w:rPr>
        <w:t>行计算，</w:t>
      </w:r>
      <w:r>
        <w:rPr>
          <w:rFonts w:ascii="宋体" w:hAnsi="宋体" w:eastAsia="宋体" w:cs="宋体"/>
          <w:sz w:val="24"/>
          <w:szCs w:val="24"/>
        </w:rPr>
        <w:t xml:space="preserve"> </w:t>
      </w:r>
      <w:r>
        <w:rPr>
          <w:rFonts w:ascii="宋体" w:hAnsi="宋体" w:eastAsia="宋体" w:cs="宋体"/>
          <w:spacing w:val="-5"/>
          <w:sz w:val="24"/>
          <w:szCs w:val="24"/>
        </w:rPr>
        <w:t>如式：</w:t>
      </w:r>
    </w:p>
    <w:p w14:paraId="0885741A">
      <w:pPr>
        <w:spacing w:line="323" w:lineRule="exact"/>
        <w:ind w:left="509"/>
        <w:rPr>
          <w:rFonts w:ascii="Times New Roman" w:hAnsi="Times New Roman" w:eastAsia="Times New Roman" w:cs="Times New Roman"/>
          <w:sz w:val="24"/>
          <w:szCs w:val="24"/>
        </w:rPr>
      </w:pPr>
      <w:r>
        <w:rPr>
          <w:rFonts w:ascii="Times New Roman" w:hAnsi="Times New Roman" w:eastAsia="Times New Roman" w:cs="Times New Roman"/>
          <w:spacing w:val="-2"/>
          <w:position w:val="1"/>
          <w:sz w:val="24"/>
          <w:szCs w:val="24"/>
        </w:rPr>
        <w:t>S=S</w:t>
      </w:r>
      <w:r>
        <w:rPr>
          <w:rFonts w:ascii="Times New Roman" w:hAnsi="Times New Roman" w:eastAsia="Times New Roman" w:cs="Times New Roman"/>
          <w:spacing w:val="-2"/>
          <w:position w:val="8"/>
          <w:sz w:val="15"/>
          <w:szCs w:val="15"/>
        </w:rPr>
        <w:t>b</w:t>
      </w:r>
      <w:r>
        <w:rPr>
          <w:rFonts w:ascii="Times New Roman" w:hAnsi="Times New Roman" w:eastAsia="Times New Roman" w:cs="Times New Roman"/>
          <w:spacing w:val="-2"/>
          <w:position w:val="1"/>
          <w:sz w:val="24"/>
          <w:szCs w:val="24"/>
        </w:rPr>
        <w:t>+ΔS</w:t>
      </w:r>
    </w:p>
    <w:p w14:paraId="46AEDC29">
      <w:pPr>
        <w:spacing w:line="323" w:lineRule="exact"/>
        <w:rPr>
          <w:rFonts w:ascii="Times New Roman" w:hAnsi="Times New Roman" w:eastAsia="Times New Roman" w:cs="Times New Roman"/>
          <w:sz w:val="24"/>
          <w:szCs w:val="24"/>
        </w:rPr>
        <w:sectPr>
          <w:headerReference r:id="rId367" w:type="default"/>
          <w:footerReference r:id="rId368" w:type="default"/>
          <w:pgSz w:w="11906" w:h="16839"/>
          <w:pgMar w:top="1208" w:right="1620" w:bottom="1358" w:left="1785" w:header="825" w:footer="1195" w:gutter="0"/>
          <w:cols w:space="720" w:num="1"/>
        </w:sectPr>
      </w:pPr>
    </w:p>
    <w:p w14:paraId="4E3EC9D3">
      <w:pPr>
        <w:pStyle w:val="2"/>
        <w:spacing w:line="265" w:lineRule="auto"/>
      </w:pPr>
    </w:p>
    <w:p w14:paraId="0CF66D03">
      <w:pPr>
        <w:spacing w:before="78" w:line="212" w:lineRule="auto"/>
        <w:ind w:left="50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
          <w:position w:val="7"/>
          <w:sz w:val="15"/>
          <w:szCs w:val="15"/>
        </w:rPr>
        <w:t>b</w:t>
      </w:r>
      <w:r>
        <w:rPr>
          <w:rFonts w:ascii="Times New Roman" w:hAnsi="Times New Roman" w:eastAsia="Times New Roman" w:cs="Times New Roman"/>
          <w:spacing w:val="-1"/>
          <w:sz w:val="24"/>
          <w:szCs w:val="24"/>
        </w:rPr>
        <w:t>-</w:t>
      </w:r>
      <w:r>
        <w:rPr>
          <w:rFonts w:ascii="宋体" w:hAnsi="宋体" w:eastAsia="宋体" w:cs="宋体"/>
          <w:spacing w:val="-1"/>
          <w:sz w:val="24"/>
          <w:szCs w:val="24"/>
        </w:rPr>
        <w:t>单位质量土壤中某种物质的现状值，</w:t>
      </w:r>
      <w:r>
        <w:rPr>
          <w:rFonts w:ascii="Times New Roman" w:hAnsi="Times New Roman" w:eastAsia="Times New Roman" w:cs="Times New Roman"/>
          <w:spacing w:val="-1"/>
          <w:sz w:val="24"/>
          <w:szCs w:val="24"/>
        </w:rPr>
        <w:t>g/kg</w:t>
      </w:r>
      <w:r>
        <w:rPr>
          <w:rFonts w:ascii="宋体" w:hAnsi="宋体" w:eastAsia="宋体" w:cs="宋体"/>
          <w:spacing w:val="-1"/>
          <w:sz w:val="24"/>
          <w:szCs w:val="24"/>
        </w:rPr>
        <w:t>；</w:t>
      </w:r>
    </w:p>
    <w:p w14:paraId="139794AC">
      <w:pPr>
        <w:spacing w:before="192" w:line="212" w:lineRule="auto"/>
        <w:ind w:left="1229"/>
        <w:rPr>
          <w:rFonts w:ascii="宋体" w:hAnsi="宋体" w:eastAsia="宋体" w:cs="宋体"/>
          <w:sz w:val="24"/>
          <w:szCs w:val="24"/>
        </w:rPr>
      </w:pPr>
      <w:r>
        <w:rPr>
          <w:rFonts w:ascii="Times New Roman" w:hAnsi="Times New Roman" w:eastAsia="Times New Roman" w:cs="Times New Roman"/>
          <w:spacing w:val="-1"/>
          <w:sz w:val="24"/>
          <w:szCs w:val="24"/>
        </w:rPr>
        <w:t>S-</w:t>
      </w:r>
      <w:r>
        <w:rPr>
          <w:rFonts w:ascii="宋体" w:hAnsi="宋体" w:eastAsia="宋体" w:cs="宋体"/>
          <w:spacing w:val="-1"/>
          <w:sz w:val="24"/>
          <w:szCs w:val="24"/>
        </w:rPr>
        <w:t>单位质量土壤中某种物质的预测值，</w:t>
      </w:r>
      <w:r>
        <w:rPr>
          <w:rFonts w:ascii="Times New Roman" w:hAnsi="Times New Roman" w:eastAsia="Times New Roman" w:cs="Times New Roman"/>
          <w:spacing w:val="-1"/>
          <w:sz w:val="24"/>
          <w:szCs w:val="24"/>
        </w:rPr>
        <w:t>g/kg</w:t>
      </w:r>
      <w:r>
        <w:rPr>
          <w:rFonts w:ascii="宋体" w:hAnsi="宋体" w:eastAsia="宋体" w:cs="宋体"/>
          <w:spacing w:val="-1"/>
          <w:sz w:val="24"/>
          <w:szCs w:val="24"/>
        </w:rPr>
        <w:t>。</w:t>
      </w:r>
    </w:p>
    <w:p w14:paraId="03309E90">
      <w:pPr>
        <w:spacing w:before="192" w:line="219"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8.8.4.5 </w:t>
      </w:r>
      <w:r>
        <w:rPr>
          <w:rFonts w:ascii="宋体" w:hAnsi="宋体" w:eastAsia="宋体" w:cs="宋体"/>
          <w:spacing w:val="-1"/>
          <w:sz w:val="24"/>
          <w:szCs w:val="24"/>
        </w:rPr>
        <w:t>土壤环境影响预测参数</w:t>
      </w:r>
    </w:p>
    <w:p w14:paraId="17632589">
      <w:pPr>
        <w:spacing w:before="182" w:line="360" w:lineRule="auto"/>
        <w:ind w:left="22" w:right="220" w:firstLine="481"/>
        <w:jc w:val="both"/>
        <w:rPr>
          <w:rFonts w:ascii="宋体" w:hAnsi="宋体" w:eastAsia="宋体" w:cs="宋体"/>
          <w:sz w:val="24"/>
          <w:szCs w:val="24"/>
        </w:rPr>
      </w:pPr>
      <w:r>
        <w:rPr>
          <w:rFonts w:ascii="宋体" w:hAnsi="宋体" w:eastAsia="宋体" w:cs="宋体"/>
          <w:spacing w:val="-3"/>
          <w:sz w:val="24"/>
          <w:szCs w:val="24"/>
        </w:rPr>
        <w:t>本次预测选取影响较大的特征因子砷、铅。全厂产生的粉尘中</w:t>
      </w:r>
      <w:r>
        <w:rPr>
          <w:rFonts w:ascii="宋体" w:hAnsi="宋体" w:eastAsia="宋体" w:cs="宋体"/>
          <w:spacing w:val="-4"/>
          <w:sz w:val="24"/>
          <w:szCs w:val="24"/>
        </w:rPr>
        <w:t>砷、铅含量与</w:t>
      </w:r>
      <w:r>
        <w:rPr>
          <w:rFonts w:ascii="宋体" w:hAnsi="宋体" w:eastAsia="宋体" w:cs="宋体"/>
          <w:sz w:val="24"/>
          <w:szCs w:val="24"/>
        </w:rPr>
        <w:t xml:space="preserve"> </w:t>
      </w:r>
      <w:r>
        <w:rPr>
          <w:rFonts w:ascii="宋体" w:hAnsi="宋体" w:eastAsia="宋体" w:cs="宋体"/>
          <w:spacing w:val="-4"/>
          <w:sz w:val="24"/>
          <w:szCs w:val="24"/>
        </w:rPr>
        <w:t>矿石中砷、铅含量相同，砷平均含量为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，铅平均含量为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66%</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，则每年排</w:t>
      </w:r>
      <w:r>
        <w:rPr>
          <w:rFonts w:ascii="宋体" w:hAnsi="宋体" w:eastAsia="宋体" w:cs="宋体"/>
          <w:sz w:val="24"/>
          <w:szCs w:val="24"/>
        </w:rPr>
        <w:t xml:space="preserve"> </w:t>
      </w:r>
      <w:r>
        <w:rPr>
          <w:rFonts w:ascii="宋体" w:hAnsi="宋体" w:eastAsia="宋体" w:cs="宋体"/>
          <w:spacing w:val="-1"/>
          <w:sz w:val="24"/>
          <w:szCs w:val="24"/>
        </w:rPr>
        <w:t>放的颗粒物中含有砷</w:t>
      </w:r>
      <w:r>
        <w:rPr>
          <w:rFonts w:ascii="Times New Roman" w:hAnsi="Times New Roman" w:eastAsia="Times New Roman" w:cs="Times New Roman"/>
          <w:spacing w:val="-1"/>
          <w:sz w:val="24"/>
          <w:szCs w:val="24"/>
        </w:rPr>
        <w:t>=2.27t×1.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15%=26105g</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铅</w:t>
      </w:r>
      <w:r>
        <w:rPr>
          <w:rFonts w:ascii="Times New Roman" w:hAnsi="Times New Roman" w:eastAsia="Times New Roman" w:cs="Times New Roman"/>
          <w:spacing w:val="-2"/>
          <w:sz w:val="24"/>
          <w:szCs w:val="24"/>
        </w:rPr>
        <w:t>=2.27t×1.66%=37682g</w:t>
      </w:r>
      <w:r>
        <w:rPr>
          <w:rFonts w:ascii="宋体" w:hAnsi="宋体" w:eastAsia="宋体" w:cs="宋体"/>
          <w:spacing w:val="-2"/>
          <w:sz w:val="24"/>
          <w:szCs w:val="24"/>
        </w:rPr>
        <w:t>。</w:t>
      </w:r>
    </w:p>
    <w:p w14:paraId="42FE7B88">
      <w:pPr>
        <w:spacing w:before="1" w:line="218" w:lineRule="auto"/>
        <w:ind w:left="504"/>
        <w:rPr>
          <w:rFonts w:ascii="宋体" w:hAnsi="宋体" w:eastAsia="宋体" w:cs="宋体"/>
          <w:sz w:val="24"/>
          <w:szCs w:val="24"/>
        </w:rPr>
      </w:pPr>
      <w:r>
        <w:rPr>
          <w:rFonts w:ascii="宋体" w:hAnsi="宋体" w:eastAsia="宋体" w:cs="宋体"/>
          <w:spacing w:val="-2"/>
          <w:sz w:val="24"/>
          <w:szCs w:val="24"/>
        </w:rPr>
        <w:t>本项目土壤环境预测参数见表</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8.8-3</w:t>
      </w:r>
      <w:r>
        <w:rPr>
          <w:rFonts w:ascii="宋体" w:hAnsi="宋体" w:eastAsia="宋体" w:cs="宋体"/>
          <w:spacing w:val="-2"/>
          <w:sz w:val="24"/>
          <w:szCs w:val="24"/>
        </w:rPr>
        <w:t>。</w:t>
      </w:r>
    </w:p>
    <w:p w14:paraId="4AC4DBEC">
      <w:pPr>
        <w:spacing w:before="121" w:line="228" w:lineRule="auto"/>
        <w:ind w:left="2668"/>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8"/>
          <w:sz w:val="20"/>
          <w:szCs w:val="20"/>
        </w:rPr>
        <w:t xml:space="preserve"> </w:t>
      </w:r>
      <w:r>
        <w:rPr>
          <w:rFonts w:ascii="Times New Roman" w:hAnsi="Times New Roman" w:eastAsia="Times New Roman" w:cs="Times New Roman"/>
          <w:spacing w:val="5"/>
          <w:sz w:val="20"/>
          <w:szCs w:val="20"/>
        </w:rPr>
        <w:t xml:space="preserve">8.8-3    </w:t>
      </w:r>
      <w:r>
        <w:rPr>
          <w:rFonts w:ascii="宋体" w:hAnsi="宋体" w:eastAsia="宋体" w:cs="宋体"/>
          <w:spacing w:val="5"/>
          <w:sz w:val="20"/>
          <w:szCs w:val="20"/>
        </w:rPr>
        <w:t>土壤环境影响预测参数</w:t>
      </w:r>
    </w:p>
    <w:p w14:paraId="450234B2">
      <w:pPr>
        <w:spacing w:line="14" w:lineRule="exact"/>
      </w:pPr>
    </w:p>
    <w:tbl>
      <w:tblPr>
        <w:tblStyle w:val="5"/>
        <w:tblW w:w="8526"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5829C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33" w:type="dxa"/>
            <w:vAlign w:val="top"/>
          </w:tcPr>
          <w:p w14:paraId="483329E5">
            <w:pPr>
              <w:pStyle w:val="6"/>
              <w:spacing w:before="71" w:line="228" w:lineRule="auto"/>
              <w:ind w:left="865"/>
            </w:pPr>
            <w:r>
              <w:rPr>
                <w:spacing w:val="3"/>
              </w:rPr>
              <w:t>项目</w:t>
            </w:r>
          </w:p>
        </w:tc>
        <w:tc>
          <w:tcPr>
            <w:tcW w:w="2129" w:type="dxa"/>
            <w:vAlign w:val="top"/>
          </w:tcPr>
          <w:p w14:paraId="792BA833">
            <w:pPr>
              <w:pStyle w:val="6"/>
              <w:spacing w:before="70" w:line="228" w:lineRule="auto"/>
              <w:ind w:left="862"/>
            </w:pPr>
            <w:r>
              <w:rPr>
                <w:spacing w:val="3"/>
              </w:rPr>
              <w:t>参数</w:t>
            </w:r>
          </w:p>
        </w:tc>
        <w:tc>
          <w:tcPr>
            <w:tcW w:w="2130" w:type="dxa"/>
            <w:vAlign w:val="top"/>
          </w:tcPr>
          <w:p w14:paraId="72A166FC">
            <w:pPr>
              <w:pStyle w:val="6"/>
              <w:spacing w:before="71" w:line="228" w:lineRule="auto"/>
              <w:ind w:left="863"/>
            </w:pPr>
            <w:r>
              <w:rPr>
                <w:spacing w:val="3"/>
              </w:rPr>
              <w:t>项目</w:t>
            </w:r>
          </w:p>
        </w:tc>
        <w:tc>
          <w:tcPr>
            <w:tcW w:w="2134" w:type="dxa"/>
            <w:vAlign w:val="top"/>
          </w:tcPr>
          <w:p w14:paraId="45568B22">
            <w:pPr>
              <w:pStyle w:val="6"/>
              <w:spacing w:before="70" w:line="228" w:lineRule="auto"/>
              <w:ind w:left="863"/>
            </w:pPr>
            <w:r>
              <w:rPr>
                <w:spacing w:val="3"/>
              </w:rPr>
              <w:t>参数</w:t>
            </w:r>
          </w:p>
        </w:tc>
      </w:tr>
      <w:tr w14:paraId="2B93B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Align w:val="top"/>
          </w:tcPr>
          <w:p w14:paraId="1D0DBA26">
            <w:pPr>
              <w:pStyle w:val="6"/>
              <w:spacing w:before="67" w:line="221" w:lineRule="auto"/>
              <w:ind w:left="415"/>
            </w:pPr>
            <w:r>
              <w:rPr>
                <w:rFonts w:ascii="Times New Roman" w:hAnsi="Times New Roman" w:eastAsia="Times New Roman" w:cs="Times New Roman"/>
              </w:rPr>
              <w:t>Is</w:t>
            </w:r>
            <w:r>
              <w:rPr>
                <w:spacing w:val="14"/>
              </w:rPr>
              <w:t>（</w:t>
            </w:r>
            <w:r>
              <w:rPr>
                <w:rFonts w:ascii="Times New Roman" w:hAnsi="Times New Roman" w:eastAsia="Times New Roman" w:cs="Times New Roman"/>
                <w:spacing w:val="14"/>
              </w:rPr>
              <w:t>g</w:t>
            </w:r>
            <w:r>
              <w:rPr>
                <w:spacing w:val="-6"/>
              </w:rPr>
              <w:t>）（</w:t>
            </w:r>
            <w:r>
              <w:rPr>
                <w:spacing w:val="14"/>
              </w:rPr>
              <w:t>砷）</w:t>
            </w:r>
          </w:p>
        </w:tc>
        <w:tc>
          <w:tcPr>
            <w:tcW w:w="2129" w:type="dxa"/>
            <w:vAlign w:val="top"/>
          </w:tcPr>
          <w:p w14:paraId="12C7BECF">
            <w:pPr>
              <w:spacing w:before="103" w:line="195" w:lineRule="auto"/>
              <w:ind w:left="8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26105</w:t>
            </w:r>
          </w:p>
        </w:tc>
        <w:tc>
          <w:tcPr>
            <w:tcW w:w="2130" w:type="dxa"/>
            <w:vAlign w:val="top"/>
          </w:tcPr>
          <w:p w14:paraId="1AC3070C">
            <w:pPr>
              <w:pStyle w:val="6"/>
              <w:spacing w:before="67"/>
              <w:ind w:left="755"/>
            </w:pPr>
            <w:r>
              <w:rPr>
                <w:rFonts w:ascii="Times New Roman" w:hAnsi="Times New Roman" w:eastAsia="Times New Roman" w:cs="Times New Roman"/>
                <w:spacing w:val="4"/>
              </w:rPr>
              <w:t>n</w:t>
            </w:r>
            <w:r>
              <w:rPr>
                <w:spacing w:val="4"/>
              </w:rPr>
              <w:t>（</w:t>
            </w:r>
            <w:r>
              <w:rPr>
                <w:rFonts w:ascii="Times New Roman" w:hAnsi="Times New Roman" w:eastAsia="Times New Roman" w:cs="Times New Roman"/>
                <w:spacing w:val="4"/>
              </w:rPr>
              <w:t>a</w:t>
            </w:r>
            <w:r>
              <w:rPr>
                <w:spacing w:val="4"/>
              </w:rPr>
              <w:t>）</w:t>
            </w:r>
          </w:p>
        </w:tc>
        <w:tc>
          <w:tcPr>
            <w:tcW w:w="2134" w:type="dxa"/>
            <w:vAlign w:val="top"/>
          </w:tcPr>
          <w:p w14:paraId="65B15F70">
            <w:pPr>
              <w:pStyle w:val="6"/>
              <w:spacing w:before="103" w:line="186" w:lineRule="auto"/>
              <w:ind w:left="601"/>
              <w:rPr>
                <w:rFonts w:ascii="Times New Roman" w:hAnsi="Times New Roman" w:eastAsia="Times New Roman" w:cs="Times New Roman"/>
              </w:rPr>
            </w:pPr>
            <w:r>
              <w:rPr>
                <w:rFonts w:ascii="Times New Roman" w:hAnsi="Times New Roman" w:eastAsia="Times New Roman" w:cs="Times New Roman"/>
                <w:spacing w:val="-2"/>
              </w:rPr>
              <w:t>5</w:t>
            </w:r>
            <w:r>
              <w:rPr>
                <w:rFonts w:ascii="Times New Roman" w:hAnsi="Times New Roman" w:eastAsia="Times New Roman" w:cs="Times New Roman"/>
                <w:spacing w:val="-27"/>
              </w:rPr>
              <w:t xml:space="preserve"> </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6"/>
              </w:rPr>
              <w:t xml:space="preserve"> </w:t>
            </w:r>
            <w:r>
              <w:rPr>
                <w:spacing w:val="-2"/>
              </w:rPr>
              <w:t>、</w:t>
            </w:r>
            <w:r>
              <w:rPr>
                <w:rFonts w:ascii="Times New Roman" w:hAnsi="Times New Roman" w:eastAsia="Times New Roman" w:cs="Times New Roman"/>
                <w:spacing w:val="-2"/>
              </w:rPr>
              <w:t>20</w:t>
            </w:r>
          </w:p>
        </w:tc>
      </w:tr>
      <w:tr w14:paraId="7E9F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Align w:val="top"/>
          </w:tcPr>
          <w:p w14:paraId="0A15A094">
            <w:pPr>
              <w:pStyle w:val="6"/>
              <w:spacing w:before="66" w:line="221" w:lineRule="auto"/>
              <w:ind w:left="415"/>
            </w:pPr>
            <w:r>
              <w:rPr>
                <w:rFonts w:ascii="Times New Roman" w:hAnsi="Times New Roman" w:eastAsia="Times New Roman" w:cs="Times New Roman"/>
              </w:rPr>
              <w:t>Is</w:t>
            </w:r>
            <w:r>
              <w:rPr>
                <w:spacing w:val="14"/>
              </w:rPr>
              <w:t>（</w:t>
            </w:r>
            <w:r>
              <w:rPr>
                <w:rFonts w:ascii="Times New Roman" w:hAnsi="Times New Roman" w:eastAsia="Times New Roman" w:cs="Times New Roman"/>
                <w:spacing w:val="14"/>
              </w:rPr>
              <w:t>g</w:t>
            </w:r>
            <w:r>
              <w:rPr>
                <w:spacing w:val="-6"/>
              </w:rPr>
              <w:t>）（</w:t>
            </w:r>
            <w:r>
              <w:rPr>
                <w:spacing w:val="14"/>
              </w:rPr>
              <w:t>铅）</w:t>
            </w:r>
          </w:p>
        </w:tc>
        <w:tc>
          <w:tcPr>
            <w:tcW w:w="2129" w:type="dxa"/>
            <w:vAlign w:val="top"/>
          </w:tcPr>
          <w:p w14:paraId="06121646">
            <w:pPr>
              <w:spacing w:before="102" w:line="195" w:lineRule="auto"/>
              <w:ind w:left="8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37682</w:t>
            </w:r>
          </w:p>
        </w:tc>
        <w:tc>
          <w:tcPr>
            <w:tcW w:w="2130" w:type="dxa"/>
            <w:vAlign w:val="top"/>
          </w:tcPr>
          <w:p w14:paraId="1D8CDBCD">
            <w:pPr>
              <w:pStyle w:val="6"/>
              <w:spacing w:before="65" w:line="187" w:lineRule="auto"/>
              <w:ind w:left="502"/>
            </w:pPr>
            <w:r>
              <w:rPr>
                <w:rFonts w:ascii="微软雅黑" w:hAnsi="微软雅黑" w:eastAsia="微软雅黑" w:cs="微软雅黑"/>
              </w:rPr>
              <w:t>p</w:t>
            </w:r>
            <w:r>
              <w:rPr>
                <w:rFonts w:ascii="Times New Roman" w:hAnsi="Times New Roman" w:eastAsia="Times New Roman" w:cs="Times New Roman"/>
              </w:rPr>
              <w:t>b</w:t>
            </w:r>
            <w:r>
              <w:rPr>
                <w:spacing w:val="3"/>
              </w:rPr>
              <w:t>（</w:t>
            </w:r>
            <w:r>
              <w:rPr>
                <w:rFonts w:ascii="Times New Roman" w:hAnsi="Times New Roman" w:eastAsia="Times New Roman" w:cs="Times New Roman"/>
              </w:rPr>
              <w:t>kg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2134" w:type="dxa"/>
            <w:vAlign w:val="top"/>
          </w:tcPr>
          <w:p w14:paraId="65300E3C">
            <w:pPr>
              <w:spacing w:before="102"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1743</w:t>
            </w:r>
          </w:p>
        </w:tc>
      </w:tr>
      <w:tr w14:paraId="50A70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33" w:type="dxa"/>
            <w:vAlign w:val="top"/>
          </w:tcPr>
          <w:p w14:paraId="44B79610">
            <w:pPr>
              <w:pStyle w:val="6"/>
              <w:spacing w:before="53" w:line="221" w:lineRule="auto"/>
              <w:ind w:left="699"/>
            </w:pPr>
            <w:r>
              <w:rPr>
                <w:rFonts w:ascii="Times New Roman" w:hAnsi="Times New Roman" w:eastAsia="Times New Roman" w:cs="Times New Roman"/>
              </w:rPr>
              <w:t>Ls</w:t>
            </w:r>
            <w:r>
              <w:rPr>
                <w:spacing w:val="6"/>
              </w:rPr>
              <w:t>（</w:t>
            </w:r>
            <w:r>
              <w:rPr>
                <w:rFonts w:ascii="Times New Roman" w:hAnsi="Times New Roman" w:eastAsia="Times New Roman" w:cs="Times New Roman"/>
                <w:spacing w:val="6"/>
              </w:rPr>
              <w:t>g</w:t>
            </w:r>
            <w:r>
              <w:rPr>
                <w:spacing w:val="6"/>
              </w:rPr>
              <w:t>）</w:t>
            </w:r>
          </w:p>
        </w:tc>
        <w:tc>
          <w:tcPr>
            <w:tcW w:w="2129" w:type="dxa"/>
            <w:vAlign w:val="top"/>
          </w:tcPr>
          <w:p w14:paraId="35CC60C8">
            <w:pPr>
              <w:spacing w:before="89" w:line="195" w:lineRule="auto"/>
              <w:ind w:left="10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130" w:type="dxa"/>
            <w:vAlign w:val="top"/>
          </w:tcPr>
          <w:p w14:paraId="1C95A60C">
            <w:pPr>
              <w:pStyle w:val="6"/>
              <w:spacing w:before="53" w:line="233" w:lineRule="auto"/>
              <w:ind w:left="664"/>
            </w:pPr>
            <w:r>
              <w:rPr>
                <w:rFonts w:ascii="Times New Roman" w:hAnsi="Times New Roman" w:eastAsia="Times New Roman" w:cs="Times New Roman"/>
                <w:spacing w:val="5"/>
              </w:rPr>
              <w:t>A</w:t>
            </w:r>
            <w:r>
              <w:rPr>
                <w:spacing w:val="5"/>
              </w:rPr>
              <w:t>（</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2</w:t>
            </w:r>
            <w:r>
              <w:rPr>
                <w:spacing w:val="5"/>
              </w:rPr>
              <w:t>）</w:t>
            </w:r>
          </w:p>
        </w:tc>
        <w:tc>
          <w:tcPr>
            <w:tcW w:w="2134" w:type="dxa"/>
            <w:vAlign w:val="top"/>
          </w:tcPr>
          <w:p w14:paraId="27AEAB4E">
            <w:pPr>
              <w:spacing w:before="89" w:line="195" w:lineRule="auto"/>
              <w:ind w:left="7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5050000</w:t>
            </w:r>
          </w:p>
        </w:tc>
      </w:tr>
      <w:tr w14:paraId="10178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33" w:type="dxa"/>
            <w:vAlign w:val="top"/>
          </w:tcPr>
          <w:p w14:paraId="7D18D544">
            <w:pPr>
              <w:pStyle w:val="6"/>
              <w:spacing w:before="68" w:line="221" w:lineRule="auto"/>
              <w:ind w:left="694"/>
            </w:pPr>
            <w:r>
              <w:rPr>
                <w:rFonts w:ascii="Times New Roman" w:hAnsi="Times New Roman" w:eastAsia="Times New Roman" w:cs="Times New Roman"/>
              </w:rPr>
              <w:t>Rs</w:t>
            </w:r>
            <w:r>
              <w:rPr>
                <w:spacing w:val="6"/>
              </w:rPr>
              <w:t>（</w:t>
            </w:r>
            <w:r>
              <w:rPr>
                <w:rFonts w:ascii="Times New Roman" w:hAnsi="Times New Roman" w:eastAsia="Times New Roman" w:cs="Times New Roman"/>
                <w:spacing w:val="6"/>
              </w:rPr>
              <w:t>g</w:t>
            </w:r>
            <w:r>
              <w:rPr>
                <w:spacing w:val="6"/>
              </w:rPr>
              <w:t>）</w:t>
            </w:r>
          </w:p>
        </w:tc>
        <w:tc>
          <w:tcPr>
            <w:tcW w:w="2129" w:type="dxa"/>
            <w:vAlign w:val="top"/>
          </w:tcPr>
          <w:p w14:paraId="05E4E934">
            <w:pPr>
              <w:spacing w:before="104" w:line="195" w:lineRule="auto"/>
              <w:ind w:left="10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130" w:type="dxa"/>
            <w:vAlign w:val="top"/>
          </w:tcPr>
          <w:p w14:paraId="76A1CD73">
            <w:pPr>
              <w:pStyle w:val="6"/>
              <w:spacing w:before="68"/>
              <w:ind w:left="699"/>
            </w:pPr>
            <w:r>
              <w:rPr>
                <w:rFonts w:ascii="Times New Roman" w:hAnsi="Times New Roman" w:eastAsia="Times New Roman" w:cs="Times New Roman"/>
                <w:spacing w:val="4"/>
              </w:rPr>
              <w:t>D</w:t>
            </w:r>
            <w:r>
              <w:rPr>
                <w:spacing w:val="4"/>
              </w:rPr>
              <w:t>（</w:t>
            </w:r>
            <w:r>
              <w:rPr>
                <w:rFonts w:ascii="Times New Roman" w:hAnsi="Times New Roman" w:eastAsia="Times New Roman" w:cs="Times New Roman"/>
                <w:spacing w:val="4"/>
              </w:rPr>
              <w:t>m</w:t>
            </w:r>
            <w:r>
              <w:rPr>
                <w:spacing w:val="4"/>
              </w:rPr>
              <w:t>）</w:t>
            </w:r>
          </w:p>
        </w:tc>
        <w:tc>
          <w:tcPr>
            <w:tcW w:w="2134" w:type="dxa"/>
            <w:vAlign w:val="top"/>
          </w:tcPr>
          <w:p w14:paraId="6FE44F10">
            <w:pPr>
              <w:spacing w:before="104" w:line="195" w:lineRule="auto"/>
              <w:ind w:left="9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14:paraId="674CF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526" w:type="dxa"/>
            <w:gridSpan w:val="4"/>
            <w:vAlign w:val="top"/>
          </w:tcPr>
          <w:p w14:paraId="1B4BB2D6">
            <w:pPr>
              <w:pStyle w:val="6"/>
              <w:spacing w:before="69" w:line="228" w:lineRule="auto"/>
              <w:ind w:left="2242"/>
            </w:pPr>
            <w:r>
              <w:rPr>
                <w:spacing w:val="8"/>
              </w:rPr>
              <w:t>注：对于大气沉降影响途径可忽略</w:t>
            </w:r>
            <w:r>
              <w:rPr>
                <w:spacing w:val="-38"/>
              </w:rPr>
              <w:t xml:space="preserve"> </w:t>
            </w:r>
            <w:r>
              <w:rPr>
                <w:rFonts w:ascii="Times New Roman" w:hAnsi="Times New Roman" w:eastAsia="Times New Roman" w:cs="Times New Roman"/>
              </w:rPr>
              <w:t>Ls</w:t>
            </w:r>
            <w:r>
              <w:rPr>
                <w:rFonts w:ascii="Times New Roman" w:hAnsi="Times New Roman" w:eastAsia="Times New Roman" w:cs="Times New Roman"/>
                <w:spacing w:val="-27"/>
              </w:rPr>
              <w:t xml:space="preserve"> </w:t>
            </w:r>
            <w:r>
              <w:rPr>
                <w:spacing w:val="8"/>
              </w:rPr>
              <w:t>、</w:t>
            </w:r>
            <w:r>
              <w:rPr>
                <w:rFonts w:ascii="Times New Roman" w:hAnsi="Times New Roman" w:eastAsia="Times New Roman" w:cs="Times New Roman"/>
              </w:rPr>
              <w:t>Rs</w:t>
            </w:r>
            <w:r>
              <w:rPr>
                <w:spacing w:val="8"/>
              </w:rPr>
              <w:t>。</w:t>
            </w:r>
          </w:p>
        </w:tc>
      </w:tr>
    </w:tbl>
    <w:p w14:paraId="5B9389B0">
      <w:pPr>
        <w:spacing w:before="115" w:line="220" w:lineRule="auto"/>
        <w:ind w:left="508"/>
        <w:outlineLvl w:val="3"/>
        <w:rPr>
          <w:rFonts w:ascii="宋体" w:hAnsi="宋体" w:eastAsia="宋体" w:cs="宋体"/>
          <w:sz w:val="24"/>
          <w:szCs w:val="24"/>
        </w:rPr>
      </w:pPr>
      <w:r>
        <w:rPr>
          <w:rFonts w:ascii="Times New Roman" w:hAnsi="Times New Roman" w:eastAsia="Times New Roman" w:cs="Times New Roman"/>
          <w:spacing w:val="-2"/>
          <w:sz w:val="24"/>
          <w:szCs w:val="24"/>
        </w:rPr>
        <w:t xml:space="preserve">8.8.4.6 </w:t>
      </w:r>
      <w:r>
        <w:rPr>
          <w:rFonts w:ascii="宋体" w:hAnsi="宋体" w:eastAsia="宋体" w:cs="宋体"/>
          <w:spacing w:val="-2"/>
          <w:sz w:val="24"/>
          <w:szCs w:val="24"/>
        </w:rPr>
        <w:t>预测结果</w:t>
      </w:r>
    </w:p>
    <w:p w14:paraId="04CBEE78">
      <w:pPr>
        <w:spacing w:before="182"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）单位质量土壤中砷的增量</w:t>
      </w:r>
    </w:p>
    <w:p w14:paraId="72933E56">
      <w:pPr>
        <w:spacing w:before="183" w:line="219" w:lineRule="auto"/>
        <w:ind w:left="496"/>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项目投入运营</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年后，选厂周边单位质量土壤中砷的增量为：</w:t>
      </w:r>
    </w:p>
    <w:p w14:paraId="2EB86873">
      <w:pPr>
        <w:spacing w:before="147" w:line="222"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ΔS=5</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26105/(1743</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5050000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0.2)= 7.414</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5"/>
          <w:position w:val="8"/>
          <w:sz w:val="15"/>
          <w:szCs w:val="15"/>
        </w:rPr>
        <w:t>-5</w:t>
      </w:r>
      <w:r>
        <w:rPr>
          <w:rFonts w:ascii="Times New Roman" w:hAnsi="Times New Roman" w:eastAsia="Times New Roman" w:cs="Times New Roman"/>
          <w:spacing w:val="-5"/>
          <w:sz w:val="24"/>
          <w:szCs w:val="24"/>
        </w:rPr>
        <w:t>g/kg</w:t>
      </w:r>
    </w:p>
    <w:p w14:paraId="24FF1A88">
      <w:pPr>
        <w:spacing w:before="123" w:line="219" w:lineRule="auto"/>
        <w:ind w:left="498"/>
        <w:rPr>
          <w:rFonts w:ascii="宋体" w:hAnsi="宋体" w:eastAsia="宋体" w:cs="宋体"/>
          <w:sz w:val="24"/>
          <w:szCs w:val="24"/>
        </w:rPr>
      </w:pPr>
      <w:r>
        <w:rPr>
          <w:rFonts w:ascii="Times New Roman" w:hAnsi="Times New Roman" w:eastAsia="Times New Roman" w:cs="Times New Roman"/>
          <w:spacing w:val="-1"/>
          <w:sz w:val="24"/>
          <w:szCs w:val="24"/>
        </w:rPr>
        <w:t>B.</w:t>
      </w:r>
      <w:r>
        <w:rPr>
          <w:rFonts w:ascii="宋体" w:hAnsi="宋体" w:eastAsia="宋体" w:cs="宋体"/>
          <w:spacing w:val="-1"/>
          <w:sz w:val="24"/>
          <w:szCs w:val="24"/>
        </w:rPr>
        <w:t>项目投入运营</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年后，选厂周边单位质量土壤中砷的增量</w:t>
      </w:r>
      <w:r>
        <w:rPr>
          <w:rFonts w:ascii="宋体" w:hAnsi="宋体" w:eastAsia="宋体" w:cs="宋体"/>
          <w:spacing w:val="-2"/>
          <w:sz w:val="24"/>
          <w:szCs w:val="24"/>
        </w:rPr>
        <w:t>为：</w:t>
      </w:r>
    </w:p>
    <w:p w14:paraId="449DBAE6">
      <w:pPr>
        <w:spacing w:before="147" w:line="222"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ΔS=</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10</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26105/(1743</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5050000</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0.2)=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8"/>
          <w:sz w:val="24"/>
          <w:szCs w:val="24"/>
        </w:rPr>
        <w:t>.483</w:t>
      </w:r>
      <w:r>
        <w:rPr>
          <w:rFonts w:ascii="微软雅黑" w:hAnsi="微软雅黑" w:eastAsia="微软雅黑" w:cs="微软雅黑"/>
          <w:spacing w:val="-8"/>
          <w:sz w:val="24"/>
          <w:szCs w:val="24"/>
        </w:rPr>
        <w:t>×</w:t>
      </w:r>
      <w:r>
        <w:rPr>
          <w:rFonts w:ascii="微软雅黑" w:hAnsi="微软雅黑" w:eastAsia="微软雅黑" w:cs="微软雅黑"/>
          <w:spacing w:val="-45"/>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1"/>
          <w:position w:val="8"/>
          <w:sz w:val="15"/>
          <w:szCs w:val="15"/>
        </w:rPr>
        <w:t>-4</w:t>
      </w:r>
      <w:r>
        <w:rPr>
          <w:rFonts w:ascii="Times New Roman" w:hAnsi="Times New Roman" w:eastAsia="Times New Roman" w:cs="Times New Roman"/>
          <w:spacing w:val="1"/>
          <w:sz w:val="24"/>
          <w:szCs w:val="24"/>
        </w:rPr>
        <w:t>g/</w:t>
      </w:r>
      <w:r>
        <w:rPr>
          <w:rFonts w:ascii="Times New Roman" w:hAnsi="Times New Roman" w:eastAsia="Times New Roman" w:cs="Times New Roman"/>
          <w:sz w:val="24"/>
          <w:szCs w:val="24"/>
        </w:rPr>
        <w:t>kg</w:t>
      </w:r>
    </w:p>
    <w:p w14:paraId="4C651470">
      <w:pPr>
        <w:spacing w:before="123" w:line="219" w:lineRule="auto"/>
        <w:ind w:left="502"/>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项目投入运营</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年后，选厂周边单位质量土壤中砷的增量为：</w:t>
      </w:r>
    </w:p>
    <w:p w14:paraId="3F3E2B14">
      <w:pPr>
        <w:spacing w:before="148" w:line="222" w:lineRule="auto"/>
        <w:ind w:left="4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ΔS=20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26105/(1743</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5050000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0.2)= 2.966</w:t>
      </w:r>
      <w:r>
        <w:rPr>
          <w:rFonts w:ascii="微软雅黑" w:hAnsi="微软雅黑" w:eastAsia="微软雅黑" w:cs="微软雅黑"/>
          <w:spacing w:val="-5"/>
          <w:sz w:val="24"/>
          <w:szCs w:val="24"/>
        </w:rPr>
        <w:t>×</w:t>
      </w:r>
      <w:r>
        <w:rPr>
          <w:rFonts w:ascii="微软雅黑" w:hAnsi="微软雅黑" w:eastAsia="微软雅黑" w:cs="微软雅黑"/>
          <w:spacing w:val="-33"/>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5"/>
          <w:position w:val="8"/>
          <w:sz w:val="15"/>
          <w:szCs w:val="15"/>
        </w:rPr>
        <w:t>-4</w:t>
      </w:r>
      <w:r>
        <w:rPr>
          <w:rFonts w:ascii="Times New Roman" w:hAnsi="Times New Roman" w:eastAsia="Times New Roman" w:cs="Times New Roman"/>
          <w:spacing w:val="-5"/>
          <w:sz w:val="24"/>
          <w:szCs w:val="24"/>
        </w:rPr>
        <w:t>g/kg</w:t>
      </w:r>
    </w:p>
    <w:p w14:paraId="69775280">
      <w:pPr>
        <w:spacing w:before="12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）单位质量土壤中砷的预测值</w:t>
      </w:r>
    </w:p>
    <w:p w14:paraId="49E065B9">
      <w:pPr>
        <w:spacing w:before="183" w:line="360" w:lineRule="auto"/>
        <w:ind w:left="24" w:right="1086" w:firstLine="479"/>
        <w:rPr>
          <w:rFonts w:ascii="宋体" w:hAnsi="宋体" w:eastAsia="宋体" w:cs="宋体"/>
          <w:sz w:val="24"/>
          <w:szCs w:val="24"/>
        </w:rPr>
      </w:pPr>
      <w:r>
        <w:rPr>
          <w:rFonts w:ascii="宋体" w:hAnsi="宋体" w:eastAsia="宋体" w:cs="宋体"/>
          <w:spacing w:val="-1"/>
          <w:sz w:val="24"/>
          <w:szCs w:val="24"/>
        </w:rPr>
        <w:t>根据土壤现状监测结果，项目厂区评价范围内表层土壤砷监测值为</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6.87~</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4"/>
          <w:sz w:val="24"/>
          <w:szCs w:val="24"/>
        </w:rPr>
        <w:t>10.6mg/kg</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，平均值为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103mg/kg</w:t>
      </w:r>
      <w:r>
        <w:rPr>
          <w:rFonts w:ascii="宋体" w:hAnsi="宋体" w:eastAsia="宋体" w:cs="宋体"/>
          <w:spacing w:val="-4"/>
          <w:sz w:val="24"/>
          <w:szCs w:val="24"/>
        </w:rPr>
        <w:t>。</w:t>
      </w:r>
    </w:p>
    <w:p w14:paraId="2318A9CB">
      <w:pPr>
        <w:spacing w:line="219" w:lineRule="auto"/>
        <w:ind w:left="507"/>
        <w:rPr>
          <w:rFonts w:ascii="宋体" w:hAnsi="宋体" w:eastAsia="宋体" w:cs="宋体"/>
          <w:sz w:val="24"/>
          <w:szCs w:val="24"/>
        </w:rPr>
      </w:pPr>
      <w:r>
        <w:rPr>
          <w:rFonts w:ascii="宋体" w:hAnsi="宋体" w:eastAsia="宋体" w:cs="宋体"/>
          <w:spacing w:val="-1"/>
          <w:sz w:val="24"/>
          <w:szCs w:val="24"/>
        </w:rPr>
        <w:t>项目投入运营</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年后，厂区单位质量土壤中砷的预测值为：</w:t>
      </w:r>
    </w:p>
    <w:p w14:paraId="6F6EF6DB">
      <w:pPr>
        <w:spacing w:before="137" w:line="323" w:lineRule="exact"/>
        <w:ind w:left="509"/>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S=0.074mg/kg+8.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103mg/kg=8.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w:t>
      </w:r>
      <w:r>
        <w:rPr>
          <w:rFonts w:ascii="Times New Roman" w:hAnsi="Times New Roman" w:eastAsia="Times New Roman" w:cs="Times New Roman"/>
          <w:spacing w:val="-3"/>
          <w:position w:val="4"/>
          <w:sz w:val="24"/>
          <w:szCs w:val="24"/>
        </w:rPr>
        <w:t>77mg/kg</w:t>
      </w:r>
    </w:p>
    <w:p w14:paraId="0F1B3236">
      <w:pPr>
        <w:spacing w:before="191" w:line="219" w:lineRule="auto"/>
        <w:ind w:left="507"/>
        <w:rPr>
          <w:rFonts w:ascii="宋体" w:hAnsi="宋体" w:eastAsia="宋体" w:cs="宋体"/>
          <w:sz w:val="24"/>
          <w:szCs w:val="24"/>
        </w:rPr>
      </w:pPr>
      <w:r>
        <w:rPr>
          <w:rFonts w:ascii="宋体" w:hAnsi="宋体" w:eastAsia="宋体" w:cs="宋体"/>
          <w:spacing w:val="-2"/>
          <w:sz w:val="24"/>
          <w:szCs w:val="24"/>
        </w:rPr>
        <w:t>项目投入运营</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年后，厂区单位质量土壤中砷的预测值为：</w:t>
      </w:r>
    </w:p>
    <w:p w14:paraId="6B9A1ABC">
      <w:pPr>
        <w:spacing w:before="138" w:line="323" w:lineRule="exact"/>
        <w:ind w:left="509"/>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S=0.</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148mg/kg+8.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103mg/kg=8.2</w:t>
      </w:r>
      <w:r>
        <w:rPr>
          <w:rFonts w:ascii="Times New Roman" w:hAnsi="Times New Roman" w:eastAsia="Times New Roman" w:cs="Times New Roman"/>
          <w:spacing w:val="-3"/>
          <w:position w:val="4"/>
          <w:sz w:val="24"/>
          <w:szCs w:val="24"/>
        </w:rPr>
        <w:t>51mg/kg</w:t>
      </w:r>
    </w:p>
    <w:p w14:paraId="36A2B9FC">
      <w:pPr>
        <w:spacing w:before="191" w:line="219" w:lineRule="auto"/>
        <w:ind w:left="507"/>
        <w:rPr>
          <w:rFonts w:ascii="宋体" w:hAnsi="宋体" w:eastAsia="宋体" w:cs="宋体"/>
          <w:sz w:val="24"/>
          <w:szCs w:val="24"/>
        </w:rPr>
      </w:pPr>
      <w:r>
        <w:rPr>
          <w:rFonts w:ascii="宋体" w:hAnsi="宋体" w:eastAsia="宋体" w:cs="宋体"/>
          <w:spacing w:val="-1"/>
          <w:sz w:val="24"/>
          <w:szCs w:val="24"/>
        </w:rPr>
        <w:t>项目投入运营</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年后，厂区单位质量土壤中砷的预测值为：</w:t>
      </w:r>
    </w:p>
    <w:p w14:paraId="1D18C432">
      <w:pPr>
        <w:spacing w:before="137" w:line="323" w:lineRule="exact"/>
        <w:ind w:left="509"/>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S=0.297mg/kg+8.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1"/>
          <w:position w:val="4"/>
          <w:sz w:val="24"/>
          <w:szCs w:val="24"/>
        </w:rPr>
        <w:t>103mg/</w:t>
      </w:r>
      <w:r>
        <w:rPr>
          <w:rFonts w:ascii="Times New Roman" w:hAnsi="Times New Roman" w:eastAsia="Times New Roman" w:cs="Times New Roman"/>
          <w:spacing w:val="-2"/>
          <w:position w:val="4"/>
          <w:sz w:val="24"/>
          <w:szCs w:val="24"/>
        </w:rPr>
        <w:t>kg=8.400mg/kg</w:t>
      </w:r>
    </w:p>
    <w:p w14:paraId="2B2E0690">
      <w:pPr>
        <w:spacing w:line="323" w:lineRule="exact"/>
        <w:rPr>
          <w:rFonts w:ascii="Times New Roman" w:hAnsi="Times New Roman" w:eastAsia="Times New Roman" w:cs="Times New Roman"/>
          <w:sz w:val="24"/>
          <w:szCs w:val="24"/>
        </w:rPr>
        <w:sectPr>
          <w:headerReference r:id="rId369" w:type="default"/>
          <w:footerReference r:id="rId370" w:type="default"/>
          <w:pgSz w:w="11906" w:h="16839"/>
          <w:pgMar w:top="1208" w:right="1579" w:bottom="1358" w:left="1785" w:header="825" w:footer="1195" w:gutter="0"/>
          <w:cols w:space="720" w:num="1"/>
        </w:sectPr>
      </w:pPr>
    </w:p>
    <w:p w14:paraId="07E6E05E">
      <w:pPr>
        <w:pStyle w:val="2"/>
        <w:spacing w:line="265" w:lineRule="auto"/>
      </w:pPr>
    </w:p>
    <w:p w14:paraId="164D4F82">
      <w:pPr>
        <w:spacing w:before="78" w:line="220"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）单位质量土壤中铅的增量</w:t>
      </w:r>
    </w:p>
    <w:p w14:paraId="16CBE037">
      <w:pPr>
        <w:spacing w:before="182" w:line="219" w:lineRule="auto"/>
        <w:ind w:left="594"/>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项目投入运营</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年后，选厂周边单位质量土壤中铅的增量为：</w:t>
      </w:r>
    </w:p>
    <w:p w14:paraId="2D7D200B">
      <w:pPr>
        <w:spacing w:before="147" w:line="222" w:lineRule="auto"/>
        <w:ind w:left="598"/>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ΔS=5</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37682/(1743</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5050000</w:t>
      </w:r>
      <w:r>
        <w:rPr>
          <w:rFonts w:ascii="微软雅黑" w:hAnsi="微软雅黑" w:eastAsia="微软雅黑" w:cs="微软雅黑"/>
          <w:spacing w:val="-7"/>
          <w:sz w:val="24"/>
          <w:szCs w:val="24"/>
        </w:rPr>
        <w:t>×</w:t>
      </w:r>
      <w:r>
        <w:rPr>
          <w:rFonts w:ascii="Times New Roman" w:hAnsi="Times New Roman" w:eastAsia="Times New Roman" w:cs="Times New Roman"/>
          <w:spacing w:val="-7"/>
          <w:sz w:val="24"/>
          <w:szCs w:val="24"/>
        </w:rPr>
        <w:t>0.2)=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1.070</w:t>
      </w:r>
      <w:r>
        <w:rPr>
          <w:rFonts w:ascii="微软雅黑" w:hAnsi="微软雅黑" w:eastAsia="微软雅黑" w:cs="微软雅黑"/>
          <w:spacing w:val="-7"/>
          <w:sz w:val="24"/>
          <w:szCs w:val="24"/>
        </w:rPr>
        <w:t>×</w:t>
      </w:r>
      <w:r>
        <w:rPr>
          <w:rFonts w:ascii="微软雅黑" w:hAnsi="微软雅黑" w:eastAsia="微软雅黑" w:cs="微软雅黑"/>
          <w:spacing w:val="-45"/>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4"/>
          <w:position w:val="7"/>
          <w:sz w:val="15"/>
          <w:szCs w:val="15"/>
        </w:rPr>
        <w:t>-4</w:t>
      </w:r>
      <w:r>
        <w:rPr>
          <w:rFonts w:ascii="Times New Roman" w:hAnsi="Times New Roman" w:eastAsia="Times New Roman" w:cs="Times New Roman"/>
          <w:spacing w:val="4"/>
          <w:sz w:val="24"/>
          <w:szCs w:val="24"/>
        </w:rPr>
        <w:t>g/</w:t>
      </w:r>
      <w:r>
        <w:rPr>
          <w:rFonts w:ascii="Times New Roman" w:hAnsi="Times New Roman" w:eastAsia="Times New Roman" w:cs="Times New Roman"/>
          <w:sz w:val="24"/>
          <w:szCs w:val="24"/>
        </w:rPr>
        <w:t>kg</w:t>
      </w:r>
    </w:p>
    <w:p w14:paraId="41004F58">
      <w:pPr>
        <w:spacing w:before="123" w:line="219" w:lineRule="auto"/>
        <w:ind w:left="596"/>
        <w:rPr>
          <w:rFonts w:ascii="宋体" w:hAnsi="宋体" w:eastAsia="宋体" w:cs="宋体"/>
          <w:sz w:val="24"/>
          <w:szCs w:val="24"/>
        </w:rPr>
      </w:pPr>
      <w:r>
        <w:rPr>
          <w:rFonts w:ascii="Times New Roman" w:hAnsi="Times New Roman" w:eastAsia="Times New Roman" w:cs="Times New Roman"/>
          <w:spacing w:val="-1"/>
          <w:sz w:val="24"/>
          <w:szCs w:val="24"/>
        </w:rPr>
        <w:t>B.</w:t>
      </w:r>
      <w:r>
        <w:rPr>
          <w:rFonts w:ascii="宋体" w:hAnsi="宋体" w:eastAsia="宋体" w:cs="宋体"/>
          <w:spacing w:val="-1"/>
          <w:sz w:val="24"/>
          <w:szCs w:val="24"/>
        </w:rPr>
        <w:t>项目投入运营</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年后，选厂周边单位质量土壤中铅的增量</w:t>
      </w:r>
      <w:r>
        <w:rPr>
          <w:rFonts w:ascii="宋体" w:hAnsi="宋体" w:eastAsia="宋体" w:cs="宋体"/>
          <w:spacing w:val="-2"/>
          <w:sz w:val="24"/>
          <w:szCs w:val="24"/>
        </w:rPr>
        <w:t>为：</w:t>
      </w:r>
    </w:p>
    <w:p w14:paraId="2074CF98">
      <w:pPr>
        <w:spacing w:before="147" w:line="222" w:lineRule="auto"/>
        <w:ind w:left="59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ΔS=</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10</w:t>
      </w:r>
      <w:r>
        <w:rPr>
          <w:rFonts w:ascii="微软雅黑" w:hAnsi="微软雅黑" w:eastAsia="微软雅黑" w:cs="微软雅黑"/>
          <w:spacing w:val="-6"/>
          <w:sz w:val="24"/>
          <w:szCs w:val="24"/>
        </w:rPr>
        <w:t>×</w:t>
      </w:r>
      <w:r>
        <w:rPr>
          <w:rFonts w:ascii="Times New Roman" w:hAnsi="Times New Roman" w:eastAsia="Times New Roman" w:cs="Times New Roman"/>
          <w:spacing w:val="-6"/>
          <w:sz w:val="24"/>
          <w:szCs w:val="24"/>
        </w:rPr>
        <w:t>37682/(1743</w:t>
      </w:r>
      <w:r>
        <w:rPr>
          <w:rFonts w:ascii="微软雅黑" w:hAnsi="微软雅黑" w:eastAsia="微软雅黑" w:cs="微软雅黑"/>
          <w:spacing w:val="-6"/>
          <w:sz w:val="24"/>
          <w:szCs w:val="24"/>
        </w:rPr>
        <w:t>×</w:t>
      </w:r>
      <w:r>
        <w:rPr>
          <w:rFonts w:ascii="Times New Roman" w:hAnsi="Times New Roman" w:eastAsia="Times New Roman" w:cs="Times New Roman"/>
          <w:spacing w:val="-6"/>
          <w:sz w:val="24"/>
          <w:szCs w:val="24"/>
        </w:rPr>
        <w:t>5050000</w:t>
      </w:r>
      <w:r>
        <w:rPr>
          <w:rFonts w:ascii="微软雅黑" w:hAnsi="微软雅黑" w:eastAsia="微软雅黑" w:cs="微软雅黑"/>
          <w:spacing w:val="-6"/>
          <w:sz w:val="24"/>
          <w:szCs w:val="24"/>
        </w:rPr>
        <w:t>×</w:t>
      </w:r>
      <w:r>
        <w:rPr>
          <w:rFonts w:ascii="Times New Roman" w:hAnsi="Times New Roman" w:eastAsia="Times New Roman" w:cs="Times New Roman"/>
          <w:spacing w:val="-6"/>
          <w:sz w:val="24"/>
          <w:szCs w:val="24"/>
        </w:rPr>
        <w:t>0.2)</w:t>
      </w:r>
      <w:r>
        <w:rPr>
          <w:rFonts w:ascii="Times New Roman" w:hAnsi="Times New Roman" w:eastAsia="Times New Roman" w:cs="Times New Roman"/>
          <w:spacing w:val="-7"/>
          <w:sz w:val="24"/>
          <w:szCs w:val="24"/>
        </w:rPr>
        <w:t>= 2.140</w:t>
      </w:r>
      <w:r>
        <w:rPr>
          <w:rFonts w:ascii="微软雅黑" w:hAnsi="微软雅黑" w:eastAsia="微软雅黑" w:cs="微软雅黑"/>
          <w:spacing w:val="-7"/>
          <w:sz w:val="24"/>
          <w:szCs w:val="24"/>
        </w:rPr>
        <w:t>×</w:t>
      </w:r>
      <w:r>
        <w:rPr>
          <w:rFonts w:ascii="微软雅黑" w:hAnsi="微软雅黑" w:eastAsia="微软雅黑" w:cs="微软雅黑"/>
          <w:spacing w:val="-45"/>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1"/>
          <w:position w:val="7"/>
          <w:sz w:val="15"/>
          <w:szCs w:val="15"/>
        </w:rPr>
        <w:t>-4</w:t>
      </w:r>
      <w:r>
        <w:rPr>
          <w:rFonts w:ascii="Times New Roman" w:hAnsi="Times New Roman" w:eastAsia="Times New Roman" w:cs="Times New Roman"/>
          <w:spacing w:val="1"/>
          <w:sz w:val="24"/>
          <w:szCs w:val="24"/>
        </w:rPr>
        <w:t>g/</w:t>
      </w:r>
      <w:r>
        <w:rPr>
          <w:rFonts w:ascii="Times New Roman" w:hAnsi="Times New Roman" w:eastAsia="Times New Roman" w:cs="Times New Roman"/>
          <w:sz w:val="24"/>
          <w:szCs w:val="24"/>
        </w:rPr>
        <w:t>kg</w:t>
      </w:r>
    </w:p>
    <w:p w14:paraId="308D680C">
      <w:pPr>
        <w:spacing w:before="123" w:line="219" w:lineRule="auto"/>
        <w:ind w:left="601"/>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项目投入运营</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年后，选厂周边单位质量土壤中铅的增量为：</w:t>
      </w:r>
    </w:p>
    <w:p w14:paraId="2981DC34">
      <w:pPr>
        <w:spacing w:before="147" w:line="222" w:lineRule="auto"/>
        <w:ind w:left="59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ΔS=20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37682/(1743</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5050000</w:t>
      </w:r>
      <w:r>
        <w:rPr>
          <w:rFonts w:ascii="微软雅黑" w:hAnsi="微软雅黑" w:eastAsia="微软雅黑" w:cs="微软雅黑"/>
          <w:spacing w:val="-5"/>
          <w:sz w:val="24"/>
          <w:szCs w:val="24"/>
        </w:rPr>
        <w:t>×</w:t>
      </w:r>
      <w:r>
        <w:rPr>
          <w:rFonts w:ascii="Times New Roman" w:hAnsi="Times New Roman" w:eastAsia="Times New Roman" w:cs="Times New Roman"/>
          <w:spacing w:val="-5"/>
          <w:sz w:val="24"/>
          <w:szCs w:val="24"/>
        </w:rPr>
        <w:t>0.2)= 4.281</w:t>
      </w:r>
      <w:r>
        <w:rPr>
          <w:rFonts w:ascii="微软雅黑" w:hAnsi="微软雅黑" w:eastAsia="微软雅黑" w:cs="微软雅黑"/>
          <w:spacing w:val="-5"/>
          <w:sz w:val="24"/>
          <w:szCs w:val="24"/>
        </w:rPr>
        <w:t>×</w:t>
      </w:r>
      <w:r>
        <w:rPr>
          <w:rFonts w:ascii="微软雅黑" w:hAnsi="微软雅黑" w:eastAsia="微软雅黑" w:cs="微软雅黑"/>
          <w:spacing w:val="-33"/>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5"/>
          <w:position w:val="7"/>
          <w:sz w:val="15"/>
          <w:szCs w:val="15"/>
        </w:rPr>
        <w:t>-4</w:t>
      </w:r>
      <w:r>
        <w:rPr>
          <w:rFonts w:ascii="Times New Roman" w:hAnsi="Times New Roman" w:eastAsia="Times New Roman" w:cs="Times New Roman"/>
          <w:spacing w:val="-5"/>
          <w:sz w:val="24"/>
          <w:szCs w:val="24"/>
        </w:rPr>
        <w:t>g/kg</w:t>
      </w:r>
    </w:p>
    <w:p w14:paraId="435E10AB">
      <w:pPr>
        <w:spacing w:before="123" w:line="219"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）单位质量土壤中铅的预测值</w:t>
      </w:r>
    </w:p>
    <w:p w14:paraId="3D889B6C">
      <w:pPr>
        <w:spacing w:before="182" w:line="360" w:lineRule="auto"/>
        <w:ind w:left="117" w:right="880" w:firstLine="484"/>
        <w:rPr>
          <w:rFonts w:ascii="宋体" w:hAnsi="宋体" w:eastAsia="宋体" w:cs="宋体"/>
          <w:sz w:val="24"/>
          <w:szCs w:val="24"/>
        </w:rPr>
      </w:pPr>
      <w:r>
        <w:rPr>
          <w:rFonts w:ascii="宋体" w:hAnsi="宋体" w:eastAsia="宋体" w:cs="宋体"/>
          <w:spacing w:val="-1"/>
          <w:sz w:val="24"/>
          <w:szCs w:val="24"/>
        </w:rPr>
        <w:t>根据土壤现状监测结果，项目厂区评价范围内表层土壤铅监测值为</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25~32mg/kg</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，平均值为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28mg/kg</w:t>
      </w:r>
      <w:r>
        <w:rPr>
          <w:rFonts w:ascii="宋体" w:hAnsi="宋体" w:eastAsia="宋体" w:cs="宋体"/>
          <w:spacing w:val="-2"/>
          <w:sz w:val="24"/>
          <w:szCs w:val="24"/>
        </w:rPr>
        <w:t>。</w:t>
      </w:r>
    </w:p>
    <w:p w14:paraId="55320664">
      <w:pPr>
        <w:spacing w:before="1" w:line="219" w:lineRule="auto"/>
        <w:ind w:left="606"/>
        <w:rPr>
          <w:rFonts w:ascii="宋体" w:hAnsi="宋体" w:eastAsia="宋体" w:cs="宋体"/>
          <w:sz w:val="24"/>
          <w:szCs w:val="24"/>
        </w:rPr>
      </w:pPr>
      <w:r>
        <w:rPr>
          <w:rFonts w:ascii="宋体" w:hAnsi="宋体" w:eastAsia="宋体" w:cs="宋体"/>
          <w:spacing w:val="-1"/>
          <w:sz w:val="24"/>
          <w:szCs w:val="24"/>
        </w:rPr>
        <w:t>项目投入运营</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年后，厂区单位质量土壤中铅的预测值为：</w:t>
      </w:r>
    </w:p>
    <w:p w14:paraId="31C0D71C">
      <w:pPr>
        <w:spacing w:before="140" w:line="322" w:lineRule="exact"/>
        <w:ind w:left="607"/>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S=0.</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2"/>
          <w:position w:val="4"/>
          <w:sz w:val="24"/>
          <w:szCs w:val="24"/>
        </w:rPr>
        <w:t>107mg/kg+28mg/kg=</w:t>
      </w:r>
      <w:r>
        <w:rPr>
          <w:rFonts w:ascii="Times New Roman" w:hAnsi="Times New Roman" w:eastAsia="Times New Roman" w:cs="Times New Roman"/>
          <w:spacing w:val="-3"/>
          <w:position w:val="4"/>
          <w:sz w:val="24"/>
          <w:szCs w:val="24"/>
        </w:rPr>
        <w:t>28.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3"/>
          <w:position w:val="4"/>
          <w:sz w:val="24"/>
          <w:szCs w:val="24"/>
        </w:rPr>
        <w:t>107mg/kg</w:t>
      </w:r>
    </w:p>
    <w:p w14:paraId="2F85920E">
      <w:pPr>
        <w:spacing w:before="189" w:line="219" w:lineRule="auto"/>
        <w:ind w:left="606"/>
        <w:rPr>
          <w:rFonts w:ascii="宋体" w:hAnsi="宋体" w:eastAsia="宋体" w:cs="宋体"/>
          <w:sz w:val="24"/>
          <w:szCs w:val="24"/>
        </w:rPr>
      </w:pPr>
      <w:r>
        <w:rPr>
          <w:rFonts w:ascii="宋体" w:hAnsi="宋体" w:eastAsia="宋体" w:cs="宋体"/>
          <w:spacing w:val="-2"/>
          <w:sz w:val="24"/>
          <w:szCs w:val="24"/>
        </w:rPr>
        <w:t>项目投入运营</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年后，厂区单位质量土壤中铅的预测值为：</w:t>
      </w:r>
    </w:p>
    <w:p w14:paraId="74DBD1F9">
      <w:pPr>
        <w:spacing w:before="140" w:line="323" w:lineRule="exact"/>
        <w:ind w:left="607"/>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S=0.214mg/kg+28mg/kg=28.214mg/kg</w:t>
      </w:r>
    </w:p>
    <w:p w14:paraId="511E5831">
      <w:pPr>
        <w:spacing w:before="188" w:line="219" w:lineRule="auto"/>
        <w:ind w:left="606"/>
        <w:rPr>
          <w:rFonts w:ascii="宋体" w:hAnsi="宋体" w:eastAsia="宋体" w:cs="宋体"/>
          <w:sz w:val="24"/>
          <w:szCs w:val="24"/>
        </w:rPr>
      </w:pPr>
      <w:r>
        <w:rPr>
          <w:rFonts w:ascii="宋体" w:hAnsi="宋体" w:eastAsia="宋体" w:cs="宋体"/>
          <w:spacing w:val="-1"/>
          <w:sz w:val="24"/>
          <w:szCs w:val="24"/>
        </w:rPr>
        <w:t>项目投入运营</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年后，厂区单位质量土壤中铅的预测值为：</w:t>
      </w:r>
    </w:p>
    <w:p w14:paraId="0D484EAE">
      <w:pPr>
        <w:spacing w:before="140" w:line="323" w:lineRule="exact"/>
        <w:ind w:left="607"/>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S=0.428mg/kg+8.</w:t>
      </w:r>
      <w:r>
        <w:rPr>
          <w:rFonts w:ascii="Times New Roman" w:hAnsi="Times New Roman" w:eastAsia="Times New Roman" w:cs="Times New Roman"/>
          <w:spacing w:val="-32"/>
          <w:position w:val="4"/>
          <w:sz w:val="24"/>
          <w:szCs w:val="24"/>
        </w:rPr>
        <w:t xml:space="preserve"> </w:t>
      </w:r>
      <w:r>
        <w:rPr>
          <w:rFonts w:ascii="Times New Roman" w:hAnsi="Times New Roman" w:eastAsia="Times New Roman" w:cs="Times New Roman"/>
          <w:spacing w:val="-1"/>
          <w:position w:val="4"/>
          <w:sz w:val="24"/>
          <w:szCs w:val="24"/>
        </w:rPr>
        <w:t>103mg/kg</w:t>
      </w:r>
      <w:r>
        <w:rPr>
          <w:rFonts w:ascii="Times New Roman" w:hAnsi="Times New Roman" w:eastAsia="Times New Roman" w:cs="Times New Roman"/>
          <w:spacing w:val="-2"/>
          <w:position w:val="4"/>
          <w:sz w:val="24"/>
          <w:szCs w:val="24"/>
        </w:rPr>
        <w:t>=28.428mg/kg</w:t>
      </w:r>
    </w:p>
    <w:p w14:paraId="3ACB3992">
      <w:pPr>
        <w:spacing w:before="189" w:line="219" w:lineRule="auto"/>
        <w:ind w:left="603"/>
        <w:rPr>
          <w:rFonts w:ascii="宋体" w:hAnsi="宋体" w:eastAsia="宋体" w:cs="宋体"/>
          <w:sz w:val="24"/>
          <w:szCs w:val="24"/>
        </w:rPr>
      </w:pPr>
      <w:r>
        <w:rPr>
          <w:rFonts w:ascii="宋体" w:hAnsi="宋体" w:eastAsia="宋体" w:cs="宋体"/>
          <w:spacing w:val="-3"/>
          <w:sz w:val="24"/>
          <w:szCs w:val="24"/>
        </w:rPr>
        <w:t>土壤环境影响预测结果见表</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8.8-4</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8.8-5</w:t>
      </w:r>
      <w:r>
        <w:rPr>
          <w:rFonts w:ascii="宋体" w:hAnsi="宋体" w:eastAsia="宋体" w:cs="宋体"/>
          <w:spacing w:val="-3"/>
          <w:sz w:val="24"/>
          <w:szCs w:val="24"/>
        </w:rPr>
        <w:t>。</w:t>
      </w:r>
    </w:p>
    <w:p w14:paraId="497350C3">
      <w:pPr>
        <w:spacing w:before="106" w:line="211" w:lineRule="auto"/>
        <w:ind w:left="159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8.8-4    </w:t>
      </w:r>
      <w:r>
        <w:rPr>
          <w:rFonts w:ascii="宋体" w:hAnsi="宋体" w:eastAsia="宋体" w:cs="宋体"/>
          <w:spacing w:val="-1"/>
          <w:sz w:val="24"/>
          <w:szCs w:val="24"/>
        </w:rPr>
        <w:t>选矿厂区土壤环境影响砷预测结果一览表</w:t>
      </w:r>
    </w:p>
    <w:tbl>
      <w:tblPr>
        <w:tblStyle w:val="5"/>
        <w:tblW w:w="81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358"/>
        <w:gridCol w:w="1358"/>
        <w:gridCol w:w="1358"/>
        <w:gridCol w:w="1358"/>
        <w:gridCol w:w="1363"/>
      </w:tblGrid>
      <w:tr w14:paraId="4322E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1363" w:type="dxa"/>
            <w:vAlign w:val="top"/>
          </w:tcPr>
          <w:p w14:paraId="60461F47">
            <w:pPr>
              <w:pStyle w:val="6"/>
              <w:spacing w:before="255" w:line="227" w:lineRule="auto"/>
              <w:ind w:left="269"/>
            </w:pPr>
            <w:r>
              <w:rPr>
                <w:spacing w:val="6"/>
              </w:rPr>
              <w:t>持续年份</w:t>
            </w:r>
          </w:p>
        </w:tc>
        <w:tc>
          <w:tcPr>
            <w:tcW w:w="1358" w:type="dxa"/>
            <w:vAlign w:val="top"/>
          </w:tcPr>
          <w:p w14:paraId="4710981E">
            <w:pPr>
              <w:pStyle w:val="6"/>
              <w:spacing w:before="99" w:line="298" w:lineRule="auto"/>
              <w:ind w:left="406" w:right="258" w:hanging="145"/>
              <w:rPr>
                <w:rFonts w:ascii="Times New Roman" w:hAnsi="Times New Roman" w:eastAsia="Times New Roman" w:cs="Times New Roman"/>
              </w:rPr>
            </w:pPr>
            <w:r>
              <w:rPr>
                <w:spacing w:val="8"/>
              </w:rPr>
              <w:t>砷现状值</w:t>
            </w:r>
            <w:r>
              <w:t xml:space="preserve"> </w:t>
            </w:r>
            <w:r>
              <w:rPr>
                <w:rFonts w:ascii="Times New Roman" w:hAnsi="Times New Roman" w:eastAsia="Times New Roman" w:cs="Times New Roman"/>
                <w:spacing w:val="4"/>
              </w:rPr>
              <w:t>mg/kg</w:t>
            </w:r>
          </w:p>
        </w:tc>
        <w:tc>
          <w:tcPr>
            <w:tcW w:w="1358" w:type="dxa"/>
            <w:vAlign w:val="top"/>
          </w:tcPr>
          <w:p w14:paraId="566ED85D">
            <w:pPr>
              <w:pStyle w:val="6"/>
              <w:spacing w:before="99" w:line="298" w:lineRule="auto"/>
              <w:ind w:left="409" w:right="258" w:hanging="147"/>
              <w:rPr>
                <w:rFonts w:ascii="Times New Roman" w:hAnsi="Times New Roman" w:eastAsia="Times New Roman" w:cs="Times New Roman"/>
              </w:rPr>
            </w:pPr>
            <w:r>
              <w:rPr>
                <w:spacing w:val="8"/>
              </w:rPr>
              <w:t>砷预测值</w:t>
            </w:r>
            <w:r>
              <w:t xml:space="preserve"> </w:t>
            </w:r>
            <w:r>
              <w:rPr>
                <w:rFonts w:ascii="Times New Roman" w:hAnsi="Times New Roman" w:eastAsia="Times New Roman" w:cs="Times New Roman"/>
                <w:spacing w:val="4"/>
              </w:rPr>
              <w:t>mg/kg</w:t>
            </w:r>
          </w:p>
        </w:tc>
        <w:tc>
          <w:tcPr>
            <w:tcW w:w="1358" w:type="dxa"/>
            <w:vAlign w:val="top"/>
          </w:tcPr>
          <w:p w14:paraId="12B54E20">
            <w:pPr>
              <w:pStyle w:val="6"/>
              <w:spacing w:before="55" w:line="311" w:lineRule="auto"/>
              <w:ind w:left="409" w:right="257" w:hanging="143"/>
              <w:rPr>
                <w:rFonts w:ascii="Times New Roman" w:hAnsi="Times New Roman" w:eastAsia="Times New Roman" w:cs="Times New Roman"/>
              </w:rPr>
            </w:pPr>
            <w:r>
              <w:rPr>
                <w:spacing w:val="7"/>
              </w:rPr>
              <w:t>标准限值</w:t>
            </w:r>
            <w:r>
              <w:t xml:space="preserve"> </w:t>
            </w:r>
            <w:r>
              <w:rPr>
                <w:rFonts w:ascii="Times New Roman" w:hAnsi="Times New Roman" w:eastAsia="Times New Roman" w:cs="Times New Roman"/>
                <w:spacing w:val="4"/>
              </w:rPr>
              <w:t>mg/kg</w:t>
            </w:r>
          </w:p>
        </w:tc>
        <w:tc>
          <w:tcPr>
            <w:tcW w:w="1358" w:type="dxa"/>
            <w:vAlign w:val="top"/>
          </w:tcPr>
          <w:p w14:paraId="1AE667C9">
            <w:pPr>
              <w:pStyle w:val="6"/>
              <w:spacing w:before="99" w:line="298" w:lineRule="auto"/>
              <w:ind w:left="409" w:right="360" w:hanging="39"/>
              <w:rPr>
                <w:rFonts w:ascii="Times New Roman" w:hAnsi="Times New Roman" w:eastAsia="Times New Roman" w:cs="Times New Roman"/>
              </w:rPr>
            </w:pPr>
            <w:r>
              <w:rPr>
                <w:spacing w:val="7"/>
              </w:rPr>
              <w:t>砷增量</w:t>
            </w:r>
            <w:r>
              <w:t xml:space="preserve"> </w:t>
            </w:r>
            <w:r>
              <w:rPr>
                <w:rFonts w:ascii="Times New Roman" w:hAnsi="Times New Roman" w:eastAsia="Times New Roman" w:cs="Times New Roman"/>
                <w:spacing w:val="4"/>
              </w:rPr>
              <w:t>mg/kg</w:t>
            </w:r>
          </w:p>
        </w:tc>
        <w:tc>
          <w:tcPr>
            <w:tcW w:w="1363" w:type="dxa"/>
            <w:vAlign w:val="top"/>
          </w:tcPr>
          <w:p w14:paraId="4B49287B">
            <w:pPr>
              <w:pStyle w:val="6"/>
              <w:spacing w:before="255" w:line="227" w:lineRule="auto"/>
              <w:ind w:left="179"/>
              <w:rPr>
                <w:rFonts w:ascii="Times New Roman" w:hAnsi="Times New Roman" w:eastAsia="Times New Roman" w:cs="Times New Roman"/>
              </w:rPr>
            </w:pPr>
            <w:r>
              <w:rPr>
                <w:spacing w:val="8"/>
              </w:rPr>
              <w:t>砷增加率</w:t>
            </w:r>
            <w:r>
              <w:rPr>
                <w:rFonts w:ascii="Times New Roman" w:hAnsi="Times New Roman" w:eastAsia="Times New Roman" w:cs="Times New Roman"/>
                <w:spacing w:val="8"/>
              </w:rPr>
              <w:t>%</w:t>
            </w:r>
          </w:p>
        </w:tc>
      </w:tr>
      <w:tr w14:paraId="7D9E9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363" w:type="dxa"/>
            <w:vAlign w:val="top"/>
          </w:tcPr>
          <w:p w14:paraId="41E633B2">
            <w:pPr>
              <w:pStyle w:val="6"/>
              <w:spacing w:before="58" w:line="227" w:lineRule="auto"/>
              <w:ind w:left="504"/>
            </w:pPr>
            <w:r>
              <w:rPr>
                <w:rFonts w:ascii="Times New Roman" w:hAnsi="Times New Roman" w:eastAsia="Times New Roman" w:cs="Times New Roman"/>
                <w:spacing w:val="-3"/>
              </w:rPr>
              <w:t>5</w:t>
            </w:r>
            <w:r>
              <w:rPr>
                <w:rFonts w:ascii="Times New Roman" w:hAnsi="Times New Roman" w:eastAsia="Times New Roman" w:cs="Times New Roman"/>
                <w:spacing w:val="12"/>
                <w:w w:val="101"/>
              </w:rPr>
              <w:t xml:space="preserve"> </w:t>
            </w:r>
            <w:r>
              <w:rPr>
                <w:spacing w:val="-3"/>
              </w:rPr>
              <w:t>年</w:t>
            </w:r>
          </w:p>
        </w:tc>
        <w:tc>
          <w:tcPr>
            <w:tcW w:w="1358" w:type="dxa"/>
            <w:vAlign w:val="top"/>
          </w:tcPr>
          <w:p w14:paraId="11DBB9C9">
            <w:pPr>
              <w:spacing w:before="93"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8.103</w:t>
            </w:r>
          </w:p>
        </w:tc>
        <w:tc>
          <w:tcPr>
            <w:tcW w:w="1358" w:type="dxa"/>
            <w:vAlign w:val="top"/>
          </w:tcPr>
          <w:p w14:paraId="20C49B70">
            <w:pPr>
              <w:spacing w:before="9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8.177</w:t>
            </w:r>
          </w:p>
        </w:tc>
        <w:tc>
          <w:tcPr>
            <w:tcW w:w="1358" w:type="dxa"/>
            <w:vAlign w:val="top"/>
          </w:tcPr>
          <w:p w14:paraId="0A79C22C">
            <w:pPr>
              <w:spacing w:before="88"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8" w:type="dxa"/>
            <w:vAlign w:val="top"/>
          </w:tcPr>
          <w:p w14:paraId="36396BC5">
            <w:pPr>
              <w:spacing w:before="93"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0.074</w:t>
            </w:r>
          </w:p>
        </w:tc>
        <w:tc>
          <w:tcPr>
            <w:tcW w:w="1363" w:type="dxa"/>
            <w:vAlign w:val="top"/>
          </w:tcPr>
          <w:p w14:paraId="4017232C">
            <w:pPr>
              <w:spacing w:before="93"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r>
      <w:tr w14:paraId="1F34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54A51856">
            <w:pPr>
              <w:pStyle w:val="6"/>
              <w:spacing w:before="54" w:line="227" w:lineRule="auto"/>
              <w:ind w:left="468"/>
            </w:pPr>
            <w:r>
              <w:rPr>
                <w:rFonts w:ascii="Times New Roman" w:hAnsi="Times New Roman" w:eastAsia="Times New Roman" w:cs="Times New Roman"/>
                <w:spacing w:val="-5"/>
              </w:rPr>
              <w:t>10</w:t>
            </w:r>
            <w:r>
              <w:rPr>
                <w:rFonts w:ascii="Times New Roman" w:hAnsi="Times New Roman" w:eastAsia="Times New Roman" w:cs="Times New Roman"/>
                <w:spacing w:val="10"/>
              </w:rPr>
              <w:t xml:space="preserve"> </w:t>
            </w:r>
            <w:r>
              <w:rPr>
                <w:spacing w:val="-5"/>
              </w:rPr>
              <w:t>年</w:t>
            </w:r>
          </w:p>
        </w:tc>
        <w:tc>
          <w:tcPr>
            <w:tcW w:w="1358" w:type="dxa"/>
            <w:vAlign w:val="top"/>
          </w:tcPr>
          <w:p w14:paraId="1DAFB10C">
            <w:pPr>
              <w:spacing w:before="89"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8.103</w:t>
            </w:r>
          </w:p>
        </w:tc>
        <w:tc>
          <w:tcPr>
            <w:tcW w:w="1358" w:type="dxa"/>
            <w:vAlign w:val="top"/>
          </w:tcPr>
          <w:p w14:paraId="69C6375D">
            <w:pPr>
              <w:spacing w:before="89"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8.251</w:t>
            </w:r>
          </w:p>
        </w:tc>
        <w:tc>
          <w:tcPr>
            <w:tcW w:w="1358" w:type="dxa"/>
            <w:vAlign w:val="top"/>
          </w:tcPr>
          <w:p w14:paraId="72FDD29A">
            <w:pPr>
              <w:spacing w:before="89"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8" w:type="dxa"/>
            <w:vAlign w:val="top"/>
          </w:tcPr>
          <w:p w14:paraId="50E6EC67">
            <w:pPr>
              <w:spacing w:before="89"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0.148</w:t>
            </w:r>
          </w:p>
        </w:tc>
        <w:tc>
          <w:tcPr>
            <w:tcW w:w="1363" w:type="dxa"/>
            <w:vAlign w:val="top"/>
          </w:tcPr>
          <w:p w14:paraId="4B49FDDD">
            <w:pPr>
              <w:spacing w:before="89"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0.018</w:t>
            </w:r>
          </w:p>
        </w:tc>
      </w:tr>
      <w:tr w14:paraId="6BDC3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363" w:type="dxa"/>
            <w:vAlign w:val="top"/>
          </w:tcPr>
          <w:p w14:paraId="2B93EDEA">
            <w:pPr>
              <w:pStyle w:val="6"/>
              <w:spacing w:before="59" w:line="227" w:lineRule="auto"/>
              <w:ind w:left="448"/>
            </w:pPr>
            <w:r>
              <w:rPr>
                <w:rFonts w:ascii="Times New Roman" w:hAnsi="Times New Roman" w:eastAsia="Times New Roman" w:cs="Times New Roman"/>
                <w:spacing w:val="1"/>
              </w:rPr>
              <w:t>20</w:t>
            </w:r>
            <w:r>
              <w:rPr>
                <w:rFonts w:ascii="Times New Roman" w:hAnsi="Times New Roman" w:eastAsia="Times New Roman" w:cs="Times New Roman"/>
                <w:spacing w:val="12"/>
              </w:rPr>
              <w:t xml:space="preserve"> </w:t>
            </w:r>
            <w:r>
              <w:rPr>
                <w:spacing w:val="1"/>
              </w:rPr>
              <w:t>年</w:t>
            </w:r>
          </w:p>
        </w:tc>
        <w:tc>
          <w:tcPr>
            <w:tcW w:w="1358" w:type="dxa"/>
            <w:vAlign w:val="top"/>
          </w:tcPr>
          <w:p w14:paraId="641598F0">
            <w:pPr>
              <w:spacing w:before="90"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8.103</w:t>
            </w:r>
          </w:p>
        </w:tc>
        <w:tc>
          <w:tcPr>
            <w:tcW w:w="1358" w:type="dxa"/>
            <w:vAlign w:val="top"/>
          </w:tcPr>
          <w:p w14:paraId="2A3516C7">
            <w:pPr>
              <w:spacing w:before="95"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8.400</w:t>
            </w:r>
          </w:p>
        </w:tc>
        <w:tc>
          <w:tcPr>
            <w:tcW w:w="1358" w:type="dxa"/>
            <w:vAlign w:val="top"/>
          </w:tcPr>
          <w:p w14:paraId="5282B51C">
            <w:pPr>
              <w:spacing w:before="90" w:line="195"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358" w:type="dxa"/>
            <w:vAlign w:val="top"/>
          </w:tcPr>
          <w:p w14:paraId="1890824B">
            <w:pPr>
              <w:spacing w:before="9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0.297</w:t>
            </w:r>
          </w:p>
        </w:tc>
        <w:tc>
          <w:tcPr>
            <w:tcW w:w="1363" w:type="dxa"/>
            <w:vAlign w:val="top"/>
          </w:tcPr>
          <w:p w14:paraId="6C4C3393">
            <w:pPr>
              <w:spacing w:before="9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0.035</w:t>
            </w:r>
          </w:p>
        </w:tc>
      </w:tr>
    </w:tbl>
    <w:p w14:paraId="5D695C59">
      <w:pPr>
        <w:pStyle w:val="2"/>
        <w:spacing w:line="14" w:lineRule="auto"/>
        <w:rPr>
          <w:sz w:val="2"/>
        </w:rPr>
      </w:pPr>
    </w:p>
    <w:p w14:paraId="5FFC6A5C">
      <w:pPr>
        <w:spacing w:line="14" w:lineRule="auto"/>
        <w:rPr>
          <w:sz w:val="2"/>
          <w:szCs w:val="2"/>
        </w:rPr>
        <w:sectPr>
          <w:headerReference r:id="rId371" w:type="default"/>
          <w:footerReference r:id="rId372" w:type="default"/>
          <w:pgSz w:w="11906" w:h="16839"/>
          <w:pgMar w:top="1208" w:right="1785" w:bottom="1358" w:left="1687" w:header="825" w:footer="1195" w:gutter="0"/>
          <w:cols w:equalWidth="0" w:num="1">
            <w:col w:w="8433"/>
          </w:cols>
        </w:sectPr>
      </w:pPr>
    </w:p>
    <w:p w14:paraId="74DC587F">
      <w:pPr>
        <w:spacing w:before="37" w:line="212" w:lineRule="auto"/>
        <w:ind w:left="1594"/>
        <w:rPr>
          <w:rFonts w:ascii="Times New Roman" w:hAnsi="Times New Roman" w:eastAsia="Times New Roman" w:cs="Times New Roman"/>
          <w:sz w:val="24"/>
          <w:szCs w:val="24"/>
        </w:rPr>
      </w:pPr>
      <w:r>
        <w:rPr>
          <w:rFonts w:ascii="宋体" w:hAnsi="宋体" w:eastAsia="宋体" w:cs="宋体"/>
          <w:spacing w:val="-4"/>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8.8-5</w:t>
      </w:r>
    </w:p>
    <w:p w14:paraId="7DD009CE">
      <w:pPr>
        <w:pStyle w:val="2"/>
        <w:spacing w:line="14" w:lineRule="auto"/>
        <w:rPr>
          <w:sz w:val="2"/>
        </w:rPr>
      </w:pPr>
      <w:r>
        <w:rPr>
          <w:sz w:val="2"/>
          <w:szCs w:val="2"/>
        </w:rPr>
        <w:br w:type="column"/>
      </w:r>
    </w:p>
    <w:p w14:paraId="34A81D4A">
      <w:pPr>
        <w:spacing w:before="36" w:line="212" w:lineRule="auto"/>
        <w:rPr>
          <w:rFonts w:ascii="宋体" w:hAnsi="宋体" w:eastAsia="宋体" w:cs="宋体"/>
          <w:sz w:val="24"/>
          <w:szCs w:val="24"/>
        </w:rPr>
      </w:pPr>
      <w:r>
        <w:rPr>
          <w:rFonts w:ascii="宋体" w:hAnsi="宋体" w:eastAsia="宋体" w:cs="宋体"/>
          <w:spacing w:val="-1"/>
          <w:sz w:val="24"/>
          <w:szCs w:val="24"/>
        </w:rPr>
        <w:t>选矿厂区土壤环境影响铅预测结果一览表</w:t>
      </w:r>
    </w:p>
    <w:p w14:paraId="4C6D60B2">
      <w:pPr>
        <w:spacing w:line="212" w:lineRule="auto"/>
        <w:rPr>
          <w:rFonts w:ascii="宋体" w:hAnsi="宋体" w:eastAsia="宋体" w:cs="宋体"/>
          <w:sz w:val="24"/>
          <w:szCs w:val="24"/>
        </w:rPr>
        <w:sectPr>
          <w:type w:val="continuous"/>
          <w:pgSz w:w="11906" w:h="16839"/>
          <w:pgMar w:top="1208" w:right="1785" w:bottom="1358" w:left="1687" w:header="825" w:footer="1195" w:gutter="0"/>
          <w:cols w:equalWidth="0" w:num="2">
            <w:col w:w="2534" w:space="100"/>
            <w:col w:w="5799"/>
          </w:cols>
        </w:sectPr>
      </w:pPr>
    </w:p>
    <w:tbl>
      <w:tblPr>
        <w:tblStyle w:val="5"/>
        <w:tblW w:w="81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1358"/>
        <w:gridCol w:w="1358"/>
        <w:gridCol w:w="1358"/>
        <w:gridCol w:w="1358"/>
        <w:gridCol w:w="1363"/>
      </w:tblGrid>
      <w:tr w14:paraId="64F43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1363" w:type="dxa"/>
            <w:vAlign w:val="top"/>
          </w:tcPr>
          <w:p w14:paraId="2C93E3E4">
            <w:pPr>
              <w:pStyle w:val="6"/>
              <w:spacing w:before="254" w:line="228" w:lineRule="auto"/>
              <w:ind w:left="269"/>
            </w:pPr>
            <w:r>
              <w:rPr>
                <w:spacing w:val="6"/>
              </w:rPr>
              <w:t>持续年份</w:t>
            </w:r>
          </w:p>
        </w:tc>
        <w:tc>
          <w:tcPr>
            <w:tcW w:w="1358" w:type="dxa"/>
            <w:vAlign w:val="top"/>
          </w:tcPr>
          <w:p w14:paraId="5B70030F">
            <w:pPr>
              <w:pStyle w:val="6"/>
              <w:spacing w:before="99" w:line="298" w:lineRule="auto"/>
              <w:ind w:left="406" w:right="258" w:hanging="144"/>
              <w:rPr>
                <w:rFonts w:ascii="Times New Roman" w:hAnsi="Times New Roman" w:eastAsia="Times New Roman" w:cs="Times New Roman"/>
              </w:rPr>
            </w:pPr>
            <w:r>
              <w:rPr>
                <w:spacing w:val="8"/>
              </w:rPr>
              <w:t>铅现状值</w:t>
            </w:r>
            <w:r>
              <w:t xml:space="preserve"> </w:t>
            </w:r>
            <w:r>
              <w:rPr>
                <w:rFonts w:ascii="Times New Roman" w:hAnsi="Times New Roman" w:eastAsia="Times New Roman" w:cs="Times New Roman"/>
                <w:spacing w:val="4"/>
              </w:rPr>
              <w:t>mg/kg</w:t>
            </w:r>
          </w:p>
        </w:tc>
        <w:tc>
          <w:tcPr>
            <w:tcW w:w="1358" w:type="dxa"/>
            <w:vAlign w:val="top"/>
          </w:tcPr>
          <w:p w14:paraId="39811002">
            <w:pPr>
              <w:pStyle w:val="6"/>
              <w:spacing w:before="99" w:line="298" w:lineRule="auto"/>
              <w:ind w:left="409" w:right="258" w:hanging="147"/>
              <w:rPr>
                <w:rFonts w:ascii="Times New Roman" w:hAnsi="Times New Roman" w:eastAsia="Times New Roman" w:cs="Times New Roman"/>
              </w:rPr>
            </w:pPr>
            <w:r>
              <w:rPr>
                <w:spacing w:val="8"/>
              </w:rPr>
              <w:t>铅预测值</w:t>
            </w:r>
            <w:r>
              <w:t xml:space="preserve"> </w:t>
            </w:r>
            <w:r>
              <w:rPr>
                <w:rFonts w:ascii="Times New Roman" w:hAnsi="Times New Roman" w:eastAsia="Times New Roman" w:cs="Times New Roman"/>
                <w:spacing w:val="4"/>
              </w:rPr>
              <w:t>mg/kg</w:t>
            </w:r>
          </w:p>
        </w:tc>
        <w:tc>
          <w:tcPr>
            <w:tcW w:w="1358" w:type="dxa"/>
            <w:vAlign w:val="top"/>
          </w:tcPr>
          <w:p w14:paraId="38E88268">
            <w:pPr>
              <w:pStyle w:val="6"/>
              <w:spacing w:before="55" w:line="311" w:lineRule="auto"/>
              <w:ind w:left="409" w:right="257" w:hanging="143"/>
              <w:rPr>
                <w:rFonts w:ascii="Times New Roman" w:hAnsi="Times New Roman" w:eastAsia="Times New Roman" w:cs="Times New Roman"/>
              </w:rPr>
            </w:pPr>
            <w:r>
              <w:rPr>
                <w:spacing w:val="7"/>
              </w:rPr>
              <w:t>标准限值</w:t>
            </w:r>
            <w:r>
              <w:t xml:space="preserve"> </w:t>
            </w:r>
            <w:r>
              <w:rPr>
                <w:rFonts w:ascii="Times New Roman" w:hAnsi="Times New Roman" w:eastAsia="Times New Roman" w:cs="Times New Roman"/>
                <w:spacing w:val="4"/>
              </w:rPr>
              <w:t>mg/kg</w:t>
            </w:r>
          </w:p>
        </w:tc>
        <w:tc>
          <w:tcPr>
            <w:tcW w:w="1358" w:type="dxa"/>
            <w:vAlign w:val="top"/>
          </w:tcPr>
          <w:p w14:paraId="67552FE0">
            <w:pPr>
              <w:pStyle w:val="6"/>
              <w:spacing w:before="99" w:line="298" w:lineRule="auto"/>
              <w:ind w:left="410" w:right="360" w:hanging="39"/>
              <w:rPr>
                <w:rFonts w:ascii="Times New Roman" w:hAnsi="Times New Roman" w:eastAsia="Times New Roman" w:cs="Times New Roman"/>
              </w:rPr>
            </w:pPr>
            <w:r>
              <w:rPr>
                <w:spacing w:val="6"/>
              </w:rPr>
              <w:t>铅增量</w:t>
            </w:r>
            <w:r>
              <w:rPr>
                <w:spacing w:val="1"/>
              </w:rPr>
              <w:t xml:space="preserve"> </w:t>
            </w:r>
            <w:r>
              <w:rPr>
                <w:rFonts w:ascii="Times New Roman" w:hAnsi="Times New Roman" w:eastAsia="Times New Roman" w:cs="Times New Roman"/>
                <w:spacing w:val="4"/>
              </w:rPr>
              <w:t>mg/kg</w:t>
            </w:r>
          </w:p>
        </w:tc>
        <w:tc>
          <w:tcPr>
            <w:tcW w:w="1363" w:type="dxa"/>
            <w:vAlign w:val="top"/>
          </w:tcPr>
          <w:p w14:paraId="6B1F9FD7">
            <w:pPr>
              <w:pStyle w:val="6"/>
              <w:spacing w:before="254" w:line="228" w:lineRule="auto"/>
              <w:ind w:left="180"/>
              <w:rPr>
                <w:rFonts w:ascii="Times New Roman" w:hAnsi="Times New Roman" w:eastAsia="Times New Roman" w:cs="Times New Roman"/>
              </w:rPr>
            </w:pPr>
            <w:r>
              <w:rPr>
                <w:spacing w:val="7"/>
              </w:rPr>
              <w:t>铅增加率</w:t>
            </w:r>
            <w:r>
              <w:rPr>
                <w:rFonts w:ascii="Times New Roman" w:hAnsi="Times New Roman" w:eastAsia="Times New Roman" w:cs="Times New Roman"/>
                <w:spacing w:val="7"/>
              </w:rPr>
              <w:t>%</w:t>
            </w:r>
          </w:p>
        </w:tc>
      </w:tr>
      <w:tr w14:paraId="55D8A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363" w:type="dxa"/>
            <w:vAlign w:val="top"/>
          </w:tcPr>
          <w:p w14:paraId="582A2299">
            <w:pPr>
              <w:pStyle w:val="6"/>
              <w:spacing w:before="59" w:line="228" w:lineRule="auto"/>
              <w:ind w:left="504"/>
            </w:pPr>
            <w:r>
              <w:rPr>
                <w:rFonts w:ascii="Times New Roman" w:hAnsi="Times New Roman" w:eastAsia="Times New Roman" w:cs="Times New Roman"/>
                <w:spacing w:val="-3"/>
              </w:rPr>
              <w:t>5</w:t>
            </w:r>
            <w:r>
              <w:rPr>
                <w:rFonts w:ascii="Times New Roman" w:hAnsi="Times New Roman" w:eastAsia="Times New Roman" w:cs="Times New Roman"/>
                <w:spacing w:val="12"/>
                <w:w w:val="101"/>
              </w:rPr>
              <w:t xml:space="preserve"> </w:t>
            </w:r>
            <w:r>
              <w:rPr>
                <w:spacing w:val="-3"/>
              </w:rPr>
              <w:t>年</w:t>
            </w:r>
          </w:p>
        </w:tc>
        <w:tc>
          <w:tcPr>
            <w:tcW w:w="1358" w:type="dxa"/>
            <w:vAlign w:val="top"/>
          </w:tcPr>
          <w:p w14:paraId="06DC863D">
            <w:pPr>
              <w:spacing w:before="95"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8" w:type="dxa"/>
            <w:vAlign w:val="top"/>
          </w:tcPr>
          <w:p w14:paraId="19995C9B">
            <w:pPr>
              <w:spacing w:before="9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28.107</w:t>
            </w:r>
          </w:p>
        </w:tc>
        <w:tc>
          <w:tcPr>
            <w:tcW w:w="1358" w:type="dxa"/>
            <w:vAlign w:val="top"/>
          </w:tcPr>
          <w:p w14:paraId="14106839">
            <w:pPr>
              <w:spacing w:before="91"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358" w:type="dxa"/>
            <w:vAlign w:val="top"/>
          </w:tcPr>
          <w:p w14:paraId="61330BD4">
            <w:pPr>
              <w:spacing w:before="9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0.107</w:t>
            </w:r>
          </w:p>
        </w:tc>
        <w:tc>
          <w:tcPr>
            <w:tcW w:w="1363" w:type="dxa"/>
            <w:vAlign w:val="top"/>
          </w:tcPr>
          <w:p w14:paraId="06E34494">
            <w:pPr>
              <w:spacing w:before="95"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0.004</w:t>
            </w:r>
          </w:p>
        </w:tc>
      </w:tr>
      <w:tr w14:paraId="45C7F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3" w:type="dxa"/>
            <w:vAlign w:val="top"/>
          </w:tcPr>
          <w:p w14:paraId="7A127CA7">
            <w:pPr>
              <w:pStyle w:val="6"/>
              <w:spacing w:before="54" w:line="228" w:lineRule="auto"/>
              <w:ind w:left="468"/>
            </w:pPr>
            <w:r>
              <w:rPr>
                <w:rFonts w:ascii="Times New Roman" w:hAnsi="Times New Roman" w:eastAsia="Times New Roman" w:cs="Times New Roman"/>
                <w:spacing w:val="-5"/>
              </w:rPr>
              <w:t>10</w:t>
            </w:r>
            <w:r>
              <w:rPr>
                <w:rFonts w:ascii="Times New Roman" w:hAnsi="Times New Roman" w:eastAsia="Times New Roman" w:cs="Times New Roman"/>
                <w:spacing w:val="10"/>
              </w:rPr>
              <w:t xml:space="preserve"> </w:t>
            </w:r>
            <w:r>
              <w:rPr>
                <w:spacing w:val="-5"/>
              </w:rPr>
              <w:t>年</w:t>
            </w:r>
          </w:p>
        </w:tc>
        <w:tc>
          <w:tcPr>
            <w:tcW w:w="1358" w:type="dxa"/>
            <w:vAlign w:val="top"/>
          </w:tcPr>
          <w:p w14:paraId="4AC23B05">
            <w:pPr>
              <w:spacing w:before="90"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8" w:type="dxa"/>
            <w:vAlign w:val="top"/>
          </w:tcPr>
          <w:p w14:paraId="67328896">
            <w:pPr>
              <w:spacing w:before="90"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28.214</w:t>
            </w:r>
          </w:p>
        </w:tc>
        <w:tc>
          <w:tcPr>
            <w:tcW w:w="1358" w:type="dxa"/>
            <w:vAlign w:val="top"/>
          </w:tcPr>
          <w:p w14:paraId="7076BCFD">
            <w:pPr>
              <w:spacing w:before="90"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358" w:type="dxa"/>
            <w:vAlign w:val="top"/>
          </w:tcPr>
          <w:p w14:paraId="1B84A97E">
            <w:pPr>
              <w:spacing w:before="90"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0.214</w:t>
            </w:r>
          </w:p>
        </w:tc>
        <w:tc>
          <w:tcPr>
            <w:tcW w:w="1363" w:type="dxa"/>
            <w:vAlign w:val="top"/>
          </w:tcPr>
          <w:p w14:paraId="7AF077FF">
            <w:pPr>
              <w:spacing w:before="90"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w:t>
            </w:r>
          </w:p>
        </w:tc>
      </w:tr>
      <w:tr w14:paraId="5CE8B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363" w:type="dxa"/>
            <w:vAlign w:val="top"/>
          </w:tcPr>
          <w:p w14:paraId="7EEE5F41">
            <w:pPr>
              <w:pStyle w:val="6"/>
              <w:spacing w:before="61" w:line="228" w:lineRule="auto"/>
              <w:ind w:left="448"/>
            </w:pPr>
            <w:r>
              <w:rPr>
                <w:rFonts w:ascii="Times New Roman" w:hAnsi="Times New Roman" w:eastAsia="Times New Roman" w:cs="Times New Roman"/>
                <w:spacing w:val="1"/>
              </w:rPr>
              <w:t>20</w:t>
            </w:r>
            <w:r>
              <w:rPr>
                <w:rFonts w:ascii="Times New Roman" w:hAnsi="Times New Roman" w:eastAsia="Times New Roman" w:cs="Times New Roman"/>
                <w:spacing w:val="12"/>
              </w:rPr>
              <w:t xml:space="preserve"> </w:t>
            </w:r>
            <w:r>
              <w:rPr>
                <w:spacing w:val="1"/>
              </w:rPr>
              <w:t>年</w:t>
            </w:r>
          </w:p>
        </w:tc>
        <w:tc>
          <w:tcPr>
            <w:tcW w:w="1358" w:type="dxa"/>
            <w:vAlign w:val="top"/>
          </w:tcPr>
          <w:p w14:paraId="1E772D70">
            <w:pPr>
              <w:spacing w:before="93"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358" w:type="dxa"/>
            <w:vAlign w:val="top"/>
          </w:tcPr>
          <w:p w14:paraId="00DE6969">
            <w:pPr>
              <w:spacing w:before="9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28.428</w:t>
            </w:r>
          </w:p>
        </w:tc>
        <w:tc>
          <w:tcPr>
            <w:tcW w:w="1358" w:type="dxa"/>
            <w:vAlign w:val="top"/>
          </w:tcPr>
          <w:p w14:paraId="0E569B12">
            <w:pPr>
              <w:spacing w:before="93"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358" w:type="dxa"/>
            <w:vAlign w:val="top"/>
          </w:tcPr>
          <w:p w14:paraId="3323B7D1">
            <w:pPr>
              <w:spacing w:before="98"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0.428</w:t>
            </w:r>
          </w:p>
        </w:tc>
        <w:tc>
          <w:tcPr>
            <w:tcW w:w="1363" w:type="dxa"/>
            <w:vAlign w:val="top"/>
          </w:tcPr>
          <w:p w14:paraId="02C250E8">
            <w:pPr>
              <w:spacing w:before="98"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r>
    </w:tbl>
    <w:p w14:paraId="4F935C92">
      <w:pPr>
        <w:spacing w:before="115" w:line="221" w:lineRule="auto"/>
        <w:ind w:left="607"/>
        <w:outlineLvl w:val="3"/>
        <w:rPr>
          <w:rFonts w:ascii="宋体" w:hAnsi="宋体" w:eastAsia="宋体" w:cs="宋体"/>
          <w:sz w:val="24"/>
          <w:szCs w:val="24"/>
        </w:rPr>
      </w:pPr>
      <w:r>
        <w:rPr>
          <w:rFonts w:ascii="Times New Roman" w:hAnsi="Times New Roman" w:eastAsia="Times New Roman" w:cs="Times New Roman"/>
          <w:spacing w:val="-4"/>
          <w:sz w:val="24"/>
          <w:szCs w:val="24"/>
        </w:rPr>
        <w:t>8.8.4.7</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小结</w:t>
      </w:r>
    </w:p>
    <w:p w14:paraId="4DB71F46">
      <w:pPr>
        <w:spacing w:before="183" w:line="305" w:lineRule="auto"/>
        <w:ind w:left="122" w:right="13" w:firstLine="480"/>
        <w:jc w:val="both"/>
        <w:rPr>
          <w:rFonts w:ascii="宋体" w:hAnsi="宋体" w:eastAsia="宋体" w:cs="宋体"/>
          <w:sz w:val="24"/>
          <w:szCs w:val="24"/>
        </w:rPr>
      </w:pPr>
      <w:r>
        <w:rPr>
          <w:rFonts w:ascii="宋体" w:hAnsi="宋体" w:eastAsia="宋体" w:cs="宋体"/>
          <w:sz w:val="24"/>
          <w:szCs w:val="24"/>
        </w:rPr>
        <w:t>根据预测结果，项目投入运营</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5 </w:t>
      </w:r>
      <w:r>
        <w:rPr>
          <w:rFonts w:ascii="宋体" w:hAnsi="宋体" w:eastAsia="宋体" w:cs="宋体"/>
          <w:sz w:val="24"/>
          <w:szCs w:val="24"/>
        </w:rPr>
        <w:t>年后，单位土壤中砷增加率为</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0.009</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，砷</w:t>
      </w:r>
      <w:r>
        <w:rPr>
          <w:rFonts w:ascii="宋体" w:hAnsi="宋体" w:eastAsia="宋体" w:cs="宋体"/>
          <w:sz w:val="24"/>
          <w:szCs w:val="24"/>
        </w:rPr>
        <w:t xml:space="preserve"> </w:t>
      </w:r>
      <w:r>
        <w:rPr>
          <w:rFonts w:ascii="宋体" w:hAnsi="宋体" w:eastAsia="宋体" w:cs="宋体"/>
          <w:spacing w:val="-4"/>
          <w:sz w:val="24"/>
          <w:szCs w:val="24"/>
        </w:rPr>
        <w:t>预测值为</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177mg/kg</w:t>
      </w:r>
      <w:r>
        <w:rPr>
          <w:rFonts w:ascii="宋体" w:hAnsi="宋体" w:eastAsia="宋体" w:cs="宋体"/>
          <w:spacing w:val="-4"/>
          <w:sz w:val="24"/>
          <w:szCs w:val="24"/>
        </w:rPr>
        <w:t>，铅增加率为</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0.004%</w:t>
      </w:r>
      <w:r>
        <w:rPr>
          <w:rFonts w:ascii="宋体" w:hAnsi="宋体" w:eastAsia="宋体" w:cs="宋体"/>
          <w:spacing w:val="-4"/>
          <w:sz w:val="24"/>
          <w:szCs w:val="24"/>
        </w:rPr>
        <w:t>，铅预测值为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107mg/kg</w:t>
      </w:r>
      <w:r>
        <w:rPr>
          <w:rFonts w:ascii="宋体" w:hAnsi="宋体" w:eastAsia="宋体" w:cs="宋体"/>
          <w:spacing w:val="-4"/>
          <w:sz w:val="24"/>
          <w:szCs w:val="24"/>
        </w:rPr>
        <w:t>；项目投入</w:t>
      </w:r>
      <w:r>
        <w:rPr>
          <w:rFonts w:ascii="宋体" w:hAnsi="宋体" w:eastAsia="宋体" w:cs="宋体"/>
          <w:sz w:val="24"/>
          <w:szCs w:val="24"/>
        </w:rPr>
        <w:t xml:space="preserve"> </w:t>
      </w:r>
      <w:r>
        <w:rPr>
          <w:rFonts w:ascii="宋体" w:hAnsi="宋体" w:eastAsia="宋体" w:cs="宋体"/>
          <w:spacing w:val="-3"/>
          <w:sz w:val="24"/>
          <w:szCs w:val="24"/>
        </w:rPr>
        <w:t>运营</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年后，单位土壤中砷增加率为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0.018%</w:t>
      </w:r>
      <w:r>
        <w:rPr>
          <w:rFonts w:ascii="宋体" w:hAnsi="宋体" w:eastAsia="宋体" w:cs="宋体"/>
          <w:spacing w:val="-3"/>
          <w:sz w:val="24"/>
          <w:szCs w:val="24"/>
        </w:rPr>
        <w:t>，砷预测值为</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8.251mg/kg</w:t>
      </w:r>
      <w:r>
        <w:rPr>
          <w:rFonts w:ascii="宋体" w:hAnsi="宋体" w:eastAsia="宋体" w:cs="宋体"/>
          <w:spacing w:val="-3"/>
          <w:sz w:val="24"/>
          <w:szCs w:val="24"/>
        </w:rPr>
        <w:t>，铅增加</w:t>
      </w:r>
    </w:p>
    <w:p w14:paraId="04CB2B72">
      <w:pPr>
        <w:spacing w:line="305" w:lineRule="auto"/>
        <w:rPr>
          <w:rFonts w:ascii="宋体" w:hAnsi="宋体" w:eastAsia="宋体" w:cs="宋体"/>
          <w:sz w:val="24"/>
          <w:szCs w:val="24"/>
        </w:rPr>
        <w:sectPr>
          <w:type w:val="continuous"/>
          <w:pgSz w:w="11906" w:h="16839"/>
          <w:pgMar w:top="1208" w:right="1785" w:bottom="1358" w:left="1687" w:header="825" w:footer="1195" w:gutter="0"/>
          <w:cols w:equalWidth="0" w:num="1">
            <w:col w:w="8433"/>
          </w:cols>
        </w:sectPr>
      </w:pPr>
    </w:p>
    <w:p w14:paraId="2550093D">
      <w:pPr>
        <w:pStyle w:val="2"/>
        <w:spacing w:line="263" w:lineRule="auto"/>
      </w:pPr>
    </w:p>
    <w:p w14:paraId="7FE72CC4">
      <w:pPr>
        <w:spacing w:before="78" w:line="356" w:lineRule="auto"/>
        <w:ind w:left="19" w:right="13" w:firstLine="6"/>
        <w:jc w:val="both"/>
        <w:rPr>
          <w:rFonts w:ascii="宋体" w:hAnsi="宋体" w:eastAsia="宋体" w:cs="宋体"/>
          <w:sz w:val="24"/>
          <w:szCs w:val="24"/>
        </w:rPr>
      </w:pPr>
      <w:r>
        <w:rPr>
          <w:rFonts w:ascii="宋体" w:hAnsi="宋体" w:eastAsia="宋体" w:cs="宋体"/>
          <w:sz w:val="24"/>
          <w:szCs w:val="24"/>
        </w:rPr>
        <w:t>率为</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0.008%</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，铅预测值为</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28.214mg/kg</w:t>
      </w:r>
      <w:r>
        <w:rPr>
          <w:rFonts w:ascii="宋体" w:hAnsi="宋体" w:eastAsia="宋体" w:cs="宋体"/>
          <w:sz w:val="24"/>
          <w:szCs w:val="24"/>
        </w:rPr>
        <w:t>；项目</w:t>
      </w:r>
      <w:r>
        <w:rPr>
          <w:rFonts w:ascii="宋体" w:hAnsi="宋体" w:eastAsia="宋体" w:cs="宋体"/>
          <w:spacing w:val="-1"/>
          <w:sz w:val="24"/>
          <w:szCs w:val="24"/>
        </w:rPr>
        <w:t>投入运营</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年后，单位土壤中砷</w:t>
      </w:r>
      <w:r>
        <w:rPr>
          <w:rFonts w:ascii="宋体" w:hAnsi="宋体" w:eastAsia="宋体" w:cs="宋体"/>
          <w:sz w:val="24"/>
          <w:szCs w:val="24"/>
        </w:rPr>
        <w:t xml:space="preserve"> 增加率为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0.035 %</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，砷预测值为</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8.400mg/kg</w:t>
      </w:r>
      <w:r>
        <w:rPr>
          <w:rFonts w:ascii="Times New Roman" w:hAnsi="Times New Roman" w:eastAsia="Times New Roman" w:cs="Times New Roman"/>
          <w:spacing w:val="-23"/>
          <w:sz w:val="24"/>
          <w:szCs w:val="24"/>
        </w:rPr>
        <w:t xml:space="preserve"> </w:t>
      </w:r>
      <w:r>
        <w:rPr>
          <w:rFonts w:ascii="宋体" w:hAnsi="宋体" w:eastAsia="宋体" w:cs="宋体"/>
          <w:sz w:val="24"/>
          <w:szCs w:val="24"/>
        </w:rPr>
        <w:t>，铅增加率为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0.0</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24"/>
          <w:sz w:val="24"/>
          <w:szCs w:val="24"/>
        </w:rPr>
        <w:t xml:space="preserve"> </w:t>
      </w:r>
      <w:r>
        <w:rPr>
          <w:rFonts w:ascii="宋体" w:hAnsi="宋体" w:eastAsia="宋体" w:cs="宋体"/>
          <w:spacing w:val="-1"/>
          <w:sz w:val="24"/>
          <w:szCs w:val="24"/>
        </w:rPr>
        <w:t>，铅预测值为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28.428</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kg</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。与土壤现状值相比，单位土壤中砷、铅的</w:t>
      </w:r>
      <w:r>
        <w:rPr>
          <w:rFonts w:ascii="宋体" w:hAnsi="宋体" w:eastAsia="宋体" w:cs="宋体"/>
          <w:sz w:val="24"/>
          <w:szCs w:val="24"/>
        </w:rPr>
        <w:t xml:space="preserve">增量较小，项目土壤环 </w:t>
      </w:r>
      <w:r>
        <w:rPr>
          <w:rFonts w:ascii="宋体" w:hAnsi="宋体" w:eastAsia="宋体" w:cs="宋体"/>
          <w:spacing w:val="-1"/>
          <w:sz w:val="24"/>
          <w:szCs w:val="24"/>
        </w:rPr>
        <w:t>境影响可以接受。</w:t>
      </w:r>
    </w:p>
    <w:p w14:paraId="0199B30D">
      <w:pPr>
        <w:spacing w:before="22" w:line="218" w:lineRule="auto"/>
        <w:ind w:left="502"/>
        <w:outlineLvl w:val="2"/>
        <w:rPr>
          <w:rFonts w:ascii="宋体" w:hAnsi="宋体" w:eastAsia="宋体" w:cs="宋体"/>
          <w:sz w:val="24"/>
          <w:szCs w:val="24"/>
        </w:rPr>
      </w:pPr>
      <w:bookmarkStart w:id="162" w:name="bookmark143"/>
      <w:bookmarkEnd w:id="162"/>
      <w:r>
        <w:rPr>
          <w:rFonts w:ascii="Times New Roman" w:hAnsi="Times New Roman" w:eastAsia="Times New Roman" w:cs="Times New Roman"/>
          <w:b/>
          <w:bCs/>
          <w:spacing w:val="-2"/>
          <w:sz w:val="24"/>
          <w:szCs w:val="24"/>
        </w:rPr>
        <w:t xml:space="preserve">8.8.5 </w:t>
      </w:r>
      <w:r>
        <w:rPr>
          <w:rFonts w:ascii="宋体" w:hAnsi="宋体" w:eastAsia="宋体" w:cs="宋体"/>
          <w:b/>
          <w:bCs/>
          <w:spacing w:val="-2"/>
          <w:sz w:val="24"/>
          <w:szCs w:val="24"/>
        </w:rPr>
        <w:t>垂直入渗土壤环境影响预测与评价</w:t>
      </w:r>
    </w:p>
    <w:p w14:paraId="656E1559">
      <w:pPr>
        <w:spacing w:before="185" w:line="219"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8.8.5.1 </w:t>
      </w:r>
      <w:r>
        <w:rPr>
          <w:rFonts w:ascii="宋体" w:hAnsi="宋体" w:eastAsia="宋体" w:cs="宋体"/>
          <w:spacing w:val="-1"/>
          <w:sz w:val="24"/>
          <w:szCs w:val="24"/>
        </w:rPr>
        <w:t>垂直入渗土壤污染影响情景分析</w:t>
      </w:r>
    </w:p>
    <w:p w14:paraId="6DA21891">
      <w:pPr>
        <w:spacing w:before="182" w:line="360" w:lineRule="auto"/>
        <w:ind w:left="22" w:right="13" w:firstLine="481"/>
        <w:jc w:val="both"/>
        <w:rPr>
          <w:rFonts w:ascii="宋体" w:hAnsi="宋体" w:eastAsia="宋体" w:cs="宋体"/>
          <w:sz w:val="24"/>
          <w:szCs w:val="24"/>
        </w:rPr>
      </w:pPr>
      <w:r>
        <w:rPr>
          <w:rFonts w:ascii="宋体" w:hAnsi="宋体" w:eastAsia="宋体" w:cs="宋体"/>
          <w:spacing w:val="-3"/>
          <w:sz w:val="24"/>
          <w:szCs w:val="24"/>
        </w:rPr>
        <w:t>本项目实施后，严格按照要求采取防渗措施，在正常状况下不</w:t>
      </w:r>
      <w:r>
        <w:rPr>
          <w:rFonts w:ascii="宋体" w:hAnsi="宋体" w:eastAsia="宋体" w:cs="宋体"/>
          <w:spacing w:val="-4"/>
          <w:sz w:val="24"/>
          <w:szCs w:val="24"/>
        </w:rPr>
        <w:t>会发生物料及</w:t>
      </w:r>
      <w:r>
        <w:rPr>
          <w:rFonts w:ascii="宋体" w:hAnsi="宋体" w:eastAsia="宋体" w:cs="宋体"/>
          <w:sz w:val="24"/>
          <w:szCs w:val="24"/>
        </w:rPr>
        <w:t xml:space="preserve"> </w:t>
      </w:r>
      <w:r>
        <w:rPr>
          <w:rFonts w:ascii="宋体" w:hAnsi="宋体" w:eastAsia="宋体" w:cs="宋体"/>
          <w:spacing w:val="-3"/>
          <w:sz w:val="24"/>
          <w:szCs w:val="24"/>
        </w:rPr>
        <w:t>废水渗漏进入土壤的情况。非正常状况尾矿库防渗层破损，尾矿废水垂直入渗进</w:t>
      </w:r>
      <w:r>
        <w:rPr>
          <w:rFonts w:ascii="宋体" w:hAnsi="宋体" w:eastAsia="宋体" w:cs="宋体"/>
          <w:spacing w:val="1"/>
          <w:sz w:val="24"/>
          <w:szCs w:val="24"/>
        </w:rPr>
        <w:t xml:space="preserve"> </w:t>
      </w:r>
      <w:r>
        <w:rPr>
          <w:rFonts w:ascii="宋体" w:hAnsi="宋体" w:eastAsia="宋体" w:cs="宋体"/>
          <w:spacing w:val="-1"/>
          <w:sz w:val="24"/>
          <w:szCs w:val="24"/>
        </w:rPr>
        <w:t>入土壤。本次选取</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Pb</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As </w:t>
      </w:r>
      <w:r>
        <w:rPr>
          <w:rFonts w:ascii="宋体" w:hAnsi="宋体" w:eastAsia="宋体" w:cs="宋体"/>
          <w:spacing w:val="-1"/>
          <w:sz w:val="24"/>
          <w:szCs w:val="24"/>
        </w:rPr>
        <w:t>进行预测。</w:t>
      </w:r>
    </w:p>
    <w:p w14:paraId="721A8138">
      <w:pPr>
        <w:spacing w:line="219"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8.8.5.2 </w:t>
      </w:r>
      <w:r>
        <w:rPr>
          <w:rFonts w:ascii="宋体" w:hAnsi="宋体" w:eastAsia="宋体" w:cs="宋体"/>
          <w:spacing w:val="-1"/>
          <w:sz w:val="24"/>
          <w:szCs w:val="24"/>
        </w:rPr>
        <w:t>垂直入渗土壤预测模型</w:t>
      </w:r>
    </w:p>
    <w:p w14:paraId="0B42E9B9">
      <w:pPr>
        <w:spacing w:before="182" w:line="345" w:lineRule="auto"/>
        <w:ind w:left="24" w:right="13" w:firstLine="480"/>
        <w:jc w:val="both"/>
        <w:rPr>
          <w:rFonts w:ascii="宋体" w:hAnsi="宋体" w:eastAsia="宋体" w:cs="宋体"/>
          <w:sz w:val="24"/>
          <w:szCs w:val="24"/>
        </w:rPr>
      </w:pPr>
      <w:r>
        <w:rPr>
          <w:rFonts w:ascii="宋体" w:hAnsi="宋体" w:eastAsia="宋体" w:cs="宋体"/>
          <w:spacing w:val="-2"/>
          <w:sz w:val="24"/>
          <w:szCs w:val="24"/>
        </w:rPr>
        <w:t>本项目土壤环境影响类型为</w:t>
      </w:r>
      <w:r>
        <w:rPr>
          <w:rFonts w:ascii="Times New Roman" w:hAnsi="Times New Roman" w:eastAsia="Times New Roman" w:cs="Times New Roman"/>
          <w:spacing w:val="-2"/>
          <w:sz w:val="24"/>
          <w:szCs w:val="24"/>
        </w:rPr>
        <w:t>“</w:t>
      </w:r>
      <w:r>
        <w:rPr>
          <w:rFonts w:ascii="宋体" w:hAnsi="宋体" w:eastAsia="宋体" w:cs="宋体"/>
          <w:spacing w:val="-2"/>
          <w:sz w:val="24"/>
          <w:szCs w:val="24"/>
        </w:rPr>
        <w:t>污染影响型</w:t>
      </w:r>
      <w:r>
        <w:rPr>
          <w:rFonts w:ascii="Times New Roman" w:hAnsi="Times New Roman" w:eastAsia="Times New Roman" w:cs="Times New Roman"/>
          <w:spacing w:val="-2"/>
          <w:sz w:val="24"/>
          <w:szCs w:val="24"/>
        </w:rPr>
        <w:t>”</w:t>
      </w:r>
      <w:r>
        <w:rPr>
          <w:rFonts w:ascii="宋体" w:hAnsi="宋体" w:eastAsia="宋体" w:cs="宋体"/>
          <w:spacing w:val="-2"/>
          <w:sz w:val="24"/>
          <w:szCs w:val="24"/>
        </w:rPr>
        <w:t>，影响途径</w:t>
      </w:r>
      <w:r>
        <w:rPr>
          <w:rFonts w:ascii="宋体" w:hAnsi="宋体" w:eastAsia="宋体" w:cs="宋体"/>
          <w:spacing w:val="-3"/>
          <w:sz w:val="24"/>
          <w:szCs w:val="24"/>
        </w:rPr>
        <w:t>主要为运营期项目场地</w:t>
      </w:r>
      <w:r>
        <w:rPr>
          <w:rFonts w:ascii="宋体" w:hAnsi="宋体" w:eastAsia="宋体" w:cs="宋体"/>
          <w:sz w:val="24"/>
          <w:szCs w:val="24"/>
        </w:rPr>
        <w:t xml:space="preserve"> </w:t>
      </w:r>
      <w:r>
        <w:rPr>
          <w:rFonts w:ascii="宋体" w:hAnsi="宋体" w:eastAsia="宋体" w:cs="宋体"/>
          <w:spacing w:val="-3"/>
          <w:sz w:val="24"/>
          <w:szCs w:val="24"/>
        </w:rPr>
        <w:t>污染物以垂直入渗方式进入土壤，因此，采用一维非饱和溶质运移模型进行土壤</w:t>
      </w:r>
      <w:r>
        <w:rPr>
          <w:rFonts w:ascii="宋体" w:hAnsi="宋体" w:eastAsia="宋体" w:cs="宋体"/>
          <w:sz w:val="24"/>
          <w:szCs w:val="24"/>
        </w:rPr>
        <w:t xml:space="preserve"> </w:t>
      </w:r>
      <w:r>
        <w:rPr>
          <w:rFonts w:ascii="宋体" w:hAnsi="宋体" w:eastAsia="宋体" w:cs="宋体"/>
          <w:spacing w:val="-4"/>
          <w:sz w:val="24"/>
          <w:szCs w:val="24"/>
        </w:rPr>
        <w:t>污染预测。根据《环境影响评价技术导则土壤环境》（</w:t>
      </w:r>
      <w:r>
        <w:rPr>
          <w:rFonts w:ascii="Times New Roman" w:hAnsi="Times New Roman" w:eastAsia="Times New Roman" w:cs="Times New Roman"/>
          <w:spacing w:val="-4"/>
          <w:sz w:val="24"/>
          <w:szCs w:val="24"/>
        </w:rPr>
        <w:t>HJ964-2018</w:t>
      </w:r>
      <w:r>
        <w:rPr>
          <w:rFonts w:ascii="宋体" w:hAnsi="宋体" w:eastAsia="宋体" w:cs="宋体"/>
          <w:spacing w:val="-4"/>
          <w:sz w:val="24"/>
          <w:szCs w:val="24"/>
        </w:rPr>
        <w:t>）附录</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E</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中预</w:t>
      </w:r>
      <w:r>
        <w:rPr>
          <w:rFonts w:ascii="宋体" w:hAnsi="宋体" w:eastAsia="宋体" w:cs="宋体"/>
          <w:sz w:val="24"/>
          <w:szCs w:val="24"/>
        </w:rPr>
        <w:t xml:space="preserve"> 测方法对项目垂直入渗对区域土壤环境影响</w:t>
      </w:r>
      <w:r>
        <w:rPr>
          <w:rFonts w:ascii="宋体" w:hAnsi="宋体" w:eastAsia="宋体" w:cs="宋体"/>
          <w:spacing w:val="-1"/>
          <w:sz w:val="24"/>
          <w:szCs w:val="24"/>
        </w:rPr>
        <w:t>进行预测，预测公式如下：</w:t>
      </w:r>
    </w:p>
    <w:p w14:paraId="7C6B0817">
      <w:pPr>
        <w:spacing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）一维非饱和溶质垂向运移控制方程：</w:t>
      </w:r>
    </w:p>
    <w:p w14:paraId="71140FEC">
      <w:pPr>
        <w:pStyle w:val="2"/>
        <w:spacing w:line="265" w:lineRule="auto"/>
      </w:pPr>
    </w:p>
    <w:p w14:paraId="3AFE4360">
      <w:pPr>
        <w:spacing w:line="691" w:lineRule="exact"/>
        <w:ind w:firstLine="3162"/>
      </w:pPr>
      <w:r>
        <w:rPr>
          <w:position w:val="-13"/>
        </w:rPr>
        <w:drawing>
          <wp:inline distT="0" distB="0" distL="0" distR="0">
            <wp:extent cx="1886585" cy="43878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535"/>
                    <a:stretch>
                      <a:fillRect/>
                    </a:stretch>
                  </pic:blipFill>
                  <pic:spPr>
                    <a:xfrm>
                      <a:off x="0" y="0"/>
                      <a:ext cx="1886712" cy="438911"/>
                    </a:xfrm>
                    <a:prstGeom prst="rect">
                      <a:avLst/>
                    </a:prstGeom>
                  </pic:spPr>
                </pic:pic>
              </a:graphicData>
            </a:graphic>
          </wp:inline>
        </w:drawing>
      </w:r>
    </w:p>
    <w:p w14:paraId="399DA3F8">
      <w:pPr>
        <w:spacing w:before="280" w:line="210" w:lineRule="auto"/>
        <w:ind w:left="508"/>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i/>
          <w:iCs/>
          <w:spacing w:val="-1"/>
          <w:sz w:val="24"/>
          <w:szCs w:val="24"/>
        </w:rPr>
        <w:t>c</w:t>
      </w:r>
      <w:r>
        <w:rPr>
          <w:rFonts w:ascii="Times New Roman" w:hAnsi="Times New Roman" w:eastAsia="Times New Roman" w:cs="Times New Roman"/>
          <w:spacing w:val="-1"/>
          <w:sz w:val="24"/>
          <w:szCs w:val="24"/>
        </w:rPr>
        <w:t>—</w:t>
      </w:r>
      <w:r>
        <w:rPr>
          <w:rFonts w:ascii="宋体" w:hAnsi="宋体" w:eastAsia="宋体" w:cs="宋体"/>
          <w:spacing w:val="-1"/>
          <w:sz w:val="24"/>
          <w:szCs w:val="24"/>
        </w:rPr>
        <w:t>污染物介质中的浓度，</w:t>
      </w:r>
      <w:r>
        <w:rPr>
          <w:rFonts w:ascii="Times New Roman" w:hAnsi="Times New Roman" w:eastAsia="Times New Roman" w:cs="Times New Roman"/>
          <w:spacing w:val="-1"/>
          <w:sz w:val="24"/>
          <w:szCs w:val="24"/>
        </w:rPr>
        <w:t>mg/L</w:t>
      </w:r>
      <w:r>
        <w:rPr>
          <w:rFonts w:ascii="宋体" w:hAnsi="宋体" w:eastAsia="宋体" w:cs="宋体"/>
          <w:spacing w:val="-1"/>
          <w:sz w:val="24"/>
          <w:szCs w:val="24"/>
        </w:rPr>
        <w:t>；</w:t>
      </w:r>
    </w:p>
    <w:p w14:paraId="796C281F">
      <w:pPr>
        <w:spacing w:before="193" w:line="219" w:lineRule="auto"/>
        <w:ind w:left="1139"/>
        <w:rPr>
          <w:rFonts w:ascii="宋体" w:hAnsi="宋体" w:eastAsia="宋体" w:cs="宋体"/>
          <w:sz w:val="24"/>
          <w:szCs w:val="24"/>
        </w:rPr>
      </w:pPr>
      <w:r>
        <w:rPr>
          <w:rFonts w:ascii="Times New Roman" w:hAnsi="Times New Roman" w:eastAsia="Times New Roman" w:cs="Times New Roman"/>
          <w:i/>
          <w:iCs/>
          <w:sz w:val="24"/>
          <w:szCs w:val="24"/>
        </w:rPr>
        <w:t>D</w:t>
      </w:r>
      <w:r>
        <w:rPr>
          <w:rFonts w:ascii="Times New Roman" w:hAnsi="Times New Roman" w:eastAsia="Times New Roman" w:cs="Times New Roman"/>
          <w:sz w:val="24"/>
          <w:szCs w:val="24"/>
        </w:rPr>
        <w:t>—</w:t>
      </w:r>
      <w:r>
        <w:rPr>
          <w:rFonts w:ascii="宋体" w:hAnsi="宋体" w:eastAsia="宋体" w:cs="宋体"/>
          <w:sz w:val="24"/>
          <w:szCs w:val="24"/>
        </w:rPr>
        <w:t>弥散系数，</w:t>
      </w:r>
      <w:r>
        <w:rPr>
          <w:rFonts w:ascii="Times New Roman" w:hAnsi="Times New Roman" w:eastAsia="Times New Roman" w:cs="Times New Roman"/>
          <w:sz w:val="24"/>
          <w:szCs w:val="24"/>
        </w:rPr>
        <w:t>m</w:t>
      </w:r>
      <w:r>
        <w:rPr>
          <w:rFonts w:ascii="Times New Roman" w:hAnsi="Times New Roman" w:eastAsia="Times New Roman" w:cs="Times New Roman"/>
          <w:position w:val="7"/>
          <w:sz w:val="15"/>
          <w:szCs w:val="15"/>
        </w:rPr>
        <w:t>2</w:t>
      </w:r>
      <w:r>
        <w:rPr>
          <w:rFonts w:ascii="Times New Roman" w:hAnsi="Times New Roman" w:eastAsia="Times New Roman" w:cs="Times New Roman"/>
          <w:sz w:val="24"/>
          <w:szCs w:val="24"/>
        </w:rPr>
        <w:t>/d</w:t>
      </w:r>
      <w:r>
        <w:rPr>
          <w:rFonts w:ascii="宋体" w:hAnsi="宋体" w:eastAsia="宋体" w:cs="宋体"/>
          <w:sz w:val="24"/>
          <w:szCs w:val="24"/>
        </w:rPr>
        <w:t>；</w:t>
      </w:r>
    </w:p>
    <w:p w14:paraId="6E2B7D44">
      <w:pPr>
        <w:spacing w:before="183" w:line="210" w:lineRule="auto"/>
        <w:ind w:left="1152"/>
        <w:rPr>
          <w:rFonts w:ascii="宋体" w:hAnsi="宋体" w:eastAsia="宋体" w:cs="宋体"/>
          <w:sz w:val="24"/>
          <w:szCs w:val="24"/>
        </w:rPr>
      </w:pPr>
      <w:r>
        <w:rPr>
          <w:rFonts w:ascii="Times New Roman" w:hAnsi="Times New Roman" w:eastAsia="Times New Roman" w:cs="Times New Roman"/>
          <w:i/>
          <w:iCs/>
          <w:spacing w:val="-1"/>
          <w:sz w:val="24"/>
          <w:szCs w:val="24"/>
        </w:rPr>
        <w:t>q</w:t>
      </w:r>
      <w:r>
        <w:rPr>
          <w:rFonts w:ascii="Times New Roman" w:hAnsi="Times New Roman" w:eastAsia="Times New Roman" w:cs="Times New Roman"/>
          <w:spacing w:val="-1"/>
          <w:sz w:val="24"/>
          <w:szCs w:val="24"/>
        </w:rPr>
        <w:t>—</w:t>
      </w:r>
      <w:r>
        <w:rPr>
          <w:rFonts w:ascii="宋体" w:hAnsi="宋体" w:eastAsia="宋体" w:cs="宋体"/>
          <w:spacing w:val="-1"/>
          <w:sz w:val="24"/>
          <w:szCs w:val="24"/>
        </w:rPr>
        <w:t>渗流速度，</w:t>
      </w:r>
      <w:r>
        <w:rPr>
          <w:rFonts w:ascii="Times New Roman" w:hAnsi="Times New Roman" w:eastAsia="Times New Roman" w:cs="Times New Roman"/>
          <w:spacing w:val="-1"/>
          <w:sz w:val="24"/>
          <w:szCs w:val="24"/>
        </w:rPr>
        <w:t>m/d</w:t>
      </w:r>
      <w:r>
        <w:rPr>
          <w:rFonts w:ascii="宋体" w:hAnsi="宋体" w:eastAsia="宋体" w:cs="宋体"/>
          <w:spacing w:val="-1"/>
          <w:sz w:val="24"/>
          <w:szCs w:val="24"/>
        </w:rPr>
        <w:t>；</w:t>
      </w:r>
    </w:p>
    <w:p w14:paraId="59F28E26">
      <w:pPr>
        <w:spacing w:before="192" w:line="219" w:lineRule="auto"/>
        <w:ind w:left="1140"/>
        <w:rPr>
          <w:rFonts w:ascii="宋体" w:hAnsi="宋体" w:eastAsia="宋体" w:cs="宋体"/>
          <w:sz w:val="24"/>
          <w:szCs w:val="24"/>
        </w:rPr>
      </w:pPr>
      <w:r>
        <w:rPr>
          <w:rFonts w:ascii="Times New Roman" w:hAnsi="Times New Roman" w:eastAsia="Times New Roman" w:cs="Times New Roman"/>
          <w:i/>
          <w:iCs/>
          <w:sz w:val="24"/>
          <w:szCs w:val="24"/>
        </w:rPr>
        <w:t>z</w:t>
      </w:r>
      <w:r>
        <w:rPr>
          <w:rFonts w:ascii="Times New Roman" w:hAnsi="Times New Roman" w:eastAsia="Times New Roman" w:cs="Times New Roman"/>
          <w:sz w:val="24"/>
          <w:szCs w:val="24"/>
        </w:rPr>
        <w:t>—</w:t>
      </w:r>
      <w:r>
        <w:rPr>
          <w:rFonts w:ascii="宋体" w:hAnsi="宋体" w:eastAsia="宋体" w:cs="宋体"/>
          <w:sz w:val="24"/>
          <w:szCs w:val="24"/>
        </w:rPr>
        <w:t>沿轴的距离，</w:t>
      </w:r>
      <w:r>
        <w:rPr>
          <w:rFonts w:ascii="Times New Roman" w:hAnsi="Times New Roman" w:eastAsia="Times New Roman" w:cs="Times New Roman"/>
          <w:sz w:val="24"/>
          <w:szCs w:val="24"/>
        </w:rPr>
        <w:t>m</w:t>
      </w:r>
      <w:r>
        <w:rPr>
          <w:rFonts w:ascii="宋体" w:hAnsi="宋体" w:eastAsia="宋体" w:cs="宋体"/>
          <w:sz w:val="24"/>
          <w:szCs w:val="24"/>
        </w:rPr>
        <w:t>；</w:t>
      </w:r>
    </w:p>
    <w:p w14:paraId="531F5767">
      <w:pPr>
        <w:spacing w:before="184" w:line="221" w:lineRule="auto"/>
        <w:ind w:left="1156"/>
        <w:rPr>
          <w:rFonts w:ascii="宋体" w:hAnsi="宋体" w:eastAsia="宋体" w:cs="宋体"/>
          <w:sz w:val="24"/>
          <w:szCs w:val="24"/>
        </w:rPr>
      </w:pPr>
      <w:r>
        <w:rPr>
          <w:rFonts w:ascii="Times New Roman" w:hAnsi="Times New Roman" w:eastAsia="Times New Roman" w:cs="Times New Roman"/>
          <w:i/>
          <w:iCs/>
          <w:spacing w:val="-1"/>
          <w:sz w:val="24"/>
          <w:szCs w:val="24"/>
        </w:rPr>
        <w:t>t</w:t>
      </w:r>
      <w:r>
        <w:rPr>
          <w:rFonts w:ascii="Times New Roman" w:hAnsi="Times New Roman" w:eastAsia="Times New Roman" w:cs="Times New Roman"/>
          <w:spacing w:val="-1"/>
          <w:sz w:val="24"/>
          <w:szCs w:val="24"/>
        </w:rPr>
        <w:t>—</w:t>
      </w:r>
      <w:r>
        <w:rPr>
          <w:rFonts w:ascii="宋体" w:hAnsi="宋体" w:eastAsia="宋体" w:cs="宋体"/>
          <w:spacing w:val="-1"/>
          <w:sz w:val="24"/>
          <w:szCs w:val="24"/>
        </w:rPr>
        <w:t>时间变量，</w:t>
      </w:r>
      <w:r>
        <w:rPr>
          <w:rFonts w:ascii="Times New Roman" w:hAnsi="Times New Roman" w:eastAsia="Times New Roman" w:cs="Times New Roman"/>
          <w:spacing w:val="-1"/>
          <w:sz w:val="24"/>
          <w:szCs w:val="24"/>
        </w:rPr>
        <w:t>d</w:t>
      </w:r>
      <w:r>
        <w:rPr>
          <w:rFonts w:ascii="宋体" w:hAnsi="宋体" w:eastAsia="宋体" w:cs="宋体"/>
          <w:spacing w:val="-1"/>
          <w:sz w:val="24"/>
          <w:szCs w:val="24"/>
        </w:rPr>
        <w:t>；</w:t>
      </w:r>
    </w:p>
    <w:p w14:paraId="1FEC9046">
      <w:pPr>
        <w:spacing w:before="139" w:line="319" w:lineRule="exact"/>
        <w:ind w:left="1157"/>
        <w:rPr>
          <w:rFonts w:ascii="宋体" w:hAnsi="宋体" w:eastAsia="宋体" w:cs="宋体"/>
          <w:sz w:val="24"/>
          <w:szCs w:val="24"/>
        </w:rPr>
      </w:pPr>
      <w:r>
        <w:rPr>
          <w:rFonts w:ascii="Times New Roman" w:hAnsi="Times New Roman" w:eastAsia="Times New Roman" w:cs="Times New Roman"/>
          <w:i/>
          <w:iCs/>
          <w:spacing w:val="-2"/>
          <w:position w:val="1"/>
          <w:sz w:val="24"/>
          <w:szCs w:val="24"/>
        </w:rPr>
        <w:t>θ</w:t>
      </w:r>
      <w:r>
        <w:rPr>
          <w:rFonts w:ascii="Times New Roman" w:hAnsi="Times New Roman" w:eastAsia="Times New Roman" w:cs="Times New Roman"/>
          <w:spacing w:val="-2"/>
          <w:position w:val="1"/>
          <w:sz w:val="24"/>
          <w:szCs w:val="24"/>
        </w:rPr>
        <w:t>—</w:t>
      </w:r>
      <w:r>
        <w:rPr>
          <w:rFonts w:ascii="宋体" w:hAnsi="宋体" w:eastAsia="宋体" w:cs="宋体"/>
          <w:spacing w:val="-2"/>
          <w:position w:val="1"/>
          <w:sz w:val="24"/>
          <w:szCs w:val="24"/>
        </w:rPr>
        <w:t>土壤含水率，</w:t>
      </w:r>
      <w:r>
        <w:rPr>
          <w:rFonts w:ascii="Times New Roman" w:hAnsi="Times New Roman" w:eastAsia="Times New Roman" w:cs="Times New Roman"/>
          <w:spacing w:val="-2"/>
          <w:position w:val="1"/>
          <w:sz w:val="24"/>
          <w:szCs w:val="24"/>
        </w:rPr>
        <w:t>%</w:t>
      </w:r>
      <w:r>
        <w:rPr>
          <w:rFonts w:ascii="宋体" w:hAnsi="宋体" w:eastAsia="宋体" w:cs="宋体"/>
          <w:spacing w:val="-2"/>
          <w:position w:val="1"/>
          <w:sz w:val="24"/>
          <w:szCs w:val="24"/>
        </w:rPr>
        <w:t>。</w:t>
      </w:r>
    </w:p>
    <w:p w14:paraId="774CFEE0">
      <w:pPr>
        <w:spacing w:before="189"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）初始条件</w:t>
      </w:r>
    </w:p>
    <w:p w14:paraId="7E03676D">
      <w:pPr>
        <w:spacing w:before="216" w:line="323" w:lineRule="exact"/>
        <w:ind w:left="3144"/>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c(z,t)=0        t=0</w:t>
      </w:r>
      <w:r>
        <w:rPr>
          <w:rFonts w:ascii="Times New Roman" w:hAnsi="Times New Roman" w:eastAsia="Times New Roman" w:cs="Times New Roman"/>
          <w:spacing w:val="-20"/>
          <w:position w:val="4"/>
          <w:sz w:val="24"/>
          <w:szCs w:val="24"/>
        </w:rPr>
        <w:t xml:space="preserve"> </w:t>
      </w:r>
      <w:r>
        <w:rPr>
          <w:rFonts w:ascii="宋体" w:hAnsi="宋体" w:eastAsia="宋体" w:cs="宋体"/>
          <w:spacing w:val="-2"/>
          <w:position w:val="4"/>
          <w:sz w:val="24"/>
          <w:szCs w:val="24"/>
        </w:rPr>
        <w:t>，</w:t>
      </w:r>
      <w:r>
        <w:rPr>
          <w:rFonts w:ascii="Times New Roman" w:hAnsi="Times New Roman" w:eastAsia="Times New Roman" w:cs="Times New Roman"/>
          <w:spacing w:val="-2"/>
          <w:position w:val="4"/>
          <w:sz w:val="24"/>
          <w:szCs w:val="24"/>
        </w:rPr>
        <w:t>L≤z</w:t>
      </w:r>
      <w:r>
        <w:rPr>
          <w:rFonts w:ascii="宋体" w:hAnsi="宋体" w:eastAsia="宋体" w:cs="宋体"/>
          <w:spacing w:val="-2"/>
          <w:position w:val="4"/>
          <w:sz w:val="24"/>
          <w:szCs w:val="24"/>
        </w:rPr>
        <w:t>＜</w:t>
      </w:r>
      <w:r>
        <w:rPr>
          <w:rFonts w:ascii="Times New Roman" w:hAnsi="Times New Roman" w:eastAsia="Times New Roman" w:cs="Times New Roman"/>
          <w:spacing w:val="-2"/>
          <w:position w:val="4"/>
          <w:sz w:val="24"/>
          <w:szCs w:val="24"/>
        </w:rPr>
        <w:t>0</w:t>
      </w:r>
    </w:p>
    <w:p w14:paraId="404E4DE0">
      <w:pPr>
        <w:spacing w:before="112"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）边界条件</w:t>
      </w:r>
    </w:p>
    <w:p w14:paraId="543A3D4E">
      <w:pPr>
        <w:spacing w:before="260" w:line="219" w:lineRule="auto"/>
        <w:ind w:left="503"/>
        <w:rPr>
          <w:rFonts w:ascii="宋体" w:hAnsi="宋体" w:eastAsia="宋体" w:cs="宋体"/>
          <w:sz w:val="24"/>
          <w:szCs w:val="24"/>
        </w:rPr>
      </w:pPr>
      <w:r>
        <w:rPr>
          <w:rFonts w:ascii="宋体" w:hAnsi="宋体" w:eastAsia="宋体" w:cs="宋体"/>
          <w:spacing w:val="-1"/>
          <w:sz w:val="24"/>
          <w:szCs w:val="24"/>
        </w:rPr>
        <w:t>第一类</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Dirichlet </w:t>
      </w:r>
      <w:r>
        <w:rPr>
          <w:rFonts w:ascii="宋体" w:hAnsi="宋体" w:eastAsia="宋体" w:cs="宋体"/>
          <w:spacing w:val="-1"/>
          <w:sz w:val="24"/>
          <w:szCs w:val="24"/>
        </w:rPr>
        <w:t>边界条件；</w:t>
      </w:r>
    </w:p>
    <w:p w14:paraId="07F948B3">
      <w:pPr>
        <w:spacing w:before="183" w:line="220" w:lineRule="auto"/>
        <w:ind w:left="984"/>
        <w:rPr>
          <w:rFonts w:ascii="宋体" w:hAnsi="宋体" w:eastAsia="宋体" w:cs="宋体"/>
          <w:sz w:val="24"/>
          <w:szCs w:val="24"/>
        </w:rPr>
      </w:pPr>
      <w:r>
        <w:rPr>
          <w:rFonts w:ascii="宋体" w:hAnsi="宋体" w:eastAsia="宋体" w:cs="宋体"/>
          <w:spacing w:val="-3"/>
          <w:sz w:val="24"/>
          <w:szCs w:val="24"/>
        </w:rPr>
        <w:t>连续点源：</w:t>
      </w:r>
    </w:p>
    <w:p w14:paraId="308F989C">
      <w:pPr>
        <w:spacing w:before="136" w:line="323" w:lineRule="exact"/>
        <w:ind w:left="3022"/>
        <w:rPr>
          <w:rFonts w:ascii="Times New Roman" w:hAnsi="Times New Roman" w:eastAsia="Times New Roman" w:cs="Times New Roman"/>
          <w:sz w:val="24"/>
          <w:szCs w:val="24"/>
        </w:rPr>
      </w:pPr>
      <w:r>
        <w:rPr>
          <w:rFonts w:ascii="Times New Roman" w:hAnsi="Times New Roman" w:eastAsia="Times New Roman" w:cs="Times New Roman"/>
          <w:spacing w:val="-2"/>
          <w:position w:val="4"/>
          <w:sz w:val="24"/>
          <w:szCs w:val="24"/>
        </w:rPr>
        <w:t>c(z,t)=c0    t</w:t>
      </w:r>
      <w:r>
        <w:rPr>
          <w:rFonts w:ascii="宋体" w:hAnsi="宋体" w:eastAsia="宋体" w:cs="宋体"/>
          <w:spacing w:val="-2"/>
          <w:position w:val="4"/>
          <w:sz w:val="24"/>
          <w:szCs w:val="24"/>
        </w:rPr>
        <w:t>＞</w:t>
      </w:r>
      <w:r>
        <w:rPr>
          <w:rFonts w:ascii="Times New Roman" w:hAnsi="Times New Roman" w:eastAsia="Times New Roman" w:cs="Times New Roman"/>
          <w:spacing w:val="-2"/>
          <w:position w:val="4"/>
          <w:sz w:val="24"/>
          <w:szCs w:val="24"/>
        </w:rPr>
        <w:t>0</w:t>
      </w:r>
      <w:r>
        <w:rPr>
          <w:rFonts w:ascii="Times New Roman" w:hAnsi="Times New Roman" w:eastAsia="Times New Roman" w:cs="Times New Roman"/>
          <w:spacing w:val="-28"/>
          <w:position w:val="4"/>
          <w:sz w:val="24"/>
          <w:szCs w:val="24"/>
        </w:rPr>
        <w:t xml:space="preserve"> </w:t>
      </w:r>
      <w:r>
        <w:rPr>
          <w:rFonts w:ascii="宋体" w:hAnsi="宋体" w:eastAsia="宋体" w:cs="宋体"/>
          <w:spacing w:val="-2"/>
          <w:position w:val="4"/>
          <w:sz w:val="24"/>
          <w:szCs w:val="24"/>
        </w:rPr>
        <w:t>，</w:t>
      </w:r>
      <w:r>
        <w:rPr>
          <w:rFonts w:ascii="Times New Roman" w:hAnsi="Times New Roman" w:eastAsia="Times New Roman" w:cs="Times New Roman"/>
          <w:spacing w:val="-2"/>
          <w:position w:val="4"/>
          <w:sz w:val="24"/>
          <w:szCs w:val="24"/>
        </w:rPr>
        <w:t>z=0</w:t>
      </w:r>
    </w:p>
    <w:p w14:paraId="2808B52F">
      <w:pPr>
        <w:spacing w:line="323" w:lineRule="exact"/>
        <w:rPr>
          <w:rFonts w:ascii="Times New Roman" w:hAnsi="Times New Roman" w:eastAsia="Times New Roman" w:cs="Times New Roman"/>
          <w:sz w:val="24"/>
          <w:szCs w:val="24"/>
        </w:rPr>
        <w:sectPr>
          <w:headerReference r:id="rId373" w:type="default"/>
          <w:footerReference r:id="rId374" w:type="default"/>
          <w:pgSz w:w="11906" w:h="16839"/>
          <w:pgMar w:top="1208" w:right="1785" w:bottom="1358" w:left="1785" w:header="825" w:footer="1195" w:gutter="0"/>
          <w:cols w:space="720" w:num="1"/>
        </w:sectPr>
      </w:pPr>
    </w:p>
    <w:p w14:paraId="5EF95012">
      <w:pPr>
        <w:pStyle w:val="2"/>
        <w:spacing w:line="265" w:lineRule="auto"/>
      </w:pPr>
    </w:p>
    <w:p w14:paraId="48062A74">
      <w:pPr>
        <w:spacing w:before="78" w:line="220" w:lineRule="auto"/>
        <w:ind w:left="1086"/>
        <w:rPr>
          <w:rFonts w:ascii="宋体" w:hAnsi="宋体" w:eastAsia="宋体" w:cs="宋体"/>
          <w:sz w:val="24"/>
          <w:szCs w:val="24"/>
        </w:rPr>
      </w:pPr>
      <w:r>
        <w:rPr>
          <w:rFonts w:ascii="宋体" w:hAnsi="宋体" w:eastAsia="宋体" w:cs="宋体"/>
          <w:spacing w:val="-3"/>
          <w:sz w:val="24"/>
          <w:szCs w:val="24"/>
        </w:rPr>
        <w:t>非连续点源：</w:t>
      </w:r>
    </w:p>
    <w:p w14:paraId="0165253D">
      <w:pPr>
        <w:spacing w:before="159" w:line="496" w:lineRule="exact"/>
        <w:ind w:firstLine="3456"/>
      </w:pPr>
      <w:r>
        <w:rPr>
          <w:position w:val="-9"/>
        </w:rPr>
        <w:drawing>
          <wp:inline distT="0" distB="0" distL="0" distR="0">
            <wp:extent cx="1320165" cy="31432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536"/>
                    <a:stretch>
                      <a:fillRect/>
                    </a:stretch>
                  </pic:blipFill>
                  <pic:spPr>
                    <a:xfrm>
                      <a:off x="0" y="0"/>
                      <a:ext cx="1320780" cy="314959"/>
                    </a:xfrm>
                    <a:prstGeom prst="rect">
                      <a:avLst/>
                    </a:prstGeom>
                  </pic:spPr>
                </pic:pic>
              </a:graphicData>
            </a:graphic>
          </wp:inline>
        </w:drawing>
      </w:r>
    </w:p>
    <w:p w14:paraId="5BD07879">
      <w:pPr>
        <w:spacing w:before="151" w:line="219" w:lineRule="auto"/>
        <w:ind w:left="602"/>
        <w:rPr>
          <w:rFonts w:ascii="宋体" w:hAnsi="宋体" w:eastAsia="宋体" w:cs="宋体"/>
          <w:sz w:val="24"/>
          <w:szCs w:val="24"/>
        </w:rPr>
      </w:pPr>
      <w:r>
        <w:rPr>
          <w:rFonts w:ascii="宋体" w:hAnsi="宋体" w:eastAsia="宋体" w:cs="宋体"/>
          <w:spacing w:val="-1"/>
          <w:sz w:val="24"/>
          <w:szCs w:val="24"/>
        </w:rPr>
        <w:t>第二类</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Neumann </w:t>
      </w:r>
      <w:r>
        <w:rPr>
          <w:rFonts w:ascii="宋体" w:hAnsi="宋体" w:eastAsia="宋体" w:cs="宋体"/>
          <w:spacing w:val="-1"/>
          <w:sz w:val="24"/>
          <w:szCs w:val="24"/>
        </w:rPr>
        <w:t>零梯度边界条件：</w:t>
      </w:r>
    </w:p>
    <w:p w14:paraId="661FEEBE">
      <w:pPr>
        <w:pStyle w:val="2"/>
        <w:spacing w:line="287" w:lineRule="auto"/>
      </w:pPr>
    </w:p>
    <w:p w14:paraId="3F007CD7">
      <w:pPr>
        <w:spacing w:line="547" w:lineRule="exact"/>
        <w:ind w:firstLine="3114"/>
      </w:pPr>
      <w:r>
        <w:rPr>
          <w:position w:val="-10"/>
        </w:rPr>
        <w:drawing>
          <wp:inline distT="0" distB="0" distL="0" distR="0">
            <wp:extent cx="1741170" cy="34734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537"/>
                    <a:stretch>
                      <a:fillRect/>
                    </a:stretch>
                  </pic:blipFill>
                  <pic:spPr>
                    <a:xfrm>
                      <a:off x="0" y="0"/>
                      <a:ext cx="1741646" cy="347650"/>
                    </a:xfrm>
                    <a:prstGeom prst="rect">
                      <a:avLst/>
                    </a:prstGeom>
                  </pic:spPr>
                </pic:pic>
              </a:graphicData>
            </a:graphic>
          </wp:inline>
        </w:drawing>
      </w:r>
    </w:p>
    <w:p w14:paraId="297C3727">
      <w:pPr>
        <w:spacing w:before="282" w:line="219" w:lineRule="auto"/>
        <w:ind w:left="607"/>
        <w:outlineLvl w:val="3"/>
        <w:rPr>
          <w:rFonts w:ascii="宋体" w:hAnsi="宋体" w:eastAsia="宋体" w:cs="宋体"/>
          <w:sz w:val="24"/>
          <w:szCs w:val="24"/>
        </w:rPr>
      </w:pPr>
      <w:r>
        <w:rPr>
          <w:rFonts w:ascii="Times New Roman" w:hAnsi="Times New Roman" w:eastAsia="Times New Roman" w:cs="Times New Roman"/>
          <w:spacing w:val="-2"/>
          <w:sz w:val="24"/>
          <w:szCs w:val="24"/>
        </w:rPr>
        <w:t xml:space="preserve">8.8.5.3 </w:t>
      </w:r>
      <w:r>
        <w:rPr>
          <w:rFonts w:ascii="宋体" w:hAnsi="宋体" w:eastAsia="宋体" w:cs="宋体"/>
          <w:spacing w:val="-2"/>
          <w:sz w:val="24"/>
          <w:szCs w:val="24"/>
        </w:rPr>
        <w:t>预测参数选取</w:t>
      </w:r>
    </w:p>
    <w:p w14:paraId="40CB7976">
      <w:pPr>
        <w:spacing w:before="105" w:line="359" w:lineRule="auto"/>
        <w:ind w:left="122" w:right="112" w:firstLine="480"/>
        <w:jc w:val="both"/>
        <w:rPr>
          <w:rFonts w:ascii="宋体" w:hAnsi="宋体" w:eastAsia="宋体" w:cs="宋体"/>
          <w:sz w:val="24"/>
          <w:szCs w:val="24"/>
        </w:rPr>
      </w:pPr>
      <w:r>
        <w:rPr>
          <w:rFonts w:ascii="宋体" w:hAnsi="宋体" w:eastAsia="宋体" w:cs="宋体"/>
          <w:spacing w:val="-2"/>
          <w:sz w:val="24"/>
          <w:szCs w:val="24"/>
        </w:rPr>
        <w:t>根据项目地质勘查报告，选取尾矿库附近作为预测点，预测</w:t>
      </w:r>
      <w:r>
        <w:rPr>
          <w:rFonts w:ascii="宋体" w:hAnsi="宋体" w:eastAsia="宋体" w:cs="宋体"/>
          <w:spacing w:val="-3"/>
          <w:sz w:val="24"/>
          <w:szCs w:val="24"/>
        </w:rPr>
        <w:t>点土壤层数为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 xml:space="preserve"> </w:t>
      </w:r>
      <w:r>
        <w:rPr>
          <w:rFonts w:ascii="宋体" w:hAnsi="宋体" w:eastAsia="宋体" w:cs="宋体"/>
          <w:spacing w:val="-4"/>
          <w:sz w:val="24"/>
          <w:szCs w:val="24"/>
        </w:rPr>
        <w:t>层。其中第</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层为粉土，厚度</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2.00m</w:t>
      </w:r>
      <w:r>
        <w:rPr>
          <w:rFonts w:ascii="宋体" w:hAnsi="宋体" w:eastAsia="宋体" w:cs="宋体"/>
          <w:spacing w:val="-4"/>
          <w:sz w:val="24"/>
          <w:szCs w:val="24"/>
        </w:rPr>
        <w:t>；第</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层为圆砺，厚度</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8.00</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10.00m</w:t>
      </w:r>
      <w:r>
        <w:rPr>
          <w:rFonts w:ascii="Times New Roman" w:hAnsi="Times New Roman" w:eastAsia="Times New Roman" w:cs="Times New Roman"/>
          <w:spacing w:val="37"/>
          <w:w w:val="101"/>
          <w:sz w:val="24"/>
          <w:szCs w:val="24"/>
        </w:rPr>
        <w:t xml:space="preserve"> </w:t>
      </w:r>
      <w:r>
        <w:rPr>
          <w:rFonts w:ascii="宋体" w:hAnsi="宋体" w:eastAsia="宋体" w:cs="宋体"/>
          <w:spacing w:val="-5"/>
          <w:sz w:val="24"/>
          <w:szCs w:val="24"/>
        </w:rPr>
        <w:t>以下</w:t>
      </w:r>
      <w:r>
        <w:rPr>
          <w:rFonts w:ascii="宋体" w:hAnsi="宋体" w:eastAsia="宋体" w:cs="宋体"/>
          <w:sz w:val="24"/>
          <w:szCs w:val="24"/>
        </w:rPr>
        <w:t xml:space="preserve"> </w:t>
      </w:r>
      <w:r>
        <w:rPr>
          <w:rFonts w:ascii="宋体" w:hAnsi="宋体" w:eastAsia="宋体" w:cs="宋体"/>
          <w:spacing w:val="-2"/>
          <w:sz w:val="24"/>
          <w:szCs w:val="24"/>
        </w:rPr>
        <w:t>为含水层。土壤柱状图见图</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8.8-1</w:t>
      </w:r>
      <w:r>
        <w:rPr>
          <w:rFonts w:ascii="宋体" w:hAnsi="宋体" w:eastAsia="宋体" w:cs="宋体"/>
          <w:spacing w:val="-2"/>
          <w:sz w:val="24"/>
          <w:szCs w:val="24"/>
        </w:rPr>
        <w:t>。</w:t>
      </w:r>
    </w:p>
    <w:p w14:paraId="3AA4A36E">
      <w:pPr>
        <w:spacing w:before="2" w:line="359" w:lineRule="auto"/>
        <w:ind w:left="122" w:right="112" w:firstLine="480"/>
        <w:rPr>
          <w:rFonts w:ascii="宋体" w:hAnsi="宋体" w:eastAsia="宋体" w:cs="宋体"/>
          <w:sz w:val="24"/>
          <w:szCs w:val="24"/>
        </w:rPr>
      </w:pPr>
      <w:r>
        <w:rPr>
          <w:rFonts w:ascii="宋体" w:hAnsi="宋体" w:eastAsia="宋体" w:cs="宋体"/>
          <w:spacing w:val="-3"/>
          <w:sz w:val="24"/>
          <w:szCs w:val="24"/>
        </w:rPr>
        <w:t>根据现场土壤采样及水文地质调查结果，结合项目特点，项目尾</w:t>
      </w:r>
      <w:r>
        <w:rPr>
          <w:rFonts w:ascii="宋体" w:hAnsi="宋体" w:eastAsia="宋体" w:cs="宋体"/>
          <w:spacing w:val="-4"/>
          <w:sz w:val="24"/>
          <w:szCs w:val="24"/>
        </w:rPr>
        <w:t>矿库进行了</w:t>
      </w:r>
      <w:r>
        <w:rPr>
          <w:rFonts w:ascii="宋体" w:hAnsi="宋体" w:eastAsia="宋体" w:cs="宋体"/>
          <w:sz w:val="24"/>
          <w:szCs w:val="24"/>
        </w:rPr>
        <w:t xml:space="preserve"> </w:t>
      </w:r>
      <w:r>
        <w:rPr>
          <w:rFonts w:ascii="宋体" w:hAnsi="宋体" w:eastAsia="宋体" w:cs="宋体"/>
          <w:spacing w:val="-1"/>
          <w:sz w:val="24"/>
          <w:szCs w:val="24"/>
        </w:rPr>
        <w:t>基础防渗，正常情况下不会发生污染物渗漏。</w:t>
      </w:r>
    </w:p>
    <w:p w14:paraId="2A59192F">
      <w:pPr>
        <w:spacing w:before="76" w:line="340" w:lineRule="auto"/>
        <w:ind w:left="121" w:right="32" w:firstLine="480"/>
        <w:jc w:val="both"/>
        <w:rPr>
          <w:rFonts w:ascii="宋体" w:hAnsi="宋体" w:eastAsia="宋体" w:cs="宋体"/>
          <w:sz w:val="24"/>
          <w:szCs w:val="24"/>
        </w:rPr>
      </w:pPr>
      <w:r>
        <w:rPr>
          <w:rFonts w:ascii="宋体" w:hAnsi="宋体" w:eastAsia="宋体" w:cs="宋体"/>
          <w:sz w:val="24"/>
          <w:szCs w:val="24"/>
        </w:rPr>
        <w:t>在非正常状况下，尾矿库防渗层破裂，同时尾矿浆出现泄漏，</w:t>
      </w:r>
      <w:r>
        <w:rPr>
          <w:rFonts w:ascii="Times New Roman" w:hAnsi="Times New Roman" w:eastAsia="Times New Roman" w:cs="Times New Roman"/>
          <w:sz w:val="24"/>
          <w:szCs w:val="24"/>
        </w:rPr>
        <w:t>Pb</w:t>
      </w:r>
      <w:r>
        <w:rPr>
          <w:rFonts w:ascii="Times New Roman" w:hAnsi="Times New Roman" w:eastAsia="Times New Roman" w:cs="Times New Roman"/>
          <w:spacing w:val="-2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 xml:space="preserve">As </w:t>
      </w:r>
      <w:r>
        <w:rPr>
          <w:rFonts w:ascii="宋体" w:hAnsi="宋体" w:eastAsia="宋体" w:cs="宋体"/>
          <w:sz w:val="24"/>
          <w:szCs w:val="24"/>
        </w:rPr>
        <w:t xml:space="preserve">可能 </w:t>
      </w:r>
      <w:r>
        <w:rPr>
          <w:rFonts w:ascii="宋体" w:hAnsi="宋体" w:eastAsia="宋体" w:cs="宋体"/>
          <w:spacing w:val="-3"/>
          <w:sz w:val="24"/>
          <w:szCs w:val="24"/>
        </w:rPr>
        <w:t>会透过防渗层进入土壤层，造成包气带和含水层的污染。本次评价选取有代表性</w:t>
      </w:r>
      <w:r>
        <w:rPr>
          <w:rFonts w:ascii="宋体" w:hAnsi="宋体" w:eastAsia="宋体" w:cs="宋体"/>
          <w:spacing w:val="1"/>
          <w:sz w:val="24"/>
          <w:szCs w:val="24"/>
        </w:rPr>
        <w:t xml:space="preserve"> </w:t>
      </w:r>
      <w:r>
        <w:rPr>
          <w:rFonts w:ascii="宋体" w:hAnsi="宋体" w:eastAsia="宋体" w:cs="宋体"/>
          <w:spacing w:val="-5"/>
          <w:sz w:val="24"/>
          <w:szCs w:val="24"/>
        </w:rPr>
        <w:t>的非正常状况下，尾矿库尾矿浆对土壤环境的影响。预测源强见下表</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 xml:space="preserve">8.8-5 </w:t>
      </w:r>
      <w:r>
        <w:rPr>
          <w:rFonts w:ascii="宋体" w:hAnsi="宋体" w:eastAsia="宋体" w:cs="宋体"/>
          <w:spacing w:val="-5"/>
          <w:sz w:val="24"/>
          <w:szCs w:val="24"/>
        </w:rPr>
        <w:t>所示。</w:t>
      </w:r>
    </w:p>
    <w:p w14:paraId="25FAE520">
      <w:pPr>
        <w:spacing w:before="1" w:line="212" w:lineRule="auto"/>
        <w:ind w:left="26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8.8-5      </w:t>
      </w:r>
      <w:r>
        <w:rPr>
          <w:rFonts w:ascii="宋体" w:hAnsi="宋体" w:eastAsia="宋体" w:cs="宋体"/>
          <w:spacing w:val="-1"/>
          <w:sz w:val="24"/>
          <w:szCs w:val="24"/>
        </w:rPr>
        <w:t>土壤垂直入渗预测源</w:t>
      </w:r>
      <w:r>
        <w:rPr>
          <w:rFonts w:ascii="宋体" w:hAnsi="宋体" w:eastAsia="宋体" w:cs="宋体"/>
          <w:spacing w:val="-2"/>
          <w:sz w:val="24"/>
          <w:szCs w:val="24"/>
        </w:rPr>
        <w:t>强表</w: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4"/>
        <w:gridCol w:w="1973"/>
        <w:gridCol w:w="1973"/>
        <w:gridCol w:w="2596"/>
      </w:tblGrid>
      <w:tr w14:paraId="55AE5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1984" w:type="dxa"/>
            <w:vAlign w:val="top"/>
          </w:tcPr>
          <w:p w14:paraId="1CE8501D">
            <w:pPr>
              <w:pStyle w:val="6"/>
              <w:spacing w:before="54" w:line="228" w:lineRule="auto"/>
              <w:ind w:left="578"/>
            </w:pPr>
            <w:r>
              <w:rPr>
                <w:spacing w:val="6"/>
              </w:rPr>
              <w:t>预测情景</w:t>
            </w:r>
          </w:p>
        </w:tc>
        <w:tc>
          <w:tcPr>
            <w:tcW w:w="1973" w:type="dxa"/>
            <w:vAlign w:val="top"/>
          </w:tcPr>
          <w:p w14:paraId="0AE59D5B">
            <w:pPr>
              <w:pStyle w:val="6"/>
              <w:spacing w:before="55" w:line="228" w:lineRule="auto"/>
              <w:ind w:left="574"/>
            </w:pPr>
            <w:r>
              <w:rPr>
                <w:spacing w:val="6"/>
              </w:rPr>
              <w:t>预测因子</w:t>
            </w:r>
          </w:p>
        </w:tc>
        <w:tc>
          <w:tcPr>
            <w:tcW w:w="1973" w:type="dxa"/>
            <w:vAlign w:val="top"/>
          </w:tcPr>
          <w:p w14:paraId="3CA68AEC">
            <w:pPr>
              <w:pStyle w:val="6"/>
              <w:spacing w:before="55" w:line="221" w:lineRule="auto"/>
              <w:ind w:left="344"/>
            </w:pPr>
            <w:r>
              <w:rPr>
                <w:spacing w:val="6"/>
              </w:rPr>
              <w:t>浓度（</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2596" w:type="dxa"/>
            <w:vAlign w:val="top"/>
          </w:tcPr>
          <w:p w14:paraId="494E0B27">
            <w:pPr>
              <w:pStyle w:val="6"/>
              <w:spacing w:before="54" w:line="228" w:lineRule="auto"/>
              <w:ind w:left="882"/>
            </w:pPr>
            <w:r>
              <w:rPr>
                <w:spacing w:val="7"/>
              </w:rPr>
              <w:t>渗漏特征</w:t>
            </w:r>
          </w:p>
        </w:tc>
      </w:tr>
      <w:tr w14:paraId="62A46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984" w:type="dxa"/>
            <w:vMerge w:val="restart"/>
            <w:tcBorders>
              <w:bottom w:val="nil"/>
            </w:tcBorders>
            <w:vAlign w:val="top"/>
          </w:tcPr>
          <w:p w14:paraId="140357E2">
            <w:pPr>
              <w:pStyle w:val="6"/>
              <w:spacing w:before="214" w:line="228" w:lineRule="auto"/>
              <w:ind w:left="156"/>
            </w:pPr>
            <w:r>
              <w:rPr>
                <w:spacing w:val="8"/>
              </w:rPr>
              <w:t>尾矿库防渗层破裂</w:t>
            </w:r>
          </w:p>
        </w:tc>
        <w:tc>
          <w:tcPr>
            <w:tcW w:w="1973" w:type="dxa"/>
            <w:vAlign w:val="top"/>
          </w:tcPr>
          <w:p w14:paraId="03CB6862">
            <w:pPr>
              <w:pStyle w:val="6"/>
              <w:spacing w:before="54" w:line="231" w:lineRule="auto"/>
              <w:ind w:left="887"/>
            </w:pPr>
            <w:r>
              <w:t>铅</w:t>
            </w:r>
          </w:p>
        </w:tc>
        <w:tc>
          <w:tcPr>
            <w:tcW w:w="1973" w:type="dxa"/>
            <w:vAlign w:val="top"/>
          </w:tcPr>
          <w:p w14:paraId="253E3314">
            <w:pPr>
              <w:spacing w:before="90"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w:t>
            </w:r>
          </w:p>
        </w:tc>
        <w:tc>
          <w:tcPr>
            <w:tcW w:w="2596" w:type="dxa"/>
            <w:vAlign w:val="top"/>
          </w:tcPr>
          <w:p w14:paraId="543D3672">
            <w:pPr>
              <w:pStyle w:val="6"/>
              <w:spacing w:before="54" w:line="228" w:lineRule="auto"/>
              <w:ind w:left="1093"/>
            </w:pPr>
            <w:r>
              <w:rPr>
                <w:spacing w:val="4"/>
              </w:rPr>
              <w:t>连续</w:t>
            </w:r>
          </w:p>
        </w:tc>
      </w:tr>
      <w:tr w14:paraId="47FA6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84" w:type="dxa"/>
            <w:vMerge w:val="continue"/>
            <w:tcBorders>
              <w:top w:val="nil"/>
            </w:tcBorders>
            <w:vAlign w:val="top"/>
          </w:tcPr>
          <w:p w14:paraId="4449A8EE">
            <w:pPr>
              <w:rPr>
                <w:rFonts w:ascii="Arial"/>
                <w:sz w:val="21"/>
              </w:rPr>
            </w:pPr>
          </w:p>
        </w:tc>
        <w:tc>
          <w:tcPr>
            <w:tcW w:w="1973" w:type="dxa"/>
            <w:vAlign w:val="top"/>
          </w:tcPr>
          <w:p w14:paraId="1D010968">
            <w:pPr>
              <w:pStyle w:val="6"/>
              <w:spacing w:before="56" w:line="228" w:lineRule="auto"/>
              <w:ind w:left="886"/>
            </w:pPr>
            <w:r>
              <w:rPr>
                <w:spacing w:val="1"/>
              </w:rPr>
              <w:t>砷</w:t>
            </w:r>
          </w:p>
        </w:tc>
        <w:tc>
          <w:tcPr>
            <w:tcW w:w="1973" w:type="dxa"/>
            <w:vAlign w:val="top"/>
          </w:tcPr>
          <w:p w14:paraId="51AF0EE5">
            <w:pPr>
              <w:spacing w:before="91" w:line="195" w:lineRule="auto"/>
              <w:ind w:left="7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0.418</w:t>
            </w:r>
          </w:p>
        </w:tc>
        <w:tc>
          <w:tcPr>
            <w:tcW w:w="2596" w:type="dxa"/>
            <w:vAlign w:val="top"/>
          </w:tcPr>
          <w:p w14:paraId="42076AE3">
            <w:pPr>
              <w:pStyle w:val="6"/>
              <w:spacing w:before="56" w:line="228" w:lineRule="auto"/>
              <w:ind w:left="1093"/>
            </w:pPr>
            <w:r>
              <w:rPr>
                <w:spacing w:val="4"/>
              </w:rPr>
              <w:t>连续</w:t>
            </w:r>
          </w:p>
        </w:tc>
      </w:tr>
    </w:tbl>
    <w:p w14:paraId="6930C79D">
      <w:pPr>
        <w:spacing w:before="193" w:line="219" w:lineRule="auto"/>
        <w:ind w:left="605"/>
        <w:rPr>
          <w:rFonts w:ascii="宋体" w:hAnsi="宋体" w:eastAsia="宋体" w:cs="宋体"/>
          <w:sz w:val="24"/>
          <w:szCs w:val="24"/>
        </w:rPr>
      </w:pPr>
      <w:r>
        <w:rPr>
          <w:rFonts w:ascii="宋体" w:hAnsi="宋体" w:eastAsia="宋体" w:cs="宋体"/>
          <w:spacing w:val="-1"/>
          <w:sz w:val="24"/>
          <w:szCs w:val="24"/>
        </w:rPr>
        <w:t>溶质运移模型方程中相关参数取值见下表。</w:t>
      </w:r>
    </w:p>
    <w:p w14:paraId="1F44CEDB">
      <w:pPr>
        <w:spacing w:before="183" w:line="211" w:lineRule="auto"/>
        <w:ind w:left="23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8.8-6        </w:t>
      </w:r>
      <w:r>
        <w:rPr>
          <w:rFonts w:ascii="宋体" w:hAnsi="宋体" w:eastAsia="宋体" w:cs="宋体"/>
          <w:spacing w:val="-1"/>
          <w:sz w:val="24"/>
          <w:szCs w:val="24"/>
        </w:rPr>
        <w:t>垂直渗入预测模型参数一览表</w:t>
      </w: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9"/>
        <w:gridCol w:w="1291"/>
        <w:gridCol w:w="1273"/>
        <w:gridCol w:w="1273"/>
        <w:gridCol w:w="884"/>
        <w:gridCol w:w="990"/>
        <w:gridCol w:w="1078"/>
        <w:gridCol w:w="725"/>
      </w:tblGrid>
      <w:tr w14:paraId="3CD79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09" w:type="dxa"/>
            <w:vAlign w:val="top"/>
          </w:tcPr>
          <w:p w14:paraId="5306D113">
            <w:pPr>
              <w:pStyle w:val="6"/>
              <w:spacing w:before="56" w:line="228" w:lineRule="auto"/>
              <w:ind w:left="195"/>
            </w:pPr>
            <w:r>
              <w:rPr>
                <w:spacing w:val="6"/>
              </w:rPr>
              <w:t>土壤层</w:t>
            </w:r>
          </w:p>
          <w:p w14:paraId="3D5EF6FE">
            <w:pPr>
              <w:pStyle w:val="6"/>
              <w:spacing w:before="65" w:line="228" w:lineRule="auto"/>
              <w:ind w:left="299"/>
              <w:rPr>
                <w:rFonts w:ascii="Times New Roman" w:hAnsi="Times New Roman" w:eastAsia="Times New Roman" w:cs="Times New Roman"/>
              </w:rPr>
            </w:pPr>
            <w:r>
              <w:rPr>
                <w:spacing w:val="2"/>
              </w:rPr>
              <w:t>次</w:t>
            </w:r>
            <w:r>
              <w:rPr>
                <w:rFonts w:ascii="Times New Roman" w:hAnsi="Times New Roman" w:eastAsia="Times New Roman" w:cs="Times New Roman"/>
                <w:spacing w:val="2"/>
              </w:rPr>
              <w:t>/m</w:t>
            </w:r>
          </w:p>
        </w:tc>
        <w:tc>
          <w:tcPr>
            <w:tcW w:w="1291" w:type="dxa"/>
            <w:vAlign w:val="top"/>
          </w:tcPr>
          <w:p w14:paraId="571D16D4">
            <w:pPr>
              <w:pStyle w:val="6"/>
              <w:spacing w:before="212" w:line="228" w:lineRule="auto"/>
              <w:ind w:left="230"/>
            </w:pPr>
            <w:r>
              <w:rPr>
                <w:spacing w:val="7"/>
              </w:rPr>
              <w:t>土壤类型</w:t>
            </w:r>
          </w:p>
        </w:tc>
        <w:tc>
          <w:tcPr>
            <w:tcW w:w="1273" w:type="dxa"/>
            <w:vAlign w:val="top"/>
          </w:tcPr>
          <w:p w14:paraId="0A58CC72">
            <w:pPr>
              <w:pStyle w:val="6"/>
              <w:spacing w:before="57" w:line="276" w:lineRule="auto"/>
              <w:ind w:left="256" w:right="109" w:hanging="139"/>
              <w:rPr>
                <w:rFonts w:ascii="Times New Roman" w:hAnsi="Times New Roman" w:eastAsia="Times New Roman" w:cs="Times New Roman"/>
                <w:sz w:val="13"/>
                <w:szCs w:val="13"/>
              </w:rPr>
            </w:pPr>
            <w:r>
              <w:rPr>
                <w:spacing w:val="8"/>
              </w:rPr>
              <w:t>残余含水率</w:t>
            </w:r>
            <w:r>
              <w:t xml:space="preserve"> </w:t>
            </w:r>
            <w:r>
              <w:rPr>
                <w:rFonts w:ascii="Times New Roman" w:hAnsi="Times New Roman" w:eastAsia="Times New Roman" w:cs="Times New Roman"/>
                <w:spacing w:val="2"/>
                <w:position w:val="-1"/>
              </w:rPr>
              <w:t>θr/m</w:t>
            </w:r>
            <w:r>
              <w:rPr>
                <w:rFonts w:ascii="Times New Roman" w:hAnsi="Times New Roman" w:eastAsia="Times New Roman" w:cs="Times New Roman"/>
                <w:spacing w:val="2"/>
                <w:position w:val="5"/>
                <w:sz w:val="13"/>
                <w:szCs w:val="13"/>
              </w:rPr>
              <w:t xml:space="preserve">3 </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5"/>
                <w:sz w:val="13"/>
                <w:szCs w:val="13"/>
              </w:rPr>
              <w:t>-3</w:t>
            </w:r>
          </w:p>
        </w:tc>
        <w:tc>
          <w:tcPr>
            <w:tcW w:w="1273" w:type="dxa"/>
            <w:vAlign w:val="top"/>
          </w:tcPr>
          <w:p w14:paraId="299297A7">
            <w:pPr>
              <w:pStyle w:val="6"/>
              <w:spacing w:before="57" w:line="276" w:lineRule="auto"/>
              <w:ind w:left="241" w:right="108" w:hanging="123"/>
              <w:rPr>
                <w:rFonts w:ascii="Times New Roman" w:hAnsi="Times New Roman" w:eastAsia="Times New Roman" w:cs="Times New Roman"/>
                <w:sz w:val="13"/>
                <w:szCs w:val="13"/>
              </w:rPr>
            </w:pPr>
            <w:r>
              <w:rPr>
                <w:spacing w:val="8"/>
              </w:rPr>
              <w:t>饱和含水率</w:t>
            </w:r>
            <w:r>
              <w:t xml:space="preserve"> </w:t>
            </w:r>
            <w:r>
              <w:rPr>
                <w:rFonts w:ascii="Times New Roman" w:hAnsi="Times New Roman" w:eastAsia="Times New Roman" w:cs="Times New Roman"/>
                <w:spacing w:val="2"/>
                <w:position w:val="-1"/>
              </w:rPr>
              <w:t>θs/m</w:t>
            </w:r>
            <w:r>
              <w:rPr>
                <w:rFonts w:ascii="Times New Roman" w:hAnsi="Times New Roman" w:eastAsia="Times New Roman" w:cs="Times New Roman"/>
                <w:spacing w:val="2"/>
                <w:position w:val="5"/>
                <w:sz w:val="13"/>
                <w:szCs w:val="13"/>
              </w:rPr>
              <w:t>3</w:t>
            </w:r>
            <w:r>
              <w:rPr>
                <w:rFonts w:ascii="Times New Roman" w:hAnsi="Times New Roman" w:eastAsia="Times New Roman" w:cs="Times New Roman"/>
                <w:spacing w:val="26"/>
                <w:w w:val="101"/>
                <w:position w:val="5"/>
                <w:sz w:val="13"/>
                <w:szCs w:val="13"/>
              </w:rPr>
              <w:t xml:space="preserve"> </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5"/>
                <w:sz w:val="13"/>
                <w:szCs w:val="13"/>
              </w:rPr>
              <w:t>-3</w:t>
            </w:r>
          </w:p>
        </w:tc>
        <w:tc>
          <w:tcPr>
            <w:tcW w:w="884" w:type="dxa"/>
            <w:vAlign w:val="top"/>
          </w:tcPr>
          <w:p w14:paraId="21F43004">
            <w:pPr>
              <w:pStyle w:val="6"/>
              <w:spacing w:before="57" w:line="260" w:lineRule="auto"/>
              <w:ind w:left="122" w:right="112" w:firstLine="14"/>
              <w:rPr>
                <w:rFonts w:ascii="Times New Roman" w:hAnsi="Times New Roman" w:eastAsia="Times New Roman" w:cs="Times New Roman"/>
                <w:sz w:val="13"/>
                <w:szCs w:val="13"/>
              </w:rPr>
            </w:pPr>
            <w:r>
              <w:rPr>
                <w:spacing w:val="6"/>
              </w:rPr>
              <w:t>经验参</w:t>
            </w:r>
            <w:r>
              <w:t xml:space="preserve"> </w:t>
            </w:r>
            <w:r>
              <w:rPr>
                <w:spacing w:val="3"/>
              </w:rPr>
              <w:t>数</w:t>
            </w:r>
            <w:r>
              <w:rPr>
                <w:rFonts w:ascii="Times New Roman" w:hAnsi="Times New Roman" w:eastAsia="Times New Roman" w:cs="Times New Roman"/>
                <w:spacing w:val="3"/>
              </w:rPr>
              <w:t>α/m</w:t>
            </w:r>
            <w:r>
              <w:rPr>
                <w:rFonts w:ascii="Times New Roman" w:hAnsi="Times New Roman" w:eastAsia="Times New Roman" w:cs="Times New Roman"/>
                <w:spacing w:val="3"/>
                <w:position w:val="6"/>
                <w:sz w:val="13"/>
                <w:szCs w:val="13"/>
              </w:rPr>
              <w:t>-1</w:t>
            </w:r>
          </w:p>
        </w:tc>
        <w:tc>
          <w:tcPr>
            <w:tcW w:w="990" w:type="dxa"/>
            <w:vAlign w:val="top"/>
          </w:tcPr>
          <w:p w14:paraId="224A5D7B">
            <w:pPr>
              <w:pStyle w:val="6"/>
              <w:spacing w:before="57" w:line="260" w:lineRule="auto"/>
              <w:ind w:left="114" w:right="104" w:firstLine="96"/>
              <w:rPr>
                <w:rFonts w:ascii="Times New Roman" w:hAnsi="Times New Roman" w:eastAsia="Times New Roman" w:cs="Times New Roman"/>
              </w:rPr>
            </w:pPr>
            <w:r>
              <w:rPr>
                <w:spacing w:val="-2"/>
              </w:rPr>
              <w:t>曲线形</w:t>
            </w:r>
            <w:r>
              <w:rPr>
                <w:spacing w:val="1"/>
              </w:rPr>
              <w:t xml:space="preserve"> </w:t>
            </w:r>
            <w:r>
              <w:rPr>
                <w:spacing w:val="6"/>
              </w:rPr>
              <w:t>状参数</w:t>
            </w:r>
            <w:r>
              <w:rPr>
                <w:spacing w:val="-59"/>
              </w:rPr>
              <w:t xml:space="preserve"> </w:t>
            </w:r>
            <w:r>
              <w:rPr>
                <w:rFonts w:ascii="Times New Roman" w:hAnsi="Times New Roman" w:eastAsia="Times New Roman" w:cs="Times New Roman"/>
                <w:spacing w:val="6"/>
              </w:rPr>
              <w:t>n</w:t>
            </w:r>
          </w:p>
        </w:tc>
        <w:tc>
          <w:tcPr>
            <w:tcW w:w="1078" w:type="dxa"/>
            <w:vAlign w:val="top"/>
          </w:tcPr>
          <w:p w14:paraId="44FCBC55">
            <w:pPr>
              <w:pStyle w:val="6"/>
              <w:spacing w:before="57" w:line="276" w:lineRule="auto"/>
              <w:ind w:left="170" w:right="127" w:hanging="54"/>
              <w:rPr>
                <w:rFonts w:ascii="Times New Roman" w:hAnsi="Times New Roman" w:eastAsia="Times New Roman" w:cs="Times New Roman"/>
                <w:sz w:val="13"/>
                <w:szCs w:val="13"/>
              </w:rPr>
            </w:pPr>
            <w:r>
              <w:rPr>
                <w:spacing w:val="7"/>
              </w:rPr>
              <w:t>渗透系数</w:t>
            </w:r>
            <w:r>
              <w:t xml:space="preserve"> </w:t>
            </w:r>
            <w:r>
              <w:rPr>
                <w:rFonts w:ascii="Times New Roman" w:hAnsi="Times New Roman" w:eastAsia="Times New Roman" w:cs="Times New Roman"/>
              </w:rPr>
              <w:t>Ks</w:t>
            </w:r>
            <w:r>
              <w:rPr>
                <w:rFonts w:ascii="Times New Roman" w:hAnsi="Times New Roman" w:eastAsia="Times New Roman" w:cs="Times New Roman"/>
                <w:spacing w:val="4"/>
              </w:rPr>
              <w:t>/m·d</w:t>
            </w:r>
            <w:r>
              <w:rPr>
                <w:rFonts w:ascii="Times New Roman" w:hAnsi="Times New Roman" w:eastAsia="Times New Roman" w:cs="Times New Roman"/>
                <w:spacing w:val="4"/>
                <w:position w:val="6"/>
                <w:sz w:val="13"/>
                <w:szCs w:val="13"/>
              </w:rPr>
              <w:t>-1</w:t>
            </w:r>
          </w:p>
        </w:tc>
        <w:tc>
          <w:tcPr>
            <w:tcW w:w="725" w:type="dxa"/>
            <w:vAlign w:val="top"/>
          </w:tcPr>
          <w:p w14:paraId="34B736AC">
            <w:pPr>
              <w:pStyle w:val="6"/>
              <w:spacing w:before="57" w:line="260" w:lineRule="auto"/>
              <w:ind w:left="117" w:right="108" w:firstLine="43"/>
              <w:rPr>
                <w:rFonts w:ascii="Times New Roman" w:hAnsi="Times New Roman" w:eastAsia="Times New Roman" w:cs="Times New Roman"/>
              </w:rPr>
            </w:pPr>
            <w:r>
              <w:rPr>
                <w:spacing w:val="3"/>
              </w:rPr>
              <w:t>经验</w:t>
            </w:r>
            <w:r>
              <w:t xml:space="preserve"> </w:t>
            </w:r>
            <w:r>
              <w:rPr>
                <w:spacing w:val="12"/>
              </w:rPr>
              <w:t>参数</w:t>
            </w:r>
            <w:r>
              <w:rPr>
                <w:rFonts w:ascii="Times New Roman" w:hAnsi="Times New Roman" w:eastAsia="Times New Roman" w:cs="Times New Roman"/>
                <w:spacing w:val="12"/>
              </w:rPr>
              <w:t>l</w:t>
            </w:r>
          </w:p>
        </w:tc>
      </w:tr>
      <w:tr w14:paraId="3723F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09" w:type="dxa"/>
            <w:vAlign w:val="top"/>
          </w:tcPr>
          <w:p w14:paraId="5D35A367">
            <w:pPr>
              <w:spacing w:before="90"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1291" w:type="dxa"/>
            <w:vAlign w:val="top"/>
          </w:tcPr>
          <w:p w14:paraId="06F79CD4">
            <w:pPr>
              <w:pStyle w:val="6"/>
              <w:spacing w:before="54" w:line="228" w:lineRule="auto"/>
              <w:ind w:left="438"/>
            </w:pPr>
            <w:r>
              <w:rPr>
                <w:spacing w:val="5"/>
              </w:rPr>
              <w:t>粉土</w:t>
            </w:r>
          </w:p>
        </w:tc>
        <w:tc>
          <w:tcPr>
            <w:tcW w:w="1273" w:type="dxa"/>
            <w:vAlign w:val="top"/>
          </w:tcPr>
          <w:p w14:paraId="0BBE7135">
            <w:pPr>
              <w:spacing w:before="90"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0.065</w:t>
            </w:r>
          </w:p>
        </w:tc>
        <w:tc>
          <w:tcPr>
            <w:tcW w:w="1273" w:type="dxa"/>
            <w:vAlign w:val="top"/>
          </w:tcPr>
          <w:p w14:paraId="4B009282">
            <w:pPr>
              <w:spacing w:before="90"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884" w:type="dxa"/>
            <w:vAlign w:val="top"/>
          </w:tcPr>
          <w:p w14:paraId="49BEFEC8">
            <w:pPr>
              <w:spacing w:before="93" w:line="192"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990" w:type="dxa"/>
            <w:vAlign w:val="top"/>
          </w:tcPr>
          <w:p w14:paraId="7DF6A5C4">
            <w:pPr>
              <w:spacing w:before="90"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c>
          <w:tcPr>
            <w:tcW w:w="1078" w:type="dxa"/>
            <w:vAlign w:val="top"/>
          </w:tcPr>
          <w:p w14:paraId="388BBC4B">
            <w:pPr>
              <w:spacing w:before="90"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1.061</w:t>
            </w:r>
          </w:p>
        </w:tc>
        <w:tc>
          <w:tcPr>
            <w:tcW w:w="725" w:type="dxa"/>
            <w:vAlign w:val="top"/>
          </w:tcPr>
          <w:p w14:paraId="027914C3">
            <w:pPr>
              <w:spacing w:before="90"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5B94C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09" w:type="dxa"/>
            <w:vAlign w:val="top"/>
          </w:tcPr>
          <w:p w14:paraId="7787EA46">
            <w:pPr>
              <w:spacing w:before="91"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10.0</w:t>
            </w:r>
          </w:p>
        </w:tc>
        <w:tc>
          <w:tcPr>
            <w:tcW w:w="1291" w:type="dxa"/>
            <w:vAlign w:val="top"/>
          </w:tcPr>
          <w:p w14:paraId="49E56A4F">
            <w:pPr>
              <w:pStyle w:val="6"/>
              <w:spacing w:before="55" w:line="229" w:lineRule="auto"/>
              <w:ind w:left="456"/>
            </w:pPr>
            <w:r>
              <w:rPr>
                <w:spacing w:val="-4"/>
              </w:rPr>
              <w:t>圆砺</w:t>
            </w:r>
          </w:p>
        </w:tc>
        <w:tc>
          <w:tcPr>
            <w:tcW w:w="1273" w:type="dxa"/>
            <w:vAlign w:val="top"/>
          </w:tcPr>
          <w:p w14:paraId="6B4EDF44">
            <w:pPr>
              <w:spacing w:before="91"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0.045</w:t>
            </w:r>
          </w:p>
        </w:tc>
        <w:tc>
          <w:tcPr>
            <w:tcW w:w="1273" w:type="dxa"/>
            <w:vAlign w:val="top"/>
          </w:tcPr>
          <w:p w14:paraId="07FC09AD">
            <w:pPr>
              <w:spacing w:before="91"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884" w:type="dxa"/>
            <w:vAlign w:val="top"/>
          </w:tcPr>
          <w:p w14:paraId="13078AA7">
            <w:pPr>
              <w:spacing w:before="9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990" w:type="dxa"/>
            <w:vAlign w:val="top"/>
          </w:tcPr>
          <w:p w14:paraId="6D92EEBD">
            <w:pPr>
              <w:spacing w:before="9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2.68</w:t>
            </w:r>
          </w:p>
        </w:tc>
        <w:tc>
          <w:tcPr>
            <w:tcW w:w="1078" w:type="dxa"/>
            <w:vAlign w:val="top"/>
          </w:tcPr>
          <w:p w14:paraId="27125F95">
            <w:pPr>
              <w:spacing w:before="9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7.128</w:t>
            </w:r>
          </w:p>
        </w:tc>
        <w:tc>
          <w:tcPr>
            <w:tcW w:w="725" w:type="dxa"/>
            <w:vAlign w:val="top"/>
          </w:tcPr>
          <w:p w14:paraId="1499960A">
            <w:pPr>
              <w:spacing w:before="91"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bl>
    <w:p w14:paraId="199B6CB8">
      <w:pPr>
        <w:pStyle w:val="2"/>
      </w:pPr>
    </w:p>
    <w:p w14:paraId="5A579861">
      <w:pPr>
        <w:sectPr>
          <w:headerReference r:id="rId375" w:type="default"/>
          <w:footerReference r:id="rId376" w:type="default"/>
          <w:pgSz w:w="11906" w:h="16839"/>
          <w:pgMar w:top="1208" w:right="1687" w:bottom="1358" w:left="1687" w:header="825" w:footer="1195" w:gutter="0"/>
          <w:cols w:space="720" w:num="1"/>
        </w:sectPr>
      </w:pPr>
    </w:p>
    <w:p w14:paraId="6FBDC03B">
      <w:pPr>
        <w:spacing w:before="231" w:line="8143" w:lineRule="exact"/>
        <w:ind w:firstLine="806"/>
      </w:pPr>
      <w:r>
        <w:rPr>
          <w:position w:val="-162"/>
        </w:rPr>
        <w:drawing>
          <wp:inline distT="0" distB="0" distL="0" distR="0">
            <wp:extent cx="4260850" cy="517080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538"/>
                    <a:stretch>
                      <a:fillRect/>
                    </a:stretch>
                  </pic:blipFill>
                  <pic:spPr>
                    <a:xfrm>
                      <a:off x="0" y="0"/>
                      <a:ext cx="4261103" cy="5170932"/>
                    </a:xfrm>
                    <a:prstGeom prst="rect">
                      <a:avLst/>
                    </a:prstGeom>
                  </pic:spPr>
                </pic:pic>
              </a:graphicData>
            </a:graphic>
          </wp:inline>
        </w:drawing>
      </w:r>
    </w:p>
    <w:p w14:paraId="3FD83C98">
      <w:pPr>
        <w:pStyle w:val="2"/>
        <w:spacing w:line="329" w:lineRule="auto"/>
      </w:pPr>
    </w:p>
    <w:p w14:paraId="6957C4CA">
      <w:pPr>
        <w:spacing w:before="78" w:line="219" w:lineRule="auto"/>
        <w:ind w:left="272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8.8-1    </w:t>
      </w:r>
      <w:r>
        <w:rPr>
          <w:rFonts w:ascii="宋体" w:hAnsi="宋体" w:eastAsia="宋体" w:cs="宋体"/>
          <w:spacing w:val="-3"/>
          <w:sz w:val="24"/>
          <w:szCs w:val="24"/>
        </w:rPr>
        <w:t>预测点土壤柱状图</w:t>
      </w:r>
    </w:p>
    <w:p w14:paraId="351497C1">
      <w:pPr>
        <w:spacing w:before="183" w:line="219" w:lineRule="auto"/>
        <w:ind w:left="508"/>
        <w:outlineLvl w:val="3"/>
        <w:rPr>
          <w:rFonts w:ascii="宋体" w:hAnsi="宋体" w:eastAsia="宋体" w:cs="宋体"/>
          <w:sz w:val="24"/>
          <w:szCs w:val="24"/>
        </w:rPr>
      </w:pPr>
      <w:r>
        <w:rPr>
          <w:rFonts w:ascii="Times New Roman" w:hAnsi="Times New Roman" w:eastAsia="Times New Roman" w:cs="Times New Roman"/>
          <w:spacing w:val="-2"/>
          <w:sz w:val="24"/>
          <w:szCs w:val="24"/>
        </w:rPr>
        <w:t xml:space="preserve">8.8.5.4 </w:t>
      </w:r>
      <w:r>
        <w:rPr>
          <w:rFonts w:ascii="宋体" w:hAnsi="宋体" w:eastAsia="宋体" w:cs="宋体"/>
          <w:spacing w:val="-2"/>
          <w:sz w:val="24"/>
          <w:szCs w:val="24"/>
        </w:rPr>
        <w:t>模型概化</w:t>
      </w:r>
    </w:p>
    <w:p w14:paraId="734D2178">
      <w:pPr>
        <w:spacing w:before="102" w:line="289" w:lineRule="auto"/>
        <w:ind w:left="43" w:right="13" w:firstLine="47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）模拟软件选取：在本次评价中应用</w:t>
      </w:r>
      <w:r>
        <w:rPr>
          <w:rFonts w:ascii="Times New Roman" w:hAnsi="Times New Roman" w:eastAsia="Times New Roman" w:cs="Times New Roman"/>
          <w:sz w:val="24"/>
          <w:szCs w:val="24"/>
        </w:rPr>
        <w:t>HYDRUS</w:t>
      </w:r>
      <w:r>
        <w:rPr>
          <w:rFonts w:ascii="Times New Roman" w:hAnsi="Times New Roman" w:eastAsia="Times New Roman" w:cs="Times New Roman"/>
          <w:spacing w:val="1"/>
          <w:sz w:val="24"/>
          <w:szCs w:val="24"/>
        </w:rPr>
        <w:t xml:space="preserve">-1D </w:t>
      </w:r>
      <w:r>
        <w:rPr>
          <w:rFonts w:ascii="宋体" w:hAnsi="宋体" w:eastAsia="宋体" w:cs="宋体"/>
          <w:spacing w:val="1"/>
          <w:sz w:val="24"/>
          <w:szCs w:val="24"/>
        </w:rPr>
        <w:t>软件</w:t>
      </w:r>
      <w:r>
        <w:rPr>
          <w:rFonts w:ascii="宋体" w:hAnsi="宋体" w:eastAsia="宋体" w:cs="宋体"/>
          <w:sz w:val="24"/>
          <w:szCs w:val="24"/>
        </w:rPr>
        <w:t xml:space="preserve">求解非饱和带中 </w:t>
      </w:r>
      <w:r>
        <w:rPr>
          <w:rFonts w:ascii="宋体" w:hAnsi="宋体" w:eastAsia="宋体" w:cs="宋体"/>
          <w:spacing w:val="-3"/>
          <w:sz w:val="24"/>
          <w:szCs w:val="24"/>
        </w:rPr>
        <w:t>的水分与溶质运移方程。</w:t>
      </w:r>
    </w:p>
    <w:p w14:paraId="7362065B">
      <w:pPr>
        <w:spacing w:before="184" w:line="336" w:lineRule="auto"/>
        <w:ind w:left="21" w:right="13" w:firstLine="49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）建立模型：尾矿库防渗层破损，尾矿浆泄漏</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300</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天，对泄漏物质在包</w:t>
      </w:r>
      <w:r>
        <w:rPr>
          <w:rFonts w:ascii="宋体" w:hAnsi="宋体" w:eastAsia="宋体" w:cs="宋体"/>
          <w:sz w:val="24"/>
          <w:szCs w:val="24"/>
        </w:rPr>
        <w:t xml:space="preserve"> 气带中的运移进行模拟。预测点地下水埋深</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10.00m</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 xml:space="preserve">，参照调查地层资料，模型 </w:t>
      </w:r>
      <w:r>
        <w:rPr>
          <w:rFonts w:ascii="宋体" w:hAnsi="宋体" w:eastAsia="宋体" w:cs="宋体"/>
          <w:spacing w:val="-2"/>
          <w:sz w:val="24"/>
          <w:szCs w:val="24"/>
        </w:rPr>
        <w:t>选择土壤包气带进行模拟。</w:t>
      </w:r>
      <w:r>
        <w:rPr>
          <w:rFonts w:ascii="宋体" w:hAnsi="宋体" w:eastAsia="宋体" w:cs="宋体"/>
          <w:spacing w:val="-64"/>
          <w:sz w:val="24"/>
          <w:szCs w:val="24"/>
        </w:rPr>
        <w:t xml:space="preserve"> </w:t>
      </w:r>
      <w:r>
        <w:rPr>
          <w:rFonts w:ascii="宋体" w:hAnsi="宋体" w:eastAsia="宋体" w:cs="宋体"/>
          <w:spacing w:val="-2"/>
          <w:sz w:val="24"/>
          <w:szCs w:val="24"/>
        </w:rPr>
        <w:t>自地表向下</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10.00m </w:t>
      </w:r>
      <w:r>
        <w:rPr>
          <w:rFonts w:ascii="宋体" w:hAnsi="宋体" w:eastAsia="宋体" w:cs="宋体"/>
          <w:spacing w:val="-2"/>
          <w:sz w:val="24"/>
          <w:szCs w:val="24"/>
        </w:rPr>
        <w:t>分为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层，分别为粉土层和圆砺</w:t>
      </w:r>
      <w:r>
        <w:rPr>
          <w:rFonts w:ascii="宋体" w:hAnsi="宋体" w:eastAsia="宋体" w:cs="宋体"/>
          <w:sz w:val="24"/>
          <w:szCs w:val="24"/>
        </w:rPr>
        <w:t xml:space="preserve"> </w:t>
      </w:r>
      <w:r>
        <w:rPr>
          <w:rFonts w:ascii="宋体" w:hAnsi="宋体" w:eastAsia="宋体" w:cs="宋体"/>
          <w:spacing w:val="-1"/>
          <w:sz w:val="24"/>
          <w:szCs w:val="24"/>
        </w:rPr>
        <w:t>层。剖分节点为</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，从地表开始每</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 xml:space="preserve">1m </w:t>
      </w:r>
      <w:r>
        <w:rPr>
          <w:rFonts w:ascii="宋体" w:hAnsi="宋体" w:eastAsia="宋体" w:cs="宋体"/>
          <w:spacing w:val="-1"/>
          <w:sz w:val="24"/>
          <w:szCs w:val="24"/>
        </w:rPr>
        <w:t>个设一个剖分节点。在预测目标层布</w:t>
      </w:r>
      <w:r>
        <w:rPr>
          <w:rFonts w:ascii="宋体" w:hAnsi="宋体" w:eastAsia="宋体" w:cs="宋体"/>
          <w:sz w:val="24"/>
          <w:szCs w:val="24"/>
        </w:rPr>
        <w:t xml:space="preserve"> </w:t>
      </w:r>
      <w:r>
        <w:rPr>
          <w:rFonts w:ascii="宋体" w:hAnsi="宋体" w:eastAsia="宋体" w:cs="宋体"/>
          <w:spacing w:val="1"/>
          <w:sz w:val="24"/>
          <w:szCs w:val="24"/>
        </w:rPr>
        <w:t>置</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个监测点，从上到下依次为</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N1~N6</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。土壤剖面概化及</w:t>
      </w:r>
      <w:r>
        <w:rPr>
          <w:rFonts w:ascii="宋体" w:hAnsi="宋体" w:eastAsia="宋体" w:cs="宋体"/>
          <w:sz w:val="24"/>
          <w:szCs w:val="24"/>
        </w:rPr>
        <w:t xml:space="preserve">剖面观测点分布见下 </w:t>
      </w:r>
      <w:r>
        <w:rPr>
          <w:rFonts w:ascii="宋体" w:hAnsi="宋体" w:eastAsia="宋体" w:cs="宋体"/>
          <w:spacing w:val="-4"/>
          <w:sz w:val="24"/>
          <w:szCs w:val="24"/>
        </w:rPr>
        <w:t>图。</w:t>
      </w:r>
    </w:p>
    <w:p w14:paraId="240D81B6">
      <w:pPr>
        <w:spacing w:line="336" w:lineRule="auto"/>
        <w:rPr>
          <w:rFonts w:ascii="宋体" w:hAnsi="宋体" w:eastAsia="宋体" w:cs="宋体"/>
          <w:sz w:val="24"/>
          <w:szCs w:val="24"/>
        </w:rPr>
        <w:sectPr>
          <w:headerReference r:id="rId377" w:type="default"/>
          <w:footerReference r:id="rId378" w:type="default"/>
          <w:pgSz w:w="11906" w:h="16839"/>
          <w:pgMar w:top="1208" w:right="1785" w:bottom="1358" w:left="1785" w:header="825" w:footer="1195" w:gutter="0"/>
          <w:cols w:space="720" w:num="1"/>
        </w:sectPr>
      </w:pPr>
    </w:p>
    <w:p w14:paraId="14ABEEF5">
      <w:pPr>
        <w:pStyle w:val="2"/>
        <w:spacing w:line="255" w:lineRule="auto"/>
      </w:pPr>
    </w:p>
    <w:p w14:paraId="5184A813">
      <w:pPr>
        <w:spacing w:line="6812" w:lineRule="exact"/>
        <w:ind w:firstLine="1643"/>
      </w:pPr>
      <w:r>
        <w:rPr>
          <w:position w:val="-136"/>
        </w:rPr>
        <w:drawing>
          <wp:inline distT="0" distB="0" distL="0" distR="0">
            <wp:extent cx="3204845" cy="432498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539"/>
                    <a:stretch>
                      <a:fillRect/>
                    </a:stretch>
                  </pic:blipFill>
                  <pic:spPr>
                    <a:xfrm>
                      <a:off x="0" y="0"/>
                      <a:ext cx="3204972" cy="4325112"/>
                    </a:xfrm>
                    <a:prstGeom prst="rect">
                      <a:avLst/>
                    </a:prstGeom>
                  </pic:spPr>
                </pic:pic>
              </a:graphicData>
            </a:graphic>
          </wp:inline>
        </w:drawing>
      </w:r>
    </w:p>
    <w:p w14:paraId="1CD254CB">
      <w:pPr>
        <w:spacing w:before="139" w:line="219" w:lineRule="auto"/>
        <w:ind w:left="2240"/>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8.8-2    </w:t>
      </w:r>
      <w:r>
        <w:rPr>
          <w:rFonts w:ascii="宋体" w:hAnsi="宋体" w:eastAsia="宋体" w:cs="宋体"/>
          <w:spacing w:val="-2"/>
          <w:sz w:val="24"/>
          <w:szCs w:val="24"/>
        </w:rPr>
        <w:t>土壤剖面概化及剖面观测点</w:t>
      </w:r>
      <w:r>
        <w:rPr>
          <w:rFonts w:ascii="宋体" w:hAnsi="宋体" w:eastAsia="宋体" w:cs="宋体"/>
          <w:spacing w:val="-3"/>
          <w:sz w:val="24"/>
          <w:szCs w:val="24"/>
        </w:rPr>
        <w:t>分布</w:t>
      </w:r>
    </w:p>
    <w:p w14:paraId="789A3C92">
      <w:pPr>
        <w:spacing w:before="183" w:line="220"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8.8.5.5 </w:t>
      </w:r>
      <w:r>
        <w:rPr>
          <w:rFonts w:ascii="宋体" w:hAnsi="宋体" w:eastAsia="宋体" w:cs="宋体"/>
          <w:spacing w:val="-1"/>
          <w:sz w:val="24"/>
          <w:szCs w:val="24"/>
        </w:rPr>
        <w:t>土壤污染预测结果</w:t>
      </w:r>
    </w:p>
    <w:p w14:paraId="7F445DAD">
      <w:pPr>
        <w:spacing w:before="181" w:line="219" w:lineRule="auto"/>
        <w:ind w:left="504"/>
        <w:rPr>
          <w:rFonts w:ascii="宋体" w:hAnsi="宋体" w:eastAsia="宋体" w:cs="宋体"/>
          <w:sz w:val="24"/>
          <w:szCs w:val="24"/>
        </w:rPr>
      </w:pPr>
      <w:r>
        <w:rPr>
          <w:rFonts w:ascii="宋体" w:hAnsi="宋体" w:eastAsia="宋体" w:cs="宋体"/>
          <w:spacing w:val="-1"/>
          <w:sz w:val="24"/>
          <w:szCs w:val="24"/>
        </w:rPr>
        <w:t>本次模型中没有考虑污染物自身降解、滞留作用。</w:t>
      </w:r>
    </w:p>
    <w:p w14:paraId="5C7D5811">
      <w:pPr>
        <w:spacing w:before="183" w:line="357" w:lineRule="auto"/>
        <w:ind w:left="22" w:firstLine="480"/>
        <w:rPr>
          <w:rFonts w:ascii="宋体" w:hAnsi="宋体" w:eastAsia="宋体" w:cs="宋体"/>
          <w:sz w:val="24"/>
          <w:szCs w:val="24"/>
        </w:rPr>
      </w:pPr>
      <w:r>
        <w:rPr>
          <w:rFonts w:ascii="宋体" w:hAnsi="宋体" w:eastAsia="宋体" w:cs="宋体"/>
          <w:spacing w:val="4"/>
          <w:sz w:val="24"/>
          <w:szCs w:val="24"/>
        </w:rPr>
        <w:t>尾矿库防渗层破裂，尾矿浆持续渗入土壤并逐渐向下运移。铅初始浓度为</w:t>
      </w:r>
      <w:r>
        <w:rPr>
          <w:rFonts w:ascii="宋体" w:hAnsi="宋体" w:eastAsia="宋体" w:cs="宋体"/>
          <w:spacing w:val="5"/>
          <w:sz w:val="24"/>
          <w:szCs w:val="24"/>
        </w:rPr>
        <w:t xml:space="preserve"> </w:t>
      </w:r>
      <w:r>
        <w:rPr>
          <w:rFonts w:ascii="Times New Roman" w:hAnsi="Times New Roman" w:eastAsia="Times New Roman" w:cs="Times New Roman"/>
          <w:spacing w:val="-3"/>
          <w:sz w:val="24"/>
          <w:szCs w:val="24"/>
        </w:rPr>
        <w:t>0.080mg/L</w:t>
      </w:r>
      <w:r>
        <w:rPr>
          <w:rFonts w:ascii="宋体" w:hAnsi="宋体" w:eastAsia="宋体" w:cs="宋体"/>
          <w:spacing w:val="-3"/>
          <w:sz w:val="24"/>
          <w:szCs w:val="24"/>
        </w:rPr>
        <w:t>，砷初始浓度为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0.418mg/L</w:t>
      </w:r>
      <w:r>
        <w:rPr>
          <w:rFonts w:ascii="宋体" w:hAnsi="宋体" w:eastAsia="宋体" w:cs="宋体"/>
          <w:spacing w:val="-3"/>
          <w:sz w:val="24"/>
          <w:szCs w:val="24"/>
        </w:rPr>
        <w:t>。土壤剖面各观测点铅、砷浓度随时间变化</w:t>
      </w:r>
      <w:r>
        <w:rPr>
          <w:rFonts w:ascii="宋体" w:hAnsi="宋体" w:eastAsia="宋体" w:cs="宋体"/>
          <w:sz w:val="24"/>
          <w:szCs w:val="24"/>
        </w:rPr>
        <w:t xml:space="preserve"> </w:t>
      </w:r>
      <w:r>
        <w:rPr>
          <w:rFonts w:ascii="宋体" w:hAnsi="宋体" w:eastAsia="宋体" w:cs="宋体"/>
          <w:spacing w:val="-11"/>
          <w:sz w:val="24"/>
          <w:szCs w:val="24"/>
        </w:rPr>
        <w:t>模拟结果如图</w:t>
      </w:r>
      <w:r>
        <w:rPr>
          <w:rFonts w:ascii="宋体" w:hAnsi="宋体" w:eastAsia="宋体" w:cs="宋体"/>
          <w:spacing w:val="-46"/>
          <w:sz w:val="24"/>
          <w:szCs w:val="24"/>
        </w:rPr>
        <w:t xml:space="preserve"> </w:t>
      </w:r>
      <w:r>
        <w:rPr>
          <w:rFonts w:ascii="Times New Roman" w:hAnsi="Times New Roman" w:eastAsia="Times New Roman" w:cs="Times New Roman"/>
          <w:spacing w:val="-11"/>
          <w:sz w:val="24"/>
          <w:szCs w:val="24"/>
        </w:rPr>
        <w:t>8.8-3</w:t>
      </w:r>
      <w:r>
        <w:rPr>
          <w:rFonts w:ascii="宋体" w:hAnsi="宋体" w:eastAsia="宋体" w:cs="宋体"/>
          <w:spacing w:val="-11"/>
          <w:sz w:val="24"/>
          <w:szCs w:val="24"/>
        </w:rPr>
        <w:t>、</w:t>
      </w:r>
      <w:r>
        <w:rPr>
          <w:rFonts w:ascii="Times New Roman" w:hAnsi="Times New Roman" w:eastAsia="Times New Roman" w:cs="Times New Roman"/>
          <w:spacing w:val="-11"/>
          <w:sz w:val="24"/>
          <w:szCs w:val="24"/>
        </w:rPr>
        <w:t xml:space="preserve">8.8-4 </w:t>
      </w:r>
      <w:r>
        <w:rPr>
          <w:rFonts w:ascii="宋体" w:hAnsi="宋体" w:eastAsia="宋体" w:cs="宋体"/>
          <w:spacing w:val="-11"/>
          <w:sz w:val="24"/>
          <w:szCs w:val="24"/>
        </w:rPr>
        <w:t>所示，在不同时间铅、砷浓度分布结果见</w:t>
      </w:r>
      <w:r>
        <w:rPr>
          <w:rFonts w:ascii="宋体" w:hAnsi="宋体" w:eastAsia="宋体" w:cs="宋体"/>
          <w:spacing w:val="-12"/>
          <w:sz w:val="24"/>
          <w:szCs w:val="24"/>
        </w:rPr>
        <w:t>图</w:t>
      </w:r>
      <w:r>
        <w:rPr>
          <w:rFonts w:ascii="宋体" w:hAnsi="宋体" w:eastAsia="宋体" w:cs="宋体"/>
          <w:spacing w:val="-45"/>
          <w:sz w:val="24"/>
          <w:szCs w:val="24"/>
        </w:rPr>
        <w:t xml:space="preserve"> </w:t>
      </w:r>
      <w:r>
        <w:rPr>
          <w:rFonts w:ascii="Times New Roman" w:hAnsi="Times New Roman" w:eastAsia="Times New Roman" w:cs="Times New Roman"/>
          <w:spacing w:val="-12"/>
          <w:sz w:val="24"/>
          <w:szCs w:val="24"/>
        </w:rPr>
        <w:t>8.8-5</w:t>
      </w:r>
      <w:r>
        <w:rPr>
          <w:rFonts w:ascii="宋体" w:hAnsi="宋体" w:eastAsia="宋体" w:cs="宋体"/>
          <w:spacing w:val="-12"/>
          <w:sz w:val="24"/>
          <w:szCs w:val="24"/>
        </w:rPr>
        <w:t>、</w:t>
      </w:r>
      <w:r>
        <w:rPr>
          <w:rFonts w:ascii="Times New Roman" w:hAnsi="Times New Roman" w:eastAsia="Times New Roman" w:cs="Times New Roman"/>
          <w:spacing w:val="-12"/>
          <w:sz w:val="24"/>
          <w:szCs w:val="24"/>
        </w:rPr>
        <w:t>8.8-6</w:t>
      </w:r>
      <w:r>
        <w:rPr>
          <w:rFonts w:ascii="宋体" w:hAnsi="宋体" w:eastAsia="宋体" w:cs="宋体"/>
          <w:spacing w:val="-12"/>
          <w:sz w:val="24"/>
          <w:szCs w:val="24"/>
        </w:rPr>
        <w:t>。</w:t>
      </w:r>
    </w:p>
    <w:p w14:paraId="766590D8">
      <w:pPr>
        <w:spacing w:line="357" w:lineRule="auto"/>
        <w:rPr>
          <w:rFonts w:ascii="宋体" w:hAnsi="宋体" w:eastAsia="宋体" w:cs="宋体"/>
          <w:sz w:val="24"/>
          <w:szCs w:val="24"/>
        </w:rPr>
        <w:sectPr>
          <w:headerReference r:id="rId379" w:type="default"/>
          <w:footerReference r:id="rId380" w:type="default"/>
          <w:pgSz w:w="11906" w:h="16839"/>
          <w:pgMar w:top="1208" w:right="1719" w:bottom="1358" w:left="1785" w:header="825" w:footer="1195" w:gutter="0"/>
          <w:cols w:space="720" w:num="1"/>
        </w:sectPr>
      </w:pPr>
    </w:p>
    <w:p w14:paraId="0CE2C664">
      <w:pPr>
        <w:pStyle w:val="2"/>
        <w:spacing w:line="356" w:lineRule="auto"/>
      </w:pPr>
    </w:p>
    <w:p w14:paraId="59F037B7">
      <w:pPr>
        <w:spacing w:line="4725" w:lineRule="exact"/>
        <w:ind w:firstLine="1226"/>
      </w:pPr>
      <w:r>
        <w:rPr>
          <w:position w:val="-94"/>
        </w:rPr>
        <w:drawing>
          <wp:inline distT="0" distB="0" distL="0" distR="0">
            <wp:extent cx="3724275" cy="300037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540"/>
                    <a:stretch>
                      <a:fillRect/>
                    </a:stretch>
                  </pic:blipFill>
                  <pic:spPr>
                    <a:xfrm>
                      <a:off x="0" y="0"/>
                      <a:ext cx="3724655" cy="3000756"/>
                    </a:xfrm>
                    <a:prstGeom prst="rect">
                      <a:avLst/>
                    </a:prstGeom>
                  </pic:spPr>
                </pic:pic>
              </a:graphicData>
            </a:graphic>
          </wp:inline>
        </w:drawing>
      </w:r>
    </w:p>
    <w:p w14:paraId="2D437F6A">
      <w:pPr>
        <w:spacing w:before="190" w:line="227" w:lineRule="auto"/>
        <w:ind w:left="2243"/>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29"/>
          <w:sz w:val="20"/>
          <w:szCs w:val="20"/>
        </w:rPr>
        <w:t xml:space="preserve"> </w:t>
      </w:r>
      <w:r>
        <w:rPr>
          <w:rFonts w:ascii="Times New Roman" w:hAnsi="Times New Roman" w:eastAsia="Times New Roman" w:cs="Times New Roman"/>
          <w:spacing w:val="6"/>
          <w:sz w:val="20"/>
          <w:szCs w:val="20"/>
        </w:rPr>
        <w:t xml:space="preserve">8.8-3 </w:t>
      </w:r>
      <w:r>
        <w:rPr>
          <w:rFonts w:ascii="宋体" w:hAnsi="宋体" w:eastAsia="宋体" w:cs="宋体"/>
          <w:spacing w:val="6"/>
          <w:sz w:val="20"/>
          <w:szCs w:val="20"/>
        </w:rPr>
        <w:t>土壤剖面各观测点铅浓度值分布图</w:t>
      </w:r>
    </w:p>
    <w:p w14:paraId="139BD204">
      <w:pPr>
        <w:spacing w:before="141" w:line="4726" w:lineRule="exact"/>
        <w:ind w:firstLine="1226"/>
      </w:pPr>
      <w:r>
        <w:rPr>
          <w:position w:val="-94"/>
        </w:rPr>
        <w:drawing>
          <wp:inline distT="0" distB="0" distL="0" distR="0">
            <wp:extent cx="3724275" cy="300037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541"/>
                    <a:stretch>
                      <a:fillRect/>
                    </a:stretch>
                  </pic:blipFill>
                  <pic:spPr>
                    <a:xfrm>
                      <a:off x="0" y="0"/>
                      <a:ext cx="3724655" cy="3000755"/>
                    </a:xfrm>
                    <a:prstGeom prst="rect">
                      <a:avLst/>
                    </a:prstGeom>
                  </pic:spPr>
                </pic:pic>
              </a:graphicData>
            </a:graphic>
          </wp:inline>
        </w:drawing>
      </w:r>
    </w:p>
    <w:p w14:paraId="0B1E8A46">
      <w:pPr>
        <w:spacing w:before="190" w:line="227" w:lineRule="auto"/>
        <w:ind w:left="2243"/>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29"/>
          <w:sz w:val="20"/>
          <w:szCs w:val="20"/>
        </w:rPr>
        <w:t xml:space="preserve"> </w:t>
      </w:r>
      <w:r>
        <w:rPr>
          <w:rFonts w:ascii="Times New Roman" w:hAnsi="Times New Roman" w:eastAsia="Times New Roman" w:cs="Times New Roman"/>
          <w:spacing w:val="6"/>
          <w:sz w:val="20"/>
          <w:szCs w:val="20"/>
        </w:rPr>
        <w:t xml:space="preserve">8.8-4 </w:t>
      </w:r>
      <w:r>
        <w:rPr>
          <w:rFonts w:ascii="宋体" w:hAnsi="宋体" w:eastAsia="宋体" w:cs="宋体"/>
          <w:spacing w:val="6"/>
          <w:sz w:val="20"/>
          <w:szCs w:val="20"/>
        </w:rPr>
        <w:t>土壤剖面各观测点砷浓度值分布图</w:t>
      </w:r>
    </w:p>
    <w:p w14:paraId="11E4270E">
      <w:pPr>
        <w:spacing w:line="227" w:lineRule="auto"/>
        <w:rPr>
          <w:rFonts w:ascii="宋体" w:hAnsi="宋体" w:eastAsia="宋体" w:cs="宋体"/>
          <w:sz w:val="20"/>
          <w:szCs w:val="20"/>
        </w:rPr>
        <w:sectPr>
          <w:headerReference r:id="rId381" w:type="default"/>
          <w:footerReference r:id="rId382" w:type="default"/>
          <w:pgSz w:w="11906" w:h="16839"/>
          <w:pgMar w:top="1208" w:right="1785" w:bottom="1358" w:left="1785" w:header="825" w:footer="1195" w:gutter="0"/>
          <w:cols w:space="720" w:num="1"/>
        </w:sectPr>
      </w:pPr>
    </w:p>
    <w:p w14:paraId="5875B6B0">
      <w:pPr>
        <w:pStyle w:val="2"/>
        <w:spacing w:line="320" w:lineRule="auto"/>
      </w:pPr>
    </w:p>
    <w:p w14:paraId="09F69627">
      <w:pPr>
        <w:spacing w:line="4500" w:lineRule="exact"/>
        <w:ind w:firstLine="1374"/>
      </w:pPr>
      <w:r>
        <w:rPr>
          <w:position w:val="-90"/>
        </w:rPr>
        <w:drawing>
          <wp:inline distT="0" distB="0" distL="0" distR="0">
            <wp:extent cx="3545840" cy="285750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542"/>
                    <a:stretch>
                      <a:fillRect/>
                    </a:stretch>
                  </pic:blipFill>
                  <pic:spPr>
                    <a:xfrm>
                      <a:off x="0" y="0"/>
                      <a:ext cx="3546348" cy="2857500"/>
                    </a:xfrm>
                    <a:prstGeom prst="rect">
                      <a:avLst/>
                    </a:prstGeom>
                  </pic:spPr>
                </pic:pic>
              </a:graphicData>
            </a:graphic>
          </wp:inline>
        </w:drawing>
      </w:r>
    </w:p>
    <w:p w14:paraId="4EABC9C4">
      <w:pPr>
        <w:spacing w:before="140" w:line="227" w:lineRule="auto"/>
        <w:ind w:left="2269"/>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 xml:space="preserve">8.8-5    </w:t>
      </w:r>
      <w:r>
        <w:rPr>
          <w:rFonts w:ascii="宋体" w:hAnsi="宋体" w:eastAsia="宋体" w:cs="宋体"/>
          <w:spacing w:val="5"/>
          <w:sz w:val="20"/>
          <w:szCs w:val="20"/>
        </w:rPr>
        <w:t>土壤剖面不同时间铅浓度分布图</w:t>
      </w:r>
    </w:p>
    <w:p w14:paraId="346D4F66">
      <w:pPr>
        <w:spacing w:before="146" w:line="4418" w:lineRule="exact"/>
        <w:ind w:firstLine="1422"/>
      </w:pPr>
      <w:r>
        <w:rPr>
          <w:position w:val="-88"/>
        </w:rPr>
        <w:drawing>
          <wp:inline distT="0" distB="0" distL="0" distR="0">
            <wp:extent cx="3482340" cy="280543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543"/>
                    <a:stretch>
                      <a:fillRect/>
                    </a:stretch>
                  </pic:blipFill>
                  <pic:spPr>
                    <a:xfrm>
                      <a:off x="0" y="0"/>
                      <a:ext cx="3482340" cy="2805683"/>
                    </a:xfrm>
                    <a:prstGeom prst="rect">
                      <a:avLst/>
                    </a:prstGeom>
                  </pic:spPr>
                </pic:pic>
              </a:graphicData>
            </a:graphic>
          </wp:inline>
        </w:drawing>
      </w:r>
    </w:p>
    <w:p w14:paraId="76FDA23A">
      <w:pPr>
        <w:spacing w:before="181" w:line="227" w:lineRule="auto"/>
        <w:ind w:left="2269"/>
        <w:rPr>
          <w:rFonts w:ascii="宋体" w:hAnsi="宋体" w:eastAsia="宋体" w:cs="宋体"/>
          <w:sz w:val="20"/>
          <w:szCs w:val="20"/>
        </w:rPr>
      </w:pPr>
      <w:r>
        <w:rPr>
          <w:rFonts w:ascii="宋体" w:hAnsi="宋体" w:eastAsia="宋体" w:cs="宋体"/>
          <w:spacing w:val="5"/>
          <w:sz w:val="20"/>
          <w:szCs w:val="20"/>
        </w:rPr>
        <w:t>图</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 xml:space="preserve">8.8-6    </w:t>
      </w:r>
      <w:r>
        <w:rPr>
          <w:rFonts w:ascii="宋体" w:hAnsi="宋体" w:eastAsia="宋体" w:cs="宋体"/>
          <w:spacing w:val="5"/>
          <w:sz w:val="20"/>
          <w:szCs w:val="20"/>
        </w:rPr>
        <w:t>土壤剖面不同时间砷浓度分布图</w:t>
      </w:r>
    </w:p>
    <w:p w14:paraId="1C3788E0">
      <w:pPr>
        <w:spacing w:before="128" w:line="360" w:lineRule="auto"/>
        <w:ind w:left="22" w:firstLine="510"/>
        <w:jc w:val="both"/>
        <w:rPr>
          <w:rFonts w:ascii="宋体" w:hAnsi="宋体" w:eastAsia="宋体" w:cs="宋体"/>
          <w:sz w:val="24"/>
          <w:szCs w:val="24"/>
        </w:rPr>
      </w:pPr>
      <w:r>
        <w:rPr>
          <w:rFonts w:ascii="宋体" w:hAnsi="宋体" w:eastAsia="宋体" w:cs="宋体"/>
          <w:spacing w:val="-9"/>
          <w:sz w:val="24"/>
          <w:szCs w:val="24"/>
        </w:rPr>
        <w:t>由图</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 xml:space="preserve">8.8-3 </w:t>
      </w:r>
      <w:r>
        <w:rPr>
          <w:rFonts w:ascii="宋体" w:hAnsi="宋体" w:eastAsia="宋体" w:cs="宋体"/>
          <w:spacing w:val="-9"/>
          <w:sz w:val="24"/>
          <w:szCs w:val="24"/>
        </w:rPr>
        <w:t>可知，</w:t>
      </w:r>
      <w:r>
        <w:rPr>
          <w:rFonts w:ascii="Times New Roman" w:hAnsi="Times New Roman" w:eastAsia="Times New Roman" w:cs="Times New Roman"/>
          <w:spacing w:val="-9"/>
          <w:sz w:val="24"/>
          <w:szCs w:val="24"/>
        </w:rPr>
        <w:t>N1</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为泄漏位置，在非正常状况下尾矿</w:t>
      </w:r>
      <w:r>
        <w:rPr>
          <w:rFonts w:ascii="宋体" w:hAnsi="宋体" w:eastAsia="宋体" w:cs="宋体"/>
          <w:spacing w:val="-10"/>
          <w:sz w:val="24"/>
          <w:szCs w:val="24"/>
        </w:rPr>
        <w:t>浆连续入渗进入土壤，</w:t>
      </w:r>
      <w:r>
        <w:rPr>
          <w:rFonts w:ascii="宋体" w:hAnsi="宋体" w:eastAsia="宋体" w:cs="宋体"/>
          <w:sz w:val="24"/>
          <w:szCs w:val="24"/>
        </w:rPr>
        <w:t xml:space="preserve"> </w:t>
      </w:r>
      <w:r>
        <w:rPr>
          <w:rFonts w:ascii="宋体" w:hAnsi="宋体" w:eastAsia="宋体" w:cs="宋体"/>
          <w:spacing w:val="-4"/>
          <w:sz w:val="24"/>
          <w:szCs w:val="24"/>
        </w:rPr>
        <w:t>铅进入土壤后，各观测点浓度逐渐增大。连续入</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天时污染物达到观测点</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并穿</w:t>
      </w:r>
      <w:r>
        <w:rPr>
          <w:rFonts w:ascii="宋体" w:hAnsi="宋体" w:eastAsia="宋体" w:cs="宋体"/>
          <w:sz w:val="24"/>
          <w:szCs w:val="24"/>
        </w:rPr>
        <w:t xml:space="preserve"> </w:t>
      </w:r>
      <w:r>
        <w:rPr>
          <w:rFonts w:ascii="宋体" w:hAnsi="宋体" w:eastAsia="宋体" w:cs="宋体"/>
          <w:spacing w:val="-2"/>
          <w:sz w:val="24"/>
          <w:szCs w:val="24"/>
        </w:rPr>
        <w:t>透第一层粉土层；连续入渗</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23 </w:t>
      </w:r>
      <w:r>
        <w:rPr>
          <w:rFonts w:ascii="宋体" w:hAnsi="宋体" w:eastAsia="宋体" w:cs="宋体"/>
          <w:spacing w:val="-2"/>
          <w:sz w:val="24"/>
          <w:szCs w:val="24"/>
        </w:rPr>
        <w:t>天时污染物达到观测点</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4"/>
          <w:szCs w:val="24"/>
        </w:rPr>
        <w:t>；连续入渗</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62 </w:t>
      </w:r>
      <w:r>
        <w:rPr>
          <w:rFonts w:ascii="宋体" w:hAnsi="宋体" w:eastAsia="宋体" w:cs="宋体"/>
          <w:spacing w:val="-2"/>
          <w:sz w:val="24"/>
          <w:szCs w:val="24"/>
        </w:rPr>
        <w:t>天时污染</w:t>
      </w:r>
      <w:r>
        <w:rPr>
          <w:rFonts w:ascii="宋体" w:hAnsi="宋体" w:eastAsia="宋体" w:cs="宋体"/>
          <w:sz w:val="24"/>
          <w:szCs w:val="24"/>
        </w:rPr>
        <w:t xml:space="preserve"> </w:t>
      </w:r>
      <w:r>
        <w:rPr>
          <w:rFonts w:ascii="宋体" w:hAnsi="宋体" w:eastAsia="宋体" w:cs="宋体"/>
          <w:spacing w:val="-1"/>
          <w:sz w:val="24"/>
          <w:szCs w:val="24"/>
        </w:rPr>
        <w:t>物达到观测点</w:t>
      </w:r>
      <w:r>
        <w:rPr>
          <w:rFonts w:ascii="Times New Roman" w:hAnsi="Times New Roman" w:eastAsia="Times New Roman" w:cs="Times New Roman"/>
          <w:spacing w:val="-1"/>
          <w:sz w:val="24"/>
          <w:szCs w:val="24"/>
        </w:rPr>
        <w:t>4</w:t>
      </w:r>
      <w:r>
        <w:rPr>
          <w:rFonts w:ascii="宋体" w:hAnsi="宋体" w:eastAsia="宋体" w:cs="宋体"/>
          <w:spacing w:val="-1"/>
          <w:sz w:val="24"/>
          <w:szCs w:val="24"/>
        </w:rPr>
        <w:t>；连续入渗</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 xml:space="preserve">122 </w:t>
      </w:r>
      <w:r>
        <w:rPr>
          <w:rFonts w:ascii="宋体" w:hAnsi="宋体" w:eastAsia="宋体" w:cs="宋体"/>
          <w:spacing w:val="-1"/>
          <w:sz w:val="24"/>
          <w:szCs w:val="24"/>
        </w:rPr>
        <w:t>天时污染物达到观测点</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；连续入渗</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174 </w:t>
      </w:r>
      <w:r>
        <w:rPr>
          <w:rFonts w:ascii="宋体" w:hAnsi="宋体" w:eastAsia="宋体" w:cs="宋体"/>
          <w:spacing w:val="-1"/>
          <w:sz w:val="24"/>
          <w:szCs w:val="24"/>
        </w:rPr>
        <w:t>天时污</w:t>
      </w:r>
      <w:r>
        <w:rPr>
          <w:rFonts w:ascii="宋体" w:hAnsi="宋体" w:eastAsia="宋体" w:cs="宋体"/>
          <w:sz w:val="24"/>
          <w:szCs w:val="24"/>
        </w:rPr>
        <w:t xml:space="preserve"> </w:t>
      </w:r>
      <w:r>
        <w:rPr>
          <w:rFonts w:ascii="宋体" w:hAnsi="宋体" w:eastAsia="宋体" w:cs="宋体"/>
          <w:spacing w:val="-2"/>
          <w:sz w:val="24"/>
          <w:szCs w:val="24"/>
        </w:rPr>
        <w:t>染物达到观测点</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26"/>
          <w:w w:val="101"/>
          <w:sz w:val="24"/>
          <w:szCs w:val="24"/>
        </w:rPr>
        <w:t xml:space="preserve"> </w:t>
      </w:r>
      <w:r>
        <w:rPr>
          <w:rFonts w:ascii="宋体" w:hAnsi="宋体" w:eastAsia="宋体" w:cs="宋体"/>
          <w:spacing w:val="-2"/>
          <w:sz w:val="24"/>
          <w:szCs w:val="24"/>
        </w:rPr>
        <w:t>并达到含水层。随着时间的推移，污染羽逐渐扩大，扩大方向</w:t>
      </w:r>
      <w:r>
        <w:rPr>
          <w:rFonts w:ascii="宋体" w:hAnsi="宋体" w:eastAsia="宋体" w:cs="宋体"/>
          <w:sz w:val="24"/>
          <w:szCs w:val="24"/>
        </w:rPr>
        <w:t xml:space="preserve"> </w:t>
      </w:r>
      <w:r>
        <w:rPr>
          <w:rFonts w:ascii="宋体" w:hAnsi="宋体" w:eastAsia="宋体" w:cs="宋体"/>
          <w:spacing w:val="-2"/>
          <w:sz w:val="24"/>
          <w:szCs w:val="24"/>
        </w:rPr>
        <w:t>沿地表垂直向下。</w:t>
      </w:r>
    </w:p>
    <w:p w14:paraId="506246AA">
      <w:pPr>
        <w:spacing w:line="362" w:lineRule="auto"/>
        <w:ind w:left="22" w:firstLine="510"/>
        <w:rPr>
          <w:rFonts w:ascii="宋体" w:hAnsi="宋体" w:eastAsia="宋体" w:cs="宋体"/>
          <w:sz w:val="24"/>
          <w:szCs w:val="24"/>
        </w:rPr>
      </w:pPr>
      <w:r>
        <w:rPr>
          <w:rFonts w:ascii="宋体" w:hAnsi="宋体" w:eastAsia="宋体" w:cs="宋体"/>
          <w:spacing w:val="-9"/>
          <w:sz w:val="24"/>
          <w:szCs w:val="24"/>
        </w:rPr>
        <w:t>由图</w:t>
      </w:r>
      <w:r>
        <w:rPr>
          <w:rFonts w:ascii="宋体" w:hAnsi="宋体" w:eastAsia="宋体" w:cs="宋体"/>
          <w:spacing w:val="-46"/>
          <w:sz w:val="24"/>
          <w:szCs w:val="24"/>
        </w:rPr>
        <w:t xml:space="preserve"> </w:t>
      </w:r>
      <w:r>
        <w:rPr>
          <w:rFonts w:ascii="Times New Roman" w:hAnsi="Times New Roman" w:eastAsia="Times New Roman" w:cs="Times New Roman"/>
          <w:spacing w:val="-9"/>
          <w:sz w:val="24"/>
          <w:szCs w:val="24"/>
        </w:rPr>
        <w:t xml:space="preserve">8.8-4 </w:t>
      </w:r>
      <w:r>
        <w:rPr>
          <w:rFonts w:ascii="宋体" w:hAnsi="宋体" w:eastAsia="宋体" w:cs="宋体"/>
          <w:spacing w:val="-9"/>
          <w:sz w:val="24"/>
          <w:szCs w:val="24"/>
        </w:rPr>
        <w:t>可知，</w:t>
      </w:r>
      <w:r>
        <w:rPr>
          <w:rFonts w:ascii="Times New Roman" w:hAnsi="Times New Roman" w:eastAsia="Times New Roman" w:cs="Times New Roman"/>
          <w:spacing w:val="-9"/>
          <w:sz w:val="24"/>
          <w:szCs w:val="24"/>
        </w:rPr>
        <w:t>N1</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为泄漏位置，在非正常状况下尾矿</w:t>
      </w:r>
      <w:r>
        <w:rPr>
          <w:rFonts w:ascii="宋体" w:hAnsi="宋体" w:eastAsia="宋体" w:cs="宋体"/>
          <w:spacing w:val="-10"/>
          <w:sz w:val="24"/>
          <w:szCs w:val="24"/>
        </w:rPr>
        <w:t>浆连续入渗进入土壤，</w:t>
      </w:r>
      <w:r>
        <w:rPr>
          <w:rFonts w:ascii="宋体" w:hAnsi="宋体" w:eastAsia="宋体" w:cs="宋体"/>
          <w:sz w:val="24"/>
          <w:szCs w:val="24"/>
        </w:rPr>
        <w:t xml:space="preserve"> </w:t>
      </w:r>
      <w:r>
        <w:rPr>
          <w:rFonts w:ascii="宋体" w:hAnsi="宋体" w:eastAsia="宋体" w:cs="宋体"/>
          <w:spacing w:val="-4"/>
          <w:sz w:val="24"/>
          <w:szCs w:val="24"/>
        </w:rPr>
        <w:t>砷进入土壤后，各观测点浓度逐渐增大。连续入</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天时污染物达到观测点</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并穿</w:t>
      </w:r>
    </w:p>
    <w:p w14:paraId="40AEC37D">
      <w:pPr>
        <w:spacing w:line="362" w:lineRule="auto"/>
        <w:rPr>
          <w:rFonts w:ascii="宋体" w:hAnsi="宋体" w:eastAsia="宋体" w:cs="宋体"/>
          <w:sz w:val="24"/>
          <w:szCs w:val="24"/>
        </w:rPr>
        <w:sectPr>
          <w:headerReference r:id="rId383" w:type="default"/>
          <w:footerReference r:id="rId384" w:type="default"/>
          <w:pgSz w:w="11906" w:h="16839"/>
          <w:pgMar w:top="1208" w:right="1738" w:bottom="1358" w:left="1785" w:header="825" w:footer="1195" w:gutter="0"/>
          <w:cols w:space="720" w:num="1"/>
        </w:sectPr>
      </w:pPr>
    </w:p>
    <w:p w14:paraId="0DFA42E1">
      <w:pPr>
        <w:pStyle w:val="2"/>
        <w:spacing w:line="265" w:lineRule="auto"/>
      </w:pPr>
    </w:p>
    <w:p w14:paraId="5CF243E5">
      <w:pPr>
        <w:spacing w:before="78" w:line="360" w:lineRule="auto"/>
        <w:ind w:left="22" w:right="13"/>
        <w:jc w:val="both"/>
        <w:rPr>
          <w:rFonts w:ascii="宋体" w:hAnsi="宋体" w:eastAsia="宋体" w:cs="宋体"/>
          <w:sz w:val="24"/>
          <w:szCs w:val="24"/>
        </w:rPr>
      </w:pPr>
      <w:r>
        <w:rPr>
          <w:rFonts w:ascii="宋体" w:hAnsi="宋体" w:eastAsia="宋体" w:cs="宋体"/>
          <w:spacing w:val="-2"/>
          <w:sz w:val="24"/>
          <w:szCs w:val="24"/>
        </w:rPr>
        <w:t>透第一层粉土层；连续入渗</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23 </w:t>
      </w:r>
      <w:r>
        <w:rPr>
          <w:rFonts w:ascii="宋体" w:hAnsi="宋体" w:eastAsia="宋体" w:cs="宋体"/>
          <w:spacing w:val="-2"/>
          <w:sz w:val="24"/>
          <w:szCs w:val="24"/>
        </w:rPr>
        <w:t>天时污染物达到观测点</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w:t>
      </w:r>
      <w:r>
        <w:rPr>
          <w:rFonts w:ascii="宋体" w:hAnsi="宋体" w:eastAsia="宋体" w:cs="宋体"/>
          <w:spacing w:val="-2"/>
          <w:sz w:val="24"/>
          <w:szCs w:val="24"/>
        </w:rPr>
        <w:t>；连续入渗</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62 </w:t>
      </w:r>
      <w:r>
        <w:rPr>
          <w:rFonts w:ascii="宋体" w:hAnsi="宋体" w:eastAsia="宋体" w:cs="宋体"/>
          <w:spacing w:val="-2"/>
          <w:sz w:val="24"/>
          <w:szCs w:val="24"/>
        </w:rPr>
        <w:t>天时污染</w:t>
      </w:r>
      <w:r>
        <w:rPr>
          <w:rFonts w:ascii="宋体" w:hAnsi="宋体" w:eastAsia="宋体" w:cs="宋体"/>
          <w:sz w:val="24"/>
          <w:szCs w:val="24"/>
        </w:rPr>
        <w:t xml:space="preserve"> </w:t>
      </w:r>
      <w:r>
        <w:rPr>
          <w:rFonts w:ascii="宋体" w:hAnsi="宋体" w:eastAsia="宋体" w:cs="宋体"/>
          <w:spacing w:val="-1"/>
          <w:sz w:val="24"/>
          <w:szCs w:val="24"/>
        </w:rPr>
        <w:t>物达到观测点</w:t>
      </w:r>
      <w:r>
        <w:rPr>
          <w:rFonts w:ascii="Times New Roman" w:hAnsi="Times New Roman" w:eastAsia="Times New Roman" w:cs="Times New Roman"/>
          <w:spacing w:val="-1"/>
          <w:sz w:val="24"/>
          <w:szCs w:val="24"/>
        </w:rPr>
        <w:t>4</w:t>
      </w:r>
      <w:r>
        <w:rPr>
          <w:rFonts w:ascii="宋体" w:hAnsi="宋体" w:eastAsia="宋体" w:cs="宋体"/>
          <w:spacing w:val="-1"/>
          <w:sz w:val="24"/>
          <w:szCs w:val="24"/>
        </w:rPr>
        <w:t>；连续入渗</w:t>
      </w:r>
      <w:r>
        <w:rPr>
          <w:rFonts w:ascii="宋体" w:hAnsi="宋体" w:eastAsia="宋体" w:cs="宋体"/>
          <w:spacing w:val="-20"/>
          <w:sz w:val="24"/>
          <w:szCs w:val="24"/>
        </w:rPr>
        <w:t xml:space="preserve"> </w:t>
      </w:r>
      <w:r>
        <w:rPr>
          <w:rFonts w:ascii="Times New Roman" w:hAnsi="Times New Roman" w:eastAsia="Times New Roman" w:cs="Times New Roman"/>
          <w:spacing w:val="-1"/>
          <w:sz w:val="24"/>
          <w:szCs w:val="24"/>
        </w:rPr>
        <w:t xml:space="preserve">122 </w:t>
      </w:r>
      <w:r>
        <w:rPr>
          <w:rFonts w:ascii="宋体" w:hAnsi="宋体" w:eastAsia="宋体" w:cs="宋体"/>
          <w:spacing w:val="-1"/>
          <w:sz w:val="24"/>
          <w:szCs w:val="24"/>
        </w:rPr>
        <w:t>天时污染物达到观测点</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；连续入渗</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 xml:space="preserve">174 </w:t>
      </w:r>
      <w:r>
        <w:rPr>
          <w:rFonts w:ascii="宋体" w:hAnsi="宋体" w:eastAsia="宋体" w:cs="宋体"/>
          <w:spacing w:val="-1"/>
          <w:sz w:val="24"/>
          <w:szCs w:val="24"/>
        </w:rPr>
        <w:t>天时污</w:t>
      </w:r>
      <w:r>
        <w:rPr>
          <w:rFonts w:ascii="宋体" w:hAnsi="宋体" w:eastAsia="宋体" w:cs="宋体"/>
          <w:sz w:val="24"/>
          <w:szCs w:val="24"/>
        </w:rPr>
        <w:t xml:space="preserve"> </w:t>
      </w:r>
      <w:r>
        <w:rPr>
          <w:rFonts w:ascii="宋体" w:hAnsi="宋体" w:eastAsia="宋体" w:cs="宋体"/>
          <w:spacing w:val="-2"/>
          <w:sz w:val="24"/>
          <w:szCs w:val="24"/>
        </w:rPr>
        <w:t>染物达到观测点</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并达到含水层。随着时间的推移，污染羽逐渐扩大，扩大方向</w:t>
      </w:r>
      <w:r>
        <w:rPr>
          <w:rFonts w:ascii="宋体" w:hAnsi="宋体" w:eastAsia="宋体" w:cs="宋体"/>
          <w:sz w:val="24"/>
          <w:szCs w:val="24"/>
        </w:rPr>
        <w:t xml:space="preserve"> </w:t>
      </w:r>
      <w:r>
        <w:rPr>
          <w:rFonts w:ascii="宋体" w:hAnsi="宋体" w:eastAsia="宋体" w:cs="宋体"/>
          <w:spacing w:val="-2"/>
          <w:sz w:val="24"/>
          <w:szCs w:val="24"/>
        </w:rPr>
        <w:t>沿地表垂直向下。</w:t>
      </w:r>
    </w:p>
    <w:p w14:paraId="6F4B3EA4">
      <w:pPr>
        <w:spacing w:line="360" w:lineRule="auto"/>
        <w:ind w:left="19" w:right="16" w:firstLine="513"/>
        <w:jc w:val="both"/>
        <w:rPr>
          <w:rFonts w:ascii="宋体" w:hAnsi="宋体" w:eastAsia="宋体" w:cs="宋体"/>
          <w:sz w:val="24"/>
          <w:szCs w:val="24"/>
        </w:rPr>
      </w:pPr>
      <w:r>
        <w:rPr>
          <w:rFonts w:ascii="宋体" w:hAnsi="宋体" w:eastAsia="宋体" w:cs="宋体"/>
          <w:spacing w:val="-1"/>
          <w:sz w:val="24"/>
          <w:szCs w:val="24"/>
        </w:rPr>
        <w:t>由图</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8.8-5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可知，污染物渗漏</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60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天时，污染物下渗</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5.7m</w:t>
      </w:r>
      <w:r>
        <w:rPr>
          <w:rFonts w:ascii="宋体" w:hAnsi="宋体" w:eastAsia="宋体" w:cs="宋体"/>
          <w:spacing w:val="-1"/>
          <w:sz w:val="24"/>
          <w:szCs w:val="24"/>
        </w:rPr>
        <w:t>；污染物渗漏</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120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天时，污染物下渗</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7.5m</w:t>
      </w:r>
      <w:r>
        <w:rPr>
          <w:rFonts w:ascii="宋体" w:hAnsi="宋体" w:eastAsia="宋体" w:cs="宋体"/>
          <w:spacing w:val="-1"/>
          <w:sz w:val="24"/>
          <w:szCs w:val="24"/>
        </w:rPr>
        <w:t>；污染物渗漏</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180 </w:t>
      </w:r>
      <w:r>
        <w:rPr>
          <w:rFonts w:ascii="宋体" w:hAnsi="宋体" w:eastAsia="宋体" w:cs="宋体"/>
          <w:spacing w:val="-1"/>
          <w:sz w:val="24"/>
          <w:szCs w:val="24"/>
        </w:rPr>
        <w:t>天时，污</w:t>
      </w:r>
      <w:r>
        <w:rPr>
          <w:rFonts w:ascii="宋体" w:hAnsi="宋体" w:eastAsia="宋体" w:cs="宋体"/>
          <w:spacing w:val="-2"/>
          <w:sz w:val="24"/>
          <w:szCs w:val="24"/>
        </w:rPr>
        <w:t>染物下渗</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9.4m</w:t>
      </w:r>
      <w:r>
        <w:rPr>
          <w:rFonts w:ascii="宋体" w:hAnsi="宋体" w:eastAsia="宋体" w:cs="宋体"/>
          <w:spacing w:val="-2"/>
          <w:sz w:val="24"/>
          <w:szCs w:val="24"/>
        </w:rPr>
        <w:t>；污染物渗漏</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240 </w:t>
      </w:r>
      <w:r>
        <w:rPr>
          <w:rFonts w:ascii="宋体" w:hAnsi="宋体" w:eastAsia="宋体" w:cs="宋体"/>
          <w:spacing w:val="-1"/>
          <w:sz w:val="24"/>
          <w:szCs w:val="24"/>
        </w:rPr>
        <w:t>天时，铅下渗已达到含水层。</w:t>
      </w:r>
    </w:p>
    <w:p w14:paraId="0F194FF6">
      <w:pPr>
        <w:spacing w:before="5" w:line="359" w:lineRule="auto"/>
        <w:ind w:left="19" w:right="13" w:firstLine="513"/>
        <w:jc w:val="both"/>
        <w:rPr>
          <w:rFonts w:ascii="宋体" w:hAnsi="宋体" w:eastAsia="宋体" w:cs="宋体"/>
          <w:sz w:val="24"/>
          <w:szCs w:val="24"/>
        </w:rPr>
      </w:pPr>
      <w:r>
        <w:rPr>
          <w:rFonts w:ascii="宋体" w:hAnsi="宋体" w:eastAsia="宋体" w:cs="宋体"/>
          <w:spacing w:val="-1"/>
          <w:sz w:val="24"/>
          <w:szCs w:val="24"/>
        </w:rPr>
        <w:t>由图</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8.8-6</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可知，污染物渗漏</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60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天时，污染物下渗</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5.7m</w:t>
      </w:r>
      <w:r>
        <w:rPr>
          <w:rFonts w:ascii="宋体" w:hAnsi="宋体" w:eastAsia="宋体" w:cs="宋体"/>
          <w:spacing w:val="-1"/>
          <w:sz w:val="24"/>
          <w:szCs w:val="24"/>
        </w:rPr>
        <w:t>；污染物渗漏</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120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天时，污染物下渗</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7.5m</w:t>
      </w:r>
      <w:r>
        <w:rPr>
          <w:rFonts w:ascii="宋体" w:hAnsi="宋体" w:eastAsia="宋体" w:cs="宋体"/>
          <w:spacing w:val="-1"/>
          <w:sz w:val="24"/>
          <w:szCs w:val="24"/>
        </w:rPr>
        <w:t>；污染物渗漏</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180 </w:t>
      </w:r>
      <w:r>
        <w:rPr>
          <w:rFonts w:ascii="宋体" w:hAnsi="宋体" w:eastAsia="宋体" w:cs="宋体"/>
          <w:spacing w:val="-1"/>
          <w:sz w:val="24"/>
          <w:szCs w:val="24"/>
        </w:rPr>
        <w:t>天时，污</w:t>
      </w:r>
      <w:r>
        <w:rPr>
          <w:rFonts w:ascii="宋体" w:hAnsi="宋体" w:eastAsia="宋体" w:cs="宋体"/>
          <w:spacing w:val="-2"/>
          <w:sz w:val="24"/>
          <w:szCs w:val="24"/>
        </w:rPr>
        <w:t>染物下渗</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9.4m</w:t>
      </w:r>
      <w:r>
        <w:rPr>
          <w:rFonts w:ascii="宋体" w:hAnsi="宋体" w:eastAsia="宋体" w:cs="宋体"/>
          <w:spacing w:val="-2"/>
          <w:sz w:val="24"/>
          <w:szCs w:val="24"/>
        </w:rPr>
        <w:t>；污染物渗漏</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240 </w:t>
      </w:r>
      <w:r>
        <w:rPr>
          <w:rFonts w:ascii="宋体" w:hAnsi="宋体" w:eastAsia="宋体" w:cs="宋体"/>
          <w:spacing w:val="-1"/>
          <w:sz w:val="24"/>
          <w:szCs w:val="24"/>
        </w:rPr>
        <w:t>天时，砷下渗已达到含水层。随着时间的推移，污染羽逐渐扩大，扩</w:t>
      </w:r>
      <w:r>
        <w:rPr>
          <w:rFonts w:ascii="宋体" w:hAnsi="宋体" w:eastAsia="宋体" w:cs="宋体"/>
          <w:spacing w:val="-2"/>
          <w:sz w:val="24"/>
          <w:szCs w:val="24"/>
        </w:rPr>
        <w:t>大方向</w:t>
      </w:r>
      <w:r>
        <w:rPr>
          <w:rFonts w:ascii="宋体" w:hAnsi="宋体" w:eastAsia="宋体" w:cs="宋体"/>
          <w:sz w:val="24"/>
          <w:szCs w:val="24"/>
        </w:rPr>
        <w:t xml:space="preserve"> 沿地表垂直向下。随着时间的推移地表以下土壤中铅、砷</w:t>
      </w:r>
      <w:r>
        <w:rPr>
          <w:rFonts w:ascii="宋体" w:hAnsi="宋体" w:eastAsia="宋体" w:cs="宋体"/>
          <w:spacing w:val="-1"/>
          <w:sz w:val="24"/>
          <w:szCs w:val="24"/>
        </w:rPr>
        <w:t>浓度逐渐增大。</w:t>
      </w:r>
    </w:p>
    <w:p w14:paraId="43F60A14">
      <w:pPr>
        <w:spacing w:line="218" w:lineRule="auto"/>
        <w:ind w:left="522"/>
        <w:rPr>
          <w:rFonts w:ascii="宋体" w:hAnsi="宋体" w:eastAsia="宋体" w:cs="宋体"/>
          <w:sz w:val="24"/>
          <w:szCs w:val="24"/>
        </w:rPr>
      </w:pPr>
      <w:r>
        <w:rPr>
          <w:rFonts w:ascii="宋体" w:hAnsi="宋体" w:eastAsia="宋体" w:cs="宋体"/>
          <w:spacing w:val="-2"/>
          <w:sz w:val="24"/>
          <w:szCs w:val="24"/>
        </w:rPr>
        <w:t>附着到沉积物颗粒的石油烃含量由以下公式计算得：</w:t>
      </w:r>
    </w:p>
    <w:p w14:paraId="1C410DF1">
      <w:pPr>
        <w:spacing w:before="139" w:line="351" w:lineRule="auto"/>
        <w:ind w:left="18" w:right="13" w:firstLine="485"/>
        <w:jc w:val="both"/>
        <w:rPr>
          <w:rFonts w:ascii="宋体" w:hAnsi="宋体" w:eastAsia="宋体" w:cs="宋体"/>
          <w:sz w:val="24"/>
          <w:szCs w:val="24"/>
        </w:rPr>
      </w:pPr>
      <w:r>
        <w:rPr>
          <w:rFonts w:ascii="宋体" w:hAnsi="宋体" w:eastAsia="宋体" w:cs="宋体"/>
          <w:spacing w:val="3"/>
          <w:sz w:val="24"/>
          <w:szCs w:val="24"/>
        </w:rPr>
        <w:t>沉积物颗粒污染物含量（</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kg</w:t>
      </w:r>
      <w:r>
        <w:rPr>
          <w:rFonts w:ascii="宋体" w:hAnsi="宋体" w:eastAsia="宋体" w:cs="宋体"/>
          <w:spacing w:val="3"/>
          <w:sz w:val="24"/>
          <w:szCs w:val="24"/>
        </w:rPr>
        <w:t>）</w:t>
      </w:r>
      <w:r>
        <w:rPr>
          <w:rFonts w:ascii="Times New Roman" w:hAnsi="Times New Roman" w:eastAsia="Times New Roman" w:cs="Times New Roman"/>
          <w:spacing w:val="3"/>
          <w:sz w:val="24"/>
          <w:szCs w:val="24"/>
        </w:rPr>
        <w:t>=</w:t>
      </w:r>
      <w:r>
        <w:rPr>
          <w:rFonts w:ascii="宋体" w:hAnsi="宋体" w:eastAsia="宋体" w:cs="宋体"/>
          <w:spacing w:val="3"/>
          <w:sz w:val="24"/>
          <w:szCs w:val="24"/>
        </w:rPr>
        <w:t>含水率</w:t>
      </w:r>
      <w:r>
        <w:rPr>
          <w:rFonts w:ascii="Times New Roman" w:hAnsi="Times New Roman" w:eastAsia="Times New Roman" w:cs="Times New Roman"/>
          <w:spacing w:val="3"/>
          <w:sz w:val="24"/>
          <w:szCs w:val="24"/>
        </w:rPr>
        <w:t>×</w:t>
      </w:r>
      <w:r>
        <w:rPr>
          <w:rFonts w:ascii="宋体" w:hAnsi="宋体" w:eastAsia="宋体" w:cs="宋体"/>
          <w:spacing w:val="3"/>
          <w:sz w:val="24"/>
          <w:szCs w:val="24"/>
        </w:rPr>
        <w:t>溶液中污</w:t>
      </w:r>
      <w:r>
        <w:rPr>
          <w:rFonts w:ascii="宋体" w:hAnsi="宋体" w:eastAsia="宋体" w:cs="宋体"/>
          <w:spacing w:val="2"/>
          <w:sz w:val="24"/>
          <w:szCs w:val="24"/>
        </w:rPr>
        <w:t>染物浓度（</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cm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4"/>
          <w:szCs w:val="24"/>
        </w:rPr>
        <w:t>）</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rFonts w:ascii="宋体" w:hAnsi="宋体" w:eastAsia="宋体" w:cs="宋体"/>
          <w:spacing w:val="10"/>
          <w:sz w:val="24"/>
          <w:szCs w:val="24"/>
        </w:rPr>
        <w:t>土壤密度（</w:t>
      </w:r>
      <w:r>
        <w:rPr>
          <w:rFonts w:ascii="Times New Roman" w:hAnsi="Times New Roman" w:eastAsia="Times New Roman" w:cs="Times New Roman"/>
          <w:spacing w:val="10"/>
          <w:sz w:val="24"/>
          <w:szCs w:val="24"/>
        </w:rPr>
        <w:t>g/</w:t>
      </w:r>
      <w:r>
        <w:rPr>
          <w:rFonts w:ascii="Times New Roman" w:hAnsi="Times New Roman" w:eastAsia="Times New Roman" w:cs="Times New Roman"/>
          <w:sz w:val="24"/>
          <w:szCs w:val="24"/>
        </w:rPr>
        <w:t>cm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5"/>
          <w:w w:val="101"/>
          <w:position w:val="7"/>
          <w:sz w:val="15"/>
          <w:szCs w:val="15"/>
        </w:rPr>
        <w:t xml:space="preserve"> </w:t>
      </w:r>
      <w:r>
        <w:rPr>
          <w:rFonts w:ascii="宋体" w:hAnsi="宋体" w:eastAsia="宋体" w:cs="宋体"/>
          <w:spacing w:val="-17"/>
          <w:sz w:val="24"/>
          <w:szCs w:val="24"/>
        </w:rPr>
        <w:t>）</w:t>
      </w:r>
      <w:r>
        <w:rPr>
          <w:rFonts w:ascii="宋体" w:hAnsi="宋体" w:eastAsia="宋体" w:cs="宋体"/>
          <w:spacing w:val="-72"/>
          <w:sz w:val="24"/>
          <w:szCs w:val="24"/>
        </w:rPr>
        <w:t xml:space="preserve"> </w:t>
      </w:r>
      <w:r>
        <w:rPr>
          <w:rFonts w:ascii="宋体" w:hAnsi="宋体" w:eastAsia="宋体" w:cs="宋体"/>
          <w:spacing w:val="-17"/>
          <w:sz w:val="24"/>
          <w:szCs w:val="24"/>
        </w:rPr>
        <w:t>，</w:t>
      </w:r>
      <w:r>
        <w:rPr>
          <w:rFonts w:ascii="宋体" w:hAnsi="宋体" w:eastAsia="宋体" w:cs="宋体"/>
          <w:spacing w:val="10"/>
          <w:sz w:val="24"/>
          <w:szCs w:val="24"/>
        </w:rPr>
        <w:t>泄漏点处土壤残余含水率</w:t>
      </w:r>
      <w:r>
        <w:rPr>
          <w:rFonts w:ascii="Times New Roman" w:hAnsi="Times New Roman" w:eastAsia="Times New Roman" w:cs="Times New Roman"/>
          <w:spacing w:val="10"/>
          <w:sz w:val="24"/>
          <w:szCs w:val="24"/>
        </w:rPr>
        <w:t>=0.065m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4"/>
          <w:szCs w:val="24"/>
        </w:rPr>
        <w:t>/m</w:t>
      </w:r>
      <w:r>
        <w:rPr>
          <w:rFonts w:ascii="Times New Roman" w:hAnsi="Times New Roman" w:eastAsia="Times New Roman" w:cs="Times New Roman"/>
          <w:spacing w:val="10"/>
          <w:position w:val="7"/>
          <w:sz w:val="15"/>
          <w:szCs w:val="15"/>
        </w:rPr>
        <w:t xml:space="preserve">3 </w:t>
      </w:r>
      <w:r>
        <w:rPr>
          <w:rFonts w:ascii="宋体" w:hAnsi="宋体" w:eastAsia="宋体" w:cs="宋体"/>
          <w:spacing w:val="10"/>
          <w:sz w:val="24"/>
          <w:szCs w:val="24"/>
        </w:rPr>
        <w:t>，铅物</w:t>
      </w:r>
      <w:r>
        <w:rPr>
          <w:rFonts w:ascii="宋体" w:hAnsi="宋体" w:eastAsia="宋体" w:cs="宋体"/>
          <w:spacing w:val="9"/>
          <w:sz w:val="24"/>
          <w:szCs w:val="24"/>
        </w:rPr>
        <w:t>质浓度为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=0.080mg/L</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，砷物质浓度</w:t>
      </w:r>
      <w:r>
        <w:rPr>
          <w:rFonts w:ascii="Times New Roman" w:hAnsi="Times New Roman" w:eastAsia="Times New Roman" w:cs="Times New Roman"/>
          <w:spacing w:val="-2"/>
          <w:sz w:val="24"/>
          <w:szCs w:val="24"/>
        </w:rPr>
        <w:t>=0.418mg/L</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，泄漏点处土壤密度为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1.640g/cm</w:t>
      </w:r>
      <w:r>
        <w:rPr>
          <w:rFonts w:ascii="Times New Roman" w:hAnsi="Times New Roman" w:eastAsia="Times New Roman" w:cs="Times New Roman"/>
          <w:spacing w:val="-2"/>
          <w:position w:val="7"/>
          <w:sz w:val="15"/>
          <w:szCs w:val="15"/>
        </w:rPr>
        <w:t>3</w:t>
      </w:r>
      <w:r>
        <w:rPr>
          <w:rFonts w:ascii="宋体" w:hAnsi="宋体" w:eastAsia="宋体" w:cs="宋体"/>
          <w:spacing w:val="-2"/>
          <w:sz w:val="24"/>
          <w:szCs w:val="24"/>
        </w:rPr>
        <w:t>。</w:t>
      </w:r>
    </w:p>
    <w:p w14:paraId="41C7E5AB">
      <w:pPr>
        <w:pStyle w:val="2"/>
        <w:spacing w:before="36" w:line="322" w:lineRule="exact"/>
        <w:ind w:left="504"/>
        <w:rPr>
          <w:rFonts w:ascii="宋体" w:hAnsi="宋体" w:eastAsia="宋体" w:cs="宋体"/>
          <w:sz w:val="24"/>
          <w:szCs w:val="24"/>
        </w:rPr>
      </w:pPr>
      <w:r>
        <w:rPr>
          <w:rFonts w:ascii="宋体" w:hAnsi="宋体" w:eastAsia="宋体" w:cs="宋体"/>
          <w:spacing w:val="-1"/>
          <w:position w:val="2"/>
          <w:sz w:val="24"/>
          <w:szCs w:val="24"/>
        </w:rPr>
        <w:t>土壤中沉积物铅含量</w:t>
      </w:r>
      <w:r>
        <w:rPr>
          <w:rFonts w:ascii="Times New Roman" w:hAnsi="Times New Roman" w:eastAsia="Times New Roman" w:cs="Times New Roman"/>
          <w:spacing w:val="-1"/>
          <w:position w:val="2"/>
          <w:sz w:val="24"/>
          <w:szCs w:val="24"/>
        </w:rPr>
        <w:t>=0.065×0.080/1.640=3.</w:t>
      </w:r>
      <w:r>
        <w:rPr>
          <w:rFonts w:ascii="Times New Roman" w:hAnsi="Times New Roman" w:eastAsia="Times New Roman" w:cs="Times New Roman"/>
          <w:spacing w:val="-25"/>
          <w:position w:val="2"/>
          <w:sz w:val="24"/>
          <w:szCs w:val="24"/>
        </w:rPr>
        <w:t xml:space="preserve"> </w:t>
      </w:r>
      <w:r>
        <w:rPr>
          <w:rFonts w:ascii="Times New Roman" w:hAnsi="Times New Roman" w:eastAsia="Times New Roman" w:cs="Times New Roman"/>
          <w:spacing w:val="-1"/>
          <w:position w:val="2"/>
          <w:sz w:val="24"/>
          <w:szCs w:val="24"/>
        </w:rPr>
        <w:t>171</w:t>
      </w:r>
      <w:r>
        <w:rPr>
          <w:spacing w:val="-1"/>
          <w:position w:val="2"/>
          <w:sz w:val="24"/>
          <w:szCs w:val="24"/>
        </w:rPr>
        <w:t>×</w:t>
      </w:r>
      <w:r>
        <w:rPr>
          <w:rFonts w:ascii="Times New Roman" w:hAnsi="Times New Roman" w:eastAsia="Times New Roman" w:cs="Times New Roman"/>
          <w:spacing w:val="-1"/>
          <w:position w:val="2"/>
          <w:sz w:val="24"/>
          <w:szCs w:val="24"/>
        </w:rPr>
        <w:t>10</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sz w:val="24"/>
          <w:szCs w:val="24"/>
        </w:rPr>
        <w:t>mg/kg</w:t>
      </w:r>
      <w:r>
        <w:rPr>
          <w:rFonts w:ascii="宋体" w:hAnsi="宋体" w:eastAsia="宋体" w:cs="宋体"/>
          <w:spacing w:val="-1"/>
          <w:position w:val="2"/>
          <w:sz w:val="24"/>
          <w:szCs w:val="24"/>
        </w:rPr>
        <w:t>。</w:t>
      </w:r>
    </w:p>
    <w:p w14:paraId="714FB4ED">
      <w:pPr>
        <w:spacing w:before="146" w:line="322" w:lineRule="exact"/>
        <w:ind w:left="504"/>
        <w:rPr>
          <w:rFonts w:ascii="宋体" w:hAnsi="宋体" w:eastAsia="宋体" w:cs="宋体"/>
          <w:sz w:val="24"/>
          <w:szCs w:val="24"/>
        </w:rPr>
      </w:pPr>
      <w:r>
        <w:rPr>
          <w:rFonts w:ascii="宋体" w:hAnsi="宋体" w:eastAsia="宋体" w:cs="宋体"/>
          <w:position w:val="2"/>
          <w:sz w:val="24"/>
          <w:szCs w:val="24"/>
        </w:rPr>
        <w:t>土壤中沉积物砷含量</w:t>
      </w:r>
      <w:r>
        <w:rPr>
          <w:rFonts w:ascii="Times New Roman" w:hAnsi="Times New Roman" w:eastAsia="Times New Roman" w:cs="Times New Roman"/>
          <w:position w:val="2"/>
          <w:sz w:val="24"/>
          <w:szCs w:val="24"/>
        </w:rPr>
        <w:t>=0.065×0.418/1.64</w:t>
      </w:r>
      <w:r>
        <w:rPr>
          <w:rFonts w:ascii="Times New Roman" w:hAnsi="Times New Roman" w:eastAsia="Times New Roman" w:cs="Times New Roman"/>
          <w:spacing w:val="-1"/>
          <w:position w:val="2"/>
          <w:sz w:val="24"/>
          <w:szCs w:val="24"/>
        </w:rPr>
        <w:t>0=0.017mg/kg</w:t>
      </w:r>
      <w:r>
        <w:rPr>
          <w:rFonts w:ascii="宋体" w:hAnsi="宋体" w:eastAsia="宋体" w:cs="宋体"/>
          <w:spacing w:val="-1"/>
          <w:position w:val="2"/>
          <w:sz w:val="24"/>
          <w:szCs w:val="24"/>
        </w:rPr>
        <w:t>。</w:t>
      </w:r>
    </w:p>
    <w:p w14:paraId="4E252289">
      <w:pPr>
        <w:pStyle w:val="2"/>
        <w:spacing w:before="191" w:line="357" w:lineRule="auto"/>
        <w:ind w:left="22" w:right="13" w:firstLine="480"/>
        <w:rPr>
          <w:rFonts w:ascii="宋体" w:hAnsi="宋体" w:eastAsia="宋体" w:cs="宋体"/>
          <w:sz w:val="24"/>
          <w:szCs w:val="24"/>
        </w:rPr>
      </w:pPr>
      <w:r>
        <w:rPr>
          <w:rFonts w:ascii="宋体" w:hAnsi="宋体" w:eastAsia="宋体" w:cs="宋体"/>
          <w:spacing w:val="6"/>
          <w:sz w:val="24"/>
          <w:szCs w:val="24"/>
        </w:rPr>
        <w:t>在</w:t>
      </w:r>
      <w:r>
        <w:rPr>
          <w:rFonts w:ascii="宋体" w:hAnsi="宋体" w:eastAsia="宋体" w:cs="宋体"/>
          <w:spacing w:val="-56"/>
          <w:sz w:val="24"/>
          <w:szCs w:val="24"/>
        </w:rPr>
        <w:t xml:space="preserve"> </w:t>
      </w:r>
      <w:r>
        <w:rPr>
          <w:rFonts w:ascii="宋体" w:hAnsi="宋体" w:eastAsia="宋体" w:cs="宋体"/>
          <w:spacing w:val="6"/>
          <w:sz w:val="24"/>
          <w:szCs w:val="24"/>
        </w:rPr>
        <w:t>泄漏</w:t>
      </w:r>
      <w:r>
        <w:rPr>
          <w:rFonts w:ascii="宋体" w:hAnsi="宋体" w:eastAsia="宋体" w:cs="宋体"/>
          <w:spacing w:val="-60"/>
          <w:sz w:val="24"/>
          <w:szCs w:val="24"/>
        </w:rPr>
        <w:t xml:space="preserve"> </w:t>
      </w:r>
      <w:r>
        <w:rPr>
          <w:rFonts w:ascii="宋体" w:hAnsi="宋体" w:eastAsia="宋体" w:cs="宋体"/>
          <w:spacing w:val="6"/>
          <w:sz w:val="24"/>
          <w:szCs w:val="24"/>
        </w:rPr>
        <w:t>点</w:t>
      </w:r>
      <w:r>
        <w:rPr>
          <w:rFonts w:ascii="宋体" w:hAnsi="宋体" w:eastAsia="宋体" w:cs="宋体"/>
          <w:spacing w:val="-70"/>
          <w:sz w:val="24"/>
          <w:szCs w:val="24"/>
        </w:rPr>
        <w:t xml:space="preserve"> </w:t>
      </w:r>
      <w:r>
        <w:rPr>
          <w:rFonts w:ascii="宋体" w:hAnsi="宋体" w:eastAsia="宋体" w:cs="宋体"/>
          <w:spacing w:val="6"/>
          <w:sz w:val="24"/>
          <w:szCs w:val="24"/>
        </w:rPr>
        <w:t>处铅土壤</w:t>
      </w:r>
      <w:r>
        <w:rPr>
          <w:rFonts w:ascii="宋体" w:hAnsi="宋体" w:eastAsia="宋体" w:cs="宋体"/>
          <w:spacing w:val="-52"/>
          <w:sz w:val="24"/>
          <w:szCs w:val="24"/>
        </w:rPr>
        <w:t xml:space="preserve"> </w:t>
      </w:r>
      <w:r>
        <w:rPr>
          <w:rFonts w:ascii="宋体" w:hAnsi="宋体" w:eastAsia="宋体" w:cs="宋体"/>
          <w:spacing w:val="6"/>
          <w:sz w:val="24"/>
          <w:szCs w:val="24"/>
        </w:rPr>
        <w:t>中沉积物</w:t>
      </w:r>
      <w:r>
        <w:rPr>
          <w:rFonts w:ascii="宋体" w:hAnsi="宋体" w:eastAsia="宋体" w:cs="宋体"/>
          <w:spacing w:val="-69"/>
          <w:sz w:val="24"/>
          <w:szCs w:val="24"/>
        </w:rPr>
        <w:t xml:space="preserve"> </w:t>
      </w:r>
      <w:r>
        <w:rPr>
          <w:rFonts w:ascii="宋体" w:hAnsi="宋体" w:eastAsia="宋体" w:cs="宋体"/>
          <w:spacing w:val="6"/>
          <w:sz w:val="24"/>
          <w:szCs w:val="24"/>
        </w:rPr>
        <w:t xml:space="preserve">为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171</w:t>
      </w:r>
      <w:r>
        <w:rPr>
          <w:spacing w:val="6"/>
          <w:sz w:val="24"/>
          <w:szCs w:val="24"/>
        </w:rPr>
        <w:t>×</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z w:val="24"/>
          <w:szCs w:val="24"/>
        </w:rPr>
        <w:t>mg</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kg</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，砷</w:t>
      </w:r>
      <w:r>
        <w:rPr>
          <w:rFonts w:ascii="宋体" w:hAnsi="宋体" w:eastAsia="宋体" w:cs="宋体"/>
          <w:spacing w:val="-72"/>
          <w:sz w:val="24"/>
          <w:szCs w:val="24"/>
        </w:rPr>
        <w:t xml:space="preserve"> </w:t>
      </w:r>
      <w:r>
        <w:rPr>
          <w:rFonts w:ascii="宋体" w:hAnsi="宋体" w:eastAsia="宋体" w:cs="宋体"/>
          <w:spacing w:val="6"/>
          <w:sz w:val="24"/>
          <w:szCs w:val="24"/>
        </w:rPr>
        <w:t>土壤</w:t>
      </w:r>
      <w:r>
        <w:rPr>
          <w:rFonts w:ascii="宋体" w:hAnsi="宋体" w:eastAsia="宋体" w:cs="宋体"/>
          <w:spacing w:val="-52"/>
          <w:sz w:val="24"/>
          <w:szCs w:val="24"/>
        </w:rPr>
        <w:t xml:space="preserve"> </w:t>
      </w:r>
      <w:r>
        <w:rPr>
          <w:rFonts w:ascii="宋体" w:hAnsi="宋体" w:eastAsia="宋体" w:cs="宋体"/>
          <w:spacing w:val="6"/>
          <w:sz w:val="24"/>
          <w:szCs w:val="24"/>
        </w:rPr>
        <w:t>中沉积物</w:t>
      </w:r>
      <w:r>
        <w:rPr>
          <w:rFonts w:ascii="宋体" w:hAnsi="宋体" w:eastAsia="宋体" w:cs="宋体"/>
          <w:spacing w:val="-71"/>
          <w:sz w:val="24"/>
          <w:szCs w:val="24"/>
        </w:rPr>
        <w:t xml:space="preserve"> </w:t>
      </w:r>
      <w:r>
        <w:rPr>
          <w:rFonts w:ascii="宋体" w:hAnsi="宋体" w:eastAsia="宋体" w:cs="宋体"/>
          <w:spacing w:val="6"/>
          <w:sz w:val="24"/>
          <w:szCs w:val="24"/>
        </w:rPr>
        <w:t>为</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0.017mg/kg</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，随着时间的推移地表以下土壤中铅、砷浓度逐渐增大</w:t>
      </w:r>
      <w:r>
        <w:rPr>
          <w:rFonts w:ascii="宋体" w:hAnsi="宋体" w:eastAsia="宋体" w:cs="宋体"/>
          <w:spacing w:val="-3"/>
          <w:sz w:val="24"/>
          <w:szCs w:val="24"/>
        </w:rPr>
        <w:t>。本项目垂直</w:t>
      </w:r>
      <w:r>
        <w:rPr>
          <w:rFonts w:ascii="宋体" w:hAnsi="宋体" w:eastAsia="宋体" w:cs="宋体"/>
          <w:sz w:val="24"/>
          <w:szCs w:val="24"/>
        </w:rPr>
        <w:t xml:space="preserve"> </w:t>
      </w:r>
      <w:r>
        <w:rPr>
          <w:rFonts w:ascii="宋体" w:hAnsi="宋体" w:eastAsia="宋体" w:cs="宋体"/>
          <w:spacing w:val="-3"/>
          <w:sz w:val="24"/>
          <w:szCs w:val="24"/>
        </w:rPr>
        <w:t>入渗对土壤的影响为非正常情况，正常情况下，项目做好尾矿库管理及防渗，不</w:t>
      </w:r>
      <w:r>
        <w:rPr>
          <w:rFonts w:ascii="宋体" w:hAnsi="宋体" w:eastAsia="宋体" w:cs="宋体"/>
          <w:spacing w:val="1"/>
          <w:sz w:val="24"/>
          <w:szCs w:val="24"/>
        </w:rPr>
        <w:t xml:space="preserve"> </w:t>
      </w:r>
      <w:r>
        <w:rPr>
          <w:rFonts w:ascii="宋体" w:hAnsi="宋体" w:eastAsia="宋体" w:cs="宋体"/>
          <w:spacing w:val="-1"/>
          <w:sz w:val="24"/>
          <w:szCs w:val="24"/>
        </w:rPr>
        <w:t>会对土壤造成污染。</w:t>
      </w:r>
    </w:p>
    <w:p w14:paraId="146F890B">
      <w:pPr>
        <w:spacing w:before="13" w:line="219" w:lineRule="auto"/>
        <w:ind w:left="522"/>
        <w:rPr>
          <w:rFonts w:ascii="宋体" w:hAnsi="宋体" w:eastAsia="宋体" w:cs="宋体"/>
          <w:sz w:val="24"/>
          <w:szCs w:val="24"/>
        </w:rPr>
      </w:pPr>
      <w:r>
        <w:rPr>
          <w:rFonts w:ascii="宋体" w:hAnsi="宋体" w:eastAsia="宋体" w:cs="宋体"/>
          <w:spacing w:val="-2"/>
          <w:sz w:val="24"/>
          <w:szCs w:val="24"/>
        </w:rPr>
        <w:t>因此，本项目运营期对土壤环境的影响较小。</w:t>
      </w:r>
    </w:p>
    <w:p w14:paraId="66EE04EB">
      <w:pPr>
        <w:spacing w:before="184" w:line="360" w:lineRule="auto"/>
        <w:ind w:left="22" w:right="13" w:firstLine="483"/>
        <w:rPr>
          <w:rFonts w:ascii="宋体" w:hAnsi="宋体" w:eastAsia="宋体" w:cs="宋体"/>
          <w:sz w:val="24"/>
          <w:szCs w:val="24"/>
        </w:rPr>
      </w:pPr>
      <w:r>
        <w:rPr>
          <w:rFonts w:ascii="宋体" w:hAnsi="宋体" w:eastAsia="宋体" w:cs="宋体"/>
          <w:spacing w:val="-3"/>
          <w:sz w:val="24"/>
          <w:szCs w:val="24"/>
        </w:rPr>
        <w:t>综合以上分析，非正常状况下，尾矿浆通过尾矿库防渗层</w:t>
      </w:r>
      <w:r>
        <w:rPr>
          <w:rFonts w:ascii="宋体" w:hAnsi="宋体" w:eastAsia="宋体" w:cs="宋体"/>
          <w:spacing w:val="-4"/>
          <w:sz w:val="24"/>
          <w:szCs w:val="24"/>
        </w:rPr>
        <w:t>裂缝进入土壤，将</w:t>
      </w:r>
      <w:r>
        <w:rPr>
          <w:rFonts w:ascii="宋体" w:hAnsi="宋体" w:eastAsia="宋体" w:cs="宋体"/>
          <w:sz w:val="24"/>
          <w:szCs w:val="24"/>
        </w:rPr>
        <w:t xml:space="preserve"> </w:t>
      </w:r>
      <w:r>
        <w:rPr>
          <w:rFonts w:ascii="宋体" w:hAnsi="宋体" w:eastAsia="宋体" w:cs="宋体"/>
          <w:spacing w:val="1"/>
          <w:sz w:val="24"/>
          <w:szCs w:val="24"/>
        </w:rPr>
        <w:t>会造成土壤污染。项目运行单位需采取土壤污染防治措施按照</w:t>
      </w:r>
      <w:r>
        <w:rPr>
          <w:rFonts w:ascii="Times New Roman" w:hAnsi="Times New Roman" w:eastAsia="Times New Roman" w:cs="Times New Roman"/>
          <w:spacing w:val="1"/>
          <w:sz w:val="24"/>
          <w:szCs w:val="24"/>
        </w:rPr>
        <w:t>“</w:t>
      </w:r>
      <w:r>
        <w:rPr>
          <w:rFonts w:ascii="宋体" w:hAnsi="宋体" w:eastAsia="宋体" w:cs="宋体"/>
          <w:sz w:val="24"/>
          <w:szCs w:val="24"/>
        </w:rPr>
        <w:t xml:space="preserve">源头控制、过程 </w:t>
      </w:r>
      <w:r>
        <w:rPr>
          <w:rFonts w:ascii="宋体" w:hAnsi="宋体" w:eastAsia="宋体" w:cs="宋体"/>
          <w:spacing w:val="1"/>
          <w:sz w:val="24"/>
          <w:szCs w:val="24"/>
        </w:rPr>
        <w:t>防控、跟踪监测、应急响应</w:t>
      </w:r>
      <w:r>
        <w:rPr>
          <w:rFonts w:ascii="Times New Roman" w:hAnsi="Times New Roman" w:eastAsia="Times New Roman" w:cs="Times New Roman"/>
          <w:spacing w:val="1"/>
          <w:sz w:val="24"/>
          <w:szCs w:val="24"/>
        </w:rPr>
        <w:t>”</w:t>
      </w:r>
      <w:r>
        <w:rPr>
          <w:rFonts w:ascii="宋体" w:hAnsi="宋体" w:eastAsia="宋体" w:cs="宋体"/>
          <w:spacing w:val="1"/>
          <w:sz w:val="24"/>
          <w:szCs w:val="24"/>
        </w:rPr>
        <w:t>相结合的原则，并定期开展土壤</w:t>
      </w:r>
      <w:r>
        <w:rPr>
          <w:rFonts w:ascii="宋体" w:hAnsi="宋体" w:eastAsia="宋体" w:cs="宋体"/>
          <w:sz w:val="24"/>
          <w:szCs w:val="24"/>
        </w:rPr>
        <w:t xml:space="preserve">跟踪监测，在严格 </w:t>
      </w:r>
      <w:r>
        <w:rPr>
          <w:rFonts w:ascii="宋体" w:hAnsi="宋体" w:eastAsia="宋体" w:cs="宋体"/>
          <w:spacing w:val="-1"/>
          <w:sz w:val="24"/>
          <w:szCs w:val="24"/>
        </w:rPr>
        <w:t>按照土壤污染防护措施后，项目土壤环境影响可接受。</w:t>
      </w:r>
    </w:p>
    <w:p w14:paraId="588789AE">
      <w:pPr>
        <w:spacing w:line="220" w:lineRule="auto"/>
        <w:ind w:left="502"/>
        <w:outlineLvl w:val="2"/>
        <w:rPr>
          <w:rFonts w:ascii="宋体" w:hAnsi="宋体" w:eastAsia="宋体" w:cs="宋体"/>
          <w:sz w:val="24"/>
          <w:szCs w:val="24"/>
        </w:rPr>
      </w:pPr>
      <w:bookmarkStart w:id="163" w:name="bookmark144"/>
      <w:bookmarkEnd w:id="163"/>
      <w:r>
        <w:rPr>
          <w:rFonts w:ascii="Times New Roman" w:hAnsi="Times New Roman" w:eastAsia="Times New Roman" w:cs="Times New Roman"/>
          <w:b/>
          <w:bCs/>
          <w:spacing w:val="-2"/>
          <w:sz w:val="24"/>
          <w:szCs w:val="24"/>
        </w:rPr>
        <w:t xml:space="preserve">8.8.6 </w:t>
      </w:r>
      <w:r>
        <w:rPr>
          <w:rFonts w:ascii="宋体" w:hAnsi="宋体" w:eastAsia="宋体" w:cs="宋体"/>
          <w:b/>
          <w:bCs/>
          <w:spacing w:val="-2"/>
          <w:sz w:val="24"/>
          <w:szCs w:val="24"/>
        </w:rPr>
        <w:t>土壤环境保护措施与对策</w:t>
      </w:r>
    </w:p>
    <w:p w14:paraId="245D3016">
      <w:pPr>
        <w:spacing w:before="182" w:line="220" w:lineRule="auto"/>
        <w:ind w:left="508"/>
        <w:outlineLvl w:val="3"/>
        <w:rPr>
          <w:rFonts w:ascii="宋体" w:hAnsi="宋体" w:eastAsia="宋体" w:cs="宋体"/>
          <w:sz w:val="24"/>
          <w:szCs w:val="24"/>
        </w:rPr>
      </w:pPr>
      <w:r>
        <w:rPr>
          <w:rFonts w:ascii="Times New Roman" w:hAnsi="Times New Roman" w:eastAsia="Times New Roman" w:cs="Times New Roman"/>
          <w:spacing w:val="-1"/>
          <w:sz w:val="24"/>
          <w:szCs w:val="24"/>
        </w:rPr>
        <w:t xml:space="preserve">8.8.6.1 </w:t>
      </w:r>
      <w:r>
        <w:rPr>
          <w:rFonts w:ascii="宋体" w:hAnsi="宋体" w:eastAsia="宋体" w:cs="宋体"/>
          <w:spacing w:val="-1"/>
          <w:sz w:val="24"/>
          <w:szCs w:val="24"/>
        </w:rPr>
        <w:t>土壤污染防止原则</w:t>
      </w:r>
    </w:p>
    <w:p w14:paraId="7F4A7D6A">
      <w:pPr>
        <w:spacing w:before="182" w:line="219" w:lineRule="auto"/>
        <w:ind w:right="4"/>
        <w:jc w:val="right"/>
        <w:rPr>
          <w:rFonts w:ascii="宋体" w:hAnsi="宋体" w:eastAsia="宋体" w:cs="宋体"/>
          <w:sz w:val="24"/>
          <w:szCs w:val="24"/>
        </w:rPr>
      </w:pPr>
      <w:r>
        <w:rPr>
          <w:rFonts w:ascii="宋体" w:hAnsi="宋体" w:eastAsia="宋体" w:cs="宋体"/>
          <w:spacing w:val="1"/>
          <w:sz w:val="24"/>
          <w:szCs w:val="24"/>
        </w:rPr>
        <w:t>针对工程可能发生的土壤污染，按照</w:t>
      </w:r>
      <w:r>
        <w:rPr>
          <w:rFonts w:ascii="Times New Roman" w:hAnsi="Times New Roman" w:eastAsia="Times New Roman" w:cs="Times New Roman"/>
          <w:spacing w:val="1"/>
          <w:sz w:val="24"/>
          <w:szCs w:val="24"/>
        </w:rPr>
        <w:t>“</w:t>
      </w:r>
      <w:r>
        <w:rPr>
          <w:rFonts w:ascii="宋体" w:hAnsi="宋体" w:eastAsia="宋体" w:cs="宋体"/>
          <w:spacing w:val="1"/>
          <w:sz w:val="24"/>
          <w:szCs w:val="24"/>
        </w:rPr>
        <w:t>源头控制、末端防治、污染监控、应</w:t>
      </w:r>
    </w:p>
    <w:p w14:paraId="72CCE86A">
      <w:pPr>
        <w:spacing w:line="219" w:lineRule="auto"/>
        <w:rPr>
          <w:rFonts w:ascii="宋体" w:hAnsi="宋体" w:eastAsia="宋体" w:cs="宋体"/>
          <w:sz w:val="24"/>
          <w:szCs w:val="24"/>
        </w:rPr>
        <w:sectPr>
          <w:headerReference r:id="rId385" w:type="default"/>
          <w:footerReference r:id="rId386" w:type="default"/>
          <w:pgSz w:w="11906" w:h="16839"/>
          <w:pgMar w:top="1208" w:right="1785" w:bottom="1358" w:left="1785" w:header="825" w:footer="1195" w:gutter="0"/>
          <w:cols w:space="720" w:num="1"/>
        </w:sectPr>
      </w:pPr>
    </w:p>
    <w:p w14:paraId="24304C7B">
      <w:pPr>
        <w:pStyle w:val="2"/>
        <w:spacing w:line="265" w:lineRule="auto"/>
      </w:pPr>
    </w:p>
    <w:p w14:paraId="019D9615">
      <w:pPr>
        <w:spacing w:before="78" w:line="360" w:lineRule="auto"/>
        <w:ind w:left="24" w:right="101" w:firstLine="6"/>
        <w:rPr>
          <w:rFonts w:ascii="宋体" w:hAnsi="宋体" w:eastAsia="宋体" w:cs="宋体"/>
          <w:sz w:val="24"/>
          <w:szCs w:val="24"/>
        </w:rPr>
      </w:pPr>
      <w:r>
        <w:rPr>
          <w:rFonts w:ascii="宋体" w:hAnsi="宋体" w:eastAsia="宋体" w:cs="宋体"/>
          <w:spacing w:val="1"/>
          <w:sz w:val="24"/>
          <w:szCs w:val="24"/>
        </w:rPr>
        <w:t>急响应</w:t>
      </w:r>
      <w:r>
        <w:rPr>
          <w:rFonts w:ascii="Times New Roman" w:hAnsi="Times New Roman" w:eastAsia="Times New Roman" w:cs="Times New Roman"/>
          <w:spacing w:val="1"/>
          <w:sz w:val="24"/>
          <w:szCs w:val="24"/>
        </w:rPr>
        <w:t>”</w:t>
      </w:r>
      <w:r>
        <w:rPr>
          <w:rFonts w:ascii="宋体" w:hAnsi="宋体" w:eastAsia="宋体" w:cs="宋体"/>
          <w:spacing w:val="1"/>
          <w:sz w:val="24"/>
          <w:szCs w:val="24"/>
        </w:rPr>
        <w:t>相结合的原则，从污染物的产生、</w:t>
      </w:r>
      <w:r>
        <w:rPr>
          <w:rFonts w:ascii="宋体" w:hAnsi="宋体" w:eastAsia="宋体" w:cs="宋体"/>
          <w:sz w:val="24"/>
          <w:szCs w:val="24"/>
        </w:rPr>
        <w:t xml:space="preserve">入渗、扩散、应急响应全阶段进行控 </w:t>
      </w:r>
      <w:r>
        <w:rPr>
          <w:rFonts w:ascii="宋体" w:hAnsi="宋体" w:eastAsia="宋体" w:cs="宋体"/>
          <w:spacing w:val="-6"/>
          <w:sz w:val="24"/>
          <w:szCs w:val="24"/>
        </w:rPr>
        <w:t>制。</w:t>
      </w:r>
    </w:p>
    <w:p w14:paraId="2FE13D97">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）源头控制措施</w:t>
      </w:r>
    </w:p>
    <w:p w14:paraId="5A20BA6E">
      <w:pPr>
        <w:spacing w:before="182" w:line="360" w:lineRule="auto"/>
        <w:ind w:left="22" w:right="99" w:firstLine="482"/>
        <w:rPr>
          <w:rFonts w:ascii="宋体" w:hAnsi="宋体" w:eastAsia="宋体" w:cs="宋体"/>
          <w:sz w:val="24"/>
          <w:szCs w:val="24"/>
        </w:rPr>
      </w:pPr>
      <w:r>
        <w:rPr>
          <w:rFonts w:ascii="宋体" w:hAnsi="宋体" w:eastAsia="宋体" w:cs="宋体"/>
          <w:spacing w:val="-3"/>
          <w:sz w:val="24"/>
          <w:szCs w:val="24"/>
        </w:rPr>
        <w:t>主要包括在工艺、管道、设备、污水储存及处理构筑物采取</w:t>
      </w:r>
      <w:r>
        <w:rPr>
          <w:rFonts w:ascii="宋体" w:hAnsi="宋体" w:eastAsia="宋体" w:cs="宋体"/>
          <w:spacing w:val="-4"/>
          <w:sz w:val="24"/>
          <w:szCs w:val="24"/>
        </w:rPr>
        <w:t>相应措施，防止</w:t>
      </w:r>
      <w:r>
        <w:rPr>
          <w:rFonts w:ascii="宋体" w:hAnsi="宋体" w:eastAsia="宋体" w:cs="宋体"/>
          <w:sz w:val="24"/>
          <w:szCs w:val="24"/>
        </w:rPr>
        <w:t xml:space="preserve"> </w:t>
      </w:r>
      <w:r>
        <w:rPr>
          <w:rFonts w:ascii="宋体" w:hAnsi="宋体" w:eastAsia="宋体" w:cs="宋体"/>
          <w:spacing w:val="-3"/>
          <w:sz w:val="24"/>
          <w:szCs w:val="24"/>
        </w:rPr>
        <w:t>和降低污染物跑、冒、滴、漏，将污染物泄漏的环境风险事故降到最低程度。企</w:t>
      </w:r>
      <w:r>
        <w:rPr>
          <w:rFonts w:ascii="宋体" w:hAnsi="宋体" w:eastAsia="宋体" w:cs="宋体"/>
          <w:spacing w:val="1"/>
          <w:sz w:val="24"/>
          <w:szCs w:val="24"/>
        </w:rPr>
        <w:t xml:space="preserve"> </w:t>
      </w:r>
      <w:r>
        <w:rPr>
          <w:rFonts w:ascii="宋体" w:hAnsi="宋体" w:eastAsia="宋体" w:cs="宋体"/>
          <w:sz w:val="24"/>
          <w:szCs w:val="24"/>
        </w:rPr>
        <w:t>业应采用国家鼓励的清洁生产工艺、设备，从源头</w:t>
      </w:r>
      <w:r>
        <w:rPr>
          <w:rFonts w:ascii="宋体" w:hAnsi="宋体" w:eastAsia="宋体" w:cs="宋体"/>
          <w:spacing w:val="-1"/>
          <w:sz w:val="24"/>
          <w:szCs w:val="24"/>
        </w:rPr>
        <w:t>上控制污染物的排放。</w:t>
      </w:r>
    </w:p>
    <w:p w14:paraId="09347D21">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）末端控制措施</w:t>
      </w:r>
    </w:p>
    <w:p w14:paraId="466D4B0C">
      <w:pPr>
        <w:spacing w:before="183" w:line="360" w:lineRule="auto"/>
        <w:ind w:left="24" w:right="99" w:firstLine="480"/>
        <w:rPr>
          <w:rFonts w:ascii="宋体" w:hAnsi="宋体" w:eastAsia="宋体" w:cs="宋体"/>
          <w:sz w:val="24"/>
          <w:szCs w:val="24"/>
        </w:rPr>
      </w:pPr>
      <w:r>
        <w:rPr>
          <w:rFonts w:ascii="宋体" w:hAnsi="宋体" w:eastAsia="宋体" w:cs="宋体"/>
          <w:spacing w:val="-3"/>
          <w:sz w:val="24"/>
          <w:szCs w:val="24"/>
        </w:rPr>
        <w:t>主要包括厂内污染区地面的防渗措施和泄漏、渗漏污染物收</w:t>
      </w:r>
      <w:r>
        <w:rPr>
          <w:rFonts w:ascii="宋体" w:hAnsi="宋体" w:eastAsia="宋体" w:cs="宋体"/>
          <w:spacing w:val="-4"/>
          <w:sz w:val="24"/>
          <w:szCs w:val="24"/>
        </w:rPr>
        <w:t>集措施，即在污</w:t>
      </w:r>
      <w:r>
        <w:rPr>
          <w:rFonts w:ascii="宋体" w:hAnsi="宋体" w:eastAsia="宋体" w:cs="宋体"/>
          <w:sz w:val="24"/>
          <w:szCs w:val="24"/>
        </w:rPr>
        <w:t xml:space="preserve"> </w:t>
      </w:r>
      <w:r>
        <w:rPr>
          <w:rFonts w:ascii="宋体" w:hAnsi="宋体" w:eastAsia="宋体" w:cs="宋体"/>
          <w:spacing w:val="-3"/>
          <w:sz w:val="24"/>
          <w:szCs w:val="24"/>
        </w:rPr>
        <w:t>染区地面进行防渗处理，防止洒落地面的污染物渗入地下；末端控制采取分区防</w:t>
      </w:r>
      <w:r>
        <w:rPr>
          <w:rFonts w:ascii="宋体" w:hAnsi="宋体" w:eastAsia="宋体" w:cs="宋体"/>
          <w:sz w:val="24"/>
          <w:szCs w:val="24"/>
        </w:rPr>
        <w:t xml:space="preserve"> </w:t>
      </w:r>
      <w:r>
        <w:rPr>
          <w:rFonts w:ascii="宋体" w:hAnsi="宋体" w:eastAsia="宋体" w:cs="宋体"/>
          <w:spacing w:val="-3"/>
          <w:sz w:val="24"/>
          <w:szCs w:val="24"/>
        </w:rPr>
        <w:t>渗原则。</w:t>
      </w:r>
    </w:p>
    <w:p w14:paraId="5962C011">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）污染监控体系</w:t>
      </w:r>
    </w:p>
    <w:p w14:paraId="26E8CFAB">
      <w:pPr>
        <w:spacing w:before="182" w:line="360" w:lineRule="auto"/>
        <w:ind w:left="23" w:right="45" w:firstLine="485"/>
        <w:rPr>
          <w:rFonts w:ascii="宋体" w:hAnsi="宋体" w:eastAsia="宋体" w:cs="宋体"/>
          <w:sz w:val="24"/>
          <w:szCs w:val="24"/>
        </w:rPr>
      </w:pPr>
      <w:r>
        <w:rPr>
          <w:rFonts w:ascii="宋体" w:hAnsi="宋体" w:eastAsia="宋体" w:cs="宋体"/>
          <w:spacing w:val="-2"/>
          <w:sz w:val="24"/>
          <w:szCs w:val="24"/>
        </w:rPr>
        <w:t>实施覆盖生产区的地下水、土壤污染监控系统，包括建立完善的监测制度、</w:t>
      </w:r>
      <w:r>
        <w:rPr>
          <w:rFonts w:ascii="宋体" w:hAnsi="宋体" w:eastAsia="宋体" w:cs="宋体"/>
          <w:spacing w:val="10"/>
          <w:sz w:val="24"/>
          <w:szCs w:val="24"/>
        </w:rPr>
        <w:t xml:space="preserve"> </w:t>
      </w:r>
      <w:r>
        <w:rPr>
          <w:rFonts w:ascii="宋体" w:hAnsi="宋体" w:eastAsia="宋体" w:cs="宋体"/>
          <w:spacing w:val="-3"/>
          <w:sz w:val="24"/>
          <w:szCs w:val="24"/>
        </w:rPr>
        <w:t>配备先进的检测仪器和设备、科学、合理设置地下水污染监控井和土壤污染跟踪</w:t>
      </w:r>
      <w:r>
        <w:rPr>
          <w:rFonts w:ascii="宋体" w:hAnsi="宋体" w:eastAsia="宋体" w:cs="宋体"/>
          <w:spacing w:val="1"/>
          <w:sz w:val="24"/>
          <w:szCs w:val="24"/>
        </w:rPr>
        <w:t xml:space="preserve"> </w:t>
      </w:r>
      <w:r>
        <w:rPr>
          <w:rFonts w:ascii="宋体" w:hAnsi="宋体" w:eastAsia="宋体" w:cs="宋体"/>
          <w:spacing w:val="-1"/>
          <w:sz w:val="24"/>
          <w:szCs w:val="24"/>
        </w:rPr>
        <w:t>监测点位，及时发现污染、及时控制。</w:t>
      </w:r>
    </w:p>
    <w:p w14:paraId="3BFF00B7">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）应急响应措施</w:t>
      </w:r>
    </w:p>
    <w:p w14:paraId="6EFA5267">
      <w:pPr>
        <w:spacing w:before="182" w:line="360" w:lineRule="auto"/>
        <w:ind w:left="24" w:right="99" w:firstLine="479"/>
        <w:rPr>
          <w:rFonts w:ascii="宋体" w:hAnsi="宋体" w:eastAsia="宋体" w:cs="宋体"/>
          <w:sz w:val="24"/>
          <w:szCs w:val="24"/>
        </w:rPr>
      </w:pPr>
      <w:r>
        <w:rPr>
          <w:rFonts w:ascii="宋体" w:hAnsi="宋体" w:eastAsia="宋体" w:cs="宋体"/>
          <w:spacing w:val="-3"/>
          <w:sz w:val="24"/>
          <w:szCs w:val="24"/>
        </w:rPr>
        <w:t>包括一旦发现地下水、土壤污染事故，立即启动应急预案、采取</w:t>
      </w:r>
      <w:r>
        <w:rPr>
          <w:rFonts w:ascii="宋体" w:hAnsi="宋体" w:eastAsia="宋体" w:cs="宋体"/>
          <w:spacing w:val="-4"/>
          <w:sz w:val="24"/>
          <w:szCs w:val="24"/>
        </w:rPr>
        <w:t>应急措施控</w:t>
      </w:r>
      <w:r>
        <w:rPr>
          <w:rFonts w:ascii="宋体" w:hAnsi="宋体" w:eastAsia="宋体" w:cs="宋体"/>
          <w:sz w:val="24"/>
          <w:szCs w:val="24"/>
        </w:rPr>
        <w:t xml:space="preserve"> </w:t>
      </w:r>
      <w:r>
        <w:rPr>
          <w:rFonts w:ascii="宋体" w:hAnsi="宋体" w:eastAsia="宋体" w:cs="宋体"/>
          <w:spacing w:val="-1"/>
          <w:sz w:val="24"/>
          <w:szCs w:val="24"/>
        </w:rPr>
        <w:t>制土壤、地下水污染，并使污染得到治理。</w:t>
      </w:r>
    </w:p>
    <w:p w14:paraId="5E315469">
      <w:pPr>
        <w:spacing w:line="220" w:lineRule="auto"/>
        <w:ind w:left="508"/>
        <w:outlineLvl w:val="3"/>
        <w:rPr>
          <w:rFonts w:ascii="宋体" w:hAnsi="宋体" w:eastAsia="宋体" w:cs="宋体"/>
          <w:sz w:val="24"/>
          <w:szCs w:val="24"/>
        </w:rPr>
      </w:pPr>
      <w:r>
        <w:rPr>
          <w:rFonts w:ascii="Times New Roman" w:hAnsi="Times New Roman" w:eastAsia="Times New Roman" w:cs="Times New Roman"/>
          <w:spacing w:val="-2"/>
          <w:sz w:val="24"/>
          <w:szCs w:val="24"/>
        </w:rPr>
        <w:t xml:space="preserve">8.8.6.2 </w:t>
      </w:r>
      <w:r>
        <w:rPr>
          <w:rFonts w:ascii="宋体" w:hAnsi="宋体" w:eastAsia="宋体" w:cs="宋体"/>
          <w:spacing w:val="-2"/>
          <w:sz w:val="24"/>
          <w:szCs w:val="24"/>
        </w:rPr>
        <w:t>过程防控措施</w:t>
      </w:r>
    </w:p>
    <w:p w14:paraId="183AE01B">
      <w:pPr>
        <w:spacing w:before="182" w:line="360" w:lineRule="auto"/>
        <w:ind w:left="23" w:right="99" w:firstLine="482"/>
        <w:rPr>
          <w:rFonts w:ascii="宋体" w:hAnsi="宋体" w:eastAsia="宋体" w:cs="宋体"/>
          <w:sz w:val="24"/>
          <w:szCs w:val="24"/>
        </w:rPr>
      </w:pPr>
      <w:r>
        <w:rPr>
          <w:rFonts w:ascii="宋体" w:hAnsi="宋体" w:eastAsia="宋体" w:cs="宋体"/>
          <w:spacing w:val="-3"/>
          <w:sz w:val="24"/>
          <w:szCs w:val="24"/>
        </w:rPr>
        <w:t>为避免入渗途径的影响，对设备设施采取相应的防渗措施</w:t>
      </w:r>
      <w:r>
        <w:rPr>
          <w:rFonts w:ascii="宋体" w:hAnsi="宋体" w:eastAsia="宋体" w:cs="宋体"/>
          <w:spacing w:val="-4"/>
          <w:sz w:val="24"/>
          <w:szCs w:val="24"/>
        </w:rPr>
        <w:t>，具体防渗措施同</w:t>
      </w:r>
      <w:r>
        <w:rPr>
          <w:rFonts w:ascii="宋体" w:hAnsi="宋体" w:eastAsia="宋体" w:cs="宋体"/>
          <w:sz w:val="24"/>
          <w:szCs w:val="24"/>
        </w:rPr>
        <w:t xml:space="preserve"> </w:t>
      </w:r>
      <w:r>
        <w:rPr>
          <w:rFonts w:ascii="宋体" w:hAnsi="宋体" w:eastAsia="宋体" w:cs="宋体"/>
          <w:spacing w:val="-1"/>
          <w:sz w:val="24"/>
          <w:szCs w:val="24"/>
        </w:rPr>
        <w:t>地下水分区防渗措施。</w:t>
      </w:r>
    </w:p>
    <w:p w14:paraId="012B09FF">
      <w:pPr>
        <w:spacing w:line="220" w:lineRule="auto"/>
        <w:ind w:left="502"/>
        <w:outlineLvl w:val="2"/>
        <w:rPr>
          <w:rFonts w:ascii="宋体" w:hAnsi="宋体" w:eastAsia="宋体" w:cs="宋体"/>
          <w:sz w:val="24"/>
          <w:szCs w:val="24"/>
        </w:rPr>
      </w:pPr>
      <w:bookmarkStart w:id="164" w:name="bookmark145"/>
      <w:bookmarkEnd w:id="164"/>
      <w:r>
        <w:rPr>
          <w:rFonts w:ascii="Times New Roman" w:hAnsi="Times New Roman" w:eastAsia="Times New Roman" w:cs="Times New Roman"/>
          <w:b/>
          <w:bCs/>
          <w:spacing w:val="-2"/>
          <w:sz w:val="24"/>
          <w:szCs w:val="24"/>
        </w:rPr>
        <w:t xml:space="preserve">8.8.7 </w:t>
      </w:r>
      <w:r>
        <w:rPr>
          <w:rFonts w:ascii="宋体" w:hAnsi="宋体" w:eastAsia="宋体" w:cs="宋体"/>
          <w:b/>
          <w:bCs/>
          <w:spacing w:val="-2"/>
          <w:sz w:val="24"/>
          <w:szCs w:val="24"/>
        </w:rPr>
        <w:t>跟踪监测</w:t>
      </w:r>
    </w:p>
    <w:p w14:paraId="6B88D81A">
      <w:pPr>
        <w:spacing w:before="182" w:line="360" w:lineRule="auto"/>
        <w:ind w:left="22" w:right="99" w:firstLine="481"/>
        <w:rPr>
          <w:rFonts w:ascii="宋体" w:hAnsi="宋体" w:eastAsia="宋体" w:cs="宋体"/>
          <w:sz w:val="24"/>
          <w:szCs w:val="24"/>
        </w:rPr>
      </w:pPr>
      <w:r>
        <w:rPr>
          <w:rFonts w:ascii="宋体" w:hAnsi="宋体" w:eastAsia="宋体" w:cs="宋体"/>
          <w:spacing w:val="-3"/>
          <w:sz w:val="24"/>
          <w:szCs w:val="24"/>
        </w:rPr>
        <w:t>土壤污染具有危害突然性、滞后性与隐蔽性等特点，为避免出</w:t>
      </w:r>
      <w:r>
        <w:rPr>
          <w:rFonts w:ascii="宋体" w:hAnsi="宋体" w:eastAsia="宋体" w:cs="宋体"/>
          <w:spacing w:val="-4"/>
          <w:sz w:val="24"/>
          <w:szCs w:val="24"/>
        </w:rPr>
        <w:t>现重大污染事</w:t>
      </w:r>
      <w:r>
        <w:rPr>
          <w:rFonts w:ascii="宋体" w:hAnsi="宋体" w:eastAsia="宋体" w:cs="宋体"/>
          <w:sz w:val="24"/>
          <w:szCs w:val="24"/>
        </w:rPr>
        <w:t xml:space="preserve"> </w:t>
      </w:r>
      <w:r>
        <w:rPr>
          <w:rFonts w:ascii="宋体" w:hAnsi="宋体" w:eastAsia="宋体" w:cs="宋体"/>
          <w:spacing w:val="-1"/>
          <w:sz w:val="24"/>
          <w:szCs w:val="24"/>
        </w:rPr>
        <w:t>件，增强土壤防控污染的能力，构建预警体系十分必要。</w:t>
      </w:r>
    </w:p>
    <w:p w14:paraId="02F93EDB">
      <w:pPr>
        <w:spacing w:before="2" w:line="359" w:lineRule="auto"/>
        <w:ind w:left="24" w:right="99" w:firstLine="482"/>
        <w:rPr>
          <w:rFonts w:ascii="宋体" w:hAnsi="宋体" w:eastAsia="宋体" w:cs="宋体"/>
          <w:sz w:val="24"/>
          <w:szCs w:val="24"/>
        </w:rPr>
      </w:pPr>
      <w:r>
        <w:rPr>
          <w:rFonts w:ascii="宋体" w:hAnsi="宋体" w:eastAsia="宋体" w:cs="宋体"/>
          <w:spacing w:val="-3"/>
          <w:sz w:val="24"/>
          <w:szCs w:val="24"/>
        </w:rPr>
        <w:t>企业应建立土壤跟踪监测制度，委托有资质的监测单位</w:t>
      </w:r>
      <w:r>
        <w:rPr>
          <w:rFonts w:ascii="宋体" w:hAnsi="宋体" w:eastAsia="宋体" w:cs="宋体"/>
          <w:spacing w:val="-4"/>
          <w:sz w:val="24"/>
          <w:szCs w:val="24"/>
        </w:rPr>
        <w:t>对项目重点影响区和</w:t>
      </w:r>
      <w:r>
        <w:rPr>
          <w:rFonts w:ascii="宋体" w:hAnsi="宋体" w:eastAsia="宋体" w:cs="宋体"/>
          <w:sz w:val="24"/>
          <w:szCs w:val="24"/>
        </w:rPr>
        <w:t xml:space="preserve"> 土壤环境敏感目标附近的土壤进行定期监测，以便</w:t>
      </w:r>
      <w:r>
        <w:rPr>
          <w:rFonts w:ascii="宋体" w:hAnsi="宋体" w:eastAsia="宋体" w:cs="宋体"/>
          <w:spacing w:val="-1"/>
          <w:sz w:val="24"/>
          <w:szCs w:val="24"/>
        </w:rPr>
        <w:t>及时发现问题，采取措施。</w:t>
      </w:r>
    </w:p>
    <w:p w14:paraId="40F492E9">
      <w:pPr>
        <w:spacing w:line="361" w:lineRule="auto"/>
        <w:ind w:left="23" w:firstLine="480"/>
        <w:jc w:val="both"/>
        <w:rPr>
          <w:rFonts w:ascii="宋体" w:hAnsi="宋体" w:eastAsia="宋体" w:cs="宋体"/>
          <w:sz w:val="24"/>
          <w:szCs w:val="24"/>
        </w:rPr>
      </w:pPr>
      <w:r>
        <w:rPr>
          <w:rFonts w:ascii="宋体" w:hAnsi="宋体" w:eastAsia="宋体" w:cs="宋体"/>
          <w:spacing w:val="-9"/>
          <w:sz w:val="24"/>
          <w:szCs w:val="24"/>
        </w:rPr>
        <w:t>根据《工业企业土壤和地下水自行监测技术指南（试行）》（</w:t>
      </w:r>
      <w:r>
        <w:rPr>
          <w:rFonts w:ascii="Times New Roman" w:hAnsi="Times New Roman" w:eastAsia="Times New Roman" w:cs="Times New Roman"/>
          <w:spacing w:val="-9"/>
          <w:sz w:val="24"/>
          <w:szCs w:val="24"/>
        </w:rPr>
        <w:t>HJ</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0"/>
          <w:sz w:val="24"/>
          <w:szCs w:val="24"/>
        </w:rPr>
        <w:t>209—2021</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3"/>
          <w:sz w:val="24"/>
          <w:szCs w:val="24"/>
        </w:rPr>
        <w:t>和导则要求，危废间为土壤污染重点监测单元，土壤跟踪监测点位应布设在重点</w:t>
      </w:r>
      <w:r>
        <w:rPr>
          <w:rFonts w:ascii="宋体" w:hAnsi="宋体" w:eastAsia="宋体" w:cs="宋体"/>
          <w:spacing w:val="1"/>
          <w:sz w:val="24"/>
          <w:szCs w:val="24"/>
        </w:rPr>
        <w:t xml:space="preserve"> </w:t>
      </w:r>
      <w:r>
        <w:rPr>
          <w:rFonts w:ascii="宋体" w:hAnsi="宋体" w:eastAsia="宋体" w:cs="宋体"/>
          <w:spacing w:val="-3"/>
          <w:sz w:val="24"/>
          <w:szCs w:val="24"/>
        </w:rPr>
        <w:t>检测单元土壤污染隐患的重点场所或重点设施设备附近，监测指标应选择建设项</w:t>
      </w:r>
      <w:r>
        <w:rPr>
          <w:rFonts w:ascii="宋体" w:hAnsi="宋体" w:eastAsia="宋体" w:cs="宋体"/>
          <w:spacing w:val="1"/>
          <w:sz w:val="24"/>
          <w:szCs w:val="24"/>
        </w:rPr>
        <w:t xml:space="preserve"> </w:t>
      </w:r>
      <w:r>
        <w:rPr>
          <w:rFonts w:ascii="宋体" w:hAnsi="宋体" w:eastAsia="宋体" w:cs="宋体"/>
          <w:spacing w:val="-2"/>
          <w:sz w:val="24"/>
          <w:szCs w:val="24"/>
        </w:rPr>
        <w:t>目特征因子。</w:t>
      </w:r>
    </w:p>
    <w:p w14:paraId="7B89EA52">
      <w:pPr>
        <w:spacing w:line="361" w:lineRule="auto"/>
        <w:rPr>
          <w:rFonts w:ascii="宋体" w:hAnsi="宋体" w:eastAsia="宋体" w:cs="宋体"/>
          <w:sz w:val="24"/>
          <w:szCs w:val="24"/>
        </w:rPr>
        <w:sectPr>
          <w:headerReference r:id="rId387" w:type="default"/>
          <w:footerReference r:id="rId388" w:type="default"/>
          <w:pgSz w:w="11906" w:h="16839"/>
          <w:pgMar w:top="1208" w:right="1700" w:bottom="1358" w:left="1785" w:header="825" w:footer="1195" w:gutter="0"/>
          <w:cols w:space="720" w:num="1"/>
        </w:sectPr>
      </w:pPr>
    </w:p>
    <w:p w14:paraId="2A7FEFBA">
      <w:pPr>
        <w:pStyle w:val="2"/>
        <w:spacing w:line="265" w:lineRule="auto"/>
      </w:pPr>
    </w:p>
    <w:p w14:paraId="77DED078">
      <w:pPr>
        <w:spacing w:before="78" w:line="360" w:lineRule="auto"/>
        <w:ind w:left="43" w:firstLine="479"/>
        <w:rPr>
          <w:rFonts w:ascii="宋体" w:hAnsi="宋体" w:eastAsia="宋体" w:cs="宋体"/>
          <w:sz w:val="24"/>
          <w:szCs w:val="24"/>
        </w:rPr>
      </w:pPr>
      <w:r>
        <w:rPr>
          <w:rFonts w:ascii="宋体" w:hAnsi="宋体" w:eastAsia="宋体" w:cs="宋体"/>
          <w:spacing w:val="-5"/>
          <w:sz w:val="24"/>
          <w:szCs w:val="24"/>
        </w:rPr>
        <w:t>根据要求，土壤跟踪监测点位应布设在重点影响区和土壤环境敏感目标附近，</w:t>
      </w:r>
      <w:r>
        <w:rPr>
          <w:rFonts w:ascii="宋体" w:hAnsi="宋体" w:eastAsia="宋体" w:cs="宋体"/>
          <w:spacing w:val="7"/>
          <w:sz w:val="24"/>
          <w:szCs w:val="24"/>
        </w:rPr>
        <w:t xml:space="preserve"> </w:t>
      </w:r>
      <w:r>
        <w:rPr>
          <w:rFonts w:ascii="宋体" w:hAnsi="宋体" w:eastAsia="宋体" w:cs="宋体"/>
          <w:spacing w:val="-1"/>
          <w:sz w:val="24"/>
          <w:szCs w:val="24"/>
        </w:rPr>
        <w:t>监测指标应选择建设项目特征因子。</w:t>
      </w:r>
    </w:p>
    <w:p w14:paraId="7025D7B7">
      <w:pPr>
        <w:spacing w:line="344" w:lineRule="auto"/>
        <w:ind w:left="42" w:right="101" w:firstLine="480"/>
        <w:jc w:val="both"/>
        <w:rPr>
          <w:rFonts w:ascii="宋体" w:hAnsi="宋体" w:eastAsia="宋体" w:cs="宋体"/>
          <w:sz w:val="24"/>
          <w:szCs w:val="24"/>
        </w:rPr>
      </w:pPr>
      <w:r>
        <w:rPr>
          <w:rFonts w:ascii="宋体" w:hAnsi="宋体" w:eastAsia="宋体" w:cs="宋体"/>
          <w:spacing w:val="-3"/>
          <w:sz w:val="24"/>
          <w:szCs w:val="24"/>
        </w:rPr>
        <w:t>根据项目土壤环境影响类型、项目区土地利用类型、评价范围内</w:t>
      </w:r>
      <w:r>
        <w:rPr>
          <w:rFonts w:ascii="宋体" w:hAnsi="宋体" w:eastAsia="宋体" w:cs="宋体"/>
          <w:spacing w:val="-4"/>
          <w:sz w:val="24"/>
          <w:szCs w:val="24"/>
        </w:rPr>
        <w:t>敏感目标分</w:t>
      </w:r>
      <w:r>
        <w:rPr>
          <w:rFonts w:ascii="宋体" w:hAnsi="宋体" w:eastAsia="宋体" w:cs="宋体"/>
          <w:sz w:val="24"/>
          <w:szCs w:val="24"/>
        </w:rPr>
        <w:t xml:space="preserve"> </w:t>
      </w:r>
      <w:r>
        <w:rPr>
          <w:rFonts w:ascii="宋体" w:hAnsi="宋体" w:eastAsia="宋体" w:cs="宋体"/>
          <w:spacing w:val="-3"/>
          <w:sz w:val="24"/>
          <w:szCs w:val="24"/>
        </w:rPr>
        <w:t>布情况以及现状监测点设置情况等，本项目共设置土壤跟踪监测点</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个。土</w:t>
      </w:r>
      <w:r>
        <w:rPr>
          <w:rFonts w:ascii="宋体" w:hAnsi="宋体" w:eastAsia="宋体" w:cs="宋体"/>
          <w:spacing w:val="-4"/>
          <w:sz w:val="24"/>
          <w:szCs w:val="24"/>
        </w:rPr>
        <w:t>壤环</w:t>
      </w:r>
      <w:r>
        <w:rPr>
          <w:rFonts w:ascii="宋体" w:hAnsi="宋体" w:eastAsia="宋体" w:cs="宋体"/>
          <w:sz w:val="24"/>
          <w:szCs w:val="24"/>
        </w:rPr>
        <w:t xml:space="preserve"> </w:t>
      </w:r>
      <w:r>
        <w:rPr>
          <w:rFonts w:ascii="宋体" w:hAnsi="宋体" w:eastAsia="宋体" w:cs="宋体"/>
          <w:spacing w:val="-9"/>
          <w:sz w:val="24"/>
          <w:szCs w:val="24"/>
        </w:rPr>
        <w:t>境质量监测委托有资质的单位承担，监测点位、监测项目、监测频率等</w:t>
      </w:r>
      <w:r>
        <w:rPr>
          <w:rFonts w:ascii="宋体" w:hAnsi="宋体" w:eastAsia="宋体" w:cs="宋体"/>
          <w:spacing w:val="-10"/>
          <w:sz w:val="24"/>
          <w:szCs w:val="24"/>
        </w:rPr>
        <w:t>见表</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8.8-7</w:t>
      </w:r>
      <w:r>
        <w:rPr>
          <w:rFonts w:ascii="宋体" w:hAnsi="宋体" w:eastAsia="宋体" w:cs="宋体"/>
          <w:spacing w:val="-10"/>
          <w:sz w:val="24"/>
          <w:szCs w:val="24"/>
        </w:rPr>
        <w:t>。</w:t>
      </w:r>
    </w:p>
    <w:p w14:paraId="130140F7">
      <w:pPr>
        <w:spacing w:line="226" w:lineRule="auto"/>
        <w:ind w:left="2372"/>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9"/>
          <w:sz w:val="20"/>
          <w:szCs w:val="20"/>
        </w:rPr>
        <w:t xml:space="preserve"> </w:t>
      </w:r>
      <w:r>
        <w:rPr>
          <w:rFonts w:ascii="Times New Roman" w:hAnsi="Times New Roman" w:eastAsia="Times New Roman" w:cs="Times New Roman"/>
          <w:spacing w:val="5"/>
          <w:sz w:val="20"/>
          <w:szCs w:val="20"/>
        </w:rPr>
        <w:t xml:space="preserve">8.8-7        </w:t>
      </w:r>
      <w:r>
        <w:rPr>
          <w:rFonts w:ascii="宋体" w:hAnsi="宋体" w:eastAsia="宋体" w:cs="宋体"/>
          <w:spacing w:val="5"/>
          <w:sz w:val="20"/>
          <w:szCs w:val="20"/>
        </w:rPr>
        <w:t>土壤跟踪监测点布置一览表</w:t>
      </w:r>
    </w:p>
    <w:p w14:paraId="4F288119">
      <w:pPr>
        <w:spacing w:line="14" w:lineRule="exact"/>
      </w:pPr>
    </w:p>
    <w:tbl>
      <w:tblPr>
        <w:tblStyle w:val="5"/>
        <w:tblW w:w="8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4"/>
        <w:gridCol w:w="382"/>
        <w:gridCol w:w="622"/>
        <w:gridCol w:w="1700"/>
        <w:gridCol w:w="425"/>
        <w:gridCol w:w="708"/>
        <w:gridCol w:w="567"/>
        <w:gridCol w:w="1558"/>
        <w:gridCol w:w="850"/>
        <w:gridCol w:w="1250"/>
      </w:tblGrid>
      <w:tr w14:paraId="3F95D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304" w:type="dxa"/>
            <w:vMerge w:val="restart"/>
            <w:tcBorders>
              <w:bottom w:val="nil"/>
            </w:tcBorders>
            <w:textDirection w:val="tbRlV"/>
            <w:vAlign w:val="top"/>
          </w:tcPr>
          <w:p w14:paraId="4A43D8F7">
            <w:pPr>
              <w:pStyle w:val="6"/>
              <w:spacing w:before="45" w:line="212" w:lineRule="auto"/>
              <w:ind w:left="524"/>
            </w:pPr>
            <w:r>
              <w:rPr>
                <w:spacing w:val="6"/>
              </w:rPr>
              <w:t>点 号</w:t>
            </w:r>
          </w:p>
        </w:tc>
        <w:tc>
          <w:tcPr>
            <w:tcW w:w="382" w:type="dxa"/>
            <w:vMerge w:val="restart"/>
            <w:tcBorders>
              <w:bottom w:val="nil"/>
            </w:tcBorders>
            <w:textDirection w:val="tbRlV"/>
            <w:vAlign w:val="top"/>
          </w:tcPr>
          <w:p w14:paraId="740B336C">
            <w:pPr>
              <w:pStyle w:val="6"/>
              <w:spacing w:before="86" w:line="218" w:lineRule="auto"/>
              <w:ind w:left="56"/>
            </w:pPr>
            <w:r>
              <w:rPr>
                <w:spacing w:val="6"/>
              </w:rPr>
              <w:t>监 测 点 位 置</w:t>
            </w:r>
          </w:p>
        </w:tc>
        <w:tc>
          <w:tcPr>
            <w:tcW w:w="622" w:type="dxa"/>
            <w:vMerge w:val="restart"/>
            <w:tcBorders>
              <w:bottom w:val="nil"/>
            </w:tcBorders>
            <w:vAlign w:val="top"/>
          </w:tcPr>
          <w:p w14:paraId="02497BF2">
            <w:pPr>
              <w:spacing w:line="301" w:lineRule="auto"/>
              <w:rPr>
                <w:rFonts w:ascii="Arial"/>
                <w:sz w:val="21"/>
              </w:rPr>
            </w:pPr>
          </w:p>
          <w:p w14:paraId="030ADEE6">
            <w:pPr>
              <w:pStyle w:val="6"/>
              <w:spacing w:before="65" w:line="229" w:lineRule="auto"/>
              <w:ind w:left="106"/>
            </w:pPr>
            <w:r>
              <w:rPr>
                <w:spacing w:val="4"/>
              </w:rPr>
              <w:t>监测</w:t>
            </w:r>
          </w:p>
          <w:p w14:paraId="157B04F2">
            <w:pPr>
              <w:pStyle w:val="6"/>
              <w:spacing w:before="64" w:line="293" w:lineRule="auto"/>
              <w:ind w:left="214" w:right="101" w:hanging="98"/>
            </w:pPr>
            <w:r>
              <w:rPr>
                <w:spacing w:val="-1"/>
              </w:rPr>
              <w:t>点类</w:t>
            </w:r>
            <w:r>
              <w:t xml:space="preserve"> 型</w:t>
            </w:r>
          </w:p>
        </w:tc>
        <w:tc>
          <w:tcPr>
            <w:tcW w:w="1700" w:type="dxa"/>
            <w:vMerge w:val="restart"/>
            <w:tcBorders>
              <w:bottom w:val="nil"/>
            </w:tcBorders>
            <w:vAlign w:val="top"/>
          </w:tcPr>
          <w:p w14:paraId="69757986">
            <w:pPr>
              <w:spacing w:line="306" w:lineRule="auto"/>
              <w:rPr>
                <w:rFonts w:ascii="Arial"/>
                <w:sz w:val="21"/>
              </w:rPr>
            </w:pPr>
          </w:p>
          <w:p w14:paraId="47B4E7D3">
            <w:pPr>
              <w:spacing w:line="306" w:lineRule="auto"/>
              <w:rPr>
                <w:rFonts w:ascii="Arial"/>
                <w:sz w:val="21"/>
              </w:rPr>
            </w:pPr>
          </w:p>
          <w:p w14:paraId="457D024B">
            <w:pPr>
              <w:pStyle w:val="6"/>
              <w:spacing w:before="65" w:line="228" w:lineRule="auto"/>
              <w:ind w:left="120"/>
            </w:pPr>
            <w:r>
              <w:rPr>
                <w:spacing w:val="8"/>
              </w:rPr>
              <w:t>监测点选取位置</w:t>
            </w:r>
          </w:p>
        </w:tc>
        <w:tc>
          <w:tcPr>
            <w:tcW w:w="1133" w:type="dxa"/>
            <w:gridSpan w:val="2"/>
            <w:vMerge w:val="restart"/>
            <w:tcBorders>
              <w:bottom w:val="nil"/>
            </w:tcBorders>
            <w:vAlign w:val="top"/>
          </w:tcPr>
          <w:p w14:paraId="166162DE">
            <w:pPr>
              <w:spacing w:line="305" w:lineRule="auto"/>
              <w:rPr>
                <w:rFonts w:ascii="Arial"/>
                <w:sz w:val="21"/>
              </w:rPr>
            </w:pPr>
          </w:p>
          <w:p w14:paraId="5DCEF4CF">
            <w:pPr>
              <w:spacing w:line="306" w:lineRule="auto"/>
              <w:rPr>
                <w:rFonts w:ascii="Arial"/>
                <w:sz w:val="21"/>
              </w:rPr>
            </w:pPr>
          </w:p>
          <w:p w14:paraId="37904B65">
            <w:pPr>
              <w:pStyle w:val="6"/>
              <w:spacing w:before="65" w:line="227" w:lineRule="auto"/>
              <w:ind w:left="151"/>
            </w:pPr>
            <w:r>
              <w:rPr>
                <w:spacing w:val="7"/>
              </w:rPr>
              <w:t>采样深度</w:t>
            </w:r>
          </w:p>
        </w:tc>
        <w:tc>
          <w:tcPr>
            <w:tcW w:w="567" w:type="dxa"/>
            <w:vMerge w:val="restart"/>
            <w:tcBorders>
              <w:bottom w:val="nil"/>
            </w:tcBorders>
            <w:vAlign w:val="top"/>
          </w:tcPr>
          <w:p w14:paraId="2F19593B">
            <w:pPr>
              <w:spacing w:line="456" w:lineRule="auto"/>
              <w:rPr>
                <w:rFonts w:ascii="Arial"/>
                <w:sz w:val="21"/>
              </w:rPr>
            </w:pPr>
          </w:p>
          <w:p w14:paraId="731E9D90">
            <w:pPr>
              <w:pStyle w:val="6"/>
              <w:spacing w:before="65" w:line="229" w:lineRule="auto"/>
              <w:ind w:left="78"/>
            </w:pPr>
            <w:r>
              <w:rPr>
                <w:spacing w:val="4"/>
              </w:rPr>
              <w:t>监测</w:t>
            </w:r>
          </w:p>
          <w:p w14:paraId="33415A5A">
            <w:pPr>
              <w:pStyle w:val="6"/>
              <w:spacing w:before="63" w:line="228" w:lineRule="auto"/>
              <w:ind w:left="78"/>
            </w:pPr>
            <w:r>
              <w:rPr>
                <w:spacing w:val="4"/>
              </w:rPr>
              <w:t>频率</w:t>
            </w:r>
          </w:p>
        </w:tc>
        <w:tc>
          <w:tcPr>
            <w:tcW w:w="2408" w:type="dxa"/>
            <w:gridSpan w:val="2"/>
            <w:vAlign w:val="top"/>
          </w:tcPr>
          <w:p w14:paraId="5A9B4186">
            <w:pPr>
              <w:pStyle w:val="6"/>
              <w:spacing w:before="56" w:line="228" w:lineRule="auto"/>
              <w:ind w:left="791"/>
            </w:pPr>
            <w:r>
              <w:rPr>
                <w:spacing w:val="7"/>
              </w:rPr>
              <w:t>监测因子</w:t>
            </w:r>
          </w:p>
        </w:tc>
        <w:tc>
          <w:tcPr>
            <w:tcW w:w="1250" w:type="dxa"/>
            <w:vMerge w:val="restart"/>
            <w:tcBorders>
              <w:bottom w:val="nil"/>
            </w:tcBorders>
            <w:vAlign w:val="top"/>
          </w:tcPr>
          <w:p w14:paraId="30EAB93B">
            <w:pPr>
              <w:spacing w:line="305" w:lineRule="auto"/>
              <w:rPr>
                <w:rFonts w:ascii="Arial"/>
                <w:sz w:val="21"/>
              </w:rPr>
            </w:pPr>
          </w:p>
          <w:p w14:paraId="5D1FF44C">
            <w:pPr>
              <w:spacing w:line="306" w:lineRule="auto"/>
              <w:rPr>
                <w:rFonts w:ascii="Arial"/>
                <w:sz w:val="21"/>
              </w:rPr>
            </w:pPr>
          </w:p>
          <w:p w14:paraId="2141D77D">
            <w:pPr>
              <w:pStyle w:val="6"/>
              <w:spacing w:before="65" w:line="228" w:lineRule="auto"/>
              <w:ind w:left="211"/>
            </w:pPr>
            <w:r>
              <w:rPr>
                <w:spacing w:val="7"/>
              </w:rPr>
              <w:t>执行标准</w:t>
            </w:r>
          </w:p>
        </w:tc>
      </w:tr>
      <w:tr w14:paraId="0360E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304" w:type="dxa"/>
            <w:vMerge w:val="continue"/>
            <w:tcBorders>
              <w:top w:val="nil"/>
            </w:tcBorders>
            <w:textDirection w:val="tbRlV"/>
            <w:vAlign w:val="top"/>
          </w:tcPr>
          <w:p w14:paraId="1248264A">
            <w:pPr>
              <w:rPr>
                <w:rFonts w:ascii="Arial"/>
                <w:sz w:val="21"/>
              </w:rPr>
            </w:pPr>
          </w:p>
        </w:tc>
        <w:tc>
          <w:tcPr>
            <w:tcW w:w="382" w:type="dxa"/>
            <w:vMerge w:val="continue"/>
            <w:tcBorders>
              <w:top w:val="nil"/>
            </w:tcBorders>
            <w:textDirection w:val="tbRlV"/>
            <w:vAlign w:val="top"/>
          </w:tcPr>
          <w:p w14:paraId="45EB6CDB">
            <w:pPr>
              <w:rPr>
                <w:rFonts w:ascii="Arial"/>
                <w:sz w:val="21"/>
              </w:rPr>
            </w:pPr>
          </w:p>
        </w:tc>
        <w:tc>
          <w:tcPr>
            <w:tcW w:w="622" w:type="dxa"/>
            <w:vMerge w:val="continue"/>
            <w:tcBorders>
              <w:top w:val="nil"/>
            </w:tcBorders>
            <w:vAlign w:val="top"/>
          </w:tcPr>
          <w:p w14:paraId="461D72DF">
            <w:pPr>
              <w:rPr>
                <w:rFonts w:ascii="Arial"/>
                <w:sz w:val="21"/>
              </w:rPr>
            </w:pPr>
          </w:p>
        </w:tc>
        <w:tc>
          <w:tcPr>
            <w:tcW w:w="1700" w:type="dxa"/>
            <w:vMerge w:val="continue"/>
            <w:tcBorders>
              <w:top w:val="nil"/>
            </w:tcBorders>
            <w:vAlign w:val="top"/>
          </w:tcPr>
          <w:p w14:paraId="756774E5">
            <w:pPr>
              <w:rPr>
                <w:rFonts w:ascii="Arial"/>
                <w:sz w:val="21"/>
              </w:rPr>
            </w:pPr>
          </w:p>
        </w:tc>
        <w:tc>
          <w:tcPr>
            <w:tcW w:w="1133" w:type="dxa"/>
            <w:gridSpan w:val="2"/>
            <w:vMerge w:val="continue"/>
            <w:tcBorders>
              <w:top w:val="nil"/>
            </w:tcBorders>
            <w:vAlign w:val="top"/>
          </w:tcPr>
          <w:p w14:paraId="19E5B58E">
            <w:pPr>
              <w:rPr>
                <w:rFonts w:ascii="Arial"/>
                <w:sz w:val="21"/>
              </w:rPr>
            </w:pPr>
          </w:p>
        </w:tc>
        <w:tc>
          <w:tcPr>
            <w:tcW w:w="567" w:type="dxa"/>
            <w:vMerge w:val="continue"/>
            <w:tcBorders>
              <w:top w:val="nil"/>
            </w:tcBorders>
            <w:vAlign w:val="top"/>
          </w:tcPr>
          <w:p w14:paraId="0018C8A8">
            <w:pPr>
              <w:rPr>
                <w:rFonts w:ascii="Arial"/>
                <w:sz w:val="21"/>
              </w:rPr>
            </w:pPr>
          </w:p>
        </w:tc>
        <w:tc>
          <w:tcPr>
            <w:tcW w:w="1558" w:type="dxa"/>
            <w:vAlign w:val="top"/>
          </w:tcPr>
          <w:p w14:paraId="21B9E1FB">
            <w:pPr>
              <w:spacing w:line="447" w:lineRule="auto"/>
              <w:rPr>
                <w:rFonts w:ascii="Arial"/>
                <w:sz w:val="21"/>
              </w:rPr>
            </w:pPr>
          </w:p>
          <w:p w14:paraId="120280D9">
            <w:pPr>
              <w:pStyle w:val="6"/>
              <w:spacing w:before="65" w:line="228" w:lineRule="auto"/>
              <w:ind w:left="364"/>
            </w:pPr>
            <w:r>
              <w:rPr>
                <w:spacing w:val="7"/>
              </w:rPr>
              <w:t>初次检测</w:t>
            </w:r>
          </w:p>
        </w:tc>
        <w:tc>
          <w:tcPr>
            <w:tcW w:w="850" w:type="dxa"/>
            <w:vAlign w:val="top"/>
          </w:tcPr>
          <w:p w14:paraId="025AFCC4">
            <w:pPr>
              <w:spacing w:line="292" w:lineRule="auto"/>
              <w:rPr>
                <w:rFonts w:ascii="Arial"/>
                <w:sz w:val="21"/>
              </w:rPr>
            </w:pPr>
          </w:p>
          <w:p w14:paraId="2B4D76DD">
            <w:pPr>
              <w:pStyle w:val="6"/>
              <w:spacing w:before="65" w:line="290" w:lineRule="auto"/>
              <w:ind w:left="326" w:right="106" w:hanging="207"/>
            </w:pPr>
            <w:r>
              <w:rPr>
                <w:spacing w:val="6"/>
              </w:rPr>
              <w:t>后续检</w:t>
            </w:r>
            <w:r>
              <w:t xml:space="preserve"> 测</w:t>
            </w:r>
          </w:p>
        </w:tc>
        <w:tc>
          <w:tcPr>
            <w:tcW w:w="1250" w:type="dxa"/>
            <w:vMerge w:val="continue"/>
            <w:tcBorders>
              <w:top w:val="nil"/>
            </w:tcBorders>
            <w:vAlign w:val="top"/>
          </w:tcPr>
          <w:p w14:paraId="618A9238">
            <w:pPr>
              <w:rPr>
                <w:rFonts w:ascii="Arial"/>
                <w:sz w:val="21"/>
              </w:rPr>
            </w:pPr>
          </w:p>
        </w:tc>
      </w:tr>
      <w:tr w14:paraId="334BA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304" w:type="dxa"/>
            <w:vAlign w:val="top"/>
          </w:tcPr>
          <w:p w14:paraId="25EC46D1">
            <w:pPr>
              <w:spacing w:line="254" w:lineRule="auto"/>
              <w:rPr>
                <w:rFonts w:ascii="Arial"/>
                <w:sz w:val="21"/>
              </w:rPr>
            </w:pPr>
          </w:p>
          <w:p w14:paraId="4A6F980D">
            <w:pPr>
              <w:spacing w:line="254" w:lineRule="auto"/>
              <w:rPr>
                <w:rFonts w:ascii="Arial"/>
                <w:sz w:val="21"/>
              </w:rPr>
            </w:pPr>
          </w:p>
          <w:p w14:paraId="5874A1DF">
            <w:pPr>
              <w:spacing w:line="254" w:lineRule="auto"/>
              <w:rPr>
                <w:rFonts w:ascii="Arial"/>
                <w:sz w:val="21"/>
              </w:rPr>
            </w:pPr>
          </w:p>
          <w:p w14:paraId="1BF15094">
            <w:pPr>
              <w:spacing w:line="254" w:lineRule="auto"/>
              <w:rPr>
                <w:rFonts w:ascii="Arial"/>
                <w:sz w:val="21"/>
              </w:rPr>
            </w:pPr>
          </w:p>
          <w:p w14:paraId="0DF0E766">
            <w:pPr>
              <w:spacing w:line="255" w:lineRule="auto"/>
              <w:rPr>
                <w:rFonts w:ascii="Arial"/>
                <w:sz w:val="21"/>
              </w:rPr>
            </w:pPr>
          </w:p>
          <w:p w14:paraId="5354918C">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82" w:type="dxa"/>
            <w:textDirection w:val="tbRlV"/>
            <w:vAlign w:val="top"/>
          </w:tcPr>
          <w:p w14:paraId="2D87D73B">
            <w:pPr>
              <w:pStyle w:val="6"/>
              <w:spacing w:before="86" w:line="216" w:lineRule="auto"/>
              <w:ind w:left="989"/>
            </w:pPr>
            <w:r>
              <w:rPr>
                <w:spacing w:val="6"/>
              </w:rPr>
              <w:t>尾 矿 库</w:t>
            </w:r>
          </w:p>
        </w:tc>
        <w:tc>
          <w:tcPr>
            <w:tcW w:w="622" w:type="dxa"/>
            <w:vAlign w:val="top"/>
          </w:tcPr>
          <w:p w14:paraId="1A45EBF5">
            <w:pPr>
              <w:spacing w:line="304" w:lineRule="auto"/>
              <w:rPr>
                <w:rFonts w:ascii="Arial"/>
                <w:sz w:val="21"/>
              </w:rPr>
            </w:pPr>
          </w:p>
          <w:p w14:paraId="641A0D07">
            <w:pPr>
              <w:spacing w:line="304" w:lineRule="auto"/>
              <w:rPr>
                <w:rFonts w:ascii="Arial"/>
                <w:sz w:val="21"/>
              </w:rPr>
            </w:pPr>
          </w:p>
          <w:p w14:paraId="293A815C">
            <w:pPr>
              <w:pStyle w:val="6"/>
              <w:spacing w:before="65" w:line="233" w:lineRule="auto"/>
              <w:ind w:left="106"/>
            </w:pPr>
            <w:r>
              <w:rPr>
                <w:spacing w:val="4"/>
              </w:rPr>
              <w:t>垂直</w:t>
            </w:r>
          </w:p>
          <w:p w14:paraId="3CD316C4">
            <w:pPr>
              <w:pStyle w:val="6"/>
              <w:spacing w:before="59" w:line="228" w:lineRule="auto"/>
              <w:ind w:left="105"/>
            </w:pPr>
            <w:r>
              <w:rPr>
                <w:spacing w:val="5"/>
              </w:rPr>
              <w:t>入渗</w:t>
            </w:r>
          </w:p>
          <w:p w14:paraId="30EB8DEF">
            <w:pPr>
              <w:pStyle w:val="6"/>
              <w:spacing w:before="64" w:line="230" w:lineRule="auto"/>
              <w:ind w:left="105"/>
            </w:pPr>
            <w:r>
              <w:rPr>
                <w:spacing w:val="4"/>
              </w:rPr>
              <w:t>影响</w:t>
            </w:r>
          </w:p>
          <w:p w14:paraId="5AF9603F">
            <w:pPr>
              <w:pStyle w:val="6"/>
              <w:spacing w:before="62" w:line="290" w:lineRule="auto"/>
              <w:ind w:left="219" w:right="101" w:hanging="113"/>
            </w:pPr>
            <w:r>
              <w:rPr>
                <w:spacing w:val="4"/>
              </w:rPr>
              <w:t>监测</w:t>
            </w:r>
            <w:r>
              <w:t xml:space="preserve"> 点</w:t>
            </w:r>
          </w:p>
        </w:tc>
        <w:tc>
          <w:tcPr>
            <w:tcW w:w="1700" w:type="dxa"/>
            <w:vAlign w:val="top"/>
          </w:tcPr>
          <w:p w14:paraId="7B092AE6">
            <w:pPr>
              <w:pStyle w:val="6"/>
              <w:spacing w:before="52" w:line="227" w:lineRule="auto"/>
              <w:ind w:left="31"/>
            </w:pPr>
            <w:r>
              <w:t>布设</w:t>
            </w:r>
            <w:r>
              <w:rPr>
                <w:spacing w:val="-15"/>
              </w:rPr>
              <w:t xml:space="preserve"> </w:t>
            </w:r>
            <w:r>
              <w:rPr>
                <w:rFonts w:ascii="Times New Roman" w:hAnsi="Times New Roman" w:eastAsia="Times New Roman" w:cs="Times New Roman"/>
              </w:rPr>
              <w:t xml:space="preserve">1 </w:t>
            </w:r>
            <w:r>
              <w:t>个点位，尾</w:t>
            </w:r>
          </w:p>
          <w:p w14:paraId="542D1A06">
            <w:pPr>
              <w:pStyle w:val="6"/>
              <w:spacing w:before="65" w:line="228" w:lineRule="auto"/>
              <w:ind w:left="30"/>
            </w:pPr>
            <w:r>
              <w:rPr>
                <w:spacing w:val="4"/>
              </w:rPr>
              <w:t>矿库周围（尾矿库</w:t>
            </w:r>
          </w:p>
          <w:p w14:paraId="6AC107BB">
            <w:pPr>
              <w:pStyle w:val="6"/>
              <w:spacing w:before="65" w:line="228" w:lineRule="auto"/>
              <w:ind w:left="121"/>
            </w:pPr>
            <w:r>
              <w:rPr>
                <w:spacing w:val="2"/>
              </w:rPr>
              <w:t>下游</w:t>
            </w:r>
            <w:r>
              <w:rPr>
                <w:spacing w:val="17"/>
              </w:rPr>
              <w:t xml:space="preserve"> </w:t>
            </w:r>
            <w:r>
              <w:rPr>
                <w:rFonts w:ascii="Times New Roman" w:hAnsi="Times New Roman" w:eastAsia="Times New Roman" w:cs="Times New Roman"/>
                <w:spacing w:val="2"/>
              </w:rPr>
              <w:t>50 m</w:t>
            </w:r>
            <w:r>
              <w:rPr>
                <w:rFonts w:ascii="Times New Roman" w:hAnsi="Times New Roman" w:eastAsia="Times New Roman" w:cs="Times New Roman"/>
                <w:spacing w:val="9"/>
              </w:rPr>
              <w:t xml:space="preserve">  </w:t>
            </w:r>
            <w:r>
              <w:rPr>
                <w:spacing w:val="2"/>
              </w:rPr>
              <w:t>范围</w:t>
            </w:r>
          </w:p>
          <w:p w14:paraId="47E2F6C2">
            <w:pPr>
              <w:pStyle w:val="6"/>
              <w:spacing w:before="64" w:line="228" w:lineRule="auto"/>
              <w:ind w:left="145"/>
            </w:pPr>
            <w:r>
              <w:rPr>
                <w:spacing w:val="5"/>
              </w:rPr>
              <w:t>内设有地下水监</w:t>
            </w:r>
          </w:p>
          <w:p w14:paraId="55B9A951">
            <w:pPr>
              <w:pStyle w:val="6"/>
              <w:spacing w:before="65" w:line="228" w:lineRule="auto"/>
              <w:ind w:left="120"/>
            </w:pPr>
            <w:r>
              <w:rPr>
                <w:spacing w:val="8"/>
              </w:rPr>
              <w:t>测井并按照标准</w:t>
            </w:r>
          </w:p>
          <w:p w14:paraId="60EDC62C">
            <w:pPr>
              <w:pStyle w:val="6"/>
              <w:spacing w:before="65" w:line="228" w:lineRule="auto"/>
              <w:ind w:left="120"/>
            </w:pPr>
            <w:r>
              <w:rPr>
                <w:spacing w:val="8"/>
              </w:rPr>
              <w:t>要求开展地下水</w:t>
            </w:r>
          </w:p>
          <w:p w14:paraId="0E64CD2B">
            <w:pPr>
              <w:pStyle w:val="6"/>
              <w:spacing w:before="66" w:line="228" w:lineRule="auto"/>
              <w:ind w:left="120"/>
            </w:pPr>
            <w:r>
              <w:rPr>
                <w:spacing w:val="8"/>
              </w:rPr>
              <w:t>监测的单元可不</w:t>
            </w:r>
          </w:p>
          <w:p w14:paraId="73009895">
            <w:pPr>
              <w:pStyle w:val="6"/>
              <w:spacing w:before="65" w:line="227" w:lineRule="auto"/>
              <w:ind w:left="119"/>
            </w:pPr>
            <w:r>
              <w:rPr>
                <w:spacing w:val="8"/>
              </w:rPr>
              <w:t>布设深层土壤监</w:t>
            </w:r>
          </w:p>
          <w:p w14:paraId="3797A3A3">
            <w:pPr>
              <w:pStyle w:val="6"/>
              <w:spacing w:before="66" w:line="228" w:lineRule="auto"/>
              <w:ind w:left="540"/>
            </w:pPr>
            <w:r>
              <w:rPr>
                <w:spacing w:val="2"/>
              </w:rPr>
              <w:t>测点）</w:t>
            </w:r>
          </w:p>
        </w:tc>
        <w:tc>
          <w:tcPr>
            <w:tcW w:w="425" w:type="dxa"/>
            <w:textDirection w:val="tbRlV"/>
            <w:vAlign w:val="top"/>
          </w:tcPr>
          <w:p w14:paraId="40B21282">
            <w:pPr>
              <w:pStyle w:val="6"/>
              <w:spacing w:before="107" w:line="215" w:lineRule="auto"/>
              <w:ind w:left="833"/>
            </w:pPr>
            <w:r>
              <w:rPr>
                <w:spacing w:val="6"/>
              </w:rPr>
              <w:t>深 层 土 壤</w:t>
            </w:r>
          </w:p>
        </w:tc>
        <w:tc>
          <w:tcPr>
            <w:tcW w:w="708" w:type="dxa"/>
            <w:vAlign w:val="top"/>
          </w:tcPr>
          <w:p w14:paraId="6A7C5111">
            <w:pPr>
              <w:spacing w:line="298" w:lineRule="auto"/>
              <w:rPr>
                <w:rFonts w:ascii="Arial"/>
                <w:sz w:val="21"/>
              </w:rPr>
            </w:pPr>
          </w:p>
          <w:p w14:paraId="4521FC6B">
            <w:pPr>
              <w:pStyle w:val="6"/>
              <w:spacing w:before="65" w:line="227" w:lineRule="auto"/>
              <w:ind w:left="43"/>
            </w:pPr>
            <w:r>
              <w:rPr>
                <w:spacing w:val="7"/>
              </w:rPr>
              <w:t>采样深</w:t>
            </w:r>
          </w:p>
          <w:p w14:paraId="2F5FB1FD">
            <w:pPr>
              <w:pStyle w:val="6"/>
              <w:spacing w:before="66" w:line="226" w:lineRule="auto"/>
              <w:ind w:left="43"/>
            </w:pPr>
            <w:r>
              <w:rPr>
                <w:spacing w:val="7"/>
              </w:rPr>
              <w:t>度应低</w:t>
            </w:r>
          </w:p>
          <w:p w14:paraId="7B29FD9D">
            <w:pPr>
              <w:pStyle w:val="6"/>
              <w:spacing w:before="66" w:line="228" w:lineRule="auto"/>
              <w:ind w:left="47"/>
            </w:pPr>
            <w:r>
              <w:rPr>
                <w:spacing w:val="5"/>
              </w:rPr>
              <w:t>于尾矿</w:t>
            </w:r>
          </w:p>
          <w:p w14:paraId="0363EF32">
            <w:pPr>
              <w:pStyle w:val="6"/>
              <w:spacing w:before="65" w:line="226" w:lineRule="auto"/>
              <w:ind w:left="45"/>
            </w:pPr>
            <w:r>
              <w:rPr>
                <w:spacing w:val="6"/>
              </w:rPr>
              <w:t>库库底</w:t>
            </w:r>
          </w:p>
          <w:p w14:paraId="45DBF9EA">
            <w:pPr>
              <w:pStyle w:val="6"/>
              <w:spacing w:before="67" w:line="229" w:lineRule="auto"/>
              <w:ind w:left="48"/>
            </w:pPr>
            <w:r>
              <w:rPr>
                <w:spacing w:val="5"/>
              </w:rPr>
              <w:t>与土壤</w:t>
            </w:r>
          </w:p>
          <w:p w14:paraId="3F644327">
            <w:pPr>
              <w:pStyle w:val="6"/>
              <w:spacing w:before="63" w:line="228" w:lineRule="auto"/>
              <w:ind w:left="61"/>
            </w:pPr>
            <w:r>
              <w:rPr>
                <w:spacing w:val="1"/>
              </w:rPr>
              <w:t>的接触</w:t>
            </w:r>
          </w:p>
          <w:p w14:paraId="4EE404B1">
            <w:pPr>
              <w:pStyle w:val="6"/>
              <w:spacing w:before="65" w:line="229" w:lineRule="auto"/>
              <w:ind w:left="254"/>
            </w:pPr>
            <w:r>
              <w:t>面</w:t>
            </w:r>
          </w:p>
        </w:tc>
        <w:tc>
          <w:tcPr>
            <w:tcW w:w="567" w:type="dxa"/>
            <w:vAlign w:val="top"/>
          </w:tcPr>
          <w:p w14:paraId="39F94610">
            <w:pPr>
              <w:spacing w:line="245" w:lineRule="auto"/>
              <w:rPr>
                <w:rFonts w:ascii="Arial"/>
                <w:sz w:val="21"/>
              </w:rPr>
            </w:pPr>
          </w:p>
          <w:p w14:paraId="402453C2">
            <w:pPr>
              <w:spacing w:line="245" w:lineRule="auto"/>
              <w:rPr>
                <w:rFonts w:ascii="Arial"/>
                <w:sz w:val="21"/>
              </w:rPr>
            </w:pPr>
          </w:p>
          <w:p w14:paraId="7397ED1F">
            <w:pPr>
              <w:spacing w:line="246" w:lineRule="auto"/>
              <w:rPr>
                <w:rFonts w:ascii="Arial"/>
                <w:sz w:val="21"/>
              </w:rPr>
            </w:pPr>
          </w:p>
          <w:p w14:paraId="6B5795BE">
            <w:pPr>
              <w:spacing w:line="246" w:lineRule="auto"/>
              <w:rPr>
                <w:rFonts w:ascii="Arial"/>
                <w:sz w:val="21"/>
              </w:rPr>
            </w:pPr>
          </w:p>
          <w:p w14:paraId="0D6E10C0">
            <w:pPr>
              <w:spacing w:line="246" w:lineRule="auto"/>
              <w:rPr>
                <w:rFonts w:ascii="Arial"/>
                <w:sz w:val="21"/>
              </w:rPr>
            </w:pPr>
          </w:p>
          <w:p w14:paraId="251033BE">
            <w:pPr>
              <w:pStyle w:val="6"/>
              <w:spacing w:before="65" w:line="228" w:lineRule="auto"/>
              <w:ind w:left="120"/>
            </w:pPr>
            <w:r>
              <w:rPr>
                <w:rFonts w:ascii="Times New Roman" w:hAnsi="Times New Roman" w:eastAsia="Times New Roman" w:cs="Times New Roman"/>
                <w:spacing w:val="-10"/>
              </w:rPr>
              <w:t>1</w:t>
            </w:r>
            <w:r>
              <w:rPr>
                <w:rFonts w:ascii="Times New Roman" w:hAnsi="Times New Roman" w:eastAsia="Times New Roman" w:cs="Times New Roman"/>
                <w:spacing w:val="12"/>
                <w:w w:val="101"/>
              </w:rPr>
              <w:t xml:space="preserve"> </w:t>
            </w:r>
            <w:r>
              <w:rPr>
                <w:spacing w:val="-10"/>
              </w:rPr>
              <w:t>年</w:t>
            </w:r>
          </w:p>
        </w:tc>
        <w:tc>
          <w:tcPr>
            <w:tcW w:w="1558" w:type="dxa"/>
            <w:vAlign w:val="top"/>
          </w:tcPr>
          <w:p w14:paraId="74B2EB2B">
            <w:pPr>
              <w:pStyle w:val="6"/>
              <w:spacing w:before="208" w:line="228" w:lineRule="auto"/>
              <w:ind w:left="47"/>
            </w:pPr>
            <w:r>
              <w:rPr>
                <w:spacing w:val="8"/>
              </w:rPr>
              <w:t>初次监测《土壤</w:t>
            </w:r>
          </w:p>
          <w:p w14:paraId="29BAA80D">
            <w:pPr>
              <w:pStyle w:val="6"/>
              <w:spacing w:before="65" w:line="228" w:lineRule="auto"/>
              <w:ind w:left="48"/>
            </w:pPr>
            <w:r>
              <w:rPr>
                <w:spacing w:val="8"/>
              </w:rPr>
              <w:t>环境质量建设用</w:t>
            </w:r>
          </w:p>
          <w:p w14:paraId="118670A0">
            <w:pPr>
              <w:pStyle w:val="6"/>
              <w:spacing w:before="64" w:line="228" w:lineRule="auto"/>
              <w:ind w:left="48"/>
            </w:pPr>
            <w:r>
              <w:rPr>
                <w:spacing w:val="8"/>
              </w:rPr>
              <w:t>地土壤污染风险</w:t>
            </w:r>
          </w:p>
          <w:p w14:paraId="2093460D">
            <w:pPr>
              <w:pStyle w:val="6"/>
              <w:spacing w:before="65" w:line="224" w:lineRule="auto"/>
              <w:ind w:left="159"/>
            </w:pPr>
            <w:r>
              <w:rPr>
                <w:spacing w:val="7"/>
              </w:rPr>
              <w:t>管控标准（试</w:t>
            </w:r>
          </w:p>
          <w:p w14:paraId="35272256">
            <w:pPr>
              <w:pStyle w:val="6"/>
              <w:spacing w:before="69" w:line="228" w:lineRule="auto"/>
              <w:ind w:left="472"/>
            </w:pPr>
            <w:r>
              <w:rPr>
                <w:spacing w:val="9"/>
              </w:rPr>
              <w:t>行）》</w:t>
            </w:r>
          </w:p>
          <w:p w14:paraId="14140CD2">
            <w:pPr>
              <w:pStyle w:val="6"/>
              <w:spacing w:before="64" w:line="241" w:lineRule="auto"/>
              <w:ind w:left="90"/>
              <w:rPr>
                <w:rFonts w:ascii="Times New Roman" w:hAnsi="Times New Roman" w:eastAsia="Times New Roman" w:cs="Times New Roman"/>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36600-201</w:t>
            </w:r>
          </w:p>
          <w:p w14:paraId="71BB2D1F">
            <w:pPr>
              <w:pStyle w:val="6"/>
              <w:spacing w:before="52" w:line="227" w:lineRule="auto"/>
              <w:ind w:left="38"/>
            </w:pPr>
            <w:r>
              <w:rPr>
                <w:rFonts w:ascii="Times New Roman" w:hAnsi="Times New Roman" w:eastAsia="Times New Roman" w:cs="Times New Roman"/>
                <w:spacing w:val="-7"/>
              </w:rPr>
              <w:t>8</w:t>
            </w:r>
            <w:r>
              <w:rPr>
                <w:spacing w:val="-7"/>
              </w:rPr>
              <w:t>）表</w:t>
            </w:r>
            <w:r>
              <w:rPr>
                <w:spacing w:val="-2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基本项目</w:t>
            </w:r>
          </w:p>
          <w:p w14:paraId="6DC2C849">
            <w:pPr>
              <w:pStyle w:val="6"/>
              <w:spacing w:before="66" w:line="228" w:lineRule="auto"/>
              <w:ind w:left="259"/>
            </w:pPr>
            <w:r>
              <w:rPr>
                <w:spacing w:val="6"/>
              </w:rPr>
              <w:t>及石油烃。</w:t>
            </w:r>
          </w:p>
        </w:tc>
        <w:tc>
          <w:tcPr>
            <w:tcW w:w="850" w:type="dxa"/>
            <w:vAlign w:val="top"/>
          </w:tcPr>
          <w:p w14:paraId="6EFDA8A9">
            <w:pPr>
              <w:spacing w:line="298" w:lineRule="auto"/>
              <w:rPr>
                <w:rFonts w:ascii="Arial"/>
                <w:sz w:val="21"/>
              </w:rPr>
            </w:pPr>
          </w:p>
          <w:p w14:paraId="77D8AC60">
            <w:pPr>
              <w:pStyle w:val="6"/>
              <w:spacing w:before="65" w:line="288" w:lineRule="auto"/>
              <w:ind w:left="117" w:right="13" w:hanging="84"/>
            </w:pPr>
            <w:r>
              <w:rPr>
                <w:spacing w:val="-1"/>
              </w:rPr>
              <w:t>铅、砷、</w:t>
            </w:r>
            <w:r>
              <w:t xml:space="preserve"> </w:t>
            </w:r>
            <w:r>
              <w:rPr>
                <w:spacing w:val="6"/>
              </w:rPr>
              <w:t>石油烃</w:t>
            </w:r>
          </w:p>
          <w:p w14:paraId="70E273BA">
            <w:pPr>
              <w:pStyle w:val="6"/>
              <w:spacing w:line="229" w:lineRule="auto"/>
              <w:ind w:left="117"/>
            </w:pPr>
            <w:r>
              <w:rPr>
                <w:spacing w:val="7"/>
              </w:rPr>
              <w:t>及在前</w:t>
            </w:r>
          </w:p>
          <w:p w14:paraId="1AEC65C2">
            <w:pPr>
              <w:pStyle w:val="6"/>
              <w:spacing w:before="63" w:line="228" w:lineRule="auto"/>
              <w:ind w:left="120"/>
            </w:pPr>
            <w:r>
              <w:rPr>
                <w:spacing w:val="6"/>
              </w:rPr>
              <w:t>期监测</w:t>
            </w:r>
          </w:p>
          <w:p w14:paraId="25E16898">
            <w:pPr>
              <w:pStyle w:val="6"/>
              <w:spacing w:before="65" w:line="228" w:lineRule="auto"/>
              <w:ind w:left="137"/>
            </w:pPr>
            <w:r>
              <w:t>中超标</w:t>
            </w:r>
          </w:p>
          <w:p w14:paraId="08C2766D">
            <w:pPr>
              <w:pStyle w:val="6"/>
              <w:spacing w:before="65" w:line="228" w:lineRule="auto"/>
              <w:ind w:left="135"/>
            </w:pPr>
            <w:r>
              <w:rPr>
                <w:spacing w:val="1"/>
              </w:rPr>
              <w:t>的污染</w:t>
            </w:r>
          </w:p>
          <w:p w14:paraId="7BBB6665">
            <w:pPr>
              <w:pStyle w:val="6"/>
              <w:spacing w:before="64" w:line="229" w:lineRule="auto"/>
              <w:ind w:left="326"/>
            </w:pPr>
            <w:r>
              <w:t>物</w:t>
            </w:r>
          </w:p>
        </w:tc>
        <w:tc>
          <w:tcPr>
            <w:tcW w:w="1250" w:type="dxa"/>
            <w:vAlign w:val="top"/>
          </w:tcPr>
          <w:p w14:paraId="54BDF6C2">
            <w:pPr>
              <w:spacing w:line="298" w:lineRule="auto"/>
              <w:rPr>
                <w:rFonts w:ascii="Arial"/>
                <w:sz w:val="21"/>
              </w:rPr>
            </w:pPr>
          </w:p>
          <w:p w14:paraId="17991302">
            <w:pPr>
              <w:pStyle w:val="6"/>
              <w:spacing w:before="65" w:line="228" w:lineRule="auto"/>
              <w:ind w:left="110"/>
            </w:pPr>
            <w:r>
              <w:rPr>
                <w:spacing w:val="7"/>
              </w:rPr>
              <w:t>《土壤环境</w:t>
            </w:r>
          </w:p>
          <w:p w14:paraId="03024837">
            <w:pPr>
              <w:pStyle w:val="6"/>
              <w:spacing w:before="64" w:line="228" w:lineRule="auto"/>
              <w:ind w:left="106"/>
            </w:pPr>
            <w:r>
              <w:rPr>
                <w:spacing w:val="7"/>
              </w:rPr>
              <w:t>质量建设用</w:t>
            </w:r>
          </w:p>
          <w:p w14:paraId="17037CA1">
            <w:pPr>
              <w:pStyle w:val="6"/>
              <w:spacing w:before="65" w:line="228" w:lineRule="auto"/>
              <w:ind w:left="105"/>
            </w:pPr>
            <w:r>
              <w:rPr>
                <w:spacing w:val="8"/>
              </w:rPr>
              <w:t>地土壤污染</w:t>
            </w:r>
          </w:p>
          <w:p w14:paraId="45C5BBAC">
            <w:pPr>
              <w:pStyle w:val="6"/>
              <w:spacing w:before="64" w:line="288" w:lineRule="auto"/>
              <w:ind w:left="37" w:firstLine="67"/>
              <w:jc w:val="both"/>
              <w:rPr>
                <w:rFonts w:ascii="Times New Roman" w:hAnsi="Times New Roman" w:eastAsia="Times New Roman" w:cs="Times New Roman"/>
              </w:rPr>
            </w:pPr>
            <w:r>
              <w:rPr>
                <w:spacing w:val="3"/>
              </w:rPr>
              <w:t>风险管控标</w:t>
            </w:r>
            <w:r>
              <w:t xml:space="preserve">  </w:t>
            </w:r>
            <w:r>
              <w:rPr>
                <w:spacing w:val="1"/>
              </w:rPr>
              <w:t>准（试行）》</w:t>
            </w:r>
            <w: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36600-</w:t>
            </w:r>
          </w:p>
          <w:p w14:paraId="3BD09E58">
            <w:pPr>
              <w:pStyle w:val="6"/>
              <w:spacing w:before="1" w:line="239" w:lineRule="auto"/>
              <w:ind w:left="312"/>
            </w:pPr>
            <w:r>
              <w:rPr>
                <w:rFonts w:ascii="Times New Roman" w:hAnsi="Times New Roman" w:eastAsia="Times New Roman" w:cs="Times New Roman"/>
                <w:spacing w:val="2"/>
              </w:rPr>
              <w:t>2018</w:t>
            </w:r>
            <w:r>
              <w:rPr>
                <w:spacing w:val="2"/>
              </w:rPr>
              <w:t>）</w:t>
            </w:r>
          </w:p>
        </w:tc>
      </w:tr>
      <w:tr w14:paraId="3B646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304" w:type="dxa"/>
            <w:vAlign w:val="top"/>
          </w:tcPr>
          <w:p w14:paraId="38693AD9">
            <w:pPr>
              <w:spacing w:line="279" w:lineRule="auto"/>
              <w:rPr>
                <w:rFonts w:ascii="Arial"/>
                <w:sz w:val="21"/>
              </w:rPr>
            </w:pPr>
          </w:p>
          <w:p w14:paraId="227DA07C">
            <w:pPr>
              <w:spacing w:line="279" w:lineRule="auto"/>
              <w:rPr>
                <w:rFonts w:ascii="Arial"/>
                <w:sz w:val="21"/>
              </w:rPr>
            </w:pPr>
          </w:p>
          <w:p w14:paraId="6D8A3047">
            <w:pPr>
              <w:spacing w:line="280" w:lineRule="auto"/>
              <w:rPr>
                <w:rFonts w:ascii="Arial"/>
                <w:sz w:val="21"/>
              </w:rPr>
            </w:pPr>
          </w:p>
          <w:p w14:paraId="1C37EBB1">
            <w:pPr>
              <w:spacing w:line="280" w:lineRule="auto"/>
              <w:rPr>
                <w:rFonts w:ascii="Arial"/>
                <w:sz w:val="21"/>
              </w:rPr>
            </w:pPr>
          </w:p>
          <w:p w14:paraId="504B2F49">
            <w:pPr>
              <w:spacing w:before="57" w:line="195" w:lineRule="auto"/>
              <w:ind w:left="10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82" w:type="dxa"/>
            <w:textDirection w:val="tbRlV"/>
            <w:vAlign w:val="top"/>
          </w:tcPr>
          <w:p w14:paraId="3C25A40A">
            <w:pPr>
              <w:pStyle w:val="6"/>
              <w:spacing w:before="86" w:line="217" w:lineRule="auto"/>
              <w:ind w:left="522"/>
            </w:pPr>
            <w:r>
              <w:rPr>
                <w:spacing w:val="6"/>
              </w:rPr>
              <w:t>厂 界 东 北 侧</w:t>
            </w:r>
          </w:p>
        </w:tc>
        <w:tc>
          <w:tcPr>
            <w:tcW w:w="622" w:type="dxa"/>
            <w:vAlign w:val="top"/>
          </w:tcPr>
          <w:p w14:paraId="394ADA82">
            <w:pPr>
              <w:spacing w:line="455" w:lineRule="auto"/>
              <w:rPr>
                <w:rFonts w:ascii="Arial"/>
                <w:sz w:val="21"/>
              </w:rPr>
            </w:pPr>
          </w:p>
          <w:p w14:paraId="18E408B7">
            <w:pPr>
              <w:pStyle w:val="6"/>
              <w:spacing w:before="65" w:line="233" w:lineRule="auto"/>
              <w:ind w:left="106"/>
            </w:pPr>
            <w:r>
              <w:rPr>
                <w:spacing w:val="4"/>
              </w:rPr>
              <w:t>垂直</w:t>
            </w:r>
          </w:p>
          <w:p w14:paraId="7A824BC7">
            <w:pPr>
              <w:pStyle w:val="6"/>
              <w:spacing w:before="59" w:line="228" w:lineRule="auto"/>
              <w:ind w:left="105"/>
            </w:pPr>
            <w:r>
              <w:rPr>
                <w:spacing w:val="5"/>
              </w:rPr>
              <w:t>入渗</w:t>
            </w:r>
          </w:p>
          <w:p w14:paraId="175005D0">
            <w:pPr>
              <w:pStyle w:val="6"/>
              <w:spacing w:before="64" w:line="230" w:lineRule="auto"/>
              <w:ind w:left="105"/>
            </w:pPr>
            <w:r>
              <w:rPr>
                <w:spacing w:val="4"/>
              </w:rPr>
              <w:t>影响</w:t>
            </w:r>
          </w:p>
          <w:p w14:paraId="0D26ECF4">
            <w:pPr>
              <w:pStyle w:val="6"/>
              <w:spacing w:before="62" w:line="290" w:lineRule="auto"/>
              <w:ind w:left="219" w:right="101" w:hanging="113"/>
            </w:pPr>
            <w:r>
              <w:rPr>
                <w:spacing w:val="4"/>
              </w:rPr>
              <w:t>监测</w:t>
            </w:r>
            <w:r>
              <w:t xml:space="preserve"> 点</w:t>
            </w:r>
          </w:p>
        </w:tc>
        <w:tc>
          <w:tcPr>
            <w:tcW w:w="1700" w:type="dxa"/>
            <w:vAlign w:val="top"/>
          </w:tcPr>
          <w:p w14:paraId="034823D6">
            <w:pPr>
              <w:spacing w:line="306" w:lineRule="auto"/>
              <w:rPr>
                <w:rFonts w:ascii="Arial"/>
                <w:sz w:val="21"/>
              </w:rPr>
            </w:pPr>
          </w:p>
          <w:p w14:paraId="340E1CC5">
            <w:pPr>
              <w:spacing w:line="307" w:lineRule="auto"/>
              <w:rPr>
                <w:rFonts w:ascii="Arial"/>
                <w:sz w:val="21"/>
              </w:rPr>
            </w:pPr>
          </w:p>
          <w:p w14:paraId="0B3FF671">
            <w:pPr>
              <w:spacing w:line="307" w:lineRule="auto"/>
              <w:rPr>
                <w:rFonts w:ascii="Arial"/>
                <w:sz w:val="21"/>
              </w:rPr>
            </w:pPr>
          </w:p>
          <w:p w14:paraId="6F80463D">
            <w:pPr>
              <w:pStyle w:val="6"/>
              <w:spacing w:before="65" w:line="289" w:lineRule="auto"/>
              <w:ind w:left="159" w:right="27" w:hanging="128"/>
            </w:pPr>
            <w:r>
              <w:t>布设</w:t>
            </w:r>
            <w:r>
              <w:rPr>
                <w:spacing w:val="-15"/>
              </w:rPr>
              <w:t xml:space="preserve"> </w:t>
            </w:r>
            <w:r>
              <w:rPr>
                <w:rFonts w:ascii="Times New Roman" w:hAnsi="Times New Roman" w:eastAsia="Times New Roman" w:cs="Times New Roman"/>
              </w:rPr>
              <w:t xml:space="preserve">1 </w:t>
            </w:r>
            <w:r>
              <w:t xml:space="preserve">个点位，项 </w:t>
            </w:r>
            <w:r>
              <w:rPr>
                <w:spacing w:val="2"/>
              </w:rPr>
              <w:t>目区东北侧草地</w:t>
            </w:r>
          </w:p>
        </w:tc>
        <w:tc>
          <w:tcPr>
            <w:tcW w:w="425" w:type="dxa"/>
            <w:textDirection w:val="tbRlV"/>
            <w:vAlign w:val="top"/>
          </w:tcPr>
          <w:p w14:paraId="5AEA46CE">
            <w:pPr>
              <w:pStyle w:val="6"/>
              <w:spacing w:before="106" w:line="216" w:lineRule="auto"/>
              <w:ind w:left="678"/>
            </w:pPr>
            <w:r>
              <w:rPr>
                <w:spacing w:val="6"/>
              </w:rPr>
              <w:t>表 层 土 壤</w:t>
            </w:r>
          </w:p>
        </w:tc>
        <w:tc>
          <w:tcPr>
            <w:tcW w:w="708" w:type="dxa"/>
            <w:vAlign w:val="top"/>
          </w:tcPr>
          <w:p w14:paraId="38E82B2B">
            <w:pPr>
              <w:spacing w:line="304" w:lineRule="auto"/>
              <w:rPr>
                <w:rFonts w:ascii="Arial"/>
                <w:sz w:val="21"/>
              </w:rPr>
            </w:pPr>
          </w:p>
          <w:p w14:paraId="7C95D5B7">
            <w:pPr>
              <w:spacing w:line="305" w:lineRule="auto"/>
              <w:rPr>
                <w:rFonts w:ascii="Arial"/>
                <w:sz w:val="21"/>
              </w:rPr>
            </w:pPr>
          </w:p>
          <w:p w14:paraId="363E0B38">
            <w:pPr>
              <w:pStyle w:val="6"/>
              <w:spacing w:before="65" w:line="227" w:lineRule="auto"/>
              <w:ind w:left="43"/>
            </w:pPr>
            <w:r>
              <w:rPr>
                <w:spacing w:val="7"/>
              </w:rPr>
              <w:t>采样深</w:t>
            </w:r>
          </w:p>
          <w:p w14:paraId="10FC7C7B">
            <w:pPr>
              <w:pStyle w:val="6"/>
              <w:spacing w:before="65" w:line="298" w:lineRule="auto"/>
              <w:ind w:left="69" w:right="37" w:hanging="26"/>
              <w:rPr>
                <w:rFonts w:ascii="Times New Roman" w:hAnsi="Times New Roman" w:eastAsia="Times New Roman" w:cs="Times New Roman"/>
              </w:rPr>
            </w:pPr>
            <w:r>
              <w:rPr>
                <w:spacing w:val="7"/>
              </w:rPr>
              <w:t>度应为</w:t>
            </w:r>
            <w:r>
              <w:t xml:space="preserve"> </w:t>
            </w:r>
            <w:r>
              <w:rPr>
                <w:rFonts w:ascii="Times New Roman" w:hAnsi="Times New Roman" w:eastAsia="Times New Roman" w:cs="Times New Roman"/>
                <w:spacing w:val="3"/>
              </w:rPr>
              <w:t>0</w:t>
            </w:r>
            <w:r>
              <w:rPr>
                <w:spacing w:val="3"/>
              </w:rPr>
              <w:t>～</w:t>
            </w:r>
            <w:r>
              <w:rPr>
                <w:rFonts w:ascii="Times New Roman" w:hAnsi="Times New Roman" w:eastAsia="Times New Roman" w:cs="Times New Roman"/>
                <w:spacing w:val="3"/>
              </w:rPr>
              <w:t>0.5</w:t>
            </w:r>
          </w:p>
          <w:p w14:paraId="256BDBB4">
            <w:pPr>
              <w:spacing w:before="61" w:line="141" w:lineRule="exact"/>
              <w:ind w:left="2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567" w:type="dxa"/>
            <w:vAlign w:val="top"/>
          </w:tcPr>
          <w:p w14:paraId="73EB6BDC">
            <w:pPr>
              <w:spacing w:line="268" w:lineRule="auto"/>
              <w:rPr>
                <w:rFonts w:ascii="Arial"/>
                <w:sz w:val="21"/>
              </w:rPr>
            </w:pPr>
          </w:p>
          <w:p w14:paraId="47AFBB56">
            <w:pPr>
              <w:spacing w:line="268" w:lineRule="auto"/>
              <w:rPr>
                <w:rFonts w:ascii="Arial"/>
                <w:sz w:val="21"/>
              </w:rPr>
            </w:pPr>
          </w:p>
          <w:p w14:paraId="334817CA">
            <w:pPr>
              <w:spacing w:line="269" w:lineRule="auto"/>
              <w:rPr>
                <w:rFonts w:ascii="Arial"/>
                <w:sz w:val="21"/>
              </w:rPr>
            </w:pPr>
          </w:p>
          <w:p w14:paraId="3E24F16F">
            <w:pPr>
              <w:spacing w:line="269" w:lineRule="auto"/>
              <w:rPr>
                <w:rFonts w:ascii="Arial"/>
                <w:sz w:val="21"/>
              </w:rPr>
            </w:pPr>
          </w:p>
          <w:p w14:paraId="55AD6DDE">
            <w:pPr>
              <w:pStyle w:val="6"/>
              <w:spacing w:before="65" w:line="228" w:lineRule="auto"/>
              <w:ind w:left="120"/>
            </w:pPr>
            <w:r>
              <w:rPr>
                <w:rFonts w:ascii="Times New Roman" w:hAnsi="Times New Roman" w:eastAsia="Times New Roman" w:cs="Times New Roman"/>
                <w:spacing w:val="-10"/>
              </w:rPr>
              <w:t>1</w:t>
            </w:r>
            <w:r>
              <w:rPr>
                <w:rFonts w:ascii="Times New Roman" w:hAnsi="Times New Roman" w:eastAsia="Times New Roman" w:cs="Times New Roman"/>
                <w:spacing w:val="12"/>
                <w:w w:val="101"/>
              </w:rPr>
              <w:t xml:space="preserve"> </w:t>
            </w:r>
            <w:r>
              <w:rPr>
                <w:spacing w:val="-10"/>
              </w:rPr>
              <w:t>年</w:t>
            </w:r>
          </w:p>
        </w:tc>
        <w:tc>
          <w:tcPr>
            <w:tcW w:w="1558" w:type="dxa"/>
            <w:vAlign w:val="top"/>
          </w:tcPr>
          <w:p w14:paraId="43390EDD">
            <w:pPr>
              <w:pStyle w:val="6"/>
              <w:spacing w:before="54" w:line="228" w:lineRule="auto"/>
              <w:ind w:left="47"/>
            </w:pPr>
            <w:r>
              <w:rPr>
                <w:spacing w:val="8"/>
              </w:rPr>
              <w:t>初次监测《土壤</w:t>
            </w:r>
          </w:p>
          <w:p w14:paraId="5328CBC6">
            <w:pPr>
              <w:pStyle w:val="6"/>
              <w:spacing w:before="65" w:line="228" w:lineRule="auto"/>
              <w:ind w:left="103"/>
            </w:pPr>
            <w:r>
              <w:rPr>
                <w:spacing w:val="7"/>
              </w:rPr>
              <w:t>环境质量 农用</w:t>
            </w:r>
          </w:p>
          <w:p w14:paraId="44E57548">
            <w:pPr>
              <w:pStyle w:val="6"/>
              <w:spacing w:before="65" w:line="228" w:lineRule="auto"/>
              <w:ind w:left="48"/>
            </w:pPr>
            <w:r>
              <w:rPr>
                <w:spacing w:val="8"/>
              </w:rPr>
              <w:t>地土壤污染风险</w:t>
            </w:r>
          </w:p>
          <w:p w14:paraId="598238B8">
            <w:pPr>
              <w:pStyle w:val="6"/>
              <w:spacing w:before="64" w:line="224" w:lineRule="auto"/>
              <w:ind w:left="159"/>
            </w:pPr>
            <w:r>
              <w:rPr>
                <w:spacing w:val="7"/>
              </w:rPr>
              <w:t>管控标准（试</w:t>
            </w:r>
          </w:p>
          <w:p w14:paraId="15CA35DA">
            <w:pPr>
              <w:pStyle w:val="6"/>
              <w:spacing w:before="69" w:line="228" w:lineRule="auto"/>
              <w:ind w:left="472"/>
            </w:pPr>
            <w:r>
              <w:rPr>
                <w:spacing w:val="9"/>
              </w:rPr>
              <w:t>行）》</w:t>
            </w:r>
          </w:p>
          <w:p w14:paraId="6CAD5863">
            <w:pPr>
              <w:pStyle w:val="6"/>
              <w:spacing w:before="64" w:line="241" w:lineRule="auto"/>
              <w:ind w:left="90"/>
              <w:rPr>
                <w:rFonts w:ascii="Times New Roman" w:hAnsi="Times New Roman" w:eastAsia="Times New Roman" w:cs="Times New Roman"/>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15618-201</w:t>
            </w:r>
          </w:p>
          <w:p w14:paraId="281BB337">
            <w:pPr>
              <w:pStyle w:val="6"/>
              <w:spacing w:before="51" w:line="227" w:lineRule="auto"/>
              <w:ind w:left="38"/>
            </w:pPr>
            <w:r>
              <w:rPr>
                <w:rFonts w:ascii="Times New Roman" w:hAnsi="Times New Roman" w:eastAsia="Times New Roman" w:cs="Times New Roman"/>
                <w:spacing w:val="-7"/>
              </w:rPr>
              <w:t>8</w:t>
            </w:r>
            <w:r>
              <w:rPr>
                <w:spacing w:val="-7"/>
              </w:rPr>
              <w:t>）表</w:t>
            </w:r>
            <w:r>
              <w:rPr>
                <w:spacing w:val="-2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2"/>
              </w:rPr>
              <w:t xml:space="preserve"> </w:t>
            </w:r>
            <w:r>
              <w:rPr>
                <w:spacing w:val="-7"/>
              </w:rPr>
              <w:t>基本项目</w:t>
            </w:r>
          </w:p>
          <w:p w14:paraId="7B708F3E">
            <w:pPr>
              <w:pStyle w:val="6"/>
              <w:spacing w:before="67" w:line="228" w:lineRule="auto"/>
              <w:ind w:left="259"/>
            </w:pPr>
            <w:r>
              <w:rPr>
                <w:spacing w:val="6"/>
              </w:rPr>
              <w:t>及石油烃。</w:t>
            </w:r>
          </w:p>
        </w:tc>
        <w:tc>
          <w:tcPr>
            <w:tcW w:w="850" w:type="dxa"/>
            <w:vAlign w:val="top"/>
          </w:tcPr>
          <w:p w14:paraId="3D723E0C">
            <w:pPr>
              <w:pStyle w:val="6"/>
              <w:spacing w:before="210" w:line="288" w:lineRule="auto"/>
              <w:ind w:left="117" w:right="13" w:hanging="84"/>
            </w:pPr>
            <w:r>
              <w:rPr>
                <w:spacing w:val="-1"/>
              </w:rPr>
              <w:t>铅、砷、</w:t>
            </w:r>
            <w:r>
              <w:t xml:space="preserve"> </w:t>
            </w:r>
            <w:r>
              <w:rPr>
                <w:spacing w:val="6"/>
              </w:rPr>
              <w:t>石油烃</w:t>
            </w:r>
          </w:p>
          <w:p w14:paraId="6E2FB709">
            <w:pPr>
              <w:pStyle w:val="6"/>
              <w:spacing w:line="229" w:lineRule="auto"/>
              <w:ind w:left="117"/>
            </w:pPr>
            <w:r>
              <w:rPr>
                <w:spacing w:val="7"/>
              </w:rPr>
              <w:t>及在前</w:t>
            </w:r>
          </w:p>
          <w:p w14:paraId="44243145">
            <w:pPr>
              <w:pStyle w:val="6"/>
              <w:spacing w:before="63" w:line="228" w:lineRule="auto"/>
              <w:ind w:left="120"/>
            </w:pPr>
            <w:r>
              <w:rPr>
                <w:spacing w:val="6"/>
              </w:rPr>
              <w:t>期监测</w:t>
            </w:r>
          </w:p>
          <w:p w14:paraId="3C60C828">
            <w:pPr>
              <w:pStyle w:val="6"/>
              <w:spacing w:before="65" w:line="228" w:lineRule="auto"/>
              <w:ind w:left="137"/>
            </w:pPr>
            <w:r>
              <w:t>中超标</w:t>
            </w:r>
          </w:p>
          <w:p w14:paraId="53457C9F">
            <w:pPr>
              <w:pStyle w:val="6"/>
              <w:spacing w:before="64" w:line="228" w:lineRule="auto"/>
              <w:ind w:left="135"/>
            </w:pPr>
            <w:r>
              <w:rPr>
                <w:spacing w:val="1"/>
              </w:rPr>
              <w:t>的污染</w:t>
            </w:r>
          </w:p>
          <w:p w14:paraId="4FA5A9B4">
            <w:pPr>
              <w:pStyle w:val="6"/>
              <w:spacing w:before="65" w:line="229" w:lineRule="auto"/>
              <w:ind w:left="326"/>
            </w:pPr>
            <w:r>
              <w:t>物</w:t>
            </w:r>
          </w:p>
        </w:tc>
        <w:tc>
          <w:tcPr>
            <w:tcW w:w="1250" w:type="dxa"/>
            <w:vAlign w:val="top"/>
          </w:tcPr>
          <w:p w14:paraId="2E299865">
            <w:pPr>
              <w:pStyle w:val="6"/>
              <w:spacing w:before="211" w:line="228" w:lineRule="auto"/>
              <w:ind w:left="110"/>
            </w:pPr>
            <w:r>
              <w:rPr>
                <w:spacing w:val="7"/>
              </w:rPr>
              <w:t>《土壤环境</w:t>
            </w:r>
          </w:p>
          <w:p w14:paraId="46A77B6B">
            <w:pPr>
              <w:pStyle w:val="6"/>
              <w:spacing w:before="65" w:line="228" w:lineRule="auto"/>
              <w:ind w:left="53"/>
            </w:pPr>
            <w:r>
              <w:rPr>
                <w:spacing w:val="5"/>
              </w:rPr>
              <w:t>质量</w:t>
            </w:r>
            <w:r>
              <w:rPr>
                <w:spacing w:val="19"/>
              </w:rPr>
              <w:t xml:space="preserve"> </w:t>
            </w:r>
            <w:r>
              <w:rPr>
                <w:spacing w:val="5"/>
              </w:rPr>
              <w:t>农用地</w:t>
            </w:r>
          </w:p>
          <w:p w14:paraId="05ABA9A3">
            <w:pPr>
              <w:pStyle w:val="6"/>
              <w:spacing w:before="65" w:line="228" w:lineRule="auto"/>
              <w:ind w:left="106"/>
            </w:pPr>
            <w:r>
              <w:rPr>
                <w:spacing w:val="7"/>
              </w:rPr>
              <w:t>土壤污染风</w:t>
            </w:r>
          </w:p>
          <w:p w14:paraId="3F799F70">
            <w:pPr>
              <w:pStyle w:val="6"/>
              <w:spacing w:before="64" w:line="228" w:lineRule="auto"/>
              <w:ind w:left="117"/>
            </w:pPr>
            <w:r>
              <w:rPr>
                <w:spacing w:val="5"/>
              </w:rPr>
              <w:t>险管控标准</w:t>
            </w:r>
          </w:p>
          <w:p w14:paraId="22EE9F72">
            <w:pPr>
              <w:pStyle w:val="6"/>
              <w:spacing w:before="65" w:line="288" w:lineRule="auto"/>
              <w:ind w:left="91" w:right="74" w:firstLine="24"/>
              <w:rPr>
                <w:rFonts w:ascii="Times New Roman" w:hAnsi="Times New Roman" w:eastAsia="Times New Roman" w:cs="Times New Roman"/>
              </w:rPr>
            </w:pPr>
            <w:r>
              <w:rPr>
                <w:spacing w:val="8"/>
              </w:rPr>
              <w:t>（试行）》</w:t>
            </w:r>
            <w: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15618-</w:t>
            </w:r>
          </w:p>
          <w:p w14:paraId="2F8A831E">
            <w:pPr>
              <w:pStyle w:val="6"/>
              <w:spacing w:line="239" w:lineRule="auto"/>
              <w:ind w:left="312"/>
            </w:pPr>
            <w:r>
              <w:rPr>
                <w:rFonts w:ascii="Times New Roman" w:hAnsi="Times New Roman" w:eastAsia="Times New Roman" w:cs="Times New Roman"/>
                <w:spacing w:val="2"/>
              </w:rPr>
              <w:t>2018</w:t>
            </w:r>
            <w:r>
              <w:rPr>
                <w:spacing w:val="2"/>
              </w:rPr>
              <w:t>）</w:t>
            </w:r>
          </w:p>
        </w:tc>
      </w:tr>
    </w:tbl>
    <w:p w14:paraId="60DD20B0">
      <w:pPr>
        <w:spacing w:before="115" w:line="360" w:lineRule="auto"/>
        <w:ind w:left="40" w:right="181" w:firstLine="483"/>
        <w:jc w:val="both"/>
        <w:rPr>
          <w:rFonts w:ascii="宋体" w:hAnsi="宋体" w:eastAsia="宋体" w:cs="宋体"/>
          <w:sz w:val="24"/>
          <w:szCs w:val="24"/>
        </w:rPr>
      </w:pPr>
      <w:r>
        <w:rPr>
          <w:rFonts w:ascii="宋体" w:hAnsi="宋体" w:eastAsia="宋体" w:cs="宋体"/>
          <w:spacing w:val="-3"/>
          <w:sz w:val="24"/>
          <w:szCs w:val="24"/>
        </w:rPr>
        <w:t>上述监测结果应由企业环保部门负责，按项目有关规定及时</w:t>
      </w:r>
      <w:r>
        <w:rPr>
          <w:rFonts w:ascii="宋体" w:hAnsi="宋体" w:eastAsia="宋体" w:cs="宋体"/>
          <w:spacing w:val="-4"/>
          <w:sz w:val="24"/>
          <w:szCs w:val="24"/>
        </w:rPr>
        <w:t>建立档案并定期</w:t>
      </w:r>
      <w:r>
        <w:rPr>
          <w:rFonts w:ascii="宋体" w:hAnsi="宋体" w:eastAsia="宋体" w:cs="宋体"/>
          <w:sz w:val="24"/>
          <w:szCs w:val="24"/>
        </w:rPr>
        <w:t xml:space="preserve"> </w:t>
      </w:r>
      <w:r>
        <w:rPr>
          <w:rFonts w:ascii="宋体" w:hAnsi="宋体" w:eastAsia="宋体" w:cs="宋体"/>
          <w:spacing w:val="-3"/>
          <w:sz w:val="24"/>
          <w:szCs w:val="24"/>
        </w:rPr>
        <w:t>向社会公开监测信息。如发现异常或发生事故，需加密监测频次，确定影响源位</w:t>
      </w:r>
      <w:r>
        <w:rPr>
          <w:rFonts w:ascii="宋体" w:hAnsi="宋体" w:eastAsia="宋体" w:cs="宋体"/>
          <w:spacing w:val="2"/>
          <w:sz w:val="24"/>
          <w:szCs w:val="24"/>
        </w:rPr>
        <w:t xml:space="preserve"> </w:t>
      </w:r>
      <w:r>
        <w:rPr>
          <w:rFonts w:ascii="宋体" w:hAnsi="宋体" w:eastAsia="宋体" w:cs="宋体"/>
          <w:spacing w:val="-1"/>
          <w:sz w:val="24"/>
          <w:szCs w:val="24"/>
        </w:rPr>
        <w:t>置，分析影响结果，并及时采取应急措施。</w:t>
      </w:r>
    </w:p>
    <w:p w14:paraId="7183C660">
      <w:pPr>
        <w:spacing w:before="1" w:line="217" w:lineRule="auto"/>
        <w:ind w:left="521"/>
        <w:outlineLvl w:val="2"/>
        <w:rPr>
          <w:rFonts w:ascii="宋体" w:hAnsi="宋体" w:eastAsia="宋体" w:cs="宋体"/>
          <w:sz w:val="24"/>
          <w:szCs w:val="24"/>
        </w:rPr>
      </w:pPr>
      <w:bookmarkStart w:id="165" w:name="bookmark146"/>
      <w:bookmarkEnd w:id="165"/>
      <w:r>
        <w:rPr>
          <w:rFonts w:ascii="Times New Roman" w:hAnsi="Times New Roman" w:eastAsia="Times New Roman" w:cs="Times New Roman"/>
          <w:b/>
          <w:bCs/>
          <w:spacing w:val="-2"/>
          <w:sz w:val="24"/>
          <w:szCs w:val="24"/>
        </w:rPr>
        <w:t xml:space="preserve">8.8.8 </w:t>
      </w:r>
      <w:r>
        <w:rPr>
          <w:rFonts w:ascii="宋体" w:hAnsi="宋体" w:eastAsia="宋体" w:cs="宋体"/>
          <w:b/>
          <w:bCs/>
          <w:spacing w:val="-2"/>
          <w:sz w:val="24"/>
          <w:szCs w:val="24"/>
        </w:rPr>
        <w:t>土壤环境影响预测评价结论</w:t>
      </w:r>
    </w:p>
    <w:p w14:paraId="21ED1799">
      <w:pPr>
        <w:spacing w:before="103" w:line="360" w:lineRule="auto"/>
        <w:ind w:left="42" w:right="146" w:firstLine="480"/>
        <w:jc w:val="both"/>
        <w:rPr>
          <w:rFonts w:ascii="宋体" w:hAnsi="宋体" w:eastAsia="宋体" w:cs="宋体"/>
          <w:sz w:val="24"/>
          <w:szCs w:val="24"/>
        </w:rPr>
      </w:pPr>
      <w:r>
        <w:rPr>
          <w:rFonts w:ascii="宋体" w:hAnsi="宋体" w:eastAsia="宋体" w:cs="宋体"/>
          <w:spacing w:val="-2"/>
          <w:sz w:val="24"/>
          <w:szCs w:val="24"/>
        </w:rPr>
        <w:t>通过预测结果可知：在非正常状况尾矿库尾矿浆泄露垂直入渗污染途</w:t>
      </w:r>
      <w:r>
        <w:rPr>
          <w:rFonts w:ascii="宋体" w:hAnsi="宋体" w:eastAsia="宋体" w:cs="宋体"/>
          <w:spacing w:val="-3"/>
          <w:sz w:val="24"/>
          <w:szCs w:val="24"/>
        </w:rPr>
        <w:t>径下，</w:t>
      </w:r>
      <w:r>
        <w:rPr>
          <w:rFonts w:ascii="宋体" w:hAnsi="宋体" w:eastAsia="宋体" w:cs="宋体"/>
          <w:sz w:val="24"/>
          <w:szCs w:val="24"/>
        </w:rPr>
        <w:t xml:space="preserve"> </w:t>
      </w:r>
      <w:r>
        <w:rPr>
          <w:rFonts w:ascii="宋体" w:hAnsi="宋体" w:eastAsia="宋体" w:cs="宋体"/>
          <w:spacing w:val="-3"/>
          <w:sz w:val="24"/>
          <w:szCs w:val="24"/>
        </w:rPr>
        <w:t>本项目影响源最大可能影响深度可至潜水面，因此，评价要求本项目运行期间严</w:t>
      </w:r>
      <w:r>
        <w:rPr>
          <w:rFonts w:ascii="宋体" w:hAnsi="宋体" w:eastAsia="宋体" w:cs="宋体"/>
          <w:spacing w:val="1"/>
          <w:sz w:val="24"/>
          <w:szCs w:val="24"/>
        </w:rPr>
        <w:t xml:space="preserve"> </w:t>
      </w:r>
      <w:r>
        <w:rPr>
          <w:rFonts w:ascii="宋体" w:hAnsi="宋体" w:eastAsia="宋体" w:cs="宋体"/>
          <w:spacing w:val="-3"/>
          <w:sz w:val="24"/>
          <w:szCs w:val="24"/>
        </w:rPr>
        <w:t>格执行各项环境保护管理制度、落实土壤跟踪监测措施和应急措施，发现异常及</w:t>
      </w:r>
      <w:r>
        <w:rPr>
          <w:rFonts w:ascii="宋体" w:hAnsi="宋体" w:eastAsia="宋体" w:cs="宋体"/>
          <w:spacing w:val="1"/>
          <w:sz w:val="24"/>
          <w:szCs w:val="24"/>
        </w:rPr>
        <w:t xml:space="preserve"> </w:t>
      </w:r>
      <w:r>
        <w:rPr>
          <w:rFonts w:ascii="宋体" w:hAnsi="宋体" w:eastAsia="宋体" w:cs="宋体"/>
          <w:spacing w:val="-2"/>
          <w:sz w:val="24"/>
          <w:szCs w:val="24"/>
        </w:rPr>
        <w:t>时采取措施。</w:t>
      </w:r>
    </w:p>
    <w:p w14:paraId="038E4086">
      <w:pPr>
        <w:spacing w:before="76" w:line="216" w:lineRule="auto"/>
        <w:ind w:left="525"/>
        <w:rPr>
          <w:rFonts w:ascii="宋体" w:hAnsi="宋体" w:eastAsia="宋体" w:cs="宋体"/>
          <w:sz w:val="24"/>
          <w:szCs w:val="24"/>
        </w:rPr>
      </w:pPr>
      <w:r>
        <w:rPr>
          <w:rFonts w:ascii="宋体" w:hAnsi="宋体" w:eastAsia="宋体" w:cs="宋体"/>
          <w:spacing w:val="-3"/>
          <w:sz w:val="24"/>
          <w:szCs w:val="24"/>
        </w:rPr>
        <w:t>综上所述，在严格落实各项环保措施、环境保护管理制度</w:t>
      </w:r>
      <w:r>
        <w:rPr>
          <w:rFonts w:ascii="宋体" w:hAnsi="宋体" w:eastAsia="宋体" w:cs="宋体"/>
          <w:spacing w:val="-4"/>
          <w:sz w:val="24"/>
          <w:szCs w:val="24"/>
        </w:rPr>
        <w:t>、跟踪监测和应急</w:t>
      </w:r>
    </w:p>
    <w:p w14:paraId="4482584E">
      <w:pPr>
        <w:spacing w:line="216" w:lineRule="auto"/>
        <w:rPr>
          <w:rFonts w:ascii="宋体" w:hAnsi="宋体" w:eastAsia="宋体" w:cs="宋体"/>
          <w:sz w:val="24"/>
          <w:szCs w:val="24"/>
        </w:rPr>
        <w:sectPr>
          <w:headerReference r:id="rId389" w:type="default"/>
          <w:footerReference r:id="rId390" w:type="default"/>
          <w:pgSz w:w="11906" w:h="16839"/>
          <w:pgMar w:top="1208" w:right="1618" w:bottom="1358" w:left="1767" w:header="825" w:footer="1195" w:gutter="0"/>
          <w:cols w:space="720" w:num="1"/>
        </w:sectPr>
      </w:pPr>
    </w:p>
    <w:p w14:paraId="589A1730">
      <w:pPr>
        <w:pStyle w:val="2"/>
        <w:spacing w:line="264" w:lineRule="auto"/>
      </w:pPr>
    </w:p>
    <w:p w14:paraId="61FAF81E">
      <w:pPr>
        <w:spacing w:before="78" w:line="219" w:lineRule="auto"/>
        <w:ind w:left="23"/>
        <w:rPr>
          <w:rFonts w:ascii="宋体" w:hAnsi="宋体" w:eastAsia="宋体" w:cs="宋体"/>
          <w:sz w:val="24"/>
          <w:szCs w:val="24"/>
        </w:rPr>
      </w:pPr>
      <w:r>
        <w:rPr>
          <w:rFonts w:ascii="宋体" w:hAnsi="宋体" w:eastAsia="宋体" w:cs="宋体"/>
          <w:spacing w:val="-1"/>
          <w:sz w:val="24"/>
          <w:szCs w:val="24"/>
        </w:rPr>
        <w:t>措施的情况下，本项目对土壤环境的影响可接受。</w:t>
      </w:r>
    </w:p>
    <w:p w14:paraId="03A907B5">
      <w:pPr>
        <w:spacing w:before="183" w:line="218" w:lineRule="auto"/>
        <w:ind w:left="507"/>
        <w:rPr>
          <w:rFonts w:ascii="宋体" w:hAnsi="宋体" w:eastAsia="宋体" w:cs="宋体"/>
          <w:sz w:val="24"/>
          <w:szCs w:val="24"/>
        </w:rPr>
      </w:pPr>
      <w:r>
        <w:rPr>
          <w:rFonts w:ascii="宋体" w:hAnsi="宋体" w:eastAsia="宋体" w:cs="宋体"/>
          <w:spacing w:val="-2"/>
          <w:sz w:val="24"/>
          <w:szCs w:val="24"/>
        </w:rPr>
        <w:t>项目土壤环境影响评价自查表见表</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8.8-8</w:t>
      </w:r>
      <w:r>
        <w:rPr>
          <w:rFonts w:ascii="宋体" w:hAnsi="宋体" w:eastAsia="宋体" w:cs="宋体"/>
          <w:spacing w:val="-2"/>
          <w:sz w:val="24"/>
          <w:szCs w:val="24"/>
        </w:rPr>
        <w:t>。</w:t>
      </w:r>
    </w:p>
    <w:p w14:paraId="387EC433">
      <w:pPr>
        <w:spacing w:before="108" w:line="211" w:lineRule="auto"/>
        <w:ind w:left="221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8.8-8        </w:t>
      </w:r>
      <w:r>
        <w:rPr>
          <w:rFonts w:ascii="宋体" w:hAnsi="宋体" w:eastAsia="宋体" w:cs="宋体"/>
          <w:spacing w:val="-1"/>
          <w:sz w:val="24"/>
          <w:szCs w:val="24"/>
        </w:rPr>
        <w:t>土壤环境影响评价自查表</w:t>
      </w:r>
    </w:p>
    <w:tbl>
      <w:tblPr>
        <w:tblStyle w:val="5"/>
        <w:tblW w:w="8435"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1361"/>
        <w:gridCol w:w="1225"/>
        <w:gridCol w:w="1095"/>
        <w:gridCol w:w="1102"/>
        <w:gridCol w:w="2446"/>
        <w:gridCol w:w="877"/>
      </w:tblGrid>
      <w:tr w14:paraId="3813A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90" w:type="dxa"/>
            <w:gridSpan w:val="2"/>
            <w:vAlign w:val="top"/>
          </w:tcPr>
          <w:p w14:paraId="36B66D37">
            <w:pPr>
              <w:pStyle w:val="6"/>
              <w:spacing w:before="70" w:line="228" w:lineRule="auto"/>
              <w:ind w:left="432"/>
            </w:pPr>
            <w:r>
              <w:rPr>
                <w:spacing w:val="6"/>
              </w:rPr>
              <w:t>工作内容</w:t>
            </w:r>
          </w:p>
        </w:tc>
        <w:tc>
          <w:tcPr>
            <w:tcW w:w="5868" w:type="dxa"/>
            <w:gridSpan w:val="4"/>
            <w:vAlign w:val="top"/>
          </w:tcPr>
          <w:p w14:paraId="705D34FE">
            <w:pPr>
              <w:pStyle w:val="6"/>
              <w:spacing w:before="70" w:line="228" w:lineRule="auto"/>
              <w:ind w:left="2522"/>
            </w:pPr>
            <w:r>
              <w:rPr>
                <w:spacing w:val="6"/>
              </w:rPr>
              <w:t>完成情况</w:t>
            </w:r>
          </w:p>
        </w:tc>
        <w:tc>
          <w:tcPr>
            <w:tcW w:w="877" w:type="dxa"/>
            <w:vAlign w:val="top"/>
          </w:tcPr>
          <w:p w14:paraId="4D125613">
            <w:pPr>
              <w:pStyle w:val="6"/>
              <w:spacing w:before="70" w:line="229" w:lineRule="auto"/>
              <w:ind w:left="235"/>
            </w:pPr>
            <w:r>
              <w:rPr>
                <w:spacing w:val="3"/>
              </w:rPr>
              <w:t>备注</w:t>
            </w:r>
          </w:p>
        </w:tc>
      </w:tr>
      <w:tr w14:paraId="23AA9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restart"/>
            <w:tcBorders>
              <w:bottom w:val="nil"/>
            </w:tcBorders>
            <w:textDirection w:val="tbRlV"/>
            <w:vAlign w:val="top"/>
          </w:tcPr>
          <w:p w14:paraId="7784FFE5">
            <w:pPr>
              <w:pStyle w:val="6"/>
              <w:spacing w:before="57" w:line="216" w:lineRule="auto"/>
              <w:ind w:left="1612"/>
            </w:pPr>
            <w:r>
              <w:rPr>
                <w:spacing w:val="6"/>
              </w:rPr>
              <w:t>影 响 识 别</w:t>
            </w:r>
          </w:p>
        </w:tc>
        <w:tc>
          <w:tcPr>
            <w:tcW w:w="1361" w:type="dxa"/>
            <w:vAlign w:val="top"/>
          </w:tcPr>
          <w:p w14:paraId="7CAE4F67">
            <w:pPr>
              <w:pStyle w:val="6"/>
              <w:spacing w:before="66" w:line="228" w:lineRule="auto"/>
              <w:ind w:left="264"/>
            </w:pPr>
            <w:r>
              <w:rPr>
                <w:spacing w:val="7"/>
              </w:rPr>
              <w:t>影响类型</w:t>
            </w:r>
          </w:p>
        </w:tc>
        <w:tc>
          <w:tcPr>
            <w:tcW w:w="5868" w:type="dxa"/>
            <w:gridSpan w:val="4"/>
            <w:vAlign w:val="top"/>
          </w:tcPr>
          <w:p w14:paraId="099DF498">
            <w:pPr>
              <w:pStyle w:val="6"/>
              <w:spacing w:before="67" w:line="187" w:lineRule="auto"/>
              <w:ind w:left="1010"/>
              <w:rPr>
                <w:rFonts w:ascii="Times New Roman" w:hAnsi="Times New Roman" w:eastAsia="Times New Roman" w:cs="Times New Roman"/>
              </w:rPr>
            </w:pPr>
            <w:r>
              <w:rPr>
                <w:spacing w:val="10"/>
              </w:rPr>
              <w:t>污染影响型</w:t>
            </w:r>
            <w:r>
              <w:rPr>
                <w:rFonts w:ascii="微软雅黑" w:hAnsi="微软雅黑" w:eastAsia="微软雅黑" w:cs="微软雅黑"/>
                <w:spacing w:val="10"/>
              </w:rPr>
              <w:t>⑦</w:t>
            </w:r>
            <w:r>
              <w:rPr>
                <w:spacing w:val="10"/>
              </w:rPr>
              <w:t>；生态影响型</w:t>
            </w:r>
            <w:r>
              <w:rPr>
                <w:rFonts w:ascii="微软雅黑" w:hAnsi="微软雅黑" w:eastAsia="微软雅黑" w:cs="微软雅黑"/>
                <w:spacing w:val="10"/>
              </w:rPr>
              <w:t>□</w:t>
            </w:r>
            <w:r>
              <w:rPr>
                <w:spacing w:val="10"/>
              </w:rPr>
              <w:t>；两种兼有</w:t>
            </w:r>
            <w:r>
              <w:rPr>
                <w:rFonts w:ascii="Times New Roman" w:hAnsi="Times New Roman" w:eastAsia="Times New Roman" w:cs="Times New Roman"/>
                <w:spacing w:val="10"/>
              </w:rPr>
              <w:t>□</w:t>
            </w:r>
          </w:p>
        </w:tc>
        <w:tc>
          <w:tcPr>
            <w:tcW w:w="877" w:type="dxa"/>
            <w:vAlign w:val="top"/>
          </w:tcPr>
          <w:p w14:paraId="7132797F">
            <w:pPr>
              <w:rPr>
                <w:rFonts w:ascii="Arial"/>
                <w:sz w:val="21"/>
              </w:rPr>
            </w:pPr>
          </w:p>
        </w:tc>
      </w:tr>
      <w:tr w14:paraId="415D5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29" w:type="dxa"/>
            <w:vMerge w:val="continue"/>
            <w:tcBorders>
              <w:top w:val="nil"/>
              <w:bottom w:val="nil"/>
            </w:tcBorders>
            <w:textDirection w:val="tbRlV"/>
            <w:vAlign w:val="top"/>
          </w:tcPr>
          <w:p w14:paraId="5EACC907">
            <w:pPr>
              <w:rPr>
                <w:rFonts w:ascii="Arial"/>
                <w:sz w:val="21"/>
              </w:rPr>
            </w:pPr>
          </w:p>
        </w:tc>
        <w:tc>
          <w:tcPr>
            <w:tcW w:w="1361" w:type="dxa"/>
            <w:vAlign w:val="top"/>
          </w:tcPr>
          <w:p w14:paraId="115C2D8D">
            <w:pPr>
              <w:pStyle w:val="6"/>
              <w:spacing w:before="208" w:line="228" w:lineRule="auto"/>
              <w:ind w:left="54"/>
            </w:pPr>
            <w:r>
              <w:rPr>
                <w:spacing w:val="8"/>
              </w:rPr>
              <w:t>土地利用类型</w:t>
            </w:r>
          </w:p>
        </w:tc>
        <w:tc>
          <w:tcPr>
            <w:tcW w:w="5868" w:type="dxa"/>
            <w:gridSpan w:val="4"/>
            <w:vAlign w:val="top"/>
          </w:tcPr>
          <w:p w14:paraId="2E2AC635">
            <w:pPr>
              <w:pStyle w:val="6"/>
              <w:spacing w:before="209" w:line="183" w:lineRule="auto"/>
              <w:ind w:left="1356"/>
              <w:rPr>
                <w:rFonts w:ascii="Times New Roman" w:hAnsi="Times New Roman" w:eastAsia="Times New Roman" w:cs="Times New Roman"/>
              </w:rPr>
            </w:pPr>
            <w:r>
              <w:rPr>
                <w:spacing w:val="5"/>
              </w:rPr>
              <w:t>建设用地</w:t>
            </w:r>
            <w:r>
              <w:rPr>
                <w:rFonts w:ascii="微软雅黑" w:hAnsi="微软雅黑" w:eastAsia="微软雅黑" w:cs="微软雅黑"/>
                <w:spacing w:val="5"/>
              </w:rPr>
              <w:t>⑦</w:t>
            </w:r>
            <w:r>
              <w:rPr>
                <w:spacing w:val="5"/>
              </w:rPr>
              <w:t>；农用地</w:t>
            </w:r>
            <w:r>
              <w:rPr>
                <w:rFonts w:ascii="Times New Roman" w:hAnsi="Times New Roman" w:eastAsia="Times New Roman" w:cs="Times New Roman"/>
                <w:spacing w:val="5"/>
              </w:rPr>
              <w:t>□</w:t>
            </w:r>
            <w:r>
              <w:rPr>
                <w:rFonts w:ascii="Times New Roman" w:hAnsi="Times New Roman" w:eastAsia="Times New Roman" w:cs="Times New Roman"/>
                <w:spacing w:val="-14"/>
              </w:rPr>
              <w:t xml:space="preserve"> </w:t>
            </w:r>
            <w:r>
              <w:rPr>
                <w:spacing w:val="5"/>
              </w:rPr>
              <w:t>；未利用地</w:t>
            </w:r>
            <w:r>
              <w:rPr>
                <w:rFonts w:ascii="Times New Roman" w:hAnsi="Times New Roman" w:eastAsia="Times New Roman" w:cs="Times New Roman"/>
                <w:spacing w:val="5"/>
              </w:rPr>
              <w:t>□</w:t>
            </w:r>
          </w:p>
        </w:tc>
        <w:tc>
          <w:tcPr>
            <w:tcW w:w="877" w:type="dxa"/>
            <w:vAlign w:val="top"/>
          </w:tcPr>
          <w:p w14:paraId="6AF59114">
            <w:pPr>
              <w:pStyle w:val="6"/>
              <w:spacing w:before="52" w:line="261" w:lineRule="auto"/>
              <w:ind w:left="129" w:right="18" w:hanging="104"/>
            </w:pPr>
            <w:r>
              <w:rPr>
                <w:spacing w:val="7"/>
              </w:rPr>
              <w:t>土地利用</w:t>
            </w:r>
            <w:r>
              <w:t xml:space="preserve"> </w:t>
            </w:r>
            <w:r>
              <w:rPr>
                <w:spacing w:val="6"/>
              </w:rPr>
              <w:t>类型图</w:t>
            </w:r>
          </w:p>
        </w:tc>
      </w:tr>
      <w:tr w14:paraId="79DE8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DF44A20">
            <w:pPr>
              <w:rPr>
                <w:rFonts w:ascii="Arial"/>
                <w:sz w:val="21"/>
              </w:rPr>
            </w:pPr>
          </w:p>
        </w:tc>
        <w:tc>
          <w:tcPr>
            <w:tcW w:w="1361" w:type="dxa"/>
            <w:vAlign w:val="top"/>
          </w:tcPr>
          <w:p w14:paraId="494180B1">
            <w:pPr>
              <w:pStyle w:val="6"/>
              <w:spacing w:before="67" w:line="228" w:lineRule="auto"/>
              <w:ind w:left="298"/>
            </w:pPr>
            <w:r>
              <w:rPr>
                <w:spacing w:val="-2"/>
              </w:rPr>
              <w:t>占地规模</w:t>
            </w:r>
          </w:p>
        </w:tc>
        <w:tc>
          <w:tcPr>
            <w:tcW w:w="5868" w:type="dxa"/>
            <w:gridSpan w:val="4"/>
            <w:vAlign w:val="top"/>
          </w:tcPr>
          <w:p w14:paraId="2FBA63C9">
            <w:pPr>
              <w:spacing w:before="84" w:line="216" w:lineRule="auto"/>
              <w:ind w:left="258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5.35</w:t>
            </w:r>
            <w:r>
              <w:rPr>
                <w:rFonts w:ascii="Times New Roman" w:hAnsi="Times New Roman" w:eastAsia="Times New Roman" w:cs="Times New Roman"/>
                <w:sz w:val="20"/>
                <w:szCs w:val="20"/>
              </w:rPr>
              <w:t>hm</w:t>
            </w:r>
            <w:r>
              <w:rPr>
                <w:rFonts w:ascii="Times New Roman" w:hAnsi="Times New Roman" w:eastAsia="Times New Roman" w:cs="Times New Roman"/>
                <w:spacing w:val="4"/>
                <w:position w:val="6"/>
                <w:sz w:val="13"/>
                <w:szCs w:val="13"/>
              </w:rPr>
              <w:t>2</w:t>
            </w:r>
          </w:p>
        </w:tc>
        <w:tc>
          <w:tcPr>
            <w:tcW w:w="877" w:type="dxa"/>
            <w:vAlign w:val="top"/>
          </w:tcPr>
          <w:p w14:paraId="413B2076">
            <w:pPr>
              <w:rPr>
                <w:rFonts w:ascii="Arial"/>
                <w:sz w:val="21"/>
              </w:rPr>
            </w:pPr>
          </w:p>
        </w:tc>
      </w:tr>
      <w:tr w14:paraId="6D398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12F9B5EC">
            <w:pPr>
              <w:rPr>
                <w:rFonts w:ascii="Arial"/>
                <w:sz w:val="21"/>
              </w:rPr>
            </w:pPr>
          </w:p>
        </w:tc>
        <w:tc>
          <w:tcPr>
            <w:tcW w:w="1361" w:type="dxa"/>
            <w:vAlign w:val="top"/>
          </w:tcPr>
          <w:p w14:paraId="69189204">
            <w:pPr>
              <w:pStyle w:val="6"/>
              <w:spacing w:before="65" w:line="228" w:lineRule="auto"/>
              <w:ind w:left="54"/>
            </w:pPr>
            <w:r>
              <w:rPr>
                <w:spacing w:val="8"/>
              </w:rPr>
              <w:t>敏感目标信息</w:t>
            </w:r>
          </w:p>
        </w:tc>
        <w:tc>
          <w:tcPr>
            <w:tcW w:w="5868" w:type="dxa"/>
            <w:gridSpan w:val="4"/>
            <w:vAlign w:val="top"/>
          </w:tcPr>
          <w:p w14:paraId="6EF0C7F6">
            <w:pPr>
              <w:pStyle w:val="6"/>
              <w:spacing w:before="65" w:line="228" w:lineRule="auto"/>
              <w:ind w:left="1310"/>
            </w:pPr>
            <w:r>
              <w:rPr>
                <w:spacing w:val="4"/>
              </w:rPr>
              <w:t>天然草地，项目区四周</w:t>
            </w:r>
            <w:r>
              <w:rPr>
                <w:spacing w:val="-21"/>
              </w:rPr>
              <w:t xml:space="preserve"> </w:t>
            </w:r>
            <w:r>
              <w:rPr>
                <w:rFonts w:ascii="Times New Roman" w:hAnsi="Times New Roman" w:eastAsia="Times New Roman" w:cs="Times New Roman"/>
                <w:spacing w:val="4"/>
              </w:rPr>
              <w:t>50~</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1000m</w:t>
            </w:r>
            <w:r>
              <w:rPr>
                <w:spacing w:val="4"/>
              </w:rPr>
              <w:t>。</w:t>
            </w:r>
          </w:p>
        </w:tc>
        <w:tc>
          <w:tcPr>
            <w:tcW w:w="877" w:type="dxa"/>
            <w:vAlign w:val="top"/>
          </w:tcPr>
          <w:p w14:paraId="20805AE2">
            <w:pPr>
              <w:rPr>
                <w:rFonts w:ascii="Arial"/>
                <w:sz w:val="21"/>
              </w:rPr>
            </w:pPr>
          </w:p>
        </w:tc>
      </w:tr>
      <w:tr w14:paraId="44977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72ACC9F4">
            <w:pPr>
              <w:rPr>
                <w:rFonts w:ascii="Arial"/>
                <w:sz w:val="21"/>
              </w:rPr>
            </w:pPr>
          </w:p>
        </w:tc>
        <w:tc>
          <w:tcPr>
            <w:tcW w:w="1361" w:type="dxa"/>
            <w:vAlign w:val="top"/>
          </w:tcPr>
          <w:p w14:paraId="7A87DA67">
            <w:pPr>
              <w:pStyle w:val="6"/>
              <w:spacing w:before="66" w:line="228" w:lineRule="auto"/>
              <w:ind w:left="264"/>
            </w:pPr>
            <w:r>
              <w:rPr>
                <w:spacing w:val="7"/>
              </w:rPr>
              <w:t>影响途径</w:t>
            </w:r>
          </w:p>
        </w:tc>
        <w:tc>
          <w:tcPr>
            <w:tcW w:w="5868" w:type="dxa"/>
            <w:gridSpan w:val="4"/>
            <w:vAlign w:val="top"/>
          </w:tcPr>
          <w:p w14:paraId="31A5C120">
            <w:pPr>
              <w:pStyle w:val="6"/>
              <w:spacing w:before="66" w:line="188" w:lineRule="auto"/>
              <w:ind w:left="77"/>
            </w:pPr>
            <w:r>
              <w:rPr>
                <w:spacing w:val="7"/>
              </w:rPr>
              <w:t>大气沉降</w:t>
            </w:r>
            <w:r>
              <w:rPr>
                <w:rFonts w:ascii="微软雅黑" w:hAnsi="微软雅黑" w:eastAsia="微软雅黑" w:cs="微软雅黑"/>
                <w:spacing w:val="7"/>
              </w:rPr>
              <w:t>⑦</w:t>
            </w:r>
            <w:r>
              <w:rPr>
                <w:spacing w:val="7"/>
              </w:rPr>
              <w:t>；地面漫流</w:t>
            </w:r>
            <w:r>
              <w:rPr>
                <w:rFonts w:ascii="微软雅黑" w:hAnsi="微软雅黑" w:eastAsia="微软雅黑" w:cs="微软雅黑"/>
                <w:spacing w:val="7"/>
              </w:rPr>
              <w:t>□</w:t>
            </w:r>
            <w:r>
              <w:rPr>
                <w:spacing w:val="7"/>
              </w:rPr>
              <w:t>；垂直入渗</w:t>
            </w:r>
            <w:r>
              <w:rPr>
                <w:rFonts w:ascii="微软雅黑" w:hAnsi="微软雅黑" w:eastAsia="微软雅黑" w:cs="微软雅黑"/>
                <w:spacing w:val="7"/>
              </w:rPr>
              <w:t>⑦</w:t>
            </w:r>
            <w:r>
              <w:rPr>
                <w:spacing w:val="7"/>
              </w:rPr>
              <w:t>；地下水位</w:t>
            </w:r>
            <w:r>
              <w:rPr>
                <w:rFonts w:ascii="Times New Roman" w:hAnsi="Times New Roman" w:eastAsia="Times New Roman" w:cs="Times New Roman"/>
                <w:spacing w:val="7"/>
              </w:rPr>
              <w:t>□</w:t>
            </w:r>
            <w:r>
              <w:rPr>
                <w:rFonts w:ascii="Times New Roman" w:hAnsi="Times New Roman" w:eastAsia="Times New Roman" w:cs="Times New Roman"/>
                <w:spacing w:val="-8"/>
              </w:rPr>
              <w:t xml:space="preserve"> </w:t>
            </w:r>
            <w:r>
              <w:rPr>
                <w:spacing w:val="7"/>
              </w:rPr>
              <w:t>；其他 ()</w:t>
            </w:r>
          </w:p>
        </w:tc>
        <w:tc>
          <w:tcPr>
            <w:tcW w:w="877" w:type="dxa"/>
            <w:vAlign w:val="top"/>
          </w:tcPr>
          <w:p w14:paraId="427BDB8F">
            <w:pPr>
              <w:pStyle w:val="6"/>
              <w:spacing w:before="66" w:line="228" w:lineRule="auto"/>
              <w:ind w:left="24"/>
            </w:pPr>
            <w:r>
              <w:rPr>
                <w:spacing w:val="7"/>
              </w:rPr>
              <w:t>事故状态</w:t>
            </w:r>
          </w:p>
        </w:tc>
      </w:tr>
      <w:tr w14:paraId="5D3CE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C0133AE">
            <w:pPr>
              <w:rPr>
                <w:rFonts w:ascii="Arial"/>
                <w:sz w:val="21"/>
              </w:rPr>
            </w:pPr>
          </w:p>
        </w:tc>
        <w:tc>
          <w:tcPr>
            <w:tcW w:w="1361" w:type="dxa"/>
            <w:vMerge w:val="restart"/>
            <w:tcBorders>
              <w:bottom w:val="nil"/>
            </w:tcBorders>
            <w:vAlign w:val="top"/>
          </w:tcPr>
          <w:p w14:paraId="19BB238C">
            <w:pPr>
              <w:pStyle w:val="6"/>
              <w:spacing w:before="241" w:line="228" w:lineRule="auto"/>
              <w:ind w:left="158"/>
            </w:pPr>
            <w:r>
              <w:rPr>
                <w:spacing w:val="8"/>
              </w:rPr>
              <w:t>全部污染物</w:t>
            </w:r>
          </w:p>
        </w:tc>
        <w:tc>
          <w:tcPr>
            <w:tcW w:w="5868" w:type="dxa"/>
            <w:gridSpan w:val="4"/>
            <w:vAlign w:val="top"/>
          </w:tcPr>
          <w:p w14:paraId="30DA2CDB">
            <w:pPr>
              <w:pStyle w:val="6"/>
              <w:spacing w:before="66" w:line="227" w:lineRule="auto"/>
              <w:ind w:left="2311"/>
            </w:pPr>
            <w:r>
              <w:rPr>
                <w:spacing w:val="7"/>
              </w:rPr>
              <w:t>大气：颗粒物</w:t>
            </w:r>
          </w:p>
        </w:tc>
        <w:tc>
          <w:tcPr>
            <w:tcW w:w="877" w:type="dxa"/>
            <w:vAlign w:val="top"/>
          </w:tcPr>
          <w:p w14:paraId="2BA68816">
            <w:pPr>
              <w:rPr>
                <w:rFonts w:ascii="Arial"/>
                <w:sz w:val="21"/>
              </w:rPr>
            </w:pPr>
          </w:p>
        </w:tc>
      </w:tr>
      <w:tr w14:paraId="3601F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E57106A">
            <w:pPr>
              <w:rPr>
                <w:rFonts w:ascii="Arial"/>
                <w:sz w:val="21"/>
              </w:rPr>
            </w:pPr>
          </w:p>
        </w:tc>
        <w:tc>
          <w:tcPr>
            <w:tcW w:w="1361" w:type="dxa"/>
            <w:vMerge w:val="continue"/>
            <w:tcBorders>
              <w:top w:val="nil"/>
            </w:tcBorders>
            <w:vAlign w:val="top"/>
          </w:tcPr>
          <w:p w14:paraId="5D6322F5">
            <w:pPr>
              <w:rPr>
                <w:rFonts w:ascii="Arial"/>
                <w:sz w:val="21"/>
              </w:rPr>
            </w:pPr>
          </w:p>
        </w:tc>
        <w:tc>
          <w:tcPr>
            <w:tcW w:w="5868" w:type="dxa"/>
            <w:gridSpan w:val="4"/>
            <w:vAlign w:val="top"/>
          </w:tcPr>
          <w:p w14:paraId="217CEABE">
            <w:pPr>
              <w:pStyle w:val="6"/>
              <w:spacing w:before="67" w:line="228" w:lineRule="auto"/>
              <w:ind w:left="1785"/>
            </w:pPr>
            <w:r>
              <w:rPr>
                <w:spacing w:val="9"/>
              </w:rPr>
              <w:t>砷、铅、锌、银、铜、锑</w:t>
            </w:r>
          </w:p>
        </w:tc>
        <w:tc>
          <w:tcPr>
            <w:tcW w:w="877" w:type="dxa"/>
            <w:vAlign w:val="top"/>
          </w:tcPr>
          <w:p w14:paraId="3BFF2A6F">
            <w:pPr>
              <w:rPr>
                <w:rFonts w:ascii="Arial"/>
                <w:sz w:val="21"/>
              </w:rPr>
            </w:pPr>
          </w:p>
        </w:tc>
      </w:tr>
      <w:tr w14:paraId="5E2FD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1CEEB5CD">
            <w:pPr>
              <w:rPr>
                <w:rFonts w:ascii="Arial"/>
                <w:sz w:val="21"/>
              </w:rPr>
            </w:pPr>
          </w:p>
        </w:tc>
        <w:tc>
          <w:tcPr>
            <w:tcW w:w="1361" w:type="dxa"/>
            <w:vAlign w:val="top"/>
          </w:tcPr>
          <w:p w14:paraId="14789F74">
            <w:pPr>
              <w:pStyle w:val="6"/>
              <w:spacing w:before="67" w:line="228" w:lineRule="auto"/>
              <w:ind w:left="264"/>
            </w:pPr>
            <w:r>
              <w:rPr>
                <w:spacing w:val="7"/>
              </w:rPr>
              <w:t>特征因子</w:t>
            </w:r>
          </w:p>
        </w:tc>
        <w:tc>
          <w:tcPr>
            <w:tcW w:w="5868" w:type="dxa"/>
            <w:gridSpan w:val="4"/>
            <w:vAlign w:val="top"/>
          </w:tcPr>
          <w:p w14:paraId="2555775E">
            <w:pPr>
              <w:pStyle w:val="6"/>
              <w:spacing w:before="68" w:line="228" w:lineRule="auto"/>
              <w:ind w:left="1785"/>
            </w:pPr>
            <w:r>
              <w:rPr>
                <w:spacing w:val="9"/>
              </w:rPr>
              <w:t>砷、铅、锌、银、铜、锑</w:t>
            </w:r>
          </w:p>
        </w:tc>
        <w:tc>
          <w:tcPr>
            <w:tcW w:w="877" w:type="dxa"/>
            <w:vAlign w:val="top"/>
          </w:tcPr>
          <w:p w14:paraId="4A6BAAC4">
            <w:pPr>
              <w:rPr>
                <w:rFonts w:ascii="Arial"/>
                <w:sz w:val="21"/>
              </w:rPr>
            </w:pPr>
          </w:p>
        </w:tc>
      </w:tr>
      <w:tr w14:paraId="0AA41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29" w:type="dxa"/>
            <w:vMerge w:val="continue"/>
            <w:tcBorders>
              <w:top w:val="nil"/>
              <w:bottom w:val="nil"/>
            </w:tcBorders>
            <w:textDirection w:val="tbRlV"/>
            <w:vAlign w:val="top"/>
          </w:tcPr>
          <w:p w14:paraId="77A44873">
            <w:pPr>
              <w:rPr>
                <w:rFonts w:ascii="Arial"/>
                <w:sz w:val="21"/>
              </w:rPr>
            </w:pPr>
          </w:p>
        </w:tc>
        <w:tc>
          <w:tcPr>
            <w:tcW w:w="1361" w:type="dxa"/>
            <w:vAlign w:val="top"/>
          </w:tcPr>
          <w:p w14:paraId="5C715814">
            <w:pPr>
              <w:pStyle w:val="6"/>
              <w:spacing w:before="54" w:line="228" w:lineRule="auto"/>
              <w:ind w:left="53"/>
            </w:pPr>
            <w:r>
              <w:rPr>
                <w:spacing w:val="8"/>
              </w:rPr>
              <w:t>所属污染环境</w:t>
            </w:r>
          </w:p>
          <w:p w14:paraId="518F8FE6">
            <w:pPr>
              <w:pStyle w:val="6"/>
              <w:spacing w:before="64" w:line="226" w:lineRule="auto"/>
              <w:ind w:left="53"/>
            </w:pPr>
            <w:r>
              <w:rPr>
                <w:spacing w:val="8"/>
              </w:rPr>
              <w:t>影响评价项目</w:t>
            </w:r>
          </w:p>
          <w:p w14:paraId="7A7E20BD">
            <w:pPr>
              <w:pStyle w:val="6"/>
              <w:spacing w:before="66" w:line="228" w:lineRule="auto"/>
              <w:ind w:left="473"/>
            </w:pPr>
            <w:r>
              <w:rPr>
                <w:spacing w:val="4"/>
              </w:rPr>
              <w:t>类别</w:t>
            </w:r>
          </w:p>
        </w:tc>
        <w:tc>
          <w:tcPr>
            <w:tcW w:w="5868" w:type="dxa"/>
            <w:gridSpan w:val="4"/>
            <w:vAlign w:val="top"/>
          </w:tcPr>
          <w:p w14:paraId="4C5CF31A">
            <w:pPr>
              <w:spacing w:line="279" w:lineRule="auto"/>
              <w:rPr>
                <w:rFonts w:ascii="Arial"/>
                <w:sz w:val="21"/>
              </w:rPr>
            </w:pPr>
          </w:p>
          <w:p w14:paraId="027383D4">
            <w:pPr>
              <w:pStyle w:val="6"/>
              <w:spacing w:before="85" w:line="183" w:lineRule="auto"/>
              <w:ind w:left="1523"/>
              <w:rPr>
                <w:rFonts w:ascii="Times New Roman" w:hAnsi="Times New Roman" w:eastAsia="Times New Roman" w:cs="Times New Roman"/>
              </w:rPr>
            </w:pPr>
            <w:r>
              <w:rPr>
                <w:rFonts w:ascii="Times New Roman" w:hAnsi="Times New Roman" w:eastAsia="Times New Roman" w:cs="Times New Roman"/>
                <w:spacing w:val="-1"/>
              </w:rPr>
              <w:t xml:space="preserve">I </w:t>
            </w:r>
            <w:r>
              <w:rPr>
                <w:spacing w:val="-1"/>
              </w:rPr>
              <w:t>类</w:t>
            </w:r>
            <w:r>
              <w:rPr>
                <w:rFonts w:ascii="微软雅黑" w:hAnsi="微软雅黑" w:eastAsia="微软雅黑" w:cs="微软雅黑"/>
                <w:spacing w:val="-1"/>
              </w:rPr>
              <w:t>⑦</w:t>
            </w:r>
            <w:r>
              <w:rPr>
                <w:spacing w:val="-1"/>
              </w:rPr>
              <w:t>；</w:t>
            </w:r>
            <w:r>
              <w:rPr>
                <w:rFonts w:ascii="Times New Roman" w:hAnsi="Times New Roman" w:eastAsia="Times New Roman" w:cs="Times New Roman"/>
                <w:spacing w:val="-1"/>
              </w:rPr>
              <w:t xml:space="preserve">II </w:t>
            </w:r>
            <w:r>
              <w:rPr>
                <w:spacing w:val="-1"/>
              </w:rPr>
              <w:t>类</w:t>
            </w:r>
            <w:r>
              <w:rPr>
                <w:rFonts w:ascii="Times New Roman" w:hAnsi="Times New Roman" w:eastAsia="Times New Roman" w:cs="Times New Roman"/>
                <w:spacing w:val="-1"/>
              </w:rPr>
              <w:t>□</w:t>
            </w:r>
            <w:r>
              <w:rPr>
                <w:rFonts w:ascii="Times New Roman" w:hAnsi="Times New Roman" w:eastAsia="Times New Roman" w:cs="Times New Roman"/>
                <w:spacing w:val="-23"/>
              </w:rPr>
              <w:t xml:space="preserve"> </w:t>
            </w:r>
            <w:r>
              <w:rPr>
                <w:spacing w:val="-1"/>
              </w:rPr>
              <w:t>;</w:t>
            </w:r>
            <w:r>
              <w:rPr>
                <w:spacing w:val="58"/>
              </w:rPr>
              <w:t xml:space="preserve"> </w:t>
            </w:r>
            <w:r>
              <w:rPr>
                <w:rFonts w:ascii="Times New Roman" w:hAnsi="Times New Roman" w:eastAsia="Times New Roman" w:cs="Times New Roman"/>
                <w:spacing w:val="-1"/>
              </w:rPr>
              <w:t>Ⅲ</w:t>
            </w:r>
            <w:r>
              <w:rPr>
                <w:spacing w:val="-1"/>
              </w:rPr>
              <w:t>类</w:t>
            </w:r>
            <w:r>
              <w:rPr>
                <w:rFonts w:ascii="Times New Roman" w:hAnsi="Times New Roman" w:eastAsia="Times New Roman" w:cs="Times New Roman"/>
                <w:spacing w:val="-1"/>
              </w:rPr>
              <w:t>□</w:t>
            </w:r>
            <w:r>
              <w:rPr>
                <w:rFonts w:ascii="Times New Roman" w:hAnsi="Times New Roman" w:eastAsia="Times New Roman" w:cs="Times New Roman"/>
                <w:spacing w:val="-25"/>
              </w:rPr>
              <w:t xml:space="preserve"> </w:t>
            </w:r>
            <w:r>
              <w:rPr>
                <w:spacing w:val="-1"/>
              </w:rPr>
              <w:t>；</w:t>
            </w:r>
            <w:r>
              <w:rPr>
                <w:rFonts w:ascii="Times New Roman" w:hAnsi="Times New Roman" w:eastAsia="Times New Roman" w:cs="Times New Roman"/>
                <w:spacing w:val="-1"/>
              </w:rPr>
              <w:t>IV</w:t>
            </w:r>
            <w:r>
              <w:rPr>
                <w:rFonts w:ascii="Times New Roman" w:hAnsi="Times New Roman" w:eastAsia="Times New Roman" w:cs="Times New Roman"/>
                <w:spacing w:val="13"/>
                <w:w w:val="101"/>
              </w:rPr>
              <w:t xml:space="preserve"> </w:t>
            </w:r>
            <w:r>
              <w:rPr>
                <w:spacing w:val="-1"/>
              </w:rPr>
              <w:t>类</w:t>
            </w:r>
            <w:r>
              <w:rPr>
                <w:rFonts w:ascii="Times New Roman" w:hAnsi="Times New Roman" w:eastAsia="Times New Roman" w:cs="Times New Roman"/>
                <w:spacing w:val="-1"/>
              </w:rPr>
              <w:t>□</w:t>
            </w:r>
          </w:p>
        </w:tc>
        <w:tc>
          <w:tcPr>
            <w:tcW w:w="877" w:type="dxa"/>
            <w:vAlign w:val="top"/>
          </w:tcPr>
          <w:p w14:paraId="31ACA0E0">
            <w:pPr>
              <w:rPr>
                <w:rFonts w:ascii="Arial"/>
                <w:sz w:val="21"/>
              </w:rPr>
            </w:pPr>
          </w:p>
        </w:tc>
      </w:tr>
      <w:tr w14:paraId="785DA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tcBorders>
            <w:textDirection w:val="tbRlV"/>
            <w:vAlign w:val="top"/>
          </w:tcPr>
          <w:p w14:paraId="4D14CD93">
            <w:pPr>
              <w:rPr>
                <w:rFonts w:ascii="Arial"/>
                <w:sz w:val="21"/>
              </w:rPr>
            </w:pPr>
          </w:p>
        </w:tc>
        <w:tc>
          <w:tcPr>
            <w:tcW w:w="1361" w:type="dxa"/>
            <w:vAlign w:val="top"/>
          </w:tcPr>
          <w:p w14:paraId="09E46D97">
            <w:pPr>
              <w:pStyle w:val="6"/>
              <w:spacing w:before="68" w:line="228" w:lineRule="auto"/>
              <w:ind w:left="265"/>
            </w:pPr>
            <w:r>
              <w:rPr>
                <w:spacing w:val="7"/>
              </w:rPr>
              <w:t>敏感程度</w:t>
            </w:r>
          </w:p>
        </w:tc>
        <w:tc>
          <w:tcPr>
            <w:tcW w:w="5868" w:type="dxa"/>
            <w:gridSpan w:val="4"/>
            <w:vAlign w:val="top"/>
          </w:tcPr>
          <w:p w14:paraId="1F9B32D4">
            <w:pPr>
              <w:pStyle w:val="6"/>
              <w:spacing w:before="69" w:line="183" w:lineRule="auto"/>
              <w:ind w:left="1669"/>
              <w:rPr>
                <w:rFonts w:ascii="Times New Roman" w:hAnsi="Times New Roman" w:eastAsia="Times New Roman" w:cs="Times New Roman"/>
              </w:rPr>
            </w:pPr>
            <w:r>
              <w:rPr>
                <w:spacing w:val="4"/>
              </w:rPr>
              <w:t>敏感</w:t>
            </w:r>
            <w:r>
              <w:rPr>
                <w:rFonts w:ascii="微软雅黑" w:hAnsi="微软雅黑" w:eastAsia="微软雅黑" w:cs="微软雅黑"/>
                <w:spacing w:val="4"/>
              </w:rPr>
              <w:t>⑦</w:t>
            </w:r>
            <w:r>
              <w:rPr>
                <w:spacing w:val="4"/>
              </w:rPr>
              <w:t>；较敏感</w:t>
            </w:r>
            <w:r>
              <w:rPr>
                <w:rFonts w:ascii="Times New Roman" w:hAnsi="Times New Roman" w:eastAsia="Times New Roman" w:cs="Times New Roman"/>
                <w:spacing w:val="4"/>
              </w:rPr>
              <w:t>□</w:t>
            </w:r>
            <w:r>
              <w:rPr>
                <w:rFonts w:ascii="Times New Roman" w:hAnsi="Times New Roman" w:eastAsia="Times New Roman" w:cs="Times New Roman"/>
                <w:spacing w:val="-13"/>
              </w:rPr>
              <w:t xml:space="preserve"> </w:t>
            </w:r>
            <w:r>
              <w:rPr>
                <w:spacing w:val="4"/>
              </w:rPr>
              <w:t>；不敏感</w:t>
            </w:r>
            <w:r>
              <w:rPr>
                <w:rFonts w:ascii="Times New Roman" w:hAnsi="Times New Roman" w:eastAsia="Times New Roman" w:cs="Times New Roman"/>
                <w:spacing w:val="4"/>
              </w:rPr>
              <w:t>□</w:t>
            </w:r>
          </w:p>
        </w:tc>
        <w:tc>
          <w:tcPr>
            <w:tcW w:w="877" w:type="dxa"/>
            <w:vAlign w:val="top"/>
          </w:tcPr>
          <w:p w14:paraId="3A0CD728">
            <w:pPr>
              <w:rPr>
                <w:rFonts w:ascii="Arial"/>
                <w:sz w:val="21"/>
              </w:rPr>
            </w:pPr>
          </w:p>
        </w:tc>
      </w:tr>
      <w:tr w14:paraId="53542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90" w:type="dxa"/>
            <w:gridSpan w:val="2"/>
            <w:vAlign w:val="top"/>
          </w:tcPr>
          <w:p w14:paraId="24EAF3AA">
            <w:pPr>
              <w:pStyle w:val="6"/>
              <w:spacing w:before="69" w:line="226" w:lineRule="auto"/>
              <w:ind w:left="220"/>
            </w:pPr>
            <w:r>
              <w:rPr>
                <w:spacing w:val="8"/>
              </w:rPr>
              <w:t>评价工作等级</w:t>
            </w:r>
          </w:p>
        </w:tc>
        <w:tc>
          <w:tcPr>
            <w:tcW w:w="5868" w:type="dxa"/>
            <w:gridSpan w:val="4"/>
            <w:vAlign w:val="top"/>
          </w:tcPr>
          <w:p w14:paraId="2A243462">
            <w:pPr>
              <w:pStyle w:val="6"/>
              <w:spacing w:before="69" w:line="183" w:lineRule="auto"/>
              <w:ind w:left="1777"/>
              <w:rPr>
                <w:rFonts w:ascii="Times New Roman" w:hAnsi="Times New Roman" w:eastAsia="Times New Roman" w:cs="Times New Roman"/>
              </w:rPr>
            </w:pPr>
            <w:r>
              <w:rPr>
                <w:spacing w:val="3"/>
              </w:rPr>
              <w:t>一级</w:t>
            </w:r>
            <w:r>
              <w:rPr>
                <w:rFonts w:ascii="微软雅黑" w:hAnsi="微软雅黑" w:eastAsia="微软雅黑" w:cs="微软雅黑"/>
                <w:spacing w:val="3"/>
              </w:rPr>
              <w:t>⑦</w:t>
            </w:r>
            <w:r>
              <w:rPr>
                <w:spacing w:val="3"/>
              </w:rPr>
              <w:t>；二级</w:t>
            </w:r>
            <w:r>
              <w:rPr>
                <w:rFonts w:ascii="Times New Roman" w:hAnsi="Times New Roman" w:eastAsia="Times New Roman" w:cs="Times New Roman"/>
                <w:spacing w:val="3"/>
              </w:rPr>
              <w:t>□</w:t>
            </w:r>
            <w:r>
              <w:rPr>
                <w:rFonts w:ascii="Times New Roman" w:hAnsi="Times New Roman" w:eastAsia="Times New Roman" w:cs="Times New Roman"/>
                <w:spacing w:val="-19"/>
              </w:rPr>
              <w:t xml:space="preserve"> </w:t>
            </w:r>
            <w:r>
              <w:rPr>
                <w:spacing w:val="3"/>
              </w:rPr>
              <w:t>；三级</w:t>
            </w:r>
            <w:r>
              <w:rPr>
                <w:rFonts w:ascii="Times New Roman" w:hAnsi="Times New Roman" w:eastAsia="Times New Roman" w:cs="Times New Roman"/>
                <w:spacing w:val="3"/>
              </w:rPr>
              <w:t>□</w:t>
            </w:r>
          </w:p>
        </w:tc>
        <w:tc>
          <w:tcPr>
            <w:tcW w:w="877" w:type="dxa"/>
            <w:vAlign w:val="top"/>
          </w:tcPr>
          <w:p w14:paraId="5CB9E1D5">
            <w:pPr>
              <w:rPr>
                <w:rFonts w:ascii="Arial"/>
                <w:sz w:val="21"/>
              </w:rPr>
            </w:pPr>
          </w:p>
        </w:tc>
      </w:tr>
      <w:tr w14:paraId="210B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restart"/>
            <w:tcBorders>
              <w:bottom w:val="nil"/>
            </w:tcBorders>
            <w:textDirection w:val="tbRlV"/>
            <w:vAlign w:val="top"/>
          </w:tcPr>
          <w:p w14:paraId="4CA12A10">
            <w:pPr>
              <w:pStyle w:val="6"/>
              <w:spacing w:before="57" w:line="207" w:lineRule="auto"/>
              <w:ind w:left="1994"/>
            </w:pPr>
            <w:r>
              <w:rPr>
                <w:spacing w:val="6"/>
              </w:rPr>
              <w:t xml:space="preserve">现 状 调 查 </w:t>
            </w:r>
            <w:r>
              <w:rPr>
                <w:spacing w:val="6"/>
                <w:position w:val="1"/>
              </w:rPr>
              <w:t xml:space="preserve">内 </w:t>
            </w:r>
            <w:r>
              <w:rPr>
                <w:spacing w:val="6"/>
              </w:rPr>
              <w:t>容</w:t>
            </w:r>
          </w:p>
        </w:tc>
        <w:tc>
          <w:tcPr>
            <w:tcW w:w="1361" w:type="dxa"/>
            <w:vAlign w:val="top"/>
          </w:tcPr>
          <w:p w14:paraId="20AEEF70">
            <w:pPr>
              <w:pStyle w:val="6"/>
              <w:spacing w:before="67" w:line="226" w:lineRule="auto"/>
              <w:ind w:left="273"/>
            </w:pPr>
            <w:r>
              <w:rPr>
                <w:spacing w:val="5"/>
              </w:rPr>
              <w:t>资料收集</w:t>
            </w:r>
          </w:p>
        </w:tc>
        <w:tc>
          <w:tcPr>
            <w:tcW w:w="5868" w:type="dxa"/>
            <w:gridSpan w:val="4"/>
            <w:vAlign w:val="top"/>
          </w:tcPr>
          <w:p w14:paraId="70698A6B">
            <w:pPr>
              <w:pStyle w:val="6"/>
              <w:spacing w:before="67" w:line="187" w:lineRule="auto"/>
              <w:ind w:left="1737"/>
              <w:rPr>
                <w:rFonts w:ascii="微软雅黑" w:hAnsi="微软雅黑" w:eastAsia="微软雅黑" w:cs="微软雅黑"/>
              </w:rPr>
            </w:pPr>
            <w:r>
              <w:rPr>
                <w:rFonts w:ascii="Times New Roman" w:hAnsi="Times New Roman" w:eastAsia="Times New Roman" w:cs="Times New Roman"/>
                <w:spacing w:val="-2"/>
              </w:rPr>
              <w:t>a)</w:t>
            </w:r>
            <w:r>
              <w:rPr>
                <w:rFonts w:ascii="Times New Roman" w:hAnsi="Times New Roman" w:eastAsia="Times New Roman" w:cs="Times New Roman"/>
                <w:spacing w:val="24"/>
                <w:w w:val="101"/>
              </w:rPr>
              <w:t xml:space="preserve"> </w:t>
            </w:r>
            <w:r>
              <w:rPr>
                <w:rFonts w:ascii="微软雅黑" w:hAnsi="微软雅黑" w:eastAsia="微软雅黑" w:cs="微软雅黑"/>
                <w:spacing w:val="-2"/>
              </w:rPr>
              <w:t>⑦</w:t>
            </w:r>
            <w:r>
              <w:rPr>
                <w:spacing w:val="-2"/>
              </w:rPr>
              <w:t>；</w:t>
            </w:r>
            <w:r>
              <w:rPr>
                <w:rFonts w:ascii="Times New Roman" w:hAnsi="Times New Roman" w:eastAsia="Times New Roman" w:cs="Times New Roman"/>
                <w:spacing w:val="-2"/>
              </w:rPr>
              <w:t>b)</w:t>
            </w:r>
            <w:r>
              <w:rPr>
                <w:rFonts w:ascii="Times New Roman" w:hAnsi="Times New Roman" w:eastAsia="Times New Roman" w:cs="Times New Roman"/>
                <w:spacing w:val="20"/>
                <w:w w:val="101"/>
              </w:rPr>
              <w:t xml:space="preserve"> </w:t>
            </w:r>
            <w:r>
              <w:rPr>
                <w:rFonts w:ascii="微软雅黑" w:hAnsi="微软雅黑" w:eastAsia="微软雅黑" w:cs="微软雅黑"/>
                <w:spacing w:val="-2"/>
              </w:rPr>
              <w:t>⑦</w:t>
            </w:r>
            <w:r>
              <w:rPr>
                <w:spacing w:val="-2"/>
              </w:rPr>
              <w:t>；</w:t>
            </w:r>
            <w:r>
              <w:rPr>
                <w:rFonts w:ascii="Times New Roman" w:hAnsi="Times New Roman" w:eastAsia="Times New Roman" w:cs="Times New Roman"/>
                <w:spacing w:val="-2"/>
              </w:rPr>
              <w:t>c</w:t>
            </w:r>
            <w:r>
              <w:rPr>
                <w:rFonts w:ascii="微软雅黑" w:hAnsi="微软雅黑" w:eastAsia="微软雅黑" w:cs="微软雅黑"/>
                <w:spacing w:val="-2"/>
              </w:rPr>
              <w:t>⑦</w:t>
            </w:r>
            <w:r>
              <w:rPr>
                <w:spacing w:val="-2"/>
              </w:rPr>
              <w:t>；</w:t>
            </w:r>
            <w:r>
              <w:rPr>
                <w:rFonts w:ascii="Times New Roman" w:hAnsi="Times New Roman" w:eastAsia="Times New Roman" w:cs="Times New Roman"/>
                <w:spacing w:val="-2"/>
              </w:rPr>
              <w:t>d)</w:t>
            </w:r>
            <w:r>
              <w:rPr>
                <w:rFonts w:ascii="Times New Roman" w:hAnsi="Times New Roman" w:eastAsia="Times New Roman" w:cs="Times New Roman"/>
                <w:spacing w:val="18"/>
              </w:rPr>
              <w:t xml:space="preserve"> </w:t>
            </w:r>
            <w:r>
              <w:rPr>
                <w:rFonts w:ascii="微软雅黑" w:hAnsi="微软雅黑" w:eastAsia="微软雅黑" w:cs="微软雅黑"/>
                <w:spacing w:val="-2"/>
              </w:rPr>
              <w:t>⑦</w:t>
            </w:r>
          </w:p>
        </w:tc>
        <w:tc>
          <w:tcPr>
            <w:tcW w:w="877" w:type="dxa"/>
            <w:vAlign w:val="top"/>
          </w:tcPr>
          <w:p w14:paraId="3B065CB8">
            <w:pPr>
              <w:rPr>
                <w:rFonts w:ascii="Arial"/>
                <w:sz w:val="21"/>
              </w:rPr>
            </w:pPr>
          </w:p>
        </w:tc>
      </w:tr>
      <w:tr w14:paraId="3BDE4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29" w:type="dxa"/>
            <w:vMerge w:val="continue"/>
            <w:tcBorders>
              <w:top w:val="nil"/>
              <w:bottom w:val="nil"/>
            </w:tcBorders>
            <w:textDirection w:val="tbRlV"/>
            <w:vAlign w:val="top"/>
          </w:tcPr>
          <w:p w14:paraId="6BC321D6">
            <w:pPr>
              <w:rPr>
                <w:rFonts w:ascii="Arial"/>
                <w:sz w:val="21"/>
              </w:rPr>
            </w:pPr>
          </w:p>
        </w:tc>
        <w:tc>
          <w:tcPr>
            <w:tcW w:w="1361" w:type="dxa"/>
            <w:vAlign w:val="top"/>
          </w:tcPr>
          <w:p w14:paraId="378DCE01">
            <w:pPr>
              <w:pStyle w:val="6"/>
              <w:spacing w:before="209" w:line="228" w:lineRule="auto"/>
              <w:ind w:left="267"/>
            </w:pPr>
            <w:r>
              <w:rPr>
                <w:spacing w:val="6"/>
              </w:rPr>
              <w:t>理化性质</w:t>
            </w:r>
          </w:p>
        </w:tc>
        <w:tc>
          <w:tcPr>
            <w:tcW w:w="5868" w:type="dxa"/>
            <w:gridSpan w:val="4"/>
            <w:vAlign w:val="top"/>
          </w:tcPr>
          <w:p w14:paraId="6D3AE51B">
            <w:pPr>
              <w:pStyle w:val="6"/>
              <w:spacing w:before="53" w:line="221" w:lineRule="auto"/>
              <w:jc w:val="right"/>
            </w:pPr>
            <w:r>
              <w:rPr>
                <w:spacing w:val="7"/>
              </w:rPr>
              <w:t>评价范围内土壤颜色以棕色壤土为主，</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值在</w:t>
            </w:r>
            <w:r>
              <w:rPr>
                <w:spacing w:val="-24"/>
              </w:rPr>
              <w:t xml:space="preserve"> </w:t>
            </w:r>
            <w:r>
              <w:rPr>
                <w:rFonts w:ascii="Times New Roman" w:hAnsi="Times New Roman" w:eastAsia="Times New Roman" w:cs="Times New Roman"/>
                <w:spacing w:val="7"/>
              </w:rPr>
              <w:t xml:space="preserve">7.3~7.6 </w:t>
            </w:r>
            <w:r>
              <w:rPr>
                <w:spacing w:val="7"/>
              </w:rPr>
              <w:t>之间，土</w:t>
            </w:r>
          </w:p>
          <w:p w14:paraId="70D81391">
            <w:pPr>
              <w:pStyle w:val="6"/>
              <w:spacing w:before="72" w:line="221" w:lineRule="auto"/>
              <w:ind w:left="321"/>
            </w:pPr>
            <w:r>
              <w:rPr>
                <w:spacing w:val="3"/>
              </w:rPr>
              <w:t>壤容重在</w:t>
            </w:r>
            <w:r>
              <w:rPr>
                <w:spacing w:val="-21"/>
              </w:rPr>
              <w:t xml:space="preserve"> </w:t>
            </w:r>
            <w:r>
              <w:rPr>
                <w:rFonts w:ascii="Times New Roman" w:hAnsi="Times New Roman" w:eastAsia="Times New Roman" w:cs="Times New Roman"/>
                <w:spacing w:val="3"/>
              </w:rPr>
              <w:t>1480~</w:t>
            </w:r>
            <w:r>
              <w:rPr>
                <w:rFonts w:ascii="Times New Roman" w:hAnsi="Times New Roman" w:eastAsia="Times New Roman" w:cs="Times New Roman"/>
                <w:spacing w:val="-23"/>
              </w:rPr>
              <w:t xml:space="preserve"> </w:t>
            </w:r>
            <w:r>
              <w:rPr>
                <w:rFonts w:ascii="Times New Roman" w:hAnsi="Times New Roman" w:eastAsia="Times New Roman" w:cs="Times New Roman"/>
                <w:spacing w:val="3"/>
              </w:rPr>
              <w:t xml:space="preserve">1502 </w:t>
            </w:r>
            <w:r>
              <w:rPr>
                <w:rFonts w:ascii="Times New Roman" w:hAnsi="Times New Roman" w:eastAsia="Times New Roman" w:cs="Times New Roman"/>
              </w:rPr>
              <w:t>kg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6"/>
                <w:position w:val="6"/>
                <w:sz w:val="13"/>
                <w:szCs w:val="13"/>
              </w:rPr>
              <w:t xml:space="preserve"> </w:t>
            </w:r>
            <w:r>
              <w:rPr>
                <w:spacing w:val="3"/>
              </w:rPr>
              <w:t>，孔隙度在</w:t>
            </w:r>
            <w:r>
              <w:rPr>
                <w:spacing w:val="-44"/>
              </w:rPr>
              <w:t xml:space="preserve"> </w:t>
            </w:r>
            <w:r>
              <w:rPr>
                <w:rFonts w:ascii="Times New Roman" w:hAnsi="Times New Roman" w:eastAsia="Times New Roman" w:cs="Times New Roman"/>
                <w:spacing w:val="3"/>
              </w:rPr>
              <w:t>42.</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 xml:space="preserve">11~43.95 </w:t>
            </w:r>
            <w:r>
              <w:rPr>
                <w:spacing w:val="2"/>
              </w:rPr>
              <w:t>之间。</w:t>
            </w:r>
          </w:p>
        </w:tc>
        <w:tc>
          <w:tcPr>
            <w:tcW w:w="877" w:type="dxa"/>
            <w:vAlign w:val="top"/>
          </w:tcPr>
          <w:p w14:paraId="50CC4430">
            <w:pPr>
              <w:pStyle w:val="6"/>
              <w:spacing w:before="209" w:line="227" w:lineRule="auto"/>
              <w:ind w:left="54"/>
              <w:rPr>
                <w:rFonts w:ascii="Times New Roman" w:hAnsi="Times New Roman" w:eastAsia="Times New Roman" w:cs="Times New Roman"/>
              </w:rPr>
            </w:pPr>
            <w:r>
              <w:t>同附录</w:t>
            </w:r>
            <w:r>
              <w:rPr>
                <w:spacing w:val="-40"/>
              </w:rPr>
              <w:t xml:space="preserve"> </w:t>
            </w:r>
            <w:r>
              <w:rPr>
                <w:rFonts w:ascii="Times New Roman" w:hAnsi="Times New Roman" w:eastAsia="Times New Roman" w:cs="Times New Roman"/>
              </w:rPr>
              <w:t>C</w:t>
            </w:r>
          </w:p>
        </w:tc>
      </w:tr>
      <w:tr w14:paraId="4C886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AEAC98A">
            <w:pPr>
              <w:rPr>
                <w:rFonts w:ascii="Arial"/>
                <w:sz w:val="21"/>
              </w:rPr>
            </w:pPr>
          </w:p>
        </w:tc>
        <w:tc>
          <w:tcPr>
            <w:tcW w:w="1361" w:type="dxa"/>
            <w:vMerge w:val="restart"/>
            <w:tcBorders>
              <w:bottom w:val="nil"/>
            </w:tcBorders>
            <w:vAlign w:val="top"/>
          </w:tcPr>
          <w:p w14:paraId="3D74ACA5">
            <w:pPr>
              <w:spacing w:line="245" w:lineRule="auto"/>
              <w:rPr>
                <w:rFonts w:ascii="Arial"/>
                <w:sz w:val="21"/>
              </w:rPr>
            </w:pPr>
          </w:p>
          <w:p w14:paraId="193571E0">
            <w:pPr>
              <w:spacing w:line="245" w:lineRule="auto"/>
              <w:rPr>
                <w:rFonts w:ascii="Arial"/>
                <w:sz w:val="21"/>
              </w:rPr>
            </w:pPr>
          </w:p>
          <w:p w14:paraId="6510D5DF">
            <w:pPr>
              <w:pStyle w:val="6"/>
              <w:spacing w:before="65" w:line="228" w:lineRule="auto"/>
              <w:ind w:left="55"/>
            </w:pPr>
            <w:r>
              <w:rPr>
                <w:spacing w:val="7"/>
              </w:rPr>
              <w:t>现状监测点位</w:t>
            </w:r>
          </w:p>
        </w:tc>
        <w:tc>
          <w:tcPr>
            <w:tcW w:w="1225" w:type="dxa"/>
            <w:vAlign w:val="top"/>
          </w:tcPr>
          <w:p w14:paraId="25A436E6">
            <w:pPr>
              <w:rPr>
                <w:rFonts w:ascii="Arial"/>
                <w:sz w:val="21"/>
              </w:rPr>
            </w:pPr>
          </w:p>
        </w:tc>
        <w:tc>
          <w:tcPr>
            <w:tcW w:w="1095" w:type="dxa"/>
            <w:vAlign w:val="top"/>
          </w:tcPr>
          <w:p w14:paraId="5E8C2B55">
            <w:pPr>
              <w:pStyle w:val="6"/>
              <w:spacing w:before="66" w:line="228" w:lineRule="auto"/>
              <w:ind w:left="62"/>
            </w:pPr>
            <w:r>
              <w:rPr>
                <w:spacing w:val="1"/>
              </w:rPr>
              <w:t>占地范围内</w:t>
            </w:r>
          </w:p>
        </w:tc>
        <w:tc>
          <w:tcPr>
            <w:tcW w:w="1102" w:type="dxa"/>
            <w:vAlign w:val="top"/>
          </w:tcPr>
          <w:p w14:paraId="4057F04C">
            <w:pPr>
              <w:pStyle w:val="6"/>
              <w:spacing w:before="67" w:line="228" w:lineRule="auto"/>
              <w:ind w:left="66"/>
            </w:pPr>
            <w:r>
              <w:rPr>
                <w:spacing w:val="1"/>
              </w:rPr>
              <w:t>占地范围外</w:t>
            </w:r>
          </w:p>
        </w:tc>
        <w:tc>
          <w:tcPr>
            <w:tcW w:w="2446" w:type="dxa"/>
            <w:vAlign w:val="top"/>
          </w:tcPr>
          <w:p w14:paraId="6858356D">
            <w:pPr>
              <w:pStyle w:val="6"/>
              <w:spacing w:before="67" w:line="228" w:lineRule="auto"/>
              <w:ind w:left="1020"/>
            </w:pPr>
            <w:r>
              <w:rPr>
                <w:spacing w:val="4"/>
              </w:rPr>
              <w:t>深度</w:t>
            </w:r>
          </w:p>
        </w:tc>
        <w:tc>
          <w:tcPr>
            <w:tcW w:w="877" w:type="dxa"/>
            <w:vMerge w:val="restart"/>
            <w:tcBorders>
              <w:bottom w:val="nil"/>
            </w:tcBorders>
            <w:vAlign w:val="top"/>
          </w:tcPr>
          <w:p w14:paraId="75045F6E">
            <w:pPr>
              <w:spacing w:line="336" w:lineRule="auto"/>
              <w:rPr>
                <w:rFonts w:ascii="Arial"/>
                <w:sz w:val="21"/>
              </w:rPr>
            </w:pPr>
          </w:p>
          <w:p w14:paraId="6D8E7AD9">
            <w:pPr>
              <w:pStyle w:val="6"/>
              <w:spacing w:before="65" w:line="227" w:lineRule="auto"/>
              <w:ind w:left="35"/>
            </w:pPr>
            <w:r>
              <w:rPr>
                <w:spacing w:val="4"/>
              </w:rPr>
              <w:t>点位布置</w:t>
            </w:r>
          </w:p>
          <w:p w14:paraId="3D59A1D8">
            <w:pPr>
              <w:pStyle w:val="6"/>
              <w:spacing w:before="66" w:line="229" w:lineRule="auto"/>
              <w:ind w:left="359"/>
            </w:pPr>
            <w:r>
              <w:t>图</w:t>
            </w:r>
          </w:p>
        </w:tc>
      </w:tr>
      <w:tr w14:paraId="0B3D2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748732E7">
            <w:pPr>
              <w:rPr>
                <w:rFonts w:ascii="Arial"/>
                <w:sz w:val="21"/>
              </w:rPr>
            </w:pPr>
          </w:p>
        </w:tc>
        <w:tc>
          <w:tcPr>
            <w:tcW w:w="1361" w:type="dxa"/>
            <w:vMerge w:val="continue"/>
            <w:tcBorders>
              <w:top w:val="nil"/>
              <w:bottom w:val="nil"/>
            </w:tcBorders>
            <w:vAlign w:val="top"/>
          </w:tcPr>
          <w:p w14:paraId="21185B62">
            <w:pPr>
              <w:rPr>
                <w:rFonts w:ascii="Arial"/>
                <w:sz w:val="21"/>
              </w:rPr>
            </w:pPr>
          </w:p>
        </w:tc>
        <w:tc>
          <w:tcPr>
            <w:tcW w:w="1225" w:type="dxa"/>
            <w:vAlign w:val="top"/>
          </w:tcPr>
          <w:p w14:paraId="267D5984">
            <w:pPr>
              <w:pStyle w:val="6"/>
              <w:spacing w:before="67" w:line="227" w:lineRule="auto"/>
              <w:ind w:left="90"/>
            </w:pPr>
            <w:r>
              <w:rPr>
                <w:spacing w:val="8"/>
              </w:rPr>
              <w:t>表层样点数</w:t>
            </w:r>
          </w:p>
        </w:tc>
        <w:tc>
          <w:tcPr>
            <w:tcW w:w="1095" w:type="dxa"/>
            <w:vAlign w:val="top"/>
          </w:tcPr>
          <w:p w14:paraId="1D388388">
            <w:pPr>
              <w:spacing w:before="103" w:line="195" w:lineRule="auto"/>
              <w:ind w:left="49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02" w:type="dxa"/>
            <w:vAlign w:val="top"/>
          </w:tcPr>
          <w:p w14:paraId="3630BBC0">
            <w:pPr>
              <w:spacing w:before="103"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46" w:type="dxa"/>
            <w:vAlign w:val="top"/>
          </w:tcPr>
          <w:p w14:paraId="60F6F0BF">
            <w:pPr>
              <w:spacing w:before="103" w:line="195" w:lineRule="auto"/>
              <w:ind w:left="9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0~0.2m</w:t>
            </w:r>
          </w:p>
        </w:tc>
        <w:tc>
          <w:tcPr>
            <w:tcW w:w="877" w:type="dxa"/>
            <w:vMerge w:val="continue"/>
            <w:tcBorders>
              <w:top w:val="nil"/>
              <w:bottom w:val="nil"/>
            </w:tcBorders>
            <w:vAlign w:val="top"/>
          </w:tcPr>
          <w:p w14:paraId="43C7F9D2">
            <w:pPr>
              <w:rPr>
                <w:rFonts w:ascii="Arial"/>
                <w:sz w:val="21"/>
              </w:rPr>
            </w:pPr>
          </w:p>
        </w:tc>
      </w:tr>
      <w:tr w14:paraId="6998C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29" w:type="dxa"/>
            <w:vMerge w:val="continue"/>
            <w:tcBorders>
              <w:top w:val="nil"/>
              <w:bottom w:val="nil"/>
            </w:tcBorders>
            <w:textDirection w:val="tbRlV"/>
            <w:vAlign w:val="top"/>
          </w:tcPr>
          <w:p w14:paraId="689578F3">
            <w:pPr>
              <w:rPr>
                <w:rFonts w:ascii="Arial"/>
                <w:sz w:val="21"/>
              </w:rPr>
            </w:pPr>
          </w:p>
        </w:tc>
        <w:tc>
          <w:tcPr>
            <w:tcW w:w="1361" w:type="dxa"/>
            <w:vMerge w:val="continue"/>
            <w:tcBorders>
              <w:top w:val="nil"/>
            </w:tcBorders>
            <w:vAlign w:val="top"/>
          </w:tcPr>
          <w:p w14:paraId="17B6830C">
            <w:pPr>
              <w:rPr>
                <w:rFonts w:ascii="Arial"/>
                <w:sz w:val="21"/>
              </w:rPr>
            </w:pPr>
          </w:p>
        </w:tc>
        <w:tc>
          <w:tcPr>
            <w:tcW w:w="1225" w:type="dxa"/>
            <w:vAlign w:val="top"/>
          </w:tcPr>
          <w:p w14:paraId="7674FADF">
            <w:pPr>
              <w:pStyle w:val="6"/>
              <w:spacing w:before="209" w:line="228" w:lineRule="auto"/>
              <w:ind w:left="91"/>
            </w:pPr>
            <w:r>
              <w:rPr>
                <w:spacing w:val="8"/>
              </w:rPr>
              <w:t>柱状样点数</w:t>
            </w:r>
          </w:p>
        </w:tc>
        <w:tc>
          <w:tcPr>
            <w:tcW w:w="1095" w:type="dxa"/>
            <w:vAlign w:val="top"/>
          </w:tcPr>
          <w:p w14:paraId="423FF0C2">
            <w:pPr>
              <w:spacing w:before="248" w:line="192"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02" w:type="dxa"/>
            <w:vAlign w:val="top"/>
          </w:tcPr>
          <w:p w14:paraId="07AAFC48">
            <w:pPr>
              <w:spacing w:before="241" w:line="199"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6" w:type="dxa"/>
            <w:vAlign w:val="top"/>
          </w:tcPr>
          <w:p w14:paraId="0E2906A4">
            <w:pPr>
              <w:pStyle w:val="6"/>
              <w:spacing w:before="89" w:line="186" w:lineRule="auto"/>
              <w:ind w:left="295"/>
            </w:pPr>
            <w:r>
              <w:rPr>
                <w:rFonts w:ascii="Times New Roman" w:hAnsi="Times New Roman" w:eastAsia="Times New Roman" w:cs="Times New Roman"/>
                <w:spacing w:val="1"/>
              </w:rPr>
              <w:t>0~0.5m</w:t>
            </w:r>
            <w:r>
              <w:rPr>
                <w:rFonts w:ascii="Times New Roman" w:hAnsi="Times New Roman" w:eastAsia="Times New Roman" w:cs="Times New Roman"/>
                <w:spacing w:val="-19"/>
              </w:rPr>
              <w:t xml:space="preserve"> </w:t>
            </w:r>
            <w:r>
              <w:rPr>
                <w:spacing w:val="1"/>
              </w:rPr>
              <w:t>，</w:t>
            </w:r>
            <w:r>
              <w:rPr>
                <w:rFonts w:ascii="Times New Roman" w:hAnsi="Times New Roman" w:eastAsia="Times New Roman" w:cs="Times New Roman"/>
                <w:spacing w:val="1"/>
              </w:rPr>
              <w:t>0.5~</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1.5m</w:t>
            </w:r>
            <w:r>
              <w:rPr>
                <w:spacing w:val="1"/>
              </w:rPr>
              <w:t>，</w:t>
            </w:r>
          </w:p>
          <w:p w14:paraId="2802095B">
            <w:pPr>
              <w:spacing w:before="110"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877" w:type="dxa"/>
            <w:vMerge w:val="continue"/>
            <w:tcBorders>
              <w:top w:val="nil"/>
            </w:tcBorders>
            <w:vAlign w:val="top"/>
          </w:tcPr>
          <w:p w14:paraId="5E4EC02F">
            <w:pPr>
              <w:rPr>
                <w:rFonts w:ascii="Arial"/>
                <w:sz w:val="21"/>
              </w:rPr>
            </w:pPr>
          </w:p>
        </w:tc>
      </w:tr>
      <w:tr w14:paraId="6C15D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329" w:type="dxa"/>
            <w:vMerge w:val="continue"/>
            <w:tcBorders>
              <w:top w:val="nil"/>
            </w:tcBorders>
            <w:textDirection w:val="tbRlV"/>
            <w:vAlign w:val="top"/>
          </w:tcPr>
          <w:p w14:paraId="519F8C16">
            <w:pPr>
              <w:rPr>
                <w:rFonts w:ascii="Arial"/>
                <w:sz w:val="21"/>
              </w:rPr>
            </w:pPr>
          </w:p>
        </w:tc>
        <w:tc>
          <w:tcPr>
            <w:tcW w:w="1361" w:type="dxa"/>
            <w:vAlign w:val="top"/>
          </w:tcPr>
          <w:p w14:paraId="1DBF3219">
            <w:pPr>
              <w:spacing w:line="256" w:lineRule="auto"/>
              <w:rPr>
                <w:rFonts w:ascii="Arial"/>
                <w:sz w:val="21"/>
              </w:rPr>
            </w:pPr>
          </w:p>
          <w:p w14:paraId="6DC894A5">
            <w:pPr>
              <w:spacing w:line="256" w:lineRule="auto"/>
              <w:rPr>
                <w:rFonts w:ascii="Arial"/>
                <w:sz w:val="21"/>
              </w:rPr>
            </w:pPr>
          </w:p>
          <w:p w14:paraId="31A4410D">
            <w:pPr>
              <w:spacing w:line="256" w:lineRule="auto"/>
              <w:rPr>
                <w:rFonts w:ascii="Arial"/>
                <w:sz w:val="21"/>
              </w:rPr>
            </w:pPr>
          </w:p>
          <w:p w14:paraId="138C68F7">
            <w:pPr>
              <w:spacing w:line="256" w:lineRule="auto"/>
              <w:rPr>
                <w:rFonts w:ascii="Arial"/>
                <w:sz w:val="21"/>
              </w:rPr>
            </w:pPr>
          </w:p>
          <w:p w14:paraId="15D72BAB">
            <w:pPr>
              <w:spacing w:line="257" w:lineRule="auto"/>
              <w:rPr>
                <w:rFonts w:ascii="Arial"/>
                <w:sz w:val="21"/>
              </w:rPr>
            </w:pPr>
          </w:p>
          <w:p w14:paraId="44192F47">
            <w:pPr>
              <w:spacing w:line="257" w:lineRule="auto"/>
              <w:rPr>
                <w:rFonts w:ascii="Arial"/>
                <w:sz w:val="21"/>
              </w:rPr>
            </w:pPr>
          </w:p>
          <w:p w14:paraId="6CFCDA4C">
            <w:pPr>
              <w:pStyle w:val="6"/>
              <w:spacing w:before="65" w:line="228" w:lineRule="auto"/>
              <w:ind w:left="55"/>
            </w:pPr>
            <w:r>
              <w:rPr>
                <w:spacing w:val="7"/>
              </w:rPr>
              <w:t>现状监测因子</w:t>
            </w:r>
          </w:p>
        </w:tc>
        <w:tc>
          <w:tcPr>
            <w:tcW w:w="5868" w:type="dxa"/>
            <w:gridSpan w:val="4"/>
            <w:vAlign w:val="top"/>
          </w:tcPr>
          <w:p w14:paraId="58CF9898">
            <w:pPr>
              <w:pStyle w:val="6"/>
              <w:spacing w:before="50" w:line="287" w:lineRule="auto"/>
              <w:ind w:left="9" w:firstLine="3"/>
            </w:pPr>
            <w:r>
              <w:rPr>
                <w:spacing w:val="7"/>
              </w:rPr>
              <w:t>建设用地：</w:t>
            </w:r>
            <w:r>
              <w:rPr>
                <w:rFonts w:ascii="Times New Roman" w:hAnsi="Times New Roman" w:eastAsia="Times New Roman" w:cs="Times New Roman"/>
                <w:spacing w:val="7"/>
              </w:rPr>
              <w:t xml:space="preserve">45 </w:t>
            </w:r>
            <w:r>
              <w:rPr>
                <w:spacing w:val="7"/>
              </w:rPr>
              <w:t>项基本项目：汞、砷、镉</w:t>
            </w:r>
            <w:r>
              <w:rPr>
                <w:spacing w:val="6"/>
              </w:rPr>
              <w:t>、铅、铬（六价）、铜、</w:t>
            </w:r>
            <w:r>
              <w:t xml:space="preserve"> 镍、四氯化碳、氯仿、氯甲烷、</w:t>
            </w:r>
            <w:r>
              <w:rPr>
                <w:rFonts w:ascii="Times New Roman" w:hAnsi="Times New Roman" w:eastAsia="Times New Roman" w:cs="Times New Roman"/>
              </w:rPr>
              <w:t>1,</w:t>
            </w:r>
            <w:r>
              <w:rPr>
                <w:rFonts w:ascii="Times New Roman" w:hAnsi="Times New Roman" w:eastAsia="Times New Roman" w:cs="Times New Roman"/>
                <w:spacing w:val="-25"/>
              </w:rPr>
              <w:t xml:space="preserve"> </w:t>
            </w:r>
            <w:r>
              <w:rPr>
                <w:rFonts w:ascii="Times New Roman" w:hAnsi="Times New Roman" w:eastAsia="Times New Roman" w:cs="Times New Roman"/>
              </w:rPr>
              <w:t>1-</w:t>
            </w:r>
            <w:r>
              <w:t>二氯乙</w:t>
            </w:r>
            <w:r>
              <w:rPr>
                <w:spacing w:val="-1"/>
              </w:rPr>
              <w:t>烷、</w:t>
            </w:r>
            <w:r>
              <w:rPr>
                <w:rFonts w:ascii="Times New Roman" w:hAnsi="Times New Roman" w:eastAsia="Times New Roman" w:cs="Times New Roman"/>
                <w:spacing w:val="-1"/>
              </w:rPr>
              <w:t>1,2-</w:t>
            </w:r>
            <w:r>
              <w:rPr>
                <w:spacing w:val="-1"/>
              </w:rPr>
              <w:t>二氯乙烷、</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8"/>
              </w:rPr>
              <w:t>二氯乙烯、顺</w:t>
            </w:r>
            <w:r>
              <w:rPr>
                <w:rFonts w:ascii="Times New Roman" w:hAnsi="Times New Roman" w:eastAsia="Times New Roman" w:cs="Times New Roman"/>
                <w:spacing w:val="8"/>
              </w:rPr>
              <w:t>-1,2-</w:t>
            </w:r>
            <w:r>
              <w:rPr>
                <w:spacing w:val="8"/>
              </w:rPr>
              <w:t>二氯乙烯、反</w:t>
            </w:r>
            <w:r>
              <w:rPr>
                <w:rFonts w:ascii="Times New Roman" w:hAnsi="Times New Roman" w:eastAsia="Times New Roman" w:cs="Times New Roman"/>
                <w:spacing w:val="8"/>
              </w:rPr>
              <w:t>-1,2-</w:t>
            </w:r>
            <w:r>
              <w:rPr>
                <w:spacing w:val="8"/>
              </w:rPr>
              <w:t>二氯乙烯、二氯甲烷、</w:t>
            </w:r>
            <w:r>
              <w:rPr>
                <w:rFonts w:ascii="Times New Roman" w:hAnsi="Times New Roman" w:eastAsia="Times New Roman" w:cs="Times New Roman"/>
                <w:spacing w:val="8"/>
              </w:rPr>
              <w:t>1,2-</w:t>
            </w:r>
            <w:r>
              <w:rPr>
                <w:rFonts w:ascii="Times New Roman" w:hAnsi="Times New Roman" w:eastAsia="Times New Roman" w:cs="Times New Roman"/>
                <w:spacing w:val="7"/>
              </w:rPr>
              <w:t xml:space="preserve">  </w:t>
            </w:r>
            <w:r>
              <w:rPr>
                <w:spacing w:val="-1"/>
              </w:rPr>
              <w:t>二氯丙烷、</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r>
              <w:rPr>
                <w:rFonts w:ascii="Times New Roman" w:hAnsi="Times New Roman" w:eastAsia="Times New Roman" w:cs="Times New Roman"/>
                <w:spacing w:val="-1"/>
              </w:rPr>
              <w:t>1,</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1,2,2-</w:t>
            </w:r>
            <w:r>
              <w:rPr>
                <w:spacing w:val="-1"/>
              </w:rPr>
              <w:t>四氯乙烷、四氯乙烯、</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3"/>
              </w:rPr>
              <w:t>三氯乙烷、</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1,2-</w:t>
            </w:r>
            <w:r>
              <w:rPr>
                <w:spacing w:val="3"/>
              </w:rPr>
              <w:t>三氯乙烷、三氯乙烯、</w:t>
            </w:r>
            <w:r>
              <w:rPr>
                <w:rFonts w:ascii="Times New Roman" w:hAnsi="Times New Roman" w:eastAsia="Times New Roman" w:cs="Times New Roman"/>
                <w:spacing w:val="3"/>
              </w:rPr>
              <w:t>1</w:t>
            </w:r>
            <w:r>
              <w:rPr>
                <w:rFonts w:ascii="Times New Roman" w:hAnsi="Times New Roman" w:eastAsia="Times New Roman" w:cs="Times New Roman"/>
                <w:spacing w:val="2"/>
              </w:rPr>
              <w:t>,2,3-</w:t>
            </w:r>
            <w:r>
              <w:rPr>
                <w:spacing w:val="2"/>
              </w:rPr>
              <w:t>三氯丙烷、氯乙烯、</w:t>
            </w:r>
            <w:r>
              <w:t xml:space="preserve"> </w:t>
            </w:r>
            <w:r>
              <w:rPr>
                <w:spacing w:val="4"/>
              </w:rPr>
              <w:t>苯、氯苯、</w:t>
            </w:r>
            <w:r>
              <w:rPr>
                <w:rFonts w:ascii="Times New Roman" w:hAnsi="Times New Roman" w:eastAsia="Times New Roman" w:cs="Times New Roman"/>
                <w:spacing w:val="4"/>
              </w:rPr>
              <w:t>1,2-</w:t>
            </w:r>
            <w:r>
              <w:rPr>
                <w:spacing w:val="4"/>
              </w:rPr>
              <w:t>二氯苯、</w:t>
            </w:r>
            <w:r>
              <w:rPr>
                <w:rFonts w:ascii="Times New Roman" w:hAnsi="Times New Roman" w:eastAsia="Times New Roman" w:cs="Times New Roman"/>
                <w:spacing w:val="4"/>
              </w:rPr>
              <w:t>1,4-</w:t>
            </w:r>
            <w:r>
              <w:rPr>
                <w:spacing w:val="4"/>
              </w:rPr>
              <w:t>二氯苯、乙苯、苯乙烯、甲苯、间二</w:t>
            </w:r>
            <w:r>
              <w:rPr>
                <w:spacing w:val="17"/>
              </w:rPr>
              <w:t xml:space="preserve"> </w:t>
            </w:r>
            <w:r>
              <w:rPr>
                <w:spacing w:val="5"/>
              </w:rPr>
              <w:t>甲苯</w:t>
            </w:r>
            <w:r>
              <w:rPr>
                <w:rFonts w:ascii="Times New Roman" w:hAnsi="Times New Roman" w:eastAsia="Times New Roman" w:cs="Times New Roman"/>
                <w:spacing w:val="5"/>
              </w:rPr>
              <w:t>+</w:t>
            </w:r>
            <w:r>
              <w:rPr>
                <w:spacing w:val="5"/>
              </w:rPr>
              <w:t>对二甲苯、邻二甲苯、硝基苯、苯胺、</w:t>
            </w:r>
            <w:r>
              <w:rPr>
                <w:rFonts w:ascii="Times New Roman" w:hAnsi="Times New Roman" w:eastAsia="Times New Roman" w:cs="Times New Roman"/>
                <w:spacing w:val="5"/>
              </w:rPr>
              <w:t>2-</w:t>
            </w:r>
            <w:r>
              <w:rPr>
                <w:spacing w:val="5"/>
              </w:rPr>
              <w:t>氯</w:t>
            </w:r>
            <w:r>
              <w:rPr>
                <w:spacing w:val="4"/>
              </w:rPr>
              <w:t>酚、苯并</w:t>
            </w:r>
            <w:r>
              <w:rPr>
                <w:rFonts w:ascii="Times New Roman" w:hAnsi="Times New Roman" w:eastAsia="Times New Roman" w:cs="Times New Roman"/>
                <w:spacing w:val="4"/>
              </w:rPr>
              <w:t>[a]</w:t>
            </w:r>
            <w:r>
              <w:rPr>
                <w:spacing w:val="4"/>
              </w:rPr>
              <w:t>蒽、</w:t>
            </w:r>
            <w:r>
              <w:t xml:space="preserve"> </w:t>
            </w:r>
            <w:r>
              <w:rPr>
                <w:spacing w:val="3"/>
              </w:rPr>
              <w:t>苯并</w:t>
            </w:r>
            <w:r>
              <w:rPr>
                <w:rFonts w:ascii="Times New Roman" w:hAnsi="Times New Roman" w:eastAsia="Times New Roman" w:cs="Times New Roman"/>
                <w:spacing w:val="3"/>
              </w:rPr>
              <w:t>[a]</w:t>
            </w:r>
            <w:r>
              <w:rPr>
                <w:spacing w:val="3"/>
              </w:rPr>
              <w:t>芘、苯并</w:t>
            </w:r>
            <w:r>
              <w:rPr>
                <w:rFonts w:ascii="Times New Roman" w:hAnsi="Times New Roman" w:eastAsia="Times New Roman" w:cs="Times New Roman"/>
                <w:spacing w:val="3"/>
              </w:rPr>
              <w:t>[b]</w:t>
            </w:r>
            <w:r>
              <w:rPr>
                <w:spacing w:val="3"/>
              </w:rPr>
              <w:t>荧蒽、苯并</w:t>
            </w:r>
            <w:r>
              <w:rPr>
                <w:rFonts w:ascii="Times New Roman" w:hAnsi="Times New Roman" w:eastAsia="Times New Roman" w:cs="Times New Roman"/>
                <w:spacing w:val="3"/>
              </w:rPr>
              <w:t>[k]</w:t>
            </w:r>
            <w:r>
              <w:rPr>
                <w:spacing w:val="3"/>
              </w:rPr>
              <w:t>荧蒽、䓛、二苯并</w:t>
            </w:r>
            <w:r>
              <w:rPr>
                <w:rFonts w:ascii="Times New Roman" w:hAnsi="Times New Roman" w:eastAsia="Times New Roman" w:cs="Times New Roman"/>
                <w:spacing w:val="3"/>
              </w:rPr>
              <w:t>[a,h]</w:t>
            </w:r>
            <w:r>
              <w:rPr>
                <w:spacing w:val="3"/>
              </w:rPr>
              <w:t>蒽、茚并</w:t>
            </w:r>
            <w:r>
              <w:rPr>
                <w:spacing w:val="11"/>
              </w:rPr>
              <w:t xml:space="preserve"> </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芘、萘；特征因子：砷，石油烃；</w:t>
            </w:r>
          </w:p>
          <w:p w14:paraId="1B57FE71">
            <w:pPr>
              <w:pStyle w:val="6"/>
              <w:spacing w:before="12" w:line="227" w:lineRule="auto"/>
              <w:jc w:val="right"/>
            </w:pPr>
            <w:r>
              <w:t>农用地：</w:t>
            </w:r>
            <w:r>
              <w:rPr>
                <w:rFonts w:ascii="Times New Roman" w:hAnsi="Times New Roman" w:eastAsia="Times New Roman" w:cs="Times New Roman"/>
              </w:rPr>
              <w:t>9</w:t>
            </w:r>
            <w:r>
              <w:rPr>
                <w:rFonts w:ascii="Times New Roman" w:hAnsi="Times New Roman" w:eastAsia="Times New Roman" w:cs="Times New Roman"/>
                <w:spacing w:val="21"/>
              </w:rPr>
              <w:t xml:space="preserve"> </w:t>
            </w:r>
            <w:r>
              <w:t>项基本项目：</w:t>
            </w:r>
            <w:r>
              <w:rPr>
                <w:rFonts w:ascii="Times New Roman" w:hAnsi="Times New Roman" w:eastAsia="Times New Roman" w:cs="Times New Roman"/>
              </w:rPr>
              <w:t>PH</w:t>
            </w:r>
            <w:r>
              <w:rPr>
                <w:rFonts w:ascii="Times New Roman" w:hAnsi="Times New Roman" w:eastAsia="Times New Roman" w:cs="Times New Roman"/>
                <w:spacing w:val="-25"/>
              </w:rPr>
              <w:t xml:space="preserve"> </w:t>
            </w:r>
            <w:r>
              <w:t>、汞、砷、铅、镉、铬、铜、镍、锌；</w:t>
            </w:r>
          </w:p>
          <w:p w14:paraId="6629B54F">
            <w:pPr>
              <w:pStyle w:val="6"/>
              <w:spacing w:before="65" w:line="228" w:lineRule="auto"/>
              <w:ind w:left="9"/>
            </w:pPr>
            <w:r>
              <w:rPr>
                <w:spacing w:val="7"/>
              </w:rPr>
              <w:t>特征因子：石油烃。</w:t>
            </w:r>
          </w:p>
        </w:tc>
        <w:tc>
          <w:tcPr>
            <w:tcW w:w="877" w:type="dxa"/>
            <w:vAlign w:val="top"/>
          </w:tcPr>
          <w:p w14:paraId="0B09857A">
            <w:pPr>
              <w:rPr>
                <w:rFonts w:ascii="Arial"/>
                <w:sz w:val="21"/>
              </w:rPr>
            </w:pPr>
          </w:p>
        </w:tc>
      </w:tr>
      <w:tr w14:paraId="2689B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329" w:type="dxa"/>
            <w:textDirection w:val="tbRlV"/>
            <w:vAlign w:val="top"/>
          </w:tcPr>
          <w:p w14:paraId="75E2D25C">
            <w:pPr>
              <w:pStyle w:val="6"/>
              <w:spacing w:before="57" w:line="215" w:lineRule="auto"/>
              <w:ind w:left="213"/>
            </w:pPr>
            <w:r>
              <w:rPr>
                <w:spacing w:val="6"/>
              </w:rPr>
              <w:t>现 状 评 价</w:t>
            </w:r>
          </w:p>
        </w:tc>
        <w:tc>
          <w:tcPr>
            <w:tcW w:w="1361" w:type="dxa"/>
            <w:vAlign w:val="top"/>
          </w:tcPr>
          <w:p w14:paraId="589D891F">
            <w:pPr>
              <w:spacing w:line="306" w:lineRule="auto"/>
              <w:rPr>
                <w:rFonts w:ascii="Arial"/>
                <w:sz w:val="21"/>
              </w:rPr>
            </w:pPr>
          </w:p>
          <w:p w14:paraId="6D44B70D">
            <w:pPr>
              <w:spacing w:line="306" w:lineRule="auto"/>
              <w:rPr>
                <w:rFonts w:ascii="Arial"/>
                <w:sz w:val="21"/>
              </w:rPr>
            </w:pPr>
          </w:p>
          <w:p w14:paraId="43971686">
            <w:pPr>
              <w:pStyle w:val="6"/>
              <w:spacing w:before="65" w:line="226" w:lineRule="auto"/>
              <w:ind w:left="263"/>
            </w:pPr>
            <w:r>
              <w:rPr>
                <w:spacing w:val="7"/>
              </w:rPr>
              <w:t>评价因子</w:t>
            </w:r>
          </w:p>
        </w:tc>
        <w:tc>
          <w:tcPr>
            <w:tcW w:w="5868" w:type="dxa"/>
            <w:gridSpan w:val="4"/>
            <w:vAlign w:val="top"/>
          </w:tcPr>
          <w:p w14:paraId="5D33B0A1">
            <w:pPr>
              <w:pStyle w:val="6"/>
              <w:spacing w:before="56" w:line="277" w:lineRule="auto"/>
              <w:ind w:left="9" w:firstLine="3"/>
              <w:jc w:val="both"/>
            </w:pPr>
            <w:r>
              <w:rPr>
                <w:spacing w:val="7"/>
              </w:rPr>
              <w:t>建设用地：</w:t>
            </w:r>
            <w:r>
              <w:rPr>
                <w:rFonts w:ascii="Times New Roman" w:hAnsi="Times New Roman" w:eastAsia="Times New Roman" w:cs="Times New Roman"/>
                <w:spacing w:val="7"/>
              </w:rPr>
              <w:t xml:space="preserve">45 </w:t>
            </w:r>
            <w:r>
              <w:rPr>
                <w:spacing w:val="7"/>
              </w:rPr>
              <w:t>项基本项目：汞、砷、镉</w:t>
            </w:r>
            <w:r>
              <w:rPr>
                <w:spacing w:val="6"/>
              </w:rPr>
              <w:t>、铅、铬（六价）、铜、</w:t>
            </w:r>
            <w:r>
              <w:t xml:space="preserve"> 镍、四氯化碳、氯仿、氯甲烷、</w:t>
            </w:r>
            <w:r>
              <w:rPr>
                <w:rFonts w:ascii="Times New Roman" w:hAnsi="Times New Roman" w:eastAsia="Times New Roman" w:cs="Times New Roman"/>
              </w:rPr>
              <w:t>1,</w:t>
            </w:r>
            <w:r>
              <w:rPr>
                <w:rFonts w:ascii="Times New Roman" w:hAnsi="Times New Roman" w:eastAsia="Times New Roman" w:cs="Times New Roman"/>
                <w:spacing w:val="-25"/>
              </w:rPr>
              <w:t xml:space="preserve"> </w:t>
            </w:r>
            <w:r>
              <w:rPr>
                <w:rFonts w:ascii="Times New Roman" w:hAnsi="Times New Roman" w:eastAsia="Times New Roman" w:cs="Times New Roman"/>
              </w:rPr>
              <w:t>1-</w:t>
            </w:r>
            <w:r>
              <w:t>二氯乙</w:t>
            </w:r>
            <w:r>
              <w:rPr>
                <w:spacing w:val="-1"/>
              </w:rPr>
              <w:t>烷、</w:t>
            </w:r>
            <w:r>
              <w:rPr>
                <w:rFonts w:ascii="Times New Roman" w:hAnsi="Times New Roman" w:eastAsia="Times New Roman" w:cs="Times New Roman"/>
                <w:spacing w:val="-1"/>
              </w:rPr>
              <w:t>1,2-</w:t>
            </w:r>
            <w:r>
              <w:rPr>
                <w:spacing w:val="-1"/>
              </w:rPr>
              <w:t>二氯乙烷、</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8"/>
              </w:rPr>
              <w:t>二氯乙烯、顺</w:t>
            </w:r>
            <w:r>
              <w:rPr>
                <w:rFonts w:ascii="Times New Roman" w:hAnsi="Times New Roman" w:eastAsia="Times New Roman" w:cs="Times New Roman"/>
                <w:spacing w:val="8"/>
              </w:rPr>
              <w:t>-1,2-</w:t>
            </w:r>
            <w:r>
              <w:rPr>
                <w:spacing w:val="8"/>
              </w:rPr>
              <w:t>二氯乙烯、反</w:t>
            </w:r>
            <w:r>
              <w:rPr>
                <w:rFonts w:ascii="Times New Roman" w:hAnsi="Times New Roman" w:eastAsia="Times New Roman" w:cs="Times New Roman"/>
                <w:spacing w:val="8"/>
              </w:rPr>
              <w:t>-1,2-</w:t>
            </w:r>
            <w:r>
              <w:rPr>
                <w:spacing w:val="8"/>
              </w:rPr>
              <w:t>二氯乙烯、二氯甲烷、</w:t>
            </w:r>
            <w:r>
              <w:rPr>
                <w:rFonts w:ascii="Times New Roman" w:hAnsi="Times New Roman" w:eastAsia="Times New Roman" w:cs="Times New Roman"/>
                <w:spacing w:val="8"/>
              </w:rPr>
              <w:t>1,2-</w:t>
            </w:r>
            <w:r>
              <w:rPr>
                <w:rFonts w:ascii="Times New Roman" w:hAnsi="Times New Roman" w:eastAsia="Times New Roman" w:cs="Times New Roman"/>
                <w:spacing w:val="7"/>
              </w:rPr>
              <w:t xml:space="preserve">  </w:t>
            </w:r>
            <w:r>
              <w:rPr>
                <w:spacing w:val="-1"/>
              </w:rPr>
              <w:t>二氯丙烷、</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1,2-</w:t>
            </w:r>
            <w:r>
              <w:rPr>
                <w:spacing w:val="-1"/>
              </w:rPr>
              <w:t>四氯乙烷、</w:t>
            </w:r>
            <w:r>
              <w:rPr>
                <w:rFonts w:ascii="Times New Roman" w:hAnsi="Times New Roman" w:eastAsia="Times New Roman" w:cs="Times New Roman"/>
                <w:spacing w:val="-1"/>
              </w:rPr>
              <w:t>1,</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1,2,2-</w:t>
            </w:r>
            <w:r>
              <w:rPr>
                <w:spacing w:val="-1"/>
              </w:rPr>
              <w:t>四氯乙烷、四氯乙烯、</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rFonts w:ascii="Times New Roman" w:hAnsi="Times New Roman" w:eastAsia="Times New Roman" w:cs="Times New Roman"/>
              </w:rPr>
              <w:t xml:space="preserve">  </w:t>
            </w:r>
            <w:r>
              <w:rPr>
                <w:spacing w:val="3"/>
              </w:rPr>
              <w:t>三氯乙烷、</w:t>
            </w:r>
            <w:r>
              <w:rPr>
                <w:rFonts w:ascii="Times New Roman" w:hAnsi="Times New Roman" w:eastAsia="Times New Roman" w:cs="Times New Roman"/>
                <w:spacing w:val="3"/>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1,2-</w:t>
            </w:r>
            <w:r>
              <w:rPr>
                <w:spacing w:val="3"/>
              </w:rPr>
              <w:t>三氯乙烷、三氯乙烯、</w:t>
            </w:r>
            <w:r>
              <w:rPr>
                <w:rFonts w:ascii="Times New Roman" w:hAnsi="Times New Roman" w:eastAsia="Times New Roman" w:cs="Times New Roman"/>
                <w:spacing w:val="3"/>
              </w:rPr>
              <w:t>1</w:t>
            </w:r>
            <w:r>
              <w:rPr>
                <w:rFonts w:ascii="Times New Roman" w:hAnsi="Times New Roman" w:eastAsia="Times New Roman" w:cs="Times New Roman"/>
                <w:spacing w:val="2"/>
              </w:rPr>
              <w:t>,2,3-</w:t>
            </w:r>
            <w:r>
              <w:rPr>
                <w:spacing w:val="2"/>
              </w:rPr>
              <w:t>三氯丙烷、氯乙烯、</w:t>
            </w:r>
          </w:p>
        </w:tc>
        <w:tc>
          <w:tcPr>
            <w:tcW w:w="877" w:type="dxa"/>
            <w:vAlign w:val="top"/>
          </w:tcPr>
          <w:p w14:paraId="2EE3A9A3">
            <w:pPr>
              <w:rPr>
                <w:rFonts w:ascii="Arial"/>
                <w:sz w:val="21"/>
              </w:rPr>
            </w:pPr>
          </w:p>
        </w:tc>
      </w:tr>
    </w:tbl>
    <w:p w14:paraId="47B0FC13">
      <w:pPr>
        <w:pStyle w:val="2"/>
      </w:pPr>
    </w:p>
    <w:p w14:paraId="3CA78173">
      <w:pPr>
        <w:sectPr>
          <w:headerReference r:id="rId391" w:type="default"/>
          <w:footerReference r:id="rId392" w:type="default"/>
          <w:pgSz w:w="11906" w:h="16839"/>
          <w:pgMar w:top="1208" w:right="1670" w:bottom="1358" w:left="1785" w:header="825" w:footer="1195" w:gutter="0"/>
          <w:cols w:space="720" w:num="1"/>
        </w:sectPr>
      </w:pPr>
    </w:p>
    <w:p w14:paraId="72C530BD">
      <w:pPr>
        <w:spacing w:line="231" w:lineRule="exact"/>
      </w:pPr>
    </w:p>
    <w:tbl>
      <w:tblPr>
        <w:tblStyle w:val="5"/>
        <w:tblW w:w="8435"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1361"/>
        <w:gridCol w:w="1038"/>
        <w:gridCol w:w="3775"/>
        <w:gridCol w:w="1055"/>
        <w:gridCol w:w="877"/>
      </w:tblGrid>
      <w:tr w14:paraId="3EE4A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329" w:type="dxa"/>
            <w:vMerge w:val="restart"/>
            <w:tcBorders>
              <w:bottom w:val="nil"/>
            </w:tcBorders>
            <w:vAlign w:val="top"/>
          </w:tcPr>
          <w:p w14:paraId="4EA2DD62">
            <w:pPr>
              <w:rPr>
                <w:rFonts w:ascii="Arial"/>
                <w:sz w:val="21"/>
              </w:rPr>
            </w:pPr>
          </w:p>
        </w:tc>
        <w:tc>
          <w:tcPr>
            <w:tcW w:w="1361" w:type="dxa"/>
            <w:vAlign w:val="top"/>
          </w:tcPr>
          <w:p w14:paraId="33DFF740">
            <w:pPr>
              <w:rPr>
                <w:rFonts w:ascii="Arial"/>
                <w:sz w:val="21"/>
              </w:rPr>
            </w:pPr>
          </w:p>
        </w:tc>
        <w:tc>
          <w:tcPr>
            <w:tcW w:w="5868" w:type="dxa"/>
            <w:gridSpan w:val="3"/>
            <w:vAlign w:val="top"/>
          </w:tcPr>
          <w:p w14:paraId="259C8E94">
            <w:pPr>
              <w:pStyle w:val="6"/>
              <w:spacing w:before="57" w:line="284" w:lineRule="auto"/>
              <w:ind w:left="12"/>
              <w:jc w:val="both"/>
            </w:pPr>
            <w:r>
              <w:rPr>
                <w:spacing w:val="4"/>
              </w:rPr>
              <w:t>苯、氯苯、</w:t>
            </w:r>
            <w:r>
              <w:rPr>
                <w:rFonts w:ascii="Times New Roman" w:hAnsi="Times New Roman" w:eastAsia="Times New Roman" w:cs="Times New Roman"/>
                <w:spacing w:val="4"/>
              </w:rPr>
              <w:t>1,2-</w:t>
            </w:r>
            <w:r>
              <w:rPr>
                <w:spacing w:val="4"/>
              </w:rPr>
              <w:t>二氯苯、</w:t>
            </w:r>
            <w:r>
              <w:rPr>
                <w:rFonts w:ascii="Times New Roman" w:hAnsi="Times New Roman" w:eastAsia="Times New Roman" w:cs="Times New Roman"/>
                <w:spacing w:val="4"/>
              </w:rPr>
              <w:t>1,4-</w:t>
            </w:r>
            <w:r>
              <w:rPr>
                <w:spacing w:val="4"/>
              </w:rPr>
              <w:t>二氯苯、乙苯、苯乙烯、甲苯、间二</w:t>
            </w:r>
            <w:r>
              <w:rPr>
                <w:spacing w:val="14"/>
              </w:rPr>
              <w:t xml:space="preserve"> </w:t>
            </w:r>
            <w:r>
              <w:rPr>
                <w:spacing w:val="5"/>
              </w:rPr>
              <w:t>甲苯</w:t>
            </w:r>
            <w:r>
              <w:rPr>
                <w:rFonts w:ascii="Times New Roman" w:hAnsi="Times New Roman" w:eastAsia="Times New Roman" w:cs="Times New Roman"/>
                <w:spacing w:val="5"/>
              </w:rPr>
              <w:t>+</w:t>
            </w:r>
            <w:r>
              <w:rPr>
                <w:spacing w:val="5"/>
              </w:rPr>
              <w:t>对二甲苯、邻二甲苯、硝基苯、苯胺、</w:t>
            </w:r>
            <w:r>
              <w:rPr>
                <w:rFonts w:ascii="Times New Roman" w:hAnsi="Times New Roman" w:eastAsia="Times New Roman" w:cs="Times New Roman"/>
                <w:spacing w:val="4"/>
              </w:rPr>
              <w:t>2-</w:t>
            </w:r>
            <w:r>
              <w:rPr>
                <w:spacing w:val="4"/>
              </w:rPr>
              <w:t>氯酚、苯并</w:t>
            </w:r>
            <w:r>
              <w:rPr>
                <w:rFonts w:ascii="Times New Roman" w:hAnsi="Times New Roman" w:eastAsia="Times New Roman" w:cs="Times New Roman"/>
                <w:spacing w:val="4"/>
              </w:rPr>
              <w:t>[a]</w:t>
            </w:r>
            <w:r>
              <w:rPr>
                <w:spacing w:val="4"/>
              </w:rPr>
              <w:t>蒽、</w:t>
            </w:r>
            <w:r>
              <w:t xml:space="preserve"> </w:t>
            </w:r>
            <w:r>
              <w:rPr>
                <w:spacing w:val="3"/>
              </w:rPr>
              <w:t>苯并</w:t>
            </w:r>
            <w:r>
              <w:rPr>
                <w:rFonts w:ascii="Times New Roman" w:hAnsi="Times New Roman" w:eastAsia="Times New Roman" w:cs="Times New Roman"/>
                <w:spacing w:val="3"/>
              </w:rPr>
              <w:t>[a]</w:t>
            </w:r>
            <w:r>
              <w:rPr>
                <w:spacing w:val="3"/>
              </w:rPr>
              <w:t>芘、苯并</w:t>
            </w:r>
            <w:r>
              <w:rPr>
                <w:rFonts w:ascii="Times New Roman" w:hAnsi="Times New Roman" w:eastAsia="Times New Roman" w:cs="Times New Roman"/>
                <w:spacing w:val="3"/>
              </w:rPr>
              <w:t>[b]</w:t>
            </w:r>
            <w:r>
              <w:rPr>
                <w:spacing w:val="3"/>
              </w:rPr>
              <w:t>荧蒽、苯并</w:t>
            </w:r>
            <w:r>
              <w:rPr>
                <w:rFonts w:ascii="Times New Roman" w:hAnsi="Times New Roman" w:eastAsia="Times New Roman" w:cs="Times New Roman"/>
                <w:spacing w:val="3"/>
              </w:rPr>
              <w:t>[k]</w:t>
            </w:r>
            <w:r>
              <w:rPr>
                <w:spacing w:val="3"/>
              </w:rPr>
              <w:t>荧蒽、䓛、二苯并</w:t>
            </w:r>
            <w:r>
              <w:rPr>
                <w:rFonts w:ascii="Times New Roman" w:hAnsi="Times New Roman" w:eastAsia="Times New Roman" w:cs="Times New Roman"/>
                <w:spacing w:val="3"/>
              </w:rPr>
              <w:t>[a,h]</w:t>
            </w:r>
            <w:r>
              <w:rPr>
                <w:spacing w:val="3"/>
              </w:rPr>
              <w:t>蒽、茚并</w:t>
            </w:r>
            <w:r>
              <w:rPr>
                <w:spacing w:val="8"/>
              </w:rPr>
              <w:t xml:space="preserve"> </w:t>
            </w:r>
            <w:r>
              <w:rPr>
                <w:rFonts w:ascii="Times New Roman" w:hAnsi="Times New Roman" w:eastAsia="Times New Roman" w:cs="Times New Roman"/>
                <w:spacing w:val="5"/>
              </w:rPr>
              <w:t>[1,2,3-</w:t>
            </w:r>
            <w:r>
              <w:rPr>
                <w:rFonts w:ascii="Times New Roman" w:hAnsi="Times New Roman" w:eastAsia="Times New Roman" w:cs="Times New Roman"/>
              </w:rPr>
              <w:t>cd</w:t>
            </w:r>
            <w:r>
              <w:rPr>
                <w:rFonts w:ascii="Times New Roman" w:hAnsi="Times New Roman" w:eastAsia="Times New Roman" w:cs="Times New Roman"/>
                <w:spacing w:val="5"/>
              </w:rPr>
              <w:t>]</w:t>
            </w:r>
            <w:r>
              <w:rPr>
                <w:spacing w:val="5"/>
              </w:rPr>
              <w:t>芘、萘；特征因子：砷，石油烃；</w:t>
            </w:r>
          </w:p>
          <w:p w14:paraId="575B8CA2">
            <w:pPr>
              <w:pStyle w:val="6"/>
              <w:spacing w:before="16" w:line="227" w:lineRule="auto"/>
              <w:jc w:val="right"/>
            </w:pPr>
            <w:r>
              <w:t>农用地：</w:t>
            </w:r>
            <w:r>
              <w:rPr>
                <w:rFonts w:ascii="Times New Roman" w:hAnsi="Times New Roman" w:eastAsia="Times New Roman" w:cs="Times New Roman"/>
              </w:rPr>
              <w:t>9</w:t>
            </w:r>
            <w:r>
              <w:rPr>
                <w:rFonts w:ascii="Times New Roman" w:hAnsi="Times New Roman" w:eastAsia="Times New Roman" w:cs="Times New Roman"/>
                <w:spacing w:val="21"/>
              </w:rPr>
              <w:t xml:space="preserve"> </w:t>
            </w:r>
            <w:r>
              <w:t>项基本项目：</w:t>
            </w:r>
            <w:r>
              <w:rPr>
                <w:rFonts w:ascii="Times New Roman" w:hAnsi="Times New Roman" w:eastAsia="Times New Roman" w:cs="Times New Roman"/>
              </w:rPr>
              <w:t>PH</w:t>
            </w:r>
            <w:r>
              <w:rPr>
                <w:rFonts w:ascii="Times New Roman" w:hAnsi="Times New Roman" w:eastAsia="Times New Roman" w:cs="Times New Roman"/>
                <w:spacing w:val="-25"/>
              </w:rPr>
              <w:t xml:space="preserve"> </w:t>
            </w:r>
            <w:r>
              <w:t>、汞、砷、铅、镉、铬、铜、镍、锌；</w:t>
            </w:r>
          </w:p>
          <w:p w14:paraId="79B81618">
            <w:pPr>
              <w:pStyle w:val="6"/>
              <w:spacing w:before="65" w:line="228" w:lineRule="auto"/>
              <w:ind w:left="9"/>
            </w:pPr>
            <w:r>
              <w:rPr>
                <w:spacing w:val="7"/>
              </w:rPr>
              <w:t>特征因子：石油烃。</w:t>
            </w:r>
          </w:p>
        </w:tc>
        <w:tc>
          <w:tcPr>
            <w:tcW w:w="877" w:type="dxa"/>
            <w:vAlign w:val="top"/>
          </w:tcPr>
          <w:p w14:paraId="79472FF5">
            <w:pPr>
              <w:rPr>
                <w:rFonts w:ascii="Arial"/>
                <w:sz w:val="21"/>
              </w:rPr>
            </w:pPr>
          </w:p>
        </w:tc>
      </w:tr>
      <w:tr w14:paraId="59ABB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vAlign w:val="top"/>
          </w:tcPr>
          <w:p w14:paraId="1D985FCF">
            <w:pPr>
              <w:rPr>
                <w:rFonts w:ascii="Arial"/>
                <w:sz w:val="21"/>
              </w:rPr>
            </w:pPr>
          </w:p>
        </w:tc>
        <w:tc>
          <w:tcPr>
            <w:tcW w:w="1361" w:type="dxa"/>
            <w:vAlign w:val="top"/>
          </w:tcPr>
          <w:p w14:paraId="359054BA">
            <w:pPr>
              <w:pStyle w:val="6"/>
              <w:spacing w:before="66" w:line="226" w:lineRule="auto"/>
              <w:ind w:left="263"/>
            </w:pPr>
            <w:r>
              <w:rPr>
                <w:spacing w:val="7"/>
              </w:rPr>
              <w:t>评价标准</w:t>
            </w:r>
          </w:p>
        </w:tc>
        <w:tc>
          <w:tcPr>
            <w:tcW w:w="5868" w:type="dxa"/>
            <w:gridSpan w:val="3"/>
            <w:vAlign w:val="top"/>
          </w:tcPr>
          <w:p w14:paraId="1B077417">
            <w:pPr>
              <w:pStyle w:val="6"/>
              <w:spacing w:before="66" w:line="239" w:lineRule="auto"/>
              <w:ind w:left="196"/>
            </w:pPr>
            <w:r>
              <w:rPr>
                <w:rFonts w:ascii="Times New Roman" w:hAnsi="Times New Roman" w:eastAsia="Times New Roman" w:cs="Times New Roman"/>
              </w:rPr>
              <w:t>GB</w:t>
            </w:r>
            <w:r>
              <w:rPr>
                <w:rFonts w:ascii="Times New Roman" w:hAnsi="Times New Roman" w:eastAsia="Times New Roman" w:cs="Times New Roman"/>
                <w:spacing w:val="3"/>
              </w:rPr>
              <w:t>15618</w:t>
            </w:r>
            <w:r>
              <w:rPr>
                <w:rFonts w:ascii="MS Gothic" w:hAnsi="MS Gothic" w:eastAsia="MS Gothic" w:cs="MS Gothic"/>
                <w:spacing w:val="3"/>
              </w:rPr>
              <w:t>☑</w:t>
            </w: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36600</w:t>
            </w:r>
            <w:r>
              <w:rPr>
                <w:rFonts w:ascii="MS Gothic" w:hAnsi="MS Gothic" w:eastAsia="MS Gothic" w:cs="MS Gothic"/>
                <w:spacing w:val="3"/>
              </w:rPr>
              <w:t>☑</w:t>
            </w:r>
            <w:r>
              <w:rPr>
                <w:spacing w:val="3"/>
              </w:rPr>
              <w:t>；表</w:t>
            </w:r>
            <w:r>
              <w:rPr>
                <w:spacing w:val="-37"/>
              </w:rPr>
              <w:t xml:space="preserve"> </w:t>
            </w:r>
            <w:r>
              <w:rPr>
                <w:rFonts w:ascii="Times New Roman" w:hAnsi="Times New Roman" w:eastAsia="Times New Roman" w:cs="Times New Roman"/>
                <w:spacing w:val="3"/>
              </w:rPr>
              <w:t>D.</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1R</w:t>
            </w:r>
            <w:r>
              <w:rPr>
                <w:rFonts w:ascii="MS Gothic" w:hAnsi="MS Gothic" w:eastAsia="MS Gothic" w:cs="MS Gothic"/>
                <w:spacing w:val="3"/>
              </w:rPr>
              <w:t>□</w:t>
            </w:r>
            <w:r>
              <w:rPr>
                <w:spacing w:val="3"/>
              </w:rPr>
              <w:t>；表</w:t>
            </w:r>
            <w:r>
              <w:rPr>
                <w:spacing w:val="-44"/>
              </w:rPr>
              <w:t xml:space="preserve"> </w:t>
            </w:r>
            <w:r>
              <w:rPr>
                <w:rFonts w:ascii="Times New Roman" w:hAnsi="Times New Roman" w:eastAsia="Times New Roman" w:cs="Times New Roman"/>
                <w:spacing w:val="3"/>
              </w:rPr>
              <w:t>D.2R</w:t>
            </w:r>
            <w:r>
              <w:rPr>
                <w:rFonts w:ascii="MS Gothic" w:hAnsi="MS Gothic" w:eastAsia="MS Gothic" w:cs="MS Gothic"/>
                <w:spacing w:val="3"/>
              </w:rPr>
              <w:t>□</w:t>
            </w:r>
            <w:r>
              <w:rPr>
                <w:spacing w:val="3"/>
              </w:rPr>
              <w:t>；其他 ()</w:t>
            </w:r>
          </w:p>
        </w:tc>
        <w:tc>
          <w:tcPr>
            <w:tcW w:w="877" w:type="dxa"/>
            <w:vAlign w:val="top"/>
          </w:tcPr>
          <w:p w14:paraId="57C401B1">
            <w:pPr>
              <w:rPr>
                <w:rFonts w:ascii="Arial"/>
                <w:sz w:val="21"/>
              </w:rPr>
            </w:pPr>
          </w:p>
        </w:tc>
      </w:tr>
      <w:tr w14:paraId="5B4C6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329" w:type="dxa"/>
            <w:vMerge w:val="continue"/>
            <w:tcBorders>
              <w:top w:val="nil"/>
            </w:tcBorders>
            <w:vAlign w:val="top"/>
          </w:tcPr>
          <w:p w14:paraId="54B3D2B2">
            <w:pPr>
              <w:rPr>
                <w:rFonts w:ascii="Arial"/>
                <w:sz w:val="21"/>
              </w:rPr>
            </w:pPr>
          </w:p>
        </w:tc>
        <w:tc>
          <w:tcPr>
            <w:tcW w:w="1361" w:type="dxa"/>
            <w:vAlign w:val="top"/>
          </w:tcPr>
          <w:p w14:paraId="71214000">
            <w:pPr>
              <w:spacing w:line="452" w:lineRule="auto"/>
              <w:rPr>
                <w:rFonts w:ascii="Arial"/>
                <w:sz w:val="21"/>
              </w:rPr>
            </w:pPr>
          </w:p>
          <w:p w14:paraId="0B67807B">
            <w:pPr>
              <w:pStyle w:val="6"/>
              <w:spacing w:before="65" w:line="226" w:lineRule="auto"/>
              <w:ind w:left="55"/>
            </w:pPr>
            <w:r>
              <w:rPr>
                <w:spacing w:val="7"/>
              </w:rPr>
              <w:t>现状评价结论</w:t>
            </w:r>
          </w:p>
        </w:tc>
        <w:tc>
          <w:tcPr>
            <w:tcW w:w="5868" w:type="dxa"/>
            <w:gridSpan w:val="3"/>
            <w:vAlign w:val="top"/>
          </w:tcPr>
          <w:p w14:paraId="00667DFB">
            <w:pPr>
              <w:pStyle w:val="6"/>
              <w:spacing w:before="52" w:line="228" w:lineRule="auto"/>
              <w:jc w:val="right"/>
            </w:pPr>
            <w:r>
              <w:rPr>
                <w:spacing w:val="5"/>
              </w:rPr>
              <w:t>监测因子满足《土壤环境质量 建设用地土壤污染风险管控标准》</w:t>
            </w:r>
          </w:p>
          <w:p w14:paraId="38AE4806">
            <w:pPr>
              <w:pStyle w:val="6"/>
              <w:spacing w:before="64" w:line="228" w:lineRule="auto"/>
              <w:ind w:right="2"/>
              <w:jc w:val="right"/>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36600-2018</w:t>
            </w:r>
            <w:r>
              <w:rPr>
                <w:spacing w:val="6"/>
              </w:rPr>
              <w:t>）第二类用地筛选值标准要求和《土壤环境质量</w:t>
            </w:r>
          </w:p>
          <w:p w14:paraId="312C98BB">
            <w:pPr>
              <w:pStyle w:val="6"/>
              <w:spacing w:before="65" w:line="224" w:lineRule="auto"/>
              <w:ind w:left="9"/>
            </w:pPr>
            <w:r>
              <w:rPr>
                <w:spacing w:val="6"/>
              </w:rPr>
              <w:t>农用地土壤污染风险管控标准（试行）》（</w:t>
            </w:r>
            <w:r>
              <w:rPr>
                <w:rFonts w:ascii="Times New Roman" w:hAnsi="Times New Roman" w:eastAsia="Times New Roman" w:cs="Times New Roman"/>
              </w:rPr>
              <w:t>GB</w:t>
            </w:r>
            <w:r>
              <w:rPr>
                <w:rFonts w:ascii="Times New Roman" w:hAnsi="Times New Roman" w:eastAsia="Times New Roman" w:cs="Times New Roman"/>
                <w:spacing w:val="6"/>
              </w:rPr>
              <w:t>15618-2018</w:t>
            </w:r>
            <w:r>
              <w:rPr>
                <w:spacing w:val="6"/>
              </w:rPr>
              <w:t>）的风</w:t>
            </w:r>
          </w:p>
          <w:p w14:paraId="6851E0CA">
            <w:pPr>
              <w:pStyle w:val="6"/>
              <w:spacing w:before="68" w:line="228" w:lineRule="auto"/>
              <w:ind w:left="2217"/>
            </w:pPr>
            <w:r>
              <w:rPr>
                <w:spacing w:val="5"/>
              </w:rPr>
              <w:t>险筛选值要求。</w:t>
            </w:r>
          </w:p>
        </w:tc>
        <w:tc>
          <w:tcPr>
            <w:tcW w:w="877" w:type="dxa"/>
            <w:vAlign w:val="top"/>
          </w:tcPr>
          <w:p w14:paraId="0D55FA06">
            <w:pPr>
              <w:rPr>
                <w:rFonts w:ascii="Arial"/>
                <w:sz w:val="21"/>
              </w:rPr>
            </w:pPr>
          </w:p>
        </w:tc>
      </w:tr>
      <w:tr w14:paraId="313D1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29" w:type="dxa"/>
            <w:vMerge w:val="restart"/>
            <w:tcBorders>
              <w:bottom w:val="nil"/>
            </w:tcBorders>
            <w:textDirection w:val="tbRlV"/>
            <w:vAlign w:val="top"/>
          </w:tcPr>
          <w:p w14:paraId="0C86CF50">
            <w:pPr>
              <w:pStyle w:val="6"/>
              <w:spacing w:before="57" w:line="216" w:lineRule="auto"/>
              <w:ind w:left="393"/>
            </w:pPr>
            <w:r>
              <w:rPr>
                <w:spacing w:val="6"/>
              </w:rPr>
              <w:t>影 响 预 测</w:t>
            </w:r>
          </w:p>
        </w:tc>
        <w:tc>
          <w:tcPr>
            <w:tcW w:w="1361" w:type="dxa"/>
            <w:vAlign w:val="top"/>
          </w:tcPr>
          <w:p w14:paraId="1C4668EC">
            <w:pPr>
              <w:pStyle w:val="6"/>
              <w:spacing w:before="52" w:line="228" w:lineRule="auto"/>
              <w:ind w:left="266"/>
            </w:pPr>
            <w:r>
              <w:rPr>
                <w:spacing w:val="6"/>
              </w:rPr>
              <w:t>预测因子</w:t>
            </w:r>
          </w:p>
        </w:tc>
        <w:tc>
          <w:tcPr>
            <w:tcW w:w="5868" w:type="dxa"/>
            <w:gridSpan w:val="3"/>
            <w:vAlign w:val="top"/>
          </w:tcPr>
          <w:p w14:paraId="7281E302">
            <w:pPr>
              <w:pStyle w:val="6"/>
              <w:spacing w:before="53" w:line="228" w:lineRule="auto"/>
              <w:ind w:left="2625"/>
            </w:pPr>
            <w:r>
              <w:rPr>
                <w:spacing w:val="6"/>
              </w:rPr>
              <w:t>铅、砷</w:t>
            </w:r>
          </w:p>
        </w:tc>
        <w:tc>
          <w:tcPr>
            <w:tcW w:w="877" w:type="dxa"/>
            <w:vAlign w:val="top"/>
          </w:tcPr>
          <w:p w14:paraId="7387E8C9">
            <w:pPr>
              <w:rPr>
                <w:rFonts w:ascii="Arial"/>
                <w:sz w:val="21"/>
              </w:rPr>
            </w:pPr>
          </w:p>
        </w:tc>
      </w:tr>
      <w:tr w14:paraId="6A6F8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66DD3640">
            <w:pPr>
              <w:rPr>
                <w:rFonts w:ascii="Arial"/>
                <w:sz w:val="21"/>
              </w:rPr>
            </w:pPr>
          </w:p>
        </w:tc>
        <w:tc>
          <w:tcPr>
            <w:tcW w:w="1361" w:type="dxa"/>
            <w:vAlign w:val="top"/>
          </w:tcPr>
          <w:p w14:paraId="0B62084C">
            <w:pPr>
              <w:pStyle w:val="6"/>
              <w:spacing w:before="66" w:line="228" w:lineRule="auto"/>
              <w:ind w:left="266"/>
            </w:pPr>
            <w:r>
              <w:rPr>
                <w:spacing w:val="6"/>
              </w:rPr>
              <w:t>预测方法</w:t>
            </w:r>
          </w:p>
        </w:tc>
        <w:tc>
          <w:tcPr>
            <w:tcW w:w="5868" w:type="dxa"/>
            <w:gridSpan w:val="3"/>
            <w:vAlign w:val="top"/>
          </w:tcPr>
          <w:p w14:paraId="11D0671A">
            <w:pPr>
              <w:pStyle w:val="6"/>
              <w:spacing w:before="67" w:line="239" w:lineRule="auto"/>
              <w:ind w:left="1574"/>
            </w:pPr>
            <w:r>
              <w:rPr>
                <w:spacing w:val="3"/>
              </w:rPr>
              <w:t>附录</w:t>
            </w:r>
            <w:r>
              <w:rPr>
                <w:spacing w:val="-37"/>
              </w:rPr>
              <w:t xml:space="preserve"> </w:t>
            </w:r>
            <w:r>
              <w:rPr>
                <w:rFonts w:ascii="Times New Roman" w:hAnsi="Times New Roman" w:eastAsia="Times New Roman" w:cs="Times New Roman"/>
                <w:spacing w:val="3"/>
              </w:rPr>
              <w:t>E</w:t>
            </w:r>
            <w:r>
              <w:rPr>
                <w:rFonts w:ascii="MS Gothic" w:hAnsi="MS Gothic" w:eastAsia="MS Gothic" w:cs="MS Gothic"/>
                <w:spacing w:val="3"/>
              </w:rPr>
              <w:t>☑</w:t>
            </w:r>
            <w:r>
              <w:rPr>
                <w:spacing w:val="3"/>
              </w:rPr>
              <w:t>；附录</w:t>
            </w:r>
            <w:r>
              <w:rPr>
                <w:spacing w:val="-44"/>
              </w:rPr>
              <w:t xml:space="preserve"> </w:t>
            </w:r>
            <w:r>
              <w:rPr>
                <w:rFonts w:ascii="Times New Roman" w:hAnsi="Times New Roman" w:eastAsia="Times New Roman" w:cs="Times New Roman"/>
                <w:spacing w:val="3"/>
              </w:rPr>
              <w:t>F□</w:t>
            </w:r>
            <w:r>
              <w:rPr>
                <w:spacing w:val="3"/>
              </w:rPr>
              <w:t>；其他 ()</w:t>
            </w:r>
          </w:p>
        </w:tc>
        <w:tc>
          <w:tcPr>
            <w:tcW w:w="877" w:type="dxa"/>
            <w:vAlign w:val="top"/>
          </w:tcPr>
          <w:p w14:paraId="58CFC25D">
            <w:pPr>
              <w:rPr>
                <w:rFonts w:ascii="Arial"/>
                <w:sz w:val="21"/>
              </w:rPr>
            </w:pPr>
          </w:p>
        </w:tc>
      </w:tr>
      <w:tr w14:paraId="7CB0C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29" w:type="dxa"/>
            <w:vMerge w:val="continue"/>
            <w:tcBorders>
              <w:top w:val="nil"/>
              <w:bottom w:val="nil"/>
            </w:tcBorders>
            <w:textDirection w:val="tbRlV"/>
            <w:vAlign w:val="top"/>
          </w:tcPr>
          <w:p w14:paraId="109D8AD4">
            <w:pPr>
              <w:rPr>
                <w:rFonts w:ascii="Arial"/>
                <w:sz w:val="21"/>
              </w:rPr>
            </w:pPr>
          </w:p>
        </w:tc>
        <w:tc>
          <w:tcPr>
            <w:tcW w:w="1361" w:type="dxa"/>
            <w:vAlign w:val="top"/>
          </w:tcPr>
          <w:p w14:paraId="039A36F5">
            <w:pPr>
              <w:pStyle w:val="6"/>
              <w:spacing w:before="208" w:line="228" w:lineRule="auto"/>
              <w:ind w:left="55"/>
            </w:pPr>
            <w:r>
              <w:rPr>
                <w:spacing w:val="7"/>
              </w:rPr>
              <w:t>预测分析内容</w:t>
            </w:r>
          </w:p>
        </w:tc>
        <w:tc>
          <w:tcPr>
            <w:tcW w:w="5868" w:type="dxa"/>
            <w:gridSpan w:val="3"/>
            <w:vAlign w:val="top"/>
          </w:tcPr>
          <w:p w14:paraId="62865099">
            <w:pPr>
              <w:pStyle w:val="6"/>
              <w:spacing w:before="53" w:line="261" w:lineRule="auto"/>
              <w:ind w:left="9" w:right="3898"/>
            </w:pPr>
            <w:r>
              <w:rPr>
                <w:spacing w:val="7"/>
              </w:rPr>
              <w:t>影响范围（</w:t>
            </w:r>
            <w:r>
              <w:rPr>
                <w:rFonts w:ascii="Calibri" w:hAnsi="Calibri" w:eastAsia="Calibri" w:cs="Calibri"/>
                <w:spacing w:val="7"/>
              </w:rPr>
              <w:t>5.05</w:t>
            </w:r>
            <w:r>
              <w:rPr>
                <w:spacing w:val="7"/>
              </w:rPr>
              <w:t>）</w:t>
            </w:r>
            <w:r>
              <w:rPr>
                <w:rFonts w:ascii="Calibri" w:hAnsi="Calibri" w:eastAsia="Calibri" w:cs="Calibri"/>
              </w:rPr>
              <w:t>km</w:t>
            </w:r>
            <w:r>
              <w:rPr>
                <w:rFonts w:ascii="Calibri" w:hAnsi="Calibri" w:eastAsia="Calibri" w:cs="Calibri"/>
                <w:spacing w:val="7"/>
                <w:position w:val="6"/>
                <w:sz w:val="13"/>
                <w:szCs w:val="13"/>
              </w:rPr>
              <w:t>2</w:t>
            </w:r>
            <w:r>
              <w:rPr>
                <w:rFonts w:ascii="Calibri" w:hAnsi="Calibri" w:eastAsia="Calibri" w:cs="Calibri"/>
                <w:spacing w:val="5"/>
                <w:position w:val="6"/>
                <w:sz w:val="13"/>
                <w:szCs w:val="13"/>
              </w:rPr>
              <w:t xml:space="preserve"> </w:t>
            </w:r>
            <w:r>
              <w:rPr>
                <w:spacing w:val="7"/>
              </w:rPr>
              <w:t>影响程度（较小）</w:t>
            </w:r>
          </w:p>
        </w:tc>
        <w:tc>
          <w:tcPr>
            <w:tcW w:w="877" w:type="dxa"/>
            <w:vAlign w:val="top"/>
          </w:tcPr>
          <w:p w14:paraId="09163E0B">
            <w:pPr>
              <w:rPr>
                <w:rFonts w:ascii="Arial"/>
                <w:sz w:val="21"/>
              </w:rPr>
            </w:pPr>
          </w:p>
        </w:tc>
      </w:tr>
      <w:tr w14:paraId="0E497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29" w:type="dxa"/>
            <w:vMerge w:val="continue"/>
            <w:tcBorders>
              <w:top w:val="nil"/>
            </w:tcBorders>
            <w:textDirection w:val="tbRlV"/>
            <w:vAlign w:val="top"/>
          </w:tcPr>
          <w:p w14:paraId="11FFD194">
            <w:pPr>
              <w:rPr>
                <w:rFonts w:ascii="Arial"/>
                <w:sz w:val="21"/>
              </w:rPr>
            </w:pPr>
          </w:p>
        </w:tc>
        <w:tc>
          <w:tcPr>
            <w:tcW w:w="1361" w:type="dxa"/>
            <w:vAlign w:val="top"/>
          </w:tcPr>
          <w:p w14:paraId="0A7E3044">
            <w:pPr>
              <w:pStyle w:val="6"/>
              <w:spacing w:before="208" w:line="228" w:lineRule="auto"/>
              <w:ind w:left="266"/>
            </w:pPr>
            <w:r>
              <w:rPr>
                <w:spacing w:val="6"/>
              </w:rPr>
              <w:t>预测结论</w:t>
            </w:r>
          </w:p>
        </w:tc>
        <w:tc>
          <w:tcPr>
            <w:tcW w:w="5868" w:type="dxa"/>
            <w:gridSpan w:val="3"/>
            <w:vAlign w:val="top"/>
          </w:tcPr>
          <w:p w14:paraId="7E35A709">
            <w:pPr>
              <w:pStyle w:val="6"/>
              <w:spacing w:before="52" w:line="261" w:lineRule="auto"/>
              <w:ind w:left="1910" w:right="1544" w:hanging="361"/>
              <w:rPr>
                <w:rFonts w:ascii="Times New Roman" w:hAnsi="Times New Roman" w:eastAsia="Times New Roman" w:cs="Times New Roman"/>
              </w:rPr>
            </w:pPr>
            <w:r>
              <w:rPr>
                <w:spacing w:val="-3"/>
              </w:rPr>
              <w:t>达标结论：</w:t>
            </w:r>
            <w:r>
              <w:rPr>
                <w:rFonts w:ascii="Times New Roman" w:hAnsi="Times New Roman" w:eastAsia="Times New Roman" w:cs="Times New Roman"/>
                <w:spacing w:val="-3"/>
              </w:rPr>
              <w:t>a)</w:t>
            </w:r>
            <w:r>
              <w:rPr>
                <w:rFonts w:ascii="Times New Roman" w:hAnsi="Times New Roman" w:eastAsia="Times New Roman" w:cs="Times New Roman"/>
                <w:spacing w:val="32"/>
              </w:rPr>
              <w:t xml:space="preserve"> </w:t>
            </w:r>
            <w:r>
              <w:rPr>
                <w:rFonts w:ascii="MS Gothic" w:hAnsi="MS Gothic" w:eastAsia="MS Gothic" w:cs="MS Gothic"/>
                <w:spacing w:val="-3"/>
              </w:rPr>
              <w:t>☑</w:t>
            </w:r>
            <w:r>
              <w:rPr>
                <w:spacing w:val="-3"/>
              </w:rPr>
              <w:t>；</w:t>
            </w:r>
            <w:r>
              <w:rPr>
                <w:rFonts w:ascii="Times New Roman" w:hAnsi="Times New Roman" w:eastAsia="Times New Roman" w:cs="Times New Roman"/>
                <w:spacing w:val="-3"/>
              </w:rPr>
              <w:t>b)</w:t>
            </w:r>
            <w:r>
              <w:rPr>
                <w:rFonts w:ascii="Times New Roman" w:hAnsi="Times New Roman" w:eastAsia="Times New Roman" w:cs="Times New Roman"/>
                <w:spacing w:val="20"/>
                <w:w w:val="101"/>
              </w:rPr>
              <w:t xml:space="preserve"> </w:t>
            </w:r>
            <w:r>
              <w:rPr>
                <w:rFonts w:ascii="MS Gothic" w:hAnsi="MS Gothic" w:eastAsia="MS Gothic" w:cs="MS Gothic"/>
                <w:spacing w:val="-3"/>
              </w:rPr>
              <w:t>□</w:t>
            </w:r>
            <w:r>
              <w:rPr>
                <w:rFonts w:ascii="MS Gothic" w:hAnsi="MS Gothic" w:eastAsia="MS Gothic" w:cs="MS Gothic"/>
                <w:spacing w:val="-76"/>
              </w:rPr>
              <w:t xml:space="preserve"> </w:t>
            </w:r>
            <w:r>
              <w:rPr>
                <w:spacing w:val="-3"/>
              </w:rPr>
              <w:t>；</w:t>
            </w:r>
            <w:r>
              <w:rPr>
                <w:rFonts w:ascii="Times New Roman" w:hAnsi="Times New Roman" w:eastAsia="Times New Roman" w:cs="Times New Roman"/>
                <w:spacing w:val="-3"/>
              </w:rPr>
              <w:t>c</w:t>
            </w:r>
            <w:r>
              <w:rPr>
                <w:spacing w:val="-3"/>
              </w:rPr>
              <w:t>）</w:t>
            </w:r>
            <w:r>
              <w:rPr>
                <w:spacing w:val="-72"/>
              </w:rPr>
              <w:t xml:space="preserve"> </w:t>
            </w:r>
            <w:r>
              <w:rPr>
                <w:rFonts w:ascii="MS Gothic" w:hAnsi="MS Gothic" w:eastAsia="MS Gothic" w:cs="MS Gothic"/>
                <w:spacing w:val="-3"/>
              </w:rPr>
              <w:t>□</w:t>
            </w:r>
            <w:r>
              <w:rPr>
                <w:rFonts w:ascii="MS Gothic" w:hAnsi="MS Gothic" w:eastAsia="MS Gothic" w:cs="MS Gothic"/>
              </w:rPr>
              <w:t xml:space="preserve"> </w:t>
            </w:r>
            <w:r>
              <w:rPr>
                <w:spacing w:val="4"/>
              </w:rPr>
              <w:t>不达标结论：</w:t>
            </w:r>
            <w:r>
              <w:rPr>
                <w:rFonts w:ascii="Times New Roman" w:hAnsi="Times New Roman" w:eastAsia="Times New Roman" w:cs="Times New Roman"/>
                <w:spacing w:val="4"/>
              </w:rPr>
              <w:t>a)□</w:t>
            </w:r>
            <w:r>
              <w:rPr>
                <w:rFonts w:ascii="Times New Roman" w:hAnsi="Times New Roman" w:eastAsia="Times New Roman" w:cs="Times New Roman"/>
                <w:spacing w:val="-18"/>
              </w:rPr>
              <w:t xml:space="preserve"> </w:t>
            </w:r>
            <w:r>
              <w:rPr>
                <w:spacing w:val="4"/>
              </w:rPr>
              <w:t>；</w:t>
            </w:r>
            <w:r>
              <w:rPr>
                <w:rFonts w:ascii="Times New Roman" w:hAnsi="Times New Roman" w:eastAsia="Times New Roman" w:cs="Times New Roman"/>
                <w:spacing w:val="4"/>
              </w:rPr>
              <w:t>b)□</w:t>
            </w:r>
          </w:p>
        </w:tc>
        <w:tc>
          <w:tcPr>
            <w:tcW w:w="877" w:type="dxa"/>
            <w:vAlign w:val="top"/>
          </w:tcPr>
          <w:p w14:paraId="077B0D35">
            <w:pPr>
              <w:rPr>
                <w:rFonts w:ascii="Arial"/>
                <w:sz w:val="21"/>
              </w:rPr>
            </w:pPr>
          </w:p>
        </w:tc>
      </w:tr>
      <w:tr w14:paraId="4F5CF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restart"/>
            <w:tcBorders>
              <w:bottom w:val="nil"/>
            </w:tcBorders>
            <w:textDirection w:val="tbRlV"/>
            <w:vAlign w:val="top"/>
          </w:tcPr>
          <w:p w14:paraId="6B165857">
            <w:pPr>
              <w:pStyle w:val="6"/>
              <w:spacing w:before="57" w:line="217" w:lineRule="auto"/>
              <w:ind w:left="1826"/>
            </w:pPr>
            <w:r>
              <w:rPr>
                <w:spacing w:val="6"/>
              </w:rPr>
              <w:t>防 治 措 施</w:t>
            </w:r>
          </w:p>
        </w:tc>
        <w:tc>
          <w:tcPr>
            <w:tcW w:w="1361" w:type="dxa"/>
            <w:vAlign w:val="top"/>
          </w:tcPr>
          <w:p w14:paraId="26A371BB">
            <w:pPr>
              <w:pStyle w:val="6"/>
              <w:spacing w:before="68" w:line="228" w:lineRule="auto"/>
              <w:ind w:left="277"/>
            </w:pPr>
            <w:r>
              <w:rPr>
                <w:spacing w:val="4"/>
              </w:rPr>
              <w:t>防控措施</w:t>
            </w:r>
          </w:p>
        </w:tc>
        <w:tc>
          <w:tcPr>
            <w:tcW w:w="5868" w:type="dxa"/>
            <w:gridSpan w:val="3"/>
            <w:vAlign w:val="top"/>
          </w:tcPr>
          <w:p w14:paraId="1B47D5DB">
            <w:pPr>
              <w:pStyle w:val="6"/>
              <w:spacing w:before="67" w:line="225" w:lineRule="auto"/>
              <w:ind w:left="526"/>
            </w:pPr>
            <w:r>
              <w:rPr>
                <w:spacing w:val="9"/>
              </w:rPr>
              <w:t>土壤环境质量现状保障；源头控制；过程防控；其他</w:t>
            </w:r>
          </w:p>
        </w:tc>
        <w:tc>
          <w:tcPr>
            <w:tcW w:w="877" w:type="dxa"/>
            <w:vAlign w:val="top"/>
          </w:tcPr>
          <w:p w14:paraId="2D15ECB2">
            <w:pPr>
              <w:rPr>
                <w:rFonts w:ascii="Arial"/>
                <w:sz w:val="21"/>
              </w:rPr>
            </w:pPr>
          </w:p>
        </w:tc>
      </w:tr>
      <w:tr w14:paraId="21BA2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bottom w:val="nil"/>
            </w:tcBorders>
            <w:textDirection w:val="tbRlV"/>
            <w:vAlign w:val="top"/>
          </w:tcPr>
          <w:p w14:paraId="076A2804">
            <w:pPr>
              <w:rPr>
                <w:rFonts w:ascii="Arial"/>
                <w:sz w:val="21"/>
              </w:rPr>
            </w:pPr>
          </w:p>
        </w:tc>
        <w:tc>
          <w:tcPr>
            <w:tcW w:w="1361" w:type="dxa"/>
            <w:vMerge w:val="restart"/>
            <w:tcBorders>
              <w:bottom w:val="nil"/>
            </w:tcBorders>
            <w:vAlign w:val="top"/>
          </w:tcPr>
          <w:p w14:paraId="127AE75C">
            <w:pPr>
              <w:spacing w:line="266" w:lineRule="auto"/>
              <w:rPr>
                <w:rFonts w:ascii="Arial"/>
                <w:sz w:val="21"/>
              </w:rPr>
            </w:pPr>
          </w:p>
          <w:p w14:paraId="5CF65B04">
            <w:pPr>
              <w:spacing w:line="267" w:lineRule="auto"/>
              <w:rPr>
                <w:rFonts w:ascii="Arial"/>
                <w:sz w:val="21"/>
              </w:rPr>
            </w:pPr>
          </w:p>
          <w:p w14:paraId="3B1B7965">
            <w:pPr>
              <w:spacing w:line="267" w:lineRule="auto"/>
              <w:rPr>
                <w:rFonts w:ascii="Arial"/>
                <w:sz w:val="21"/>
              </w:rPr>
            </w:pPr>
          </w:p>
          <w:p w14:paraId="61BC688C">
            <w:pPr>
              <w:spacing w:line="267" w:lineRule="auto"/>
              <w:rPr>
                <w:rFonts w:ascii="Arial"/>
                <w:sz w:val="21"/>
              </w:rPr>
            </w:pPr>
          </w:p>
          <w:p w14:paraId="3189B4F2">
            <w:pPr>
              <w:spacing w:line="267" w:lineRule="auto"/>
              <w:rPr>
                <w:rFonts w:ascii="Arial"/>
                <w:sz w:val="21"/>
              </w:rPr>
            </w:pPr>
          </w:p>
          <w:p w14:paraId="020C351D">
            <w:pPr>
              <w:spacing w:line="267" w:lineRule="auto"/>
              <w:rPr>
                <w:rFonts w:ascii="Arial"/>
                <w:sz w:val="21"/>
              </w:rPr>
            </w:pPr>
          </w:p>
          <w:p w14:paraId="2D191A21">
            <w:pPr>
              <w:spacing w:line="267" w:lineRule="auto"/>
              <w:rPr>
                <w:rFonts w:ascii="Arial"/>
                <w:sz w:val="21"/>
              </w:rPr>
            </w:pPr>
          </w:p>
          <w:p w14:paraId="3037BDD9">
            <w:pPr>
              <w:pStyle w:val="6"/>
              <w:spacing w:before="65" w:line="228" w:lineRule="auto"/>
              <w:ind w:left="262"/>
            </w:pPr>
            <w:r>
              <w:rPr>
                <w:spacing w:val="7"/>
              </w:rPr>
              <w:t>跟踪监测</w:t>
            </w:r>
          </w:p>
        </w:tc>
        <w:tc>
          <w:tcPr>
            <w:tcW w:w="1038" w:type="dxa"/>
            <w:vAlign w:val="top"/>
          </w:tcPr>
          <w:p w14:paraId="692D2339">
            <w:pPr>
              <w:pStyle w:val="6"/>
              <w:spacing w:before="67" w:line="228" w:lineRule="auto"/>
              <w:ind w:left="104"/>
            </w:pPr>
            <w:r>
              <w:rPr>
                <w:spacing w:val="7"/>
              </w:rPr>
              <w:t>监测点数</w:t>
            </w:r>
          </w:p>
        </w:tc>
        <w:tc>
          <w:tcPr>
            <w:tcW w:w="3775" w:type="dxa"/>
            <w:vAlign w:val="top"/>
          </w:tcPr>
          <w:p w14:paraId="7510946D">
            <w:pPr>
              <w:pStyle w:val="6"/>
              <w:spacing w:before="68" w:line="228" w:lineRule="auto"/>
              <w:ind w:left="1473"/>
            </w:pPr>
            <w:r>
              <w:rPr>
                <w:spacing w:val="7"/>
              </w:rPr>
              <w:t>监测指标</w:t>
            </w:r>
          </w:p>
        </w:tc>
        <w:tc>
          <w:tcPr>
            <w:tcW w:w="1055" w:type="dxa"/>
            <w:vAlign w:val="top"/>
          </w:tcPr>
          <w:p w14:paraId="4E3CFD52">
            <w:pPr>
              <w:pStyle w:val="6"/>
              <w:spacing w:before="67" w:line="228" w:lineRule="auto"/>
              <w:ind w:left="115"/>
            </w:pPr>
            <w:r>
              <w:rPr>
                <w:spacing w:val="7"/>
              </w:rPr>
              <w:t>监测频次</w:t>
            </w:r>
          </w:p>
        </w:tc>
        <w:tc>
          <w:tcPr>
            <w:tcW w:w="877" w:type="dxa"/>
            <w:vMerge w:val="restart"/>
            <w:tcBorders>
              <w:bottom w:val="nil"/>
            </w:tcBorders>
            <w:vAlign w:val="top"/>
          </w:tcPr>
          <w:p w14:paraId="08C03B79">
            <w:pPr>
              <w:rPr>
                <w:rFonts w:ascii="Arial"/>
                <w:sz w:val="21"/>
              </w:rPr>
            </w:pPr>
          </w:p>
        </w:tc>
      </w:tr>
      <w:tr w14:paraId="6271E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329" w:type="dxa"/>
            <w:vMerge w:val="continue"/>
            <w:tcBorders>
              <w:top w:val="nil"/>
              <w:bottom w:val="nil"/>
            </w:tcBorders>
            <w:textDirection w:val="tbRlV"/>
            <w:vAlign w:val="top"/>
          </w:tcPr>
          <w:p w14:paraId="0826794C">
            <w:pPr>
              <w:rPr>
                <w:rFonts w:ascii="Arial"/>
                <w:sz w:val="21"/>
              </w:rPr>
            </w:pPr>
          </w:p>
        </w:tc>
        <w:tc>
          <w:tcPr>
            <w:tcW w:w="1361" w:type="dxa"/>
            <w:vMerge w:val="continue"/>
            <w:tcBorders>
              <w:top w:val="nil"/>
            </w:tcBorders>
            <w:vAlign w:val="top"/>
          </w:tcPr>
          <w:p w14:paraId="1322F66F">
            <w:pPr>
              <w:rPr>
                <w:rFonts w:ascii="Arial"/>
                <w:sz w:val="21"/>
              </w:rPr>
            </w:pPr>
          </w:p>
        </w:tc>
        <w:tc>
          <w:tcPr>
            <w:tcW w:w="1038" w:type="dxa"/>
            <w:vAlign w:val="top"/>
          </w:tcPr>
          <w:p w14:paraId="7B768112">
            <w:pPr>
              <w:spacing w:line="248" w:lineRule="auto"/>
              <w:rPr>
                <w:rFonts w:ascii="Arial"/>
                <w:sz w:val="21"/>
              </w:rPr>
            </w:pPr>
          </w:p>
          <w:p w14:paraId="5559236F">
            <w:pPr>
              <w:spacing w:line="248" w:lineRule="auto"/>
              <w:rPr>
                <w:rFonts w:ascii="Arial"/>
                <w:sz w:val="21"/>
              </w:rPr>
            </w:pPr>
          </w:p>
          <w:p w14:paraId="62674625">
            <w:pPr>
              <w:spacing w:line="248" w:lineRule="auto"/>
              <w:rPr>
                <w:rFonts w:ascii="Arial"/>
                <w:sz w:val="21"/>
              </w:rPr>
            </w:pPr>
          </w:p>
          <w:p w14:paraId="02CA2268">
            <w:pPr>
              <w:spacing w:line="248" w:lineRule="auto"/>
              <w:rPr>
                <w:rFonts w:ascii="Arial"/>
                <w:sz w:val="21"/>
              </w:rPr>
            </w:pPr>
          </w:p>
          <w:p w14:paraId="335A6407">
            <w:pPr>
              <w:spacing w:line="248" w:lineRule="auto"/>
              <w:rPr>
                <w:rFonts w:ascii="Arial"/>
                <w:sz w:val="21"/>
              </w:rPr>
            </w:pPr>
          </w:p>
          <w:p w14:paraId="4752354E">
            <w:pPr>
              <w:spacing w:line="248" w:lineRule="auto"/>
              <w:rPr>
                <w:rFonts w:ascii="Arial"/>
                <w:sz w:val="21"/>
              </w:rPr>
            </w:pPr>
          </w:p>
          <w:p w14:paraId="14729C4F">
            <w:pPr>
              <w:spacing w:line="249" w:lineRule="auto"/>
              <w:rPr>
                <w:rFonts w:ascii="Arial"/>
                <w:sz w:val="21"/>
              </w:rPr>
            </w:pPr>
          </w:p>
          <w:p w14:paraId="17663CF7">
            <w:pPr>
              <w:spacing w:before="58" w:line="195" w:lineRule="auto"/>
              <w:ind w:left="46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775" w:type="dxa"/>
            <w:vAlign w:val="top"/>
          </w:tcPr>
          <w:p w14:paraId="6C430A5C">
            <w:pPr>
              <w:pStyle w:val="6"/>
              <w:spacing w:before="53" w:line="228" w:lineRule="auto"/>
              <w:ind w:left="7"/>
            </w:pPr>
            <w:r>
              <w:rPr>
                <w:spacing w:val="6"/>
              </w:rPr>
              <w:t>初次监测：</w:t>
            </w:r>
          </w:p>
          <w:p w14:paraId="5FE3287E">
            <w:pPr>
              <w:pStyle w:val="6"/>
              <w:spacing w:before="65" w:line="288" w:lineRule="auto"/>
              <w:ind w:left="7"/>
              <w:jc w:val="both"/>
            </w:pPr>
            <w:r>
              <w:rPr>
                <w:spacing w:val="4"/>
              </w:rPr>
              <w:t>选厂：《土壤环境质量建设用地土壤污染</w:t>
            </w:r>
            <w:r>
              <w:rPr>
                <w:spacing w:val="1"/>
              </w:rPr>
              <w:t xml:space="preserve">  </w:t>
            </w:r>
            <w:r>
              <w:rPr>
                <w:spacing w:val="-4"/>
              </w:rPr>
              <w:t>风险管控标准（试行）》（</w:t>
            </w:r>
            <w:r>
              <w:rPr>
                <w:rFonts w:ascii="Times New Roman" w:hAnsi="Times New Roman" w:eastAsia="Times New Roman" w:cs="Times New Roman"/>
                <w:spacing w:val="-4"/>
              </w:rPr>
              <w:t>GB36600-2018</w:t>
            </w:r>
            <w:r>
              <w:rPr>
                <w:spacing w:val="-4"/>
              </w:rPr>
              <w:t>）</w:t>
            </w:r>
            <w:r>
              <w:rPr>
                <w:spacing w:val="16"/>
              </w:rPr>
              <w:t xml:space="preserve"> </w:t>
            </w:r>
            <w:r>
              <w:rPr>
                <w:spacing w:val="1"/>
              </w:rPr>
              <w:t>表</w:t>
            </w:r>
            <w:r>
              <w:rPr>
                <w:spacing w:val="-19"/>
              </w:rPr>
              <w:t xml:space="preserve"> </w:t>
            </w:r>
            <w:r>
              <w:rPr>
                <w:rFonts w:ascii="Times New Roman" w:hAnsi="Times New Roman" w:eastAsia="Times New Roman" w:cs="Times New Roman"/>
                <w:spacing w:val="1"/>
              </w:rPr>
              <w:t xml:space="preserve">1 </w:t>
            </w:r>
            <w:r>
              <w:rPr>
                <w:spacing w:val="1"/>
              </w:rPr>
              <w:t>基本项目及石油烃。</w:t>
            </w:r>
          </w:p>
          <w:p w14:paraId="79E900AD">
            <w:pPr>
              <w:pStyle w:val="6"/>
              <w:spacing w:line="288" w:lineRule="auto"/>
              <w:ind w:left="7" w:firstLine="1"/>
              <w:jc w:val="both"/>
            </w:pPr>
            <w:r>
              <w:rPr>
                <w:spacing w:val="9"/>
              </w:rPr>
              <w:t>牧草地：《土壤环境质量 农用地土壤污</w:t>
            </w:r>
            <w:r>
              <w:rPr>
                <w:spacing w:val="6"/>
              </w:rPr>
              <w:t xml:space="preserve">  </w:t>
            </w:r>
            <w:r>
              <w:rPr>
                <w:spacing w:val="-11"/>
              </w:rPr>
              <w:t>染风险管控标准（试行）》（</w:t>
            </w:r>
            <w:r>
              <w:rPr>
                <w:rFonts w:ascii="Times New Roman" w:hAnsi="Times New Roman" w:eastAsia="Times New Roman" w:cs="Times New Roman"/>
                <w:spacing w:val="-11"/>
              </w:rPr>
              <w:t>GB15618-2018</w:t>
            </w:r>
            <w:r>
              <w:rPr>
                <w:spacing w:val="-11"/>
              </w:rPr>
              <w:t>）</w:t>
            </w:r>
            <w:r>
              <w:rPr>
                <w:spacing w:val="2"/>
              </w:rPr>
              <w:t xml:space="preserve"> </w:t>
            </w:r>
            <w:r>
              <w:rPr>
                <w:spacing w:val="1"/>
              </w:rPr>
              <w:t>表</w:t>
            </w:r>
            <w:r>
              <w:rPr>
                <w:spacing w:val="-19"/>
              </w:rPr>
              <w:t xml:space="preserve"> </w:t>
            </w:r>
            <w:r>
              <w:rPr>
                <w:rFonts w:ascii="Times New Roman" w:hAnsi="Times New Roman" w:eastAsia="Times New Roman" w:cs="Times New Roman"/>
                <w:spacing w:val="1"/>
              </w:rPr>
              <w:t xml:space="preserve">1 </w:t>
            </w:r>
            <w:r>
              <w:rPr>
                <w:spacing w:val="1"/>
              </w:rPr>
              <w:t>基本项目及石油烃；</w:t>
            </w:r>
          </w:p>
          <w:p w14:paraId="0754AB68">
            <w:pPr>
              <w:pStyle w:val="6"/>
              <w:spacing w:line="226" w:lineRule="auto"/>
              <w:ind w:left="10"/>
            </w:pPr>
            <w:r>
              <w:rPr>
                <w:spacing w:val="5"/>
              </w:rPr>
              <w:t>后续监测：</w:t>
            </w:r>
          </w:p>
          <w:p w14:paraId="48C11240">
            <w:pPr>
              <w:pStyle w:val="6"/>
              <w:spacing w:before="66" w:line="288" w:lineRule="auto"/>
              <w:ind w:left="7" w:right="3"/>
            </w:pPr>
            <w:r>
              <w:rPr>
                <w:spacing w:val="8"/>
              </w:rPr>
              <w:t>选厂：铅、砷、石油烃以及初次监测结果</w:t>
            </w:r>
            <w:r>
              <w:rPr>
                <w:spacing w:val="13"/>
              </w:rPr>
              <w:t xml:space="preserve"> </w:t>
            </w:r>
            <w:r>
              <w:rPr>
                <w:spacing w:val="6"/>
              </w:rPr>
              <w:t>超标的项目；</w:t>
            </w:r>
          </w:p>
          <w:p w14:paraId="7A491956">
            <w:pPr>
              <w:pStyle w:val="6"/>
              <w:spacing w:before="2" w:line="259" w:lineRule="auto"/>
              <w:ind w:left="12" w:right="3" w:hanging="3"/>
            </w:pPr>
            <w:r>
              <w:rPr>
                <w:spacing w:val="8"/>
              </w:rPr>
              <w:t>牧草地：铅、砷、石油烃以及初次监测结</w:t>
            </w:r>
            <w:r>
              <w:rPr>
                <w:spacing w:val="11"/>
              </w:rPr>
              <w:t xml:space="preserve"> </w:t>
            </w:r>
            <w:r>
              <w:rPr>
                <w:spacing w:val="6"/>
              </w:rPr>
              <w:t>果超标的项目。</w:t>
            </w:r>
          </w:p>
        </w:tc>
        <w:tc>
          <w:tcPr>
            <w:tcW w:w="1055" w:type="dxa"/>
            <w:vAlign w:val="top"/>
          </w:tcPr>
          <w:p w14:paraId="7600AE01">
            <w:pPr>
              <w:spacing w:line="245" w:lineRule="auto"/>
              <w:rPr>
                <w:rFonts w:ascii="Arial"/>
                <w:sz w:val="21"/>
              </w:rPr>
            </w:pPr>
          </w:p>
          <w:p w14:paraId="45893386">
            <w:pPr>
              <w:spacing w:line="245" w:lineRule="auto"/>
              <w:rPr>
                <w:rFonts w:ascii="Arial"/>
                <w:sz w:val="21"/>
              </w:rPr>
            </w:pPr>
          </w:p>
          <w:p w14:paraId="0968A815">
            <w:pPr>
              <w:spacing w:line="246" w:lineRule="auto"/>
              <w:rPr>
                <w:rFonts w:ascii="Arial"/>
                <w:sz w:val="21"/>
              </w:rPr>
            </w:pPr>
          </w:p>
          <w:p w14:paraId="393F0CD3">
            <w:pPr>
              <w:spacing w:line="246" w:lineRule="auto"/>
              <w:rPr>
                <w:rFonts w:ascii="Arial"/>
                <w:sz w:val="21"/>
              </w:rPr>
            </w:pPr>
          </w:p>
          <w:p w14:paraId="4E09F227">
            <w:pPr>
              <w:spacing w:line="246" w:lineRule="auto"/>
              <w:rPr>
                <w:rFonts w:ascii="Arial"/>
                <w:sz w:val="21"/>
              </w:rPr>
            </w:pPr>
          </w:p>
          <w:p w14:paraId="6FDDFB23">
            <w:pPr>
              <w:pStyle w:val="6"/>
              <w:tabs>
                <w:tab w:val="left" w:pos="141"/>
              </w:tabs>
              <w:spacing w:before="65" w:line="289" w:lineRule="auto"/>
              <w:ind w:left="10" w:right="50"/>
              <w:jc w:val="right"/>
            </w:pPr>
            <w:r>
              <w:rPr>
                <w:spacing w:val="-3"/>
              </w:rPr>
              <w:t>深层土壤：</w:t>
            </w:r>
            <w:r>
              <w:rPr>
                <w:spacing w:val="2"/>
              </w:rPr>
              <w:t xml:space="preserve"> </w:t>
            </w:r>
            <w:r>
              <w:rPr>
                <w:rFonts w:ascii="Times New Roman" w:hAnsi="Times New Roman" w:eastAsia="Times New Roman" w:cs="Times New Roman"/>
              </w:rPr>
              <w:tab/>
            </w:r>
            <w:r>
              <w:rPr>
                <w:rFonts w:ascii="Times New Roman" w:hAnsi="Times New Roman" w:eastAsia="Times New Roman" w:cs="Times New Roman"/>
                <w:spacing w:val="-8"/>
              </w:rPr>
              <w:t>3</w:t>
            </w:r>
            <w:r>
              <w:rPr>
                <w:rFonts w:ascii="Times New Roman" w:hAnsi="Times New Roman" w:eastAsia="Times New Roman" w:cs="Times New Roman"/>
                <w:spacing w:val="13"/>
              </w:rPr>
              <w:t xml:space="preserve"> </w:t>
            </w:r>
            <w:r>
              <w:rPr>
                <w:spacing w:val="-8"/>
              </w:rPr>
              <w:t>年</w:t>
            </w:r>
            <w:r>
              <w:rPr>
                <w:spacing w:val="-21"/>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5"/>
                <w:w w:val="101"/>
              </w:rPr>
              <w:t xml:space="preserve"> </w:t>
            </w:r>
            <w:r>
              <w:rPr>
                <w:spacing w:val="-8"/>
              </w:rPr>
              <w:t>次</w:t>
            </w:r>
            <w:r>
              <w:t xml:space="preserve">  </w:t>
            </w:r>
            <w:r>
              <w:rPr>
                <w:spacing w:val="-3"/>
              </w:rPr>
              <w:t>表层土壤：</w:t>
            </w:r>
            <w:r>
              <w:rPr>
                <w:spacing w:val="3"/>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年</w:t>
            </w:r>
            <w:r>
              <w:rPr>
                <w:spacing w:val="-21"/>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p>
        </w:tc>
        <w:tc>
          <w:tcPr>
            <w:tcW w:w="877" w:type="dxa"/>
            <w:vMerge w:val="continue"/>
            <w:tcBorders>
              <w:top w:val="nil"/>
              <w:bottom w:val="nil"/>
            </w:tcBorders>
            <w:vAlign w:val="top"/>
          </w:tcPr>
          <w:p w14:paraId="0BD7E0B8">
            <w:pPr>
              <w:rPr>
                <w:rFonts w:ascii="Arial"/>
                <w:sz w:val="21"/>
              </w:rPr>
            </w:pPr>
          </w:p>
        </w:tc>
      </w:tr>
      <w:tr w14:paraId="172E5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9" w:type="dxa"/>
            <w:vMerge w:val="continue"/>
            <w:tcBorders>
              <w:top w:val="nil"/>
            </w:tcBorders>
            <w:textDirection w:val="tbRlV"/>
            <w:vAlign w:val="top"/>
          </w:tcPr>
          <w:p w14:paraId="142C2421">
            <w:pPr>
              <w:rPr>
                <w:rFonts w:ascii="Arial"/>
                <w:sz w:val="21"/>
              </w:rPr>
            </w:pPr>
          </w:p>
        </w:tc>
        <w:tc>
          <w:tcPr>
            <w:tcW w:w="1361" w:type="dxa"/>
            <w:vAlign w:val="top"/>
          </w:tcPr>
          <w:p w14:paraId="0099A3FE">
            <w:pPr>
              <w:pStyle w:val="6"/>
              <w:spacing w:before="69" w:line="228" w:lineRule="auto"/>
              <w:ind w:left="53"/>
            </w:pPr>
            <w:r>
              <w:rPr>
                <w:spacing w:val="8"/>
              </w:rPr>
              <w:t>信息公开指标</w:t>
            </w:r>
          </w:p>
        </w:tc>
        <w:tc>
          <w:tcPr>
            <w:tcW w:w="5868" w:type="dxa"/>
            <w:gridSpan w:val="3"/>
            <w:vAlign w:val="top"/>
          </w:tcPr>
          <w:p w14:paraId="5CEB4D78">
            <w:pPr>
              <w:pStyle w:val="6"/>
              <w:spacing w:before="69" w:line="228" w:lineRule="auto"/>
              <w:ind w:left="1261"/>
            </w:pPr>
            <w:r>
              <w:rPr>
                <w:spacing w:val="9"/>
              </w:rPr>
              <w:t>监测点位信息、监测项目、监测结果</w:t>
            </w:r>
          </w:p>
        </w:tc>
        <w:tc>
          <w:tcPr>
            <w:tcW w:w="877" w:type="dxa"/>
            <w:vMerge w:val="continue"/>
            <w:tcBorders>
              <w:top w:val="nil"/>
            </w:tcBorders>
            <w:vAlign w:val="top"/>
          </w:tcPr>
          <w:p w14:paraId="31667E40">
            <w:pPr>
              <w:rPr>
                <w:rFonts w:ascii="Arial"/>
                <w:sz w:val="21"/>
              </w:rPr>
            </w:pPr>
          </w:p>
        </w:tc>
      </w:tr>
      <w:tr w14:paraId="715DF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90" w:type="dxa"/>
            <w:gridSpan w:val="2"/>
            <w:vAlign w:val="top"/>
          </w:tcPr>
          <w:p w14:paraId="4A268BFD">
            <w:pPr>
              <w:pStyle w:val="6"/>
              <w:spacing w:before="70" w:line="226" w:lineRule="auto"/>
              <w:ind w:left="429"/>
            </w:pPr>
            <w:r>
              <w:rPr>
                <w:spacing w:val="7"/>
              </w:rPr>
              <w:t>评价结论</w:t>
            </w:r>
          </w:p>
        </w:tc>
        <w:tc>
          <w:tcPr>
            <w:tcW w:w="5868" w:type="dxa"/>
            <w:gridSpan w:val="3"/>
            <w:vAlign w:val="top"/>
          </w:tcPr>
          <w:p w14:paraId="4FF31641">
            <w:pPr>
              <w:pStyle w:val="6"/>
              <w:spacing w:before="70" w:line="227" w:lineRule="auto"/>
              <w:ind w:left="1365"/>
            </w:pPr>
            <w:r>
              <w:rPr>
                <w:spacing w:val="9"/>
              </w:rPr>
              <w:t>采取环评提出的措施，影响可接受</w:t>
            </w:r>
          </w:p>
        </w:tc>
        <w:tc>
          <w:tcPr>
            <w:tcW w:w="877" w:type="dxa"/>
            <w:vAlign w:val="top"/>
          </w:tcPr>
          <w:p w14:paraId="5BE9C6ED">
            <w:pPr>
              <w:rPr>
                <w:rFonts w:ascii="Arial"/>
                <w:sz w:val="21"/>
              </w:rPr>
            </w:pPr>
          </w:p>
        </w:tc>
      </w:tr>
      <w:tr w14:paraId="73D4B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435" w:type="dxa"/>
            <w:gridSpan w:val="6"/>
            <w:vAlign w:val="top"/>
          </w:tcPr>
          <w:p w14:paraId="091DC63D">
            <w:pPr>
              <w:pStyle w:val="6"/>
              <w:spacing w:before="18" w:line="281" w:lineRule="exact"/>
              <w:ind w:left="804"/>
            </w:pPr>
            <w:r>
              <w:rPr>
                <w:spacing w:val="4"/>
              </w:rPr>
              <w:t>注</w:t>
            </w:r>
            <w:r>
              <w:rPr>
                <w:spacing w:val="-23"/>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2"/>
              </w:rPr>
              <w:t xml:space="preserve"> </w:t>
            </w:r>
            <w:r>
              <w:rPr>
                <w:spacing w:val="4"/>
              </w:rPr>
              <w:t>：</w:t>
            </w:r>
            <w:r>
              <w:rPr>
                <w:rFonts w:ascii="Times New Roman" w:hAnsi="Times New Roman" w:eastAsia="Times New Roman" w:cs="Times New Roman"/>
                <w:spacing w:val="4"/>
              </w:rPr>
              <w:t>“</w:t>
            </w:r>
            <w:r>
              <w:rPr>
                <w:rFonts w:ascii="Times New Roman" w:hAnsi="Times New Roman" w:eastAsia="Times New Roman" w:cs="Times New Roman"/>
                <w:spacing w:val="-34"/>
              </w:rPr>
              <w:t xml:space="preserve"> </w:t>
            </w:r>
            <w:r>
              <w:rPr>
                <w:rFonts w:ascii="Times New Roman" w:hAnsi="Times New Roman" w:eastAsia="Times New Roman" w:cs="Times New Roman"/>
                <w:spacing w:val="4"/>
              </w:rPr>
              <w:t>□”</w:t>
            </w:r>
            <w:r>
              <w:rPr>
                <w:spacing w:val="4"/>
              </w:rPr>
              <w:t>为勾选项，可</w:t>
            </w:r>
            <w:r>
              <w:rPr>
                <w:rFonts w:ascii="Times New Roman" w:hAnsi="Times New Roman" w:eastAsia="Times New Roman" w:cs="Times New Roman"/>
                <w:spacing w:val="4"/>
              </w:rPr>
              <w:t>√</w:t>
            </w:r>
            <w:r>
              <w:rPr>
                <w:rFonts w:ascii="Times New Roman" w:hAnsi="Times New Roman" w:eastAsia="Times New Roman" w:cs="Times New Roman"/>
                <w:spacing w:val="-21"/>
              </w:rPr>
              <w:t xml:space="preserve"> </w:t>
            </w:r>
            <w:r>
              <w:rPr>
                <w:spacing w:val="4"/>
              </w:rPr>
              <w:t>;</w:t>
            </w:r>
            <w:r>
              <w:rPr>
                <w:spacing w:val="57"/>
              </w:rPr>
              <w:t xml:space="preserve"> </w:t>
            </w:r>
            <w:r>
              <w:rPr>
                <w:rFonts w:ascii="Times New Roman" w:hAnsi="Times New Roman" w:eastAsia="Times New Roman" w:cs="Times New Roman"/>
                <w:spacing w:val="4"/>
              </w:rPr>
              <w:t xml:space="preserve">“  </w:t>
            </w:r>
            <w:r>
              <w:rPr>
                <w:spacing w:val="4"/>
              </w:rPr>
              <w:t xml:space="preserve">() </w:t>
            </w:r>
            <w:r>
              <w:rPr>
                <w:rFonts w:ascii="Times New Roman" w:hAnsi="Times New Roman" w:eastAsia="Times New Roman" w:cs="Times New Roman"/>
                <w:spacing w:val="4"/>
              </w:rPr>
              <w:t>”</w:t>
            </w:r>
            <w:r>
              <w:rPr>
                <w:spacing w:val="4"/>
              </w:rPr>
              <w:t>为内容填写项</w:t>
            </w:r>
            <w:r>
              <w:rPr>
                <w:spacing w:val="3"/>
              </w:rPr>
              <w:t>；</w:t>
            </w:r>
            <w:r>
              <w:rPr>
                <w:rFonts w:ascii="Times New Roman" w:hAnsi="Times New Roman" w:eastAsia="Times New Roman" w:cs="Times New Roman"/>
                <w:spacing w:val="3"/>
              </w:rPr>
              <w:t>“</w:t>
            </w:r>
            <w:r>
              <w:rPr>
                <w:spacing w:val="3"/>
              </w:rPr>
              <w:t>备注</w:t>
            </w:r>
            <w:r>
              <w:rPr>
                <w:rFonts w:ascii="Times New Roman" w:hAnsi="Times New Roman" w:eastAsia="Times New Roman" w:cs="Times New Roman"/>
                <w:spacing w:val="3"/>
              </w:rPr>
              <w:t>”</w:t>
            </w:r>
            <w:r>
              <w:rPr>
                <w:spacing w:val="3"/>
              </w:rPr>
              <w:t>为其他补充内容。</w:t>
            </w:r>
          </w:p>
          <w:p w14:paraId="36A1F000">
            <w:pPr>
              <w:pStyle w:val="6"/>
              <w:spacing w:before="68" w:line="225" w:lineRule="auto"/>
              <w:ind w:left="1203"/>
            </w:pPr>
            <w:r>
              <w:rPr>
                <w:spacing w:val="8"/>
              </w:rPr>
              <w:t>注</w:t>
            </w:r>
            <w:r>
              <w:rPr>
                <w:spacing w:val="-43"/>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23"/>
              </w:rPr>
              <w:t xml:space="preserve"> </w:t>
            </w:r>
            <w:r>
              <w:rPr>
                <w:spacing w:val="8"/>
              </w:rPr>
              <w:t>：需要分别开展土壤环境影响评级工作的，分别填写自查表。</w:t>
            </w:r>
          </w:p>
        </w:tc>
      </w:tr>
    </w:tbl>
    <w:p w14:paraId="3724A41A">
      <w:pPr>
        <w:pStyle w:val="2"/>
      </w:pPr>
    </w:p>
    <w:p w14:paraId="35D081DF">
      <w:pPr>
        <w:sectPr>
          <w:footerReference r:id="rId393" w:type="default"/>
          <w:pgSz w:w="11906" w:h="16839"/>
          <w:pgMar w:top="1208" w:right="1670" w:bottom="1358" w:left="1785" w:header="825" w:footer="1195" w:gutter="0"/>
          <w:cols w:space="720" w:num="1"/>
        </w:sectPr>
      </w:pPr>
    </w:p>
    <w:p w14:paraId="30C65E7C">
      <w:pPr>
        <w:spacing w:before="270" w:line="222" w:lineRule="auto"/>
        <w:ind w:left="17"/>
        <w:outlineLvl w:val="0"/>
        <w:rPr>
          <w:rFonts w:ascii="黑体" w:hAnsi="黑体" w:eastAsia="黑体" w:cs="黑体"/>
          <w:sz w:val="28"/>
          <w:szCs w:val="28"/>
        </w:rPr>
      </w:pPr>
      <w:bookmarkStart w:id="166" w:name="bookmark147"/>
      <w:bookmarkEnd w:id="166"/>
      <w:r>
        <w:rPr>
          <w:rFonts w:ascii="黑体" w:hAnsi="黑体" w:eastAsia="黑体" w:cs="黑体"/>
          <w:b/>
          <w:bCs/>
          <w:spacing w:val="-4"/>
          <w:sz w:val="28"/>
          <w:szCs w:val="28"/>
        </w:rPr>
        <w:t>9</w:t>
      </w:r>
      <w:r>
        <w:rPr>
          <w:rFonts w:ascii="黑体" w:hAnsi="黑体" w:eastAsia="黑体" w:cs="黑体"/>
          <w:spacing w:val="-48"/>
          <w:sz w:val="28"/>
          <w:szCs w:val="28"/>
        </w:rPr>
        <w:t xml:space="preserve"> </w:t>
      </w:r>
      <w:r>
        <w:rPr>
          <w:rFonts w:ascii="黑体" w:hAnsi="黑体" w:eastAsia="黑体" w:cs="黑体"/>
          <w:b/>
          <w:bCs/>
          <w:spacing w:val="-4"/>
          <w:sz w:val="28"/>
          <w:szCs w:val="28"/>
        </w:rPr>
        <w:t>污染防治对策及可行性分析</w:t>
      </w:r>
    </w:p>
    <w:p w14:paraId="2F9A0A33">
      <w:pPr>
        <w:pStyle w:val="2"/>
        <w:spacing w:line="271" w:lineRule="auto"/>
      </w:pPr>
    </w:p>
    <w:p w14:paraId="5829C5D0">
      <w:pPr>
        <w:spacing w:before="91" w:line="222" w:lineRule="auto"/>
        <w:ind w:left="22"/>
        <w:outlineLvl w:val="1"/>
        <w:rPr>
          <w:rFonts w:ascii="黑体" w:hAnsi="黑体" w:eastAsia="黑体" w:cs="黑体"/>
          <w:sz w:val="28"/>
          <w:szCs w:val="28"/>
        </w:rPr>
      </w:pPr>
      <w:bookmarkStart w:id="167" w:name="bookmark148"/>
      <w:bookmarkEnd w:id="167"/>
      <w:r>
        <w:rPr>
          <w:rFonts w:ascii="Times New Roman" w:hAnsi="Times New Roman" w:eastAsia="Times New Roman" w:cs="Times New Roman"/>
          <w:b/>
          <w:bCs/>
          <w:spacing w:val="-2"/>
          <w:sz w:val="28"/>
          <w:szCs w:val="28"/>
        </w:rPr>
        <w:t xml:space="preserve">9.1 </w:t>
      </w:r>
      <w:r>
        <w:rPr>
          <w:rFonts w:ascii="黑体" w:hAnsi="黑体" w:eastAsia="黑体" w:cs="黑体"/>
          <w:b/>
          <w:bCs/>
          <w:spacing w:val="-2"/>
          <w:sz w:val="28"/>
          <w:szCs w:val="28"/>
        </w:rPr>
        <w:t>大气污染防治措施</w:t>
      </w:r>
    </w:p>
    <w:p w14:paraId="01676314">
      <w:pPr>
        <w:spacing w:before="256"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）装卸及运输扬尘</w:t>
      </w:r>
    </w:p>
    <w:p w14:paraId="3CA98BC9">
      <w:pPr>
        <w:spacing w:before="182" w:line="360" w:lineRule="auto"/>
        <w:ind w:left="22" w:firstLine="486"/>
        <w:rPr>
          <w:rFonts w:ascii="宋体" w:hAnsi="宋体" w:eastAsia="宋体" w:cs="宋体"/>
          <w:sz w:val="24"/>
          <w:szCs w:val="24"/>
        </w:rPr>
      </w:pPr>
      <w:r>
        <w:rPr>
          <w:rFonts w:ascii="宋体" w:hAnsi="宋体" w:eastAsia="宋体" w:cs="宋体"/>
          <w:sz w:val="24"/>
          <w:szCs w:val="24"/>
        </w:rPr>
        <w:t>原矿堆存于原矿堆场内，原矿堆场四周设置</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8m </w:t>
      </w:r>
      <w:r>
        <w:rPr>
          <w:rFonts w:ascii="宋体" w:hAnsi="宋体" w:eastAsia="宋体" w:cs="宋体"/>
          <w:sz w:val="24"/>
          <w:szCs w:val="24"/>
        </w:rPr>
        <w:t>高防</w:t>
      </w:r>
      <w:r>
        <w:rPr>
          <w:rFonts w:ascii="宋体" w:hAnsi="宋体" w:eastAsia="宋体" w:cs="宋体"/>
          <w:spacing w:val="-1"/>
          <w:sz w:val="24"/>
          <w:szCs w:val="24"/>
        </w:rPr>
        <w:t>风抑尘网，地面硬化，</w:t>
      </w:r>
      <w:r>
        <w:rPr>
          <w:rFonts w:ascii="宋体" w:hAnsi="宋体" w:eastAsia="宋体" w:cs="宋体"/>
          <w:sz w:val="24"/>
          <w:szCs w:val="24"/>
        </w:rPr>
        <w:t xml:space="preserve"> </w:t>
      </w:r>
      <w:r>
        <w:rPr>
          <w:rFonts w:ascii="宋体" w:hAnsi="宋体" w:eastAsia="宋体" w:cs="宋体"/>
          <w:spacing w:val="-3"/>
          <w:sz w:val="24"/>
          <w:szCs w:val="24"/>
        </w:rPr>
        <w:t>对于装卸扬尘，卸料处采用微雾抑尘减少扬尘；物料运输车辆在装载货物时不应</w:t>
      </w:r>
      <w:r>
        <w:rPr>
          <w:rFonts w:ascii="宋体" w:hAnsi="宋体" w:eastAsia="宋体" w:cs="宋体"/>
          <w:spacing w:val="1"/>
          <w:sz w:val="24"/>
          <w:szCs w:val="24"/>
        </w:rPr>
        <w:t xml:space="preserve"> </w:t>
      </w:r>
      <w:r>
        <w:rPr>
          <w:rFonts w:ascii="宋体" w:hAnsi="宋体" w:eastAsia="宋体" w:cs="宋体"/>
          <w:spacing w:val="-3"/>
          <w:sz w:val="24"/>
          <w:szCs w:val="24"/>
        </w:rPr>
        <w:t>过满，同时应使用机械或人工铲平物料，物料洒水、加盖篷布以防止物料运输过</w:t>
      </w:r>
      <w:r>
        <w:rPr>
          <w:rFonts w:ascii="宋体" w:hAnsi="宋体" w:eastAsia="宋体" w:cs="宋体"/>
          <w:spacing w:val="1"/>
          <w:sz w:val="24"/>
          <w:szCs w:val="24"/>
        </w:rPr>
        <w:t xml:space="preserve"> </w:t>
      </w:r>
      <w:r>
        <w:rPr>
          <w:rFonts w:ascii="宋体" w:hAnsi="宋体" w:eastAsia="宋体" w:cs="宋体"/>
          <w:spacing w:val="-1"/>
          <w:sz w:val="24"/>
          <w:szCs w:val="24"/>
        </w:rPr>
        <w:t>程沿途撒落，减速慢行、车辆做好外部清洁并及时清洗；厂区内</w:t>
      </w:r>
      <w:r>
        <w:rPr>
          <w:rFonts w:ascii="宋体" w:hAnsi="宋体" w:eastAsia="宋体" w:cs="宋体"/>
          <w:spacing w:val="-2"/>
          <w:sz w:val="24"/>
          <w:szCs w:val="24"/>
        </w:rPr>
        <w:t>保持道路清洁，</w:t>
      </w:r>
      <w:r>
        <w:rPr>
          <w:rFonts w:ascii="宋体" w:hAnsi="宋体" w:eastAsia="宋体" w:cs="宋体"/>
          <w:sz w:val="24"/>
          <w:szCs w:val="24"/>
        </w:rPr>
        <w:t xml:space="preserve"> </w:t>
      </w:r>
      <w:r>
        <w:rPr>
          <w:rFonts w:ascii="宋体" w:hAnsi="宋体" w:eastAsia="宋体" w:cs="宋体"/>
          <w:spacing w:val="-8"/>
          <w:sz w:val="24"/>
          <w:szCs w:val="24"/>
        </w:rPr>
        <w:t>洒水降尘，并对进厂道路进行绿化；且运输车辆需定期检查，如有破损及时修补，</w:t>
      </w:r>
      <w:r>
        <w:rPr>
          <w:rFonts w:ascii="宋体" w:hAnsi="宋体" w:eastAsia="宋体" w:cs="宋体"/>
          <w:spacing w:val="6"/>
          <w:sz w:val="24"/>
          <w:szCs w:val="24"/>
        </w:rPr>
        <w:t xml:space="preserve"> </w:t>
      </w:r>
      <w:r>
        <w:rPr>
          <w:rFonts w:ascii="宋体" w:hAnsi="宋体" w:eastAsia="宋体" w:cs="宋体"/>
          <w:spacing w:val="-3"/>
          <w:sz w:val="24"/>
          <w:szCs w:val="24"/>
        </w:rPr>
        <w:t>以免矿砂撒落，造成二次扬尘。经以上措施治理后，无组织粉尘可以得到有效的</w:t>
      </w:r>
      <w:r>
        <w:rPr>
          <w:rFonts w:ascii="宋体" w:hAnsi="宋体" w:eastAsia="宋体" w:cs="宋体"/>
          <w:spacing w:val="1"/>
          <w:sz w:val="24"/>
          <w:szCs w:val="24"/>
        </w:rPr>
        <w:t xml:space="preserve"> </w:t>
      </w:r>
      <w:r>
        <w:rPr>
          <w:rFonts w:ascii="宋体" w:hAnsi="宋体" w:eastAsia="宋体" w:cs="宋体"/>
          <w:spacing w:val="-1"/>
          <w:sz w:val="24"/>
          <w:szCs w:val="24"/>
        </w:rPr>
        <w:t>控制，在技术上可行。</w:t>
      </w:r>
    </w:p>
    <w:p w14:paraId="64CDE854">
      <w:pPr>
        <w:spacing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）粗碎及中间堆场粉尘</w:t>
      </w:r>
    </w:p>
    <w:p w14:paraId="21957050">
      <w:pPr>
        <w:spacing w:before="183" w:line="360" w:lineRule="auto"/>
        <w:ind w:left="22" w:firstLine="480"/>
        <w:rPr>
          <w:rFonts w:ascii="宋体" w:hAnsi="宋体" w:eastAsia="宋体" w:cs="宋体"/>
          <w:sz w:val="24"/>
          <w:szCs w:val="24"/>
        </w:rPr>
      </w:pPr>
      <w:r>
        <w:rPr>
          <w:rFonts w:ascii="宋体" w:hAnsi="宋体" w:eastAsia="宋体" w:cs="宋体"/>
          <w:spacing w:val="-3"/>
          <w:sz w:val="24"/>
          <w:szCs w:val="24"/>
        </w:rPr>
        <w:t>粗碎及中间堆场全部采取封闭形式，在新增设备及现有设备各产</w:t>
      </w:r>
      <w:r>
        <w:rPr>
          <w:rFonts w:ascii="宋体" w:hAnsi="宋体" w:eastAsia="宋体" w:cs="宋体"/>
          <w:spacing w:val="-4"/>
          <w:sz w:val="24"/>
          <w:szCs w:val="24"/>
        </w:rPr>
        <w:t>尘点中的鄂</w:t>
      </w:r>
      <w:r>
        <w:rPr>
          <w:rFonts w:ascii="宋体" w:hAnsi="宋体" w:eastAsia="宋体" w:cs="宋体"/>
          <w:sz w:val="24"/>
          <w:szCs w:val="24"/>
        </w:rPr>
        <w:t xml:space="preserve"> </w:t>
      </w:r>
      <w:r>
        <w:rPr>
          <w:rFonts w:ascii="宋体" w:hAnsi="宋体" w:eastAsia="宋体" w:cs="宋体"/>
          <w:spacing w:val="-3"/>
          <w:sz w:val="24"/>
          <w:szCs w:val="24"/>
        </w:rPr>
        <w:t>式破碎机、圆锥破碎机、皮带落料点等产尘点设置集气罩，采用水喷淋设施洒水</w:t>
      </w:r>
      <w:r>
        <w:rPr>
          <w:rFonts w:ascii="宋体" w:hAnsi="宋体" w:eastAsia="宋体" w:cs="宋体"/>
          <w:spacing w:val="1"/>
          <w:sz w:val="24"/>
          <w:szCs w:val="24"/>
        </w:rPr>
        <w:t xml:space="preserve"> </w:t>
      </w:r>
      <w:r>
        <w:rPr>
          <w:rFonts w:ascii="宋体" w:hAnsi="宋体" w:eastAsia="宋体" w:cs="宋体"/>
          <w:spacing w:val="-10"/>
          <w:sz w:val="24"/>
          <w:szCs w:val="24"/>
        </w:rPr>
        <w:t>抑尘，升级改造现有除尘器同时增加</w:t>
      </w:r>
      <w:r>
        <w:rPr>
          <w:rFonts w:ascii="宋体" w:hAnsi="宋体" w:eastAsia="宋体" w:cs="宋体"/>
          <w:spacing w:val="-30"/>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8"/>
          <w:w w:val="101"/>
          <w:sz w:val="24"/>
          <w:szCs w:val="24"/>
        </w:rPr>
        <w:t xml:space="preserve"> </w:t>
      </w:r>
      <w:r>
        <w:rPr>
          <w:rFonts w:ascii="宋体" w:hAnsi="宋体" w:eastAsia="宋体" w:cs="宋体"/>
          <w:spacing w:val="-10"/>
          <w:sz w:val="24"/>
          <w:szCs w:val="24"/>
        </w:rPr>
        <w:t>台同型号的除尘器，集气罩集气率为</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90%</w:t>
      </w:r>
      <w:r>
        <w:rPr>
          <w:rFonts w:ascii="宋体" w:hAnsi="宋体" w:eastAsia="宋体" w:cs="宋体"/>
          <w:spacing w:val="-10"/>
          <w:sz w:val="24"/>
          <w:szCs w:val="24"/>
        </w:rPr>
        <w:t>，</w:t>
      </w:r>
      <w:r>
        <w:rPr>
          <w:rFonts w:ascii="宋体" w:hAnsi="宋体" w:eastAsia="宋体" w:cs="宋体"/>
          <w:sz w:val="24"/>
          <w:szCs w:val="24"/>
        </w:rPr>
        <w:t xml:space="preserve"> 除尘效率为</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99.5%</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，除尘后经</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 xml:space="preserve">2 </w:t>
      </w:r>
      <w:r>
        <w:rPr>
          <w:rFonts w:ascii="宋体" w:hAnsi="宋体" w:eastAsia="宋体" w:cs="宋体"/>
          <w:sz w:val="24"/>
          <w:szCs w:val="24"/>
        </w:rPr>
        <w:t>根</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15m</w:t>
      </w:r>
      <w:r>
        <w:rPr>
          <w:rFonts w:ascii="Times New Roman" w:hAnsi="Times New Roman" w:eastAsia="Times New Roman" w:cs="Times New Roman"/>
          <w:spacing w:val="19"/>
          <w:w w:val="101"/>
          <w:sz w:val="24"/>
          <w:szCs w:val="24"/>
        </w:rPr>
        <w:t xml:space="preserve"> </w:t>
      </w:r>
      <w:r>
        <w:rPr>
          <w:rFonts w:ascii="宋体" w:hAnsi="宋体" w:eastAsia="宋体" w:cs="宋体"/>
          <w:sz w:val="24"/>
          <w:szCs w:val="24"/>
        </w:rPr>
        <w:t xml:space="preserve">高排气筒排放，外部皮带输送机设置密 </w:t>
      </w:r>
      <w:r>
        <w:rPr>
          <w:rFonts w:ascii="宋体" w:hAnsi="宋体" w:eastAsia="宋体" w:cs="宋体"/>
          <w:spacing w:val="-1"/>
          <w:sz w:val="24"/>
          <w:szCs w:val="24"/>
        </w:rPr>
        <w:t>封长廊，上料口三面围挡</w:t>
      </w:r>
      <w:r>
        <w:rPr>
          <w:rFonts w:ascii="Times New Roman" w:hAnsi="Times New Roman" w:eastAsia="Times New Roman" w:cs="Times New Roman"/>
          <w:spacing w:val="-1"/>
          <w:sz w:val="24"/>
          <w:szCs w:val="24"/>
        </w:rPr>
        <w:t>+</w:t>
      </w:r>
      <w:r>
        <w:rPr>
          <w:rFonts w:ascii="宋体" w:hAnsi="宋体" w:eastAsia="宋体" w:cs="宋体"/>
          <w:spacing w:val="-1"/>
          <w:sz w:val="24"/>
          <w:szCs w:val="24"/>
        </w:rPr>
        <w:t>喷淋抑尘，干选车间为全封闭厂房。</w:t>
      </w:r>
    </w:p>
    <w:p w14:paraId="6EECE61D">
      <w:pPr>
        <w:spacing w:before="5" w:line="359" w:lineRule="auto"/>
        <w:ind w:left="24" w:right="61" w:firstLine="479"/>
        <w:jc w:val="both"/>
        <w:rPr>
          <w:rFonts w:ascii="宋体" w:hAnsi="宋体" w:eastAsia="宋体" w:cs="宋体"/>
          <w:sz w:val="24"/>
          <w:szCs w:val="24"/>
        </w:rPr>
      </w:pPr>
      <w:r>
        <w:rPr>
          <w:rFonts w:ascii="宋体" w:hAnsi="宋体" w:eastAsia="宋体" w:cs="宋体"/>
          <w:spacing w:val="-3"/>
          <w:sz w:val="24"/>
          <w:szCs w:val="24"/>
        </w:rPr>
        <w:t>布袋除尘技术属国内外应用较多的成熟技术，除尘效率高、适用</w:t>
      </w:r>
      <w:r>
        <w:rPr>
          <w:rFonts w:ascii="宋体" w:hAnsi="宋体" w:eastAsia="宋体" w:cs="宋体"/>
          <w:spacing w:val="-4"/>
          <w:sz w:val="24"/>
          <w:szCs w:val="24"/>
        </w:rPr>
        <w:t>范围广，可</w:t>
      </w:r>
      <w:r>
        <w:rPr>
          <w:rFonts w:ascii="宋体" w:hAnsi="宋体" w:eastAsia="宋体" w:cs="宋体"/>
          <w:sz w:val="24"/>
          <w:szCs w:val="24"/>
        </w:rPr>
        <w:t xml:space="preserve"> </w:t>
      </w:r>
      <w:r>
        <w:rPr>
          <w:rFonts w:ascii="宋体" w:hAnsi="宋体" w:eastAsia="宋体" w:cs="宋体"/>
          <w:spacing w:val="-2"/>
          <w:sz w:val="24"/>
          <w:szCs w:val="24"/>
        </w:rPr>
        <w:t>附带去除吸附在颗粒物上的重金属。当烟气温度低于</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120℃</w:t>
      </w:r>
      <w:r>
        <w:rPr>
          <w:rFonts w:ascii="宋体" w:hAnsi="宋体" w:eastAsia="宋体" w:cs="宋体"/>
          <w:spacing w:val="-2"/>
          <w:sz w:val="24"/>
          <w:szCs w:val="24"/>
        </w:rPr>
        <w:t>时，</w:t>
      </w:r>
      <w:r>
        <w:rPr>
          <w:rFonts w:ascii="宋体" w:hAnsi="宋体" w:eastAsia="宋体" w:cs="宋体"/>
          <w:spacing w:val="-3"/>
          <w:sz w:val="24"/>
          <w:szCs w:val="24"/>
        </w:rPr>
        <w:t>可选用涤纶绒布</w:t>
      </w:r>
      <w:r>
        <w:rPr>
          <w:rFonts w:ascii="宋体" w:hAnsi="宋体" w:eastAsia="宋体" w:cs="宋体"/>
          <w:sz w:val="24"/>
          <w:szCs w:val="24"/>
        </w:rPr>
        <w:t xml:space="preserve"> </w:t>
      </w:r>
      <w:r>
        <w:rPr>
          <w:rFonts w:ascii="宋体" w:hAnsi="宋体" w:eastAsia="宋体" w:cs="宋体"/>
          <w:spacing w:val="1"/>
          <w:sz w:val="24"/>
          <w:szCs w:val="24"/>
        </w:rPr>
        <w:t>和涤纶针刺毡；烟气温度为</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120</w:t>
      </w:r>
      <w:r>
        <w:rPr>
          <w:rFonts w:ascii="宋体" w:hAnsi="宋体" w:eastAsia="宋体" w:cs="宋体"/>
          <w:spacing w:val="1"/>
          <w:sz w:val="24"/>
          <w:szCs w:val="24"/>
        </w:rPr>
        <w:t>～</w:t>
      </w:r>
      <w:r>
        <w:rPr>
          <w:rFonts w:ascii="Times New Roman" w:hAnsi="Times New Roman" w:eastAsia="Times New Roman" w:cs="Times New Roman"/>
          <w:spacing w:val="1"/>
          <w:sz w:val="24"/>
          <w:szCs w:val="24"/>
        </w:rPr>
        <w:t>250℃</w:t>
      </w:r>
      <w:r>
        <w:rPr>
          <w:rFonts w:ascii="宋体" w:hAnsi="宋体" w:eastAsia="宋体" w:cs="宋体"/>
          <w:spacing w:val="1"/>
          <w:sz w:val="24"/>
          <w:szCs w:val="24"/>
        </w:rPr>
        <w:t>时，可选用石墨化玻璃丝布；为进一步</w:t>
      </w:r>
      <w:r>
        <w:rPr>
          <w:rFonts w:ascii="宋体" w:hAnsi="宋体" w:eastAsia="宋体" w:cs="宋体"/>
          <w:sz w:val="24"/>
          <w:szCs w:val="24"/>
        </w:rPr>
        <w:t xml:space="preserve"> </w:t>
      </w:r>
      <w:r>
        <w:rPr>
          <w:rFonts w:ascii="宋体" w:hAnsi="宋体" w:eastAsia="宋体" w:cs="宋体"/>
          <w:spacing w:val="-1"/>
          <w:sz w:val="24"/>
          <w:szCs w:val="24"/>
        </w:rPr>
        <w:t>提高除尘效率，还可选用覆膜滤料。</w:t>
      </w:r>
    </w:p>
    <w:p w14:paraId="41E78119">
      <w:pPr>
        <w:spacing w:line="360" w:lineRule="auto"/>
        <w:ind w:left="23" w:right="61" w:firstLine="480"/>
        <w:rPr>
          <w:rFonts w:ascii="宋体" w:hAnsi="宋体" w:eastAsia="宋体" w:cs="宋体"/>
          <w:sz w:val="24"/>
          <w:szCs w:val="24"/>
        </w:rPr>
      </w:pPr>
      <w:r>
        <w:rPr>
          <w:rFonts w:ascii="宋体" w:hAnsi="宋体" w:eastAsia="宋体" w:cs="宋体"/>
          <w:spacing w:val="-3"/>
          <w:sz w:val="24"/>
          <w:szCs w:val="24"/>
        </w:rPr>
        <w:t>布袋除尘器也称为过滤式除尘器，是一种干式高效除尘器。它利</w:t>
      </w:r>
      <w:r>
        <w:rPr>
          <w:rFonts w:ascii="宋体" w:hAnsi="宋体" w:eastAsia="宋体" w:cs="宋体"/>
          <w:spacing w:val="-4"/>
          <w:sz w:val="24"/>
          <w:szCs w:val="24"/>
        </w:rPr>
        <w:t>用纤维编织</w:t>
      </w:r>
      <w:r>
        <w:rPr>
          <w:rFonts w:ascii="宋体" w:hAnsi="宋体" w:eastAsia="宋体" w:cs="宋体"/>
          <w:sz w:val="24"/>
          <w:szCs w:val="24"/>
        </w:rPr>
        <w:t xml:space="preserve"> </w:t>
      </w:r>
      <w:r>
        <w:rPr>
          <w:rFonts w:ascii="宋体" w:hAnsi="宋体" w:eastAsia="宋体" w:cs="宋体"/>
          <w:spacing w:val="-1"/>
          <w:sz w:val="24"/>
          <w:szCs w:val="24"/>
        </w:rPr>
        <w:t>物制作的袋式过滤元件来捕集含尘气体中的固体颗粒物。</w:t>
      </w:r>
    </w:p>
    <w:p w14:paraId="68E11076">
      <w:pPr>
        <w:spacing w:before="10" w:line="359" w:lineRule="auto"/>
        <w:ind w:left="23" w:right="61" w:firstLine="480"/>
        <w:rPr>
          <w:rFonts w:ascii="宋体" w:hAnsi="宋体" w:eastAsia="宋体" w:cs="宋体"/>
          <w:sz w:val="24"/>
          <w:szCs w:val="24"/>
        </w:rPr>
      </w:pPr>
      <w:r>
        <w:rPr>
          <w:rFonts w:ascii="宋体" w:hAnsi="宋体" w:eastAsia="宋体" w:cs="宋体"/>
          <w:spacing w:val="-2"/>
          <w:sz w:val="24"/>
          <w:szCs w:val="24"/>
        </w:rPr>
        <w:t>布袋除尘器的特点是除尘效率高，一般可达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99.9%</w:t>
      </w:r>
      <w:r>
        <w:rPr>
          <w:rFonts w:ascii="宋体" w:hAnsi="宋体" w:eastAsia="宋体" w:cs="宋体"/>
          <w:spacing w:val="-2"/>
          <w:sz w:val="24"/>
          <w:szCs w:val="24"/>
        </w:rPr>
        <w:t>以上，适应力强</w:t>
      </w:r>
      <w:r>
        <w:rPr>
          <w:rFonts w:ascii="宋体" w:hAnsi="宋体" w:eastAsia="宋体" w:cs="宋体"/>
          <w:spacing w:val="-3"/>
          <w:sz w:val="24"/>
          <w:szCs w:val="24"/>
        </w:rPr>
        <w:t>，布袋能</w:t>
      </w:r>
      <w:r>
        <w:rPr>
          <w:rFonts w:ascii="宋体" w:hAnsi="宋体" w:eastAsia="宋体" w:cs="宋体"/>
          <w:sz w:val="24"/>
          <w:szCs w:val="24"/>
        </w:rPr>
        <w:t xml:space="preserve"> </w:t>
      </w:r>
      <w:r>
        <w:rPr>
          <w:rFonts w:ascii="宋体" w:hAnsi="宋体" w:eastAsia="宋体" w:cs="宋体"/>
          <w:spacing w:val="-1"/>
          <w:sz w:val="24"/>
          <w:szCs w:val="24"/>
        </w:rPr>
        <w:t>处理不同类型的颗粒物，袋式除尘器对</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10μm</w:t>
      </w:r>
      <w:r>
        <w:rPr>
          <w:rFonts w:ascii="Times New Roman" w:hAnsi="Times New Roman" w:eastAsia="Times New Roman" w:cs="Times New Roman"/>
          <w:spacing w:val="42"/>
          <w:w w:val="101"/>
          <w:sz w:val="24"/>
          <w:szCs w:val="24"/>
        </w:rPr>
        <w:t xml:space="preserve"> </w:t>
      </w:r>
      <w:r>
        <w:rPr>
          <w:rFonts w:ascii="宋体" w:hAnsi="宋体" w:eastAsia="宋体" w:cs="宋体"/>
          <w:spacing w:val="-1"/>
          <w:sz w:val="24"/>
          <w:szCs w:val="24"/>
        </w:rPr>
        <w:t>以下尤其</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1μm</w:t>
      </w:r>
      <w:r>
        <w:rPr>
          <w:rFonts w:ascii="Times New Roman" w:hAnsi="Times New Roman" w:eastAsia="Times New Roman" w:cs="Times New Roman"/>
          <w:spacing w:val="40"/>
          <w:sz w:val="24"/>
          <w:szCs w:val="24"/>
        </w:rPr>
        <w:t xml:space="preserve"> </w:t>
      </w:r>
      <w:r>
        <w:rPr>
          <w:rFonts w:ascii="宋体" w:hAnsi="宋体" w:eastAsia="宋体" w:cs="宋体"/>
          <w:spacing w:val="-1"/>
          <w:sz w:val="24"/>
          <w:szCs w:val="24"/>
        </w:rPr>
        <w:t>以下的亚</w:t>
      </w:r>
      <w:r>
        <w:rPr>
          <w:rFonts w:ascii="宋体" w:hAnsi="宋体" w:eastAsia="宋体" w:cs="宋体"/>
          <w:spacing w:val="-2"/>
          <w:sz w:val="24"/>
          <w:szCs w:val="24"/>
        </w:rPr>
        <w:t>微粒颗粒</w:t>
      </w:r>
      <w:r>
        <w:rPr>
          <w:rFonts w:ascii="宋体" w:hAnsi="宋体" w:eastAsia="宋体" w:cs="宋体"/>
          <w:sz w:val="24"/>
          <w:szCs w:val="24"/>
        </w:rPr>
        <w:t xml:space="preserve"> </w:t>
      </w:r>
      <w:r>
        <w:rPr>
          <w:rFonts w:ascii="宋体" w:hAnsi="宋体" w:eastAsia="宋体" w:cs="宋体"/>
          <w:spacing w:val="-1"/>
          <w:sz w:val="24"/>
          <w:szCs w:val="24"/>
        </w:rPr>
        <w:t>物有较好的捕集效果，是捕集</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PM</w:t>
      </w:r>
      <w:r>
        <w:rPr>
          <w:rFonts w:ascii="Times New Roman" w:hAnsi="Times New Roman" w:eastAsia="Times New Roman" w:cs="Times New Roman"/>
          <w:spacing w:val="-1"/>
          <w:position w:val="-1"/>
          <w:sz w:val="15"/>
          <w:szCs w:val="15"/>
        </w:rPr>
        <w:t>2.5</w:t>
      </w:r>
      <w:r>
        <w:rPr>
          <w:rFonts w:ascii="Times New Roman" w:hAnsi="Times New Roman" w:eastAsia="Times New Roman" w:cs="Times New Roman"/>
          <w:spacing w:val="29"/>
          <w:position w:val="-1"/>
          <w:sz w:val="15"/>
          <w:szCs w:val="15"/>
        </w:rPr>
        <w:t xml:space="preserve"> </w:t>
      </w:r>
      <w:r>
        <w:rPr>
          <w:rFonts w:ascii="宋体" w:hAnsi="宋体" w:eastAsia="宋体" w:cs="宋体"/>
          <w:spacing w:val="-1"/>
          <w:sz w:val="24"/>
          <w:szCs w:val="24"/>
        </w:rPr>
        <w:t>的重要手段。袋</w:t>
      </w:r>
      <w:r>
        <w:rPr>
          <w:rFonts w:ascii="宋体" w:hAnsi="宋体" w:eastAsia="宋体" w:cs="宋体"/>
          <w:spacing w:val="-2"/>
          <w:sz w:val="24"/>
          <w:szCs w:val="24"/>
        </w:rPr>
        <w:t>式除尘在净化效率、运行能</w:t>
      </w:r>
      <w:r>
        <w:rPr>
          <w:rFonts w:ascii="宋体" w:hAnsi="宋体" w:eastAsia="宋体" w:cs="宋体"/>
          <w:sz w:val="24"/>
          <w:szCs w:val="24"/>
        </w:rPr>
        <w:t xml:space="preserve"> </w:t>
      </w:r>
      <w:r>
        <w:rPr>
          <w:rFonts w:ascii="宋体" w:hAnsi="宋体" w:eastAsia="宋体" w:cs="宋体"/>
          <w:spacing w:val="-3"/>
          <w:sz w:val="24"/>
          <w:szCs w:val="24"/>
        </w:rPr>
        <w:t>耗、设备造价、占地面积等方面都优于电除尘，特别对电除尘器不易捕集的高比</w:t>
      </w:r>
      <w:r>
        <w:rPr>
          <w:rFonts w:ascii="宋体" w:hAnsi="宋体" w:eastAsia="宋体" w:cs="宋体"/>
          <w:spacing w:val="1"/>
          <w:sz w:val="24"/>
          <w:szCs w:val="24"/>
        </w:rPr>
        <w:t xml:space="preserve"> </w:t>
      </w:r>
      <w:r>
        <w:rPr>
          <w:rFonts w:ascii="宋体" w:hAnsi="宋体" w:eastAsia="宋体" w:cs="宋体"/>
          <w:spacing w:val="-3"/>
          <w:sz w:val="24"/>
          <w:szCs w:val="24"/>
        </w:rPr>
        <w:t>电阻尘粒很有效；适应的质量浓度范围大，对烟气流速的变化也具有一定的稳定</w:t>
      </w:r>
      <w:r>
        <w:rPr>
          <w:rFonts w:ascii="宋体" w:hAnsi="宋体" w:eastAsia="宋体" w:cs="宋体"/>
          <w:spacing w:val="1"/>
          <w:sz w:val="24"/>
          <w:szCs w:val="24"/>
        </w:rPr>
        <w:t xml:space="preserve"> </w:t>
      </w:r>
      <w:r>
        <w:rPr>
          <w:rFonts w:ascii="宋体" w:hAnsi="宋体" w:eastAsia="宋体" w:cs="宋体"/>
          <w:sz w:val="24"/>
          <w:szCs w:val="24"/>
        </w:rPr>
        <w:t>性；结构简单，内部无复杂结构。缺点是压力损失大，本</w:t>
      </w:r>
      <w:r>
        <w:rPr>
          <w:rFonts w:ascii="宋体" w:hAnsi="宋体" w:eastAsia="宋体" w:cs="宋体"/>
          <w:spacing w:val="-1"/>
          <w:sz w:val="24"/>
          <w:szCs w:val="24"/>
        </w:rPr>
        <w:t>体阻力</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800~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1500Pa</w:t>
      </w:r>
      <w:r>
        <w:rPr>
          <w:rFonts w:ascii="Times New Roman" w:hAnsi="Times New Roman" w:eastAsia="Times New Roman" w:cs="Times New Roman"/>
          <w:spacing w:val="-25"/>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3"/>
          <w:sz w:val="24"/>
          <w:szCs w:val="24"/>
        </w:rPr>
        <w:t>脉冲袋式除尘器设备正常工作时，含尘气体由进风口进入灰斗，由于气体体积的</w:t>
      </w:r>
    </w:p>
    <w:p w14:paraId="58370098">
      <w:pPr>
        <w:spacing w:line="359" w:lineRule="auto"/>
        <w:rPr>
          <w:rFonts w:ascii="宋体" w:hAnsi="宋体" w:eastAsia="宋体" w:cs="宋体"/>
          <w:sz w:val="24"/>
          <w:szCs w:val="24"/>
        </w:rPr>
        <w:sectPr>
          <w:headerReference r:id="rId394" w:type="default"/>
          <w:footerReference r:id="rId395" w:type="default"/>
          <w:pgSz w:w="11906" w:h="16839"/>
          <w:pgMar w:top="1208" w:right="1738" w:bottom="1358" w:left="1785" w:header="825" w:footer="1195" w:gutter="0"/>
          <w:cols w:space="720" w:num="1"/>
        </w:sectPr>
      </w:pPr>
    </w:p>
    <w:p w14:paraId="1D6FCECE">
      <w:pPr>
        <w:pStyle w:val="2"/>
        <w:spacing w:line="265" w:lineRule="auto"/>
      </w:pPr>
    </w:p>
    <w:p w14:paraId="1F779AFE">
      <w:pPr>
        <w:spacing w:before="78" w:line="360" w:lineRule="auto"/>
        <w:ind w:left="24" w:firstLine="6"/>
        <w:jc w:val="both"/>
        <w:rPr>
          <w:rFonts w:ascii="宋体" w:hAnsi="宋体" w:eastAsia="宋体" w:cs="宋体"/>
          <w:sz w:val="24"/>
          <w:szCs w:val="24"/>
        </w:rPr>
      </w:pPr>
      <w:r>
        <w:rPr>
          <w:rFonts w:ascii="宋体" w:hAnsi="宋体" w:eastAsia="宋体" w:cs="宋体"/>
          <w:spacing w:val="-3"/>
          <w:sz w:val="24"/>
          <w:szCs w:val="24"/>
        </w:rPr>
        <w:t>急速膨胀，一部分较粗的尘粒受惯性等原因落入灰斗，其余大部</w:t>
      </w:r>
      <w:r>
        <w:rPr>
          <w:rFonts w:ascii="宋体" w:hAnsi="宋体" w:eastAsia="宋体" w:cs="宋体"/>
          <w:spacing w:val="-4"/>
          <w:sz w:val="24"/>
          <w:szCs w:val="24"/>
        </w:rPr>
        <w:t>分尘粒随气流上</w:t>
      </w:r>
      <w:r>
        <w:rPr>
          <w:rFonts w:ascii="宋体" w:hAnsi="宋体" w:eastAsia="宋体" w:cs="宋体"/>
          <w:sz w:val="24"/>
          <w:szCs w:val="24"/>
        </w:rPr>
        <w:t xml:space="preserve"> </w:t>
      </w:r>
      <w:r>
        <w:rPr>
          <w:rFonts w:ascii="宋体" w:hAnsi="宋体" w:eastAsia="宋体" w:cs="宋体"/>
          <w:spacing w:val="-3"/>
          <w:sz w:val="24"/>
          <w:szCs w:val="24"/>
        </w:rPr>
        <w:t>升进入袋室，经滤袋过滤后，尘粒被滞留在滤袋的外侧，净化后的气体由滤袋内</w:t>
      </w:r>
      <w:r>
        <w:rPr>
          <w:rFonts w:ascii="宋体" w:hAnsi="宋体" w:eastAsia="宋体" w:cs="宋体"/>
          <w:sz w:val="24"/>
          <w:szCs w:val="24"/>
        </w:rPr>
        <w:t xml:space="preserve"> </w:t>
      </w:r>
      <w:r>
        <w:rPr>
          <w:rFonts w:ascii="宋体" w:hAnsi="宋体" w:eastAsia="宋体" w:cs="宋体"/>
          <w:spacing w:val="-3"/>
          <w:sz w:val="24"/>
          <w:szCs w:val="24"/>
        </w:rPr>
        <w:t>部进入上箱体，再由阀板孔、排风口排入大气，从而达到除尘的目的。随着过滤</w:t>
      </w:r>
      <w:r>
        <w:rPr>
          <w:rFonts w:ascii="宋体" w:hAnsi="宋体" w:eastAsia="宋体" w:cs="宋体"/>
          <w:sz w:val="24"/>
          <w:szCs w:val="24"/>
        </w:rPr>
        <w:t xml:space="preserve"> </w:t>
      </w:r>
      <w:r>
        <w:rPr>
          <w:rFonts w:ascii="宋体" w:hAnsi="宋体" w:eastAsia="宋体" w:cs="宋体"/>
          <w:spacing w:val="-3"/>
          <w:sz w:val="24"/>
          <w:szCs w:val="24"/>
        </w:rPr>
        <w:t>的不断进行，除尘器阻力也随之上升，当阻力达到一定值时，清灰控制器发出清</w:t>
      </w:r>
      <w:r>
        <w:rPr>
          <w:rFonts w:ascii="宋体" w:hAnsi="宋体" w:eastAsia="宋体" w:cs="宋体"/>
          <w:sz w:val="24"/>
          <w:szCs w:val="24"/>
        </w:rPr>
        <w:t xml:space="preserve"> </w:t>
      </w:r>
      <w:r>
        <w:rPr>
          <w:rFonts w:ascii="宋体" w:hAnsi="宋体" w:eastAsia="宋体" w:cs="宋体"/>
          <w:spacing w:val="-3"/>
          <w:sz w:val="24"/>
          <w:szCs w:val="24"/>
        </w:rPr>
        <w:t>灰命令，首先将提升阀板关闭，切断过滤气流，然后清灰控制器向脉冲电磁阀发</w:t>
      </w:r>
      <w:r>
        <w:rPr>
          <w:rFonts w:ascii="宋体" w:hAnsi="宋体" w:eastAsia="宋体" w:cs="宋体"/>
          <w:sz w:val="24"/>
          <w:szCs w:val="24"/>
        </w:rPr>
        <w:t xml:space="preserve"> </w:t>
      </w:r>
      <w:r>
        <w:rPr>
          <w:rFonts w:ascii="宋体" w:hAnsi="宋体" w:eastAsia="宋体" w:cs="宋体"/>
          <w:spacing w:val="-3"/>
          <w:sz w:val="24"/>
          <w:szCs w:val="24"/>
        </w:rPr>
        <w:t>出信号，随着脉冲阀把用作清灰的高压逆向气流送入袋内，滤袋迅速鼓胀，并产</w:t>
      </w:r>
      <w:r>
        <w:rPr>
          <w:rFonts w:ascii="宋体" w:hAnsi="宋体" w:eastAsia="宋体" w:cs="宋体"/>
          <w:sz w:val="24"/>
          <w:szCs w:val="24"/>
        </w:rPr>
        <w:t xml:space="preserve"> </w:t>
      </w:r>
      <w:r>
        <w:rPr>
          <w:rFonts w:ascii="宋体" w:hAnsi="宋体" w:eastAsia="宋体" w:cs="宋体"/>
          <w:spacing w:val="-3"/>
          <w:sz w:val="24"/>
          <w:szCs w:val="24"/>
        </w:rPr>
        <w:t>生强烈抖动，导致滤袋外侧的粉尘抖落，达到清灰的目的。由于设备分为若干个</w:t>
      </w:r>
      <w:r>
        <w:rPr>
          <w:rFonts w:ascii="宋体" w:hAnsi="宋体" w:eastAsia="宋体" w:cs="宋体"/>
          <w:sz w:val="24"/>
          <w:szCs w:val="24"/>
        </w:rPr>
        <w:t xml:space="preserve"> </w:t>
      </w:r>
      <w:r>
        <w:rPr>
          <w:rFonts w:ascii="宋体" w:hAnsi="宋体" w:eastAsia="宋体" w:cs="宋体"/>
          <w:spacing w:val="-8"/>
          <w:sz w:val="24"/>
          <w:szCs w:val="24"/>
        </w:rPr>
        <w:t>箱区，所以上述过程是逐箱进行的，一个箱区在清灰时，其余箱区仍在正常工作，</w:t>
      </w:r>
      <w:r>
        <w:rPr>
          <w:rFonts w:ascii="宋体" w:hAnsi="宋体" w:eastAsia="宋体" w:cs="宋体"/>
          <w:spacing w:val="4"/>
          <w:sz w:val="24"/>
          <w:szCs w:val="24"/>
        </w:rPr>
        <w:t xml:space="preserve"> </w:t>
      </w:r>
      <w:r>
        <w:rPr>
          <w:rFonts w:ascii="宋体" w:hAnsi="宋体" w:eastAsia="宋体" w:cs="宋体"/>
          <w:spacing w:val="-3"/>
          <w:sz w:val="24"/>
          <w:szCs w:val="24"/>
        </w:rPr>
        <w:t>保证了设备的连续正常运转。之所以能处理高浓度粉尘，关键在于这种强清灰所</w:t>
      </w:r>
      <w:r>
        <w:rPr>
          <w:rFonts w:ascii="宋体" w:hAnsi="宋体" w:eastAsia="宋体" w:cs="宋体"/>
          <w:sz w:val="24"/>
          <w:szCs w:val="24"/>
        </w:rPr>
        <w:t xml:space="preserve"> </w:t>
      </w:r>
      <w:r>
        <w:rPr>
          <w:rFonts w:ascii="宋体" w:hAnsi="宋体" w:eastAsia="宋体" w:cs="宋体"/>
          <w:spacing w:val="-2"/>
          <w:sz w:val="24"/>
          <w:szCs w:val="24"/>
        </w:rPr>
        <w:t>需清灰时间极短（喷吹一次只需</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0.2s</w:t>
      </w:r>
      <w:r>
        <w:rPr>
          <w:rFonts w:ascii="宋体" w:hAnsi="宋体" w:eastAsia="宋体" w:cs="宋体"/>
          <w:spacing w:val="-2"/>
          <w:sz w:val="24"/>
          <w:szCs w:val="24"/>
        </w:rPr>
        <w:t>）。</w:t>
      </w:r>
    </w:p>
    <w:p w14:paraId="238B1DC5">
      <w:pPr>
        <w:spacing w:before="3" w:line="359" w:lineRule="auto"/>
        <w:ind w:left="23" w:right="61" w:firstLine="498"/>
        <w:jc w:val="both"/>
        <w:rPr>
          <w:rFonts w:ascii="宋体" w:hAnsi="宋体" w:eastAsia="宋体" w:cs="宋体"/>
          <w:sz w:val="24"/>
          <w:szCs w:val="24"/>
        </w:rPr>
      </w:pPr>
      <w:r>
        <w:rPr>
          <w:rFonts w:ascii="宋体" w:hAnsi="宋体" w:eastAsia="宋体" w:cs="宋体"/>
          <w:spacing w:val="-3"/>
          <w:sz w:val="24"/>
          <w:szCs w:val="24"/>
        </w:rPr>
        <w:t>因此采用布袋除尘器除尘效率可以稳定达到</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99.5%</w:t>
      </w:r>
      <w:r>
        <w:rPr>
          <w:rFonts w:ascii="宋体" w:hAnsi="宋体" w:eastAsia="宋体" w:cs="宋体"/>
          <w:spacing w:val="-3"/>
          <w:sz w:val="24"/>
          <w:szCs w:val="24"/>
        </w:rPr>
        <w:t>，粗碎及中间堆场粉尘排</w:t>
      </w:r>
      <w:r>
        <w:rPr>
          <w:rFonts w:ascii="宋体" w:hAnsi="宋体" w:eastAsia="宋体" w:cs="宋体"/>
          <w:sz w:val="24"/>
          <w:szCs w:val="24"/>
        </w:rPr>
        <w:t xml:space="preserve"> </w:t>
      </w:r>
      <w:r>
        <w:rPr>
          <w:rFonts w:ascii="宋体" w:hAnsi="宋体" w:eastAsia="宋体" w:cs="宋体"/>
          <w:spacing w:val="-1"/>
          <w:sz w:val="24"/>
          <w:szCs w:val="24"/>
        </w:rPr>
        <w:t>放浓度能够达到《铅、锌工业污染物排放标准》（</w:t>
      </w:r>
      <w:r>
        <w:rPr>
          <w:rFonts w:ascii="Times New Roman" w:hAnsi="Times New Roman" w:eastAsia="Times New Roman" w:cs="Times New Roman"/>
          <w:spacing w:val="-1"/>
          <w:sz w:val="24"/>
          <w:szCs w:val="24"/>
        </w:rPr>
        <w:t>GB25466-2010</w:t>
      </w:r>
      <w:r>
        <w:rPr>
          <w:rFonts w:ascii="宋体" w:hAnsi="宋体" w:eastAsia="宋体" w:cs="宋体"/>
          <w:spacing w:val="-1"/>
          <w:sz w:val="24"/>
          <w:szCs w:val="24"/>
        </w:rPr>
        <w:t>）及</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年修</w:t>
      </w:r>
      <w:r>
        <w:rPr>
          <w:rFonts w:ascii="宋体" w:hAnsi="宋体" w:eastAsia="宋体" w:cs="宋体"/>
          <w:sz w:val="24"/>
          <w:szCs w:val="24"/>
        </w:rPr>
        <w:t xml:space="preserve"> </w:t>
      </w:r>
      <w:r>
        <w:rPr>
          <w:rFonts w:ascii="宋体" w:hAnsi="宋体" w:eastAsia="宋体" w:cs="宋体"/>
          <w:spacing w:val="-1"/>
          <w:sz w:val="24"/>
          <w:szCs w:val="24"/>
        </w:rPr>
        <w:t>改单中规定的大气污染物排放浓度限值标准要求。</w:t>
      </w:r>
    </w:p>
    <w:p w14:paraId="656E6914">
      <w:pPr>
        <w:spacing w:before="1" w:line="362" w:lineRule="auto"/>
        <w:ind w:left="24" w:right="61" w:firstLine="481"/>
        <w:rPr>
          <w:rFonts w:ascii="宋体" w:hAnsi="宋体" w:eastAsia="宋体" w:cs="宋体"/>
          <w:sz w:val="24"/>
          <w:szCs w:val="24"/>
        </w:rPr>
      </w:pPr>
      <w:r>
        <w:rPr>
          <w:rFonts w:ascii="宋体" w:hAnsi="宋体" w:eastAsia="宋体" w:cs="宋体"/>
          <w:spacing w:val="-3"/>
          <w:sz w:val="24"/>
          <w:szCs w:val="24"/>
        </w:rPr>
        <w:t>综上所述，以上防治措施可有效降低大气污染物对周围环</w:t>
      </w:r>
      <w:r>
        <w:rPr>
          <w:rFonts w:ascii="宋体" w:hAnsi="宋体" w:eastAsia="宋体" w:cs="宋体"/>
          <w:spacing w:val="-4"/>
          <w:sz w:val="24"/>
          <w:szCs w:val="24"/>
        </w:rPr>
        <w:t>境的影响，污染物</w:t>
      </w:r>
      <w:r>
        <w:rPr>
          <w:rFonts w:ascii="宋体" w:hAnsi="宋体" w:eastAsia="宋体" w:cs="宋体"/>
          <w:sz w:val="24"/>
          <w:szCs w:val="24"/>
        </w:rPr>
        <w:t xml:space="preserve"> </w:t>
      </w:r>
      <w:r>
        <w:rPr>
          <w:rFonts w:ascii="宋体" w:hAnsi="宋体" w:eastAsia="宋体" w:cs="宋体"/>
          <w:spacing w:val="-1"/>
          <w:sz w:val="24"/>
          <w:szCs w:val="24"/>
        </w:rPr>
        <w:t>均可达标排放，对周围环境的影响是可以接受的，措施可行。</w:t>
      </w:r>
    </w:p>
    <w:p w14:paraId="138D5A52">
      <w:pPr>
        <w:spacing w:before="75" w:line="222" w:lineRule="auto"/>
        <w:ind w:left="22"/>
        <w:outlineLvl w:val="1"/>
        <w:rPr>
          <w:rFonts w:ascii="黑体" w:hAnsi="黑体" w:eastAsia="黑体" w:cs="黑体"/>
          <w:sz w:val="28"/>
          <w:szCs w:val="28"/>
        </w:rPr>
      </w:pPr>
      <w:bookmarkStart w:id="168" w:name="bookmark149"/>
      <w:bookmarkEnd w:id="168"/>
      <w:r>
        <w:rPr>
          <w:rFonts w:ascii="Times New Roman" w:hAnsi="Times New Roman" w:eastAsia="Times New Roman" w:cs="Times New Roman"/>
          <w:b/>
          <w:bCs/>
          <w:spacing w:val="-2"/>
          <w:sz w:val="28"/>
          <w:szCs w:val="28"/>
        </w:rPr>
        <w:t xml:space="preserve">9.2 </w:t>
      </w:r>
      <w:r>
        <w:rPr>
          <w:rFonts w:ascii="黑体" w:hAnsi="黑体" w:eastAsia="黑体" w:cs="黑体"/>
          <w:b/>
          <w:bCs/>
          <w:spacing w:val="-2"/>
          <w:sz w:val="28"/>
          <w:szCs w:val="28"/>
        </w:rPr>
        <w:t>废水污染防治措施</w:t>
      </w:r>
    </w:p>
    <w:p w14:paraId="2547E044">
      <w:pPr>
        <w:spacing w:before="257" w:line="219" w:lineRule="auto"/>
        <w:ind w:left="504"/>
        <w:rPr>
          <w:rFonts w:ascii="宋体" w:hAnsi="宋体" w:eastAsia="宋体" w:cs="宋体"/>
          <w:sz w:val="24"/>
          <w:szCs w:val="24"/>
        </w:rPr>
      </w:pPr>
      <w:r>
        <w:rPr>
          <w:rFonts w:ascii="宋体" w:hAnsi="宋体" w:eastAsia="宋体" w:cs="宋体"/>
          <w:spacing w:val="-1"/>
          <w:sz w:val="24"/>
          <w:szCs w:val="24"/>
        </w:rPr>
        <w:t>本项目废水主要为选矿工艺废水和生活污水。</w:t>
      </w:r>
    </w:p>
    <w:p w14:paraId="4950B43E">
      <w:pPr>
        <w:spacing w:before="184"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）选矿工艺废水</w:t>
      </w:r>
    </w:p>
    <w:p w14:paraId="526156CC">
      <w:pPr>
        <w:spacing w:before="183" w:line="360" w:lineRule="auto"/>
        <w:ind w:left="25" w:right="61" w:firstLine="479"/>
        <w:rPr>
          <w:rFonts w:ascii="宋体" w:hAnsi="宋体" w:eastAsia="宋体" w:cs="宋体"/>
          <w:sz w:val="24"/>
          <w:szCs w:val="24"/>
        </w:rPr>
      </w:pPr>
      <w:r>
        <w:rPr>
          <w:rFonts w:ascii="宋体" w:hAnsi="宋体" w:eastAsia="宋体" w:cs="宋体"/>
          <w:spacing w:val="-3"/>
          <w:sz w:val="24"/>
          <w:szCs w:val="24"/>
        </w:rPr>
        <w:t>本项目铅精矿浓缩溢流废水、锌精矿浓缩溢流废水分别经相应</w:t>
      </w:r>
      <w:r>
        <w:rPr>
          <w:rFonts w:ascii="宋体" w:hAnsi="宋体" w:eastAsia="宋体" w:cs="宋体"/>
          <w:spacing w:val="-4"/>
          <w:sz w:val="24"/>
          <w:szCs w:val="24"/>
        </w:rPr>
        <w:t>的回水池收集</w:t>
      </w:r>
      <w:r>
        <w:rPr>
          <w:rFonts w:ascii="宋体" w:hAnsi="宋体" w:eastAsia="宋体" w:cs="宋体"/>
          <w:sz w:val="24"/>
          <w:szCs w:val="24"/>
        </w:rPr>
        <w:t xml:space="preserve"> </w:t>
      </w:r>
      <w:r>
        <w:rPr>
          <w:rFonts w:ascii="宋体" w:hAnsi="宋体" w:eastAsia="宋体" w:cs="宋体"/>
          <w:spacing w:val="-3"/>
          <w:sz w:val="24"/>
          <w:szCs w:val="24"/>
        </w:rPr>
        <w:t>后，泵至相应的铅、锌选别工序回用；尾矿浓密溢流水经尾矿回水处理系统处理</w:t>
      </w:r>
      <w:r>
        <w:rPr>
          <w:rFonts w:ascii="宋体" w:hAnsi="宋体" w:eastAsia="宋体" w:cs="宋体"/>
          <w:sz w:val="24"/>
          <w:szCs w:val="24"/>
        </w:rPr>
        <w:t xml:space="preserve"> </w:t>
      </w:r>
      <w:r>
        <w:rPr>
          <w:rFonts w:ascii="宋体" w:hAnsi="宋体" w:eastAsia="宋体" w:cs="宋体"/>
          <w:spacing w:val="-2"/>
          <w:sz w:val="24"/>
          <w:szCs w:val="24"/>
        </w:rPr>
        <w:t>后，返回选厂循环利用。</w:t>
      </w:r>
    </w:p>
    <w:p w14:paraId="3A93309D">
      <w:pPr>
        <w:spacing w:before="1" w:line="217" w:lineRule="auto"/>
        <w:ind w:left="502"/>
        <w:rPr>
          <w:rFonts w:ascii="宋体" w:hAnsi="宋体" w:eastAsia="宋体" w:cs="宋体"/>
          <w:sz w:val="24"/>
          <w:szCs w:val="24"/>
        </w:rPr>
      </w:pPr>
      <w:r>
        <w:rPr>
          <w:rFonts w:ascii="宋体" w:hAnsi="宋体" w:eastAsia="宋体" w:cs="宋体"/>
          <w:spacing w:val="-1"/>
          <w:sz w:val="24"/>
          <w:szCs w:val="24"/>
        </w:rPr>
        <w:t>①生产废水分质回用可行性分析</w:t>
      </w:r>
    </w:p>
    <w:p w14:paraId="2CEA5C58">
      <w:pPr>
        <w:spacing w:before="184" w:line="360" w:lineRule="auto"/>
        <w:ind w:left="19" w:right="29" w:firstLine="530"/>
        <w:rPr>
          <w:rFonts w:ascii="宋体" w:hAnsi="宋体" w:eastAsia="宋体" w:cs="宋体"/>
          <w:sz w:val="24"/>
          <w:szCs w:val="24"/>
        </w:rPr>
      </w:pPr>
      <w:r>
        <w:rPr>
          <w:rFonts w:ascii="宋体" w:hAnsi="宋体" w:eastAsia="宋体" w:cs="宋体"/>
          <w:spacing w:val="-5"/>
          <w:sz w:val="24"/>
          <w:szCs w:val="24"/>
        </w:rPr>
        <w:t>目前，适度处理再回用是解决铅锌选矿废水污染最有效办法，其处理形式主</w:t>
      </w:r>
      <w:r>
        <w:rPr>
          <w:rFonts w:ascii="宋体" w:hAnsi="宋体" w:eastAsia="宋体" w:cs="宋体"/>
          <w:spacing w:val="15"/>
          <w:sz w:val="24"/>
          <w:szCs w:val="24"/>
        </w:rPr>
        <w:t xml:space="preserve"> </w:t>
      </w:r>
      <w:r>
        <w:rPr>
          <w:rFonts w:ascii="宋体" w:hAnsi="宋体" w:eastAsia="宋体" w:cs="宋体"/>
          <w:spacing w:val="-2"/>
          <w:sz w:val="24"/>
          <w:szCs w:val="24"/>
        </w:rPr>
        <w:t>要有两种，一是在选矿厂设置废水处理设施，将处理后的废水回用于选矿作业；</w:t>
      </w:r>
      <w:r>
        <w:rPr>
          <w:rFonts w:ascii="宋体" w:hAnsi="宋体" w:eastAsia="宋体" w:cs="宋体"/>
          <w:spacing w:val="2"/>
          <w:sz w:val="24"/>
          <w:szCs w:val="24"/>
        </w:rPr>
        <w:t xml:space="preserve"> </w:t>
      </w:r>
      <w:r>
        <w:rPr>
          <w:rFonts w:ascii="宋体" w:hAnsi="宋体" w:eastAsia="宋体" w:cs="宋体"/>
          <w:spacing w:val="-3"/>
          <w:sz w:val="24"/>
          <w:szCs w:val="24"/>
        </w:rPr>
        <w:t>二是选矿废水与尾砂一起输送到尾矿库，废水中污染物大部分可以在尾矿库内澄</w:t>
      </w:r>
      <w:r>
        <w:rPr>
          <w:rFonts w:ascii="宋体" w:hAnsi="宋体" w:eastAsia="宋体" w:cs="宋体"/>
          <w:spacing w:val="5"/>
          <w:sz w:val="24"/>
          <w:szCs w:val="24"/>
        </w:rPr>
        <w:t xml:space="preserve"> </w:t>
      </w:r>
      <w:r>
        <w:rPr>
          <w:rFonts w:ascii="宋体" w:hAnsi="宋体" w:eastAsia="宋体" w:cs="宋体"/>
          <w:spacing w:val="-3"/>
          <w:sz w:val="24"/>
          <w:szCs w:val="24"/>
        </w:rPr>
        <w:t>清、沉积和氧化自净，尾矿库溢流水调节</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值后回用于选矿生产中。根据企业</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2012 </w:t>
      </w:r>
      <w:r>
        <w:rPr>
          <w:rFonts w:ascii="宋体" w:hAnsi="宋体" w:eastAsia="宋体" w:cs="宋体"/>
          <w:sz w:val="24"/>
          <w:szCs w:val="24"/>
        </w:rPr>
        <w:t>年至今废水回用情况可知生产废水</w:t>
      </w:r>
      <w:r>
        <w:rPr>
          <w:rFonts w:ascii="宋体" w:hAnsi="宋体" w:eastAsia="宋体" w:cs="宋体"/>
          <w:spacing w:val="-1"/>
          <w:sz w:val="24"/>
          <w:szCs w:val="24"/>
        </w:rPr>
        <w:t>分质回用可行。</w:t>
      </w:r>
    </w:p>
    <w:p w14:paraId="604E55FB">
      <w:pPr>
        <w:spacing w:before="1" w:line="217" w:lineRule="auto"/>
        <w:ind w:left="501"/>
        <w:rPr>
          <w:rFonts w:ascii="宋体" w:hAnsi="宋体" w:eastAsia="宋体" w:cs="宋体"/>
          <w:sz w:val="24"/>
          <w:szCs w:val="24"/>
        </w:rPr>
      </w:pPr>
      <w:r>
        <w:rPr>
          <w:rFonts w:ascii="宋体" w:hAnsi="宋体" w:eastAsia="宋体" w:cs="宋体"/>
          <w:spacing w:val="-1"/>
          <w:sz w:val="24"/>
          <w:szCs w:val="24"/>
        </w:rPr>
        <w:t>②尾矿回水处理可行性分析</w:t>
      </w:r>
    </w:p>
    <w:p w14:paraId="1C305FF0">
      <w:pPr>
        <w:spacing w:before="187" w:line="219" w:lineRule="auto"/>
        <w:ind w:left="502"/>
        <w:rPr>
          <w:rFonts w:ascii="宋体" w:hAnsi="宋体" w:eastAsia="宋体" w:cs="宋体"/>
          <w:sz w:val="24"/>
          <w:szCs w:val="24"/>
        </w:rPr>
      </w:pPr>
      <w:r>
        <w:rPr>
          <w:rFonts w:ascii="宋体" w:hAnsi="宋体" w:eastAsia="宋体" w:cs="宋体"/>
          <w:sz w:val="24"/>
          <w:szCs w:val="24"/>
        </w:rPr>
        <w:t>选矿车间现有</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座处理能力</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9000m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 xml:space="preserve">/d </w:t>
      </w:r>
      <w:r>
        <w:rPr>
          <w:rFonts w:ascii="宋体" w:hAnsi="宋体" w:eastAsia="宋体" w:cs="宋体"/>
          <w:sz w:val="24"/>
          <w:szCs w:val="24"/>
        </w:rPr>
        <w:t>尾矿回水处理系统，用于处理全厂尾</w:t>
      </w:r>
    </w:p>
    <w:p w14:paraId="4C0219E3">
      <w:pPr>
        <w:spacing w:line="219" w:lineRule="auto"/>
        <w:rPr>
          <w:rFonts w:ascii="宋体" w:hAnsi="宋体" w:eastAsia="宋体" w:cs="宋体"/>
          <w:sz w:val="24"/>
          <w:szCs w:val="24"/>
        </w:rPr>
        <w:sectPr>
          <w:footerReference r:id="rId396" w:type="default"/>
          <w:pgSz w:w="11906" w:h="16839"/>
          <w:pgMar w:top="1208" w:right="1738" w:bottom="1358" w:left="1785" w:header="825" w:footer="1195" w:gutter="0"/>
          <w:cols w:space="720" w:num="1"/>
        </w:sectPr>
      </w:pPr>
    </w:p>
    <w:p w14:paraId="13A60D07">
      <w:pPr>
        <w:pStyle w:val="2"/>
        <w:spacing w:line="261" w:lineRule="auto"/>
      </w:pPr>
    </w:p>
    <w:p w14:paraId="7057CA02">
      <w:pPr>
        <w:spacing w:before="78" w:line="360" w:lineRule="auto"/>
        <w:ind w:left="13" w:right="53" w:firstLine="8"/>
        <w:rPr>
          <w:rFonts w:ascii="宋体" w:hAnsi="宋体" w:eastAsia="宋体" w:cs="宋体"/>
          <w:sz w:val="24"/>
          <w:szCs w:val="24"/>
        </w:rPr>
      </w:pPr>
      <w:r>
        <w:rPr>
          <w:rFonts w:ascii="宋体" w:hAnsi="宋体" w:eastAsia="宋体" w:cs="宋体"/>
          <w:spacing w:val="-3"/>
          <w:sz w:val="24"/>
          <w:szCs w:val="24"/>
        </w:rPr>
        <w:t>矿回水，尾矿回水处理系统采用混凝沉淀法。废水汇集至调节池进行水质水量的</w:t>
      </w:r>
      <w:r>
        <w:rPr>
          <w:rFonts w:ascii="宋体" w:hAnsi="宋体" w:eastAsia="宋体" w:cs="宋体"/>
          <w:spacing w:val="1"/>
          <w:sz w:val="24"/>
          <w:szCs w:val="24"/>
        </w:rPr>
        <w:t xml:space="preserve"> </w:t>
      </w:r>
      <w:r>
        <w:rPr>
          <w:rFonts w:ascii="宋体" w:hAnsi="宋体" w:eastAsia="宋体" w:cs="宋体"/>
          <w:sz w:val="24"/>
          <w:szCs w:val="24"/>
        </w:rPr>
        <w:t>调节，池中加设曝气搅拌，主要不使</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SS </w:t>
      </w:r>
      <w:r>
        <w:rPr>
          <w:rFonts w:ascii="宋体" w:hAnsi="宋体" w:eastAsia="宋体" w:cs="宋体"/>
          <w:spacing w:val="-1"/>
          <w:sz w:val="24"/>
          <w:szCs w:val="24"/>
        </w:rPr>
        <w:t>沉淀下来，并去除一部分有机物含量；</w:t>
      </w:r>
      <w:r>
        <w:rPr>
          <w:rFonts w:ascii="宋体" w:hAnsi="宋体" w:eastAsia="宋体" w:cs="宋体"/>
          <w:sz w:val="24"/>
          <w:szCs w:val="24"/>
        </w:rPr>
        <w:t xml:space="preserve"> </w:t>
      </w:r>
      <w:r>
        <w:rPr>
          <w:rFonts w:ascii="宋体" w:hAnsi="宋体" w:eastAsia="宋体" w:cs="宋体"/>
          <w:spacing w:val="13"/>
          <w:sz w:val="24"/>
          <w:szCs w:val="24"/>
        </w:rPr>
        <w:t>调节池后段加入碱调节</w:t>
      </w:r>
      <w:r>
        <w:rPr>
          <w:rFonts w:ascii="宋体" w:hAnsi="宋体" w:eastAsia="宋体" w:cs="宋体"/>
          <w:spacing w:val="-34"/>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23"/>
          <w:sz w:val="24"/>
          <w:szCs w:val="24"/>
        </w:rPr>
        <w:t xml:space="preserve"> </w:t>
      </w:r>
      <w:r>
        <w:rPr>
          <w:rFonts w:ascii="宋体" w:hAnsi="宋体" w:eastAsia="宋体" w:cs="宋体"/>
          <w:spacing w:val="13"/>
          <w:sz w:val="24"/>
          <w:szCs w:val="24"/>
        </w:rPr>
        <w:t>值形成沉淀物后自流至混凝斜管沉淀池，经投加</w:t>
      </w:r>
      <w:r>
        <w:rPr>
          <w:rFonts w:ascii="宋体" w:hAnsi="宋体" w:eastAsia="宋体" w:cs="宋体"/>
          <w:sz w:val="24"/>
          <w:szCs w:val="24"/>
        </w:rPr>
        <w:t xml:space="preserve"> </w:t>
      </w:r>
      <w:r>
        <w:rPr>
          <w:rFonts w:ascii="Times New Roman" w:hAnsi="Times New Roman" w:eastAsia="Times New Roman" w:cs="Times New Roman"/>
          <w:sz w:val="24"/>
          <w:szCs w:val="24"/>
        </w:rPr>
        <w:t>FeSO</w:t>
      </w:r>
      <w:r>
        <w:rPr>
          <w:rFonts w:ascii="Times New Roman" w:hAnsi="Times New Roman" w:eastAsia="Times New Roman" w:cs="Times New Roman"/>
          <w:spacing w:val="1"/>
          <w:position w:val="-1"/>
          <w:sz w:val="15"/>
          <w:szCs w:val="15"/>
        </w:rPr>
        <w:t>4</w:t>
      </w:r>
      <w:r>
        <w:rPr>
          <w:rFonts w:ascii="Times New Roman" w:hAnsi="Times New Roman" w:eastAsia="Times New Roman" w:cs="Times New Roman"/>
          <w:spacing w:val="13"/>
          <w:position w:val="-1"/>
          <w:sz w:val="15"/>
          <w:szCs w:val="15"/>
        </w:rPr>
        <w:t xml:space="preserve"> </w:t>
      </w:r>
      <w:r>
        <w:rPr>
          <w:rFonts w:ascii="宋体" w:hAnsi="宋体" w:eastAsia="宋体" w:cs="宋体"/>
          <w:spacing w:val="1"/>
          <w:sz w:val="24"/>
          <w:szCs w:val="24"/>
        </w:rPr>
        <w:t>及</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PAM</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加速沉淀；沉淀后的上清液再自流进入气浮池去</w:t>
      </w:r>
      <w:r>
        <w:rPr>
          <w:rFonts w:ascii="宋体" w:hAnsi="宋体" w:eastAsia="宋体" w:cs="宋体"/>
          <w:sz w:val="24"/>
          <w:szCs w:val="24"/>
        </w:rPr>
        <w:t xml:space="preserve">除部分油、有机 </w:t>
      </w:r>
      <w:r>
        <w:rPr>
          <w:rFonts w:ascii="宋体" w:hAnsi="宋体" w:eastAsia="宋体" w:cs="宋体"/>
          <w:spacing w:val="-3"/>
          <w:sz w:val="24"/>
          <w:szCs w:val="24"/>
        </w:rPr>
        <w:t>物及一些重金属离子；而后流入中间水池；多介质过滤器、精密过滤器从中间水</w:t>
      </w:r>
      <w:r>
        <w:rPr>
          <w:rFonts w:ascii="宋体" w:hAnsi="宋体" w:eastAsia="宋体" w:cs="宋体"/>
          <w:spacing w:val="8"/>
          <w:sz w:val="24"/>
          <w:szCs w:val="24"/>
        </w:rPr>
        <w:t xml:space="preserve"> </w:t>
      </w:r>
      <w:r>
        <w:rPr>
          <w:rFonts w:ascii="宋体" w:hAnsi="宋体" w:eastAsia="宋体" w:cs="宋体"/>
          <w:spacing w:val="4"/>
          <w:sz w:val="24"/>
          <w:szCs w:val="24"/>
        </w:rPr>
        <w:t>池抽水过滤；最后废水再进入超滤装置过滤，合格水进入回用水池，同时调整</w:t>
      </w:r>
      <w:r>
        <w:rPr>
          <w:rFonts w:ascii="宋体" w:hAnsi="宋体" w:eastAsia="宋体" w:cs="宋体"/>
          <w:spacing w:val="7"/>
          <w:sz w:val="24"/>
          <w:szCs w:val="24"/>
        </w:rPr>
        <w:t xml:space="preserve"> </w:t>
      </w:r>
      <w:r>
        <w:rPr>
          <w:rFonts w:ascii="Times New Roman" w:hAnsi="Times New Roman" w:eastAsia="Times New Roman" w:cs="Times New Roman"/>
          <w:sz w:val="24"/>
          <w:szCs w:val="24"/>
        </w:rPr>
        <w:t xml:space="preserve">pH </w:t>
      </w:r>
      <w:r>
        <w:rPr>
          <w:rFonts w:ascii="宋体" w:hAnsi="宋体" w:eastAsia="宋体" w:cs="宋体"/>
          <w:sz w:val="24"/>
          <w:szCs w:val="24"/>
        </w:rPr>
        <w:t>值，出水水质参考执行《铅、锌工业污染</w:t>
      </w:r>
      <w:r>
        <w:rPr>
          <w:rFonts w:ascii="宋体" w:hAnsi="宋体" w:eastAsia="宋体" w:cs="宋体"/>
          <w:spacing w:val="-1"/>
          <w:sz w:val="24"/>
          <w:szCs w:val="24"/>
        </w:rPr>
        <w:t>物排放标准》（</w:t>
      </w:r>
      <w:r>
        <w:rPr>
          <w:rFonts w:ascii="Times New Roman" w:hAnsi="Times New Roman" w:eastAsia="Times New Roman" w:cs="Times New Roman"/>
          <w:spacing w:val="-1"/>
          <w:sz w:val="24"/>
          <w:szCs w:val="24"/>
        </w:rPr>
        <w:t>GB25466-2010</w:t>
      </w:r>
      <w:r>
        <w:rPr>
          <w:rFonts w:ascii="宋体" w:hAnsi="宋体" w:eastAsia="宋体" w:cs="宋体"/>
          <w:spacing w:val="-1"/>
          <w:sz w:val="24"/>
          <w:szCs w:val="24"/>
        </w:rPr>
        <w:t>）表</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直接排放标准要求，由变频供水设备供给选厂回水系统。根据企业运行情况可</w:t>
      </w:r>
      <w:r>
        <w:rPr>
          <w:rFonts w:ascii="宋体" w:hAnsi="宋体" w:eastAsia="宋体" w:cs="宋体"/>
          <w:spacing w:val="1"/>
          <w:sz w:val="24"/>
          <w:szCs w:val="24"/>
        </w:rPr>
        <w:t xml:space="preserve"> </w:t>
      </w:r>
      <w:r>
        <w:rPr>
          <w:rFonts w:ascii="宋体" w:hAnsi="宋体" w:eastAsia="宋体" w:cs="宋体"/>
          <w:sz w:val="24"/>
          <w:szCs w:val="24"/>
        </w:rPr>
        <w:t>知，尾矿回水处理系统采用混凝沉淀法可行。</w:t>
      </w:r>
    </w:p>
    <w:p w14:paraId="0C14D552">
      <w:pPr>
        <w:spacing w:before="3"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）生活污水</w:t>
      </w:r>
    </w:p>
    <w:p w14:paraId="37B4A9FE">
      <w:pPr>
        <w:spacing w:before="182" w:line="357" w:lineRule="auto"/>
        <w:ind w:left="27" w:right="56" w:firstLine="477"/>
        <w:rPr>
          <w:rFonts w:ascii="宋体" w:hAnsi="宋体" w:eastAsia="宋体" w:cs="宋体"/>
          <w:sz w:val="24"/>
          <w:szCs w:val="24"/>
        </w:rPr>
      </w:pPr>
      <w:r>
        <w:rPr>
          <w:rFonts w:ascii="宋体" w:hAnsi="宋体" w:eastAsia="宋体" w:cs="宋体"/>
          <w:sz w:val="24"/>
          <w:szCs w:val="24"/>
        </w:rPr>
        <w:t>玉龙全厂劳动定员</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1277</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人，生活污水排放量</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102m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，生活污水的主要污</w:t>
      </w:r>
      <w:r>
        <w:rPr>
          <w:rFonts w:ascii="宋体" w:hAnsi="宋体" w:eastAsia="宋体" w:cs="宋体"/>
          <w:sz w:val="24"/>
          <w:szCs w:val="24"/>
        </w:rPr>
        <w:t xml:space="preserve"> </w:t>
      </w:r>
      <w:r>
        <w:rPr>
          <w:rFonts w:ascii="宋体" w:hAnsi="宋体" w:eastAsia="宋体" w:cs="宋体"/>
          <w:spacing w:val="-2"/>
          <w:sz w:val="24"/>
          <w:szCs w:val="24"/>
        </w:rPr>
        <w:t>染物为</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 xml:space="preserve">5   </w:t>
      </w:r>
      <w:r>
        <w:rPr>
          <w:rFonts w:ascii="宋体" w:hAnsi="宋体" w:eastAsia="宋体" w:cs="宋体"/>
          <w:spacing w:val="-2"/>
          <w:sz w:val="24"/>
          <w:szCs w:val="24"/>
        </w:rPr>
        <w:t>和</w:t>
      </w:r>
      <w:r>
        <w:rPr>
          <w:rFonts w:ascii="宋体" w:hAnsi="宋体" w:eastAsia="宋体" w:cs="宋体"/>
          <w:spacing w:val="-63"/>
          <w:sz w:val="24"/>
          <w:szCs w:val="24"/>
        </w:rPr>
        <w:t xml:space="preserve"> </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 xml:space="preserve">-N  </w:t>
      </w:r>
      <w:r>
        <w:rPr>
          <w:rFonts w:ascii="宋体" w:hAnsi="宋体" w:eastAsia="宋体" w:cs="宋体"/>
          <w:spacing w:val="-2"/>
          <w:sz w:val="24"/>
          <w:szCs w:val="24"/>
        </w:rPr>
        <w:t>等，产生浓度为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COD</w:t>
      </w:r>
      <w:r>
        <w:rPr>
          <w:rFonts w:ascii="宋体" w:hAnsi="宋体" w:eastAsia="宋体" w:cs="宋体"/>
          <w:spacing w:val="-2"/>
          <w:sz w:val="24"/>
          <w:szCs w:val="24"/>
        </w:rPr>
        <w:t>：</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3"/>
          <w:sz w:val="24"/>
          <w:szCs w:val="24"/>
        </w:rPr>
        <w:t>0mg/L</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1"/>
          <w:sz w:val="15"/>
          <w:szCs w:val="15"/>
        </w:rPr>
        <w:t xml:space="preserve">5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150mg/L</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SS</w:t>
      </w:r>
      <w:r>
        <w:rPr>
          <w:rFonts w:ascii="宋体" w:hAnsi="宋体" w:eastAsia="宋体" w:cs="宋体"/>
          <w:spacing w:val="-2"/>
          <w:sz w:val="24"/>
          <w:szCs w:val="24"/>
        </w:rPr>
        <w:t>：</w:t>
      </w:r>
      <w:r>
        <w:rPr>
          <w:rFonts w:ascii="Times New Roman" w:hAnsi="Times New Roman" w:eastAsia="Times New Roman" w:cs="Times New Roman"/>
          <w:spacing w:val="-2"/>
          <w:sz w:val="24"/>
          <w:szCs w:val="24"/>
        </w:rPr>
        <w:t>120mg/L</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w:t>
      </w:r>
      <w:r>
        <w:rPr>
          <w:rFonts w:ascii="Times New Roman" w:hAnsi="Times New Roman" w:eastAsia="Times New Roman" w:cs="Times New Roman"/>
          <w:spacing w:val="-3"/>
          <w:sz w:val="24"/>
          <w:szCs w:val="24"/>
        </w:rPr>
        <w:t>15mg/L</w:t>
      </w:r>
      <w:r>
        <w:rPr>
          <w:rFonts w:ascii="宋体" w:hAnsi="宋体" w:eastAsia="宋体" w:cs="宋体"/>
          <w:spacing w:val="-3"/>
          <w:sz w:val="24"/>
          <w:szCs w:val="24"/>
        </w:rPr>
        <w:t>。</w:t>
      </w:r>
    </w:p>
    <w:p w14:paraId="520F8813">
      <w:pPr>
        <w:spacing w:before="11" w:line="361" w:lineRule="auto"/>
        <w:ind w:left="23" w:right="53" w:firstLine="480"/>
        <w:jc w:val="both"/>
        <w:rPr>
          <w:rFonts w:ascii="宋体" w:hAnsi="宋体" w:eastAsia="宋体" w:cs="宋体"/>
          <w:sz w:val="24"/>
          <w:szCs w:val="24"/>
        </w:rPr>
      </w:pPr>
      <w:r>
        <w:rPr>
          <w:rFonts w:ascii="宋体" w:hAnsi="宋体" w:eastAsia="宋体" w:cs="宋体"/>
          <w:spacing w:val="-3"/>
          <w:sz w:val="24"/>
          <w:szCs w:val="24"/>
        </w:rPr>
        <w:t>全厂现有一座</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144m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 xml:space="preserve">/d </w:t>
      </w:r>
      <w:r>
        <w:rPr>
          <w:rFonts w:ascii="宋体" w:hAnsi="宋体" w:eastAsia="宋体" w:cs="宋体"/>
          <w:spacing w:val="-3"/>
          <w:sz w:val="24"/>
          <w:szCs w:val="24"/>
        </w:rPr>
        <w:t>生活污水处理站，用于处理全厂生活污水。生活污水</w:t>
      </w:r>
      <w:r>
        <w:rPr>
          <w:rFonts w:ascii="宋体" w:hAnsi="宋体" w:eastAsia="宋体" w:cs="宋体"/>
          <w:sz w:val="24"/>
          <w:szCs w:val="24"/>
        </w:rPr>
        <w:t xml:space="preserve"> </w:t>
      </w:r>
      <w:r>
        <w:rPr>
          <w:rFonts w:ascii="宋体" w:hAnsi="宋体" w:eastAsia="宋体" w:cs="宋体"/>
          <w:spacing w:val="5"/>
          <w:sz w:val="24"/>
          <w:szCs w:val="24"/>
        </w:rPr>
        <w:t>处理站采用</w:t>
      </w:r>
      <w:r>
        <w:rPr>
          <w:rFonts w:ascii="Times New Roman" w:hAnsi="Times New Roman" w:eastAsia="Times New Roman" w:cs="Times New Roman"/>
          <w:sz w:val="24"/>
          <w:szCs w:val="24"/>
        </w:rPr>
        <w:t>MBR</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膜生物反应器，</w:t>
      </w:r>
      <w:r>
        <w:rPr>
          <w:rFonts w:ascii="Times New Roman" w:hAnsi="Times New Roman" w:eastAsia="Times New Roman" w:cs="Times New Roman"/>
          <w:sz w:val="24"/>
          <w:szCs w:val="24"/>
        </w:rPr>
        <w:t>MBR</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膜生物反应器是将膜分</w:t>
      </w:r>
      <w:r>
        <w:rPr>
          <w:rFonts w:ascii="宋体" w:hAnsi="宋体" w:eastAsia="宋体" w:cs="宋体"/>
          <w:spacing w:val="4"/>
          <w:sz w:val="24"/>
          <w:szCs w:val="24"/>
        </w:rPr>
        <w:t>离技术和生物反</w:t>
      </w:r>
      <w:r>
        <w:rPr>
          <w:rFonts w:ascii="宋体" w:hAnsi="宋体" w:eastAsia="宋体" w:cs="宋体"/>
          <w:sz w:val="24"/>
          <w:szCs w:val="24"/>
        </w:rPr>
        <w:t xml:space="preserve"> </w:t>
      </w:r>
      <w:r>
        <w:rPr>
          <w:rFonts w:ascii="宋体" w:hAnsi="宋体" w:eastAsia="宋体" w:cs="宋体"/>
          <w:spacing w:val="-3"/>
          <w:sz w:val="24"/>
          <w:szCs w:val="24"/>
        </w:rPr>
        <w:t>应器的生物降解作用集于一体的生物反应系统，是一种将高效膜分离技术与传统</w:t>
      </w:r>
      <w:r>
        <w:rPr>
          <w:rFonts w:ascii="宋体" w:hAnsi="宋体" w:eastAsia="宋体" w:cs="宋体"/>
          <w:spacing w:val="1"/>
          <w:sz w:val="24"/>
          <w:szCs w:val="24"/>
        </w:rPr>
        <w:t xml:space="preserve"> </w:t>
      </w:r>
      <w:r>
        <w:rPr>
          <w:rFonts w:ascii="宋体" w:hAnsi="宋体" w:eastAsia="宋体" w:cs="宋体"/>
          <w:spacing w:val="-3"/>
          <w:sz w:val="24"/>
          <w:szCs w:val="24"/>
        </w:rPr>
        <w:t>活性污泥法相结合的新型高效污水处理工艺，取代了传统生化工艺中二沉池和三</w:t>
      </w:r>
      <w:r>
        <w:rPr>
          <w:rFonts w:ascii="宋体" w:hAnsi="宋体" w:eastAsia="宋体" w:cs="宋体"/>
          <w:spacing w:val="1"/>
          <w:sz w:val="24"/>
          <w:szCs w:val="24"/>
        </w:rPr>
        <w:t xml:space="preserve"> </w:t>
      </w:r>
      <w:r>
        <w:rPr>
          <w:rFonts w:ascii="宋体" w:hAnsi="宋体" w:eastAsia="宋体" w:cs="宋体"/>
          <w:sz w:val="24"/>
          <w:szCs w:val="24"/>
        </w:rPr>
        <w:t>级处理工艺，生活污水经一体化污水处理装置处理后</w:t>
      </w:r>
      <w:r>
        <w:rPr>
          <w:rFonts w:ascii="宋体" w:hAnsi="宋体" w:eastAsia="宋体" w:cs="宋体"/>
          <w:spacing w:val="-1"/>
          <w:sz w:val="24"/>
          <w:szCs w:val="24"/>
        </w:rPr>
        <w:t>用于厂区绿化，不外排。</w:t>
      </w:r>
    </w:p>
    <w:p w14:paraId="23F70B5C">
      <w:pPr>
        <w:spacing w:before="76" w:line="222" w:lineRule="auto"/>
        <w:ind w:left="22"/>
        <w:outlineLvl w:val="1"/>
        <w:rPr>
          <w:rFonts w:ascii="黑体" w:hAnsi="黑体" w:eastAsia="黑体" w:cs="黑体"/>
          <w:sz w:val="28"/>
          <w:szCs w:val="28"/>
        </w:rPr>
      </w:pPr>
      <w:bookmarkStart w:id="169" w:name="bookmark150"/>
      <w:bookmarkEnd w:id="169"/>
      <w:r>
        <w:rPr>
          <w:rFonts w:ascii="Times New Roman" w:hAnsi="Times New Roman" w:eastAsia="Times New Roman" w:cs="Times New Roman"/>
          <w:b/>
          <w:bCs/>
          <w:spacing w:val="-2"/>
          <w:sz w:val="28"/>
          <w:szCs w:val="28"/>
        </w:rPr>
        <w:t xml:space="preserve">9.3 </w:t>
      </w:r>
      <w:r>
        <w:rPr>
          <w:rFonts w:ascii="黑体" w:hAnsi="黑体" w:eastAsia="黑体" w:cs="黑体"/>
          <w:b/>
          <w:bCs/>
          <w:spacing w:val="-2"/>
          <w:sz w:val="28"/>
          <w:szCs w:val="28"/>
        </w:rPr>
        <w:t>地下水污染防治</w:t>
      </w:r>
    </w:p>
    <w:p w14:paraId="401A4E66">
      <w:pPr>
        <w:spacing w:before="259"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）运营期地下水环境保护措施</w:t>
      </w:r>
    </w:p>
    <w:p w14:paraId="380E149F">
      <w:pPr>
        <w:spacing w:before="183" w:line="360" w:lineRule="auto"/>
        <w:ind w:left="23" w:right="53" w:firstLine="480"/>
        <w:rPr>
          <w:rFonts w:ascii="宋体" w:hAnsi="宋体" w:eastAsia="宋体" w:cs="宋体"/>
          <w:sz w:val="24"/>
          <w:szCs w:val="24"/>
        </w:rPr>
      </w:pPr>
      <w:r>
        <w:rPr>
          <w:rFonts w:ascii="宋体" w:hAnsi="宋体" w:eastAsia="宋体" w:cs="宋体"/>
          <w:spacing w:val="-3"/>
          <w:sz w:val="24"/>
          <w:szCs w:val="24"/>
        </w:rPr>
        <w:t>本项目正常状况下对地下水造成的影响很小。但是在非正常状</w:t>
      </w:r>
      <w:r>
        <w:rPr>
          <w:rFonts w:ascii="宋体" w:hAnsi="宋体" w:eastAsia="宋体" w:cs="宋体"/>
          <w:spacing w:val="-4"/>
          <w:sz w:val="24"/>
          <w:szCs w:val="24"/>
        </w:rPr>
        <w:t>况下会存在对</w:t>
      </w:r>
      <w:r>
        <w:rPr>
          <w:rFonts w:ascii="宋体" w:hAnsi="宋体" w:eastAsia="宋体" w:cs="宋体"/>
          <w:sz w:val="24"/>
          <w:szCs w:val="24"/>
        </w:rPr>
        <w:t xml:space="preserve"> </w:t>
      </w:r>
      <w:r>
        <w:rPr>
          <w:rFonts w:ascii="宋体" w:hAnsi="宋体" w:eastAsia="宋体" w:cs="宋体"/>
          <w:spacing w:val="1"/>
          <w:sz w:val="24"/>
          <w:szCs w:val="24"/>
        </w:rPr>
        <w:t>地下水环境产生污染风险。本项目地下水污染防治措施按照</w:t>
      </w:r>
      <w:r>
        <w:rPr>
          <w:rFonts w:ascii="Times New Roman" w:hAnsi="Times New Roman" w:eastAsia="Times New Roman" w:cs="Times New Roman"/>
          <w:spacing w:val="1"/>
          <w:sz w:val="24"/>
          <w:szCs w:val="24"/>
        </w:rPr>
        <w:t>“</w:t>
      </w:r>
      <w:r>
        <w:rPr>
          <w:rFonts w:ascii="宋体" w:hAnsi="宋体" w:eastAsia="宋体" w:cs="宋体"/>
          <w:sz w:val="24"/>
          <w:szCs w:val="24"/>
        </w:rPr>
        <w:t xml:space="preserve">源头控制、分区防 </w:t>
      </w:r>
      <w:r>
        <w:rPr>
          <w:rFonts w:ascii="宋体" w:hAnsi="宋体" w:eastAsia="宋体" w:cs="宋体"/>
          <w:spacing w:val="1"/>
          <w:sz w:val="24"/>
          <w:szCs w:val="24"/>
        </w:rPr>
        <w:t>治、污染监控、应急响应</w:t>
      </w:r>
      <w:r>
        <w:rPr>
          <w:rFonts w:ascii="Times New Roman" w:hAnsi="Times New Roman" w:eastAsia="Times New Roman" w:cs="Times New Roman"/>
          <w:spacing w:val="1"/>
          <w:sz w:val="24"/>
          <w:szCs w:val="24"/>
        </w:rPr>
        <w:t>”</w:t>
      </w:r>
      <w:r>
        <w:rPr>
          <w:rFonts w:ascii="宋体" w:hAnsi="宋体" w:eastAsia="宋体" w:cs="宋体"/>
          <w:spacing w:val="1"/>
          <w:sz w:val="24"/>
          <w:szCs w:val="24"/>
        </w:rPr>
        <w:t>相结合的原则，从污染物的产生、入渗</w:t>
      </w:r>
      <w:r>
        <w:rPr>
          <w:rFonts w:ascii="宋体" w:hAnsi="宋体" w:eastAsia="宋体" w:cs="宋体"/>
          <w:sz w:val="24"/>
          <w:szCs w:val="24"/>
        </w:rPr>
        <w:t xml:space="preserve">、扩散、应急 </w:t>
      </w:r>
      <w:r>
        <w:rPr>
          <w:rFonts w:ascii="宋体" w:hAnsi="宋体" w:eastAsia="宋体" w:cs="宋体"/>
          <w:spacing w:val="-1"/>
          <w:sz w:val="24"/>
          <w:szCs w:val="24"/>
        </w:rPr>
        <w:t>响应全方位进行控制。</w:t>
      </w:r>
    </w:p>
    <w:p w14:paraId="0DAE99F0">
      <w:pPr>
        <w:spacing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）源头控制措施</w:t>
      </w:r>
    </w:p>
    <w:p w14:paraId="7515642C">
      <w:pPr>
        <w:spacing w:before="184" w:line="361" w:lineRule="auto"/>
        <w:ind w:left="24" w:firstLine="481"/>
        <w:rPr>
          <w:rFonts w:ascii="宋体" w:hAnsi="宋体" w:eastAsia="宋体" w:cs="宋体"/>
          <w:sz w:val="24"/>
          <w:szCs w:val="24"/>
        </w:rPr>
      </w:pPr>
      <w:r>
        <w:rPr>
          <w:rFonts w:ascii="宋体" w:hAnsi="宋体" w:eastAsia="宋体" w:cs="宋体"/>
          <w:spacing w:val="-3"/>
          <w:sz w:val="24"/>
          <w:szCs w:val="24"/>
        </w:rPr>
        <w:t>从生产过程入手，在工艺、管道、设备、给排水等方面尽</w:t>
      </w:r>
      <w:r>
        <w:rPr>
          <w:rFonts w:ascii="宋体" w:hAnsi="宋体" w:eastAsia="宋体" w:cs="宋体"/>
          <w:spacing w:val="-4"/>
          <w:sz w:val="24"/>
          <w:szCs w:val="24"/>
        </w:rPr>
        <w:t>可能地采取泄漏控</w:t>
      </w:r>
      <w:r>
        <w:rPr>
          <w:rFonts w:ascii="宋体" w:hAnsi="宋体" w:eastAsia="宋体" w:cs="宋体"/>
          <w:sz w:val="24"/>
          <w:szCs w:val="24"/>
        </w:rPr>
        <w:t xml:space="preserve"> </w:t>
      </w:r>
      <w:r>
        <w:rPr>
          <w:rFonts w:ascii="宋体" w:hAnsi="宋体" w:eastAsia="宋体" w:cs="宋体"/>
          <w:spacing w:val="-3"/>
          <w:sz w:val="24"/>
          <w:szCs w:val="24"/>
        </w:rPr>
        <w:t>制措施，以防止和降低污染物的跑、冒、滴、漏，将污染物泄漏的环境风险事故</w:t>
      </w:r>
      <w:r>
        <w:rPr>
          <w:rFonts w:ascii="宋体" w:hAnsi="宋体" w:eastAsia="宋体" w:cs="宋体"/>
          <w:sz w:val="24"/>
          <w:szCs w:val="24"/>
        </w:rPr>
        <w:t xml:space="preserve"> </w:t>
      </w:r>
      <w:r>
        <w:rPr>
          <w:rFonts w:ascii="宋体" w:hAnsi="宋体" w:eastAsia="宋体" w:cs="宋体"/>
          <w:spacing w:val="-2"/>
          <w:sz w:val="24"/>
          <w:szCs w:val="24"/>
        </w:rPr>
        <w:t>降到最低程度，一旦出现泄露等事故，即可由区域内的各种配套措施进行收集、</w:t>
      </w:r>
      <w:r>
        <w:rPr>
          <w:rFonts w:ascii="宋体" w:hAnsi="宋体" w:eastAsia="宋体" w:cs="宋体"/>
          <w:spacing w:val="18"/>
          <w:sz w:val="24"/>
          <w:szCs w:val="24"/>
        </w:rPr>
        <w:t xml:space="preserve"> </w:t>
      </w:r>
      <w:r>
        <w:rPr>
          <w:rFonts w:ascii="宋体" w:hAnsi="宋体" w:eastAsia="宋体" w:cs="宋体"/>
          <w:spacing w:val="-1"/>
          <w:sz w:val="24"/>
          <w:szCs w:val="24"/>
        </w:rPr>
        <w:t>处置，同时经过防渗处理的地面能有效阻止污染物的下渗。</w:t>
      </w:r>
    </w:p>
    <w:p w14:paraId="12EA2248">
      <w:pPr>
        <w:spacing w:line="361" w:lineRule="auto"/>
        <w:rPr>
          <w:rFonts w:ascii="宋体" w:hAnsi="宋体" w:eastAsia="宋体" w:cs="宋体"/>
          <w:sz w:val="24"/>
          <w:szCs w:val="24"/>
        </w:rPr>
        <w:sectPr>
          <w:headerReference r:id="rId397" w:type="default"/>
          <w:footerReference r:id="rId398" w:type="default"/>
          <w:pgSz w:w="11906" w:h="16839"/>
          <w:pgMar w:top="1208" w:right="1745" w:bottom="1358" w:left="1785" w:header="825" w:footer="1195" w:gutter="0"/>
          <w:cols w:space="720" w:num="1"/>
        </w:sectPr>
      </w:pPr>
    </w:p>
    <w:p w14:paraId="35B5A15E">
      <w:pPr>
        <w:pStyle w:val="2"/>
        <w:spacing w:line="265" w:lineRule="auto"/>
      </w:pPr>
    </w:p>
    <w:p w14:paraId="1B59C132">
      <w:pPr>
        <w:spacing w:before="78" w:line="220"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）分区防渗措施</w:t>
      </w:r>
    </w:p>
    <w:p w14:paraId="19B283FB">
      <w:pPr>
        <w:spacing w:before="184" w:line="350" w:lineRule="auto"/>
        <w:ind w:left="24" w:right="181" w:firstLine="480"/>
        <w:rPr>
          <w:rFonts w:ascii="宋体" w:hAnsi="宋体" w:eastAsia="宋体" w:cs="宋体"/>
          <w:sz w:val="24"/>
          <w:szCs w:val="24"/>
        </w:rPr>
      </w:pPr>
      <w:r>
        <w:rPr>
          <w:rFonts w:ascii="宋体" w:hAnsi="宋体" w:eastAsia="宋体" w:cs="宋体"/>
          <w:spacing w:val="-1"/>
          <w:sz w:val="24"/>
          <w:szCs w:val="24"/>
        </w:rPr>
        <w:t>本项目在现有</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选矿工程厂房内部技改，原厂房已根据环评要求采取</w:t>
      </w:r>
      <w:r>
        <w:rPr>
          <w:rFonts w:ascii="宋体" w:hAnsi="宋体" w:eastAsia="宋体" w:cs="宋体"/>
          <w:sz w:val="24"/>
          <w:szCs w:val="24"/>
        </w:rPr>
        <w:t xml:space="preserve"> </w:t>
      </w:r>
      <w:r>
        <w:rPr>
          <w:rFonts w:ascii="宋体" w:hAnsi="宋体" w:eastAsia="宋体" w:cs="宋体"/>
          <w:spacing w:val="-3"/>
          <w:sz w:val="24"/>
          <w:szCs w:val="24"/>
        </w:rPr>
        <w:t>了分区防渗措施。本项目要求技改过程不得破坏原防渗工程。项目根据厂址各污</w:t>
      </w:r>
      <w:r>
        <w:rPr>
          <w:rFonts w:ascii="宋体" w:hAnsi="宋体" w:eastAsia="宋体" w:cs="宋体"/>
          <w:sz w:val="24"/>
          <w:szCs w:val="24"/>
        </w:rPr>
        <w:t xml:space="preserve"> </w:t>
      </w:r>
      <w:r>
        <w:rPr>
          <w:rFonts w:ascii="宋体" w:hAnsi="宋体" w:eastAsia="宋体" w:cs="宋体"/>
          <w:spacing w:val="-3"/>
          <w:sz w:val="24"/>
          <w:szCs w:val="24"/>
        </w:rPr>
        <w:t>染物存贮建筑物可能泄漏至地下或地面区域的污染物的性质、污染控制难易程度</w:t>
      </w:r>
      <w:r>
        <w:rPr>
          <w:rFonts w:ascii="宋体" w:hAnsi="宋体" w:eastAsia="宋体" w:cs="宋体"/>
          <w:sz w:val="24"/>
          <w:szCs w:val="24"/>
        </w:rPr>
        <w:t xml:space="preserve"> </w:t>
      </w:r>
      <w:r>
        <w:rPr>
          <w:rFonts w:ascii="宋体" w:hAnsi="宋体" w:eastAsia="宋体" w:cs="宋体"/>
          <w:spacing w:val="-3"/>
          <w:sz w:val="24"/>
          <w:szCs w:val="24"/>
        </w:rPr>
        <w:t>和建筑物的构筑方式，将建设项目区划分为重点防治区、一般防治区和简单防渗</w:t>
      </w:r>
      <w:r>
        <w:rPr>
          <w:rFonts w:ascii="宋体" w:hAnsi="宋体" w:eastAsia="宋体" w:cs="宋体"/>
          <w:sz w:val="24"/>
          <w:szCs w:val="24"/>
        </w:rPr>
        <w:t xml:space="preserve"> </w:t>
      </w:r>
      <w:r>
        <w:rPr>
          <w:rFonts w:ascii="宋体" w:hAnsi="宋体" w:eastAsia="宋体" w:cs="宋体"/>
          <w:spacing w:val="-1"/>
          <w:sz w:val="24"/>
          <w:szCs w:val="24"/>
        </w:rPr>
        <w:t>区，防止厂区水污染物渗漏污染地下水环境。</w:t>
      </w:r>
    </w:p>
    <w:p w14:paraId="6E4E3253">
      <w:pPr>
        <w:spacing w:line="227" w:lineRule="auto"/>
        <w:ind w:left="2354"/>
        <w:rPr>
          <w:rFonts w:ascii="宋体" w:hAnsi="宋体" w:eastAsia="宋体" w:cs="宋体"/>
          <w:sz w:val="20"/>
          <w:szCs w:val="20"/>
        </w:rPr>
      </w:pPr>
      <w:r>
        <w:rPr>
          <w:rFonts w:ascii="宋体" w:hAnsi="宋体" w:eastAsia="宋体" w:cs="宋体"/>
          <w:spacing w:val="6"/>
          <w:sz w:val="20"/>
          <w:szCs w:val="20"/>
        </w:rPr>
        <w:t>表</w:t>
      </w:r>
      <w:r>
        <w:rPr>
          <w:rFonts w:ascii="宋体" w:hAnsi="宋体" w:eastAsia="宋体" w:cs="宋体"/>
          <w:spacing w:val="-39"/>
          <w:sz w:val="20"/>
          <w:szCs w:val="20"/>
        </w:rPr>
        <w:t xml:space="preserve"> </w:t>
      </w:r>
      <w:r>
        <w:rPr>
          <w:rFonts w:ascii="Times New Roman" w:hAnsi="Times New Roman" w:eastAsia="Times New Roman" w:cs="Times New Roman"/>
          <w:spacing w:val="6"/>
          <w:sz w:val="20"/>
          <w:szCs w:val="20"/>
        </w:rPr>
        <w:t xml:space="preserve">9.3-1        </w:t>
      </w:r>
      <w:r>
        <w:rPr>
          <w:rFonts w:ascii="宋体" w:hAnsi="宋体" w:eastAsia="宋体" w:cs="宋体"/>
          <w:spacing w:val="6"/>
          <w:sz w:val="20"/>
          <w:szCs w:val="20"/>
        </w:rPr>
        <w:t>地下水污染防</w:t>
      </w:r>
      <w:r>
        <w:rPr>
          <w:rFonts w:ascii="宋体" w:hAnsi="宋体" w:eastAsia="宋体" w:cs="宋体"/>
          <w:spacing w:val="5"/>
          <w:sz w:val="20"/>
          <w:szCs w:val="20"/>
        </w:rPr>
        <w:t>渗分区参照表</w:t>
      </w:r>
    </w:p>
    <w:p w14:paraId="50EE60B2">
      <w:pPr>
        <w:spacing w:line="141" w:lineRule="auto"/>
        <w:rPr>
          <w:rFonts w:ascii="Arial"/>
          <w:sz w:val="2"/>
        </w:rPr>
      </w:pPr>
    </w:p>
    <w:tbl>
      <w:tblPr>
        <w:tblStyle w:val="5"/>
        <w:tblW w:w="8222"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1"/>
        <w:gridCol w:w="2645"/>
        <w:gridCol w:w="3966"/>
      </w:tblGrid>
      <w:tr w14:paraId="65D36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11" w:type="dxa"/>
            <w:vAlign w:val="top"/>
          </w:tcPr>
          <w:p w14:paraId="6835CBEA">
            <w:pPr>
              <w:pStyle w:val="6"/>
              <w:spacing w:before="56" w:line="228" w:lineRule="auto"/>
              <w:ind w:left="405"/>
            </w:pPr>
            <w:r>
              <w:rPr>
                <w:spacing w:val="4"/>
              </w:rPr>
              <w:t>防渗分区</w:t>
            </w:r>
          </w:p>
        </w:tc>
        <w:tc>
          <w:tcPr>
            <w:tcW w:w="2645" w:type="dxa"/>
            <w:vAlign w:val="top"/>
          </w:tcPr>
          <w:p w14:paraId="7D260C58">
            <w:pPr>
              <w:pStyle w:val="6"/>
              <w:spacing w:before="56" w:line="228" w:lineRule="auto"/>
              <w:ind w:left="1015"/>
            </w:pPr>
            <w:r>
              <w:rPr>
                <w:spacing w:val="6"/>
              </w:rPr>
              <w:t>构筑物</w:t>
            </w:r>
          </w:p>
        </w:tc>
        <w:tc>
          <w:tcPr>
            <w:tcW w:w="3966" w:type="dxa"/>
            <w:vAlign w:val="top"/>
          </w:tcPr>
          <w:p w14:paraId="62094B87">
            <w:pPr>
              <w:pStyle w:val="6"/>
              <w:spacing w:before="56" w:line="228" w:lineRule="auto"/>
              <w:ind w:left="1371"/>
            </w:pPr>
            <w:r>
              <w:rPr>
                <w:spacing w:val="6"/>
              </w:rPr>
              <w:t>防渗技术要求</w:t>
            </w:r>
          </w:p>
        </w:tc>
      </w:tr>
      <w:tr w14:paraId="5A3B6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611" w:type="dxa"/>
            <w:vAlign w:val="top"/>
          </w:tcPr>
          <w:p w14:paraId="79ED961E">
            <w:pPr>
              <w:spacing w:line="300" w:lineRule="auto"/>
              <w:rPr>
                <w:rFonts w:ascii="Arial"/>
                <w:sz w:val="21"/>
              </w:rPr>
            </w:pPr>
          </w:p>
          <w:p w14:paraId="530C6A41">
            <w:pPr>
              <w:pStyle w:val="6"/>
              <w:spacing w:before="65" w:line="228" w:lineRule="auto"/>
              <w:ind w:left="287"/>
            </w:pPr>
            <w:r>
              <w:rPr>
                <w:spacing w:val="7"/>
              </w:rPr>
              <w:t>重点防渗区</w:t>
            </w:r>
          </w:p>
        </w:tc>
        <w:tc>
          <w:tcPr>
            <w:tcW w:w="2645" w:type="dxa"/>
            <w:vAlign w:val="top"/>
          </w:tcPr>
          <w:p w14:paraId="51DC72CF">
            <w:pPr>
              <w:pStyle w:val="6"/>
              <w:spacing w:before="211" w:line="289" w:lineRule="auto"/>
              <w:ind w:left="175" w:right="108" w:hanging="60"/>
            </w:pPr>
            <w:r>
              <w:rPr>
                <w:spacing w:val="1"/>
              </w:rPr>
              <w:t>危废暂存间、回水处理系统</w:t>
            </w:r>
            <w:r>
              <w:rPr>
                <w:spacing w:val="2"/>
              </w:rPr>
              <w:t xml:space="preserve"> </w:t>
            </w:r>
            <w:r>
              <w:rPr>
                <w:spacing w:val="8"/>
              </w:rPr>
              <w:t>各水池、生活污水处理站</w:t>
            </w:r>
          </w:p>
        </w:tc>
        <w:tc>
          <w:tcPr>
            <w:tcW w:w="3966" w:type="dxa"/>
            <w:vAlign w:val="top"/>
          </w:tcPr>
          <w:p w14:paraId="59A8B27C">
            <w:pPr>
              <w:pStyle w:val="6"/>
              <w:spacing w:before="210" w:line="228" w:lineRule="auto"/>
              <w:ind w:left="707"/>
            </w:pPr>
            <w:r>
              <w:rPr>
                <w:spacing w:val="7"/>
              </w:rPr>
              <w:t>等效黏土防渗层</w:t>
            </w:r>
            <w:r>
              <w:rPr>
                <w:spacing w:val="-42"/>
              </w:rPr>
              <w:t xml:space="preserve"> </w:t>
            </w:r>
            <w:r>
              <w:rPr>
                <w:rFonts w:ascii="Times New Roman" w:hAnsi="Times New Roman" w:eastAsia="Times New Roman" w:cs="Times New Roman"/>
              </w:rPr>
              <w:t>Mb</w:t>
            </w:r>
            <w:r>
              <w:rPr>
                <w:rFonts w:ascii="Times New Roman" w:hAnsi="Times New Roman" w:eastAsia="Times New Roman" w:cs="Times New Roman"/>
                <w:spacing w:val="7"/>
              </w:rPr>
              <w:t>≥6.0m</w:t>
            </w:r>
            <w:r>
              <w:rPr>
                <w:spacing w:val="7"/>
              </w:rPr>
              <w:t>，</w:t>
            </w:r>
          </w:p>
          <w:p w14:paraId="667FCC02">
            <w:pPr>
              <w:pStyle w:val="6"/>
              <w:spacing w:before="65" w:line="228" w:lineRule="auto"/>
              <w:ind w:left="288"/>
            </w:pPr>
            <w:r>
              <w:rPr>
                <w:rFonts w:ascii="Times New Roman" w:hAnsi="Times New Roman" w:eastAsia="Times New Roman" w:cs="Times New Roman"/>
                <w:spacing w:val="6"/>
              </w:rPr>
              <w:t>K≤1×10</w:t>
            </w:r>
            <w:r>
              <w:rPr>
                <w:rFonts w:ascii="Times New Roman" w:hAnsi="Times New Roman" w:eastAsia="Times New Roman" w:cs="Times New Roman"/>
                <w:spacing w:val="6"/>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6"/>
              </w:rPr>
              <w:t>/s</w:t>
            </w:r>
            <w:r>
              <w:rPr>
                <w:spacing w:val="6"/>
              </w:rPr>
              <w:t>；或参照</w:t>
            </w:r>
            <w:r>
              <w:rPr>
                <w:spacing w:val="-29"/>
              </w:rPr>
              <w:t xml:space="preserve"> </w:t>
            </w:r>
            <w:r>
              <w:rPr>
                <w:rFonts w:ascii="Times New Roman" w:hAnsi="Times New Roman" w:eastAsia="Times New Roman" w:cs="Times New Roman"/>
              </w:rPr>
              <w:t>GB</w:t>
            </w:r>
            <w:r>
              <w:rPr>
                <w:rFonts w:ascii="Times New Roman" w:hAnsi="Times New Roman" w:eastAsia="Times New Roman" w:cs="Times New Roman"/>
                <w:spacing w:val="6"/>
              </w:rPr>
              <w:t xml:space="preserve">18598 </w:t>
            </w:r>
            <w:r>
              <w:rPr>
                <w:spacing w:val="6"/>
              </w:rPr>
              <w:t>执行</w:t>
            </w:r>
          </w:p>
        </w:tc>
      </w:tr>
      <w:tr w14:paraId="2E52C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611" w:type="dxa"/>
            <w:vAlign w:val="top"/>
          </w:tcPr>
          <w:p w14:paraId="0020E8CC">
            <w:pPr>
              <w:spacing w:line="301" w:lineRule="auto"/>
              <w:rPr>
                <w:rFonts w:ascii="Arial"/>
                <w:sz w:val="21"/>
              </w:rPr>
            </w:pPr>
          </w:p>
          <w:p w14:paraId="32D757B7">
            <w:pPr>
              <w:pStyle w:val="6"/>
              <w:spacing w:before="65" w:line="228" w:lineRule="auto"/>
              <w:ind w:left="289"/>
            </w:pPr>
            <w:r>
              <w:rPr>
                <w:spacing w:val="7"/>
              </w:rPr>
              <w:t>一般防渗区</w:t>
            </w:r>
          </w:p>
        </w:tc>
        <w:tc>
          <w:tcPr>
            <w:tcW w:w="2645" w:type="dxa"/>
            <w:vAlign w:val="top"/>
          </w:tcPr>
          <w:p w14:paraId="52B628C4">
            <w:pPr>
              <w:pStyle w:val="6"/>
              <w:spacing w:before="56" w:line="227" w:lineRule="auto"/>
              <w:ind w:left="115"/>
            </w:pPr>
            <w:r>
              <w:rPr>
                <w:spacing w:val="1"/>
              </w:rPr>
              <w:t>药剂贮存区、各浓密池、精</w:t>
            </w:r>
          </w:p>
          <w:p w14:paraId="05B92C5E">
            <w:pPr>
              <w:pStyle w:val="6"/>
              <w:spacing w:before="65" w:line="228" w:lineRule="auto"/>
              <w:ind w:left="112"/>
            </w:pPr>
            <w:r>
              <w:rPr>
                <w:spacing w:val="1"/>
              </w:rPr>
              <w:t>矿仓、原矿堆场、各脱水车</w:t>
            </w:r>
          </w:p>
          <w:p w14:paraId="01EBDC86">
            <w:pPr>
              <w:pStyle w:val="6"/>
              <w:spacing w:before="64" w:line="231" w:lineRule="auto"/>
              <w:ind w:left="1238"/>
            </w:pPr>
            <w:r>
              <w:t>间</w:t>
            </w:r>
          </w:p>
        </w:tc>
        <w:tc>
          <w:tcPr>
            <w:tcW w:w="3966" w:type="dxa"/>
            <w:vAlign w:val="top"/>
          </w:tcPr>
          <w:p w14:paraId="44162C7B">
            <w:pPr>
              <w:pStyle w:val="6"/>
              <w:spacing w:before="211" w:line="228" w:lineRule="auto"/>
              <w:ind w:left="114"/>
              <w:rPr>
                <w:sz w:val="18"/>
                <w:szCs w:val="18"/>
              </w:rPr>
            </w:pPr>
            <w:r>
              <w:rPr>
                <w:spacing w:val="2"/>
              </w:rPr>
              <w:t>等效黏土防渗层</w:t>
            </w:r>
            <w:r>
              <w:rPr>
                <w:spacing w:val="-48"/>
              </w:rPr>
              <w:t xml:space="preserve"> </w:t>
            </w:r>
            <w:r>
              <w:rPr>
                <w:rFonts w:ascii="Times New Roman" w:hAnsi="Times New Roman" w:eastAsia="Times New Roman" w:cs="Times New Roman"/>
              </w:rPr>
              <w:t>Mb</w:t>
            </w:r>
            <w:r>
              <w:rPr>
                <w:rFonts w:ascii="Times New Roman" w:hAnsi="Times New Roman" w:eastAsia="Times New Roman" w:cs="Times New Roman"/>
                <w:spacing w:val="2"/>
              </w:rPr>
              <w:t>≥1.5m</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pacing w:val="2"/>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2"/>
              </w:rPr>
              <w:t>/s</w:t>
            </w:r>
            <w:r>
              <w:rPr>
                <w:spacing w:val="2"/>
                <w:sz w:val="18"/>
                <w:szCs w:val="18"/>
              </w:rPr>
              <w:t>；</w:t>
            </w:r>
          </w:p>
          <w:p w14:paraId="3AF2AE27">
            <w:pPr>
              <w:pStyle w:val="6"/>
              <w:spacing w:before="65" w:line="228" w:lineRule="auto"/>
              <w:ind w:left="847"/>
            </w:pPr>
            <w:r>
              <w:rPr>
                <w:spacing w:val="6"/>
              </w:rPr>
              <w:t xml:space="preserve">或参照 </w:t>
            </w:r>
            <w:r>
              <w:rPr>
                <w:rFonts w:ascii="Times New Roman" w:hAnsi="Times New Roman" w:eastAsia="Times New Roman" w:cs="Times New Roman"/>
              </w:rPr>
              <w:t>GB</w:t>
            </w:r>
            <w:r>
              <w:rPr>
                <w:rFonts w:ascii="Times New Roman" w:hAnsi="Times New Roman" w:eastAsia="Times New Roman" w:cs="Times New Roman"/>
                <w:spacing w:val="6"/>
              </w:rPr>
              <w:t xml:space="preserve">16889  </w:t>
            </w:r>
            <w:r>
              <w:rPr>
                <w:spacing w:val="6"/>
              </w:rPr>
              <w:t>执行。</w:t>
            </w:r>
          </w:p>
        </w:tc>
      </w:tr>
      <w:tr w14:paraId="1539F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11" w:type="dxa"/>
            <w:vAlign w:val="top"/>
          </w:tcPr>
          <w:p w14:paraId="24938A37">
            <w:pPr>
              <w:pStyle w:val="6"/>
              <w:spacing w:before="55" w:line="227" w:lineRule="auto"/>
              <w:ind w:left="290"/>
            </w:pPr>
            <w:r>
              <w:rPr>
                <w:spacing w:val="7"/>
              </w:rPr>
              <w:t>简单防渗区</w:t>
            </w:r>
          </w:p>
        </w:tc>
        <w:tc>
          <w:tcPr>
            <w:tcW w:w="2645" w:type="dxa"/>
            <w:vAlign w:val="top"/>
          </w:tcPr>
          <w:p w14:paraId="3044F29F">
            <w:pPr>
              <w:rPr>
                <w:rFonts w:ascii="Arial"/>
                <w:sz w:val="21"/>
              </w:rPr>
            </w:pPr>
          </w:p>
        </w:tc>
        <w:tc>
          <w:tcPr>
            <w:tcW w:w="3966" w:type="dxa"/>
            <w:vAlign w:val="top"/>
          </w:tcPr>
          <w:p w14:paraId="7750462B">
            <w:pPr>
              <w:pStyle w:val="6"/>
              <w:spacing w:before="55" w:line="229" w:lineRule="auto"/>
              <w:ind w:left="1361"/>
            </w:pPr>
            <w:r>
              <w:rPr>
                <w:spacing w:val="7"/>
              </w:rPr>
              <w:t>一般地面硬化</w:t>
            </w:r>
          </w:p>
        </w:tc>
      </w:tr>
    </w:tbl>
    <w:p w14:paraId="7EBE59E7">
      <w:pPr>
        <w:spacing w:before="115"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）重点防渗区</w:t>
      </w:r>
    </w:p>
    <w:p w14:paraId="5C02010F">
      <w:pPr>
        <w:spacing w:before="182" w:line="360" w:lineRule="auto"/>
        <w:ind w:left="23" w:right="181" w:firstLine="480"/>
        <w:rPr>
          <w:rFonts w:ascii="宋体" w:hAnsi="宋体" w:eastAsia="宋体" w:cs="宋体"/>
          <w:sz w:val="24"/>
          <w:szCs w:val="24"/>
        </w:rPr>
      </w:pPr>
      <w:r>
        <w:rPr>
          <w:rFonts w:ascii="宋体" w:hAnsi="宋体" w:eastAsia="宋体" w:cs="宋体"/>
          <w:spacing w:val="-3"/>
          <w:sz w:val="24"/>
          <w:szCs w:val="24"/>
        </w:rPr>
        <w:t>本项目重点污染防治区主要是危废暂存间、回水处理系统各水</w:t>
      </w:r>
      <w:r>
        <w:rPr>
          <w:rFonts w:ascii="宋体" w:hAnsi="宋体" w:eastAsia="宋体" w:cs="宋体"/>
          <w:spacing w:val="-4"/>
          <w:sz w:val="24"/>
          <w:szCs w:val="24"/>
        </w:rPr>
        <w:t>池、生活污水</w:t>
      </w:r>
      <w:r>
        <w:rPr>
          <w:rFonts w:ascii="宋体" w:hAnsi="宋体" w:eastAsia="宋体" w:cs="宋体"/>
          <w:sz w:val="24"/>
          <w:szCs w:val="24"/>
        </w:rPr>
        <w:t xml:space="preserve"> </w:t>
      </w:r>
      <w:r>
        <w:rPr>
          <w:rFonts w:ascii="宋体" w:hAnsi="宋体" w:eastAsia="宋体" w:cs="宋体"/>
          <w:spacing w:val="-3"/>
          <w:sz w:val="24"/>
          <w:szCs w:val="24"/>
        </w:rPr>
        <w:t>处理站，其防渗要求等效黏土防渗层</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Mb≥6.0m</w:t>
      </w:r>
      <w:r>
        <w:rPr>
          <w:rFonts w:ascii="宋体" w:hAnsi="宋体" w:eastAsia="宋体" w:cs="宋体"/>
          <w:spacing w:val="-3"/>
          <w:sz w:val="24"/>
          <w:szCs w:val="24"/>
        </w:rPr>
        <w:t>，</w:t>
      </w:r>
      <w:r>
        <w:rPr>
          <w:rFonts w:ascii="Times New Roman" w:hAnsi="Times New Roman" w:eastAsia="Times New Roman" w:cs="Times New Roman"/>
          <w:spacing w:val="-3"/>
          <w:sz w:val="24"/>
          <w:szCs w:val="24"/>
        </w:rPr>
        <w:t>K≤1×10</w:t>
      </w:r>
      <w:r>
        <w:rPr>
          <w:rFonts w:ascii="Times New Roman" w:hAnsi="Times New Roman" w:eastAsia="Times New Roman" w:cs="Times New Roman"/>
          <w:spacing w:val="-3"/>
          <w:position w:val="8"/>
          <w:sz w:val="15"/>
          <w:szCs w:val="15"/>
        </w:rPr>
        <w:t>-7</w:t>
      </w:r>
      <w:r>
        <w:rPr>
          <w:rFonts w:ascii="Times New Roman" w:hAnsi="Times New Roman" w:eastAsia="Times New Roman" w:cs="Times New Roman"/>
          <w:spacing w:val="-3"/>
          <w:sz w:val="24"/>
          <w:szCs w:val="24"/>
        </w:rPr>
        <w:t>cm/s</w:t>
      </w:r>
      <w:r>
        <w:rPr>
          <w:rFonts w:ascii="宋体" w:hAnsi="宋体" w:eastAsia="宋体" w:cs="宋体"/>
          <w:spacing w:val="-3"/>
          <w:sz w:val="24"/>
          <w:szCs w:val="24"/>
        </w:rPr>
        <w:t>。或参照</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GB18598</w:t>
      </w:r>
      <w:r>
        <w:rPr>
          <w:rFonts w:ascii="Times New Roman" w:hAnsi="Times New Roman" w:eastAsia="Times New Roman" w:cs="Times New Roman"/>
          <w:sz w:val="24"/>
          <w:szCs w:val="24"/>
        </w:rPr>
        <w:t xml:space="preserve"> </w:t>
      </w:r>
      <w:r>
        <w:rPr>
          <w:rFonts w:ascii="宋体" w:hAnsi="宋体" w:eastAsia="宋体" w:cs="宋体"/>
          <w:spacing w:val="-4"/>
          <w:sz w:val="24"/>
          <w:szCs w:val="24"/>
        </w:rPr>
        <w:t>执行。</w:t>
      </w:r>
    </w:p>
    <w:p w14:paraId="4F8B879F">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）一般防渗区</w:t>
      </w:r>
    </w:p>
    <w:p w14:paraId="5303B6DF">
      <w:pPr>
        <w:spacing w:before="182" w:line="360" w:lineRule="auto"/>
        <w:ind w:left="19" w:firstLine="483"/>
        <w:rPr>
          <w:rFonts w:ascii="宋体" w:hAnsi="宋体" w:eastAsia="宋体" w:cs="宋体"/>
          <w:sz w:val="24"/>
          <w:szCs w:val="24"/>
        </w:rPr>
      </w:pPr>
      <w:r>
        <w:rPr>
          <w:rFonts w:ascii="宋体" w:hAnsi="宋体" w:eastAsia="宋体" w:cs="宋体"/>
          <w:spacing w:val="-3"/>
          <w:sz w:val="24"/>
          <w:szCs w:val="24"/>
        </w:rPr>
        <w:t>包括药剂贮存区、各浓密池、精矿仓、原矿堆场、各脱水车间，</w:t>
      </w:r>
      <w:r>
        <w:rPr>
          <w:rFonts w:ascii="宋体" w:hAnsi="宋体" w:eastAsia="宋体" w:cs="宋体"/>
          <w:spacing w:val="-4"/>
          <w:sz w:val="24"/>
          <w:szCs w:val="24"/>
        </w:rPr>
        <w:t>防渗技术要</w:t>
      </w:r>
      <w:r>
        <w:rPr>
          <w:rFonts w:ascii="宋体" w:hAnsi="宋体" w:eastAsia="宋体" w:cs="宋体"/>
          <w:sz w:val="24"/>
          <w:szCs w:val="24"/>
        </w:rPr>
        <w:t xml:space="preserve">  </w:t>
      </w:r>
      <w:r>
        <w:rPr>
          <w:rFonts w:ascii="宋体" w:hAnsi="宋体" w:eastAsia="宋体" w:cs="宋体"/>
          <w:spacing w:val="-4"/>
          <w:sz w:val="24"/>
          <w:szCs w:val="24"/>
        </w:rPr>
        <w:t>求为：各区域底部及四周设置采取防渗，防渗层要求为等效黏土防渗层Mb≥1.</w:t>
      </w:r>
      <w:r>
        <w:rPr>
          <w:rFonts w:ascii="宋体" w:hAnsi="宋体" w:eastAsia="宋体" w:cs="宋体"/>
          <w:spacing w:val="-5"/>
          <w:sz w:val="24"/>
          <w:szCs w:val="24"/>
        </w:rPr>
        <w:t>5m，</w:t>
      </w:r>
      <w:r>
        <w:rPr>
          <w:rFonts w:ascii="宋体" w:hAnsi="宋体" w:eastAsia="宋体" w:cs="宋体"/>
          <w:sz w:val="24"/>
          <w:szCs w:val="24"/>
        </w:rPr>
        <w:t xml:space="preserve"> K≤1×10</w:t>
      </w:r>
      <w:r>
        <w:rPr>
          <w:rFonts w:ascii="宋体" w:hAnsi="宋体" w:eastAsia="宋体" w:cs="宋体"/>
          <w:position w:val="11"/>
          <w:sz w:val="12"/>
          <w:szCs w:val="12"/>
        </w:rPr>
        <w:t>-7</w:t>
      </w:r>
      <w:r>
        <w:rPr>
          <w:rFonts w:ascii="宋体" w:hAnsi="宋体" w:eastAsia="宋体" w:cs="宋体"/>
          <w:sz w:val="24"/>
          <w:szCs w:val="24"/>
        </w:rPr>
        <w:t xml:space="preserve">cm/s，或参照 </w:t>
      </w:r>
      <w:r>
        <w:rPr>
          <w:rFonts w:ascii="Times New Roman" w:hAnsi="Times New Roman" w:eastAsia="Times New Roman" w:cs="Times New Roman"/>
          <w:sz w:val="24"/>
          <w:szCs w:val="24"/>
        </w:rPr>
        <w:t>GB168</w:t>
      </w:r>
      <w:r>
        <w:rPr>
          <w:rFonts w:ascii="Times New Roman" w:hAnsi="Times New Roman" w:eastAsia="Times New Roman" w:cs="Times New Roman"/>
          <w:spacing w:val="-1"/>
          <w:sz w:val="24"/>
          <w:szCs w:val="24"/>
        </w:rPr>
        <w:t xml:space="preserve">89  </w:t>
      </w:r>
      <w:r>
        <w:rPr>
          <w:rFonts w:ascii="宋体" w:hAnsi="宋体" w:eastAsia="宋体" w:cs="宋体"/>
          <w:spacing w:val="-1"/>
          <w:sz w:val="24"/>
          <w:szCs w:val="24"/>
        </w:rPr>
        <w:t>执行。</w:t>
      </w:r>
    </w:p>
    <w:p w14:paraId="10813BA5">
      <w:pPr>
        <w:spacing w:before="1" w:line="218"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）简单防渗区</w:t>
      </w:r>
    </w:p>
    <w:p w14:paraId="18CD29A0">
      <w:pPr>
        <w:spacing w:before="183" w:line="360" w:lineRule="auto"/>
        <w:ind w:left="23" w:right="181" w:firstLine="483"/>
        <w:rPr>
          <w:rFonts w:ascii="宋体" w:hAnsi="宋体" w:eastAsia="宋体" w:cs="宋体"/>
          <w:sz w:val="24"/>
          <w:szCs w:val="24"/>
        </w:rPr>
      </w:pPr>
      <w:r>
        <w:rPr>
          <w:rFonts w:ascii="宋体" w:hAnsi="宋体" w:eastAsia="宋体" w:cs="宋体"/>
          <w:spacing w:val="-3"/>
          <w:sz w:val="24"/>
          <w:szCs w:val="24"/>
        </w:rPr>
        <w:t>没有物料或污染物泄漏，不会对地下水环境造成污染的</w:t>
      </w:r>
      <w:r>
        <w:rPr>
          <w:rFonts w:ascii="宋体" w:hAnsi="宋体" w:eastAsia="宋体" w:cs="宋体"/>
          <w:spacing w:val="-4"/>
          <w:sz w:val="24"/>
          <w:szCs w:val="24"/>
        </w:rPr>
        <w:t>区域或部位。主要包</w:t>
      </w:r>
      <w:r>
        <w:rPr>
          <w:rFonts w:ascii="宋体" w:hAnsi="宋体" w:eastAsia="宋体" w:cs="宋体"/>
          <w:sz w:val="24"/>
          <w:szCs w:val="24"/>
        </w:rPr>
        <w:t xml:space="preserve"> </w:t>
      </w:r>
      <w:r>
        <w:rPr>
          <w:rFonts w:ascii="宋体" w:hAnsi="宋体" w:eastAsia="宋体" w:cs="宋体"/>
          <w:spacing w:val="-1"/>
          <w:sz w:val="24"/>
          <w:szCs w:val="24"/>
        </w:rPr>
        <w:t>括项目中央控制室、厂区道路等，其防渗要求为一般地面硬化。</w:t>
      </w:r>
    </w:p>
    <w:p w14:paraId="1075EF47">
      <w:pPr>
        <w:spacing w:before="4" w:line="359" w:lineRule="auto"/>
        <w:ind w:left="23" w:right="146" w:firstLine="480"/>
        <w:jc w:val="both"/>
        <w:rPr>
          <w:rFonts w:ascii="宋体" w:hAnsi="宋体" w:eastAsia="宋体" w:cs="宋体"/>
          <w:sz w:val="24"/>
          <w:szCs w:val="24"/>
        </w:rPr>
      </w:pPr>
      <w:r>
        <w:rPr>
          <w:rFonts w:ascii="宋体" w:hAnsi="宋体" w:eastAsia="宋体" w:cs="宋体"/>
          <w:spacing w:val="-2"/>
          <w:sz w:val="24"/>
          <w:szCs w:val="24"/>
        </w:rPr>
        <w:t>根据防渗参照的标准和规范，结合目前施工过程中的可操作性和技术</w:t>
      </w:r>
      <w:r>
        <w:rPr>
          <w:rFonts w:ascii="宋体" w:hAnsi="宋体" w:eastAsia="宋体" w:cs="宋体"/>
          <w:spacing w:val="-3"/>
          <w:sz w:val="24"/>
          <w:szCs w:val="24"/>
        </w:rPr>
        <w:t>水平，</w:t>
      </w:r>
      <w:r>
        <w:rPr>
          <w:rFonts w:ascii="宋体" w:hAnsi="宋体" w:eastAsia="宋体" w:cs="宋体"/>
          <w:sz w:val="24"/>
          <w:szCs w:val="24"/>
        </w:rPr>
        <w:t xml:space="preserve"> </w:t>
      </w:r>
      <w:r>
        <w:rPr>
          <w:rFonts w:ascii="宋体" w:hAnsi="宋体" w:eastAsia="宋体" w:cs="宋体"/>
          <w:spacing w:val="-3"/>
          <w:sz w:val="24"/>
          <w:szCs w:val="24"/>
        </w:rPr>
        <w:t>针对不同的防渗区域采用典型的防渗措施如下，在具体设计中应根据实际情况在</w:t>
      </w:r>
      <w:r>
        <w:rPr>
          <w:rFonts w:ascii="宋体" w:hAnsi="宋体" w:eastAsia="宋体" w:cs="宋体"/>
          <w:spacing w:val="1"/>
          <w:sz w:val="24"/>
          <w:szCs w:val="24"/>
        </w:rPr>
        <w:t xml:space="preserve"> </w:t>
      </w:r>
      <w:r>
        <w:rPr>
          <w:rFonts w:ascii="宋体" w:hAnsi="宋体" w:eastAsia="宋体" w:cs="宋体"/>
          <w:spacing w:val="-1"/>
          <w:sz w:val="24"/>
          <w:szCs w:val="24"/>
        </w:rPr>
        <w:t>满足防渗标准的前提下做必要的调整。</w:t>
      </w:r>
    </w:p>
    <w:p w14:paraId="2B8A5E89">
      <w:pPr>
        <w:spacing w:line="362" w:lineRule="auto"/>
        <w:ind w:left="23" w:right="181" w:firstLine="482"/>
        <w:rPr>
          <w:rFonts w:ascii="宋体" w:hAnsi="宋体" w:eastAsia="宋体" w:cs="宋体"/>
          <w:sz w:val="24"/>
          <w:szCs w:val="24"/>
        </w:rPr>
      </w:pPr>
      <w:r>
        <w:rPr>
          <w:rFonts w:ascii="宋体" w:hAnsi="宋体" w:eastAsia="宋体" w:cs="宋体"/>
          <w:spacing w:val="-3"/>
          <w:sz w:val="24"/>
          <w:szCs w:val="24"/>
        </w:rPr>
        <w:t>为了更好地进行污染防治、保护地下水环境，需制定地下</w:t>
      </w:r>
      <w:r>
        <w:rPr>
          <w:rFonts w:ascii="宋体" w:hAnsi="宋体" w:eastAsia="宋体" w:cs="宋体"/>
          <w:spacing w:val="-4"/>
          <w:sz w:val="24"/>
          <w:szCs w:val="24"/>
        </w:rPr>
        <w:t>水污染监控方案及</w:t>
      </w:r>
      <w:r>
        <w:rPr>
          <w:rFonts w:ascii="宋体" w:hAnsi="宋体" w:eastAsia="宋体" w:cs="宋体"/>
          <w:sz w:val="24"/>
          <w:szCs w:val="24"/>
        </w:rPr>
        <w:t xml:space="preserve"> </w:t>
      </w:r>
      <w:r>
        <w:rPr>
          <w:rFonts w:ascii="宋体" w:hAnsi="宋体" w:eastAsia="宋体" w:cs="宋体"/>
          <w:spacing w:val="-1"/>
          <w:sz w:val="24"/>
          <w:szCs w:val="24"/>
        </w:rPr>
        <w:t>地下水风险事故应急响应预案。</w:t>
      </w:r>
    </w:p>
    <w:p w14:paraId="1AA3EF1A">
      <w:pPr>
        <w:spacing w:before="78" w:line="222" w:lineRule="auto"/>
        <w:ind w:left="22"/>
        <w:outlineLvl w:val="1"/>
        <w:rPr>
          <w:rFonts w:ascii="黑体" w:hAnsi="黑体" w:eastAsia="黑体" w:cs="黑体"/>
          <w:sz w:val="28"/>
          <w:szCs w:val="28"/>
        </w:rPr>
      </w:pPr>
      <w:bookmarkStart w:id="170" w:name="bookmark151"/>
      <w:bookmarkEnd w:id="170"/>
      <w:r>
        <w:rPr>
          <w:rFonts w:ascii="Times New Roman" w:hAnsi="Times New Roman" w:eastAsia="Times New Roman" w:cs="Times New Roman"/>
          <w:b/>
          <w:bCs/>
          <w:spacing w:val="-2"/>
          <w:sz w:val="28"/>
          <w:szCs w:val="28"/>
        </w:rPr>
        <w:t xml:space="preserve">9.3 </w:t>
      </w:r>
      <w:r>
        <w:rPr>
          <w:rFonts w:ascii="黑体" w:hAnsi="黑体" w:eastAsia="黑体" w:cs="黑体"/>
          <w:b/>
          <w:bCs/>
          <w:spacing w:val="-2"/>
          <w:sz w:val="28"/>
          <w:szCs w:val="28"/>
        </w:rPr>
        <w:t>噪声污染控制</w:t>
      </w:r>
    </w:p>
    <w:p w14:paraId="281ABF05">
      <w:pPr>
        <w:spacing w:line="222" w:lineRule="auto"/>
        <w:rPr>
          <w:rFonts w:ascii="黑体" w:hAnsi="黑体" w:eastAsia="黑体" w:cs="黑体"/>
          <w:sz w:val="28"/>
          <w:szCs w:val="28"/>
        </w:rPr>
        <w:sectPr>
          <w:headerReference r:id="rId399" w:type="default"/>
          <w:footerReference r:id="rId400" w:type="default"/>
          <w:pgSz w:w="11906" w:h="16839"/>
          <w:pgMar w:top="1208" w:right="1618" w:bottom="1358" w:left="1785" w:header="825" w:footer="1195" w:gutter="0"/>
          <w:cols w:space="720" w:num="1"/>
        </w:sectPr>
      </w:pPr>
    </w:p>
    <w:p w14:paraId="6F1A68AB">
      <w:pPr>
        <w:pStyle w:val="2"/>
        <w:spacing w:line="265" w:lineRule="auto"/>
      </w:pPr>
    </w:p>
    <w:p w14:paraId="17A11454">
      <w:pPr>
        <w:spacing w:before="78" w:line="360" w:lineRule="auto"/>
        <w:ind w:left="23" w:right="25" w:firstLine="479"/>
        <w:jc w:val="both"/>
        <w:rPr>
          <w:rFonts w:ascii="宋体" w:hAnsi="宋体" w:eastAsia="宋体" w:cs="宋体"/>
          <w:sz w:val="24"/>
          <w:szCs w:val="24"/>
        </w:rPr>
      </w:pPr>
      <w:r>
        <w:rPr>
          <w:rFonts w:ascii="宋体" w:hAnsi="宋体" w:eastAsia="宋体" w:cs="宋体"/>
          <w:spacing w:val="-8"/>
          <w:sz w:val="24"/>
          <w:szCs w:val="24"/>
        </w:rPr>
        <w:t>选矿的噪声源主要为振动给料机、湿式半自磨机、湿式格子型球磨机等设备。</w:t>
      </w:r>
      <w:r>
        <w:rPr>
          <w:rFonts w:ascii="宋体" w:hAnsi="宋体" w:eastAsia="宋体" w:cs="宋体"/>
          <w:spacing w:val="9"/>
          <w:sz w:val="24"/>
          <w:szCs w:val="24"/>
        </w:rPr>
        <w:t xml:space="preserve"> </w:t>
      </w:r>
      <w:r>
        <w:rPr>
          <w:rFonts w:ascii="宋体" w:hAnsi="宋体" w:eastAsia="宋体" w:cs="宋体"/>
          <w:spacing w:val="-3"/>
          <w:sz w:val="24"/>
          <w:szCs w:val="24"/>
        </w:rPr>
        <w:t>其特点是噪声源多、分散，且分贝值高；为达到有效降噪的目的，采取噪声防治</w:t>
      </w:r>
      <w:r>
        <w:rPr>
          <w:rFonts w:ascii="宋体" w:hAnsi="宋体" w:eastAsia="宋体" w:cs="宋体"/>
          <w:spacing w:val="1"/>
          <w:sz w:val="24"/>
          <w:szCs w:val="24"/>
        </w:rPr>
        <w:t xml:space="preserve"> </w:t>
      </w:r>
      <w:r>
        <w:rPr>
          <w:rFonts w:ascii="宋体" w:hAnsi="宋体" w:eastAsia="宋体" w:cs="宋体"/>
          <w:spacing w:val="-2"/>
          <w:sz w:val="24"/>
          <w:szCs w:val="24"/>
        </w:rPr>
        <w:t>措施如下：</w:t>
      </w:r>
    </w:p>
    <w:p w14:paraId="42CCF319">
      <w:pPr>
        <w:spacing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）选用良好声学性能机械设备；</w:t>
      </w:r>
    </w:p>
    <w:p w14:paraId="6D9E134E">
      <w:pPr>
        <w:spacing w:before="184" w:line="313" w:lineRule="auto"/>
        <w:ind w:left="34" w:right="105"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）对于道路交通噪声，应经常维护，保证路面完好，降低车辆通过时的</w:t>
      </w:r>
      <w:r>
        <w:rPr>
          <w:rFonts w:ascii="宋体" w:hAnsi="宋体" w:eastAsia="宋体" w:cs="宋体"/>
          <w:spacing w:val="2"/>
          <w:sz w:val="24"/>
          <w:szCs w:val="24"/>
        </w:rPr>
        <w:t xml:space="preserve"> </w:t>
      </w:r>
      <w:r>
        <w:rPr>
          <w:rFonts w:ascii="宋体" w:hAnsi="宋体" w:eastAsia="宋体" w:cs="宋体"/>
          <w:spacing w:val="-3"/>
          <w:sz w:val="24"/>
          <w:szCs w:val="24"/>
        </w:rPr>
        <w:t>噪声。同时对来往车辆应采取措施限制车速。运输尽量</w:t>
      </w:r>
      <w:r>
        <w:rPr>
          <w:rFonts w:ascii="宋体" w:hAnsi="宋体" w:eastAsia="宋体" w:cs="宋体"/>
          <w:spacing w:val="-4"/>
          <w:sz w:val="24"/>
          <w:szCs w:val="24"/>
        </w:rPr>
        <w:t>安排在白天进行，在生活</w:t>
      </w:r>
      <w:r>
        <w:rPr>
          <w:rFonts w:ascii="宋体" w:hAnsi="宋体" w:eastAsia="宋体" w:cs="宋体"/>
          <w:sz w:val="24"/>
          <w:szCs w:val="24"/>
        </w:rPr>
        <w:t xml:space="preserve"> </w:t>
      </w:r>
      <w:r>
        <w:rPr>
          <w:rFonts w:ascii="宋体" w:hAnsi="宋体" w:eastAsia="宋体" w:cs="宋体"/>
          <w:spacing w:val="-2"/>
          <w:sz w:val="24"/>
          <w:szCs w:val="24"/>
        </w:rPr>
        <w:t>区内汽车禁止鸣喇叭，且限速行驶。</w:t>
      </w:r>
    </w:p>
    <w:p w14:paraId="18B768D7">
      <w:pPr>
        <w:spacing w:before="182" w:line="313" w:lineRule="auto"/>
        <w:ind w:left="22" w:right="105"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）加强项目区周围绿化措施，降低噪声传播。建议企业每年按计划进行</w:t>
      </w:r>
      <w:r>
        <w:rPr>
          <w:rFonts w:ascii="宋体" w:hAnsi="宋体" w:eastAsia="宋体" w:cs="宋体"/>
          <w:spacing w:val="2"/>
          <w:sz w:val="24"/>
          <w:szCs w:val="24"/>
        </w:rPr>
        <w:t xml:space="preserve"> </w:t>
      </w:r>
      <w:r>
        <w:rPr>
          <w:rFonts w:ascii="宋体" w:hAnsi="宋体" w:eastAsia="宋体" w:cs="宋体"/>
          <w:spacing w:val="-3"/>
          <w:sz w:val="24"/>
          <w:szCs w:val="24"/>
        </w:rPr>
        <w:t>绿化工作，完善项目区绿化体系，防护林带可有效阻挡噪声的传播。同时对无法</w:t>
      </w:r>
      <w:r>
        <w:rPr>
          <w:rFonts w:ascii="宋体" w:hAnsi="宋体" w:eastAsia="宋体" w:cs="宋体"/>
          <w:spacing w:val="1"/>
          <w:sz w:val="24"/>
          <w:szCs w:val="24"/>
        </w:rPr>
        <w:t xml:space="preserve"> </w:t>
      </w:r>
      <w:r>
        <w:rPr>
          <w:rFonts w:ascii="宋体" w:hAnsi="宋体" w:eastAsia="宋体" w:cs="宋体"/>
          <w:sz w:val="24"/>
          <w:szCs w:val="24"/>
        </w:rPr>
        <w:t>采取降噪措施的作业场所，操作工人佩戴耳塞、</w:t>
      </w:r>
      <w:r>
        <w:rPr>
          <w:rFonts w:ascii="宋体" w:hAnsi="宋体" w:eastAsia="宋体" w:cs="宋体"/>
          <w:spacing w:val="-1"/>
          <w:sz w:val="24"/>
          <w:szCs w:val="24"/>
        </w:rPr>
        <w:t>耳罩和其他防护用品。</w:t>
      </w:r>
    </w:p>
    <w:p w14:paraId="0C74D88A">
      <w:pPr>
        <w:spacing w:before="185" w:line="361" w:lineRule="auto"/>
        <w:ind w:left="34" w:firstLine="471"/>
        <w:jc w:val="both"/>
        <w:rPr>
          <w:rFonts w:ascii="宋体" w:hAnsi="宋体" w:eastAsia="宋体" w:cs="宋体"/>
          <w:sz w:val="24"/>
          <w:szCs w:val="24"/>
        </w:rPr>
      </w:pPr>
      <w:r>
        <w:rPr>
          <w:rFonts w:ascii="宋体" w:hAnsi="宋体" w:eastAsia="宋体" w:cs="宋体"/>
          <w:spacing w:val="-3"/>
          <w:sz w:val="24"/>
          <w:szCs w:val="24"/>
        </w:rPr>
        <w:t>综上所述，通过采取以上降噪、隔声措施可使设备噪声得</w:t>
      </w:r>
      <w:r>
        <w:rPr>
          <w:rFonts w:ascii="宋体" w:hAnsi="宋体" w:eastAsia="宋体" w:cs="宋体"/>
          <w:spacing w:val="-4"/>
          <w:sz w:val="24"/>
          <w:szCs w:val="24"/>
        </w:rPr>
        <w:t>到有效控制，对周</w:t>
      </w:r>
      <w:r>
        <w:rPr>
          <w:rFonts w:ascii="宋体" w:hAnsi="宋体" w:eastAsia="宋体" w:cs="宋体"/>
          <w:sz w:val="24"/>
          <w:szCs w:val="24"/>
        </w:rPr>
        <w:t xml:space="preserve">  </w:t>
      </w:r>
      <w:r>
        <w:rPr>
          <w:rFonts w:ascii="宋体" w:hAnsi="宋体" w:eastAsia="宋体" w:cs="宋体"/>
          <w:spacing w:val="-7"/>
          <w:sz w:val="24"/>
          <w:szCs w:val="24"/>
        </w:rPr>
        <w:t>围环境噪声影响可降到最低程度，噪声值符合《工业企业厂界环境噪声排放标准》</w:t>
      </w:r>
      <w:r>
        <w:rPr>
          <w:rFonts w:ascii="宋体" w:hAnsi="宋体" w:eastAsia="宋体" w:cs="宋体"/>
          <w:spacing w:val="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GB12348-2008</w:t>
      </w:r>
      <w:r>
        <w:rPr>
          <w:rFonts w:ascii="宋体" w:hAnsi="宋体" w:eastAsia="宋体" w:cs="宋体"/>
          <w:spacing w:val="-2"/>
          <w:sz w:val="24"/>
          <w:szCs w:val="24"/>
        </w:rPr>
        <w:t>）中</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类标准限值。</w:t>
      </w:r>
    </w:p>
    <w:p w14:paraId="18005F22">
      <w:pPr>
        <w:spacing w:before="77" w:line="222" w:lineRule="auto"/>
        <w:ind w:left="22"/>
        <w:outlineLvl w:val="1"/>
        <w:rPr>
          <w:rFonts w:ascii="黑体" w:hAnsi="黑体" w:eastAsia="黑体" w:cs="黑体"/>
          <w:sz w:val="28"/>
          <w:szCs w:val="28"/>
        </w:rPr>
      </w:pPr>
      <w:bookmarkStart w:id="171" w:name="bookmark152"/>
      <w:bookmarkEnd w:id="171"/>
      <w:r>
        <w:rPr>
          <w:rFonts w:ascii="Times New Roman" w:hAnsi="Times New Roman" w:eastAsia="Times New Roman" w:cs="Times New Roman"/>
          <w:b/>
          <w:bCs/>
          <w:spacing w:val="-5"/>
          <w:sz w:val="28"/>
          <w:szCs w:val="28"/>
        </w:rPr>
        <w:t>9.4</w:t>
      </w:r>
      <w:r>
        <w:rPr>
          <w:rFonts w:ascii="Times New Roman" w:hAnsi="Times New Roman" w:eastAsia="Times New Roman" w:cs="Times New Roman"/>
          <w:b/>
          <w:bCs/>
          <w:spacing w:val="30"/>
          <w:w w:val="101"/>
          <w:sz w:val="28"/>
          <w:szCs w:val="28"/>
        </w:rPr>
        <w:t xml:space="preserve"> </w:t>
      </w:r>
      <w:r>
        <w:rPr>
          <w:rFonts w:ascii="黑体" w:hAnsi="黑体" w:eastAsia="黑体" w:cs="黑体"/>
          <w:b/>
          <w:bCs/>
          <w:spacing w:val="-5"/>
          <w:sz w:val="28"/>
          <w:szCs w:val="28"/>
        </w:rPr>
        <w:t>固体废物处置对策</w:t>
      </w:r>
    </w:p>
    <w:p w14:paraId="4E7968C5">
      <w:pPr>
        <w:spacing w:before="179" w:line="219" w:lineRule="auto"/>
        <w:ind w:left="51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）尾矿</w:t>
      </w:r>
    </w:p>
    <w:p w14:paraId="6B06257E">
      <w:pPr>
        <w:spacing w:before="182" w:line="358" w:lineRule="auto"/>
        <w:ind w:left="22" w:right="44" w:firstLine="484"/>
        <w:rPr>
          <w:rFonts w:ascii="宋体" w:hAnsi="宋体" w:eastAsia="宋体" w:cs="宋体"/>
          <w:sz w:val="24"/>
          <w:szCs w:val="24"/>
        </w:rPr>
      </w:pPr>
      <w:r>
        <w:rPr>
          <w:rFonts w:ascii="宋体" w:hAnsi="宋体" w:eastAsia="宋体" w:cs="宋体"/>
          <w:spacing w:val="-3"/>
          <w:sz w:val="24"/>
          <w:szCs w:val="24"/>
        </w:rPr>
        <w:t>项目技改后，产生的选矿尾矿量约为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38.874</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8"/>
          <w:sz w:val="15"/>
          <w:szCs w:val="15"/>
        </w:rPr>
        <w:t>4</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4"/>
          <w:sz w:val="24"/>
          <w:szCs w:val="24"/>
        </w:rPr>
        <w:t>a</w:t>
      </w:r>
      <w:r>
        <w:rPr>
          <w:rFonts w:ascii="宋体" w:hAnsi="宋体" w:eastAsia="宋体" w:cs="宋体"/>
          <w:spacing w:val="-4"/>
          <w:sz w:val="24"/>
          <w:szCs w:val="24"/>
        </w:rPr>
        <w:t>，为一般性固体废弃物，</w:t>
      </w:r>
      <w:r>
        <w:rPr>
          <w:rFonts w:ascii="宋体" w:hAnsi="宋体" w:eastAsia="宋体" w:cs="宋体"/>
          <w:sz w:val="24"/>
          <w:szCs w:val="24"/>
        </w:rPr>
        <w:t xml:space="preserve"> </w:t>
      </w:r>
      <w:r>
        <w:rPr>
          <w:rFonts w:ascii="宋体" w:hAnsi="宋体" w:eastAsia="宋体" w:cs="宋体"/>
          <w:spacing w:val="-2"/>
          <w:sz w:val="24"/>
          <w:szCs w:val="24"/>
        </w:rPr>
        <w:t>全部堆存于现有Ⅱ号尾矿库，尾矿含水＜</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2"/>
          <w:sz w:val="24"/>
          <w:szCs w:val="24"/>
        </w:rPr>
        <w:t xml:space="preserve"> </w:t>
      </w:r>
      <w:r>
        <w:rPr>
          <w:rFonts w:ascii="宋体" w:hAnsi="宋体" w:eastAsia="宋体" w:cs="宋体"/>
          <w:spacing w:val="-2"/>
          <w:sz w:val="24"/>
          <w:szCs w:val="24"/>
        </w:rPr>
        <w:t>，尾矿粒度</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0.074mm</w:t>
      </w:r>
      <w:r>
        <w:rPr>
          <w:rFonts w:ascii="Times New Roman" w:hAnsi="Times New Roman" w:eastAsia="Times New Roman" w:cs="Times New Roman"/>
          <w:spacing w:val="52"/>
          <w:sz w:val="24"/>
          <w:szCs w:val="24"/>
        </w:rPr>
        <w:t xml:space="preserve"> </w:t>
      </w:r>
      <w:r>
        <w:rPr>
          <w:rFonts w:ascii="宋体" w:hAnsi="宋体" w:eastAsia="宋体" w:cs="宋体"/>
          <w:spacing w:val="-2"/>
          <w:sz w:val="24"/>
          <w:szCs w:val="24"/>
        </w:rPr>
        <w:t>占</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，尾</w:t>
      </w:r>
      <w:r>
        <w:rPr>
          <w:rFonts w:ascii="宋体" w:hAnsi="宋体" w:eastAsia="宋体" w:cs="宋体"/>
          <w:sz w:val="24"/>
          <w:szCs w:val="24"/>
        </w:rPr>
        <w:t xml:space="preserve"> </w:t>
      </w:r>
      <w:r>
        <w:rPr>
          <w:rFonts w:ascii="宋体" w:hAnsi="宋体" w:eastAsia="宋体" w:cs="宋体"/>
          <w:spacing w:val="-3"/>
          <w:sz w:val="24"/>
          <w:szCs w:val="24"/>
        </w:rPr>
        <w:t>矿真比重约为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2.3t/m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，品位</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Pb 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r>
        <w:rPr>
          <w:rFonts w:ascii="Times New Roman" w:hAnsi="Times New Roman" w:eastAsia="Times New Roman" w:cs="Times New Roman"/>
          <w:spacing w:val="-3"/>
          <w:sz w:val="24"/>
          <w:szCs w:val="24"/>
        </w:rPr>
        <w:t>Zn 0.23%</w:t>
      </w:r>
      <w:r>
        <w:rPr>
          <w:rFonts w:ascii="宋体" w:hAnsi="宋体" w:eastAsia="宋体" w:cs="宋体"/>
          <w:spacing w:val="-3"/>
          <w:sz w:val="24"/>
          <w:szCs w:val="24"/>
        </w:rPr>
        <w:t>、</w:t>
      </w:r>
      <w:r>
        <w:rPr>
          <w:rFonts w:ascii="Times New Roman" w:hAnsi="Times New Roman" w:eastAsia="Times New Roman" w:cs="Times New Roman"/>
          <w:spacing w:val="-3"/>
          <w:sz w:val="24"/>
          <w:szCs w:val="24"/>
        </w:rPr>
        <w:t>Ag 22.91</w:t>
      </w:r>
      <w:r>
        <w:rPr>
          <w:rFonts w:ascii="Times New Roman" w:hAnsi="Times New Roman" w:eastAsia="Times New Roman" w:cs="Times New Roman"/>
          <w:spacing w:val="-4"/>
          <w:sz w:val="24"/>
          <w:szCs w:val="24"/>
        </w:rPr>
        <w:t>g/t</w:t>
      </w:r>
      <w:r>
        <w:rPr>
          <w:rFonts w:ascii="宋体" w:hAnsi="宋体" w:eastAsia="宋体" w:cs="宋体"/>
          <w:spacing w:val="-4"/>
          <w:sz w:val="24"/>
          <w:szCs w:val="24"/>
        </w:rPr>
        <w:t>。尾矿经过厂前浓</w:t>
      </w:r>
      <w:r>
        <w:rPr>
          <w:rFonts w:ascii="宋体" w:hAnsi="宋体" w:eastAsia="宋体" w:cs="宋体"/>
          <w:sz w:val="24"/>
          <w:szCs w:val="24"/>
        </w:rPr>
        <w:t xml:space="preserve"> </w:t>
      </w:r>
      <w:r>
        <w:rPr>
          <w:rFonts w:ascii="宋体" w:hAnsi="宋体" w:eastAsia="宋体" w:cs="宋体"/>
          <w:spacing w:val="-1"/>
          <w:sz w:val="24"/>
          <w:szCs w:val="24"/>
        </w:rPr>
        <w:t>密后经管道输送至现有尾矿库贮存。</w:t>
      </w:r>
    </w:p>
    <w:p w14:paraId="3106E1CF">
      <w:pPr>
        <w:spacing w:before="4"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）除尘灰</w:t>
      </w:r>
    </w:p>
    <w:p w14:paraId="5478EC31">
      <w:pPr>
        <w:spacing w:before="183" w:line="359" w:lineRule="auto"/>
        <w:ind w:left="27" w:right="105" w:firstLine="480"/>
        <w:rPr>
          <w:rFonts w:ascii="宋体" w:hAnsi="宋体" w:eastAsia="宋体" w:cs="宋体"/>
          <w:sz w:val="24"/>
          <w:szCs w:val="24"/>
        </w:rPr>
      </w:pPr>
      <w:r>
        <w:rPr>
          <w:rFonts w:ascii="宋体" w:hAnsi="宋体" w:eastAsia="宋体" w:cs="宋体"/>
          <w:spacing w:val="-3"/>
          <w:sz w:val="24"/>
          <w:szCs w:val="24"/>
        </w:rPr>
        <w:t>项目技改后，布袋除尘系统收集的除尘灰量约为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368.42t/a</w:t>
      </w:r>
      <w:r>
        <w:rPr>
          <w:rFonts w:ascii="宋体" w:hAnsi="宋体" w:eastAsia="宋体" w:cs="宋体"/>
          <w:spacing w:val="-3"/>
          <w:sz w:val="24"/>
          <w:szCs w:val="24"/>
        </w:rPr>
        <w:t>，为一般</w:t>
      </w:r>
      <w:r>
        <w:rPr>
          <w:rFonts w:ascii="宋体" w:hAnsi="宋体" w:eastAsia="宋体" w:cs="宋体"/>
          <w:spacing w:val="-4"/>
          <w:sz w:val="24"/>
          <w:szCs w:val="24"/>
        </w:rPr>
        <w:t>性固体废</w:t>
      </w:r>
      <w:r>
        <w:rPr>
          <w:rFonts w:ascii="宋体" w:hAnsi="宋体" w:eastAsia="宋体" w:cs="宋体"/>
          <w:sz w:val="24"/>
          <w:szCs w:val="24"/>
        </w:rPr>
        <w:t xml:space="preserve"> </w:t>
      </w:r>
      <w:r>
        <w:rPr>
          <w:rFonts w:ascii="宋体" w:hAnsi="宋体" w:eastAsia="宋体" w:cs="宋体"/>
          <w:spacing w:val="-2"/>
          <w:sz w:val="24"/>
          <w:szCs w:val="24"/>
        </w:rPr>
        <w:t>弃物，作为项目原料再利用。</w:t>
      </w:r>
    </w:p>
    <w:p w14:paraId="7CCD0B10">
      <w:pPr>
        <w:spacing w:before="1"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）浮选药品废弃包装材料</w:t>
      </w:r>
    </w:p>
    <w:p w14:paraId="02581ABE">
      <w:pPr>
        <w:spacing w:before="182" w:line="359" w:lineRule="auto"/>
        <w:ind w:left="19" w:right="25" w:firstLine="485"/>
        <w:rPr>
          <w:rFonts w:ascii="宋体" w:hAnsi="宋体" w:eastAsia="宋体" w:cs="宋体"/>
          <w:sz w:val="24"/>
          <w:szCs w:val="24"/>
        </w:rPr>
      </w:pPr>
      <w:r>
        <w:rPr>
          <w:rFonts w:ascii="宋体" w:hAnsi="宋体" w:eastAsia="宋体" w:cs="宋体"/>
          <w:spacing w:val="-3"/>
          <w:sz w:val="24"/>
          <w:szCs w:val="24"/>
        </w:rPr>
        <w:t>技改后，选矿车间每年产生少量的浮选药品包装袋、包装铁桶</w:t>
      </w:r>
      <w:r>
        <w:rPr>
          <w:rFonts w:ascii="宋体" w:hAnsi="宋体" w:eastAsia="宋体" w:cs="宋体"/>
          <w:spacing w:val="-4"/>
          <w:sz w:val="24"/>
          <w:szCs w:val="24"/>
        </w:rPr>
        <w:t>，产生量约为</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2t/a</w:t>
      </w:r>
      <w:r>
        <w:rPr>
          <w:rFonts w:ascii="宋体" w:hAnsi="宋体" w:eastAsia="宋体" w:cs="宋体"/>
          <w:spacing w:val="-6"/>
          <w:sz w:val="24"/>
          <w:szCs w:val="24"/>
        </w:rPr>
        <w:t>，这部分废品属于</w:t>
      </w:r>
      <w:r>
        <w:rPr>
          <w:rFonts w:ascii="宋体" w:hAnsi="宋体" w:eastAsia="宋体" w:cs="宋体"/>
          <w:spacing w:val="-32"/>
          <w:sz w:val="24"/>
          <w:szCs w:val="24"/>
        </w:rPr>
        <w:t xml:space="preserve"> </w:t>
      </w:r>
      <w:r>
        <w:rPr>
          <w:rFonts w:ascii="宋体" w:hAnsi="宋体" w:eastAsia="宋体" w:cs="宋体"/>
          <w:spacing w:val="-6"/>
          <w:sz w:val="24"/>
          <w:szCs w:val="24"/>
        </w:rPr>
        <w:t>Ⅰ类一般工业固体废物，暂存后定期外卖给废品回收企业。</w:t>
      </w:r>
    </w:p>
    <w:p w14:paraId="008E5471">
      <w:pPr>
        <w:spacing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）尾矿回水处理系统污泥</w:t>
      </w:r>
    </w:p>
    <w:p w14:paraId="1E87FA1D">
      <w:pPr>
        <w:spacing w:before="262" w:line="360" w:lineRule="auto"/>
        <w:ind w:left="28" w:right="44" w:firstLine="476"/>
        <w:rPr>
          <w:rFonts w:ascii="宋体" w:hAnsi="宋体" w:eastAsia="宋体" w:cs="宋体"/>
          <w:sz w:val="24"/>
          <w:szCs w:val="24"/>
        </w:rPr>
      </w:pPr>
      <w:r>
        <w:rPr>
          <w:rFonts w:ascii="宋体" w:hAnsi="宋体" w:eastAsia="宋体" w:cs="宋体"/>
          <w:spacing w:val="-6"/>
          <w:sz w:val="24"/>
          <w:szCs w:val="24"/>
        </w:rPr>
        <w:t>技改后，选矿车间尾矿回水采用混凝沉淀工艺处理，产</w:t>
      </w:r>
      <w:r>
        <w:rPr>
          <w:rFonts w:ascii="宋体" w:hAnsi="宋体" w:eastAsia="宋体" w:cs="宋体"/>
          <w:spacing w:val="-7"/>
          <w:sz w:val="24"/>
          <w:szCs w:val="24"/>
        </w:rPr>
        <w:t>生污泥量约为</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500t/a</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与尾矿性质类似，堆存于尾矿库。</w:t>
      </w:r>
    </w:p>
    <w:p w14:paraId="67164F97">
      <w:pPr>
        <w:spacing w:before="1" w:line="218"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）废机油（</w:t>
      </w:r>
      <w:r>
        <w:rPr>
          <w:rFonts w:ascii="Times New Roman" w:hAnsi="Times New Roman" w:eastAsia="Times New Roman" w:cs="Times New Roman"/>
          <w:spacing w:val="-1"/>
          <w:sz w:val="24"/>
          <w:szCs w:val="24"/>
        </w:rPr>
        <w:t>HW08 900-214-0</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p>
    <w:p w14:paraId="6D176DFA">
      <w:pPr>
        <w:spacing w:line="218" w:lineRule="auto"/>
        <w:rPr>
          <w:rFonts w:ascii="宋体" w:hAnsi="宋体" w:eastAsia="宋体" w:cs="宋体"/>
          <w:sz w:val="24"/>
          <w:szCs w:val="24"/>
        </w:rPr>
        <w:sectPr>
          <w:headerReference r:id="rId401" w:type="default"/>
          <w:footerReference r:id="rId402" w:type="default"/>
          <w:pgSz w:w="11906" w:h="16839"/>
          <w:pgMar w:top="1208" w:right="1693" w:bottom="1358" w:left="1785" w:header="825" w:footer="1195" w:gutter="0"/>
          <w:cols w:space="720" w:num="1"/>
        </w:sectPr>
      </w:pPr>
    </w:p>
    <w:p w14:paraId="6A7A2C2B">
      <w:pPr>
        <w:spacing w:before="266" w:line="359" w:lineRule="auto"/>
        <w:ind w:left="23" w:right="13" w:firstLine="478"/>
        <w:rPr>
          <w:rFonts w:ascii="宋体" w:hAnsi="宋体" w:eastAsia="宋体" w:cs="宋体"/>
          <w:sz w:val="24"/>
          <w:szCs w:val="24"/>
        </w:rPr>
      </w:pPr>
      <w:r>
        <w:rPr>
          <w:rFonts w:ascii="宋体" w:hAnsi="宋体" w:eastAsia="宋体" w:cs="宋体"/>
          <w:spacing w:val="-3"/>
          <w:sz w:val="24"/>
          <w:szCs w:val="24"/>
        </w:rPr>
        <w:t>机械设备（如球磨机、装载机等）的维护、维修过程可能会产生</w:t>
      </w:r>
      <w:r>
        <w:rPr>
          <w:rFonts w:ascii="宋体" w:hAnsi="宋体" w:eastAsia="宋体" w:cs="宋体"/>
          <w:spacing w:val="-4"/>
          <w:sz w:val="24"/>
          <w:szCs w:val="24"/>
        </w:rPr>
        <w:t>少量的废机</w:t>
      </w:r>
      <w:r>
        <w:rPr>
          <w:rFonts w:ascii="宋体" w:hAnsi="宋体" w:eastAsia="宋体" w:cs="宋体"/>
          <w:sz w:val="24"/>
          <w:szCs w:val="24"/>
        </w:rPr>
        <w:t xml:space="preserve"> </w:t>
      </w:r>
      <w:r>
        <w:rPr>
          <w:rFonts w:ascii="宋体" w:hAnsi="宋体" w:eastAsia="宋体" w:cs="宋体"/>
          <w:spacing w:val="-4"/>
          <w:sz w:val="24"/>
          <w:szCs w:val="24"/>
        </w:rPr>
        <w:t>油。按每年整修一次，最终废机油的产生量约为</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1t</w:t>
      </w:r>
      <w:r>
        <w:rPr>
          <w:rFonts w:ascii="宋体" w:hAnsi="宋体" w:eastAsia="宋体" w:cs="宋体"/>
          <w:spacing w:val="-4"/>
          <w:sz w:val="24"/>
          <w:szCs w:val="24"/>
        </w:rPr>
        <w:t>。废机油属于危险废物废机油</w:t>
      </w:r>
      <w:r>
        <w:rPr>
          <w:rFonts w:ascii="宋体" w:hAnsi="宋体" w:eastAsia="宋体" w:cs="宋体"/>
          <w:sz w:val="24"/>
          <w:szCs w:val="24"/>
        </w:rPr>
        <w:t xml:space="preserve"> </w:t>
      </w:r>
      <w:r>
        <w:rPr>
          <w:rFonts w:ascii="宋体" w:hAnsi="宋体" w:eastAsia="宋体" w:cs="宋体"/>
          <w:spacing w:val="14"/>
          <w:sz w:val="24"/>
          <w:szCs w:val="24"/>
        </w:rPr>
        <w:t>属于危险废物，危废类别为</w:t>
      </w:r>
      <w:r>
        <w:rPr>
          <w:rFonts w:ascii="宋体" w:hAnsi="宋体" w:eastAsia="宋体" w:cs="宋体"/>
          <w:spacing w:val="-26"/>
          <w:sz w:val="24"/>
          <w:szCs w:val="24"/>
        </w:rPr>
        <w:t xml:space="preserve"> </w:t>
      </w:r>
      <w:r>
        <w:rPr>
          <w:rFonts w:ascii="Times New Roman" w:hAnsi="Times New Roman" w:eastAsia="Times New Roman" w:cs="Times New Roman"/>
          <w:sz w:val="24"/>
          <w:szCs w:val="24"/>
        </w:rPr>
        <w:t>HW</w:t>
      </w:r>
      <w:r>
        <w:rPr>
          <w:rFonts w:ascii="Times New Roman" w:hAnsi="Times New Roman" w:eastAsia="Times New Roman" w:cs="Times New Roman"/>
          <w:spacing w:val="14"/>
          <w:sz w:val="24"/>
          <w:szCs w:val="24"/>
        </w:rPr>
        <w:t xml:space="preserve">08  </w:t>
      </w:r>
      <w:r>
        <w:rPr>
          <w:rFonts w:ascii="宋体" w:hAnsi="宋体" w:eastAsia="宋体" w:cs="宋体"/>
          <w:spacing w:val="14"/>
          <w:sz w:val="24"/>
          <w:szCs w:val="24"/>
        </w:rPr>
        <w:t>废矿物油与含矿物油废物，废物代码：</w:t>
      </w:r>
      <w:r>
        <w:rPr>
          <w:rFonts w:ascii="宋体" w:hAnsi="宋体" w:eastAsia="宋体" w:cs="宋体"/>
          <w:sz w:val="24"/>
          <w:szCs w:val="24"/>
        </w:rPr>
        <w:t xml:space="preserve"> </w:t>
      </w:r>
      <w:r>
        <w:rPr>
          <w:rFonts w:ascii="Times New Roman" w:hAnsi="Times New Roman" w:eastAsia="Times New Roman" w:cs="Times New Roman"/>
          <w:spacing w:val="-1"/>
          <w:sz w:val="24"/>
          <w:szCs w:val="24"/>
        </w:rPr>
        <w:t>900-214-08</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，收集暂存于危废暂存间，定期交由有资</w:t>
      </w:r>
      <w:r>
        <w:rPr>
          <w:rFonts w:ascii="宋体" w:hAnsi="宋体" w:eastAsia="宋体" w:cs="宋体"/>
          <w:spacing w:val="-2"/>
          <w:sz w:val="24"/>
          <w:szCs w:val="24"/>
        </w:rPr>
        <w:t>质的单位处置。</w:t>
      </w:r>
    </w:p>
    <w:p w14:paraId="6652BDA4">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）生活垃圾</w:t>
      </w:r>
    </w:p>
    <w:p w14:paraId="03326FD8">
      <w:pPr>
        <w:spacing w:before="180" w:line="354" w:lineRule="auto"/>
        <w:ind w:left="24" w:right="13" w:firstLine="480"/>
        <w:rPr>
          <w:rFonts w:ascii="宋体" w:hAnsi="宋体" w:eastAsia="宋体" w:cs="宋体"/>
          <w:sz w:val="24"/>
          <w:szCs w:val="24"/>
        </w:rPr>
      </w:pPr>
      <w:r>
        <w:rPr>
          <w:rFonts w:ascii="宋体" w:hAnsi="宋体" w:eastAsia="宋体" w:cs="宋体"/>
          <w:spacing w:val="-3"/>
          <w:sz w:val="24"/>
          <w:szCs w:val="24"/>
        </w:rPr>
        <w:t>技改后，新建选矿车间劳动定员为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348 </w:t>
      </w:r>
      <w:r>
        <w:rPr>
          <w:rFonts w:ascii="宋体" w:hAnsi="宋体" w:eastAsia="宋体" w:cs="宋体"/>
          <w:spacing w:val="-3"/>
          <w:sz w:val="24"/>
          <w:szCs w:val="24"/>
        </w:rPr>
        <w:t>人，生活垃圾按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1kg/</w:t>
      </w:r>
      <w:r>
        <w:rPr>
          <w:rFonts w:ascii="宋体" w:hAnsi="宋体" w:eastAsia="宋体" w:cs="宋体"/>
          <w:spacing w:val="-3"/>
          <w:sz w:val="24"/>
          <w:szCs w:val="24"/>
        </w:rPr>
        <w:t>人</w:t>
      </w:r>
      <w:r>
        <w:rPr>
          <w:rFonts w:ascii="Times New Roman" w:hAnsi="Times New Roman" w:eastAsia="Times New Roman" w:cs="Times New Roman"/>
          <w:spacing w:val="-3"/>
          <w:sz w:val="24"/>
          <w:szCs w:val="24"/>
        </w:rPr>
        <w:t>▪d</w:t>
      </w:r>
      <w:r>
        <w:rPr>
          <w:rFonts w:ascii="宋体" w:hAnsi="宋体" w:eastAsia="宋体" w:cs="宋体"/>
          <w:spacing w:val="-3"/>
          <w:sz w:val="24"/>
          <w:szCs w:val="24"/>
        </w:rPr>
        <w:t>，则生活垃</w:t>
      </w:r>
      <w:r>
        <w:rPr>
          <w:rFonts w:ascii="宋体" w:hAnsi="宋体" w:eastAsia="宋体" w:cs="宋体"/>
          <w:sz w:val="24"/>
          <w:szCs w:val="24"/>
        </w:rPr>
        <w:t xml:space="preserve"> </w:t>
      </w:r>
      <w:r>
        <w:rPr>
          <w:rFonts w:ascii="宋体" w:hAnsi="宋体" w:eastAsia="宋体" w:cs="宋体"/>
          <w:spacing w:val="-1"/>
          <w:sz w:val="24"/>
          <w:szCs w:val="24"/>
        </w:rPr>
        <w:t>圾产生量为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348kg/d</w:t>
      </w:r>
      <w:r>
        <w:rPr>
          <w:rFonts w:ascii="宋体" w:hAnsi="宋体" w:eastAsia="宋体" w:cs="宋体"/>
          <w:spacing w:val="-1"/>
          <w:sz w:val="24"/>
          <w:szCs w:val="24"/>
        </w:rPr>
        <w:t>（</w:t>
      </w:r>
      <w:r>
        <w:rPr>
          <w:rFonts w:ascii="Times New Roman" w:hAnsi="Times New Roman" w:eastAsia="Times New Roman" w:cs="Times New Roman"/>
          <w:spacing w:val="-1"/>
          <w:sz w:val="24"/>
          <w:szCs w:val="24"/>
        </w:rPr>
        <w:t>73.08t/a</w:t>
      </w:r>
      <w:r>
        <w:rPr>
          <w:rFonts w:ascii="宋体" w:hAnsi="宋体" w:eastAsia="宋体" w:cs="宋体"/>
          <w:spacing w:val="-5"/>
          <w:sz w:val="24"/>
          <w:szCs w:val="24"/>
        </w:rPr>
        <w:t>），</w:t>
      </w:r>
      <w:r>
        <w:rPr>
          <w:rFonts w:ascii="宋体" w:hAnsi="宋体" w:eastAsia="宋体" w:cs="宋体"/>
          <w:spacing w:val="-1"/>
          <w:sz w:val="24"/>
          <w:szCs w:val="24"/>
        </w:rPr>
        <w:t>生活垃圾由设置于</w:t>
      </w:r>
      <w:r>
        <w:rPr>
          <w:rFonts w:ascii="宋体" w:hAnsi="宋体" w:eastAsia="宋体" w:cs="宋体"/>
          <w:spacing w:val="-2"/>
          <w:sz w:val="24"/>
          <w:szCs w:val="24"/>
        </w:rPr>
        <w:t>工业场地的垃圾桶收集，定</w:t>
      </w:r>
      <w:r>
        <w:rPr>
          <w:rFonts w:ascii="宋体" w:hAnsi="宋体" w:eastAsia="宋体" w:cs="宋体"/>
          <w:sz w:val="24"/>
          <w:szCs w:val="24"/>
        </w:rPr>
        <w:t xml:space="preserve"> </w:t>
      </w:r>
      <w:r>
        <w:rPr>
          <w:rFonts w:ascii="宋体" w:hAnsi="宋体" w:eastAsia="宋体" w:cs="宋体"/>
          <w:spacing w:val="-1"/>
          <w:sz w:val="24"/>
          <w:szCs w:val="24"/>
        </w:rPr>
        <w:t>期清运至当地环卫部门指定地点。</w:t>
      </w:r>
    </w:p>
    <w:p w14:paraId="2372A12B">
      <w:pPr>
        <w:spacing w:before="184" w:line="222" w:lineRule="auto"/>
        <w:ind w:left="22"/>
        <w:outlineLvl w:val="1"/>
        <w:rPr>
          <w:rFonts w:ascii="黑体" w:hAnsi="黑体" w:eastAsia="黑体" w:cs="黑体"/>
          <w:sz w:val="28"/>
          <w:szCs w:val="28"/>
        </w:rPr>
      </w:pPr>
      <w:bookmarkStart w:id="172" w:name="bookmark153"/>
      <w:bookmarkEnd w:id="172"/>
      <w:r>
        <w:rPr>
          <w:rFonts w:ascii="Times New Roman" w:hAnsi="Times New Roman" w:eastAsia="Times New Roman" w:cs="Times New Roman"/>
          <w:b/>
          <w:bCs/>
          <w:spacing w:val="-2"/>
          <w:sz w:val="28"/>
          <w:szCs w:val="28"/>
        </w:rPr>
        <w:t xml:space="preserve">9.5 </w:t>
      </w:r>
      <w:r>
        <w:rPr>
          <w:rFonts w:ascii="黑体" w:hAnsi="黑体" w:eastAsia="黑体" w:cs="黑体"/>
          <w:b/>
          <w:bCs/>
          <w:spacing w:val="-2"/>
          <w:sz w:val="28"/>
          <w:szCs w:val="28"/>
        </w:rPr>
        <w:t>依托工程可行性分析</w:t>
      </w:r>
    </w:p>
    <w:p w14:paraId="12C62BDD">
      <w:pPr>
        <w:spacing w:before="175" w:line="219"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、粗碎车间依托现有工程及环保设施可行性</w:t>
      </w:r>
    </w:p>
    <w:p w14:paraId="02EA1851">
      <w:pPr>
        <w:spacing w:before="182" w:line="359" w:lineRule="auto"/>
        <w:ind w:left="24" w:right="13" w:firstLine="480"/>
        <w:rPr>
          <w:rFonts w:ascii="宋体" w:hAnsi="宋体" w:eastAsia="宋体" w:cs="宋体"/>
          <w:sz w:val="24"/>
          <w:szCs w:val="24"/>
        </w:rPr>
      </w:pPr>
      <w:r>
        <w:rPr>
          <w:rFonts w:ascii="宋体" w:hAnsi="宋体" w:eastAsia="宋体" w:cs="宋体"/>
          <w:spacing w:val="-2"/>
          <w:sz w:val="24"/>
          <w:szCs w:val="24"/>
        </w:rPr>
        <w:t>现有粗碎车间设置</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C100 </w:t>
      </w:r>
      <w:r>
        <w:rPr>
          <w:rFonts w:ascii="宋体" w:hAnsi="宋体" w:eastAsia="宋体" w:cs="宋体"/>
          <w:spacing w:val="-2"/>
          <w:sz w:val="24"/>
          <w:szCs w:val="24"/>
        </w:rPr>
        <w:t>颚式破碎机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0"/>
          <w:w w:val="101"/>
          <w:sz w:val="24"/>
          <w:szCs w:val="24"/>
        </w:rPr>
        <w:t xml:space="preserve"> </w:t>
      </w:r>
      <w:r>
        <w:rPr>
          <w:rFonts w:ascii="宋体" w:hAnsi="宋体" w:eastAsia="宋体" w:cs="宋体"/>
          <w:spacing w:val="-2"/>
          <w:sz w:val="24"/>
          <w:szCs w:val="24"/>
        </w:rPr>
        <w:t>台，破</w:t>
      </w:r>
      <w:r>
        <w:rPr>
          <w:rFonts w:ascii="宋体" w:hAnsi="宋体" w:eastAsia="宋体" w:cs="宋体"/>
          <w:spacing w:val="-3"/>
          <w:sz w:val="24"/>
          <w:szCs w:val="24"/>
        </w:rPr>
        <w:t>碎能力</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265t/h</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。技改工程依托</w:t>
      </w:r>
      <w:r>
        <w:rPr>
          <w:rFonts w:ascii="宋体" w:hAnsi="宋体" w:eastAsia="宋体" w:cs="宋体"/>
          <w:sz w:val="24"/>
          <w:szCs w:val="24"/>
        </w:rPr>
        <w:t xml:space="preserve"> </w:t>
      </w:r>
      <w:r>
        <w:rPr>
          <w:rFonts w:ascii="宋体" w:hAnsi="宋体" w:eastAsia="宋体" w:cs="宋体"/>
          <w:spacing w:val="-1"/>
          <w:sz w:val="24"/>
          <w:szCs w:val="24"/>
        </w:rPr>
        <w:t>现有粗碎车间对原矿进行破碎。粗碎车间设有</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套滤筒除尘器和</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根</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15m</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高排</w:t>
      </w:r>
      <w:r>
        <w:rPr>
          <w:rFonts w:ascii="宋体" w:hAnsi="宋体" w:eastAsia="宋体" w:cs="宋体"/>
          <w:sz w:val="24"/>
          <w:szCs w:val="24"/>
        </w:rPr>
        <w:t xml:space="preserve"> </w:t>
      </w:r>
      <w:r>
        <w:rPr>
          <w:rFonts w:ascii="宋体" w:hAnsi="宋体" w:eastAsia="宋体" w:cs="宋体"/>
          <w:spacing w:val="-2"/>
          <w:sz w:val="24"/>
          <w:szCs w:val="24"/>
        </w:rPr>
        <w:t>气筒。现有工程破碎时间为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5.28h/d</w:t>
      </w:r>
      <w:r>
        <w:rPr>
          <w:rFonts w:ascii="宋体" w:hAnsi="宋体" w:eastAsia="宋体" w:cs="宋体"/>
          <w:spacing w:val="-2"/>
          <w:sz w:val="24"/>
          <w:szCs w:val="24"/>
        </w:rPr>
        <w:t>。</w:t>
      </w:r>
    </w:p>
    <w:p w14:paraId="2A986918">
      <w:pPr>
        <w:spacing w:line="359" w:lineRule="auto"/>
        <w:ind w:left="24" w:right="13" w:firstLine="480"/>
        <w:rPr>
          <w:rFonts w:ascii="宋体" w:hAnsi="宋体" w:eastAsia="宋体" w:cs="宋体"/>
          <w:sz w:val="24"/>
          <w:szCs w:val="24"/>
        </w:rPr>
      </w:pPr>
      <w:r>
        <w:rPr>
          <w:rFonts w:ascii="宋体" w:hAnsi="宋体" w:eastAsia="宋体" w:cs="宋体"/>
          <w:spacing w:val="-4"/>
          <w:sz w:val="24"/>
          <w:szCs w:val="24"/>
        </w:rPr>
        <w:t>技改工程实施后，原矿破碎量由</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1400t/d </w:t>
      </w:r>
      <w:r>
        <w:rPr>
          <w:rFonts w:ascii="宋体" w:hAnsi="宋体" w:eastAsia="宋体" w:cs="宋体"/>
          <w:spacing w:val="-4"/>
          <w:sz w:val="24"/>
          <w:szCs w:val="24"/>
        </w:rPr>
        <w:t>增加至</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3429t/d</w:t>
      </w:r>
      <w:r>
        <w:rPr>
          <w:rFonts w:ascii="宋体" w:hAnsi="宋体" w:eastAsia="宋体" w:cs="宋体"/>
          <w:spacing w:val="-4"/>
          <w:sz w:val="24"/>
          <w:szCs w:val="24"/>
        </w:rPr>
        <w:t>，破碎时间</w:t>
      </w:r>
      <w:r>
        <w:rPr>
          <w:rFonts w:ascii="宋体" w:hAnsi="宋体" w:eastAsia="宋体" w:cs="宋体"/>
          <w:spacing w:val="-5"/>
          <w:sz w:val="24"/>
          <w:szCs w:val="24"/>
        </w:rPr>
        <w:t>由</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5.28h/d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延长至</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12.94h/d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，可满足原矿破碎要</w:t>
      </w:r>
      <w:r>
        <w:rPr>
          <w:rFonts w:ascii="宋体" w:hAnsi="宋体" w:eastAsia="宋体" w:cs="宋体"/>
          <w:spacing w:val="-4"/>
          <w:sz w:val="24"/>
          <w:szCs w:val="24"/>
        </w:rPr>
        <w:t>求。</w:t>
      </w:r>
    </w:p>
    <w:p w14:paraId="27CDEACD">
      <w:pPr>
        <w:spacing w:before="1" w:line="218" w:lineRule="auto"/>
        <w:ind w:left="49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、中间堆场及转运站依托现有工程及环保设施可行性</w:t>
      </w:r>
    </w:p>
    <w:p w14:paraId="2CABA628">
      <w:pPr>
        <w:spacing w:before="184" w:line="359" w:lineRule="auto"/>
        <w:ind w:left="24" w:right="13" w:firstLine="501"/>
        <w:rPr>
          <w:rFonts w:ascii="宋体" w:hAnsi="宋体" w:eastAsia="宋体" w:cs="宋体"/>
          <w:sz w:val="24"/>
          <w:szCs w:val="24"/>
        </w:rPr>
      </w:pPr>
      <w:r>
        <w:rPr>
          <w:rFonts w:ascii="宋体" w:hAnsi="宋体" w:eastAsia="宋体" w:cs="宋体"/>
          <w:spacing w:val="-6"/>
          <w:sz w:val="24"/>
          <w:szCs w:val="24"/>
        </w:rPr>
        <w:t>中间堆场及转运站设有</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台重型板式给料机和</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台带式输送机，中间堆场设</w:t>
      </w:r>
      <w:r>
        <w:rPr>
          <w:rFonts w:ascii="宋体" w:hAnsi="宋体" w:eastAsia="宋体" w:cs="宋体"/>
          <w:sz w:val="24"/>
          <w:szCs w:val="24"/>
        </w:rPr>
        <w:t xml:space="preserve"> </w:t>
      </w:r>
      <w:r>
        <w:rPr>
          <w:rFonts w:ascii="宋体" w:hAnsi="宋体" w:eastAsia="宋体" w:cs="宋体"/>
          <w:spacing w:val="-3"/>
          <w:sz w:val="24"/>
          <w:szCs w:val="24"/>
        </w:rPr>
        <w:t>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套滤筒除尘器和</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根</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高排气筒。现有工程矿石输送时间为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5.28h</w:t>
      </w:r>
      <w:r>
        <w:rPr>
          <w:rFonts w:ascii="Times New Roman" w:hAnsi="Times New Roman" w:eastAsia="Times New Roman" w:cs="Times New Roman"/>
          <w:spacing w:val="-4"/>
          <w:sz w:val="24"/>
          <w:szCs w:val="24"/>
        </w:rPr>
        <w:t>/d</w:t>
      </w:r>
      <w:r>
        <w:rPr>
          <w:rFonts w:ascii="宋体" w:hAnsi="宋体" w:eastAsia="宋体" w:cs="宋体"/>
          <w:spacing w:val="-4"/>
          <w:sz w:val="24"/>
          <w:szCs w:val="24"/>
        </w:rPr>
        <w:t>。</w:t>
      </w:r>
    </w:p>
    <w:p w14:paraId="7EB71F7E">
      <w:pPr>
        <w:spacing w:line="358" w:lineRule="auto"/>
        <w:ind w:left="24" w:right="13" w:firstLine="480"/>
        <w:rPr>
          <w:rFonts w:ascii="宋体" w:hAnsi="宋体" w:eastAsia="宋体" w:cs="宋体"/>
          <w:sz w:val="24"/>
          <w:szCs w:val="24"/>
        </w:rPr>
      </w:pPr>
      <w:r>
        <w:rPr>
          <w:rFonts w:ascii="宋体" w:hAnsi="宋体" w:eastAsia="宋体" w:cs="宋体"/>
          <w:spacing w:val="-4"/>
          <w:sz w:val="24"/>
          <w:szCs w:val="24"/>
        </w:rPr>
        <w:t>技改工程实施后，矿石输送量由</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1400t/d </w:t>
      </w:r>
      <w:r>
        <w:rPr>
          <w:rFonts w:ascii="宋体" w:hAnsi="宋体" w:eastAsia="宋体" w:cs="宋体"/>
          <w:spacing w:val="-4"/>
          <w:sz w:val="24"/>
          <w:szCs w:val="24"/>
        </w:rPr>
        <w:t>增加至</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3429t/d</w:t>
      </w:r>
      <w:r>
        <w:rPr>
          <w:rFonts w:ascii="宋体" w:hAnsi="宋体" w:eastAsia="宋体" w:cs="宋体"/>
          <w:spacing w:val="-4"/>
          <w:sz w:val="24"/>
          <w:szCs w:val="24"/>
        </w:rPr>
        <w:t>，输送时间</w:t>
      </w:r>
      <w:r>
        <w:rPr>
          <w:rFonts w:ascii="宋体" w:hAnsi="宋体" w:eastAsia="宋体" w:cs="宋体"/>
          <w:spacing w:val="-5"/>
          <w:sz w:val="24"/>
          <w:szCs w:val="24"/>
        </w:rPr>
        <w:t>由</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5.28h/d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延长至</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12.94h/d</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，可满足矿石输送要</w:t>
      </w:r>
      <w:r>
        <w:rPr>
          <w:rFonts w:ascii="宋体" w:hAnsi="宋体" w:eastAsia="宋体" w:cs="宋体"/>
          <w:spacing w:val="-4"/>
          <w:sz w:val="24"/>
          <w:szCs w:val="24"/>
        </w:rPr>
        <w:t>求。</w:t>
      </w:r>
    </w:p>
    <w:p w14:paraId="6AADFA94">
      <w:pPr>
        <w:spacing w:before="1" w:line="218" w:lineRule="auto"/>
        <w:ind w:left="503"/>
        <w:rPr>
          <w:rFonts w:ascii="宋体" w:hAnsi="宋体" w:eastAsia="宋体" w:cs="宋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、主体工程依托现有车间可行性</w:t>
      </w:r>
    </w:p>
    <w:p w14:paraId="5E5E6E41">
      <w:pPr>
        <w:spacing w:before="184" w:line="359" w:lineRule="auto"/>
        <w:ind w:left="25" w:right="16" w:firstLine="480"/>
        <w:rPr>
          <w:rFonts w:ascii="宋体" w:hAnsi="宋体" w:eastAsia="宋体" w:cs="宋体"/>
          <w:sz w:val="24"/>
          <w:szCs w:val="24"/>
        </w:rPr>
      </w:pPr>
      <w:r>
        <w:rPr>
          <w:rFonts w:ascii="宋体" w:hAnsi="宋体" w:eastAsia="宋体" w:cs="宋体"/>
          <w:spacing w:val="-1"/>
          <w:sz w:val="24"/>
          <w:szCs w:val="24"/>
        </w:rPr>
        <w:t>现有车间</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 xml:space="preserve">1400t/d </w:t>
      </w:r>
      <w:r>
        <w:rPr>
          <w:rFonts w:ascii="宋体" w:hAnsi="宋体" w:eastAsia="宋体" w:cs="宋体"/>
          <w:spacing w:val="-1"/>
          <w:sz w:val="24"/>
          <w:szCs w:val="24"/>
        </w:rPr>
        <w:t>生产线已建成投运，车间全封闭，公用及储运工程都已建</w:t>
      </w:r>
      <w:r>
        <w:rPr>
          <w:rFonts w:ascii="宋体" w:hAnsi="宋体" w:eastAsia="宋体" w:cs="宋体"/>
          <w:sz w:val="24"/>
          <w:szCs w:val="24"/>
        </w:rPr>
        <w:t xml:space="preserve"> 成。技改工程主要通过以下措施实现在现有工</w:t>
      </w:r>
      <w:r>
        <w:rPr>
          <w:rFonts w:ascii="宋体" w:hAnsi="宋体" w:eastAsia="宋体" w:cs="宋体"/>
          <w:spacing w:val="-1"/>
          <w:sz w:val="24"/>
          <w:szCs w:val="24"/>
        </w:rPr>
        <w:t>程基础上增加</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选矿能力：</w:t>
      </w:r>
    </w:p>
    <w:p w14:paraId="1009C165">
      <w:pPr>
        <w:spacing w:before="1"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）新增振动筛，提高分级效率，减少半自磨循环量；</w:t>
      </w:r>
    </w:p>
    <w:p w14:paraId="26821FA0">
      <w:pPr>
        <w:spacing w:before="182"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）降低旋流器溢流（即最终入选矿浆）粒度，减少球磨机循环量；</w:t>
      </w:r>
    </w:p>
    <w:p w14:paraId="1450394E">
      <w:pPr>
        <w:spacing w:before="182" w:line="289" w:lineRule="auto"/>
        <w:ind w:left="22" w:right="16"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）新增高效搅拌槽及离心鼓风机、脉动式加药机、药剂搅拌槽，增加浮</w:t>
      </w:r>
      <w:r>
        <w:rPr>
          <w:rFonts w:ascii="宋体" w:hAnsi="宋体" w:eastAsia="宋体" w:cs="宋体"/>
          <w:spacing w:val="2"/>
          <w:sz w:val="24"/>
          <w:szCs w:val="24"/>
        </w:rPr>
        <w:t xml:space="preserve"> </w:t>
      </w:r>
      <w:r>
        <w:rPr>
          <w:rFonts w:ascii="宋体" w:hAnsi="宋体" w:eastAsia="宋体" w:cs="宋体"/>
          <w:spacing w:val="-1"/>
          <w:sz w:val="24"/>
          <w:szCs w:val="24"/>
        </w:rPr>
        <w:t>选浓度，采用新型高效药剂，缩短浮选时间；</w:t>
      </w:r>
    </w:p>
    <w:p w14:paraId="6283A9A7">
      <w:pPr>
        <w:spacing w:before="181"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）新增高浓度搅拌槽，并延长陶瓷过滤机的工作时间；</w:t>
      </w:r>
    </w:p>
    <w:p w14:paraId="0CBF9CB3">
      <w:pPr>
        <w:spacing w:before="184"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）新增泵及管道以满足新增矿量的输送要求；</w:t>
      </w:r>
    </w:p>
    <w:p w14:paraId="712F0AB8">
      <w:pPr>
        <w:spacing w:line="219" w:lineRule="auto"/>
        <w:rPr>
          <w:rFonts w:ascii="宋体" w:hAnsi="宋体" w:eastAsia="宋体" w:cs="宋体"/>
          <w:sz w:val="24"/>
          <w:szCs w:val="24"/>
        </w:rPr>
        <w:sectPr>
          <w:headerReference r:id="rId403" w:type="default"/>
          <w:footerReference r:id="rId404" w:type="default"/>
          <w:pgSz w:w="11906" w:h="16839"/>
          <w:pgMar w:top="1208" w:right="1785" w:bottom="1358" w:left="1785" w:header="825" w:footer="1195" w:gutter="0"/>
          <w:cols w:space="720" w:num="1"/>
        </w:sectPr>
      </w:pPr>
    </w:p>
    <w:p w14:paraId="51F8F064">
      <w:pPr>
        <w:spacing w:before="265" w:line="219" w:lineRule="auto"/>
        <w:jc w:val="right"/>
        <w:rPr>
          <w:rFonts w:ascii="宋体" w:hAnsi="宋体" w:eastAsia="宋体" w:cs="宋体"/>
          <w:sz w:val="24"/>
          <w:szCs w:val="24"/>
        </w:rPr>
      </w:pPr>
      <w:r>
        <w:rPr>
          <w:rFonts w:ascii="宋体" w:hAnsi="宋体" w:eastAsia="宋体" w:cs="宋体"/>
          <w:spacing w:val="-5"/>
          <w:sz w:val="24"/>
          <w:szCs w:val="24"/>
        </w:rPr>
        <w:t>通过采取上述措施，可实现利用一座选厂形成</w:t>
      </w:r>
      <w:r>
        <w:rPr>
          <w:rFonts w:ascii="宋体" w:hAnsi="宋体" w:eastAsia="宋体" w:cs="宋体"/>
          <w:spacing w:val="-28"/>
          <w:sz w:val="24"/>
          <w:szCs w:val="24"/>
        </w:rPr>
        <w:t xml:space="preserve"> </w:t>
      </w:r>
      <w:r>
        <w:rPr>
          <w:rFonts w:ascii="宋体" w:hAnsi="宋体" w:eastAsia="宋体" w:cs="宋体"/>
          <w:spacing w:val="-5"/>
          <w:sz w:val="24"/>
          <w:szCs w:val="24"/>
        </w:rPr>
        <w:t>1400t/d+2000t/d</w:t>
      </w:r>
      <w:r>
        <w:rPr>
          <w:rFonts w:ascii="宋体" w:hAnsi="宋体" w:eastAsia="宋体" w:cs="宋体"/>
          <w:spacing w:val="-31"/>
          <w:sz w:val="24"/>
          <w:szCs w:val="24"/>
        </w:rPr>
        <w:t xml:space="preserve"> </w:t>
      </w:r>
      <w:r>
        <w:rPr>
          <w:rFonts w:ascii="宋体" w:hAnsi="宋体" w:eastAsia="宋体" w:cs="宋体"/>
          <w:spacing w:val="-5"/>
          <w:sz w:val="24"/>
          <w:szCs w:val="24"/>
        </w:rPr>
        <w:t>的选矿规模。</w:t>
      </w:r>
    </w:p>
    <w:p w14:paraId="7B14AF76">
      <w:pPr>
        <w:spacing w:before="183" w:line="219" w:lineRule="auto"/>
        <w:ind w:left="497"/>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、选矿废水处理设施依托可行性</w:t>
      </w:r>
    </w:p>
    <w:p w14:paraId="4831849C">
      <w:pPr>
        <w:spacing w:before="181" w:line="359" w:lineRule="auto"/>
        <w:ind w:left="27" w:right="293" w:firstLine="477"/>
        <w:rPr>
          <w:rFonts w:ascii="宋体" w:hAnsi="宋体" w:eastAsia="宋体" w:cs="宋体"/>
          <w:sz w:val="24"/>
          <w:szCs w:val="24"/>
        </w:rPr>
      </w:pPr>
      <w:r>
        <w:rPr>
          <w:rFonts w:ascii="宋体" w:hAnsi="宋体" w:eastAsia="宋体" w:cs="宋体"/>
          <w:spacing w:val="-2"/>
          <w:sz w:val="24"/>
          <w:szCs w:val="24"/>
        </w:rPr>
        <w:t>本次技改工程为产能置换，不增加新的产能。原</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选矿车间停用后，</w:t>
      </w:r>
      <w:r>
        <w:rPr>
          <w:rFonts w:ascii="宋体" w:hAnsi="宋体" w:eastAsia="宋体" w:cs="宋体"/>
          <w:sz w:val="24"/>
          <w:szCs w:val="24"/>
        </w:rPr>
        <w:t xml:space="preserve"> </w:t>
      </w:r>
      <w:r>
        <w:rPr>
          <w:rFonts w:ascii="宋体" w:hAnsi="宋体" w:eastAsia="宋体" w:cs="宋体"/>
          <w:spacing w:val="-2"/>
          <w:sz w:val="24"/>
          <w:szCs w:val="24"/>
        </w:rPr>
        <w:t>不再产生选矿废水。</w:t>
      </w:r>
    </w:p>
    <w:p w14:paraId="3C583243">
      <w:pPr>
        <w:spacing w:before="1" w:line="359" w:lineRule="auto"/>
        <w:ind w:left="22" w:right="234" w:firstLine="482"/>
        <w:jc w:val="both"/>
        <w:rPr>
          <w:rFonts w:ascii="宋体" w:hAnsi="宋体" w:eastAsia="宋体" w:cs="宋体"/>
          <w:sz w:val="24"/>
          <w:szCs w:val="24"/>
        </w:rPr>
      </w:pPr>
      <w:r>
        <w:rPr>
          <w:rFonts w:ascii="宋体" w:hAnsi="宋体" w:eastAsia="宋体" w:cs="宋体"/>
          <w:spacing w:val="-3"/>
          <w:sz w:val="24"/>
          <w:szCs w:val="24"/>
        </w:rPr>
        <w:t>现有</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 xml:space="preserve">1400t/d </w:t>
      </w:r>
      <w:r>
        <w:rPr>
          <w:rFonts w:ascii="宋体" w:hAnsi="宋体" w:eastAsia="宋体" w:cs="宋体"/>
          <w:spacing w:val="-3"/>
          <w:sz w:val="24"/>
          <w:szCs w:val="24"/>
        </w:rPr>
        <w:t>选矿工程尾矿浓密池溢流废水产生量为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2217 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，尾矿回水量</w:t>
      </w:r>
      <w:r>
        <w:rPr>
          <w:rFonts w:ascii="宋体" w:hAnsi="宋体" w:eastAsia="宋体" w:cs="宋体"/>
          <w:sz w:val="24"/>
          <w:szCs w:val="24"/>
        </w:rPr>
        <w:t xml:space="preserve"> </w:t>
      </w:r>
      <w:r>
        <w:rPr>
          <w:rFonts w:ascii="宋体" w:hAnsi="宋体" w:eastAsia="宋体" w:cs="宋体"/>
          <w:spacing w:val="-1"/>
          <w:sz w:val="24"/>
          <w:szCs w:val="24"/>
        </w:rPr>
        <w:t>为</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457m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，现有</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2000t/d </w:t>
      </w:r>
      <w:r>
        <w:rPr>
          <w:rFonts w:ascii="宋体" w:hAnsi="宋体" w:eastAsia="宋体" w:cs="宋体"/>
          <w:spacing w:val="-1"/>
          <w:sz w:val="24"/>
          <w:szCs w:val="24"/>
        </w:rPr>
        <w:t>选矿工</w:t>
      </w:r>
      <w:r>
        <w:rPr>
          <w:rFonts w:ascii="宋体" w:hAnsi="宋体" w:eastAsia="宋体" w:cs="宋体"/>
          <w:spacing w:val="-2"/>
          <w:sz w:val="24"/>
          <w:szCs w:val="24"/>
        </w:rPr>
        <w:t>程尾矿浓密池溢流废水产生量为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3213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，尾</w:t>
      </w:r>
      <w:r>
        <w:rPr>
          <w:rFonts w:ascii="宋体" w:hAnsi="宋体" w:eastAsia="宋体" w:cs="宋体"/>
          <w:sz w:val="24"/>
          <w:szCs w:val="24"/>
        </w:rPr>
        <w:t xml:space="preserve"> </w:t>
      </w:r>
      <w:r>
        <w:rPr>
          <w:rFonts w:ascii="宋体" w:hAnsi="宋体" w:eastAsia="宋体" w:cs="宋体"/>
          <w:spacing w:val="-2"/>
          <w:sz w:val="24"/>
          <w:szCs w:val="24"/>
        </w:rPr>
        <w:t>矿回水量为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663m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，总水量为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6550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，技改工程完成后，原</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选矿工</w:t>
      </w:r>
      <w:r>
        <w:rPr>
          <w:rFonts w:ascii="宋体" w:hAnsi="宋体" w:eastAsia="宋体" w:cs="宋体"/>
          <w:sz w:val="24"/>
          <w:szCs w:val="24"/>
        </w:rPr>
        <w:t xml:space="preserve"> </w:t>
      </w:r>
      <w:r>
        <w:rPr>
          <w:rFonts w:ascii="宋体" w:hAnsi="宋体" w:eastAsia="宋体" w:cs="宋体"/>
          <w:spacing w:val="-3"/>
          <w:sz w:val="24"/>
          <w:szCs w:val="24"/>
        </w:rPr>
        <w:t>程尾矿回水量置换至新选厂，尾矿浓密池溢流废水和尾矿回水总量不变，尾矿回</w:t>
      </w:r>
      <w:r>
        <w:rPr>
          <w:rFonts w:ascii="宋体" w:hAnsi="宋体" w:eastAsia="宋体" w:cs="宋体"/>
          <w:spacing w:val="1"/>
          <w:sz w:val="24"/>
          <w:szCs w:val="24"/>
        </w:rPr>
        <w:t xml:space="preserve"> </w:t>
      </w:r>
      <w:r>
        <w:rPr>
          <w:rFonts w:ascii="宋体" w:hAnsi="宋体" w:eastAsia="宋体" w:cs="宋体"/>
          <w:spacing w:val="-1"/>
          <w:sz w:val="24"/>
          <w:szCs w:val="24"/>
        </w:rPr>
        <w:t>水处理车间能够满足技改项目需求。</w:t>
      </w:r>
    </w:p>
    <w:p w14:paraId="50842FE2">
      <w:pPr>
        <w:spacing w:line="218" w:lineRule="auto"/>
        <w:ind w:left="505"/>
        <w:rPr>
          <w:rFonts w:ascii="宋体" w:hAnsi="宋体" w:eastAsia="宋体" w:cs="宋体"/>
          <w:sz w:val="24"/>
          <w:szCs w:val="24"/>
        </w:rPr>
      </w:pPr>
      <w:r>
        <w:rPr>
          <w:rFonts w:ascii="Times New Roman" w:hAnsi="Times New Roman" w:eastAsia="Times New Roman" w:cs="Times New Roman"/>
          <w:spacing w:val="-4"/>
          <w:sz w:val="24"/>
          <w:szCs w:val="24"/>
        </w:rPr>
        <w:t>5</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、危废库依托可行性</w:t>
      </w:r>
    </w:p>
    <w:p w14:paraId="71C80A34">
      <w:pPr>
        <w:spacing w:before="182" w:line="360" w:lineRule="auto"/>
        <w:ind w:left="27" w:right="293" w:firstLine="477"/>
        <w:rPr>
          <w:rFonts w:ascii="宋体" w:hAnsi="宋体" w:eastAsia="宋体" w:cs="宋体"/>
          <w:sz w:val="24"/>
          <w:szCs w:val="24"/>
        </w:rPr>
      </w:pPr>
      <w:r>
        <w:rPr>
          <w:rFonts w:ascii="宋体" w:hAnsi="宋体" w:eastAsia="宋体" w:cs="宋体"/>
          <w:spacing w:val="-2"/>
          <w:sz w:val="24"/>
          <w:szCs w:val="24"/>
        </w:rPr>
        <w:t>本次技改工程为产能置换，不增加新的产能。原</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2000t/d </w:t>
      </w:r>
      <w:r>
        <w:rPr>
          <w:rFonts w:ascii="宋体" w:hAnsi="宋体" w:eastAsia="宋体" w:cs="宋体"/>
          <w:spacing w:val="-2"/>
          <w:sz w:val="24"/>
          <w:szCs w:val="24"/>
        </w:rPr>
        <w:t>选矿车间停用后，</w:t>
      </w:r>
      <w:r>
        <w:rPr>
          <w:rFonts w:ascii="宋体" w:hAnsi="宋体" w:eastAsia="宋体" w:cs="宋体"/>
          <w:sz w:val="24"/>
          <w:szCs w:val="24"/>
        </w:rPr>
        <w:t xml:space="preserve"> </w:t>
      </w:r>
      <w:r>
        <w:rPr>
          <w:rFonts w:ascii="宋体" w:hAnsi="宋体" w:eastAsia="宋体" w:cs="宋体"/>
          <w:spacing w:val="-2"/>
          <w:sz w:val="24"/>
          <w:szCs w:val="24"/>
        </w:rPr>
        <w:t>不再产生危险废物。</w:t>
      </w:r>
    </w:p>
    <w:p w14:paraId="193F0B9A">
      <w:pPr>
        <w:spacing w:line="359" w:lineRule="auto"/>
        <w:ind w:left="22" w:right="234" w:firstLine="481"/>
        <w:jc w:val="both"/>
        <w:rPr>
          <w:rFonts w:ascii="宋体" w:hAnsi="宋体" w:eastAsia="宋体" w:cs="宋体"/>
          <w:sz w:val="24"/>
          <w:szCs w:val="24"/>
        </w:rPr>
      </w:pPr>
      <w:r>
        <w:rPr>
          <w:rFonts w:ascii="宋体" w:hAnsi="宋体" w:eastAsia="宋体" w:cs="宋体"/>
          <w:spacing w:val="-2"/>
          <w:sz w:val="24"/>
          <w:szCs w:val="24"/>
        </w:rPr>
        <w:t>技改后企业废机油产生量不变，仍为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1t/a</w:t>
      </w:r>
      <w:r>
        <w:rPr>
          <w:rFonts w:ascii="宋体" w:hAnsi="宋体" w:eastAsia="宋体" w:cs="宋体"/>
          <w:spacing w:val="-2"/>
          <w:sz w:val="24"/>
          <w:szCs w:val="24"/>
        </w:rPr>
        <w:t>；浮选药品用量减少，浮选</w:t>
      </w:r>
      <w:r>
        <w:rPr>
          <w:rFonts w:ascii="宋体" w:hAnsi="宋体" w:eastAsia="宋体" w:cs="宋体"/>
          <w:spacing w:val="-3"/>
          <w:sz w:val="24"/>
          <w:szCs w:val="24"/>
        </w:rPr>
        <w:t>药品废</w:t>
      </w:r>
      <w:r>
        <w:rPr>
          <w:rFonts w:ascii="宋体" w:hAnsi="宋体" w:eastAsia="宋体" w:cs="宋体"/>
          <w:sz w:val="24"/>
          <w:szCs w:val="24"/>
        </w:rPr>
        <w:t xml:space="preserve"> 弃包装材料由</w:t>
      </w:r>
      <w:r>
        <w:rPr>
          <w:rFonts w:ascii="Times New Roman" w:hAnsi="Times New Roman" w:eastAsia="Times New Roman" w:cs="Times New Roman"/>
          <w:sz w:val="24"/>
          <w:szCs w:val="24"/>
        </w:rPr>
        <w:t xml:space="preserve">2t/a </w:t>
      </w:r>
      <w:r>
        <w:rPr>
          <w:rFonts w:ascii="宋体" w:hAnsi="宋体" w:eastAsia="宋体" w:cs="宋体"/>
          <w:sz w:val="24"/>
          <w:szCs w:val="24"/>
        </w:rPr>
        <w:t>减少至</w:t>
      </w:r>
      <w:r>
        <w:rPr>
          <w:rFonts w:ascii="宋体" w:hAnsi="宋体" w:eastAsia="宋体" w:cs="宋体"/>
          <w:spacing w:val="-18"/>
          <w:sz w:val="24"/>
          <w:szCs w:val="24"/>
        </w:rPr>
        <w:t xml:space="preserve"> </w:t>
      </w:r>
      <w:r>
        <w:rPr>
          <w:rFonts w:ascii="Times New Roman" w:hAnsi="Times New Roman" w:eastAsia="Times New Roman" w:cs="Times New Roman"/>
          <w:sz w:val="24"/>
          <w:szCs w:val="24"/>
        </w:rPr>
        <w:t>1.8t/a</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 xml:space="preserve">。危险废物总量减少。废机油和浮选药品废弃包 </w:t>
      </w:r>
      <w:r>
        <w:rPr>
          <w:rFonts w:ascii="宋体" w:hAnsi="宋体" w:eastAsia="宋体" w:cs="宋体"/>
          <w:spacing w:val="1"/>
          <w:sz w:val="24"/>
          <w:szCs w:val="24"/>
        </w:rPr>
        <w:t>装材料转运周期为每年一次，最大储存量</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8t</w:t>
      </w:r>
      <w:r>
        <w:rPr>
          <w:rFonts w:ascii="Times New Roman" w:hAnsi="Times New Roman" w:eastAsia="Times New Roman" w:cs="Times New Roman"/>
          <w:spacing w:val="-22"/>
          <w:sz w:val="24"/>
          <w:szCs w:val="24"/>
        </w:rPr>
        <w:t xml:space="preserve"> </w:t>
      </w:r>
      <w:r>
        <w:rPr>
          <w:rFonts w:ascii="宋体" w:hAnsi="宋体" w:eastAsia="宋体" w:cs="宋体"/>
          <w:sz w:val="24"/>
          <w:szCs w:val="24"/>
        </w:rPr>
        <w:t>。危废库占地面积</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20m</w:t>
      </w:r>
      <w:r>
        <w:rPr>
          <w:rFonts w:ascii="Times New Roman" w:hAnsi="Times New Roman" w:eastAsia="Times New Roman" w:cs="Times New Roman"/>
          <w:position w:val="8"/>
          <w:sz w:val="15"/>
          <w:szCs w:val="15"/>
        </w:rPr>
        <w:t xml:space="preserve">2 </w:t>
      </w:r>
      <w:r>
        <w:rPr>
          <w:rFonts w:ascii="宋体" w:hAnsi="宋体" w:eastAsia="宋体" w:cs="宋体"/>
          <w:sz w:val="24"/>
          <w:szCs w:val="24"/>
        </w:rPr>
        <w:t xml:space="preserve">，贮存规 </w:t>
      </w:r>
      <w:r>
        <w:rPr>
          <w:rFonts w:ascii="宋体" w:hAnsi="宋体" w:eastAsia="宋体" w:cs="宋体"/>
          <w:spacing w:val="-2"/>
          <w:sz w:val="24"/>
          <w:szCs w:val="24"/>
        </w:rPr>
        <w:t>模为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10t</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，因此危废库可完全容纳产生的危险废物，满足</w:t>
      </w:r>
      <w:r>
        <w:rPr>
          <w:rFonts w:ascii="宋体" w:hAnsi="宋体" w:eastAsia="宋体" w:cs="宋体"/>
          <w:spacing w:val="-3"/>
          <w:sz w:val="24"/>
          <w:szCs w:val="24"/>
        </w:rPr>
        <w:t>贮存要求。</w:t>
      </w:r>
    </w:p>
    <w:p w14:paraId="7DB23949">
      <w:pPr>
        <w:spacing w:before="1" w:line="218" w:lineRule="auto"/>
        <w:ind w:left="504"/>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、选矿车间污水处理站依托可行性</w:t>
      </w:r>
    </w:p>
    <w:p w14:paraId="1106261A">
      <w:pPr>
        <w:spacing w:before="260" w:line="360" w:lineRule="auto"/>
        <w:ind w:left="26" w:firstLine="476"/>
        <w:rPr>
          <w:rFonts w:ascii="宋体" w:hAnsi="宋体" w:eastAsia="宋体" w:cs="宋体"/>
          <w:sz w:val="24"/>
          <w:szCs w:val="24"/>
        </w:rPr>
      </w:pPr>
      <w:r>
        <w:rPr>
          <w:rFonts w:ascii="宋体" w:hAnsi="宋体" w:eastAsia="宋体" w:cs="宋体"/>
          <w:sz w:val="24"/>
          <w:szCs w:val="24"/>
        </w:rPr>
        <w:t>选矿车间南侧现有</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座生活污水处理站，处理能力为</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15m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宋体" w:hAnsi="宋体" w:eastAsia="宋体" w:cs="宋体"/>
          <w:spacing w:val="-1"/>
          <w:sz w:val="24"/>
          <w:szCs w:val="24"/>
        </w:rPr>
        <w:t>生产厂家为</w:t>
      </w:r>
      <w:r>
        <w:rPr>
          <w:rFonts w:ascii="宋体" w:hAnsi="宋体" w:eastAsia="宋体" w:cs="宋体"/>
          <w:sz w:val="24"/>
          <w:szCs w:val="24"/>
        </w:rPr>
        <w:t xml:space="preserve">   山东旺能环境工程有限公司；采用“格栅</w:t>
      </w:r>
      <w:r>
        <w:rPr>
          <w:rFonts w:ascii="Times New Roman" w:hAnsi="Times New Roman" w:eastAsia="Times New Roman" w:cs="Times New Roman"/>
          <w:sz w:val="24"/>
          <w:szCs w:val="24"/>
        </w:rPr>
        <w:t>+</w:t>
      </w:r>
      <w:r>
        <w:rPr>
          <w:rFonts w:ascii="宋体" w:hAnsi="宋体" w:eastAsia="宋体" w:cs="宋体"/>
          <w:sz w:val="24"/>
          <w:szCs w:val="24"/>
        </w:rPr>
        <w:t>调节池</w:t>
      </w:r>
      <w:r>
        <w:rPr>
          <w:rFonts w:ascii="Times New Roman" w:hAnsi="Times New Roman" w:eastAsia="Times New Roman" w:cs="Times New Roman"/>
          <w:sz w:val="24"/>
          <w:szCs w:val="24"/>
        </w:rPr>
        <w:t>+</w:t>
      </w:r>
      <w:r>
        <w:rPr>
          <w:rFonts w:ascii="宋体" w:hAnsi="宋体" w:eastAsia="宋体" w:cs="宋体"/>
          <w:sz w:val="24"/>
          <w:szCs w:val="24"/>
        </w:rPr>
        <w:t>厌氧</w:t>
      </w:r>
      <w:r>
        <w:rPr>
          <w:rFonts w:ascii="Times New Roman" w:hAnsi="Times New Roman" w:eastAsia="Times New Roman" w:cs="Times New Roman"/>
          <w:sz w:val="24"/>
          <w:szCs w:val="24"/>
        </w:rPr>
        <w:t>+</w:t>
      </w:r>
      <w:r>
        <w:rPr>
          <w:rFonts w:ascii="宋体" w:hAnsi="宋体" w:eastAsia="宋体" w:cs="宋体"/>
          <w:sz w:val="24"/>
          <w:szCs w:val="24"/>
        </w:rPr>
        <w:t>缺氧</w:t>
      </w:r>
      <w:r>
        <w:rPr>
          <w:rFonts w:ascii="Times New Roman" w:hAnsi="Times New Roman" w:eastAsia="Times New Roman" w:cs="Times New Roman"/>
          <w:sz w:val="24"/>
          <w:szCs w:val="24"/>
        </w:rPr>
        <w:t>+</w:t>
      </w:r>
      <w:r>
        <w:rPr>
          <w:rFonts w:ascii="宋体" w:hAnsi="宋体" w:eastAsia="宋体" w:cs="宋体"/>
          <w:sz w:val="24"/>
          <w:szCs w:val="24"/>
        </w:rPr>
        <w:t>好氧</w:t>
      </w:r>
      <w:r>
        <w:rPr>
          <w:rFonts w:ascii="Times New Roman" w:hAnsi="Times New Roman" w:eastAsia="Times New Roman" w:cs="Times New Roman"/>
          <w:sz w:val="24"/>
          <w:szCs w:val="24"/>
        </w:rPr>
        <w:t>+</w:t>
      </w:r>
      <w:r>
        <w:rPr>
          <w:rFonts w:ascii="宋体" w:hAnsi="宋体" w:eastAsia="宋体" w:cs="宋体"/>
          <w:sz w:val="24"/>
          <w:szCs w:val="24"/>
        </w:rPr>
        <w:t>沉淀</w:t>
      </w:r>
      <w:r>
        <w:rPr>
          <w:rFonts w:ascii="Times New Roman" w:hAnsi="Times New Roman" w:eastAsia="Times New Roman" w:cs="Times New Roman"/>
          <w:sz w:val="24"/>
          <w:szCs w:val="24"/>
        </w:rPr>
        <w:t>+</w:t>
      </w:r>
      <w:r>
        <w:rPr>
          <w:rFonts w:ascii="宋体" w:hAnsi="宋体" w:eastAsia="宋体" w:cs="宋体"/>
          <w:sz w:val="24"/>
          <w:szCs w:val="24"/>
        </w:rPr>
        <w:t>消毒</w:t>
      </w:r>
      <w:r>
        <w:rPr>
          <w:rFonts w:ascii="宋体" w:hAnsi="宋体" w:eastAsia="宋体" w:cs="宋体"/>
          <w:spacing w:val="-84"/>
          <w:sz w:val="24"/>
          <w:szCs w:val="24"/>
        </w:rPr>
        <w:t xml:space="preserve"> </w:t>
      </w:r>
      <w:r>
        <w:rPr>
          <w:rFonts w:ascii="宋体" w:hAnsi="宋体" w:eastAsia="宋体" w:cs="宋体"/>
          <w:sz w:val="24"/>
          <w:szCs w:val="24"/>
        </w:rPr>
        <w:t>” 工艺处理，处理达标后用于厂区绿化和洒水降尘</w:t>
      </w:r>
      <w:r>
        <w:rPr>
          <w:rFonts w:ascii="宋体" w:hAnsi="宋体" w:eastAsia="宋体" w:cs="宋体"/>
          <w:spacing w:val="-1"/>
          <w:sz w:val="24"/>
          <w:szCs w:val="24"/>
        </w:rPr>
        <w:t>，冬季排入尾矿库内。不外排。</w:t>
      </w:r>
    </w:p>
    <w:p w14:paraId="23899442">
      <w:pPr>
        <w:spacing w:before="6" w:line="360" w:lineRule="auto"/>
        <w:ind w:left="17" w:right="234" w:firstLine="486"/>
        <w:rPr>
          <w:rFonts w:ascii="宋体" w:hAnsi="宋体" w:eastAsia="宋体" w:cs="宋体"/>
          <w:sz w:val="24"/>
          <w:szCs w:val="24"/>
        </w:rPr>
      </w:pPr>
      <w:r>
        <w:rPr>
          <w:rFonts w:ascii="宋体" w:hAnsi="宋体" w:eastAsia="宋体" w:cs="宋体"/>
          <w:spacing w:val="2"/>
          <w:sz w:val="24"/>
          <w:szCs w:val="24"/>
        </w:rPr>
        <w:t>技改后，选矿车间工作人员由</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207</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人增加至</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348</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人，其中管理及服务人员</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47 </w:t>
      </w:r>
      <w:r>
        <w:rPr>
          <w:rFonts w:ascii="宋体" w:hAnsi="宋体" w:eastAsia="宋体" w:cs="宋体"/>
          <w:sz w:val="24"/>
          <w:szCs w:val="24"/>
        </w:rPr>
        <w:t>人，工人</w:t>
      </w:r>
      <w:r>
        <w:rPr>
          <w:rFonts w:ascii="宋体" w:hAnsi="宋体" w:eastAsia="宋体" w:cs="宋体"/>
          <w:spacing w:val="-38"/>
          <w:sz w:val="24"/>
          <w:szCs w:val="24"/>
        </w:rPr>
        <w:t xml:space="preserve"> </w:t>
      </w:r>
      <w:r>
        <w:rPr>
          <w:rFonts w:ascii="Times New Roman" w:hAnsi="Times New Roman" w:eastAsia="Times New Roman" w:cs="Times New Roman"/>
          <w:sz w:val="24"/>
          <w:szCs w:val="24"/>
        </w:rPr>
        <w:t>301</w:t>
      </w:r>
      <w:r>
        <w:rPr>
          <w:rFonts w:ascii="Times New Roman" w:hAnsi="Times New Roman" w:eastAsia="Times New Roman" w:cs="Times New Roman"/>
          <w:spacing w:val="16"/>
          <w:w w:val="101"/>
          <w:sz w:val="24"/>
          <w:szCs w:val="24"/>
        </w:rPr>
        <w:t xml:space="preserve"> </w:t>
      </w:r>
      <w:r>
        <w:rPr>
          <w:rFonts w:ascii="宋体" w:hAnsi="宋体" w:eastAsia="宋体" w:cs="宋体"/>
          <w:sz w:val="24"/>
          <w:szCs w:val="24"/>
        </w:rPr>
        <w:t>人。工人分</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班，每班人数最多为</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 xml:space="preserve">101 </w:t>
      </w:r>
      <w:r>
        <w:rPr>
          <w:rFonts w:ascii="宋体" w:hAnsi="宋体" w:eastAsia="宋体" w:cs="宋体"/>
          <w:sz w:val="24"/>
          <w:szCs w:val="24"/>
        </w:rPr>
        <w:t xml:space="preserve">人，管理及服务人员日 </w:t>
      </w:r>
      <w:r>
        <w:rPr>
          <w:rFonts w:ascii="宋体" w:hAnsi="宋体" w:eastAsia="宋体" w:cs="宋体"/>
          <w:spacing w:val="-10"/>
          <w:sz w:val="24"/>
          <w:szCs w:val="24"/>
        </w:rPr>
        <w:t>常在综合楼办公，每班最多</w:t>
      </w:r>
      <w:r>
        <w:rPr>
          <w:rFonts w:ascii="Times New Roman" w:hAnsi="Times New Roman" w:eastAsia="Times New Roman" w:cs="Times New Roman"/>
          <w:spacing w:val="-10"/>
          <w:sz w:val="24"/>
          <w:szCs w:val="24"/>
        </w:rPr>
        <w:t>24</w:t>
      </w:r>
      <w:r>
        <w:rPr>
          <w:rFonts w:ascii="Times New Roman" w:hAnsi="Times New Roman" w:eastAsia="Times New Roman" w:cs="Times New Roman"/>
          <w:spacing w:val="-12"/>
          <w:sz w:val="24"/>
          <w:szCs w:val="24"/>
        </w:rPr>
        <w:t xml:space="preserve"> </w:t>
      </w:r>
      <w:r>
        <w:rPr>
          <w:rFonts w:ascii="宋体" w:hAnsi="宋体" w:eastAsia="宋体" w:cs="宋体"/>
          <w:spacing w:val="-10"/>
          <w:sz w:val="24"/>
          <w:szCs w:val="24"/>
        </w:rPr>
        <w:t>人。车间在岗人数最多为</w:t>
      </w:r>
      <w:r>
        <w:rPr>
          <w:rFonts w:ascii="宋体" w:hAnsi="宋体" w:eastAsia="宋体" w:cs="宋体"/>
          <w:spacing w:val="-59"/>
          <w:sz w:val="24"/>
          <w:szCs w:val="24"/>
        </w:rPr>
        <w:t xml:space="preserve"> </w:t>
      </w:r>
      <w:r>
        <w:rPr>
          <w:rFonts w:ascii="Times New Roman" w:hAnsi="Times New Roman" w:eastAsia="Times New Roman" w:cs="Times New Roman"/>
          <w:spacing w:val="-10"/>
          <w:sz w:val="24"/>
          <w:szCs w:val="24"/>
        </w:rPr>
        <w:t>125</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人。按人均用水</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100L/d</w:t>
      </w:r>
      <w:r>
        <w:rPr>
          <w:rFonts w:ascii="Times New Roman" w:hAnsi="Times New Roman" w:eastAsia="Times New Roman" w:cs="Times New Roman"/>
          <w:sz w:val="24"/>
          <w:szCs w:val="24"/>
        </w:rPr>
        <w:t xml:space="preserve"> </w:t>
      </w:r>
      <w:r>
        <w:rPr>
          <w:rFonts w:ascii="宋体" w:hAnsi="宋体" w:eastAsia="宋体" w:cs="宋体"/>
          <w:spacing w:val="-3"/>
          <w:sz w:val="24"/>
          <w:szCs w:val="24"/>
        </w:rPr>
        <w:t>计算，用水量</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12.5m</w:t>
      </w:r>
      <w:r>
        <w:rPr>
          <w:rFonts w:ascii="宋体" w:hAnsi="宋体" w:eastAsia="宋体" w:cs="宋体"/>
          <w:spacing w:val="-3"/>
          <w:sz w:val="24"/>
          <w:szCs w:val="24"/>
        </w:rPr>
        <w:t>³</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，排水量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 m</w:t>
      </w:r>
      <w:r>
        <w:rPr>
          <w:rFonts w:ascii="宋体" w:hAnsi="宋体" w:eastAsia="宋体" w:cs="宋体"/>
          <w:spacing w:val="-3"/>
          <w:sz w:val="24"/>
          <w:szCs w:val="24"/>
        </w:rPr>
        <w:t>³</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。选矿车间南侧现有生活污水处理站能</w:t>
      </w:r>
      <w:r>
        <w:rPr>
          <w:rFonts w:ascii="宋体" w:hAnsi="宋体" w:eastAsia="宋体" w:cs="宋体"/>
          <w:sz w:val="24"/>
          <w:szCs w:val="24"/>
        </w:rPr>
        <w:t xml:space="preserve"> </w:t>
      </w:r>
      <w:r>
        <w:rPr>
          <w:rFonts w:ascii="宋体" w:hAnsi="宋体" w:eastAsia="宋体" w:cs="宋体"/>
          <w:spacing w:val="-1"/>
          <w:sz w:val="24"/>
          <w:szCs w:val="24"/>
        </w:rPr>
        <w:t>够满足处理需求。</w:t>
      </w:r>
    </w:p>
    <w:p w14:paraId="4FAF63E5">
      <w:pPr>
        <w:spacing w:line="360" w:lineRule="auto"/>
        <w:rPr>
          <w:rFonts w:ascii="宋体" w:hAnsi="宋体" w:eastAsia="宋体" w:cs="宋体"/>
          <w:sz w:val="24"/>
          <w:szCs w:val="24"/>
        </w:rPr>
        <w:sectPr>
          <w:headerReference r:id="rId405" w:type="default"/>
          <w:footerReference r:id="rId406" w:type="default"/>
          <w:pgSz w:w="11906" w:h="16839"/>
          <w:pgMar w:top="1208" w:right="1564" w:bottom="1358" w:left="1785" w:header="825" w:footer="1195" w:gutter="0"/>
          <w:cols w:space="720" w:num="1"/>
        </w:sectPr>
      </w:pPr>
    </w:p>
    <w:p w14:paraId="2BDB669F">
      <w:pPr>
        <w:spacing w:before="271" w:line="222" w:lineRule="auto"/>
        <w:ind w:left="130"/>
        <w:outlineLvl w:val="0"/>
        <w:rPr>
          <w:rFonts w:ascii="黑体" w:hAnsi="黑体" w:eastAsia="黑体" w:cs="黑体"/>
          <w:sz w:val="28"/>
          <w:szCs w:val="28"/>
        </w:rPr>
      </w:pPr>
      <w:bookmarkStart w:id="173" w:name="bookmark154"/>
      <w:bookmarkEnd w:id="173"/>
      <w:bookmarkStart w:id="174" w:name="bookmark155"/>
      <w:bookmarkEnd w:id="174"/>
      <w:r>
        <w:rPr>
          <w:rFonts w:ascii="黑体" w:hAnsi="黑体" w:eastAsia="黑体" w:cs="黑体"/>
          <w:b/>
          <w:bCs/>
          <w:spacing w:val="-6"/>
          <w:sz w:val="28"/>
          <w:szCs w:val="28"/>
        </w:rPr>
        <w:t>10</w:t>
      </w:r>
      <w:r>
        <w:rPr>
          <w:rFonts w:ascii="黑体" w:hAnsi="黑体" w:eastAsia="黑体" w:cs="黑体"/>
          <w:spacing w:val="-53"/>
          <w:sz w:val="28"/>
          <w:szCs w:val="28"/>
        </w:rPr>
        <w:t xml:space="preserve"> </w:t>
      </w:r>
      <w:r>
        <w:rPr>
          <w:rFonts w:ascii="黑体" w:hAnsi="黑体" w:eastAsia="黑体" w:cs="黑体"/>
          <w:b/>
          <w:bCs/>
          <w:spacing w:val="-6"/>
          <w:sz w:val="28"/>
          <w:szCs w:val="28"/>
        </w:rPr>
        <w:t>产业政策符合性分析</w:t>
      </w:r>
    </w:p>
    <w:p w14:paraId="74BE4B2C">
      <w:pPr>
        <w:pStyle w:val="2"/>
        <w:spacing w:line="357" w:lineRule="auto"/>
      </w:pPr>
    </w:p>
    <w:p w14:paraId="179DF11C">
      <w:pPr>
        <w:spacing w:before="78" w:line="219" w:lineRule="auto"/>
        <w:ind w:left="600"/>
        <w:outlineLvl w:val="1"/>
        <w:rPr>
          <w:rFonts w:ascii="宋体" w:hAnsi="宋体" w:eastAsia="宋体" w:cs="宋体"/>
          <w:sz w:val="24"/>
          <w:szCs w:val="24"/>
        </w:rPr>
      </w:pPr>
      <w:bookmarkStart w:id="175" w:name="bookmark214"/>
      <w:bookmarkEnd w:id="175"/>
      <w:r>
        <w:rPr>
          <w:rFonts w:ascii="Times New Roman" w:hAnsi="Times New Roman" w:eastAsia="Times New Roman" w:cs="Times New Roman"/>
          <w:b/>
          <w:bCs/>
          <w:spacing w:val="-3"/>
          <w:sz w:val="24"/>
          <w:szCs w:val="24"/>
        </w:rPr>
        <w:t xml:space="preserve">10.1 </w:t>
      </w:r>
      <w:r>
        <w:rPr>
          <w:rFonts w:ascii="宋体" w:hAnsi="宋体" w:eastAsia="宋体" w:cs="宋体"/>
          <w:b/>
          <w:bCs/>
          <w:spacing w:val="-3"/>
          <w:sz w:val="24"/>
          <w:szCs w:val="24"/>
        </w:rPr>
        <w:t>产业政策符合性分析</w:t>
      </w:r>
    </w:p>
    <w:p w14:paraId="5273708D">
      <w:pPr>
        <w:spacing w:before="182" w:line="360" w:lineRule="auto"/>
        <w:ind w:left="115" w:right="103" w:firstLine="480"/>
        <w:jc w:val="both"/>
        <w:rPr>
          <w:rFonts w:ascii="宋体" w:hAnsi="宋体" w:eastAsia="宋体" w:cs="宋体"/>
          <w:sz w:val="24"/>
          <w:szCs w:val="24"/>
        </w:rPr>
      </w:pPr>
      <w:r>
        <w:rPr>
          <w:rFonts w:ascii="宋体" w:hAnsi="宋体" w:eastAsia="宋体" w:cs="宋体"/>
          <w:spacing w:val="-3"/>
          <w:sz w:val="24"/>
          <w:szCs w:val="24"/>
        </w:rPr>
        <w:t>本项目为铅锌矿选矿技术改造项目，项目生产工艺、设备未在</w:t>
      </w:r>
      <w:r>
        <w:rPr>
          <w:rFonts w:ascii="宋体" w:hAnsi="宋体" w:eastAsia="宋体" w:cs="宋体"/>
          <w:spacing w:val="-4"/>
          <w:sz w:val="24"/>
          <w:szCs w:val="24"/>
        </w:rPr>
        <w:t>《产业结构调</w:t>
      </w:r>
      <w:r>
        <w:rPr>
          <w:rFonts w:ascii="宋体" w:hAnsi="宋体" w:eastAsia="宋体" w:cs="宋体"/>
          <w:sz w:val="24"/>
          <w:szCs w:val="24"/>
        </w:rPr>
        <w:t xml:space="preserve"> </w:t>
      </w:r>
      <w:r>
        <w:rPr>
          <w:rFonts w:ascii="宋体" w:hAnsi="宋体" w:eastAsia="宋体" w:cs="宋体"/>
          <w:spacing w:val="2"/>
          <w:sz w:val="24"/>
          <w:szCs w:val="24"/>
        </w:rPr>
        <w:t>整指导目录（</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年本）》的鼓励类、限制类、淘汰类中列出，属于允许</w:t>
      </w:r>
      <w:r>
        <w:rPr>
          <w:rFonts w:ascii="宋体" w:hAnsi="宋体" w:eastAsia="宋体" w:cs="宋体"/>
          <w:spacing w:val="1"/>
          <w:sz w:val="24"/>
          <w:szCs w:val="24"/>
        </w:rPr>
        <w:t>类建</w:t>
      </w:r>
      <w:r>
        <w:rPr>
          <w:rFonts w:ascii="宋体" w:hAnsi="宋体" w:eastAsia="宋体" w:cs="宋体"/>
          <w:sz w:val="24"/>
          <w:szCs w:val="24"/>
        </w:rPr>
        <w:t xml:space="preserve"> </w:t>
      </w:r>
      <w:r>
        <w:rPr>
          <w:rFonts w:ascii="宋体" w:hAnsi="宋体" w:eastAsia="宋体" w:cs="宋体"/>
          <w:spacing w:val="-1"/>
          <w:sz w:val="24"/>
          <w:szCs w:val="24"/>
        </w:rPr>
        <w:t>设项目。因此，项目建设符合国家产业政策。</w:t>
      </w:r>
    </w:p>
    <w:p w14:paraId="76CCA85D">
      <w:pPr>
        <w:spacing w:before="1" w:line="217" w:lineRule="auto"/>
        <w:ind w:left="598"/>
        <w:rPr>
          <w:rFonts w:ascii="宋体" w:hAnsi="宋体" w:eastAsia="宋体" w:cs="宋体"/>
          <w:sz w:val="24"/>
          <w:szCs w:val="24"/>
        </w:rPr>
      </w:pPr>
      <w:r>
        <w:rPr>
          <w:rFonts w:ascii="宋体" w:hAnsi="宋体" w:eastAsia="宋体" w:cs="宋体"/>
          <w:spacing w:val="4"/>
          <w:sz w:val="24"/>
          <w:szCs w:val="24"/>
        </w:rPr>
        <w:t>项目已获得西乌珠穆沁旗工业和信息化局的项目备案告知书，项</w:t>
      </w:r>
      <w:r>
        <w:rPr>
          <w:rFonts w:ascii="宋体" w:hAnsi="宋体" w:eastAsia="宋体" w:cs="宋体"/>
          <w:spacing w:val="3"/>
          <w:sz w:val="24"/>
          <w:szCs w:val="24"/>
        </w:rPr>
        <w:t>目编号：</w:t>
      </w:r>
    </w:p>
    <w:p w14:paraId="417018F1">
      <w:pPr>
        <w:spacing w:before="226" w:line="180" w:lineRule="auto"/>
        <w:ind w:left="109"/>
        <w:rPr>
          <w:rFonts w:ascii="宋体" w:hAnsi="宋体" w:eastAsia="宋体" w:cs="宋体"/>
          <w:sz w:val="24"/>
          <w:szCs w:val="24"/>
        </w:rPr>
      </w:pPr>
      <w:r>
        <w:rPr>
          <w:rFonts w:ascii="Times New Roman" w:hAnsi="Times New Roman" w:eastAsia="Times New Roman" w:cs="Times New Roman"/>
          <w:spacing w:val="-1"/>
          <w:sz w:val="24"/>
          <w:szCs w:val="24"/>
        </w:rPr>
        <w:t>2303-152526-07-02-705572</w:t>
      </w:r>
      <w:r>
        <w:rPr>
          <w:rFonts w:ascii="宋体" w:hAnsi="宋体" w:eastAsia="宋体" w:cs="宋体"/>
          <w:spacing w:val="-1"/>
          <w:sz w:val="24"/>
          <w:szCs w:val="24"/>
        </w:rPr>
        <w:t>。</w:t>
      </w:r>
    </w:p>
    <w:p w14:paraId="383DECF9">
      <w:pPr>
        <w:spacing w:before="193" w:line="219" w:lineRule="auto"/>
        <w:ind w:left="600"/>
        <w:outlineLvl w:val="1"/>
        <w:rPr>
          <w:rFonts w:ascii="宋体" w:hAnsi="宋体" w:eastAsia="宋体" w:cs="宋体"/>
          <w:sz w:val="24"/>
          <w:szCs w:val="24"/>
        </w:rPr>
      </w:pPr>
      <w:bookmarkStart w:id="176" w:name="bookmark156"/>
      <w:bookmarkEnd w:id="176"/>
      <w:r>
        <w:rPr>
          <w:rFonts w:ascii="Times New Roman" w:hAnsi="Times New Roman" w:eastAsia="Times New Roman" w:cs="Times New Roman"/>
          <w:b/>
          <w:bCs/>
          <w:spacing w:val="-2"/>
          <w:sz w:val="24"/>
          <w:szCs w:val="24"/>
        </w:rPr>
        <w:t xml:space="preserve">10.2 </w:t>
      </w:r>
      <w:r>
        <w:rPr>
          <w:rFonts w:ascii="宋体" w:hAnsi="宋体" w:eastAsia="宋体" w:cs="宋体"/>
          <w:b/>
          <w:bCs/>
          <w:spacing w:val="-2"/>
          <w:sz w:val="24"/>
          <w:szCs w:val="24"/>
        </w:rPr>
        <w:t>与《铅锌行业规范条件》的符合性</w:t>
      </w:r>
      <w:r>
        <w:rPr>
          <w:rFonts w:ascii="宋体" w:hAnsi="宋体" w:eastAsia="宋体" w:cs="宋体"/>
          <w:b/>
          <w:bCs/>
          <w:spacing w:val="-3"/>
          <w:sz w:val="24"/>
          <w:szCs w:val="24"/>
        </w:rPr>
        <w:t>分析</w:t>
      </w:r>
    </w:p>
    <w:p w14:paraId="6CEEB0B1">
      <w:pPr>
        <w:spacing w:before="183" w:line="218" w:lineRule="auto"/>
        <w:ind w:left="59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1"/>
          <w:sz w:val="24"/>
          <w:szCs w:val="24"/>
        </w:rPr>
        <w:t xml:space="preserve"> </w:t>
      </w:r>
      <w:r>
        <w:rPr>
          <w:rFonts w:ascii="宋体" w:hAnsi="宋体" w:eastAsia="宋体" w:cs="宋体"/>
          <w:spacing w:val="1"/>
          <w:sz w:val="24"/>
          <w:szCs w:val="24"/>
        </w:rPr>
        <w:t>10-1   本次技改项目与《铅锌行业规范条件》（信息</w:t>
      </w:r>
      <w:r>
        <w:rPr>
          <w:rFonts w:ascii="宋体" w:hAnsi="宋体" w:eastAsia="宋体" w:cs="宋体"/>
          <w:sz w:val="24"/>
          <w:szCs w:val="24"/>
        </w:rPr>
        <w:t>化部公告</w:t>
      </w:r>
      <w:r>
        <w:rPr>
          <w:rFonts w:ascii="宋体" w:hAnsi="宋体" w:eastAsia="宋体" w:cs="宋体"/>
          <w:spacing w:val="-43"/>
          <w:sz w:val="24"/>
          <w:szCs w:val="24"/>
        </w:rPr>
        <w:t xml:space="preserve"> </w:t>
      </w:r>
      <w:r>
        <w:rPr>
          <w:rFonts w:ascii="宋体" w:hAnsi="宋体" w:eastAsia="宋体" w:cs="宋体"/>
          <w:sz w:val="24"/>
          <w:szCs w:val="24"/>
        </w:rPr>
        <w:t>2020</w:t>
      </w:r>
      <w:r>
        <w:rPr>
          <w:rFonts w:ascii="宋体" w:hAnsi="宋体" w:eastAsia="宋体" w:cs="宋体"/>
          <w:spacing w:val="-50"/>
          <w:sz w:val="24"/>
          <w:szCs w:val="24"/>
        </w:rPr>
        <w:t xml:space="preserve"> </w:t>
      </w:r>
      <w:r>
        <w:rPr>
          <w:rFonts w:ascii="宋体" w:hAnsi="宋体" w:eastAsia="宋体" w:cs="宋体"/>
          <w:sz w:val="24"/>
          <w:szCs w:val="24"/>
        </w:rPr>
        <w:t>年</w:t>
      </w:r>
    </w:p>
    <w:p w14:paraId="2C3297FD">
      <w:pPr>
        <w:spacing w:before="185" w:line="219" w:lineRule="auto"/>
        <w:ind w:left="114"/>
        <w:rPr>
          <w:rFonts w:ascii="宋体" w:hAnsi="宋体" w:eastAsia="宋体" w:cs="宋体"/>
          <w:sz w:val="24"/>
          <w:szCs w:val="24"/>
        </w:rPr>
      </w:pPr>
      <w:r>
        <w:rPr>
          <w:rFonts w:ascii="宋体" w:hAnsi="宋体" w:eastAsia="宋体" w:cs="宋体"/>
          <w:spacing w:val="-4"/>
          <w:sz w:val="24"/>
          <w:szCs w:val="24"/>
        </w:rPr>
        <w:t>第</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45"/>
          <w:sz w:val="24"/>
          <w:szCs w:val="24"/>
        </w:rPr>
        <w:t xml:space="preserve"> </w:t>
      </w:r>
      <w:r>
        <w:rPr>
          <w:rFonts w:ascii="宋体" w:hAnsi="宋体" w:eastAsia="宋体" w:cs="宋体"/>
          <w:spacing w:val="-4"/>
          <w:sz w:val="24"/>
          <w:szCs w:val="24"/>
        </w:rPr>
        <w:t>号）相符性分析表</w:t>
      </w:r>
    </w:p>
    <w:p w14:paraId="594CD21F">
      <w:pPr>
        <w:spacing w:line="69"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0"/>
        <w:gridCol w:w="3258"/>
        <w:gridCol w:w="2692"/>
        <w:gridCol w:w="1179"/>
      </w:tblGrid>
      <w:tr w14:paraId="09E9C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380" w:type="dxa"/>
            <w:vAlign w:val="top"/>
          </w:tcPr>
          <w:p w14:paraId="134FAF6C">
            <w:pPr>
              <w:pStyle w:val="6"/>
              <w:spacing w:before="56" w:line="228" w:lineRule="auto"/>
              <w:ind w:left="487"/>
            </w:pPr>
            <w:r>
              <w:rPr>
                <w:spacing w:val="3"/>
              </w:rPr>
              <w:t>分项</w:t>
            </w:r>
          </w:p>
        </w:tc>
        <w:tc>
          <w:tcPr>
            <w:tcW w:w="3258" w:type="dxa"/>
            <w:vAlign w:val="top"/>
          </w:tcPr>
          <w:p w14:paraId="01C32C00">
            <w:pPr>
              <w:pStyle w:val="6"/>
              <w:spacing w:before="55" w:line="228" w:lineRule="auto"/>
              <w:ind w:left="379"/>
            </w:pPr>
            <w:r>
              <w:rPr>
                <w:spacing w:val="8"/>
              </w:rPr>
              <w:t>《铅锌行业规范条件》要求</w:t>
            </w:r>
          </w:p>
        </w:tc>
        <w:tc>
          <w:tcPr>
            <w:tcW w:w="2692" w:type="dxa"/>
            <w:vAlign w:val="top"/>
          </w:tcPr>
          <w:p w14:paraId="5D2B29F1">
            <w:pPr>
              <w:pStyle w:val="6"/>
              <w:spacing w:before="56" w:line="227" w:lineRule="auto"/>
              <w:ind w:left="724"/>
            </w:pPr>
            <w:r>
              <w:rPr>
                <w:spacing w:val="8"/>
              </w:rPr>
              <w:t>本次技改项目</w:t>
            </w:r>
          </w:p>
        </w:tc>
        <w:tc>
          <w:tcPr>
            <w:tcW w:w="1179" w:type="dxa"/>
            <w:vAlign w:val="top"/>
          </w:tcPr>
          <w:p w14:paraId="01DE92DC">
            <w:pPr>
              <w:pStyle w:val="6"/>
              <w:spacing w:before="55" w:line="228" w:lineRule="auto"/>
              <w:ind w:left="178"/>
            </w:pPr>
            <w:r>
              <w:rPr>
                <w:spacing w:val="6"/>
              </w:rPr>
              <w:t>是否符合</w:t>
            </w:r>
          </w:p>
        </w:tc>
      </w:tr>
      <w:tr w14:paraId="65BCC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380" w:type="dxa"/>
            <w:vAlign w:val="top"/>
          </w:tcPr>
          <w:p w14:paraId="7E60709F">
            <w:pPr>
              <w:spacing w:line="303" w:lineRule="auto"/>
              <w:rPr>
                <w:rFonts w:ascii="Arial"/>
                <w:sz w:val="21"/>
              </w:rPr>
            </w:pPr>
          </w:p>
          <w:p w14:paraId="52ACD9A1">
            <w:pPr>
              <w:spacing w:line="303" w:lineRule="auto"/>
              <w:rPr>
                <w:rFonts w:ascii="Arial"/>
                <w:sz w:val="21"/>
              </w:rPr>
            </w:pPr>
          </w:p>
          <w:p w14:paraId="54AD2151">
            <w:pPr>
              <w:pStyle w:val="6"/>
              <w:spacing w:before="65" w:line="227" w:lineRule="auto"/>
              <w:ind w:left="279"/>
            </w:pPr>
            <w:r>
              <w:rPr>
                <w:spacing w:val="6"/>
              </w:rPr>
              <w:t>企业布局</w:t>
            </w:r>
          </w:p>
        </w:tc>
        <w:tc>
          <w:tcPr>
            <w:tcW w:w="3258" w:type="dxa"/>
            <w:vAlign w:val="top"/>
          </w:tcPr>
          <w:p w14:paraId="1AE4EB6A">
            <w:pPr>
              <w:pStyle w:val="6"/>
              <w:spacing w:before="50" w:line="228" w:lineRule="auto"/>
              <w:ind w:right="10"/>
              <w:jc w:val="right"/>
            </w:pPr>
            <w:r>
              <w:rPr>
                <w:spacing w:val="5"/>
              </w:rPr>
              <w:t>严禁在风景名胜区、</w:t>
            </w:r>
            <w:r>
              <w:rPr>
                <w:spacing w:val="-48"/>
              </w:rPr>
              <w:t xml:space="preserve"> </w:t>
            </w:r>
            <w:r>
              <w:rPr>
                <w:spacing w:val="5"/>
              </w:rPr>
              <w:t>自然保护区、</w:t>
            </w:r>
          </w:p>
          <w:p w14:paraId="336A9ADE">
            <w:pPr>
              <w:pStyle w:val="6"/>
              <w:spacing w:before="64" w:line="228" w:lineRule="auto"/>
              <w:ind w:left="163"/>
            </w:pPr>
            <w:r>
              <w:rPr>
                <w:spacing w:val="9"/>
              </w:rPr>
              <w:t>饮用水水源保护区、非工业规划</w:t>
            </w:r>
          </w:p>
          <w:p w14:paraId="3C5EC605">
            <w:pPr>
              <w:pStyle w:val="6"/>
              <w:spacing w:before="65" w:line="228" w:lineRule="auto"/>
              <w:ind w:left="165"/>
            </w:pPr>
            <w:r>
              <w:rPr>
                <w:spacing w:val="9"/>
              </w:rPr>
              <w:t>建设区、大气污染防治重点区域</w:t>
            </w:r>
          </w:p>
          <w:p w14:paraId="6061B88B">
            <w:pPr>
              <w:pStyle w:val="6"/>
              <w:spacing w:before="64" w:line="228" w:lineRule="auto"/>
              <w:ind w:left="163"/>
            </w:pPr>
            <w:r>
              <w:rPr>
                <w:spacing w:val="9"/>
              </w:rPr>
              <w:t>和其他需要特别保护的区域内新</w:t>
            </w:r>
          </w:p>
          <w:p w14:paraId="3DE6BE88">
            <w:pPr>
              <w:pStyle w:val="6"/>
              <w:spacing w:before="66" w:line="228" w:lineRule="auto"/>
              <w:ind w:left="1111"/>
            </w:pPr>
            <w:r>
              <w:rPr>
                <w:spacing w:val="7"/>
              </w:rPr>
              <w:t>建铅锌项目</w:t>
            </w:r>
          </w:p>
        </w:tc>
        <w:tc>
          <w:tcPr>
            <w:tcW w:w="2692" w:type="dxa"/>
            <w:vAlign w:val="top"/>
          </w:tcPr>
          <w:p w14:paraId="0FA68BB7">
            <w:pPr>
              <w:spacing w:line="303" w:lineRule="auto"/>
              <w:rPr>
                <w:rFonts w:ascii="Arial"/>
                <w:sz w:val="21"/>
              </w:rPr>
            </w:pPr>
          </w:p>
          <w:p w14:paraId="2C71D5D0">
            <w:pPr>
              <w:spacing w:line="303" w:lineRule="auto"/>
              <w:rPr>
                <w:rFonts w:ascii="Arial"/>
                <w:sz w:val="21"/>
              </w:rPr>
            </w:pPr>
          </w:p>
          <w:p w14:paraId="0191CFF6">
            <w:pPr>
              <w:pStyle w:val="6"/>
              <w:spacing w:before="65" w:line="228" w:lineRule="auto"/>
              <w:ind w:left="726"/>
            </w:pPr>
            <w:r>
              <w:rPr>
                <w:spacing w:val="7"/>
              </w:rPr>
              <w:t>不在上述范围</w:t>
            </w:r>
          </w:p>
        </w:tc>
        <w:tc>
          <w:tcPr>
            <w:tcW w:w="1179" w:type="dxa"/>
            <w:vAlign w:val="top"/>
          </w:tcPr>
          <w:p w14:paraId="3EBDC998">
            <w:pPr>
              <w:spacing w:line="302" w:lineRule="auto"/>
              <w:rPr>
                <w:rFonts w:ascii="Arial"/>
                <w:sz w:val="21"/>
              </w:rPr>
            </w:pPr>
          </w:p>
          <w:p w14:paraId="08AA2438">
            <w:pPr>
              <w:spacing w:line="303" w:lineRule="auto"/>
              <w:rPr>
                <w:rFonts w:ascii="Arial"/>
                <w:sz w:val="21"/>
              </w:rPr>
            </w:pPr>
          </w:p>
          <w:p w14:paraId="29762CC2">
            <w:pPr>
              <w:pStyle w:val="6"/>
              <w:spacing w:before="65" w:line="228" w:lineRule="auto"/>
              <w:ind w:left="387"/>
            </w:pPr>
            <w:r>
              <w:rPr>
                <w:spacing w:val="3"/>
              </w:rPr>
              <w:t>符合</w:t>
            </w:r>
          </w:p>
        </w:tc>
      </w:tr>
      <w:tr w14:paraId="28BA1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80" w:type="dxa"/>
            <w:vAlign w:val="top"/>
          </w:tcPr>
          <w:p w14:paraId="77EA0F0F">
            <w:pPr>
              <w:pStyle w:val="6"/>
              <w:spacing w:before="208" w:line="228" w:lineRule="auto"/>
              <w:ind w:left="277"/>
            </w:pPr>
            <w:r>
              <w:rPr>
                <w:spacing w:val="6"/>
              </w:rPr>
              <w:t>生产规模</w:t>
            </w:r>
          </w:p>
        </w:tc>
        <w:tc>
          <w:tcPr>
            <w:tcW w:w="3258" w:type="dxa"/>
            <w:vAlign w:val="top"/>
          </w:tcPr>
          <w:p w14:paraId="4FDD69C7">
            <w:pPr>
              <w:pStyle w:val="6"/>
              <w:spacing w:before="52" w:line="261" w:lineRule="auto"/>
              <w:ind w:left="167" w:right="160" w:hanging="5"/>
            </w:pPr>
            <w:r>
              <w:rPr>
                <w:spacing w:val="9"/>
              </w:rPr>
              <w:t>采用浮选工艺的矿山企业其矿石</w:t>
            </w:r>
            <w:r>
              <w:rPr>
                <w:spacing w:val="3"/>
              </w:rPr>
              <w:t xml:space="preserve"> </w:t>
            </w:r>
            <w:r>
              <w:rPr>
                <w:spacing w:val="8"/>
              </w:rPr>
              <w:t>处理能力应不小于矿山开采能力</w:t>
            </w:r>
          </w:p>
        </w:tc>
        <w:tc>
          <w:tcPr>
            <w:tcW w:w="2692" w:type="dxa"/>
            <w:vAlign w:val="top"/>
          </w:tcPr>
          <w:p w14:paraId="5937E5CB">
            <w:pPr>
              <w:pStyle w:val="6"/>
              <w:spacing w:before="52" w:line="261" w:lineRule="auto"/>
              <w:ind w:left="116" w:right="104" w:hanging="2"/>
            </w:pPr>
            <w:r>
              <w:rPr>
                <w:spacing w:val="5"/>
              </w:rPr>
              <w:t>本次技改后，选矿生产规模</w:t>
            </w:r>
            <w:r>
              <w:rPr>
                <w:spacing w:val="4"/>
              </w:rPr>
              <w:t xml:space="preserve"> </w:t>
            </w:r>
            <w:r>
              <w:rPr>
                <w:spacing w:val="5"/>
              </w:rPr>
              <w:t>不变，与矿山开采能力相当</w:t>
            </w:r>
          </w:p>
        </w:tc>
        <w:tc>
          <w:tcPr>
            <w:tcW w:w="1179" w:type="dxa"/>
            <w:vAlign w:val="top"/>
          </w:tcPr>
          <w:p w14:paraId="143C01FA">
            <w:pPr>
              <w:pStyle w:val="6"/>
              <w:spacing w:before="208" w:line="228" w:lineRule="auto"/>
              <w:ind w:left="387"/>
            </w:pPr>
            <w:r>
              <w:rPr>
                <w:spacing w:val="3"/>
              </w:rPr>
              <w:t>符合</w:t>
            </w:r>
          </w:p>
        </w:tc>
      </w:tr>
      <w:tr w14:paraId="5AE17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380" w:type="dxa"/>
            <w:vAlign w:val="top"/>
          </w:tcPr>
          <w:p w14:paraId="64F5B0F3">
            <w:pPr>
              <w:spacing w:line="452" w:lineRule="auto"/>
              <w:rPr>
                <w:rFonts w:ascii="Arial"/>
                <w:sz w:val="21"/>
              </w:rPr>
            </w:pPr>
          </w:p>
          <w:p w14:paraId="55D5393F">
            <w:pPr>
              <w:pStyle w:val="6"/>
              <w:spacing w:before="65" w:line="228" w:lineRule="auto"/>
              <w:ind w:left="172"/>
            </w:pPr>
            <w:r>
              <w:rPr>
                <w:spacing w:val="7"/>
              </w:rPr>
              <w:t>工艺技术和</w:t>
            </w:r>
          </w:p>
          <w:p w14:paraId="2CE6FA1F">
            <w:pPr>
              <w:pStyle w:val="6"/>
              <w:spacing w:before="65" w:line="228" w:lineRule="auto"/>
              <w:ind w:left="484"/>
            </w:pPr>
            <w:r>
              <w:rPr>
                <w:spacing w:val="4"/>
              </w:rPr>
              <w:t>装备</w:t>
            </w:r>
          </w:p>
        </w:tc>
        <w:tc>
          <w:tcPr>
            <w:tcW w:w="3258" w:type="dxa"/>
            <w:vAlign w:val="top"/>
          </w:tcPr>
          <w:p w14:paraId="0AE62D55">
            <w:pPr>
              <w:spacing w:line="298" w:lineRule="auto"/>
              <w:rPr>
                <w:rFonts w:ascii="Arial"/>
                <w:sz w:val="21"/>
              </w:rPr>
            </w:pPr>
          </w:p>
          <w:p w14:paraId="7513C85C">
            <w:pPr>
              <w:pStyle w:val="6"/>
              <w:spacing w:before="65" w:line="227" w:lineRule="auto"/>
              <w:ind w:left="163"/>
            </w:pPr>
            <w:r>
              <w:rPr>
                <w:spacing w:val="9"/>
              </w:rPr>
              <w:t>根据矿石种类和成分，采用先进</w:t>
            </w:r>
          </w:p>
          <w:p w14:paraId="6B72F529">
            <w:pPr>
              <w:pStyle w:val="6"/>
              <w:spacing w:before="65" w:line="228" w:lineRule="auto"/>
              <w:ind w:left="163"/>
            </w:pPr>
            <w:r>
              <w:rPr>
                <w:spacing w:val="9"/>
              </w:rPr>
              <w:t>适用的选矿工艺，提高选矿回收</w:t>
            </w:r>
          </w:p>
          <w:p w14:paraId="7FB1B30D">
            <w:pPr>
              <w:pStyle w:val="6"/>
              <w:spacing w:before="65" w:line="228" w:lineRule="auto"/>
              <w:ind w:left="584"/>
            </w:pPr>
            <w:r>
              <w:rPr>
                <w:spacing w:val="8"/>
              </w:rPr>
              <w:t>率和资源综合利用水平</w:t>
            </w:r>
          </w:p>
        </w:tc>
        <w:tc>
          <w:tcPr>
            <w:tcW w:w="2692" w:type="dxa"/>
            <w:vAlign w:val="top"/>
          </w:tcPr>
          <w:p w14:paraId="1915694B">
            <w:pPr>
              <w:pStyle w:val="6"/>
              <w:spacing w:before="52" w:line="227" w:lineRule="auto"/>
              <w:ind w:left="114"/>
            </w:pPr>
            <w:r>
              <w:rPr>
                <w:spacing w:val="5"/>
              </w:rPr>
              <w:t>本次技改后，选矿采用半自</w:t>
            </w:r>
          </w:p>
          <w:p w14:paraId="7A964295">
            <w:pPr>
              <w:pStyle w:val="6"/>
              <w:spacing w:before="65" w:line="228" w:lineRule="auto"/>
              <w:ind w:left="116"/>
            </w:pPr>
            <w:r>
              <w:rPr>
                <w:spacing w:val="8"/>
              </w:rPr>
              <w:t>磨工艺取代现有破碎工艺，</w:t>
            </w:r>
          </w:p>
          <w:p w14:paraId="054910EE">
            <w:pPr>
              <w:pStyle w:val="6"/>
              <w:spacing w:before="65" w:line="227" w:lineRule="auto"/>
              <w:ind w:left="197"/>
            </w:pPr>
            <w:r>
              <w:rPr>
                <w:spacing w:val="8"/>
              </w:rPr>
              <w:t>采用浮选法依次选别铅、</w:t>
            </w:r>
          </w:p>
          <w:p w14:paraId="0E29F795">
            <w:pPr>
              <w:pStyle w:val="6"/>
              <w:spacing w:before="65" w:line="228" w:lineRule="auto"/>
              <w:ind w:left="113"/>
            </w:pPr>
            <w:r>
              <w:rPr>
                <w:spacing w:val="5"/>
              </w:rPr>
              <w:t>锌，提高了选矿回收率和资</w:t>
            </w:r>
          </w:p>
          <w:p w14:paraId="18F4AB46">
            <w:pPr>
              <w:pStyle w:val="6"/>
              <w:spacing w:before="65" w:line="228" w:lineRule="auto"/>
              <w:ind w:left="825"/>
            </w:pPr>
            <w:r>
              <w:rPr>
                <w:spacing w:val="8"/>
              </w:rPr>
              <w:t>源利用水平</w:t>
            </w:r>
          </w:p>
        </w:tc>
        <w:tc>
          <w:tcPr>
            <w:tcW w:w="1179" w:type="dxa"/>
            <w:vAlign w:val="top"/>
          </w:tcPr>
          <w:p w14:paraId="4075E9C5">
            <w:pPr>
              <w:spacing w:line="303" w:lineRule="auto"/>
              <w:rPr>
                <w:rFonts w:ascii="Arial"/>
                <w:sz w:val="21"/>
              </w:rPr>
            </w:pPr>
          </w:p>
          <w:p w14:paraId="4DD8F354">
            <w:pPr>
              <w:spacing w:line="304" w:lineRule="auto"/>
              <w:rPr>
                <w:rFonts w:ascii="Arial"/>
                <w:sz w:val="21"/>
              </w:rPr>
            </w:pPr>
          </w:p>
          <w:p w14:paraId="342243BB">
            <w:pPr>
              <w:pStyle w:val="6"/>
              <w:spacing w:before="65" w:line="228" w:lineRule="auto"/>
              <w:ind w:left="387"/>
            </w:pPr>
            <w:r>
              <w:rPr>
                <w:spacing w:val="3"/>
              </w:rPr>
              <w:t>符合</w:t>
            </w:r>
          </w:p>
        </w:tc>
      </w:tr>
      <w:tr w14:paraId="5699E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80" w:type="dxa"/>
            <w:vAlign w:val="top"/>
          </w:tcPr>
          <w:p w14:paraId="71BF4E8F">
            <w:pPr>
              <w:pStyle w:val="6"/>
              <w:spacing w:before="55" w:line="262" w:lineRule="auto"/>
              <w:ind w:left="278" w:right="163" w:hanging="99"/>
            </w:pPr>
            <w:r>
              <w:rPr>
                <w:spacing w:val="6"/>
              </w:rPr>
              <w:t>资源消耗及</w:t>
            </w:r>
            <w:r>
              <w:t xml:space="preserve"> </w:t>
            </w:r>
            <w:r>
              <w:rPr>
                <w:spacing w:val="6"/>
              </w:rPr>
              <w:t>综合利用</w:t>
            </w:r>
          </w:p>
        </w:tc>
        <w:tc>
          <w:tcPr>
            <w:tcW w:w="3258" w:type="dxa"/>
            <w:vAlign w:val="top"/>
          </w:tcPr>
          <w:p w14:paraId="0F11B6FC">
            <w:pPr>
              <w:pStyle w:val="6"/>
              <w:spacing w:before="55" w:line="262" w:lineRule="auto"/>
              <w:ind w:left="576" w:right="160" w:hanging="413"/>
            </w:pPr>
            <w:r>
              <w:rPr>
                <w:spacing w:val="9"/>
              </w:rPr>
              <w:t>新建及改造选矿企业废水循环利</w:t>
            </w:r>
            <w:r>
              <w:rPr>
                <w:spacing w:val="1"/>
              </w:rPr>
              <w:t xml:space="preserve"> </w:t>
            </w:r>
            <w:r>
              <w:rPr>
                <w:spacing w:val="6"/>
              </w:rPr>
              <w:t>用率应达到</w:t>
            </w:r>
            <w:r>
              <w:rPr>
                <w:spacing w:val="-29"/>
              </w:rPr>
              <w:t xml:space="preserve"> </w:t>
            </w:r>
            <w:r>
              <w:rPr>
                <w:rFonts w:ascii="Times New Roman" w:hAnsi="Times New Roman" w:eastAsia="Times New Roman" w:cs="Times New Roman"/>
                <w:spacing w:val="6"/>
              </w:rPr>
              <w:t>85%</w:t>
            </w:r>
            <w:r>
              <w:rPr>
                <w:spacing w:val="6"/>
              </w:rPr>
              <w:t>及以上</w:t>
            </w:r>
          </w:p>
        </w:tc>
        <w:tc>
          <w:tcPr>
            <w:tcW w:w="2692" w:type="dxa"/>
            <w:vAlign w:val="top"/>
          </w:tcPr>
          <w:p w14:paraId="74D80431">
            <w:pPr>
              <w:pStyle w:val="6"/>
              <w:spacing w:before="55" w:line="262" w:lineRule="auto"/>
              <w:ind w:left="828" w:right="188" w:hanging="627"/>
            </w:pPr>
            <w:r>
              <w:rPr>
                <w:spacing w:val="8"/>
              </w:rPr>
              <w:t xml:space="preserve">项目选矿废水全部循环利 </w:t>
            </w:r>
            <w:r>
              <w:rPr>
                <w:spacing w:val="7"/>
              </w:rPr>
              <w:t>用，不外排</w:t>
            </w:r>
          </w:p>
        </w:tc>
        <w:tc>
          <w:tcPr>
            <w:tcW w:w="1179" w:type="dxa"/>
            <w:vAlign w:val="top"/>
          </w:tcPr>
          <w:p w14:paraId="7BEAF6D0">
            <w:pPr>
              <w:pStyle w:val="6"/>
              <w:spacing w:before="210" w:line="228" w:lineRule="auto"/>
              <w:ind w:left="387"/>
            </w:pPr>
            <w:r>
              <w:rPr>
                <w:spacing w:val="3"/>
              </w:rPr>
              <w:t>符合</w:t>
            </w:r>
          </w:p>
        </w:tc>
      </w:tr>
    </w:tbl>
    <w:p w14:paraId="31592590">
      <w:pPr>
        <w:spacing w:before="115" w:line="219" w:lineRule="auto"/>
        <w:ind w:left="600"/>
        <w:outlineLvl w:val="1"/>
        <w:rPr>
          <w:rFonts w:ascii="宋体" w:hAnsi="宋体" w:eastAsia="宋体" w:cs="宋体"/>
          <w:sz w:val="24"/>
          <w:szCs w:val="24"/>
        </w:rPr>
      </w:pPr>
      <w:bookmarkStart w:id="177" w:name="bookmark157"/>
      <w:bookmarkEnd w:id="177"/>
      <w:r>
        <w:rPr>
          <w:rFonts w:ascii="Times New Roman" w:hAnsi="Times New Roman" w:eastAsia="Times New Roman" w:cs="Times New Roman"/>
          <w:b/>
          <w:bCs/>
          <w:spacing w:val="-2"/>
          <w:sz w:val="24"/>
          <w:szCs w:val="24"/>
        </w:rPr>
        <w:t xml:space="preserve">10.3 </w:t>
      </w:r>
      <w:r>
        <w:rPr>
          <w:rFonts w:ascii="宋体" w:hAnsi="宋体" w:eastAsia="宋体" w:cs="宋体"/>
          <w:b/>
          <w:bCs/>
          <w:spacing w:val="-2"/>
          <w:sz w:val="24"/>
          <w:szCs w:val="24"/>
        </w:rPr>
        <w:t>与《全国生态功能区划》符合性分析</w:t>
      </w:r>
    </w:p>
    <w:p w14:paraId="1447B7D7">
      <w:pPr>
        <w:spacing w:before="183" w:line="360" w:lineRule="auto"/>
        <w:ind w:left="113" w:right="23" w:firstLine="480"/>
        <w:jc w:val="both"/>
        <w:rPr>
          <w:rFonts w:ascii="宋体" w:hAnsi="宋体" w:eastAsia="宋体" w:cs="宋体"/>
          <w:sz w:val="24"/>
          <w:szCs w:val="24"/>
        </w:rPr>
      </w:pPr>
      <w:r>
        <w:rPr>
          <w:rFonts w:ascii="宋体" w:hAnsi="宋体" w:eastAsia="宋体" w:cs="宋体"/>
          <w:spacing w:val="-8"/>
          <w:sz w:val="24"/>
          <w:szCs w:val="24"/>
        </w:rPr>
        <w:t>根据《全国生态功能区划》，项目所在地位于浑善达克沙地防风固沙重要区。</w:t>
      </w:r>
      <w:r>
        <w:rPr>
          <w:rFonts w:ascii="宋体" w:hAnsi="宋体" w:eastAsia="宋体" w:cs="宋体"/>
          <w:spacing w:val="8"/>
          <w:sz w:val="24"/>
          <w:szCs w:val="24"/>
        </w:rPr>
        <w:t xml:space="preserve"> </w:t>
      </w:r>
      <w:r>
        <w:rPr>
          <w:rFonts w:ascii="宋体" w:hAnsi="宋体" w:eastAsia="宋体" w:cs="宋体"/>
          <w:spacing w:val="-3"/>
          <w:sz w:val="24"/>
          <w:szCs w:val="24"/>
        </w:rPr>
        <w:t>该区地处阴山北麓东部半干旱农牧交错带、燕山山地、坝上高原，行政区主要涉</w:t>
      </w:r>
      <w:r>
        <w:rPr>
          <w:rFonts w:ascii="宋体" w:hAnsi="宋体" w:eastAsia="宋体" w:cs="宋体"/>
          <w:spacing w:val="1"/>
          <w:sz w:val="24"/>
          <w:szCs w:val="24"/>
        </w:rPr>
        <w:t xml:space="preserve"> </w:t>
      </w:r>
      <w:r>
        <w:rPr>
          <w:rFonts w:ascii="宋体" w:hAnsi="宋体" w:eastAsia="宋体" w:cs="宋体"/>
          <w:spacing w:val="-3"/>
          <w:sz w:val="24"/>
          <w:szCs w:val="24"/>
        </w:rPr>
        <w:t>及内蒙古自治区的锡林郭勒、乌兰察布、赤峰等盟（市</w:t>
      </w:r>
      <w:r>
        <w:rPr>
          <w:rFonts w:ascii="宋体" w:hAnsi="宋体" w:eastAsia="宋体" w:cs="宋体"/>
          <w:sz w:val="24"/>
          <w:szCs w:val="24"/>
        </w:rPr>
        <w:t>），</w:t>
      </w:r>
      <w:r>
        <w:rPr>
          <w:rFonts w:ascii="宋体" w:hAnsi="宋体" w:eastAsia="宋体" w:cs="宋体"/>
          <w:spacing w:val="-3"/>
          <w:sz w:val="24"/>
          <w:szCs w:val="24"/>
        </w:rPr>
        <w:t>以及河北</w:t>
      </w:r>
      <w:r>
        <w:rPr>
          <w:rFonts w:ascii="宋体" w:hAnsi="宋体" w:eastAsia="宋体" w:cs="宋体"/>
          <w:spacing w:val="-4"/>
          <w:sz w:val="24"/>
          <w:szCs w:val="24"/>
        </w:rPr>
        <w:t>省北部的承</w:t>
      </w:r>
      <w:r>
        <w:rPr>
          <w:rFonts w:ascii="宋体" w:hAnsi="宋体" w:eastAsia="宋体" w:cs="宋体"/>
          <w:sz w:val="24"/>
          <w:szCs w:val="24"/>
        </w:rPr>
        <w:t xml:space="preserve"> </w:t>
      </w:r>
      <w:r>
        <w:rPr>
          <w:rFonts w:ascii="宋体" w:hAnsi="宋体" w:eastAsia="宋体" w:cs="宋体"/>
          <w:spacing w:val="-4"/>
          <w:sz w:val="24"/>
          <w:szCs w:val="24"/>
        </w:rPr>
        <w:t>德市，面积为</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193.325km</w:t>
      </w:r>
      <w:r>
        <w:rPr>
          <w:rFonts w:ascii="Times New Roman" w:hAnsi="Times New Roman" w:eastAsia="Times New Roman" w:cs="Times New Roman"/>
          <w:spacing w:val="-4"/>
          <w:position w:val="8"/>
          <w:sz w:val="15"/>
          <w:szCs w:val="15"/>
        </w:rPr>
        <w:t>2</w:t>
      </w:r>
      <w:r>
        <w:rPr>
          <w:rFonts w:ascii="宋体" w:hAnsi="宋体" w:eastAsia="宋体" w:cs="宋体"/>
          <w:spacing w:val="-4"/>
          <w:sz w:val="24"/>
          <w:szCs w:val="24"/>
        </w:rPr>
        <w:t>。该区气候干旱，多大风，沙漠化敏感性程度极高，属</w:t>
      </w:r>
      <w:r>
        <w:rPr>
          <w:rFonts w:ascii="宋体" w:hAnsi="宋体" w:eastAsia="宋体" w:cs="宋体"/>
          <w:sz w:val="24"/>
          <w:szCs w:val="24"/>
        </w:rPr>
        <w:t xml:space="preserve"> </w:t>
      </w:r>
      <w:r>
        <w:rPr>
          <w:rFonts w:ascii="宋体" w:hAnsi="宋体" w:eastAsia="宋体" w:cs="宋体"/>
          <w:spacing w:val="-1"/>
          <w:sz w:val="24"/>
          <w:szCs w:val="24"/>
        </w:rPr>
        <w:t>于防风固沙重要区，是北京市乃至华北地区主要沙尘暴源区。</w:t>
      </w:r>
    </w:p>
    <w:p w14:paraId="5C362ABE">
      <w:pPr>
        <w:spacing w:before="1" w:line="361" w:lineRule="auto"/>
        <w:ind w:left="117" w:right="103" w:firstLine="480"/>
        <w:jc w:val="both"/>
        <w:rPr>
          <w:rFonts w:ascii="宋体" w:hAnsi="宋体" w:eastAsia="宋体" w:cs="宋体"/>
          <w:sz w:val="24"/>
          <w:szCs w:val="24"/>
        </w:rPr>
      </w:pPr>
      <w:r>
        <w:rPr>
          <w:rFonts w:ascii="宋体" w:hAnsi="宋体" w:eastAsia="宋体" w:cs="宋体"/>
          <w:spacing w:val="-3"/>
          <w:sz w:val="24"/>
          <w:szCs w:val="24"/>
        </w:rPr>
        <w:t>该区主要生态问题：长期以来的草地资源不合理开发利</w:t>
      </w:r>
      <w:r>
        <w:rPr>
          <w:rFonts w:ascii="宋体" w:hAnsi="宋体" w:eastAsia="宋体" w:cs="宋体"/>
          <w:spacing w:val="-4"/>
          <w:sz w:val="24"/>
          <w:szCs w:val="24"/>
        </w:rPr>
        <w:t>用带来的草原生态系</w:t>
      </w:r>
      <w:r>
        <w:rPr>
          <w:rFonts w:ascii="宋体" w:hAnsi="宋体" w:eastAsia="宋体" w:cs="宋体"/>
          <w:sz w:val="24"/>
          <w:szCs w:val="24"/>
        </w:rPr>
        <w:t xml:space="preserve"> </w:t>
      </w:r>
      <w:r>
        <w:rPr>
          <w:rFonts w:ascii="宋体" w:hAnsi="宋体" w:eastAsia="宋体" w:cs="宋体"/>
          <w:spacing w:val="-3"/>
          <w:sz w:val="24"/>
          <w:szCs w:val="24"/>
        </w:rPr>
        <w:t>统严重退化，表现为退化草地面积大、土地沙化严重、耕地土壤贫瘠化、干</w:t>
      </w:r>
      <w:r>
        <w:rPr>
          <w:rFonts w:ascii="宋体" w:hAnsi="宋体" w:eastAsia="宋体" w:cs="宋体"/>
          <w:spacing w:val="-4"/>
          <w:sz w:val="24"/>
          <w:szCs w:val="24"/>
        </w:rPr>
        <w:t>旱缺</w:t>
      </w:r>
      <w:r>
        <w:rPr>
          <w:rFonts w:ascii="宋体" w:hAnsi="宋体" w:eastAsia="宋体" w:cs="宋体"/>
          <w:sz w:val="24"/>
          <w:szCs w:val="24"/>
        </w:rPr>
        <w:t xml:space="preserve"> </w:t>
      </w:r>
      <w:r>
        <w:rPr>
          <w:rFonts w:ascii="宋体" w:hAnsi="宋体" w:eastAsia="宋体" w:cs="宋体"/>
          <w:spacing w:val="-1"/>
          <w:sz w:val="24"/>
          <w:szCs w:val="24"/>
        </w:rPr>
        <w:t>水，对华北地区生态安全构成威胁。</w:t>
      </w:r>
    </w:p>
    <w:p w14:paraId="276070AB">
      <w:pPr>
        <w:spacing w:line="361" w:lineRule="auto"/>
        <w:rPr>
          <w:rFonts w:ascii="宋体" w:hAnsi="宋体" w:eastAsia="宋体" w:cs="宋体"/>
          <w:sz w:val="24"/>
          <w:szCs w:val="24"/>
        </w:rPr>
        <w:sectPr>
          <w:headerReference r:id="rId407" w:type="default"/>
          <w:footerReference r:id="rId408" w:type="default"/>
          <w:pgSz w:w="11906" w:h="16839"/>
          <w:pgMar w:top="1208" w:right="1696" w:bottom="1358" w:left="1695" w:header="825" w:footer="1195" w:gutter="0"/>
          <w:cols w:space="720" w:num="1"/>
        </w:sectPr>
      </w:pPr>
    </w:p>
    <w:p w14:paraId="1B1E2B6D">
      <w:pPr>
        <w:pStyle w:val="2"/>
        <w:spacing w:line="265" w:lineRule="auto"/>
      </w:pPr>
    </w:p>
    <w:p w14:paraId="39A9633B">
      <w:pPr>
        <w:spacing w:before="78" w:line="360" w:lineRule="auto"/>
        <w:ind w:left="23" w:right="80" w:firstLine="480"/>
        <w:rPr>
          <w:rFonts w:ascii="宋体" w:hAnsi="宋体" w:eastAsia="宋体" w:cs="宋体"/>
          <w:sz w:val="24"/>
          <w:szCs w:val="24"/>
        </w:rPr>
      </w:pPr>
      <w:r>
        <w:rPr>
          <w:rFonts w:ascii="宋体" w:hAnsi="宋体" w:eastAsia="宋体" w:cs="宋体"/>
          <w:spacing w:val="-3"/>
          <w:sz w:val="24"/>
          <w:szCs w:val="24"/>
        </w:rPr>
        <w:t>本项目在现有厂房内进行改造，不新增占地。项目区已开展了</w:t>
      </w:r>
      <w:r>
        <w:rPr>
          <w:rFonts w:ascii="宋体" w:hAnsi="宋体" w:eastAsia="宋体" w:cs="宋体"/>
          <w:spacing w:val="-4"/>
          <w:sz w:val="24"/>
          <w:szCs w:val="24"/>
        </w:rPr>
        <w:t>绿化、硬化等</w:t>
      </w:r>
      <w:r>
        <w:rPr>
          <w:rFonts w:ascii="宋体" w:hAnsi="宋体" w:eastAsia="宋体" w:cs="宋体"/>
          <w:sz w:val="24"/>
          <w:szCs w:val="24"/>
        </w:rPr>
        <w:t xml:space="preserve"> </w:t>
      </w:r>
      <w:r>
        <w:rPr>
          <w:rFonts w:ascii="宋体" w:hAnsi="宋体" w:eastAsia="宋体" w:cs="宋体"/>
          <w:spacing w:val="-1"/>
          <w:sz w:val="24"/>
          <w:szCs w:val="24"/>
        </w:rPr>
        <w:t>措施，减少了裸地面积，减轻了扬尘对周围环境的影响。</w:t>
      </w:r>
    </w:p>
    <w:p w14:paraId="6E4521A2">
      <w:pPr>
        <w:spacing w:line="219" w:lineRule="auto"/>
        <w:ind w:left="509"/>
        <w:outlineLvl w:val="1"/>
        <w:rPr>
          <w:rFonts w:ascii="宋体" w:hAnsi="宋体" w:eastAsia="宋体" w:cs="宋体"/>
          <w:sz w:val="24"/>
          <w:szCs w:val="24"/>
        </w:rPr>
      </w:pPr>
      <w:bookmarkStart w:id="178" w:name="bookmark158"/>
      <w:bookmarkEnd w:id="178"/>
      <w:r>
        <w:rPr>
          <w:rFonts w:ascii="Times New Roman" w:hAnsi="Times New Roman" w:eastAsia="Times New Roman" w:cs="Times New Roman"/>
          <w:b/>
          <w:bCs/>
          <w:spacing w:val="-2"/>
          <w:sz w:val="24"/>
          <w:szCs w:val="24"/>
        </w:rPr>
        <w:t xml:space="preserve">10.4 </w:t>
      </w:r>
      <w:r>
        <w:rPr>
          <w:rFonts w:ascii="宋体" w:hAnsi="宋体" w:eastAsia="宋体" w:cs="宋体"/>
          <w:b/>
          <w:bCs/>
          <w:spacing w:val="-2"/>
          <w:sz w:val="24"/>
          <w:szCs w:val="24"/>
        </w:rPr>
        <w:t>与《内蒙古自治区主体功能区规划》符合性分析</w:t>
      </w:r>
    </w:p>
    <w:p w14:paraId="196207A7">
      <w:pPr>
        <w:spacing w:before="182" w:line="360" w:lineRule="auto"/>
        <w:ind w:left="24" w:right="26" w:firstLine="482"/>
        <w:jc w:val="both"/>
        <w:rPr>
          <w:rFonts w:ascii="宋体" w:hAnsi="宋体" w:eastAsia="宋体" w:cs="宋体"/>
          <w:sz w:val="24"/>
          <w:szCs w:val="24"/>
        </w:rPr>
      </w:pPr>
      <w:r>
        <w:rPr>
          <w:rFonts w:ascii="宋体" w:hAnsi="宋体" w:eastAsia="宋体" w:cs="宋体"/>
          <w:spacing w:val="-3"/>
          <w:sz w:val="24"/>
          <w:szCs w:val="24"/>
        </w:rPr>
        <w:t>项目建设地锡林郭勒盟西乌珠穆沁旗巴彦花镇是自治区</w:t>
      </w:r>
      <w:r>
        <w:rPr>
          <w:rFonts w:ascii="宋体" w:hAnsi="宋体" w:eastAsia="宋体" w:cs="宋体"/>
          <w:spacing w:val="-4"/>
          <w:sz w:val="24"/>
          <w:szCs w:val="24"/>
        </w:rPr>
        <w:t>级重点开发区域，该</w:t>
      </w:r>
      <w:r>
        <w:rPr>
          <w:rFonts w:ascii="宋体" w:hAnsi="宋体" w:eastAsia="宋体" w:cs="宋体"/>
          <w:sz w:val="24"/>
          <w:szCs w:val="24"/>
        </w:rPr>
        <w:t xml:space="preserve"> </w:t>
      </w:r>
      <w:r>
        <w:rPr>
          <w:rFonts w:ascii="宋体" w:hAnsi="宋体" w:eastAsia="宋体" w:cs="宋体"/>
          <w:spacing w:val="-3"/>
          <w:sz w:val="24"/>
          <w:szCs w:val="24"/>
        </w:rPr>
        <w:t>区域的功能定位是：提供工业品和服务产品，集聚人口和经济，同时必须保护好</w:t>
      </w:r>
      <w:r>
        <w:rPr>
          <w:rFonts w:ascii="宋体" w:hAnsi="宋体" w:eastAsia="宋体" w:cs="宋体"/>
          <w:sz w:val="24"/>
          <w:szCs w:val="24"/>
        </w:rPr>
        <w:t xml:space="preserve"> </w:t>
      </w:r>
      <w:r>
        <w:rPr>
          <w:rFonts w:ascii="宋体" w:hAnsi="宋体" w:eastAsia="宋体" w:cs="宋体"/>
          <w:spacing w:val="-3"/>
          <w:sz w:val="24"/>
          <w:szCs w:val="24"/>
        </w:rPr>
        <w:t>区域内的基本农田等农业空间和森林、草原、水面、湿地等生态空间。重点开发</w:t>
      </w:r>
      <w:r>
        <w:rPr>
          <w:rFonts w:ascii="宋体" w:hAnsi="宋体" w:eastAsia="宋体" w:cs="宋体"/>
          <w:sz w:val="24"/>
          <w:szCs w:val="24"/>
        </w:rPr>
        <w:t xml:space="preserve"> </w:t>
      </w:r>
      <w:r>
        <w:rPr>
          <w:rFonts w:ascii="宋体" w:hAnsi="宋体" w:eastAsia="宋体" w:cs="宋体"/>
          <w:spacing w:val="-2"/>
          <w:sz w:val="24"/>
          <w:szCs w:val="24"/>
        </w:rPr>
        <w:t>区域严格按照国家产业指导目录布局产业。在优化结构、提高效益、降低消耗、</w:t>
      </w:r>
      <w:r>
        <w:rPr>
          <w:rFonts w:ascii="宋体" w:hAnsi="宋体" w:eastAsia="宋体" w:cs="宋体"/>
          <w:spacing w:val="18"/>
          <w:sz w:val="24"/>
          <w:szCs w:val="24"/>
        </w:rPr>
        <w:t xml:space="preserve"> </w:t>
      </w:r>
      <w:r>
        <w:rPr>
          <w:rFonts w:ascii="宋体" w:hAnsi="宋体" w:eastAsia="宋体" w:cs="宋体"/>
          <w:spacing w:val="-3"/>
          <w:sz w:val="24"/>
          <w:szCs w:val="24"/>
        </w:rPr>
        <w:t>保护环境的前提下，优先支持重点开发区域建设高技术重大专项、重大工程和重</w:t>
      </w:r>
      <w:r>
        <w:rPr>
          <w:rFonts w:ascii="宋体" w:hAnsi="宋体" w:eastAsia="宋体" w:cs="宋体"/>
          <w:sz w:val="24"/>
          <w:szCs w:val="24"/>
        </w:rPr>
        <w:t xml:space="preserve"> </w:t>
      </w:r>
      <w:r>
        <w:rPr>
          <w:rFonts w:ascii="宋体" w:hAnsi="宋体" w:eastAsia="宋体" w:cs="宋体"/>
          <w:spacing w:val="-2"/>
          <w:sz w:val="24"/>
          <w:szCs w:val="24"/>
        </w:rPr>
        <w:t>大制造业项目。</w:t>
      </w:r>
    </w:p>
    <w:p w14:paraId="2C4D8EF1">
      <w:pPr>
        <w:spacing w:before="2" w:line="359" w:lineRule="auto"/>
        <w:ind w:left="27" w:right="82" w:firstLine="477"/>
        <w:rPr>
          <w:rFonts w:ascii="宋体" w:hAnsi="宋体" w:eastAsia="宋体" w:cs="宋体"/>
          <w:sz w:val="24"/>
          <w:szCs w:val="24"/>
        </w:rPr>
      </w:pPr>
      <w:r>
        <w:rPr>
          <w:rFonts w:ascii="宋体" w:hAnsi="宋体" w:eastAsia="宋体" w:cs="宋体"/>
          <w:spacing w:val="-3"/>
          <w:sz w:val="24"/>
          <w:szCs w:val="24"/>
        </w:rPr>
        <w:t>本项目通过对现有选厂技改，提高资源利用效率，符合</w:t>
      </w:r>
      <w:r>
        <w:rPr>
          <w:rFonts w:ascii="宋体" w:hAnsi="宋体" w:eastAsia="宋体" w:cs="宋体"/>
          <w:spacing w:val="-4"/>
          <w:sz w:val="24"/>
          <w:szCs w:val="24"/>
        </w:rPr>
        <w:t>《内蒙古自治区主体</w:t>
      </w:r>
      <w:r>
        <w:rPr>
          <w:rFonts w:ascii="宋体" w:hAnsi="宋体" w:eastAsia="宋体" w:cs="宋体"/>
          <w:sz w:val="24"/>
          <w:szCs w:val="24"/>
        </w:rPr>
        <w:t xml:space="preserve"> </w:t>
      </w:r>
      <w:r>
        <w:rPr>
          <w:rFonts w:ascii="宋体" w:hAnsi="宋体" w:eastAsia="宋体" w:cs="宋体"/>
          <w:spacing w:val="-2"/>
          <w:sz w:val="24"/>
          <w:szCs w:val="24"/>
        </w:rPr>
        <w:t>功能区规划》相关要求。</w:t>
      </w:r>
    </w:p>
    <w:p w14:paraId="43B94F95">
      <w:pPr>
        <w:spacing w:line="219" w:lineRule="auto"/>
        <w:ind w:left="509"/>
        <w:outlineLvl w:val="1"/>
        <w:rPr>
          <w:rFonts w:ascii="宋体" w:hAnsi="宋体" w:eastAsia="宋体" w:cs="宋体"/>
          <w:sz w:val="24"/>
          <w:szCs w:val="24"/>
        </w:rPr>
      </w:pPr>
      <w:bookmarkStart w:id="179" w:name="bookmark159"/>
      <w:bookmarkEnd w:id="179"/>
      <w:r>
        <w:rPr>
          <w:rFonts w:ascii="Times New Roman" w:hAnsi="Times New Roman" w:eastAsia="Times New Roman" w:cs="Times New Roman"/>
          <w:b/>
          <w:bCs/>
          <w:spacing w:val="-6"/>
          <w:sz w:val="24"/>
          <w:szCs w:val="24"/>
        </w:rPr>
        <w:t>10.5</w:t>
      </w:r>
      <w:r>
        <w:rPr>
          <w:rFonts w:ascii="Times New Roman" w:hAnsi="Times New Roman" w:eastAsia="Times New Roman" w:cs="Times New Roman"/>
          <w:b/>
          <w:bCs/>
          <w:spacing w:val="24"/>
          <w:sz w:val="24"/>
          <w:szCs w:val="24"/>
        </w:rPr>
        <w:t xml:space="preserve"> </w:t>
      </w:r>
      <w:r>
        <w:rPr>
          <w:rFonts w:ascii="宋体" w:hAnsi="宋体" w:eastAsia="宋体" w:cs="宋体"/>
          <w:b/>
          <w:bCs/>
          <w:spacing w:val="-6"/>
          <w:sz w:val="24"/>
          <w:szCs w:val="24"/>
        </w:rPr>
        <w:t>与“三线一单</w:t>
      </w:r>
      <w:r>
        <w:rPr>
          <w:rFonts w:ascii="宋体" w:hAnsi="宋体" w:eastAsia="宋体" w:cs="宋体"/>
          <w:spacing w:val="-86"/>
          <w:sz w:val="24"/>
          <w:szCs w:val="24"/>
        </w:rPr>
        <w:t xml:space="preserve"> </w:t>
      </w:r>
      <w:r>
        <w:rPr>
          <w:rFonts w:ascii="宋体" w:hAnsi="宋体" w:eastAsia="宋体" w:cs="宋体"/>
          <w:b/>
          <w:bCs/>
          <w:spacing w:val="-6"/>
          <w:sz w:val="24"/>
          <w:szCs w:val="24"/>
        </w:rPr>
        <w:t>”符合性分析</w:t>
      </w:r>
    </w:p>
    <w:p w14:paraId="440B56FA">
      <w:pPr>
        <w:spacing w:before="183" w:line="360" w:lineRule="auto"/>
        <w:ind w:left="22" w:right="80" w:firstLine="480"/>
        <w:jc w:val="both"/>
        <w:rPr>
          <w:rFonts w:ascii="宋体" w:hAnsi="宋体" w:eastAsia="宋体" w:cs="宋体"/>
          <w:sz w:val="24"/>
          <w:szCs w:val="24"/>
        </w:rPr>
      </w:pPr>
      <w:r>
        <w:rPr>
          <w:rFonts w:ascii="宋体" w:hAnsi="宋体" w:eastAsia="宋体" w:cs="宋体"/>
          <w:spacing w:val="-3"/>
          <w:sz w:val="24"/>
          <w:szCs w:val="24"/>
        </w:rPr>
        <w:t>根据《关于以改善环境质量为核心加强环境影响评价管理的通知</w:t>
      </w:r>
      <w:r>
        <w:rPr>
          <w:rFonts w:ascii="宋体" w:hAnsi="宋体" w:eastAsia="宋体" w:cs="宋体"/>
          <w:spacing w:val="-4"/>
          <w:sz w:val="24"/>
          <w:szCs w:val="24"/>
        </w:rPr>
        <w:t>》（环环评</w:t>
      </w:r>
      <w:r>
        <w:rPr>
          <w:rFonts w:ascii="宋体" w:hAnsi="宋体" w:eastAsia="宋体" w:cs="宋体"/>
          <w:sz w:val="24"/>
          <w:szCs w:val="24"/>
        </w:rPr>
        <w:t xml:space="preserve"> </w:t>
      </w:r>
      <w:r>
        <w:rPr>
          <w:rFonts w:ascii="Times New Roman" w:hAnsi="Times New Roman" w:eastAsia="Times New Roman" w:cs="Times New Roman"/>
          <w:spacing w:val="-1"/>
          <w:sz w:val="24"/>
          <w:szCs w:val="24"/>
        </w:rPr>
        <w:t xml:space="preserve">[2016]150  </w:t>
      </w:r>
      <w:r>
        <w:rPr>
          <w:rFonts w:ascii="宋体" w:hAnsi="宋体" w:eastAsia="宋体" w:cs="宋体"/>
          <w:spacing w:val="-1"/>
          <w:sz w:val="24"/>
          <w:szCs w:val="24"/>
        </w:rPr>
        <w:t>号</w:t>
      </w:r>
      <w:r>
        <w:rPr>
          <w:rFonts w:ascii="宋体" w:hAnsi="宋体" w:eastAsia="宋体" w:cs="宋体"/>
          <w:spacing w:val="8"/>
          <w:sz w:val="24"/>
          <w:szCs w:val="24"/>
        </w:rPr>
        <w:t>）：</w:t>
      </w:r>
      <w:r>
        <w:rPr>
          <w:rFonts w:ascii="宋体" w:hAnsi="宋体" w:eastAsia="宋体" w:cs="宋体"/>
          <w:spacing w:val="-1"/>
          <w:sz w:val="24"/>
          <w:szCs w:val="24"/>
        </w:rPr>
        <w:t>“为适应以改善环境质量为核心的环境管理要求，切实加强环</w:t>
      </w:r>
      <w:r>
        <w:rPr>
          <w:rFonts w:ascii="宋体" w:hAnsi="宋体" w:eastAsia="宋体" w:cs="宋体"/>
          <w:sz w:val="24"/>
          <w:szCs w:val="24"/>
        </w:rPr>
        <w:t xml:space="preserve"> </w:t>
      </w:r>
      <w:r>
        <w:rPr>
          <w:rFonts w:ascii="宋体" w:hAnsi="宋体" w:eastAsia="宋体" w:cs="宋体"/>
          <w:spacing w:val="-3"/>
          <w:sz w:val="24"/>
          <w:szCs w:val="24"/>
        </w:rPr>
        <w:t>境影响评价管理，落实‘生态保护红线、环境质量底线、资源利用上线和环境准</w:t>
      </w:r>
      <w:r>
        <w:rPr>
          <w:rFonts w:ascii="宋体" w:hAnsi="宋体" w:eastAsia="宋体" w:cs="宋体"/>
          <w:spacing w:val="1"/>
          <w:sz w:val="24"/>
          <w:szCs w:val="24"/>
        </w:rPr>
        <w:t xml:space="preserve"> </w:t>
      </w:r>
      <w:r>
        <w:rPr>
          <w:rFonts w:ascii="宋体" w:hAnsi="宋体" w:eastAsia="宋体" w:cs="宋体"/>
          <w:spacing w:val="-7"/>
          <w:sz w:val="24"/>
          <w:szCs w:val="24"/>
        </w:rPr>
        <w:t>入负面清单</w:t>
      </w:r>
      <w:r>
        <w:rPr>
          <w:rFonts w:ascii="宋体" w:hAnsi="宋体" w:eastAsia="宋体" w:cs="宋体"/>
          <w:spacing w:val="-75"/>
          <w:sz w:val="24"/>
          <w:szCs w:val="24"/>
        </w:rPr>
        <w:t xml:space="preserve"> </w:t>
      </w:r>
      <w:r>
        <w:rPr>
          <w:rFonts w:ascii="宋体" w:hAnsi="宋体" w:eastAsia="宋体" w:cs="宋体"/>
          <w:spacing w:val="-7"/>
          <w:sz w:val="24"/>
          <w:szCs w:val="24"/>
        </w:rPr>
        <w:t>’（以下简称‘三线一单</w:t>
      </w:r>
      <w:r>
        <w:rPr>
          <w:rFonts w:ascii="宋体" w:hAnsi="宋体" w:eastAsia="宋体" w:cs="宋体"/>
          <w:spacing w:val="-87"/>
          <w:sz w:val="24"/>
          <w:szCs w:val="24"/>
        </w:rPr>
        <w:t xml:space="preserve"> </w:t>
      </w:r>
      <w:r>
        <w:rPr>
          <w:rFonts w:ascii="宋体" w:hAnsi="宋体" w:eastAsia="宋体" w:cs="宋体"/>
          <w:spacing w:val="-7"/>
          <w:sz w:val="24"/>
          <w:szCs w:val="24"/>
        </w:rPr>
        <w:t>’）约束</w:t>
      </w:r>
      <w:r>
        <w:rPr>
          <w:rFonts w:ascii="宋体" w:hAnsi="宋体" w:eastAsia="宋体" w:cs="宋体"/>
          <w:spacing w:val="-88"/>
          <w:sz w:val="24"/>
          <w:szCs w:val="24"/>
        </w:rPr>
        <w:t xml:space="preserve"> </w:t>
      </w:r>
      <w:r>
        <w:rPr>
          <w:rFonts w:ascii="宋体" w:hAnsi="宋体" w:eastAsia="宋体" w:cs="宋体"/>
          <w:spacing w:val="-7"/>
          <w:sz w:val="24"/>
          <w:szCs w:val="24"/>
        </w:rPr>
        <w:t>”。本项目与“三线一单</w:t>
      </w:r>
      <w:r>
        <w:rPr>
          <w:rFonts w:ascii="宋体" w:hAnsi="宋体" w:eastAsia="宋体" w:cs="宋体"/>
          <w:spacing w:val="-89"/>
          <w:sz w:val="24"/>
          <w:szCs w:val="24"/>
        </w:rPr>
        <w:t xml:space="preserve"> </w:t>
      </w:r>
      <w:r>
        <w:rPr>
          <w:rFonts w:ascii="宋体" w:hAnsi="宋体" w:eastAsia="宋体" w:cs="宋体"/>
          <w:spacing w:val="-7"/>
          <w:sz w:val="24"/>
          <w:szCs w:val="24"/>
        </w:rPr>
        <w:t>”的符合</w:t>
      </w:r>
      <w:r>
        <w:rPr>
          <w:rFonts w:ascii="宋体" w:hAnsi="宋体" w:eastAsia="宋体" w:cs="宋体"/>
          <w:sz w:val="24"/>
          <w:szCs w:val="24"/>
        </w:rPr>
        <w:t xml:space="preserve"> </w:t>
      </w:r>
      <w:r>
        <w:rPr>
          <w:rFonts w:ascii="宋体" w:hAnsi="宋体" w:eastAsia="宋体" w:cs="宋体"/>
          <w:spacing w:val="-2"/>
          <w:sz w:val="24"/>
          <w:szCs w:val="24"/>
        </w:rPr>
        <w:t>性分析如下：</w:t>
      </w:r>
    </w:p>
    <w:p w14:paraId="016155E3">
      <w:pPr>
        <w:spacing w:line="220"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）生态保护红线</w:t>
      </w:r>
    </w:p>
    <w:p w14:paraId="28014F35">
      <w:pPr>
        <w:spacing w:before="188" w:line="360" w:lineRule="auto"/>
        <w:ind w:left="22" w:firstLine="480"/>
        <w:rPr>
          <w:rFonts w:ascii="宋体" w:hAnsi="宋体" w:eastAsia="宋体" w:cs="宋体"/>
          <w:sz w:val="24"/>
          <w:szCs w:val="24"/>
        </w:rPr>
      </w:pPr>
      <w:r>
        <w:rPr>
          <w:rFonts w:ascii="宋体" w:hAnsi="宋体" w:eastAsia="宋体" w:cs="宋体"/>
          <w:spacing w:val="-4"/>
          <w:sz w:val="24"/>
          <w:szCs w:val="24"/>
        </w:rPr>
        <w:t>根据《锡林郭勒盟“三线一单</w:t>
      </w:r>
      <w:r>
        <w:rPr>
          <w:rFonts w:ascii="宋体" w:hAnsi="宋体" w:eastAsia="宋体" w:cs="宋体"/>
          <w:spacing w:val="-88"/>
          <w:sz w:val="24"/>
          <w:szCs w:val="24"/>
        </w:rPr>
        <w:t xml:space="preserve"> </w:t>
      </w:r>
      <w:r>
        <w:rPr>
          <w:rFonts w:ascii="宋体" w:hAnsi="宋体" w:eastAsia="宋体" w:cs="宋体"/>
          <w:spacing w:val="-4"/>
          <w:sz w:val="24"/>
          <w:szCs w:val="24"/>
        </w:rPr>
        <w:t>”研究报告》，锡林郭勒盟生态保护</w:t>
      </w:r>
      <w:r>
        <w:rPr>
          <w:rFonts w:ascii="宋体" w:hAnsi="宋体" w:eastAsia="宋体" w:cs="宋体"/>
          <w:spacing w:val="-5"/>
          <w:sz w:val="24"/>
          <w:szCs w:val="24"/>
        </w:rPr>
        <w:t>红线划定</w:t>
      </w:r>
      <w:r>
        <w:rPr>
          <w:rFonts w:ascii="宋体" w:hAnsi="宋体" w:eastAsia="宋体" w:cs="宋体"/>
          <w:sz w:val="24"/>
          <w:szCs w:val="24"/>
        </w:rPr>
        <w:t xml:space="preserve"> </w:t>
      </w:r>
      <w:r>
        <w:rPr>
          <w:rFonts w:ascii="宋体" w:hAnsi="宋体" w:eastAsia="宋体" w:cs="宋体"/>
          <w:spacing w:val="-7"/>
          <w:sz w:val="24"/>
          <w:szCs w:val="24"/>
        </w:rPr>
        <w:t>面积为</w:t>
      </w:r>
      <w:r>
        <w:rPr>
          <w:rFonts w:ascii="宋体" w:hAnsi="宋体" w:eastAsia="宋体" w:cs="宋体"/>
          <w:spacing w:val="33"/>
          <w:sz w:val="24"/>
          <w:szCs w:val="24"/>
        </w:rPr>
        <w:t xml:space="preserve"> </w:t>
      </w:r>
      <w:r>
        <w:rPr>
          <w:rFonts w:ascii="Times New Roman" w:hAnsi="Times New Roman" w:eastAsia="Times New Roman" w:cs="Times New Roman"/>
          <w:spacing w:val="-7"/>
          <w:sz w:val="24"/>
          <w:szCs w:val="24"/>
        </w:rPr>
        <w:t>130178.75km</w:t>
      </w:r>
      <w:r>
        <w:rPr>
          <w:rFonts w:ascii="Times New Roman" w:hAnsi="Times New Roman" w:eastAsia="Times New Roman" w:cs="Times New Roman"/>
          <w:spacing w:val="-7"/>
          <w:position w:val="7"/>
          <w:sz w:val="15"/>
          <w:szCs w:val="15"/>
        </w:rPr>
        <w:t>2</w:t>
      </w:r>
      <w:r>
        <w:rPr>
          <w:rFonts w:ascii="宋体" w:hAnsi="宋体" w:eastAsia="宋体" w:cs="宋体"/>
          <w:spacing w:val="-7"/>
          <w:sz w:val="24"/>
          <w:szCs w:val="24"/>
        </w:rPr>
        <w:t>，占全盟国土面积的</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65.06%</w:t>
      </w:r>
      <w:r>
        <w:rPr>
          <w:rFonts w:ascii="宋体" w:hAnsi="宋体" w:eastAsia="宋体" w:cs="宋体"/>
          <w:spacing w:val="-7"/>
          <w:sz w:val="24"/>
          <w:szCs w:val="24"/>
        </w:rPr>
        <w:t>。锡林郭勒盟生态空间呈现“五</w:t>
      </w:r>
      <w:r>
        <w:rPr>
          <w:rFonts w:ascii="宋体" w:hAnsi="宋体" w:eastAsia="宋体" w:cs="宋体"/>
          <w:sz w:val="24"/>
          <w:szCs w:val="24"/>
        </w:rPr>
        <w:t xml:space="preserve"> </w:t>
      </w:r>
      <w:r>
        <w:rPr>
          <w:rFonts w:ascii="宋体" w:hAnsi="宋体" w:eastAsia="宋体" w:cs="宋体"/>
          <w:spacing w:val="-9"/>
          <w:sz w:val="24"/>
          <w:szCs w:val="24"/>
        </w:rPr>
        <w:t>区、九带、多点</w:t>
      </w:r>
      <w:r>
        <w:rPr>
          <w:rFonts w:ascii="宋体" w:hAnsi="宋体" w:eastAsia="宋体" w:cs="宋体"/>
          <w:spacing w:val="-88"/>
          <w:sz w:val="24"/>
          <w:szCs w:val="24"/>
        </w:rPr>
        <w:t xml:space="preserve"> </w:t>
      </w:r>
      <w:r>
        <w:rPr>
          <w:rFonts w:ascii="宋体" w:hAnsi="宋体" w:eastAsia="宋体" w:cs="宋体"/>
          <w:spacing w:val="-9"/>
          <w:sz w:val="24"/>
          <w:szCs w:val="24"/>
        </w:rPr>
        <w:t>”的生态安全格局。“五区</w:t>
      </w:r>
      <w:r>
        <w:rPr>
          <w:rFonts w:ascii="宋体" w:hAnsi="宋体" w:eastAsia="宋体" w:cs="宋体"/>
          <w:spacing w:val="-88"/>
          <w:sz w:val="24"/>
          <w:szCs w:val="24"/>
        </w:rPr>
        <w:t xml:space="preserve"> </w:t>
      </w:r>
      <w:r>
        <w:rPr>
          <w:rFonts w:ascii="宋体" w:hAnsi="宋体" w:eastAsia="宋体" w:cs="宋体"/>
          <w:spacing w:val="-9"/>
          <w:sz w:val="24"/>
          <w:szCs w:val="24"/>
        </w:rPr>
        <w:t>”指东部生物多样性维持生态功</w:t>
      </w:r>
      <w:r>
        <w:rPr>
          <w:rFonts w:ascii="宋体" w:hAnsi="宋体" w:eastAsia="宋体" w:cs="宋体"/>
          <w:spacing w:val="-10"/>
          <w:sz w:val="24"/>
          <w:szCs w:val="24"/>
        </w:rPr>
        <w:t>能区、</w:t>
      </w:r>
      <w:r>
        <w:rPr>
          <w:rFonts w:ascii="宋体" w:hAnsi="宋体" w:eastAsia="宋体" w:cs="宋体"/>
          <w:sz w:val="24"/>
          <w:szCs w:val="24"/>
        </w:rPr>
        <w:t xml:space="preserve"> </w:t>
      </w:r>
      <w:r>
        <w:rPr>
          <w:rFonts w:ascii="宋体" w:hAnsi="宋体" w:eastAsia="宋体" w:cs="宋体"/>
          <w:spacing w:val="-3"/>
          <w:sz w:val="24"/>
          <w:szCs w:val="24"/>
        </w:rPr>
        <w:t>中部防风固沙生态功能区、中东部水源涵养生态功能区、南部水土保持生态功能</w:t>
      </w:r>
      <w:r>
        <w:rPr>
          <w:rFonts w:ascii="宋体" w:hAnsi="宋体" w:eastAsia="宋体" w:cs="宋体"/>
          <w:spacing w:val="1"/>
          <w:sz w:val="24"/>
          <w:szCs w:val="24"/>
        </w:rPr>
        <w:t xml:space="preserve"> </w:t>
      </w:r>
      <w:r>
        <w:rPr>
          <w:rFonts w:ascii="宋体" w:hAnsi="宋体" w:eastAsia="宋体" w:cs="宋体"/>
          <w:spacing w:val="-4"/>
          <w:sz w:val="24"/>
          <w:szCs w:val="24"/>
        </w:rPr>
        <w:t>区和西南部防风固沙与水土保持生态功能区；“九带</w:t>
      </w:r>
      <w:r>
        <w:rPr>
          <w:rFonts w:ascii="宋体" w:hAnsi="宋体" w:eastAsia="宋体" w:cs="宋体"/>
          <w:spacing w:val="-86"/>
          <w:sz w:val="24"/>
          <w:szCs w:val="24"/>
        </w:rPr>
        <w:t xml:space="preserve"> </w:t>
      </w:r>
      <w:r>
        <w:rPr>
          <w:rFonts w:ascii="宋体" w:hAnsi="宋体" w:eastAsia="宋体" w:cs="宋体"/>
          <w:spacing w:val="-4"/>
          <w:sz w:val="24"/>
          <w:szCs w:val="24"/>
        </w:rPr>
        <w:t>”指依托内蒙古自治区锡林</w:t>
      </w:r>
      <w:r>
        <w:rPr>
          <w:rFonts w:ascii="宋体" w:hAnsi="宋体" w:eastAsia="宋体" w:cs="宋体"/>
          <w:sz w:val="24"/>
          <w:szCs w:val="24"/>
        </w:rPr>
        <w:t xml:space="preserve"> </w:t>
      </w:r>
      <w:r>
        <w:rPr>
          <w:rFonts w:ascii="宋体" w:hAnsi="宋体" w:eastAsia="宋体" w:cs="宋体"/>
          <w:spacing w:val="-3"/>
          <w:sz w:val="24"/>
          <w:szCs w:val="24"/>
        </w:rPr>
        <w:t>郭勒盟境内的东部的乌拉盖水系、中部地区的呼尔查干诺尔水系和南部地区的滦</w:t>
      </w:r>
      <w:r>
        <w:rPr>
          <w:rFonts w:ascii="宋体" w:hAnsi="宋体" w:eastAsia="宋体" w:cs="宋体"/>
          <w:spacing w:val="1"/>
          <w:sz w:val="24"/>
          <w:szCs w:val="24"/>
        </w:rPr>
        <w:t xml:space="preserve"> </w:t>
      </w:r>
      <w:r>
        <w:rPr>
          <w:rFonts w:ascii="宋体" w:hAnsi="宋体" w:eastAsia="宋体" w:cs="宋体"/>
          <w:spacing w:val="-3"/>
          <w:sz w:val="24"/>
          <w:szCs w:val="24"/>
        </w:rPr>
        <w:t>河水系。水系沿岸形成包含乌拉盖水系、高日罕高勒、巴拉格日郭勒、伊和吉位</w:t>
      </w:r>
      <w:r>
        <w:rPr>
          <w:rFonts w:ascii="宋体" w:hAnsi="宋体" w:eastAsia="宋体" w:cs="宋体"/>
          <w:spacing w:val="1"/>
          <w:sz w:val="24"/>
          <w:szCs w:val="24"/>
        </w:rPr>
        <w:t xml:space="preserve"> </w:t>
      </w:r>
      <w:r>
        <w:rPr>
          <w:rFonts w:ascii="宋体" w:hAnsi="宋体" w:eastAsia="宋体" w:cs="宋体"/>
          <w:spacing w:val="-3"/>
          <w:sz w:val="24"/>
          <w:szCs w:val="24"/>
        </w:rPr>
        <w:t>高勒、锡林高勒、巴拉噶尔郭勒、哈布日嘎高勒、套海音呼都格高勒、滦河九条</w:t>
      </w:r>
      <w:r>
        <w:rPr>
          <w:rFonts w:ascii="宋体" w:hAnsi="宋体" w:eastAsia="宋体" w:cs="宋体"/>
          <w:spacing w:val="1"/>
          <w:sz w:val="24"/>
          <w:szCs w:val="24"/>
        </w:rPr>
        <w:t xml:space="preserve"> </w:t>
      </w:r>
      <w:r>
        <w:rPr>
          <w:rFonts w:ascii="宋体" w:hAnsi="宋体" w:eastAsia="宋体" w:cs="宋体"/>
          <w:spacing w:val="-4"/>
          <w:sz w:val="24"/>
          <w:szCs w:val="24"/>
        </w:rPr>
        <w:t>河流构成锡林郭勒盟带状格局；“多点</w:t>
      </w:r>
      <w:r>
        <w:rPr>
          <w:rFonts w:ascii="宋体" w:hAnsi="宋体" w:eastAsia="宋体" w:cs="宋体"/>
          <w:spacing w:val="-84"/>
          <w:sz w:val="24"/>
          <w:szCs w:val="24"/>
        </w:rPr>
        <w:t xml:space="preserve"> </w:t>
      </w:r>
      <w:r>
        <w:rPr>
          <w:rFonts w:ascii="宋体" w:hAnsi="宋体" w:eastAsia="宋体" w:cs="宋体"/>
          <w:spacing w:val="-4"/>
          <w:sz w:val="24"/>
          <w:szCs w:val="24"/>
        </w:rPr>
        <w:t>”指依托锡林郭勒盟自然保护地、水源地</w:t>
      </w:r>
      <w:r>
        <w:rPr>
          <w:rFonts w:ascii="宋体" w:hAnsi="宋体" w:eastAsia="宋体" w:cs="宋体"/>
          <w:sz w:val="24"/>
          <w:szCs w:val="24"/>
        </w:rPr>
        <w:t xml:space="preserve"> </w:t>
      </w:r>
      <w:r>
        <w:rPr>
          <w:rFonts w:ascii="宋体" w:hAnsi="宋体" w:eastAsia="宋体" w:cs="宋体"/>
          <w:spacing w:val="-3"/>
          <w:sz w:val="24"/>
          <w:szCs w:val="24"/>
        </w:rPr>
        <w:t>保护规划和自然保护区为主的生态区域。主要点状格局主要包括锡林郭勒盟草原</w:t>
      </w:r>
      <w:r>
        <w:rPr>
          <w:rFonts w:ascii="宋体" w:hAnsi="宋体" w:eastAsia="宋体" w:cs="宋体"/>
          <w:spacing w:val="1"/>
          <w:sz w:val="24"/>
          <w:szCs w:val="24"/>
        </w:rPr>
        <w:t xml:space="preserve"> </w:t>
      </w:r>
      <w:r>
        <w:rPr>
          <w:rFonts w:ascii="宋体" w:hAnsi="宋体" w:eastAsia="宋体" w:cs="宋体"/>
          <w:spacing w:val="-2"/>
          <w:sz w:val="24"/>
          <w:szCs w:val="24"/>
        </w:rPr>
        <w:t>国家自然保护区、古日格斯台国家级自然保护区、二连盆地恐龙化石保护区、白</w:t>
      </w:r>
    </w:p>
    <w:p w14:paraId="50CAC827">
      <w:pPr>
        <w:spacing w:line="360" w:lineRule="auto"/>
        <w:rPr>
          <w:rFonts w:ascii="宋体" w:hAnsi="宋体" w:eastAsia="宋体" w:cs="宋体"/>
          <w:sz w:val="24"/>
          <w:szCs w:val="24"/>
        </w:rPr>
        <w:sectPr>
          <w:headerReference r:id="rId409" w:type="default"/>
          <w:footerReference r:id="rId410" w:type="default"/>
          <w:pgSz w:w="11906" w:h="16839"/>
          <w:pgMar w:top="1208" w:right="1719" w:bottom="1358" w:left="1785" w:header="825" w:footer="1195" w:gutter="0"/>
          <w:cols w:space="720" w:num="1"/>
        </w:sectPr>
      </w:pPr>
    </w:p>
    <w:p w14:paraId="6EF1BD74">
      <w:pPr>
        <w:pStyle w:val="2"/>
        <w:spacing w:line="265" w:lineRule="auto"/>
      </w:pPr>
    </w:p>
    <w:p w14:paraId="6F63F913">
      <w:pPr>
        <w:spacing w:before="78" w:line="360" w:lineRule="auto"/>
        <w:ind w:left="24" w:right="80"/>
        <w:rPr>
          <w:rFonts w:ascii="宋体" w:hAnsi="宋体" w:eastAsia="宋体" w:cs="宋体"/>
          <w:sz w:val="24"/>
          <w:szCs w:val="24"/>
        </w:rPr>
      </w:pPr>
      <w:r>
        <w:rPr>
          <w:rFonts w:ascii="宋体" w:hAnsi="宋体" w:eastAsia="宋体" w:cs="宋体"/>
          <w:spacing w:val="-3"/>
          <w:sz w:val="24"/>
          <w:szCs w:val="24"/>
        </w:rPr>
        <w:t>音库伦遗鸥保护区、苏尼特（都呼木柄扁桃）保护区、贺斯格淖尔保护区、乌拉</w:t>
      </w:r>
      <w:r>
        <w:rPr>
          <w:rFonts w:ascii="宋体" w:hAnsi="宋体" w:eastAsia="宋体" w:cs="宋体"/>
          <w:sz w:val="24"/>
          <w:szCs w:val="24"/>
        </w:rPr>
        <w:t xml:space="preserve"> </w:t>
      </w:r>
      <w:r>
        <w:rPr>
          <w:rFonts w:ascii="宋体" w:hAnsi="宋体" w:eastAsia="宋体" w:cs="宋体"/>
          <w:spacing w:val="-2"/>
          <w:sz w:val="24"/>
          <w:szCs w:val="24"/>
        </w:rPr>
        <w:t xml:space="preserve">盖湿地保护区等 </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个点状格局分布。</w:t>
      </w:r>
    </w:p>
    <w:p w14:paraId="7EB4B042">
      <w:pPr>
        <w:spacing w:before="4" w:line="360" w:lineRule="auto"/>
        <w:ind w:left="23" w:right="80" w:firstLine="481"/>
        <w:jc w:val="both"/>
        <w:rPr>
          <w:rFonts w:ascii="宋体" w:hAnsi="宋体" w:eastAsia="宋体" w:cs="宋体"/>
          <w:sz w:val="24"/>
          <w:szCs w:val="24"/>
        </w:rPr>
      </w:pPr>
      <w:r>
        <w:drawing>
          <wp:anchor distT="0" distB="0" distL="0" distR="0" simplePos="0" relativeHeight="251759616" behindDoc="1" locked="0" layoutInCell="1" allowOverlap="1">
            <wp:simplePos x="0" y="0"/>
            <wp:positionH relativeFrom="column">
              <wp:posOffset>8890</wp:posOffset>
            </wp:positionH>
            <wp:positionV relativeFrom="paragraph">
              <wp:posOffset>1186180</wp:posOffset>
            </wp:positionV>
            <wp:extent cx="5056505" cy="318833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544"/>
                    <a:stretch>
                      <a:fillRect/>
                    </a:stretch>
                  </pic:blipFill>
                  <pic:spPr>
                    <a:xfrm>
                      <a:off x="0" y="0"/>
                      <a:ext cx="5056632" cy="3188208"/>
                    </a:xfrm>
                    <a:prstGeom prst="rect">
                      <a:avLst/>
                    </a:prstGeom>
                  </pic:spPr>
                </pic:pic>
              </a:graphicData>
            </a:graphic>
          </wp:anchor>
        </w:drawing>
      </w:r>
      <w:r>
        <w:rPr>
          <w:rFonts w:ascii="宋体" w:hAnsi="宋体" w:eastAsia="宋体" w:cs="宋体"/>
          <w:spacing w:val="-3"/>
          <w:sz w:val="24"/>
          <w:szCs w:val="24"/>
        </w:rPr>
        <w:t>经调查本项目评价范围内无饮用水水源地、自然保护区、风</w:t>
      </w:r>
      <w:r>
        <w:rPr>
          <w:rFonts w:ascii="宋体" w:hAnsi="宋体" w:eastAsia="宋体" w:cs="宋体"/>
          <w:spacing w:val="-4"/>
          <w:sz w:val="24"/>
          <w:szCs w:val="24"/>
        </w:rPr>
        <w:t>景名胜区等特殊</w:t>
      </w:r>
      <w:r>
        <w:rPr>
          <w:rFonts w:ascii="宋体" w:hAnsi="宋体" w:eastAsia="宋体" w:cs="宋体"/>
          <w:sz w:val="24"/>
          <w:szCs w:val="24"/>
        </w:rPr>
        <w:t xml:space="preserve"> </w:t>
      </w:r>
      <w:r>
        <w:rPr>
          <w:rFonts w:ascii="宋体" w:hAnsi="宋体" w:eastAsia="宋体" w:cs="宋体"/>
          <w:spacing w:val="-3"/>
          <w:sz w:val="24"/>
          <w:szCs w:val="24"/>
        </w:rPr>
        <w:t>环境敏感区，不涉及重要生态功能区、生态敏感脆弱区、禁止开发区域以及其他</w:t>
      </w:r>
      <w:r>
        <w:rPr>
          <w:rFonts w:ascii="宋体" w:hAnsi="宋体" w:eastAsia="宋体" w:cs="宋体"/>
          <w:spacing w:val="1"/>
          <w:sz w:val="24"/>
          <w:szCs w:val="24"/>
        </w:rPr>
        <w:t xml:space="preserve"> </w:t>
      </w:r>
      <w:r>
        <w:rPr>
          <w:rFonts w:ascii="宋体" w:hAnsi="宋体" w:eastAsia="宋体" w:cs="宋体"/>
          <w:spacing w:val="-4"/>
          <w:sz w:val="24"/>
          <w:szCs w:val="24"/>
        </w:rPr>
        <w:t>各类保护地，不在上述“五区、九带、多点</w:t>
      </w:r>
      <w:r>
        <w:rPr>
          <w:rFonts w:ascii="宋体" w:hAnsi="宋体" w:eastAsia="宋体" w:cs="宋体"/>
          <w:spacing w:val="-87"/>
          <w:sz w:val="24"/>
          <w:szCs w:val="24"/>
        </w:rPr>
        <w:t xml:space="preserve"> </w:t>
      </w:r>
      <w:r>
        <w:rPr>
          <w:rFonts w:ascii="宋体" w:hAnsi="宋体" w:eastAsia="宋体" w:cs="宋体"/>
          <w:spacing w:val="-4"/>
          <w:sz w:val="24"/>
          <w:szCs w:val="24"/>
        </w:rPr>
        <w:t>”的生态安全格局范围内，对照“锡</w:t>
      </w:r>
      <w:r>
        <w:rPr>
          <w:rFonts w:ascii="宋体" w:hAnsi="宋体" w:eastAsia="宋体" w:cs="宋体"/>
          <w:sz w:val="24"/>
          <w:szCs w:val="24"/>
        </w:rPr>
        <w:t xml:space="preserve"> </w:t>
      </w:r>
      <w:r>
        <w:rPr>
          <w:rFonts w:ascii="宋体" w:hAnsi="宋体" w:eastAsia="宋体" w:cs="宋体"/>
          <w:spacing w:val="-1"/>
          <w:sz w:val="24"/>
          <w:szCs w:val="24"/>
        </w:rPr>
        <w:t>林郭勒盟生态保护红线分布图</w:t>
      </w:r>
      <w:r>
        <w:rPr>
          <w:rFonts w:ascii="宋体" w:hAnsi="宋体" w:eastAsia="宋体" w:cs="宋体"/>
          <w:spacing w:val="-88"/>
          <w:sz w:val="24"/>
          <w:szCs w:val="24"/>
        </w:rPr>
        <w:t xml:space="preserve"> </w:t>
      </w:r>
      <w:r>
        <w:rPr>
          <w:rFonts w:ascii="宋体" w:hAnsi="宋体" w:eastAsia="宋体" w:cs="宋体"/>
          <w:spacing w:val="-1"/>
          <w:sz w:val="24"/>
          <w:szCs w:val="24"/>
        </w:rPr>
        <w:t>”，本项目所在位置不在生</w:t>
      </w:r>
      <w:r>
        <w:rPr>
          <w:rFonts w:ascii="宋体" w:hAnsi="宋体" w:eastAsia="宋体" w:cs="宋体"/>
          <w:spacing w:val="-2"/>
          <w:sz w:val="24"/>
          <w:szCs w:val="24"/>
        </w:rPr>
        <w:t>态保护红线范围内。</w:t>
      </w:r>
    </w:p>
    <w:p w14:paraId="1DDA77FC">
      <w:pPr>
        <w:pStyle w:val="2"/>
        <w:spacing w:line="419" w:lineRule="auto"/>
      </w:pPr>
    </w:p>
    <w:p w14:paraId="7E02B507">
      <w:pPr>
        <w:spacing w:line="806" w:lineRule="exact"/>
        <w:ind w:firstLine="3891"/>
      </w:pPr>
      <w:r>
        <w:rPr>
          <w:position w:val="-16"/>
        </w:rPr>
        <w:pict>
          <v:group id="_x0000_s1047" o:spid="_x0000_s1047" o:spt="203" style="height:40.3pt;width:80.45pt;" coordsize="1608,805">
            <o:lock v:ext="edit"/>
            <v:shape id="_x0000_s1048" o:spid="_x0000_s1048" o:spt="75" type="#_x0000_t75" style="position:absolute;left:0;top:0;height:805;width:1608;" filled="f" stroked="f" coordsize="21600,21600">
              <v:path/>
              <v:fill on="f" focussize="0,0"/>
              <v:stroke on="f"/>
              <v:imagedata r:id="rId545" o:title=""/>
              <o:lock v:ext="edit" aspectratio="t"/>
            </v:shape>
            <v:shape id="_x0000_s1049" o:spid="_x0000_s1049" o:spt="202" type="#_x0000_t202" style="position:absolute;left:-20;top:-20;height:845;width:1648;" filled="f" stroked="f" coordsize="21600,21600">
              <v:path/>
              <v:fill on="f" focussize="0,0"/>
              <v:stroke on="f"/>
              <v:imagedata o:title=""/>
              <o:lock v:ext="edit" aspectratio="f"/>
              <v:textbox inset="0mm,0mm,0mm,0mm">
                <w:txbxContent>
                  <w:p w14:paraId="75E1162E">
                    <w:pPr>
                      <w:spacing w:before="173" w:line="220" w:lineRule="auto"/>
                      <w:ind w:left="221"/>
                      <w:rPr>
                        <w:rFonts w:ascii="宋体" w:hAnsi="宋体" w:eastAsia="宋体" w:cs="宋体"/>
                        <w:sz w:val="24"/>
                        <w:szCs w:val="24"/>
                      </w:rPr>
                    </w:pPr>
                    <w:r>
                      <w:rPr>
                        <w:rFonts w:ascii="宋体" w:hAnsi="宋体" w:eastAsia="宋体" w:cs="宋体"/>
                        <w:spacing w:val="-4"/>
                        <w:sz w:val="24"/>
                        <w:szCs w:val="24"/>
                      </w:rPr>
                      <w:t>项目位置</w:t>
                    </w:r>
                  </w:p>
                </w:txbxContent>
              </v:textbox>
            </v:shape>
            <w10:wrap type="none"/>
            <w10:anchorlock/>
          </v:group>
        </w:pict>
      </w:r>
    </w:p>
    <w:p w14:paraId="083436FE">
      <w:pPr>
        <w:pStyle w:val="2"/>
        <w:spacing w:line="241" w:lineRule="auto"/>
      </w:pPr>
    </w:p>
    <w:p w14:paraId="32172580">
      <w:pPr>
        <w:pStyle w:val="2"/>
        <w:spacing w:line="242" w:lineRule="auto"/>
      </w:pPr>
    </w:p>
    <w:p w14:paraId="3C700BF4">
      <w:pPr>
        <w:pStyle w:val="2"/>
        <w:spacing w:line="242" w:lineRule="auto"/>
      </w:pPr>
    </w:p>
    <w:p w14:paraId="7C493459">
      <w:pPr>
        <w:pStyle w:val="2"/>
        <w:spacing w:line="242" w:lineRule="auto"/>
      </w:pPr>
    </w:p>
    <w:p w14:paraId="7E50056B">
      <w:pPr>
        <w:pStyle w:val="2"/>
        <w:spacing w:line="242" w:lineRule="auto"/>
      </w:pPr>
    </w:p>
    <w:p w14:paraId="30B6A259">
      <w:pPr>
        <w:pStyle w:val="2"/>
        <w:spacing w:line="242" w:lineRule="auto"/>
      </w:pPr>
    </w:p>
    <w:p w14:paraId="3FEC5B59">
      <w:pPr>
        <w:pStyle w:val="2"/>
        <w:spacing w:line="242" w:lineRule="auto"/>
      </w:pPr>
    </w:p>
    <w:p w14:paraId="47AF9E59">
      <w:pPr>
        <w:pStyle w:val="2"/>
        <w:spacing w:line="242" w:lineRule="auto"/>
      </w:pPr>
    </w:p>
    <w:p w14:paraId="2D5A5B11">
      <w:pPr>
        <w:pStyle w:val="2"/>
        <w:spacing w:line="242" w:lineRule="auto"/>
      </w:pPr>
    </w:p>
    <w:p w14:paraId="3453A1F4">
      <w:pPr>
        <w:pStyle w:val="2"/>
        <w:spacing w:line="242" w:lineRule="auto"/>
      </w:pPr>
    </w:p>
    <w:p w14:paraId="661BA91D">
      <w:pPr>
        <w:pStyle w:val="2"/>
        <w:spacing w:line="242" w:lineRule="auto"/>
      </w:pPr>
    </w:p>
    <w:p w14:paraId="4ACC5F77">
      <w:pPr>
        <w:pStyle w:val="2"/>
        <w:spacing w:line="242" w:lineRule="auto"/>
      </w:pPr>
    </w:p>
    <w:p w14:paraId="74EEFA88">
      <w:pPr>
        <w:pStyle w:val="2"/>
        <w:spacing w:line="242" w:lineRule="auto"/>
      </w:pPr>
    </w:p>
    <w:p w14:paraId="550782DD">
      <w:pPr>
        <w:pStyle w:val="2"/>
        <w:spacing w:line="242" w:lineRule="auto"/>
      </w:pPr>
    </w:p>
    <w:p w14:paraId="0BC56D3C">
      <w:pPr>
        <w:pStyle w:val="2"/>
        <w:spacing w:line="242" w:lineRule="auto"/>
      </w:pPr>
    </w:p>
    <w:p w14:paraId="03D24531">
      <w:pPr>
        <w:spacing w:before="78" w:line="121" w:lineRule="exact"/>
        <w:ind w:left="8007"/>
        <w:rPr>
          <w:rFonts w:ascii="宋体" w:hAnsi="宋体" w:eastAsia="宋体" w:cs="宋体"/>
          <w:sz w:val="24"/>
          <w:szCs w:val="24"/>
        </w:rPr>
      </w:pPr>
      <w:r>
        <w:rPr>
          <w:rFonts w:ascii="宋体" w:hAnsi="宋体" w:eastAsia="宋体" w:cs="宋体"/>
          <w:position w:val="1"/>
          <w:sz w:val="24"/>
          <w:szCs w:val="24"/>
        </w:rPr>
        <w:t>。</w:t>
      </w:r>
    </w:p>
    <w:p w14:paraId="6B9E5A23">
      <w:pPr>
        <w:spacing w:before="220" w:line="219" w:lineRule="auto"/>
        <w:ind w:left="2060"/>
        <w:rPr>
          <w:rFonts w:ascii="宋体" w:hAnsi="宋体" w:eastAsia="宋体" w:cs="宋体"/>
          <w:sz w:val="24"/>
          <w:szCs w:val="24"/>
        </w:rPr>
      </w:pPr>
      <w:r>
        <w:rPr>
          <w:rFonts w:ascii="宋体" w:hAnsi="宋体" w:eastAsia="宋体" w:cs="宋体"/>
          <w:spacing w:val="-3"/>
          <w:sz w:val="24"/>
          <w:szCs w:val="24"/>
        </w:rPr>
        <w:t xml:space="preserve">图 </w:t>
      </w:r>
      <w:r>
        <w:rPr>
          <w:rFonts w:ascii="Times New Roman" w:hAnsi="Times New Roman" w:eastAsia="Times New Roman" w:cs="Times New Roman"/>
          <w:spacing w:val="-3"/>
          <w:sz w:val="24"/>
          <w:szCs w:val="24"/>
        </w:rPr>
        <w:t>10-1</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锡林郭勒盟生态保护红线分布图</w:t>
      </w:r>
    </w:p>
    <w:p w14:paraId="780C59D3">
      <w:pPr>
        <w:spacing w:before="250" w:line="369" w:lineRule="auto"/>
        <w:ind w:left="23" w:firstLine="480"/>
        <w:jc w:val="both"/>
        <w:rPr>
          <w:rFonts w:ascii="宋体" w:hAnsi="宋体" w:eastAsia="宋体" w:cs="宋体"/>
          <w:sz w:val="24"/>
          <w:szCs w:val="24"/>
        </w:rPr>
      </w:pPr>
      <w:r>
        <w:rPr>
          <w:rFonts w:ascii="宋体" w:hAnsi="宋体" w:eastAsia="宋体" w:cs="宋体"/>
          <w:spacing w:val="-1"/>
          <w:sz w:val="24"/>
          <w:szCs w:val="24"/>
        </w:rPr>
        <w:t>根据《锡林郭勒盟行政公署关于实施</w:t>
      </w:r>
      <w:r>
        <w:rPr>
          <w:rFonts w:ascii="Times New Roman" w:hAnsi="Times New Roman" w:eastAsia="Times New Roman" w:cs="Times New Roman"/>
          <w:spacing w:val="-1"/>
          <w:sz w:val="24"/>
          <w:szCs w:val="24"/>
        </w:rPr>
        <w:t>“</w:t>
      </w:r>
      <w:r>
        <w:rPr>
          <w:rFonts w:ascii="宋体" w:hAnsi="宋体" w:eastAsia="宋体" w:cs="宋体"/>
          <w:spacing w:val="-1"/>
          <w:sz w:val="24"/>
          <w:szCs w:val="24"/>
        </w:rPr>
        <w:t>三线一单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生态环境分区管控的意见》</w:t>
      </w:r>
      <w:r>
        <w:rPr>
          <w:rFonts w:ascii="宋体" w:hAnsi="宋体" w:eastAsia="宋体" w:cs="宋体"/>
          <w:spacing w:val="14"/>
          <w:sz w:val="24"/>
          <w:szCs w:val="24"/>
        </w:rPr>
        <w:t xml:space="preserve"> </w:t>
      </w:r>
      <w:r>
        <w:rPr>
          <w:rFonts w:ascii="宋体" w:hAnsi="宋体" w:eastAsia="宋体" w:cs="宋体"/>
          <w:spacing w:val="-3"/>
          <w:sz w:val="24"/>
          <w:szCs w:val="24"/>
        </w:rPr>
        <w:t>（锡署发</w:t>
      </w:r>
      <w:r>
        <w:rPr>
          <w:rFonts w:ascii="Times New Roman" w:hAnsi="Times New Roman" w:eastAsia="Times New Roman" w:cs="Times New Roman"/>
          <w:spacing w:val="-3"/>
          <w:sz w:val="24"/>
          <w:szCs w:val="24"/>
        </w:rPr>
        <w:t xml:space="preserve">[2021]117 </w:t>
      </w:r>
      <w:r>
        <w:rPr>
          <w:rFonts w:ascii="宋体" w:hAnsi="宋体" w:eastAsia="宋体" w:cs="宋体"/>
          <w:spacing w:val="-3"/>
          <w:sz w:val="24"/>
          <w:szCs w:val="24"/>
        </w:rPr>
        <w:t>号</w:t>
      </w:r>
      <w:r>
        <w:rPr>
          <w:rFonts w:ascii="宋体" w:hAnsi="宋体" w:eastAsia="宋体" w:cs="宋体"/>
          <w:spacing w:val="-15"/>
          <w:sz w:val="24"/>
          <w:szCs w:val="24"/>
        </w:rPr>
        <w:t>），</w:t>
      </w:r>
      <w:r>
        <w:rPr>
          <w:rFonts w:ascii="宋体" w:hAnsi="宋体" w:eastAsia="宋体" w:cs="宋体"/>
          <w:spacing w:val="-3"/>
          <w:sz w:val="24"/>
          <w:szCs w:val="24"/>
        </w:rPr>
        <w:t>全盟共划分环境管控单元</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154 </w:t>
      </w:r>
      <w:r>
        <w:rPr>
          <w:rFonts w:ascii="宋体" w:hAnsi="宋体" w:eastAsia="宋体" w:cs="宋体"/>
          <w:spacing w:val="-3"/>
          <w:sz w:val="24"/>
          <w:szCs w:val="24"/>
        </w:rPr>
        <w:t>个，包括优先保护单元、</w:t>
      </w:r>
      <w:r>
        <w:rPr>
          <w:rFonts w:ascii="宋体" w:hAnsi="宋体" w:eastAsia="宋体" w:cs="宋体"/>
          <w:sz w:val="24"/>
          <w:szCs w:val="24"/>
        </w:rPr>
        <w:t xml:space="preserve"> </w:t>
      </w:r>
      <w:r>
        <w:rPr>
          <w:rFonts w:ascii="宋体" w:hAnsi="宋体" w:eastAsia="宋体" w:cs="宋体"/>
          <w:spacing w:val="-3"/>
          <w:sz w:val="24"/>
          <w:szCs w:val="24"/>
        </w:rPr>
        <w:t>重点管控单元、一般管控单元三类，实施分类管控。本项目位于内蒙古锡林郭勒</w:t>
      </w:r>
      <w:r>
        <w:rPr>
          <w:rFonts w:ascii="宋体" w:hAnsi="宋体" w:eastAsia="宋体" w:cs="宋体"/>
          <w:spacing w:val="1"/>
          <w:sz w:val="24"/>
          <w:szCs w:val="24"/>
        </w:rPr>
        <w:t xml:space="preserve"> 盟西乌珠穆沁旗采矿用地</w:t>
      </w:r>
      <w:r>
        <w:rPr>
          <w:rFonts w:ascii="Times New Roman" w:hAnsi="Times New Roman" w:eastAsia="Times New Roman" w:cs="Times New Roman"/>
          <w:spacing w:val="1"/>
          <w:sz w:val="24"/>
          <w:szCs w:val="24"/>
        </w:rPr>
        <w:t>”</w:t>
      </w:r>
      <w:r>
        <w:rPr>
          <w:rFonts w:ascii="宋体" w:hAnsi="宋体" w:eastAsia="宋体" w:cs="宋体"/>
          <w:spacing w:val="1"/>
          <w:sz w:val="24"/>
          <w:szCs w:val="24"/>
        </w:rPr>
        <w:t>管控单元，属于重点管控单元。重</w:t>
      </w:r>
      <w:r>
        <w:rPr>
          <w:rFonts w:ascii="宋体" w:hAnsi="宋体" w:eastAsia="宋体" w:cs="宋体"/>
          <w:sz w:val="24"/>
          <w:szCs w:val="24"/>
        </w:rPr>
        <w:t xml:space="preserve">点管控单元以产业 </w:t>
      </w:r>
      <w:r>
        <w:rPr>
          <w:rFonts w:ascii="宋体" w:hAnsi="宋体" w:eastAsia="宋体" w:cs="宋体"/>
          <w:spacing w:val="-3"/>
          <w:sz w:val="24"/>
          <w:szCs w:val="24"/>
        </w:rPr>
        <w:t>高质量发展和环境保护协调为主，优化空间布局，加强污染物排放控制和环境风</w:t>
      </w:r>
      <w:r>
        <w:rPr>
          <w:rFonts w:ascii="宋体" w:hAnsi="宋体" w:eastAsia="宋体" w:cs="宋体"/>
          <w:spacing w:val="1"/>
          <w:sz w:val="24"/>
          <w:szCs w:val="24"/>
        </w:rPr>
        <w:t xml:space="preserve"> </w:t>
      </w:r>
      <w:r>
        <w:rPr>
          <w:rFonts w:ascii="宋体" w:hAnsi="宋体" w:eastAsia="宋体" w:cs="宋体"/>
          <w:spacing w:val="-1"/>
          <w:sz w:val="24"/>
          <w:szCs w:val="24"/>
        </w:rPr>
        <w:t>险防控，不断提升资源利用效率。</w:t>
      </w:r>
    </w:p>
    <w:p w14:paraId="758F171C">
      <w:pPr>
        <w:spacing w:line="370" w:lineRule="auto"/>
        <w:ind w:left="24" w:right="26" w:firstLine="479"/>
        <w:jc w:val="both"/>
        <w:rPr>
          <w:rFonts w:ascii="宋体" w:hAnsi="宋体" w:eastAsia="宋体" w:cs="宋体"/>
          <w:sz w:val="24"/>
          <w:szCs w:val="24"/>
        </w:rPr>
      </w:pPr>
      <w:r>
        <w:rPr>
          <w:rFonts w:ascii="宋体" w:hAnsi="宋体" w:eastAsia="宋体" w:cs="宋体"/>
          <w:spacing w:val="-3"/>
          <w:sz w:val="24"/>
          <w:szCs w:val="24"/>
        </w:rPr>
        <w:t>根据锡林郭勒盟环境管控单元图，本项目所在位置属于重点管控</w:t>
      </w:r>
      <w:r>
        <w:rPr>
          <w:rFonts w:ascii="宋体" w:hAnsi="宋体" w:eastAsia="宋体" w:cs="宋体"/>
          <w:spacing w:val="-4"/>
          <w:sz w:val="24"/>
          <w:szCs w:val="24"/>
        </w:rPr>
        <w:t>单元。本项</w:t>
      </w:r>
      <w:r>
        <w:rPr>
          <w:rFonts w:ascii="宋体" w:hAnsi="宋体" w:eastAsia="宋体" w:cs="宋体"/>
          <w:sz w:val="24"/>
          <w:szCs w:val="24"/>
        </w:rPr>
        <w:t xml:space="preserve"> </w:t>
      </w:r>
      <w:r>
        <w:rPr>
          <w:rFonts w:ascii="宋体" w:hAnsi="宋体" w:eastAsia="宋体" w:cs="宋体"/>
          <w:spacing w:val="-2"/>
          <w:sz w:val="24"/>
          <w:szCs w:val="24"/>
        </w:rPr>
        <w:t>目运行后会产生一定的污染物，如矿石破碎粉尘、生活污水、尾砂等固体废物、</w:t>
      </w:r>
      <w:r>
        <w:rPr>
          <w:rFonts w:ascii="宋体" w:hAnsi="宋体" w:eastAsia="宋体" w:cs="宋体"/>
          <w:spacing w:val="18"/>
          <w:sz w:val="24"/>
          <w:szCs w:val="24"/>
        </w:rPr>
        <w:t xml:space="preserve"> </w:t>
      </w:r>
      <w:r>
        <w:rPr>
          <w:rFonts w:ascii="宋体" w:hAnsi="宋体" w:eastAsia="宋体" w:cs="宋体"/>
          <w:spacing w:val="-3"/>
          <w:sz w:val="24"/>
          <w:szCs w:val="24"/>
        </w:rPr>
        <w:t>生产设备运行产生的噪声等，但在采取相应的污染防治措施后，项目污染物排放</w:t>
      </w:r>
      <w:r>
        <w:rPr>
          <w:rFonts w:ascii="宋体" w:hAnsi="宋体" w:eastAsia="宋体" w:cs="宋体"/>
          <w:sz w:val="24"/>
          <w:szCs w:val="24"/>
        </w:rPr>
        <w:t xml:space="preserve"> 均能满足国家标准要求且无明显增加现象。本项目</w:t>
      </w:r>
      <w:r>
        <w:rPr>
          <w:rFonts w:ascii="宋体" w:hAnsi="宋体" w:eastAsia="宋体" w:cs="宋体"/>
          <w:spacing w:val="-1"/>
          <w:sz w:val="24"/>
          <w:szCs w:val="24"/>
        </w:rPr>
        <w:t>的建设符合分区管控要求。</w:t>
      </w:r>
    </w:p>
    <w:p w14:paraId="43EBAF54">
      <w:pPr>
        <w:spacing w:line="370" w:lineRule="auto"/>
        <w:rPr>
          <w:rFonts w:ascii="宋体" w:hAnsi="宋体" w:eastAsia="宋体" w:cs="宋体"/>
          <w:sz w:val="24"/>
          <w:szCs w:val="24"/>
        </w:rPr>
        <w:sectPr>
          <w:footerReference r:id="rId411" w:type="default"/>
          <w:pgSz w:w="11906" w:h="16839"/>
          <w:pgMar w:top="1208" w:right="1719" w:bottom="1358" w:left="1785" w:header="825" w:footer="1195" w:gutter="0"/>
          <w:cols w:space="720" w:num="1"/>
        </w:sectPr>
      </w:pPr>
    </w:p>
    <w:p w14:paraId="7971B001">
      <w:pPr>
        <w:pStyle w:val="2"/>
        <w:spacing w:line="317" w:lineRule="auto"/>
      </w:pPr>
    </w:p>
    <w:p w14:paraId="436855E1">
      <w:pPr>
        <w:pStyle w:val="2"/>
        <w:spacing w:line="318" w:lineRule="auto"/>
      </w:pPr>
      <w:r>
        <w:drawing>
          <wp:anchor distT="0" distB="0" distL="0" distR="0" simplePos="0" relativeHeight="251760640" behindDoc="1" locked="0" layoutInCell="1" allowOverlap="1">
            <wp:simplePos x="0" y="0"/>
            <wp:positionH relativeFrom="column">
              <wp:posOffset>313690</wp:posOffset>
            </wp:positionH>
            <wp:positionV relativeFrom="paragraph">
              <wp:posOffset>6350</wp:posOffset>
            </wp:positionV>
            <wp:extent cx="5064125" cy="363347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546"/>
                    <a:stretch>
                      <a:fillRect/>
                    </a:stretch>
                  </pic:blipFill>
                  <pic:spPr>
                    <a:xfrm>
                      <a:off x="0" y="0"/>
                      <a:ext cx="5064252" cy="3633215"/>
                    </a:xfrm>
                    <a:prstGeom prst="rect">
                      <a:avLst/>
                    </a:prstGeom>
                  </pic:spPr>
                </pic:pic>
              </a:graphicData>
            </a:graphic>
          </wp:anchor>
        </w:drawing>
      </w:r>
    </w:p>
    <w:p w14:paraId="2C27971C">
      <w:pPr>
        <w:pStyle w:val="2"/>
        <w:spacing w:line="318" w:lineRule="auto"/>
      </w:pPr>
    </w:p>
    <w:p w14:paraId="145D38E6">
      <w:pPr>
        <w:spacing w:line="778" w:lineRule="exact"/>
        <w:ind w:firstLine="4402"/>
      </w:pPr>
      <w:r>
        <w:rPr>
          <w:position w:val="-15"/>
        </w:rPr>
        <w:pict>
          <v:group id="_x0000_s1050" o:spid="_x0000_s1050" o:spt="203" style="height:38.95pt;width:77.35pt;" coordsize="1546,779">
            <o:lock v:ext="edit"/>
            <v:shape id="_x0000_s1051" o:spid="_x0000_s1051" o:spt="75" type="#_x0000_t75" style="position:absolute;left:0;top:0;height:779;width:1546;" filled="f" stroked="f" coordsize="21600,21600">
              <v:path/>
              <v:fill on="f" focussize="0,0"/>
              <v:stroke on="f"/>
              <v:imagedata r:id="rId547" o:title=""/>
              <o:lock v:ext="edit" aspectratio="t"/>
            </v:shape>
            <v:shape id="_x0000_s1052" o:spid="_x0000_s1052" o:spt="202" type="#_x0000_t202" style="position:absolute;left:-20;top:-20;height:819;width:1586;" filled="f" stroked="f" coordsize="21600,21600">
              <v:path/>
              <v:fill on="f" focussize="0,0"/>
              <v:stroke on="f"/>
              <v:imagedata o:title=""/>
              <o:lock v:ext="edit" aspectratio="f"/>
              <v:textbox inset="0mm,0mm,0mm,0mm">
                <w:txbxContent>
                  <w:p w14:paraId="0EA63B3E">
                    <w:pPr>
                      <w:spacing w:before="174" w:line="220" w:lineRule="auto"/>
                      <w:ind w:left="222"/>
                      <w:rPr>
                        <w:rFonts w:ascii="宋体" w:hAnsi="宋体" w:eastAsia="宋体" w:cs="宋体"/>
                        <w:sz w:val="24"/>
                        <w:szCs w:val="24"/>
                      </w:rPr>
                    </w:pPr>
                    <w:r>
                      <w:rPr>
                        <w:rFonts w:ascii="宋体" w:hAnsi="宋体" w:eastAsia="宋体" w:cs="宋体"/>
                        <w:spacing w:val="-4"/>
                        <w:sz w:val="24"/>
                        <w:szCs w:val="24"/>
                      </w:rPr>
                      <w:t>项目位置</w:t>
                    </w:r>
                  </w:p>
                </w:txbxContent>
              </v:textbox>
            </v:shape>
            <w10:wrap type="none"/>
            <w10:anchorlock/>
          </v:group>
        </w:pict>
      </w:r>
    </w:p>
    <w:p w14:paraId="18C2D54F">
      <w:pPr>
        <w:pStyle w:val="2"/>
        <w:spacing w:line="246" w:lineRule="auto"/>
      </w:pPr>
    </w:p>
    <w:p w14:paraId="6AF74088">
      <w:pPr>
        <w:pStyle w:val="2"/>
        <w:spacing w:line="246" w:lineRule="auto"/>
      </w:pPr>
    </w:p>
    <w:p w14:paraId="0B54478E">
      <w:pPr>
        <w:pStyle w:val="2"/>
        <w:spacing w:line="246" w:lineRule="auto"/>
      </w:pPr>
    </w:p>
    <w:p w14:paraId="10925646">
      <w:pPr>
        <w:pStyle w:val="2"/>
        <w:spacing w:line="246" w:lineRule="auto"/>
      </w:pPr>
    </w:p>
    <w:p w14:paraId="7B80DB9B">
      <w:pPr>
        <w:pStyle w:val="2"/>
        <w:spacing w:line="246" w:lineRule="auto"/>
      </w:pPr>
    </w:p>
    <w:p w14:paraId="2B2CA47E">
      <w:pPr>
        <w:pStyle w:val="2"/>
        <w:spacing w:line="246" w:lineRule="auto"/>
      </w:pPr>
    </w:p>
    <w:p w14:paraId="0B5A2304">
      <w:pPr>
        <w:pStyle w:val="2"/>
        <w:spacing w:line="246" w:lineRule="auto"/>
      </w:pPr>
    </w:p>
    <w:p w14:paraId="4380A6BF">
      <w:pPr>
        <w:pStyle w:val="2"/>
        <w:spacing w:line="246" w:lineRule="auto"/>
      </w:pPr>
    </w:p>
    <w:p w14:paraId="01E1D7B2">
      <w:pPr>
        <w:pStyle w:val="2"/>
        <w:spacing w:line="246" w:lineRule="auto"/>
      </w:pPr>
    </w:p>
    <w:p w14:paraId="0CB6EC9B">
      <w:pPr>
        <w:pStyle w:val="2"/>
        <w:spacing w:line="246" w:lineRule="auto"/>
      </w:pPr>
    </w:p>
    <w:p w14:paraId="3EF586A8">
      <w:pPr>
        <w:pStyle w:val="2"/>
        <w:spacing w:line="246" w:lineRule="auto"/>
      </w:pPr>
    </w:p>
    <w:p w14:paraId="6B6B87A7">
      <w:pPr>
        <w:pStyle w:val="2"/>
        <w:spacing w:line="246" w:lineRule="auto"/>
      </w:pPr>
    </w:p>
    <w:p w14:paraId="783E324B">
      <w:pPr>
        <w:pStyle w:val="2"/>
        <w:spacing w:line="246" w:lineRule="auto"/>
      </w:pPr>
    </w:p>
    <w:p w14:paraId="019BDAEA">
      <w:pPr>
        <w:pStyle w:val="2"/>
        <w:spacing w:line="246" w:lineRule="auto"/>
      </w:pPr>
    </w:p>
    <w:p w14:paraId="124B4BC3">
      <w:pPr>
        <w:pStyle w:val="2"/>
        <w:spacing w:line="246" w:lineRule="auto"/>
      </w:pPr>
    </w:p>
    <w:p w14:paraId="36857AB9">
      <w:pPr>
        <w:pStyle w:val="2"/>
        <w:spacing w:line="246" w:lineRule="auto"/>
      </w:pPr>
    </w:p>
    <w:p w14:paraId="7BA947EB">
      <w:pPr>
        <w:pStyle w:val="2"/>
        <w:spacing w:line="246" w:lineRule="auto"/>
      </w:pPr>
    </w:p>
    <w:p w14:paraId="74936E66">
      <w:pPr>
        <w:pStyle w:val="2"/>
        <w:spacing w:line="247" w:lineRule="auto"/>
      </w:pPr>
    </w:p>
    <w:p w14:paraId="1DB52353">
      <w:pPr>
        <w:spacing w:before="78" w:line="219" w:lineRule="auto"/>
        <w:ind w:left="2540"/>
        <w:rPr>
          <w:rFonts w:ascii="宋体" w:hAnsi="宋体" w:eastAsia="宋体" w:cs="宋体"/>
          <w:sz w:val="24"/>
          <w:szCs w:val="24"/>
        </w:rPr>
      </w:pPr>
      <w:r>
        <w:rPr>
          <w:rFonts w:ascii="宋体" w:hAnsi="宋体" w:eastAsia="宋体" w:cs="宋体"/>
          <w:spacing w:val="-3"/>
          <w:sz w:val="24"/>
          <w:szCs w:val="24"/>
        </w:rPr>
        <w:t xml:space="preserve">图 </w:t>
      </w:r>
      <w:r>
        <w:rPr>
          <w:rFonts w:ascii="Times New Roman" w:hAnsi="Times New Roman" w:eastAsia="Times New Roman" w:cs="Times New Roman"/>
          <w:spacing w:val="-3"/>
          <w:sz w:val="24"/>
          <w:szCs w:val="24"/>
        </w:rPr>
        <w:t>10-2</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锡林郭勒盟环境管控单元图</w:t>
      </w:r>
    </w:p>
    <w:p w14:paraId="20C54423">
      <w:pPr>
        <w:spacing w:before="107" w:line="220"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）环境质量底线</w:t>
      </w:r>
    </w:p>
    <w:p w14:paraId="29818F63">
      <w:pPr>
        <w:spacing w:before="169" w:line="369" w:lineRule="auto"/>
        <w:ind w:left="23" w:right="181" w:firstLine="480"/>
        <w:rPr>
          <w:rFonts w:ascii="宋体" w:hAnsi="宋体" w:eastAsia="宋体" w:cs="宋体"/>
          <w:sz w:val="24"/>
          <w:szCs w:val="24"/>
        </w:rPr>
      </w:pPr>
      <w:r>
        <w:rPr>
          <w:rFonts w:ascii="宋体" w:hAnsi="宋体" w:eastAsia="宋体" w:cs="宋体"/>
          <w:spacing w:val="-2"/>
          <w:sz w:val="24"/>
          <w:szCs w:val="24"/>
        </w:rPr>
        <w:t>根据内蒙古自治区生态环境厅</w:t>
      </w:r>
      <w:r>
        <w:rPr>
          <w:rFonts w:ascii="宋体" w:hAnsi="宋体" w:eastAsia="宋体" w:cs="宋体"/>
          <w:spacing w:val="-68"/>
          <w:sz w:val="24"/>
          <w:szCs w:val="24"/>
        </w:rPr>
        <w:t xml:space="preserve"> </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w:t>
      </w:r>
      <w:r>
        <w:rPr>
          <w:rFonts w:ascii="宋体" w:hAnsi="宋体" w:eastAsia="宋体" w:cs="宋体"/>
          <w:spacing w:val="-67"/>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月发布的</w:t>
      </w:r>
      <w:r>
        <w:rPr>
          <w:rFonts w:ascii="宋体" w:hAnsi="宋体" w:eastAsia="宋体" w:cs="宋体"/>
          <w:spacing w:val="-71"/>
          <w:sz w:val="24"/>
          <w:szCs w:val="24"/>
        </w:rPr>
        <w:t xml:space="preserve"> </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年度内蒙古自治区生</w:t>
      </w:r>
      <w:r>
        <w:rPr>
          <w:rFonts w:ascii="宋体" w:hAnsi="宋体" w:eastAsia="宋体" w:cs="宋体"/>
          <w:sz w:val="24"/>
          <w:szCs w:val="24"/>
        </w:rPr>
        <w:t xml:space="preserve"> </w:t>
      </w:r>
      <w:r>
        <w:rPr>
          <w:rFonts w:ascii="宋体" w:hAnsi="宋体" w:eastAsia="宋体" w:cs="宋体"/>
          <w:spacing w:val="-3"/>
          <w:sz w:val="24"/>
          <w:szCs w:val="24"/>
        </w:rPr>
        <w:t>态环境状况公报，项目所在区域为城市环境空气质量达标区域。根据内蒙古三方</w:t>
      </w:r>
      <w:r>
        <w:rPr>
          <w:rFonts w:ascii="宋体" w:hAnsi="宋体" w:eastAsia="宋体" w:cs="宋体"/>
          <w:spacing w:val="1"/>
          <w:sz w:val="24"/>
          <w:szCs w:val="24"/>
        </w:rPr>
        <w:t xml:space="preserve"> </w:t>
      </w:r>
      <w:r>
        <w:rPr>
          <w:rFonts w:ascii="宋体" w:hAnsi="宋体" w:eastAsia="宋体" w:cs="宋体"/>
          <w:spacing w:val="-3"/>
          <w:sz w:val="24"/>
          <w:szCs w:val="24"/>
        </w:rPr>
        <w:t>监测环保有限公司对项目区环境空气、噪声、土壤、地下水等现状监测结果，除</w:t>
      </w:r>
      <w:r>
        <w:rPr>
          <w:rFonts w:ascii="宋体" w:hAnsi="宋体" w:eastAsia="宋体" w:cs="宋体"/>
          <w:spacing w:val="1"/>
          <w:sz w:val="24"/>
          <w:szCs w:val="24"/>
        </w:rPr>
        <w:t xml:space="preserve"> </w:t>
      </w:r>
      <w:r>
        <w:rPr>
          <w:rFonts w:ascii="宋体" w:hAnsi="宋体" w:eastAsia="宋体" w:cs="宋体"/>
          <w:spacing w:val="-3"/>
          <w:sz w:val="24"/>
          <w:szCs w:val="24"/>
        </w:rPr>
        <w:t>了部分地下水井砷、总硬度超标，这可能与当地水文地质条件有关，其余各监测</w:t>
      </w:r>
      <w:r>
        <w:rPr>
          <w:rFonts w:ascii="宋体" w:hAnsi="宋体" w:eastAsia="宋体" w:cs="宋体"/>
          <w:spacing w:val="1"/>
          <w:sz w:val="24"/>
          <w:szCs w:val="24"/>
        </w:rPr>
        <w:t xml:space="preserve"> </w:t>
      </w:r>
      <w:r>
        <w:rPr>
          <w:rFonts w:ascii="宋体" w:hAnsi="宋体" w:eastAsia="宋体" w:cs="宋体"/>
          <w:spacing w:val="-1"/>
          <w:sz w:val="24"/>
          <w:szCs w:val="24"/>
        </w:rPr>
        <w:t>因子均满足相应的环境质量标准限值，区域内有一定的环境容量。</w:t>
      </w:r>
    </w:p>
    <w:p w14:paraId="543DC8F4">
      <w:pPr>
        <w:spacing w:before="3" w:line="356" w:lineRule="auto"/>
        <w:ind w:left="23" w:firstLine="480"/>
        <w:jc w:val="both"/>
        <w:rPr>
          <w:rFonts w:ascii="宋体" w:hAnsi="宋体" w:eastAsia="宋体" w:cs="宋体"/>
          <w:sz w:val="24"/>
          <w:szCs w:val="24"/>
        </w:rPr>
      </w:pPr>
      <w:r>
        <w:rPr>
          <w:rFonts w:ascii="宋体" w:hAnsi="宋体" w:eastAsia="宋体" w:cs="宋体"/>
          <w:spacing w:val="-3"/>
          <w:sz w:val="24"/>
          <w:szCs w:val="24"/>
        </w:rPr>
        <w:t>本项目运行后会产生一定的污染物，如矿石破碎粉尘、生活污</w:t>
      </w:r>
      <w:r>
        <w:rPr>
          <w:rFonts w:ascii="宋体" w:hAnsi="宋体" w:eastAsia="宋体" w:cs="宋体"/>
          <w:spacing w:val="-4"/>
          <w:sz w:val="24"/>
          <w:szCs w:val="24"/>
        </w:rPr>
        <w:t>水、尾砂等固</w:t>
      </w:r>
      <w:r>
        <w:rPr>
          <w:rFonts w:ascii="宋体" w:hAnsi="宋体" w:eastAsia="宋体" w:cs="宋体"/>
          <w:sz w:val="24"/>
          <w:szCs w:val="24"/>
        </w:rPr>
        <w:t xml:space="preserve">  </w:t>
      </w:r>
      <w:r>
        <w:rPr>
          <w:rFonts w:ascii="宋体" w:hAnsi="宋体" w:eastAsia="宋体" w:cs="宋体"/>
          <w:spacing w:val="-3"/>
          <w:sz w:val="24"/>
          <w:szCs w:val="24"/>
        </w:rPr>
        <w:t>体废物、生产设备运行产生的噪声等，但在采取相应的污染防治措施后，各类污</w:t>
      </w:r>
      <w:r>
        <w:rPr>
          <w:rFonts w:ascii="宋体" w:hAnsi="宋体" w:eastAsia="宋体" w:cs="宋体"/>
          <w:sz w:val="24"/>
          <w:szCs w:val="24"/>
        </w:rPr>
        <w:t xml:space="preserve">  </w:t>
      </w:r>
      <w:r>
        <w:rPr>
          <w:rFonts w:ascii="宋体" w:hAnsi="宋体" w:eastAsia="宋体" w:cs="宋体"/>
          <w:spacing w:val="-5"/>
          <w:sz w:val="24"/>
          <w:szCs w:val="24"/>
        </w:rPr>
        <w:t>染物的排放不会对周边环境造成不良影响，即不会改变区域环境功能区质量要求，</w:t>
      </w:r>
      <w:r>
        <w:rPr>
          <w:rFonts w:ascii="宋体" w:hAnsi="宋体" w:eastAsia="宋体" w:cs="宋体"/>
          <w:spacing w:val="17"/>
          <w:sz w:val="24"/>
          <w:szCs w:val="24"/>
        </w:rPr>
        <w:t xml:space="preserve"> </w:t>
      </w:r>
      <w:r>
        <w:rPr>
          <w:rFonts w:ascii="宋体" w:hAnsi="宋体" w:eastAsia="宋体" w:cs="宋体"/>
          <w:spacing w:val="-1"/>
          <w:sz w:val="24"/>
          <w:szCs w:val="24"/>
        </w:rPr>
        <w:t>能维持环境功能区质量现状。</w:t>
      </w:r>
    </w:p>
    <w:p w14:paraId="68436079">
      <w:pPr>
        <w:spacing w:line="220" w:lineRule="auto"/>
        <w:ind w:left="503"/>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）资源利用上限</w:t>
      </w:r>
    </w:p>
    <w:p w14:paraId="0E7DA27A">
      <w:pPr>
        <w:spacing w:before="182" w:line="360" w:lineRule="auto"/>
        <w:ind w:left="24" w:right="181" w:firstLine="480"/>
        <w:rPr>
          <w:rFonts w:ascii="宋体" w:hAnsi="宋体" w:eastAsia="宋体" w:cs="宋体"/>
          <w:sz w:val="24"/>
          <w:szCs w:val="24"/>
        </w:rPr>
      </w:pPr>
      <w:r>
        <w:rPr>
          <w:rFonts w:ascii="宋体" w:hAnsi="宋体" w:eastAsia="宋体" w:cs="宋体"/>
          <w:spacing w:val="-3"/>
          <w:sz w:val="24"/>
          <w:szCs w:val="24"/>
        </w:rPr>
        <w:t>本工程运行过程中会消耗电能、水资源等，消耗量相对区域资</w:t>
      </w:r>
      <w:r>
        <w:rPr>
          <w:rFonts w:ascii="宋体" w:hAnsi="宋体" w:eastAsia="宋体" w:cs="宋体"/>
          <w:spacing w:val="-4"/>
          <w:sz w:val="24"/>
          <w:szCs w:val="24"/>
        </w:rPr>
        <w:t>源利用总量较</w:t>
      </w:r>
      <w:r>
        <w:rPr>
          <w:rFonts w:ascii="宋体" w:hAnsi="宋体" w:eastAsia="宋体" w:cs="宋体"/>
          <w:sz w:val="24"/>
          <w:szCs w:val="24"/>
        </w:rPr>
        <w:t xml:space="preserve"> </w:t>
      </w:r>
      <w:r>
        <w:rPr>
          <w:rFonts w:ascii="宋体" w:hAnsi="宋体" w:eastAsia="宋体" w:cs="宋体"/>
          <w:spacing w:val="-3"/>
          <w:sz w:val="24"/>
          <w:szCs w:val="24"/>
        </w:rPr>
        <w:t>少；建成运行后通过优化内部管理措施降低资源利用量，不会突破区域的资源利</w:t>
      </w:r>
      <w:r>
        <w:rPr>
          <w:rFonts w:ascii="宋体" w:hAnsi="宋体" w:eastAsia="宋体" w:cs="宋体"/>
          <w:sz w:val="24"/>
          <w:szCs w:val="24"/>
        </w:rPr>
        <w:t xml:space="preserve"> </w:t>
      </w:r>
      <w:r>
        <w:rPr>
          <w:rFonts w:ascii="宋体" w:hAnsi="宋体" w:eastAsia="宋体" w:cs="宋体"/>
          <w:spacing w:val="-3"/>
          <w:sz w:val="24"/>
          <w:szCs w:val="24"/>
        </w:rPr>
        <w:t>用上线。</w:t>
      </w:r>
    </w:p>
    <w:p w14:paraId="1CF91D90">
      <w:pPr>
        <w:spacing w:line="219" w:lineRule="auto"/>
        <w:ind w:left="49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）环境准入负面清单</w:t>
      </w:r>
    </w:p>
    <w:p w14:paraId="6B753D35">
      <w:pPr>
        <w:spacing w:before="183" w:line="219" w:lineRule="auto"/>
        <w:ind w:left="504"/>
        <w:rPr>
          <w:rFonts w:ascii="宋体" w:hAnsi="宋体" w:eastAsia="宋体" w:cs="宋体"/>
          <w:sz w:val="24"/>
          <w:szCs w:val="24"/>
        </w:rPr>
      </w:pPr>
      <w:r>
        <w:rPr>
          <w:rFonts w:ascii="宋体" w:hAnsi="宋体" w:eastAsia="宋体" w:cs="宋体"/>
          <w:spacing w:val="-3"/>
          <w:sz w:val="24"/>
          <w:szCs w:val="24"/>
        </w:rPr>
        <w:t>本项目位于西乌珠穆沁旗，属于采矿用地，依据《锡林</w:t>
      </w:r>
      <w:r>
        <w:rPr>
          <w:rFonts w:ascii="宋体" w:hAnsi="宋体" w:eastAsia="宋体" w:cs="宋体"/>
          <w:spacing w:val="-4"/>
          <w:sz w:val="24"/>
          <w:szCs w:val="24"/>
        </w:rPr>
        <w:t>郭勒盟生态环境准入</w:t>
      </w:r>
    </w:p>
    <w:p w14:paraId="3AA19856">
      <w:pPr>
        <w:spacing w:line="219" w:lineRule="auto"/>
        <w:rPr>
          <w:rFonts w:ascii="宋体" w:hAnsi="宋体" w:eastAsia="宋体" w:cs="宋体"/>
          <w:sz w:val="24"/>
          <w:szCs w:val="24"/>
        </w:rPr>
        <w:sectPr>
          <w:headerReference r:id="rId412" w:type="default"/>
          <w:footerReference r:id="rId413" w:type="default"/>
          <w:pgSz w:w="11906" w:h="16839"/>
          <w:pgMar w:top="1208" w:right="1618" w:bottom="1358" w:left="1785" w:header="825" w:footer="1195" w:gutter="0"/>
          <w:cols w:space="720" w:num="1"/>
        </w:sectPr>
      </w:pPr>
    </w:p>
    <w:p w14:paraId="02577804">
      <w:pPr>
        <w:pStyle w:val="2"/>
        <w:spacing w:line="265" w:lineRule="auto"/>
      </w:pPr>
    </w:p>
    <w:p w14:paraId="3A741E23">
      <w:pPr>
        <w:spacing w:before="78" w:line="360" w:lineRule="auto"/>
        <w:ind w:left="24" w:right="67" w:firstLine="52"/>
        <w:jc w:val="both"/>
        <w:rPr>
          <w:rFonts w:ascii="宋体" w:hAnsi="宋体" w:eastAsia="宋体" w:cs="宋体"/>
          <w:sz w:val="24"/>
          <w:szCs w:val="24"/>
        </w:rPr>
      </w:pPr>
      <w:r>
        <w:rPr>
          <w:rFonts w:ascii="宋体" w:hAnsi="宋体" w:eastAsia="宋体" w:cs="宋体"/>
          <w:sz w:val="24"/>
          <w:szCs w:val="24"/>
        </w:rPr>
        <w:t>清单》（</w:t>
      </w:r>
      <w:r>
        <w:rPr>
          <w:rFonts w:ascii="Times New Roman" w:hAnsi="Times New Roman" w:eastAsia="Times New Roman" w:cs="Times New Roman"/>
          <w:sz w:val="24"/>
          <w:szCs w:val="24"/>
        </w:rPr>
        <w:t>2021</w:t>
      </w:r>
      <w:r>
        <w:rPr>
          <w:rFonts w:ascii="宋体" w:hAnsi="宋体" w:eastAsia="宋体" w:cs="宋体"/>
          <w:sz w:val="24"/>
          <w:szCs w:val="24"/>
        </w:rPr>
        <w:t>年</w:t>
      </w:r>
      <w:r>
        <w:rPr>
          <w:rFonts w:ascii="宋体" w:hAnsi="宋体" w:eastAsia="宋体" w:cs="宋体"/>
          <w:spacing w:val="-18"/>
          <w:sz w:val="24"/>
          <w:szCs w:val="24"/>
        </w:rPr>
        <w:t xml:space="preserve"> </w:t>
      </w:r>
      <w:r>
        <w:rPr>
          <w:rFonts w:ascii="Times New Roman" w:hAnsi="Times New Roman" w:eastAsia="Times New Roman" w:cs="Times New Roman"/>
          <w:sz w:val="24"/>
          <w:szCs w:val="24"/>
        </w:rPr>
        <w:t xml:space="preserve">10 </w:t>
      </w:r>
      <w:r>
        <w:rPr>
          <w:rFonts w:ascii="宋体" w:hAnsi="宋体" w:eastAsia="宋体" w:cs="宋体"/>
          <w:sz w:val="24"/>
          <w:szCs w:val="24"/>
        </w:rPr>
        <w:t>月）中</w:t>
      </w:r>
      <w:r>
        <w:rPr>
          <w:rFonts w:ascii="Times New Roman" w:hAnsi="Times New Roman" w:eastAsia="Times New Roman" w:cs="Times New Roman"/>
          <w:sz w:val="24"/>
          <w:szCs w:val="24"/>
        </w:rPr>
        <w:t>“</w:t>
      </w:r>
      <w:r>
        <w:rPr>
          <w:rFonts w:ascii="宋体" w:hAnsi="宋体" w:eastAsia="宋体" w:cs="宋体"/>
          <w:sz w:val="24"/>
          <w:szCs w:val="24"/>
        </w:rPr>
        <w:t>锡林郭勒盟西乌珠穆沁旗生态环境准入清单</w:t>
      </w:r>
      <w:r>
        <w:rPr>
          <w:rFonts w:ascii="Times New Roman" w:hAnsi="Times New Roman" w:eastAsia="Times New Roman" w:cs="Times New Roman"/>
          <w:sz w:val="24"/>
          <w:szCs w:val="24"/>
        </w:rPr>
        <w:t>”</w:t>
      </w:r>
      <w:r>
        <w:rPr>
          <w:rFonts w:ascii="宋体" w:hAnsi="宋体" w:eastAsia="宋体" w:cs="宋体"/>
          <w:sz w:val="24"/>
          <w:szCs w:val="24"/>
        </w:rPr>
        <w:t xml:space="preserve">：本项 </w:t>
      </w:r>
      <w:r>
        <w:rPr>
          <w:rFonts w:ascii="宋体" w:hAnsi="宋体" w:eastAsia="宋体" w:cs="宋体"/>
          <w:spacing w:val="27"/>
          <w:sz w:val="24"/>
          <w:szCs w:val="24"/>
        </w:rPr>
        <w:t>目位于</w:t>
      </w:r>
      <w:r>
        <w:rPr>
          <w:rFonts w:ascii="宋体" w:hAnsi="宋体" w:eastAsia="宋体" w:cs="宋体"/>
          <w:spacing w:val="-81"/>
          <w:sz w:val="24"/>
          <w:szCs w:val="24"/>
        </w:rPr>
        <w:t xml:space="preserve"> </w:t>
      </w:r>
      <w:r>
        <w:rPr>
          <w:rFonts w:ascii="Times New Roman" w:hAnsi="Times New Roman" w:eastAsia="Times New Roman" w:cs="Times New Roman"/>
          <w:spacing w:val="27"/>
          <w:sz w:val="24"/>
          <w:szCs w:val="24"/>
        </w:rPr>
        <w:t xml:space="preserve">“ </w:t>
      </w:r>
      <w:r>
        <w:rPr>
          <w:rFonts w:ascii="宋体" w:hAnsi="宋体" w:eastAsia="宋体" w:cs="宋体"/>
          <w:spacing w:val="27"/>
          <w:sz w:val="24"/>
          <w:szCs w:val="24"/>
        </w:rPr>
        <w:t>内蒙古锡林郭勒盟西乌珠穆沁旗采矿用地</w:t>
      </w:r>
      <w:r>
        <w:rPr>
          <w:rFonts w:ascii="宋体" w:hAnsi="宋体" w:eastAsia="宋体" w:cs="宋体"/>
          <w:spacing w:val="-76"/>
          <w:sz w:val="24"/>
          <w:szCs w:val="24"/>
        </w:rPr>
        <w:t xml:space="preserve"> </w:t>
      </w:r>
      <w:r>
        <w:rPr>
          <w:rFonts w:ascii="Times New Roman" w:hAnsi="Times New Roman" w:eastAsia="Times New Roman" w:cs="Times New Roman"/>
          <w:spacing w:val="27"/>
          <w:sz w:val="24"/>
          <w:szCs w:val="24"/>
        </w:rPr>
        <w:t>”</w:t>
      </w:r>
      <w:r>
        <w:rPr>
          <w:rFonts w:ascii="Times New Roman" w:hAnsi="Times New Roman" w:eastAsia="Times New Roman" w:cs="Times New Roman"/>
          <w:spacing w:val="-14"/>
          <w:sz w:val="24"/>
          <w:szCs w:val="24"/>
        </w:rPr>
        <w:t xml:space="preserve"> </w:t>
      </w:r>
      <w:r>
        <w:rPr>
          <w:rFonts w:ascii="宋体" w:hAnsi="宋体" w:eastAsia="宋体" w:cs="宋体"/>
          <w:spacing w:val="27"/>
          <w:sz w:val="24"/>
          <w:szCs w:val="24"/>
        </w:rPr>
        <w:t>管控单元</w:t>
      </w:r>
      <w:r>
        <w:rPr>
          <w:rFonts w:ascii="宋体" w:hAnsi="宋体" w:eastAsia="宋体" w:cs="宋体"/>
          <w:spacing w:val="-52"/>
          <w:sz w:val="24"/>
          <w:szCs w:val="24"/>
        </w:rPr>
        <w:t xml:space="preserve"> </w:t>
      </w:r>
      <w:r>
        <w:rPr>
          <w:rFonts w:ascii="宋体" w:hAnsi="宋体" w:eastAsia="宋体" w:cs="宋体"/>
          <w:spacing w:val="27"/>
          <w:sz w:val="24"/>
          <w:szCs w:val="24"/>
        </w:rPr>
        <w:t>，</w:t>
      </w:r>
      <w:r>
        <w:rPr>
          <w:rFonts w:ascii="宋体" w:hAnsi="宋体" w:eastAsia="宋体" w:cs="宋体"/>
          <w:spacing w:val="-68"/>
          <w:sz w:val="24"/>
          <w:szCs w:val="24"/>
        </w:rPr>
        <w:t xml:space="preserve"> </w:t>
      </w:r>
      <w:r>
        <w:rPr>
          <w:rFonts w:ascii="宋体" w:hAnsi="宋体" w:eastAsia="宋体" w:cs="宋体"/>
          <w:spacing w:val="27"/>
          <w:sz w:val="24"/>
          <w:szCs w:val="24"/>
        </w:rPr>
        <w:t>编码为</w:t>
      </w:r>
      <w:r>
        <w:rPr>
          <w:rFonts w:ascii="宋体" w:hAnsi="宋体" w:eastAsia="宋体" w:cs="宋体"/>
          <w:sz w:val="24"/>
          <w:szCs w:val="24"/>
        </w:rPr>
        <w:t xml:space="preserve"> </w:t>
      </w:r>
      <w:r>
        <w:rPr>
          <w:rFonts w:ascii="Times New Roman" w:hAnsi="Times New Roman" w:eastAsia="Times New Roman" w:cs="Times New Roman"/>
          <w:sz w:val="24"/>
          <w:szCs w:val="24"/>
        </w:rPr>
        <w:t>“ZH15252620009”</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，类别为</w:t>
      </w:r>
      <w:r>
        <w:rPr>
          <w:rFonts w:ascii="Times New Roman" w:hAnsi="Times New Roman" w:eastAsia="Times New Roman" w:cs="Times New Roman"/>
          <w:sz w:val="24"/>
          <w:szCs w:val="24"/>
        </w:rPr>
        <w:t>“</w:t>
      </w:r>
      <w:r>
        <w:rPr>
          <w:rFonts w:ascii="宋体" w:hAnsi="宋体" w:eastAsia="宋体" w:cs="宋体"/>
          <w:sz w:val="24"/>
          <w:szCs w:val="24"/>
        </w:rPr>
        <w:t>重点管控</w:t>
      </w:r>
      <w:r>
        <w:rPr>
          <w:rFonts w:ascii="宋体" w:hAnsi="宋体" w:eastAsia="宋体" w:cs="宋体"/>
          <w:spacing w:val="-1"/>
          <w:sz w:val="24"/>
          <w:szCs w:val="24"/>
        </w:rPr>
        <w:t>单元</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，具体管控单元管控要求详见下表。</w:t>
      </w:r>
    </w:p>
    <w:p w14:paraId="5F1C4AE9">
      <w:pPr>
        <w:spacing w:line="218" w:lineRule="auto"/>
        <w:ind w:left="2279"/>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6"/>
          <w:sz w:val="24"/>
          <w:szCs w:val="24"/>
        </w:rPr>
        <w:t xml:space="preserve"> </w:t>
      </w:r>
      <w:r>
        <w:rPr>
          <w:rFonts w:ascii="宋体" w:hAnsi="宋体" w:eastAsia="宋体" w:cs="宋体"/>
          <w:spacing w:val="-2"/>
          <w:sz w:val="24"/>
          <w:szCs w:val="24"/>
        </w:rPr>
        <w:t>10-2    锡林郭勒盟生态环境准入清单</w:t>
      </w:r>
    </w:p>
    <w:p w14:paraId="77D9659A">
      <w:pPr>
        <w:spacing w:line="69" w:lineRule="exact"/>
      </w:pPr>
    </w:p>
    <w:tbl>
      <w:tblPr>
        <w:tblStyle w:val="5"/>
        <w:tblW w:w="84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428"/>
        <w:gridCol w:w="3728"/>
        <w:gridCol w:w="2808"/>
        <w:gridCol w:w="635"/>
      </w:tblGrid>
      <w:tr w14:paraId="34BAC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837" w:type="dxa"/>
            <w:vAlign w:val="top"/>
          </w:tcPr>
          <w:p w14:paraId="0A092E6B">
            <w:pPr>
              <w:pStyle w:val="6"/>
              <w:spacing w:before="36" w:line="228" w:lineRule="auto"/>
              <w:ind w:left="219"/>
            </w:pPr>
            <w:r>
              <w:rPr>
                <w:spacing w:val="2"/>
              </w:rPr>
              <w:t>管控</w:t>
            </w:r>
          </w:p>
          <w:p w14:paraId="427D111E">
            <w:pPr>
              <w:pStyle w:val="6"/>
              <w:spacing w:before="24" w:line="228" w:lineRule="auto"/>
              <w:ind w:left="216"/>
            </w:pPr>
            <w:r>
              <w:rPr>
                <w:spacing w:val="3"/>
              </w:rPr>
              <w:t>单元</w:t>
            </w:r>
          </w:p>
          <w:p w14:paraId="2ACB8F20">
            <w:pPr>
              <w:pStyle w:val="6"/>
              <w:spacing w:before="23" w:line="218" w:lineRule="auto"/>
              <w:ind w:left="217"/>
            </w:pPr>
            <w:r>
              <w:rPr>
                <w:spacing w:val="3"/>
              </w:rPr>
              <w:t>名称</w:t>
            </w:r>
          </w:p>
        </w:tc>
        <w:tc>
          <w:tcPr>
            <w:tcW w:w="4156" w:type="dxa"/>
            <w:gridSpan w:val="2"/>
            <w:vAlign w:val="top"/>
          </w:tcPr>
          <w:p w14:paraId="0D553C13">
            <w:pPr>
              <w:spacing w:line="241" w:lineRule="auto"/>
              <w:rPr>
                <w:rFonts w:ascii="Arial"/>
                <w:sz w:val="21"/>
              </w:rPr>
            </w:pPr>
          </w:p>
          <w:p w14:paraId="26EED16E">
            <w:pPr>
              <w:pStyle w:val="6"/>
              <w:spacing w:before="65" w:line="228" w:lineRule="auto"/>
              <w:ind w:left="1667"/>
            </w:pPr>
            <w:r>
              <w:rPr>
                <w:spacing w:val="6"/>
              </w:rPr>
              <w:t>管控要求</w:t>
            </w:r>
          </w:p>
        </w:tc>
        <w:tc>
          <w:tcPr>
            <w:tcW w:w="2808" w:type="dxa"/>
            <w:vAlign w:val="top"/>
          </w:tcPr>
          <w:p w14:paraId="33276962">
            <w:pPr>
              <w:spacing w:line="241" w:lineRule="auto"/>
              <w:rPr>
                <w:rFonts w:ascii="Arial"/>
                <w:sz w:val="21"/>
              </w:rPr>
            </w:pPr>
          </w:p>
          <w:p w14:paraId="691D987F">
            <w:pPr>
              <w:pStyle w:val="6"/>
              <w:spacing w:before="65" w:line="227" w:lineRule="auto"/>
              <w:ind w:left="1095"/>
            </w:pPr>
            <w:r>
              <w:rPr>
                <w:spacing w:val="6"/>
              </w:rPr>
              <w:t>本项目</w:t>
            </w:r>
          </w:p>
        </w:tc>
        <w:tc>
          <w:tcPr>
            <w:tcW w:w="635" w:type="dxa"/>
            <w:textDirection w:val="tbRlV"/>
            <w:vAlign w:val="top"/>
          </w:tcPr>
          <w:p w14:paraId="648EBBD6">
            <w:pPr>
              <w:pStyle w:val="6"/>
              <w:spacing w:before="210" w:line="215" w:lineRule="auto"/>
              <w:ind w:left="37"/>
            </w:pPr>
            <w:r>
              <w:rPr>
                <w:spacing w:val="8"/>
              </w:rPr>
              <w:t>符</w:t>
            </w:r>
            <w:r>
              <w:rPr>
                <w:spacing w:val="-37"/>
              </w:rPr>
              <w:t xml:space="preserve"> </w:t>
            </w:r>
            <w:r>
              <w:rPr>
                <w:spacing w:val="8"/>
              </w:rPr>
              <w:t>合</w:t>
            </w:r>
            <w:r>
              <w:rPr>
                <w:spacing w:val="-37"/>
              </w:rPr>
              <w:t xml:space="preserve"> </w:t>
            </w:r>
            <w:r>
              <w:rPr>
                <w:spacing w:val="8"/>
              </w:rPr>
              <w:t>性</w:t>
            </w:r>
          </w:p>
        </w:tc>
      </w:tr>
      <w:tr w14:paraId="3F90E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2" w:hRule="atLeast"/>
        </w:trPr>
        <w:tc>
          <w:tcPr>
            <w:tcW w:w="837" w:type="dxa"/>
            <w:vMerge w:val="restart"/>
            <w:tcBorders>
              <w:bottom w:val="nil"/>
            </w:tcBorders>
            <w:vAlign w:val="top"/>
          </w:tcPr>
          <w:p w14:paraId="5C3DF083">
            <w:pPr>
              <w:spacing w:line="242" w:lineRule="auto"/>
              <w:rPr>
                <w:rFonts w:ascii="Arial"/>
                <w:sz w:val="21"/>
              </w:rPr>
            </w:pPr>
          </w:p>
          <w:p w14:paraId="0483B77A">
            <w:pPr>
              <w:spacing w:line="242" w:lineRule="auto"/>
              <w:rPr>
                <w:rFonts w:ascii="Arial"/>
                <w:sz w:val="21"/>
              </w:rPr>
            </w:pPr>
          </w:p>
          <w:p w14:paraId="5D732590">
            <w:pPr>
              <w:spacing w:line="242" w:lineRule="auto"/>
              <w:rPr>
                <w:rFonts w:ascii="Arial"/>
                <w:sz w:val="21"/>
              </w:rPr>
            </w:pPr>
          </w:p>
          <w:p w14:paraId="6E4E0AE6">
            <w:pPr>
              <w:spacing w:line="242" w:lineRule="auto"/>
              <w:rPr>
                <w:rFonts w:ascii="Arial"/>
                <w:sz w:val="21"/>
              </w:rPr>
            </w:pPr>
          </w:p>
          <w:p w14:paraId="7F974B00">
            <w:pPr>
              <w:spacing w:line="242" w:lineRule="auto"/>
              <w:rPr>
                <w:rFonts w:ascii="Arial"/>
                <w:sz w:val="21"/>
              </w:rPr>
            </w:pPr>
          </w:p>
          <w:p w14:paraId="3A1C2C3C">
            <w:pPr>
              <w:spacing w:line="242" w:lineRule="auto"/>
              <w:rPr>
                <w:rFonts w:ascii="Arial"/>
                <w:sz w:val="21"/>
              </w:rPr>
            </w:pPr>
          </w:p>
          <w:p w14:paraId="069562AC">
            <w:pPr>
              <w:spacing w:line="242" w:lineRule="auto"/>
              <w:rPr>
                <w:rFonts w:ascii="Arial"/>
                <w:sz w:val="21"/>
              </w:rPr>
            </w:pPr>
          </w:p>
          <w:p w14:paraId="6B94DBB9">
            <w:pPr>
              <w:spacing w:line="242" w:lineRule="auto"/>
              <w:rPr>
                <w:rFonts w:ascii="Arial"/>
                <w:sz w:val="21"/>
              </w:rPr>
            </w:pPr>
          </w:p>
          <w:p w14:paraId="21FD8F5C">
            <w:pPr>
              <w:spacing w:line="242" w:lineRule="auto"/>
              <w:rPr>
                <w:rFonts w:ascii="Arial"/>
                <w:sz w:val="21"/>
              </w:rPr>
            </w:pPr>
          </w:p>
          <w:p w14:paraId="5F6DCD41">
            <w:pPr>
              <w:spacing w:line="242" w:lineRule="auto"/>
              <w:rPr>
                <w:rFonts w:ascii="Arial"/>
                <w:sz w:val="21"/>
              </w:rPr>
            </w:pPr>
          </w:p>
          <w:p w14:paraId="7C8618B0">
            <w:pPr>
              <w:spacing w:line="242" w:lineRule="auto"/>
              <w:rPr>
                <w:rFonts w:ascii="Arial"/>
                <w:sz w:val="21"/>
              </w:rPr>
            </w:pPr>
          </w:p>
          <w:p w14:paraId="2F4F2D0B">
            <w:pPr>
              <w:spacing w:line="242" w:lineRule="auto"/>
              <w:rPr>
                <w:rFonts w:ascii="Arial"/>
                <w:sz w:val="21"/>
              </w:rPr>
            </w:pPr>
          </w:p>
          <w:p w14:paraId="19FE61FA">
            <w:pPr>
              <w:spacing w:line="242" w:lineRule="auto"/>
              <w:rPr>
                <w:rFonts w:ascii="Arial"/>
                <w:sz w:val="21"/>
              </w:rPr>
            </w:pPr>
          </w:p>
          <w:p w14:paraId="1E80ABDD">
            <w:pPr>
              <w:spacing w:line="242" w:lineRule="auto"/>
              <w:rPr>
                <w:rFonts w:ascii="Arial"/>
                <w:sz w:val="21"/>
              </w:rPr>
            </w:pPr>
          </w:p>
          <w:p w14:paraId="4A19EA28">
            <w:pPr>
              <w:spacing w:line="242" w:lineRule="auto"/>
              <w:rPr>
                <w:rFonts w:ascii="Arial"/>
                <w:sz w:val="21"/>
              </w:rPr>
            </w:pPr>
          </w:p>
          <w:p w14:paraId="3FBF9EFC">
            <w:pPr>
              <w:spacing w:line="242" w:lineRule="auto"/>
              <w:rPr>
                <w:rFonts w:ascii="Arial"/>
                <w:sz w:val="21"/>
              </w:rPr>
            </w:pPr>
          </w:p>
          <w:p w14:paraId="6E8976D0">
            <w:pPr>
              <w:spacing w:line="242" w:lineRule="auto"/>
              <w:rPr>
                <w:rFonts w:ascii="Arial"/>
                <w:sz w:val="21"/>
              </w:rPr>
            </w:pPr>
          </w:p>
          <w:p w14:paraId="689D9CF0">
            <w:pPr>
              <w:spacing w:line="242" w:lineRule="auto"/>
              <w:rPr>
                <w:rFonts w:ascii="Arial"/>
                <w:sz w:val="21"/>
              </w:rPr>
            </w:pPr>
          </w:p>
          <w:p w14:paraId="40A8D273">
            <w:pPr>
              <w:spacing w:line="242" w:lineRule="auto"/>
              <w:rPr>
                <w:rFonts w:ascii="Arial"/>
                <w:sz w:val="21"/>
              </w:rPr>
            </w:pPr>
          </w:p>
          <w:p w14:paraId="6CDC5A87">
            <w:pPr>
              <w:spacing w:line="242" w:lineRule="auto"/>
              <w:rPr>
                <w:rFonts w:ascii="Arial"/>
                <w:sz w:val="21"/>
              </w:rPr>
            </w:pPr>
          </w:p>
          <w:p w14:paraId="6379F712">
            <w:pPr>
              <w:pStyle w:val="6"/>
              <w:spacing w:before="65" w:line="228" w:lineRule="auto"/>
              <w:ind w:left="219"/>
            </w:pPr>
            <w:r>
              <w:rPr>
                <w:spacing w:val="2"/>
              </w:rPr>
              <w:t>西乌</w:t>
            </w:r>
          </w:p>
          <w:p w14:paraId="430A294C">
            <w:pPr>
              <w:pStyle w:val="6"/>
              <w:spacing w:before="24" w:line="228" w:lineRule="auto"/>
              <w:ind w:left="215"/>
            </w:pPr>
            <w:r>
              <w:rPr>
                <w:spacing w:val="4"/>
              </w:rPr>
              <w:t>珠穆</w:t>
            </w:r>
          </w:p>
          <w:p w14:paraId="4FE5CC39">
            <w:pPr>
              <w:pStyle w:val="6"/>
              <w:spacing w:before="24" w:line="226" w:lineRule="auto"/>
              <w:ind w:left="217"/>
            </w:pPr>
            <w:r>
              <w:rPr>
                <w:spacing w:val="3"/>
              </w:rPr>
              <w:t>沁旗</w:t>
            </w:r>
          </w:p>
          <w:p w14:paraId="6D644FC3">
            <w:pPr>
              <w:pStyle w:val="6"/>
              <w:spacing w:before="28" w:line="227" w:lineRule="auto"/>
              <w:ind w:left="214"/>
            </w:pPr>
            <w:r>
              <w:rPr>
                <w:spacing w:val="5"/>
              </w:rPr>
              <w:t>采矿</w:t>
            </w:r>
          </w:p>
          <w:p w14:paraId="2C426A9C">
            <w:pPr>
              <w:pStyle w:val="6"/>
              <w:spacing w:before="25" w:line="229" w:lineRule="auto"/>
              <w:ind w:left="216"/>
            </w:pPr>
            <w:r>
              <w:rPr>
                <w:spacing w:val="3"/>
              </w:rPr>
              <w:t>用地</w:t>
            </w:r>
          </w:p>
        </w:tc>
        <w:tc>
          <w:tcPr>
            <w:tcW w:w="428" w:type="dxa"/>
            <w:textDirection w:val="tbRlV"/>
            <w:vAlign w:val="top"/>
          </w:tcPr>
          <w:p w14:paraId="60A5D8B0">
            <w:pPr>
              <w:pStyle w:val="6"/>
              <w:spacing w:before="109" w:line="215" w:lineRule="auto"/>
              <w:ind w:left="3113"/>
            </w:pPr>
            <w:r>
              <w:rPr>
                <w:spacing w:val="8"/>
              </w:rPr>
              <w:t>空</w:t>
            </w:r>
            <w:r>
              <w:rPr>
                <w:spacing w:val="-32"/>
              </w:rPr>
              <w:t xml:space="preserve"> </w:t>
            </w:r>
            <w:r>
              <w:rPr>
                <w:spacing w:val="8"/>
              </w:rPr>
              <w:t>间</w:t>
            </w:r>
            <w:r>
              <w:rPr>
                <w:spacing w:val="-38"/>
              </w:rPr>
              <w:t xml:space="preserve"> </w:t>
            </w:r>
            <w:r>
              <w:rPr>
                <w:spacing w:val="8"/>
              </w:rPr>
              <w:t>布</w:t>
            </w:r>
            <w:r>
              <w:rPr>
                <w:spacing w:val="-35"/>
              </w:rPr>
              <w:t xml:space="preserve"> </w:t>
            </w:r>
            <w:r>
              <w:rPr>
                <w:spacing w:val="8"/>
              </w:rPr>
              <w:t>局</w:t>
            </w:r>
            <w:r>
              <w:rPr>
                <w:spacing w:val="-37"/>
              </w:rPr>
              <w:t xml:space="preserve"> </w:t>
            </w:r>
            <w:r>
              <w:rPr>
                <w:spacing w:val="8"/>
              </w:rPr>
              <w:t>约</w:t>
            </w:r>
            <w:r>
              <w:rPr>
                <w:spacing w:val="-38"/>
              </w:rPr>
              <w:t xml:space="preserve"> </w:t>
            </w:r>
            <w:r>
              <w:rPr>
                <w:spacing w:val="8"/>
              </w:rPr>
              <w:t>束</w:t>
            </w:r>
          </w:p>
        </w:tc>
        <w:tc>
          <w:tcPr>
            <w:tcW w:w="3728" w:type="dxa"/>
            <w:vAlign w:val="top"/>
          </w:tcPr>
          <w:p w14:paraId="6599866F">
            <w:pPr>
              <w:pStyle w:val="6"/>
              <w:spacing w:before="52" w:line="284" w:lineRule="auto"/>
              <w:ind w:left="110" w:right="20" w:firstLine="16"/>
            </w:pPr>
            <w:r>
              <w:rPr>
                <w:spacing w:val="8"/>
              </w:rPr>
              <w:t>1.非经国务院授权的有关主管部门同</w:t>
            </w:r>
            <w:r>
              <w:t xml:space="preserve">   </w:t>
            </w:r>
            <w:r>
              <w:rPr>
                <w:spacing w:val="4"/>
              </w:rPr>
              <w:t>意，不得在以下地区开采矿产资源</w:t>
            </w:r>
            <w:r>
              <w:rPr>
                <w:spacing w:val="-41"/>
                <w:w w:val="76"/>
              </w:rPr>
              <w:t>：（</w:t>
            </w:r>
            <w:r>
              <w:rPr>
                <w:spacing w:val="4"/>
              </w:rPr>
              <w:t>1）</w:t>
            </w:r>
            <w:r>
              <w:t xml:space="preserve"> </w:t>
            </w:r>
            <w:r>
              <w:rPr>
                <w:spacing w:val="6"/>
              </w:rPr>
              <w:t>港口、机场、国防工程建设设施圈定地</w:t>
            </w:r>
            <w:r>
              <w:rPr>
                <w:spacing w:val="1"/>
              </w:rPr>
              <w:t xml:space="preserve">  </w:t>
            </w:r>
            <w:r>
              <w:rPr>
                <w:spacing w:val="11"/>
              </w:rPr>
              <w:t>区以内</w:t>
            </w:r>
            <w:r>
              <w:rPr>
                <w:spacing w:val="-5"/>
              </w:rPr>
              <w:t>；（</w:t>
            </w:r>
            <w:r>
              <w:rPr>
                <w:spacing w:val="11"/>
              </w:rPr>
              <w:t>2）重要工业区、大型水利</w:t>
            </w:r>
            <w:r>
              <w:t xml:space="preserve">  </w:t>
            </w:r>
            <w:r>
              <w:rPr>
                <w:spacing w:val="6"/>
              </w:rPr>
              <w:t>工程设施、城镇市政工程设施附近一定</w:t>
            </w:r>
            <w:r>
              <w:t xml:space="preserve">  </w:t>
            </w:r>
            <w:r>
              <w:rPr>
                <w:spacing w:val="11"/>
              </w:rPr>
              <w:t>距离以内</w:t>
            </w:r>
            <w:r>
              <w:rPr>
                <w:spacing w:val="-5"/>
              </w:rPr>
              <w:t>；（</w:t>
            </w:r>
            <w:r>
              <w:rPr>
                <w:spacing w:val="11"/>
              </w:rPr>
              <w:t>3）铁路、重要公路两侧</w:t>
            </w:r>
            <w:r>
              <w:t xml:space="preserve">  </w:t>
            </w:r>
            <w:r>
              <w:rPr>
                <w:spacing w:val="11"/>
              </w:rPr>
              <w:t>一定距离以内</w:t>
            </w:r>
            <w:r>
              <w:rPr>
                <w:spacing w:val="-5"/>
              </w:rPr>
              <w:t>；（</w:t>
            </w:r>
            <w:r>
              <w:rPr>
                <w:spacing w:val="11"/>
              </w:rPr>
              <w:t>4）重要河流、堤坝</w:t>
            </w:r>
            <w:r>
              <w:t xml:space="preserve">  </w:t>
            </w:r>
            <w:r>
              <w:rPr>
                <w:spacing w:val="11"/>
              </w:rPr>
              <w:t>两侧一定距离以内</w:t>
            </w:r>
            <w:r>
              <w:rPr>
                <w:spacing w:val="-5"/>
              </w:rPr>
              <w:t>；（</w:t>
            </w:r>
            <w:r>
              <w:rPr>
                <w:spacing w:val="11"/>
              </w:rPr>
              <w:t>5）国家划定的</w:t>
            </w:r>
            <w:r>
              <w:t xml:space="preserve">  </w:t>
            </w:r>
            <w:r>
              <w:rPr>
                <w:spacing w:val="6"/>
              </w:rPr>
              <w:t>自然保护区、重要风景名胜区，国家重</w:t>
            </w:r>
            <w:r>
              <w:rPr>
                <w:spacing w:val="1"/>
              </w:rPr>
              <w:t xml:space="preserve">  </w:t>
            </w:r>
            <w:r>
              <w:rPr>
                <w:spacing w:val="9"/>
              </w:rPr>
              <w:t>点保护的不能移动的历史文物和名胜</w:t>
            </w:r>
            <w:r>
              <w:rPr>
                <w:spacing w:val="1"/>
              </w:rPr>
              <w:t xml:space="preserve">   </w:t>
            </w:r>
            <w:r>
              <w:rPr>
                <w:spacing w:val="11"/>
              </w:rPr>
              <w:t>古迹所在地</w:t>
            </w:r>
            <w:r>
              <w:rPr>
                <w:spacing w:val="-5"/>
              </w:rPr>
              <w:t>；（</w:t>
            </w:r>
            <w:r>
              <w:rPr>
                <w:spacing w:val="11"/>
              </w:rPr>
              <w:t>6）国家规定不得开采</w:t>
            </w:r>
            <w:r>
              <w:t xml:space="preserve">  </w:t>
            </w:r>
            <w:r>
              <w:rPr>
                <w:spacing w:val="6"/>
              </w:rPr>
              <w:t>矿产资源的其他地区。禁止在自然保护</w:t>
            </w:r>
            <w:r>
              <w:rPr>
                <w:spacing w:val="1"/>
              </w:rPr>
              <w:t xml:space="preserve">  </w:t>
            </w:r>
            <w:r>
              <w:rPr>
                <w:spacing w:val="6"/>
              </w:rPr>
              <w:t>区内从事开采活动。自然保护区内已有</w:t>
            </w:r>
            <w:r>
              <w:t xml:space="preserve">  </w:t>
            </w:r>
            <w:r>
              <w:rPr>
                <w:spacing w:val="6"/>
              </w:rPr>
              <w:t>探矿权和采矿权，在维护矿业权人合法</w:t>
            </w:r>
            <w:r>
              <w:rPr>
                <w:spacing w:val="1"/>
              </w:rPr>
              <w:t xml:space="preserve">  </w:t>
            </w:r>
            <w:r>
              <w:rPr>
                <w:spacing w:val="8"/>
              </w:rPr>
              <w:t>权益的前提下，依法有序退出。</w:t>
            </w:r>
          </w:p>
          <w:p w14:paraId="551318C8">
            <w:pPr>
              <w:pStyle w:val="6"/>
              <w:spacing w:before="65" w:line="268" w:lineRule="auto"/>
              <w:ind w:left="110" w:right="209" w:firstLine="3"/>
            </w:pPr>
            <w:r>
              <w:rPr>
                <w:spacing w:val="8"/>
              </w:rPr>
              <w:t>2.禁止在地质灾害危险区开采矿产资</w:t>
            </w:r>
            <w:r>
              <w:rPr>
                <w:spacing w:val="12"/>
              </w:rPr>
              <w:t xml:space="preserve"> </w:t>
            </w:r>
            <w:r>
              <w:rPr>
                <w:spacing w:val="8"/>
              </w:rPr>
              <w:t>源。禁止新建煤层含硫量大于</w:t>
            </w:r>
            <w:r>
              <w:rPr>
                <w:spacing w:val="-34"/>
              </w:rPr>
              <w:t xml:space="preserve"> </w:t>
            </w:r>
            <w:r>
              <w:rPr>
                <w:spacing w:val="8"/>
              </w:rPr>
              <w:t>3%的煤</w:t>
            </w:r>
            <w:r>
              <w:t xml:space="preserve"> 矿。</w:t>
            </w:r>
          </w:p>
          <w:p w14:paraId="04B67F75">
            <w:pPr>
              <w:pStyle w:val="6"/>
              <w:spacing w:before="65" w:line="276" w:lineRule="auto"/>
              <w:ind w:left="111" w:right="85" w:firstLine="4"/>
            </w:pPr>
            <w:r>
              <w:rPr>
                <w:spacing w:val="6"/>
              </w:rPr>
              <w:t>3.实行严格的矿山地质环境准入制度。</w:t>
            </w:r>
            <w:r>
              <w:rPr>
                <w:spacing w:val="12"/>
              </w:rPr>
              <w:t xml:space="preserve"> </w:t>
            </w:r>
            <w:r>
              <w:rPr>
                <w:spacing w:val="9"/>
              </w:rPr>
              <w:t>全面实行矿山地质环境保护与治理恢</w:t>
            </w:r>
            <w:r>
              <w:rPr>
                <w:spacing w:val="2"/>
              </w:rPr>
              <w:t xml:space="preserve">  </w:t>
            </w:r>
            <w:r>
              <w:rPr>
                <w:spacing w:val="6"/>
              </w:rPr>
              <w:t>复方案、矿产资源开发利用方案同步编</w:t>
            </w:r>
            <w:r>
              <w:rPr>
                <w:spacing w:val="2"/>
              </w:rPr>
              <w:t xml:space="preserve"> </w:t>
            </w:r>
            <w:r>
              <w:rPr>
                <w:spacing w:val="6"/>
              </w:rPr>
              <w:t>制、同步审查、同步实施的制度和社会</w:t>
            </w:r>
            <w:r>
              <w:t xml:space="preserve"> </w:t>
            </w:r>
            <w:r>
              <w:rPr>
                <w:spacing w:val="5"/>
              </w:rPr>
              <w:t>公示制度。</w:t>
            </w:r>
          </w:p>
          <w:p w14:paraId="0CCDECEB">
            <w:pPr>
              <w:pStyle w:val="6"/>
              <w:spacing w:before="66" w:line="257" w:lineRule="auto"/>
              <w:ind w:left="120" w:right="259" w:hanging="10"/>
            </w:pPr>
            <w:r>
              <w:rPr>
                <w:spacing w:val="8"/>
              </w:rPr>
              <w:t>4.严格执行《产业结构调整指导目录</w:t>
            </w:r>
            <w:r>
              <w:rPr>
                <w:spacing w:val="15"/>
              </w:rPr>
              <w:t xml:space="preserve"> </w:t>
            </w:r>
            <w:r>
              <w:rPr>
                <w:spacing w:val="6"/>
              </w:rPr>
              <w:t>（2019 年本）》</w:t>
            </w:r>
          </w:p>
        </w:tc>
        <w:tc>
          <w:tcPr>
            <w:tcW w:w="2808" w:type="dxa"/>
            <w:vAlign w:val="top"/>
          </w:tcPr>
          <w:p w14:paraId="2CA94FAA">
            <w:pPr>
              <w:spacing w:line="276" w:lineRule="auto"/>
              <w:rPr>
                <w:rFonts w:ascii="Arial"/>
                <w:sz w:val="21"/>
              </w:rPr>
            </w:pPr>
          </w:p>
          <w:p w14:paraId="465C9FDD">
            <w:pPr>
              <w:spacing w:line="276" w:lineRule="auto"/>
              <w:rPr>
                <w:rFonts w:ascii="Arial"/>
                <w:sz w:val="21"/>
              </w:rPr>
            </w:pPr>
          </w:p>
          <w:p w14:paraId="77A7F89E">
            <w:pPr>
              <w:spacing w:line="276" w:lineRule="auto"/>
              <w:rPr>
                <w:rFonts w:ascii="Arial"/>
                <w:sz w:val="21"/>
              </w:rPr>
            </w:pPr>
          </w:p>
          <w:p w14:paraId="77314DA4">
            <w:pPr>
              <w:spacing w:line="277" w:lineRule="auto"/>
              <w:rPr>
                <w:rFonts w:ascii="Arial"/>
                <w:sz w:val="21"/>
              </w:rPr>
            </w:pPr>
          </w:p>
          <w:p w14:paraId="31DB889B">
            <w:pPr>
              <w:spacing w:line="277" w:lineRule="auto"/>
              <w:rPr>
                <w:rFonts w:ascii="Arial"/>
                <w:sz w:val="21"/>
              </w:rPr>
            </w:pPr>
          </w:p>
          <w:p w14:paraId="2F2AE3AC">
            <w:pPr>
              <w:pStyle w:val="6"/>
              <w:spacing w:before="65" w:line="273" w:lineRule="auto"/>
              <w:ind w:left="112" w:right="177" w:firstLine="16"/>
            </w:pPr>
            <w:r>
              <w:rPr>
                <w:spacing w:val="7"/>
              </w:rPr>
              <w:t>1.项目所在地不涉及矿产资</w:t>
            </w:r>
            <w:r>
              <w:rPr>
                <w:spacing w:val="4"/>
              </w:rPr>
              <w:t xml:space="preserve"> </w:t>
            </w:r>
            <w:r>
              <w:rPr>
                <w:spacing w:val="9"/>
              </w:rPr>
              <w:t>源开采管控及禁止区域，本</w:t>
            </w:r>
            <w:r>
              <w:rPr>
                <w:spacing w:val="3"/>
              </w:rPr>
              <w:t xml:space="preserve"> </w:t>
            </w:r>
            <w:r>
              <w:rPr>
                <w:spacing w:val="9"/>
              </w:rPr>
              <w:t>项目为选矿厂技术改造，不</w:t>
            </w:r>
            <w:r>
              <w:rPr>
                <w:spacing w:val="1"/>
              </w:rPr>
              <w:t xml:space="preserve"> </w:t>
            </w:r>
            <w:r>
              <w:rPr>
                <w:spacing w:val="6"/>
              </w:rPr>
              <w:t>涉及采矿。</w:t>
            </w:r>
          </w:p>
          <w:p w14:paraId="5608A59E">
            <w:pPr>
              <w:pStyle w:val="6"/>
              <w:spacing w:before="65" w:line="258" w:lineRule="auto"/>
              <w:ind w:left="116" w:right="177" w:hanging="1"/>
            </w:pPr>
            <w:r>
              <w:rPr>
                <w:spacing w:val="8"/>
              </w:rPr>
              <w:t>2.本项目占地不属于地质灾</w:t>
            </w:r>
            <w:r>
              <w:rPr>
                <w:spacing w:val="4"/>
              </w:rPr>
              <w:t xml:space="preserve"> </w:t>
            </w:r>
            <w:r>
              <w:rPr>
                <w:spacing w:val="7"/>
              </w:rPr>
              <w:t>害危险区，不属于煤矿。</w:t>
            </w:r>
          </w:p>
          <w:p w14:paraId="32C2FA8F">
            <w:pPr>
              <w:pStyle w:val="6"/>
              <w:spacing w:before="64" w:line="279" w:lineRule="auto"/>
              <w:ind w:left="112" w:right="180" w:firstLine="5"/>
            </w:pPr>
            <w:r>
              <w:rPr>
                <w:spacing w:val="8"/>
              </w:rPr>
              <w:t>3.本项目矿山满足地质环境</w:t>
            </w:r>
            <w:r>
              <w:t xml:space="preserve"> </w:t>
            </w:r>
            <w:r>
              <w:rPr>
                <w:spacing w:val="9"/>
              </w:rPr>
              <w:t>准入制度。已制定矿山地质</w:t>
            </w:r>
            <w:r>
              <w:rPr>
                <w:spacing w:val="1"/>
              </w:rPr>
              <w:t xml:space="preserve"> </w:t>
            </w:r>
            <w:r>
              <w:rPr>
                <w:spacing w:val="9"/>
              </w:rPr>
              <w:t>环境保护与治理恢复方案、</w:t>
            </w:r>
            <w:r>
              <w:rPr>
                <w:spacing w:val="1"/>
              </w:rPr>
              <w:t xml:space="preserve"> </w:t>
            </w:r>
            <w:r>
              <w:rPr>
                <w:spacing w:val="9"/>
              </w:rPr>
              <w:t>矿产资源开发利用方案，方</w:t>
            </w:r>
            <w:r>
              <w:rPr>
                <w:spacing w:val="1"/>
              </w:rPr>
              <w:t xml:space="preserve"> </w:t>
            </w:r>
            <w:r>
              <w:rPr>
                <w:spacing w:val="9"/>
              </w:rPr>
              <w:t>案严格执行了同步编制、同</w:t>
            </w:r>
            <w:r>
              <w:rPr>
                <w:spacing w:val="1"/>
              </w:rPr>
              <w:t xml:space="preserve"> </w:t>
            </w:r>
            <w:r>
              <w:rPr>
                <w:spacing w:val="9"/>
              </w:rPr>
              <w:t>步审查、同步实施的制度和</w:t>
            </w:r>
            <w:r>
              <w:rPr>
                <w:spacing w:val="1"/>
              </w:rPr>
              <w:t xml:space="preserve"> </w:t>
            </w:r>
            <w:r>
              <w:rPr>
                <w:spacing w:val="7"/>
              </w:rPr>
              <w:t>社会公示制度。</w:t>
            </w:r>
          </w:p>
          <w:p w14:paraId="699746D1">
            <w:pPr>
              <w:pStyle w:val="6"/>
              <w:spacing w:before="68" w:line="268" w:lineRule="auto"/>
              <w:ind w:left="113" w:right="84" w:hanging="1"/>
            </w:pPr>
            <w:r>
              <w:rPr>
                <w:spacing w:val="8"/>
              </w:rPr>
              <w:t>4.本项目属于《产业结构调</w:t>
            </w:r>
            <w:r>
              <w:rPr>
                <w:spacing w:val="3"/>
              </w:rPr>
              <w:t xml:space="preserve">  </w:t>
            </w:r>
            <w:r>
              <w:rPr>
                <w:spacing w:val="6"/>
              </w:rPr>
              <w:t>整指导目录（2019 年本）》</w:t>
            </w:r>
            <w:r>
              <w:rPr>
                <w:spacing w:val="13"/>
              </w:rPr>
              <w:t xml:space="preserve"> </w:t>
            </w:r>
            <w:r>
              <w:rPr>
                <w:spacing w:val="5"/>
              </w:rPr>
              <w:t>中允许类。</w:t>
            </w:r>
          </w:p>
        </w:tc>
        <w:tc>
          <w:tcPr>
            <w:tcW w:w="635" w:type="dxa"/>
            <w:textDirection w:val="tbRlV"/>
            <w:vAlign w:val="top"/>
          </w:tcPr>
          <w:p w14:paraId="6DDD9546">
            <w:pPr>
              <w:pStyle w:val="6"/>
              <w:spacing w:before="210" w:line="215" w:lineRule="auto"/>
              <w:ind w:left="3658"/>
            </w:pPr>
            <w:r>
              <w:rPr>
                <w:spacing w:val="8"/>
              </w:rPr>
              <w:t>符</w:t>
            </w:r>
            <w:r>
              <w:rPr>
                <w:spacing w:val="-35"/>
              </w:rPr>
              <w:t xml:space="preserve"> </w:t>
            </w:r>
            <w:r>
              <w:rPr>
                <w:spacing w:val="8"/>
              </w:rPr>
              <w:t>合</w:t>
            </w:r>
          </w:p>
        </w:tc>
      </w:tr>
      <w:tr w14:paraId="6F15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837" w:type="dxa"/>
            <w:vMerge w:val="continue"/>
            <w:tcBorders>
              <w:top w:val="nil"/>
              <w:bottom w:val="nil"/>
            </w:tcBorders>
            <w:vAlign w:val="top"/>
          </w:tcPr>
          <w:p w14:paraId="2C1E81CD">
            <w:pPr>
              <w:rPr>
                <w:rFonts w:ascii="Arial"/>
                <w:sz w:val="21"/>
              </w:rPr>
            </w:pPr>
          </w:p>
        </w:tc>
        <w:tc>
          <w:tcPr>
            <w:tcW w:w="428" w:type="dxa"/>
            <w:textDirection w:val="tbRlV"/>
            <w:vAlign w:val="top"/>
          </w:tcPr>
          <w:p w14:paraId="6725AF74">
            <w:pPr>
              <w:pStyle w:val="6"/>
              <w:spacing w:before="110" w:line="216" w:lineRule="auto"/>
              <w:ind w:left="442"/>
            </w:pPr>
            <w:r>
              <w:rPr>
                <w:spacing w:val="8"/>
              </w:rPr>
              <w:t>污</w:t>
            </w:r>
            <w:r>
              <w:rPr>
                <w:spacing w:val="-31"/>
              </w:rPr>
              <w:t xml:space="preserve"> </w:t>
            </w:r>
            <w:r>
              <w:rPr>
                <w:spacing w:val="8"/>
              </w:rPr>
              <w:t>染</w:t>
            </w:r>
            <w:r>
              <w:rPr>
                <w:spacing w:val="-38"/>
              </w:rPr>
              <w:t xml:space="preserve"> </w:t>
            </w:r>
            <w:r>
              <w:rPr>
                <w:spacing w:val="8"/>
              </w:rPr>
              <w:t>物</w:t>
            </w:r>
            <w:r>
              <w:rPr>
                <w:spacing w:val="-35"/>
              </w:rPr>
              <w:t xml:space="preserve"> </w:t>
            </w:r>
            <w:r>
              <w:rPr>
                <w:spacing w:val="8"/>
              </w:rPr>
              <w:t>排</w:t>
            </w:r>
            <w:r>
              <w:rPr>
                <w:spacing w:val="-38"/>
              </w:rPr>
              <w:t xml:space="preserve"> </w:t>
            </w:r>
            <w:r>
              <w:rPr>
                <w:spacing w:val="8"/>
              </w:rPr>
              <w:t>放</w:t>
            </w:r>
            <w:r>
              <w:rPr>
                <w:spacing w:val="-37"/>
              </w:rPr>
              <w:t xml:space="preserve"> </w:t>
            </w:r>
            <w:r>
              <w:rPr>
                <w:spacing w:val="8"/>
              </w:rPr>
              <w:t>管</w:t>
            </w:r>
            <w:r>
              <w:rPr>
                <w:spacing w:val="-35"/>
              </w:rPr>
              <w:t xml:space="preserve"> </w:t>
            </w:r>
            <w:r>
              <w:rPr>
                <w:spacing w:val="8"/>
              </w:rPr>
              <w:t>控</w:t>
            </w:r>
          </w:p>
        </w:tc>
        <w:tc>
          <w:tcPr>
            <w:tcW w:w="3728" w:type="dxa"/>
            <w:vAlign w:val="top"/>
          </w:tcPr>
          <w:p w14:paraId="7BBEB297">
            <w:pPr>
              <w:rPr>
                <w:rFonts w:ascii="Arial"/>
                <w:sz w:val="21"/>
              </w:rPr>
            </w:pPr>
          </w:p>
          <w:p w14:paraId="6AEC810E">
            <w:pPr>
              <w:spacing w:line="241" w:lineRule="auto"/>
              <w:rPr>
                <w:rFonts w:ascii="Arial"/>
                <w:sz w:val="21"/>
              </w:rPr>
            </w:pPr>
          </w:p>
          <w:p w14:paraId="4F77EFB5">
            <w:pPr>
              <w:spacing w:line="241" w:lineRule="auto"/>
              <w:rPr>
                <w:rFonts w:ascii="Arial"/>
                <w:sz w:val="21"/>
              </w:rPr>
            </w:pPr>
          </w:p>
          <w:p w14:paraId="1ED309B3">
            <w:pPr>
              <w:pStyle w:val="6"/>
              <w:spacing w:before="66" w:line="258" w:lineRule="auto"/>
              <w:ind w:left="114" w:right="85" w:firstLine="12"/>
            </w:pPr>
            <w:r>
              <w:rPr>
                <w:spacing w:val="8"/>
              </w:rPr>
              <w:t>1.执行锡林郭勒盟总体准入要求中第</w:t>
            </w:r>
            <w:r>
              <w:t xml:space="preserve">  </w:t>
            </w:r>
            <w:r>
              <w:rPr>
                <w:spacing w:val="7"/>
              </w:rPr>
              <w:t>二条关于污染物排放管控的准入要求。</w:t>
            </w:r>
          </w:p>
          <w:p w14:paraId="60B73597">
            <w:pPr>
              <w:pStyle w:val="6"/>
              <w:spacing w:before="65" w:line="258" w:lineRule="auto"/>
              <w:ind w:left="110" w:right="105" w:firstLine="3"/>
            </w:pPr>
            <w:r>
              <w:rPr>
                <w:spacing w:val="5"/>
              </w:rPr>
              <w:t>2.强化矿山开采、储存、装卸、运输过</w:t>
            </w:r>
            <w:r>
              <w:rPr>
                <w:spacing w:val="12"/>
              </w:rPr>
              <w:t xml:space="preserve"> </w:t>
            </w:r>
            <w:r>
              <w:rPr>
                <w:spacing w:val="8"/>
              </w:rPr>
              <w:t>程的污染防治，确保扬尘达标排放。</w:t>
            </w:r>
          </w:p>
        </w:tc>
        <w:tc>
          <w:tcPr>
            <w:tcW w:w="2808" w:type="dxa"/>
            <w:vAlign w:val="top"/>
          </w:tcPr>
          <w:p w14:paraId="33A28EEE">
            <w:pPr>
              <w:pStyle w:val="6"/>
              <w:spacing w:before="35" w:line="247" w:lineRule="auto"/>
              <w:ind w:left="113" w:right="103" w:firstLine="15"/>
            </w:pPr>
            <w:r>
              <w:rPr>
                <w:spacing w:val="5"/>
              </w:rPr>
              <w:t>1、项目符合锡林郭勒盟总体</w:t>
            </w:r>
            <w:r>
              <w:rPr>
                <w:spacing w:val="4"/>
              </w:rPr>
              <w:t xml:space="preserve"> </w:t>
            </w:r>
            <w:r>
              <w:rPr>
                <w:spacing w:val="9"/>
              </w:rPr>
              <w:t>准入要求中第二条关于污染</w:t>
            </w:r>
            <w:r>
              <w:t xml:space="preserve"> </w:t>
            </w:r>
            <w:r>
              <w:rPr>
                <w:spacing w:val="9"/>
              </w:rPr>
              <w:t>物排放管控的准入要求，严</w:t>
            </w:r>
            <w:r>
              <w:t xml:space="preserve"> </w:t>
            </w:r>
            <w:r>
              <w:rPr>
                <w:spacing w:val="9"/>
              </w:rPr>
              <w:t>格落实污染物排放总量控制</w:t>
            </w:r>
            <w:r>
              <w:t xml:space="preserve"> </w:t>
            </w:r>
            <w:r>
              <w:rPr>
                <w:spacing w:val="9"/>
              </w:rPr>
              <w:t>制度，已经在报告中针对污</w:t>
            </w:r>
            <w:r>
              <w:t xml:space="preserve"> </w:t>
            </w:r>
            <w:r>
              <w:rPr>
                <w:spacing w:val="8"/>
              </w:rPr>
              <w:t>染物排放总量进行核算。</w:t>
            </w:r>
          </w:p>
          <w:p w14:paraId="0280A448">
            <w:pPr>
              <w:pStyle w:val="6"/>
              <w:spacing w:before="27" w:line="242" w:lineRule="auto"/>
              <w:ind w:left="112" w:right="107" w:firstLine="3"/>
            </w:pPr>
            <w:r>
              <w:rPr>
                <w:spacing w:val="6"/>
              </w:rPr>
              <w:t>2、本项目矿山开采、储存、</w:t>
            </w:r>
            <w:r>
              <w:rPr>
                <w:spacing w:val="1"/>
              </w:rPr>
              <w:t xml:space="preserve"> </w:t>
            </w:r>
            <w:r>
              <w:rPr>
                <w:spacing w:val="9"/>
              </w:rPr>
              <w:t>装卸、运输过程严格按照环</w:t>
            </w:r>
            <w:r>
              <w:rPr>
                <w:spacing w:val="1"/>
              </w:rPr>
              <w:t xml:space="preserve"> </w:t>
            </w:r>
            <w:r>
              <w:rPr>
                <w:spacing w:val="9"/>
              </w:rPr>
              <w:t>评要求进行污染防治，能够</w:t>
            </w:r>
            <w:r>
              <w:rPr>
                <w:spacing w:val="1"/>
              </w:rPr>
              <w:t xml:space="preserve"> </w:t>
            </w:r>
            <w:r>
              <w:rPr>
                <w:spacing w:val="7"/>
              </w:rPr>
              <w:t>确保扬尘达标排放。</w:t>
            </w:r>
          </w:p>
        </w:tc>
        <w:tc>
          <w:tcPr>
            <w:tcW w:w="635" w:type="dxa"/>
            <w:textDirection w:val="tbRlV"/>
            <w:vAlign w:val="top"/>
          </w:tcPr>
          <w:p w14:paraId="352A3506">
            <w:pPr>
              <w:pStyle w:val="6"/>
              <w:spacing w:before="210" w:line="215" w:lineRule="auto"/>
              <w:ind w:left="1124"/>
            </w:pPr>
            <w:r>
              <w:rPr>
                <w:spacing w:val="8"/>
              </w:rPr>
              <w:t>符</w:t>
            </w:r>
            <w:r>
              <w:rPr>
                <w:spacing w:val="-38"/>
              </w:rPr>
              <w:t xml:space="preserve"> </w:t>
            </w:r>
            <w:r>
              <w:rPr>
                <w:spacing w:val="8"/>
              </w:rPr>
              <w:t>合</w:t>
            </w:r>
          </w:p>
        </w:tc>
      </w:tr>
      <w:tr w14:paraId="6639A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37" w:type="dxa"/>
            <w:vMerge w:val="continue"/>
            <w:tcBorders>
              <w:top w:val="nil"/>
            </w:tcBorders>
            <w:vAlign w:val="top"/>
          </w:tcPr>
          <w:p w14:paraId="5269E3BD">
            <w:pPr>
              <w:rPr>
                <w:rFonts w:ascii="Arial"/>
                <w:sz w:val="21"/>
              </w:rPr>
            </w:pPr>
          </w:p>
        </w:tc>
        <w:tc>
          <w:tcPr>
            <w:tcW w:w="428" w:type="dxa"/>
            <w:textDirection w:val="tbRlV"/>
            <w:vAlign w:val="top"/>
          </w:tcPr>
          <w:p w14:paraId="7EADA3D2">
            <w:pPr>
              <w:pStyle w:val="6"/>
              <w:spacing w:before="110" w:line="216" w:lineRule="auto"/>
              <w:ind w:left="74"/>
            </w:pPr>
            <w:r>
              <w:rPr>
                <w:spacing w:val="8"/>
              </w:rPr>
              <w:t>环</w:t>
            </w:r>
            <w:r>
              <w:rPr>
                <w:spacing w:val="-35"/>
              </w:rPr>
              <w:t xml:space="preserve"> </w:t>
            </w:r>
            <w:r>
              <w:rPr>
                <w:spacing w:val="8"/>
              </w:rPr>
              <w:t>境</w:t>
            </w:r>
          </w:p>
        </w:tc>
        <w:tc>
          <w:tcPr>
            <w:tcW w:w="3728" w:type="dxa"/>
            <w:vAlign w:val="top"/>
          </w:tcPr>
          <w:p w14:paraId="0D18A82F">
            <w:pPr>
              <w:pStyle w:val="6"/>
              <w:spacing w:before="55" w:line="261" w:lineRule="auto"/>
              <w:ind w:left="112" w:right="261" w:hanging="1"/>
            </w:pPr>
            <w:r>
              <w:rPr>
                <w:spacing w:val="9"/>
              </w:rPr>
              <w:t>执行锡林郭勒盟总体准入要求中第三</w:t>
            </w:r>
            <w:r>
              <w:rPr>
                <w:spacing w:val="4"/>
              </w:rPr>
              <w:t xml:space="preserve"> </w:t>
            </w:r>
            <w:r>
              <w:rPr>
                <w:spacing w:val="8"/>
              </w:rPr>
              <w:t>条关于环境风险防控的准入要求。</w:t>
            </w:r>
          </w:p>
        </w:tc>
        <w:tc>
          <w:tcPr>
            <w:tcW w:w="2808" w:type="dxa"/>
            <w:vAlign w:val="top"/>
          </w:tcPr>
          <w:p w14:paraId="75550D5D">
            <w:pPr>
              <w:pStyle w:val="6"/>
              <w:spacing w:before="75" w:line="252" w:lineRule="auto"/>
              <w:ind w:left="113" w:right="105"/>
            </w:pPr>
            <w:r>
              <w:rPr>
                <w:spacing w:val="15"/>
              </w:rPr>
              <w:t>本项目项目严格执行区域重</w:t>
            </w:r>
            <w:r>
              <w:rPr>
                <w:spacing w:val="2"/>
              </w:rPr>
              <w:t xml:space="preserve"> </w:t>
            </w:r>
            <w:r>
              <w:rPr>
                <w:spacing w:val="15"/>
              </w:rPr>
              <w:t>污染天气应急响应措施。本</w:t>
            </w:r>
          </w:p>
        </w:tc>
        <w:tc>
          <w:tcPr>
            <w:tcW w:w="635" w:type="dxa"/>
            <w:textDirection w:val="tbRlV"/>
            <w:vAlign w:val="top"/>
          </w:tcPr>
          <w:p w14:paraId="5ADFDCD6">
            <w:pPr>
              <w:pStyle w:val="6"/>
              <w:spacing w:before="210" w:line="215" w:lineRule="auto"/>
              <w:ind w:left="74"/>
            </w:pPr>
            <w:r>
              <w:rPr>
                <w:spacing w:val="8"/>
              </w:rPr>
              <w:t>符</w:t>
            </w:r>
            <w:r>
              <w:rPr>
                <w:spacing w:val="-35"/>
              </w:rPr>
              <w:t xml:space="preserve"> </w:t>
            </w:r>
            <w:r>
              <w:rPr>
                <w:spacing w:val="8"/>
              </w:rPr>
              <w:t>合</w:t>
            </w:r>
          </w:p>
        </w:tc>
      </w:tr>
    </w:tbl>
    <w:p w14:paraId="3D410322">
      <w:pPr>
        <w:pStyle w:val="2"/>
        <w:spacing w:line="146" w:lineRule="exact"/>
        <w:rPr>
          <w:sz w:val="12"/>
        </w:rPr>
      </w:pPr>
    </w:p>
    <w:p w14:paraId="4F6558DC">
      <w:pPr>
        <w:spacing w:line="146" w:lineRule="exact"/>
        <w:rPr>
          <w:sz w:val="12"/>
          <w:szCs w:val="12"/>
        </w:rPr>
        <w:sectPr>
          <w:headerReference r:id="rId414" w:type="default"/>
          <w:footerReference r:id="rId415" w:type="default"/>
          <w:pgSz w:w="11906" w:h="16839"/>
          <w:pgMar w:top="1208" w:right="1732" w:bottom="1358" w:left="1732" w:header="825" w:footer="1195" w:gutter="0"/>
          <w:cols w:space="720" w:num="1"/>
        </w:sectPr>
      </w:pPr>
    </w:p>
    <w:p w14:paraId="74B390E9">
      <w:pPr>
        <w:spacing w:line="231" w:lineRule="exact"/>
      </w:pPr>
    </w:p>
    <w:tbl>
      <w:tblPr>
        <w:tblStyle w:val="5"/>
        <w:tblW w:w="84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428"/>
        <w:gridCol w:w="3728"/>
        <w:gridCol w:w="2808"/>
        <w:gridCol w:w="635"/>
      </w:tblGrid>
      <w:tr w14:paraId="0C0ED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837" w:type="dxa"/>
            <w:vMerge w:val="restart"/>
            <w:tcBorders>
              <w:bottom w:val="nil"/>
            </w:tcBorders>
            <w:vAlign w:val="top"/>
          </w:tcPr>
          <w:p w14:paraId="4F22EE04">
            <w:pPr>
              <w:rPr>
                <w:rFonts w:ascii="Arial"/>
                <w:sz w:val="21"/>
              </w:rPr>
            </w:pPr>
          </w:p>
        </w:tc>
        <w:tc>
          <w:tcPr>
            <w:tcW w:w="428" w:type="dxa"/>
            <w:textDirection w:val="tbRlV"/>
            <w:vAlign w:val="top"/>
          </w:tcPr>
          <w:p w14:paraId="4484FBB5">
            <w:pPr>
              <w:pStyle w:val="6"/>
              <w:spacing w:before="109" w:line="217" w:lineRule="auto"/>
              <w:ind w:left="37"/>
            </w:pPr>
            <w:r>
              <w:rPr>
                <w:spacing w:val="8"/>
              </w:rPr>
              <w:t>风</w:t>
            </w:r>
            <w:r>
              <w:rPr>
                <w:spacing w:val="-36"/>
              </w:rPr>
              <w:t xml:space="preserve"> </w:t>
            </w:r>
            <w:r>
              <w:rPr>
                <w:spacing w:val="8"/>
              </w:rPr>
              <w:t>险</w:t>
            </w:r>
            <w:r>
              <w:rPr>
                <w:spacing w:val="-38"/>
              </w:rPr>
              <w:t xml:space="preserve"> </w:t>
            </w:r>
            <w:r>
              <w:rPr>
                <w:spacing w:val="8"/>
              </w:rPr>
              <w:t>防</w:t>
            </w:r>
            <w:r>
              <w:rPr>
                <w:spacing w:val="-35"/>
              </w:rPr>
              <w:t xml:space="preserve"> </w:t>
            </w:r>
            <w:r>
              <w:rPr>
                <w:spacing w:val="8"/>
              </w:rPr>
              <w:t>控</w:t>
            </w:r>
          </w:p>
        </w:tc>
        <w:tc>
          <w:tcPr>
            <w:tcW w:w="3728" w:type="dxa"/>
            <w:vAlign w:val="top"/>
          </w:tcPr>
          <w:p w14:paraId="0FB89564">
            <w:pPr>
              <w:rPr>
                <w:rFonts w:ascii="Arial"/>
                <w:sz w:val="21"/>
              </w:rPr>
            </w:pPr>
          </w:p>
        </w:tc>
        <w:tc>
          <w:tcPr>
            <w:tcW w:w="2808" w:type="dxa"/>
            <w:vAlign w:val="top"/>
          </w:tcPr>
          <w:p w14:paraId="23F68489">
            <w:pPr>
              <w:pStyle w:val="6"/>
              <w:spacing w:before="38" w:line="244" w:lineRule="auto"/>
              <w:ind w:left="113" w:right="105" w:firstLine="2"/>
              <w:jc w:val="both"/>
            </w:pPr>
            <w:r>
              <w:rPr>
                <w:spacing w:val="15"/>
              </w:rPr>
              <w:t>项目不属于高能耗、高物耗</w:t>
            </w:r>
            <w:r>
              <w:t xml:space="preserve"> </w:t>
            </w:r>
            <w:r>
              <w:rPr>
                <w:spacing w:val="15"/>
              </w:rPr>
              <w:t>和产能过剩、低水平重复建</w:t>
            </w:r>
            <w:r>
              <w:rPr>
                <w:spacing w:val="2"/>
              </w:rPr>
              <w:t xml:space="preserve"> </w:t>
            </w:r>
            <w:r>
              <w:rPr>
                <w:spacing w:val="15"/>
              </w:rPr>
              <w:t>设项目，不属于高风险化学</w:t>
            </w:r>
            <w:r>
              <w:rPr>
                <w:spacing w:val="2"/>
              </w:rPr>
              <w:t xml:space="preserve"> </w:t>
            </w:r>
            <w:r>
              <w:rPr>
                <w:spacing w:val="15"/>
              </w:rPr>
              <w:t>品生产、使用项目，不涉及</w:t>
            </w:r>
            <w:r>
              <w:rPr>
                <w:spacing w:val="2"/>
              </w:rPr>
              <w:t xml:space="preserve"> </w:t>
            </w:r>
            <w:r>
              <w:rPr>
                <w:spacing w:val="6"/>
              </w:rPr>
              <w:t>重大环境风险。</w:t>
            </w:r>
          </w:p>
        </w:tc>
        <w:tc>
          <w:tcPr>
            <w:tcW w:w="635" w:type="dxa"/>
            <w:vAlign w:val="top"/>
          </w:tcPr>
          <w:p w14:paraId="3C1FE158">
            <w:pPr>
              <w:rPr>
                <w:rFonts w:ascii="Arial"/>
                <w:sz w:val="21"/>
              </w:rPr>
            </w:pPr>
          </w:p>
        </w:tc>
      </w:tr>
      <w:tr w14:paraId="1B701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837" w:type="dxa"/>
            <w:vMerge w:val="continue"/>
            <w:tcBorders>
              <w:top w:val="nil"/>
            </w:tcBorders>
            <w:vAlign w:val="top"/>
          </w:tcPr>
          <w:p w14:paraId="759B48A3">
            <w:pPr>
              <w:rPr>
                <w:rFonts w:ascii="Arial"/>
                <w:sz w:val="21"/>
              </w:rPr>
            </w:pPr>
          </w:p>
        </w:tc>
        <w:tc>
          <w:tcPr>
            <w:tcW w:w="428" w:type="dxa"/>
            <w:textDirection w:val="tbRlV"/>
            <w:vAlign w:val="top"/>
          </w:tcPr>
          <w:p w14:paraId="2C81925F">
            <w:pPr>
              <w:pStyle w:val="6"/>
              <w:spacing w:before="109" w:line="215" w:lineRule="auto"/>
              <w:ind w:left="32"/>
            </w:pPr>
            <w:r>
              <w:rPr>
                <w:spacing w:val="8"/>
              </w:rPr>
              <w:t>资</w:t>
            </w:r>
            <w:r>
              <w:rPr>
                <w:spacing w:val="-33"/>
              </w:rPr>
              <w:t xml:space="preserve"> </w:t>
            </w:r>
            <w:r>
              <w:rPr>
                <w:spacing w:val="8"/>
              </w:rPr>
              <w:t>源</w:t>
            </w:r>
            <w:r>
              <w:rPr>
                <w:spacing w:val="-35"/>
              </w:rPr>
              <w:t xml:space="preserve"> </w:t>
            </w:r>
            <w:r>
              <w:rPr>
                <w:spacing w:val="8"/>
              </w:rPr>
              <w:t>利</w:t>
            </w:r>
            <w:r>
              <w:rPr>
                <w:spacing w:val="-38"/>
              </w:rPr>
              <w:t xml:space="preserve"> </w:t>
            </w:r>
            <w:r>
              <w:rPr>
                <w:spacing w:val="8"/>
              </w:rPr>
              <w:t>用</w:t>
            </w:r>
            <w:r>
              <w:rPr>
                <w:spacing w:val="-35"/>
              </w:rPr>
              <w:t xml:space="preserve"> </w:t>
            </w:r>
            <w:r>
              <w:rPr>
                <w:spacing w:val="8"/>
              </w:rPr>
              <w:t>效</w:t>
            </w:r>
            <w:r>
              <w:rPr>
                <w:spacing w:val="-37"/>
              </w:rPr>
              <w:t xml:space="preserve"> </w:t>
            </w:r>
            <w:r>
              <w:rPr>
                <w:spacing w:val="8"/>
              </w:rPr>
              <w:t>率</w:t>
            </w:r>
            <w:r>
              <w:rPr>
                <w:spacing w:val="-35"/>
              </w:rPr>
              <w:t xml:space="preserve"> </w:t>
            </w:r>
            <w:r>
              <w:rPr>
                <w:spacing w:val="8"/>
              </w:rPr>
              <w:t>要</w:t>
            </w:r>
            <w:r>
              <w:rPr>
                <w:spacing w:val="-38"/>
              </w:rPr>
              <w:t xml:space="preserve"> </w:t>
            </w:r>
            <w:r>
              <w:rPr>
                <w:spacing w:val="8"/>
              </w:rPr>
              <w:t>求</w:t>
            </w:r>
          </w:p>
        </w:tc>
        <w:tc>
          <w:tcPr>
            <w:tcW w:w="3728" w:type="dxa"/>
            <w:vAlign w:val="top"/>
          </w:tcPr>
          <w:p w14:paraId="4A02D8FC">
            <w:pPr>
              <w:pStyle w:val="6"/>
              <w:spacing w:before="205" w:line="268" w:lineRule="auto"/>
              <w:ind w:left="110" w:right="105" w:firstLine="16"/>
            </w:pPr>
            <w:r>
              <w:rPr>
                <w:spacing w:val="5"/>
              </w:rPr>
              <w:t>1.严控地下水超采。严格执行《地下水</w:t>
            </w:r>
            <w:r>
              <w:t xml:space="preserve"> </w:t>
            </w:r>
            <w:r>
              <w:rPr>
                <w:spacing w:val="9"/>
              </w:rPr>
              <w:t>超采区和重要地下水水源地水位与水</w:t>
            </w:r>
            <w:r>
              <w:rPr>
                <w:spacing w:val="2"/>
              </w:rPr>
              <w:t xml:space="preserve">  </w:t>
            </w:r>
            <w:r>
              <w:rPr>
                <w:spacing w:val="5"/>
              </w:rPr>
              <w:t>量双控方案》。</w:t>
            </w:r>
          </w:p>
          <w:p w14:paraId="540D8DB3">
            <w:pPr>
              <w:pStyle w:val="6"/>
              <w:spacing w:before="63" w:line="268" w:lineRule="auto"/>
              <w:ind w:left="111" w:right="5" w:firstLine="2"/>
            </w:pPr>
            <w:r>
              <w:rPr>
                <w:spacing w:val="7"/>
              </w:rPr>
              <w:t>2.实行地下水“五控</w:t>
            </w:r>
            <w:r>
              <w:rPr>
                <w:spacing w:val="-54"/>
              </w:rPr>
              <w:t xml:space="preserve"> </w:t>
            </w:r>
            <w:r>
              <w:rPr>
                <w:spacing w:val="7"/>
              </w:rPr>
              <w:t>”制度。“五控</w:t>
            </w:r>
            <w:r>
              <w:rPr>
                <w:spacing w:val="-70"/>
              </w:rPr>
              <w:t xml:space="preserve"> </w:t>
            </w:r>
            <w:r>
              <w:rPr>
                <w:spacing w:val="7"/>
              </w:rPr>
              <w:t>”</w:t>
            </w:r>
            <w:r>
              <w:t xml:space="preserve"> </w:t>
            </w:r>
            <w:r>
              <w:rPr>
                <w:spacing w:val="9"/>
              </w:rPr>
              <w:t>即严格管控地下水开发利用总量、水</w:t>
            </w:r>
            <w:r>
              <w:rPr>
                <w:spacing w:val="1"/>
              </w:rPr>
              <w:t xml:space="preserve">   </w:t>
            </w:r>
            <w:r>
              <w:rPr>
                <w:spacing w:val="8"/>
              </w:rPr>
              <w:t>位、用途、水质及机电井数量。</w:t>
            </w:r>
          </w:p>
        </w:tc>
        <w:tc>
          <w:tcPr>
            <w:tcW w:w="2808" w:type="dxa"/>
            <w:vAlign w:val="top"/>
          </w:tcPr>
          <w:p w14:paraId="4E211AD1">
            <w:pPr>
              <w:spacing w:line="322" w:lineRule="auto"/>
              <w:rPr>
                <w:rFonts w:ascii="Arial"/>
                <w:sz w:val="21"/>
              </w:rPr>
            </w:pPr>
          </w:p>
          <w:p w14:paraId="61460ED6">
            <w:pPr>
              <w:spacing w:line="322" w:lineRule="auto"/>
              <w:rPr>
                <w:rFonts w:ascii="Arial"/>
                <w:sz w:val="21"/>
              </w:rPr>
            </w:pPr>
          </w:p>
          <w:p w14:paraId="22C60B6F">
            <w:pPr>
              <w:pStyle w:val="6"/>
              <w:spacing w:before="65" w:line="252" w:lineRule="auto"/>
              <w:ind w:left="114" w:right="180" w:hanging="1"/>
              <w:jc w:val="both"/>
            </w:pPr>
            <w:r>
              <w:rPr>
                <w:spacing w:val="9"/>
              </w:rPr>
              <w:t>本项目生产用水为矿井疏干</w:t>
            </w:r>
            <w:r>
              <w:t xml:space="preserve"> </w:t>
            </w:r>
            <w:r>
              <w:rPr>
                <w:spacing w:val="8"/>
              </w:rPr>
              <w:t>水。生活用水严格按取水证</w:t>
            </w:r>
            <w:r>
              <w:rPr>
                <w:spacing w:val="10"/>
              </w:rPr>
              <w:t xml:space="preserve"> </w:t>
            </w:r>
            <w:r>
              <w:rPr>
                <w:spacing w:val="6"/>
              </w:rPr>
              <w:t>取用地下水。</w:t>
            </w:r>
          </w:p>
        </w:tc>
        <w:tc>
          <w:tcPr>
            <w:tcW w:w="635" w:type="dxa"/>
            <w:textDirection w:val="tbRlV"/>
            <w:vAlign w:val="top"/>
          </w:tcPr>
          <w:p w14:paraId="59569A99">
            <w:pPr>
              <w:pStyle w:val="6"/>
              <w:spacing w:before="210" w:line="215" w:lineRule="auto"/>
              <w:ind w:left="848"/>
            </w:pPr>
            <w:r>
              <w:rPr>
                <w:spacing w:val="8"/>
              </w:rPr>
              <w:t>符</w:t>
            </w:r>
            <w:r>
              <w:rPr>
                <w:spacing w:val="-37"/>
              </w:rPr>
              <w:t xml:space="preserve"> </w:t>
            </w:r>
            <w:r>
              <w:rPr>
                <w:spacing w:val="8"/>
              </w:rPr>
              <w:t>合</w:t>
            </w:r>
          </w:p>
        </w:tc>
      </w:tr>
    </w:tbl>
    <w:p w14:paraId="3BAA39D3">
      <w:pPr>
        <w:spacing w:before="114" w:line="362" w:lineRule="auto"/>
        <w:ind w:left="76" w:right="67" w:firstLine="481"/>
        <w:jc w:val="both"/>
        <w:rPr>
          <w:rFonts w:ascii="宋体" w:hAnsi="宋体" w:eastAsia="宋体" w:cs="宋体"/>
          <w:sz w:val="24"/>
          <w:szCs w:val="24"/>
        </w:rPr>
      </w:pPr>
      <w:r>
        <w:rPr>
          <w:rFonts w:ascii="宋体" w:hAnsi="宋体" w:eastAsia="宋体" w:cs="宋体"/>
          <w:spacing w:val="-3"/>
          <w:sz w:val="24"/>
          <w:szCs w:val="24"/>
        </w:rPr>
        <w:t>本项目符合该环境管控单元的空间布局约束、污染物排放管控</w:t>
      </w:r>
      <w:r>
        <w:rPr>
          <w:rFonts w:ascii="宋体" w:hAnsi="宋体" w:eastAsia="宋体" w:cs="宋体"/>
          <w:spacing w:val="-4"/>
          <w:sz w:val="24"/>
          <w:szCs w:val="24"/>
        </w:rPr>
        <w:t>、环境风险防</w:t>
      </w:r>
      <w:r>
        <w:rPr>
          <w:rFonts w:ascii="宋体" w:hAnsi="宋体" w:eastAsia="宋体" w:cs="宋体"/>
          <w:sz w:val="24"/>
          <w:szCs w:val="24"/>
        </w:rPr>
        <w:t xml:space="preserve"> </w:t>
      </w:r>
      <w:r>
        <w:rPr>
          <w:rFonts w:ascii="宋体" w:hAnsi="宋体" w:eastAsia="宋体" w:cs="宋体"/>
          <w:spacing w:val="-3"/>
          <w:sz w:val="24"/>
          <w:szCs w:val="24"/>
        </w:rPr>
        <w:t>控、资源利用效率要求等管控要求。因此，本项目的建设符合锡林郭勒盟生态环</w:t>
      </w:r>
      <w:r>
        <w:rPr>
          <w:rFonts w:ascii="宋体" w:hAnsi="宋体" w:eastAsia="宋体" w:cs="宋体"/>
          <w:spacing w:val="1"/>
          <w:sz w:val="24"/>
          <w:szCs w:val="24"/>
        </w:rPr>
        <w:t xml:space="preserve"> </w:t>
      </w:r>
      <w:r>
        <w:rPr>
          <w:rFonts w:ascii="宋体" w:hAnsi="宋体" w:eastAsia="宋体" w:cs="宋体"/>
          <w:spacing w:val="-2"/>
          <w:sz w:val="24"/>
          <w:szCs w:val="24"/>
        </w:rPr>
        <w:t>境准入要求。</w:t>
      </w:r>
    </w:p>
    <w:p w14:paraId="77A9F250">
      <w:pPr>
        <w:spacing w:line="362" w:lineRule="auto"/>
        <w:rPr>
          <w:rFonts w:ascii="宋体" w:hAnsi="宋体" w:eastAsia="宋体" w:cs="宋体"/>
          <w:sz w:val="24"/>
          <w:szCs w:val="24"/>
        </w:rPr>
        <w:sectPr>
          <w:footerReference r:id="rId416" w:type="default"/>
          <w:pgSz w:w="11906" w:h="16839"/>
          <w:pgMar w:top="1208" w:right="1732" w:bottom="1358" w:left="1732" w:header="825" w:footer="1195" w:gutter="0"/>
          <w:cols w:space="720" w:num="1"/>
        </w:sectPr>
      </w:pPr>
    </w:p>
    <w:p w14:paraId="694BEE70">
      <w:pPr>
        <w:spacing w:before="271" w:line="222" w:lineRule="auto"/>
        <w:ind w:left="39"/>
        <w:outlineLvl w:val="0"/>
        <w:rPr>
          <w:rFonts w:ascii="黑体" w:hAnsi="黑体" w:eastAsia="黑体" w:cs="黑体"/>
          <w:sz w:val="28"/>
          <w:szCs w:val="28"/>
        </w:rPr>
      </w:pPr>
      <w:bookmarkStart w:id="180" w:name="bookmark160"/>
      <w:bookmarkEnd w:id="180"/>
      <w:r>
        <w:rPr>
          <w:rFonts w:ascii="黑体" w:hAnsi="黑体" w:eastAsia="黑体" w:cs="黑体"/>
          <w:b/>
          <w:bCs/>
          <w:spacing w:val="-6"/>
          <w:sz w:val="28"/>
          <w:szCs w:val="28"/>
        </w:rPr>
        <w:t>11</w:t>
      </w:r>
      <w:r>
        <w:rPr>
          <w:rFonts w:ascii="黑体" w:hAnsi="黑体" w:eastAsia="黑体" w:cs="黑体"/>
          <w:spacing w:val="-54"/>
          <w:sz w:val="28"/>
          <w:szCs w:val="28"/>
        </w:rPr>
        <w:t xml:space="preserve"> </w:t>
      </w:r>
      <w:r>
        <w:rPr>
          <w:rFonts w:ascii="黑体" w:hAnsi="黑体" w:eastAsia="黑体" w:cs="黑体"/>
          <w:b/>
          <w:bCs/>
          <w:spacing w:val="-6"/>
          <w:sz w:val="28"/>
          <w:szCs w:val="28"/>
        </w:rPr>
        <w:t>环境经济损益分析</w:t>
      </w:r>
    </w:p>
    <w:p w14:paraId="3FDCAC3D">
      <w:pPr>
        <w:pStyle w:val="2"/>
        <w:spacing w:line="270" w:lineRule="auto"/>
      </w:pPr>
    </w:p>
    <w:p w14:paraId="49C5F543">
      <w:pPr>
        <w:spacing w:before="91" w:line="222" w:lineRule="auto"/>
        <w:ind w:left="32"/>
        <w:outlineLvl w:val="1"/>
        <w:rPr>
          <w:rFonts w:ascii="黑体" w:hAnsi="黑体" w:eastAsia="黑体" w:cs="黑体"/>
          <w:sz w:val="28"/>
          <w:szCs w:val="28"/>
        </w:rPr>
      </w:pPr>
      <w:bookmarkStart w:id="181" w:name="bookmark161"/>
      <w:bookmarkEnd w:id="181"/>
      <w:r>
        <w:rPr>
          <w:rFonts w:ascii="Times New Roman" w:hAnsi="Times New Roman" w:eastAsia="Times New Roman" w:cs="Times New Roman"/>
          <w:b/>
          <w:bCs/>
          <w:spacing w:val="-5"/>
          <w:sz w:val="28"/>
          <w:szCs w:val="28"/>
        </w:rPr>
        <w:t xml:space="preserve">11.1 </w:t>
      </w:r>
      <w:r>
        <w:rPr>
          <w:rFonts w:ascii="黑体" w:hAnsi="黑体" w:eastAsia="黑体" w:cs="黑体"/>
          <w:b/>
          <w:bCs/>
          <w:spacing w:val="-5"/>
          <w:sz w:val="28"/>
          <w:szCs w:val="28"/>
        </w:rPr>
        <w:t>社会效益分析</w:t>
      </w:r>
    </w:p>
    <w:p w14:paraId="631BBADE">
      <w:pPr>
        <w:spacing w:before="255" w:line="219" w:lineRule="auto"/>
        <w:ind w:left="504"/>
        <w:rPr>
          <w:rFonts w:ascii="宋体" w:hAnsi="宋体" w:eastAsia="宋体" w:cs="宋体"/>
          <w:sz w:val="24"/>
          <w:szCs w:val="24"/>
        </w:rPr>
      </w:pPr>
      <w:r>
        <w:rPr>
          <w:rFonts w:ascii="宋体" w:hAnsi="宋体" w:eastAsia="宋体" w:cs="宋体"/>
          <w:spacing w:val="-1"/>
          <w:sz w:val="24"/>
          <w:szCs w:val="24"/>
        </w:rPr>
        <w:t>本项目的社会效益主要体现在如下几方面：</w:t>
      </w:r>
    </w:p>
    <w:p w14:paraId="551FB6F5">
      <w:pPr>
        <w:spacing w:before="184" w:line="289" w:lineRule="auto"/>
        <w:ind w:left="27" w:right="183"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）工程建成后，选矿效率提升，可充分利用当地矿物资源，有利于企业</w:t>
      </w:r>
      <w:r>
        <w:rPr>
          <w:rFonts w:ascii="宋体" w:hAnsi="宋体" w:eastAsia="宋体" w:cs="宋体"/>
          <w:spacing w:val="2"/>
          <w:sz w:val="24"/>
          <w:szCs w:val="24"/>
        </w:rPr>
        <w:t xml:space="preserve"> </w:t>
      </w:r>
      <w:r>
        <w:rPr>
          <w:rFonts w:ascii="宋体" w:hAnsi="宋体" w:eastAsia="宋体" w:cs="宋体"/>
          <w:spacing w:val="-1"/>
          <w:sz w:val="24"/>
          <w:szCs w:val="24"/>
        </w:rPr>
        <w:t>发展，符合国家的产业政策和环保政策，能促进地区经济的可持续发展。</w:t>
      </w:r>
    </w:p>
    <w:p w14:paraId="06398245">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）工程投产后，也为当地发展交通运输和第三产业提供了商机。</w:t>
      </w:r>
    </w:p>
    <w:p w14:paraId="371C5903">
      <w:pPr>
        <w:spacing w:before="266" w:line="222" w:lineRule="auto"/>
        <w:ind w:left="32"/>
        <w:outlineLvl w:val="1"/>
        <w:rPr>
          <w:rFonts w:ascii="黑体" w:hAnsi="黑体" w:eastAsia="黑体" w:cs="黑体"/>
          <w:sz w:val="28"/>
          <w:szCs w:val="28"/>
        </w:rPr>
      </w:pPr>
      <w:bookmarkStart w:id="182" w:name="bookmark162"/>
      <w:bookmarkEnd w:id="182"/>
      <w:r>
        <w:rPr>
          <w:rFonts w:ascii="Times New Roman" w:hAnsi="Times New Roman" w:eastAsia="Times New Roman" w:cs="Times New Roman"/>
          <w:b/>
          <w:bCs/>
          <w:spacing w:val="-5"/>
          <w:sz w:val="28"/>
          <w:szCs w:val="28"/>
        </w:rPr>
        <w:t xml:space="preserve">11.2 </w:t>
      </w:r>
      <w:r>
        <w:rPr>
          <w:rFonts w:ascii="黑体" w:hAnsi="黑体" w:eastAsia="黑体" w:cs="黑体"/>
          <w:b/>
          <w:bCs/>
          <w:spacing w:val="-5"/>
          <w:sz w:val="28"/>
          <w:szCs w:val="28"/>
        </w:rPr>
        <w:t>环境效益分析</w:t>
      </w:r>
    </w:p>
    <w:p w14:paraId="488492EB">
      <w:pPr>
        <w:spacing w:before="256" w:line="336" w:lineRule="auto"/>
        <w:ind w:left="505" w:right="101" w:hanging="1"/>
        <w:rPr>
          <w:rFonts w:ascii="宋体" w:hAnsi="宋体" w:eastAsia="宋体" w:cs="宋体"/>
          <w:sz w:val="24"/>
          <w:szCs w:val="24"/>
        </w:rPr>
      </w:pPr>
      <w:r>
        <w:rPr>
          <w:rFonts w:ascii="宋体" w:hAnsi="宋体" w:eastAsia="宋体" w:cs="宋体"/>
          <w:spacing w:val="-9"/>
          <w:sz w:val="24"/>
          <w:szCs w:val="24"/>
        </w:rPr>
        <w:t>技改工程新增（包含以新带老）环保投资</w:t>
      </w:r>
      <w:r>
        <w:rPr>
          <w:rFonts w:ascii="宋体" w:hAnsi="宋体" w:eastAsia="宋体" w:cs="宋体"/>
          <w:spacing w:val="-27"/>
          <w:sz w:val="24"/>
          <w:szCs w:val="24"/>
        </w:rPr>
        <w:t xml:space="preserve"> </w:t>
      </w:r>
      <w:r>
        <w:rPr>
          <w:rFonts w:ascii="Times New Roman" w:hAnsi="Times New Roman" w:eastAsia="Times New Roman" w:cs="Times New Roman"/>
          <w:spacing w:val="-9"/>
          <w:sz w:val="24"/>
          <w:szCs w:val="24"/>
        </w:rPr>
        <w:t>12.5</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万元，占项目总投资的</w:t>
      </w:r>
      <w:r>
        <w:rPr>
          <w:rFonts w:ascii="宋体" w:hAnsi="宋体" w:eastAsia="宋体" w:cs="宋体"/>
          <w:spacing w:val="-52"/>
          <w:sz w:val="24"/>
          <w:szCs w:val="24"/>
        </w:rPr>
        <w:t xml:space="preserve"> </w:t>
      </w:r>
      <w:r>
        <w:rPr>
          <w:rFonts w:ascii="Times New Roman" w:hAnsi="Times New Roman" w:eastAsia="Times New Roman" w:cs="Times New Roman"/>
          <w:spacing w:val="-9"/>
          <w:sz w:val="24"/>
          <w:szCs w:val="24"/>
        </w:rPr>
        <w:t>0.39%</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4"/>
          <w:sz w:val="24"/>
          <w:szCs w:val="24"/>
        </w:rPr>
        <w:t>工程环保投资见表</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11.2-1</w:t>
      </w:r>
      <w:r>
        <w:rPr>
          <w:rFonts w:ascii="宋体" w:hAnsi="宋体" w:eastAsia="宋体" w:cs="宋体"/>
          <w:spacing w:val="-4"/>
          <w:sz w:val="24"/>
          <w:szCs w:val="24"/>
        </w:rPr>
        <w:t>。</w:t>
      </w:r>
    </w:p>
    <w:p w14:paraId="1219418B">
      <w:pPr>
        <w:spacing w:before="1" w:line="227" w:lineRule="auto"/>
        <w:ind w:left="2306"/>
        <w:rPr>
          <w:rFonts w:ascii="宋体" w:hAnsi="宋体" w:eastAsia="宋体" w:cs="宋体"/>
          <w:sz w:val="20"/>
          <w:szCs w:val="20"/>
        </w:rPr>
      </w:pPr>
      <w:r>
        <w:rPr>
          <w:rFonts w:ascii="宋体" w:hAnsi="宋体" w:eastAsia="宋体" w:cs="宋体"/>
          <w:spacing w:val="4"/>
          <w:sz w:val="20"/>
          <w:szCs w:val="20"/>
        </w:rPr>
        <w:t>表</w:t>
      </w:r>
      <w:r>
        <w:rPr>
          <w:rFonts w:ascii="宋体" w:hAnsi="宋体" w:eastAsia="宋体" w:cs="宋体"/>
          <w:spacing w:val="-11"/>
          <w:sz w:val="20"/>
          <w:szCs w:val="20"/>
        </w:rPr>
        <w:t xml:space="preserve"> </w:t>
      </w:r>
      <w:r>
        <w:rPr>
          <w:rFonts w:ascii="Times New Roman" w:hAnsi="Times New Roman" w:eastAsia="Times New Roman" w:cs="Times New Roman"/>
          <w:spacing w:val="4"/>
          <w:sz w:val="20"/>
          <w:szCs w:val="20"/>
        </w:rPr>
        <w:t xml:space="preserve">11.2-1            </w:t>
      </w:r>
      <w:r>
        <w:rPr>
          <w:rFonts w:ascii="宋体" w:hAnsi="宋体" w:eastAsia="宋体" w:cs="宋体"/>
          <w:spacing w:val="4"/>
          <w:sz w:val="20"/>
          <w:szCs w:val="20"/>
        </w:rPr>
        <w:t>技改工程环保投资一览表</w:t>
      </w:r>
    </w:p>
    <w:p w14:paraId="2491E17A">
      <w:pPr>
        <w:spacing w:line="14" w:lineRule="exact"/>
      </w:pPr>
    </w:p>
    <w:tbl>
      <w:tblPr>
        <w:tblStyle w:val="5"/>
        <w:tblW w:w="8310"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1"/>
        <w:gridCol w:w="1444"/>
        <w:gridCol w:w="5480"/>
        <w:gridCol w:w="795"/>
      </w:tblGrid>
      <w:tr w14:paraId="1A7B0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91" w:type="dxa"/>
            <w:vAlign w:val="top"/>
          </w:tcPr>
          <w:p w14:paraId="37655DB0">
            <w:pPr>
              <w:pStyle w:val="6"/>
              <w:spacing w:before="211" w:line="228" w:lineRule="auto"/>
              <w:ind w:left="95"/>
            </w:pPr>
            <w:r>
              <w:rPr>
                <w:spacing w:val="3"/>
              </w:rPr>
              <w:t>项目</w:t>
            </w:r>
          </w:p>
        </w:tc>
        <w:tc>
          <w:tcPr>
            <w:tcW w:w="1444" w:type="dxa"/>
            <w:vAlign w:val="top"/>
          </w:tcPr>
          <w:p w14:paraId="29D45FFD">
            <w:pPr>
              <w:pStyle w:val="6"/>
              <w:spacing w:before="210" w:line="228" w:lineRule="auto"/>
              <w:ind w:left="309"/>
            </w:pPr>
            <w:r>
              <w:rPr>
                <w:spacing w:val="6"/>
              </w:rPr>
              <w:t>治理对象</w:t>
            </w:r>
          </w:p>
        </w:tc>
        <w:tc>
          <w:tcPr>
            <w:tcW w:w="5480" w:type="dxa"/>
            <w:vAlign w:val="top"/>
          </w:tcPr>
          <w:p w14:paraId="73812182">
            <w:pPr>
              <w:pStyle w:val="6"/>
              <w:spacing w:before="210" w:line="228" w:lineRule="auto"/>
              <w:ind w:left="2328"/>
            </w:pPr>
            <w:r>
              <w:rPr>
                <w:spacing w:val="6"/>
              </w:rPr>
              <w:t>主要内容</w:t>
            </w:r>
          </w:p>
        </w:tc>
        <w:tc>
          <w:tcPr>
            <w:tcW w:w="795" w:type="dxa"/>
            <w:vAlign w:val="top"/>
          </w:tcPr>
          <w:p w14:paraId="59A359DF">
            <w:pPr>
              <w:pStyle w:val="6"/>
              <w:spacing w:before="55" w:line="228" w:lineRule="auto"/>
              <w:ind w:left="194"/>
            </w:pPr>
            <w:r>
              <w:rPr>
                <w:spacing w:val="3"/>
              </w:rPr>
              <w:t>投资</w:t>
            </w:r>
          </w:p>
          <w:p w14:paraId="0E3CA2FC">
            <w:pPr>
              <w:pStyle w:val="6"/>
              <w:spacing w:before="64" w:line="228" w:lineRule="auto"/>
              <w:jc w:val="right"/>
            </w:pPr>
            <w:r>
              <w:rPr>
                <w:spacing w:val="-9"/>
              </w:rPr>
              <w:t>（万元）</w:t>
            </w:r>
          </w:p>
        </w:tc>
      </w:tr>
      <w:tr w14:paraId="4359F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591" w:type="dxa"/>
            <w:vMerge w:val="restart"/>
            <w:tcBorders>
              <w:bottom w:val="nil"/>
            </w:tcBorders>
            <w:vAlign w:val="top"/>
          </w:tcPr>
          <w:p w14:paraId="521EF490">
            <w:pPr>
              <w:spacing w:line="425" w:lineRule="auto"/>
              <w:rPr>
                <w:rFonts w:ascii="Arial"/>
                <w:sz w:val="21"/>
              </w:rPr>
            </w:pPr>
          </w:p>
          <w:p w14:paraId="4FB434EC">
            <w:pPr>
              <w:pStyle w:val="6"/>
              <w:spacing w:before="65" w:line="228" w:lineRule="auto"/>
              <w:ind w:left="94"/>
            </w:pPr>
            <w:r>
              <w:rPr>
                <w:spacing w:val="3"/>
              </w:rPr>
              <w:t>大气</w:t>
            </w:r>
          </w:p>
          <w:p w14:paraId="2A53DB06">
            <w:pPr>
              <w:pStyle w:val="6"/>
              <w:spacing w:before="65" w:line="228" w:lineRule="auto"/>
              <w:ind w:left="105"/>
            </w:pPr>
            <w:r>
              <w:rPr>
                <w:spacing w:val="-2"/>
              </w:rPr>
              <w:t>防治</w:t>
            </w:r>
          </w:p>
        </w:tc>
        <w:tc>
          <w:tcPr>
            <w:tcW w:w="1444" w:type="dxa"/>
            <w:vAlign w:val="top"/>
          </w:tcPr>
          <w:p w14:paraId="60F2DD08">
            <w:pPr>
              <w:spacing w:line="252" w:lineRule="auto"/>
              <w:rPr>
                <w:rFonts w:ascii="Arial"/>
                <w:sz w:val="21"/>
              </w:rPr>
            </w:pPr>
          </w:p>
          <w:p w14:paraId="03B77FB9">
            <w:pPr>
              <w:pStyle w:val="6"/>
              <w:spacing w:before="65" w:line="228" w:lineRule="auto"/>
              <w:ind w:left="95"/>
            </w:pPr>
            <w:r>
              <w:rPr>
                <w:spacing w:val="8"/>
              </w:rPr>
              <w:t>选矿车间废气</w:t>
            </w:r>
          </w:p>
        </w:tc>
        <w:tc>
          <w:tcPr>
            <w:tcW w:w="5480" w:type="dxa"/>
            <w:vAlign w:val="top"/>
          </w:tcPr>
          <w:p w14:paraId="003A9B56">
            <w:pPr>
              <w:pStyle w:val="6"/>
              <w:spacing w:before="163" w:line="228" w:lineRule="auto"/>
              <w:ind w:left="14"/>
            </w:pPr>
            <w:r>
              <w:rPr>
                <w:spacing w:val="8"/>
              </w:rPr>
              <w:t>选矿车间新增产尘点处设置</w:t>
            </w:r>
            <w:r>
              <w:rPr>
                <w:spacing w:val="-23"/>
              </w:rPr>
              <w:t xml:space="preserve"> </w:t>
            </w:r>
            <w:r>
              <w:rPr>
                <w:rFonts w:ascii="Times New Roman" w:hAnsi="Times New Roman" w:eastAsia="Times New Roman" w:cs="Times New Roman"/>
                <w:spacing w:val="8"/>
              </w:rPr>
              <w:t>2</w:t>
            </w:r>
            <w:r>
              <w:rPr>
                <w:rFonts w:ascii="Times New Roman" w:hAnsi="Times New Roman" w:eastAsia="Times New Roman" w:cs="Times New Roman"/>
                <w:spacing w:val="16"/>
                <w:w w:val="101"/>
              </w:rPr>
              <w:t xml:space="preserve"> </w:t>
            </w:r>
            <w:r>
              <w:rPr>
                <w:spacing w:val="8"/>
              </w:rPr>
              <w:t>处集气罩、维修保养原有除尘</w:t>
            </w:r>
          </w:p>
          <w:p w14:paraId="03D6D456">
            <w:pPr>
              <w:pStyle w:val="6"/>
              <w:spacing w:before="65" w:line="227" w:lineRule="auto"/>
              <w:ind w:left="2009"/>
            </w:pPr>
            <w:r>
              <w:rPr>
                <w:spacing w:val="7"/>
              </w:rPr>
              <w:t>器，更换布袋。</w:t>
            </w:r>
          </w:p>
        </w:tc>
        <w:tc>
          <w:tcPr>
            <w:tcW w:w="795" w:type="dxa"/>
            <w:vAlign w:val="top"/>
          </w:tcPr>
          <w:p w14:paraId="13A04720">
            <w:pPr>
              <w:spacing w:line="298" w:lineRule="auto"/>
              <w:rPr>
                <w:rFonts w:ascii="Arial"/>
                <w:sz w:val="21"/>
              </w:rPr>
            </w:pPr>
          </w:p>
          <w:p w14:paraId="29DA2618">
            <w:pPr>
              <w:spacing w:before="58" w:line="192"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26F6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591" w:type="dxa"/>
            <w:vMerge w:val="continue"/>
            <w:tcBorders>
              <w:top w:val="nil"/>
            </w:tcBorders>
            <w:vAlign w:val="top"/>
          </w:tcPr>
          <w:p w14:paraId="0B1C4E60">
            <w:pPr>
              <w:rPr>
                <w:rFonts w:ascii="Arial"/>
                <w:sz w:val="21"/>
              </w:rPr>
            </w:pPr>
          </w:p>
        </w:tc>
        <w:tc>
          <w:tcPr>
            <w:tcW w:w="1444" w:type="dxa"/>
            <w:vAlign w:val="top"/>
          </w:tcPr>
          <w:p w14:paraId="711B937B">
            <w:pPr>
              <w:pStyle w:val="6"/>
              <w:spacing w:before="221" w:line="228" w:lineRule="auto"/>
              <w:ind w:left="304"/>
            </w:pPr>
            <w:r>
              <w:rPr>
                <w:spacing w:val="7"/>
              </w:rPr>
              <w:t>加药粉尘</w:t>
            </w:r>
          </w:p>
        </w:tc>
        <w:tc>
          <w:tcPr>
            <w:tcW w:w="5480" w:type="dxa"/>
            <w:vAlign w:val="top"/>
          </w:tcPr>
          <w:p w14:paraId="2764B95B">
            <w:pPr>
              <w:pStyle w:val="6"/>
              <w:spacing w:before="221" w:line="228" w:lineRule="auto"/>
              <w:ind w:left="1118"/>
            </w:pPr>
            <w:r>
              <w:rPr>
                <w:spacing w:val="6"/>
              </w:rPr>
              <w:t>对原</w:t>
            </w:r>
            <w:r>
              <w:rPr>
                <w:spacing w:val="-27"/>
              </w:rPr>
              <w:t xml:space="preserve"> </w:t>
            </w:r>
            <w:r>
              <w:rPr>
                <w:rFonts w:ascii="Times New Roman" w:hAnsi="Times New Roman" w:eastAsia="Times New Roman" w:cs="Times New Roman"/>
                <w:spacing w:val="6"/>
              </w:rPr>
              <w:t xml:space="preserve">2000t/a </w:t>
            </w:r>
            <w:r>
              <w:rPr>
                <w:spacing w:val="6"/>
              </w:rPr>
              <w:t>石灰罐仓顶除尘器维修</w:t>
            </w:r>
          </w:p>
        </w:tc>
        <w:tc>
          <w:tcPr>
            <w:tcW w:w="795" w:type="dxa"/>
            <w:vAlign w:val="top"/>
          </w:tcPr>
          <w:p w14:paraId="1786EFFE">
            <w:pPr>
              <w:spacing w:before="2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0429E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91" w:type="dxa"/>
            <w:vAlign w:val="top"/>
          </w:tcPr>
          <w:p w14:paraId="655F6F37">
            <w:pPr>
              <w:pStyle w:val="6"/>
              <w:spacing w:before="53" w:line="228" w:lineRule="auto"/>
              <w:ind w:left="109"/>
            </w:pPr>
            <w:r>
              <w:rPr>
                <w:spacing w:val="-5"/>
              </w:rPr>
              <w:t>固废</w:t>
            </w:r>
          </w:p>
          <w:p w14:paraId="3326E861">
            <w:pPr>
              <w:pStyle w:val="6"/>
              <w:spacing w:before="64" w:line="232" w:lineRule="auto"/>
              <w:ind w:left="96"/>
            </w:pPr>
            <w:r>
              <w:rPr>
                <w:spacing w:val="2"/>
              </w:rPr>
              <w:t>处理</w:t>
            </w:r>
          </w:p>
        </w:tc>
        <w:tc>
          <w:tcPr>
            <w:tcW w:w="1444" w:type="dxa"/>
            <w:vAlign w:val="top"/>
          </w:tcPr>
          <w:p w14:paraId="5F35769F">
            <w:pPr>
              <w:pStyle w:val="6"/>
              <w:spacing w:before="208" w:line="228" w:lineRule="auto"/>
              <w:ind w:left="304"/>
            </w:pPr>
            <w:r>
              <w:rPr>
                <w:spacing w:val="7"/>
              </w:rPr>
              <w:t>尾矿输送</w:t>
            </w:r>
          </w:p>
        </w:tc>
        <w:tc>
          <w:tcPr>
            <w:tcW w:w="5480" w:type="dxa"/>
            <w:vAlign w:val="top"/>
          </w:tcPr>
          <w:p w14:paraId="09E10506">
            <w:pPr>
              <w:pStyle w:val="6"/>
              <w:spacing w:before="208" w:line="228" w:lineRule="auto"/>
              <w:ind w:left="1695"/>
            </w:pPr>
            <w:r>
              <w:rPr>
                <w:spacing w:val="8"/>
              </w:rPr>
              <w:t>配套建设尾矿输送设施</w:t>
            </w:r>
          </w:p>
        </w:tc>
        <w:tc>
          <w:tcPr>
            <w:tcW w:w="795" w:type="dxa"/>
            <w:vAlign w:val="top"/>
          </w:tcPr>
          <w:p w14:paraId="742F52BD">
            <w:pPr>
              <w:spacing w:before="244" w:line="195"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0C819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91" w:type="dxa"/>
            <w:vAlign w:val="top"/>
          </w:tcPr>
          <w:p w14:paraId="65257507">
            <w:pPr>
              <w:pStyle w:val="6"/>
              <w:spacing w:before="53" w:line="228" w:lineRule="auto"/>
              <w:ind w:left="101"/>
            </w:pPr>
            <w:r>
              <w:rPr>
                <w:spacing w:val="-1"/>
              </w:rPr>
              <w:t>噪声</w:t>
            </w:r>
          </w:p>
          <w:p w14:paraId="1D4CDB38">
            <w:pPr>
              <w:pStyle w:val="6"/>
              <w:spacing w:before="64" w:line="233" w:lineRule="auto"/>
              <w:ind w:left="96"/>
            </w:pPr>
            <w:r>
              <w:rPr>
                <w:spacing w:val="2"/>
              </w:rPr>
              <w:t>治理</w:t>
            </w:r>
          </w:p>
        </w:tc>
        <w:tc>
          <w:tcPr>
            <w:tcW w:w="1444" w:type="dxa"/>
            <w:vAlign w:val="top"/>
          </w:tcPr>
          <w:p w14:paraId="42F414E0">
            <w:pPr>
              <w:pStyle w:val="6"/>
              <w:spacing w:before="209" w:line="228" w:lineRule="auto"/>
              <w:ind w:left="308"/>
            </w:pPr>
            <w:r>
              <w:rPr>
                <w:spacing w:val="6"/>
              </w:rPr>
              <w:t>设备噪声</w:t>
            </w:r>
          </w:p>
        </w:tc>
        <w:tc>
          <w:tcPr>
            <w:tcW w:w="5480" w:type="dxa"/>
            <w:vAlign w:val="top"/>
          </w:tcPr>
          <w:p w14:paraId="4B3C815B">
            <w:pPr>
              <w:pStyle w:val="6"/>
              <w:spacing w:before="209" w:line="227" w:lineRule="auto"/>
              <w:ind w:left="1168"/>
            </w:pPr>
            <w:r>
              <w:rPr>
                <w:spacing w:val="9"/>
              </w:rPr>
              <w:t>采用低噪声设备，实施基础减震等</w:t>
            </w:r>
          </w:p>
        </w:tc>
        <w:tc>
          <w:tcPr>
            <w:tcW w:w="795" w:type="dxa"/>
            <w:vAlign w:val="top"/>
          </w:tcPr>
          <w:p w14:paraId="5129EF36">
            <w:pPr>
              <w:spacing w:before="24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9DBF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91" w:type="dxa"/>
            <w:vAlign w:val="top"/>
          </w:tcPr>
          <w:p w14:paraId="21AC3B76">
            <w:pPr>
              <w:pStyle w:val="6"/>
              <w:spacing w:before="56" w:line="233" w:lineRule="auto"/>
              <w:ind w:left="93"/>
            </w:pPr>
            <w:r>
              <w:rPr>
                <w:spacing w:val="3"/>
              </w:rPr>
              <w:t>生态</w:t>
            </w:r>
          </w:p>
          <w:p w14:paraId="077D42A0">
            <w:pPr>
              <w:pStyle w:val="6"/>
              <w:spacing w:before="60" w:line="230" w:lineRule="auto"/>
              <w:ind w:left="96"/>
            </w:pPr>
            <w:r>
              <w:rPr>
                <w:spacing w:val="2"/>
              </w:rPr>
              <w:t>治理</w:t>
            </w:r>
          </w:p>
        </w:tc>
        <w:tc>
          <w:tcPr>
            <w:tcW w:w="1444" w:type="dxa"/>
            <w:vAlign w:val="top"/>
          </w:tcPr>
          <w:p w14:paraId="4E82CF1E">
            <w:pPr>
              <w:pStyle w:val="6"/>
              <w:spacing w:before="212" w:line="228" w:lineRule="auto"/>
              <w:ind w:left="97"/>
            </w:pPr>
            <w:r>
              <w:rPr>
                <w:spacing w:val="7"/>
              </w:rPr>
              <w:t>车间周边绿化</w:t>
            </w:r>
          </w:p>
        </w:tc>
        <w:tc>
          <w:tcPr>
            <w:tcW w:w="5480" w:type="dxa"/>
            <w:vAlign w:val="top"/>
          </w:tcPr>
          <w:p w14:paraId="58C45DEE">
            <w:pPr>
              <w:pStyle w:val="6"/>
              <w:spacing w:before="212" w:line="228" w:lineRule="auto"/>
              <w:ind w:left="2008"/>
            </w:pPr>
            <w:r>
              <w:rPr>
                <w:spacing w:val="8"/>
              </w:rPr>
              <w:t>对车间周边绿化</w:t>
            </w:r>
          </w:p>
        </w:tc>
        <w:tc>
          <w:tcPr>
            <w:tcW w:w="795" w:type="dxa"/>
            <w:vAlign w:val="top"/>
          </w:tcPr>
          <w:p w14:paraId="7716384E">
            <w:pPr>
              <w:spacing w:before="24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8FD8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515" w:type="dxa"/>
            <w:gridSpan w:val="3"/>
            <w:vAlign w:val="top"/>
          </w:tcPr>
          <w:p w14:paraId="3303195A">
            <w:pPr>
              <w:pStyle w:val="6"/>
              <w:spacing w:before="57" w:line="229" w:lineRule="auto"/>
              <w:ind w:left="3555"/>
            </w:pPr>
            <w:r>
              <w:rPr>
                <w:spacing w:val="4"/>
              </w:rPr>
              <w:t>合计</w:t>
            </w:r>
          </w:p>
        </w:tc>
        <w:tc>
          <w:tcPr>
            <w:tcW w:w="795" w:type="dxa"/>
            <w:vAlign w:val="top"/>
          </w:tcPr>
          <w:p w14:paraId="29DFD1D0">
            <w:pPr>
              <w:spacing w:before="92"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r>
    </w:tbl>
    <w:p w14:paraId="26D17B17">
      <w:pPr>
        <w:spacing w:before="114" w:line="360" w:lineRule="auto"/>
        <w:ind w:left="24" w:right="181" w:firstLine="479"/>
        <w:rPr>
          <w:rFonts w:ascii="宋体" w:hAnsi="宋体" w:eastAsia="宋体" w:cs="宋体"/>
          <w:sz w:val="24"/>
          <w:szCs w:val="24"/>
        </w:rPr>
      </w:pPr>
      <w:r>
        <w:rPr>
          <w:rFonts w:ascii="宋体" w:hAnsi="宋体" w:eastAsia="宋体" w:cs="宋体"/>
          <w:spacing w:val="-3"/>
          <w:sz w:val="24"/>
          <w:szCs w:val="24"/>
        </w:rPr>
        <w:t>根据项目的实施计划，项目通过采取环保措施，使项目产生的污</w:t>
      </w:r>
      <w:r>
        <w:rPr>
          <w:rFonts w:ascii="宋体" w:hAnsi="宋体" w:eastAsia="宋体" w:cs="宋体"/>
          <w:spacing w:val="-4"/>
          <w:sz w:val="24"/>
          <w:szCs w:val="24"/>
        </w:rPr>
        <w:t>染物大大减</w:t>
      </w:r>
      <w:r>
        <w:rPr>
          <w:rFonts w:ascii="宋体" w:hAnsi="宋体" w:eastAsia="宋体" w:cs="宋体"/>
          <w:sz w:val="24"/>
          <w:szCs w:val="24"/>
        </w:rPr>
        <w:t xml:space="preserve"> </w:t>
      </w:r>
      <w:r>
        <w:rPr>
          <w:rFonts w:ascii="宋体" w:hAnsi="宋体" w:eastAsia="宋体" w:cs="宋体"/>
          <w:spacing w:val="-1"/>
          <w:sz w:val="24"/>
          <w:szCs w:val="24"/>
        </w:rPr>
        <w:t>少，带来一定的环境效益。</w:t>
      </w:r>
    </w:p>
    <w:p w14:paraId="0F2E34FE">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）水环境效益</w:t>
      </w:r>
    </w:p>
    <w:p w14:paraId="4EEA42AB">
      <w:pPr>
        <w:spacing w:before="183" w:line="360" w:lineRule="auto"/>
        <w:ind w:left="25" w:right="181" w:firstLine="480"/>
        <w:rPr>
          <w:rFonts w:ascii="宋体" w:hAnsi="宋体" w:eastAsia="宋体" w:cs="宋体"/>
          <w:sz w:val="24"/>
          <w:szCs w:val="24"/>
        </w:rPr>
      </w:pPr>
      <w:r>
        <w:rPr>
          <w:rFonts w:ascii="宋体" w:hAnsi="宋体" w:eastAsia="宋体" w:cs="宋体"/>
          <w:spacing w:val="-3"/>
          <w:sz w:val="24"/>
          <w:szCs w:val="24"/>
        </w:rPr>
        <w:t>生产无废水产生，生活污水排入旱厕后，由环卫部门定期拉</w:t>
      </w:r>
      <w:r>
        <w:rPr>
          <w:rFonts w:ascii="宋体" w:hAnsi="宋体" w:eastAsia="宋体" w:cs="宋体"/>
          <w:spacing w:val="-4"/>
          <w:sz w:val="24"/>
          <w:szCs w:val="24"/>
        </w:rPr>
        <w:t>运。通过采取以</w:t>
      </w:r>
      <w:r>
        <w:rPr>
          <w:rFonts w:ascii="宋体" w:hAnsi="宋体" w:eastAsia="宋体" w:cs="宋体"/>
          <w:sz w:val="24"/>
          <w:szCs w:val="24"/>
        </w:rPr>
        <w:t xml:space="preserve"> </w:t>
      </w:r>
      <w:r>
        <w:rPr>
          <w:rFonts w:ascii="宋体" w:hAnsi="宋体" w:eastAsia="宋体" w:cs="宋体"/>
          <w:spacing w:val="-1"/>
          <w:sz w:val="24"/>
          <w:szCs w:val="24"/>
        </w:rPr>
        <w:t>上防治措施，可防止水污染，保护水环境。</w:t>
      </w:r>
    </w:p>
    <w:p w14:paraId="153C770F">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）环境空气效益</w:t>
      </w:r>
    </w:p>
    <w:p w14:paraId="536E4FAF">
      <w:pPr>
        <w:spacing w:before="181" w:line="362" w:lineRule="auto"/>
        <w:ind w:left="23" w:firstLine="479"/>
        <w:rPr>
          <w:rFonts w:ascii="宋体" w:hAnsi="宋体" w:eastAsia="宋体" w:cs="宋体"/>
          <w:sz w:val="24"/>
          <w:szCs w:val="24"/>
        </w:rPr>
      </w:pPr>
      <w:r>
        <w:rPr>
          <w:rFonts w:ascii="宋体" w:hAnsi="宋体" w:eastAsia="宋体" w:cs="宋体"/>
          <w:spacing w:val="-3"/>
          <w:sz w:val="24"/>
          <w:szCs w:val="24"/>
        </w:rPr>
        <w:t>干选车间设有布袋除尘器和密闭通廊，有效减少粉尘的产生。原</w:t>
      </w:r>
      <w:r>
        <w:rPr>
          <w:rFonts w:ascii="宋体" w:hAnsi="宋体" w:eastAsia="宋体" w:cs="宋体"/>
          <w:spacing w:val="-4"/>
          <w:sz w:val="24"/>
          <w:szCs w:val="24"/>
        </w:rPr>
        <w:t>矿堆场、精</w:t>
      </w:r>
      <w:r>
        <w:rPr>
          <w:rFonts w:ascii="宋体" w:hAnsi="宋体" w:eastAsia="宋体" w:cs="宋体"/>
          <w:sz w:val="24"/>
          <w:szCs w:val="24"/>
        </w:rPr>
        <w:t xml:space="preserve">  </w:t>
      </w:r>
      <w:r>
        <w:rPr>
          <w:rFonts w:ascii="宋体" w:hAnsi="宋体" w:eastAsia="宋体" w:cs="宋体"/>
          <w:spacing w:val="-5"/>
          <w:sz w:val="24"/>
          <w:szCs w:val="24"/>
        </w:rPr>
        <w:t>料堆场建设防风抑尘网并采取洒水抑尘措施，废石堆场和道路采取洒水抑尘措施，</w:t>
      </w:r>
      <w:r>
        <w:rPr>
          <w:rFonts w:ascii="宋体" w:hAnsi="宋体" w:eastAsia="宋体" w:cs="宋体"/>
          <w:spacing w:val="17"/>
          <w:sz w:val="24"/>
          <w:szCs w:val="24"/>
        </w:rPr>
        <w:t xml:space="preserve"> </w:t>
      </w:r>
      <w:r>
        <w:rPr>
          <w:rFonts w:ascii="宋体" w:hAnsi="宋体" w:eastAsia="宋体" w:cs="宋体"/>
          <w:spacing w:val="-1"/>
          <w:sz w:val="24"/>
          <w:szCs w:val="24"/>
        </w:rPr>
        <w:t>可有效防止环境空气受到影响，保护环境空气。</w:t>
      </w:r>
    </w:p>
    <w:p w14:paraId="33E2BF67">
      <w:pPr>
        <w:spacing w:line="362" w:lineRule="auto"/>
        <w:rPr>
          <w:rFonts w:ascii="宋体" w:hAnsi="宋体" w:eastAsia="宋体" w:cs="宋体"/>
          <w:sz w:val="24"/>
          <w:szCs w:val="24"/>
        </w:rPr>
        <w:sectPr>
          <w:headerReference r:id="rId417" w:type="default"/>
          <w:footerReference r:id="rId418" w:type="default"/>
          <w:pgSz w:w="11906" w:h="16839"/>
          <w:pgMar w:top="1208" w:right="1618" w:bottom="1358" w:left="1785" w:header="825" w:footer="1195" w:gutter="0"/>
          <w:cols w:space="720" w:num="1"/>
        </w:sectPr>
      </w:pPr>
    </w:p>
    <w:p w14:paraId="396DAAE5">
      <w:pPr>
        <w:pStyle w:val="2"/>
        <w:spacing w:line="265" w:lineRule="auto"/>
      </w:pPr>
    </w:p>
    <w:p w14:paraId="5EE8A6B5">
      <w:pPr>
        <w:spacing w:before="78"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）生态治理效益分析</w:t>
      </w:r>
    </w:p>
    <w:p w14:paraId="2F5860EF">
      <w:pPr>
        <w:spacing w:before="181" w:line="360" w:lineRule="auto"/>
        <w:ind w:left="24" w:right="61" w:firstLine="480"/>
        <w:rPr>
          <w:rFonts w:ascii="宋体" w:hAnsi="宋体" w:eastAsia="宋体" w:cs="宋体"/>
          <w:sz w:val="24"/>
          <w:szCs w:val="24"/>
        </w:rPr>
      </w:pPr>
      <w:r>
        <w:rPr>
          <w:rFonts w:ascii="宋体" w:hAnsi="宋体" w:eastAsia="宋体" w:cs="宋体"/>
          <w:spacing w:val="-3"/>
          <w:sz w:val="24"/>
          <w:szCs w:val="24"/>
        </w:rPr>
        <w:t>本项目通过进行生态恢复及项目区绿化工作，严格按照设计、</w:t>
      </w:r>
      <w:r>
        <w:rPr>
          <w:rFonts w:ascii="宋体" w:hAnsi="宋体" w:eastAsia="宋体" w:cs="宋体"/>
          <w:spacing w:val="-4"/>
          <w:sz w:val="24"/>
          <w:szCs w:val="24"/>
        </w:rPr>
        <w:t>土地复垦及水</w:t>
      </w:r>
      <w:r>
        <w:rPr>
          <w:rFonts w:ascii="宋体" w:hAnsi="宋体" w:eastAsia="宋体" w:cs="宋体"/>
          <w:sz w:val="24"/>
          <w:szCs w:val="24"/>
        </w:rPr>
        <w:t xml:space="preserve"> </w:t>
      </w:r>
      <w:r>
        <w:rPr>
          <w:rFonts w:ascii="宋体" w:hAnsi="宋体" w:eastAsia="宋体" w:cs="宋体"/>
          <w:spacing w:val="-3"/>
          <w:sz w:val="24"/>
          <w:szCs w:val="24"/>
        </w:rPr>
        <w:t>土保持方案等进行分阶段恢复植被等，可减轻本项目占地区的水土流失，改善本</w:t>
      </w:r>
      <w:r>
        <w:rPr>
          <w:rFonts w:ascii="宋体" w:hAnsi="宋体" w:eastAsia="宋体" w:cs="宋体"/>
          <w:sz w:val="24"/>
          <w:szCs w:val="24"/>
        </w:rPr>
        <w:t xml:space="preserve"> </w:t>
      </w:r>
      <w:r>
        <w:rPr>
          <w:rFonts w:ascii="宋体" w:hAnsi="宋体" w:eastAsia="宋体" w:cs="宋体"/>
          <w:spacing w:val="-1"/>
          <w:sz w:val="24"/>
          <w:szCs w:val="24"/>
        </w:rPr>
        <w:t>项目区及周边的生态环境。</w:t>
      </w:r>
    </w:p>
    <w:p w14:paraId="7CF00AFE">
      <w:pPr>
        <w:spacing w:line="360" w:lineRule="auto"/>
        <w:ind w:left="27" w:firstLine="479"/>
        <w:jc w:val="both"/>
        <w:rPr>
          <w:rFonts w:ascii="宋体" w:hAnsi="宋体" w:eastAsia="宋体" w:cs="宋体"/>
          <w:sz w:val="24"/>
          <w:szCs w:val="24"/>
        </w:rPr>
      </w:pPr>
      <w:r>
        <w:rPr>
          <w:rFonts w:ascii="宋体" w:hAnsi="宋体" w:eastAsia="宋体" w:cs="宋体"/>
          <w:spacing w:val="-3"/>
          <w:sz w:val="24"/>
          <w:szCs w:val="24"/>
        </w:rPr>
        <w:t>从环境治理工程来看，是对企业在生产过程中造成的生态</w:t>
      </w:r>
      <w:r>
        <w:rPr>
          <w:rFonts w:ascii="宋体" w:hAnsi="宋体" w:eastAsia="宋体" w:cs="宋体"/>
          <w:spacing w:val="-4"/>
          <w:sz w:val="24"/>
          <w:szCs w:val="24"/>
        </w:rPr>
        <w:t>环境破坏和水土流</w:t>
      </w:r>
      <w:r>
        <w:rPr>
          <w:rFonts w:ascii="宋体" w:hAnsi="宋体" w:eastAsia="宋体" w:cs="宋体"/>
          <w:sz w:val="24"/>
          <w:szCs w:val="24"/>
        </w:rPr>
        <w:t xml:space="preserve"> </w:t>
      </w:r>
      <w:r>
        <w:rPr>
          <w:rFonts w:ascii="宋体" w:hAnsi="宋体" w:eastAsia="宋体" w:cs="宋体"/>
          <w:spacing w:val="-8"/>
          <w:sz w:val="24"/>
          <w:szCs w:val="24"/>
        </w:rPr>
        <w:t>失等负效应的一种补偿，旨在防止水土流失，恢复生态平衡，是一种补偿性治理，</w:t>
      </w:r>
      <w:r>
        <w:rPr>
          <w:rFonts w:ascii="宋体" w:hAnsi="宋体" w:eastAsia="宋体" w:cs="宋体"/>
          <w:spacing w:val="1"/>
          <w:sz w:val="24"/>
          <w:szCs w:val="24"/>
        </w:rPr>
        <w:t xml:space="preserve"> </w:t>
      </w:r>
      <w:r>
        <w:rPr>
          <w:rFonts w:ascii="宋体" w:hAnsi="宋体" w:eastAsia="宋体" w:cs="宋体"/>
          <w:spacing w:val="-2"/>
          <w:sz w:val="24"/>
          <w:szCs w:val="24"/>
        </w:rPr>
        <w:t>不能产生直接经济效益。</w:t>
      </w:r>
    </w:p>
    <w:p w14:paraId="1792F12A">
      <w:pPr>
        <w:spacing w:before="6" w:line="359" w:lineRule="auto"/>
        <w:ind w:left="23" w:right="26" w:firstLine="480"/>
        <w:jc w:val="both"/>
        <w:rPr>
          <w:rFonts w:ascii="宋体" w:hAnsi="宋体" w:eastAsia="宋体" w:cs="宋体"/>
          <w:sz w:val="24"/>
          <w:szCs w:val="24"/>
        </w:rPr>
      </w:pPr>
      <w:r>
        <w:rPr>
          <w:rFonts w:ascii="宋体" w:hAnsi="宋体" w:eastAsia="宋体" w:cs="宋体"/>
          <w:spacing w:val="-3"/>
          <w:sz w:val="24"/>
          <w:szCs w:val="24"/>
        </w:rPr>
        <w:t>环保投资虽不能创造直接的经济效益，但环保投资对维持正常生</w:t>
      </w:r>
      <w:r>
        <w:rPr>
          <w:rFonts w:ascii="宋体" w:hAnsi="宋体" w:eastAsia="宋体" w:cs="宋体"/>
          <w:spacing w:val="-4"/>
          <w:sz w:val="24"/>
          <w:szCs w:val="24"/>
        </w:rPr>
        <w:t>产起着稳定</w:t>
      </w:r>
      <w:r>
        <w:rPr>
          <w:rFonts w:ascii="宋体" w:hAnsi="宋体" w:eastAsia="宋体" w:cs="宋体"/>
          <w:sz w:val="24"/>
          <w:szCs w:val="24"/>
        </w:rPr>
        <w:t xml:space="preserve"> </w:t>
      </w:r>
      <w:r>
        <w:rPr>
          <w:rFonts w:ascii="宋体" w:hAnsi="宋体" w:eastAsia="宋体" w:cs="宋体"/>
          <w:spacing w:val="-3"/>
          <w:sz w:val="24"/>
          <w:szCs w:val="24"/>
        </w:rPr>
        <w:t>重要的作用。该项目的环境效益体现了环境保护的经济效果，通过环保投资来保</w:t>
      </w:r>
      <w:r>
        <w:rPr>
          <w:rFonts w:ascii="宋体" w:hAnsi="宋体" w:eastAsia="宋体" w:cs="宋体"/>
          <w:spacing w:val="1"/>
          <w:sz w:val="24"/>
          <w:szCs w:val="24"/>
        </w:rPr>
        <w:t xml:space="preserve"> </w:t>
      </w:r>
      <w:r>
        <w:rPr>
          <w:rFonts w:ascii="宋体" w:hAnsi="宋体" w:eastAsia="宋体" w:cs="宋体"/>
          <w:spacing w:val="-2"/>
          <w:sz w:val="24"/>
          <w:szCs w:val="24"/>
        </w:rPr>
        <w:t>证项目区经济建设的可持续发展，维护了当地的环境资源，保护了人民的健康，</w:t>
      </w:r>
      <w:r>
        <w:rPr>
          <w:rFonts w:ascii="宋体" w:hAnsi="宋体" w:eastAsia="宋体" w:cs="宋体"/>
          <w:spacing w:val="1"/>
          <w:sz w:val="24"/>
          <w:szCs w:val="24"/>
        </w:rPr>
        <w:t xml:space="preserve"> </w:t>
      </w:r>
      <w:r>
        <w:rPr>
          <w:rFonts w:ascii="宋体" w:hAnsi="宋体" w:eastAsia="宋体" w:cs="宋体"/>
          <w:spacing w:val="-2"/>
          <w:sz w:val="24"/>
          <w:szCs w:val="24"/>
        </w:rPr>
        <w:t>体现了</w:t>
      </w:r>
      <w:r>
        <w:rPr>
          <w:rFonts w:ascii="Times New Roman" w:hAnsi="Times New Roman" w:eastAsia="Times New Roman" w:cs="Times New Roman"/>
          <w:spacing w:val="-2"/>
          <w:sz w:val="24"/>
          <w:szCs w:val="24"/>
        </w:rPr>
        <w:t>“</w:t>
      </w:r>
      <w:r>
        <w:rPr>
          <w:rFonts w:ascii="宋体" w:hAnsi="宋体" w:eastAsia="宋体" w:cs="宋体"/>
          <w:spacing w:val="-2"/>
          <w:sz w:val="24"/>
          <w:szCs w:val="24"/>
        </w:rPr>
        <w:t>谁开发谁保护，谁污染谁治理</w:t>
      </w:r>
      <w:r>
        <w:rPr>
          <w:rFonts w:ascii="Times New Roman" w:hAnsi="Times New Roman" w:eastAsia="Times New Roman" w:cs="Times New Roman"/>
          <w:spacing w:val="-2"/>
          <w:sz w:val="24"/>
          <w:szCs w:val="24"/>
        </w:rPr>
        <w:t>”</w:t>
      </w:r>
      <w:r>
        <w:rPr>
          <w:rFonts w:ascii="宋体" w:hAnsi="宋体" w:eastAsia="宋体" w:cs="宋体"/>
          <w:spacing w:val="-2"/>
          <w:sz w:val="24"/>
          <w:szCs w:val="24"/>
        </w:rPr>
        <w:t>的环保政策方针。环保工程</w:t>
      </w:r>
      <w:r>
        <w:rPr>
          <w:rFonts w:ascii="宋体" w:hAnsi="宋体" w:eastAsia="宋体" w:cs="宋体"/>
          <w:spacing w:val="-3"/>
          <w:sz w:val="24"/>
          <w:szCs w:val="24"/>
        </w:rPr>
        <w:t>将项目建设对</w:t>
      </w:r>
      <w:r>
        <w:rPr>
          <w:rFonts w:ascii="宋体" w:hAnsi="宋体" w:eastAsia="宋体" w:cs="宋体"/>
          <w:sz w:val="24"/>
          <w:szCs w:val="24"/>
        </w:rPr>
        <w:t xml:space="preserve"> </w:t>
      </w:r>
      <w:r>
        <w:rPr>
          <w:rFonts w:ascii="宋体" w:hAnsi="宋体" w:eastAsia="宋体" w:cs="宋体"/>
          <w:spacing w:val="-1"/>
          <w:sz w:val="24"/>
          <w:szCs w:val="24"/>
        </w:rPr>
        <w:t>环境的影响降至最低。</w:t>
      </w:r>
    </w:p>
    <w:p w14:paraId="3FBEA5E7">
      <w:pPr>
        <w:spacing w:line="218" w:lineRule="auto"/>
        <w:ind w:left="522"/>
        <w:rPr>
          <w:rFonts w:ascii="宋体" w:hAnsi="宋体" w:eastAsia="宋体" w:cs="宋体"/>
          <w:sz w:val="24"/>
          <w:szCs w:val="24"/>
        </w:rPr>
      </w:pPr>
      <w:r>
        <w:rPr>
          <w:rFonts w:ascii="宋体" w:hAnsi="宋体" w:eastAsia="宋体" w:cs="宋体"/>
          <w:spacing w:val="-4"/>
          <w:sz w:val="24"/>
          <w:szCs w:val="24"/>
        </w:rPr>
        <w:t>因此，环保投资是必要的。只有落实环境费用，才能控制该项目产生环境负</w:t>
      </w:r>
    </w:p>
    <w:p w14:paraId="57B4426B">
      <w:pPr>
        <w:spacing w:before="184" w:line="219" w:lineRule="auto"/>
        <w:ind w:left="29"/>
        <w:outlineLvl w:val="0"/>
        <w:rPr>
          <w:rFonts w:ascii="宋体" w:hAnsi="宋体" w:eastAsia="宋体" w:cs="宋体"/>
          <w:sz w:val="24"/>
          <w:szCs w:val="24"/>
        </w:rPr>
      </w:pPr>
      <w:r>
        <w:rPr>
          <w:rFonts w:ascii="宋体" w:hAnsi="宋体" w:eastAsia="宋体" w:cs="宋体"/>
          <w:spacing w:val="-1"/>
          <w:sz w:val="24"/>
          <w:szCs w:val="24"/>
        </w:rPr>
        <w:t>效益的经济活动，做到经济效益、环境效益和社会效益的统一。</w:t>
      </w:r>
    </w:p>
    <w:p w14:paraId="489DCCF8">
      <w:pPr>
        <w:spacing w:line="219" w:lineRule="auto"/>
        <w:rPr>
          <w:rFonts w:ascii="宋体" w:hAnsi="宋体" w:eastAsia="宋体" w:cs="宋体"/>
          <w:sz w:val="24"/>
          <w:szCs w:val="24"/>
        </w:rPr>
        <w:sectPr>
          <w:headerReference r:id="rId419" w:type="default"/>
          <w:footerReference r:id="rId420" w:type="default"/>
          <w:pgSz w:w="11906" w:h="16839"/>
          <w:pgMar w:top="1208" w:right="1738" w:bottom="1358" w:left="1785" w:header="825" w:footer="1195" w:gutter="0"/>
          <w:cols w:space="720" w:num="1"/>
        </w:sectPr>
      </w:pPr>
    </w:p>
    <w:p w14:paraId="273CA7BC">
      <w:pPr>
        <w:spacing w:before="271" w:line="222" w:lineRule="auto"/>
        <w:ind w:left="39"/>
        <w:outlineLvl w:val="0"/>
        <w:rPr>
          <w:rFonts w:ascii="黑体" w:hAnsi="黑体" w:eastAsia="黑体" w:cs="黑体"/>
          <w:sz w:val="28"/>
          <w:szCs w:val="28"/>
        </w:rPr>
      </w:pPr>
      <w:bookmarkStart w:id="183" w:name="bookmark163"/>
      <w:bookmarkEnd w:id="183"/>
      <w:r>
        <w:rPr>
          <w:rFonts w:ascii="黑体" w:hAnsi="黑体" w:eastAsia="黑体" w:cs="黑体"/>
          <w:b/>
          <w:bCs/>
          <w:spacing w:val="-6"/>
          <w:sz w:val="28"/>
          <w:szCs w:val="28"/>
        </w:rPr>
        <w:t>12</w:t>
      </w:r>
      <w:r>
        <w:rPr>
          <w:rFonts w:ascii="黑体" w:hAnsi="黑体" w:eastAsia="黑体" w:cs="黑体"/>
          <w:spacing w:val="-51"/>
          <w:sz w:val="28"/>
          <w:szCs w:val="28"/>
        </w:rPr>
        <w:t xml:space="preserve"> </w:t>
      </w:r>
      <w:r>
        <w:rPr>
          <w:rFonts w:ascii="黑体" w:hAnsi="黑体" w:eastAsia="黑体" w:cs="黑体"/>
          <w:b/>
          <w:bCs/>
          <w:spacing w:val="-6"/>
          <w:sz w:val="28"/>
          <w:szCs w:val="28"/>
        </w:rPr>
        <w:t>环境管理与监测计划</w:t>
      </w:r>
    </w:p>
    <w:p w14:paraId="6C0D47DE">
      <w:pPr>
        <w:pStyle w:val="2"/>
        <w:spacing w:line="356" w:lineRule="auto"/>
      </w:pPr>
    </w:p>
    <w:p w14:paraId="5037F516">
      <w:pPr>
        <w:spacing w:before="78" w:line="361" w:lineRule="auto"/>
        <w:ind w:left="26" w:right="165" w:firstLine="477"/>
        <w:jc w:val="both"/>
        <w:rPr>
          <w:rFonts w:ascii="宋体" w:hAnsi="宋体" w:eastAsia="宋体" w:cs="宋体"/>
          <w:sz w:val="24"/>
          <w:szCs w:val="24"/>
        </w:rPr>
      </w:pPr>
      <w:r>
        <w:rPr>
          <w:rFonts w:ascii="宋体" w:hAnsi="宋体" w:eastAsia="宋体" w:cs="宋体"/>
          <w:spacing w:val="-3"/>
          <w:sz w:val="24"/>
          <w:szCs w:val="24"/>
        </w:rPr>
        <w:t>环境保护管理与监测计划用于指导设计项目的环境保护工作，同</w:t>
      </w:r>
      <w:r>
        <w:rPr>
          <w:rFonts w:ascii="宋体" w:hAnsi="宋体" w:eastAsia="宋体" w:cs="宋体"/>
          <w:spacing w:val="-4"/>
          <w:sz w:val="24"/>
          <w:szCs w:val="24"/>
        </w:rPr>
        <w:t>时进行系统</w:t>
      </w:r>
      <w:r>
        <w:rPr>
          <w:rFonts w:ascii="宋体" w:hAnsi="宋体" w:eastAsia="宋体" w:cs="宋体"/>
          <w:sz w:val="24"/>
          <w:szCs w:val="24"/>
        </w:rPr>
        <w:t xml:space="preserve"> </w:t>
      </w:r>
      <w:r>
        <w:rPr>
          <w:rFonts w:ascii="宋体" w:hAnsi="宋体" w:eastAsia="宋体" w:cs="宋体"/>
          <w:spacing w:val="-3"/>
          <w:sz w:val="24"/>
          <w:szCs w:val="24"/>
        </w:rPr>
        <w:t>的环境监测，了解工程影响区域环境系统变化规律，全面地反映环境质量现</w:t>
      </w:r>
      <w:r>
        <w:rPr>
          <w:rFonts w:ascii="宋体" w:hAnsi="宋体" w:eastAsia="宋体" w:cs="宋体"/>
          <w:spacing w:val="-4"/>
          <w:sz w:val="24"/>
          <w:szCs w:val="24"/>
        </w:rPr>
        <w:t>状及</w:t>
      </w:r>
      <w:r>
        <w:rPr>
          <w:rFonts w:ascii="宋体" w:hAnsi="宋体" w:eastAsia="宋体" w:cs="宋体"/>
          <w:sz w:val="24"/>
          <w:szCs w:val="24"/>
        </w:rPr>
        <w:t xml:space="preserve"> </w:t>
      </w:r>
      <w:r>
        <w:rPr>
          <w:rFonts w:ascii="宋体" w:hAnsi="宋体" w:eastAsia="宋体" w:cs="宋体"/>
          <w:spacing w:val="-2"/>
          <w:sz w:val="24"/>
          <w:szCs w:val="24"/>
        </w:rPr>
        <w:t>工程建成投入运行后的环境情况，掌握污染源动态，及时发现潜在的不利影</w:t>
      </w:r>
      <w:r>
        <w:rPr>
          <w:rFonts w:ascii="宋体" w:hAnsi="宋体" w:eastAsia="宋体" w:cs="宋体"/>
          <w:spacing w:val="-3"/>
          <w:sz w:val="24"/>
          <w:szCs w:val="24"/>
        </w:rPr>
        <w:t>响，</w:t>
      </w:r>
      <w:r>
        <w:rPr>
          <w:rFonts w:ascii="宋体" w:hAnsi="宋体" w:eastAsia="宋体" w:cs="宋体"/>
          <w:sz w:val="24"/>
          <w:szCs w:val="24"/>
        </w:rPr>
        <w:t xml:space="preserve"> </w:t>
      </w:r>
      <w:r>
        <w:rPr>
          <w:rFonts w:ascii="宋体" w:hAnsi="宋体" w:eastAsia="宋体" w:cs="宋体"/>
          <w:spacing w:val="-1"/>
          <w:sz w:val="24"/>
          <w:szCs w:val="24"/>
        </w:rPr>
        <w:t>以便及时采取有效的减免措施。</w:t>
      </w:r>
    </w:p>
    <w:p w14:paraId="5D149056">
      <w:pPr>
        <w:spacing w:before="78" w:line="222" w:lineRule="auto"/>
        <w:ind w:left="32"/>
        <w:outlineLvl w:val="1"/>
        <w:rPr>
          <w:rFonts w:ascii="黑体" w:hAnsi="黑体" w:eastAsia="黑体" w:cs="黑体"/>
          <w:sz w:val="28"/>
          <w:szCs w:val="28"/>
        </w:rPr>
      </w:pPr>
      <w:bookmarkStart w:id="184" w:name="bookmark164"/>
      <w:bookmarkEnd w:id="184"/>
      <w:bookmarkStart w:id="185" w:name="bookmark165"/>
      <w:bookmarkEnd w:id="185"/>
      <w:r>
        <w:rPr>
          <w:rFonts w:ascii="Times New Roman" w:hAnsi="Times New Roman" w:eastAsia="Times New Roman" w:cs="Times New Roman"/>
          <w:b/>
          <w:bCs/>
          <w:spacing w:val="-3"/>
          <w:sz w:val="28"/>
          <w:szCs w:val="28"/>
        </w:rPr>
        <w:t xml:space="preserve">12.1 </w:t>
      </w:r>
      <w:r>
        <w:rPr>
          <w:rFonts w:ascii="黑体" w:hAnsi="黑体" w:eastAsia="黑体" w:cs="黑体"/>
          <w:b/>
          <w:bCs/>
          <w:spacing w:val="-3"/>
          <w:sz w:val="28"/>
          <w:szCs w:val="28"/>
        </w:rPr>
        <w:t>环境管理计划</w:t>
      </w:r>
    </w:p>
    <w:p w14:paraId="6F0856E4">
      <w:pPr>
        <w:spacing w:before="254" w:line="219" w:lineRule="auto"/>
        <w:ind w:left="509"/>
        <w:outlineLvl w:val="2"/>
        <w:rPr>
          <w:rFonts w:ascii="宋体" w:hAnsi="宋体" w:eastAsia="宋体" w:cs="宋体"/>
          <w:sz w:val="24"/>
          <w:szCs w:val="24"/>
        </w:rPr>
      </w:pPr>
      <w:bookmarkStart w:id="186" w:name="bookmark215"/>
      <w:bookmarkEnd w:id="186"/>
      <w:r>
        <w:rPr>
          <w:rFonts w:ascii="Times New Roman" w:hAnsi="Times New Roman" w:eastAsia="Times New Roman" w:cs="Times New Roman"/>
          <w:b/>
          <w:bCs/>
          <w:spacing w:val="-2"/>
          <w:sz w:val="24"/>
          <w:szCs w:val="24"/>
        </w:rPr>
        <w:t xml:space="preserve">12.1.1 </w:t>
      </w:r>
      <w:r>
        <w:rPr>
          <w:rFonts w:ascii="宋体" w:hAnsi="宋体" w:eastAsia="宋体" w:cs="宋体"/>
          <w:b/>
          <w:bCs/>
          <w:spacing w:val="-2"/>
          <w:sz w:val="24"/>
          <w:szCs w:val="24"/>
        </w:rPr>
        <w:t>环境管理机构设置</w:t>
      </w:r>
    </w:p>
    <w:p w14:paraId="52B81D39">
      <w:pPr>
        <w:spacing w:before="183" w:line="360" w:lineRule="auto"/>
        <w:ind w:left="28" w:firstLine="504"/>
        <w:jc w:val="both"/>
        <w:rPr>
          <w:rFonts w:ascii="宋体" w:hAnsi="宋体" w:eastAsia="宋体" w:cs="宋体"/>
          <w:sz w:val="24"/>
          <w:szCs w:val="24"/>
        </w:rPr>
      </w:pPr>
      <w:r>
        <w:rPr>
          <w:rFonts w:ascii="宋体" w:hAnsi="宋体" w:eastAsia="宋体" w:cs="宋体"/>
          <w:spacing w:val="1"/>
          <w:sz w:val="24"/>
          <w:szCs w:val="24"/>
        </w:rPr>
        <w:t>内蒙古玉龙矿业股份有限公司现已组建环境保护管理机构</w:t>
      </w:r>
      <w:r>
        <w:rPr>
          <w:rFonts w:ascii="宋体" w:hAnsi="宋体" w:eastAsia="宋体" w:cs="宋体"/>
          <w:sz w:val="24"/>
          <w:szCs w:val="24"/>
        </w:rPr>
        <w:t>（环境管理机构</w:t>
      </w:r>
      <w:r>
        <w:rPr>
          <w:rFonts w:ascii="Times New Roman" w:hAnsi="Times New Roman" w:eastAsia="Times New Roman" w:cs="Times New Roman"/>
          <w:sz w:val="24"/>
          <w:szCs w:val="24"/>
        </w:rPr>
        <w:t xml:space="preserve">-    </w:t>
      </w:r>
      <w:r>
        <w:rPr>
          <w:rFonts w:ascii="宋体" w:hAnsi="宋体" w:eastAsia="宋体" w:cs="宋体"/>
          <w:sz w:val="24"/>
          <w:szCs w:val="24"/>
        </w:rPr>
        <w:t>安全环保部，专职环境管理人员</w:t>
      </w:r>
      <w:r>
        <w:rPr>
          <w:rFonts w:ascii="Times New Roman" w:hAnsi="Times New Roman" w:eastAsia="Times New Roman" w:cs="Times New Roman"/>
          <w:sz w:val="24"/>
          <w:szCs w:val="24"/>
        </w:rPr>
        <w:t xml:space="preserve">2 </w:t>
      </w:r>
      <w:r>
        <w:rPr>
          <w:rFonts w:ascii="宋体" w:hAnsi="宋体" w:eastAsia="宋体" w:cs="宋体"/>
          <w:sz w:val="24"/>
          <w:szCs w:val="24"/>
        </w:rPr>
        <w:t>人</w:t>
      </w:r>
      <w:r>
        <w:rPr>
          <w:rFonts w:ascii="宋体" w:hAnsi="宋体" w:eastAsia="宋体" w:cs="宋体"/>
          <w:spacing w:val="-18"/>
          <w:sz w:val="24"/>
          <w:szCs w:val="24"/>
        </w:rPr>
        <w:t>），</w:t>
      </w:r>
      <w:r>
        <w:rPr>
          <w:rFonts w:ascii="宋体" w:hAnsi="宋体" w:eastAsia="宋体" w:cs="宋体"/>
          <w:sz w:val="24"/>
          <w:szCs w:val="24"/>
        </w:rPr>
        <w:t>形成了一</w:t>
      </w:r>
      <w:r>
        <w:rPr>
          <w:rFonts w:ascii="宋体" w:hAnsi="宋体" w:eastAsia="宋体" w:cs="宋体"/>
          <w:spacing w:val="-1"/>
          <w:sz w:val="24"/>
          <w:szCs w:val="24"/>
        </w:rPr>
        <w:t>个生产与环保、兼职与专职相</w:t>
      </w:r>
      <w:r>
        <w:rPr>
          <w:rFonts w:ascii="宋体" w:hAnsi="宋体" w:eastAsia="宋体" w:cs="宋体"/>
          <w:sz w:val="24"/>
          <w:szCs w:val="24"/>
        </w:rPr>
        <w:t xml:space="preserve">  </w:t>
      </w:r>
      <w:r>
        <w:rPr>
          <w:rFonts w:ascii="宋体" w:hAnsi="宋体" w:eastAsia="宋体" w:cs="宋体"/>
          <w:spacing w:val="-4"/>
          <w:sz w:val="24"/>
          <w:szCs w:val="24"/>
        </w:rPr>
        <w:t>结合的环保工作网络。厂区环境监测工作可委托当地有资质的环境监测</w:t>
      </w:r>
      <w:r>
        <w:rPr>
          <w:rFonts w:ascii="宋体" w:hAnsi="宋体" w:eastAsia="宋体" w:cs="宋体"/>
          <w:spacing w:val="-5"/>
          <w:sz w:val="24"/>
          <w:szCs w:val="24"/>
        </w:rPr>
        <w:t>部门开展。</w:t>
      </w:r>
    </w:p>
    <w:p w14:paraId="62EE1864">
      <w:pPr>
        <w:spacing w:before="1" w:line="219" w:lineRule="auto"/>
        <w:ind w:left="509"/>
        <w:outlineLvl w:val="2"/>
        <w:rPr>
          <w:rFonts w:ascii="宋体" w:hAnsi="宋体" w:eastAsia="宋体" w:cs="宋体"/>
          <w:sz w:val="24"/>
          <w:szCs w:val="24"/>
        </w:rPr>
      </w:pPr>
      <w:bookmarkStart w:id="187" w:name="bookmark166"/>
      <w:bookmarkEnd w:id="187"/>
      <w:r>
        <w:rPr>
          <w:rFonts w:ascii="Times New Roman" w:hAnsi="Times New Roman" w:eastAsia="Times New Roman" w:cs="Times New Roman"/>
          <w:b/>
          <w:bCs/>
          <w:spacing w:val="-3"/>
          <w:sz w:val="24"/>
          <w:szCs w:val="24"/>
        </w:rPr>
        <w:t xml:space="preserve">12.1.2 </w:t>
      </w:r>
      <w:r>
        <w:rPr>
          <w:rFonts w:ascii="宋体" w:hAnsi="宋体" w:eastAsia="宋体" w:cs="宋体"/>
          <w:b/>
          <w:bCs/>
          <w:spacing w:val="-3"/>
          <w:sz w:val="24"/>
          <w:szCs w:val="24"/>
        </w:rPr>
        <w:t>环境管理职责</w:t>
      </w:r>
    </w:p>
    <w:p w14:paraId="1F7E22C3">
      <w:pPr>
        <w:spacing w:before="183" w:line="360" w:lineRule="auto"/>
        <w:ind w:left="27" w:right="200" w:firstLine="476"/>
        <w:rPr>
          <w:rFonts w:ascii="宋体" w:hAnsi="宋体" w:eastAsia="宋体" w:cs="宋体"/>
          <w:sz w:val="24"/>
          <w:szCs w:val="24"/>
        </w:rPr>
      </w:pPr>
      <w:r>
        <w:rPr>
          <w:rFonts w:ascii="宋体" w:hAnsi="宋体" w:eastAsia="宋体" w:cs="宋体"/>
          <w:spacing w:val="-3"/>
          <w:sz w:val="24"/>
          <w:szCs w:val="24"/>
        </w:rPr>
        <w:t>环境管理机构的主要管理职责，根据不同时期工程内容，环境管</w:t>
      </w:r>
      <w:r>
        <w:rPr>
          <w:rFonts w:ascii="宋体" w:hAnsi="宋体" w:eastAsia="宋体" w:cs="宋体"/>
          <w:spacing w:val="-4"/>
          <w:sz w:val="24"/>
          <w:szCs w:val="24"/>
        </w:rPr>
        <w:t>理的侧重点</w:t>
      </w:r>
      <w:r>
        <w:rPr>
          <w:rFonts w:ascii="宋体" w:hAnsi="宋体" w:eastAsia="宋体" w:cs="宋体"/>
          <w:sz w:val="24"/>
          <w:szCs w:val="24"/>
        </w:rPr>
        <w:t xml:space="preserve"> </w:t>
      </w:r>
      <w:r>
        <w:rPr>
          <w:rFonts w:ascii="宋体" w:hAnsi="宋体" w:eastAsia="宋体" w:cs="宋体"/>
          <w:spacing w:val="-1"/>
          <w:sz w:val="24"/>
          <w:szCs w:val="24"/>
        </w:rPr>
        <w:t>不同。根据工程情况，可将环境管理职责分为建设期、运营期。</w:t>
      </w:r>
    </w:p>
    <w:p w14:paraId="1CF10CC6">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）建设期管理</w:t>
      </w:r>
    </w:p>
    <w:p w14:paraId="4B85A79E">
      <w:pPr>
        <w:spacing w:before="183" w:line="360" w:lineRule="auto"/>
        <w:ind w:left="24" w:right="200" w:firstLine="481"/>
        <w:rPr>
          <w:rFonts w:ascii="宋体" w:hAnsi="宋体" w:eastAsia="宋体" w:cs="宋体"/>
          <w:sz w:val="24"/>
          <w:szCs w:val="24"/>
        </w:rPr>
      </w:pPr>
      <w:r>
        <w:rPr>
          <w:rFonts w:ascii="宋体" w:hAnsi="宋体" w:eastAsia="宋体" w:cs="宋体"/>
          <w:spacing w:val="-3"/>
          <w:sz w:val="24"/>
          <w:szCs w:val="24"/>
        </w:rPr>
        <w:t>建设单位在施工开始时应配有专职的环保督察员，负责监</w:t>
      </w:r>
      <w:r>
        <w:rPr>
          <w:rFonts w:ascii="宋体" w:hAnsi="宋体" w:eastAsia="宋体" w:cs="宋体"/>
          <w:spacing w:val="-4"/>
          <w:sz w:val="24"/>
          <w:szCs w:val="24"/>
        </w:rPr>
        <w:t>督施工单位在建设</w:t>
      </w:r>
      <w:r>
        <w:rPr>
          <w:rFonts w:ascii="宋体" w:hAnsi="宋体" w:eastAsia="宋体" w:cs="宋体"/>
          <w:sz w:val="24"/>
          <w:szCs w:val="24"/>
        </w:rPr>
        <w:t xml:space="preserve"> </w:t>
      </w:r>
      <w:r>
        <w:rPr>
          <w:rFonts w:ascii="宋体" w:hAnsi="宋体" w:eastAsia="宋体" w:cs="宋体"/>
          <w:spacing w:val="-3"/>
          <w:sz w:val="24"/>
          <w:szCs w:val="24"/>
        </w:rPr>
        <w:t>期间的环境管理（包括生活污水、施工废水、施工噪声、道路扬尘的处理等）工</w:t>
      </w:r>
      <w:r>
        <w:rPr>
          <w:rFonts w:ascii="宋体" w:hAnsi="宋体" w:eastAsia="宋体" w:cs="宋体"/>
          <w:sz w:val="24"/>
          <w:szCs w:val="24"/>
        </w:rPr>
        <w:t xml:space="preserve"> </w:t>
      </w:r>
      <w:r>
        <w:rPr>
          <w:rFonts w:ascii="宋体" w:hAnsi="宋体" w:eastAsia="宋体" w:cs="宋体"/>
          <w:spacing w:val="1"/>
          <w:sz w:val="24"/>
          <w:szCs w:val="24"/>
        </w:rPr>
        <w:t>作。要求施工队分别配备</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名环保管理员，共同负责监督、检查落实日常与环</w:t>
      </w:r>
      <w:r>
        <w:rPr>
          <w:rFonts w:ascii="宋体" w:hAnsi="宋体" w:eastAsia="宋体" w:cs="宋体"/>
          <w:sz w:val="24"/>
          <w:szCs w:val="24"/>
        </w:rPr>
        <w:t xml:space="preserve"> </w:t>
      </w:r>
      <w:r>
        <w:rPr>
          <w:rFonts w:ascii="宋体" w:hAnsi="宋体" w:eastAsia="宋体" w:cs="宋体"/>
          <w:spacing w:val="-2"/>
          <w:sz w:val="24"/>
          <w:szCs w:val="24"/>
        </w:rPr>
        <w:t>境保护相关的事务。</w:t>
      </w:r>
    </w:p>
    <w:p w14:paraId="7CCB0565">
      <w:pPr>
        <w:spacing w:line="219" w:lineRule="auto"/>
        <w:ind w:left="506"/>
        <w:rPr>
          <w:rFonts w:ascii="宋体" w:hAnsi="宋体" w:eastAsia="宋体" w:cs="宋体"/>
          <w:sz w:val="24"/>
          <w:szCs w:val="24"/>
        </w:rPr>
      </w:pPr>
      <w:r>
        <w:rPr>
          <w:rFonts w:ascii="宋体" w:hAnsi="宋体" w:eastAsia="宋体" w:cs="宋体"/>
          <w:spacing w:val="-1"/>
          <w:sz w:val="24"/>
          <w:szCs w:val="24"/>
        </w:rPr>
        <w:t>建设期施工队主要环境管理内容包括：</w:t>
      </w:r>
    </w:p>
    <w:p w14:paraId="6AF8D647">
      <w:pPr>
        <w:spacing w:before="183" w:line="217" w:lineRule="auto"/>
        <w:ind w:left="502"/>
        <w:rPr>
          <w:rFonts w:ascii="宋体" w:hAnsi="宋体" w:eastAsia="宋体" w:cs="宋体"/>
          <w:sz w:val="24"/>
          <w:szCs w:val="24"/>
        </w:rPr>
      </w:pPr>
      <w:r>
        <w:rPr>
          <w:rFonts w:ascii="宋体" w:hAnsi="宋体" w:eastAsia="宋体" w:cs="宋体"/>
          <w:spacing w:val="-1"/>
          <w:sz w:val="24"/>
          <w:szCs w:val="24"/>
        </w:rPr>
        <w:t>①组织制定本单位的环境保护管理的规章制度，并监督执行；</w:t>
      </w:r>
    </w:p>
    <w:p w14:paraId="6E648B3D">
      <w:pPr>
        <w:spacing w:before="186" w:line="217" w:lineRule="auto"/>
        <w:ind w:left="501"/>
        <w:rPr>
          <w:rFonts w:ascii="宋体" w:hAnsi="宋体" w:eastAsia="宋体" w:cs="宋体"/>
          <w:sz w:val="24"/>
          <w:szCs w:val="24"/>
        </w:rPr>
      </w:pPr>
      <w:r>
        <w:rPr>
          <w:rFonts w:ascii="宋体" w:hAnsi="宋体" w:eastAsia="宋体" w:cs="宋体"/>
          <w:spacing w:val="-1"/>
          <w:sz w:val="24"/>
          <w:szCs w:val="24"/>
        </w:rPr>
        <w:t>②负责施工过程中的日常环境管理工作；</w:t>
      </w:r>
    </w:p>
    <w:p w14:paraId="036FE238">
      <w:pPr>
        <w:spacing w:before="186" w:line="217" w:lineRule="auto"/>
        <w:ind w:left="501"/>
        <w:rPr>
          <w:rFonts w:ascii="宋体" w:hAnsi="宋体" w:eastAsia="宋体" w:cs="宋体"/>
          <w:sz w:val="24"/>
          <w:szCs w:val="24"/>
        </w:rPr>
      </w:pPr>
      <w:r>
        <w:rPr>
          <w:rFonts w:ascii="宋体" w:hAnsi="宋体" w:eastAsia="宋体" w:cs="宋体"/>
          <w:sz w:val="24"/>
          <w:szCs w:val="24"/>
        </w:rPr>
        <w:t>③组织环境保护宣传，提高施工人员的环境保护意识</w:t>
      </w:r>
      <w:r>
        <w:rPr>
          <w:rFonts w:ascii="宋体" w:hAnsi="宋体" w:eastAsia="宋体" w:cs="宋体"/>
          <w:spacing w:val="-1"/>
          <w:sz w:val="24"/>
          <w:szCs w:val="24"/>
        </w:rPr>
        <w:t>，减少扬尘和噪声；</w:t>
      </w:r>
    </w:p>
    <w:p w14:paraId="4200B8CF">
      <w:pPr>
        <w:spacing w:before="185" w:line="290" w:lineRule="auto"/>
        <w:ind w:left="26" w:right="200" w:firstLine="475"/>
        <w:rPr>
          <w:rFonts w:ascii="宋体" w:hAnsi="宋体" w:eastAsia="宋体" w:cs="宋体"/>
          <w:sz w:val="24"/>
          <w:szCs w:val="24"/>
        </w:rPr>
      </w:pPr>
      <w:r>
        <w:rPr>
          <w:rFonts w:ascii="宋体" w:hAnsi="宋体" w:eastAsia="宋体" w:cs="宋体"/>
          <w:spacing w:val="-3"/>
          <w:sz w:val="24"/>
          <w:szCs w:val="24"/>
        </w:rPr>
        <w:t>④按照水保方案和环境影响评价对本项目的要求，负责实施阶段性</w:t>
      </w:r>
      <w:r>
        <w:rPr>
          <w:rFonts w:ascii="宋体" w:hAnsi="宋体" w:eastAsia="宋体" w:cs="宋体"/>
          <w:spacing w:val="-4"/>
          <w:sz w:val="24"/>
          <w:szCs w:val="24"/>
        </w:rPr>
        <w:t>的水土保</w:t>
      </w:r>
      <w:r>
        <w:rPr>
          <w:rFonts w:ascii="宋体" w:hAnsi="宋体" w:eastAsia="宋体" w:cs="宋体"/>
          <w:sz w:val="24"/>
          <w:szCs w:val="24"/>
        </w:rPr>
        <w:t xml:space="preserve"> </w:t>
      </w:r>
      <w:r>
        <w:rPr>
          <w:rFonts w:ascii="宋体" w:hAnsi="宋体" w:eastAsia="宋体" w:cs="宋体"/>
          <w:spacing w:val="-2"/>
          <w:sz w:val="24"/>
          <w:szCs w:val="24"/>
        </w:rPr>
        <w:t>持和生态恢复工作。</w:t>
      </w:r>
    </w:p>
    <w:p w14:paraId="0C5C90A3">
      <w:pPr>
        <w:spacing w:before="183" w:line="219" w:lineRule="auto"/>
        <w:ind w:left="506"/>
        <w:rPr>
          <w:rFonts w:ascii="宋体" w:hAnsi="宋体" w:eastAsia="宋体" w:cs="宋体"/>
          <w:sz w:val="24"/>
          <w:szCs w:val="24"/>
        </w:rPr>
      </w:pPr>
      <w:r>
        <w:rPr>
          <w:rFonts w:ascii="宋体" w:hAnsi="宋体" w:eastAsia="宋体" w:cs="宋体"/>
          <w:spacing w:val="-1"/>
          <w:sz w:val="24"/>
          <w:szCs w:val="24"/>
        </w:rPr>
        <w:t>建设单位环保督察员职责包括：</w:t>
      </w:r>
    </w:p>
    <w:p w14:paraId="29EFE15D">
      <w:pPr>
        <w:spacing w:before="183" w:line="217" w:lineRule="auto"/>
        <w:ind w:left="502"/>
        <w:rPr>
          <w:rFonts w:ascii="宋体" w:hAnsi="宋体" w:eastAsia="宋体" w:cs="宋体"/>
          <w:sz w:val="24"/>
          <w:szCs w:val="24"/>
        </w:rPr>
      </w:pPr>
      <w:r>
        <w:rPr>
          <w:rFonts w:ascii="宋体" w:hAnsi="宋体" w:eastAsia="宋体" w:cs="宋体"/>
          <w:spacing w:val="-1"/>
          <w:sz w:val="24"/>
          <w:szCs w:val="24"/>
        </w:rPr>
        <w:t>①协调和督促项目配套环保设施的建设符合</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三同时</w:t>
      </w:r>
      <w:r>
        <w:rPr>
          <w:rFonts w:ascii="Times New Roman" w:hAnsi="Times New Roman" w:eastAsia="Times New Roman" w:cs="Times New Roman"/>
          <w:spacing w:val="-1"/>
          <w:sz w:val="24"/>
          <w:szCs w:val="24"/>
        </w:rPr>
        <w:t>”</w:t>
      </w:r>
      <w:r>
        <w:rPr>
          <w:rFonts w:ascii="宋体" w:hAnsi="宋体" w:eastAsia="宋体" w:cs="宋体"/>
          <w:spacing w:val="-1"/>
          <w:sz w:val="24"/>
          <w:szCs w:val="24"/>
        </w:rPr>
        <w:t>要求；</w:t>
      </w:r>
    </w:p>
    <w:p w14:paraId="6953614D">
      <w:pPr>
        <w:spacing w:before="186" w:line="217" w:lineRule="auto"/>
        <w:ind w:left="501"/>
        <w:rPr>
          <w:rFonts w:ascii="宋体" w:hAnsi="宋体" w:eastAsia="宋体" w:cs="宋体"/>
          <w:sz w:val="24"/>
          <w:szCs w:val="24"/>
        </w:rPr>
      </w:pPr>
      <w:r>
        <w:rPr>
          <w:rFonts w:ascii="宋体" w:hAnsi="宋体" w:eastAsia="宋体" w:cs="宋体"/>
          <w:spacing w:val="-1"/>
          <w:sz w:val="24"/>
          <w:szCs w:val="24"/>
        </w:rPr>
        <w:t>②参与工程环保设施竣工验收。</w:t>
      </w:r>
    </w:p>
    <w:p w14:paraId="7ABDDB5C">
      <w:pPr>
        <w:spacing w:before="186"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）运营期管理</w:t>
      </w:r>
    </w:p>
    <w:p w14:paraId="13B61F85">
      <w:pPr>
        <w:spacing w:before="183" w:line="219" w:lineRule="auto"/>
        <w:ind w:left="503"/>
        <w:rPr>
          <w:rFonts w:ascii="宋体" w:hAnsi="宋体" w:eastAsia="宋体" w:cs="宋体"/>
          <w:sz w:val="24"/>
          <w:szCs w:val="24"/>
        </w:rPr>
      </w:pPr>
      <w:r>
        <w:rPr>
          <w:rFonts w:ascii="宋体" w:hAnsi="宋体" w:eastAsia="宋体" w:cs="宋体"/>
          <w:spacing w:val="-3"/>
          <w:sz w:val="24"/>
          <w:szCs w:val="24"/>
        </w:rPr>
        <w:t>运营期间，公司应该设立环境管理机构，负责环保管理和环境监测工作。其</w:t>
      </w:r>
    </w:p>
    <w:p w14:paraId="5EC0ACAD">
      <w:pPr>
        <w:spacing w:line="219" w:lineRule="auto"/>
        <w:rPr>
          <w:rFonts w:ascii="宋体" w:hAnsi="宋体" w:eastAsia="宋体" w:cs="宋体"/>
          <w:sz w:val="24"/>
          <w:szCs w:val="24"/>
        </w:rPr>
        <w:sectPr>
          <w:headerReference r:id="rId421" w:type="default"/>
          <w:footerReference r:id="rId422" w:type="default"/>
          <w:pgSz w:w="11906" w:h="16839"/>
          <w:pgMar w:top="1208" w:right="1599" w:bottom="1358" w:left="1785" w:header="825" w:footer="1195" w:gutter="0"/>
          <w:cols w:space="720" w:num="1"/>
        </w:sectPr>
      </w:pPr>
    </w:p>
    <w:p w14:paraId="5856664E">
      <w:pPr>
        <w:pStyle w:val="2"/>
        <w:spacing w:line="265" w:lineRule="auto"/>
      </w:pPr>
    </w:p>
    <w:p w14:paraId="2B30A27E">
      <w:pPr>
        <w:spacing w:before="78" w:line="219" w:lineRule="auto"/>
        <w:ind w:left="124"/>
        <w:rPr>
          <w:rFonts w:ascii="宋体" w:hAnsi="宋体" w:eastAsia="宋体" w:cs="宋体"/>
          <w:sz w:val="24"/>
          <w:szCs w:val="24"/>
        </w:rPr>
      </w:pPr>
      <w:r>
        <w:rPr>
          <w:rFonts w:ascii="宋体" w:hAnsi="宋体" w:eastAsia="宋体" w:cs="宋体"/>
          <w:spacing w:val="-2"/>
          <w:sz w:val="24"/>
          <w:szCs w:val="24"/>
        </w:rPr>
        <w:t>主要环境管理职责如下：</w:t>
      </w:r>
    </w:p>
    <w:p w14:paraId="205CD17B">
      <w:pPr>
        <w:spacing w:before="183" w:line="217" w:lineRule="auto"/>
        <w:ind w:left="601"/>
        <w:rPr>
          <w:rFonts w:ascii="宋体" w:hAnsi="宋体" w:eastAsia="宋体" w:cs="宋体"/>
          <w:sz w:val="24"/>
          <w:szCs w:val="24"/>
        </w:rPr>
      </w:pPr>
      <w:r>
        <w:rPr>
          <w:rFonts w:ascii="宋体" w:hAnsi="宋体" w:eastAsia="宋体" w:cs="宋体"/>
          <w:spacing w:val="-1"/>
          <w:sz w:val="24"/>
          <w:szCs w:val="24"/>
        </w:rPr>
        <w:t>①制定环境监测、监理和环境治理方案；</w:t>
      </w:r>
    </w:p>
    <w:p w14:paraId="0C54911E">
      <w:pPr>
        <w:spacing w:before="185" w:line="217" w:lineRule="auto"/>
        <w:ind w:left="600"/>
        <w:rPr>
          <w:rFonts w:ascii="宋体" w:hAnsi="宋体" w:eastAsia="宋体" w:cs="宋体"/>
          <w:sz w:val="24"/>
          <w:szCs w:val="24"/>
        </w:rPr>
      </w:pPr>
      <w:r>
        <w:rPr>
          <w:rFonts w:ascii="宋体" w:hAnsi="宋体" w:eastAsia="宋体" w:cs="宋体"/>
          <w:sz w:val="24"/>
          <w:szCs w:val="24"/>
        </w:rPr>
        <w:t>②制定并组织实施全公司详细的生态建设环</w:t>
      </w:r>
      <w:r>
        <w:rPr>
          <w:rFonts w:ascii="宋体" w:hAnsi="宋体" w:eastAsia="宋体" w:cs="宋体"/>
          <w:spacing w:val="-1"/>
          <w:sz w:val="24"/>
          <w:szCs w:val="24"/>
        </w:rPr>
        <w:t>境保护规划和计划；</w:t>
      </w:r>
    </w:p>
    <w:p w14:paraId="0F98EA7F">
      <w:pPr>
        <w:spacing w:before="185" w:line="217" w:lineRule="auto"/>
        <w:ind w:left="600"/>
        <w:rPr>
          <w:rFonts w:ascii="宋体" w:hAnsi="宋体" w:eastAsia="宋体" w:cs="宋体"/>
          <w:sz w:val="24"/>
          <w:szCs w:val="24"/>
        </w:rPr>
      </w:pPr>
      <w:r>
        <w:rPr>
          <w:rFonts w:ascii="宋体" w:hAnsi="宋体" w:eastAsia="宋体" w:cs="宋体"/>
          <w:sz w:val="24"/>
          <w:szCs w:val="24"/>
        </w:rPr>
        <w:t>③对监测指标异常的污染物及新发现的污染物要</w:t>
      </w:r>
      <w:r>
        <w:rPr>
          <w:rFonts w:ascii="宋体" w:hAnsi="宋体" w:eastAsia="宋体" w:cs="宋体"/>
          <w:spacing w:val="-1"/>
          <w:sz w:val="24"/>
          <w:szCs w:val="24"/>
        </w:rPr>
        <w:t>及时上报有关部门；</w:t>
      </w:r>
    </w:p>
    <w:p w14:paraId="6AD2DC9B">
      <w:pPr>
        <w:spacing w:before="186" w:line="217" w:lineRule="auto"/>
        <w:ind w:left="600"/>
        <w:rPr>
          <w:rFonts w:ascii="宋体" w:hAnsi="宋体" w:eastAsia="宋体" w:cs="宋体"/>
          <w:sz w:val="24"/>
          <w:szCs w:val="24"/>
        </w:rPr>
      </w:pPr>
      <w:r>
        <w:rPr>
          <w:rFonts w:ascii="宋体" w:hAnsi="宋体" w:eastAsia="宋体" w:cs="宋体"/>
          <w:sz w:val="24"/>
          <w:szCs w:val="24"/>
        </w:rPr>
        <w:t>④建立环境科技档案和管理方案，实行环境</w:t>
      </w:r>
      <w:r>
        <w:rPr>
          <w:rFonts w:ascii="宋体" w:hAnsi="宋体" w:eastAsia="宋体" w:cs="宋体"/>
          <w:spacing w:val="-1"/>
          <w:sz w:val="24"/>
          <w:szCs w:val="24"/>
        </w:rPr>
        <w:t>保护工作动态管理；</w:t>
      </w:r>
    </w:p>
    <w:p w14:paraId="55D14C91">
      <w:pPr>
        <w:spacing w:before="186" w:line="217" w:lineRule="auto"/>
        <w:ind w:left="600"/>
        <w:rPr>
          <w:rFonts w:ascii="宋体" w:hAnsi="宋体" w:eastAsia="宋体" w:cs="宋体"/>
          <w:sz w:val="24"/>
          <w:szCs w:val="24"/>
        </w:rPr>
      </w:pPr>
      <w:r>
        <w:rPr>
          <w:rFonts w:ascii="宋体" w:hAnsi="宋体" w:eastAsia="宋体" w:cs="宋体"/>
          <w:spacing w:val="-1"/>
          <w:sz w:val="24"/>
          <w:szCs w:val="24"/>
        </w:rPr>
        <w:t>⑤编制污染监测及环境指标考核报表，及时送交有关部门；</w:t>
      </w:r>
    </w:p>
    <w:p w14:paraId="5EB14232">
      <w:pPr>
        <w:spacing w:before="186" w:line="217" w:lineRule="auto"/>
        <w:ind w:right="18"/>
        <w:jc w:val="right"/>
        <w:rPr>
          <w:rFonts w:ascii="宋体" w:hAnsi="宋体" w:eastAsia="宋体" w:cs="宋体"/>
          <w:sz w:val="24"/>
          <w:szCs w:val="24"/>
        </w:rPr>
      </w:pPr>
      <w:r>
        <w:rPr>
          <w:rFonts w:ascii="宋体" w:hAnsi="宋体" w:eastAsia="宋体" w:cs="宋体"/>
          <w:sz w:val="24"/>
          <w:szCs w:val="24"/>
        </w:rPr>
        <w:t>⑥每季度对环保设施进行全面检查，确保无重大环境污</w:t>
      </w:r>
      <w:r>
        <w:rPr>
          <w:rFonts w:ascii="宋体" w:hAnsi="宋体" w:eastAsia="宋体" w:cs="宋体"/>
          <w:spacing w:val="-1"/>
          <w:sz w:val="24"/>
          <w:szCs w:val="24"/>
        </w:rPr>
        <w:t>染、泄漏事故发生；</w:t>
      </w:r>
    </w:p>
    <w:p w14:paraId="2EF0B06E">
      <w:pPr>
        <w:spacing w:before="186" w:line="289" w:lineRule="auto"/>
        <w:ind w:left="122" w:right="77" w:firstLine="478"/>
        <w:rPr>
          <w:rFonts w:ascii="宋体" w:hAnsi="宋体" w:eastAsia="宋体" w:cs="宋体"/>
          <w:sz w:val="24"/>
          <w:szCs w:val="24"/>
        </w:rPr>
      </w:pPr>
      <w:r>
        <w:rPr>
          <w:rFonts w:ascii="宋体" w:hAnsi="宋体" w:eastAsia="宋体" w:cs="宋体"/>
          <w:spacing w:val="-2"/>
          <w:sz w:val="24"/>
          <w:szCs w:val="24"/>
        </w:rPr>
        <w:t>⑦组织和开展本单位的环境保护专业技术培训，提高环保工作人员的素质，</w:t>
      </w:r>
      <w:r>
        <w:rPr>
          <w:rFonts w:ascii="宋体" w:hAnsi="宋体" w:eastAsia="宋体" w:cs="宋体"/>
          <w:sz w:val="24"/>
          <w:szCs w:val="24"/>
        </w:rPr>
        <w:t xml:space="preserve"> </w:t>
      </w:r>
      <w:r>
        <w:rPr>
          <w:rFonts w:ascii="宋体" w:hAnsi="宋体" w:eastAsia="宋体" w:cs="宋体"/>
          <w:spacing w:val="-1"/>
          <w:sz w:val="24"/>
          <w:szCs w:val="24"/>
        </w:rPr>
        <w:t>推广应用环境保护先进技术和经验，组织环保宣传教育工作；</w:t>
      </w:r>
    </w:p>
    <w:p w14:paraId="5D51347A">
      <w:pPr>
        <w:spacing w:before="184" w:line="217" w:lineRule="auto"/>
        <w:ind w:left="600"/>
        <w:rPr>
          <w:rFonts w:ascii="宋体" w:hAnsi="宋体" w:eastAsia="宋体" w:cs="宋体"/>
          <w:sz w:val="24"/>
          <w:szCs w:val="24"/>
        </w:rPr>
      </w:pPr>
      <w:r>
        <w:rPr>
          <w:rFonts w:ascii="宋体" w:hAnsi="宋体" w:eastAsia="宋体" w:cs="宋体"/>
          <w:spacing w:val="-1"/>
          <w:sz w:val="24"/>
          <w:szCs w:val="24"/>
        </w:rPr>
        <w:t>⑧处理公司内有关环保的生产事故。</w:t>
      </w:r>
    </w:p>
    <w:p w14:paraId="65C80EAA">
      <w:pPr>
        <w:spacing w:before="187" w:line="219" w:lineRule="auto"/>
        <w:ind w:left="608"/>
        <w:outlineLvl w:val="2"/>
        <w:rPr>
          <w:rFonts w:ascii="宋体" w:hAnsi="宋体" w:eastAsia="宋体" w:cs="宋体"/>
          <w:sz w:val="24"/>
          <w:szCs w:val="24"/>
        </w:rPr>
      </w:pPr>
      <w:bookmarkStart w:id="188" w:name="bookmark167"/>
      <w:bookmarkEnd w:id="188"/>
      <w:r>
        <w:rPr>
          <w:rFonts w:ascii="Times New Roman" w:hAnsi="Times New Roman" w:eastAsia="Times New Roman" w:cs="Times New Roman"/>
          <w:b/>
          <w:bCs/>
          <w:spacing w:val="-2"/>
          <w:sz w:val="24"/>
          <w:szCs w:val="24"/>
        </w:rPr>
        <w:t xml:space="preserve">12.1.3 </w:t>
      </w:r>
      <w:r>
        <w:rPr>
          <w:rFonts w:ascii="宋体" w:hAnsi="宋体" w:eastAsia="宋体" w:cs="宋体"/>
          <w:b/>
          <w:bCs/>
          <w:spacing w:val="-2"/>
          <w:sz w:val="24"/>
          <w:szCs w:val="24"/>
        </w:rPr>
        <w:t>排污口规范化管理</w:t>
      </w:r>
    </w:p>
    <w:p w14:paraId="4E6E1819">
      <w:pPr>
        <w:spacing w:before="182" w:line="360" w:lineRule="auto"/>
        <w:ind w:left="123" w:right="112" w:firstLine="478"/>
        <w:jc w:val="both"/>
        <w:rPr>
          <w:rFonts w:ascii="宋体" w:hAnsi="宋体" w:eastAsia="宋体" w:cs="宋体"/>
          <w:sz w:val="24"/>
          <w:szCs w:val="24"/>
        </w:rPr>
      </w:pPr>
      <w:r>
        <w:rPr>
          <w:rFonts w:ascii="宋体" w:hAnsi="宋体" w:eastAsia="宋体" w:cs="宋体"/>
          <w:spacing w:val="-3"/>
          <w:sz w:val="24"/>
          <w:szCs w:val="24"/>
        </w:rPr>
        <w:t>废水排放口、废气排放口、固定噪声源、固体废物贮存必须按照</w:t>
      </w:r>
      <w:r>
        <w:rPr>
          <w:rFonts w:ascii="宋体" w:hAnsi="宋体" w:eastAsia="宋体" w:cs="宋体"/>
          <w:spacing w:val="-4"/>
          <w:sz w:val="24"/>
          <w:szCs w:val="24"/>
        </w:rPr>
        <w:t>国家要求进</w:t>
      </w:r>
      <w:r>
        <w:rPr>
          <w:rFonts w:ascii="宋体" w:hAnsi="宋体" w:eastAsia="宋体" w:cs="宋体"/>
          <w:sz w:val="24"/>
          <w:szCs w:val="24"/>
        </w:rPr>
        <w:t xml:space="preserve"> </w:t>
      </w:r>
      <w:r>
        <w:rPr>
          <w:rFonts w:ascii="宋体" w:hAnsi="宋体" w:eastAsia="宋体" w:cs="宋体"/>
          <w:spacing w:val="-3"/>
          <w:sz w:val="24"/>
          <w:szCs w:val="24"/>
        </w:rPr>
        <w:t>行建设，应符合环保标志明显，排污口（接管口）设置合理，便于采集样品、便</w:t>
      </w:r>
      <w:r>
        <w:rPr>
          <w:rFonts w:ascii="宋体" w:hAnsi="宋体" w:eastAsia="宋体" w:cs="宋体"/>
          <w:sz w:val="24"/>
          <w:szCs w:val="24"/>
        </w:rPr>
        <w:t xml:space="preserve"> </w:t>
      </w:r>
      <w:r>
        <w:rPr>
          <w:rFonts w:ascii="宋体" w:hAnsi="宋体" w:eastAsia="宋体" w:cs="宋体"/>
          <w:spacing w:val="-3"/>
          <w:sz w:val="24"/>
          <w:szCs w:val="24"/>
        </w:rPr>
        <w:t>于监测计量、便于公众参与和监督管理，同时应按照国家环保总局制定的《环境</w:t>
      </w:r>
      <w:r>
        <w:rPr>
          <w:rFonts w:ascii="宋体" w:hAnsi="宋体" w:eastAsia="宋体" w:cs="宋体"/>
          <w:sz w:val="24"/>
          <w:szCs w:val="24"/>
        </w:rPr>
        <w:t xml:space="preserve"> 保护图形标志实施细则（试行）》的规定，设置与</w:t>
      </w:r>
      <w:r>
        <w:rPr>
          <w:rFonts w:ascii="宋体" w:hAnsi="宋体" w:eastAsia="宋体" w:cs="宋体"/>
          <w:spacing w:val="-1"/>
          <w:sz w:val="24"/>
          <w:szCs w:val="24"/>
        </w:rPr>
        <w:t>排污口相应的图形标志牌。</w:t>
      </w:r>
    </w:p>
    <w:p w14:paraId="3D5A7EC8">
      <w:pPr>
        <w:spacing w:before="1" w:line="219" w:lineRule="auto"/>
        <w:ind w:left="61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）排污口管理</w:t>
      </w:r>
    </w:p>
    <w:p w14:paraId="723D2A17">
      <w:pPr>
        <w:spacing w:before="183" w:line="360" w:lineRule="auto"/>
        <w:ind w:left="122" w:right="112" w:firstLine="482"/>
        <w:rPr>
          <w:rFonts w:ascii="宋体" w:hAnsi="宋体" w:eastAsia="宋体" w:cs="宋体"/>
          <w:sz w:val="24"/>
          <w:szCs w:val="24"/>
        </w:rPr>
      </w:pPr>
      <w:r>
        <w:rPr>
          <w:rFonts w:ascii="宋体" w:hAnsi="宋体" w:eastAsia="宋体" w:cs="宋体"/>
          <w:spacing w:val="-3"/>
          <w:sz w:val="24"/>
          <w:szCs w:val="24"/>
        </w:rPr>
        <w:t>建设单位应在各个排污口处树立标志牌，并如实填写《中</w:t>
      </w:r>
      <w:r>
        <w:rPr>
          <w:rFonts w:ascii="宋体" w:hAnsi="宋体" w:eastAsia="宋体" w:cs="宋体"/>
          <w:spacing w:val="-4"/>
          <w:sz w:val="24"/>
          <w:szCs w:val="24"/>
        </w:rPr>
        <w:t>华人民共和国规范</w:t>
      </w:r>
      <w:r>
        <w:rPr>
          <w:rFonts w:ascii="宋体" w:hAnsi="宋体" w:eastAsia="宋体" w:cs="宋体"/>
          <w:sz w:val="24"/>
          <w:szCs w:val="24"/>
        </w:rPr>
        <w:t xml:space="preserve"> </w:t>
      </w:r>
      <w:r>
        <w:rPr>
          <w:rFonts w:ascii="宋体" w:hAnsi="宋体" w:eastAsia="宋体" w:cs="宋体"/>
          <w:spacing w:val="-3"/>
          <w:sz w:val="24"/>
          <w:szCs w:val="24"/>
        </w:rPr>
        <w:t>化排污口标记登记证》，由环保部门签发。环保主管部门和建设单位可分别</w:t>
      </w:r>
      <w:r>
        <w:rPr>
          <w:rFonts w:ascii="宋体" w:hAnsi="宋体" w:eastAsia="宋体" w:cs="宋体"/>
          <w:spacing w:val="-4"/>
          <w:sz w:val="24"/>
          <w:szCs w:val="24"/>
        </w:rPr>
        <w:t>按以</w:t>
      </w:r>
      <w:r>
        <w:rPr>
          <w:rFonts w:ascii="宋体" w:hAnsi="宋体" w:eastAsia="宋体" w:cs="宋体"/>
          <w:sz w:val="24"/>
          <w:szCs w:val="24"/>
        </w:rPr>
        <w:t xml:space="preserve"> </w:t>
      </w:r>
      <w:r>
        <w:rPr>
          <w:rFonts w:ascii="宋体" w:hAnsi="宋体" w:eastAsia="宋体" w:cs="宋体"/>
          <w:spacing w:val="-3"/>
          <w:sz w:val="24"/>
          <w:szCs w:val="24"/>
        </w:rPr>
        <w:t>下内容建立排污口管理的专门档案；排污口性质和编号；位置；排放主要污染物</w:t>
      </w:r>
      <w:r>
        <w:rPr>
          <w:rFonts w:ascii="宋体" w:hAnsi="宋体" w:eastAsia="宋体" w:cs="宋体"/>
          <w:spacing w:val="1"/>
          <w:sz w:val="24"/>
          <w:szCs w:val="24"/>
        </w:rPr>
        <w:t xml:space="preserve"> </w:t>
      </w:r>
      <w:r>
        <w:rPr>
          <w:rFonts w:ascii="宋体" w:hAnsi="宋体" w:eastAsia="宋体" w:cs="宋体"/>
          <w:sz w:val="24"/>
          <w:szCs w:val="24"/>
        </w:rPr>
        <w:t>种类、数量、浓度；排放去向；达标情况；治理设</w:t>
      </w:r>
      <w:r>
        <w:rPr>
          <w:rFonts w:ascii="宋体" w:hAnsi="宋体" w:eastAsia="宋体" w:cs="宋体"/>
          <w:spacing w:val="-1"/>
          <w:sz w:val="24"/>
          <w:szCs w:val="24"/>
        </w:rPr>
        <w:t>施运行情况及整改意见。</w:t>
      </w:r>
    </w:p>
    <w:p w14:paraId="60D16C80">
      <w:pPr>
        <w:spacing w:line="220" w:lineRule="auto"/>
        <w:ind w:left="61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）环境保护图形标志</w:t>
      </w:r>
    </w:p>
    <w:p w14:paraId="471421E8">
      <w:pPr>
        <w:spacing w:before="182" w:line="360" w:lineRule="auto"/>
        <w:ind w:left="120" w:right="112" w:firstLine="480"/>
        <w:rPr>
          <w:rFonts w:ascii="宋体" w:hAnsi="宋体" w:eastAsia="宋体" w:cs="宋体"/>
          <w:sz w:val="24"/>
          <w:szCs w:val="24"/>
        </w:rPr>
      </w:pPr>
      <w:r>
        <w:rPr>
          <w:rFonts w:ascii="宋体" w:hAnsi="宋体" w:eastAsia="宋体" w:cs="宋体"/>
          <w:spacing w:val="-3"/>
          <w:sz w:val="24"/>
          <w:szCs w:val="24"/>
        </w:rPr>
        <w:t>在矿区的废水排放口、废气排放源、固体废物贮存处置场、噪声</w:t>
      </w:r>
      <w:r>
        <w:rPr>
          <w:rFonts w:ascii="宋体" w:hAnsi="宋体" w:eastAsia="宋体" w:cs="宋体"/>
          <w:spacing w:val="-4"/>
          <w:sz w:val="24"/>
          <w:szCs w:val="24"/>
        </w:rPr>
        <w:t>产生点应设</w:t>
      </w:r>
      <w:r>
        <w:rPr>
          <w:rFonts w:ascii="宋体" w:hAnsi="宋体" w:eastAsia="宋体" w:cs="宋体"/>
          <w:sz w:val="24"/>
          <w:szCs w:val="24"/>
        </w:rPr>
        <w:t xml:space="preserve"> </w:t>
      </w:r>
      <w:r>
        <w:rPr>
          <w:rFonts w:ascii="宋体" w:hAnsi="宋体" w:eastAsia="宋体" w:cs="宋体"/>
          <w:spacing w:val="11"/>
          <w:sz w:val="24"/>
          <w:szCs w:val="24"/>
        </w:rPr>
        <w:t>置环境保护图形标志，图形符号分为提示图形和警告图形符号两种，分别按</w:t>
      </w:r>
      <w:r>
        <w:rPr>
          <w:rFonts w:ascii="宋体" w:hAnsi="宋体" w:eastAsia="宋体" w:cs="宋体"/>
          <w:spacing w:val="14"/>
          <w:sz w:val="24"/>
          <w:szCs w:val="24"/>
        </w:rPr>
        <w:t xml:space="preserve"> </w:t>
      </w:r>
      <w:r>
        <w:rPr>
          <w:rFonts w:ascii="Times New Roman" w:hAnsi="Times New Roman" w:eastAsia="Times New Roman" w:cs="Times New Roman"/>
          <w:spacing w:val="-1"/>
          <w:sz w:val="24"/>
          <w:szCs w:val="24"/>
        </w:rPr>
        <w:t>GB15562.1-1995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GB15562.2-1995 </w:t>
      </w:r>
      <w:r>
        <w:rPr>
          <w:rFonts w:ascii="宋体" w:hAnsi="宋体" w:eastAsia="宋体" w:cs="宋体"/>
          <w:spacing w:val="-1"/>
          <w:sz w:val="24"/>
          <w:szCs w:val="24"/>
        </w:rPr>
        <w:t>执行。环境</w:t>
      </w:r>
      <w:r>
        <w:rPr>
          <w:rFonts w:ascii="宋体" w:hAnsi="宋体" w:eastAsia="宋体" w:cs="宋体"/>
          <w:spacing w:val="-2"/>
          <w:sz w:val="24"/>
          <w:szCs w:val="24"/>
        </w:rPr>
        <w:t>保护图形符号见表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12.1-1</w:t>
      </w:r>
      <w:r>
        <w:rPr>
          <w:rFonts w:ascii="宋体" w:hAnsi="宋体" w:eastAsia="宋体" w:cs="宋体"/>
          <w:spacing w:val="-2"/>
          <w:sz w:val="24"/>
          <w:szCs w:val="24"/>
        </w:rPr>
        <w:t>。</w:t>
      </w:r>
    </w:p>
    <w:p w14:paraId="75B887CA">
      <w:pPr>
        <w:spacing w:line="219" w:lineRule="auto"/>
        <w:ind w:left="201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12.1-1        </w:t>
      </w:r>
      <w:r>
        <w:rPr>
          <w:rFonts w:ascii="宋体" w:hAnsi="宋体" w:eastAsia="宋体" w:cs="宋体"/>
          <w:spacing w:val="-1"/>
          <w:sz w:val="24"/>
          <w:szCs w:val="24"/>
        </w:rPr>
        <w:t>环境保护图形</w:t>
      </w:r>
      <w:r>
        <w:rPr>
          <w:rFonts w:ascii="宋体" w:hAnsi="宋体" w:eastAsia="宋体" w:cs="宋体"/>
          <w:spacing w:val="-2"/>
          <w:sz w:val="24"/>
          <w:szCs w:val="24"/>
        </w:rPr>
        <w:t>标志的形状及颜色表</w:t>
      </w:r>
    </w:p>
    <w:p w14:paraId="2A13361E">
      <w:pPr>
        <w:spacing w:line="69"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3"/>
        <w:gridCol w:w="2129"/>
        <w:gridCol w:w="2130"/>
        <w:gridCol w:w="2134"/>
      </w:tblGrid>
      <w:tr w14:paraId="06C98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133" w:type="dxa"/>
            <w:vAlign w:val="top"/>
          </w:tcPr>
          <w:p w14:paraId="782D1780">
            <w:pPr>
              <w:pStyle w:val="6"/>
              <w:spacing w:before="56" w:line="228" w:lineRule="auto"/>
              <w:ind w:left="654"/>
            </w:pPr>
            <w:r>
              <w:rPr>
                <w:spacing w:val="7"/>
              </w:rPr>
              <w:t>标志名称</w:t>
            </w:r>
          </w:p>
        </w:tc>
        <w:tc>
          <w:tcPr>
            <w:tcW w:w="2129" w:type="dxa"/>
            <w:vAlign w:val="top"/>
          </w:tcPr>
          <w:p w14:paraId="0390F711">
            <w:pPr>
              <w:pStyle w:val="6"/>
              <w:spacing w:before="56" w:line="228" w:lineRule="auto"/>
              <w:ind w:left="863"/>
            </w:pPr>
            <w:r>
              <w:rPr>
                <w:spacing w:val="3"/>
              </w:rPr>
              <w:t>形状</w:t>
            </w:r>
          </w:p>
        </w:tc>
        <w:tc>
          <w:tcPr>
            <w:tcW w:w="2130" w:type="dxa"/>
            <w:vAlign w:val="top"/>
          </w:tcPr>
          <w:p w14:paraId="3D8DFDF8">
            <w:pPr>
              <w:pStyle w:val="6"/>
              <w:spacing w:before="56" w:line="228" w:lineRule="auto"/>
              <w:ind w:left="654"/>
            </w:pPr>
            <w:r>
              <w:rPr>
                <w:spacing w:val="6"/>
              </w:rPr>
              <w:t>背景颜色</w:t>
            </w:r>
          </w:p>
        </w:tc>
        <w:tc>
          <w:tcPr>
            <w:tcW w:w="2134" w:type="dxa"/>
            <w:vAlign w:val="top"/>
          </w:tcPr>
          <w:p w14:paraId="7256D22B">
            <w:pPr>
              <w:pStyle w:val="6"/>
              <w:spacing w:before="56" w:line="229" w:lineRule="auto"/>
              <w:ind w:left="673"/>
            </w:pPr>
            <w:r>
              <w:rPr>
                <w:spacing w:val="2"/>
              </w:rPr>
              <w:t>图形颜色</w:t>
            </w:r>
          </w:p>
        </w:tc>
      </w:tr>
      <w:tr w14:paraId="61F16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133" w:type="dxa"/>
            <w:vAlign w:val="top"/>
          </w:tcPr>
          <w:p w14:paraId="7FDB922A">
            <w:pPr>
              <w:pStyle w:val="6"/>
              <w:spacing w:before="53" w:line="226" w:lineRule="auto"/>
              <w:ind w:left="656"/>
            </w:pPr>
            <w:r>
              <w:rPr>
                <w:spacing w:val="6"/>
              </w:rPr>
              <w:t>警告标志</w:t>
            </w:r>
          </w:p>
        </w:tc>
        <w:tc>
          <w:tcPr>
            <w:tcW w:w="2129" w:type="dxa"/>
            <w:vAlign w:val="top"/>
          </w:tcPr>
          <w:p w14:paraId="71B1DC28">
            <w:pPr>
              <w:pStyle w:val="6"/>
              <w:spacing w:before="52" w:line="227" w:lineRule="auto"/>
              <w:ind w:left="543"/>
            </w:pPr>
            <w:r>
              <w:rPr>
                <w:spacing w:val="8"/>
              </w:rPr>
              <w:t>三角形边框</w:t>
            </w:r>
          </w:p>
        </w:tc>
        <w:tc>
          <w:tcPr>
            <w:tcW w:w="2130" w:type="dxa"/>
            <w:vAlign w:val="top"/>
          </w:tcPr>
          <w:p w14:paraId="40FF9A43">
            <w:pPr>
              <w:pStyle w:val="6"/>
              <w:spacing w:before="52" w:line="228" w:lineRule="auto"/>
              <w:ind w:left="859"/>
            </w:pPr>
            <w:r>
              <w:rPr>
                <w:spacing w:val="5"/>
              </w:rPr>
              <w:t>黄色</w:t>
            </w:r>
          </w:p>
        </w:tc>
        <w:tc>
          <w:tcPr>
            <w:tcW w:w="2134" w:type="dxa"/>
            <w:vAlign w:val="top"/>
          </w:tcPr>
          <w:p w14:paraId="7C80E5EE">
            <w:pPr>
              <w:pStyle w:val="6"/>
              <w:spacing w:before="52" w:line="233" w:lineRule="auto"/>
              <w:ind w:left="867"/>
            </w:pPr>
            <w:r>
              <w:rPr>
                <w:spacing w:val="2"/>
              </w:rPr>
              <w:t>黑色</w:t>
            </w:r>
          </w:p>
        </w:tc>
      </w:tr>
      <w:tr w14:paraId="4E37A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133" w:type="dxa"/>
            <w:vAlign w:val="top"/>
          </w:tcPr>
          <w:p w14:paraId="7DB11499">
            <w:pPr>
              <w:pStyle w:val="6"/>
              <w:spacing w:before="55" w:line="228" w:lineRule="auto"/>
              <w:ind w:left="654"/>
            </w:pPr>
            <w:r>
              <w:rPr>
                <w:spacing w:val="7"/>
              </w:rPr>
              <w:t>提示标志</w:t>
            </w:r>
          </w:p>
        </w:tc>
        <w:tc>
          <w:tcPr>
            <w:tcW w:w="2129" w:type="dxa"/>
            <w:vAlign w:val="top"/>
          </w:tcPr>
          <w:p w14:paraId="1CFB71B1">
            <w:pPr>
              <w:pStyle w:val="6"/>
              <w:spacing w:before="54" w:line="228" w:lineRule="auto"/>
              <w:ind w:left="547"/>
            </w:pPr>
            <w:r>
              <w:rPr>
                <w:spacing w:val="7"/>
              </w:rPr>
              <w:t>正方形边框</w:t>
            </w:r>
          </w:p>
        </w:tc>
        <w:tc>
          <w:tcPr>
            <w:tcW w:w="2130" w:type="dxa"/>
            <w:vAlign w:val="top"/>
          </w:tcPr>
          <w:p w14:paraId="114AE01A">
            <w:pPr>
              <w:pStyle w:val="6"/>
              <w:spacing w:before="54" w:line="229" w:lineRule="auto"/>
              <w:ind w:left="862"/>
            </w:pPr>
            <w:r>
              <w:rPr>
                <w:spacing w:val="3"/>
              </w:rPr>
              <w:t>绿色</w:t>
            </w:r>
          </w:p>
        </w:tc>
        <w:tc>
          <w:tcPr>
            <w:tcW w:w="2134" w:type="dxa"/>
            <w:vAlign w:val="top"/>
          </w:tcPr>
          <w:p w14:paraId="5844CDC3">
            <w:pPr>
              <w:pStyle w:val="6"/>
              <w:spacing w:before="54" w:line="231" w:lineRule="auto"/>
              <w:ind w:left="891"/>
            </w:pPr>
            <w:r>
              <w:rPr>
                <w:spacing w:val="-11"/>
              </w:rPr>
              <w:t>白色</w:t>
            </w:r>
          </w:p>
        </w:tc>
      </w:tr>
    </w:tbl>
    <w:p w14:paraId="3D0A38A2">
      <w:pPr>
        <w:spacing w:before="198" w:line="222" w:lineRule="auto"/>
        <w:ind w:left="131"/>
        <w:outlineLvl w:val="1"/>
        <w:rPr>
          <w:rFonts w:ascii="黑体" w:hAnsi="黑体" w:eastAsia="黑体" w:cs="黑体"/>
          <w:sz w:val="28"/>
          <w:szCs w:val="28"/>
        </w:rPr>
      </w:pPr>
      <w:bookmarkStart w:id="189" w:name="bookmark169"/>
      <w:bookmarkEnd w:id="189"/>
      <w:bookmarkStart w:id="190" w:name="bookmark168"/>
      <w:bookmarkEnd w:id="190"/>
      <w:r>
        <w:rPr>
          <w:rFonts w:ascii="Times New Roman" w:hAnsi="Times New Roman" w:eastAsia="Times New Roman" w:cs="Times New Roman"/>
          <w:b/>
          <w:bCs/>
          <w:spacing w:val="-3"/>
          <w:sz w:val="28"/>
          <w:szCs w:val="28"/>
        </w:rPr>
        <w:t xml:space="preserve">12.2 </w:t>
      </w:r>
      <w:r>
        <w:rPr>
          <w:rFonts w:ascii="黑体" w:hAnsi="黑体" w:eastAsia="黑体" w:cs="黑体"/>
          <w:b/>
          <w:bCs/>
          <w:spacing w:val="-3"/>
          <w:sz w:val="28"/>
          <w:szCs w:val="28"/>
        </w:rPr>
        <w:t>环境监测计划</w:t>
      </w:r>
    </w:p>
    <w:p w14:paraId="577BBDEF">
      <w:pPr>
        <w:spacing w:before="254" w:line="219" w:lineRule="auto"/>
        <w:ind w:left="608"/>
        <w:outlineLvl w:val="2"/>
        <w:rPr>
          <w:rFonts w:ascii="宋体" w:hAnsi="宋体" w:eastAsia="宋体" w:cs="宋体"/>
          <w:sz w:val="24"/>
          <w:szCs w:val="24"/>
        </w:rPr>
      </w:pPr>
      <w:bookmarkStart w:id="191" w:name="bookmark216"/>
      <w:bookmarkEnd w:id="191"/>
      <w:r>
        <w:rPr>
          <w:rFonts w:ascii="Times New Roman" w:hAnsi="Times New Roman" w:eastAsia="Times New Roman" w:cs="Times New Roman"/>
          <w:b/>
          <w:bCs/>
          <w:spacing w:val="-3"/>
          <w:sz w:val="24"/>
          <w:szCs w:val="24"/>
        </w:rPr>
        <w:t xml:space="preserve">12.2.1 </w:t>
      </w:r>
      <w:r>
        <w:rPr>
          <w:rFonts w:ascii="宋体" w:hAnsi="宋体" w:eastAsia="宋体" w:cs="宋体"/>
          <w:b/>
          <w:bCs/>
          <w:spacing w:val="-3"/>
          <w:sz w:val="24"/>
          <w:szCs w:val="24"/>
        </w:rPr>
        <w:t>监测机构设置</w:t>
      </w:r>
    </w:p>
    <w:p w14:paraId="07808D81">
      <w:pPr>
        <w:spacing w:line="219" w:lineRule="auto"/>
        <w:rPr>
          <w:rFonts w:ascii="宋体" w:hAnsi="宋体" w:eastAsia="宋体" w:cs="宋体"/>
          <w:sz w:val="24"/>
          <w:szCs w:val="24"/>
        </w:rPr>
        <w:sectPr>
          <w:headerReference r:id="rId423" w:type="default"/>
          <w:footerReference r:id="rId424" w:type="default"/>
          <w:pgSz w:w="11906" w:h="16839"/>
          <w:pgMar w:top="1208" w:right="1687" w:bottom="1358" w:left="1687" w:header="825" w:footer="1195" w:gutter="0"/>
          <w:cols w:space="720" w:num="1"/>
        </w:sectPr>
      </w:pPr>
    </w:p>
    <w:p w14:paraId="0BC78741">
      <w:pPr>
        <w:pStyle w:val="2"/>
        <w:spacing w:line="265" w:lineRule="auto"/>
      </w:pPr>
    </w:p>
    <w:p w14:paraId="4E3AC190">
      <w:pPr>
        <w:spacing w:before="78" w:line="219" w:lineRule="auto"/>
        <w:ind w:left="503"/>
        <w:rPr>
          <w:rFonts w:ascii="宋体" w:hAnsi="宋体" w:eastAsia="宋体" w:cs="宋体"/>
          <w:sz w:val="24"/>
          <w:szCs w:val="24"/>
        </w:rPr>
      </w:pPr>
      <w:r>
        <w:rPr>
          <w:rFonts w:ascii="宋体" w:hAnsi="宋体" w:eastAsia="宋体" w:cs="宋体"/>
          <w:spacing w:val="-1"/>
          <w:sz w:val="24"/>
          <w:szCs w:val="24"/>
        </w:rPr>
        <w:t>环境监测委托当地有资质的环境监测部门开展。</w:t>
      </w:r>
    </w:p>
    <w:p w14:paraId="0BA2BBE8">
      <w:pPr>
        <w:spacing w:before="182" w:line="219" w:lineRule="auto"/>
        <w:ind w:left="509"/>
        <w:outlineLvl w:val="2"/>
        <w:rPr>
          <w:rFonts w:ascii="宋体" w:hAnsi="宋体" w:eastAsia="宋体" w:cs="宋体"/>
          <w:sz w:val="24"/>
          <w:szCs w:val="24"/>
        </w:rPr>
      </w:pPr>
      <w:bookmarkStart w:id="192" w:name="bookmark170"/>
      <w:bookmarkEnd w:id="192"/>
      <w:r>
        <w:rPr>
          <w:rFonts w:ascii="Times New Roman" w:hAnsi="Times New Roman" w:eastAsia="Times New Roman" w:cs="Times New Roman"/>
          <w:b/>
          <w:bCs/>
          <w:spacing w:val="-3"/>
          <w:sz w:val="24"/>
          <w:szCs w:val="24"/>
        </w:rPr>
        <w:t xml:space="preserve">12.2.2 </w:t>
      </w:r>
      <w:r>
        <w:rPr>
          <w:rFonts w:ascii="宋体" w:hAnsi="宋体" w:eastAsia="宋体" w:cs="宋体"/>
          <w:b/>
          <w:bCs/>
          <w:spacing w:val="-3"/>
          <w:sz w:val="24"/>
          <w:szCs w:val="24"/>
        </w:rPr>
        <w:t>监测机构的职责</w:t>
      </w:r>
    </w:p>
    <w:p w14:paraId="4E2EE0A4">
      <w:pPr>
        <w:spacing w:before="183" w:line="360" w:lineRule="auto"/>
        <w:ind w:left="23" w:right="61" w:firstLine="480"/>
        <w:jc w:val="both"/>
        <w:rPr>
          <w:rFonts w:ascii="宋体" w:hAnsi="宋体" w:eastAsia="宋体" w:cs="宋体"/>
          <w:sz w:val="24"/>
          <w:szCs w:val="24"/>
        </w:rPr>
      </w:pPr>
      <w:r>
        <w:rPr>
          <w:rFonts w:ascii="宋体" w:hAnsi="宋体" w:eastAsia="宋体" w:cs="宋体"/>
          <w:spacing w:val="-3"/>
          <w:sz w:val="24"/>
          <w:szCs w:val="24"/>
        </w:rPr>
        <w:t>环境监测计划不仅应用于项目的规划阶段，而且包括项目的施工</w:t>
      </w:r>
      <w:r>
        <w:rPr>
          <w:rFonts w:ascii="宋体" w:hAnsi="宋体" w:eastAsia="宋体" w:cs="宋体"/>
          <w:spacing w:val="-4"/>
          <w:sz w:val="24"/>
          <w:szCs w:val="24"/>
        </w:rPr>
        <w:t>期和运营期</w:t>
      </w:r>
      <w:r>
        <w:rPr>
          <w:rFonts w:ascii="宋体" w:hAnsi="宋体" w:eastAsia="宋体" w:cs="宋体"/>
          <w:sz w:val="24"/>
          <w:szCs w:val="24"/>
        </w:rPr>
        <w:t xml:space="preserve"> </w:t>
      </w:r>
      <w:r>
        <w:rPr>
          <w:rFonts w:ascii="宋体" w:hAnsi="宋体" w:eastAsia="宋体" w:cs="宋体"/>
          <w:spacing w:val="-3"/>
          <w:sz w:val="24"/>
          <w:szCs w:val="24"/>
        </w:rPr>
        <w:t>必需的环境监测有关内容，环境监测计划的具体内容可根据项目可能产生的环境</w:t>
      </w:r>
      <w:r>
        <w:rPr>
          <w:rFonts w:ascii="宋体" w:hAnsi="宋体" w:eastAsia="宋体" w:cs="宋体"/>
          <w:spacing w:val="1"/>
          <w:sz w:val="24"/>
          <w:szCs w:val="24"/>
        </w:rPr>
        <w:t xml:space="preserve"> </w:t>
      </w:r>
      <w:r>
        <w:rPr>
          <w:rFonts w:ascii="宋体" w:hAnsi="宋体" w:eastAsia="宋体" w:cs="宋体"/>
          <w:spacing w:val="-3"/>
          <w:sz w:val="24"/>
          <w:szCs w:val="24"/>
        </w:rPr>
        <w:t>影响选择合适的监测对象和环境因子，确定监测范围及监测方法，从而制定审核</w:t>
      </w:r>
      <w:r>
        <w:rPr>
          <w:rFonts w:ascii="宋体" w:hAnsi="宋体" w:eastAsia="宋体" w:cs="宋体"/>
          <w:spacing w:val="1"/>
          <w:sz w:val="24"/>
          <w:szCs w:val="24"/>
        </w:rPr>
        <w:t xml:space="preserve"> </w:t>
      </w:r>
      <w:r>
        <w:rPr>
          <w:rFonts w:ascii="宋体" w:hAnsi="宋体" w:eastAsia="宋体" w:cs="宋体"/>
          <w:spacing w:val="-1"/>
          <w:sz w:val="24"/>
          <w:szCs w:val="24"/>
        </w:rPr>
        <w:t>制度，明确实施机构。环境监测的职责主要包括以下方面：</w:t>
      </w:r>
    </w:p>
    <w:p w14:paraId="35318923">
      <w:pPr>
        <w:spacing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）编制本企业年度监测计划和长远规划；</w:t>
      </w:r>
    </w:p>
    <w:p w14:paraId="5D4143FD">
      <w:pPr>
        <w:spacing w:before="184"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）建立健全监测站各项规章制度；</w:t>
      </w:r>
    </w:p>
    <w:p w14:paraId="4E9B6EBD">
      <w:pPr>
        <w:spacing w:before="182" w:line="313" w:lineRule="auto"/>
        <w:ind w:left="24" w:firstLine="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）根据国家环境标准，对本项目重点污染源及污染物开展日常监</w:t>
      </w:r>
      <w:r>
        <w:rPr>
          <w:rFonts w:ascii="宋体" w:hAnsi="宋体" w:eastAsia="宋体" w:cs="宋体"/>
          <w:spacing w:val="-6"/>
          <w:sz w:val="24"/>
          <w:szCs w:val="24"/>
        </w:rPr>
        <w:t>测工作，</w:t>
      </w:r>
      <w:r>
        <w:rPr>
          <w:rFonts w:ascii="宋体" w:hAnsi="宋体" w:eastAsia="宋体" w:cs="宋体"/>
          <w:sz w:val="24"/>
          <w:szCs w:val="24"/>
        </w:rPr>
        <w:t xml:space="preserve"> </w:t>
      </w:r>
      <w:r>
        <w:rPr>
          <w:rFonts w:ascii="宋体" w:hAnsi="宋体" w:eastAsia="宋体" w:cs="宋体"/>
          <w:spacing w:val="-3"/>
          <w:sz w:val="24"/>
          <w:szCs w:val="24"/>
        </w:rPr>
        <w:t>以确保各类污染物达标排放，并掌握厂区周围环境质量水平和污染变化趋势，编</w:t>
      </w:r>
      <w:r>
        <w:rPr>
          <w:rFonts w:ascii="宋体" w:hAnsi="宋体" w:eastAsia="宋体" w:cs="宋体"/>
          <w:sz w:val="24"/>
          <w:szCs w:val="24"/>
        </w:rPr>
        <w:t xml:space="preserve"> </w:t>
      </w:r>
      <w:r>
        <w:rPr>
          <w:rFonts w:ascii="宋体" w:hAnsi="宋体" w:eastAsia="宋体" w:cs="宋体"/>
          <w:spacing w:val="-1"/>
          <w:sz w:val="24"/>
          <w:szCs w:val="24"/>
        </w:rPr>
        <w:t>制表格和报告，并上报有关主管部门，建立监测档案；</w:t>
      </w:r>
    </w:p>
    <w:p w14:paraId="6C25C0A8">
      <w:pPr>
        <w:spacing w:before="185"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）对企业的重点污染物进行调查、分析，掌握其排放状况及特性；</w:t>
      </w:r>
    </w:p>
    <w:p w14:paraId="54A966D4">
      <w:pPr>
        <w:spacing w:before="183"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）参与污染治理工作，为污染治理服务。</w:t>
      </w:r>
    </w:p>
    <w:p w14:paraId="6791552B">
      <w:pPr>
        <w:spacing w:before="183" w:line="220" w:lineRule="auto"/>
        <w:ind w:left="509"/>
        <w:outlineLvl w:val="2"/>
        <w:rPr>
          <w:rFonts w:ascii="宋体" w:hAnsi="宋体" w:eastAsia="宋体" w:cs="宋体"/>
          <w:sz w:val="24"/>
          <w:szCs w:val="24"/>
        </w:rPr>
      </w:pPr>
      <w:bookmarkStart w:id="193" w:name="bookmark171"/>
      <w:bookmarkEnd w:id="193"/>
      <w:r>
        <w:rPr>
          <w:rFonts w:ascii="Times New Roman" w:hAnsi="Times New Roman" w:eastAsia="Times New Roman" w:cs="Times New Roman"/>
          <w:b/>
          <w:bCs/>
          <w:spacing w:val="-3"/>
          <w:sz w:val="24"/>
          <w:szCs w:val="24"/>
        </w:rPr>
        <w:t xml:space="preserve">12.2.3 </w:t>
      </w:r>
      <w:r>
        <w:rPr>
          <w:rFonts w:ascii="宋体" w:hAnsi="宋体" w:eastAsia="宋体" w:cs="宋体"/>
          <w:b/>
          <w:bCs/>
          <w:spacing w:val="-3"/>
          <w:sz w:val="24"/>
          <w:szCs w:val="24"/>
        </w:rPr>
        <w:t>污染物排放清单</w:t>
      </w:r>
    </w:p>
    <w:p w14:paraId="0916944A">
      <w:pPr>
        <w:spacing w:before="182" w:line="219" w:lineRule="auto"/>
        <w:ind w:left="504"/>
        <w:rPr>
          <w:rFonts w:ascii="宋体" w:hAnsi="宋体" w:eastAsia="宋体" w:cs="宋体"/>
          <w:sz w:val="24"/>
          <w:szCs w:val="24"/>
        </w:rPr>
      </w:pPr>
      <w:r>
        <w:rPr>
          <w:rFonts w:ascii="宋体" w:hAnsi="宋体" w:eastAsia="宋体" w:cs="宋体"/>
          <w:spacing w:val="-3"/>
          <w:sz w:val="24"/>
          <w:szCs w:val="24"/>
        </w:rPr>
        <w:t>本项目污染物排放清单见表</w:t>
      </w:r>
      <w:r>
        <w:rPr>
          <w:rFonts w:ascii="宋体" w:hAnsi="宋体" w:eastAsia="宋体" w:cs="宋体"/>
          <w:spacing w:val="-16"/>
          <w:sz w:val="24"/>
          <w:szCs w:val="24"/>
        </w:rPr>
        <w:t xml:space="preserve"> </w:t>
      </w:r>
      <w:r>
        <w:rPr>
          <w:rFonts w:ascii="Times New Roman" w:hAnsi="Times New Roman" w:eastAsia="Times New Roman" w:cs="Times New Roman"/>
          <w:spacing w:val="-3"/>
          <w:sz w:val="24"/>
          <w:szCs w:val="24"/>
        </w:rPr>
        <w:t>12.2-1</w:t>
      </w:r>
      <w:r>
        <w:rPr>
          <w:rFonts w:ascii="宋体" w:hAnsi="宋体" w:eastAsia="宋体" w:cs="宋体"/>
          <w:spacing w:val="-3"/>
          <w:sz w:val="24"/>
          <w:szCs w:val="24"/>
        </w:rPr>
        <w:t>。</w:t>
      </w:r>
    </w:p>
    <w:p w14:paraId="59BA2744">
      <w:pPr>
        <w:spacing w:line="219" w:lineRule="auto"/>
        <w:rPr>
          <w:rFonts w:ascii="宋体" w:hAnsi="宋体" w:eastAsia="宋体" w:cs="宋体"/>
          <w:sz w:val="24"/>
          <w:szCs w:val="24"/>
        </w:rPr>
        <w:sectPr>
          <w:headerReference r:id="rId425" w:type="default"/>
          <w:footerReference r:id="rId426" w:type="default"/>
          <w:pgSz w:w="11906" w:h="16839"/>
          <w:pgMar w:top="1208" w:right="1738" w:bottom="1358" w:left="1785" w:header="825" w:footer="1195" w:gutter="0"/>
          <w:cols w:space="720" w:num="1"/>
        </w:sectPr>
      </w:pPr>
    </w:p>
    <w:p w14:paraId="0CD6CE6E">
      <w:pPr>
        <w:pStyle w:val="2"/>
        <w:spacing w:line="286" w:lineRule="auto"/>
      </w:pPr>
    </w:p>
    <w:p w14:paraId="3F4FA28A">
      <w:pPr>
        <w:pStyle w:val="2"/>
        <w:spacing w:line="286" w:lineRule="auto"/>
      </w:pPr>
    </w:p>
    <w:p w14:paraId="21093BF1">
      <w:pPr>
        <w:spacing w:before="65" w:line="228" w:lineRule="auto"/>
        <w:ind w:left="5225"/>
        <w:rPr>
          <w:rFonts w:ascii="宋体" w:hAnsi="宋体" w:eastAsia="宋体" w:cs="宋体"/>
          <w:sz w:val="20"/>
          <w:szCs w:val="20"/>
        </w:rPr>
      </w:pPr>
      <w:r>
        <w:rPr>
          <w:rFonts w:ascii="宋体" w:hAnsi="宋体" w:eastAsia="宋体" w:cs="宋体"/>
          <w:spacing w:val="5"/>
          <w:sz w:val="20"/>
          <w:szCs w:val="20"/>
        </w:rPr>
        <w:t>表</w:t>
      </w:r>
      <w:r>
        <w:rPr>
          <w:rFonts w:ascii="宋体" w:hAnsi="宋体" w:eastAsia="宋体" w:cs="宋体"/>
          <w:spacing w:val="-19"/>
          <w:sz w:val="20"/>
          <w:szCs w:val="20"/>
        </w:rPr>
        <w:t xml:space="preserve"> </w:t>
      </w:r>
      <w:r>
        <w:rPr>
          <w:rFonts w:ascii="Times New Roman" w:hAnsi="Times New Roman" w:eastAsia="Times New Roman" w:cs="Times New Roman"/>
          <w:spacing w:val="5"/>
          <w:sz w:val="20"/>
          <w:szCs w:val="20"/>
        </w:rPr>
        <w:t xml:space="preserve">12.2-1        </w:t>
      </w:r>
      <w:r>
        <w:rPr>
          <w:rFonts w:ascii="宋体" w:hAnsi="宋体" w:eastAsia="宋体" w:cs="宋体"/>
          <w:spacing w:val="5"/>
          <w:sz w:val="20"/>
          <w:szCs w:val="20"/>
        </w:rPr>
        <w:t>项目运营期污染物排放清单</w:t>
      </w:r>
    </w:p>
    <w:p w14:paraId="55522040">
      <w:pPr>
        <w:spacing w:line="126" w:lineRule="auto"/>
        <w:rPr>
          <w:rFonts w:ascii="Arial"/>
          <w:sz w:val="2"/>
        </w:rPr>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356"/>
        <w:gridCol w:w="3213"/>
        <w:gridCol w:w="1356"/>
        <w:gridCol w:w="1812"/>
        <w:gridCol w:w="1238"/>
        <w:gridCol w:w="1532"/>
        <w:gridCol w:w="2954"/>
      </w:tblGrid>
      <w:tr w14:paraId="73CE0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074" w:type="dxa"/>
            <w:gridSpan w:val="2"/>
            <w:vMerge w:val="restart"/>
            <w:tcBorders>
              <w:bottom w:val="nil"/>
            </w:tcBorders>
            <w:vAlign w:val="top"/>
          </w:tcPr>
          <w:p w14:paraId="40508614">
            <w:pPr>
              <w:pStyle w:val="6"/>
              <w:spacing w:before="217" w:line="228" w:lineRule="auto"/>
              <w:ind w:left="832"/>
            </w:pPr>
            <w:r>
              <w:rPr>
                <w:spacing w:val="4"/>
              </w:rPr>
              <w:t>类别</w:t>
            </w:r>
          </w:p>
        </w:tc>
        <w:tc>
          <w:tcPr>
            <w:tcW w:w="3213" w:type="dxa"/>
            <w:vMerge w:val="restart"/>
            <w:tcBorders>
              <w:bottom w:val="nil"/>
            </w:tcBorders>
            <w:vAlign w:val="top"/>
          </w:tcPr>
          <w:p w14:paraId="3BE56CCE">
            <w:pPr>
              <w:pStyle w:val="6"/>
              <w:spacing w:before="218" w:line="228" w:lineRule="auto"/>
              <w:ind w:left="773"/>
            </w:pPr>
            <w:r>
              <w:rPr>
                <w:spacing w:val="8"/>
              </w:rPr>
              <w:t>主要环境保护设施</w:t>
            </w:r>
          </w:p>
        </w:tc>
        <w:tc>
          <w:tcPr>
            <w:tcW w:w="3168" w:type="dxa"/>
            <w:gridSpan w:val="2"/>
            <w:vAlign w:val="top"/>
          </w:tcPr>
          <w:p w14:paraId="7BD5735C">
            <w:pPr>
              <w:pStyle w:val="6"/>
              <w:spacing w:before="56" w:line="228" w:lineRule="auto"/>
              <w:ind w:left="961"/>
            </w:pPr>
            <w:r>
              <w:rPr>
                <w:spacing w:val="7"/>
              </w:rPr>
              <w:t>主要运行参数</w:t>
            </w:r>
          </w:p>
        </w:tc>
        <w:tc>
          <w:tcPr>
            <w:tcW w:w="1238" w:type="dxa"/>
            <w:vMerge w:val="restart"/>
            <w:tcBorders>
              <w:bottom w:val="nil"/>
            </w:tcBorders>
            <w:vAlign w:val="top"/>
          </w:tcPr>
          <w:p w14:paraId="2BBCF0C1">
            <w:pPr>
              <w:pStyle w:val="6"/>
              <w:spacing w:before="218" w:line="228" w:lineRule="auto"/>
              <w:ind w:left="205"/>
            </w:pPr>
            <w:r>
              <w:rPr>
                <w:spacing w:val="7"/>
              </w:rPr>
              <w:t>排放浓度</w:t>
            </w:r>
          </w:p>
        </w:tc>
        <w:tc>
          <w:tcPr>
            <w:tcW w:w="1532" w:type="dxa"/>
            <w:vMerge w:val="restart"/>
            <w:tcBorders>
              <w:bottom w:val="nil"/>
            </w:tcBorders>
            <w:vAlign w:val="top"/>
          </w:tcPr>
          <w:p w14:paraId="43B9D415">
            <w:pPr>
              <w:pStyle w:val="6"/>
              <w:spacing w:before="217" w:line="229" w:lineRule="auto"/>
              <w:ind w:left="458"/>
            </w:pPr>
            <w:r>
              <w:rPr>
                <w:spacing w:val="6"/>
              </w:rPr>
              <w:t>排放量</w:t>
            </w:r>
          </w:p>
        </w:tc>
        <w:tc>
          <w:tcPr>
            <w:tcW w:w="2954" w:type="dxa"/>
            <w:vMerge w:val="restart"/>
            <w:tcBorders>
              <w:bottom w:val="nil"/>
            </w:tcBorders>
            <w:vAlign w:val="top"/>
          </w:tcPr>
          <w:p w14:paraId="6215D52A">
            <w:pPr>
              <w:pStyle w:val="6"/>
              <w:spacing w:before="217" w:line="228" w:lineRule="auto"/>
              <w:ind w:left="646"/>
            </w:pPr>
            <w:r>
              <w:rPr>
                <w:spacing w:val="8"/>
              </w:rPr>
              <w:t>处理效果执行标准</w:t>
            </w:r>
          </w:p>
        </w:tc>
      </w:tr>
      <w:tr w14:paraId="643D7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074" w:type="dxa"/>
            <w:gridSpan w:val="2"/>
            <w:vMerge w:val="continue"/>
            <w:tcBorders>
              <w:top w:val="nil"/>
            </w:tcBorders>
            <w:vAlign w:val="top"/>
          </w:tcPr>
          <w:p w14:paraId="71C79F2B">
            <w:pPr>
              <w:rPr>
                <w:rFonts w:ascii="Arial"/>
                <w:sz w:val="21"/>
              </w:rPr>
            </w:pPr>
          </w:p>
        </w:tc>
        <w:tc>
          <w:tcPr>
            <w:tcW w:w="3213" w:type="dxa"/>
            <w:vMerge w:val="continue"/>
            <w:tcBorders>
              <w:top w:val="nil"/>
            </w:tcBorders>
            <w:vAlign w:val="top"/>
          </w:tcPr>
          <w:p w14:paraId="51F7C719">
            <w:pPr>
              <w:rPr>
                <w:rFonts w:ascii="Arial"/>
                <w:sz w:val="21"/>
              </w:rPr>
            </w:pPr>
          </w:p>
        </w:tc>
        <w:tc>
          <w:tcPr>
            <w:tcW w:w="1356" w:type="dxa"/>
            <w:vAlign w:val="top"/>
          </w:tcPr>
          <w:p w14:paraId="141A9F63">
            <w:pPr>
              <w:pStyle w:val="6"/>
              <w:spacing w:before="52" w:line="228" w:lineRule="auto"/>
              <w:ind w:left="159"/>
            </w:pPr>
            <w:r>
              <w:rPr>
                <w:spacing w:val="7"/>
              </w:rPr>
              <w:t>数量与规模</w:t>
            </w:r>
          </w:p>
        </w:tc>
        <w:tc>
          <w:tcPr>
            <w:tcW w:w="1812" w:type="dxa"/>
            <w:vAlign w:val="top"/>
          </w:tcPr>
          <w:p w14:paraId="445C0F0E">
            <w:pPr>
              <w:pStyle w:val="6"/>
              <w:spacing w:before="52" w:line="229" w:lineRule="auto"/>
              <w:ind w:left="702"/>
            </w:pPr>
            <w:r>
              <w:rPr>
                <w:spacing w:val="4"/>
              </w:rPr>
              <w:t>位置</w:t>
            </w:r>
          </w:p>
        </w:tc>
        <w:tc>
          <w:tcPr>
            <w:tcW w:w="1238" w:type="dxa"/>
            <w:vMerge w:val="continue"/>
            <w:tcBorders>
              <w:top w:val="nil"/>
            </w:tcBorders>
            <w:vAlign w:val="top"/>
          </w:tcPr>
          <w:p w14:paraId="7056AA19">
            <w:pPr>
              <w:rPr>
                <w:rFonts w:ascii="Arial"/>
                <w:sz w:val="21"/>
              </w:rPr>
            </w:pPr>
          </w:p>
        </w:tc>
        <w:tc>
          <w:tcPr>
            <w:tcW w:w="1532" w:type="dxa"/>
            <w:vMerge w:val="continue"/>
            <w:tcBorders>
              <w:top w:val="nil"/>
            </w:tcBorders>
            <w:vAlign w:val="top"/>
          </w:tcPr>
          <w:p w14:paraId="40307353">
            <w:pPr>
              <w:rPr>
                <w:rFonts w:ascii="Arial"/>
                <w:sz w:val="21"/>
              </w:rPr>
            </w:pPr>
          </w:p>
        </w:tc>
        <w:tc>
          <w:tcPr>
            <w:tcW w:w="2954" w:type="dxa"/>
            <w:vMerge w:val="continue"/>
            <w:tcBorders>
              <w:top w:val="nil"/>
            </w:tcBorders>
            <w:vAlign w:val="top"/>
          </w:tcPr>
          <w:p w14:paraId="3957C6FF">
            <w:pPr>
              <w:rPr>
                <w:rFonts w:ascii="Arial"/>
                <w:sz w:val="21"/>
              </w:rPr>
            </w:pPr>
          </w:p>
        </w:tc>
      </w:tr>
      <w:tr w14:paraId="3BE18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8" w:type="dxa"/>
            <w:vMerge w:val="restart"/>
            <w:tcBorders>
              <w:bottom w:val="nil"/>
            </w:tcBorders>
            <w:vAlign w:val="top"/>
          </w:tcPr>
          <w:p w14:paraId="5A78A038">
            <w:pPr>
              <w:spacing w:line="271" w:lineRule="auto"/>
              <w:rPr>
                <w:rFonts w:ascii="Arial"/>
                <w:sz w:val="21"/>
              </w:rPr>
            </w:pPr>
          </w:p>
          <w:p w14:paraId="7D652E22">
            <w:pPr>
              <w:spacing w:line="272" w:lineRule="auto"/>
              <w:rPr>
                <w:rFonts w:ascii="Arial"/>
                <w:sz w:val="21"/>
              </w:rPr>
            </w:pPr>
          </w:p>
          <w:p w14:paraId="6AE2EDD2">
            <w:pPr>
              <w:spacing w:line="272" w:lineRule="auto"/>
              <w:rPr>
                <w:rFonts w:ascii="Arial"/>
                <w:sz w:val="21"/>
              </w:rPr>
            </w:pPr>
          </w:p>
          <w:p w14:paraId="306A2FE5">
            <w:pPr>
              <w:spacing w:line="272" w:lineRule="auto"/>
              <w:rPr>
                <w:rFonts w:ascii="Arial"/>
                <w:sz w:val="21"/>
              </w:rPr>
            </w:pPr>
          </w:p>
          <w:p w14:paraId="7BBB840F">
            <w:pPr>
              <w:pStyle w:val="6"/>
              <w:spacing w:before="65" w:line="228" w:lineRule="auto"/>
              <w:ind w:left="152"/>
            </w:pPr>
            <w:r>
              <w:rPr>
                <w:spacing w:val="5"/>
              </w:rPr>
              <w:t>废气</w:t>
            </w:r>
          </w:p>
        </w:tc>
        <w:tc>
          <w:tcPr>
            <w:tcW w:w="1356" w:type="dxa"/>
            <w:vAlign w:val="top"/>
          </w:tcPr>
          <w:p w14:paraId="05D5B73D">
            <w:pPr>
              <w:pStyle w:val="6"/>
              <w:spacing w:before="51" w:line="228" w:lineRule="auto"/>
              <w:ind w:left="154"/>
            </w:pPr>
            <w:r>
              <w:rPr>
                <w:spacing w:val="8"/>
              </w:rPr>
              <w:t>粗碎车间排</w:t>
            </w:r>
          </w:p>
          <w:p w14:paraId="29F928A0">
            <w:pPr>
              <w:pStyle w:val="6"/>
              <w:spacing w:before="64" w:line="228" w:lineRule="auto"/>
              <w:ind w:left="393"/>
              <w:rPr>
                <w:rFonts w:ascii="Times New Roman" w:hAnsi="Times New Roman" w:eastAsia="Times New Roman" w:cs="Times New Roman"/>
              </w:rPr>
            </w:pPr>
            <w:r>
              <w:rPr>
                <w:spacing w:val="2"/>
              </w:rPr>
              <w:t>气筒</w:t>
            </w:r>
            <w:r>
              <w:rPr>
                <w:spacing w:val="-22"/>
              </w:rPr>
              <w:t xml:space="preserve"> </w:t>
            </w:r>
            <w:r>
              <w:rPr>
                <w:rFonts w:ascii="Times New Roman" w:hAnsi="Times New Roman" w:eastAsia="Times New Roman" w:cs="Times New Roman"/>
                <w:spacing w:val="2"/>
              </w:rPr>
              <w:t>1</w:t>
            </w:r>
          </w:p>
        </w:tc>
        <w:tc>
          <w:tcPr>
            <w:tcW w:w="3213" w:type="dxa"/>
            <w:vAlign w:val="top"/>
          </w:tcPr>
          <w:p w14:paraId="0ABED5DA">
            <w:pPr>
              <w:pStyle w:val="6"/>
              <w:spacing w:before="207" w:line="228" w:lineRule="auto"/>
              <w:ind w:left="711"/>
            </w:pPr>
            <w:r>
              <w:rPr>
                <w:spacing w:val="8"/>
              </w:rPr>
              <w:t>集气罩</w:t>
            </w:r>
            <w:r>
              <w:rPr>
                <w:rFonts w:ascii="Times New Roman" w:hAnsi="Times New Roman" w:eastAsia="Times New Roman" w:cs="Times New Roman"/>
                <w:spacing w:val="8"/>
              </w:rPr>
              <w:t>+</w:t>
            </w:r>
            <w:r>
              <w:rPr>
                <w:spacing w:val="8"/>
              </w:rPr>
              <w:t>滤筒除尘器</w:t>
            </w:r>
          </w:p>
        </w:tc>
        <w:tc>
          <w:tcPr>
            <w:tcW w:w="1356" w:type="dxa"/>
            <w:vAlign w:val="top"/>
          </w:tcPr>
          <w:p w14:paraId="58D064F8">
            <w:pPr>
              <w:pStyle w:val="6"/>
              <w:spacing w:before="52" w:line="228" w:lineRule="auto"/>
              <w:ind w:left="128"/>
              <w:rPr>
                <w:rFonts w:ascii="Times New Roman" w:hAnsi="Times New Roman" w:eastAsia="Times New Roman" w:cs="Times New Roman"/>
              </w:rPr>
            </w:pPr>
            <w:r>
              <w:rPr>
                <w:rFonts w:ascii="Times New Roman" w:hAnsi="Times New Roman" w:eastAsia="Times New Roman" w:cs="Times New Roman"/>
                <w:spacing w:val="-9"/>
              </w:rPr>
              <w:t xml:space="preserve">1 </w:t>
            </w:r>
            <w:r>
              <w:rPr>
                <w:spacing w:val="-9"/>
              </w:rPr>
              <w:t>套，</w:t>
            </w:r>
            <w:r>
              <w:rPr>
                <w:rFonts w:ascii="Times New Roman" w:hAnsi="Times New Roman" w:eastAsia="Times New Roman" w:cs="Times New Roman"/>
                <w:spacing w:val="-9"/>
              </w:rPr>
              <w:t>13000m</w:t>
            </w:r>
          </w:p>
          <w:p w14:paraId="0673E89F">
            <w:pPr>
              <w:pStyle w:val="6"/>
              <w:spacing w:before="85" w:line="200" w:lineRule="auto"/>
              <w:ind w:left="545"/>
              <w:rPr>
                <w:rFonts w:ascii="Times New Roman" w:hAnsi="Times New Roman" w:eastAsia="Times New Roman" w:cs="Times New Roman"/>
              </w:rPr>
            </w:pPr>
            <w:r>
              <w:rPr>
                <w:spacing w:val="2"/>
              </w:rPr>
              <w:t>³</w:t>
            </w:r>
            <w:r>
              <w:rPr>
                <w:rFonts w:ascii="Times New Roman" w:hAnsi="Times New Roman" w:eastAsia="Times New Roman" w:cs="Times New Roman"/>
                <w:spacing w:val="2"/>
              </w:rPr>
              <w:t>/h</w:t>
            </w:r>
          </w:p>
        </w:tc>
        <w:tc>
          <w:tcPr>
            <w:tcW w:w="1812" w:type="dxa"/>
            <w:vAlign w:val="top"/>
          </w:tcPr>
          <w:p w14:paraId="718B0662">
            <w:pPr>
              <w:pStyle w:val="6"/>
              <w:spacing w:before="207" w:line="228" w:lineRule="auto"/>
              <w:ind w:left="282"/>
            </w:pPr>
            <w:r>
              <w:rPr>
                <w:spacing w:val="8"/>
              </w:rPr>
              <w:t>粗碎车间北侧</w:t>
            </w:r>
          </w:p>
        </w:tc>
        <w:tc>
          <w:tcPr>
            <w:tcW w:w="1238" w:type="dxa"/>
            <w:vAlign w:val="top"/>
          </w:tcPr>
          <w:p w14:paraId="39E8BB48">
            <w:pPr>
              <w:spacing w:before="88"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12.36</w:t>
            </w:r>
          </w:p>
          <w:p w14:paraId="545F09C4">
            <w:pPr>
              <w:spacing w:before="104" w:line="218" w:lineRule="auto"/>
              <w:ind w:left="341"/>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1532" w:type="dxa"/>
            <w:vAlign w:val="top"/>
          </w:tcPr>
          <w:p w14:paraId="3AF9FE8C">
            <w:pPr>
              <w:spacing w:before="244" w:line="195" w:lineRule="auto"/>
              <w:ind w:left="5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w:t>
            </w:r>
          </w:p>
        </w:tc>
        <w:tc>
          <w:tcPr>
            <w:tcW w:w="2954" w:type="dxa"/>
            <w:vMerge w:val="restart"/>
            <w:tcBorders>
              <w:bottom w:val="nil"/>
            </w:tcBorders>
            <w:vAlign w:val="top"/>
          </w:tcPr>
          <w:p w14:paraId="22625C6D">
            <w:pPr>
              <w:pStyle w:val="6"/>
              <w:spacing w:before="212" w:line="289" w:lineRule="auto"/>
              <w:ind w:left="126" w:right="16" w:hanging="4"/>
              <w:jc w:val="both"/>
            </w:pPr>
            <w:r>
              <w:t>《铅、锌工业污染物排放标准》</w:t>
            </w:r>
            <w:r>
              <w:rPr>
                <w:spacing w:val="9"/>
              </w:rP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25466-2010</w:t>
            </w:r>
            <w:r>
              <w:rPr>
                <w:spacing w:val="4"/>
              </w:rPr>
              <w:t>）车间或生产</w:t>
            </w:r>
            <w:r>
              <w:t xml:space="preserve">  </w:t>
            </w:r>
            <w:r>
              <w:rPr>
                <w:spacing w:val="17"/>
              </w:rPr>
              <w:t>设施排气筒污染物浓度限值</w:t>
            </w:r>
          </w:p>
        </w:tc>
      </w:tr>
      <w:tr w14:paraId="3092C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8" w:type="dxa"/>
            <w:vMerge w:val="continue"/>
            <w:tcBorders>
              <w:top w:val="nil"/>
              <w:bottom w:val="nil"/>
            </w:tcBorders>
            <w:vAlign w:val="top"/>
          </w:tcPr>
          <w:p w14:paraId="432E1368">
            <w:pPr>
              <w:rPr>
                <w:rFonts w:ascii="Arial"/>
                <w:sz w:val="21"/>
              </w:rPr>
            </w:pPr>
          </w:p>
        </w:tc>
        <w:tc>
          <w:tcPr>
            <w:tcW w:w="1356" w:type="dxa"/>
            <w:vAlign w:val="top"/>
          </w:tcPr>
          <w:p w14:paraId="6260EE9F">
            <w:pPr>
              <w:pStyle w:val="6"/>
              <w:spacing w:before="53" w:line="228" w:lineRule="auto"/>
              <w:ind w:left="174"/>
            </w:pPr>
            <w:r>
              <w:rPr>
                <w:spacing w:val="4"/>
              </w:rPr>
              <w:t>中间堆场排</w:t>
            </w:r>
          </w:p>
          <w:p w14:paraId="3EEC9544">
            <w:pPr>
              <w:pStyle w:val="6"/>
              <w:spacing w:before="64" w:line="228" w:lineRule="auto"/>
              <w:ind w:left="393"/>
              <w:rPr>
                <w:rFonts w:ascii="Times New Roman" w:hAnsi="Times New Roman" w:eastAsia="Times New Roman" w:cs="Times New Roman"/>
              </w:rPr>
            </w:pPr>
            <w:r>
              <w:rPr>
                <w:spacing w:val="2"/>
              </w:rPr>
              <w:t>气筒</w:t>
            </w:r>
            <w:r>
              <w:rPr>
                <w:spacing w:val="-42"/>
              </w:rPr>
              <w:t xml:space="preserve"> </w:t>
            </w:r>
            <w:r>
              <w:rPr>
                <w:rFonts w:ascii="Times New Roman" w:hAnsi="Times New Roman" w:eastAsia="Times New Roman" w:cs="Times New Roman"/>
                <w:spacing w:val="2"/>
              </w:rPr>
              <w:t>2</w:t>
            </w:r>
          </w:p>
        </w:tc>
        <w:tc>
          <w:tcPr>
            <w:tcW w:w="3213" w:type="dxa"/>
            <w:vAlign w:val="top"/>
          </w:tcPr>
          <w:p w14:paraId="7E8EFC4C">
            <w:pPr>
              <w:pStyle w:val="6"/>
              <w:spacing w:before="208" w:line="228" w:lineRule="auto"/>
              <w:ind w:left="711"/>
            </w:pPr>
            <w:r>
              <w:rPr>
                <w:spacing w:val="8"/>
              </w:rPr>
              <w:t>集气罩</w:t>
            </w:r>
            <w:r>
              <w:rPr>
                <w:rFonts w:ascii="Times New Roman" w:hAnsi="Times New Roman" w:eastAsia="Times New Roman" w:cs="Times New Roman"/>
                <w:spacing w:val="8"/>
              </w:rPr>
              <w:t>+</w:t>
            </w:r>
            <w:r>
              <w:rPr>
                <w:spacing w:val="8"/>
              </w:rPr>
              <w:t>滤筒除尘器</w:t>
            </w:r>
          </w:p>
        </w:tc>
        <w:tc>
          <w:tcPr>
            <w:tcW w:w="1356" w:type="dxa"/>
            <w:vAlign w:val="top"/>
          </w:tcPr>
          <w:p w14:paraId="31497E22">
            <w:pPr>
              <w:pStyle w:val="6"/>
              <w:spacing w:before="53" w:line="228" w:lineRule="auto"/>
              <w:ind w:left="128"/>
              <w:rPr>
                <w:rFonts w:ascii="Times New Roman" w:hAnsi="Times New Roman" w:eastAsia="Times New Roman" w:cs="Times New Roman"/>
              </w:rPr>
            </w:pPr>
            <w:r>
              <w:rPr>
                <w:rFonts w:ascii="Times New Roman" w:hAnsi="Times New Roman" w:eastAsia="Times New Roman" w:cs="Times New Roman"/>
                <w:spacing w:val="-9"/>
              </w:rPr>
              <w:t xml:space="preserve">1 </w:t>
            </w:r>
            <w:r>
              <w:rPr>
                <w:spacing w:val="-9"/>
              </w:rPr>
              <w:t>套，</w:t>
            </w:r>
            <w:r>
              <w:rPr>
                <w:rFonts w:ascii="Times New Roman" w:hAnsi="Times New Roman" w:eastAsia="Times New Roman" w:cs="Times New Roman"/>
                <w:spacing w:val="-9"/>
              </w:rPr>
              <w:t>18000m</w:t>
            </w:r>
          </w:p>
          <w:p w14:paraId="245CA290">
            <w:pPr>
              <w:pStyle w:val="6"/>
              <w:spacing w:before="85" w:line="200" w:lineRule="auto"/>
              <w:ind w:left="545"/>
              <w:rPr>
                <w:rFonts w:ascii="Times New Roman" w:hAnsi="Times New Roman" w:eastAsia="Times New Roman" w:cs="Times New Roman"/>
              </w:rPr>
            </w:pPr>
            <w:r>
              <w:rPr>
                <w:spacing w:val="2"/>
              </w:rPr>
              <w:t>³</w:t>
            </w:r>
            <w:r>
              <w:rPr>
                <w:rFonts w:ascii="Times New Roman" w:hAnsi="Times New Roman" w:eastAsia="Times New Roman" w:cs="Times New Roman"/>
                <w:spacing w:val="2"/>
              </w:rPr>
              <w:t>/h</w:t>
            </w:r>
          </w:p>
        </w:tc>
        <w:tc>
          <w:tcPr>
            <w:tcW w:w="1812" w:type="dxa"/>
            <w:vAlign w:val="top"/>
          </w:tcPr>
          <w:p w14:paraId="01B27DE9">
            <w:pPr>
              <w:pStyle w:val="6"/>
              <w:spacing w:before="208" w:line="227" w:lineRule="auto"/>
              <w:ind w:left="196"/>
            </w:pPr>
            <w:r>
              <w:rPr>
                <w:spacing w:val="5"/>
              </w:rPr>
              <w:t>中间堆场西南角</w:t>
            </w:r>
          </w:p>
        </w:tc>
        <w:tc>
          <w:tcPr>
            <w:tcW w:w="1238" w:type="dxa"/>
            <w:vAlign w:val="top"/>
          </w:tcPr>
          <w:p w14:paraId="59F262BF">
            <w:pPr>
              <w:spacing w:before="224" w:line="218" w:lineRule="auto"/>
              <w:ind w:left="13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 xml:space="preserve">9.42 </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p>
        </w:tc>
        <w:tc>
          <w:tcPr>
            <w:tcW w:w="1532" w:type="dxa"/>
            <w:vAlign w:val="top"/>
          </w:tcPr>
          <w:p w14:paraId="5ACAA27A">
            <w:pPr>
              <w:spacing w:before="244"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0.855</w:t>
            </w:r>
          </w:p>
        </w:tc>
        <w:tc>
          <w:tcPr>
            <w:tcW w:w="2954" w:type="dxa"/>
            <w:vMerge w:val="continue"/>
            <w:tcBorders>
              <w:top w:val="nil"/>
            </w:tcBorders>
            <w:vAlign w:val="top"/>
          </w:tcPr>
          <w:p w14:paraId="35BEC874">
            <w:pPr>
              <w:rPr>
                <w:rFonts w:ascii="Arial"/>
                <w:sz w:val="21"/>
              </w:rPr>
            </w:pPr>
          </w:p>
        </w:tc>
      </w:tr>
      <w:tr w14:paraId="48A32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continue"/>
            <w:tcBorders>
              <w:top w:val="nil"/>
              <w:bottom w:val="nil"/>
            </w:tcBorders>
            <w:vAlign w:val="top"/>
          </w:tcPr>
          <w:p w14:paraId="5201819C">
            <w:pPr>
              <w:rPr>
                <w:rFonts w:ascii="Arial"/>
                <w:sz w:val="21"/>
              </w:rPr>
            </w:pPr>
          </w:p>
        </w:tc>
        <w:tc>
          <w:tcPr>
            <w:tcW w:w="1356" w:type="dxa"/>
            <w:vAlign w:val="top"/>
          </w:tcPr>
          <w:p w14:paraId="5651F380">
            <w:pPr>
              <w:pStyle w:val="6"/>
              <w:spacing w:before="53" w:line="228" w:lineRule="auto"/>
              <w:ind w:left="154"/>
            </w:pPr>
            <w:r>
              <w:rPr>
                <w:spacing w:val="8"/>
              </w:rPr>
              <w:t>粗碎车间无</w:t>
            </w:r>
          </w:p>
          <w:p w14:paraId="4E4FCD62">
            <w:pPr>
              <w:pStyle w:val="6"/>
              <w:spacing w:before="65" w:line="232" w:lineRule="auto"/>
              <w:ind w:left="474"/>
            </w:pPr>
            <w:r>
              <w:rPr>
                <w:spacing w:val="3"/>
              </w:rPr>
              <w:t>组织</w:t>
            </w:r>
          </w:p>
        </w:tc>
        <w:tc>
          <w:tcPr>
            <w:tcW w:w="3213" w:type="dxa"/>
            <w:vAlign w:val="top"/>
          </w:tcPr>
          <w:p w14:paraId="276BF506">
            <w:pPr>
              <w:pStyle w:val="6"/>
              <w:spacing w:before="209" w:line="228" w:lineRule="auto"/>
              <w:ind w:left="713"/>
            </w:pPr>
            <w:r>
              <w:rPr>
                <w:spacing w:val="8"/>
              </w:rPr>
              <w:t>车间封闭</w:t>
            </w:r>
            <w:r>
              <w:rPr>
                <w:rFonts w:ascii="Times New Roman" w:hAnsi="Times New Roman" w:eastAsia="Times New Roman" w:cs="Times New Roman"/>
                <w:spacing w:val="8"/>
              </w:rPr>
              <w:t>+</w:t>
            </w:r>
            <w:r>
              <w:rPr>
                <w:spacing w:val="8"/>
              </w:rPr>
              <w:t>喷雾抑尘</w:t>
            </w:r>
          </w:p>
        </w:tc>
        <w:tc>
          <w:tcPr>
            <w:tcW w:w="1356" w:type="dxa"/>
            <w:vAlign w:val="top"/>
          </w:tcPr>
          <w:p w14:paraId="12C10429">
            <w:pPr>
              <w:spacing w:before="241"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2A4FC8EC">
            <w:pPr>
              <w:pStyle w:val="6"/>
              <w:spacing w:before="209" w:line="228" w:lineRule="auto"/>
              <w:ind w:left="182"/>
            </w:pPr>
            <w:r>
              <w:rPr>
                <w:spacing w:val="7"/>
              </w:rPr>
              <w:t>原矿堆场西北侧</w:t>
            </w:r>
          </w:p>
        </w:tc>
        <w:tc>
          <w:tcPr>
            <w:tcW w:w="1238" w:type="dxa"/>
            <w:vAlign w:val="top"/>
          </w:tcPr>
          <w:p w14:paraId="4CE96A95">
            <w:pPr>
              <w:pStyle w:val="6"/>
              <w:spacing w:before="53" w:line="228" w:lineRule="auto"/>
              <w:ind w:left="205"/>
            </w:pPr>
            <w:r>
              <w:rPr>
                <w:spacing w:val="26"/>
              </w:rPr>
              <w:t>颗粒物&lt;</w:t>
            </w:r>
          </w:p>
          <w:p w14:paraId="33663B2B">
            <w:pPr>
              <w:spacing w:before="83" w:line="215" w:lineRule="auto"/>
              <w:ind w:left="231"/>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1532" w:type="dxa"/>
            <w:vAlign w:val="top"/>
          </w:tcPr>
          <w:p w14:paraId="38E0F842">
            <w:pPr>
              <w:pStyle w:val="6"/>
              <w:spacing w:before="209" w:line="228" w:lineRule="auto"/>
              <w:ind w:left="195"/>
              <w:rPr>
                <w:rFonts w:ascii="Times New Roman" w:hAnsi="Times New Roman" w:eastAsia="Times New Roman" w:cs="Times New Roman"/>
              </w:rPr>
            </w:pPr>
            <w:r>
              <w:rPr>
                <w:spacing w:val="4"/>
              </w:rPr>
              <w:t>颗粒物</w:t>
            </w:r>
            <w:r>
              <w:rPr>
                <w:spacing w:val="-44"/>
              </w:rPr>
              <w:t xml:space="preserve"> </w:t>
            </w:r>
            <w:r>
              <w:rPr>
                <w:rFonts w:ascii="Times New Roman" w:hAnsi="Times New Roman" w:eastAsia="Times New Roman" w:cs="Times New Roman"/>
                <w:spacing w:val="4"/>
              </w:rPr>
              <w:t>2.7t/a</w:t>
            </w:r>
          </w:p>
        </w:tc>
        <w:tc>
          <w:tcPr>
            <w:tcW w:w="2954" w:type="dxa"/>
            <w:vMerge w:val="restart"/>
            <w:tcBorders>
              <w:bottom w:val="nil"/>
            </w:tcBorders>
            <w:vAlign w:val="top"/>
          </w:tcPr>
          <w:p w14:paraId="2CC7A1F4">
            <w:pPr>
              <w:pStyle w:val="6"/>
              <w:spacing w:before="58" w:line="228" w:lineRule="auto"/>
              <w:ind w:right="14"/>
              <w:jc w:val="right"/>
            </w:pPr>
            <w:r>
              <w:t>《铅、锌工业污染物排放标准》</w:t>
            </w:r>
          </w:p>
          <w:p w14:paraId="49024A43">
            <w:pPr>
              <w:pStyle w:val="6"/>
              <w:spacing w:before="65" w:line="228" w:lineRule="auto"/>
              <w:ind w:left="126"/>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25466-2010</w:t>
            </w:r>
            <w:r>
              <w:rPr>
                <w:spacing w:val="4"/>
              </w:rPr>
              <w:t>）新建企业边</w:t>
            </w:r>
          </w:p>
          <w:p w14:paraId="121A1949">
            <w:pPr>
              <w:pStyle w:val="6"/>
              <w:spacing w:before="64" w:line="228" w:lineRule="auto"/>
              <w:ind w:left="121"/>
            </w:pPr>
            <w:r>
              <w:rPr>
                <w:spacing w:val="8"/>
              </w:rPr>
              <w:t>界大气污染物浓度限值，总悬</w:t>
            </w:r>
          </w:p>
          <w:p w14:paraId="2D2347D0">
            <w:pPr>
              <w:pStyle w:val="6"/>
              <w:spacing w:before="65" w:line="221" w:lineRule="auto"/>
              <w:ind w:left="600"/>
              <w:rPr>
                <w:rFonts w:ascii="Times New Roman" w:hAnsi="Times New Roman" w:eastAsia="Times New Roman" w:cs="Times New Roman"/>
                <w:sz w:val="13"/>
                <w:szCs w:val="13"/>
              </w:rPr>
            </w:pPr>
            <w:r>
              <w:rPr>
                <w:spacing w:val="4"/>
              </w:rPr>
              <w:t>浮颗粒物</w:t>
            </w:r>
            <w:r>
              <w:rPr>
                <w:spacing w:val="-21"/>
              </w:rPr>
              <w:t xml:space="preserve"> </w:t>
            </w:r>
            <w:r>
              <w:rPr>
                <w:rFonts w:ascii="Times New Roman" w:hAnsi="Times New Roman" w:eastAsia="Times New Roman" w:cs="Times New Roman"/>
                <w:spacing w:val="4"/>
              </w:rPr>
              <w:t xml:space="preserve">1.0 </w:t>
            </w:r>
            <w:r>
              <w:rPr>
                <w:rFonts w:ascii="Times New Roman" w:hAnsi="Times New Roman" w:eastAsia="Times New Roman" w:cs="Times New Roman"/>
              </w:rPr>
              <w:t>mg</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p>
        </w:tc>
      </w:tr>
      <w:tr w14:paraId="1D129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continue"/>
            <w:tcBorders>
              <w:top w:val="nil"/>
            </w:tcBorders>
            <w:vAlign w:val="top"/>
          </w:tcPr>
          <w:p w14:paraId="4290D465">
            <w:pPr>
              <w:rPr>
                <w:rFonts w:ascii="Arial"/>
                <w:sz w:val="21"/>
              </w:rPr>
            </w:pPr>
          </w:p>
        </w:tc>
        <w:tc>
          <w:tcPr>
            <w:tcW w:w="1356" w:type="dxa"/>
            <w:vAlign w:val="top"/>
          </w:tcPr>
          <w:p w14:paraId="014CCC75">
            <w:pPr>
              <w:pStyle w:val="6"/>
              <w:spacing w:before="55" w:line="228" w:lineRule="auto"/>
              <w:ind w:left="174"/>
            </w:pPr>
            <w:r>
              <w:rPr>
                <w:spacing w:val="4"/>
              </w:rPr>
              <w:t>中间堆场无</w:t>
            </w:r>
          </w:p>
          <w:p w14:paraId="0C8C5AD1">
            <w:pPr>
              <w:pStyle w:val="6"/>
              <w:spacing w:before="64" w:line="232" w:lineRule="auto"/>
              <w:ind w:left="474"/>
            </w:pPr>
            <w:r>
              <w:rPr>
                <w:spacing w:val="3"/>
              </w:rPr>
              <w:t>组织</w:t>
            </w:r>
          </w:p>
        </w:tc>
        <w:tc>
          <w:tcPr>
            <w:tcW w:w="3213" w:type="dxa"/>
            <w:vAlign w:val="top"/>
          </w:tcPr>
          <w:p w14:paraId="0CE4DF1A">
            <w:pPr>
              <w:pStyle w:val="6"/>
              <w:spacing w:before="211" w:line="228" w:lineRule="auto"/>
              <w:ind w:left="713"/>
            </w:pPr>
            <w:r>
              <w:rPr>
                <w:spacing w:val="8"/>
              </w:rPr>
              <w:t>车间封闭</w:t>
            </w:r>
            <w:r>
              <w:rPr>
                <w:rFonts w:ascii="Times New Roman" w:hAnsi="Times New Roman" w:eastAsia="Times New Roman" w:cs="Times New Roman"/>
                <w:spacing w:val="8"/>
              </w:rPr>
              <w:t>+</w:t>
            </w:r>
            <w:r>
              <w:rPr>
                <w:spacing w:val="8"/>
              </w:rPr>
              <w:t>喷雾抑尘</w:t>
            </w:r>
          </w:p>
        </w:tc>
        <w:tc>
          <w:tcPr>
            <w:tcW w:w="1356" w:type="dxa"/>
            <w:vAlign w:val="top"/>
          </w:tcPr>
          <w:p w14:paraId="6B009F61">
            <w:pPr>
              <w:spacing w:before="243"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32E35A0A">
            <w:pPr>
              <w:pStyle w:val="6"/>
              <w:spacing w:before="211" w:line="228" w:lineRule="auto"/>
              <w:ind w:left="281"/>
            </w:pPr>
            <w:r>
              <w:rPr>
                <w:spacing w:val="8"/>
              </w:rPr>
              <w:t>选矿车间东侧</w:t>
            </w:r>
          </w:p>
        </w:tc>
        <w:tc>
          <w:tcPr>
            <w:tcW w:w="1238" w:type="dxa"/>
            <w:vAlign w:val="top"/>
          </w:tcPr>
          <w:p w14:paraId="317559A8">
            <w:pPr>
              <w:pStyle w:val="6"/>
              <w:spacing w:before="55" w:line="228" w:lineRule="auto"/>
              <w:ind w:left="205"/>
            </w:pPr>
            <w:r>
              <w:rPr>
                <w:spacing w:val="26"/>
              </w:rPr>
              <w:t>颗粒物&lt;</w:t>
            </w:r>
          </w:p>
          <w:p w14:paraId="3BED6173">
            <w:pPr>
              <w:spacing w:before="80" w:line="218" w:lineRule="auto"/>
              <w:ind w:left="205"/>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 xml:space="preserve">1.0 </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1532" w:type="dxa"/>
            <w:vAlign w:val="top"/>
          </w:tcPr>
          <w:p w14:paraId="11F919C0">
            <w:pPr>
              <w:pStyle w:val="6"/>
              <w:spacing w:before="55" w:line="276" w:lineRule="auto"/>
              <w:ind w:left="428" w:right="422" w:firstLine="29"/>
              <w:rPr>
                <w:rFonts w:ascii="Times New Roman" w:hAnsi="Times New Roman" w:eastAsia="Times New Roman" w:cs="Times New Roman"/>
              </w:rPr>
            </w:pPr>
            <w:r>
              <w:rPr>
                <w:spacing w:val="7"/>
              </w:rPr>
              <w:t>颗粒物</w:t>
            </w:r>
            <w:r>
              <w:t xml:space="preserve"> </w:t>
            </w:r>
            <w:r>
              <w:rPr>
                <w:rFonts w:ascii="Times New Roman" w:hAnsi="Times New Roman" w:eastAsia="Times New Roman" w:cs="Times New Roman"/>
                <w:spacing w:val="3"/>
              </w:rPr>
              <w:t>2.852t/a</w:t>
            </w:r>
          </w:p>
        </w:tc>
        <w:tc>
          <w:tcPr>
            <w:tcW w:w="2954" w:type="dxa"/>
            <w:vMerge w:val="continue"/>
            <w:tcBorders>
              <w:top w:val="nil"/>
            </w:tcBorders>
            <w:vAlign w:val="top"/>
          </w:tcPr>
          <w:p w14:paraId="5BE0F7E2">
            <w:pPr>
              <w:rPr>
                <w:rFonts w:ascii="Arial"/>
                <w:sz w:val="21"/>
              </w:rPr>
            </w:pPr>
          </w:p>
        </w:tc>
      </w:tr>
      <w:tr w14:paraId="4B068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restart"/>
            <w:tcBorders>
              <w:bottom w:val="nil"/>
            </w:tcBorders>
            <w:vAlign w:val="top"/>
          </w:tcPr>
          <w:p w14:paraId="3FBDEECE">
            <w:pPr>
              <w:spacing w:line="459" w:lineRule="auto"/>
              <w:rPr>
                <w:rFonts w:ascii="Arial"/>
                <w:sz w:val="21"/>
              </w:rPr>
            </w:pPr>
          </w:p>
          <w:p w14:paraId="46E20957">
            <w:pPr>
              <w:pStyle w:val="6"/>
              <w:spacing w:before="65" w:line="228" w:lineRule="auto"/>
              <w:ind w:left="152"/>
            </w:pPr>
            <w:r>
              <w:rPr>
                <w:spacing w:val="5"/>
              </w:rPr>
              <w:t>废水</w:t>
            </w:r>
          </w:p>
        </w:tc>
        <w:tc>
          <w:tcPr>
            <w:tcW w:w="1356" w:type="dxa"/>
            <w:vAlign w:val="top"/>
          </w:tcPr>
          <w:p w14:paraId="42905641">
            <w:pPr>
              <w:pStyle w:val="6"/>
              <w:spacing w:before="210" w:line="228" w:lineRule="auto"/>
              <w:ind w:left="259"/>
            </w:pPr>
            <w:r>
              <w:rPr>
                <w:spacing w:val="7"/>
              </w:rPr>
              <w:t>选矿废水</w:t>
            </w:r>
          </w:p>
        </w:tc>
        <w:tc>
          <w:tcPr>
            <w:tcW w:w="3213" w:type="dxa"/>
            <w:vAlign w:val="top"/>
          </w:tcPr>
          <w:p w14:paraId="6F464BFD">
            <w:pPr>
              <w:pStyle w:val="6"/>
              <w:spacing w:before="210" w:line="228" w:lineRule="auto"/>
              <w:ind w:left="771"/>
            </w:pPr>
            <w:r>
              <w:rPr>
                <w:spacing w:val="8"/>
              </w:rPr>
              <w:t>尾矿回水处理设施</w:t>
            </w:r>
          </w:p>
        </w:tc>
        <w:tc>
          <w:tcPr>
            <w:tcW w:w="1356" w:type="dxa"/>
            <w:vAlign w:val="top"/>
          </w:tcPr>
          <w:p w14:paraId="2724B2E2">
            <w:pPr>
              <w:pStyle w:val="6"/>
              <w:spacing w:before="55" w:line="228" w:lineRule="auto"/>
              <w:ind w:left="515"/>
            </w:pP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套</w:t>
            </w:r>
          </w:p>
          <w:p w14:paraId="3DE7930B">
            <w:pPr>
              <w:spacing w:before="80" w:line="216"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1812" w:type="dxa"/>
            <w:vAlign w:val="top"/>
          </w:tcPr>
          <w:p w14:paraId="4C0AD625">
            <w:pPr>
              <w:pStyle w:val="6"/>
              <w:spacing w:before="55" w:line="260" w:lineRule="auto"/>
              <w:ind w:left="596" w:right="485" w:hanging="106"/>
            </w:pPr>
            <w:r>
              <w:rPr>
                <w:spacing w:val="7"/>
              </w:rPr>
              <w:t>选矿车间</w:t>
            </w:r>
            <w:r>
              <w:rPr>
                <w:spacing w:val="1"/>
              </w:rPr>
              <w:t xml:space="preserve"> </w:t>
            </w:r>
            <w:r>
              <w:rPr>
                <w:spacing w:val="6"/>
              </w:rPr>
              <w:t>偏北侧</w:t>
            </w:r>
          </w:p>
        </w:tc>
        <w:tc>
          <w:tcPr>
            <w:tcW w:w="1238" w:type="dxa"/>
            <w:vAlign w:val="top"/>
          </w:tcPr>
          <w:p w14:paraId="2F78F465">
            <w:pPr>
              <w:spacing w:before="243"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350677B6">
            <w:pPr>
              <w:spacing w:before="246"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6B115EF3">
            <w:pPr>
              <w:pStyle w:val="6"/>
              <w:spacing w:before="54" w:line="228" w:lineRule="auto"/>
              <w:ind w:left="115"/>
            </w:pPr>
            <w:r>
              <w:rPr>
                <w:spacing w:val="9"/>
              </w:rPr>
              <w:t>选矿废水经尾矿回水处理系统</w:t>
            </w:r>
          </w:p>
          <w:p w14:paraId="02728E1B">
            <w:pPr>
              <w:pStyle w:val="6"/>
              <w:spacing w:before="65" w:line="228" w:lineRule="auto"/>
              <w:ind w:left="960"/>
            </w:pPr>
            <w:r>
              <w:rPr>
                <w:spacing w:val="7"/>
              </w:rPr>
              <w:t>处理后回用</w:t>
            </w:r>
          </w:p>
        </w:tc>
      </w:tr>
      <w:tr w14:paraId="40682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continue"/>
            <w:tcBorders>
              <w:top w:val="nil"/>
            </w:tcBorders>
            <w:vAlign w:val="top"/>
          </w:tcPr>
          <w:p w14:paraId="4FD654F3">
            <w:pPr>
              <w:rPr>
                <w:rFonts w:ascii="Arial"/>
                <w:sz w:val="21"/>
              </w:rPr>
            </w:pPr>
          </w:p>
        </w:tc>
        <w:tc>
          <w:tcPr>
            <w:tcW w:w="1356" w:type="dxa"/>
            <w:vAlign w:val="top"/>
          </w:tcPr>
          <w:p w14:paraId="1DCF50E8">
            <w:pPr>
              <w:pStyle w:val="6"/>
              <w:spacing w:before="210" w:line="228" w:lineRule="auto"/>
              <w:ind w:left="262"/>
            </w:pPr>
            <w:r>
              <w:rPr>
                <w:spacing w:val="6"/>
              </w:rPr>
              <w:t>生活污水</w:t>
            </w:r>
          </w:p>
        </w:tc>
        <w:tc>
          <w:tcPr>
            <w:tcW w:w="3213" w:type="dxa"/>
            <w:vAlign w:val="top"/>
          </w:tcPr>
          <w:p w14:paraId="38E06091">
            <w:pPr>
              <w:pStyle w:val="6"/>
              <w:spacing w:before="210" w:line="228" w:lineRule="auto"/>
              <w:ind w:left="669"/>
            </w:pPr>
            <w:r>
              <w:rPr>
                <w:spacing w:val="8"/>
              </w:rPr>
              <w:t>一体化污水处理设施</w:t>
            </w:r>
          </w:p>
        </w:tc>
        <w:tc>
          <w:tcPr>
            <w:tcW w:w="1356" w:type="dxa"/>
            <w:vAlign w:val="top"/>
          </w:tcPr>
          <w:p w14:paraId="70A43465">
            <w:pPr>
              <w:pStyle w:val="6"/>
              <w:spacing w:before="55" w:line="228" w:lineRule="auto"/>
              <w:ind w:left="515"/>
            </w:pP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套</w:t>
            </w:r>
          </w:p>
          <w:p w14:paraId="7FA935DB">
            <w:pPr>
              <w:spacing w:before="80" w:line="216"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 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p>
        </w:tc>
        <w:tc>
          <w:tcPr>
            <w:tcW w:w="1812" w:type="dxa"/>
            <w:vAlign w:val="top"/>
          </w:tcPr>
          <w:p w14:paraId="714520D2">
            <w:pPr>
              <w:pStyle w:val="6"/>
              <w:spacing w:before="55" w:line="260" w:lineRule="auto"/>
              <w:ind w:left="596" w:right="485" w:hanging="106"/>
            </w:pPr>
            <w:r>
              <w:rPr>
                <w:spacing w:val="7"/>
              </w:rPr>
              <w:t>选矿车间</w:t>
            </w:r>
            <w:r>
              <w:rPr>
                <w:spacing w:val="1"/>
              </w:rPr>
              <w:t xml:space="preserve"> </w:t>
            </w:r>
            <w:r>
              <w:rPr>
                <w:spacing w:val="6"/>
              </w:rPr>
              <w:t>偏北侧</w:t>
            </w:r>
          </w:p>
        </w:tc>
        <w:tc>
          <w:tcPr>
            <w:tcW w:w="1238" w:type="dxa"/>
            <w:vAlign w:val="top"/>
          </w:tcPr>
          <w:p w14:paraId="6711D3D0">
            <w:pPr>
              <w:spacing w:before="242"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0E3903FF">
            <w:pPr>
              <w:spacing w:before="246"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622D4AF6">
            <w:pPr>
              <w:pStyle w:val="6"/>
              <w:spacing w:before="54" w:line="228" w:lineRule="auto"/>
              <w:ind w:left="226"/>
            </w:pPr>
            <w:r>
              <w:rPr>
                <w:spacing w:val="8"/>
              </w:rPr>
              <w:t>处理后的生活污水回用于绿</w:t>
            </w:r>
          </w:p>
          <w:p w14:paraId="43566622">
            <w:pPr>
              <w:pStyle w:val="6"/>
              <w:spacing w:before="65" w:line="228" w:lineRule="auto"/>
              <w:ind w:left="957"/>
            </w:pPr>
            <w:r>
              <w:rPr>
                <w:spacing w:val="7"/>
              </w:rPr>
              <w:t>化，不外排</w:t>
            </w:r>
          </w:p>
        </w:tc>
      </w:tr>
      <w:tr w14:paraId="2C88C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18" w:type="dxa"/>
            <w:vMerge w:val="restart"/>
            <w:tcBorders>
              <w:bottom w:val="nil"/>
            </w:tcBorders>
            <w:vAlign w:val="top"/>
          </w:tcPr>
          <w:p w14:paraId="31F97F4E">
            <w:pPr>
              <w:spacing w:line="280" w:lineRule="auto"/>
              <w:rPr>
                <w:rFonts w:ascii="Arial"/>
                <w:sz w:val="21"/>
              </w:rPr>
            </w:pPr>
          </w:p>
          <w:p w14:paraId="12BE9393">
            <w:pPr>
              <w:spacing w:line="281" w:lineRule="auto"/>
              <w:rPr>
                <w:rFonts w:ascii="Arial"/>
                <w:sz w:val="21"/>
              </w:rPr>
            </w:pPr>
          </w:p>
          <w:p w14:paraId="7AE117C3">
            <w:pPr>
              <w:spacing w:line="281" w:lineRule="auto"/>
              <w:rPr>
                <w:rFonts w:ascii="Arial"/>
                <w:sz w:val="21"/>
              </w:rPr>
            </w:pPr>
          </w:p>
          <w:p w14:paraId="69F078D1">
            <w:pPr>
              <w:spacing w:line="281" w:lineRule="auto"/>
              <w:rPr>
                <w:rFonts w:ascii="Arial"/>
                <w:sz w:val="21"/>
              </w:rPr>
            </w:pPr>
          </w:p>
          <w:p w14:paraId="1099EDC2">
            <w:pPr>
              <w:spacing w:line="281" w:lineRule="auto"/>
              <w:rPr>
                <w:rFonts w:ascii="Arial"/>
                <w:sz w:val="21"/>
              </w:rPr>
            </w:pPr>
          </w:p>
          <w:p w14:paraId="00776DDE">
            <w:pPr>
              <w:pStyle w:val="6"/>
              <w:spacing w:before="65" w:line="228" w:lineRule="auto"/>
              <w:ind w:left="170"/>
            </w:pPr>
            <w:r>
              <w:rPr>
                <w:spacing w:val="-5"/>
              </w:rPr>
              <w:t>固体</w:t>
            </w:r>
          </w:p>
          <w:p w14:paraId="19011F32">
            <w:pPr>
              <w:pStyle w:val="6"/>
              <w:spacing w:before="65" w:line="228" w:lineRule="auto"/>
              <w:ind w:left="152"/>
            </w:pPr>
            <w:r>
              <w:rPr>
                <w:spacing w:val="5"/>
              </w:rPr>
              <w:t>废物</w:t>
            </w:r>
          </w:p>
        </w:tc>
        <w:tc>
          <w:tcPr>
            <w:tcW w:w="1356" w:type="dxa"/>
            <w:vAlign w:val="top"/>
          </w:tcPr>
          <w:p w14:paraId="3C767E23">
            <w:pPr>
              <w:spacing w:line="454" w:lineRule="auto"/>
              <w:rPr>
                <w:rFonts w:ascii="Arial"/>
                <w:sz w:val="21"/>
              </w:rPr>
            </w:pPr>
          </w:p>
          <w:p w14:paraId="474463C2">
            <w:pPr>
              <w:pStyle w:val="6"/>
              <w:spacing w:before="65" w:line="228" w:lineRule="auto"/>
              <w:ind w:left="471"/>
            </w:pPr>
            <w:r>
              <w:rPr>
                <w:spacing w:val="4"/>
              </w:rPr>
              <w:t>尾矿</w:t>
            </w:r>
          </w:p>
        </w:tc>
        <w:tc>
          <w:tcPr>
            <w:tcW w:w="3213" w:type="dxa"/>
            <w:vAlign w:val="top"/>
          </w:tcPr>
          <w:p w14:paraId="71390A4D">
            <w:pPr>
              <w:spacing w:line="454" w:lineRule="auto"/>
              <w:rPr>
                <w:rFonts w:ascii="Arial"/>
                <w:sz w:val="21"/>
              </w:rPr>
            </w:pPr>
          </w:p>
          <w:p w14:paraId="1BA9FDB2">
            <w:pPr>
              <w:pStyle w:val="6"/>
              <w:spacing w:before="65" w:line="228" w:lineRule="auto"/>
              <w:ind w:left="876"/>
            </w:pPr>
            <w:r>
              <w:rPr>
                <w:spacing w:val="8"/>
              </w:rPr>
              <w:t>现有尾矿库堆存</w:t>
            </w:r>
          </w:p>
        </w:tc>
        <w:tc>
          <w:tcPr>
            <w:tcW w:w="1356" w:type="dxa"/>
            <w:vAlign w:val="top"/>
          </w:tcPr>
          <w:p w14:paraId="1B1774C1">
            <w:pPr>
              <w:spacing w:line="454" w:lineRule="auto"/>
              <w:rPr>
                <w:rFonts w:ascii="Arial"/>
                <w:sz w:val="21"/>
              </w:rPr>
            </w:pPr>
          </w:p>
          <w:p w14:paraId="4F15E5BD">
            <w:pPr>
              <w:pStyle w:val="6"/>
              <w:spacing w:before="65" w:line="230" w:lineRule="auto"/>
              <w:ind w:left="515"/>
            </w:pPr>
            <w:r>
              <w:rPr>
                <w:rFonts w:ascii="Times New Roman" w:hAnsi="Times New Roman" w:eastAsia="Times New Roman" w:cs="Times New Roman"/>
                <w:spacing w:val="-10"/>
              </w:rPr>
              <w:t>1</w:t>
            </w:r>
            <w:r>
              <w:rPr>
                <w:rFonts w:ascii="Times New Roman" w:hAnsi="Times New Roman" w:eastAsia="Times New Roman" w:cs="Times New Roman"/>
                <w:spacing w:val="11"/>
              </w:rPr>
              <w:t xml:space="preserve"> </w:t>
            </w:r>
            <w:r>
              <w:rPr>
                <w:spacing w:val="-10"/>
              </w:rPr>
              <w:t>座</w:t>
            </w:r>
          </w:p>
        </w:tc>
        <w:tc>
          <w:tcPr>
            <w:tcW w:w="1812" w:type="dxa"/>
            <w:vAlign w:val="top"/>
          </w:tcPr>
          <w:p w14:paraId="325FCB75">
            <w:pPr>
              <w:spacing w:line="454" w:lineRule="auto"/>
              <w:rPr>
                <w:rFonts w:ascii="Arial"/>
                <w:sz w:val="21"/>
              </w:rPr>
            </w:pPr>
          </w:p>
          <w:p w14:paraId="501AAD79">
            <w:pPr>
              <w:pStyle w:val="6"/>
              <w:spacing w:before="65" w:line="228" w:lineRule="auto"/>
              <w:ind w:left="281"/>
            </w:pPr>
            <w:r>
              <w:rPr>
                <w:spacing w:val="8"/>
              </w:rPr>
              <w:t>选矿车间西北</w:t>
            </w:r>
          </w:p>
        </w:tc>
        <w:tc>
          <w:tcPr>
            <w:tcW w:w="1238" w:type="dxa"/>
            <w:vAlign w:val="top"/>
          </w:tcPr>
          <w:p w14:paraId="6FC33708">
            <w:pPr>
              <w:spacing w:line="246" w:lineRule="auto"/>
              <w:rPr>
                <w:rFonts w:ascii="Arial"/>
                <w:sz w:val="21"/>
              </w:rPr>
            </w:pPr>
          </w:p>
          <w:p w14:paraId="015148A3">
            <w:pPr>
              <w:spacing w:line="247" w:lineRule="auto"/>
              <w:rPr>
                <w:rFonts w:ascii="Arial"/>
                <w:sz w:val="21"/>
              </w:rPr>
            </w:pPr>
          </w:p>
          <w:p w14:paraId="6E625E36">
            <w:pPr>
              <w:spacing w:before="5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61F84876">
            <w:pPr>
              <w:spacing w:line="248" w:lineRule="auto"/>
              <w:rPr>
                <w:rFonts w:ascii="Arial"/>
                <w:sz w:val="21"/>
              </w:rPr>
            </w:pPr>
          </w:p>
          <w:p w14:paraId="774099FE">
            <w:pPr>
              <w:spacing w:line="249" w:lineRule="auto"/>
              <w:rPr>
                <w:rFonts w:ascii="Arial"/>
                <w:sz w:val="21"/>
              </w:rPr>
            </w:pPr>
          </w:p>
          <w:p w14:paraId="3992E0AB">
            <w:pPr>
              <w:spacing w:before="58"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1262D67A">
            <w:pPr>
              <w:pStyle w:val="6"/>
              <w:spacing w:before="53" w:line="228" w:lineRule="auto"/>
              <w:ind w:left="118"/>
            </w:pPr>
            <w:r>
              <w:rPr>
                <w:spacing w:val="8"/>
              </w:rPr>
              <w:t>符合《一般固体废弃物贮存、</w:t>
            </w:r>
          </w:p>
          <w:p w14:paraId="1EA85C77">
            <w:pPr>
              <w:pStyle w:val="6"/>
              <w:spacing w:before="65" w:line="228" w:lineRule="auto"/>
              <w:ind w:left="437"/>
            </w:pPr>
            <w:r>
              <w:rPr>
                <w:spacing w:val="7"/>
              </w:rPr>
              <w:t>处置场污染控制标准》</w:t>
            </w:r>
          </w:p>
          <w:p w14:paraId="209CBFD1">
            <w:pPr>
              <w:pStyle w:val="6"/>
              <w:spacing w:before="64" w:line="228" w:lineRule="auto"/>
              <w:ind w:left="138"/>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18599—2001</w:t>
            </w:r>
            <w:r>
              <w:rPr>
                <w:spacing w:val="6"/>
              </w:rPr>
              <w:t>）及其修改</w:t>
            </w:r>
          </w:p>
          <w:p w14:paraId="4A1C8E9B">
            <w:pPr>
              <w:pStyle w:val="6"/>
              <w:spacing w:before="65" w:line="228" w:lineRule="auto"/>
              <w:ind w:left="1169"/>
            </w:pPr>
            <w:r>
              <w:rPr>
                <w:spacing w:val="6"/>
              </w:rPr>
              <w:t>单要求</w:t>
            </w:r>
          </w:p>
        </w:tc>
      </w:tr>
      <w:tr w14:paraId="75A1B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18" w:type="dxa"/>
            <w:vMerge w:val="continue"/>
            <w:tcBorders>
              <w:top w:val="nil"/>
              <w:bottom w:val="nil"/>
            </w:tcBorders>
            <w:vAlign w:val="top"/>
          </w:tcPr>
          <w:p w14:paraId="11652581">
            <w:pPr>
              <w:rPr>
                <w:rFonts w:ascii="Arial"/>
                <w:sz w:val="21"/>
              </w:rPr>
            </w:pPr>
          </w:p>
        </w:tc>
        <w:tc>
          <w:tcPr>
            <w:tcW w:w="1356" w:type="dxa"/>
            <w:vAlign w:val="top"/>
          </w:tcPr>
          <w:p w14:paraId="3B4EFD49">
            <w:pPr>
              <w:pStyle w:val="6"/>
              <w:spacing w:before="55" w:line="228" w:lineRule="auto"/>
              <w:ind w:left="156"/>
            </w:pPr>
            <w:r>
              <w:rPr>
                <w:spacing w:val="7"/>
              </w:rPr>
              <w:t>浮选药品废</w:t>
            </w:r>
          </w:p>
          <w:p w14:paraId="3D8AA6D5">
            <w:pPr>
              <w:pStyle w:val="6"/>
              <w:spacing w:before="64" w:line="227" w:lineRule="auto"/>
              <w:ind w:left="158"/>
            </w:pPr>
            <w:r>
              <w:rPr>
                <w:spacing w:val="7"/>
              </w:rPr>
              <w:t>弃包装材料</w:t>
            </w:r>
          </w:p>
        </w:tc>
        <w:tc>
          <w:tcPr>
            <w:tcW w:w="3213" w:type="dxa"/>
            <w:vAlign w:val="top"/>
          </w:tcPr>
          <w:p w14:paraId="3A7AE32B">
            <w:pPr>
              <w:pStyle w:val="6"/>
              <w:spacing w:before="211" w:line="228" w:lineRule="auto"/>
              <w:ind w:left="984"/>
            </w:pPr>
            <w:r>
              <w:rPr>
                <w:spacing w:val="7"/>
              </w:rPr>
              <w:t>外售相关企业</w:t>
            </w:r>
          </w:p>
        </w:tc>
        <w:tc>
          <w:tcPr>
            <w:tcW w:w="1356" w:type="dxa"/>
            <w:vAlign w:val="top"/>
          </w:tcPr>
          <w:p w14:paraId="30D3AB5D">
            <w:pPr>
              <w:spacing w:before="242"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56A1D17A">
            <w:pPr>
              <w:spacing w:before="242"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3A9198BE">
            <w:pPr>
              <w:spacing w:before="242"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6CEF5F43">
            <w:pPr>
              <w:spacing w:before="246"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6724FEC3">
            <w:pPr>
              <w:pStyle w:val="6"/>
              <w:spacing w:before="210" w:line="228" w:lineRule="auto"/>
              <w:ind w:left="1168"/>
            </w:pPr>
            <w:r>
              <w:rPr>
                <w:spacing w:val="6"/>
              </w:rPr>
              <w:t>零排放</w:t>
            </w:r>
          </w:p>
        </w:tc>
      </w:tr>
      <w:tr w14:paraId="4BC26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8" w:type="dxa"/>
            <w:vMerge w:val="continue"/>
            <w:tcBorders>
              <w:top w:val="nil"/>
              <w:bottom w:val="nil"/>
            </w:tcBorders>
            <w:vAlign w:val="top"/>
          </w:tcPr>
          <w:p w14:paraId="19D7AD83">
            <w:pPr>
              <w:rPr>
                <w:rFonts w:ascii="Arial"/>
                <w:sz w:val="21"/>
              </w:rPr>
            </w:pPr>
          </w:p>
        </w:tc>
        <w:tc>
          <w:tcPr>
            <w:tcW w:w="1356" w:type="dxa"/>
            <w:vAlign w:val="top"/>
          </w:tcPr>
          <w:p w14:paraId="11453038">
            <w:pPr>
              <w:pStyle w:val="6"/>
              <w:spacing w:before="54" w:line="230" w:lineRule="auto"/>
              <w:ind w:left="473"/>
            </w:pPr>
            <w:r>
              <w:rPr>
                <w:spacing w:val="3"/>
              </w:rPr>
              <w:t>污泥</w:t>
            </w:r>
          </w:p>
        </w:tc>
        <w:tc>
          <w:tcPr>
            <w:tcW w:w="3213" w:type="dxa"/>
            <w:vAlign w:val="top"/>
          </w:tcPr>
          <w:p w14:paraId="5001BFD4">
            <w:pPr>
              <w:pStyle w:val="6"/>
              <w:spacing w:before="54" w:line="228" w:lineRule="auto"/>
              <w:ind w:left="876"/>
            </w:pPr>
            <w:r>
              <w:rPr>
                <w:spacing w:val="8"/>
              </w:rPr>
              <w:t>现有尾矿库堆存</w:t>
            </w:r>
          </w:p>
        </w:tc>
        <w:tc>
          <w:tcPr>
            <w:tcW w:w="1356" w:type="dxa"/>
            <w:vAlign w:val="top"/>
          </w:tcPr>
          <w:p w14:paraId="09F3F7FE">
            <w:pPr>
              <w:spacing w:before="86"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24DCDF50">
            <w:pPr>
              <w:spacing w:before="86"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582EA6C6">
            <w:pPr>
              <w:spacing w:before="86"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084EDF9C">
            <w:pPr>
              <w:spacing w:before="90"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26ECDF68">
            <w:pPr>
              <w:pStyle w:val="6"/>
              <w:spacing w:before="54" w:line="228" w:lineRule="auto"/>
              <w:ind w:left="1168"/>
            </w:pPr>
            <w:r>
              <w:rPr>
                <w:spacing w:val="6"/>
              </w:rPr>
              <w:t>零排放</w:t>
            </w:r>
          </w:p>
        </w:tc>
      </w:tr>
      <w:tr w14:paraId="2A6A0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8" w:type="dxa"/>
            <w:vMerge w:val="continue"/>
            <w:tcBorders>
              <w:top w:val="nil"/>
              <w:bottom w:val="nil"/>
            </w:tcBorders>
            <w:vAlign w:val="top"/>
          </w:tcPr>
          <w:p w14:paraId="27871233">
            <w:pPr>
              <w:rPr>
                <w:rFonts w:ascii="Arial"/>
                <w:sz w:val="21"/>
              </w:rPr>
            </w:pPr>
          </w:p>
        </w:tc>
        <w:tc>
          <w:tcPr>
            <w:tcW w:w="1356" w:type="dxa"/>
            <w:vAlign w:val="top"/>
          </w:tcPr>
          <w:p w14:paraId="06C39D61">
            <w:pPr>
              <w:pStyle w:val="6"/>
              <w:spacing w:before="56" w:line="228" w:lineRule="auto"/>
              <w:ind w:left="262"/>
            </w:pPr>
            <w:r>
              <w:rPr>
                <w:spacing w:val="6"/>
              </w:rPr>
              <w:t>生活垃圾</w:t>
            </w:r>
          </w:p>
        </w:tc>
        <w:tc>
          <w:tcPr>
            <w:tcW w:w="3213" w:type="dxa"/>
            <w:vAlign w:val="top"/>
          </w:tcPr>
          <w:p w14:paraId="0D4C5C59">
            <w:pPr>
              <w:pStyle w:val="6"/>
              <w:spacing w:before="56" w:line="228" w:lineRule="auto"/>
              <w:ind w:left="784"/>
            </w:pPr>
            <w:r>
              <w:rPr>
                <w:spacing w:val="7"/>
              </w:rPr>
              <w:t>当地环卫部门处理</w:t>
            </w:r>
          </w:p>
        </w:tc>
        <w:tc>
          <w:tcPr>
            <w:tcW w:w="1356" w:type="dxa"/>
            <w:vAlign w:val="top"/>
          </w:tcPr>
          <w:p w14:paraId="22F7F260">
            <w:pPr>
              <w:spacing w:before="88"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744F79A2">
            <w:pPr>
              <w:spacing w:before="88"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476AFCF9">
            <w:pPr>
              <w:spacing w:before="8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19CE8864">
            <w:pPr>
              <w:spacing w:before="92"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11149F5D">
            <w:pPr>
              <w:pStyle w:val="6"/>
              <w:spacing w:before="56" w:line="228" w:lineRule="auto"/>
              <w:ind w:left="1168"/>
            </w:pPr>
            <w:r>
              <w:rPr>
                <w:spacing w:val="6"/>
              </w:rPr>
              <w:t>零排放</w:t>
            </w:r>
          </w:p>
        </w:tc>
      </w:tr>
      <w:tr w14:paraId="35EC2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18" w:type="dxa"/>
            <w:vMerge w:val="continue"/>
            <w:tcBorders>
              <w:top w:val="nil"/>
            </w:tcBorders>
            <w:vAlign w:val="top"/>
          </w:tcPr>
          <w:p w14:paraId="7A54B737">
            <w:pPr>
              <w:rPr>
                <w:rFonts w:ascii="Arial"/>
                <w:sz w:val="21"/>
              </w:rPr>
            </w:pPr>
          </w:p>
        </w:tc>
        <w:tc>
          <w:tcPr>
            <w:tcW w:w="1356" w:type="dxa"/>
            <w:vAlign w:val="top"/>
          </w:tcPr>
          <w:p w14:paraId="46EA654E">
            <w:pPr>
              <w:spacing w:line="301" w:lineRule="auto"/>
              <w:rPr>
                <w:rFonts w:ascii="Arial"/>
                <w:sz w:val="21"/>
              </w:rPr>
            </w:pPr>
          </w:p>
          <w:p w14:paraId="69C232B3">
            <w:pPr>
              <w:pStyle w:val="6"/>
              <w:spacing w:before="65" w:line="227" w:lineRule="auto"/>
              <w:ind w:left="365"/>
            </w:pPr>
            <w:r>
              <w:rPr>
                <w:spacing w:val="7"/>
              </w:rPr>
              <w:t>废机油</w:t>
            </w:r>
          </w:p>
        </w:tc>
        <w:tc>
          <w:tcPr>
            <w:tcW w:w="3213" w:type="dxa"/>
            <w:vAlign w:val="top"/>
          </w:tcPr>
          <w:p w14:paraId="223B49BD">
            <w:pPr>
              <w:pStyle w:val="6"/>
              <w:spacing w:before="211" w:line="228" w:lineRule="auto"/>
              <w:ind w:left="143"/>
            </w:pPr>
            <w:r>
              <w:rPr>
                <w:spacing w:val="9"/>
              </w:rPr>
              <w:t>危废暂存间暂存，委托有资质单</w:t>
            </w:r>
          </w:p>
          <w:p w14:paraId="138D037C">
            <w:pPr>
              <w:pStyle w:val="6"/>
              <w:spacing w:before="65" w:line="229" w:lineRule="auto"/>
              <w:ind w:left="1294"/>
            </w:pPr>
            <w:r>
              <w:rPr>
                <w:spacing w:val="6"/>
              </w:rPr>
              <w:t>位处置</w:t>
            </w:r>
          </w:p>
        </w:tc>
        <w:tc>
          <w:tcPr>
            <w:tcW w:w="1356" w:type="dxa"/>
            <w:vAlign w:val="top"/>
          </w:tcPr>
          <w:p w14:paraId="06CE7FB0">
            <w:pPr>
              <w:spacing w:line="340" w:lineRule="auto"/>
              <w:rPr>
                <w:rFonts w:ascii="Arial"/>
                <w:sz w:val="21"/>
              </w:rPr>
            </w:pPr>
          </w:p>
          <w:p w14:paraId="6F45F767">
            <w:pPr>
              <w:spacing w:before="58"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0F1B68E1">
            <w:pPr>
              <w:spacing w:line="340" w:lineRule="auto"/>
              <w:rPr>
                <w:rFonts w:ascii="Arial"/>
                <w:sz w:val="21"/>
              </w:rPr>
            </w:pPr>
          </w:p>
          <w:p w14:paraId="66AEA92B">
            <w:pPr>
              <w:spacing w:before="58"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353F872B">
            <w:pPr>
              <w:spacing w:line="340" w:lineRule="auto"/>
              <w:rPr>
                <w:rFonts w:ascii="Arial"/>
                <w:sz w:val="21"/>
              </w:rPr>
            </w:pPr>
          </w:p>
          <w:p w14:paraId="5508EAE4">
            <w:pPr>
              <w:spacing w:before="5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628777E7">
            <w:pPr>
              <w:spacing w:line="344" w:lineRule="auto"/>
              <w:rPr>
                <w:rFonts w:ascii="Arial"/>
                <w:sz w:val="21"/>
              </w:rPr>
            </w:pPr>
          </w:p>
          <w:p w14:paraId="20B12071">
            <w:pPr>
              <w:spacing w:before="57"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954" w:type="dxa"/>
            <w:vAlign w:val="top"/>
          </w:tcPr>
          <w:p w14:paraId="556232D8">
            <w:pPr>
              <w:pStyle w:val="6"/>
              <w:spacing w:before="55" w:line="228" w:lineRule="auto"/>
              <w:ind w:left="118"/>
            </w:pPr>
            <w:r>
              <w:rPr>
                <w:spacing w:val="9"/>
              </w:rPr>
              <w:t>符合《危险废物贮存污染控制</w:t>
            </w:r>
          </w:p>
          <w:p w14:paraId="6EF9B56C">
            <w:pPr>
              <w:pStyle w:val="6"/>
              <w:spacing w:before="65" w:line="228" w:lineRule="auto"/>
              <w:ind w:left="129"/>
            </w:pPr>
            <w:r>
              <w:rPr>
                <w:spacing w:val="7"/>
              </w:rPr>
              <w:t>标准》（</w:t>
            </w:r>
            <w:r>
              <w:rPr>
                <w:rFonts w:ascii="Times New Roman" w:hAnsi="Times New Roman" w:eastAsia="Times New Roman" w:cs="Times New Roman"/>
              </w:rPr>
              <w:t>GB</w:t>
            </w:r>
            <w:r>
              <w:rPr>
                <w:rFonts w:ascii="Times New Roman" w:hAnsi="Times New Roman" w:eastAsia="Times New Roman" w:cs="Times New Roman"/>
                <w:spacing w:val="7"/>
              </w:rPr>
              <w:t>18599—2001</w:t>
            </w:r>
            <w:r>
              <w:rPr>
                <w:spacing w:val="7"/>
              </w:rPr>
              <w:t>）要</w:t>
            </w:r>
          </w:p>
          <w:p w14:paraId="27C7612C">
            <w:pPr>
              <w:pStyle w:val="6"/>
              <w:spacing w:before="65" w:line="228" w:lineRule="auto"/>
              <w:ind w:left="538"/>
            </w:pPr>
            <w:r>
              <w:rPr>
                <w:spacing w:val="8"/>
              </w:rPr>
              <w:t>求，有资质单位处置</w:t>
            </w:r>
          </w:p>
        </w:tc>
      </w:tr>
      <w:tr w14:paraId="20B2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18" w:type="dxa"/>
            <w:vAlign w:val="top"/>
          </w:tcPr>
          <w:p w14:paraId="151889DE">
            <w:pPr>
              <w:pStyle w:val="6"/>
              <w:spacing w:before="57" w:line="228" w:lineRule="auto"/>
              <w:ind w:left="162"/>
            </w:pPr>
            <w:r>
              <w:rPr>
                <w:spacing w:val="-1"/>
              </w:rPr>
              <w:t>噪声</w:t>
            </w:r>
          </w:p>
        </w:tc>
        <w:tc>
          <w:tcPr>
            <w:tcW w:w="1356" w:type="dxa"/>
            <w:vAlign w:val="top"/>
          </w:tcPr>
          <w:p w14:paraId="3A3BAF40">
            <w:pPr>
              <w:pStyle w:val="6"/>
              <w:spacing w:before="56" w:line="229" w:lineRule="auto"/>
              <w:ind w:left="262"/>
            </w:pPr>
            <w:r>
              <w:rPr>
                <w:spacing w:val="6"/>
              </w:rPr>
              <w:t>主要设备</w:t>
            </w:r>
          </w:p>
        </w:tc>
        <w:tc>
          <w:tcPr>
            <w:tcW w:w="3213" w:type="dxa"/>
            <w:vAlign w:val="top"/>
          </w:tcPr>
          <w:p w14:paraId="1AE5C216">
            <w:pPr>
              <w:pStyle w:val="6"/>
              <w:spacing w:before="56" w:line="228" w:lineRule="auto"/>
              <w:ind w:left="143"/>
            </w:pPr>
            <w:r>
              <w:rPr>
                <w:spacing w:val="9"/>
              </w:rPr>
              <w:t>室内、基础减振器；安装消声器</w:t>
            </w:r>
          </w:p>
        </w:tc>
        <w:tc>
          <w:tcPr>
            <w:tcW w:w="1356" w:type="dxa"/>
            <w:vAlign w:val="top"/>
          </w:tcPr>
          <w:p w14:paraId="7356C1B5">
            <w:pPr>
              <w:spacing w:before="88" w:line="19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2" w:type="dxa"/>
            <w:vAlign w:val="top"/>
          </w:tcPr>
          <w:p w14:paraId="642845A7">
            <w:pPr>
              <w:pStyle w:val="6"/>
              <w:spacing w:before="56" w:line="228" w:lineRule="auto"/>
              <w:ind w:left="495"/>
            </w:pPr>
            <w:r>
              <w:rPr>
                <w:spacing w:val="6"/>
              </w:rPr>
              <w:t>声源降噪</w:t>
            </w:r>
          </w:p>
        </w:tc>
        <w:tc>
          <w:tcPr>
            <w:tcW w:w="1238" w:type="dxa"/>
            <w:vAlign w:val="top"/>
          </w:tcPr>
          <w:p w14:paraId="75E97DA6">
            <w:pPr>
              <w:spacing w:before="88"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5889A4B0">
            <w:pPr>
              <w:pStyle w:val="6"/>
              <w:spacing w:before="56" w:line="233" w:lineRule="auto"/>
              <w:ind w:left="117"/>
            </w:pPr>
            <w:r>
              <w:rPr>
                <w:rFonts w:ascii="Times New Roman" w:hAnsi="Times New Roman" w:eastAsia="Times New Roman" w:cs="Times New Roman"/>
                <w:spacing w:val="5"/>
              </w:rPr>
              <w:t>55~70</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w:t>
            </w:r>
          </w:p>
        </w:tc>
        <w:tc>
          <w:tcPr>
            <w:tcW w:w="2954" w:type="dxa"/>
            <w:vAlign w:val="top"/>
          </w:tcPr>
          <w:p w14:paraId="392A032E">
            <w:pPr>
              <w:pStyle w:val="6"/>
              <w:spacing w:before="57" w:line="228" w:lineRule="auto"/>
              <w:ind w:left="122"/>
            </w:pPr>
            <w:r>
              <w:rPr>
                <w:spacing w:val="8"/>
              </w:rPr>
              <w:t>《工业企业厂界环境噪声排放</w:t>
            </w:r>
          </w:p>
        </w:tc>
      </w:tr>
    </w:tbl>
    <w:p w14:paraId="67FFE44D">
      <w:pPr>
        <w:pStyle w:val="2"/>
        <w:spacing w:line="169" w:lineRule="exact"/>
        <w:rPr>
          <w:sz w:val="14"/>
        </w:rPr>
      </w:pPr>
    </w:p>
    <w:p w14:paraId="59396DF5">
      <w:pPr>
        <w:spacing w:line="169" w:lineRule="exact"/>
        <w:rPr>
          <w:sz w:val="14"/>
          <w:szCs w:val="14"/>
        </w:rPr>
        <w:sectPr>
          <w:headerReference r:id="rId427" w:type="default"/>
          <w:footerReference r:id="rId428" w:type="default"/>
          <w:pgSz w:w="16839" w:h="11906"/>
          <w:pgMar w:top="1208" w:right="1327" w:bottom="1358" w:left="1326" w:header="825" w:footer="1195" w:gutter="0"/>
          <w:cols w:space="720" w:num="1"/>
        </w:sectPr>
      </w:pPr>
    </w:p>
    <w:p w14:paraId="493D938E">
      <w:pPr>
        <w:spacing w:before="53"/>
      </w:pPr>
    </w:p>
    <w:p w14:paraId="1C3F12E2">
      <w:pPr>
        <w:spacing w:before="52"/>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356"/>
        <w:gridCol w:w="3213"/>
        <w:gridCol w:w="1356"/>
        <w:gridCol w:w="1812"/>
        <w:gridCol w:w="1238"/>
        <w:gridCol w:w="1532"/>
        <w:gridCol w:w="2954"/>
      </w:tblGrid>
      <w:tr w14:paraId="543E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18" w:type="dxa"/>
            <w:vAlign w:val="top"/>
          </w:tcPr>
          <w:p w14:paraId="36AF8765">
            <w:pPr>
              <w:rPr>
                <w:rFonts w:ascii="Arial"/>
                <w:sz w:val="21"/>
              </w:rPr>
            </w:pPr>
          </w:p>
        </w:tc>
        <w:tc>
          <w:tcPr>
            <w:tcW w:w="1356" w:type="dxa"/>
            <w:vAlign w:val="top"/>
          </w:tcPr>
          <w:p w14:paraId="183B7247">
            <w:pPr>
              <w:rPr>
                <w:rFonts w:ascii="Arial"/>
                <w:sz w:val="21"/>
              </w:rPr>
            </w:pPr>
          </w:p>
        </w:tc>
        <w:tc>
          <w:tcPr>
            <w:tcW w:w="3213" w:type="dxa"/>
            <w:vAlign w:val="top"/>
          </w:tcPr>
          <w:p w14:paraId="624CA420">
            <w:pPr>
              <w:rPr>
                <w:rFonts w:ascii="Arial"/>
                <w:sz w:val="21"/>
              </w:rPr>
            </w:pPr>
          </w:p>
        </w:tc>
        <w:tc>
          <w:tcPr>
            <w:tcW w:w="1356" w:type="dxa"/>
            <w:vAlign w:val="top"/>
          </w:tcPr>
          <w:p w14:paraId="621B1F16">
            <w:pPr>
              <w:rPr>
                <w:rFonts w:ascii="Arial"/>
                <w:sz w:val="21"/>
              </w:rPr>
            </w:pPr>
          </w:p>
        </w:tc>
        <w:tc>
          <w:tcPr>
            <w:tcW w:w="1812" w:type="dxa"/>
            <w:vAlign w:val="top"/>
          </w:tcPr>
          <w:p w14:paraId="796F4934">
            <w:pPr>
              <w:rPr>
                <w:rFonts w:ascii="Arial"/>
                <w:sz w:val="21"/>
              </w:rPr>
            </w:pPr>
          </w:p>
        </w:tc>
        <w:tc>
          <w:tcPr>
            <w:tcW w:w="1238" w:type="dxa"/>
            <w:vAlign w:val="top"/>
          </w:tcPr>
          <w:p w14:paraId="1409A765">
            <w:pPr>
              <w:rPr>
                <w:rFonts w:ascii="Arial"/>
                <w:sz w:val="21"/>
              </w:rPr>
            </w:pPr>
          </w:p>
        </w:tc>
        <w:tc>
          <w:tcPr>
            <w:tcW w:w="1532" w:type="dxa"/>
            <w:vAlign w:val="top"/>
          </w:tcPr>
          <w:p w14:paraId="18D0A80D">
            <w:pPr>
              <w:rPr>
                <w:rFonts w:ascii="Arial"/>
                <w:sz w:val="21"/>
              </w:rPr>
            </w:pPr>
          </w:p>
        </w:tc>
        <w:tc>
          <w:tcPr>
            <w:tcW w:w="2954" w:type="dxa"/>
            <w:vAlign w:val="top"/>
          </w:tcPr>
          <w:p w14:paraId="52ADF37D">
            <w:pPr>
              <w:pStyle w:val="6"/>
              <w:spacing w:before="57" w:line="228" w:lineRule="auto"/>
              <w:ind w:left="182"/>
              <w:rPr>
                <w:rFonts w:ascii="Times New Roman" w:hAnsi="Times New Roman" w:eastAsia="Times New Roman" w:cs="Times New Roman"/>
              </w:rPr>
            </w:pPr>
            <w:r>
              <w:rPr>
                <w:spacing w:val="7"/>
              </w:rPr>
              <w:t>标准》（</w:t>
            </w:r>
            <w:r>
              <w:rPr>
                <w:rFonts w:ascii="Times New Roman" w:hAnsi="Times New Roman" w:eastAsia="Times New Roman" w:cs="Times New Roman"/>
              </w:rPr>
              <w:t>GB</w:t>
            </w:r>
            <w:r>
              <w:rPr>
                <w:rFonts w:ascii="Times New Roman" w:hAnsi="Times New Roman" w:eastAsia="Times New Roman" w:cs="Times New Roman"/>
                <w:spacing w:val="7"/>
              </w:rPr>
              <w:t>12348—2008</w:t>
            </w:r>
            <w:r>
              <w:rPr>
                <w:spacing w:val="7"/>
              </w:rPr>
              <w:t>）</w:t>
            </w:r>
            <w:r>
              <w:rPr>
                <w:rFonts w:ascii="Times New Roman" w:hAnsi="Times New Roman" w:eastAsia="Times New Roman" w:cs="Times New Roman"/>
                <w:spacing w:val="7"/>
              </w:rPr>
              <w:t>2</w:t>
            </w:r>
          </w:p>
          <w:p w14:paraId="22D37364">
            <w:pPr>
              <w:pStyle w:val="6"/>
              <w:spacing w:before="64" w:line="228" w:lineRule="auto"/>
              <w:ind w:left="1167"/>
            </w:pPr>
            <w:r>
              <w:rPr>
                <w:spacing w:val="6"/>
              </w:rPr>
              <w:t>类标准</w:t>
            </w:r>
          </w:p>
        </w:tc>
      </w:tr>
      <w:tr w14:paraId="528EE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8" w:type="dxa"/>
            <w:vMerge w:val="restart"/>
            <w:tcBorders>
              <w:bottom w:val="nil"/>
            </w:tcBorders>
            <w:vAlign w:val="top"/>
          </w:tcPr>
          <w:p w14:paraId="0FDD9E0C">
            <w:pPr>
              <w:pStyle w:val="6"/>
              <w:spacing w:before="63" w:line="229" w:lineRule="auto"/>
              <w:ind w:left="152"/>
            </w:pPr>
            <w:r>
              <w:rPr>
                <w:spacing w:val="4"/>
              </w:rPr>
              <w:t>地下</w:t>
            </w:r>
          </w:p>
          <w:p w14:paraId="55175C4C">
            <w:pPr>
              <w:pStyle w:val="6"/>
              <w:spacing w:before="64" w:line="266" w:lineRule="auto"/>
              <w:ind w:left="258" w:right="150" w:hanging="103"/>
            </w:pPr>
            <w:r>
              <w:rPr>
                <w:spacing w:val="3"/>
              </w:rPr>
              <w:t>水保</w:t>
            </w:r>
            <w:r>
              <w:t xml:space="preserve"> 护</w:t>
            </w:r>
          </w:p>
        </w:tc>
        <w:tc>
          <w:tcPr>
            <w:tcW w:w="1356" w:type="dxa"/>
            <w:vAlign w:val="top"/>
          </w:tcPr>
          <w:p w14:paraId="23935D58">
            <w:pPr>
              <w:pStyle w:val="6"/>
              <w:spacing w:before="54" w:line="228" w:lineRule="auto"/>
              <w:ind w:left="155"/>
            </w:pPr>
            <w:r>
              <w:rPr>
                <w:spacing w:val="7"/>
              </w:rPr>
              <w:t>重点防渗区</w:t>
            </w:r>
          </w:p>
        </w:tc>
        <w:tc>
          <w:tcPr>
            <w:tcW w:w="3213" w:type="dxa"/>
            <w:vAlign w:val="top"/>
          </w:tcPr>
          <w:p w14:paraId="4864ECD1">
            <w:pPr>
              <w:spacing w:before="70" w:line="216" w:lineRule="auto"/>
              <w:ind w:left="9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p>
        </w:tc>
        <w:tc>
          <w:tcPr>
            <w:tcW w:w="1356" w:type="dxa"/>
            <w:vAlign w:val="top"/>
          </w:tcPr>
          <w:p w14:paraId="651DAC07">
            <w:pPr>
              <w:pStyle w:val="6"/>
              <w:spacing w:before="53" w:line="232" w:lineRule="auto"/>
              <w:ind w:left="499"/>
            </w:pPr>
            <w:r>
              <w:rPr>
                <w:rFonts w:ascii="Times New Roman" w:hAnsi="Times New Roman" w:eastAsia="Times New Roman" w:cs="Times New Roman"/>
                <w:spacing w:val="-3"/>
              </w:rPr>
              <w:t>3</w:t>
            </w:r>
            <w:r>
              <w:rPr>
                <w:rFonts w:ascii="Times New Roman" w:hAnsi="Times New Roman" w:eastAsia="Times New Roman" w:cs="Times New Roman"/>
                <w:spacing w:val="14"/>
                <w:w w:val="101"/>
              </w:rPr>
              <w:t xml:space="preserve"> </w:t>
            </w:r>
            <w:r>
              <w:rPr>
                <w:spacing w:val="-3"/>
              </w:rPr>
              <w:t>处</w:t>
            </w:r>
          </w:p>
        </w:tc>
        <w:tc>
          <w:tcPr>
            <w:tcW w:w="1812" w:type="dxa"/>
            <w:vAlign w:val="top"/>
          </w:tcPr>
          <w:p w14:paraId="23F8EB86">
            <w:pPr>
              <w:spacing w:before="85"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5DE4406C">
            <w:pPr>
              <w:spacing w:before="85"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377BDC7C">
            <w:pPr>
              <w:spacing w:before="85" w:line="199"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54" w:type="dxa"/>
            <w:vAlign w:val="top"/>
          </w:tcPr>
          <w:p w14:paraId="26A70E6F">
            <w:pPr>
              <w:pStyle w:val="6"/>
              <w:spacing w:before="53" w:line="228" w:lineRule="auto"/>
              <w:ind w:left="855"/>
            </w:pPr>
            <w:r>
              <w:rPr>
                <w:spacing w:val="7"/>
              </w:rPr>
              <w:t>符合环评要求</w:t>
            </w:r>
          </w:p>
        </w:tc>
      </w:tr>
      <w:tr w14:paraId="54F7C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8" w:type="dxa"/>
            <w:vMerge w:val="continue"/>
            <w:tcBorders>
              <w:top w:val="nil"/>
              <w:bottom w:val="nil"/>
            </w:tcBorders>
            <w:vAlign w:val="top"/>
          </w:tcPr>
          <w:p w14:paraId="1344BC7A">
            <w:pPr>
              <w:rPr>
                <w:rFonts w:ascii="Arial"/>
                <w:sz w:val="21"/>
              </w:rPr>
            </w:pPr>
          </w:p>
        </w:tc>
        <w:tc>
          <w:tcPr>
            <w:tcW w:w="1356" w:type="dxa"/>
            <w:vAlign w:val="top"/>
          </w:tcPr>
          <w:p w14:paraId="55B3AE16">
            <w:pPr>
              <w:pStyle w:val="6"/>
              <w:spacing w:before="54" w:line="228" w:lineRule="auto"/>
              <w:ind w:left="158"/>
            </w:pPr>
            <w:r>
              <w:rPr>
                <w:spacing w:val="7"/>
              </w:rPr>
              <w:t>一般防渗区</w:t>
            </w:r>
          </w:p>
        </w:tc>
        <w:tc>
          <w:tcPr>
            <w:tcW w:w="3213" w:type="dxa"/>
            <w:vAlign w:val="top"/>
          </w:tcPr>
          <w:p w14:paraId="71BF7CED">
            <w:pPr>
              <w:spacing w:before="72" w:line="214" w:lineRule="auto"/>
              <w:ind w:left="10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K≤1×10</w:t>
            </w:r>
            <w:r>
              <w:rPr>
                <w:rFonts w:ascii="Times New Roman" w:hAnsi="Times New Roman" w:eastAsia="Times New Roman" w:cs="Times New Roman"/>
                <w:spacing w:val="5"/>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/s</w:t>
            </w:r>
          </w:p>
        </w:tc>
        <w:tc>
          <w:tcPr>
            <w:tcW w:w="1356" w:type="dxa"/>
            <w:vAlign w:val="top"/>
          </w:tcPr>
          <w:p w14:paraId="56A882CB">
            <w:pPr>
              <w:pStyle w:val="6"/>
              <w:spacing w:before="54" w:line="232" w:lineRule="auto"/>
              <w:ind w:left="498"/>
            </w:pPr>
            <w:r>
              <w:rPr>
                <w:rFonts w:ascii="Times New Roman" w:hAnsi="Times New Roman" w:eastAsia="Times New Roman" w:cs="Times New Roman"/>
                <w:spacing w:val="-2"/>
              </w:rPr>
              <w:t>9</w:t>
            </w:r>
            <w:r>
              <w:rPr>
                <w:rFonts w:ascii="Times New Roman" w:hAnsi="Times New Roman" w:eastAsia="Times New Roman" w:cs="Times New Roman"/>
                <w:spacing w:val="13"/>
                <w:w w:val="101"/>
              </w:rPr>
              <w:t xml:space="preserve"> </w:t>
            </w:r>
            <w:r>
              <w:rPr>
                <w:spacing w:val="-2"/>
              </w:rPr>
              <w:t>处</w:t>
            </w:r>
          </w:p>
        </w:tc>
        <w:tc>
          <w:tcPr>
            <w:tcW w:w="1812" w:type="dxa"/>
            <w:vAlign w:val="top"/>
          </w:tcPr>
          <w:p w14:paraId="31DD6C55">
            <w:pPr>
              <w:spacing w:before="86"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45807E1B">
            <w:pPr>
              <w:spacing w:before="86"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3BCADB7D">
            <w:pPr>
              <w:spacing w:before="86" w:line="199"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54" w:type="dxa"/>
            <w:vAlign w:val="top"/>
          </w:tcPr>
          <w:p w14:paraId="59C4C06A">
            <w:pPr>
              <w:pStyle w:val="6"/>
              <w:spacing w:before="53" w:line="228" w:lineRule="auto"/>
              <w:ind w:left="855"/>
            </w:pPr>
            <w:r>
              <w:rPr>
                <w:spacing w:val="7"/>
              </w:rPr>
              <w:t>符合环评要求</w:t>
            </w:r>
          </w:p>
        </w:tc>
      </w:tr>
      <w:tr w14:paraId="53C0F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18" w:type="dxa"/>
            <w:vMerge w:val="continue"/>
            <w:tcBorders>
              <w:top w:val="nil"/>
            </w:tcBorders>
            <w:vAlign w:val="top"/>
          </w:tcPr>
          <w:p w14:paraId="7697D940">
            <w:pPr>
              <w:rPr>
                <w:rFonts w:ascii="Arial"/>
                <w:sz w:val="21"/>
              </w:rPr>
            </w:pPr>
          </w:p>
        </w:tc>
        <w:tc>
          <w:tcPr>
            <w:tcW w:w="1356" w:type="dxa"/>
            <w:vAlign w:val="top"/>
          </w:tcPr>
          <w:p w14:paraId="3CA70716">
            <w:pPr>
              <w:pStyle w:val="6"/>
              <w:spacing w:before="54" w:line="227" w:lineRule="auto"/>
              <w:ind w:left="159"/>
            </w:pPr>
            <w:r>
              <w:rPr>
                <w:spacing w:val="7"/>
              </w:rPr>
              <w:t>简单防渗区</w:t>
            </w:r>
          </w:p>
        </w:tc>
        <w:tc>
          <w:tcPr>
            <w:tcW w:w="3213" w:type="dxa"/>
            <w:vAlign w:val="top"/>
          </w:tcPr>
          <w:p w14:paraId="3C8FF9C9">
            <w:pPr>
              <w:pStyle w:val="6"/>
              <w:spacing w:before="54" w:line="229" w:lineRule="auto"/>
              <w:ind w:left="983"/>
            </w:pPr>
            <w:r>
              <w:rPr>
                <w:spacing w:val="7"/>
              </w:rPr>
              <w:t>一般地面硬化</w:t>
            </w:r>
          </w:p>
        </w:tc>
        <w:tc>
          <w:tcPr>
            <w:tcW w:w="1356" w:type="dxa"/>
            <w:vAlign w:val="top"/>
          </w:tcPr>
          <w:p w14:paraId="7EF43ECD">
            <w:pPr>
              <w:pStyle w:val="6"/>
              <w:spacing w:before="54" w:line="232" w:lineRule="auto"/>
              <w:ind w:left="515"/>
            </w:pPr>
            <w:r>
              <w:rPr>
                <w:rFonts w:ascii="Times New Roman" w:hAnsi="Times New Roman" w:eastAsia="Times New Roman" w:cs="Times New Roman"/>
                <w:spacing w:val="-10"/>
              </w:rPr>
              <w:t>1</w:t>
            </w:r>
            <w:r>
              <w:rPr>
                <w:rFonts w:ascii="Times New Roman" w:hAnsi="Times New Roman" w:eastAsia="Times New Roman" w:cs="Times New Roman"/>
                <w:spacing w:val="13"/>
                <w:w w:val="101"/>
              </w:rPr>
              <w:t xml:space="preserve"> </w:t>
            </w:r>
            <w:r>
              <w:rPr>
                <w:spacing w:val="-10"/>
              </w:rPr>
              <w:t>处</w:t>
            </w:r>
          </w:p>
        </w:tc>
        <w:tc>
          <w:tcPr>
            <w:tcW w:w="1812" w:type="dxa"/>
            <w:vAlign w:val="top"/>
          </w:tcPr>
          <w:p w14:paraId="0370AD94">
            <w:pPr>
              <w:spacing w:before="86" w:line="199"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38" w:type="dxa"/>
            <w:vAlign w:val="top"/>
          </w:tcPr>
          <w:p w14:paraId="7B241C19">
            <w:pPr>
              <w:spacing w:before="86" w:line="199"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32" w:type="dxa"/>
            <w:vAlign w:val="top"/>
          </w:tcPr>
          <w:p w14:paraId="1925D847">
            <w:pPr>
              <w:spacing w:before="86" w:line="199"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954" w:type="dxa"/>
            <w:vAlign w:val="top"/>
          </w:tcPr>
          <w:p w14:paraId="3BC411A4">
            <w:pPr>
              <w:pStyle w:val="6"/>
              <w:spacing w:before="54" w:line="228" w:lineRule="auto"/>
              <w:ind w:left="855"/>
            </w:pPr>
            <w:r>
              <w:rPr>
                <w:spacing w:val="7"/>
              </w:rPr>
              <w:t>符合环评要求</w:t>
            </w:r>
          </w:p>
        </w:tc>
      </w:tr>
    </w:tbl>
    <w:p w14:paraId="5B20958A">
      <w:pPr>
        <w:pStyle w:val="2"/>
      </w:pPr>
    </w:p>
    <w:p w14:paraId="110DF3BD">
      <w:pPr>
        <w:sectPr>
          <w:footerReference r:id="rId429" w:type="default"/>
          <w:pgSz w:w="16839" w:h="11906"/>
          <w:pgMar w:top="1208" w:right="1327" w:bottom="1358" w:left="1326" w:header="825" w:footer="1195" w:gutter="0"/>
          <w:cols w:space="720" w:num="1"/>
        </w:sectPr>
      </w:pPr>
    </w:p>
    <w:p w14:paraId="58B5253A">
      <w:pPr>
        <w:pStyle w:val="2"/>
        <w:spacing w:line="265" w:lineRule="auto"/>
      </w:pPr>
    </w:p>
    <w:p w14:paraId="605DD6D1">
      <w:pPr>
        <w:spacing w:before="78" w:line="220" w:lineRule="auto"/>
        <w:ind w:left="725"/>
        <w:outlineLvl w:val="2"/>
        <w:rPr>
          <w:rFonts w:ascii="宋体" w:hAnsi="宋体" w:eastAsia="宋体" w:cs="宋体"/>
          <w:sz w:val="24"/>
          <w:szCs w:val="24"/>
        </w:rPr>
      </w:pPr>
      <w:bookmarkStart w:id="194" w:name="bookmark172"/>
      <w:bookmarkEnd w:id="194"/>
      <w:r>
        <w:rPr>
          <w:rFonts w:ascii="Times New Roman" w:hAnsi="Times New Roman" w:eastAsia="Times New Roman" w:cs="Times New Roman"/>
          <w:b/>
          <w:bCs/>
          <w:spacing w:val="-3"/>
          <w:sz w:val="24"/>
          <w:szCs w:val="24"/>
        </w:rPr>
        <w:t xml:space="preserve">12.2.4 </w:t>
      </w:r>
      <w:r>
        <w:rPr>
          <w:rFonts w:ascii="宋体" w:hAnsi="宋体" w:eastAsia="宋体" w:cs="宋体"/>
          <w:b/>
          <w:bCs/>
          <w:spacing w:val="-3"/>
          <w:sz w:val="24"/>
          <w:szCs w:val="24"/>
        </w:rPr>
        <w:t>监测方案制定</w:t>
      </w:r>
    </w:p>
    <w:p w14:paraId="268F198F">
      <w:pPr>
        <w:spacing w:before="181" w:line="360" w:lineRule="auto"/>
        <w:ind w:left="239" w:right="228" w:firstLine="479"/>
        <w:jc w:val="both"/>
        <w:rPr>
          <w:rFonts w:ascii="宋体" w:hAnsi="宋体" w:eastAsia="宋体" w:cs="宋体"/>
          <w:sz w:val="24"/>
          <w:szCs w:val="24"/>
        </w:rPr>
      </w:pPr>
      <w:r>
        <w:rPr>
          <w:rFonts w:ascii="宋体" w:hAnsi="宋体" w:eastAsia="宋体" w:cs="宋体"/>
          <w:spacing w:val="-3"/>
          <w:sz w:val="24"/>
          <w:szCs w:val="24"/>
        </w:rPr>
        <w:t>对生产过程中产生的废气、废水和噪声进行监测，并对主要固体废</w:t>
      </w:r>
      <w:r>
        <w:rPr>
          <w:rFonts w:ascii="宋体" w:hAnsi="宋体" w:eastAsia="宋体" w:cs="宋体"/>
          <w:spacing w:val="-4"/>
          <w:sz w:val="24"/>
          <w:szCs w:val="24"/>
        </w:rPr>
        <w:t>物进行成</w:t>
      </w:r>
      <w:r>
        <w:rPr>
          <w:rFonts w:ascii="宋体" w:hAnsi="宋体" w:eastAsia="宋体" w:cs="宋体"/>
          <w:sz w:val="24"/>
          <w:szCs w:val="24"/>
        </w:rPr>
        <w:t xml:space="preserve"> </w:t>
      </w:r>
      <w:r>
        <w:rPr>
          <w:rFonts w:ascii="宋体" w:hAnsi="宋体" w:eastAsia="宋体" w:cs="宋体"/>
          <w:spacing w:val="-3"/>
          <w:sz w:val="24"/>
          <w:szCs w:val="24"/>
        </w:rPr>
        <w:t>分分析，同时对项目区及周围环境空气质量进行相应的监测。根据有关监测技术</w:t>
      </w:r>
      <w:r>
        <w:rPr>
          <w:rFonts w:ascii="宋体" w:hAnsi="宋体" w:eastAsia="宋体" w:cs="宋体"/>
          <w:spacing w:val="1"/>
          <w:sz w:val="24"/>
          <w:szCs w:val="24"/>
        </w:rPr>
        <w:t xml:space="preserve"> </w:t>
      </w:r>
      <w:r>
        <w:rPr>
          <w:rFonts w:ascii="宋体" w:hAnsi="宋体" w:eastAsia="宋体" w:cs="宋体"/>
          <w:spacing w:val="-3"/>
          <w:sz w:val="24"/>
          <w:szCs w:val="24"/>
        </w:rPr>
        <w:t>规范，结合本项目实施后的污染源及污染物排放特点，制定本规划项目实施后生</w:t>
      </w:r>
      <w:r>
        <w:rPr>
          <w:rFonts w:ascii="宋体" w:hAnsi="宋体" w:eastAsia="宋体" w:cs="宋体"/>
          <w:spacing w:val="1"/>
          <w:sz w:val="24"/>
          <w:szCs w:val="24"/>
        </w:rPr>
        <w:t xml:space="preserve"> </w:t>
      </w:r>
      <w:r>
        <w:rPr>
          <w:rFonts w:ascii="宋体" w:hAnsi="宋体" w:eastAsia="宋体" w:cs="宋体"/>
          <w:spacing w:val="-2"/>
          <w:sz w:val="24"/>
          <w:szCs w:val="24"/>
        </w:rPr>
        <w:t>产阶段监测方案。</w:t>
      </w:r>
    </w:p>
    <w:p w14:paraId="6DCEBFE7">
      <w:pPr>
        <w:spacing w:line="220" w:lineRule="auto"/>
        <w:ind w:left="73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）污染源监测</w:t>
      </w:r>
    </w:p>
    <w:p w14:paraId="0CB76B18">
      <w:pPr>
        <w:spacing w:before="183" w:line="330" w:lineRule="auto"/>
        <w:ind w:left="239" w:right="228" w:firstLine="480"/>
        <w:rPr>
          <w:rFonts w:ascii="宋体" w:hAnsi="宋体" w:eastAsia="宋体" w:cs="宋体"/>
          <w:sz w:val="24"/>
          <w:szCs w:val="24"/>
        </w:rPr>
      </w:pPr>
      <w:r>
        <w:rPr>
          <w:rFonts w:ascii="宋体" w:hAnsi="宋体" w:eastAsia="宋体" w:cs="宋体"/>
          <w:spacing w:val="2"/>
          <w:sz w:val="24"/>
          <w:szCs w:val="24"/>
        </w:rPr>
        <w:t>根据《排污单位自行监测技术指南 总则》（</w:t>
      </w:r>
      <w:r>
        <w:rPr>
          <w:rFonts w:ascii="Times New Roman" w:hAnsi="Times New Roman" w:eastAsia="Times New Roman" w:cs="Times New Roman"/>
          <w:sz w:val="24"/>
          <w:szCs w:val="24"/>
        </w:rPr>
        <w:t>HJ</w:t>
      </w:r>
      <w:r>
        <w:rPr>
          <w:rFonts w:ascii="Times New Roman" w:hAnsi="Times New Roman" w:eastAsia="Times New Roman" w:cs="Times New Roman"/>
          <w:spacing w:val="2"/>
          <w:sz w:val="24"/>
          <w:szCs w:val="24"/>
        </w:rPr>
        <w:t>819—2</w:t>
      </w:r>
      <w:r>
        <w:rPr>
          <w:rFonts w:ascii="Times New Roman" w:hAnsi="Times New Roman" w:eastAsia="Times New Roman" w:cs="Times New Roman"/>
          <w:spacing w:val="1"/>
          <w:sz w:val="24"/>
          <w:szCs w:val="24"/>
        </w:rPr>
        <w:t>017</w:t>
      </w:r>
      <w:r>
        <w:rPr>
          <w:rFonts w:ascii="宋体" w:hAnsi="宋体" w:eastAsia="宋体" w:cs="宋体"/>
          <w:spacing w:val="1"/>
          <w:sz w:val="24"/>
          <w:szCs w:val="24"/>
        </w:rPr>
        <w:t>）</w:t>
      </w:r>
      <w:r>
        <w:rPr>
          <w:rFonts w:ascii="宋体" w:hAnsi="宋体" w:eastAsia="宋体" w:cs="宋体"/>
          <w:spacing w:val="-71"/>
          <w:sz w:val="24"/>
          <w:szCs w:val="24"/>
        </w:rPr>
        <w:t xml:space="preserve"> </w:t>
      </w:r>
      <w:r>
        <w:rPr>
          <w:rFonts w:ascii="宋体" w:hAnsi="宋体" w:eastAsia="宋体" w:cs="宋体"/>
          <w:spacing w:val="1"/>
          <w:sz w:val="24"/>
          <w:szCs w:val="24"/>
        </w:rPr>
        <w:t>以及项目特点</w:t>
      </w:r>
      <w:r>
        <w:rPr>
          <w:rFonts w:ascii="宋体" w:hAnsi="宋体" w:eastAsia="宋体" w:cs="宋体"/>
          <w:sz w:val="24"/>
          <w:szCs w:val="24"/>
        </w:rPr>
        <w:t xml:space="preserve"> </w:t>
      </w:r>
      <w:r>
        <w:rPr>
          <w:rFonts w:ascii="宋体" w:hAnsi="宋体" w:eastAsia="宋体" w:cs="宋体"/>
          <w:spacing w:val="-2"/>
          <w:sz w:val="24"/>
          <w:szCs w:val="24"/>
        </w:rPr>
        <w:t>拟定的监测内容见表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12.2-1</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，监测方法采用国家</w:t>
      </w:r>
      <w:r>
        <w:rPr>
          <w:rFonts w:ascii="宋体" w:hAnsi="宋体" w:eastAsia="宋体" w:cs="宋体"/>
          <w:spacing w:val="-3"/>
          <w:sz w:val="24"/>
          <w:szCs w:val="24"/>
        </w:rPr>
        <w:t>标准监测方法。</w:t>
      </w:r>
    </w:p>
    <w:p w14:paraId="6FD28296">
      <w:pPr>
        <w:spacing w:line="211" w:lineRule="auto"/>
        <w:ind w:left="2971"/>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 xml:space="preserve">12.2-2    </w:t>
      </w:r>
      <w:r>
        <w:rPr>
          <w:rFonts w:ascii="宋体" w:hAnsi="宋体" w:eastAsia="宋体" w:cs="宋体"/>
          <w:spacing w:val="-3"/>
          <w:sz w:val="24"/>
          <w:szCs w:val="24"/>
        </w:rPr>
        <w:t>污染源监测方案</w:t>
      </w:r>
    </w:p>
    <w:tbl>
      <w:tblPr>
        <w:tblStyle w:val="5"/>
        <w:tblW w:w="87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1614"/>
        <w:gridCol w:w="2545"/>
        <w:gridCol w:w="1461"/>
        <w:gridCol w:w="2180"/>
      </w:tblGrid>
      <w:tr w14:paraId="55711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59" w:type="dxa"/>
            <w:vAlign w:val="top"/>
          </w:tcPr>
          <w:p w14:paraId="4EE737EB">
            <w:pPr>
              <w:pStyle w:val="6"/>
              <w:spacing w:before="56" w:line="229" w:lineRule="auto"/>
              <w:ind w:left="171"/>
            </w:pPr>
            <w:r>
              <w:rPr>
                <w:spacing w:val="6"/>
              </w:rPr>
              <w:t>监测要</w:t>
            </w:r>
          </w:p>
          <w:p w14:paraId="05442E24">
            <w:pPr>
              <w:pStyle w:val="6"/>
              <w:spacing w:before="63" w:line="228" w:lineRule="auto"/>
              <w:ind w:left="381"/>
            </w:pPr>
            <w:r>
              <w:t>素</w:t>
            </w:r>
          </w:p>
        </w:tc>
        <w:tc>
          <w:tcPr>
            <w:tcW w:w="1614" w:type="dxa"/>
            <w:vAlign w:val="top"/>
          </w:tcPr>
          <w:p w14:paraId="39F260CC">
            <w:pPr>
              <w:pStyle w:val="6"/>
              <w:spacing w:before="212" w:line="229" w:lineRule="auto"/>
              <w:ind w:left="390"/>
            </w:pPr>
            <w:r>
              <w:rPr>
                <w:spacing w:val="7"/>
              </w:rPr>
              <w:t>监测点位</w:t>
            </w:r>
          </w:p>
        </w:tc>
        <w:tc>
          <w:tcPr>
            <w:tcW w:w="2545" w:type="dxa"/>
            <w:vAlign w:val="top"/>
          </w:tcPr>
          <w:p w14:paraId="6AAEF5EC">
            <w:pPr>
              <w:pStyle w:val="6"/>
              <w:spacing w:before="212" w:line="228" w:lineRule="auto"/>
              <w:ind w:left="857"/>
            </w:pPr>
            <w:r>
              <w:rPr>
                <w:spacing w:val="7"/>
              </w:rPr>
              <w:t>监测因子</w:t>
            </w:r>
          </w:p>
        </w:tc>
        <w:tc>
          <w:tcPr>
            <w:tcW w:w="1461" w:type="dxa"/>
            <w:vAlign w:val="top"/>
          </w:tcPr>
          <w:p w14:paraId="29D1AC37">
            <w:pPr>
              <w:pStyle w:val="6"/>
              <w:spacing w:before="212" w:line="228" w:lineRule="auto"/>
              <w:ind w:left="318"/>
            </w:pPr>
            <w:r>
              <w:rPr>
                <w:spacing w:val="7"/>
              </w:rPr>
              <w:t>监测频次</w:t>
            </w:r>
          </w:p>
        </w:tc>
        <w:tc>
          <w:tcPr>
            <w:tcW w:w="2180" w:type="dxa"/>
            <w:vAlign w:val="top"/>
          </w:tcPr>
          <w:p w14:paraId="09C461B1">
            <w:pPr>
              <w:pStyle w:val="6"/>
              <w:spacing w:before="212" w:line="228" w:lineRule="auto"/>
              <w:ind w:left="676"/>
            </w:pPr>
            <w:r>
              <w:rPr>
                <w:spacing w:val="7"/>
              </w:rPr>
              <w:t>执行标准</w:t>
            </w:r>
          </w:p>
        </w:tc>
      </w:tr>
      <w:tr w14:paraId="76F96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59" w:type="dxa"/>
            <w:vMerge w:val="restart"/>
            <w:tcBorders>
              <w:bottom w:val="nil"/>
            </w:tcBorders>
            <w:vAlign w:val="top"/>
          </w:tcPr>
          <w:p w14:paraId="4AB17F86">
            <w:pPr>
              <w:spacing w:line="257" w:lineRule="auto"/>
              <w:rPr>
                <w:rFonts w:ascii="Arial"/>
                <w:sz w:val="21"/>
              </w:rPr>
            </w:pPr>
          </w:p>
          <w:p w14:paraId="1F51FAAF">
            <w:pPr>
              <w:spacing w:line="257" w:lineRule="auto"/>
              <w:rPr>
                <w:rFonts w:ascii="Arial"/>
                <w:sz w:val="21"/>
              </w:rPr>
            </w:pPr>
          </w:p>
          <w:p w14:paraId="4AAD22A9">
            <w:pPr>
              <w:spacing w:line="257" w:lineRule="auto"/>
              <w:rPr>
                <w:rFonts w:ascii="Arial"/>
                <w:sz w:val="21"/>
              </w:rPr>
            </w:pPr>
          </w:p>
          <w:p w14:paraId="2E084C53">
            <w:pPr>
              <w:spacing w:line="257" w:lineRule="auto"/>
              <w:rPr>
                <w:rFonts w:ascii="Arial"/>
                <w:sz w:val="21"/>
              </w:rPr>
            </w:pPr>
          </w:p>
          <w:p w14:paraId="30C29C9B">
            <w:pPr>
              <w:spacing w:line="257" w:lineRule="auto"/>
              <w:rPr>
                <w:rFonts w:ascii="Arial"/>
                <w:sz w:val="21"/>
              </w:rPr>
            </w:pPr>
          </w:p>
          <w:p w14:paraId="2DC5336A">
            <w:pPr>
              <w:spacing w:line="257" w:lineRule="auto"/>
              <w:rPr>
                <w:rFonts w:ascii="Arial"/>
                <w:sz w:val="21"/>
              </w:rPr>
            </w:pPr>
          </w:p>
          <w:p w14:paraId="5085D271">
            <w:pPr>
              <w:pStyle w:val="6"/>
              <w:spacing w:before="65" w:line="228" w:lineRule="auto"/>
              <w:ind w:left="272"/>
            </w:pPr>
            <w:r>
              <w:rPr>
                <w:spacing w:val="5"/>
              </w:rPr>
              <w:t>废气</w:t>
            </w:r>
          </w:p>
        </w:tc>
        <w:tc>
          <w:tcPr>
            <w:tcW w:w="1614" w:type="dxa"/>
            <w:vAlign w:val="top"/>
          </w:tcPr>
          <w:p w14:paraId="0A09F150">
            <w:pPr>
              <w:pStyle w:val="6"/>
              <w:spacing w:before="51" w:line="228" w:lineRule="auto"/>
              <w:ind w:left="181"/>
            </w:pPr>
            <w:r>
              <w:rPr>
                <w:spacing w:val="8"/>
              </w:rPr>
              <w:t>粗碎车间排气</w:t>
            </w:r>
          </w:p>
          <w:p w14:paraId="563CA658">
            <w:pPr>
              <w:pStyle w:val="6"/>
              <w:spacing w:before="64" w:line="228" w:lineRule="auto"/>
              <w:ind w:left="630"/>
              <w:rPr>
                <w:rFonts w:ascii="Times New Roman" w:hAnsi="Times New Roman" w:eastAsia="Times New Roman" w:cs="Times New Roman"/>
              </w:rPr>
            </w:pPr>
            <w:r>
              <w:rPr>
                <w:spacing w:val="-2"/>
              </w:rPr>
              <w:t>筒</w:t>
            </w:r>
            <w:r>
              <w:rPr>
                <w:spacing w:val="-23"/>
              </w:rPr>
              <w:t xml:space="preserve"> </w:t>
            </w:r>
            <w:r>
              <w:rPr>
                <w:rFonts w:ascii="Times New Roman" w:hAnsi="Times New Roman" w:eastAsia="Times New Roman" w:cs="Times New Roman"/>
                <w:spacing w:val="-2"/>
              </w:rPr>
              <w:t>1</w:t>
            </w:r>
          </w:p>
        </w:tc>
        <w:tc>
          <w:tcPr>
            <w:tcW w:w="2545" w:type="dxa"/>
            <w:vAlign w:val="top"/>
          </w:tcPr>
          <w:p w14:paraId="49F0258F">
            <w:pPr>
              <w:pStyle w:val="6"/>
              <w:spacing w:before="208" w:line="228" w:lineRule="auto"/>
              <w:ind w:left="961"/>
            </w:pPr>
            <w:r>
              <w:rPr>
                <w:spacing w:val="7"/>
              </w:rPr>
              <w:t>颗粒物</w:t>
            </w:r>
          </w:p>
        </w:tc>
        <w:tc>
          <w:tcPr>
            <w:tcW w:w="1461" w:type="dxa"/>
            <w:vMerge w:val="restart"/>
            <w:tcBorders>
              <w:bottom w:val="nil"/>
            </w:tcBorders>
            <w:vAlign w:val="top"/>
          </w:tcPr>
          <w:p w14:paraId="004D1320">
            <w:pPr>
              <w:spacing w:line="297" w:lineRule="auto"/>
              <w:rPr>
                <w:rFonts w:ascii="Arial"/>
                <w:sz w:val="21"/>
              </w:rPr>
            </w:pPr>
          </w:p>
          <w:p w14:paraId="4E780091">
            <w:pPr>
              <w:pStyle w:val="6"/>
              <w:spacing w:before="65" w:line="288" w:lineRule="auto"/>
              <w:ind w:left="202" w:right="33" w:hanging="88"/>
            </w:pPr>
            <w:r>
              <w:rPr>
                <w:spacing w:val="-9"/>
              </w:rPr>
              <w:t>每年</w:t>
            </w:r>
            <w:r>
              <w:rPr>
                <w:spacing w:val="-21"/>
              </w:rPr>
              <w:t xml:space="preserve"> </w:t>
            </w:r>
            <w:r>
              <w:rPr>
                <w:rFonts w:ascii="Times New Roman" w:hAnsi="Times New Roman" w:eastAsia="Times New Roman" w:cs="Times New Roman"/>
                <w:spacing w:val="-9"/>
              </w:rPr>
              <w:t>1</w:t>
            </w:r>
            <w:r>
              <w:rPr>
                <w:spacing w:val="-9"/>
              </w:rPr>
              <w:t>、</w:t>
            </w:r>
            <w:r>
              <w:rPr>
                <w:rFonts w:ascii="Times New Roman" w:hAnsi="Times New Roman" w:eastAsia="Times New Roman" w:cs="Times New Roman"/>
                <w:spacing w:val="-9"/>
              </w:rPr>
              <w:t>4</w:t>
            </w:r>
            <w:r>
              <w:rPr>
                <w:spacing w:val="-9"/>
              </w:rPr>
              <w:t>、</w:t>
            </w:r>
            <w:r>
              <w:rPr>
                <w:rFonts w:ascii="Times New Roman" w:hAnsi="Times New Roman" w:eastAsia="Times New Roman" w:cs="Times New Roman"/>
                <w:spacing w:val="-9"/>
              </w:rPr>
              <w:t>7</w:t>
            </w:r>
            <w:r>
              <w:rPr>
                <w:spacing w:val="-9"/>
              </w:rPr>
              <w:t>、</w:t>
            </w:r>
            <w: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4"/>
                <w:w w:val="101"/>
              </w:rPr>
              <w:t xml:space="preserve"> </w:t>
            </w:r>
            <w:r>
              <w:rPr>
                <w:spacing w:val="2"/>
              </w:rPr>
              <w:t>月监测一</w:t>
            </w:r>
          </w:p>
          <w:p w14:paraId="1D834031">
            <w:pPr>
              <w:pStyle w:val="6"/>
              <w:spacing w:line="227" w:lineRule="auto"/>
              <w:ind w:left="638"/>
            </w:pPr>
            <w:r>
              <w:t>次</w:t>
            </w:r>
          </w:p>
        </w:tc>
        <w:tc>
          <w:tcPr>
            <w:tcW w:w="2180" w:type="dxa"/>
            <w:vMerge w:val="restart"/>
            <w:tcBorders>
              <w:bottom w:val="nil"/>
            </w:tcBorders>
            <w:vAlign w:val="top"/>
          </w:tcPr>
          <w:p w14:paraId="1E3CF4AF">
            <w:pPr>
              <w:pStyle w:val="6"/>
              <w:spacing w:before="52" w:line="288" w:lineRule="auto"/>
              <w:ind w:left="570" w:right="143" w:hanging="414"/>
            </w:pPr>
            <w:r>
              <w:rPr>
                <w:spacing w:val="8"/>
              </w:rPr>
              <w:t>《铅、锌工业污染物</w:t>
            </w:r>
            <w:r>
              <w:rPr>
                <w:spacing w:val="2"/>
              </w:rPr>
              <w:t xml:space="preserve"> </w:t>
            </w:r>
            <w:r>
              <w:rPr>
                <w:spacing w:val="5"/>
              </w:rPr>
              <w:t>排放标准》</w:t>
            </w:r>
          </w:p>
          <w:p w14:paraId="573BC7BD">
            <w:pPr>
              <w:pStyle w:val="6"/>
              <w:spacing w:line="227" w:lineRule="auto"/>
              <w:ind w:left="13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）车</w:t>
            </w:r>
          </w:p>
          <w:p w14:paraId="62D7C105">
            <w:pPr>
              <w:pStyle w:val="6"/>
              <w:spacing w:before="64" w:line="228" w:lineRule="auto"/>
              <w:ind w:left="167"/>
            </w:pPr>
            <w:r>
              <w:rPr>
                <w:spacing w:val="7"/>
              </w:rPr>
              <w:t>间或生产设施排气筒</w:t>
            </w:r>
          </w:p>
          <w:p w14:paraId="20885BB5">
            <w:pPr>
              <w:pStyle w:val="6"/>
              <w:spacing w:before="65" w:line="228" w:lineRule="auto"/>
              <w:ind w:left="363"/>
            </w:pPr>
            <w:r>
              <w:rPr>
                <w:spacing w:val="8"/>
              </w:rPr>
              <w:t>污染物浓度限值</w:t>
            </w:r>
          </w:p>
        </w:tc>
      </w:tr>
      <w:tr w14:paraId="48609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959" w:type="dxa"/>
            <w:vMerge w:val="continue"/>
            <w:tcBorders>
              <w:top w:val="nil"/>
              <w:bottom w:val="nil"/>
            </w:tcBorders>
            <w:vAlign w:val="top"/>
          </w:tcPr>
          <w:p w14:paraId="445F06E3">
            <w:pPr>
              <w:rPr>
                <w:rFonts w:ascii="Arial"/>
                <w:sz w:val="21"/>
              </w:rPr>
            </w:pPr>
          </w:p>
        </w:tc>
        <w:tc>
          <w:tcPr>
            <w:tcW w:w="1614" w:type="dxa"/>
            <w:vAlign w:val="top"/>
          </w:tcPr>
          <w:p w14:paraId="37B99B06">
            <w:pPr>
              <w:pStyle w:val="6"/>
              <w:spacing w:before="203" w:line="228" w:lineRule="auto"/>
              <w:ind w:left="200"/>
            </w:pPr>
            <w:r>
              <w:rPr>
                <w:spacing w:val="4"/>
              </w:rPr>
              <w:t>中间堆场排气</w:t>
            </w:r>
          </w:p>
          <w:p w14:paraId="4D3400CA">
            <w:pPr>
              <w:pStyle w:val="6"/>
              <w:spacing w:before="64" w:line="228" w:lineRule="auto"/>
              <w:ind w:left="630"/>
              <w:rPr>
                <w:rFonts w:ascii="Times New Roman" w:hAnsi="Times New Roman" w:eastAsia="Times New Roman" w:cs="Times New Roman"/>
              </w:rPr>
            </w:pPr>
            <w:r>
              <w:rPr>
                <w:spacing w:val="-2"/>
              </w:rPr>
              <w:t>筒</w:t>
            </w:r>
            <w:r>
              <w:rPr>
                <w:spacing w:val="-43"/>
              </w:rPr>
              <w:t xml:space="preserve"> </w:t>
            </w:r>
            <w:r>
              <w:rPr>
                <w:rFonts w:ascii="Times New Roman" w:hAnsi="Times New Roman" w:eastAsia="Times New Roman" w:cs="Times New Roman"/>
                <w:spacing w:val="-2"/>
              </w:rPr>
              <w:t>2</w:t>
            </w:r>
          </w:p>
        </w:tc>
        <w:tc>
          <w:tcPr>
            <w:tcW w:w="2545" w:type="dxa"/>
            <w:vAlign w:val="top"/>
          </w:tcPr>
          <w:p w14:paraId="14F3CB65">
            <w:pPr>
              <w:spacing w:line="292" w:lineRule="auto"/>
              <w:rPr>
                <w:rFonts w:ascii="Arial"/>
                <w:sz w:val="21"/>
              </w:rPr>
            </w:pPr>
          </w:p>
          <w:p w14:paraId="53DC3BED">
            <w:pPr>
              <w:pStyle w:val="6"/>
              <w:spacing w:before="65" w:line="228" w:lineRule="auto"/>
              <w:ind w:left="961"/>
            </w:pPr>
            <w:r>
              <w:rPr>
                <w:spacing w:val="7"/>
              </w:rPr>
              <w:t>颗粒物</w:t>
            </w:r>
          </w:p>
        </w:tc>
        <w:tc>
          <w:tcPr>
            <w:tcW w:w="1461" w:type="dxa"/>
            <w:vMerge w:val="continue"/>
            <w:tcBorders>
              <w:top w:val="nil"/>
            </w:tcBorders>
            <w:vAlign w:val="top"/>
          </w:tcPr>
          <w:p w14:paraId="5BC396C2">
            <w:pPr>
              <w:rPr>
                <w:rFonts w:ascii="Arial"/>
                <w:sz w:val="21"/>
              </w:rPr>
            </w:pPr>
          </w:p>
        </w:tc>
        <w:tc>
          <w:tcPr>
            <w:tcW w:w="2180" w:type="dxa"/>
            <w:vMerge w:val="continue"/>
            <w:tcBorders>
              <w:top w:val="nil"/>
            </w:tcBorders>
            <w:vAlign w:val="top"/>
          </w:tcPr>
          <w:p w14:paraId="2D123A60">
            <w:pPr>
              <w:rPr>
                <w:rFonts w:ascii="Arial"/>
                <w:sz w:val="21"/>
              </w:rPr>
            </w:pPr>
          </w:p>
        </w:tc>
      </w:tr>
      <w:tr w14:paraId="16F5B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959" w:type="dxa"/>
            <w:vMerge w:val="continue"/>
            <w:tcBorders>
              <w:top w:val="nil"/>
            </w:tcBorders>
            <w:vAlign w:val="top"/>
          </w:tcPr>
          <w:p w14:paraId="19E6E5D4">
            <w:pPr>
              <w:rPr>
                <w:rFonts w:ascii="Arial"/>
                <w:sz w:val="21"/>
              </w:rPr>
            </w:pPr>
          </w:p>
        </w:tc>
        <w:tc>
          <w:tcPr>
            <w:tcW w:w="1614" w:type="dxa"/>
            <w:vAlign w:val="top"/>
          </w:tcPr>
          <w:p w14:paraId="283EC648">
            <w:pPr>
              <w:spacing w:line="303" w:lineRule="auto"/>
              <w:rPr>
                <w:rFonts w:ascii="Arial"/>
                <w:sz w:val="21"/>
              </w:rPr>
            </w:pPr>
          </w:p>
          <w:p w14:paraId="19ABB891">
            <w:pPr>
              <w:spacing w:line="304" w:lineRule="auto"/>
              <w:rPr>
                <w:rFonts w:ascii="Arial"/>
                <w:sz w:val="21"/>
              </w:rPr>
            </w:pPr>
          </w:p>
          <w:p w14:paraId="12D6BD6B">
            <w:pPr>
              <w:pStyle w:val="6"/>
              <w:spacing w:before="65" w:line="228" w:lineRule="auto"/>
              <w:ind w:left="183"/>
            </w:pPr>
            <w:r>
              <w:rPr>
                <w:spacing w:val="7"/>
              </w:rPr>
              <w:t>厂界无组织排</w:t>
            </w:r>
          </w:p>
          <w:p w14:paraId="52288AB9">
            <w:pPr>
              <w:pStyle w:val="6"/>
              <w:spacing w:before="64" w:line="229" w:lineRule="auto"/>
              <w:ind w:left="706"/>
            </w:pPr>
            <w:r>
              <w:t>放</w:t>
            </w:r>
          </w:p>
        </w:tc>
        <w:tc>
          <w:tcPr>
            <w:tcW w:w="2545" w:type="dxa"/>
            <w:vAlign w:val="top"/>
          </w:tcPr>
          <w:p w14:paraId="5796F7C5">
            <w:pPr>
              <w:spacing w:line="254" w:lineRule="auto"/>
              <w:rPr>
                <w:rFonts w:ascii="Arial"/>
                <w:sz w:val="21"/>
              </w:rPr>
            </w:pPr>
          </w:p>
          <w:p w14:paraId="26442B96">
            <w:pPr>
              <w:spacing w:line="254" w:lineRule="auto"/>
              <w:rPr>
                <w:rFonts w:ascii="Arial"/>
                <w:sz w:val="21"/>
              </w:rPr>
            </w:pPr>
          </w:p>
          <w:p w14:paraId="1A00BC62">
            <w:pPr>
              <w:spacing w:line="254" w:lineRule="auto"/>
              <w:rPr>
                <w:rFonts w:ascii="Arial"/>
                <w:sz w:val="21"/>
              </w:rPr>
            </w:pPr>
          </w:p>
          <w:p w14:paraId="28037EB1">
            <w:pPr>
              <w:pStyle w:val="6"/>
              <w:spacing w:before="65" w:line="228" w:lineRule="auto"/>
              <w:ind w:left="752"/>
            </w:pPr>
            <w:r>
              <w:rPr>
                <w:spacing w:val="8"/>
              </w:rPr>
              <w:t>颗粒物、铅</w:t>
            </w:r>
          </w:p>
        </w:tc>
        <w:tc>
          <w:tcPr>
            <w:tcW w:w="1461" w:type="dxa"/>
            <w:vAlign w:val="top"/>
          </w:tcPr>
          <w:p w14:paraId="168AFABD">
            <w:pPr>
              <w:spacing w:line="451" w:lineRule="auto"/>
              <w:rPr>
                <w:rFonts w:ascii="Arial"/>
                <w:sz w:val="21"/>
              </w:rPr>
            </w:pPr>
          </w:p>
          <w:p w14:paraId="4BA0315B">
            <w:pPr>
              <w:pStyle w:val="6"/>
              <w:spacing w:before="65" w:line="288" w:lineRule="auto"/>
              <w:ind w:left="202" w:right="33" w:hanging="88"/>
            </w:pPr>
            <w:r>
              <w:rPr>
                <w:spacing w:val="-9"/>
              </w:rPr>
              <w:t>每年</w:t>
            </w:r>
            <w:r>
              <w:rPr>
                <w:spacing w:val="-21"/>
              </w:rPr>
              <w:t xml:space="preserve"> </w:t>
            </w:r>
            <w:r>
              <w:rPr>
                <w:rFonts w:ascii="Times New Roman" w:hAnsi="Times New Roman" w:eastAsia="Times New Roman" w:cs="Times New Roman"/>
                <w:spacing w:val="-9"/>
              </w:rPr>
              <w:t>1</w:t>
            </w:r>
            <w:r>
              <w:rPr>
                <w:spacing w:val="-9"/>
              </w:rPr>
              <w:t>、</w:t>
            </w:r>
            <w:r>
              <w:rPr>
                <w:rFonts w:ascii="Times New Roman" w:hAnsi="Times New Roman" w:eastAsia="Times New Roman" w:cs="Times New Roman"/>
                <w:spacing w:val="-9"/>
              </w:rPr>
              <w:t>4</w:t>
            </w:r>
            <w:r>
              <w:rPr>
                <w:spacing w:val="-9"/>
              </w:rPr>
              <w:t>、</w:t>
            </w:r>
            <w:r>
              <w:rPr>
                <w:rFonts w:ascii="Times New Roman" w:hAnsi="Times New Roman" w:eastAsia="Times New Roman" w:cs="Times New Roman"/>
                <w:spacing w:val="-9"/>
              </w:rPr>
              <w:t>7</w:t>
            </w:r>
            <w:r>
              <w:rPr>
                <w:spacing w:val="-9"/>
              </w:rPr>
              <w:t>、</w:t>
            </w:r>
            <w: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4"/>
                <w:w w:val="101"/>
              </w:rPr>
              <w:t xml:space="preserve"> </w:t>
            </w:r>
            <w:r>
              <w:rPr>
                <w:spacing w:val="2"/>
              </w:rPr>
              <w:t>月监测一</w:t>
            </w:r>
          </w:p>
          <w:p w14:paraId="0C46714E">
            <w:pPr>
              <w:pStyle w:val="6"/>
              <w:spacing w:line="227" w:lineRule="auto"/>
              <w:ind w:left="638"/>
            </w:pPr>
            <w:r>
              <w:t>次</w:t>
            </w:r>
          </w:p>
        </w:tc>
        <w:tc>
          <w:tcPr>
            <w:tcW w:w="2180" w:type="dxa"/>
            <w:vAlign w:val="top"/>
          </w:tcPr>
          <w:p w14:paraId="07154BB6">
            <w:pPr>
              <w:pStyle w:val="6"/>
              <w:spacing w:before="51" w:line="288" w:lineRule="auto"/>
              <w:ind w:left="570" w:right="143" w:hanging="414"/>
            </w:pPr>
            <w:r>
              <w:rPr>
                <w:spacing w:val="8"/>
              </w:rPr>
              <w:t>《铅、锌工业污染物</w:t>
            </w:r>
            <w:r>
              <w:rPr>
                <w:spacing w:val="2"/>
              </w:rPr>
              <w:t xml:space="preserve"> </w:t>
            </w:r>
            <w:r>
              <w:rPr>
                <w:spacing w:val="5"/>
              </w:rPr>
              <w:t>排放标准》</w:t>
            </w:r>
          </w:p>
          <w:p w14:paraId="200F6CE3">
            <w:pPr>
              <w:pStyle w:val="6"/>
              <w:spacing w:line="228" w:lineRule="auto"/>
              <w:ind w:left="13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）新</w:t>
            </w:r>
          </w:p>
          <w:p w14:paraId="7718D649">
            <w:pPr>
              <w:pStyle w:val="6"/>
              <w:spacing w:before="64" w:line="228" w:lineRule="auto"/>
              <w:ind w:left="153"/>
            </w:pPr>
            <w:r>
              <w:rPr>
                <w:spacing w:val="8"/>
              </w:rPr>
              <w:t>建企业边界大气污染</w:t>
            </w:r>
          </w:p>
          <w:p w14:paraId="222089EC">
            <w:pPr>
              <w:pStyle w:val="6"/>
              <w:spacing w:before="64" w:line="228" w:lineRule="auto"/>
              <w:ind w:left="150"/>
            </w:pPr>
            <w:r>
              <w:rPr>
                <w:spacing w:val="8"/>
              </w:rPr>
              <w:t>物浓度限值，总悬浮</w:t>
            </w:r>
          </w:p>
          <w:p w14:paraId="7DE17C8E">
            <w:pPr>
              <w:pStyle w:val="6"/>
              <w:spacing w:before="65" w:line="221" w:lineRule="auto"/>
              <w:ind w:left="317"/>
              <w:rPr>
                <w:rFonts w:ascii="Times New Roman" w:hAnsi="Times New Roman" w:eastAsia="Times New Roman" w:cs="Times New Roman"/>
                <w:sz w:val="13"/>
                <w:szCs w:val="13"/>
              </w:rPr>
            </w:pPr>
            <w:r>
              <w:rPr>
                <w:spacing w:val="3"/>
              </w:rPr>
              <w:t>颗粒物</w:t>
            </w:r>
            <w:r>
              <w:rPr>
                <w:spacing w:val="-16"/>
              </w:rPr>
              <w:t xml:space="preserve"> </w:t>
            </w:r>
            <w:r>
              <w:rPr>
                <w:rFonts w:ascii="Times New Roman" w:hAnsi="Times New Roman" w:eastAsia="Times New Roman" w:cs="Times New Roman"/>
                <w:spacing w:val="3"/>
              </w:rPr>
              <w:t xml:space="preserve">1.0 </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p>
        </w:tc>
      </w:tr>
      <w:tr w14:paraId="2B3B0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959" w:type="dxa"/>
            <w:vMerge w:val="restart"/>
            <w:tcBorders>
              <w:bottom w:val="nil"/>
            </w:tcBorders>
            <w:vAlign w:val="top"/>
          </w:tcPr>
          <w:p w14:paraId="1F821B42">
            <w:pPr>
              <w:spacing w:line="246" w:lineRule="auto"/>
              <w:rPr>
                <w:rFonts w:ascii="Arial"/>
                <w:sz w:val="21"/>
              </w:rPr>
            </w:pPr>
          </w:p>
          <w:p w14:paraId="1256C9B5">
            <w:pPr>
              <w:spacing w:line="247" w:lineRule="auto"/>
              <w:rPr>
                <w:rFonts w:ascii="Arial"/>
                <w:sz w:val="21"/>
              </w:rPr>
            </w:pPr>
          </w:p>
          <w:p w14:paraId="163EADCE">
            <w:pPr>
              <w:spacing w:line="247" w:lineRule="auto"/>
              <w:rPr>
                <w:rFonts w:ascii="Arial"/>
                <w:sz w:val="21"/>
              </w:rPr>
            </w:pPr>
          </w:p>
          <w:p w14:paraId="713395C1">
            <w:pPr>
              <w:spacing w:line="247" w:lineRule="auto"/>
              <w:rPr>
                <w:rFonts w:ascii="Arial"/>
                <w:sz w:val="21"/>
              </w:rPr>
            </w:pPr>
          </w:p>
          <w:p w14:paraId="08E1080A">
            <w:pPr>
              <w:spacing w:line="247" w:lineRule="auto"/>
              <w:rPr>
                <w:rFonts w:ascii="Arial"/>
                <w:sz w:val="21"/>
              </w:rPr>
            </w:pPr>
          </w:p>
          <w:p w14:paraId="53DCDEE9">
            <w:pPr>
              <w:pStyle w:val="6"/>
              <w:spacing w:before="65" w:line="228" w:lineRule="auto"/>
              <w:ind w:left="272"/>
            </w:pPr>
            <w:r>
              <w:rPr>
                <w:spacing w:val="5"/>
              </w:rPr>
              <w:t>废水</w:t>
            </w:r>
          </w:p>
        </w:tc>
        <w:tc>
          <w:tcPr>
            <w:tcW w:w="1614" w:type="dxa"/>
            <w:vAlign w:val="top"/>
          </w:tcPr>
          <w:p w14:paraId="6EE17CAE">
            <w:pPr>
              <w:spacing w:line="452" w:lineRule="auto"/>
              <w:rPr>
                <w:rFonts w:ascii="Arial"/>
                <w:sz w:val="21"/>
              </w:rPr>
            </w:pPr>
          </w:p>
          <w:p w14:paraId="6644C97D">
            <w:pPr>
              <w:pStyle w:val="6"/>
              <w:spacing w:before="65" w:line="290" w:lineRule="auto"/>
              <w:ind w:left="290" w:right="178" w:hanging="109"/>
            </w:pPr>
            <w:r>
              <w:rPr>
                <w:spacing w:val="8"/>
              </w:rPr>
              <w:t>尾矿回水处理</w:t>
            </w:r>
            <w:r>
              <w:t xml:space="preserve"> </w:t>
            </w:r>
            <w:r>
              <w:rPr>
                <w:spacing w:val="7"/>
              </w:rPr>
              <w:t>系统排放口</w:t>
            </w:r>
          </w:p>
        </w:tc>
        <w:tc>
          <w:tcPr>
            <w:tcW w:w="2545" w:type="dxa"/>
            <w:vAlign w:val="top"/>
          </w:tcPr>
          <w:p w14:paraId="2E0D6CE2">
            <w:pPr>
              <w:spacing w:line="297" w:lineRule="auto"/>
              <w:rPr>
                <w:rFonts w:ascii="Arial"/>
                <w:sz w:val="21"/>
              </w:rPr>
            </w:pPr>
          </w:p>
          <w:p w14:paraId="7330F082">
            <w:pPr>
              <w:pStyle w:val="6"/>
              <w:spacing w:before="65" w:line="221" w:lineRule="auto"/>
              <w:ind w:right="10"/>
              <w:jc w:val="right"/>
            </w:pPr>
            <w:r>
              <w:rPr>
                <w:rFonts w:ascii="Times New Roman" w:hAnsi="Times New Roman" w:eastAsia="Times New Roman" w:cs="Times New Roman"/>
                <w:spacing w:val="-12"/>
              </w:rPr>
              <w:t>pH</w:t>
            </w:r>
            <w:r>
              <w:rPr>
                <w:rFonts w:ascii="Times New Roman" w:hAnsi="Times New Roman" w:eastAsia="Times New Roman" w:cs="Times New Roman"/>
                <w:spacing w:val="6"/>
              </w:rPr>
              <w:t xml:space="preserve">  </w:t>
            </w:r>
            <w:r>
              <w:rPr>
                <w:spacing w:val="-12"/>
              </w:rPr>
              <w:t>值、</w:t>
            </w:r>
            <w:r>
              <w:rPr>
                <w:rFonts w:ascii="Times New Roman" w:hAnsi="Times New Roman" w:eastAsia="Times New Roman" w:cs="Times New Roman"/>
                <w:spacing w:val="-12"/>
              </w:rPr>
              <w:t>SS</w:t>
            </w:r>
            <w:r>
              <w:rPr>
                <w:spacing w:val="-12"/>
              </w:rPr>
              <w:t>、</w:t>
            </w:r>
            <w:r>
              <w:rPr>
                <w:rFonts w:ascii="Times New Roman" w:hAnsi="Times New Roman" w:eastAsia="Times New Roman" w:cs="Times New Roman"/>
                <w:spacing w:val="-12"/>
              </w:rPr>
              <w:t>COD</w:t>
            </w:r>
            <w:r>
              <w:rPr>
                <w:spacing w:val="-12"/>
              </w:rPr>
              <w:t>、</w:t>
            </w:r>
            <w:r>
              <w:rPr>
                <w:rFonts w:ascii="Times New Roman" w:hAnsi="Times New Roman" w:eastAsia="Times New Roman" w:cs="Times New Roman"/>
                <w:spacing w:val="-12"/>
              </w:rPr>
              <w:t>NH</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rPr>
              <w:t>-N</w:t>
            </w:r>
            <w:r>
              <w:rPr>
                <w:spacing w:val="3"/>
              </w:rPr>
              <w:t>、</w:t>
            </w:r>
          </w:p>
          <w:p w14:paraId="1CE31482">
            <w:pPr>
              <w:pStyle w:val="6"/>
              <w:spacing w:before="72" w:line="228" w:lineRule="auto"/>
              <w:ind w:right="10"/>
              <w:jc w:val="right"/>
            </w:pPr>
            <w:r>
              <w:rPr>
                <w:spacing w:val="1"/>
              </w:rPr>
              <w:t>铅、锌、砷、镉、镍、铜、</w:t>
            </w:r>
          </w:p>
          <w:p w14:paraId="6E898068">
            <w:pPr>
              <w:pStyle w:val="6"/>
              <w:spacing w:before="64" w:line="228" w:lineRule="auto"/>
              <w:ind w:left="963"/>
            </w:pPr>
            <w:r>
              <w:rPr>
                <w:spacing w:val="6"/>
              </w:rPr>
              <w:t>汞、铬</w:t>
            </w:r>
          </w:p>
        </w:tc>
        <w:tc>
          <w:tcPr>
            <w:tcW w:w="1461" w:type="dxa"/>
            <w:vAlign w:val="top"/>
          </w:tcPr>
          <w:p w14:paraId="77952A6F">
            <w:pPr>
              <w:spacing w:line="297" w:lineRule="auto"/>
              <w:rPr>
                <w:rFonts w:ascii="Arial"/>
                <w:sz w:val="21"/>
              </w:rPr>
            </w:pPr>
          </w:p>
          <w:p w14:paraId="6E503409">
            <w:pPr>
              <w:pStyle w:val="6"/>
              <w:spacing w:before="65" w:line="288" w:lineRule="auto"/>
              <w:ind w:left="214" w:right="106" w:hanging="100"/>
            </w:pPr>
            <w:r>
              <w:rPr>
                <w:spacing w:val="5"/>
              </w:rPr>
              <w:t>枯、平、丰水</w:t>
            </w:r>
            <w:r>
              <w:rPr>
                <w:spacing w:val="3"/>
              </w:rPr>
              <w:t xml:space="preserve"> </w:t>
            </w:r>
            <w:r>
              <w:rPr>
                <w:spacing w:val="8"/>
              </w:rPr>
              <w:t>期各监测一</w:t>
            </w:r>
          </w:p>
          <w:p w14:paraId="18C85BB5">
            <w:pPr>
              <w:pStyle w:val="6"/>
              <w:spacing w:line="227" w:lineRule="auto"/>
              <w:ind w:left="638"/>
            </w:pPr>
            <w:r>
              <w:t>次</w:t>
            </w:r>
          </w:p>
        </w:tc>
        <w:tc>
          <w:tcPr>
            <w:tcW w:w="2180" w:type="dxa"/>
            <w:vAlign w:val="top"/>
          </w:tcPr>
          <w:p w14:paraId="455BBC2D">
            <w:pPr>
              <w:pStyle w:val="6"/>
              <w:spacing w:before="52" w:line="288" w:lineRule="auto"/>
              <w:ind w:left="570" w:right="143" w:hanging="414"/>
            </w:pPr>
            <w:r>
              <w:rPr>
                <w:spacing w:val="8"/>
              </w:rPr>
              <w:t>《铅、锌工业污染物</w:t>
            </w:r>
            <w:r>
              <w:rPr>
                <w:spacing w:val="2"/>
              </w:rPr>
              <w:t xml:space="preserve"> </w:t>
            </w:r>
            <w:r>
              <w:rPr>
                <w:spacing w:val="5"/>
              </w:rPr>
              <w:t>排放标准》</w:t>
            </w:r>
          </w:p>
          <w:p w14:paraId="47B8EAFC">
            <w:pPr>
              <w:pStyle w:val="6"/>
              <w:spacing w:line="228" w:lineRule="auto"/>
              <w:ind w:left="13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）新</w:t>
            </w:r>
          </w:p>
          <w:p w14:paraId="2C835B99">
            <w:pPr>
              <w:pStyle w:val="6"/>
              <w:spacing w:before="64" w:line="228" w:lineRule="auto"/>
              <w:ind w:left="153"/>
            </w:pPr>
            <w:r>
              <w:rPr>
                <w:spacing w:val="8"/>
              </w:rPr>
              <w:t>建企业水污染物特别</w:t>
            </w:r>
          </w:p>
          <w:p w14:paraId="1CFB5676">
            <w:pPr>
              <w:pStyle w:val="6"/>
              <w:spacing w:before="65" w:line="228" w:lineRule="auto"/>
              <w:ind w:left="676"/>
            </w:pPr>
            <w:r>
              <w:rPr>
                <w:spacing w:val="7"/>
              </w:rPr>
              <w:t>排放限值</w:t>
            </w:r>
          </w:p>
        </w:tc>
      </w:tr>
      <w:tr w14:paraId="1E592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59" w:type="dxa"/>
            <w:vMerge w:val="continue"/>
            <w:tcBorders>
              <w:top w:val="nil"/>
            </w:tcBorders>
            <w:vAlign w:val="top"/>
          </w:tcPr>
          <w:p w14:paraId="2508A2AD">
            <w:pPr>
              <w:rPr>
                <w:rFonts w:ascii="Arial"/>
                <w:sz w:val="21"/>
              </w:rPr>
            </w:pPr>
          </w:p>
        </w:tc>
        <w:tc>
          <w:tcPr>
            <w:tcW w:w="1614" w:type="dxa"/>
            <w:vAlign w:val="top"/>
          </w:tcPr>
          <w:p w14:paraId="3021770A">
            <w:pPr>
              <w:spacing w:line="300" w:lineRule="auto"/>
              <w:rPr>
                <w:rFonts w:ascii="Arial"/>
                <w:sz w:val="21"/>
              </w:rPr>
            </w:pPr>
          </w:p>
          <w:p w14:paraId="72CDCE5D">
            <w:pPr>
              <w:pStyle w:val="6"/>
              <w:spacing w:before="65" w:line="290" w:lineRule="auto"/>
              <w:ind w:left="289" w:right="178" w:hanging="107"/>
            </w:pPr>
            <w:r>
              <w:rPr>
                <w:spacing w:val="7"/>
              </w:rPr>
              <w:t>生活污水处理</w:t>
            </w:r>
            <w:r>
              <w:rPr>
                <w:spacing w:val="4"/>
              </w:rPr>
              <w:t xml:space="preserve"> </w:t>
            </w:r>
            <w:r>
              <w:rPr>
                <w:spacing w:val="7"/>
              </w:rPr>
              <w:t>设施排放口</w:t>
            </w:r>
          </w:p>
        </w:tc>
        <w:tc>
          <w:tcPr>
            <w:tcW w:w="2545" w:type="dxa"/>
            <w:vAlign w:val="top"/>
          </w:tcPr>
          <w:p w14:paraId="714ED017">
            <w:pPr>
              <w:spacing w:line="301" w:lineRule="auto"/>
              <w:rPr>
                <w:rFonts w:ascii="Arial"/>
                <w:sz w:val="21"/>
              </w:rPr>
            </w:pPr>
          </w:p>
          <w:p w14:paraId="39C8F95A">
            <w:pPr>
              <w:pStyle w:val="6"/>
              <w:spacing w:before="65" w:line="281" w:lineRule="auto"/>
              <w:ind w:left="228" w:right="145" w:hanging="86"/>
            </w:pP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值、悬浮物、化学需</w:t>
            </w:r>
            <w:r>
              <w:rPr>
                <w:spacing w:val="7"/>
              </w:rPr>
              <w:t xml:space="preserve"> </w:t>
            </w:r>
            <w:r>
              <w:rPr>
                <w:spacing w:val="8"/>
              </w:rPr>
              <w:t>氧量、氨氮、生化需氧</w:t>
            </w:r>
          </w:p>
        </w:tc>
        <w:tc>
          <w:tcPr>
            <w:tcW w:w="1461" w:type="dxa"/>
            <w:vAlign w:val="top"/>
          </w:tcPr>
          <w:p w14:paraId="71C84F9E">
            <w:pPr>
              <w:spacing w:line="300" w:lineRule="auto"/>
              <w:rPr>
                <w:rFonts w:ascii="Arial"/>
                <w:sz w:val="21"/>
              </w:rPr>
            </w:pPr>
          </w:p>
          <w:p w14:paraId="38A87818">
            <w:pPr>
              <w:pStyle w:val="6"/>
              <w:spacing w:before="65" w:line="228" w:lineRule="auto"/>
              <w:ind w:left="114"/>
            </w:pPr>
            <w:r>
              <w:rPr>
                <w:spacing w:val="6"/>
              </w:rPr>
              <w:t>每季一次，每</w:t>
            </w:r>
          </w:p>
          <w:p w14:paraId="0DC228B7">
            <w:pPr>
              <w:pStyle w:val="6"/>
              <w:spacing w:before="64" w:line="228" w:lineRule="auto"/>
              <w:ind w:left="429"/>
            </w:pPr>
            <w:r>
              <w:rPr>
                <w:spacing w:val="5"/>
              </w:rPr>
              <w:t>次两天</w:t>
            </w:r>
          </w:p>
        </w:tc>
        <w:tc>
          <w:tcPr>
            <w:tcW w:w="2180" w:type="dxa"/>
            <w:vAlign w:val="top"/>
          </w:tcPr>
          <w:p w14:paraId="615FAB8E">
            <w:pPr>
              <w:pStyle w:val="6"/>
              <w:spacing w:before="54" w:line="228" w:lineRule="auto"/>
              <w:ind w:left="156"/>
            </w:pPr>
            <w:r>
              <w:rPr>
                <w:spacing w:val="8"/>
              </w:rPr>
              <w:t>《城市污水再生利用</w:t>
            </w:r>
          </w:p>
          <w:p w14:paraId="528BA365">
            <w:pPr>
              <w:pStyle w:val="6"/>
              <w:spacing w:before="65" w:line="228" w:lineRule="auto"/>
              <w:ind w:left="140"/>
            </w:pPr>
            <w:r>
              <w:rPr>
                <w:rFonts w:ascii="Times New Roman" w:hAnsi="Times New Roman" w:eastAsia="Times New Roman" w:cs="Times New Roman"/>
                <w:spacing w:val="9"/>
              </w:rPr>
              <w:t>—</w:t>
            </w:r>
            <w:r>
              <w:rPr>
                <w:spacing w:val="9"/>
              </w:rPr>
              <w:t>城市杂用水水质》</w:t>
            </w:r>
          </w:p>
          <w:p w14:paraId="19DA45E3">
            <w:pPr>
              <w:pStyle w:val="6"/>
              <w:spacing w:before="64" w:line="241" w:lineRule="auto"/>
              <w:ind w:left="763"/>
              <w:rPr>
                <w:rFonts w:ascii="Times New Roman" w:hAnsi="Times New Roman" w:eastAsia="Times New Roman" w:cs="Times New Roman"/>
              </w:rPr>
            </w:pPr>
            <w:r>
              <w:rPr>
                <w:spacing w:val="3"/>
              </w:rPr>
              <w:t>（</w:t>
            </w:r>
            <w:r>
              <w:rPr>
                <w:rFonts w:ascii="Times New Roman" w:hAnsi="Times New Roman" w:eastAsia="Times New Roman" w:cs="Times New Roman"/>
              </w:rPr>
              <w:t>GB</w:t>
            </w:r>
            <w:r>
              <w:rPr>
                <w:rFonts w:ascii="Times New Roman" w:hAnsi="Times New Roman" w:eastAsia="Times New Roman" w:cs="Times New Roman"/>
                <w:spacing w:val="3"/>
              </w:rPr>
              <w:t>/T</w:t>
            </w:r>
          </w:p>
          <w:p w14:paraId="26FD8E9F">
            <w:pPr>
              <w:pStyle w:val="6"/>
              <w:spacing w:before="51" w:line="231" w:lineRule="auto"/>
              <w:ind w:left="428"/>
            </w:pPr>
            <w:r>
              <w:rPr>
                <w:rFonts w:ascii="Times New Roman" w:hAnsi="Times New Roman" w:eastAsia="Times New Roman" w:cs="Times New Roman"/>
                <w:spacing w:val="2"/>
              </w:rPr>
              <w:t>18920—2020</w:t>
            </w:r>
            <w:r>
              <w:rPr>
                <w:spacing w:val="2"/>
              </w:rPr>
              <w:t>）</w:t>
            </w:r>
          </w:p>
        </w:tc>
      </w:tr>
      <w:tr w14:paraId="69AE5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59" w:type="dxa"/>
            <w:vAlign w:val="top"/>
          </w:tcPr>
          <w:p w14:paraId="76612F2C">
            <w:pPr>
              <w:spacing w:line="456" w:lineRule="auto"/>
              <w:rPr>
                <w:rFonts w:ascii="Arial"/>
                <w:sz w:val="21"/>
              </w:rPr>
            </w:pPr>
          </w:p>
          <w:p w14:paraId="48348741">
            <w:pPr>
              <w:pStyle w:val="6"/>
              <w:spacing w:before="65" w:line="228" w:lineRule="auto"/>
              <w:ind w:left="283"/>
            </w:pPr>
            <w:r>
              <w:rPr>
                <w:spacing w:val="-1"/>
              </w:rPr>
              <w:t>噪声</w:t>
            </w:r>
          </w:p>
        </w:tc>
        <w:tc>
          <w:tcPr>
            <w:tcW w:w="1614" w:type="dxa"/>
            <w:vAlign w:val="top"/>
          </w:tcPr>
          <w:p w14:paraId="6284FCBD">
            <w:pPr>
              <w:spacing w:line="300" w:lineRule="auto"/>
              <w:rPr>
                <w:rFonts w:ascii="Arial"/>
                <w:sz w:val="21"/>
              </w:rPr>
            </w:pPr>
          </w:p>
          <w:p w14:paraId="52D73FA4">
            <w:pPr>
              <w:pStyle w:val="6"/>
              <w:spacing w:before="65" w:line="228" w:lineRule="auto"/>
              <w:ind w:left="180"/>
            </w:pPr>
            <w:r>
              <w:rPr>
                <w:spacing w:val="8"/>
              </w:rPr>
              <w:t>选矿工业场地</w:t>
            </w:r>
          </w:p>
          <w:p w14:paraId="53B09F94">
            <w:pPr>
              <w:pStyle w:val="6"/>
              <w:spacing w:before="65" w:line="229" w:lineRule="auto"/>
              <w:ind w:left="439"/>
              <w:rPr>
                <w:rFonts w:ascii="Times New Roman" w:hAnsi="Times New Roman" w:eastAsia="Times New Roman" w:cs="Times New Roman"/>
              </w:rPr>
            </w:pPr>
            <w:r>
              <w:rPr>
                <w:spacing w:val="-1"/>
              </w:rPr>
              <w:t>边界</w:t>
            </w:r>
            <w:r>
              <w:rPr>
                <w:spacing w:val="-20"/>
              </w:rPr>
              <w:t xml:space="preserve"> </w:t>
            </w:r>
            <w:r>
              <w:rPr>
                <w:rFonts w:ascii="Times New Roman" w:hAnsi="Times New Roman" w:eastAsia="Times New Roman" w:cs="Times New Roman"/>
                <w:spacing w:val="-1"/>
              </w:rPr>
              <w:t>1m</w:t>
            </w:r>
          </w:p>
        </w:tc>
        <w:tc>
          <w:tcPr>
            <w:tcW w:w="2545" w:type="dxa"/>
            <w:vAlign w:val="top"/>
          </w:tcPr>
          <w:p w14:paraId="0A3FD26A">
            <w:pPr>
              <w:spacing w:line="455" w:lineRule="auto"/>
              <w:rPr>
                <w:rFonts w:ascii="Arial"/>
                <w:sz w:val="21"/>
              </w:rPr>
            </w:pPr>
          </w:p>
          <w:p w14:paraId="3D20B5A4">
            <w:pPr>
              <w:pStyle w:val="6"/>
              <w:spacing w:before="65" w:line="228" w:lineRule="auto"/>
              <w:ind w:left="731"/>
            </w:pPr>
            <w:r>
              <w:rPr>
                <w:spacing w:val="3"/>
              </w:rPr>
              <w:t>等效</w:t>
            </w:r>
            <w:r>
              <w:rPr>
                <w:spacing w:val="-42"/>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16"/>
              </w:rPr>
              <w:t xml:space="preserve"> </w:t>
            </w:r>
            <w:r>
              <w:rPr>
                <w:spacing w:val="3"/>
              </w:rPr>
              <w:t>声级</w:t>
            </w:r>
          </w:p>
        </w:tc>
        <w:tc>
          <w:tcPr>
            <w:tcW w:w="1461" w:type="dxa"/>
            <w:vAlign w:val="top"/>
          </w:tcPr>
          <w:p w14:paraId="64CA9B97">
            <w:pPr>
              <w:spacing w:line="300" w:lineRule="auto"/>
              <w:rPr>
                <w:rFonts w:ascii="Arial"/>
                <w:sz w:val="21"/>
              </w:rPr>
            </w:pPr>
          </w:p>
          <w:p w14:paraId="7934916B">
            <w:pPr>
              <w:pStyle w:val="6"/>
              <w:spacing w:before="65" w:line="228" w:lineRule="auto"/>
              <w:ind w:left="114"/>
            </w:pPr>
            <w:r>
              <w:rPr>
                <w:spacing w:val="6"/>
              </w:rPr>
              <w:t>每季一次，每</w:t>
            </w:r>
          </w:p>
          <w:p w14:paraId="408CDFD5">
            <w:pPr>
              <w:pStyle w:val="6"/>
              <w:spacing w:before="65" w:line="228" w:lineRule="auto"/>
              <w:ind w:left="429"/>
            </w:pPr>
            <w:r>
              <w:rPr>
                <w:spacing w:val="5"/>
              </w:rPr>
              <w:t>次两天</w:t>
            </w:r>
          </w:p>
        </w:tc>
        <w:tc>
          <w:tcPr>
            <w:tcW w:w="2180" w:type="dxa"/>
            <w:vAlign w:val="top"/>
          </w:tcPr>
          <w:p w14:paraId="7BE826ED">
            <w:pPr>
              <w:pStyle w:val="6"/>
              <w:spacing w:before="56" w:line="228" w:lineRule="auto"/>
              <w:ind w:left="156"/>
            </w:pPr>
            <w:r>
              <w:rPr>
                <w:spacing w:val="8"/>
              </w:rPr>
              <w:t>《工业企业厂界环境</w:t>
            </w:r>
          </w:p>
          <w:p w14:paraId="7F4D880A">
            <w:pPr>
              <w:pStyle w:val="6"/>
              <w:spacing w:before="64" w:line="228" w:lineRule="auto"/>
              <w:ind w:left="371"/>
            </w:pPr>
            <w:r>
              <w:rPr>
                <w:spacing w:val="5"/>
              </w:rPr>
              <w:t>噪声排放标准》</w:t>
            </w:r>
          </w:p>
          <w:p w14:paraId="4C78385A">
            <w:pPr>
              <w:pStyle w:val="6"/>
              <w:spacing w:before="64"/>
              <w:ind w:left="124"/>
              <w:rPr>
                <w:rFonts w:ascii="Times New Roman" w:hAnsi="Times New Roman" w:eastAsia="Times New Roman" w:cs="Times New Roman"/>
              </w:rPr>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12348—2008</w:t>
            </w:r>
            <w:r>
              <w:rPr>
                <w:spacing w:val="4"/>
              </w:rPr>
              <w:t>）</w:t>
            </w:r>
            <w:r>
              <w:rPr>
                <w:rFonts w:ascii="Times New Roman" w:hAnsi="Times New Roman" w:eastAsia="Times New Roman" w:cs="Times New Roman"/>
                <w:spacing w:val="4"/>
              </w:rPr>
              <w:t>2</w:t>
            </w:r>
          </w:p>
          <w:p w14:paraId="30507F11">
            <w:pPr>
              <w:pStyle w:val="6"/>
              <w:spacing w:before="51" w:line="228" w:lineRule="auto"/>
              <w:ind w:left="781"/>
            </w:pPr>
            <w:r>
              <w:rPr>
                <w:spacing w:val="6"/>
              </w:rPr>
              <w:t>类标准</w:t>
            </w:r>
          </w:p>
        </w:tc>
      </w:tr>
      <w:tr w14:paraId="1FB5D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59" w:type="dxa"/>
            <w:vAlign w:val="top"/>
          </w:tcPr>
          <w:p w14:paraId="31904866">
            <w:pPr>
              <w:spacing w:line="301" w:lineRule="auto"/>
              <w:rPr>
                <w:rFonts w:ascii="Arial"/>
                <w:sz w:val="21"/>
              </w:rPr>
            </w:pPr>
          </w:p>
          <w:p w14:paraId="0D2C526C">
            <w:pPr>
              <w:pStyle w:val="6"/>
              <w:spacing w:before="65" w:line="228" w:lineRule="auto"/>
              <w:ind w:left="291"/>
            </w:pPr>
            <w:r>
              <w:rPr>
                <w:spacing w:val="-5"/>
              </w:rPr>
              <w:t>固废</w:t>
            </w:r>
          </w:p>
        </w:tc>
        <w:tc>
          <w:tcPr>
            <w:tcW w:w="1614" w:type="dxa"/>
            <w:vAlign w:val="top"/>
          </w:tcPr>
          <w:p w14:paraId="23A62D95">
            <w:pPr>
              <w:spacing w:line="301" w:lineRule="auto"/>
              <w:rPr>
                <w:rFonts w:ascii="Arial"/>
                <w:sz w:val="21"/>
              </w:rPr>
            </w:pPr>
          </w:p>
          <w:p w14:paraId="32E3F3C0">
            <w:pPr>
              <w:pStyle w:val="6"/>
              <w:spacing w:before="65" w:line="228" w:lineRule="auto"/>
              <w:ind w:left="304"/>
            </w:pPr>
            <w:r>
              <w:rPr>
                <w:spacing w:val="4"/>
              </w:rPr>
              <w:t>固废产生点</w:t>
            </w:r>
          </w:p>
        </w:tc>
        <w:tc>
          <w:tcPr>
            <w:tcW w:w="2545" w:type="dxa"/>
            <w:vAlign w:val="top"/>
          </w:tcPr>
          <w:p w14:paraId="5F03FA04">
            <w:pPr>
              <w:pStyle w:val="6"/>
              <w:spacing w:before="56" w:line="288" w:lineRule="auto"/>
              <w:ind w:left="122" w:right="116" w:firstLine="1"/>
            </w:pPr>
            <w:r>
              <w:rPr>
                <w:spacing w:val="9"/>
              </w:rPr>
              <w:t>调查统计尾矿、废弃包装</w:t>
            </w:r>
            <w:r>
              <w:t xml:space="preserve"> </w:t>
            </w:r>
            <w:r>
              <w:rPr>
                <w:spacing w:val="9"/>
              </w:rPr>
              <w:t>材料、生活垃圾、污泥的</w:t>
            </w:r>
          </w:p>
          <w:p w14:paraId="591365E0">
            <w:pPr>
              <w:pStyle w:val="6"/>
              <w:spacing w:line="227" w:lineRule="auto"/>
              <w:ind w:left="122"/>
            </w:pPr>
            <w:r>
              <w:rPr>
                <w:spacing w:val="9"/>
              </w:rPr>
              <w:t>产生量、利用量和去向等</w:t>
            </w:r>
          </w:p>
        </w:tc>
        <w:tc>
          <w:tcPr>
            <w:tcW w:w="1461" w:type="dxa"/>
            <w:vAlign w:val="top"/>
          </w:tcPr>
          <w:p w14:paraId="024A63E3">
            <w:pPr>
              <w:spacing w:line="301" w:lineRule="auto"/>
              <w:rPr>
                <w:rFonts w:ascii="Arial"/>
                <w:sz w:val="21"/>
              </w:rPr>
            </w:pPr>
          </w:p>
          <w:p w14:paraId="56ED1E25">
            <w:pPr>
              <w:pStyle w:val="6"/>
              <w:spacing w:before="65" w:line="228" w:lineRule="auto"/>
              <w:ind w:left="318"/>
            </w:pPr>
            <w:r>
              <w:rPr>
                <w:spacing w:val="7"/>
              </w:rPr>
              <w:t>每季一次</w:t>
            </w:r>
          </w:p>
        </w:tc>
        <w:tc>
          <w:tcPr>
            <w:tcW w:w="2180" w:type="dxa"/>
            <w:vAlign w:val="top"/>
          </w:tcPr>
          <w:p w14:paraId="478DDFDF">
            <w:pPr>
              <w:spacing w:line="340" w:lineRule="auto"/>
              <w:rPr>
                <w:rFonts w:ascii="Arial"/>
                <w:sz w:val="21"/>
              </w:rPr>
            </w:pPr>
          </w:p>
          <w:p w14:paraId="560E1E18">
            <w:pPr>
              <w:spacing w:before="58" w:line="199" w:lineRule="auto"/>
              <w:ind w:left="10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0DD52C7D">
      <w:pPr>
        <w:spacing w:before="116" w:line="220" w:lineRule="auto"/>
        <w:ind w:left="73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）环境质量监测</w:t>
      </w:r>
    </w:p>
    <w:p w14:paraId="5FCE8088">
      <w:pPr>
        <w:spacing w:line="220" w:lineRule="auto"/>
        <w:rPr>
          <w:rFonts w:ascii="宋体" w:hAnsi="宋体" w:eastAsia="宋体" w:cs="宋体"/>
          <w:sz w:val="24"/>
          <w:szCs w:val="24"/>
        </w:rPr>
        <w:sectPr>
          <w:headerReference r:id="rId430" w:type="default"/>
          <w:footerReference r:id="rId431" w:type="default"/>
          <w:pgSz w:w="11906" w:h="16839"/>
          <w:pgMar w:top="1208" w:right="1571" w:bottom="1358" w:left="1570" w:header="825" w:footer="1195" w:gutter="0"/>
          <w:cols w:space="720" w:num="1"/>
        </w:sectPr>
      </w:pPr>
    </w:p>
    <w:p w14:paraId="25ACF59E">
      <w:pPr>
        <w:pStyle w:val="2"/>
        <w:spacing w:line="264" w:lineRule="auto"/>
      </w:pPr>
    </w:p>
    <w:p w14:paraId="313059EC">
      <w:pPr>
        <w:spacing w:before="78" w:line="219" w:lineRule="auto"/>
        <w:ind w:left="594"/>
        <w:rPr>
          <w:rFonts w:ascii="宋体" w:hAnsi="宋体" w:eastAsia="宋体" w:cs="宋体"/>
          <w:sz w:val="24"/>
          <w:szCs w:val="24"/>
        </w:rPr>
      </w:pPr>
      <w:r>
        <w:rPr>
          <w:rFonts w:ascii="宋体" w:hAnsi="宋体" w:eastAsia="宋体" w:cs="宋体"/>
          <w:spacing w:val="-3"/>
          <w:sz w:val="24"/>
          <w:szCs w:val="24"/>
        </w:rPr>
        <w:t>拟建项目环境质量监测见表</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12.2-3</w:t>
      </w:r>
      <w:r>
        <w:rPr>
          <w:rFonts w:ascii="宋体" w:hAnsi="宋体" w:eastAsia="宋体" w:cs="宋体"/>
          <w:spacing w:val="-3"/>
          <w:sz w:val="24"/>
          <w:szCs w:val="24"/>
        </w:rPr>
        <w:t>。</w:t>
      </w:r>
    </w:p>
    <w:p w14:paraId="26C3F303">
      <w:pPr>
        <w:spacing w:before="104" w:line="219" w:lineRule="auto"/>
        <w:ind w:left="2676"/>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8"/>
          <w:sz w:val="24"/>
          <w:szCs w:val="24"/>
        </w:rPr>
        <w:t xml:space="preserve"> </w:t>
      </w:r>
      <w:r>
        <w:rPr>
          <w:rFonts w:ascii="宋体" w:hAnsi="宋体" w:eastAsia="宋体" w:cs="宋体"/>
          <w:spacing w:val="-2"/>
          <w:sz w:val="24"/>
          <w:szCs w:val="24"/>
        </w:rPr>
        <w:t>12.2-3  本项目环境质量监测一览表</w:t>
      </w:r>
    </w:p>
    <w:p w14:paraId="63065BDB">
      <w:pPr>
        <w:spacing w:line="147" w:lineRule="exact"/>
      </w:pPr>
    </w:p>
    <w:tbl>
      <w:tblPr>
        <w:tblStyle w:val="5"/>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2"/>
        <w:gridCol w:w="1746"/>
        <w:gridCol w:w="4108"/>
        <w:gridCol w:w="1633"/>
      </w:tblGrid>
      <w:tr w14:paraId="7202F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022" w:type="dxa"/>
            <w:vAlign w:val="top"/>
          </w:tcPr>
          <w:p w14:paraId="27C6AAEE">
            <w:pPr>
              <w:pStyle w:val="6"/>
              <w:spacing w:before="55" w:line="229" w:lineRule="auto"/>
              <w:ind w:left="202"/>
            </w:pPr>
            <w:r>
              <w:rPr>
                <w:spacing w:val="6"/>
              </w:rPr>
              <w:t>监测要</w:t>
            </w:r>
          </w:p>
          <w:p w14:paraId="23E248C4">
            <w:pPr>
              <w:pStyle w:val="6"/>
              <w:spacing w:before="63" w:line="228" w:lineRule="auto"/>
              <w:ind w:left="415"/>
            </w:pPr>
            <w:r>
              <w:t>素</w:t>
            </w:r>
          </w:p>
        </w:tc>
        <w:tc>
          <w:tcPr>
            <w:tcW w:w="1746" w:type="dxa"/>
            <w:vAlign w:val="top"/>
          </w:tcPr>
          <w:p w14:paraId="5D1A24E0">
            <w:pPr>
              <w:pStyle w:val="6"/>
              <w:spacing w:before="211" w:line="229" w:lineRule="auto"/>
              <w:ind w:left="457"/>
            </w:pPr>
            <w:r>
              <w:rPr>
                <w:spacing w:val="7"/>
              </w:rPr>
              <w:t>监测点位</w:t>
            </w:r>
          </w:p>
        </w:tc>
        <w:tc>
          <w:tcPr>
            <w:tcW w:w="4108" w:type="dxa"/>
            <w:vAlign w:val="top"/>
          </w:tcPr>
          <w:p w14:paraId="2A80517D">
            <w:pPr>
              <w:pStyle w:val="6"/>
              <w:spacing w:before="211" w:line="228" w:lineRule="auto"/>
              <w:ind w:left="1641"/>
            </w:pPr>
            <w:r>
              <w:rPr>
                <w:spacing w:val="7"/>
              </w:rPr>
              <w:t>监测因子</w:t>
            </w:r>
          </w:p>
        </w:tc>
        <w:tc>
          <w:tcPr>
            <w:tcW w:w="1633" w:type="dxa"/>
            <w:vAlign w:val="top"/>
          </w:tcPr>
          <w:p w14:paraId="1A42B760">
            <w:pPr>
              <w:pStyle w:val="6"/>
              <w:spacing w:before="210" w:line="228" w:lineRule="auto"/>
              <w:ind w:left="401"/>
            </w:pPr>
            <w:r>
              <w:rPr>
                <w:spacing w:val="7"/>
              </w:rPr>
              <w:t>监测频次</w:t>
            </w:r>
          </w:p>
        </w:tc>
      </w:tr>
      <w:tr w14:paraId="25A88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dxa"/>
            <w:vMerge w:val="restart"/>
            <w:tcBorders>
              <w:bottom w:val="nil"/>
            </w:tcBorders>
            <w:vAlign w:val="top"/>
          </w:tcPr>
          <w:p w14:paraId="71CAA762">
            <w:pPr>
              <w:spacing w:line="312" w:lineRule="auto"/>
              <w:rPr>
                <w:rFonts w:ascii="Arial"/>
                <w:sz w:val="21"/>
              </w:rPr>
            </w:pPr>
          </w:p>
          <w:p w14:paraId="643DEC2F">
            <w:pPr>
              <w:pStyle w:val="6"/>
              <w:spacing w:before="65" w:line="228" w:lineRule="auto"/>
              <w:ind w:left="201"/>
            </w:pPr>
            <w:r>
              <w:rPr>
                <w:spacing w:val="6"/>
              </w:rPr>
              <w:t>环境空</w:t>
            </w:r>
          </w:p>
          <w:p w14:paraId="136FA6BE">
            <w:pPr>
              <w:pStyle w:val="6"/>
              <w:spacing w:before="64" w:line="229" w:lineRule="auto"/>
              <w:ind w:left="413"/>
            </w:pPr>
            <w:r>
              <w:t>气</w:t>
            </w:r>
          </w:p>
        </w:tc>
        <w:tc>
          <w:tcPr>
            <w:tcW w:w="1746" w:type="dxa"/>
            <w:vAlign w:val="top"/>
          </w:tcPr>
          <w:p w14:paraId="0DB859BD">
            <w:pPr>
              <w:pStyle w:val="6"/>
              <w:spacing w:before="50" w:line="227" w:lineRule="auto"/>
              <w:ind w:left="456"/>
            </w:pPr>
            <w:r>
              <w:rPr>
                <w:spacing w:val="7"/>
              </w:rPr>
              <w:t>伊如勒图</w:t>
            </w:r>
          </w:p>
        </w:tc>
        <w:tc>
          <w:tcPr>
            <w:tcW w:w="4108" w:type="dxa"/>
            <w:vMerge w:val="restart"/>
            <w:tcBorders>
              <w:bottom w:val="nil"/>
            </w:tcBorders>
            <w:vAlign w:val="top"/>
          </w:tcPr>
          <w:p w14:paraId="67EE66B6">
            <w:pPr>
              <w:spacing w:line="467" w:lineRule="auto"/>
              <w:rPr>
                <w:rFonts w:ascii="Arial"/>
                <w:sz w:val="21"/>
              </w:rPr>
            </w:pPr>
          </w:p>
          <w:p w14:paraId="6F66EF3D">
            <w:pPr>
              <w:pStyle w:val="6"/>
              <w:spacing w:before="65" w:line="228" w:lineRule="auto"/>
              <w:ind w:left="1743"/>
            </w:pPr>
            <w:r>
              <w:rPr>
                <w:spacing w:val="7"/>
              </w:rPr>
              <w:t>颗粒物</w:t>
            </w:r>
          </w:p>
        </w:tc>
        <w:tc>
          <w:tcPr>
            <w:tcW w:w="1633" w:type="dxa"/>
            <w:vMerge w:val="restart"/>
            <w:tcBorders>
              <w:bottom w:val="nil"/>
            </w:tcBorders>
            <w:vAlign w:val="top"/>
          </w:tcPr>
          <w:p w14:paraId="305D2A7A">
            <w:pPr>
              <w:spacing w:line="467" w:lineRule="auto"/>
              <w:rPr>
                <w:rFonts w:ascii="Arial"/>
                <w:sz w:val="21"/>
              </w:rPr>
            </w:pPr>
          </w:p>
          <w:p w14:paraId="22D85A92">
            <w:pPr>
              <w:pStyle w:val="6"/>
              <w:spacing w:before="65" w:line="228" w:lineRule="auto"/>
              <w:ind w:left="191"/>
            </w:pPr>
            <w:r>
              <w:rPr>
                <w:spacing w:val="8"/>
              </w:rPr>
              <w:t>每年监测一次</w:t>
            </w:r>
          </w:p>
        </w:tc>
      </w:tr>
      <w:tr w14:paraId="5CC18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dxa"/>
            <w:vMerge w:val="continue"/>
            <w:tcBorders>
              <w:top w:val="nil"/>
              <w:bottom w:val="nil"/>
            </w:tcBorders>
            <w:vAlign w:val="top"/>
          </w:tcPr>
          <w:p w14:paraId="7D912EE2">
            <w:pPr>
              <w:rPr>
                <w:rFonts w:ascii="Arial"/>
                <w:sz w:val="21"/>
              </w:rPr>
            </w:pPr>
          </w:p>
        </w:tc>
        <w:tc>
          <w:tcPr>
            <w:tcW w:w="1746" w:type="dxa"/>
            <w:vAlign w:val="top"/>
          </w:tcPr>
          <w:p w14:paraId="2FBE517F">
            <w:pPr>
              <w:pStyle w:val="6"/>
              <w:spacing w:before="50" w:line="227" w:lineRule="auto"/>
              <w:ind w:left="456"/>
            </w:pPr>
            <w:r>
              <w:rPr>
                <w:spacing w:val="7"/>
              </w:rPr>
              <w:t>布和朝鲁</w:t>
            </w:r>
          </w:p>
        </w:tc>
        <w:tc>
          <w:tcPr>
            <w:tcW w:w="4108" w:type="dxa"/>
            <w:vMerge w:val="continue"/>
            <w:tcBorders>
              <w:top w:val="nil"/>
              <w:bottom w:val="nil"/>
            </w:tcBorders>
            <w:vAlign w:val="top"/>
          </w:tcPr>
          <w:p w14:paraId="57C708EC">
            <w:pPr>
              <w:rPr>
                <w:rFonts w:ascii="Arial"/>
                <w:sz w:val="21"/>
              </w:rPr>
            </w:pPr>
          </w:p>
        </w:tc>
        <w:tc>
          <w:tcPr>
            <w:tcW w:w="1633" w:type="dxa"/>
            <w:vMerge w:val="continue"/>
            <w:tcBorders>
              <w:top w:val="nil"/>
              <w:bottom w:val="nil"/>
            </w:tcBorders>
            <w:vAlign w:val="top"/>
          </w:tcPr>
          <w:p w14:paraId="10B9DF43">
            <w:pPr>
              <w:rPr>
                <w:rFonts w:ascii="Arial"/>
                <w:sz w:val="21"/>
              </w:rPr>
            </w:pPr>
          </w:p>
        </w:tc>
      </w:tr>
      <w:tr w14:paraId="7FF3C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dxa"/>
            <w:vMerge w:val="continue"/>
            <w:tcBorders>
              <w:top w:val="nil"/>
              <w:bottom w:val="nil"/>
            </w:tcBorders>
            <w:vAlign w:val="top"/>
          </w:tcPr>
          <w:p w14:paraId="3128627E">
            <w:pPr>
              <w:rPr>
                <w:rFonts w:ascii="Arial"/>
                <w:sz w:val="21"/>
              </w:rPr>
            </w:pPr>
          </w:p>
        </w:tc>
        <w:tc>
          <w:tcPr>
            <w:tcW w:w="1746" w:type="dxa"/>
            <w:vAlign w:val="top"/>
          </w:tcPr>
          <w:p w14:paraId="289D1E45">
            <w:pPr>
              <w:pStyle w:val="6"/>
              <w:spacing w:before="51" w:line="228" w:lineRule="auto"/>
              <w:ind w:left="668"/>
            </w:pPr>
            <w:r>
              <w:rPr>
                <w:spacing w:val="4"/>
              </w:rPr>
              <w:t>敖毛</w:t>
            </w:r>
          </w:p>
        </w:tc>
        <w:tc>
          <w:tcPr>
            <w:tcW w:w="4108" w:type="dxa"/>
            <w:vMerge w:val="continue"/>
            <w:tcBorders>
              <w:top w:val="nil"/>
              <w:bottom w:val="nil"/>
            </w:tcBorders>
            <w:vAlign w:val="top"/>
          </w:tcPr>
          <w:p w14:paraId="7221CCCA">
            <w:pPr>
              <w:rPr>
                <w:rFonts w:ascii="Arial"/>
                <w:sz w:val="21"/>
              </w:rPr>
            </w:pPr>
          </w:p>
        </w:tc>
        <w:tc>
          <w:tcPr>
            <w:tcW w:w="1633" w:type="dxa"/>
            <w:vMerge w:val="continue"/>
            <w:tcBorders>
              <w:top w:val="nil"/>
              <w:bottom w:val="nil"/>
            </w:tcBorders>
            <w:vAlign w:val="top"/>
          </w:tcPr>
          <w:p w14:paraId="11D93AE6">
            <w:pPr>
              <w:rPr>
                <w:rFonts w:ascii="Arial"/>
                <w:sz w:val="21"/>
              </w:rPr>
            </w:pPr>
          </w:p>
        </w:tc>
      </w:tr>
      <w:tr w14:paraId="21C8D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22" w:type="dxa"/>
            <w:vMerge w:val="continue"/>
            <w:tcBorders>
              <w:top w:val="nil"/>
            </w:tcBorders>
            <w:vAlign w:val="top"/>
          </w:tcPr>
          <w:p w14:paraId="3D661A1B">
            <w:pPr>
              <w:rPr>
                <w:rFonts w:ascii="Arial"/>
                <w:sz w:val="21"/>
              </w:rPr>
            </w:pPr>
          </w:p>
        </w:tc>
        <w:tc>
          <w:tcPr>
            <w:tcW w:w="1746" w:type="dxa"/>
            <w:vAlign w:val="top"/>
          </w:tcPr>
          <w:p w14:paraId="12818DBA">
            <w:pPr>
              <w:pStyle w:val="6"/>
              <w:spacing w:before="51" w:line="228" w:lineRule="auto"/>
              <w:ind w:left="373"/>
            </w:pPr>
            <w:r>
              <w:rPr>
                <w:rFonts w:ascii="Times New Roman" w:hAnsi="Times New Roman" w:eastAsia="Times New Roman" w:cs="Times New Roman"/>
                <w:spacing w:val="4"/>
              </w:rPr>
              <w:t>2</w:t>
            </w:r>
            <w:r>
              <w:rPr>
                <w:rFonts w:ascii="Times New Roman" w:hAnsi="Times New Roman" w:eastAsia="Times New Roman" w:cs="Times New Roman"/>
                <w:spacing w:val="20"/>
                <w:w w:val="101"/>
              </w:rPr>
              <w:t xml:space="preserve"> </w:t>
            </w:r>
            <w:r>
              <w:rPr>
                <w:spacing w:val="4"/>
              </w:rPr>
              <w:t>号牧民点</w:t>
            </w:r>
          </w:p>
        </w:tc>
        <w:tc>
          <w:tcPr>
            <w:tcW w:w="4108" w:type="dxa"/>
            <w:vMerge w:val="continue"/>
            <w:tcBorders>
              <w:top w:val="nil"/>
            </w:tcBorders>
            <w:vAlign w:val="top"/>
          </w:tcPr>
          <w:p w14:paraId="34F4C162">
            <w:pPr>
              <w:rPr>
                <w:rFonts w:ascii="Arial"/>
                <w:sz w:val="21"/>
              </w:rPr>
            </w:pPr>
          </w:p>
        </w:tc>
        <w:tc>
          <w:tcPr>
            <w:tcW w:w="1633" w:type="dxa"/>
            <w:vMerge w:val="continue"/>
            <w:tcBorders>
              <w:top w:val="nil"/>
            </w:tcBorders>
            <w:vAlign w:val="top"/>
          </w:tcPr>
          <w:p w14:paraId="54E1106C">
            <w:pPr>
              <w:rPr>
                <w:rFonts w:ascii="Arial"/>
                <w:sz w:val="21"/>
              </w:rPr>
            </w:pPr>
          </w:p>
        </w:tc>
      </w:tr>
      <w:tr w14:paraId="09E67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022" w:type="dxa"/>
            <w:vMerge w:val="restart"/>
            <w:tcBorders>
              <w:bottom w:val="nil"/>
            </w:tcBorders>
            <w:vAlign w:val="top"/>
          </w:tcPr>
          <w:p w14:paraId="7D12F957">
            <w:pPr>
              <w:spacing w:line="267" w:lineRule="auto"/>
              <w:rPr>
                <w:rFonts w:ascii="Arial"/>
                <w:sz w:val="21"/>
              </w:rPr>
            </w:pPr>
          </w:p>
          <w:p w14:paraId="2CE34D39">
            <w:pPr>
              <w:spacing w:line="268" w:lineRule="auto"/>
              <w:rPr>
                <w:rFonts w:ascii="Arial"/>
                <w:sz w:val="21"/>
              </w:rPr>
            </w:pPr>
          </w:p>
          <w:p w14:paraId="1B5503E1">
            <w:pPr>
              <w:spacing w:line="268" w:lineRule="auto"/>
              <w:rPr>
                <w:rFonts w:ascii="Arial"/>
                <w:sz w:val="21"/>
              </w:rPr>
            </w:pPr>
          </w:p>
          <w:p w14:paraId="05226BE3">
            <w:pPr>
              <w:spacing w:line="268" w:lineRule="auto"/>
              <w:rPr>
                <w:rFonts w:ascii="Arial"/>
                <w:sz w:val="21"/>
              </w:rPr>
            </w:pPr>
          </w:p>
          <w:p w14:paraId="47068F17">
            <w:pPr>
              <w:pStyle w:val="6"/>
              <w:spacing w:before="65" w:line="290" w:lineRule="auto"/>
              <w:ind w:left="306" w:right="194" w:hanging="105"/>
            </w:pPr>
            <w:r>
              <w:rPr>
                <w:spacing w:val="6"/>
              </w:rPr>
              <w:t>地下水</w:t>
            </w:r>
            <w:r>
              <w:rPr>
                <w:spacing w:val="1"/>
              </w:rPr>
              <w:t xml:space="preserve"> </w:t>
            </w:r>
            <w:r>
              <w:rPr>
                <w:spacing w:val="4"/>
              </w:rPr>
              <w:t>环境</w:t>
            </w:r>
          </w:p>
        </w:tc>
        <w:tc>
          <w:tcPr>
            <w:tcW w:w="1746" w:type="dxa"/>
            <w:vAlign w:val="top"/>
          </w:tcPr>
          <w:p w14:paraId="289DC2C8">
            <w:pPr>
              <w:pStyle w:val="6"/>
              <w:spacing w:before="143" w:line="228" w:lineRule="auto"/>
              <w:ind w:left="352"/>
            </w:pPr>
            <w:r>
              <w:rPr>
                <w:rFonts w:ascii="Times New Roman" w:hAnsi="Times New Roman" w:eastAsia="Times New Roman" w:cs="Times New Roman"/>
                <w:spacing w:val="5"/>
              </w:rPr>
              <w:t>5#</w:t>
            </w:r>
            <w:r>
              <w:rPr>
                <w:spacing w:val="5"/>
              </w:rPr>
              <w:t>（已有）</w:t>
            </w:r>
          </w:p>
        </w:tc>
        <w:tc>
          <w:tcPr>
            <w:tcW w:w="4108" w:type="dxa"/>
            <w:vMerge w:val="restart"/>
            <w:tcBorders>
              <w:bottom w:val="nil"/>
            </w:tcBorders>
            <w:vAlign w:val="top"/>
          </w:tcPr>
          <w:p w14:paraId="03E69CEB">
            <w:pPr>
              <w:spacing w:line="294" w:lineRule="auto"/>
              <w:rPr>
                <w:rFonts w:ascii="Arial"/>
                <w:sz w:val="21"/>
              </w:rPr>
            </w:pPr>
          </w:p>
          <w:p w14:paraId="2F115286">
            <w:pPr>
              <w:pStyle w:val="6"/>
              <w:spacing w:before="65" w:line="288" w:lineRule="auto"/>
              <w:ind w:left="111" w:right="33" w:firstLine="484"/>
            </w:pPr>
            <w:r>
              <w:rPr>
                <w:spacing w:val="8"/>
              </w:rPr>
              <w:t>初次监测：</w:t>
            </w:r>
            <w:r>
              <w:rPr>
                <w:rFonts w:ascii="Times New Roman" w:hAnsi="Times New Roman" w:eastAsia="Times New Roman" w:cs="Times New Roman"/>
              </w:rPr>
              <w:t>pH</w:t>
            </w:r>
            <w:r>
              <w:rPr>
                <w:rFonts w:ascii="Times New Roman" w:hAnsi="Times New Roman" w:eastAsia="Times New Roman" w:cs="Times New Roman"/>
                <w:spacing w:val="-20"/>
              </w:rPr>
              <w:t xml:space="preserve"> </w:t>
            </w:r>
            <w:r>
              <w:rPr>
                <w:spacing w:val="8"/>
              </w:rPr>
              <w:t>、总硬度、溶解性总固</w:t>
            </w:r>
            <w:r>
              <w:t xml:space="preserve"> </w:t>
            </w:r>
            <w:r>
              <w:rPr>
                <w:spacing w:val="8"/>
              </w:rPr>
              <w:t>体、铁、锰、锌、挥发酚、耗氧量、氨氮、</w:t>
            </w:r>
            <w:r>
              <w:rPr>
                <w:spacing w:val="5"/>
              </w:rPr>
              <w:t xml:space="preserve"> </w:t>
            </w:r>
            <w:r>
              <w:rPr>
                <w:spacing w:val="4"/>
              </w:rPr>
              <w:t>总大肠菌群、细菌总数、亚硝酸盐氮、硝酸</w:t>
            </w:r>
            <w:r>
              <w:rPr>
                <w:spacing w:val="8"/>
              </w:rPr>
              <w:t xml:space="preserve"> 盐氮、氟化物、汞、砷、镉、六价铬、铅、</w:t>
            </w:r>
            <w:r>
              <w:rPr>
                <w:spacing w:val="5"/>
              </w:rPr>
              <w:t xml:space="preserve"> </w:t>
            </w:r>
            <w:r>
              <w:rPr>
                <w:spacing w:val="-7"/>
              </w:rPr>
              <w:t>钠（</w:t>
            </w:r>
            <w:r>
              <w:rPr>
                <w:rFonts w:ascii="Times New Roman" w:hAnsi="Times New Roman" w:eastAsia="Times New Roman" w:cs="Times New Roman"/>
                <w:spacing w:val="-7"/>
              </w:rPr>
              <w:t>Na</w:t>
            </w:r>
            <w:r>
              <w:rPr>
                <w:rFonts w:ascii="Times New Roman" w:hAnsi="Times New Roman" w:eastAsia="Times New Roman" w:cs="Times New Roman"/>
                <w:spacing w:val="-7"/>
                <w:position w:val="6"/>
                <w:sz w:val="13"/>
                <w:szCs w:val="13"/>
              </w:rPr>
              <w:t>+</w:t>
            </w:r>
            <w:r>
              <w:rPr>
                <w:spacing w:val="-33"/>
              </w:rPr>
              <w:t>）、</w:t>
            </w:r>
            <w:r>
              <w:rPr>
                <w:rFonts w:ascii="Times New Roman" w:hAnsi="Times New Roman" w:eastAsia="Times New Roman" w:cs="Times New Roman"/>
                <w:spacing w:val="-33"/>
              </w:rPr>
              <w:t>K</w:t>
            </w:r>
            <w:r>
              <w:rPr>
                <w:rFonts w:ascii="Times New Roman" w:hAnsi="Times New Roman" w:eastAsia="Times New Roman" w:cs="Times New Roman"/>
                <w:spacing w:val="4"/>
                <w:position w:val="6"/>
                <w:sz w:val="13"/>
                <w:szCs w:val="13"/>
              </w:rPr>
              <w:t>+</w:t>
            </w:r>
            <w:r>
              <w:rPr>
                <w:spacing w:val="-15"/>
              </w:rPr>
              <w:t>、</w:t>
            </w:r>
            <w:r>
              <w:rPr>
                <w:rFonts w:ascii="Times New Roman" w:hAnsi="Times New Roman" w:eastAsia="Times New Roman" w:cs="Times New Roman"/>
                <w:spacing w:val="-15"/>
              </w:rPr>
              <w:t>Ca</w:t>
            </w:r>
            <w:r>
              <w:rPr>
                <w:rFonts w:ascii="Times New Roman" w:hAnsi="Times New Roman" w:eastAsia="Times New Roman" w:cs="Times New Roman"/>
                <w:spacing w:val="5"/>
                <w:position w:val="6"/>
                <w:sz w:val="13"/>
                <w:szCs w:val="13"/>
              </w:rPr>
              <w:t>2+</w:t>
            </w:r>
            <w:r>
              <w:rPr>
                <w:spacing w:val="-7"/>
              </w:rPr>
              <w:t>、</w:t>
            </w:r>
            <w:r>
              <w:rPr>
                <w:rFonts w:ascii="Times New Roman" w:hAnsi="Times New Roman" w:eastAsia="Times New Roman" w:cs="Times New Roman"/>
                <w:spacing w:val="-7"/>
              </w:rPr>
              <w:t>Mg</w:t>
            </w:r>
            <w:r>
              <w:rPr>
                <w:rFonts w:ascii="Times New Roman" w:hAnsi="Times New Roman" w:eastAsia="Times New Roman" w:cs="Times New Roman"/>
                <w:spacing w:val="-7"/>
                <w:position w:val="6"/>
                <w:sz w:val="13"/>
                <w:szCs w:val="13"/>
              </w:rPr>
              <w:t>2+</w:t>
            </w:r>
            <w:r>
              <w:rPr>
                <w:spacing w:val="-6"/>
              </w:rPr>
              <w:t>、硫酸盐（</w:t>
            </w:r>
            <w:r>
              <w:rPr>
                <w:rFonts w:ascii="Times New Roman" w:hAnsi="Times New Roman" w:eastAsia="Times New Roman" w:cs="Times New Roman"/>
                <w:spacing w:val="-6"/>
              </w:rPr>
              <w:t>SO</w:t>
            </w:r>
            <w:r>
              <w:rPr>
                <w:rFonts w:ascii="Times New Roman" w:hAnsi="Times New Roman" w:eastAsia="Times New Roman" w:cs="Times New Roman"/>
                <w:spacing w:val="-6"/>
                <w:position w:val="-2"/>
                <w:sz w:val="13"/>
                <w:szCs w:val="13"/>
              </w:rPr>
              <w:t>4</w:t>
            </w:r>
            <w:r>
              <w:rPr>
                <w:rFonts w:ascii="Times New Roman" w:hAnsi="Times New Roman" w:eastAsia="Times New Roman" w:cs="Times New Roman"/>
                <w:spacing w:val="-6"/>
                <w:sz w:val="13"/>
                <w:szCs w:val="13"/>
              </w:rPr>
              <w:t>2-</w:t>
            </w:r>
            <w:r>
              <w:rPr>
                <w:spacing w:val="-47"/>
                <w:w w:val="95"/>
              </w:rPr>
              <w:t>）、</w:t>
            </w:r>
            <w:r>
              <w:rPr>
                <w:spacing w:val="2"/>
              </w:rPr>
              <w:t xml:space="preserve"> </w:t>
            </w:r>
            <w:r>
              <w:rPr>
                <w:spacing w:val="10"/>
              </w:rPr>
              <w:t>氯化物（</w:t>
            </w:r>
            <w:r>
              <w:rPr>
                <w:rFonts w:ascii="Times New Roman" w:hAnsi="Times New Roman" w:eastAsia="Times New Roman" w:cs="Times New Roman"/>
              </w:rPr>
              <w:t>Cl</w:t>
            </w:r>
            <w:r>
              <w:rPr>
                <w:rFonts w:ascii="Times New Roman" w:hAnsi="Times New Roman" w:eastAsia="Times New Roman" w:cs="Times New Roman"/>
                <w:spacing w:val="10"/>
                <w:sz w:val="13"/>
                <w:szCs w:val="13"/>
              </w:rPr>
              <w:t>-</w:t>
            </w:r>
            <w:r>
              <w:rPr>
                <w:spacing w:val="10"/>
              </w:rPr>
              <w:t xml:space="preserve">）、 </w:t>
            </w:r>
            <w:r>
              <w:rPr>
                <w:rFonts w:ascii="Times New Roman" w:hAnsi="Times New Roman" w:eastAsia="Times New Roman" w:cs="Times New Roman"/>
              </w:rPr>
              <w:t>CO</w:t>
            </w:r>
            <w:r>
              <w:rPr>
                <w:rFonts w:ascii="Times New Roman" w:hAnsi="Times New Roman" w:eastAsia="Times New Roman" w:cs="Times New Roman"/>
                <w:spacing w:val="10"/>
                <w:position w:val="-1"/>
                <w:sz w:val="13"/>
                <w:szCs w:val="13"/>
              </w:rPr>
              <w:t>3</w:t>
            </w:r>
            <w:r>
              <w:rPr>
                <w:rFonts w:ascii="Times New Roman" w:hAnsi="Times New Roman" w:eastAsia="Times New Roman" w:cs="Times New Roman"/>
                <w:spacing w:val="10"/>
                <w:position w:val="6"/>
                <w:sz w:val="13"/>
                <w:szCs w:val="13"/>
              </w:rPr>
              <w:t>2-</w:t>
            </w:r>
            <w:r>
              <w:rPr>
                <w:rFonts w:ascii="Times New Roman" w:hAnsi="Times New Roman" w:eastAsia="Times New Roman" w:cs="Times New Roman"/>
                <w:spacing w:val="-12"/>
                <w:position w:val="6"/>
                <w:sz w:val="13"/>
                <w:szCs w:val="13"/>
              </w:rPr>
              <w:t xml:space="preserve"> </w:t>
            </w:r>
            <w:r>
              <w:rPr>
                <w:spacing w:val="10"/>
              </w:rPr>
              <w:t>、</w:t>
            </w:r>
            <w:r>
              <w:rPr>
                <w:rFonts w:ascii="Times New Roman" w:hAnsi="Times New Roman" w:eastAsia="Times New Roman" w:cs="Times New Roman"/>
              </w:rPr>
              <w:t>HCO</w:t>
            </w:r>
            <w:r>
              <w:rPr>
                <w:rFonts w:ascii="Times New Roman" w:hAnsi="Times New Roman" w:eastAsia="Times New Roman" w:cs="Times New Roman"/>
                <w:spacing w:val="10"/>
                <w:position w:val="6"/>
                <w:sz w:val="13"/>
                <w:szCs w:val="13"/>
              </w:rPr>
              <w:t>-</w:t>
            </w:r>
            <w:r>
              <w:rPr>
                <w:rFonts w:ascii="Times New Roman" w:hAnsi="Times New Roman" w:eastAsia="Times New Roman" w:cs="Times New Roman"/>
                <w:spacing w:val="-9"/>
                <w:position w:val="6"/>
                <w:sz w:val="13"/>
                <w:szCs w:val="13"/>
              </w:rPr>
              <w:t xml:space="preserve"> </w:t>
            </w:r>
            <w:r>
              <w:rPr>
                <w:spacing w:val="10"/>
              </w:rPr>
              <w:t>、石油类。</w:t>
            </w:r>
            <w:r>
              <w:t xml:space="preserve">  </w:t>
            </w:r>
            <w:r>
              <w:rPr>
                <w:spacing w:val="18"/>
              </w:rPr>
              <w:t>后期监测：氨氮、氟化物、铅、砷等。</w:t>
            </w:r>
          </w:p>
        </w:tc>
        <w:tc>
          <w:tcPr>
            <w:tcW w:w="1633" w:type="dxa"/>
            <w:vMerge w:val="restart"/>
            <w:tcBorders>
              <w:bottom w:val="nil"/>
            </w:tcBorders>
            <w:vAlign w:val="top"/>
          </w:tcPr>
          <w:p w14:paraId="307AA82F">
            <w:pPr>
              <w:pStyle w:val="6"/>
              <w:spacing w:before="51" w:line="228" w:lineRule="auto"/>
              <w:ind w:left="193"/>
            </w:pPr>
            <w:r>
              <w:rPr>
                <w:rFonts w:ascii="Times New Roman" w:hAnsi="Times New Roman" w:eastAsia="Times New Roman" w:cs="Times New Roman"/>
                <w:spacing w:val="6"/>
              </w:rPr>
              <w:t>5#</w:t>
            </w:r>
            <w:r>
              <w:rPr>
                <w:spacing w:val="6"/>
              </w:rPr>
              <w:t>井每年监测</w:t>
            </w:r>
          </w:p>
          <w:p w14:paraId="6FCB9A25">
            <w:pPr>
              <w:pStyle w:val="6"/>
              <w:spacing w:before="65" w:line="228" w:lineRule="auto"/>
              <w:ind w:left="118"/>
            </w:pPr>
            <w:r>
              <w:rPr>
                <w:spacing w:val="-1"/>
              </w:rPr>
              <w:t>一次，其他井每</w:t>
            </w:r>
          </w:p>
          <w:p w14:paraId="3156C2E3">
            <w:pPr>
              <w:pStyle w:val="6"/>
              <w:spacing w:before="64" w:line="228" w:lineRule="auto"/>
              <w:ind w:left="118"/>
            </w:pPr>
            <w:r>
              <w:rPr>
                <w:spacing w:val="6"/>
              </w:rPr>
              <w:t>半年监测一次，</w:t>
            </w:r>
          </w:p>
          <w:p w14:paraId="656162F4">
            <w:pPr>
              <w:pStyle w:val="6"/>
              <w:spacing w:before="65" w:line="228" w:lineRule="auto"/>
              <w:ind w:left="191"/>
            </w:pPr>
            <w:r>
              <w:rPr>
                <w:spacing w:val="8"/>
              </w:rPr>
              <w:t>遇到特殊情况</w:t>
            </w:r>
          </w:p>
          <w:p w14:paraId="6510144F">
            <w:pPr>
              <w:pStyle w:val="6"/>
              <w:spacing w:before="65" w:line="228" w:lineRule="auto"/>
              <w:ind w:left="194"/>
            </w:pPr>
            <w:r>
              <w:rPr>
                <w:spacing w:val="7"/>
              </w:rPr>
              <w:t>或发生污染事</w:t>
            </w:r>
          </w:p>
          <w:p w14:paraId="561245CA">
            <w:pPr>
              <w:pStyle w:val="6"/>
              <w:spacing w:before="64" w:line="229" w:lineRule="auto"/>
              <w:ind w:left="118"/>
            </w:pPr>
            <w:r>
              <w:t>故，可能影响地</w:t>
            </w:r>
          </w:p>
          <w:p w14:paraId="420AE001">
            <w:pPr>
              <w:pStyle w:val="6"/>
              <w:spacing w:before="63" w:line="228" w:lineRule="auto"/>
              <w:ind w:left="121"/>
            </w:pPr>
            <w:r>
              <w:rPr>
                <w:spacing w:val="-1"/>
              </w:rPr>
              <w:t>下水水质时，应</w:t>
            </w:r>
          </w:p>
          <w:p w14:paraId="4F28DEED">
            <w:pPr>
              <w:pStyle w:val="6"/>
              <w:spacing w:before="66" w:line="227" w:lineRule="auto"/>
              <w:ind w:left="203"/>
            </w:pPr>
            <w:r>
              <w:rPr>
                <w:spacing w:val="6"/>
              </w:rPr>
              <w:t>随时增加采样</w:t>
            </w:r>
          </w:p>
          <w:p w14:paraId="50675E8C">
            <w:pPr>
              <w:pStyle w:val="6"/>
              <w:spacing w:before="66" w:line="228" w:lineRule="auto"/>
              <w:ind w:left="507"/>
            </w:pPr>
            <w:r>
              <w:rPr>
                <w:spacing w:val="2"/>
              </w:rPr>
              <w:t>频次。</w:t>
            </w:r>
          </w:p>
        </w:tc>
      </w:tr>
      <w:tr w14:paraId="36282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22" w:type="dxa"/>
            <w:vMerge w:val="continue"/>
            <w:tcBorders>
              <w:top w:val="nil"/>
              <w:bottom w:val="nil"/>
            </w:tcBorders>
            <w:vAlign w:val="top"/>
          </w:tcPr>
          <w:p w14:paraId="4BC186C3">
            <w:pPr>
              <w:rPr>
                <w:rFonts w:ascii="Arial"/>
                <w:sz w:val="21"/>
              </w:rPr>
            </w:pPr>
          </w:p>
        </w:tc>
        <w:tc>
          <w:tcPr>
            <w:tcW w:w="1746" w:type="dxa"/>
            <w:vAlign w:val="top"/>
          </w:tcPr>
          <w:p w14:paraId="31FDD41A">
            <w:pPr>
              <w:pStyle w:val="6"/>
              <w:spacing w:before="92" w:line="228" w:lineRule="auto"/>
              <w:ind w:left="351"/>
            </w:pPr>
            <w:r>
              <w:rPr>
                <w:rFonts w:ascii="Times New Roman" w:hAnsi="Times New Roman" w:eastAsia="Times New Roman" w:cs="Times New Roman"/>
                <w:spacing w:val="5"/>
              </w:rPr>
              <w:t>3#</w:t>
            </w:r>
            <w:r>
              <w:rPr>
                <w:spacing w:val="5"/>
              </w:rPr>
              <w:t>（已有）</w:t>
            </w:r>
          </w:p>
        </w:tc>
        <w:tc>
          <w:tcPr>
            <w:tcW w:w="4108" w:type="dxa"/>
            <w:vMerge w:val="continue"/>
            <w:tcBorders>
              <w:top w:val="nil"/>
              <w:bottom w:val="nil"/>
            </w:tcBorders>
            <w:vAlign w:val="top"/>
          </w:tcPr>
          <w:p w14:paraId="4C90C095">
            <w:pPr>
              <w:rPr>
                <w:rFonts w:ascii="Arial"/>
                <w:sz w:val="21"/>
              </w:rPr>
            </w:pPr>
          </w:p>
        </w:tc>
        <w:tc>
          <w:tcPr>
            <w:tcW w:w="1633" w:type="dxa"/>
            <w:vMerge w:val="continue"/>
            <w:tcBorders>
              <w:top w:val="nil"/>
              <w:bottom w:val="nil"/>
            </w:tcBorders>
            <w:vAlign w:val="top"/>
          </w:tcPr>
          <w:p w14:paraId="780E84F6">
            <w:pPr>
              <w:rPr>
                <w:rFonts w:ascii="Arial"/>
                <w:sz w:val="21"/>
              </w:rPr>
            </w:pPr>
          </w:p>
        </w:tc>
      </w:tr>
      <w:tr w14:paraId="7A45D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1022" w:type="dxa"/>
            <w:vMerge w:val="continue"/>
            <w:tcBorders>
              <w:top w:val="nil"/>
            </w:tcBorders>
            <w:vAlign w:val="top"/>
          </w:tcPr>
          <w:p w14:paraId="41592224">
            <w:pPr>
              <w:rPr>
                <w:rFonts w:ascii="Arial"/>
                <w:sz w:val="21"/>
              </w:rPr>
            </w:pPr>
          </w:p>
        </w:tc>
        <w:tc>
          <w:tcPr>
            <w:tcW w:w="1746" w:type="dxa"/>
            <w:vAlign w:val="top"/>
          </w:tcPr>
          <w:p w14:paraId="6A06C920">
            <w:pPr>
              <w:spacing w:line="259" w:lineRule="auto"/>
              <w:rPr>
                <w:rFonts w:ascii="Arial"/>
                <w:sz w:val="21"/>
              </w:rPr>
            </w:pPr>
          </w:p>
          <w:p w14:paraId="55885E46">
            <w:pPr>
              <w:spacing w:line="259" w:lineRule="auto"/>
              <w:rPr>
                <w:rFonts w:ascii="Arial"/>
                <w:sz w:val="21"/>
              </w:rPr>
            </w:pPr>
          </w:p>
          <w:p w14:paraId="1FCCB259">
            <w:pPr>
              <w:spacing w:line="260" w:lineRule="auto"/>
              <w:rPr>
                <w:rFonts w:ascii="Arial"/>
                <w:sz w:val="21"/>
              </w:rPr>
            </w:pPr>
          </w:p>
          <w:p w14:paraId="6BF8FA49">
            <w:pPr>
              <w:pStyle w:val="6"/>
              <w:spacing w:before="65" w:line="228" w:lineRule="auto"/>
              <w:ind w:left="367"/>
            </w:pPr>
            <w:r>
              <w:rPr>
                <w:rFonts w:ascii="Times New Roman" w:hAnsi="Times New Roman" w:eastAsia="Times New Roman" w:cs="Times New Roman"/>
                <w:spacing w:val="2"/>
              </w:rPr>
              <w:t>1#</w:t>
            </w:r>
            <w:r>
              <w:rPr>
                <w:spacing w:val="2"/>
              </w:rPr>
              <w:t>（已有）</w:t>
            </w:r>
          </w:p>
        </w:tc>
        <w:tc>
          <w:tcPr>
            <w:tcW w:w="4108" w:type="dxa"/>
            <w:vMerge w:val="continue"/>
            <w:tcBorders>
              <w:top w:val="nil"/>
            </w:tcBorders>
            <w:vAlign w:val="top"/>
          </w:tcPr>
          <w:p w14:paraId="3CD19F3E">
            <w:pPr>
              <w:rPr>
                <w:rFonts w:ascii="Arial"/>
                <w:sz w:val="21"/>
              </w:rPr>
            </w:pPr>
          </w:p>
        </w:tc>
        <w:tc>
          <w:tcPr>
            <w:tcW w:w="1633" w:type="dxa"/>
            <w:vMerge w:val="continue"/>
            <w:tcBorders>
              <w:top w:val="nil"/>
            </w:tcBorders>
            <w:vAlign w:val="top"/>
          </w:tcPr>
          <w:p w14:paraId="12C1093B">
            <w:pPr>
              <w:rPr>
                <w:rFonts w:ascii="Arial"/>
                <w:sz w:val="21"/>
              </w:rPr>
            </w:pPr>
          </w:p>
        </w:tc>
      </w:tr>
      <w:tr w14:paraId="5D714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022" w:type="dxa"/>
            <w:vAlign w:val="top"/>
          </w:tcPr>
          <w:p w14:paraId="7B70A393">
            <w:pPr>
              <w:pStyle w:val="6"/>
              <w:spacing w:before="160" w:line="229" w:lineRule="auto"/>
              <w:ind w:left="307"/>
            </w:pPr>
            <w:r>
              <w:rPr>
                <w:spacing w:val="4"/>
              </w:rPr>
              <w:t>土壤</w:t>
            </w:r>
          </w:p>
          <w:p w14:paraId="010BDB15">
            <w:pPr>
              <w:pStyle w:val="6"/>
              <w:spacing w:before="64" w:line="228" w:lineRule="auto"/>
              <w:ind w:left="307"/>
            </w:pPr>
            <w:r>
              <w:rPr>
                <w:spacing w:val="4"/>
              </w:rPr>
              <w:t>环境</w:t>
            </w:r>
          </w:p>
        </w:tc>
        <w:tc>
          <w:tcPr>
            <w:tcW w:w="1746" w:type="dxa"/>
            <w:vAlign w:val="top"/>
          </w:tcPr>
          <w:p w14:paraId="0A31DC8A">
            <w:pPr>
              <w:spacing w:line="250" w:lineRule="auto"/>
              <w:rPr>
                <w:rFonts w:ascii="Arial"/>
                <w:sz w:val="21"/>
              </w:rPr>
            </w:pPr>
          </w:p>
          <w:p w14:paraId="59670FA6">
            <w:pPr>
              <w:pStyle w:val="6"/>
              <w:spacing w:before="65" w:line="228" w:lineRule="auto"/>
              <w:ind w:left="458"/>
            </w:pPr>
            <w:r>
              <w:rPr>
                <w:spacing w:val="6"/>
              </w:rPr>
              <w:t>工业场地</w:t>
            </w:r>
          </w:p>
        </w:tc>
        <w:tc>
          <w:tcPr>
            <w:tcW w:w="4108" w:type="dxa"/>
            <w:vAlign w:val="top"/>
          </w:tcPr>
          <w:p w14:paraId="14609AB9">
            <w:pPr>
              <w:spacing w:line="250" w:lineRule="auto"/>
              <w:rPr>
                <w:rFonts w:ascii="Arial"/>
                <w:sz w:val="21"/>
              </w:rPr>
            </w:pPr>
          </w:p>
          <w:p w14:paraId="1393CB5F">
            <w:pPr>
              <w:pStyle w:val="6"/>
              <w:spacing w:before="65" w:line="221" w:lineRule="auto"/>
              <w:ind w:left="103"/>
            </w:pP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值、镉、汞、砷、铜、铅、铬、锌、镍</w:t>
            </w:r>
          </w:p>
        </w:tc>
        <w:tc>
          <w:tcPr>
            <w:tcW w:w="1633" w:type="dxa"/>
            <w:vAlign w:val="top"/>
          </w:tcPr>
          <w:p w14:paraId="530E0254">
            <w:pPr>
              <w:spacing w:line="249" w:lineRule="auto"/>
              <w:rPr>
                <w:rFonts w:ascii="Arial"/>
                <w:sz w:val="21"/>
              </w:rPr>
            </w:pPr>
          </w:p>
          <w:p w14:paraId="6FC51BEB">
            <w:pPr>
              <w:pStyle w:val="6"/>
              <w:spacing w:before="65" w:line="228" w:lineRule="auto"/>
              <w:ind w:left="400"/>
            </w:pPr>
            <w:r>
              <w:rPr>
                <w:spacing w:val="7"/>
              </w:rPr>
              <w:t>每年一次</w:t>
            </w:r>
          </w:p>
        </w:tc>
      </w:tr>
    </w:tbl>
    <w:p w14:paraId="5946ED3F">
      <w:pPr>
        <w:spacing w:before="115" w:line="219" w:lineRule="auto"/>
        <w:ind w:left="594"/>
        <w:rPr>
          <w:rFonts w:ascii="宋体" w:hAnsi="宋体" w:eastAsia="宋体" w:cs="宋体"/>
          <w:sz w:val="24"/>
          <w:szCs w:val="24"/>
        </w:rPr>
      </w:pPr>
      <w:r>
        <w:rPr>
          <w:rFonts w:ascii="宋体" w:hAnsi="宋体" w:eastAsia="宋体" w:cs="宋体"/>
          <w:spacing w:val="-1"/>
          <w:sz w:val="24"/>
          <w:szCs w:val="24"/>
        </w:rPr>
        <w:t>运营期环境监测方案内容包括：</w:t>
      </w:r>
    </w:p>
    <w:p w14:paraId="586CF257">
      <w:pPr>
        <w:spacing w:before="183" w:line="219" w:lineRule="auto"/>
        <w:ind w:left="61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）现场监督检查</w:t>
      </w:r>
    </w:p>
    <w:p w14:paraId="09A60150">
      <w:pPr>
        <w:spacing w:before="183" w:line="360" w:lineRule="auto"/>
        <w:ind w:left="114" w:right="103" w:firstLine="487"/>
        <w:rPr>
          <w:rFonts w:ascii="宋体" w:hAnsi="宋体" w:eastAsia="宋体" w:cs="宋体"/>
          <w:sz w:val="24"/>
          <w:szCs w:val="24"/>
        </w:rPr>
      </w:pPr>
      <w:r>
        <w:rPr>
          <w:rFonts w:ascii="宋体" w:hAnsi="宋体" w:eastAsia="宋体" w:cs="宋体"/>
          <w:spacing w:val="-3"/>
          <w:sz w:val="24"/>
          <w:szCs w:val="24"/>
        </w:rPr>
        <w:t>公司环保科专职环保人员通过便携式检测仪、</w:t>
      </w:r>
      <w:r>
        <w:rPr>
          <w:rFonts w:ascii="宋体" w:hAnsi="宋体" w:eastAsia="宋体" w:cs="宋体"/>
          <w:spacing w:val="-4"/>
          <w:sz w:val="24"/>
          <w:szCs w:val="24"/>
        </w:rPr>
        <w:t>摄像等方式在矿区内进行流动</w:t>
      </w:r>
      <w:r>
        <w:rPr>
          <w:rFonts w:ascii="宋体" w:hAnsi="宋体" w:eastAsia="宋体" w:cs="宋体"/>
          <w:sz w:val="24"/>
          <w:szCs w:val="24"/>
        </w:rPr>
        <w:t xml:space="preserve"> </w:t>
      </w:r>
      <w:r>
        <w:rPr>
          <w:rFonts w:ascii="宋体" w:hAnsi="宋体" w:eastAsia="宋体" w:cs="宋体"/>
          <w:spacing w:val="-1"/>
          <w:sz w:val="24"/>
          <w:szCs w:val="24"/>
        </w:rPr>
        <w:t>检查，发现问题，及时处理。</w:t>
      </w:r>
    </w:p>
    <w:p w14:paraId="32928880">
      <w:pPr>
        <w:spacing w:before="1" w:line="219" w:lineRule="auto"/>
        <w:ind w:left="58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）监测信息反馈</w:t>
      </w:r>
    </w:p>
    <w:p w14:paraId="2DDE80D0">
      <w:pPr>
        <w:spacing w:before="183" w:line="360" w:lineRule="auto"/>
        <w:ind w:left="113" w:right="41" w:firstLine="480"/>
        <w:rPr>
          <w:rFonts w:ascii="宋体" w:hAnsi="宋体" w:eastAsia="宋体" w:cs="宋体"/>
          <w:sz w:val="24"/>
          <w:szCs w:val="24"/>
        </w:rPr>
      </w:pPr>
      <w:r>
        <w:rPr>
          <w:rFonts w:ascii="宋体" w:hAnsi="宋体" w:eastAsia="宋体" w:cs="宋体"/>
          <w:spacing w:val="-8"/>
          <w:sz w:val="24"/>
          <w:szCs w:val="24"/>
        </w:rPr>
        <w:t>对监测、检查结果进行统计汇报，如有异常，及时反馈</w:t>
      </w:r>
      <w:r>
        <w:rPr>
          <w:rFonts w:ascii="宋体" w:hAnsi="宋体" w:eastAsia="宋体" w:cs="宋体"/>
          <w:spacing w:val="-9"/>
          <w:sz w:val="24"/>
          <w:szCs w:val="24"/>
        </w:rPr>
        <w:t>生产部门，查找原因，</w:t>
      </w:r>
      <w:r>
        <w:rPr>
          <w:rFonts w:ascii="宋体" w:hAnsi="宋体" w:eastAsia="宋体" w:cs="宋体"/>
          <w:sz w:val="24"/>
          <w:szCs w:val="24"/>
        </w:rPr>
        <w:t xml:space="preserve"> </w:t>
      </w:r>
      <w:r>
        <w:rPr>
          <w:rFonts w:ascii="宋体" w:hAnsi="宋体" w:eastAsia="宋体" w:cs="宋体"/>
          <w:spacing w:val="-1"/>
          <w:sz w:val="24"/>
          <w:szCs w:val="24"/>
        </w:rPr>
        <w:t>及时解决。环境监测结果，如实向环境保护行政主管部门汇报。</w:t>
      </w:r>
    </w:p>
    <w:p w14:paraId="6EA41A15">
      <w:pPr>
        <w:spacing w:line="219" w:lineRule="auto"/>
        <w:ind w:left="594"/>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）建立地下水长期动态监测网</w:t>
      </w:r>
    </w:p>
    <w:p w14:paraId="0E159C3F">
      <w:pPr>
        <w:spacing w:before="184" w:line="361" w:lineRule="auto"/>
        <w:ind w:left="114" w:right="103" w:firstLine="482"/>
        <w:rPr>
          <w:rFonts w:ascii="宋体" w:hAnsi="宋体" w:eastAsia="宋体" w:cs="宋体"/>
          <w:sz w:val="24"/>
          <w:szCs w:val="24"/>
        </w:rPr>
      </w:pPr>
      <w:r>
        <w:rPr>
          <w:rFonts w:ascii="宋体" w:hAnsi="宋体" w:eastAsia="宋体" w:cs="宋体"/>
          <w:spacing w:val="-3"/>
          <w:sz w:val="24"/>
          <w:szCs w:val="24"/>
        </w:rPr>
        <w:t>建立矿区地下水长期动态观测网，对地下水进行长期动态</w:t>
      </w:r>
      <w:r>
        <w:rPr>
          <w:rFonts w:ascii="宋体" w:hAnsi="宋体" w:eastAsia="宋体" w:cs="宋体"/>
          <w:spacing w:val="-4"/>
          <w:sz w:val="24"/>
          <w:szCs w:val="24"/>
        </w:rPr>
        <w:t>观测，对地下水水</w:t>
      </w:r>
      <w:r>
        <w:rPr>
          <w:rFonts w:ascii="宋体" w:hAnsi="宋体" w:eastAsia="宋体" w:cs="宋体"/>
          <w:sz w:val="24"/>
          <w:szCs w:val="24"/>
        </w:rPr>
        <w:t xml:space="preserve"> 井水位、水质进行监测评估，为矿山实施供水</w:t>
      </w:r>
      <w:r>
        <w:rPr>
          <w:rFonts w:ascii="宋体" w:hAnsi="宋体" w:eastAsia="宋体" w:cs="宋体"/>
          <w:spacing w:val="-1"/>
          <w:sz w:val="24"/>
          <w:szCs w:val="24"/>
        </w:rPr>
        <w:t>应急预案提供决策依据。</w:t>
      </w:r>
    </w:p>
    <w:p w14:paraId="40330349">
      <w:pPr>
        <w:spacing w:before="79" w:line="222" w:lineRule="auto"/>
        <w:ind w:left="123"/>
        <w:outlineLvl w:val="1"/>
        <w:rPr>
          <w:rFonts w:ascii="黑体" w:hAnsi="黑体" w:eastAsia="黑体" w:cs="黑体"/>
          <w:sz w:val="28"/>
          <w:szCs w:val="28"/>
        </w:rPr>
      </w:pPr>
      <w:bookmarkStart w:id="195" w:name="bookmark173"/>
      <w:bookmarkEnd w:id="195"/>
      <w:r>
        <w:rPr>
          <w:rFonts w:ascii="Times New Roman" w:hAnsi="Times New Roman" w:eastAsia="Times New Roman" w:cs="Times New Roman"/>
          <w:b/>
          <w:bCs/>
          <w:spacing w:val="-3"/>
          <w:sz w:val="28"/>
          <w:szCs w:val="28"/>
        </w:rPr>
        <w:t xml:space="preserve">12.3 </w:t>
      </w:r>
      <w:r>
        <w:rPr>
          <w:rFonts w:ascii="黑体" w:hAnsi="黑体" w:eastAsia="黑体" w:cs="黑体"/>
          <w:b/>
          <w:bCs/>
          <w:spacing w:val="-3"/>
          <w:sz w:val="28"/>
          <w:szCs w:val="28"/>
        </w:rPr>
        <w:t>建设项目环境保护验收内容</w:t>
      </w:r>
    </w:p>
    <w:p w14:paraId="1EB33089">
      <w:pPr>
        <w:spacing w:before="255" w:line="219" w:lineRule="auto"/>
        <w:ind w:left="595"/>
        <w:rPr>
          <w:rFonts w:ascii="宋体" w:hAnsi="宋体" w:eastAsia="宋体" w:cs="宋体"/>
          <w:sz w:val="24"/>
          <w:szCs w:val="24"/>
        </w:rPr>
      </w:pPr>
      <w:r>
        <w:rPr>
          <w:rFonts w:ascii="宋体" w:hAnsi="宋体" w:eastAsia="宋体" w:cs="宋体"/>
          <w:spacing w:val="-2"/>
          <w:sz w:val="24"/>
          <w:szCs w:val="24"/>
        </w:rPr>
        <w:t>本工程环境保护验收内容见表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12.3-1</w:t>
      </w:r>
      <w:r>
        <w:rPr>
          <w:rFonts w:ascii="宋体" w:hAnsi="宋体" w:eastAsia="宋体" w:cs="宋体"/>
          <w:spacing w:val="-2"/>
          <w:sz w:val="24"/>
          <w:szCs w:val="24"/>
        </w:rPr>
        <w:t>。</w:t>
      </w:r>
    </w:p>
    <w:p w14:paraId="29EDB794">
      <w:pPr>
        <w:spacing w:line="219" w:lineRule="auto"/>
        <w:rPr>
          <w:rFonts w:ascii="宋体" w:hAnsi="宋体" w:eastAsia="宋体" w:cs="宋体"/>
          <w:sz w:val="24"/>
          <w:szCs w:val="24"/>
        </w:rPr>
        <w:sectPr>
          <w:headerReference r:id="rId432" w:type="default"/>
          <w:footerReference r:id="rId433" w:type="default"/>
          <w:pgSz w:w="11906" w:h="16839"/>
          <w:pgMar w:top="1208" w:right="1696" w:bottom="1358" w:left="1695" w:header="825" w:footer="1195" w:gutter="0"/>
          <w:cols w:space="720" w:num="1"/>
        </w:sectPr>
      </w:pPr>
    </w:p>
    <w:p w14:paraId="7AC3AE78">
      <w:pPr>
        <w:pStyle w:val="2"/>
        <w:spacing w:line="272" w:lineRule="auto"/>
      </w:pPr>
    </w:p>
    <w:p w14:paraId="4F254651">
      <w:pPr>
        <w:pStyle w:val="2"/>
        <w:spacing w:line="272" w:lineRule="auto"/>
      </w:pPr>
    </w:p>
    <w:p w14:paraId="4D37A1E6">
      <w:pPr>
        <w:spacing w:before="78" w:line="211" w:lineRule="auto"/>
        <w:ind w:left="518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 xml:space="preserve">12.3-1        </w:t>
      </w:r>
      <w:r>
        <w:rPr>
          <w:rFonts w:ascii="宋体" w:hAnsi="宋体" w:eastAsia="宋体" w:cs="宋体"/>
          <w:spacing w:val="-2"/>
          <w:sz w:val="24"/>
          <w:szCs w:val="24"/>
        </w:rPr>
        <w:t>环境保护竣工验收内容</w:t>
      </w: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814"/>
        <w:gridCol w:w="1950"/>
        <w:gridCol w:w="5499"/>
        <w:gridCol w:w="4004"/>
      </w:tblGrid>
      <w:tr w14:paraId="00B5E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12" w:type="dxa"/>
            <w:vAlign w:val="top"/>
          </w:tcPr>
          <w:p w14:paraId="38F55F9A">
            <w:pPr>
              <w:pStyle w:val="6"/>
              <w:spacing w:before="98" w:line="228" w:lineRule="auto"/>
              <w:ind w:left="253"/>
            </w:pPr>
            <w:r>
              <w:rPr>
                <w:spacing w:val="3"/>
              </w:rPr>
              <w:t>分期</w:t>
            </w:r>
          </w:p>
        </w:tc>
        <w:tc>
          <w:tcPr>
            <w:tcW w:w="1814" w:type="dxa"/>
            <w:vAlign w:val="top"/>
          </w:tcPr>
          <w:p w14:paraId="6D1852F2">
            <w:pPr>
              <w:pStyle w:val="6"/>
              <w:spacing w:before="97" w:line="228" w:lineRule="auto"/>
              <w:ind w:left="703"/>
            </w:pPr>
            <w:r>
              <w:rPr>
                <w:spacing w:val="3"/>
              </w:rPr>
              <w:t>项目</w:t>
            </w:r>
          </w:p>
        </w:tc>
        <w:tc>
          <w:tcPr>
            <w:tcW w:w="1950" w:type="dxa"/>
            <w:vAlign w:val="top"/>
          </w:tcPr>
          <w:p w14:paraId="3A87A02D">
            <w:pPr>
              <w:pStyle w:val="6"/>
              <w:spacing w:before="97" w:line="228" w:lineRule="auto"/>
              <w:ind w:left="793"/>
            </w:pPr>
            <w:r>
              <w:rPr>
                <w:spacing w:val="-8"/>
              </w:rPr>
              <w:t>内容</w:t>
            </w:r>
          </w:p>
        </w:tc>
        <w:tc>
          <w:tcPr>
            <w:tcW w:w="5499" w:type="dxa"/>
            <w:vAlign w:val="top"/>
          </w:tcPr>
          <w:p w14:paraId="093DE216">
            <w:pPr>
              <w:pStyle w:val="6"/>
              <w:spacing w:before="97" w:line="228" w:lineRule="auto"/>
              <w:ind w:left="2332"/>
            </w:pPr>
            <w:r>
              <w:rPr>
                <w:spacing w:val="7"/>
              </w:rPr>
              <w:t>验收要求</w:t>
            </w:r>
          </w:p>
        </w:tc>
        <w:tc>
          <w:tcPr>
            <w:tcW w:w="4004" w:type="dxa"/>
            <w:vAlign w:val="top"/>
          </w:tcPr>
          <w:p w14:paraId="7C9D7BF6">
            <w:pPr>
              <w:pStyle w:val="6"/>
              <w:spacing w:before="97" w:line="229" w:lineRule="auto"/>
              <w:ind w:left="1800"/>
            </w:pPr>
            <w:r>
              <w:rPr>
                <w:spacing w:val="3"/>
              </w:rPr>
              <w:t>备注</w:t>
            </w:r>
          </w:p>
        </w:tc>
      </w:tr>
      <w:tr w14:paraId="31C9D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12" w:type="dxa"/>
            <w:vMerge w:val="restart"/>
            <w:tcBorders>
              <w:bottom w:val="nil"/>
            </w:tcBorders>
            <w:textDirection w:val="tbRlV"/>
            <w:vAlign w:val="top"/>
          </w:tcPr>
          <w:p w14:paraId="191C9D80">
            <w:pPr>
              <w:spacing w:line="273" w:lineRule="auto"/>
              <w:rPr>
                <w:rFonts w:ascii="Arial"/>
                <w:sz w:val="21"/>
              </w:rPr>
            </w:pPr>
          </w:p>
          <w:p w14:paraId="74EA79CB">
            <w:pPr>
              <w:pStyle w:val="6"/>
              <w:spacing w:before="67" w:line="217" w:lineRule="auto"/>
              <w:ind w:left="1472"/>
            </w:pPr>
            <w:r>
              <w:rPr>
                <w:spacing w:val="6"/>
              </w:rPr>
              <w:t>施 工 期</w:t>
            </w:r>
          </w:p>
        </w:tc>
        <w:tc>
          <w:tcPr>
            <w:tcW w:w="1814" w:type="dxa"/>
            <w:vAlign w:val="top"/>
          </w:tcPr>
          <w:p w14:paraId="1ADD43FC">
            <w:pPr>
              <w:pStyle w:val="6"/>
              <w:spacing w:before="207" w:line="291" w:lineRule="auto"/>
              <w:ind w:left="804" w:right="173" w:hanging="627"/>
            </w:pPr>
            <w:r>
              <w:rPr>
                <w:spacing w:val="8"/>
              </w:rPr>
              <w:t>大气污染防治措</w:t>
            </w:r>
            <w:r>
              <w:rPr>
                <w:spacing w:val="1"/>
              </w:rPr>
              <w:t xml:space="preserve"> 施</w:t>
            </w:r>
          </w:p>
        </w:tc>
        <w:tc>
          <w:tcPr>
            <w:tcW w:w="1950" w:type="dxa"/>
            <w:vAlign w:val="top"/>
          </w:tcPr>
          <w:p w14:paraId="549F3C49">
            <w:pPr>
              <w:spacing w:line="296" w:lineRule="auto"/>
              <w:rPr>
                <w:rFonts w:ascii="Arial"/>
                <w:sz w:val="21"/>
              </w:rPr>
            </w:pPr>
          </w:p>
          <w:p w14:paraId="58B97F0B">
            <w:pPr>
              <w:pStyle w:val="6"/>
              <w:spacing w:before="65" w:line="228" w:lineRule="auto"/>
              <w:ind w:left="247"/>
            </w:pPr>
            <w:r>
              <w:rPr>
                <w:spacing w:val="8"/>
              </w:rPr>
              <w:t>厂界无组织粉尘</w:t>
            </w:r>
          </w:p>
        </w:tc>
        <w:tc>
          <w:tcPr>
            <w:tcW w:w="5499" w:type="dxa"/>
            <w:vAlign w:val="top"/>
          </w:tcPr>
          <w:p w14:paraId="42E14D86">
            <w:pPr>
              <w:spacing w:line="296" w:lineRule="auto"/>
              <w:rPr>
                <w:rFonts w:ascii="Arial"/>
                <w:sz w:val="21"/>
              </w:rPr>
            </w:pPr>
          </w:p>
          <w:p w14:paraId="2724ED6C">
            <w:pPr>
              <w:pStyle w:val="6"/>
              <w:spacing w:before="65" w:line="227" w:lineRule="auto"/>
              <w:ind w:left="444"/>
            </w:pPr>
            <w:r>
              <w:rPr>
                <w:spacing w:val="9"/>
              </w:rPr>
              <w:t>及时洒水抑尘、防尘布苫盖覆盖、及时清理物料等</w:t>
            </w:r>
          </w:p>
        </w:tc>
        <w:tc>
          <w:tcPr>
            <w:tcW w:w="4004" w:type="dxa"/>
            <w:vAlign w:val="top"/>
          </w:tcPr>
          <w:p w14:paraId="50F660CA">
            <w:pPr>
              <w:pStyle w:val="6"/>
              <w:spacing w:before="51" w:line="227" w:lineRule="auto"/>
              <w:ind w:left="646"/>
            </w:pPr>
            <w:r>
              <w:rPr>
                <w:spacing w:val="8"/>
              </w:rPr>
              <w:t>《大气污染物综合排放标准》</w:t>
            </w:r>
          </w:p>
          <w:p w14:paraId="2EBE373F">
            <w:pPr>
              <w:pStyle w:val="6"/>
              <w:spacing w:before="66" w:line="221" w:lineRule="auto"/>
              <w:ind w:left="130"/>
            </w:pP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16297-1996)</w:t>
            </w:r>
            <w:r>
              <w:rPr>
                <w:spacing w:val="7"/>
              </w:rPr>
              <w:t>无组织周界最高允许浓度</w:t>
            </w:r>
          </w:p>
          <w:p w14:paraId="284AD5AB">
            <w:pPr>
              <w:pStyle w:val="6"/>
              <w:spacing w:before="72" w:line="228" w:lineRule="auto"/>
              <w:ind w:left="1812"/>
            </w:pPr>
            <w:r>
              <w:rPr>
                <w:spacing w:val="-3"/>
              </w:rPr>
              <w:t>限值</w:t>
            </w:r>
          </w:p>
        </w:tc>
      </w:tr>
      <w:tr w14:paraId="53C9B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12" w:type="dxa"/>
            <w:vMerge w:val="continue"/>
            <w:tcBorders>
              <w:top w:val="nil"/>
              <w:bottom w:val="nil"/>
            </w:tcBorders>
            <w:textDirection w:val="tbRlV"/>
            <w:vAlign w:val="top"/>
          </w:tcPr>
          <w:p w14:paraId="17C20207">
            <w:pPr>
              <w:rPr>
                <w:rFonts w:ascii="Arial"/>
                <w:sz w:val="21"/>
              </w:rPr>
            </w:pPr>
          </w:p>
        </w:tc>
        <w:tc>
          <w:tcPr>
            <w:tcW w:w="1814" w:type="dxa"/>
            <w:vAlign w:val="top"/>
          </w:tcPr>
          <w:p w14:paraId="7F803FCC">
            <w:pPr>
              <w:spacing w:line="452" w:lineRule="auto"/>
              <w:rPr>
                <w:rFonts w:ascii="Arial"/>
                <w:sz w:val="21"/>
              </w:rPr>
            </w:pPr>
          </w:p>
          <w:p w14:paraId="3C4129CF">
            <w:pPr>
              <w:pStyle w:val="6"/>
              <w:spacing w:before="65" w:line="228" w:lineRule="auto"/>
              <w:ind w:left="177"/>
            </w:pPr>
            <w:r>
              <w:rPr>
                <w:spacing w:val="8"/>
              </w:rPr>
              <w:t>水污染防治措施</w:t>
            </w:r>
          </w:p>
        </w:tc>
        <w:tc>
          <w:tcPr>
            <w:tcW w:w="1950" w:type="dxa"/>
            <w:vAlign w:val="top"/>
          </w:tcPr>
          <w:p w14:paraId="78C200C7">
            <w:pPr>
              <w:spacing w:line="298" w:lineRule="auto"/>
              <w:rPr>
                <w:rFonts w:ascii="Arial"/>
                <w:sz w:val="21"/>
              </w:rPr>
            </w:pPr>
          </w:p>
          <w:p w14:paraId="213105B3">
            <w:pPr>
              <w:pStyle w:val="6"/>
              <w:spacing w:before="65" w:line="289" w:lineRule="auto"/>
              <w:ind w:left="461" w:right="136" w:hanging="323"/>
            </w:pPr>
            <w:r>
              <w:rPr>
                <w:spacing w:val="8"/>
              </w:rPr>
              <w:t>施工废水、施工人</w:t>
            </w:r>
            <w:r>
              <w:rPr>
                <w:spacing w:val="5"/>
              </w:rPr>
              <w:t xml:space="preserve"> </w:t>
            </w:r>
            <w:r>
              <w:rPr>
                <w:spacing w:val="6"/>
              </w:rPr>
              <w:t>员生活废水</w:t>
            </w:r>
          </w:p>
        </w:tc>
        <w:tc>
          <w:tcPr>
            <w:tcW w:w="5499" w:type="dxa"/>
            <w:vAlign w:val="top"/>
          </w:tcPr>
          <w:p w14:paraId="116F3506">
            <w:pPr>
              <w:pStyle w:val="6"/>
              <w:spacing w:before="52" w:line="227" w:lineRule="auto"/>
              <w:ind w:left="133"/>
            </w:pPr>
            <w:r>
              <w:rPr>
                <w:spacing w:val="9"/>
              </w:rPr>
              <w:t>设置简易沉淀池，并采取防渗措施，施工废水经过沉淀后</w:t>
            </w:r>
          </w:p>
          <w:p w14:paraId="1541DA2F">
            <w:pPr>
              <w:pStyle w:val="6"/>
              <w:spacing w:before="65" w:line="228" w:lineRule="auto"/>
              <w:ind w:left="133"/>
            </w:pPr>
            <w:r>
              <w:rPr>
                <w:spacing w:val="9"/>
              </w:rPr>
              <w:t>大部分回用于施工过程相应用水工序，部分用于施工场地</w:t>
            </w:r>
          </w:p>
          <w:p w14:paraId="63FA6710">
            <w:pPr>
              <w:pStyle w:val="6"/>
              <w:spacing w:before="65" w:line="227" w:lineRule="auto"/>
              <w:ind w:left="133"/>
            </w:pPr>
            <w:r>
              <w:rPr>
                <w:spacing w:val="9"/>
              </w:rPr>
              <w:t>洒水抑尘；生活污水排至现有设置地埋式污水处理设施处</w:t>
            </w:r>
          </w:p>
          <w:p w14:paraId="79690950">
            <w:pPr>
              <w:pStyle w:val="6"/>
              <w:spacing w:before="66" w:line="234" w:lineRule="auto"/>
              <w:ind w:left="2653"/>
            </w:pPr>
            <w:r>
              <w:t>理</w:t>
            </w:r>
          </w:p>
        </w:tc>
        <w:tc>
          <w:tcPr>
            <w:tcW w:w="4004" w:type="dxa"/>
            <w:vAlign w:val="top"/>
          </w:tcPr>
          <w:p w14:paraId="712D6C2A">
            <w:pPr>
              <w:spacing w:line="452" w:lineRule="auto"/>
              <w:rPr>
                <w:rFonts w:ascii="Arial"/>
                <w:sz w:val="21"/>
              </w:rPr>
            </w:pPr>
          </w:p>
          <w:p w14:paraId="59F0714A">
            <w:pPr>
              <w:pStyle w:val="6"/>
              <w:spacing w:before="65" w:line="228" w:lineRule="auto"/>
              <w:ind w:left="1398"/>
            </w:pPr>
            <w:r>
              <w:rPr>
                <w:spacing w:val="4"/>
              </w:rPr>
              <w:t>回用，不外排</w:t>
            </w:r>
          </w:p>
        </w:tc>
      </w:tr>
      <w:tr w14:paraId="79354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2" w:type="dxa"/>
            <w:vMerge w:val="continue"/>
            <w:tcBorders>
              <w:top w:val="nil"/>
              <w:bottom w:val="nil"/>
            </w:tcBorders>
            <w:textDirection w:val="tbRlV"/>
            <w:vAlign w:val="top"/>
          </w:tcPr>
          <w:p w14:paraId="0344B9B4">
            <w:pPr>
              <w:rPr>
                <w:rFonts w:ascii="Arial"/>
                <w:sz w:val="21"/>
              </w:rPr>
            </w:pPr>
          </w:p>
        </w:tc>
        <w:tc>
          <w:tcPr>
            <w:tcW w:w="1814" w:type="dxa"/>
            <w:vAlign w:val="top"/>
          </w:tcPr>
          <w:p w14:paraId="0CBE55A8">
            <w:pPr>
              <w:pStyle w:val="6"/>
              <w:spacing w:before="211" w:line="228" w:lineRule="auto"/>
              <w:ind w:left="289"/>
            </w:pPr>
            <w:r>
              <w:rPr>
                <w:spacing w:val="6"/>
              </w:rPr>
              <w:t>噪声治理措施</w:t>
            </w:r>
          </w:p>
        </w:tc>
        <w:tc>
          <w:tcPr>
            <w:tcW w:w="1950" w:type="dxa"/>
            <w:vAlign w:val="top"/>
          </w:tcPr>
          <w:p w14:paraId="4AAA75D7">
            <w:pPr>
              <w:pStyle w:val="6"/>
              <w:spacing w:before="211" w:line="228" w:lineRule="auto"/>
              <w:ind w:left="561"/>
            </w:pPr>
            <w:r>
              <w:rPr>
                <w:spacing w:val="6"/>
              </w:rPr>
              <w:t>厂界噪声</w:t>
            </w:r>
          </w:p>
        </w:tc>
        <w:tc>
          <w:tcPr>
            <w:tcW w:w="5499" w:type="dxa"/>
            <w:vAlign w:val="top"/>
          </w:tcPr>
          <w:p w14:paraId="4C919E04">
            <w:pPr>
              <w:pStyle w:val="6"/>
              <w:spacing w:before="55" w:line="226" w:lineRule="auto"/>
              <w:ind w:left="129"/>
            </w:pPr>
            <w:r>
              <w:rPr>
                <w:spacing w:val="9"/>
              </w:rPr>
              <w:t>选用低噪声设备，运输车辆夜间禁止运输，禁止超载，禁</w:t>
            </w:r>
          </w:p>
          <w:p w14:paraId="0804EB7D">
            <w:pPr>
              <w:pStyle w:val="6"/>
              <w:spacing w:before="67" w:line="228" w:lineRule="auto"/>
              <w:ind w:left="2440"/>
            </w:pPr>
            <w:r>
              <w:rPr>
                <w:spacing w:val="6"/>
              </w:rPr>
              <w:t>止鸣笛</w:t>
            </w:r>
          </w:p>
        </w:tc>
        <w:tc>
          <w:tcPr>
            <w:tcW w:w="4004" w:type="dxa"/>
            <w:vAlign w:val="top"/>
          </w:tcPr>
          <w:p w14:paraId="4E56EB5D">
            <w:pPr>
              <w:pStyle w:val="6"/>
              <w:spacing w:before="55" w:line="228" w:lineRule="auto"/>
              <w:ind w:left="332"/>
            </w:pPr>
            <w:r>
              <w:rPr>
                <w:spacing w:val="8"/>
              </w:rPr>
              <w:t>《建筑施工场界环境噪声排放标准》</w:t>
            </w:r>
          </w:p>
          <w:p w14:paraId="30DBA4F3">
            <w:pPr>
              <w:pStyle w:val="6"/>
              <w:spacing w:before="65" w:line="231" w:lineRule="auto"/>
              <w:ind w:left="1157"/>
            </w:pP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12523-2011</w:t>
            </w:r>
            <w:r>
              <w:rPr>
                <w:spacing w:val="4"/>
              </w:rPr>
              <w:t>）</w:t>
            </w:r>
          </w:p>
        </w:tc>
      </w:tr>
      <w:tr w14:paraId="1B18B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12" w:type="dxa"/>
            <w:vMerge w:val="continue"/>
            <w:tcBorders>
              <w:top w:val="nil"/>
            </w:tcBorders>
            <w:textDirection w:val="tbRlV"/>
            <w:vAlign w:val="top"/>
          </w:tcPr>
          <w:p w14:paraId="26D500BC">
            <w:pPr>
              <w:rPr>
                <w:rFonts w:ascii="Arial"/>
                <w:sz w:val="21"/>
              </w:rPr>
            </w:pPr>
          </w:p>
        </w:tc>
        <w:tc>
          <w:tcPr>
            <w:tcW w:w="1814" w:type="dxa"/>
            <w:vAlign w:val="top"/>
          </w:tcPr>
          <w:p w14:paraId="0D184B58">
            <w:pPr>
              <w:spacing w:line="301" w:lineRule="auto"/>
              <w:rPr>
                <w:rFonts w:ascii="Arial"/>
                <w:sz w:val="21"/>
              </w:rPr>
            </w:pPr>
          </w:p>
          <w:p w14:paraId="089C2094">
            <w:pPr>
              <w:pStyle w:val="6"/>
              <w:spacing w:before="65" w:line="228" w:lineRule="auto"/>
              <w:ind w:left="298"/>
            </w:pPr>
            <w:r>
              <w:rPr>
                <w:spacing w:val="5"/>
              </w:rPr>
              <w:t>固废治理措施</w:t>
            </w:r>
          </w:p>
        </w:tc>
        <w:tc>
          <w:tcPr>
            <w:tcW w:w="1950" w:type="dxa"/>
            <w:vAlign w:val="top"/>
          </w:tcPr>
          <w:p w14:paraId="08C8E954">
            <w:pPr>
              <w:spacing w:line="301" w:lineRule="auto"/>
              <w:rPr>
                <w:rFonts w:ascii="Arial"/>
                <w:sz w:val="21"/>
              </w:rPr>
            </w:pPr>
          </w:p>
          <w:p w14:paraId="1E7C43D4">
            <w:pPr>
              <w:pStyle w:val="6"/>
              <w:spacing w:before="65" w:line="228" w:lineRule="auto"/>
              <w:ind w:left="243"/>
            </w:pPr>
            <w:r>
              <w:rPr>
                <w:spacing w:val="8"/>
              </w:rPr>
              <w:t>废石、生活垃圾</w:t>
            </w:r>
          </w:p>
        </w:tc>
        <w:tc>
          <w:tcPr>
            <w:tcW w:w="5499" w:type="dxa"/>
            <w:vAlign w:val="top"/>
          </w:tcPr>
          <w:p w14:paraId="1029C5C1">
            <w:pPr>
              <w:pStyle w:val="6"/>
              <w:spacing w:before="55" w:line="228" w:lineRule="auto"/>
              <w:ind w:left="129"/>
            </w:pPr>
            <w:r>
              <w:rPr>
                <w:spacing w:val="9"/>
              </w:rPr>
              <w:t>废石用于平整道路、工业场地；表土运至表土堆场用于矿</w:t>
            </w:r>
          </w:p>
          <w:p w14:paraId="00B7EC11">
            <w:pPr>
              <w:pStyle w:val="6"/>
              <w:spacing w:before="64" w:line="228" w:lineRule="auto"/>
              <w:ind w:left="149"/>
            </w:pPr>
            <w:r>
              <w:rPr>
                <w:spacing w:val="9"/>
              </w:rPr>
              <w:t>山生态恢复；生活垃圾统一袋装收集，定期送</w:t>
            </w:r>
            <w:r>
              <w:rPr>
                <w:spacing w:val="8"/>
              </w:rPr>
              <w:t>环卫部门处</w:t>
            </w:r>
          </w:p>
          <w:p w14:paraId="3AB0398D">
            <w:pPr>
              <w:pStyle w:val="6"/>
              <w:spacing w:before="65" w:line="231" w:lineRule="auto"/>
              <w:ind w:left="2653"/>
            </w:pPr>
            <w:r>
              <w:t>理</w:t>
            </w:r>
          </w:p>
        </w:tc>
        <w:tc>
          <w:tcPr>
            <w:tcW w:w="4004" w:type="dxa"/>
            <w:vAlign w:val="top"/>
          </w:tcPr>
          <w:p w14:paraId="5AB81C5F">
            <w:pPr>
              <w:spacing w:line="300" w:lineRule="auto"/>
              <w:rPr>
                <w:rFonts w:ascii="Arial"/>
                <w:sz w:val="21"/>
              </w:rPr>
            </w:pPr>
          </w:p>
          <w:p w14:paraId="7FF9FFC0">
            <w:pPr>
              <w:pStyle w:val="6"/>
              <w:spacing w:before="65" w:line="228" w:lineRule="auto"/>
              <w:ind w:left="1587"/>
            </w:pPr>
            <w:r>
              <w:rPr>
                <w:spacing w:val="7"/>
              </w:rPr>
              <w:t>规范管理</w:t>
            </w:r>
          </w:p>
        </w:tc>
      </w:tr>
      <w:tr w14:paraId="66BC5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2" w:type="dxa"/>
            <w:vMerge w:val="restart"/>
            <w:tcBorders>
              <w:bottom w:val="nil"/>
            </w:tcBorders>
            <w:textDirection w:val="tbRlV"/>
            <w:vAlign w:val="top"/>
          </w:tcPr>
          <w:p w14:paraId="3D876DF0">
            <w:pPr>
              <w:spacing w:line="274" w:lineRule="auto"/>
              <w:rPr>
                <w:rFonts w:ascii="Arial"/>
                <w:sz w:val="21"/>
              </w:rPr>
            </w:pPr>
          </w:p>
          <w:p w14:paraId="4CA1DA63">
            <w:pPr>
              <w:pStyle w:val="6"/>
              <w:spacing w:before="67" w:line="216" w:lineRule="auto"/>
              <w:ind w:left="1362"/>
            </w:pPr>
            <w:r>
              <w:rPr>
                <w:spacing w:val="6"/>
              </w:rPr>
              <w:t>运 行 期</w:t>
            </w:r>
          </w:p>
        </w:tc>
        <w:tc>
          <w:tcPr>
            <w:tcW w:w="1814" w:type="dxa"/>
            <w:vMerge w:val="restart"/>
            <w:tcBorders>
              <w:bottom w:val="nil"/>
            </w:tcBorders>
            <w:vAlign w:val="top"/>
          </w:tcPr>
          <w:p w14:paraId="2FB74497">
            <w:pPr>
              <w:spacing w:line="308" w:lineRule="auto"/>
              <w:rPr>
                <w:rFonts w:ascii="Arial"/>
                <w:sz w:val="21"/>
              </w:rPr>
            </w:pPr>
          </w:p>
          <w:p w14:paraId="608040C9">
            <w:pPr>
              <w:spacing w:line="308" w:lineRule="auto"/>
              <w:rPr>
                <w:rFonts w:ascii="Arial"/>
                <w:sz w:val="21"/>
              </w:rPr>
            </w:pPr>
          </w:p>
          <w:p w14:paraId="22898D58">
            <w:pPr>
              <w:pStyle w:val="6"/>
              <w:spacing w:before="65" w:line="291" w:lineRule="auto"/>
              <w:ind w:left="804" w:right="173" w:hanging="627"/>
            </w:pPr>
            <w:r>
              <w:rPr>
                <w:spacing w:val="8"/>
              </w:rPr>
              <w:t>大气污染防治措</w:t>
            </w:r>
            <w:r>
              <w:rPr>
                <w:spacing w:val="1"/>
              </w:rPr>
              <w:t xml:space="preserve"> 施</w:t>
            </w:r>
          </w:p>
        </w:tc>
        <w:tc>
          <w:tcPr>
            <w:tcW w:w="1950" w:type="dxa"/>
            <w:vAlign w:val="top"/>
          </w:tcPr>
          <w:p w14:paraId="370DF202">
            <w:pPr>
              <w:pStyle w:val="6"/>
              <w:spacing w:before="97" w:line="227" w:lineRule="auto"/>
              <w:ind w:left="165"/>
              <w:rPr>
                <w:rFonts w:ascii="Times New Roman" w:hAnsi="Times New Roman" w:eastAsia="Times New Roman" w:cs="Times New Roman"/>
              </w:rPr>
            </w:pPr>
            <w:r>
              <w:rPr>
                <w:spacing w:val="7"/>
              </w:rPr>
              <w:t>粗碎车间排气筒</w:t>
            </w:r>
            <w:r>
              <w:rPr>
                <w:spacing w:val="-20"/>
              </w:rPr>
              <w:t xml:space="preserve"> </w:t>
            </w:r>
            <w:r>
              <w:rPr>
                <w:rFonts w:ascii="Times New Roman" w:hAnsi="Times New Roman" w:eastAsia="Times New Roman" w:cs="Times New Roman"/>
                <w:spacing w:val="7"/>
              </w:rPr>
              <w:t>1</w:t>
            </w:r>
          </w:p>
        </w:tc>
        <w:tc>
          <w:tcPr>
            <w:tcW w:w="5499" w:type="dxa"/>
            <w:vAlign w:val="top"/>
          </w:tcPr>
          <w:p w14:paraId="01C11B85">
            <w:pPr>
              <w:pStyle w:val="6"/>
              <w:spacing w:before="97" w:line="227" w:lineRule="auto"/>
              <w:ind w:left="1856"/>
            </w:pPr>
            <w:r>
              <w:rPr>
                <w:spacing w:val="8"/>
              </w:rPr>
              <w:t>集气罩</w:t>
            </w:r>
            <w:r>
              <w:rPr>
                <w:rFonts w:ascii="Times New Roman" w:hAnsi="Times New Roman" w:eastAsia="Times New Roman" w:cs="Times New Roman"/>
                <w:spacing w:val="8"/>
              </w:rPr>
              <w:t>+</w:t>
            </w:r>
            <w:r>
              <w:rPr>
                <w:spacing w:val="8"/>
              </w:rPr>
              <w:t>滤筒除尘器</w:t>
            </w:r>
          </w:p>
        </w:tc>
        <w:tc>
          <w:tcPr>
            <w:tcW w:w="4004" w:type="dxa"/>
            <w:vMerge w:val="restart"/>
            <w:tcBorders>
              <w:bottom w:val="nil"/>
            </w:tcBorders>
            <w:vAlign w:val="top"/>
          </w:tcPr>
          <w:p w14:paraId="3315A844">
            <w:pPr>
              <w:pStyle w:val="6"/>
              <w:spacing w:before="56" w:line="228" w:lineRule="auto"/>
              <w:ind w:left="543"/>
            </w:pPr>
            <w:r>
              <w:rPr>
                <w:spacing w:val="8"/>
              </w:rPr>
              <w:t>《铅、锌工业污染物排放标准》</w:t>
            </w:r>
          </w:p>
          <w:p w14:paraId="73372927">
            <w:pPr>
              <w:pStyle w:val="6"/>
              <w:spacing w:before="64" w:line="227" w:lineRule="auto"/>
              <w:ind w:left="125"/>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）车间或生产设施排气筒</w:t>
            </w:r>
          </w:p>
          <w:p w14:paraId="792891B2">
            <w:pPr>
              <w:pStyle w:val="6"/>
              <w:spacing w:before="65" w:line="228" w:lineRule="auto"/>
              <w:ind w:left="1274"/>
            </w:pPr>
            <w:r>
              <w:rPr>
                <w:spacing w:val="8"/>
              </w:rPr>
              <w:t>污染物浓度限值</w:t>
            </w:r>
          </w:p>
        </w:tc>
      </w:tr>
      <w:tr w14:paraId="75DD4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912" w:type="dxa"/>
            <w:vMerge w:val="continue"/>
            <w:tcBorders>
              <w:top w:val="nil"/>
              <w:bottom w:val="nil"/>
            </w:tcBorders>
            <w:textDirection w:val="tbRlV"/>
            <w:vAlign w:val="top"/>
          </w:tcPr>
          <w:p w14:paraId="4149EAC7">
            <w:pPr>
              <w:rPr>
                <w:rFonts w:ascii="Arial"/>
                <w:sz w:val="21"/>
              </w:rPr>
            </w:pPr>
          </w:p>
        </w:tc>
        <w:tc>
          <w:tcPr>
            <w:tcW w:w="1814" w:type="dxa"/>
            <w:vMerge w:val="continue"/>
            <w:tcBorders>
              <w:top w:val="nil"/>
              <w:bottom w:val="nil"/>
            </w:tcBorders>
            <w:vAlign w:val="top"/>
          </w:tcPr>
          <w:p w14:paraId="7E87C532">
            <w:pPr>
              <w:rPr>
                <w:rFonts w:ascii="Arial"/>
                <w:sz w:val="21"/>
              </w:rPr>
            </w:pPr>
          </w:p>
        </w:tc>
        <w:tc>
          <w:tcPr>
            <w:tcW w:w="1950" w:type="dxa"/>
            <w:vAlign w:val="top"/>
          </w:tcPr>
          <w:p w14:paraId="1133EB22">
            <w:pPr>
              <w:pStyle w:val="6"/>
              <w:spacing w:before="165" w:line="227" w:lineRule="auto"/>
              <w:ind w:left="184"/>
              <w:rPr>
                <w:rFonts w:ascii="Times New Roman" w:hAnsi="Times New Roman" w:eastAsia="Times New Roman" w:cs="Times New Roman"/>
              </w:rPr>
            </w:pPr>
            <w:r>
              <w:rPr>
                <w:spacing w:val="5"/>
              </w:rPr>
              <w:t>中间堆场排气筒</w:t>
            </w:r>
            <w:r>
              <w:rPr>
                <w:spacing w:val="-43"/>
              </w:rPr>
              <w:t xml:space="preserve"> </w:t>
            </w:r>
            <w:r>
              <w:rPr>
                <w:rFonts w:ascii="Times New Roman" w:hAnsi="Times New Roman" w:eastAsia="Times New Roman" w:cs="Times New Roman"/>
                <w:spacing w:val="5"/>
              </w:rPr>
              <w:t>2</w:t>
            </w:r>
          </w:p>
        </w:tc>
        <w:tc>
          <w:tcPr>
            <w:tcW w:w="5499" w:type="dxa"/>
            <w:vAlign w:val="top"/>
          </w:tcPr>
          <w:p w14:paraId="6D576ABA">
            <w:pPr>
              <w:pStyle w:val="6"/>
              <w:spacing w:before="165" w:line="227" w:lineRule="auto"/>
              <w:ind w:left="1856"/>
            </w:pPr>
            <w:r>
              <w:rPr>
                <w:spacing w:val="8"/>
              </w:rPr>
              <w:t>集气罩</w:t>
            </w:r>
            <w:r>
              <w:rPr>
                <w:rFonts w:ascii="Times New Roman" w:hAnsi="Times New Roman" w:eastAsia="Times New Roman" w:cs="Times New Roman"/>
                <w:spacing w:val="8"/>
              </w:rPr>
              <w:t>+</w:t>
            </w:r>
            <w:r>
              <w:rPr>
                <w:spacing w:val="8"/>
              </w:rPr>
              <w:t>滤筒除尘器</w:t>
            </w:r>
          </w:p>
        </w:tc>
        <w:tc>
          <w:tcPr>
            <w:tcW w:w="4004" w:type="dxa"/>
            <w:vMerge w:val="continue"/>
            <w:tcBorders>
              <w:top w:val="nil"/>
            </w:tcBorders>
            <w:vAlign w:val="top"/>
          </w:tcPr>
          <w:p w14:paraId="5451DF35">
            <w:pPr>
              <w:rPr>
                <w:rFonts w:ascii="Arial"/>
                <w:sz w:val="21"/>
              </w:rPr>
            </w:pPr>
          </w:p>
        </w:tc>
      </w:tr>
      <w:tr w14:paraId="4BF70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2" w:type="dxa"/>
            <w:vMerge w:val="continue"/>
            <w:tcBorders>
              <w:top w:val="nil"/>
              <w:bottom w:val="nil"/>
            </w:tcBorders>
            <w:textDirection w:val="tbRlV"/>
            <w:vAlign w:val="top"/>
          </w:tcPr>
          <w:p w14:paraId="4CCCE22F">
            <w:pPr>
              <w:rPr>
                <w:rFonts w:ascii="Arial"/>
                <w:sz w:val="21"/>
              </w:rPr>
            </w:pPr>
          </w:p>
        </w:tc>
        <w:tc>
          <w:tcPr>
            <w:tcW w:w="1814" w:type="dxa"/>
            <w:vMerge w:val="continue"/>
            <w:tcBorders>
              <w:top w:val="nil"/>
              <w:bottom w:val="nil"/>
            </w:tcBorders>
            <w:vAlign w:val="top"/>
          </w:tcPr>
          <w:p w14:paraId="69E2651A">
            <w:pPr>
              <w:rPr>
                <w:rFonts w:ascii="Arial"/>
                <w:sz w:val="21"/>
              </w:rPr>
            </w:pPr>
          </w:p>
        </w:tc>
        <w:tc>
          <w:tcPr>
            <w:tcW w:w="1950" w:type="dxa"/>
            <w:vAlign w:val="top"/>
          </w:tcPr>
          <w:p w14:paraId="00007B83">
            <w:pPr>
              <w:pStyle w:val="6"/>
              <w:spacing w:before="98" w:line="228" w:lineRule="auto"/>
              <w:ind w:left="244"/>
            </w:pPr>
            <w:r>
              <w:rPr>
                <w:spacing w:val="8"/>
              </w:rPr>
              <w:t>粗碎车间无组织</w:t>
            </w:r>
          </w:p>
        </w:tc>
        <w:tc>
          <w:tcPr>
            <w:tcW w:w="5499" w:type="dxa"/>
            <w:vAlign w:val="top"/>
          </w:tcPr>
          <w:p w14:paraId="749954F8">
            <w:pPr>
              <w:pStyle w:val="6"/>
              <w:spacing w:before="98" w:line="228" w:lineRule="auto"/>
              <w:ind w:left="2335"/>
            </w:pPr>
            <w:r>
              <w:rPr>
                <w:spacing w:val="6"/>
              </w:rPr>
              <w:t>车间封闭</w:t>
            </w:r>
          </w:p>
        </w:tc>
        <w:tc>
          <w:tcPr>
            <w:tcW w:w="4004" w:type="dxa"/>
            <w:vMerge w:val="restart"/>
            <w:tcBorders>
              <w:bottom w:val="nil"/>
            </w:tcBorders>
            <w:vAlign w:val="top"/>
          </w:tcPr>
          <w:p w14:paraId="4A037B5F">
            <w:pPr>
              <w:pStyle w:val="6"/>
              <w:spacing w:before="56" w:line="228" w:lineRule="auto"/>
              <w:ind w:left="543"/>
            </w:pPr>
            <w:r>
              <w:rPr>
                <w:spacing w:val="8"/>
              </w:rPr>
              <w:t>《铅、锌工业污染物排放标准》</w:t>
            </w:r>
          </w:p>
          <w:p w14:paraId="47740007">
            <w:pPr>
              <w:pStyle w:val="6"/>
              <w:spacing w:before="64" w:line="260" w:lineRule="auto"/>
              <w:ind w:left="282" w:right="109" w:hanging="157"/>
              <w:rPr>
                <w:rFonts w:ascii="Times New Roman" w:hAnsi="Times New Roman" w:eastAsia="Times New Roman" w:cs="Times New Roman"/>
                <w:sz w:val="13"/>
                <w:szCs w:val="13"/>
              </w:rPr>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25466-2010</w:t>
            </w:r>
            <w:r>
              <w:rPr>
                <w:spacing w:val="5"/>
              </w:rPr>
              <w:t>）新建企业边界大气污染</w:t>
            </w:r>
            <w:r>
              <w:rPr>
                <w:spacing w:val="8"/>
              </w:rPr>
              <w:t xml:space="preserve"> </w:t>
            </w:r>
            <w:r>
              <w:rPr>
                <w:spacing w:val="6"/>
              </w:rPr>
              <w:t>物浓度限值，总悬浮颗粒物</w:t>
            </w:r>
            <w:r>
              <w:rPr>
                <w:spacing w:val="-10"/>
              </w:rPr>
              <w:t xml:space="preserve"> </w:t>
            </w:r>
            <w:r>
              <w:rPr>
                <w:rFonts w:ascii="Times New Roman" w:hAnsi="Times New Roman" w:eastAsia="Times New Roman" w:cs="Times New Roman"/>
                <w:spacing w:val="6"/>
              </w:rPr>
              <w:t xml:space="preserve">1.0 </w:t>
            </w:r>
            <w:r>
              <w:rPr>
                <w:rFonts w:ascii="Times New Roman" w:hAnsi="Times New Roman" w:eastAsia="Times New Roman" w:cs="Times New Roman"/>
              </w:rPr>
              <w:t>mg</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3</w:t>
            </w:r>
          </w:p>
        </w:tc>
      </w:tr>
      <w:tr w14:paraId="74D13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912" w:type="dxa"/>
            <w:vMerge w:val="continue"/>
            <w:tcBorders>
              <w:top w:val="nil"/>
              <w:bottom w:val="nil"/>
            </w:tcBorders>
            <w:textDirection w:val="tbRlV"/>
            <w:vAlign w:val="top"/>
          </w:tcPr>
          <w:p w14:paraId="7DF9E8F4">
            <w:pPr>
              <w:rPr>
                <w:rFonts w:ascii="Arial"/>
                <w:sz w:val="21"/>
              </w:rPr>
            </w:pPr>
          </w:p>
        </w:tc>
        <w:tc>
          <w:tcPr>
            <w:tcW w:w="1814" w:type="dxa"/>
            <w:vMerge w:val="continue"/>
            <w:tcBorders>
              <w:top w:val="nil"/>
            </w:tcBorders>
            <w:vAlign w:val="top"/>
          </w:tcPr>
          <w:p w14:paraId="6155E7F5">
            <w:pPr>
              <w:rPr>
                <w:rFonts w:ascii="Arial"/>
                <w:sz w:val="21"/>
              </w:rPr>
            </w:pPr>
          </w:p>
        </w:tc>
        <w:tc>
          <w:tcPr>
            <w:tcW w:w="1950" w:type="dxa"/>
            <w:vAlign w:val="top"/>
          </w:tcPr>
          <w:p w14:paraId="5599954C">
            <w:pPr>
              <w:pStyle w:val="6"/>
              <w:spacing w:before="165" w:line="228" w:lineRule="auto"/>
              <w:ind w:left="264"/>
            </w:pPr>
            <w:r>
              <w:rPr>
                <w:spacing w:val="5"/>
              </w:rPr>
              <w:t>中间堆场无组织</w:t>
            </w:r>
          </w:p>
        </w:tc>
        <w:tc>
          <w:tcPr>
            <w:tcW w:w="5499" w:type="dxa"/>
            <w:vAlign w:val="top"/>
          </w:tcPr>
          <w:p w14:paraId="62987313">
            <w:pPr>
              <w:pStyle w:val="6"/>
              <w:spacing w:before="165" w:line="225" w:lineRule="auto"/>
              <w:ind w:left="1857"/>
            </w:pPr>
            <w:r>
              <w:rPr>
                <w:spacing w:val="8"/>
              </w:rPr>
              <w:t>车间封闭</w:t>
            </w:r>
            <w:r>
              <w:rPr>
                <w:rFonts w:ascii="Times New Roman" w:hAnsi="Times New Roman" w:eastAsia="Times New Roman" w:cs="Times New Roman"/>
                <w:spacing w:val="8"/>
              </w:rPr>
              <w:t>+</w:t>
            </w:r>
            <w:r>
              <w:rPr>
                <w:spacing w:val="8"/>
              </w:rPr>
              <w:t>喷雾抑尘</w:t>
            </w:r>
          </w:p>
        </w:tc>
        <w:tc>
          <w:tcPr>
            <w:tcW w:w="4004" w:type="dxa"/>
            <w:vMerge w:val="continue"/>
            <w:tcBorders>
              <w:top w:val="nil"/>
            </w:tcBorders>
            <w:vAlign w:val="top"/>
          </w:tcPr>
          <w:p w14:paraId="0B89C28E">
            <w:pPr>
              <w:rPr>
                <w:rFonts w:ascii="Arial"/>
                <w:sz w:val="21"/>
              </w:rPr>
            </w:pPr>
          </w:p>
        </w:tc>
      </w:tr>
      <w:tr w14:paraId="38EE4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12" w:type="dxa"/>
            <w:vMerge w:val="continue"/>
            <w:tcBorders>
              <w:top w:val="nil"/>
              <w:bottom w:val="nil"/>
            </w:tcBorders>
            <w:textDirection w:val="tbRlV"/>
            <w:vAlign w:val="top"/>
          </w:tcPr>
          <w:p w14:paraId="1BE47C1C">
            <w:pPr>
              <w:rPr>
                <w:rFonts w:ascii="Arial"/>
                <w:sz w:val="21"/>
              </w:rPr>
            </w:pPr>
          </w:p>
        </w:tc>
        <w:tc>
          <w:tcPr>
            <w:tcW w:w="1814" w:type="dxa"/>
            <w:vMerge w:val="restart"/>
            <w:tcBorders>
              <w:bottom w:val="nil"/>
            </w:tcBorders>
            <w:vAlign w:val="top"/>
          </w:tcPr>
          <w:p w14:paraId="4A94CCC9">
            <w:pPr>
              <w:spacing w:line="329" w:lineRule="auto"/>
              <w:rPr>
                <w:rFonts w:ascii="Arial"/>
                <w:sz w:val="21"/>
              </w:rPr>
            </w:pPr>
          </w:p>
          <w:p w14:paraId="7D26C1E8">
            <w:pPr>
              <w:spacing w:line="329" w:lineRule="auto"/>
              <w:rPr>
                <w:rFonts w:ascii="Arial"/>
                <w:sz w:val="21"/>
              </w:rPr>
            </w:pPr>
          </w:p>
          <w:p w14:paraId="05C9026C">
            <w:pPr>
              <w:pStyle w:val="6"/>
              <w:spacing w:before="65" w:line="228" w:lineRule="auto"/>
              <w:ind w:left="177"/>
            </w:pPr>
            <w:r>
              <w:rPr>
                <w:spacing w:val="8"/>
              </w:rPr>
              <w:t>水污染防治措施</w:t>
            </w:r>
          </w:p>
        </w:tc>
        <w:tc>
          <w:tcPr>
            <w:tcW w:w="1950" w:type="dxa"/>
            <w:vAlign w:val="top"/>
          </w:tcPr>
          <w:p w14:paraId="5A2A11B8">
            <w:pPr>
              <w:pStyle w:val="6"/>
              <w:spacing w:before="211" w:line="228" w:lineRule="auto"/>
              <w:ind w:left="558"/>
            </w:pPr>
            <w:r>
              <w:rPr>
                <w:spacing w:val="7"/>
              </w:rPr>
              <w:t>选矿废水</w:t>
            </w:r>
          </w:p>
        </w:tc>
        <w:tc>
          <w:tcPr>
            <w:tcW w:w="5499" w:type="dxa"/>
            <w:vAlign w:val="top"/>
          </w:tcPr>
          <w:p w14:paraId="68A44D1A">
            <w:pPr>
              <w:pStyle w:val="6"/>
              <w:spacing w:before="55" w:line="226" w:lineRule="auto"/>
              <w:ind w:left="132"/>
            </w:pPr>
            <w:r>
              <w:rPr>
                <w:rFonts w:ascii="Times New Roman" w:hAnsi="Times New Roman" w:eastAsia="Times New Roman" w:cs="Times New Roman"/>
                <w:spacing w:val="7"/>
              </w:rPr>
              <w:t xml:space="preserve">1 </w:t>
            </w:r>
            <w:r>
              <w:rPr>
                <w:spacing w:val="7"/>
              </w:rPr>
              <w:t>套</w:t>
            </w:r>
            <w:r>
              <w:rPr>
                <w:spacing w:val="-39"/>
              </w:rPr>
              <w:t xml:space="preserve"> </w:t>
            </w:r>
            <w:r>
              <w:rPr>
                <w:rFonts w:ascii="Times New Roman" w:hAnsi="Times New Roman" w:eastAsia="Times New Roman" w:cs="Times New Roman"/>
                <w:spacing w:val="7"/>
              </w:rPr>
              <w:t>9000m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 xml:space="preserve">/d </w:t>
            </w:r>
            <w:r>
              <w:rPr>
                <w:spacing w:val="7"/>
              </w:rPr>
              <w:t>尾矿回水处理系统，选矿废水经处理后</w:t>
            </w:r>
            <w:r>
              <w:rPr>
                <w:spacing w:val="6"/>
              </w:rPr>
              <w:t>回用</w:t>
            </w:r>
          </w:p>
          <w:p w14:paraId="6E3AFA56">
            <w:pPr>
              <w:pStyle w:val="6"/>
              <w:spacing w:before="66" w:line="228" w:lineRule="auto"/>
              <w:ind w:left="2332"/>
            </w:pPr>
            <w:r>
              <w:rPr>
                <w:spacing w:val="7"/>
              </w:rPr>
              <w:t>选矿生产</w:t>
            </w:r>
          </w:p>
        </w:tc>
        <w:tc>
          <w:tcPr>
            <w:tcW w:w="4004" w:type="dxa"/>
            <w:vMerge w:val="restart"/>
            <w:tcBorders>
              <w:bottom w:val="nil"/>
            </w:tcBorders>
            <w:vAlign w:val="top"/>
          </w:tcPr>
          <w:p w14:paraId="09D953A3">
            <w:pPr>
              <w:pStyle w:val="6"/>
              <w:spacing w:before="55" w:line="228" w:lineRule="auto"/>
              <w:ind w:left="119"/>
            </w:pPr>
            <w:r>
              <w:rPr>
                <w:spacing w:val="9"/>
              </w:rPr>
              <w:t>生产废水循环利用，生活污水经处理后水</w:t>
            </w:r>
          </w:p>
          <w:p w14:paraId="548FD63E">
            <w:pPr>
              <w:pStyle w:val="6"/>
              <w:spacing w:before="65" w:line="226" w:lineRule="auto"/>
              <w:ind w:left="118"/>
            </w:pPr>
            <w:r>
              <w:rPr>
                <w:spacing w:val="9"/>
              </w:rPr>
              <w:t>质达到《城市污水再生利用</w:t>
            </w:r>
            <w:r>
              <w:rPr>
                <w:rFonts w:ascii="Times New Roman" w:hAnsi="Times New Roman" w:eastAsia="Times New Roman" w:cs="Times New Roman"/>
                <w:spacing w:val="9"/>
              </w:rPr>
              <w:t>—</w:t>
            </w:r>
            <w:r>
              <w:rPr>
                <w:spacing w:val="9"/>
              </w:rPr>
              <w:t>城市杂用水</w:t>
            </w:r>
          </w:p>
          <w:p w14:paraId="10FA34A5">
            <w:pPr>
              <w:pStyle w:val="6"/>
              <w:spacing w:before="67" w:line="226" w:lineRule="auto"/>
              <w:ind w:left="118"/>
            </w:pPr>
            <w:r>
              <w:rPr>
                <w:spacing w:val="6"/>
              </w:rPr>
              <w:t>水质》（</w:t>
            </w:r>
            <w:r>
              <w:rPr>
                <w:rFonts w:ascii="Times New Roman" w:hAnsi="Times New Roman" w:eastAsia="Times New Roman" w:cs="Times New Roman"/>
              </w:rPr>
              <w:t>GB</w:t>
            </w:r>
            <w:r>
              <w:rPr>
                <w:rFonts w:ascii="Times New Roman" w:hAnsi="Times New Roman" w:eastAsia="Times New Roman" w:cs="Times New Roman"/>
                <w:spacing w:val="6"/>
              </w:rPr>
              <w:t>/T</w:t>
            </w:r>
            <w:r>
              <w:rPr>
                <w:rFonts w:ascii="Times New Roman" w:hAnsi="Times New Roman" w:eastAsia="Times New Roman" w:cs="Times New Roman"/>
                <w:spacing w:val="30"/>
                <w:w w:val="101"/>
              </w:rPr>
              <w:t xml:space="preserve"> </w:t>
            </w:r>
            <w:r>
              <w:rPr>
                <w:rFonts w:ascii="Times New Roman" w:hAnsi="Times New Roman" w:eastAsia="Times New Roman" w:cs="Times New Roman"/>
                <w:spacing w:val="6"/>
              </w:rPr>
              <w:t>18920—2020</w:t>
            </w:r>
            <w:r>
              <w:rPr>
                <w:spacing w:val="6"/>
              </w:rPr>
              <w:t>）中城市绿化</w:t>
            </w:r>
          </w:p>
          <w:p w14:paraId="6C30B0FF">
            <w:pPr>
              <w:pStyle w:val="6"/>
              <w:spacing w:before="66" w:line="228" w:lineRule="auto"/>
              <w:ind w:left="959"/>
            </w:pPr>
            <w:r>
              <w:rPr>
                <w:spacing w:val="8"/>
              </w:rPr>
              <w:t>用水标准用于厂区绿化</w:t>
            </w:r>
          </w:p>
        </w:tc>
      </w:tr>
      <w:tr w14:paraId="2832A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12" w:type="dxa"/>
            <w:vMerge w:val="continue"/>
            <w:tcBorders>
              <w:top w:val="nil"/>
              <w:bottom w:val="nil"/>
            </w:tcBorders>
            <w:textDirection w:val="tbRlV"/>
            <w:vAlign w:val="top"/>
          </w:tcPr>
          <w:p w14:paraId="743B5399">
            <w:pPr>
              <w:rPr>
                <w:rFonts w:ascii="Arial"/>
                <w:sz w:val="21"/>
              </w:rPr>
            </w:pPr>
          </w:p>
        </w:tc>
        <w:tc>
          <w:tcPr>
            <w:tcW w:w="1814" w:type="dxa"/>
            <w:vMerge w:val="continue"/>
            <w:tcBorders>
              <w:top w:val="nil"/>
              <w:bottom w:val="nil"/>
            </w:tcBorders>
            <w:vAlign w:val="top"/>
          </w:tcPr>
          <w:p w14:paraId="2241C518">
            <w:pPr>
              <w:rPr>
                <w:rFonts w:ascii="Arial"/>
                <w:sz w:val="21"/>
              </w:rPr>
            </w:pPr>
          </w:p>
        </w:tc>
        <w:tc>
          <w:tcPr>
            <w:tcW w:w="1950" w:type="dxa"/>
            <w:vAlign w:val="top"/>
          </w:tcPr>
          <w:p w14:paraId="67EC8624">
            <w:pPr>
              <w:pStyle w:val="6"/>
              <w:spacing w:before="206" w:line="228" w:lineRule="auto"/>
              <w:ind w:left="560"/>
            </w:pPr>
            <w:r>
              <w:rPr>
                <w:spacing w:val="6"/>
              </w:rPr>
              <w:t>生活污水</w:t>
            </w:r>
          </w:p>
        </w:tc>
        <w:tc>
          <w:tcPr>
            <w:tcW w:w="5499" w:type="dxa"/>
            <w:vAlign w:val="top"/>
          </w:tcPr>
          <w:p w14:paraId="64264B58">
            <w:pPr>
              <w:pStyle w:val="6"/>
              <w:spacing w:before="206" w:line="227" w:lineRule="auto"/>
              <w:ind w:left="132"/>
            </w:pPr>
            <w:r>
              <w:rPr>
                <w:spacing w:val="9"/>
              </w:rPr>
              <w:t>生活污水经地埋式污水处理设施处理后，回用于矿区绿化</w:t>
            </w:r>
          </w:p>
        </w:tc>
        <w:tc>
          <w:tcPr>
            <w:tcW w:w="4004" w:type="dxa"/>
            <w:vMerge w:val="continue"/>
            <w:tcBorders>
              <w:top w:val="nil"/>
            </w:tcBorders>
            <w:vAlign w:val="top"/>
          </w:tcPr>
          <w:p w14:paraId="20706724">
            <w:pPr>
              <w:rPr>
                <w:rFonts w:ascii="Arial"/>
                <w:sz w:val="21"/>
              </w:rPr>
            </w:pPr>
          </w:p>
        </w:tc>
      </w:tr>
      <w:tr w14:paraId="4D716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12" w:type="dxa"/>
            <w:vMerge w:val="continue"/>
            <w:tcBorders>
              <w:top w:val="nil"/>
            </w:tcBorders>
            <w:textDirection w:val="tbRlV"/>
            <w:vAlign w:val="top"/>
          </w:tcPr>
          <w:p w14:paraId="11779103">
            <w:pPr>
              <w:rPr>
                <w:rFonts w:ascii="Arial"/>
                <w:sz w:val="21"/>
              </w:rPr>
            </w:pPr>
          </w:p>
        </w:tc>
        <w:tc>
          <w:tcPr>
            <w:tcW w:w="1814" w:type="dxa"/>
            <w:vMerge w:val="continue"/>
            <w:tcBorders>
              <w:top w:val="nil"/>
            </w:tcBorders>
            <w:vAlign w:val="top"/>
          </w:tcPr>
          <w:p w14:paraId="4AD14C48">
            <w:pPr>
              <w:rPr>
                <w:rFonts w:ascii="Arial"/>
                <w:sz w:val="21"/>
              </w:rPr>
            </w:pPr>
          </w:p>
        </w:tc>
        <w:tc>
          <w:tcPr>
            <w:tcW w:w="1950" w:type="dxa"/>
            <w:vAlign w:val="top"/>
          </w:tcPr>
          <w:p w14:paraId="56DD436E">
            <w:pPr>
              <w:pStyle w:val="6"/>
              <w:spacing w:before="98" w:line="228" w:lineRule="auto"/>
              <w:ind w:left="453"/>
            </w:pPr>
            <w:r>
              <w:rPr>
                <w:spacing w:val="8"/>
              </w:rPr>
              <w:t>地下水监控</w:t>
            </w:r>
          </w:p>
        </w:tc>
        <w:tc>
          <w:tcPr>
            <w:tcW w:w="5499" w:type="dxa"/>
            <w:vAlign w:val="top"/>
          </w:tcPr>
          <w:p w14:paraId="2540C4BA">
            <w:pPr>
              <w:pStyle w:val="6"/>
              <w:spacing w:before="98" w:line="228" w:lineRule="auto"/>
              <w:ind w:left="338"/>
            </w:pPr>
            <w:r>
              <w:rPr>
                <w:spacing w:val="8"/>
              </w:rPr>
              <w:t>在选矿车间厂址、尾矿库侧向及下游设置</w:t>
            </w:r>
            <w:r>
              <w:rPr>
                <w:spacing w:val="-39"/>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25"/>
                <w:w w:val="101"/>
              </w:rPr>
              <w:t xml:space="preserve"> </w:t>
            </w:r>
            <w:r>
              <w:rPr>
                <w:spacing w:val="8"/>
              </w:rPr>
              <w:t>眼监控井</w:t>
            </w:r>
          </w:p>
        </w:tc>
        <w:tc>
          <w:tcPr>
            <w:tcW w:w="4004" w:type="dxa"/>
            <w:vAlign w:val="top"/>
          </w:tcPr>
          <w:p w14:paraId="2964B9C1">
            <w:pPr>
              <w:spacing w:before="130" w:line="199" w:lineRule="auto"/>
              <w:ind w:left="19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064CB2AB">
      <w:pPr>
        <w:pStyle w:val="2"/>
      </w:pPr>
    </w:p>
    <w:p w14:paraId="45BDCE25">
      <w:pPr>
        <w:sectPr>
          <w:headerReference r:id="rId434" w:type="default"/>
          <w:footerReference r:id="rId435" w:type="default"/>
          <w:pgSz w:w="16839" w:h="11906"/>
          <w:pgMar w:top="1208" w:right="1327" w:bottom="1358" w:left="1326" w:header="825" w:footer="1195" w:gutter="0"/>
          <w:cols w:space="720" w:num="1"/>
        </w:sectPr>
      </w:pPr>
    </w:p>
    <w:p w14:paraId="733F112A">
      <w:pPr>
        <w:spacing w:before="53"/>
      </w:pPr>
    </w:p>
    <w:p w14:paraId="71A6CF21">
      <w:pPr>
        <w:spacing w:before="52"/>
      </w:pPr>
    </w:p>
    <w:tbl>
      <w:tblPr>
        <w:tblStyle w:val="5"/>
        <w:tblW w:w="14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2"/>
        <w:gridCol w:w="1814"/>
        <w:gridCol w:w="1950"/>
        <w:gridCol w:w="5499"/>
        <w:gridCol w:w="4004"/>
      </w:tblGrid>
      <w:tr w14:paraId="7BF91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12" w:type="dxa"/>
            <w:vMerge w:val="restart"/>
            <w:tcBorders>
              <w:bottom w:val="nil"/>
            </w:tcBorders>
            <w:vAlign w:val="top"/>
          </w:tcPr>
          <w:p w14:paraId="6A45761A">
            <w:pPr>
              <w:rPr>
                <w:rFonts w:ascii="Arial"/>
                <w:sz w:val="21"/>
              </w:rPr>
            </w:pPr>
          </w:p>
        </w:tc>
        <w:tc>
          <w:tcPr>
            <w:tcW w:w="1814" w:type="dxa"/>
            <w:vMerge w:val="restart"/>
            <w:tcBorders>
              <w:bottom w:val="nil"/>
            </w:tcBorders>
            <w:vAlign w:val="top"/>
          </w:tcPr>
          <w:p w14:paraId="1B396E29">
            <w:pPr>
              <w:spacing w:line="304" w:lineRule="auto"/>
              <w:rPr>
                <w:rFonts w:ascii="Arial"/>
                <w:sz w:val="21"/>
              </w:rPr>
            </w:pPr>
          </w:p>
          <w:p w14:paraId="7610118B">
            <w:pPr>
              <w:spacing w:line="304" w:lineRule="auto"/>
              <w:rPr>
                <w:rFonts w:ascii="Arial"/>
                <w:sz w:val="21"/>
              </w:rPr>
            </w:pPr>
          </w:p>
          <w:p w14:paraId="37B9D7F6">
            <w:pPr>
              <w:spacing w:line="304" w:lineRule="auto"/>
              <w:rPr>
                <w:rFonts w:ascii="Arial"/>
                <w:sz w:val="21"/>
              </w:rPr>
            </w:pPr>
          </w:p>
          <w:p w14:paraId="1A435A09">
            <w:pPr>
              <w:pStyle w:val="6"/>
              <w:spacing w:before="65" w:line="291" w:lineRule="auto"/>
              <w:ind w:left="804" w:right="173" w:hanging="612"/>
            </w:pPr>
            <w:r>
              <w:rPr>
                <w:spacing w:val="6"/>
              </w:rPr>
              <w:t>固体废物处理措</w:t>
            </w:r>
            <w:r>
              <w:t xml:space="preserve"> </w:t>
            </w:r>
            <w:r>
              <w:rPr>
                <w:spacing w:val="1"/>
              </w:rPr>
              <w:t>施</w:t>
            </w:r>
          </w:p>
        </w:tc>
        <w:tc>
          <w:tcPr>
            <w:tcW w:w="1950" w:type="dxa"/>
            <w:vAlign w:val="top"/>
          </w:tcPr>
          <w:p w14:paraId="5F8FA99B">
            <w:pPr>
              <w:pStyle w:val="6"/>
              <w:spacing w:before="97" w:line="228" w:lineRule="auto"/>
              <w:ind w:left="767"/>
            </w:pPr>
            <w:r>
              <w:rPr>
                <w:spacing w:val="4"/>
              </w:rPr>
              <w:t>尾矿</w:t>
            </w:r>
          </w:p>
        </w:tc>
        <w:tc>
          <w:tcPr>
            <w:tcW w:w="5499" w:type="dxa"/>
            <w:vAlign w:val="top"/>
          </w:tcPr>
          <w:p w14:paraId="31C0944E">
            <w:pPr>
              <w:pStyle w:val="6"/>
              <w:spacing w:before="97" w:line="228" w:lineRule="auto"/>
              <w:ind w:left="2021"/>
            </w:pPr>
            <w:r>
              <w:rPr>
                <w:spacing w:val="8"/>
              </w:rPr>
              <w:t>现有尾矿库堆存</w:t>
            </w:r>
          </w:p>
        </w:tc>
        <w:tc>
          <w:tcPr>
            <w:tcW w:w="4004" w:type="dxa"/>
            <w:vMerge w:val="restart"/>
            <w:tcBorders>
              <w:bottom w:val="nil"/>
            </w:tcBorders>
            <w:vAlign w:val="top"/>
          </w:tcPr>
          <w:p w14:paraId="3DFFA64C">
            <w:pPr>
              <w:spacing w:line="267" w:lineRule="auto"/>
              <w:rPr>
                <w:rFonts w:ascii="Arial"/>
                <w:sz w:val="21"/>
              </w:rPr>
            </w:pPr>
          </w:p>
          <w:p w14:paraId="08319FC9">
            <w:pPr>
              <w:spacing w:line="267" w:lineRule="auto"/>
              <w:rPr>
                <w:rFonts w:ascii="Arial"/>
                <w:sz w:val="21"/>
              </w:rPr>
            </w:pPr>
          </w:p>
          <w:p w14:paraId="1C716FCB">
            <w:pPr>
              <w:spacing w:line="267" w:lineRule="auto"/>
              <w:rPr>
                <w:rFonts w:ascii="Arial"/>
                <w:sz w:val="21"/>
              </w:rPr>
            </w:pPr>
          </w:p>
          <w:p w14:paraId="2BAB403C">
            <w:pPr>
              <w:spacing w:line="267" w:lineRule="auto"/>
              <w:rPr>
                <w:rFonts w:ascii="Arial"/>
                <w:sz w:val="21"/>
              </w:rPr>
            </w:pPr>
          </w:p>
          <w:p w14:paraId="4F8A0FEC">
            <w:pPr>
              <w:pStyle w:val="6"/>
              <w:spacing w:before="65" w:line="228" w:lineRule="auto"/>
              <w:ind w:left="1695"/>
            </w:pPr>
            <w:r>
              <w:rPr>
                <w:spacing w:val="5"/>
              </w:rPr>
              <w:t>不外排</w:t>
            </w:r>
          </w:p>
        </w:tc>
      </w:tr>
      <w:tr w14:paraId="60B42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2" w:type="dxa"/>
            <w:vMerge w:val="continue"/>
            <w:tcBorders>
              <w:top w:val="nil"/>
              <w:bottom w:val="nil"/>
            </w:tcBorders>
            <w:vAlign w:val="top"/>
          </w:tcPr>
          <w:p w14:paraId="4BE75B5F">
            <w:pPr>
              <w:rPr>
                <w:rFonts w:ascii="Arial"/>
                <w:sz w:val="21"/>
              </w:rPr>
            </w:pPr>
          </w:p>
        </w:tc>
        <w:tc>
          <w:tcPr>
            <w:tcW w:w="1814" w:type="dxa"/>
            <w:vMerge w:val="continue"/>
            <w:tcBorders>
              <w:top w:val="nil"/>
              <w:bottom w:val="nil"/>
            </w:tcBorders>
            <w:vAlign w:val="top"/>
          </w:tcPr>
          <w:p w14:paraId="6043B3AD">
            <w:pPr>
              <w:rPr>
                <w:rFonts w:ascii="Arial"/>
                <w:sz w:val="21"/>
              </w:rPr>
            </w:pPr>
          </w:p>
        </w:tc>
        <w:tc>
          <w:tcPr>
            <w:tcW w:w="1950" w:type="dxa"/>
            <w:vAlign w:val="top"/>
          </w:tcPr>
          <w:p w14:paraId="791BB2EF">
            <w:pPr>
              <w:pStyle w:val="6"/>
              <w:spacing w:before="52" w:line="261" w:lineRule="auto"/>
              <w:ind w:left="767" w:right="136" w:hanging="627"/>
            </w:pPr>
            <w:r>
              <w:rPr>
                <w:spacing w:val="8"/>
              </w:rPr>
              <w:t>浮选药品废弃包装</w:t>
            </w:r>
            <w:r>
              <w:rPr>
                <w:spacing w:val="2"/>
              </w:rPr>
              <w:t xml:space="preserve"> </w:t>
            </w:r>
            <w:r>
              <w:rPr>
                <w:spacing w:val="4"/>
              </w:rPr>
              <w:t>材料</w:t>
            </w:r>
          </w:p>
        </w:tc>
        <w:tc>
          <w:tcPr>
            <w:tcW w:w="5499" w:type="dxa"/>
            <w:vAlign w:val="top"/>
          </w:tcPr>
          <w:p w14:paraId="78973A9E">
            <w:pPr>
              <w:pStyle w:val="6"/>
              <w:spacing w:before="207" w:line="228" w:lineRule="auto"/>
              <w:ind w:left="973"/>
            </w:pPr>
            <w:r>
              <w:rPr>
                <w:spacing w:val="9"/>
              </w:rPr>
              <w:t>危废暂存间暂存，委托有资质单位处置</w:t>
            </w:r>
          </w:p>
        </w:tc>
        <w:tc>
          <w:tcPr>
            <w:tcW w:w="4004" w:type="dxa"/>
            <w:vMerge w:val="continue"/>
            <w:tcBorders>
              <w:top w:val="nil"/>
              <w:bottom w:val="nil"/>
            </w:tcBorders>
            <w:vAlign w:val="top"/>
          </w:tcPr>
          <w:p w14:paraId="17A59E80">
            <w:pPr>
              <w:rPr>
                <w:rFonts w:ascii="Arial"/>
                <w:sz w:val="21"/>
              </w:rPr>
            </w:pPr>
          </w:p>
        </w:tc>
      </w:tr>
      <w:tr w14:paraId="14EAF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2" w:type="dxa"/>
            <w:vMerge w:val="continue"/>
            <w:tcBorders>
              <w:top w:val="nil"/>
              <w:bottom w:val="nil"/>
            </w:tcBorders>
            <w:vAlign w:val="top"/>
          </w:tcPr>
          <w:p w14:paraId="46954273">
            <w:pPr>
              <w:rPr>
                <w:rFonts w:ascii="Arial"/>
                <w:sz w:val="21"/>
              </w:rPr>
            </w:pPr>
          </w:p>
        </w:tc>
        <w:tc>
          <w:tcPr>
            <w:tcW w:w="1814" w:type="dxa"/>
            <w:vMerge w:val="continue"/>
            <w:tcBorders>
              <w:top w:val="nil"/>
              <w:bottom w:val="nil"/>
            </w:tcBorders>
            <w:vAlign w:val="top"/>
          </w:tcPr>
          <w:p w14:paraId="4C5DB4C5">
            <w:pPr>
              <w:rPr>
                <w:rFonts w:ascii="Arial"/>
                <w:sz w:val="21"/>
              </w:rPr>
            </w:pPr>
          </w:p>
        </w:tc>
        <w:tc>
          <w:tcPr>
            <w:tcW w:w="1950" w:type="dxa"/>
            <w:vAlign w:val="top"/>
          </w:tcPr>
          <w:p w14:paraId="4D9A2D7D">
            <w:pPr>
              <w:pStyle w:val="6"/>
              <w:spacing w:before="52" w:line="261" w:lineRule="auto"/>
              <w:ind w:left="768" w:right="136" w:hanging="630"/>
            </w:pPr>
            <w:r>
              <w:rPr>
                <w:spacing w:val="8"/>
              </w:rPr>
              <w:t>尾矿回水处理系统</w:t>
            </w:r>
            <w:r>
              <w:rPr>
                <w:spacing w:val="4"/>
              </w:rPr>
              <w:t xml:space="preserve"> </w:t>
            </w:r>
            <w:r>
              <w:rPr>
                <w:spacing w:val="3"/>
              </w:rPr>
              <w:t>污泥</w:t>
            </w:r>
          </w:p>
        </w:tc>
        <w:tc>
          <w:tcPr>
            <w:tcW w:w="5499" w:type="dxa"/>
            <w:vAlign w:val="top"/>
          </w:tcPr>
          <w:p w14:paraId="676E5DE3">
            <w:pPr>
              <w:pStyle w:val="6"/>
              <w:spacing w:before="207" w:line="228" w:lineRule="auto"/>
              <w:ind w:left="2021"/>
            </w:pPr>
            <w:r>
              <w:rPr>
                <w:spacing w:val="8"/>
              </w:rPr>
              <w:t>现有尾矿库堆存</w:t>
            </w:r>
          </w:p>
        </w:tc>
        <w:tc>
          <w:tcPr>
            <w:tcW w:w="4004" w:type="dxa"/>
            <w:vMerge w:val="continue"/>
            <w:tcBorders>
              <w:top w:val="nil"/>
              <w:bottom w:val="nil"/>
            </w:tcBorders>
            <w:vAlign w:val="top"/>
          </w:tcPr>
          <w:p w14:paraId="300099AA">
            <w:pPr>
              <w:rPr>
                <w:rFonts w:ascii="Arial"/>
                <w:sz w:val="21"/>
              </w:rPr>
            </w:pPr>
          </w:p>
        </w:tc>
      </w:tr>
      <w:tr w14:paraId="4402C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2" w:type="dxa"/>
            <w:vMerge w:val="continue"/>
            <w:tcBorders>
              <w:top w:val="nil"/>
              <w:bottom w:val="nil"/>
            </w:tcBorders>
            <w:vAlign w:val="top"/>
          </w:tcPr>
          <w:p w14:paraId="3060916D">
            <w:pPr>
              <w:rPr>
                <w:rFonts w:ascii="Arial"/>
                <w:sz w:val="21"/>
              </w:rPr>
            </w:pPr>
          </w:p>
        </w:tc>
        <w:tc>
          <w:tcPr>
            <w:tcW w:w="1814" w:type="dxa"/>
            <w:vMerge w:val="continue"/>
            <w:tcBorders>
              <w:top w:val="nil"/>
              <w:bottom w:val="nil"/>
            </w:tcBorders>
            <w:vAlign w:val="top"/>
          </w:tcPr>
          <w:p w14:paraId="413F48BB">
            <w:pPr>
              <w:rPr>
                <w:rFonts w:ascii="Arial"/>
                <w:sz w:val="21"/>
              </w:rPr>
            </w:pPr>
          </w:p>
        </w:tc>
        <w:tc>
          <w:tcPr>
            <w:tcW w:w="1950" w:type="dxa"/>
            <w:vAlign w:val="top"/>
          </w:tcPr>
          <w:p w14:paraId="15957D31">
            <w:pPr>
              <w:pStyle w:val="6"/>
              <w:spacing w:before="96" w:line="228" w:lineRule="auto"/>
              <w:ind w:left="560"/>
            </w:pPr>
            <w:r>
              <w:rPr>
                <w:spacing w:val="6"/>
              </w:rPr>
              <w:t>生活垃圾</w:t>
            </w:r>
          </w:p>
        </w:tc>
        <w:tc>
          <w:tcPr>
            <w:tcW w:w="5499" w:type="dxa"/>
            <w:vAlign w:val="top"/>
          </w:tcPr>
          <w:p w14:paraId="30265924">
            <w:pPr>
              <w:pStyle w:val="6"/>
              <w:spacing w:before="95" w:line="228" w:lineRule="auto"/>
              <w:ind w:left="1926"/>
            </w:pPr>
            <w:r>
              <w:rPr>
                <w:spacing w:val="7"/>
              </w:rPr>
              <w:t>当地环卫部门处理</w:t>
            </w:r>
          </w:p>
        </w:tc>
        <w:tc>
          <w:tcPr>
            <w:tcW w:w="4004" w:type="dxa"/>
            <w:vMerge w:val="continue"/>
            <w:tcBorders>
              <w:top w:val="nil"/>
              <w:bottom w:val="nil"/>
            </w:tcBorders>
            <w:vAlign w:val="top"/>
          </w:tcPr>
          <w:p w14:paraId="4A3BE8B9">
            <w:pPr>
              <w:rPr>
                <w:rFonts w:ascii="Arial"/>
                <w:sz w:val="21"/>
              </w:rPr>
            </w:pPr>
          </w:p>
        </w:tc>
      </w:tr>
      <w:tr w14:paraId="0CBA8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2" w:type="dxa"/>
            <w:vMerge w:val="continue"/>
            <w:tcBorders>
              <w:top w:val="nil"/>
              <w:bottom w:val="nil"/>
            </w:tcBorders>
            <w:vAlign w:val="top"/>
          </w:tcPr>
          <w:p w14:paraId="0CAAFE16">
            <w:pPr>
              <w:rPr>
                <w:rFonts w:ascii="Arial"/>
                <w:sz w:val="21"/>
              </w:rPr>
            </w:pPr>
          </w:p>
        </w:tc>
        <w:tc>
          <w:tcPr>
            <w:tcW w:w="1814" w:type="dxa"/>
            <w:vMerge w:val="continue"/>
            <w:tcBorders>
              <w:top w:val="nil"/>
            </w:tcBorders>
            <w:vAlign w:val="top"/>
          </w:tcPr>
          <w:p w14:paraId="7967B2A2">
            <w:pPr>
              <w:rPr>
                <w:rFonts w:ascii="Arial"/>
                <w:sz w:val="21"/>
              </w:rPr>
            </w:pPr>
          </w:p>
        </w:tc>
        <w:tc>
          <w:tcPr>
            <w:tcW w:w="1950" w:type="dxa"/>
            <w:vAlign w:val="top"/>
          </w:tcPr>
          <w:p w14:paraId="093D271B">
            <w:pPr>
              <w:pStyle w:val="6"/>
              <w:spacing w:before="96" w:line="227" w:lineRule="auto"/>
              <w:ind w:left="663"/>
            </w:pPr>
            <w:r>
              <w:rPr>
                <w:spacing w:val="7"/>
              </w:rPr>
              <w:t>废机油</w:t>
            </w:r>
          </w:p>
        </w:tc>
        <w:tc>
          <w:tcPr>
            <w:tcW w:w="5499" w:type="dxa"/>
            <w:vAlign w:val="top"/>
          </w:tcPr>
          <w:p w14:paraId="37484254">
            <w:pPr>
              <w:pStyle w:val="6"/>
              <w:spacing w:before="96" w:line="228" w:lineRule="auto"/>
              <w:ind w:left="973"/>
            </w:pPr>
            <w:r>
              <w:rPr>
                <w:spacing w:val="9"/>
              </w:rPr>
              <w:t>危废暂存间暂存，委托有资质单位处置</w:t>
            </w:r>
          </w:p>
        </w:tc>
        <w:tc>
          <w:tcPr>
            <w:tcW w:w="4004" w:type="dxa"/>
            <w:vMerge w:val="continue"/>
            <w:tcBorders>
              <w:top w:val="nil"/>
            </w:tcBorders>
            <w:vAlign w:val="top"/>
          </w:tcPr>
          <w:p w14:paraId="5D5A8B8D">
            <w:pPr>
              <w:rPr>
                <w:rFonts w:ascii="Arial"/>
                <w:sz w:val="21"/>
              </w:rPr>
            </w:pPr>
          </w:p>
        </w:tc>
      </w:tr>
      <w:tr w14:paraId="1FC12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12" w:type="dxa"/>
            <w:vMerge w:val="continue"/>
            <w:tcBorders>
              <w:top w:val="nil"/>
              <w:bottom w:val="nil"/>
            </w:tcBorders>
            <w:vAlign w:val="top"/>
          </w:tcPr>
          <w:p w14:paraId="563C4825">
            <w:pPr>
              <w:rPr>
                <w:rFonts w:ascii="Arial"/>
                <w:sz w:val="21"/>
              </w:rPr>
            </w:pPr>
          </w:p>
        </w:tc>
        <w:tc>
          <w:tcPr>
            <w:tcW w:w="1814" w:type="dxa"/>
            <w:vAlign w:val="top"/>
          </w:tcPr>
          <w:p w14:paraId="7E5CAA4E">
            <w:pPr>
              <w:spacing w:line="300" w:lineRule="auto"/>
              <w:rPr>
                <w:rFonts w:ascii="Arial"/>
                <w:sz w:val="21"/>
              </w:rPr>
            </w:pPr>
          </w:p>
          <w:p w14:paraId="2877F958">
            <w:pPr>
              <w:pStyle w:val="6"/>
              <w:spacing w:before="65" w:line="228" w:lineRule="auto"/>
              <w:ind w:left="289"/>
            </w:pPr>
            <w:r>
              <w:rPr>
                <w:spacing w:val="6"/>
              </w:rPr>
              <w:t>噪声治理措施</w:t>
            </w:r>
          </w:p>
        </w:tc>
        <w:tc>
          <w:tcPr>
            <w:tcW w:w="1950" w:type="dxa"/>
            <w:vAlign w:val="top"/>
          </w:tcPr>
          <w:p w14:paraId="4E7C3D62">
            <w:pPr>
              <w:spacing w:line="300" w:lineRule="auto"/>
              <w:rPr>
                <w:rFonts w:ascii="Arial"/>
                <w:sz w:val="21"/>
              </w:rPr>
            </w:pPr>
          </w:p>
          <w:p w14:paraId="57F8A779">
            <w:pPr>
              <w:pStyle w:val="6"/>
              <w:spacing w:before="65" w:line="228" w:lineRule="auto"/>
              <w:ind w:left="562"/>
            </w:pPr>
            <w:r>
              <w:rPr>
                <w:spacing w:val="6"/>
              </w:rPr>
              <w:t>设备噪声</w:t>
            </w:r>
          </w:p>
        </w:tc>
        <w:tc>
          <w:tcPr>
            <w:tcW w:w="5499" w:type="dxa"/>
            <w:vAlign w:val="top"/>
          </w:tcPr>
          <w:p w14:paraId="594D21CB">
            <w:pPr>
              <w:spacing w:line="299" w:lineRule="auto"/>
              <w:rPr>
                <w:rFonts w:ascii="Arial"/>
                <w:sz w:val="21"/>
              </w:rPr>
            </w:pPr>
          </w:p>
          <w:p w14:paraId="522AA5C0">
            <w:pPr>
              <w:pStyle w:val="6"/>
              <w:spacing w:before="65" w:line="227" w:lineRule="auto"/>
              <w:ind w:left="652"/>
            </w:pPr>
            <w:r>
              <w:rPr>
                <w:spacing w:val="9"/>
              </w:rPr>
              <w:t>采用低噪声设备，厂房隔声、消声、基础减震</w:t>
            </w:r>
          </w:p>
        </w:tc>
        <w:tc>
          <w:tcPr>
            <w:tcW w:w="4004" w:type="dxa"/>
            <w:vAlign w:val="top"/>
          </w:tcPr>
          <w:p w14:paraId="06C6EA54">
            <w:pPr>
              <w:pStyle w:val="6"/>
              <w:spacing w:before="55" w:line="228" w:lineRule="auto"/>
              <w:ind w:left="120"/>
            </w:pPr>
            <w:r>
              <w:rPr>
                <w:spacing w:val="9"/>
              </w:rPr>
              <w:t>厂界达到《工业企业厂界环境噪声排放标</w:t>
            </w:r>
          </w:p>
          <w:p w14:paraId="7620BCB1">
            <w:pPr>
              <w:pStyle w:val="6"/>
              <w:spacing w:before="64" w:line="228" w:lineRule="auto"/>
              <w:ind w:left="131"/>
            </w:pPr>
            <w:r>
              <w:rPr>
                <w:spacing w:val="7"/>
              </w:rPr>
              <w:t>准》（</w:t>
            </w:r>
            <w:r>
              <w:rPr>
                <w:rFonts w:ascii="Times New Roman" w:hAnsi="Times New Roman" w:eastAsia="Times New Roman" w:cs="Times New Roman"/>
              </w:rPr>
              <w:t>GB</w:t>
            </w:r>
            <w:r>
              <w:rPr>
                <w:rFonts w:ascii="Times New Roman" w:hAnsi="Times New Roman" w:eastAsia="Times New Roman" w:cs="Times New Roman"/>
                <w:spacing w:val="7"/>
              </w:rPr>
              <w:t>12348—2008</w:t>
            </w:r>
            <w:r>
              <w:rPr>
                <w:spacing w:val="7"/>
              </w:rPr>
              <w:t>）中</w:t>
            </w:r>
            <w:r>
              <w:rPr>
                <w:spacing w:val="-39"/>
              </w:rPr>
              <w:t xml:space="preserve"> </w:t>
            </w:r>
            <w:r>
              <w:rPr>
                <w:rFonts w:ascii="Times New Roman" w:hAnsi="Times New Roman" w:eastAsia="Times New Roman" w:cs="Times New Roman"/>
                <w:spacing w:val="7"/>
              </w:rPr>
              <w:t xml:space="preserve">2 </w:t>
            </w:r>
            <w:r>
              <w:rPr>
                <w:spacing w:val="7"/>
              </w:rPr>
              <w:t>类功能区标</w:t>
            </w:r>
          </w:p>
          <w:p w14:paraId="5981B22C">
            <w:pPr>
              <w:pStyle w:val="6"/>
              <w:spacing w:before="65" w:line="229" w:lineRule="auto"/>
              <w:ind w:left="1694"/>
            </w:pPr>
            <w:r>
              <w:rPr>
                <w:spacing w:val="6"/>
              </w:rPr>
              <w:t>准要求</w:t>
            </w:r>
          </w:p>
        </w:tc>
      </w:tr>
      <w:tr w14:paraId="75FC5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912" w:type="dxa"/>
            <w:vMerge w:val="continue"/>
            <w:tcBorders>
              <w:top w:val="nil"/>
            </w:tcBorders>
            <w:vAlign w:val="top"/>
          </w:tcPr>
          <w:p w14:paraId="41E1AE51">
            <w:pPr>
              <w:rPr>
                <w:rFonts w:ascii="Arial"/>
                <w:sz w:val="21"/>
              </w:rPr>
            </w:pPr>
          </w:p>
        </w:tc>
        <w:tc>
          <w:tcPr>
            <w:tcW w:w="1814" w:type="dxa"/>
            <w:vAlign w:val="top"/>
          </w:tcPr>
          <w:p w14:paraId="6CC08F2B">
            <w:pPr>
              <w:spacing w:line="305" w:lineRule="auto"/>
              <w:rPr>
                <w:rFonts w:ascii="Arial"/>
                <w:sz w:val="21"/>
              </w:rPr>
            </w:pPr>
          </w:p>
          <w:p w14:paraId="2182F41D">
            <w:pPr>
              <w:spacing w:line="306" w:lineRule="auto"/>
              <w:rPr>
                <w:rFonts w:ascii="Arial"/>
                <w:sz w:val="21"/>
              </w:rPr>
            </w:pPr>
          </w:p>
          <w:p w14:paraId="7F139C94">
            <w:pPr>
              <w:pStyle w:val="6"/>
              <w:spacing w:before="65" w:line="228" w:lineRule="auto"/>
              <w:ind w:left="491"/>
            </w:pPr>
            <w:r>
              <w:rPr>
                <w:spacing w:val="6"/>
              </w:rPr>
              <w:t>分区防渗</w:t>
            </w:r>
          </w:p>
        </w:tc>
        <w:tc>
          <w:tcPr>
            <w:tcW w:w="7449" w:type="dxa"/>
            <w:gridSpan w:val="2"/>
            <w:vAlign w:val="top"/>
          </w:tcPr>
          <w:p w14:paraId="461921A2">
            <w:pPr>
              <w:pStyle w:val="6"/>
              <w:spacing w:before="55" w:line="228" w:lineRule="auto"/>
              <w:ind w:left="161"/>
            </w:pPr>
            <w:r>
              <w:rPr>
                <w:spacing w:val="10"/>
              </w:rPr>
              <w:t>重点防渗区：危险废物暂存间、回水处理系统、</w:t>
            </w:r>
            <w:r>
              <w:rPr>
                <w:spacing w:val="9"/>
              </w:rPr>
              <w:t>生活污水处理站等，防渗性能</w:t>
            </w:r>
          </w:p>
          <w:p w14:paraId="5E45DCC1">
            <w:pPr>
              <w:pStyle w:val="6"/>
              <w:spacing w:before="65" w:line="230" w:lineRule="auto"/>
              <w:ind w:left="2980"/>
            </w:pPr>
            <w:r>
              <w:rPr>
                <w:rFonts w:ascii="Times New Roman" w:hAnsi="Times New Roman" w:eastAsia="Times New Roman" w:cs="Times New Roman"/>
                <w:spacing w:val="4"/>
              </w:rPr>
              <w:t>K≤1×10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rPr>
              <w:t>cm</w:t>
            </w:r>
            <w:r>
              <w:rPr>
                <w:rFonts w:ascii="Times New Roman" w:hAnsi="Times New Roman" w:eastAsia="Times New Roman" w:cs="Times New Roman"/>
                <w:spacing w:val="4"/>
              </w:rPr>
              <w:t>/s</w:t>
            </w:r>
            <w:r>
              <w:rPr>
                <w:spacing w:val="4"/>
              </w:rPr>
              <w:t>；</w:t>
            </w:r>
          </w:p>
          <w:p w14:paraId="42AC56BF">
            <w:pPr>
              <w:pStyle w:val="6"/>
              <w:spacing w:before="62" w:line="227" w:lineRule="auto"/>
              <w:ind w:left="163"/>
            </w:pPr>
            <w:r>
              <w:rPr>
                <w:spacing w:val="10"/>
              </w:rPr>
              <w:t>一般防渗区：药剂贮存区、各浓密池、精矿</w:t>
            </w:r>
            <w:r>
              <w:rPr>
                <w:spacing w:val="9"/>
              </w:rPr>
              <w:t>仓、原矿堆场、选矿车间，效防渗</w:t>
            </w:r>
          </w:p>
          <w:p w14:paraId="1A3F19BB">
            <w:pPr>
              <w:pStyle w:val="6"/>
              <w:spacing w:before="66" w:line="229" w:lineRule="auto"/>
              <w:ind w:left="2786"/>
            </w:pPr>
            <w:r>
              <w:rPr>
                <w:spacing w:val="4"/>
              </w:rPr>
              <w:t>性能</w:t>
            </w:r>
            <w:r>
              <w:rPr>
                <w:spacing w:val="-37"/>
              </w:rPr>
              <w:t xml:space="preserve"> </w:t>
            </w:r>
            <w:r>
              <w:rPr>
                <w:rFonts w:ascii="Times New Roman" w:hAnsi="Times New Roman" w:eastAsia="Times New Roman" w:cs="Times New Roman"/>
                <w:spacing w:val="4"/>
              </w:rPr>
              <w:t>K≤1×10</w:t>
            </w:r>
            <w:r>
              <w:rPr>
                <w:rFonts w:ascii="Times New Roman" w:hAnsi="Times New Roman" w:eastAsia="Times New Roman" w:cs="Times New Roman"/>
                <w:spacing w:val="4"/>
                <w:position w:val="6"/>
                <w:sz w:val="13"/>
                <w:szCs w:val="13"/>
              </w:rPr>
              <w:t>-7</w:t>
            </w:r>
            <w:r>
              <w:rPr>
                <w:rFonts w:ascii="Times New Roman" w:hAnsi="Times New Roman" w:eastAsia="Times New Roman" w:cs="Times New Roman"/>
              </w:rPr>
              <w:t>cm</w:t>
            </w:r>
            <w:r>
              <w:rPr>
                <w:rFonts w:ascii="Times New Roman" w:hAnsi="Times New Roman" w:eastAsia="Times New Roman" w:cs="Times New Roman"/>
                <w:spacing w:val="4"/>
              </w:rPr>
              <w:t>/s</w:t>
            </w:r>
            <w:r>
              <w:rPr>
                <w:spacing w:val="4"/>
              </w:rPr>
              <w:t>；</w:t>
            </w:r>
          </w:p>
          <w:p w14:paraId="118C8428">
            <w:pPr>
              <w:pStyle w:val="6"/>
              <w:spacing w:before="63" w:line="227" w:lineRule="auto"/>
              <w:ind w:left="793"/>
            </w:pPr>
            <w:r>
              <w:rPr>
                <w:spacing w:val="9"/>
              </w:rPr>
              <w:t>简单防渗区：其他生产车间、高位水池等，采用一般地面硬化；</w:t>
            </w:r>
          </w:p>
        </w:tc>
        <w:tc>
          <w:tcPr>
            <w:tcW w:w="4004" w:type="dxa"/>
            <w:vAlign w:val="top"/>
          </w:tcPr>
          <w:p w14:paraId="7026397D">
            <w:pPr>
              <w:pStyle w:val="6"/>
              <w:spacing w:before="55" w:line="228" w:lineRule="auto"/>
              <w:ind w:left="119"/>
            </w:pPr>
            <w:r>
              <w:rPr>
                <w:spacing w:val="9"/>
              </w:rPr>
              <w:t>符合《一般工业固体废物贮存和填埋污染</w:t>
            </w:r>
          </w:p>
          <w:p w14:paraId="4A337B02">
            <w:pPr>
              <w:pStyle w:val="6"/>
              <w:spacing w:before="65" w:line="228" w:lineRule="auto"/>
              <w:ind w:left="114"/>
            </w:pPr>
            <w:r>
              <w:rPr>
                <w:spacing w:val="5"/>
              </w:rPr>
              <w:t>控制标准》（</w:t>
            </w:r>
            <w:r>
              <w:rPr>
                <w:rFonts w:ascii="Times New Roman" w:hAnsi="Times New Roman" w:eastAsia="Times New Roman" w:cs="Times New Roman"/>
              </w:rPr>
              <w:t>GB</w:t>
            </w:r>
            <w:r>
              <w:rPr>
                <w:rFonts w:ascii="Times New Roman" w:hAnsi="Times New Roman" w:eastAsia="Times New Roman" w:cs="Times New Roman"/>
                <w:spacing w:val="5"/>
              </w:rPr>
              <w:t>18599-2020</w:t>
            </w:r>
            <w:r>
              <w:rPr>
                <w:spacing w:val="5"/>
              </w:rPr>
              <w:t>）要求；符合</w:t>
            </w:r>
          </w:p>
          <w:p w14:paraId="06649016">
            <w:pPr>
              <w:pStyle w:val="6"/>
              <w:spacing w:before="64" w:line="228" w:lineRule="auto"/>
              <w:ind w:left="543"/>
            </w:pPr>
            <w:r>
              <w:rPr>
                <w:spacing w:val="8"/>
              </w:rPr>
              <w:t>《危险废物贮存污染控制标准》</w:t>
            </w:r>
          </w:p>
          <w:p w14:paraId="0DED9908">
            <w:pPr>
              <w:pStyle w:val="6"/>
              <w:spacing w:before="65" w:line="228" w:lineRule="auto"/>
              <w:ind w:left="125"/>
            </w:pP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18597-2001</w:t>
            </w:r>
            <w:r>
              <w:rPr>
                <w:spacing w:val="-5"/>
              </w:rPr>
              <w:t>）（</w:t>
            </w:r>
            <w:r>
              <w:rPr>
                <w:rFonts w:ascii="Times New Roman" w:hAnsi="Times New Roman" w:eastAsia="Times New Roman" w:cs="Times New Roman"/>
                <w:spacing w:val="7"/>
              </w:rPr>
              <w:t xml:space="preserve">2013 </w:t>
            </w:r>
            <w:r>
              <w:rPr>
                <w:spacing w:val="7"/>
              </w:rPr>
              <w:t>年修订）要求；</w:t>
            </w:r>
          </w:p>
          <w:p w14:paraId="37EEB38E">
            <w:pPr>
              <w:pStyle w:val="6"/>
              <w:spacing w:before="65" w:line="228" w:lineRule="auto"/>
              <w:ind w:left="750"/>
            </w:pPr>
            <w:r>
              <w:rPr>
                <w:spacing w:val="8"/>
              </w:rPr>
              <w:t>不对土壤、地下水造成污染</w:t>
            </w:r>
          </w:p>
        </w:tc>
      </w:tr>
    </w:tbl>
    <w:p w14:paraId="1CF251D5">
      <w:pPr>
        <w:pStyle w:val="2"/>
      </w:pPr>
    </w:p>
    <w:p w14:paraId="6E0D87DA">
      <w:pPr>
        <w:sectPr>
          <w:footerReference r:id="rId436" w:type="default"/>
          <w:pgSz w:w="16839" w:h="11906"/>
          <w:pgMar w:top="1208" w:right="1327" w:bottom="1358" w:left="1326" w:header="825" w:footer="1195" w:gutter="0"/>
          <w:cols w:space="720" w:num="1"/>
        </w:sectPr>
      </w:pPr>
    </w:p>
    <w:p w14:paraId="4D2F8622">
      <w:pPr>
        <w:spacing w:before="271" w:line="222" w:lineRule="auto"/>
        <w:ind w:left="39"/>
        <w:outlineLvl w:val="0"/>
        <w:rPr>
          <w:rFonts w:ascii="黑体" w:hAnsi="黑体" w:eastAsia="黑体" w:cs="黑体"/>
          <w:sz w:val="28"/>
          <w:szCs w:val="28"/>
        </w:rPr>
      </w:pPr>
      <w:bookmarkStart w:id="196" w:name="bookmark174"/>
      <w:bookmarkEnd w:id="196"/>
      <w:r>
        <w:rPr>
          <w:rFonts w:ascii="黑体" w:hAnsi="黑体" w:eastAsia="黑体" w:cs="黑体"/>
          <w:b/>
          <w:bCs/>
          <w:spacing w:val="-8"/>
          <w:sz w:val="28"/>
          <w:szCs w:val="28"/>
        </w:rPr>
        <w:t>13</w:t>
      </w:r>
      <w:r>
        <w:rPr>
          <w:rFonts w:ascii="黑体" w:hAnsi="黑体" w:eastAsia="黑体" w:cs="黑体"/>
          <w:spacing w:val="-54"/>
          <w:sz w:val="28"/>
          <w:szCs w:val="28"/>
        </w:rPr>
        <w:t xml:space="preserve"> </w:t>
      </w:r>
      <w:r>
        <w:rPr>
          <w:rFonts w:ascii="黑体" w:hAnsi="黑体" w:eastAsia="黑体" w:cs="黑体"/>
          <w:b/>
          <w:bCs/>
          <w:spacing w:val="-8"/>
          <w:sz w:val="28"/>
          <w:szCs w:val="28"/>
        </w:rPr>
        <w:t>结论与建议</w:t>
      </w:r>
    </w:p>
    <w:p w14:paraId="6348ED44">
      <w:pPr>
        <w:pStyle w:val="2"/>
        <w:spacing w:line="271" w:lineRule="auto"/>
      </w:pPr>
    </w:p>
    <w:p w14:paraId="22E77A89">
      <w:pPr>
        <w:spacing w:before="91" w:line="222" w:lineRule="auto"/>
        <w:ind w:left="32"/>
        <w:outlineLvl w:val="1"/>
        <w:rPr>
          <w:rFonts w:ascii="黑体" w:hAnsi="黑体" w:eastAsia="黑体" w:cs="黑体"/>
          <w:sz w:val="28"/>
          <w:szCs w:val="28"/>
        </w:rPr>
      </w:pPr>
      <w:bookmarkStart w:id="197" w:name="bookmark175"/>
      <w:bookmarkEnd w:id="197"/>
      <w:r>
        <w:rPr>
          <w:rFonts w:ascii="Times New Roman" w:hAnsi="Times New Roman" w:eastAsia="Times New Roman" w:cs="Times New Roman"/>
          <w:b/>
          <w:bCs/>
          <w:spacing w:val="-3"/>
          <w:sz w:val="28"/>
          <w:szCs w:val="28"/>
        </w:rPr>
        <w:t xml:space="preserve">13.1 </w:t>
      </w:r>
      <w:r>
        <w:rPr>
          <w:rFonts w:ascii="黑体" w:hAnsi="黑体" w:eastAsia="黑体" w:cs="黑体"/>
          <w:b/>
          <w:bCs/>
          <w:spacing w:val="-3"/>
          <w:sz w:val="28"/>
          <w:szCs w:val="28"/>
        </w:rPr>
        <w:t>产业政策与选址合理性分析</w:t>
      </w:r>
    </w:p>
    <w:p w14:paraId="6BF538BC">
      <w:pPr>
        <w:spacing w:before="253" w:line="361" w:lineRule="auto"/>
        <w:ind w:left="22" w:right="80" w:firstLine="480"/>
        <w:jc w:val="both"/>
        <w:rPr>
          <w:rFonts w:ascii="宋体" w:hAnsi="宋体" w:eastAsia="宋体" w:cs="宋体"/>
          <w:sz w:val="24"/>
          <w:szCs w:val="24"/>
        </w:rPr>
      </w:pPr>
      <w:r>
        <w:rPr>
          <w:rFonts w:ascii="宋体" w:hAnsi="宋体" w:eastAsia="宋体" w:cs="宋体"/>
          <w:spacing w:val="2"/>
          <w:sz w:val="24"/>
          <w:szCs w:val="24"/>
        </w:rPr>
        <w:t>根据《产业结构调整指导目录》（</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年本）相关条款规定，本项目未列</w:t>
      </w:r>
      <w:r>
        <w:rPr>
          <w:rFonts w:ascii="宋体" w:hAnsi="宋体" w:eastAsia="宋体" w:cs="宋体"/>
          <w:spacing w:val="5"/>
          <w:sz w:val="24"/>
          <w:szCs w:val="24"/>
        </w:rPr>
        <w:t xml:space="preserve"> </w:t>
      </w:r>
      <w:r>
        <w:rPr>
          <w:rFonts w:ascii="宋体" w:hAnsi="宋体" w:eastAsia="宋体" w:cs="宋体"/>
          <w:spacing w:val="-3"/>
          <w:sz w:val="24"/>
          <w:szCs w:val="24"/>
        </w:rPr>
        <w:t>入鼓励类、淘汰类、限制类范围，属于允许类项目。而且，本项目已取得备案文</w:t>
      </w:r>
      <w:r>
        <w:rPr>
          <w:rFonts w:ascii="宋体" w:hAnsi="宋体" w:eastAsia="宋体" w:cs="宋体"/>
          <w:spacing w:val="1"/>
          <w:sz w:val="24"/>
          <w:szCs w:val="24"/>
        </w:rPr>
        <w:t xml:space="preserve"> </w:t>
      </w:r>
      <w:r>
        <w:rPr>
          <w:rFonts w:ascii="宋体" w:hAnsi="宋体" w:eastAsia="宋体" w:cs="宋体"/>
          <w:spacing w:val="-3"/>
          <w:sz w:val="24"/>
          <w:szCs w:val="24"/>
        </w:rPr>
        <w:t>件，符合当地政策要求。本项目的建设符合《内蒙古自治区主体功能区规划》要</w:t>
      </w:r>
      <w:r>
        <w:rPr>
          <w:rFonts w:ascii="宋体" w:hAnsi="宋体" w:eastAsia="宋体" w:cs="宋体"/>
          <w:spacing w:val="1"/>
          <w:sz w:val="24"/>
          <w:szCs w:val="24"/>
        </w:rPr>
        <w:t xml:space="preserve"> </w:t>
      </w:r>
      <w:r>
        <w:rPr>
          <w:rFonts w:ascii="宋体" w:hAnsi="宋体" w:eastAsia="宋体" w:cs="宋体"/>
          <w:spacing w:val="-3"/>
          <w:sz w:val="24"/>
          <w:szCs w:val="24"/>
        </w:rPr>
        <w:t>求，符合《锡林郭勒盟生态环境准入清单》。现有尾矿库选址满足《一般工业固</w:t>
      </w:r>
      <w:r>
        <w:rPr>
          <w:rFonts w:ascii="宋体" w:hAnsi="宋体" w:eastAsia="宋体" w:cs="宋体"/>
          <w:spacing w:val="1"/>
          <w:sz w:val="24"/>
          <w:szCs w:val="24"/>
        </w:rPr>
        <w:t xml:space="preserve"> </w:t>
      </w:r>
      <w:r>
        <w:rPr>
          <w:rFonts w:ascii="宋体" w:hAnsi="宋体" w:eastAsia="宋体" w:cs="宋体"/>
          <w:spacing w:val="-1"/>
          <w:sz w:val="24"/>
          <w:szCs w:val="24"/>
        </w:rPr>
        <w:t>体废物贮存、处置场污染控制标准》要求。</w:t>
      </w:r>
    </w:p>
    <w:p w14:paraId="6F8927B6">
      <w:pPr>
        <w:spacing w:before="77" w:line="222" w:lineRule="auto"/>
        <w:ind w:left="32"/>
        <w:outlineLvl w:val="1"/>
        <w:rPr>
          <w:rFonts w:ascii="黑体" w:hAnsi="黑体" w:eastAsia="黑体" w:cs="黑体"/>
          <w:sz w:val="28"/>
          <w:szCs w:val="28"/>
        </w:rPr>
      </w:pPr>
      <w:bookmarkStart w:id="198" w:name="bookmark176"/>
      <w:bookmarkEnd w:id="198"/>
      <w:r>
        <w:rPr>
          <w:rFonts w:ascii="Times New Roman" w:hAnsi="Times New Roman" w:eastAsia="Times New Roman" w:cs="Times New Roman"/>
          <w:b/>
          <w:bCs/>
          <w:spacing w:val="-3"/>
          <w:sz w:val="28"/>
          <w:szCs w:val="28"/>
        </w:rPr>
        <w:t xml:space="preserve">13.2 </w:t>
      </w:r>
      <w:r>
        <w:rPr>
          <w:rFonts w:ascii="黑体" w:hAnsi="黑体" w:eastAsia="黑体" w:cs="黑体"/>
          <w:b/>
          <w:bCs/>
          <w:spacing w:val="-3"/>
          <w:sz w:val="28"/>
          <w:szCs w:val="28"/>
        </w:rPr>
        <w:t>周围环境质量现状评价结论</w:t>
      </w:r>
    </w:p>
    <w:p w14:paraId="24B6F1F1">
      <w:pPr>
        <w:spacing w:before="255"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）环境空气质量</w:t>
      </w:r>
    </w:p>
    <w:p w14:paraId="11EFE60D">
      <w:pPr>
        <w:spacing w:before="182" w:line="358" w:lineRule="auto"/>
        <w:ind w:left="18" w:firstLine="485"/>
        <w:rPr>
          <w:rFonts w:ascii="宋体" w:hAnsi="宋体" w:eastAsia="宋体" w:cs="宋体"/>
          <w:sz w:val="24"/>
          <w:szCs w:val="24"/>
        </w:rPr>
      </w:pPr>
      <w:r>
        <w:rPr>
          <w:rFonts w:ascii="宋体" w:hAnsi="宋体" w:eastAsia="宋体" w:cs="宋体"/>
          <w:spacing w:val="-10"/>
          <w:sz w:val="24"/>
          <w:szCs w:val="24"/>
        </w:rPr>
        <w:t>根据锡林郭勒盟国控自动监测站点监测数据可知，厂址地区</w:t>
      </w:r>
      <w:r>
        <w:rPr>
          <w:rFonts w:ascii="宋体" w:hAnsi="宋体" w:eastAsia="宋体" w:cs="宋体"/>
          <w:spacing w:val="-69"/>
          <w:sz w:val="24"/>
          <w:szCs w:val="24"/>
        </w:rPr>
        <w:t xml:space="preserve"> </w:t>
      </w:r>
      <w:r>
        <w:rPr>
          <w:rFonts w:ascii="Times New Roman" w:hAnsi="Times New Roman" w:eastAsia="Times New Roman" w:cs="Times New Roman"/>
          <w:spacing w:val="-10"/>
          <w:sz w:val="24"/>
          <w:szCs w:val="24"/>
        </w:rPr>
        <w:t>SO</w:t>
      </w:r>
      <w:r>
        <w:rPr>
          <w:rFonts w:ascii="Times New Roman" w:hAnsi="Times New Roman" w:eastAsia="Times New Roman" w:cs="Times New Roman"/>
          <w:spacing w:val="-10"/>
          <w:position w:val="-1"/>
          <w:sz w:val="15"/>
          <w:szCs w:val="15"/>
        </w:rPr>
        <w:t>2</w:t>
      </w:r>
      <w:r>
        <w:rPr>
          <w:rFonts w:ascii="宋体" w:hAnsi="宋体" w:eastAsia="宋体" w:cs="宋体"/>
          <w:spacing w:val="-10"/>
          <w:position w:val="-1"/>
          <w:sz w:val="24"/>
          <w:szCs w:val="24"/>
        </w:rPr>
        <w:t>、</w:t>
      </w:r>
      <w:r>
        <w:rPr>
          <w:rFonts w:ascii="Times New Roman" w:hAnsi="Times New Roman" w:eastAsia="Times New Roman" w:cs="Times New Roman"/>
          <w:spacing w:val="-10"/>
          <w:sz w:val="24"/>
          <w:szCs w:val="24"/>
        </w:rPr>
        <w:t>NO</w:t>
      </w:r>
      <w:r>
        <w:rPr>
          <w:rFonts w:ascii="Times New Roman" w:hAnsi="Times New Roman" w:eastAsia="Times New Roman" w:cs="Times New Roman"/>
          <w:spacing w:val="-10"/>
          <w:position w:val="-1"/>
          <w:sz w:val="15"/>
          <w:szCs w:val="15"/>
        </w:rPr>
        <w:t>2</w:t>
      </w:r>
      <w:r>
        <w:rPr>
          <w:rFonts w:ascii="宋体" w:hAnsi="宋体" w:eastAsia="宋体" w:cs="宋体"/>
          <w:spacing w:val="-10"/>
          <w:position w:val="-1"/>
          <w:sz w:val="24"/>
          <w:szCs w:val="24"/>
        </w:rPr>
        <w:t>、</w:t>
      </w:r>
      <w:r>
        <w:rPr>
          <w:rFonts w:ascii="Times New Roman" w:hAnsi="Times New Roman" w:eastAsia="Times New Roman" w:cs="Times New Roman"/>
          <w:spacing w:val="-10"/>
          <w:sz w:val="24"/>
          <w:szCs w:val="24"/>
        </w:rPr>
        <w:t>PM</w:t>
      </w:r>
      <w:r>
        <w:rPr>
          <w:rFonts w:ascii="Times New Roman" w:hAnsi="Times New Roman" w:eastAsia="Times New Roman" w:cs="Times New Roman"/>
          <w:spacing w:val="-10"/>
          <w:position w:val="-1"/>
          <w:sz w:val="15"/>
          <w:szCs w:val="15"/>
        </w:rPr>
        <w:t>10</w:t>
      </w:r>
      <w:r>
        <w:rPr>
          <w:rFonts w:ascii="宋体" w:hAnsi="宋体" w:eastAsia="宋体" w:cs="宋体"/>
          <w:spacing w:val="-36"/>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0"/>
          <w:position w:val="-1"/>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CO24</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小时平均第</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95</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百分位数</w:t>
      </w:r>
      <w:r>
        <w:rPr>
          <w:rFonts w:ascii="宋体" w:hAnsi="宋体" w:eastAsia="宋体" w:cs="宋体"/>
          <w:spacing w:val="-4"/>
          <w:sz w:val="24"/>
          <w:szCs w:val="24"/>
        </w:rPr>
        <w:t>浓度和</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9"/>
          <w:position w:val="-1"/>
          <w:sz w:val="15"/>
          <w:szCs w:val="15"/>
        </w:rPr>
        <w:t xml:space="preserve">  </w:t>
      </w:r>
      <w:r>
        <w:rPr>
          <w:rFonts w:ascii="宋体" w:hAnsi="宋体" w:eastAsia="宋体" w:cs="宋体"/>
          <w:spacing w:val="-4"/>
          <w:sz w:val="24"/>
          <w:szCs w:val="24"/>
        </w:rPr>
        <w:t>日最大</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小时平均第</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90</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百分位</w:t>
      </w:r>
      <w:r>
        <w:rPr>
          <w:rFonts w:ascii="宋体" w:hAnsi="宋体" w:eastAsia="宋体" w:cs="宋体"/>
          <w:sz w:val="24"/>
          <w:szCs w:val="24"/>
        </w:rPr>
        <w:t xml:space="preserve"> </w:t>
      </w:r>
      <w:r>
        <w:rPr>
          <w:rFonts w:ascii="宋体" w:hAnsi="宋体" w:eastAsia="宋体" w:cs="宋体"/>
          <w:spacing w:val="-1"/>
          <w:sz w:val="24"/>
          <w:szCs w:val="24"/>
        </w:rPr>
        <w:t>数浓度均能满足《环境空气质量标准》（</w:t>
      </w:r>
      <w:r>
        <w:rPr>
          <w:rFonts w:ascii="Times New Roman" w:hAnsi="Times New Roman" w:eastAsia="Times New Roman" w:cs="Times New Roman"/>
          <w:spacing w:val="-1"/>
          <w:sz w:val="24"/>
          <w:szCs w:val="24"/>
        </w:rPr>
        <w:t>GB3095-2012</w:t>
      </w:r>
      <w:r>
        <w:rPr>
          <w:rFonts w:ascii="宋体" w:hAnsi="宋体" w:eastAsia="宋体" w:cs="宋体"/>
          <w:spacing w:val="-1"/>
          <w:sz w:val="24"/>
          <w:szCs w:val="24"/>
        </w:rPr>
        <w:t>）中二级标准的要求。因</w:t>
      </w:r>
      <w:r>
        <w:rPr>
          <w:rFonts w:ascii="宋体" w:hAnsi="宋体" w:eastAsia="宋体" w:cs="宋体"/>
          <w:spacing w:val="7"/>
          <w:sz w:val="24"/>
          <w:szCs w:val="24"/>
        </w:rPr>
        <w:t xml:space="preserve"> </w:t>
      </w:r>
      <w:r>
        <w:rPr>
          <w:rFonts w:ascii="宋体" w:hAnsi="宋体" w:eastAsia="宋体" w:cs="宋体"/>
          <w:spacing w:val="-1"/>
          <w:sz w:val="24"/>
          <w:szCs w:val="24"/>
        </w:rPr>
        <w:t>此，确定本项目厂区所在区域为达标区。</w:t>
      </w:r>
    </w:p>
    <w:p w14:paraId="7FC9A4B5">
      <w:pPr>
        <w:spacing w:before="1"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）地下水环境质量</w:t>
      </w:r>
    </w:p>
    <w:p w14:paraId="465A5859">
      <w:pPr>
        <w:spacing w:before="181" w:line="360" w:lineRule="auto"/>
        <w:ind w:left="22" w:right="80" w:firstLine="480"/>
        <w:rPr>
          <w:rFonts w:ascii="宋体" w:hAnsi="宋体" w:eastAsia="宋体" w:cs="宋体"/>
          <w:sz w:val="24"/>
          <w:szCs w:val="24"/>
        </w:rPr>
      </w:pPr>
      <w:r>
        <w:rPr>
          <w:rFonts w:ascii="宋体" w:hAnsi="宋体" w:eastAsia="宋体" w:cs="宋体"/>
          <w:spacing w:val="4"/>
          <w:sz w:val="24"/>
          <w:szCs w:val="24"/>
        </w:rPr>
        <w:t>根据周边地下水水质现状监测结果，检测指标均符合《地下水质</w:t>
      </w:r>
      <w:r>
        <w:rPr>
          <w:rFonts w:ascii="宋体" w:hAnsi="宋体" w:eastAsia="宋体" w:cs="宋体"/>
          <w:spacing w:val="3"/>
          <w:sz w:val="24"/>
          <w:szCs w:val="24"/>
        </w:rPr>
        <w:t>量标准》</w:t>
      </w:r>
      <w:r>
        <w:rPr>
          <w:rFonts w:ascii="宋体" w:hAnsi="宋体" w:eastAsia="宋体" w:cs="宋体"/>
          <w:sz w:val="24"/>
          <w:szCs w:val="24"/>
        </w:rPr>
        <w:t xml:space="preserve"> </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3"/>
          <w:sz w:val="24"/>
          <w:szCs w:val="24"/>
        </w:rPr>
        <w:t>15858-2017)Ⅲ</w:t>
      </w:r>
      <w:r>
        <w:rPr>
          <w:rFonts w:ascii="宋体" w:hAnsi="宋体" w:eastAsia="宋体" w:cs="宋体"/>
          <w:spacing w:val="-3"/>
          <w:sz w:val="24"/>
          <w:szCs w:val="24"/>
        </w:rPr>
        <w:t>类标准要求，地下水环境现状较好。总硬度与溶解性总固体</w:t>
      </w:r>
      <w:r>
        <w:rPr>
          <w:rFonts w:ascii="宋体" w:hAnsi="宋体" w:eastAsia="宋体" w:cs="宋体"/>
          <w:sz w:val="24"/>
          <w:szCs w:val="24"/>
        </w:rPr>
        <w:t xml:space="preserve"> </w:t>
      </w:r>
      <w:r>
        <w:rPr>
          <w:rFonts w:ascii="宋体" w:hAnsi="宋体" w:eastAsia="宋体" w:cs="宋体"/>
          <w:spacing w:val="-3"/>
          <w:sz w:val="24"/>
          <w:szCs w:val="24"/>
        </w:rPr>
        <w:t>超标与当地原生的水文地质条件有关，长期水岩相互作用以及蒸发浓缩作用导致</w:t>
      </w:r>
      <w:r>
        <w:rPr>
          <w:rFonts w:ascii="宋体" w:hAnsi="宋体" w:eastAsia="宋体" w:cs="宋体"/>
          <w:spacing w:val="1"/>
          <w:sz w:val="24"/>
          <w:szCs w:val="24"/>
        </w:rPr>
        <w:t xml:space="preserve"> </w:t>
      </w:r>
      <w:r>
        <w:rPr>
          <w:rFonts w:ascii="宋体" w:hAnsi="宋体" w:eastAsia="宋体" w:cs="宋体"/>
          <w:spacing w:val="-5"/>
          <w:sz w:val="24"/>
          <w:szCs w:val="24"/>
        </w:rPr>
        <w:t>的。</w:t>
      </w:r>
    </w:p>
    <w:p w14:paraId="443E6E46">
      <w:pPr>
        <w:spacing w:before="1"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）声环境质量现状评价结论</w:t>
      </w:r>
    </w:p>
    <w:p w14:paraId="46208224">
      <w:pPr>
        <w:spacing w:before="185" w:line="360" w:lineRule="auto"/>
        <w:ind w:left="17" w:right="80" w:firstLine="486"/>
        <w:rPr>
          <w:rFonts w:ascii="宋体" w:hAnsi="宋体" w:eastAsia="宋体" w:cs="宋体"/>
          <w:sz w:val="24"/>
          <w:szCs w:val="24"/>
        </w:rPr>
      </w:pPr>
      <w:r>
        <w:rPr>
          <w:rFonts w:ascii="宋体" w:hAnsi="宋体" w:eastAsia="宋体" w:cs="宋体"/>
          <w:spacing w:val="2"/>
          <w:sz w:val="24"/>
          <w:szCs w:val="24"/>
        </w:rPr>
        <w:t>本项目厂界噪声现状测量值昼间在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52.5</w:t>
      </w:r>
      <w:r>
        <w:rPr>
          <w:rFonts w:ascii="宋体" w:hAnsi="宋体" w:eastAsia="宋体" w:cs="宋体"/>
          <w:spacing w:val="2"/>
          <w:sz w:val="24"/>
          <w:szCs w:val="24"/>
        </w:rPr>
        <w:t>～</w:t>
      </w:r>
      <w:r>
        <w:rPr>
          <w:rFonts w:ascii="Times New Roman" w:hAnsi="Times New Roman" w:eastAsia="Times New Roman" w:cs="Times New Roman"/>
          <w:spacing w:val="2"/>
          <w:sz w:val="24"/>
          <w:szCs w:val="24"/>
        </w:rPr>
        <w:t>55.9</w:t>
      </w:r>
      <w:r>
        <w:rPr>
          <w:rFonts w:ascii="Times New Roman" w:hAnsi="Times New Roman" w:eastAsia="Times New Roman" w:cs="Times New Roman"/>
          <w:sz w:val="24"/>
          <w:szCs w:val="24"/>
        </w:rPr>
        <w:t>dB</w:t>
      </w:r>
      <w:r>
        <w:rPr>
          <w:rFonts w:ascii="宋体" w:hAnsi="宋体" w:eastAsia="宋体" w:cs="宋体"/>
          <w:spacing w:val="2"/>
          <w:sz w:val="24"/>
          <w:szCs w:val="24"/>
        </w:rPr>
        <w:t>（</w:t>
      </w:r>
      <w:r>
        <w:rPr>
          <w:rFonts w:ascii="Times New Roman" w:hAnsi="Times New Roman" w:eastAsia="Times New Roman" w:cs="Times New Roman"/>
          <w:spacing w:val="2"/>
          <w:sz w:val="24"/>
          <w:szCs w:val="24"/>
        </w:rPr>
        <w:t>A</w:t>
      </w:r>
      <w:r>
        <w:rPr>
          <w:rFonts w:ascii="宋体" w:hAnsi="宋体" w:eastAsia="宋体" w:cs="宋体"/>
          <w:spacing w:val="2"/>
          <w:sz w:val="24"/>
          <w:szCs w:val="24"/>
        </w:rPr>
        <w:t>）之</w:t>
      </w:r>
      <w:r>
        <w:rPr>
          <w:rFonts w:ascii="宋体" w:hAnsi="宋体" w:eastAsia="宋体" w:cs="宋体"/>
          <w:spacing w:val="1"/>
          <w:sz w:val="24"/>
          <w:szCs w:val="24"/>
        </w:rPr>
        <w:t>间，夜间在</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46.5</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47.0dB</w:t>
      </w:r>
      <w:r>
        <w:rPr>
          <w:rFonts w:ascii="宋体" w:hAnsi="宋体" w:eastAsia="宋体" w:cs="宋体"/>
          <w:sz w:val="24"/>
          <w:szCs w:val="24"/>
        </w:rPr>
        <w:t>（</w:t>
      </w:r>
      <w:r>
        <w:rPr>
          <w:rFonts w:ascii="Times New Roman" w:hAnsi="Times New Roman" w:eastAsia="Times New Roman" w:cs="Times New Roman"/>
          <w:sz w:val="24"/>
          <w:szCs w:val="24"/>
        </w:rPr>
        <w:t>A</w:t>
      </w:r>
      <w:r>
        <w:rPr>
          <w:rFonts w:ascii="宋体" w:hAnsi="宋体" w:eastAsia="宋体" w:cs="宋体"/>
          <w:sz w:val="24"/>
          <w:szCs w:val="24"/>
        </w:rPr>
        <w:t>）之间。本项目厂区噪声监测值均小于《</w:t>
      </w:r>
      <w:r>
        <w:rPr>
          <w:rFonts w:ascii="宋体" w:hAnsi="宋体" w:eastAsia="宋体" w:cs="宋体"/>
          <w:spacing w:val="-1"/>
          <w:sz w:val="24"/>
          <w:szCs w:val="24"/>
        </w:rPr>
        <w:t>工业企业厂界环境噪声排放</w:t>
      </w:r>
      <w:r>
        <w:rPr>
          <w:rFonts w:ascii="宋体" w:hAnsi="宋体" w:eastAsia="宋体" w:cs="宋体"/>
          <w:sz w:val="24"/>
          <w:szCs w:val="24"/>
        </w:rPr>
        <w:t xml:space="preserve"> 标准》（</w:t>
      </w:r>
      <w:r>
        <w:rPr>
          <w:rFonts w:ascii="Times New Roman" w:hAnsi="Times New Roman" w:eastAsia="Times New Roman" w:cs="Times New Roman"/>
          <w:sz w:val="24"/>
          <w:szCs w:val="24"/>
        </w:rPr>
        <w:t>GB12348-2008</w:t>
      </w:r>
      <w:r>
        <w:rPr>
          <w:rFonts w:ascii="宋体" w:hAnsi="宋体" w:eastAsia="宋体" w:cs="宋体"/>
          <w:sz w:val="24"/>
          <w:szCs w:val="24"/>
        </w:rPr>
        <w:t>）</w:t>
      </w:r>
      <w:r>
        <w:rPr>
          <w:rFonts w:ascii="Times New Roman" w:hAnsi="Times New Roman" w:eastAsia="Times New Roman" w:cs="Times New Roman"/>
          <w:sz w:val="24"/>
          <w:szCs w:val="24"/>
        </w:rPr>
        <w:t xml:space="preserve">2 </w:t>
      </w:r>
      <w:r>
        <w:rPr>
          <w:rFonts w:ascii="宋体" w:hAnsi="宋体" w:eastAsia="宋体" w:cs="宋体"/>
          <w:sz w:val="24"/>
          <w:szCs w:val="24"/>
        </w:rPr>
        <w:t>类标准</w:t>
      </w:r>
      <w:r>
        <w:rPr>
          <w:rFonts w:ascii="宋体" w:hAnsi="宋体" w:eastAsia="宋体" w:cs="宋体"/>
          <w:spacing w:val="-1"/>
          <w:sz w:val="24"/>
          <w:szCs w:val="24"/>
        </w:rPr>
        <w:t>的限值要求。</w:t>
      </w:r>
    </w:p>
    <w:p w14:paraId="02E9AA14">
      <w:pPr>
        <w:spacing w:before="1" w:line="217"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）土壤环境质量现状评价结论</w:t>
      </w:r>
    </w:p>
    <w:p w14:paraId="3D49581A">
      <w:pPr>
        <w:spacing w:before="184" w:line="361" w:lineRule="auto"/>
        <w:ind w:left="23" w:firstLine="480"/>
        <w:rPr>
          <w:rFonts w:ascii="宋体" w:hAnsi="宋体" w:eastAsia="宋体" w:cs="宋体"/>
          <w:sz w:val="24"/>
          <w:szCs w:val="24"/>
        </w:rPr>
      </w:pPr>
      <w:r>
        <w:rPr>
          <w:rFonts w:ascii="宋体" w:hAnsi="宋体" w:eastAsia="宋体" w:cs="宋体"/>
          <w:sz w:val="24"/>
          <w:szCs w:val="24"/>
        </w:rPr>
        <w:t>监测结果表明，所有牧草地监测点的监测项目均小于《土壤环境质量 农用</w:t>
      </w:r>
      <w:r>
        <w:rPr>
          <w:rFonts w:ascii="宋体" w:hAnsi="宋体" w:eastAsia="宋体" w:cs="宋体"/>
          <w:spacing w:val="12"/>
          <w:sz w:val="24"/>
          <w:szCs w:val="24"/>
        </w:rPr>
        <w:t xml:space="preserve"> </w:t>
      </w:r>
      <w:r>
        <w:rPr>
          <w:rFonts w:ascii="宋体" w:hAnsi="宋体" w:eastAsia="宋体" w:cs="宋体"/>
          <w:spacing w:val="2"/>
          <w:sz w:val="24"/>
          <w:szCs w:val="24"/>
        </w:rPr>
        <w:t>地土壤污染风险管控标准（试行）》（</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15618-2018</w:t>
      </w:r>
      <w:r>
        <w:rPr>
          <w:rFonts w:ascii="宋体" w:hAnsi="宋体" w:eastAsia="宋体" w:cs="宋体"/>
          <w:spacing w:val="2"/>
          <w:sz w:val="24"/>
          <w:szCs w:val="24"/>
        </w:rPr>
        <w:t>）筛选值，厂界内监测点</w:t>
      </w:r>
      <w:r>
        <w:rPr>
          <w:rFonts w:ascii="宋体" w:hAnsi="宋体" w:eastAsia="宋体" w:cs="宋体"/>
          <w:spacing w:val="6"/>
          <w:sz w:val="24"/>
          <w:szCs w:val="24"/>
        </w:rPr>
        <w:t xml:space="preserve"> </w:t>
      </w:r>
      <w:r>
        <w:rPr>
          <w:rFonts w:ascii="宋体" w:hAnsi="宋体" w:eastAsia="宋体" w:cs="宋体"/>
          <w:spacing w:val="-1"/>
          <w:sz w:val="24"/>
          <w:szCs w:val="24"/>
        </w:rPr>
        <w:t>的监测项目结果小于《土壤环境质量建设用地土壤污染风险管控标准（试行）》</w:t>
      </w:r>
      <w:r>
        <w:rPr>
          <w:rFonts w:ascii="宋体" w:hAnsi="宋体" w:eastAsia="宋体" w:cs="宋体"/>
          <w:spacing w:val="10"/>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36600-2018</w:t>
      </w:r>
      <w:r>
        <w:rPr>
          <w:rFonts w:ascii="宋体" w:hAnsi="宋体" w:eastAsia="宋体" w:cs="宋体"/>
          <w:spacing w:val="2"/>
          <w:sz w:val="24"/>
          <w:szCs w:val="24"/>
        </w:rPr>
        <w:t>）标准的风险筛选值的要求，说明该地区土壤环境质量现状较</w:t>
      </w:r>
      <w:r>
        <w:rPr>
          <w:rFonts w:ascii="宋体" w:hAnsi="宋体" w:eastAsia="宋体" w:cs="宋体"/>
          <w:spacing w:val="6"/>
          <w:sz w:val="24"/>
          <w:szCs w:val="24"/>
        </w:rPr>
        <w:t xml:space="preserve"> </w:t>
      </w:r>
      <w:r>
        <w:rPr>
          <w:rFonts w:ascii="宋体" w:hAnsi="宋体" w:eastAsia="宋体" w:cs="宋体"/>
          <w:spacing w:val="-5"/>
          <w:sz w:val="24"/>
          <w:szCs w:val="24"/>
        </w:rPr>
        <w:t>好。</w:t>
      </w:r>
    </w:p>
    <w:p w14:paraId="18E9C674">
      <w:pPr>
        <w:spacing w:line="361" w:lineRule="auto"/>
        <w:rPr>
          <w:rFonts w:ascii="宋体" w:hAnsi="宋体" w:eastAsia="宋体" w:cs="宋体"/>
          <w:sz w:val="24"/>
          <w:szCs w:val="24"/>
        </w:rPr>
        <w:sectPr>
          <w:headerReference r:id="rId437" w:type="default"/>
          <w:footerReference r:id="rId438" w:type="default"/>
          <w:pgSz w:w="11906" w:h="16839"/>
          <w:pgMar w:top="1208" w:right="1719" w:bottom="1358" w:left="1785" w:header="825" w:footer="1195" w:gutter="0"/>
          <w:cols w:space="720" w:num="1"/>
        </w:sectPr>
      </w:pPr>
    </w:p>
    <w:p w14:paraId="2EA719B2">
      <w:pPr>
        <w:spacing w:before="271" w:line="222" w:lineRule="auto"/>
        <w:ind w:left="32"/>
        <w:outlineLvl w:val="1"/>
        <w:rPr>
          <w:rFonts w:ascii="黑体" w:hAnsi="黑体" w:eastAsia="黑体" w:cs="黑体"/>
          <w:sz w:val="28"/>
          <w:szCs w:val="28"/>
        </w:rPr>
      </w:pPr>
      <w:bookmarkStart w:id="199" w:name="bookmark178"/>
      <w:bookmarkEnd w:id="199"/>
      <w:bookmarkStart w:id="200" w:name="bookmark177"/>
      <w:bookmarkEnd w:id="200"/>
      <w:r>
        <w:rPr>
          <w:rFonts w:ascii="Times New Roman" w:hAnsi="Times New Roman" w:eastAsia="Times New Roman" w:cs="Times New Roman"/>
          <w:b/>
          <w:bCs/>
          <w:spacing w:val="-3"/>
          <w:sz w:val="28"/>
          <w:szCs w:val="28"/>
        </w:rPr>
        <w:t xml:space="preserve">13.3 </w:t>
      </w:r>
      <w:r>
        <w:rPr>
          <w:rFonts w:ascii="黑体" w:hAnsi="黑体" w:eastAsia="黑体" w:cs="黑体"/>
          <w:b/>
          <w:bCs/>
          <w:spacing w:val="-3"/>
          <w:sz w:val="28"/>
          <w:szCs w:val="28"/>
        </w:rPr>
        <w:t>技改工程污染物排放与治理</w:t>
      </w:r>
    </w:p>
    <w:p w14:paraId="305A2370">
      <w:pPr>
        <w:spacing w:before="257" w:line="220" w:lineRule="auto"/>
        <w:ind w:left="509"/>
        <w:outlineLvl w:val="2"/>
        <w:rPr>
          <w:rFonts w:ascii="宋体" w:hAnsi="宋体" w:eastAsia="宋体" w:cs="宋体"/>
          <w:sz w:val="24"/>
          <w:szCs w:val="24"/>
        </w:rPr>
      </w:pPr>
      <w:bookmarkStart w:id="201" w:name="bookmark217"/>
      <w:bookmarkEnd w:id="201"/>
      <w:r>
        <w:rPr>
          <w:rFonts w:ascii="Times New Roman" w:hAnsi="Times New Roman" w:eastAsia="Times New Roman" w:cs="Times New Roman"/>
          <w:b/>
          <w:bCs/>
          <w:spacing w:val="-2"/>
          <w:sz w:val="24"/>
          <w:szCs w:val="24"/>
        </w:rPr>
        <w:t xml:space="preserve">13.3.1 </w:t>
      </w:r>
      <w:r>
        <w:rPr>
          <w:rFonts w:ascii="宋体" w:hAnsi="宋体" w:eastAsia="宋体" w:cs="宋体"/>
          <w:b/>
          <w:bCs/>
          <w:spacing w:val="-2"/>
          <w:sz w:val="24"/>
          <w:szCs w:val="24"/>
        </w:rPr>
        <w:t>大气污染控制措施</w:t>
      </w:r>
    </w:p>
    <w:p w14:paraId="378B079A">
      <w:pPr>
        <w:spacing w:before="181" w:line="360" w:lineRule="auto"/>
        <w:ind w:left="19" w:firstLine="488"/>
        <w:jc w:val="both"/>
        <w:rPr>
          <w:rFonts w:ascii="宋体" w:hAnsi="宋体" w:eastAsia="宋体" w:cs="宋体"/>
          <w:sz w:val="24"/>
          <w:szCs w:val="24"/>
        </w:rPr>
      </w:pPr>
      <w:r>
        <w:rPr>
          <w:rFonts w:ascii="宋体" w:hAnsi="宋体" w:eastAsia="宋体" w:cs="宋体"/>
          <w:spacing w:val="-3"/>
          <w:sz w:val="24"/>
          <w:szCs w:val="24"/>
        </w:rPr>
        <w:t>项目粗碎及中间堆场全部采取封闭形式，在新增设备及</w:t>
      </w:r>
      <w:r>
        <w:rPr>
          <w:rFonts w:ascii="宋体" w:hAnsi="宋体" w:eastAsia="宋体" w:cs="宋体"/>
          <w:spacing w:val="-4"/>
          <w:sz w:val="24"/>
          <w:szCs w:val="24"/>
        </w:rPr>
        <w:t>现有设备各产尘点中</w:t>
      </w:r>
      <w:r>
        <w:rPr>
          <w:rFonts w:ascii="宋体" w:hAnsi="宋体" w:eastAsia="宋体" w:cs="宋体"/>
          <w:sz w:val="24"/>
          <w:szCs w:val="24"/>
        </w:rPr>
        <w:t xml:space="preserve"> </w:t>
      </w:r>
      <w:r>
        <w:rPr>
          <w:rFonts w:ascii="宋体" w:hAnsi="宋体" w:eastAsia="宋体" w:cs="宋体"/>
          <w:spacing w:val="-3"/>
          <w:sz w:val="24"/>
          <w:szCs w:val="24"/>
        </w:rPr>
        <w:t>的鄂式破碎机、圆锥破碎机、皮带落料点等产尘点设置集气罩，收集的粉尘导入</w:t>
      </w:r>
      <w:r>
        <w:rPr>
          <w:rFonts w:ascii="宋体" w:hAnsi="宋体" w:eastAsia="宋体" w:cs="宋体"/>
          <w:spacing w:val="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台布袋除尘器，除尘后经</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15m</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高排气筒排放，皮带输送机设置密封长廊。粉尘</w:t>
      </w:r>
      <w:r>
        <w:rPr>
          <w:rFonts w:ascii="宋体" w:hAnsi="宋体" w:eastAsia="宋体" w:cs="宋体"/>
          <w:sz w:val="24"/>
          <w:szCs w:val="24"/>
        </w:rPr>
        <w:t xml:space="preserve"> </w:t>
      </w:r>
      <w:r>
        <w:rPr>
          <w:rFonts w:ascii="宋体" w:hAnsi="宋体" w:eastAsia="宋体" w:cs="宋体"/>
          <w:spacing w:val="-1"/>
          <w:sz w:val="24"/>
          <w:szCs w:val="24"/>
        </w:rPr>
        <w:t>排放浓度符合《铅、锌工业污染物排放标准》（</w:t>
      </w:r>
      <w:r>
        <w:rPr>
          <w:rFonts w:ascii="Times New Roman" w:hAnsi="Times New Roman" w:eastAsia="Times New Roman" w:cs="Times New Roman"/>
          <w:spacing w:val="-1"/>
          <w:sz w:val="24"/>
          <w:szCs w:val="24"/>
        </w:rPr>
        <w:t>GB25466-2010</w:t>
      </w:r>
      <w:r>
        <w:rPr>
          <w:rFonts w:ascii="宋体" w:hAnsi="宋体" w:eastAsia="宋体" w:cs="宋体"/>
          <w:spacing w:val="-1"/>
          <w:sz w:val="24"/>
          <w:szCs w:val="24"/>
        </w:rPr>
        <w:t>）及</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年修改</w:t>
      </w:r>
      <w:r>
        <w:rPr>
          <w:rFonts w:ascii="宋体" w:hAnsi="宋体" w:eastAsia="宋体" w:cs="宋体"/>
          <w:sz w:val="24"/>
          <w:szCs w:val="24"/>
        </w:rPr>
        <w:t xml:space="preserve"> </w:t>
      </w:r>
      <w:r>
        <w:rPr>
          <w:rFonts w:ascii="宋体" w:hAnsi="宋体" w:eastAsia="宋体" w:cs="宋体"/>
          <w:spacing w:val="-3"/>
          <w:sz w:val="24"/>
          <w:szCs w:val="24"/>
        </w:rPr>
        <w:t>单中规定的大气污染物排放浓度限值标准要求，可以达标排放。同时，原矿堆存</w:t>
      </w:r>
      <w:r>
        <w:rPr>
          <w:rFonts w:ascii="宋体" w:hAnsi="宋体" w:eastAsia="宋体" w:cs="宋体"/>
          <w:spacing w:val="5"/>
          <w:sz w:val="24"/>
          <w:szCs w:val="24"/>
        </w:rPr>
        <w:t xml:space="preserve"> </w:t>
      </w:r>
      <w:r>
        <w:rPr>
          <w:rFonts w:ascii="宋体" w:hAnsi="宋体" w:eastAsia="宋体" w:cs="宋体"/>
          <w:spacing w:val="-7"/>
          <w:sz w:val="24"/>
          <w:szCs w:val="24"/>
        </w:rPr>
        <w:t>于原矿堆场内，原矿堆场四周设置</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8m</w:t>
      </w:r>
      <w:r>
        <w:rPr>
          <w:rFonts w:ascii="Times New Roman" w:hAnsi="Times New Roman" w:eastAsia="Times New Roman" w:cs="Times New Roman"/>
          <w:spacing w:val="17"/>
          <w:sz w:val="24"/>
          <w:szCs w:val="24"/>
        </w:rPr>
        <w:t xml:space="preserve"> </w:t>
      </w:r>
      <w:r>
        <w:rPr>
          <w:rFonts w:ascii="宋体" w:hAnsi="宋体" w:eastAsia="宋体" w:cs="宋体"/>
          <w:spacing w:val="-7"/>
          <w:sz w:val="24"/>
          <w:szCs w:val="24"/>
        </w:rPr>
        <w:t>高防风抑尘网，地面硬化，对于</w:t>
      </w:r>
      <w:r>
        <w:rPr>
          <w:rFonts w:ascii="宋体" w:hAnsi="宋体" w:eastAsia="宋体" w:cs="宋体"/>
          <w:spacing w:val="-8"/>
          <w:sz w:val="24"/>
          <w:szCs w:val="24"/>
        </w:rPr>
        <w:t>装卸扬尘，</w:t>
      </w:r>
      <w:r>
        <w:rPr>
          <w:rFonts w:ascii="宋体" w:hAnsi="宋体" w:eastAsia="宋体" w:cs="宋体"/>
          <w:sz w:val="24"/>
          <w:szCs w:val="24"/>
        </w:rPr>
        <w:t xml:space="preserve"> </w:t>
      </w:r>
      <w:r>
        <w:rPr>
          <w:rFonts w:ascii="宋体" w:hAnsi="宋体" w:eastAsia="宋体" w:cs="宋体"/>
          <w:spacing w:val="-3"/>
          <w:sz w:val="24"/>
          <w:szCs w:val="24"/>
        </w:rPr>
        <w:t>卸料处采用微雾抑尘减少扬尘；本项目内的运输道路利用现有道路，并定期进行</w:t>
      </w:r>
      <w:r>
        <w:rPr>
          <w:rFonts w:ascii="宋体" w:hAnsi="宋体" w:eastAsia="宋体" w:cs="宋体"/>
          <w:spacing w:val="5"/>
          <w:sz w:val="24"/>
          <w:szCs w:val="24"/>
        </w:rPr>
        <w:t xml:space="preserve"> </w:t>
      </w:r>
      <w:r>
        <w:rPr>
          <w:rFonts w:ascii="宋体" w:hAnsi="宋体" w:eastAsia="宋体" w:cs="宋体"/>
          <w:spacing w:val="-1"/>
          <w:sz w:val="24"/>
          <w:szCs w:val="24"/>
        </w:rPr>
        <w:t>洒水抑尘。通过以上措施的实施可减少粉尘的排放。</w:t>
      </w:r>
    </w:p>
    <w:p w14:paraId="581261CD">
      <w:pPr>
        <w:spacing w:line="219" w:lineRule="auto"/>
        <w:ind w:left="509"/>
        <w:outlineLvl w:val="2"/>
        <w:rPr>
          <w:rFonts w:ascii="宋体" w:hAnsi="宋体" w:eastAsia="宋体" w:cs="宋体"/>
          <w:sz w:val="24"/>
          <w:szCs w:val="24"/>
        </w:rPr>
      </w:pPr>
      <w:bookmarkStart w:id="202" w:name="bookmark179"/>
      <w:bookmarkEnd w:id="202"/>
      <w:r>
        <w:rPr>
          <w:rFonts w:ascii="Times New Roman" w:hAnsi="Times New Roman" w:eastAsia="Times New Roman" w:cs="Times New Roman"/>
          <w:b/>
          <w:bCs/>
          <w:spacing w:val="-2"/>
          <w:sz w:val="24"/>
          <w:szCs w:val="24"/>
        </w:rPr>
        <w:t xml:space="preserve">13.3.2 </w:t>
      </w:r>
      <w:r>
        <w:rPr>
          <w:rFonts w:ascii="宋体" w:hAnsi="宋体" w:eastAsia="宋体" w:cs="宋体"/>
          <w:b/>
          <w:bCs/>
          <w:spacing w:val="-2"/>
          <w:sz w:val="24"/>
          <w:szCs w:val="24"/>
        </w:rPr>
        <w:t>废水污染治理措施</w:t>
      </w:r>
    </w:p>
    <w:p w14:paraId="7FA5DE48">
      <w:pPr>
        <w:spacing w:before="104"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）选矿废水</w:t>
      </w:r>
    </w:p>
    <w:p w14:paraId="324C7390">
      <w:pPr>
        <w:spacing w:before="182" w:line="359" w:lineRule="auto"/>
        <w:ind w:left="23" w:right="7" w:firstLine="479"/>
        <w:rPr>
          <w:rFonts w:ascii="宋体" w:hAnsi="宋体" w:eastAsia="宋体" w:cs="宋体"/>
          <w:sz w:val="24"/>
          <w:szCs w:val="24"/>
        </w:rPr>
      </w:pPr>
      <w:r>
        <w:rPr>
          <w:rFonts w:ascii="宋体" w:hAnsi="宋体" w:eastAsia="宋体" w:cs="宋体"/>
          <w:spacing w:val="2"/>
          <w:sz w:val="24"/>
          <w:szCs w:val="24"/>
        </w:rPr>
        <w:t>选矿废水约为</w:t>
      </w:r>
      <w:r>
        <w:rPr>
          <w:rFonts w:ascii="宋体" w:hAnsi="宋体" w:eastAsia="宋体" w:cs="宋体"/>
          <w:spacing w:val="-46"/>
          <w:sz w:val="24"/>
          <w:szCs w:val="24"/>
        </w:rPr>
        <w:t xml:space="preserve"> </w:t>
      </w:r>
      <w:r>
        <w:rPr>
          <w:rFonts w:ascii="宋体" w:hAnsi="宋体" w:eastAsia="宋体" w:cs="宋体"/>
          <w:spacing w:val="2"/>
          <w:sz w:val="24"/>
          <w:szCs w:val="24"/>
        </w:rPr>
        <w:t>6622</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，其中尾矿浆通过管道输</w:t>
      </w:r>
      <w:r>
        <w:rPr>
          <w:rFonts w:ascii="宋体" w:hAnsi="宋体" w:eastAsia="宋体" w:cs="宋体"/>
          <w:spacing w:val="1"/>
          <w:sz w:val="24"/>
          <w:szCs w:val="24"/>
        </w:rPr>
        <w:t>送至旋流除砂、浓密过滤</w:t>
      </w:r>
      <w:r>
        <w:rPr>
          <w:rFonts w:ascii="宋体" w:hAnsi="宋体" w:eastAsia="宋体" w:cs="宋体"/>
          <w:sz w:val="24"/>
          <w:szCs w:val="24"/>
        </w:rPr>
        <w:t xml:space="preserve"> </w:t>
      </w:r>
      <w:r>
        <w:rPr>
          <w:rFonts w:ascii="宋体" w:hAnsi="宋体" w:eastAsia="宋体" w:cs="宋体"/>
          <w:spacing w:val="-2"/>
          <w:sz w:val="24"/>
          <w:szCs w:val="24"/>
        </w:rPr>
        <w:t>后，滤液排入</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150m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1"/>
          <w:w w:val="101"/>
          <w:position w:val="7"/>
          <w:sz w:val="15"/>
          <w:szCs w:val="15"/>
        </w:rPr>
        <w:t xml:space="preserve"> </w:t>
      </w:r>
      <w:r>
        <w:rPr>
          <w:rFonts w:ascii="宋体" w:hAnsi="宋体" w:eastAsia="宋体" w:cs="宋体"/>
          <w:spacing w:val="-2"/>
          <w:sz w:val="24"/>
          <w:szCs w:val="24"/>
        </w:rPr>
        <w:t>循环水池，由泵打入高位</w:t>
      </w:r>
      <w:r>
        <w:rPr>
          <w:rFonts w:ascii="宋体" w:hAnsi="宋体" w:eastAsia="宋体" w:cs="宋体"/>
          <w:spacing w:val="-3"/>
          <w:sz w:val="24"/>
          <w:szCs w:val="24"/>
        </w:rPr>
        <w:t>水池，然后作为选矿生产水回用；</w:t>
      </w:r>
      <w:r>
        <w:rPr>
          <w:rFonts w:ascii="宋体" w:hAnsi="宋体" w:eastAsia="宋体" w:cs="宋体"/>
          <w:sz w:val="24"/>
          <w:szCs w:val="24"/>
        </w:rPr>
        <w:t xml:space="preserve"> </w:t>
      </w:r>
      <w:r>
        <w:rPr>
          <w:rFonts w:ascii="宋体" w:hAnsi="宋体" w:eastAsia="宋体" w:cs="宋体"/>
          <w:spacing w:val="-1"/>
          <w:sz w:val="24"/>
          <w:szCs w:val="24"/>
        </w:rPr>
        <w:t>精矿、中矿经过浓缩、过滤后，滤液循环使</w:t>
      </w:r>
      <w:r>
        <w:rPr>
          <w:rFonts w:ascii="宋体" w:hAnsi="宋体" w:eastAsia="宋体" w:cs="宋体"/>
          <w:spacing w:val="-2"/>
          <w:sz w:val="24"/>
          <w:szCs w:val="24"/>
        </w:rPr>
        <w:t>用。因此，本项目无生产废水外排。</w:t>
      </w:r>
    </w:p>
    <w:p w14:paraId="5A0DE4A8">
      <w:pPr>
        <w:spacing w:before="1"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）生活废水</w:t>
      </w:r>
    </w:p>
    <w:p w14:paraId="38D220DC">
      <w:pPr>
        <w:spacing w:before="259" w:line="360" w:lineRule="auto"/>
        <w:ind w:left="25" w:right="61" w:firstLine="479"/>
        <w:jc w:val="both"/>
        <w:rPr>
          <w:rFonts w:ascii="宋体" w:hAnsi="宋体" w:eastAsia="宋体" w:cs="宋体"/>
          <w:sz w:val="24"/>
          <w:szCs w:val="24"/>
        </w:rPr>
      </w:pPr>
      <w:r>
        <w:rPr>
          <w:rFonts w:ascii="宋体" w:hAnsi="宋体" w:eastAsia="宋体" w:cs="宋体"/>
          <w:sz w:val="24"/>
          <w:szCs w:val="24"/>
        </w:rPr>
        <w:t>技改后，不增加定员，人员由原</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2000t/d </w:t>
      </w:r>
      <w:r>
        <w:rPr>
          <w:rFonts w:ascii="宋体" w:hAnsi="宋体" w:eastAsia="宋体" w:cs="宋体"/>
          <w:sz w:val="24"/>
          <w:szCs w:val="24"/>
        </w:rPr>
        <w:t>选矿工程调配，全厂生活</w:t>
      </w:r>
      <w:r>
        <w:rPr>
          <w:rFonts w:ascii="宋体" w:hAnsi="宋体" w:eastAsia="宋体" w:cs="宋体"/>
          <w:spacing w:val="-1"/>
          <w:sz w:val="24"/>
          <w:szCs w:val="24"/>
        </w:rPr>
        <w:t>用水量仍</w:t>
      </w:r>
      <w:r>
        <w:rPr>
          <w:rFonts w:ascii="宋体" w:hAnsi="宋体" w:eastAsia="宋体" w:cs="宋体"/>
          <w:sz w:val="24"/>
          <w:szCs w:val="24"/>
        </w:rPr>
        <w:t xml:space="preserve"> 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80m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，生活污水产生量</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64m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w:t>
      </w:r>
      <w:r>
        <w:rPr>
          <w:rFonts w:ascii="Times New Roman" w:hAnsi="Times New Roman" w:eastAsia="Times New Roman" w:cs="Times New Roman"/>
          <w:spacing w:val="-1"/>
          <w:sz w:val="24"/>
          <w:szCs w:val="24"/>
        </w:rPr>
        <w:t>d</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，生活污水将通过现有一套污水处理设施处</w:t>
      </w:r>
      <w:r>
        <w:rPr>
          <w:rFonts w:ascii="宋体" w:hAnsi="宋体" w:eastAsia="宋体" w:cs="宋体"/>
          <w:sz w:val="24"/>
          <w:szCs w:val="24"/>
        </w:rPr>
        <w:t xml:space="preserve"> </w:t>
      </w:r>
      <w:r>
        <w:rPr>
          <w:rFonts w:ascii="宋体" w:hAnsi="宋体" w:eastAsia="宋体" w:cs="宋体"/>
          <w:spacing w:val="3"/>
          <w:sz w:val="24"/>
          <w:szCs w:val="24"/>
        </w:rPr>
        <w:t>理后，出水达到《城市杂用水水质标准》（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/T18920-20</w:t>
      </w:r>
      <w:r>
        <w:rPr>
          <w:rFonts w:ascii="Times New Roman" w:hAnsi="Times New Roman" w:eastAsia="Times New Roman" w:cs="Times New Roman"/>
          <w:spacing w:val="2"/>
          <w:sz w:val="24"/>
          <w:szCs w:val="24"/>
        </w:rPr>
        <w:t>02</w:t>
      </w:r>
      <w:r>
        <w:rPr>
          <w:rFonts w:ascii="宋体" w:hAnsi="宋体" w:eastAsia="宋体" w:cs="宋体"/>
          <w:spacing w:val="2"/>
          <w:sz w:val="24"/>
          <w:szCs w:val="24"/>
        </w:rPr>
        <w:t>）后作为厂区绿化</w:t>
      </w:r>
      <w:r>
        <w:rPr>
          <w:rFonts w:ascii="宋体" w:hAnsi="宋体" w:eastAsia="宋体" w:cs="宋体"/>
          <w:sz w:val="24"/>
          <w:szCs w:val="24"/>
        </w:rPr>
        <w:t xml:space="preserve"> </w:t>
      </w:r>
      <w:r>
        <w:rPr>
          <w:rFonts w:ascii="宋体" w:hAnsi="宋体" w:eastAsia="宋体" w:cs="宋体"/>
          <w:spacing w:val="-3"/>
          <w:sz w:val="24"/>
          <w:szCs w:val="24"/>
        </w:rPr>
        <w:t>用水（冬季多余水量可储存在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360m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1"/>
          <w:w w:val="102"/>
          <w:position w:val="8"/>
          <w:sz w:val="15"/>
          <w:szCs w:val="15"/>
        </w:rPr>
        <w:t xml:space="preserve"> </w:t>
      </w:r>
      <w:r>
        <w:rPr>
          <w:rFonts w:ascii="宋体" w:hAnsi="宋体" w:eastAsia="宋体" w:cs="宋体"/>
          <w:spacing w:val="-3"/>
          <w:sz w:val="24"/>
          <w:szCs w:val="24"/>
        </w:rPr>
        <w:t>的蓄水池中</w:t>
      </w:r>
      <w:r>
        <w:rPr>
          <w:rFonts w:ascii="宋体" w:hAnsi="宋体" w:eastAsia="宋体" w:cs="宋体"/>
          <w:spacing w:val="15"/>
          <w:sz w:val="24"/>
          <w:szCs w:val="24"/>
        </w:rPr>
        <w:t>），</w:t>
      </w:r>
      <w:r>
        <w:rPr>
          <w:rFonts w:ascii="宋体" w:hAnsi="宋体" w:eastAsia="宋体" w:cs="宋体"/>
          <w:spacing w:val="-3"/>
          <w:sz w:val="24"/>
          <w:szCs w:val="24"/>
        </w:rPr>
        <w:t>不外排。</w:t>
      </w:r>
    </w:p>
    <w:p w14:paraId="28B72525">
      <w:pPr>
        <w:spacing w:line="220" w:lineRule="auto"/>
        <w:ind w:left="509"/>
        <w:outlineLvl w:val="2"/>
        <w:rPr>
          <w:rFonts w:ascii="宋体" w:hAnsi="宋体" w:eastAsia="宋体" w:cs="宋体"/>
          <w:sz w:val="24"/>
          <w:szCs w:val="24"/>
        </w:rPr>
      </w:pPr>
      <w:bookmarkStart w:id="203" w:name="bookmark180"/>
      <w:bookmarkEnd w:id="203"/>
      <w:r>
        <w:rPr>
          <w:rFonts w:ascii="Times New Roman" w:hAnsi="Times New Roman" w:eastAsia="Times New Roman" w:cs="Times New Roman"/>
          <w:b/>
          <w:bCs/>
          <w:spacing w:val="-4"/>
          <w:sz w:val="24"/>
          <w:szCs w:val="24"/>
        </w:rPr>
        <w:t>13.3.3</w:t>
      </w:r>
      <w:r>
        <w:rPr>
          <w:rFonts w:ascii="Times New Roman" w:hAnsi="Times New Roman" w:eastAsia="Times New Roman" w:cs="Times New Roman"/>
          <w:b/>
          <w:bCs/>
          <w:spacing w:val="20"/>
          <w:w w:val="101"/>
          <w:sz w:val="24"/>
          <w:szCs w:val="24"/>
        </w:rPr>
        <w:t xml:space="preserve"> </w:t>
      </w:r>
      <w:r>
        <w:rPr>
          <w:rFonts w:ascii="宋体" w:hAnsi="宋体" w:eastAsia="宋体" w:cs="宋体"/>
          <w:b/>
          <w:bCs/>
          <w:spacing w:val="-4"/>
          <w:sz w:val="24"/>
          <w:szCs w:val="24"/>
        </w:rPr>
        <w:t>噪声污染控制</w:t>
      </w:r>
    </w:p>
    <w:p w14:paraId="1C8819A8">
      <w:pPr>
        <w:spacing w:before="182" w:line="360" w:lineRule="auto"/>
        <w:ind w:left="22" w:right="61" w:firstLine="481"/>
        <w:jc w:val="both"/>
        <w:rPr>
          <w:rFonts w:ascii="宋体" w:hAnsi="宋体" w:eastAsia="宋体" w:cs="宋体"/>
          <w:sz w:val="24"/>
          <w:szCs w:val="24"/>
        </w:rPr>
      </w:pPr>
      <w:r>
        <w:rPr>
          <w:rFonts w:ascii="宋体" w:hAnsi="宋体" w:eastAsia="宋体" w:cs="宋体"/>
          <w:spacing w:val="-3"/>
          <w:sz w:val="24"/>
          <w:szCs w:val="24"/>
        </w:rPr>
        <w:t>本项目主要噪声源包括：颚式破碎机、圆锥破碎机、振动筛、</w:t>
      </w:r>
      <w:r>
        <w:rPr>
          <w:rFonts w:ascii="宋体" w:hAnsi="宋体" w:eastAsia="宋体" w:cs="宋体"/>
          <w:spacing w:val="-4"/>
          <w:sz w:val="24"/>
          <w:szCs w:val="24"/>
        </w:rPr>
        <w:t>压滤机、球磨</w:t>
      </w:r>
      <w:r>
        <w:rPr>
          <w:rFonts w:ascii="宋体" w:hAnsi="宋体" w:eastAsia="宋体" w:cs="宋体"/>
          <w:sz w:val="24"/>
          <w:szCs w:val="24"/>
        </w:rPr>
        <w:t xml:space="preserve"> </w:t>
      </w:r>
      <w:r>
        <w:rPr>
          <w:rFonts w:ascii="宋体" w:hAnsi="宋体" w:eastAsia="宋体" w:cs="宋体"/>
          <w:spacing w:val="-3"/>
          <w:sz w:val="24"/>
          <w:szCs w:val="24"/>
        </w:rPr>
        <w:t>机、浮选机、水泵、风机等。噪声主要影响现场的操作工人。本项目噪声污染控</w:t>
      </w:r>
      <w:r>
        <w:rPr>
          <w:rFonts w:ascii="宋体" w:hAnsi="宋体" w:eastAsia="宋体" w:cs="宋体"/>
          <w:spacing w:val="1"/>
          <w:sz w:val="24"/>
          <w:szCs w:val="24"/>
        </w:rPr>
        <w:t xml:space="preserve"> </w:t>
      </w:r>
      <w:r>
        <w:rPr>
          <w:rFonts w:ascii="宋体" w:hAnsi="宋体" w:eastAsia="宋体" w:cs="宋体"/>
          <w:spacing w:val="-2"/>
          <w:sz w:val="24"/>
          <w:szCs w:val="24"/>
        </w:rPr>
        <w:t>制措施主要包括：</w:t>
      </w:r>
    </w:p>
    <w:p w14:paraId="0AAE4768">
      <w:pPr>
        <w:spacing w:before="1"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）选用良好声学性能机械设备；</w:t>
      </w:r>
    </w:p>
    <w:p w14:paraId="2A0E974E">
      <w:pPr>
        <w:spacing w:before="183"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）所有设备放置在厂房内，采取了隔音</w:t>
      </w:r>
      <w:r>
        <w:rPr>
          <w:rFonts w:ascii="Times New Roman" w:hAnsi="Times New Roman" w:eastAsia="Times New Roman" w:cs="Times New Roman"/>
          <w:spacing w:val="-1"/>
          <w:sz w:val="24"/>
          <w:szCs w:val="24"/>
        </w:rPr>
        <w:t>+</w:t>
      </w:r>
      <w:r>
        <w:rPr>
          <w:rFonts w:ascii="宋体" w:hAnsi="宋体" w:eastAsia="宋体" w:cs="宋体"/>
          <w:spacing w:val="-1"/>
          <w:sz w:val="24"/>
          <w:szCs w:val="24"/>
        </w:rPr>
        <w:t>减震等防噪措施；</w:t>
      </w:r>
    </w:p>
    <w:p w14:paraId="35CB95BA">
      <w:pPr>
        <w:spacing w:before="185" w:line="313" w:lineRule="auto"/>
        <w:ind w:left="34" w:right="61"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）对于道路交通噪声，应经常维护，保证路面完好，降低车辆通过时的</w:t>
      </w:r>
      <w:r>
        <w:rPr>
          <w:rFonts w:ascii="宋体" w:hAnsi="宋体" w:eastAsia="宋体" w:cs="宋体"/>
          <w:spacing w:val="2"/>
          <w:sz w:val="24"/>
          <w:szCs w:val="24"/>
        </w:rPr>
        <w:t xml:space="preserve"> </w:t>
      </w:r>
      <w:r>
        <w:rPr>
          <w:rFonts w:ascii="宋体" w:hAnsi="宋体" w:eastAsia="宋体" w:cs="宋体"/>
          <w:spacing w:val="-3"/>
          <w:sz w:val="24"/>
          <w:szCs w:val="24"/>
        </w:rPr>
        <w:t>噪声。同时对来往车辆应采取措施限制车速。运输尽量</w:t>
      </w:r>
      <w:r>
        <w:rPr>
          <w:rFonts w:ascii="宋体" w:hAnsi="宋体" w:eastAsia="宋体" w:cs="宋体"/>
          <w:spacing w:val="-4"/>
          <w:sz w:val="24"/>
          <w:szCs w:val="24"/>
        </w:rPr>
        <w:t>安排在白天进行，在生活</w:t>
      </w:r>
      <w:r>
        <w:rPr>
          <w:rFonts w:ascii="宋体" w:hAnsi="宋体" w:eastAsia="宋体" w:cs="宋体"/>
          <w:sz w:val="24"/>
          <w:szCs w:val="24"/>
        </w:rPr>
        <w:t xml:space="preserve"> </w:t>
      </w:r>
      <w:r>
        <w:rPr>
          <w:rFonts w:ascii="宋体" w:hAnsi="宋体" w:eastAsia="宋体" w:cs="宋体"/>
          <w:spacing w:val="-2"/>
          <w:sz w:val="24"/>
          <w:szCs w:val="24"/>
        </w:rPr>
        <w:t>区内汽车禁止鸣喇叭，且限速行驶；</w:t>
      </w:r>
    </w:p>
    <w:p w14:paraId="7201BC56">
      <w:pPr>
        <w:spacing w:line="313" w:lineRule="auto"/>
        <w:rPr>
          <w:rFonts w:ascii="宋体" w:hAnsi="宋体" w:eastAsia="宋体" w:cs="宋体"/>
          <w:sz w:val="24"/>
          <w:szCs w:val="24"/>
        </w:rPr>
        <w:sectPr>
          <w:headerReference r:id="rId439" w:type="default"/>
          <w:footerReference r:id="rId440" w:type="default"/>
          <w:pgSz w:w="11906" w:h="16839"/>
          <w:pgMar w:top="1208" w:right="1738" w:bottom="1358" w:left="1785" w:header="825" w:footer="1195" w:gutter="0"/>
          <w:cols w:space="720" w:num="1"/>
        </w:sectPr>
      </w:pPr>
    </w:p>
    <w:p w14:paraId="2BBFA8D0">
      <w:pPr>
        <w:pStyle w:val="2"/>
        <w:spacing w:line="265" w:lineRule="auto"/>
      </w:pPr>
    </w:p>
    <w:p w14:paraId="3B71F544">
      <w:pPr>
        <w:spacing w:before="78" w:line="360" w:lineRule="auto"/>
        <w:ind w:left="22" w:right="80" w:firstLine="492"/>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）加强项目区周围绿化措施，降低噪声传播。建议企业每年按计划进行</w:t>
      </w:r>
      <w:r>
        <w:rPr>
          <w:rFonts w:ascii="宋体" w:hAnsi="宋体" w:eastAsia="宋体" w:cs="宋体"/>
          <w:spacing w:val="2"/>
          <w:sz w:val="24"/>
          <w:szCs w:val="24"/>
        </w:rPr>
        <w:t xml:space="preserve"> </w:t>
      </w:r>
      <w:r>
        <w:rPr>
          <w:rFonts w:ascii="宋体" w:hAnsi="宋体" w:eastAsia="宋体" w:cs="宋体"/>
          <w:spacing w:val="-3"/>
          <w:sz w:val="24"/>
          <w:szCs w:val="24"/>
        </w:rPr>
        <w:t>绿化工作，完善项目区绿化体系，防护林带可有效阻挡噪声的传播。同时对无法</w:t>
      </w:r>
      <w:r>
        <w:rPr>
          <w:rFonts w:ascii="宋体" w:hAnsi="宋体" w:eastAsia="宋体" w:cs="宋体"/>
          <w:spacing w:val="1"/>
          <w:sz w:val="24"/>
          <w:szCs w:val="24"/>
        </w:rPr>
        <w:t xml:space="preserve"> </w:t>
      </w:r>
      <w:r>
        <w:rPr>
          <w:rFonts w:ascii="宋体" w:hAnsi="宋体" w:eastAsia="宋体" w:cs="宋体"/>
          <w:sz w:val="24"/>
          <w:szCs w:val="24"/>
        </w:rPr>
        <w:t>采取降噪措施的作业场所，操作工人佩戴耳塞、</w:t>
      </w:r>
      <w:r>
        <w:rPr>
          <w:rFonts w:ascii="宋体" w:hAnsi="宋体" w:eastAsia="宋体" w:cs="宋体"/>
          <w:spacing w:val="-1"/>
          <w:sz w:val="24"/>
          <w:szCs w:val="24"/>
        </w:rPr>
        <w:t>耳罩和其他防护用品。</w:t>
      </w:r>
    </w:p>
    <w:p w14:paraId="6C37A69A">
      <w:pPr>
        <w:spacing w:line="360" w:lineRule="auto"/>
        <w:ind w:left="45" w:right="80" w:firstLine="461"/>
        <w:rPr>
          <w:rFonts w:ascii="宋体" w:hAnsi="宋体" w:eastAsia="宋体" w:cs="宋体"/>
          <w:sz w:val="24"/>
          <w:szCs w:val="24"/>
        </w:rPr>
      </w:pPr>
      <w:r>
        <w:rPr>
          <w:rFonts w:ascii="宋体" w:hAnsi="宋体" w:eastAsia="宋体" w:cs="宋体"/>
          <w:spacing w:val="-3"/>
          <w:sz w:val="24"/>
          <w:szCs w:val="24"/>
        </w:rPr>
        <w:t>综上所述，通过采取以上降噪、隔声措施可使设备噪声得</w:t>
      </w:r>
      <w:r>
        <w:rPr>
          <w:rFonts w:ascii="宋体" w:hAnsi="宋体" w:eastAsia="宋体" w:cs="宋体"/>
          <w:spacing w:val="-4"/>
          <w:sz w:val="24"/>
          <w:szCs w:val="24"/>
        </w:rPr>
        <w:t>到有效控制，对周</w:t>
      </w:r>
      <w:r>
        <w:rPr>
          <w:rFonts w:ascii="宋体" w:hAnsi="宋体" w:eastAsia="宋体" w:cs="宋体"/>
          <w:sz w:val="24"/>
          <w:szCs w:val="24"/>
        </w:rPr>
        <w:t xml:space="preserve"> </w:t>
      </w:r>
      <w:r>
        <w:rPr>
          <w:rFonts w:ascii="宋体" w:hAnsi="宋体" w:eastAsia="宋体" w:cs="宋体"/>
          <w:spacing w:val="-3"/>
          <w:sz w:val="24"/>
          <w:szCs w:val="24"/>
        </w:rPr>
        <w:t>围环境噪声影响可降到最低程度。</w:t>
      </w:r>
    </w:p>
    <w:p w14:paraId="150758BF">
      <w:pPr>
        <w:spacing w:line="220" w:lineRule="auto"/>
        <w:ind w:left="509"/>
        <w:outlineLvl w:val="2"/>
        <w:rPr>
          <w:rFonts w:ascii="宋体" w:hAnsi="宋体" w:eastAsia="宋体" w:cs="宋体"/>
          <w:sz w:val="24"/>
          <w:szCs w:val="24"/>
        </w:rPr>
      </w:pPr>
      <w:bookmarkStart w:id="204" w:name="bookmark181"/>
      <w:bookmarkEnd w:id="204"/>
      <w:r>
        <w:rPr>
          <w:rFonts w:ascii="Times New Roman" w:hAnsi="Times New Roman" w:eastAsia="Times New Roman" w:cs="Times New Roman"/>
          <w:b/>
          <w:bCs/>
          <w:spacing w:val="-5"/>
          <w:sz w:val="24"/>
          <w:szCs w:val="24"/>
        </w:rPr>
        <w:t>13.3.4</w:t>
      </w:r>
      <w:r>
        <w:rPr>
          <w:rFonts w:ascii="Times New Roman" w:hAnsi="Times New Roman" w:eastAsia="Times New Roman" w:cs="Times New Roman"/>
          <w:b/>
          <w:bCs/>
          <w:spacing w:val="40"/>
          <w:sz w:val="24"/>
          <w:szCs w:val="24"/>
        </w:rPr>
        <w:t xml:space="preserve"> </w:t>
      </w:r>
      <w:r>
        <w:rPr>
          <w:rFonts w:ascii="宋体" w:hAnsi="宋体" w:eastAsia="宋体" w:cs="宋体"/>
          <w:b/>
          <w:bCs/>
          <w:spacing w:val="-5"/>
          <w:sz w:val="24"/>
          <w:szCs w:val="24"/>
        </w:rPr>
        <w:t>固体废物处置措施</w:t>
      </w:r>
    </w:p>
    <w:p w14:paraId="2928590D">
      <w:pPr>
        <w:spacing w:before="103" w:line="219" w:lineRule="auto"/>
        <w:ind w:left="51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）尾矿</w:t>
      </w:r>
    </w:p>
    <w:p w14:paraId="67810CD8">
      <w:pPr>
        <w:spacing w:before="182" w:line="358" w:lineRule="auto"/>
        <w:ind w:left="22" w:right="18" w:firstLine="484"/>
        <w:rPr>
          <w:rFonts w:ascii="宋体" w:hAnsi="宋体" w:eastAsia="宋体" w:cs="宋体"/>
          <w:sz w:val="24"/>
          <w:szCs w:val="24"/>
        </w:rPr>
      </w:pPr>
      <w:r>
        <w:rPr>
          <w:rFonts w:ascii="宋体" w:hAnsi="宋体" w:eastAsia="宋体" w:cs="宋体"/>
          <w:spacing w:val="-3"/>
          <w:sz w:val="24"/>
          <w:szCs w:val="24"/>
        </w:rPr>
        <w:t>项目技改后，产生的选矿尾矿量约为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63.094</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8"/>
          <w:sz w:val="15"/>
          <w:szCs w:val="15"/>
        </w:rPr>
        <w:t>4</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4"/>
          <w:sz w:val="24"/>
          <w:szCs w:val="24"/>
        </w:rPr>
        <w:t>a</w:t>
      </w:r>
      <w:r>
        <w:rPr>
          <w:rFonts w:ascii="宋体" w:hAnsi="宋体" w:eastAsia="宋体" w:cs="宋体"/>
          <w:spacing w:val="-4"/>
          <w:sz w:val="24"/>
          <w:szCs w:val="24"/>
        </w:rPr>
        <w:t>，为一般性固体废弃物，</w:t>
      </w:r>
      <w:r>
        <w:rPr>
          <w:rFonts w:ascii="宋体" w:hAnsi="宋体" w:eastAsia="宋体" w:cs="宋体"/>
          <w:sz w:val="24"/>
          <w:szCs w:val="24"/>
        </w:rPr>
        <w:t xml:space="preserve"> </w:t>
      </w:r>
      <w:r>
        <w:rPr>
          <w:rFonts w:ascii="宋体" w:hAnsi="宋体" w:eastAsia="宋体" w:cs="宋体"/>
          <w:spacing w:val="-2"/>
          <w:sz w:val="24"/>
          <w:szCs w:val="24"/>
        </w:rPr>
        <w:t>全部堆存于现有Ⅱ号尾矿库，尾矿含水＜</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2"/>
          <w:sz w:val="24"/>
          <w:szCs w:val="24"/>
        </w:rPr>
        <w:t xml:space="preserve"> </w:t>
      </w:r>
      <w:r>
        <w:rPr>
          <w:rFonts w:ascii="宋体" w:hAnsi="宋体" w:eastAsia="宋体" w:cs="宋体"/>
          <w:spacing w:val="-2"/>
          <w:sz w:val="24"/>
          <w:szCs w:val="24"/>
        </w:rPr>
        <w:t>，尾矿粒度</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0.074mm</w:t>
      </w:r>
      <w:r>
        <w:rPr>
          <w:rFonts w:ascii="Times New Roman" w:hAnsi="Times New Roman" w:eastAsia="Times New Roman" w:cs="Times New Roman"/>
          <w:spacing w:val="52"/>
          <w:sz w:val="24"/>
          <w:szCs w:val="24"/>
        </w:rPr>
        <w:t xml:space="preserve"> </w:t>
      </w:r>
      <w:r>
        <w:rPr>
          <w:rFonts w:ascii="宋体" w:hAnsi="宋体" w:eastAsia="宋体" w:cs="宋体"/>
          <w:spacing w:val="-2"/>
          <w:sz w:val="24"/>
          <w:szCs w:val="24"/>
        </w:rPr>
        <w:t>占</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，尾</w:t>
      </w:r>
      <w:r>
        <w:rPr>
          <w:rFonts w:ascii="宋体" w:hAnsi="宋体" w:eastAsia="宋体" w:cs="宋体"/>
          <w:sz w:val="24"/>
          <w:szCs w:val="24"/>
        </w:rPr>
        <w:t xml:space="preserve"> </w:t>
      </w:r>
      <w:r>
        <w:rPr>
          <w:rFonts w:ascii="宋体" w:hAnsi="宋体" w:eastAsia="宋体" w:cs="宋体"/>
          <w:spacing w:val="-3"/>
          <w:sz w:val="24"/>
          <w:szCs w:val="24"/>
        </w:rPr>
        <w:t>矿真比重约为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2.3t/m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rFonts w:ascii="宋体" w:hAnsi="宋体" w:eastAsia="宋体" w:cs="宋体"/>
          <w:spacing w:val="-3"/>
          <w:sz w:val="24"/>
          <w:szCs w:val="24"/>
        </w:rPr>
        <w:t>，品位</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Pb 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r>
        <w:rPr>
          <w:rFonts w:ascii="Times New Roman" w:hAnsi="Times New Roman" w:eastAsia="Times New Roman" w:cs="Times New Roman"/>
          <w:spacing w:val="-3"/>
          <w:sz w:val="24"/>
          <w:szCs w:val="24"/>
        </w:rPr>
        <w:t>Zn 0.23%</w:t>
      </w:r>
      <w:r>
        <w:rPr>
          <w:rFonts w:ascii="宋体" w:hAnsi="宋体" w:eastAsia="宋体" w:cs="宋体"/>
          <w:spacing w:val="-3"/>
          <w:sz w:val="24"/>
          <w:szCs w:val="24"/>
        </w:rPr>
        <w:t>、</w:t>
      </w:r>
      <w:r>
        <w:rPr>
          <w:rFonts w:ascii="Times New Roman" w:hAnsi="Times New Roman" w:eastAsia="Times New Roman" w:cs="Times New Roman"/>
          <w:spacing w:val="-3"/>
          <w:sz w:val="24"/>
          <w:szCs w:val="24"/>
        </w:rPr>
        <w:t>Ag 22.91</w:t>
      </w:r>
      <w:r>
        <w:rPr>
          <w:rFonts w:ascii="Times New Roman" w:hAnsi="Times New Roman" w:eastAsia="Times New Roman" w:cs="Times New Roman"/>
          <w:spacing w:val="-4"/>
          <w:sz w:val="24"/>
          <w:szCs w:val="24"/>
        </w:rPr>
        <w:t>g/t</w:t>
      </w:r>
      <w:r>
        <w:rPr>
          <w:rFonts w:ascii="宋体" w:hAnsi="宋体" w:eastAsia="宋体" w:cs="宋体"/>
          <w:spacing w:val="-4"/>
          <w:sz w:val="24"/>
          <w:szCs w:val="24"/>
        </w:rPr>
        <w:t>。尾矿经过厂前浓</w:t>
      </w:r>
      <w:r>
        <w:rPr>
          <w:rFonts w:ascii="宋体" w:hAnsi="宋体" w:eastAsia="宋体" w:cs="宋体"/>
          <w:sz w:val="24"/>
          <w:szCs w:val="24"/>
        </w:rPr>
        <w:t xml:space="preserve"> </w:t>
      </w:r>
      <w:r>
        <w:rPr>
          <w:rFonts w:ascii="宋体" w:hAnsi="宋体" w:eastAsia="宋体" w:cs="宋体"/>
          <w:spacing w:val="-1"/>
          <w:sz w:val="24"/>
          <w:szCs w:val="24"/>
        </w:rPr>
        <w:t>密后经管道输送至现有尾矿库贮存。</w:t>
      </w:r>
    </w:p>
    <w:p w14:paraId="5FBC6848">
      <w:pPr>
        <w:spacing w:before="6"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）除尘灰</w:t>
      </w:r>
    </w:p>
    <w:p w14:paraId="7865BB04">
      <w:pPr>
        <w:spacing w:before="180" w:line="360" w:lineRule="auto"/>
        <w:ind w:left="27" w:right="80" w:firstLine="480"/>
        <w:rPr>
          <w:rFonts w:ascii="宋体" w:hAnsi="宋体" w:eastAsia="宋体" w:cs="宋体"/>
          <w:sz w:val="24"/>
          <w:szCs w:val="24"/>
        </w:rPr>
      </w:pPr>
      <w:r>
        <w:rPr>
          <w:rFonts w:ascii="宋体" w:hAnsi="宋体" w:eastAsia="宋体" w:cs="宋体"/>
          <w:spacing w:val="-3"/>
          <w:sz w:val="24"/>
          <w:szCs w:val="24"/>
        </w:rPr>
        <w:t>项目技改后，布袋除尘系统收集的除尘灰量约为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368.42t/a</w:t>
      </w:r>
      <w:r>
        <w:rPr>
          <w:rFonts w:ascii="宋体" w:hAnsi="宋体" w:eastAsia="宋体" w:cs="宋体"/>
          <w:spacing w:val="-3"/>
          <w:sz w:val="24"/>
          <w:szCs w:val="24"/>
        </w:rPr>
        <w:t>，为一般</w:t>
      </w:r>
      <w:r>
        <w:rPr>
          <w:rFonts w:ascii="宋体" w:hAnsi="宋体" w:eastAsia="宋体" w:cs="宋体"/>
          <w:spacing w:val="-4"/>
          <w:sz w:val="24"/>
          <w:szCs w:val="24"/>
        </w:rPr>
        <w:t>性固体废</w:t>
      </w:r>
      <w:r>
        <w:rPr>
          <w:rFonts w:ascii="宋体" w:hAnsi="宋体" w:eastAsia="宋体" w:cs="宋体"/>
          <w:sz w:val="24"/>
          <w:szCs w:val="24"/>
        </w:rPr>
        <w:t xml:space="preserve"> </w:t>
      </w:r>
      <w:r>
        <w:rPr>
          <w:rFonts w:ascii="宋体" w:hAnsi="宋体" w:eastAsia="宋体" w:cs="宋体"/>
          <w:spacing w:val="-2"/>
          <w:sz w:val="24"/>
          <w:szCs w:val="24"/>
        </w:rPr>
        <w:t>弃物，作为项目原料再利用。</w:t>
      </w:r>
    </w:p>
    <w:p w14:paraId="521C042A">
      <w:pPr>
        <w:spacing w:line="218"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）浮选药品废弃包装材料</w:t>
      </w:r>
    </w:p>
    <w:p w14:paraId="179B44FC">
      <w:pPr>
        <w:spacing w:before="182" w:line="359" w:lineRule="auto"/>
        <w:ind w:left="19" w:firstLine="485"/>
        <w:rPr>
          <w:rFonts w:ascii="宋体" w:hAnsi="宋体" w:eastAsia="宋体" w:cs="宋体"/>
          <w:sz w:val="24"/>
          <w:szCs w:val="24"/>
        </w:rPr>
      </w:pPr>
      <w:r>
        <w:rPr>
          <w:rFonts w:ascii="宋体" w:hAnsi="宋体" w:eastAsia="宋体" w:cs="宋体"/>
          <w:spacing w:val="-3"/>
          <w:sz w:val="24"/>
          <w:szCs w:val="24"/>
        </w:rPr>
        <w:t>技改后，选矿车间每年产生少量的浮选药品包装袋、包装铁桶</w:t>
      </w:r>
      <w:r>
        <w:rPr>
          <w:rFonts w:ascii="宋体" w:hAnsi="宋体" w:eastAsia="宋体" w:cs="宋体"/>
          <w:spacing w:val="-4"/>
          <w:sz w:val="24"/>
          <w:szCs w:val="24"/>
        </w:rPr>
        <w:t>，产生量约为</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2t/a</w:t>
      </w:r>
      <w:r>
        <w:rPr>
          <w:rFonts w:ascii="宋体" w:hAnsi="宋体" w:eastAsia="宋体" w:cs="宋体"/>
          <w:spacing w:val="-6"/>
          <w:sz w:val="24"/>
          <w:szCs w:val="24"/>
        </w:rPr>
        <w:t>，这部分废品属于</w:t>
      </w:r>
      <w:r>
        <w:rPr>
          <w:rFonts w:ascii="宋体" w:hAnsi="宋体" w:eastAsia="宋体" w:cs="宋体"/>
          <w:spacing w:val="-32"/>
          <w:sz w:val="24"/>
          <w:szCs w:val="24"/>
        </w:rPr>
        <w:t xml:space="preserve"> </w:t>
      </w:r>
      <w:r>
        <w:rPr>
          <w:rFonts w:ascii="宋体" w:hAnsi="宋体" w:eastAsia="宋体" w:cs="宋体"/>
          <w:spacing w:val="-6"/>
          <w:sz w:val="24"/>
          <w:szCs w:val="24"/>
        </w:rPr>
        <w:t>Ⅰ类一般工业固体废物，暂存后定期外卖给废品回收企业。</w:t>
      </w:r>
    </w:p>
    <w:p w14:paraId="1CD554AA">
      <w:pPr>
        <w:spacing w:line="219"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）尾矿回水处理系统污泥</w:t>
      </w:r>
    </w:p>
    <w:p w14:paraId="27B61655">
      <w:pPr>
        <w:spacing w:before="260" w:line="360" w:lineRule="auto"/>
        <w:ind w:left="28" w:right="18" w:firstLine="476"/>
        <w:rPr>
          <w:rFonts w:ascii="宋体" w:hAnsi="宋体" w:eastAsia="宋体" w:cs="宋体"/>
          <w:sz w:val="24"/>
          <w:szCs w:val="24"/>
        </w:rPr>
      </w:pPr>
      <w:r>
        <w:rPr>
          <w:rFonts w:ascii="宋体" w:hAnsi="宋体" w:eastAsia="宋体" w:cs="宋体"/>
          <w:spacing w:val="-6"/>
          <w:sz w:val="24"/>
          <w:szCs w:val="24"/>
        </w:rPr>
        <w:t>技改后，选矿车间尾矿回水采用混凝沉淀工艺处理，产</w:t>
      </w:r>
      <w:r>
        <w:rPr>
          <w:rFonts w:ascii="宋体" w:hAnsi="宋体" w:eastAsia="宋体" w:cs="宋体"/>
          <w:spacing w:val="-7"/>
          <w:sz w:val="24"/>
          <w:szCs w:val="24"/>
        </w:rPr>
        <w:t>生污泥量约为</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500t/a</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与尾矿性质类似，堆存于尾矿库。</w:t>
      </w:r>
    </w:p>
    <w:p w14:paraId="5CD7DC1A">
      <w:pPr>
        <w:spacing w:before="1" w:line="218"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）废机油（</w:t>
      </w:r>
      <w:r>
        <w:rPr>
          <w:rFonts w:ascii="Times New Roman" w:hAnsi="Times New Roman" w:eastAsia="Times New Roman" w:cs="Times New Roman"/>
          <w:spacing w:val="-1"/>
          <w:sz w:val="24"/>
          <w:szCs w:val="24"/>
        </w:rPr>
        <w:t>HW08 900-214-0</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p>
    <w:p w14:paraId="20E1E990">
      <w:pPr>
        <w:spacing w:before="107" w:line="359" w:lineRule="auto"/>
        <w:ind w:left="23" w:right="80" w:firstLine="478"/>
        <w:rPr>
          <w:rFonts w:ascii="宋体" w:hAnsi="宋体" w:eastAsia="宋体" w:cs="宋体"/>
          <w:sz w:val="24"/>
          <w:szCs w:val="24"/>
        </w:rPr>
      </w:pPr>
      <w:r>
        <w:rPr>
          <w:rFonts w:ascii="宋体" w:hAnsi="宋体" w:eastAsia="宋体" w:cs="宋体"/>
          <w:spacing w:val="-3"/>
          <w:sz w:val="24"/>
          <w:szCs w:val="24"/>
        </w:rPr>
        <w:t>机械设备（如球磨机、装载机等）的维护、维修过程可能会产生</w:t>
      </w:r>
      <w:r>
        <w:rPr>
          <w:rFonts w:ascii="宋体" w:hAnsi="宋体" w:eastAsia="宋体" w:cs="宋体"/>
          <w:spacing w:val="-4"/>
          <w:sz w:val="24"/>
          <w:szCs w:val="24"/>
        </w:rPr>
        <w:t>少量的废机</w:t>
      </w:r>
      <w:r>
        <w:rPr>
          <w:rFonts w:ascii="宋体" w:hAnsi="宋体" w:eastAsia="宋体" w:cs="宋体"/>
          <w:sz w:val="24"/>
          <w:szCs w:val="24"/>
        </w:rPr>
        <w:t xml:space="preserve"> </w:t>
      </w:r>
      <w:r>
        <w:rPr>
          <w:rFonts w:ascii="宋体" w:hAnsi="宋体" w:eastAsia="宋体" w:cs="宋体"/>
          <w:spacing w:val="-4"/>
          <w:sz w:val="24"/>
          <w:szCs w:val="24"/>
        </w:rPr>
        <w:t>油。按每年整修一次，最终废机油的产生量约为</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1t</w:t>
      </w:r>
      <w:r>
        <w:rPr>
          <w:rFonts w:ascii="宋体" w:hAnsi="宋体" w:eastAsia="宋体" w:cs="宋体"/>
          <w:spacing w:val="-4"/>
          <w:sz w:val="24"/>
          <w:szCs w:val="24"/>
        </w:rPr>
        <w:t>。废机油属于危险废物废机油</w:t>
      </w:r>
      <w:r>
        <w:rPr>
          <w:rFonts w:ascii="宋体" w:hAnsi="宋体" w:eastAsia="宋体" w:cs="宋体"/>
          <w:sz w:val="24"/>
          <w:szCs w:val="24"/>
        </w:rPr>
        <w:t xml:space="preserve"> </w:t>
      </w:r>
      <w:r>
        <w:rPr>
          <w:rFonts w:ascii="宋体" w:hAnsi="宋体" w:eastAsia="宋体" w:cs="宋体"/>
          <w:spacing w:val="14"/>
          <w:sz w:val="24"/>
          <w:szCs w:val="24"/>
        </w:rPr>
        <w:t>属于危险废物，危废类别为</w:t>
      </w:r>
      <w:r>
        <w:rPr>
          <w:rFonts w:ascii="宋体" w:hAnsi="宋体" w:eastAsia="宋体" w:cs="宋体"/>
          <w:spacing w:val="-26"/>
          <w:sz w:val="24"/>
          <w:szCs w:val="24"/>
        </w:rPr>
        <w:t xml:space="preserve"> </w:t>
      </w:r>
      <w:r>
        <w:rPr>
          <w:rFonts w:ascii="Times New Roman" w:hAnsi="Times New Roman" w:eastAsia="Times New Roman" w:cs="Times New Roman"/>
          <w:sz w:val="24"/>
          <w:szCs w:val="24"/>
        </w:rPr>
        <w:t>HW</w:t>
      </w:r>
      <w:r>
        <w:rPr>
          <w:rFonts w:ascii="Times New Roman" w:hAnsi="Times New Roman" w:eastAsia="Times New Roman" w:cs="Times New Roman"/>
          <w:spacing w:val="14"/>
          <w:sz w:val="24"/>
          <w:szCs w:val="24"/>
        </w:rPr>
        <w:t xml:space="preserve">08  </w:t>
      </w:r>
      <w:r>
        <w:rPr>
          <w:rFonts w:ascii="宋体" w:hAnsi="宋体" w:eastAsia="宋体" w:cs="宋体"/>
          <w:spacing w:val="14"/>
          <w:sz w:val="24"/>
          <w:szCs w:val="24"/>
        </w:rPr>
        <w:t>废矿物油与含矿物油废物，废物代码：</w:t>
      </w:r>
      <w:r>
        <w:rPr>
          <w:rFonts w:ascii="宋体" w:hAnsi="宋体" w:eastAsia="宋体" w:cs="宋体"/>
          <w:sz w:val="24"/>
          <w:szCs w:val="24"/>
        </w:rPr>
        <w:t xml:space="preserve"> </w:t>
      </w:r>
      <w:r>
        <w:rPr>
          <w:rFonts w:ascii="Times New Roman" w:hAnsi="Times New Roman" w:eastAsia="Times New Roman" w:cs="Times New Roman"/>
          <w:spacing w:val="-1"/>
          <w:sz w:val="24"/>
          <w:szCs w:val="24"/>
        </w:rPr>
        <w:t>900-214-08</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，收集暂存于危废暂存间，定期交由有资</w:t>
      </w:r>
      <w:r>
        <w:rPr>
          <w:rFonts w:ascii="宋体" w:hAnsi="宋体" w:eastAsia="宋体" w:cs="宋体"/>
          <w:spacing w:val="-2"/>
          <w:sz w:val="24"/>
          <w:szCs w:val="24"/>
        </w:rPr>
        <w:t>质的单位处置。</w:t>
      </w:r>
    </w:p>
    <w:p w14:paraId="50AE922F">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）生活垃圾</w:t>
      </w:r>
    </w:p>
    <w:p w14:paraId="7F3FE689">
      <w:pPr>
        <w:spacing w:before="179" w:line="354" w:lineRule="auto"/>
        <w:ind w:left="23" w:right="80" w:firstLine="480"/>
        <w:rPr>
          <w:rFonts w:ascii="宋体" w:hAnsi="宋体" w:eastAsia="宋体" w:cs="宋体"/>
          <w:sz w:val="24"/>
          <w:szCs w:val="24"/>
        </w:rPr>
      </w:pPr>
      <w:r>
        <w:rPr>
          <w:rFonts w:ascii="宋体" w:hAnsi="宋体" w:eastAsia="宋体" w:cs="宋体"/>
          <w:spacing w:val="-3"/>
          <w:sz w:val="24"/>
          <w:szCs w:val="24"/>
        </w:rPr>
        <w:t>技改后，选矿车间劳动定员为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348 </w:t>
      </w:r>
      <w:r>
        <w:rPr>
          <w:rFonts w:ascii="宋体" w:hAnsi="宋体" w:eastAsia="宋体" w:cs="宋体"/>
          <w:spacing w:val="-3"/>
          <w:sz w:val="24"/>
          <w:szCs w:val="24"/>
        </w:rPr>
        <w:t>人，生活垃圾按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1kg/</w:t>
      </w:r>
      <w:r>
        <w:rPr>
          <w:rFonts w:ascii="宋体" w:hAnsi="宋体" w:eastAsia="宋体" w:cs="宋体"/>
          <w:spacing w:val="-3"/>
          <w:sz w:val="24"/>
          <w:szCs w:val="24"/>
        </w:rPr>
        <w:t>人</w:t>
      </w:r>
      <w:r>
        <w:rPr>
          <w:rFonts w:ascii="Times New Roman" w:hAnsi="Times New Roman" w:eastAsia="Times New Roman" w:cs="Times New Roman"/>
          <w:spacing w:val="-3"/>
          <w:sz w:val="24"/>
          <w:szCs w:val="24"/>
        </w:rPr>
        <w:t>▪d</w:t>
      </w:r>
      <w:r>
        <w:rPr>
          <w:rFonts w:ascii="宋体" w:hAnsi="宋体" w:eastAsia="宋体" w:cs="宋体"/>
          <w:spacing w:val="-3"/>
          <w:sz w:val="24"/>
          <w:szCs w:val="24"/>
        </w:rPr>
        <w:t>，则生活垃圾产</w:t>
      </w:r>
      <w:r>
        <w:rPr>
          <w:rFonts w:ascii="宋体" w:hAnsi="宋体" w:eastAsia="宋体" w:cs="宋体"/>
          <w:sz w:val="24"/>
          <w:szCs w:val="24"/>
        </w:rPr>
        <w:t xml:space="preserve"> </w:t>
      </w:r>
      <w:r>
        <w:rPr>
          <w:rFonts w:ascii="宋体" w:hAnsi="宋体" w:eastAsia="宋体" w:cs="宋体"/>
          <w:spacing w:val="-1"/>
          <w:sz w:val="24"/>
          <w:szCs w:val="24"/>
        </w:rPr>
        <w:t>生量为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348kg/d</w:t>
      </w:r>
      <w:r>
        <w:rPr>
          <w:rFonts w:ascii="宋体" w:hAnsi="宋体" w:eastAsia="宋体" w:cs="宋体"/>
          <w:spacing w:val="-1"/>
          <w:sz w:val="24"/>
          <w:szCs w:val="24"/>
        </w:rPr>
        <w:t>（</w:t>
      </w:r>
      <w:r>
        <w:rPr>
          <w:rFonts w:ascii="Times New Roman" w:hAnsi="Times New Roman" w:eastAsia="Times New Roman" w:cs="Times New Roman"/>
          <w:spacing w:val="-1"/>
          <w:sz w:val="24"/>
          <w:szCs w:val="24"/>
        </w:rPr>
        <w:t>73.08t/a</w:t>
      </w:r>
      <w:r>
        <w:rPr>
          <w:rFonts w:ascii="宋体" w:hAnsi="宋体" w:eastAsia="宋体" w:cs="宋体"/>
          <w:spacing w:val="-5"/>
          <w:sz w:val="24"/>
          <w:szCs w:val="24"/>
        </w:rPr>
        <w:t>），</w:t>
      </w:r>
      <w:r>
        <w:rPr>
          <w:rFonts w:ascii="宋体" w:hAnsi="宋体" w:eastAsia="宋体" w:cs="宋体"/>
          <w:spacing w:val="-1"/>
          <w:sz w:val="24"/>
          <w:szCs w:val="24"/>
        </w:rPr>
        <w:t>生活垃圾由设置于工业场</w:t>
      </w:r>
      <w:r>
        <w:rPr>
          <w:rFonts w:ascii="宋体" w:hAnsi="宋体" w:eastAsia="宋体" w:cs="宋体"/>
          <w:spacing w:val="-2"/>
          <w:sz w:val="24"/>
          <w:szCs w:val="24"/>
        </w:rPr>
        <w:t>地的垃圾桶收集，定期清</w:t>
      </w:r>
      <w:r>
        <w:rPr>
          <w:rFonts w:ascii="宋体" w:hAnsi="宋体" w:eastAsia="宋体" w:cs="宋体"/>
          <w:sz w:val="24"/>
          <w:szCs w:val="24"/>
        </w:rPr>
        <w:t xml:space="preserve"> </w:t>
      </w:r>
      <w:r>
        <w:rPr>
          <w:rFonts w:ascii="宋体" w:hAnsi="宋体" w:eastAsia="宋体" w:cs="宋体"/>
          <w:spacing w:val="-1"/>
          <w:sz w:val="24"/>
          <w:szCs w:val="24"/>
        </w:rPr>
        <w:t>运至当地环卫部门指定地点。</w:t>
      </w:r>
    </w:p>
    <w:p w14:paraId="66883DD6">
      <w:pPr>
        <w:spacing w:before="101" w:line="220" w:lineRule="auto"/>
        <w:ind w:left="509"/>
        <w:outlineLvl w:val="2"/>
        <w:rPr>
          <w:rFonts w:ascii="宋体" w:hAnsi="宋体" w:eastAsia="宋体" w:cs="宋体"/>
          <w:sz w:val="24"/>
          <w:szCs w:val="24"/>
        </w:rPr>
      </w:pPr>
      <w:bookmarkStart w:id="205" w:name="bookmark182"/>
      <w:bookmarkEnd w:id="205"/>
      <w:r>
        <w:rPr>
          <w:rFonts w:ascii="Times New Roman" w:hAnsi="Times New Roman" w:eastAsia="Times New Roman" w:cs="Times New Roman"/>
          <w:b/>
          <w:bCs/>
          <w:spacing w:val="-2"/>
          <w:sz w:val="24"/>
          <w:szCs w:val="24"/>
        </w:rPr>
        <w:t xml:space="preserve">13.3.5 </w:t>
      </w:r>
      <w:r>
        <w:rPr>
          <w:rFonts w:ascii="宋体" w:hAnsi="宋体" w:eastAsia="宋体" w:cs="宋体"/>
          <w:b/>
          <w:bCs/>
          <w:spacing w:val="-2"/>
          <w:sz w:val="24"/>
          <w:szCs w:val="24"/>
        </w:rPr>
        <w:t>生态环境综合整治</w:t>
      </w:r>
    </w:p>
    <w:p w14:paraId="1F0CB41F">
      <w:pPr>
        <w:spacing w:line="220" w:lineRule="auto"/>
        <w:rPr>
          <w:rFonts w:ascii="宋体" w:hAnsi="宋体" w:eastAsia="宋体" w:cs="宋体"/>
          <w:sz w:val="24"/>
          <w:szCs w:val="24"/>
        </w:rPr>
        <w:sectPr>
          <w:headerReference r:id="rId441" w:type="default"/>
          <w:footerReference r:id="rId442" w:type="default"/>
          <w:pgSz w:w="11906" w:h="16839"/>
          <w:pgMar w:top="1208" w:right="1719" w:bottom="1358" w:left="1785" w:header="825" w:footer="1195" w:gutter="0"/>
          <w:cols w:space="720" w:num="1"/>
        </w:sectPr>
      </w:pPr>
    </w:p>
    <w:p w14:paraId="6C3C9763">
      <w:pPr>
        <w:pStyle w:val="2"/>
        <w:spacing w:line="265" w:lineRule="auto"/>
      </w:pPr>
    </w:p>
    <w:p w14:paraId="4337A1E1">
      <w:pPr>
        <w:spacing w:before="78" w:line="361" w:lineRule="auto"/>
        <w:ind w:left="23" w:right="35" w:firstLine="480"/>
        <w:jc w:val="both"/>
        <w:rPr>
          <w:rFonts w:ascii="宋体" w:hAnsi="宋体" w:eastAsia="宋体" w:cs="宋体"/>
          <w:sz w:val="24"/>
          <w:szCs w:val="24"/>
        </w:rPr>
      </w:pPr>
      <w:r>
        <w:rPr>
          <w:rFonts w:ascii="宋体" w:hAnsi="宋体" w:eastAsia="宋体" w:cs="宋体"/>
          <w:spacing w:val="-3"/>
          <w:sz w:val="24"/>
          <w:szCs w:val="24"/>
        </w:rPr>
        <w:t>通过综合植被恢复，使项目区实现近自然的生态植被恢复，项目</w:t>
      </w:r>
      <w:r>
        <w:rPr>
          <w:rFonts w:ascii="宋体" w:hAnsi="宋体" w:eastAsia="宋体" w:cs="宋体"/>
          <w:spacing w:val="-4"/>
          <w:sz w:val="24"/>
          <w:szCs w:val="24"/>
        </w:rPr>
        <w:t>区的生态环</w:t>
      </w:r>
      <w:r>
        <w:rPr>
          <w:rFonts w:ascii="宋体" w:hAnsi="宋体" w:eastAsia="宋体" w:cs="宋体"/>
          <w:sz w:val="24"/>
          <w:szCs w:val="24"/>
        </w:rPr>
        <w:t xml:space="preserve"> </w:t>
      </w:r>
      <w:r>
        <w:rPr>
          <w:rFonts w:ascii="宋体" w:hAnsi="宋体" w:eastAsia="宋体" w:cs="宋体"/>
          <w:spacing w:val="-3"/>
          <w:sz w:val="24"/>
          <w:szCs w:val="24"/>
        </w:rPr>
        <w:t>境与周边的原貌相和谐，在植被恢复实施效果后，实现生态修复以改善和优化项</w:t>
      </w:r>
      <w:r>
        <w:rPr>
          <w:rFonts w:ascii="宋体" w:hAnsi="宋体" w:eastAsia="宋体" w:cs="宋体"/>
          <w:spacing w:val="1"/>
          <w:sz w:val="24"/>
          <w:szCs w:val="24"/>
        </w:rPr>
        <w:t xml:space="preserve"> </w:t>
      </w:r>
      <w:r>
        <w:rPr>
          <w:rFonts w:ascii="宋体" w:hAnsi="宋体" w:eastAsia="宋体" w:cs="宋体"/>
          <w:spacing w:val="-3"/>
          <w:sz w:val="24"/>
          <w:szCs w:val="24"/>
        </w:rPr>
        <w:t>目区的生态环境。在植物品种选择上，尊重植物的生物学、生态学特性，乡土植</w:t>
      </w:r>
      <w:r>
        <w:rPr>
          <w:rFonts w:ascii="宋体" w:hAnsi="宋体" w:eastAsia="宋体" w:cs="宋体"/>
          <w:spacing w:val="1"/>
          <w:sz w:val="24"/>
          <w:szCs w:val="24"/>
        </w:rPr>
        <w:t xml:space="preserve"> </w:t>
      </w:r>
      <w:r>
        <w:rPr>
          <w:rFonts w:ascii="宋体" w:hAnsi="宋体" w:eastAsia="宋体" w:cs="宋体"/>
          <w:spacing w:val="-2"/>
          <w:sz w:val="24"/>
          <w:szCs w:val="24"/>
        </w:rPr>
        <w:t>物品种优先。</w:t>
      </w:r>
    </w:p>
    <w:p w14:paraId="5E33073F">
      <w:pPr>
        <w:spacing w:before="77" w:line="222" w:lineRule="auto"/>
        <w:ind w:left="32"/>
        <w:outlineLvl w:val="1"/>
        <w:rPr>
          <w:rFonts w:ascii="黑体" w:hAnsi="黑体" w:eastAsia="黑体" w:cs="黑体"/>
          <w:sz w:val="28"/>
          <w:szCs w:val="28"/>
        </w:rPr>
      </w:pPr>
      <w:bookmarkStart w:id="206" w:name="bookmark184"/>
      <w:bookmarkEnd w:id="206"/>
      <w:bookmarkStart w:id="207" w:name="bookmark183"/>
      <w:bookmarkEnd w:id="207"/>
      <w:r>
        <w:rPr>
          <w:rFonts w:ascii="Times New Roman" w:hAnsi="Times New Roman" w:eastAsia="Times New Roman" w:cs="Times New Roman"/>
          <w:b/>
          <w:bCs/>
          <w:spacing w:val="-3"/>
          <w:sz w:val="28"/>
          <w:szCs w:val="28"/>
        </w:rPr>
        <w:t xml:space="preserve">13.4 </w:t>
      </w:r>
      <w:r>
        <w:rPr>
          <w:rFonts w:ascii="黑体" w:hAnsi="黑体" w:eastAsia="黑体" w:cs="黑体"/>
          <w:b/>
          <w:bCs/>
          <w:spacing w:val="-3"/>
          <w:sz w:val="28"/>
          <w:szCs w:val="28"/>
        </w:rPr>
        <w:t>环境影响预测</w:t>
      </w:r>
    </w:p>
    <w:p w14:paraId="5262DCFE">
      <w:pPr>
        <w:spacing w:before="257" w:line="220" w:lineRule="auto"/>
        <w:ind w:left="509"/>
        <w:outlineLvl w:val="2"/>
        <w:rPr>
          <w:rFonts w:ascii="宋体" w:hAnsi="宋体" w:eastAsia="宋体" w:cs="宋体"/>
          <w:sz w:val="24"/>
          <w:szCs w:val="24"/>
        </w:rPr>
      </w:pPr>
      <w:bookmarkStart w:id="208" w:name="bookmark218"/>
      <w:bookmarkEnd w:id="208"/>
      <w:r>
        <w:rPr>
          <w:rFonts w:ascii="Times New Roman" w:hAnsi="Times New Roman" w:eastAsia="Times New Roman" w:cs="Times New Roman"/>
          <w:b/>
          <w:bCs/>
          <w:spacing w:val="-2"/>
          <w:sz w:val="24"/>
          <w:szCs w:val="24"/>
        </w:rPr>
        <w:t xml:space="preserve">13.4.1 </w:t>
      </w:r>
      <w:r>
        <w:rPr>
          <w:rFonts w:ascii="宋体" w:hAnsi="宋体" w:eastAsia="宋体" w:cs="宋体"/>
          <w:b/>
          <w:bCs/>
          <w:spacing w:val="-2"/>
          <w:sz w:val="24"/>
          <w:szCs w:val="24"/>
        </w:rPr>
        <w:t>环境空气影响预测</w:t>
      </w:r>
    </w:p>
    <w:p w14:paraId="691DFC19">
      <w:pPr>
        <w:spacing w:before="181" w:line="353" w:lineRule="auto"/>
        <w:ind w:left="25" w:right="37" w:firstLine="479"/>
        <w:rPr>
          <w:rFonts w:ascii="宋体" w:hAnsi="宋体" w:eastAsia="宋体" w:cs="宋体"/>
          <w:sz w:val="24"/>
          <w:szCs w:val="24"/>
        </w:rPr>
      </w:pPr>
      <w:r>
        <w:rPr>
          <w:rFonts w:ascii="宋体" w:hAnsi="宋体" w:eastAsia="宋体" w:cs="宋体"/>
          <w:spacing w:val="-1"/>
          <w:sz w:val="24"/>
          <w:szCs w:val="24"/>
        </w:rPr>
        <w:t>技改工程建成后有组织排放废气中</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PM</w:t>
      </w:r>
      <w:r>
        <w:rPr>
          <w:rFonts w:ascii="Times New Roman" w:hAnsi="Times New Roman" w:eastAsia="Times New Roman" w:cs="Times New Roman"/>
          <w:spacing w:val="-1"/>
          <w:position w:val="-1"/>
          <w:sz w:val="15"/>
          <w:szCs w:val="15"/>
        </w:rPr>
        <w:t>10</w:t>
      </w:r>
      <w:r>
        <w:rPr>
          <w:rFonts w:ascii="Times New Roman" w:hAnsi="Times New Roman" w:eastAsia="Times New Roman" w:cs="Times New Roman"/>
          <w:spacing w:val="14"/>
          <w:w w:val="101"/>
          <w:position w:val="-1"/>
          <w:sz w:val="15"/>
          <w:szCs w:val="15"/>
        </w:rPr>
        <w:t xml:space="preserve"> </w:t>
      </w:r>
      <w:r>
        <w:rPr>
          <w:rFonts w:ascii="宋体" w:hAnsi="宋体" w:eastAsia="宋体" w:cs="宋体"/>
          <w:spacing w:val="-1"/>
          <w:sz w:val="24"/>
          <w:szCs w:val="24"/>
        </w:rPr>
        <w:t>最大落地浓度为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33.67μg/m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7"/>
          <w:position w:val="8"/>
          <w:sz w:val="15"/>
          <w:szCs w:val="15"/>
        </w:rPr>
        <w:t xml:space="preserve"> </w:t>
      </w:r>
      <w:r>
        <w:rPr>
          <w:rFonts w:ascii="宋体" w:hAnsi="宋体" w:eastAsia="宋体" w:cs="宋体"/>
          <w:spacing w:val="-1"/>
          <w:sz w:val="24"/>
          <w:szCs w:val="24"/>
        </w:rPr>
        <w:t>，最大</w:t>
      </w:r>
      <w:r>
        <w:rPr>
          <w:rFonts w:ascii="宋体" w:hAnsi="宋体" w:eastAsia="宋体" w:cs="宋体"/>
          <w:sz w:val="24"/>
          <w:szCs w:val="24"/>
        </w:rPr>
        <w:t xml:space="preserve"> </w:t>
      </w:r>
      <w:r>
        <w:rPr>
          <w:rFonts w:ascii="宋体" w:hAnsi="宋体" w:eastAsia="宋体" w:cs="宋体"/>
          <w:spacing w:val="-2"/>
          <w:sz w:val="24"/>
          <w:szCs w:val="24"/>
        </w:rPr>
        <w:t>落地浓度占标率为</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7.48%</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，不会对项目周边大气环境造成较大影响。</w:t>
      </w:r>
    </w:p>
    <w:p w14:paraId="68AD8E99">
      <w:pPr>
        <w:spacing w:before="19" w:line="219" w:lineRule="auto"/>
        <w:ind w:left="509"/>
        <w:outlineLvl w:val="2"/>
        <w:rPr>
          <w:rFonts w:ascii="宋体" w:hAnsi="宋体" w:eastAsia="宋体" w:cs="宋体"/>
          <w:sz w:val="24"/>
          <w:szCs w:val="24"/>
        </w:rPr>
      </w:pPr>
      <w:bookmarkStart w:id="209" w:name="bookmark185"/>
      <w:bookmarkEnd w:id="209"/>
      <w:r>
        <w:rPr>
          <w:rFonts w:ascii="Times New Roman" w:hAnsi="Times New Roman" w:eastAsia="Times New Roman" w:cs="Times New Roman"/>
          <w:b/>
          <w:bCs/>
          <w:spacing w:val="-2"/>
          <w:sz w:val="24"/>
          <w:szCs w:val="24"/>
        </w:rPr>
        <w:t xml:space="preserve">13.4.2 </w:t>
      </w:r>
      <w:r>
        <w:rPr>
          <w:rFonts w:ascii="宋体" w:hAnsi="宋体" w:eastAsia="宋体" w:cs="宋体"/>
          <w:b/>
          <w:bCs/>
          <w:spacing w:val="-2"/>
          <w:sz w:val="24"/>
          <w:szCs w:val="24"/>
        </w:rPr>
        <w:t>地下水环境影响预测</w:t>
      </w:r>
    </w:p>
    <w:p w14:paraId="6ADE59BC">
      <w:pPr>
        <w:spacing w:before="182" w:line="360" w:lineRule="auto"/>
        <w:ind w:left="21" w:right="35" w:firstLine="481"/>
        <w:jc w:val="both"/>
        <w:rPr>
          <w:rFonts w:ascii="宋体" w:hAnsi="宋体" w:eastAsia="宋体" w:cs="宋体"/>
          <w:sz w:val="24"/>
          <w:szCs w:val="24"/>
        </w:rPr>
      </w:pPr>
      <w:r>
        <w:rPr>
          <w:rFonts w:ascii="宋体" w:hAnsi="宋体" w:eastAsia="宋体" w:cs="宋体"/>
          <w:spacing w:val="-3"/>
          <w:sz w:val="24"/>
          <w:szCs w:val="24"/>
        </w:rPr>
        <w:t>运营期，在正常状况下，如果是污染单元发生硬化面破损，即使</w:t>
      </w:r>
      <w:r>
        <w:rPr>
          <w:rFonts w:ascii="宋体" w:hAnsi="宋体" w:eastAsia="宋体" w:cs="宋体"/>
          <w:spacing w:val="-4"/>
          <w:sz w:val="24"/>
          <w:szCs w:val="24"/>
        </w:rPr>
        <w:t>有物料或污</w:t>
      </w:r>
      <w:r>
        <w:rPr>
          <w:rFonts w:ascii="宋体" w:hAnsi="宋体" w:eastAsia="宋体" w:cs="宋体"/>
          <w:sz w:val="24"/>
          <w:szCs w:val="24"/>
        </w:rPr>
        <w:t xml:space="preserve"> </w:t>
      </w:r>
      <w:r>
        <w:rPr>
          <w:rFonts w:ascii="宋体" w:hAnsi="宋体" w:eastAsia="宋体" w:cs="宋体"/>
          <w:spacing w:val="-3"/>
          <w:sz w:val="24"/>
          <w:szCs w:val="24"/>
        </w:rPr>
        <w:t>水等泄漏，按目前企业管理规范，必须及时采取措施，不可能任由物料或污水漫</w:t>
      </w:r>
      <w:r>
        <w:rPr>
          <w:rFonts w:ascii="宋体" w:hAnsi="宋体" w:eastAsia="宋体" w:cs="宋体"/>
          <w:spacing w:val="2"/>
          <w:sz w:val="24"/>
          <w:szCs w:val="24"/>
        </w:rPr>
        <w:t xml:space="preserve"> </w:t>
      </w:r>
      <w:r>
        <w:rPr>
          <w:rFonts w:ascii="宋体" w:hAnsi="宋体" w:eastAsia="宋体" w:cs="宋体"/>
          <w:spacing w:val="-3"/>
          <w:sz w:val="24"/>
          <w:szCs w:val="24"/>
        </w:rPr>
        <w:t>流渗漏，而对于泄漏初期短时间物料暴露而污染的少量土壤，则会尽快通过挖出</w:t>
      </w:r>
      <w:r>
        <w:rPr>
          <w:rFonts w:ascii="宋体" w:hAnsi="宋体" w:eastAsia="宋体" w:cs="宋体"/>
          <w:spacing w:val="2"/>
          <w:sz w:val="24"/>
          <w:szCs w:val="24"/>
        </w:rPr>
        <w:t xml:space="preserve"> </w:t>
      </w:r>
      <w:r>
        <w:rPr>
          <w:rFonts w:ascii="宋体" w:hAnsi="宋体" w:eastAsia="宋体" w:cs="宋体"/>
          <w:spacing w:val="-3"/>
          <w:sz w:val="24"/>
          <w:szCs w:val="24"/>
        </w:rPr>
        <w:t>进行处置，不会任其渗入地下水。正常状况下建设项目运行对地下水环境影响很</w:t>
      </w:r>
      <w:r>
        <w:rPr>
          <w:rFonts w:ascii="宋体" w:hAnsi="宋体" w:eastAsia="宋体" w:cs="宋体"/>
          <w:spacing w:val="2"/>
          <w:sz w:val="24"/>
          <w:szCs w:val="24"/>
        </w:rPr>
        <w:t xml:space="preserve"> </w:t>
      </w:r>
      <w:r>
        <w:rPr>
          <w:rFonts w:ascii="宋体" w:hAnsi="宋体" w:eastAsia="宋体" w:cs="宋体"/>
          <w:spacing w:val="-4"/>
          <w:sz w:val="24"/>
          <w:szCs w:val="24"/>
        </w:rPr>
        <w:t>小。</w:t>
      </w:r>
    </w:p>
    <w:p w14:paraId="5E79548E">
      <w:pPr>
        <w:spacing w:line="360" w:lineRule="auto"/>
        <w:ind w:left="22" w:firstLine="480"/>
        <w:jc w:val="both"/>
        <w:rPr>
          <w:rFonts w:ascii="宋体" w:hAnsi="宋体" w:eastAsia="宋体" w:cs="宋体"/>
          <w:sz w:val="24"/>
          <w:szCs w:val="24"/>
        </w:rPr>
      </w:pPr>
      <w:r>
        <w:rPr>
          <w:rFonts w:ascii="宋体" w:hAnsi="宋体" w:eastAsia="宋体" w:cs="宋体"/>
          <w:spacing w:val="-3"/>
          <w:sz w:val="24"/>
          <w:szCs w:val="24"/>
        </w:rPr>
        <w:t>运营期，在非正常状况下不考虑包气带对污染物的自净、吸附、</w:t>
      </w:r>
      <w:r>
        <w:rPr>
          <w:rFonts w:ascii="宋体" w:hAnsi="宋体" w:eastAsia="宋体" w:cs="宋体"/>
          <w:spacing w:val="-4"/>
          <w:sz w:val="24"/>
          <w:szCs w:val="24"/>
        </w:rPr>
        <w:t>生化作用等</w:t>
      </w:r>
      <w:r>
        <w:rPr>
          <w:rFonts w:ascii="宋体" w:hAnsi="宋体" w:eastAsia="宋体" w:cs="宋体"/>
          <w:sz w:val="24"/>
          <w:szCs w:val="24"/>
        </w:rPr>
        <w:t xml:space="preserve"> </w:t>
      </w:r>
      <w:r>
        <w:rPr>
          <w:rFonts w:ascii="宋体" w:hAnsi="宋体" w:eastAsia="宋体" w:cs="宋体"/>
          <w:spacing w:val="-3"/>
          <w:sz w:val="24"/>
          <w:szCs w:val="24"/>
        </w:rPr>
        <w:t>阻滞效应，地下水污染模拟预测结果显示：在预测期内，污染物在含水层局部浓</w:t>
      </w:r>
      <w:r>
        <w:rPr>
          <w:rFonts w:ascii="宋体" w:hAnsi="宋体" w:eastAsia="宋体" w:cs="宋体"/>
          <w:spacing w:val="1"/>
          <w:sz w:val="24"/>
          <w:szCs w:val="24"/>
        </w:rPr>
        <w:t xml:space="preserve"> </w:t>
      </w:r>
      <w:r>
        <w:rPr>
          <w:rFonts w:ascii="宋体" w:hAnsi="宋体" w:eastAsia="宋体" w:cs="宋体"/>
          <w:spacing w:val="-3"/>
          <w:sz w:val="24"/>
          <w:szCs w:val="24"/>
        </w:rPr>
        <w:t>度增加，但是在各个预测时间段均不超标，均满足地下水</w:t>
      </w:r>
      <w:r>
        <w:rPr>
          <w:rFonts w:ascii="Times New Roman" w:hAnsi="Times New Roman" w:eastAsia="Times New Roman" w:cs="Times New Roman"/>
          <w:spacing w:val="-3"/>
          <w:sz w:val="24"/>
          <w:szCs w:val="24"/>
        </w:rPr>
        <w:t>Ⅲ</w:t>
      </w:r>
      <w:r>
        <w:rPr>
          <w:rFonts w:ascii="宋体" w:hAnsi="宋体" w:eastAsia="宋体" w:cs="宋体"/>
          <w:spacing w:val="-3"/>
          <w:sz w:val="24"/>
          <w:szCs w:val="24"/>
        </w:rPr>
        <w:t>类标准，对含水层影</w:t>
      </w:r>
      <w:r>
        <w:rPr>
          <w:rFonts w:ascii="宋体" w:hAnsi="宋体" w:eastAsia="宋体" w:cs="宋体"/>
          <w:spacing w:val="11"/>
          <w:sz w:val="24"/>
          <w:szCs w:val="24"/>
        </w:rPr>
        <w:t xml:space="preserve"> </w:t>
      </w:r>
      <w:r>
        <w:rPr>
          <w:rFonts w:ascii="宋体" w:hAnsi="宋体" w:eastAsia="宋体" w:cs="宋体"/>
          <w:spacing w:val="-3"/>
          <w:sz w:val="24"/>
          <w:szCs w:val="24"/>
        </w:rPr>
        <w:t>响较小；且对敏感点不产生影响。因此地下水环境风险可接受。但是编制单位要</w:t>
      </w:r>
      <w:r>
        <w:rPr>
          <w:rFonts w:ascii="宋体" w:hAnsi="宋体" w:eastAsia="宋体" w:cs="宋体"/>
          <w:spacing w:val="1"/>
          <w:sz w:val="24"/>
          <w:szCs w:val="24"/>
        </w:rPr>
        <w:t xml:space="preserve"> </w:t>
      </w:r>
      <w:r>
        <w:rPr>
          <w:rFonts w:ascii="宋体" w:hAnsi="宋体" w:eastAsia="宋体" w:cs="宋体"/>
          <w:spacing w:val="-2"/>
          <w:sz w:val="24"/>
          <w:szCs w:val="24"/>
        </w:rPr>
        <w:t>求建设单元对各污染单元进行长期地下水水质监测，一旦发现监测井出现异常，</w:t>
      </w:r>
      <w:r>
        <w:rPr>
          <w:rFonts w:ascii="宋体" w:hAnsi="宋体" w:eastAsia="宋体" w:cs="宋体"/>
          <w:spacing w:val="2"/>
          <w:sz w:val="24"/>
          <w:szCs w:val="24"/>
        </w:rPr>
        <w:t xml:space="preserve"> </w:t>
      </w:r>
      <w:r>
        <w:rPr>
          <w:rFonts w:ascii="宋体" w:hAnsi="宋体" w:eastAsia="宋体" w:cs="宋体"/>
          <w:spacing w:val="-1"/>
          <w:sz w:val="24"/>
          <w:szCs w:val="24"/>
        </w:rPr>
        <w:t>由建设单位负责地下水污染治理等措施。</w:t>
      </w:r>
    </w:p>
    <w:p w14:paraId="78C18852">
      <w:pPr>
        <w:spacing w:line="220" w:lineRule="auto"/>
        <w:ind w:left="509"/>
        <w:outlineLvl w:val="2"/>
        <w:rPr>
          <w:rFonts w:ascii="宋体" w:hAnsi="宋体" w:eastAsia="宋体" w:cs="宋体"/>
          <w:sz w:val="24"/>
          <w:szCs w:val="24"/>
        </w:rPr>
      </w:pPr>
      <w:bookmarkStart w:id="210" w:name="bookmark186"/>
      <w:bookmarkEnd w:id="210"/>
      <w:r>
        <w:rPr>
          <w:rFonts w:ascii="Times New Roman" w:hAnsi="Times New Roman" w:eastAsia="Times New Roman" w:cs="Times New Roman"/>
          <w:b/>
          <w:bCs/>
          <w:spacing w:val="-3"/>
          <w:sz w:val="24"/>
          <w:szCs w:val="24"/>
        </w:rPr>
        <w:t xml:space="preserve">13.4.3 </w:t>
      </w:r>
      <w:r>
        <w:rPr>
          <w:rFonts w:ascii="宋体" w:hAnsi="宋体" w:eastAsia="宋体" w:cs="宋体"/>
          <w:b/>
          <w:bCs/>
          <w:spacing w:val="-3"/>
          <w:sz w:val="24"/>
          <w:szCs w:val="24"/>
        </w:rPr>
        <w:t>声环境影响预测</w:t>
      </w:r>
    </w:p>
    <w:p w14:paraId="5C761196">
      <w:pPr>
        <w:spacing w:before="182" w:line="360" w:lineRule="auto"/>
        <w:ind w:left="17" w:right="35" w:firstLine="486"/>
        <w:jc w:val="both"/>
        <w:rPr>
          <w:rFonts w:ascii="宋体" w:hAnsi="宋体" w:eastAsia="宋体" w:cs="宋体"/>
          <w:sz w:val="24"/>
          <w:szCs w:val="24"/>
        </w:rPr>
      </w:pPr>
      <w:r>
        <w:rPr>
          <w:rFonts w:ascii="宋体" w:hAnsi="宋体" w:eastAsia="宋体" w:cs="宋体"/>
          <w:spacing w:val="-3"/>
          <w:sz w:val="24"/>
          <w:szCs w:val="24"/>
        </w:rPr>
        <w:t>技改工程实施后，各测量点的噪声值在现状的基础上变化不大</w:t>
      </w:r>
      <w:r>
        <w:rPr>
          <w:rFonts w:ascii="宋体" w:hAnsi="宋体" w:eastAsia="宋体" w:cs="宋体"/>
          <w:spacing w:val="-4"/>
          <w:sz w:val="24"/>
          <w:szCs w:val="24"/>
        </w:rPr>
        <w:t>。厂区昼间厂</w:t>
      </w:r>
      <w:r>
        <w:rPr>
          <w:rFonts w:ascii="宋体" w:hAnsi="宋体" w:eastAsia="宋体" w:cs="宋体"/>
          <w:sz w:val="24"/>
          <w:szCs w:val="24"/>
        </w:rPr>
        <w:t xml:space="preserve"> </w:t>
      </w:r>
      <w:r>
        <w:rPr>
          <w:rFonts w:ascii="宋体" w:hAnsi="宋体" w:eastAsia="宋体" w:cs="宋体"/>
          <w:spacing w:val="12"/>
          <w:sz w:val="24"/>
          <w:szCs w:val="24"/>
        </w:rPr>
        <w:t>界噪声叠加值分布范围为</w:t>
      </w:r>
      <w:r>
        <w:rPr>
          <w:rFonts w:ascii="宋体" w:hAnsi="宋体" w:eastAsia="宋体" w:cs="宋体"/>
          <w:spacing w:val="-33"/>
          <w:sz w:val="24"/>
          <w:szCs w:val="24"/>
        </w:rPr>
        <w:t xml:space="preserve"> </w:t>
      </w:r>
      <w:r>
        <w:rPr>
          <w:rFonts w:ascii="Times New Roman" w:hAnsi="Times New Roman" w:eastAsia="Times New Roman" w:cs="Times New Roman"/>
          <w:spacing w:val="12"/>
          <w:sz w:val="24"/>
          <w:szCs w:val="24"/>
        </w:rPr>
        <w:t>54~55</w:t>
      </w:r>
      <w:r>
        <w:rPr>
          <w:rFonts w:ascii="Times New Roman" w:hAnsi="Times New Roman" w:eastAsia="Times New Roman" w:cs="Times New Roman"/>
          <w:sz w:val="24"/>
          <w:szCs w:val="24"/>
        </w:rPr>
        <w:t>dB</w:t>
      </w:r>
      <w:r>
        <w:rPr>
          <w:rFonts w:ascii="宋体" w:hAnsi="宋体" w:eastAsia="宋体" w:cs="宋体"/>
          <w:spacing w:val="12"/>
          <w:sz w:val="24"/>
          <w:szCs w:val="24"/>
        </w:rPr>
        <w:t>（</w:t>
      </w:r>
      <w:r>
        <w:rPr>
          <w:rFonts w:ascii="Times New Roman" w:hAnsi="Times New Roman" w:eastAsia="Times New Roman" w:cs="Times New Roman"/>
          <w:spacing w:val="12"/>
          <w:sz w:val="24"/>
          <w:szCs w:val="24"/>
        </w:rPr>
        <w:t>A</w:t>
      </w:r>
      <w:r>
        <w:rPr>
          <w:rFonts w:ascii="宋体" w:hAnsi="宋体" w:eastAsia="宋体" w:cs="宋体"/>
          <w:spacing w:val="-1"/>
          <w:sz w:val="24"/>
          <w:szCs w:val="24"/>
        </w:rPr>
        <w:t>）</w:t>
      </w:r>
      <w:r>
        <w:rPr>
          <w:rFonts w:ascii="宋体" w:hAnsi="宋体" w:eastAsia="宋体" w:cs="宋体"/>
          <w:spacing w:val="-58"/>
          <w:sz w:val="24"/>
          <w:szCs w:val="24"/>
        </w:rPr>
        <w:t xml:space="preserve"> </w:t>
      </w:r>
      <w:r>
        <w:rPr>
          <w:rFonts w:ascii="宋体" w:hAnsi="宋体" w:eastAsia="宋体" w:cs="宋体"/>
          <w:spacing w:val="-1"/>
          <w:sz w:val="24"/>
          <w:szCs w:val="24"/>
        </w:rPr>
        <w:t>，</w:t>
      </w:r>
      <w:r>
        <w:rPr>
          <w:rFonts w:ascii="宋体" w:hAnsi="宋体" w:eastAsia="宋体" w:cs="宋体"/>
          <w:spacing w:val="12"/>
          <w:sz w:val="24"/>
          <w:szCs w:val="24"/>
        </w:rPr>
        <w:t>夜</w:t>
      </w:r>
      <w:r>
        <w:rPr>
          <w:rFonts w:ascii="宋体" w:hAnsi="宋体" w:eastAsia="宋体" w:cs="宋体"/>
          <w:spacing w:val="11"/>
          <w:sz w:val="24"/>
          <w:szCs w:val="24"/>
        </w:rPr>
        <w:t>间厂界噪声叠加值分布范围为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44~45</w:t>
      </w:r>
      <w:r>
        <w:rPr>
          <w:rFonts w:ascii="Times New Roman" w:hAnsi="Times New Roman" w:eastAsia="Times New Roman" w:cs="Times New Roman"/>
          <w:sz w:val="24"/>
          <w:szCs w:val="24"/>
        </w:rPr>
        <w:t>dB</w:t>
      </w:r>
      <w:r>
        <w:rPr>
          <w:rFonts w:ascii="宋体" w:hAnsi="宋体" w:eastAsia="宋体" w:cs="宋体"/>
          <w:spacing w:val="1"/>
          <w:sz w:val="24"/>
          <w:szCs w:val="24"/>
        </w:rPr>
        <w:t>（</w:t>
      </w:r>
      <w:r>
        <w:rPr>
          <w:rFonts w:ascii="Times New Roman" w:hAnsi="Times New Roman" w:eastAsia="Times New Roman" w:cs="Times New Roman"/>
          <w:spacing w:val="1"/>
          <w:sz w:val="24"/>
          <w:szCs w:val="24"/>
        </w:rPr>
        <w:t>A</w:t>
      </w:r>
      <w:r>
        <w:rPr>
          <w:rFonts w:ascii="宋体" w:hAnsi="宋体" w:eastAsia="宋体" w:cs="宋体"/>
          <w:spacing w:val="1"/>
          <w:sz w:val="24"/>
          <w:szCs w:val="24"/>
        </w:rPr>
        <w:t>）。技改工程完成后本项目的预测值均满足《工业企业厂界环境噪</w:t>
      </w:r>
      <w:r>
        <w:rPr>
          <w:rFonts w:ascii="宋体" w:hAnsi="宋体" w:eastAsia="宋体" w:cs="宋体"/>
          <w:spacing w:val="2"/>
          <w:sz w:val="24"/>
          <w:szCs w:val="24"/>
        </w:rPr>
        <w:t xml:space="preserve"> </w:t>
      </w:r>
      <w:r>
        <w:rPr>
          <w:rFonts w:ascii="宋体" w:hAnsi="宋体" w:eastAsia="宋体" w:cs="宋体"/>
          <w:spacing w:val="4"/>
          <w:sz w:val="24"/>
          <w:szCs w:val="24"/>
        </w:rPr>
        <w:t>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12348-2008</w:t>
      </w:r>
      <w:r>
        <w:rPr>
          <w:rFonts w:ascii="宋体" w:hAnsi="宋体" w:eastAsia="宋体" w:cs="宋体"/>
          <w:spacing w:val="4"/>
          <w:sz w:val="24"/>
          <w:szCs w:val="24"/>
        </w:rPr>
        <w:t>）规定的</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类标准限值要求。</w:t>
      </w:r>
      <w:r>
        <w:rPr>
          <w:rFonts w:ascii="宋体" w:hAnsi="宋体" w:eastAsia="宋体" w:cs="宋体"/>
          <w:spacing w:val="3"/>
          <w:sz w:val="24"/>
          <w:szCs w:val="24"/>
        </w:rPr>
        <w:t>环评要求运输车辆</w:t>
      </w:r>
      <w:r>
        <w:rPr>
          <w:rFonts w:ascii="宋体" w:hAnsi="宋体" w:eastAsia="宋体" w:cs="宋体"/>
          <w:sz w:val="24"/>
          <w:szCs w:val="24"/>
        </w:rPr>
        <w:t xml:space="preserve"> 合理安排运输时间，夜间禁止运输作业。禁止鸣笛，并</w:t>
      </w:r>
      <w:r>
        <w:rPr>
          <w:rFonts w:ascii="宋体" w:hAnsi="宋体" w:eastAsia="宋体" w:cs="宋体"/>
          <w:spacing w:val="-1"/>
          <w:sz w:val="24"/>
          <w:szCs w:val="24"/>
        </w:rPr>
        <w:t>减速慢行。</w:t>
      </w:r>
    </w:p>
    <w:p w14:paraId="41E6B2AA">
      <w:pPr>
        <w:spacing w:before="1" w:line="219" w:lineRule="auto"/>
        <w:ind w:left="509"/>
        <w:outlineLvl w:val="2"/>
        <w:rPr>
          <w:rFonts w:ascii="宋体" w:hAnsi="宋体" w:eastAsia="宋体" w:cs="宋体"/>
          <w:sz w:val="24"/>
          <w:szCs w:val="24"/>
        </w:rPr>
      </w:pPr>
      <w:bookmarkStart w:id="211" w:name="bookmark187"/>
      <w:bookmarkEnd w:id="211"/>
      <w:r>
        <w:rPr>
          <w:rFonts w:ascii="Times New Roman" w:hAnsi="Times New Roman" w:eastAsia="Times New Roman" w:cs="Times New Roman"/>
          <w:b/>
          <w:bCs/>
          <w:spacing w:val="-4"/>
          <w:sz w:val="24"/>
          <w:szCs w:val="24"/>
        </w:rPr>
        <w:t>13.4.4</w:t>
      </w:r>
      <w:r>
        <w:rPr>
          <w:rFonts w:ascii="Times New Roman" w:hAnsi="Times New Roman" w:eastAsia="Times New Roman" w:cs="Times New Roman"/>
          <w:b/>
          <w:bCs/>
          <w:spacing w:val="33"/>
          <w:sz w:val="24"/>
          <w:szCs w:val="24"/>
        </w:rPr>
        <w:t xml:space="preserve"> </w:t>
      </w:r>
      <w:r>
        <w:rPr>
          <w:rFonts w:ascii="宋体" w:hAnsi="宋体" w:eastAsia="宋体" w:cs="宋体"/>
          <w:b/>
          <w:bCs/>
          <w:spacing w:val="-4"/>
          <w:sz w:val="24"/>
          <w:szCs w:val="24"/>
        </w:rPr>
        <w:t>固体废弃物环境影响分析</w:t>
      </w:r>
    </w:p>
    <w:p w14:paraId="1164E406">
      <w:pPr>
        <w:spacing w:before="183" w:line="220" w:lineRule="auto"/>
        <w:ind w:left="52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）对大气环境的影响</w:t>
      </w:r>
    </w:p>
    <w:p w14:paraId="69629CA5">
      <w:pPr>
        <w:spacing w:before="181" w:line="219" w:lineRule="auto"/>
        <w:jc w:val="right"/>
        <w:rPr>
          <w:rFonts w:ascii="宋体" w:hAnsi="宋体" w:eastAsia="宋体" w:cs="宋体"/>
          <w:sz w:val="24"/>
          <w:szCs w:val="24"/>
        </w:rPr>
      </w:pPr>
      <w:r>
        <w:rPr>
          <w:rFonts w:ascii="宋体" w:hAnsi="宋体" w:eastAsia="宋体" w:cs="宋体"/>
          <w:spacing w:val="-2"/>
          <w:sz w:val="24"/>
          <w:szCs w:val="24"/>
        </w:rPr>
        <w:t>在具备起尘风速时，原矿堆场及尾矿库粉尘会对其周围局部地区产生影</w:t>
      </w:r>
      <w:r>
        <w:rPr>
          <w:rFonts w:ascii="宋体" w:hAnsi="宋体" w:eastAsia="宋体" w:cs="宋体"/>
          <w:spacing w:val="-3"/>
          <w:sz w:val="24"/>
          <w:szCs w:val="24"/>
        </w:rPr>
        <w:t>响，</w:t>
      </w:r>
    </w:p>
    <w:p w14:paraId="5863ABFF">
      <w:pPr>
        <w:spacing w:line="219" w:lineRule="auto"/>
        <w:rPr>
          <w:rFonts w:ascii="宋体" w:hAnsi="宋体" w:eastAsia="宋体" w:cs="宋体"/>
          <w:sz w:val="24"/>
          <w:szCs w:val="24"/>
        </w:rPr>
        <w:sectPr>
          <w:headerReference r:id="rId443" w:type="default"/>
          <w:footerReference r:id="rId444" w:type="default"/>
          <w:pgSz w:w="11906" w:h="16839"/>
          <w:pgMar w:top="1208" w:right="1764" w:bottom="1358" w:left="1785" w:header="825" w:footer="1195" w:gutter="0"/>
          <w:cols w:space="720" w:num="1"/>
        </w:sectPr>
      </w:pPr>
    </w:p>
    <w:p w14:paraId="252608BE">
      <w:pPr>
        <w:pStyle w:val="2"/>
        <w:spacing w:line="265" w:lineRule="auto"/>
      </w:pPr>
    </w:p>
    <w:p w14:paraId="6E45A50A">
      <w:pPr>
        <w:spacing w:before="78" w:line="360" w:lineRule="auto"/>
        <w:ind w:left="22" w:right="53" w:firstLine="2"/>
        <w:rPr>
          <w:rFonts w:ascii="宋体" w:hAnsi="宋体" w:eastAsia="宋体" w:cs="宋体"/>
          <w:sz w:val="24"/>
          <w:szCs w:val="24"/>
        </w:rPr>
      </w:pPr>
      <w:r>
        <w:rPr>
          <w:rFonts w:ascii="宋体" w:hAnsi="宋体" w:eastAsia="宋体" w:cs="宋体"/>
          <w:spacing w:val="-3"/>
          <w:sz w:val="24"/>
          <w:szCs w:val="24"/>
        </w:rPr>
        <w:t>可以通过向堆场物料和尾矿表面洒水来提高物料表面的含水率，以有效控制扬尘</w:t>
      </w:r>
      <w:r>
        <w:rPr>
          <w:rFonts w:ascii="宋体" w:hAnsi="宋体" w:eastAsia="宋体" w:cs="宋体"/>
          <w:sz w:val="24"/>
          <w:szCs w:val="24"/>
        </w:rPr>
        <w:t xml:space="preserve"> </w:t>
      </w:r>
      <w:r>
        <w:rPr>
          <w:rFonts w:ascii="宋体" w:hAnsi="宋体" w:eastAsia="宋体" w:cs="宋体"/>
          <w:spacing w:val="-1"/>
          <w:sz w:val="24"/>
          <w:szCs w:val="24"/>
        </w:rPr>
        <w:t>对环境空气的影响。</w:t>
      </w:r>
    </w:p>
    <w:p w14:paraId="137F19C3">
      <w:pPr>
        <w:spacing w:line="219"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）对地下水环境的影响</w:t>
      </w:r>
    </w:p>
    <w:p w14:paraId="4BF877C8">
      <w:pPr>
        <w:spacing w:before="182" w:line="360" w:lineRule="auto"/>
        <w:ind w:left="22" w:right="53" w:firstLine="481"/>
        <w:rPr>
          <w:rFonts w:ascii="宋体" w:hAnsi="宋体" w:eastAsia="宋体" w:cs="宋体"/>
          <w:sz w:val="24"/>
          <w:szCs w:val="24"/>
        </w:rPr>
      </w:pPr>
      <w:r>
        <w:rPr>
          <w:rFonts w:ascii="宋体" w:hAnsi="宋体" w:eastAsia="宋体" w:cs="宋体"/>
          <w:spacing w:val="-3"/>
          <w:sz w:val="24"/>
          <w:szCs w:val="24"/>
        </w:rPr>
        <w:t>本项目尾矿属于一般工业固体废弃物，对地下水水质影响有限</w:t>
      </w:r>
      <w:r>
        <w:rPr>
          <w:rFonts w:ascii="宋体" w:hAnsi="宋体" w:eastAsia="宋体" w:cs="宋体"/>
          <w:spacing w:val="-4"/>
          <w:sz w:val="24"/>
          <w:szCs w:val="24"/>
        </w:rPr>
        <w:t>。废机油为危</w:t>
      </w:r>
      <w:r>
        <w:rPr>
          <w:rFonts w:ascii="宋体" w:hAnsi="宋体" w:eastAsia="宋体" w:cs="宋体"/>
          <w:sz w:val="24"/>
          <w:szCs w:val="24"/>
        </w:rPr>
        <w:t xml:space="preserve"> </w:t>
      </w:r>
      <w:r>
        <w:rPr>
          <w:rFonts w:ascii="宋体" w:hAnsi="宋体" w:eastAsia="宋体" w:cs="宋体"/>
          <w:spacing w:val="-3"/>
          <w:sz w:val="24"/>
          <w:szCs w:val="24"/>
        </w:rPr>
        <w:t>险废物，储存在专门的危废暂存间内，危废暂存间严格按照《危险废物贮存污染</w:t>
      </w:r>
      <w:r>
        <w:rPr>
          <w:rFonts w:ascii="宋体" w:hAnsi="宋体" w:eastAsia="宋体" w:cs="宋体"/>
          <w:spacing w:val="1"/>
          <w:sz w:val="24"/>
          <w:szCs w:val="24"/>
        </w:rPr>
        <w:t xml:space="preserve"> </w:t>
      </w:r>
      <w:r>
        <w:rPr>
          <w:rFonts w:ascii="宋体" w:hAnsi="宋体" w:eastAsia="宋体" w:cs="宋体"/>
          <w:sz w:val="24"/>
          <w:szCs w:val="24"/>
        </w:rPr>
        <w:t>控制标准》（</w:t>
      </w:r>
      <w:r>
        <w:rPr>
          <w:rFonts w:ascii="Times New Roman" w:hAnsi="Times New Roman" w:eastAsia="Times New Roman" w:cs="Times New Roman"/>
          <w:sz w:val="24"/>
          <w:szCs w:val="24"/>
        </w:rPr>
        <w:t>GB</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18597-2001</w:t>
      </w:r>
      <w:r>
        <w:rPr>
          <w:rFonts w:ascii="宋体" w:hAnsi="宋体" w:eastAsia="宋体" w:cs="宋体"/>
          <w:sz w:val="24"/>
          <w:szCs w:val="24"/>
        </w:rPr>
        <w:t>）进行建设，危废暂存间地面和</w:t>
      </w:r>
      <w:r>
        <w:rPr>
          <w:rFonts w:ascii="宋体" w:hAnsi="宋体" w:eastAsia="宋体" w:cs="宋体"/>
          <w:spacing w:val="-1"/>
          <w:sz w:val="24"/>
          <w:szCs w:val="24"/>
        </w:rPr>
        <w:t>裙角采用坚固、防</w:t>
      </w:r>
      <w:r>
        <w:rPr>
          <w:rFonts w:ascii="宋体" w:hAnsi="宋体" w:eastAsia="宋体" w:cs="宋体"/>
          <w:sz w:val="24"/>
          <w:szCs w:val="24"/>
        </w:rPr>
        <w:t xml:space="preserve"> </w:t>
      </w:r>
      <w:r>
        <w:rPr>
          <w:rFonts w:ascii="宋体" w:hAnsi="宋体" w:eastAsia="宋体" w:cs="宋体"/>
          <w:spacing w:val="-3"/>
          <w:sz w:val="24"/>
          <w:szCs w:val="24"/>
        </w:rPr>
        <w:t>渗、耐腐蚀的材料建造且表面无裂隙，房间设有安全照明设施和观察窗口，地面</w:t>
      </w:r>
      <w:r>
        <w:rPr>
          <w:rFonts w:ascii="宋体" w:hAnsi="宋体" w:eastAsia="宋体" w:cs="宋体"/>
          <w:spacing w:val="1"/>
          <w:sz w:val="24"/>
          <w:szCs w:val="24"/>
        </w:rPr>
        <w:t xml:space="preserve"> </w:t>
      </w:r>
      <w:r>
        <w:rPr>
          <w:rFonts w:ascii="宋体" w:hAnsi="宋体" w:eastAsia="宋体" w:cs="宋体"/>
          <w:sz w:val="24"/>
          <w:szCs w:val="24"/>
        </w:rPr>
        <w:t>重点防渗，等效黏土防渗层</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Mb≥6.0m</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K≤1×10</w:t>
      </w:r>
      <w:r>
        <w:rPr>
          <w:rFonts w:ascii="Times New Roman" w:hAnsi="Times New Roman" w:eastAsia="Times New Roman" w:cs="Times New Roman"/>
          <w:position w:val="7"/>
          <w:sz w:val="15"/>
          <w:szCs w:val="15"/>
        </w:rPr>
        <w:t>-7</w:t>
      </w:r>
      <w:r>
        <w:rPr>
          <w:rFonts w:ascii="Times New Roman" w:hAnsi="Times New Roman" w:eastAsia="Times New Roman" w:cs="Times New Roman"/>
          <w:sz w:val="24"/>
          <w:szCs w:val="24"/>
        </w:rPr>
        <w:t>cm/s</w:t>
      </w:r>
      <w:r>
        <w:rPr>
          <w:rFonts w:ascii="宋体" w:hAnsi="宋体" w:eastAsia="宋体" w:cs="宋体"/>
          <w:sz w:val="24"/>
          <w:szCs w:val="24"/>
        </w:rPr>
        <w:t>；或参照</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 xml:space="preserve">GB18598 </w:t>
      </w:r>
      <w:r>
        <w:rPr>
          <w:rFonts w:ascii="宋体" w:hAnsi="宋体" w:eastAsia="宋体" w:cs="宋体"/>
          <w:sz w:val="24"/>
          <w:szCs w:val="24"/>
        </w:rPr>
        <w:t xml:space="preserve">执行。 </w:t>
      </w:r>
      <w:r>
        <w:rPr>
          <w:rFonts w:ascii="宋体" w:hAnsi="宋体" w:eastAsia="宋体" w:cs="宋体"/>
          <w:spacing w:val="-1"/>
          <w:sz w:val="24"/>
          <w:szCs w:val="24"/>
        </w:rPr>
        <w:t>通过采取以上的措施，可避免废机油对地下水产生影响。</w:t>
      </w:r>
    </w:p>
    <w:p w14:paraId="3EC6E344">
      <w:pPr>
        <w:spacing w:line="218" w:lineRule="auto"/>
        <w:jc w:val="right"/>
        <w:rPr>
          <w:rFonts w:ascii="宋体" w:hAnsi="宋体" w:eastAsia="宋体" w:cs="宋体"/>
          <w:sz w:val="24"/>
          <w:szCs w:val="24"/>
        </w:rPr>
      </w:pPr>
      <w:r>
        <w:rPr>
          <w:rFonts w:ascii="宋体" w:hAnsi="宋体" w:eastAsia="宋体" w:cs="宋体"/>
          <w:spacing w:val="-2"/>
          <w:sz w:val="24"/>
          <w:szCs w:val="24"/>
        </w:rPr>
        <w:t>综上，本项目各类固体废物均得到合理处置，不外排，对外环境影响较小。</w:t>
      </w:r>
    </w:p>
    <w:p w14:paraId="15DDCE75">
      <w:pPr>
        <w:spacing w:before="184" w:line="220" w:lineRule="auto"/>
        <w:ind w:left="509"/>
        <w:outlineLvl w:val="2"/>
        <w:rPr>
          <w:rFonts w:ascii="宋体" w:hAnsi="宋体" w:eastAsia="宋体" w:cs="宋体"/>
          <w:sz w:val="24"/>
          <w:szCs w:val="24"/>
        </w:rPr>
      </w:pPr>
      <w:bookmarkStart w:id="212" w:name="bookmark188"/>
      <w:bookmarkEnd w:id="212"/>
      <w:r>
        <w:rPr>
          <w:rFonts w:ascii="Times New Roman" w:hAnsi="Times New Roman" w:eastAsia="Times New Roman" w:cs="Times New Roman"/>
          <w:b/>
          <w:bCs/>
          <w:spacing w:val="-2"/>
          <w:sz w:val="24"/>
          <w:szCs w:val="24"/>
        </w:rPr>
        <w:t xml:space="preserve">13.4.5 </w:t>
      </w:r>
      <w:r>
        <w:rPr>
          <w:rFonts w:ascii="宋体" w:hAnsi="宋体" w:eastAsia="宋体" w:cs="宋体"/>
          <w:b/>
          <w:bCs/>
          <w:spacing w:val="-2"/>
          <w:sz w:val="24"/>
          <w:szCs w:val="24"/>
        </w:rPr>
        <w:t>生态环境影响分析</w:t>
      </w:r>
    </w:p>
    <w:p w14:paraId="04051502">
      <w:pPr>
        <w:spacing w:before="182" w:line="361" w:lineRule="auto"/>
        <w:ind w:left="22" w:right="53" w:firstLine="484"/>
        <w:jc w:val="both"/>
        <w:rPr>
          <w:rFonts w:ascii="宋体" w:hAnsi="宋体" w:eastAsia="宋体" w:cs="宋体"/>
          <w:sz w:val="24"/>
          <w:szCs w:val="24"/>
        </w:rPr>
      </w:pPr>
      <w:r>
        <w:rPr>
          <w:rFonts w:ascii="宋体" w:hAnsi="宋体" w:eastAsia="宋体" w:cs="宋体"/>
          <w:spacing w:val="-3"/>
          <w:sz w:val="24"/>
          <w:szCs w:val="24"/>
        </w:rPr>
        <w:t>项目区周围植物群落结构简单，植物种类单调，植被覆</w:t>
      </w:r>
      <w:r>
        <w:rPr>
          <w:rFonts w:ascii="宋体" w:hAnsi="宋体" w:eastAsia="宋体" w:cs="宋体"/>
          <w:spacing w:val="-4"/>
          <w:sz w:val="24"/>
          <w:szCs w:val="24"/>
        </w:rPr>
        <w:t>盖度低，经调查周围</w:t>
      </w:r>
      <w:r>
        <w:rPr>
          <w:rFonts w:ascii="宋体" w:hAnsi="宋体" w:eastAsia="宋体" w:cs="宋体"/>
          <w:sz w:val="24"/>
          <w:szCs w:val="24"/>
        </w:rPr>
        <w:t xml:space="preserve"> </w:t>
      </w:r>
      <w:r>
        <w:rPr>
          <w:rFonts w:ascii="宋体" w:hAnsi="宋体" w:eastAsia="宋体" w:cs="宋体"/>
          <w:spacing w:val="-3"/>
          <w:sz w:val="24"/>
          <w:szCs w:val="24"/>
        </w:rPr>
        <w:t>没有珍稀濒危及受保护的植物物种。本工程对周围区域的生态环境影响程度相对</w:t>
      </w:r>
      <w:r>
        <w:rPr>
          <w:rFonts w:ascii="宋体" w:hAnsi="宋体" w:eastAsia="宋体" w:cs="宋体"/>
          <w:spacing w:val="1"/>
          <w:sz w:val="24"/>
          <w:szCs w:val="24"/>
        </w:rPr>
        <w:t xml:space="preserve"> </w:t>
      </w:r>
      <w:r>
        <w:rPr>
          <w:rFonts w:ascii="宋体" w:hAnsi="宋体" w:eastAsia="宋体" w:cs="宋体"/>
          <w:spacing w:val="-3"/>
          <w:sz w:val="24"/>
          <w:szCs w:val="24"/>
        </w:rPr>
        <w:t>较轻，在评价区生态环境系统承受范围内，且随着复垦、绿化等生态环境保护措</w:t>
      </w:r>
      <w:r>
        <w:rPr>
          <w:rFonts w:ascii="宋体" w:hAnsi="宋体" w:eastAsia="宋体" w:cs="宋体"/>
          <w:spacing w:val="1"/>
          <w:sz w:val="24"/>
          <w:szCs w:val="24"/>
        </w:rPr>
        <w:t xml:space="preserve"> </w:t>
      </w:r>
      <w:r>
        <w:rPr>
          <w:rFonts w:ascii="宋体" w:hAnsi="宋体" w:eastAsia="宋体" w:cs="宋体"/>
          <w:spacing w:val="-1"/>
          <w:sz w:val="24"/>
          <w:szCs w:val="24"/>
        </w:rPr>
        <w:t>施的实施，区域生态环境将趋于恢复。</w:t>
      </w:r>
    </w:p>
    <w:p w14:paraId="2326A65D">
      <w:pPr>
        <w:spacing w:before="76" w:line="222" w:lineRule="auto"/>
        <w:ind w:left="32"/>
        <w:outlineLvl w:val="1"/>
        <w:rPr>
          <w:rFonts w:ascii="黑体" w:hAnsi="黑体" w:eastAsia="黑体" w:cs="黑体"/>
          <w:sz w:val="28"/>
          <w:szCs w:val="28"/>
        </w:rPr>
      </w:pPr>
      <w:bookmarkStart w:id="213" w:name="bookmark189"/>
      <w:bookmarkEnd w:id="213"/>
      <w:r>
        <w:rPr>
          <w:rFonts w:ascii="Times New Roman" w:hAnsi="Times New Roman" w:eastAsia="Times New Roman" w:cs="Times New Roman"/>
          <w:b/>
          <w:bCs/>
          <w:spacing w:val="-3"/>
          <w:sz w:val="28"/>
          <w:szCs w:val="28"/>
        </w:rPr>
        <w:t xml:space="preserve">13.5 </w:t>
      </w:r>
      <w:r>
        <w:rPr>
          <w:rFonts w:ascii="黑体" w:hAnsi="黑体" w:eastAsia="黑体" w:cs="黑体"/>
          <w:b/>
          <w:bCs/>
          <w:spacing w:val="-3"/>
          <w:sz w:val="28"/>
          <w:szCs w:val="28"/>
        </w:rPr>
        <w:t>公众意见采纳情况</w:t>
      </w:r>
    </w:p>
    <w:p w14:paraId="3BE30E40">
      <w:pPr>
        <w:spacing w:before="259" w:line="360" w:lineRule="auto"/>
        <w:ind w:left="21" w:right="53" w:firstLine="481"/>
        <w:jc w:val="both"/>
        <w:rPr>
          <w:rFonts w:ascii="宋体" w:hAnsi="宋体" w:eastAsia="宋体" w:cs="宋体"/>
          <w:sz w:val="24"/>
          <w:szCs w:val="24"/>
        </w:rPr>
      </w:pPr>
      <w:r>
        <w:rPr>
          <w:rFonts w:ascii="宋体" w:hAnsi="宋体" w:eastAsia="宋体" w:cs="宋体"/>
          <w:spacing w:val="-3"/>
          <w:sz w:val="24"/>
          <w:szCs w:val="24"/>
        </w:rPr>
        <w:t>针对本项目公众参与，内蒙古玉龙矿业股份有限公司对该项目采</w:t>
      </w:r>
      <w:r>
        <w:rPr>
          <w:rFonts w:ascii="宋体" w:hAnsi="宋体" w:eastAsia="宋体" w:cs="宋体"/>
          <w:spacing w:val="-4"/>
          <w:sz w:val="24"/>
          <w:szCs w:val="24"/>
        </w:rPr>
        <w:t>取了网上公</w:t>
      </w:r>
      <w:r>
        <w:rPr>
          <w:rFonts w:ascii="宋体" w:hAnsi="宋体" w:eastAsia="宋体" w:cs="宋体"/>
          <w:sz w:val="24"/>
          <w:szCs w:val="24"/>
        </w:rPr>
        <w:t xml:space="preserve"> </w:t>
      </w:r>
      <w:r>
        <w:rPr>
          <w:rFonts w:ascii="宋体" w:hAnsi="宋体" w:eastAsia="宋体" w:cs="宋体"/>
          <w:spacing w:val="-3"/>
          <w:sz w:val="24"/>
          <w:szCs w:val="24"/>
        </w:rPr>
        <w:t>示、政府网站全文公示及张贴公示等方式进行了公众意见的调查，在环评期间共</w:t>
      </w:r>
      <w:r>
        <w:rPr>
          <w:rFonts w:ascii="宋体" w:hAnsi="宋体" w:eastAsia="宋体" w:cs="宋体"/>
          <w:spacing w:val="2"/>
          <w:sz w:val="24"/>
          <w:szCs w:val="24"/>
        </w:rPr>
        <w:t xml:space="preserve"> </w:t>
      </w:r>
      <w:r>
        <w:rPr>
          <w:rFonts w:ascii="宋体" w:hAnsi="宋体" w:eastAsia="宋体" w:cs="宋体"/>
          <w:spacing w:val="5"/>
          <w:sz w:val="24"/>
          <w:szCs w:val="24"/>
        </w:rPr>
        <w:t>进行了</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次公示。</w:t>
      </w:r>
    </w:p>
    <w:p w14:paraId="20A53B58">
      <w:pPr>
        <w:spacing w:line="360" w:lineRule="auto"/>
        <w:ind w:left="23" w:right="53" w:firstLine="475"/>
        <w:jc w:val="both"/>
        <w:rPr>
          <w:rFonts w:ascii="宋体" w:hAnsi="宋体" w:eastAsia="宋体" w:cs="宋体"/>
          <w:sz w:val="24"/>
          <w:szCs w:val="24"/>
        </w:rPr>
      </w:pP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w:t>
      </w:r>
      <w:r>
        <w:rPr>
          <w:rFonts w:ascii="宋体" w:hAnsi="宋体" w:eastAsia="宋体" w:cs="宋体"/>
          <w:spacing w:val="-17"/>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月</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18  </w:t>
      </w:r>
      <w:r>
        <w:rPr>
          <w:rFonts w:ascii="宋体" w:hAnsi="宋体" w:eastAsia="宋体" w:cs="宋体"/>
          <w:spacing w:val="-2"/>
          <w:sz w:val="24"/>
          <w:szCs w:val="24"/>
        </w:rPr>
        <w:t>日，本项目进行了首次环境影响评价信息公开。公开内容</w:t>
      </w:r>
      <w:r>
        <w:rPr>
          <w:rFonts w:ascii="宋体" w:hAnsi="宋体" w:eastAsia="宋体" w:cs="宋体"/>
          <w:sz w:val="24"/>
          <w:szCs w:val="24"/>
        </w:rPr>
        <w:t xml:space="preserve"> </w:t>
      </w:r>
      <w:r>
        <w:rPr>
          <w:rFonts w:ascii="宋体" w:hAnsi="宋体" w:eastAsia="宋体" w:cs="宋体"/>
          <w:spacing w:val="-3"/>
          <w:sz w:val="24"/>
          <w:szCs w:val="24"/>
        </w:rPr>
        <w:t>包括建设项目基本情况、建设单位名称和联系方式、环境影响报告书编制单位的</w:t>
      </w:r>
      <w:r>
        <w:rPr>
          <w:rFonts w:ascii="宋体" w:hAnsi="宋体" w:eastAsia="宋体" w:cs="宋体"/>
          <w:spacing w:val="1"/>
          <w:sz w:val="24"/>
          <w:szCs w:val="24"/>
        </w:rPr>
        <w:t xml:space="preserve"> </w:t>
      </w:r>
      <w:r>
        <w:rPr>
          <w:rFonts w:ascii="宋体" w:hAnsi="宋体" w:eastAsia="宋体" w:cs="宋体"/>
          <w:spacing w:val="-1"/>
          <w:sz w:val="24"/>
          <w:szCs w:val="24"/>
        </w:rPr>
        <w:t>名称、公众意见表的网络链接以及提交公众意见表的方式和途径。</w:t>
      </w:r>
    </w:p>
    <w:p w14:paraId="68F870D3">
      <w:pPr>
        <w:spacing w:before="8" w:line="359" w:lineRule="auto"/>
        <w:ind w:left="19" w:right="53" w:firstLine="485"/>
        <w:jc w:val="both"/>
        <w:rPr>
          <w:rFonts w:ascii="宋体" w:hAnsi="宋体" w:eastAsia="宋体" w:cs="宋体"/>
          <w:sz w:val="24"/>
          <w:szCs w:val="24"/>
        </w:rPr>
      </w:pPr>
      <w:r>
        <w:rPr>
          <w:rFonts w:ascii="宋体" w:hAnsi="宋体" w:eastAsia="宋体" w:cs="宋体"/>
          <w:spacing w:val="-3"/>
          <w:sz w:val="24"/>
          <w:szCs w:val="24"/>
        </w:rPr>
        <w:t>本项目征求意见稿完成后进行了第二次公示，公示内容包括环</w:t>
      </w:r>
      <w:r>
        <w:rPr>
          <w:rFonts w:ascii="宋体" w:hAnsi="宋体" w:eastAsia="宋体" w:cs="宋体"/>
          <w:spacing w:val="-4"/>
          <w:sz w:val="24"/>
          <w:szCs w:val="24"/>
        </w:rPr>
        <w:t>境影响报告书</w:t>
      </w:r>
      <w:r>
        <w:rPr>
          <w:rFonts w:ascii="宋体" w:hAnsi="宋体" w:eastAsia="宋体" w:cs="宋体"/>
          <w:sz w:val="24"/>
          <w:szCs w:val="24"/>
        </w:rPr>
        <w:t xml:space="preserve"> </w:t>
      </w:r>
      <w:r>
        <w:rPr>
          <w:rFonts w:ascii="宋体" w:hAnsi="宋体" w:eastAsia="宋体" w:cs="宋体"/>
          <w:spacing w:val="-3"/>
          <w:sz w:val="24"/>
          <w:szCs w:val="24"/>
        </w:rPr>
        <w:t>征求意见稿全文的网络链接及查阅纸质报告书的方式和途径、征求意见的公众范</w:t>
      </w:r>
      <w:r>
        <w:rPr>
          <w:rFonts w:ascii="宋体" w:hAnsi="宋体" w:eastAsia="宋体" w:cs="宋体"/>
          <w:spacing w:val="5"/>
          <w:sz w:val="24"/>
          <w:szCs w:val="24"/>
        </w:rPr>
        <w:t xml:space="preserve"> </w:t>
      </w:r>
      <w:r>
        <w:rPr>
          <w:rFonts w:ascii="宋体" w:hAnsi="宋体" w:eastAsia="宋体" w:cs="宋体"/>
          <w:spacing w:val="-3"/>
          <w:sz w:val="24"/>
          <w:szCs w:val="24"/>
        </w:rPr>
        <w:t>围、公众意见表的网络链接、公众提出意见的方式和途径以及公众提出意见的起</w:t>
      </w:r>
      <w:r>
        <w:rPr>
          <w:rFonts w:ascii="宋体" w:hAnsi="宋体" w:eastAsia="宋体" w:cs="宋体"/>
          <w:spacing w:val="5"/>
          <w:sz w:val="24"/>
          <w:szCs w:val="24"/>
        </w:rPr>
        <w:t xml:space="preserve"> </w:t>
      </w:r>
      <w:r>
        <w:rPr>
          <w:rFonts w:ascii="宋体" w:hAnsi="宋体" w:eastAsia="宋体" w:cs="宋体"/>
          <w:spacing w:val="-1"/>
          <w:sz w:val="24"/>
          <w:szCs w:val="24"/>
        </w:rPr>
        <w:t>止时间。网络公示时间为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2021</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年</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56"/>
          <w:sz w:val="24"/>
          <w:szCs w:val="24"/>
        </w:rPr>
        <w:t xml:space="preserve"> </w:t>
      </w:r>
      <w:r>
        <w:rPr>
          <w:rFonts w:ascii="宋体" w:hAnsi="宋体" w:eastAsia="宋体" w:cs="宋体"/>
          <w:spacing w:val="-1"/>
          <w:sz w:val="24"/>
          <w:szCs w:val="24"/>
        </w:rPr>
        <w:t>日起</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个工作日。报纸公示时间为</w:t>
      </w:r>
      <w:r>
        <w:rPr>
          <w:rFonts w:ascii="宋体" w:hAnsi="宋体" w:eastAsia="宋体" w:cs="宋体"/>
          <w:sz w:val="24"/>
          <w:szCs w:val="24"/>
        </w:rPr>
        <w:t xml:space="preserve"> </w:t>
      </w:r>
      <w:r>
        <w:rPr>
          <w:rFonts w:ascii="Times New Roman" w:hAnsi="Times New Roman" w:eastAsia="Times New Roman" w:cs="Times New Roman"/>
          <w:spacing w:val="-7"/>
          <w:sz w:val="24"/>
          <w:szCs w:val="24"/>
        </w:rPr>
        <w:t>2021</w:t>
      </w:r>
      <w:r>
        <w:rPr>
          <w:rFonts w:ascii="Times New Roman" w:hAnsi="Times New Roman" w:eastAsia="Times New Roman" w:cs="Times New Roman"/>
          <w:spacing w:val="33"/>
          <w:w w:val="101"/>
          <w:sz w:val="24"/>
          <w:szCs w:val="24"/>
        </w:rPr>
        <w:t xml:space="preserve"> </w:t>
      </w:r>
      <w:r>
        <w:rPr>
          <w:rFonts w:ascii="宋体" w:hAnsi="宋体" w:eastAsia="宋体" w:cs="宋体"/>
          <w:spacing w:val="-7"/>
          <w:sz w:val="24"/>
          <w:szCs w:val="24"/>
        </w:rPr>
        <w:t>年</w:t>
      </w:r>
      <w:r>
        <w:rPr>
          <w:rFonts w:ascii="宋体" w:hAnsi="宋体" w:eastAsia="宋体" w:cs="宋体"/>
          <w:spacing w:val="-25"/>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18"/>
          <w:sz w:val="24"/>
          <w:szCs w:val="24"/>
        </w:rPr>
        <w:t xml:space="preserve"> </w:t>
      </w:r>
      <w:r>
        <w:rPr>
          <w:rFonts w:ascii="宋体" w:hAnsi="宋体" w:eastAsia="宋体" w:cs="宋体"/>
          <w:spacing w:val="-7"/>
          <w:sz w:val="24"/>
          <w:szCs w:val="24"/>
        </w:rPr>
        <w:t>月</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26  </w:t>
      </w:r>
      <w:r>
        <w:rPr>
          <w:rFonts w:ascii="宋体" w:hAnsi="宋体" w:eastAsia="宋体" w:cs="宋体"/>
          <w:spacing w:val="-7"/>
          <w:sz w:val="24"/>
          <w:szCs w:val="24"/>
        </w:rPr>
        <w:t>日和</w:t>
      </w:r>
      <w:r>
        <w:rPr>
          <w:rFonts w:ascii="宋体" w:hAnsi="宋体" w:eastAsia="宋体" w:cs="宋体"/>
          <w:spacing w:val="-27"/>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29  </w:t>
      </w:r>
      <w:r>
        <w:rPr>
          <w:rFonts w:ascii="宋体" w:hAnsi="宋体" w:eastAsia="宋体" w:cs="宋体"/>
          <w:spacing w:val="-7"/>
          <w:sz w:val="24"/>
          <w:szCs w:val="24"/>
        </w:rPr>
        <w:t>日，张贴公示时间为于</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2021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年</w:t>
      </w:r>
      <w:r>
        <w:rPr>
          <w:rFonts w:ascii="宋体" w:hAnsi="宋体" w:eastAsia="宋体" w:cs="宋体"/>
          <w:spacing w:val="-25"/>
          <w:sz w:val="24"/>
          <w:szCs w:val="24"/>
        </w:rPr>
        <w:t xml:space="preserve"> </w:t>
      </w:r>
      <w:r>
        <w:rPr>
          <w:rFonts w:ascii="Times New Roman" w:hAnsi="Times New Roman" w:eastAsia="Times New Roman" w:cs="Times New Roman"/>
          <w:spacing w:val="-7"/>
          <w:sz w:val="24"/>
          <w:szCs w:val="24"/>
        </w:rPr>
        <w:t>11</w:t>
      </w:r>
      <w:r>
        <w:rPr>
          <w:rFonts w:ascii="Times New Roman" w:hAnsi="Times New Roman" w:eastAsia="Times New Roman" w:cs="Times New Roman"/>
          <w:spacing w:val="18"/>
          <w:sz w:val="24"/>
          <w:szCs w:val="24"/>
        </w:rPr>
        <w:t xml:space="preserve"> </w:t>
      </w:r>
      <w:r>
        <w:rPr>
          <w:rFonts w:ascii="宋体" w:hAnsi="宋体" w:eastAsia="宋体" w:cs="宋体"/>
          <w:spacing w:val="-7"/>
          <w:sz w:val="24"/>
          <w:szCs w:val="24"/>
        </w:rPr>
        <w:t>月</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25  </w:t>
      </w:r>
      <w:r>
        <w:rPr>
          <w:rFonts w:ascii="宋体" w:hAnsi="宋体" w:eastAsia="宋体" w:cs="宋体"/>
          <w:spacing w:val="-7"/>
          <w:sz w:val="24"/>
          <w:szCs w:val="24"/>
        </w:rPr>
        <w:t>日起</w:t>
      </w:r>
      <w:r>
        <w:rPr>
          <w:rFonts w:ascii="宋体" w:hAnsi="宋体" w:eastAsia="宋体" w:cs="宋体"/>
          <w:spacing w:val="-25"/>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个工作日。</w:t>
      </w:r>
    </w:p>
    <w:p w14:paraId="50DE9FF7">
      <w:pPr>
        <w:spacing w:line="219" w:lineRule="auto"/>
        <w:ind w:left="510"/>
        <w:rPr>
          <w:rFonts w:ascii="宋体" w:hAnsi="宋体" w:eastAsia="宋体" w:cs="宋体"/>
          <w:sz w:val="24"/>
          <w:szCs w:val="24"/>
        </w:rPr>
      </w:pPr>
      <w:r>
        <w:rPr>
          <w:rFonts w:ascii="宋体" w:hAnsi="宋体" w:eastAsia="宋体" w:cs="宋体"/>
          <w:spacing w:val="-2"/>
          <w:sz w:val="24"/>
          <w:szCs w:val="24"/>
        </w:rPr>
        <w:t>公示期间均无反馈意见。</w:t>
      </w:r>
    </w:p>
    <w:p w14:paraId="429A14C1">
      <w:pPr>
        <w:spacing w:line="219" w:lineRule="auto"/>
        <w:rPr>
          <w:rFonts w:ascii="宋体" w:hAnsi="宋体" w:eastAsia="宋体" w:cs="宋体"/>
          <w:sz w:val="24"/>
          <w:szCs w:val="24"/>
        </w:rPr>
        <w:sectPr>
          <w:headerReference r:id="rId445" w:type="default"/>
          <w:footerReference r:id="rId446" w:type="default"/>
          <w:pgSz w:w="11906" w:h="16839"/>
          <w:pgMar w:top="1208" w:right="1745" w:bottom="1358" w:left="1785" w:header="825" w:footer="1195" w:gutter="0"/>
          <w:cols w:space="720" w:num="1"/>
        </w:sectPr>
      </w:pPr>
    </w:p>
    <w:p w14:paraId="45523E5B">
      <w:pPr>
        <w:spacing w:before="271" w:line="222" w:lineRule="auto"/>
        <w:ind w:left="32"/>
        <w:outlineLvl w:val="1"/>
        <w:rPr>
          <w:rFonts w:ascii="黑体" w:hAnsi="黑体" w:eastAsia="黑体" w:cs="黑体"/>
          <w:sz w:val="28"/>
          <w:szCs w:val="28"/>
        </w:rPr>
      </w:pPr>
      <w:bookmarkStart w:id="214" w:name="bookmark190"/>
      <w:bookmarkEnd w:id="214"/>
      <w:r>
        <w:rPr>
          <w:rFonts w:ascii="Times New Roman" w:hAnsi="Times New Roman" w:eastAsia="Times New Roman" w:cs="Times New Roman"/>
          <w:b/>
          <w:bCs/>
          <w:spacing w:val="-3"/>
          <w:sz w:val="28"/>
          <w:szCs w:val="28"/>
        </w:rPr>
        <w:t xml:space="preserve">13.6 </w:t>
      </w:r>
      <w:r>
        <w:rPr>
          <w:rFonts w:ascii="黑体" w:hAnsi="黑体" w:eastAsia="黑体" w:cs="黑体"/>
          <w:b/>
          <w:bCs/>
          <w:spacing w:val="-3"/>
          <w:sz w:val="28"/>
          <w:szCs w:val="28"/>
        </w:rPr>
        <w:t>环境经济损益分析</w:t>
      </w:r>
    </w:p>
    <w:p w14:paraId="4D3F5E8F">
      <w:pPr>
        <w:spacing w:before="257" w:line="360" w:lineRule="auto"/>
        <w:ind w:left="23" w:firstLine="480"/>
        <w:rPr>
          <w:rFonts w:ascii="宋体" w:hAnsi="宋体" w:eastAsia="宋体" w:cs="宋体"/>
          <w:sz w:val="24"/>
          <w:szCs w:val="24"/>
        </w:rPr>
      </w:pPr>
      <w:r>
        <w:rPr>
          <w:rFonts w:ascii="宋体" w:hAnsi="宋体" w:eastAsia="宋体" w:cs="宋体"/>
          <w:spacing w:val="-9"/>
          <w:sz w:val="24"/>
          <w:szCs w:val="24"/>
        </w:rPr>
        <w:t>技改工程新增（包含以新带老）环保投资</w:t>
      </w:r>
      <w:r>
        <w:rPr>
          <w:rFonts w:ascii="宋体" w:hAnsi="宋体" w:eastAsia="宋体" w:cs="宋体"/>
          <w:spacing w:val="-27"/>
          <w:sz w:val="24"/>
          <w:szCs w:val="24"/>
        </w:rPr>
        <w:t xml:space="preserve"> </w:t>
      </w:r>
      <w:r>
        <w:rPr>
          <w:rFonts w:ascii="Times New Roman" w:hAnsi="Times New Roman" w:eastAsia="Times New Roman" w:cs="Times New Roman"/>
          <w:spacing w:val="-9"/>
          <w:sz w:val="24"/>
          <w:szCs w:val="24"/>
        </w:rPr>
        <w:t>12.5</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万元，占项目总投资的</w:t>
      </w:r>
      <w:r>
        <w:rPr>
          <w:rFonts w:ascii="宋体" w:hAnsi="宋体" w:eastAsia="宋体" w:cs="宋体"/>
          <w:spacing w:val="-52"/>
          <w:sz w:val="24"/>
          <w:szCs w:val="24"/>
        </w:rPr>
        <w:t xml:space="preserve"> </w:t>
      </w:r>
      <w:r>
        <w:rPr>
          <w:rFonts w:ascii="Times New Roman" w:hAnsi="Times New Roman" w:eastAsia="Times New Roman" w:cs="Times New Roman"/>
          <w:spacing w:val="-9"/>
          <w:sz w:val="24"/>
          <w:szCs w:val="24"/>
        </w:rPr>
        <w:t>0.39%</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1"/>
          <w:sz w:val="24"/>
          <w:szCs w:val="24"/>
        </w:rPr>
        <w:t>环境经济损益分析主要体现在以下几方面：</w:t>
      </w:r>
    </w:p>
    <w:p w14:paraId="7E5E9014">
      <w:pPr>
        <w:spacing w:line="219"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）水环境效益</w:t>
      </w:r>
    </w:p>
    <w:p w14:paraId="5AA5B72D">
      <w:pPr>
        <w:spacing w:before="182" w:line="360" w:lineRule="auto"/>
        <w:ind w:left="22" w:firstLine="484"/>
        <w:rPr>
          <w:rFonts w:ascii="宋体" w:hAnsi="宋体" w:eastAsia="宋体" w:cs="宋体"/>
          <w:sz w:val="24"/>
          <w:szCs w:val="24"/>
        </w:rPr>
      </w:pPr>
      <w:r>
        <w:rPr>
          <w:rFonts w:ascii="宋体" w:hAnsi="宋体" w:eastAsia="宋体" w:cs="宋体"/>
          <w:spacing w:val="-4"/>
          <w:sz w:val="24"/>
          <w:szCs w:val="24"/>
        </w:rPr>
        <w:t>项目尾矿浆通过管道输送至旋流除砂、浓密过滤后，滤液排入</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50m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2"/>
          <w:position w:val="8"/>
          <w:sz w:val="15"/>
          <w:szCs w:val="15"/>
        </w:rPr>
        <w:t xml:space="preserve"> </w:t>
      </w:r>
      <w:r>
        <w:rPr>
          <w:rFonts w:ascii="宋体" w:hAnsi="宋体" w:eastAsia="宋体" w:cs="宋体"/>
          <w:spacing w:val="-5"/>
          <w:sz w:val="24"/>
          <w:szCs w:val="24"/>
        </w:rPr>
        <w:t>循环水</w:t>
      </w:r>
      <w:r>
        <w:rPr>
          <w:rFonts w:ascii="宋体" w:hAnsi="宋体" w:eastAsia="宋体" w:cs="宋体"/>
          <w:sz w:val="24"/>
          <w:szCs w:val="24"/>
        </w:rPr>
        <w:t xml:space="preserve"> </w:t>
      </w:r>
      <w:r>
        <w:rPr>
          <w:rFonts w:ascii="宋体" w:hAnsi="宋体" w:eastAsia="宋体" w:cs="宋体"/>
          <w:spacing w:val="-3"/>
          <w:sz w:val="24"/>
          <w:szCs w:val="24"/>
        </w:rPr>
        <w:t>池，由泵打入高位水池，然后作为选矿生产水回用；精矿、中矿经过浓缩、过滤</w:t>
      </w:r>
      <w:r>
        <w:rPr>
          <w:rFonts w:ascii="宋体" w:hAnsi="宋体" w:eastAsia="宋体" w:cs="宋体"/>
          <w:spacing w:val="1"/>
          <w:sz w:val="24"/>
          <w:szCs w:val="24"/>
        </w:rPr>
        <w:t xml:space="preserve"> </w:t>
      </w:r>
      <w:r>
        <w:rPr>
          <w:rFonts w:ascii="宋体" w:hAnsi="宋体" w:eastAsia="宋体" w:cs="宋体"/>
          <w:spacing w:val="-3"/>
          <w:sz w:val="24"/>
          <w:szCs w:val="24"/>
        </w:rPr>
        <w:t>后，滤液循环使用。生活污水通过地埋式生化处理装置处理后，出水达到《城市</w:t>
      </w:r>
      <w:r>
        <w:rPr>
          <w:rFonts w:ascii="宋体" w:hAnsi="宋体" w:eastAsia="宋体" w:cs="宋体"/>
          <w:spacing w:val="1"/>
          <w:sz w:val="24"/>
          <w:szCs w:val="24"/>
        </w:rPr>
        <w:t xml:space="preserve"> </w:t>
      </w:r>
      <w:r>
        <w:rPr>
          <w:rFonts w:ascii="宋体" w:hAnsi="宋体" w:eastAsia="宋体" w:cs="宋体"/>
          <w:spacing w:val="3"/>
          <w:sz w:val="24"/>
          <w:szCs w:val="24"/>
        </w:rPr>
        <w:t>杂用水水质标准》（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/T18920-2002</w:t>
      </w:r>
      <w:r>
        <w:rPr>
          <w:rFonts w:ascii="宋体" w:hAnsi="宋体" w:eastAsia="宋体" w:cs="宋体"/>
          <w:spacing w:val="3"/>
          <w:sz w:val="24"/>
          <w:szCs w:val="24"/>
        </w:rPr>
        <w:t>）后作为厂区杂用</w:t>
      </w:r>
      <w:r>
        <w:rPr>
          <w:rFonts w:ascii="宋体" w:hAnsi="宋体" w:eastAsia="宋体" w:cs="宋体"/>
          <w:spacing w:val="2"/>
          <w:sz w:val="24"/>
          <w:szCs w:val="24"/>
        </w:rPr>
        <w:t>水（冬季多余水量可储</w:t>
      </w:r>
      <w:r>
        <w:rPr>
          <w:rFonts w:ascii="宋体" w:hAnsi="宋体" w:eastAsia="宋体" w:cs="宋体"/>
          <w:sz w:val="24"/>
          <w:szCs w:val="24"/>
        </w:rPr>
        <w:t xml:space="preserve"> </w:t>
      </w:r>
      <w:r>
        <w:rPr>
          <w:rFonts w:ascii="宋体" w:hAnsi="宋体" w:eastAsia="宋体" w:cs="宋体"/>
          <w:spacing w:val="-8"/>
          <w:sz w:val="24"/>
          <w:szCs w:val="24"/>
        </w:rPr>
        <w:t>存在</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360m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32"/>
          <w:position w:val="8"/>
          <w:sz w:val="15"/>
          <w:szCs w:val="15"/>
        </w:rPr>
        <w:t xml:space="preserve"> </w:t>
      </w:r>
      <w:r>
        <w:rPr>
          <w:rFonts w:ascii="宋体" w:hAnsi="宋体" w:eastAsia="宋体" w:cs="宋体"/>
          <w:spacing w:val="-8"/>
          <w:sz w:val="24"/>
          <w:szCs w:val="24"/>
        </w:rPr>
        <w:t>的蓄水池中）。通过采取以上防治措施，可防止水污染，保护水环境。</w:t>
      </w:r>
    </w:p>
    <w:p w14:paraId="779B2EBE">
      <w:pPr>
        <w:spacing w:line="220" w:lineRule="auto"/>
        <w:ind w:left="5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）环境空气效益</w:t>
      </w:r>
    </w:p>
    <w:p w14:paraId="6A73E22B">
      <w:pPr>
        <w:spacing w:before="182" w:line="360" w:lineRule="auto"/>
        <w:ind w:left="22" w:right="80" w:firstLine="480"/>
        <w:rPr>
          <w:rFonts w:ascii="宋体" w:hAnsi="宋体" w:eastAsia="宋体" w:cs="宋体"/>
          <w:sz w:val="24"/>
          <w:szCs w:val="24"/>
        </w:rPr>
      </w:pPr>
      <w:r>
        <w:rPr>
          <w:rFonts w:ascii="宋体" w:hAnsi="宋体" w:eastAsia="宋体" w:cs="宋体"/>
          <w:spacing w:val="-3"/>
          <w:sz w:val="24"/>
          <w:szCs w:val="24"/>
        </w:rPr>
        <w:t>粗碎车间和中间堆场设有布袋除尘器和密闭通廊，有效减少粉尘</w:t>
      </w:r>
      <w:r>
        <w:rPr>
          <w:rFonts w:ascii="宋体" w:hAnsi="宋体" w:eastAsia="宋体" w:cs="宋体"/>
          <w:spacing w:val="-4"/>
          <w:sz w:val="24"/>
          <w:szCs w:val="24"/>
        </w:rPr>
        <w:t>的产生。原</w:t>
      </w:r>
      <w:r>
        <w:rPr>
          <w:rFonts w:ascii="宋体" w:hAnsi="宋体" w:eastAsia="宋体" w:cs="宋体"/>
          <w:sz w:val="24"/>
          <w:szCs w:val="24"/>
        </w:rPr>
        <w:t xml:space="preserve"> </w:t>
      </w:r>
      <w:r>
        <w:rPr>
          <w:rFonts w:ascii="宋体" w:hAnsi="宋体" w:eastAsia="宋体" w:cs="宋体"/>
          <w:spacing w:val="-3"/>
          <w:sz w:val="24"/>
          <w:szCs w:val="24"/>
        </w:rPr>
        <w:t>矿堆场、尾矿库、运输道路等采取洒水抑尘或覆土绿化等措施，可有效防止环境</w:t>
      </w:r>
      <w:r>
        <w:rPr>
          <w:rFonts w:ascii="宋体" w:hAnsi="宋体" w:eastAsia="宋体" w:cs="宋体"/>
          <w:spacing w:val="1"/>
          <w:sz w:val="24"/>
          <w:szCs w:val="24"/>
        </w:rPr>
        <w:t xml:space="preserve"> </w:t>
      </w:r>
      <w:r>
        <w:rPr>
          <w:rFonts w:ascii="宋体" w:hAnsi="宋体" w:eastAsia="宋体" w:cs="宋体"/>
          <w:spacing w:val="-1"/>
          <w:sz w:val="24"/>
          <w:szCs w:val="24"/>
        </w:rPr>
        <w:t>空气受到影响，保护环境空气。</w:t>
      </w:r>
    </w:p>
    <w:p w14:paraId="35B72D77">
      <w:pPr>
        <w:spacing w:line="220" w:lineRule="auto"/>
        <w:ind w:left="5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）生态治理效益分析</w:t>
      </w:r>
    </w:p>
    <w:p w14:paraId="11EE9CE8">
      <w:pPr>
        <w:spacing w:before="182" w:line="360" w:lineRule="auto"/>
        <w:ind w:left="24" w:right="80" w:firstLine="480"/>
        <w:rPr>
          <w:rFonts w:ascii="宋体" w:hAnsi="宋体" w:eastAsia="宋体" w:cs="宋体"/>
          <w:sz w:val="24"/>
          <w:szCs w:val="24"/>
        </w:rPr>
      </w:pPr>
      <w:r>
        <w:rPr>
          <w:rFonts w:ascii="宋体" w:hAnsi="宋体" w:eastAsia="宋体" w:cs="宋体"/>
          <w:spacing w:val="-3"/>
          <w:sz w:val="24"/>
          <w:szCs w:val="24"/>
        </w:rPr>
        <w:t>本项目通过进行大量的生态恢复及绿化工作，严格按照设计、</w:t>
      </w:r>
      <w:r>
        <w:rPr>
          <w:rFonts w:ascii="宋体" w:hAnsi="宋体" w:eastAsia="宋体" w:cs="宋体"/>
          <w:spacing w:val="-4"/>
          <w:sz w:val="24"/>
          <w:szCs w:val="24"/>
        </w:rPr>
        <w:t>土地复垦及水</w:t>
      </w:r>
      <w:r>
        <w:rPr>
          <w:rFonts w:ascii="宋体" w:hAnsi="宋体" w:eastAsia="宋体" w:cs="宋体"/>
          <w:sz w:val="24"/>
          <w:szCs w:val="24"/>
        </w:rPr>
        <w:t xml:space="preserve"> </w:t>
      </w:r>
      <w:r>
        <w:rPr>
          <w:rFonts w:ascii="宋体" w:hAnsi="宋体" w:eastAsia="宋体" w:cs="宋体"/>
          <w:spacing w:val="-3"/>
          <w:sz w:val="24"/>
          <w:szCs w:val="24"/>
        </w:rPr>
        <w:t>土保持方案等进行分阶段恢复植被等，可减轻本项目占地区的水土流失，改善本</w:t>
      </w:r>
      <w:r>
        <w:rPr>
          <w:rFonts w:ascii="宋体" w:hAnsi="宋体" w:eastAsia="宋体" w:cs="宋体"/>
          <w:sz w:val="24"/>
          <w:szCs w:val="24"/>
        </w:rPr>
        <w:t xml:space="preserve"> </w:t>
      </w:r>
      <w:r>
        <w:rPr>
          <w:rFonts w:ascii="宋体" w:hAnsi="宋体" w:eastAsia="宋体" w:cs="宋体"/>
          <w:spacing w:val="-1"/>
          <w:sz w:val="24"/>
          <w:szCs w:val="24"/>
        </w:rPr>
        <w:t>项目项目区及周边的生态环境。</w:t>
      </w:r>
    </w:p>
    <w:p w14:paraId="65E18915">
      <w:pPr>
        <w:spacing w:before="2" w:line="361" w:lineRule="auto"/>
        <w:ind w:left="29" w:right="80" w:firstLine="492"/>
        <w:rPr>
          <w:rFonts w:ascii="宋体" w:hAnsi="宋体" w:eastAsia="宋体" w:cs="宋体"/>
          <w:sz w:val="24"/>
          <w:szCs w:val="24"/>
        </w:rPr>
      </w:pPr>
      <w:r>
        <w:rPr>
          <w:rFonts w:ascii="宋体" w:hAnsi="宋体" w:eastAsia="宋体" w:cs="宋体"/>
          <w:spacing w:val="-4"/>
          <w:sz w:val="24"/>
          <w:szCs w:val="24"/>
        </w:rPr>
        <w:t>因此，环保投资是必要的。只有落实环境费用，才能控制该项目产生环境负</w:t>
      </w:r>
      <w:r>
        <w:rPr>
          <w:rFonts w:ascii="宋体" w:hAnsi="宋体" w:eastAsia="宋体" w:cs="宋体"/>
          <w:spacing w:val="9"/>
          <w:sz w:val="24"/>
          <w:szCs w:val="24"/>
        </w:rPr>
        <w:t xml:space="preserve"> </w:t>
      </w:r>
      <w:r>
        <w:rPr>
          <w:rFonts w:ascii="宋体" w:hAnsi="宋体" w:eastAsia="宋体" w:cs="宋体"/>
          <w:spacing w:val="-1"/>
          <w:sz w:val="24"/>
          <w:szCs w:val="24"/>
        </w:rPr>
        <w:t>效益的经济活动，做到经济效益、环境效益和社会效益的统一。</w:t>
      </w:r>
    </w:p>
    <w:p w14:paraId="5B56F072">
      <w:pPr>
        <w:spacing w:before="78" w:line="222" w:lineRule="auto"/>
        <w:ind w:left="32"/>
        <w:outlineLvl w:val="1"/>
        <w:rPr>
          <w:rFonts w:ascii="黑体" w:hAnsi="黑体" w:eastAsia="黑体" w:cs="黑体"/>
          <w:sz w:val="28"/>
          <w:szCs w:val="28"/>
        </w:rPr>
      </w:pPr>
      <w:bookmarkStart w:id="215" w:name="bookmark191"/>
      <w:bookmarkEnd w:id="215"/>
      <w:r>
        <w:rPr>
          <w:rFonts w:ascii="Times New Roman" w:hAnsi="Times New Roman" w:eastAsia="Times New Roman" w:cs="Times New Roman"/>
          <w:b/>
          <w:bCs/>
          <w:spacing w:val="-3"/>
          <w:sz w:val="28"/>
          <w:szCs w:val="28"/>
        </w:rPr>
        <w:t xml:space="preserve">13.7 </w:t>
      </w:r>
      <w:r>
        <w:rPr>
          <w:rFonts w:ascii="黑体" w:hAnsi="黑体" w:eastAsia="黑体" w:cs="黑体"/>
          <w:b/>
          <w:bCs/>
          <w:spacing w:val="-3"/>
          <w:sz w:val="28"/>
          <w:szCs w:val="28"/>
        </w:rPr>
        <w:t>环境管理与监测计划</w:t>
      </w:r>
    </w:p>
    <w:p w14:paraId="14BD99BD">
      <w:pPr>
        <w:spacing w:before="255" w:line="360" w:lineRule="auto"/>
        <w:ind w:left="29" w:right="80" w:firstLine="474"/>
        <w:jc w:val="both"/>
        <w:rPr>
          <w:rFonts w:ascii="宋体" w:hAnsi="宋体" w:eastAsia="宋体" w:cs="宋体"/>
          <w:sz w:val="24"/>
          <w:szCs w:val="24"/>
        </w:rPr>
      </w:pPr>
      <w:r>
        <w:rPr>
          <w:rFonts w:ascii="宋体" w:hAnsi="宋体" w:eastAsia="宋体" w:cs="宋体"/>
          <w:spacing w:val="-3"/>
          <w:sz w:val="24"/>
          <w:szCs w:val="24"/>
        </w:rPr>
        <w:t>全面履行国家和地方的环保法规、政策，监督矿业公司内各企业</w:t>
      </w:r>
      <w:r>
        <w:rPr>
          <w:rFonts w:ascii="宋体" w:hAnsi="宋体" w:eastAsia="宋体" w:cs="宋体"/>
          <w:spacing w:val="-4"/>
          <w:sz w:val="24"/>
          <w:szCs w:val="24"/>
        </w:rPr>
        <w:t>环保措施落</w:t>
      </w:r>
      <w:r>
        <w:rPr>
          <w:rFonts w:ascii="宋体" w:hAnsi="宋体" w:eastAsia="宋体" w:cs="宋体"/>
          <w:sz w:val="24"/>
          <w:szCs w:val="24"/>
        </w:rPr>
        <w:t xml:space="preserve"> </w:t>
      </w:r>
      <w:r>
        <w:rPr>
          <w:rFonts w:ascii="宋体" w:hAnsi="宋体" w:eastAsia="宋体" w:cs="宋体"/>
          <w:spacing w:val="-3"/>
          <w:sz w:val="24"/>
          <w:szCs w:val="24"/>
        </w:rPr>
        <w:t>实情况，有效保证规划区的环境质量和满足区域环境保护的要求，并</w:t>
      </w:r>
      <w:r>
        <w:rPr>
          <w:rFonts w:ascii="宋体" w:hAnsi="宋体" w:eastAsia="宋体" w:cs="宋体"/>
          <w:spacing w:val="-4"/>
          <w:sz w:val="24"/>
          <w:szCs w:val="24"/>
        </w:rPr>
        <w:t>不断改善区</w:t>
      </w:r>
      <w:r>
        <w:rPr>
          <w:rFonts w:ascii="宋体" w:hAnsi="宋体" w:eastAsia="宋体" w:cs="宋体"/>
          <w:sz w:val="24"/>
          <w:szCs w:val="24"/>
        </w:rPr>
        <w:t xml:space="preserve"> </w:t>
      </w:r>
      <w:r>
        <w:rPr>
          <w:rFonts w:ascii="宋体" w:hAnsi="宋体" w:eastAsia="宋体" w:cs="宋体"/>
          <w:spacing w:val="-1"/>
          <w:sz w:val="24"/>
          <w:szCs w:val="24"/>
        </w:rPr>
        <w:t>内环境，达到发展经济，保护环境的目的。</w:t>
      </w:r>
    </w:p>
    <w:p w14:paraId="4DE5EDFE">
      <w:pPr>
        <w:spacing w:before="5" w:line="360" w:lineRule="auto"/>
        <w:ind w:left="22" w:right="26" w:firstLine="480"/>
        <w:jc w:val="both"/>
        <w:rPr>
          <w:rFonts w:ascii="宋体" w:hAnsi="宋体" w:eastAsia="宋体" w:cs="宋体"/>
          <w:sz w:val="24"/>
          <w:szCs w:val="24"/>
        </w:rPr>
      </w:pPr>
      <w:r>
        <w:rPr>
          <w:rFonts w:ascii="宋体" w:hAnsi="宋体" w:eastAsia="宋体" w:cs="宋体"/>
          <w:spacing w:val="-2"/>
          <w:sz w:val="24"/>
          <w:szCs w:val="24"/>
        </w:rPr>
        <w:t>环境监测委托当地有资质的环境监测部门开展。对生产过程中产生的废气、</w:t>
      </w:r>
      <w:r>
        <w:rPr>
          <w:rFonts w:ascii="宋体" w:hAnsi="宋体" w:eastAsia="宋体" w:cs="宋体"/>
          <w:spacing w:val="15"/>
          <w:sz w:val="24"/>
          <w:szCs w:val="24"/>
        </w:rPr>
        <w:t xml:space="preserve"> </w:t>
      </w:r>
      <w:r>
        <w:rPr>
          <w:rFonts w:ascii="宋体" w:hAnsi="宋体" w:eastAsia="宋体" w:cs="宋体"/>
          <w:spacing w:val="-3"/>
          <w:sz w:val="24"/>
          <w:szCs w:val="24"/>
        </w:rPr>
        <w:t>废水、噪声和土壤等进行监测，并对主要固体废物进行成分分析，同时对项目区</w:t>
      </w:r>
      <w:r>
        <w:rPr>
          <w:rFonts w:ascii="宋体" w:hAnsi="宋体" w:eastAsia="宋体" w:cs="宋体"/>
          <w:spacing w:val="1"/>
          <w:sz w:val="24"/>
          <w:szCs w:val="24"/>
        </w:rPr>
        <w:t xml:space="preserve"> </w:t>
      </w:r>
      <w:r>
        <w:rPr>
          <w:rFonts w:ascii="宋体" w:hAnsi="宋体" w:eastAsia="宋体" w:cs="宋体"/>
          <w:spacing w:val="-3"/>
          <w:sz w:val="24"/>
          <w:szCs w:val="24"/>
        </w:rPr>
        <w:t>及周围环境空气质量监测也进行相应的监测。根据有关监测技术规范，结合本规</w:t>
      </w:r>
      <w:r>
        <w:rPr>
          <w:rFonts w:ascii="宋体" w:hAnsi="宋体" w:eastAsia="宋体" w:cs="宋体"/>
          <w:spacing w:val="1"/>
          <w:sz w:val="24"/>
          <w:szCs w:val="24"/>
        </w:rPr>
        <w:t xml:space="preserve"> </w:t>
      </w:r>
      <w:r>
        <w:rPr>
          <w:rFonts w:ascii="宋体" w:hAnsi="宋体" w:eastAsia="宋体" w:cs="宋体"/>
          <w:spacing w:val="-1"/>
          <w:sz w:val="24"/>
          <w:szCs w:val="24"/>
        </w:rPr>
        <w:t>划项目实施后的污染源及污染物排放特点，制</w:t>
      </w:r>
      <w:r>
        <w:rPr>
          <w:rFonts w:ascii="宋体" w:hAnsi="宋体" w:eastAsia="宋体" w:cs="宋体"/>
          <w:spacing w:val="-2"/>
          <w:sz w:val="24"/>
          <w:szCs w:val="24"/>
        </w:rPr>
        <w:t>定本项目实施后污染源监测方案。</w:t>
      </w:r>
    </w:p>
    <w:p w14:paraId="43FF18CC">
      <w:pPr>
        <w:spacing w:before="78" w:line="222" w:lineRule="auto"/>
        <w:ind w:left="32"/>
        <w:outlineLvl w:val="1"/>
        <w:rPr>
          <w:rFonts w:ascii="黑体" w:hAnsi="黑体" w:eastAsia="黑体" w:cs="黑体"/>
          <w:sz w:val="28"/>
          <w:szCs w:val="28"/>
        </w:rPr>
      </w:pPr>
      <w:bookmarkStart w:id="216" w:name="bookmark192"/>
      <w:bookmarkEnd w:id="216"/>
      <w:r>
        <w:rPr>
          <w:rFonts w:ascii="Times New Roman" w:hAnsi="Times New Roman" w:eastAsia="Times New Roman" w:cs="Times New Roman"/>
          <w:b/>
          <w:bCs/>
          <w:spacing w:val="-4"/>
          <w:sz w:val="28"/>
          <w:szCs w:val="28"/>
        </w:rPr>
        <w:t xml:space="preserve">13.8 </w:t>
      </w:r>
      <w:r>
        <w:rPr>
          <w:rFonts w:ascii="黑体" w:hAnsi="黑体" w:eastAsia="黑体" w:cs="黑体"/>
          <w:b/>
          <w:bCs/>
          <w:spacing w:val="-4"/>
          <w:sz w:val="28"/>
          <w:szCs w:val="28"/>
        </w:rPr>
        <w:t>评价结论</w:t>
      </w:r>
    </w:p>
    <w:p w14:paraId="2D7F9671">
      <w:pPr>
        <w:spacing w:line="222" w:lineRule="auto"/>
        <w:rPr>
          <w:rFonts w:ascii="黑体" w:hAnsi="黑体" w:eastAsia="黑体" w:cs="黑体"/>
          <w:sz w:val="28"/>
          <w:szCs w:val="28"/>
        </w:rPr>
        <w:sectPr>
          <w:headerReference r:id="rId447" w:type="default"/>
          <w:footerReference r:id="rId448" w:type="default"/>
          <w:pgSz w:w="11906" w:h="16839"/>
          <w:pgMar w:top="1208" w:right="1719" w:bottom="1358" w:left="1785" w:header="825" w:footer="1195" w:gutter="0"/>
          <w:cols w:space="720" w:num="1"/>
        </w:sectPr>
      </w:pPr>
    </w:p>
    <w:p w14:paraId="5E9E16D8">
      <w:pPr>
        <w:pStyle w:val="2"/>
        <w:spacing w:line="265" w:lineRule="auto"/>
      </w:pPr>
    </w:p>
    <w:p w14:paraId="3AEE7CB1">
      <w:pPr>
        <w:spacing w:before="78" w:line="360" w:lineRule="auto"/>
        <w:ind w:left="23" w:right="49" w:firstLine="480"/>
        <w:jc w:val="both"/>
        <w:rPr>
          <w:rFonts w:ascii="宋体" w:hAnsi="宋体" w:eastAsia="宋体" w:cs="宋体"/>
          <w:sz w:val="24"/>
          <w:szCs w:val="24"/>
        </w:rPr>
      </w:pPr>
      <w:r>
        <w:rPr>
          <w:rFonts w:ascii="宋体" w:hAnsi="宋体" w:eastAsia="宋体" w:cs="宋体"/>
          <w:spacing w:val="-3"/>
          <w:sz w:val="24"/>
          <w:szCs w:val="24"/>
        </w:rPr>
        <w:t>本项目符合国家产业政策要求，工艺技术先进合理，生产过程</w:t>
      </w:r>
      <w:r>
        <w:rPr>
          <w:rFonts w:ascii="宋体" w:hAnsi="宋体" w:eastAsia="宋体" w:cs="宋体"/>
          <w:spacing w:val="-4"/>
          <w:sz w:val="24"/>
          <w:szCs w:val="24"/>
        </w:rPr>
        <w:t>符合清洁生产</w:t>
      </w:r>
      <w:r>
        <w:rPr>
          <w:rFonts w:ascii="宋体" w:hAnsi="宋体" w:eastAsia="宋体" w:cs="宋体"/>
          <w:sz w:val="24"/>
          <w:szCs w:val="24"/>
        </w:rPr>
        <w:t xml:space="preserve"> </w:t>
      </w:r>
      <w:r>
        <w:rPr>
          <w:rFonts w:ascii="宋体" w:hAnsi="宋体" w:eastAsia="宋体" w:cs="宋体"/>
          <w:spacing w:val="-3"/>
          <w:sz w:val="24"/>
          <w:szCs w:val="24"/>
        </w:rPr>
        <w:t>水平要求。厂址选择符合当地发展规划和环保要求，工程建设对环境及主要环境</w:t>
      </w:r>
      <w:r>
        <w:rPr>
          <w:rFonts w:ascii="宋体" w:hAnsi="宋体" w:eastAsia="宋体" w:cs="宋体"/>
          <w:spacing w:val="1"/>
          <w:sz w:val="24"/>
          <w:szCs w:val="24"/>
        </w:rPr>
        <w:t xml:space="preserve"> </w:t>
      </w:r>
      <w:r>
        <w:rPr>
          <w:rFonts w:ascii="宋体" w:hAnsi="宋体" w:eastAsia="宋体" w:cs="宋体"/>
          <w:spacing w:val="-3"/>
          <w:sz w:val="24"/>
          <w:szCs w:val="24"/>
        </w:rPr>
        <w:t>保护目标的影响均满足国家相关环境质量标准要求，不会对区域环境质量造成大</w:t>
      </w:r>
      <w:r>
        <w:rPr>
          <w:rFonts w:ascii="宋体" w:hAnsi="宋体" w:eastAsia="宋体" w:cs="宋体"/>
          <w:spacing w:val="1"/>
          <w:sz w:val="24"/>
          <w:szCs w:val="24"/>
        </w:rPr>
        <w:t xml:space="preserve"> </w:t>
      </w:r>
      <w:r>
        <w:rPr>
          <w:rFonts w:ascii="宋体" w:hAnsi="宋体" w:eastAsia="宋体" w:cs="宋体"/>
          <w:spacing w:val="-3"/>
          <w:sz w:val="24"/>
          <w:szCs w:val="24"/>
        </w:rPr>
        <w:t>的影响。在严格采取本环评规定的环保治理对策后，各污染源可以实现稳定达标</w:t>
      </w:r>
      <w:r>
        <w:rPr>
          <w:rFonts w:ascii="宋体" w:hAnsi="宋体" w:eastAsia="宋体" w:cs="宋体"/>
          <w:spacing w:val="1"/>
          <w:sz w:val="24"/>
          <w:szCs w:val="24"/>
        </w:rPr>
        <w:t xml:space="preserve"> </w:t>
      </w:r>
      <w:r>
        <w:rPr>
          <w:rFonts w:ascii="宋体" w:hAnsi="宋体" w:eastAsia="宋体" w:cs="宋体"/>
          <w:spacing w:val="-1"/>
          <w:sz w:val="24"/>
          <w:szCs w:val="24"/>
        </w:rPr>
        <w:t>排放，对区域环境质量影响轻微。公众参与调查未收到反馈意见。</w:t>
      </w:r>
    </w:p>
    <w:p w14:paraId="1DE4D5ED">
      <w:pPr>
        <w:spacing w:before="3" w:line="359" w:lineRule="auto"/>
        <w:ind w:left="24" w:right="49" w:firstLine="480"/>
        <w:jc w:val="both"/>
        <w:rPr>
          <w:rFonts w:ascii="宋体" w:hAnsi="宋体" w:eastAsia="宋体" w:cs="宋体"/>
          <w:sz w:val="24"/>
          <w:szCs w:val="24"/>
        </w:rPr>
      </w:pPr>
      <w:r>
        <w:rPr>
          <w:rFonts w:ascii="宋体" w:hAnsi="宋体" w:eastAsia="宋体" w:cs="宋体"/>
          <w:spacing w:val="-3"/>
          <w:sz w:val="24"/>
          <w:szCs w:val="24"/>
        </w:rPr>
        <w:t>技改实施后，企业将实现集约化发展，对当地经济发展来讲作</w:t>
      </w:r>
      <w:r>
        <w:rPr>
          <w:rFonts w:ascii="宋体" w:hAnsi="宋体" w:eastAsia="宋体" w:cs="宋体"/>
          <w:spacing w:val="-4"/>
          <w:sz w:val="24"/>
          <w:szCs w:val="24"/>
        </w:rPr>
        <w:t>用显著。本项</w:t>
      </w:r>
      <w:r>
        <w:rPr>
          <w:rFonts w:ascii="宋体" w:hAnsi="宋体" w:eastAsia="宋体" w:cs="宋体"/>
          <w:sz w:val="24"/>
          <w:szCs w:val="24"/>
        </w:rPr>
        <w:t xml:space="preserve"> </w:t>
      </w:r>
      <w:r>
        <w:rPr>
          <w:rFonts w:ascii="宋体" w:hAnsi="宋体" w:eastAsia="宋体" w:cs="宋体"/>
          <w:spacing w:val="-3"/>
          <w:sz w:val="24"/>
          <w:szCs w:val="24"/>
        </w:rPr>
        <w:t>目生产规模虽然增大，但采取了一系列的污染防治措施，确保了本项目对周围环</w:t>
      </w:r>
      <w:r>
        <w:rPr>
          <w:rFonts w:ascii="宋体" w:hAnsi="宋体" w:eastAsia="宋体" w:cs="宋体"/>
          <w:sz w:val="24"/>
          <w:szCs w:val="24"/>
        </w:rPr>
        <w:t xml:space="preserve"> </w:t>
      </w:r>
      <w:r>
        <w:rPr>
          <w:rFonts w:ascii="宋体" w:hAnsi="宋体" w:eastAsia="宋体" w:cs="宋体"/>
          <w:spacing w:val="-2"/>
          <w:sz w:val="24"/>
          <w:szCs w:val="24"/>
        </w:rPr>
        <w:t>境影响较小。</w:t>
      </w:r>
    </w:p>
    <w:p w14:paraId="271F73F2">
      <w:pPr>
        <w:spacing w:before="1" w:line="361" w:lineRule="auto"/>
        <w:ind w:left="24" w:right="49" w:firstLine="497"/>
        <w:rPr>
          <w:rFonts w:ascii="宋体" w:hAnsi="宋体" w:eastAsia="宋体" w:cs="宋体"/>
          <w:sz w:val="24"/>
          <w:szCs w:val="24"/>
        </w:rPr>
      </w:pPr>
      <w:r>
        <w:rPr>
          <w:rFonts w:ascii="宋体" w:hAnsi="宋体" w:eastAsia="宋体" w:cs="宋体"/>
          <w:spacing w:val="-4"/>
          <w:sz w:val="24"/>
          <w:szCs w:val="24"/>
        </w:rPr>
        <w:t>因此，在落实本评价报告所提出的各项环保措施下，本项目的建设从环境保</w:t>
      </w:r>
      <w:r>
        <w:rPr>
          <w:rFonts w:ascii="宋体" w:hAnsi="宋体" w:eastAsia="宋体" w:cs="宋体"/>
          <w:spacing w:val="9"/>
          <w:sz w:val="24"/>
          <w:szCs w:val="24"/>
        </w:rPr>
        <w:t xml:space="preserve"> </w:t>
      </w:r>
      <w:r>
        <w:rPr>
          <w:rFonts w:ascii="宋体" w:hAnsi="宋体" w:eastAsia="宋体" w:cs="宋体"/>
          <w:spacing w:val="-2"/>
          <w:sz w:val="24"/>
          <w:szCs w:val="24"/>
        </w:rPr>
        <w:t>护角度讲是可行的。</w:t>
      </w:r>
    </w:p>
    <w:p w14:paraId="11066B1B">
      <w:pPr>
        <w:spacing w:before="78" w:line="222" w:lineRule="auto"/>
        <w:ind w:left="32"/>
        <w:outlineLvl w:val="1"/>
        <w:rPr>
          <w:rFonts w:ascii="黑体" w:hAnsi="黑体" w:eastAsia="黑体" w:cs="黑体"/>
          <w:sz w:val="28"/>
          <w:szCs w:val="28"/>
        </w:rPr>
      </w:pPr>
      <w:bookmarkStart w:id="217" w:name="bookmark193"/>
      <w:bookmarkEnd w:id="217"/>
      <w:r>
        <w:rPr>
          <w:rFonts w:ascii="Times New Roman" w:hAnsi="Times New Roman" w:eastAsia="Times New Roman" w:cs="Times New Roman"/>
          <w:b/>
          <w:bCs/>
          <w:spacing w:val="-6"/>
          <w:sz w:val="28"/>
          <w:szCs w:val="28"/>
        </w:rPr>
        <w:t>13.9</w:t>
      </w:r>
      <w:r>
        <w:rPr>
          <w:rFonts w:ascii="Times New Roman" w:hAnsi="Times New Roman" w:eastAsia="Times New Roman" w:cs="Times New Roman"/>
          <w:b/>
          <w:bCs/>
          <w:spacing w:val="11"/>
          <w:sz w:val="28"/>
          <w:szCs w:val="28"/>
        </w:rPr>
        <w:t xml:space="preserve"> </w:t>
      </w:r>
      <w:r>
        <w:rPr>
          <w:rFonts w:ascii="黑体" w:hAnsi="黑体" w:eastAsia="黑体" w:cs="黑体"/>
          <w:b/>
          <w:bCs/>
          <w:spacing w:val="-6"/>
          <w:sz w:val="28"/>
          <w:szCs w:val="28"/>
        </w:rPr>
        <w:t>建议</w:t>
      </w:r>
    </w:p>
    <w:p w14:paraId="10D63C48">
      <w:pPr>
        <w:spacing w:before="257" w:line="219" w:lineRule="auto"/>
        <w:ind w:left="5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）要求建设单位选用合格的材料和设备，以及有资质的施工单位。</w:t>
      </w:r>
    </w:p>
    <w:p w14:paraId="339E603F">
      <w:pPr>
        <w:spacing w:before="184" w:line="313" w:lineRule="auto"/>
        <w:ind w:left="24"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）工程建设应高度重视环境保护工作，切实贯彻</w:t>
      </w:r>
      <w:r>
        <w:rPr>
          <w:rFonts w:ascii="Times New Roman" w:hAnsi="Times New Roman" w:eastAsia="Times New Roman" w:cs="Times New Roman"/>
          <w:spacing w:val="-2"/>
          <w:sz w:val="24"/>
          <w:szCs w:val="24"/>
        </w:rPr>
        <w:t>“</w:t>
      </w:r>
      <w:r>
        <w:rPr>
          <w:rFonts w:ascii="宋体" w:hAnsi="宋体" w:eastAsia="宋体" w:cs="宋体"/>
          <w:spacing w:val="-2"/>
          <w:sz w:val="24"/>
          <w:szCs w:val="24"/>
        </w:rPr>
        <w:t>预防为主、全面规划、</w:t>
      </w:r>
      <w:r>
        <w:rPr>
          <w:rFonts w:ascii="宋体" w:hAnsi="宋体" w:eastAsia="宋体" w:cs="宋体"/>
          <w:spacing w:val="15"/>
          <w:sz w:val="24"/>
          <w:szCs w:val="24"/>
        </w:rPr>
        <w:t xml:space="preserve"> </w:t>
      </w:r>
      <w:r>
        <w:rPr>
          <w:rFonts w:ascii="宋体" w:hAnsi="宋体" w:eastAsia="宋体" w:cs="宋体"/>
          <w:spacing w:val="3"/>
          <w:sz w:val="24"/>
          <w:szCs w:val="24"/>
        </w:rPr>
        <w:t>综合防治、因地制宜、加强管理、注重实效</w:t>
      </w:r>
      <w:r>
        <w:rPr>
          <w:rFonts w:ascii="Times New Roman" w:hAnsi="Times New Roman" w:eastAsia="Times New Roman" w:cs="Times New Roman"/>
          <w:spacing w:val="3"/>
          <w:sz w:val="24"/>
          <w:szCs w:val="24"/>
        </w:rPr>
        <w:t>”</w:t>
      </w:r>
      <w:r>
        <w:rPr>
          <w:rFonts w:ascii="宋体" w:hAnsi="宋体" w:eastAsia="宋体" w:cs="宋体"/>
          <w:spacing w:val="3"/>
          <w:sz w:val="24"/>
          <w:szCs w:val="24"/>
        </w:rPr>
        <w:t>方针政策，严格执行环保</w:t>
      </w:r>
      <w:r>
        <w:rPr>
          <w:rFonts w:ascii="Times New Roman" w:hAnsi="Times New Roman" w:eastAsia="Times New Roman" w:cs="Times New Roman"/>
          <w:spacing w:val="3"/>
          <w:sz w:val="24"/>
          <w:szCs w:val="24"/>
        </w:rPr>
        <w:t>“</w:t>
      </w:r>
      <w:r>
        <w:rPr>
          <w:rFonts w:ascii="宋体" w:hAnsi="宋体" w:eastAsia="宋体" w:cs="宋体"/>
          <w:spacing w:val="2"/>
          <w:sz w:val="24"/>
          <w:szCs w:val="24"/>
        </w:rPr>
        <w:t>三同时</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 xml:space="preserve"> </w:t>
      </w:r>
      <w:r>
        <w:rPr>
          <w:rFonts w:ascii="宋体" w:hAnsi="宋体" w:eastAsia="宋体" w:cs="宋体"/>
          <w:spacing w:val="-1"/>
          <w:sz w:val="24"/>
          <w:szCs w:val="24"/>
        </w:rPr>
        <w:t>制度，确保 环保设施与主体工程同时竣工投产。</w:t>
      </w:r>
    </w:p>
    <w:p w14:paraId="54A79189">
      <w:pPr>
        <w:spacing w:before="182" w:line="290" w:lineRule="auto"/>
        <w:ind w:left="29" w:right="49"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）建议当地有关部门和建设单位自身加强对本项目的环境管理，使各防</w:t>
      </w:r>
      <w:r>
        <w:rPr>
          <w:rFonts w:ascii="宋体" w:hAnsi="宋体" w:eastAsia="宋体" w:cs="宋体"/>
          <w:spacing w:val="4"/>
          <w:sz w:val="24"/>
          <w:szCs w:val="24"/>
        </w:rPr>
        <w:t xml:space="preserve"> </w:t>
      </w:r>
      <w:r>
        <w:rPr>
          <w:rFonts w:ascii="宋体" w:hAnsi="宋体" w:eastAsia="宋体" w:cs="宋体"/>
          <w:spacing w:val="-1"/>
          <w:sz w:val="24"/>
          <w:szCs w:val="24"/>
        </w:rPr>
        <w:t>治措施得以实施，确保其不对周围环境产生明显影响。</w:t>
      </w:r>
    </w:p>
    <w:p w14:paraId="28384B06">
      <w:pPr>
        <w:spacing w:before="182" w:line="290" w:lineRule="auto"/>
        <w:ind w:left="32" w:right="49"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）在项目投入使用后，建设单位有义务向本单位的员工进行环境保护教</w:t>
      </w:r>
      <w:r>
        <w:rPr>
          <w:rFonts w:ascii="宋体" w:hAnsi="宋体" w:eastAsia="宋体" w:cs="宋体"/>
          <w:spacing w:val="4"/>
          <w:sz w:val="24"/>
          <w:szCs w:val="24"/>
        </w:rPr>
        <w:t xml:space="preserve"> </w:t>
      </w:r>
      <w:r>
        <w:rPr>
          <w:rFonts w:ascii="宋体" w:hAnsi="宋体" w:eastAsia="宋体" w:cs="宋体"/>
          <w:spacing w:val="-1"/>
          <w:sz w:val="24"/>
          <w:szCs w:val="24"/>
        </w:rPr>
        <w:t>育，提高员工的环保及事故风险防范意识。</w:t>
      </w:r>
    </w:p>
    <w:p w14:paraId="0AF8CBAD">
      <w:pPr>
        <w:spacing w:before="184" w:line="313" w:lineRule="auto"/>
        <w:ind w:left="22" w:right="49"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）建立跟踪评价制度，建设单位结合环境监测结果和环境管理成果，对</w:t>
      </w:r>
      <w:r>
        <w:rPr>
          <w:rFonts w:ascii="宋体" w:hAnsi="宋体" w:eastAsia="宋体" w:cs="宋体"/>
          <w:spacing w:val="4"/>
          <w:sz w:val="24"/>
          <w:szCs w:val="24"/>
        </w:rPr>
        <w:t xml:space="preserve"> </w:t>
      </w:r>
      <w:r>
        <w:rPr>
          <w:rFonts w:ascii="宋体" w:hAnsi="宋体" w:eastAsia="宋体" w:cs="宋体"/>
          <w:spacing w:val="-3"/>
          <w:sz w:val="24"/>
          <w:szCs w:val="24"/>
        </w:rPr>
        <w:t>区域环境质量、环境影响等进行定期跟踪评价，了解本次评价的准确性，并及时</w:t>
      </w:r>
      <w:r>
        <w:rPr>
          <w:rFonts w:ascii="宋体" w:hAnsi="宋体" w:eastAsia="宋体" w:cs="宋体"/>
          <w:spacing w:val="1"/>
          <w:sz w:val="24"/>
          <w:szCs w:val="24"/>
        </w:rPr>
        <w:t xml:space="preserve"> </w:t>
      </w:r>
      <w:r>
        <w:rPr>
          <w:rFonts w:ascii="宋体" w:hAnsi="宋体" w:eastAsia="宋体" w:cs="宋体"/>
          <w:spacing w:val="-1"/>
          <w:sz w:val="24"/>
          <w:szCs w:val="24"/>
        </w:rPr>
        <w:t>对环保措施进行调整。</w:t>
      </w:r>
    </w:p>
    <w:p w14:paraId="524A199F">
      <w:pPr>
        <w:spacing w:line="313" w:lineRule="auto"/>
        <w:rPr>
          <w:rFonts w:ascii="宋体" w:hAnsi="宋体" w:eastAsia="宋体" w:cs="宋体"/>
          <w:sz w:val="24"/>
          <w:szCs w:val="24"/>
        </w:rPr>
        <w:sectPr>
          <w:headerReference r:id="rId449" w:type="default"/>
          <w:footerReference r:id="rId450" w:type="default"/>
          <w:pgSz w:w="11906" w:h="16839"/>
          <w:pgMar w:top="1208" w:right="1750" w:bottom="1358" w:left="1785" w:header="825" w:footer="1195" w:gutter="0"/>
          <w:cols w:space="720" w:num="1"/>
        </w:sectPr>
      </w:pPr>
    </w:p>
    <w:p w14:paraId="47BE7C25">
      <w:pPr>
        <w:pStyle w:val="2"/>
        <w:spacing w:line="245" w:lineRule="auto"/>
      </w:pPr>
    </w:p>
    <w:p w14:paraId="2E2EABFB">
      <w:pPr>
        <w:pStyle w:val="2"/>
        <w:spacing w:line="245" w:lineRule="auto"/>
      </w:pPr>
    </w:p>
    <w:p w14:paraId="1C2FAFB0">
      <w:pPr>
        <w:pStyle w:val="2"/>
        <w:spacing w:line="246" w:lineRule="auto"/>
      </w:pPr>
    </w:p>
    <w:p w14:paraId="5E3F0B2D">
      <w:pPr>
        <w:pStyle w:val="2"/>
        <w:spacing w:line="246" w:lineRule="auto"/>
      </w:pPr>
    </w:p>
    <w:p w14:paraId="13C6B632">
      <w:pPr>
        <w:pStyle w:val="2"/>
        <w:spacing w:line="246" w:lineRule="auto"/>
      </w:pPr>
    </w:p>
    <w:p w14:paraId="66386C15">
      <w:pPr>
        <w:spacing w:before="121" w:line="219" w:lineRule="auto"/>
        <w:ind w:left="3894"/>
        <w:rPr>
          <w:rFonts w:ascii="宋体" w:hAnsi="宋体" w:eastAsia="宋体" w:cs="宋体"/>
          <w:sz w:val="37"/>
          <w:szCs w:val="37"/>
        </w:rPr>
      </w:pPr>
      <w:r>
        <w:rPr>
          <w:rFonts w:ascii="宋体" w:hAnsi="宋体" w:eastAsia="宋体" w:cs="宋体"/>
          <w:b/>
          <w:bCs/>
          <w:spacing w:val="-3"/>
          <w:sz w:val="37"/>
          <w:szCs w:val="37"/>
        </w:rPr>
        <w:t>建设项目环境影响报告书审批基础信息表</w:t>
      </w:r>
    </w:p>
    <w:p w14:paraId="63FDDBF7">
      <w:pPr>
        <w:spacing w:line="197" w:lineRule="exact"/>
      </w:pPr>
    </w:p>
    <w:tbl>
      <w:tblPr>
        <w:tblStyle w:val="5"/>
        <w:tblW w:w="14425" w:type="dxa"/>
        <w:tblInd w:w="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22"/>
        <w:gridCol w:w="496"/>
        <w:gridCol w:w="419"/>
        <w:gridCol w:w="897"/>
        <w:gridCol w:w="846"/>
        <w:gridCol w:w="1079"/>
        <w:gridCol w:w="1215"/>
        <w:gridCol w:w="983"/>
        <w:gridCol w:w="1120"/>
        <w:gridCol w:w="1069"/>
        <w:gridCol w:w="940"/>
        <w:gridCol w:w="873"/>
        <w:gridCol w:w="983"/>
        <w:gridCol w:w="1079"/>
        <w:gridCol w:w="566"/>
        <w:gridCol w:w="616"/>
        <w:gridCol w:w="622"/>
      </w:tblGrid>
      <w:tr w14:paraId="3A52588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13" w:hRule="atLeast"/>
        </w:trPr>
        <w:tc>
          <w:tcPr>
            <w:tcW w:w="2434" w:type="dxa"/>
            <w:gridSpan w:val="4"/>
            <w:tcBorders>
              <w:top w:val="single" w:color="000000" w:sz="6" w:space="0"/>
              <w:left w:val="single" w:color="000000" w:sz="6" w:space="0"/>
            </w:tcBorders>
            <w:vAlign w:val="top"/>
          </w:tcPr>
          <w:p w14:paraId="6E440405">
            <w:pPr>
              <w:spacing w:before="152" w:line="183" w:lineRule="auto"/>
              <w:ind w:left="706"/>
              <w:rPr>
                <w:rFonts w:ascii="微软雅黑" w:hAnsi="微软雅黑" w:eastAsia="微软雅黑" w:cs="微软雅黑"/>
                <w:sz w:val="11"/>
                <w:szCs w:val="11"/>
              </w:rPr>
            </w:pPr>
            <w:r>
              <w:rPr>
                <w:rFonts w:ascii="微软雅黑" w:hAnsi="微软雅黑" w:eastAsia="微软雅黑" w:cs="微软雅黑"/>
                <w:b/>
                <w:bCs/>
                <w:spacing w:val="2"/>
                <w:sz w:val="11"/>
                <w:szCs w:val="11"/>
              </w:rPr>
              <w:t>填表单位（盖章</w:t>
            </w:r>
            <w:r>
              <w:rPr>
                <w:rFonts w:ascii="微软雅黑" w:hAnsi="微软雅黑" w:eastAsia="微软雅黑" w:cs="微软雅黑"/>
                <w:b/>
                <w:bCs/>
                <w:sz w:val="11"/>
                <w:szCs w:val="11"/>
              </w:rPr>
              <w:t>）：</w:t>
            </w:r>
          </w:p>
        </w:tc>
        <w:tc>
          <w:tcPr>
            <w:tcW w:w="4123" w:type="dxa"/>
            <w:gridSpan w:val="4"/>
            <w:tcBorders>
              <w:top w:val="single" w:color="000000" w:sz="6" w:space="0"/>
            </w:tcBorders>
            <w:vAlign w:val="top"/>
          </w:tcPr>
          <w:p w14:paraId="2248234A">
            <w:pPr>
              <w:pStyle w:val="6"/>
              <w:spacing w:before="152" w:line="223" w:lineRule="auto"/>
              <w:ind w:left="1346"/>
              <w:rPr>
                <w:sz w:val="11"/>
                <w:szCs w:val="11"/>
              </w:rPr>
            </w:pPr>
            <w:r>
              <w:rPr>
                <w:b/>
                <w:bCs/>
                <w:spacing w:val="-1"/>
                <w:sz w:val="11"/>
                <w:szCs w:val="11"/>
              </w:rPr>
              <w:t>内蒙古玉龙矿业股份有限公司</w:t>
            </w:r>
          </w:p>
        </w:tc>
        <w:tc>
          <w:tcPr>
            <w:tcW w:w="1120" w:type="dxa"/>
            <w:tcBorders>
              <w:top w:val="single" w:color="000000" w:sz="6" w:space="0"/>
            </w:tcBorders>
            <w:vAlign w:val="top"/>
          </w:tcPr>
          <w:p w14:paraId="2CF3009B">
            <w:pPr>
              <w:spacing w:before="152" w:line="183" w:lineRule="auto"/>
              <w:ind w:left="72"/>
              <w:rPr>
                <w:rFonts w:ascii="微软雅黑" w:hAnsi="微软雅黑" w:eastAsia="微软雅黑" w:cs="微软雅黑"/>
                <w:sz w:val="11"/>
                <w:szCs w:val="11"/>
              </w:rPr>
            </w:pPr>
            <w:r>
              <w:rPr>
                <w:rFonts w:ascii="微软雅黑" w:hAnsi="微软雅黑" w:eastAsia="微软雅黑" w:cs="微软雅黑"/>
                <w:b/>
                <w:bCs/>
                <w:spacing w:val="2"/>
                <w:sz w:val="11"/>
                <w:szCs w:val="11"/>
              </w:rPr>
              <w:t>填表人（签字</w:t>
            </w:r>
            <w:r>
              <w:rPr>
                <w:rFonts w:ascii="微软雅黑" w:hAnsi="微软雅黑" w:eastAsia="微软雅黑" w:cs="微软雅黑"/>
                <w:b/>
                <w:bCs/>
                <w:sz w:val="11"/>
                <w:szCs w:val="11"/>
              </w:rPr>
              <w:t>）：</w:t>
            </w:r>
          </w:p>
        </w:tc>
        <w:tc>
          <w:tcPr>
            <w:tcW w:w="2009" w:type="dxa"/>
            <w:gridSpan w:val="2"/>
            <w:tcBorders>
              <w:top w:val="single" w:color="000000" w:sz="6" w:space="0"/>
            </w:tcBorders>
            <w:vAlign w:val="top"/>
          </w:tcPr>
          <w:p w14:paraId="053CE8B3">
            <w:pPr>
              <w:rPr>
                <w:rFonts w:ascii="Arial"/>
                <w:sz w:val="21"/>
              </w:rPr>
            </w:pPr>
          </w:p>
        </w:tc>
        <w:tc>
          <w:tcPr>
            <w:tcW w:w="1856" w:type="dxa"/>
            <w:gridSpan w:val="2"/>
            <w:tcBorders>
              <w:top w:val="single" w:color="000000" w:sz="6" w:space="0"/>
            </w:tcBorders>
            <w:vAlign w:val="top"/>
          </w:tcPr>
          <w:p w14:paraId="5DF56947">
            <w:pPr>
              <w:spacing w:before="152" w:line="183" w:lineRule="auto"/>
              <w:ind w:left="393"/>
              <w:rPr>
                <w:rFonts w:ascii="微软雅黑" w:hAnsi="微软雅黑" w:eastAsia="微软雅黑" w:cs="微软雅黑"/>
                <w:sz w:val="11"/>
                <w:szCs w:val="11"/>
              </w:rPr>
            </w:pPr>
            <w:r>
              <w:rPr>
                <w:rFonts w:ascii="微软雅黑" w:hAnsi="微软雅黑" w:eastAsia="微软雅黑" w:cs="微软雅黑"/>
                <w:b/>
                <w:bCs/>
                <w:spacing w:val="2"/>
                <w:sz w:val="11"/>
                <w:szCs w:val="11"/>
              </w:rPr>
              <w:t>项目经办人（签字</w:t>
            </w:r>
            <w:r>
              <w:rPr>
                <w:rFonts w:ascii="微软雅黑" w:hAnsi="微软雅黑" w:eastAsia="微软雅黑" w:cs="微软雅黑"/>
                <w:b/>
                <w:bCs/>
                <w:sz w:val="11"/>
                <w:szCs w:val="11"/>
              </w:rPr>
              <w:t>）：</w:t>
            </w:r>
          </w:p>
        </w:tc>
        <w:tc>
          <w:tcPr>
            <w:tcW w:w="2883" w:type="dxa"/>
            <w:gridSpan w:val="4"/>
            <w:tcBorders>
              <w:top w:val="single" w:color="000000" w:sz="6" w:space="0"/>
              <w:right w:val="single" w:color="000000" w:sz="6" w:space="0"/>
            </w:tcBorders>
            <w:vAlign w:val="top"/>
          </w:tcPr>
          <w:p w14:paraId="02C7A720">
            <w:pPr>
              <w:rPr>
                <w:rFonts w:ascii="Arial"/>
                <w:sz w:val="21"/>
              </w:rPr>
            </w:pPr>
          </w:p>
        </w:tc>
      </w:tr>
      <w:tr w14:paraId="5E8CD0D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restart"/>
            <w:tcBorders>
              <w:left w:val="single" w:color="000000" w:sz="6" w:space="0"/>
              <w:bottom w:val="nil"/>
            </w:tcBorders>
            <w:shd w:val="clear" w:color="auto" w:fill="BFBFBF"/>
            <w:vAlign w:val="top"/>
          </w:tcPr>
          <w:p w14:paraId="2BD09EC4">
            <w:pPr>
              <w:spacing w:line="243" w:lineRule="auto"/>
              <w:rPr>
                <w:rFonts w:ascii="Arial"/>
                <w:sz w:val="21"/>
              </w:rPr>
            </w:pPr>
          </w:p>
          <w:p w14:paraId="35E32666">
            <w:pPr>
              <w:spacing w:line="244" w:lineRule="auto"/>
              <w:rPr>
                <w:rFonts w:ascii="Arial"/>
                <w:sz w:val="21"/>
              </w:rPr>
            </w:pPr>
          </w:p>
          <w:p w14:paraId="247E9EFB">
            <w:pPr>
              <w:spacing w:line="244" w:lineRule="auto"/>
              <w:rPr>
                <w:rFonts w:ascii="Arial"/>
                <w:sz w:val="21"/>
              </w:rPr>
            </w:pPr>
          </w:p>
          <w:p w14:paraId="5DC4BCEA">
            <w:pPr>
              <w:spacing w:line="244" w:lineRule="auto"/>
              <w:rPr>
                <w:rFonts w:ascii="Arial"/>
                <w:sz w:val="21"/>
              </w:rPr>
            </w:pPr>
          </w:p>
          <w:p w14:paraId="255B11B2">
            <w:pPr>
              <w:spacing w:line="244" w:lineRule="auto"/>
              <w:rPr>
                <w:rFonts w:ascii="Arial"/>
                <w:sz w:val="21"/>
              </w:rPr>
            </w:pPr>
          </w:p>
          <w:p w14:paraId="00BDB5A8">
            <w:pPr>
              <w:spacing w:before="56" w:line="181" w:lineRule="auto"/>
              <w:ind w:left="139"/>
              <w:rPr>
                <w:rFonts w:ascii="微软雅黑" w:hAnsi="微软雅黑" w:eastAsia="微软雅黑" w:cs="微软雅黑"/>
                <w:sz w:val="13"/>
                <w:szCs w:val="13"/>
              </w:rPr>
            </w:pPr>
            <w:r>
              <w:rPr>
                <w:rFonts w:ascii="微软雅黑" w:hAnsi="微软雅黑" w:eastAsia="微软雅黑" w:cs="微软雅黑"/>
                <w:b/>
                <w:bCs/>
                <w:sz w:val="13"/>
                <w:szCs w:val="13"/>
              </w:rPr>
              <w:t>建</w:t>
            </w:r>
            <w:r>
              <w:rPr>
                <w:rFonts w:ascii="微软雅黑" w:hAnsi="微软雅黑" w:eastAsia="微软雅黑" w:cs="微软雅黑"/>
                <w:b/>
                <w:bCs/>
                <w:spacing w:val="35"/>
                <w:w w:val="102"/>
                <w:sz w:val="13"/>
                <w:szCs w:val="13"/>
              </w:rPr>
              <w:t xml:space="preserve"> </w:t>
            </w:r>
            <w:r>
              <w:rPr>
                <w:rFonts w:ascii="微软雅黑" w:hAnsi="微软雅黑" w:eastAsia="微软雅黑" w:cs="微软雅黑"/>
                <w:b/>
                <w:bCs/>
                <w:sz w:val="13"/>
                <w:szCs w:val="13"/>
              </w:rPr>
              <w:t>设</w:t>
            </w:r>
          </w:p>
          <w:p w14:paraId="3292648F">
            <w:pPr>
              <w:spacing w:line="191" w:lineRule="auto"/>
              <w:ind w:left="139"/>
              <w:rPr>
                <w:rFonts w:ascii="微软雅黑" w:hAnsi="微软雅黑" w:eastAsia="微软雅黑" w:cs="微软雅黑"/>
                <w:sz w:val="13"/>
                <w:szCs w:val="13"/>
              </w:rPr>
            </w:pPr>
            <w:r>
              <w:rPr>
                <w:rFonts w:ascii="微软雅黑" w:hAnsi="微软雅黑" w:eastAsia="微软雅黑" w:cs="微软雅黑"/>
                <w:b/>
                <w:bCs/>
                <w:sz w:val="13"/>
                <w:szCs w:val="13"/>
              </w:rPr>
              <w:t>项</w:t>
            </w:r>
            <w:r>
              <w:rPr>
                <w:rFonts w:ascii="微软雅黑" w:hAnsi="微软雅黑" w:eastAsia="微软雅黑" w:cs="微软雅黑"/>
                <w:b/>
                <w:bCs/>
                <w:spacing w:val="6"/>
                <w:sz w:val="13"/>
                <w:szCs w:val="13"/>
              </w:rPr>
              <w:t xml:space="preserve">  </w:t>
            </w:r>
            <w:r>
              <w:rPr>
                <w:rFonts w:ascii="微软雅黑" w:hAnsi="微软雅黑" w:eastAsia="微软雅黑" w:cs="微软雅黑"/>
                <w:b/>
                <w:bCs/>
                <w:sz w:val="13"/>
                <w:szCs w:val="13"/>
              </w:rPr>
              <w:t>目</w:t>
            </w:r>
          </w:p>
        </w:tc>
        <w:tc>
          <w:tcPr>
            <w:tcW w:w="1812" w:type="dxa"/>
            <w:gridSpan w:val="3"/>
            <w:shd w:val="clear" w:color="auto" w:fill="BFBFBF"/>
            <w:vAlign w:val="top"/>
          </w:tcPr>
          <w:p w14:paraId="072BE5CC">
            <w:pPr>
              <w:spacing w:before="22" w:line="174" w:lineRule="auto"/>
              <w:ind w:left="670"/>
              <w:rPr>
                <w:rFonts w:ascii="微软雅黑" w:hAnsi="微软雅黑" w:eastAsia="微软雅黑" w:cs="微软雅黑"/>
                <w:sz w:val="11"/>
                <w:szCs w:val="11"/>
              </w:rPr>
            </w:pPr>
            <w:r>
              <w:rPr>
                <w:rFonts w:ascii="微软雅黑" w:hAnsi="微软雅黑" w:eastAsia="微软雅黑" w:cs="微软雅黑"/>
                <w:b/>
                <w:bCs/>
                <w:spacing w:val="1"/>
                <w:sz w:val="11"/>
                <w:szCs w:val="11"/>
              </w:rPr>
              <w:t>项目名称</w:t>
            </w:r>
          </w:p>
        </w:tc>
        <w:tc>
          <w:tcPr>
            <w:tcW w:w="4123" w:type="dxa"/>
            <w:gridSpan w:val="4"/>
            <w:vAlign w:val="top"/>
          </w:tcPr>
          <w:p w14:paraId="49E95753">
            <w:pPr>
              <w:pStyle w:val="6"/>
              <w:spacing w:before="22" w:line="223" w:lineRule="auto"/>
              <w:ind w:left="22"/>
              <w:rPr>
                <w:sz w:val="11"/>
                <w:szCs w:val="11"/>
              </w:rPr>
            </w:pPr>
            <w:r>
              <w:rPr>
                <w:b/>
                <w:bCs/>
                <w:sz w:val="11"/>
                <w:szCs w:val="11"/>
              </w:rPr>
              <w:t>蒙古玉龙矿业股份有限公司西乌珠穆沁旗花敖包特银铅矿2000t/d选矿厂技术改造项</w:t>
            </w:r>
          </w:p>
        </w:tc>
        <w:tc>
          <w:tcPr>
            <w:tcW w:w="2189" w:type="dxa"/>
            <w:gridSpan w:val="2"/>
            <w:vMerge w:val="restart"/>
            <w:tcBorders>
              <w:bottom w:val="nil"/>
            </w:tcBorders>
            <w:shd w:val="clear" w:color="auto" w:fill="BFBFBF"/>
            <w:vAlign w:val="top"/>
          </w:tcPr>
          <w:p w14:paraId="690ED120">
            <w:pPr>
              <w:spacing w:before="209" w:line="188" w:lineRule="auto"/>
              <w:ind w:left="867"/>
              <w:rPr>
                <w:rFonts w:ascii="微软雅黑" w:hAnsi="微软雅黑" w:eastAsia="微软雅黑" w:cs="微软雅黑"/>
                <w:sz w:val="11"/>
                <w:szCs w:val="11"/>
              </w:rPr>
            </w:pPr>
            <w:r>
              <w:rPr>
                <w:rFonts w:ascii="微软雅黑" w:hAnsi="微软雅黑" w:eastAsia="微软雅黑" w:cs="微软雅黑"/>
                <w:b/>
                <w:bCs/>
                <w:spacing w:val="1"/>
                <w:sz w:val="11"/>
                <w:szCs w:val="11"/>
              </w:rPr>
              <w:t>建设内容</w:t>
            </w:r>
          </w:p>
        </w:tc>
        <w:tc>
          <w:tcPr>
            <w:tcW w:w="5679" w:type="dxa"/>
            <w:gridSpan w:val="7"/>
            <w:vMerge w:val="restart"/>
            <w:tcBorders>
              <w:bottom w:val="nil"/>
              <w:right w:val="single" w:color="000000" w:sz="6" w:space="0"/>
            </w:tcBorders>
            <w:vAlign w:val="top"/>
          </w:tcPr>
          <w:p w14:paraId="3811C19F">
            <w:pPr>
              <w:pStyle w:val="6"/>
              <w:spacing w:before="209" w:line="223" w:lineRule="auto"/>
              <w:ind w:left="435"/>
              <w:rPr>
                <w:sz w:val="11"/>
                <w:szCs w:val="11"/>
              </w:rPr>
            </w:pPr>
            <w:r>
              <w:rPr>
                <w:b/>
                <w:bCs/>
                <w:sz w:val="11"/>
                <w:szCs w:val="11"/>
              </w:rPr>
              <w:t>主要建设内容为对1400t/d选矿工程厂房及设备进行升级改造，将2000t选矿工程产能置换至新选厂</w:t>
            </w:r>
          </w:p>
        </w:tc>
      </w:tr>
      <w:tr w14:paraId="750C27F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2" w:hRule="atLeast"/>
        </w:trPr>
        <w:tc>
          <w:tcPr>
            <w:tcW w:w="622" w:type="dxa"/>
            <w:vMerge w:val="continue"/>
            <w:tcBorders>
              <w:top w:val="nil"/>
              <w:left w:val="single" w:color="000000" w:sz="6" w:space="0"/>
              <w:bottom w:val="nil"/>
            </w:tcBorders>
            <w:vAlign w:val="top"/>
          </w:tcPr>
          <w:p w14:paraId="7FCBA306">
            <w:pPr>
              <w:rPr>
                <w:rFonts w:ascii="Arial"/>
                <w:sz w:val="21"/>
              </w:rPr>
            </w:pPr>
          </w:p>
        </w:tc>
        <w:tc>
          <w:tcPr>
            <w:tcW w:w="1812" w:type="dxa"/>
            <w:gridSpan w:val="3"/>
            <w:shd w:val="clear" w:color="auto" w:fill="BFBFBF"/>
            <w:vAlign w:val="top"/>
          </w:tcPr>
          <w:p w14:paraId="61B97D9F">
            <w:pPr>
              <w:spacing w:before="19" w:line="168" w:lineRule="auto"/>
              <w:ind w:left="670"/>
              <w:rPr>
                <w:rFonts w:ascii="微软雅黑" w:hAnsi="微软雅黑" w:eastAsia="微软雅黑" w:cs="微软雅黑"/>
                <w:sz w:val="11"/>
                <w:szCs w:val="11"/>
              </w:rPr>
            </w:pPr>
            <w:r>
              <w:rPr>
                <w:rFonts w:ascii="微软雅黑" w:hAnsi="微软雅黑" w:eastAsia="微软雅黑" w:cs="微软雅黑"/>
                <w:b/>
                <w:bCs/>
                <w:spacing w:val="1"/>
                <w:sz w:val="11"/>
                <w:szCs w:val="11"/>
              </w:rPr>
              <w:t>项目代码</w:t>
            </w:r>
          </w:p>
        </w:tc>
        <w:tc>
          <w:tcPr>
            <w:tcW w:w="4123" w:type="dxa"/>
            <w:gridSpan w:val="4"/>
            <w:vAlign w:val="top"/>
          </w:tcPr>
          <w:p w14:paraId="1AFDCEB9">
            <w:pPr>
              <w:spacing w:line="151" w:lineRule="exact"/>
              <w:rPr>
                <w:rFonts w:ascii="Arial"/>
                <w:sz w:val="13"/>
              </w:rPr>
            </w:pPr>
          </w:p>
        </w:tc>
        <w:tc>
          <w:tcPr>
            <w:tcW w:w="2189" w:type="dxa"/>
            <w:gridSpan w:val="2"/>
            <w:vMerge w:val="continue"/>
            <w:tcBorders>
              <w:top w:val="nil"/>
              <w:bottom w:val="nil"/>
            </w:tcBorders>
            <w:vAlign w:val="top"/>
          </w:tcPr>
          <w:p w14:paraId="107B446D">
            <w:pPr>
              <w:rPr>
                <w:rFonts w:ascii="Arial"/>
                <w:sz w:val="21"/>
              </w:rPr>
            </w:pPr>
          </w:p>
        </w:tc>
        <w:tc>
          <w:tcPr>
            <w:tcW w:w="5679" w:type="dxa"/>
            <w:gridSpan w:val="7"/>
            <w:vMerge w:val="continue"/>
            <w:tcBorders>
              <w:top w:val="nil"/>
              <w:bottom w:val="nil"/>
              <w:right w:val="single" w:color="000000" w:sz="6" w:space="0"/>
            </w:tcBorders>
            <w:vAlign w:val="top"/>
          </w:tcPr>
          <w:p w14:paraId="12CA12F4">
            <w:pPr>
              <w:rPr>
                <w:rFonts w:ascii="Arial"/>
                <w:sz w:val="21"/>
              </w:rPr>
            </w:pPr>
          </w:p>
        </w:tc>
      </w:tr>
      <w:tr w14:paraId="6C8B701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2" w:hRule="atLeast"/>
        </w:trPr>
        <w:tc>
          <w:tcPr>
            <w:tcW w:w="622" w:type="dxa"/>
            <w:vMerge w:val="continue"/>
            <w:tcBorders>
              <w:top w:val="nil"/>
              <w:left w:val="single" w:color="000000" w:sz="6" w:space="0"/>
              <w:bottom w:val="nil"/>
            </w:tcBorders>
            <w:vAlign w:val="top"/>
          </w:tcPr>
          <w:p w14:paraId="344228FB">
            <w:pPr>
              <w:rPr>
                <w:rFonts w:ascii="Arial"/>
                <w:sz w:val="21"/>
              </w:rPr>
            </w:pPr>
          </w:p>
        </w:tc>
        <w:tc>
          <w:tcPr>
            <w:tcW w:w="1812" w:type="dxa"/>
            <w:gridSpan w:val="3"/>
            <w:shd w:val="clear" w:color="auto" w:fill="BFBFBF"/>
            <w:vAlign w:val="top"/>
          </w:tcPr>
          <w:p w14:paraId="2D913D9D">
            <w:pPr>
              <w:spacing w:before="19" w:line="168" w:lineRule="auto"/>
              <w:ind w:left="331"/>
              <w:rPr>
                <w:rFonts w:ascii="微软雅黑" w:hAnsi="微软雅黑" w:eastAsia="微软雅黑" w:cs="微软雅黑"/>
                <w:sz w:val="11"/>
                <w:szCs w:val="11"/>
              </w:rPr>
            </w:pPr>
            <w:r>
              <w:rPr>
                <w:rFonts w:ascii="微软雅黑" w:hAnsi="微软雅黑" w:eastAsia="微软雅黑" w:cs="微软雅黑"/>
                <w:b/>
                <w:bCs/>
                <w:spacing w:val="2"/>
                <w:sz w:val="11"/>
                <w:szCs w:val="11"/>
              </w:rPr>
              <w:t>环评信用平台项目编号</w:t>
            </w:r>
          </w:p>
        </w:tc>
        <w:tc>
          <w:tcPr>
            <w:tcW w:w="4123" w:type="dxa"/>
            <w:gridSpan w:val="4"/>
            <w:vAlign w:val="top"/>
          </w:tcPr>
          <w:p w14:paraId="117E9057">
            <w:pPr>
              <w:spacing w:line="151" w:lineRule="exact"/>
              <w:rPr>
                <w:rFonts w:ascii="Arial"/>
                <w:sz w:val="13"/>
              </w:rPr>
            </w:pPr>
          </w:p>
        </w:tc>
        <w:tc>
          <w:tcPr>
            <w:tcW w:w="2189" w:type="dxa"/>
            <w:gridSpan w:val="2"/>
            <w:vMerge w:val="continue"/>
            <w:tcBorders>
              <w:top w:val="nil"/>
            </w:tcBorders>
            <w:vAlign w:val="top"/>
          </w:tcPr>
          <w:p w14:paraId="53D63E1D">
            <w:pPr>
              <w:rPr>
                <w:rFonts w:ascii="Arial"/>
                <w:sz w:val="21"/>
              </w:rPr>
            </w:pPr>
          </w:p>
        </w:tc>
        <w:tc>
          <w:tcPr>
            <w:tcW w:w="5679" w:type="dxa"/>
            <w:gridSpan w:val="7"/>
            <w:vMerge w:val="continue"/>
            <w:tcBorders>
              <w:top w:val="nil"/>
              <w:right w:val="single" w:color="000000" w:sz="6" w:space="0"/>
            </w:tcBorders>
            <w:vAlign w:val="top"/>
          </w:tcPr>
          <w:p w14:paraId="091DF5C3">
            <w:pPr>
              <w:rPr>
                <w:rFonts w:ascii="Arial"/>
                <w:sz w:val="21"/>
              </w:rPr>
            </w:pPr>
          </w:p>
        </w:tc>
      </w:tr>
      <w:tr w14:paraId="11A569F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7F054E09">
            <w:pPr>
              <w:rPr>
                <w:rFonts w:ascii="Arial"/>
                <w:sz w:val="21"/>
              </w:rPr>
            </w:pPr>
          </w:p>
        </w:tc>
        <w:tc>
          <w:tcPr>
            <w:tcW w:w="1812" w:type="dxa"/>
            <w:gridSpan w:val="3"/>
            <w:shd w:val="clear" w:color="auto" w:fill="BFBFBF"/>
            <w:vAlign w:val="top"/>
          </w:tcPr>
          <w:p w14:paraId="2601C6E6">
            <w:pPr>
              <w:spacing w:before="22" w:line="174" w:lineRule="auto"/>
              <w:ind w:left="670"/>
              <w:rPr>
                <w:rFonts w:ascii="微软雅黑" w:hAnsi="微软雅黑" w:eastAsia="微软雅黑" w:cs="微软雅黑"/>
                <w:sz w:val="11"/>
                <w:szCs w:val="11"/>
              </w:rPr>
            </w:pPr>
            <w:r>
              <w:rPr>
                <w:rFonts w:ascii="微软雅黑" w:hAnsi="微软雅黑" w:eastAsia="微软雅黑" w:cs="微软雅黑"/>
                <w:b/>
                <w:bCs/>
                <w:spacing w:val="1"/>
                <w:sz w:val="11"/>
                <w:szCs w:val="11"/>
              </w:rPr>
              <w:t>建设地点</w:t>
            </w:r>
          </w:p>
        </w:tc>
        <w:tc>
          <w:tcPr>
            <w:tcW w:w="4123" w:type="dxa"/>
            <w:gridSpan w:val="4"/>
            <w:vAlign w:val="top"/>
          </w:tcPr>
          <w:p w14:paraId="574FC09A">
            <w:pPr>
              <w:pStyle w:val="6"/>
              <w:spacing w:before="22" w:line="222" w:lineRule="auto"/>
              <w:ind w:left="214"/>
              <w:rPr>
                <w:sz w:val="11"/>
                <w:szCs w:val="11"/>
              </w:rPr>
            </w:pPr>
            <w:r>
              <w:rPr>
                <w:b/>
                <w:bCs/>
                <w:sz w:val="11"/>
                <w:szCs w:val="11"/>
              </w:rPr>
              <w:t>位于内蒙古自治区西乌珠穆沁旗巴彦花镇巴彦胡博嘎查，现有矿区范围内。</w:t>
            </w:r>
          </w:p>
        </w:tc>
        <w:tc>
          <w:tcPr>
            <w:tcW w:w="2189" w:type="dxa"/>
            <w:gridSpan w:val="2"/>
            <w:shd w:val="clear" w:color="auto" w:fill="BFBFBF"/>
            <w:vAlign w:val="top"/>
          </w:tcPr>
          <w:p w14:paraId="16F5B371">
            <w:pPr>
              <w:spacing w:before="22" w:line="174" w:lineRule="auto"/>
              <w:ind w:left="867"/>
              <w:rPr>
                <w:rFonts w:ascii="微软雅黑" w:hAnsi="微软雅黑" w:eastAsia="微软雅黑" w:cs="微软雅黑"/>
                <w:sz w:val="11"/>
                <w:szCs w:val="11"/>
              </w:rPr>
            </w:pPr>
            <w:r>
              <w:rPr>
                <w:rFonts w:ascii="微软雅黑" w:hAnsi="微软雅黑" w:eastAsia="微软雅黑" w:cs="微软雅黑"/>
                <w:b/>
                <w:bCs/>
                <w:spacing w:val="1"/>
                <w:sz w:val="11"/>
                <w:szCs w:val="11"/>
              </w:rPr>
              <w:t>建设规模</w:t>
            </w:r>
          </w:p>
        </w:tc>
        <w:tc>
          <w:tcPr>
            <w:tcW w:w="5679" w:type="dxa"/>
            <w:gridSpan w:val="7"/>
            <w:tcBorders>
              <w:right w:val="single" w:color="000000" w:sz="6" w:space="0"/>
            </w:tcBorders>
            <w:vAlign w:val="top"/>
          </w:tcPr>
          <w:p w14:paraId="4A3AC078">
            <w:pPr>
              <w:pStyle w:val="6"/>
              <w:spacing w:before="22" w:line="223" w:lineRule="auto"/>
              <w:ind w:left="236"/>
              <w:rPr>
                <w:sz w:val="11"/>
                <w:szCs w:val="11"/>
              </w:rPr>
            </w:pPr>
            <w:r>
              <w:rPr>
                <w:b/>
                <w:bCs/>
                <w:sz w:val="11"/>
                <w:szCs w:val="11"/>
              </w:rPr>
              <w:t>新选厂形成1400t/d+2000t/d的生产规模，原2000t/d选矿工程停用。选厂年处理原矿量不变，仍为72万t。</w:t>
            </w:r>
          </w:p>
        </w:tc>
      </w:tr>
      <w:tr w14:paraId="5E723A2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09FEB3BB">
            <w:pPr>
              <w:rPr>
                <w:rFonts w:ascii="Arial"/>
                <w:sz w:val="21"/>
              </w:rPr>
            </w:pPr>
          </w:p>
        </w:tc>
        <w:tc>
          <w:tcPr>
            <w:tcW w:w="1812" w:type="dxa"/>
            <w:gridSpan w:val="3"/>
            <w:shd w:val="clear" w:color="auto" w:fill="BFBFBF"/>
            <w:vAlign w:val="top"/>
          </w:tcPr>
          <w:p w14:paraId="3F55AD4B">
            <w:pPr>
              <w:spacing w:before="22" w:line="173" w:lineRule="auto"/>
              <w:ind w:left="389"/>
              <w:rPr>
                <w:rFonts w:ascii="微软雅黑" w:hAnsi="微软雅黑" w:eastAsia="微软雅黑" w:cs="微软雅黑"/>
                <w:sz w:val="11"/>
                <w:szCs w:val="11"/>
              </w:rPr>
            </w:pPr>
            <w:r>
              <w:rPr>
                <w:rFonts w:ascii="微软雅黑" w:hAnsi="微软雅黑" w:eastAsia="微软雅黑" w:cs="微软雅黑"/>
                <w:b/>
                <w:bCs/>
                <w:spacing w:val="1"/>
                <w:sz w:val="11"/>
                <w:szCs w:val="11"/>
              </w:rPr>
              <w:t>项目建设周期（月）</w:t>
            </w:r>
          </w:p>
        </w:tc>
        <w:tc>
          <w:tcPr>
            <w:tcW w:w="4123" w:type="dxa"/>
            <w:gridSpan w:val="4"/>
            <w:vAlign w:val="top"/>
          </w:tcPr>
          <w:p w14:paraId="0D14264C">
            <w:pPr>
              <w:pStyle w:val="6"/>
              <w:spacing w:before="23" w:line="228" w:lineRule="auto"/>
              <w:ind w:left="2028"/>
              <w:rPr>
                <w:sz w:val="11"/>
                <w:szCs w:val="11"/>
              </w:rPr>
            </w:pPr>
            <w:r>
              <w:rPr>
                <w:b/>
                <w:bCs/>
                <w:spacing w:val="-2"/>
                <w:sz w:val="11"/>
                <w:szCs w:val="11"/>
              </w:rPr>
              <w:t>4</w:t>
            </w:r>
          </w:p>
        </w:tc>
        <w:tc>
          <w:tcPr>
            <w:tcW w:w="2189" w:type="dxa"/>
            <w:gridSpan w:val="2"/>
            <w:shd w:val="clear" w:color="auto" w:fill="BFBFBF"/>
            <w:vAlign w:val="top"/>
          </w:tcPr>
          <w:p w14:paraId="3C2FA47B">
            <w:pPr>
              <w:spacing w:before="22" w:line="173" w:lineRule="auto"/>
              <w:ind w:left="754"/>
              <w:rPr>
                <w:rFonts w:ascii="微软雅黑" w:hAnsi="微软雅黑" w:eastAsia="微软雅黑" w:cs="微软雅黑"/>
                <w:sz w:val="11"/>
                <w:szCs w:val="11"/>
              </w:rPr>
            </w:pPr>
            <w:r>
              <w:rPr>
                <w:rFonts w:ascii="微软雅黑" w:hAnsi="微软雅黑" w:eastAsia="微软雅黑" w:cs="微软雅黑"/>
                <w:b/>
                <w:bCs/>
                <w:spacing w:val="1"/>
                <w:sz w:val="11"/>
                <w:szCs w:val="11"/>
              </w:rPr>
              <w:t>计划开工时间</w:t>
            </w:r>
          </w:p>
        </w:tc>
        <w:tc>
          <w:tcPr>
            <w:tcW w:w="5679" w:type="dxa"/>
            <w:gridSpan w:val="7"/>
            <w:tcBorders>
              <w:right w:val="single" w:color="000000" w:sz="6" w:space="0"/>
            </w:tcBorders>
            <w:vAlign w:val="top"/>
          </w:tcPr>
          <w:p w14:paraId="57EE8554">
            <w:pPr>
              <w:pStyle w:val="6"/>
              <w:spacing w:before="23" w:line="223" w:lineRule="auto"/>
              <w:ind w:left="2589"/>
              <w:rPr>
                <w:sz w:val="11"/>
                <w:szCs w:val="11"/>
              </w:rPr>
            </w:pPr>
            <w:r>
              <w:rPr>
                <w:b/>
                <w:bCs/>
                <w:spacing w:val="-1"/>
                <w:sz w:val="11"/>
                <w:szCs w:val="11"/>
              </w:rPr>
              <w:t>2023年9月</w:t>
            </w:r>
          </w:p>
        </w:tc>
      </w:tr>
      <w:tr w14:paraId="570E324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0478C1F7">
            <w:pPr>
              <w:rPr>
                <w:rFonts w:ascii="Arial"/>
                <w:sz w:val="21"/>
              </w:rPr>
            </w:pPr>
          </w:p>
        </w:tc>
        <w:tc>
          <w:tcPr>
            <w:tcW w:w="1812" w:type="dxa"/>
            <w:gridSpan w:val="3"/>
            <w:shd w:val="clear" w:color="auto" w:fill="BFBFBF"/>
            <w:vAlign w:val="top"/>
          </w:tcPr>
          <w:p w14:paraId="6C365AEB">
            <w:pPr>
              <w:spacing w:before="23" w:line="172" w:lineRule="auto"/>
              <w:ind w:left="670"/>
              <w:rPr>
                <w:rFonts w:ascii="微软雅黑" w:hAnsi="微软雅黑" w:eastAsia="微软雅黑" w:cs="微软雅黑"/>
                <w:sz w:val="11"/>
                <w:szCs w:val="11"/>
              </w:rPr>
            </w:pPr>
            <w:r>
              <w:rPr>
                <w:rFonts w:ascii="微软雅黑" w:hAnsi="微软雅黑" w:eastAsia="微软雅黑" w:cs="微软雅黑"/>
                <w:b/>
                <w:bCs/>
                <w:spacing w:val="1"/>
                <w:sz w:val="11"/>
                <w:szCs w:val="11"/>
              </w:rPr>
              <w:t>建设性质</w:t>
            </w:r>
          </w:p>
        </w:tc>
        <w:tc>
          <w:tcPr>
            <w:tcW w:w="4123" w:type="dxa"/>
            <w:gridSpan w:val="4"/>
            <w:vAlign w:val="top"/>
          </w:tcPr>
          <w:p w14:paraId="0BF4BF1B">
            <w:pPr>
              <w:pStyle w:val="6"/>
              <w:spacing w:before="23" w:line="223" w:lineRule="auto"/>
              <w:ind w:left="1832"/>
              <w:rPr>
                <w:sz w:val="11"/>
                <w:szCs w:val="11"/>
              </w:rPr>
            </w:pPr>
            <w:r>
              <w:rPr>
                <w:b/>
                <w:bCs/>
                <w:spacing w:val="-1"/>
                <w:sz w:val="11"/>
                <w:szCs w:val="11"/>
              </w:rPr>
              <w:t>技术改造</w:t>
            </w:r>
          </w:p>
        </w:tc>
        <w:tc>
          <w:tcPr>
            <w:tcW w:w="2189" w:type="dxa"/>
            <w:gridSpan w:val="2"/>
            <w:shd w:val="clear" w:color="auto" w:fill="BFBFBF"/>
            <w:vAlign w:val="top"/>
          </w:tcPr>
          <w:p w14:paraId="007554F3">
            <w:pPr>
              <w:spacing w:before="23" w:line="172" w:lineRule="auto"/>
              <w:ind w:left="756"/>
              <w:rPr>
                <w:rFonts w:ascii="微软雅黑" w:hAnsi="微软雅黑" w:eastAsia="微软雅黑" w:cs="微软雅黑"/>
                <w:sz w:val="11"/>
                <w:szCs w:val="11"/>
              </w:rPr>
            </w:pPr>
            <w:r>
              <w:rPr>
                <w:rFonts w:ascii="微软雅黑" w:hAnsi="微软雅黑" w:eastAsia="微软雅黑" w:cs="微软雅黑"/>
                <w:b/>
                <w:bCs/>
                <w:spacing w:val="1"/>
                <w:sz w:val="11"/>
                <w:szCs w:val="11"/>
              </w:rPr>
              <w:t>预计投产时间</w:t>
            </w:r>
          </w:p>
        </w:tc>
        <w:tc>
          <w:tcPr>
            <w:tcW w:w="5679" w:type="dxa"/>
            <w:gridSpan w:val="7"/>
            <w:tcBorders>
              <w:right w:val="single" w:color="000000" w:sz="6" w:space="0"/>
            </w:tcBorders>
            <w:vAlign w:val="top"/>
          </w:tcPr>
          <w:p w14:paraId="7D2D3FBB">
            <w:pPr>
              <w:pStyle w:val="6"/>
              <w:spacing w:before="23" w:line="223" w:lineRule="auto"/>
              <w:ind w:left="2560"/>
              <w:rPr>
                <w:sz w:val="11"/>
                <w:szCs w:val="11"/>
              </w:rPr>
            </w:pPr>
            <w:r>
              <w:rPr>
                <w:b/>
                <w:bCs/>
                <w:spacing w:val="-1"/>
                <w:sz w:val="11"/>
                <w:szCs w:val="11"/>
              </w:rPr>
              <w:t>2023年12月</w:t>
            </w:r>
          </w:p>
        </w:tc>
      </w:tr>
      <w:tr w14:paraId="660F3D5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2F4B596C">
            <w:pPr>
              <w:rPr>
                <w:rFonts w:ascii="Arial"/>
                <w:sz w:val="21"/>
              </w:rPr>
            </w:pPr>
          </w:p>
        </w:tc>
        <w:tc>
          <w:tcPr>
            <w:tcW w:w="1812" w:type="dxa"/>
            <w:gridSpan w:val="3"/>
            <w:shd w:val="clear" w:color="auto" w:fill="BFBFBF"/>
            <w:vAlign w:val="top"/>
          </w:tcPr>
          <w:p w14:paraId="7B9439CD">
            <w:pPr>
              <w:spacing w:before="23" w:line="172" w:lineRule="auto"/>
              <w:ind w:left="331"/>
              <w:rPr>
                <w:rFonts w:ascii="微软雅黑" w:hAnsi="微软雅黑" w:eastAsia="微软雅黑" w:cs="微软雅黑"/>
                <w:sz w:val="11"/>
                <w:szCs w:val="11"/>
              </w:rPr>
            </w:pPr>
            <w:r>
              <w:rPr>
                <w:rFonts w:ascii="微软雅黑" w:hAnsi="微软雅黑" w:eastAsia="微软雅黑" w:cs="微软雅黑"/>
                <w:b/>
                <w:bCs/>
                <w:spacing w:val="2"/>
                <w:sz w:val="11"/>
                <w:szCs w:val="11"/>
              </w:rPr>
              <w:t>环境影响评价行业类别</w:t>
            </w:r>
          </w:p>
        </w:tc>
        <w:tc>
          <w:tcPr>
            <w:tcW w:w="4123" w:type="dxa"/>
            <w:gridSpan w:val="4"/>
            <w:vAlign w:val="top"/>
          </w:tcPr>
          <w:p w14:paraId="5B957C98">
            <w:pPr>
              <w:pStyle w:val="6"/>
              <w:spacing w:before="24" w:line="222" w:lineRule="auto"/>
              <w:ind w:left="1393"/>
              <w:rPr>
                <w:sz w:val="11"/>
                <w:szCs w:val="11"/>
              </w:rPr>
            </w:pPr>
            <w:r>
              <w:rPr>
                <w:b/>
                <w:bCs/>
                <w:spacing w:val="-1"/>
                <w:sz w:val="11"/>
                <w:szCs w:val="11"/>
              </w:rPr>
              <w:t>10-091常用有色金属矿采选</w:t>
            </w:r>
          </w:p>
        </w:tc>
        <w:tc>
          <w:tcPr>
            <w:tcW w:w="2189" w:type="dxa"/>
            <w:gridSpan w:val="2"/>
            <w:shd w:val="clear" w:color="auto" w:fill="BFBFBF"/>
            <w:vAlign w:val="top"/>
          </w:tcPr>
          <w:p w14:paraId="2DE1B6A0">
            <w:pPr>
              <w:spacing w:before="23" w:line="172" w:lineRule="auto"/>
              <w:ind w:left="477"/>
              <w:rPr>
                <w:rFonts w:ascii="微软雅黑" w:hAnsi="微软雅黑" w:eastAsia="微软雅黑" w:cs="微软雅黑"/>
                <w:sz w:val="11"/>
                <w:szCs w:val="11"/>
              </w:rPr>
            </w:pPr>
            <w:r>
              <w:rPr>
                <w:rFonts w:ascii="微软雅黑" w:hAnsi="微软雅黑" w:eastAsia="微软雅黑" w:cs="微软雅黑"/>
                <w:b/>
                <w:bCs/>
                <w:spacing w:val="1"/>
                <w:sz w:val="11"/>
                <w:szCs w:val="11"/>
              </w:rPr>
              <w:t>国民经济行业类型及代码</w:t>
            </w:r>
          </w:p>
        </w:tc>
        <w:tc>
          <w:tcPr>
            <w:tcW w:w="5679" w:type="dxa"/>
            <w:gridSpan w:val="7"/>
            <w:tcBorders>
              <w:right w:val="single" w:color="000000" w:sz="6" w:space="0"/>
            </w:tcBorders>
            <w:vAlign w:val="top"/>
          </w:tcPr>
          <w:p w14:paraId="5F9EA28C">
            <w:pPr>
              <w:pStyle w:val="6"/>
              <w:spacing w:before="24" w:line="222" w:lineRule="auto"/>
              <w:ind w:left="2417"/>
              <w:rPr>
                <w:sz w:val="11"/>
                <w:szCs w:val="11"/>
              </w:rPr>
            </w:pPr>
            <w:r>
              <w:rPr>
                <w:b/>
                <w:bCs/>
                <w:sz w:val="11"/>
                <w:szCs w:val="11"/>
              </w:rPr>
              <w:t>B0912铅锌矿采选</w:t>
            </w:r>
          </w:p>
        </w:tc>
      </w:tr>
      <w:tr w14:paraId="75D29AE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49" w:hRule="atLeast"/>
        </w:trPr>
        <w:tc>
          <w:tcPr>
            <w:tcW w:w="622" w:type="dxa"/>
            <w:vMerge w:val="continue"/>
            <w:tcBorders>
              <w:top w:val="nil"/>
              <w:left w:val="single" w:color="000000" w:sz="6" w:space="0"/>
              <w:bottom w:val="nil"/>
            </w:tcBorders>
            <w:vAlign w:val="top"/>
          </w:tcPr>
          <w:p w14:paraId="6C5B943F">
            <w:pPr>
              <w:rPr>
                <w:rFonts w:ascii="Arial"/>
                <w:sz w:val="21"/>
              </w:rPr>
            </w:pPr>
          </w:p>
        </w:tc>
        <w:tc>
          <w:tcPr>
            <w:tcW w:w="1812" w:type="dxa"/>
            <w:gridSpan w:val="3"/>
            <w:shd w:val="clear" w:color="auto" w:fill="BFBFBF"/>
            <w:vAlign w:val="top"/>
          </w:tcPr>
          <w:p w14:paraId="50E40C00">
            <w:pPr>
              <w:spacing w:before="45" w:line="177" w:lineRule="auto"/>
              <w:ind w:left="51"/>
              <w:rPr>
                <w:rFonts w:ascii="微软雅黑" w:hAnsi="微软雅黑" w:eastAsia="微软雅黑" w:cs="微软雅黑"/>
                <w:sz w:val="11"/>
                <w:szCs w:val="11"/>
              </w:rPr>
            </w:pPr>
            <w:r>
              <w:rPr>
                <w:rFonts w:ascii="微软雅黑" w:hAnsi="微软雅黑" w:eastAsia="微软雅黑" w:cs="微软雅黑"/>
                <w:b/>
                <w:bCs/>
                <w:spacing w:val="2"/>
                <w:sz w:val="11"/>
                <w:szCs w:val="11"/>
              </w:rPr>
              <w:t>现有工程排污许可证或排污登记表</w:t>
            </w:r>
          </w:p>
          <w:p w14:paraId="09929395">
            <w:pPr>
              <w:spacing w:line="183" w:lineRule="auto"/>
              <w:ind w:left="331"/>
              <w:rPr>
                <w:rFonts w:ascii="微软雅黑" w:hAnsi="微软雅黑" w:eastAsia="微软雅黑" w:cs="微软雅黑"/>
                <w:sz w:val="11"/>
                <w:szCs w:val="11"/>
              </w:rPr>
            </w:pPr>
            <w:r>
              <w:rPr>
                <w:rFonts w:ascii="微软雅黑" w:hAnsi="微软雅黑" w:eastAsia="微软雅黑" w:cs="微软雅黑"/>
                <w:b/>
                <w:bCs/>
                <w:spacing w:val="2"/>
                <w:sz w:val="11"/>
                <w:szCs w:val="11"/>
              </w:rPr>
              <w:t>编号（改、扩建项目）</w:t>
            </w:r>
          </w:p>
        </w:tc>
        <w:tc>
          <w:tcPr>
            <w:tcW w:w="1925" w:type="dxa"/>
            <w:gridSpan w:val="2"/>
            <w:vAlign w:val="top"/>
          </w:tcPr>
          <w:p w14:paraId="5873680D">
            <w:pPr>
              <w:rPr>
                <w:rFonts w:ascii="Arial"/>
                <w:sz w:val="21"/>
              </w:rPr>
            </w:pPr>
          </w:p>
        </w:tc>
        <w:tc>
          <w:tcPr>
            <w:tcW w:w="1215" w:type="dxa"/>
            <w:shd w:val="clear" w:color="auto" w:fill="BFBFBF"/>
            <w:vAlign w:val="top"/>
          </w:tcPr>
          <w:p w14:paraId="39A3A85D">
            <w:pPr>
              <w:spacing w:before="45" w:line="177" w:lineRule="auto"/>
              <w:ind w:left="39"/>
              <w:rPr>
                <w:rFonts w:ascii="微软雅黑" w:hAnsi="微软雅黑" w:eastAsia="微软雅黑" w:cs="微软雅黑"/>
                <w:sz w:val="11"/>
                <w:szCs w:val="11"/>
              </w:rPr>
            </w:pPr>
            <w:r>
              <w:rPr>
                <w:rFonts w:ascii="微软雅黑" w:hAnsi="微软雅黑" w:eastAsia="微软雅黑" w:cs="微软雅黑"/>
                <w:b/>
                <w:bCs/>
                <w:spacing w:val="2"/>
                <w:sz w:val="11"/>
                <w:szCs w:val="11"/>
              </w:rPr>
              <w:t>现有工程排污许可管理</w:t>
            </w:r>
          </w:p>
          <w:p w14:paraId="783A9878">
            <w:pPr>
              <w:spacing w:line="183" w:lineRule="auto"/>
              <w:ind w:left="43"/>
              <w:rPr>
                <w:rFonts w:ascii="微软雅黑" w:hAnsi="微软雅黑" w:eastAsia="微软雅黑" w:cs="微软雅黑"/>
                <w:sz w:val="11"/>
                <w:szCs w:val="11"/>
              </w:rPr>
            </w:pPr>
            <w:r>
              <w:rPr>
                <w:rFonts w:ascii="微软雅黑" w:hAnsi="微软雅黑" w:eastAsia="微软雅黑" w:cs="微软雅黑"/>
                <w:b/>
                <w:bCs/>
                <w:spacing w:val="1"/>
                <w:sz w:val="11"/>
                <w:szCs w:val="11"/>
              </w:rPr>
              <w:t>类别（改、扩建项目）</w:t>
            </w:r>
          </w:p>
        </w:tc>
        <w:tc>
          <w:tcPr>
            <w:tcW w:w="983" w:type="dxa"/>
            <w:vAlign w:val="top"/>
          </w:tcPr>
          <w:p w14:paraId="31C06832">
            <w:pPr>
              <w:rPr>
                <w:rFonts w:ascii="Arial"/>
                <w:sz w:val="21"/>
              </w:rPr>
            </w:pPr>
          </w:p>
        </w:tc>
        <w:tc>
          <w:tcPr>
            <w:tcW w:w="2189" w:type="dxa"/>
            <w:gridSpan w:val="2"/>
            <w:shd w:val="clear" w:color="auto" w:fill="BFBFBF"/>
            <w:vAlign w:val="top"/>
          </w:tcPr>
          <w:p w14:paraId="2A0ED53E">
            <w:pPr>
              <w:spacing w:before="115" w:line="187" w:lineRule="auto"/>
              <w:ind w:left="754"/>
              <w:rPr>
                <w:rFonts w:ascii="微软雅黑" w:hAnsi="微软雅黑" w:eastAsia="微软雅黑" w:cs="微软雅黑"/>
                <w:sz w:val="11"/>
                <w:szCs w:val="11"/>
              </w:rPr>
            </w:pPr>
            <w:r>
              <w:rPr>
                <w:rFonts w:ascii="微软雅黑" w:hAnsi="微软雅黑" w:eastAsia="微软雅黑" w:cs="微软雅黑"/>
                <w:b/>
                <w:bCs/>
                <w:spacing w:val="2"/>
                <w:sz w:val="11"/>
                <w:szCs w:val="11"/>
              </w:rPr>
              <w:t>项目申请类别</w:t>
            </w:r>
          </w:p>
        </w:tc>
        <w:tc>
          <w:tcPr>
            <w:tcW w:w="5679" w:type="dxa"/>
            <w:gridSpan w:val="7"/>
            <w:tcBorders>
              <w:right w:val="single" w:color="000000" w:sz="6" w:space="0"/>
            </w:tcBorders>
            <w:vAlign w:val="top"/>
          </w:tcPr>
          <w:p w14:paraId="68286029">
            <w:pPr>
              <w:pStyle w:val="6"/>
              <w:spacing w:before="115" w:line="223" w:lineRule="auto"/>
              <w:ind w:left="2617"/>
              <w:rPr>
                <w:sz w:val="11"/>
                <w:szCs w:val="11"/>
              </w:rPr>
            </w:pPr>
            <w:r>
              <w:rPr>
                <w:b/>
                <w:bCs/>
                <w:spacing w:val="-1"/>
                <w:sz w:val="11"/>
                <w:szCs w:val="11"/>
              </w:rPr>
              <w:t>新申项目</w:t>
            </w:r>
          </w:p>
        </w:tc>
      </w:tr>
      <w:tr w14:paraId="44CC257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204C5028">
            <w:pPr>
              <w:rPr>
                <w:rFonts w:ascii="Arial"/>
                <w:sz w:val="21"/>
              </w:rPr>
            </w:pPr>
          </w:p>
        </w:tc>
        <w:tc>
          <w:tcPr>
            <w:tcW w:w="1812" w:type="dxa"/>
            <w:gridSpan w:val="3"/>
            <w:shd w:val="clear" w:color="auto" w:fill="BFBFBF"/>
            <w:vAlign w:val="top"/>
          </w:tcPr>
          <w:p w14:paraId="269C8158">
            <w:pPr>
              <w:spacing w:before="24" w:line="171" w:lineRule="auto"/>
              <w:ind w:left="443"/>
              <w:rPr>
                <w:rFonts w:ascii="微软雅黑" w:hAnsi="微软雅黑" w:eastAsia="微软雅黑" w:cs="微软雅黑"/>
                <w:sz w:val="11"/>
                <w:szCs w:val="11"/>
              </w:rPr>
            </w:pPr>
            <w:r>
              <w:rPr>
                <w:rFonts w:ascii="微软雅黑" w:hAnsi="微软雅黑" w:eastAsia="微软雅黑" w:cs="微软雅黑"/>
                <w:b/>
                <w:bCs/>
                <w:spacing w:val="2"/>
                <w:sz w:val="11"/>
                <w:szCs w:val="11"/>
              </w:rPr>
              <w:t>规划环评开展情况</w:t>
            </w:r>
          </w:p>
        </w:tc>
        <w:tc>
          <w:tcPr>
            <w:tcW w:w="4123" w:type="dxa"/>
            <w:gridSpan w:val="4"/>
            <w:vAlign w:val="top"/>
          </w:tcPr>
          <w:p w14:paraId="53D124D7">
            <w:pPr>
              <w:pStyle w:val="6"/>
              <w:spacing w:before="24" w:line="224" w:lineRule="auto"/>
              <w:ind w:left="1833"/>
              <w:rPr>
                <w:sz w:val="11"/>
                <w:szCs w:val="11"/>
              </w:rPr>
            </w:pPr>
            <w:r>
              <w:rPr>
                <w:b/>
                <w:bCs/>
                <w:spacing w:val="-1"/>
                <w:sz w:val="11"/>
                <w:szCs w:val="11"/>
              </w:rPr>
              <w:t>不需开展</w:t>
            </w:r>
          </w:p>
        </w:tc>
        <w:tc>
          <w:tcPr>
            <w:tcW w:w="2189" w:type="dxa"/>
            <w:gridSpan w:val="2"/>
            <w:shd w:val="clear" w:color="auto" w:fill="BFBFBF"/>
            <w:vAlign w:val="top"/>
          </w:tcPr>
          <w:p w14:paraId="6A898621">
            <w:pPr>
              <w:spacing w:before="24" w:line="171" w:lineRule="auto"/>
              <w:ind w:left="698"/>
              <w:rPr>
                <w:rFonts w:ascii="微软雅黑" w:hAnsi="微软雅黑" w:eastAsia="微软雅黑" w:cs="微软雅黑"/>
                <w:sz w:val="11"/>
                <w:szCs w:val="11"/>
              </w:rPr>
            </w:pPr>
            <w:r>
              <w:rPr>
                <w:rFonts w:ascii="微软雅黑" w:hAnsi="微软雅黑" w:eastAsia="微软雅黑" w:cs="微软雅黑"/>
                <w:b/>
                <w:bCs/>
                <w:spacing w:val="2"/>
                <w:sz w:val="11"/>
                <w:szCs w:val="11"/>
              </w:rPr>
              <w:t>规划环评文件名</w:t>
            </w:r>
          </w:p>
        </w:tc>
        <w:tc>
          <w:tcPr>
            <w:tcW w:w="5679" w:type="dxa"/>
            <w:gridSpan w:val="7"/>
            <w:tcBorders>
              <w:right w:val="single" w:color="000000" w:sz="6" w:space="0"/>
            </w:tcBorders>
            <w:vAlign w:val="top"/>
          </w:tcPr>
          <w:p w14:paraId="52C34904">
            <w:pPr>
              <w:spacing w:line="159" w:lineRule="exact"/>
              <w:rPr>
                <w:rFonts w:ascii="Arial"/>
                <w:sz w:val="13"/>
              </w:rPr>
            </w:pPr>
          </w:p>
        </w:tc>
      </w:tr>
      <w:tr w14:paraId="319F32A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2EC05498">
            <w:pPr>
              <w:rPr>
                <w:rFonts w:ascii="Arial"/>
                <w:sz w:val="21"/>
              </w:rPr>
            </w:pPr>
          </w:p>
        </w:tc>
        <w:tc>
          <w:tcPr>
            <w:tcW w:w="1812" w:type="dxa"/>
            <w:gridSpan w:val="3"/>
            <w:shd w:val="clear" w:color="auto" w:fill="BFBFBF"/>
            <w:vAlign w:val="top"/>
          </w:tcPr>
          <w:p w14:paraId="63186DDE">
            <w:pPr>
              <w:spacing w:before="25" w:line="170" w:lineRule="auto"/>
              <w:ind w:left="443"/>
              <w:rPr>
                <w:rFonts w:ascii="微软雅黑" w:hAnsi="微软雅黑" w:eastAsia="微软雅黑" w:cs="微软雅黑"/>
                <w:sz w:val="11"/>
                <w:szCs w:val="11"/>
              </w:rPr>
            </w:pPr>
            <w:r>
              <w:rPr>
                <w:rFonts w:ascii="微软雅黑" w:hAnsi="微软雅黑" w:eastAsia="微软雅黑" w:cs="微软雅黑"/>
                <w:b/>
                <w:bCs/>
                <w:spacing w:val="2"/>
                <w:sz w:val="11"/>
                <w:szCs w:val="11"/>
              </w:rPr>
              <w:t>规划环评审查机关</w:t>
            </w:r>
          </w:p>
        </w:tc>
        <w:tc>
          <w:tcPr>
            <w:tcW w:w="4123" w:type="dxa"/>
            <w:gridSpan w:val="4"/>
            <w:vAlign w:val="top"/>
          </w:tcPr>
          <w:p w14:paraId="378CD2C7">
            <w:pPr>
              <w:spacing w:line="159" w:lineRule="exact"/>
              <w:rPr>
                <w:rFonts w:ascii="Arial"/>
                <w:sz w:val="13"/>
              </w:rPr>
            </w:pPr>
          </w:p>
        </w:tc>
        <w:tc>
          <w:tcPr>
            <w:tcW w:w="2189" w:type="dxa"/>
            <w:gridSpan w:val="2"/>
            <w:shd w:val="clear" w:color="auto" w:fill="BFBFBF"/>
            <w:vAlign w:val="top"/>
          </w:tcPr>
          <w:p w14:paraId="6D5A1D9F">
            <w:pPr>
              <w:spacing w:before="25" w:line="170" w:lineRule="auto"/>
              <w:ind w:left="528"/>
              <w:rPr>
                <w:rFonts w:ascii="微软雅黑" w:hAnsi="微软雅黑" w:eastAsia="微软雅黑" w:cs="微软雅黑"/>
                <w:sz w:val="11"/>
                <w:szCs w:val="11"/>
              </w:rPr>
            </w:pPr>
            <w:r>
              <w:rPr>
                <w:rFonts w:ascii="微软雅黑" w:hAnsi="微软雅黑" w:eastAsia="微软雅黑" w:cs="微软雅黑"/>
                <w:b/>
                <w:bCs/>
                <w:spacing w:val="2"/>
                <w:sz w:val="11"/>
                <w:szCs w:val="11"/>
              </w:rPr>
              <w:t>规划环评审查意见文号</w:t>
            </w:r>
          </w:p>
        </w:tc>
        <w:tc>
          <w:tcPr>
            <w:tcW w:w="5679" w:type="dxa"/>
            <w:gridSpan w:val="7"/>
            <w:tcBorders>
              <w:right w:val="single" w:color="000000" w:sz="6" w:space="0"/>
            </w:tcBorders>
            <w:vAlign w:val="top"/>
          </w:tcPr>
          <w:p w14:paraId="33127C92">
            <w:pPr>
              <w:spacing w:line="159" w:lineRule="exact"/>
              <w:rPr>
                <w:rFonts w:ascii="Arial"/>
                <w:sz w:val="13"/>
              </w:rPr>
            </w:pPr>
          </w:p>
        </w:tc>
      </w:tr>
      <w:tr w14:paraId="6858D9A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63" w:hRule="atLeast"/>
        </w:trPr>
        <w:tc>
          <w:tcPr>
            <w:tcW w:w="622" w:type="dxa"/>
            <w:vMerge w:val="continue"/>
            <w:tcBorders>
              <w:top w:val="nil"/>
              <w:left w:val="single" w:color="000000" w:sz="6" w:space="0"/>
              <w:bottom w:val="nil"/>
            </w:tcBorders>
            <w:vAlign w:val="top"/>
          </w:tcPr>
          <w:p w14:paraId="47DA48BB">
            <w:pPr>
              <w:rPr>
                <w:rFonts w:ascii="Arial"/>
                <w:sz w:val="21"/>
              </w:rPr>
            </w:pPr>
          </w:p>
        </w:tc>
        <w:tc>
          <w:tcPr>
            <w:tcW w:w="1812" w:type="dxa"/>
            <w:gridSpan w:val="3"/>
            <w:shd w:val="clear" w:color="auto" w:fill="BFBFBF"/>
            <w:vAlign w:val="top"/>
          </w:tcPr>
          <w:p w14:paraId="1381628F">
            <w:pPr>
              <w:spacing w:before="13" w:line="177" w:lineRule="auto"/>
              <w:ind w:left="444"/>
              <w:rPr>
                <w:rFonts w:ascii="微软雅黑" w:hAnsi="微软雅黑" w:eastAsia="微软雅黑" w:cs="微软雅黑"/>
                <w:sz w:val="11"/>
                <w:szCs w:val="11"/>
              </w:rPr>
            </w:pPr>
            <w:r>
              <w:rPr>
                <w:rFonts w:ascii="微软雅黑" w:hAnsi="微软雅黑" w:eastAsia="微软雅黑" w:cs="微软雅黑"/>
                <w:b/>
                <w:bCs/>
                <w:spacing w:val="2"/>
                <w:sz w:val="11"/>
                <w:szCs w:val="11"/>
              </w:rPr>
              <w:t>建设地点中心坐标</w:t>
            </w:r>
          </w:p>
          <w:p w14:paraId="69FEA20E">
            <w:pPr>
              <w:spacing w:line="100" w:lineRule="exact"/>
              <w:ind w:left="510"/>
              <w:rPr>
                <w:rFonts w:ascii="微软雅黑" w:hAnsi="微软雅黑" w:eastAsia="微软雅黑" w:cs="微软雅黑"/>
                <w:sz w:val="11"/>
                <w:szCs w:val="11"/>
              </w:rPr>
            </w:pPr>
            <w:r>
              <w:rPr>
                <w:rFonts w:ascii="微软雅黑" w:hAnsi="微软雅黑" w:eastAsia="微软雅黑" w:cs="微软雅黑"/>
                <w:b/>
                <w:bCs/>
                <w:position w:val="-1"/>
                <w:sz w:val="11"/>
                <w:szCs w:val="11"/>
              </w:rPr>
              <w:t>（非线性工程）</w:t>
            </w:r>
          </w:p>
        </w:tc>
        <w:tc>
          <w:tcPr>
            <w:tcW w:w="846" w:type="dxa"/>
            <w:shd w:val="clear" w:color="auto" w:fill="BFBFBF"/>
            <w:vAlign w:val="top"/>
          </w:tcPr>
          <w:p w14:paraId="594EC2C0">
            <w:pPr>
              <w:spacing w:before="73" w:line="188" w:lineRule="auto"/>
              <w:ind w:left="304"/>
              <w:rPr>
                <w:rFonts w:ascii="微软雅黑" w:hAnsi="微软雅黑" w:eastAsia="微软雅黑" w:cs="微软雅黑"/>
                <w:sz w:val="11"/>
                <w:szCs w:val="11"/>
              </w:rPr>
            </w:pPr>
            <w:r>
              <w:rPr>
                <w:rFonts w:ascii="微软雅黑" w:hAnsi="微软雅黑" w:eastAsia="微软雅黑" w:cs="微软雅黑"/>
                <w:b/>
                <w:bCs/>
                <w:spacing w:val="-1"/>
                <w:sz w:val="11"/>
                <w:szCs w:val="11"/>
              </w:rPr>
              <w:t>经度</w:t>
            </w:r>
          </w:p>
        </w:tc>
        <w:tc>
          <w:tcPr>
            <w:tcW w:w="1079" w:type="dxa"/>
            <w:vAlign w:val="top"/>
          </w:tcPr>
          <w:p w14:paraId="0BF38678">
            <w:pPr>
              <w:spacing w:before="53" w:line="235" w:lineRule="auto"/>
              <w:ind w:left="232"/>
              <w:rPr>
                <w:rFonts w:ascii="Constantia" w:hAnsi="Constantia" w:eastAsia="Constantia" w:cs="Constantia"/>
                <w:sz w:val="12"/>
                <w:szCs w:val="12"/>
              </w:rPr>
            </w:pPr>
            <w:r>
              <w:rPr>
                <w:rFonts w:ascii="Constantia" w:hAnsi="Constantia" w:eastAsia="Constantia" w:cs="Constantia"/>
                <w:b/>
                <w:bCs/>
                <w:spacing w:val="3"/>
                <w:sz w:val="12"/>
                <w:szCs w:val="12"/>
              </w:rPr>
              <w:t>118.958641</w:t>
            </w:r>
          </w:p>
        </w:tc>
        <w:tc>
          <w:tcPr>
            <w:tcW w:w="1215" w:type="dxa"/>
            <w:shd w:val="clear" w:color="auto" w:fill="BFBFBF"/>
            <w:vAlign w:val="top"/>
          </w:tcPr>
          <w:p w14:paraId="6D1C88D8">
            <w:pPr>
              <w:spacing w:before="73" w:line="188" w:lineRule="auto"/>
              <w:ind w:left="489"/>
              <w:rPr>
                <w:rFonts w:ascii="微软雅黑" w:hAnsi="微软雅黑" w:eastAsia="微软雅黑" w:cs="微软雅黑"/>
                <w:sz w:val="11"/>
                <w:szCs w:val="11"/>
              </w:rPr>
            </w:pPr>
            <w:r>
              <w:rPr>
                <w:rFonts w:ascii="微软雅黑" w:hAnsi="微软雅黑" w:eastAsia="微软雅黑" w:cs="微软雅黑"/>
                <w:b/>
                <w:bCs/>
                <w:sz w:val="11"/>
                <w:szCs w:val="11"/>
              </w:rPr>
              <w:t>纬度</w:t>
            </w:r>
          </w:p>
        </w:tc>
        <w:tc>
          <w:tcPr>
            <w:tcW w:w="983" w:type="dxa"/>
            <w:vAlign w:val="top"/>
          </w:tcPr>
          <w:p w14:paraId="061F73AB">
            <w:pPr>
              <w:spacing w:before="53" w:line="235" w:lineRule="auto"/>
              <w:ind w:left="203"/>
              <w:rPr>
                <w:rFonts w:ascii="Constantia" w:hAnsi="Constantia" w:eastAsia="Constantia" w:cs="Constantia"/>
                <w:sz w:val="12"/>
                <w:szCs w:val="12"/>
              </w:rPr>
            </w:pPr>
            <w:r>
              <w:rPr>
                <w:rFonts w:ascii="Constantia" w:hAnsi="Constantia" w:eastAsia="Constantia" w:cs="Constantia"/>
                <w:b/>
                <w:bCs/>
                <w:spacing w:val="3"/>
                <w:sz w:val="12"/>
                <w:szCs w:val="12"/>
              </w:rPr>
              <w:t>45.271447</w:t>
            </w:r>
          </w:p>
        </w:tc>
        <w:tc>
          <w:tcPr>
            <w:tcW w:w="1120" w:type="dxa"/>
            <w:shd w:val="clear" w:color="auto" w:fill="BFBFBF"/>
            <w:vAlign w:val="top"/>
          </w:tcPr>
          <w:p w14:paraId="30884FEF">
            <w:pPr>
              <w:spacing w:before="73" w:line="183" w:lineRule="auto"/>
              <w:ind w:left="62"/>
              <w:rPr>
                <w:rFonts w:ascii="微软雅黑" w:hAnsi="微软雅黑" w:eastAsia="微软雅黑" w:cs="微软雅黑"/>
                <w:sz w:val="11"/>
                <w:szCs w:val="11"/>
              </w:rPr>
            </w:pPr>
            <w:r>
              <w:rPr>
                <w:rFonts w:ascii="微软雅黑" w:hAnsi="微软雅黑" w:eastAsia="微软雅黑" w:cs="微软雅黑"/>
                <w:b/>
                <w:bCs/>
                <w:sz w:val="11"/>
                <w:szCs w:val="11"/>
              </w:rPr>
              <w:t>占地面积（平方米）</w:t>
            </w:r>
          </w:p>
        </w:tc>
        <w:tc>
          <w:tcPr>
            <w:tcW w:w="1069" w:type="dxa"/>
            <w:vAlign w:val="top"/>
          </w:tcPr>
          <w:p w14:paraId="0363E082">
            <w:pPr>
              <w:spacing w:before="53" w:line="235" w:lineRule="auto"/>
              <w:ind w:left="286"/>
              <w:rPr>
                <w:rFonts w:ascii="Constantia" w:hAnsi="Constantia" w:eastAsia="Constantia" w:cs="Constantia"/>
                <w:sz w:val="12"/>
                <w:szCs w:val="12"/>
              </w:rPr>
            </w:pPr>
            <w:r>
              <w:rPr>
                <w:rFonts w:ascii="Constantia" w:hAnsi="Constantia" w:eastAsia="Constantia" w:cs="Constantia"/>
                <w:b/>
                <w:bCs/>
                <w:spacing w:val="-1"/>
                <w:sz w:val="12"/>
                <w:szCs w:val="12"/>
              </w:rPr>
              <w:t>53479.00</w:t>
            </w:r>
          </w:p>
        </w:tc>
        <w:tc>
          <w:tcPr>
            <w:tcW w:w="940" w:type="dxa"/>
            <w:shd w:val="clear" w:color="auto" w:fill="BFBFBF"/>
            <w:vAlign w:val="top"/>
          </w:tcPr>
          <w:p w14:paraId="1F54933F">
            <w:pPr>
              <w:spacing w:before="73" w:line="187" w:lineRule="auto"/>
              <w:ind w:left="132"/>
              <w:rPr>
                <w:rFonts w:ascii="微软雅黑" w:hAnsi="微软雅黑" w:eastAsia="微软雅黑" w:cs="微软雅黑"/>
                <w:sz w:val="11"/>
                <w:szCs w:val="11"/>
              </w:rPr>
            </w:pPr>
            <w:r>
              <w:rPr>
                <w:rFonts w:ascii="微软雅黑" w:hAnsi="微软雅黑" w:eastAsia="微软雅黑" w:cs="微软雅黑"/>
                <w:b/>
                <w:bCs/>
                <w:spacing w:val="2"/>
                <w:sz w:val="11"/>
                <w:szCs w:val="11"/>
              </w:rPr>
              <w:t>环评文件类别</w:t>
            </w:r>
          </w:p>
        </w:tc>
        <w:tc>
          <w:tcPr>
            <w:tcW w:w="4739" w:type="dxa"/>
            <w:gridSpan w:val="6"/>
            <w:tcBorders>
              <w:right w:val="single" w:color="000000" w:sz="6" w:space="0"/>
            </w:tcBorders>
            <w:vAlign w:val="top"/>
          </w:tcPr>
          <w:p w14:paraId="4376C3EE">
            <w:pPr>
              <w:pStyle w:val="6"/>
              <w:spacing w:before="73" w:line="222" w:lineRule="auto"/>
              <w:ind w:left="1979"/>
              <w:rPr>
                <w:sz w:val="11"/>
                <w:szCs w:val="11"/>
              </w:rPr>
            </w:pPr>
            <w:r>
              <w:rPr>
                <w:b/>
                <w:bCs/>
                <w:spacing w:val="-1"/>
                <w:sz w:val="11"/>
                <w:szCs w:val="11"/>
              </w:rPr>
              <w:t>环境影响报告书</w:t>
            </w:r>
          </w:p>
        </w:tc>
      </w:tr>
      <w:tr w14:paraId="2750B89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84" w:hRule="atLeast"/>
        </w:trPr>
        <w:tc>
          <w:tcPr>
            <w:tcW w:w="622" w:type="dxa"/>
            <w:vMerge w:val="continue"/>
            <w:tcBorders>
              <w:top w:val="nil"/>
              <w:left w:val="single" w:color="000000" w:sz="6" w:space="0"/>
              <w:bottom w:val="nil"/>
            </w:tcBorders>
            <w:vAlign w:val="top"/>
          </w:tcPr>
          <w:p w14:paraId="1ED10259">
            <w:pPr>
              <w:rPr>
                <w:rFonts w:ascii="Arial"/>
                <w:sz w:val="21"/>
              </w:rPr>
            </w:pPr>
          </w:p>
        </w:tc>
        <w:tc>
          <w:tcPr>
            <w:tcW w:w="1812" w:type="dxa"/>
            <w:gridSpan w:val="3"/>
            <w:shd w:val="clear" w:color="auto" w:fill="BFBFBF"/>
            <w:vAlign w:val="top"/>
          </w:tcPr>
          <w:p w14:paraId="1E911371">
            <w:pPr>
              <w:spacing w:before="82" w:line="183" w:lineRule="auto"/>
              <w:ind w:left="219"/>
              <w:rPr>
                <w:rFonts w:ascii="微软雅黑" w:hAnsi="微软雅黑" w:eastAsia="微软雅黑" w:cs="微软雅黑"/>
                <w:sz w:val="11"/>
                <w:szCs w:val="11"/>
              </w:rPr>
            </w:pPr>
            <w:r>
              <w:rPr>
                <w:rFonts w:ascii="微软雅黑" w:hAnsi="微软雅黑" w:eastAsia="微软雅黑" w:cs="微软雅黑"/>
                <w:b/>
                <w:bCs/>
                <w:spacing w:val="2"/>
                <w:sz w:val="11"/>
                <w:szCs w:val="11"/>
              </w:rPr>
              <w:t>建设地点坐标（线性工程）</w:t>
            </w:r>
          </w:p>
        </w:tc>
        <w:tc>
          <w:tcPr>
            <w:tcW w:w="846" w:type="dxa"/>
            <w:shd w:val="clear" w:color="auto" w:fill="BFBFBF"/>
            <w:vAlign w:val="top"/>
          </w:tcPr>
          <w:p w14:paraId="622E201D">
            <w:pPr>
              <w:spacing w:before="82" w:line="187" w:lineRule="auto"/>
              <w:ind w:left="190"/>
              <w:rPr>
                <w:rFonts w:ascii="微软雅黑" w:hAnsi="微软雅黑" w:eastAsia="微软雅黑" w:cs="微软雅黑"/>
                <w:sz w:val="11"/>
                <w:szCs w:val="11"/>
              </w:rPr>
            </w:pPr>
            <w:r>
              <w:rPr>
                <w:rFonts w:ascii="微软雅黑" w:hAnsi="微软雅黑" w:eastAsia="微软雅黑" w:cs="微软雅黑"/>
                <w:b/>
                <w:bCs/>
                <w:spacing w:val="1"/>
                <w:sz w:val="11"/>
                <w:szCs w:val="11"/>
              </w:rPr>
              <w:t>起点经度</w:t>
            </w:r>
          </w:p>
        </w:tc>
        <w:tc>
          <w:tcPr>
            <w:tcW w:w="1079" w:type="dxa"/>
            <w:vAlign w:val="top"/>
          </w:tcPr>
          <w:p w14:paraId="130BF9A8">
            <w:pPr>
              <w:rPr>
                <w:rFonts w:ascii="Arial"/>
                <w:sz w:val="21"/>
              </w:rPr>
            </w:pPr>
          </w:p>
        </w:tc>
        <w:tc>
          <w:tcPr>
            <w:tcW w:w="1215" w:type="dxa"/>
            <w:shd w:val="clear" w:color="auto" w:fill="BFBFBF"/>
            <w:vAlign w:val="top"/>
          </w:tcPr>
          <w:p w14:paraId="0AC7F506">
            <w:pPr>
              <w:spacing w:before="82" w:line="187" w:lineRule="auto"/>
              <w:ind w:left="376"/>
              <w:rPr>
                <w:rFonts w:ascii="微软雅黑" w:hAnsi="微软雅黑" w:eastAsia="微软雅黑" w:cs="微软雅黑"/>
                <w:sz w:val="11"/>
                <w:szCs w:val="11"/>
              </w:rPr>
            </w:pPr>
            <w:r>
              <w:rPr>
                <w:rFonts w:ascii="微软雅黑" w:hAnsi="微软雅黑" w:eastAsia="微软雅黑" w:cs="微软雅黑"/>
                <w:b/>
                <w:bCs/>
                <w:spacing w:val="1"/>
                <w:sz w:val="11"/>
                <w:szCs w:val="11"/>
              </w:rPr>
              <w:t>起点纬度</w:t>
            </w:r>
          </w:p>
        </w:tc>
        <w:tc>
          <w:tcPr>
            <w:tcW w:w="983" w:type="dxa"/>
            <w:vAlign w:val="top"/>
          </w:tcPr>
          <w:p w14:paraId="502A4B87">
            <w:pPr>
              <w:rPr>
                <w:rFonts w:ascii="Arial"/>
                <w:sz w:val="21"/>
              </w:rPr>
            </w:pPr>
          </w:p>
        </w:tc>
        <w:tc>
          <w:tcPr>
            <w:tcW w:w="1120" w:type="dxa"/>
            <w:shd w:val="clear" w:color="auto" w:fill="BFBFBF"/>
            <w:vAlign w:val="top"/>
          </w:tcPr>
          <w:p w14:paraId="5DF35756">
            <w:pPr>
              <w:spacing w:before="82" w:line="187" w:lineRule="auto"/>
              <w:ind w:left="331"/>
              <w:rPr>
                <w:rFonts w:ascii="微软雅黑" w:hAnsi="微软雅黑" w:eastAsia="微软雅黑" w:cs="微软雅黑"/>
                <w:sz w:val="11"/>
                <w:szCs w:val="11"/>
              </w:rPr>
            </w:pPr>
            <w:r>
              <w:rPr>
                <w:rFonts w:ascii="微软雅黑" w:hAnsi="微软雅黑" w:eastAsia="微软雅黑" w:cs="微软雅黑"/>
                <w:b/>
                <w:bCs/>
                <w:spacing w:val="1"/>
                <w:sz w:val="11"/>
                <w:szCs w:val="11"/>
              </w:rPr>
              <w:t>终点经度</w:t>
            </w:r>
          </w:p>
        </w:tc>
        <w:tc>
          <w:tcPr>
            <w:tcW w:w="1069" w:type="dxa"/>
            <w:vAlign w:val="top"/>
          </w:tcPr>
          <w:p w14:paraId="74661981">
            <w:pPr>
              <w:rPr>
                <w:rFonts w:ascii="Arial"/>
                <w:sz w:val="21"/>
              </w:rPr>
            </w:pPr>
          </w:p>
        </w:tc>
        <w:tc>
          <w:tcPr>
            <w:tcW w:w="940" w:type="dxa"/>
            <w:shd w:val="clear" w:color="auto" w:fill="BFBFBF"/>
            <w:vAlign w:val="top"/>
          </w:tcPr>
          <w:p w14:paraId="7AF03B85">
            <w:pPr>
              <w:spacing w:before="82" w:line="187" w:lineRule="auto"/>
              <w:ind w:left="245"/>
              <w:rPr>
                <w:rFonts w:ascii="微软雅黑" w:hAnsi="微软雅黑" w:eastAsia="微软雅黑" w:cs="微软雅黑"/>
                <w:sz w:val="11"/>
                <w:szCs w:val="11"/>
              </w:rPr>
            </w:pPr>
            <w:r>
              <w:rPr>
                <w:rFonts w:ascii="微软雅黑" w:hAnsi="微软雅黑" w:eastAsia="微软雅黑" w:cs="微软雅黑"/>
                <w:b/>
                <w:bCs/>
                <w:spacing w:val="1"/>
                <w:sz w:val="11"/>
                <w:szCs w:val="11"/>
              </w:rPr>
              <w:t>终点纬度</w:t>
            </w:r>
          </w:p>
        </w:tc>
        <w:tc>
          <w:tcPr>
            <w:tcW w:w="873" w:type="dxa"/>
            <w:vAlign w:val="top"/>
          </w:tcPr>
          <w:p w14:paraId="70C87D87">
            <w:pPr>
              <w:rPr>
                <w:rFonts w:ascii="Arial"/>
                <w:sz w:val="21"/>
              </w:rPr>
            </w:pPr>
          </w:p>
        </w:tc>
        <w:tc>
          <w:tcPr>
            <w:tcW w:w="983" w:type="dxa"/>
            <w:shd w:val="clear" w:color="auto" w:fill="BFBFBF"/>
            <w:vAlign w:val="top"/>
          </w:tcPr>
          <w:p w14:paraId="73D742EA">
            <w:pPr>
              <w:spacing w:before="13" w:line="177" w:lineRule="auto"/>
              <w:ind w:left="269"/>
              <w:rPr>
                <w:rFonts w:ascii="微软雅黑" w:hAnsi="微软雅黑" w:eastAsia="微软雅黑" w:cs="微软雅黑"/>
                <w:sz w:val="11"/>
                <w:szCs w:val="11"/>
              </w:rPr>
            </w:pPr>
            <w:r>
              <w:rPr>
                <w:rFonts w:ascii="微软雅黑" w:hAnsi="微软雅黑" w:eastAsia="微软雅黑" w:cs="微软雅黑"/>
                <w:b/>
                <w:bCs/>
                <w:spacing w:val="1"/>
                <w:sz w:val="11"/>
                <w:szCs w:val="11"/>
              </w:rPr>
              <w:t>工程长度</w:t>
            </w:r>
          </w:p>
          <w:p w14:paraId="5B7DB622">
            <w:pPr>
              <w:spacing w:line="121" w:lineRule="exact"/>
              <w:ind w:left="277"/>
              <w:rPr>
                <w:rFonts w:ascii="微软雅黑" w:hAnsi="微软雅黑" w:eastAsia="微软雅黑" w:cs="微软雅黑"/>
                <w:sz w:val="11"/>
                <w:szCs w:val="11"/>
              </w:rPr>
            </w:pPr>
            <w:r>
              <w:rPr>
                <w:rFonts w:ascii="微软雅黑" w:hAnsi="微软雅黑" w:eastAsia="微软雅黑" w:cs="微软雅黑"/>
                <w:b/>
                <w:bCs/>
                <w:spacing w:val="-2"/>
                <w:sz w:val="11"/>
                <w:szCs w:val="11"/>
              </w:rPr>
              <w:t>（千米）</w:t>
            </w:r>
          </w:p>
        </w:tc>
        <w:tc>
          <w:tcPr>
            <w:tcW w:w="2883" w:type="dxa"/>
            <w:gridSpan w:val="4"/>
            <w:tcBorders>
              <w:right w:val="single" w:color="000000" w:sz="6" w:space="0"/>
            </w:tcBorders>
            <w:vAlign w:val="top"/>
          </w:tcPr>
          <w:p w14:paraId="68DCC2E0">
            <w:pPr>
              <w:rPr>
                <w:rFonts w:ascii="Arial"/>
                <w:sz w:val="21"/>
              </w:rPr>
            </w:pPr>
          </w:p>
        </w:tc>
      </w:tr>
      <w:tr w14:paraId="281ACBA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tcBorders>
            <w:vAlign w:val="top"/>
          </w:tcPr>
          <w:p w14:paraId="34424B09">
            <w:pPr>
              <w:rPr>
                <w:rFonts w:ascii="Arial"/>
                <w:sz w:val="21"/>
              </w:rPr>
            </w:pPr>
          </w:p>
        </w:tc>
        <w:tc>
          <w:tcPr>
            <w:tcW w:w="1812" w:type="dxa"/>
            <w:gridSpan w:val="3"/>
            <w:shd w:val="clear" w:color="auto" w:fill="BFBFBF"/>
            <w:vAlign w:val="top"/>
          </w:tcPr>
          <w:p w14:paraId="2DA1C736">
            <w:pPr>
              <w:spacing w:before="26" w:line="169" w:lineRule="auto"/>
              <w:ind w:left="504"/>
              <w:rPr>
                <w:rFonts w:ascii="微软雅黑" w:hAnsi="微软雅黑" w:eastAsia="微软雅黑" w:cs="微软雅黑"/>
                <w:sz w:val="11"/>
                <w:szCs w:val="11"/>
              </w:rPr>
            </w:pPr>
            <w:r>
              <w:rPr>
                <w:rFonts w:ascii="微软雅黑" w:hAnsi="微软雅黑" w:eastAsia="微软雅黑" w:cs="微软雅黑"/>
                <w:b/>
                <w:bCs/>
                <w:spacing w:val="1"/>
                <w:sz w:val="11"/>
                <w:szCs w:val="11"/>
              </w:rPr>
              <w:t>总投资（万元）</w:t>
            </w:r>
          </w:p>
        </w:tc>
        <w:tc>
          <w:tcPr>
            <w:tcW w:w="4123" w:type="dxa"/>
            <w:gridSpan w:val="4"/>
            <w:vAlign w:val="top"/>
          </w:tcPr>
          <w:p w14:paraId="0DC6E448">
            <w:pPr>
              <w:spacing w:before="12" w:line="231" w:lineRule="auto"/>
              <w:ind w:left="1872"/>
              <w:rPr>
                <w:rFonts w:ascii="Constantia" w:hAnsi="Constantia" w:eastAsia="Constantia" w:cs="Constantia"/>
                <w:sz w:val="11"/>
                <w:szCs w:val="11"/>
              </w:rPr>
            </w:pPr>
            <w:r>
              <w:rPr>
                <w:rFonts w:ascii="Constantia" w:hAnsi="Constantia" w:eastAsia="Constantia" w:cs="Constantia"/>
                <w:b/>
                <w:bCs/>
                <w:spacing w:val="3"/>
                <w:sz w:val="11"/>
                <w:szCs w:val="11"/>
              </w:rPr>
              <w:t>3212.27</w:t>
            </w:r>
          </w:p>
        </w:tc>
        <w:tc>
          <w:tcPr>
            <w:tcW w:w="2189" w:type="dxa"/>
            <w:gridSpan w:val="2"/>
            <w:shd w:val="clear" w:color="auto" w:fill="BFBFBF"/>
            <w:vAlign w:val="top"/>
          </w:tcPr>
          <w:p w14:paraId="4A7AA833">
            <w:pPr>
              <w:spacing w:before="26" w:line="169" w:lineRule="auto"/>
              <w:ind w:left="641"/>
              <w:rPr>
                <w:rFonts w:ascii="微软雅黑" w:hAnsi="微软雅黑" w:eastAsia="微软雅黑" w:cs="微软雅黑"/>
                <w:sz w:val="11"/>
                <w:szCs w:val="11"/>
              </w:rPr>
            </w:pPr>
            <w:r>
              <w:rPr>
                <w:rFonts w:ascii="微软雅黑" w:hAnsi="微软雅黑" w:eastAsia="微软雅黑" w:cs="微软雅黑"/>
                <w:b/>
                <w:bCs/>
                <w:spacing w:val="1"/>
                <w:sz w:val="11"/>
                <w:szCs w:val="11"/>
              </w:rPr>
              <w:t>环保投资（万元）</w:t>
            </w:r>
          </w:p>
        </w:tc>
        <w:tc>
          <w:tcPr>
            <w:tcW w:w="1813" w:type="dxa"/>
            <w:gridSpan w:val="2"/>
            <w:vAlign w:val="top"/>
          </w:tcPr>
          <w:p w14:paraId="31DA260F">
            <w:pPr>
              <w:spacing w:before="12" w:line="231" w:lineRule="auto"/>
              <w:ind w:left="818"/>
              <w:rPr>
                <w:rFonts w:ascii="Constantia" w:hAnsi="Constantia" w:eastAsia="Constantia" w:cs="Constantia"/>
                <w:sz w:val="11"/>
                <w:szCs w:val="11"/>
              </w:rPr>
            </w:pPr>
            <w:r>
              <w:rPr>
                <w:rFonts w:ascii="Constantia" w:hAnsi="Constantia" w:eastAsia="Constantia" w:cs="Constantia"/>
                <w:b/>
                <w:bCs/>
                <w:spacing w:val="1"/>
                <w:sz w:val="11"/>
                <w:szCs w:val="11"/>
              </w:rPr>
              <w:t>12.5</w:t>
            </w:r>
          </w:p>
        </w:tc>
        <w:tc>
          <w:tcPr>
            <w:tcW w:w="983" w:type="dxa"/>
            <w:shd w:val="clear" w:color="auto" w:fill="BFBFBF"/>
            <w:vAlign w:val="top"/>
          </w:tcPr>
          <w:p w14:paraId="6E7BBC6C">
            <w:pPr>
              <w:spacing w:before="26" w:line="169" w:lineRule="auto"/>
              <w:ind w:left="128"/>
              <w:rPr>
                <w:rFonts w:ascii="微软雅黑" w:hAnsi="微软雅黑" w:eastAsia="微软雅黑" w:cs="微软雅黑"/>
                <w:sz w:val="11"/>
                <w:szCs w:val="11"/>
              </w:rPr>
            </w:pPr>
            <w:r>
              <w:rPr>
                <w:rFonts w:ascii="微软雅黑" w:hAnsi="微软雅黑" w:eastAsia="微软雅黑" w:cs="微软雅黑"/>
                <w:b/>
                <w:bCs/>
                <w:spacing w:val="-6"/>
                <w:sz w:val="11"/>
                <w:szCs w:val="11"/>
              </w:rPr>
              <w:t>所占比例（%）</w:t>
            </w:r>
          </w:p>
        </w:tc>
        <w:tc>
          <w:tcPr>
            <w:tcW w:w="2883" w:type="dxa"/>
            <w:gridSpan w:val="4"/>
            <w:tcBorders>
              <w:right w:val="single" w:color="000000" w:sz="6" w:space="0"/>
            </w:tcBorders>
            <w:vAlign w:val="top"/>
          </w:tcPr>
          <w:p w14:paraId="3E9F6C83">
            <w:pPr>
              <w:spacing w:before="12" w:line="231" w:lineRule="auto"/>
              <w:ind w:left="1296"/>
              <w:rPr>
                <w:rFonts w:ascii="Constantia" w:hAnsi="Constantia" w:eastAsia="Constantia" w:cs="Constantia"/>
                <w:sz w:val="11"/>
                <w:szCs w:val="11"/>
              </w:rPr>
            </w:pPr>
            <w:r>
              <w:rPr>
                <w:rFonts w:ascii="Constantia" w:hAnsi="Constantia" w:eastAsia="Constantia" w:cs="Constantia"/>
                <w:b/>
                <w:bCs/>
                <w:spacing w:val="-2"/>
                <w:sz w:val="11"/>
                <w:szCs w:val="11"/>
              </w:rPr>
              <w:t>0.39%</w:t>
            </w:r>
          </w:p>
        </w:tc>
      </w:tr>
      <w:tr w14:paraId="7D60D36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restart"/>
            <w:tcBorders>
              <w:left w:val="single" w:color="000000" w:sz="6" w:space="0"/>
              <w:bottom w:val="nil"/>
            </w:tcBorders>
            <w:shd w:val="clear" w:color="auto" w:fill="BFBFBF"/>
            <w:vAlign w:val="top"/>
          </w:tcPr>
          <w:p w14:paraId="507F1B93">
            <w:pPr>
              <w:spacing w:line="307" w:lineRule="auto"/>
              <w:rPr>
                <w:rFonts w:ascii="Arial"/>
                <w:sz w:val="21"/>
              </w:rPr>
            </w:pPr>
          </w:p>
          <w:p w14:paraId="0610ACAB">
            <w:pPr>
              <w:spacing w:before="56" w:line="181" w:lineRule="auto"/>
              <w:ind w:left="139"/>
              <w:rPr>
                <w:rFonts w:ascii="微软雅黑" w:hAnsi="微软雅黑" w:eastAsia="微软雅黑" w:cs="微软雅黑"/>
                <w:sz w:val="13"/>
                <w:szCs w:val="13"/>
              </w:rPr>
            </w:pPr>
            <w:r>
              <w:rPr>
                <w:rFonts w:ascii="微软雅黑" w:hAnsi="微软雅黑" w:eastAsia="微软雅黑" w:cs="微软雅黑"/>
                <w:b/>
                <w:bCs/>
                <w:sz w:val="13"/>
                <w:szCs w:val="13"/>
              </w:rPr>
              <w:t>建</w:t>
            </w:r>
            <w:r>
              <w:rPr>
                <w:rFonts w:ascii="微软雅黑" w:hAnsi="微软雅黑" w:eastAsia="微软雅黑" w:cs="微软雅黑"/>
                <w:b/>
                <w:bCs/>
                <w:spacing w:val="35"/>
                <w:w w:val="102"/>
                <w:sz w:val="13"/>
                <w:szCs w:val="13"/>
              </w:rPr>
              <w:t xml:space="preserve"> </w:t>
            </w:r>
            <w:r>
              <w:rPr>
                <w:rFonts w:ascii="微软雅黑" w:hAnsi="微软雅黑" w:eastAsia="微软雅黑" w:cs="微软雅黑"/>
                <w:b/>
                <w:bCs/>
                <w:sz w:val="13"/>
                <w:szCs w:val="13"/>
              </w:rPr>
              <w:t>设</w:t>
            </w:r>
          </w:p>
          <w:p w14:paraId="4B6E7AD2">
            <w:pPr>
              <w:spacing w:line="192" w:lineRule="auto"/>
              <w:ind w:left="142"/>
              <w:rPr>
                <w:rFonts w:ascii="微软雅黑" w:hAnsi="微软雅黑" w:eastAsia="微软雅黑" w:cs="微软雅黑"/>
                <w:sz w:val="13"/>
                <w:szCs w:val="13"/>
              </w:rPr>
            </w:pPr>
            <w:r>
              <w:rPr>
                <w:rFonts w:ascii="微软雅黑" w:hAnsi="微软雅黑" w:eastAsia="微软雅黑" w:cs="微软雅黑"/>
                <w:b/>
                <w:bCs/>
                <w:spacing w:val="-1"/>
                <w:sz w:val="13"/>
                <w:szCs w:val="13"/>
              </w:rPr>
              <w:t>单</w:t>
            </w:r>
            <w:r>
              <w:rPr>
                <w:rFonts w:ascii="微软雅黑" w:hAnsi="微软雅黑" w:eastAsia="微软雅黑" w:cs="微软雅黑"/>
                <w:b/>
                <w:bCs/>
                <w:spacing w:val="34"/>
                <w:sz w:val="13"/>
                <w:szCs w:val="13"/>
              </w:rPr>
              <w:t xml:space="preserve"> </w:t>
            </w:r>
            <w:r>
              <w:rPr>
                <w:rFonts w:ascii="微软雅黑" w:hAnsi="微软雅黑" w:eastAsia="微软雅黑" w:cs="微软雅黑"/>
                <w:b/>
                <w:bCs/>
                <w:spacing w:val="-1"/>
                <w:sz w:val="13"/>
                <w:szCs w:val="13"/>
              </w:rPr>
              <w:t>位</w:t>
            </w:r>
          </w:p>
        </w:tc>
        <w:tc>
          <w:tcPr>
            <w:tcW w:w="1812" w:type="dxa"/>
            <w:gridSpan w:val="3"/>
            <w:vMerge w:val="restart"/>
            <w:tcBorders>
              <w:bottom w:val="nil"/>
            </w:tcBorders>
            <w:shd w:val="clear" w:color="auto" w:fill="BFBFBF"/>
            <w:vAlign w:val="top"/>
          </w:tcPr>
          <w:p w14:paraId="401F6156">
            <w:pPr>
              <w:spacing w:before="220" w:line="188" w:lineRule="auto"/>
              <w:ind w:left="673"/>
              <w:rPr>
                <w:rFonts w:ascii="微软雅黑" w:hAnsi="微软雅黑" w:eastAsia="微软雅黑" w:cs="微软雅黑"/>
                <w:sz w:val="11"/>
                <w:szCs w:val="11"/>
              </w:rPr>
            </w:pPr>
            <w:r>
              <w:rPr>
                <w:rFonts w:ascii="微软雅黑" w:hAnsi="微软雅黑" w:eastAsia="微软雅黑" w:cs="微软雅黑"/>
                <w:b/>
                <w:bCs/>
                <w:sz w:val="11"/>
                <w:szCs w:val="11"/>
              </w:rPr>
              <w:t>单位名称</w:t>
            </w:r>
          </w:p>
        </w:tc>
        <w:tc>
          <w:tcPr>
            <w:tcW w:w="1925" w:type="dxa"/>
            <w:gridSpan w:val="2"/>
            <w:vMerge w:val="restart"/>
            <w:tcBorders>
              <w:bottom w:val="nil"/>
            </w:tcBorders>
            <w:vAlign w:val="top"/>
          </w:tcPr>
          <w:p w14:paraId="01DA661E">
            <w:pPr>
              <w:spacing w:before="220" w:line="186" w:lineRule="auto"/>
              <w:ind w:left="228"/>
              <w:rPr>
                <w:rFonts w:ascii="微软雅黑" w:hAnsi="微软雅黑" w:eastAsia="微软雅黑" w:cs="微软雅黑"/>
                <w:sz w:val="11"/>
                <w:szCs w:val="11"/>
              </w:rPr>
            </w:pPr>
            <w:r>
              <w:rPr>
                <w:rFonts w:ascii="微软雅黑" w:hAnsi="微软雅黑" w:eastAsia="微软雅黑" w:cs="微软雅黑"/>
                <w:b/>
                <w:bCs/>
                <w:spacing w:val="1"/>
                <w:sz w:val="11"/>
                <w:szCs w:val="11"/>
              </w:rPr>
              <w:t>内蒙古玉龙矿业股份有限公司</w:t>
            </w:r>
          </w:p>
        </w:tc>
        <w:tc>
          <w:tcPr>
            <w:tcW w:w="1215" w:type="dxa"/>
            <w:shd w:val="clear" w:color="auto" w:fill="BFBFBF"/>
            <w:vAlign w:val="top"/>
          </w:tcPr>
          <w:p w14:paraId="70B280A7">
            <w:pPr>
              <w:spacing w:before="26" w:line="168" w:lineRule="auto"/>
              <w:ind w:left="323"/>
              <w:rPr>
                <w:rFonts w:ascii="微软雅黑" w:hAnsi="微软雅黑" w:eastAsia="微软雅黑" w:cs="微软雅黑"/>
                <w:sz w:val="11"/>
                <w:szCs w:val="11"/>
              </w:rPr>
            </w:pPr>
            <w:r>
              <w:rPr>
                <w:rFonts w:ascii="微软雅黑" w:hAnsi="微软雅黑" w:eastAsia="微软雅黑" w:cs="微软雅黑"/>
                <w:b/>
                <w:bCs/>
                <w:spacing w:val="1"/>
                <w:sz w:val="11"/>
                <w:szCs w:val="11"/>
              </w:rPr>
              <w:t>法定代表人</w:t>
            </w:r>
          </w:p>
        </w:tc>
        <w:tc>
          <w:tcPr>
            <w:tcW w:w="983" w:type="dxa"/>
            <w:vAlign w:val="top"/>
          </w:tcPr>
          <w:p w14:paraId="3714BFA5">
            <w:pPr>
              <w:spacing w:before="26" w:line="168" w:lineRule="auto"/>
              <w:ind w:left="318"/>
              <w:rPr>
                <w:rFonts w:ascii="微软雅黑" w:hAnsi="微软雅黑" w:eastAsia="微软雅黑" w:cs="微软雅黑"/>
                <w:sz w:val="11"/>
                <w:szCs w:val="11"/>
              </w:rPr>
            </w:pPr>
            <w:r>
              <w:rPr>
                <w:rFonts w:ascii="微软雅黑" w:hAnsi="微软雅黑" w:eastAsia="微软雅黑" w:cs="微软雅黑"/>
                <w:b/>
                <w:bCs/>
                <w:spacing w:val="1"/>
                <w:sz w:val="11"/>
                <w:szCs w:val="11"/>
              </w:rPr>
              <w:t>樊明玉</w:t>
            </w:r>
          </w:p>
        </w:tc>
        <w:tc>
          <w:tcPr>
            <w:tcW w:w="1120" w:type="dxa"/>
            <w:vMerge w:val="restart"/>
            <w:tcBorders>
              <w:bottom w:val="nil"/>
            </w:tcBorders>
            <w:shd w:val="clear" w:color="auto" w:fill="BFBFBF"/>
            <w:vAlign w:val="top"/>
          </w:tcPr>
          <w:p w14:paraId="2130975E">
            <w:pPr>
              <w:spacing w:before="281" w:line="181" w:lineRule="auto"/>
              <w:ind w:left="421"/>
              <w:rPr>
                <w:rFonts w:ascii="微软雅黑" w:hAnsi="微软雅黑" w:eastAsia="微软雅黑" w:cs="微软雅黑"/>
                <w:sz w:val="13"/>
                <w:szCs w:val="13"/>
              </w:rPr>
            </w:pPr>
            <w:r>
              <w:rPr>
                <w:rFonts w:ascii="微软雅黑" w:hAnsi="微软雅黑" w:eastAsia="微软雅黑" w:cs="微软雅黑"/>
                <w:b/>
                <w:bCs/>
                <w:spacing w:val="3"/>
                <w:sz w:val="13"/>
                <w:szCs w:val="13"/>
              </w:rPr>
              <w:t>环评</w:t>
            </w:r>
          </w:p>
          <w:p w14:paraId="4297E26E">
            <w:pPr>
              <w:spacing w:line="180" w:lineRule="auto"/>
              <w:ind w:left="420"/>
              <w:rPr>
                <w:rFonts w:ascii="微软雅黑" w:hAnsi="微软雅黑" w:eastAsia="微软雅黑" w:cs="微软雅黑"/>
                <w:sz w:val="13"/>
                <w:szCs w:val="13"/>
              </w:rPr>
            </w:pPr>
            <w:r>
              <w:rPr>
                <w:rFonts w:ascii="微软雅黑" w:hAnsi="微软雅黑" w:eastAsia="微软雅黑" w:cs="微软雅黑"/>
                <w:b/>
                <w:bCs/>
                <w:spacing w:val="4"/>
                <w:sz w:val="13"/>
                <w:szCs w:val="13"/>
              </w:rPr>
              <w:t>编制</w:t>
            </w:r>
          </w:p>
          <w:p w14:paraId="1474733B">
            <w:pPr>
              <w:spacing w:line="192" w:lineRule="auto"/>
              <w:ind w:left="425"/>
              <w:rPr>
                <w:rFonts w:ascii="微软雅黑" w:hAnsi="微软雅黑" w:eastAsia="微软雅黑" w:cs="微软雅黑"/>
                <w:sz w:val="13"/>
                <w:szCs w:val="13"/>
              </w:rPr>
            </w:pPr>
            <w:r>
              <w:rPr>
                <w:rFonts w:ascii="微软雅黑" w:hAnsi="微软雅黑" w:eastAsia="微软雅黑" w:cs="微软雅黑"/>
                <w:b/>
                <w:bCs/>
                <w:spacing w:val="1"/>
                <w:sz w:val="13"/>
                <w:szCs w:val="13"/>
              </w:rPr>
              <w:t>单位</w:t>
            </w:r>
          </w:p>
        </w:tc>
        <w:tc>
          <w:tcPr>
            <w:tcW w:w="1069" w:type="dxa"/>
            <w:shd w:val="clear" w:color="auto" w:fill="BFBFBF"/>
            <w:vAlign w:val="top"/>
          </w:tcPr>
          <w:p w14:paraId="55EF5073">
            <w:pPr>
              <w:spacing w:before="26" w:line="168" w:lineRule="auto"/>
              <w:ind w:left="309"/>
              <w:rPr>
                <w:rFonts w:ascii="微软雅黑" w:hAnsi="微软雅黑" w:eastAsia="微软雅黑" w:cs="微软雅黑"/>
                <w:sz w:val="11"/>
                <w:szCs w:val="11"/>
              </w:rPr>
            </w:pPr>
            <w:r>
              <w:rPr>
                <w:rFonts w:ascii="微软雅黑" w:hAnsi="微软雅黑" w:eastAsia="微软雅黑" w:cs="微软雅黑"/>
                <w:b/>
                <w:bCs/>
                <w:sz w:val="11"/>
                <w:szCs w:val="11"/>
              </w:rPr>
              <w:t>单位名称</w:t>
            </w:r>
          </w:p>
        </w:tc>
        <w:tc>
          <w:tcPr>
            <w:tcW w:w="1813" w:type="dxa"/>
            <w:gridSpan w:val="2"/>
            <w:vAlign w:val="top"/>
          </w:tcPr>
          <w:p w14:paraId="669F069E">
            <w:pPr>
              <w:pStyle w:val="6"/>
              <w:spacing w:before="26" w:line="222" w:lineRule="auto"/>
              <w:ind w:left="248"/>
              <w:rPr>
                <w:sz w:val="11"/>
                <w:szCs w:val="11"/>
              </w:rPr>
            </w:pPr>
            <w:r>
              <w:rPr>
                <w:b/>
                <w:bCs/>
                <w:spacing w:val="-1"/>
                <w:sz w:val="11"/>
                <w:szCs w:val="11"/>
              </w:rPr>
              <w:t>中冶西北工程技术有限公司</w:t>
            </w:r>
          </w:p>
        </w:tc>
        <w:tc>
          <w:tcPr>
            <w:tcW w:w="983" w:type="dxa"/>
            <w:shd w:val="clear" w:color="auto" w:fill="BFBFBF"/>
            <w:vAlign w:val="top"/>
          </w:tcPr>
          <w:p w14:paraId="5A15ADC4">
            <w:pPr>
              <w:spacing w:before="26" w:line="168" w:lineRule="auto"/>
              <w:ind w:left="39"/>
              <w:rPr>
                <w:rFonts w:ascii="微软雅黑" w:hAnsi="微软雅黑" w:eastAsia="微软雅黑" w:cs="微软雅黑"/>
                <w:sz w:val="11"/>
                <w:szCs w:val="11"/>
              </w:rPr>
            </w:pPr>
            <w:r>
              <w:rPr>
                <w:rFonts w:ascii="微软雅黑" w:hAnsi="微软雅黑" w:eastAsia="微软雅黑" w:cs="微软雅黑"/>
                <w:b/>
                <w:bCs/>
                <w:spacing w:val="2"/>
                <w:sz w:val="11"/>
                <w:szCs w:val="11"/>
              </w:rPr>
              <w:t>统一社会信用代码</w:t>
            </w:r>
          </w:p>
        </w:tc>
        <w:tc>
          <w:tcPr>
            <w:tcW w:w="2883" w:type="dxa"/>
            <w:gridSpan w:val="4"/>
            <w:tcBorders>
              <w:right w:val="single" w:color="000000" w:sz="6" w:space="0"/>
            </w:tcBorders>
            <w:vAlign w:val="top"/>
          </w:tcPr>
          <w:p w14:paraId="0AD9E1B1">
            <w:pPr>
              <w:spacing w:before="26" w:line="168" w:lineRule="auto"/>
              <w:ind w:left="930"/>
              <w:rPr>
                <w:rFonts w:ascii="微软雅黑" w:hAnsi="微软雅黑" w:eastAsia="微软雅黑" w:cs="微软雅黑"/>
                <w:sz w:val="11"/>
                <w:szCs w:val="11"/>
              </w:rPr>
            </w:pPr>
            <w:r>
              <w:rPr>
                <w:rFonts w:ascii="微软雅黑" w:hAnsi="微软雅黑" w:eastAsia="微软雅黑" w:cs="微软雅黑"/>
                <w:b/>
                <w:bCs/>
                <w:spacing w:val="-11"/>
                <w:sz w:val="11"/>
                <w:szCs w:val="11"/>
              </w:rPr>
              <w:t>91150200114397501Y</w:t>
            </w:r>
          </w:p>
        </w:tc>
      </w:tr>
      <w:tr w14:paraId="63E25E5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471A0176">
            <w:pPr>
              <w:rPr>
                <w:rFonts w:ascii="Arial"/>
                <w:sz w:val="21"/>
              </w:rPr>
            </w:pPr>
          </w:p>
        </w:tc>
        <w:tc>
          <w:tcPr>
            <w:tcW w:w="1812" w:type="dxa"/>
            <w:gridSpan w:val="3"/>
            <w:vMerge w:val="continue"/>
            <w:tcBorders>
              <w:top w:val="nil"/>
              <w:bottom w:val="nil"/>
            </w:tcBorders>
            <w:vAlign w:val="top"/>
          </w:tcPr>
          <w:p w14:paraId="1560C68C">
            <w:pPr>
              <w:rPr>
                <w:rFonts w:ascii="Arial"/>
                <w:sz w:val="21"/>
              </w:rPr>
            </w:pPr>
          </w:p>
        </w:tc>
        <w:tc>
          <w:tcPr>
            <w:tcW w:w="1925" w:type="dxa"/>
            <w:gridSpan w:val="2"/>
            <w:vMerge w:val="continue"/>
            <w:tcBorders>
              <w:top w:val="nil"/>
              <w:bottom w:val="nil"/>
            </w:tcBorders>
            <w:vAlign w:val="top"/>
          </w:tcPr>
          <w:p w14:paraId="46EF072B">
            <w:pPr>
              <w:rPr>
                <w:rFonts w:ascii="Arial"/>
                <w:sz w:val="21"/>
              </w:rPr>
            </w:pPr>
          </w:p>
        </w:tc>
        <w:tc>
          <w:tcPr>
            <w:tcW w:w="1215" w:type="dxa"/>
            <w:vMerge w:val="restart"/>
            <w:tcBorders>
              <w:bottom w:val="nil"/>
            </w:tcBorders>
            <w:shd w:val="clear" w:color="auto" w:fill="BFBFBF"/>
            <w:vAlign w:val="top"/>
          </w:tcPr>
          <w:p w14:paraId="56CBE0FE">
            <w:pPr>
              <w:spacing w:before="125" w:line="188" w:lineRule="auto"/>
              <w:ind w:left="324"/>
              <w:rPr>
                <w:rFonts w:ascii="微软雅黑" w:hAnsi="微软雅黑" w:eastAsia="微软雅黑" w:cs="微软雅黑"/>
                <w:sz w:val="11"/>
                <w:szCs w:val="11"/>
              </w:rPr>
            </w:pPr>
            <w:r>
              <w:rPr>
                <w:rFonts w:ascii="微软雅黑" w:hAnsi="微软雅黑" w:eastAsia="微软雅黑" w:cs="微软雅黑"/>
                <w:b/>
                <w:bCs/>
                <w:spacing w:val="1"/>
                <w:sz w:val="11"/>
                <w:szCs w:val="11"/>
              </w:rPr>
              <w:t>主要负责人</w:t>
            </w:r>
          </w:p>
        </w:tc>
        <w:tc>
          <w:tcPr>
            <w:tcW w:w="983" w:type="dxa"/>
            <w:vMerge w:val="restart"/>
            <w:tcBorders>
              <w:bottom w:val="nil"/>
            </w:tcBorders>
            <w:vAlign w:val="top"/>
          </w:tcPr>
          <w:p w14:paraId="040012DD">
            <w:pPr>
              <w:spacing w:before="125" w:line="188" w:lineRule="auto"/>
              <w:ind w:left="322"/>
              <w:rPr>
                <w:rFonts w:ascii="微软雅黑" w:hAnsi="微软雅黑" w:eastAsia="微软雅黑" w:cs="微软雅黑"/>
                <w:sz w:val="11"/>
                <w:szCs w:val="11"/>
              </w:rPr>
            </w:pPr>
            <w:r>
              <w:rPr>
                <w:rFonts w:ascii="微软雅黑" w:hAnsi="微软雅黑" w:eastAsia="微软雅黑" w:cs="微软雅黑"/>
                <w:b/>
                <w:bCs/>
                <w:sz w:val="11"/>
                <w:szCs w:val="11"/>
              </w:rPr>
              <w:t>高建兵</w:t>
            </w:r>
          </w:p>
        </w:tc>
        <w:tc>
          <w:tcPr>
            <w:tcW w:w="1120" w:type="dxa"/>
            <w:vMerge w:val="continue"/>
            <w:tcBorders>
              <w:top w:val="nil"/>
              <w:bottom w:val="nil"/>
            </w:tcBorders>
            <w:vAlign w:val="top"/>
          </w:tcPr>
          <w:p w14:paraId="74F146FD">
            <w:pPr>
              <w:rPr>
                <w:rFonts w:ascii="Arial"/>
                <w:sz w:val="21"/>
              </w:rPr>
            </w:pPr>
          </w:p>
        </w:tc>
        <w:tc>
          <w:tcPr>
            <w:tcW w:w="1069" w:type="dxa"/>
            <w:vMerge w:val="restart"/>
            <w:tcBorders>
              <w:bottom w:val="nil"/>
            </w:tcBorders>
            <w:shd w:val="clear" w:color="auto" w:fill="BFBFBF"/>
            <w:vAlign w:val="top"/>
          </w:tcPr>
          <w:p w14:paraId="38D55571">
            <w:pPr>
              <w:spacing w:before="264" w:line="188" w:lineRule="auto"/>
              <w:ind w:left="250"/>
              <w:rPr>
                <w:rFonts w:ascii="微软雅黑" w:hAnsi="微软雅黑" w:eastAsia="微软雅黑" w:cs="微软雅黑"/>
                <w:sz w:val="11"/>
                <w:szCs w:val="11"/>
              </w:rPr>
            </w:pPr>
            <w:r>
              <w:rPr>
                <w:rFonts w:ascii="微软雅黑" w:hAnsi="微软雅黑" w:eastAsia="微软雅黑" w:cs="微软雅黑"/>
                <w:b/>
                <w:bCs/>
                <w:spacing w:val="1"/>
                <w:sz w:val="11"/>
                <w:szCs w:val="11"/>
              </w:rPr>
              <w:t>编制主持人</w:t>
            </w:r>
          </w:p>
        </w:tc>
        <w:tc>
          <w:tcPr>
            <w:tcW w:w="940" w:type="dxa"/>
            <w:shd w:val="clear" w:color="auto" w:fill="BFBFBF"/>
            <w:vAlign w:val="top"/>
          </w:tcPr>
          <w:p w14:paraId="2725991F">
            <w:pPr>
              <w:spacing w:before="26" w:line="168" w:lineRule="auto"/>
              <w:ind w:left="358"/>
              <w:rPr>
                <w:rFonts w:ascii="微软雅黑" w:hAnsi="微软雅黑" w:eastAsia="微软雅黑" w:cs="微软雅黑"/>
                <w:sz w:val="11"/>
                <w:szCs w:val="11"/>
              </w:rPr>
            </w:pPr>
            <w:r>
              <w:rPr>
                <w:rFonts w:ascii="微软雅黑" w:hAnsi="微软雅黑" w:eastAsia="微软雅黑" w:cs="微软雅黑"/>
                <w:b/>
                <w:bCs/>
                <w:sz w:val="11"/>
                <w:szCs w:val="11"/>
              </w:rPr>
              <w:t>姓名</w:t>
            </w:r>
          </w:p>
        </w:tc>
        <w:tc>
          <w:tcPr>
            <w:tcW w:w="873" w:type="dxa"/>
            <w:vAlign w:val="top"/>
          </w:tcPr>
          <w:p w14:paraId="01528BBD">
            <w:pPr>
              <w:spacing w:before="26" w:line="168" w:lineRule="auto"/>
              <w:ind w:left="328"/>
              <w:rPr>
                <w:rFonts w:ascii="微软雅黑" w:hAnsi="微软雅黑" w:eastAsia="微软雅黑" w:cs="微软雅黑"/>
                <w:sz w:val="11"/>
                <w:szCs w:val="11"/>
              </w:rPr>
            </w:pPr>
            <w:r>
              <w:rPr>
                <w:rFonts w:ascii="微软雅黑" w:hAnsi="微软雅黑" w:eastAsia="微软雅黑" w:cs="微软雅黑"/>
                <w:b/>
                <w:bCs/>
                <w:spacing w:val="-2"/>
                <w:sz w:val="11"/>
                <w:szCs w:val="11"/>
              </w:rPr>
              <w:t>刘鹏</w:t>
            </w:r>
          </w:p>
        </w:tc>
        <w:tc>
          <w:tcPr>
            <w:tcW w:w="983" w:type="dxa"/>
            <w:vMerge w:val="restart"/>
            <w:tcBorders>
              <w:bottom w:val="nil"/>
            </w:tcBorders>
            <w:shd w:val="clear" w:color="auto" w:fill="BFBFBF"/>
            <w:vAlign w:val="top"/>
          </w:tcPr>
          <w:p w14:paraId="68C3D1B0">
            <w:pPr>
              <w:spacing w:before="264" w:line="188" w:lineRule="auto"/>
              <w:ind w:left="269"/>
              <w:rPr>
                <w:rFonts w:ascii="微软雅黑" w:hAnsi="微软雅黑" w:eastAsia="微软雅黑" w:cs="微软雅黑"/>
                <w:sz w:val="11"/>
                <w:szCs w:val="11"/>
              </w:rPr>
            </w:pPr>
            <w:r>
              <w:rPr>
                <w:rFonts w:ascii="微软雅黑" w:hAnsi="微软雅黑" w:eastAsia="微软雅黑" w:cs="微软雅黑"/>
                <w:b/>
                <w:bCs/>
                <w:spacing w:val="1"/>
                <w:sz w:val="11"/>
                <w:szCs w:val="11"/>
              </w:rPr>
              <w:t>联系电话</w:t>
            </w:r>
          </w:p>
        </w:tc>
        <w:tc>
          <w:tcPr>
            <w:tcW w:w="2883" w:type="dxa"/>
            <w:gridSpan w:val="4"/>
            <w:vMerge w:val="restart"/>
            <w:tcBorders>
              <w:bottom w:val="nil"/>
              <w:right w:val="single" w:color="000000" w:sz="6" w:space="0"/>
            </w:tcBorders>
            <w:vAlign w:val="top"/>
          </w:tcPr>
          <w:p w14:paraId="15ABA524">
            <w:pPr>
              <w:spacing w:before="264" w:line="205" w:lineRule="auto"/>
              <w:ind w:left="1137"/>
              <w:rPr>
                <w:rFonts w:ascii="微软雅黑" w:hAnsi="微软雅黑" w:eastAsia="微软雅黑" w:cs="微软雅黑"/>
                <w:sz w:val="11"/>
                <w:szCs w:val="11"/>
              </w:rPr>
            </w:pPr>
            <w:r>
              <w:rPr>
                <w:rFonts w:ascii="微软雅黑" w:hAnsi="微软雅黑" w:eastAsia="微软雅黑" w:cs="微软雅黑"/>
                <w:b/>
                <w:bCs/>
                <w:spacing w:val="-9"/>
                <w:w w:val="96"/>
                <w:sz w:val="11"/>
                <w:szCs w:val="11"/>
              </w:rPr>
              <w:t>18004725230</w:t>
            </w:r>
          </w:p>
        </w:tc>
      </w:tr>
      <w:tr w14:paraId="16039C4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71AF4FFF">
            <w:pPr>
              <w:rPr>
                <w:rFonts w:ascii="Arial"/>
                <w:sz w:val="21"/>
              </w:rPr>
            </w:pPr>
          </w:p>
        </w:tc>
        <w:tc>
          <w:tcPr>
            <w:tcW w:w="1812" w:type="dxa"/>
            <w:gridSpan w:val="3"/>
            <w:vMerge w:val="continue"/>
            <w:tcBorders>
              <w:top w:val="nil"/>
            </w:tcBorders>
            <w:vAlign w:val="top"/>
          </w:tcPr>
          <w:p w14:paraId="13B2D29C">
            <w:pPr>
              <w:rPr>
                <w:rFonts w:ascii="Arial"/>
                <w:sz w:val="21"/>
              </w:rPr>
            </w:pPr>
          </w:p>
        </w:tc>
        <w:tc>
          <w:tcPr>
            <w:tcW w:w="1925" w:type="dxa"/>
            <w:gridSpan w:val="2"/>
            <w:vMerge w:val="continue"/>
            <w:tcBorders>
              <w:top w:val="nil"/>
            </w:tcBorders>
            <w:vAlign w:val="top"/>
          </w:tcPr>
          <w:p w14:paraId="73FC9F7A">
            <w:pPr>
              <w:rPr>
                <w:rFonts w:ascii="Arial"/>
                <w:sz w:val="21"/>
              </w:rPr>
            </w:pPr>
          </w:p>
        </w:tc>
        <w:tc>
          <w:tcPr>
            <w:tcW w:w="1215" w:type="dxa"/>
            <w:vMerge w:val="continue"/>
            <w:tcBorders>
              <w:top w:val="nil"/>
            </w:tcBorders>
            <w:vAlign w:val="top"/>
          </w:tcPr>
          <w:p w14:paraId="1A80C202">
            <w:pPr>
              <w:rPr>
                <w:rFonts w:ascii="Arial"/>
                <w:sz w:val="21"/>
              </w:rPr>
            </w:pPr>
          </w:p>
        </w:tc>
        <w:tc>
          <w:tcPr>
            <w:tcW w:w="983" w:type="dxa"/>
            <w:vMerge w:val="continue"/>
            <w:tcBorders>
              <w:top w:val="nil"/>
            </w:tcBorders>
            <w:vAlign w:val="top"/>
          </w:tcPr>
          <w:p w14:paraId="37403A8F">
            <w:pPr>
              <w:rPr>
                <w:rFonts w:ascii="Arial"/>
                <w:sz w:val="21"/>
              </w:rPr>
            </w:pPr>
          </w:p>
        </w:tc>
        <w:tc>
          <w:tcPr>
            <w:tcW w:w="1120" w:type="dxa"/>
            <w:vMerge w:val="continue"/>
            <w:tcBorders>
              <w:top w:val="nil"/>
              <w:bottom w:val="nil"/>
            </w:tcBorders>
            <w:vAlign w:val="top"/>
          </w:tcPr>
          <w:p w14:paraId="58085CD3">
            <w:pPr>
              <w:rPr>
                <w:rFonts w:ascii="Arial"/>
                <w:sz w:val="21"/>
              </w:rPr>
            </w:pPr>
          </w:p>
        </w:tc>
        <w:tc>
          <w:tcPr>
            <w:tcW w:w="1069" w:type="dxa"/>
            <w:vMerge w:val="continue"/>
            <w:tcBorders>
              <w:top w:val="nil"/>
              <w:bottom w:val="nil"/>
            </w:tcBorders>
            <w:vAlign w:val="top"/>
          </w:tcPr>
          <w:p w14:paraId="3ACE018A">
            <w:pPr>
              <w:rPr>
                <w:rFonts w:ascii="Arial"/>
                <w:sz w:val="21"/>
              </w:rPr>
            </w:pPr>
          </w:p>
        </w:tc>
        <w:tc>
          <w:tcPr>
            <w:tcW w:w="940" w:type="dxa"/>
            <w:shd w:val="clear" w:color="auto" w:fill="BFBFBF"/>
            <w:vAlign w:val="top"/>
          </w:tcPr>
          <w:p w14:paraId="56CE7955">
            <w:pPr>
              <w:spacing w:before="27" w:line="167" w:lineRule="auto"/>
              <w:ind w:left="245"/>
              <w:rPr>
                <w:rFonts w:ascii="微软雅黑" w:hAnsi="微软雅黑" w:eastAsia="微软雅黑" w:cs="微软雅黑"/>
                <w:sz w:val="11"/>
                <w:szCs w:val="11"/>
              </w:rPr>
            </w:pPr>
            <w:r>
              <w:rPr>
                <w:rFonts w:ascii="微软雅黑" w:hAnsi="微软雅黑" w:eastAsia="微软雅黑" w:cs="微软雅黑"/>
                <w:b/>
                <w:bCs/>
                <w:spacing w:val="1"/>
                <w:sz w:val="11"/>
                <w:szCs w:val="11"/>
              </w:rPr>
              <w:t>信用编号</w:t>
            </w:r>
          </w:p>
        </w:tc>
        <w:tc>
          <w:tcPr>
            <w:tcW w:w="873" w:type="dxa"/>
            <w:vAlign w:val="top"/>
          </w:tcPr>
          <w:p w14:paraId="420217D9">
            <w:pPr>
              <w:spacing w:before="44" w:line="115" w:lineRule="exact"/>
              <w:ind w:left="212"/>
              <w:rPr>
                <w:rFonts w:ascii="微软雅黑" w:hAnsi="微软雅黑" w:eastAsia="微软雅黑" w:cs="微软雅黑"/>
                <w:sz w:val="11"/>
                <w:szCs w:val="11"/>
              </w:rPr>
            </w:pPr>
            <w:r>
              <w:rPr>
                <w:rFonts w:ascii="微软雅黑" w:hAnsi="微软雅黑" w:eastAsia="微软雅黑" w:cs="微软雅黑"/>
                <w:b/>
                <w:bCs/>
                <w:spacing w:val="-9"/>
                <w:w w:val="92"/>
                <w:position w:val="1"/>
                <w:sz w:val="11"/>
                <w:szCs w:val="11"/>
              </w:rPr>
              <w:t>BH005479</w:t>
            </w:r>
          </w:p>
        </w:tc>
        <w:tc>
          <w:tcPr>
            <w:tcW w:w="983" w:type="dxa"/>
            <w:vMerge w:val="continue"/>
            <w:tcBorders>
              <w:top w:val="nil"/>
              <w:bottom w:val="nil"/>
            </w:tcBorders>
            <w:vAlign w:val="top"/>
          </w:tcPr>
          <w:p w14:paraId="4E5FF485">
            <w:pPr>
              <w:rPr>
                <w:rFonts w:ascii="Arial"/>
                <w:sz w:val="21"/>
              </w:rPr>
            </w:pPr>
          </w:p>
        </w:tc>
        <w:tc>
          <w:tcPr>
            <w:tcW w:w="2883" w:type="dxa"/>
            <w:gridSpan w:val="4"/>
            <w:vMerge w:val="continue"/>
            <w:tcBorders>
              <w:top w:val="nil"/>
              <w:bottom w:val="nil"/>
              <w:right w:val="single" w:color="000000" w:sz="6" w:space="0"/>
            </w:tcBorders>
            <w:vAlign w:val="top"/>
          </w:tcPr>
          <w:p w14:paraId="51FE1698">
            <w:pPr>
              <w:rPr>
                <w:rFonts w:ascii="Arial"/>
                <w:sz w:val="21"/>
              </w:rPr>
            </w:pPr>
          </w:p>
        </w:tc>
      </w:tr>
      <w:tr w14:paraId="0DF2721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622" w:type="dxa"/>
            <w:vMerge w:val="continue"/>
            <w:tcBorders>
              <w:top w:val="nil"/>
              <w:left w:val="single" w:color="000000" w:sz="6" w:space="0"/>
              <w:bottom w:val="nil"/>
            </w:tcBorders>
            <w:vAlign w:val="top"/>
          </w:tcPr>
          <w:p w14:paraId="42592C2F">
            <w:pPr>
              <w:rPr>
                <w:rFonts w:ascii="Arial"/>
                <w:sz w:val="21"/>
              </w:rPr>
            </w:pPr>
          </w:p>
        </w:tc>
        <w:tc>
          <w:tcPr>
            <w:tcW w:w="1812" w:type="dxa"/>
            <w:gridSpan w:val="3"/>
            <w:shd w:val="clear" w:color="auto" w:fill="C1C1C1"/>
            <w:vAlign w:val="top"/>
          </w:tcPr>
          <w:p w14:paraId="319AB1E8">
            <w:pPr>
              <w:spacing w:before="1" w:line="177" w:lineRule="auto"/>
              <w:ind w:left="443"/>
              <w:rPr>
                <w:rFonts w:ascii="微软雅黑" w:hAnsi="微软雅黑" w:eastAsia="微软雅黑" w:cs="微软雅黑"/>
                <w:sz w:val="11"/>
                <w:szCs w:val="11"/>
              </w:rPr>
            </w:pPr>
            <w:r>
              <w:rPr>
                <w:rFonts w:ascii="微软雅黑" w:hAnsi="微软雅黑" w:eastAsia="微软雅黑" w:cs="微软雅黑"/>
                <w:b/>
                <w:bCs/>
                <w:spacing w:val="2"/>
                <w:sz w:val="11"/>
                <w:szCs w:val="11"/>
              </w:rPr>
              <w:t>统一社会信用代码</w:t>
            </w:r>
          </w:p>
          <w:p w14:paraId="5EC9C78C">
            <w:pPr>
              <w:spacing w:line="104" w:lineRule="exact"/>
              <w:ind w:left="453"/>
              <w:rPr>
                <w:rFonts w:ascii="微软雅黑" w:hAnsi="微软雅黑" w:eastAsia="微软雅黑" w:cs="微软雅黑"/>
                <w:sz w:val="11"/>
                <w:szCs w:val="11"/>
              </w:rPr>
            </w:pPr>
            <w:r>
              <w:rPr>
                <w:rFonts w:ascii="微软雅黑" w:hAnsi="微软雅黑" w:eastAsia="微软雅黑" w:cs="微软雅黑"/>
                <w:b/>
                <w:bCs/>
                <w:position w:val="-1"/>
                <w:sz w:val="11"/>
                <w:szCs w:val="11"/>
              </w:rPr>
              <w:t>（组织机构代码）</w:t>
            </w:r>
          </w:p>
        </w:tc>
        <w:tc>
          <w:tcPr>
            <w:tcW w:w="1925" w:type="dxa"/>
            <w:gridSpan w:val="2"/>
            <w:vAlign w:val="top"/>
          </w:tcPr>
          <w:p w14:paraId="42F6BF75">
            <w:pPr>
              <w:spacing w:before="70" w:line="205" w:lineRule="auto"/>
              <w:ind w:left="443"/>
              <w:rPr>
                <w:rFonts w:ascii="微软雅黑" w:hAnsi="微软雅黑" w:eastAsia="微软雅黑" w:cs="微软雅黑"/>
                <w:sz w:val="11"/>
                <w:szCs w:val="11"/>
              </w:rPr>
            </w:pPr>
            <w:r>
              <w:rPr>
                <w:rFonts w:ascii="微软雅黑" w:hAnsi="微软雅黑" w:eastAsia="微软雅黑" w:cs="微软雅黑"/>
                <w:b/>
                <w:bCs/>
                <w:spacing w:val="-11"/>
                <w:sz w:val="11"/>
                <w:szCs w:val="11"/>
              </w:rPr>
              <w:t>911525007361470050</w:t>
            </w:r>
          </w:p>
        </w:tc>
        <w:tc>
          <w:tcPr>
            <w:tcW w:w="1215" w:type="dxa"/>
            <w:shd w:val="clear" w:color="auto" w:fill="BFBFBF"/>
            <w:vAlign w:val="top"/>
          </w:tcPr>
          <w:p w14:paraId="40164F3D">
            <w:pPr>
              <w:spacing w:before="70" w:line="188" w:lineRule="auto"/>
              <w:ind w:left="378"/>
              <w:rPr>
                <w:rFonts w:ascii="微软雅黑" w:hAnsi="微软雅黑" w:eastAsia="微软雅黑" w:cs="微软雅黑"/>
                <w:sz w:val="11"/>
                <w:szCs w:val="11"/>
              </w:rPr>
            </w:pPr>
            <w:r>
              <w:rPr>
                <w:rFonts w:ascii="微软雅黑" w:hAnsi="微软雅黑" w:eastAsia="微软雅黑" w:cs="微软雅黑"/>
                <w:b/>
                <w:bCs/>
                <w:spacing w:val="1"/>
                <w:sz w:val="11"/>
                <w:szCs w:val="11"/>
              </w:rPr>
              <w:t>联系电话</w:t>
            </w:r>
          </w:p>
        </w:tc>
        <w:tc>
          <w:tcPr>
            <w:tcW w:w="983" w:type="dxa"/>
            <w:vAlign w:val="top"/>
          </w:tcPr>
          <w:p w14:paraId="60190B33">
            <w:pPr>
              <w:spacing w:before="70" w:line="205" w:lineRule="auto"/>
              <w:ind w:left="183"/>
              <w:rPr>
                <w:rFonts w:ascii="微软雅黑" w:hAnsi="微软雅黑" w:eastAsia="微软雅黑" w:cs="微软雅黑"/>
                <w:sz w:val="11"/>
                <w:szCs w:val="11"/>
              </w:rPr>
            </w:pPr>
            <w:r>
              <w:rPr>
                <w:rFonts w:ascii="微软雅黑" w:hAnsi="微软雅黑" w:eastAsia="微软雅黑" w:cs="微软雅黑"/>
                <w:b/>
                <w:bCs/>
                <w:spacing w:val="-11"/>
                <w:w w:val="99"/>
                <w:sz w:val="11"/>
                <w:szCs w:val="11"/>
              </w:rPr>
              <w:t>15847347591</w:t>
            </w:r>
          </w:p>
        </w:tc>
        <w:tc>
          <w:tcPr>
            <w:tcW w:w="1120" w:type="dxa"/>
            <w:vMerge w:val="continue"/>
            <w:tcBorders>
              <w:top w:val="nil"/>
              <w:bottom w:val="nil"/>
            </w:tcBorders>
            <w:vAlign w:val="top"/>
          </w:tcPr>
          <w:p w14:paraId="15D1EA43">
            <w:pPr>
              <w:rPr>
                <w:rFonts w:ascii="Arial"/>
                <w:sz w:val="21"/>
              </w:rPr>
            </w:pPr>
          </w:p>
        </w:tc>
        <w:tc>
          <w:tcPr>
            <w:tcW w:w="1069" w:type="dxa"/>
            <w:vMerge w:val="continue"/>
            <w:tcBorders>
              <w:top w:val="nil"/>
            </w:tcBorders>
            <w:vAlign w:val="top"/>
          </w:tcPr>
          <w:p w14:paraId="2DAFA385">
            <w:pPr>
              <w:rPr>
                <w:rFonts w:ascii="Arial"/>
                <w:sz w:val="21"/>
              </w:rPr>
            </w:pPr>
          </w:p>
        </w:tc>
        <w:tc>
          <w:tcPr>
            <w:tcW w:w="940" w:type="dxa"/>
            <w:shd w:val="clear" w:color="auto" w:fill="BFBFBF"/>
            <w:vAlign w:val="top"/>
          </w:tcPr>
          <w:p w14:paraId="460DAB7B">
            <w:pPr>
              <w:spacing w:before="1" w:line="177" w:lineRule="auto"/>
              <w:ind w:left="132"/>
              <w:rPr>
                <w:rFonts w:ascii="微软雅黑" w:hAnsi="微软雅黑" w:eastAsia="微软雅黑" w:cs="微软雅黑"/>
                <w:sz w:val="11"/>
                <w:szCs w:val="11"/>
              </w:rPr>
            </w:pPr>
            <w:r>
              <w:rPr>
                <w:rFonts w:ascii="微软雅黑" w:hAnsi="微软雅黑" w:eastAsia="微软雅黑" w:cs="微软雅黑"/>
                <w:b/>
                <w:bCs/>
                <w:spacing w:val="2"/>
                <w:sz w:val="11"/>
                <w:szCs w:val="11"/>
              </w:rPr>
              <w:t>职业资格证书</w:t>
            </w:r>
          </w:p>
          <w:p w14:paraId="538BF07C">
            <w:pPr>
              <w:spacing w:line="104" w:lineRule="exact"/>
              <w:ind w:left="301"/>
              <w:rPr>
                <w:rFonts w:ascii="微软雅黑" w:hAnsi="微软雅黑" w:eastAsia="微软雅黑" w:cs="微软雅黑"/>
                <w:sz w:val="11"/>
                <w:szCs w:val="11"/>
              </w:rPr>
            </w:pPr>
            <w:r>
              <w:rPr>
                <w:rFonts w:ascii="微软雅黑" w:hAnsi="微软雅黑" w:eastAsia="微软雅黑" w:cs="微软雅黑"/>
                <w:b/>
                <w:bCs/>
                <w:position w:val="-1"/>
                <w:sz w:val="11"/>
                <w:szCs w:val="11"/>
              </w:rPr>
              <w:t>管理号</w:t>
            </w:r>
          </w:p>
        </w:tc>
        <w:tc>
          <w:tcPr>
            <w:tcW w:w="873" w:type="dxa"/>
            <w:vAlign w:val="top"/>
          </w:tcPr>
          <w:p w14:paraId="7C30B8C7">
            <w:pPr>
              <w:spacing w:before="15" w:line="194" w:lineRule="auto"/>
              <w:ind w:right="4"/>
              <w:jc w:val="right"/>
              <w:rPr>
                <w:rFonts w:ascii="微软雅黑" w:hAnsi="微软雅黑" w:eastAsia="微软雅黑" w:cs="微软雅黑"/>
                <w:sz w:val="9"/>
                <w:szCs w:val="9"/>
              </w:rPr>
            </w:pPr>
            <w:r>
              <w:rPr>
                <w:rFonts w:ascii="微软雅黑" w:hAnsi="微软雅黑" w:eastAsia="微软雅黑" w:cs="微软雅黑"/>
                <w:b/>
                <w:bCs/>
                <w:spacing w:val="-5"/>
                <w:sz w:val="9"/>
                <w:szCs w:val="9"/>
              </w:rPr>
              <w:t>2013035150350000</w:t>
            </w:r>
          </w:p>
          <w:p w14:paraId="3BA5712A">
            <w:pPr>
              <w:spacing w:line="162" w:lineRule="auto"/>
              <w:ind w:left="129"/>
              <w:rPr>
                <w:rFonts w:ascii="微软雅黑" w:hAnsi="微软雅黑" w:eastAsia="微软雅黑" w:cs="微软雅黑"/>
                <w:sz w:val="9"/>
                <w:szCs w:val="9"/>
              </w:rPr>
            </w:pPr>
            <w:r>
              <w:rPr>
                <w:rFonts w:ascii="微软雅黑" w:hAnsi="微软雅黑" w:eastAsia="微软雅黑" w:cs="微软雅黑"/>
                <w:b/>
                <w:bCs/>
                <w:spacing w:val="-5"/>
                <w:sz w:val="9"/>
                <w:szCs w:val="9"/>
              </w:rPr>
              <w:t>003509150048</w:t>
            </w:r>
          </w:p>
        </w:tc>
        <w:tc>
          <w:tcPr>
            <w:tcW w:w="983" w:type="dxa"/>
            <w:vMerge w:val="continue"/>
            <w:tcBorders>
              <w:top w:val="nil"/>
            </w:tcBorders>
            <w:vAlign w:val="top"/>
          </w:tcPr>
          <w:p w14:paraId="679DD698">
            <w:pPr>
              <w:rPr>
                <w:rFonts w:ascii="Arial"/>
                <w:sz w:val="21"/>
              </w:rPr>
            </w:pPr>
          </w:p>
        </w:tc>
        <w:tc>
          <w:tcPr>
            <w:tcW w:w="2883" w:type="dxa"/>
            <w:gridSpan w:val="4"/>
            <w:vMerge w:val="continue"/>
            <w:tcBorders>
              <w:top w:val="nil"/>
              <w:right w:val="single" w:color="000000" w:sz="6" w:space="0"/>
            </w:tcBorders>
            <w:vAlign w:val="top"/>
          </w:tcPr>
          <w:p w14:paraId="33F99029">
            <w:pPr>
              <w:rPr>
                <w:rFonts w:ascii="Arial"/>
                <w:sz w:val="21"/>
              </w:rPr>
            </w:pPr>
          </w:p>
        </w:tc>
      </w:tr>
      <w:tr w14:paraId="614F604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tcBorders>
            <w:vAlign w:val="top"/>
          </w:tcPr>
          <w:p w14:paraId="02BCFC25">
            <w:pPr>
              <w:rPr>
                <w:rFonts w:ascii="Arial"/>
                <w:sz w:val="21"/>
              </w:rPr>
            </w:pPr>
          </w:p>
        </w:tc>
        <w:tc>
          <w:tcPr>
            <w:tcW w:w="1812" w:type="dxa"/>
            <w:gridSpan w:val="3"/>
            <w:shd w:val="clear" w:color="auto" w:fill="BFBFBF"/>
            <w:vAlign w:val="top"/>
          </w:tcPr>
          <w:p w14:paraId="0306C39D">
            <w:pPr>
              <w:spacing w:before="28" w:line="166" w:lineRule="auto"/>
              <w:ind w:left="669"/>
              <w:rPr>
                <w:rFonts w:ascii="微软雅黑" w:hAnsi="微软雅黑" w:eastAsia="微软雅黑" w:cs="微软雅黑"/>
                <w:sz w:val="11"/>
                <w:szCs w:val="11"/>
              </w:rPr>
            </w:pPr>
            <w:r>
              <w:rPr>
                <w:rFonts w:ascii="微软雅黑" w:hAnsi="微软雅黑" w:eastAsia="微软雅黑" w:cs="微软雅黑"/>
                <w:b/>
                <w:bCs/>
                <w:spacing w:val="1"/>
                <w:sz w:val="11"/>
                <w:szCs w:val="11"/>
              </w:rPr>
              <w:t>通讯地址</w:t>
            </w:r>
          </w:p>
        </w:tc>
        <w:tc>
          <w:tcPr>
            <w:tcW w:w="4123" w:type="dxa"/>
            <w:gridSpan w:val="4"/>
            <w:vAlign w:val="top"/>
          </w:tcPr>
          <w:p w14:paraId="76BE8E6A">
            <w:pPr>
              <w:spacing w:before="28" w:line="166" w:lineRule="auto"/>
              <w:ind w:left="482"/>
              <w:rPr>
                <w:rFonts w:ascii="微软雅黑" w:hAnsi="微软雅黑" w:eastAsia="微软雅黑" w:cs="微软雅黑"/>
                <w:sz w:val="11"/>
                <w:szCs w:val="11"/>
              </w:rPr>
            </w:pPr>
            <w:r>
              <w:rPr>
                <w:rFonts w:ascii="微软雅黑" w:hAnsi="微软雅黑" w:eastAsia="微软雅黑" w:cs="微软雅黑"/>
                <w:b/>
                <w:bCs/>
                <w:spacing w:val="2"/>
                <w:sz w:val="11"/>
                <w:szCs w:val="11"/>
              </w:rPr>
              <w:t>内蒙古自治区锡林郭勒盟西乌珠穆沁旗巴彦花镇巴拉嘎尔高勒镇</w:t>
            </w:r>
          </w:p>
        </w:tc>
        <w:tc>
          <w:tcPr>
            <w:tcW w:w="1120" w:type="dxa"/>
            <w:vMerge w:val="continue"/>
            <w:tcBorders>
              <w:top w:val="nil"/>
            </w:tcBorders>
            <w:vAlign w:val="top"/>
          </w:tcPr>
          <w:p w14:paraId="76EE8197">
            <w:pPr>
              <w:rPr>
                <w:rFonts w:ascii="Arial"/>
                <w:sz w:val="21"/>
              </w:rPr>
            </w:pPr>
          </w:p>
        </w:tc>
        <w:tc>
          <w:tcPr>
            <w:tcW w:w="1069" w:type="dxa"/>
            <w:shd w:val="clear" w:color="auto" w:fill="BFBFBF"/>
            <w:vAlign w:val="top"/>
          </w:tcPr>
          <w:p w14:paraId="3A09FEAC">
            <w:pPr>
              <w:spacing w:before="28" w:line="166" w:lineRule="auto"/>
              <w:ind w:left="306"/>
              <w:rPr>
                <w:rFonts w:ascii="微软雅黑" w:hAnsi="微软雅黑" w:eastAsia="微软雅黑" w:cs="微软雅黑"/>
                <w:sz w:val="11"/>
                <w:szCs w:val="11"/>
              </w:rPr>
            </w:pPr>
            <w:r>
              <w:rPr>
                <w:rFonts w:ascii="微软雅黑" w:hAnsi="微软雅黑" w:eastAsia="微软雅黑" w:cs="微软雅黑"/>
                <w:b/>
                <w:bCs/>
                <w:spacing w:val="1"/>
                <w:sz w:val="11"/>
                <w:szCs w:val="11"/>
              </w:rPr>
              <w:t>通讯地址</w:t>
            </w:r>
          </w:p>
        </w:tc>
        <w:tc>
          <w:tcPr>
            <w:tcW w:w="5679" w:type="dxa"/>
            <w:gridSpan w:val="7"/>
            <w:tcBorders>
              <w:right w:val="single" w:color="000000" w:sz="6" w:space="0"/>
            </w:tcBorders>
            <w:vAlign w:val="top"/>
          </w:tcPr>
          <w:p w14:paraId="42434876">
            <w:pPr>
              <w:spacing w:before="28" w:line="166" w:lineRule="auto"/>
              <w:ind w:left="1690"/>
              <w:rPr>
                <w:rFonts w:ascii="微软雅黑" w:hAnsi="微软雅黑" w:eastAsia="微软雅黑" w:cs="微软雅黑"/>
                <w:sz w:val="11"/>
                <w:szCs w:val="11"/>
              </w:rPr>
            </w:pPr>
            <w:r>
              <w:rPr>
                <w:rFonts w:ascii="微软雅黑" w:hAnsi="微软雅黑" w:eastAsia="微软雅黑" w:cs="微软雅黑"/>
                <w:b/>
                <w:bCs/>
                <w:sz w:val="11"/>
                <w:szCs w:val="11"/>
              </w:rPr>
              <w:t>内蒙古包头市昆都仑区钢铁大街邮电大厦507室</w:t>
            </w:r>
          </w:p>
        </w:tc>
      </w:tr>
      <w:tr w14:paraId="60768D9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622" w:type="dxa"/>
            <w:vMerge w:val="restart"/>
            <w:tcBorders>
              <w:left w:val="single" w:color="000000" w:sz="6" w:space="0"/>
              <w:bottom w:val="nil"/>
            </w:tcBorders>
            <w:shd w:val="clear" w:color="auto" w:fill="BFBFBF"/>
            <w:textDirection w:val="tbRlV"/>
            <w:vAlign w:val="top"/>
          </w:tcPr>
          <w:p w14:paraId="4E3A4E8C">
            <w:pPr>
              <w:spacing w:before="230" w:line="184" w:lineRule="auto"/>
              <w:ind w:left="1294"/>
              <w:rPr>
                <w:rFonts w:ascii="微软雅黑" w:hAnsi="微软雅黑" w:eastAsia="微软雅黑" w:cs="微软雅黑"/>
                <w:sz w:val="13"/>
                <w:szCs w:val="13"/>
              </w:rPr>
            </w:pPr>
            <w:r>
              <w:rPr>
                <w:rFonts w:ascii="微软雅黑" w:hAnsi="微软雅黑" w:eastAsia="微软雅黑" w:cs="微软雅黑"/>
                <w:b/>
                <w:bCs/>
                <w:spacing w:val="6"/>
                <w:w w:val="120"/>
                <w:sz w:val="13"/>
                <w:szCs w:val="13"/>
              </w:rPr>
              <w:t>污染物排放量</w:t>
            </w:r>
          </w:p>
        </w:tc>
        <w:tc>
          <w:tcPr>
            <w:tcW w:w="1812" w:type="dxa"/>
            <w:gridSpan w:val="3"/>
            <w:vMerge w:val="restart"/>
            <w:tcBorders>
              <w:bottom w:val="nil"/>
            </w:tcBorders>
            <w:shd w:val="clear" w:color="auto" w:fill="BFBFBF"/>
            <w:vAlign w:val="top"/>
          </w:tcPr>
          <w:p w14:paraId="3A6F708A">
            <w:pPr>
              <w:spacing w:before="202" w:line="192" w:lineRule="auto"/>
              <w:ind w:left="695"/>
              <w:rPr>
                <w:rFonts w:ascii="微软雅黑" w:hAnsi="微软雅黑" w:eastAsia="微软雅黑" w:cs="微软雅黑"/>
                <w:sz w:val="13"/>
                <w:szCs w:val="13"/>
              </w:rPr>
            </w:pPr>
            <w:r>
              <w:rPr>
                <w:rFonts w:ascii="微软雅黑" w:hAnsi="微软雅黑" w:eastAsia="微软雅黑" w:cs="微软雅黑"/>
                <w:b/>
                <w:bCs/>
                <w:spacing w:val="3"/>
                <w:sz w:val="13"/>
                <w:szCs w:val="13"/>
              </w:rPr>
              <w:t>污染物</w:t>
            </w:r>
          </w:p>
        </w:tc>
        <w:tc>
          <w:tcPr>
            <w:tcW w:w="1925" w:type="dxa"/>
            <w:gridSpan w:val="2"/>
            <w:shd w:val="clear" w:color="auto" w:fill="BFBFBF"/>
            <w:vAlign w:val="top"/>
          </w:tcPr>
          <w:p w14:paraId="29F0B514">
            <w:pPr>
              <w:spacing w:before="2" w:line="177" w:lineRule="auto"/>
              <w:ind w:left="730"/>
              <w:rPr>
                <w:rFonts w:ascii="微软雅黑" w:hAnsi="微软雅黑" w:eastAsia="微软雅黑" w:cs="微软雅黑"/>
                <w:sz w:val="11"/>
                <w:szCs w:val="11"/>
              </w:rPr>
            </w:pPr>
            <w:r>
              <w:rPr>
                <w:rFonts w:ascii="微软雅黑" w:hAnsi="微软雅黑" w:eastAsia="微软雅黑" w:cs="微软雅黑"/>
                <w:b/>
                <w:bCs/>
                <w:spacing w:val="1"/>
                <w:sz w:val="11"/>
                <w:szCs w:val="11"/>
              </w:rPr>
              <w:t>现有工程</w:t>
            </w:r>
          </w:p>
          <w:p w14:paraId="47362F32">
            <w:pPr>
              <w:spacing w:line="103" w:lineRule="exact"/>
              <w:ind w:left="597"/>
              <w:rPr>
                <w:rFonts w:ascii="微软雅黑" w:hAnsi="微软雅黑" w:eastAsia="微软雅黑" w:cs="微软雅黑"/>
                <w:sz w:val="11"/>
                <w:szCs w:val="11"/>
              </w:rPr>
            </w:pPr>
            <w:r>
              <w:rPr>
                <w:rFonts w:ascii="微软雅黑" w:hAnsi="微软雅黑" w:eastAsia="微软雅黑" w:cs="微软雅黑"/>
                <w:b/>
                <w:bCs/>
                <w:spacing w:val="-4"/>
                <w:position w:val="-1"/>
                <w:sz w:val="11"/>
                <w:szCs w:val="11"/>
              </w:rPr>
              <w:t>（已建+在建）</w:t>
            </w:r>
          </w:p>
        </w:tc>
        <w:tc>
          <w:tcPr>
            <w:tcW w:w="1215" w:type="dxa"/>
            <w:shd w:val="clear" w:color="auto" w:fill="BFBFBF"/>
            <w:vAlign w:val="top"/>
          </w:tcPr>
          <w:p w14:paraId="275CA2A3">
            <w:pPr>
              <w:spacing w:before="2" w:line="177" w:lineRule="auto"/>
              <w:ind w:left="435"/>
              <w:rPr>
                <w:rFonts w:ascii="微软雅黑" w:hAnsi="微软雅黑" w:eastAsia="微软雅黑" w:cs="微软雅黑"/>
                <w:sz w:val="11"/>
                <w:szCs w:val="11"/>
              </w:rPr>
            </w:pPr>
            <w:r>
              <w:rPr>
                <w:rFonts w:ascii="微软雅黑" w:hAnsi="微软雅黑" w:eastAsia="微软雅黑" w:cs="微软雅黑"/>
                <w:b/>
                <w:bCs/>
                <w:sz w:val="11"/>
                <w:szCs w:val="11"/>
              </w:rPr>
              <w:t>本工程</w:t>
            </w:r>
          </w:p>
          <w:p w14:paraId="15296DA8">
            <w:pPr>
              <w:spacing w:line="103" w:lineRule="exact"/>
              <w:ind w:left="105"/>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（拟建或调整变更）</w:t>
            </w:r>
          </w:p>
        </w:tc>
        <w:tc>
          <w:tcPr>
            <w:tcW w:w="7613" w:type="dxa"/>
            <w:gridSpan w:val="8"/>
            <w:shd w:val="clear" w:color="auto" w:fill="BFBFBF"/>
            <w:vAlign w:val="top"/>
          </w:tcPr>
          <w:p w14:paraId="7A3D9A61">
            <w:pPr>
              <w:spacing w:before="2" w:line="177" w:lineRule="auto"/>
              <w:ind w:left="3583"/>
              <w:rPr>
                <w:rFonts w:ascii="微软雅黑" w:hAnsi="微软雅黑" w:eastAsia="微软雅黑" w:cs="微软雅黑"/>
                <w:sz w:val="11"/>
                <w:szCs w:val="11"/>
              </w:rPr>
            </w:pPr>
            <w:r>
              <w:rPr>
                <w:rFonts w:ascii="微软雅黑" w:hAnsi="微软雅黑" w:eastAsia="微软雅黑" w:cs="微软雅黑"/>
                <w:b/>
                <w:bCs/>
                <w:spacing w:val="1"/>
                <w:sz w:val="11"/>
                <w:szCs w:val="11"/>
              </w:rPr>
              <w:t>总体工程</w:t>
            </w:r>
          </w:p>
          <w:p w14:paraId="2F056F14">
            <w:pPr>
              <w:spacing w:line="103" w:lineRule="exact"/>
              <w:ind w:left="3025"/>
              <w:rPr>
                <w:rFonts w:ascii="微软雅黑" w:hAnsi="微软雅黑" w:eastAsia="微软雅黑" w:cs="微软雅黑"/>
                <w:sz w:val="11"/>
                <w:szCs w:val="11"/>
              </w:rPr>
            </w:pPr>
            <w:r>
              <w:rPr>
                <w:rFonts w:ascii="微软雅黑" w:hAnsi="微软雅黑" w:eastAsia="微软雅黑" w:cs="微软雅黑"/>
                <w:b/>
                <w:bCs/>
                <w:spacing w:val="-3"/>
                <w:position w:val="-1"/>
                <w:sz w:val="11"/>
                <w:szCs w:val="11"/>
              </w:rPr>
              <w:t>（已建+在建+拟建或调整变更）</w:t>
            </w:r>
          </w:p>
        </w:tc>
        <w:tc>
          <w:tcPr>
            <w:tcW w:w="1238" w:type="dxa"/>
            <w:gridSpan w:val="2"/>
            <w:vMerge w:val="restart"/>
            <w:tcBorders>
              <w:bottom w:val="nil"/>
              <w:right w:val="single" w:color="000000" w:sz="6" w:space="0"/>
            </w:tcBorders>
            <w:shd w:val="clear" w:color="auto" w:fill="BFBFBF"/>
            <w:vAlign w:val="top"/>
          </w:tcPr>
          <w:p w14:paraId="2E20A5BD">
            <w:pPr>
              <w:spacing w:before="144" w:line="177" w:lineRule="auto"/>
              <w:ind w:left="63"/>
              <w:rPr>
                <w:rFonts w:ascii="微软雅黑" w:hAnsi="微软雅黑" w:eastAsia="微软雅黑" w:cs="微软雅黑"/>
                <w:sz w:val="11"/>
                <w:szCs w:val="11"/>
              </w:rPr>
            </w:pPr>
            <w:r>
              <w:rPr>
                <w:rFonts w:ascii="微软雅黑" w:hAnsi="微软雅黑" w:eastAsia="微软雅黑" w:cs="微软雅黑"/>
                <w:b/>
                <w:bCs/>
                <w:spacing w:val="1"/>
                <w:sz w:val="11"/>
                <w:szCs w:val="11"/>
              </w:rPr>
              <w:t>区域削减量来源（国家</w:t>
            </w:r>
          </w:p>
          <w:p w14:paraId="6803BF89">
            <w:pPr>
              <w:spacing w:line="183" w:lineRule="auto"/>
              <w:ind w:left="182"/>
              <w:rPr>
                <w:rFonts w:ascii="微软雅黑" w:hAnsi="微软雅黑" w:eastAsia="微软雅黑" w:cs="微软雅黑"/>
                <w:sz w:val="11"/>
                <w:szCs w:val="11"/>
              </w:rPr>
            </w:pPr>
            <w:r>
              <w:rPr>
                <w:rFonts w:ascii="微软雅黑" w:hAnsi="微软雅黑" w:eastAsia="微软雅黑" w:cs="微软雅黑"/>
                <w:b/>
                <w:bCs/>
                <w:sz w:val="11"/>
                <w:szCs w:val="11"/>
              </w:rPr>
              <w:t>、省级审批项目）</w:t>
            </w:r>
          </w:p>
        </w:tc>
      </w:tr>
      <w:tr w14:paraId="6E766DA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622" w:type="dxa"/>
            <w:vMerge w:val="continue"/>
            <w:tcBorders>
              <w:top w:val="nil"/>
              <w:left w:val="single" w:color="000000" w:sz="6" w:space="0"/>
              <w:bottom w:val="nil"/>
            </w:tcBorders>
            <w:textDirection w:val="tbRlV"/>
            <w:vAlign w:val="top"/>
          </w:tcPr>
          <w:p w14:paraId="28C2AF2C">
            <w:pPr>
              <w:rPr>
                <w:rFonts w:ascii="Arial"/>
                <w:sz w:val="21"/>
              </w:rPr>
            </w:pPr>
          </w:p>
        </w:tc>
        <w:tc>
          <w:tcPr>
            <w:tcW w:w="1812" w:type="dxa"/>
            <w:gridSpan w:val="3"/>
            <w:vMerge w:val="continue"/>
            <w:tcBorders>
              <w:top w:val="nil"/>
            </w:tcBorders>
            <w:vAlign w:val="top"/>
          </w:tcPr>
          <w:p w14:paraId="559D795A">
            <w:pPr>
              <w:rPr>
                <w:rFonts w:ascii="Arial"/>
                <w:sz w:val="21"/>
              </w:rPr>
            </w:pPr>
          </w:p>
        </w:tc>
        <w:tc>
          <w:tcPr>
            <w:tcW w:w="846" w:type="dxa"/>
            <w:shd w:val="clear" w:color="auto" w:fill="BFBFBF"/>
            <w:vAlign w:val="top"/>
          </w:tcPr>
          <w:p w14:paraId="61732BEE">
            <w:pPr>
              <w:spacing w:before="3" w:line="177" w:lineRule="auto"/>
              <w:ind w:left="190"/>
              <w:rPr>
                <w:rFonts w:ascii="微软雅黑" w:hAnsi="微软雅黑" w:eastAsia="微软雅黑" w:cs="微软雅黑"/>
                <w:sz w:val="11"/>
                <w:szCs w:val="11"/>
              </w:rPr>
            </w:pPr>
            <w:r>
              <w:rPr>
                <w:rFonts w:ascii="微软雅黑" w:hAnsi="微软雅黑" w:eastAsia="微软雅黑" w:cs="微软雅黑"/>
                <w:b/>
                <w:bCs/>
                <w:spacing w:val="1"/>
                <w:sz w:val="11"/>
                <w:szCs w:val="11"/>
              </w:rPr>
              <w:t>①排放量</w:t>
            </w:r>
          </w:p>
          <w:p w14:paraId="73A867A5">
            <w:pPr>
              <w:spacing w:line="103" w:lineRule="exact"/>
              <w:ind w:left="170"/>
              <w:rPr>
                <w:rFonts w:ascii="微软雅黑" w:hAnsi="微软雅黑" w:eastAsia="微软雅黑" w:cs="微软雅黑"/>
                <w:sz w:val="11"/>
                <w:szCs w:val="11"/>
              </w:rPr>
            </w:pPr>
            <w:r>
              <w:rPr>
                <w:rFonts w:ascii="微软雅黑" w:hAnsi="微软雅黑" w:eastAsia="微软雅黑" w:cs="微软雅黑"/>
                <w:b/>
                <w:bCs/>
                <w:sz w:val="11"/>
                <w:szCs w:val="11"/>
              </w:rPr>
              <w:t>（吨/年）</w:t>
            </w:r>
          </w:p>
        </w:tc>
        <w:tc>
          <w:tcPr>
            <w:tcW w:w="1079" w:type="dxa"/>
            <w:shd w:val="clear" w:color="auto" w:fill="BFBFBF"/>
            <w:vAlign w:val="top"/>
          </w:tcPr>
          <w:p w14:paraId="65953F56">
            <w:pPr>
              <w:spacing w:before="3" w:line="177" w:lineRule="auto"/>
              <w:ind w:left="194"/>
              <w:rPr>
                <w:rFonts w:ascii="微软雅黑" w:hAnsi="微软雅黑" w:eastAsia="微软雅黑" w:cs="微软雅黑"/>
                <w:sz w:val="11"/>
                <w:szCs w:val="11"/>
              </w:rPr>
            </w:pPr>
            <w:r>
              <w:rPr>
                <w:rFonts w:ascii="微软雅黑" w:hAnsi="微软雅黑" w:eastAsia="微软雅黑" w:cs="微软雅黑"/>
                <w:b/>
                <w:bCs/>
                <w:spacing w:val="1"/>
                <w:sz w:val="11"/>
                <w:szCs w:val="11"/>
              </w:rPr>
              <w:t>②许可排放量</w:t>
            </w:r>
          </w:p>
          <w:p w14:paraId="77DACAFE">
            <w:pPr>
              <w:spacing w:line="103" w:lineRule="exact"/>
              <w:ind w:left="288"/>
              <w:rPr>
                <w:rFonts w:ascii="微软雅黑" w:hAnsi="微软雅黑" w:eastAsia="微软雅黑" w:cs="微软雅黑"/>
                <w:sz w:val="11"/>
                <w:szCs w:val="11"/>
              </w:rPr>
            </w:pPr>
            <w:r>
              <w:rPr>
                <w:rFonts w:ascii="微软雅黑" w:hAnsi="微软雅黑" w:eastAsia="微软雅黑" w:cs="微软雅黑"/>
                <w:b/>
                <w:bCs/>
                <w:spacing w:val="-1"/>
                <w:sz w:val="11"/>
                <w:szCs w:val="11"/>
              </w:rPr>
              <w:t>（吨/年）</w:t>
            </w:r>
          </w:p>
        </w:tc>
        <w:tc>
          <w:tcPr>
            <w:tcW w:w="1215" w:type="dxa"/>
            <w:shd w:val="clear" w:color="auto" w:fill="BFBFBF"/>
            <w:vAlign w:val="top"/>
          </w:tcPr>
          <w:p w14:paraId="61C5CC13">
            <w:pPr>
              <w:spacing w:before="3" w:line="177" w:lineRule="auto"/>
              <w:ind w:left="264"/>
              <w:rPr>
                <w:rFonts w:ascii="微软雅黑" w:hAnsi="微软雅黑" w:eastAsia="微软雅黑" w:cs="微软雅黑"/>
                <w:sz w:val="11"/>
                <w:szCs w:val="11"/>
              </w:rPr>
            </w:pPr>
            <w:r>
              <w:rPr>
                <w:rFonts w:ascii="微软雅黑" w:hAnsi="微软雅黑" w:eastAsia="微软雅黑" w:cs="微软雅黑"/>
                <w:b/>
                <w:bCs/>
                <w:spacing w:val="2"/>
                <w:sz w:val="11"/>
                <w:szCs w:val="11"/>
              </w:rPr>
              <w:t>③预测排放量</w:t>
            </w:r>
          </w:p>
          <w:p w14:paraId="24923E8A">
            <w:pPr>
              <w:spacing w:line="103" w:lineRule="exact"/>
              <w:ind w:left="357"/>
              <w:rPr>
                <w:rFonts w:ascii="微软雅黑" w:hAnsi="微软雅黑" w:eastAsia="微软雅黑" w:cs="微软雅黑"/>
                <w:sz w:val="11"/>
                <w:szCs w:val="11"/>
              </w:rPr>
            </w:pPr>
            <w:r>
              <w:rPr>
                <w:rFonts w:ascii="微软雅黑" w:hAnsi="微软雅黑" w:eastAsia="微软雅黑" w:cs="微软雅黑"/>
                <w:b/>
                <w:bCs/>
                <w:sz w:val="11"/>
                <w:szCs w:val="11"/>
              </w:rPr>
              <w:t>（吨/年）</w:t>
            </w:r>
          </w:p>
        </w:tc>
        <w:tc>
          <w:tcPr>
            <w:tcW w:w="2103" w:type="dxa"/>
            <w:gridSpan w:val="2"/>
            <w:shd w:val="clear" w:color="auto" w:fill="BFBFBF"/>
            <w:vAlign w:val="top"/>
          </w:tcPr>
          <w:p w14:paraId="00FF6E14">
            <w:pPr>
              <w:spacing w:before="72" w:line="178" w:lineRule="auto"/>
              <w:ind w:left="230"/>
              <w:rPr>
                <w:rFonts w:ascii="微软雅黑" w:hAnsi="微软雅黑" w:eastAsia="微软雅黑" w:cs="微软雅黑"/>
                <w:sz w:val="11"/>
                <w:szCs w:val="11"/>
              </w:rPr>
            </w:pPr>
            <w:r>
              <w:rPr>
                <w:rFonts w:ascii="微软雅黑" w:hAnsi="微软雅黑" w:eastAsia="微软雅黑" w:cs="微软雅黑"/>
                <w:b/>
                <w:bCs/>
                <w:spacing w:val="2"/>
                <w:sz w:val="11"/>
                <w:szCs w:val="11"/>
              </w:rPr>
              <w:t>④“以新带老”削减量（吨/年）</w:t>
            </w:r>
          </w:p>
        </w:tc>
        <w:tc>
          <w:tcPr>
            <w:tcW w:w="2009" w:type="dxa"/>
            <w:gridSpan w:val="2"/>
            <w:shd w:val="clear" w:color="auto" w:fill="BFBFBF"/>
            <w:vAlign w:val="top"/>
          </w:tcPr>
          <w:p w14:paraId="5CA59490">
            <w:pPr>
              <w:spacing w:before="3" w:line="177" w:lineRule="auto"/>
              <w:ind w:left="157"/>
              <w:rPr>
                <w:rFonts w:ascii="微软雅黑" w:hAnsi="微软雅黑" w:eastAsia="微软雅黑" w:cs="微软雅黑"/>
                <w:sz w:val="11"/>
                <w:szCs w:val="11"/>
              </w:rPr>
            </w:pPr>
            <w:r>
              <w:rPr>
                <w:rFonts w:ascii="微软雅黑" w:hAnsi="微软雅黑" w:eastAsia="微软雅黑" w:cs="微软雅黑"/>
                <w:b/>
                <w:bCs/>
                <w:spacing w:val="2"/>
                <w:sz w:val="11"/>
                <w:szCs w:val="11"/>
              </w:rPr>
              <w:t>⑤区域平衡替代本工程削减量（吨</w:t>
            </w:r>
          </w:p>
          <w:p w14:paraId="5056F045">
            <w:pPr>
              <w:spacing w:line="103" w:lineRule="exact"/>
              <w:ind w:left="860"/>
              <w:rPr>
                <w:rFonts w:ascii="微软雅黑" w:hAnsi="微软雅黑" w:eastAsia="微软雅黑" w:cs="微软雅黑"/>
                <w:sz w:val="11"/>
                <w:szCs w:val="11"/>
              </w:rPr>
            </w:pPr>
            <w:r>
              <w:rPr>
                <w:rFonts w:ascii="微软雅黑" w:hAnsi="微软雅黑" w:eastAsia="微软雅黑" w:cs="微软雅黑"/>
                <w:b/>
                <w:bCs/>
                <w:spacing w:val="1"/>
                <w:sz w:val="11"/>
                <w:szCs w:val="11"/>
              </w:rPr>
              <w:t>/年）</w:t>
            </w:r>
          </w:p>
        </w:tc>
        <w:tc>
          <w:tcPr>
            <w:tcW w:w="1856" w:type="dxa"/>
            <w:gridSpan w:val="2"/>
            <w:shd w:val="clear" w:color="auto" w:fill="BFBFBF"/>
            <w:vAlign w:val="top"/>
          </w:tcPr>
          <w:p w14:paraId="5D5AD55C">
            <w:pPr>
              <w:spacing w:before="3" w:line="177" w:lineRule="auto"/>
              <w:ind w:left="534"/>
              <w:rPr>
                <w:rFonts w:ascii="微软雅黑" w:hAnsi="微软雅黑" w:eastAsia="微软雅黑" w:cs="微软雅黑"/>
                <w:sz w:val="11"/>
                <w:szCs w:val="11"/>
              </w:rPr>
            </w:pPr>
            <w:r>
              <w:rPr>
                <w:rFonts w:ascii="微软雅黑" w:hAnsi="微软雅黑" w:eastAsia="微软雅黑" w:cs="微软雅黑"/>
                <w:b/>
                <w:bCs/>
                <w:spacing w:val="2"/>
                <w:sz w:val="11"/>
                <w:szCs w:val="11"/>
              </w:rPr>
              <w:t>⑥预测排放总量</w:t>
            </w:r>
          </w:p>
          <w:p w14:paraId="38134320">
            <w:pPr>
              <w:spacing w:line="103" w:lineRule="exact"/>
              <w:ind w:left="684"/>
              <w:rPr>
                <w:rFonts w:ascii="微软雅黑" w:hAnsi="微软雅黑" w:eastAsia="微软雅黑" w:cs="微软雅黑"/>
                <w:sz w:val="11"/>
                <w:szCs w:val="11"/>
              </w:rPr>
            </w:pPr>
            <w:r>
              <w:rPr>
                <w:rFonts w:ascii="微软雅黑" w:hAnsi="微软雅黑" w:eastAsia="微软雅黑" w:cs="微软雅黑"/>
                <w:b/>
                <w:bCs/>
                <w:spacing w:val="-1"/>
                <w:sz w:val="11"/>
                <w:szCs w:val="11"/>
              </w:rPr>
              <w:t>（吨/年）</w:t>
            </w:r>
          </w:p>
        </w:tc>
        <w:tc>
          <w:tcPr>
            <w:tcW w:w="1645" w:type="dxa"/>
            <w:gridSpan w:val="2"/>
            <w:shd w:val="clear" w:color="auto" w:fill="BFBFBF"/>
            <w:vAlign w:val="top"/>
          </w:tcPr>
          <w:p w14:paraId="3F584EDF">
            <w:pPr>
              <w:spacing w:before="3" w:line="177" w:lineRule="auto"/>
              <w:ind w:left="485"/>
              <w:rPr>
                <w:rFonts w:ascii="微软雅黑" w:hAnsi="微软雅黑" w:eastAsia="微软雅黑" w:cs="微软雅黑"/>
                <w:sz w:val="11"/>
                <w:szCs w:val="11"/>
              </w:rPr>
            </w:pPr>
            <w:r>
              <w:rPr>
                <w:rFonts w:ascii="微软雅黑" w:hAnsi="微软雅黑" w:eastAsia="微软雅黑" w:cs="微软雅黑"/>
                <w:b/>
                <w:bCs/>
                <w:spacing w:val="1"/>
                <w:sz w:val="11"/>
                <w:szCs w:val="11"/>
              </w:rPr>
              <w:t>⑦排放增减量</w:t>
            </w:r>
          </w:p>
          <w:p w14:paraId="1A58A127">
            <w:pPr>
              <w:spacing w:line="103" w:lineRule="exact"/>
              <w:ind w:left="580"/>
              <w:rPr>
                <w:rFonts w:ascii="微软雅黑" w:hAnsi="微软雅黑" w:eastAsia="微软雅黑" w:cs="微软雅黑"/>
                <w:sz w:val="11"/>
                <w:szCs w:val="11"/>
              </w:rPr>
            </w:pPr>
            <w:r>
              <w:rPr>
                <w:rFonts w:ascii="微软雅黑" w:hAnsi="微软雅黑" w:eastAsia="微软雅黑" w:cs="微软雅黑"/>
                <w:b/>
                <w:bCs/>
                <w:spacing w:val="-1"/>
                <w:sz w:val="11"/>
                <w:szCs w:val="11"/>
              </w:rPr>
              <w:t>（吨/年）</w:t>
            </w:r>
          </w:p>
        </w:tc>
        <w:tc>
          <w:tcPr>
            <w:tcW w:w="1238" w:type="dxa"/>
            <w:gridSpan w:val="2"/>
            <w:vMerge w:val="continue"/>
            <w:tcBorders>
              <w:top w:val="nil"/>
              <w:right w:val="single" w:color="000000" w:sz="6" w:space="0"/>
            </w:tcBorders>
            <w:vAlign w:val="top"/>
          </w:tcPr>
          <w:p w14:paraId="6C0B056E">
            <w:pPr>
              <w:rPr>
                <w:rFonts w:ascii="Arial"/>
                <w:sz w:val="21"/>
              </w:rPr>
            </w:pPr>
          </w:p>
        </w:tc>
      </w:tr>
      <w:tr w14:paraId="6FDF1BA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341031AB">
            <w:pPr>
              <w:rPr>
                <w:rFonts w:ascii="Arial"/>
                <w:sz w:val="21"/>
              </w:rPr>
            </w:pPr>
          </w:p>
        </w:tc>
        <w:tc>
          <w:tcPr>
            <w:tcW w:w="496" w:type="dxa"/>
            <w:vMerge w:val="restart"/>
            <w:tcBorders>
              <w:bottom w:val="nil"/>
            </w:tcBorders>
            <w:shd w:val="clear" w:color="auto" w:fill="BFBFBF"/>
            <w:vAlign w:val="top"/>
          </w:tcPr>
          <w:p w14:paraId="2953A7B8">
            <w:pPr>
              <w:spacing w:line="310" w:lineRule="auto"/>
              <w:rPr>
                <w:rFonts w:ascii="Arial"/>
                <w:sz w:val="21"/>
              </w:rPr>
            </w:pPr>
          </w:p>
          <w:p w14:paraId="0DEDCE7C">
            <w:pPr>
              <w:spacing w:line="310" w:lineRule="auto"/>
              <w:rPr>
                <w:rFonts w:ascii="Arial"/>
                <w:sz w:val="21"/>
              </w:rPr>
            </w:pPr>
          </w:p>
          <w:p w14:paraId="36965151">
            <w:pPr>
              <w:spacing w:line="310" w:lineRule="auto"/>
              <w:rPr>
                <w:rFonts w:ascii="Arial"/>
                <w:sz w:val="21"/>
              </w:rPr>
            </w:pPr>
          </w:p>
          <w:p w14:paraId="326EF574">
            <w:pPr>
              <w:spacing w:before="56" w:line="192" w:lineRule="auto"/>
              <w:ind w:left="102"/>
              <w:rPr>
                <w:rFonts w:ascii="微软雅黑" w:hAnsi="微软雅黑" w:eastAsia="微软雅黑" w:cs="微软雅黑"/>
                <w:sz w:val="13"/>
                <w:szCs w:val="13"/>
              </w:rPr>
            </w:pPr>
            <w:r>
              <w:rPr>
                <w:rFonts w:ascii="微软雅黑" w:hAnsi="微软雅黑" w:eastAsia="微软雅黑" w:cs="微软雅黑"/>
                <w:b/>
                <w:bCs/>
                <w:spacing w:val="3"/>
                <w:sz w:val="13"/>
                <w:szCs w:val="13"/>
              </w:rPr>
              <w:t>废水</w:t>
            </w:r>
          </w:p>
        </w:tc>
        <w:tc>
          <w:tcPr>
            <w:tcW w:w="1316" w:type="dxa"/>
            <w:gridSpan w:val="2"/>
            <w:shd w:val="clear" w:color="auto" w:fill="BFBFBF"/>
            <w:vAlign w:val="top"/>
          </w:tcPr>
          <w:p w14:paraId="2A04D079">
            <w:pPr>
              <w:spacing w:before="29" w:line="165" w:lineRule="auto"/>
              <w:ind w:left="227"/>
              <w:rPr>
                <w:rFonts w:ascii="微软雅黑" w:hAnsi="微软雅黑" w:eastAsia="微软雅黑" w:cs="微软雅黑"/>
                <w:sz w:val="11"/>
                <w:szCs w:val="11"/>
              </w:rPr>
            </w:pPr>
            <w:r>
              <w:rPr>
                <w:rFonts w:ascii="微软雅黑" w:hAnsi="微软雅黑" w:eastAsia="微软雅黑" w:cs="微软雅黑"/>
                <w:b/>
                <w:bCs/>
                <w:spacing w:val="4"/>
                <w:sz w:val="11"/>
                <w:szCs w:val="11"/>
              </w:rPr>
              <w:t>废水量(万吨/年)</w:t>
            </w:r>
          </w:p>
        </w:tc>
        <w:tc>
          <w:tcPr>
            <w:tcW w:w="846" w:type="dxa"/>
            <w:vAlign w:val="top"/>
          </w:tcPr>
          <w:p w14:paraId="00669893">
            <w:pPr>
              <w:spacing w:line="159" w:lineRule="exact"/>
              <w:rPr>
                <w:rFonts w:ascii="Arial"/>
                <w:sz w:val="13"/>
              </w:rPr>
            </w:pPr>
          </w:p>
        </w:tc>
        <w:tc>
          <w:tcPr>
            <w:tcW w:w="1079" w:type="dxa"/>
            <w:vAlign w:val="top"/>
          </w:tcPr>
          <w:p w14:paraId="311A7C92">
            <w:pPr>
              <w:spacing w:line="159" w:lineRule="exact"/>
              <w:rPr>
                <w:rFonts w:ascii="Arial"/>
                <w:sz w:val="13"/>
              </w:rPr>
            </w:pPr>
          </w:p>
        </w:tc>
        <w:tc>
          <w:tcPr>
            <w:tcW w:w="1215" w:type="dxa"/>
            <w:vAlign w:val="top"/>
          </w:tcPr>
          <w:p w14:paraId="51096725">
            <w:pPr>
              <w:spacing w:before="9" w:line="150" w:lineRule="exact"/>
              <w:ind w:left="4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103" w:type="dxa"/>
            <w:gridSpan w:val="2"/>
            <w:vAlign w:val="top"/>
          </w:tcPr>
          <w:p w14:paraId="5415D4BF">
            <w:pPr>
              <w:spacing w:before="9" w:line="150" w:lineRule="exact"/>
              <w:ind w:left="910"/>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009" w:type="dxa"/>
            <w:gridSpan w:val="2"/>
            <w:vAlign w:val="top"/>
          </w:tcPr>
          <w:p w14:paraId="4BE90E6A">
            <w:pPr>
              <w:spacing w:before="9" w:line="150" w:lineRule="exact"/>
              <w:ind w:left="8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1856" w:type="dxa"/>
            <w:gridSpan w:val="2"/>
            <w:vAlign w:val="top"/>
          </w:tcPr>
          <w:p w14:paraId="2E1B814E">
            <w:pPr>
              <w:spacing w:before="16" w:line="143"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269F08A4">
            <w:pPr>
              <w:spacing w:before="16" w:line="143"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7F26E058">
            <w:pPr>
              <w:spacing w:line="159" w:lineRule="exact"/>
              <w:rPr>
                <w:rFonts w:ascii="Arial"/>
                <w:sz w:val="13"/>
              </w:rPr>
            </w:pPr>
          </w:p>
        </w:tc>
      </w:tr>
      <w:tr w14:paraId="6EF0E22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7AB3C02C">
            <w:pPr>
              <w:rPr>
                <w:rFonts w:ascii="Arial"/>
                <w:sz w:val="21"/>
              </w:rPr>
            </w:pPr>
          </w:p>
        </w:tc>
        <w:tc>
          <w:tcPr>
            <w:tcW w:w="496" w:type="dxa"/>
            <w:vMerge w:val="continue"/>
            <w:tcBorders>
              <w:top w:val="nil"/>
              <w:bottom w:val="nil"/>
            </w:tcBorders>
            <w:vAlign w:val="top"/>
          </w:tcPr>
          <w:p w14:paraId="7CD67701">
            <w:pPr>
              <w:rPr>
                <w:rFonts w:ascii="Arial"/>
                <w:sz w:val="21"/>
              </w:rPr>
            </w:pPr>
          </w:p>
        </w:tc>
        <w:tc>
          <w:tcPr>
            <w:tcW w:w="1316" w:type="dxa"/>
            <w:gridSpan w:val="2"/>
            <w:shd w:val="clear" w:color="auto" w:fill="BFBFBF"/>
            <w:vAlign w:val="top"/>
          </w:tcPr>
          <w:p w14:paraId="25DB5736">
            <w:pPr>
              <w:spacing w:before="47" w:line="112" w:lineRule="exact"/>
              <w:ind w:left="564"/>
              <w:rPr>
                <w:rFonts w:ascii="微软雅黑" w:hAnsi="微软雅黑" w:eastAsia="微软雅黑" w:cs="微软雅黑"/>
                <w:sz w:val="11"/>
                <w:szCs w:val="11"/>
              </w:rPr>
            </w:pPr>
            <w:r>
              <w:rPr>
                <w:rFonts w:ascii="微软雅黑" w:hAnsi="微软雅黑" w:eastAsia="微软雅黑" w:cs="微软雅黑"/>
                <w:b/>
                <w:bCs/>
                <w:spacing w:val="-9"/>
                <w:w w:val="88"/>
                <w:position w:val="-2"/>
                <w:sz w:val="11"/>
                <w:szCs w:val="11"/>
              </w:rPr>
              <w:t>COD</w:t>
            </w:r>
          </w:p>
        </w:tc>
        <w:tc>
          <w:tcPr>
            <w:tcW w:w="846" w:type="dxa"/>
            <w:vAlign w:val="top"/>
          </w:tcPr>
          <w:p w14:paraId="0512427C">
            <w:pPr>
              <w:spacing w:line="159" w:lineRule="exact"/>
              <w:rPr>
                <w:rFonts w:ascii="Arial"/>
                <w:sz w:val="13"/>
              </w:rPr>
            </w:pPr>
          </w:p>
        </w:tc>
        <w:tc>
          <w:tcPr>
            <w:tcW w:w="1079" w:type="dxa"/>
            <w:vAlign w:val="top"/>
          </w:tcPr>
          <w:p w14:paraId="486D5F28">
            <w:pPr>
              <w:spacing w:line="159" w:lineRule="exact"/>
              <w:rPr>
                <w:rFonts w:ascii="Arial"/>
                <w:sz w:val="13"/>
              </w:rPr>
            </w:pPr>
          </w:p>
        </w:tc>
        <w:tc>
          <w:tcPr>
            <w:tcW w:w="1215" w:type="dxa"/>
            <w:vAlign w:val="top"/>
          </w:tcPr>
          <w:p w14:paraId="02E65680">
            <w:pPr>
              <w:spacing w:before="10" w:line="149" w:lineRule="exact"/>
              <w:ind w:left="4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103" w:type="dxa"/>
            <w:gridSpan w:val="2"/>
            <w:vAlign w:val="top"/>
          </w:tcPr>
          <w:p w14:paraId="564DED6A">
            <w:pPr>
              <w:spacing w:before="10" w:line="149" w:lineRule="exact"/>
              <w:ind w:left="910"/>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009" w:type="dxa"/>
            <w:gridSpan w:val="2"/>
            <w:vAlign w:val="top"/>
          </w:tcPr>
          <w:p w14:paraId="25879C08">
            <w:pPr>
              <w:spacing w:before="10" w:line="149" w:lineRule="exact"/>
              <w:ind w:left="8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1856" w:type="dxa"/>
            <w:gridSpan w:val="2"/>
            <w:vAlign w:val="top"/>
          </w:tcPr>
          <w:p w14:paraId="191A17AD">
            <w:pPr>
              <w:spacing w:before="16" w:line="143"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671C8E92">
            <w:pPr>
              <w:spacing w:before="16" w:line="143"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299985A9">
            <w:pPr>
              <w:spacing w:line="159" w:lineRule="exact"/>
              <w:rPr>
                <w:rFonts w:ascii="Arial"/>
                <w:sz w:val="13"/>
              </w:rPr>
            </w:pPr>
          </w:p>
        </w:tc>
      </w:tr>
      <w:tr w14:paraId="6F76097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6A88BF06">
            <w:pPr>
              <w:rPr>
                <w:rFonts w:ascii="Arial"/>
                <w:sz w:val="21"/>
              </w:rPr>
            </w:pPr>
          </w:p>
        </w:tc>
        <w:tc>
          <w:tcPr>
            <w:tcW w:w="496" w:type="dxa"/>
            <w:vMerge w:val="continue"/>
            <w:tcBorders>
              <w:top w:val="nil"/>
              <w:bottom w:val="nil"/>
            </w:tcBorders>
            <w:vAlign w:val="top"/>
          </w:tcPr>
          <w:p w14:paraId="4E33D90A">
            <w:pPr>
              <w:rPr>
                <w:rFonts w:ascii="Arial"/>
                <w:sz w:val="21"/>
              </w:rPr>
            </w:pPr>
          </w:p>
        </w:tc>
        <w:tc>
          <w:tcPr>
            <w:tcW w:w="1316" w:type="dxa"/>
            <w:gridSpan w:val="2"/>
            <w:shd w:val="clear" w:color="auto" w:fill="BFBFBF"/>
            <w:vAlign w:val="top"/>
          </w:tcPr>
          <w:p w14:paraId="2C2EE541">
            <w:pPr>
              <w:spacing w:before="30" w:line="164" w:lineRule="auto"/>
              <w:ind w:left="537"/>
              <w:rPr>
                <w:rFonts w:ascii="微软雅黑" w:hAnsi="微软雅黑" w:eastAsia="微软雅黑" w:cs="微软雅黑"/>
                <w:sz w:val="11"/>
                <w:szCs w:val="11"/>
              </w:rPr>
            </w:pPr>
            <w:r>
              <w:rPr>
                <w:rFonts w:ascii="微软雅黑" w:hAnsi="微软雅黑" w:eastAsia="微软雅黑" w:cs="微软雅黑"/>
                <w:b/>
                <w:bCs/>
                <w:spacing w:val="-1"/>
                <w:sz w:val="11"/>
                <w:szCs w:val="11"/>
              </w:rPr>
              <w:t>氨氮</w:t>
            </w:r>
          </w:p>
        </w:tc>
        <w:tc>
          <w:tcPr>
            <w:tcW w:w="846" w:type="dxa"/>
            <w:vAlign w:val="top"/>
          </w:tcPr>
          <w:p w14:paraId="4260276B">
            <w:pPr>
              <w:spacing w:line="159" w:lineRule="exact"/>
              <w:rPr>
                <w:rFonts w:ascii="Arial"/>
                <w:sz w:val="13"/>
              </w:rPr>
            </w:pPr>
          </w:p>
        </w:tc>
        <w:tc>
          <w:tcPr>
            <w:tcW w:w="1079" w:type="dxa"/>
            <w:vAlign w:val="top"/>
          </w:tcPr>
          <w:p w14:paraId="14D2754F">
            <w:pPr>
              <w:spacing w:line="159" w:lineRule="exact"/>
              <w:rPr>
                <w:rFonts w:ascii="Arial"/>
                <w:sz w:val="13"/>
              </w:rPr>
            </w:pPr>
          </w:p>
        </w:tc>
        <w:tc>
          <w:tcPr>
            <w:tcW w:w="1215" w:type="dxa"/>
            <w:vAlign w:val="top"/>
          </w:tcPr>
          <w:p w14:paraId="4DBB2B49">
            <w:pPr>
              <w:spacing w:before="10" w:line="149" w:lineRule="exact"/>
              <w:ind w:left="4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103" w:type="dxa"/>
            <w:gridSpan w:val="2"/>
            <w:vAlign w:val="top"/>
          </w:tcPr>
          <w:p w14:paraId="348D3BEB">
            <w:pPr>
              <w:spacing w:before="10" w:line="149" w:lineRule="exact"/>
              <w:ind w:left="910"/>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2009" w:type="dxa"/>
            <w:gridSpan w:val="2"/>
            <w:vAlign w:val="top"/>
          </w:tcPr>
          <w:p w14:paraId="072C1028">
            <w:pPr>
              <w:spacing w:before="10" w:line="149" w:lineRule="exact"/>
              <w:ind w:left="8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1856" w:type="dxa"/>
            <w:gridSpan w:val="2"/>
            <w:vAlign w:val="top"/>
          </w:tcPr>
          <w:p w14:paraId="6307F24D">
            <w:pPr>
              <w:spacing w:before="16" w:line="143"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7311289B">
            <w:pPr>
              <w:spacing w:before="16" w:line="143"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6F929EF4">
            <w:pPr>
              <w:spacing w:line="159" w:lineRule="exact"/>
              <w:rPr>
                <w:rFonts w:ascii="Arial"/>
                <w:sz w:val="13"/>
              </w:rPr>
            </w:pPr>
          </w:p>
        </w:tc>
      </w:tr>
      <w:tr w14:paraId="63FB269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3358A593">
            <w:pPr>
              <w:rPr>
                <w:rFonts w:ascii="Arial"/>
                <w:sz w:val="21"/>
              </w:rPr>
            </w:pPr>
          </w:p>
        </w:tc>
        <w:tc>
          <w:tcPr>
            <w:tcW w:w="496" w:type="dxa"/>
            <w:vMerge w:val="continue"/>
            <w:tcBorders>
              <w:top w:val="nil"/>
              <w:bottom w:val="nil"/>
            </w:tcBorders>
            <w:vAlign w:val="top"/>
          </w:tcPr>
          <w:p w14:paraId="6EBE3D3B">
            <w:pPr>
              <w:rPr>
                <w:rFonts w:ascii="Arial"/>
                <w:sz w:val="21"/>
              </w:rPr>
            </w:pPr>
          </w:p>
        </w:tc>
        <w:tc>
          <w:tcPr>
            <w:tcW w:w="1316" w:type="dxa"/>
            <w:gridSpan w:val="2"/>
            <w:shd w:val="clear" w:color="auto" w:fill="BFBFBF"/>
            <w:vAlign w:val="top"/>
          </w:tcPr>
          <w:p w14:paraId="0DC97FF4">
            <w:pPr>
              <w:spacing w:before="30" w:line="163" w:lineRule="auto"/>
              <w:ind w:left="539"/>
              <w:rPr>
                <w:rFonts w:ascii="微软雅黑" w:hAnsi="微软雅黑" w:eastAsia="微软雅黑" w:cs="微软雅黑"/>
                <w:sz w:val="11"/>
                <w:szCs w:val="11"/>
              </w:rPr>
            </w:pPr>
            <w:r>
              <w:rPr>
                <w:rFonts w:ascii="微软雅黑" w:hAnsi="微软雅黑" w:eastAsia="微软雅黑" w:cs="微软雅黑"/>
                <w:b/>
                <w:bCs/>
                <w:spacing w:val="-2"/>
                <w:sz w:val="11"/>
                <w:szCs w:val="11"/>
              </w:rPr>
              <w:t>总磷</w:t>
            </w:r>
          </w:p>
        </w:tc>
        <w:tc>
          <w:tcPr>
            <w:tcW w:w="846" w:type="dxa"/>
            <w:vAlign w:val="top"/>
          </w:tcPr>
          <w:p w14:paraId="6FAA9F40">
            <w:pPr>
              <w:spacing w:line="159" w:lineRule="exact"/>
              <w:rPr>
                <w:rFonts w:ascii="Arial"/>
                <w:sz w:val="13"/>
              </w:rPr>
            </w:pPr>
          </w:p>
        </w:tc>
        <w:tc>
          <w:tcPr>
            <w:tcW w:w="1079" w:type="dxa"/>
            <w:vAlign w:val="top"/>
          </w:tcPr>
          <w:p w14:paraId="05D61C36">
            <w:pPr>
              <w:spacing w:line="159" w:lineRule="exact"/>
              <w:rPr>
                <w:rFonts w:ascii="Arial"/>
                <w:sz w:val="13"/>
              </w:rPr>
            </w:pPr>
          </w:p>
        </w:tc>
        <w:tc>
          <w:tcPr>
            <w:tcW w:w="1215" w:type="dxa"/>
            <w:vAlign w:val="top"/>
          </w:tcPr>
          <w:p w14:paraId="5B9FFC3E">
            <w:pPr>
              <w:spacing w:before="11" w:line="242" w:lineRule="auto"/>
              <w:ind w:left="4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103" w:type="dxa"/>
            <w:gridSpan w:val="2"/>
            <w:vAlign w:val="top"/>
          </w:tcPr>
          <w:p w14:paraId="7475872E">
            <w:pPr>
              <w:spacing w:before="11" w:line="242" w:lineRule="auto"/>
              <w:ind w:left="910"/>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009" w:type="dxa"/>
            <w:gridSpan w:val="2"/>
            <w:vAlign w:val="top"/>
          </w:tcPr>
          <w:p w14:paraId="1BA65CB4">
            <w:pPr>
              <w:spacing w:before="11" w:line="242"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4C3439F1">
            <w:pPr>
              <w:spacing w:before="17" w:line="142"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1EB27E0F">
            <w:pPr>
              <w:spacing w:before="17" w:line="142"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424904C4">
            <w:pPr>
              <w:spacing w:line="159" w:lineRule="exact"/>
              <w:rPr>
                <w:rFonts w:ascii="Arial"/>
                <w:sz w:val="13"/>
              </w:rPr>
            </w:pPr>
          </w:p>
        </w:tc>
      </w:tr>
      <w:tr w14:paraId="489F3F3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578ECECB">
            <w:pPr>
              <w:rPr>
                <w:rFonts w:ascii="Arial"/>
                <w:sz w:val="21"/>
              </w:rPr>
            </w:pPr>
          </w:p>
        </w:tc>
        <w:tc>
          <w:tcPr>
            <w:tcW w:w="496" w:type="dxa"/>
            <w:vMerge w:val="continue"/>
            <w:tcBorders>
              <w:top w:val="nil"/>
              <w:bottom w:val="nil"/>
            </w:tcBorders>
            <w:vAlign w:val="top"/>
          </w:tcPr>
          <w:p w14:paraId="2129E322">
            <w:pPr>
              <w:rPr>
                <w:rFonts w:ascii="Arial"/>
                <w:sz w:val="21"/>
              </w:rPr>
            </w:pPr>
          </w:p>
        </w:tc>
        <w:tc>
          <w:tcPr>
            <w:tcW w:w="1316" w:type="dxa"/>
            <w:gridSpan w:val="2"/>
            <w:shd w:val="clear" w:color="auto" w:fill="BFBFBF"/>
            <w:vAlign w:val="top"/>
          </w:tcPr>
          <w:p w14:paraId="1920478A">
            <w:pPr>
              <w:spacing w:before="30" w:line="163" w:lineRule="auto"/>
              <w:ind w:left="539"/>
              <w:rPr>
                <w:rFonts w:ascii="微软雅黑" w:hAnsi="微软雅黑" w:eastAsia="微软雅黑" w:cs="微软雅黑"/>
                <w:sz w:val="11"/>
                <w:szCs w:val="11"/>
              </w:rPr>
            </w:pPr>
            <w:r>
              <w:rPr>
                <w:rFonts w:ascii="微软雅黑" w:hAnsi="微软雅黑" w:eastAsia="微软雅黑" w:cs="微软雅黑"/>
                <w:b/>
                <w:bCs/>
                <w:spacing w:val="-2"/>
                <w:sz w:val="11"/>
                <w:szCs w:val="11"/>
              </w:rPr>
              <w:t>总氮</w:t>
            </w:r>
          </w:p>
        </w:tc>
        <w:tc>
          <w:tcPr>
            <w:tcW w:w="846" w:type="dxa"/>
            <w:vAlign w:val="top"/>
          </w:tcPr>
          <w:p w14:paraId="1882A41D">
            <w:pPr>
              <w:spacing w:line="159" w:lineRule="exact"/>
              <w:rPr>
                <w:rFonts w:ascii="Arial"/>
                <w:sz w:val="13"/>
              </w:rPr>
            </w:pPr>
          </w:p>
        </w:tc>
        <w:tc>
          <w:tcPr>
            <w:tcW w:w="1079" w:type="dxa"/>
            <w:vAlign w:val="top"/>
          </w:tcPr>
          <w:p w14:paraId="18B44906">
            <w:pPr>
              <w:spacing w:line="159" w:lineRule="exact"/>
              <w:rPr>
                <w:rFonts w:ascii="Arial"/>
                <w:sz w:val="13"/>
              </w:rPr>
            </w:pPr>
          </w:p>
        </w:tc>
        <w:tc>
          <w:tcPr>
            <w:tcW w:w="1215" w:type="dxa"/>
            <w:vAlign w:val="top"/>
          </w:tcPr>
          <w:p w14:paraId="4BC90A47">
            <w:pPr>
              <w:spacing w:before="11" w:line="242" w:lineRule="auto"/>
              <w:ind w:left="4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103" w:type="dxa"/>
            <w:gridSpan w:val="2"/>
            <w:vAlign w:val="top"/>
          </w:tcPr>
          <w:p w14:paraId="18E17ACB">
            <w:pPr>
              <w:spacing w:before="11" w:line="242" w:lineRule="auto"/>
              <w:ind w:left="910"/>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009" w:type="dxa"/>
            <w:gridSpan w:val="2"/>
            <w:vAlign w:val="top"/>
          </w:tcPr>
          <w:p w14:paraId="4D8F382A">
            <w:pPr>
              <w:spacing w:before="11" w:line="242"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567125EB">
            <w:pPr>
              <w:spacing w:before="17" w:line="142" w:lineRule="exact"/>
              <w:ind w:left="901"/>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645" w:type="dxa"/>
            <w:gridSpan w:val="2"/>
            <w:vAlign w:val="top"/>
          </w:tcPr>
          <w:p w14:paraId="63BE0816">
            <w:pPr>
              <w:spacing w:before="17" w:line="142" w:lineRule="exact"/>
              <w:ind w:left="796"/>
              <w:rPr>
                <w:rFonts w:ascii="Constantia" w:hAnsi="Constantia" w:eastAsia="Constantia" w:cs="Constantia"/>
                <w:sz w:val="11"/>
                <w:szCs w:val="11"/>
              </w:rPr>
            </w:pPr>
            <w:r>
              <w:rPr>
                <w:rFonts w:ascii="Constantia" w:hAnsi="Constantia" w:eastAsia="Constantia" w:cs="Constantia"/>
                <w:b/>
                <w:bCs/>
                <w:position w:val="2"/>
                <w:sz w:val="11"/>
                <w:szCs w:val="11"/>
              </w:rPr>
              <w:t>0</w:t>
            </w:r>
          </w:p>
        </w:tc>
        <w:tc>
          <w:tcPr>
            <w:tcW w:w="1238" w:type="dxa"/>
            <w:gridSpan w:val="2"/>
            <w:tcBorders>
              <w:right w:val="single" w:color="000000" w:sz="6" w:space="0"/>
            </w:tcBorders>
            <w:vAlign w:val="top"/>
          </w:tcPr>
          <w:p w14:paraId="321BC708">
            <w:pPr>
              <w:spacing w:line="159" w:lineRule="exact"/>
              <w:rPr>
                <w:rFonts w:ascii="Arial"/>
                <w:sz w:val="13"/>
              </w:rPr>
            </w:pPr>
          </w:p>
        </w:tc>
      </w:tr>
      <w:tr w14:paraId="60B67D2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097289D2">
            <w:pPr>
              <w:rPr>
                <w:rFonts w:ascii="Arial"/>
                <w:sz w:val="21"/>
              </w:rPr>
            </w:pPr>
          </w:p>
        </w:tc>
        <w:tc>
          <w:tcPr>
            <w:tcW w:w="496" w:type="dxa"/>
            <w:vMerge w:val="continue"/>
            <w:tcBorders>
              <w:top w:val="nil"/>
              <w:bottom w:val="nil"/>
            </w:tcBorders>
            <w:vAlign w:val="top"/>
          </w:tcPr>
          <w:p w14:paraId="16703F7A">
            <w:pPr>
              <w:rPr>
                <w:rFonts w:ascii="Arial"/>
                <w:sz w:val="21"/>
              </w:rPr>
            </w:pPr>
          </w:p>
        </w:tc>
        <w:tc>
          <w:tcPr>
            <w:tcW w:w="1316" w:type="dxa"/>
            <w:gridSpan w:val="2"/>
            <w:shd w:val="clear" w:color="auto" w:fill="BFBFBF"/>
            <w:vAlign w:val="top"/>
          </w:tcPr>
          <w:p w14:paraId="3A091CAC">
            <w:pPr>
              <w:spacing w:before="31" w:line="162" w:lineRule="auto"/>
              <w:ind w:left="593"/>
              <w:rPr>
                <w:rFonts w:ascii="微软雅黑" w:hAnsi="微软雅黑" w:eastAsia="微软雅黑" w:cs="微软雅黑"/>
                <w:sz w:val="11"/>
                <w:szCs w:val="11"/>
              </w:rPr>
            </w:pPr>
            <w:r>
              <w:rPr>
                <w:rFonts w:ascii="微软雅黑" w:hAnsi="微软雅黑" w:eastAsia="微软雅黑" w:cs="微软雅黑"/>
                <w:b/>
                <w:bCs/>
                <w:sz w:val="11"/>
                <w:szCs w:val="11"/>
              </w:rPr>
              <w:t>铅</w:t>
            </w:r>
          </w:p>
        </w:tc>
        <w:tc>
          <w:tcPr>
            <w:tcW w:w="846" w:type="dxa"/>
            <w:vAlign w:val="top"/>
          </w:tcPr>
          <w:p w14:paraId="721F88C8">
            <w:pPr>
              <w:spacing w:line="159" w:lineRule="exact"/>
              <w:rPr>
                <w:rFonts w:ascii="Arial"/>
                <w:sz w:val="13"/>
              </w:rPr>
            </w:pPr>
          </w:p>
        </w:tc>
        <w:tc>
          <w:tcPr>
            <w:tcW w:w="1079" w:type="dxa"/>
            <w:vAlign w:val="top"/>
          </w:tcPr>
          <w:p w14:paraId="673104E3">
            <w:pPr>
              <w:spacing w:line="159" w:lineRule="exact"/>
              <w:rPr>
                <w:rFonts w:ascii="Arial"/>
                <w:sz w:val="13"/>
              </w:rPr>
            </w:pPr>
          </w:p>
        </w:tc>
        <w:tc>
          <w:tcPr>
            <w:tcW w:w="1215" w:type="dxa"/>
            <w:vAlign w:val="top"/>
          </w:tcPr>
          <w:p w14:paraId="5F506143">
            <w:pPr>
              <w:spacing w:line="159" w:lineRule="exact"/>
              <w:rPr>
                <w:rFonts w:ascii="Arial"/>
                <w:sz w:val="13"/>
              </w:rPr>
            </w:pPr>
          </w:p>
        </w:tc>
        <w:tc>
          <w:tcPr>
            <w:tcW w:w="2103" w:type="dxa"/>
            <w:gridSpan w:val="2"/>
            <w:vAlign w:val="top"/>
          </w:tcPr>
          <w:p w14:paraId="1BAF457C">
            <w:pPr>
              <w:spacing w:line="159" w:lineRule="exact"/>
              <w:rPr>
                <w:rFonts w:ascii="Arial"/>
                <w:sz w:val="13"/>
              </w:rPr>
            </w:pPr>
          </w:p>
        </w:tc>
        <w:tc>
          <w:tcPr>
            <w:tcW w:w="2009" w:type="dxa"/>
            <w:gridSpan w:val="2"/>
            <w:vAlign w:val="top"/>
          </w:tcPr>
          <w:p w14:paraId="7622BAF9">
            <w:pPr>
              <w:spacing w:line="159" w:lineRule="exact"/>
              <w:rPr>
                <w:rFonts w:ascii="Arial"/>
                <w:sz w:val="13"/>
              </w:rPr>
            </w:pPr>
          </w:p>
        </w:tc>
        <w:tc>
          <w:tcPr>
            <w:tcW w:w="1856" w:type="dxa"/>
            <w:gridSpan w:val="2"/>
            <w:vAlign w:val="top"/>
          </w:tcPr>
          <w:p w14:paraId="5D5154A5">
            <w:pPr>
              <w:spacing w:line="159" w:lineRule="exact"/>
              <w:rPr>
                <w:rFonts w:ascii="Arial"/>
                <w:sz w:val="13"/>
              </w:rPr>
            </w:pPr>
          </w:p>
        </w:tc>
        <w:tc>
          <w:tcPr>
            <w:tcW w:w="1645" w:type="dxa"/>
            <w:gridSpan w:val="2"/>
            <w:vAlign w:val="top"/>
          </w:tcPr>
          <w:p w14:paraId="75425FF4">
            <w:pPr>
              <w:spacing w:line="159" w:lineRule="exact"/>
              <w:rPr>
                <w:rFonts w:ascii="Arial"/>
                <w:sz w:val="13"/>
              </w:rPr>
            </w:pPr>
          </w:p>
        </w:tc>
        <w:tc>
          <w:tcPr>
            <w:tcW w:w="1238" w:type="dxa"/>
            <w:gridSpan w:val="2"/>
            <w:tcBorders>
              <w:right w:val="single" w:color="000000" w:sz="6" w:space="0"/>
            </w:tcBorders>
            <w:vAlign w:val="top"/>
          </w:tcPr>
          <w:p w14:paraId="5CFCC3F0">
            <w:pPr>
              <w:spacing w:line="159" w:lineRule="exact"/>
              <w:rPr>
                <w:rFonts w:ascii="Arial"/>
                <w:sz w:val="13"/>
              </w:rPr>
            </w:pPr>
          </w:p>
        </w:tc>
      </w:tr>
      <w:tr w14:paraId="2B4F422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10340CD5">
            <w:pPr>
              <w:rPr>
                <w:rFonts w:ascii="Arial"/>
                <w:sz w:val="21"/>
              </w:rPr>
            </w:pPr>
          </w:p>
        </w:tc>
        <w:tc>
          <w:tcPr>
            <w:tcW w:w="496" w:type="dxa"/>
            <w:vMerge w:val="continue"/>
            <w:tcBorders>
              <w:top w:val="nil"/>
              <w:bottom w:val="nil"/>
            </w:tcBorders>
            <w:vAlign w:val="top"/>
          </w:tcPr>
          <w:p w14:paraId="2C1C3079">
            <w:pPr>
              <w:rPr>
                <w:rFonts w:ascii="Arial"/>
                <w:sz w:val="21"/>
              </w:rPr>
            </w:pPr>
          </w:p>
        </w:tc>
        <w:tc>
          <w:tcPr>
            <w:tcW w:w="1316" w:type="dxa"/>
            <w:gridSpan w:val="2"/>
            <w:shd w:val="clear" w:color="auto" w:fill="BFBFBF"/>
            <w:vAlign w:val="top"/>
          </w:tcPr>
          <w:p w14:paraId="5A52DCD3">
            <w:pPr>
              <w:spacing w:before="31" w:line="162" w:lineRule="auto"/>
              <w:ind w:left="593"/>
              <w:rPr>
                <w:rFonts w:ascii="微软雅黑" w:hAnsi="微软雅黑" w:eastAsia="微软雅黑" w:cs="微软雅黑"/>
                <w:sz w:val="11"/>
                <w:szCs w:val="11"/>
              </w:rPr>
            </w:pPr>
            <w:r>
              <w:rPr>
                <w:rFonts w:ascii="微软雅黑" w:hAnsi="微软雅黑" w:eastAsia="微软雅黑" w:cs="微软雅黑"/>
                <w:b/>
                <w:bCs/>
                <w:sz w:val="11"/>
                <w:szCs w:val="11"/>
              </w:rPr>
              <w:t>汞</w:t>
            </w:r>
          </w:p>
        </w:tc>
        <w:tc>
          <w:tcPr>
            <w:tcW w:w="846" w:type="dxa"/>
            <w:vAlign w:val="top"/>
          </w:tcPr>
          <w:p w14:paraId="3A2D082D">
            <w:pPr>
              <w:spacing w:line="159" w:lineRule="exact"/>
              <w:rPr>
                <w:rFonts w:ascii="Arial"/>
                <w:sz w:val="13"/>
              </w:rPr>
            </w:pPr>
          </w:p>
        </w:tc>
        <w:tc>
          <w:tcPr>
            <w:tcW w:w="1079" w:type="dxa"/>
            <w:vAlign w:val="top"/>
          </w:tcPr>
          <w:p w14:paraId="0FFB1CFD">
            <w:pPr>
              <w:spacing w:line="159" w:lineRule="exact"/>
              <w:rPr>
                <w:rFonts w:ascii="Arial"/>
                <w:sz w:val="13"/>
              </w:rPr>
            </w:pPr>
          </w:p>
        </w:tc>
        <w:tc>
          <w:tcPr>
            <w:tcW w:w="1215" w:type="dxa"/>
            <w:vAlign w:val="top"/>
          </w:tcPr>
          <w:p w14:paraId="41119FBE">
            <w:pPr>
              <w:spacing w:line="159" w:lineRule="exact"/>
              <w:rPr>
                <w:rFonts w:ascii="Arial"/>
                <w:sz w:val="13"/>
              </w:rPr>
            </w:pPr>
          </w:p>
        </w:tc>
        <w:tc>
          <w:tcPr>
            <w:tcW w:w="2103" w:type="dxa"/>
            <w:gridSpan w:val="2"/>
            <w:vAlign w:val="top"/>
          </w:tcPr>
          <w:p w14:paraId="303BA04B">
            <w:pPr>
              <w:spacing w:line="159" w:lineRule="exact"/>
              <w:rPr>
                <w:rFonts w:ascii="Arial"/>
                <w:sz w:val="13"/>
              </w:rPr>
            </w:pPr>
          </w:p>
        </w:tc>
        <w:tc>
          <w:tcPr>
            <w:tcW w:w="2009" w:type="dxa"/>
            <w:gridSpan w:val="2"/>
            <w:vAlign w:val="top"/>
          </w:tcPr>
          <w:p w14:paraId="11F2AD2A">
            <w:pPr>
              <w:spacing w:line="159" w:lineRule="exact"/>
              <w:rPr>
                <w:rFonts w:ascii="Arial"/>
                <w:sz w:val="13"/>
              </w:rPr>
            </w:pPr>
          </w:p>
        </w:tc>
        <w:tc>
          <w:tcPr>
            <w:tcW w:w="1856" w:type="dxa"/>
            <w:gridSpan w:val="2"/>
            <w:vAlign w:val="top"/>
          </w:tcPr>
          <w:p w14:paraId="7950B9AD">
            <w:pPr>
              <w:spacing w:line="159" w:lineRule="exact"/>
              <w:rPr>
                <w:rFonts w:ascii="Arial"/>
                <w:sz w:val="13"/>
              </w:rPr>
            </w:pPr>
          </w:p>
        </w:tc>
        <w:tc>
          <w:tcPr>
            <w:tcW w:w="1645" w:type="dxa"/>
            <w:gridSpan w:val="2"/>
            <w:vAlign w:val="top"/>
          </w:tcPr>
          <w:p w14:paraId="1B33F73C">
            <w:pPr>
              <w:spacing w:line="159" w:lineRule="exact"/>
              <w:rPr>
                <w:rFonts w:ascii="Arial"/>
                <w:sz w:val="13"/>
              </w:rPr>
            </w:pPr>
          </w:p>
        </w:tc>
        <w:tc>
          <w:tcPr>
            <w:tcW w:w="1238" w:type="dxa"/>
            <w:gridSpan w:val="2"/>
            <w:tcBorders>
              <w:right w:val="single" w:color="000000" w:sz="6" w:space="0"/>
            </w:tcBorders>
            <w:vAlign w:val="top"/>
          </w:tcPr>
          <w:p w14:paraId="63ED1821">
            <w:pPr>
              <w:spacing w:line="159" w:lineRule="exact"/>
              <w:rPr>
                <w:rFonts w:ascii="Arial"/>
                <w:sz w:val="13"/>
              </w:rPr>
            </w:pPr>
          </w:p>
        </w:tc>
      </w:tr>
      <w:tr w14:paraId="61D6A29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1E4E2359">
            <w:pPr>
              <w:rPr>
                <w:rFonts w:ascii="Arial"/>
                <w:sz w:val="21"/>
              </w:rPr>
            </w:pPr>
          </w:p>
        </w:tc>
        <w:tc>
          <w:tcPr>
            <w:tcW w:w="496" w:type="dxa"/>
            <w:vMerge w:val="continue"/>
            <w:tcBorders>
              <w:top w:val="nil"/>
              <w:bottom w:val="nil"/>
            </w:tcBorders>
            <w:vAlign w:val="top"/>
          </w:tcPr>
          <w:p w14:paraId="78C0077D">
            <w:pPr>
              <w:rPr>
                <w:rFonts w:ascii="Arial"/>
                <w:sz w:val="21"/>
              </w:rPr>
            </w:pPr>
          </w:p>
        </w:tc>
        <w:tc>
          <w:tcPr>
            <w:tcW w:w="1316" w:type="dxa"/>
            <w:gridSpan w:val="2"/>
            <w:shd w:val="clear" w:color="auto" w:fill="BFBFBF"/>
            <w:vAlign w:val="top"/>
          </w:tcPr>
          <w:p w14:paraId="5A62D3CC">
            <w:pPr>
              <w:spacing w:before="32" w:line="161" w:lineRule="auto"/>
              <w:ind w:left="593"/>
              <w:rPr>
                <w:rFonts w:ascii="微软雅黑" w:hAnsi="微软雅黑" w:eastAsia="微软雅黑" w:cs="微软雅黑"/>
                <w:sz w:val="11"/>
                <w:szCs w:val="11"/>
              </w:rPr>
            </w:pPr>
            <w:r>
              <w:rPr>
                <w:rFonts w:ascii="微软雅黑" w:hAnsi="微软雅黑" w:eastAsia="微软雅黑" w:cs="微软雅黑"/>
                <w:b/>
                <w:bCs/>
                <w:sz w:val="11"/>
                <w:szCs w:val="11"/>
              </w:rPr>
              <w:t>镉</w:t>
            </w:r>
          </w:p>
        </w:tc>
        <w:tc>
          <w:tcPr>
            <w:tcW w:w="846" w:type="dxa"/>
            <w:vAlign w:val="top"/>
          </w:tcPr>
          <w:p w14:paraId="18775C46">
            <w:pPr>
              <w:spacing w:line="159" w:lineRule="exact"/>
              <w:rPr>
                <w:rFonts w:ascii="Arial"/>
                <w:sz w:val="13"/>
              </w:rPr>
            </w:pPr>
          </w:p>
        </w:tc>
        <w:tc>
          <w:tcPr>
            <w:tcW w:w="1079" w:type="dxa"/>
            <w:vAlign w:val="top"/>
          </w:tcPr>
          <w:p w14:paraId="216488D4">
            <w:pPr>
              <w:spacing w:line="159" w:lineRule="exact"/>
              <w:rPr>
                <w:rFonts w:ascii="Arial"/>
                <w:sz w:val="13"/>
              </w:rPr>
            </w:pPr>
          </w:p>
        </w:tc>
        <w:tc>
          <w:tcPr>
            <w:tcW w:w="1215" w:type="dxa"/>
            <w:vAlign w:val="top"/>
          </w:tcPr>
          <w:p w14:paraId="5CC059A8">
            <w:pPr>
              <w:spacing w:line="159" w:lineRule="exact"/>
              <w:rPr>
                <w:rFonts w:ascii="Arial"/>
                <w:sz w:val="13"/>
              </w:rPr>
            </w:pPr>
          </w:p>
        </w:tc>
        <w:tc>
          <w:tcPr>
            <w:tcW w:w="2103" w:type="dxa"/>
            <w:gridSpan w:val="2"/>
            <w:vAlign w:val="top"/>
          </w:tcPr>
          <w:p w14:paraId="088B66F0">
            <w:pPr>
              <w:spacing w:line="159" w:lineRule="exact"/>
              <w:rPr>
                <w:rFonts w:ascii="Arial"/>
                <w:sz w:val="13"/>
              </w:rPr>
            </w:pPr>
          </w:p>
        </w:tc>
        <w:tc>
          <w:tcPr>
            <w:tcW w:w="2009" w:type="dxa"/>
            <w:gridSpan w:val="2"/>
            <w:vAlign w:val="top"/>
          </w:tcPr>
          <w:p w14:paraId="0D418329">
            <w:pPr>
              <w:spacing w:line="159" w:lineRule="exact"/>
              <w:rPr>
                <w:rFonts w:ascii="Arial"/>
                <w:sz w:val="13"/>
              </w:rPr>
            </w:pPr>
          </w:p>
        </w:tc>
        <w:tc>
          <w:tcPr>
            <w:tcW w:w="1856" w:type="dxa"/>
            <w:gridSpan w:val="2"/>
            <w:vAlign w:val="top"/>
          </w:tcPr>
          <w:p w14:paraId="2F2F5459">
            <w:pPr>
              <w:spacing w:line="159" w:lineRule="exact"/>
              <w:rPr>
                <w:rFonts w:ascii="Arial"/>
                <w:sz w:val="13"/>
              </w:rPr>
            </w:pPr>
          </w:p>
        </w:tc>
        <w:tc>
          <w:tcPr>
            <w:tcW w:w="1645" w:type="dxa"/>
            <w:gridSpan w:val="2"/>
            <w:vAlign w:val="top"/>
          </w:tcPr>
          <w:p w14:paraId="698DE149">
            <w:pPr>
              <w:spacing w:line="159" w:lineRule="exact"/>
              <w:rPr>
                <w:rFonts w:ascii="Arial"/>
                <w:sz w:val="13"/>
              </w:rPr>
            </w:pPr>
          </w:p>
        </w:tc>
        <w:tc>
          <w:tcPr>
            <w:tcW w:w="1238" w:type="dxa"/>
            <w:gridSpan w:val="2"/>
            <w:tcBorders>
              <w:right w:val="single" w:color="000000" w:sz="6" w:space="0"/>
            </w:tcBorders>
            <w:vAlign w:val="top"/>
          </w:tcPr>
          <w:p w14:paraId="04C8D80B">
            <w:pPr>
              <w:spacing w:line="159" w:lineRule="exact"/>
              <w:rPr>
                <w:rFonts w:ascii="Arial"/>
                <w:sz w:val="13"/>
              </w:rPr>
            </w:pPr>
          </w:p>
        </w:tc>
      </w:tr>
      <w:tr w14:paraId="2C77EA7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1EF0871C">
            <w:pPr>
              <w:rPr>
                <w:rFonts w:ascii="Arial"/>
                <w:sz w:val="21"/>
              </w:rPr>
            </w:pPr>
          </w:p>
        </w:tc>
        <w:tc>
          <w:tcPr>
            <w:tcW w:w="496" w:type="dxa"/>
            <w:vMerge w:val="continue"/>
            <w:tcBorders>
              <w:top w:val="nil"/>
              <w:bottom w:val="nil"/>
            </w:tcBorders>
            <w:vAlign w:val="top"/>
          </w:tcPr>
          <w:p w14:paraId="17194520">
            <w:pPr>
              <w:rPr>
                <w:rFonts w:ascii="Arial"/>
                <w:sz w:val="21"/>
              </w:rPr>
            </w:pPr>
          </w:p>
        </w:tc>
        <w:tc>
          <w:tcPr>
            <w:tcW w:w="1316" w:type="dxa"/>
            <w:gridSpan w:val="2"/>
            <w:shd w:val="clear" w:color="auto" w:fill="BFBFBF"/>
            <w:vAlign w:val="top"/>
          </w:tcPr>
          <w:p w14:paraId="065D500D">
            <w:pPr>
              <w:spacing w:before="32" w:line="161" w:lineRule="auto"/>
              <w:ind w:left="593"/>
              <w:rPr>
                <w:rFonts w:ascii="微软雅黑" w:hAnsi="微软雅黑" w:eastAsia="微软雅黑" w:cs="微软雅黑"/>
                <w:sz w:val="11"/>
                <w:szCs w:val="11"/>
              </w:rPr>
            </w:pPr>
            <w:r>
              <w:rPr>
                <w:rFonts w:ascii="微软雅黑" w:hAnsi="微软雅黑" w:eastAsia="微软雅黑" w:cs="微软雅黑"/>
                <w:b/>
                <w:bCs/>
                <w:sz w:val="11"/>
                <w:szCs w:val="11"/>
              </w:rPr>
              <w:t>铬</w:t>
            </w:r>
          </w:p>
        </w:tc>
        <w:tc>
          <w:tcPr>
            <w:tcW w:w="846" w:type="dxa"/>
            <w:vAlign w:val="top"/>
          </w:tcPr>
          <w:p w14:paraId="09EE1A4D">
            <w:pPr>
              <w:spacing w:line="159" w:lineRule="exact"/>
              <w:rPr>
                <w:rFonts w:ascii="Arial"/>
                <w:sz w:val="13"/>
              </w:rPr>
            </w:pPr>
          </w:p>
        </w:tc>
        <w:tc>
          <w:tcPr>
            <w:tcW w:w="1079" w:type="dxa"/>
            <w:vAlign w:val="top"/>
          </w:tcPr>
          <w:p w14:paraId="6A289979">
            <w:pPr>
              <w:spacing w:line="159" w:lineRule="exact"/>
              <w:rPr>
                <w:rFonts w:ascii="Arial"/>
                <w:sz w:val="13"/>
              </w:rPr>
            </w:pPr>
          </w:p>
        </w:tc>
        <w:tc>
          <w:tcPr>
            <w:tcW w:w="1215" w:type="dxa"/>
            <w:vAlign w:val="top"/>
          </w:tcPr>
          <w:p w14:paraId="7787B250">
            <w:pPr>
              <w:spacing w:line="159" w:lineRule="exact"/>
              <w:rPr>
                <w:rFonts w:ascii="Arial"/>
                <w:sz w:val="13"/>
              </w:rPr>
            </w:pPr>
          </w:p>
        </w:tc>
        <w:tc>
          <w:tcPr>
            <w:tcW w:w="2103" w:type="dxa"/>
            <w:gridSpan w:val="2"/>
            <w:vAlign w:val="top"/>
          </w:tcPr>
          <w:p w14:paraId="533648C3">
            <w:pPr>
              <w:spacing w:line="159" w:lineRule="exact"/>
              <w:rPr>
                <w:rFonts w:ascii="Arial"/>
                <w:sz w:val="13"/>
              </w:rPr>
            </w:pPr>
          </w:p>
        </w:tc>
        <w:tc>
          <w:tcPr>
            <w:tcW w:w="2009" w:type="dxa"/>
            <w:gridSpan w:val="2"/>
            <w:vAlign w:val="top"/>
          </w:tcPr>
          <w:p w14:paraId="469F15FA">
            <w:pPr>
              <w:spacing w:line="159" w:lineRule="exact"/>
              <w:rPr>
                <w:rFonts w:ascii="Arial"/>
                <w:sz w:val="13"/>
              </w:rPr>
            </w:pPr>
          </w:p>
        </w:tc>
        <w:tc>
          <w:tcPr>
            <w:tcW w:w="1856" w:type="dxa"/>
            <w:gridSpan w:val="2"/>
            <w:vAlign w:val="top"/>
          </w:tcPr>
          <w:p w14:paraId="2AC930A2">
            <w:pPr>
              <w:spacing w:line="159" w:lineRule="exact"/>
              <w:rPr>
                <w:rFonts w:ascii="Arial"/>
                <w:sz w:val="13"/>
              </w:rPr>
            </w:pPr>
          </w:p>
        </w:tc>
        <w:tc>
          <w:tcPr>
            <w:tcW w:w="1645" w:type="dxa"/>
            <w:gridSpan w:val="2"/>
            <w:vAlign w:val="top"/>
          </w:tcPr>
          <w:p w14:paraId="212FFDB7">
            <w:pPr>
              <w:spacing w:line="159" w:lineRule="exact"/>
              <w:rPr>
                <w:rFonts w:ascii="Arial"/>
                <w:sz w:val="13"/>
              </w:rPr>
            </w:pPr>
          </w:p>
        </w:tc>
        <w:tc>
          <w:tcPr>
            <w:tcW w:w="1238" w:type="dxa"/>
            <w:gridSpan w:val="2"/>
            <w:tcBorders>
              <w:right w:val="single" w:color="000000" w:sz="6" w:space="0"/>
            </w:tcBorders>
            <w:vAlign w:val="top"/>
          </w:tcPr>
          <w:p w14:paraId="7DC9DF7C">
            <w:pPr>
              <w:spacing w:line="159" w:lineRule="exact"/>
              <w:rPr>
                <w:rFonts w:ascii="Arial"/>
                <w:sz w:val="13"/>
              </w:rPr>
            </w:pPr>
          </w:p>
        </w:tc>
      </w:tr>
      <w:tr w14:paraId="2993C9C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040FC94A">
            <w:pPr>
              <w:rPr>
                <w:rFonts w:ascii="Arial"/>
                <w:sz w:val="21"/>
              </w:rPr>
            </w:pPr>
          </w:p>
        </w:tc>
        <w:tc>
          <w:tcPr>
            <w:tcW w:w="496" w:type="dxa"/>
            <w:vMerge w:val="continue"/>
            <w:tcBorders>
              <w:top w:val="nil"/>
              <w:bottom w:val="nil"/>
            </w:tcBorders>
            <w:vAlign w:val="top"/>
          </w:tcPr>
          <w:p w14:paraId="38B69648">
            <w:pPr>
              <w:rPr>
                <w:rFonts w:ascii="Arial"/>
                <w:sz w:val="21"/>
              </w:rPr>
            </w:pPr>
          </w:p>
        </w:tc>
        <w:tc>
          <w:tcPr>
            <w:tcW w:w="1316" w:type="dxa"/>
            <w:gridSpan w:val="2"/>
            <w:shd w:val="clear" w:color="auto" w:fill="BFBFBF"/>
            <w:vAlign w:val="top"/>
          </w:tcPr>
          <w:p w14:paraId="1C0FDB1F">
            <w:pPr>
              <w:spacing w:before="33" w:line="160" w:lineRule="auto"/>
              <w:ind w:left="427"/>
              <w:rPr>
                <w:rFonts w:ascii="微软雅黑" w:hAnsi="微软雅黑" w:eastAsia="微软雅黑" w:cs="微软雅黑"/>
                <w:sz w:val="11"/>
                <w:szCs w:val="11"/>
              </w:rPr>
            </w:pPr>
            <w:r>
              <w:rPr>
                <w:rFonts w:ascii="微软雅黑" w:hAnsi="微软雅黑" w:eastAsia="微软雅黑" w:cs="微软雅黑"/>
                <w:b/>
                <w:bCs/>
                <w:sz w:val="11"/>
                <w:szCs w:val="11"/>
              </w:rPr>
              <w:t>类金属砷</w:t>
            </w:r>
          </w:p>
        </w:tc>
        <w:tc>
          <w:tcPr>
            <w:tcW w:w="846" w:type="dxa"/>
            <w:vAlign w:val="top"/>
          </w:tcPr>
          <w:p w14:paraId="18934A23">
            <w:pPr>
              <w:spacing w:line="159" w:lineRule="exact"/>
              <w:rPr>
                <w:rFonts w:ascii="Arial"/>
                <w:sz w:val="13"/>
              </w:rPr>
            </w:pPr>
          </w:p>
        </w:tc>
        <w:tc>
          <w:tcPr>
            <w:tcW w:w="1079" w:type="dxa"/>
            <w:vAlign w:val="top"/>
          </w:tcPr>
          <w:p w14:paraId="2B1E2954">
            <w:pPr>
              <w:spacing w:line="159" w:lineRule="exact"/>
              <w:rPr>
                <w:rFonts w:ascii="Arial"/>
                <w:sz w:val="13"/>
              </w:rPr>
            </w:pPr>
          </w:p>
        </w:tc>
        <w:tc>
          <w:tcPr>
            <w:tcW w:w="1215" w:type="dxa"/>
            <w:vAlign w:val="top"/>
          </w:tcPr>
          <w:p w14:paraId="00C1CE07">
            <w:pPr>
              <w:spacing w:line="159" w:lineRule="exact"/>
              <w:rPr>
                <w:rFonts w:ascii="Arial"/>
                <w:sz w:val="13"/>
              </w:rPr>
            </w:pPr>
          </w:p>
        </w:tc>
        <w:tc>
          <w:tcPr>
            <w:tcW w:w="2103" w:type="dxa"/>
            <w:gridSpan w:val="2"/>
            <w:vAlign w:val="top"/>
          </w:tcPr>
          <w:p w14:paraId="64225BD3">
            <w:pPr>
              <w:spacing w:line="159" w:lineRule="exact"/>
              <w:rPr>
                <w:rFonts w:ascii="Arial"/>
                <w:sz w:val="13"/>
              </w:rPr>
            </w:pPr>
          </w:p>
        </w:tc>
        <w:tc>
          <w:tcPr>
            <w:tcW w:w="2009" w:type="dxa"/>
            <w:gridSpan w:val="2"/>
            <w:vAlign w:val="top"/>
          </w:tcPr>
          <w:p w14:paraId="2DCF5E30">
            <w:pPr>
              <w:spacing w:line="159" w:lineRule="exact"/>
              <w:rPr>
                <w:rFonts w:ascii="Arial"/>
                <w:sz w:val="13"/>
              </w:rPr>
            </w:pPr>
          </w:p>
        </w:tc>
        <w:tc>
          <w:tcPr>
            <w:tcW w:w="1856" w:type="dxa"/>
            <w:gridSpan w:val="2"/>
            <w:vAlign w:val="top"/>
          </w:tcPr>
          <w:p w14:paraId="217B7115">
            <w:pPr>
              <w:spacing w:line="159" w:lineRule="exact"/>
              <w:rPr>
                <w:rFonts w:ascii="Arial"/>
                <w:sz w:val="13"/>
              </w:rPr>
            </w:pPr>
          </w:p>
        </w:tc>
        <w:tc>
          <w:tcPr>
            <w:tcW w:w="1645" w:type="dxa"/>
            <w:gridSpan w:val="2"/>
            <w:vAlign w:val="top"/>
          </w:tcPr>
          <w:p w14:paraId="3C505A2D">
            <w:pPr>
              <w:spacing w:line="159" w:lineRule="exact"/>
              <w:rPr>
                <w:rFonts w:ascii="Arial"/>
                <w:sz w:val="13"/>
              </w:rPr>
            </w:pPr>
          </w:p>
        </w:tc>
        <w:tc>
          <w:tcPr>
            <w:tcW w:w="1238" w:type="dxa"/>
            <w:gridSpan w:val="2"/>
            <w:tcBorders>
              <w:right w:val="single" w:color="000000" w:sz="6" w:space="0"/>
            </w:tcBorders>
            <w:vAlign w:val="top"/>
          </w:tcPr>
          <w:p w14:paraId="009C6080">
            <w:pPr>
              <w:spacing w:line="159" w:lineRule="exact"/>
              <w:rPr>
                <w:rFonts w:ascii="Arial"/>
                <w:sz w:val="13"/>
              </w:rPr>
            </w:pPr>
          </w:p>
        </w:tc>
      </w:tr>
      <w:tr w14:paraId="438F9AF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4FD81F7B">
            <w:pPr>
              <w:rPr>
                <w:rFonts w:ascii="Arial"/>
                <w:sz w:val="21"/>
              </w:rPr>
            </w:pPr>
          </w:p>
        </w:tc>
        <w:tc>
          <w:tcPr>
            <w:tcW w:w="496" w:type="dxa"/>
            <w:vMerge w:val="continue"/>
            <w:tcBorders>
              <w:top w:val="nil"/>
            </w:tcBorders>
            <w:vAlign w:val="top"/>
          </w:tcPr>
          <w:p w14:paraId="156CEB24">
            <w:pPr>
              <w:rPr>
                <w:rFonts w:ascii="Arial"/>
                <w:sz w:val="21"/>
              </w:rPr>
            </w:pPr>
          </w:p>
        </w:tc>
        <w:tc>
          <w:tcPr>
            <w:tcW w:w="1316" w:type="dxa"/>
            <w:gridSpan w:val="2"/>
            <w:shd w:val="clear" w:color="auto" w:fill="BFBFBF"/>
            <w:vAlign w:val="top"/>
          </w:tcPr>
          <w:p w14:paraId="655FA9CB">
            <w:pPr>
              <w:spacing w:before="33" w:line="160" w:lineRule="auto"/>
              <w:ind w:left="255"/>
              <w:rPr>
                <w:rFonts w:ascii="微软雅黑" w:hAnsi="微软雅黑" w:eastAsia="微软雅黑" w:cs="微软雅黑"/>
                <w:sz w:val="11"/>
                <w:szCs w:val="11"/>
              </w:rPr>
            </w:pPr>
            <w:r>
              <w:rPr>
                <w:rFonts w:ascii="微软雅黑" w:hAnsi="微软雅黑" w:eastAsia="微软雅黑" w:cs="微软雅黑"/>
                <w:b/>
                <w:bCs/>
                <w:spacing w:val="1"/>
                <w:sz w:val="11"/>
                <w:szCs w:val="11"/>
              </w:rPr>
              <w:t>其他特征污染物</w:t>
            </w:r>
          </w:p>
        </w:tc>
        <w:tc>
          <w:tcPr>
            <w:tcW w:w="846" w:type="dxa"/>
            <w:vAlign w:val="top"/>
          </w:tcPr>
          <w:p w14:paraId="1CA5F6F5">
            <w:pPr>
              <w:spacing w:line="159" w:lineRule="exact"/>
              <w:rPr>
                <w:rFonts w:ascii="Arial"/>
                <w:sz w:val="13"/>
              </w:rPr>
            </w:pPr>
          </w:p>
        </w:tc>
        <w:tc>
          <w:tcPr>
            <w:tcW w:w="1079" w:type="dxa"/>
            <w:vAlign w:val="top"/>
          </w:tcPr>
          <w:p w14:paraId="747731FC">
            <w:pPr>
              <w:spacing w:line="159" w:lineRule="exact"/>
              <w:rPr>
                <w:rFonts w:ascii="Arial"/>
                <w:sz w:val="13"/>
              </w:rPr>
            </w:pPr>
          </w:p>
        </w:tc>
        <w:tc>
          <w:tcPr>
            <w:tcW w:w="1215" w:type="dxa"/>
            <w:vAlign w:val="top"/>
          </w:tcPr>
          <w:p w14:paraId="64786AB9">
            <w:pPr>
              <w:spacing w:line="159" w:lineRule="exact"/>
              <w:rPr>
                <w:rFonts w:ascii="Arial"/>
                <w:sz w:val="13"/>
              </w:rPr>
            </w:pPr>
          </w:p>
        </w:tc>
        <w:tc>
          <w:tcPr>
            <w:tcW w:w="2103" w:type="dxa"/>
            <w:gridSpan w:val="2"/>
            <w:vAlign w:val="top"/>
          </w:tcPr>
          <w:p w14:paraId="7A978336">
            <w:pPr>
              <w:spacing w:line="159" w:lineRule="exact"/>
              <w:rPr>
                <w:rFonts w:ascii="Arial"/>
                <w:sz w:val="13"/>
              </w:rPr>
            </w:pPr>
          </w:p>
        </w:tc>
        <w:tc>
          <w:tcPr>
            <w:tcW w:w="2009" w:type="dxa"/>
            <w:gridSpan w:val="2"/>
            <w:vAlign w:val="top"/>
          </w:tcPr>
          <w:p w14:paraId="2DF55C53">
            <w:pPr>
              <w:spacing w:line="159" w:lineRule="exact"/>
              <w:rPr>
                <w:rFonts w:ascii="Arial"/>
                <w:sz w:val="13"/>
              </w:rPr>
            </w:pPr>
          </w:p>
        </w:tc>
        <w:tc>
          <w:tcPr>
            <w:tcW w:w="1856" w:type="dxa"/>
            <w:gridSpan w:val="2"/>
            <w:vAlign w:val="top"/>
          </w:tcPr>
          <w:p w14:paraId="569B35F7">
            <w:pPr>
              <w:spacing w:line="159" w:lineRule="exact"/>
              <w:rPr>
                <w:rFonts w:ascii="Arial"/>
                <w:sz w:val="13"/>
              </w:rPr>
            </w:pPr>
          </w:p>
        </w:tc>
        <w:tc>
          <w:tcPr>
            <w:tcW w:w="1645" w:type="dxa"/>
            <w:gridSpan w:val="2"/>
            <w:vAlign w:val="top"/>
          </w:tcPr>
          <w:p w14:paraId="7EB25E18">
            <w:pPr>
              <w:spacing w:line="159" w:lineRule="exact"/>
              <w:rPr>
                <w:rFonts w:ascii="Arial"/>
                <w:sz w:val="13"/>
              </w:rPr>
            </w:pPr>
          </w:p>
        </w:tc>
        <w:tc>
          <w:tcPr>
            <w:tcW w:w="1238" w:type="dxa"/>
            <w:gridSpan w:val="2"/>
            <w:tcBorders>
              <w:right w:val="single" w:color="000000" w:sz="6" w:space="0"/>
            </w:tcBorders>
            <w:vAlign w:val="top"/>
          </w:tcPr>
          <w:p w14:paraId="19E70E73">
            <w:pPr>
              <w:spacing w:line="159" w:lineRule="exact"/>
              <w:rPr>
                <w:rFonts w:ascii="Arial"/>
                <w:sz w:val="13"/>
              </w:rPr>
            </w:pPr>
          </w:p>
        </w:tc>
      </w:tr>
      <w:tr w14:paraId="7B056B2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75" w:hRule="atLeast"/>
        </w:trPr>
        <w:tc>
          <w:tcPr>
            <w:tcW w:w="622" w:type="dxa"/>
            <w:vMerge w:val="continue"/>
            <w:tcBorders>
              <w:top w:val="nil"/>
              <w:left w:val="single" w:color="000000" w:sz="6" w:space="0"/>
              <w:bottom w:val="nil"/>
            </w:tcBorders>
            <w:textDirection w:val="tbRlV"/>
            <w:vAlign w:val="top"/>
          </w:tcPr>
          <w:p w14:paraId="0FE2C39A">
            <w:pPr>
              <w:rPr>
                <w:rFonts w:ascii="Arial"/>
                <w:sz w:val="21"/>
              </w:rPr>
            </w:pPr>
          </w:p>
        </w:tc>
        <w:tc>
          <w:tcPr>
            <w:tcW w:w="496" w:type="dxa"/>
            <w:vMerge w:val="restart"/>
            <w:tcBorders>
              <w:bottom w:val="nil"/>
            </w:tcBorders>
            <w:shd w:val="clear" w:color="auto" w:fill="BFBFBF"/>
            <w:vAlign w:val="top"/>
          </w:tcPr>
          <w:p w14:paraId="293E3B7D">
            <w:pPr>
              <w:spacing w:line="310" w:lineRule="auto"/>
              <w:rPr>
                <w:rFonts w:ascii="Arial"/>
                <w:sz w:val="21"/>
              </w:rPr>
            </w:pPr>
          </w:p>
          <w:p w14:paraId="0F0E0673">
            <w:pPr>
              <w:spacing w:before="56" w:line="192" w:lineRule="auto"/>
              <w:ind w:left="102"/>
              <w:rPr>
                <w:rFonts w:ascii="微软雅黑" w:hAnsi="微软雅黑" w:eastAsia="微软雅黑" w:cs="微软雅黑"/>
                <w:sz w:val="13"/>
                <w:szCs w:val="13"/>
              </w:rPr>
            </w:pPr>
            <w:r>
              <w:rPr>
                <w:rFonts w:ascii="微软雅黑" w:hAnsi="微软雅黑" w:eastAsia="微软雅黑" w:cs="微软雅黑"/>
                <w:b/>
                <w:bCs/>
                <w:spacing w:val="3"/>
                <w:sz w:val="13"/>
                <w:szCs w:val="13"/>
              </w:rPr>
              <w:t>废气</w:t>
            </w:r>
          </w:p>
        </w:tc>
        <w:tc>
          <w:tcPr>
            <w:tcW w:w="1316" w:type="dxa"/>
            <w:gridSpan w:val="2"/>
            <w:shd w:val="clear" w:color="auto" w:fill="BFBFBF"/>
            <w:vAlign w:val="top"/>
          </w:tcPr>
          <w:p w14:paraId="7D3B0CD3">
            <w:pPr>
              <w:spacing w:before="17" w:line="177" w:lineRule="auto"/>
              <w:ind w:left="479"/>
              <w:rPr>
                <w:rFonts w:ascii="微软雅黑" w:hAnsi="微软雅黑" w:eastAsia="微软雅黑" w:cs="微软雅黑"/>
                <w:sz w:val="11"/>
                <w:szCs w:val="11"/>
              </w:rPr>
            </w:pPr>
            <w:r>
              <w:rPr>
                <w:rFonts w:ascii="微软雅黑" w:hAnsi="微软雅黑" w:eastAsia="微软雅黑" w:cs="微软雅黑"/>
                <w:b/>
                <w:bCs/>
                <w:spacing w:val="1"/>
                <w:sz w:val="11"/>
                <w:szCs w:val="11"/>
              </w:rPr>
              <w:t>废气量</w:t>
            </w:r>
          </w:p>
          <w:p w14:paraId="7266A25B">
            <w:pPr>
              <w:spacing w:line="108" w:lineRule="exact"/>
              <w:ind w:left="178"/>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（万标立方米/年）</w:t>
            </w:r>
          </w:p>
        </w:tc>
        <w:tc>
          <w:tcPr>
            <w:tcW w:w="846" w:type="dxa"/>
            <w:vAlign w:val="top"/>
          </w:tcPr>
          <w:p w14:paraId="09313461">
            <w:pPr>
              <w:spacing w:before="69" w:line="235" w:lineRule="auto"/>
              <w:ind w:left="149"/>
              <w:rPr>
                <w:rFonts w:ascii="Constantia" w:hAnsi="Constantia" w:eastAsia="Constantia" w:cs="Constantia"/>
                <w:sz w:val="12"/>
                <w:szCs w:val="12"/>
              </w:rPr>
            </w:pPr>
            <w:r>
              <w:rPr>
                <w:rFonts w:ascii="Constantia" w:hAnsi="Constantia" w:eastAsia="Constantia" w:cs="Constantia"/>
                <w:b/>
                <w:bCs/>
                <w:spacing w:val="-4"/>
                <w:sz w:val="12"/>
                <w:szCs w:val="12"/>
              </w:rPr>
              <w:t>49896.000</w:t>
            </w:r>
          </w:p>
        </w:tc>
        <w:tc>
          <w:tcPr>
            <w:tcW w:w="1079" w:type="dxa"/>
            <w:vAlign w:val="top"/>
          </w:tcPr>
          <w:p w14:paraId="524379EB">
            <w:pPr>
              <w:rPr>
                <w:rFonts w:ascii="Arial"/>
                <w:sz w:val="21"/>
              </w:rPr>
            </w:pPr>
          </w:p>
        </w:tc>
        <w:tc>
          <w:tcPr>
            <w:tcW w:w="1215" w:type="dxa"/>
            <w:vAlign w:val="top"/>
          </w:tcPr>
          <w:p w14:paraId="79C7B9FA">
            <w:pPr>
              <w:spacing w:before="69" w:line="235" w:lineRule="auto"/>
              <w:ind w:left="349"/>
              <w:rPr>
                <w:rFonts w:ascii="Constantia" w:hAnsi="Constantia" w:eastAsia="Constantia" w:cs="Constantia"/>
                <w:sz w:val="12"/>
                <w:szCs w:val="12"/>
              </w:rPr>
            </w:pPr>
            <w:r>
              <w:rPr>
                <w:rFonts w:ascii="Constantia" w:hAnsi="Constantia" w:eastAsia="Constantia" w:cs="Constantia"/>
                <w:b/>
                <w:bCs/>
                <w:spacing w:val="-1"/>
                <w:sz w:val="12"/>
                <w:szCs w:val="12"/>
              </w:rPr>
              <w:t>15624.000</w:t>
            </w:r>
          </w:p>
        </w:tc>
        <w:tc>
          <w:tcPr>
            <w:tcW w:w="2103" w:type="dxa"/>
            <w:gridSpan w:val="2"/>
            <w:vAlign w:val="top"/>
          </w:tcPr>
          <w:p w14:paraId="613152C2">
            <w:pPr>
              <w:spacing w:before="69" w:line="235" w:lineRule="auto"/>
              <w:ind w:left="779"/>
              <w:rPr>
                <w:rFonts w:ascii="Constantia" w:hAnsi="Constantia" w:eastAsia="Constantia" w:cs="Constantia"/>
                <w:sz w:val="12"/>
                <w:szCs w:val="12"/>
              </w:rPr>
            </w:pPr>
            <w:r>
              <w:rPr>
                <w:rFonts w:ascii="Constantia" w:hAnsi="Constantia" w:eastAsia="Constantia" w:cs="Constantia"/>
                <w:b/>
                <w:bCs/>
                <w:spacing w:val="-4"/>
                <w:sz w:val="12"/>
                <w:szCs w:val="12"/>
              </w:rPr>
              <w:t>49896.000</w:t>
            </w:r>
          </w:p>
        </w:tc>
        <w:tc>
          <w:tcPr>
            <w:tcW w:w="2009" w:type="dxa"/>
            <w:gridSpan w:val="2"/>
            <w:vAlign w:val="top"/>
          </w:tcPr>
          <w:p w14:paraId="0E70F0AD">
            <w:pPr>
              <w:spacing w:before="69" w:line="169" w:lineRule="exact"/>
              <w:ind w:left="863"/>
              <w:rPr>
                <w:rFonts w:ascii="Constantia" w:hAnsi="Constantia" w:eastAsia="Constantia" w:cs="Constantia"/>
                <w:sz w:val="12"/>
                <w:szCs w:val="12"/>
              </w:rPr>
            </w:pPr>
            <w:r>
              <w:rPr>
                <w:rFonts w:ascii="Constantia" w:hAnsi="Constantia" w:eastAsia="Constantia" w:cs="Constantia"/>
                <w:b/>
                <w:bCs/>
                <w:spacing w:val="-6"/>
                <w:position w:val="2"/>
                <w:sz w:val="12"/>
                <w:szCs w:val="12"/>
              </w:rPr>
              <w:t>0.000</w:t>
            </w:r>
          </w:p>
        </w:tc>
        <w:tc>
          <w:tcPr>
            <w:tcW w:w="1856" w:type="dxa"/>
            <w:gridSpan w:val="2"/>
            <w:vAlign w:val="top"/>
          </w:tcPr>
          <w:p w14:paraId="56905593">
            <w:pPr>
              <w:spacing w:before="73" w:line="231" w:lineRule="auto"/>
              <w:ind w:left="699"/>
              <w:rPr>
                <w:rFonts w:ascii="Constantia" w:hAnsi="Constantia" w:eastAsia="Constantia" w:cs="Constantia"/>
                <w:sz w:val="11"/>
                <w:szCs w:val="11"/>
              </w:rPr>
            </w:pPr>
            <w:r>
              <w:rPr>
                <w:rFonts w:ascii="Constantia" w:hAnsi="Constantia" w:eastAsia="Constantia" w:cs="Constantia"/>
                <w:b/>
                <w:bCs/>
                <w:spacing w:val="-2"/>
                <w:sz w:val="11"/>
                <w:szCs w:val="11"/>
              </w:rPr>
              <w:t>15624.000</w:t>
            </w:r>
          </w:p>
        </w:tc>
        <w:tc>
          <w:tcPr>
            <w:tcW w:w="1645" w:type="dxa"/>
            <w:gridSpan w:val="2"/>
            <w:vAlign w:val="top"/>
          </w:tcPr>
          <w:p w14:paraId="38C9DEF9">
            <w:pPr>
              <w:spacing w:before="73" w:line="231" w:lineRule="auto"/>
              <w:ind w:left="567"/>
              <w:rPr>
                <w:rFonts w:ascii="Constantia" w:hAnsi="Constantia" w:eastAsia="Constantia" w:cs="Constantia"/>
                <w:sz w:val="11"/>
                <w:szCs w:val="11"/>
              </w:rPr>
            </w:pPr>
            <w:r>
              <w:rPr>
                <w:rFonts w:ascii="Constantia" w:hAnsi="Constantia" w:eastAsia="Constantia" w:cs="Constantia"/>
                <w:b/>
                <w:bCs/>
                <w:spacing w:val="-1"/>
                <w:sz w:val="11"/>
                <w:szCs w:val="11"/>
              </w:rPr>
              <w:t>-34272.000</w:t>
            </w:r>
          </w:p>
        </w:tc>
        <w:tc>
          <w:tcPr>
            <w:tcW w:w="1238" w:type="dxa"/>
            <w:gridSpan w:val="2"/>
            <w:tcBorders>
              <w:right w:val="single" w:color="000000" w:sz="6" w:space="0"/>
            </w:tcBorders>
            <w:vAlign w:val="top"/>
          </w:tcPr>
          <w:p w14:paraId="47CE6368">
            <w:pPr>
              <w:rPr>
                <w:rFonts w:ascii="Arial"/>
                <w:sz w:val="21"/>
              </w:rPr>
            </w:pPr>
          </w:p>
        </w:tc>
      </w:tr>
      <w:tr w14:paraId="632F463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6437AE4F">
            <w:pPr>
              <w:rPr>
                <w:rFonts w:ascii="Arial"/>
                <w:sz w:val="21"/>
              </w:rPr>
            </w:pPr>
          </w:p>
        </w:tc>
        <w:tc>
          <w:tcPr>
            <w:tcW w:w="496" w:type="dxa"/>
            <w:vMerge w:val="continue"/>
            <w:tcBorders>
              <w:top w:val="nil"/>
              <w:bottom w:val="nil"/>
            </w:tcBorders>
            <w:vAlign w:val="top"/>
          </w:tcPr>
          <w:p w14:paraId="34CE2204">
            <w:pPr>
              <w:rPr>
                <w:rFonts w:ascii="Arial"/>
                <w:sz w:val="21"/>
              </w:rPr>
            </w:pPr>
          </w:p>
        </w:tc>
        <w:tc>
          <w:tcPr>
            <w:tcW w:w="1316" w:type="dxa"/>
            <w:gridSpan w:val="2"/>
            <w:shd w:val="clear" w:color="auto" w:fill="BFBFBF"/>
            <w:vAlign w:val="top"/>
          </w:tcPr>
          <w:p w14:paraId="16FC5F53">
            <w:pPr>
              <w:spacing w:before="33" w:line="159" w:lineRule="auto"/>
              <w:ind w:left="425"/>
              <w:rPr>
                <w:rFonts w:ascii="微软雅黑" w:hAnsi="微软雅黑" w:eastAsia="微软雅黑" w:cs="微软雅黑"/>
                <w:sz w:val="11"/>
                <w:szCs w:val="11"/>
              </w:rPr>
            </w:pPr>
            <w:r>
              <w:rPr>
                <w:rFonts w:ascii="微软雅黑" w:hAnsi="微软雅黑" w:eastAsia="微软雅黑" w:cs="微软雅黑"/>
                <w:b/>
                <w:bCs/>
                <w:spacing w:val="1"/>
                <w:sz w:val="11"/>
                <w:szCs w:val="11"/>
              </w:rPr>
              <w:t>二氧化硫</w:t>
            </w:r>
          </w:p>
        </w:tc>
        <w:tc>
          <w:tcPr>
            <w:tcW w:w="846" w:type="dxa"/>
            <w:vAlign w:val="top"/>
          </w:tcPr>
          <w:p w14:paraId="21E60C2D">
            <w:pPr>
              <w:spacing w:line="159" w:lineRule="exact"/>
              <w:rPr>
                <w:rFonts w:ascii="Arial"/>
                <w:sz w:val="13"/>
              </w:rPr>
            </w:pPr>
          </w:p>
        </w:tc>
        <w:tc>
          <w:tcPr>
            <w:tcW w:w="1079" w:type="dxa"/>
            <w:vAlign w:val="top"/>
          </w:tcPr>
          <w:p w14:paraId="485B9168">
            <w:pPr>
              <w:spacing w:line="159" w:lineRule="exact"/>
              <w:rPr>
                <w:rFonts w:ascii="Arial"/>
                <w:sz w:val="13"/>
              </w:rPr>
            </w:pPr>
          </w:p>
        </w:tc>
        <w:tc>
          <w:tcPr>
            <w:tcW w:w="1215" w:type="dxa"/>
            <w:vAlign w:val="top"/>
          </w:tcPr>
          <w:p w14:paraId="3B2593BB">
            <w:pPr>
              <w:spacing w:before="14" w:line="237" w:lineRule="auto"/>
              <w:ind w:left="4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103" w:type="dxa"/>
            <w:gridSpan w:val="2"/>
            <w:vAlign w:val="top"/>
          </w:tcPr>
          <w:p w14:paraId="178C069B">
            <w:pPr>
              <w:spacing w:before="14" w:line="237" w:lineRule="auto"/>
              <w:ind w:left="910"/>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009" w:type="dxa"/>
            <w:gridSpan w:val="2"/>
            <w:vAlign w:val="top"/>
          </w:tcPr>
          <w:p w14:paraId="5F584E30">
            <w:pPr>
              <w:spacing w:before="14" w:line="237"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49D935A2">
            <w:pPr>
              <w:spacing w:before="20" w:line="139" w:lineRule="exact"/>
              <w:ind w:left="802"/>
              <w:rPr>
                <w:rFonts w:ascii="Constantia" w:hAnsi="Constantia" w:eastAsia="Constantia" w:cs="Constantia"/>
                <w:sz w:val="11"/>
                <w:szCs w:val="11"/>
              </w:rPr>
            </w:pPr>
            <w:r>
              <w:rPr>
                <w:rFonts w:ascii="Constantia" w:hAnsi="Constantia" w:eastAsia="Constantia" w:cs="Constantia"/>
                <w:b/>
                <w:bCs/>
                <w:spacing w:val="-6"/>
                <w:position w:val="2"/>
                <w:sz w:val="11"/>
                <w:szCs w:val="11"/>
              </w:rPr>
              <w:t>0.000</w:t>
            </w:r>
          </w:p>
        </w:tc>
        <w:tc>
          <w:tcPr>
            <w:tcW w:w="1645" w:type="dxa"/>
            <w:gridSpan w:val="2"/>
            <w:vAlign w:val="top"/>
          </w:tcPr>
          <w:p w14:paraId="2BEDB68C">
            <w:pPr>
              <w:spacing w:before="20" w:line="139" w:lineRule="exact"/>
              <w:ind w:left="698"/>
              <w:rPr>
                <w:rFonts w:ascii="Constantia" w:hAnsi="Constantia" w:eastAsia="Constantia" w:cs="Constantia"/>
                <w:sz w:val="11"/>
                <w:szCs w:val="11"/>
              </w:rPr>
            </w:pPr>
            <w:r>
              <w:rPr>
                <w:rFonts w:ascii="Constantia" w:hAnsi="Constantia" w:eastAsia="Constantia" w:cs="Constantia"/>
                <w:b/>
                <w:bCs/>
                <w:spacing w:val="-6"/>
                <w:position w:val="2"/>
                <w:sz w:val="11"/>
                <w:szCs w:val="11"/>
              </w:rPr>
              <w:t>0.000</w:t>
            </w:r>
          </w:p>
        </w:tc>
        <w:tc>
          <w:tcPr>
            <w:tcW w:w="1238" w:type="dxa"/>
            <w:gridSpan w:val="2"/>
            <w:tcBorders>
              <w:right w:val="single" w:color="000000" w:sz="6" w:space="0"/>
            </w:tcBorders>
            <w:vAlign w:val="top"/>
          </w:tcPr>
          <w:p w14:paraId="4148B383">
            <w:pPr>
              <w:spacing w:line="159" w:lineRule="exact"/>
              <w:rPr>
                <w:rFonts w:ascii="Arial"/>
                <w:sz w:val="13"/>
              </w:rPr>
            </w:pPr>
          </w:p>
        </w:tc>
      </w:tr>
      <w:tr w14:paraId="42B37F4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textDirection w:val="tbRlV"/>
            <w:vAlign w:val="top"/>
          </w:tcPr>
          <w:p w14:paraId="6AE77C87">
            <w:pPr>
              <w:rPr>
                <w:rFonts w:ascii="Arial"/>
                <w:sz w:val="21"/>
              </w:rPr>
            </w:pPr>
          </w:p>
        </w:tc>
        <w:tc>
          <w:tcPr>
            <w:tcW w:w="496" w:type="dxa"/>
            <w:vMerge w:val="continue"/>
            <w:tcBorders>
              <w:top w:val="nil"/>
              <w:bottom w:val="nil"/>
            </w:tcBorders>
            <w:vAlign w:val="top"/>
          </w:tcPr>
          <w:p w14:paraId="03D480CF">
            <w:pPr>
              <w:rPr>
                <w:rFonts w:ascii="Arial"/>
                <w:sz w:val="21"/>
              </w:rPr>
            </w:pPr>
          </w:p>
        </w:tc>
        <w:tc>
          <w:tcPr>
            <w:tcW w:w="1316" w:type="dxa"/>
            <w:gridSpan w:val="2"/>
            <w:shd w:val="clear" w:color="auto" w:fill="BFBFBF"/>
            <w:vAlign w:val="top"/>
          </w:tcPr>
          <w:p w14:paraId="35D57D71">
            <w:pPr>
              <w:spacing w:before="33" w:line="159" w:lineRule="auto"/>
              <w:ind w:left="422"/>
              <w:rPr>
                <w:rFonts w:ascii="微软雅黑" w:hAnsi="微软雅黑" w:eastAsia="微软雅黑" w:cs="微软雅黑"/>
                <w:sz w:val="11"/>
                <w:szCs w:val="11"/>
              </w:rPr>
            </w:pPr>
            <w:r>
              <w:rPr>
                <w:rFonts w:ascii="微软雅黑" w:hAnsi="微软雅黑" w:eastAsia="微软雅黑" w:cs="微软雅黑"/>
                <w:b/>
                <w:bCs/>
                <w:spacing w:val="1"/>
                <w:sz w:val="11"/>
                <w:szCs w:val="11"/>
              </w:rPr>
              <w:t>氮氧化物</w:t>
            </w:r>
          </w:p>
        </w:tc>
        <w:tc>
          <w:tcPr>
            <w:tcW w:w="846" w:type="dxa"/>
            <w:vAlign w:val="top"/>
          </w:tcPr>
          <w:p w14:paraId="2407CB7C">
            <w:pPr>
              <w:spacing w:line="159" w:lineRule="exact"/>
              <w:rPr>
                <w:rFonts w:ascii="Arial"/>
                <w:sz w:val="13"/>
              </w:rPr>
            </w:pPr>
          </w:p>
        </w:tc>
        <w:tc>
          <w:tcPr>
            <w:tcW w:w="1079" w:type="dxa"/>
            <w:vAlign w:val="top"/>
          </w:tcPr>
          <w:p w14:paraId="2BBF95D6">
            <w:pPr>
              <w:spacing w:line="159" w:lineRule="exact"/>
              <w:rPr>
                <w:rFonts w:ascii="Arial"/>
                <w:sz w:val="13"/>
              </w:rPr>
            </w:pPr>
          </w:p>
        </w:tc>
        <w:tc>
          <w:tcPr>
            <w:tcW w:w="1215" w:type="dxa"/>
            <w:vAlign w:val="top"/>
          </w:tcPr>
          <w:p w14:paraId="51CE44A3">
            <w:pPr>
              <w:spacing w:before="14" w:line="236" w:lineRule="auto"/>
              <w:ind w:left="4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103" w:type="dxa"/>
            <w:gridSpan w:val="2"/>
            <w:vAlign w:val="top"/>
          </w:tcPr>
          <w:p w14:paraId="2D402C4C">
            <w:pPr>
              <w:spacing w:before="14" w:line="236" w:lineRule="auto"/>
              <w:ind w:left="910"/>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2009" w:type="dxa"/>
            <w:gridSpan w:val="2"/>
            <w:vAlign w:val="top"/>
          </w:tcPr>
          <w:p w14:paraId="31342AD2">
            <w:pPr>
              <w:spacing w:before="14" w:line="236"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67FD89EB">
            <w:pPr>
              <w:spacing w:before="20" w:line="139" w:lineRule="exact"/>
              <w:ind w:left="802"/>
              <w:rPr>
                <w:rFonts w:ascii="Constantia" w:hAnsi="Constantia" w:eastAsia="Constantia" w:cs="Constantia"/>
                <w:sz w:val="11"/>
                <w:szCs w:val="11"/>
              </w:rPr>
            </w:pPr>
            <w:r>
              <w:rPr>
                <w:rFonts w:ascii="Constantia" w:hAnsi="Constantia" w:eastAsia="Constantia" w:cs="Constantia"/>
                <w:b/>
                <w:bCs/>
                <w:spacing w:val="-6"/>
                <w:position w:val="2"/>
                <w:sz w:val="11"/>
                <w:szCs w:val="11"/>
              </w:rPr>
              <w:t>0.000</w:t>
            </w:r>
          </w:p>
        </w:tc>
        <w:tc>
          <w:tcPr>
            <w:tcW w:w="1645" w:type="dxa"/>
            <w:gridSpan w:val="2"/>
            <w:vAlign w:val="top"/>
          </w:tcPr>
          <w:p w14:paraId="6DD3771A">
            <w:pPr>
              <w:spacing w:before="20" w:line="139" w:lineRule="exact"/>
              <w:ind w:left="698"/>
              <w:rPr>
                <w:rFonts w:ascii="Constantia" w:hAnsi="Constantia" w:eastAsia="Constantia" w:cs="Constantia"/>
                <w:sz w:val="11"/>
                <w:szCs w:val="11"/>
              </w:rPr>
            </w:pPr>
            <w:r>
              <w:rPr>
                <w:rFonts w:ascii="Constantia" w:hAnsi="Constantia" w:eastAsia="Constantia" w:cs="Constantia"/>
                <w:b/>
                <w:bCs/>
                <w:spacing w:val="-6"/>
                <w:position w:val="2"/>
                <w:sz w:val="11"/>
                <w:szCs w:val="11"/>
              </w:rPr>
              <w:t>0.000</w:t>
            </w:r>
          </w:p>
        </w:tc>
        <w:tc>
          <w:tcPr>
            <w:tcW w:w="1238" w:type="dxa"/>
            <w:gridSpan w:val="2"/>
            <w:tcBorders>
              <w:right w:val="single" w:color="000000" w:sz="6" w:space="0"/>
            </w:tcBorders>
            <w:vAlign w:val="top"/>
          </w:tcPr>
          <w:p w14:paraId="2CEB8F17">
            <w:pPr>
              <w:spacing w:line="159" w:lineRule="exact"/>
              <w:rPr>
                <w:rFonts w:ascii="Arial"/>
                <w:sz w:val="13"/>
              </w:rPr>
            </w:pPr>
          </w:p>
        </w:tc>
      </w:tr>
      <w:tr w14:paraId="0409CB6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tcBorders>
            <w:textDirection w:val="tbRlV"/>
            <w:vAlign w:val="top"/>
          </w:tcPr>
          <w:p w14:paraId="648EF62C">
            <w:pPr>
              <w:rPr>
                <w:rFonts w:ascii="Arial"/>
                <w:sz w:val="21"/>
              </w:rPr>
            </w:pPr>
          </w:p>
        </w:tc>
        <w:tc>
          <w:tcPr>
            <w:tcW w:w="496" w:type="dxa"/>
            <w:vMerge w:val="continue"/>
            <w:tcBorders>
              <w:top w:val="nil"/>
            </w:tcBorders>
            <w:vAlign w:val="top"/>
          </w:tcPr>
          <w:p w14:paraId="2275C747">
            <w:pPr>
              <w:rPr>
                <w:rFonts w:ascii="Arial"/>
                <w:sz w:val="21"/>
              </w:rPr>
            </w:pPr>
          </w:p>
        </w:tc>
        <w:tc>
          <w:tcPr>
            <w:tcW w:w="1316" w:type="dxa"/>
            <w:gridSpan w:val="2"/>
            <w:shd w:val="clear" w:color="auto" w:fill="BFBFBF"/>
            <w:vAlign w:val="top"/>
          </w:tcPr>
          <w:p w14:paraId="38610BA4">
            <w:pPr>
              <w:spacing w:before="34" w:line="158" w:lineRule="auto"/>
              <w:ind w:left="479"/>
              <w:rPr>
                <w:rFonts w:ascii="微软雅黑" w:hAnsi="微软雅黑" w:eastAsia="微软雅黑" w:cs="微软雅黑"/>
                <w:sz w:val="11"/>
                <w:szCs w:val="11"/>
              </w:rPr>
            </w:pPr>
            <w:r>
              <w:rPr>
                <w:rFonts w:ascii="微软雅黑" w:hAnsi="微软雅黑" w:eastAsia="微软雅黑" w:cs="微软雅黑"/>
                <w:b/>
                <w:bCs/>
                <w:sz w:val="11"/>
                <w:szCs w:val="11"/>
              </w:rPr>
              <w:t>颗粒物</w:t>
            </w:r>
          </w:p>
        </w:tc>
        <w:tc>
          <w:tcPr>
            <w:tcW w:w="846" w:type="dxa"/>
            <w:vAlign w:val="top"/>
          </w:tcPr>
          <w:p w14:paraId="44C99EE0">
            <w:pPr>
              <w:spacing w:before="14" w:line="235" w:lineRule="auto"/>
              <w:ind w:left="278"/>
              <w:rPr>
                <w:rFonts w:ascii="Constantia" w:hAnsi="Constantia" w:eastAsia="Constantia" w:cs="Constantia"/>
                <w:sz w:val="12"/>
                <w:szCs w:val="12"/>
              </w:rPr>
            </w:pPr>
            <w:r>
              <w:rPr>
                <w:rFonts w:ascii="Constantia" w:hAnsi="Constantia" w:eastAsia="Constantia" w:cs="Constantia"/>
                <w:b/>
                <w:bCs/>
                <w:sz w:val="12"/>
                <w:szCs w:val="12"/>
              </w:rPr>
              <w:t>5.420</w:t>
            </w:r>
          </w:p>
        </w:tc>
        <w:tc>
          <w:tcPr>
            <w:tcW w:w="1079" w:type="dxa"/>
            <w:vAlign w:val="top"/>
          </w:tcPr>
          <w:p w14:paraId="1C712F1C">
            <w:pPr>
              <w:spacing w:line="159" w:lineRule="exact"/>
              <w:rPr>
                <w:rFonts w:ascii="Arial"/>
                <w:sz w:val="13"/>
              </w:rPr>
            </w:pPr>
          </w:p>
        </w:tc>
        <w:tc>
          <w:tcPr>
            <w:tcW w:w="1215" w:type="dxa"/>
            <w:vAlign w:val="top"/>
          </w:tcPr>
          <w:p w14:paraId="5FC45671">
            <w:pPr>
              <w:spacing w:before="14" w:line="236" w:lineRule="auto"/>
              <w:ind w:left="474"/>
              <w:rPr>
                <w:rFonts w:ascii="Constantia" w:hAnsi="Constantia" w:eastAsia="Constantia" w:cs="Constantia"/>
                <w:sz w:val="12"/>
                <w:szCs w:val="12"/>
              </w:rPr>
            </w:pPr>
            <w:r>
              <w:rPr>
                <w:rFonts w:ascii="Constantia" w:hAnsi="Constantia" w:eastAsia="Constantia" w:cs="Constantia"/>
                <w:b/>
                <w:bCs/>
                <w:spacing w:val="-2"/>
                <w:sz w:val="12"/>
                <w:szCs w:val="12"/>
              </w:rPr>
              <w:t>1.400</w:t>
            </w:r>
          </w:p>
        </w:tc>
        <w:tc>
          <w:tcPr>
            <w:tcW w:w="2103" w:type="dxa"/>
            <w:gridSpan w:val="2"/>
            <w:vAlign w:val="top"/>
          </w:tcPr>
          <w:p w14:paraId="504FBCE2">
            <w:pPr>
              <w:spacing w:before="14" w:line="236" w:lineRule="auto"/>
              <w:ind w:left="906"/>
              <w:rPr>
                <w:rFonts w:ascii="Constantia" w:hAnsi="Constantia" w:eastAsia="Constantia" w:cs="Constantia"/>
                <w:sz w:val="12"/>
                <w:szCs w:val="12"/>
              </w:rPr>
            </w:pPr>
            <w:r>
              <w:rPr>
                <w:rFonts w:ascii="Constantia" w:hAnsi="Constantia" w:eastAsia="Constantia" w:cs="Constantia"/>
                <w:b/>
                <w:bCs/>
                <w:spacing w:val="-2"/>
                <w:sz w:val="12"/>
                <w:szCs w:val="12"/>
              </w:rPr>
              <w:t>4.440</w:t>
            </w:r>
          </w:p>
        </w:tc>
        <w:tc>
          <w:tcPr>
            <w:tcW w:w="2009" w:type="dxa"/>
            <w:gridSpan w:val="2"/>
            <w:vAlign w:val="top"/>
          </w:tcPr>
          <w:p w14:paraId="35FFAEA4">
            <w:pPr>
              <w:spacing w:before="14" w:line="236" w:lineRule="auto"/>
              <w:ind w:left="863"/>
              <w:rPr>
                <w:rFonts w:ascii="Constantia" w:hAnsi="Constantia" w:eastAsia="Constantia" w:cs="Constantia"/>
                <w:sz w:val="12"/>
                <w:szCs w:val="12"/>
              </w:rPr>
            </w:pPr>
            <w:r>
              <w:rPr>
                <w:rFonts w:ascii="Constantia" w:hAnsi="Constantia" w:eastAsia="Constantia" w:cs="Constantia"/>
                <w:b/>
                <w:bCs/>
                <w:spacing w:val="-6"/>
                <w:sz w:val="12"/>
                <w:szCs w:val="12"/>
              </w:rPr>
              <w:t>0.000</w:t>
            </w:r>
          </w:p>
        </w:tc>
        <w:tc>
          <w:tcPr>
            <w:tcW w:w="1856" w:type="dxa"/>
            <w:gridSpan w:val="2"/>
            <w:vAlign w:val="top"/>
          </w:tcPr>
          <w:p w14:paraId="41D99FCD">
            <w:pPr>
              <w:spacing w:before="21" w:line="231" w:lineRule="auto"/>
              <w:ind w:left="801"/>
              <w:rPr>
                <w:rFonts w:ascii="Constantia" w:hAnsi="Constantia" w:eastAsia="Constantia" w:cs="Constantia"/>
                <w:sz w:val="11"/>
                <w:szCs w:val="11"/>
              </w:rPr>
            </w:pPr>
            <w:r>
              <w:rPr>
                <w:rFonts w:ascii="Constantia" w:hAnsi="Constantia" w:eastAsia="Constantia" w:cs="Constantia"/>
                <w:b/>
                <w:bCs/>
                <w:sz w:val="11"/>
                <w:szCs w:val="11"/>
              </w:rPr>
              <w:t>2.380</w:t>
            </w:r>
          </w:p>
        </w:tc>
        <w:tc>
          <w:tcPr>
            <w:tcW w:w="1645" w:type="dxa"/>
            <w:gridSpan w:val="2"/>
            <w:vAlign w:val="top"/>
          </w:tcPr>
          <w:p w14:paraId="1161AF3C">
            <w:pPr>
              <w:spacing w:before="21" w:line="231" w:lineRule="auto"/>
              <w:ind w:left="679"/>
              <w:rPr>
                <w:rFonts w:ascii="Constantia" w:hAnsi="Constantia" w:eastAsia="Constantia" w:cs="Constantia"/>
                <w:sz w:val="11"/>
                <w:szCs w:val="11"/>
              </w:rPr>
            </w:pPr>
            <w:r>
              <w:rPr>
                <w:rFonts w:ascii="Constantia" w:hAnsi="Constantia" w:eastAsia="Constantia" w:cs="Constantia"/>
                <w:b/>
                <w:bCs/>
                <w:spacing w:val="-2"/>
                <w:sz w:val="11"/>
                <w:szCs w:val="11"/>
              </w:rPr>
              <w:t>-3.040</w:t>
            </w:r>
          </w:p>
        </w:tc>
        <w:tc>
          <w:tcPr>
            <w:tcW w:w="1238" w:type="dxa"/>
            <w:gridSpan w:val="2"/>
            <w:tcBorders>
              <w:right w:val="single" w:color="000000" w:sz="6" w:space="0"/>
            </w:tcBorders>
            <w:vAlign w:val="top"/>
          </w:tcPr>
          <w:p w14:paraId="68513780">
            <w:pPr>
              <w:spacing w:line="159" w:lineRule="exact"/>
              <w:rPr>
                <w:rFonts w:ascii="Arial"/>
                <w:sz w:val="13"/>
              </w:rPr>
            </w:pPr>
          </w:p>
        </w:tc>
      </w:tr>
      <w:tr w14:paraId="0D06625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1118" w:type="dxa"/>
            <w:gridSpan w:val="2"/>
            <w:vMerge w:val="restart"/>
            <w:tcBorders>
              <w:left w:val="single" w:color="000000" w:sz="6" w:space="0"/>
              <w:bottom w:val="nil"/>
            </w:tcBorders>
            <w:shd w:val="clear" w:color="auto" w:fill="BFBFBF"/>
            <w:vAlign w:val="top"/>
          </w:tcPr>
          <w:p w14:paraId="178E9CFC">
            <w:pPr>
              <w:spacing w:line="257" w:lineRule="auto"/>
              <w:rPr>
                <w:rFonts w:ascii="Arial"/>
                <w:sz w:val="21"/>
              </w:rPr>
            </w:pPr>
          </w:p>
          <w:p w14:paraId="30980F09">
            <w:pPr>
              <w:spacing w:line="257" w:lineRule="auto"/>
              <w:rPr>
                <w:rFonts w:ascii="Arial"/>
                <w:sz w:val="21"/>
              </w:rPr>
            </w:pPr>
          </w:p>
          <w:p w14:paraId="134D8623">
            <w:pPr>
              <w:spacing w:before="55" w:line="181" w:lineRule="auto"/>
              <w:ind w:left="79"/>
              <w:rPr>
                <w:rFonts w:ascii="微软雅黑" w:hAnsi="微软雅黑" w:eastAsia="微软雅黑" w:cs="微软雅黑"/>
                <w:sz w:val="13"/>
                <w:szCs w:val="13"/>
              </w:rPr>
            </w:pPr>
            <w:r>
              <w:rPr>
                <w:rFonts w:ascii="微软雅黑" w:hAnsi="微软雅黑" w:eastAsia="微软雅黑" w:cs="微软雅黑"/>
                <w:b/>
                <w:bCs/>
                <w:spacing w:val="6"/>
                <w:sz w:val="13"/>
                <w:szCs w:val="13"/>
              </w:rPr>
              <w:t>项目涉及法律法</w:t>
            </w:r>
          </w:p>
          <w:p w14:paraId="26EB5C15">
            <w:pPr>
              <w:spacing w:line="180" w:lineRule="auto"/>
              <w:ind w:left="77"/>
              <w:rPr>
                <w:rFonts w:ascii="微软雅黑" w:hAnsi="微软雅黑" w:eastAsia="微软雅黑" w:cs="微软雅黑"/>
                <w:sz w:val="13"/>
                <w:szCs w:val="13"/>
              </w:rPr>
            </w:pPr>
            <w:r>
              <w:rPr>
                <w:rFonts w:ascii="微软雅黑" w:hAnsi="微软雅黑" w:eastAsia="微软雅黑" w:cs="微软雅黑"/>
                <w:b/>
                <w:bCs/>
                <w:spacing w:val="6"/>
                <w:sz w:val="13"/>
                <w:szCs w:val="13"/>
              </w:rPr>
              <w:t>规规定的保护区</w:t>
            </w:r>
          </w:p>
          <w:p w14:paraId="225A4235">
            <w:pPr>
              <w:spacing w:line="191" w:lineRule="auto"/>
              <w:ind w:left="420"/>
              <w:rPr>
                <w:rFonts w:ascii="微软雅黑" w:hAnsi="微软雅黑" w:eastAsia="微软雅黑" w:cs="微软雅黑"/>
                <w:sz w:val="13"/>
                <w:szCs w:val="13"/>
              </w:rPr>
            </w:pPr>
            <w:r>
              <w:rPr>
                <w:rFonts w:ascii="微软雅黑" w:hAnsi="微软雅黑" w:eastAsia="微软雅黑" w:cs="微软雅黑"/>
                <w:b/>
                <w:bCs/>
                <w:spacing w:val="3"/>
                <w:sz w:val="13"/>
                <w:szCs w:val="13"/>
              </w:rPr>
              <w:t>情况</w:t>
            </w:r>
          </w:p>
        </w:tc>
        <w:tc>
          <w:tcPr>
            <w:tcW w:w="2162" w:type="dxa"/>
            <w:gridSpan w:val="3"/>
            <w:tcBorders>
              <w:tl2br w:val="single" w:color="000000" w:sz="6" w:space="0"/>
            </w:tcBorders>
            <w:shd w:val="clear" w:color="auto" w:fill="BFBFBF"/>
            <w:vAlign w:val="top"/>
          </w:tcPr>
          <w:p w14:paraId="5978308F">
            <w:pPr>
              <w:spacing w:before="18" w:line="114" w:lineRule="exact"/>
              <w:ind w:left="732" w:right="110" w:firstLine="509"/>
              <w:rPr>
                <w:rFonts w:ascii="微软雅黑" w:hAnsi="微软雅黑" w:eastAsia="微软雅黑" w:cs="微软雅黑"/>
                <w:sz w:val="11"/>
                <w:szCs w:val="11"/>
              </w:rPr>
            </w:pPr>
            <w:r>
              <w:rPr>
                <w:rFonts w:ascii="微软雅黑" w:hAnsi="微软雅黑" w:eastAsia="微软雅黑" w:cs="微软雅黑"/>
                <w:b/>
                <w:bCs/>
                <w:spacing w:val="2"/>
                <w:sz w:val="11"/>
                <w:szCs w:val="11"/>
              </w:rPr>
              <w:t>影响及主要措施</w:t>
            </w:r>
            <w:r>
              <w:rPr>
                <w:rFonts w:ascii="微软雅黑" w:hAnsi="微软雅黑" w:eastAsia="微软雅黑" w:cs="微软雅黑"/>
                <w:b/>
                <w:bCs/>
                <w:sz w:val="11"/>
                <w:szCs w:val="11"/>
              </w:rPr>
              <w:t xml:space="preserve"> </w:t>
            </w:r>
            <w:r>
              <w:rPr>
                <w:rFonts w:ascii="微软雅黑" w:hAnsi="微软雅黑" w:eastAsia="微软雅黑" w:cs="微软雅黑"/>
                <w:b/>
                <w:bCs/>
                <w:spacing w:val="2"/>
                <w:position w:val="-1"/>
                <w:sz w:val="11"/>
                <w:szCs w:val="11"/>
              </w:rPr>
              <w:t>生态保护目标</w:t>
            </w:r>
          </w:p>
        </w:tc>
        <w:tc>
          <w:tcPr>
            <w:tcW w:w="2294" w:type="dxa"/>
            <w:gridSpan w:val="2"/>
            <w:shd w:val="clear" w:color="auto" w:fill="BFBFBF"/>
            <w:vAlign w:val="top"/>
          </w:tcPr>
          <w:p w14:paraId="32B0248C">
            <w:pPr>
              <w:spacing w:before="78" w:line="189" w:lineRule="auto"/>
              <w:ind w:left="1030"/>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983" w:type="dxa"/>
            <w:shd w:val="clear" w:color="auto" w:fill="BFBFBF"/>
            <w:vAlign w:val="top"/>
          </w:tcPr>
          <w:p w14:paraId="0613FC2E">
            <w:pPr>
              <w:spacing w:before="77" w:line="188" w:lineRule="auto"/>
              <w:ind w:left="375"/>
              <w:rPr>
                <w:rFonts w:ascii="微软雅黑" w:hAnsi="微软雅黑" w:eastAsia="微软雅黑" w:cs="微软雅黑"/>
                <w:sz w:val="11"/>
                <w:szCs w:val="11"/>
              </w:rPr>
            </w:pPr>
            <w:r>
              <w:rPr>
                <w:rFonts w:ascii="微软雅黑" w:hAnsi="微软雅黑" w:eastAsia="微软雅黑" w:cs="微软雅黑"/>
                <w:b/>
                <w:bCs/>
                <w:spacing w:val="-1"/>
                <w:sz w:val="11"/>
                <w:szCs w:val="11"/>
              </w:rPr>
              <w:t>级别</w:t>
            </w:r>
          </w:p>
        </w:tc>
        <w:tc>
          <w:tcPr>
            <w:tcW w:w="1120" w:type="dxa"/>
            <w:shd w:val="clear" w:color="auto" w:fill="BFBFBF"/>
            <w:vAlign w:val="top"/>
          </w:tcPr>
          <w:p w14:paraId="67C34FD5">
            <w:pPr>
              <w:spacing w:before="8" w:line="180" w:lineRule="auto"/>
              <w:ind w:left="221"/>
              <w:rPr>
                <w:rFonts w:ascii="微软雅黑" w:hAnsi="微软雅黑" w:eastAsia="微软雅黑" w:cs="微软雅黑"/>
                <w:sz w:val="11"/>
                <w:szCs w:val="11"/>
              </w:rPr>
            </w:pPr>
            <w:r>
              <w:rPr>
                <w:rFonts w:ascii="微软雅黑" w:hAnsi="微软雅黑" w:eastAsia="微软雅黑" w:cs="微软雅黑"/>
                <w:b/>
                <w:bCs/>
                <w:spacing w:val="1"/>
                <w:sz w:val="11"/>
                <w:szCs w:val="11"/>
              </w:rPr>
              <w:t>主要保护对象</w:t>
            </w:r>
          </w:p>
          <w:p w14:paraId="7C940BC1">
            <w:pPr>
              <w:spacing w:line="95" w:lineRule="exact"/>
              <w:ind w:left="340"/>
              <w:rPr>
                <w:rFonts w:ascii="微软雅黑" w:hAnsi="微软雅黑" w:eastAsia="微软雅黑" w:cs="微软雅黑"/>
                <w:sz w:val="11"/>
                <w:szCs w:val="11"/>
              </w:rPr>
            </w:pPr>
            <w:r>
              <w:rPr>
                <w:rFonts w:ascii="微软雅黑" w:hAnsi="微软雅黑" w:eastAsia="微软雅黑" w:cs="微软雅黑"/>
                <w:b/>
                <w:bCs/>
                <w:spacing w:val="-2"/>
                <w:sz w:val="11"/>
                <w:szCs w:val="11"/>
              </w:rPr>
              <w:t>（目标）</w:t>
            </w:r>
          </w:p>
        </w:tc>
        <w:tc>
          <w:tcPr>
            <w:tcW w:w="1069" w:type="dxa"/>
            <w:shd w:val="clear" w:color="auto" w:fill="BFBFBF"/>
            <w:vAlign w:val="top"/>
          </w:tcPr>
          <w:p w14:paraId="19FE36DC">
            <w:pPr>
              <w:spacing w:before="78" w:line="187" w:lineRule="auto"/>
              <w:ind w:left="194"/>
              <w:rPr>
                <w:rFonts w:ascii="微软雅黑" w:hAnsi="微软雅黑" w:eastAsia="微软雅黑" w:cs="微软雅黑"/>
                <w:sz w:val="11"/>
                <w:szCs w:val="11"/>
              </w:rPr>
            </w:pPr>
            <w:r>
              <w:rPr>
                <w:rFonts w:ascii="微软雅黑" w:hAnsi="微软雅黑" w:eastAsia="微软雅黑" w:cs="微软雅黑"/>
                <w:b/>
                <w:bCs/>
                <w:spacing w:val="1"/>
                <w:sz w:val="11"/>
                <w:szCs w:val="11"/>
              </w:rPr>
              <w:t>工程影响情况</w:t>
            </w:r>
          </w:p>
        </w:tc>
        <w:tc>
          <w:tcPr>
            <w:tcW w:w="940" w:type="dxa"/>
            <w:shd w:val="clear" w:color="auto" w:fill="BFBFBF"/>
            <w:vAlign w:val="top"/>
          </w:tcPr>
          <w:p w14:paraId="5D6BC12F">
            <w:pPr>
              <w:spacing w:before="78" w:line="188" w:lineRule="auto"/>
              <w:ind w:left="248"/>
              <w:rPr>
                <w:rFonts w:ascii="微软雅黑" w:hAnsi="微软雅黑" w:eastAsia="微软雅黑" w:cs="微软雅黑"/>
                <w:sz w:val="11"/>
                <w:szCs w:val="11"/>
              </w:rPr>
            </w:pPr>
            <w:r>
              <w:rPr>
                <w:rFonts w:ascii="微软雅黑" w:hAnsi="微软雅黑" w:eastAsia="微软雅黑" w:cs="微软雅黑"/>
                <w:b/>
                <w:bCs/>
                <w:sz w:val="11"/>
                <w:szCs w:val="11"/>
              </w:rPr>
              <w:t>是否占用</w:t>
            </w:r>
          </w:p>
        </w:tc>
        <w:tc>
          <w:tcPr>
            <w:tcW w:w="873" w:type="dxa"/>
            <w:shd w:val="clear" w:color="auto" w:fill="BFBFBF"/>
            <w:vAlign w:val="top"/>
          </w:tcPr>
          <w:p w14:paraId="561BCCE3">
            <w:pPr>
              <w:spacing w:before="8" w:line="180" w:lineRule="auto"/>
              <w:ind w:left="223"/>
              <w:rPr>
                <w:rFonts w:ascii="微软雅黑" w:hAnsi="微软雅黑" w:eastAsia="微软雅黑" w:cs="微软雅黑"/>
                <w:sz w:val="11"/>
                <w:szCs w:val="11"/>
              </w:rPr>
            </w:pPr>
            <w:r>
              <w:rPr>
                <w:rFonts w:ascii="微软雅黑" w:hAnsi="微软雅黑" w:eastAsia="微软雅黑" w:cs="微软雅黑"/>
                <w:b/>
                <w:bCs/>
                <w:spacing w:val="-2"/>
                <w:sz w:val="11"/>
                <w:szCs w:val="11"/>
              </w:rPr>
              <w:t>占用面积</w:t>
            </w:r>
          </w:p>
          <w:p w14:paraId="4B35DF3B">
            <w:pPr>
              <w:spacing w:line="95" w:lineRule="exact"/>
              <w:ind w:left="221"/>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（公顷）</w:t>
            </w:r>
          </w:p>
        </w:tc>
        <w:tc>
          <w:tcPr>
            <w:tcW w:w="3866" w:type="dxa"/>
            <w:gridSpan w:val="5"/>
            <w:tcBorders>
              <w:right w:val="single" w:color="000000" w:sz="6" w:space="0"/>
            </w:tcBorders>
            <w:shd w:val="clear" w:color="auto" w:fill="BFBFBF"/>
            <w:vAlign w:val="top"/>
          </w:tcPr>
          <w:p w14:paraId="203EF489">
            <w:pPr>
              <w:spacing w:before="78" w:line="188" w:lineRule="auto"/>
              <w:ind w:left="1592"/>
              <w:rPr>
                <w:rFonts w:ascii="微软雅黑" w:hAnsi="微软雅黑" w:eastAsia="微软雅黑" w:cs="微软雅黑"/>
                <w:sz w:val="11"/>
                <w:szCs w:val="11"/>
              </w:rPr>
            </w:pPr>
            <w:r>
              <w:rPr>
                <w:rFonts w:ascii="微软雅黑" w:hAnsi="微软雅黑" w:eastAsia="微软雅黑" w:cs="微软雅黑"/>
                <w:b/>
                <w:bCs/>
                <w:spacing w:val="2"/>
                <w:sz w:val="11"/>
                <w:szCs w:val="11"/>
              </w:rPr>
              <w:t>生态防护措施</w:t>
            </w:r>
          </w:p>
        </w:tc>
      </w:tr>
      <w:tr w14:paraId="24DD033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1118" w:type="dxa"/>
            <w:gridSpan w:val="2"/>
            <w:vMerge w:val="continue"/>
            <w:tcBorders>
              <w:top w:val="nil"/>
              <w:left w:val="single" w:color="000000" w:sz="6" w:space="0"/>
              <w:bottom w:val="nil"/>
            </w:tcBorders>
            <w:vAlign w:val="top"/>
          </w:tcPr>
          <w:p w14:paraId="334D48F0">
            <w:pPr>
              <w:rPr>
                <w:rFonts w:ascii="Arial"/>
                <w:sz w:val="21"/>
              </w:rPr>
            </w:pPr>
          </w:p>
        </w:tc>
        <w:tc>
          <w:tcPr>
            <w:tcW w:w="2162" w:type="dxa"/>
            <w:gridSpan w:val="3"/>
            <w:shd w:val="clear" w:color="auto" w:fill="BFBFBF"/>
            <w:vAlign w:val="top"/>
          </w:tcPr>
          <w:p w14:paraId="6A42EA1C">
            <w:pPr>
              <w:spacing w:before="23" w:line="110" w:lineRule="exact"/>
              <w:ind w:left="732"/>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生态保护红线</w:t>
            </w:r>
          </w:p>
        </w:tc>
        <w:tc>
          <w:tcPr>
            <w:tcW w:w="2294" w:type="dxa"/>
            <w:gridSpan w:val="2"/>
            <w:vAlign w:val="top"/>
          </w:tcPr>
          <w:p w14:paraId="37259978">
            <w:pPr>
              <w:spacing w:before="23" w:line="110" w:lineRule="exact"/>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3D956A3F">
            <w:pPr>
              <w:spacing w:line="133" w:lineRule="exact"/>
              <w:rPr>
                <w:rFonts w:ascii="Arial"/>
                <w:sz w:val="11"/>
              </w:rPr>
            </w:pPr>
          </w:p>
        </w:tc>
        <w:tc>
          <w:tcPr>
            <w:tcW w:w="1120" w:type="dxa"/>
            <w:vAlign w:val="top"/>
          </w:tcPr>
          <w:p w14:paraId="1D2ECF18">
            <w:pPr>
              <w:spacing w:line="133" w:lineRule="exact"/>
              <w:rPr>
                <w:rFonts w:ascii="Arial"/>
                <w:sz w:val="11"/>
              </w:rPr>
            </w:pPr>
          </w:p>
        </w:tc>
        <w:tc>
          <w:tcPr>
            <w:tcW w:w="1069" w:type="dxa"/>
            <w:vAlign w:val="top"/>
          </w:tcPr>
          <w:p w14:paraId="313E3FCF">
            <w:pPr>
              <w:spacing w:line="133" w:lineRule="exact"/>
              <w:rPr>
                <w:rFonts w:ascii="Arial"/>
                <w:sz w:val="11"/>
              </w:rPr>
            </w:pPr>
          </w:p>
        </w:tc>
        <w:tc>
          <w:tcPr>
            <w:tcW w:w="940" w:type="dxa"/>
            <w:vAlign w:val="top"/>
          </w:tcPr>
          <w:p w14:paraId="115D86D1">
            <w:pPr>
              <w:spacing w:line="133" w:lineRule="exact"/>
              <w:rPr>
                <w:rFonts w:ascii="Arial"/>
                <w:sz w:val="11"/>
              </w:rPr>
            </w:pPr>
          </w:p>
        </w:tc>
        <w:tc>
          <w:tcPr>
            <w:tcW w:w="873" w:type="dxa"/>
            <w:vAlign w:val="top"/>
          </w:tcPr>
          <w:p w14:paraId="623A61D9">
            <w:pPr>
              <w:spacing w:line="133" w:lineRule="exact"/>
              <w:rPr>
                <w:rFonts w:ascii="Arial"/>
                <w:sz w:val="11"/>
              </w:rPr>
            </w:pPr>
          </w:p>
        </w:tc>
        <w:tc>
          <w:tcPr>
            <w:tcW w:w="3866" w:type="dxa"/>
            <w:gridSpan w:val="5"/>
            <w:tcBorders>
              <w:right w:val="single" w:color="000000" w:sz="6" w:space="0"/>
            </w:tcBorders>
            <w:vAlign w:val="top"/>
          </w:tcPr>
          <w:p w14:paraId="58A04F96">
            <w:pPr>
              <w:spacing w:before="23" w:line="110" w:lineRule="exact"/>
              <w:ind w:left="188"/>
              <w:rPr>
                <w:rFonts w:ascii="微软雅黑" w:hAnsi="微软雅黑" w:eastAsia="微软雅黑" w:cs="微软雅黑"/>
                <w:sz w:val="11"/>
                <w:szCs w:val="11"/>
              </w:rPr>
            </w:pPr>
            <w:r>
              <w:rPr>
                <w:rFonts w:ascii="微软雅黑" w:hAnsi="微软雅黑" w:eastAsia="微软雅黑" w:cs="微软雅黑"/>
                <w:b/>
                <w:bCs/>
                <w:spacing w:val="-1"/>
                <w:sz w:val="11"/>
                <w:szCs w:val="11"/>
              </w:rPr>
              <w:t>避让       减缓       补偿           重</w:t>
            </w:r>
            <w:r>
              <w:rPr>
                <w:rFonts w:ascii="微软雅黑" w:hAnsi="微软雅黑" w:eastAsia="微软雅黑" w:cs="微软雅黑"/>
                <w:b/>
                <w:bCs/>
                <w:spacing w:val="-1"/>
                <w:sz w:val="11"/>
                <w:szCs w:val="11"/>
                <w:shd w:val="clear" w:fill="FDFDFD"/>
              </w:rPr>
              <w:t xml:space="preserve">建 </w:t>
            </w:r>
            <w:r>
              <w:rPr>
                <w:rFonts w:ascii="微软雅黑" w:hAnsi="微软雅黑" w:eastAsia="微软雅黑" w:cs="微软雅黑"/>
                <w:b/>
                <w:bCs/>
                <w:spacing w:val="-1"/>
                <w:sz w:val="11"/>
                <w:szCs w:val="11"/>
              </w:rPr>
              <w:t>（多选）</w:t>
            </w:r>
          </w:p>
        </w:tc>
      </w:tr>
      <w:tr w14:paraId="52597D9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1118" w:type="dxa"/>
            <w:gridSpan w:val="2"/>
            <w:vMerge w:val="continue"/>
            <w:tcBorders>
              <w:top w:val="nil"/>
              <w:left w:val="single" w:color="000000" w:sz="6" w:space="0"/>
              <w:bottom w:val="nil"/>
            </w:tcBorders>
            <w:vAlign w:val="top"/>
          </w:tcPr>
          <w:p w14:paraId="249B4134">
            <w:pPr>
              <w:rPr>
                <w:rFonts w:ascii="Arial"/>
                <w:sz w:val="21"/>
              </w:rPr>
            </w:pPr>
          </w:p>
        </w:tc>
        <w:tc>
          <w:tcPr>
            <w:tcW w:w="2162" w:type="dxa"/>
            <w:gridSpan w:val="3"/>
            <w:shd w:val="clear" w:color="auto" w:fill="BFBFBF"/>
            <w:vAlign w:val="top"/>
          </w:tcPr>
          <w:p w14:paraId="48504618">
            <w:pPr>
              <w:spacing w:before="78" w:line="187" w:lineRule="auto"/>
              <w:ind w:left="805"/>
              <w:rPr>
                <w:rFonts w:ascii="微软雅黑" w:hAnsi="微软雅黑" w:eastAsia="微软雅黑" w:cs="微软雅黑"/>
                <w:sz w:val="11"/>
                <w:szCs w:val="11"/>
              </w:rPr>
            </w:pPr>
            <w:r>
              <w:rPr>
                <w:rFonts w:ascii="微软雅黑" w:hAnsi="微软雅黑" w:eastAsia="微软雅黑" w:cs="微软雅黑"/>
                <w:b/>
                <w:bCs/>
                <w:spacing w:val="-2"/>
                <w:sz w:val="11"/>
                <w:szCs w:val="11"/>
              </w:rPr>
              <w:t>自然保护区</w:t>
            </w:r>
          </w:p>
        </w:tc>
        <w:tc>
          <w:tcPr>
            <w:tcW w:w="2294" w:type="dxa"/>
            <w:gridSpan w:val="2"/>
            <w:vAlign w:val="top"/>
          </w:tcPr>
          <w:p w14:paraId="40C3C4D1">
            <w:pPr>
              <w:spacing w:before="78" w:line="183" w:lineRule="auto"/>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4B8B7648">
            <w:pPr>
              <w:rPr>
                <w:rFonts w:ascii="Arial"/>
                <w:sz w:val="21"/>
              </w:rPr>
            </w:pPr>
          </w:p>
        </w:tc>
        <w:tc>
          <w:tcPr>
            <w:tcW w:w="1120" w:type="dxa"/>
            <w:vAlign w:val="top"/>
          </w:tcPr>
          <w:p w14:paraId="24E80049">
            <w:pPr>
              <w:rPr>
                <w:rFonts w:ascii="Arial"/>
                <w:sz w:val="21"/>
              </w:rPr>
            </w:pPr>
          </w:p>
        </w:tc>
        <w:tc>
          <w:tcPr>
            <w:tcW w:w="1069" w:type="dxa"/>
            <w:vAlign w:val="top"/>
          </w:tcPr>
          <w:p w14:paraId="1C589F17">
            <w:pPr>
              <w:spacing w:before="8" w:line="118" w:lineRule="exact"/>
              <w:ind w:left="17" w:right="15"/>
              <w:rPr>
                <w:rFonts w:ascii="微软雅黑" w:hAnsi="微软雅黑" w:eastAsia="微软雅黑" w:cs="微软雅黑"/>
                <w:sz w:val="11"/>
                <w:szCs w:val="11"/>
              </w:rPr>
            </w:pPr>
            <w:r>
              <w:rPr>
                <w:rFonts w:ascii="微软雅黑" w:hAnsi="微软雅黑" w:eastAsia="微软雅黑" w:cs="微软雅黑"/>
                <w:b/>
                <w:bCs/>
                <w:spacing w:val="2"/>
                <w:sz w:val="11"/>
                <w:szCs w:val="11"/>
              </w:rPr>
              <w:t>核心区、缓冲区、实</w:t>
            </w:r>
            <w:r>
              <w:rPr>
                <w:rFonts w:ascii="微软雅黑" w:hAnsi="微软雅黑" w:eastAsia="微软雅黑" w:cs="微软雅黑"/>
                <w:b/>
                <w:bCs/>
                <w:spacing w:val="1"/>
                <w:sz w:val="11"/>
                <w:szCs w:val="11"/>
              </w:rPr>
              <w:t xml:space="preserve"> </w:t>
            </w:r>
            <w:r>
              <w:rPr>
                <w:rFonts w:ascii="微软雅黑" w:hAnsi="微软雅黑" w:eastAsia="微软雅黑" w:cs="微软雅黑"/>
                <w:b/>
                <w:bCs/>
                <w:spacing w:val="1"/>
                <w:position w:val="-1"/>
                <w:sz w:val="11"/>
                <w:szCs w:val="11"/>
              </w:rPr>
              <w:t>验区</w:t>
            </w:r>
          </w:p>
        </w:tc>
        <w:tc>
          <w:tcPr>
            <w:tcW w:w="940" w:type="dxa"/>
            <w:vAlign w:val="top"/>
          </w:tcPr>
          <w:p w14:paraId="2C400856">
            <w:pPr>
              <w:rPr>
                <w:rFonts w:ascii="Arial"/>
                <w:sz w:val="21"/>
              </w:rPr>
            </w:pPr>
          </w:p>
        </w:tc>
        <w:tc>
          <w:tcPr>
            <w:tcW w:w="873" w:type="dxa"/>
            <w:vAlign w:val="top"/>
          </w:tcPr>
          <w:p w14:paraId="221E3198">
            <w:pPr>
              <w:rPr>
                <w:rFonts w:ascii="Arial"/>
                <w:sz w:val="21"/>
              </w:rPr>
            </w:pPr>
          </w:p>
        </w:tc>
        <w:tc>
          <w:tcPr>
            <w:tcW w:w="3866" w:type="dxa"/>
            <w:gridSpan w:val="5"/>
            <w:tcBorders>
              <w:right w:val="single" w:color="000000" w:sz="6" w:space="0"/>
            </w:tcBorders>
            <w:vAlign w:val="top"/>
          </w:tcPr>
          <w:p w14:paraId="41D2E401">
            <w:pPr>
              <w:spacing w:before="78" w:line="183" w:lineRule="auto"/>
              <w:ind w:left="188"/>
              <w:rPr>
                <w:rFonts w:ascii="微软雅黑" w:hAnsi="微软雅黑" w:eastAsia="微软雅黑" w:cs="微软雅黑"/>
                <w:sz w:val="11"/>
                <w:szCs w:val="11"/>
              </w:rPr>
            </w:pPr>
            <w:r>
              <w:rPr>
                <w:rFonts w:ascii="微软雅黑" w:hAnsi="微软雅黑" w:eastAsia="微软雅黑" w:cs="微软雅黑"/>
                <w:b/>
                <w:bCs/>
                <w:sz w:val="11"/>
                <w:szCs w:val="11"/>
              </w:rPr>
              <w:t>避让</w:t>
            </w:r>
            <w:r>
              <w:rPr>
                <w:rFonts w:ascii="微软雅黑" w:hAnsi="微软雅黑" w:eastAsia="微软雅黑" w:cs="微软雅黑"/>
                <w:b/>
                <w:bCs/>
                <w:spacing w:val="1"/>
                <w:sz w:val="11"/>
                <w:szCs w:val="11"/>
              </w:rPr>
              <w:t xml:space="preserve">       </w:t>
            </w:r>
            <w:r>
              <w:rPr>
                <w:rFonts w:ascii="微软雅黑" w:hAnsi="微软雅黑" w:eastAsia="微软雅黑" w:cs="微软雅黑"/>
                <w:b/>
                <w:bCs/>
                <w:sz w:val="11"/>
                <w:szCs w:val="11"/>
              </w:rPr>
              <w:t>减缓       补偿</w:t>
            </w:r>
            <w:r>
              <w:rPr>
                <w:rFonts w:ascii="微软雅黑" w:hAnsi="微软雅黑" w:eastAsia="微软雅黑" w:cs="微软雅黑"/>
                <w:b/>
                <w:bCs/>
                <w:spacing w:val="2"/>
                <w:sz w:val="11"/>
                <w:szCs w:val="11"/>
              </w:rPr>
              <w:t xml:space="preserve">          </w:t>
            </w:r>
            <w:r>
              <w:rPr>
                <w:rFonts w:ascii="微软雅黑" w:hAnsi="微软雅黑" w:eastAsia="微软雅黑" w:cs="微软雅黑"/>
                <w:b/>
                <w:bCs/>
                <w:sz w:val="11"/>
                <w:szCs w:val="11"/>
              </w:rPr>
              <w:t>重建（多选）</w:t>
            </w:r>
          </w:p>
        </w:tc>
      </w:tr>
      <w:tr w14:paraId="26D7855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1118" w:type="dxa"/>
            <w:gridSpan w:val="2"/>
            <w:vMerge w:val="continue"/>
            <w:tcBorders>
              <w:top w:val="nil"/>
              <w:left w:val="single" w:color="000000" w:sz="6" w:space="0"/>
              <w:bottom w:val="nil"/>
            </w:tcBorders>
            <w:vAlign w:val="top"/>
          </w:tcPr>
          <w:p w14:paraId="64580EB0">
            <w:pPr>
              <w:rPr>
                <w:rFonts w:ascii="Arial"/>
                <w:sz w:val="21"/>
              </w:rPr>
            </w:pPr>
          </w:p>
        </w:tc>
        <w:tc>
          <w:tcPr>
            <w:tcW w:w="2162" w:type="dxa"/>
            <w:gridSpan w:val="3"/>
            <w:shd w:val="clear" w:color="auto" w:fill="BFBFBF"/>
            <w:vAlign w:val="top"/>
          </w:tcPr>
          <w:p w14:paraId="28EC681A">
            <w:pPr>
              <w:spacing w:before="78" w:line="183" w:lineRule="auto"/>
              <w:ind w:left="393"/>
              <w:rPr>
                <w:rFonts w:ascii="微软雅黑" w:hAnsi="微软雅黑" w:eastAsia="微软雅黑" w:cs="微软雅黑"/>
                <w:sz w:val="11"/>
                <w:szCs w:val="11"/>
              </w:rPr>
            </w:pPr>
            <w:r>
              <w:rPr>
                <w:rFonts w:ascii="微软雅黑" w:hAnsi="微软雅黑" w:eastAsia="微软雅黑" w:cs="微软雅黑"/>
                <w:b/>
                <w:bCs/>
                <w:spacing w:val="2"/>
                <w:sz w:val="11"/>
                <w:szCs w:val="11"/>
              </w:rPr>
              <w:t>饮用水水源保护区（地表）</w:t>
            </w:r>
          </w:p>
        </w:tc>
        <w:tc>
          <w:tcPr>
            <w:tcW w:w="2294" w:type="dxa"/>
            <w:gridSpan w:val="2"/>
            <w:vAlign w:val="top"/>
          </w:tcPr>
          <w:p w14:paraId="008C43A9">
            <w:pPr>
              <w:spacing w:before="78" w:line="183" w:lineRule="auto"/>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4F3CA951">
            <w:pPr>
              <w:rPr>
                <w:rFonts w:ascii="Arial"/>
                <w:sz w:val="21"/>
              </w:rPr>
            </w:pPr>
          </w:p>
        </w:tc>
        <w:tc>
          <w:tcPr>
            <w:tcW w:w="1120" w:type="dxa"/>
            <w:vAlign w:val="top"/>
          </w:tcPr>
          <w:p w14:paraId="402E715F">
            <w:pPr>
              <w:spacing w:before="78" w:line="189" w:lineRule="auto"/>
              <w:ind w:left="528"/>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069" w:type="dxa"/>
            <w:vAlign w:val="top"/>
          </w:tcPr>
          <w:p w14:paraId="2FFE05C0">
            <w:pPr>
              <w:spacing w:before="9" w:line="118" w:lineRule="exact"/>
              <w:ind w:left="18" w:right="15" w:firstLine="1"/>
              <w:rPr>
                <w:rFonts w:ascii="微软雅黑" w:hAnsi="微软雅黑" w:eastAsia="微软雅黑" w:cs="微软雅黑"/>
                <w:sz w:val="11"/>
                <w:szCs w:val="11"/>
              </w:rPr>
            </w:pPr>
            <w:r>
              <w:rPr>
                <w:rFonts w:ascii="微软雅黑" w:hAnsi="微软雅黑" w:eastAsia="微软雅黑" w:cs="微软雅黑"/>
                <w:b/>
                <w:bCs/>
                <w:spacing w:val="2"/>
                <w:sz w:val="11"/>
                <w:szCs w:val="11"/>
              </w:rPr>
              <w:t>一级保护区、二级保</w:t>
            </w:r>
            <w:r>
              <w:rPr>
                <w:rFonts w:ascii="微软雅黑" w:hAnsi="微软雅黑" w:eastAsia="微软雅黑" w:cs="微软雅黑"/>
                <w:b/>
                <w:bCs/>
                <w:sz w:val="11"/>
                <w:szCs w:val="11"/>
              </w:rPr>
              <w:t xml:space="preserve"> </w:t>
            </w:r>
            <w:r>
              <w:rPr>
                <w:rFonts w:ascii="微软雅黑" w:hAnsi="微软雅黑" w:eastAsia="微软雅黑" w:cs="微软雅黑"/>
                <w:b/>
                <w:bCs/>
                <w:spacing w:val="2"/>
                <w:position w:val="-1"/>
                <w:sz w:val="11"/>
                <w:szCs w:val="11"/>
              </w:rPr>
              <w:t>护区、准保护区</w:t>
            </w:r>
          </w:p>
        </w:tc>
        <w:tc>
          <w:tcPr>
            <w:tcW w:w="940" w:type="dxa"/>
            <w:vAlign w:val="top"/>
          </w:tcPr>
          <w:p w14:paraId="57D99898">
            <w:pPr>
              <w:rPr>
                <w:rFonts w:ascii="Arial"/>
                <w:sz w:val="21"/>
              </w:rPr>
            </w:pPr>
          </w:p>
        </w:tc>
        <w:tc>
          <w:tcPr>
            <w:tcW w:w="873" w:type="dxa"/>
            <w:vAlign w:val="top"/>
          </w:tcPr>
          <w:p w14:paraId="0965399A">
            <w:pPr>
              <w:rPr>
                <w:rFonts w:ascii="Arial"/>
                <w:sz w:val="21"/>
              </w:rPr>
            </w:pPr>
          </w:p>
        </w:tc>
        <w:tc>
          <w:tcPr>
            <w:tcW w:w="3866" w:type="dxa"/>
            <w:gridSpan w:val="5"/>
            <w:tcBorders>
              <w:right w:val="single" w:color="000000" w:sz="6" w:space="0"/>
            </w:tcBorders>
            <w:vAlign w:val="top"/>
          </w:tcPr>
          <w:p w14:paraId="04C2392E">
            <w:pPr>
              <w:spacing w:before="78" w:line="183" w:lineRule="auto"/>
              <w:ind w:left="188"/>
              <w:rPr>
                <w:rFonts w:ascii="微软雅黑" w:hAnsi="微软雅黑" w:eastAsia="微软雅黑" w:cs="微软雅黑"/>
                <w:sz w:val="11"/>
                <w:szCs w:val="11"/>
              </w:rPr>
            </w:pPr>
            <w:r>
              <w:rPr>
                <w:rFonts w:ascii="微软雅黑" w:hAnsi="微软雅黑" w:eastAsia="微软雅黑" w:cs="微软雅黑"/>
                <w:b/>
                <w:bCs/>
                <w:spacing w:val="1"/>
                <w:sz w:val="11"/>
                <w:szCs w:val="11"/>
              </w:rPr>
              <w:t>避让</w:t>
            </w:r>
            <w:r>
              <w:rPr>
                <w:rFonts w:ascii="微软雅黑" w:hAnsi="微软雅黑" w:eastAsia="微软雅黑" w:cs="微软雅黑"/>
                <w:b/>
                <w:bCs/>
                <w:spacing w:val="3"/>
                <w:sz w:val="11"/>
                <w:szCs w:val="11"/>
              </w:rPr>
              <w:t xml:space="preserve">        </w:t>
            </w:r>
            <w:r>
              <w:rPr>
                <w:rFonts w:ascii="微软雅黑" w:hAnsi="微软雅黑" w:eastAsia="微软雅黑" w:cs="微软雅黑"/>
                <w:b/>
                <w:bCs/>
                <w:spacing w:val="1"/>
                <w:sz w:val="11"/>
                <w:szCs w:val="11"/>
              </w:rPr>
              <w:t>减缓     补偿</w:t>
            </w:r>
            <w:r>
              <w:rPr>
                <w:rFonts w:ascii="微软雅黑" w:hAnsi="微软雅黑" w:eastAsia="微软雅黑" w:cs="微软雅黑"/>
                <w:b/>
                <w:bCs/>
                <w:spacing w:val="2"/>
                <w:sz w:val="11"/>
                <w:szCs w:val="11"/>
              </w:rPr>
              <w:t xml:space="preserve">          </w:t>
            </w:r>
            <w:r>
              <w:rPr>
                <w:rFonts w:ascii="微软雅黑" w:hAnsi="微软雅黑" w:eastAsia="微软雅黑" w:cs="微软雅黑"/>
                <w:b/>
                <w:bCs/>
                <w:spacing w:val="1"/>
                <w:sz w:val="11"/>
                <w:szCs w:val="11"/>
              </w:rPr>
              <w:t>重建（多选）</w:t>
            </w:r>
          </w:p>
        </w:tc>
      </w:tr>
      <w:tr w14:paraId="3431B3C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1118" w:type="dxa"/>
            <w:gridSpan w:val="2"/>
            <w:vMerge w:val="continue"/>
            <w:tcBorders>
              <w:top w:val="nil"/>
              <w:left w:val="single" w:color="000000" w:sz="6" w:space="0"/>
              <w:bottom w:val="nil"/>
            </w:tcBorders>
            <w:vAlign w:val="top"/>
          </w:tcPr>
          <w:p w14:paraId="529ACEDA">
            <w:pPr>
              <w:rPr>
                <w:rFonts w:ascii="Arial"/>
                <w:sz w:val="21"/>
              </w:rPr>
            </w:pPr>
          </w:p>
        </w:tc>
        <w:tc>
          <w:tcPr>
            <w:tcW w:w="2162" w:type="dxa"/>
            <w:gridSpan w:val="3"/>
            <w:shd w:val="clear" w:color="auto" w:fill="BFBFBF"/>
            <w:vAlign w:val="top"/>
          </w:tcPr>
          <w:p w14:paraId="5233D7CA">
            <w:pPr>
              <w:spacing w:before="79" w:line="183" w:lineRule="auto"/>
              <w:ind w:left="393"/>
              <w:rPr>
                <w:rFonts w:ascii="微软雅黑" w:hAnsi="微软雅黑" w:eastAsia="微软雅黑" w:cs="微软雅黑"/>
                <w:sz w:val="11"/>
                <w:szCs w:val="11"/>
              </w:rPr>
            </w:pPr>
            <w:r>
              <w:rPr>
                <w:rFonts w:ascii="微软雅黑" w:hAnsi="微软雅黑" w:eastAsia="微软雅黑" w:cs="微软雅黑"/>
                <w:b/>
                <w:bCs/>
                <w:spacing w:val="2"/>
                <w:sz w:val="11"/>
                <w:szCs w:val="11"/>
              </w:rPr>
              <w:t>饮用水水源保护区（地下）</w:t>
            </w:r>
          </w:p>
        </w:tc>
        <w:tc>
          <w:tcPr>
            <w:tcW w:w="2294" w:type="dxa"/>
            <w:gridSpan w:val="2"/>
            <w:vAlign w:val="top"/>
          </w:tcPr>
          <w:p w14:paraId="432A5AAE">
            <w:pPr>
              <w:spacing w:before="79" w:line="183" w:lineRule="auto"/>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4BF81FFC">
            <w:pPr>
              <w:rPr>
                <w:rFonts w:ascii="Arial"/>
                <w:sz w:val="21"/>
              </w:rPr>
            </w:pPr>
          </w:p>
        </w:tc>
        <w:tc>
          <w:tcPr>
            <w:tcW w:w="1120" w:type="dxa"/>
            <w:vAlign w:val="top"/>
          </w:tcPr>
          <w:p w14:paraId="778A50C1">
            <w:pPr>
              <w:spacing w:before="79" w:line="189" w:lineRule="auto"/>
              <w:ind w:left="528"/>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069" w:type="dxa"/>
            <w:vAlign w:val="top"/>
          </w:tcPr>
          <w:p w14:paraId="3D892376">
            <w:pPr>
              <w:spacing w:before="9" w:line="118" w:lineRule="exact"/>
              <w:ind w:left="18" w:right="15" w:firstLine="1"/>
              <w:rPr>
                <w:rFonts w:ascii="微软雅黑" w:hAnsi="微软雅黑" w:eastAsia="微软雅黑" w:cs="微软雅黑"/>
                <w:sz w:val="11"/>
                <w:szCs w:val="11"/>
              </w:rPr>
            </w:pPr>
            <w:r>
              <w:rPr>
                <w:rFonts w:ascii="微软雅黑" w:hAnsi="微软雅黑" w:eastAsia="微软雅黑" w:cs="微软雅黑"/>
                <w:b/>
                <w:bCs/>
                <w:spacing w:val="2"/>
                <w:sz w:val="11"/>
                <w:szCs w:val="11"/>
              </w:rPr>
              <w:t>一级保护区、二级保</w:t>
            </w:r>
            <w:r>
              <w:rPr>
                <w:rFonts w:ascii="微软雅黑" w:hAnsi="微软雅黑" w:eastAsia="微软雅黑" w:cs="微软雅黑"/>
                <w:b/>
                <w:bCs/>
                <w:sz w:val="11"/>
                <w:szCs w:val="11"/>
              </w:rPr>
              <w:t xml:space="preserve"> </w:t>
            </w:r>
            <w:r>
              <w:rPr>
                <w:rFonts w:ascii="微软雅黑" w:hAnsi="微软雅黑" w:eastAsia="微软雅黑" w:cs="微软雅黑"/>
                <w:b/>
                <w:bCs/>
                <w:spacing w:val="2"/>
                <w:position w:val="-1"/>
                <w:sz w:val="11"/>
                <w:szCs w:val="11"/>
              </w:rPr>
              <w:t>护区、准保护区</w:t>
            </w:r>
          </w:p>
        </w:tc>
        <w:tc>
          <w:tcPr>
            <w:tcW w:w="940" w:type="dxa"/>
            <w:vAlign w:val="top"/>
          </w:tcPr>
          <w:p w14:paraId="4DDAB28E">
            <w:pPr>
              <w:rPr>
                <w:rFonts w:ascii="Arial"/>
                <w:sz w:val="21"/>
              </w:rPr>
            </w:pPr>
          </w:p>
        </w:tc>
        <w:tc>
          <w:tcPr>
            <w:tcW w:w="873" w:type="dxa"/>
            <w:vAlign w:val="top"/>
          </w:tcPr>
          <w:p w14:paraId="77783C41">
            <w:pPr>
              <w:rPr>
                <w:rFonts w:ascii="Arial"/>
                <w:sz w:val="21"/>
              </w:rPr>
            </w:pPr>
          </w:p>
        </w:tc>
        <w:tc>
          <w:tcPr>
            <w:tcW w:w="3866" w:type="dxa"/>
            <w:gridSpan w:val="5"/>
            <w:tcBorders>
              <w:right w:val="single" w:color="000000" w:sz="6" w:space="0"/>
            </w:tcBorders>
            <w:vAlign w:val="top"/>
          </w:tcPr>
          <w:p w14:paraId="0E428AFB">
            <w:pPr>
              <w:spacing w:before="79" w:line="183" w:lineRule="auto"/>
              <w:ind w:left="188"/>
              <w:rPr>
                <w:rFonts w:ascii="微软雅黑" w:hAnsi="微软雅黑" w:eastAsia="微软雅黑" w:cs="微软雅黑"/>
                <w:sz w:val="11"/>
                <w:szCs w:val="11"/>
              </w:rPr>
            </w:pPr>
            <w:r>
              <w:rPr>
                <w:rFonts w:ascii="微软雅黑" w:hAnsi="微软雅黑" w:eastAsia="微软雅黑" w:cs="微软雅黑"/>
                <w:b/>
                <w:bCs/>
                <w:spacing w:val="1"/>
                <w:sz w:val="11"/>
                <w:szCs w:val="11"/>
              </w:rPr>
              <w:t>避让</w:t>
            </w:r>
            <w:r>
              <w:rPr>
                <w:rFonts w:ascii="微软雅黑" w:hAnsi="微软雅黑" w:eastAsia="微软雅黑" w:cs="微软雅黑"/>
                <w:b/>
                <w:bCs/>
                <w:spacing w:val="3"/>
                <w:sz w:val="11"/>
                <w:szCs w:val="11"/>
              </w:rPr>
              <w:t xml:space="preserve">        </w:t>
            </w:r>
            <w:r>
              <w:rPr>
                <w:rFonts w:ascii="微软雅黑" w:hAnsi="微软雅黑" w:eastAsia="微软雅黑" w:cs="微软雅黑"/>
                <w:b/>
                <w:bCs/>
                <w:spacing w:val="1"/>
                <w:sz w:val="11"/>
                <w:szCs w:val="11"/>
              </w:rPr>
              <w:t>减缓     补偿</w:t>
            </w:r>
            <w:r>
              <w:rPr>
                <w:rFonts w:ascii="微软雅黑" w:hAnsi="微软雅黑" w:eastAsia="微软雅黑" w:cs="微软雅黑"/>
                <w:b/>
                <w:bCs/>
                <w:spacing w:val="2"/>
                <w:sz w:val="11"/>
                <w:szCs w:val="11"/>
              </w:rPr>
              <w:t xml:space="preserve">          </w:t>
            </w:r>
            <w:r>
              <w:rPr>
                <w:rFonts w:ascii="微软雅黑" w:hAnsi="微软雅黑" w:eastAsia="微软雅黑" w:cs="微软雅黑"/>
                <w:b/>
                <w:bCs/>
                <w:spacing w:val="1"/>
                <w:sz w:val="11"/>
                <w:szCs w:val="11"/>
              </w:rPr>
              <w:t>重建（多选）</w:t>
            </w:r>
          </w:p>
        </w:tc>
      </w:tr>
      <w:tr w14:paraId="333CFE2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1118" w:type="dxa"/>
            <w:gridSpan w:val="2"/>
            <w:vMerge w:val="continue"/>
            <w:tcBorders>
              <w:top w:val="nil"/>
              <w:left w:val="single" w:color="000000" w:sz="6" w:space="0"/>
              <w:bottom w:val="nil"/>
            </w:tcBorders>
            <w:vAlign w:val="top"/>
          </w:tcPr>
          <w:p w14:paraId="685219E4">
            <w:pPr>
              <w:rPr>
                <w:rFonts w:ascii="Arial"/>
                <w:sz w:val="21"/>
              </w:rPr>
            </w:pPr>
          </w:p>
        </w:tc>
        <w:tc>
          <w:tcPr>
            <w:tcW w:w="2162" w:type="dxa"/>
            <w:gridSpan w:val="3"/>
            <w:shd w:val="clear" w:color="auto" w:fill="BFBFBF"/>
            <w:vAlign w:val="top"/>
          </w:tcPr>
          <w:p w14:paraId="34CB2E62">
            <w:pPr>
              <w:spacing w:before="24" w:line="109" w:lineRule="exact"/>
              <w:ind w:left="791"/>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风景名胜区</w:t>
            </w:r>
          </w:p>
        </w:tc>
        <w:tc>
          <w:tcPr>
            <w:tcW w:w="2294" w:type="dxa"/>
            <w:gridSpan w:val="2"/>
            <w:vAlign w:val="top"/>
          </w:tcPr>
          <w:p w14:paraId="06723787">
            <w:pPr>
              <w:spacing w:before="24" w:line="109" w:lineRule="exact"/>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05FE78EC">
            <w:pPr>
              <w:spacing w:line="133" w:lineRule="exact"/>
              <w:rPr>
                <w:rFonts w:ascii="Arial"/>
                <w:sz w:val="11"/>
              </w:rPr>
            </w:pPr>
          </w:p>
        </w:tc>
        <w:tc>
          <w:tcPr>
            <w:tcW w:w="1120" w:type="dxa"/>
            <w:vAlign w:val="top"/>
          </w:tcPr>
          <w:p w14:paraId="6C5BDE5D">
            <w:pPr>
              <w:spacing w:before="24" w:line="109" w:lineRule="exact"/>
              <w:ind w:left="528"/>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069" w:type="dxa"/>
            <w:vAlign w:val="top"/>
          </w:tcPr>
          <w:p w14:paraId="7F689B4D">
            <w:pPr>
              <w:spacing w:before="24" w:line="109" w:lineRule="exact"/>
              <w:ind w:left="17"/>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核心景区、一般景区</w:t>
            </w:r>
          </w:p>
        </w:tc>
        <w:tc>
          <w:tcPr>
            <w:tcW w:w="940" w:type="dxa"/>
            <w:vAlign w:val="top"/>
          </w:tcPr>
          <w:p w14:paraId="3448443F">
            <w:pPr>
              <w:spacing w:line="133" w:lineRule="exact"/>
              <w:rPr>
                <w:rFonts w:ascii="Arial"/>
                <w:sz w:val="11"/>
              </w:rPr>
            </w:pPr>
          </w:p>
        </w:tc>
        <w:tc>
          <w:tcPr>
            <w:tcW w:w="873" w:type="dxa"/>
            <w:vAlign w:val="top"/>
          </w:tcPr>
          <w:p w14:paraId="47F5F0CE">
            <w:pPr>
              <w:spacing w:line="133" w:lineRule="exact"/>
              <w:rPr>
                <w:rFonts w:ascii="Arial"/>
                <w:sz w:val="11"/>
              </w:rPr>
            </w:pPr>
          </w:p>
        </w:tc>
        <w:tc>
          <w:tcPr>
            <w:tcW w:w="3866" w:type="dxa"/>
            <w:gridSpan w:val="5"/>
            <w:tcBorders>
              <w:right w:val="single" w:color="000000" w:sz="6" w:space="0"/>
            </w:tcBorders>
            <w:vAlign w:val="top"/>
          </w:tcPr>
          <w:p w14:paraId="29C9E4D1">
            <w:pPr>
              <w:spacing w:before="24" w:line="109" w:lineRule="exact"/>
              <w:ind w:left="188"/>
              <w:rPr>
                <w:rFonts w:ascii="微软雅黑" w:hAnsi="微软雅黑" w:eastAsia="微软雅黑" w:cs="微软雅黑"/>
                <w:sz w:val="11"/>
                <w:szCs w:val="11"/>
              </w:rPr>
            </w:pPr>
            <w:r>
              <w:drawing>
                <wp:anchor distT="0" distB="0" distL="0" distR="0" simplePos="0" relativeHeight="251763712" behindDoc="0" locked="0" layoutInCell="1" allowOverlap="1">
                  <wp:simplePos x="0" y="0"/>
                  <wp:positionH relativeFrom="column">
                    <wp:posOffset>577215</wp:posOffset>
                  </wp:positionH>
                  <wp:positionV relativeFrom="paragraph">
                    <wp:posOffset>3175</wp:posOffset>
                  </wp:positionV>
                  <wp:extent cx="932815" cy="6985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548"/>
                          <a:stretch>
                            <a:fillRect/>
                          </a:stretch>
                        </pic:blipFill>
                        <pic:spPr>
                          <a:xfrm>
                            <a:off x="0" y="0"/>
                            <a:ext cx="932688" cy="70104"/>
                          </a:xfrm>
                          <a:prstGeom prst="rect">
                            <a:avLst/>
                          </a:prstGeom>
                        </pic:spPr>
                      </pic:pic>
                    </a:graphicData>
                  </a:graphic>
                </wp:anchor>
              </w:drawing>
            </w:r>
            <w:r>
              <w:rPr>
                <w:rFonts w:ascii="微软雅黑" w:hAnsi="微软雅黑" w:eastAsia="微软雅黑" w:cs="微软雅黑"/>
                <w:b/>
                <w:bCs/>
                <w:spacing w:val="1"/>
                <w:position w:val="-1"/>
                <w:sz w:val="11"/>
                <w:szCs w:val="11"/>
              </w:rPr>
              <w:t>避让</w:t>
            </w:r>
            <w:r>
              <w:rPr>
                <w:rFonts w:ascii="微软雅黑" w:hAnsi="微软雅黑" w:eastAsia="微软雅黑" w:cs="微软雅黑"/>
                <w:b/>
                <w:bCs/>
                <w:spacing w:val="3"/>
                <w:position w:val="-1"/>
                <w:sz w:val="11"/>
                <w:szCs w:val="11"/>
              </w:rPr>
              <w:t xml:space="preserve">        </w:t>
            </w:r>
            <w:r>
              <w:rPr>
                <w:rFonts w:ascii="微软雅黑" w:hAnsi="微软雅黑" w:eastAsia="微软雅黑" w:cs="微软雅黑"/>
                <w:b/>
                <w:bCs/>
                <w:spacing w:val="1"/>
                <w:position w:val="-1"/>
                <w:sz w:val="11"/>
                <w:szCs w:val="11"/>
              </w:rPr>
              <w:t>减缓     补偿</w:t>
            </w:r>
            <w:r>
              <w:rPr>
                <w:rFonts w:ascii="微软雅黑" w:hAnsi="微软雅黑" w:eastAsia="微软雅黑" w:cs="微软雅黑"/>
                <w:b/>
                <w:bCs/>
                <w:spacing w:val="2"/>
                <w:position w:val="-1"/>
                <w:sz w:val="11"/>
                <w:szCs w:val="11"/>
              </w:rPr>
              <w:t xml:space="preserve">          </w:t>
            </w:r>
            <w:r>
              <w:rPr>
                <w:rFonts w:ascii="微软雅黑" w:hAnsi="微软雅黑" w:eastAsia="微软雅黑" w:cs="微软雅黑"/>
                <w:b/>
                <w:bCs/>
                <w:spacing w:val="1"/>
                <w:position w:val="-1"/>
                <w:sz w:val="11"/>
                <w:szCs w:val="11"/>
              </w:rPr>
              <w:t>重建（多选）</w:t>
            </w:r>
          </w:p>
        </w:tc>
      </w:tr>
      <w:tr w14:paraId="0DF552F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1118" w:type="dxa"/>
            <w:gridSpan w:val="2"/>
            <w:vMerge w:val="continue"/>
            <w:tcBorders>
              <w:top w:val="nil"/>
              <w:left w:val="single" w:color="000000" w:sz="6" w:space="0"/>
            </w:tcBorders>
            <w:vAlign w:val="top"/>
          </w:tcPr>
          <w:p w14:paraId="4A5FE83B">
            <w:pPr>
              <w:rPr>
                <w:rFonts w:ascii="Arial"/>
                <w:sz w:val="21"/>
              </w:rPr>
            </w:pPr>
          </w:p>
        </w:tc>
        <w:tc>
          <w:tcPr>
            <w:tcW w:w="2162" w:type="dxa"/>
            <w:gridSpan w:val="3"/>
            <w:shd w:val="clear" w:color="auto" w:fill="BFBFBF"/>
            <w:vAlign w:val="top"/>
          </w:tcPr>
          <w:p w14:paraId="133E4653">
            <w:pPr>
              <w:spacing w:before="24" w:line="109" w:lineRule="exact"/>
              <w:ind w:left="960"/>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其他</w:t>
            </w:r>
          </w:p>
        </w:tc>
        <w:tc>
          <w:tcPr>
            <w:tcW w:w="2294" w:type="dxa"/>
            <w:gridSpan w:val="2"/>
            <w:vAlign w:val="top"/>
          </w:tcPr>
          <w:p w14:paraId="27AB3FC8">
            <w:pPr>
              <w:spacing w:before="24" w:line="109" w:lineRule="exact"/>
              <w:ind w:left="869"/>
              <w:rPr>
                <w:rFonts w:ascii="微软雅黑" w:hAnsi="微软雅黑" w:eastAsia="微软雅黑" w:cs="微软雅黑"/>
                <w:sz w:val="11"/>
                <w:szCs w:val="11"/>
              </w:rPr>
            </w:pPr>
            <w:r>
              <w:rPr>
                <w:rFonts w:ascii="微软雅黑" w:hAnsi="微软雅黑" w:eastAsia="微软雅黑" w:cs="微软雅黑"/>
                <w:b/>
                <w:bCs/>
                <w:spacing w:val="-1"/>
                <w:sz w:val="11"/>
                <w:szCs w:val="11"/>
              </w:rPr>
              <w:t>（可增行）</w:t>
            </w:r>
          </w:p>
        </w:tc>
        <w:tc>
          <w:tcPr>
            <w:tcW w:w="983" w:type="dxa"/>
            <w:vAlign w:val="top"/>
          </w:tcPr>
          <w:p w14:paraId="22C4337A">
            <w:pPr>
              <w:spacing w:line="133" w:lineRule="exact"/>
              <w:rPr>
                <w:rFonts w:ascii="Arial"/>
                <w:sz w:val="11"/>
              </w:rPr>
            </w:pPr>
          </w:p>
        </w:tc>
        <w:tc>
          <w:tcPr>
            <w:tcW w:w="1120" w:type="dxa"/>
            <w:vAlign w:val="top"/>
          </w:tcPr>
          <w:p w14:paraId="185BA5F4">
            <w:pPr>
              <w:spacing w:line="133" w:lineRule="exact"/>
              <w:rPr>
                <w:rFonts w:ascii="Arial"/>
                <w:sz w:val="11"/>
              </w:rPr>
            </w:pPr>
          </w:p>
        </w:tc>
        <w:tc>
          <w:tcPr>
            <w:tcW w:w="1069" w:type="dxa"/>
            <w:vAlign w:val="top"/>
          </w:tcPr>
          <w:p w14:paraId="3B3B4528">
            <w:pPr>
              <w:spacing w:line="133" w:lineRule="exact"/>
              <w:rPr>
                <w:rFonts w:ascii="Arial"/>
                <w:sz w:val="11"/>
              </w:rPr>
            </w:pPr>
          </w:p>
        </w:tc>
        <w:tc>
          <w:tcPr>
            <w:tcW w:w="940" w:type="dxa"/>
            <w:vAlign w:val="top"/>
          </w:tcPr>
          <w:p w14:paraId="2AABA6BC">
            <w:pPr>
              <w:spacing w:line="133" w:lineRule="exact"/>
              <w:rPr>
                <w:rFonts w:ascii="Arial"/>
                <w:sz w:val="11"/>
              </w:rPr>
            </w:pPr>
          </w:p>
        </w:tc>
        <w:tc>
          <w:tcPr>
            <w:tcW w:w="873" w:type="dxa"/>
            <w:vAlign w:val="top"/>
          </w:tcPr>
          <w:p w14:paraId="6467A290">
            <w:pPr>
              <w:spacing w:line="133" w:lineRule="exact"/>
              <w:rPr>
                <w:rFonts w:ascii="Arial"/>
                <w:sz w:val="11"/>
              </w:rPr>
            </w:pPr>
          </w:p>
        </w:tc>
        <w:tc>
          <w:tcPr>
            <w:tcW w:w="3866" w:type="dxa"/>
            <w:gridSpan w:val="5"/>
            <w:tcBorders>
              <w:right w:val="single" w:color="000000" w:sz="6" w:space="0"/>
            </w:tcBorders>
            <w:vAlign w:val="top"/>
          </w:tcPr>
          <w:p w14:paraId="0B467290">
            <w:pPr>
              <w:spacing w:before="24" w:line="109" w:lineRule="exact"/>
              <w:ind w:left="188"/>
              <w:rPr>
                <w:rFonts w:ascii="微软雅黑" w:hAnsi="微软雅黑" w:eastAsia="微软雅黑" w:cs="微软雅黑"/>
                <w:sz w:val="11"/>
                <w:szCs w:val="11"/>
              </w:rPr>
            </w:pPr>
            <w:r>
              <w:drawing>
                <wp:anchor distT="0" distB="0" distL="0" distR="0" simplePos="0" relativeHeight="251762688" behindDoc="0" locked="0" layoutInCell="1" allowOverlap="1">
                  <wp:simplePos x="0" y="0"/>
                  <wp:positionH relativeFrom="column">
                    <wp:posOffset>577215</wp:posOffset>
                  </wp:positionH>
                  <wp:positionV relativeFrom="paragraph">
                    <wp:posOffset>3175</wp:posOffset>
                  </wp:positionV>
                  <wp:extent cx="932815" cy="6985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548"/>
                          <a:stretch>
                            <a:fillRect/>
                          </a:stretch>
                        </pic:blipFill>
                        <pic:spPr>
                          <a:xfrm>
                            <a:off x="0" y="0"/>
                            <a:ext cx="932688" cy="70103"/>
                          </a:xfrm>
                          <a:prstGeom prst="rect">
                            <a:avLst/>
                          </a:prstGeom>
                        </pic:spPr>
                      </pic:pic>
                    </a:graphicData>
                  </a:graphic>
                </wp:anchor>
              </w:drawing>
            </w:r>
            <w:r>
              <w:rPr>
                <w:rFonts w:ascii="微软雅黑" w:hAnsi="微软雅黑" w:eastAsia="微软雅黑" w:cs="微软雅黑"/>
                <w:b/>
                <w:bCs/>
                <w:spacing w:val="1"/>
                <w:position w:val="-1"/>
                <w:sz w:val="11"/>
                <w:szCs w:val="11"/>
              </w:rPr>
              <w:t>避让</w:t>
            </w:r>
            <w:r>
              <w:rPr>
                <w:rFonts w:ascii="微软雅黑" w:hAnsi="微软雅黑" w:eastAsia="微软雅黑" w:cs="微软雅黑"/>
                <w:b/>
                <w:bCs/>
                <w:spacing w:val="3"/>
                <w:position w:val="-1"/>
                <w:sz w:val="11"/>
                <w:szCs w:val="11"/>
              </w:rPr>
              <w:t xml:space="preserve">        </w:t>
            </w:r>
            <w:r>
              <w:rPr>
                <w:rFonts w:ascii="微软雅黑" w:hAnsi="微软雅黑" w:eastAsia="微软雅黑" w:cs="微软雅黑"/>
                <w:b/>
                <w:bCs/>
                <w:spacing w:val="1"/>
                <w:position w:val="-1"/>
                <w:sz w:val="11"/>
                <w:szCs w:val="11"/>
              </w:rPr>
              <w:t>减缓     补偿</w:t>
            </w:r>
            <w:r>
              <w:rPr>
                <w:rFonts w:ascii="微软雅黑" w:hAnsi="微软雅黑" w:eastAsia="微软雅黑" w:cs="微软雅黑"/>
                <w:b/>
                <w:bCs/>
                <w:spacing w:val="2"/>
                <w:position w:val="-1"/>
                <w:sz w:val="11"/>
                <w:szCs w:val="11"/>
              </w:rPr>
              <w:t xml:space="preserve">          </w:t>
            </w:r>
            <w:r>
              <w:rPr>
                <w:rFonts w:ascii="微软雅黑" w:hAnsi="微软雅黑" w:eastAsia="微软雅黑" w:cs="微软雅黑"/>
                <w:b/>
                <w:bCs/>
                <w:spacing w:val="1"/>
                <w:position w:val="-1"/>
                <w:sz w:val="11"/>
                <w:szCs w:val="11"/>
              </w:rPr>
              <w:t>重建（多选）</w:t>
            </w:r>
          </w:p>
        </w:tc>
      </w:tr>
      <w:tr w14:paraId="2B1C7EC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4" w:hRule="atLeast"/>
        </w:trPr>
        <w:tc>
          <w:tcPr>
            <w:tcW w:w="1118" w:type="dxa"/>
            <w:gridSpan w:val="2"/>
            <w:vMerge w:val="restart"/>
            <w:tcBorders>
              <w:left w:val="single" w:color="000000" w:sz="6" w:space="0"/>
              <w:bottom w:val="nil"/>
            </w:tcBorders>
            <w:shd w:val="clear" w:color="auto" w:fill="BFBFBF"/>
            <w:vAlign w:val="top"/>
          </w:tcPr>
          <w:p w14:paraId="3E5C8282">
            <w:pPr>
              <w:spacing w:line="248" w:lineRule="auto"/>
              <w:rPr>
                <w:rFonts w:ascii="Arial"/>
                <w:sz w:val="21"/>
              </w:rPr>
            </w:pPr>
          </w:p>
          <w:p w14:paraId="1D6887DA">
            <w:pPr>
              <w:spacing w:line="248" w:lineRule="auto"/>
              <w:rPr>
                <w:rFonts w:ascii="Arial"/>
                <w:sz w:val="21"/>
              </w:rPr>
            </w:pPr>
          </w:p>
          <w:p w14:paraId="3CA205E4">
            <w:pPr>
              <w:spacing w:line="248" w:lineRule="auto"/>
              <w:rPr>
                <w:rFonts w:ascii="Arial"/>
                <w:sz w:val="21"/>
              </w:rPr>
            </w:pPr>
          </w:p>
          <w:p w14:paraId="28E309CF">
            <w:pPr>
              <w:spacing w:before="55" w:line="181" w:lineRule="auto"/>
              <w:ind w:left="81"/>
              <w:rPr>
                <w:rFonts w:ascii="微软雅黑" w:hAnsi="微软雅黑" w:eastAsia="微软雅黑" w:cs="微软雅黑"/>
                <w:sz w:val="13"/>
                <w:szCs w:val="13"/>
              </w:rPr>
            </w:pPr>
            <w:r>
              <w:rPr>
                <w:rFonts w:ascii="微软雅黑" w:hAnsi="微软雅黑" w:eastAsia="微软雅黑" w:cs="微软雅黑"/>
                <w:b/>
                <w:bCs/>
                <w:spacing w:val="6"/>
                <w:sz w:val="13"/>
                <w:szCs w:val="13"/>
              </w:rPr>
              <w:t>主要原料及燃料</w:t>
            </w:r>
          </w:p>
          <w:p w14:paraId="5424F535">
            <w:pPr>
              <w:spacing w:line="192" w:lineRule="auto"/>
              <w:ind w:left="420"/>
              <w:rPr>
                <w:rFonts w:ascii="微软雅黑" w:hAnsi="微软雅黑" w:eastAsia="微软雅黑" w:cs="微软雅黑"/>
                <w:sz w:val="13"/>
                <w:szCs w:val="13"/>
              </w:rPr>
            </w:pPr>
            <w:r>
              <w:rPr>
                <w:rFonts w:ascii="微软雅黑" w:hAnsi="微软雅黑" w:eastAsia="微软雅黑" w:cs="微软雅黑"/>
                <w:b/>
                <w:bCs/>
                <w:spacing w:val="3"/>
                <w:sz w:val="13"/>
                <w:szCs w:val="13"/>
              </w:rPr>
              <w:t>信息</w:t>
            </w:r>
          </w:p>
        </w:tc>
        <w:tc>
          <w:tcPr>
            <w:tcW w:w="8568" w:type="dxa"/>
            <w:gridSpan w:val="9"/>
            <w:shd w:val="clear" w:color="auto" w:fill="BFBFBF"/>
            <w:vAlign w:val="top"/>
          </w:tcPr>
          <w:p w14:paraId="2CB28246">
            <w:pPr>
              <w:spacing w:before="9" w:line="95" w:lineRule="exact"/>
              <w:ind w:left="4056"/>
              <w:rPr>
                <w:rFonts w:ascii="微软雅黑" w:hAnsi="微软雅黑" w:eastAsia="微软雅黑" w:cs="微软雅黑"/>
                <w:sz w:val="11"/>
                <w:szCs w:val="11"/>
              </w:rPr>
            </w:pPr>
            <w:r>
              <w:rPr>
                <w:rFonts w:ascii="微软雅黑" w:hAnsi="微软雅黑" w:eastAsia="微软雅黑" w:cs="微软雅黑"/>
                <w:b/>
                <w:bCs/>
                <w:spacing w:val="1"/>
                <w:sz w:val="11"/>
                <w:szCs w:val="11"/>
              </w:rPr>
              <w:t>主要原料</w:t>
            </w:r>
          </w:p>
        </w:tc>
        <w:tc>
          <w:tcPr>
            <w:tcW w:w="4739" w:type="dxa"/>
            <w:gridSpan w:val="6"/>
            <w:tcBorders>
              <w:right w:val="single" w:color="000000" w:sz="6" w:space="0"/>
            </w:tcBorders>
            <w:shd w:val="clear" w:color="auto" w:fill="BFBFBF"/>
            <w:vAlign w:val="top"/>
          </w:tcPr>
          <w:p w14:paraId="52EF30E7">
            <w:pPr>
              <w:spacing w:before="9" w:line="95" w:lineRule="exact"/>
              <w:ind w:left="2146"/>
              <w:rPr>
                <w:rFonts w:ascii="微软雅黑" w:hAnsi="微软雅黑" w:eastAsia="微软雅黑" w:cs="微软雅黑"/>
                <w:sz w:val="11"/>
                <w:szCs w:val="11"/>
              </w:rPr>
            </w:pPr>
            <w:r>
              <w:rPr>
                <w:rFonts w:ascii="微软雅黑" w:hAnsi="微软雅黑" w:eastAsia="微软雅黑" w:cs="微软雅黑"/>
                <w:b/>
                <w:bCs/>
                <w:sz w:val="11"/>
                <w:szCs w:val="11"/>
              </w:rPr>
              <w:t>主要燃料</w:t>
            </w:r>
          </w:p>
        </w:tc>
      </w:tr>
      <w:tr w14:paraId="6E2C058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5" w:hRule="atLeast"/>
        </w:trPr>
        <w:tc>
          <w:tcPr>
            <w:tcW w:w="1118" w:type="dxa"/>
            <w:gridSpan w:val="2"/>
            <w:vMerge w:val="continue"/>
            <w:tcBorders>
              <w:top w:val="nil"/>
              <w:left w:val="single" w:color="000000" w:sz="6" w:space="0"/>
              <w:bottom w:val="nil"/>
            </w:tcBorders>
            <w:vAlign w:val="top"/>
          </w:tcPr>
          <w:p w14:paraId="28295803">
            <w:pPr>
              <w:rPr>
                <w:rFonts w:ascii="Arial"/>
                <w:sz w:val="21"/>
              </w:rPr>
            </w:pPr>
          </w:p>
        </w:tc>
        <w:tc>
          <w:tcPr>
            <w:tcW w:w="419" w:type="dxa"/>
            <w:shd w:val="clear" w:color="auto" w:fill="BFBFBF"/>
            <w:vAlign w:val="top"/>
          </w:tcPr>
          <w:p w14:paraId="6F25CB9E">
            <w:pPr>
              <w:spacing w:before="79" w:line="188" w:lineRule="auto"/>
              <w:ind w:left="11"/>
              <w:rPr>
                <w:rFonts w:ascii="微软雅黑" w:hAnsi="微软雅黑" w:eastAsia="微软雅黑" w:cs="微软雅黑"/>
                <w:sz w:val="11"/>
                <w:szCs w:val="11"/>
              </w:rPr>
            </w:pPr>
            <w:r>
              <w:rPr>
                <w:rFonts w:ascii="微软雅黑" w:hAnsi="微软雅黑" w:eastAsia="微软雅黑" w:cs="微软雅黑"/>
                <w:b/>
                <w:bCs/>
                <w:sz w:val="11"/>
                <w:szCs w:val="11"/>
              </w:rPr>
              <w:t>序号</w:t>
            </w:r>
          </w:p>
        </w:tc>
        <w:tc>
          <w:tcPr>
            <w:tcW w:w="1743" w:type="dxa"/>
            <w:gridSpan w:val="2"/>
            <w:shd w:val="clear" w:color="auto" w:fill="BFBFBF"/>
            <w:vAlign w:val="top"/>
          </w:tcPr>
          <w:p w14:paraId="7FE8CDC7">
            <w:pPr>
              <w:spacing w:before="79" w:line="189" w:lineRule="auto"/>
              <w:ind w:left="752"/>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2294" w:type="dxa"/>
            <w:gridSpan w:val="2"/>
            <w:shd w:val="clear" w:color="auto" w:fill="BFBFBF"/>
            <w:vAlign w:val="top"/>
          </w:tcPr>
          <w:p w14:paraId="6E018901">
            <w:pPr>
              <w:spacing w:before="79" w:line="188" w:lineRule="auto"/>
              <w:ind w:left="803"/>
              <w:rPr>
                <w:rFonts w:ascii="微软雅黑" w:hAnsi="微软雅黑" w:eastAsia="微软雅黑" w:cs="微软雅黑"/>
                <w:sz w:val="11"/>
                <w:szCs w:val="11"/>
              </w:rPr>
            </w:pPr>
            <w:r>
              <w:rPr>
                <w:rFonts w:ascii="微软雅黑" w:hAnsi="微软雅黑" w:eastAsia="微软雅黑" w:cs="微软雅黑"/>
                <w:b/>
                <w:bCs/>
                <w:spacing w:val="1"/>
                <w:sz w:val="11"/>
                <w:szCs w:val="11"/>
              </w:rPr>
              <w:t>年最大使用量</w:t>
            </w:r>
          </w:p>
        </w:tc>
        <w:tc>
          <w:tcPr>
            <w:tcW w:w="2103" w:type="dxa"/>
            <w:gridSpan w:val="2"/>
            <w:shd w:val="clear" w:color="auto" w:fill="BFBFBF"/>
            <w:vAlign w:val="top"/>
          </w:tcPr>
          <w:p w14:paraId="12809018">
            <w:pPr>
              <w:spacing w:before="79" w:line="188" w:lineRule="auto"/>
              <w:ind w:left="823"/>
              <w:rPr>
                <w:rFonts w:ascii="微软雅黑" w:hAnsi="微软雅黑" w:eastAsia="微软雅黑" w:cs="微软雅黑"/>
                <w:sz w:val="11"/>
                <w:szCs w:val="11"/>
              </w:rPr>
            </w:pPr>
            <w:r>
              <w:rPr>
                <w:rFonts w:ascii="微软雅黑" w:hAnsi="微软雅黑" w:eastAsia="微软雅黑" w:cs="微软雅黑"/>
                <w:b/>
                <w:bCs/>
                <w:spacing w:val="1"/>
                <w:sz w:val="11"/>
                <w:szCs w:val="11"/>
              </w:rPr>
              <w:t>计量单位</w:t>
            </w:r>
          </w:p>
        </w:tc>
        <w:tc>
          <w:tcPr>
            <w:tcW w:w="2009" w:type="dxa"/>
            <w:gridSpan w:val="2"/>
            <w:shd w:val="clear" w:color="auto" w:fill="BFBFBF"/>
            <w:vAlign w:val="top"/>
          </w:tcPr>
          <w:p w14:paraId="1AD63EBB">
            <w:pPr>
              <w:spacing w:before="79" w:line="183" w:lineRule="auto"/>
              <w:ind w:left="355"/>
              <w:rPr>
                <w:rFonts w:ascii="微软雅黑" w:hAnsi="微软雅黑" w:eastAsia="微软雅黑" w:cs="微软雅黑"/>
                <w:sz w:val="11"/>
                <w:szCs w:val="11"/>
              </w:rPr>
            </w:pPr>
            <w:r>
              <w:rPr>
                <w:rFonts w:ascii="微软雅黑" w:hAnsi="微软雅黑" w:eastAsia="微软雅黑" w:cs="微软雅黑"/>
                <w:b/>
                <w:bCs/>
                <w:spacing w:val="-2"/>
                <w:sz w:val="11"/>
                <w:szCs w:val="11"/>
              </w:rPr>
              <w:t>有毒有害物质及含量（%）</w:t>
            </w:r>
          </w:p>
        </w:tc>
        <w:tc>
          <w:tcPr>
            <w:tcW w:w="873" w:type="dxa"/>
            <w:shd w:val="clear" w:color="auto" w:fill="BFBFBF"/>
            <w:vAlign w:val="top"/>
          </w:tcPr>
          <w:p w14:paraId="0B420486">
            <w:pPr>
              <w:spacing w:before="79" w:line="188" w:lineRule="auto"/>
              <w:ind w:left="325"/>
              <w:rPr>
                <w:rFonts w:ascii="微软雅黑" w:hAnsi="微软雅黑" w:eastAsia="微软雅黑" w:cs="微软雅黑"/>
                <w:sz w:val="11"/>
                <w:szCs w:val="11"/>
              </w:rPr>
            </w:pPr>
            <w:r>
              <w:rPr>
                <w:rFonts w:ascii="微软雅黑" w:hAnsi="微软雅黑" w:eastAsia="微软雅黑" w:cs="微软雅黑"/>
                <w:b/>
                <w:bCs/>
                <w:sz w:val="11"/>
                <w:szCs w:val="11"/>
              </w:rPr>
              <w:t>序号</w:t>
            </w:r>
          </w:p>
        </w:tc>
        <w:tc>
          <w:tcPr>
            <w:tcW w:w="983" w:type="dxa"/>
            <w:shd w:val="clear" w:color="auto" w:fill="BFBFBF"/>
            <w:vAlign w:val="top"/>
          </w:tcPr>
          <w:p w14:paraId="62BC54C7">
            <w:pPr>
              <w:spacing w:before="79" w:line="189" w:lineRule="auto"/>
              <w:ind w:left="382"/>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1079" w:type="dxa"/>
            <w:shd w:val="clear" w:color="auto" w:fill="BFBFBF"/>
            <w:vAlign w:val="top"/>
          </w:tcPr>
          <w:p w14:paraId="680E048D">
            <w:pPr>
              <w:spacing w:before="79" w:line="183" w:lineRule="auto"/>
              <w:ind w:left="344"/>
              <w:rPr>
                <w:rFonts w:ascii="微软雅黑" w:hAnsi="微软雅黑" w:eastAsia="微软雅黑" w:cs="微软雅黑"/>
                <w:sz w:val="11"/>
                <w:szCs w:val="11"/>
              </w:rPr>
            </w:pPr>
            <w:r>
              <w:rPr>
                <w:rFonts w:ascii="微软雅黑" w:hAnsi="微软雅黑" w:eastAsia="微软雅黑" w:cs="微软雅黑"/>
                <w:b/>
                <w:bCs/>
                <w:spacing w:val="-4"/>
                <w:sz w:val="11"/>
                <w:szCs w:val="11"/>
              </w:rPr>
              <w:t>灰分(%)</w:t>
            </w:r>
          </w:p>
        </w:tc>
        <w:tc>
          <w:tcPr>
            <w:tcW w:w="566" w:type="dxa"/>
            <w:shd w:val="clear" w:color="auto" w:fill="BFBFBF"/>
            <w:vAlign w:val="top"/>
          </w:tcPr>
          <w:p w14:paraId="4E0D0159">
            <w:pPr>
              <w:spacing w:before="79" w:line="183" w:lineRule="auto"/>
              <w:ind w:left="88"/>
              <w:rPr>
                <w:rFonts w:ascii="微软雅黑" w:hAnsi="微软雅黑" w:eastAsia="微软雅黑" w:cs="微软雅黑"/>
                <w:sz w:val="11"/>
                <w:szCs w:val="11"/>
              </w:rPr>
            </w:pPr>
            <w:r>
              <w:rPr>
                <w:rFonts w:ascii="微软雅黑" w:hAnsi="微软雅黑" w:eastAsia="微软雅黑" w:cs="微软雅黑"/>
                <w:b/>
                <w:bCs/>
                <w:spacing w:val="-3"/>
                <w:w w:val="98"/>
                <w:sz w:val="11"/>
                <w:szCs w:val="11"/>
              </w:rPr>
              <w:t>硫分(%)</w:t>
            </w:r>
          </w:p>
        </w:tc>
        <w:tc>
          <w:tcPr>
            <w:tcW w:w="616" w:type="dxa"/>
            <w:shd w:val="clear" w:color="auto" w:fill="BFBFBF"/>
            <w:vAlign w:val="top"/>
          </w:tcPr>
          <w:p w14:paraId="619996E3">
            <w:pPr>
              <w:spacing w:before="10" w:line="180" w:lineRule="auto"/>
              <w:ind w:right="1"/>
              <w:jc w:val="right"/>
              <w:rPr>
                <w:rFonts w:ascii="微软雅黑" w:hAnsi="微软雅黑" w:eastAsia="微软雅黑" w:cs="微软雅黑"/>
                <w:sz w:val="11"/>
                <w:szCs w:val="11"/>
              </w:rPr>
            </w:pPr>
            <w:r>
              <w:rPr>
                <w:rFonts w:ascii="微软雅黑" w:hAnsi="微软雅黑" w:eastAsia="微软雅黑" w:cs="微软雅黑"/>
                <w:b/>
                <w:bCs/>
                <w:spacing w:val="1"/>
                <w:sz w:val="11"/>
                <w:szCs w:val="11"/>
              </w:rPr>
              <w:t>年最大使用</w:t>
            </w:r>
          </w:p>
          <w:p w14:paraId="1657E8D3">
            <w:pPr>
              <w:spacing w:line="93" w:lineRule="exact"/>
              <w:ind w:left="258"/>
              <w:rPr>
                <w:rFonts w:ascii="微软雅黑" w:hAnsi="微软雅黑" w:eastAsia="微软雅黑" w:cs="微软雅黑"/>
                <w:sz w:val="11"/>
                <w:szCs w:val="11"/>
              </w:rPr>
            </w:pPr>
            <w:r>
              <w:rPr>
                <w:rFonts w:ascii="微软雅黑" w:hAnsi="微软雅黑" w:eastAsia="微软雅黑" w:cs="微软雅黑"/>
                <w:b/>
                <w:bCs/>
                <w:position w:val="-1"/>
                <w:sz w:val="11"/>
                <w:szCs w:val="11"/>
              </w:rPr>
              <w:t>量</w:t>
            </w:r>
          </w:p>
        </w:tc>
        <w:tc>
          <w:tcPr>
            <w:tcW w:w="622" w:type="dxa"/>
            <w:tcBorders>
              <w:right w:val="single" w:color="000000" w:sz="6" w:space="0"/>
            </w:tcBorders>
            <w:shd w:val="clear" w:color="auto" w:fill="BFBFBF"/>
            <w:vAlign w:val="top"/>
          </w:tcPr>
          <w:p w14:paraId="1E6EDBE9">
            <w:pPr>
              <w:spacing w:before="79" w:line="188" w:lineRule="auto"/>
              <w:ind w:left="87"/>
              <w:rPr>
                <w:rFonts w:ascii="微软雅黑" w:hAnsi="微软雅黑" w:eastAsia="微软雅黑" w:cs="微软雅黑"/>
                <w:sz w:val="11"/>
                <w:szCs w:val="11"/>
              </w:rPr>
            </w:pPr>
            <w:r>
              <w:rPr>
                <w:rFonts w:ascii="微软雅黑" w:hAnsi="微软雅黑" w:eastAsia="微软雅黑" w:cs="微软雅黑"/>
                <w:b/>
                <w:bCs/>
                <w:spacing w:val="1"/>
                <w:sz w:val="11"/>
                <w:szCs w:val="11"/>
              </w:rPr>
              <w:t>计量单位</w:t>
            </w:r>
          </w:p>
        </w:tc>
      </w:tr>
      <w:tr w14:paraId="45C0F86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211AEA72">
            <w:pPr>
              <w:rPr>
                <w:rFonts w:ascii="Arial"/>
                <w:sz w:val="21"/>
              </w:rPr>
            </w:pPr>
          </w:p>
        </w:tc>
        <w:tc>
          <w:tcPr>
            <w:tcW w:w="419" w:type="dxa"/>
            <w:vAlign w:val="top"/>
          </w:tcPr>
          <w:p w14:paraId="0D3EF35D">
            <w:pPr>
              <w:spacing w:before="2" w:line="200" w:lineRule="auto"/>
              <w:ind w:left="180"/>
              <w:rPr>
                <w:rFonts w:ascii="Constantia" w:hAnsi="Constantia" w:eastAsia="Constantia" w:cs="Constantia"/>
                <w:sz w:val="11"/>
                <w:szCs w:val="11"/>
              </w:rPr>
            </w:pPr>
            <w:r>
              <w:rPr>
                <w:rFonts w:ascii="Constantia" w:hAnsi="Constantia" w:eastAsia="Constantia" w:cs="Constantia"/>
                <w:b/>
                <w:bCs/>
                <w:spacing w:val="2"/>
                <w:sz w:val="11"/>
                <w:szCs w:val="11"/>
              </w:rPr>
              <w:t>1</w:t>
            </w:r>
          </w:p>
        </w:tc>
        <w:tc>
          <w:tcPr>
            <w:tcW w:w="1743" w:type="dxa"/>
            <w:gridSpan w:val="2"/>
            <w:vAlign w:val="top"/>
          </w:tcPr>
          <w:p w14:paraId="314C096D">
            <w:pPr>
              <w:pStyle w:val="6"/>
              <w:spacing w:before="15" w:line="165" w:lineRule="auto"/>
              <w:ind w:left="756"/>
              <w:rPr>
                <w:sz w:val="11"/>
                <w:szCs w:val="11"/>
              </w:rPr>
            </w:pPr>
            <w:r>
              <w:rPr>
                <w:b/>
                <w:bCs/>
                <w:spacing w:val="-3"/>
                <w:sz w:val="11"/>
                <w:szCs w:val="11"/>
              </w:rPr>
              <w:t>原矿</w:t>
            </w:r>
          </w:p>
        </w:tc>
        <w:tc>
          <w:tcPr>
            <w:tcW w:w="2294" w:type="dxa"/>
            <w:gridSpan w:val="2"/>
            <w:vAlign w:val="top"/>
          </w:tcPr>
          <w:p w14:paraId="2981584E">
            <w:pPr>
              <w:spacing w:before="2" w:line="200" w:lineRule="auto"/>
              <w:ind w:left="899"/>
              <w:rPr>
                <w:rFonts w:ascii="Constantia" w:hAnsi="Constantia" w:eastAsia="Constantia" w:cs="Constantia"/>
                <w:sz w:val="11"/>
                <w:szCs w:val="11"/>
              </w:rPr>
            </w:pPr>
            <w:r>
              <w:rPr>
                <w:rFonts w:ascii="Constantia" w:hAnsi="Constantia" w:eastAsia="Constantia" w:cs="Constantia"/>
                <w:b/>
                <w:bCs/>
                <w:spacing w:val="-5"/>
                <w:sz w:val="11"/>
                <w:szCs w:val="11"/>
              </w:rPr>
              <w:t>420000.00</w:t>
            </w:r>
          </w:p>
        </w:tc>
        <w:tc>
          <w:tcPr>
            <w:tcW w:w="2103" w:type="dxa"/>
            <w:gridSpan w:val="2"/>
            <w:vAlign w:val="top"/>
          </w:tcPr>
          <w:p w14:paraId="5BDA797F">
            <w:pPr>
              <w:pStyle w:val="6"/>
              <w:spacing w:before="2" w:line="187"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1EB3CD14">
            <w:pPr>
              <w:spacing w:line="114" w:lineRule="exact"/>
              <w:rPr>
                <w:rFonts w:ascii="Arial"/>
                <w:sz w:val="9"/>
              </w:rPr>
            </w:pPr>
          </w:p>
        </w:tc>
        <w:tc>
          <w:tcPr>
            <w:tcW w:w="873" w:type="dxa"/>
            <w:vAlign w:val="top"/>
          </w:tcPr>
          <w:p w14:paraId="078E59E9">
            <w:pPr>
              <w:spacing w:line="114" w:lineRule="exact"/>
              <w:rPr>
                <w:rFonts w:ascii="Arial"/>
                <w:sz w:val="9"/>
              </w:rPr>
            </w:pPr>
          </w:p>
        </w:tc>
        <w:tc>
          <w:tcPr>
            <w:tcW w:w="983" w:type="dxa"/>
            <w:vAlign w:val="top"/>
          </w:tcPr>
          <w:p w14:paraId="3E229555">
            <w:pPr>
              <w:spacing w:line="114" w:lineRule="exact"/>
              <w:rPr>
                <w:rFonts w:ascii="Arial"/>
                <w:sz w:val="9"/>
              </w:rPr>
            </w:pPr>
          </w:p>
        </w:tc>
        <w:tc>
          <w:tcPr>
            <w:tcW w:w="1079" w:type="dxa"/>
            <w:vAlign w:val="top"/>
          </w:tcPr>
          <w:p w14:paraId="4620B817">
            <w:pPr>
              <w:spacing w:line="114" w:lineRule="exact"/>
              <w:rPr>
                <w:rFonts w:ascii="Arial"/>
                <w:sz w:val="9"/>
              </w:rPr>
            </w:pPr>
          </w:p>
        </w:tc>
        <w:tc>
          <w:tcPr>
            <w:tcW w:w="566" w:type="dxa"/>
            <w:vAlign w:val="top"/>
          </w:tcPr>
          <w:p w14:paraId="208552EC">
            <w:pPr>
              <w:spacing w:line="114" w:lineRule="exact"/>
              <w:rPr>
                <w:rFonts w:ascii="Arial"/>
                <w:sz w:val="9"/>
              </w:rPr>
            </w:pPr>
          </w:p>
        </w:tc>
        <w:tc>
          <w:tcPr>
            <w:tcW w:w="616" w:type="dxa"/>
            <w:vAlign w:val="top"/>
          </w:tcPr>
          <w:p w14:paraId="0315BBB3">
            <w:pPr>
              <w:spacing w:line="114" w:lineRule="exact"/>
              <w:rPr>
                <w:rFonts w:ascii="Arial"/>
                <w:sz w:val="9"/>
              </w:rPr>
            </w:pPr>
          </w:p>
        </w:tc>
        <w:tc>
          <w:tcPr>
            <w:tcW w:w="622" w:type="dxa"/>
            <w:tcBorders>
              <w:right w:val="single" w:color="000000" w:sz="6" w:space="0"/>
            </w:tcBorders>
            <w:vAlign w:val="top"/>
          </w:tcPr>
          <w:p w14:paraId="65B56A61">
            <w:pPr>
              <w:spacing w:line="114" w:lineRule="exact"/>
              <w:rPr>
                <w:rFonts w:ascii="Arial"/>
                <w:sz w:val="9"/>
              </w:rPr>
            </w:pPr>
          </w:p>
        </w:tc>
      </w:tr>
      <w:tr w14:paraId="24948F9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7AD0853E">
            <w:pPr>
              <w:rPr>
                <w:rFonts w:ascii="Arial"/>
                <w:sz w:val="21"/>
              </w:rPr>
            </w:pPr>
          </w:p>
        </w:tc>
        <w:tc>
          <w:tcPr>
            <w:tcW w:w="419" w:type="dxa"/>
            <w:vAlign w:val="top"/>
          </w:tcPr>
          <w:p w14:paraId="522F11A5">
            <w:pPr>
              <w:spacing w:before="2" w:line="200" w:lineRule="auto"/>
              <w:ind w:left="169"/>
              <w:rPr>
                <w:rFonts w:ascii="Constantia" w:hAnsi="Constantia" w:eastAsia="Constantia" w:cs="Constantia"/>
                <w:sz w:val="11"/>
                <w:szCs w:val="11"/>
              </w:rPr>
            </w:pPr>
            <w:r>
              <w:rPr>
                <w:rFonts w:ascii="Constantia" w:hAnsi="Constantia" w:eastAsia="Constantia" w:cs="Constantia"/>
                <w:b/>
                <w:bCs/>
                <w:sz w:val="11"/>
                <w:szCs w:val="11"/>
              </w:rPr>
              <w:t>2</w:t>
            </w:r>
          </w:p>
        </w:tc>
        <w:tc>
          <w:tcPr>
            <w:tcW w:w="1743" w:type="dxa"/>
            <w:gridSpan w:val="2"/>
            <w:vAlign w:val="top"/>
          </w:tcPr>
          <w:p w14:paraId="42E5B6B0">
            <w:pPr>
              <w:pStyle w:val="6"/>
              <w:spacing w:before="15" w:line="165" w:lineRule="auto"/>
              <w:ind w:left="754"/>
              <w:rPr>
                <w:sz w:val="11"/>
                <w:szCs w:val="11"/>
              </w:rPr>
            </w:pPr>
            <w:r>
              <w:rPr>
                <w:b/>
                <w:bCs/>
                <w:spacing w:val="-2"/>
                <w:sz w:val="11"/>
                <w:szCs w:val="11"/>
              </w:rPr>
              <w:t>石灰</w:t>
            </w:r>
          </w:p>
        </w:tc>
        <w:tc>
          <w:tcPr>
            <w:tcW w:w="2294" w:type="dxa"/>
            <w:gridSpan w:val="2"/>
            <w:vAlign w:val="top"/>
          </w:tcPr>
          <w:p w14:paraId="0706C826">
            <w:pPr>
              <w:spacing w:before="2" w:line="200" w:lineRule="auto"/>
              <w:ind w:left="968"/>
              <w:rPr>
                <w:rFonts w:ascii="Constantia" w:hAnsi="Constantia" w:eastAsia="Constantia" w:cs="Constantia"/>
                <w:sz w:val="11"/>
                <w:szCs w:val="11"/>
              </w:rPr>
            </w:pPr>
            <w:r>
              <w:rPr>
                <w:rFonts w:ascii="Constantia" w:hAnsi="Constantia" w:eastAsia="Constantia" w:cs="Constantia"/>
                <w:b/>
                <w:bCs/>
                <w:sz w:val="11"/>
                <w:szCs w:val="11"/>
              </w:rPr>
              <w:t>1558.00</w:t>
            </w:r>
          </w:p>
        </w:tc>
        <w:tc>
          <w:tcPr>
            <w:tcW w:w="2103" w:type="dxa"/>
            <w:gridSpan w:val="2"/>
            <w:vAlign w:val="top"/>
          </w:tcPr>
          <w:p w14:paraId="02125FE8">
            <w:pPr>
              <w:pStyle w:val="6"/>
              <w:spacing w:before="1" w:line="188"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48D87186">
            <w:pPr>
              <w:spacing w:line="114" w:lineRule="exact"/>
              <w:rPr>
                <w:rFonts w:ascii="Arial"/>
                <w:sz w:val="9"/>
              </w:rPr>
            </w:pPr>
          </w:p>
        </w:tc>
        <w:tc>
          <w:tcPr>
            <w:tcW w:w="873" w:type="dxa"/>
            <w:vAlign w:val="top"/>
          </w:tcPr>
          <w:p w14:paraId="25D21038">
            <w:pPr>
              <w:spacing w:line="114" w:lineRule="exact"/>
              <w:rPr>
                <w:rFonts w:ascii="Arial"/>
                <w:sz w:val="9"/>
              </w:rPr>
            </w:pPr>
          </w:p>
        </w:tc>
        <w:tc>
          <w:tcPr>
            <w:tcW w:w="983" w:type="dxa"/>
            <w:vAlign w:val="top"/>
          </w:tcPr>
          <w:p w14:paraId="3FCC117F">
            <w:pPr>
              <w:spacing w:line="114" w:lineRule="exact"/>
              <w:rPr>
                <w:rFonts w:ascii="Arial"/>
                <w:sz w:val="9"/>
              </w:rPr>
            </w:pPr>
          </w:p>
        </w:tc>
        <w:tc>
          <w:tcPr>
            <w:tcW w:w="1079" w:type="dxa"/>
            <w:vAlign w:val="top"/>
          </w:tcPr>
          <w:p w14:paraId="6D853F99">
            <w:pPr>
              <w:spacing w:line="114" w:lineRule="exact"/>
              <w:rPr>
                <w:rFonts w:ascii="Arial"/>
                <w:sz w:val="9"/>
              </w:rPr>
            </w:pPr>
          </w:p>
        </w:tc>
        <w:tc>
          <w:tcPr>
            <w:tcW w:w="566" w:type="dxa"/>
            <w:vAlign w:val="top"/>
          </w:tcPr>
          <w:p w14:paraId="4713F220">
            <w:pPr>
              <w:spacing w:line="114" w:lineRule="exact"/>
              <w:rPr>
                <w:rFonts w:ascii="Arial"/>
                <w:sz w:val="9"/>
              </w:rPr>
            </w:pPr>
          </w:p>
        </w:tc>
        <w:tc>
          <w:tcPr>
            <w:tcW w:w="616" w:type="dxa"/>
            <w:vAlign w:val="top"/>
          </w:tcPr>
          <w:p w14:paraId="701FF7D9">
            <w:pPr>
              <w:spacing w:line="114" w:lineRule="exact"/>
              <w:rPr>
                <w:rFonts w:ascii="Arial"/>
                <w:sz w:val="9"/>
              </w:rPr>
            </w:pPr>
          </w:p>
        </w:tc>
        <w:tc>
          <w:tcPr>
            <w:tcW w:w="622" w:type="dxa"/>
            <w:tcBorders>
              <w:right w:val="single" w:color="000000" w:sz="6" w:space="0"/>
            </w:tcBorders>
            <w:vAlign w:val="top"/>
          </w:tcPr>
          <w:p w14:paraId="498B70E2">
            <w:pPr>
              <w:spacing w:line="114" w:lineRule="exact"/>
              <w:rPr>
                <w:rFonts w:ascii="Arial"/>
                <w:sz w:val="9"/>
              </w:rPr>
            </w:pPr>
          </w:p>
        </w:tc>
      </w:tr>
      <w:tr w14:paraId="013C565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7D7920FC">
            <w:pPr>
              <w:rPr>
                <w:rFonts w:ascii="Arial"/>
                <w:sz w:val="21"/>
              </w:rPr>
            </w:pPr>
          </w:p>
        </w:tc>
        <w:tc>
          <w:tcPr>
            <w:tcW w:w="419" w:type="dxa"/>
            <w:vAlign w:val="top"/>
          </w:tcPr>
          <w:p w14:paraId="374AC567">
            <w:pPr>
              <w:spacing w:before="2" w:line="200" w:lineRule="auto"/>
              <w:ind w:left="172"/>
              <w:rPr>
                <w:rFonts w:ascii="Constantia" w:hAnsi="Constantia" w:eastAsia="Constantia" w:cs="Constantia"/>
                <w:sz w:val="11"/>
                <w:szCs w:val="11"/>
              </w:rPr>
            </w:pPr>
            <w:r>
              <w:rPr>
                <w:rFonts w:ascii="Constantia" w:hAnsi="Constantia" w:eastAsia="Constantia" w:cs="Constantia"/>
                <w:b/>
                <w:bCs/>
                <w:spacing w:val="1"/>
                <w:sz w:val="11"/>
                <w:szCs w:val="11"/>
              </w:rPr>
              <w:t>3</w:t>
            </w:r>
          </w:p>
        </w:tc>
        <w:tc>
          <w:tcPr>
            <w:tcW w:w="1743" w:type="dxa"/>
            <w:gridSpan w:val="2"/>
            <w:vAlign w:val="top"/>
          </w:tcPr>
          <w:p w14:paraId="0D1CE599">
            <w:pPr>
              <w:pStyle w:val="6"/>
              <w:spacing w:before="15" w:line="166" w:lineRule="auto"/>
              <w:ind w:left="642"/>
              <w:rPr>
                <w:sz w:val="11"/>
                <w:szCs w:val="11"/>
              </w:rPr>
            </w:pPr>
            <w:r>
              <w:rPr>
                <w:b/>
                <w:bCs/>
                <w:spacing w:val="-1"/>
                <w:sz w:val="11"/>
                <w:szCs w:val="11"/>
              </w:rPr>
              <w:t>丁基黄药</w:t>
            </w:r>
          </w:p>
        </w:tc>
        <w:tc>
          <w:tcPr>
            <w:tcW w:w="2294" w:type="dxa"/>
            <w:gridSpan w:val="2"/>
            <w:vAlign w:val="top"/>
          </w:tcPr>
          <w:p w14:paraId="728C54E9">
            <w:pPr>
              <w:spacing w:before="2" w:line="200" w:lineRule="auto"/>
              <w:ind w:left="1019"/>
              <w:rPr>
                <w:rFonts w:ascii="Constantia" w:hAnsi="Constantia" w:eastAsia="Constantia" w:cs="Constantia"/>
                <w:sz w:val="11"/>
                <w:szCs w:val="11"/>
              </w:rPr>
            </w:pPr>
            <w:r>
              <w:rPr>
                <w:rFonts w:ascii="Constantia" w:hAnsi="Constantia" w:eastAsia="Constantia" w:cs="Constantia"/>
                <w:b/>
                <w:bCs/>
                <w:spacing w:val="-1"/>
                <w:sz w:val="11"/>
                <w:szCs w:val="11"/>
              </w:rPr>
              <w:t>82.32</w:t>
            </w:r>
          </w:p>
        </w:tc>
        <w:tc>
          <w:tcPr>
            <w:tcW w:w="2103" w:type="dxa"/>
            <w:gridSpan w:val="2"/>
            <w:vAlign w:val="top"/>
          </w:tcPr>
          <w:p w14:paraId="522F62A6">
            <w:pPr>
              <w:pStyle w:val="6"/>
              <w:spacing w:before="1" w:line="188"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5C5EEA45">
            <w:pPr>
              <w:spacing w:line="114" w:lineRule="exact"/>
              <w:rPr>
                <w:rFonts w:ascii="Arial"/>
                <w:sz w:val="9"/>
              </w:rPr>
            </w:pPr>
          </w:p>
        </w:tc>
        <w:tc>
          <w:tcPr>
            <w:tcW w:w="873" w:type="dxa"/>
            <w:vAlign w:val="top"/>
          </w:tcPr>
          <w:p w14:paraId="0A9A7118">
            <w:pPr>
              <w:spacing w:line="114" w:lineRule="exact"/>
              <w:rPr>
                <w:rFonts w:ascii="Arial"/>
                <w:sz w:val="9"/>
              </w:rPr>
            </w:pPr>
          </w:p>
        </w:tc>
        <w:tc>
          <w:tcPr>
            <w:tcW w:w="983" w:type="dxa"/>
            <w:vAlign w:val="top"/>
          </w:tcPr>
          <w:p w14:paraId="65883038">
            <w:pPr>
              <w:spacing w:line="114" w:lineRule="exact"/>
              <w:rPr>
                <w:rFonts w:ascii="Arial"/>
                <w:sz w:val="9"/>
              </w:rPr>
            </w:pPr>
          </w:p>
        </w:tc>
        <w:tc>
          <w:tcPr>
            <w:tcW w:w="1079" w:type="dxa"/>
            <w:vAlign w:val="top"/>
          </w:tcPr>
          <w:p w14:paraId="20AB800C">
            <w:pPr>
              <w:spacing w:line="114" w:lineRule="exact"/>
              <w:rPr>
                <w:rFonts w:ascii="Arial"/>
                <w:sz w:val="9"/>
              </w:rPr>
            </w:pPr>
          </w:p>
        </w:tc>
        <w:tc>
          <w:tcPr>
            <w:tcW w:w="566" w:type="dxa"/>
            <w:vAlign w:val="top"/>
          </w:tcPr>
          <w:p w14:paraId="19173BE7">
            <w:pPr>
              <w:spacing w:line="114" w:lineRule="exact"/>
              <w:rPr>
                <w:rFonts w:ascii="Arial"/>
                <w:sz w:val="9"/>
              </w:rPr>
            </w:pPr>
          </w:p>
        </w:tc>
        <w:tc>
          <w:tcPr>
            <w:tcW w:w="616" w:type="dxa"/>
            <w:vAlign w:val="top"/>
          </w:tcPr>
          <w:p w14:paraId="4506DF31">
            <w:pPr>
              <w:spacing w:line="114" w:lineRule="exact"/>
              <w:rPr>
                <w:rFonts w:ascii="Arial"/>
                <w:sz w:val="9"/>
              </w:rPr>
            </w:pPr>
          </w:p>
        </w:tc>
        <w:tc>
          <w:tcPr>
            <w:tcW w:w="622" w:type="dxa"/>
            <w:tcBorders>
              <w:right w:val="single" w:color="000000" w:sz="6" w:space="0"/>
            </w:tcBorders>
            <w:vAlign w:val="top"/>
          </w:tcPr>
          <w:p w14:paraId="6ED0C73F">
            <w:pPr>
              <w:spacing w:line="114" w:lineRule="exact"/>
              <w:rPr>
                <w:rFonts w:ascii="Arial"/>
                <w:sz w:val="9"/>
              </w:rPr>
            </w:pPr>
          </w:p>
        </w:tc>
      </w:tr>
      <w:tr w14:paraId="16E2372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2776C339">
            <w:pPr>
              <w:rPr>
                <w:rFonts w:ascii="Arial"/>
                <w:sz w:val="21"/>
              </w:rPr>
            </w:pPr>
          </w:p>
        </w:tc>
        <w:tc>
          <w:tcPr>
            <w:tcW w:w="419" w:type="dxa"/>
            <w:vAlign w:val="top"/>
          </w:tcPr>
          <w:p w14:paraId="054D36B3">
            <w:pPr>
              <w:spacing w:before="1" w:line="201" w:lineRule="auto"/>
              <w:ind w:left="169"/>
              <w:rPr>
                <w:rFonts w:ascii="Constantia" w:hAnsi="Constantia" w:eastAsia="Constantia" w:cs="Constantia"/>
                <w:sz w:val="11"/>
                <w:szCs w:val="11"/>
              </w:rPr>
            </w:pPr>
            <w:r>
              <w:rPr>
                <w:rFonts w:ascii="Constantia" w:hAnsi="Constantia" w:eastAsia="Constantia" w:cs="Constantia"/>
                <w:b/>
                <w:bCs/>
                <w:sz w:val="11"/>
                <w:szCs w:val="11"/>
              </w:rPr>
              <w:t>4</w:t>
            </w:r>
          </w:p>
        </w:tc>
        <w:tc>
          <w:tcPr>
            <w:tcW w:w="1743" w:type="dxa"/>
            <w:gridSpan w:val="2"/>
            <w:vAlign w:val="top"/>
          </w:tcPr>
          <w:p w14:paraId="561C73CD">
            <w:pPr>
              <w:pStyle w:val="6"/>
              <w:spacing w:before="15" w:line="166" w:lineRule="auto"/>
              <w:ind w:left="695"/>
              <w:rPr>
                <w:sz w:val="11"/>
                <w:szCs w:val="11"/>
              </w:rPr>
            </w:pPr>
            <w:r>
              <w:rPr>
                <w:b/>
                <w:bCs/>
                <w:spacing w:val="-1"/>
                <w:sz w:val="11"/>
                <w:szCs w:val="11"/>
              </w:rPr>
              <w:t>硫酸铜</w:t>
            </w:r>
          </w:p>
        </w:tc>
        <w:tc>
          <w:tcPr>
            <w:tcW w:w="2294" w:type="dxa"/>
            <w:gridSpan w:val="2"/>
            <w:vAlign w:val="top"/>
          </w:tcPr>
          <w:p w14:paraId="4FD9B43A">
            <w:pPr>
              <w:spacing w:before="1" w:line="201" w:lineRule="auto"/>
              <w:ind w:left="997"/>
              <w:rPr>
                <w:rFonts w:ascii="Constantia" w:hAnsi="Constantia" w:eastAsia="Constantia" w:cs="Constantia"/>
                <w:sz w:val="11"/>
                <w:szCs w:val="11"/>
              </w:rPr>
            </w:pPr>
            <w:r>
              <w:rPr>
                <w:rFonts w:ascii="Constantia" w:hAnsi="Constantia" w:eastAsia="Constantia" w:cs="Constantia"/>
                <w:b/>
                <w:bCs/>
                <w:spacing w:val="-1"/>
                <w:sz w:val="11"/>
                <w:szCs w:val="11"/>
              </w:rPr>
              <w:t>147.00</w:t>
            </w:r>
          </w:p>
        </w:tc>
        <w:tc>
          <w:tcPr>
            <w:tcW w:w="2103" w:type="dxa"/>
            <w:gridSpan w:val="2"/>
            <w:vAlign w:val="top"/>
          </w:tcPr>
          <w:p w14:paraId="3001C8EF">
            <w:pPr>
              <w:pStyle w:val="6"/>
              <w:spacing w:before="1" w:line="189"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6D98A8A4">
            <w:pPr>
              <w:spacing w:line="114" w:lineRule="exact"/>
              <w:rPr>
                <w:rFonts w:ascii="Arial"/>
                <w:sz w:val="9"/>
              </w:rPr>
            </w:pPr>
          </w:p>
        </w:tc>
        <w:tc>
          <w:tcPr>
            <w:tcW w:w="873" w:type="dxa"/>
            <w:vAlign w:val="top"/>
          </w:tcPr>
          <w:p w14:paraId="3937A6FA">
            <w:pPr>
              <w:spacing w:line="114" w:lineRule="exact"/>
              <w:rPr>
                <w:rFonts w:ascii="Arial"/>
                <w:sz w:val="9"/>
              </w:rPr>
            </w:pPr>
          </w:p>
        </w:tc>
        <w:tc>
          <w:tcPr>
            <w:tcW w:w="983" w:type="dxa"/>
            <w:vAlign w:val="top"/>
          </w:tcPr>
          <w:p w14:paraId="2D03505C">
            <w:pPr>
              <w:spacing w:line="114" w:lineRule="exact"/>
              <w:rPr>
                <w:rFonts w:ascii="Arial"/>
                <w:sz w:val="9"/>
              </w:rPr>
            </w:pPr>
          </w:p>
        </w:tc>
        <w:tc>
          <w:tcPr>
            <w:tcW w:w="1079" w:type="dxa"/>
            <w:vAlign w:val="top"/>
          </w:tcPr>
          <w:p w14:paraId="0DB57F80">
            <w:pPr>
              <w:spacing w:line="114" w:lineRule="exact"/>
              <w:rPr>
                <w:rFonts w:ascii="Arial"/>
                <w:sz w:val="9"/>
              </w:rPr>
            </w:pPr>
          </w:p>
        </w:tc>
        <w:tc>
          <w:tcPr>
            <w:tcW w:w="566" w:type="dxa"/>
            <w:vAlign w:val="top"/>
          </w:tcPr>
          <w:p w14:paraId="71EDE5E6">
            <w:pPr>
              <w:spacing w:line="114" w:lineRule="exact"/>
              <w:rPr>
                <w:rFonts w:ascii="Arial"/>
                <w:sz w:val="9"/>
              </w:rPr>
            </w:pPr>
          </w:p>
        </w:tc>
        <w:tc>
          <w:tcPr>
            <w:tcW w:w="616" w:type="dxa"/>
            <w:vAlign w:val="top"/>
          </w:tcPr>
          <w:p w14:paraId="7C5190C8">
            <w:pPr>
              <w:spacing w:line="114" w:lineRule="exact"/>
              <w:rPr>
                <w:rFonts w:ascii="Arial"/>
                <w:sz w:val="9"/>
              </w:rPr>
            </w:pPr>
          </w:p>
        </w:tc>
        <w:tc>
          <w:tcPr>
            <w:tcW w:w="622" w:type="dxa"/>
            <w:tcBorders>
              <w:right w:val="single" w:color="000000" w:sz="6" w:space="0"/>
            </w:tcBorders>
            <w:vAlign w:val="top"/>
          </w:tcPr>
          <w:p w14:paraId="216AD966">
            <w:pPr>
              <w:spacing w:line="114" w:lineRule="exact"/>
              <w:rPr>
                <w:rFonts w:ascii="Arial"/>
                <w:sz w:val="9"/>
              </w:rPr>
            </w:pPr>
          </w:p>
        </w:tc>
      </w:tr>
      <w:tr w14:paraId="0FEF721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58B1A7DC">
            <w:pPr>
              <w:rPr>
                <w:rFonts w:ascii="Arial"/>
                <w:sz w:val="21"/>
              </w:rPr>
            </w:pPr>
          </w:p>
        </w:tc>
        <w:tc>
          <w:tcPr>
            <w:tcW w:w="419" w:type="dxa"/>
            <w:vAlign w:val="top"/>
          </w:tcPr>
          <w:p w14:paraId="43F9C517">
            <w:pPr>
              <w:spacing w:before="1" w:line="201" w:lineRule="auto"/>
              <w:ind w:left="172"/>
              <w:rPr>
                <w:rFonts w:ascii="Constantia" w:hAnsi="Constantia" w:eastAsia="Constantia" w:cs="Constantia"/>
                <w:sz w:val="11"/>
                <w:szCs w:val="11"/>
              </w:rPr>
            </w:pPr>
            <w:r>
              <w:rPr>
                <w:rFonts w:ascii="Constantia" w:hAnsi="Constantia" w:eastAsia="Constantia" w:cs="Constantia"/>
                <w:b/>
                <w:bCs/>
                <w:sz w:val="11"/>
                <w:szCs w:val="11"/>
              </w:rPr>
              <w:t>5</w:t>
            </w:r>
          </w:p>
        </w:tc>
        <w:tc>
          <w:tcPr>
            <w:tcW w:w="1743" w:type="dxa"/>
            <w:gridSpan w:val="2"/>
            <w:vAlign w:val="top"/>
          </w:tcPr>
          <w:p w14:paraId="7B4C32C3">
            <w:pPr>
              <w:pStyle w:val="6"/>
              <w:spacing w:before="15" w:line="166" w:lineRule="auto"/>
              <w:ind w:left="752"/>
              <w:rPr>
                <w:sz w:val="11"/>
                <w:szCs w:val="11"/>
              </w:rPr>
            </w:pPr>
            <w:r>
              <w:rPr>
                <w:b/>
                <w:bCs/>
                <w:spacing w:val="-2"/>
                <w:sz w:val="11"/>
                <w:szCs w:val="11"/>
              </w:rPr>
              <w:t>2#油</w:t>
            </w:r>
          </w:p>
        </w:tc>
        <w:tc>
          <w:tcPr>
            <w:tcW w:w="2294" w:type="dxa"/>
            <w:gridSpan w:val="2"/>
            <w:vAlign w:val="top"/>
          </w:tcPr>
          <w:p w14:paraId="016300BD">
            <w:pPr>
              <w:spacing w:before="1" w:line="201" w:lineRule="auto"/>
              <w:ind w:left="1040"/>
              <w:rPr>
                <w:rFonts w:ascii="Constantia" w:hAnsi="Constantia" w:eastAsia="Constantia" w:cs="Constantia"/>
                <w:sz w:val="11"/>
                <w:szCs w:val="11"/>
              </w:rPr>
            </w:pPr>
            <w:r>
              <w:rPr>
                <w:rFonts w:ascii="Constantia" w:hAnsi="Constantia" w:eastAsia="Constantia" w:cs="Constantia"/>
                <w:b/>
                <w:bCs/>
                <w:spacing w:val="-1"/>
                <w:sz w:val="11"/>
                <w:szCs w:val="11"/>
              </w:rPr>
              <w:t>4.70</w:t>
            </w:r>
          </w:p>
        </w:tc>
        <w:tc>
          <w:tcPr>
            <w:tcW w:w="2103" w:type="dxa"/>
            <w:gridSpan w:val="2"/>
            <w:vAlign w:val="top"/>
          </w:tcPr>
          <w:p w14:paraId="1307283A">
            <w:pPr>
              <w:pStyle w:val="6"/>
              <w:spacing w:before="1" w:line="189"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4B506FF6">
            <w:pPr>
              <w:spacing w:line="114" w:lineRule="exact"/>
              <w:rPr>
                <w:rFonts w:ascii="Arial"/>
                <w:sz w:val="9"/>
              </w:rPr>
            </w:pPr>
          </w:p>
        </w:tc>
        <w:tc>
          <w:tcPr>
            <w:tcW w:w="873" w:type="dxa"/>
            <w:vAlign w:val="top"/>
          </w:tcPr>
          <w:p w14:paraId="169106E4">
            <w:pPr>
              <w:spacing w:line="114" w:lineRule="exact"/>
              <w:rPr>
                <w:rFonts w:ascii="Arial"/>
                <w:sz w:val="9"/>
              </w:rPr>
            </w:pPr>
          </w:p>
        </w:tc>
        <w:tc>
          <w:tcPr>
            <w:tcW w:w="983" w:type="dxa"/>
            <w:vAlign w:val="top"/>
          </w:tcPr>
          <w:p w14:paraId="4900449D">
            <w:pPr>
              <w:spacing w:line="114" w:lineRule="exact"/>
              <w:rPr>
                <w:rFonts w:ascii="Arial"/>
                <w:sz w:val="9"/>
              </w:rPr>
            </w:pPr>
          </w:p>
        </w:tc>
        <w:tc>
          <w:tcPr>
            <w:tcW w:w="1079" w:type="dxa"/>
            <w:vAlign w:val="top"/>
          </w:tcPr>
          <w:p w14:paraId="13E01DB8">
            <w:pPr>
              <w:spacing w:line="114" w:lineRule="exact"/>
              <w:rPr>
                <w:rFonts w:ascii="Arial"/>
                <w:sz w:val="9"/>
              </w:rPr>
            </w:pPr>
          </w:p>
        </w:tc>
        <w:tc>
          <w:tcPr>
            <w:tcW w:w="566" w:type="dxa"/>
            <w:vAlign w:val="top"/>
          </w:tcPr>
          <w:p w14:paraId="6FD8F208">
            <w:pPr>
              <w:spacing w:line="114" w:lineRule="exact"/>
              <w:rPr>
                <w:rFonts w:ascii="Arial"/>
                <w:sz w:val="9"/>
              </w:rPr>
            </w:pPr>
          </w:p>
        </w:tc>
        <w:tc>
          <w:tcPr>
            <w:tcW w:w="616" w:type="dxa"/>
            <w:vAlign w:val="top"/>
          </w:tcPr>
          <w:p w14:paraId="5F724DB0">
            <w:pPr>
              <w:spacing w:line="114" w:lineRule="exact"/>
              <w:rPr>
                <w:rFonts w:ascii="Arial"/>
                <w:sz w:val="9"/>
              </w:rPr>
            </w:pPr>
          </w:p>
        </w:tc>
        <w:tc>
          <w:tcPr>
            <w:tcW w:w="622" w:type="dxa"/>
            <w:tcBorders>
              <w:right w:val="single" w:color="000000" w:sz="6" w:space="0"/>
            </w:tcBorders>
            <w:vAlign w:val="top"/>
          </w:tcPr>
          <w:p w14:paraId="02BDF8FF">
            <w:pPr>
              <w:spacing w:line="114" w:lineRule="exact"/>
              <w:rPr>
                <w:rFonts w:ascii="Arial"/>
                <w:sz w:val="9"/>
              </w:rPr>
            </w:pPr>
          </w:p>
        </w:tc>
      </w:tr>
      <w:tr w14:paraId="4198E93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0C954EE0">
            <w:pPr>
              <w:rPr>
                <w:rFonts w:ascii="Arial"/>
                <w:sz w:val="21"/>
              </w:rPr>
            </w:pPr>
          </w:p>
        </w:tc>
        <w:tc>
          <w:tcPr>
            <w:tcW w:w="419" w:type="dxa"/>
            <w:vAlign w:val="top"/>
          </w:tcPr>
          <w:p w14:paraId="7BA05D52">
            <w:pPr>
              <w:spacing w:before="1" w:line="201" w:lineRule="auto"/>
              <w:ind w:left="172"/>
              <w:rPr>
                <w:rFonts w:ascii="Constantia" w:hAnsi="Constantia" w:eastAsia="Constantia" w:cs="Constantia"/>
                <w:sz w:val="11"/>
                <w:szCs w:val="11"/>
              </w:rPr>
            </w:pPr>
            <w:r>
              <w:rPr>
                <w:rFonts w:ascii="Constantia" w:hAnsi="Constantia" w:eastAsia="Constantia" w:cs="Constantia"/>
                <w:b/>
                <w:bCs/>
                <w:sz w:val="11"/>
                <w:szCs w:val="11"/>
              </w:rPr>
              <w:t>6</w:t>
            </w:r>
          </w:p>
        </w:tc>
        <w:tc>
          <w:tcPr>
            <w:tcW w:w="1743" w:type="dxa"/>
            <w:gridSpan w:val="2"/>
            <w:vAlign w:val="top"/>
          </w:tcPr>
          <w:p w14:paraId="1A8A8BCB">
            <w:pPr>
              <w:pStyle w:val="6"/>
              <w:spacing w:before="14" w:line="167" w:lineRule="auto"/>
              <w:ind w:left="695"/>
              <w:rPr>
                <w:sz w:val="11"/>
                <w:szCs w:val="11"/>
              </w:rPr>
            </w:pPr>
            <w:r>
              <w:rPr>
                <w:b/>
                <w:bCs/>
                <w:spacing w:val="-1"/>
                <w:sz w:val="11"/>
                <w:szCs w:val="11"/>
              </w:rPr>
              <w:t>硫酸锌</w:t>
            </w:r>
          </w:p>
        </w:tc>
        <w:tc>
          <w:tcPr>
            <w:tcW w:w="2294" w:type="dxa"/>
            <w:gridSpan w:val="2"/>
            <w:vAlign w:val="top"/>
          </w:tcPr>
          <w:p w14:paraId="294F4223">
            <w:pPr>
              <w:pStyle w:val="6"/>
              <w:spacing w:before="14" w:line="167" w:lineRule="auto"/>
              <w:ind w:left="1005"/>
              <w:rPr>
                <w:sz w:val="11"/>
                <w:szCs w:val="11"/>
              </w:rPr>
            </w:pPr>
            <w:r>
              <w:rPr>
                <w:b/>
                <w:bCs/>
                <w:spacing w:val="-2"/>
                <w:sz w:val="11"/>
                <w:szCs w:val="11"/>
              </w:rPr>
              <w:t>55.86</w:t>
            </w:r>
          </w:p>
        </w:tc>
        <w:tc>
          <w:tcPr>
            <w:tcW w:w="2103" w:type="dxa"/>
            <w:gridSpan w:val="2"/>
            <w:vAlign w:val="top"/>
          </w:tcPr>
          <w:p w14:paraId="2820B8F3">
            <w:pPr>
              <w:pStyle w:val="6"/>
              <w:spacing w:before="1" w:line="189"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445D9F2A">
            <w:pPr>
              <w:spacing w:line="114" w:lineRule="exact"/>
              <w:rPr>
                <w:rFonts w:ascii="Arial"/>
                <w:sz w:val="9"/>
              </w:rPr>
            </w:pPr>
          </w:p>
        </w:tc>
        <w:tc>
          <w:tcPr>
            <w:tcW w:w="873" w:type="dxa"/>
            <w:vAlign w:val="top"/>
          </w:tcPr>
          <w:p w14:paraId="4250E07A">
            <w:pPr>
              <w:spacing w:line="114" w:lineRule="exact"/>
              <w:rPr>
                <w:rFonts w:ascii="Arial"/>
                <w:sz w:val="9"/>
              </w:rPr>
            </w:pPr>
          </w:p>
        </w:tc>
        <w:tc>
          <w:tcPr>
            <w:tcW w:w="983" w:type="dxa"/>
            <w:vAlign w:val="top"/>
          </w:tcPr>
          <w:p w14:paraId="55647260">
            <w:pPr>
              <w:spacing w:line="114" w:lineRule="exact"/>
              <w:rPr>
                <w:rFonts w:ascii="Arial"/>
                <w:sz w:val="9"/>
              </w:rPr>
            </w:pPr>
          </w:p>
        </w:tc>
        <w:tc>
          <w:tcPr>
            <w:tcW w:w="1079" w:type="dxa"/>
            <w:vAlign w:val="top"/>
          </w:tcPr>
          <w:p w14:paraId="5A384C0F">
            <w:pPr>
              <w:spacing w:line="114" w:lineRule="exact"/>
              <w:rPr>
                <w:rFonts w:ascii="Arial"/>
                <w:sz w:val="9"/>
              </w:rPr>
            </w:pPr>
          </w:p>
        </w:tc>
        <w:tc>
          <w:tcPr>
            <w:tcW w:w="566" w:type="dxa"/>
            <w:vAlign w:val="top"/>
          </w:tcPr>
          <w:p w14:paraId="6F5FAE26">
            <w:pPr>
              <w:spacing w:line="114" w:lineRule="exact"/>
              <w:rPr>
                <w:rFonts w:ascii="Arial"/>
                <w:sz w:val="9"/>
              </w:rPr>
            </w:pPr>
          </w:p>
        </w:tc>
        <w:tc>
          <w:tcPr>
            <w:tcW w:w="616" w:type="dxa"/>
            <w:vAlign w:val="top"/>
          </w:tcPr>
          <w:p w14:paraId="01E5F468">
            <w:pPr>
              <w:spacing w:line="114" w:lineRule="exact"/>
              <w:rPr>
                <w:rFonts w:ascii="Arial"/>
                <w:sz w:val="9"/>
              </w:rPr>
            </w:pPr>
          </w:p>
        </w:tc>
        <w:tc>
          <w:tcPr>
            <w:tcW w:w="622" w:type="dxa"/>
            <w:tcBorders>
              <w:right w:val="single" w:color="000000" w:sz="6" w:space="0"/>
            </w:tcBorders>
            <w:vAlign w:val="top"/>
          </w:tcPr>
          <w:p w14:paraId="2D383EEA">
            <w:pPr>
              <w:spacing w:line="114" w:lineRule="exact"/>
              <w:rPr>
                <w:rFonts w:ascii="Arial"/>
                <w:sz w:val="9"/>
              </w:rPr>
            </w:pPr>
          </w:p>
        </w:tc>
      </w:tr>
      <w:tr w14:paraId="4A16904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7D8FE6FF">
            <w:pPr>
              <w:rPr>
                <w:rFonts w:ascii="Arial"/>
                <w:sz w:val="21"/>
              </w:rPr>
            </w:pPr>
          </w:p>
        </w:tc>
        <w:tc>
          <w:tcPr>
            <w:tcW w:w="419" w:type="dxa"/>
            <w:vAlign w:val="top"/>
          </w:tcPr>
          <w:p w14:paraId="750C22E8">
            <w:pPr>
              <w:spacing w:line="202" w:lineRule="auto"/>
              <w:ind w:left="171"/>
              <w:rPr>
                <w:rFonts w:ascii="Constantia" w:hAnsi="Constantia" w:eastAsia="Constantia" w:cs="Constantia"/>
                <w:sz w:val="11"/>
                <w:szCs w:val="11"/>
              </w:rPr>
            </w:pPr>
            <w:r>
              <w:rPr>
                <w:rFonts w:ascii="Constantia" w:hAnsi="Constantia" w:eastAsia="Constantia" w:cs="Constantia"/>
                <w:b/>
                <w:bCs/>
                <w:sz w:val="11"/>
                <w:szCs w:val="11"/>
              </w:rPr>
              <w:t>7</w:t>
            </w:r>
          </w:p>
        </w:tc>
        <w:tc>
          <w:tcPr>
            <w:tcW w:w="1743" w:type="dxa"/>
            <w:gridSpan w:val="2"/>
            <w:vAlign w:val="top"/>
          </w:tcPr>
          <w:p w14:paraId="05950C89">
            <w:pPr>
              <w:pStyle w:val="6"/>
              <w:spacing w:before="14" w:line="167" w:lineRule="auto"/>
              <w:ind w:left="641"/>
              <w:rPr>
                <w:sz w:val="11"/>
                <w:szCs w:val="11"/>
              </w:rPr>
            </w:pPr>
            <w:r>
              <w:rPr>
                <w:b/>
                <w:bCs/>
                <w:spacing w:val="-1"/>
                <w:sz w:val="11"/>
                <w:szCs w:val="11"/>
              </w:rPr>
              <w:t>亚硫酸钠</w:t>
            </w:r>
          </w:p>
        </w:tc>
        <w:tc>
          <w:tcPr>
            <w:tcW w:w="2294" w:type="dxa"/>
            <w:gridSpan w:val="2"/>
            <w:vAlign w:val="top"/>
          </w:tcPr>
          <w:p w14:paraId="7DC391A4">
            <w:pPr>
              <w:pStyle w:val="6"/>
              <w:spacing w:before="14" w:line="167" w:lineRule="auto"/>
              <w:ind w:left="1004"/>
              <w:rPr>
                <w:sz w:val="11"/>
                <w:szCs w:val="11"/>
              </w:rPr>
            </w:pPr>
            <w:r>
              <w:rPr>
                <w:b/>
                <w:bCs/>
                <w:spacing w:val="-1"/>
                <w:sz w:val="11"/>
                <w:szCs w:val="11"/>
              </w:rPr>
              <w:t>20.58</w:t>
            </w:r>
          </w:p>
        </w:tc>
        <w:tc>
          <w:tcPr>
            <w:tcW w:w="2103" w:type="dxa"/>
            <w:gridSpan w:val="2"/>
            <w:vAlign w:val="top"/>
          </w:tcPr>
          <w:p w14:paraId="7F9FD70B">
            <w:pPr>
              <w:pStyle w:val="6"/>
              <w:spacing w:line="190"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655308C2">
            <w:pPr>
              <w:spacing w:line="114" w:lineRule="exact"/>
              <w:rPr>
                <w:rFonts w:ascii="Arial"/>
                <w:sz w:val="9"/>
              </w:rPr>
            </w:pPr>
          </w:p>
        </w:tc>
        <w:tc>
          <w:tcPr>
            <w:tcW w:w="873" w:type="dxa"/>
            <w:vAlign w:val="top"/>
          </w:tcPr>
          <w:p w14:paraId="5E5F11F6">
            <w:pPr>
              <w:spacing w:line="114" w:lineRule="exact"/>
              <w:rPr>
                <w:rFonts w:ascii="Arial"/>
                <w:sz w:val="9"/>
              </w:rPr>
            </w:pPr>
          </w:p>
        </w:tc>
        <w:tc>
          <w:tcPr>
            <w:tcW w:w="983" w:type="dxa"/>
            <w:vAlign w:val="top"/>
          </w:tcPr>
          <w:p w14:paraId="4C8AD2C6">
            <w:pPr>
              <w:spacing w:line="114" w:lineRule="exact"/>
              <w:rPr>
                <w:rFonts w:ascii="Arial"/>
                <w:sz w:val="9"/>
              </w:rPr>
            </w:pPr>
          </w:p>
        </w:tc>
        <w:tc>
          <w:tcPr>
            <w:tcW w:w="1079" w:type="dxa"/>
            <w:vAlign w:val="top"/>
          </w:tcPr>
          <w:p w14:paraId="04222BB3">
            <w:pPr>
              <w:spacing w:line="114" w:lineRule="exact"/>
              <w:rPr>
                <w:rFonts w:ascii="Arial"/>
                <w:sz w:val="9"/>
              </w:rPr>
            </w:pPr>
          </w:p>
        </w:tc>
        <w:tc>
          <w:tcPr>
            <w:tcW w:w="566" w:type="dxa"/>
            <w:vAlign w:val="top"/>
          </w:tcPr>
          <w:p w14:paraId="22C3E4B9">
            <w:pPr>
              <w:spacing w:line="114" w:lineRule="exact"/>
              <w:rPr>
                <w:rFonts w:ascii="Arial"/>
                <w:sz w:val="9"/>
              </w:rPr>
            </w:pPr>
          </w:p>
        </w:tc>
        <w:tc>
          <w:tcPr>
            <w:tcW w:w="616" w:type="dxa"/>
            <w:vAlign w:val="top"/>
          </w:tcPr>
          <w:p w14:paraId="6E404917">
            <w:pPr>
              <w:spacing w:line="114" w:lineRule="exact"/>
              <w:rPr>
                <w:rFonts w:ascii="Arial"/>
                <w:sz w:val="9"/>
              </w:rPr>
            </w:pPr>
          </w:p>
        </w:tc>
        <w:tc>
          <w:tcPr>
            <w:tcW w:w="622" w:type="dxa"/>
            <w:tcBorders>
              <w:right w:val="single" w:color="000000" w:sz="6" w:space="0"/>
            </w:tcBorders>
            <w:vAlign w:val="top"/>
          </w:tcPr>
          <w:p w14:paraId="4480945B">
            <w:pPr>
              <w:spacing w:line="114" w:lineRule="exact"/>
              <w:rPr>
                <w:rFonts w:ascii="Arial"/>
                <w:sz w:val="9"/>
              </w:rPr>
            </w:pPr>
          </w:p>
        </w:tc>
      </w:tr>
      <w:tr w14:paraId="3413DF6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4E8F8F93">
            <w:pPr>
              <w:rPr>
                <w:rFonts w:ascii="Arial"/>
                <w:sz w:val="21"/>
              </w:rPr>
            </w:pPr>
          </w:p>
        </w:tc>
        <w:tc>
          <w:tcPr>
            <w:tcW w:w="419" w:type="dxa"/>
            <w:vAlign w:val="top"/>
          </w:tcPr>
          <w:p w14:paraId="009AD610">
            <w:pPr>
              <w:spacing w:line="202" w:lineRule="auto"/>
              <w:ind w:left="174"/>
              <w:rPr>
                <w:rFonts w:ascii="Constantia" w:hAnsi="Constantia" w:eastAsia="Constantia" w:cs="Constantia"/>
                <w:sz w:val="11"/>
                <w:szCs w:val="11"/>
              </w:rPr>
            </w:pPr>
            <w:r>
              <w:rPr>
                <w:rFonts w:ascii="Constantia" w:hAnsi="Constantia" w:eastAsia="Constantia" w:cs="Constantia"/>
                <w:b/>
                <w:bCs/>
                <w:sz w:val="11"/>
                <w:szCs w:val="11"/>
              </w:rPr>
              <w:t>8</w:t>
            </w:r>
          </w:p>
        </w:tc>
        <w:tc>
          <w:tcPr>
            <w:tcW w:w="1743" w:type="dxa"/>
            <w:gridSpan w:val="2"/>
            <w:vAlign w:val="top"/>
          </w:tcPr>
          <w:p w14:paraId="2F1AB320">
            <w:pPr>
              <w:pStyle w:val="6"/>
              <w:spacing w:before="13" w:line="168" w:lineRule="auto"/>
              <w:ind w:left="642"/>
              <w:rPr>
                <w:sz w:val="11"/>
                <w:szCs w:val="11"/>
              </w:rPr>
            </w:pPr>
            <w:r>
              <w:rPr>
                <w:b/>
                <w:bCs/>
                <w:spacing w:val="-1"/>
                <w:sz w:val="11"/>
                <w:szCs w:val="11"/>
              </w:rPr>
              <w:t>丁胺黑药</w:t>
            </w:r>
          </w:p>
        </w:tc>
        <w:tc>
          <w:tcPr>
            <w:tcW w:w="2294" w:type="dxa"/>
            <w:gridSpan w:val="2"/>
            <w:vAlign w:val="top"/>
          </w:tcPr>
          <w:p w14:paraId="703945B6">
            <w:pPr>
              <w:pStyle w:val="6"/>
              <w:spacing w:before="13" w:line="168" w:lineRule="auto"/>
              <w:ind w:left="1028"/>
              <w:rPr>
                <w:sz w:val="11"/>
                <w:szCs w:val="11"/>
              </w:rPr>
            </w:pPr>
            <w:r>
              <w:rPr>
                <w:b/>
                <w:bCs/>
                <w:spacing w:val="-2"/>
                <w:sz w:val="11"/>
                <w:szCs w:val="11"/>
              </w:rPr>
              <w:t>4.41</w:t>
            </w:r>
          </w:p>
        </w:tc>
        <w:tc>
          <w:tcPr>
            <w:tcW w:w="2103" w:type="dxa"/>
            <w:gridSpan w:val="2"/>
            <w:vAlign w:val="top"/>
          </w:tcPr>
          <w:p w14:paraId="240C1490">
            <w:pPr>
              <w:pStyle w:val="6"/>
              <w:spacing w:line="190"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7E8B7699">
            <w:pPr>
              <w:spacing w:line="114" w:lineRule="exact"/>
              <w:rPr>
                <w:rFonts w:ascii="Arial"/>
                <w:sz w:val="9"/>
              </w:rPr>
            </w:pPr>
          </w:p>
        </w:tc>
        <w:tc>
          <w:tcPr>
            <w:tcW w:w="873" w:type="dxa"/>
            <w:vAlign w:val="top"/>
          </w:tcPr>
          <w:p w14:paraId="3766B93B">
            <w:pPr>
              <w:spacing w:line="114" w:lineRule="exact"/>
              <w:rPr>
                <w:rFonts w:ascii="Arial"/>
                <w:sz w:val="9"/>
              </w:rPr>
            </w:pPr>
          </w:p>
        </w:tc>
        <w:tc>
          <w:tcPr>
            <w:tcW w:w="983" w:type="dxa"/>
            <w:vAlign w:val="top"/>
          </w:tcPr>
          <w:p w14:paraId="4CF58D4E">
            <w:pPr>
              <w:spacing w:line="114" w:lineRule="exact"/>
              <w:rPr>
                <w:rFonts w:ascii="Arial"/>
                <w:sz w:val="9"/>
              </w:rPr>
            </w:pPr>
          </w:p>
        </w:tc>
        <w:tc>
          <w:tcPr>
            <w:tcW w:w="1079" w:type="dxa"/>
            <w:vAlign w:val="top"/>
          </w:tcPr>
          <w:p w14:paraId="4054D733">
            <w:pPr>
              <w:spacing w:line="114" w:lineRule="exact"/>
              <w:rPr>
                <w:rFonts w:ascii="Arial"/>
                <w:sz w:val="9"/>
              </w:rPr>
            </w:pPr>
          </w:p>
        </w:tc>
        <w:tc>
          <w:tcPr>
            <w:tcW w:w="566" w:type="dxa"/>
            <w:vAlign w:val="top"/>
          </w:tcPr>
          <w:p w14:paraId="74636528">
            <w:pPr>
              <w:spacing w:line="114" w:lineRule="exact"/>
              <w:rPr>
                <w:rFonts w:ascii="Arial"/>
                <w:sz w:val="9"/>
              </w:rPr>
            </w:pPr>
          </w:p>
        </w:tc>
        <w:tc>
          <w:tcPr>
            <w:tcW w:w="616" w:type="dxa"/>
            <w:vAlign w:val="top"/>
          </w:tcPr>
          <w:p w14:paraId="6B52D544">
            <w:pPr>
              <w:spacing w:line="114" w:lineRule="exact"/>
              <w:rPr>
                <w:rFonts w:ascii="Arial"/>
                <w:sz w:val="9"/>
              </w:rPr>
            </w:pPr>
          </w:p>
        </w:tc>
        <w:tc>
          <w:tcPr>
            <w:tcW w:w="622" w:type="dxa"/>
            <w:tcBorders>
              <w:right w:val="single" w:color="000000" w:sz="6" w:space="0"/>
            </w:tcBorders>
            <w:vAlign w:val="top"/>
          </w:tcPr>
          <w:p w14:paraId="230C32E8">
            <w:pPr>
              <w:spacing w:line="114" w:lineRule="exact"/>
              <w:rPr>
                <w:rFonts w:ascii="Arial"/>
                <w:sz w:val="9"/>
              </w:rPr>
            </w:pPr>
          </w:p>
        </w:tc>
      </w:tr>
      <w:tr w14:paraId="76FA887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4" w:hRule="atLeast"/>
        </w:trPr>
        <w:tc>
          <w:tcPr>
            <w:tcW w:w="1118" w:type="dxa"/>
            <w:gridSpan w:val="2"/>
            <w:vMerge w:val="continue"/>
            <w:tcBorders>
              <w:top w:val="nil"/>
              <w:left w:val="single" w:color="000000" w:sz="6" w:space="0"/>
              <w:bottom w:val="nil"/>
            </w:tcBorders>
            <w:vAlign w:val="top"/>
          </w:tcPr>
          <w:p w14:paraId="5BC5BA01">
            <w:pPr>
              <w:rPr>
                <w:rFonts w:ascii="Arial"/>
                <w:sz w:val="21"/>
              </w:rPr>
            </w:pPr>
          </w:p>
        </w:tc>
        <w:tc>
          <w:tcPr>
            <w:tcW w:w="419" w:type="dxa"/>
            <w:vAlign w:val="top"/>
          </w:tcPr>
          <w:p w14:paraId="45013059">
            <w:pPr>
              <w:spacing w:line="203" w:lineRule="auto"/>
              <w:ind w:left="172"/>
              <w:rPr>
                <w:rFonts w:ascii="Constantia" w:hAnsi="Constantia" w:eastAsia="Constantia" w:cs="Constantia"/>
                <w:sz w:val="11"/>
                <w:szCs w:val="11"/>
              </w:rPr>
            </w:pPr>
            <w:r>
              <w:rPr>
                <w:rFonts w:ascii="Constantia" w:hAnsi="Constantia" w:eastAsia="Constantia" w:cs="Constantia"/>
                <w:b/>
                <w:bCs/>
                <w:sz w:val="11"/>
                <w:szCs w:val="11"/>
              </w:rPr>
              <w:t>9</w:t>
            </w:r>
          </w:p>
        </w:tc>
        <w:tc>
          <w:tcPr>
            <w:tcW w:w="1743" w:type="dxa"/>
            <w:gridSpan w:val="2"/>
            <w:vAlign w:val="top"/>
          </w:tcPr>
          <w:p w14:paraId="37BF50E7">
            <w:pPr>
              <w:pStyle w:val="6"/>
              <w:spacing w:before="13" w:line="168" w:lineRule="auto"/>
              <w:ind w:left="707"/>
              <w:rPr>
                <w:sz w:val="11"/>
                <w:szCs w:val="11"/>
              </w:rPr>
            </w:pPr>
            <w:r>
              <w:rPr>
                <w:b/>
                <w:bCs/>
                <w:spacing w:val="-5"/>
                <w:sz w:val="11"/>
                <w:szCs w:val="11"/>
              </w:rPr>
              <w:t>乙硫氮</w:t>
            </w:r>
          </w:p>
        </w:tc>
        <w:tc>
          <w:tcPr>
            <w:tcW w:w="2294" w:type="dxa"/>
            <w:gridSpan w:val="2"/>
            <w:vAlign w:val="top"/>
          </w:tcPr>
          <w:p w14:paraId="194116C1">
            <w:pPr>
              <w:pStyle w:val="6"/>
              <w:spacing w:before="13" w:line="168" w:lineRule="auto"/>
              <w:ind w:left="1029"/>
              <w:rPr>
                <w:sz w:val="11"/>
                <w:szCs w:val="11"/>
              </w:rPr>
            </w:pPr>
            <w:r>
              <w:rPr>
                <w:b/>
                <w:bCs/>
                <w:spacing w:val="-2"/>
                <w:sz w:val="11"/>
                <w:szCs w:val="11"/>
              </w:rPr>
              <w:t>8.82</w:t>
            </w:r>
          </w:p>
        </w:tc>
        <w:tc>
          <w:tcPr>
            <w:tcW w:w="2103" w:type="dxa"/>
            <w:gridSpan w:val="2"/>
            <w:vAlign w:val="top"/>
          </w:tcPr>
          <w:p w14:paraId="257E40DF">
            <w:pPr>
              <w:pStyle w:val="6"/>
              <w:spacing w:line="190"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71C409BD">
            <w:pPr>
              <w:spacing w:line="114" w:lineRule="exact"/>
              <w:rPr>
                <w:rFonts w:ascii="Arial"/>
                <w:sz w:val="9"/>
              </w:rPr>
            </w:pPr>
          </w:p>
        </w:tc>
        <w:tc>
          <w:tcPr>
            <w:tcW w:w="873" w:type="dxa"/>
            <w:vAlign w:val="top"/>
          </w:tcPr>
          <w:p w14:paraId="2B7D3692">
            <w:pPr>
              <w:spacing w:line="114" w:lineRule="exact"/>
              <w:rPr>
                <w:rFonts w:ascii="Arial"/>
                <w:sz w:val="9"/>
              </w:rPr>
            </w:pPr>
          </w:p>
        </w:tc>
        <w:tc>
          <w:tcPr>
            <w:tcW w:w="983" w:type="dxa"/>
            <w:vAlign w:val="top"/>
          </w:tcPr>
          <w:p w14:paraId="7848F5FD">
            <w:pPr>
              <w:spacing w:line="114" w:lineRule="exact"/>
              <w:rPr>
                <w:rFonts w:ascii="Arial"/>
                <w:sz w:val="9"/>
              </w:rPr>
            </w:pPr>
          </w:p>
        </w:tc>
        <w:tc>
          <w:tcPr>
            <w:tcW w:w="1079" w:type="dxa"/>
            <w:vAlign w:val="top"/>
          </w:tcPr>
          <w:p w14:paraId="16FDD8FA">
            <w:pPr>
              <w:spacing w:line="114" w:lineRule="exact"/>
              <w:rPr>
                <w:rFonts w:ascii="Arial"/>
                <w:sz w:val="9"/>
              </w:rPr>
            </w:pPr>
          </w:p>
        </w:tc>
        <w:tc>
          <w:tcPr>
            <w:tcW w:w="566" w:type="dxa"/>
            <w:vAlign w:val="top"/>
          </w:tcPr>
          <w:p w14:paraId="36CC9F8F">
            <w:pPr>
              <w:spacing w:line="114" w:lineRule="exact"/>
              <w:rPr>
                <w:rFonts w:ascii="Arial"/>
                <w:sz w:val="9"/>
              </w:rPr>
            </w:pPr>
          </w:p>
        </w:tc>
        <w:tc>
          <w:tcPr>
            <w:tcW w:w="616" w:type="dxa"/>
            <w:vAlign w:val="top"/>
          </w:tcPr>
          <w:p w14:paraId="3FCA0EEC">
            <w:pPr>
              <w:spacing w:line="114" w:lineRule="exact"/>
              <w:rPr>
                <w:rFonts w:ascii="Arial"/>
                <w:sz w:val="9"/>
              </w:rPr>
            </w:pPr>
          </w:p>
        </w:tc>
        <w:tc>
          <w:tcPr>
            <w:tcW w:w="622" w:type="dxa"/>
            <w:tcBorders>
              <w:right w:val="single" w:color="000000" w:sz="6" w:space="0"/>
            </w:tcBorders>
            <w:vAlign w:val="top"/>
          </w:tcPr>
          <w:p w14:paraId="147CB91B">
            <w:pPr>
              <w:spacing w:line="114" w:lineRule="exact"/>
              <w:rPr>
                <w:rFonts w:ascii="Arial"/>
                <w:sz w:val="9"/>
              </w:rPr>
            </w:pPr>
          </w:p>
        </w:tc>
      </w:tr>
      <w:tr w14:paraId="4D46EB7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3" w:hRule="atLeast"/>
        </w:trPr>
        <w:tc>
          <w:tcPr>
            <w:tcW w:w="1118" w:type="dxa"/>
            <w:gridSpan w:val="2"/>
            <w:vMerge w:val="continue"/>
            <w:tcBorders>
              <w:top w:val="nil"/>
              <w:left w:val="single" w:color="000000" w:sz="6" w:space="0"/>
            </w:tcBorders>
            <w:vAlign w:val="top"/>
          </w:tcPr>
          <w:p w14:paraId="1A8772BF">
            <w:pPr>
              <w:rPr>
                <w:rFonts w:ascii="Arial"/>
                <w:sz w:val="21"/>
              </w:rPr>
            </w:pPr>
          </w:p>
        </w:tc>
        <w:tc>
          <w:tcPr>
            <w:tcW w:w="419" w:type="dxa"/>
            <w:vAlign w:val="top"/>
          </w:tcPr>
          <w:p w14:paraId="5A581EFF">
            <w:pPr>
              <w:spacing w:before="5" w:line="210" w:lineRule="auto"/>
              <w:ind w:left="154"/>
              <w:rPr>
                <w:rFonts w:ascii="Constantia" w:hAnsi="Constantia" w:eastAsia="Constantia" w:cs="Constantia"/>
                <w:sz w:val="11"/>
                <w:szCs w:val="11"/>
              </w:rPr>
            </w:pPr>
            <w:r>
              <w:rPr>
                <w:rFonts w:ascii="Constantia" w:hAnsi="Constantia" w:eastAsia="Constantia" w:cs="Constantia"/>
                <w:b/>
                <w:bCs/>
                <w:spacing w:val="1"/>
                <w:sz w:val="11"/>
                <w:szCs w:val="11"/>
              </w:rPr>
              <w:t>10</w:t>
            </w:r>
          </w:p>
        </w:tc>
        <w:tc>
          <w:tcPr>
            <w:tcW w:w="4037" w:type="dxa"/>
            <w:gridSpan w:val="4"/>
            <w:vAlign w:val="top"/>
          </w:tcPr>
          <w:p w14:paraId="18CCE289">
            <w:pPr>
              <w:pStyle w:val="6"/>
              <w:spacing w:before="13" w:line="169" w:lineRule="auto"/>
              <w:ind w:left="734"/>
              <w:rPr>
                <w:sz w:val="11"/>
                <w:szCs w:val="11"/>
              </w:rPr>
            </w:pPr>
            <w:r>
              <w:rPr>
                <w:b/>
                <w:bCs/>
                <w:sz w:val="12"/>
                <w:szCs w:val="12"/>
              </w:rPr>
              <w:t>CY</w:t>
            </w:r>
            <w:r>
              <w:rPr>
                <w:b/>
                <w:bCs/>
                <w:spacing w:val="1"/>
                <w:sz w:val="12"/>
                <w:szCs w:val="12"/>
              </w:rPr>
              <w:t>-1</w:t>
            </w:r>
            <w:r>
              <w:rPr>
                <w:spacing w:val="1"/>
                <w:sz w:val="12"/>
                <w:szCs w:val="12"/>
              </w:rPr>
              <w:t xml:space="preserve">                             </w:t>
            </w:r>
            <w:r>
              <w:rPr>
                <w:b/>
                <w:bCs/>
                <w:spacing w:val="1"/>
                <w:sz w:val="11"/>
                <w:szCs w:val="11"/>
              </w:rPr>
              <w:t>14.7</w:t>
            </w:r>
          </w:p>
        </w:tc>
        <w:tc>
          <w:tcPr>
            <w:tcW w:w="2103" w:type="dxa"/>
            <w:gridSpan w:val="2"/>
            <w:vAlign w:val="top"/>
          </w:tcPr>
          <w:p w14:paraId="0745835B">
            <w:pPr>
              <w:pStyle w:val="6"/>
              <w:spacing w:before="5" w:line="198" w:lineRule="auto"/>
              <w:ind w:left="926"/>
              <w:rPr>
                <w:sz w:val="11"/>
                <w:szCs w:val="11"/>
              </w:rPr>
            </w:pPr>
            <w:r>
              <w:rPr>
                <w:b/>
                <w:bCs/>
                <w:spacing w:val="-8"/>
                <w:sz w:val="11"/>
                <w:szCs w:val="11"/>
              </w:rPr>
              <w:t>吨</w:t>
            </w:r>
            <w:r>
              <w:rPr>
                <w:rFonts w:ascii="Constantia" w:hAnsi="Constantia" w:eastAsia="Constantia" w:cs="Constantia"/>
                <w:b/>
                <w:bCs/>
                <w:spacing w:val="-8"/>
                <w:sz w:val="11"/>
                <w:szCs w:val="11"/>
              </w:rPr>
              <w:t>/</w:t>
            </w:r>
            <w:r>
              <w:rPr>
                <w:b/>
                <w:bCs/>
                <w:spacing w:val="-8"/>
                <w:sz w:val="11"/>
                <w:szCs w:val="11"/>
              </w:rPr>
              <w:t>年</w:t>
            </w:r>
          </w:p>
        </w:tc>
        <w:tc>
          <w:tcPr>
            <w:tcW w:w="2009" w:type="dxa"/>
            <w:gridSpan w:val="2"/>
            <w:vAlign w:val="top"/>
          </w:tcPr>
          <w:p w14:paraId="7C7095D8">
            <w:pPr>
              <w:spacing w:line="122" w:lineRule="exact"/>
              <w:rPr>
                <w:rFonts w:ascii="Arial"/>
                <w:sz w:val="10"/>
              </w:rPr>
            </w:pPr>
          </w:p>
        </w:tc>
        <w:tc>
          <w:tcPr>
            <w:tcW w:w="873" w:type="dxa"/>
            <w:vAlign w:val="top"/>
          </w:tcPr>
          <w:p w14:paraId="41DAD151">
            <w:pPr>
              <w:spacing w:line="122" w:lineRule="exact"/>
              <w:rPr>
                <w:rFonts w:ascii="Arial"/>
                <w:sz w:val="10"/>
              </w:rPr>
            </w:pPr>
          </w:p>
        </w:tc>
        <w:tc>
          <w:tcPr>
            <w:tcW w:w="983" w:type="dxa"/>
            <w:vAlign w:val="top"/>
          </w:tcPr>
          <w:p w14:paraId="7F356996">
            <w:pPr>
              <w:spacing w:line="122" w:lineRule="exact"/>
              <w:rPr>
                <w:rFonts w:ascii="Arial"/>
                <w:sz w:val="10"/>
              </w:rPr>
            </w:pPr>
          </w:p>
        </w:tc>
        <w:tc>
          <w:tcPr>
            <w:tcW w:w="1079" w:type="dxa"/>
            <w:vAlign w:val="top"/>
          </w:tcPr>
          <w:p w14:paraId="41EE9A2A">
            <w:pPr>
              <w:spacing w:line="122" w:lineRule="exact"/>
              <w:rPr>
                <w:rFonts w:ascii="Arial"/>
                <w:sz w:val="10"/>
              </w:rPr>
            </w:pPr>
          </w:p>
        </w:tc>
        <w:tc>
          <w:tcPr>
            <w:tcW w:w="566" w:type="dxa"/>
            <w:vAlign w:val="top"/>
          </w:tcPr>
          <w:p w14:paraId="32C9D3B1">
            <w:pPr>
              <w:spacing w:line="122" w:lineRule="exact"/>
              <w:rPr>
                <w:rFonts w:ascii="Arial"/>
                <w:sz w:val="10"/>
              </w:rPr>
            </w:pPr>
          </w:p>
        </w:tc>
        <w:tc>
          <w:tcPr>
            <w:tcW w:w="616" w:type="dxa"/>
            <w:vAlign w:val="top"/>
          </w:tcPr>
          <w:p w14:paraId="3AB4EA80">
            <w:pPr>
              <w:spacing w:line="122" w:lineRule="exact"/>
              <w:rPr>
                <w:rFonts w:ascii="Arial"/>
                <w:sz w:val="10"/>
              </w:rPr>
            </w:pPr>
          </w:p>
        </w:tc>
        <w:tc>
          <w:tcPr>
            <w:tcW w:w="622" w:type="dxa"/>
            <w:tcBorders>
              <w:right w:val="single" w:color="000000" w:sz="6" w:space="0"/>
            </w:tcBorders>
            <w:vAlign w:val="top"/>
          </w:tcPr>
          <w:p w14:paraId="40296468">
            <w:pPr>
              <w:spacing w:line="122" w:lineRule="exact"/>
              <w:rPr>
                <w:rFonts w:ascii="Arial"/>
                <w:sz w:val="10"/>
              </w:rPr>
            </w:pPr>
          </w:p>
        </w:tc>
      </w:tr>
      <w:tr w14:paraId="0DBDCD1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restart"/>
            <w:tcBorders>
              <w:left w:val="single" w:color="000000" w:sz="6" w:space="0"/>
              <w:bottom w:val="nil"/>
            </w:tcBorders>
            <w:shd w:val="clear" w:color="auto" w:fill="BFBFBF"/>
            <w:vAlign w:val="top"/>
          </w:tcPr>
          <w:p w14:paraId="3ACC3C7A">
            <w:pPr>
              <w:spacing w:line="301" w:lineRule="auto"/>
              <w:rPr>
                <w:rFonts w:ascii="Arial"/>
                <w:sz w:val="21"/>
              </w:rPr>
            </w:pPr>
          </w:p>
          <w:p w14:paraId="1C7095F4">
            <w:pPr>
              <w:spacing w:line="301" w:lineRule="auto"/>
              <w:rPr>
                <w:rFonts w:ascii="Arial"/>
                <w:sz w:val="21"/>
              </w:rPr>
            </w:pPr>
          </w:p>
          <w:p w14:paraId="683AC0B4">
            <w:pPr>
              <w:spacing w:line="301" w:lineRule="auto"/>
              <w:rPr>
                <w:rFonts w:ascii="Arial"/>
                <w:sz w:val="21"/>
              </w:rPr>
            </w:pPr>
          </w:p>
          <w:p w14:paraId="0C95DCE6">
            <w:pPr>
              <w:spacing w:before="56" w:line="181" w:lineRule="auto"/>
              <w:ind w:left="35"/>
              <w:rPr>
                <w:rFonts w:ascii="微软雅黑" w:hAnsi="微软雅黑" w:eastAsia="微软雅黑" w:cs="微软雅黑"/>
                <w:sz w:val="13"/>
                <w:szCs w:val="13"/>
              </w:rPr>
            </w:pPr>
            <w:r>
              <w:rPr>
                <w:rFonts w:ascii="微软雅黑" w:hAnsi="微软雅黑" w:eastAsia="微软雅黑" w:cs="微软雅黑"/>
                <w:b/>
                <w:bCs/>
                <w:spacing w:val="5"/>
                <w:sz w:val="13"/>
                <w:szCs w:val="13"/>
              </w:rPr>
              <w:t>大气污染</w:t>
            </w:r>
          </w:p>
          <w:p w14:paraId="51C7CFB3">
            <w:pPr>
              <w:spacing w:before="1" w:line="191" w:lineRule="auto"/>
              <w:ind w:left="101" w:right="24" w:hanging="64"/>
              <w:rPr>
                <w:rFonts w:ascii="微软雅黑" w:hAnsi="微软雅黑" w:eastAsia="微软雅黑" w:cs="微软雅黑"/>
                <w:sz w:val="13"/>
                <w:szCs w:val="13"/>
              </w:rPr>
            </w:pPr>
            <w:r>
              <w:rPr>
                <w:rFonts w:ascii="微软雅黑" w:hAnsi="微软雅黑" w:eastAsia="微软雅黑" w:cs="微软雅黑"/>
                <w:b/>
                <w:bCs/>
                <w:spacing w:val="5"/>
                <w:sz w:val="13"/>
                <w:szCs w:val="13"/>
              </w:rPr>
              <w:t>治理与排</w:t>
            </w:r>
            <w:r>
              <w:rPr>
                <w:rFonts w:ascii="微软雅黑" w:hAnsi="微软雅黑" w:eastAsia="微软雅黑" w:cs="微软雅黑"/>
                <w:b/>
                <w:bCs/>
                <w:sz w:val="13"/>
                <w:szCs w:val="13"/>
              </w:rPr>
              <w:t xml:space="preserve"> </w:t>
            </w:r>
            <w:r>
              <w:rPr>
                <w:rFonts w:ascii="微软雅黑" w:hAnsi="微软雅黑" w:eastAsia="微软雅黑" w:cs="微软雅黑"/>
                <w:b/>
                <w:bCs/>
                <w:spacing w:val="5"/>
                <w:sz w:val="13"/>
                <w:szCs w:val="13"/>
              </w:rPr>
              <w:t>放信息</w:t>
            </w:r>
          </w:p>
        </w:tc>
        <w:tc>
          <w:tcPr>
            <w:tcW w:w="496" w:type="dxa"/>
            <w:vMerge w:val="restart"/>
            <w:tcBorders>
              <w:bottom w:val="nil"/>
            </w:tcBorders>
            <w:shd w:val="clear" w:color="auto" w:fill="BFBFBF"/>
            <w:vAlign w:val="top"/>
          </w:tcPr>
          <w:p w14:paraId="0C3E115F">
            <w:pPr>
              <w:spacing w:line="264" w:lineRule="auto"/>
              <w:rPr>
                <w:rFonts w:ascii="Arial"/>
                <w:sz w:val="21"/>
              </w:rPr>
            </w:pPr>
          </w:p>
          <w:p w14:paraId="1EB46C54">
            <w:pPr>
              <w:spacing w:before="56" w:line="181" w:lineRule="auto"/>
              <w:ind w:left="33"/>
              <w:rPr>
                <w:rFonts w:ascii="微软雅黑" w:hAnsi="微软雅黑" w:eastAsia="微软雅黑" w:cs="微软雅黑"/>
                <w:sz w:val="13"/>
                <w:szCs w:val="13"/>
              </w:rPr>
            </w:pPr>
            <w:r>
              <w:rPr>
                <w:rFonts w:ascii="微软雅黑" w:hAnsi="微软雅黑" w:eastAsia="微软雅黑" w:cs="微软雅黑"/>
                <w:b/>
                <w:bCs/>
                <w:spacing w:val="4"/>
                <w:sz w:val="13"/>
                <w:szCs w:val="13"/>
              </w:rPr>
              <w:t>有组织</w:t>
            </w:r>
          </w:p>
          <w:p w14:paraId="51A7E5AE">
            <w:pPr>
              <w:spacing w:line="180" w:lineRule="auto"/>
              <w:ind w:left="102"/>
              <w:rPr>
                <w:rFonts w:ascii="微软雅黑" w:hAnsi="微软雅黑" w:eastAsia="微软雅黑" w:cs="微软雅黑"/>
                <w:sz w:val="13"/>
                <w:szCs w:val="13"/>
              </w:rPr>
            </w:pPr>
            <w:r>
              <w:rPr>
                <w:rFonts w:ascii="微软雅黑" w:hAnsi="微软雅黑" w:eastAsia="微软雅黑" w:cs="微软雅黑"/>
                <w:b/>
                <w:bCs/>
                <w:spacing w:val="4"/>
                <w:sz w:val="13"/>
                <w:szCs w:val="13"/>
              </w:rPr>
              <w:t>排放</w:t>
            </w:r>
          </w:p>
          <w:p w14:paraId="44B7F5A1">
            <w:pPr>
              <w:spacing w:line="181" w:lineRule="auto"/>
              <w:ind w:left="45"/>
              <w:rPr>
                <w:rFonts w:ascii="微软雅黑" w:hAnsi="微软雅黑" w:eastAsia="微软雅黑" w:cs="微软雅黑"/>
                <w:sz w:val="13"/>
                <w:szCs w:val="13"/>
              </w:rPr>
            </w:pPr>
            <w:r>
              <w:rPr>
                <w:rFonts w:ascii="微软雅黑" w:hAnsi="微软雅黑" w:eastAsia="微软雅黑" w:cs="微软雅黑"/>
                <w:b/>
                <w:bCs/>
                <w:spacing w:val="-1"/>
                <w:sz w:val="13"/>
                <w:szCs w:val="13"/>
              </w:rPr>
              <w:t>（主要</w:t>
            </w:r>
          </w:p>
          <w:p w14:paraId="68593C66">
            <w:pPr>
              <w:spacing w:line="180" w:lineRule="auto"/>
              <w:ind w:left="102"/>
              <w:rPr>
                <w:rFonts w:ascii="微软雅黑" w:hAnsi="微软雅黑" w:eastAsia="微软雅黑" w:cs="微软雅黑"/>
                <w:sz w:val="13"/>
                <w:szCs w:val="13"/>
              </w:rPr>
            </w:pPr>
            <w:r>
              <w:rPr>
                <w:rFonts w:ascii="微软雅黑" w:hAnsi="微软雅黑" w:eastAsia="微软雅黑" w:cs="微软雅黑"/>
                <w:b/>
                <w:bCs/>
                <w:spacing w:val="4"/>
                <w:sz w:val="13"/>
                <w:szCs w:val="13"/>
              </w:rPr>
              <w:t>排放</w:t>
            </w:r>
          </w:p>
          <w:p w14:paraId="22AD81A7">
            <w:pPr>
              <w:spacing w:line="187" w:lineRule="auto"/>
              <w:ind w:left="118"/>
              <w:rPr>
                <w:rFonts w:ascii="微软雅黑" w:hAnsi="微软雅黑" w:eastAsia="微软雅黑" w:cs="微软雅黑"/>
                <w:sz w:val="13"/>
                <w:szCs w:val="13"/>
              </w:rPr>
            </w:pPr>
            <w:r>
              <w:rPr>
                <w:rFonts w:ascii="微软雅黑" w:hAnsi="微软雅黑" w:eastAsia="微软雅黑" w:cs="微软雅黑"/>
                <w:b/>
                <w:bCs/>
                <w:spacing w:val="-8"/>
                <w:sz w:val="13"/>
                <w:szCs w:val="13"/>
              </w:rPr>
              <w:t>口）</w:t>
            </w:r>
          </w:p>
        </w:tc>
        <w:tc>
          <w:tcPr>
            <w:tcW w:w="419" w:type="dxa"/>
            <w:vMerge w:val="restart"/>
            <w:tcBorders>
              <w:bottom w:val="nil"/>
            </w:tcBorders>
            <w:shd w:val="clear" w:color="auto" w:fill="BFBFBF"/>
            <w:vAlign w:val="top"/>
          </w:tcPr>
          <w:p w14:paraId="1814D893">
            <w:pPr>
              <w:spacing w:before="107" w:line="177" w:lineRule="auto"/>
              <w:ind w:left="87"/>
              <w:rPr>
                <w:rFonts w:ascii="微软雅黑" w:hAnsi="微软雅黑" w:eastAsia="微软雅黑" w:cs="微软雅黑"/>
                <w:sz w:val="11"/>
                <w:szCs w:val="11"/>
              </w:rPr>
            </w:pPr>
            <w:r>
              <w:rPr>
                <w:rFonts w:ascii="微软雅黑" w:hAnsi="微软雅黑" w:eastAsia="微软雅黑" w:cs="微软雅黑"/>
                <w:b/>
                <w:bCs/>
                <w:sz w:val="11"/>
                <w:szCs w:val="11"/>
              </w:rPr>
              <w:t>序号</w:t>
            </w:r>
          </w:p>
          <w:p w14:paraId="03260DE0">
            <w:pPr>
              <w:spacing w:line="176" w:lineRule="auto"/>
              <w:ind w:left="96"/>
              <w:rPr>
                <w:rFonts w:ascii="微软雅黑" w:hAnsi="微软雅黑" w:eastAsia="微软雅黑" w:cs="微软雅黑"/>
                <w:sz w:val="11"/>
                <w:szCs w:val="11"/>
              </w:rPr>
            </w:pPr>
            <w:r>
              <w:rPr>
                <w:rFonts w:ascii="微软雅黑" w:hAnsi="微软雅黑" w:eastAsia="微软雅黑" w:cs="微软雅黑"/>
                <w:b/>
                <w:bCs/>
                <w:spacing w:val="-7"/>
                <w:w w:val="99"/>
                <w:sz w:val="11"/>
                <w:szCs w:val="11"/>
              </w:rPr>
              <w:t>（编</w:t>
            </w:r>
          </w:p>
          <w:p w14:paraId="60A704C2">
            <w:pPr>
              <w:spacing w:line="183" w:lineRule="auto"/>
              <w:ind w:left="90"/>
              <w:rPr>
                <w:rFonts w:ascii="微软雅黑" w:hAnsi="微软雅黑" w:eastAsia="微软雅黑" w:cs="微软雅黑"/>
                <w:sz w:val="11"/>
                <w:szCs w:val="11"/>
              </w:rPr>
            </w:pPr>
            <w:r>
              <w:rPr>
                <w:rFonts w:ascii="微软雅黑" w:hAnsi="微软雅黑" w:eastAsia="微软雅黑" w:cs="微软雅黑"/>
                <w:b/>
                <w:bCs/>
                <w:spacing w:val="-3"/>
                <w:sz w:val="11"/>
                <w:szCs w:val="11"/>
              </w:rPr>
              <w:t>号）</w:t>
            </w:r>
          </w:p>
        </w:tc>
        <w:tc>
          <w:tcPr>
            <w:tcW w:w="897" w:type="dxa"/>
            <w:vMerge w:val="restart"/>
            <w:tcBorders>
              <w:bottom w:val="nil"/>
            </w:tcBorders>
            <w:shd w:val="clear" w:color="auto" w:fill="BFBFBF"/>
            <w:vAlign w:val="top"/>
          </w:tcPr>
          <w:p w14:paraId="7A581F20">
            <w:pPr>
              <w:spacing w:before="247" w:line="188" w:lineRule="auto"/>
              <w:ind w:left="158"/>
              <w:rPr>
                <w:rFonts w:ascii="微软雅黑" w:hAnsi="微软雅黑" w:eastAsia="微软雅黑" w:cs="微软雅黑"/>
                <w:sz w:val="11"/>
                <w:szCs w:val="11"/>
              </w:rPr>
            </w:pPr>
            <w:r>
              <w:rPr>
                <w:rFonts w:ascii="微软雅黑" w:hAnsi="微软雅黑" w:eastAsia="微软雅黑" w:cs="微软雅黑"/>
                <w:b/>
                <w:bCs/>
                <w:spacing w:val="1"/>
                <w:sz w:val="11"/>
                <w:szCs w:val="11"/>
              </w:rPr>
              <w:t>排放口名称</w:t>
            </w:r>
          </w:p>
        </w:tc>
        <w:tc>
          <w:tcPr>
            <w:tcW w:w="846" w:type="dxa"/>
            <w:vMerge w:val="restart"/>
            <w:tcBorders>
              <w:bottom w:val="nil"/>
            </w:tcBorders>
            <w:shd w:val="clear" w:color="auto" w:fill="BFBFBF"/>
            <w:vAlign w:val="top"/>
          </w:tcPr>
          <w:p w14:paraId="09C49905">
            <w:pPr>
              <w:spacing w:before="177" w:line="177" w:lineRule="auto"/>
              <w:ind w:left="132"/>
              <w:rPr>
                <w:rFonts w:ascii="微软雅黑" w:hAnsi="微软雅黑" w:eastAsia="微软雅黑" w:cs="微软雅黑"/>
                <w:sz w:val="11"/>
                <w:szCs w:val="11"/>
              </w:rPr>
            </w:pPr>
            <w:r>
              <w:rPr>
                <w:rFonts w:ascii="微软雅黑" w:hAnsi="微软雅黑" w:eastAsia="微软雅黑" w:cs="微软雅黑"/>
                <w:b/>
                <w:bCs/>
                <w:spacing w:val="1"/>
                <w:sz w:val="11"/>
                <w:szCs w:val="11"/>
              </w:rPr>
              <w:t>排气筒高度</w:t>
            </w:r>
          </w:p>
          <w:p w14:paraId="2C9F0BD2">
            <w:pPr>
              <w:spacing w:line="183" w:lineRule="auto"/>
              <w:ind w:left="254"/>
              <w:rPr>
                <w:rFonts w:ascii="微软雅黑" w:hAnsi="微软雅黑" w:eastAsia="微软雅黑" w:cs="微软雅黑"/>
                <w:sz w:val="11"/>
                <w:szCs w:val="11"/>
              </w:rPr>
            </w:pPr>
            <w:r>
              <w:rPr>
                <w:rFonts w:ascii="微软雅黑" w:hAnsi="微软雅黑" w:eastAsia="微软雅黑" w:cs="微软雅黑"/>
                <w:b/>
                <w:bCs/>
                <w:spacing w:val="-3"/>
                <w:sz w:val="11"/>
                <w:szCs w:val="11"/>
              </w:rPr>
              <w:t>（米）</w:t>
            </w:r>
          </w:p>
        </w:tc>
        <w:tc>
          <w:tcPr>
            <w:tcW w:w="3277" w:type="dxa"/>
            <w:gridSpan w:val="3"/>
            <w:vMerge w:val="restart"/>
            <w:tcBorders>
              <w:bottom w:val="nil"/>
            </w:tcBorders>
            <w:shd w:val="clear" w:color="auto" w:fill="BFBFBF"/>
            <w:vAlign w:val="top"/>
          </w:tcPr>
          <w:p w14:paraId="015CC57A">
            <w:pPr>
              <w:spacing w:before="107" w:line="188" w:lineRule="auto"/>
              <w:ind w:left="1184"/>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污染防治设施工艺</w:t>
            </w:r>
          </w:p>
        </w:tc>
        <w:tc>
          <w:tcPr>
            <w:tcW w:w="2189" w:type="dxa"/>
            <w:gridSpan w:val="2"/>
            <w:vMerge w:val="restart"/>
            <w:tcBorders>
              <w:bottom w:val="nil"/>
            </w:tcBorders>
            <w:shd w:val="clear" w:color="auto" w:fill="BFBFBF"/>
            <w:vAlign w:val="top"/>
          </w:tcPr>
          <w:p w14:paraId="3057FA3E">
            <w:pPr>
              <w:spacing w:before="107" w:line="188" w:lineRule="auto"/>
              <w:ind w:left="866"/>
              <w:rPr>
                <w:rFonts w:ascii="微软雅黑" w:hAnsi="微软雅黑" w:eastAsia="微软雅黑" w:cs="微软雅黑"/>
                <w:sz w:val="11"/>
                <w:szCs w:val="11"/>
              </w:rPr>
            </w:pPr>
            <w:r>
              <w:rPr>
                <w:rFonts w:ascii="微软雅黑" w:hAnsi="微软雅黑" w:eastAsia="微软雅黑" w:cs="微软雅黑"/>
                <w:b/>
                <w:bCs/>
                <w:spacing w:val="1"/>
                <w:sz w:val="11"/>
                <w:szCs w:val="11"/>
              </w:rPr>
              <w:t>生产设施</w:t>
            </w:r>
          </w:p>
        </w:tc>
        <w:tc>
          <w:tcPr>
            <w:tcW w:w="5679" w:type="dxa"/>
            <w:gridSpan w:val="7"/>
            <w:tcBorders>
              <w:right w:val="single" w:color="000000" w:sz="6" w:space="0"/>
            </w:tcBorders>
            <w:shd w:val="clear" w:color="auto" w:fill="BFBFBF"/>
            <w:vAlign w:val="top"/>
          </w:tcPr>
          <w:p w14:paraId="17C5CC02">
            <w:pPr>
              <w:spacing w:before="24" w:line="108" w:lineRule="exact"/>
              <w:ind w:left="2558"/>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74636F2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2DA91901">
            <w:pPr>
              <w:rPr>
                <w:rFonts w:ascii="Arial"/>
                <w:sz w:val="21"/>
              </w:rPr>
            </w:pPr>
          </w:p>
        </w:tc>
        <w:tc>
          <w:tcPr>
            <w:tcW w:w="496" w:type="dxa"/>
            <w:vMerge w:val="continue"/>
            <w:tcBorders>
              <w:top w:val="nil"/>
              <w:bottom w:val="nil"/>
            </w:tcBorders>
            <w:vAlign w:val="top"/>
          </w:tcPr>
          <w:p w14:paraId="42193D9C">
            <w:pPr>
              <w:rPr>
                <w:rFonts w:ascii="Arial"/>
                <w:sz w:val="21"/>
              </w:rPr>
            </w:pPr>
          </w:p>
        </w:tc>
        <w:tc>
          <w:tcPr>
            <w:tcW w:w="419" w:type="dxa"/>
            <w:vMerge w:val="continue"/>
            <w:tcBorders>
              <w:top w:val="nil"/>
              <w:bottom w:val="nil"/>
            </w:tcBorders>
            <w:vAlign w:val="top"/>
          </w:tcPr>
          <w:p w14:paraId="078FF10C">
            <w:pPr>
              <w:rPr>
                <w:rFonts w:ascii="Arial"/>
                <w:sz w:val="21"/>
              </w:rPr>
            </w:pPr>
          </w:p>
        </w:tc>
        <w:tc>
          <w:tcPr>
            <w:tcW w:w="897" w:type="dxa"/>
            <w:vMerge w:val="continue"/>
            <w:tcBorders>
              <w:top w:val="nil"/>
              <w:bottom w:val="nil"/>
            </w:tcBorders>
            <w:vAlign w:val="top"/>
          </w:tcPr>
          <w:p w14:paraId="10DC74B7">
            <w:pPr>
              <w:rPr>
                <w:rFonts w:ascii="Arial"/>
                <w:sz w:val="21"/>
              </w:rPr>
            </w:pPr>
          </w:p>
        </w:tc>
        <w:tc>
          <w:tcPr>
            <w:tcW w:w="846" w:type="dxa"/>
            <w:vMerge w:val="continue"/>
            <w:tcBorders>
              <w:top w:val="nil"/>
              <w:bottom w:val="nil"/>
            </w:tcBorders>
            <w:vAlign w:val="top"/>
          </w:tcPr>
          <w:p w14:paraId="7AB220C9">
            <w:pPr>
              <w:rPr>
                <w:rFonts w:ascii="Arial"/>
                <w:sz w:val="21"/>
              </w:rPr>
            </w:pPr>
          </w:p>
        </w:tc>
        <w:tc>
          <w:tcPr>
            <w:tcW w:w="3277" w:type="dxa"/>
            <w:gridSpan w:val="3"/>
            <w:vMerge w:val="continue"/>
            <w:tcBorders>
              <w:top w:val="nil"/>
            </w:tcBorders>
            <w:vAlign w:val="top"/>
          </w:tcPr>
          <w:p w14:paraId="73AB90DC">
            <w:pPr>
              <w:rPr>
                <w:rFonts w:ascii="Arial"/>
                <w:sz w:val="21"/>
              </w:rPr>
            </w:pPr>
          </w:p>
        </w:tc>
        <w:tc>
          <w:tcPr>
            <w:tcW w:w="2189" w:type="dxa"/>
            <w:gridSpan w:val="2"/>
            <w:vMerge w:val="continue"/>
            <w:tcBorders>
              <w:top w:val="nil"/>
            </w:tcBorders>
            <w:vAlign w:val="top"/>
          </w:tcPr>
          <w:p w14:paraId="6F345362">
            <w:pPr>
              <w:rPr>
                <w:rFonts w:ascii="Arial"/>
                <w:sz w:val="21"/>
              </w:rPr>
            </w:pPr>
          </w:p>
        </w:tc>
        <w:tc>
          <w:tcPr>
            <w:tcW w:w="940" w:type="dxa"/>
            <w:shd w:val="clear" w:color="auto" w:fill="BFBFBF"/>
            <w:vAlign w:val="top"/>
          </w:tcPr>
          <w:p w14:paraId="60615ED9">
            <w:pPr>
              <w:spacing w:line="132" w:lineRule="exact"/>
              <w:rPr>
                <w:rFonts w:ascii="Arial"/>
                <w:sz w:val="11"/>
              </w:rPr>
            </w:pPr>
          </w:p>
        </w:tc>
        <w:tc>
          <w:tcPr>
            <w:tcW w:w="873" w:type="dxa"/>
            <w:vMerge w:val="restart"/>
            <w:tcBorders>
              <w:bottom w:val="nil"/>
            </w:tcBorders>
            <w:shd w:val="clear" w:color="auto" w:fill="BFBFBF"/>
            <w:vAlign w:val="top"/>
          </w:tcPr>
          <w:p w14:paraId="17D4C5A5">
            <w:pPr>
              <w:spacing w:before="93" w:line="177" w:lineRule="auto"/>
              <w:ind w:left="42"/>
              <w:rPr>
                <w:rFonts w:ascii="微软雅黑" w:hAnsi="微软雅黑" w:eastAsia="微软雅黑" w:cs="微软雅黑"/>
                <w:sz w:val="11"/>
                <w:szCs w:val="11"/>
              </w:rPr>
            </w:pPr>
            <w:r>
              <w:rPr>
                <w:rFonts w:ascii="微软雅黑" w:hAnsi="微软雅黑" w:eastAsia="微软雅黑" w:cs="微软雅黑"/>
                <w:b/>
                <w:bCs/>
                <w:spacing w:val="2"/>
                <w:sz w:val="11"/>
                <w:szCs w:val="11"/>
              </w:rPr>
              <w:t>排放浓度（毫克</w:t>
            </w:r>
          </w:p>
          <w:p w14:paraId="39702F44">
            <w:pPr>
              <w:spacing w:line="183" w:lineRule="auto"/>
              <w:ind w:left="181"/>
              <w:rPr>
                <w:rFonts w:ascii="微软雅黑" w:hAnsi="微软雅黑" w:eastAsia="微软雅黑" w:cs="微软雅黑"/>
                <w:sz w:val="11"/>
                <w:szCs w:val="11"/>
              </w:rPr>
            </w:pPr>
            <w:r>
              <w:rPr>
                <w:rFonts w:ascii="微软雅黑" w:hAnsi="微软雅黑" w:eastAsia="微软雅黑" w:cs="微软雅黑"/>
                <w:b/>
                <w:bCs/>
                <w:spacing w:val="1"/>
                <w:sz w:val="11"/>
                <w:szCs w:val="11"/>
              </w:rPr>
              <w:t>/立方米）</w:t>
            </w:r>
          </w:p>
        </w:tc>
        <w:tc>
          <w:tcPr>
            <w:tcW w:w="983" w:type="dxa"/>
            <w:vMerge w:val="restart"/>
            <w:tcBorders>
              <w:bottom w:val="nil"/>
            </w:tcBorders>
            <w:shd w:val="clear" w:color="auto" w:fill="BFBFBF"/>
            <w:vAlign w:val="top"/>
          </w:tcPr>
          <w:p w14:paraId="73ABBE30">
            <w:pPr>
              <w:spacing w:before="93" w:line="177" w:lineRule="auto"/>
              <w:ind w:left="268"/>
              <w:rPr>
                <w:rFonts w:ascii="微软雅黑" w:hAnsi="微软雅黑" w:eastAsia="微软雅黑" w:cs="微软雅黑"/>
                <w:sz w:val="11"/>
                <w:szCs w:val="11"/>
              </w:rPr>
            </w:pPr>
            <w:r>
              <w:rPr>
                <w:rFonts w:ascii="微软雅黑" w:hAnsi="微软雅黑" w:eastAsia="微软雅黑" w:cs="微软雅黑"/>
                <w:b/>
                <w:bCs/>
                <w:spacing w:val="1"/>
                <w:sz w:val="11"/>
                <w:szCs w:val="11"/>
              </w:rPr>
              <w:t>排放速率</w:t>
            </w:r>
          </w:p>
          <w:p w14:paraId="5039ED92">
            <w:pPr>
              <w:spacing w:line="182" w:lineRule="auto"/>
              <w:ind w:left="203"/>
              <w:rPr>
                <w:rFonts w:ascii="微软雅黑" w:hAnsi="微软雅黑" w:eastAsia="微软雅黑" w:cs="微软雅黑"/>
                <w:sz w:val="11"/>
                <w:szCs w:val="11"/>
              </w:rPr>
            </w:pPr>
            <w:r>
              <w:rPr>
                <w:rFonts w:ascii="微软雅黑" w:hAnsi="微软雅黑" w:eastAsia="微软雅黑" w:cs="微软雅黑"/>
                <w:b/>
                <w:bCs/>
                <w:spacing w:val="2"/>
                <w:sz w:val="11"/>
                <w:szCs w:val="11"/>
              </w:rPr>
              <w:t>(千克/小时)</w:t>
            </w:r>
          </w:p>
        </w:tc>
        <w:tc>
          <w:tcPr>
            <w:tcW w:w="1079" w:type="dxa"/>
            <w:shd w:val="clear" w:color="auto" w:fill="BFBFBF"/>
            <w:vAlign w:val="top"/>
          </w:tcPr>
          <w:p w14:paraId="6216EEFC">
            <w:pPr>
              <w:spacing w:before="23" w:line="109" w:lineRule="exact"/>
              <w:ind w:left="21"/>
              <w:rPr>
                <w:rFonts w:ascii="微软雅黑" w:hAnsi="微软雅黑" w:eastAsia="微软雅黑" w:cs="微软雅黑"/>
                <w:sz w:val="11"/>
                <w:szCs w:val="11"/>
              </w:rPr>
            </w:pPr>
            <w:r>
              <w:rPr>
                <w:rFonts w:ascii="微软雅黑" w:hAnsi="微软雅黑" w:eastAsia="微软雅黑" w:cs="微软雅黑"/>
                <w:b/>
                <w:bCs/>
                <w:spacing w:val="1"/>
                <w:sz w:val="11"/>
                <w:szCs w:val="11"/>
              </w:rPr>
              <w:t>排放量（吨/年）</w:t>
            </w:r>
          </w:p>
        </w:tc>
        <w:tc>
          <w:tcPr>
            <w:tcW w:w="1804" w:type="dxa"/>
            <w:gridSpan w:val="3"/>
            <w:vMerge w:val="restart"/>
            <w:tcBorders>
              <w:bottom w:val="nil"/>
              <w:right w:val="single" w:color="000000" w:sz="6" w:space="0"/>
            </w:tcBorders>
            <w:shd w:val="clear" w:color="auto" w:fill="BFBFBF"/>
            <w:vAlign w:val="top"/>
          </w:tcPr>
          <w:p w14:paraId="3C6AC74D">
            <w:pPr>
              <w:spacing w:before="162" w:line="188" w:lineRule="auto"/>
              <w:ind w:left="562"/>
              <w:rPr>
                <w:rFonts w:ascii="微软雅黑" w:hAnsi="微软雅黑" w:eastAsia="微软雅黑" w:cs="微软雅黑"/>
                <w:sz w:val="11"/>
                <w:szCs w:val="11"/>
              </w:rPr>
            </w:pPr>
            <w:r>
              <w:rPr>
                <w:rFonts w:ascii="微软雅黑" w:hAnsi="微软雅黑" w:eastAsia="微软雅黑" w:cs="微软雅黑"/>
                <w:b/>
                <w:bCs/>
                <w:spacing w:val="2"/>
                <w:sz w:val="11"/>
                <w:szCs w:val="11"/>
              </w:rPr>
              <w:t>排放标准名称</w:t>
            </w:r>
          </w:p>
        </w:tc>
      </w:tr>
      <w:tr w14:paraId="5DA3DCF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622" w:type="dxa"/>
            <w:vMerge w:val="continue"/>
            <w:tcBorders>
              <w:top w:val="nil"/>
              <w:left w:val="single" w:color="000000" w:sz="6" w:space="0"/>
              <w:bottom w:val="nil"/>
            </w:tcBorders>
            <w:vAlign w:val="top"/>
          </w:tcPr>
          <w:p w14:paraId="0DDDDB3D">
            <w:pPr>
              <w:rPr>
                <w:rFonts w:ascii="Arial"/>
                <w:sz w:val="21"/>
              </w:rPr>
            </w:pPr>
          </w:p>
        </w:tc>
        <w:tc>
          <w:tcPr>
            <w:tcW w:w="496" w:type="dxa"/>
            <w:vMerge w:val="continue"/>
            <w:tcBorders>
              <w:top w:val="nil"/>
              <w:bottom w:val="nil"/>
            </w:tcBorders>
            <w:vAlign w:val="top"/>
          </w:tcPr>
          <w:p w14:paraId="55AF7156">
            <w:pPr>
              <w:rPr>
                <w:rFonts w:ascii="Arial"/>
                <w:sz w:val="21"/>
              </w:rPr>
            </w:pPr>
          </w:p>
        </w:tc>
        <w:tc>
          <w:tcPr>
            <w:tcW w:w="419" w:type="dxa"/>
            <w:vMerge w:val="continue"/>
            <w:tcBorders>
              <w:top w:val="nil"/>
            </w:tcBorders>
            <w:vAlign w:val="top"/>
          </w:tcPr>
          <w:p w14:paraId="7E65620C">
            <w:pPr>
              <w:rPr>
                <w:rFonts w:ascii="Arial"/>
                <w:sz w:val="21"/>
              </w:rPr>
            </w:pPr>
          </w:p>
        </w:tc>
        <w:tc>
          <w:tcPr>
            <w:tcW w:w="897" w:type="dxa"/>
            <w:vMerge w:val="continue"/>
            <w:tcBorders>
              <w:top w:val="nil"/>
            </w:tcBorders>
            <w:vAlign w:val="top"/>
          </w:tcPr>
          <w:p w14:paraId="3BA9AF45">
            <w:pPr>
              <w:rPr>
                <w:rFonts w:ascii="Arial"/>
                <w:sz w:val="21"/>
              </w:rPr>
            </w:pPr>
          </w:p>
        </w:tc>
        <w:tc>
          <w:tcPr>
            <w:tcW w:w="846" w:type="dxa"/>
            <w:vMerge w:val="continue"/>
            <w:tcBorders>
              <w:top w:val="nil"/>
            </w:tcBorders>
            <w:vAlign w:val="top"/>
          </w:tcPr>
          <w:p w14:paraId="02D42AE3">
            <w:pPr>
              <w:rPr>
                <w:rFonts w:ascii="Arial"/>
                <w:sz w:val="21"/>
              </w:rPr>
            </w:pPr>
          </w:p>
        </w:tc>
        <w:tc>
          <w:tcPr>
            <w:tcW w:w="1079" w:type="dxa"/>
            <w:shd w:val="clear" w:color="auto" w:fill="BFBFBF"/>
            <w:vAlign w:val="top"/>
          </w:tcPr>
          <w:p w14:paraId="5ACAF275">
            <w:pPr>
              <w:spacing w:before="79" w:line="183" w:lineRule="auto"/>
              <w:ind w:left="194"/>
              <w:rPr>
                <w:rFonts w:ascii="微软雅黑" w:hAnsi="微软雅黑" w:eastAsia="微软雅黑" w:cs="微软雅黑"/>
                <w:sz w:val="11"/>
                <w:szCs w:val="11"/>
              </w:rPr>
            </w:pPr>
            <w:r>
              <w:rPr>
                <w:rFonts w:ascii="微软雅黑" w:hAnsi="微软雅黑" w:eastAsia="微软雅黑" w:cs="微软雅黑"/>
                <w:b/>
                <w:bCs/>
                <w:spacing w:val="1"/>
                <w:sz w:val="11"/>
                <w:szCs w:val="11"/>
              </w:rPr>
              <w:t>序号（编号）</w:t>
            </w:r>
          </w:p>
        </w:tc>
        <w:tc>
          <w:tcPr>
            <w:tcW w:w="1215" w:type="dxa"/>
            <w:shd w:val="clear" w:color="auto" w:fill="BFBFBF"/>
            <w:vAlign w:val="top"/>
          </w:tcPr>
          <w:p w14:paraId="4BA1C762">
            <w:pPr>
              <w:spacing w:before="78" w:line="189" w:lineRule="auto"/>
              <w:ind w:left="490"/>
              <w:rPr>
                <w:rFonts w:ascii="微软雅黑" w:hAnsi="微软雅黑" w:eastAsia="微软雅黑" w:cs="微软雅黑"/>
                <w:sz w:val="11"/>
                <w:szCs w:val="11"/>
              </w:rPr>
            </w:pPr>
            <w:r>
              <w:rPr>
                <w:rFonts w:ascii="微软雅黑" w:hAnsi="微软雅黑" w:eastAsia="微软雅黑" w:cs="微软雅黑"/>
                <w:b/>
                <w:bCs/>
                <w:sz w:val="11"/>
                <w:szCs w:val="11"/>
              </w:rPr>
              <w:t>名称</w:t>
            </w:r>
          </w:p>
        </w:tc>
        <w:tc>
          <w:tcPr>
            <w:tcW w:w="983" w:type="dxa"/>
            <w:shd w:val="clear" w:color="auto" w:fill="BFBFBF"/>
            <w:vAlign w:val="top"/>
          </w:tcPr>
          <w:p w14:paraId="2C7A05F6">
            <w:pPr>
              <w:spacing w:before="9" w:line="177" w:lineRule="auto"/>
              <w:ind w:left="38"/>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污染防治设施处理</w:t>
            </w:r>
          </w:p>
          <w:p w14:paraId="158EEF0C">
            <w:pPr>
              <w:spacing w:line="97" w:lineRule="exact"/>
              <w:ind w:left="373"/>
              <w:rPr>
                <w:rFonts w:ascii="微软雅黑" w:hAnsi="微软雅黑" w:eastAsia="微软雅黑" w:cs="微软雅黑"/>
                <w:sz w:val="11"/>
                <w:szCs w:val="11"/>
              </w:rPr>
            </w:pPr>
            <w:r>
              <w:rPr>
                <w:rFonts w:ascii="微软雅黑" w:hAnsi="微软雅黑" w:eastAsia="微软雅黑" w:cs="微软雅黑"/>
                <w:b/>
                <w:bCs/>
                <w:position w:val="-1"/>
                <w:sz w:val="11"/>
                <w:szCs w:val="11"/>
              </w:rPr>
              <w:t>效率</w:t>
            </w:r>
          </w:p>
        </w:tc>
        <w:tc>
          <w:tcPr>
            <w:tcW w:w="1120" w:type="dxa"/>
            <w:shd w:val="clear" w:color="auto" w:fill="BFBFBF"/>
            <w:vAlign w:val="top"/>
          </w:tcPr>
          <w:p w14:paraId="652D9D47">
            <w:pPr>
              <w:spacing w:before="79" w:line="183" w:lineRule="auto"/>
              <w:ind w:left="219"/>
              <w:rPr>
                <w:rFonts w:ascii="微软雅黑" w:hAnsi="微软雅黑" w:eastAsia="微软雅黑" w:cs="微软雅黑"/>
                <w:sz w:val="11"/>
                <w:szCs w:val="11"/>
              </w:rPr>
            </w:pPr>
            <w:r>
              <w:rPr>
                <w:rFonts w:ascii="微软雅黑" w:hAnsi="微软雅黑" w:eastAsia="微软雅黑" w:cs="微软雅黑"/>
                <w:b/>
                <w:bCs/>
                <w:spacing w:val="1"/>
                <w:sz w:val="11"/>
                <w:szCs w:val="11"/>
              </w:rPr>
              <w:t>序号（编号）</w:t>
            </w:r>
          </w:p>
        </w:tc>
        <w:tc>
          <w:tcPr>
            <w:tcW w:w="1069" w:type="dxa"/>
            <w:shd w:val="clear" w:color="auto" w:fill="BFBFBF"/>
            <w:vAlign w:val="top"/>
          </w:tcPr>
          <w:p w14:paraId="2E45AB75">
            <w:pPr>
              <w:spacing w:before="78" w:line="189" w:lineRule="auto"/>
              <w:ind w:left="420"/>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940" w:type="dxa"/>
            <w:shd w:val="clear" w:color="auto" w:fill="BFBFBF"/>
            <w:vAlign w:val="top"/>
          </w:tcPr>
          <w:p w14:paraId="717BEED2">
            <w:pPr>
              <w:spacing w:before="79" w:line="187" w:lineRule="auto"/>
              <w:ind w:left="190"/>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873" w:type="dxa"/>
            <w:vMerge w:val="continue"/>
            <w:tcBorders>
              <w:top w:val="nil"/>
            </w:tcBorders>
            <w:vAlign w:val="top"/>
          </w:tcPr>
          <w:p w14:paraId="6A01334F">
            <w:pPr>
              <w:rPr>
                <w:rFonts w:ascii="Arial"/>
                <w:sz w:val="21"/>
              </w:rPr>
            </w:pPr>
          </w:p>
        </w:tc>
        <w:tc>
          <w:tcPr>
            <w:tcW w:w="983" w:type="dxa"/>
            <w:vMerge w:val="continue"/>
            <w:tcBorders>
              <w:top w:val="nil"/>
            </w:tcBorders>
            <w:vAlign w:val="top"/>
          </w:tcPr>
          <w:p w14:paraId="452BE321">
            <w:pPr>
              <w:rPr>
                <w:rFonts w:ascii="Arial"/>
                <w:sz w:val="21"/>
              </w:rPr>
            </w:pPr>
          </w:p>
        </w:tc>
        <w:tc>
          <w:tcPr>
            <w:tcW w:w="1079" w:type="dxa"/>
            <w:shd w:val="clear" w:color="auto" w:fill="BFBFBF"/>
            <w:vAlign w:val="top"/>
          </w:tcPr>
          <w:p w14:paraId="51E76B2C">
            <w:pPr>
              <w:spacing w:before="79" w:line="183" w:lineRule="auto"/>
              <w:ind w:left="22"/>
              <w:rPr>
                <w:rFonts w:ascii="微软雅黑" w:hAnsi="微软雅黑" w:eastAsia="微软雅黑" w:cs="微软雅黑"/>
                <w:sz w:val="11"/>
                <w:szCs w:val="11"/>
              </w:rPr>
            </w:pPr>
            <w:r>
              <w:rPr>
                <w:rFonts w:ascii="微软雅黑" w:hAnsi="微软雅黑" w:eastAsia="微软雅黑" w:cs="微软雅黑"/>
                <w:b/>
                <w:bCs/>
                <w:spacing w:val="1"/>
                <w:sz w:val="11"/>
                <w:szCs w:val="11"/>
              </w:rPr>
              <w:t>排放量（吨/年）</w:t>
            </w:r>
          </w:p>
        </w:tc>
        <w:tc>
          <w:tcPr>
            <w:tcW w:w="1804" w:type="dxa"/>
            <w:gridSpan w:val="3"/>
            <w:vMerge w:val="continue"/>
            <w:tcBorders>
              <w:top w:val="nil"/>
              <w:right w:val="single" w:color="000000" w:sz="6" w:space="0"/>
            </w:tcBorders>
            <w:vAlign w:val="top"/>
          </w:tcPr>
          <w:p w14:paraId="0BA384D4">
            <w:pPr>
              <w:rPr>
                <w:rFonts w:ascii="Arial"/>
                <w:sz w:val="21"/>
              </w:rPr>
            </w:pPr>
          </w:p>
        </w:tc>
      </w:tr>
      <w:tr w14:paraId="28B08EB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256584F4">
            <w:pPr>
              <w:rPr>
                <w:rFonts w:ascii="Arial"/>
                <w:sz w:val="21"/>
              </w:rPr>
            </w:pPr>
          </w:p>
        </w:tc>
        <w:tc>
          <w:tcPr>
            <w:tcW w:w="496" w:type="dxa"/>
            <w:vMerge w:val="continue"/>
            <w:tcBorders>
              <w:top w:val="nil"/>
              <w:bottom w:val="nil"/>
            </w:tcBorders>
            <w:vAlign w:val="top"/>
          </w:tcPr>
          <w:p w14:paraId="533404F2">
            <w:pPr>
              <w:rPr>
                <w:rFonts w:ascii="Arial"/>
                <w:sz w:val="21"/>
              </w:rPr>
            </w:pPr>
          </w:p>
        </w:tc>
        <w:tc>
          <w:tcPr>
            <w:tcW w:w="419" w:type="dxa"/>
            <w:vAlign w:val="top"/>
          </w:tcPr>
          <w:p w14:paraId="218C0D9A">
            <w:pPr>
              <w:spacing w:line="132" w:lineRule="exact"/>
              <w:rPr>
                <w:rFonts w:ascii="Arial"/>
                <w:sz w:val="11"/>
              </w:rPr>
            </w:pPr>
          </w:p>
        </w:tc>
        <w:tc>
          <w:tcPr>
            <w:tcW w:w="897" w:type="dxa"/>
            <w:vAlign w:val="top"/>
          </w:tcPr>
          <w:p w14:paraId="4F5ADFEA">
            <w:pPr>
              <w:spacing w:line="132" w:lineRule="exact"/>
              <w:rPr>
                <w:rFonts w:ascii="Arial"/>
                <w:sz w:val="11"/>
              </w:rPr>
            </w:pPr>
          </w:p>
        </w:tc>
        <w:tc>
          <w:tcPr>
            <w:tcW w:w="846" w:type="dxa"/>
            <w:vAlign w:val="top"/>
          </w:tcPr>
          <w:p w14:paraId="10C3EB6B">
            <w:pPr>
              <w:spacing w:line="132" w:lineRule="exact"/>
              <w:rPr>
                <w:rFonts w:ascii="Arial"/>
                <w:sz w:val="11"/>
              </w:rPr>
            </w:pPr>
          </w:p>
        </w:tc>
        <w:tc>
          <w:tcPr>
            <w:tcW w:w="1079" w:type="dxa"/>
            <w:vAlign w:val="top"/>
          </w:tcPr>
          <w:p w14:paraId="67B8C101">
            <w:pPr>
              <w:spacing w:line="132" w:lineRule="exact"/>
              <w:rPr>
                <w:rFonts w:ascii="Arial"/>
                <w:sz w:val="11"/>
              </w:rPr>
            </w:pPr>
          </w:p>
        </w:tc>
        <w:tc>
          <w:tcPr>
            <w:tcW w:w="1215" w:type="dxa"/>
            <w:vAlign w:val="top"/>
          </w:tcPr>
          <w:p w14:paraId="42BB595B">
            <w:pPr>
              <w:spacing w:line="132" w:lineRule="exact"/>
              <w:rPr>
                <w:rFonts w:ascii="Arial"/>
                <w:sz w:val="11"/>
              </w:rPr>
            </w:pPr>
          </w:p>
        </w:tc>
        <w:tc>
          <w:tcPr>
            <w:tcW w:w="983" w:type="dxa"/>
            <w:vAlign w:val="top"/>
          </w:tcPr>
          <w:p w14:paraId="4A69654A">
            <w:pPr>
              <w:spacing w:line="132" w:lineRule="exact"/>
              <w:rPr>
                <w:rFonts w:ascii="Arial"/>
                <w:sz w:val="11"/>
              </w:rPr>
            </w:pPr>
          </w:p>
        </w:tc>
        <w:tc>
          <w:tcPr>
            <w:tcW w:w="1120" w:type="dxa"/>
            <w:vAlign w:val="top"/>
          </w:tcPr>
          <w:p w14:paraId="5A9E06CE">
            <w:pPr>
              <w:spacing w:line="132" w:lineRule="exact"/>
              <w:rPr>
                <w:rFonts w:ascii="Arial"/>
                <w:sz w:val="11"/>
              </w:rPr>
            </w:pPr>
          </w:p>
        </w:tc>
        <w:tc>
          <w:tcPr>
            <w:tcW w:w="1069" w:type="dxa"/>
            <w:vAlign w:val="top"/>
          </w:tcPr>
          <w:p w14:paraId="57018297">
            <w:pPr>
              <w:spacing w:line="132" w:lineRule="exact"/>
              <w:rPr>
                <w:rFonts w:ascii="Arial"/>
                <w:sz w:val="11"/>
              </w:rPr>
            </w:pPr>
          </w:p>
        </w:tc>
        <w:tc>
          <w:tcPr>
            <w:tcW w:w="940" w:type="dxa"/>
            <w:vAlign w:val="top"/>
          </w:tcPr>
          <w:p w14:paraId="2E511934">
            <w:pPr>
              <w:spacing w:line="132" w:lineRule="exact"/>
              <w:rPr>
                <w:rFonts w:ascii="Arial"/>
                <w:sz w:val="11"/>
              </w:rPr>
            </w:pPr>
          </w:p>
        </w:tc>
        <w:tc>
          <w:tcPr>
            <w:tcW w:w="873" w:type="dxa"/>
            <w:vAlign w:val="top"/>
          </w:tcPr>
          <w:p w14:paraId="7CDBB7BF">
            <w:pPr>
              <w:spacing w:line="132" w:lineRule="exact"/>
              <w:rPr>
                <w:rFonts w:ascii="Arial"/>
                <w:sz w:val="11"/>
              </w:rPr>
            </w:pPr>
          </w:p>
        </w:tc>
        <w:tc>
          <w:tcPr>
            <w:tcW w:w="983" w:type="dxa"/>
            <w:vAlign w:val="top"/>
          </w:tcPr>
          <w:p w14:paraId="46B683E3">
            <w:pPr>
              <w:spacing w:line="132" w:lineRule="exact"/>
              <w:rPr>
                <w:rFonts w:ascii="Arial"/>
                <w:sz w:val="11"/>
              </w:rPr>
            </w:pPr>
          </w:p>
        </w:tc>
        <w:tc>
          <w:tcPr>
            <w:tcW w:w="1079" w:type="dxa"/>
            <w:vAlign w:val="top"/>
          </w:tcPr>
          <w:p w14:paraId="2D9AECEA">
            <w:pPr>
              <w:spacing w:line="132" w:lineRule="exact"/>
              <w:rPr>
                <w:rFonts w:ascii="Arial"/>
                <w:sz w:val="11"/>
              </w:rPr>
            </w:pPr>
          </w:p>
        </w:tc>
        <w:tc>
          <w:tcPr>
            <w:tcW w:w="1804" w:type="dxa"/>
            <w:gridSpan w:val="3"/>
            <w:tcBorders>
              <w:right w:val="single" w:color="000000" w:sz="6" w:space="0"/>
            </w:tcBorders>
            <w:vAlign w:val="top"/>
          </w:tcPr>
          <w:p w14:paraId="1E0FAA07">
            <w:pPr>
              <w:spacing w:line="132" w:lineRule="exact"/>
              <w:rPr>
                <w:rFonts w:ascii="Arial"/>
                <w:sz w:val="11"/>
              </w:rPr>
            </w:pPr>
          </w:p>
        </w:tc>
      </w:tr>
      <w:tr w14:paraId="31A7A65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39666742">
            <w:pPr>
              <w:rPr>
                <w:rFonts w:ascii="Arial"/>
                <w:sz w:val="21"/>
              </w:rPr>
            </w:pPr>
          </w:p>
        </w:tc>
        <w:tc>
          <w:tcPr>
            <w:tcW w:w="496" w:type="dxa"/>
            <w:vMerge w:val="continue"/>
            <w:tcBorders>
              <w:top w:val="nil"/>
              <w:bottom w:val="nil"/>
            </w:tcBorders>
            <w:vAlign w:val="top"/>
          </w:tcPr>
          <w:p w14:paraId="42269C0A">
            <w:pPr>
              <w:rPr>
                <w:rFonts w:ascii="Arial"/>
                <w:sz w:val="21"/>
              </w:rPr>
            </w:pPr>
          </w:p>
        </w:tc>
        <w:tc>
          <w:tcPr>
            <w:tcW w:w="419" w:type="dxa"/>
            <w:vAlign w:val="top"/>
          </w:tcPr>
          <w:p w14:paraId="7B6448E1">
            <w:pPr>
              <w:spacing w:line="132" w:lineRule="exact"/>
              <w:rPr>
                <w:rFonts w:ascii="Arial"/>
                <w:sz w:val="11"/>
              </w:rPr>
            </w:pPr>
          </w:p>
        </w:tc>
        <w:tc>
          <w:tcPr>
            <w:tcW w:w="897" w:type="dxa"/>
            <w:vAlign w:val="top"/>
          </w:tcPr>
          <w:p w14:paraId="46B57A51">
            <w:pPr>
              <w:spacing w:line="132" w:lineRule="exact"/>
              <w:rPr>
                <w:rFonts w:ascii="Arial"/>
                <w:sz w:val="11"/>
              </w:rPr>
            </w:pPr>
          </w:p>
        </w:tc>
        <w:tc>
          <w:tcPr>
            <w:tcW w:w="846" w:type="dxa"/>
            <w:vAlign w:val="top"/>
          </w:tcPr>
          <w:p w14:paraId="18452F83">
            <w:pPr>
              <w:spacing w:line="132" w:lineRule="exact"/>
              <w:rPr>
                <w:rFonts w:ascii="Arial"/>
                <w:sz w:val="11"/>
              </w:rPr>
            </w:pPr>
          </w:p>
        </w:tc>
        <w:tc>
          <w:tcPr>
            <w:tcW w:w="1079" w:type="dxa"/>
            <w:vAlign w:val="top"/>
          </w:tcPr>
          <w:p w14:paraId="2FA6DA63">
            <w:pPr>
              <w:spacing w:line="132" w:lineRule="exact"/>
              <w:rPr>
                <w:rFonts w:ascii="Arial"/>
                <w:sz w:val="11"/>
              </w:rPr>
            </w:pPr>
          </w:p>
        </w:tc>
        <w:tc>
          <w:tcPr>
            <w:tcW w:w="1215" w:type="dxa"/>
            <w:vAlign w:val="top"/>
          </w:tcPr>
          <w:p w14:paraId="58ABBCCD">
            <w:pPr>
              <w:spacing w:line="132" w:lineRule="exact"/>
              <w:rPr>
                <w:rFonts w:ascii="Arial"/>
                <w:sz w:val="11"/>
              </w:rPr>
            </w:pPr>
          </w:p>
        </w:tc>
        <w:tc>
          <w:tcPr>
            <w:tcW w:w="983" w:type="dxa"/>
            <w:vAlign w:val="top"/>
          </w:tcPr>
          <w:p w14:paraId="6CAE21A7">
            <w:pPr>
              <w:spacing w:line="132" w:lineRule="exact"/>
              <w:rPr>
                <w:rFonts w:ascii="Arial"/>
                <w:sz w:val="11"/>
              </w:rPr>
            </w:pPr>
          </w:p>
        </w:tc>
        <w:tc>
          <w:tcPr>
            <w:tcW w:w="1120" w:type="dxa"/>
            <w:vAlign w:val="top"/>
          </w:tcPr>
          <w:p w14:paraId="666BD1FF">
            <w:pPr>
              <w:spacing w:line="132" w:lineRule="exact"/>
              <w:rPr>
                <w:rFonts w:ascii="Arial"/>
                <w:sz w:val="11"/>
              </w:rPr>
            </w:pPr>
          </w:p>
        </w:tc>
        <w:tc>
          <w:tcPr>
            <w:tcW w:w="1069" w:type="dxa"/>
            <w:vAlign w:val="top"/>
          </w:tcPr>
          <w:p w14:paraId="3711B604">
            <w:pPr>
              <w:spacing w:line="132" w:lineRule="exact"/>
              <w:rPr>
                <w:rFonts w:ascii="Arial"/>
                <w:sz w:val="11"/>
              </w:rPr>
            </w:pPr>
          </w:p>
        </w:tc>
        <w:tc>
          <w:tcPr>
            <w:tcW w:w="940" w:type="dxa"/>
            <w:vAlign w:val="top"/>
          </w:tcPr>
          <w:p w14:paraId="01278ED7">
            <w:pPr>
              <w:spacing w:line="132" w:lineRule="exact"/>
              <w:rPr>
                <w:rFonts w:ascii="Arial"/>
                <w:sz w:val="11"/>
              </w:rPr>
            </w:pPr>
          </w:p>
        </w:tc>
        <w:tc>
          <w:tcPr>
            <w:tcW w:w="873" w:type="dxa"/>
            <w:vAlign w:val="top"/>
          </w:tcPr>
          <w:p w14:paraId="3BBDA2ED">
            <w:pPr>
              <w:spacing w:line="132" w:lineRule="exact"/>
              <w:rPr>
                <w:rFonts w:ascii="Arial"/>
                <w:sz w:val="11"/>
              </w:rPr>
            </w:pPr>
          </w:p>
        </w:tc>
        <w:tc>
          <w:tcPr>
            <w:tcW w:w="983" w:type="dxa"/>
            <w:vAlign w:val="top"/>
          </w:tcPr>
          <w:p w14:paraId="568BEEAE">
            <w:pPr>
              <w:spacing w:line="132" w:lineRule="exact"/>
              <w:rPr>
                <w:rFonts w:ascii="Arial"/>
                <w:sz w:val="11"/>
              </w:rPr>
            </w:pPr>
          </w:p>
        </w:tc>
        <w:tc>
          <w:tcPr>
            <w:tcW w:w="1079" w:type="dxa"/>
            <w:vAlign w:val="top"/>
          </w:tcPr>
          <w:p w14:paraId="7D306188">
            <w:pPr>
              <w:spacing w:line="132" w:lineRule="exact"/>
              <w:rPr>
                <w:rFonts w:ascii="Arial"/>
                <w:sz w:val="11"/>
              </w:rPr>
            </w:pPr>
          </w:p>
        </w:tc>
        <w:tc>
          <w:tcPr>
            <w:tcW w:w="1804" w:type="dxa"/>
            <w:gridSpan w:val="3"/>
            <w:tcBorders>
              <w:right w:val="single" w:color="000000" w:sz="6" w:space="0"/>
            </w:tcBorders>
            <w:vAlign w:val="top"/>
          </w:tcPr>
          <w:p w14:paraId="57307BE9">
            <w:pPr>
              <w:spacing w:line="132" w:lineRule="exact"/>
              <w:rPr>
                <w:rFonts w:ascii="Arial"/>
                <w:sz w:val="11"/>
              </w:rPr>
            </w:pPr>
          </w:p>
        </w:tc>
      </w:tr>
      <w:tr w14:paraId="0DEB19B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14EB07AF">
            <w:pPr>
              <w:rPr>
                <w:rFonts w:ascii="Arial"/>
                <w:sz w:val="21"/>
              </w:rPr>
            </w:pPr>
          </w:p>
        </w:tc>
        <w:tc>
          <w:tcPr>
            <w:tcW w:w="496" w:type="dxa"/>
            <w:vMerge w:val="continue"/>
            <w:tcBorders>
              <w:top w:val="nil"/>
              <w:bottom w:val="nil"/>
            </w:tcBorders>
            <w:vAlign w:val="top"/>
          </w:tcPr>
          <w:p w14:paraId="1D8E6361">
            <w:pPr>
              <w:rPr>
                <w:rFonts w:ascii="Arial"/>
                <w:sz w:val="21"/>
              </w:rPr>
            </w:pPr>
          </w:p>
        </w:tc>
        <w:tc>
          <w:tcPr>
            <w:tcW w:w="419" w:type="dxa"/>
            <w:vAlign w:val="top"/>
          </w:tcPr>
          <w:p w14:paraId="10E5FB79">
            <w:pPr>
              <w:spacing w:line="132" w:lineRule="exact"/>
              <w:rPr>
                <w:rFonts w:ascii="Arial"/>
                <w:sz w:val="11"/>
              </w:rPr>
            </w:pPr>
          </w:p>
        </w:tc>
        <w:tc>
          <w:tcPr>
            <w:tcW w:w="897" w:type="dxa"/>
            <w:vAlign w:val="top"/>
          </w:tcPr>
          <w:p w14:paraId="6407282D">
            <w:pPr>
              <w:spacing w:line="132" w:lineRule="exact"/>
              <w:rPr>
                <w:rFonts w:ascii="Arial"/>
                <w:sz w:val="11"/>
              </w:rPr>
            </w:pPr>
          </w:p>
        </w:tc>
        <w:tc>
          <w:tcPr>
            <w:tcW w:w="846" w:type="dxa"/>
            <w:vAlign w:val="top"/>
          </w:tcPr>
          <w:p w14:paraId="7594F505">
            <w:pPr>
              <w:spacing w:line="132" w:lineRule="exact"/>
              <w:rPr>
                <w:rFonts w:ascii="Arial"/>
                <w:sz w:val="11"/>
              </w:rPr>
            </w:pPr>
          </w:p>
        </w:tc>
        <w:tc>
          <w:tcPr>
            <w:tcW w:w="1079" w:type="dxa"/>
            <w:vAlign w:val="top"/>
          </w:tcPr>
          <w:p w14:paraId="406532AB">
            <w:pPr>
              <w:spacing w:line="132" w:lineRule="exact"/>
              <w:rPr>
                <w:rFonts w:ascii="Arial"/>
                <w:sz w:val="11"/>
              </w:rPr>
            </w:pPr>
          </w:p>
        </w:tc>
        <w:tc>
          <w:tcPr>
            <w:tcW w:w="1215" w:type="dxa"/>
            <w:vAlign w:val="top"/>
          </w:tcPr>
          <w:p w14:paraId="606CA918">
            <w:pPr>
              <w:spacing w:line="132" w:lineRule="exact"/>
              <w:rPr>
                <w:rFonts w:ascii="Arial"/>
                <w:sz w:val="11"/>
              </w:rPr>
            </w:pPr>
          </w:p>
        </w:tc>
        <w:tc>
          <w:tcPr>
            <w:tcW w:w="983" w:type="dxa"/>
            <w:vAlign w:val="top"/>
          </w:tcPr>
          <w:p w14:paraId="0624C330">
            <w:pPr>
              <w:spacing w:line="132" w:lineRule="exact"/>
              <w:rPr>
                <w:rFonts w:ascii="Arial"/>
                <w:sz w:val="11"/>
              </w:rPr>
            </w:pPr>
          </w:p>
        </w:tc>
        <w:tc>
          <w:tcPr>
            <w:tcW w:w="1120" w:type="dxa"/>
            <w:vAlign w:val="top"/>
          </w:tcPr>
          <w:p w14:paraId="0291D724">
            <w:pPr>
              <w:spacing w:line="132" w:lineRule="exact"/>
              <w:rPr>
                <w:rFonts w:ascii="Arial"/>
                <w:sz w:val="11"/>
              </w:rPr>
            </w:pPr>
          </w:p>
        </w:tc>
        <w:tc>
          <w:tcPr>
            <w:tcW w:w="1069" w:type="dxa"/>
            <w:vAlign w:val="top"/>
          </w:tcPr>
          <w:p w14:paraId="646D8AF0">
            <w:pPr>
              <w:spacing w:line="132" w:lineRule="exact"/>
              <w:rPr>
                <w:rFonts w:ascii="Arial"/>
                <w:sz w:val="11"/>
              </w:rPr>
            </w:pPr>
          </w:p>
        </w:tc>
        <w:tc>
          <w:tcPr>
            <w:tcW w:w="940" w:type="dxa"/>
            <w:vAlign w:val="top"/>
          </w:tcPr>
          <w:p w14:paraId="6AC6D08A">
            <w:pPr>
              <w:spacing w:line="132" w:lineRule="exact"/>
              <w:rPr>
                <w:rFonts w:ascii="Arial"/>
                <w:sz w:val="11"/>
              </w:rPr>
            </w:pPr>
          </w:p>
        </w:tc>
        <w:tc>
          <w:tcPr>
            <w:tcW w:w="873" w:type="dxa"/>
            <w:vAlign w:val="top"/>
          </w:tcPr>
          <w:p w14:paraId="19906417">
            <w:pPr>
              <w:spacing w:line="132" w:lineRule="exact"/>
              <w:rPr>
                <w:rFonts w:ascii="Arial"/>
                <w:sz w:val="11"/>
              </w:rPr>
            </w:pPr>
          </w:p>
        </w:tc>
        <w:tc>
          <w:tcPr>
            <w:tcW w:w="983" w:type="dxa"/>
            <w:vAlign w:val="top"/>
          </w:tcPr>
          <w:p w14:paraId="42DC14F6">
            <w:pPr>
              <w:spacing w:line="132" w:lineRule="exact"/>
              <w:rPr>
                <w:rFonts w:ascii="Arial"/>
                <w:sz w:val="11"/>
              </w:rPr>
            </w:pPr>
          </w:p>
        </w:tc>
        <w:tc>
          <w:tcPr>
            <w:tcW w:w="1079" w:type="dxa"/>
            <w:vAlign w:val="top"/>
          </w:tcPr>
          <w:p w14:paraId="2D47A4A9">
            <w:pPr>
              <w:spacing w:line="132" w:lineRule="exact"/>
              <w:rPr>
                <w:rFonts w:ascii="Arial"/>
                <w:sz w:val="11"/>
              </w:rPr>
            </w:pPr>
          </w:p>
        </w:tc>
        <w:tc>
          <w:tcPr>
            <w:tcW w:w="1804" w:type="dxa"/>
            <w:gridSpan w:val="3"/>
            <w:tcBorders>
              <w:right w:val="single" w:color="000000" w:sz="6" w:space="0"/>
            </w:tcBorders>
            <w:vAlign w:val="top"/>
          </w:tcPr>
          <w:p w14:paraId="21C631CB">
            <w:pPr>
              <w:spacing w:line="132" w:lineRule="exact"/>
              <w:rPr>
                <w:rFonts w:ascii="Arial"/>
                <w:sz w:val="11"/>
              </w:rPr>
            </w:pPr>
          </w:p>
        </w:tc>
      </w:tr>
      <w:tr w14:paraId="4E637A5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82D2F77">
            <w:pPr>
              <w:rPr>
                <w:rFonts w:ascii="Arial"/>
                <w:sz w:val="21"/>
              </w:rPr>
            </w:pPr>
          </w:p>
        </w:tc>
        <w:tc>
          <w:tcPr>
            <w:tcW w:w="496" w:type="dxa"/>
            <w:vMerge w:val="continue"/>
            <w:tcBorders>
              <w:top w:val="nil"/>
              <w:bottom w:val="nil"/>
            </w:tcBorders>
            <w:vAlign w:val="top"/>
          </w:tcPr>
          <w:p w14:paraId="3629098B">
            <w:pPr>
              <w:rPr>
                <w:rFonts w:ascii="Arial"/>
                <w:sz w:val="21"/>
              </w:rPr>
            </w:pPr>
          </w:p>
        </w:tc>
        <w:tc>
          <w:tcPr>
            <w:tcW w:w="419" w:type="dxa"/>
            <w:vAlign w:val="top"/>
          </w:tcPr>
          <w:p w14:paraId="73F3021A">
            <w:pPr>
              <w:spacing w:line="132" w:lineRule="exact"/>
              <w:rPr>
                <w:rFonts w:ascii="Arial"/>
                <w:sz w:val="11"/>
              </w:rPr>
            </w:pPr>
          </w:p>
        </w:tc>
        <w:tc>
          <w:tcPr>
            <w:tcW w:w="897" w:type="dxa"/>
            <w:vAlign w:val="top"/>
          </w:tcPr>
          <w:p w14:paraId="7B850983">
            <w:pPr>
              <w:spacing w:line="132" w:lineRule="exact"/>
              <w:rPr>
                <w:rFonts w:ascii="Arial"/>
                <w:sz w:val="11"/>
              </w:rPr>
            </w:pPr>
          </w:p>
        </w:tc>
        <w:tc>
          <w:tcPr>
            <w:tcW w:w="846" w:type="dxa"/>
            <w:vAlign w:val="top"/>
          </w:tcPr>
          <w:p w14:paraId="244CD81B">
            <w:pPr>
              <w:spacing w:line="132" w:lineRule="exact"/>
              <w:rPr>
                <w:rFonts w:ascii="Arial"/>
                <w:sz w:val="11"/>
              </w:rPr>
            </w:pPr>
          </w:p>
        </w:tc>
        <w:tc>
          <w:tcPr>
            <w:tcW w:w="1079" w:type="dxa"/>
            <w:vAlign w:val="top"/>
          </w:tcPr>
          <w:p w14:paraId="05C8DB4A">
            <w:pPr>
              <w:spacing w:line="132" w:lineRule="exact"/>
              <w:rPr>
                <w:rFonts w:ascii="Arial"/>
                <w:sz w:val="11"/>
              </w:rPr>
            </w:pPr>
          </w:p>
        </w:tc>
        <w:tc>
          <w:tcPr>
            <w:tcW w:w="1215" w:type="dxa"/>
            <w:vAlign w:val="top"/>
          </w:tcPr>
          <w:p w14:paraId="30632C9F">
            <w:pPr>
              <w:spacing w:line="132" w:lineRule="exact"/>
              <w:rPr>
                <w:rFonts w:ascii="Arial"/>
                <w:sz w:val="11"/>
              </w:rPr>
            </w:pPr>
          </w:p>
        </w:tc>
        <w:tc>
          <w:tcPr>
            <w:tcW w:w="983" w:type="dxa"/>
            <w:vAlign w:val="top"/>
          </w:tcPr>
          <w:p w14:paraId="3379B120">
            <w:pPr>
              <w:spacing w:line="132" w:lineRule="exact"/>
              <w:rPr>
                <w:rFonts w:ascii="Arial"/>
                <w:sz w:val="11"/>
              </w:rPr>
            </w:pPr>
          </w:p>
        </w:tc>
        <w:tc>
          <w:tcPr>
            <w:tcW w:w="1120" w:type="dxa"/>
            <w:vAlign w:val="top"/>
          </w:tcPr>
          <w:p w14:paraId="4EF96918">
            <w:pPr>
              <w:spacing w:line="132" w:lineRule="exact"/>
              <w:rPr>
                <w:rFonts w:ascii="Arial"/>
                <w:sz w:val="11"/>
              </w:rPr>
            </w:pPr>
          </w:p>
        </w:tc>
        <w:tc>
          <w:tcPr>
            <w:tcW w:w="1069" w:type="dxa"/>
            <w:vAlign w:val="top"/>
          </w:tcPr>
          <w:p w14:paraId="1A62D234">
            <w:pPr>
              <w:spacing w:line="132" w:lineRule="exact"/>
              <w:rPr>
                <w:rFonts w:ascii="Arial"/>
                <w:sz w:val="11"/>
              </w:rPr>
            </w:pPr>
          </w:p>
        </w:tc>
        <w:tc>
          <w:tcPr>
            <w:tcW w:w="940" w:type="dxa"/>
            <w:vAlign w:val="top"/>
          </w:tcPr>
          <w:p w14:paraId="0B1CDC44">
            <w:pPr>
              <w:spacing w:line="132" w:lineRule="exact"/>
              <w:rPr>
                <w:rFonts w:ascii="Arial"/>
                <w:sz w:val="11"/>
              </w:rPr>
            </w:pPr>
          </w:p>
        </w:tc>
        <w:tc>
          <w:tcPr>
            <w:tcW w:w="873" w:type="dxa"/>
            <w:vAlign w:val="top"/>
          </w:tcPr>
          <w:p w14:paraId="67B1443C">
            <w:pPr>
              <w:spacing w:line="132" w:lineRule="exact"/>
              <w:rPr>
                <w:rFonts w:ascii="Arial"/>
                <w:sz w:val="11"/>
              </w:rPr>
            </w:pPr>
          </w:p>
        </w:tc>
        <w:tc>
          <w:tcPr>
            <w:tcW w:w="983" w:type="dxa"/>
            <w:vAlign w:val="top"/>
          </w:tcPr>
          <w:p w14:paraId="09F2FD7B">
            <w:pPr>
              <w:spacing w:line="132" w:lineRule="exact"/>
              <w:rPr>
                <w:rFonts w:ascii="Arial"/>
                <w:sz w:val="11"/>
              </w:rPr>
            </w:pPr>
          </w:p>
        </w:tc>
        <w:tc>
          <w:tcPr>
            <w:tcW w:w="1079" w:type="dxa"/>
            <w:vAlign w:val="top"/>
          </w:tcPr>
          <w:p w14:paraId="07966D77">
            <w:pPr>
              <w:spacing w:line="132" w:lineRule="exact"/>
              <w:rPr>
                <w:rFonts w:ascii="Arial"/>
                <w:sz w:val="11"/>
              </w:rPr>
            </w:pPr>
          </w:p>
        </w:tc>
        <w:tc>
          <w:tcPr>
            <w:tcW w:w="1804" w:type="dxa"/>
            <w:gridSpan w:val="3"/>
            <w:tcBorders>
              <w:right w:val="single" w:color="000000" w:sz="6" w:space="0"/>
            </w:tcBorders>
            <w:vAlign w:val="top"/>
          </w:tcPr>
          <w:p w14:paraId="40B9FE0A">
            <w:pPr>
              <w:spacing w:line="132" w:lineRule="exact"/>
              <w:rPr>
                <w:rFonts w:ascii="Arial"/>
                <w:sz w:val="11"/>
              </w:rPr>
            </w:pPr>
          </w:p>
        </w:tc>
      </w:tr>
      <w:tr w14:paraId="149855B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ACB748B">
            <w:pPr>
              <w:rPr>
                <w:rFonts w:ascii="Arial"/>
                <w:sz w:val="21"/>
              </w:rPr>
            </w:pPr>
          </w:p>
        </w:tc>
        <w:tc>
          <w:tcPr>
            <w:tcW w:w="496" w:type="dxa"/>
            <w:vMerge w:val="continue"/>
            <w:tcBorders>
              <w:top w:val="nil"/>
            </w:tcBorders>
            <w:vAlign w:val="top"/>
          </w:tcPr>
          <w:p w14:paraId="7D4050B8">
            <w:pPr>
              <w:rPr>
                <w:rFonts w:ascii="Arial"/>
                <w:sz w:val="21"/>
              </w:rPr>
            </w:pPr>
          </w:p>
        </w:tc>
        <w:tc>
          <w:tcPr>
            <w:tcW w:w="419" w:type="dxa"/>
            <w:vAlign w:val="top"/>
          </w:tcPr>
          <w:p w14:paraId="108EAFC3">
            <w:pPr>
              <w:spacing w:line="132" w:lineRule="exact"/>
              <w:rPr>
                <w:rFonts w:ascii="Arial"/>
                <w:sz w:val="11"/>
              </w:rPr>
            </w:pPr>
          </w:p>
        </w:tc>
        <w:tc>
          <w:tcPr>
            <w:tcW w:w="897" w:type="dxa"/>
            <w:vAlign w:val="top"/>
          </w:tcPr>
          <w:p w14:paraId="04604A37">
            <w:pPr>
              <w:spacing w:line="132" w:lineRule="exact"/>
              <w:rPr>
                <w:rFonts w:ascii="Arial"/>
                <w:sz w:val="11"/>
              </w:rPr>
            </w:pPr>
          </w:p>
        </w:tc>
        <w:tc>
          <w:tcPr>
            <w:tcW w:w="846" w:type="dxa"/>
            <w:vAlign w:val="top"/>
          </w:tcPr>
          <w:p w14:paraId="223B024D">
            <w:pPr>
              <w:spacing w:line="132" w:lineRule="exact"/>
              <w:rPr>
                <w:rFonts w:ascii="Arial"/>
                <w:sz w:val="11"/>
              </w:rPr>
            </w:pPr>
          </w:p>
        </w:tc>
        <w:tc>
          <w:tcPr>
            <w:tcW w:w="1079" w:type="dxa"/>
            <w:vAlign w:val="top"/>
          </w:tcPr>
          <w:p w14:paraId="4CA69E58">
            <w:pPr>
              <w:spacing w:line="132" w:lineRule="exact"/>
              <w:rPr>
                <w:rFonts w:ascii="Arial"/>
                <w:sz w:val="11"/>
              </w:rPr>
            </w:pPr>
          </w:p>
        </w:tc>
        <w:tc>
          <w:tcPr>
            <w:tcW w:w="1215" w:type="dxa"/>
            <w:vAlign w:val="top"/>
          </w:tcPr>
          <w:p w14:paraId="6F3D872D">
            <w:pPr>
              <w:spacing w:line="132" w:lineRule="exact"/>
              <w:rPr>
                <w:rFonts w:ascii="Arial"/>
                <w:sz w:val="11"/>
              </w:rPr>
            </w:pPr>
          </w:p>
        </w:tc>
        <w:tc>
          <w:tcPr>
            <w:tcW w:w="983" w:type="dxa"/>
            <w:vAlign w:val="top"/>
          </w:tcPr>
          <w:p w14:paraId="56C36CE8">
            <w:pPr>
              <w:spacing w:line="132" w:lineRule="exact"/>
              <w:rPr>
                <w:rFonts w:ascii="Arial"/>
                <w:sz w:val="11"/>
              </w:rPr>
            </w:pPr>
          </w:p>
        </w:tc>
        <w:tc>
          <w:tcPr>
            <w:tcW w:w="1120" w:type="dxa"/>
            <w:vAlign w:val="top"/>
          </w:tcPr>
          <w:p w14:paraId="390AF6F6">
            <w:pPr>
              <w:spacing w:line="132" w:lineRule="exact"/>
              <w:rPr>
                <w:rFonts w:ascii="Arial"/>
                <w:sz w:val="11"/>
              </w:rPr>
            </w:pPr>
          </w:p>
        </w:tc>
        <w:tc>
          <w:tcPr>
            <w:tcW w:w="1069" w:type="dxa"/>
            <w:vAlign w:val="top"/>
          </w:tcPr>
          <w:p w14:paraId="52385202">
            <w:pPr>
              <w:spacing w:line="132" w:lineRule="exact"/>
              <w:rPr>
                <w:rFonts w:ascii="Arial"/>
                <w:sz w:val="11"/>
              </w:rPr>
            </w:pPr>
          </w:p>
        </w:tc>
        <w:tc>
          <w:tcPr>
            <w:tcW w:w="940" w:type="dxa"/>
            <w:vAlign w:val="top"/>
          </w:tcPr>
          <w:p w14:paraId="4EA6E2A3">
            <w:pPr>
              <w:spacing w:line="132" w:lineRule="exact"/>
              <w:rPr>
                <w:rFonts w:ascii="Arial"/>
                <w:sz w:val="11"/>
              </w:rPr>
            </w:pPr>
          </w:p>
        </w:tc>
        <w:tc>
          <w:tcPr>
            <w:tcW w:w="873" w:type="dxa"/>
            <w:vAlign w:val="top"/>
          </w:tcPr>
          <w:p w14:paraId="751706C2">
            <w:pPr>
              <w:spacing w:line="132" w:lineRule="exact"/>
              <w:rPr>
                <w:rFonts w:ascii="Arial"/>
                <w:sz w:val="11"/>
              </w:rPr>
            </w:pPr>
          </w:p>
        </w:tc>
        <w:tc>
          <w:tcPr>
            <w:tcW w:w="983" w:type="dxa"/>
            <w:vAlign w:val="top"/>
          </w:tcPr>
          <w:p w14:paraId="3E26CF93">
            <w:pPr>
              <w:spacing w:line="132" w:lineRule="exact"/>
              <w:rPr>
                <w:rFonts w:ascii="Arial"/>
                <w:sz w:val="11"/>
              </w:rPr>
            </w:pPr>
          </w:p>
        </w:tc>
        <w:tc>
          <w:tcPr>
            <w:tcW w:w="1079" w:type="dxa"/>
            <w:vAlign w:val="top"/>
          </w:tcPr>
          <w:p w14:paraId="675B5253">
            <w:pPr>
              <w:spacing w:line="132" w:lineRule="exact"/>
              <w:rPr>
                <w:rFonts w:ascii="Arial"/>
                <w:sz w:val="11"/>
              </w:rPr>
            </w:pPr>
          </w:p>
        </w:tc>
        <w:tc>
          <w:tcPr>
            <w:tcW w:w="1804" w:type="dxa"/>
            <w:gridSpan w:val="3"/>
            <w:tcBorders>
              <w:right w:val="single" w:color="000000" w:sz="6" w:space="0"/>
            </w:tcBorders>
            <w:vAlign w:val="top"/>
          </w:tcPr>
          <w:p w14:paraId="001ABABD">
            <w:pPr>
              <w:spacing w:line="132" w:lineRule="exact"/>
              <w:rPr>
                <w:rFonts w:ascii="Arial"/>
                <w:sz w:val="11"/>
              </w:rPr>
            </w:pPr>
          </w:p>
        </w:tc>
      </w:tr>
      <w:tr w14:paraId="00B4969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9FCC61E">
            <w:pPr>
              <w:rPr>
                <w:rFonts w:ascii="Arial"/>
                <w:sz w:val="21"/>
              </w:rPr>
            </w:pPr>
          </w:p>
        </w:tc>
        <w:tc>
          <w:tcPr>
            <w:tcW w:w="496" w:type="dxa"/>
            <w:vMerge w:val="restart"/>
            <w:tcBorders>
              <w:bottom w:val="nil"/>
            </w:tcBorders>
            <w:shd w:val="clear" w:color="auto" w:fill="BFBFBF"/>
            <w:vAlign w:val="top"/>
          </w:tcPr>
          <w:p w14:paraId="33F5D9D2">
            <w:pPr>
              <w:spacing w:line="264" w:lineRule="auto"/>
              <w:rPr>
                <w:rFonts w:ascii="Arial"/>
                <w:sz w:val="21"/>
              </w:rPr>
            </w:pPr>
          </w:p>
          <w:p w14:paraId="4AB51FF6">
            <w:pPr>
              <w:spacing w:before="56" w:line="191" w:lineRule="auto"/>
              <w:ind w:left="101" w:right="32" w:hanging="66"/>
              <w:rPr>
                <w:rFonts w:ascii="微软雅黑" w:hAnsi="微软雅黑" w:eastAsia="微软雅黑" w:cs="微软雅黑"/>
                <w:sz w:val="13"/>
                <w:szCs w:val="13"/>
              </w:rPr>
            </w:pPr>
            <w:r>
              <w:rPr>
                <w:rFonts w:ascii="微软雅黑" w:hAnsi="微软雅黑" w:eastAsia="微软雅黑" w:cs="微软雅黑"/>
                <w:b/>
                <w:bCs/>
                <w:spacing w:val="4"/>
                <w:sz w:val="13"/>
                <w:szCs w:val="13"/>
              </w:rPr>
              <w:t>无组织</w:t>
            </w:r>
            <w:r>
              <w:rPr>
                <w:rFonts w:ascii="微软雅黑" w:hAnsi="微软雅黑" w:eastAsia="微软雅黑" w:cs="微软雅黑"/>
                <w:b/>
                <w:bCs/>
                <w:sz w:val="13"/>
                <w:szCs w:val="13"/>
              </w:rPr>
              <w:t xml:space="preserve"> </w:t>
            </w:r>
            <w:r>
              <w:rPr>
                <w:rFonts w:ascii="微软雅黑" w:hAnsi="微软雅黑" w:eastAsia="微软雅黑" w:cs="微软雅黑"/>
                <w:b/>
                <w:bCs/>
                <w:spacing w:val="4"/>
                <w:sz w:val="13"/>
                <w:szCs w:val="13"/>
              </w:rPr>
              <w:t>排放</w:t>
            </w:r>
          </w:p>
        </w:tc>
        <w:tc>
          <w:tcPr>
            <w:tcW w:w="1316" w:type="dxa"/>
            <w:gridSpan w:val="2"/>
            <w:vMerge w:val="restart"/>
            <w:tcBorders>
              <w:bottom w:val="nil"/>
            </w:tcBorders>
            <w:shd w:val="clear" w:color="auto" w:fill="BFBFBF"/>
            <w:vAlign w:val="top"/>
          </w:tcPr>
          <w:p w14:paraId="2DC7BA23">
            <w:pPr>
              <w:spacing w:before="162" w:line="188" w:lineRule="auto"/>
              <w:ind w:left="536"/>
              <w:rPr>
                <w:rFonts w:ascii="微软雅黑" w:hAnsi="微软雅黑" w:eastAsia="微软雅黑" w:cs="微软雅黑"/>
                <w:sz w:val="11"/>
                <w:szCs w:val="11"/>
              </w:rPr>
            </w:pPr>
            <w:r>
              <w:rPr>
                <w:rFonts w:ascii="微软雅黑" w:hAnsi="微软雅黑" w:eastAsia="微软雅黑" w:cs="微软雅黑"/>
                <w:b/>
                <w:bCs/>
                <w:sz w:val="11"/>
                <w:szCs w:val="11"/>
              </w:rPr>
              <w:t>序号</w:t>
            </w:r>
          </w:p>
        </w:tc>
        <w:tc>
          <w:tcPr>
            <w:tcW w:w="5243" w:type="dxa"/>
            <w:gridSpan w:val="5"/>
            <w:vMerge w:val="restart"/>
            <w:tcBorders>
              <w:bottom w:val="nil"/>
            </w:tcBorders>
            <w:shd w:val="clear" w:color="auto" w:fill="BFBFBF"/>
            <w:vAlign w:val="top"/>
          </w:tcPr>
          <w:p w14:paraId="53F7502D">
            <w:pPr>
              <w:spacing w:before="162" w:line="187" w:lineRule="auto"/>
              <w:ind w:left="2167"/>
              <w:rPr>
                <w:rFonts w:ascii="微软雅黑" w:hAnsi="微软雅黑" w:eastAsia="微软雅黑" w:cs="微软雅黑"/>
                <w:sz w:val="11"/>
                <w:szCs w:val="11"/>
              </w:rPr>
            </w:pPr>
            <w:r>
              <w:rPr>
                <w:rFonts w:ascii="微软雅黑" w:hAnsi="微软雅黑" w:eastAsia="微软雅黑" w:cs="微软雅黑"/>
                <w:b/>
                <w:bCs/>
                <w:spacing w:val="1"/>
                <w:sz w:val="11"/>
                <w:szCs w:val="11"/>
              </w:rPr>
              <w:t>无组织排放源名称</w:t>
            </w:r>
          </w:p>
        </w:tc>
        <w:tc>
          <w:tcPr>
            <w:tcW w:w="6748" w:type="dxa"/>
            <w:gridSpan w:val="8"/>
            <w:tcBorders>
              <w:right w:val="single" w:color="000000" w:sz="6" w:space="0"/>
            </w:tcBorders>
            <w:shd w:val="clear" w:color="auto" w:fill="BFBFBF"/>
            <w:vAlign w:val="top"/>
          </w:tcPr>
          <w:p w14:paraId="58746819">
            <w:pPr>
              <w:spacing w:before="23" w:line="109" w:lineRule="exact"/>
              <w:ind w:left="3092"/>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07DD3AC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56" w:hRule="atLeast"/>
        </w:trPr>
        <w:tc>
          <w:tcPr>
            <w:tcW w:w="622" w:type="dxa"/>
            <w:vMerge w:val="continue"/>
            <w:tcBorders>
              <w:top w:val="nil"/>
              <w:left w:val="single" w:color="000000" w:sz="6" w:space="0"/>
              <w:bottom w:val="nil"/>
            </w:tcBorders>
            <w:vAlign w:val="top"/>
          </w:tcPr>
          <w:p w14:paraId="163BABA1">
            <w:pPr>
              <w:rPr>
                <w:rFonts w:ascii="Arial"/>
                <w:sz w:val="21"/>
              </w:rPr>
            </w:pPr>
          </w:p>
        </w:tc>
        <w:tc>
          <w:tcPr>
            <w:tcW w:w="496" w:type="dxa"/>
            <w:vMerge w:val="continue"/>
            <w:tcBorders>
              <w:top w:val="nil"/>
              <w:bottom w:val="nil"/>
            </w:tcBorders>
            <w:vAlign w:val="top"/>
          </w:tcPr>
          <w:p w14:paraId="73FAD37D">
            <w:pPr>
              <w:rPr>
                <w:rFonts w:ascii="Arial"/>
                <w:sz w:val="21"/>
              </w:rPr>
            </w:pPr>
          </w:p>
        </w:tc>
        <w:tc>
          <w:tcPr>
            <w:tcW w:w="1316" w:type="dxa"/>
            <w:gridSpan w:val="2"/>
            <w:vMerge w:val="continue"/>
            <w:tcBorders>
              <w:top w:val="nil"/>
            </w:tcBorders>
            <w:vAlign w:val="top"/>
          </w:tcPr>
          <w:p w14:paraId="543C03B4">
            <w:pPr>
              <w:rPr>
                <w:rFonts w:ascii="Arial"/>
                <w:sz w:val="21"/>
              </w:rPr>
            </w:pPr>
          </w:p>
        </w:tc>
        <w:tc>
          <w:tcPr>
            <w:tcW w:w="5243" w:type="dxa"/>
            <w:gridSpan w:val="5"/>
            <w:vMerge w:val="continue"/>
            <w:tcBorders>
              <w:top w:val="nil"/>
            </w:tcBorders>
            <w:vAlign w:val="top"/>
          </w:tcPr>
          <w:p w14:paraId="13C9E9CA">
            <w:pPr>
              <w:rPr>
                <w:rFonts w:ascii="Arial"/>
                <w:sz w:val="21"/>
              </w:rPr>
            </w:pPr>
          </w:p>
        </w:tc>
        <w:tc>
          <w:tcPr>
            <w:tcW w:w="1069" w:type="dxa"/>
            <w:shd w:val="clear" w:color="auto" w:fill="BFBFBF"/>
            <w:vAlign w:val="top"/>
          </w:tcPr>
          <w:p w14:paraId="359D3106">
            <w:pPr>
              <w:spacing w:before="79" w:line="187" w:lineRule="auto"/>
              <w:ind w:left="253"/>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940" w:type="dxa"/>
            <w:shd w:val="clear" w:color="auto" w:fill="BFBFBF"/>
            <w:vAlign w:val="top"/>
          </w:tcPr>
          <w:p w14:paraId="22577522">
            <w:pPr>
              <w:spacing w:before="9" w:line="177" w:lineRule="auto"/>
              <w:ind w:left="245"/>
              <w:rPr>
                <w:rFonts w:ascii="微软雅黑" w:hAnsi="微软雅黑" w:eastAsia="微软雅黑" w:cs="微软雅黑"/>
                <w:sz w:val="11"/>
                <w:szCs w:val="11"/>
              </w:rPr>
            </w:pPr>
            <w:r>
              <w:rPr>
                <w:rFonts w:ascii="微软雅黑" w:hAnsi="微软雅黑" w:eastAsia="微软雅黑" w:cs="微软雅黑"/>
                <w:b/>
                <w:bCs/>
                <w:spacing w:val="1"/>
                <w:sz w:val="11"/>
                <w:szCs w:val="11"/>
              </w:rPr>
              <w:t>排放速率</w:t>
            </w:r>
          </w:p>
          <w:p w14:paraId="3C2C6291">
            <w:pPr>
              <w:spacing w:line="97" w:lineRule="exact"/>
              <w:ind w:left="180"/>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(千克/小时)</w:t>
            </w:r>
          </w:p>
        </w:tc>
        <w:tc>
          <w:tcPr>
            <w:tcW w:w="4739" w:type="dxa"/>
            <w:gridSpan w:val="6"/>
            <w:tcBorders>
              <w:right w:val="single" w:color="000000" w:sz="6" w:space="0"/>
            </w:tcBorders>
            <w:shd w:val="clear" w:color="auto" w:fill="BFBFBF"/>
            <w:vAlign w:val="top"/>
          </w:tcPr>
          <w:p w14:paraId="6A01D8B9">
            <w:pPr>
              <w:spacing w:before="78" w:line="188" w:lineRule="auto"/>
              <w:ind w:left="2029"/>
              <w:rPr>
                <w:rFonts w:ascii="微软雅黑" w:hAnsi="微软雅黑" w:eastAsia="微软雅黑" w:cs="微软雅黑"/>
                <w:sz w:val="11"/>
                <w:szCs w:val="11"/>
              </w:rPr>
            </w:pPr>
            <w:r>
              <w:rPr>
                <w:rFonts w:ascii="微软雅黑" w:hAnsi="微软雅黑" w:eastAsia="微软雅黑" w:cs="微软雅黑"/>
                <w:b/>
                <w:bCs/>
                <w:spacing w:val="1"/>
                <w:sz w:val="11"/>
                <w:szCs w:val="11"/>
              </w:rPr>
              <w:t>排放标准名称</w:t>
            </w:r>
          </w:p>
        </w:tc>
      </w:tr>
      <w:tr w14:paraId="4B07903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54408D8">
            <w:pPr>
              <w:rPr>
                <w:rFonts w:ascii="Arial"/>
                <w:sz w:val="21"/>
              </w:rPr>
            </w:pPr>
          </w:p>
        </w:tc>
        <w:tc>
          <w:tcPr>
            <w:tcW w:w="496" w:type="dxa"/>
            <w:vMerge w:val="continue"/>
            <w:tcBorders>
              <w:top w:val="nil"/>
              <w:bottom w:val="nil"/>
            </w:tcBorders>
            <w:vAlign w:val="top"/>
          </w:tcPr>
          <w:p w14:paraId="1C2CA645">
            <w:pPr>
              <w:rPr>
                <w:rFonts w:ascii="Arial"/>
                <w:sz w:val="21"/>
              </w:rPr>
            </w:pPr>
          </w:p>
        </w:tc>
        <w:tc>
          <w:tcPr>
            <w:tcW w:w="1316" w:type="dxa"/>
            <w:gridSpan w:val="2"/>
            <w:vAlign w:val="top"/>
          </w:tcPr>
          <w:p w14:paraId="33922FE9">
            <w:pPr>
              <w:pStyle w:val="6"/>
              <w:spacing w:before="40" w:line="92" w:lineRule="exact"/>
              <w:ind w:left="475"/>
              <w:rPr>
                <w:sz w:val="11"/>
                <w:szCs w:val="11"/>
              </w:rPr>
            </w:pPr>
            <w:r>
              <w:rPr>
                <w:b/>
                <w:bCs/>
                <w:position w:val="-1"/>
                <w:sz w:val="11"/>
                <w:szCs w:val="11"/>
              </w:rPr>
              <w:t>MF0001</w:t>
            </w:r>
          </w:p>
        </w:tc>
        <w:tc>
          <w:tcPr>
            <w:tcW w:w="5243" w:type="dxa"/>
            <w:gridSpan w:val="5"/>
            <w:vAlign w:val="top"/>
          </w:tcPr>
          <w:p w14:paraId="16F38EAF">
            <w:pPr>
              <w:pStyle w:val="6"/>
              <w:spacing w:before="23" w:line="184" w:lineRule="auto"/>
              <w:ind w:left="2393"/>
              <w:rPr>
                <w:sz w:val="11"/>
                <w:szCs w:val="11"/>
              </w:rPr>
            </w:pPr>
            <w:r>
              <w:rPr>
                <w:b/>
                <w:bCs/>
                <w:spacing w:val="-1"/>
                <w:sz w:val="11"/>
                <w:szCs w:val="11"/>
              </w:rPr>
              <w:t>粗碎车间</w:t>
            </w:r>
          </w:p>
        </w:tc>
        <w:tc>
          <w:tcPr>
            <w:tcW w:w="1069" w:type="dxa"/>
            <w:vAlign w:val="top"/>
          </w:tcPr>
          <w:p w14:paraId="27603FE5">
            <w:pPr>
              <w:pStyle w:val="6"/>
              <w:spacing w:before="23" w:line="184" w:lineRule="auto"/>
              <w:ind w:left="366"/>
              <w:rPr>
                <w:sz w:val="11"/>
                <w:szCs w:val="11"/>
              </w:rPr>
            </w:pPr>
            <w:r>
              <w:rPr>
                <w:b/>
                <w:bCs/>
                <w:spacing w:val="-1"/>
                <w:sz w:val="11"/>
                <w:szCs w:val="11"/>
              </w:rPr>
              <w:t>颗粒物</w:t>
            </w:r>
          </w:p>
        </w:tc>
        <w:tc>
          <w:tcPr>
            <w:tcW w:w="940" w:type="dxa"/>
            <w:vAlign w:val="top"/>
          </w:tcPr>
          <w:p w14:paraId="6A4F8017">
            <w:pPr>
              <w:spacing w:before="9" w:line="220" w:lineRule="auto"/>
              <w:ind w:left="343"/>
              <w:rPr>
                <w:rFonts w:ascii="Constantia" w:hAnsi="Constantia" w:eastAsia="Constantia" w:cs="Constantia"/>
                <w:sz w:val="11"/>
                <w:szCs w:val="11"/>
              </w:rPr>
            </w:pPr>
            <w:r>
              <w:rPr>
                <w:rFonts w:ascii="Constantia" w:hAnsi="Constantia" w:eastAsia="Constantia" w:cs="Constantia"/>
                <w:b/>
                <w:bCs/>
                <w:spacing w:val="-5"/>
                <w:sz w:val="11"/>
                <w:szCs w:val="11"/>
              </w:rPr>
              <w:t>0.067</w:t>
            </w:r>
          </w:p>
        </w:tc>
        <w:tc>
          <w:tcPr>
            <w:tcW w:w="4739" w:type="dxa"/>
            <w:gridSpan w:val="6"/>
            <w:vMerge w:val="restart"/>
            <w:tcBorders>
              <w:bottom w:val="nil"/>
              <w:right w:val="single" w:color="000000" w:sz="6" w:space="0"/>
            </w:tcBorders>
            <w:vAlign w:val="top"/>
          </w:tcPr>
          <w:p w14:paraId="23754743">
            <w:pPr>
              <w:pStyle w:val="6"/>
              <w:spacing w:before="191" w:line="223" w:lineRule="auto"/>
              <w:ind w:left="161"/>
              <w:rPr>
                <w:sz w:val="11"/>
                <w:szCs w:val="11"/>
              </w:rPr>
            </w:pPr>
            <w:r>
              <w:rPr>
                <w:b/>
                <w:bCs/>
                <w:sz w:val="11"/>
                <w:szCs w:val="11"/>
              </w:rPr>
              <w:t>厂界颗粒物执行《大气污染物综合排放标准》（GB16297-1996）中表2中无组织排放限值。</w:t>
            </w:r>
          </w:p>
        </w:tc>
      </w:tr>
      <w:tr w14:paraId="0B3B6A8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5F170C1">
            <w:pPr>
              <w:rPr>
                <w:rFonts w:ascii="Arial"/>
                <w:sz w:val="21"/>
              </w:rPr>
            </w:pPr>
          </w:p>
        </w:tc>
        <w:tc>
          <w:tcPr>
            <w:tcW w:w="496" w:type="dxa"/>
            <w:vMerge w:val="continue"/>
            <w:tcBorders>
              <w:top w:val="nil"/>
              <w:bottom w:val="nil"/>
            </w:tcBorders>
            <w:vAlign w:val="top"/>
          </w:tcPr>
          <w:p w14:paraId="1785BC2E">
            <w:pPr>
              <w:rPr>
                <w:rFonts w:ascii="Arial"/>
                <w:sz w:val="21"/>
              </w:rPr>
            </w:pPr>
          </w:p>
        </w:tc>
        <w:tc>
          <w:tcPr>
            <w:tcW w:w="1316" w:type="dxa"/>
            <w:gridSpan w:val="2"/>
            <w:vAlign w:val="top"/>
          </w:tcPr>
          <w:p w14:paraId="56484885">
            <w:pPr>
              <w:pStyle w:val="6"/>
              <w:spacing w:before="41" w:line="91" w:lineRule="exact"/>
              <w:ind w:left="475"/>
              <w:rPr>
                <w:sz w:val="11"/>
                <w:szCs w:val="11"/>
              </w:rPr>
            </w:pPr>
            <w:r>
              <w:rPr>
                <w:b/>
                <w:bCs/>
                <w:position w:val="-1"/>
                <w:sz w:val="11"/>
                <w:szCs w:val="11"/>
              </w:rPr>
              <w:t>MF0002</w:t>
            </w:r>
          </w:p>
        </w:tc>
        <w:tc>
          <w:tcPr>
            <w:tcW w:w="5243" w:type="dxa"/>
            <w:gridSpan w:val="5"/>
            <w:vAlign w:val="top"/>
          </w:tcPr>
          <w:p w14:paraId="2B9B257D">
            <w:pPr>
              <w:pStyle w:val="6"/>
              <w:spacing w:before="23" w:line="184" w:lineRule="auto"/>
              <w:ind w:left="2404"/>
              <w:rPr>
                <w:sz w:val="11"/>
                <w:szCs w:val="11"/>
              </w:rPr>
            </w:pPr>
            <w:r>
              <w:rPr>
                <w:b/>
                <w:bCs/>
                <w:spacing w:val="-4"/>
                <w:sz w:val="11"/>
                <w:szCs w:val="11"/>
              </w:rPr>
              <w:t>中间堆场</w:t>
            </w:r>
          </w:p>
        </w:tc>
        <w:tc>
          <w:tcPr>
            <w:tcW w:w="1069" w:type="dxa"/>
            <w:vAlign w:val="top"/>
          </w:tcPr>
          <w:p w14:paraId="2F2B4EBE">
            <w:pPr>
              <w:pStyle w:val="6"/>
              <w:spacing w:before="23" w:line="184" w:lineRule="auto"/>
              <w:ind w:left="366"/>
              <w:rPr>
                <w:sz w:val="11"/>
                <w:szCs w:val="11"/>
              </w:rPr>
            </w:pPr>
            <w:r>
              <w:rPr>
                <w:b/>
                <w:bCs/>
                <w:spacing w:val="-1"/>
                <w:sz w:val="11"/>
                <w:szCs w:val="11"/>
              </w:rPr>
              <w:t>颗粒物</w:t>
            </w:r>
          </w:p>
        </w:tc>
        <w:tc>
          <w:tcPr>
            <w:tcW w:w="940" w:type="dxa"/>
            <w:vAlign w:val="top"/>
          </w:tcPr>
          <w:p w14:paraId="3412E07F">
            <w:pPr>
              <w:spacing w:before="9" w:line="220" w:lineRule="auto"/>
              <w:ind w:left="343"/>
              <w:rPr>
                <w:rFonts w:ascii="Constantia" w:hAnsi="Constantia" w:eastAsia="Constantia" w:cs="Constantia"/>
                <w:sz w:val="11"/>
                <w:szCs w:val="11"/>
              </w:rPr>
            </w:pPr>
            <w:r>
              <w:rPr>
                <w:rFonts w:ascii="Constantia" w:hAnsi="Constantia" w:eastAsia="Constantia" w:cs="Constantia"/>
                <w:b/>
                <w:bCs/>
                <w:spacing w:val="1"/>
                <w:sz w:val="11"/>
                <w:szCs w:val="11"/>
              </w:rPr>
              <w:t>0.122</w:t>
            </w:r>
          </w:p>
        </w:tc>
        <w:tc>
          <w:tcPr>
            <w:tcW w:w="4739" w:type="dxa"/>
            <w:gridSpan w:val="6"/>
            <w:vMerge w:val="continue"/>
            <w:tcBorders>
              <w:top w:val="nil"/>
              <w:bottom w:val="nil"/>
              <w:right w:val="single" w:color="000000" w:sz="6" w:space="0"/>
            </w:tcBorders>
            <w:vAlign w:val="top"/>
          </w:tcPr>
          <w:p w14:paraId="0B667FA7">
            <w:pPr>
              <w:rPr>
                <w:rFonts w:ascii="Arial"/>
                <w:sz w:val="21"/>
              </w:rPr>
            </w:pPr>
          </w:p>
        </w:tc>
      </w:tr>
      <w:tr w14:paraId="6D3F2703">
        <w:tblPrEx>
          <w:tblCellMar>
            <w:top w:w="0" w:type="dxa"/>
            <w:left w:w="0" w:type="dxa"/>
            <w:bottom w:w="0" w:type="dxa"/>
            <w:right w:w="0" w:type="dxa"/>
          </w:tblCellMar>
        </w:tblPrEx>
        <w:trPr>
          <w:trHeight w:val="143" w:hRule="atLeast"/>
        </w:trPr>
        <w:tc>
          <w:tcPr>
            <w:tcW w:w="622" w:type="dxa"/>
            <w:vMerge w:val="continue"/>
            <w:tcBorders>
              <w:top w:val="nil"/>
              <w:left w:val="single" w:color="000000" w:sz="6" w:space="0"/>
            </w:tcBorders>
            <w:vAlign w:val="top"/>
          </w:tcPr>
          <w:p w14:paraId="5BCBEC30">
            <w:pPr>
              <w:rPr>
                <w:rFonts w:ascii="Arial"/>
                <w:sz w:val="21"/>
              </w:rPr>
            </w:pPr>
          </w:p>
        </w:tc>
        <w:tc>
          <w:tcPr>
            <w:tcW w:w="496" w:type="dxa"/>
            <w:vMerge w:val="continue"/>
            <w:tcBorders>
              <w:top w:val="nil"/>
            </w:tcBorders>
            <w:vAlign w:val="top"/>
          </w:tcPr>
          <w:p w14:paraId="50874BE7">
            <w:pPr>
              <w:rPr>
                <w:rFonts w:ascii="Arial"/>
                <w:sz w:val="21"/>
              </w:rPr>
            </w:pPr>
          </w:p>
        </w:tc>
        <w:tc>
          <w:tcPr>
            <w:tcW w:w="1316" w:type="dxa"/>
            <w:gridSpan w:val="2"/>
            <w:tcBorders>
              <w:bottom w:val="nil"/>
            </w:tcBorders>
            <w:vAlign w:val="top"/>
          </w:tcPr>
          <w:p w14:paraId="589DDE08">
            <w:pPr>
              <w:pStyle w:val="6"/>
              <w:spacing w:before="41" w:line="91" w:lineRule="exact"/>
              <w:ind w:left="475"/>
              <w:rPr>
                <w:sz w:val="11"/>
                <w:szCs w:val="11"/>
              </w:rPr>
            </w:pPr>
            <w:r>
              <w:rPr>
                <w:b/>
                <w:bCs/>
                <w:position w:val="-1"/>
                <w:sz w:val="11"/>
                <w:szCs w:val="11"/>
              </w:rPr>
              <w:t>MF0003</w:t>
            </w:r>
          </w:p>
        </w:tc>
        <w:tc>
          <w:tcPr>
            <w:tcW w:w="6312" w:type="dxa"/>
            <w:gridSpan w:val="6"/>
            <w:tcBorders>
              <w:bottom w:val="nil"/>
            </w:tcBorders>
            <w:vAlign w:val="top"/>
          </w:tcPr>
          <w:p w14:paraId="68B1B333">
            <w:pPr>
              <w:pStyle w:val="6"/>
              <w:spacing w:before="23" w:line="184" w:lineRule="auto"/>
              <w:ind w:left="2171"/>
              <w:rPr>
                <w:sz w:val="11"/>
                <w:szCs w:val="11"/>
              </w:rPr>
            </w:pPr>
            <w:r>
              <w:rPr>
                <w:b/>
                <w:bCs/>
                <w:sz w:val="11"/>
                <w:szCs w:val="11"/>
              </w:rPr>
              <w:t>浮选车间加药粉尘</w:t>
            </w:r>
            <w:r>
              <w:rPr>
                <w:sz w:val="11"/>
                <w:szCs w:val="11"/>
              </w:rPr>
              <w:t xml:space="preserve">                                              </w:t>
            </w:r>
            <w:r>
              <w:rPr>
                <w:b/>
                <w:bCs/>
                <w:sz w:val="11"/>
                <w:szCs w:val="11"/>
              </w:rPr>
              <w:t>颗粒物</w:t>
            </w:r>
          </w:p>
        </w:tc>
        <w:tc>
          <w:tcPr>
            <w:tcW w:w="940" w:type="dxa"/>
            <w:vAlign w:val="top"/>
          </w:tcPr>
          <w:p w14:paraId="4B42148C">
            <w:pPr>
              <w:spacing w:before="9" w:line="220" w:lineRule="auto"/>
              <w:ind w:left="343"/>
              <w:rPr>
                <w:rFonts w:ascii="Constantia" w:hAnsi="Constantia" w:eastAsia="Constantia" w:cs="Constantia"/>
                <w:sz w:val="11"/>
                <w:szCs w:val="11"/>
              </w:rPr>
            </w:pPr>
            <w:r>
              <w:rPr>
                <w:rFonts w:ascii="Constantia" w:hAnsi="Constantia" w:eastAsia="Constantia" w:cs="Constantia"/>
                <w:b/>
                <w:bCs/>
                <w:spacing w:val="-2"/>
                <w:sz w:val="11"/>
                <w:szCs w:val="11"/>
              </w:rPr>
              <w:t>0.014</w:t>
            </w:r>
          </w:p>
        </w:tc>
        <w:tc>
          <w:tcPr>
            <w:tcW w:w="4739" w:type="dxa"/>
            <w:gridSpan w:val="6"/>
            <w:vMerge w:val="continue"/>
            <w:tcBorders>
              <w:top w:val="nil"/>
              <w:right w:val="single" w:color="000000" w:sz="6" w:space="0"/>
            </w:tcBorders>
            <w:vAlign w:val="top"/>
          </w:tcPr>
          <w:p w14:paraId="43019BC6">
            <w:pPr>
              <w:rPr>
                <w:rFonts w:ascii="Arial"/>
                <w:sz w:val="21"/>
              </w:rPr>
            </w:pPr>
          </w:p>
        </w:tc>
      </w:tr>
      <w:tr w14:paraId="4E3AE5A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restart"/>
            <w:tcBorders>
              <w:left w:val="single" w:color="000000" w:sz="6" w:space="0"/>
              <w:bottom w:val="nil"/>
            </w:tcBorders>
            <w:shd w:val="clear" w:color="auto" w:fill="BFBFBF"/>
            <w:vAlign w:val="top"/>
          </w:tcPr>
          <w:p w14:paraId="457565CF">
            <w:pPr>
              <w:spacing w:line="254" w:lineRule="auto"/>
              <w:rPr>
                <w:rFonts w:ascii="Arial"/>
                <w:sz w:val="21"/>
              </w:rPr>
            </w:pPr>
          </w:p>
          <w:p w14:paraId="71539BD8">
            <w:pPr>
              <w:spacing w:line="254" w:lineRule="auto"/>
              <w:rPr>
                <w:rFonts w:ascii="Arial"/>
                <w:sz w:val="21"/>
              </w:rPr>
            </w:pPr>
          </w:p>
          <w:p w14:paraId="06490CBB">
            <w:pPr>
              <w:spacing w:line="255" w:lineRule="auto"/>
              <w:rPr>
                <w:rFonts w:ascii="Arial"/>
                <w:sz w:val="21"/>
              </w:rPr>
            </w:pPr>
          </w:p>
          <w:p w14:paraId="39704921">
            <w:pPr>
              <w:spacing w:line="255" w:lineRule="auto"/>
              <w:rPr>
                <w:rFonts w:ascii="Arial"/>
                <w:sz w:val="21"/>
              </w:rPr>
            </w:pPr>
          </w:p>
          <w:p w14:paraId="6A2D5664">
            <w:pPr>
              <w:spacing w:line="255" w:lineRule="auto"/>
              <w:rPr>
                <w:rFonts w:ascii="Arial"/>
                <w:sz w:val="21"/>
              </w:rPr>
            </w:pPr>
          </w:p>
          <w:p w14:paraId="6AC21DF0">
            <w:pPr>
              <w:spacing w:line="255" w:lineRule="auto"/>
              <w:rPr>
                <w:rFonts w:ascii="Arial"/>
                <w:sz w:val="21"/>
              </w:rPr>
            </w:pPr>
          </w:p>
          <w:p w14:paraId="4ED20A27">
            <w:pPr>
              <w:spacing w:before="56" w:line="181" w:lineRule="auto"/>
              <w:ind w:left="35"/>
              <w:rPr>
                <w:rFonts w:ascii="微软雅黑" w:hAnsi="微软雅黑" w:eastAsia="微软雅黑" w:cs="微软雅黑"/>
                <w:sz w:val="13"/>
                <w:szCs w:val="13"/>
              </w:rPr>
            </w:pPr>
            <w:r>
              <w:rPr>
                <w:rFonts w:ascii="微软雅黑" w:hAnsi="微软雅黑" w:eastAsia="微软雅黑" w:cs="微软雅黑"/>
                <w:b/>
                <w:bCs/>
                <w:spacing w:val="5"/>
                <w:sz w:val="13"/>
                <w:szCs w:val="13"/>
              </w:rPr>
              <w:t>水污染治</w:t>
            </w:r>
          </w:p>
          <w:p w14:paraId="5012DDC4">
            <w:pPr>
              <w:spacing w:line="180" w:lineRule="auto"/>
              <w:ind w:left="35"/>
              <w:rPr>
                <w:rFonts w:ascii="微软雅黑" w:hAnsi="微软雅黑" w:eastAsia="微软雅黑" w:cs="微软雅黑"/>
                <w:sz w:val="13"/>
                <w:szCs w:val="13"/>
              </w:rPr>
            </w:pPr>
            <w:r>
              <w:rPr>
                <w:rFonts w:ascii="微软雅黑" w:hAnsi="微软雅黑" w:eastAsia="微软雅黑" w:cs="微软雅黑"/>
                <w:b/>
                <w:bCs/>
                <w:spacing w:val="5"/>
                <w:sz w:val="13"/>
                <w:szCs w:val="13"/>
              </w:rPr>
              <w:t>理与排放</w:t>
            </w:r>
          </w:p>
          <w:p w14:paraId="4510BFEF">
            <w:pPr>
              <w:spacing w:before="1" w:line="180" w:lineRule="auto"/>
              <w:ind w:left="101" w:right="24" w:hanging="66"/>
              <w:rPr>
                <w:rFonts w:ascii="微软雅黑" w:hAnsi="微软雅黑" w:eastAsia="微软雅黑" w:cs="微软雅黑"/>
                <w:sz w:val="13"/>
                <w:szCs w:val="13"/>
              </w:rPr>
            </w:pPr>
            <w:r>
              <w:rPr>
                <w:rFonts w:ascii="微软雅黑" w:hAnsi="微软雅黑" w:eastAsia="微软雅黑" w:cs="微软雅黑"/>
                <w:b/>
                <w:bCs/>
                <w:spacing w:val="5"/>
                <w:sz w:val="13"/>
                <w:szCs w:val="13"/>
              </w:rPr>
              <w:t>信息（主</w:t>
            </w:r>
            <w:r>
              <w:rPr>
                <w:rFonts w:ascii="微软雅黑" w:hAnsi="微软雅黑" w:eastAsia="微软雅黑" w:cs="微软雅黑"/>
                <w:b/>
                <w:bCs/>
                <w:sz w:val="13"/>
                <w:szCs w:val="13"/>
              </w:rPr>
              <w:t xml:space="preserve"> </w:t>
            </w:r>
            <w:r>
              <w:rPr>
                <w:rFonts w:ascii="微软雅黑" w:hAnsi="微软雅黑" w:eastAsia="微软雅黑" w:cs="微软雅黑"/>
                <w:b/>
                <w:bCs/>
                <w:spacing w:val="5"/>
                <w:sz w:val="13"/>
                <w:szCs w:val="13"/>
              </w:rPr>
              <w:t>要排放</w:t>
            </w:r>
          </w:p>
          <w:p w14:paraId="09666A40">
            <w:pPr>
              <w:spacing w:line="187" w:lineRule="auto"/>
              <w:ind w:left="188"/>
              <w:rPr>
                <w:rFonts w:ascii="微软雅黑" w:hAnsi="微软雅黑" w:eastAsia="微软雅黑" w:cs="微软雅黑"/>
                <w:sz w:val="13"/>
                <w:szCs w:val="13"/>
              </w:rPr>
            </w:pPr>
            <w:r>
              <w:rPr>
                <w:rFonts w:ascii="微软雅黑" w:hAnsi="微软雅黑" w:eastAsia="微软雅黑" w:cs="微软雅黑"/>
                <w:b/>
                <w:bCs/>
                <w:spacing w:val="-8"/>
                <w:sz w:val="13"/>
                <w:szCs w:val="13"/>
              </w:rPr>
              <w:t>口）</w:t>
            </w:r>
          </w:p>
        </w:tc>
        <w:tc>
          <w:tcPr>
            <w:tcW w:w="496" w:type="dxa"/>
            <w:vMerge w:val="restart"/>
            <w:tcBorders>
              <w:bottom w:val="nil"/>
            </w:tcBorders>
            <w:shd w:val="clear" w:color="auto" w:fill="BFBFBF"/>
            <w:vAlign w:val="top"/>
          </w:tcPr>
          <w:p w14:paraId="1F820ED8">
            <w:pPr>
              <w:spacing w:line="264" w:lineRule="auto"/>
              <w:rPr>
                <w:rFonts w:ascii="Arial"/>
                <w:sz w:val="21"/>
              </w:rPr>
            </w:pPr>
          </w:p>
          <w:p w14:paraId="3E2B0FC5">
            <w:pPr>
              <w:spacing w:before="56" w:line="181" w:lineRule="auto"/>
              <w:ind w:left="34"/>
              <w:rPr>
                <w:rFonts w:ascii="微软雅黑" w:hAnsi="微软雅黑" w:eastAsia="微软雅黑" w:cs="微软雅黑"/>
                <w:sz w:val="13"/>
                <w:szCs w:val="13"/>
              </w:rPr>
            </w:pPr>
            <w:r>
              <w:rPr>
                <w:rFonts w:ascii="微软雅黑" w:hAnsi="微软雅黑" w:eastAsia="微软雅黑" w:cs="微软雅黑"/>
                <w:b/>
                <w:bCs/>
                <w:spacing w:val="4"/>
                <w:sz w:val="13"/>
                <w:szCs w:val="13"/>
              </w:rPr>
              <w:t>车间或</w:t>
            </w:r>
          </w:p>
          <w:p w14:paraId="042AFE8F">
            <w:pPr>
              <w:spacing w:line="180" w:lineRule="auto"/>
              <w:ind w:left="101"/>
              <w:rPr>
                <w:rFonts w:ascii="微软雅黑" w:hAnsi="微软雅黑" w:eastAsia="微软雅黑" w:cs="微软雅黑"/>
                <w:sz w:val="13"/>
                <w:szCs w:val="13"/>
              </w:rPr>
            </w:pPr>
            <w:r>
              <w:rPr>
                <w:rFonts w:ascii="微软雅黑" w:hAnsi="微软雅黑" w:eastAsia="微软雅黑" w:cs="微软雅黑"/>
                <w:b/>
                <w:bCs/>
                <w:spacing w:val="4"/>
                <w:sz w:val="13"/>
                <w:szCs w:val="13"/>
              </w:rPr>
              <w:t>生产</w:t>
            </w:r>
          </w:p>
          <w:p w14:paraId="06220152">
            <w:pPr>
              <w:spacing w:line="180" w:lineRule="auto"/>
              <w:ind w:left="33"/>
              <w:rPr>
                <w:rFonts w:ascii="微软雅黑" w:hAnsi="微软雅黑" w:eastAsia="微软雅黑" w:cs="微软雅黑"/>
                <w:sz w:val="13"/>
                <w:szCs w:val="13"/>
              </w:rPr>
            </w:pPr>
            <w:r>
              <w:rPr>
                <w:rFonts w:ascii="微软雅黑" w:hAnsi="微软雅黑" w:eastAsia="微软雅黑" w:cs="微软雅黑"/>
                <w:b/>
                <w:bCs/>
                <w:spacing w:val="4"/>
                <w:sz w:val="13"/>
                <w:szCs w:val="13"/>
              </w:rPr>
              <w:t>设施排</w:t>
            </w:r>
          </w:p>
          <w:p w14:paraId="27EE223C">
            <w:pPr>
              <w:spacing w:line="192" w:lineRule="auto"/>
              <w:ind w:left="101"/>
              <w:rPr>
                <w:rFonts w:ascii="微软雅黑" w:hAnsi="微软雅黑" w:eastAsia="微软雅黑" w:cs="微软雅黑"/>
                <w:sz w:val="13"/>
                <w:szCs w:val="13"/>
              </w:rPr>
            </w:pPr>
            <w:r>
              <w:rPr>
                <w:rFonts w:ascii="微软雅黑" w:hAnsi="微软雅黑" w:eastAsia="微软雅黑" w:cs="微软雅黑"/>
                <w:b/>
                <w:bCs/>
                <w:spacing w:val="4"/>
                <w:sz w:val="13"/>
                <w:szCs w:val="13"/>
              </w:rPr>
              <w:t>放口</w:t>
            </w:r>
          </w:p>
        </w:tc>
        <w:tc>
          <w:tcPr>
            <w:tcW w:w="1316" w:type="dxa"/>
            <w:gridSpan w:val="2"/>
            <w:vMerge w:val="restart"/>
            <w:tcBorders>
              <w:top w:val="nil"/>
              <w:bottom w:val="nil"/>
            </w:tcBorders>
            <w:shd w:val="clear" w:color="auto" w:fill="BFBFBF"/>
            <w:vAlign w:val="top"/>
          </w:tcPr>
          <w:p w14:paraId="09158D40">
            <w:pPr>
              <w:spacing w:before="107" w:line="177" w:lineRule="auto"/>
              <w:ind w:left="87"/>
              <w:rPr>
                <w:rFonts w:ascii="微软雅黑" w:hAnsi="微软雅黑" w:eastAsia="微软雅黑" w:cs="微软雅黑"/>
                <w:sz w:val="11"/>
                <w:szCs w:val="11"/>
              </w:rPr>
            </w:pPr>
            <w:r>
              <w:rPr>
                <w:rFonts w:ascii="微软雅黑" w:hAnsi="微软雅黑" w:eastAsia="微软雅黑" w:cs="微软雅黑"/>
                <w:b/>
                <w:bCs/>
                <w:sz w:val="11"/>
                <w:szCs w:val="11"/>
              </w:rPr>
              <w:t>序号</w:t>
            </w:r>
          </w:p>
          <w:p w14:paraId="1F35AB58">
            <w:pPr>
              <w:spacing w:line="176" w:lineRule="auto"/>
              <w:ind w:left="96"/>
              <w:rPr>
                <w:rFonts w:ascii="微软雅黑" w:hAnsi="微软雅黑" w:eastAsia="微软雅黑" w:cs="微软雅黑"/>
                <w:sz w:val="11"/>
                <w:szCs w:val="11"/>
              </w:rPr>
            </w:pPr>
            <w:r>
              <w:pict>
                <v:shape id="_x0000_s1053" o:spid="_x0000_s1053" o:spt="202" type="#_x0000_t202" style="position:absolute;left:0pt;margin-left:27.85pt;margin-top:-0.95pt;height:9.4pt;width:30pt;z-index:251761664;mso-width-relative:page;mso-height-relative:page;" filled="f" stroked="f" coordsize="21600,21600">
                  <v:path/>
                  <v:fill on="f" focussize="0,0"/>
                  <v:stroke on="f"/>
                  <v:imagedata o:title=""/>
                  <o:lock v:ext="edit" aspectratio="f"/>
                  <v:textbox inset="0mm,0mm,0mm,0mm">
                    <w:txbxContent>
                      <w:p w14:paraId="2BE8B1E5">
                        <w:pPr>
                          <w:spacing w:before="20" w:line="188" w:lineRule="auto"/>
                          <w:ind w:left="20"/>
                          <w:rPr>
                            <w:rFonts w:ascii="微软雅黑" w:hAnsi="微软雅黑" w:eastAsia="微软雅黑" w:cs="微软雅黑"/>
                            <w:sz w:val="11"/>
                            <w:szCs w:val="11"/>
                          </w:rPr>
                        </w:pPr>
                        <w:r>
                          <w:rPr>
                            <w:rFonts w:ascii="微软雅黑" w:hAnsi="微软雅黑" w:eastAsia="微软雅黑" w:cs="微软雅黑"/>
                            <w:b/>
                            <w:bCs/>
                            <w:spacing w:val="1"/>
                            <w:sz w:val="11"/>
                            <w:szCs w:val="11"/>
                          </w:rPr>
                          <w:t>排放口名称</w:t>
                        </w:r>
                      </w:p>
                    </w:txbxContent>
                  </v:textbox>
                </v:shape>
              </w:pict>
            </w:r>
            <w:r>
              <w:rPr>
                <w:rFonts w:ascii="微软雅黑" w:hAnsi="微软雅黑" w:eastAsia="微软雅黑" w:cs="微软雅黑"/>
                <w:b/>
                <w:bCs/>
                <w:spacing w:val="-7"/>
                <w:w w:val="99"/>
                <w:sz w:val="11"/>
                <w:szCs w:val="11"/>
              </w:rPr>
              <w:t>（编</w:t>
            </w:r>
          </w:p>
          <w:p w14:paraId="419D15D5">
            <w:pPr>
              <w:spacing w:line="183" w:lineRule="auto"/>
              <w:ind w:left="90"/>
              <w:rPr>
                <w:rFonts w:ascii="微软雅黑" w:hAnsi="微软雅黑" w:eastAsia="微软雅黑" w:cs="微软雅黑"/>
                <w:sz w:val="11"/>
                <w:szCs w:val="11"/>
              </w:rPr>
            </w:pPr>
            <w:r>
              <w:rPr>
                <w:rFonts w:ascii="微软雅黑" w:hAnsi="微软雅黑" w:eastAsia="微软雅黑" w:cs="微软雅黑"/>
                <w:b/>
                <w:bCs/>
                <w:spacing w:val="-3"/>
                <w:sz w:val="11"/>
                <w:szCs w:val="11"/>
              </w:rPr>
              <w:t>号）</w:t>
            </w:r>
          </w:p>
        </w:tc>
        <w:tc>
          <w:tcPr>
            <w:tcW w:w="6312" w:type="dxa"/>
            <w:gridSpan w:val="6"/>
            <w:vMerge w:val="restart"/>
            <w:tcBorders>
              <w:top w:val="nil"/>
              <w:bottom w:val="nil"/>
            </w:tcBorders>
            <w:shd w:val="clear" w:color="auto" w:fill="BFBFBF"/>
            <w:vAlign w:val="top"/>
          </w:tcPr>
          <w:p w14:paraId="54092BA5">
            <w:pPr>
              <w:spacing w:before="105" w:line="180" w:lineRule="auto"/>
              <w:ind w:left="4275"/>
              <w:rPr>
                <w:rFonts w:ascii="微软雅黑" w:hAnsi="微软雅黑" w:eastAsia="微软雅黑" w:cs="微软雅黑"/>
                <w:sz w:val="11"/>
                <w:szCs w:val="11"/>
              </w:rPr>
            </w:pPr>
            <w:r>
              <w:pict>
                <v:shape id="_x0000_s1054" o:spid="_x0000_s1054" style="position:absolute;left:0pt;margin-left:156.35pt;margin-top:16.8pt;height:1.35pt;width:160.15pt;mso-position-horizontal-relative:page;mso-position-vertical-relative:page;z-index:251764736;mso-width-relative:page;mso-height-relative:page;" fillcolor="#000000" filled="t" stroked="f" coordsize="3202,27" path="m7,7,7,7l3194,7,3194,19,7,19,7,7xe">
                  <v:path/>
                  <v:fill on="t" focussize="0,0"/>
                  <v:stroke on="f"/>
                  <v:imagedata o:title=""/>
                  <o:lock v:ext="edit"/>
                </v:shape>
              </w:pict>
            </w:r>
            <w:r>
              <w:rPr>
                <w:rFonts w:ascii="微软雅黑" w:hAnsi="微软雅黑" w:eastAsia="微软雅黑" w:cs="微软雅黑"/>
                <w:b/>
                <w:bCs/>
                <w:spacing w:val="1"/>
                <w:sz w:val="11"/>
                <w:szCs w:val="11"/>
              </w:rPr>
              <w:t>污染防治设施工艺</w:t>
            </w:r>
          </w:p>
          <w:p w14:paraId="3DB8500F">
            <w:pPr>
              <w:spacing w:line="105" w:lineRule="exact"/>
              <w:ind w:left="1337"/>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废水类别</w:t>
            </w:r>
          </w:p>
          <w:p w14:paraId="63113C65">
            <w:pPr>
              <w:spacing w:line="168" w:lineRule="auto"/>
              <w:ind w:right="7"/>
              <w:jc w:val="right"/>
              <w:rPr>
                <w:rFonts w:ascii="微软雅黑" w:hAnsi="微软雅黑" w:eastAsia="微软雅黑" w:cs="微软雅黑"/>
                <w:sz w:val="11"/>
                <w:szCs w:val="11"/>
              </w:rPr>
            </w:pPr>
            <w:r>
              <w:pict>
                <v:shape id="_x0000_s1055" o:spid="_x0000_s1055" o:spt="202" type="#_x0000_t202" style="position:absolute;left:0pt;margin-left:163.4pt;margin-top:2.15pt;height:9.2pt;width:77pt;z-index:251765760;mso-width-relative:page;mso-height-relative:page;" filled="f" stroked="f" coordsize="21600,21600">
                  <v:path/>
                  <v:fill on="f" focussize="0,0"/>
                  <v:stroke on="f"/>
                  <v:imagedata o:title=""/>
                  <o:lock v:ext="edit" aspectratio="f"/>
                  <v:textbox inset="0mm,0mm,0mm,0mm">
                    <w:txbxContent>
                      <w:p w14:paraId="0DFB0230">
                        <w:pPr>
                          <w:spacing w:before="20" w:line="183" w:lineRule="auto"/>
                          <w:ind w:left="20"/>
                          <w:rPr>
                            <w:rFonts w:ascii="微软雅黑" w:hAnsi="微软雅黑" w:eastAsia="微软雅黑" w:cs="微软雅黑"/>
                            <w:sz w:val="11"/>
                            <w:szCs w:val="11"/>
                          </w:rPr>
                        </w:pPr>
                        <w:r>
                          <w:rPr>
                            <w:rFonts w:ascii="微软雅黑" w:hAnsi="微软雅黑" w:eastAsia="微软雅黑" w:cs="微软雅黑"/>
                            <w:b/>
                            <w:bCs/>
                            <w:spacing w:val="1"/>
                            <w:sz w:val="11"/>
                            <w:szCs w:val="11"/>
                          </w:rPr>
                          <w:t>序号（编号）                  名称</w:t>
                        </w:r>
                      </w:p>
                    </w:txbxContent>
                  </v:textbox>
                </v:shape>
              </w:pict>
            </w:r>
            <w:r>
              <w:rPr>
                <w:rFonts w:ascii="微软雅黑" w:hAnsi="微软雅黑" w:eastAsia="微软雅黑" w:cs="微软雅黑"/>
                <w:b/>
                <w:bCs/>
                <w:spacing w:val="1"/>
                <w:sz w:val="11"/>
                <w:szCs w:val="11"/>
              </w:rPr>
              <w:t>污染治理设施处理水</w:t>
            </w:r>
          </w:p>
          <w:p w14:paraId="088D4A9B">
            <w:pPr>
              <w:spacing w:line="96" w:lineRule="exact"/>
              <w:ind w:left="5438"/>
              <w:rPr>
                <w:rFonts w:ascii="微软雅黑" w:hAnsi="微软雅黑" w:eastAsia="微软雅黑" w:cs="微软雅黑"/>
                <w:sz w:val="11"/>
                <w:szCs w:val="11"/>
              </w:rPr>
            </w:pPr>
            <w:r>
              <w:rPr>
                <w:rFonts w:ascii="微软雅黑" w:hAnsi="微软雅黑" w:eastAsia="微软雅黑" w:cs="微软雅黑"/>
                <w:b/>
                <w:bCs/>
                <w:spacing w:val="3"/>
                <w:position w:val="-1"/>
                <w:sz w:val="11"/>
                <w:szCs w:val="11"/>
              </w:rPr>
              <w:t>量(吨/小时）</w:t>
            </w:r>
          </w:p>
        </w:tc>
        <w:tc>
          <w:tcPr>
            <w:tcW w:w="940" w:type="dxa"/>
            <w:vMerge w:val="restart"/>
            <w:tcBorders>
              <w:bottom w:val="nil"/>
            </w:tcBorders>
            <w:shd w:val="clear" w:color="auto" w:fill="BFBFBF"/>
            <w:vAlign w:val="top"/>
          </w:tcPr>
          <w:p w14:paraId="37F7DE02">
            <w:pPr>
              <w:spacing w:before="246" w:line="188" w:lineRule="auto"/>
              <w:ind w:left="245"/>
              <w:rPr>
                <w:rFonts w:ascii="微软雅黑" w:hAnsi="微软雅黑" w:eastAsia="微软雅黑" w:cs="微软雅黑"/>
                <w:sz w:val="11"/>
                <w:szCs w:val="11"/>
              </w:rPr>
            </w:pPr>
            <w:r>
              <w:rPr>
                <w:rFonts w:ascii="微软雅黑" w:hAnsi="微软雅黑" w:eastAsia="微软雅黑" w:cs="微软雅黑"/>
                <w:b/>
                <w:bCs/>
                <w:spacing w:val="1"/>
                <w:sz w:val="11"/>
                <w:szCs w:val="11"/>
              </w:rPr>
              <w:t>排放去向</w:t>
            </w:r>
          </w:p>
        </w:tc>
        <w:tc>
          <w:tcPr>
            <w:tcW w:w="4739" w:type="dxa"/>
            <w:gridSpan w:val="6"/>
            <w:tcBorders>
              <w:right w:val="single" w:color="000000" w:sz="6" w:space="0"/>
            </w:tcBorders>
            <w:shd w:val="clear" w:color="auto" w:fill="BFBFBF"/>
            <w:vAlign w:val="top"/>
          </w:tcPr>
          <w:p w14:paraId="0902CDFD">
            <w:pPr>
              <w:spacing w:before="23" w:line="109" w:lineRule="exact"/>
              <w:ind w:left="2089"/>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74A57F7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23" w:hRule="atLeast"/>
        </w:trPr>
        <w:tc>
          <w:tcPr>
            <w:tcW w:w="622" w:type="dxa"/>
            <w:vMerge w:val="continue"/>
            <w:tcBorders>
              <w:top w:val="nil"/>
              <w:left w:val="single" w:color="000000" w:sz="6" w:space="0"/>
              <w:bottom w:val="nil"/>
            </w:tcBorders>
            <w:vAlign w:val="top"/>
          </w:tcPr>
          <w:p w14:paraId="64E115D6">
            <w:pPr>
              <w:rPr>
                <w:rFonts w:ascii="Arial"/>
                <w:sz w:val="21"/>
              </w:rPr>
            </w:pPr>
          </w:p>
        </w:tc>
        <w:tc>
          <w:tcPr>
            <w:tcW w:w="496" w:type="dxa"/>
            <w:vMerge w:val="continue"/>
            <w:tcBorders>
              <w:top w:val="nil"/>
              <w:bottom w:val="nil"/>
            </w:tcBorders>
            <w:vAlign w:val="top"/>
          </w:tcPr>
          <w:p w14:paraId="4FB25EC5">
            <w:pPr>
              <w:rPr>
                <w:rFonts w:ascii="Arial"/>
                <w:sz w:val="21"/>
              </w:rPr>
            </w:pPr>
          </w:p>
        </w:tc>
        <w:tc>
          <w:tcPr>
            <w:tcW w:w="1316" w:type="dxa"/>
            <w:gridSpan w:val="2"/>
            <w:vMerge w:val="continue"/>
            <w:tcBorders>
              <w:top w:val="nil"/>
            </w:tcBorders>
            <w:vAlign w:val="top"/>
          </w:tcPr>
          <w:p w14:paraId="21DF8C6B">
            <w:pPr>
              <w:rPr>
                <w:rFonts w:ascii="Arial"/>
                <w:sz w:val="21"/>
              </w:rPr>
            </w:pPr>
          </w:p>
        </w:tc>
        <w:tc>
          <w:tcPr>
            <w:tcW w:w="6312" w:type="dxa"/>
            <w:gridSpan w:val="6"/>
            <w:vMerge w:val="continue"/>
            <w:tcBorders>
              <w:top w:val="nil"/>
            </w:tcBorders>
            <w:vAlign w:val="top"/>
          </w:tcPr>
          <w:p w14:paraId="523F03EE">
            <w:pPr>
              <w:rPr>
                <w:rFonts w:ascii="Arial"/>
                <w:sz w:val="21"/>
              </w:rPr>
            </w:pPr>
          </w:p>
        </w:tc>
        <w:tc>
          <w:tcPr>
            <w:tcW w:w="940" w:type="dxa"/>
            <w:vMerge w:val="continue"/>
            <w:tcBorders>
              <w:top w:val="nil"/>
            </w:tcBorders>
            <w:vAlign w:val="top"/>
          </w:tcPr>
          <w:p w14:paraId="21E89830">
            <w:pPr>
              <w:rPr>
                <w:rFonts w:ascii="Arial"/>
                <w:sz w:val="21"/>
              </w:rPr>
            </w:pPr>
          </w:p>
        </w:tc>
        <w:tc>
          <w:tcPr>
            <w:tcW w:w="873" w:type="dxa"/>
            <w:shd w:val="clear" w:color="auto" w:fill="BFBFBF"/>
            <w:vAlign w:val="top"/>
          </w:tcPr>
          <w:p w14:paraId="20FFDC25">
            <w:pPr>
              <w:spacing w:before="162" w:line="187" w:lineRule="auto"/>
              <w:ind w:left="157"/>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983" w:type="dxa"/>
            <w:shd w:val="clear" w:color="auto" w:fill="BFBFBF"/>
            <w:vAlign w:val="top"/>
          </w:tcPr>
          <w:p w14:paraId="30E95817">
            <w:pPr>
              <w:spacing w:before="93" w:line="177" w:lineRule="auto"/>
              <w:ind w:left="268"/>
              <w:rPr>
                <w:rFonts w:ascii="微软雅黑" w:hAnsi="微软雅黑" w:eastAsia="微软雅黑" w:cs="微软雅黑"/>
                <w:sz w:val="11"/>
                <w:szCs w:val="11"/>
              </w:rPr>
            </w:pPr>
            <w:r>
              <w:rPr>
                <w:rFonts w:ascii="微软雅黑" w:hAnsi="微软雅黑" w:eastAsia="微软雅黑" w:cs="微软雅黑"/>
                <w:b/>
                <w:bCs/>
                <w:spacing w:val="1"/>
                <w:sz w:val="11"/>
                <w:szCs w:val="11"/>
              </w:rPr>
              <w:t>排放浓度</w:t>
            </w:r>
          </w:p>
          <w:p w14:paraId="260757F4">
            <w:pPr>
              <w:spacing w:line="183" w:lineRule="auto"/>
              <w:ind w:left="190"/>
              <w:rPr>
                <w:rFonts w:ascii="微软雅黑" w:hAnsi="微软雅黑" w:eastAsia="微软雅黑" w:cs="微软雅黑"/>
                <w:sz w:val="11"/>
                <w:szCs w:val="11"/>
              </w:rPr>
            </w:pPr>
            <w:r>
              <w:rPr>
                <w:rFonts w:ascii="微软雅黑" w:hAnsi="微软雅黑" w:eastAsia="微软雅黑" w:cs="微软雅黑"/>
                <w:b/>
                <w:bCs/>
                <w:sz w:val="11"/>
                <w:szCs w:val="11"/>
              </w:rPr>
              <w:t>（毫克/升）</w:t>
            </w:r>
          </w:p>
        </w:tc>
        <w:tc>
          <w:tcPr>
            <w:tcW w:w="1079" w:type="dxa"/>
            <w:shd w:val="clear" w:color="auto" w:fill="BFBFBF"/>
            <w:vAlign w:val="top"/>
          </w:tcPr>
          <w:p w14:paraId="7AB1F907">
            <w:pPr>
              <w:spacing w:before="162" w:line="183" w:lineRule="auto"/>
              <w:ind w:left="117"/>
              <w:rPr>
                <w:rFonts w:ascii="微软雅黑" w:hAnsi="微软雅黑" w:eastAsia="微软雅黑" w:cs="微软雅黑"/>
                <w:sz w:val="11"/>
                <w:szCs w:val="11"/>
              </w:rPr>
            </w:pPr>
            <w:r>
              <w:rPr>
                <w:rFonts w:ascii="微软雅黑" w:hAnsi="微软雅黑" w:eastAsia="微软雅黑" w:cs="微软雅黑"/>
                <w:b/>
                <w:bCs/>
                <w:spacing w:val="2"/>
                <w:sz w:val="11"/>
                <w:szCs w:val="11"/>
              </w:rPr>
              <w:t>排放量（吨/年）</w:t>
            </w:r>
          </w:p>
        </w:tc>
        <w:tc>
          <w:tcPr>
            <w:tcW w:w="1804" w:type="dxa"/>
            <w:gridSpan w:val="3"/>
            <w:tcBorders>
              <w:right w:val="single" w:color="000000" w:sz="6" w:space="0"/>
            </w:tcBorders>
            <w:shd w:val="clear" w:color="auto" w:fill="BFBFBF"/>
            <w:vAlign w:val="top"/>
          </w:tcPr>
          <w:p w14:paraId="29B7B1CD">
            <w:pPr>
              <w:spacing w:before="162" w:line="188" w:lineRule="auto"/>
              <w:ind w:left="562"/>
              <w:rPr>
                <w:rFonts w:ascii="微软雅黑" w:hAnsi="微软雅黑" w:eastAsia="微软雅黑" w:cs="微软雅黑"/>
                <w:sz w:val="11"/>
                <w:szCs w:val="11"/>
              </w:rPr>
            </w:pPr>
            <w:r>
              <w:rPr>
                <w:rFonts w:ascii="微软雅黑" w:hAnsi="微软雅黑" w:eastAsia="微软雅黑" w:cs="微软雅黑"/>
                <w:b/>
                <w:bCs/>
                <w:spacing w:val="2"/>
                <w:sz w:val="11"/>
                <w:szCs w:val="11"/>
              </w:rPr>
              <w:t>排放标准名称</w:t>
            </w:r>
          </w:p>
        </w:tc>
      </w:tr>
      <w:tr w14:paraId="5E5C4B5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05C02A7">
            <w:pPr>
              <w:rPr>
                <w:rFonts w:ascii="Arial"/>
                <w:sz w:val="21"/>
              </w:rPr>
            </w:pPr>
          </w:p>
        </w:tc>
        <w:tc>
          <w:tcPr>
            <w:tcW w:w="496" w:type="dxa"/>
            <w:vMerge w:val="continue"/>
            <w:tcBorders>
              <w:top w:val="nil"/>
              <w:bottom w:val="nil"/>
            </w:tcBorders>
            <w:vAlign w:val="top"/>
          </w:tcPr>
          <w:p w14:paraId="539794C9">
            <w:pPr>
              <w:rPr>
                <w:rFonts w:ascii="Arial"/>
                <w:sz w:val="21"/>
              </w:rPr>
            </w:pPr>
          </w:p>
        </w:tc>
        <w:tc>
          <w:tcPr>
            <w:tcW w:w="419" w:type="dxa"/>
            <w:vAlign w:val="top"/>
          </w:tcPr>
          <w:p w14:paraId="4799A57D">
            <w:pPr>
              <w:spacing w:line="132" w:lineRule="exact"/>
              <w:rPr>
                <w:rFonts w:ascii="Arial"/>
                <w:sz w:val="11"/>
              </w:rPr>
            </w:pPr>
          </w:p>
        </w:tc>
        <w:tc>
          <w:tcPr>
            <w:tcW w:w="897" w:type="dxa"/>
            <w:vAlign w:val="top"/>
          </w:tcPr>
          <w:p w14:paraId="0F062489">
            <w:pPr>
              <w:spacing w:line="132" w:lineRule="exact"/>
              <w:rPr>
                <w:rFonts w:ascii="Arial"/>
                <w:sz w:val="11"/>
              </w:rPr>
            </w:pPr>
          </w:p>
        </w:tc>
        <w:tc>
          <w:tcPr>
            <w:tcW w:w="3140" w:type="dxa"/>
            <w:gridSpan w:val="3"/>
            <w:vAlign w:val="top"/>
          </w:tcPr>
          <w:p w14:paraId="6856EFAE">
            <w:pPr>
              <w:spacing w:line="132" w:lineRule="exact"/>
              <w:rPr>
                <w:rFonts w:ascii="Arial"/>
                <w:sz w:val="11"/>
              </w:rPr>
            </w:pPr>
          </w:p>
        </w:tc>
        <w:tc>
          <w:tcPr>
            <w:tcW w:w="983" w:type="dxa"/>
            <w:vAlign w:val="top"/>
          </w:tcPr>
          <w:p w14:paraId="02D6B833">
            <w:pPr>
              <w:spacing w:line="132" w:lineRule="exact"/>
              <w:rPr>
                <w:rFonts w:ascii="Arial"/>
                <w:sz w:val="11"/>
              </w:rPr>
            </w:pPr>
          </w:p>
        </w:tc>
        <w:tc>
          <w:tcPr>
            <w:tcW w:w="1120" w:type="dxa"/>
            <w:vAlign w:val="top"/>
          </w:tcPr>
          <w:p w14:paraId="22E87BE5">
            <w:pPr>
              <w:spacing w:line="132" w:lineRule="exact"/>
              <w:rPr>
                <w:rFonts w:ascii="Arial"/>
                <w:sz w:val="11"/>
              </w:rPr>
            </w:pPr>
          </w:p>
        </w:tc>
        <w:tc>
          <w:tcPr>
            <w:tcW w:w="1069" w:type="dxa"/>
            <w:vAlign w:val="top"/>
          </w:tcPr>
          <w:p w14:paraId="11859975">
            <w:pPr>
              <w:spacing w:line="132" w:lineRule="exact"/>
              <w:rPr>
                <w:rFonts w:ascii="Arial"/>
                <w:sz w:val="11"/>
              </w:rPr>
            </w:pPr>
          </w:p>
        </w:tc>
        <w:tc>
          <w:tcPr>
            <w:tcW w:w="940" w:type="dxa"/>
            <w:vAlign w:val="top"/>
          </w:tcPr>
          <w:p w14:paraId="5FBC89B1">
            <w:pPr>
              <w:spacing w:line="132" w:lineRule="exact"/>
              <w:rPr>
                <w:rFonts w:ascii="Arial"/>
                <w:sz w:val="11"/>
              </w:rPr>
            </w:pPr>
          </w:p>
        </w:tc>
        <w:tc>
          <w:tcPr>
            <w:tcW w:w="873" w:type="dxa"/>
            <w:vAlign w:val="top"/>
          </w:tcPr>
          <w:p w14:paraId="61E9617A">
            <w:pPr>
              <w:spacing w:line="132" w:lineRule="exact"/>
              <w:rPr>
                <w:rFonts w:ascii="Arial"/>
                <w:sz w:val="11"/>
              </w:rPr>
            </w:pPr>
          </w:p>
        </w:tc>
        <w:tc>
          <w:tcPr>
            <w:tcW w:w="983" w:type="dxa"/>
            <w:vAlign w:val="top"/>
          </w:tcPr>
          <w:p w14:paraId="07EC963C">
            <w:pPr>
              <w:spacing w:line="132" w:lineRule="exact"/>
              <w:rPr>
                <w:rFonts w:ascii="Arial"/>
                <w:sz w:val="11"/>
              </w:rPr>
            </w:pPr>
          </w:p>
        </w:tc>
        <w:tc>
          <w:tcPr>
            <w:tcW w:w="1079" w:type="dxa"/>
            <w:vAlign w:val="top"/>
          </w:tcPr>
          <w:p w14:paraId="44C9EF87">
            <w:pPr>
              <w:spacing w:line="132" w:lineRule="exact"/>
              <w:rPr>
                <w:rFonts w:ascii="Arial"/>
                <w:sz w:val="11"/>
              </w:rPr>
            </w:pPr>
          </w:p>
        </w:tc>
        <w:tc>
          <w:tcPr>
            <w:tcW w:w="1804" w:type="dxa"/>
            <w:gridSpan w:val="3"/>
            <w:tcBorders>
              <w:right w:val="single" w:color="000000" w:sz="6" w:space="0"/>
            </w:tcBorders>
            <w:vAlign w:val="top"/>
          </w:tcPr>
          <w:p w14:paraId="65CFD459">
            <w:pPr>
              <w:spacing w:line="132" w:lineRule="exact"/>
              <w:rPr>
                <w:rFonts w:ascii="Arial"/>
                <w:sz w:val="11"/>
              </w:rPr>
            </w:pPr>
          </w:p>
        </w:tc>
      </w:tr>
      <w:tr w14:paraId="39A7C18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229939CC">
            <w:pPr>
              <w:rPr>
                <w:rFonts w:ascii="Arial"/>
                <w:sz w:val="21"/>
              </w:rPr>
            </w:pPr>
          </w:p>
        </w:tc>
        <w:tc>
          <w:tcPr>
            <w:tcW w:w="496" w:type="dxa"/>
            <w:vMerge w:val="continue"/>
            <w:tcBorders>
              <w:top w:val="nil"/>
              <w:bottom w:val="nil"/>
            </w:tcBorders>
            <w:vAlign w:val="top"/>
          </w:tcPr>
          <w:p w14:paraId="36D8090E">
            <w:pPr>
              <w:rPr>
                <w:rFonts w:ascii="Arial"/>
                <w:sz w:val="21"/>
              </w:rPr>
            </w:pPr>
          </w:p>
        </w:tc>
        <w:tc>
          <w:tcPr>
            <w:tcW w:w="419" w:type="dxa"/>
            <w:vAlign w:val="top"/>
          </w:tcPr>
          <w:p w14:paraId="490D3ADF">
            <w:pPr>
              <w:spacing w:line="132" w:lineRule="exact"/>
              <w:rPr>
                <w:rFonts w:ascii="Arial"/>
                <w:sz w:val="11"/>
              </w:rPr>
            </w:pPr>
          </w:p>
        </w:tc>
        <w:tc>
          <w:tcPr>
            <w:tcW w:w="897" w:type="dxa"/>
            <w:vAlign w:val="top"/>
          </w:tcPr>
          <w:p w14:paraId="0A53CE6F">
            <w:pPr>
              <w:spacing w:line="132" w:lineRule="exact"/>
              <w:rPr>
                <w:rFonts w:ascii="Arial"/>
                <w:sz w:val="11"/>
              </w:rPr>
            </w:pPr>
          </w:p>
        </w:tc>
        <w:tc>
          <w:tcPr>
            <w:tcW w:w="3140" w:type="dxa"/>
            <w:gridSpan w:val="3"/>
            <w:vAlign w:val="top"/>
          </w:tcPr>
          <w:p w14:paraId="2FA42BB0">
            <w:pPr>
              <w:spacing w:line="132" w:lineRule="exact"/>
              <w:rPr>
                <w:rFonts w:ascii="Arial"/>
                <w:sz w:val="11"/>
              </w:rPr>
            </w:pPr>
          </w:p>
        </w:tc>
        <w:tc>
          <w:tcPr>
            <w:tcW w:w="983" w:type="dxa"/>
            <w:vAlign w:val="top"/>
          </w:tcPr>
          <w:p w14:paraId="07592308">
            <w:pPr>
              <w:spacing w:line="132" w:lineRule="exact"/>
              <w:rPr>
                <w:rFonts w:ascii="Arial"/>
                <w:sz w:val="11"/>
              </w:rPr>
            </w:pPr>
          </w:p>
        </w:tc>
        <w:tc>
          <w:tcPr>
            <w:tcW w:w="1120" w:type="dxa"/>
            <w:vAlign w:val="top"/>
          </w:tcPr>
          <w:p w14:paraId="0E5CEC88">
            <w:pPr>
              <w:spacing w:line="132" w:lineRule="exact"/>
              <w:rPr>
                <w:rFonts w:ascii="Arial"/>
                <w:sz w:val="11"/>
              </w:rPr>
            </w:pPr>
          </w:p>
        </w:tc>
        <w:tc>
          <w:tcPr>
            <w:tcW w:w="1069" w:type="dxa"/>
            <w:vAlign w:val="top"/>
          </w:tcPr>
          <w:p w14:paraId="6ADB3D42">
            <w:pPr>
              <w:spacing w:line="132" w:lineRule="exact"/>
              <w:rPr>
                <w:rFonts w:ascii="Arial"/>
                <w:sz w:val="11"/>
              </w:rPr>
            </w:pPr>
          </w:p>
        </w:tc>
        <w:tc>
          <w:tcPr>
            <w:tcW w:w="940" w:type="dxa"/>
            <w:vAlign w:val="top"/>
          </w:tcPr>
          <w:p w14:paraId="720C326E">
            <w:pPr>
              <w:spacing w:line="132" w:lineRule="exact"/>
              <w:rPr>
                <w:rFonts w:ascii="Arial"/>
                <w:sz w:val="11"/>
              </w:rPr>
            </w:pPr>
          </w:p>
        </w:tc>
        <w:tc>
          <w:tcPr>
            <w:tcW w:w="873" w:type="dxa"/>
            <w:vAlign w:val="top"/>
          </w:tcPr>
          <w:p w14:paraId="50E71F3E">
            <w:pPr>
              <w:spacing w:line="132" w:lineRule="exact"/>
              <w:rPr>
                <w:rFonts w:ascii="Arial"/>
                <w:sz w:val="11"/>
              </w:rPr>
            </w:pPr>
          </w:p>
        </w:tc>
        <w:tc>
          <w:tcPr>
            <w:tcW w:w="983" w:type="dxa"/>
            <w:vAlign w:val="top"/>
          </w:tcPr>
          <w:p w14:paraId="5B344B9B">
            <w:pPr>
              <w:spacing w:line="132" w:lineRule="exact"/>
              <w:rPr>
                <w:rFonts w:ascii="Arial"/>
                <w:sz w:val="11"/>
              </w:rPr>
            </w:pPr>
          </w:p>
        </w:tc>
        <w:tc>
          <w:tcPr>
            <w:tcW w:w="1079" w:type="dxa"/>
            <w:vAlign w:val="top"/>
          </w:tcPr>
          <w:p w14:paraId="5F2AFBA4">
            <w:pPr>
              <w:spacing w:line="132" w:lineRule="exact"/>
              <w:rPr>
                <w:rFonts w:ascii="Arial"/>
                <w:sz w:val="11"/>
              </w:rPr>
            </w:pPr>
          </w:p>
        </w:tc>
        <w:tc>
          <w:tcPr>
            <w:tcW w:w="1804" w:type="dxa"/>
            <w:gridSpan w:val="3"/>
            <w:tcBorders>
              <w:right w:val="single" w:color="000000" w:sz="6" w:space="0"/>
            </w:tcBorders>
            <w:vAlign w:val="top"/>
          </w:tcPr>
          <w:p w14:paraId="5B11CCFF">
            <w:pPr>
              <w:spacing w:line="132" w:lineRule="exact"/>
              <w:rPr>
                <w:rFonts w:ascii="Arial"/>
                <w:sz w:val="11"/>
              </w:rPr>
            </w:pPr>
          </w:p>
        </w:tc>
      </w:tr>
      <w:tr w14:paraId="0209673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0876B8D">
            <w:pPr>
              <w:rPr>
                <w:rFonts w:ascii="Arial"/>
                <w:sz w:val="21"/>
              </w:rPr>
            </w:pPr>
          </w:p>
        </w:tc>
        <w:tc>
          <w:tcPr>
            <w:tcW w:w="496" w:type="dxa"/>
            <w:vMerge w:val="continue"/>
            <w:tcBorders>
              <w:top w:val="nil"/>
              <w:bottom w:val="nil"/>
            </w:tcBorders>
            <w:vAlign w:val="top"/>
          </w:tcPr>
          <w:p w14:paraId="31F2821D">
            <w:pPr>
              <w:rPr>
                <w:rFonts w:ascii="Arial"/>
                <w:sz w:val="21"/>
              </w:rPr>
            </w:pPr>
          </w:p>
        </w:tc>
        <w:tc>
          <w:tcPr>
            <w:tcW w:w="419" w:type="dxa"/>
            <w:vAlign w:val="top"/>
          </w:tcPr>
          <w:p w14:paraId="05C48ED2">
            <w:pPr>
              <w:spacing w:line="132" w:lineRule="exact"/>
              <w:rPr>
                <w:rFonts w:ascii="Arial"/>
                <w:sz w:val="11"/>
              </w:rPr>
            </w:pPr>
          </w:p>
        </w:tc>
        <w:tc>
          <w:tcPr>
            <w:tcW w:w="897" w:type="dxa"/>
            <w:vAlign w:val="top"/>
          </w:tcPr>
          <w:p w14:paraId="05D521D0">
            <w:pPr>
              <w:spacing w:line="132" w:lineRule="exact"/>
              <w:rPr>
                <w:rFonts w:ascii="Arial"/>
                <w:sz w:val="11"/>
              </w:rPr>
            </w:pPr>
          </w:p>
        </w:tc>
        <w:tc>
          <w:tcPr>
            <w:tcW w:w="3140" w:type="dxa"/>
            <w:gridSpan w:val="3"/>
            <w:vAlign w:val="top"/>
          </w:tcPr>
          <w:p w14:paraId="6C3705C9">
            <w:pPr>
              <w:spacing w:line="132" w:lineRule="exact"/>
              <w:rPr>
                <w:rFonts w:ascii="Arial"/>
                <w:sz w:val="11"/>
              </w:rPr>
            </w:pPr>
          </w:p>
        </w:tc>
        <w:tc>
          <w:tcPr>
            <w:tcW w:w="983" w:type="dxa"/>
            <w:vAlign w:val="top"/>
          </w:tcPr>
          <w:p w14:paraId="42046DCE">
            <w:pPr>
              <w:spacing w:line="132" w:lineRule="exact"/>
              <w:rPr>
                <w:rFonts w:ascii="Arial"/>
                <w:sz w:val="11"/>
              </w:rPr>
            </w:pPr>
          </w:p>
        </w:tc>
        <w:tc>
          <w:tcPr>
            <w:tcW w:w="1120" w:type="dxa"/>
            <w:vAlign w:val="top"/>
          </w:tcPr>
          <w:p w14:paraId="2ECB4912">
            <w:pPr>
              <w:spacing w:line="132" w:lineRule="exact"/>
              <w:rPr>
                <w:rFonts w:ascii="Arial"/>
                <w:sz w:val="11"/>
              </w:rPr>
            </w:pPr>
          </w:p>
        </w:tc>
        <w:tc>
          <w:tcPr>
            <w:tcW w:w="1069" w:type="dxa"/>
            <w:vAlign w:val="top"/>
          </w:tcPr>
          <w:p w14:paraId="30A8ABEA">
            <w:pPr>
              <w:spacing w:line="132" w:lineRule="exact"/>
              <w:rPr>
                <w:rFonts w:ascii="Arial"/>
                <w:sz w:val="11"/>
              </w:rPr>
            </w:pPr>
          </w:p>
        </w:tc>
        <w:tc>
          <w:tcPr>
            <w:tcW w:w="940" w:type="dxa"/>
            <w:vAlign w:val="top"/>
          </w:tcPr>
          <w:p w14:paraId="1AC008E3">
            <w:pPr>
              <w:spacing w:line="132" w:lineRule="exact"/>
              <w:rPr>
                <w:rFonts w:ascii="Arial"/>
                <w:sz w:val="11"/>
              </w:rPr>
            </w:pPr>
          </w:p>
        </w:tc>
        <w:tc>
          <w:tcPr>
            <w:tcW w:w="873" w:type="dxa"/>
            <w:vAlign w:val="top"/>
          </w:tcPr>
          <w:p w14:paraId="32FC5A96">
            <w:pPr>
              <w:spacing w:line="132" w:lineRule="exact"/>
              <w:rPr>
                <w:rFonts w:ascii="Arial"/>
                <w:sz w:val="11"/>
              </w:rPr>
            </w:pPr>
          </w:p>
        </w:tc>
        <w:tc>
          <w:tcPr>
            <w:tcW w:w="983" w:type="dxa"/>
            <w:vAlign w:val="top"/>
          </w:tcPr>
          <w:p w14:paraId="075592D6">
            <w:pPr>
              <w:spacing w:line="132" w:lineRule="exact"/>
              <w:rPr>
                <w:rFonts w:ascii="Arial"/>
                <w:sz w:val="11"/>
              </w:rPr>
            </w:pPr>
          </w:p>
        </w:tc>
        <w:tc>
          <w:tcPr>
            <w:tcW w:w="1079" w:type="dxa"/>
            <w:vAlign w:val="top"/>
          </w:tcPr>
          <w:p w14:paraId="5025D965">
            <w:pPr>
              <w:spacing w:line="132" w:lineRule="exact"/>
              <w:rPr>
                <w:rFonts w:ascii="Arial"/>
                <w:sz w:val="11"/>
              </w:rPr>
            </w:pPr>
          </w:p>
        </w:tc>
        <w:tc>
          <w:tcPr>
            <w:tcW w:w="1804" w:type="dxa"/>
            <w:gridSpan w:val="3"/>
            <w:tcBorders>
              <w:right w:val="single" w:color="000000" w:sz="6" w:space="0"/>
            </w:tcBorders>
            <w:vAlign w:val="top"/>
          </w:tcPr>
          <w:p w14:paraId="1919F9FB">
            <w:pPr>
              <w:spacing w:line="132" w:lineRule="exact"/>
              <w:rPr>
                <w:rFonts w:ascii="Arial"/>
                <w:sz w:val="11"/>
              </w:rPr>
            </w:pPr>
          </w:p>
        </w:tc>
      </w:tr>
      <w:tr w14:paraId="1618D2B5">
        <w:tblPrEx>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4E75BA06">
            <w:pPr>
              <w:rPr>
                <w:rFonts w:ascii="Arial"/>
                <w:sz w:val="21"/>
              </w:rPr>
            </w:pPr>
          </w:p>
        </w:tc>
        <w:tc>
          <w:tcPr>
            <w:tcW w:w="496" w:type="dxa"/>
            <w:vMerge w:val="continue"/>
            <w:tcBorders>
              <w:top w:val="nil"/>
            </w:tcBorders>
            <w:vAlign w:val="top"/>
          </w:tcPr>
          <w:p w14:paraId="735684A1">
            <w:pPr>
              <w:rPr>
                <w:rFonts w:ascii="Arial"/>
                <w:sz w:val="21"/>
              </w:rPr>
            </w:pPr>
          </w:p>
        </w:tc>
        <w:tc>
          <w:tcPr>
            <w:tcW w:w="419" w:type="dxa"/>
            <w:vAlign w:val="top"/>
          </w:tcPr>
          <w:p w14:paraId="1C87711B">
            <w:pPr>
              <w:spacing w:line="132" w:lineRule="exact"/>
              <w:rPr>
                <w:rFonts w:ascii="Arial"/>
                <w:sz w:val="11"/>
              </w:rPr>
            </w:pPr>
          </w:p>
        </w:tc>
        <w:tc>
          <w:tcPr>
            <w:tcW w:w="897" w:type="dxa"/>
            <w:vAlign w:val="top"/>
          </w:tcPr>
          <w:p w14:paraId="70E57727">
            <w:pPr>
              <w:spacing w:line="132" w:lineRule="exact"/>
              <w:rPr>
                <w:rFonts w:ascii="Arial"/>
                <w:sz w:val="11"/>
              </w:rPr>
            </w:pPr>
          </w:p>
        </w:tc>
        <w:tc>
          <w:tcPr>
            <w:tcW w:w="3140" w:type="dxa"/>
            <w:gridSpan w:val="3"/>
            <w:vAlign w:val="top"/>
          </w:tcPr>
          <w:p w14:paraId="39A4BFF3">
            <w:pPr>
              <w:spacing w:line="132" w:lineRule="exact"/>
              <w:rPr>
                <w:rFonts w:ascii="Arial"/>
                <w:sz w:val="11"/>
              </w:rPr>
            </w:pPr>
          </w:p>
        </w:tc>
        <w:tc>
          <w:tcPr>
            <w:tcW w:w="983" w:type="dxa"/>
            <w:vAlign w:val="top"/>
          </w:tcPr>
          <w:p w14:paraId="4B36FD12">
            <w:pPr>
              <w:spacing w:line="132" w:lineRule="exact"/>
              <w:rPr>
                <w:rFonts w:ascii="Arial"/>
                <w:sz w:val="11"/>
              </w:rPr>
            </w:pPr>
          </w:p>
        </w:tc>
        <w:tc>
          <w:tcPr>
            <w:tcW w:w="1120" w:type="dxa"/>
            <w:vAlign w:val="top"/>
          </w:tcPr>
          <w:p w14:paraId="502C1212">
            <w:pPr>
              <w:spacing w:line="132" w:lineRule="exact"/>
              <w:rPr>
                <w:rFonts w:ascii="Arial"/>
                <w:sz w:val="11"/>
              </w:rPr>
            </w:pPr>
          </w:p>
        </w:tc>
        <w:tc>
          <w:tcPr>
            <w:tcW w:w="1069" w:type="dxa"/>
            <w:vAlign w:val="top"/>
          </w:tcPr>
          <w:p w14:paraId="2939321B">
            <w:pPr>
              <w:spacing w:line="132" w:lineRule="exact"/>
              <w:rPr>
                <w:rFonts w:ascii="Arial"/>
                <w:sz w:val="11"/>
              </w:rPr>
            </w:pPr>
          </w:p>
        </w:tc>
        <w:tc>
          <w:tcPr>
            <w:tcW w:w="940" w:type="dxa"/>
            <w:vAlign w:val="top"/>
          </w:tcPr>
          <w:p w14:paraId="35C909DC">
            <w:pPr>
              <w:spacing w:line="132" w:lineRule="exact"/>
              <w:rPr>
                <w:rFonts w:ascii="Arial"/>
                <w:sz w:val="11"/>
              </w:rPr>
            </w:pPr>
          </w:p>
        </w:tc>
        <w:tc>
          <w:tcPr>
            <w:tcW w:w="873" w:type="dxa"/>
            <w:vAlign w:val="top"/>
          </w:tcPr>
          <w:p w14:paraId="5DAB39DD">
            <w:pPr>
              <w:spacing w:line="132" w:lineRule="exact"/>
              <w:rPr>
                <w:rFonts w:ascii="Arial"/>
                <w:sz w:val="11"/>
              </w:rPr>
            </w:pPr>
          </w:p>
        </w:tc>
        <w:tc>
          <w:tcPr>
            <w:tcW w:w="983" w:type="dxa"/>
            <w:vAlign w:val="top"/>
          </w:tcPr>
          <w:p w14:paraId="2E514782">
            <w:pPr>
              <w:spacing w:line="132" w:lineRule="exact"/>
              <w:rPr>
                <w:rFonts w:ascii="Arial"/>
                <w:sz w:val="11"/>
              </w:rPr>
            </w:pPr>
          </w:p>
        </w:tc>
        <w:tc>
          <w:tcPr>
            <w:tcW w:w="1079" w:type="dxa"/>
            <w:vAlign w:val="top"/>
          </w:tcPr>
          <w:p w14:paraId="6608EBE9">
            <w:pPr>
              <w:spacing w:line="132" w:lineRule="exact"/>
              <w:rPr>
                <w:rFonts w:ascii="Arial"/>
                <w:sz w:val="11"/>
              </w:rPr>
            </w:pPr>
          </w:p>
        </w:tc>
        <w:tc>
          <w:tcPr>
            <w:tcW w:w="1804" w:type="dxa"/>
            <w:gridSpan w:val="3"/>
            <w:tcBorders>
              <w:right w:val="single" w:color="000000" w:sz="6" w:space="0"/>
            </w:tcBorders>
            <w:vAlign w:val="top"/>
          </w:tcPr>
          <w:p w14:paraId="4ACEE407">
            <w:pPr>
              <w:spacing w:line="132" w:lineRule="exact"/>
              <w:rPr>
                <w:rFonts w:ascii="Arial"/>
                <w:sz w:val="11"/>
              </w:rPr>
            </w:pPr>
          </w:p>
        </w:tc>
      </w:tr>
      <w:tr w14:paraId="1E4B254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8A34E5E">
            <w:pPr>
              <w:rPr>
                <w:rFonts w:ascii="Arial"/>
                <w:sz w:val="21"/>
              </w:rPr>
            </w:pPr>
          </w:p>
        </w:tc>
        <w:tc>
          <w:tcPr>
            <w:tcW w:w="496" w:type="dxa"/>
            <w:vMerge w:val="restart"/>
            <w:tcBorders>
              <w:bottom w:val="nil"/>
            </w:tcBorders>
            <w:shd w:val="clear" w:color="auto" w:fill="BFBFBF"/>
            <w:vAlign w:val="top"/>
          </w:tcPr>
          <w:p w14:paraId="39F708BA">
            <w:pPr>
              <w:spacing w:line="389" w:lineRule="auto"/>
              <w:rPr>
                <w:rFonts w:ascii="Arial"/>
                <w:sz w:val="21"/>
              </w:rPr>
            </w:pPr>
          </w:p>
          <w:p w14:paraId="174692F3">
            <w:pPr>
              <w:spacing w:before="55" w:line="181" w:lineRule="auto"/>
              <w:ind w:left="35"/>
              <w:rPr>
                <w:rFonts w:ascii="微软雅黑" w:hAnsi="微软雅黑" w:eastAsia="微软雅黑" w:cs="微软雅黑"/>
                <w:sz w:val="13"/>
                <w:szCs w:val="13"/>
              </w:rPr>
            </w:pPr>
            <w:r>
              <w:rPr>
                <w:rFonts w:ascii="微软雅黑" w:hAnsi="微软雅黑" w:eastAsia="微软雅黑" w:cs="微软雅黑"/>
                <w:b/>
                <w:bCs/>
                <w:spacing w:val="4"/>
                <w:sz w:val="13"/>
                <w:szCs w:val="13"/>
              </w:rPr>
              <w:t>总排放</w:t>
            </w:r>
          </w:p>
          <w:p w14:paraId="70F7CA12">
            <w:pPr>
              <w:spacing w:before="1" w:line="180" w:lineRule="auto"/>
              <w:ind w:left="101" w:right="32" w:hanging="53"/>
              <w:rPr>
                <w:rFonts w:ascii="微软雅黑" w:hAnsi="微软雅黑" w:eastAsia="微软雅黑" w:cs="微软雅黑"/>
                <w:sz w:val="13"/>
                <w:szCs w:val="13"/>
              </w:rPr>
            </w:pPr>
            <w:r>
              <w:rPr>
                <w:rFonts w:ascii="微软雅黑" w:hAnsi="微软雅黑" w:eastAsia="微软雅黑" w:cs="微软雅黑"/>
                <w:b/>
                <w:bCs/>
                <w:spacing w:val="-1"/>
                <w:sz w:val="13"/>
                <w:szCs w:val="13"/>
              </w:rPr>
              <w:t>口（间</w:t>
            </w:r>
            <w:r>
              <w:rPr>
                <w:rFonts w:ascii="微软雅黑" w:hAnsi="微软雅黑" w:eastAsia="微软雅黑" w:cs="微软雅黑"/>
                <w:b/>
                <w:bCs/>
                <w:spacing w:val="1"/>
                <w:sz w:val="13"/>
                <w:szCs w:val="13"/>
              </w:rPr>
              <w:t xml:space="preserve"> </w:t>
            </w:r>
            <w:r>
              <w:rPr>
                <w:rFonts w:ascii="微软雅黑" w:hAnsi="微软雅黑" w:eastAsia="微软雅黑" w:cs="微软雅黑"/>
                <w:b/>
                <w:bCs/>
                <w:spacing w:val="4"/>
                <w:sz w:val="13"/>
                <w:szCs w:val="13"/>
              </w:rPr>
              <w:t>接排</w:t>
            </w:r>
          </w:p>
          <w:p w14:paraId="680736E3">
            <w:pPr>
              <w:spacing w:line="187" w:lineRule="auto"/>
              <w:ind w:left="101"/>
              <w:rPr>
                <w:rFonts w:ascii="微软雅黑" w:hAnsi="微软雅黑" w:eastAsia="微软雅黑" w:cs="微软雅黑"/>
                <w:sz w:val="13"/>
                <w:szCs w:val="13"/>
              </w:rPr>
            </w:pPr>
            <w:r>
              <w:rPr>
                <w:rFonts w:ascii="微软雅黑" w:hAnsi="微软雅黑" w:eastAsia="微软雅黑" w:cs="微软雅黑"/>
                <w:b/>
                <w:bCs/>
                <w:spacing w:val="1"/>
                <w:sz w:val="13"/>
                <w:szCs w:val="13"/>
              </w:rPr>
              <w:t>放）</w:t>
            </w:r>
          </w:p>
        </w:tc>
        <w:tc>
          <w:tcPr>
            <w:tcW w:w="419" w:type="dxa"/>
            <w:vMerge w:val="restart"/>
            <w:tcBorders>
              <w:bottom w:val="nil"/>
            </w:tcBorders>
            <w:shd w:val="clear" w:color="auto" w:fill="BFBFBF"/>
            <w:vAlign w:val="top"/>
          </w:tcPr>
          <w:p w14:paraId="3F985F1A">
            <w:pPr>
              <w:spacing w:before="53" w:line="177" w:lineRule="auto"/>
              <w:ind w:left="87"/>
              <w:rPr>
                <w:rFonts w:ascii="微软雅黑" w:hAnsi="微软雅黑" w:eastAsia="微软雅黑" w:cs="微软雅黑"/>
                <w:sz w:val="11"/>
                <w:szCs w:val="11"/>
              </w:rPr>
            </w:pPr>
            <w:r>
              <w:rPr>
                <w:rFonts w:ascii="微软雅黑" w:hAnsi="微软雅黑" w:eastAsia="微软雅黑" w:cs="微软雅黑"/>
                <w:b/>
                <w:bCs/>
                <w:sz w:val="11"/>
                <w:szCs w:val="11"/>
              </w:rPr>
              <w:t>序号</w:t>
            </w:r>
          </w:p>
          <w:p w14:paraId="001DB186">
            <w:pPr>
              <w:spacing w:line="176" w:lineRule="auto"/>
              <w:ind w:left="96"/>
              <w:rPr>
                <w:rFonts w:ascii="微软雅黑" w:hAnsi="微软雅黑" w:eastAsia="微软雅黑" w:cs="微软雅黑"/>
                <w:sz w:val="11"/>
                <w:szCs w:val="11"/>
              </w:rPr>
            </w:pPr>
            <w:r>
              <w:rPr>
                <w:rFonts w:ascii="微软雅黑" w:hAnsi="微软雅黑" w:eastAsia="微软雅黑" w:cs="微软雅黑"/>
                <w:b/>
                <w:bCs/>
                <w:spacing w:val="-7"/>
                <w:w w:val="99"/>
                <w:sz w:val="11"/>
                <w:szCs w:val="11"/>
              </w:rPr>
              <w:t>（编</w:t>
            </w:r>
          </w:p>
          <w:p w14:paraId="250117AE">
            <w:pPr>
              <w:spacing w:line="175" w:lineRule="auto"/>
              <w:ind w:left="90"/>
              <w:rPr>
                <w:rFonts w:ascii="微软雅黑" w:hAnsi="微软雅黑" w:eastAsia="微软雅黑" w:cs="微软雅黑"/>
                <w:sz w:val="11"/>
                <w:szCs w:val="11"/>
              </w:rPr>
            </w:pPr>
            <w:r>
              <w:rPr>
                <w:rFonts w:ascii="微软雅黑" w:hAnsi="微软雅黑" w:eastAsia="微软雅黑" w:cs="微软雅黑"/>
                <w:b/>
                <w:bCs/>
                <w:spacing w:val="-3"/>
                <w:sz w:val="11"/>
                <w:szCs w:val="11"/>
              </w:rPr>
              <w:t>号）</w:t>
            </w:r>
          </w:p>
        </w:tc>
        <w:tc>
          <w:tcPr>
            <w:tcW w:w="897" w:type="dxa"/>
            <w:vMerge w:val="restart"/>
            <w:tcBorders>
              <w:bottom w:val="nil"/>
            </w:tcBorders>
            <w:shd w:val="clear" w:color="auto" w:fill="BFBFBF"/>
            <w:vAlign w:val="top"/>
          </w:tcPr>
          <w:p w14:paraId="0A315543">
            <w:pPr>
              <w:spacing w:before="192" w:line="188" w:lineRule="auto"/>
              <w:ind w:left="158"/>
              <w:rPr>
                <w:rFonts w:ascii="微软雅黑" w:hAnsi="微软雅黑" w:eastAsia="微软雅黑" w:cs="微软雅黑"/>
                <w:sz w:val="11"/>
                <w:szCs w:val="11"/>
              </w:rPr>
            </w:pPr>
            <w:r>
              <w:rPr>
                <w:rFonts w:ascii="微软雅黑" w:hAnsi="微软雅黑" w:eastAsia="微软雅黑" w:cs="微软雅黑"/>
                <w:b/>
                <w:bCs/>
                <w:spacing w:val="1"/>
                <w:sz w:val="11"/>
                <w:szCs w:val="11"/>
              </w:rPr>
              <w:t>排放口名称</w:t>
            </w:r>
          </w:p>
        </w:tc>
        <w:tc>
          <w:tcPr>
            <w:tcW w:w="3140" w:type="dxa"/>
            <w:gridSpan w:val="3"/>
            <w:vMerge w:val="restart"/>
            <w:tcBorders>
              <w:bottom w:val="nil"/>
            </w:tcBorders>
            <w:shd w:val="clear" w:color="auto" w:fill="BFBFBF"/>
            <w:vAlign w:val="top"/>
          </w:tcPr>
          <w:p w14:paraId="4179D244">
            <w:pPr>
              <w:spacing w:before="192" w:line="188" w:lineRule="auto"/>
              <w:ind w:left="1114"/>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污染防治设施工艺</w:t>
            </w:r>
          </w:p>
        </w:tc>
        <w:tc>
          <w:tcPr>
            <w:tcW w:w="983" w:type="dxa"/>
            <w:vMerge w:val="restart"/>
            <w:tcBorders>
              <w:bottom w:val="nil"/>
            </w:tcBorders>
            <w:shd w:val="clear" w:color="auto" w:fill="BFBFBF"/>
            <w:vAlign w:val="top"/>
          </w:tcPr>
          <w:p w14:paraId="6F50C6D3">
            <w:pPr>
              <w:spacing w:before="120" w:line="180" w:lineRule="auto"/>
              <w:ind w:left="38"/>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污染防治设施处理</w:t>
            </w:r>
          </w:p>
          <w:p w14:paraId="11400046">
            <w:pPr>
              <w:spacing w:line="183" w:lineRule="auto"/>
              <w:ind w:left="64"/>
              <w:rPr>
                <w:rFonts w:ascii="微软雅黑" w:hAnsi="微软雅黑" w:eastAsia="微软雅黑" w:cs="微软雅黑"/>
                <w:sz w:val="11"/>
                <w:szCs w:val="11"/>
              </w:rPr>
            </w:pPr>
            <w:r>
              <w:rPr>
                <w:rFonts w:ascii="微软雅黑" w:hAnsi="微软雅黑" w:eastAsia="微软雅黑" w:cs="微软雅黑"/>
                <w:b/>
                <w:bCs/>
                <w:spacing w:val="2"/>
                <w:sz w:val="11"/>
                <w:szCs w:val="11"/>
              </w:rPr>
              <w:t>水量（吨/小时）</w:t>
            </w:r>
          </w:p>
        </w:tc>
        <w:tc>
          <w:tcPr>
            <w:tcW w:w="2189" w:type="dxa"/>
            <w:gridSpan w:val="2"/>
            <w:shd w:val="clear" w:color="auto" w:fill="BFBFBF"/>
            <w:vAlign w:val="top"/>
          </w:tcPr>
          <w:p w14:paraId="3A45BB00">
            <w:pPr>
              <w:spacing w:before="24" w:line="108" w:lineRule="exact"/>
              <w:ind w:left="704"/>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受纳污水处理厂</w:t>
            </w:r>
          </w:p>
        </w:tc>
        <w:tc>
          <w:tcPr>
            <w:tcW w:w="940" w:type="dxa"/>
            <w:vMerge w:val="restart"/>
            <w:tcBorders>
              <w:bottom w:val="nil"/>
            </w:tcBorders>
            <w:shd w:val="clear" w:color="auto" w:fill="BFBFBF"/>
            <w:vAlign w:val="top"/>
          </w:tcPr>
          <w:p w14:paraId="50CD7468">
            <w:pPr>
              <w:spacing w:before="119" w:line="191" w:lineRule="auto"/>
              <w:ind w:left="131" w:right="55" w:hanging="51"/>
              <w:rPr>
                <w:rFonts w:ascii="微软雅黑" w:hAnsi="微软雅黑" w:eastAsia="微软雅黑" w:cs="微软雅黑"/>
                <w:sz w:val="11"/>
                <w:szCs w:val="11"/>
              </w:rPr>
            </w:pPr>
            <w:r>
              <w:rPr>
                <w:rFonts w:ascii="微软雅黑" w:hAnsi="微软雅黑" w:eastAsia="微软雅黑" w:cs="微软雅黑"/>
                <w:b/>
                <w:bCs/>
                <w:spacing w:val="1"/>
                <w:sz w:val="11"/>
                <w:szCs w:val="11"/>
              </w:rPr>
              <w:t>受纳污水处理厂</w:t>
            </w:r>
            <w:r>
              <w:rPr>
                <w:rFonts w:ascii="微软雅黑" w:hAnsi="微软雅黑" w:eastAsia="微软雅黑" w:cs="微软雅黑"/>
                <w:b/>
                <w:bCs/>
                <w:sz w:val="11"/>
                <w:szCs w:val="11"/>
              </w:rPr>
              <w:t xml:space="preserve"> </w:t>
            </w:r>
            <w:r>
              <w:rPr>
                <w:rFonts w:ascii="微软雅黑" w:hAnsi="微软雅黑" w:eastAsia="微软雅黑" w:cs="微软雅黑"/>
                <w:b/>
                <w:bCs/>
                <w:spacing w:val="2"/>
                <w:sz w:val="11"/>
                <w:szCs w:val="11"/>
              </w:rPr>
              <w:t>排放标准名称</w:t>
            </w:r>
          </w:p>
        </w:tc>
        <w:tc>
          <w:tcPr>
            <w:tcW w:w="4739" w:type="dxa"/>
            <w:gridSpan w:val="6"/>
            <w:tcBorders>
              <w:right w:val="single" w:color="000000" w:sz="6" w:space="0"/>
            </w:tcBorders>
            <w:shd w:val="clear" w:color="auto" w:fill="BFBFBF"/>
            <w:vAlign w:val="top"/>
          </w:tcPr>
          <w:p w14:paraId="7CE1435D">
            <w:pPr>
              <w:spacing w:before="24" w:line="108" w:lineRule="exact"/>
              <w:ind w:left="2089"/>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3F01DDD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11" w:hRule="atLeast"/>
        </w:trPr>
        <w:tc>
          <w:tcPr>
            <w:tcW w:w="622" w:type="dxa"/>
            <w:vMerge w:val="continue"/>
            <w:tcBorders>
              <w:top w:val="nil"/>
              <w:left w:val="single" w:color="000000" w:sz="6" w:space="0"/>
              <w:bottom w:val="nil"/>
            </w:tcBorders>
            <w:vAlign w:val="top"/>
          </w:tcPr>
          <w:p w14:paraId="18A7F580">
            <w:pPr>
              <w:rPr>
                <w:rFonts w:ascii="Arial"/>
                <w:sz w:val="21"/>
              </w:rPr>
            </w:pPr>
          </w:p>
        </w:tc>
        <w:tc>
          <w:tcPr>
            <w:tcW w:w="496" w:type="dxa"/>
            <w:vMerge w:val="continue"/>
            <w:tcBorders>
              <w:top w:val="nil"/>
              <w:bottom w:val="nil"/>
            </w:tcBorders>
            <w:vAlign w:val="top"/>
          </w:tcPr>
          <w:p w14:paraId="5A3960E6">
            <w:pPr>
              <w:rPr>
                <w:rFonts w:ascii="Arial"/>
                <w:sz w:val="21"/>
              </w:rPr>
            </w:pPr>
          </w:p>
        </w:tc>
        <w:tc>
          <w:tcPr>
            <w:tcW w:w="419" w:type="dxa"/>
            <w:vMerge w:val="continue"/>
            <w:tcBorders>
              <w:top w:val="nil"/>
            </w:tcBorders>
            <w:vAlign w:val="top"/>
          </w:tcPr>
          <w:p w14:paraId="0F03494B">
            <w:pPr>
              <w:rPr>
                <w:rFonts w:ascii="Arial"/>
                <w:sz w:val="21"/>
              </w:rPr>
            </w:pPr>
          </w:p>
        </w:tc>
        <w:tc>
          <w:tcPr>
            <w:tcW w:w="897" w:type="dxa"/>
            <w:vMerge w:val="continue"/>
            <w:tcBorders>
              <w:top w:val="nil"/>
            </w:tcBorders>
            <w:vAlign w:val="top"/>
          </w:tcPr>
          <w:p w14:paraId="1F813897">
            <w:pPr>
              <w:rPr>
                <w:rFonts w:ascii="Arial"/>
                <w:sz w:val="21"/>
              </w:rPr>
            </w:pPr>
          </w:p>
        </w:tc>
        <w:tc>
          <w:tcPr>
            <w:tcW w:w="3140" w:type="dxa"/>
            <w:gridSpan w:val="3"/>
            <w:vMerge w:val="continue"/>
            <w:tcBorders>
              <w:top w:val="nil"/>
            </w:tcBorders>
            <w:vAlign w:val="top"/>
          </w:tcPr>
          <w:p w14:paraId="01E7B656">
            <w:pPr>
              <w:rPr>
                <w:rFonts w:ascii="Arial"/>
                <w:sz w:val="21"/>
              </w:rPr>
            </w:pPr>
          </w:p>
        </w:tc>
        <w:tc>
          <w:tcPr>
            <w:tcW w:w="983" w:type="dxa"/>
            <w:vMerge w:val="continue"/>
            <w:tcBorders>
              <w:top w:val="nil"/>
            </w:tcBorders>
            <w:vAlign w:val="top"/>
          </w:tcPr>
          <w:p w14:paraId="76A6137C">
            <w:pPr>
              <w:rPr>
                <w:rFonts w:ascii="Arial"/>
                <w:sz w:val="21"/>
              </w:rPr>
            </w:pPr>
          </w:p>
        </w:tc>
        <w:tc>
          <w:tcPr>
            <w:tcW w:w="1120" w:type="dxa"/>
            <w:shd w:val="clear" w:color="auto" w:fill="BFBFBF"/>
            <w:vAlign w:val="top"/>
          </w:tcPr>
          <w:p w14:paraId="502444EC">
            <w:pPr>
              <w:spacing w:before="107" w:line="189" w:lineRule="auto"/>
              <w:ind w:left="445"/>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1069" w:type="dxa"/>
            <w:shd w:val="clear" w:color="auto" w:fill="BFBFBF"/>
            <w:vAlign w:val="top"/>
          </w:tcPr>
          <w:p w14:paraId="2D486278">
            <w:pPr>
              <w:spacing w:before="108" w:line="188" w:lineRule="auto"/>
              <w:ind w:left="418"/>
              <w:rPr>
                <w:rFonts w:ascii="微软雅黑" w:hAnsi="微软雅黑" w:eastAsia="微软雅黑" w:cs="微软雅黑"/>
                <w:sz w:val="11"/>
                <w:szCs w:val="11"/>
              </w:rPr>
            </w:pPr>
            <w:r>
              <w:rPr>
                <w:rFonts w:ascii="微软雅黑" w:hAnsi="微软雅黑" w:eastAsia="微软雅黑" w:cs="微软雅黑"/>
                <w:b/>
                <w:bCs/>
                <w:spacing w:val="1"/>
                <w:sz w:val="11"/>
                <w:szCs w:val="11"/>
              </w:rPr>
              <w:t>编号</w:t>
            </w:r>
          </w:p>
        </w:tc>
        <w:tc>
          <w:tcPr>
            <w:tcW w:w="940" w:type="dxa"/>
            <w:vMerge w:val="continue"/>
            <w:tcBorders>
              <w:top w:val="nil"/>
            </w:tcBorders>
            <w:vAlign w:val="top"/>
          </w:tcPr>
          <w:p w14:paraId="23819E9B">
            <w:pPr>
              <w:rPr>
                <w:rFonts w:ascii="Arial"/>
                <w:sz w:val="21"/>
              </w:rPr>
            </w:pPr>
          </w:p>
        </w:tc>
        <w:tc>
          <w:tcPr>
            <w:tcW w:w="873" w:type="dxa"/>
            <w:shd w:val="clear" w:color="auto" w:fill="BFBFBF"/>
            <w:vAlign w:val="top"/>
          </w:tcPr>
          <w:p w14:paraId="4C691BB3">
            <w:pPr>
              <w:spacing w:before="108" w:line="187" w:lineRule="auto"/>
              <w:ind w:left="157"/>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983" w:type="dxa"/>
            <w:shd w:val="clear" w:color="auto" w:fill="BFBFBF"/>
            <w:vAlign w:val="top"/>
          </w:tcPr>
          <w:p w14:paraId="760404E7">
            <w:pPr>
              <w:spacing w:before="38" w:line="177" w:lineRule="auto"/>
              <w:ind w:left="268"/>
              <w:rPr>
                <w:rFonts w:ascii="微软雅黑" w:hAnsi="微软雅黑" w:eastAsia="微软雅黑" w:cs="微软雅黑"/>
                <w:sz w:val="11"/>
                <w:szCs w:val="11"/>
              </w:rPr>
            </w:pPr>
            <w:r>
              <w:rPr>
                <w:rFonts w:ascii="微软雅黑" w:hAnsi="微软雅黑" w:eastAsia="微软雅黑" w:cs="微软雅黑"/>
                <w:b/>
                <w:bCs/>
                <w:spacing w:val="1"/>
                <w:sz w:val="11"/>
                <w:szCs w:val="11"/>
              </w:rPr>
              <w:t>排放浓度</w:t>
            </w:r>
          </w:p>
          <w:p w14:paraId="1B0AD253">
            <w:pPr>
              <w:spacing w:line="123" w:lineRule="exact"/>
              <w:ind w:left="190"/>
              <w:rPr>
                <w:rFonts w:ascii="微软雅黑" w:hAnsi="微软雅黑" w:eastAsia="微软雅黑" w:cs="微软雅黑"/>
                <w:sz w:val="11"/>
                <w:szCs w:val="11"/>
              </w:rPr>
            </w:pPr>
            <w:r>
              <w:rPr>
                <w:rFonts w:ascii="微软雅黑" w:hAnsi="微软雅黑" w:eastAsia="微软雅黑" w:cs="微软雅黑"/>
                <w:b/>
                <w:bCs/>
                <w:sz w:val="11"/>
                <w:szCs w:val="11"/>
              </w:rPr>
              <w:t>（毫克/升）</w:t>
            </w:r>
          </w:p>
        </w:tc>
        <w:tc>
          <w:tcPr>
            <w:tcW w:w="1079" w:type="dxa"/>
            <w:shd w:val="clear" w:color="auto" w:fill="BFBFBF"/>
            <w:vAlign w:val="top"/>
          </w:tcPr>
          <w:p w14:paraId="14766B42">
            <w:pPr>
              <w:spacing w:before="108" w:line="183" w:lineRule="auto"/>
              <w:ind w:left="117"/>
              <w:rPr>
                <w:rFonts w:ascii="微软雅黑" w:hAnsi="微软雅黑" w:eastAsia="微软雅黑" w:cs="微软雅黑"/>
                <w:sz w:val="11"/>
                <w:szCs w:val="11"/>
              </w:rPr>
            </w:pPr>
            <w:r>
              <w:rPr>
                <w:rFonts w:ascii="微软雅黑" w:hAnsi="微软雅黑" w:eastAsia="微软雅黑" w:cs="微软雅黑"/>
                <w:b/>
                <w:bCs/>
                <w:spacing w:val="2"/>
                <w:sz w:val="11"/>
                <w:szCs w:val="11"/>
              </w:rPr>
              <w:t>排放量（吨/年）</w:t>
            </w:r>
          </w:p>
        </w:tc>
        <w:tc>
          <w:tcPr>
            <w:tcW w:w="1804" w:type="dxa"/>
            <w:gridSpan w:val="3"/>
            <w:tcBorders>
              <w:right w:val="single" w:color="000000" w:sz="6" w:space="0"/>
            </w:tcBorders>
            <w:shd w:val="clear" w:color="auto" w:fill="BFBFBF"/>
            <w:vAlign w:val="top"/>
          </w:tcPr>
          <w:p w14:paraId="1858D24D">
            <w:pPr>
              <w:spacing w:before="108" w:line="188" w:lineRule="auto"/>
              <w:ind w:left="562"/>
              <w:rPr>
                <w:rFonts w:ascii="微软雅黑" w:hAnsi="微软雅黑" w:eastAsia="微软雅黑" w:cs="微软雅黑"/>
                <w:sz w:val="11"/>
                <w:szCs w:val="11"/>
              </w:rPr>
            </w:pPr>
            <w:r>
              <w:rPr>
                <w:rFonts w:ascii="微软雅黑" w:hAnsi="微软雅黑" w:eastAsia="微软雅黑" w:cs="微软雅黑"/>
                <w:b/>
                <w:bCs/>
                <w:spacing w:val="2"/>
                <w:sz w:val="11"/>
                <w:szCs w:val="11"/>
              </w:rPr>
              <w:t>排放标准名称</w:t>
            </w:r>
          </w:p>
        </w:tc>
      </w:tr>
      <w:tr w14:paraId="3B0768B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9" w:hRule="atLeast"/>
        </w:trPr>
        <w:tc>
          <w:tcPr>
            <w:tcW w:w="622" w:type="dxa"/>
            <w:vMerge w:val="continue"/>
            <w:tcBorders>
              <w:top w:val="nil"/>
              <w:left w:val="single" w:color="000000" w:sz="6" w:space="0"/>
              <w:bottom w:val="nil"/>
            </w:tcBorders>
            <w:vAlign w:val="top"/>
          </w:tcPr>
          <w:p w14:paraId="16E01768">
            <w:pPr>
              <w:rPr>
                <w:rFonts w:ascii="Arial"/>
                <w:sz w:val="21"/>
              </w:rPr>
            </w:pPr>
          </w:p>
        </w:tc>
        <w:tc>
          <w:tcPr>
            <w:tcW w:w="496" w:type="dxa"/>
            <w:vMerge w:val="continue"/>
            <w:tcBorders>
              <w:top w:val="nil"/>
              <w:bottom w:val="nil"/>
            </w:tcBorders>
            <w:vAlign w:val="top"/>
          </w:tcPr>
          <w:p w14:paraId="24D5FC70">
            <w:pPr>
              <w:rPr>
                <w:rFonts w:ascii="Arial"/>
                <w:sz w:val="21"/>
              </w:rPr>
            </w:pPr>
          </w:p>
        </w:tc>
        <w:tc>
          <w:tcPr>
            <w:tcW w:w="419" w:type="dxa"/>
            <w:vMerge w:val="restart"/>
            <w:tcBorders>
              <w:bottom w:val="nil"/>
            </w:tcBorders>
            <w:vAlign w:val="top"/>
          </w:tcPr>
          <w:p w14:paraId="551BA27A">
            <w:pPr>
              <w:rPr>
                <w:rFonts w:ascii="Arial"/>
                <w:sz w:val="21"/>
              </w:rPr>
            </w:pPr>
          </w:p>
        </w:tc>
        <w:tc>
          <w:tcPr>
            <w:tcW w:w="897" w:type="dxa"/>
            <w:vMerge w:val="restart"/>
            <w:tcBorders>
              <w:bottom w:val="nil"/>
            </w:tcBorders>
            <w:vAlign w:val="top"/>
          </w:tcPr>
          <w:p w14:paraId="7214A688">
            <w:pPr>
              <w:rPr>
                <w:rFonts w:ascii="Arial"/>
                <w:sz w:val="21"/>
              </w:rPr>
            </w:pPr>
          </w:p>
        </w:tc>
        <w:tc>
          <w:tcPr>
            <w:tcW w:w="3140" w:type="dxa"/>
            <w:gridSpan w:val="3"/>
            <w:vAlign w:val="top"/>
          </w:tcPr>
          <w:p w14:paraId="2B005F76">
            <w:pPr>
              <w:spacing w:line="159" w:lineRule="exact"/>
              <w:rPr>
                <w:rFonts w:ascii="Arial"/>
                <w:sz w:val="13"/>
              </w:rPr>
            </w:pPr>
          </w:p>
        </w:tc>
        <w:tc>
          <w:tcPr>
            <w:tcW w:w="983" w:type="dxa"/>
            <w:vAlign w:val="top"/>
          </w:tcPr>
          <w:p w14:paraId="1DF6E969">
            <w:pPr>
              <w:spacing w:line="159" w:lineRule="exact"/>
              <w:rPr>
                <w:rFonts w:ascii="Arial"/>
                <w:sz w:val="13"/>
              </w:rPr>
            </w:pPr>
          </w:p>
        </w:tc>
        <w:tc>
          <w:tcPr>
            <w:tcW w:w="2189" w:type="dxa"/>
            <w:gridSpan w:val="2"/>
            <w:vMerge w:val="restart"/>
            <w:tcBorders>
              <w:bottom w:val="nil"/>
            </w:tcBorders>
            <w:vAlign w:val="top"/>
          </w:tcPr>
          <w:p w14:paraId="0191ADDC">
            <w:pPr>
              <w:rPr>
                <w:rFonts w:ascii="Arial"/>
                <w:sz w:val="21"/>
              </w:rPr>
            </w:pPr>
          </w:p>
        </w:tc>
        <w:tc>
          <w:tcPr>
            <w:tcW w:w="940" w:type="dxa"/>
            <w:vMerge w:val="restart"/>
            <w:tcBorders>
              <w:bottom w:val="nil"/>
            </w:tcBorders>
            <w:vAlign w:val="top"/>
          </w:tcPr>
          <w:p w14:paraId="249EAF36">
            <w:pPr>
              <w:rPr>
                <w:rFonts w:ascii="Arial"/>
                <w:sz w:val="21"/>
              </w:rPr>
            </w:pPr>
          </w:p>
        </w:tc>
        <w:tc>
          <w:tcPr>
            <w:tcW w:w="873" w:type="dxa"/>
            <w:vAlign w:val="top"/>
          </w:tcPr>
          <w:p w14:paraId="7A6E3160">
            <w:pPr>
              <w:spacing w:line="159" w:lineRule="exact"/>
              <w:rPr>
                <w:rFonts w:ascii="Arial"/>
                <w:sz w:val="13"/>
              </w:rPr>
            </w:pPr>
          </w:p>
        </w:tc>
        <w:tc>
          <w:tcPr>
            <w:tcW w:w="983" w:type="dxa"/>
            <w:vAlign w:val="top"/>
          </w:tcPr>
          <w:p w14:paraId="34B7C989">
            <w:pPr>
              <w:spacing w:line="159" w:lineRule="exact"/>
              <w:rPr>
                <w:rFonts w:ascii="Arial"/>
                <w:sz w:val="13"/>
              </w:rPr>
            </w:pPr>
          </w:p>
        </w:tc>
        <w:tc>
          <w:tcPr>
            <w:tcW w:w="1079" w:type="dxa"/>
            <w:vAlign w:val="top"/>
          </w:tcPr>
          <w:p w14:paraId="79A993A6">
            <w:pPr>
              <w:spacing w:line="159" w:lineRule="exact"/>
              <w:rPr>
                <w:rFonts w:ascii="Arial"/>
                <w:sz w:val="13"/>
              </w:rPr>
            </w:pPr>
          </w:p>
        </w:tc>
        <w:tc>
          <w:tcPr>
            <w:tcW w:w="1804" w:type="dxa"/>
            <w:gridSpan w:val="3"/>
            <w:vMerge w:val="restart"/>
            <w:tcBorders>
              <w:bottom w:val="nil"/>
              <w:right w:val="single" w:color="000000" w:sz="6" w:space="0"/>
            </w:tcBorders>
            <w:vAlign w:val="top"/>
          </w:tcPr>
          <w:p w14:paraId="3031B34F">
            <w:pPr>
              <w:rPr>
                <w:rFonts w:ascii="Arial"/>
                <w:sz w:val="21"/>
              </w:rPr>
            </w:pPr>
          </w:p>
        </w:tc>
      </w:tr>
      <w:tr w14:paraId="538F797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559408E">
            <w:pPr>
              <w:rPr>
                <w:rFonts w:ascii="Arial"/>
                <w:sz w:val="21"/>
              </w:rPr>
            </w:pPr>
          </w:p>
        </w:tc>
        <w:tc>
          <w:tcPr>
            <w:tcW w:w="496" w:type="dxa"/>
            <w:vMerge w:val="continue"/>
            <w:tcBorders>
              <w:top w:val="nil"/>
              <w:bottom w:val="nil"/>
            </w:tcBorders>
            <w:vAlign w:val="top"/>
          </w:tcPr>
          <w:p w14:paraId="7848C73D">
            <w:pPr>
              <w:rPr>
                <w:rFonts w:ascii="Arial"/>
                <w:sz w:val="21"/>
              </w:rPr>
            </w:pPr>
          </w:p>
        </w:tc>
        <w:tc>
          <w:tcPr>
            <w:tcW w:w="419" w:type="dxa"/>
            <w:vMerge w:val="continue"/>
            <w:tcBorders>
              <w:top w:val="nil"/>
              <w:bottom w:val="nil"/>
            </w:tcBorders>
            <w:vAlign w:val="top"/>
          </w:tcPr>
          <w:p w14:paraId="44928F56">
            <w:pPr>
              <w:rPr>
                <w:rFonts w:ascii="Arial"/>
                <w:sz w:val="21"/>
              </w:rPr>
            </w:pPr>
          </w:p>
        </w:tc>
        <w:tc>
          <w:tcPr>
            <w:tcW w:w="897" w:type="dxa"/>
            <w:vMerge w:val="continue"/>
            <w:tcBorders>
              <w:top w:val="nil"/>
              <w:bottom w:val="nil"/>
            </w:tcBorders>
            <w:vAlign w:val="top"/>
          </w:tcPr>
          <w:p w14:paraId="3B3E4757">
            <w:pPr>
              <w:rPr>
                <w:rFonts w:ascii="Arial"/>
                <w:sz w:val="21"/>
              </w:rPr>
            </w:pPr>
          </w:p>
        </w:tc>
        <w:tc>
          <w:tcPr>
            <w:tcW w:w="3140" w:type="dxa"/>
            <w:gridSpan w:val="3"/>
            <w:vAlign w:val="top"/>
          </w:tcPr>
          <w:p w14:paraId="7EED50D3">
            <w:pPr>
              <w:spacing w:line="132" w:lineRule="exact"/>
              <w:rPr>
                <w:rFonts w:ascii="Arial"/>
                <w:sz w:val="11"/>
              </w:rPr>
            </w:pPr>
          </w:p>
        </w:tc>
        <w:tc>
          <w:tcPr>
            <w:tcW w:w="983" w:type="dxa"/>
            <w:vAlign w:val="top"/>
          </w:tcPr>
          <w:p w14:paraId="2A8E2473">
            <w:pPr>
              <w:spacing w:line="132" w:lineRule="exact"/>
              <w:rPr>
                <w:rFonts w:ascii="Arial"/>
                <w:sz w:val="11"/>
              </w:rPr>
            </w:pPr>
          </w:p>
        </w:tc>
        <w:tc>
          <w:tcPr>
            <w:tcW w:w="2189" w:type="dxa"/>
            <w:gridSpan w:val="2"/>
            <w:vMerge w:val="continue"/>
            <w:tcBorders>
              <w:top w:val="nil"/>
              <w:bottom w:val="nil"/>
            </w:tcBorders>
            <w:vAlign w:val="top"/>
          </w:tcPr>
          <w:p w14:paraId="2B41863F">
            <w:pPr>
              <w:rPr>
                <w:rFonts w:ascii="Arial"/>
                <w:sz w:val="21"/>
              </w:rPr>
            </w:pPr>
          </w:p>
        </w:tc>
        <w:tc>
          <w:tcPr>
            <w:tcW w:w="940" w:type="dxa"/>
            <w:vMerge w:val="continue"/>
            <w:tcBorders>
              <w:top w:val="nil"/>
              <w:bottom w:val="nil"/>
            </w:tcBorders>
            <w:vAlign w:val="top"/>
          </w:tcPr>
          <w:p w14:paraId="6289BCB8">
            <w:pPr>
              <w:rPr>
                <w:rFonts w:ascii="Arial"/>
                <w:sz w:val="21"/>
              </w:rPr>
            </w:pPr>
          </w:p>
        </w:tc>
        <w:tc>
          <w:tcPr>
            <w:tcW w:w="873" w:type="dxa"/>
            <w:vAlign w:val="top"/>
          </w:tcPr>
          <w:p w14:paraId="5568F3EB">
            <w:pPr>
              <w:spacing w:line="132" w:lineRule="exact"/>
              <w:rPr>
                <w:rFonts w:ascii="Arial"/>
                <w:sz w:val="11"/>
              </w:rPr>
            </w:pPr>
          </w:p>
        </w:tc>
        <w:tc>
          <w:tcPr>
            <w:tcW w:w="983" w:type="dxa"/>
            <w:vAlign w:val="top"/>
          </w:tcPr>
          <w:p w14:paraId="03099A08">
            <w:pPr>
              <w:spacing w:line="132" w:lineRule="exact"/>
              <w:rPr>
                <w:rFonts w:ascii="Arial"/>
                <w:sz w:val="11"/>
              </w:rPr>
            </w:pPr>
          </w:p>
        </w:tc>
        <w:tc>
          <w:tcPr>
            <w:tcW w:w="1079" w:type="dxa"/>
            <w:vAlign w:val="top"/>
          </w:tcPr>
          <w:p w14:paraId="02E94469">
            <w:pPr>
              <w:spacing w:line="132" w:lineRule="exact"/>
              <w:rPr>
                <w:rFonts w:ascii="Arial"/>
                <w:sz w:val="11"/>
              </w:rPr>
            </w:pPr>
          </w:p>
        </w:tc>
        <w:tc>
          <w:tcPr>
            <w:tcW w:w="1804" w:type="dxa"/>
            <w:gridSpan w:val="3"/>
            <w:vMerge w:val="continue"/>
            <w:tcBorders>
              <w:top w:val="nil"/>
              <w:bottom w:val="nil"/>
              <w:right w:val="single" w:color="000000" w:sz="6" w:space="0"/>
            </w:tcBorders>
            <w:vAlign w:val="top"/>
          </w:tcPr>
          <w:p w14:paraId="3C3C5336">
            <w:pPr>
              <w:rPr>
                <w:rFonts w:ascii="Arial"/>
                <w:sz w:val="21"/>
              </w:rPr>
            </w:pPr>
          </w:p>
        </w:tc>
      </w:tr>
      <w:tr w14:paraId="236A7A3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6714D14">
            <w:pPr>
              <w:rPr>
                <w:rFonts w:ascii="Arial"/>
                <w:sz w:val="21"/>
              </w:rPr>
            </w:pPr>
          </w:p>
        </w:tc>
        <w:tc>
          <w:tcPr>
            <w:tcW w:w="496" w:type="dxa"/>
            <w:vMerge w:val="continue"/>
            <w:tcBorders>
              <w:top w:val="nil"/>
              <w:bottom w:val="nil"/>
            </w:tcBorders>
            <w:vAlign w:val="top"/>
          </w:tcPr>
          <w:p w14:paraId="0033C545">
            <w:pPr>
              <w:rPr>
                <w:rFonts w:ascii="Arial"/>
                <w:sz w:val="21"/>
              </w:rPr>
            </w:pPr>
          </w:p>
        </w:tc>
        <w:tc>
          <w:tcPr>
            <w:tcW w:w="419" w:type="dxa"/>
            <w:vMerge w:val="continue"/>
            <w:tcBorders>
              <w:top w:val="nil"/>
              <w:bottom w:val="nil"/>
            </w:tcBorders>
            <w:vAlign w:val="top"/>
          </w:tcPr>
          <w:p w14:paraId="5807EF8D">
            <w:pPr>
              <w:rPr>
                <w:rFonts w:ascii="Arial"/>
                <w:sz w:val="21"/>
              </w:rPr>
            </w:pPr>
          </w:p>
        </w:tc>
        <w:tc>
          <w:tcPr>
            <w:tcW w:w="897" w:type="dxa"/>
            <w:vMerge w:val="continue"/>
            <w:tcBorders>
              <w:top w:val="nil"/>
              <w:bottom w:val="nil"/>
            </w:tcBorders>
            <w:vAlign w:val="top"/>
          </w:tcPr>
          <w:p w14:paraId="28480DAA">
            <w:pPr>
              <w:rPr>
                <w:rFonts w:ascii="Arial"/>
                <w:sz w:val="21"/>
              </w:rPr>
            </w:pPr>
          </w:p>
        </w:tc>
        <w:tc>
          <w:tcPr>
            <w:tcW w:w="3140" w:type="dxa"/>
            <w:gridSpan w:val="3"/>
            <w:vAlign w:val="top"/>
          </w:tcPr>
          <w:p w14:paraId="6A70A9F3">
            <w:pPr>
              <w:spacing w:line="132" w:lineRule="exact"/>
              <w:rPr>
                <w:rFonts w:ascii="Arial"/>
                <w:sz w:val="11"/>
              </w:rPr>
            </w:pPr>
          </w:p>
        </w:tc>
        <w:tc>
          <w:tcPr>
            <w:tcW w:w="983" w:type="dxa"/>
            <w:vAlign w:val="top"/>
          </w:tcPr>
          <w:p w14:paraId="282EA39D">
            <w:pPr>
              <w:spacing w:line="132" w:lineRule="exact"/>
              <w:rPr>
                <w:rFonts w:ascii="Arial"/>
                <w:sz w:val="11"/>
              </w:rPr>
            </w:pPr>
          </w:p>
        </w:tc>
        <w:tc>
          <w:tcPr>
            <w:tcW w:w="2189" w:type="dxa"/>
            <w:gridSpan w:val="2"/>
            <w:vMerge w:val="continue"/>
            <w:tcBorders>
              <w:top w:val="nil"/>
              <w:bottom w:val="nil"/>
            </w:tcBorders>
            <w:vAlign w:val="top"/>
          </w:tcPr>
          <w:p w14:paraId="3F734C68">
            <w:pPr>
              <w:rPr>
                <w:rFonts w:ascii="Arial"/>
                <w:sz w:val="21"/>
              </w:rPr>
            </w:pPr>
          </w:p>
        </w:tc>
        <w:tc>
          <w:tcPr>
            <w:tcW w:w="940" w:type="dxa"/>
            <w:vMerge w:val="continue"/>
            <w:tcBorders>
              <w:top w:val="nil"/>
              <w:bottom w:val="nil"/>
            </w:tcBorders>
            <w:vAlign w:val="top"/>
          </w:tcPr>
          <w:p w14:paraId="0C0BEC0D">
            <w:pPr>
              <w:rPr>
                <w:rFonts w:ascii="Arial"/>
                <w:sz w:val="21"/>
              </w:rPr>
            </w:pPr>
          </w:p>
        </w:tc>
        <w:tc>
          <w:tcPr>
            <w:tcW w:w="873" w:type="dxa"/>
            <w:vAlign w:val="top"/>
          </w:tcPr>
          <w:p w14:paraId="6479ADCC">
            <w:pPr>
              <w:spacing w:line="132" w:lineRule="exact"/>
              <w:rPr>
                <w:rFonts w:ascii="Arial"/>
                <w:sz w:val="11"/>
              </w:rPr>
            </w:pPr>
          </w:p>
        </w:tc>
        <w:tc>
          <w:tcPr>
            <w:tcW w:w="983" w:type="dxa"/>
            <w:vAlign w:val="top"/>
          </w:tcPr>
          <w:p w14:paraId="51DB350E">
            <w:pPr>
              <w:spacing w:line="132" w:lineRule="exact"/>
              <w:rPr>
                <w:rFonts w:ascii="Arial"/>
                <w:sz w:val="11"/>
              </w:rPr>
            </w:pPr>
          </w:p>
        </w:tc>
        <w:tc>
          <w:tcPr>
            <w:tcW w:w="1079" w:type="dxa"/>
            <w:vAlign w:val="top"/>
          </w:tcPr>
          <w:p w14:paraId="7EFB4AC8">
            <w:pPr>
              <w:spacing w:line="132" w:lineRule="exact"/>
              <w:rPr>
                <w:rFonts w:ascii="Arial"/>
                <w:sz w:val="11"/>
              </w:rPr>
            </w:pPr>
          </w:p>
        </w:tc>
        <w:tc>
          <w:tcPr>
            <w:tcW w:w="1804" w:type="dxa"/>
            <w:gridSpan w:val="3"/>
            <w:vMerge w:val="continue"/>
            <w:tcBorders>
              <w:top w:val="nil"/>
              <w:bottom w:val="nil"/>
              <w:right w:val="single" w:color="000000" w:sz="6" w:space="0"/>
            </w:tcBorders>
            <w:vAlign w:val="top"/>
          </w:tcPr>
          <w:p w14:paraId="4B6E200D">
            <w:pPr>
              <w:rPr>
                <w:rFonts w:ascii="Arial"/>
                <w:sz w:val="21"/>
              </w:rPr>
            </w:pPr>
          </w:p>
        </w:tc>
      </w:tr>
      <w:tr w14:paraId="5C2C3D7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88A44E5">
            <w:pPr>
              <w:rPr>
                <w:rFonts w:ascii="Arial"/>
                <w:sz w:val="21"/>
              </w:rPr>
            </w:pPr>
          </w:p>
        </w:tc>
        <w:tc>
          <w:tcPr>
            <w:tcW w:w="496" w:type="dxa"/>
            <w:vMerge w:val="continue"/>
            <w:tcBorders>
              <w:top w:val="nil"/>
              <w:bottom w:val="nil"/>
            </w:tcBorders>
            <w:vAlign w:val="top"/>
          </w:tcPr>
          <w:p w14:paraId="0B7C271F">
            <w:pPr>
              <w:rPr>
                <w:rFonts w:ascii="Arial"/>
                <w:sz w:val="21"/>
              </w:rPr>
            </w:pPr>
          </w:p>
        </w:tc>
        <w:tc>
          <w:tcPr>
            <w:tcW w:w="419" w:type="dxa"/>
            <w:vMerge w:val="continue"/>
            <w:tcBorders>
              <w:top w:val="nil"/>
              <w:bottom w:val="nil"/>
            </w:tcBorders>
            <w:vAlign w:val="top"/>
          </w:tcPr>
          <w:p w14:paraId="449FCC3C">
            <w:pPr>
              <w:rPr>
                <w:rFonts w:ascii="Arial"/>
                <w:sz w:val="21"/>
              </w:rPr>
            </w:pPr>
          </w:p>
        </w:tc>
        <w:tc>
          <w:tcPr>
            <w:tcW w:w="897" w:type="dxa"/>
            <w:vMerge w:val="continue"/>
            <w:tcBorders>
              <w:top w:val="nil"/>
              <w:bottom w:val="nil"/>
            </w:tcBorders>
            <w:vAlign w:val="top"/>
          </w:tcPr>
          <w:p w14:paraId="366779D7">
            <w:pPr>
              <w:rPr>
                <w:rFonts w:ascii="Arial"/>
                <w:sz w:val="21"/>
              </w:rPr>
            </w:pPr>
          </w:p>
        </w:tc>
        <w:tc>
          <w:tcPr>
            <w:tcW w:w="3140" w:type="dxa"/>
            <w:gridSpan w:val="3"/>
            <w:vAlign w:val="top"/>
          </w:tcPr>
          <w:p w14:paraId="2040E011">
            <w:pPr>
              <w:spacing w:line="132" w:lineRule="exact"/>
              <w:rPr>
                <w:rFonts w:ascii="Arial"/>
                <w:sz w:val="11"/>
              </w:rPr>
            </w:pPr>
          </w:p>
        </w:tc>
        <w:tc>
          <w:tcPr>
            <w:tcW w:w="983" w:type="dxa"/>
            <w:vAlign w:val="top"/>
          </w:tcPr>
          <w:p w14:paraId="14A0B1FD">
            <w:pPr>
              <w:spacing w:line="132" w:lineRule="exact"/>
              <w:rPr>
                <w:rFonts w:ascii="Arial"/>
                <w:sz w:val="11"/>
              </w:rPr>
            </w:pPr>
          </w:p>
        </w:tc>
        <w:tc>
          <w:tcPr>
            <w:tcW w:w="2189" w:type="dxa"/>
            <w:gridSpan w:val="2"/>
            <w:vMerge w:val="continue"/>
            <w:tcBorders>
              <w:top w:val="nil"/>
              <w:bottom w:val="nil"/>
            </w:tcBorders>
            <w:vAlign w:val="top"/>
          </w:tcPr>
          <w:p w14:paraId="52F84E75">
            <w:pPr>
              <w:rPr>
                <w:rFonts w:ascii="Arial"/>
                <w:sz w:val="21"/>
              </w:rPr>
            </w:pPr>
          </w:p>
        </w:tc>
        <w:tc>
          <w:tcPr>
            <w:tcW w:w="940" w:type="dxa"/>
            <w:vMerge w:val="continue"/>
            <w:tcBorders>
              <w:top w:val="nil"/>
              <w:bottom w:val="nil"/>
            </w:tcBorders>
            <w:vAlign w:val="top"/>
          </w:tcPr>
          <w:p w14:paraId="19877D49">
            <w:pPr>
              <w:rPr>
                <w:rFonts w:ascii="Arial"/>
                <w:sz w:val="21"/>
              </w:rPr>
            </w:pPr>
          </w:p>
        </w:tc>
        <w:tc>
          <w:tcPr>
            <w:tcW w:w="873" w:type="dxa"/>
            <w:vAlign w:val="top"/>
          </w:tcPr>
          <w:p w14:paraId="4C08C139">
            <w:pPr>
              <w:spacing w:line="132" w:lineRule="exact"/>
              <w:rPr>
                <w:rFonts w:ascii="Arial"/>
                <w:sz w:val="11"/>
              </w:rPr>
            </w:pPr>
          </w:p>
        </w:tc>
        <w:tc>
          <w:tcPr>
            <w:tcW w:w="983" w:type="dxa"/>
            <w:vAlign w:val="top"/>
          </w:tcPr>
          <w:p w14:paraId="468A565C">
            <w:pPr>
              <w:spacing w:line="132" w:lineRule="exact"/>
              <w:rPr>
                <w:rFonts w:ascii="Arial"/>
                <w:sz w:val="11"/>
              </w:rPr>
            </w:pPr>
          </w:p>
        </w:tc>
        <w:tc>
          <w:tcPr>
            <w:tcW w:w="1079" w:type="dxa"/>
            <w:vAlign w:val="top"/>
          </w:tcPr>
          <w:p w14:paraId="3E44AC77">
            <w:pPr>
              <w:spacing w:line="132" w:lineRule="exact"/>
              <w:rPr>
                <w:rFonts w:ascii="Arial"/>
                <w:sz w:val="11"/>
              </w:rPr>
            </w:pPr>
          </w:p>
        </w:tc>
        <w:tc>
          <w:tcPr>
            <w:tcW w:w="1804" w:type="dxa"/>
            <w:gridSpan w:val="3"/>
            <w:vMerge w:val="continue"/>
            <w:tcBorders>
              <w:top w:val="nil"/>
              <w:bottom w:val="nil"/>
              <w:right w:val="single" w:color="000000" w:sz="6" w:space="0"/>
            </w:tcBorders>
            <w:vAlign w:val="top"/>
          </w:tcPr>
          <w:p w14:paraId="476D1A9E">
            <w:pPr>
              <w:rPr>
                <w:rFonts w:ascii="Arial"/>
                <w:sz w:val="21"/>
              </w:rPr>
            </w:pPr>
          </w:p>
        </w:tc>
      </w:tr>
      <w:tr w14:paraId="4C93EA2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7992D47C">
            <w:pPr>
              <w:rPr>
                <w:rFonts w:ascii="Arial"/>
                <w:sz w:val="21"/>
              </w:rPr>
            </w:pPr>
          </w:p>
        </w:tc>
        <w:tc>
          <w:tcPr>
            <w:tcW w:w="496" w:type="dxa"/>
            <w:vMerge w:val="continue"/>
            <w:tcBorders>
              <w:top w:val="nil"/>
              <w:bottom w:val="nil"/>
            </w:tcBorders>
            <w:vAlign w:val="top"/>
          </w:tcPr>
          <w:p w14:paraId="1D4C3F96">
            <w:pPr>
              <w:rPr>
                <w:rFonts w:ascii="Arial"/>
                <w:sz w:val="21"/>
              </w:rPr>
            </w:pPr>
          </w:p>
        </w:tc>
        <w:tc>
          <w:tcPr>
            <w:tcW w:w="419" w:type="dxa"/>
            <w:vMerge w:val="continue"/>
            <w:tcBorders>
              <w:top w:val="nil"/>
              <w:bottom w:val="nil"/>
            </w:tcBorders>
            <w:vAlign w:val="top"/>
          </w:tcPr>
          <w:p w14:paraId="43AC3BD0">
            <w:pPr>
              <w:rPr>
                <w:rFonts w:ascii="Arial"/>
                <w:sz w:val="21"/>
              </w:rPr>
            </w:pPr>
          </w:p>
        </w:tc>
        <w:tc>
          <w:tcPr>
            <w:tcW w:w="897" w:type="dxa"/>
            <w:vMerge w:val="continue"/>
            <w:tcBorders>
              <w:top w:val="nil"/>
              <w:bottom w:val="nil"/>
            </w:tcBorders>
            <w:vAlign w:val="top"/>
          </w:tcPr>
          <w:p w14:paraId="1607C4F1">
            <w:pPr>
              <w:rPr>
                <w:rFonts w:ascii="Arial"/>
                <w:sz w:val="21"/>
              </w:rPr>
            </w:pPr>
          </w:p>
        </w:tc>
        <w:tc>
          <w:tcPr>
            <w:tcW w:w="3140" w:type="dxa"/>
            <w:gridSpan w:val="3"/>
            <w:vAlign w:val="top"/>
          </w:tcPr>
          <w:p w14:paraId="1C1C3073">
            <w:pPr>
              <w:spacing w:line="132" w:lineRule="exact"/>
              <w:rPr>
                <w:rFonts w:ascii="Arial"/>
                <w:sz w:val="11"/>
              </w:rPr>
            </w:pPr>
          </w:p>
        </w:tc>
        <w:tc>
          <w:tcPr>
            <w:tcW w:w="983" w:type="dxa"/>
            <w:vAlign w:val="top"/>
          </w:tcPr>
          <w:p w14:paraId="3D539CB8">
            <w:pPr>
              <w:spacing w:line="132" w:lineRule="exact"/>
              <w:rPr>
                <w:rFonts w:ascii="Arial"/>
                <w:sz w:val="11"/>
              </w:rPr>
            </w:pPr>
          </w:p>
        </w:tc>
        <w:tc>
          <w:tcPr>
            <w:tcW w:w="2189" w:type="dxa"/>
            <w:gridSpan w:val="2"/>
            <w:vMerge w:val="continue"/>
            <w:tcBorders>
              <w:top w:val="nil"/>
              <w:bottom w:val="nil"/>
            </w:tcBorders>
            <w:vAlign w:val="top"/>
          </w:tcPr>
          <w:p w14:paraId="6417B15F">
            <w:pPr>
              <w:rPr>
                <w:rFonts w:ascii="Arial"/>
                <w:sz w:val="21"/>
              </w:rPr>
            </w:pPr>
          </w:p>
        </w:tc>
        <w:tc>
          <w:tcPr>
            <w:tcW w:w="940" w:type="dxa"/>
            <w:vMerge w:val="continue"/>
            <w:tcBorders>
              <w:top w:val="nil"/>
              <w:bottom w:val="nil"/>
            </w:tcBorders>
            <w:vAlign w:val="top"/>
          </w:tcPr>
          <w:p w14:paraId="72DFA2AA">
            <w:pPr>
              <w:rPr>
                <w:rFonts w:ascii="Arial"/>
                <w:sz w:val="21"/>
              </w:rPr>
            </w:pPr>
          </w:p>
        </w:tc>
        <w:tc>
          <w:tcPr>
            <w:tcW w:w="873" w:type="dxa"/>
            <w:vAlign w:val="top"/>
          </w:tcPr>
          <w:p w14:paraId="4F9680E2">
            <w:pPr>
              <w:spacing w:line="132" w:lineRule="exact"/>
              <w:rPr>
                <w:rFonts w:ascii="Arial"/>
                <w:sz w:val="11"/>
              </w:rPr>
            </w:pPr>
          </w:p>
        </w:tc>
        <w:tc>
          <w:tcPr>
            <w:tcW w:w="983" w:type="dxa"/>
            <w:vAlign w:val="top"/>
          </w:tcPr>
          <w:p w14:paraId="4A60F612">
            <w:pPr>
              <w:spacing w:line="132" w:lineRule="exact"/>
              <w:rPr>
                <w:rFonts w:ascii="Arial"/>
                <w:sz w:val="11"/>
              </w:rPr>
            </w:pPr>
          </w:p>
        </w:tc>
        <w:tc>
          <w:tcPr>
            <w:tcW w:w="1079" w:type="dxa"/>
            <w:vAlign w:val="top"/>
          </w:tcPr>
          <w:p w14:paraId="05E8F01D">
            <w:pPr>
              <w:spacing w:line="132" w:lineRule="exact"/>
              <w:rPr>
                <w:rFonts w:ascii="Arial"/>
                <w:sz w:val="11"/>
              </w:rPr>
            </w:pPr>
          </w:p>
        </w:tc>
        <w:tc>
          <w:tcPr>
            <w:tcW w:w="1804" w:type="dxa"/>
            <w:gridSpan w:val="3"/>
            <w:vMerge w:val="continue"/>
            <w:tcBorders>
              <w:top w:val="nil"/>
              <w:bottom w:val="nil"/>
              <w:right w:val="single" w:color="000000" w:sz="6" w:space="0"/>
            </w:tcBorders>
            <w:vAlign w:val="top"/>
          </w:tcPr>
          <w:p w14:paraId="0B64F0D5">
            <w:pPr>
              <w:rPr>
                <w:rFonts w:ascii="Arial"/>
                <w:sz w:val="21"/>
              </w:rPr>
            </w:pPr>
          </w:p>
        </w:tc>
      </w:tr>
      <w:tr w14:paraId="7227F9E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1B6336E2">
            <w:pPr>
              <w:rPr>
                <w:rFonts w:ascii="Arial"/>
                <w:sz w:val="21"/>
              </w:rPr>
            </w:pPr>
          </w:p>
        </w:tc>
        <w:tc>
          <w:tcPr>
            <w:tcW w:w="496" w:type="dxa"/>
            <w:vMerge w:val="continue"/>
            <w:tcBorders>
              <w:top w:val="nil"/>
            </w:tcBorders>
            <w:vAlign w:val="top"/>
          </w:tcPr>
          <w:p w14:paraId="6E3E2644">
            <w:pPr>
              <w:rPr>
                <w:rFonts w:ascii="Arial"/>
                <w:sz w:val="21"/>
              </w:rPr>
            </w:pPr>
          </w:p>
        </w:tc>
        <w:tc>
          <w:tcPr>
            <w:tcW w:w="419" w:type="dxa"/>
            <w:vMerge w:val="continue"/>
            <w:tcBorders>
              <w:top w:val="nil"/>
            </w:tcBorders>
            <w:vAlign w:val="top"/>
          </w:tcPr>
          <w:p w14:paraId="4A9E2F97">
            <w:pPr>
              <w:rPr>
                <w:rFonts w:ascii="Arial"/>
                <w:sz w:val="21"/>
              </w:rPr>
            </w:pPr>
          </w:p>
        </w:tc>
        <w:tc>
          <w:tcPr>
            <w:tcW w:w="897" w:type="dxa"/>
            <w:vMerge w:val="continue"/>
            <w:tcBorders>
              <w:top w:val="nil"/>
            </w:tcBorders>
            <w:vAlign w:val="top"/>
          </w:tcPr>
          <w:p w14:paraId="5265F556">
            <w:pPr>
              <w:rPr>
                <w:rFonts w:ascii="Arial"/>
                <w:sz w:val="21"/>
              </w:rPr>
            </w:pPr>
          </w:p>
        </w:tc>
        <w:tc>
          <w:tcPr>
            <w:tcW w:w="3140" w:type="dxa"/>
            <w:gridSpan w:val="3"/>
            <w:vAlign w:val="top"/>
          </w:tcPr>
          <w:p w14:paraId="102680A4">
            <w:pPr>
              <w:spacing w:line="132" w:lineRule="exact"/>
              <w:rPr>
                <w:rFonts w:ascii="Arial"/>
                <w:sz w:val="11"/>
              </w:rPr>
            </w:pPr>
          </w:p>
        </w:tc>
        <w:tc>
          <w:tcPr>
            <w:tcW w:w="983" w:type="dxa"/>
            <w:vAlign w:val="top"/>
          </w:tcPr>
          <w:p w14:paraId="2BDC19BD">
            <w:pPr>
              <w:spacing w:line="132" w:lineRule="exact"/>
              <w:rPr>
                <w:rFonts w:ascii="Arial"/>
                <w:sz w:val="11"/>
              </w:rPr>
            </w:pPr>
          </w:p>
        </w:tc>
        <w:tc>
          <w:tcPr>
            <w:tcW w:w="2189" w:type="dxa"/>
            <w:gridSpan w:val="2"/>
            <w:vMerge w:val="continue"/>
            <w:tcBorders>
              <w:top w:val="nil"/>
            </w:tcBorders>
            <w:vAlign w:val="top"/>
          </w:tcPr>
          <w:p w14:paraId="253826AA">
            <w:pPr>
              <w:rPr>
                <w:rFonts w:ascii="Arial"/>
                <w:sz w:val="21"/>
              </w:rPr>
            </w:pPr>
          </w:p>
        </w:tc>
        <w:tc>
          <w:tcPr>
            <w:tcW w:w="940" w:type="dxa"/>
            <w:vMerge w:val="continue"/>
            <w:tcBorders>
              <w:top w:val="nil"/>
            </w:tcBorders>
            <w:vAlign w:val="top"/>
          </w:tcPr>
          <w:p w14:paraId="5B16132E">
            <w:pPr>
              <w:rPr>
                <w:rFonts w:ascii="Arial"/>
                <w:sz w:val="21"/>
              </w:rPr>
            </w:pPr>
          </w:p>
        </w:tc>
        <w:tc>
          <w:tcPr>
            <w:tcW w:w="873" w:type="dxa"/>
            <w:vAlign w:val="top"/>
          </w:tcPr>
          <w:p w14:paraId="5DFFA4C3">
            <w:pPr>
              <w:spacing w:line="132" w:lineRule="exact"/>
              <w:rPr>
                <w:rFonts w:ascii="Arial"/>
                <w:sz w:val="11"/>
              </w:rPr>
            </w:pPr>
          </w:p>
        </w:tc>
        <w:tc>
          <w:tcPr>
            <w:tcW w:w="983" w:type="dxa"/>
            <w:vAlign w:val="top"/>
          </w:tcPr>
          <w:p w14:paraId="3CA8887B">
            <w:pPr>
              <w:spacing w:line="132" w:lineRule="exact"/>
              <w:rPr>
                <w:rFonts w:ascii="Arial"/>
                <w:sz w:val="11"/>
              </w:rPr>
            </w:pPr>
          </w:p>
        </w:tc>
        <w:tc>
          <w:tcPr>
            <w:tcW w:w="1079" w:type="dxa"/>
            <w:vAlign w:val="top"/>
          </w:tcPr>
          <w:p w14:paraId="707A3F4A">
            <w:pPr>
              <w:spacing w:line="132" w:lineRule="exact"/>
              <w:rPr>
                <w:rFonts w:ascii="Arial"/>
                <w:sz w:val="11"/>
              </w:rPr>
            </w:pPr>
          </w:p>
        </w:tc>
        <w:tc>
          <w:tcPr>
            <w:tcW w:w="1804" w:type="dxa"/>
            <w:gridSpan w:val="3"/>
            <w:vMerge w:val="continue"/>
            <w:tcBorders>
              <w:top w:val="nil"/>
              <w:right w:val="single" w:color="000000" w:sz="6" w:space="0"/>
            </w:tcBorders>
            <w:vAlign w:val="top"/>
          </w:tcPr>
          <w:p w14:paraId="361452F0">
            <w:pPr>
              <w:rPr>
                <w:rFonts w:ascii="Arial"/>
                <w:sz w:val="21"/>
              </w:rPr>
            </w:pPr>
          </w:p>
        </w:tc>
      </w:tr>
      <w:tr w14:paraId="559FF42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D3F7FAC">
            <w:pPr>
              <w:rPr>
                <w:rFonts w:ascii="Arial"/>
                <w:sz w:val="21"/>
              </w:rPr>
            </w:pPr>
          </w:p>
        </w:tc>
        <w:tc>
          <w:tcPr>
            <w:tcW w:w="496" w:type="dxa"/>
            <w:vMerge w:val="restart"/>
            <w:tcBorders>
              <w:bottom w:val="nil"/>
            </w:tcBorders>
            <w:shd w:val="clear" w:color="auto" w:fill="BFBFBF"/>
            <w:vAlign w:val="top"/>
          </w:tcPr>
          <w:p w14:paraId="447F7F91">
            <w:pPr>
              <w:spacing w:before="265" w:line="181" w:lineRule="auto"/>
              <w:ind w:left="35"/>
              <w:rPr>
                <w:rFonts w:ascii="微软雅黑" w:hAnsi="微软雅黑" w:eastAsia="微软雅黑" w:cs="微软雅黑"/>
                <w:sz w:val="13"/>
                <w:szCs w:val="13"/>
              </w:rPr>
            </w:pPr>
            <w:r>
              <w:rPr>
                <w:rFonts w:ascii="微软雅黑" w:hAnsi="微软雅黑" w:eastAsia="微软雅黑" w:cs="微软雅黑"/>
                <w:b/>
                <w:bCs/>
                <w:spacing w:val="4"/>
                <w:sz w:val="13"/>
                <w:szCs w:val="13"/>
              </w:rPr>
              <w:t>总排放</w:t>
            </w:r>
          </w:p>
          <w:p w14:paraId="1FA089A9">
            <w:pPr>
              <w:spacing w:before="1" w:line="180" w:lineRule="auto"/>
              <w:ind w:left="101" w:right="32" w:hanging="53"/>
              <w:rPr>
                <w:rFonts w:ascii="微软雅黑" w:hAnsi="微软雅黑" w:eastAsia="微软雅黑" w:cs="微软雅黑"/>
                <w:sz w:val="13"/>
                <w:szCs w:val="13"/>
              </w:rPr>
            </w:pPr>
            <w:r>
              <w:rPr>
                <w:rFonts w:ascii="微软雅黑" w:hAnsi="微软雅黑" w:eastAsia="微软雅黑" w:cs="微软雅黑"/>
                <w:b/>
                <w:bCs/>
                <w:spacing w:val="-1"/>
                <w:sz w:val="13"/>
                <w:szCs w:val="13"/>
              </w:rPr>
              <w:t>口（直</w:t>
            </w:r>
            <w:r>
              <w:rPr>
                <w:rFonts w:ascii="微软雅黑" w:hAnsi="微软雅黑" w:eastAsia="微软雅黑" w:cs="微软雅黑"/>
                <w:b/>
                <w:bCs/>
                <w:spacing w:val="1"/>
                <w:sz w:val="13"/>
                <w:szCs w:val="13"/>
              </w:rPr>
              <w:t xml:space="preserve"> </w:t>
            </w:r>
            <w:r>
              <w:rPr>
                <w:rFonts w:ascii="微软雅黑" w:hAnsi="微软雅黑" w:eastAsia="微软雅黑" w:cs="微软雅黑"/>
                <w:b/>
                <w:bCs/>
                <w:spacing w:val="4"/>
                <w:sz w:val="13"/>
                <w:szCs w:val="13"/>
              </w:rPr>
              <w:t>接排</w:t>
            </w:r>
          </w:p>
          <w:p w14:paraId="668DC92E">
            <w:pPr>
              <w:spacing w:line="187" w:lineRule="auto"/>
              <w:ind w:left="101"/>
              <w:rPr>
                <w:rFonts w:ascii="微软雅黑" w:hAnsi="微软雅黑" w:eastAsia="微软雅黑" w:cs="微软雅黑"/>
                <w:sz w:val="13"/>
                <w:szCs w:val="13"/>
              </w:rPr>
            </w:pPr>
            <w:r>
              <w:rPr>
                <w:rFonts w:ascii="微软雅黑" w:hAnsi="微软雅黑" w:eastAsia="微软雅黑" w:cs="微软雅黑"/>
                <w:b/>
                <w:bCs/>
                <w:spacing w:val="1"/>
                <w:sz w:val="13"/>
                <w:szCs w:val="13"/>
              </w:rPr>
              <w:t>放）</w:t>
            </w:r>
          </w:p>
        </w:tc>
        <w:tc>
          <w:tcPr>
            <w:tcW w:w="419" w:type="dxa"/>
            <w:vMerge w:val="restart"/>
            <w:tcBorders>
              <w:bottom w:val="nil"/>
            </w:tcBorders>
            <w:shd w:val="clear" w:color="auto" w:fill="BFBFBF"/>
            <w:vAlign w:val="top"/>
          </w:tcPr>
          <w:p w14:paraId="34D8A0B2">
            <w:pPr>
              <w:spacing w:before="51" w:line="180" w:lineRule="auto"/>
              <w:ind w:left="87"/>
              <w:rPr>
                <w:rFonts w:ascii="微软雅黑" w:hAnsi="微软雅黑" w:eastAsia="微软雅黑" w:cs="微软雅黑"/>
                <w:sz w:val="11"/>
                <w:szCs w:val="11"/>
              </w:rPr>
            </w:pPr>
            <w:r>
              <w:rPr>
                <w:rFonts w:ascii="微软雅黑" w:hAnsi="微软雅黑" w:eastAsia="微软雅黑" w:cs="微软雅黑"/>
                <w:b/>
                <w:bCs/>
                <w:sz w:val="11"/>
                <w:szCs w:val="11"/>
              </w:rPr>
              <w:t>序号</w:t>
            </w:r>
          </w:p>
          <w:p w14:paraId="1816DB62">
            <w:pPr>
              <w:spacing w:line="177" w:lineRule="auto"/>
              <w:ind w:left="96"/>
              <w:rPr>
                <w:rFonts w:ascii="微软雅黑" w:hAnsi="微软雅黑" w:eastAsia="微软雅黑" w:cs="微软雅黑"/>
                <w:sz w:val="11"/>
                <w:szCs w:val="11"/>
              </w:rPr>
            </w:pPr>
            <w:r>
              <w:rPr>
                <w:rFonts w:ascii="微软雅黑" w:hAnsi="微软雅黑" w:eastAsia="微软雅黑" w:cs="微软雅黑"/>
                <w:b/>
                <w:bCs/>
                <w:spacing w:val="-7"/>
                <w:w w:val="99"/>
                <w:sz w:val="11"/>
                <w:szCs w:val="11"/>
              </w:rPr>
              <w:t>（编</w:t>
            </w:r>
          </w:p>
          <w:p w14:paraId="7E06B5D0">
            <w:pPr>
              <w:spacing w:line="174" w:lineRule="auto"/>
              <w:ind w:left="90"/>
              <w:rPr>
                <w:rFonts w:ascii="微软雅黑" w:hAnsi="微软雅黑" w:eastAsia="微软雅黑" w:cs="微软雅黑"/>
                <w:sz w:val="11"/>
                <w:szCs w:val="11"/>
              </w:rPr>
            </w:pPr>
            <w:r>
              <w:rPr>
                <w:rFonts w:ascii="微软雅黑" w:hAnsi="微软雅黑" w:eastAsia="微软雅黑" w:cs="微软雅黑"/>
                <w:b/>
                <w:bCs/>
                <w:spacing w:val="-3"/>
                <w:sz w:val="11"/>
                <w:szCs w:val="11"/>
              </w:rPr>
              <w:t>号）</w:t>
            </w:r>
          </w:p>
        </w:tc>
        <w:tc>
          <w:tcPr>
            <w:tcW w:w="897" w:type="dxa"/>
            <w:vMerge w:val="restart"/>
            <w:tcBorders>
              <w:bottom w:val="nil"/>
            </w:tcBorders>
            <w:shd w:val="clear" w:color="auto" w:fill="BFBFBF"/>
            <w:vAlign w:val="top"/>
          </w:tcPr>
          <w:p w14:paraId="338C8C29">
            <w:pPr>
              <w:spacing w:before="192" w:line="188" w:lineRule="auto"/>
              <w:ind w:left="158"/>
              <w:rPr>
                <w:rFonts w:ascii="微软雅黑" w:hAnsi="微软雅黑" w:eastAsia="微软雅黑" w:cs="微软雅黑"/>
                <w:sz w:val="11"/>
                <w:szCs w:val="11"/>
              </w:rPr>
            </w:pPr>
            <w:r>
              <w:rPr>
                <w:rFonts w:ascii="微软雅黑" w:hAnsi="微软雅黑" w:eastAsia="微软雅黑" w:cs="微软雅黑"/>
                <w:b/>
                <w:bCs/>
                <w:spacing w:val="1"/>
                <w:sz w:val="11"/>
                <w:szCs w:val="11"/>
              </w:rPr>
              <w:t>排放口名称</w:t>
            </w:r>
          </w:p>
        </w:tc>
        <w:tc>
          <w:tcPr>
            <w:tcW w:w="3140" w:type="dxa"/>
            <w:gridSpan w:val="3"/>
            <w:vMerge w:val="restart"/>
            <w:tcBorders>
              <w:bottom w:val="nil"/>
            </w:tcBorders>
            <w:shd w:val="clear" w:color="auto" w:fill="BFBFBF"/>
            <w:vAlign w:val="top"/>
          </w:tcPr>
          <w:p w14:paraId="190F99CF">
            <w:pPr>
              <w:spacing w:before="192" w:line="188" w:lineRule="auto"/>
              <w:ind w:left="1114"/>
              <w:rPr>
                <w:rFonts w:ascii="微软雅黑" w:hAnsi="微软雅黑" w:eastAsia="微软雅黑" w:cs="微软雅黑"/>
                <w:sz w:val="11"/>
                <w:szCs w:val="11"/>
              </w:rPr>
            </w:pPr>
            <w:r>
              <w:rPr>
                <w:rFonts w:ascii="微软雅黑" w:hAnsi="微软雅黑" w:eastAsia="微软雅黑" w:cs="微软雅黑"/>
                <w:b/>
                <w:bCs/>
                <w:spacing w:val="1"/>
                <w:sz w:val="11"/>
                <w:szCs w:val="11"/>
              </w:rPr>
              <w:t>污染防治设施工艺</w:t>
            </w:r>
          </w:p>
        </w:tc>
        <w:tc>
          <w:tcPr>
            <w:tcW w:w="2103" w:type="dxa"/>
            <w:gridSpan w:val="2"/>
            <w:vMerge w:val="restart"/>
            <w:tcBorders>
              <w:bottom w:val="nil"/>
            </w:tcBorders>
            <w:shd w:val="clear" w:color="auto" w:fill="BFBFBF"/>
            <w:vAlign w:val="top"/>
          </w:tcPr>
          <w:p w14:paraId="74E33749">
            <w:pPr>
              <w:spacing w:before="192" w:line="183" w:lineRule="auto"/>
              <w:ind w:left="177"/>
              <w:rPr>
                <w:rFonts w:ascii="微软雅黑" w:hAnsi="微软雅黑" w:eastAsia="微软雅黑" w:cs="微软雅黑"/>
                <w:sz w:val="11"/>
                <w:szCs w:val="11"/>
              </w:rPr>
            </w:pPr>
            <w:r>
              <w:rPr>
                <w:rFonts w:ascii="微软雅黑" w:hAnsi="微软雅黑" w:eastAsia="微软雅黑" w:cs="微软雅黑"/>
                <w:b/>
                <w:bCs/>
                <w:spacing w:val="2"/>
                <w:sz w:val="11"/>
                <w:szCs w:val="11"/>
              </w:rPr>
              <w:t>污染防治设施处理水量（吨/小时）</w:t>
            </w:r>
          </w:p>
        </w:tc>
        <w:tc>
          <w:tcPr>
            <w:tcW w:w="2009" w:type="dxa"/>
            <w:gridSpan w:val="2"/>
            <w:shd w:val="clear" w:color="auto" w:fill="BFBFBF"/>
            <w:vAlign w:val="top"/>
          </w:tcPr>
          <w:p w14:paraId="66BE170C">
            <w:pPr>
              <w:spacing w:before="24" w:line="108" w:lineRule="exact"/>
              <w:ind w:left="782"/>
              <w:rPr>
                <w:rFonts w:ascii="微软雅黑" w:hAnsi="微软雅黑" w:eastAsia="微软雅黑" w:cs="微软雅黑"/>
                <w:sz w:val="11"/>
                <w:szCs w:val="11"/>
              </w:rPr>
            </w:pPr>
            <w:r>
              <w:rPr>
                <w:rFonts w:ascii="微软雅黑" w:hAnsi="微软雅黑" w:eastAsia="微软雅黑" w:cs="微软雅黑"/>
                <w:b/>
                <w:bCs/>
                <w:position w:val="-1"/>
                <w:sz w:val="11"/>
                <w:szCs w:val="11"/>
              </w:rPr>
              <w:t>受纳水体</w:t>
            </w:r>
          </w:p>
        </w:tc>
        <w:tc>
          <w:tcPr>
            <w:tcW w:w="4739" w:type="dxa"/>
            <w:gridSpan w:val="6"/>
            <w:tcBorders>
              <w:right w:val="single" w:color="000000" w:sz="6" w:space="0"/>
            </w:tcBorders>
            <w:shd w:val="clear" w:color="auto" w:fill="BFBFBF"/>
            <w:vAlign w:val="top"/>
          </w:tcPr>
          <w:p w14:paraId="4EC2CDB9">
            <w:pPr>
              <w:spacing w:before="24" w:line="108" w:lineRule="exact"/>
              <w:ind w:left="2089"/>
              <w:rPr>
                <w:rFonts w:ascii="微软雅黑" w:hAnsi="微软雅黑" w:eastAsia="微软雅黑" w:cs="微软雅黑"/>
                <w:sz w:val="11"/>
                <w:szCs w:val="11"/>
              </w:rPr>
            </w:pPr>
            <w:r>
              <w:rPr>
                <w:rFonts w:ascii="微软雅黑" w:hAnsi="微软雅黑" w:eastAsia="微软雅黑" w:cs="微软雅黑"/>
                <w:b/>
                <w:bCs/>
                <w:spacing w:val="1"/>
                <w:position w:val="-1"/>
                <w:sz w:val="11"/>
                <w:szCs w:val="11"/>
              </w:rPr>
              <w:t>污染物排放</w:t>
            </w:r>
          </w:p>
        </w:tc>
      </w:tr>
      <w:tr w14:paraId="22B91DA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11" w:hRule="atLeast"/>
        </w:trPr>
        <w:tc>
          <w:tcPr>
            <w:tcW w:w="622" w:type="dxa"/>
            <w:vMerge w:val="continue"/>
            <w:tcBorders>
              <w:top w:val="nil"/>
              <w:left w:val="single" w:color="000000" w:sz="6" w:space="0"/>
              <w:bottom w:val="nil"/>
            </w:tcBorders>
            <w:vAlign w:val="top"/>
          </w:tcPr>
          <w:p w14:paraId="038CD679">
            <w:pPr>
              <w:rPr>
                <w:rFonts w:ascii="Arial"/>
                <w:sz w:val="21"/>
              </w:rPr>
            </w:pPr>
          </w:p>
        </w:tc>
        <w:tc>
          <w:tcPr>
            <w:tcW w:w="496" w:type="dxa"/>
            <w:vMerge w:val="continue"/>
            <w:tcBorders>
              <w:top w:val="nil"/>
              <w:bottom w:val="nil"/>
            </w:tcBorders>
            <w:vAlign w:val="top"/>
          </w:tcPr>
          <w:p w14:paraId="0309F691">
            <w:pPr>
              <w:rPr>
                <w:rFonts w:ascii="Arial"/>
                <w:sz w:val="21"/>
              </w:rPr>
            </w:pPr>
          </w:p>
        </w:tc>
        <w:tc>
          <w:tcPr>
            <w:tcW w:w="419" w:type="dxa"/>
            <w:vMerge w:val="continue"/>
            <w:tcBorders>
              <w:top w:val="nil"/>
            </w:tcBorders>
            <w:vAlign w:val="top"/>
          </w:tcPr>
          <w:p w14:paraId="29396AC0">
            <w:pPr>
              <w:rPr>
                <w:rFonts w:ascii="Arial"/>
                <w:sz w:val="21"/>
              </w:rPr>
            </w:pPr>
          </w:p>
        </w:tc>
        <w:tc>
          <w:tcPr>
            <w:tcW w:w="897" w:type="dxa"/>
            <w:vMerge w:val="continue"/>
            <w:tcBorders>
              <w:top w:val="nil"/>
            </w:tcBorders>
            <w:vAlign w:val="top"/>
          </w:tcPr>
          <w:p w14:paraId="276AA391">
            <w:pPr>
              <w:rPr>
                <w:rFonts w:ascii="Arial"/>
                <w:sz w:val="21"/>
              </w:rPr>
            </w:pPr>
          </w:p>
        </w:tc>
        <w:tc>
          <w:tcPr>
            <w:tcW w:w="3140" w:type="dxa"/>
            <w:gridSpan w:val="3"/>
            <w:vMerge w:val="continue"/>
            <w:tcBorders>
              <w:top w:val="nil"/>
            </w:tcBorders>
            <w:vAlign w:val="top"/>
          </w:tcPr>
          <w:p w14:paraId="4A9BF61A">
            <w:pPr>
              <w:rPr>
                <w:rFonts w:ascii="Arial"/>
                <w:sz w:val="21"/>
              </w:rPr>
            </w:pPr>
          </w:p>
        </w:tc>
        <w:tc>
          <w:tcPr>
            <w:tcW w:w="2103" w:type="dxa"/>
            <w:gridSpan w:val="2"/>
            <w:vMerge w:val="continue"/>
            <w:tcBorders>
              <w:top w:val="nil"/>
            </w:tcBorders>
            <w:vAlign w:val="top"/>
          </w:tcPr>
          <w:p w14:paraId="7BD3280C">
            <w:pPr>
              <w:rPr>
                <w:rFonts w:ascii="Arial"/>
                <w:sz w:val="21"/>
              </w:rPr>
            </w:pPr>
          </w:p>
        </w:tc>
        <w:tc>
          <w:tcPr>
            <w:tcW w:w="1069" w:type="dxa"/>
            <w:shd w:val="clear" w:color="auto" w:fill="BFBFBF"/>
            <w:vAlign w:val="top"/>
          </w:tcPr>
          <w:p w14:paraId="721DCB5F">
            <w:pPr>
              <w:spacing w:before="105" w:line="189" w:lineRule="auto"/>
              <w:ind w:left="420"/>
              <w:rPr>
                <w:rFonts w:ascii="微软雅黑" w:hAnsi="微软雅黑" w:eastAsia="微软雅黑" w:cs="微软雅黑"/>
                <w:sz w:val="11"/>
                <w:szCs w:val="11"/>
              </w:rPr>
            </w:pPr>
            <w:r>
              <w:rPr>
                <w:rFonts w:ascii="微软雅黑" w:hAnsi="微软雅黑" w:eastAsia="微软雅黑" w:cs="微软雅黑"/>
                <w:b/>
                <w:bCs/>
                <w:spacing w:val="-1"/>
                <w:sz w:val="11"/>
                <w:szCs w:val="11"/>
              </w:rPr>
              <w:t>名称</w:t>
            </w:r>
          </w:p>
        </w:tc>
        <w:tc>
          <w:tcPr>
            <w:tcW w:w="940" w:type="dxa"/>
            <w:shd w:val="clear" w:color="auto" w:fill="BFBFBF"/>
            <w:vAlign w:val="top"/>
          </w:tcPr>
          <w:p w14:paraId="3E743152">
            <w:pPr>
              <w:spacing w:before="106" w:line="187" w:lineRule="auto"/>
              <w:ind w:left="246"/>
              <w:rPr>
                <w:rFonts w:ascii="微软雅黑" w:hAnsi="微软雅黑" w:eastAsia="微软雅黑" w:cs="微软雅黑"/>
                <w:sz w:val="11"/>
                <w:szCs w:val="11"/>
              </w:rPr>
            </w:pPr>
            <w:r>
              <w:rPr>
                <w:rFonts w:ascii="微软雅黑" w:hAnsi="微软雅黑" w:eastAsia="微软雅黑" w:cs="微软雅黑"/>
                <w:b/>
                <w:bCs/>
                <w:spacing w:val="1"/>
                <w:sz w:val="11"/>
                <w:szCs w:val="11"/>
              </w:rPr>
              <w:t>功能类别</w:t>
            </w:r>
          </w:p>
        </w:tc>
        <w:tc>
          <w:tcPr>
            <w:tcW w:w="873" w:type="dxa"/>
            <w:shd w:val="clear" w:color="auto" w:fill="BFBFBF"/>
            <w:vAlign w:val="top"/>
          </w:tcPr>
          <w:p w14:paraId="5BF7BAEE">
            <w:pPr>
              <w:spacing w:before="106" w:line="187" w:lineRule="auto"/>
              <w:ind w:left="157"/>
              <w:rPr>
                <w:rFonts w:ascii="微软雅黑" w:hAnsi="微软雅黑" w:eastAsia="微软雅黑" w:cs="微软雅黑"/>
                <w:sz w:val="11"/>
                <w:szCs w:val="11"/>
              </w:rPr>
            </w:pPr>
            <w:r>
              <w:rPr>
                <w:rFonts w:ascii="微软雅黑" w:hAnsi="微软雅黑" w:eastAsia="微软雅黑" w:cs="微软雅黑"/>
                <w:b/>
                <w:bCs/>
                <w:spacing w:val="1"/>
                <w:sz w:val="11"/>
                <w:szCs w:val="11"/>
              </w:rPr>
              <w:t>污染物种类</w:t>
            </w:r>
          </w:p>
        </w:tc>
        <w:tc>
          <w:tcPr>
            <w:tcW w:w="983" w:type="dxa"/>
            <w:shd w:val="clear" w:color="auto" w:fill="BFBFBF"/>
            <w:vAlign w:val="top"/>
          </w:tcPr>
          <w:p w14:paraId="712627D3">
            <w:pPr>
              <w:spacing w:before="39" w:line="177" w:lineRule="auto"/>
              <w:ind w:left="268"/>
              <w:rPr>
                <w:rFonts w:ascii="微软雅黑" w:hAnsi="微软雅黑" w:eastAsia="微软雅黑" w:cs="微软雅黑"/>
                <w:sz w:val="11"/>
                <w:szCs w:val="11"/>
              </w:rPr>
            </w:pPr>
            <w:r>
              <w:rPr>
                <w:rFonts w:ascii="微软雅黑" w:hAnsi="微软雅黑" w:eastAsia="微软雅黑" w:cs="微软雅黑"/>
                <w:b/>
                <w:bCs/>
                <w:spacing w:val="1"/>
                <w:sz w:val="11"/>
                <w:szCs w:val="11"/>
              </w:rPr>
              <w:t>排放浓度</w:t>
            </w:r>
          </w:p>
          <w:p w14:paraId="57644FED">
            <w:pPr>
              <w:spacing w:line="122" w:lineRule="exact"/>
              <w:ind w:left="190"/>
              <w:rPr>
                <w:rFonts w:ascii="微软雅黑" w:hAnsi="微软雅黑" w:eastAsia="微软雅黑" w:cs="微软雅黑"/>
                <w:sz w:val="11"/>
                <w:szCs w:val="11"/>
              </w:rPr>
            </w:pPr>
            <w:r>
              <w:rPr>
                <w:rFonts w:ascii="微软雅黑" w:hAnsi="微软雅黑" w:eastAsia="微软雅黑" w:cs="微软雅黑"/>
                <w:b/>
                <w:bCs/>
                <w:sz w:val="11"/>
                <w:szCs w:val="11"/>
              </w:rPr>
              <w:t>（毫克/升）</w:t>
            </w:r>
          </w:p>
        </w:tc>
        <w:tc>
          <w:tcPr>
            <w:tcW w:w="1079" w:type="dxa"/>
            <w:shd w:val="clear" w:color="auto" w:fill="BFBFBF"/>
            <w:vAlign w:val="top"/>
          </w:tcPr>
          <w:p w14:paraId="278241E0">
            <w:pPr>
              <w:spacing w:before="106" w:line="183" w:lineRule="auto"/>
              <w:ind w:left="117"/>
              <w:rPr>
                <w:rFonts w:ascii="微软雅黑" w:hAnsi="微软雅黑" w:eastAsia="微软雅黑" w:cs="微软雅黑"/>
                <w:sz w:val="11"/>
                <w:szCs w:val="11"/>
              </w:rPr>
            </w:pPr>
            <w:r>
              <w:rPr>
                <w:rFonts w:ascii="微软雅黑" w:hAnsi="微软雅黑" w:eastAsia="微软雅黑" w:cs="微软雅黑"/>
                <w:b/>
                <w:bCs/>
                <w:spacing w:val="2"/>
                <w:sz w:val="11"/>
                <w:szCs w:val="11"/>
              </w:rPr>
              <w:t>排放量（吨/年）</w:t>
            </w:r>
          </w:p>
        </w:tc>
        <w:tc>
          <w:tcPr>
            <w:tcW w:w="1804" w:type="dxa"/>
            <w:gridSpan w:val="3"/>
            <w:tcBorders>
              <w:right w:val="single" w:color="000000" w:sz="6" w:space="0"/>
            </w:tcBorders>
            <w:shd w:val="clear" w:color="auto" w:fill="BFBFBF"/>
            <w:vAlign w:val="top"/>
          </w:tcPr>
          <w:p w14:paraId="60AC06C4">
            <w:pPr>
              <w:spacing w:before="106" w:line="188" w:lineRule="auto"/>
              <w:ind w:left="562"/>
              <w:rPr>
                <w:rFonts w:ascii="微软雅黑" w:hAnsi="微软雅黑" w:eastAsia="微软雅黑" w:cs="微软雅黑"/>
                <w:sz w:val="11"/>
                <w:szCs w:val="11"/>
              </w:rPr>
            </w:pPr>
            <w:r>
              <w:rPr>
                <w:rFonts w:ascii="微软雅黑" w:hAnsi="微软雅黑" w:eastAsia="微软雅黑" w:cs="微软雅黑"/>
                <w:b/>
                <w:bCs/>
                <w:spacing w:val="2"/>
                <w:sz w:val="11"/>
                <w:szCs w:val="11"/>
              </w:rPr>
              <w:t>排放标准名称</w:t>
            </w:r>
          </w:p>
        </w:tc>
      </w:tr>
      <w:tr w14:paraId="4C51A602">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68FF85EE">
            <w:pPr>
              <w:rPr>
                <w:rFonts w:ascii="Arial"/>
                <w:sz w:val="21"/>
              </w:rPr>
            </w:pPr>
          </w:p>
        </w:tc>
        <w:tc>
          <w:tcPr>
            <w:tcW w:w="496" w:type="dxa"/>
            <w:vMerge w:val="continue"/>
            <w:tcBorders>
              <w:top w:val="nil"/>
              <w:bottom w:val="nil"/>
            </w:tcBorders>
            <w:vAlign w:val="top"/>
          </w:tcPr>
          <w:p w14:paraId="7CD20DCC">
            <w:pPr>
              <w:rPr>
                <w:rFonts w:ascii="Arial"/>
                <w:sz w:val="21"/>
              </w:rPr>
            </w:pPr>
          </w:p>
        </w:tc>
        <w:tc>
          <w:tcPr>
            <w:tcW w:w="419" w:type="dxa"/>
            <w:vAlign w:val="top"/>
          </w:tcPr>
          <w:p w14:paraId="625C0EC6">
            <w:pPr>
              <w:spacing w:line="132" w:lineRule="exact"/>
              <w:rPr>
                <w:rFonts w:ascii="Arial"/>
                <w:sz w:val="11"/>
              </w:rPr>
            </w:pPr>
          </w:p>
        </w:tc>
        <w:tc>
          <w:tcPr>
            <w:tcW w:w="897" w:type="dxa"/>
            <w:vAlign w:val="top"/>
          </w:tcPr>
          <w:p w14:paraId="6EFBBA1B">
            <w:pPr>
              <w:spacing w:line="132" w:lineRule="exact"/>
              <w:rPr>
                <w:rFonts w:ascii="Arial"/>
                <w:sz w:val="11"/>
              </w:rPr>
            </w:pPr>
          </w:p>
        </w:tc>
        <w:tc>
          <w:tcPr>
            <w:tcW w:w="3140" w:type="dxa"/>
            <w:gridSpan w:val="3"/>
            <w:vAlign w:val="top"/>
          </w:tcPr>
          <w:p w14:paraId="3BFFB10A">
            <w:pPr>
              <w:spacing w:line="132" w:lineRule="exact"/>
              <w:rPr>
                <w:rFonts w:ascii="Arial"/>
                <w:sz w:val="11"/>
              </w:rPr>
            </w:pPr>
          </w:p>
        </w:tc>
        <w:tc>
          <w:tcPr>
            <w:tcW w:w="2103" w:type="dxa"/>
            <w:gridSpan w:val="2"/>
            <w:vAlign w:val="top"/>
          </w:tcPr>
          <w:p w14:paraId="0D9551EC">
            <w:pPr>
              <w:spacing w:line="132" w:lineRule="exact"/>
              <w:rPr>
                <w:rFonts w:ascii="Arial"/>
                <w:sz w:val="11"/>
              </w:rPr>
            </w:pPr>
          </w:p>
        </w:tc>
        <w:tc>
          <w:tcPr>
            <w:tcW w:w="1069" w:type="dxa"/>
            <w:vAlign w:val="top"/>
          </w:tcPr>
          <w:p w14:paraId="5E7B2006">
            <w:pPr>
              <w:spacing w:line="132" w:lineRule="exact"/>
              <w:rPr>
                <w:rFonts w:ascii="Arial"/>
                <w:sz w:val="11"/>
              </w:rPr>
            </w:pPr>
          </w:p>
        </w:tc>
        <w:tc>
          <w:tcPr>
            <w:tcW w:w="940" w:type="dxa"/>
            <w:vAlign w:val="top"/>
          </w:tcPr>
          <w:p w14:paraId="337D2F4C">
            <w:pPr>
              <w:spacing w:line="132" w:lineRule="exact"/>
              <w:rPr>
                <w:rFonts w:ascii="Arial"/>
                <w:sz w:val="11"/>
              </w:rPr>
            </w:pPr>
          </w:p>
        </w:tc>
        <w:tc>
          <w:tcPr>
            <w:tcW w:w="873" w:type="dxa"/>
            <w:vAlign w:val="top"/>
          </w:tcPr>
          <w:p w14:paraId="329E1964">
            <w:pPr>
              <w:spacing w:line="132" w:lineRule="exact"/>
              <w:rPr>
                <w:rFonts w:ascii="Arial"/>
                <w:sz w:val="11"/>
              </w:rPr>
            </w:pPr>
          </w:p>
        </w:tc>
        <w:tc>
          <w:tcPr>
            <w:tcW w:w="983" w:type="dxa"/>
            <w:vAlign w:val="top"/>
          </w:tcPr>
          <w:p w14:paraId="211C120E">
            <w:pPr>
              <w:spacing w:line="132" w:lineRule="exact"/>
              <w:rPr>
                <w:rFonts w:ascii="Arial"/>
                <w:sz w:val="11"/>
              </w:rPr>
            </w:pPr>
          </w:p>
        </w:tc>
        <w:tc>
          <w:tcPr>
            <w:tcW w:w="1079" w:type="dxa"/>
            <w:vAlign w:val="top"/>
          </w:tcPr>
          <w:p w14:paraId="3CEE20CA">
            <w:pPr>
              <w:spacing w:line="132" w:lineRule="exact"/>
              <w:rPr>
                <w:rFonts w:ascii="Arial"/>
                <w:sz w:val="11"/>
              </w:rPr>
            </w:pPr>
          </w:p>
        </w:tc>
        <w:tc>
          <w:tcPr>
            <w:tcW w:w="1804" w:type="dxa"/>
            <w:gridSpan w:val="3"/>
            <w:tcBorders>
              <w:right w:val="single" w:color="000000" w:sz="6" w:space="0"/>
            </w:tcBorders>
            <w:vAlign w:val="top"/>
          </w:tcPr>
          <w:p w14:paraId="2D2FCC96">
            <w:pPr>
              <w:spacing w:line="132" w:lineRule="exact"/>
              <w:rPr>
                <w:rFonts w:ascii="Arial"/>
                <w:sz w:val="11"/>
              </w:rPr>
            </w:pPr>
          </w:p>
        </w:tc>
      </w:tr>
      <w:tr w14:paraId="2EEF477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14BCF5E2">
            <w:pPr>
              <w:rPr>
                <w:rFonts w:ascii="Arial"/>
                <w:sz w:val="21"/>
              </w:rPr>
            </w:pPr>
          </w:p>
        </w:tc>
        <w:tc>
          <w:tcPr>
            <w:tcW w:w="496" w:type="dxa"/>
            <w:vMerge w:val="continue"/>
            <w:tcBorders>
              <w:top w:val="nil"/>
              <w:bottom w:val="nil"/>
            </w:tcBorders>
            <w:vAlign w:val="top"/>
          </w:tcPr>
          <w:p w14:paraId="411CF48D">
            <w:pPr>
              <w:rPr>
                <w:rFonts w:ascii="Arial"/>
                <w:sz w:val="21"/>
              </w:rPr>
            </w:pPr>
          </w:p>
        </w:tc>
        <w:tc>
          <w:tcPr>
            <w:tcW w:w="419" w:type="dxa"/>
            <w:vAlign w:val="top"/>
          </w:tcPr>
          <w:p w14:paraId="1F79AAC3">
            <w:pPr>
              <w:spacing w:line="132" w:lineRule="exact"/>
              <w:rPr>
                <w:rFonts w:ascii="Arial"/>
                <w:sz w:val="11"/>
              </w:rPr>
            </w:pPr>
          </w:p>
        </w:tc>
        <w:tc>
          <w:tcPr>
            <w:tcW w:w="897" w:type="dxa"/>
            <w:vAlign w:val="top"/>
          </w:tcPr>
          <w:p w14:paraId="19250F86">
            <w:pPr>
              <w:spacing w:line="132" w:lineRule="exact"/>
              <w:rPr>
                <w:rFonts w:ascii="Arial"/>
                <w:sz w:val="11"/>
              </w:rPr>
            </w:pPr>
          </w:p>
        </w:tc>
        <w:tc>
          <w:tcPr>
            <w:tcW w:w="3140" w:type="dxa"/>
            <w:gridSpan w:val="3"/>
            <w:vAlign w:val="top"/>
          </w:tcPr>
          <w:p w14:paraId="1CA6164C">
            <w:pPr>
              <w:spacing w:line="132" w:lineRule="exact"/>
              <w:rPr>
                <w:rFonts w:ascii="Arial"/>
                <w:sz w:val="11"/>
              </w:rPr>
            </w:pPr>
          </w:p>
        </w:tc>
        <w:tc>
          <w:tcPr>
            <w:tcW w:w="2103" w:type="dxa"/>
            <w:gridSpan w:val="2"/>
            <w:vAlign w:val="top"/>
          </w:tcPr>
          <w:p w14:paraId="580683A9">
            <w:pPr>
              <w:spacing w:line="132" w:lineRule="exact"/>
              <w:rPr>
                <w:rFonts w:ascii="Arial"/>
                <w:sz w:val="11"/>
              </w:rPr>
            </w:pPr>
          </w:p>
        </w:tc>
        <w:tc>
          <w:tcPr>
            <w:tcW w:w="1069" w:type="dxa"/>
            <w:vAlign w:val="top"/>
          </w:tcPr>
          <w:p w14:paraId="42361E0D">
            <w:pPr>
              <w:spacing w:line="132" w:lineRule="exact"/>
              <w:rPr>
                <w:rFonts w:ascii="Arial"/>
                <w:sz w:val="11"/>
              </w:rPr>
            </w:pPr>
          </w:p>
        </w:tc>
        <w:tc>
          <w:tcPr>
            <w:tcW w:w="940" w:type="dxa"/>
            <w:vAlign w:val="top"/>
          </w:tcPr>
          <w:p w14:paraId="47442EF0">
            <w:pPr>
              <w:spacing w:line="132" w:lineRule="exact"/>
              <w:rPr>
                <w:rFonts w:ascii="Arial"/>
                <w:sz w:val="11"/>
              </w:rPr>
            </w:pPr>
          </w:p>
        </w:tc>
        <w:tc>
          <w:tcPr>
            <w:tcW w:w="873" w:type="dxa"/>
            <w:vAlign w:val="top"/>
          </w:tcPr>
          <w:p w14:paraId="5D57E776">
            <w:pPr>
              <w:spacing w:line="132" w:lineRule="exact"/>
              <w:rPr>
                <w:rFonts w:ascii="Arial"/>
                <w:sz w:val="11"/>
              </w:rPr>
            </w:pPr>
          </w:p>
        </w:tc>
        <w:tc>
          <w:tcPr>
            <w:tcW w:w="983" w:type="dxa"/>
            <w:vAlign w:val="top"/>
          </w:tcPr>
          <w:p w14:paraId="0FCF8992">
            <w:pPr>
              <w:spacing w:line="132" w:lineRule="exact"/>
              <w:rPr>
                <w:rFonts w:ascii="Arial"/>
                <w:sz w:val="11"/>
              </w:rPr>
            </w:pPr>
          </w:p>
        </w:tc>
        <w:tc>
          <w:tcPr>
            <w:tcW w:w="1079" w:type="dxa"/>
            <w:vAlign w:val="top"/>
          </w:tcPr>
          <w:p w14:paraId="38A7CFBE">
            <w:pPr>
              <w:spacing w:line="132" w:lineRule="exact"/>
              <w:rPr>
                <w:rFonts w:ascii="Arial"/>
                <w:sz w:val="11"/>
              </w:rPr>
            </w:pPr>
          </w:p>
        </w:tc>
        <w:tc>
          <w:tcPr>
            <w:tcW w:w="1804" w:type="dxa"/>
            <w:gridSpan w:val="3"/>
            <w:tcBorders>
              <w:right w:val="single" w:color="000000" w:sz="6" w:space="0"/>
            </w:tcBorders>
            <w:vAlign w:val="top"/>
          </w:tcPr>
          <w:p w14:paraId="18E1E3DD">
            <w:pPr>
              <w:spacing w:line="132" w:lineRule="exact"/>
              <w:rPr>
                <w:rFonts w:ascii="Arial"/>
                <w:sz w:val="11"/>
              </w:rPr>
            </w:pPr>
          </w:p>
        </w:tc>
      </w:tr>
      <w:tr w14:paraId="7A80117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bottom w:val="nil"/>
            </w:tcBorders>
            <w:vAlign w:val="top"/>
          </w:tcPr>
          <w:p w14:paraId="3F188912">
            <w:pPr>
              <w:rPr>
                <w:rFonts w:ascii="Arial"/>
                <w:sz w:val="21"/>
              </w:rPr>
            </w:pPr>
          </w:p>
        </w:tc>
        <w:tc>
          <w:tcPr>
            <w:tcW w:w="496" w:type="dxa"/>
            <w:vMerge w:val="continue"/>
            <w:tcBorders>
              <w:top w:val="nil"/>
              <w:bottom w:val="nil"/>
            </w:tcBorders>
            <w:vAlign w:val="top"/>
          </w:tcPr>
          <w:p w14:paraId="102B529B">
            <w:pPr>
              <w:rPr>
                <w:rFonts w:ascii="Arial"/>
                <w:sz w:val="21"/>
              </w:rPr>
            </w:pPr>
          </w:p>
        </w:tc>
        <w:tc>
          <w:tcPr>
            <w:tcW w:w="419" w:type="dxa"/>
            <w:vAlign w:val="top"/>
          </w:tcPr>
          <w:p w14:paraId="639EA4F4">
            <w:pPr>
              <w:spacing w:line="132" w:lineRule="exact"/>
              <w:rPr>
                <w:rFonts w:ascii="Arial"/>
                <w:sz w:val="11"/>
              </w:rPr>
            </w:pPr>
          </w:p>
        </w:tc>
        <w:tc>
          <w:tcPr>
            <w:tcW w:w="897" w:type="dxa"/>
            <w:vAlign w:val="top"/>
          </w:tcPr>
          <w:p w14:paraId="473276E5">
            <w:pPr>
              <w:spacing w:line="132" w:lineRule="exact"/>
              <w:rPr>
                <w:rFonts w:ascii="Arial"/>
                <w:sz w:val="11"/>
              </w:rPr>
            </w:pPr>
          </w:p>
        </w:tc>
        <w:tc>
          <w:tcPr>
            <w:tcW w:w="3140" w:type="dxa"/>
            <w:gridSpan w:val="3"/>
            <w:vAlign w:val="top"/>
          </w:tcPr>
          <w:p w14:paraId="3401F3E9">
            <w:pPr>
              <w:spacing w:line="132" w:lineRule="exact"/>
              <w:rPr>
                <w:rFonts w:ascii="Arial"/>
                <w:sz w:val="11"/>
              </w:rPr>
            </w:pPr>
          </w:p>
        </w:tc>
        <w:tc>
          <w:tcPr>
            <w:tcW w:w="2103" w:type="dxa"/>
            <w:gridSpan w:val="2"/>
            <w:vAlign w:val="top"/>
          </w:tcPr>
          <w:p w14:paraId="1697D3DB">
            <w:pPr>
              <w:spacing w:line="132" w:lineRule="exact"/>
              <w:rPr>
                <w:rFonts w:ascii="Arial"/>
                <w:sz w:val="11"/>
              </w:rPr>
            </w:pPr>
          </w:p>
        </w:tc>
        <w:tc>
          <w:tcPr>
            <w:tcW w:w="1069" w:type="dxa"/>
            <w:vAlign w:val="top"/>
          </w:tcPr>
          <w:p w14:paraId="27AFA9F6">
            <w:pPr>
              <w:spacing w:line="132" w:lineRule="exact"/>
              <w:rPr>
                <w:rFonts w:ascii="Arial"/>
                <w:sz w:val="11"/>
              </w:rPr>
            </w:pPr>
          </w:p>
        </w:tc>
        <w:tc>
          <w:tcPr>
            <w:tcW w:w="940" w:type="dxa"/>
            <w:vAlign w:val="top"/>
          </w:tcPr>
          <w:p w14:paraId="00CEA7CD">
            <w:pPr>
              <w:spacing w:line="132" w:lineRule="exact"/>
              <w:rPr>
                <w:rFonts w:ascii="Arial"/>
                <w:sz w:val="11"/>
              </w:rPr>
            </w:pPr>
          </w:p>
        </w:tc>
        <w:tc>
          <w:tcPr>
            <w:tcW w:w="873" w:type="dxa"/>
            <w:vAlign w:val="top"/>
          </w:tcPr>
          <w:p w14:paraId="0F439886">
            <w:pPr>
              <w:spacing w:line="132" w:lineRule="exact"/>
              <w:rPr>
                <w:rFonts w:ascii="Arial"/>
                <w:sz w:val="11"/>
              </w:rPr>
            </w:pPr>
          </w:p>
        </w:tc>
        <w:tc>
          <w:tcPr>
            <w:tcW w:w="983" w:type="dxa"/>
            <w:vAlign w:val="top"/>
          </w:tcPr>
          <w:p w14:paraId="3B08C756">
            <w:pPr>
              <w:spacing w:line="132" w:lineRule="exact"/>
              <w:rPr>
                <w:rFonts w:ascii="Arial"/>
                <w:sz w:val="11"/>
              </w:rPr>
            </w:pPr>
          </w:p>
        </w:tc>
        <w:tc>
          <w:tcPr>
            <w:tcW w:w="1079" w:type="dxa"/>
            <w:vAlign w:val="top"/>
          </w:tcPr>
          <w:p w14:paraId="1E0F9F2E">
            <w:pPr>
              <w:spacing w:line="132" w:lineRule="exact"/>
              <w:rPr>
                <w:rFonts w:ascii="Arial"/>
                <w:sz w:val="11"/>
              </w:rPr>
            </w:pPr>
          </w:p>
        </w:tc>
        <w:tc>
          <w:tcPr>
            <w:tcW w:w="1804" w:type="dxa"/>
            <w:gridSpan w:val="3"/>
            <w:tcBorders>
              <w:right w:val="single" w:color="000000" w:sz="6" w:space="0"/>
            </w:tcBorders>
            <w:vAlign w:val="top"/>
          </w:tcPr>
          <w:p w14:paraId="5A3C413E">
            <w:pPr>
              <w:spacing w:line="132" w:lineRule="exact"/>
              <w:rPr>
                <w:rFonts w:ascii="Arial"/>
                <w:sz w:val="11"/>
              </w:rPr>
            </w:pPr>
          </w:p>
        </w:tc>
      </w:tr>
      <w:tr w14:paraId="50F77C6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 w:hRule="atLeast"/>
        </w:trPr>
        <w:tc>
          <w:tcPr>
            <w:tcW w:w="622" w:type="dxa"/>
            <w:vMerge w:val="continue"/>
            <w:tcBorders>
              <w:top w:val="nil"/>
              <w:left w:val="single" w:color="000000" w:sz="6" w:space="0"/>
            </w:tcBorders>
            <w:vAlign w:val="top"/>
          </w:tcPr>
          <w:p w14:paraId="112DAE8B">
            <w:pPr>
              <w:rPr>
                <w:rFonts w:ascii="Arial"/>
                <w:sz w:val="21"/>
              </w:rPr>
            </w:pPr>
          </w:p>
        </w:tc>
        <w:tc>
          <w:tcPr>
            <w:tcW w:w="496" w:type="dxa"/>
            <w:vMerge w:val="continue"/>
            <w:tcBorders>
              <w:top w:val="nil"/>
            </w:tcBorders>
            <w:vAlign w:val="top"/>
          </w:tcPr>
          <w:p w14:paraId="6C18E930">
            <w:pPr>
              <w:rPr>
                <w:rFonts w:ascii="Arial"/>
                <w:sz w:val="21"/>
              </w:rPr>
            </w:pPr>
          </w:p>
        </w:tc>
        <w:tc>
          <w:tcPr>
            <w:tcW w:w="419" w:type="dxa"/>
            <w:vAlign w:val="top"/>
          </w:tcPr>
          <w:p w14:paraId="43E275A5">
            <w:pPr>
              <w:spacing w:line="132" w:lineRule="exact"/>
              <w:rPr>
                <w:rFonts w:ascii="Arial"/>
                <w:sz w:val="11"/>
              </w:rPr>
            </w:pPr>
          </w:p>
        </w:tc>
        <w:tc>
          <w:tcPr>
            <w:tcW w:w="897" w:type="dxa"/>
            <w:vAlign w:val="top"/>
          </w:tcPr>
          <w:p w14:paraId="5D79AF02">
            <w:pPr>
              <w:spacing w:line="132" w:lineRule="exact"/>
              <w:rPr>
                <w:rFonts w:ascii="Arial"/>
                <w:sz w:val="11"/>
              </w:rPr>
            </w:pPr>
          </w:p>
        </w:tc>
        <w:tc>
          <w:tcPr>
            <w:tcW w:w="3140" w:type="dxa"/>
            <w:gridSpan w:val="3"/>
            <w:vAlign w:val="top"/>
          </w:tcPr>
          <w:p w14:paraId="06840623">
            <w:pPr>
              <w:spacing w:line="132" w:lineRule="exact"/>
              <w:rPr>
                <w:rFonts w:ascii="Arial"/>
                <w:sz w:val="11"/>
              </w:rPr>
            </w:pPr>
          </w:p>
        </w:tc>
        <w:tc>
          <w:tcPr>
            <w:tcW w:w="2103" w:type="dxa"/>
            <w:gridSpan w:val="2"/>
            <w:vAlign w:val="top"/>
          </w:tcPr>
          <w:p w14:paraId="5B88ED50">
            <w:pPr>
              <w:spacing w:line="132" w:lineRule="exact"/>
              <w:rPr>
                <w:rFonts w:ascii="Arial"/>
                <w:sz w:val="11"/>
              </w:rPr>
            </w:pPr>
          </w:p>
        </w:tc>
        <w:tc>
          <w:tcPr>
            <w:tcW w:w="1069" w:type="dxa"/>
            <w:vAlign w:val="top"/>
          </w:tcPr>
          <w:p w14:paraId="27D39002">
            <w:pPr>
              <w:spacing w:line="132" w:lineRule="exact"/>
              <w:rPr>
                <w:rFonts w:ascii="Arial"/>
                <w:sz w:val="11"/>
              </w:rPr>
            </w:pPr>
          </w:p>
        </w:tc>
        <w:tc>
          <w:tcPr>
            <w:tcW w:w="940" w:type="dxa"/>
            <w:vAlign w:val="top"/>
          </w:tcPr>
          <w:p w14:paraId="0258EBB7">
            <w:pPr>
              <w:spacing w:line="132" w:lineRule="exact"/>
              <w:rPr>
                <w:rFonts w:ascii="Arial"/>
                <w:sz w:val="11"/>
              </w:rPr>
            </w:pPr>
          </w:p>
        </w:tc>
        <w:tc>
          <w:tcPr>
            <w:tcW w:w="873" w:type="dxa"/>
            <w:vAlign w:val="top"/>
          </w:tcPr>
          <w:p w14:paraId="7EF7C904">
            <w:pPr>
              <w:spacing w:line="132" w:lineRule="exact"/>
              <w:rPr>
                <w:rFonts w:ascii="Arial"/>
                <w:sz w:val="11"/>
              </w:rPr>
            </w:pPr>
          </w:p>
        </w:tc>
        <w:tc>
          <w:tcPr>
            <w:tcW w:w="983" w:type="dxa"/>
            <w:vAlign w:val="top"/>
          </w:tcPr>
          <w:p w14:paraId="2E402FE9">
            <w:pPr>
              <w:spacing w:line="132" w:lineRule="exact"/>
              <w:rPr>
                <w:rFonts w:ascii="Arial"/>
                <w:sz w:val="11"/>
              </w:rPr>
            </w:pPr>
          </w:p>
        </w:tc>
        <w:tc>
          <w:tcPr>
            <w:tcW w:w="1079" w:type="dxa"/>
            <w:vAlign w:val="top"/>
          </w:tcPr>
          <w:p w14:paraId="6B349231">
            <w:pPr>
              <w:spacing w:line="132" w:lineRule="exact"/>
              <w:rPr>
                <w:rFonts w:ascii="Arial"/>
                <w:sz w:val="11"/>
              </w:rPr>
            </w:pPr>
          </w:p>
        </w:tc>
        <w:tc>
          <w:tcPr>
            <w:tcW w:w="1804" w:type="dxa"/>
            <w:gridSpan w:val="3"/>
            <w:tcBorders>
              <w:right w:val="single" w:color="000000" w:sz="6" w:space="0"/>
            </w:tcBorders>
            <w:vAlign w:val="top"/>
          </w:tcPr>
          <w:p w14:paraId="36300176">
            <w:pPr>
              <w:spacing w:line="132" w:lineRule="exact"/>
              <w:rPr>
                <w:rFonts w:ascii="Arial"/>
                <w:sz w:val="11"/>
              </w:rPr>
            </w:pPr>
          </w:p>
        </w:tc>
      </w:tr>
      <w:tr w14:paraId="0357C5A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11" w:hRule="atLeast"/>
        </w:trPr>
        <w:tc>
          <w:tcPr>
            <w:tcW w:w="622" w:type="dxa"/>
            <w:vMerge w:val="restart"/>
            <w:tcBorders>
              <w:left w:val="single" w:color="000000" w:sz="6" w:space="0"/>
              <w:bottom w:val="nil"/>
            </w:tcBorders>
            <w:shd w:val="clear" w:color="auto" w:fill="BFBFBF"/>
            <w:vAlign w:val="top"/>
          </w:tcPr>
          <w:p w14:paraId="321CAB65">
            <w:pPr>
              <w:spacing w:line="409" w:lineRule="auto"/>
              <w:rPr>
                <w:rFonts w:ascii="Arial"/>
                <w:sz w:val="21"/>
              </w:rPr>
            </w:pPr>
          </w:p>
          <w:p w14:paraId="2B68838C">
            <w:pPr>
              <w:spacing w:before="56" w:line="191" w:lineRule="auto"/>
              <w:ind w:left="171" w:right="24" w:hanging="129"/>
              <w:rPr>
                <w:rFonts w:ascii="微软雅黑" w:hAnsi="微软雅黑" w:eastAsia="微软雅黑" w:cs="微软雅黑"/>
                <w:sz w:val="13"/>
                <w:szCs w:val="13"/>
              </w:rPr>
            </w:pPr>
            <w:r>
              <w:rPr>
                <w:rFonts w:ascii="微软雅黑" w:hAnsi="微软雅黑" w:eastAsia="微软雅黑" w:cs="微软雅黑"/>
                <w:b/>
                <w:bCs/>
                <w:spacing w:val="3"/>
                <w:sz w:val="13"/>
                <w:szCs w:val="13"/>
              </w:rPr>
              <w:t>固体废物</w:t>
            </w:r>
            <w:r>
              <w:rPr>
                <w:rFonts w:ascii="微软雅黑" w:hAnsi="微软雅黑" w:eastAsia="微软雅黑" w:cs="微软雅黑"/>
                <w:b/>
                <w:bCs/>
                <w:spacing w:val="1"/>
                <w:sz w:val="13"/>
                <w:szCs w:val="13"/>
              </w:rPr>
              <w:t xml:space="preserve"> </w:t>
            </w:r>
            <w:r>
              <w:rPr>
                <w:rFonts w:ascii="微软雅黑" w:hAnsi="微软雅黑" w:eastAsia="微软雅黑" w:cs="微软雅黑"/>
                <w:b/>
                <w:bCs/>
                <w:spacing w:val="3"/>
                <w:sz w:val="13"/>
                <w:szCs w:val="13"/>
              </w:rPr>
              <w:t>信息</w:t>
            </w:r>
          </w:p>
        </w:tc>
        <w:tc>
          <w:tcPr>
            <w:tcW w:w="496" w:type="dxa"/>
            <w:shd w:val="clear" w:color="auto" w:fill="BFBFBF"/>
            <w:vAlign w:val="top"/>
          </w:tcPr>
          <w:p w14:paraId="1CF01AD0">
            <w:pPr>
              <w:spacing w:before="13" w:line="181" w:lineRule="auto"/>
              <w:ind w:left="32"/>
              <w:rPr>
                <w:rFonts w:ascii="微软雅黑" w:hAnsi="微软雅黑" w:eastAsia="微软雅黑" w:cs="微软雅黑"/>
                <w:sz w:val="13"/>
                <w:szCs w:val="13"/>
              </w:rPr>
            </w:pPr>
            <w:r>
              <w:rPr>
                <w:rFonts w:ascii="微软雅黑" w:hAnsi="微软雅黑" w:eastAsia="微软雅黑" w:cs="微软雅黑"/>
                <w:b/>
                <w:bCs/>
                <w:spacing w:val="5"/>
                <w:sz w:val="13"/>
                <w:szCs w:val="13"/>
              </w:rPr>
              <w:t>废物类</w:t>
            </w:r>
          </w:p>
          <w:p w14:paraId="2E62FD93">
            <w:pPr>
              <w:spacing w:line="119" w:lineRule="exact"/>
              <w:ind w:left="172"/>
              <w:rPr>
                <w:rFonts w:ascii="微软雅黑" w:hAnsi="微软雅黑" w:eastAsia="微软雅黑" w:cs="微软雅黑"/>
                <w:sz w:val="13"/>
                <w:szCs w:val="13"/>
              </w:rPr>
            </w:pPr>
            <w:r>
              <w:rPr>
                <w:rFonts w:ascii="微软雅黑" w:hAnsi="微软雅黑" w:eastAsia="微软雅黑" w:cs="微软雅黑"/>
                <w:b/>
                <w:bCs/>
                <w:position w:val="-1"/>
                <w:sz w:val="13"/>
                <w:szCs w:val="13"/>
              </w:rPr>
              <w:t>型</w:t>
            </w:r>
          </w:p>
        </w:tc>
        <w:tc>
          <w:tcPr>
            <w:tcW w:w="1316" w:type="dxa"/>
            <w:gridSpan w:val="2"/>
            <w:shd w:val="clear" w:color="auto" w:fill="BFBFBF"/>
            <w:vAlign w:val="top"/>
          </w:tcPr>
          <w:p w14:paraId="04FE4D68">
            <w:pPr>
              <w:spacing w:before="108" w:line="188" w:lineRule="auto"/>
              <w:ind w:left="536"/>
              <w:rPr>
                <w:rFonts w:ascii="微软雅黑" w:hAnsi="微软雅黑" w:eastAsia="微软雅黑" w:cs="微软雅黑"/>
                <w:sz w:val="11"/>
                <w:szCs w:val="11"/>
              </w:rPr>
            </w:pPr>
            <w:r>
              <w:rPr>
                <w:rFonts w:ascii="微软雅黑" w:hAnsi="微软雅黑" w:eastAsia="微软雅黑" w:cs="微软雅黑"/>
                <w:b/>
                <w:bCs/>
                <w:sz w:val="11"/>
                <w:szCs w:val="11"/>
              </w:rPr>
              <w:t>序号</w:t>
            </w:r>
          </w:p>
        </w:tc>
        <w:tc>
          <w:tcPr>
            <w:tcW w:w="846" w:type="dxa"/>
            <w:shd w:val="clear" w:color="auto" w:fill="BFBFBF"/>
            <w:vAlign w:val="top"/>
          </w:tcPr>
          <w:p w14:paraId="04565962">
            <w:pPr>
              <w:spacing w:before="108" w:line="189" w:lineRule="auto"/>
              <w:ind w:left="303"/>
              <w:rPr>
                <w:rFonts w:ascii="微软雅黑" w:hAnsi="微软雅黑" w:eastAsia="微软雅黑" w:cs="微软雅黑"/>
                <w:sz w:val="11"/>
                <w:szCs w:val="11"/>
              </w:rPr>
            </w:pPr>
            <w:r>
              <w:rPr>
                <w:rFonts w:ascii="微软雅黑" w:hAnsi="微软雅黑" w:eastAsia="微软雅黑" w:cs="微软雅黑"/>
                <w:b/>
                <w:bCs/>
                <w:sz w:val="11"/>
                <w:szCs w:val="11"/>
              </w:rPr>
              <w:t>名称</w:t>
            </w:r>
          </w:p>
        </w:tc>
        <w:tc>
          <w:tcPr>
            <w:tcW w:w="2294" w:type="dxa"/>
            <w:gridSpan w:val="2"/>
            <w:shd w:val="clear" w:color="auto" w:fill="BFBFBF"/>
            <w:vAlign w:val="top"/>
          </w:tcPr>
          <w:p w14:paraId="19CEF68C">
            <w:pPr>
              <w:spacing w:before="108" w:line="187" w:lineRule="auto"/>
              <w:ind w:left="747"/>
              <w:rPr>
                <w:rFonts w:ascii="微软雅黑" w:hAnsi="微软雅黑" w:eastAsia="微软雅黑" w:cs="微软雅黑"/>
                <w:sz w:val="11"/>
                <w:szCs w:val="11"/>
              </w:rPr>
            </w:pPr>
            <w:r>
              <w:rPr>
                <w:rFonts w:ascii="微软雅黑" w:hAnsi="微软雅黑" w:eastAsia="微软雅黑" w:cs="微软雅黑"/>
                <w:b/>
                <w:bCs/>
                <w:spacing w:val="2"/>
                <w:sz w:val="11"/>
                <w:szCs w:val="11"/>
              </w:rPr>
              <w:t>产生环节及装置</w:t>
            </w:r>
          </w:p>
        </w:tc>
        <w:tc>
          <w:tcPr>
            <w:tcW w:w="2103" w:type="dxa"/>
            <w:gridSpan w:val="2"/>
            <w:shd w:val="clear" w:color="auto" w:fill="BFBFBF"/>
            <w:vAlign w:val="top"/>
          </w:tcPr>
          <w:p w14:paraId="69A5AF8B">
            <w:pPr>
              <w:spacing w:before="108" w:line="188" w:lineRule="auto"/>
              <w:ind w:left="709"/>
              <w:rPr>
                <w:rFonts w:ascii="微软雅黑" w:hAnsi="微软雅黑" w:eastAsia="微软雅黑" w:cs="微软雅黑"/>
                <w:sz w:val="11"/>
                <w:szCs w:val="11"/>
              </w:rPr>
            </w:pPr>
            <w:r>
              <w:rPr>
                <w:rFonts w:ascii="微软雅黑" w:hAnsi="微软雅黑" w:eastAsia="微软雅黑" w:cs="微软雅黑"/>
                <w:b/>
                <w:bCs/>
                <w:spacing w:val="2"/>
                <w:sz w:val="11"/>
                <w:szCs w:val="11"/>
              </w:rPr>
              <w:t>危险废物特性</w:t>
            </w:r>
          </w:p>
        </w:tc>
        <w:tc>
          <w:tcPr>
            <w:tcW w:w="1069" w:type="dxa"/>
            <w:shd w:val="clear" w:color="auto" w:fill="BFBFBF"/>
            <w:vAlign w:val="top"/>
          </w:tcPr>
          <w:p w14:paraId="48B8CBFC">
            <w:pPr>
              <w:spacing w:before="108" w:line="188" w:lineRule="auto"/>
              <w:ind w:left="192"/>
              <w:rPr>
                <w:rFonts w:ascii="微软雅黑" w:hAnsi="微软雅黑" w:eastAsia="微软雅黑" w:cs="微软雅黑"/>
                <w:sz w:val="11"/>
                <w:szCs w:val="11"/>
              </w:rPr>
            </w:pPr>
            <w:r>
              <w:rPr>
                <w:rFonts w:ascii="微软雅黑" w:hAnsi="微软雅黑" w:eastAsia="微软雅黑" w:cs="微软雅黑"/>
                <w:b/>
                <w:bCs/>
                <w:spacing w:val="2"/>
                <w:sz w:val="11"/>
                <w:szCs w:val="11"/>
              </w:rPr>
              <w:t>危险废物代码</w:t>
            </w:r>
          </w:p>
        </w:tc>
        <w:tc>
          <w:tcPr>
            <w:tcW w:w="940" w:type="dxa"/>
            <w:shd w:val="clear" w:color="auto" w:fill="BFBFBF"/>
            <w:vAlign w:val="top"/>
          </w:tcPr>
          <w:p w14:paraId="1F50A83B">
            <w:pPr>
              <w:spacing w:before="39" w:line="177" w:lineRule="auto"/>
              <w:ind w:left="300"/>
              <w:rPr>
                <w:rFonts w:ascii="微软雅黑" w:hAnsi="微软雅黑" w:eastAsia="微软雅黑" w:cs="微软雅黑"/>
                <w:sz w:val="11"/>
                <w:szCs w:val="11"/>
              </w:rPr>
            </w:pPr>
            <w:r>
              <w:rPr>
                <w:rFonts w:ascii="微软雅黑" w:hAnsi="微软雅黑" w:eastAsia="微软雅黑" w:cs="微软雅黑"/>
                <w:b/>
                <w:bCs/>
                <w:spacing w:val="1"/>
                <w:sz w:val="11"/>
                <w:szCs w:val="11"/>
              </w:rPr>
              <w:t>产生量</w:t>
            </w:r>
          </w:p>
          <w:p w14:paraId="74E16776">
            <w:pPr>
              <w:spacing w:line="122" w:lineRule="exact"/>
              <w:ind w:left="225"/>
              <w:rPr>
                <w:rFonts w:ascii="微软雅黑" w:hAnsi="微软雅黑" w:eastAsia="微软雅黑" w:cs="微软雅黑"/>
                <w:sz w:val="11"/>
                <w:szCs w:val="11"/>
              </w:rPr>
            </w:pPr>
            <w:r>
              <w:rPr>
                <w:rFonts w:ascii="微软雅黑" w:hAnsi="微软雅黑" w:eastAsia="微软雅黑" w:cs="微软雅黑"/>
                <w:b/>
                <w:bCs/>
                <w:spacing w:val="-1"/>
                <w:sz w:val="11"/>
                <w:szCs w:val="11"/>
              </w:rPr>
              <w:t>（吨/年）</w:t>
            </w:r>
          </w:p>
        </w:tc>
        <w:tc>
          <w:tcPr>
            <w:tcW w:w="873" w:type="dxa"/>
            <w:shd w:val="clear" w:color="auto" w:fill="BFBFBF"/>
            <w:vAlign w:val="top"/>
          </w:tcPr>
          <w:p w14:paraId="162A519D">
            <w:pPr>
              <w:spacing w:before="108" w:line="188" w:lineRule="auto"/>
              <w:ind w:left="99"/>
              <w:rPr>
                <w:rFonts w:ascii="微软雅黑" w:hAnsi="微软雅黑" w:eastAsia="微软雅黑" w:cs="微软雅黑"/>
                <w:sz w:val="11"/>
                <w:szCs w:val="11"/>
              </w:rPr>
            </w:pPr>
            <w:r>
              <w:rPr>
                <w:rFonts w:ascii="微软雅黑" w:hAnsi="微软雅黑" w:eastAsia="微软雅黑" w:cs="微软雅黑"/>
                <w:b/>
                <w:bCs/>
                <w:spacing w:val="2"/>
                <w:sz w:val="11"/>
                <w:szCs w:val="11"/>
              </w:rPr>
              <w:t>贮存设施名称</w:t>
            </w:r>
          </w:p>
        </w:tc>
        <w:tc>
          <w:tcPr>
            <w:tcW w:w="983" w:type="dxa"/>
            <w:shd w:val="clear" w:color="auto" w:fill="BFBFBF"/>
            <w:vAlign w:val="top"/>
          </w:tcPr>
          <w:p w14:paraId="61AF80D9">
            <w:pPr>
              <w:spacing w:before="108" w:line="187" w:lineRule="auto"/>
              <w:ind w:left="267"/>
              <w:rPr>
                <w:rFonts w:ascii="微软雅黑" w:hAnsi="微软雅黑" w:eastAsia="微软雅黑" w:cs="微软雅黑"/>
                <w:sz w:val="11"/>
                <w:szCs w:val="11"/>
              </w:rPr>
            </w:pPr>
            <w:r>
              <w:rPr>
                <w:rFonts w:ascii="微软雅黑" w:hAnsi="微软雅黑" w:eastAsia="微软雅黑" w:cs="微软雅黑"/>
                <w:b/>
                <w:bCs/>
                <w:spacing w:val="1"/>
                <w:sz w:val="11"/>
                <w:szCs w:val="11"/>
              </w:rPr>
              <w:t>贮存能力</w:t>
            </w:r>
          </w:p>
        </w:tc>
        <w:tc>
          <w:tcPr>
            <w:tcW w:w="1079" w:type="dxa"/>
            <w:shd w:val="clear" w:color="auto" w:fill="BFBFBF"/>
            <w:vAlign w:val="top"/>
          </w:tcPr>
          <w:p w14:paraId="1CD853F7">
            <w:pPr>
              <w:spacing w:before="38" w:line="167" w:lineRule="auto"/>
              <w:ind w:left="428" w:right="291" w:hanging="99"/>
              <w:rPr>
                <w:rFonts w:ascii="微软雅黑" w:hAnsi="微软雅黑" w:eastAsia="微软雅黑" w:cs="微软雅黑"/>
                <w:sz w:val="11"/>
                <w:szCs w:val="11"/>
              </w:rPr>
            </w:pPr>
            <w:r>
              <w:rPr>
                <w:rFonts w:ascii="微软雅黑" w:hAnsi="微软雅黑" w:eastAsia="微软雅黑" w:cs="微软雅黑"/>
                <w:b/>
                <w:bCs/>
                <w:spacing w:val="-2"/>
                <w:sz w:val="11"/>
                <w:szCs w:val="11"/>
              </w:rPr>
              <w:t>自行利用</w:t>
            </w:r>
            <w:r>
              <w:rPr>
                <w:rFonts w:ascii="微软雅黑" w:hAnsi="微软雅黑" w:eastAsia="微软雅黑" w:cs="微软雅黑"/>
                <w:b/>
                <w:bCs/>
                <w:sz w:val="11"/>
                <w:szCs w:val="11"/>
              </w:rPr>
              <w:t xml:space="preserve"> </w:t>
            </w:r>
            <w:r>
              <w:rPr>
                <w:rFonts w:ascii="微软雅黑" w:hAnsi="微软雅黑" w:eastAsia="微软雅黑" w:cs="微软雅黑"/>
                <w:b/>
                <w:bCs/>
                <w:spacing w:val="-1"/>
                <w:sz w:val="11"/>
                <w:szCs w:val="11"/>
              </w:rPr>
              <w:t>工艺</w:t>
            </w:r>
          </w:p>
        </w:tc>
        <w:tc>
          <w:tcPr>
            <w:tcW w:w="1182" w:type="dxa"/>
            <w:gridSpan w:val="2"/>
            <w:shd w:val="clear" w:color="auto" w:fill="BFBFBF"/>
            <w:vAlign w:val="top"/>
          </w:tcPr>
          <w:p w14:paraId="6AEEC723">
            <w:pPr>
              <w:spacing w:before="38" w:line="167" w:lineRule="auto"/>
              <w:ind w:left="482" w:right="341" w:hanging="99"/>
              <w:rPr>
                <w:rFonts w:ascii="微软雅黑" w:hAnsi="微软雅黑" w:eastAsia="微软雅黑" w:cs="微软雅黑"/>
                <w:sz w:val="11"/>
                <w:szCs w:val="11"/>
              </w:rPr>
            </w:pPr>
            <w:r>
              <w:rPr>
                <w:rFonts w:ascii="微软雅黑" w:hAnsi="微软雅黑" w:eastAsia="微软雅黑" w:cs="微软雅黑"/>
                <w:b/>
                <w:bCs/>
                <w:spacing w:val="-2"/>
                <w:sz w:val="11"/>
                <w:szCs w:val="11"/>
              </w:rPr>
              <w:t>自行处置</w:t>
            </w:r>
            <w:r>
              <w:rPr>
                <w:rFonts w:ascii="微软雅黑" w:hAnsi="微软雅黑" w:eastAsia="微软雅黑" w:cs="微软雅黑"/>
                <w:b/>
                <w:bCs/>
                <w:sz w:val="11"/>
                <w:szCs w:val="11"/>
              </w:rPr>
              <w:t xml:space="preserve"> 工艺</w:t>
            </w:r>
          </w:p>
        </w:tc>
        <w:tc>
          <w:tcPr>
            <w:tcW w:w="622" w:type="dxa"/>
            <w:tcBorders>
              <w:right w:val="single" w:color="000000" w:sz="6" w:space="0"/>
            </w:tcBorders>
            <w:shd w:val="clear" w:color="auto" w:fill="BFBFBF"/>
            <w:vAlign w:val="top"/>
          </w:tcPr>
          <w:p w14:paraId="26BD7725">
            <w:pPr>
              <w:spacing w:before="39" w:line="177" w:lineRule="auto"/>
              <w:ind w:left="33"/>
              <w:rPr>
                <w:rFonts w:ascii="微软雅黑" w:hAnsi="微软雅黑" w:eastAsia="微软雅黑" w:cs="微软雅黑"/>
                <w:sz w:val="11"/>
                <w:szCs w:val="11"/>
              </w:rPr>
            </w:pPr>
            <w:r>
              <w:rPr>
                <w:rFonts w:ascii="微软雅黑" w:hAnsi="微软雅黑" w:eastAsia="微软雅黑" w:cs="微软雅黑"/>
                <w:b/>
                <w:bCs/>
                <w:spacing w:val="1"/>
                <w:sz w:val="11"/>
                <w:szCs w:val="11"/>
              </w:rPr>
              <w:t>是否外委处</w:t>
            </w:r>
          </w:p>
          <w:p w14:paraId="4AD157E0">
            <w:pPr>
              <w:spacing w:line="122" w:lineRule="exact"/>
              <w:ind w:left="260"/>
              <w:rPr>
                <w:rFonts w:ascii="微软雅黑" w:hAnsi="微软雅黑" w:eastAsia="微软雅黑" w:cs="微软雅黑"/>
                <w:sz w:val="11"/>
                <w:szCs w:val="11"/>
              </w:rPr>
            </w:pPr>
            <w:r>
              <w:rPr>
                <w:rFonts w:ascii="微软雅黑" w:hAnsi="微软雅黑" w:eastAsia="微软雅黑" w:cs="微软雅黑"/>
                <w:b/>
                <w:bCs/>
                <w:sz w:val="11"/>
                <w:szCs w:val="11"/>
              </w:rPr>
              <w:t>置</w:t>
            </w:r>
          </w:p>
        </w:tc>
      </w:tr>
      <w:tr w14:paraId="7B1872D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72" w:hRule="atLeast"/>
        </w:trPr>
        <w:tc>
          <w:tcPr>
            <w:tcW w:w="622" w:type="dxa"/>
            <w:vMerge w:val="continue"/>
            <w:tcBorders>
              <w:top w:val="nil"/>
              <w:left w:val="single" w:color="000000" w:sz="6" w:space="0"/>
              <w:bottom w:val="nil"/>
            </w:tcBorders>
            <w:vAlign w:val="top"/>
          </w:tcPr>
          <w:p w14:paraId="56458F10">
            <w:pPr>
              <w:rPr>
                <w:rFonts w:ascii="Arial"/>
                <w:sz w:val="21"/>
              </w:rPr>
            </w:pPr>
          </w:p>
        </w:tc>
        <w:tc>
          <w:tcPr>
            <w:tcW w:w="496" w:type="dxa"/>
            <w:vMerge w:val="restart"/>
            <w:tcBorders>
              <w:bottom w:val="nil"/>
            </w:tcBorders>
            <w:shd w:val="clear" w:color="auto" w:fill="BFBFBF"/>
            <w:vAlign w:val="top"/>
          </w:tcPr>
          <w:p w14:paraId="6E072634">
            <w:pPr>
              <w:spacing w:before="27" w:line="181" w:lineRule="auto"/>
              <w:ind w:left="34"/>
              <w:rPr>
                <w:rFonts w:ascii="微软雅黑" w:hAnsi="微软雅黑" w:eastAsia="微软雅黑" w:cs="微软雅黑"/>
                <w:sz w:val="13"/>
                <w:szCs w:val="13"/>
              </w:rPr>
            </w:pPr>
            <w:r>
              <w:rPr>
                <w:rFonts w:ascii="微软雅黑" w:hAnsi="微软雅黑" w:eastAsia="微软雅黑" w:cs="微软雅黑"/>
                <w:b/>
                <w:bCs/>
                <w:spacing w:val="4"/>
                <w:sz w:val="13"/>
                <w:szCs w:val="13"/>
              </w:rPr>
              <w:t>一般工</w:t>
            </w:r>
          </w:p>
          <w:p w14:paraId="72A0E28A">
            <w:pPr>
              <w:spacing w:before="1" w:line="162" w:lineRule="auto"/>
              <w:ind w:left="102" w:right="32" w:hanging="68"/>
              <w:rPr>
                <w:rFonts w:ascii="微软雅黑" w:hAnsi="微软雅黑" w:eastAsia="微软雅黑" w:cs="微软雅黑"/>
                <w:sz w:val="13"/>
                <w:szCs w:val="13"/>
              </w:rPr>
            </w:pPr>
            <w:r>
              <w:rPr>
                <w:rFonts w:ascii="微软雅黑" w:hAnsi="微软雅黑" w:eastAsia="微软雅黑" w:cs="微软雅黑"/>
                <w:b/>
                <w:bCs/>
                <w:spacing w:val="4"/>
                <w:sz w:val="13"/>
                <w:szCs w:val="13"/>
              </w:rPr>
              <w:t>业固体</w:t>
            </w:r>
            <w:r>
              <w:rPr>
                <w:rFonts w:ascii="微软雅黑" w:hAnsi="微软雅黑" w:eastAsia="微软雅黑" w:cs="微软雅黑"/>
                <w:b/>
                <w:bCs/>
                <w:sz w:val="13"/>
                <w:szCs w:val="13"/>
              </w:rPr>
              <w:t xml:space="preserve"> </w:t>
            </w:r>
            <w:r>
              <w:rPr>
                <w:rFonts w:ascii="微软雅黑" w:hAnsi="微软雅黑" w:eastAsia="微软雅黑" w:cs="微软雅黑"/>
                <w:b/>
                <w:bCs/>
                <w:spacing w:val="3"/>
                <w:sz w:val="13"/>
                <w:szCs w:val="13"/>
              </w:rPr>
              <w:t>废物</w:t>
            </w:r>
          </w:p>
        </w:tc>
        <w:tc>
          <w:tcPr>
            <w:tcW w:w="1316" w:type="dxa"/>
            <w:gridSpan w:val="2"/>
            <w:vAlign w:val="top"/>
          </w:tcPr>
          <w:p w14:paraId="5FB67C84">
            <w:pPr>
              <w:spacing w:before="25" w:line="137" w:lineRule="exact"/>
              <w:ind w:left="629"/>
              <w:rPr>
                <w:rFonts w:ascii="Constantia" w:hAnsi="Constantia" w:eastAsia="Constantia" w:cs="Constantia"/>
                <w:sz w:val="11"/>
                <w:szCs w:val="11"/>
              </w:rPr>
            </w:pPr>
            <w:r>
              <w:rPr>
                <w:rFonts w:ascii="Constantia" w:hAnsi="Constantia" w:eastAsia="Constantia" w:cs="Constantia"/>
                <w:b/>
                <w:bCs/>
                <w:spacing w:val="2"/>
                <w:position w:val="2"/>
                <w:sz w:val="11"/>
                <w:szCs w:val="11"/>
              </w:rPr>
              <w:t>1</w:t>
            </w:r>
          </w:p>
        </w:tc>
        <w:tc>
          <w:tcPr>
            <w:tcW w:w="846" w:type="dxa"/>
            <w:vAlign w:val="top"/>
          </w:tcPr>
          <w:p w14:paraId="6E47192A">
            <w:pPr>
              <w:pStyle w:val="6"/>
              <w:spacing w:before="39" w:line="206" w:lineRule="auto"/>
              <w:ind w:left="303"/>
              <w:rPr>
                <w:sz w:val="11"/>
                <w:szCs w:val="11"/>
              </w:rPr>
            </w:pPr>
            <w:r>
              <w:rPr>
                <w:b/>
                <w:bCs/>
                <w:spacing w:val="-2"/>
                <w:sz w:val="11"/>
                <w:szCs w:val="11"/>
              </w:rPr>
              <w:t>尾矿</w:t>
            </w:r>
          </w:p>
        </w:tc>
        <w:tc>
          <w:tcPr>
            <w:tcW w:w="2294" w:type="dxa"/>
            <w:gridSpan w:val="2"/>
            <w:vAlign w:val="top"/>
          </w:tcPr>
          <w:p w14:paraId="42526DD8">
            <w:pPr>
              <w:pStyle w:val="6"/>
              <w:spacing w:before="39" w:line="206" w:lineRule="auto"/>
              <w:ind w:left="1031"/>
              <w:rPr>
                <w:sz w:val="11"/>
                <w:szCs w:val="11"/>
              </w:rPr>
            </w:pPr>
            <w:r>
              <w:rPr>
                <w:b/>
                <w:bCs/>
                <w:spacing w:val="-3"/>
                <w:sz w:val="11"/>
                <w:szCs w:val="11"/>
              </w:rPr>
              <w:t>选矿</w:t>
            </w:r>
          </w:p>
        </w:tc>
        <w:tc>
          <w:tcPr>
            <w:tcW w:w="2103" w:type="dxa"/>
            <w:gridSpan w:val="2"/>
            <w:vAlign w:val="top"/>
          </w:tcPr>
          <w:p w14:paraId="6D6D9E5A">
            <w:pPr>
              <w:pStyle w:val="6"/>
              <w:spacing w:before="39" w:line="206" w:lineRule="auto"/>
              <w:ind w:left="1019"/>
              <w:rPr>
                <w:sz w:val="11"/>
                <w:szCs w:val="11"/>
              </w:rPr>
            </w:pPr>
            <w:r>
              <w:rPr>
                <w:b/>
                <w:bCs/>
                <w:spacing w:val="-2"/>
                <w:sz w:val="11"/>
                <w:szCs w:val="11"/>
              </w:rPr>
              <w:t>/</w:t>
            </w:r>
          </w:p>
        </w:tc>
        <w:tc>
          <w:tcPr>
            <w:tcW w:w="1069" w:type="dxa"/>
            <w:vAlign w:val="top"/>
          </w:tcPr>
          <w:p w14:paraId="7DF28559">
            <w:pPr>
              <w:spacing w:before="25" w:line="137" w:lineRule="exact"/>
              <w:ind w:left="513"/>
              <w:rPr>
                <w:rFonts w:ascii="Constantia" w:hAnsi="Constantia" w:eastAsia="Constantia" w:cs="Constantia"/>
                <w:sz w:val="11"/>
                <w:szCs w:val="11"/>
              </w:rPr>
            </w:pPr>
            <w:r>
              <w:rPr>
                <w:rFonts w:ascii="Constantia" w:hAnsi="Constantia" w:eastAsia="Constantia" w:cs="Constantia"/>
                <w:b/>
                <w:bCs/>
                <w:position w:val="1"/>
                <w:sz w:val="11"/>
                <w:szCs w:val="11"/>
              </w:rPr>
              <w:t>/</w:t>
            </w:r>
          </w:p>
        </w:tc>
        <w:tc>
          <w:tcPr>
            <w:tcW w:w="940" w:type="dxa"/>
            <w:vAlign w:val="top"/>
          </w:tcPr>
          <w:p w14:paraId="55D7C608">
            <w:pPr>
              <w:spacing w:before="25" w:line="231" w:lineRule="auto"/>
              <w:ind w:left="300"/>
              <w:rPr>
                <w:rFonts w:ascii="Constantia" w:hAnsi="Constantia" w:eastAsia="Constantia" w:cs="Constantia"/>
                <w:sz w:val="11"/>
                <w:szCs w:val="11"/>
              </w:rPr>
            </w:pPr>
            <w:r>
              <w:rPr>
                <w:rFonts w:ascii="Constantia" w:hAnsi="Constantia" w:eastAsia="Constantia" w:cs="Constantia"/>
                <w:b/>
                <w:bCs/>
                <w:spacing w:val="1"/>
                <w:sz w:val="11"/>
                <w:szCs w:val="11"/>
              </w:rPr>
              <w:t>636410</w:t>
            </w:r>
          </w:p>
        </w:tc>
        <w:tc>
          <w:tcPr>
            <w:tcW w:w="873" w:type="dxa"/>
            <w:vAlign w:val="top"/>
          </w:tcPr>
          <w:p w14:paraId="03CC5F08">
            <w:pPr>
              <w:pStyle w:val="6"/>
              <w:spacing w:before="39" w:line="206" w:lineRule="auto"/>
              <w:ind w:left="270"/>
              <w:rPr>
                <w:sz w:val="11"/>
                <w:szCs w:val="11"/>
              </w:rPr>
            </w:pPr>
            <w:r>
              <w:rPr>
                <w:b/>
                <w:bCs/>
                <w:spacing w:val="-1"/>
                <w:sz w:val="11"/>
                <w:szCs w:val="11"/>
              </w:rPr>
              <w:t>尾矿库</w:t>
            </w:r>
          </w:p>
        </w:tc>
        <w:tc>
          <w:tcPr>
            <w:tcW w:w="983" w:type="dxa"/>
            <w:vAlign w:val="top"/>
          </w:tcPr>
          <w:p w14:paraId="34867902">
            <w:pPr>
              <w:spacing w:before="48" w:line="83" w:lineRule="exact"/>
              <w:ind w:left="237"/>
              <w:rPr>
                <w:rFonts w:ascii="Constantia" w:hAnsi="Constantia" w:eastAsia="Constantia" w:cs="Constantia"/>
                <w:sz w:val="11"/>
                <w:szCs w:val="11"/>
              </w:rPr>
            </w:pPr>
            <w:r>
              <w:rPr>
                <w:rFonts w:ascii="Constantia" w:hAnsi="Constantia" w:eastAsia="Constantia" w:cs="Constantia"/>
                <w:b/>
                <w:bCs/>
                <w:spacing w:val="-3"/>
                <w:position w:val="1"/>
                <w:sz w:val="11"/>
                <w:szCs w:val="11"/>
              </w:rPr>
              <w:t>9934100m³</w:t>
            </w:r>
          </w:p>
        </w:tc>
        <w:tc>
          <w:tcPr>
            <w:tcW w:w="1079" w:type="dxa"/>
            <w:vAlign w:val="top"/>
          </w:tcPr>
          <w:p w14:paraId="458C3CDE">
            <w:pPr>
              <w:spacing w:before="39" w:line="123" w:lineRule="exact"/>
              <w:ind w:left="92"/>
              <w:rPr>
                <w:rFonts w:ascii="微软雅黑" w:hAnsi="微软雅黑" w:eastAsia="微软雅黑" w:cs="微软雅黑"/>
                <w:sz w:val="11"/>
                <w:szCs w:val="11"/>
              </w:rPr>
            </w:pPr>
            <w:r>
              <w:rPr>
                <w:rFonts w:ascii="微软雅黑" w:hAnsi="微软雅黑" w:eastAsia="微软雅黑" w:cs="微软雅黑"/>
                <w:b/>
                <w:bCs/>
                <w:spacing w:val="1"/>
                <w:sz w:val="11"/>
                <w:szCs w:val="11"/>
              </w:rPr>
              <w:t>部分用于井下填充</w:t>
            </w:r>
          </w:p>
        </w:tc>
        <w:tc>
          <w:tcPr>
            <w:tcW w:w="1182" w:type="dxa"/>
            <w:gridSpan w:val="2"/>
            <w:vAlign w:val="top"/>
          </w:tcPr>
          <w:p w14:paraId="35F1172B">
            <w:pPr>
              <w:pStyle w:val="6"/>
              <w:spacing w:before="39" w:line="206" w:lineRule="auto"/>
              <w:ind w:left="565"/>
              <w:rPr>
                <w:sz w:val="11"/>
                <w:szCs w:val="11"/>
              </w:rPr>
            </w:pPr>
            <w:r>
              <w:rPr>
                <w:b/>
                <w:bCs/>
                <w:spacing w:val="-2"/>
                <w:sz w:val="11"/>
                <w:szCs w:val="11"/>
              </w:rPr>
              <w:t>/</w:t>
            </w:r>
          </w:p>
        </w:tc>
        <w:tc>
          <w:tcPr>
            <w:tcW w:w="622" w:type="dxa"/>
            <w:tcBorders>
              <w:right w:val="single" w:color="000000" w:sz="6" w:space="0"/>
            </w:tcBorders>
            <w:vAlign w:val="top"/>
          </w:tcPr>
          <w:p w14:paraId="494E4635">
            <w:pPr>
              <w:pStyle w:val="6"/>
              <w:spacing w:before="39" w:line="206" w:lineRule="auto"/>
              <w:ind w:left="261"/>
              <w:rPr>
                <w:sz w:val="11"/>
                <w:szCs w:val="11"/>
              </w:rPr>
            </w:pPr>
            <w:r>
              <w:rPr>
                <w:b/>
                <w:bCs/>
                <w:spacing w:val="-2"/>
                <w:sz w:val="11"/>
                <w:szCs w:val="11"/>
              </w:rPr>
              <w:t>否</w:t>
            </w:r>
          </w:p>
        </w:tc>
      </w:tr>
      <w:tr w14:paraId="7595F0E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36" w:hRule="atLeast"/>
        </w:trPr>
        <w:tc>
          <w:tcPr>
            <w:tcW w:w="622" w:type="dxa"/>
            <w:vMerge w:val="continue"/>
            <w:tcBorders>
              <w:top w:val="nil"/>
              <w:left w:val="single" w:color="000000" w:sz="6" w:space="0"/>
              <w:bottom w:val="nil"/>
            </w:tcBorders>
            <w:vAlign w:val="top"/>
          </w:tcPr>
          <w:p w14:paraId="4DB34F0C">
            <w:pPr>
              <w:rPr>
                <w:rFonts w:ascii="Arial"/>
                <w:sz w:val="21"/>
              </w:rPr>
            </w:pPr>
          </w:p>
        </w:tc>
        <w:tc>
          <w:tcPr>
            <w:tcW w:w="496" w:type="dxa"/>
            <w:vMerge w:val="continue"/>
            <w:tcBorders>
              <w:top w:val="nil"/>
              <w:bottom w:val="nil"/>
            </w:tcBorders>
            <w:vAlign w:val="top"/>
          </w:tcPr>
          <w:p w14:paraId="6531AB62">
            <w:pPr>
              <w:rPr>
                <w:rFonts w:ascii="Arial"/>
                <w:sz w:val="21"/>
              </w:rPr>
            </w:pPr>
          </w:p>
        </w:tc>
        <w:tc>
          <w:tcPr>
            <w:tcW w:w="1316" w:type="dxa"/>
            <w:gridSpan w:val="2"/>
            <w:vAlign w:val="top"/>
          </w:tcPr>
          <w:p w14:paraId="360D21A9">
            <w:pPr>
              <w:spacing w:before="8" w:line="210" w:lineRule="auto"/>
              <w:ind w:left="618"/>
              <w:rPr>
                <w:rFonts w:ascii="Constantia" w:hAnsi="Constantia" w:eastAsia="Constantia" w:cs="Constantia"/>
                <w:sz w:val="11"/>
                <w:szCs w:val="11"/>
              </w:rPr>
            </w:pPr>
            <w:r>
              <w:rPr>
                <w:rFonts w:ascii="Constantia" w:hAnsi="Constantia" w:eastAsia="Constantia" w:cs="Constantia"/>
                <w:b/>
                <w:bCs/>
                <w:sz w:val="11"/>
                <w:szCs w:val="11"/>
              </w:rPr>
              <w:t>2</w:t>
            </w:r>
          </w:p>
        </w:tc>
        <w:tc>
          <w:tcPr>
            <w:tcW w:w="846" w:type="dxa"/>
            <w:vAlign w:val="top"/>
          </w:tcPr>
          <w:p w14:paraId="024BC643">
            <w:pPr>
              <w:pStyle w:val="6"/>
              <w:spacing w:before="19" w:line="179" w:lineRule="auto"/>
              <w:ind w:left="254"/>
              <w:rPr>
                <w:sz w:val="11"/>
                <w:szCs w:val="11"/>
              </w:rPr>
            </w:pPr>
            <w:r>
              <w:rPr>
                <w:b/>
                <w:bCs/>
                <w:spacing w:val="-3"/>
                <w:sz w:val="11"/>
                <w:szCs w:val="11"/>
              </w:rPr>
              <w:t>除尘灰</w:t>
            </w:r>
          </w:p>
        </w:tc>
        <w:tc>
          <w:tcPr>
            <w:tcW w:w="2294" w:type="dxa"/>
            <w:gridSpan w:val="2"/>
            <w:vAlign w:val="top"/>
          </w:tcPr>
          <w:p w14:paraId="2CB2CEA2">
            <w:pPr>
              <w:pStyle w:val="6"/>
              <w:spacing w:before="19" w:line="179" w:lineRule="auto"/>
              <w:ind w:left="925"/>
              <w:rPr>
                <w:sz w:val="11"/>
                <w:szCs w:val="11"/>
              </w:rPr>
            </w:pPr>
            <w:r>
              <w:rPr>
                <w:b/>
                <w:bCs/>
                <w:spacing w:val="-3"/>
                <w:sz w:val="11"/>
                <w:szCs w:val="11"/>
              </w:rPr>
              <w:t>除尘系统</w:t>
            </w:r>
          </w:p>
        </w:tc>
        <w:tc>
          <w:tcPr>
            <w:tcW w:w="2103" w:type="dxa"/>
            <w:gridSpan w:val="2"/>
            <w:vAlign w:val="top"/>
          </w:tcPr>
          <w:p w14:paraId="67CDDA22">
            <w:pPr>
              <w:pStyle w:val="6"/>
              <w:spacing w:before="19" w:line="179" w:lineRule="auto"/>
              <w:ind w:left="1019"/>
              <w:rPr>
                <w:sz w:val="11"/>
                <w:szCs w:val="11"/>
              </w:rPr>
            </w:pPr>
            <w:r>
              <w:rPr>
                <w:b/>
                <w:bCs/>
                <w:spacing w:val="-2"/>
                <w:sz w:val="11"/>
                <w:szCs w:val="11"/>
              </w:rPr>
              <w:t>/</w:t>
            </w:r>
          </w:p>
        </w:tc>
        <w:tc>
          <w:tcPr>
            <w:tcW w:w="1069" w:type="dxa"/>
            <w:vAlign w:val="top"/>
          </w:tcPr>
          <w:p w14:paraId="410C9D51">
            <w:pPr>
              <w:spacing w:before="8" w:line="210" w:lineRule="auto"/>
              <w:ind w:left="513"/>
              <w:rPr>
                <w:rFonts w:ascii="Constantia" w:hAnsi="Constantia" w:eastAsia="Constantia" w:cs="Constantia"/>
                <w:sz w:val="11"/>
                <w:szCs w:val="11"/>
              </w:rPr>
            </w:pPr>
            <w:r>
              <w:rPr>
                <w:rFonts w:ascii="Constantia" w:hAnsi="Constantia" w:eastAsia="Constantia" w:cs="Constantia"/>
                <w:b/>
                <w:bCs/>
                <w:sz w:val="11"/>
                <w:szCs w:val="11"/>
              </w:rPr>
              <w:t>/</w:t>
            </w:r>
          </w:p>
        </w:tc>
        <w:tc>
          <w:tcPr>
            <w:tcW w:w="940" w:type="dxa"/>
            <w:vAlign w:val="top"/>
          </w:tcPr>
          <w:p w14:paraId="7AC84D0D">
            <w:pPr>
              <w:spacing w:before="8" w:line="210" w:lineRule="auto"/>
              <w:ind w:left="372"/>
              <w:rPr>
                <w:rFonts w:ascii="Constantia" w:hAnsi="Constantia" w:eastAsia="Constantia" w:cs="Constantia"/>
                <w:sz w:val="11"/>
                <w:szCs w:val="11"/>
              </w:rPr>
            </w:pPr>
            <w:r>
              <w:rPr>
                <w:rFonts w:ascii="Constantia" w:hAnsi="Constantia" w:eastAsia="Constantia" w:cs="Constantia"/>
                <w:b/>
                <w:bCs/>
                <w:spacing w:val="-2"/>
                <w:sz w:val="11"/>
                <w:szCs w:val="11"/>
              </w:rPr>
              <w:t>95.9</w:t>
            </w:r>
          </w:p>
        </w:tc>
        <w:tc>
          <w:tcPr>
            <w:tcW w:w="873" w:type="dxa"/>
            <w:vAlign w:val="top"/>
          </w:tcPr>
          <w:p w14:paraId="492934D5">
            <w:pPr>
              <w:spacing w:before="8" w:line="210" w:lineRule="auto"/>
              <w:ind w:left="417"/>
              <w:rPr>
                <w:rFonts w:ascii="Constantia" w:hAnsi="Constantia" w:eastAsia="Constantia" w:cs="Constantia"/>
                <w:sz w:val="11"/>
                <w:szCs w:val="11"/>
              </w:rPr>
            </w:pPr>
            <w:r>
              <w:rPr>
                <w:rFonts w:ascii="Constantia" w:hAnsi="Constantia" w:eastAsia="Constantia" w:cs="Constantia"/>
                <w:b/>
                <w:bCs/>
                <w:sz w:val="11"/>
                <w:szCs w:val="11"/>
              </w:rPr>
              <w:t>/</w:t>
            </w:r>
          </w:p>
        </w:tc>
        <w:tc>
          <w:tcPr>
            <w:tcW w:w="983" w:type="dxa"/>
            <w:vAlign w:val="top"/>
          </w:tcPr>
          <w:p w14:paraId="3AD632E4">
            <w:pPr>
              <w:spacing w:before="8" w:line="210" w:lineRule="auto"/>
              <w:ind w:left="472"/>
              <w:rPr>
                <w:rFonts w:ascii="Constantia" w:hAnsi="Constantia" w:eastAsia="Constantia" w:cs="Constantia"/>
                <w:sz w:val="11"/>
                <w:szCs w:val="11"/>
              </w:rPr>
            </w:pPr>
            <w:r>
              <w:rPr>
                <w:rFonts w:ascii="Constantia" w:hAnsi="Constantia" w:eastAsia="Constantia" w:cs="Constantia"/>
                <w:b/>
                <w:bCs/>
                <w:sz w:val="11"/>
                <w:szCs w:val="11"/>
              </w:rPr>
              <w:t>/</w:t>
            </w:r>
          </w:p>
        </w:tc>
        <w:tc>
          <w:tcPr>
            <w:tcW w:w="1079" w:type="dxa"/>
            <w:vAlign w:val="top"/>
          </w:tcPr>
          <w:p w14:paraId="67864C2C">
            <w:pPr>
              <w:spacing w:before="19" w:line="107" w:lineRule="exact"/>
              <w:ind w:left="146"/>
              <w:rPr>
                <w:rFonts w:ascii="微软雅黑" w:hAnsi="微软雅黑" w:eastAsia="微软雅黑" w:cs="微软雅黑"/>
                <w:sz w:val="11"/>
                <w:szCs w:val="11"/>
              </w:rPr>
            </w:pPr>
            <w:r>
              <w:rPr>
                <w:rFonts w:ascii="微软雅黑" w:hAnsi="微软雅黑" w:eastAsia="微软雅黑" w:cs="微软雅黑"/>
                <w:b/>
                <w:bCs/>
                <w:spacing w:val="2"/>
                <w:position w:val="-1"/>
                <w:sz w:val="11"/>
                <w:szCs w:val="11"/>
              </w:rPr>
              <w:t>作为原料再利用</w:t>
            </w:r>
          </w:p>
        </w:tc>
        <w:tc>
          <w:tcPr>
            <w:tcW w:w="1182" w:type="dxa"/>
            <w:gridSpan w:val="2"/>
            <w:vAlign w:val="top"/>
          </w:tcPr>
          <w:p w14:paraId="737E0554">
            <w:pPr>
              <w:pStyle w:val="6"/>
              <w:spacing w:before="19" w:line="179" w:lineRule="auto"/>
              <w:ind w:left="565"/>
              <w:rPr>
                <w:sz w:val="11"/>
                <w:szCs w:val="11"/>
              </w:rPr>
            </w:pPr>
            <w:r>
              <w:rPr>
                <w:b/>
                <w:bCs/>
                <w:spacing w:val="-2"/>
                <w:sz w:val="11"/>
                <w:szCs w:val="11"/>
              </w:rPr>
              <w:t>/</w:t>
            </w:r>
          </w:p>
        </w:tc>
        <w:tc>
          <w:tcPr>
            <w:tcW w:w="622" w:type="dxa"/>
            <w:tcBorders>
              <w:right w:val="single" w:color="000000" w:sz="6" w:space="0"/>
            </w:tcBorders>
            <w:vAlign w:val="top"/>
          </w:tcPr>
          <w:p w14:paraId="07296A27">
            <w:pPr>
              <w:pStyle w:val="6"/>
              <w:spacing w:before="19" w:line="179" w:lineRule="auto"/>
              <w:ind w:left="261"/>
              <w:rPr>
                <w:sz w:val="11"/>
                <w:szCs w:val="11"/>
              </w:rPr>
            </w:pPr>
            <w:r>
              <w:rPr>
                <w:b/>
                <w:bCs/>
                <w:spacing w:val="-2"/>
                <w:sz w:val="11"/>
                <w:szCs w:val="11"/>
              </w:rPr>
              <w:t>否</w:t>
            </w:r>
          </w:p>
        </w:tc>
      </w:tr>
      <w:tr w14:paraId="2DC3E5E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50" w:hRule="atLeast"/>
        </w:trPr>
        <w:tc>
          <w:tcPr>
            <w:tcW w:w="622" w:type="dxa"/>
            <w:vMerge w:val="continue"/>
            <w:tcBorders>
              <w:top w:val="nil"/>
              <w:left w:val="single" w:color="000000" w:sz="6" w:space="0"/>
              <w:bottom w:val="nil"/>
            </w:tcBorders>
            <w:vAlign w:val="top"/>
          </w:tcPr>
          <w:p w14:paraId="27348F82">
            <w:pPr>
              <w:rPr>
                <w:rFonts w:ascii="Arial"/>
                <w:sz w:val="21"/>
              </w:rPr>
            </w:pPr>
          </w:p>
        </w:tc>
        <w:tc>
          <w:tcPr>
            <w:tcW w:w="496" w:type="dxa"/>
            <w:vMerge w:val="continue"/>
            <w:tcBorders>
              <w:top w:val="nil"/>
            </w:tcBorders>
            <w:vAlign w:val="top"/>
          </w:tcPr>
          <w:p w14:paraId="780AE3B8">
            <w:pPr>
              <w:rPr>
                <w:rFonts w:ascii="Arial"/>
                <w:sz w:val="21"/>
              </w:rPr>
            </w:pPr>
          </w:p>
        </w:tc>
        <w:tc>
          <w:tcPr>
            <w:tcW w:w="1316" w:type="dxa"/>
            <w:gridSpan w:val="2"/>
            <w:vAlign w:val="top"/>
          </w:tcPr>
          <w:p w14:paraId="2218D514">
            <w:pPr>
              <w:spacing w:before="12" w:line="227" w:lineRule="auto"/>
              <w:ind w:left="620"/>
              <w:rPr>
                <w:rFonts w:ascii="Constantia" w:hAnsi="Constantia" w:eastAsia="Constantia" w:cs="Constantia"/>
                <w:sz w:val="11"/>
                <w:szCs w:val="11"/>
              </w:rPr>
            </w:pPr>
            <w:r>
              <w:rPr>
                <w:rFonts w:ascii="Constantia" w:hAnsi="Constantia" w:eastAsia="Constantia" w:cs="Constantia"/>
                <w:b/>
                <w:bCs/>
                <w:spacing w:val="1"/>
                <w:sz w:val="11"/>
                <w:szCs w:val="11"/>
              </w:rPr>
              <w:t>3</w:t>
            </w:r>
          </w:p>
        </w:tc>
        <w:tc>
          <w:tcPr>
            <w:tcW w:w="846" w:type="dxa"/>
            <w:vAlign w:val="top"/>
          </w:tcPr>
          <w:p w14:paraId="2FCAF9F8">
            <w:pPr>
              <w:pStyle w:val="6"/>
              <w:spacing w:before="26" w:line="191" w:lineRule="auto"/>
              <w:ind w:left="80"/>
              <w:rPr>
                <w:sz w:val="11"/>
                <w:szCs w:val="11"/>
              </w:rPr>
            </w:pPr>
            <w:r>
              <w:rPr>
                <w:b/>
                <w:bCs/>
                <w:spacing w:val="-1"/>
                <w:sz w:val="11"/>
                <w:szCs w:val="11"/>
              </w:rPr>
              <w:t>尾矿回水污泥</w:t>
            </w:r>
          </w:p>
        </w:tc>
        <w:tc>
          <w:tcPr>
            <w:tcW w:w="2294" w:type="dxa"/>
            <w:gridSpan w:val="2"/>
            <w:vAlign w:val="top"/>
          </w:tcPr>
          <w:p w14:paraId="13C53D57">
            <w:pPr>
              <w:pStyle w:val="6"/>
              <w:spacing w:before="26" w:line="191" w:lineRule="auto"/>
              <w:ind w:left="863"/>
              <w:rPr>
                <w:sz w:val="11"/>
                <w:szCs w:val="11"/>
              </w:rPr>
            </w:pPr>
            <w:r>
              <w:rPr>
                <w:b/>
                <w:bCs/>
                <w:spacing w:val="-1"/>
                <w:sz w:val="11"/>
                <w:szCs w:val="11"/>
              </w:rPr>
              <w:t>尾矿回水池</w:t>
            </w:r>
          </w:p>
        </w:tc>
        <w:tc>
          <w:tcPr>
            <w:tcW w:w="2103" w:type="dxa"/>
            <w:gridSpan w:val="2"/>
            <w:vAlign w:val="top"/>
          </w:tcPr>
          <w:p w14:paraId="4DD94DB2">
            <w:pPr>
              <w:pStyle w:val="6"/>
              <w:spacing w:before="26" w:line="191" w:lineRule="auto"/>
              <w:ind w:left="1019"/>
              <w:rPr>
                <w:sz w:val="11"/>
                <w:szCs w:val="11"/>
              </w:rPr>
            </w:pPr>
            <w:r>
              <w:rPr>
                <w:b/>
                <w:bCs/>
                <w:spacing w:val="-2"/>
                <w:sz w:val="11"/>
                <w:szCs w:val="11"/>
              </w:rPr>
              <w:t>/</w:t>
            </w:r>
          </w:p>
        </w:tc>
        <w:tc>
          <w:tcPr>
            <w:tcW w:w="1069" w:type="dxa"/>
            <w:vAlign w:val="top"/>
          </w:tcPr>
          <w:p w14:paraId="207846EF">
            <w:pPr>
              <w:spacing w:before="12" w:line="227" w:lineRule="auto"/>
              <w:ind w:left="513"/>
              <w:rPr>
                <w:rFonts w:ascii="Constantia" w:hAnsi="Constantia" w:eastAsia="Constantia" w:cs="Constantia"/>
                <w:sz w:val="11"/>
                <w:szCs w:val="11"/>
              </w:rPr>
            </w:pPr>
            <w:r>
              <w:rPr>
                <w:rFonts w:ascii="Constantia" w:hAnsi="Constantia" w:eastAsia="Constantia" w:cs="Constantia"/>
                <w:b/>
                <w:bCs/>
                <w:sz w:val="11"/>
                <w:szCs w:val="11"/>
              </w:rPr>
              <w:t>/</w:t>
            </w:r>
          </w:p>
        </w:tc>
        <w:tc>
          <w:tcPr>
            <w:tcW w:w="940" w:type="dxa"/>
            <w:vAlign w:val="top"/>
          </w:tcPr>
          <w:p w14:paraId="0E3C143A">
            <w:pPr>
              <w:spacing w:before="12" w:line="227" w:lineRule="auto"/>
              <w:ind w:left="387"/>
              <w:rPr>
                <w:rFonts w:ascii="Constantia" w:hAnsi="Constantia" w:eastAsia="Constantia" w:cs="Constantia"/>
                <w:sz w:val="11"/>
                <w:szCs w:val="11"/>
              </w:rPr>
            </w:pPr>
            <w:r>
              <w:rPr>
                <w:rFonts w:ascii="Constantia" w:hAnsi="Constantia" w:eastAsia="Constantia" w:cs="Constantia"/>
                <w:b/>
                <w:bCs/>
                <w:spacing w:val="-2"/>
                <w:sz w:val="11"/>
                <w:szCs w:val="11"/>
              </w:rPr>
              <w:t>500</w:t>
            </w:r>
          </w:p>
        </w:tc>
        <w:tc>
          <w:tcPr>
            <w:tcW w:w="873" w:type="dxa"/>
            <w:vAlign w:val="top"/>
          </w:tcPr>
          <w:p w14:paraId="5DD08936">
            <w:pPr>
              <w:pStyle w:val="6"/>
              <w:spacing w:before="26" w:line="191" w:lineRule="auto"/>
              <w:ind w:left="270"/>
              <w:rPr>
                <w:sz w:val="11"/>
                <w:szCs w:val="11"/>
              </w:rPr>
            </w:pPr>
            <w:r>
              <w:rPr>
                <w:b/>
                <w:bCs/>
                <w:spacing w:val="-1"/>
                <w:sz w:val="11"/>
                <w:szCs w:val="11"/>
              </w:rPr>
              <w:t>尾矿库</w:t>
            </w:r>
          </w:p>
        </w:tc>
        <w:tc>
          <w:tcPr>
            <w:tcW w:w="983" w:type="dxa"/>
            <w:vAlign w:val="top"/>
          </w:tcPr>
          <w:p w14:paraId="5C5481BA">
            <w:pPr>
              <w:spacing w:before="36" w:line="83" w:lineRule="exact"/>
              <w:ind w:left="237"/>
              <w:rPr>
                <w:rFonts w:ascii="Constantia" w:hAnsi="Constantia" w:eastAsia="Constantia" w:cs="Constantia"/>
                <w:sz w:val="11"/>
                <w:szCs w:val="11"/>
              </w:rPr>
            </w:pPr>
            <w:r>
              <w:rPr>
                <w:rFonts w:ascii="Constantia" w:hAnsi="Constantia" w:eastAsia="Constantia" w:cs="Constantia"/>
                <w:b/>
                <w:bCs/>
                <w:spacing w:val="-3"/>
                <w:position w:val="1"/>
                <w:sz w:val="11"/>
                <w:szCs w:val="11"/>
              </w:rPr>
              <w:t>9934100m³</w:t>
            </w:r>
          </w:p>
        </w:tc>
        <w:tc>
          <w:tcPr>
            <w:tcW w:w="1079" w:type="dxa"/>
            <w:vAlign w:val="top"/>
          </w:tcPr>
          <w:p w14:paraId="11C64904">
            <w:pPr>
              <w:spacing w:before="26" w:line="113" w:lineRule="exact"/>
              <w:ind w:left="511"/>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182" w:type="dxa"/>
            <w:gridSpan w:val="2"/>
            <w:vAlign w:val="top"/>
          </w:tcPr>
          <w:p w14:paraId="602F163F">
            <w:pPr>
              <w:pStyle w:val="6"/>
              <w:spacing w:before="26" w:line="191" w:lineRule="auto"/>
              <w:ind w:left="565"/>
              <w:rPr>
                <w:sz w:val="11"/>
                <w:szCs w:val="11"/>
              </w:rPr>
            </w:pPr>
            <w:r>
              <w:rPr>
                <w:b/>
                <w:bCs/>
                <w:spacing w:val="-2"/>
                <w:sz w:val="11"/>
                <w:szCs w:val="11"/>
              </w:rPr>
              <w:t>/</w:t>
            </w:r>
          </w:p>
        </w:tc>
        <w:tc>
          <w:tcPr>
            <w:tcW w:w="622" w:type="dxa"/>
            <w:tcBorders>
              <w:right w:val="single" w:color="000000" w:sz="6" w:space="0"/>
            </w:tcBorders>
            <w:vAlign w:val="top"/>
          </w:tcPr>
          <w:p w14:paraId="787D1294">
            <w:pPr>
              <w:pStyle w:val="6"/>
              <w:spacing w:before="26" w:line="191" w:lineRule="auto"/>
              <w:ind w:left="259"/>
              <w:rPr>
                <w:sz w:val="11"/>
                <w:szCs w:val="11"/>
              </w:rPr>
            </w:pPr>
            <w:r>
              <w:rPr>
                <w:b/>
                <w:bCs/>
                <w:spacing w:val="-2"/>
                <w:sz w:val="11"/>
                <w:szCs w:val="11"/>
              </w:rPr>
              <w:t>是</w:t>
            </w:r>
          </w:p>
        </w:tc>
      </w:tr>
      <w:tr w14:paraId="1D740A9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50" w:hRule="atLeast"/>
        </w:trPr>
        <w:tc>
          <w:tcPr>
            <w:tcW w:w="622" w:type="dxa"/>
            <w:vMerge w:val="continue"/>
            <w:tcBorders>
              <w:top w:val="nil"/>
              <w:left w:val="single" w:color="000000" w:sz="6" w:space="0"/>
              <w:bottom w:val="nil"/>
            </w:tcBorders>
            <w:vAlign w:val="top"/>
          </w:tcPr>
          <w:p w14:paraId="7B67E4DA">
            <w:pPr>
              <w:rPr>
                <w:rFonts w:ascii="Arial"/>
                <w:sz w:val="21"/>
              </w:rPr>
            </w:pPr>
          </w:p>
        </w:tc>
        <w:tc>
          <w:tcPr>
            <w:tcW w:w="496" w:type="dxa"/>
            <w:vMerge w:val="restart"/>
            <w:tcBorders>
              <w:bottom w:val="nil"/>
            </w:tcBorders>
            <w:shd w:val="clear" w:color="auto" w:fill="BFBFBF"/>
            <w:vAlign w:val="top"/>
          </w:tcPr>
          <w:p w14:paraId="40811248">
            <w:pPr>
              <w:spacing w:before="31" w:line="181" w:lineRule="auto"/>
              <w:ind w:left="31"/>
              <w:rPr>
                <w:rFonts w:ascii="微软雅黑" w:hAnsi="微软雅黑" w:eastAsia="微软雅黑" w:cs="微软雅黑"/>
                <w:sz w:val="13"/>
                <w:szCs w:val="13"/>
              </w:rPr>
            </w:pPr>
            <w:r>
              <w:rPr>
                <w:rFonts w:ascii="微软雅黑" w:hAnsi="微软雅黑" w:eastAsia="微软雅黑" w:cs="微软雅黑"/>
                <w:b/>
                <w:bCs/>
                <w:spacing w:val="5"/>
                <w:sz w:val="13"/>
                <w:szCs w:val="13"/>
              </w:rPr>
              <w:t>危险废</w:t>
            </w:r>
          </w:p>
          <w:p w14:paraId="1A36827D">
            <w:pPr>
              <w:spacing w:line="142" w:lineRule="exact"/>
              <w:ind w:left="169"/>
              <w:rPr>
                <w:rFonts w:ascii="微软雅黑" w:hAnsi="微软雅黑" w:eastAsia="微软雅黑" w:cs="微软雅黑"/>
                <w:sz w:val="13"/>
                <w:szCs w:val="13"/>
              </w:rPr>
            </w:pPr>
            <w:r>
              <w:rPr>
                <w:rFonts w:ascii="微软雅黑" w:hAnsi="微软雅黑" w:eastAsia="微软雅黑" w:cs="微软雅黑"/>
                <w:b/>
                <w:bCs/>
                <w:spacing w:val="1"/>
                <w:sz w:val="13"/>
                <w:szCs w:val="13"/>
              </w:rPr>
              <w:t>物</w:t>
            </w:r>
          </w:p>
        </w:tc>
        <w:tc>
          <w:tcPr>
            <w:tcW w:w="1316" w:type="dxa"/>
            <w:gridSpan w:val="2"/>
            <w:vAlign w:val="top"/>
          </w:tcPr>
          <w:p w14:paraId="43646449">
            <w:pPr>
              <w:spacing w:before="15" w:line="222" w:lineRule="auto"/>
              <w:ind w:left="629"/>
              <w:rPr>
                <w:rFonts w:ascii="Constantia" w:hAnsi="Constantia" w:eastAsia="Constantia" w:cs="Constantia"/>
                <w:sz w:val="11"/>
                <w:szCs w:val="11"/>
              </w:rPr>
            </w:pPr>
            <w:r>
              <w:rPr>
                <w:rFonts w:ascii="Constantia" w:hAnsi="Constantia" w:eastAsia="Constantia" w:cs="Constantia"/>
                <w:b/>
                <w:bCs/>
                <w:spacing w:val="2"/>
                <w:sz w:val="11"/>
                <w:szCs w:val="11"/>
              </w:rPr>
              <w:t>1</w:t>
            </w:r>
          </w:p>
        </w:tc>
        <w:tc>
          <w:tcPr>
            <w:tcW w:w="846" w:type="dxa"/>
            <w:vAlign w:val="top"/>
          </w:tcPr>
          <w:p w14:paraId="76F0B773">
            <w:pPr>
              <w:pStyle w:val="6"/>
              <w:spacing w:before="26" w:line="190" w:lineRule="auto"/>
              <w:ind w:left="137"/>
              <w:rPr>
                <w:sz w:val="11"/>
                <w:szCs w:val="11"/>
              </w:rPr>
            </w:pPr>
            <w:r>
              <w:rPr>
                <w:b/>
                <w:bCs/>
                <w:spacing w:val="-1"/>
                <w:sz w:val="11"/>
                <w:szCs w:val="11"/>
              </w:rPr>
              <w:t>废包装材料</w:t>
            </w:r>
          </w:p>
        </w:tc>
        <w:tc>
          <w:tcPr>
            <w:tcW w:w="2294" w:type="dxa"/>
            <w:gridSpan w:val="2"/>
            <w:vAlign w:val="top"/>
          </w:tcPr>
          <w:p w14:paraId="4CA6A59A">
            <w:pPr>
              <w:pStyle w:val="6"/>
              <w:spacing w:before="26" w:line="190" w:lineRule="auto"/>
              <w:ind w:left="918"/>
              <w:rPr>
                <w:sz w:val="11"/>
                <w:szCs w:val="11"/>
              </w:rPr>
            </w:pPr>
            <w:r>
              <w:rPr>
                <w:b/>
                <w:bCs/>
                <w:spacing w:val="-1"/>
                <w:sz w:val="11"/>
                <w:szCs w:val="11"/>
              </w:rPr>
              <w:t>加药系统</w:t>
            </w:r>
          </w:p>
        </w:tc>
        <w:tc>
          <w:tcPr>
            <w:tcW w:w="2103" w:type="dxa"/>
            <w:gridSpan w:val="2"/>
            <w:vAlign w:val="top"/>
          </w:tcPr>
          <w:p w14:paraId="7590C01C">
            <w:pPr>
              <w:pStyle w:val="6"/>
              <w:spacing w:before="26" w:line="190" w:lineRule="auto"/>
              <w:ind w:left="716"/>
              <w:rPr>
                <w:sz w:val="11"/>
                <w:szCs w:val="11"/>
              </w:rPr>
            </w:pPr>
            <w:r>
              <w:rPr>
                <w:b/>
                <w:bCs/>
                <w:spacing w:val="-1"/>
                <w:sz w:val="11"/>
                <w:szCs w:val="11"/>
              </w:rPr>
              <w:t>毒性、易燃性</w:t>
            </w:r>
          </w:p>
        </w:tc>
        <w:tc>
          <w:tcPr>
            <w:tcW w:w="1069" w:type="dxa"/>
            <w:vAlign w:val="top"/>
          </w:tcPr>
          <w:p w14:paraId="2845501D">
            <w:pPr>
              <w:spacing w:before="15" w:line="222" w:lineRule="auto"/>
              <w:ind w:left="270"/>
              <w:rPr>
                <w:rFonts w:ascii="Constantia" w:hAnsi="Constantia" w:eastAsia="Constantia" w:cs="Constantia"/>
                <w:sz w:val="11"/>
                <w:szCs w:val="11"/>
              </w:rPr>
            </w:pPr>
            <w:r>
              <w:rPr>
                <w:rFonts w:ascii="Constantia" w:hAnsi="Constantia" w:eastAsia="Constantia" w:cs="Constantia"/>
                <w:b/>
                <w:bCs/>
                <w:spacing w:val="-3"/>
                <w:sz w:val="11"/>
                <w:szCs w:val="11"/>
              </w:rPr>
              <w:t>900-047-49</w:t>
            </w:r>
          </w:p>
        </w:tc>
        <w:tc>
          <w:tcPr>
            <w:tcW w:w="940" w:type="dxa"/>
            <w:vAlign w:val="top"/>
          </w:tcPr>
          <w:p w14:paraId="0477BCE0">
            <w:pPr>
              <w:spacing w:before="15" w:line="222" w:lineRule="auto"/>
              <w:ind w:left="407"/>
              <w:rPr>
                <w:rFonts w:ascii="Constantia" w:hAnsi="Constantia" w:eastAsia="Constantia" w:cs="Constantia"/>
                <w:sz w:val="11"/>
                <w:szCs w:val="11"/>
              </w:rPr>
            </w:pPr>
            <w:r>
              <w:rPr>
                <w:rFonts w:ascii="Constantia" w:hAnsi="Constantia" w:eastAsia="Constantia" w:cs="Constantia"/>
                <w:b/>
                <w:bCs/>
                <w:spacing w:val="-1"/>
                <w:sz w:val="11"/>
                <w:szCs w:val="11"/>
              </w:rPr>
              <w:t>1.8</w:t>
            </w:r>
          </w:p>
        </w:tc>
        <w:tc>
          <w:tcPr>
            <w:tcW w:w="873" w:type="dxa"/>
            <w:vAlign w:val="top"/>
          </w:tcPr>
          <w:p w14:paraId="2E3FC7DF">
            <w:pPr>
              <w:pStyle w:val="6"/>
              <w:spacing w:before="26" w:line="190" w:lineRule="auto"/>
              <w:ind w:left="158"/>
              <w:rPr>
                <w:sz w:val="11"/>
                <w:szCs w:val="11"/>
              </w:rPr>
            </w:pPr>
            <w:r>
              <w:rPr>
                <w:b/>
                <w:bCs/>
                <w:spacing w:val="-1"/>
                <w:sz w:val="11"/>
                <w:szCs w:val="11"/>
              </w:rPr>
              <w:t>危废暂存间</w:t>
            </w:r>
          </w:p>
        </w:tc>
        <w:tc>
          <w:tcPr>
            <w:tcW w:w="983" w:type="dxa"/>
            <w:vAlign w:val="top"/>
          </w:tcPr>
          <w:p w14:paraId="2022BCA8">
            <w:pPr>
              <w:pStyle w:val="6"/>
              <w:spacing w:before="16" w:line="208" w:lineRule="auto"/>
              <w:ind w:left="379"/>
              <w:rPr>
                <w:sz w:val="11"/>
                <w:szCs w:val="11"/>
              </w:rPr>
            </w:pPr>
            <w:r>
              <w:rPr>
                <w:rFonts w:ascii="Constantia" w:hAnsi="Constantia" w:eastAsia="Constantia" w:cs="Constantia"/>
                <w:b/>
                <w:bCs/>
                <w:spacing w:val="-3"/>
                <w:sz w:val="11"/>
                <w:szCs w:val="11"/>
              </w:rPr>
              <w:t>20</w:t>
            </w:r>
            <w:r>
              <w:rPr>
                <w:b/>
                <w:bCs/>
                <w:spacing w:val="-3"/>
                <w:sz w:val="11"/>
                <w:szCs w:val="11"/>
              </w:rPr>
              <w:t>㎡</w:t>
            </w:r>
          </w:p>
        </w:tc>
        <w:tc>
          <w:tcPr>
            <w:tcW w:w="1079" w:type="dxa"/>
            <w:vAlign w:val="top"/>
          </w:tcPr>
          <w:p w14:paraId="122C533D">
            <w:pPr>
              <w:spacing w:before="26" w:line="113" w:lineRule="exact"/>
              <w:ind w:left="511"/>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182" w:type="dxa"/>
            <w:gridSpan w:val="2"/>
            <w:vAlign w:val="top"/>
          </w:tcPr>
          <w:p w14:paraId="509E7E0F">
            <w:pPr>
              <w:pStyle w:val="6"/>
              <w:spacing w:before="26" w:line="190" w:lineRule="auto"/>
              <w:ind w:left="565"/>
              <w:rPr>
                <w:sz w:val="11"/>
                <w:szCs w:val="11"/>
              </w:rPr>
            </w:pPr>
            <w:r>
              <w:rPr>
                <w:b/>
                <w:bCs/>
                <w:spacing w:val="-2"/>
                <w:sz w:val="11"/>
                <w:szCs w:val="11"/>
              </w:rPr>
              <w:t>/</w:t>
            </w:r>
          </w:p>
        </w:tc>
        <w:tc>
          <w:tcPr>
            <w:tcW w:w="622" w:type="dxa"/>
            <w:tcBorders>
              <w:right w:val="single" w:color="000000" w:sz="6" w:space="0"/>
            </w:tcBorders>
            <w:vAlign w:val="top"/>
          </w:tcPr>
          <w:p w14:paraId="0BBCD28B">
            <w:pPr>
              <w:pStyle w:val="6"/>
              <w:spacing w:before="26" w:line="190" w:lineRule="auto"/>
              <w:ind w:left="259"/>
              <w:rPr>
                <w:sz w:val="11"/>
                <w:szCs w:val="11"/>
              </w:rPr>
            </w:pPr>
            <w:r>
              <w:rPr>
                <w:b/>
                <w:bCs/>
                <w:spacing w:val="-2"/>
                <w:sz w:val="11"/>
                <w:szCs w:val="11"/>
              </w:rPr>
              <w:t>是</w:t>
            </w:r>
          </w:p>
        </w:tc>
      </w:tr>
      <w:tr w14:paraId="7545F8D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78" w:hRule="atLeast"/>
        </w:trPr>
        <w:tc>
          <w:tcPr>
            <w:tcW w:w="622" w:type="dxa"/>
            <w:vMerge w:val="continue"/>
            <w:tcBorders>
              <w:top w:val="nil"/>
              <w:left w:val="single" w:color="000000" w:sz="6" w:space="0"/>
              <w:bottom w:val="single" w:color="000000" w:sz="6" w:space="0"/>
            </w:tcBorders>
            <w:vAlign w:val="top"/>
          </w:tcPr>
          <w:p w14:paraId="4808CD4E">
            <w:pPr>
              <w:rPr>
                <w:rFonts w:ascii="Arial"/>
                <w:sz w:val="21"/>
              </w:rPr>
            </w:pPr>
          </w:p>
        </w:tc>
        <w:tc>
          <w:tcPr>
            <w:tcW w:w="496" w:type="dxa"/>
            <w:vMerge w:val="continue"/>
            <w:tcBorders>
              <w:top w:val="nil"/>
              <w:bottom w:val="nil"/>
            </w:tcBorders>
            <w:vAlign w:val="top"/>
          </w:tcPr>
          <w:p w14:paraId="3647FD37">
            <w:pPr>
              <w:rPr>
                <w:rFonts w:ascii="Arial"/>
                <w:sz w:val="21"/>
              </w:rPr>
            </w:pPr>
          </w:p>
        </w:tc>
        <w:tc>
          <w:tcPr>
            <w:tcW w:w="1316" w:type="dxa"/>
            <w:gridSpan w:val="2"/>
            <w:tcBorders>
              <w:bottom w:val="single" w:color="000000" w:sz="6" w:space="0"/>
            </w:tcBorders>
            <w:vAlign w:val="top"/>
          </w:tcPr>
          <w:p w14:paraId="6B6A8B70">
            <w:pPr>
              <w:spacing w:before="25" w:line="143" w:lineRule="exact"/>
              <w:ind w:left="618"/>
              <w:rPr>
                <w:rFonts w:ascii="Constantia" w:hAnsi="Constantia" w:eastAsia="Constantia" w:cs="Constantia"/>
                <w:sz w:val="11"/>
                <w:szCs w:val="11"/>
              </w:rPr>
            </w:pPr>
            <w:r>
              <w:rPr>
                <w:rFonts w:ascii="Constantia" w:hAnsi="Constantia" w:eastAsia="Constantia" w:cs="Constantia"/>
                <w:b/>
                <w:bCs/>
                <w:position w:val="2"/>
                <w:sz w:val="11"/>
                <w:szCs w:val="11"/>
              </w:rPr>
              <w:t>2</w:t>
            </w:r>
          </w:p>
        </w:tc>
        <w:tc>
          <w:tcPr>
            <w:tcW w:w="846" w:type="dxa"/>
            <w:tcBorders>
              <w:bottom w:val="single" w:color="000000" w:sz="6" w:space="0"/>
            </w:tcBorders>
            <w:vAlign w:val="top"/>
          </w:tcPr>
          <w:p w14:paraId="468FCB64">
            <w:pPr>
              <w:pStyle w:val="6"/>
              <w:spacing w:before="38" w:line="217" w:lineRule="auto"/>
              <w:ind w:left="247"/>
              <w:rPr>
                <w:sz w:val="11"/>
                <w:szCs w:val="11"/>
              </w:rPr>
            </w:pPr>
            <w:r>
              <w:rPr>
                <w:b/>
                <w:bCs/>
                <w:spacing w:val="-1"/>
                <w:sz w:val="11"/>
                <w:szCs w:val="11"/>
              </w:rPr>
              <w:t>废机油</w:t>
            </w:r>
          </w:p>
        </w:tc>
        <w:tc>
          <w:tcPr>
            <w:tcW w:w="2294" w:type="dxa"/>
            <w:gridSpan w:val="2"/>
            <w:tcBorders>
              <w:bottom w:val="single" w:color="000000" w:sz="6" w:space="0"/>
            </w:tcBorders>
            <w:vAlign w:val="top"/>
          </w:tcPr>
          <w:p w14:paraId="1C245608">
            <w:pPr>
              <w:pStyle w:val="6"/>
              <w:spacing w:before="38" w:line="217" w:lineRule="auto"/>
              <w:ind w:left="862"/>
              <w:rPr>
                <w:sz w:val="11"/>
                <w:szCs w:val="11"/>
              </w:rPr>
            </w:pPr>
            <w:r>
              <w:rPr>
                <w:b/>
                <w:bCs/>
                <w:spacing w:val="-1"/>
                <w:sz w:val="11"/>
                <w:szCs w:val="11"/>
              </w:rPr>
              <w:t>机加设备等</w:t>
            </w:r>
          </w:p>
        </w:tc>
        <w:tc>
          <w:tcPr>
            <w:tcW w:w="2103" w:type="dxa"/>
            <w:gridSpan w:val="2"/>
            <w:tcBorders>
              <w:bottom w:val="single" w:color="000000" w:sz="6" w:space="0"/>
            </w:tcBorders>
            <w:vAlign w:val="top"/>
          </w:tcPr>
          <w:p w14:paraId="07CF179C">
            <w:pPr>
              <w:pStyle w:val="6"/>
              <w:spacing w:before="38" w:line="217" w:lineRule="auto"/>
              <w:ind w:left="715"/>
              <w:rPr>
                <w:sz w:val="11"/>
                <w:szCs w:val="11"/>
              </w:rPr>
            </w:pPr>
            <w:r>
              <w:rPr>
                <w:b/>
                <w:bCs/>
                <w:spacing w:val="-1"/>
                <w:sz w:val="11"/>
                <w:szCs w:val="11"/>
              </w:rPr>
              <w:t>毒性、易燃性</w:t>
            </w:r>
          </w:p>
        </w:tc>
        <w:tc>
          <w:tcPr>
            <w:tcW w:w="1069" w:type="dxa"/>
            <w:tcBorders>
              <w:bottom w:val="single" w:color="000000" w:sz="6" w:space="0"/>
            </w:tcBorders>
            <w:vAlign w:val="top"/>
          </w:tcPr>
          <w:p w14:paraId="644B4C4F">
            <w:pPr>
              <w:spacing w:before="19" w:line="235" w:lineRule="auto"/>
              <w:ind w:left="242"/>
              <w:rPr>
                <w:rFonts w:ascii="Constantia" w:hAnsi="Constantia" w:eastAsia="Constantia" w:cs="Constantia"/>
                <w:sz w:val="12"/>
                <w:szCs w:val="12"/>
              </w:rPr>
            </w:pPr>
            <w:r>
              <w:rPr>
                <w:rFonts w:ascii="Constantia" w:hAnsi="Constantia" w:eastAsia="Constantia" w:cs="Constantia"/>
                <w:b/>
                <w:bCs/>
                <w:spacing w:val="-1"/>
                <w:sz w:val="12"/>
                <w:szCs w:val="12"/>
              </w:rPr>
              <w:t>900-214-08</w:t>
            </w:r>
          </w:p>
        </w:tc>
        <w:tc>
          <w:tcPr>
            <w:tcW w:w="940" w:type="dxa"/>
            <w:tcBorders>
              <w:bottom w:val="single" w:color="000000" w:sz="6" w:space="0"/>
            </w:tcBorders>
            <w:vAlign w:val="top"/>
          </w:tcPr>
          <w:p w14:paraId="3B56B381">
            <w:pPr>
              <w:spacing w:before="25" w:line="143" w:lineRule="exact"/>
              <w:ind w:left="451"/>
              <w:rPr>
                <w:rFonts w:ascii="Constantia" w:hAnsi="Constantia" w:eastAsia="Constantia" w:cs="Constantia"/>
                <w:sz w:val="11"/>
                <w:szCs w:val="11"/>
              </w:rPr>
            </w:pPr>
            <w:r>
              <w:rPr>
                <w:rFonts w:ascii="Constantia" w:hAnsi="Constantia" w:eastAsia="Constantia" w:cs="Constantia"/>
                <w:b/>
                <w:bCs/>
                <w:spacing w:val="2"/>
                <w:position w:val="2"/>
                <w:sz w:val="11"/>
                <w:szCs w:val="11"/>
              </w:rPr>
              <w:t>1</w:t>
            </w:r>
          </w:p>
        </w:tc>
        <w:tc>
          <w:tcPr>
            <w:tcW w:w="873" w:type="dxa"/>
            <w:tcBorders>
              <w:bottom w:val="single" w:color="000000" w:sz="6" w:space="0"/>
            </w:tcBorders>
            <w:vAlign w:val="top"/>
          </w:tcPr>
          <w:p w14:paraId="28F48639">
            <w:pPr>
              <w:pStyle w:val="6"/>
              <w:spacing w:before="38" w:line="217" w:lineRule="auto"/>
              <w:ind w:left="158"/>
              <w:rPr>
                <w:sz w:val="11"/>
                <w:szCs w:val="11"/>
              </w:rPr>
            </w:pPr>
            <w:r>
              <w:rPr>
                <w:b/>
                <w:bCs/>
                <w:spacing w:val="-1"/>
                <w:sz w:val="11"/>
                <w:szCs w:val="11"/>
              </w:rPr>
              <w:t>危废暂存间</w:t>
            </w:r>
          </w:p>
        </w:tc>
        <w:tc>
          <w:tcPr>
            <w:tcW w:w="983" w:type="dxa"/>
            <w:tcBorders>
              <w:bottom w:val="single" w:color="000000" w:sz="6" w:space="0"/>
            </w:tcBorders>
            <w:vAlign w:val="top"/>
          </w:tcPr>
          <w:p w14:paraId="1B2A6E83">
            <w:pPr>
              <w:spacing w:before="16" w:line="141" w:lineRule="exact"/>
              <w:ind w:left="372"/>
              <w:rPr>
                <w:rFonts w:ascii="Constantia" w:hAnsi="Constantia" w:eastAsia="Constantia" w:cs="Constantia"/>
                <w:sz w:val="7"/>
                <w:szCs w:val="7"/>
              </w:rPr>
            </w:pPr>
            <w:r>
              <w:rPr>
                <w:rFonts w:ascii="Constantia" w:hAnsi="Constantia" w:eastAsia="Constantia" w:cs="Constantia"/>
                <w:b/>
                <w:bCs/>
                <w:spacing w:val="-4"/>
                <w:w w:val="95"/>
                <w:position w:val="1"/>
                <w:sz w:val="11"/>
                <w:szCs w:val="11"/>
              </w:rPr>
              <w:t>20m</w:t>
            </w:r>
            <w:r>
              <w:rPr>
                <w:rFonts w:ascii="Constantia" w:hAnsi="Constantia" w:eastAsia="Constantia" w:cs="Constantia"/>
                <w:b/>
                <w:bCs/>
                <w:spacing w:val="1"/>
                <w:position w:val="5"/>
                <w:sz w:val="7"/>
                <w:szCs w:val="7"/>
              </w:rPr>
              <w:t>2</w:t>
            </w:r>
          </w:p>
        </w:tc>
        <w:tc>
          <w:tcPr>
            <w:tcW w:w="1079" w:type="dxa"/>
            <w:tcBorders>
              <w:bottom w:val="single" w:color="000000" w:sz="6" w:space="0"/>
            </w:tcBorders>
            <w:vAlign w:val="top"/>
          </w:tcPr>
          <w:p w14:paraId="679A0E29">
            <w:pPr>
              <w:spacing w:before="39" w:line="164" w:lineRule="auto"/>
              <w:ind w:left="511"/>
              <w:rPr>
                <w:rFonts w:ascii="微软雅黑" w:hAnsi="微软雅黑" w:eastAsia="微软雅黑" w:cs="微软雅黑"/>
                <w:sz w:val="11"/>
                <w:szCs w:val="11"/>
              </w:rPr>
            </w:pPr>
            <w:r>
              <w:rPr>
                <w:rFonts w:ascii="微软雅黑" w:hAnsi="微软雅黑" w:eastAsia="微软雅黑" w:cs="微软雅黑"/>
                <w:b/>
                <w:bCs/>
                <w:spacing w:val="2"/>
                <w:sz w:val="11"/>
                <w:szCs w:val="11"/>
              </w:rPr>
              <w:t>/</w:t>
            </w:r>
          </w:p>
        </w:tc>
        <w:tc>
          <w:tcPr>
            <w:tcW w:w="1182" w:type="dxa"/>
            <w:gridSpan w:val="2"/>
            <w:tcBorders>
              <w:bottom w:val="single" w:color="000000" w:sz="6" w:space="0"/>
            </w:tcBorders>
            <w:vAlign w:val="top"/>
          </w:tcPr>
          <w:p w14:paraId="278663ED">
            <w:pPr>
              <w:pStyle w:val="6"/>
              <w:spacing w:before="38" w:line="217" w:lineRule="auto"/>
              <w:ind w:left="565"/>
              <w:rPr>
                <w:sz w:val="11"/>
                <w:szCs w:val="11"/>
              </w:rPr>
            </w:pPr>
            <w:r>
              <w:rPr>
                <w:b/>
                <w:bCs/>
                <w:spacing w:val="-2"/>
                <w:sz w:val="11"/>
                <w:szCs w:val="11"/>
              </w:rPr>
              <w:t>/</w:t>
            </w:r>
          </w:p>
        </w:tc>
        <w:tc>
          <w:tcPr>
            <w:tcW w:w="622" w:type="dxa"/>
            <w:tcBorders>
              <w:bottom w:val="single" w:color="000000" w:sz="6" w:space="0"/>
              <w:right w:val="single" w:color="000000" w:sz="6" w:space="0"/>
            </w:tcBorders>
            <w:vAlign w:val="top"/>
          </w:tcPr>
          <w:p w14:paraId="27582CB1">
            <w:pPr>
              <w:pStyle w:val="6"/>
              <w:spacing w:before="38" w:line="217" w:lineRule="auto"/>
              <w:ind w:left="259"/>
              <w:rPr>
                <w:sz w:val="11"/>
                <w:szCs w:val="11"/>
              </w:rPr>
            </w:pPr>
            <w:r>
              <w:rPr>
                <w:b/>
                <w:bCs/>
                <w:spacing w:val="-2"/>
                <w:sz w:val="11"/>
                <w:szCs w:val="11"/>
              </w:rPr>
              <w:t>是</w:t>
            </w:r>
          </w:p>
        </w:tc>
      </w:tr>
    </w:tbl>
    <w:p w14:paraId="1324FCE7">
      <w:pPr>
        <w:pStyle w:val="2"/>
      </w:pPr>
    </w:p>
    <w:p w14:paraId="6916D4F3">
      <w:pPr>
        <w:sectPr>
          <w:headerReference r:id="rId451" w:type="default"/>
          <w:footerReference r:id="rId452" w:type="default"/>
          <w:pgSz w:w="16839" w:h="23811"/>
          <w:pgMar w:top="400" w:right="1315" w:bottom="400" w:left="1082" w:header="0" w:footer="0" w:gutter="0"/>
          <w:cols w:space="720" w:num="1"/>
        </w:sectPr>
      </w:pPr>
    </w:p>
    <w:p w14:paraId="33DAA0D1">
      <w:pPr>
        <w:spacing w:line="16820" w:lineRule="exact"/>
      </w:pPr>
      <w:r>
        <w:rPr>
          <w:position w:val="-336"/>
        </w:rPr>
        <w:drawing>
          <wp:inline distT="0" distB="0" distL="0" distR="0">
            <wp:extent cx="7559040" cy="106807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549"/>
                    <a:stretch>
                      <a:fillRect/>
                    </a:stretch>
                  </pic:blipFill>
                  <pic:spPr>
                    <a:xfrm>
                      <a:off x="0" y="0"/>
                      <a:ext cx="7559040" cy="10681234"/>
                    </a:xfrm>
                    <a:prstGeom prst="rect">
                      <a:avLst/>
                    </a:prstGeom>
                  </pic:spPr>
                </pic:pic>
              </a:graphicData>
            </a:graphic>
          </wp:inline>
        </w:drawing>
      </w:r>
    </w:p>
    <w:p w14:paraId="0DA6DC1A">
      <w:pPr>
        <w:spacing w:line="16820" w:lineRule="exact"/>
        <w:sectPr>
          <w:pgSz w:w="11905" w:h="16834"/>
          <w:pgMar w:top="1" w:right="0" w:bottom="1" w:left="0" w:header="0" w:footer="0" w:gutter="0"/>
          <w:cols w:space="720" w:num="1"/>
        </w:sectPr>
      </w:pPr>
    </w:p>
    <w:p w14:paraId="278CA1FA">
      <w:pPr>
        <w:pStyle w:val="2"/>
        <w:spacing w:line="282" w:lineRule="auto"/>
      </w:pPr>
    </w:p>
    <w:p w14:paraId="1FB8FA94">
      <w:pPr>
        <w:pStyle w:val="2"/>
        <w:spacing w:line="282" w:lineRule="auto"/>
      </w:pPr>
    </w:p>
    <w:p w14:paraId="6CE02C58">
      <w:pPr>
        <w:pStyle w:val="2"/>
        <w:spacing w:line="282" w:lineRule="auto"/>
      </w:pPr>
    </w:p>
    <w:p w14:paraId="38FF9868">
      <w:pPr>
        <w:pStyle w:val="2"/>
        <w:spacing w:line="282" w:lineRule="auto"/>
      </w:pPr>
    </w:p>
    <w:p w14:paraId="18954980">
      <w:pPr>
        <w:pStyle w:val="2"/>
        <w:spacing w:line="282" w:lineRule="auto"/>
      </w:pPr>
    </w:p>
    <w:p w14:paraId="77B4910C">
      <w:pPr>
        <w:spacing w:line="12031" w:lineRule="exact"/>
        <w:ind w:firstLine="14"/>
      </w:pPr>
      <w:r>
        <w:rPr>
          <w:position w:val="-240"/>
        </w:rPr>
        <w:drawing>
          <wp:inline distT="0" distB="0" distL="0" distR="0">
            <wp:extent cx="5528945" cy="763968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550"/>
                    <a:stretch>
                      <a:fillRect/>
                    </a:stretch>
                  </pic:blipFill>
                  <pic:spPr>
                    <a:xfrm>
                      <a:off x="0" y="0"/>
                      <a:ext cx="5529071" cy="7639811"/>
                    </a:xfrm>
                    <a:prstGeom prst="rect">
                      <a:avLst/>
                    </a:prstGeom>
                  </pic:spPr>
                </pic:pic>
              </a:graphicData>
            </a:graphic>
          </wp:inline>
        </w:drawing>
      </w:r>
    </w:p>
    <w:p w14:paraId="0E1A2F29">
      <w:pPr>
        <w:spacing w:line="12031" w:lineRule="exact"/>
        <w:sectPr>
          <w:pgSz w:w="11906" w:h="16839"/>
          <w:pgMar w:top="400" w:right="1398" w:bottom="400" w:left="1785" w:header="0" w:footer="0" w:gutter="0"/>
          <w:cols w:space="720" w:num="1"/>
        </w:sectPr>
      </w:pPr>
    </w:p>
    <w:p w14:paraId="41E66B1D">
      <w:pPr>
        <w:pStyle w:val="2"/>
        <w:spacing w:line="258" w:lineRule="auto"/>
      </w:pPr>
    </w:p>
    <w:p w14:paraId="2E950654">
      <w:pPr>
        <w:pStyle w:val="2"/>
        <w:spacing w:line="258" w:lineRule="auto"/>
      </w:pPr>
    </w:p>
    <w:p w14:paraId="30B4B058">
      <w:pPr>
        <w:pStyle w:val="2"/>
        <w:spacing w:line="258" w:lineRule="auto"/>
      </w:pPr>
    </w:p>
    <w:p w14:paraId="5A5E7324">
      <w:pPr>
        <w:pStyle w:val="2"/>
        <w:spacing w:line="259" w:lineRule="auto"/>
      </w:pPr>
    </w:p>
    <w:p w14:paraId="0B6C9E8D">
      <w:pPr>
        <w:spacing w:line="12792" w:lineRule="exact"/>
        <w:ind w:firstLine="14"/>
      </w:pPr>
      <w:r>
        <w:rPr>
          <w:position w:val="-255"/>
        </w:rPr>
        <w:drawing>
          <wp:inline distT="0" distB="0" distL="0" distR="0">
            <wp:extent cx="5330825" cy="812228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551"/>
                    <a:stretch>
                      <a:fillRect/>
                    </a:stretch>
                  </pic:blipFill>
                  <pic:spPr>
                    <a:xfrm>
                      <a:off x="0" y="0"/>
                      <a:ext cx="5330952" cy="8122919"/>
                    </a:xfrm>
                    <a:prstGeom prst="rect">
                      <a:avLst/>
                    </a:prstGeom>
                  </pic:spPr>
                </pic:pic>
              </a:graphicData>
            </a:graphic>
          </wp:inline>
        </w:drawing>
      </w:r>
    </w:p>
    <w:p w14:paraId="66A7BF7F">
      <w:pPr>
        <w:spacing w:line="12792" w:lineRule="exact"/>
        <w:sectPr>
          <w:pgSz w:w="11906" w:h="16839"/>
          <w:pgMar w:top="400" w:right="1710" w:bottom="400" w:left="1785" w:header="0" w:footer="0" w:gutter="0"/>
          <w:cols w:space="720" w:num="1"/>
        </w:sectPr>
      </w:pPr>
    </w:p>
    <w:p w14:paraId="73944B81">
      <w:pPr>
        <w:pStyle w:val="2"/>
        <w:spacing w:line="285" w:lineRule="auto"/>
      </w:pPr>
    </w:p>
    <w:p w14:paraId="31D96DC4">
      <w:pPr>
        <w:pStyle w:val="2"/>
        <w:spacing w:line="285" w:lineRule="auto"/>
      </w:pPr>
    </w:p>
    <w:p w14:paraId="574B7C34">
      <w:pPr>
        <w:pStyle w:val="2"/>
        <w:spacing w:line="285" w:lineRule="auto"/>
      </w:pPr>
    </w:p>
    <w:p w14:paraId="7CBC671C">
      <w:pPr>
        <w:pStyle w:val="2"/>
        <w:spacing w:line="285" w:lineRule="auto"/>
      </w:pPr>
    </w:p>
    <w:p w14:paraId="1566050E">
      <w:pPr>
        <w:spacing w:line="13198" w:lineRule="exact"/>
        <w:ind w:firstLine="14"/>
      </w:pPr>
      <w:r>
        <w:rPr>
          <w:position w:val="-263"/>
        </w:rPr>
        <w:drawing>
          <wp:inline distT="0" distB="0" distL="0" distR="0">
            <wp:extent cx="5370195" cy="838009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552"/>
                    <a:stretch>
                      <a:fillRect/>
                    </a:stretch>
                  </pic:blipFill>
                  <pic:spPr>
                    <a:xfrm>
                      <a:off x="0" y="0"/>
                      <a:ext cx="5370576" cy="8380476"/>
                    </a:xfrm>
                    <a:prstGeom prst="rect">
                      <a:avLst/>
                    </a:prstGeom>
                  </pic:spPr>
                </pic:pic>
              </a:graphicData>
            </a:graphic>
          </wp:inline>
        </w:drawing>
      </w:r>
    </w:p>
    <w:p w14:paraId="3A57D56C">
      <w:pPr>
        <w:spacing w:line="13198" w:lineRule="exact"/>
        <w:sectPr>
          <w:pgSz w:w="11906" w:h="16839"/>
          <w:pgMar w:top="400" w:right="1648" w:bottom="400" w:left="1785" w:header="0" w:footer="0" w:gutter="0"/>
          <w:cols w:space="720" w:num="1"/>
        </w:sectPr>
      </w:pPr>
    </w:p>
    <w:p w14:paraId="4DEDC689">
      <w:pPr>
        <w:pStyle w:val="2"/>
        <w:spacing w:line="289" w:lineRule="auto"/>
      </w:pPr>
    </w:p>
    <w:p w14:paraId="57886AC9">
      <w:pPr>
        <w:pStyle w:val="2"/>
        <w:spacing w:line="289" w:lineRule="auto"/>
      </w:pPr>
    </w:p>
    <w:p w14:paraId="428DA4B9">
      <w:pPr>
        <w:pStyle w:val="2"/>
        <w:spacing w:line="289" w:lineRule="auto"/>
      </w:pPr>
    </w:p>
    <w:p w14:paraId="41FF6A86">
      <w:pPr>
        <w:pStyle w:val="2"/>
        <w:spacing w:line="290" w:lineRule="auto"/>
      </w:pPr>
    </w:p>
    <w:p w14:paraId="0A2CEA7D">
      <w:pPr>
        <w:spacing w:line="12855" w:lineRule="exact"/>
        <w:ind w:firstLine="14"/>
      </w:pPr>
      <w:r>
        <w:rPr>
          <w:position w:val="-257"/>
        </w:rPr>
        <w:drawing>
          <wp:inline distT="0" distB="0" distL="0" distR="0">
            <wp:extent cx="5307965" cy="816229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553"/>
                    <a:stretch>
                      <a:fillRect/>
                    </a:stretch>
                  </pic:blipFill>
                  <pic:spPr>
                    <a:xfrm>
                      <a:off x="0" y="0"/>
                      <a:ext cx="5308091" cy="8162544"/>
                    </a:xfrm>
                    <a:prstGeom prst="rect">
                      <a:avLst/>
                    </a:prstGeom>
                  </pic:spPr>
                </pic:pic>
              </a:graphicData>
            </a:graphic>
          </wp:inline>
        </w:drawing>
      </w:r>
    </w:p>
    <w:p w14:paraId="03856C53">
      <w:pPr>
        <w:spacing w:line="12855" w:lineRule="exact"/>
        <w:sectPr>
          <w:pgSz w:w="11906" w:h="16839"/>
          <w:pgMar w:top="400" w:right="1746" w:bottom="400" w:left="1785" w:header="0" w:footer="0" w:gutter="0"/>
          <w:cols w:space="720" w:num="1"/>
        </w:sectPr>
      </w:pPr>
    </w:p>
    <w:p w14:paraId="4A8BB896">
      <w:pPr>
        <w:pStyle w:val="2"/>
        <w:spacing w:line="272" w:lineRule="auto"/>
      </w:pPr>
    </w:p>
    <w:p w14:paraId="6EDCADFA">
      <w:pPr>
        <w:pStyle w:val="2"/>
        <w:spacing w:line="272" w:lineRule="auto"/>
      </w:pPr>
    </w:p>
    <w:p w14:paraId="69E1B304">
      <w:pPr>
        <w:pStyle w:val="2"/>
        <w:spacing w:line="273" w:lineRule="auto"/>
      </w:pPr>
    </w:p>
    <w:p w14:paraId="46BA4FE9">
      <w:pPr>
        <w:pStyle w:val="2"/>
        <w:spacing w:line="273" w:lineRule="auto"/>
      </w:pPr>
    </w:p>
    <w:p w14:paraId="6C6F25A9">
      <w:pPr>
        <w:spacing w:line="12992" w:lineRule="exact"/>
        <w:ind w:firstLine="14"/>
      </w:pPr>
      <w:r>
        <w:rPr>
          <w:position w:val="-259"/>
        </w:rPr>
        <w:drawing>
          <wp:inline distT="0" distB="0" distL="0" distR="0">
            <wp:extent cx="5368925" cy="824928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554"/>
                    <a:stretch>
                      <a:fillRect/>
                    </a:stretch>
                  </pic:blipFill>
                  <pic:spPr>
                    <a:xfrm>
                      <a:off x="0" y="0"/>
                      <a:ext cx="5369052" cy="8249411"/>
                    </a:xfrm>
                    <a:prstGeom prst="rect">
                      <a:avLst/>
                    </a:prstGeom>
                  </pic:spPr>
                </pic:pic>
              </a:graphicData>
            </a:graphic>
          </wp:inline>
        </w:drawing>
      </w:r>
    </w:p>
    <w:p w14:paraId="3CE3A177">
      <w:pPr>
        <w:spacing w:line="12992" w:lineRule="exact"/>
        <w:sectPr>
          <w:pgSz w:w="11906" w:h="16839"/>
          <w:pgMar w:top="400" w:right="1650" w:bottom="400" w:left="1785" w:header="0" w:footer="0" w:gutter="0"/>
          <w:cols w:space="720" w:num="1"/>
        </w:sectPr>
      </w:pPr>
    </w:p>
    <w:p w14:paraId="2E196BDA">
      <w:pPr>
        <w:pStyle w:val="2"/>
        <w:spacing w:line="294" w:lineRule="auto"/>
      </w:pPr>
    </w:p>
    <w:p w14:paraId="7C9561A9">
      <w:pPr>
        <w:pStyle w:val="2"/>
        <w:spacing w:line="295" w:lineRule="auto"/>
      </w:pPr>
    </w:p>
    <w:p w14:paraId="13DB2DEC">
      <w:pPr>
        <w:pStyle w:val="2"/>
        <w:spacing w:line="295" w:lineRule="auto"/>
      </w:pPr>
    </w:p>
    <w:p w14:paraId="3D535CF2">
      <w:pPr>
        <w:pStyle w:val="2"/>
        <w:spacing w:line="295" w:lineRule="auto"/>
      </w:pPr>
    </w:p>
    <w:p w14:paraId="2266BA33">
      <w:pPr>
        <w:spacing w:line="12811" w:lineRule="exact"/>
        <w:ind w:firstLine="14"/>
      </w:pPr>
      <w:r>
        <w:rPr>
          <w:position w:val="-256"/>
        </w:rPr>
        <w:drawing>
          <wp:inline distT="0" distB="0" distL="0" distR="0">
            <wp:extent cx="5274310" cy="813498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555"/>
                    <a:stretch>
                      <a:fillRect/>
                    </a:stretch>
                  </pic:blipFill>
                  <pic:spPr>
                    <a:xfrm>
                      <a:off x="0" y="0"/>
                      <a:ext cx="5274563" cy="8135111"/>
                    </a:xfrm>
                    <a:prstGeom prst="rect">
                      <a:avLst/>
                    </a:prstGeom>
                  </pic:spPr>
                </pic:pic>
              </a:graphicData>
            </a:graphic>
          </wp:inline>
        </w:drawing>
      </w:r>
    </w:p>
    <w:p w14:paraId="590237A1">
      <w:pPr>
        <w:spacing w:line="12811" w:lineRule="exact"/>
        <w:sectPr>
          <w:pgSz w:w="11906" w:h="16839"/>
          <w:pgMar w:top="400" w:right="1785" w:bottom="400" w:left="1785" w:header="0" w:footer="0" w:gutter="0"/>
          <w:cols w:space="720" w:num="1"/>
        </w:sectPr>
      </w:pPr>
    </w:p>
    <w:p w14:paraId="661B64A2">
      <w:pPr>
        <w:pStyle w:val="2"/>
        <w:spacing w:line="282" w:lineRule="auto"/>
      </w:pPr>
    </w:p>
    <w:p w14:paraId="4721382B">
      <w:pPr>
        <w:pStyle w:val="2"/>
        <w:spacing w:line="282" w:lineRule="auto"/>
      </w:pPr>
    </w:p>
    <w:p w14:paraId="35945A79">
      <w:pPr>
        <w:pStyle w:val="2"/>
        <w:spacing w:line="282" w:lineRule="auto"/>
      </w:pPr>
    </w:p>
    <w:p w14:paraId="538AAF52">
      <w:pPr>
        <w:pStyle w:val="2"/>
        <w:spacing w:line="283" w:lineRule="auto"/>
      </w:pPr>
    </w:p>
    <w:p w14:paraId="0F474FF5">
      <w:pPr>
        <w:spacing w:line="12912" w:lineRule="exact"/>
        <w:ind w:firstLine="14"/>
      </w:pPr>
      <w:r>
        <w:rPr>
          <w:position w:val="-258"/>
        </w:rPr>
        <w:drawing>
          <wp:inline distT="0" distB="0" distL="0" distR="0">
            <wp:extent cx="5219700" cy="819848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556"/>
                    <a:stretch>
                      <a:fillRect/>
                    </a:stretch>
                  </pic:blipFill>
                  <pic:spPr>
                    <a:xfrm>
                      <a:off x="0" y="0"/>
                      <a:ext cx="5219700" cy="8199119"/>
                    </a:xfrm>
                    <a:prstGeom prst="rect">
                      <a:avLst/>
                    </a:prstGeom>
                  </pic:spPr>
                </pic:pic>
              </a:graphicData>
            </a:graphic>
          </wp:inline>
        </w:drawing>
      </w:r>
    </w:p>
    <w:p w14:paraId="1D884804">
      <w:pPr>
        <w:spacing w:line="12912" w:lineRule="exact"/>
        <w:sectPr>
          <w:pgSz w:w="11906" w:h="16839"/>
          <w:pgMar w:top="400" w:right="1785" w:bottom="400" w:left="1785" w:header="0" w:footer="0" w:gutter="0"/>
          <w:cols w:space="720" w:num="1"/>
        </w:sectPr>
      </w:pPr>
    </w:p>
    <w:p w14:paraId="6769D792">
      <w:pPr>
        <w:pStyle w:val="2"/>
        <w:spacing w:line="295" w:lineRule="auto"/>
      </w:pPr>
    </w:p>
    <w:p w14:paraId="7F14B8E8">
      <w:pPr>
        <w:pStyle w:val="2"/>
        <w:spacing w:line="295" w:lineRule="auto"/>
      </w:pPr>
    </w:p>
    <w:p w14:paraId="3B43ADEE">
      <w:pPr>
        <w:pStyle w:val="2"/>
        <w:spacing w:line="295" w:lineRule="auto"/>
      </w:pPr>
    </w:p>
    <w:p w14:paraId="20595DFB">
      <w:pPr>
        <w:pStyle w:val="2"/>
        <w:spacing w:line="296" w:lineRule="auto"/>
      </w:pPr>
    </w:p>
    <w:p w14:paraId="344A6FB5">
      <w:pPr>
        <w:spacing w:line="12806" w:lineRule="exact"/>
        <w:ind w:firstLine="14"/>
      </w:pPr>
      <w:r>
        <w:rPr>
          <w:position w:val="-256"/>
        </w:rPr>
        <w:drawing>
          <wp:inline distT="0" distB="0" distL="0" distR="0">
            <wp:extent cx="5300345" cy="813181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557"/>
                    <a:stretch>
                      <a:fillRect/>
                    </a:stretch>
                  </pic:blipFill>
                  <pic:spPr>
                    <a:xfrm>
                      <a:off x="0" y="0"/>
                      <a:ext cx="5300471" cy="8132064"/>
                    </a:xfrm>
                    <a:prstGeom prst="rect">
                      <a:avLst/>
                    </a:prstGeom>
                  </pic:spPr>
                </pic:pic>
              </a:graphicData>
            </a:graphic>
          </wp:inline>
        </w:drawing>
      </w:r>
    </w:p>
    <w:p w14:paraId="0EC318FA">
      <w:pPr>
        <w:spacing w:line="12806" w:lineRule="exact"/>
        <w:sectPr>
          <w:pgSz w:w="11906" w:h="16839"/>
          <w:pgMar w:top="400" w:right="1758" w:bottom="400" w:left="1785" w:header="0" w:footer="0" w:gutter="0"/>
          <w:cols w:space="720" w:num="1"/>
        </w:sectPr>
      </w:pPr>
    </w:p>
    <w:p w14:paraId="73863B5F">
      <w:pPr>
        <w:pStyle w:val="2"/>
        <w:spacing w:line="282" w:lineRule="auto"/>
      </w:pPr>
    </w:p>
    <w:p w14:paraId="71331C72">
      <w:pPr>
        <w:pStyle w:val="2"/>
        <w:spacing w:line="283" w:lineRule="auto"/>
      </w:pPr>
    </w:p>
    <w:p w14:paraId="7F610192">
      <w:pPr>
        <w:pStyle w:val="2"/>
        <w:spacing w:line="283" w:lineRule="auto"/>
      </w:pPr>
    </w:p>
    <w:p w14:paraId="5134BB31">
      <w:pPr>
        <w:pStyle w:val="2"/>
        <w:spacing w:line="283" w:lineRule="auto"/>
      </w:pPr>
    </w:p>
    <w:p w14:paraId="4BB12045">
      <w:pPr>
        <w:spacing w:line="11033" w:lineRule="exact"/>
        <w:ind w:firstLine="14"/>
      </w:pPr>
      <w:r>
        <w:rPr>
          <w:position w:val="-220"/>
        </w:rPr>
        <w:drawing>
          <wp:inline distT="0" distB="0" distL="0" distR="0">
            <wp:extent cx="5368925" cy="700532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558"/>
                    <a:stretch>
                      <a:fillRect/>
                    </a:stretch>
                  </pic:blipFill>
                  <pic:spPr>
                    <a:xfrm>
                      <a:off x="0" y="0"/>
                      <a:ext cx="5369052" cy="7005827"/>
                    </a:xfrm>
                    <a:prstGeom prst="rect">
                      <a:avLst/>
                    </a:prstGeom>
                  </pic:spPr>
                </pic:pic>
              </a:graphicData>
            </a:graphic>
          </wp:inline>
        </w:drawing>
      </w:r>
    </w:p>
    <w:p w14:paraId="0DBF4B29">
      <w:pPr>
        <w:spacing w:line="11033" w:lineRule="exact"/>
        <w:sectPr>
          <w:pgSz w:w="11906" w:h="16839"/>
          <w:pgMar w:top="400" w:right="1650" w:bottom="400" w:left="1785" w:header="0" w:footer="0" w:gutter="0"/>
          <w:cols w:space="720" w:num="1"/>
        </w:sectPr>
      </w:pPr>
    </w:p>
    <w:p w14:paraId="37C6318A">
      <w:pPr>
        <w:pStyle w:val="2"/>
        <w:spacing w:line="285" w:lineRule="auto"/>
      </w:pPr>
    </w:p>
    <w:p w14:paraId="1490DD55">
      <w:pPr>
        <w:pStyle w:val="2"/>
        <w:spacing w:line="285" w:lineRule="auto"/>
      </w:pPr>
    </w:p>
    <w:p w14:paraId="57E912B7">
      <w:pPr>
        <w:pStyle w:val="2"/>
        <w:spacing w:line="285" w:lineRule="auto"/>
      </w:pPr>
    </w:p>
    <w:p w14:paraId="775E4EAA">
      <w:pPr>
        <w:pStyle w:val="2"/>
        <w:spacing w:line="285" w:lineRule="auto"/>
      </w:pPr>
    </w:p>
    <w:p w14:paraId="514A3DBD">
      <w:pPr>
        <w:spacing w:line="13200" w:lineRule="exact"/>
        <w:ind w:firstLine="119"/>
      </w:pPr>
      <w:r>
        <w:rPr>
          <w:position w:val="-264"/>
        </w:rPr>
        <w:drawing>
          <wp:inline distT="0" distB="0" distL="0" distR="0">
            <wp:extent cx="5173345" cy="838200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559"/>
                    <a:stretch>
                      <a:fillRect/>
                    </a:stretch>
                  </pic:blipFill>
                  <pic:spPr>
                    <a:xfrm>
                      <a:off x="0" y="0"/>
                      <a:ext cx="5173979" cy="8382000"/>
                    </a:xfrm>
                    <a:prstGeom prst="rect">
                      <a:avLst/>
                    </a:prstGeom>
                  </pic:spPr>
                </pic:pic>
              </a:graphicData>
            </a:graphic>
          </wp:inline>
        </w:drawing>
      </w:r>
    </w:p>
    <w:p w14:paraId="5C1788BA">
      <w:pPr>
        <w:spacing w:line="13200" w:lineRule="exact"/>
        <w:sectPr>
          <w:pgSz w:w="11906" w:h="16839"/>
          <w:pgMar w:top="400" w:right="1785" w:bottom="400" w:left="1785" w:header="0" w:footer="0" w:gutter="0"/>
          <w:cols w:space="720" w:num="1"/>
        </w:sectPr>
      </w:pPr>
    </w:p>
    <w:p w14:paraId="4A490448">
      <w:pPr>
        <w:pStyle w:val="2"/>
        <w:spacing w:line="290" w:lineRule="auto"/>
      </w:pPr>
    </w:p>
    <w:p w14:paraId="52E3BF58">
      <w:pPr>
        <w:pStyle w:val="2"/>
        <w:spacing w:line="290" w:lineRule="auto"/>
      </w:pPr>
    </w:p>
    <w:p w14:paraId="38E9D913">
      <w:pPr>
        <w:pStyle w:val="2"/>
        <w:spacing w:line="291" w:lineRule="auto"/>
      </w:pPr>
    </w:p>
    <w:p w14:paraId="689FC199">
      <w:pPr>
        <w:pStyle w:val="2"/>
        <w:spacing w:line="291" w:lineRule="auto"/>
      </w:pPr>
    </w:p>
    <w:p w14:paraId="2F15E415">
      <w:pPr>
        <w:spacing w:line="13469" w:lineRule="exact"/>
        <w:ind w:firstLine="14"/>
      </w:pPr>
      <w:r>
        <w:rPr>
          <w:position w:val="-269"/>
        </w:rPr>
        <w:drawing>
          <wp:inline distT="0" distB="0" distL="0" distR="0">
            <wp:extent cx="5260340" cy="855218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560"/>
                    <a:stretch>
                      <a:fillRect/>
                    </a:stretch>
                  </pic:blipFill>
                  <pic:spPr>
                    <a:xfrm>
                      <a:off x="0" y="0"/>
                      <a:ext cx="5260848" cy="8552688"/>
                    </a:xfrm>
                    <a:prstGeom prst="rect">
                      <a:avLst/>
                    </a:prstGeom>
                  </pic:spPr>
                </pic:pic>
              </a:graphicData>
            </a:graphic>
          </wp:inline>
        </w:drawing>
      </w:r>
    </w:p>
    <w:p w14:paraId="39B7E60C">
      <w:pPr>
        <w:spacing w:line="13469" w:lineRule="exact"/>
        <w:sectPr>
          <w:pgSz w:w="11906" w:h="16839"/>
          <w:pgMar w:top="400" w:right="1785" w:bottom="400" w:left="1785" w:header="0" w:footer="0" w:gutter="0"/>
          <w:cols w:space="720" w:num="1"/>
        </w:sectPr>
      </w:pPr>
    </w:p>
    <w:p w14:paraId="00DA55E0">
      <w:pPr>
        <w:pStyle w:val="2"/>
        <w:spacing w:line="294" w:lineRule="auto"/>
      </w:pPr>
    </w:p>
    <w:p w14:paraId="25FFFB08">
      <w:pPr>
        <w:pStyle w:val="2"/>
        <w:spacing w:line="295" w:lineRule="auto"/>
      </w:pPr>
    </w:p>
    <w:p w14:paraId="25021A20">
      <w:pPr>
        <w:pStyle w:val="2"/>
        <w:spacing w:line="295" w:lineRule="auto"/>
      </w:pPr>
    </w:p>
    <w:p w14:paraId="32C1B323">
      <w:pPr>
        <w:pStyle w:val="2"/>
        <w:spacing w:line="295" w:lineRule="auto"/>
      </w:pPr>
    </w:p>
    <w:p w14:paraId="587CC0CD">
      <w:pPr>
        <w:spacing w:line="13747" w:lineRule="exact"/>
        <w:ind w:firstLine="14"/>
      </w:pPr>
      <w:r>
        <w:rPr>
          <w:position w:val="-274"/>
        </w:rPr>
        <w:drawing>
          <wp:inline distT="0" distB="0" distL="0" distR="0">
            <wp:extent cx="5335270" cy="872934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561"/>
                    <a:stretch>
                      <a:fillRect/>
                    </a:stretch>
                  </pic:blipFill>
                  <pic:spPr>
                    <a:xfrm>
                      <a:off x="0" y="0"/>
                      <a:ext cx="5335523" cy="8729471"/>
                    </a:xfrm>
                    <a:prstGeom prst="rect">
                      <a:avLst/>
                    </a:prstGeom>
                  </pic:spPr>
                </pic:pic>
              </a:graphicData>
            </a:graphic>
          </wp:inline>
        </w:drawing>
      </w:r>
    </w:p>
    <w:p w14:paraId="388C347B">
      <w:pPr>
        <w:spacing w:line="13747" w:lineRule="exact"/>
        <w:sectPr>
          <w:pgSz w:w="11906" w:h="16839"/>
          <w:pgMar w:top="400" w:right="1703" w:bottom="400" w:left="1785" w:header="0" w:footer="0" w:gutter="0"/>
          <w:cols w:space="720" w:num="1"/>
        </w:sectPr>
      </w:pPr>
    </w:p>
    <w:p w14:paraId="4C0370B0">
      <w:pPr>
        <w:pStyle w:val="2"/>
      </w:pPr>
    </w:p>
    <w:p w14:paraId="1192808C">
      <w:pPr>
        <w:pStyle w:val="2"/>
      </w:pPr>
    </w:p>
    <w:p w14:paraId="527D79BB">
      <w:pPr>
        <w:pStyle w:val="2"/>
      </w:pPr>
    </w:p>
    <w:p w14:paraId="05CF37A8">
      <w:pPr>
        <w:pStyle w:val="2"/>
      </w:pPr>
    </w:p>
    <w:p w14:paraId="2DA3D360">
      <w:pPr>
        <w:pStyle w:val="2"/>
      </w:pPr>
    </w:p>
    <w:p w14:paraId="7798C214">
      <w:pPr>
        <w:pStyle w:val="2"/>
        <w:spacing w:line="241" w:lineRule="auto"/>
      </w:pPr>
    </w:p>
    <w:p w14:paraId="4A110A6E">
      <w:pPr>
        <w:spacing w:line="13219" w:lineRule="exact"/>
        <w:ind w:firstLine="14"/>
      </w:pPr>
      <w:r>
        <w:rPr>
          <w:position w:val="-264"/>
        </w:rPr>
        <w:drawing>
          <wp:inline distT="0" distB="0" distL="0" distR="0">
            <wp:extent cx="5228590" cy="839406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562"/>
                    <a:stretch>
                      <a:fillRect/>
                    </a:stretch>
                  </pic:blipFill>
                  <pic:spPr>
                    <a:xfrm>
                      <a:off x="0" y="0"/>
                      <a:ext cx="5228844" cy="8394192"/>
                    </a:xfrm>
                    <a:prstGeom prst="rect">
                      <a:avLst/>
                    </a:prstGeom>
                  </pic:spPr>
                </pic:pic>
              </a:graphicData>
            </a:graphic>
          </wp:inline>
        </w:drawing>
      </w:r>
    </w:p>
    <w:p w14:paraId="3863DEB2">
      <w:pPr>
        <w:spacing w:line="13219" w:lineRule="exact"/>
        <w:sectPr>
          <w:pgSz w:w="11906" w:h="16839"/>
          <w:pgMar w:top="400" w:right="1785" w:bottom="400" w:left="1785" w:header="0" w:footer="0" w:gutter="0"/>
          <w:cols w:space="720" w:num="1"/>
        </w:sectPr>
      </w:pPr>
    </w:p>
    <w:p w14:paraId="6DBD8C80">
      <w:pPr>
        <w:pStyle w:val="2"/>
        <w:spacing w:line="287" w:lineRule="auto"/>
      </w:pPr>
    </w:p>
    <w:p w14:paraId="6803E400">
      <w:pPr>
        <w:pStyle w:val="2"/>
        <w:spacing w:line="287" w:lineRule="auto"/>
      </w:pPr>
    </w:p>
    <w:p w14:paraId="3FB17D4B">
      <w:pPr>
        <w:pStyle w:val="2"/>
        <w:spacing w:line="288" w:lineRule="auto"/>
      </w:pPr>
    </w:p>
    <w:p w14:paraId="7D1F97CB">
      <w:pPr>
        <w:pStyle w:val="2"/>
        <w:spacing w:line="288" w:lineRule="auto"/>
      </w:pPr>
    </w:p>
    <w:p w14:paraId="7550A70A">
      <w:pPr>
        <w:spacing w:line="12247" w:lineRule="exact"/>
        <w:ind w:firstLine="14"/>
      </w:pPr>
      <w:r>
        <w:rPr>
          <w:position w:val="-244"/>
        </w:rPr>
        <w:drawing>
          <wp:inline distT="0" distB="0" distL="0" distR="0">
            <wp:extent cx="5504180" cy="777684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563"/>
                    <a:stretch>
                      <a:fillRect/>
                    </a:stretch>
                  </pic:blipFill>
                  <pic:spPr>
                    <a:xfrm>
                      <a:off x="0" y="0"/>
                      <a:ext cx="5504688" cy="7776971"/>
                    </a:xfrm>
                    <a:prstGeom prst="rect">
                      <a:avLst/>
                    </a:prstGeom>
                  </pic:spPr>
                </pic:pic>
              </a:graphicData>
            </a:graphic>
          </wp:inline>
        </w:drawing>
      </w:r>
    </w:p>
    <w:p w14:paraId="27C503B5">
      <w:pPr>
        <w:spacing w:line="12247" w:lineRule="exact"/>
        <w:sectPr>
          <w:pgSz w:w="11906" w:h="16839"/>
          <w:pgMar w:top="400" w:right="1437" w:bottom="400" w:left="1785" w:header="0" w:footer="0" w:gutter="0"/>
          <w:cols w:space="720" w:num="1"/>
        </w:sectPr>
      </w:pPr>
    </w:p>
    <w:p w14:paraId="66945585">
      <w:pPr>
        <w:spacing w:line="16820" w:lineRule="exact"/>
      </w:pPr>
      <w:r>
        <w:rPr>
          <w:position w:val="-336"/>
        </w:rPr>
        <w:drawing>
          <wp:inline distT="0" distB="0" distL="0" distR="0">
            <wp:extent cx="7559040" cy="1068070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564"/>
                    <a:stretch>
                      <a:fillRect/>
                    </a:stretch>
                  </pic:blipFill>
                  <pic:spPr>
                    <a:xfrm>
                      <a:off x="0" y="0"/>
                      <a:ext cx="7559040" cy="10681234"/>
                    </a:xfrm>
                    <a:prstGeom prst="rect">
                      <a:avLst/>
                    </a:prstGeom>
                  </pic:spPr>
                </pic:pic>
              </a:graphicData>
            </a:graphic>
          </wp:inline>
        </w:drawing>
      </w:r>
    </w:p>
    <w:p w14:paraId="7D970985">
      <w:pPr>
        <w:spacing w:line="16820" w:lineRule="exact"/>
        <w:sectPr>
          <w:pgSz w:w="11905" w:h="16834"/>
          <w:pgMar w:top="1" w:right="0" w:bottom="1" w:left="0" w:header="0" w:footer="0" w:gutter="0"/>
          <w:cols w:space="720" w:num="1"/>
        </w:sectPr>
      </w:pPr>
    </w:p>
    <w:p w14:paraId="3A00C808">
      <w:pPr>
        <w:spacing w:line="16820" w:lineRule="exact"/>
      </w:pPr>
      <w:r>
        <w:rPr>
          <w:position w:val="-336"/>
        </w:rPr>
        <w:drawing>
          <wp:inline distT="0" distB="0" distL="0" distR="0">
            <wp:extent cx="7559040" cy="1068070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565"/>
                    <a:stretch>
                      <a:fillRect/>
                    </a:stretch>
                  </pic:blipFill>
                  <pic:spPr>
                    <a:xfrm>
                      <a:off x="0" y="0"/>
                      <a:ext cx="7559040" cy="10681234"/>
                    </a:xfrm>
                    <a:prstGeom prst="rect">
                      <a:avLst/>
                    </a:prstGeom>
                  </pic:spPr>
                </pic:pic>
              </a:graphicData>
            </a:graphic>
          </wp:inline>
        </w:drawing>
      </w:r>
    </w:p>
    <w:p w14:paraId="69790AF4">
      <w:pPr>
        <w:spacing w:line="16820" w:lineRule="exact"/>
        <w:sectPr>
          <w:pgSz w:w="11905" w:h="16834"/>
          <w:pgMar w:top="1" w:right="0" w:bottom="1" w:left="0" w:header="0" w:footer="0" w:gutter="0"/>
          <w:cols w:space="720" w:num="1"/>
        </w:sectPr>
      </w:pPr>
    </w:p>
    <w:p w14:paraId="1DA5446B">
      <w:pPr>
        <w:spacing w:line="16820" w:lineRule="exact"/>
      </w:pPr>
      <w:r>
        <w:rPr>
          <w:position w:val="-336"/>
        </w:rPr>
        <w:drawing>
          <wp:inline distT="0" distB="0" distL="0" distR="0">
            <wp:extent cx="7559040" cy="1068070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566"/>
                    <a:stretch>
                      <a:fillRect/>
                    </a:stretch>
                  </pic:blipFill>
                  <pic:spPr>
                    <a:xfrm>
                      <a:off x="0" y="0"/>
                      <a:ext cx="7559040" cy="10681234"/>
                    </a:xfrm>
                    <a:prstGeom prst="rect">
                      <a:avLst/>
                    </a:prstGeom>
                  </pic:spPr>
                </pic:pic>
              </a:graphicData>
            </a:graphic>
          </wp:inline>
        </w:drawing>
      </w:r>
    </w:p>
    <w:p w14:paraId="0D298B8C">
      <w:pPr>
        <w:spacing w:line="16820" w:lineRule="exact"/>
        <w:sectPr>
          <w:pgSz w:w="11905" w:h="16834"/>
          <w:pgMar w:top="1" w:right="0" w:bottom="1" w:left="0" w:header="0" w:footer="0" w:gutter="0"/>
          <w:cols w:space="720" w:num="1"/>
        </w:sectPr>
      </w:pPr>
    </w:p>
    <w:p w14:paraId="1B780FEA">
      <w:pPr>
        <w:spacing w:line="16820" w:lineRule="exact"/>
      </w:pPr>
      <w:r>
        <w:rPr>
          <w:position w:val="-336"/>
        </w:rPr>
        <w:drawing>
          <wp:inline distT="0" distB="0" distL="0" distR="0">
            <wp:extent cx="7559040" cy="1068070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567"/>
                    <a:stretch>
                      <a:fillRect/>
                    </a:stretch>
                  </pic:blipFill>
                  <pic:spPr>
                    <a:xfrm>
                      <a:off x="0" y="0"/>
                      <a:ext cx="7559040" cy="10681234"/>
                    </a:xfrm>
                    <a:prstGeom prst="rect">
                      <a:avLst/>
                    </a:prstGeom>
                  </pic:spPr>
                </pic:pic>
              </a:graphicData>
            </a:graphic>
          </wp:inline>
        </w:drawing>
      </w:r>
    </w:p>
    <w:p w14:paraId="24858006">
      <w:pPr>
        <w:spacing w:line="16820" w:lineRule="exact"/>
        <w:sectPr>
          <w:pgSz w:w="11905" w:h="16834"/>
          <w:pgMar w:top="1" w:right="0" w:bottom="1" w:left="0" w:header="0" w:footer="0" w:gutter="0"/>
          <w:cols w:space="720" w:num="1"/>
        </w:sectPr>
      </w:pPr>
    </w:p>
    <w:p w14:paraId="6F1091D3">
      <w:pPr>
        <w:spacing w:before="242" w:line="186" w:lineRule="auto"/>
        <w:ind w:left="2118"/>
        <w:rPr>
          <w:rFonts w:ascii="微软雅黑" w:hAnsi="微软雅黑" w:eastAsia="微软雅黑" w:cs="微软雅黑"/>
          <w:sz w:val="43"/>
          <w:szCs w:val="43"/>
        </w:rPr>
      </w:pPr>
      <w:r>
        <w:rPr>
          <w:rFonts w:ascii="微软雅黑" w:hAnsi="微软雅黑" w:eastAsia="微软雅黑" w:cs="微软雅黑"/>
          <w:spacing w:val="2"/>
          <w:sz w:val="43"/>
          <w:szCs w:val="43"/>
        </w:rPr>
        <w:t>环评文件修改索引清单表</w:t>
      </w:r>
    </w:p>
    <w:p w14:paraId="575EBF43">
      <w:pPr>
        <w:spacing w:before="230"/>
      </w:pPr>
    </w:p>
    <w:tbl>
      <w:tblPr>
        <w:tblStyle w:val="5"/>
        <w:tblW w:w="89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0"/>
        <w:gridCol w:w="2235"/>
        <w:gridCol w:w="1223"/>
        <w:gridCol w:w="1760"/>
        <w:gridCol w:w="2114"/>
      </w:tblGrid>
      <w:tr w14:paraId="5FFB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640" w:type="dxa"/>
            <w:vAlign w:val="top"/>
          </w:tcPr>
          <w:p w14:paraId="377065F4">
            <w:pPr>
              <w:spacing w:before="284" w:line="222" w:lineRule="auto"/>
              <w:ind w:left="278"/>
              <w:rPr>
                <w:rFonts w:ascii="仿宋" w:hAnsi="仿宋" w:eastAsia="仿宋" w:cs="仿宋"/>
                <w:sz w:val="28"/>
                <w:szCs w:val="28"/>
              </w:rPr>
            </w:pPr>
            <w:r>
              <w:rPr>
                <w:rFonts w:ascii="仿宋" w:hAnsi="仿宋" w:eastAsia="仿宋" w:cs="仿宋"/>
                <w:spacing w:val="-5"/>
                <w:sz w:val="28"/>
                <w:szCs w:val="28"/>
              </w:rPr>
              <w:t>项目名称</w:t>
            </w:r>
          </w:p>
        </w:tc>
        <w:tc>
          <w:tcPr>
            <w:tcW w:w="7332" w:type="dxa"/>
            <w:gridSpan w:val="4"/>
            <w:vAlign w:val="top"/>
          </w:tcPr>
          <w:p w14:paraId="3A121657">
            <w:pPr>
              <w:spacing w:before="83" w:line="221" w:lineRule="auto"/>
              <w:ind w:left="214"/>
              <w:rPr>
                <w:rFonts w:ascii="仿宋" w:hAnsi="仿宋" w:eastAsia="仿宋" w:cs="仿宋"/>
                <w:sz w:val="28"/>
                <w:szCs w:val="28"/>
              </w:rPr>
            </w:pPr>
            <w:r>
              <w:rPr>
                <w:rFonts w:ascii="仿宋" w:hAnsi="仿宋" w:eastAsia="仿宋" w:cs="仿宋"/>
                <w:spacing w:val="-2"/>
                <w:sz w:val="28"/>
                <w:szCs w:val="28"/>
              </w:rPr>
              <w:t>内蒙古玉龙矿业股份有限公司西乌珠穆沁旗花敖包</w:t>
            </w:r>
            <w:r>
              <w:rPr>
                <w:rFonts w:ascii="仿宋" w:hAnsi="仿宋" w:eastAsia="仿宋" w:cs="仿宋"/>
                <w:spacing w:val="-3"/>
                <w:sz w:val="28"/>
                <w:szCs w:val="28"/>
              </w:rPr>
              <w:t>特银铅</w:t>
            </w:r>
          </w:p>
          <w:p w14:paraId="0F4D37B8">
            <w:pPr>
              <w:spacing w:before="66" w:line="207" w:lineRule="auto"/>
              <w:ind w:left="1721"/>
              <w:rPr>
                <w:rFonts w:ascii="仿宋" w:hAnsi="仿宋" w:eastAsia="仿宋" w:cs="仿宋"/>
                <w:sz w:val="28"/>
                <w:szCs w:val="28"/>
              </w:rPr>
            </w:pPr>
            <w:r>
              <w:rPr>
                <w:rFonts w:ascii="仿宋" w:hAnsi="仿宋" w:eastAsia="仿宋" w:cs="仿宋"/>
                <w:spacing w:val="-3"/>
                <w:sz w:val="28"/>
                <w:szCs w:val="28"/>
              </w:rPr>
              <w:t>矿</w:t>
            </w:r>
            <w:r>
              <w:rPr>
                <w:rFonts w:ascii="仿宋" w:hAnsi="仿宋" w:eastAsia="仿宋" w:cs="仿宋"/>
                <w:spacing w:val="-60"/>
                <w:sz w:val="28"/>
                <w:szCs w:val="28"/>
              </w:rPr>
              <w:t xml:space="preserve"> </w:t>
            </w:r>
            <w:r>
              <w:rPr>
                <w:rFonts w:ascii="仿宋" w:hAnsi="仿宋" w:eastAsia="仿宋" w:cs="仿宋"/>
                <w:spacing w:val="-3"/>
                <w:sz w:val="28"/>
                <w:szCs w:val="28"/>
              </w:rPr>
              <w:t>2000t/d</w:t>
            </w:r>
            <w:r>
              <w:rPr>
                <w:rFonts w:ascii="仿宋" w:hAnsi="仿宋" w:eastAsia="仿宋" w:cs="仿宋"/>
                <w:spacing w:val="-48"/>
                <w:sz w:val="28"/>
                <w:szCs w:val="28"/>
              </w:rPr>
              <w:t xml:space="preserve"> </w:t>
            </w:r>
            <w:r>
              <w:rPr>
                <w:rFonts w:ascii="仿宋" w:hAnsi="仿宋" w:eastAsia="仿宋" w:cs="仿宋"/>
                <w:spacing w:val="-3"/>
                <w:sz w:val="28"/>
                <w:szCs w:val="28"/>
              </w:rPr>
              <w:t>选矿厂技术改造项目</w:t>
            </w:r>
          </w:p>
        </w:tc>
      </w:tr>
      <w:tr w14:paraId="21D25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640" w:type="dxa"/>
            <w:vAlign w:val="top"/>
          </w:tcPr>
          <w:p w14:paraId="77A8F057">
            <w:pPr>
              <w:spacing w:before="279" w:line="222" w:lineRule="auto"/>
              <w:ind w:left="277"/>
              <w:rPr>
                <w:rFonts w:ascii="仿宋" w:hAnsi="仿宋" w:eastAsia="仿宋" w:cs="仿宋"/>
                <w:sz w:val="28"/>
                <w:szCs w:val="28"/>
              </w:rPr>
            </w:pPr>
            <w:r>
              <w:rPr>
                <w:rFonts w:ascii="仿宋" w:hAnsi="仿宋" w:eastAsia="仿宋" w:cs="仿宋"/>
                <w:spacing w:val="-5"/>
                <w:sz w:val="28"/>
                <w:szCs w:val="28"/>
              </w:rPr>
              <w:t>环评单位</w:t>
            </w:r>
          </w:p>
        </w:tc>
        <w:tc>
          <w:tcPr>
            <w:tcW w:w="3458" w:type="dxa"/>
            <w:gridSpan w:val="2"/>
            <w:vAlign w:val="top"/>
          </w:tcPr>
          <w:p w14:paraId="69E913B7">
            <w:pPr>
              <w:spacing w:before="280" w:line="223" w:lineRule="auto"/>
              <w:ind w:left="101"/>
              <w:rPr>
                <w:rFonts w:ascii="仿宋" w:hAnsi="仿宋" w:eastAsia="仿宋" w:cs="仿宋"/>
                <w:sz w:val="28"/>
                <w:szCs w:val="28"/>
              </w:rPr>
            </w:pPr>
            <w:r>
              <w:rPr>
                <w:rFonts w:ascii="仿宋" w:hAnsi="仿宋" w:eastAsia="仿宋" w:cs="仿宋"/>
                <w:spacing w:val="-5"/>
                <w:sz w:val="28"/>
                <w:szCs w:val="28"/>
              </w:rPr>
              <w:t>中冶西北工程技术有限公司</w:t>
            </w:r>
          </w:p>
        </w:tc>
        <w:tc>
          <w:tcPr>
            <w:tcW w:w="1760" w:type="dxa"/>
            <w:vAlign w:val="top"/>
          </w:tcPr>
          <w:p w14:paraId="7F86BD82">
            <w:pPr>
              <w:spacing w:before="82" w:line="235" w:lineRule="auto"/>
              <w:ind w:left="646" w:right="457" w:hanging="173"/>
              <w:rPr>
                <w:rFonts w:ascii="仿宋" w:hAnsi="仿宋" w:eastAsia="仿宋" w:cs="仿宋"/>
                <w:sz w:val="28"/>
                <w:szCs w:val="28"/>
              </w:rPr>
            </w:pPr>
            <w:r>
              <w:rPr>
                <w:rFonts w:ascii="仿宋" w:hAnsi="仿宋" w:eastAsia="仿宋" w:cs="仿宋"/>
                <w:spacing w:val="-6"/>
                <w:sz w:val="28"/>
                <w:szCs w:val="28"/>
              </w:rPr>
              <w:t>联系人</w:t>
            </w:r>
            <w:r>
              <w:rPr>
                <w:rFonts w:ascii="仿宋" w:hAnsi="仿宋" w:eastAsia="仿宋" w:cs="仿宋"/>
                <w:spacing w:val="1"/>
                <w:sz w:val="28"/>
                <w:szCs w:val="28"/>
              </w:rPr>
              <w:t xml:space="preserve"> </w:t>
            </w:r>
            <w:r>
              <w:rPr>
                <w:rFonts w:ascii="仿宋" w:hAnsi="仿宋" w:eastAsia="仿宋" w:cs="仿宋"/>
                <w:spacing w:val="-24"/>
                <w:sz w:val="28"/>
                <w:szCs w:val="28"/>
              </w:rPr>
              <w:t>电话</w:t>
            </w:r>
          </w:p>
        </w:tc>
        <w:tc>
          <w:tcPr>
            <w:tcW w:w="2114" w:type="dxa"/>
            <w:vAlign w:val="top"/>
          </w:tcPr>
          <w:p w14:paraId="50616444">
            <w:pPr>
              <w:spacing w:before="81" w:line="225" w:lineRule="auto"/>
              <w:ind w:left="793"/>
              <w:rPr>
                <w:rFonts w:ascii="仿宋" w:hAnsi="仿宋" w:eastAsia="仿宋" w:cs="仿宋"/>
                <w:sz w:val="28"/>
                <w:szCs w:val="28"/>
              </w:rPr>
            </w:pPr>
            <w:r>
              <w:rPr>
                <w:rFonts w:ascii="仿宋" w:hAnsi="仿宋" w:eastAsia="仿宋" w:cs="仿宋"/>
                <w:spacing w:val="-9"/>
                <w:sz w:val="28"/>
                <w:szCs w:val="28"/>
              </w:rPr>
              <w:t>刘鹏</w:t>
            </w:r>
          </w:p>
          <w:p w14:paraId="3D4207CA">
            <w:pPr>
              <w:spacing w:before="58" w:line="207" w:lineRule="auto"/>
              <w:ind w:left="314"/>
              <w:rPr>
                <w:rFonts w:ascii="仿宋" w:hAnsi="仿宋" w:eastAsia="仿宋" w:cs="仿宋"/>
                <w:sz w:val="28"/>
                <w:szCs w:val="28"/>
              </w:rPr>
            </w:pPr>
            <w:r>
              <w:rPr>
                <w:rFonts w:ascii="仿宋" w:hAnsi="仿宋" w:eastAsia="仿宋" w:cs="仿宋"/>
                <w:spacing w:val="-3"/>
                <w:sz w:val="28"/>
                <w:szCs w:val="28"/>
              </w:rPr>
              <w:t>18004725230</w:t>
            </w:r>
          </w:p>
        </w:tc>
      </w:tr>
      <w:tr w14:paraId="6C5F9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640" w:type="dxa"/>
            <w:vAlign w:val="top"/>
          </w:tcPr>
          <w:p w14:paraId="2A15FF78">
            <w:pPr>
              <w:spacing w:before="115" w:line="223" w:lineRule="auto"/>
              <w:ind w:left="277"/>
              <w:rPr>
                <w:rFonts w:ascii="仿宋" w:hAnsi="仿宋" w:eastAsia="仿宋" w:cs="仿宋"/>
                <w:sz w:val="28"/>
                <w:szCs w:val="28"/>
              </w:rPr>
            </w:pPr>
            <w:r>
              <w:rPr>
                <w:rFonts w:ascii="仿宋" w:hAnsi="仿宋" w:eastAsia="仿宋" w:cs="仿宋"/>
                <w:spacing w:val="-5"/>
                <w:sz w:val="28"/>
                <w:szCs w:val="28"/>
              </w:rPr>
              <w:t>报告类型</w:t>
            </w:r>
          </w:p>
        </w:tc>
        <w:tc>
          <w:tcPr>
            <w:tcW w:w="3458" w:type="dxa"/>
            <w:gridSpan w:val="2"/>
            <w:vAlign w:val="top"/>
          </w:tcPr>
          <w:p w14:paraId="5C04A3DC">
            <w:pPr>
              <w:spacing w:before="115" w:line="223" w:lineRule="auto"/>
              <w:ind w:left="1394"/>
              <w:rPr>
                <w:rFonts w:ascii="仿宋" w:hAnsi="仿宋" w:eastAsia="仿宋" w:cs="仿宋"/>
                <w:sz w:val="28"/>
                <w:szCs w:val="28"/>
              </w:rPr>
            </w:pPr>
            <w:r>
              <w:rPr>
                <w:rFonts w:ascii="仿宋" w:hAnsi="仿宋" w:eastAsia="仿宋" w:cs="仿宋"/>
                <w:spacing w:val="-6"/>
                <w:sz w:val="28"/>
                <w:szCs w:val="28"/>
              </w:rPr>
              <w:t>报告书</w:t>
            </w:r>
          </w:p>
        </w:tc>
        <w:tc>
          <w:tcPr>
            <w:tcW w:w="3874" w:type="dxa"/>
            <w:gridSpan w:val="2"/>
            <w:vAlign w:val="top"/>
          </w:tcPr>
          <w:p w14:paraId="2C20B2C5">
            <w:pPr>
              <w:spacing w:before="115" w:line="223" w:lineRule="auto"/>
              <w:ind w:left="792"/>
              <w:rPr>
                <w:rFonts w:ascii="仿宋" w:hAnsi="仿宋" w:eastAsia="仿宋" w:cs="仿宋"/>
                <w:sz w:val="28"/>
                <w:szCs w:val="28"/>
              </w:rPr>
            </w:pPr>
            <w:r>
              <w:rPr>
                <w:rFonts w:ascii="仿宋" w:hAnsi="仿宋" w:eastAsia="仿宋" w:cs="仿宋"/>
                <w:spacing w:val="-10"/>
                <w:sz w:val="28"/>
                <w:szCs w:val="28"/>
              </w:rPr>
              <w:t>2023</w:t>
            </w:r>
            <w:r>
              <w:rPr>
                <w:rFonts w:ascii="仿宋" w:hAnsi="仿宋" w:eastAsia="仿宋" w:cs="仿宋"/>
                <w:spacing w:val="-46"/>
                <w:sz w:val="28"/>
                <w:szCs w:val="28"/>
              </w:rPr>
              <w:t xml:space="preserve"> </w:t>
            </w:r>
            <w:r>
              <w:rPr>
                <w:rFonts w:ascii="仿宋" w:hAnsi="仿宋" w:eastAsia="仿宋" w:cs="仿宋"/>
                <w:spacing w:val="-10"/>
                <w:sz w:val="28"/>
                <w:szCs w:val="28"/>
              </w:rPr>
              <w:t>年</w:t>
            </w:r>
            <w:r>
              <w:rPr>
                <w:rFonts w:ascii="仿宋" w:hAnsi="仿宋" w:eastAsia="仿宋" w:cs="仿宋"/>
                <w:spacing w:val="10"/>
                <w:sz w:val="28"/>
                <w:szCs w:val="28"/>
              </w:rPr>
              <w:t xml:space="preserve">   </w:t>
            </w:r>
            <w:r>
              <w:rPr>
                <w:rFonts w:ascii="仿宋" w:hAnsi="仿宋" w:eastAsia="仿宋" w:cs="仿宋"/>
                <w:spacing w:val="-10"/>
                <w:sz w:val="28"/>
                <w:szCs w:val="28"/>
              </w:rPr>
              <w:t>月</w:t>
            </w:r>
            <w:r>
              <w:rPr>
                <w:rFonts w:ascii="仿宋" w:hAnsi="仿宋" w:eastAsia="仿宋" w:cs="仿宋"/>
                <w:spacing w:val="26"/>
                <w:sz w:val="28"/>
                <w:szCs w:val="28"/>
              </w:rPr>
              <w:t xml:space="preserve">   </w:t>
            </w:r>
            <w:r>
              <w:rPr>
                <w:rFonts w:ascii="仿宋" w:hAnsi="仿宋" w:eastAsia="仿宋" w:cs="仿宋"/>
                <w:spacing w:val="-10"/>
                <w:sz w:val="28"/>
                <w:szCs w:val="28"/>
              </w:rPr>
              <w:t>日</w:t>
            </w:r>
          </w:p>
        </w:tc>
      </w:tr>
      <w:tr w14:paraId="762FA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75" w:type="dxa"/>
            <w:gridSpan w:val="2"/>
            <w:vAlign w:val="top"/>
          </w:tcPr>
          <w:p w14:paraId="2782AEDC">
            <w:pPr>
              <w:spacing w:before="79" w:line="208" w:lineRule="auto"/>
              <w:ind w:left="727"/>
              <w:rPr>
                <w:rFonts w:ascii="仿宋" w:hAnsi="仿宋" w:eastAsia="仿宋" w:cs="仿宋"/>
                <w:sz w:val="28"/>
                <w:szCs w:val="28"/>
              </w:rPr>
            </w:pPr>
            <w:r>
              <w:rPr>
                <w:rFonts w:ascii="仿宋" w:hAnsi="仿宋" w:eastAsia="仿宋" w:cs="仿宋"/>
                <w:b/>
                <w:bCs/>
                <w:spacing w:val="-8"/>
                <w:sz w:val="28"/>
                <w:szCs w:val="28"/>
              </w:rPr>
              <w:t>专家意见（1/3</w:t>
            </w:r>
            <w:r>
              <w:rPr>
                <w:rFonts w:ascii="仿宋" w:hAnsi="仿宋" w:eastAsia="仿宋" w:cs="仿宋"/>
                <w:spacing w:val="-33"/>
                <w:sz w:val="28"/>
                <w:szCs w:val="28"/>
              </w:rPr>
              <w:t xml:space="preserve"> </w:t>
            </w:r>
            <w:r>
              <w:rPr>
                <w:rFonts w:ascii="仿宋" w:hAnsi="仿宋" w:eastAsia="仿宋" w:cs="仿宋"/>
                <w:b/>
                <w:bCs/>
                <w:spacing w:val="-8"/>
                <w:sz w:val="28"/>
                <w:szCs w:val="28"/>
              </w:rPr>
              <w:t>页）</w:t>
            </w:r>
          </w:p>
        </w:tc>
        <w:tc>
          <w:tcPr>
            <w:tcW w:w="5097" w:type="dxa"/>
            <w:gridSpan w:val="3"/>
            <w:vAlign w:val="top"/>
          </w:tcPr>
          <w:p w14:paraId="10764DC9">
            <w:pPr>
              <w:spacing w:before="79" w:line="208" w:lineRule="auto"/>
              <w:ind w:left="277"/>
              <w:rPr>
                <w:rFonts w:ascii="仿宋" w:hAnsi="仿宋" w:eastAsia="仿宋" w:cs="仿宋"/>
                <w:sz w:val="28"/>
                <w:szCs w:val="28"/>
              </w:rPr>
            </w:pPr>
            <w:r>
              <w:rPr>
                <w:rFonts w:ascii="仿宋" w:hAnsi="仿宋" w:eastAsia="仿宋" w:cs="仿宋"/>
                <w:b/>
                <w:bCs/>
                <w:spacing w:val="-3"/>
                <w:sz w:val="28"/>
                <w:szCs w:val="28"/>
              </w:rPr>
              <w:t>修改说明（标注修改页码</w:t>
            </w:r>
            <w:r>
              <w:rPr>
                <w:rFonts w:ascii="仿宋" w:hAnsi="仿宋" w:eastAsia="仿宋" w:cs="仿宋"/>
                <w:b/>
                <w:bCs/>
                <w:spacing w:val="-77"/>
                <w:w w:val="95"/>
                <w:sz w:val="28"/>
                <w:szCs w:val="28"/>
              </w:rPr>
              <w:t>）（</w:t>
            </w:r>
            <w:r>
              <w:rPr>
                <w:rFonts w:ascii="仿宋" w:hAnsi="仿宋" w:eastAsia="仿宋" w:cs="仿宋"/>
                <w:b/>
                <w:bCs/>
                <w:spacing w:val="-3"/>
                <w:sz w:val="28"/>
                <w:szCs w:val="28"/>
              </w:rPr>
              <w:t>1/3</w:t>
            </w:r>
            <w:r>
              <w:rPr>
                <w:rFonts w:ascii="仿宋" w:hAnsi="仿宋" w:eastAsia="仿宋" w:cs="仿宋"/>
                <w:spacing w:val="-36"/>
                <w:sz w:val="28"/>
                <w:szCs w:val="28"/>
              </w:rPr>
              <w:t xml:space="preserve"> </w:t>
            </w:r>
            <w:r>
              <w:rPr>
                <w:rFonts w:ascii="仿宋" w:hAnsi="仿宋" w:eastAsia="仿宋" w:cs="仿宋"/>
                <w:b/>
                <w:bCs/>
                <w:spacing w:val="-3"/>
                <w:sz w:val="28"/>
                <w:szCs w:val="28"/>
              </w:rPr>
              <w:t>页）</w:t>
            </w:r>
          </w:p>
        </w:tc>
      </w:tr>
      <w:tr w14:paraId="7B524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5" w:hRule="atLeast"/>
        </w:trPr>
        <w:tc>
          <w:tcPr>
            <w:tcW w:w="3875" w:type="dxa"/>
            <w:gridSpan w:val="2"/>
            <w:vAlign w:val="top"/>
          </w:tcPr>
          <w:p w14:paraId="6D5C6A77">
            <w:pPr>
              <w:spacing w:before="63" w:line="246" w:lineRule="auto"/>
              <w:ind w:left="46" w:firstLine="12"/>
              <w:rPr>
                <w:rFonts w:ascii="仿宋" w:hAnsi="仿宋" w:eastAsia="仿宋" w:cs="仿宋"/>
                <w:sz w:val="28"/>
                <w:szCs w:val="28"/>
              </w:rPr>
            </w:pPr>
            <w:r>
              <w:rPr>
                <w:rFonts w:ascii="仿宋" w:hAnsi="仿宋" w:eastAsia="仿宋" w:cs="仿宋"/>
                <w:spacing w:val="-13"/>
                <w:sz w:val="28"/>
                <w:szCs w:val="28"/>
              </w:rPr>
              <w:t>1.完善项目由来，完善本项目与</w:t>
            </w:r>
            <w:r>
              <w:rPr>
                <w:rFonts w:ascii="仿宋" w:hAnsi="仿宋" w:eastAsia="仿宋" w:cs="仿宋"/>
                <w:spacing w:val="8"/>
                <w:sz w:val="28"/>
                <w:szCs w:val="28"/>
              </w:rPr>
              <w:t xml:space="preserve"> </w:t>
            </w:r>
            <w:r>
              <w:rPr>
                <w:rFonts w:ascii="仿宋" w:hAnsi="仿宋" w:eastAsia="仿宋" w:cs="仿宋"/>
                <w:spacing w:val="-28"/>
                <w:sz w:val="28"/>
                <w:szCs w:val="28"/>
              </w:rPr>
              <w:t>锡盟“三线一单</w:t>
            </w:r>
            <w:r>
              <w:rPr>
                <w:rFonts w:ascii="仿宋" w:hAnsi="仿宋" w:eastAsia="仿宋" w:cs="仿宋"/>
                <w:spacing w:val="-98"/>
                <w:sz w:val="28"/>
                <w:szCs w:val="28"/>
              </w:rPr>
              <w:t xml:space="preserve"> </w:t>
            </w:r>
            <w:r>
              <w:rPr>
                <w:rFonts w:ascii="仿宋" w:hAnsi="仿宋" w:eastAsia="仿宋" w:cs="仿宋"/>
                <w:spacing w:val="-28"/>
                <w:sz w:val="28"/>
                <w:szCs w:val="28"/>
              </w:rPr>
              <w:t>”的符合性分析；</w:t>
            </w:r>
            <w:r>
              <w:rPr>
                <w:rFonts w:ascii="仿宋" w:hAnsi="仿宋" w:eastAsia="仿宋" w:cs="仿宋"/>
                <w:sz w:val="28"/>
                <w:szCs w:val="28"/>
              </w:rPr>
              <w:t xml:space="preserve"> </w:t>
            </w:r>
            <w:r>
              <w:rPr>
                <w:rFonts w:ascii="仿宋" w:hAnsi="仿宋" w:eastAsia="仿宋" w:cs="仿宋"/>
                <w:spacing w:val="-13"/>
                <w:sz w:val="28"/>
                <w:szCs w:val="28"/>
              </w:rPr>
              <w:t>完善与《铅锌行业规范条件》信</w:t>
            </w:r>
            <w:r>
              <w:rPr>
                <w:rFonts w:ascii="仿宋" w:hAnsi="仿宋" w:eastAsia="仿宋" w:cs="仿宋"/>
                <w:spacing w:val="8"/>
                <w:sz w:val="28"/>
                <w:szCs w:val="28"/>
              </w:rPr>
              <w:t xml:space="preserve"> </w:t>
            </w:r>
            <w:r>
              <w:rPr>
                <w:rFonts w:ascii="仿宋" w:hAnsi="仿宋" w:eastAsia="仿宋" w:cs="仿宋"/>
                <w:spacing w:val="-4"/>
                <w:sz w:val="28"/>
                <w:szCs w:val="28"/>
              </w:rPr>
              <w:t>息化部公告2020 年第</w:t>
            </w:r>
            <w:r>
              <w:rPr>
                <w:rFonts w:ascii="仿宋" w:hAnsi="仿宋" w:eastAsia="仿宋" w:cs="仿宋"/>
                <w:spacing w:val="-53"/>
                <w:sz w:val="28"/>
                <w:szCs w:val="28"/>
              </w:rPr>
              <w:t xml:space="preserve"> </w:t>
            </w:r>
            <w:r>
              <w:rPr>
                <w:rFonts w:ascii="仿宋" w:hAnsi="仿宋" w:eastAsia="仿宋" w:cs="仿宋"/>
                <w:spacing w:val="-4"/>
                <w:sz w:val="28"/>
                <w:szCs w:val="28"/>
              </w:rPr>
              <w:t>7</w:t>
            </w:r>
            <w:r>
              <w:rPr>
                <w:rFonts w:ascii="仿宋" w:hAnsi="仿宋" w:eastAsia="仿宋" w:cs="仿宋"/>
                <w:spacing w:val="-57"/>
                <w:sz w:val="28"/>
                <w:szCs w:val="28"/>
              </w:rPr>
              <w:t xml:space="preserve"> </w:t>
            </w:r>
            <w:r>
              <w:rPr>
                <w:rFonts w:ascii="仿宋" w:hAnsi="仿宋" w:eastAsia="仿宋" w:cs="仿宋"/>
                <w:spacing w:val="-4"/>
                <w:sz w:val="28"/>
                <w:szCs w:val="28"/>
              </w:rPr>
              <w:t>号的符</w:t>
            </w:r>
            <w:r>
              <w:rPr>
                <w:rFonts w:ascii="仿宋" w:hAnsi="仿宋" w:eastAsia="仿宋" w:cs="仿宋"/>
                <w:sz w:val="28"/>
                <w:szCs w:val="28"/>
              </w:rPr>
              <w:t xml:space="preserve"> </w:t>
            </w:r>
            <w:r>
              <w:rPr>
                <w:rFonts w:ascii="仿宋" w:hAnsi="仿宋" w:eastAsia="仿宋" w:cs="仿宋"/>
                <w:spacing w:val="-7"/>
                <w:sz w:val="28"/>
                <w:szCs w:val="28"/>
              </w:rPr>
              <w:t>合性分析；补充产品技术指标；</w:t>
            </w:r>
            <w:r>
              <w:rPr>
                <w:rFonts w:ascii="仿宋" w:hAnsi="仿宋" w:eastAsia="仿宋" w:cs="仿宋"/>
                <w:sz w:val="28"/>
                <w:szCs w:val="28"/>
              </w:rPr>
              <w:t xml:space="preserve"> </w:t>
            </w:r>
            <w:r>
              <w:rPr>
                <w:rFonts w:ascii="仿宋" w:hAnsi="仿宋" w:eastAsia="仿宋" w:cs="仿宋"/>
                <w:spacing w:val="-6"/>
                <w:sz w:val="28"/>
                <w:szCs w:val="28"/>
              </w:rPr>
              <w:t>核实环境敏感目标。</w:t>
            </w:r>
          </w:p>
          <w:p w14:paraId="1279A658">
            <w:pPr>
              <w:spacing w:before="44" w:line="248" w:lineRule="auto"/>
              <w:ind w:left="48" w:hanging="7"/>
              <w:rPr>
                <w:rFonts w:ascii="仿宋" w:hAnsi="仿宋" w:eastAsia="仿宋" w:cs="仿宋"/>
                <w:sz w:val="28"/>
                <w:szCs w:val="28"/>
              </w:rPr>
            </w:pPr>
            <w:r>
              <w:rPr>
                <w:rFonts w:ascii="仿宋" w:hAnsi="仿宋" w:eastAsia="仿宋" w:cs="仿宋"/>
                <w:spacing w:val="-7"/>
                <w:sz w:val="28"/>
                <w:szCs w:val="28"/>
              </w:rPr>
              <w:t>2.核实生活污水排放执行标准，</w:t>
            </w:r>
            <w:r>
              <w:rPr>
                <w:rFonts w:ascii="仿宋" w:hAnsi="仿宋" w:eastAsia="仿宋" w:cs="仿宋"/>
                <w:spacing w:val="12"/>
                <w:sz w:val="28"/>
                <w:szCs w:val="28"/>
              </w:rPr>
              <w:t xml:space="preserve"> </w:t>
            </w:r>
            <w:r>
              <w:rPr>
                <w:rFonts w:ascii="仿宋" w:hAnsi="仿宋" w:eastAsia="仿宋" w:cs="仿宋"/>
                <w:spacing w:val="-11"/>
                <w:sz w:val="28"/>
                <w:szCs w:val="28"/>
              </w:rPr>
              <w:t>更新杂用水水质标准；核实声环</w:t>
            </w:r>
            <w:r>
              <w:rPr>
                <w:rFonts w:ascii="仿宋" w:hAnsi="仿宋" w:eastAsia="仿宋" w:cs="仿宋"/>
                <w:spacing w:val="9"/>
                <w:sz w:val="28"/>
                <w:szCs w:val="28"/>
              </w:rPr>
              <w:t xml:space="preserve"> </w:t>
            </w:r>
            <w:r>
              <w:rPr>
                <w:rFonts w:ascii="仿宋" w:hAnsi="仿宋" w:eastAsia="仿宋" w:cs="仿宋"/>
                <w:spacing w:val="-11"/>
                <w:sz w:val="28"/>
                <w:szCs w:val="28"/>
              </w:rPr>
              <w:t>境保护目标分布情况，核实声环</w:t>
            </w:r>
            <w:r>
              <w:rPr>
                <w:rFonts w:ascii="仿宋" w:hAnsi="仿宋" w:eastAsia="仿宋" w:cs="仿宋"/>
                <w:spacing w:val="9"/>
                <w:sz w:val="28"/>
                <w:szCs w:val="28"/>
              </w:rPr>
              <w:t xml:space="preserve"> </w:t>
            </w:r>
            <w:r>
              <w:rPr>
                <w:rFonts w:ascii="仿宋" w:hAnsi="仿宋" w:eastAsia="仿宋" w:cs="仿宋"/>
                <w:spacing w:val="-3"/>
                <w:sz w:val="28"/>
                <w:szCs w:val="28"/>
              </w:rPr>
              <w:t>境质量标准、噪声排放执行标</w:t>
            </w:r>
            <w:r>
              <w:rPr>
                <w:rFonts w:ascii="仿宋" w:hAnsi="仿宋" w:eastAsia="仿宋" w:cs="仿宋"/>
                <w:sz w:val="28"/>
                <w:szCs w:val="28"/>
              </w:rPr>
              <w:t xml:space="preserve">  </w:t>
            </w:r>
            <w:r>
              <w:rPr>
                <w:rFonts w:ascii="仿宋" w:hAnsi="仿宋" w:eastAsia="仿宋" w:cs="仿宋"/>
                <w:spacing w:val="-11"/>
                <w:sz w:val="28"/>
                <w:szCs w:val="28"/>
              </w:rPr>
              <w:t>准；完善大气环境估算参数一览</w:t>
            </w:r>
            <w:r>
              <w:rPr>
                <w:rFonts w:ascii="仿宋" w:hAnsi="仿宋" w:eastAsia="仿宋" w:cs="仿宋"/>
                <w:spacing w:val="9"/>
                <w:sz w:val="28"/>
                <w:szCs w:val="28"/>
              </w:rPr>
              <w:t xml:space="preserve"> </w:t>
            </w:r>
            <w:r>
              <w:rPr>
                <w:rFonts w:ascii="仿宋" w:hAnsi="仿宋" w:eastAsia="仿宋" w:cs="仿宋"/>
                <w:spacing w:val="-3"/>
                <w:sz w:val="28"/>
                <w:szCs w:val="28"/>
              </w:rPr>
              <w:t>表，核实大气环境评价工作等</w:t>
            </w:r>
            <w:r>
              <w:rPr>
                <w:rFonts w:ascii="仿宋" w:hAnsi="仿宋" w:eastAsia="仿宋" w:cs="仿宋"/>
                <w:sz w:val="28"/>
                <w:szCs w:val="28"/>
              </w:rPr>
              <w:t xml:space="preserve">  </w:t>
            </w:r>
            <w:r>
              <w:rPr>
                <w:rFonts w:ascii="仿宋" w:hAnsi="仿宋" w:eastAsia="仿宋" w:cs="仿宋"/>
                <w:spacing w:val="-3"/>
                <w:sz w:val="28"/>
                <w:szCs w:val="28"/>
              </w:rPr>
              <w:t>级；完善生态环境评价等级判</w:t>
            </w:r>
            <w:r>
              <w:rPr>
                <w:rFonts w:ascii="仿宋" w:hAnsi="仿宋" w:eastAsia="仿宋" w:cs="仿宋"/>
                <w:sz w:val="28"/>
                <w:szCs w:val="28"/>
              </w:rPr>
              <w:t xml:space="preserve">  </w:t>
            </w:r>
            <w:r>
              <w:rPr>
                <w:rFonts w:ascii="仿宋" w:hAnsi="仿宋" w:eastAsia="仿宋" w:cs="仿宋"/>
                <w:spacing w:val="-11"/>
                <w:sz w:val="28"/>
                <w:szCs w:val="28"/>
              </w:rPr>
              <w:t>定。</w:t>
            </w:r>
          </w:p>
          <w:p w14:paraId="557DD4F6">
            <w:pPr>
              <w:spacing w:before="33" w:line="248" w:lineRule="auto"/>
              <w:ind w:left="45" w:hanging="2"/>
              <w:rPr>
                <w:rFonts w:ascii="仿宋" w:hAnsi="仿宋" w:eastAsia="仿宋" w:cs="仿宋"/>
                <w:sz w:val="28"/>
                <w:szCs w:val="28"/>
              </w:rPr>
            </w:pPr>
            <w:r>
              <w:rPr>
                <w:rFonts w:ascii="仿宋" w:hAnsi="仿宋" w:eastAsia="仿宋" w:cs="仿宋"/>
                <w:spacing w:val="-11"/>
                <w:sz w:val="28"/>
                <w:szCs w:val="28"/>
              </w:rPr>
              <w:t>3.简化现有工程概况，补充现有</w:t>
            </w:r>
            <w:r>
              <w:rPr>
                <w:rFonts w:ascii="仿宋" w:hAnsi="仿宋" w:eastAsia="仿宋" w:cs="仿宋"/>
                <w:spacing w:val="12"/>
                <w:sz w:val="28"/>
                <w:szCs w:val="28"/>
              </w:rPr>
              <w:t xml:space="preserve"> </w:t>
            </w:r>
            <w:r>
              <w:rPr>
                <w:rFonts w:ascii="仿宋" w:hAnsi="仿宋" w:eastAsia="仿宋" w:cs="仿宋"/>
                <w:spacing w:val="-11"/>
                <w:sz w:val="28"/>
                <w:szCs w:val="28"/>
              </w:rPr>
              <w:t>工程总物料平衡、总水平衡；补</w:t>
            </w:r>
            <w:r>
              <w:rPr>
                <w:rFonts w:ascii="仿宋" w:hAnsi="仿宋" w:eastAsia="仿宋" w:cs="仿宋"/>
                <w:sz w:val="28"/>
                <w:szCs w:val="28"/>
              </w:rPr>
              <w:t xml:space="preserve"> </w:t>
            </w:r>
            <w:r>
              <w:rPr>
                <w:rFonts w:ascii="仿宋" w:hAnsi="仿宋" w:eastAsia="仿宋" w:cs="仿宋"/>
                <w:spacing w:val="-7"/>
                <w:sz w:val="28"/>
                <w:szCs w:val="28"/>
              </w:rPr>
              <w:t>充现有工程排污许可申报情况、</w:t>
            </w:r>
            <w:r>
              <w:rPr>
                <w:rFonts w:ascii="仿宋" w:hAnsi="仿宋" w:eastAsia="仿宋" w:cs="仿宋"/>
                <w:sz w:val="28"/>
                <w:szCs w:val="28"/>
              </w:rPr>
              <w:t xml:space="preserve"> </w:t>
            </w:r>
            <w:r>
              <w:rPr>
                <w:rFonts w:ascii="仿宋" w:hAnsi="仿宋" w:eastAsia="仿宋" w:cs="仿宋"/>
                <w:spacing w:val="-11"/>
                <w:sz w:val="28"/>
                <w:szCs w:val="28"/>
              </w:rPr>
              <w:t>自行监测计划落实情况、污染物</w:t>
            </w:r>
            <w:r>
              <w:rPr>
                <w:rFonts w:ascii="仿宋" w:hAnsi="仿宋" w:eastAsia="仿宋" w:cs="仿宋"/>
                <w:sz w:val="28"/>
                <w:szCs w:val="28"/>
              </w:rPr>
              <w:t xml:space="preserve"> </w:t>
            </w:r>
            <w:r>
              <w:rPr>
                <w:rFonts w:ascii="仿宋" w:hAnsi="仿宋" w:eastAsia="仿宋" w:cs="仿宋"/>
                <w:spacing w:val="-4"/>
                <w:sz w:val="28"/>
                <w:szCs w:val="28"/>
              </w:rPr>
              <w:t>达标排放情况及污染物排放总</w:t>
            </w:r>
            <w:r>
              <w:rPr>
                <w:rFonts w:ascii="仿宋" w:hAnsi="仿宋" w:eastAsia="仿宋" w:cs="仿宋"/>
                <w:spacing w:val="1"/>
                <w:sz w:val="28"/>
                <w:szCs w:val="28"/>
              </w:rPr>
              <w:t xml:space="preserve">  </w:t>
            </w:r>
            <w:r>
              <w:rPr>
                <w:rFonts w:ascii="仿宋" w:hAnsi="仿宋" w:eastAsia="仿宋" w:cs="仿宋"/>
                <w:spacing w:val="-11"/>
                <w:sz w:val="28"/>
                <w:szCs w:val="28"/>
              </w:rPr>
              <w:t>量核算；补充是否发生过环境事</w:t>
            </w:r>
            <w:r>
              <w:rPr>
                <w:rFonts w:ascii="仿宋" w:hAnsi="仿宋" w:eastAsia="仿宋" w:cs="仿宋"/>
                <w:sz w:val="28"/>
                <w:szCs w:val="28"/>
              </w:rPr>
              <w:t xml:space="preserve"> </w:t>
            </w:r>
            <w:r>
              <w:rPr>
                <w:rFonts w:ascii="仿宋" w:hAnsi="仿宋" w:eastAsia="仿宋" w:cs="仿宋"/>
                <w:spacing w:val="-11"/>
                <w:sz w:val="28"/>
                <w:szCs w:val="28"/>
              </w:rPr>
              <w:t>故并补充解决方式及结果；完善</w:t>
            </w:r>
            <w:r>
              <w:rPr>
                <w:rFonts w:ascii="仿宋" w:hAnsi="仿宋" w:eastAsia="仿宋" w:cs="仿宋"/>
                <w:sz w:val="28"/>
                <w:szCs w:val="28"/>
              </w:rPr>
              <w:t xml:space="preserve"> </w:t>
            </w:r>
            <w:r>
              <w:rPr>
                <w:rFonts w:ascii="仿宋" w:hAnsi="仿宋" w:eastAsia="仿宋" w:cs="仿宋"/>
                <w:spacing w:val="-4"/>
                <w:sz w:val="28"/>
                <w:szCs w:val="28"/>
              </w:rPr>
              <w:t>存在的环境问题分析并提出整</w:t>
            </w:r>
            <w:r>
              <w:rPr>
                <w:rFonts w:ascii="仿宋" w:hAnsi="仿宋" w:eastAsia="仿宋" w:cs="仿宋"/>
                <w:spacing w:val="1"/>
                <w:sz w:val="28"/>
                <w:szCs w:val="28"/>
              </w:rPr>
              <w:t xml:space="preserve">  </w:t>
            </w:r>
            <w:r>
              <w:rPr>
                <w:rFonts w:ascii="仿宋" w:hAnsi="仿宋" w:eastAsia="仿宋" w:cs="仿宋"/>
                <w:spacing w:val="-11"/>
                <w:sz w:val="28"/>
                <w:szCs w:val="28"/>
              </w:rPr>
              <w:t>改措施；明确采矿工程、现有选</w:t>
            </w:r>
            <w:r>
              <w:rPr>
                <w:rFonts w:ascii="仿宋" w:hAnsi="仿宋" w:eastAsia="仿宋" w:cs="仿宋"/>
                <w:sz w:val="28"/>
                <w:szCs w:val="28"/>
              </w:rPr>
              <w:t xml:space="preserve"> </w:t>
            </w:r>
            <w:r>
              <w:rPr>
                <w:rFonts w:ascii="仿宋" w:hAnsi="仿宋" w:eastAsia="仿宋" w:cs="仿宋"/>
                <w:spacing w:val="-4"/>
                <w:sz w:val="28"/>
                <w:szCs w:val="28"/>
              </w:rPr>
              <w:t>厂和技改工程的位置关系、距</w:t>
            </w:r>
            <w:r>
              <w:rPr>
                <w:rFonts w:ascii="仿宋" w:hAnsi="仿宋" w:eastAsia="仿宋" w:cs="仿宋"/>
                <w:spacing w:val="1"/>
                <w:sz w:val="28"/>
                <w:szCs w:val="28"/>
              </w:rPr>
              <w:t xml:space="preserve">  </w:t>
            </w:r>
            <w:r>
              <w:rPr>
                <w:rFonts w:ascii="仿宋" w:hAnsi="仿宋" w:eastAsia="仿宋" w:cs="仿宋"/>
                <w:spacing w:val="-7"/>
                <w:sz w:val="28"/>
                <w:szCs w:val="28"/>
              </w:rPr>
              <w:t>离、运输道路等基本设施分布；</w:t>
            </w:r>
            <w:r>
              <w:rPr>
                <w:rFonts w:ascii="仿宋" w:hAnsi="仿宋" w:eastAsia="仿宋" w:cs="仿宋"/>
                <w:sz w:val="28"/>
                <w:szCs w:val="28"/>
              </w:rPr>
              <w:t xml:space="preserve"> </w:t>
            </w:r>
            <w:r>
              <w:rPr>
                <w:rFonts w:ascii="仿宋" w:hAnsi="仿宋" w:eastAsia="仿宋" w:cs="仿宋"/>
                <w:spacing w:val="-4"/>
                <w:sz w:val="28"/>
                <w:szCs w:val="28"/>
              </w:rPr>
              <w:t>补充现有工程环保设施现场照</w:t>
            </w:r>
            <w:r>
              <w:rPr>
                <w:rFonts w:ascii="仿宋" w:hAnsi="仿宋" w:eastAsia="仿宋" w:cs="仿宋"/>
                <w:spacing w:val="1"/>
                <w:sz w:val="28"/>
                <w:szCs w:val="28"/>
              </w:rPr>
              <w:t xml:space="preserve">  </w:t>
            </w:r>
            <w:r>
              <w:rPr>
                <w:rFonts w:ascii="仿宋" w:hAnsi="仿宋" w:eastAsia="仿宋" w:cs="仿宋"/>
                <w:spacing w:val="-4"/>
                <w:sz w:val="28"/>
                <w:szCs w:val="28"/>
              </w:rPr>
              <w:t>片、总平面布置图。</w:t>
            </w:r>
          </w:p>
          <w:p w14:paraId="195BB5CC">
            <w:pPr>
              <w:spacing w:before="46" w:line="235" w:lineRule="auto"/>
              <w:ind w:left="50" w:right="25" w:hanging="13"/>
              <w:rPr>
                <w:rFonts w:ascii="仿宋" w:hAnsi="仿宋" w:eastAsia="仿宋" w:cs="仿宋"/>
                <w:sz w:val="28"/>
                <w:szCs w:val="28"/>
              </w:rPr>
            </w:pPr>
            <w:r>
              <w:rPr>
                <w:rFonts w:ascii="仿宋" w:hAnsi="仿宋" w:eastAsia="仿宋" w:cs="仿宋"/>
                <w:spacing w:val="-1"/>
                <w:sz w:val="28"/>
                <w:szCs w:val="28"/>
              </w:rPr>
              <w:t>4.明确本次环境影响评价工程</w:t>
            </w:r>
            <w:r>
              <w:rPr>
                <w:rFonts w:ascii="仿宋" w:hAnsi="仿宋" w:eastAsia="仿宋" w:cs="仿宋"/>
                <w:spacing w:val="1"/>
                <w:sz w:val="28"/>
                <w:szCs w:val="28"/>
              </w:rPr>
              <w:t xml:space="preserve">  </w:t>
            </w:r>
            <w:r>
              <w:rPr>
                <w:rFonts w:ascii="仿宋" w:hAnsi="仿宋" w:eastAsia="仿宋" w:cs="仿宋"/>
                <w:spacing w:val="-9"/>
                <w:sz w:val="28"/>
                <w:szCs w:val="28"/>
              </w:rPr>
              <w:t>范围；完善本次技改工程建设内</w:t>
            </w:r>
            <w:r>
              <w:rPr>
                <w:rFonts w:ascii="仿宋" w:hAnsi="仿宋" w:eastAsia="仿宋" w:cs="仿宋"/>
                <w:sz w:val="28"/>
                <w:szCs w:val="28"/>
              </w:rPr>
              <w:t xml:space="preserve"> </w:t>
            </w:r>
            <w:r>
              <w:rPr>
                <w:rFonts w:ascii="仿宋" w:hAnsi="仿宋" w:eastAsia="仿宋" w:cs="仿宋"/>
                <w:spacing w:val="-9"/>
                <w:sz w:val="28"/>
                <w:szCs w:val="28"/>
              </w:rPr>
              <w:t>容，细化依托工程、新增工程内</w:t>
            </w:r>
          </w:p>
        </w:tc>
        <w:tc>
          <w:tcPr>
            <w:tcW w:w="5097" w:type="dxa"/>
            <w:gridSpan w:val="3"/>
            <w:vAlign w:val="top"/>
          </w:tcPr>
          <w:p w14:paraId="53B44EF9">
            <w:pPr>
              <w:spacing w:before="63" w:line="251" w:lineRule="auto"/>
              <w:ind w:left="44" w:right="27" w:firstLine="10"/>
              <w:jc w:val="both"/>
              <w:rPr>
                <w:rFonts w:ascii="仿宋" w:hAnsi="仿宋" w:eastAsia="仿宋" w:cs="仿宋"/>
                <w:sz w:val="28"/>
                <w:szCs w:val="28"/>
              </w:rPr>
            </w:pPr>
            <w:r>
              <w:rPr>
                <w:rFonts w:ascii="仿宋" w:hAnsi="仿宋" w:eastAsia="仿宋" w:cs="仿宋"/>
                <w:spacing w:val="-10"/>
                <w:sz w:val="28"/>
                <w:szCs w:val="28"/>
              </w:rPr>
              <w:t>1.已完善项目由来，见</w:t>
            </w:r>
            <w:r>
              <w:rPr>
                <w:rFonts w:ascii="仿宋" w:hAnsi="仿宋" w:eastAsia="仿宋" w:cs="仿宋"/>
                <w:spacing w:val="-63"/>
                <w:sz w:val="28"/>
                <w:szCs w:val="28"/>
              </w:rPr>
              <w:t xml:space="preserve"> </w:t>
            </w:r>
            <w:r>
              <w:rPr>
                <w:rFonts w:ascii="仿宋" w:hAnsi="仿宋" w:eastAsia="仿宋" w:cs="仿宋"/>
                <w:spacing w:val="-10"/>
                <w:sz w:val="28"/>
                <w:szCs w:val="28"/>
              </w:rPr>
              <w:t>P1~2</w:t>
            </w:r>
            <w:r>
              <w:rPr>
                <w:rFonts w:ascii="仿宋" w:hAnsi="仿宋" w:eastAsia="仿宋" w:cs="仿宋"/>
                <w:spacing w:val="-39"/>
                <w:sz w:val="28"/>
                <w:szCs w:val="28"/>
              </w:rPr>
              <w:t xml:space="preserve"> </w:t>
            </w:r>
            <w:r>
              <w:rPr>
                <w:rFonts w:ascii="仿宋" w:hAnsi="仿宋" w:eastAsia="仿宋" w:cs="仿宋"/>
                <w:spacing w:val="-10"/>
                <w:sz w:val="28"/>
                <w:szCs w:val="28"/>
              </w:rPr>
              <w:t>页；已完善本</w:t>
            </w:r>
            <w:r>
              <w:rPr>
                <w:rFonts w:ascii="仿宋" w:hAnsi="仿宋" w:eastAsia="仿宋" w:cs="仿宋"/>
                <w:sz w:val="28"/>
                <w:szCs w:val="28"/>
              </w:rPr>
              <w:t xml:space="preserve"> </w:t>
            </w:r>
            <w:r>
              <w:rPr>
                <w:rFonts w:ascii="仿宋" w:hAnsi="仿宋" w:eastAsia="仿宋" w:cs="仿宋"/>
                <w:spacing w:val="-4"/>
                <w:sz w:val="28"/>
                <w:szCs w:val="28"/>
              </w:rPr>
              <w:t>项目与锡盟“三线一单</w:t>
            </w:r>
            <w:r>
              <w:rPr>
                <w:rFonts w:ascii="仿宋" w:hAnsi="仿宋" w:eastAsia="仿宋" w:cs="仿宋"/>
                <w:spacing w:val="-89"/>
                <w:sz w:val="28"/>
                <w:szCs w:val="28"/>
              </w:rPr>
              <w:t xml:space="preserve"> </w:t>
            </w:r>
            <w:r>
              <w:rPr>
                <w:rFonts w:ascii="仿宋" w:hAnsi="仿宋" w:eastAsia="仿宋" w:cs="仿宋"/>
                <w:spacing w:val="-4"/>
                <w:sz w:val="28"/>
                <w:szCs w:val="28"/>
              </w:rPr>
              <w:t>”的符合性分析，</w:t>
            </w:r>
            <w:r>
              <w:rPr>
                <w:rFonts w:ascii="仿宋" w:hAnsi="仿宋" w:eastAsia="仿宋" w:cs="仿宋"/>
                <w:sz w:val="28"/>
                <w:szCs w:val="28"/>
              </w:rPr>
              <w:t xml:space="preserve"> 见</w:t>
            </w:r>
          </w:p>
          <w:p w14:paraId="702D9933">
            <w:pPr>
              <w:spacing w:before="2" w:line="250" w:lineRule="auto"/>
              <w:ind w:left="42" w:hanging="12"/>
              <w:jc w:val="both"/>
              <w:rPr>
                <w:rFonts w:ascii="仿宋" w:hAnsi="仿宋" w:eastAsia="仿宋" w:cs="仿宋"/>
                <w:sz w:val="28"/>
                <w:szCs w:val="28"/>
              </w:rPr>
            </w:pPr>
            <w:r>
              <w:rPr>
                <w:rFonts w:ascii="仿宋" w:hAnsi="仿宋" w:eastAsia="仿宋" w:cs="仿宋"/>
                <w:spacing w:val="-8"/>
                <w:sz w:val="28"/>
                <w:szCs w:val="28"/>
              </w:rPr>
              <w:t>P239~243</w:t>
            </w:r>
            <w:r>
              <w:rPr>
                <w:rFonts w:ascii="仿宋" w:hAnsi="仿宋" w:eastAsia="仿宋" w:cs="仿宋"/>
                <w:spacing w:val="-26"/>
                <w:sz w:val="28"/>
                <w:szCs w:val="28"/>
              </w:rPr>
              <w:t xml:space="preserve"> </w:t>
            </w:r>
            <w:r>
              <w:rPr>
                <w:rFonts w:ascii="仿宋" w:hAnsi="仿宋" w:eastAsia="仿宋" w:cs="仿宋"/>
                <w:spacing w:val="-8"/>
                <w:sz w:val="28"/>
                <w:szCs w:val="28"/>
              </w:rPr>
              <w:t>页；已完善与《铅锌行业规范条</w:t>
            </w:r>
            <w:r>
              <w:rPr>
                <w:rFonts w:ascii="仿宋" w:hAnsi="仿宋" w:eastAsia="仿宋" w:cs="仿宋"/>
                <w:sz w:val="28"/>
                <w:szCs w:val="28"/>
              </w:rPr>
              <w:t xml:space="preserve"> </w:t>
            </w:r>
            <w:r>
              <w:rPr>
                <w:rFonts w:ascii="仿宋" w:hAnsi="仿宋" w:eastAsia="仿宋" w:cs="仿宋"/>
                <w:spacing w:val="-2"/>
                <w:sz w:val="28"/>
                <w:szCs w:val="28"/>
              </w:rPr>
              <w:t>件》信息化部公告2020 年第</w:t>
            </w:r>
            <w:r>
              <w:rPr>
                <w:rFonts w:ascii="仿宋" w:hAnsi="仿宋" w:eastAsia="仿宋" w:cs="仿宋"/>
                <w:spacing w:val="-55"/>
                <w:sz w:val="28"/>
                <w:szCs w:val="28"/>
              </w:rPr>
              <w:t xml:space="preserve"> </w:t>
            </w:r>
            <w:r>
              <w:rPr>
                <w:rFonts w:ascii="仿宋" w:hAnsi="仿宋" w:eastAsia="仿宋" w:cs="仿宋"/>
                <w:spacing w:val="-2"/>
                <w:sz w:val="28"/>
                <w:szCs w:val="28"/>
              </w:rPr>
              <w:t>7</w:t>
            </w:r>
            <w:r>
              <w:rPr>
                <w:rFonts w:ascii="仿宋" w:hAnsi="仿宋" w:eastAsia="仿宋" w:cs="仿宋"/>
                <w:spacing w:val="-48"/>
                <w:sz w:val="28"/>
                <w:szCs w:val="28"/>
              </w:rPr>
              <w:t xml:space="preserve"> </w:t>
            </w:r>
            <w:r>
              <w:rPr>
                <w:rFonts w:ascii="仿宋" w:hAnsi="仿宋" w:eastAsia="仿宋" w:cs="仿宋"/>
                <w:spacing w:val="-2"/>
                <w:sz w:val="28"/>
                <w:szCs w:val="28"/>
              </w:rPr>
              <w:t>号的符合</w:t>
            </w:r>
            <w:r>
              <w:rPr>
                <w:rFonts w:ascii="仿宋" w:hAnsi="仿宋" w:eastAsia="仿宋" w:cs="仿宋"/>
                <w:sz w:val="28"/>
                <w:szCs w:val="28"/>
              </w:rPr>
              <w:t xml:space="preserve">  </w:t>
            </w:r>
            <w:r>
              <w:rPr>
                <w:rFonts w:ascii="仿宋" w:hAnsi="仿宋" w:eastAsia="仿宋" w:cs="仿宋"/>
                <w:spacing w:val="-22"/>
                <w:sz w:val="28"/>
                <w:szCs w:val="28"/>
              </w:rPr>
              <w:t>性分析，见</w:t>
            </w:r>
            <w:r>
              <w:rPr>
                <w:rFonts w:ascii="仿宋" w:hAnsi="仿宋" w:eastAsia="仿宋" w:cs="仿宋"/>
                <w:spacing w:val="-53"/>
                <w:sz w:val="28"/>
                <w:szCs w:val="28"/>
              </w:rPr>
              <w:t xml:space="preserve"> </w:t>
            </w:r>
            <w:r>
              <w:rPr>
                <w:rFonts w:ascii="仿宋" w:hAnsi="仿宋" w:eastAsia="仿宋" w:cs="仿宋"/>
                <w:spacing w:val="-22"/>
                <w:sz w:val="28"/>
                <w:szCs w:val="28"/>
              </w:rPr>
              <w:t>P238</w:t>
            </w:r>
            <w:r>
              <w:rPr>
                <w:rFonts w:ascii="仿宋" w:hAnsi="仿宋" w:eastAsia="仿宋" w:cs="仿宋"/>
                <w:spacing w:val="-38"/>
                <w:sz w:val="28"/>
                <w:szCs w:val="28"/>
              </w:rPr>
              <w:t xml:space="preserve"> </w:t>
            </w:r>
            <w:r>
              <w:rPr>
                <w:rFonts w:ascii="仿宋" w:hAnsi="仿宋" w:eastAsia="仿宋" w:cs="仿宋"/>
                <w:spacing w:val="-22"/>
                <w:sz w:val="28"/>
                <w:szCs w:val="28"/>
              </w:rPr>
              <w:t>页；已补充产品技术指标，</w:t>
            </w:r>
            <w:r>
              <w:rPr>
                <w:rFonts w:ascii="仿宋" w:hAnsi="仿宋" w:eastAsia="仿宋" w:cs="仿宋"/>
                <w:sz w:val="28"/>
                <w:szCs w:val="28"/>
              </w:rPr>
              <w:t xml:space="preserve"> </w:t>
            </w:r>
            <w:r>
              <w:rPr>
                <w:rFonts w:ascii="仿宋" w:hAnsi="仿宋" w:eastAsia="仿宋" w:cs="仿宋"/>
                <w:spacing w:val="-13"/>
                <w:sz w:val="28"/>
                <w:szCs w:val="28"/>
              </w:rPr>
              <w:t>见P78</w:t>
            </w:r>
            <w:r>
              <w:rPr>
                <w:rFonts w:ascii="仿宋" w:hAnsi="仿宋" w:eastAsia="仿宋" w:cs="仿宋"/>
                <w:spacing w:val="-54"/>
                <w:sz w:val="28"/>
                <w:szCs w:val="28"/>
              </w:rPr>
              <w:t xml:space="preserve"> </w:t>
            </w:r>
            <w:r>
              <w:rPr>
                <w:rFonts w:ascii="仿宋" w:hAnsi="仿宋" w:eastAsia="仿宋" w:cs="仿宋"/>
                <w:spacing w:val="-13"/>
                <w:sz w:val="28"/>
                <w:szCs w:val="28"/>
              </w:rPr>
              <w:t>页；已核实环境敏感目标，见P24~25</w:t>
            </w:r>
            <w:r>
              <w:rPr>
                <w:rFonts w:ascii="仿宋" w:hAnsi="仿宋" w:eastAsia="仿宋" w:cs="仿宋"/>
                <w:sz w:val="28"/>
                <w:szCs w:val="28"/>
              </w:rPr>
              <w:t xml:space="preserve"> </w:t>
            </w:r>
            <w:r>
              <w:rPr>
                <w:rFonts w:ascii="仿宋" w:hAnsi="仿宋" w:eastAsia="仿宋" w:cs="仿宋"/>
                <w:spacing w:val="-11"/>
                <w:sz w:val="28"/>
                <w:szCs w:val="28"/>
              </w:rPr>
              <w:t>页。</w:t>
            </w:r>
          </w:p>
          <w:p w14:paraId="2CBC328C">
            <w:pPr>
              <w:spacing w:before="5" w:line="247" w:lineRule="auto"/>
              <w:ind w:left="30" w:right="13" w:firstLine="7"/>
              <w:rPr>
                <w:rFonts w:ascii="仿宋" w:hAnsi="仿宋" w:eastAsia="仿宋" w:cs="仿宋"/>
                <w:sz w:val="28"/>
                <w:szCs w:val="28"/>
              </w:rPr>
            </w:pPr>
            <w:r>
              <w:rPr>
                <w:rFonts w:ascii="仿宋" w:hAnsi="仿宋" w:eastAsia="仿宋" w:cs="仿宋"/>
                <w:spacing w:val="-1"/>
                <w:sz w:val="28"/>
                <w:szCs w:val="28"/>
              </w:rPr>
              <w:t>2.已核实生活污水排放执行标准，更新杂</w:t>
            </w:r>
            <w:r>
              <w:rPr>
                <w:rFonts w:ascii="仿宋" w:hAnsi="仿宋" w:eastAsia="仿宋" w:cs="仿宋"/>
                <w:spacing w:val="7"/>
                <w:sz w:val="28"/>
                <w:szCs w:val="28"/>
              </w:rPr>
              <w:t xml:space="preserve"> </w:t>
            </w:r>
            <w:r>
              <w:rPr>
                <w:rFonts w:ascii="仿宋" w:hAnsi="仿宋" w:eastAsia="仿宋" w:cs="仿宋"/>
                <w:spacing w:val="-2"/>
                <w:sz w:val="28"/>
                <w:szCs w:val="28"/>
              </w:rPr>
              <w:t>用水水质标准；见</w:t>
            </w:r>
            <w:r>
              <w:rPr>
                <w:rFonts w:ascii="仿宋" w:hAnsi="仿宋" w:eastAsia="仿宋" w:cs="仿宋"/>
                <w:spacing w:val="-64"/>
                <w:sz w:val="28"/>
                <w:szCs w:val="28"/>
              </w:rPr>
              <w:t xml:space="preserve"> </w:t>
            </w:r>
            <w:r>
              <w:rPr>
                <w:rFonts w:ascii="仿宋" w:hAnsi="仿宋" w:eastAsia="仿宋" w:cs="仿宋"/>
                <w:spacing w:val="-2"/>
                <w:sz w:val="28"/>
                <w:szCs w:val="28"/>
              </w:rPr>
              <w:t>P11、P14~15</w:t>
            </w:r>
            <w:r>
              <w:rPr>
                <w:rFonts w:ascii="仿宋" w:hAnsi="仿宋" w:eastAsia="仿宋" w:cs="仿宋"/>
                <w:spacing w:val="-39"/>
                <w:sz w:val="28"/>
                <w:szCs w:val="28"/>
              </w:rPr>
              <w:t xml:space="preserve"> </w:t>
            </w:r>
            <w:r>
              <w:rPr>
                <w:rFonts w:ascii="仿宋" w:hAnsi="仿宋" w:eastAsia="仿宋" w:cs="仿宋"/>
                <w:spacing w:val="-2"/>
                <w:sz w:val="28"/>
                <w:szCs w:val="28"/>
              </w:rPr>
              <w:t>页；已核</w:t>
            </w:r>
            <w:r>
              <w:rPr>
                <w:rFonts w:ascii="仿宋" w:hAnsi="仿宋" w:eastAsia="仿宋" w:cs="仿宋"/>
                <w:sz w:val="28"/>
                <w:szCs w:val="28"/>
              </w:rPr>
              <w:t xml:space="preserve"> </w:t>
            </w:r>
            <w:r>
              <w:rPr>
                <w:rFonts w:ascii="仿宋" w:hAnsi="仿宋" w:eastAsia="仿宋" w:cs="仿宋"/>
                <w:spacing w:val="-2"/>
                <w:sz w:val="28"/>
                <w:szCs w:val="28"/>
              </w:rPr>
              <w:t>实声环境保护目标分布情况，见</w:t>
            </w:r>
            <w:r>
              <w:rPr>
                <w:rFonts w:ascii="仿宋" w:hAnsi="仿宋" w:eastAsia="仿宋" w:cs="仿宋"/>
                <w:spacing w:val="-57"/>
                <w:sz w:val="28"/>
                <w:szCs w:val="28"/>
              </w:rPr>
              <w:t xml:space="preserve"> </w:t>
            </w:r>
            <w:r>
              <w:rPr>
                <w:rFonts w:ascii="仿宋" w:hAnsi="仿宋" w:eastAsia="仿宋" w:cs="仿宋"/>
                <w:spacing w:val="-2"/>
                <w:sz w:val="28"/>
                <w:szCs w:val="28"/>
              </w:rPr>
              <w:t>P25</w:t>
            </w:r>
            <w:r>
              <w:rPr>
                <w:rFonts w:ascii="仿宋" w:hAnsi="仿宋" w:eastAsia="仿宋" w:cs="仿宋"/>
                <w:spacing w:val="-39"/>
                <w:sz w:val="28"/>
                <w:szCs w:val="28"/>
              </w:rPr>
              <w:t xml:space="preserve"> </w:t>
            </w:r>
            <w:r>
              <w:rPr>
                <w:rFonts w:ascii="仿宋" w:hAnsi="仿宋" w:eastAsia="仿宋" w:cs="仿宋"/>
                <w:spacing w:val="-2"/>
                <w:sz w:val="28"/>
                <w:szCs w:val="28"/>
              </w:rPr>
              <w:t>页；</w:t>
            </w:r>
            <w:r>
              <w:rPr>
                <w:rFonts w:ascii="仿宋" w:hAnsi="仿宋" w:eastAsia="仿宋" w:cs="仿宋"/>
                <w:sz w:val="28"/>
                <w:szCs w:val="28"/>
              </w:rPr>
              <w:t xml:space="preserve"> </w:t>
            </w:r>
            <w:r>
              <w:rPr>
                <w:rFonts w:ascii="仿宋" w:hAnsi="仿宋" w:eastAsia="仿宋" w:cs="仿宋"/>
                <w:spacing w:val="-1"/>
                <w:sz w:val="28"/>
                <w:szCs w:val="28"/>
              </w:rPr>
              <w:t>已核实声环境质量标准、噪声排放执行标</w:t>
            </w:r>
            <w:r>
              <w:rPr>
                <w:rFonts w:ascii="仿宋" w:hAnsi="仿宋" w:eastAsia="仿宋" w:cs="仿宋"/>
                <w:spacing w:val="11"/>
                <w:sz w:val="28"/>
                <w:szCs w:val="28"/>
              </w:rPr>
              <w:t xml:space="preserve"> </w:t>
            </w:r>
            <w:r>
              <w:rPr>
                <w:rFonts w:ascii="仿宋" w:hAnsi="仿宋" w:eastAsia="仿宋" w:cs="仿宋"/>
                <w:spacing w:val="-3"/>
                <w:sz w:val="28"/>
                <w:szCs w:val="28"/>
              </w:rPr>
              <w:t>准，见</w:t>
            </w:r>
            <w:r>
              <w:rPr>
                <w:rFonts w:ascii="仿宋" w:hAnsi="仿宋" w:eastAsia="仿宋" w:cs="仿宋"/>
                <w:spacing w:val="-51"/>
                <w:sz w:val="28"/>
                <w:szCs w:val="28"/>
              </w:rPr>
              <w:t xml:space="preserve"> </w:t>
            </w:r>
            <w:r>
              <w:rPr>
                <w:rFonts w:ascii="仿宋" w:hAnsi="仿宋" w:eastAsia="仿宋" w:cs="仿宋"/>
                <w:spacing w:val="-3"/>
                <w:sz w:val="28"/>
                <w:szCs w:val="28"/>
              </w:rPr>
              <w:t>P11</w:t>
            </w:r>
            <w:r>
              <w:rPr>
                <w:rFonts w:ascii="仿宋" w:hAnsi="仿宋" w:eastAsia="仿宋" w:cs="仿宋"/>
                <w:spacing w:val="-39"/>
                <w:sz w:val="28"/>
                <w:szCs w:val="28"/>
              </w:rPr>
              <w:t xml:space="preserve"> </w:t>
            </w:r>
            <w:r>
              <w:rPr>
                <w:rFonts w:ascii="仿宋" w:hAnsi="仿宋" w:eastAsia="仿宋" w:cs="仿宋"/>
                <w:spacing w:val="-3"/>
                <w:sz w:val="28"/>
                <w:szCs w:val="28"/>
              </w:rPr>
              <w:t>页；已完善大气环境估算参数</w:t>
            </w:r>
            <w:r>
              <w:rPr>
                <w:rFonts w:ascii="仿宋" w:hAnsi="仿宋" w:eastAsia="仿宋" w:cs="仿宋"/>
                <w:sz w:val="28"/>
                <w:szCs w:val="28"/>
              </w:rPr>
              <w:t xml:space="preserve"> </w:t>
            </w:r>
            <w:r>
              <w:rPr>
                <w:rFonts w:ascii="仿宋" w:hAnsi="仿宋" w:eastAsia="仿宋" w:cs="仿宋"/>
                <w:spacing w:val="-1"/>
                <w:sz w:val="28"/>
                <w:szCs w:val="28"/>
              </w:rPr>
              <w:t>一览表，核实大气环境评价工作等级，见</w:t>
            </w:r>
            <w:r>
              <w:rPr>
                <w:rFonts w:ascii="仿宋" w:hAnsi="仿宋" w:eastAsia="仿宋" w:cs="仿宋"/>
                <w:spacing w:val="11"/>
                <w:sz w:val="28"/>
                <w:szCs w:val="28"/>
              </w:rPr>
              <w:t xml:space="preserve"> </w:t>
            </w:r>
            <w:r>
              <w:rPr>
                <w:rFonts w:ascii="仿宋" w:hAnsi="仿宋" w:eastAsia="仿宋" w:cs="仿宋"/>
                <w:spacing w:val="-5"/>
                <w:sz w:val="28"/>
                <w:szCs w:val="28"/>
              </w:rPr>
              <w:t>P16~17</w:t>
            </w:r>
            <w:r>
              <w:rPr>
                <w:rFonts w:ascii="仿宋" w:hAnsi="仿宋" w:eastAsia="仿宋" w:cs="仿宋"/>
                <w:spacing w:val="-29"/>
                <w:sz w:val="28"/>
                <w:szCs w:val="28"/>
              </w:rPr>
              <w:t xml:space="preserve"> </w:t>
            </w:r>
            <w:r>
              <w:rPr>
                <w:rFonts w:ascii="仿宋" w:hAnsi="仿宋" w:eastAsia="仿宋" w:cs="仿宋"/>
                <w:spacing w:val="-5"/>
                <w:sz w:val="28"/>
                <w:szCs w:val="28"/>
              </w:rPr>
              <w:t>页；完善生态环境评价等级判定，</w:t>
            </w:r>
            <w:r>
              <w:rPr>
                <w:rFonts w:ascii="仿宋" w:hAnsi="仿宋" w:eastAsia="仿宋" w:cs="仿宋"/>
                <w:sz w:val="28"/>
                <w:szCs w:val="28"/>
              </w:rPr>
              <w:t xml:space="preserve"> </w:t>
            </w:r>
            <w:r>
              <w:rPr>
                <w:rFonts w:ascii="仿宋" w:hAnsi="仿宋" w:eastAsia="仿宋" w:cs="仿宋"/>
                <w:spacing w:val="-7"/>
                <w:sz w:val="28"/>
                <w:szCs w:val="28"/>
              </w:rPr>
              <w:t>见</w:t>
            </w:r>
            <w:r>
              <w:rPr>
                <w:rFonts w:ascii="仿宋" w:hAnsi="仿宋" w:eastAsia="仿宋" w:cs="仿宋"/>
                <w:spacing w:val="-65"/>
                <w:sz w:val="28"/>
                <w:szCs w:val="28"/>
              </w:rPr>
              <w:t xml:space="preserve"> </w:t>
            </w:r>
            <w:r>
              <w:rPr>
                <w:rFonts w:ascii="仿宋" w:hAnsi="仿宋" w:eastAsia="仿宋" w:cs="仿宋"/>
                <w:spacing w:val="-7"/>
                <w:sz w:val="28"/>
                <w:szCs w:val="28"/>
              </w:rPr>
              <w:t>P18</w:t>
            </w:r>
            <w:r>
              <w:rPr>
                <w:rFonts w:ascii="仿宋" w:hAnsi="仿宋" w:eastAsia="仿宋" w:cs="仿宋"/>
                <w:spacing w:val="-39"/>
                <w:sz w:val="28"/>
                <w:szCs w:val="28"/>
              </w:rPr>
              <w:t xml:space="preserve"> </w:t>
            </w:r>
            <w:r>
              <w:rPr>
                <w:rFonts w:ascii="仿宋" w:hAnsi="仿宋" w:eastAsia="仿宋" w:cs="仿宋"/>
                <w:spacing w:val="-7"/>
                <w:sz w:val="28"/>
                <w:szCs w:val="28"/>
              </w:rPr>
              <w:t>页。</w:t>
            </w:r>
          </w:p>
          <w:p w14:paraId="54AC6E13">
            <w:pPr>
              <w:spacing w:before="36" w:line="245" w:lineRule="auto"/>
              <w:ind w:left="30" w:right="27" w:firstLine="9"/>
              <w:rPr>
                <w:rFonts w:ascii="仿宋" w:hAnsi="仿宋" w:eastAsia="仿宋" w:cs="仿宋"/>
                <w:sz w:val="28"/>
                <w:szCs w:val="28"/>
              </w:rPr>
            </w:pPr>
            <w:r>
              <w:rPr>
                <w:rFonts w:ascii="仿宋" w:hAnsi="仿宋" w:eastAsia="仿宋" w:cs="仿宋"/>
                <w:spacing w:val="-9"/>
                <w:sz w:val="28"/>
                <w:szCs w:val="28"/>
              </w:rPr>
              <w:t>3.已简化现有工程概况，见</w:t>
            </w:r>
            <w:r>
              <w:rPr>
                <w:rFonts w:ascii="仿宋" w:hAnsi="仿宋" w:eastAsia="仿宋" w:cs="仿宋"/>
                <w:spacing w:val="-60"/>
                <w:sz w:val="28"/>
                <w:szCs w:val="28"/>
              </w:rPr>
              <w:t xml:space="preserve"> </w:t>
            </w:r>
            <w:r>
              <w:rPr>
                <w:rFonts w:ascii="仿宋" w:hAnsi="仿宋" w:eastAsia="仿宋" w:cs="仿宋"/>
                <w:spacing w:val="-9"/>
                <w:sz w:val="28"/>
                <w:szCs w:val="28"/>
              </w:rPr>
              <w:t>P31~34</w:t>
            </w:r>
            <w:r>
              <w:rPr>
                <w:rFonts w:ascii="仿宋" w:hAnsi="仿宋" w:eastAsia="仿宋" w:cs="仿宋"/>
                <w:spacing w:val="-39"/>
                <w:sz w:val="28"/>
                <w:szCs w:val="28"/>
              </w:rPr>
              <w:t xml:space="preserve"> </w:t>
            </w:r>
            <w:r>
              <w:rPr>
                <w:rFonts w:ascii="仿宋" w:hAnsi="仿宋" w:eastAsia="仿宋" w:cs="仿宋"/>
                <w:spacing w:val="-9"/>
                <w:sz w:val="28"/>
                <w:szCs w:val="28"/>
              </w:rPr>
              <w:t>页；已</w:t>
            </w:r>
            <w:r>
              <w:rPr>
                <w:rFonts w:ascii="仿宋" w:hAnsi="仿宋" w:eastAsia="仿宋" w:cs="仿宋"/>
                <w:sz w:val="28"/>
                <w:szCs w:val="28"/>
              </w:rPr>
              <w:t xml:space="preserve"> </w:t>
            </w:r>
            <w:r>
              <w:rPr>
                <w:rFonts w:ascii="仿宋" w:hAnsi="仿宋" w:eastAsia="仿宋" w:cs="仿宋"/>
                <w:spacing w:val="-1"/>
                <w:sz w:val="28"/>
                <w:szCs w:val="28"/>
              </w:rPr>
              <w:t>补充现有工程总物料平衡、总水平衡，见</w:t>
            </w:r>
            <w:r>
              <w:rPr>
                <w:rFonts w:ascii="仿宋" w:hAnsi="仿宋" w:eastAsia="仿宋" w:cs="仿宋"/>
                <w:spacing w:val="11"/>
                <w:sz w:val="28"/>
                <w:szCs w:val="28"/>
              </w:rPr>
              <w:t xml:space="preserve"> </w:t>
            </w:r>
            <w:r>
              <w:rPr>
                <w:rFonts w:ascii="仿宋" w:hAnsi="仿宋" w:eastAsia="仿宋" w:cs="仿宋"/>
                <w:spacing w:val="-6"/>
                <w:sz w:val="28"/>
                <w:szCs w:val="28"/>
              </w:rPr>
              <w:t>P38~39</w:t>
            </w:r>
            <w:r>
              <w:rPr>
                <w:rFonts w:ascii="仿宋" w:hAnsi="仿宋" w:eastAsia="仿宋" w:cs="仿宋"/>
                <w:spacing w:val="-21"/>
                <w:sz w:val="28"/>
                <w:szCs w:val="28"/>
              </w:rPr>
              <w:t xml:space="preserve"> </w:t>
            </w:r>
            <w:r>
              <w:rPr>
                <w:rFonts w:ascii="仿宋" w:hAnsi="仿宋" w:eastAsia="仿宋" w:cs="仿宋"/>
                <w:spacing w:val="-6"/>
                <w:sz w:val="28"/>
                <w:szCs w:val="28"/>
              </w:rPr>
              <w:t>页；已补充现有工程排污许可申报</w:t>
            </w:r>
            <w:r>
              <w:rPr>
                <w:rFonts w:ascii="仿宋" w:hAnsi="仿宋" w:eastAsia="仿宋" w:cs="仿宋"/>
                <w:sz w:val="28"/>
                <w:szCs w:val="28"/>
              </w:rPr>
              <w:t xml:space="preserve"> </w:t>
            </w:r>
            <w:r>
              <w:rPr>
                <w:rFonts w:ascii="仿宋" w:hAnsi="仿宋" w:eastAsia="仿宋" w:cs="仿宋"/>
                <w:spacing w:val="-5"/>
                <w:sz w:val="28"/>
                <w:szCs w:val="28"/>
              </w:rPr>
              <w:t>情况、</w:t>
            </w:r>
            <w:r>
              <w:rPr>
                <w:rFonts w:ascii="仿宋" w:hAnsi="仿宋" w:eastAsia="仿宋" w:cs="仿宋"/>
                <w:spacing w:val="-57"/>
                <w:sz w:val="28"/>
                <w:szCs w:val="28"/>
              </w:rPr>
              <w:t xml:space="preserve"> </w:t>
            </w:r>
            <w:r>
              <w:rPr>
                <w:rFonts w:ascii="仿宋" w:hAnsi="仿宋" w:eastAsia="仿宋" w:cs="仿宋"/>
                <w:spacing w:val="-5"/>
                <w:sz w:val="28"/>
                <w:szCs w:val="28"/>
              </w:rPr>
              <w:t>自行监测计划落实情况、污染物达</w:t>
            </w:r>
            <w:r>
              <w:rPr>
                <w:rFonts w:ascii="仿宋" w:hAnsi="仿宋" w:eastAsia="仿宋" w:cs="仿宋"/>
                <w:sz w:val="28"/>
                <w:szCs w:val="28"/>
              </w:rPr>
              <w:t xml:space="preserve"> 标排放情况及污染物排放总量核算，见</w:t>
            </w:r>
          </w:p>
          <w:p w14:paraId="0D7889F0">
            <w:pPr>
              <w:spacing w:before="48" w:line="246" w:lineRule="auto"/>
              <w:ind w:left="42" w:right="24" w:hanging="12"/>
              <w:rPr>
                <w:rFonts w:ascii="仿宋" w:hAnsi="仿宋" w:eastAsia="仿宋" w:cs="仿宋"/>
                <w:sz w:val="28"/>
                <w:szCs w:val="28"/>
              </w:rPr>
            </w:pPr>
            <w:r>
              <w:rPr>
                <w:rFonts w:ascii="仿宋" w:hAnsi="仿宋" w:eastAsia="仿宋" w:cs="仿宋"/>
                <w:spacing w:val="-2"/>
                <w:sz w:val="28"/>
                <w:szCs w:val="28"/>
              </w:rPr>
              <w:t>P30~31、P50</w:t>
            </w:r>
            <w:r>
              <w:rPr>
                <w:rFonts w:ascii="仿宋" w:hAnsi="仿宋" w:eastAsia="仿宋" w:cs="仿宋"/>
                <w:spacing w:val="-33"/>
                <w:sz w:val="28"/>
                <w:szCs w:val="28"/>
              </w:rPr>
              <w:t xml:space="preserve"> </w:t>
            </w:r>
            <w:r>
              <w:rPr>
                <w:rFonts w:ascii="仿宋" w:hAnsi="仿宋" w:eastAsia="仿宋" w:cs="仿宋"/>
                <w:spacing w:val="-2"/>
                <w:sz w:val="28"/>
                <w:szCs w:val="28"/>
              </w:rPr>
              <w:t>页；补充是否发生过环境事</w:t>
            </w:r>
            <w:r>
              <w:rPr>
                <w:rFonts w:ascii="仿宋" w:hAnsi="仿宋" w:eastAsia="仿宋" w:cs="仿宋"/>
                <w:sz w:val="28"/>
                <w:szCs w:val="28"/>
              </w:rPr>
              <w:t xml:space="preserve"> </w:t>
            </w:r>
            <w:r>
              <w:rPr>
                <w:rFonts w:ascii="仿宋" w:hAnsi="仿宋" w:eastAsia="仿宋" w:cs="仿宋"/>
                <w:spacing w:val="-3"/>
                <w:sz w:val="28"/>
                <w:szCs w:val="28"/>
              </w:rPr>
              <w:t>故并补充解决方式及结果，见</w:t>
            </w:r>
            <w:r>
              <w:rPr>
                <w:rFonts w:ascii="仿宋" w:hAnsi="仿宋" w:eastAsia="仿宋" w:cs="仿宋"/>
                <w:spacing w:val="-64"/>
                <w:sz w:val="28"/>
                <w:szCs w:val="28"/>
              </w:rPr>
              <w:t xml:space="preserve"> </w:t>
            </w:r>
            <w:r>
              <w:rPr>
                <w:rFonts w:ascii="仿宋" w:hAnsi="仿宋" w:eastAsia="仿宋" w:cs="仿宋"/>
                <w:spacing w:val="-3"/>
                <w:sz w:val="28"/>
                <w:szCs w:val="28"/>
              </w:rPr>
              <w:t>P31</w:t>
            </w:r>
            <w:r>
              <w:rPr>
                <w:rFonts w:ascii="仿宋" w:hAnsi="仿宋" w:eastAsia="仿宋" w:cs="仿宋"/>
                <w:spacing w:val="-39"/>
                <w:sz w:val="28"/>
                <w:szCs w:val="28"/>
              </w:rPr>
              <w:t xml:space="preserve"> </w:t>
            </w:r>
            <w:r>
              <w:rPr>
                <w:rFonts w:ascii="仿宋" w:hAnsi="仿宋" w:eastAsia="仿宋" w:cs="仿宋"/>
                <w:spacing w:val="-3"/>
                <w:sz w:val="28"/>
                <w:szCs w:val="28"/>
              </w:rPr>
              <w:t>页；完</w:t>
            </w:r>
            <w:r>
              <w:rPr>
                <w:rFonts w:ascii="仿宋" w:hAnsi="仿宋" w:eastAsia="仿宋" w:cs="仿宋"/>
                <w:sz w:val="28"/>
                <w:szCs w:val="28"/>
              </w:rPr>
              <w:t xml:space="preserve"> </w:t>
            </w:r>
            <w:r>
              <w:rPr>
                <w:rFonts w:ascii="仿宋" w:hAnsi="仿宋" w:eastAsia="仿宋" w:cs="仿宋"/>
                <w:spacing w:val="-1"/>
                <w:sz w:val="28"/>
                <w:szCs w:val="28"/>
              </w:rPr>
              <w:t>善存在的环境问题分析并提出整改措施，</w:t>
            </w:r>
            <w:r>
              <w:rPr>
                <w:rFonts w:ascii="仿宋" w:hAnsi="仿宋" w:eastAsia="仿宋" w:cs="仿宋"/>
                <w:spacing w:val="1"/>
                <w:sz w:val="28"/>
                <w:szCs w:val="28"/>
              </w:rPr>
              <w:t xml:space="preserve"> </w:t>
            </w:r>
            <w:r>
              <w:rPr>
                <w:rFonts w:ascii="仿宋" w:hAnsi="仿宋" w:eastAsia="仿宋" w:cs="仿宋"/>
                <w:spacing w:val="-10"/>
                <w:sz w:val="28"/>
                <w:szCs w:val="28"/>
              </w:rPr>
              <w:t>见</w:t>
            </w:r>
            <w:r>
              <w:rPr>
                <w:rFonts w:ascii="仿宋" w:hAnsi="仿宋" w:eastAsia="仿宋" w:cs="仿宋"/>
                <w:spacing w:val="-49"/>
                <w:sz w:val="28"/>
                <w:szCs w:val="28"/>
              </w:rPr>
              <w:t xml:space="preserve"> </w:t>
            </w:r>
            <w:r>
              <w:rPr>
                <w:rFonts w:ascii="仿宋" w:hAnsi="仿宋" w:eastAsia="仿宋" w:cs="仿宋"/>
                <w:spacing w:val="-10"/>
                <w:sz w:val="28"/>
                <w:szCs w:val="28"/>
              </w:rPr>
              <w:t>P50~51</w:t>
            </w:r>
            <w:r>
              <w:rPr>
                <w:rFonts w:ascii="仿宋" w:hAnsi="仿宋" w:eastAsia="仿宋" w:cs="仿宋"/>
                <w:spacing w:val="-38"/>
                <w:sz w:val="28"/>
                <w:szCs w:val="28"/>
              </w:rPr>
              <w:t xml:space="preserve"> </w:t>
            </w:r>
            <w:r>
              <w:rPr>
                <w:rFonts w:ascii="仿宋" w:hAnsi="仿宋" w:eastAsia="仿宋" w:cs="仿宋"/>
                <w:spacing w:val="-10"/>
                <w:sz w:val="28"/>
                <w:szCs w:val="28"/>
              </w:rPr>
              <w:t>页；明确采矿工程、现有选厂和</w:t>
            </w:r>
            <w:r>
              <w:rPr>
                <w:rFonts w:ascii="仿宋" w:hAnsi="仿宋" w:eastAsia="仿宋" w:cs="仿宋"/>
                <w:sz w:val="28"/>
                <w:szCs w:val="28"/>
              </w:rPr>
              <w:t xml:space="preserve"> </w:t>
            </w:r>
            <w:r>
              <w:rPr>
                <w:rFonts w:ascii="仿宋" w:hAnsi="仿宋" w:eastAsia="仿宋" w:cs="仿宋"/>
                <w:spacing w:val="-2"/>
                <w:sz w:val="28"/>
                <w:szCs w:val="28"/>
              </w:rPr>
              <w:t>技改工程的位置关系、距离、运输道路等</w:t>
            </w:r>
            <w:r>
              <w:rPr>
                <w:rFonts w:ascii="仿宋" w:hAnsi="仿宋" w:eastAsia="仿宋" w:cs="仿宋"/>
                <w:spacing w:val="16"/>
                <w:sz w:val="28"/>
                <w:szCs w:val="28"/>
              </w:rPr>
              <w:t xml:space="preserve"> </w:t>
            </w:r>
            <w:r>
              <w:rPr>
                <w:rFonts w:ascii="仿宋" w:hAnsi="仿宋" w:eastAsia="仿宋" w:cs="仿宋"/>
                <w:spacing w:val="-3"/>
                <w:sz w:val="28"/>
                <w:szCs w:val="28"/>
              </w:rPr>
              <w:t>基本设施分布，见</w:t>
            </w:r>
            <w:r>
              <w:rPr>
                <w:rFonts w:ascii="仿宋" w:hAnsi="仿宋" w:eastAsia="仿宋" w:cs="仿宋"/>
                <w:spacing w:val="-62"/>
                <w:sz w:val="28"/>
                <w:szCs w:val="28"/>
              </w:rPr>
              <w:t xml:space="preserve"> </w:t>
            </w:r>
            <w:r>
              <w:rPr>
                <w:rFonts w:ascii="仿宋" w:hAnsi="仿宋" w:eastAsia="仿宋" w:cs="仿宋"/>
                <w:spacing w:val="-3"/>
                <w:sz w:val="28"/>
                <w:szCs w:val="28"/>
              </w:rPr>
              <w:t>P68</w:t>
            </w:r>
            <w:r>
              <w:rPr>
                <w:rFonts w:ascii="仿宋" w:hAnsi="仿宋" w:eastAsia="仿宋" w:cs="仿宋"/>
                <w:spacing w:val="-38"/>
                <w:sz w:val="28"/>
                <w:szCs w:val="28"/>
              </w:rPr>
              <w:t xml:space="preserve"> </w:t>
            </w:r>
            <w:r>
              <w:rPr>
                <w:rFonts w:ascii="仿宋" w:hAnsi="仿宋" w:eastAsia="仿宋" w:cs="仿宋"/>
                <w:spacing w:val="-3"/>
                <w:sz w:val="28"/>
                <w:szCs w:val="28"/>
              </w:rPr>
              <w:t>页；补充现有工程</w:t>
            </w:r>
            <w:r>
              <w:rPr>
                <w:rFonts w:ascii="仿宋" w:hAnsi="仿宋" w:eastAsia="仿宋" w:cs="仿宋"/>
                <w:sz w:val="28"/>
                <w:szCs w:val="28"/>
              </w:rPr>
              <w:t xml:space="preserve"> </w:t>
            </w:r>
            <w:r>
              <w:rPr>
                <w:rFonts w:ascii="仿宋" w:hAnsi="仿宋" w:eastAsia="仿宋" w:cs="仿宋"/>
                <w:spacing w:val="-2"/>
                <w:sz w:val="28"/>
                <w:szCs w:val="28"/>
              </w:rPr>
              <w:t>环保设施现场照片、总平面布置图见</w:t>
            </w:r>
          </w:p>
          <w:p w14:paraId="34D46356">
            <w:pPr>
              <w:spacing w:before="45" w:line="224" w:lineRule="auto"/>
              <w:ind w:left="30"/>
              <w:rPr>
                <w:rFonts w:ascii="仿宋" w:hAnsi="仿宋" w:eastAsia="仿宋" w:cs="仿宋"/>
                <w:sz w:val="28"/>
                <w:szCs w:val="28"/>
              </w:rPr>
            </w:pPr>
            <w:r>
              <w:rPr>
                <w:rFonts w:ascii="仿宋" w:hAnsi="仿宋" w:eastAsia="仿宋" w:cs="仿宋"/>
                <w:spacing w:val="-5"/>
                <w:sz w:val="28"/>
                <w:szCs w:val="28"/>
              </w:rPr>
              <w:t>P69~71</w:t>
            </w:r>
            <w:r>
              <w:rPr>
                <w:rFonts w:ascii="仿宋" w:hAnsi="仿宋" w:eastAsia="仿宋" w:cs="仿宋"/>
                <w:spacing w:val="-37"/>
                <w:sz w:val="28"/>
                <w:szCs w:val="28"/>
              </w:rPr>
              <w:t xml:space="preserve"> </w:t>
            </w:r>
            <w:r>
              <w:rPr>
                <w:rFonts w:ascii="仿宋" w:hAnsi="仿宋" w:eastAsia="仿宋" w:cs="仿宋"/>
                <w:spacing w:val="-5"/>
                <w:sz w:val="28"/>
                <w:szCs w:val="28"/>
              </w:rPr>
              <w:t>页。</w:t>
            </w:r>
          </w:p>
          <w:p w14:paraId="568C3EA5">
            <w:pPr>
              <w:spacing w:before="38" w:line="205" w:lineRule="auto"/>
              <w:ind w:left="33"/>
              <w:rPr>
                <w:rFonts w:ascii="仿宋" w:hAnsi="仿宋" w:eastAsia="仿宋" w:cs="仿宋"/>
                <w:sz w:val="28"/>
                <w:szCs w:val="28"/>
              </w:rPr>
            </w:pPr>
            <w:r>
              <w:rPr>
                <w:rFonts w:ascii="仿宋" w:hAnsi="仿宋" w:eastAsia="仿宋" w:cs="仿宋"/>
                <w:sz w:val="28"/>
                <w:szCs w:val="28"/>
              </w:rPr>
              <w:t>4.明确本次环境影响评价工程范围，见</w:t>
            </w:r>
          </w:p>
        </w:tc>
      </w:tr>
    </w:tbl>
    <w:p w14:paraId="3D1715D1">
      <w:pPr>
        <w:pStyle w:val="2"/>
      </w:pPr>
    </w:p>
    <w:p w14:paraId="09F4F2D5">
      <w:pPr>
        <w:sectPr>
          <w:pgSz w:w="11907" w:h="16840"/>
          <w:pgMar w:top="400" w:right="1465" w:bottom="400" w:left="1464" w:header="0" w:footer="0" w:gutter="0"/>
          <w:cols w:space="720" w:num="1"/>
        </w:sectPr>
      </w:pPr>
    </w:p>
    <w:p w14:paraId="393ED678">
      <w:pPr>
        <w:spacing w:before="242" w:line="186" w:lineRule="auto"/>
        <w:ind w:left="2118"/>
        <w:rPr>
          <w:rFonts w:ascii="微软雅黑" w:hAnsi="微软雅黑" w:eastAsia="微软雅黑" w:cs="微软雅黑"/>
          <w:sz w:val="43"/>
          <w:szCs w:val="43"/>
        </w:rPr>
      </w:pPr>
      <w:r>
        <w:rPr>
          <w:rFonts w:ascii="微软雅黑" w:hAnsi="微软雅黑" w:eastAsia="微软雅黑" w:cs="微软雅黑"/>
          <w:spacing w:val="2"/>
          <w:sz w:val="43"/>
          <w:szCs w:val="43"/>
        </w:rPr>
        <w:t>环评文件修改索引清单表</w:t>
      </w:r>
    </w:p>
    <w:p w14:paraId="0AB7DEF4">
      <w:pPr>
        <w:spacing w:before="230"/>
      </w:pPr>
    </w:p>
    <w:tbl>
      <w:tblPr>
        <w:tblStyle w:val="5"/>
        <w:tblW w:w="89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0"/>
        <w:gridCol w:w="2235"/>
        <w:gridCol w:w="1223"/>
        <w:gridCol w:w="1760"/>
        <w:gridCol w:w="2114"/>
      </w:tblGrid>
      <w:tr w14:paraId="13E2D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640" w:type="dxa"/>
            <w:vAlign w:val="top"/>
          </w:tcPr>
          <w:p w14:paraId="75A62A30">
            <w:pPr>
              <w:spacing w:before="284" w:line="222" w:lineRule="auto"/>
              <w:ind w:left="278"/>
              <w:rPr>
                <w:rFonts w:ascii="仿宋" w:hAnsi="仿宋" w:eastAsia="仿宋" w:cs="仿宋"/>
                <w:sz w:val="28"/>
                <w:szCs w:val="28"/>
              </w:rPr>
            </w:pPr>
            <w:r>
              <w:rPr>
                <w:rFonts w:ascii="仿宋" w:hAnsi="仿宋" w:eastAsia="仿宋" w:cs="仿宋"/>
                <w:spacing w:val="-5"/>
                <w:sz w:val="28"/>
                <w:szCs w:val="28"/>
              </w:rPr>
              <w:t>项目名称</w:t>
            </w:r>
          </w:p>
        </w:tc>
        <w:tc>
          <w:tcPr>
            <w:tcW w:w="7332" w:type="dxa"/>
            <w:gridSpan w:val="4"/>
            <w:vAlign w:val="top"/>
          </w:tcPr>
          <w:p w14:paraId="1ADBFAC3">
            <w:pPr>
              <w:spacing w:before="83" w:line="221" w:lineRule="auto"/>
              <w:ind w:left="214"/>
              <w:rPr>
                <w:rFonts w:ascii="仿宋" w:hAnsi="仿宋" w:eastAsia="仿宋" w:cs="仿宋"/>
                <w:sz w:val="28"/>
                <w:szCs w:val="28"/>
              </w:rPr>
            </w:pPr>
            <w:r>
              <w:rPr>
                <w:rFonts w:ascii="仿宋" w:hAnsi="仿宋" w:eastAsia="仿宋" w:cs="仿宋"/>
                <w:spacing w:val="-2"/>
                <w:sz w:val="28"/>
                <w:szCs w:val="28"/>
              </w:rPr>
              <w:t>内蒙古玉龙矿业股份有限公司西乌珠穆沁旗花敖包</w:t>
            </w:r>
            <w:r>
              <w:rPr>
                <w:rFonts w:ascii="仿宋" w:hAnsi="仿宋" w:eastAsia="仿宋" w:cs="仿宋"/>
                <w:spacing w:val="-3"/>
                <w:sz w:val="28"/>
                <w:szCs w:val="28"/>
              </w:rPr>
              <w:t>特银铅</w:t>
            </w:r>
          </w:p>
          <w:p w14:paraId="6AA1C65A">
            <w:pPr>
              <w:spacing w:before="66" w:line="207" w:lineRule="auto"/>
              <w:ind w:left="1721"/>
              <w:rPr>
                <w:rFonts w:ascii="仿宋" w:hAnsi="仿宋" w:eastAsia="仿宋" w:cs="仿宋"/>
                <w:sz w:val="28"/>
                <w:szCs w:val="28"/>
              </w:rPr>
            </w:pPr>
            <w:r>
              <w:rPr>
                <w:rFonts w:ascii="仿宋" w:hAnsi="仿宋" w:eastAsia="仿宋" w:cs="仿宋"/>
                <w:spacing w:val="-3"/>
                <w:sz w:val="28"/>
                <w:szCs w:val="28"/>
              </w:rPr>
              <w:t>矿</w:t>
            </w:r>
            <w:r>
              <w:rPr>
                <w:rFonts w:ascii="仿宋" w:hAnsi="仿宋" w:eastAsia="仿宋" w:cs="仿宋"/>
                <w:spacing w:val="-60"/>
                <w:sz w:val="28"/>
                <w:szCs w:val="28"/>
              </w:rPr>
              <w:t xml:space="preserve"> </w:t>
            </w:r>
            <w:r>
              <w:rPr>
                <w:rFonts w:ascii="仿宋" w:hAnsi="仿宋" w:eastAsia="仿宋" w:cs="仿宋"/>
                <w:spacing w:val="-3"/>
                <w:sz w:val="28"/>
                <w:szCs w:val="28"/>
              </w:rPr>
              <w:t>2000t/d</w:t>
            </w:r>
            <w:r>
              <w:rPr>
                <w:rFonts w:ascii="仿宋" w:hAnsi="仿宋" w:eastAsia="仿宋" w:cs="仿宋"/>
                <w:spacing w:val="-48"/>
                <w:sz w:val="28"/>
                <w:szCs w:val="28"/>
              </w:rPr>
              <w:t xml:space="preserve"> </w:t>
            </w:r>
            <w:r>
              <w:rPr>
                <w:rFonts w:ascii="仿宋" w:hAnsi="仿宋" w:eastAsia="仿宋" w:cs="仿宋"/>
                <w:spacing w:val="-3"/>
                <w:sz w:val="28"/>
                <w:szCs w:val="28"/>
              </w:rPr>
              <w:t>选矿厂技术改造项目</w:t>
            </w:r>
          </w:p>
        </w:tc>
      </w:tr>
      <w:tr w14:paraId="3C8FC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640" w:type="dxa"/>
            <w:vAlign w:val="top"/>
          </w:tcPr>
          <w:p w14:paraId="28F22B11">
            <w:pPr>
              <w:spacing w:before="279" w:line="222" w:lineRule="auto"/>
              <w:ind w:left="277"/>
              <w:rPr>
                <w:rFonts w:ascii="仿宋" w:hAnsi="仿宋" w:eastAsia="仿宋" w:cs="仿宋"/>
                <w:sz w:val="28"/>
                <w:szCs w:val="28"/>
              </w:rPr>
            </w:pPr>
            <w:r>
              <w:rPr>
                <w:rFonts w:ascii="仿宋" w:hAnsi="仿宋" w:eastAsia="仿宋" w:cs="仿宋"/>
                <w:spacing w:val="-5"/>
                <w:sz w:val="28"/>
                <w:szCs w:val="28"/>
              </w:rPr>
              <w:t>环评单位</w:t>
            </w:r>
          </w:p>
        </w:tc>
        <w:tc>
          <w:tcPr>
            <w:tcW w:w="3458" w:type="dxa"/>
            <w:gridSpan w:val="2"/>
            <w:vAlign w:val="top"/>
          </w:tcPr>
          <w:p w14:paraId="24C74F5F">
            <w:pPr>
              <w:spacing w:before="280" w:line="223" w:lineRule="auto"/>
              <w:ind w:left="101"/>
              <w:rPr>
                <w:rFonts w:ascii="仿宋" w:hAnsi="仿宋" w:eastAsia="仿宋" w:cs="仿宋"/>
                <w:sz w:val="28"/>
                <w:szCs w:val="28"/>
              </w:rPr>
            </w:pPr>
            <w:r>
              <w:rPr>
                <w:rFonts w:ascii="仿宋" w:hAnsi="仿宋" w:eastAsia="仿宋" w:cs="仿宋"/>
                <w:spacing w:val="-5"/>
                <w:sz w:val="28"/>
                <w:szCs w:val="28"/>
              </w:rPr>
              <w:t>中冶西北工程技术有限公司</w:t>
            </w:r>
          </w:p>
        </w:tc>
        <w:tc>
          <w:tcPr>
            <w:tcW w:w="1760" w:type="dxa"/>
            <w:vAlign w:val="top"/>
          </w:tcPr>
          <w:p w14:paraId="28348BB7">
            <w:pPr>
              <w:spacing w:before="82" w:line="235" w:lineRule="auto"/>
              <w:ind w:left="646" w:right="457" w:hanging="173"/>
              <w:rPr>
                <w:rFonts w:ascii="仿宋" w:hAnsi="仿宋" w:eastAsia="仿宋" w:cs="仿宋"/>
                <w:sz w:val="28"/>
                <w:szCs w:val="28"/>
              </w:rPr>
            </w:pPr>
            <w:r>
              <w:rPr>
                <w:rFonts w:ascii="仿宋" w:hAnsi="仿宋" w:eastAsia="仿宋" w:cs="仿宋"/>
                <w:spacing w:val="-6"/>
                <w:sz w:val="28"/>
                <w:szCs w:val="28"/>
              </w:rPr>
              <w:t>联系人</w:t>
            </w:r>
            <w:r>
              <w:rPr>
                <w:rFonts w:ascii="仿宋" w:hAnsi="仿宋" w:eastAsia="仿宋" w:cs="仿宋"/>
                <w:spacing w:val="1"/>
                <w:sz w:val="28"/>
                <w:szCs w:val="28"/>
              </w:rPr>
              <w:t xml:space="preserve"> </w:t>
            </w:r>
            <w:r>
              <w:rPr>
                <w:rFonts w:ascii="仿宋" w:hAnsi="仿宋" w:eastAsia="仿宋" w:cs="仿宋"/>
                <w:spacing w:val="-24"/>
                <w:sz w:val="28"/>
                <w:szCs w:val="28"/>
              </w:rPr>
              <w:t>电话</w:t>
            </w:r>
          </w:p>
        </w:tc>
        <w:tc>
          <w:tcPr>
            <w:tcW w:w="2114" w:type="dxa"/>
            <w:vAlign w:val="top"/>
          </w:tcPr>
          <w:p w14:paraId="1E6B51F1">
            <w:pPr>
              <w:spacing w:before="81" w:line="225" w:lineRule="auto"/>
              <w:ind w:left="793"/>
              <w:rPr>
                <w:rFonts w:ascii="仿宋" w:hAnsi="仿宋" w:eastAsia="仿宋" w:cs="仿宋"/>
                <w:sz w:val="28"/>
                <w:szCs w:val="28"/>
              </w:rPr>
            </w:pPr>
            <w:r>
              <w:rPr>
                <w:rFonts w:ascii="仿宋" w:hAnsi="仿宋" w:eastAsia="仿宋" w:cs="仿宋"/>
                <w:spacing w:val="-9"/>
                <w:sz w:val="28"/>
                <w:szCs w:val="28"/>
              </w:rPr>
              <w:t>刘鹏</w:t>
            </w:r>
          </w:p>
          <w:p w14:paraId="53210742">
            <w:pPr>
              <w:spacing w:before="58" w:line="207" w:lineRule="auto"/>
              <w:ind w:left="314"/>
              <w:rPr>
                <w:rFonts w:ascii="仿宋" w:hAnsi="仿宋" w:eastAsia="仿宋" w:cs="仿宋"/>
                <w:sz w:val="28"/>
                <w:szCs w:val="28"/>
              </w:rPr>
            </w:pPr>
            <w:r>
              <w:rPr>
                <w:rFonts w:ascii="仿宋" w:hAnsi="仿宋" w:eastAsia="仿宋" w:cs="仿宋"/>
                <w:spacing w:val="-3"/>
                <w:sz w:val="28"/>
                <w:szCs w:val="28"/>
              </w:rPr>
              <w:t>18004725230</w:t>
            </w:r>
          </w:p>
        </w:tc>
      </w:tr>
      <w:tr w14:paraId="49DB9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640" w:type="dxa"/>
            <w:vAlign w:val="top"/>
          </w:tcPr>
          <w:p w14:paraId="44E79768">
            <w:pPr>
              <w:spacing w:before="115" w:line="223" w:lineRule="auto"/>
              <w:ind w:left="277"/>
              <w:rPr>
                <w:rFonts w:ascii="仿宋" w:hAnsi="仿宋" w:eastAsia="仿宋" w:cs="仿宋"/>
                <w:sz w:val="28"/>
                <w:szCs w:val="28"/>
              </w:rPr>
            </w:pPr>
            <w:r>
              <w:rPr>
                <w:rFonts w:ascii="仿宋" w:hAnsi="仿宋" w:eastAsia="仿宋" w:cs="仿宋"/>
                <w:spacing w:val="-5"/>
                <w:sz w:val="28"/>
                <w:szCs w:val="28"/>
              </w:rPr>
              <w:t>报告类型</w:t>
            </w:r>
          </w:p>
        </w:tc>
        <w:tc>
          <w:tcPr>
            <w:tcW w:w="3458" w:type="dxa"/>
            <w:gridSpan w:val="2"/>
            <w:vAlign w:val="top"/>
          </w:tcPr>
          <w:p w14:paraId="2D50DF8E">
            <w:pPr>
              <w:spacing w:before="115" w:line="223" w:lineRule="auto"/>
              <w:ind w:left="1394"/>
              <w:rPr>
                <w:rFonts w:ascii="仿宋" w:hAnsi="仿宋" w:eastAsia="仿宋" w:cs="仿宋"/>
                <w:sz w:val="28"/>
                <w:szCs w:val="28"/>
              </w:rPr>
            </w:pPr>
            <w:r>
              <w:rPr>
                <w:rFonts w:ascii="仿宋" w:hAnsi="仿宋" w:eastAsia="仿宋" w:cs="仿宋"/>
                <w:spacing w:val="-6"/>
                <w:sz w:val="28"/>
                <w:szCs w:val="28"/>
              </w:rPr>
              <w:t>报告书</w:t>
            </w:r>
          </w:p>
        </w:tc>
        <w:tc>
          <w:tcPr>
            <w:tcW w:w="3874" w:type="dxa"/>
            <w:gridSpan w:val="2"/>
            <w:vAlign w:val="top"/>
          </w:tcPr>
          <w:p w14:paraId="627826B5">
            <w:pPr>
              <w:spacing w:before="115" w:line="223" w:lineRule="auto"/>
              <w:ind w:left="792"/>
              <w:rPr>
                <w:rFonts w:ascii="仿宋" w:hAnsi="仿宋" w:eastAsia="仿宋" w:cs="仿宋"/>
                <w:sz w:val="28"/>
                <w:szCs w:val="28"/>
              </w:rPr>
            </w:pPr>
            <w:r>
              <w:rPr>
                <w:rFonts w:ascii="仿宋" w:hAnsi="仿宋" w:eastAsia="仿宋" w:cs="仿宋"/>
                <w:spacing w:val="-10"/>
                <w:sz w:val="28"/>
                <w:szCs w:val="28"/>
              </w:rPr>
              <w:t>2023</w:t>
            </w:r>
            <w:r>
              <w:rPr>
                <w:rFonts w:ascii="仿宋" w:hAnsi="仿宋" w:eastAsia="仿宋" w:cs="仿宋"/>
                <w:spacing w:val="-46"/>
                <w:sz w:val="28"/>
                <w:szCs w:val="28"/>
              </w:rPr>
              <w:t xml:space="preserve"> </w:t>
            </w:r>
            <w:r>
              <w:rPr>
                <w:rFonts w:ascii="仿宋" w:hAnsi="仿宋" w:eastAsia="仿宋" w:cs="仿宋"/>
                <w:spacing w:val="-10"/>
                <w:sz w:val="28"/>
                <w:szCs w:val="28"/>
              </w:rPr>
              <w:t>年</w:t>
            </w:r>
            <w:r>
              <w:rPr>
                <w:rFonts w:ascii="仿宋" w:hAnsi="仿宋" w:eastAsia="仿宋" w:cs="仿宋"/>
                <w:spacing w:val="10"/>
                <w:sz w:val="28"/>
                <w:szCs w:val="28"/>
              </w:rPr>
              <w:t xml:space="preserve">   </w:t>
            </w:r>
            <w:r>
              <w:rPr>
                <w:rFonts w:ascii="仿宋" w:hAnsi="仿宋" w:eastAsia="仿宋" w:cs="仿宋"/>
                <w:spacing w:val="-10"/>
                <w:sz w:val="28"/>
                <w:szCs w:val="28"/>
              </w:rPr>
              <w:t>月</w:t>
            </w:r>
            <w:r>
              <w:rPr>
                <w:rFonts w:ascii="仿宋" w:hAnsi="仿宋" w:eastAsia="仿宋" w:cs="仿宋"/>
                <w:spacing w:val="26"/>
                <w:sz w:val="28"/>
                <w:szCs w:val="28"/>
              </w:rPr>
              <w:t xml:space="preserve">   </w:t>
            </w:r>
            <w:r>
              <w:rPr>
                <w:rFonts w:ascii="仿宋" w:hAnsi="仿宋" w:eastAsia="仿宋" w:cs="仿宋"/>
                <w:spacing w:val="-10"/>
                <w:sz w:val="28"/>
                <w:szCs w:val="28"/>
              </w:rPr>
              <w:t>日</w:t>
            </w:r>
          </w:p>
        </w:tc>
      </w:tr>
      <w:tr w14:paraId="2FDF9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75" w:type="dxa"/>
            <w:gridSpan w:val="2"/>
            <w:vAlign w:val="top"/>
          </w:tcPr>
          <w:p w14:paraId="45684D51">
            <w:pPr>
              <w:spacing w:before="79" w:line="208" w:lineRule="auto"/>
              <w:ind w:left="727"/>
              <w:rPr>
                <w:rFonts w:ascii="仿宋" w:hAnsi="仿宋" w:eastAsia="仿宋" w:cs="仿宋"/>
                <w:sz w:val="28"/>
                <w:szCs w:val="28"/>
              </w:rPr>
            </w:pPr>
            <w:r>
              <w:rPr>
                <w:rFonts w:ascii="仿宋" w:hAnsi="仿宋" w:eastAsia="仿宋" w:cs="仿宋"/>
                <w:b/>
                <w:bCs/>
                <w:spacing w:val="-8"/>
                <w:sz w:val="28"/>
                <w:szCs w:val="28"/>
              </w:rPr>
              <w:t>专家意见（2/3</w:t>
            </w:r>
            <w:r>
              <w:rPr>
                <w:rFonts w:ascii="仿宋" w:hAnsi="仿宋" w:eastAsia="仿宋" w:cs="仿宋"/>
                <w:spacing w:val="-33"/>
                <w:sz w:val="28"/>
                <w:szCs w:val="28"/>
              </w:rPr>
              <w:t xml:space="preserve"> </w:t>
            </w:r>
            <w:r>
              <w:rPr>
                <w:rFonts w:ascii="仿宋" w:hAnsi="仿宋" w:eastAsia="仿宋" w:cs="仿宋"/>
                <w:b/>
                <w:bCs/>
                <w:spacing w:val="-8"/>
                <w:sz w:val="28"/>
                <w:szCs w:val="28"/>
              </w:rPr>
              <w:t>页）</w:t>
            </w:r>
          </w:p>
        </w:tc>
        <w:tc>
          <w:tcPr>
            <w:tcW w:w="5097" w:type="dxa"/>
            <w:gridSpan w:val="3"/>
            <w:vAlign w:val="top"/>
          </w:tcPr>
          <w:p w14:paraId="7FE239BA">
            <w:pPr>
              <w:spacing w:before="79" w:line="208" w:lineRule="auto"/>
              <w:ind w:left="277"/>
              <w:rPr>
                <w:rFonts w:ascii="仿宋" w:hAnsi="仿宋" w:eastAsia="仿宋" w:cs="仿宋"/>
                <w:sz w:val="28"/>
                <w:szCs w:val="28"/>
              </w:rPr>
            </w:pPr>
            <w:r>
              <w:rPr>
                <w:rFonts w:ascii="仿宋" w:hAnsi="仿宋" w:eastAsia="仿宋" w:cs="仿宋"/>
                <w:b/>
                <w:bCs/>
                <w:spacing w:val="-3"/>
                <w:sz w:val="28"/>
                <w:szCs w:val="28"/>
              </w:rPr>
              <w:t>修改说明（标注修改页码</w:t>
            </w:r>
            <w:r>
              <w:rPr>
                <w:rFonts w:ascii="仿宋" w:hAnsi="仿宋" w:eastAsia="仿宋" w:cs="仿宋"/>
                <w:b/>
                <w:bCs/>
                <w:spacing w:val="-77"/>
                <w:w w:val="95"/>
                <w:sz w:val="28"/>
                <w:szCs w:val="28"/>
              </w:rPr>
              <w:t>）（</w:t>
            </w:r>
            <w:r>
              <w:rPr>
                <w:rFonts w:ascii="仿宋" w:hAnsi="仿宋" w:eastAsia="仿宋" w:cs="仿宋"/>
                <w:b/>
                <w:bCs/>
                <w:spacing w:val="-3"/>
                <w:sz w:val="28"/>
                <w:szCs w:val="28"/>
              </w:rPr>
              <w:t>2/3</w:t>
            </w:r>
            <w:r>
              <w:rPr>
                <w:rFonts w:ascii="仿宋" w:hAnsi="仿宋" w:eastAsia="仿宋" w:cs="仿宋"/>
                <w:spacing w:val="-36"/>
                <w:sz w:val="28"/>
                <w:szCs w:val="28"/>
              </w:rPr>
              <w:t xml:space="preserve"> </w:t>
            </w:r>
            <w:r>
              <w:rPr>
                <w:rFonts w:ascii="仿宋" w:hAnsi="仿宋" w:eastAsia="仿宋" w:cs="仿宋"/>
                <w:b/>
                <w:bCs/>
                <w:spacing w:val="-3"/>
                <w:sz w:val="28"/>
                <w:szCs w:val="28"/>
              </w:rPr>
              <w:t>页）</w:t>
            </w:r>
          </w:p>
        </w:tc>
      </w:tr>
      <w:tr w14:paraId="73118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5" w:hRule="atLeast"/>
        </w:trPr>
        <w:tc>
          <w:tcPr>
            <w:tcW w:w="3875" w:type="dxa"/>
            <w:gridSpan w:val="2"/>
            <w:vAlign w:val="top"/>
          </w:tcPr>
          <w:p w14:paraId="4865CB8E">
            <w:pPr>
              <w:spacing w:before="70" w:line="250" w:lineRule="auto"/>
              <w:ind w:left="46" w:firstLine="4"/>
              <w:rPr>
                <w:rFonts w:ascii="仿宋" w:hAnsi="仿宋" w:eastAsia="仿宋" w:cs="仿宋"/>
                <w:sz w:val="28"/>
                <w:szCs w:val="28"/>
              </w:rPr>
            </w:pPr>
            <w:r>
              <w:rPr>
                <w:rFonts w:ascii="仿宋" w:hAnsi="仿宋" w:eastAsia="仿宋" w:cs="仿宋"/>
                <w:spacing w:val="-4"/>
                <w:sz w:val="28"/>
                <w:szCs w:val="28"/>
              </w:rPr>
              <w:t>容，完善依托工程的可依托分</w:t>
            </w:r>
            <w:r>
              <w:rPr>
                <w:rFonts w:ascii="仿宋" w:hAnsi="仿宋" w:eastAsia="仿宋" w:cs="仿宋"/>
                <w:sz w:val="28"/>
                <w:szCs w:val="28"/>
              </w:rPr>
              <w:t xml:space="preserve">  </w:t>
            </w:r>
            <w:r>
              <w:rPr>
                <w:rFonts w:ascii="仿宋" w:hAnsi="仿宋" w:eastAsia="仿宋" w:cs="仿宋"/>
                <w:spacing w:val="-7"/>
                <w:sz w:val="28"/>
                <w:szCs w:val="28"/>
              </w:rPr>
              <w:t>析；核实技改工程新增用水量、</w:t>
            </w:r>
            <w:r>
              <w:rPr>
                <w:rFonts w:ascii="仿宋" w:hAnsi="仿宋" w:eastAsia="仿宋" w:cs="仿宋"/>
                <w:sz w:val="28"/>
                <w:szCs w:val="28"/>
              </w:rPr>
              <w:t xml:space="preserve"> </w:t>
            </w:r>
            <w:r>
              <w:rPr>
                <w:rFonts w:ascii="仿宋" w:hAnsi="仿宋" w:eastAsia="仿宋" w:cs="仿宋"/>
                <w:spacing w:val="-11"/>
                <w:sz w:val="28"/>
                <w:szCs w:val="28"/>
              </w:rPr>
              <w:t>物料平衡、铅元素平衡、锌元素</w:t>
            </w:r>
            <w:r>
              <w:rPr>
                <w:rFonts w:ascii="仿宋" w:hAnsi="仿宋" w:eastAsia="仿宋" w:cs="仿宋"/>
                <w:sz w:val="28"/>
                <w:szCs w:val="28"/>
              </w:rPr>
              <w:t xml:space="preserve"> </w:t>
            </w:r>
            <w:r>
              <w:rPr>
                <w:rFonts w:ascii="仿宋" w:hAnsi="仿宋" w:eastAsia="仿宋" w:cs="仿宋"/>
                <w:spacing w:val="-11"/>
                <w:sz w:val="28"/>
                <w:szCs w:val="28"/>
              </w:rPr>
              <w:t>平衡、银元素平衡；核实疏干水</w:t>
            </w:r>
            <w:r>
              <w:rPr>
                <w:rFonts w:ascii="仿宋" w:hAnsi="仿宋" w:eastAsia="仿宋" w:cs="仿宋"/>
                <w:sz w:val="28"/>
                <w:szCs w:val="28"/>
              </w:rPr>
              <w:t xml:space="preserve"> </w:t>
            </w:r>
            <w:r>
              <w:rPr>
                <w:rFonts w:ascii="仿宋" w:hAnsi="仿宋" w:eastAsia="仿宋" w:cs="仿宋"/>
                <w:spacing w:val="-11"/>
                <w:sz w:val="28"/>
                <w:szCs w:val="28"/>
              </w:rPr>
              <w:t>产生量，核实技改工程各生产环</w:t>
            </w:r>
            <w:r>
              <w:rPr>
                <w:rFonts w:ascii="仿宋" w:hAnsi="仿宋" w:eastAsia="仿宋" w:cs="仿宋"/>
                <w:sz w:val="28"/>
                <w:szCs w:val="28"/>
              </w:rPr>
              <w:t xml:space="preserve"> </w:t>
            </w:r>
            <w:r>
              <w:rPr>
                <w:rFonts w:ascii="仿宋" w:hAnsi="仿宋" w:eastAsia="仿宋" w:cs="仿宋"/>
                <w:spacing w:val="-11"/>
                <w:sz w:val="28"/>
                <w:szCs w:val="28"/>
              </w:rPr>
              <w:t>节用水量，完善全厂水平衡；完</w:t>
            </w:r>
            <w:r>
              <w:rPr>
                <w:rFonts w:ascii="仿宋" w:hAnsi="仿宋" w:eastAsia="仿宋" w:cs="仿宋"/>
                <w:sz w:val="28"/>
                <w:szCs w:val="28"/>
              </w:rPr>
              <w:t xml:space="preserve"> </w:t>
            </w:r>
            <w:r>
              <w:rPr>
                <w:rFonts w:ascii="仿宋" w:hAnsi="仿宋" w:eastAsia="仿宋" w:cs="仿宋"/>
                <w:spacing w:val="-4"/>
                <w:sz w:val="28"/>
                <w:szCs w:val="28"/>
              </w:rPr>
              <w:t>善平面布置图、四邻关系图。</w:t>
            </w:r>
          </w:p>
          <w:p w14:paraId="39E12DB5">
            <w:pPr>
              <w:spacing w:before="2" w:line="248" w:lineRule="auto"/>
              <w:ind w:left="46" w:hanging="3"/>
              <w:rPr>
                <w:rFonts w:ascii="仿宋" w:hAnsi="仿宋" w:eastAsia="仿宋" w:cs="仿宋"/>
                <w:sz w:val="28"/>
                <w:szCs w:val="28"/>
              </w:rPr>
            </w:pPr>
            <w:r>
              <w:rPr>
                <w:rFonts w:ascii="仿宋" w:hAnsi="仿宋" w:eastAsia="仿宋" w:cs="仿宋"/>
                <w:spacing w:val="-3"/>
                <w:sz w:val="28"/>
                <w:szCs w:val="28"/>
              </w:rPr>
              <w:t>5.补充破碎工段粉尘源强核算</w:t>
            </w:r>
            <w:r>
              <w:rPr>
                <w:rFonts w:ascii="仿宋" w:hAnsi="仿宋" w:eastAsia="仿宋" w:cs="仿宋"/>
                <w:spacing w:val="3"/>
                <w:sz w:val="28"/>
                <w:szCs w:val="28"/>
              </w:rPr>
              <w:t xml:space="preserve">  </w:t>
            </w:r>
            <w:r>
              <w:rPr>
                <w:rFonts w:ascii="仿宋" w:hAnsi="仿宋" w:eastAsia="仿宋" w:cs="仿宋"/>
                <w:spacing w:val="-11"/>
                <w:sz w:val="28"/>
                <w:szCs w:val="28"/>
              </w:rPr>
              <w:t>依据，核实核算结果，补充废气</w:t>
            </w:r>
            <w:r>
              <w:rPr>
                <w:rFonts w:ascii="仿宋" w:hAnsi="仿宋" w:eastAsia="仿宋" w:cs="仿宋"/>
                <w:spacing w:val="11"/>
                <w:sz w:val="28"/>
                <w:szCs w:val="28"/>
              </w:rPr>
              <w:t xml:space="preserve"> </w:t>
            </w:r>
            <w:r>
              <w:rPr>
                <w:rFonts w:ascii="仿宋" w:hAnsi="仿宋" w:eastAsia="仿宋" w:cs="仿宋"/>
                <w:spacing w:val="-11"/>
                <w:sz w:val="28"/>
                <w:szCs w:val="28"/>
              </w:rPr>
              <w:t>处置措施的依托可行性分析；核</w:t>
            </w:r>
            <w:r>
              <w:rPr>
                <w:rFonts w:ascii="仿宋" w:hAnsi="仿宋" w:eastAsia="仿宋" w:cs="仿宋"/>
                <w:spacing w:val="11"/>
                <w:sz w:val="28"/>
                <w:szCs w:val="28"/>
              </w:rPr>
              <w:t xml:space="preserve"> </w:t>
            </w:r>
            <w:r>
              <w:rPr>
                <w:rFonts w:ascii="仿宋" w:hAnsi="仿宋" w:eastAsia="仿宋" w:cs="仿宋"/>
                <w:spacing w:val="-7"/>
                <w:sz w:val="28"/>
                <w:szCs w:val="28"/>
              </w:rPr>
              <w:t>实生产废水产生节点及产生量，</w:t>
            </w:r>
            <w:r>
              <w:rPr>
                <w:rFonts w:ascii="仿宋" w:hAnsi="仿宋" w:eastAsia="仿宋" w:cs="仿宋"/>
                <w:sz w:val="28"/>
                <w:szCs w:val="28"/>
              </w:rPr>
              <w:t xml:space="preserve"> </w:t>
            </w:r>
            <w:r>
              <w:rPr>
                <w:rFonts w:ascii="仿宋" w:hAnsi="仿宋" w:eastAsia="仿宋" w:cs="仿宋"/>
                <w:spacing w:val="-3"/>
                <w:sz w:val="28"/>
                <w:szCs w:val="28"/>
              </w:rPr>
              <w:t>补充选矿废水处理设施的可依</w:t>
            </w:r>
            <w:r>
              <w:rPr>
                <w:rFonts w:ascii="仿宋" w:hAnsi="仿宋" w:eastAsia="仿宋" w:cs="仿宋"/>
                <w:spacing w:val="1"/>
                <w:sz w:val="28"/>
                <w:szCs w:val="28"/>
              </w:rPr>
              <w:t xml:space="preserve">  </w:t>
            </w:r>
            <w:r>
              <w:rPr>
                <w:rFonts w:ascii="仿宋" w:hAnsi="仿宋" w:eastAsia="仿宋" w:cs="仿宋"/>
                <w:spacing w:val="-7"/>
                <w:sz w:val="28"/>
                <w:szCs w:val="28"/>
              </w:rPr>
              <w:t>托性分析；核实危废产、排量，</w:t>
            </w:r>
            <w:r>
              <w:rPr>
                <w:rFonts w:ascii="仿宋" w:hAnsi="仿宋" w:eastAsia="仿宋" w:cs="仿宋"/>
                <w:sz w:val="28"/>
                <w:szCs w:val="28"/>
              </w:rPr>
              <w:t xml:space="preserve"> </w:t>
            </w:r>
            <w:r>
              <w:rPr>
                <w:rFonts w:ascii="仿宋" w:hAnsi="仿宋" w:eastAsia="仿宋" w:cs="仿宋"/>
                <w:spacing w:val="-11"/>
                <w:sz w:val="28"/>
                <w:szCs w:val="28"/>
              </w:rPr>
              <w:t>补充危废库依托可行性分析；核</w:t>
            </w:r>
            <w:r>
              <w:rPr>
                <w:rFonts w:ascii="仿宋" w:hAnsi="仿宋" w:eastAsia="仿宋" w:cs="仿宋"/>
                <w:spacing w:val="11"/>
                <w:sz w:val="28"/>
                <w:szCs w:val="28"/>
              </w:rPr>
              <w:t xml:space="preserve"> </w:t>
            </w:r>
            <w:r>
              <w:rPr>
                <w:rFonts w:ascii="仿宋" w:hAnsi="仿宋" w:eastAsia="仿宋" w:cs="仿宋"/>
                <w:spacing w:val="-11"/>
                <w:sz w:val="28"/>
                <w:szCs w:val="28"/>
              </w:rPr>
              <w:t>算本次技改项目废气、废水、固</w:t>
            </w:r>
            <w:r>
              <w:rPr>
                <w:rFonts w:ascii="仿宋" w:hAnsi="仿宋" w:eastAsia="仿宋" w:cs="仿宋"/>
                <w:spacing w:val="11"/>
                <w:sz w:val="28"/>
                <w:szCs w:val="28"/>
              </w:rPr>
              <w:t xml:space="preserve"> </w:t>
            </w:r>
            <w:r>
              <w:rPr>
                <w:rFonts w:ascii="仿宋" w:hAnsi="仿宋" w:eastAsia="仿宋" w:cs="仿宋"/>
                <w:spacing w:val="-3"/>
                <w:sz w:val="28"/>
                <w:szCs w:val="28"/>
              </w:rPr>
              <w:t>废新增量，核算以新代老削减</w:t>
            </w:r>
            <w:r>
              <w:rPr>
                <w:rFonts w:ascii="仿宋" w:hAnsi="仿宋" w:eastAsia="仿宋" w:cs="仿宋"/>
                <w:spacing w:val="1"/>
                <w:sz w:val="28"/>
                <w:szCs w:val="28"/>
              </w:rPr>
              <w:t xml:space="preserve">  </w:t>
            </w:r>
            <w:r>
              <w:rPr>
                <w:rFonts w:ascii="仿宋" w:hAnsi="仿宋" w:eastAsia="仿宋" w:cs="仿宋"/>
                <w:spacing w:val="-31"/>
                <w:sz w:val="28"/>
                <w:szCs w:val="28"/>
              </w:rPr>
              <w:t>量，完善污染物排放</w:t>
            </w:r>
            <w:r>
              <w:rPr>
                <w:rFonts w:ascii="仿宋" w:hAnsi="仿宋" w:eastAsia="仿宋" w:cs="仿宋"/>
                <w:spacing w:val="-98"/>
                <w:sz w:val="28"/>
                <w:szCs w:val="28"/>
              </w:rPr>
              <w:t xml:space="preserve"> </w:t>
            </w:r>
            <w:r>
              <w:rPr>
                <w:rFonts w:ascii="仿宋" w:hAnsi="仿宋" w:eastAsia="仿宋" w:cs="仿宋"/>
                <w:spacing w:val="-31"/>
                <w:sz w:val="28"/>
                <w:szCs w:val="28"/>
              </w:rPr>
              <w:t>”三本账“内</w:t>
            </w:r>
            <w:r>
              <w:rPr>
                <w:rFonts w:ascii="仿宋" w:hAnsi="仿宋" w:eastAsia="仿宋" w:cs="仿宋"/>
                <w:sz w:val="28"/>
                <w:szCs w:val="28"/>
              </w:rPr>
              <w:t xml:space="preserve"> </w:t>
            </w:r>
            <w:r>
              <w:rPr>
                <w:rFonts w:ascii="仿宋" w:hAnsi="仿宋" w:eastAsia="仿宋" w:cs="仿宋"/>
                <w:spacing w:val="-10"/>
                <w:sz w:val="28"/>
                <w:szCs w:val="28"/>
              </w:rPr>
              <w:t>容。</w:t>
            </w:r>
          </w:p>
          <w:p w14:paraId="54846EBD">
            <w:pPr>
              <w:spacing w:before="38" w:line="248" w:lineRule="auto"/>
              <w:ind w:left="45" w:hanging="5"/>
              <w:rPr>
                <w:rFonts w:ascii="仿宋" w:hAnsi="仿宋" w:eastAsia="仿宋" w:cs="仿宋"/>
                <w:sz w:val="28"/>
                <w:szCs w:val="28"/>
              </w:rPr>
            </w:pPr>
            <w:r>
              <w:rPr>
                <w:rFonts w:ascii="仿宋" w:hAnsi="仿宋" w:eastAsia="仿宋" w:cs="仿宋"/>
                <w:spacing w:val="-3"/>
                <w:sz w:val="28"/>
                <w:szCs w:val="28"/>
              </w:rPr>
              <w:t>6.核实包气带监测点位设置方</w:t>
            </w:r>
            <w:r>
              <w:rPr>
                <w:rFonts w:ascii="仿宋" w:hAnsi="仿宋" w:eastAsia="仿宋" w:cs="仿宋"/>
                <w:spacing w:val="6"/>
                <w:sz w:val="28"/>
                <w:szCs w:val="28"/>
              </w:rPr>
              <w:t xml:space="preserve">  </w:t>
            </w:r>
            <w:r>
              <w:rPr>
                <w:rFonts w:ascii="仿宋" w:hAnsi="仿宋" w:eastAsia="仿宋" w:cs="仿宋"/>
                <w:spacing w:val="-10"/>
                <w:sz w:val="28"/>
                <w:szCs w:val="28"/>
              </w:rPr>
              <w:t>案，完善监测内容及现状评价内</w:t>
            </w:r>
            <w:r>
              <w:rPr>
                <w:rFonts w:ascii="仿宋" w:hAnsi="仿宋" w:eastAsia="仿宋" w:cs="仿宋"/>
                <w:spacing w:val="1"/>
                <w:sz w:val="28"/>
                <w:szCs w:val="28"/>
              </w:rPr>
              <w:t xml:space="preserve"> </w:t>
            </w:r>
            <w:r>
              <w:rPr>
                <w:rFonts w:ascii="仿宋" w:hAnsi="仿宋" w:eastAsia="仿宋" w:cs="仿宋"/>
                <w:spacing w:val="-10"/>
                <w:sz w:val="28"/>
                <w:szCs w:val="28"/>
              </w:rPr>
              <w:t>容；明确地下水流向，核实地下</w:t>
            </w:r>
            <w:r>
              <w:rPr>
                <w:rFonts w:ascii="仿宋" w:hAnsi="仿宋" w:eastAsia="仿宋" w:cs="仿宋"/>
                <w:spacing w:val="1"/>
                <w:sz w:val="28"/>
                <w:szCs w:val="28"/>
              </w:rPr>
              <w:t xml:space="preserve"> </w:t>
            </w:r>
            <w:r>
              <w:rPr>
                <w:rFonts w:ascii="仿宋" w:hAnsi="仿宋" w:eastAsia="仿宋" w:cs="仿宋"/>
                <w:spacing w:val="-7"/>
                <w:sz w:val="28"/>
                <w:szCs w:val="28"/>
              </w:rPr>
              <w:t>水水位监测井的现状监测内容；</w:t>
            </w:r>
            <w:r>
              <w:rPr>
                <w:rFonts w:ascii="仿宋" w:hAnsi="仿宋" w:eastAsia="仿宋" w:cs="仿宋"/>
                <w:sz w:val="28"/>
                <w:szCs w:val="28"/>
              </w:rPr>
              <w:t xml:space="preserve"> </w:t>
            </w:r>
            <w:r>
              <w:rPr>
                <w:rFonts w:ascii="仿宋" w:hAnsi="仿宋" w:eastAsia="仿宋" w:cs="仿宋"/>
                <w:spacing w:val="-7"/>
                <w:sz w:val="28"/>
                <w:szCs w:val="28"/>
              </w:rPr>
              <w:t>核实声环境监测点位布设方案；</w:t>
            </w:r>
            <w:r>
              <w:rPr>
                <w:rFonts w:ascii="仿宋" w:hAnsi="仿宋" w:eastAsia="仿宋" w:cs="仿宋"/>
                <w:sz w:val="28"/>
                <w:szCs w:val="28"/>
              </w:rPr>
              <w:t xml:space="preserve"> </w:t>
            </w:r>
            <w:r>
              <w:rPr>
                <w:rFonts w:ascii="仿宋" w:hAnsi="仿宋" w:eastAsia="仿宋" w:cs="仿宋"/>
                <w:spacing w:val="-3"/>
                <w:sz w:val="28"/>
                <w:szCs w:val="28"/>
              </w:rPr>
              <w:t>核实土壤环境质量现状监测布</w:t>
            </w:r>
            <w:r>
              <w:rPr>
                <w:rFonts w:ascii="仿宋" w:hAnsi="仿宋" w:eastAsia="仿宋" w:cs="仿宋"/>
                <w:spacing w:val="3"/>
                <w:sz w:val="28"/>
                <w:szCs w:val="28"/>
              </w:rPr>
              <w:t xml:space="preserve">  </w:t>
            </w:r>
            <w:r>
              <w:rPr>
                <w:rFonts w:ascii="仿宋" w:hAnsi="仿宋" w:eastAsia="仿宋" w:cs="仿宋"/>
                <w:spacing w:val="-10"/>
                <w:sz w:val="28"/>
                <w:szCs w:val="28"/>
              </w:rPr>
              <w:t>点及监测内容、环境质量现状评</w:t>
            </w:r>
            <w:r>
              <w:rPr>
                <w:rFonts w:ascii="仿宋" w:hAnsi="仿宋" w:eastAsia="仿宋" w:cs="仿宋"/>
                <w:spacing w:val="1"/>
                <w:sz w:val="28"/>
                <w:szCs w:val="28"/>
              </w:rPr>
              <w:t xml:space="preserve"> </w:t>
            </w:r>
            <w:r>
              <w:rPr>
                <w:rFonts w:ascii="仿宋" w:hAnsi="仿宋" w:eastAsia="仿宋" w:cs="仿宋"/>
                <w:spacing w:val="-3"/>
                <w:sz w:val="28"/>
                <w:szCs w:val="28"/>
              </w:rPr>
              <w:t>价内容；核实风险源及风险物</w:t>
            </w:r>
            <w:r>
              <w:rPr>
                <w:rFonts w:ascii="仿宋" w:hAnsi="仿宋" w:eastAsia="仿宋" w:cs="仿宋"/>
                <w:spacing w:val="3"/>
                <w:sz w:val="28"/>
                <w:szCs w:val="28"/>
              </w:rPr>
              <w:t xml:space="preserve">  </w:t>
            </w:r>
            <w:r>
              <w:rPr>
                <w:rFonts w:ascii="仿宋" w:hAnsi="仿宋" w:eastAsia="仿宋" w:cs="仿宋"/>
                <w:spacing w:val="-10"/>
                <w:sz w:val="28"/>
                <w:szCs w:val="28"/>
              </w:rPr>
              <w:t>质，核实硫酸存储量，完善风险</w:t>
            </w:r>
            <w:r>
              <w:rPr>
                <w:rFonts w:ascii="仿宋" w:hAnsi="仿宋" w:eastAsia="仿宋" w:cs="仿宋"/>
                <w:spacing w:val="1"/>
                <w:sz w:val="28"/>
                <w:szCs w:val="28"/>
              </w:rPr>
              <w:t xml:space="preserve"> </w:t>
            </w:r>
            <w:r>
              <w:rPr>
                <w:rFonts w:ascii="仿宋" w:hAnsi="仿宋" w:eastAsia="仿宋" w:cs="仿宋"/>
                <w:spacing w:val="-5"/>
                <w:sz w:val="28"/>
                <w:szCs w:val="28"/>
              </w:rPr>
              <w:t>评价内容。</w:t>
            </w:r>
          </w:p>
          <w:p w14:paraId="57E6F606">
            <w:pPr>
              <w:spacing w:before="39" w:line="228" w:lineRule="auto"/>
              <w:ind w:left="51" w:right="25" w:hanging="7"/>
              <w:rPr>
                <w:rFonts w:ascii="仿宋" w:hAnsi="仿宋" w:eastAsia="仿宋" w:cs="仿宋"/>
                <w:sz w:val="28"/>
                <w:szCs w:val="28"/>
              </w:rPr>
            </w:pPr>
            <w:r>
              <w:rPr>
                <w:rFonts w:ascii="仿宋" w:hAnsi="仿宋" w:eastAsia="仿宋" w:cs="仿宋"/>
                <w:spacing w:val="-2"/>
                <w:sz w:val="28"/>
                <w:szCs w:val="28"/>
              </w:rPr>
              <w:t>7.核实新增地下水观测井的必</w:t>
            </w:r>
            <w:r>
              <w:rPr>
                <w:rFonts w:ascii="仿宋" w:hAnsi="仿宋" w:eastAsia="仿宋" w:cs="仿宋"/>
                <w:spacing w:val="4"/>
                <w:sz w:val="28"/>
                <w:szCs w:val="28"/>
              </w:rPr>
              <w:t xml:space="preserve">  </w:t>
            </w:r>
            <w:r>
              <w:rPr>
                <w:rFonts w:ascii="仿宋" w:hAnsi="仿宋" w:eastAsia="仿宋" w:cs="仿宋"/>
                <w:spacing w:val="-10"/>
                <w:sz w:val="28"/>
                <w:szCs w:val="28"/>
              </w:rPr>
              <w:t>要性；核实环保投资、运营期环</w:t>
            </w:r>
          </w:p>
        </w:tc>
        <w:tc>
          <w:tcPr>
            <w:tcW w:w="5097" w:type="dxa"/>
            <w:gridSpan w:val="3"/>
            <w:vAlign w:val="top"/>
          </w:tcPr>
          <w:p w14:paraId="7D0EA48C">
            <w:pPr>
              <w:spacing w:before="59" w:line="251" w:lineRule="auto"/>
              <w:ind w:left="39" w:hanging="9"/>
              <w:jc w:val="both"/>
              <w:rPr>
                <w:rFonts w:ascii="仿宋" w:hAnsi="仿宋" w:eastAsia="仿宋" w:cs="仿宋"/>
                <w:sz w:val="28"/>
                <w:szCs w:val="28"/>
              </w:rPr>
            </w:pPr>
            <w:r>
              <w:rPr>
                <w:rFonts w:ascii="仿宋" w:hAnsi="仿宋" w:eastAsia="仿宋" w:cs="仿宋"/>
                <w:spacing w:val="-4"/>
                <w:sz w:val="28"/>
                <w:szCs w:val="28"/>
              </w:rPr>
              <w:t>P20~23</w:t>
            </w:r>
            <w:r>
              <w:rPr>
                <w:rFonts w:ascii="仿宋" w:hAnsi="仿宋" w:eastAsia="仿宋" w:cs="仿宋"/>
                <w:spacing w:val="-36"/>
                <w:sz w:val="28"/>
                <w:szCs w:val="28"/>
              </w:rPr>
              <w:t xml:space="preserve"> </w:t>
            </w:r>
            <w:r>
              <w:rPr>
                <w:rFonts w:ascii="仿宋" w:hAnsi="仿宋" w:eastAsia="仿宋" w:cs="仿宋"/>
                <w:spacing w:val="-4"/>
                <w:sz w:val="28"/>
                <w:szCs w:val="28"/>
              </w:rPr>
              <w:t>页；完善本次技改工程建设内容，</w:t>
            </w:r>
            <w:r>
              <w:rPr>
                <w:rFonts w:ascii="仿宋" w:hAnsi="仿宋" w:eastAsia="仿宋" w:cs="仿宋"/>
                <w:sz w:val="28"/>
                <w:szCs w:val="28"/>
              </w:rPr>
              <w:t xml:space="preserve"> </w:t>
            </w:r>
            <w:r>
              <w:rPr>
                <w:rFonts w:ascii="仿宋" w:hAnsi="仿宋" w:eastAsia="仿宋" w:cs="仿宋"/>
                <w:spacing w:val="-5"/>
                <w:sz w:val="28"/>
                <w:szCs w:val="28"/>
              </w:rPr>
              <w:t>细化依托工程、新增工程内容，完善依托</w:t>
            </w:r>
            <w:r>
              <w:rPr>
                <w:rFonts w:ascii="仿宋" w:hAnsi="仿宋" w:eastAsia="仿宋" w:cs="仿宋"/>
                <w:spacing w:val="6"/>
                <w:sz w:val="28"/>
                <w:szCs w:val="28"/>
              </w:rPr>
              <w:t xml:space="preserve"> </w:t>
            </w:r>
            <w:r>
              <w:rPr>
                <w:rFonts w:ascii="仿宋" w:hAnsi="仿宋" w:eastAsia="仿宋" w:cs="仿宋"/>
                <w:spacing w:val="-4"/>
                <w:sz w:val="28"/>
                <w:szCs w:val="28"/>
              </w:rPr>
              <w:t>工程的可依托分析，见</w:t>
            </w:r>
            <w:r>
              <w:rPr>
                <w:rFonts w:ascii="仿宋" w:hAnsi="仿宋" w:eastAsia="仿宋" w:cs="仿宋"/>
                <w:spacing w:val="-56"/>
                <w:sz w:val="28"/>
                <w:szCs w:val="28"/>
              </w:rPr>
              <w:t xml:space="preserve"> </w:t>
            </w:r>
            <w:r>
              <w:rPr>
                <w:rFonts w:ascii="仿宋" w:hAnsi="仿宋" w:eastAsia="仿宋" w:cs="仿宋"/>
                <w:spacing w:val="-4"/>
                <w:sz w:val="28"/>
                <w:szCs w:val="28"/>
              </w:rPr>
              <w:t>P53~58、236~237</w:t>
            </w:r>
            <w:r>
              <w:rPr>
                <w:rFonts w:ascii="仿宋" w:hAnsi="仿宋" w:eastAsia="仿宋" w:cs="仿宋"/>
                <w:sz w:val="28"/>
                <w:szCs w:val="28"/>
              </w:rPr>
              <w:t xml:space="preserve">  </w:t>
            </w:r>
            <w:r>
              <w:rPr>
                <w:rFonts w:ascii="仿宋" w:hAnsi="仿宋" w:eastAsia="仿宋" w:cs="仿宋"/>
                <w:spacing w:val="-5"/>
                <w:sz w:val="28"/>
                <w:szCs w:val="28"/>
              </w:rPr>
              <w:t>页；已核实技改工程新增用水量、物料平</w:t>
            </w:r>
            <w:r>
              <w:rPr>
                <w:rFonts w:ascii="仿宋" w:hAnsi="仿宋" w:eastAsia="仿宋" w:cs="仿宋"/>
                <w:spacing w:val="6"/>
                <w:sz w:val="28"/>
                <w:szCs w:val="28"/>
              </w:rPr>
              <w:t xml:space="preserve"> </w:t>
            </w:r>
            <w:r>
              <w:rPr>
                <w:rFonts w:ascii="仿宋" w:hAnsi="仿宋" w:eastAsia="仿宋" w:cs="仿宋"/>
                <w:spacing w:val="-5"/>
                <w:sz w:val="28"/>
                <w:szCs w:val="28"/>
              </w:rPr>
              <w:t>衡、铅元素平衡、锌元素平衡、银元素平</w:t>
            </w:r>
            <w:r>
              <w:rPr>
                <w:rFonts w:ascii="仿宋" w:hAnsi="仿宋" w:eastAsia="仿宋" w:cs="仿宋"/>
                <w:spacing w:val="6"/>
                <w:sz w:val="28"/>
                <w:szCs w:val="28"/>
              </w:rPr>
              <w:t xml:space="preserve"> </w:t>
            </w:r>
            <w:r>
              <w:rPr>
                <w:rFonts w:ascii="仿宋" w:hAnsi="仿宋" w:eastAsia="仿宋" w:cs="仿宋"/>
                <w:spacing w:val="-13"/>
                <w:sz w:val="28"/>
                <w:szCs w:val="28"/>
              </w:rPr>
              <w:t>衡，见</w:t>
            </w:r>
            <w:r>
              <w:rPr>
                <w:rFonts w:ascii="仿宋" w:hAnsi="仿宋" w:eastAsia="仿宋" w:cs="仿宋"/>
                <w:spacing w:val="-51"/>
                <w:sz w:val="28"/>
                <w:szCs w:val="28"/>
              </w:rPr>
              <w:t xml:space="preserve"> </w:t>
            </w:r>
            <w:r>
              <w:rPr>
                <w:rFonts w:ascii="仿宋" w:hAnsi="仿宋" w:eastAsia="仿宋" w:cs="仿宋"/>
                <w:spacing w:val="-13"/>
                <w:sz w:val="28"/>
                <w:szCs w:val="28"/>
              </w:rPr>
              <w:t>P77~79</w:t>
            </w:r>
            <w:r>
              <w:rPr>
                <w:rFonts w:ascii="仿宋" w:hAnsi="仿宋" w:eastAsia="仿宋" w:cs="仿宋"/>
                <w:spacing w:val="-40"/>
                <w:sz w:val="28"/>
                <w:szCs w:val="28"/>
              </w:rPr>
              <w:t xml:space="preserve"> </w:t>
            </w:r>
            <w:r>
              <w:rPr>
                <w:rFonts w:ascii="仿宋" w:hAnsi="仿宋" w:eastAsia="仿宋" w:cs="仿宋"/>
                <w:spacing w:val="-13"/>
                <w:sz w:val="28"/>
                <w:szCs w:val="28"/>
              </w:rPr>
              <w:t>页；核实疏干水产生量，核</w:t>
            </w:r>
            <w:r>
              <w:rPr>
                <w:rFonts w:ascii="仿宋" w:hAnsi="仿宋" w:eastAsia="仿宋" w:cs="仿宋"/>
                <w:sz w:val="28"/>
                <w:szCs w:val="28"/>
              </w:rPr>
              <w:t xml:space="preserve"> </w:t>
            </w:r>
            <w:r>
              <w:rPr>
                <w:rFonts w:ascii="仿宋" w:hAnsi="仿宋" w:eastAsia="仿宋" w:cs="仿宋"/>
                <w:spacing w:val="-5"/>
                <w:sz w:val="28"/>
                <w:szCs w:val="28"/>
              </w:rPr>
              <w:t>实技改工程各生产环节用水量，完善全厂</w:t>
            </w:r>
            <w:r>
              <w:rPr>
                <w:rFonts w:ascii="仿宋" w:hAnsi="仿宋" w:eastAsia="仿宋" w:cs="仿宋"/>
                <w:spacing w:val="6"/>
                <w:sz w:val="28"/>
                <w:szCs w:val="28"/>
              </w:rPr>
              <w:t xml:space="preserve"> </w:t>
            </w:r>
            <w:r>
              <w:rPr>
                <w:rFonts w:ascii="仿宋" w:hAnsi="仿宋" w:eastAsia="仿宋" w:cs="仿宋"/>
                <w:spacing w:val="-8"/>
                <w:sz w:val="28"/>
                <w:szCs w:val="28"/>
              </w:rPr>
              <w:t>水平衡，见</w:t>
            </w:r>
            <w:r>
              <w:rPr>
                <w:rFonts w:ascii="仿宋" w:hAnsi="仿宋" w:eastAsia="仿宋" w:cs="仿宋"/>
                <w:spacing w:val="-61"/>
                <w:sz w:val="28"/>
                <w:szCs w:val="28"/>
              </w:rPr>
              <w:t xml:space="preserve"> </w:t>
            </w:r>
            <w:r>
              <w:rPr>
                <w:rFonts w:ascii="仿宋" w:hAnsi="仿宋" w:eastAsia="仿宋" w:cs="仿宋"/>
                <w:spacing w:val="-8"/>
                <w:sz w:val="28"/>
                <w:szCs w:val="28"/>
              </w:rPr>
              <w:t>P79~81</w:t>
            </w:r>
            <w:r>
              <w:rPr>
                <w:rFonts w:ascii="仿宋" w:hAnsi="仿宋" w:eastAsia="仿宋" w:cs="仿宋"/>
                <w:spacing w:val="-40"/>
                <w:sz w:val="28"/>
                <w:szCs w:val="28"/>
              </w:rPr>
              <w:t xml:space="preserve"> </w:t>
            </w:r>
            <w:r>
              <w:rPr>
                <w:rFonts w:ascii="仿宋" w:hAnsi="仿宋" w:eastAsia="仿宋" w:cs="仿宋"/>
                <w:spacing w:val="-8"/>
                <w:sz w:val="28"/>
                <w:szCs w:val="28"/>
              </w:rPr>
              <w:t>页；完善平面布置图、</w:t>
            </w:r>
            <w:r>
              <w:rPr>
                <w:rFonts w:ascii="仿宋" w:hAnsi="仿宋" w:eastAsia="仿宋" w:cs="仿宋"/>
                <w:sz w:val="28"/>
                <w:szCs w:val="28"/>
              </w:rPr>
              <w:t xml:space="preserve"> </w:t>
            </w:r>
            <w:r>
              <w:rPr>
                <w:rFonts w:ascii="仿宋" w:hAnsi="仿宋" w:eastAsia="仿宋" w:cs="仿宋"/>
                <w:spacing w:val="-6"/>
                <w:sz w:val="28"/>
                <w:szCs w:val="28"/>
              </w:rPr>
              <w:t>四邻关系图，见</w:t>
            </w:r>
            <w:r>
              <w:rPr>
                <w:rFonts w:ascii="仿宋" w:hAnsi="仿宋" w:eastAsia="仿宋" w:cs="仿宋"/>
                <w:spacing w:val="-59"/>
                <w:sz w:val="28"/>
                <w:szCs w:val="28"/>
              </w:rPr>
              <w:t xml:space="preserve"> </w:t>
            </w:r>
            <w:r>
              <w:rPr>
                <w:rFonts w:ascii="仿宋" w:hAnsi="仿宋" w:eastAsia="仿宋" w:cs="仿宋"/>
                <w:spacing w:val="-6"/>
                <w:sz w:val="28"/>
                <w:szCs w:val="28"/>
              </w:rPr>
              <w:t>P68~70、75</w:t>
            </w:r>
            <w:r>
              <w:rPr>
                <w:rFonts w:ascii="仿宋" w:hAnsi="仿宋" w:eastAsia="仿宋" w:cs="仿宋"/>
                <w:spacing w:val="-40"/>
                <w:sz w:val="28"/>
                <w:szCs w:val="28"/>
              </w:rPr>
              <w:t xml:space="preserve"> </w:t>
            </w:r>
            <w:r>
              <w:rPr>
                <w:rFonts w:ascii="仿宋" w:hAnsi="仿宋" w:eastAsia="仿宋" w:cs="仿宋"/>
                <w:spacing w:val="-6"/>
                <w:sz w:val="28"/>
                <w:szCs w:val="28"/>
              </w:rPr>
              <w:t>页。</w:t>
            </w:r>
          </w:p>
          <w:p w14:paraId="3177043E">
            <w:pPr>
              <w:spacing w:before="12" w:line="247" w:lineRule="auto"/>
              <w:ind w:left="42" w:hanging="2"/>
              <w:rPr>
                <w:rFonts w:ascii="仿宋" w:hAnsi="仿宋" w:eastAsia="仿宋" w:cs="仿宋"/>
                <w:sz w:val="28"/>
                <w:szCs w:val="28"/>
              </w:rPr>
            </w:pPr>
            <w:r>
              <w:rPr>
                <w:rFonts w:ascii="仿宋" w:hAnsi="仿宋" w:eastAsia="仿宋" w:cs="仿宋"/>
                <w:spacing w:val="-7"/>
                <w:sz w:val="28"/>
                <w:szCs w:val="28"/>
              </w:rPr>
              <w:t>5.补充破碎工段粉尘源强核算依据，核实</w:t>
            </w:r>
            <w:r>
              <w:rPr>
                <w:rFonts w:ascii="仿宋" w:hAnsi="仿宋" w:eastAsia="仿宋" w:cs="仿宋"/>
                <w:spacing w:val="4"/>
                <w:sz w:val="28"/>
                <w:szCs w:val="28"/>
              </w:rPr>
              <w:t xml:space="preserve">  </w:t>
            </w:r>
            <w:r>
              <w:rPr>
                <w:rFonts w:ascii="仿宋" w:hAnsi="仿宋" w:eastAsia="仿宋" w:cs="仿宋"/>
                <w:spacing w:val="-9"/>
                <w:sz w:val="28"/>
                <w:szCs w:val="28"/>
              </w:rPr>
              <w:t>核算结果，见</w:t>
            </w:r>
            <w:r>
              <w:rPr>
                <w:rFonts w:ascii="仿宋" w:hAnsi="仿宋" w:eastAsia="仿宋" w:cs="仿宋"/>
                <w:spacing w:val="-57"/>
                <w:sz w:val="28"/>
                <w:szCs w:val="28"/>
              </w:rPr>
              <w:t xml:space="preserve"> </w:t>
            </w:r>
            <w:r>
              <w:rPr>
                <w:rFonts w:ascii="仿宋" w:hAnsi="仿宋" w:eastAsia="仿宋" w:cs="仿宋"/>
                <w:spacing w:val="-9"/>
                <w:sz w:val="28"/>
                <w:szCs w:val="28"/>
              </w:rPr>
              <w:t>P85</w:t>
            </w:r>
            <w:r>
              <w:rPr>
                <w:rFonts w:ascii="仿宋" w:hAnsi="仿宋" w:eastAsia="仿宋" w:cs="仿宋"/>
                <w:spacing w:val="-41"/>
                <w:sz w:val="28"/>
                <w:szCs w:val="28"/>
              </w:rPr>
              <w:t xml:space="preserve"> </w:t>
            </w:r>
            <w:r>
              <w:rPr>
                <w:rFonts w:ascii="仿宋" w:hAnsi="仿宋" w:eastAsia="仿宋" w:cs="仿宋"/>
                <w:spacing w:val="-9"/>
                <w:sz w:val="28"/>
                <w:szCs w:val="28"/>
              </w:rPr>
              <w:t>页；补充废气处置措施</w:t>
            </w:r>
            <w:r>
              <w:rPr>
                <w:rFonts w:ascii="仿宋" w:hAnsi="仿宋" w:eastAsia="仿宋" w:cs="仿宋"/>
                <w:sz w:val="28"/>
                <w:szCs w:val="28"/>
              </w:rPr>
              <w:t xml:space="preserve">  </w:t>
            </w:r>
            <w:r>
              <w:rPr>
                <w:rFonts w:ascii="仿宋" w:hAnsi="仿宋" w:eastAsia="仿宋" w:cs="仿宋"/>
                <w:spacing w:val="-15"/>
                <w:sz w:val="28"/>
                <w:szCs w:val="28"/>
              </w:rPr>
              <w:t>的依托可行性分析，见</w:t>
            </w:r>
            <w:r>
              <w:rPr>
                <w:rFonts w:ascii="仿宋" w:hAnsi="仿宋" w:eastAsia="仿宋" w:cs="仿宋"/>
                <w:spacing w:val="-67"/>
                <w:sz w:val="28"/>
                <w:szCs w:val="28"/>
              </w:rPr>
              <w:t xml:space="preserve"> </w:t>
            </w:r>
            <w:r>
              <w:rPr>
                <w:rFonts w:ascii="仿宋" w:hAnsi="仿宋" w:eastAsia="仿宋" w:cs="仿宋"/>
                <w:spacing w:val="-15"/>
                <w:sz w:val="28"/>
                <w:szCs w:val="28"/>
              </w:rPr>
              <w:t>P238</w:t>
            </w:r>
            <w:r>
              <w:rPr>
                <w:rFonts w:ascii="仿宋" w:hAnsi="仿宋" w:eastAsia="仿宋" w:cs="仿宋"/>
                <w:spacing w:val="-42"/>
                <w:sz w:val="28"/>
                <w:szCs w:val="28"/>
              </w:rPr>
              <w:t xml:space="preserve"> </w:t>
            </w:r>
            <w:r>
              <w:rPr>
                <w:rFonts w:ascii="仿宋" w:hAnsi="仿宋" w:eastAsia="仿宋" w:cs="仿宋"/>
                <w:spacing w:val="-15"/>
                <w:sz w:val="28"/>
                <w:szCs w:val="28"/>
              </w:rPr>
              <w:t>页；核实生产</w:t>
            </w:r>
            <w:r>
              <w:rPr>
                <w:rFonts w:ascii="仿宋" w:hAnsi="仿宋" w:eastAsia="仿宋" w:cs="仿宋"/>
                <w:sz w:val="28"/>
                <w:szCs w:val="28"/>
              </w:rPr>
              <w:t xml:space="preserve">  </w:t>
            </w:r>
            <w:r>
              <w:rPr>
                <w:rFonts w:ascii="仿宋" w:hAnsi="仿宋" w:eastAsia="仿宋" w:cs="仿宋"/>
                <w:spacing w:val="-8"/>
                <w:sz w:val="28"/>
                <w:szCs w:val="28"/>
              </w:rPr>
              <w:t>废水产生节点及产生量，补充选矿废水处</w:t>
            </w:r>
            <w:r>
              <w:rPr>
                <w:rFonts w:ascii="仿宋" w:hAnsi="仿宋" w:eastAsia="仿宋" w:cs="仿宋"/>
                <w:spacing w:val="7"/>
                <w:sz w:val="28"/>
                <w:szCs w:val="28"/>
              </w:rPr>
              <w:t xml:space="preserve">  </w:t>
            </w:r>
            <w:r>
              <w:rPr>
                <w:rFonts w:ascii="仿宋" w:hAnsi="仿宋" w:eastAsia="仿宋" w:cs="仿宋"/>
                <w:spacing w:val="-14"/>
                <w:sz w:val="28"/>
                <w:szCs w:val="28"/>
              </w:rPr>
              <w:t>理设施的可依托性分析，见</w:t>
            </w:r>
            <w:r>
              <w:rPr>
                <w:rFonts w:ascii="仿宋" w:hAnsi="仿宋" w:eastAsia="仿宋" w:cs="仿宋"/>
                <w:spacing w:val="-63"/>
                <w:sz w:val="28"/>
                <w:szCs w:val="28"/>
              </w:rPr>
              <w:t xml:space="preserve"> </w:t>
            </w:r>
            <w:r>
              <w:rPr>
                <w:rFonts w:ascii="仿宋" w:hAnsi="仿宋" w:eastAsia="仿宋" w:cs="仿宋"/>
                <w:spacing w:val="-14"/>
                <w:sz w:val="28"/>
                <w:szCs w:val="28"/>
              </w:rPr>
              <w:t>P88、P238</w:t>
            </w:r>
            <w:r>
              <w:rPr>
                <w:rFonts w:ascii="仿宋" w:hAnsi="仿宋" w:eastAsia="仿宋" w:cs="仿宋"/>
                <w:spacing w:val="-41"/>
                <w:sz w:val="28"/>
                <w:szCs w:val="28"/>
              </w:rPr>
              <w:t xml:space="preserve"> </w:t>
            </w:r>
            <w:r>
              <w:rPr>
                <w:rFonts w:ascii="仿宋" w:hAnsi="仿宋" w:eastAsia="仿宋" w:cs="仿宋"/>
                <w:spacing w:val="-14"/>
                <w:sz w:val="28"/>
                <w:szCs w:val="28"/>
              </w:rPr>
              <w:t>页；</w:t>
            </w:r>
            <w:r>
              <w:rPr>
                <w:rFonts w:ascii="仿宋" w:hAnsi="仿宋" w:eastAsia="仿宋" w:cs="仿宋"/>
                <w:sz w:val="28"/>
                <w:szCs w:val="28"/>
              </w:rPr>
              <w:t xml:space="preserve"> </w:t>
            </w:r>
            <w:r>
              <w:rPr>
                <w:rFonts w:ascii="仿宋" w:hAnsi="仿宋" w:eastAsia="仿宋" w:cs="仿宋"/>
                <w:spacing w:val="-8"/>
                <w:sz w:val="28"/>
                <w:szCs w:val="28"/>
              </w:rPr>
              <w:t>核实危废产、排量，补充危废库依托可行</w:t>
            </w:r>
            <w:r>
              <w:rPr>
                <w:rFonts w:ascii="仿宋" w:hAnsi="仿宋" w:eastAsia="仿宋" w:cs="仿宋"/>
                <w:spacing w:val="7"/>
                <w:sz w:val="28"/>
                <w:szCs w:val="28"/>
              </w:rPr>
              <w:t xml:space="preserve">  </w:t>
            </w:r>
            <w:r>
              <w:rPr>
                <w:rFonts w:ascii="仿宋" w:hAnsi="仿宋" w:eastAsia="仿宋" w:cs="仿宋"/>
                <w:spacing w:val="-12"/>
                <w:sz w:val="28"/>
                <w:szCs w:val="28"/>
              </w:rPr>
              <w:t>性分析，见</w:t>
            </w:r>
            <w:r>
              <w:rPr>
                <w:rFonts w:ascii="仿宋" w:hAnsi="仿宋" w:eastAsia="仿宋" w:cs="仿宋"/>
                <w:spacing w:val="-67"/>
                <w:sz w:val="28"/>
                <w:szCs w:val="28"/>
              </w:rPr>
              <w:t xml:space="preserve"> </w:t>
            </w:r>
            <w:r>
              <w:rPr>
                <w:rFonts w:ascii="仿宋" w:hAnsi="仿宋" w:eastAsia="仿宋" w:cs="仿宋"/>
                <w:spacing w:val="-12"/>
                <w:sz w:val="28"/>
                <w:szCs w:val="28"/>
              </w:rPr>
              <w:t>P92~93、P200、P238</w:t>
            </w:r>
            <w:r>
              <w:rPr>
                <w:rFonts w:ascii="仿宋" w:hAnsi="仿宋" w:eastAsia="仿宋" w:cs="仿宋"/>
                <w:spacing w:val="-39"/>
                <w:sz w:val="28"/>
                <w:szCs w:val="28"/>
              </w:rPr>
              <w:t xml:space="preserve"> </w:t>
            </w:r>
            <w:r>
              <w:rPr>
                <w:rFonts w:ascii="仿宋" w:hAnsi="仿宋" w:eastAsia="仿宋" w:cs="仿宋"/>
                <w:spacing w:val="-12"/>
                <w:sz w:val="28"/>
                <w:szCs w:val="28"/>
              </w:rPr>
              <w:t>页；核算</w:t>
            </w:r>
            <w:r>
              <w:rPr>
                <w:rFonts w:ascii="仿宋" w:hAnsi="仿宋" w:eastAsia="仿宋" w:cs="仿宋"/>
                <w:sz w:val="28"/>
                <w:szCs w:val="28"/>
              </w:rPr>
              <w:t xml:space="preserve">  </w:t>
            </w:r>
            <w:r>
              <w:rPr>
                <w:rFonts w:ascii="仿宋" w:hAnsi="仿宋" w:eastAsia="仿宋" w:cs="仿宋"/>
                <w:spacing w:val="-5"/>
                <w:sz w:val="28"/>
                <w:szCs w:val="28"/>
              </w:rPr>
              <w:t>本次技改项目废气、废水、固废新增量，</w:t>
            </w:r>
            <w:r>
              <w:rPr>
                <w:rFonts w:ascii="仿宋" w:hAnsi="仿宋" w:eastAsia="仿宋" w:cs="仿宋"/>
                <w:spacing w:val="4"/>
                <w:sz w:val="28"/>
                <w:szCs w:val="28"/>
              </w:rPr>
              <w:t xml:space="preserve"> </w:t>
            </w:r>
            <w:r>
              <w:rPr>
                <w:rFonts w:ascii="仿宋" w:hAnsi="仿宋" w:eastAsia="仿宋" w:cs="仿宋"/>
                <w:sz w:val="28"/>
                <w:szCs w:val="28"/>
              </w:rPr>
              <w:t>核算以新代老削减量，完善污染物排放”</w:t>
            </w:r>
            <w:r>
              <w:rPr>
                <w:rFonts w:ascii="仿宋" w:hAnsi="仿宋" w:eastAsia="仿宋" w:cs="仿宋"/>
                <w:spacing w:val="8"/>
                <w:sz w:val="28"/>
                <w:szCs w:val="28"/>
              </w:rPr>
              <w:t xml:space="preserve"> </w:t>
            </w:r>
            <w:r>
              <w:rPr>
                <w:rFonts w:ascii="仿宋" w:hAnsi="仿宋" w:eastAsia="仿宋" w:cs="仿宋"/>
                <w:spacing w:val="-11"/>
                <w:sz w:val="28"/>
                <w:szCs w:val="28"/>
              </w:rPr>
              <w:t>三本账“</w:t>
            </w:r>
            <w:r>
              <w:rPr>
                <w:rFonts w:ascii="仿宋" w:hAnsi="仿宋" w:eastAsia="仿宋" w:cs="仿宋"/>
                <w:spacing w:val="-89"/>
                <w:sz w:val="28"/>
                <w:szCs w:val="28"/>
              </w:rPr>
              <w:t xml:space="preserve"> </w:t>
            </w:r>
            <w:r>
              <w:rPr>
                <w:rFonts w:ascii="仿宋" w:hAnsi="仿宋" w:eastAsia="仿宋" w:cs="仿宋"/>
                <w:spacing w:val="-11"/>
                <w:sz w:val="28"/>
                <w:szCs w:val="28"/>
              </w:rPr>
              <w:t>内容，见</w:t>
            </w:r>
            <w:r>
              <w:rPr>
                <w:rFonts w:ascii="仿宋" w:hAnsi="仿宋" w:eastAsia="仿宋" w:cs="仿宋"/>
                <w:spacing w:val="-67"/>
                <w:sz w:val="28"/>
                <w:szCs w:val="28"/>
              </w:rPr>
              <w:t xml:space="preserve"> </w:t>
            </w:r>
            <w:r>
              <w:rPr>
                <w:rFonts w:ascii="仿宋" w:hAnsi="仿宋" w:eastAsia="仿宋" w:cs="仿宋"/>
                <w:spacing w:val="-11"/>
                <w:sz w:val="28"/>
                <w:szCs w:val="28"/>
              </w:rPr>
              <w:t>P84~94</w:t>
            </w:r>
            <w:r>
              <w:rPr>
                <w:rFonts w:ascii="仿宋" w:hAnsi="仿宋" w:eastAsia="仿宋" w:cs="仿宋"/>
                <w:spacing w:val="-41"/>
                <w:sz w:val="28"/>
                <w:szCs w:val="28"/>
              </w:rPr>
              <w:t xml:space="preserve"> </w:t>
            </w:r>
            <w:r>
              <w:rPr>
                <w:rFonts w:ascii="仿宋" w:hAnsi="仿宋" w:eastAsia="仿宋" w:cs="仿宋"/>
                <w:spacing w:val="-11"/>
                <w:sz w:val="28"/>
                <w:szCs w:val="28"/>
              </w:rPr>
              <w:t>页。</w:t>
            </w:r>
          </w:p>
          <w:p w14:paraId="627E4B94">
            <w:pPr>
              <w:spacing w:before="40" w:line="248" w:lineRule="auto"/>
              <w:ind w:left="41" w:hanging="5"/>
              <w:rPr>
                <w:rFonts w:ascii="仿宋" w:hAnsi="仿宋" w:eastAsia="仿宋" w:cs="仿宋"/>
                <w:sz w:val="28"/>
                <w:szCs w:val="28"/>
              </w:rPr>
            </w:pPr>
            <w:r>
              <w:rPr>
                <w:rFonts w:ascii="仿宋" w:hAnsi="仿宋" w:eastAsia="仿宋" w:cs="仿宋"/>
                <w:spacing w:val="-4"/>
                <w:sz w:val="28"/>
                <w:szCs w:val="28"/>
              </w:rPr>
              <w:t>6.核实包气带监测点位设置方案，完善监</w:t>
            </w:r>
            <w:r>
              <w:rPr>
                <w:rFonts w:ascii="仿宋" w:hAnsi="仿宋" w:eastAsia="仿宋" w:cs="仿宋"/>
                <w:spacing w:val="13"/>
                <w:sz w:val="28"/>
                <w:szCs w:val="28"/>
              </w:rPr>
              <w:t xml:space="preserve"> </w:t>
            </w:r>
            <w:r>
              <w:rPr>
                <w:rFonts w:ascii="仿宋" w:hAnsi="仿宋" w:eastAsia="仿宋" w:cs="仿宋"/>
                <w:spacing w:val="-8"/>
                <w:sz w:val="28"/>
                <w:szCs w:val="28"/>
              </w:rPr>
              <w:t>测内容及现状评价内容，见</w:t>
            </w:r>
            <w:r>
              <w:rPr>
                <w:rFonts w:ascii="仿宋" w:hAnsi="仿宋" w:eastAsia="仿宋" w:cs="仿宋"/>
                <w:spacing w:val="-56"/>
                <w:sz w:val="28"/>
                <w:szCs w:val="28"/>
              </w:rPr>
              <w:t xml:space="preserve"> </w:t>
            </w:r>
            <w:r>
              <w:rPr>
                <w:rFonts w:ascii="仿宋" w:hAnsi="仿宋" w:eastAsia="仿宋" w:cs="仿宋"/>
                <w:spacing w:val="-8"/>
                <w:sz w:val="28"/>
                <w:szCs w:val="28"/>
              </w:rPr>
              <w:t>P116~121</w:t>
            </w:r>
            <w:r>
              <w:rPr>
                <w:rFonts w:ascii="仿宋" w:hAnsi="仿宋" w:eastAsia="仿宋" w:cs="仿宋"/>
                <w:spacing w:val="-40"/>
                <w:sz w:val="28"/>
                <w:szCs w:val="28"/>
              </w:rPr>
              <w:t xml:space="preserve"> </w:t>
            </w:r>
            <w:r>
              <w:rPr>
                <w:rFonts w:ascii="仿宋" w:hAnsi="仿宋" w:eastAsia="仿宋" w:cs="仿宋"/>
                <w:spacing w:val="-8"/>
                <w:sz w:val="28"/>
                <w:szCs w:val="28"/>
              </w:rPr>
              <w:t>页；</w:t>
            </w:r>
            <w:r>
              <w:rPr>
                <w:rFonts w:ascii="仿宋" w:hAnsi="仿宋" w:eastAsia="仿宋" w:cs="仿宋"/>
                <w:sz w:val="28"/>
                <w:szCs w:val="28"/>
              </w:rPr>
              <w:t xml:space="preserve"> </w:t>
            </w:r>
            <w:r>
              <w:rPr>
                <w:rFonts w:ascii="仿宋" w:hAnsi="仿宋" w:eastAsia="仿宋" w:cs="仿宋"/>
                <w:spacing w:val="-4"/>
                <w:sz w:val="28"/>
                <w:szCs w:val="28"/>
              </w:rPr>
              <w:t>明确地下水流向，核实地下水水位监测井</w:t>
            </w:r>
            <w:r>
              <w:rPr>
                <w:rFonts w:ascii="仿宋" w:hAnsi="仿宋" w:eastAsia="仿宋" w:cs="仿宋"/>
                <w:spacing w:val="1"/>
                <w:sz w:val="28"/>
                <w:szCs w:val="28"/>
              </w:rPr>
              <w:t xml:space="preserve"> </w:t>
            </w:r>
            <w:r>
              <w:rPr>
                <w:rFonts w:ascii="仿宋" w:hAnsi="仿宋" w:eastAsia="仿宋" w:cs="仿宋"/>
                <w:spacing w:val="-11"/>
                <w:sz w:val="28"/>
                <w:szCs w:val="28"/>
              </w:rPr>
              <w:t>的现状监测内容，见</w:t>
            </w:r>
            <w:r>
              <w:rPr>
                <w:rFonts w:ascii="仿宋" w:hAnsi="仿宋" w:eastAsia="仿宋" w:cs="仿宋"/>
                <w:spacing w:val="-66"/>
                <w:sz w:val="28"/>
                <w:szCs w:val="28"/>
              </w:rPr>
              <w:t xml:space="preserve"> </w:t>
            </w:r>
            <w:r>
              <w:rPr>
                <w:rFonts w:ascii="仿宋" w:hAnsi="仿宋" w:eastAsia="仿宋" w:cs="仿宋"/>
                <w:spacing w:val="-11"/>
                <w:sz w:val="28"/>
                <w:szCs w:val="28"/>
              </w:rPr>
              <w:t>P160~161</w:t>
            </w:r>
            <w:r>
              <w:rPr>
                <w:rFonts w:ascii="仿宋" w:hAnsi="仿宋" w:eastAsia="仿宋" w:cs="仿宋"/>
                <w:spacing w:val="-40"/>
                <w:sz w:val="28"/>
                <w:szCs w:val="28"/>
              </w:rPr>
              <w:t xml:space="preserve"> </w:t>
            </w:r>
            <w:r>
              <w:rPr>
                <w:rFonts w:ascii="仿宋" w:hAnsi="仿宋" w:eastAsia="仿宋" w:cs="仿宋"/>
                <w:spacing w:val="-11"/>
                <w:sz w:val="28"/>
                <w:szCs w:val="28"/>
              </w:rPr>
              <w:t>页；</w:t>
            </w:r>
            <w:r>
              <w:rPr>
                <w:rFonts w:ascii="仿宋" w:hAnsi="仿宋" w:eastAsia="仿宋" w:cs="仿宋"/>
                <w:spacing w:val="-12"/>
                <w:sz w:val="28"/>
                <w:szCs w:val="28"/>
              </w:rPr>
              <w:t>核实声</w:t>
            </w:r>
            <w:r>
              <w:rPr>
                <w:rFonts w:ascii="仿宋" w:hAnsi="仿宋" w:eastAsia="仿宋" w:cs="仿宋"/>
                <w:sz w:val="28"/>
                <w:szCs w:val="28"/>
              </w:rPr>
              <w:t xml:space="preserve"> </w:t>
            </w:r>
            <w:r>
              <w:rPr>
                <w:rFonts w:ascii="仿宋" w:hAnsi="仿宋" w:eastAsia="仿宋" w:cs="仿宋"/>
                <w:spacing w:val="-8"/>
                <w:sz w:val="28"/>
                <w:szCs w:val="28"/>
              </w:rPr>
              <w:t>环境监测点位布设方案，见</w:t>
            </w:r>
            <w:r>
              <w:rPr>
                <w:rFonts w:ascii="仿宋" w:hAnsi="仿宋" w:eastAsia="仿宋" w:cs="仿宋"/>
                <w:spacing w:val="-56"/>
                <w:sz w:val="28"/>
                <w:szCs w:val="28"/>
              </w:rPr>
              <w:t xml:space="preserve"> </w:t>
            </w:r>
            <w:r>
              <w:rPr>
                <w:rFonts w:ascii="仿宋" w:hAnsi="仿宋" w:eastAsia="仿宋" w:cs="仿宋"/>
                <w:spacing w:val="-8"/>
                <w:sz w:val="28"/>
                <w:szCs w:val="28"/>
              </w:rPr>
              <w:t>P121~122</w:t>
            </w:r>
            <w:r>
              <w:rPr>
                <w:rFonts w:ascii="仿宋" w:hAnsi="仿宋" w:eastAsia="仿宋" w:cs="仿宋"/>
                <w:spacing w:val="-40"/>
                <w:sz w:val="28"/>
                <w:szCs w:val="28"/>
              </w:rPr>
              <w:t xml:space="preserve"> </w:t>
            </w:r>
            <w:r>
              <w:rPr>
                <w:rFonts w:ascii="仿宋" w:hAnsi="仿宋" w:eastAsia="仿宋" w:cs="仿宋"/>
                <w:spacing w:val="-8"/>
                <w:sz w:val="28"/>
                <w:szCs w:val="28"/>
              </w:rPr>
              <w:t>页；</w:t>
            </w:r>
            <w:r>
              <w:rPr>
                <w:rFonts w:ascii="仿宋" w:hAnsi="仿宋" w:eastAsia="仿宋" w:cs="仿宋"/>
                <w:sz w:val="28"/>
                <w:szCs w:val="28"/>
              </w:rPr>
              <w:t xml:space="preserve"> </w:t>
            </w:r>
            <w:r>
              <w:rPr>
                <w:rFonts w:ascii="仿宋" w:hAnsi="仿宋" w:eastAsia="仿宋" w:cs="仿宋"/>
                <w:spacing w:val="-4"/>
                <w:sz w:val="28"/>
                <w:szCs w:val="28"/>
              </w:rPr>
              <w:t>核实土壤环境质量现状监测布点及监测内</w:t>
            </w:r>
            <w:r>
              <w:rPr>
                <w:rFonts w:ascii="仿宋" w:hAnsi="仿宋" w:eastAsia="仿宋" w:cs="仿宋"/>
                <w:spacing w:val="1"/>
                <w:sz w:val="28"/>
                <w:szCs w:val="28"/>
              </w:rPr>
              <w:t xml:space="preserve"> </w:t>
            </w:r>
            <w:r>
              <w:rPr>
                <w:rFonts w:ascii="仿宋" w:hAnsi="仿宋" w:eastAsia="仿宋" w:cs="仿宋"/>
                <w:spacing w:val="-7"/>
                <w:sz w:val="28"/>
                <w:szCs w:val="28"/>
              </w:rPr>
              <w:t>容、环境质量现状评价内容，见</w:t>
            </w:r>
            <w:r>
              <w:rPr>
                <w:rFonts w:ascii="仿宋" w:hAnsi="仿宋" w:eastAsia="仿宋" w:cs="仿宋"/>
                <w:spacing w:val="-55"/>
                <w:sz w:val="28"/>
                <w:szCs w:val="28"/>
              </w:rPr>
              <w:t xml:space="preserve"> </w:t>
            </w:r>
            <w:r>
              <w:rPr>
                <w:rFonts w:ascii="仿宋" w:hAnsi="仿宋" w:eastAsia="仿宋" w:cs="仿宋"/>
                <w:spacing w:val="-7"/>
                <w:sz w:val="28"/>
                <w:szCs w:val="28"/>
              </w:rPr>
              <w:t>P123~133</w:t>
            </w:r>
            <w:r>
              <w:rPr>
                <w:rFonts w:ascii="仿宋" w:hAnsi="仿宋" w:eastAsia="仿宋" w:cs="仿宋"/>
                <w:sz w:val="28"/>
                <w:szCs w:val="28"/>
              </w:rPr>
              <w:t xml:space="preserve"> </w:t>
            </w:r>
            <w:r>
              <w:rPr>
                <w:rFonts w:ascii="仿宋" w:hAnsi="仿宋" w:eastAsia="仿宋" w:cs="仿宋"/>
                <w:spacing w:val="-4"/>
                <w:sz w:val="28"/>
                <w:szCs w:val="28"/>
              </w:rPr>
              <w:t>页；核实风险源及风险物质，核实硫酸存</w:t>
            </w:r>
            <w:r>
              <w:rPr>
                <w:rFonts w:ascii="仿宋" w:hAnsi="仿宋" w:eastAsia="仿宋" w:cs="仿宋"/>
                <w:spacing w:val="1"/>
                <w:sz w:val="28"/>
                <w:szCs w:val="28"/>
              </w:rPr>
              <w:t xml:space="preserve"> </w:t>
            </w:r>
            <w:r>
              <w:rPr>
                <w:rFonts w:ascii="仿宋" w:hAnsi="仿宋" w:eastAsia="仿宋" w:cs="仿宋"/>
                <w:spacing w:val="-4"/>
                <w:sz w:val="28"/>
                <w:szCs w:val="28"/>
              </w:rPr>
              <w:t>储量，完善风险评价内容，见</w:t>
            </w:r>
            <w:r>
              <w:rPr>
                <w:rFonts w:ascii="仿宋" w:hAnsi="仿宋" w:eastAsia="仿宋" w:cs="仿宋"/>
                <w:spacing w:val="-54"/>
                <w:sz w:val="28"/>
                <w:szCs w:val="28"/>
              </w:rPr>
              <w:t xml:space="preserve"> </w:t>
            </w:r>
            <w:r>
              <w:rPr>
                <w:rFonts w:ascii="仿宋" w:hAnsi="仿宋" w:eastAsia="仿宋" w:cs="仿宋"/>
                <w:spacing w:val="-4"/>
                <w:sz w:val="28"/>
                <w:szCs w:val="28"/>
              </w:rPr>
              <w:t>P206~216</w:t>
            </w:r>
            <w:r>
              <w:rPr>
                <w:rFonts w:ascii="仿宋" w:hAnsi="仿宋" w:eastAsia="仿宋" w:cs="仿宋"/>
                <w:sz w:val="28"/>
                <w:szCs w:val="28"/>
              </w:rPr>
              <w:t xml:space="preserve">   </w:t>
            </w:r>
            <w:r>
              <w:rPr>
                <w:rFonts w:ascii="仿宋" w:hAnsi="仿宋" w:eastAsia="仿宋" w:cs="仿宋"/>
                <w:spacing w:val="-10"/>
                <w:sz w:val="28"/>
                <w:szCs w:val="28"/>
              </w:rPr>
              <w:t>页。</w:t>
            </w:r>
          </w:p>
          <w:p w14:paraId="66001AFB">
            <w:pPr>
              <w:spacing w:before="38" w:line="205" w:lineRule="auto"/>
              <w:ind w:left="41"/>
              <w:rPr>
                <w:rFonts w:ascii="仿宋" w:hAnsi="仿宋" w:eastAsia="仿宋" w:cs="仿宋"/>
                <w:sz w:val="28"/>
                <w:szCs w:val="28"/>
              </w:rPr>
            </w:pPr>
            <w:r>
              <w:rPr>
                <w:rFonts w:ascii="仿宋" w:hAnsi="仿宋" w:eastAsia="仿宋" w:cs="仿宋"/>
                <w:sz w:val="28"/>
                <w:szCs w:val="28"/>
              </w:rPr>
              <w:t>7.核实新增地下水观测井的必要性，见</w:t>
            </w:r>
          </w:p>
        </w:tc>
      </w:tr>
    </w:tbl>
    <w:p w14:paraId="4FF8860B">
      <w:pPr>
        <w:pStyle w:val="2"/>
      </w:pPr>
    </w:p>
    <w:p w14:paraId="3E1CF848">
      <w:pPr>
        <w:sectPr>
          <w:pgSz w:w="11907" w:h="16840"/>
          <w:pgMar w:top="400" w:right="1465" w:bottom="400" w:left="1464" w:header="0" w:footer="0" w:gutter="0"/>
          <w:cols w:space="720" w:num="1"/>
        </w:sectPr>
      </w:pPr>
    </w:p>
    <w:p w14:paraId="65568932">
      <w:pPr>
        <w:spacing w:before="242" w:line="186" w:lineRule="auto"/>
        <w:ind w:left="2118"/>
        <w:rPr>
          <w:rFonts w:ascii="微软雅黑" w:hAnsi="微软雅黑" w:eastAsia="微软雅黑" w:cs="微软雅黑"/>
          <w:sz w:val="43"/>
          <w:szCs w:val="43"/>
        </w:rPr>
      </w:pPr>
      <w:r>
        <w:rPr>
          <w:rFonts w:ascii="微软雅黑" w:hAnsi="微软雅黑" w:eastAsia="微软雅黑" w:cs="微软雅黑"/>
          <w:spacing w:val="2"/>
          <w:sz w:val="43"/>
          <w:szCs w:val="43"/>
        </w:rPr>
        <w:t>环评文件修改索引清单表</w:t>
      </w:r>
    </w:p>
    <w:p w14:paraId="6DD5E7D2">
      <w:pPr>
        <w:spacing w:before="230"/>
      </w:pPr>
    </w:p>
    <w:tbl>
      <w:tblPr>
        <w:tblStyle w:val="5"/>
        <w:tblW w:w="89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0"/>
        <w:gridCol w:w="2235"/>
        <w:gridCol w:w="1223"/>
        <w:gridCol w:w="1760"/>
        <w:gridCol w:w="2114"/>
      </w:tblGrid>
      <w:tr w14:paraId="26C9E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640" w:type="dxa"/>
            <w:vAlign w:val="top"/>
          </w:tcPr>
          <w:p w14:paraId="5297E6B9">
            <w:pPr>
              <w:spacing w:before="284" w:line="222" w:lineRule="auto"/>
              <w:ind w:left="278"/>
              <w:rPr>
                <w:rFonts w:ascii="仿宋" w:hAnsi="仿宋" w:eastAsia="仿宋" w:cs="仿宋"/>
                <w:sz w:val="28"/>
                <w:szCs w:val="28"/>
              </w:rPr>
            </w:pPr>
            <w:r>
              <w:rPr>
                <w:rFonts w:ascii="仿宋" w:hAnsi="仿宋" w:eastAsia="仿宋" w:cs="仿宋"/>
                <w:spacing w:val="-5"/>
                <w:sz w:val="28"/>
                <w:szCs w:val="28"/>
              </w:rPr>
              <w:t>项目名称</w:t>
            </w:r>
          </w:p>
        </w:tc>
        <w:tc>
          <w:tcPr>
            <w:tcW w:w="7332" w:type="dxa"/>
            <w:gridSpan w:val="4"/>
            <w:vAlign w:val="top"/>
          </w:tcPr>
          <w:p w14:paraId="14CA1B85">
            <w:pPr>
              <w:spacing w:before="83" w:line="221" w:lineRule="auto"/>
              <w:ind w:left="214"/>
              <w:rPr>
                <w:rFonts w:ascii="仿宋" w:hAnsi="仿宋" w:eastAsia="仿宋" w:cs="仿宋"/>
                <w:sz w:val="28"/>
                <w:szCs w:val="28"/>
              </w:rPr>
            </w:pPr>
            <w:r>
              <w:rPr>
                <w:rFonts w:ascii="仿宋" w:hAnsi="仿宋" w:eastAsia="仿宋" w:cs="仿宋"/>
                <w:spacing w:val="-2"/>
                <w:sz w:val="28"/>
                <w:szCs w:val="28"/>
              </w:rPr>
              <w:t>内蒙古玉龙矿业股份有限公司西乌珠穆沁旗花敖包</w:t>
            </w:r>
            <w:r>
              <w:rPr>
                <w:rFonts w:ascii="仿宋" w:hAnsi="仿宋" w:eastAsia="仿宋" w:cs="仿宋"/>
                <w:spacing w:val="-3"/>
                <w:sz w:val="28"/>
                <w:szCs w:val="28"/>
              </w:rPr>
              <w:t>特银铅</w:t>
            </w:r>
          </w:p>
          <w:p w14:paraId="614D5E7A">
            <w:pPr>
              <w:spacing w:before="66" w:line="207" w:lineRule="auto"/>
              <w:ind w:left="1721"/>
              <w:rPr>
                <w:rFonts w:ascii="仿宋" w:hAnsi="仿宋" w:eastAsia="仿宋" w:cs="仿宋"/>
                <w:sz w:val="28"/>
                <w:szCs w:val="28"/>
              </w:rPr>
            </w:pPr>
            <w:r>
              <w:rPr>
                <w:rFonts w:ascii="仿宋" w:hAnsi="仿宋" w:eastAsia="仿宋" w:cs="仿宋"/>
                <w:spacing w:val="-3"/>
                <w:sz w:val="28"/>
                <w:szCs w:val="28"/>
              </w:rPr>
              <w:t>矿</w:t>
            </w:r>
            <w:r>
              <w:rPr>
                <w:rFonts w:ascii="仿宋" w:hAnsi="仿宋" w:eastAsia="仿宋" w:cs="仿宋"/>
                <w:spacing w:val="-60"/>
                <w:sz w:val="28"/>
                <w:szCs w:val="28"/>
              </w:rPr>
              <w:t xml:space="preserve"> </w:t>
            </w:r>
            <w:r>
              <w:rPr>
                <w:rFonts w:ascii="仿宋" w:hAnsi="仿宋" w:eastAsia="仿宋" w:cs="仿宋"/>
                <w:spacing w:val="-3"/>
                <w:sz w:val="28"/>
                <w:szCs w:val="28"/>
              </w:rPr>
              <w:t>2000t/d</w:t>
            </w:r>
            <w:r>
              <w:rPr>
                <w:rFonts w:ascii="仿宋" w:hAnsi="仿宋" w:eastAsia="仿宋" w:cs="仿宋"/>
                <w:spacing w:val="-48"/>
                <w:sz w:val="28"/>
                <w:szCs w:val="28"/>
              </w:rPr>
              <w:t xml:space="preserve"> </w:t>
            </w:r>
            <w:r>
              <w:rPr>
                <w:rFonts w:ascii="仿宋" w:hAnsi="仿宋" w:eastAsia="仿宋" w:cs="仿宋"/>
                <w:spacing w:val="-3"/>
                <w:sz w:val="28"/>
                <w:szCs w:val="28"/>
              </w:rPr>
              <w:t>选矿厂技术改造项目</w:t>
            </w:r>
          </w:p>
        </w:tc>
      </w:tr>
      <w:tr w14:paraId="77603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640" w:type="dxa"/>
            <w:vAlign w:val="top"/>
          </w:tcPr>
          <w:p w14:paraId="792AD495">
            <w:pPr>
              <w:spacing w:before="279" w:line="222" w:lineRule="auto"/>
              <w:ind w:left="277"/>
              <w:rPr>
                <w:rFonts w:ascii="仿宋" w:hAnsi="仿宋" w:eastAsia="仿宋" w:cs="仿宋"/>
                <w:sz w:val="28"/>
                <w:szCs w:val="28"/>
              </w:rPr>
            </w:pPr>
            <w:r>
              <w:rPr>
                <w:rFonts w:ascii="仿宋" w:hAnsi="仿宋" w:eastAsia="仿宋" w:cs="仿宋"/>
                <w:spacing w:val="-5"/>
                <w:sz w:val="28"/>
                <w:szCs w:val="28"/>
              </w:rPr>
              <w:t>环评单位</w:t>
            </w:r>
          </w:p>
        </w:tc>
        <w:tc>
          <w:tcPr>
            <w:tcW w:w="3458" w:type="dxa"/>
            <w:gridSpan w:val="2"/>
            <w:vAlign w:val="top"/>
          </w:tcPr>
          <w:p w14:paraId="1B986594">
            <w:pPr>
              <w:spacing w:before="280" w:line="223" w:lineRule="auto"/>
              <w:ind w:left="101"/>
              <w:rPr>
                <w:rFonts w:ascii="仿宋" w:hAnsi="仿宋" w:eastAsia="仿宋" w:cs="仿宋"/>
                <w:sz w:val="28"/>
                <w:szCs w:val="28"/>
              </w:rPr>
            </w:pPr>
            <w:r>
              <w:rPr>
                <w:rFonts w:ascii="仿宋" w:hAnsi="仿宋" w:eastAsia="仿宋" w:cs="仿宋"/>
                <w:spacing w:val="-5"/>
                <w:sz w:val="28"/>
                <w:szCs w:val="28"/>
              </w:rPr>
              <w:t>中冶西北工程技术有限公司</w:t>
            </w:r>
          </w:p>
        </w:tc>
        <w:tc>
          <w:tcPr>
            <w:tcW w:w="1760" w:type="dxa"/>
            <w:vAlign w:val="top"/>
          </w:tcPr>
          <w:p w14:paraId="236AC151">
            <w:pPr>
              <w:spacing w:before="81" w:line="235" w:lineRule="auto"/>
              <w:ind w:left="646" w:right="457" w:hanging="173"/>
              <w:rPr>
                <w:rFonts w:ascii="仿宋" w:hAnsi="仿宋" w:eastAsia="仿宋" w:cs="仿宋"/>
                <w:sz w:val="28"/>
                <w:szCs w:val="28"/>
              </w:rPr>
            </w:pPr>
            <w:r>
              <w:rPr>
                <w:rFonts w:ascii="仿宋" w:hAnsi="仿宋" w:eastAsia="仿宋" w:cs="仿宋"/>
                <w:spacing w:val="-6"/>
                <w:sz w:val="28"/>
                <w:szCs w:val="28"/>
              </w:rPr>
              <w:t>联系人</w:t>
            </w:r>
            <w:r>
              <w:rPr>
                <w:rFonts w:ascii="仿宋" w:hAnsi="仿宋" w:eastAsia="仿宋" w:cs="仿宋"/>
                <w:spacing w:val="1"/>
                <w:sz w:val="28"/>
                <w:szCs w:val="28"/>
              </w:rPr>
              <w:t xml:space="preserve"> </w:t>
            </w:r>
            <w:r>
              <w:rPr>
                <w:rFonts w:ascii="仿宋" w:hAnsi="仿宋" w:eastAsia="仿宋" w:cs="仿宋"/>
                <w:spacing w:val="-24"/>
                <w:sz w:val="28"/>
                <w:szCs w:val="28"/>
              </w:rPr>
              <w:t>电话</w:t>
            </w:r>
          </w:p>
        </w:tc>
        <w:tc>
          <w:tcPr>
            <w:tcW w:w="2114" w:type="dxa"/>
            <w:vAlign w:val="top"/>
          </w:tcPr>
          <w:p w14:paraId="41C9664F">
            <w:pPr>
              <w:spacing w:before="81" w:line="225" w:lineRule="auto"/>
              <w:ind w:left="793"/>
              <w:rPr>
                <w:rFonts w:ascii="仿宋" w:hAnsi="仿宋" w:eastAsia="仿宋" w:cs="仿宋"/>
                <w:sz w:val="28"/>
                <w:szCs w:val="28"/>
              </w:rPr>
            </w:pPr>
            <w:r>
              <w:rPr>
                <w:rFonts w:ascii="仿宋" w:hAnsi="仿宋" w:eastAsia="仿宋" w:cs="仿宋"/>
                <w:spacing w:val="-9"/>
                <w:sz w:val="28"/>
                <w:szCs w:val="28"/>
              </w:rPr>
              <w:t>刘鹏</w:t>
            </w:r>
          </w:p>
          <w:p w14:paraId="1A53F17E">
            <w:pPr>
              <w:spacing w:before="59" w:line="206" w:lineRule="auto"/>
              <w:ind w:left="314"/>
              <w:rPr>
                <w:rFonts w:ascii="仿宋" w:hAnsi="仿宋" w:eastAsia="仿宋" w:cs="仿宋"/>
                <w:sz w:val="28"/>
                <w:szCs w:val="28"/>
              </w:rPr>
            </w:pPr>
            <w:r>
              <w:rPr>
                <w:rFonts w:ascii="仿宋" w:hAnsi="仿宋" w:eastAsia="仿宋" w:cs="仿宋"/>
                <w:spacing w:val="-3"/>
                <w:sz w:val="28"/>
                <w:szCs w:val="28"/>
              </w:rPr>
              <w:t>18004725230</w:t>
            </w:r>
          </w:p>
        </w:tc>
      </w:tr>
      <w:tr w14:paraId="50A49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640" w:type="dxa"/>
            <w:vAlign w:val="top"/>
          </w:tcPr>
          <w:p w14:paraId="0C67265C">
            <w:pPr>
              <w:spacing w:before="116" w:line="223" w:lineRule="auto"/>
              <w:ind w:left="277"/>
              <w:rPr>
                <w:rFonts w:ascii="仿宋" w:hAnsi="仿宋" w:eastAsia="仿宋" w:cs="仿宋"/>
                <w:sz w:val="28"/>
                <w:szCs w:val="28"/>
              </w:rPr>
            </w:pPr>
            <w:r>
              <w:rPr>
                <w:rFonts w:ascii="仿宋" w:hAnsi="仿宋" w:eastAsia="仿宋" w:cs="仿宋"/>
                <w:spacing w:val="-5"/>
                <w:sz w:val="28"/>
                <w:szCs w:val="28"/>
              </w:rPr>
              <w:t>报告类型</w:t>
            </w:r>
          </w:p>
        </w:tc>
        <w:tc>
          <w:tcPr>
            <w:tcW w:w="3458" w:type="dxa"/>
            <w:gridSpan w:val="2"/>
            <w:vAlign w:val="top"/>
          </w:tcPr>
          <w:p w14:paraId="2A91A422">
            <w:pPr>
              <w:spacing w:before="116" w:line="223" w:lineRule="auto"/>
              <w:ind w:left="1394"/>
              <w:rPr>
                <w:rFonts w:ascii="仿宋" w:hAnsi="仿宋" w:eastAsia="仿宋" w:cs="仿宋"/>
                <w:sz w:val="28"/>
                <w:szCs w:val="28"/>
              </w:rPr>
            </w:pPr>
            <w:r>
              <w:rPr>
                <w:rFonts w:ascii="仿宋" w:hAnsi="仿宋" w:eastAsia="仿宋" w:cs="仿宋"/>
                <w:spacing w:val="-6"/>
                <w:sz w:val="28"/>
                <w:szCs w:val="28"/>
              </w:rPr>
              <w:t>报告书</w:t>
            </w:r>
          </w:p>
        </w:tc>
        <w:tc>
          <w:tcPr>
            <w:tcW w:w="3874" w:type="dxa"/>
            <w:gridSpan w:val="2"/>
            <w:vAlign w:val="top"/>
          </w:tcPr>
          <w:p w14:paraId="0855A853">
            <w:pPr>
              <w:spacing w:before="116" w:line="223" w:lineRule="auto"/>
              <w:ind w:left="792"/>
              <w:rPr>
                <w:rFonts w:ascii="仿宋" w:hAnsi="仿宋" w:eastAsia="仿宋" w:cs="仿宋"/>
                <w:sz w:val="28"/>
                <w:szCs w:val="28"/>
              </w:rPr>
            </w:pPr>
            <w:r>
              <w:rPr>
                <w:rFonts w:ascii="仿宋" w:hAnsi="仿宋" w:eastAsia="仿宋" w:cs="仿宋"/>
                <w:spacing w:val="-10"/>
                <w:sz w:val="28"/>
                <w:szCs w:val="28"/>
              </w:rPr>
              <w:t>2023</w:t>
            </w:r>
            <w:r>
              <w:rPr>
                <w:rFonts w:ascii="仿宋" w:hAnsi="仿宋" w:eastAsia="仿宋" w:cs="仿宋"/>
                <w:spacing w:val="-46"/>
                <w:sz w:val="28"/>
                <w:szCs w:val="28"/>
              </w:rPr>
              <w:t xml:space="preserve"> </w:t>
            </w:r>
            <w:r>
              <w:rPr>
                <w:rFonts w:ascii="仿宋" w:hAnsi="仿宋" w:eastAsia="仿宋" w:cs="仿宋"/>
                <w:spacing w:val="-10"/>
                <w:sz w:val="28"/>
                <w:szCs w:val="28"/>
              </w:rPr>
              <w:t>年</w:t>
            </w:r>
            <w:r>
              <w:rPr>
                <w:rFonts w:ascii="仿宋" w:hAnsi="仿宋" w:eastAsia="仿宋" w:cs="仿宋"/>
                <w:spacing w:val="10"/>
                <w:sz w:val="28"/>
                <w:szCs w:val="28"/>
              </w:rPr>
              <w:t xml:space="preserve">   </w:t>
            </w:r>
            <w:r>
              <w:rPr>
                <w:rFonts w:ascii="仿宋" w:hAnsi="仿宋" w:eastAsia="仿宋" w:cs="仿宋"/>
                <w:spacing w:val="-10"/>
                <w:sz w:val="28"/>
                <w:szCs w:val="28"/>
              </w:rPr>
              <w:t>月</w:t>
            </w:r>
            <w:r>
              <w:rPr>
                <w:rFonts w:ascii="仿宋" w:hAnsi="仿宋" w:eastAsia="仿宋" w:cs="仿宋"/>
                <w:spacing w:val="26"/>
                <w:sz w:val="28"/>
                <w:szCs w:val="28"/>
              </w:rPr>
              <w:t xml:space="preserve">   </w:t>
            </w:r>
            <w:r>
              <w:rPr>
                <w:rFonts w:ascii="仿宋" w:hAnsi="仿宋" w:eastAsia="仿宋" w:cs="仿宋"/>
                <w:spacing w:val="-10"/>
                <w:sz w:val="28"/>
                <w:szCs w:val="28"/>
              </w:rPr>
              <w:t>日</w:t>
            </w:r>
          </w:p>
        </w:tc>
      </w:tr>
      <w:tr w14:paraId="7B7E2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75" w:type="dxa"/>
            <w:gridSpan w:val="2"/>
            <w:vAlign w:val="top"/>
          </w:tcPr>
          <w:p w14:paraId="7926B622">
            <w:pPr>
              <w:spacing w:before="81" w:line="207" w:lineRule="auto"/>
              <w:ind w:left="727"/>
              <w:rPr>
                <w:rFonts w:ascii="仿宋" w:hAnsi="仿宋" w:eastAsia="仿宋" w:cs="仿宋"/>
                <w:sz w:val="28"/>
                <w:szCs w:val="28"/>
              </w:rPr>
            </w:pPr>
            <w:r>
              <w:rPr>
                <w:rFonts w:ascii="仿宋" w:hAnsi="仿宋" w:eastAsia="仿宋" w:cs="仿宋"/>
                <w:b/>
                <w:bCs/>
                <w:spacing w:val="-8"/>
                <w:sz w:val="28"/>
                <w:szCs w:val="28"/>
              </w:rPr>
              <w:t>专家意见（3/3</w:t>
            </w:r>
            <w:r>
              <w:rPr>
                <w:rFonts w:ascii="仿宋" w:hAnsi="仿宋" w:eastAsia="仿宋" w:cs="仿宋"/>
                <w:spacing w:val="-33"/>
                <w:sz w:val="28"/>
                <w:szCs w:val="28"/>
              </w:rPr>
              <w:t xml:space="preserve"> </w:t>
            </w:r>
            <w:r>
              <w:rPr>
                <w:rFonts w:ascii="仿宋" w:hAnsi="仿宋" w:eastAsia="仿宋" w:cs="仿宋"/>
                <w:b/>
                <w:bCs/>
                <w:spacing w:val="-8"/>
                <w:sz w:val="28"/>
                <w:szCs w:val="28"/>
              </w:rPr>
              <w:t>页）</w:t>
            </w:r>
          </w:p>
        </w:tc>
        <w:tc>
          <w:tcPr>
            <w:tcW w:w="5097" w:type="dxa"/>
            <w:gridSpan w:val="3"/>
            <w:vAlign w:val="top"/>
          </w:tcPr>
          <w:p w14:paraId="289E0CFC">
            <w:pPr>
              <w:spacing w:before="81" w:line="207" w:lineRule="auto"/>
              <w:ind w:left="277"/>
              <w:rPr>
                <w:rFonts w:ascii="仿宋" w:hAnsi="仿宋" w:eastAsia="仿宋" w:cs="仿宋"/>
                <w:sz w:val="28"/>
                <w:szCs w:val="28"/>
              </w:rPr>
            </w:pPr>
            <w:r>
              <w:rPr>
                <w:rFonts w:ascii="仿宋" w:hAnsi="仿宋" w:eastAsia="仿宋" w:cs="仿宋"/>
                <w:b/>
                <w:bCs/>
                <w:spacing w:val="-3"/>
                <w:sz w:val="28"/>
                <w:szCs w:val="28"/>
              </w:rPr>
              <w:t>修改说明（标注修改页码</w:t>
            </w:r>
            <w:r>
              <w:rPr>
                <w:rFonts w:ascii="仿宋" w:hAnsi="仿宋" w:eastAsia="仿宋" w:cs="仿宋"/>
                <w:b/>
                <w:bCs/>
                <w:spacing w:val="-77"/>
                <w:w w:val="95"/>
                <w:sz w:val="28"/>
                <w:szCs w:val="28"/>
              </w:rPr>
              <w:t>）（</w:t>
            </w:r>
            <w:r>
              <w:rPr>
                <w:rFonts w:ascii="仿宋" w:hAnsi="仿宋" w:eastAsia="仿宋" w:cs="仿宋"/>
                <w:b/>
                <w:bCs/>
                <w:spacing w:val="-3"/>
                <w:sz w:val="28"/>
                <w:szCs w:val="28"/>
              </w:rPr>
              <w:t>3/3</w:t>
            </w:r>
            <w:r>
              <w:rPr>
                <w:rFonts w:ascii="仿宋" w:hAnsi="仿宋" w:eastAsia="仿宋" w:cs="仿宋"/>
                <w:spacing w:val="-36"/>
                <w:sz w:val="28"/>
                <w:szCs w:val="28"/>
              </w:rPr>
              <w:t xml:space="preserve"> </w:t>
            </w:r>
            <w:r>
              <w:rPr>
                <w:rFonts w:ascii="仿宋" w:hAnsi="仿宋" w:eastAsia="仿宋" w:cs="仿宋"/>
                <w:b/>
                <w:bCs/>
                <w:spacing w:val="-3"/>
                <w:sz w:val="28"/>
                <w:szCs w:val="28"/>
              </w:rPr>
              <w:t>页）</w:t>
            </w:r>
          </w:p>
        </w:tc>
      </w:tr>
      <w:tr w14:paraId="4BFA7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3875" w:type="dxa"/>
            <w:gridSpan w:val="2"/>
            <w:vAlign w:val="top"/>
          </w:tcPr>
          <w:p w14:paraId="7315C3B9">
            <w:pPr>
              <w:spacing w:before="65" w:line="251" w:lineRule="auto"/>
              <w:ind w:left="62" w:right="25" w:hanging="12"/>
              <w:rPr>
                <w:rFonts w:ascii="仿宋" w:hAnsi="仿宋" w:eastAsia="仿宋" w:cs="仿宋"/>
                <w:sz w:val="28"/>
                <w:szCs w:val="28"/>
              </w:rPr>
            </w:pPr>
            <w:r>
              <w:rPr>
                <w:rFonts w:ascii="仿宋" w:hAnsi="仿宋" w:eastAsia="仿宋" w:cs="仿宋"/>
                <w:spacing w:val="-9"/>
                <w:sz w:val="28"/>
                <w:szCs w:val="28"/>
              </w:rPr>
              <w:t>境监测计划、竣工验收内容；规</w:t>
            </w:r>
            <w:r>
              <w:rPr>
                <w:rFonts w:ascii="仿宋" w:hAnsi="仿宋" w:eastAsia="仿宋" w:cs="仿宋"/>
                <w:sz w:val="28"/>
                <w:szCs w:val="28"/>
              </w:rPr>
              <w:t xml:space="preserve"> </w:t>
            </w:r>
            <w:r>
              <w:rPr>
                <w:rFonts w:ascii="仿宋" w:hAnsi="仿宋" w:eastAsia="仿宋" w:cs="仿宋"/>
                <w:spacing w:val="-6"/>
                <w:sz w:val="28"/>
                <w:szCs w:val="28"/>
              </w:rPr>
              <w:t>范相关图件。</w:t>
            </w:r>
          </w:p>
        </w:tc>
        <w:tc>
          <w:tcPr>
            <w:tcW w:w="5097" w:type="dxa"/>
            <w:gridSpan w:val="3"/>
            <w:vAlign w:val="top"/>
          </w:tcPr>
          <w:p w14:paraId="4E87F325">
            <w:pPr>
              <w:spacing w:before="68" w:line="250" w:lineRule="auto"/>
              <w:ind w:left="37" w:hanging="7"/>
              <w:jc w:val="both"/>
              <w:rPr>
                <w:rFonts w:ascii="仿宋" w:hAnsi="仿宋" w:eastAsia="仿宋" w:cs="仿宋"/>
                <w:sz w:val="28"/>
                <w:szCs w:val="28"/>
              </w:rPr>
            </w:pPr>
            <w:r>
              <w:rPr>
                <w:rFonts w:ascii="仿宋" w:hAnsi="仿宋" w:eastAsia="仿宋" w:cs="仿宋"/>
                <w:spacing w:val="-8"/>
                <w:sz w:val="28"/>
                <w:szCs w:val="28"/>
              </w:rPr>
              <w:t>P185~186</w:t>
            </w:r>
            <w:r>
              <w:rPr>
                <w:rFonts w:ascii="仿宋" w:hAnsi="仿宋" w:eastAsia="仿宋" w:cs="仿宋"/>
                <w:spacing w:val="-36"/>
                <w:sz w:val="28"/>
                <w:szCs w:val="28"/>
              </w:rPr>
              <w:t xml:space="preserve"> </w:t>
            </w:r>
            <w:r>
              <w:rPr>
                <w:rFonts w:ascii="仿宋" w:hAnsi="仿宋" w:eastAsia="仿宋" w:cs="仿宋"/>
                <w:spacing w:val="-8"/>
                <w:sz w:val="28"/>
                <w:szCs w:val="28"/>
              </w:rPr>
              <w:t>页；核实环保投资、运营期环境</w:t>
            </w:r>
            <w:r>
              <w:rPr>
                <w:rFonts w:ascii="仿宋" w:hAnsi="仿宋" w:eastAsia="仿宋" w:cs="仿宋"/>
                <w:sz w:val="28"/>
                <w:szCs w:val="28"/>
              </w:rPr>
              <w:t xml:space="preserve"> </w:t>
            </w:r>
            <w:r>
              <w:rPr>
                <w:rFonts w:ascii="仿宋" w:hAnsi="仿宋" w:eastAsia="仿宋" w:cs="仿宋"/>
                <w:spacing w:val="-9"/>
                <w:sz w:val="28"/>
                <w:szCs w:val="28"/>
              </w:rPr>
              <w:t>监测计划、竣工验收内容，见</w:t>
            </w:r>
            <w:r>
              <w:rPr>
                <w:rFonts w:ascii="仿宋" w:hAnsi="仿宋" w:eastAsia="仿宋" w:cs="仿宋"/>
                <w:spacing w:val="-66"/>
                <w:sz w:val="28"/>
                <w:szCs w:val="28"/>
              </w:rPr>
              <w:t xml:space="preserve"> </w:t>
            </w:r>
            <w:r>
              <w:rPr>
                <w:rFonts w:ascii="仿宋" w:hAnsi="仿宋" w:eastAsia="仿宋" w:cs="仿宋"/>
                <w:spacing w:val="-9"/>
                <w:sz w:val="28"/>
                <w:szCs w:val="28"/>
              </w:rPr>
              <w:t>P245、2</w:t>
            </w:r>
            <w:r>
              <w:rPr>
                <w:rFonts w:ascii="仿宋" w:hAnsi="仿宋" w:eastAsia="仿宋" w:cs="仿宋"/>
                <w:spacing w:val="-10"/>
                <w:sz w:val="28"/>
                <w:szCs w:val="28"/>
              </w:rPr>
              <w:t>52、</w:t>
            </w:r>
            <w:r>
              <w:rPr>
                <w:rFonts w:ascii="仿宋" w:hAnsi="仿宋" w:eastAsia="仿宋" w:cs="仿宋"/>
                <w:sz w:val="28"/>
                <w:szCs w:val="28"/>
              </w:rPr>
              <w:t xml:space="preserve"> </w:t>
            </w:r>
            <w:r>
              <w:rPr>
                <w:rFonts w:ascii="仿宋" w:hAnsi="仿宋" w:eastAsia="仿宋" w:cs="仿宋"/>
                <w:spacing w:val="-6"/>
                <w:sz w:val="28"/>
                <w:szCs w:val="28"/>
              </w:rPr>
              <w:t>254~255</w:t>
            </w:r>
            <w:r>
              <w:rPr>
                <w:rFonts w:ascii="仿宋" w:hAnsi="仿宋" w:eastAsia="仿宋" w:cs="仿宋"/>
                <w:spacing w:val="-22"/>
                <w:sz w:val="28"/>
                <w:szCs w:val="28"/>
              </w:rPr>
              <w:t xml:space="preserve"> </w:t>
            </w:r>
            <w:r>
              <w:rPr>
                <w:rFonts w:ascii="仿宋" w:hAnsi="仿宋" w:eastAsia="仿宋" w:cs="仿宋"/>
                <w:spacing w:val="-6"/>
                <w:sz w:val="28"/>
                <w:szCs w:val="28"/>
              </w:rPr>
              <w:t>页；规范相关图件，见图件。</w:t>
            </w:r>
          </w:p>
        </w:tc>
      </w:tr>
      <w:tr w14:paraId="4D23E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0" w:hRule="atLeast"/>
        </w:trPr>
        <w:tc>
          <w:tcPr>
            <w:tcW w:w="8972" w:type="dxa"/>
            <w:gridSpan w:val="5"/>
            <w:vAlign w:val="top"/>
          </w:tcPr>
          <w:p w14:paraId="0C137C0B">
            <w:pPr>
              <w:spacing w:before="82" w:line="223" w:lineRule="auto"/>
              <w:ind w:left="50"/>
              <w:rPr>
                <w:rFonts w:ascii="仿宋" w:hAnsi="仿宋" w:eastAsia="仿宋" w:cs="仿宋"/>
                <w:sz w:val="28"/>
                <w:szCs w:val="28"/>
              </w:rPr>
            </w:pPr>
            <w:r>
              <w:rPr>
                <w:rFonts w:ascii="仿宋" w:hAnsi="仿宋" w:eastAsia="仿宋" w:cs="仿宋"/>
                <w:b/>
                <w:bCs/>
                <w:spacing w:val="-6"/>
                <w:sz w:val="28"/>
                <w:szCs w:val="28"/>
              </w:rPr>
              <w:t>专家复审意见：</w:t>
            </w:r>
          </w:p>
        </w:tc>
      </w:tr>
      <w:tr w14:paraId="08A45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3" w:hRule="atLeast"/>
        </w:trPr>
        <w:tc>
          <w:tcPr>
            <w:tcW w:w="8972" w:type="dxa"/>
            <w:gridSpan w:val="5"/>
            <w:vAlign w:val="top"/>
          </w:tcPr>
          <w:p w14:paraId="23AF3B9E">
            <w:pPr>
              <w:spacing w:before="82" w:line="224" w:lineRule="auto"/>
              <w:ind w:left="50"/>
              <w:rPr>
                <w:rFonts w:ascii="仿宋" w:hAnsi="仿宋" w:eastAsia="仿宋" w:cs="仿宋"/>
                <w:sz w:val="28"/>
                <w:szCs w:val="28"/>
              </w:rPr>
            </w:pPr>
            <w:r>
              <w:rPr>
                <w:rFonts w:ascii="仿宋" w:hAnsi="仿宋" w:eastAsia="仿宋" w:cs="仿宋"/>
                <w:spacing w:val="-5"/>
                <w:sz w:val="28"/>
                <w:szCs w:val="28"/>
              </w:rPr>
              <w:t>专家签字：</w:t>
            </w:r>
          </w:p>
        </w:tc>
      </w:tr>
    </w:tbl>
    <w:p w14:paraId="0D807FAE">
      <w:pPr>
        <w:spacing w:before="242" w:line="222" w:lineRule="auto"/>
        <w:ind w:left="350"/>
        <w:rPr>
          <w:rFonts w:ascii="仿宋" w:hAnsi="仿宋" w:eastAsia="仿宋" w:cs="仿宋"/>
          <w:sz w:val="24"/>
          <w:szCs w:val="24"/>
        </w:rPr>
      </w:pPr>
      <w:r>
        <w:rPr>
          <w:rFonts w:ascii="仿宋" w:hAnsi="仿宋" w:eastAsia="仿宋" w:cs="仿宋"/>
          <w:spacing w:val="-1"/>
          <w:sz w:val="24"/>
          <w:szCs w:val="24"/>
        </w:rPr>
        <w:t>说明：1.专家意见及修改说明可附页。</w:t>
      </w:r>
    </w:p>
    <w:sectPr>
      <w:pgSz w:w="11907" w:h="16840"/>
      <w:pgMar w:top="400" w:right="1465" w:bottom="400" w:left="1464"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6"/>
    <w:family w:val="auto"/>
    <w:pitch w:val="default"/>
    <w:sig w:usb0="E00002FF" w:usb1="6AC7FDFB" w:usb2="08000012" w:usb3="00000000" w:csb0="4002009F" w:csb1="DFD70000"/>
  </w:font>
  <w:font w:name="Constantia">
    <w:panose1 w:val="02030602050306030303"/>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6B4A">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16C38">
    <w:pPr>
      <w:spacing w:line="176" w:lineRule="auto"/>
      <w:ind w:left="429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668C">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3D4D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100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CECD2">
    <w:pPr>
      <w:spacing w:line="176" w:lineRule="auto"/>
      <w:ind w:left="692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101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3BE1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102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DD476">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103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97563">
    <w:pPr>
      <w:spacing w:line="176" w:lineRule="auto"/>
      <w:ind w:left="4417"/>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104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23FF1">
    <w:pPr>
      <w:spacing w:line="176" w:lineRule="auto"/>
      <w:ind w:left="692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105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7774A">
    <w:pPr>
      <w:spacing w:line="176" w:lineRule="auto"/>
      <w:ind w:left="48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AA5F4">
    <w:pPr>
      <w:spacing w:line="176" w:lineRule="auto"/>
      <w:ind w:left="48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164C3">
    <w:pPr>
      <w:spacing w:line="176" w:lineRule="auto"/>
      <w:ind w:left="48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5544B">
    <w:pPr>
      <w:spacing w:line="176" w:lineRule="auto"/>
      <w:ind w:left="428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0FD3B">
    <w:pPr>
      <w:spacing w:line="176" w:lineRule="auto"/>
      <w:ind w:left="489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B7955">
    <w:pPr>
      <w:spacing w:line="176" w:lineRule="auto"/>
      <w:ind w:left="489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A8112">
    <w:pPr>
      <w:spacing w:line="176" w:lineRule="auto"/>
      <w:ind w:left="4898"/>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6F972">
    <w:pPr>
      <w:spacing w:line="176" w:lineRule="auto"/>
      <w:ind w:left="474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7ECE0">
    <w:pPr>
      <w:spacing w:line="176" w:lineRule="auto"/>
      <w:ind w:left="73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C8659">
    <w:pPr>
      <w:spacing w:line="176" w:lineRule="auto"/>
      <w:ind w:left="73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5619">
    <w:pPr>
      <w:spacing w:line="176" w:lineRule="auto"/>
      <w:ind w:left="732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7E99F">
    <w:pPr>
      <w:spacing w:line="176" w:lineRule="auto"/>
      <w:ind w:left="43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116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68D23">
    <w:pPr>
      <w:spacing w:line="176" w:lineRule="auto"/>
      <w:ind w:left="43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117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9EBC3">
    <w:pPr>
      <w:spacing w:line="176" w:lineRule="auto"/>
      <w:ind w:left="43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118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47237">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w:t>
    </w:r>
    <w:r>
      <w:rPr>
        <w:rFonts w:ascii="Times New Roman" w:hAnsi="Times New Roman" w:eastAsia="Times New Roman" w:cs="Times New Roman"/>
        <w:spacing w:val="24"/>
        <w:w w:val="101"/>
        <w:sz w:val="18"/>
        <w:szCs w:val="18"/>
      </w:rPr>
      <w:t xml:space="preserve"> </w:t>
    </w:r>
    <w:r>
      <w:rPr>
        <w:rFonts w:ascii="Times New Roman" w:hAnsi="Times New Roman" w:eastAsia="Times New Roman" w:cs="Times New Roman"/>
        <w:spacing w:val="-9"/>
        <w:sz w:val="18"/>
        <w:szCs w:val="18"/>
      </w:rPr>
      <w:t>11</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9"/>
        <w:sz w:val="18"/>
        <w:szCs w:val="18"/>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48FF9">
    <w:pPr>
      <w:spacing w:line="176" w:lineRule="auto"/>
      <w:ind w:left="452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119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25333">
    <w:pPr>
      <w:spacing w:line="176" w:lineRule="auto"/>
      <w:ind w:left="452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B15CB">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FA74">
    <w:pPr>
      <w:spacing w:line="176" w:lineRule="auto"/>
      <w:ind w:left="449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A9355">
    <w:pPr>
      <w:spacing w:line="176" w:lineRule="auto"/>
      <w:ind w:left="71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123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747FB">
    <w:pPr>
      <w:spacing w:line="176" w:lineRule="auto"/>
      <w:ind w:left="710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124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9693C">
    <w:pPr>
      <w:spacing w:line="176" w:lineRule="auto"/>
      <w:ind w:left="703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125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8885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9FA63">
    <w:pPr>
      <w:spacing w:line="176" w:lineRule="auto"/>
      <w:ind w:left="421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F7EBC">
    <w:pPr>
      <w:spacing w:line="176" w:lineRule="auto"/>
      <w:ind w:left="46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61875">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18A6">
    <w:pPr>
      <w:spacing w:line="176" w:lineRule="auto"/>
      <w:ind w:left="46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129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CF547">
    <w:pPr>
      <w:spacing w:line="176" w:lineRule="auto"/>
      <w:ind w:left="46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B4874">
    <w:pPr>
      <w:spacing w:line="176" w:lineRule="auto"/>
      <w:ind w:left="468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2E99D">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B9F90">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A1E98">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BFB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7AA8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183F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C7D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138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58887">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E0123">
    <w:pPr>
      <w:spacing w:line="176" w:lineRule="auto"/>
      <w:ind w:left="703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139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8BC7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18B6C">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8BDE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C4BE9">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2ECDB">
    <w:pPr>
      <w:spacing w:line="176" w:lineRule="auto"/>
      <w:ind w:left="421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904D4">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AF4E0">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A1B4E">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3F54A">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82967">
    <w:pPr>
      <w:spacing w:line="176" w:lineRule="auto"/>
      <w:ind w:left="429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F6EA5">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268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B8B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E4DB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528C7">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F441C">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AFCB8">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49F0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C4EE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28D2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FC349">
    <w:pPr>
      <w:spacing w:line="176" w:lineRule="auto"/>
      <w:ind w:left="429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9E92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159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3AFF">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7B0A6">
    <w:pPr>
      <w:spacing w:line="176" w:lineRule="auto"/>
      <w:ind w:left="438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5DD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E38F0">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2B506">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E754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2E4C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8666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030AA">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2DC29">
    <w:pPr>
      <w:spacing w:line="176" w:lineRule="auto"/>
      <w:ind w:left="441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E66F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169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723B9">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A5C2">
    <w:pPr>
      <w:spacing w:line="176" w:lineRule="auto"/>
      <w:ind w:left="416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EAF3">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2CAD5">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5D72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D96C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CE2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4BC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03E92">
    <w:pPr>
      <w:spacing w:line="176" w:lineRule="auto"/>
      <w:ind w:left="425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F33DB">
    <w:pPr>
      <w:spacing w:line="176" w:lineRule="auto"/>
      <w:ind w:left="454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F947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179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5369">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1943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2C4A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5003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28BD8">
    <w:pPr>
      <w:spacing w:line="176" w:lineRule="auto"/>
      <w:ind w:left="692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184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D736E">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D4A11">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27A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5C6A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5C5B1">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C509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189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58BF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4775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E211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D37C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D28A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BF030">
    <w:pPr>
      <w:spacing w:line="176" w:lineRule="auto"/>
      <w:ind w:left="712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195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1C48C">
    <w:pPr>
      <w:spacing w:line="176" w:lineRule="auto"/>
      <w:ind w:left="712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6"/>
        <w:sz w:val="18"/>
        <w:szCs w:val="18"/>
      </w:rPr>
      <w:t>196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38717">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92F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E126">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0"/>
        <w:sz w:val="18"/>
        <w:szCs w:val="18"/>
      </w:rPr>
      <w:t>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0"/>
        <w:sz w:val="18"/>
        <w:szCs w:val="1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3F31D">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13871">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6"/>
        <w:sz w:val="18"/>
        <w:szCs w:val="18"/>
      </w:rPr>
      <w:t>199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6BE4E">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AF44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D4B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1309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4F8A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96A73">
    <w:pPr>
      <w:spacing w:line="176" w:lineRule="auto"/>
      <w:ind w:left="42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8343C">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62838">
    <w:pPr>
      <w:spacing w:line="176" w:lineRule="auto"/>
      <w:ind w:left="41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34F59">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D65D8">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E53E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209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12125">
    <w:pPr>
      <w:pStyle w:val="2"/>
      <w:spacing w:line="14" w:lineRule="auto"/>
      <w:rPr>
        <w:sz w:val="2"/>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6CBFC">
    <w:pPr>
      <w:spacing w:line="176" w:lineRule="auto"/>
      <w:ind w:left="41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- 211</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2"/>
        <w:sz w:val="18"/>
        <w:szCs w:val="18"/>
      </w:rPr>
      <w:t>-</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1E409">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D68C4">
    <w:pPr>
      <w:spacing w:line="176" w:lineRule="auto"/>
      <w:ind w:left="42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6D68B">
    <w:pPr>
      <w:spacing w:line="176" w:lineRule="auto"/>
      <w:ind w:left="42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E84FC">
    <w:pPr>
      <w:spacing w:line="176" w:lineRule="auto"/>
      <w:ind w:left="42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94744">
    <w:pPr>
      <w:spacing w:line="176" w:lineRule="auto"/>
      <w:ind w:left="41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41120">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2884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F2B96">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A715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219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E0B3B">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C3F0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7EE13">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B67B2">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C13CD">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BC81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AE31">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40BAB">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133E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83BB6">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410FD">
    <w:pPr>
      <w:spacing w:line="176" w:lineRule="auto"/>
      <w:ind w:left="413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229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22708">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D07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6979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D0977">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6108">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F5C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0308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F994">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E3EF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29D4D">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5A5A6">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239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C5D4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76101">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C3FA3">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8811D">
    <w:pPr>
      <w:spacing w:line="176" w:lineRule="auto"/>
      <w:ind w:left="4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41936">
    <w:pPr>
      <w:spacing w:line="176" w:lineRule="auto"/>
      <w:ind w:left="416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3113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3094F">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BAAFE">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6DF9E">
    <w:pPr>
      <w:spacing w:line="176" w:lineRule="auto"/>
      <w:ind w:left="42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B7A3">
    <w:pPr>
      <w:spacing w:line="176" w:lineRule="auto"/>
      <w:ind w:left="70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574A">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C490E">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- 250</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2"/>
        <w:sz w:val="18"/>
        <w:szCs w:val="18"/>
      </w:rPr>
      <w:t>-</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591A4">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- 251</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2"/>
        <w:sz w:val="18"/>
        <w:szCs w:val="18"/>
      </w:rPr>
      <w:t>-</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E7B2A">
    <w:pPr>
      <w:spacing w:line="176" w:lineRule="auto"/>
      <w:ind w:left="43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0F969">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74B7B">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- 254</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2"/>
        <w:sz w:val="18"/>
        <w:szCs w:val="18"/>
      </w:rPr>
      <w:t>-</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BAD6B">
    <w:pPr>
      <w:spacing w:line="176" w:lineRule="auto"/>
      <w:ind w:left="70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- 255</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2"/>
        <w:sz w:val="18"/>
        <w:szCs w:val="18"/>
      </w:rPr>
      <w:t>-</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67EA1">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9457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7EF90">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4E8DE">
    <w:pPr>
      <w:spacing w:line="176" w:lineRule="auto"/>
      <w:ind w:left="70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7A19C">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259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E2D05">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260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04F16">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261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D384C">
    <w:pPr>
      <w:spacing w:line="176" w:lineRule="auto"/>
      <w:ind w:left="4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262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CF589">
    <w:pPr>
      <w:pStyle w:val="2"/>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9D339">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DD945">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F9CC9">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F7BD6">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4"/>
        <w:sz w:val="18"/>
        <w:szCs w:val="18"/>
      </w:rPr>
      <w:t>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26DC8">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3D723">
    <w:pPr>
      <w:spacing w:line="176" w:lineRule="auto"/>
      <w:ind w:left="42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93DC4">
    <w:pPr>
      <w:spacing w:line="176" w:lineRule="auto"/>
      <w:ind w:left="429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35B2E">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0D3B">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CF2CA">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0FE7">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857C6">
    <w:pPr>
      <w:spacing w:line="176" w:lineRule="auto"/>
      <w:ind w:left="41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E5947">
    <w:pPr>
      <w:spacing w:line="176" w:lineRule="auto"/>
      <w:ind w:left="41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F08D3">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3D7B">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F4A3D">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BF6F4">
    <w:pPr>
      <w:spacing w:line="176" w:lineRule="auto"/>
      <w:ind w:left="42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B6DC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89B9">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68D6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0AE92">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61E1A">
    <w:pPr>
      <w:spacing w:line="176" w:lineRule="auto"/>
      <w:ind w:left="700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8BAE9">
    <w:pPr>
      <w:spacing w:line="176" w:lineRule="auto"/>
      <w:ind w:left="700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1B581">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8D9BA">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2E311">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67819">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474FC">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D71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27C6E">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517A1">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0106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97BF">
    <w:pPr>
      <w:spacing w:line="173" w:lineRule="auto"/>
      <w:ind w:left="71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6078">
    <w:pPr>
      <w:spacing w:line="176" w:lineRule="auto"/>
      <w:ind w:left="71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F7A89">
    <w:pPr>
      <w:spacing w:line="173" w:lineRule="auto"/>
      <w:ind w:left="71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31B5F">
    <w:pPr>
      <w:spacing w:line="176" w:lineRule="auto"/>
      <w:ind w:left="713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CE55A">
    <w:pPr>
      <w:spacing w:line="173"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B1B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ACA47">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E84CB">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59A3D">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5F955">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D09D1">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DA64">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70D30">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BA781">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747E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0A806">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44015">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A8C6">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42CAC">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2077">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EBBB8">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9EB2">
    <w:pPr>
      <w:spacing w:line="176"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4FE3">
    <w:pPr>
      <w:spacing w:line="173" w:lineRule="auto"/>
      <w:ind w:left="69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E0CFF">
    <w:pPr>
      <w:spacing w:line="176" w:lineRule="auto"/>
      <w:ind w:left="42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0896A">
    <w:pPr>
      <w:spacing w:line="173"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915F7">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D046">
    <w:pPr>
      <w:spacing w:line="173"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5"/>
        <w:sz w:val="18"/>
        <w:szCs w:val="18"/>
      </w:rPr>
      <w:t>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5"/>
        <w:sz w:val="18"/>
        <w:szCs w:val="1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F7EC2">
    <w:pPr>
      <w:spacing w:line="176" w:lineRule="auto"/>
      <w:ind w:left="42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7D904">
    <w:pPr>
      <w:spacing w:line="176" w:lineRule="auto"/>
      <w:ind w:left="42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1802D">
    <w:pPr>
      <w:spacing w:line="176" w:lineRule="auto"/>
      <w:ind w:left="425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C504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62A14">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D19EB">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866D8">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FE852">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F2BDA">
    <w:pPr>
      <w:spacing w:line="176" w:lineRule="auto"/>
      <w:ind w:left="708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75C62">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A7272">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7"/>
        <w:sz w:val="18"/>
        <w:szCs w:val="18"/>
      </w:rPr>
      <w:t>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7"/>
        <w:sz w:val="18"/>
        <w:szCs w:val="1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5739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3870">
    <w:pPr>
      <w:spacing w:line="176" w:lineRule="auto"/>
      <w:ind w:left="71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7B75C">
    <w:pPr>
      <w:spacing w:line="176" w:lineRule="auto"/>
      <w:ind w:left="71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0C7D1">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42F76">
    <w:pPr>
      <w:spacing w:line="176" w:lineRule="auto"/>
      <w:ind w:left="43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23B9E">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9E01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B8B6">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1BB9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6DD95">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98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FC24B">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A0B8F">
    <w:pPr>
      <w:spacing w:before="56" w:line="226" w:lineRule="auto"/>
      <w:ind w:left="750"/>
      <w:rPr>
        <w:rFonts w:ascii="宋体" w:hAnsi="宋体" w:eastAsia="宋体" w:cs="宋体"/>
        <w:sz w:val="20"/>
        <w:szCs w:val="20"/>
      </w:rPr>
    </w:pPr>
    <w:r>
      <w:pict>
        <v:shape id="_x0000_s2057" o:spid="_x0000_s2057" style="position:absolute;left:0pt;margin-left:89.85pt;margin-top:57.15pt;height:0.5pt;width:415.65pt;mso-position-horizontal-relative:page;mso-position-vertical-relative:page;z-index:251669504;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1E7FD">
    <w:pPr>
      <w:spacing w:before="55" w:line="228" w:lineRule="auto"/>
      <w:ind w:left="460"/>
      <w:rPr>
        <w:rFonts w:ascii="宋体" w:hAnsi="宋体" w:eastAsia="宋体" w:cs="宋体"/>
        <w:sz w:val="20"/>
        <w:szCs w:val="20"/>
      </w:rPr>
    </w:pPr>
    <w:r>
      <w:pict>
        <v:shape id="_x0000_s2143" o:spid="_x0000_s2143" style="position:absolute;left:0pt;margin-left:90pt;margin-top:57.15pt;height:0.5pt;width:415.3pt;mso-position-horizontal-relative:page;mso-position-vertical-relative:page;z-index:25172684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4EBB">
    <w:pPr>
      <w:spacing w:before="55" w:line="228" w:lineRule="auto"/>
      <w:ind w:left="460"/>
      <w:rPr>
        <w:rFonts w:ascii="宋体" w:hAnsi="宋体" w:eastAsia="宋体" w:cs="宋体"/>
        <w:sz w:val="20"/>
        <w:szCs w:val="20"/>
      </w:rPr>
    </w:pPr>
    <w:r>
      <w:pict>
        <v:shape id="_x0000_s2144" o:spid="_x0000_s2144" style="position:absolute;left:0pt;margin-left:90pt;margin-top:57.15pt;height:0.5pt;width:415.3pt;mso-position-horizontal-relative:page;mso-position-vertical-relative:page;z-index:25172787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9C757">
    <w:pPr>
      <w:spacing w:before="55" w:line="228" w:lineRule="auto"/>
      <w:ind w:left="361"/>
      <w:rPr>
        <w:rFonts w:ascii="宋体" w:hAnsi="宋体" w:eastAsia="宋体" w:cs="宋体"/>
        <w:sz w:val="20"/>
        <w:szCs w:val="20"/>
      </w:rPr>
    </w:pPr>
    <w:r>
      <w:pict>
        <v:shape id="_x0000_s2145" o:spid="_x0000_s2145"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28223">
    <w:pPr>
      <w:spacing w:before="55" w:line="228" w:lineRule="auto"/>
      <w:ind w:left="361"/>
      <w:rPr>
        <w:rFonts w:ascii="宋体" w:hAnsi="宋体" w:eastAsia="宋体" w:cs="宋体"/>
        <w:sz w:val="20"/>
        <w:szCs w:val="20"/>
      </w:rPr>
    </w:pPr>
    <w:r>
      <w:pict>
        <v:shape id="_x0000_s2146" o:spid="_x0000_s2146" style="position:absolute;left:0pt;margin-left:90pt;margin-top:57.15pt;height:0.5pt;width:415.3pt;mso-position-horizontal-relative:page;mso-position-vertical-relative:page;z-index:25172889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D9ABF">
    <w:pPr>
      <w:spacing w:before="55" w:line="228" w:lineRule="auto"/>
      <w:ind w:left="361"/>
      <w:rPr>
        <w:rFonts w:ascii="宋体" w:hAnsi="宋体" w:eastAsia="宋体" w:cs="宋体"/>
        <w:sz w:val="20"/>
        <w:szCs w:val="20"/>
      </w:rPr>
    </w:pPr>
    <w:r>
      <w:pict>
        <v:shape id="_x0000_s2147" o:spid="_x0000_s2147"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01974">
    <w:pPr>
      <w:spacing w:before="55" w:line="228" w:lineRule="auto"/>
      <w:ind w:left="460"/>
      <w:rPr>
        <w:rFonts w:ascii="宋体" w:hAnsi="宋体" w:eastAsia="宋体" w:cs="宋体"/>
        <w:sz w:val="20"/>
        <w:szCs w:val="20"/>
      </w:rPr>
    </w:pPr>
    <w:r>
      <w:pict>
        <v:shape id="_x0000_s2148" o:spid="_x0000_s2148"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CB00C">
    <w:pPr>
      <w:spacing w:before="55" w:line="228" w:lineRule="auto"/>
      <w:ind w:left="361"/>
      <w:rPr>
        <w:rFonts w:ascii="宋体" w:hAnsi="宋体" w:eastAsia="宋体" w:cs="宋体"/>
        <w:sz w:val="20"/>
        <w:szCs w:val="20"/>
      </w:rPr>
    </w:pPr>
    <w:r>
      <w:pict>
        <v:shape id="_x0000_s2149" o:spid="_x0000_s2149"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D2283">
    <w:pPr>
      <w:spacing w:before="55" w:line="228" w:lineRule="auto"/>
      <w:ind w:left="452"/>
      <w:rPr>
        <w:rFonts w:ascii="宋体" w:hAnsi="宋体" w:eastAsia="宋体" w:cs="宋体"/>
        <w:sz w:val="20"/>
        <w:szCs w:val="20"/>
      </w:rPr>
    </w:pPr>
    <w:r>
      <w:pict>
        <v:shape id="_x0000_s2150" o:spid="_x0000_s2150" style="position:absolute;left:0pt;margin-left:90pt;margin-top:57.15pt;height:0.5pt;width:415.3pt;mso-position-horizontal-relative:page;mso-position-vertical-relative:page;z-index:25168896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2114E">
    <w:pPr>
      <w:spacing w:before="55" w:line="228" w:lineRule="auto"/>
      <w:ind w:left="412"/>
      <w:rPr>
        <w:rFonts w:ascii="宋体" w:hAnsi="宋体" w:eastAsia="宋体" w:cs="宋体"/>
        <w:sz w:val="20"/>
        <w:szCs w:val="20"/>
      </w:rPr>
    </w:pPr>
    <w:r>
      <w:pict>
        <v:shape id="_x0000_s2151" o:spid="_x0000_s2151" style="position:absolute;left:0pt;margin-left:90pt;margin-top:57.15pt;height:0.5pt;width:415.3pt;mso-position-horizontal-relative:page;mso-position-vertical-relative:page;z-index:25172992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CB73F">
    <w:pPr>
      <w:spacing w:before="55" w:line="228" w:lineRule="auto"/>
      <w:ind w:left="460"/>
      <w:rPr>
        <w:rFonts w:ascii="宋体" w:hAnsi="宋体" w:eastAsia="宋体" w:cs="宋体"/>
        <w:sz w:val="20"/>
        <w:szCs w:val="20"/>
      </w:rPr>
    </w:pPr>
    <w:r>
      <w:pict>
        <v:shape id="_x0000_s2152" o:spid="_x0000_s2152" style="position:absolute;left:0pt;margin-left:90pt;margin-top:57.15pt;height:0.5pt;width:415.3pt;mso-position-horizontal-relative:page;mso-position-vertical-relative:page;z-index:25173094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07228">
    <w:pPr>
      <w:spacing w:before="55" w:line="228" w:lineRule="auto"/>
      <w:ind w:left="463"/>
      <w:rPr>
        <w:rFonts w:ascii="宋体" w:hAnsi="宋体" w:eastAsia="宋体" w:cs="宋体"/>
        <w:sz w:val="20"/>
        <w:szCs w:val="20"/>
      </w:rPr>
    </w:pPr>
    <w:r>
      <w:pict>
        <v:shape id="_x0000_s2058" o:spid="_x0000_s2058" style="position:absolute;left:0pt;margin-left:89.85pt;margin-top:57.15pt;height:0.5pt;width:415.65pt;mso-position-horizontal-relative:page;mso-position-vertical-relative:page;z-index:25167052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51182">
    <w:pPr>
      <w:spacing w:before="55" w:line="228" w:lineRule="auto"/>
      <w:ind w:left="460"/>
      <w:rPr>
        <w:rFonts w:ascii="宋体" w:hAnsi="宋体" w:eastAsia="宋体" w:cs="宋体"/>
        <w:sz w:val="20"/>
        <w:szCs w:val="20"/>
      </w:rPr>
    </w:pPr>
    <w:r>
      <w:pict>
        <v:shape id="_x0000_s2153" o:spid="_x0000_s2153" style="position:absolute;left:0pt;margin-left:90pt;margin-top:57.15pt;height:0.5pt;width:415.3pt;mso-position-horizontal-relative:page;mso-position-vertical-relative:page;z-index:25173196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FE894">
    <w:pPr>
      <w:spacing w:before="55" w:line="228" w:lineRule="auto"/>
      <w:ind w:left="361"/>
      <w:rPr>
        <w:rFonts w:ascii="宋体" w:hAnsi="宋体" w:eastAsia="宋体" w:cs="宋体"/>
        <w:sz w:val="20"/>
        <w:szCs w:val="20"/>
      </w:rPr>
    </w:pPr>
    <w:r>
      <w:pict>
        <v:shape id="_x0000_s2154" o:spid="_x0000_s2154"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C1CCB">
    <w:pPr>
      <w:spacing w:before="55" w:line="228" w:lineRule="auto"/>
      <w:ind w:left="361"/>
      <w:rPr>
        <w:rFonts w:ascii="宋体" w:hAnsi="宋体" w:eastAsia="宋体" w:cs="宋体"/>
        <w:sz w:val="20"/>
        <w:szCs w:val="20"/>
      </w:rPr>
    </w:pPr>
    <w:r>
      <w:pict>
        <v:shape id="_x0000_s2155" o:spid="_x0000_s2155"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5606A">
    <w:pPr>
      <w:spacing w:before="55" w:line="228" w:lineRule="auto"/>
      <w:ind w:left="503"/>
      <w:rPr>
        <w:rFonts w:ascii="宋体" w:hAnsi="宋体" w:eastAsia="宋体" w:cs="宋体"/>
        <w:sz w:val="20"/>
        <w:szCs w:val="20"/>
      </w:rPr>
    </w:pPr>
    <w:r>
      <w:pict>
        <v:shape id="_x0000_s2156" o:spid="_x0000_s2156" style="position:absolute;left:0pt;margin-left:90pt;margin-top:57.15pt;height:0.5pt;width:415.3pt;mso-position-horizontal-relative:page;mso-position-vertical-relative:page;z-index:25173401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DDE97">
    <w:pPr>
      <w:spacing w:before="55" w:line="228" w:lineRule="auto"/>
      <w:ind w:left="361"/>
      <w:rPr>
        <w:rFonts w:ascii="宋体" w:hAnsi="宋体" w:eastAsia="宋体" w:cs="宋体"/>
        <w:sz w:val="20"/>
        <w:szCs w:val="20"/>
      </w:rPr>
    </w:pPr>
    <w:r>
      <w:pict>
        <v:shape id="_x0000_s2157" o:spid="_x0000_s2157"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AA300">
    <w:pPr>
      <w:spacing w:before="55" w:line="228" w:lineRule="auto"/>
      <w:ind w:left="361"/>
      <w:rPr>
        <w:rFonts w:ascii="宋体" w:hAnsi="宋体" w:eastAsia="宋体" w:cs="宋体"/>
        <w:sz w:val="20"/>
        <w:szCs w:val="20"/>
      </w:rPr>
    </w:pPr>
    <w:r>
      <w:pict>
        <v:shape id="_x0000_s2158" o:spid="_x0000_s2158" style="position:absolute;left:0pt;margin-left:90pt;margin-top:57.15pt;height:0.5pt;width:415.3pt;mso-position-horizontal-relative:page;mso-position-vertical-relative:page;z-index:25173504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99A12">
    <w:pPr>
      <w:spacing w:before="55" w:line="228" w:lineRule="auto"/>
      <w:ind w:left="361"/>
      <w:rPr>
        <w:rFonts w:ascii="宋体" w:hAnsi="宋体" w:eastAsia="宋体" w:cs="宋体"/>
        <w:sz w:val="20"/>
        <w:szCs w:val="20"/>
      </w:rPr>
    </w:pPr>
    <w:r>
      <w:pict>
        <v:shape id="_x0000_s2159" o:spid="_x0000_s2159"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B501">
    <w:pPr>
      <w:spacing w:before="55" w:line="228" w:lineRule="auto"/>
      <w:ind w:left="361"/>
      <w:rPr>
        <w:rFonts w:ascii="宋体" w:hAnsi="宋体" w:eastAsia="宋体" w:cs="宋体"/>
        <w:sz w:val="20"/>
        <w:szCs w:val="20"/>
      </w:rPr>
    </w:pPr>
    <w:r>
      <w:pict>
        <v:shape id="_x0000_s2160" o:spid="_x0000_s2160"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47123">
    <w:pPr>
      <w:spacing w:before="55" w:line="228" w:lineRule="auto"/>
      <w:ind w:left="361"/>
      <w:rPr>
        <w:rFonts w:ascii="宋体" w:hAnsi="宋体" w:eastAsia="宋体" w:cs="宋体"/>
        <w:sz w:val="20"/>
        <w:szCs w:val="20"/>
      </w:rPr>
    </w:pPr>
    <w:r>
      <w:pict>
        <v:shape id="_x0000_s2161" o:spid="_x0000_s2161"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D962F">
    <w:pPr>
      <w:spacing w:before="55" w:line="228" w:lineRule="auto"/>
      <w:ind w:left="3172"/>
      <w:rPr>
        <w:rFonts w:ascii="宋体" w:hAnsi="宋体" w:eastAsia="宋体" w:cs="宋体"/>
        <w:sz w:val="20"/>
        <w:szCs w:val="20"/>
      </w:rPr>
    </w:pPr>
    <w:r>
      <w:pict>
        <v:shape id="_x0000_s2162" o:spid="_x0000_s2162" style="position:absolute;left:0pt;margin-left:72pt;margin-top:57.15pt;height:0.5pt;width:697.95pt;mso-position-horizontal-relative:page;mso-position-vertical-relative:page;z-index:25167462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02015">
    <w:pPr>
      <w:spacing w:before="55" w:line="228" w:lineRule="auto"/>
      <w:ind w:left="463"/>
      <w:rPr>
        <w:rFonts w:ascii="宋体" w:hAnsi="宋体" w:eastAsia="宋体" w:cs="宋体"/>
        <w:sz w:val="20"/>
        <w:szCs w:val="20"/>
      </w:rPr>
    </w:pPr>
    <w:r>
      <w:pict>
        <v:shape id="_x0000_s2059" o:spid="_x0000_s2059" style="position:absolute;left:0pt;margin-left:89.85pt;margin-top:57.15pt;height:0.5pt;width:415.65pt;mso-position-horizontal-relative:page;mso-position-vertical-relative:page;z-index:2516664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4F4B6">
    <w:pPr>
      <w:spacing w:before="55" w:line="228" w:lineRule="auto"/>
      <w:ind w:left="460"/>
      <w:rPr>
        <w:rFonts w:ascii="宋体" w:hAnsi="宋体" w:eastAsia="宋体" w:cs="宋体"/>
        <w:sz w:val="20"/>
        <w:szCs w:val="20"/>
      </w:rPr>
    </w:pPr>
    <w:r>
      <w:pict>
        <v:shape id="_x0000_s2163" o:spid="_x0000_s2163"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82">
    <w:pPr>
      <w:spacing w:before="55" w:line="228" w:lineRule="auto"/>
      <w:ind w:left="361"/>
      <w:rPr>
        <w:rFonts w:ascii="宋体" w:hAnsi="宋体" w:eastAsia="宋体" w:cs="宋体"/>
        <w:sz w:val="20"/>
        <w:szCs w:val="20"/>
      </w:rPr>
    </w:pPr>
    <w:r>
      <w:pict>
        <v:shape id="_x0000_s2164" o:spid="_x0000_s2164" style="position:absolute;left:0pt;margin-left:90pt;margin-top:57.15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BEBDA">
    <w:pPr>
      <w:spacing w:before="55" w:line="228" w:lineRule="auto"/>
      <w:ind w:left="361"/>
      <w:rPr>
        <w:rFonts w:ascii="宋体" w:hAnsi="宋体" w:eastAsia="宋体" w:cs="宋体"/>
        <w:sz w:val="20"/>
        <w:szCs w:val="20"/>
      </w:rPr>
    </w:pPr>
    <w:r>
      <w:pict>
        <v:shape id="_x0000_s2165" o:spid="_x0000_s2165"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9270F">
    <w:pPr>
      <w:spacing w:before="55" w:line="228" w:lineRule="auto"/>
      <w:ind w:left="361"/>
      <w:rPr>
        <w:rFonts w:ascii="宋体" w:hAnsi="宋体" w:eastAsia="宋体" w:cs="宋体"/>
        <w:sz w:val="20"/>
        <w:szCs w:val="20"/>
      </w:rPr>
    </w:pPr>
    <w:r>
      <w:pict>
        <v:shape id="_x0000_s2166" o:spid="_x0000_s2166" style="position:absolute;left:0pt;margin-left:90pt;margin-top:57.15pt;height:0.5pt;width:415.3pt;mso-position-horizontal-relative:page;mso-position-vertical-relative:page;z-index:25173606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A2537">
    <w:pPr>
      <w:spacing w:before="55" w:line="228" w:lineRule="auto"/>
      <w:ind w:left="361"/>
      <w:rPr>
        <w:rFonts w:ascii="宋体" w:hAnsi="宋体" w:eastAsia="宋体" w:cs="宋体"/>
        <w:sz w:val="20"/>
        <w:szCs w:val="20"/>
      </w:rPr>
    </w:pPr>
    <w:r>
      <w:pict>
        <v:shape id="_x0000_s2167" o:spid="_x0000_s2167" style="position:absolute;left:0pt;margin-left:90pt;margin-top:57.15pt;height:0.5pt;width:415.3pt;mso-position-horizontal-relative:page;mso-position-vertical-relative:page;z-index:25173811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77636">
    <w:pPr>
      <w:spacing w:before="55" w:line="228" w:lineRule="auto"/>
      <w:ind w:left="361"/>
      <w:rPr>
        <w:rFonts w:ascii="宋体" w:hAnsi="宋体" w:eastAsia="宋体" w:cs="宋体"/>
        <w:sz w:val="20"/>
        <w:szCs w:val="20"/>
      </w:rPr>
    </w:pPr>
    <w:r>
      <w:pict>
        <v:shape id="_x0000_s2168" o:spid="_x0000_s2168"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CD1C9">
    <w:pPr>
      <w:spacing w:before="56" w:line="226" w:lineRule="auto"/>
      <w:ind w:left="3367"/>
      <w:rPr>
        <w:rFonts w:ascii="宋体" w:hAnsi="宋体" w:eastAsia="宋体" w:cs="宋体"/>
        <w:sz w:val="20"/>
        <w:szCs w:val="20"/>
      </w:rPr>
    </w:pPr>
    <w:r>
      <w:pict>
        <v:shape id="_x0000_s2169" o:spid="_x0000_s2169" style="position:absolute;left:0pt;margin-left:72pt;margin-top:57.15pt;height:0.5pt;width:697.95pt;mso-position-horizontal-relative:page;mso-position-vertical-relative:page;z-index:251701248;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AB820">
    <w:pPr>
      <w:spacing w:before="55" w:line="228" w:lineRule="auto"/>
      <w:ind w:left="361"/>
      <w:rPr>
        <w:rFonts w:ascii="宋体" w:hAnsi="宋体" w:eastAsia="宋体" w:cs="宋体"/>
        <w:sz w:val="20"/>
        <w:szCs w:val="20"/>
      </w:rPr>
    </w:pPr>
    <w:r>
      <w:pict>
        <v:shape id="_x0000_s2170" o:spid="_x0000_s2170"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23D4A">
    <w:pPr>
      <w:spacing w:before="55" w:line="228" w:lineRule="auto"/>
      <w:ind w:left="460"/>
      <w:rPr>
        <w:rFonts w:ascii="宋体" w:hAnsi="宋体" w:eastAsia="宋体" w:cs="宋体"/>
        <w:sz w:val="20"/>
        <w:szCs w:val="20"/>
      </w:rPr>
    </w:pPr>
    <w:r>
      <w:pict>
        <v:shape id="_x0000_s2171" o:spid="_x0000_s2171"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98454">
    <w:pPr>
      <w:spacing w:before="55" w:line="228" w:lineRule="auto"/>
      <w:ind w:left="452"/>
      <w:rPr>
        <w:rFonts w:ascii="宋体" w:hAnsi="宋体" w:eastAsia="宋体" w:cs="宋体"/>
        <w:sz w:val="20"/>
        <w:szCs w:val="20"/>
      </w:rPr>
    </w:pPr>
    <w:r>
      <w:pict>
        <v:shape id="_x0000_s2172" o:spid="_x0000_s2172" style="position:absolute;left:0pt;margin-left:90pt;margin-top:57.15pt;height:0.5pt;width:415.3pt;mso-position-horizontal-relative:page;mso-position-vertical-relative:page;z-index:25173913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2A299">
    <w:pPr>
      <w:spacing w:before="55" w:line="228" w:lineRule="auto"/>
      <w:ind w:left="463"/>
      <w:rPr>
        <w:rFonts w:ascii="宋体" w:hAnsi="宋体" w:eastAsia="宋体" w:cs="宋体"/>
        <w:sz w:val="20"/>
        <w:szCs w:val="20"/>
      </w:rPr>
    </w:pPr>
    <w:r>
      <w:pict>
        <v:shape id="_x0000_s2060" o:spid="_x0000_s2060" style="position:absolute;left:0pt;margin-left:89.85pt;margin-top:57.15pt;height:0.5pt;width:415.65pt;mso-position-horizontal-relative:page;mso-position-vertical-relative:page;z-index:25167155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179D0">
    <w:pPr>
      <w:spacing w:before="55" w:line="228" w:lineRule="auto"/>
      <w:ind w:left="361"/>
      <w:rPr>
        <w:rFonts w:ascii="宋体" w:hAnsi="宋体" w:eastAsia="宋体" w:cs="宋体"/>
        <w:sz w:val="20"/>
        <w:szCs w:val="20"/>
      </w:rPr>
    </w:pPr>
    <w:r>
      <w:pict>
        <v:shape id="_x0000_s2173" o:spid="_x0000_s2173" style="position:absolute;left:0pt;margin-left:90pt;margin-top:57.15pt;height:0.5pt;width:415.3pt;mso-position-horizontal-relative:page;mso-position-vertical-relative:page;z-index:25174016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95A33">
    <w:pPr>
      <w:spacing w:before="55" w:line="228" w:lineRule="auto"/>
      <w:ind w:left="361"/>
      <w:rPr>
        <w:rFonts w:ascii="宋体" w:hAnsi="宋体" w:eastAsia="宋体" w:cs="宋体"/>
        <w:sz w:val="20"/>
        <w:szCs w:val="20"/>
      </w:rPr>
    </w:pPr>
    <w:r>
      <w:pict>
        <v:shape id="_x0000_s2174" o:spid="_x0000_s2174"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0155B">
    <w:pPr>
      <w:spacing w:before="55" w:line="228" w:lineRule="auto"/>
      <w:ind w:left="361"/>
      <w:rPr>
        <w:rFonts w:ascii="宋体" w:hAnsi="宋体" w:eastAsia="宋体" w:cs="宋体"/>
        <w:sz w:val="20"/>
        <w:szCs w:val="20"/>
      </w:rPr>
    </w:pPr>
    <w:r>
      <w:pict>
        <v:shape id="_x0000_s2175" o:spid="_x0000_s2175" style="position:absolute;left:0pt;margin-left:90pt;margin-top:57.15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A100">
    <w:pPr>
      <w:spacing w:before="55" w:line="228" w:lineRule="auto"/>
      <w:ind w:left="459"/>
      <w:rPr>
        <w:rFonts w:ascii="宋体" w:hAnsi="宋体" w:eastAsia="宋体" w:cs="宋体"/>
        <w:sz w:val="20"/>
        <w:szCs w:val="20"/>
      </w:rPr>
    </w:pPr>
    <w:r>
      <w:pict>
        <v:shape id="_x0000_s2176" o:spid="_x0000_s2176" style="position:absolute;left:0pt;margin-left:90pt;margin-top:57.15pt;height:0.5pt;width:415.3pt;mso-position-horizontal-relative:page;mso-position-vertical-relative:page;z-index:25174118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23B76">
    <w:pPr>
      <w:spacing w:before="55" w:line="228" w:lineRule="auto"/>
      <w:ind w:left="460"/>
      <w:rPr>
        <w:rFonts w:ascii="宋体" w:hAnsi="宋体" w:eastAsia="宋体" w:cs="宋体"/>
        <w:sz w:val="20"/>
        <w:szCs w:val="20"/>
      </w:rPr>
    </w:pPr>
    <w:r>
      <w:pict>
        <v:shape id="_x0000_s2177" o:spid="_x0000_s2177" style="position:absolute;left:0pt;margin-left:90pt;margin-top:57.15pt;height:0.5pt;width:415.3pt;mso-position-horizontal-relative:page;mso-position-vertical-relative:page;z-index:25172787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5DEF6">
    <w:pPr>
      <w:spacing w:before="55" w:line="228" w:lineRule="auto"/>
      <w:ind w:left="364"/>
      <w:rPr>
        <w:rFonts w:ascii="宋体" w:hAnsi="宋体" w:eastAsia="宋体" w:cs="宋体"/>
        <w:sz w:val="20"/>
        <w:szCs w:val="20"/>
      </w:rPr>
    </w:pPr>
    <w:r>
      <w:pict>
        <v:shape id="_x0000_s2178" o:spid="_x0000_s2178" style="position:absolute;left:0pt;margin-left:90pt;margin-top:57.15pt;height:0.5pt;width:415.3pt;mso-position-horizontal-relative:page;mso-position-vertical-relative:page;z-index:25174220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C9A4">
    <w:pPr>
      <w:spacing w:before="55" w:line="228" w:lineRule="auto"/>
      <w:ind w:left="361"/>
      <w:rPr>
        <w:rFonts w:ascii="宋体" w:hAnsi="宋体" w:eastAsia="宋体" w:cs="宋体"/>
        <w:sz w:val="20"/>
        <w:szCs w:val="20"/>
      </w:rPr>
    </w:pPr>
    <w:r>
      <w:pict>
        <v:shape id="_x0000_s2179" o:spid="_x0000_s2179"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33D8C">
    <w:pPr>
      <w:spacing w:before="55" w:line="228" w:lineRule="auto"/>
      <w:ind w:left="361"/>
      <w:rPr>
        <w:rFonts w:ascii="宋体" w:hAnsi="宋体" w:eastAsia="宋体" w:cs="宋体"/>
        <w:sz w:val="20"/>
        <w:szCs w:val="20"/>
      </w:rPr>
    </w:pPr>
    <w:r>
      <w:pict>
        <v:shape id="_x0000_s2180" o:spid="_x0000_s2180"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62974">
    <w:pPr>
      <w:spacing w:before="55" w:line="228" w:lineRule="auto"/>
      <w:ind w:left="361"/>
      <w:rPr>
        <w:rFonts w:ascii="宋体" w:hAnsi="宋体" w:eastAsia="宋体" w:cs="宋体"/>
        <w:sz w:val="20"/>
        <w:szCs w:val="20"/>
      </w:rPr>
    </w:pPr>
    <w:r>
      <w:pict>
        <v:shape id="_x0000_s2181" o:spid="_x0000_s2181" style="position:absolute;left:0pt;margin-left:90pt;margin-top:57.15pt;height:0.5pt;width:415.3pt;mso-position-horizontal-relative:page;mso-position-vertical-relative:page;z-index:25174323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0A795">
    <w:pPr>
      <w:spacing w:before="55" w:line="228" w:lineRule="auto"/>
      <w:ind w:left="361"/>
      <w:rPr>
        <w:rFonts w:ascii="宋体" w:hAnsi="宋体" w:eastAsia="宋体" w:cs="宋体"/>
        <w:sz w:val="20"/>
        <w:szCs w:val="20"/>
      </w:rPr>
    </w:pPr>
    <w:r>
      <w:pict>
        <v:shape id="_x0000_s2182" o:spid="_x0000_s2182" style="position:absolute;left:0pt;margin-left:90pt;margin-top:57.15pt;height:0.5pt;width:415.3pt;mso-position-horizontal-relative:page;mso-position-vertical-relative:page;z-index:25174425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24941">
    <w:pPr>
      <w:spacing w:before="55" w:line="228" w:lineRule="auto"/>
      <w:ind w:left="361"/>
      <w:rPr>
        <w:rFonts w:ascii="宋体" w:hAnsi="宋体" w:eastAsia="宋体" w:cs="宋体"/>
        <w:sz w:val="20"/>
        <w:szCs w:val="20"/>
      </w:rPr>
    </w:pPr>
    <w:r>
      <w:pict>
        <v:shape id="_x0000_s2061" o:spid="_x0000_s2061"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996AA">
    <w:pPr>
      <w:spacing w:before="55" w:line="228" w:lineRule="auto"/>
      <w:ind w:left="361"/>
      <w:rPr>
        <w:rFonts w:ascii="宋体" w:hAnsi="宋体" w:eastAsia="宋体" w:cs="宋体"/>
        <w:sz w:val="20"/>
        <w:szCs w:val="20"/>
      </w:rPr>
    </w:pPr>
    <w:r>
      <w:pict>
        <v:shape id="_x0000_s2183" o:spid="_x0000_s2183"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5999B">
    <w:pPr>
      <w:spacing w:before="55" w:line="228" w:lineRule="auto"/>
      <w:ind w:left="464"/>
      <w:rPr>
        <w:rFonts w:ascii="宋体" w:hAnsi="宋体" w:eastAsia="宋体" w:cs="宋体"/>
        <w:sz w:val="20"/>
        <w:szCs w:val="20"/>
      </w:rPr>
    </w:pPr>
    <w:r>
      <w:pict>
        <v:shape id="_x0000_s2184" o:spid="_x0000_s2184" style="position:absolute;left:0pt;margin-left:90pt;margin-top:57.15pt;height:0.5pt;width:415.3pt;mso-position-horizontal-relative:page;mso-position-vertical-relative:page;z-index:25174528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85981">
    <w:pPr>
      <w:spacing w:before="55" w:line="228" w:lineRule="auto"/>
      <w:ind w:left="459"/>
      <w:rPr>
        <w:rFonts w:ascii="宋体" w:hAnsi="宋体" w:eastAsia="宋体" w:cs="宋体"/>
        <w:sz w:val="20"/>
        <w:szCs w:val="20"/>
      </w:rPr>
    </w:pPr>
    <w:r>
      <w:pict>
        <v:shape id="_x0000_s2185" o:spid="_x0000_s2185" style="position:absolute;left:0pt;margin-left:90pt;margin-top:57.15pt;height:0.5pt;width:415.3pt;mso-position-horizontal-relative:page;mso-position-vertical-relative:page;z-index:25174118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E146">
    <w:pPr>
      <w:spacing w:before="55" w:line="228" w:lineRule="auto"/>
      <w:ind w:left="380"/>
      <w:rPr>
        <w:rFonts w:ascii="宋体" w:hAnsi="宋体" w:eastAsia="宋体" w:cs="宋体"/>
        <w:sz w:val="20"/>
        <w:szCs w:val="20"/>
      </w:rPr>
    </w:pPr>
    <w:r>
      <w:pict>
        <v:shape id="_x0000_s2186" o:spid="_x0000_s2186" style="position:absolute;left:0pt;margin-left:90pt;margin-top:57.15pt;height:0.5pt;width:415.3pt;mso-position-horizontal-relative:page;mso-position-vertical-relative:page;z-index:25174630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5A300">
    <w:pPr>
      <w:spacing w:before="55" w:line="228" w:lineRule="auto"/>
      <w:ind w:left="551"/>
      <w:rPr>
        <w:rFonts w:ascii="宋体" w:hAnsi="宋体" w:eastAsia="宋体" w:cs="宋体"/>
        <w:sz w:val="20"/>
        <w:szCs w:val="20"/>
      </w:rPr>
    </w:pPr>
    <w:r>
      <w:pict>
        <v:shape id="_x0000_s2187" o:spid="_x0000_s2187" style="position:absolute;left:0pt;margin-left:90pt;margin-top:57.15pt;height:0.5pt;width:415.3pt;mso-position-horizontal-relative:page;mso-position-vertical-relative:page;z-index:25174732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F30C5">
    <w:pPr>
      <w:spacing w:before="55" w:line="228" w:lineRule="auto"/>
      <w:ind w:left="361"/>
      <w:rPr>
        <w:rFonts w:ascii="宋体" w:hAnsi="宋体" w:eastAsia="宋体" w:cs="宋体"/>
        <w:sz w:val="20"/>
        <w:szCs w:val="20"/>
      </w:rPr>
    </w:pPr>
    <w:r>
      <w:pict>
        <v:shape id="_x0000_s2188" o:spid="_x0000_s2188" style="position:absolute;left:0pt;margin-left:90pt;margin-top:57.15pt;height:0.5pt;width:415.3pt;mso-position-horizontal-relative:page;mso-position-vertical-relative:page;z-index:25174835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9CC4">
    <w:pPr>
      <w:spacing w:before="55" w:line="228" w:lineRule="auto"/>
      <w:ind w:left="361"/>
      <w:rPr>
        <w:rFonts w:ascii="宋体" w:hAnsi="宋体" w:eastAsia="宋体" w:cs="宋体"/>
        <w:sz w:val="20"/>
        <w:szCs w:val="20"/>
      </w:rPr>
    </w:pPr>
    <w:r>
      <w:pict>
        <v:shape id="_x0000_s2189" o:spid="_x0000_s2189" style="position:absolute;left:0pt;margin-left:90pt;margin-top:57.15pt;height:0.5pt;width:415.3pt;mso-position-horizontal-relative:page;mso-position-vertical-relative:page;z-index:2517493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05A44">
    <w:pPr>
      <w:spacing w:before="55" w:line="228" w:lineRule="auto"/>
      <w:ind w:left="460"/>
      <w:rPr>
        <w:rFonts w:ascii="宋体" w:hAnsi="宋体" w:eastAsia="宋体" w:cs="宋体"/>
        <w:sz w:val="20"/>
        <w:szCs w:val="20"/>
      </w:rPr>
    </w:pPr>
    <w:r>
      <w:pict>
        <v:shape id="_x0000_s2190" o:spid="_x0000_s2190" style="position:absolute;left:0pt;margin-left:90pt;margin-top:57.15pt;height:0.5pt;width:415.3pt;mso-position-horizontal-relative:page;mso-position-vertical-relative:page;z-index:2517504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A3F04">
    <w:pPr>
      <w:spacing w:before="55" w:line="228" w:lineRule="auto"/>
      <w:ind w:left="361"/>
      <w:rPr>
        <w:rFonts w:ascii="宋体" w:hAnsi="宋体" w:eastAsia="宋体" w:cs="宋体"/>
        <w:sz w:val="20"/>
        <w:szCs w:val="20"/>
      </w:rPr>
    </w:pPr>
    <w:r>
      <w:pict>
        <v:shape id="_x0000_s2191" o:spid="_x0000_s2191"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F612C">
    <w:pPr>
      <w:spacing w:before="55" w:line="228" w:lineRule="auto"/>
      <w:ind w:left="460"/>
      <w:rPr>
        <w:rFonts w:ascii="宋体" w:hAnsi="宋体" w:eastAsia="宋体" w:cs="宋体"/>
        <w:sz w:val="20"/>
        <w:szCs w:val="20"/>
      </w:rPr>
    </w:pPr>
    <w:r>
      <w:pict>
        <v:shape id="_x0000_s2192" o:spid="_x0000_s2192"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FB683">
    <w:pPr>
      <w:spacing w:before="55" w:line="228" w:lineRule="auto"/>
      <w:ind w:left="463"/>
      <w:rPr>
        <w:rFonts w:ascii="宋体" w:hAnsi="宋体" w:eastAsia="宋体" w:cs="宋体"/>
        <w:sz w:val="20"/>
        <w:szCs w:val="20"/>
      </w:rPr>
    </w:pPr>
    <w:r>
      <w:pict>
        <v:shape id="_x0000_s2062" o:spid="_x0000_s2062" style="position:absolute;left:0pt;margin-left:89.85pt;margin-top:57.15pt;height:0.5pt;width:415.65pt;mso-position-horizontal-relative:page;mso-position-vertical-relative:page;z-index:25167257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C7F82">
    <w:pPr>
      <w:spacing w:before="55" w:line="228" w:lineRule="auto"/>
      <w:ind w:left="361"/>
      <w:rPr>
        <w:rFonts w:ascii="宋体" w:hAnsi="宋体" w:eastAsia="宋体" w:cs="宋体"/>
        <w:sz w:val="20"/>
        <w:szCs w:val="20"/>
      </w:rPr>
    </w:pPr>
    <w:r>
      <w:pict>
        <v:shape id="_x0000_s2193" o:spid="_x0000_s2193"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B3BE9">
    <w:pPr>
      <w:spacing w:before="55" w:line="228" w:lineRule="auto"/>
      <w:ind w:left="361"/>
      <w:rPr>
        <w:rFonts w:ascii="宋体" w:hAnsi="宋体" w:eastAsia="宋体" w:cs="宋体"/>
        <w:sz w:val="20"/>
        <w:szCs w:val="20"/>
      </w:rPr>
    </w:pPr>
    <w:r>
      <w:pict>
        <v:shape id="_x0000_s2194" o:spid="_x0000_s2194"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5AFB4">
    <w:pPr>
      <w:spacing w:before="55" w:line="228" w:lineRule="auto"/>
      <w:ind w:left="361"/>
      <w:rPr>
        <w:rFonts w:ascii="宋体" w:hAnsi="宋体" w:eastAsia="宋体" w:cs="宋体"/>
        <w:sz w:val="20"/>
        <w:szCs w:val="20"/>
      </w:rPr>
    </w:pPr>
    <w:r>
      <w:pict>
        <v:shape id="_x0000_s2195" o:spid="_x0000_s2195"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B1FB4">
    <w:pPr>
      <w:spacing w:before="55" w:line="228" w:lineRule="auto"/>
      <w:ind w:left="361"/>
      <w:rPr>
        <w:rFonts w:ascii="宋体" w:hAnsi="宋体" w:eastAsia="宋体" w:cs="宋体"/>
        <w:sz w:val="20"/>
        <w:szCs w:val="20"/>
      </w:rPr>
    </w:pPr>
    <w:r>
      <w:pict>
        <v:shape id="_x0000_s2196" o:spid="_x0000_s2196" style="position:absolute;left:0pt;margin-left:90pt;margin-top:57.15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79CC">
    <w:pPr>
      <w:spacing w:before="55" w:line="228" w:lineRule="auto"/>
      <w:ind w:left="361"/>
      <w:rPr>
        <w:rFonts w:ascii="宋体" w:hAnsi="宋体" w:eastAsia="宋体" w:cs="宋体"/>
        <w:sz w:val="20"/>
        <w:szCs w:val="20"/>
      </w:rPr>
    </w:pPr>
    <w:r>
      <w:pict>
        <v:shape id="_x0000_s2197" o:spid="_x0000_s2197"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D2B1E">
    <w:pPr>
      <w:spacing w:before="55" w:line="228" w:lineRule="auto"/>
      <w:ind w:left="361"/>
      <w:rPr>
        <w:rFonts w:ascii="宋体" w:hAnsi="宋体" w:eastAsia="宋体" w:cs="宋体"/>
        <w:sz w:val="20"/>
        <w:szCs w:val="20"/>
      </w:rPr>
    </w:pPr>
    <w:r>
      <w:pict>
        <v:shape id="_x0000_s2198" o:spid="_x0000_s2198"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04134">
    <w:pPr>
      <w:spacing w:before="56" w:line="226" w:lineRule="auto"/>
      <w:ind w:left="380"/>
      <w:rPr>
        <w:rFonts w:ascii="宋体" w:hAnsi="宋体" w:eastAsia="宋体" w:cs="宋体"/>
        <w:sz w:val="20"/>
        <w:szCs w:val="20"/>
      </w:rPr>
    </w:pPr>
    <w:r>
      <w:pict>
        <v:shape id="_x0000_s2199" o:spid="_x0000_s2199" style="position:absolute;left:0pt;margin-left:90pt;margin-top:57.15pt;height:0.5pt;width:415.3pt;mso-position-horizontal-relative:page;mso-position-vertical-relative:page;z-index:25175142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ED073">
    <w:pPr>
      <w:spacing w:before="56" w:line="226" w:lineRule="auto"/>
      <w:ind w:left="361"/>
      <w:rPr>
        <w:rFonts w:ascii="宋体" w:hAnsi="宋体" w:eastAsia="宋体" w:cs="宋体"/>
        <w:sz w:val="20"/>
        <w:szCs w:val="20"/>
      </w:rPr>
    </w:pPr>
    <w:r>
      <w:pict>
        <v:shape id="_x0000_s2200" o:spid="_x0000_s2200" style="position:absolute;left:0pt;margin-left:90pt;margin-top:57.15pt;height:0.5pt;width:415.3pt;mso-position-horizontal-relative:page;mso-position-vertical-relative:page;z-index:25175244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71B4A">
    <w:pPr>
      <w:spacing w:before="55" w:line="228" w:lineRule="auto"/>
      <w:ind w:left="361"/>
      <w:rPr>
        <w:rFonts w:ascii="宋体" w:hAnsi="宋体" w:eastAsia="宋体" w:cs="宋体"/>
        <w:sz w:val="20"/>
        <w:szCs w:val="20"/>
      </w:rPr>
    </w:pPr>
    <w:r>
      <w:pict>
        <v:shape id="_x0000_s2201" o:spid="_x0000_s2201" style="position:absolute;left:0pt;margin-left:90pt;margin-top:57.15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F509B">
    <w:pPr>
      <w:spacing w:before="55" w:line="228" w:lineRule="auto"/>
      <w:ind w:left="361"/>
      <w:rPr>
        <w:rFonts w:ascii="宋体" w:hAnsi="宋体" w:eastAsia="宋体" w:cs="宋体"/>
        <w:sz w:val="20"/>
        <w:szCs w:val="20"/>
      </w:rPr>
    </w:pPr>
    <w:r>
      <w:pict>
        <v:shape id="_x0000_s2202" o:spid="_x0000_s2202" style="position:absolute;left:0pt;margin-left:90pt;margin-top:57.15pt;height:0.5pt;width:415.3pt;mso-position-horizontal-relative:page;mso-position-vertical-relative:page;z-index:25172172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797F">
    <w:pPr>
      <w:spacing w:before="55" w:line="228" w:lineRule="auto"/>
      <w:ind w:left="3286"/>
      <w:rPr>
        <w:rFonts w:ascii="宋体" w:hAnsi="宋体" w:eastAsia="宋体" w:cs="宋体"/>
        <w:sz w:val="20"/>
        <w:szCs w:val="20"/>
      </w:rPr>
    </w:pPr>
    <w:r>
      <w:pict>
        <v:shape id="_x0000_s2063" o:spid="_x0000_s2063"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F346F">
    <w:pPr>
      <w:spacing w:before="55" w:line="228" w:lineRule="auto"/>
      <w:ind w:left="361"/>
      <w:rPr>
        <w:rFonts w:ascii="宋体" w:hAnsi="宋体" w:eastAsia="宋体" w:cs="宋体"/>
        <w:sz w:val="20"/>
        <w:szCs w:val="20"/>
      </w:rPr>
    </w:pPr>
    <w:r>
      <w:pict>
        <v:shape id="_x0000_s2203" o:spid="_x0000_s2203"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C2B27">
    <w:pPr>
      <w:spacing w:before="55" w:line="228" w:lineRule="auto"/>
      <w:ind w:left="361"/>
      <w:rPr>
        <w:rFonts w:ascii="宋体" w:hAnsi="宋体" w:eastAsia="宋体" w:cs="宋体"/>
        <w:sz w:val="20"/>
        <w:szCs w:val="20"/>
      </w:rPr>
    </w:pPr>
    <w:r>
      <w:pict>
        <v:shape id="_x0000_s2204" o:spid="_x0000_s2204" style="position:absolute;left:0pt;margin-left:90pt;margin-top:57.15pt;height:0.5pt;width:415.3pt;mso-position-horizontal-relative:page;mso-position-vertical-relative:page;z-index:25174016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5F56D">
    <w:pPr>
      <w:spacing w:before="55" w:line="228" w:lineRule="auto"/>
      <w:ind w:left="361"/>
      <w:rPr>
        <w:rFonts w:ascii="宋体" w:hAnsi="宋体" w:eastAsia="宋体" w:cs="宋体"/>
        <w:sz w:val="20"/>
        <w:szCs w:val="20"/>
      </w:rPr>
    </w:pPr>
    <w:r>
      <w:pict>
        <v:shape id="_x0000_s2205" o:spid="_x0000_s2205"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AA010">
    <w:pPr>
      <w:spacing w:before="55" w:line="228" w:lineRule="auto"/>
      <w:ind w:left="361"/>
      <w:rPr>
        <w:rFonts w:ascii="宋体" w:hAnsi="宋体" w:eastAsia="宋体" w:cs="宋体"/>
        <w:sz w:val="20"/>
        <w:szCs w:val="20"/>
      </w:rPr>
    </w:pPr>
    <w:r>
      <w:pict>
        <v:shape id="_x0000_s2206" o:spid="_x0000_s2206" style="position:absolute;left:0pt;margin-left:90pt;margin-top:57.15pt;height:0.5pt;width:415.3pt;mso-position-horizontal-relative:page;mso-position-vertical-relative:page;z-index:25175347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5324D">
    <w:pPr>
      <w:spacing w:before="55" w:line="228" w:lineRule="auto"/>
      <w:ind w:left="452"/>
      <w:rPr>
        <w:rFonts w:ascii="宋体" w:hAnsi="宋体" w:eastAsia="宋体" w:cs="宋体"/>
        <w:sz w:val="20"/>
        <w:szCs w:val="20"/>
      </w:rPr>
    </w:pPr>
    <w:r>
      <w:pict>
        <v:shape id="_x0000_s2207" o:spid="_x0000_s2207" style="position:absolute;left:0pt;margin-left:90pt;margin-top:57.15pt;height:0.5pt;width:415.3pt;mso-position-horizontal-relative:page;mso-position-vertical-relative:page;z-index:25168896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9C42E">
    <w:pPr>
      <w:spacing w:before="55" w:line="228" w:lineRule="auto"/>
      <w:ind w:left="361"/>
      <w:rPr>
        <w:rFonts w:ascii="宋体" w:hAnsi="宋体" w:eastAsia="宋体" w:cs="宋体"/>
        <w:sz w:val="20"/>
        <w:szCs w:val="20"/>
      </w:rPr>
    </w:pPr>
    <w:r>
      <w:pict>
        <v:shape id="_x0000_s2208" o:spid="_x0000_s2208"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ABBE1">
    <w:pPr>
      <w:spacing w:before="55" w:line="228" w:lineRule="auto"/>
      <w:ind w:left="361"/>
      <w:rPr>
        <w:rFonts w:ascii="宋体" w:hAnsi="宋体" w:eastAsia="宋体" w:cs="宋体"/>
        <w:sz w:val="20"/>
        <w:szCs w:val="20"/>
      </w:rPr>
    </w:pPr>
    <w:r>
      <w:pict>
        <v:shape id="_x0000_s2209" o:spid="_x0000_s2209" style="position:absolute;left:0pt;margin-left:90pt;margin-top:57.15pt;height:0.5pt;width:415.3pt;mso-position-horizontal-relative:page;mso-position-vertical-relative:page;z-index:25172889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B331F">
    <w:pPr>
      <w:spacing w:before="56" w:line="226" w:lineRule="auto"/>
      <w:ind w:left="415"/>
      <w:rPr>
        <w:rFonts w:ascii="宋体" w:hAnsi="宋体" w:eastAsia="宋体" w:cs="宋体"/>
        <w:sz w:val="20"/>
        <w:szCs w:val="20"/>
      </w:rPr>
    </w:pPr>
    <w:r>
      <w:pict>
        <v:shape id="_x0000_s2210" o:spid="_x0000_s2210" style="position:absolute;left:0pt;margin-left:90pt;margin-top:57.15pt;height:0.5pt;width:415.3pt;mso-position-horizontal-relative:page;mso-position-vertical-relative:page;z-index:25175449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39482">
    <w:pPr>
      <w:spacing w:before="55" w:line="228" w:lineRule="auto"/>
      <w:ind w:left="361"/>
      <w:rPr>
        <w:rFonts w:ascii="宋体" w:hAnsi="宋体" w:eastAsia="宋体" w:cs="宋体"/>
        <w:sz w:val="20"/>
        <w:szCs w:val="20"/>
      </w:rPr>
    </w:pPr>
    <w:r>
      <w:pict>
        <v:shape id="_x0000_s2211" o:spid="_x0000_s2211" style="position:absolute;left:0pt;margin-left:90pt;margin-top:57.15pt;height:0.5pt;width:415.3pt;mso-position-horizontal-relative:page;mso-position-vertical-relative:page;z-index:25172889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3603A">
    <w:pPr>
      <w:spacing w:before="55" w:line="228" w:lineRule="auto"/>
      <w:ind w:left="361"/>
      <w:rPr>
        <w:rFonts w:ascii="宋体" w:hAnsi="宋体" w:eastAsia="宋体" w:cs="宋体"/>
        <w:sz w:val="20"/>
        <w:szCs w:val="20"/>
      </w:rPr>
    </w:pPr>
    <w:r>
      <w:pict>
        <v:shape id="_x0000_s2212" o:spid="_x0000_s2212" style="position:absolute;left:0pt;margin-left:90pt;margin-top:57.15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15DF">
    <w:pPr>
      <w:spacing w:before="55" w:line="228" w:lineRule="auto"/>
      <w:ind w:left="3172"/>
      <w:rPr>
        <w:rFonts w:ascii="宋体" w:hAnsi="宋体" w:eastAsia="宋体" w:cs="宋体"/>
        <w:sz w:val="20"/>
        <w:szCs w:val="20"/>
      </w:rPr>
    </w:pPr>
    <w:r>
      <w:pict>
        <v:shape id="_x0000_s2064" o:spid="_x0000_s2064" style="position:absolute;left:0pt;margin-left:72pt;margin-top:57.15pt;height:0.5pt;width:697.95pt;mso-position-horizontal-relative:page;mso-position-vertical-relative:page;z-index:25167462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1B1F">
    <w:pPr>
      <w:spacing w:before="55" w:line="228" w:lineRule="auto"/>
      <w:ind w:left="361"/>
      <w:rPr>
        <w:rFonts w:ascii="宋体" w:hAnsi="宋体" w:eastAsia="宋体" w:cs="宋体"/>
        <w:sz w:val="20"/>
        <w:szCs w:val="20"/>
      </w:rPr>
    </w:pPr>
    <w:r>
      <w:pict>
        <v:shape id="_x0000_s2213" o:spid="_x0000_s2213" style="position:absolute;left:0pt;margin-left:90pt;margin-top:57.15pt;height:0.5pt;width:415.3pt;mso-position-horizontal-relative:page;mso-position-vertical-relative:page;z-index:25175552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D18EF">
    <w:pPr>
      <w:spacing w:before="55" w:line="228" w:lineRule="auto"/>
      <w:ind w:left="460"/>
      <w:rPr>
        <w:rFonts w:ascii="宋体" w:hAnsi="宋体" w:eastAsia="宋体" w:cs="宋体"/>
        <w:sz w:val="20"/>
        <w:szCs w:val="20"/>
      </w:rPr>
    </w:pPr>
    <w:r>
      <w:pict>
        <v:shape id="_x0000_s2214" o:spid="_x0000_s2214"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A28AB">
    <w:pPr>
      <w:spacing w:before="55" w:line="228" w:lineRule="auto"/>
      <w:ind w:left="361"/>
      <w:rPr>
        <w:rFonts w:ascii="宋体" w:hAnsi="宋体" w:eastAsia="宋体" w:cs="宋体"/>
        <w:sz w:val="20"/>
        <w:szCs w:val="20"/>
      </w:rPr>
    </w:pPr>
    <w:r>
      <w:pict>
        <v:shape id="_x0000_s2215" o:spid="_x0000_s2215" style="position:absolute;left:0pt;margin-left:90pt;margin-top:57.15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7FEF7">
    <w:pPr>
      <w:spacing w:before="55" w:line="228" w:lineRule="auto"/>
      <w:ind w:left="3286"/>
      <w:rPr>
        <w:rFonts w:ascii="宋体" w:hAnsi="宋体" w:eastAsia="宋体" w:cs="宋体"/>
        <w:sz w:val="20"/>
        <w:szCs w:val="20"/>
      </w:rPr>
    </w:pPr>
    <w:r>
      <w:pict>
        <v:shape id="_x0000_s2216" o:spid="_x0000_s2216"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32A4D">
    <w:pPr>
      <w:spacing w:before="55" w:line="228" w:lineRule="auto"/>
      <w:ind w:left="577"/>
      <w:rPr>
        <w:rFonts w:ascii="宋体" w:hAnsi="宋体" w:eastAsia="宋体" w:cs="宋体"/>
        <w:sz w:val="20"/>
        <w:szCs w:val="20"/>
      </w:rPr>
    </w:pPr>
    <w:r>
      <w:pict>
        <v:shape id="_x0000_s2217" o:spid="_x0000_s2217" style="position:absolute;left:0pt;margin-left:90pt;margin-top:57.15pt;height:0.5pt;width:415.3pt;mso-position-horizontal-relative:page;mso-position-vertical-relative:page;z-index:25175654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D0C32">
    <w:pPr>
      <w:spacing w:before="55" w:line="228" w:lineRule="auto"/>
      <w:ind w:left="452"/>
      <w:rPr>
        <w:rFonts w:ascii="宋体" w:hAnsi="宋体" w:eastAsia="宋体" w:cs="宋体"/>
        <w:sz w:val="20"/>
        <w:szCs w:val="20"/>
      </w:rPr>
    </w:pPr>
    <w:r>
      <w:pict>
        <v:shape id="_x0000_s2218" o:spid="_x0000_s2218" style="position:absolute;left:0pt;margin-left:90pt;margin-top:57.15pt;height:0.5pt;width:415.3pt;mso-position-horizontal-relative:page;mso-position-vertical-relative:page;z-index:25168896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04E5E">
    <w:pPr>
      <w:spacing w:before="55" w:line="228" w:lineRule="auto"/>
      <w:ind w:left="3286"/>
      <w:rPr>
        <w:rFonts w:ascii="宋体" w:hAnsi="宋体" w:eastAsia="宋体" w:cs="宋体"/>
        <w:sz w:val="20"/>
        <w:szCs w:val="20"/>
      </w:rPr>
    </w:pPr>
    <w:r>
      <w:pict>
        <v:shape id="_x0000_s2219" o:spid="_x0000_s2219" style="position:absolute;left:0pt;margin-left:72pt;margin-top:57.15pt;height:0.5pt;width:697.95pt;mso-position-horizontal-relative:page;mso-position-vertical-relative:page;z-index:251673600;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E71B7">
    <w:pPr>
      <w:spacing w:before="55" w:line="228" w:lineRule="auto"/>
      <w:ind w:left="361"/>
      <w:rPr>
        <w:rFonts w:ascii="宋体" w:hAnsi="宋体" w:eastAsia="宋体" w:cs="宋体"/>
        <w:sz w:val="20"/>
        <w:szCs w:val="20"/>
      </w:rPr>
    </w:pPr>
    <w:r>
      <w:pict>
        <v:shape id="_x0000_s2220" o:spid="_x0000_s2220"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A9E35">
    <w:pPr>
      <w:spacing w:before="55" w:line="228" w:lineRule="auto"/>
      <w:ind w:left="361"/>
      <w:rPr>
        <w:rFonts w:ascii="宋体" w:hAnsi="宋体" w:eastAsia="宋体" w:cs="宋体"/>
        <w:sz w:val="20"/>
        <w:szCs w:val="20"/>
      </w:rPr>
    </w:pPr>
    <w:r>
      <w:pict>
        <v:shape id="_x0000_s2221" o:spid="_x0000_s2221" style="position:absolute;left:0pt;margin-left:90pt;margin-top:57.15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7E408">
    <w:pPr>
      <w:spacing w:before="55" w:line="228" w:lineRule="auto"/>
      <w:ind w:left="361"/>
      <w:rPr>
        <w:rFonts w:ascii="宋体" w:hAnsi="宋体" w:eastAsia="宋体" w:cs="宋体"/>
        <w:sz w:val="20"/>
        <w:szCs w:val="20"/>
      </w:rPr>
    </w:pPr>
    <w:r>
      <w:pict>
        <v:shape id="_x0000_s2222" o:spid="_x0000_s2222"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3636E">
    <w:pPr>
      <w:spacing w:before="55" w:line="228" w:lineRule="auto"/>
      <w:ind w:left="463"/>
      <w:rPr>
        <w:rFonts w:ascii="宋体" w:hAnsi="宋体" w:eastAsia="宋体" w:cs="宋体"/>
        <w:sz w:val="20"/>
        <w:szCs w:val="20"/>
      </w:rPr>
    </w:pPr>
    <w:r>
      <w:pict>
        <v:shape id="_x0000_s2065" o:spid="_x0000_s2065" style="position:absolute;left:0pt;margin-left:89.85pt;margin-top:57.15pt;height:0.5pt;width:415.65pt;mso-position-horizontal-relative:page;mso-position-vertical-relative:page;z-index:2516664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6CC6">
    <w:pPr>
      <w:spacing w:before="55" w:line="228" w:lineRule="auto"/>
      <w:ind w:left="361"/>
      <w:rPr>
        <w:rFonts w:ascii="宋体" w:hAnsi="宋体" w:eastAsia="宋体" w:cs="宋体"/>
        <w:sz w:val="20"/>
        <w:szCs w:val="20"/>
      </w:rPr>
    </w:pPr>
    <w:r>
      <w:pict>
        <v:shape id="_x0000_s2223" o:spid="_x0000_s2223" style="position:absolute;left:0pt;margin-left:90pt;margin-top:57.15pt;height:0.5pt;width:415.3pt;mso-position-horizontal-relative:page;mso-position-vertical-relative:page;z-index:25175756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25CE1">
    <w:pPr>
      <w:spacing w:before="55" w:line="228" w:lineRule="auto"/>
      <w:ind w:left="361"/>
      <w:rPr>
        <w:rFonts w:ascii="宋体" w:hAnsi="宋体" w:eastAsia="宋体" w:cs="宋体"/>
        <w:sz w:val="20"/>
        <w:szCs w:val="20"/>
      </w:rPr>
    </w:pPr>
    <w:r>
      <w:pict>
        <v:shape id="_x0000_s2224" o:spid="_x0000_s2224" style="position:absolute;left:0pt;margin-left:90pt;margin-top:57.15pt;height:0.5pt;width:415.3pt;mso-position-horizontal-relative:page;mso-position-vertical-relative:page;z-index:25172172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64734">
    <w:pPr>
      <w:spacing w:before="55" w:line="228" w:lineRule="auto"/>
      <w:ind w:left="361"/>
      <w:rPr>
        <w:rFonts w:ascii="宋体" w:hAnsi="宋体" w:eastAsia="宋体" w:cs="宋体"/>
        <w:sz w:val="20"/>
        <w:szCs w:val="20"/>
      </w:rPr>
    </w:pPr>
    <w:r>
      <w:pict>
        <v:shape id="_x0000_s2225" o:spid="_x0000_s2225"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BEBBF">
    <w:pPr>
      <w:spacing w:before="55" w:line="228" w:lineRule="auto"/>
      <w:ind w:left="361"/>
      <w:rPr>
        <w:rFonts w:ascii="宋体" w:hAnsi="宋体" w:eastAsia="宋体" w:cs="宋体"/>
        <w:sz w:val="20"/>
        <w:szCs w:val="20"/>
      </w:rPr>
    </w:pPr>
    <w:r>
      <w:pict>
        <v:shape id="_x0000_s2226" o:spid="_x0000_s2226" style="position:absolute;left:0pt;margin-left:90pt;margin-top:57.15pt;height:0.5pt;width:415.3pt;mso-position-horizontal-relative:page;mso-position-vertical-relative:page;z-index:25175859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F85E4">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97FBE">
    <w:pPr>
      <w:spacing w:before="55" w:line="228" w:lineRule="auto"/>
      <w:ind w:left="361"/>
      <w:rPr>
        <w:rFonts w:ascii="宋体" w:hAnsi="宋体" w:eastAsia="宋体" w:cs="宋体"/>
        <w:sz w:val="20"/>
        <w:szCs w:val="20"/>
      </w:rPr>
    </w:pPr>
    <w:r>
      <w:pict>
        <v:shape id="_x0000_s2066" o:spid="_x0000_s2066"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FF82">
    <w:pPr>
      <w:spacing w:before="55" w:line="228" w:lineRule="auto"/>
      <w:ind w:left="361"/>
      <w:rPr>
        <w:rFonts w:ascii="宋体" w:hAnsi="宋体" w:eastAsia="宋体" w:cs="宋体"/>
        <w:sz w:val="20"/>
        <w:szCs w:val="20"/>
      </w:rPr>
    </w:pPr>
    <w:r>
      <w:pict>
        <v:shape id="_x0000_s2049" o:spid="_x0000_s2049"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B8EE">
    <w:pPr>
      <w:spacing w:before="55" w:line="228" w:lineRule="auto"/>
      <w:ind w:left="497"/>
      <w:rPr>
        <w:rFonts w:ascii="宋体" w:hAnsi="宋体" w:eastAsia="宋体" w:cs="宋体"/>
        <w:sz w:val="20"/>
        <w:szCs w:val="20"/>
      </w:rPr>
    </w:pPr>
    <w:r>
      <w:pict>
        <v:shape id="_x0000_s2067" o:spid="_x0000_s2067" style="position:absolute;left:0pt;margin-left:89.85pt;margin-top:57.15pt;height:0.5pt;width:415.65pt;mso-position-horizontal-relative:page;mso-position-vertical-relative:page;z-index:25167564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465C">
    <w:pPr>
      <w:spacing w:before="55" w:line="228" w:lineRule="auto"/>
      <w:ind w:left="452"/>
      <w:rPr>
        <w:rFonts w:ascii="宋体" w:hAnsi="宋体" w:eastAsia="宋体" w:cs="宋体"/>
        <w:sz w:val="20"/>
        <w:szCs w:val="20"/>
      </w:rPr>
    </w:pPr>
    <w:r>
      <w:pict>
        <v:shape id="_x0000_s2068" o:spid="_x0000_s2068" style="position:absolute;left:0pt;margin-left:89.85pt;margin-top:57.15pt;height:0.5pt;width:415.65pt;mso-position-horizontal-relative:page;mso-position-vertical-relative:page;z-index:251663360;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7224">
    <w:pPr>
      <w:spacing w:before="55" w:line="228" w:lineRule="auto"/>
      <w:ind w:left="364"/>
      <w:rPr>
        <w:rFonts w:ascii="宋体" w:hAnsi="宋体" w:eastAsia="宋体" w:cs="宋体"/>
        <w:sz w:val="20"/>
        <w:szCs w:val="20"/>
      </w:rPr>
    </w:pPr>
    <w:r>
      <w:pict>
        <v:shape id="_x0000_s2069" o:spid="_x0000_s2069" style="position:absolute;left:0pt;margin-left:89.85pt;margin-top:57.15pt;height:0.5pt;width:415.65pt;mso-position-horizontal-relative:page;mso-position-vertical-relative:page;z-index:25167667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3B636">
    <w:pPr>
      <w:spacing w:before="55" w:line="228" w:lineRule="auto"/>
      <w:ind w:left="463"/>
      <w:rPr>
        <w:rFonts w:ascii="宋体" w:hAnsi="宋体" w:eastAsia="宋体" w:cs="宋体"/>
        <w:sz w:val="20"/>
        <w:szCs w:val="20"/>
      </w:rPr>
    </w:pPr>
    <w:r>
      <w:pict>
        <v:shape id="_x0000_s2070" o:spid="_x0000_s2070" style="position:absolute;left:0pt;margin-left:89.85pt;margin-top:57.15pt;height:0.5pt;width:415.65pt;mso-position-horizontal-relative:page;mso-position-vertical-relative:page;z-index:25167769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F5EF7">
    <w:pPr>
      <w:spacing w:before="55" w:line="228" w:lineRule="auto"/>
      <w:ind w:left="463"/>
      <w:rPr>
        <w:rFonts w:ascii="宋体" w:hAnsi="宋体" w:eastAsia="宋体" w:cs="宋体"/>
        <w:sz w:val="20"/>
        <w:szCs w:val="20"/>
      </w:rPr>
    </w:pPr>
    <w:r>
      <w:pict>
        <v:shape id="_x0000_s2071" o:spid="_x0000_s2071" style="position:absolute;left:0pt;margin-left:89.85pt;margin-top:57.15pt;height:0.5pt;width:415.65pt;mso-position-horizontal-relative:page;mso-position-vertical-relative:page;z-index:251678720;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3D112">
    <w:pPr>
      <w:spacing w:before="55" w:line="228" w:lineRule="auto"/>
      <w:ind w:left="451"/>
      <w:rPr>
        <w:rFonts w:ascii="宋体" w:hAnsi="宋体" w:eastAsia="宋体" w:cs="宋体"/>
        <w:sz w:val="20"/>
        <w:szCs w:val="20"/>
      </w:rPr>
    </w:pPr>
    <w:r>
      <w:pict>
        <v:shape id="_x0000_s2072" o:spid="_x0000_s2072" style="position:absolute;left:0pt;margin-left:89.85pt;margin-top:57.15pt;height:0.5pt;width:415.65pt;mso-position-horizontal-relative:page;mso-position-vertical-relative:page;z-index:251679744;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BF109">
    <w:pPr>
      <w:spacing w:before="55" w:line="228" w:lineRule="auto"/>
      <w:ind w:left="361"/>
      <w:rPr>
        <w:rFonts w:ascii="宋体" w:hAnsi="宋体" w:eastAsia="宋体" w:cs="宋体"/>
        <w:sz w:val="20"/>
        <w:szCs w:val="20"/>
      </w:rPr>
    </w:pPr>
    <w:r>
      <w:pict>
        <v:shape id="_x0000_s2073" o:spid="_x0000_s2073"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71808">
    <w:pPr>
      <w:spacing w:before="55" w:line="228" w:lineRule="auto"/>
      <w:ind w:left="3172"/>
      <w:rPr>
        <w:rFonts w:ascii="宋体" w:hAnsi="宋体" w:eastAsia="宋体" w:cs="宋体"/>
        <w:sz w:val="20"/>
        <w:szCs w:val="20"/>
      </w:rPr>
    </w:pPr>
    <w:r>
      <w:pict>
        <v:shape id="_x0000_s2074" o:spid="_x0000_s2074" style="position:absolute;left:0pt;margin-left:72pt;margin-top:57.15pt;height:0.5pt;width:697.95pt;mso-position-horizontal-relative:page;mso-position-vertical-relative:page;z-index:25167462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F66AA">
    <w:pPr>
      <w:spacing w:before="55" w:line="228" w:lineRule="auto"/>
      <w:ind w:left="361"/>
      <w:rPr>
        <w:rFonts w:ascii="宋体" w:hAnsi="宋体" w:eastAsia="宋体" w:cs="宋体"/>
        <w:sz w:val="20"/>
        <w:szCs w:val="20"/>
      </w:rPr>
    </w:pPr>
    <w:r>
      <w:pict>
        <v:shape id="_x0000_s2075" o:spid="_x0000_s2075"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ECA5">
    <w:pPr>
      <w:spacing w:before="55" w:line="228" w:lineRule="auto"/>
      <w:ind w:left="361"/>
      <w:rPr>
        <w:rFonts w:ascii="宋体" w:hAnsi="宋体" w:eastAsia="宋体" w:cs="宋体"/>
        <w:sz w:val="20"/>
        <w:szCs w:val="20"/>
      </w:rPr>
    </w:pPr>
    <w:r>
      <w:pict>
        <v:shape id="_x0000_s2076" o:spid="_x0000_s2076" style="position:absolute;left:0pt;margin-left:89.85pt;margin-top:57.15pt;height:0.5pt;width:415.65pt;mso-position-horizontal-relative:page;mso-position-vertical-relative:page;z-index:25168076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40C47">
    <w:pPr>
      <w:spacing w:before="55" w:line="228" w:lineRule="auto"/>
      <w:ind w:left="361"/>
      <w:rPr>
        <w:rFonts w:ascii="宋体" w:hAnsi="宋体" w:eastAsia="宋体" w:cs="宋体"/>
        <w:sz w:val="20"/>
        <w:szCs w:val="20"/>
      </w:rPr>
    </w:pPr>
    <w:r>
      <w:pict>
        <v:shape id="_x0000_s2050" o:spid="_x0000_s2050" style="position:absolute;left:0pt;margin-left:89.85pt;margin-top:57.15pt;height:0.5pt;width:415.65pt;mso-position-horizontal-relative:page;mso-position-vertical-relative:page;z-index:25166233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DEDF9">
    <w:pPr>
      <w:spacing w:before="55" w:line="228" w:lineRule="auto"/>
      <w:ind w:left="3205"/>
      <w:rPr>
        <w:rFonts w:ascii="宋体" w:hAnsi="宋体" w:eastAsia="宋体" w:cs="宋体"/>
        <w:sz w:val="20"/>
        <w:szCs w:val="20"/>
      </w:rPr>
    </w:pPr>
    <w:r>
      <w:pict>
        <v:shape id="_x0000_s2077" o:spid="_x0000_s2077" style="position:absolute;left:0pt;margin-left:72pt;margin-top:57.15pt;height:0.5pt;width:697.95pt;mso-position-horizontal-relative:page;mso-position-vertical-relative:page;z-index:251681792;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668A3">
    <w:pPr>
      <w:spacing w:before="55" w:line="228" w:lineRule="auto"/>
      <w:ind w:left="361"/>
      <w:rPr>
        <w:rFonts w:ascii="宋体" w:hAnsi="宋体" w:eastAsia="宋体" w:cs="宋体"/>
        <w:sz w:val="20"/>
        <w:szCs w:val="20"/>
      </w:rPr>
    </w:pPr>
    <w:r>
      <w:pict>
        <v:shape id="_x0000_s2078" o:spid="_x0000_s2078"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C4C5A">
    <w:pPr>
      <w:spacing w:before="55" w:line="228" w:lineRule="auto"/>
      <w:ind w:left="463"/>
      <w:rPr>
        <w:rFonts w:ascii="宋体" w:hAnsi="宋体" w:eastAsia="宋体" w:cs="宋体"/>
        <w:sz w:val="20"/>
        <w:szCs w:val="20"/>
      </w:rPr>
    </w:pPr>
    <w:r>
      <w:pict>
        <v:shape id="_x0000_s2079" o:spid="_x0000_s2079" style="position:absolute;left:0pt;margin-left:89.85pt;margin-top:57.15pt;height:0.5pt;width:415.65pt;mso-position-horizontal-relative:page;mso-position-vertical-relative:page;z-index:2516664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F1296">
    <w:pPr>
      <w:spacing w:before="55" w:line="228" w:lineRule="auto"/>
      <w:ind w:left="452"/>
      <w:rPr>
        <w:rFonts w:ascii="宋体" w:hAnsi="宋体" w:eastAsia="宋体" w:cs="宋体"/>
        <w:sz w:val="20"/>
        <w:szCs w:val="20"/>
      </w:rPr>
    </w:pPr>
    <w:r>
      <w:pict>
        <v:shape id="_x0000_s2080" o:spid="_x0000_s2080" style="position:absolute;left:0pt;margin-left:89.85pt;margin-top:57.15pt;height:0.5pt;width:415.65pt;mso-position-horizontal-relative:page;mso-position-vertical-relative:page;z-index:251663360;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15C65">
    <w:pPr>
      <w:spacing w:before="55" w:line="228" w:lineRule="auto"/>
      <w:ind w:left="463"/>
      <w:rPr>
        <w:rFonts w:ascii="宋体" w:hAnsi="宋体" w:eastAsia="宋体" w:cs="宋体"/>
        <w:sz w:val="20"/>
        <w:szCs w:val="20"/>
      </w:rPr>
    </w:pPr>
    <w:r>
      <w:pict>
        <v:shape id="_x0000_s2081" o:spid="_x0000_s2081" style="position:absolute;left:0pt;margin-left:89.85pt;margin-top:57.15pt;height:0.5pt;width:415.65pt;mso-position-horizontal-relative:page;mso-position-vertical-relative:page;z-index:2516664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81174">
    <w:pPr>
      <w:spacing w:before="55" w:line="228" w:lineRule="auto"/>
      <w:ind w:left="361"/>
      <w:rPr>
        <w:rFonts w:ascii="宋体" w:hAnsi="宋体" w:eastAsia="宋体" w:cs="宋体"/>
        <w:sz w:val="20"/>
        <w:szCs w:val="20"/>
      </w:rPr>
    </w:pPr>
    <w:r>
      <w:pict>
        <v:shape id="_x0000_s2082" o:spid="_x0000_s2082"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24DFF">
    <w:pPr>
      <w:spacing w:before="56" w:line="226" w:lineRule="auto"/>
      <w:ind w:left="3340"/>
      <w:rPr>
        <w:rFonts w:ascii="宋体" w:hAnsi="宋体" w:eastAsia="宋体" w:cs="宋体"/>
        <w:sz w:val="20"/>
        <w:szCs w:val="20"/>
      </w:rPr>
    </w:pPr>
    <w:r>
      <w:pict>
        <v:shape id="_x0000_s2083" o:spid="_x0000_s2083" style="position:absolute;left:0pt;margin-left:72pt;margin-top:57.15pt;height:0.5pt;width:697.95pt;mso-position-horizontal-relative:page;mso-position-vertical-relative:page;z-index:25168486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BD012">
    <w:pPr>
      <w:spacing w:before="55" w:line="228" w:lineRule="auto"/>
      <w:ind w:left="361"/>
      <w:rPr>
        <w:rFonts w:ascii="宋体" w:hAnsi="宋体" w:eastAsia="宋体" w:cs="宋体"/>
        <w:sz w:val="20"/>
        <w:szCs w:val="20"/>
      </w:rPr>
    </w:pPr>
    <w:r>
      <w:pict>
        <v:shape id="_x0000_s2084" o:spid="_x0000_s2084"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01AB9">
    <w:pPr>
      <w:spacing w:before="56" w:line="226" w:lineRule="auto"/>
      <w:ind w:left="3285"/>
      <w:rPr>
        <w:rFonts w:ascii="宋体" w:hAnsi="宋体" w:eastAsia="宋体" w:cs="宋体"/>
        <w:sz w:val="20"/>
        <w:szCs w:val="20"/>
      </w:rPr>
    </w:pPr>
    <w:r>
      <w:pict>
        <v:shape id="_x0000_s2085" o:spid="_x0000_s2085" style="position:absolute;left:0pt;margin-left:72pt;margin-top:57.15pt;height:0.5pt;width:697.95pt;mso-position-horizontal-relative:page;mso-position-vertical-relative:page;z-index:251686912;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E5D">
    <w:pPr>
      <w:spacing w:before="55" w:line="228" w:lineRule="auto"/>
      <w:ind w:left="361"/>
      <w:rPr>
        <w:rFonts w:ascii="宋体" w:hAnsi="宋体" w:eastAsia="宋体" w:cs="宋体"/>
        <w:sz w:val="20"/>
        <w:szCs w:val="20"/>
      </w:rPr>
    </w:pPr>
    <w:r>
      <w:pict>
        <v:shape id="_x0000_s2086" o:spid="_x0000_s2086"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AC02A">
    <w:pPr>
      <w:spacing w:before="55" w:line="228" w:lineRule="auto"/>
      <w:ind w:left="452"/>
      <w:rPr>
        <w:rFonts w:ascii="宋体" w:hAnsi="宋体" w:eastAsia="宋体" w:cs="宋体"/>
        <w:sz w:val="20"/>
        <w:szCs w:val="20"/>
      </w:rPr>
    </w:pPr>
    <w:r>
      <w:pict>
        <v:shape id="_x0000_s2051" o:spid="_x0000_s2051" style="position:absolute;left:0pt;margin-left:89.85pt;margin-top:57.15pt;height:0.5pt;width:415.65pt;mso-position-horizontal-relative:page;mso-position-vertical-relative:page;z-index:251663360;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9D51A">
    <w:pPr>
      <w:spacing w:before="55" w:line="228" w:lineRule="auto"/>
      <w:ind w:left="3172"/>
      <w:rPr>
        <w:rFonts w:ascii="宋体" w:hAnsi="宋体" w:eastAsia="宋体" w:cs="宋体"/>
        <w:sz w:val="20"/>
        <w:szCs w:val="20"/>
      </w:rPr>
    </w:pPr>
    <w:r>
      <w:pict>
        <v:shape id="_x0000_s2087" o:spid="_x0000_s2087" style="position:absolute;left:0pt;margin-left:72pt;margin-top:57.15pt;height:0.5pt;width:697.95pt;mso-position-horizontal-relative:page;mso-position-vertical-relative:page;z-index:25167462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AA33">
    <w:pPr>
      <w:spacing w:before="55" w:line="228" w:lineRule="auto"/>
      <w:ind w:left="460"/>
      <w:rPr>
        <w:rFonts w:ascii="宋体" w:hAnsi="宋体" w:eastAsia="宋体" w:cs="宋体"/>
        <w:sz w:val="20"/>
        <w:szCs w:val="20"/>
      </w:rPr>
    </w:pPr>
    <w:r>
      <w:pict>
        <v:shape id="_x0000_s2088" o:spid="_x0000_s2088" style="position:absolute;left:0pt;margin-left:90pt;margin-top:57.15pt;height:0.5pt;width:415.3pt;mso-position-horizontal-relative:page;mso-position-vertical-relative:page;z-index:25168793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BB860">
    <w:pPr>
      <w:spacing w:before="55" w:line="228" w:lineRule="auto"/>
      <w:ind w:left="452"/>
      <w:rPr>
        <w:rFonts w:ascii="宋体" w:hAnsi="宋体" w:eastAsia="宋体" w:cs="宋体"/>
        <w:sz w:val="20"/>
        <w:szCs w:val="20"/>
      </w:rPr>
    </w:pPr>
    <w:r>
      <w:pict>
        <v:shape id="_x0000_s2089" o:spid="_x0000_s2089" style="position:absolute;left:0pt;margin-left:90pt;margin-top:57.15pt;height:0.5pt;width:415.3pt;mso-position-horizontal-relative:page;mso-position-vertical-relative:page;z-index:25168896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347CF">
    <w:pPr>
      <w:spacing w:before="55" w:line="228" w:lineRule="auto"/>
      <w:ind w:left="3172"/>
      <w:rPr>
        <w:rFonts w:ascii="宋体" w:hAnsi="宋体" w:eastAsia="宋体" w:cs="宋体"/>
        <w:sz w:val="20"/>
        <w:szCs w:val="20"/>
      </w:rPr>
    </w:pPr>
    <w:r>
      <w:pict>
        <v:shape id="_x0000_s2090" o:spid="_x0000_s2090" style="position:absolute;left:0pt;margin-left:72pt;margin-top:57.15pt;height:0.5pt;width:697.95pt;mso-position-horizontal-relative:page;mso-position-vertical-relative:page;z-index:25167462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26BE4">
    <w:pPr>
      <w:spacing w:before="55" w:line="228" w:lineRule="auto"/>
      <w:ind w:left="3172"/>
      <w:rPr>
        <w:rFonts w:ascii="宋体" w:hAnsi="宋体" w:eastAsia="宋体" w:cs="宋体"/>
        <w:sz w:val="20"/>
        <w:szCs w:val="20"/>
      </w:rPr>
    </w:pPr>
    <w:r>
      <w:pict>
        <v:shape id="_x0000_s2091" o:spid="_x0000_s2091" style="position:absolute;left:0pt;margin-left:72pt;margin-top:57.15pt;height:0.5pt;width:697.95pt;mso-position-horizontal-relative:page;mso-position-vertical-relative:page;z-index:25168998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7EF9C">
    <w:pPr>
      <w:spacing w:before="55" w:line="228" w:lineRule="auto"/>
      <w:ind w:left="474"/>
      <w:rPr>
        <w:rFonts w:ascii="宋体" w:hAnsi="宋体" w:eastAsia="宋体" w:cs="宋体"/>
        <w:sz w:val="20"/>
        <w:szCs w:val="20"/>
      </w:rPr>
    </w:pPr>
    <w:r>
      <w:pict>
        <v:shape id="_x0000_s2092" o:spid="_x0000_s2092" style="position:absolute;left:0pt;margin-left:89.85pt;margin-top:57.15pt;height:0.5pt;width:415.65pt;mso-position-horizontal-relative:page;mso-position-vertical-relative:page;z-index:25169100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7DB79">
    <w:pPr>
      <w:spacing w:before="55" w:line="228" w:lineRule="auto"/>
      <w:ind w:left="452"/>
      <w:rPr>
        <w:rFonts w:ascii="宋体" w:hAnsi="宋体" w:eastAsia="宋体" w:cs="宋体"/>
        <w:sz w:val="20"/>
        <w:szCs w:val="20"/>
      </w:rPr>
    </w:pPr>
    <w:r>
      <w:pict>
        <v:shape id="_x0000_s2093" o:spid="_x0000_s2093" style="position:absolute;left:0pt;margin-left:89.85pt;margin-top:57.15pt;height:0.5pt;width:415.65pt;mso-position-horizontal-relative:page;mso-position-vertical-relative:page;z-index:251663360;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67B21">
    <w:pPr>
      <w:spacing w:before="55" w:line="228" w:lineRule="auto"/>
      <w:ind w:left="454"/>
      <w:rPr>
        <w:rFonts w:ascii="宋体" w:hAnsi="宋体" w:eastAsia="宋体" w:cs="宋体"/>
        <w:sz w:val="20"/>
        <w:szCs w:val="20"/>
      </w:rPr>
    </w:pPr>
    <w:r>
      <w:pict>
        <v:shape id="_x0000_s2094" o:spid="_x0000_s2094" style="position:absolute;left:0pt;margin-left:89.85pt;margin-top:57.15pt;height:0.5pt;width:415.65pt;mso-position-horizontal-relative:page;mso-position-vertical-relative:page;z-index:2516920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4A758">
    <w:pPr>
      <w:spacing w:before="55" w:line="228" w:lineRule="auto"/>
      <w:ind w:left="454"/>
      <w:rPr>
        <w:rFonts w:ascii="宋体" w:hAnsi="宋体" w:eastAsia="宋体" w:cs="宋体"/>
        <w:sz w:val="20"/>
        <w:szCs w:val="20"/>
      </w:rPr>
    </w:pPr>
    <w:r>
      <w:pict>
        <v:shape id="_x0000_s2095" o:spid="_x0000_s2095" style="position:absolute;left:0pt;margin-left:89.85pt;margin-top:57.15pt;height:0.5pt;width:415.65pt;mso-position-horizontal-relative:page;mso-position-vertical-relative:page;z-index:25169305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3C9FB">
    <w:pPr>
      <w:spacing w:before="55" w:line="228" w:lineRule="auto"/>
      <w:ind w:left="361"/>
      <w:rPr>
        <w:rFonts w:ascii="宋体" w:hAnsi="宋体" w:eastAsia="宋体" w:cs="宋体"/>
        <w:sz w:val="20"/>
        <w:szCs w:val="20"/>
      </w:rPr>
    </w:pPr>
    <w:r>
      <w:pict>
        <v:shape id="_x0000_s2096" o:spid="_x0000_s2096" style="position:absolute;left:0pt;margin-left:89.85pt;margin-top:57.15pt;height:0.5pt;width:415.65pt;mso-position-horizontal-relative:page;mso-position-vertical-relative:page;z-index:251694080;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2334">
    <w:pPr>
      <w:spacing w:before="55" w:line="228" w:lineRule="auto"/>
      <w:ind w:left="491"/>
      <w:rPr>
        <w:rFonts w:ascii="宋体" w:hAnsi="宋体" w:eastAsia="宋体" w:cs="宋体"/>
        <w:sz w:val="20"/>
        <w:szCs w:val="20"/>
      </w:rPr>
    </w:pPr>
    <w:r>
      <w:pict>
        <v:shape id="_x0000_s2052" o:spid="_x0000_s2052" style="position:absolute;left:0pt;margin-left:89.85pt;margin-top:57.15pt;height:0.5pt;width:415.65pt;mso-position-horizontal-relative:page;mso-position-vertical-relative:page;z-index:251664384;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D0308">
    <w:pPr>
      <w:spacing w:before="55" w:line="228" w:lineRule="auto"/>
      <w:ind w:left="361"/>
      <w:rPr>
        <w:rFonts w:ascii="宋体" w:hAnsi="宋体" w:eastAsia="宋体" w:cs="宋体"/>
        <w:sz w:val="20"/>
        <w:szCs w:val="20"/>
      </w:rPr>
    </w:pPr>
    <w:r>
      <w:pict>
        <v:shape id="_x0000_s2097" o:spid="_x0000_s2097"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B7CF1">
    <w:pPr>
      <w:spacing w:before="55" w:line="228" w:lineRule="auto"/>
      <w:ind w:left="361"/>
      <w:rPr>
        <w:rFonts w:ascii="宋体" w:hAnsi="宋体" w:eastAsia="宋体" w:cs="宋体"/>
        <w:sz w:val="20"/>
        <w:szCs w:val="20"/>
      </w:rPr>
    </w:pPr>
    <w:r>
      <w:pict>
        <v:shape id="_x0000_s2098" o:spid="_x0000_s2098" style="position:absolute;left:0pt;margin-left:89.85pt;margin-top:57.15pt;height:0.5pt;width:415.65pt;mso-position-horizontal-relative:page;mso-position-vertical-relative:page;z-index:25169612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45A5">
    <w:pPr>
      <w:spacing w:before="55" w:line="228" w:lineRule="auto"/>
      <w:ind w:left="361"/>
      <w:rPr>
        <w:rFonts w:ascii="宋体" w:hAnsi="宋体" w:eastAsia="宋体" w:cs="宋体"/>
        <w:sz w:val="20"/>
        <w:szCs w:val="20"/>
      </w:rPr>
    </w:pPr>
    <w:r>
      <w:pict>
        <v:shape id="_x0000_s2099" o:spid="_x0000_s2099" style="position:absolute;left:0pt;margin-left:89.85pt;margin-top:57.15pt;height:0.5pt;width:415.65pt;mso-position-horizontal-relative:page;mso-position-vertical-relative:page;z-index:25168076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5511">
    <w:pPr>
      <w:spacing w:before="55" w:line="228" w:lineRule="auto"/>
      <w:ind w:left="361"/>
      <w:rPr>
        <w:rFonts w:ascii="宋体" w:hAnsi="宋体" w:eastAsia="宋体" w:cs="宋体"/>
        <w:sz w:val="20"/>
        <w:szCs w:val="20"/>
      </w:rPr>
    </w:pPr>
    <w:r>
      <w:pict>
        <v:shape id="_x0000_s2100" o:spid="_x0000_s2100" style="position:absolute;left:0pt;margin-left:89.85pt;margin-top:57.15pt;height:0.5pt;width:415.65pt;mso-position-horizontal-relative:page;mso-position-vertical-relative:page;z-index:25169817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F09D">
    <w:pPr>
      <w:spacing w:before="56" w:line="226" w:lineRule="auto"/>
      <w:ind w:left="3285"/>
      <w:rPr>
        <w:rFonts w:ascii="宋体" w:hAnsi="宋体" w:eastAsia="宋体" w:cs="宋体"/>
        <w:sz w:val="20"/>
        <w:szCs w:val="20"/>
      </w:rPr>
    </w:pPr>
    <w:r>
      <w:pict>
        <v:shape id="_x0000_s2101" o:spid="_x0000_s2101" style="position:absolute;left:0pt;margin-left:72pt;margin-top:57.15pt;height:0.5pt;width:697.95pt;mso-position-horizontal-relative:page;mso-position-vertical-relative:page;z-index:251699200;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9C7F7">
    <w:pPr>
      <w:spacing w:before="55" w:line="228" w:lineRule="auto"/>
      <w:ind w:left="361"/>
      <w:rPr>
        <w:rFonts w:ascii="宋体" w:hAnsi="宋体" w:eastAsia="宋体" w:cs="宋体"/>
        <w:sz w:val="20"/>
        <w:szCs w:val="20"/>
      </w:rPr>
    </w:pPr>
    <w:r>
      <w:pict>
        <v:shape id="_x0000_s2102" o:spid="_x0000_s2102"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B1D12">
    <w:pPr>
      <w:spacing w:before="56" w:line="226" w:lineRule="auto"/>
      <w:ind w:left="3367"/>
      <w:rPr>
        <w:rFonts w:ascii="宋体" w:hAnsi="宋体" w:eastAsia="宋体" w:cs="宋体"/>
        <w:sz w:val="20"/>
        <w:szCs w:val="20"/>
      </w:rPr>
    </w:pPr>
    <w:r>
      <w:pict>
        <v:shape id="_x0000_s2103" o:spid="_x0000_s2103" style="position:absolute;left:0pt;margin-left:72pt;margin-top:57.15pt;height:0.5pt;width:697.95pt;mso-position-horizontal-relative:page;mso-position-vertical-relative:page;z-index:251701248;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128C7">
    <w:pPr>
      <w:spacing w:before="55" w:line="228" w:lineRule="auto"/>
      <w:ind w:left="361"/>
      <w:rPr>
        <w:rFonts w:ascii="宋体" w:hAnsi="宋体" w:eastAsia="宋体" w:cs="宋体"/>
        <w:sz w:val="20"/>
        <w:szCs w:val="20"/>
      </w:rPr>
    </w:pPr>
    <w:r>
      <w:pict>
        <v:shape id="_x0000_s2104" o:spid="_x0000_s2104"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965F1">
    <w:pPr>
      <w:spacing w:before="55" w:line="228" w:lineRule="auto"/>
      <w:ind w:left="555"/>
      <w:rPr>
        <w:rFonts w:ascii="宋体" w:hAnsi="宋体" w:eastAsia="宋体" w:cs="宋体"/>
        <w:sz w:val="20"/>
        <w:szCs w:val="20"/>
      </w:rPr>
    </w:pPr>
    <w:r>
      <w:pict>
        <v:shape id="_x0000_s2105" o:spid="_x0000_s2105" style="position:absolute;left:0pt;margin-left:89.85pt;margin-top:57.15pt;height:0.5pt;width:415.65pt;mso-position-horizontal-relative:page;mso-position-vertical-relative:page;z-index:25170227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F270A">
    <w:pPr>
      <w:spacing w:before="56" w:line="226" w:lineRule="auto"/>
      <w:ind w:left="463"/>
      <w:rPr>
        <w:rFonts w:ascii="宋体" w:hAnsi="宋体" w:eastAsia="宋体" w:cs="宋体"/>
        <w:sz w:val="20"/>
        <w:szCs w:val="20"/>
      </w:rPr>
    </w:pPr>
    <w:r>
      <w:pict>
        <v:shape id="_x0000_s2106" o:spid="_x0000_s2106" style="position:absolute;left:0pt;margin-left:89.85pt;margin-top:57.15pt;height:0.5pt;width:415.65pt;mso-position-horizontal-relative:page;mso-position-vertical-relative:page;z-index:25170329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27653">
    <w:pPr>
      <w:spacing w:before="55" w:line="228" w:lineRule="auto"/>
      <w:ind w:left="491"/>
      <w:rPr>
        <w:rFonts w:ascii="宋体" w:hAnsi="宋体" w:eastAsia="宋体" w:cs="宋体"/>
        <w:sz w:val="20"/>
        <w:szCs w:val="20"/>
      </w:rPr>
    </w:pPr>
    <w:r>
      <w:pict>
        <v:shape id="_x0000_s2053" o:spid="_x0000_s2053" style="position:absolute;left:0pt;margin-left:89.85pt;margin-top:57.15pt;height:0.5pt;width:415.65pt;mso-position-horizontal-relative:page;mso-position-vertical-relative:page;z-index:25166540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D86DA">
    <w:pPr>
      <w:spacing w:before="55" w:line="228" w:lineRule="auto"/>
      <w:ind w:left="361"/>
      <w:rPr>
        <w:rFonts w:ascii="宋体" w:hAnsi="宋体" w:eastAsia="宋体" w:cs="宋体"/>
        <w:sz w:val="20"/>
        <w:szCs w:val="20"/>
      </w:rPr>
    </w:pPr>
    <w:r>
      <w:pict>
        <v:shape id="_x0000_s2107" o:spid="_x0000_s2107"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E4EB2">
    <w:pPr>
      <w:spacing w:before="55" w:line="228" w:lineRule="auto"/>
      <w:ind w:left="3172"/>
      <w:rPr>
        <w:rFonts w:ascii="宋体" w:hAnsi="宋体" w:eastAsia="宋体" w:cs="宋体"/>
        <w:sz w:val="20"/>
        <w:szCs w:val="20"/>
      </w:rPr>
    </w:pPr>
    <w:r>
      <w:pict>
        <v:shape id="_x0000_s2108" o:spid="_x0000_s2108" style="position:absolute;left:0pt;margin-left:72pt;margin-top:57.15pt;height:0.5pt;width:697.95pt;mso-position-horizontal-relative:page;mso-position-vertical-relative:page;z-index:25167462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54D1A">
    <w:pPr>
      <w:spacing w:before="55" w:line="228" w:lineRule="auto"/>
      <w:ind w:left="361"/>
      <w:rPr>
        <w:rFonts w:ascii="宋体" w:hAnsi="宋体" w:eastAsia="宋体" w:cs="宋体"/>
        <w:sz w:val="20"/>
        <w:szCs w:val="20"/>
      </w:rPr>
    </w:pPr>
    <w:r>
      <w:pict>
        <v:shape id="_x0000_s2109" o:spid="_x0000_s2109"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00E27">
    <w:pPr>
      <w:spacing w:before="56" w:line="226" w:lineRule="auto"/>
      <w:ind w:left="463"/>
      <w:rPr>
        <w:rFonts w:ascii="宋体" w:hAnsi="宋体" w:eastAsia="宋体" w:cs="宋体"/>
        <w:sz w:val="20"/>
        <w:szCs w:val="20"/>
      </w:rPr>
    </w:pPr>
    <w:r>
      <w:pict>
        <v:shape id="_x0000_s2110" o:spid="_x0000_s2110" style="position:absolute;left:0pt;margin-left:89.85pt;margin-top:57.15pt;height:0.5pt;width:415.65pt;mso-position-horizontal-relative:page;mso-position-vertical-relative:page;z-index:25170329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2DD4B">
    <w:pPr>
      <w:spacing w:before="55" w:line="228" w:lineRule="auto"/>
      <w:ind w:left="665"/>
      <w:rPr>
        <w:rFonts w:ascii="宋体" w:hAnsi="宋体" w:eastAsia="宋体" w:cs="宋体"/>
        <w:sz w:val="20"/>
        <w:szCs w:val="20"/>
      </w:rPr>
    </w:pPr>
    <w:r>
      <w:pict>
        <v:shape id="_x0000_s2111" o:spid="_x0000_s2111" style="position:absolute;left:0pt;margin-left:89.85pt;margin-top:57.15pt;height:0.5pt;width:415.65pt;mso-position-horizontal-relative:page;mso-position-vertical-relative:page;z-index:251704320;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58A4E">
    <w:pPr>
      <w:spacing w:before="55" w:line="228" w:lineRule="auto"/>
      <w:ind w:left="3172"/>
      <w:rPr>
        <w:rFonts w:ascii="宋体" w:hAnsi="宋体" w:eastAsia="宋体" w:cs="宋体"/>
        <w:sz w:val="20"/>
        <w:szCs w:val="20"/>
      </w:rPr>
    </w:pPr>
    <w:r>
      <w:pict>
        <v:shape id="_x0000_s2112" o:spid="_x0000_s2112" style="position:absolute;left:0pt;margin-left:72pt;margin-top:57.15pt;height:0.5pt;width:697.95pt;mso-position-horizontal-relative:page;mso-position-vertical-relative:page;z-index:25167462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1430A">
    <w:pPr>
      <w:spacing w:before="55" w:line="228" w:lineRule="auto"/>
      <w:ind w:left="984"/>
      <w:rPr>
        <w:rFonts w:ascii="宋体" w:hAnsi="宋体" w:eastAsia="宋体" w:cs="宋体"/>
        <w:sz w:val="20"/>
        <w:szCs w:val="20"/>
      </w:rPr>
    </w:pP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3D133">
    <w:pPr>
      <w:spacing w:before="55" w:line="228" w:lineRule="auto"/>
      <w:ind w:left="984"/>
      <w:rPr>
        <w:rFonts w:ascii="宋体" w:hAnsi="宋体" w:eastAsia="宋体" w:cs="宋体"/>
        <w:sz w:val="20"/>
        <w:szCs w:val="20"/>
      </w:rPr>
    </w:pP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F574">
    <w:pPr>
      <w:spacing w:before="55" w:line="228" w:lineRule="auto"/>
      <w:ind w:left="1020"/>
      <w:rPr>
        <w:rFonts w:ascii="宋体" w:hAnsi="宋体" w:eastAsia="宋体" w:cs="宋体"/>
        <w:sz w:val="20"/>
        <w:szCs w:val="20"/>
      </w:rPr>
    </w:pP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4494B">
    <w:pPr>
      <w:spacing w:before="55" w:line="228" w:lineRule="auto"/>
      <w:ind w:left="871"/>
      <w:rPr>
        <w:rFonts w:ascii="宋体" w:hAnsi="宋体" w:eastAsia="宋体" w:cs="宋体"/>
        <w:sz w:val="20"/>
        <w:szCs w:val="20"/>
      </w:rPr>
    </w:pP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BB08">
    <w:pPr>
      <w:spacing w:before="55" w:line="228" w:lineRule="auto"/>
      <w:ind w:left="463"/>
      <w:rPr>
        <w:rFonts w:ascii="宋体" w:hAnsi="宋体" w:eastAsia="宋体" w:cs="宋体"/>
        <w:sz w:val="20"/>
        <w:szCs w:val="20"/>
      </w:rPr>
    </w:pPr>
    <w:r>
      <w:pict>
        <v:shape id="_x0000_s2054" o:spid="_x0000_s2054" style="position:absolute;left:0pt;margin-left:89.85pt;margin-top:57.15pt;height:0.5pt;width:415.65pt;mso-position-horizontal-relative:page;mso-position-vertical-relative:page;z-index:2516664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998DC">
    <w:pPr>
      <w:spacing w:before="55" w:line="228" w:lineRule="auto"/>
      <w:ind w:left="3452"/>
      <w:rPr>
        <w:rFonts w:ascii="宋体" w:hAnsi="宋体" w:eastAsia="宋体" w:cs="宋体"/>
        <w:sz w:val="20"/>
        <w:szCs w:val="20"/>
      </w:rPr>
    </w:pPr>
    <w:r>
      <w:pict>
        <v:shape id="_x0000_s2113" o:spid="_x0000_s2113" style="position:absolute;left:0pt;margin-left:56.7pt;margin-top:57.15pt;height:0.5pt;width:714.45pt;mso-position-horizontal-relative:page;mso-position-vertical-relative:page;z-index:251705344;mso-width-relative:page;mso-height-relative:page;" fillcolor="#000000" filled="t" stroked="f" coordsize="14289,10" o:allowincell="f" path="m0,0l14288,0,1428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84C1">
    <w:pPr>
      <w:spacing w:before="56" w:line="226" w:lineRule="auto"/>
      <w:ind w:left="548"/>
      <w:rPr>
        <w:rFonts w:ascii="宋体" w:hAnsi="宋体" w:eastAsia="宋体" w:cs="宋体"/>
        <w:sz w:val="20"/>
        <w:szCs w:val="20"/>
      </w:rPr>
    </w:pPr>
    <w:r>
      <w:pict>
        <v:shape id="_x0000_s2114" o:spid="_x0000_s2114" style="position:absolute;left:0pt;margin-left:89.85pt;margin-top:57.15pt;height:0.5pt;width:415.65pt;mso-position-horizontal-relative:page;mso-position-vertical-relative:page;z-index:25170636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2B494">
    <w:pPr>
      <w:spacing w:before="55" w:line="228" w:lineRule="auto"/>
      <w:ind w:left="769"/>
      <w:rPr>
        <w:rFonts w:ascii="宋体" w:hAnsi="宋体" w:eastAsia="宋体" w:cs="宋体"/>
        <w:sz w:val="20"/>
        <w:szCs w:val="20"/>
      </w:rPr>
    </w:pPr>
    <w:r>
      <w:pict>
        <v:shape id="_x0000_s2115" o:spid="_x0000_s2115" style="position:absolute;left:0pt;margin-left:89.85pt;margin-top:57.15pt;height:0.5pt;width:415.65pt;mso-position-horizontal-relative:page;mso-position-vertical-relative:page;z-index:25170739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E814B">
    <w:pPr>
      <w:spacing w:before="55" w:line="228" w:lineRule="auto"/>
      <w:ind w:left="463"/>
      <w:rPr>
        <w:rFonts w:ascii="宋体" w:hAnsi="宋体" w:eastAsia="宋体" w:cs="宋体"/>
        <w:sz w:val="20"/>
        <w:szCs w:val="20"/>
      </w:rPr>
    </w:pPr>
    <w:r>
      <w:pict>
        <v:shape id="_x0000_s2116" o:spid="_x0000_s2116" style="position:absolute;left:0pt;margin-left:89.85pt;margin-top:57.15pt;height:0.5pt;width:415.65pt;mso-position-horizontal-relative:page;mso-position-vertical-relative:page;z-index:2516664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E4E5E">
    <w:pPr>
      <w:spacing w:before="55" w:line="228" w:lineRule="auto"/>
      <w:ind w:left="738"/>
      <w:rPr>
        <w:rFonts w:ascii="宋体" w:hAnsi="宋体" w:eastAsia="宋体" w:cs="宋体"/>
        <w:sz w:val="20"/>
        <w:szCs w:val="20"/>
      </w:rPr>
    </w:pPr>
    <w:r>
      <w:pict>
        <v:shape id="_x0000_s2117" o:spid="_x0000_s2117" style="position:absolute;left:0pt;margin-left:89.85pt;margin-top:57.15pt;height:0.5pt;width:415.65pt;mso-position-horizontal-relative:page;mso-position-vertical-relative:page;z-index:25170841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7AC1C">
    <w:pPr>
      <w:spacing w:before="55" w:line="228" w:lineRule="auto"/>
      <w:ind w:left="3355"/>
      <w:rPr>
        <w:rFonts w:ascii="宋体" w:hAnsi="宋体" w:eastAsia="宋体" w:cs="宋体"/>
        <w:sz w:val="20"/>
        <w:szCs w:val="20"/>
      </w:rPr>
    </w:pPr>
    <w:r>
      <w:pict>
        <v:shape id="_x0000_s2118" o:spid="_x0000_s2118" style="position:absolute;left:0pt;margin-left:72pt;margin-top:57.15pt;height:0.5pt;width:697.95pt;mso-position-horizontal-relative:page;mso-position-vertical-relative:page;z-index:251709440;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C74DB">
    <w:pPr>
      <w:spacing w:before="55" w:line="228" w:lineRule="auto"/>
      <w:ind w:left="3285"/>
      <w:rPr>
        <w:rFonts w:ascii="宋体" w:hAnsi="宋体" w:eastAsia="宋体" w:cs="宋体"/>
        <w:sz w:val="20"/>
        <w:szCs w:val="20"/>
      </w:rPr>
    </w:pPr>
    <w:r>
      <w:pict>
        <v:shape id="_x0000_s2119" o:spid="_x0000_s2119" style="position:absolute;left:0pt;margin-left:72pt;margin-top:57.15pt;height:0.5pt;width:697.95pt;mso-position-horizontal-relative:page;mso-position-vertical-relative:page;z-index:25171046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CAB8A">
    <w:pPr>
      <w:spacing w:before="55" w:line="228" w:lineRule="auto"/>
      <w:ind w:left="361"/>
      <w:rPr>
        <w:rFonts w:ascii="宋体" w:hAnsi="宋体" w:eastAsia="宋体" w:cs="宋体"/>
        <w:sz w:val="20"/>
        <w:szCs w:val="20"/>
      </w:rPr>
    </w:pPr>
    <w:r>
      <w:pict>
        <v:shape id="_x0000_s2120" o:spid="_x0000_s2120"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2C82F">
    <w:pPr>
      <w:spacing w:before="55" w:line="228" w:lineRule="auto"/>
      <w:ind w:left="462"/>
      <w:rPr>
        <w:rFonts w:ascii="宋体" w:hAnsi="宋体" w:eastAsia="宋体" w:cs="宋体"/>
        <w:sz w:val="20"/>
        <w:szCs w:val="20"/>
      </w:rPr>
    </w:pPr>
    <w:r>
      <w:pict>
        <v:shape id="_x0000_s2121" o:spid="_x0000_s2121" style="position:absolute;left:0pt;margin-left:89.85pt;margin-top:57.15pt;height:0.5pt;width:415.65pt;mso-position-horizontal-relative:page;mso-position-vertical-relative:page;z-index:2517114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7C19">
    <w:pPr>
      <w:spacing w:before="56" w:line="226" w:lineRule="auto"/>
      <w:ind w:left="932"/>
      <w:rPr>
        <w:rFonts w:ascii="宋体" w:hAnsi="宋体" w:eastAsia="宋体" w:cs="宋体"/>
        <w:sz w:val="20"/>
        <w:szCs w:val="20"/>
      </w:rPr>
    </w:pPr>
    <w:r>
      <w:pict>
        <v:shape id="_x0000_s2122" o:spid="_x0000_s2122" style="position:absolute;left:0pt;margin-left:89.85pt;margin-top:57.15pt;height:0.5pt;width:415.65pt;mso-position-horizontal-relative:page;mso-position-vertical-relative:page;z-index:25171251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4C85">
    <w:pPr>
      <w:spacing w:before="55" w:line="228" w:lineRule="auto"/>
      <w:ind w:left="500"/>
      <w:rPr>
        <w:rFonts w:ascii="宋体" w:hAnsi="宋体" w:eastAsia="宋体" w:cs="宋体"/>
        <w:sz w:val="20"/>
        <w:szCs w:val="20"/>
      </w:rPr>
    </w:pPr>
    <w:r>
      <w:pict>
        <v:shape id="_x0000_s2055" o:spid="_x0000_s2055" style="position:absolute;left:0pt;margin-left:89.85pt;margin-top:57.15pt;height:0.5pt;width:415.65pt;mso-position-horizontal-relative:page;mso-position-vertical-relative:page;z-index:251667456;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C8694">
    <w:pPr>
      <w:spacing w:before="55" w:line="228" w:lineRule="auto"/>
      <w:ind w:left="463"/>
      <w:rPr>
        <w:rFonts w:ascii="宋体" w:hAnsi="宋体" w:eastAsia="宋体" w:cs="宋体"/>
        <w:sz w:val="20"/>
        <w:szCs w:val="20"/>
      </w:rPr>
    </w:pPr>
    <w:r>
      <w:pict>
        <v:shape id="_x0000_s2123" o:spid="_x0000_s2123" style="position:absolute;left:0pt;margin-left:89.85pt;margin-top:57.15pt;height:0.5pt;width:415.65pt;mso-position-horizontal-relative:page;mso-position-vertical-relative:page;z-index:25167052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D5216">
    <w:pPr>
      <w:spacing w:before="55" w:line="228" w:lineRule="auto"/>
      <w:ind w:left="463"/>
      <w:rPr>
        <w:rFonts w:ascii="宋体" w:hAnsi="宋体" w:eastAsia="宋体" w:cs="宋体"/>
        <w:sz w:val="20"/>
        <w:szCs w:val="20"/>
      </w:rPr>
    </w:pPr>
    <w:r>
      <w:pict>
        <v:shape id="_x0000_s2124" o:spid="_x0000_s2124" style="position:absolute;left:0pt;margin-left:89.85pt;margin-top:57.15pt;height:0.5pt;width:415.65pt;mso-position-horizontal-relative:page;mso-position-vertical-relative:page;z-index:251715584;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079DA">
    <w:pPr>
      <w:spacing w:before="55" w:line="228" w:lineRule="auto"/>
      <w:ind w:left="361"/>
      <w:rPr>
        <w:rFonts w:ascii="宋体" w:hAnsi="宋体" w:eastAsia="宋体" w:cs="宋体"/>
        <w:sz w:val="20"/>
        <w:szCs w:val="20"/>
      </w:rPr>
    </w:pPr>
    <w:r>
      <w:pict>
        <v:shape id="_x0000_s2125" o:spid="_x0000_s2125"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1E805">
    <w:pPr>
      <w:spacing w:before="55" w:line="228" w:lineRule="auto"/>
      <w:ind w:left="3285"/>
      <w:rPr>
        <w:rFonts w:ascii="宋体" w:hAnsi="宋体" w:eastAsia="宋体" w:cs="宋体"/>
        <w:sz w:val="20"/>
        <w:szCs w:val="20"/>
      </w:rPr>
    </w:pPr>
    <w:r>
      <w:pict>
        <v:shape id="_x0000_s2126" o:spid="_x0000_s2126" style="position:absolute;left:0pt;margin-left:72pt;margin-top:50pt;height:0.5pt;width:697.95pt;mso-position-horizontal-relative:page;mso-position-vertical-relative:page;z-index:251716608;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D93D0">
    <w:pPr>
      <w:spacing w:before="55" w:line="228" w:lineRule="auto"/>
      <w:ind w:left="361"/>
      <w:rPr>
        <w:rFonts w:ascii="宋体" w:hAnsi="宋体" w:eastAsia="宋体" w:cs="宋体"/>
        <w:sz w:val="20"/>
        <w:szCs w:val="20"/>
      </w:rPr>
    </w:pPr>
    <w:r>
      <w:pict>
        <v:shape id="_x0000_s2127" o:spid="_x0000_s2127" style="position:absolute;left:0pt;margin-left:89.85pt;margin-top:57.15pt;height:0.5pt;width:415.65pt;mso-position-horizontal-relative:page;mso-position-vertical-relative:page;z-index:2517176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CBBE">
    <w:pPr>
      <w:spacing w:before="55" w:line="228" w:lineRule="auto"/>
      <w:ind w:left="361"/>
      <w:rPr>
        <w:rFonts w:ascii="宋体" w:hAnsi="宋体" w:eastAsia="宋体" w:cs="宋体"/>
        <w:sz w:val="20"/>
        <w:szCs w:val="20"/>
      </w:rPr>
    </w:pPr>
    <w:r>
      <w:pict>
        <v:shape id="_x0000_s2128" o:spid="_x0000_s2128" style="position:absolute;left:0pt;margin-left:89.85pt;margin-top:57.15pt;height:0.5pt;width:415.65pt;mso-position-horizontal-relative:page;mso-position-vertical-relative:page;z-index:2516602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BEDE6">
    <w:pPr>
      <w:spacing w:before="55" w:line="228" w:lineRule="auto"/>
      <w:ind w:left="462"/>
      <w:rPr>
        <w:rFonts w:ascii="宋体" w:hAnsi="宋体" w:eastAsia="宋体" w:cs="宋体"/>
        <w:sz w:val="20"/>
        <w:szCs w:val="20"/>
      </w:rPr>
    </w:pPr>
    <w:r>
      <w:pict>
        <v:shape id="_x0000_s2129" o:spid="_x0000_s2129" style="position:absolute;left:0pt;margin-left:89.85pt;margin-top:57.15pt;height:0.5pt;width:415.65pt;mso-position-horizontal-relative:page;mso-position-vertical-relative:page;z-index:251711488;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365D1">
    <w:pPr>
      <w:spacing w:before="55" w:line="228" w:lineRule="auto"/>
      <w:ind w:left="463"/>
      <w:rPr>
        <w:rFonts w:ascii="宋体" w:hAnsi="宋体" w:eastAsia="宋体" w:cs="宋体"/>
        <w:sz w:val="20"/>
        <w:szCs w:val="20"/>
      </w:rPr>
    </w:pPr>
    <w:r>
      <w:pict>
        <v:shape id="_x0000_s2130" o:spid="_x0000_s2130" style="position:absolute;left:0pt;margin-left:89.85pt;margin-top:57.15pt;height:0.5pt;width:415.65pt;mso-position-horizontal-relative:page;mso-position-vertical-relative:page;z-index:251666432;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9060E">
    <w:pPr>
      <w:spacing w:before="55" w:line="228" w:lineRule="auto"/>
      <w:ind w:left="3286"/>
      <w:rPr>
        <w:rFonts w:ascii="宋体" w:hAnsi="宋体" w:eastAsia="宋体" w:cs="宋体"/>
        <w:sz w:val="20"/>
        <w:szCs w:val="20"/>
      </w:rPr>
    </w:pPr>
    <w:r>
      <w:pict>
        <v:shape id="_x0000_s2131" o:spid="_x0000_s2131" style="position:absolute;left:0pt;margin-left:72pt;margin-top:50pt;height:0.5pt;width:697.95pt;mso-position-horizontal-relative:page;mso-position-vertical-relative:page;z-index:251718656;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1"/>
        <w:sz w:val="20"/>
        <w:szCs w:val="20"/>
      </w:rPr>
      <w:t xml:space="preserve"> </w:t>
    </w:r>
    <w:r>
      <w:rPr>
        <w:rFonts w:ascii="Times New Roman" w:hAnsi="Times New Roman" w:eastAsia="Times New Roman" w:cs="Times New Roman"/>
        <w:spacing w:val="8"/>
        <w:sz w:val="20"/>
        <w:szCs w:val="20"/>
      </w:rPr>
      <w:t>2000t/d</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选矿厂技改项目</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1CEC7">
    <w:pPr>
      <w:spacing w:before="55" w:line="228" w:lineRule="auto"/>
      <w:ind w:left="460"/>
      <w:rPr>
        <w:rFonts w:ascii="宋体" w:hAnsi="宋体" w:eastAsia="宋体" w:cs="宋体"/>
        <w:sz w:val="20"/>
        <w:szCs w:val="20"/>
      </w:rPr>
    </w:pPr>
    <w:r>
      <w:pict>
        <v:shape id="_x0000_s2132" o:spid="_x0000_s2132" style="position:absolute;left:0pt;margin-left:90pt;margin-top:57.15pt;height:0.5pt;width:415.3pt;mso-position-horizontal-relative:page;mso-position-vertical-relative:page;z-index:25171968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BBE1D">
    <w:pPr>
      <w:spacing w:before="56" w:line="226" w:lineRule="auto"/>
      <w:ind w:left="622"/>
      <w:rPr>
        <w:rFonts w:ascii="宋体" w:hAnsi="宋体" w:eastAsia="宋体" w:cs="宋体"/>
        <w:sz w:val="20"/>
        <w:szCs w:val="20"/>
      </w:rPr>
    </w:pPr>
    <w:r>
      <w:pict>
        <v:shape id="_x0000_s2056" o:spid="_x0000_s2056" style="position:absolute;left:0pt;margin-left:89.85pt;margin-top:57.15pt;height:0.5pt;width:415.65pt;mso-position-horizontal-relative:page;mso-position-vertical-relative:page;z-index:251668480;mso-width-relative:page;mso-height-relative:page;" fillcolor="#000000" filled="t" stroked="f" coordsize="8312,10" o:allowincell="f" path="m0,0l8312,0,8312,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F36A">
    <w:pPr>
      <w:spacing w:before="55" w:line="228" w:lineRule="auto"/>
      <w:ind w:left="361"/>
      <w:rPr>
        <w:rFonts w:ascii="宋体" w:hAnsi="宋体" w:eastAsia="宋体" w:cs="宋体"/>
        <w:sz w:val="20"/>
        <w:szCs w:val="20"/>
      </w:rPr>
    </w:pPr>
    <w:r>
      <w:pict>
        <v:shape id="_x0000_s2133" o:spid="_x0000_s2133"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6760">
    <w:pPr>
      <w:spacing w:before="55" w:line="228" w:lineRule="auto"/>
      <w:ind w:left="361"/>
      <w:rPr>
        <w:rFonts w:ascii="宋体" w:hAnsi="宋体" w:eastAsia="宋体" w:cs="宋体"/>
        <w:sz w:val="20"/>
        <w:szCs w:val="20"/>
      </w:rPr>
    </w:pPr>
    <w:r>
      <w:pict>
        <v:shape id="_x0000_s2134" o:spid="_x0000_s2134" style="position:absolute;left:0pt;margin-left:90pt;margin-top:57.15pt;height:0.5pt;width:415.3pt;mso-position-horizontal-relative:page;mso-position-vertical-relative:page;z-index:25172172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3A0D">
    <w:pPr>
      <w:spacing w:before="55" w:line="228" w:lineRule="auto"/>
      <w:ind w:left="361"/>
      <w:rPr>
        <w:rFonts w:ascii="宋体" w:hAnsi="宋体" w:eastAsia="宋体" w:cs="宋体"/>
        <w:sz w:val="20"/>
        <w:szCs w:val="20"/>
      </w:rPr>
    </w:pPr>
    <w:r>
      <w:pict>
        <v:shape id="_x0000_s2135" o:spid="_x0000_s2135" style="position:absolute;left:0pt;margin-left:90pt;margin-top:57.15pt;height:0.5pt;width:415.3pt;mso-position-horizontal-relative:page;mso-position-vertical-relative:page;z-index:25172275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285C">
    <w:pPr>
      <w:spacing w:before="55" w:line="228" w:lineRule="auto"/>
      <w:ind w:left="361"/>
      <w:rPr>
        <w:rFonts w:ascii="宋体" w:hAnsi="宋体" w:eastAsia="宋体" w:cs="宋体"/>
        <w:sz w:val="20"/>
        <w:szCs w:val="20"/>
      </w:rPr>
    </w:pPr>
    <w:r>
      <w:pict>
        <v:shape id="_x0000_s2136" o:spid="_x0000_s2136"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56337">
    <w:pPr>
      <w:spacing w:before="55" w:line="228" w:lineRule="auto"/>
      <w:ind w:left="361"/>
      <w:rPr>
        <w:rFonts w:ascii="宋体" w:hAnsi="宋体" w:eastAsia="宋体" w:cs="宋体"/>
        <w:sz w:val="20"/>
        <w:szCs w:val="20"/>
      </w:rPr>
    </w:pPr>
    <w:r>
      <w:pict>
        <v:shape id="_x0000_s2137" o:spid="_x0000_s2137" style="position:absolute;left:0pt;margin-left:90pt;margin-top:57.15pt;height:0.5pt;width:415.3pt;mso-position-horizontal-relative:page;mso-position-vertical-relative:page;z-index:25172172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1028">
    <w:pPr>
      <w:spacing w:before="55" w:line="228" w:lineRule="auto"/>
      <w:ind w:left="361"/>
      <w:rPr>
        <w:rFonts w:ascii="宋体" w:hAnsi="宋体" w:eastAsia="宋体" w:cs="宋体"/>
        <w:sz w:val="20"/>
        <w:szCs w:val="20"/>
      </w:rPr>
    </w:pPr>
    <w:r>
      <w:pict>
        <v:shape id="_x0000_s2138" o:spid="_x0000_s2138" style="position:absolute;left:0pt;margin-left:90pt;margin-top:57.15pt;height:0.5pt;width:415.3pt;mso-position-horizontal-relative:page;mso-position-vertical-relative:page;z-index:25172480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2E4AD">
    <w:pPr>
      <w:spacing w:before="55" w:line="228" w:lineRule="auto"/>
      <w:ind w:left="361"/>
      <w:rPr>
        <w:rFonts w:ascii="宋体" w:hAnsi="宋体" w:eastAsia="宋体" w:cs="宋体"/>
        <w:sz w:val="20"/>
        <w:szCs w:val="20"/>
      </w:rPr>
    </w:pPr>
    <w:r>
      <w:pict>
        <v:shape id="_x0000_s2139" o:spid="_x0000_s2139" style="position:absolute;left:0pt;margin-left:90pt;margin-top:57.15pt;height:0.5pt;width:415.3pt;mso-position-horizontal-relative:page;mso-position-vertical-relative:page;z-index:25172070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82997">
    <w:pPr>
      <w:spacing w:before="55" w:line="228" w:lineRule="auto"/>
      <w:ind w:left="361"/>
      <w:rPr>
        <w:rFonts w:ascii="宋体" w:hAnsi="宋体" w:eastAsia="宋体" w:cs="宋体"/>
        <w:sz w:val="20"/>
        <w:szCs w:val="20"/>
      </w:rPr>
    </w:pPr>
    <w:r>
      <w:pict>
        <v:shape id="_x0000_s2140" o:spid="_x0000_s2140"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31D93">
    <w:pPr>
      <w:spacing w:before="55" w:line="228" w:lineRule="auto"/>
      <w:ind w:left="633"/>
      <w:rPr>
        <w:rFonts w:ascii="宋体" w:hAnsi="宋体" w:eastAsia="宋体" w:cs="宋体"/>
        <w:sz w:val="20"/>
        <w:szCs w:val="20"/>
      </w:rPr>
    </w:pPr>
    <w:r>
      <w:pict>
        <v:shape id="_x0000_s2141" o:spid="_x0000_s2141" style="position:absolute;left:0pt;margin-left:90pt;margin-top:57.15pt;height:0.5pt;width:415.3pt;mso-position-horizontal-relative:page;mso-position-vertical-relative:page;z-index:25172582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C0A86">
    <w:pPr>
      <w:spacing w:before="55" w:line="228" w:lineRule="auto"/>
      <w:ind w:left="361"/>
      <w:rPr>
        <w:rFonts w:ascii="宋体" w:hAnsi="宋体" w:eastAsia="宋体" w:cs="宋体"/>
        <w:sz w:val="20"/>
        <w:szCs w:val="20"/>
      </w:rPr>
    </w:pPr>
    <w:r>
      <w:pict>
        <v:shape id="_x0000_s2142" o:spid="_x0000_s2142" style="position:absolute;left:0pt;margin-left:90pt;margin-top:57.15pt;height:0.5pt;width:415.3pt;mso-position-horizontal-relative:page;mso-position-vertical-relative:page;z-index:25172377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8"/>
        <w:sz w:val="20"/>
        <w:szCs w:val="20"/>
      </w:rPr>
      <w:t>内蒙古玉龙矿业股份有限公司西乌珠穆沁旗花敖包特银铅矿</w:t>
    </w:r>
    <w:r>
      <w:rPr>
        <w:rFonts w:ascii="宋体" w:hAnsi="宋体" w:eastAsia="宋体" w:cs="宋体"/>
        <w:spacing w:val="-43"/>
        <w:sz w:val="20"/>
        <w:szCs w:val="20"/>
      </w:rPr>
      <w:t xml:space="preserve"> </w:t>
    </w:r>
    <w:r>
      <w:rPr>
        <w:rFonts w:ascii="Times New Roman" w:hAnsi="Times New Roman" w:eastAsia="Times New Roman" w:cs="Times New Roman"/>
        <w:spacing w:val="8"/>
        <w:sz w:val="20"/>
        <w:szCs w:val="20"/>
      </w:rPr>
      <w:t xml:space="preserve">2000t/d </w:t>
    </w:r>
    <w:r>
      <w:rPr>
        <w:rFonts w:ascii="宋体" w:hAnsi="宋体" w:eastAsia="宋体" w:cs="宋体"/>
        <w:spacing w:val="8"/>
        <w:sz w:val="20"/>
        <w:szCs w:val="20"/>
      </w:rPr>
      <w:t>选</w:t>
    </w:r>
    <w:r>
      <w:rPr>
        <w:rFonts w:ascii="宋体" w:hAnsi="宋体" w:eastAsia="宋体" w:cs="宋体"/>
        <w:spacing w:val="7"/>
        <w:sz w:val="20"/>
        <w:szCs w:val="20"/>
      </w:rPr>
      <w:t>矿厂技改项目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DD82D69"/>
    <w:rsid w:val="36137B69"/>
    <w:rsid w:val="3804405F"/>
    <w:rsid w:val="60520C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9.xml"/><Relationship Id="rId98" Type="http://schemas.openxmlformats.org/officeDocument/2006/relationships/footer" Target="footer58.xml"/><Relationship Id="rId97" Type="http://schemas.openxmlformats.org/officeDocument/2006/relationships/footer" Target="footer57.xml"/><Relationship Id="rId96" Type="http://schemas.openxmlformats.org/officeDocument/2006/relationships/footer" Target="footer56.xml"/><Relationship Id="rId95" Type="http://schemas.openxmlformats.org/officeDocument/2006/relationships/header" Target="header36.xml"/><Relationship Id="rId94" Type="http://schemas.openxmlformats.org/officeDocument/2006/relationships/footer" Target="footer55.xml"/><Relationship Id="rId93" Type="http://schemas.openxmlformats.org/officeDocument/2006/relationships/footer" Target="footer54.xml"/><Relationship Id="rId92" Type="http://schemas.openxmlformats.org/officeDocument/2006/relationships/footer" Target="footer53.xml"/><Relationship Id="rId91" Type="http://schemas.openxmlformats.org/officeDocument/2006/relationships/footer" Target="footer52.xml"/><Relationship Id="rId90" Type="http://schemas.openxmlformats.org/officeDocument/2006/relationships/header" Target="header35.xml"/><Relationship Id="rId9" Type="http://schemas.openxmlformats.org/officeDocument/2006/relationships/footer" Target="footer3.xml"/><Relationship Id="rId89" Type="http://schemas.openxmlformats.org/officeDocument/2006/relationships/footer" Target="footer51.xml"/><Relationship Id="rId88" Type="http://schemas.openxmlformats.org/officeDocument/2006/relationships/header" Target="header34.xml"/><Relationship Id="rId87" Type="http://schemas.openxmlformats.org/officeDocument/2006/relationships/footer" Target="footer50.xml"/><Relationship Id="rId86" Type="http://schemas.openxmlformats.org/officeDocument/2006/relationships/header" Target="header33.xml"/><Relationship Id="rId85" Type="http://schemas.openxmlformats.org/officeDocument/2006/relationships/footer" Target="footer49.xml"/><Relationship Id="rId84" Type="http://schemas.openxmlformats.org/officeDocument/2006/relationships/header" Target="header32.xml"/><Relationship Id="rId83" Type="http://schemas.openxmlformats.org/officeDocument/2006/relationships/footer" Target="footer48.xml"/><Relationship Id="rId82" Type="http://schemas.openxmlformats.org/officeDocument/2006/relationships/header" Target="header31.xml"/><Relationship Id="rId81" Type="http://schemas.openxmlformats.org/officeDocument/2006/relationships/footer" Target="footer47.xml"/><Relationship Id="rId80" Type="http://schemas.openxmlformats.org/officeDocument/2006/relationships/footer" Target="footer46.xml"/><Relationship Id="rId8" Type="http://schemas.openxmlformats.org/officeDocument/2006/relationships/footer" Target="footer2.xml"/><Relationship Id="rId79" Type="http://schemas.openxmlformats.org/officeDocument/2006/relationships/header" Target="header30.xml"/><Relationship Id="rId78" Type="http://schemas.openxmlformats.org/officeDocument/2006/relationships/footer" Target="footer45.xml"/><Relationship Id="rId77" Type="http://schemas.openxmlformats.org/officeDocument/2006/relationships/header" Target="header29.xml"/><Relationship Id="rId76" Type="http://schemas.openxmlformats.org/officeDocument/2006/relationships/footer" Target="footer44.xml"/><Relationship Id="rId75" Type="http://schemas.openxmlformats.org/officeDocument/2006/relationships/header" Target="header28.xml"/><Relationship Id="rId74" Type="http://schemas.openxmlformats.org/officeDocument/2006/relationships/footer" Target="footer43.xml"/><Relationship Id="rId73" Type="http://schemas.openxmlformats.org/officeDocument/2006/relationships/header" Target="header27.xml"/><Relationship Id="rId72" Type="http://schemas.openxmlformats.org/officeDocument/2006/relationships/footer" Target="footer42.xml"/><Relationship Id="rId71" Type="http://schemas.openxmlformats.org/officeDocument/2006/relationships/header" Target="header26.xml"/><Relationship Id="rId70" Type="http://schemas.openxmlformats.org/officeDocument/2006/relationships/footer" Target="footer41.xml"/><Relationship Id="rId7" Type="http://schemas.openxmlformats.org/officeDocument/2006/relationships/header" Target="header2.xml"/><Relationship Id="rId69" Type="http://schemas.openxmlformats.org/officeDocument/2006/relationships/header" Target="header25.xml"/><Relationship Id="rId68" Type="http://schemas.openxmlformats.org/officeDocument/2006/relationships/footer" Target="footer40.xml"/><Relationship Id="rId67" Type="http://schemas.openxmlformats.org/officeDocument/2006/relationships/header" Target="header24.xml"/><Relationship Id="rId66" Type="http://schemas.openxmlformats.org/officeDocument/2006/relationships/footer" Target="footer39.xml"/><Relationship Id="rId65" Type="http://schemas.openxmlformats.org/officeDocument/2006/relationships/header" Target="header23.xml"/><Relationship Id="rId64" Type="http://schemas.openxmlformats.org/officeDocument/2006/relationships/footer" Target="footer38.xml"/><Relationship Id="rId63" Type="http://schemas.openxmlformats.org/officeDocument/2006/relationships/footer" Target="footer37.xml"/><Relationship Id="rId62" Type="http://schemas.openxmlformats.org/officeDocument/2006/relationships/header" Target="header22.xml"/><Relationship Id="rId61" Type="http://schemas.openxmlformats.org/officeDocument/2006/relationships/footer" Target="footer36.xml"/><Relationship Id="rId60" Type="http://schemas.openxmlformats.org/officeDocument/2006/relationships/footer" Target="footer35.xml"/><Relationship Id="rId6" Type="http://schemas.openxmlformats.org/officeDocument/2006/relationships/footer" Target="footer1.xml"/><Relationship Id="rId59" Type="http://schemas.openxmlformats.org/officeDocument/2006/relationships/footer" Target="footer34.xml"/><Relationship Id="rId58" Type="http://schemas.openxmlformats.org/officeDocument/2006/relationships/footer" Target="footer33.xml"/><Relationship Id="rId57" Type="http://schemas.openxmlformats.org/officeDocument/2006/relationships/header" Target="header21.xml"/><Relationship Id="rId569" Type="http://schemas.openxmlformats.org/officeDocument/2006/relationships/fontTable" Target="fontTable.xml"/><Relationship Id="rId568" Type="http://schemas.openxmlformats.org/officeDocument/2006/relationships/customXml" Target="../customXml/item1.xml"/><Relationship Id="rId567" Type="http://schemas.openxmlformats.org/officeDocument/2006/relationships/image" Target="media/image114.jpeg"/><Relationship Id="rId566" Type="http://schemas.openxmlformats.org/officeDocument/2006/relationships/image" Target="media/image113.jpeg"/><Relationship Id="rId565" Type="http://schemas.openxmlformats.org/officeDocument/2006/relationships/image" Target="media/image112.jpeg"/><Relationship Id="rId564" Type="http://schemas.openxmlformats.org/officeDocument/2006/relationships/image" Target="media/image111.jpeg"/><Relationship Id="rId563" Type="http://schemas.openxmlformats.org/officeDocument/2006/relationships/image" Target="media/image110.jpeg"/><Relationship Id="rId562" Type="http://schemas.openxmlformats.org/officeDocument/2006/relationships/image" Target="media/image109.jpeg"/><Relationship Id="rId561" Type="http://schemas.openxmlformats.org/officeDocument/2006/relationships/image" Target="media/image108.jpeg"/><Relationship Id="rId560" Type="http://schemas.openxmlformats.org/officeDocument/2006/relationships/image" Target="media/image107.jpeg"/><Relationship Id="rId56" Type="http://schemas.openxmlformats.org/officeDocument/2006/relationships/footer" Target="footer32.xml"/><Relationship Id="rId559" Type="http://schemas.openxmlformats.org/officeDocument/2006/relationships/image" Target="media/image106.jpeg"/><Relationship Id="rId558" Type="http://schemas.openxmlformats.org/officeDocument/2006/relationships/image" Target="media/image105.jpeg"/><Relationship Id="rId557" Type="http://schemas.openxmlformats.org/officeDocument/2006/relationships/image" Target="media/image104.jpeg"/><Relationship Id="rId556" Type="http://schemas.openxmlformats.org/officeDocument/2006/relationships/image" Target="media/image103.jpeg"/><Relationship Id="rId555" Type="http://schemas.openxmlformats.org/officeDocument/2006/relationships/image" Target="media/image102.jpeg"/><Relationship Id="rId554" Type="http://schemas.openxmlformats.org/officeDocument/2006/relationships/image" Target="media/image101.jpeg"/><Relationship Id="rId553" Type="http://schemas.openxmlformats.org/officeDocument/2006/relationships/image" Target="media/image100.jpeg"/><Relationship Id="rId552" Type="http://schemas.openxmlformats.org/officeDocument/2006/relationships/image" Target="media/image99.jpeg"/><Relationship Id="rId551" Type="http://schemas.openxmlformats.org/officeDocument/2006/relationships/image" Target="media/image98.jpeg"/><Relationship Id="rId550" Type="http://schemas.openxmlformats.org/officeDocument/2006/relationships/image" Target="media/image97.jpeg"/><Relationship Id="rId55" Type="http://schemas.openxmlformats.org/officeDocument/2006/relationships/footer" Target="footer31.xml"/><Relationship Id="rId549" Type="http://schemas.openxmlformats.org/officeDocument/2006/relationships/image" Target="media/image96.jpeg"/><Relationship Id="rId548" Type="http://schemas.openxmlformats.org/officeDocument/2006/relationships/image" Target="media/image95.png"/><Relationship Id="rId547" Type="http://schemas.openxmlformats.org/officeDocument/2006/relationships/image" Target="media/image94.png"/><Relationship Id="rId546" Type="http://schemas.openxmlformats.org/officeDocument/2006/relationships/image" Target="media/image93.jpeg"/><Relationship Id="rId545" Type="http://schemas.openxmlformats.org/officeDocument/2006/relationships/image" Target="media/image92.png"/><Relationship Id="rId544" Type="http://schemas.openxmlformats.org/officeDocument/2006/relationships/image" Target="media/image91.jpeg"/><Relationship Id="rId543" Type="http://schemas.openxmlformats.org/officeDocument/2006/relationships/image" Target="media/image90.jpeg"/><Relationship Id="rId542" Type="http://schemas.openxmlformats.org/officeDocument/2006/relationships/image" Target="media/image89.jpeg"/><Relationship Id="rId541" Type="http://schemas.openxmlformats.org/officeDocument/2006/relationships/image" Target="media/image88.jpeg"/><Relationship Id="rId540" Type="http://schemas.openxmlformats.org/officeDocument/2006/relationships/image" Target="media/image87.jpeg"/><Relationship Id="rId54" Type="http://schemas.openxmlformats.org/officeDocument/2006/relationships/header" Target="header20.xml"/><Relationship Id="rId539" Type="http://schemas.openxmlformats.org/officeDocument/2006/relationships/image" Target="media/image86.png"/><Relationship Id="rId538" Type="http://schemas.openxmlformats.org/officeDocument/2006/relationships/image" Target="media/image85.jpeg"/><Relationship Id="rId537" Type="http://schemas.openxmlformats.org/officeDocument/2006/relationships/image" Target="media/image84.png"/><Relationship Id="rId536" Type="http://schemas.openxmlformats.org/officeDocument/2006/relationships/image" Target="media/image83.png"/><Relationship Id="rId535" Type="http://schemas.openxmlformats.org/officeDocument/2006/relationships/image" Target="media/image82.jpeg"/><Relationship Id="rId534" Type="http://schemas.openxmlformats.org/officeDocument/2006/relationships/image" Target="media/image81.png"/><Relationship Id="rId533" Type="http://schemas.openxmlformats.org/officeDocument/2006/relationships/image" Target="media/image80.jpeg"/><Relationship Id="rId532" Type="http://schemas.openxmlformats.org/officeDocument/2006/relationships/image" Target="media/image79.jpeg"/><Relationship Id="rId531" Type="http://schemas.openxmlformats.org/officeDocument/2006/relationships/image" Target="media/image78.png"/><Relationship Id="rId530" Type="http://schemas.openxmlformats.org/officeDocument/2006/relationships/image" Target="media/image77.png"/><Relationship Id="rId53" Type="http://schemas.openxmlformats.org/officeDocument/2006/relationships/footer" Target="footer30.xml"/><Relationship Id="rId529" Type="http://schemas.openxmlformats.org/officeDocument/2006/relationships/image" Target="media/image76.png"/><Relationship Id="rId528" Type="http://schemas.openxmlformats.org/officeDocument/2006/relationships/image" Target="media/image75.jpeg"/><Relationship Id="rId527" Type="http://schemas.openxmlformats.org/officeDocument/2006/relationships/image" Target="media/image74.jpeg"/><Relationship Id="rId526" Type="http://schemas.openxmlformats.org/officeDocument/2006/relationships/image" Target="media/image73.jpeg"/><Relationship Id="rId525" Type="http://schemas.openxmlformats.org/officeDocument/2006/relationships/image" Target="media/image72.jpeg"/><Relationship Id="rId524" Type="http://schemas.openxmlformats.org/officeDocument/2006/relationships/image" Target="media/image71.jpeg"/><Relationship Id="rId523" Type="http://schemas.openxmlformats.org/officeDocument/2006/relationships/image" Target="media/image70.jpeg"/><Relationship Id="rId522" Type="http://schemas.openxmlformats.org/officeDocument/2006/relationships/image" Target="media/image69.jpeg"/><Relationship Id="rId521" Type="http://schemas.openxmlformats.org/officeDocument/2006/relationships/image" Target="media/image68.jpeg"/><Relationship Id="rId520" Type="http://schemas.openxmlformats.org/officeDocument/2006/relationships/image" Target="media/image67.png"/><Relationship Id="rId52" Type="http://schemas.openxmlformats.org/officeDocument/2006/relationships/header" Target="header19.xml"/><Relationship Id="rId519" Type="http://schemas.openxmlformats.org/officeDocument/2006/relationships/image" Target="media/image66.png"/><Relationship Id="rId518" Type="http://schemas.openxmlformats.org/officeDocument/2006/relationships/image" Target="media/image65.png"/><Relationship Id="rId517" Type="http://schemas.openxmlformats.org/officeDocument/2006/relationships/image" Target="media/image64.png"/><Relationship Id="rId516" Type="http://schemas.openxmlformats.org/officeDocument/2006/relationships/image" Target="media/image63.png"/><Relationship Id="rId515" Type="http://schemas.openxmlformats.org/officeDocument/2006/relationships/image" Target="media/image62.png"/><Relationship Id="rId514" Type="http://schemas.openxmlformats.org/officeDocument/2006/relationships/image" Target="media/image61.png"/><Relationship Id="rId513" Type="http://schemas.openxmlformats.org/officeDocument/2006/relationships/image" Target="media/image60.png"/><Relationship Id="rId512" Type="http://schemas.openxmlformats.org/officeDocument/2006/relationships/image" Target="media/image59.png"/><Relationship Id="rId511" Type="http://schemas.openxmlformats.org/officeDocument/2006/relationships/image" Target="media/image58.png"/><Relationship Id="rId510" Type="http://schemas.openxmlformats.org/officeDocument/2006/relationships/image" Target="media/image57.png"/><Relationship Id="rId51" Type="http://schemas.openxmlformats.org/officeDocument/2006/relationships/footer" Target="footer29.xml"/><Relationship Id="rId509" Type="http://schemas.openxmlformats.org/officeDocument/2006/relationships/image" Target="media/image56.jpeg"/><Relationship Id="rId508" Type="http://schemas.openxmlformats.org/officeDocument/2006/relationships/image" Target="media/image55.jpeg"/><Relationship Id="rId507" Type="http://schemas.openxmlformats.org/officeDocument/2006/relationships/image" Target="media/image54.jpeg"/><Relationship Id="rId506" Type="http://schemas.openxmlformats.org/officeDocument/2006/relationships/image" Target="media/image53.jpeg"/><Relationship Id="rId505" Type="http://schemas.openxmlformats.org/officeDocument/2006/relationships/image" Target="media/image52.jpeg"/><Relationship Id="rId504" Type="http://schemas.openxmlformats.org/officeDocument/2006/relationships/image" Target="media/image51.png"/><Relationship Id="rId503" Type="http://schemas.openxmlformats.org/officeDocument/2006/relationships/image" Target="media/image50.png"/><Relationship Id="rId502" Type="http://schemas.openxmlformats.org/officeDocument/2006/relationships/image" Target="media/image49.png"/><Relationship Id="rId501" Type="http://schemas.openxmlformats.org/officeDocument/2006/relationships/image" Target="media/image48.jpeg"/><Relationship Id="rId500" Type="http://schemas.openxmlformats.org/officeDocument/2006/relationships/image" Target="media/image47.png"/><Relationship Id="rId50" Type="http://schemas.openxmlformats.org/officeDocument/2006/relationships/footer" Target="footer28.xml"/><Relationship Id="rId5" Type="http://schemas.openxmlformats.org/officeDocument/2006/relationships/header" Target="header1.xml"/><Relationship Id="rId499" Type="http://schemas.openxmlformats.org/officeDocument/2006/relationships/image" Target="media/image46.png"/><Relationship Id="rId498" Type="http://schemas.openxmlformats.org/officeDocument/2006/relationships/image" Target="media/image45.png"/><Relationship Id="rId497" Type="http://schemas.openxmlformats.org/officeDocument/2006/relationships/image" Target="media/image44.png"/><Relationship Id="rId496" Type="http://schemas.openxmlformats.org/officeDocument/2006/relationships/image" Target="media/image43.jpeg"/><Relationship Id="rId495" Type="http://schemas.openxmlformats.org/officeDocument/2006/relationships/image" Target="media/image42.jpeg"/><Relationship Id="rId494" Type="http://schemas.openxmlformats.org/officeDocument/2006/relationships/image" Target="media/image41.jpeg"/><Relationship Id="rId493" Type="http://schemas.openxmlformats.org/officeDocument/2006/relationships/image" Target="media/image40.jpeg"/><Relationship Id="rId492" Type="http://schemas.openxmlformats.org/officeDocument/2006/relationships/image" Target="media/image39.jpeg"/><Relationship Id="rId491" Type="http://schemas.openxmlformats.org/officeDocument/2006/relationships/image" Target="media/image38.jpeg"/><Relationship Id="rId490" Type="http://schemas.openxmlformats.org/officeDocument/2006/relationships/image" Target="media/image37.jpeg"/><Relationship Id="rId49" Type="http://schemas.openxmlformats.org/officeDocument/2006/relationships/header" Target="header18.xml"/><Relationship Id="rId489" Type="http://schemas.openxmlformats.org/officeDocument/2006/relationships/image" Target="media/image36.jpeg"/><Relationship Id="rId488" Type="http://schemas.openxmlformats.org/officeDocument/2006/relationships/image" Target="media/image35.jpeg"/><Relationship Id="rId487" Type="http://schemas.openxmlformats.org/officeDocument/2006/relationships/image" Target="media/image34.jpeg"/><Relationship Id="rId486" Type="http://schemas.openxmlformats.org/officeDocument/2006/relationships/image" Target="media/image33.jpeg"/><Relationship Id="rId485" Type="http://schemas.openxmlformats.org/officeDocument/2006/relationships/image" Target="media/image32.jpeg"/><Relationship Id="rId484" Type="http://schemas.openxmlformats.org/officeDocument/2006/relationships/image" Target="media/image31.jpeg"/><Relationship Id="rId483" Type="http://schemas.openxmlformats.org/officeDocument/2006/relationships/image" Target="media/image30.png"/><Relationship Id="rId482" Type="http://schemas.openxmlformats.org/officeDocument/2006/relationships/image" Target="media/image29.jpeg"/><Relationship Id="rId481" Type="http://schemas.openxmlformats.org/officeDocument/2006/relationships/image" Target="media/image28.jpeg"/><Relationship Id="rId480" Type="http://schemas.openxmlformats.org/officeDocument/2006/relationships/image" Target="media/image27.png"/><Relationship Id="rId48" Type="http://schemas.openxmlformats.org/officeDocument/2006/relationships/footer" Target="footer27.xml"/><Relationship Id="rId479" Type="http://schemas.openxmlformats.org/officeDocument/2006/relationships/image" Target="media/image26.jpeg"/><Relationship Id="rId478" Type="http://schemas.openxmlformats.org/officeDocument/2006/relationships/image" Target="media/image25.jpeg"/><Relationship Id="rId477" Type="http://schemas.openxmlformats.org/officeDocument/2006/relationships/image" Target="media/image24.jpeg"/><Relationship Id="rId476" Type="http://schemas.openxmlformats.org/officeDocument/2006/relationships/image" Target="media/image23.png"/><Relationship Id="rId475" Type="http://schemas.openxmlformats.org/officeDocument/2006/relationships/image" Target="media/image22.jpeg"/><Relationship Id="rId474" Type="http://schemas.openxmlformats.org/officeDocument/2006/relationships/image" Target="media/image21.png"/><Relationship Id="rId473" Type="http://schemas.openxmlformats.org/officeDocument/2006/relationships/image" Target="media/image20.jpeg"/><Relationship Id="rId472" Type="http://schemas.openxmlformats.org/officeDocument/2006/relationships/image" Target="media/image19.jpeg"/><Relationship Id="rId471" Type="http://schemas.openxmlformats.org/officeDocument/2006/relationships/image" Target="media/image18.jpeg"/><Relationship Id="rId470" Type="http://schemas.openxmlformats.org/officeDocument/2006/relationships/image" Target="media/image17.jpeg"/><Relationship Id="rId47" Type="http://schemas.openxmlformats.org/officeDocument/2006/relationships/header" Target="header17.xml"/><Relationship Id="rId469" Type="http://schemas.openxmlformats.org/officeDocument/2006/relationships/image" Target="media/image16.jpeg"/><Relationship Id="rId468" Type="http://schemas.openxmlformats.org/officeDocument/2006/relationships/image" Target="media/image15.jpeg"/><Relationship Id="rId467" Type="http://schemas.openxmlformats.org/officeDocument/2006/relationships/image" Target="media/image14.jpeg"/><Relationship Id="rId466" Type="http://schemas.openxmlformats.org/officeDocument/2006/relationships/image" Target="media/image13.jpeg"/><Relationship Id="rId465" Type="http://schemas.openxmlformats.org/officeDocument/2006/relationships/image" Target="media/image12.jpeg"/><Relationship Id="rId464" Type="http://schemas.openxmlformats.org/officeDocument/2006/relationships/image" Target="media/image11.jpeg"/><Relationship Id="rId463" Type="http://schemas.openxmlformats.org/officeDocument/2006/relationships/image" Target="media/image10.png"/><Relationship Id="rId462" Type="http://schemas.openxmlformats.org/officeDocument/2006/relationships/image" Target="media/image9.jpeg"/><Relationship Id="rId461" Type="http://schemas.openxmlformats.org/officeDocument/2006/relationships/image" Target="media/image8.jpeg"/><Relationship Id="rId460" Type="http://schemas.openxmlformats.org/officeDocument/2006/relationships/image" Target="media/image7.jpeg"/><Relationship Id="rId46" Type="http://schemas.openxmlformats.org/officeDocument/2006/relationships/footer" Target="footer26.xml"/><Relationship Id="rId459" Type="http://schemas.openxmlformats.org/officeDocument/2006/relationships/image" Target="media/image6.png"/><Relationship Id="rId458" Type="http://schemas.openxmlformats.org/officeDocument/2006/relationships/image" Target="media/image5.png"/><Relationship Id="rId457" Type="http://schemas.openxmlformats.org/officeDocument/2006/relationships/image" Target="media/image4.jpeg"/><Relationship Id="rId456" Type="http://schemas.openxmlformats.org/officeDocument/2006/relationships/image" Target="media/image3.jpeg"/><Relationship Id="rId455" Type="http://schemas.openxmlformats.org/officeDocument/2006/relationships/image" Target="media/image2.jpeg"/><Relationship Id="rId454" Type="http://schemas.openxmlformats.org/officeDocument/2006/relationships/image" Target="media/image1.jpeg"/><Relationship Id="rId453" Type="http://schemas.openxmlformats.org/officeDocument/2006/relationships/theme" Target="theme/theme1.xml"/><Relationship Id="rId452" Type="http://schemas.openxmlformats.org/officeDocument/2006/relationships/footer" Target="footer264.xml"/><Relationship Id="rId451" Type="http://schemas.openxmlformats.org/officeDocument/2006/relationships/header" Target="header184.xml"/><Relationship Id="rId450" Type="http://schemas.openxmlformats.org/officeDocument/2006/relationships/footer" Target="footer263.xml"/><Relationship Id="rId45" Type="http://schemas.openxmlformats.org/officeDocument/2006/relationships/footer" Target="footer25.xml"/><Relationship Id="rId449" Type="http://schemas.openxmlformats.org/officeDocument/2006/relationships/header" Target="header183.xml"/><Relationship Id="rId448" Type="http://schemas.openxmlformats.org/officeDocument/2006/relationships/footer" Target="footer262.xml"/><Relationship Id="rId447" Type="http://schemas.openxmlformats.org/officeDocument/2006/relationships/header" Target="header182.xml"/><Relationship Id="rId446" Type="http://schemas.openxmlformats.org/officeDocument/2006/relationships/footer" Target="footer261.xml"/><Relationship Id="rId445" Type="http://schemas.openxmlformats.org/officeDocument/2006/relationships/header" Target="header181.xml"/><Relationship Id="rId444" Type="http://schemas.openxmlformats.org/officeDocument/2006/relationships/footer" Target="footer260.xml"/><Relationship Id="rId443" Type="http://schemas.openxmlformats.org/officeDocument/2006/relationships/header" Target="header180.xml"/><Relationship Id="rId442" Type="http://schemas.openxmlformats.org/officeDocument/2006/relationships/footer" Target="footer259.xml"/><Relationship Id="rId441" Type="http://schemas.openxmlformats.org/officeDocument/2006/relationships/header" Target="header179.xml"/><Relationship Id="rId440" Type="http://schemas.openxmlformats.org/officeDocument/2006/relationships/footer" Target="footer258.xml"/><Relationship Id="rId44" Type="http://schemas.openxmlformats.org/officeDocument/2006/relationships/header" Target="header16.xml"/><Relationship Id="rId439" Type="http://schemas.openxmlformats.org/officeDocument/2006/relationships/header" Target="header178.xml"/><Relationship Id="rId438" Type="http://schemas.openxmlformats.org/officeDocument/2006/relationships/footer" Target="footer257.xml"/><Relationship Id="rId437" Type="http://schemas.openxmlformats.org/officeDocument/2006/relationships/header" Target="header177.xml"/><Relationship Id="rId436" Type="http://schemas.openxmlformats.org/officeDocument/2006/relationships/footer" Target="footer256.xml"/><Relationship Id="rId435" Type="http://schemas.openxmlformats.org/officeDocument/2006/relationships/footer" Target="footer255.xml"/><Relationship Id="rId434" Type="http://schemas.openxmlformats.org/officeDocument/2006/relationships/header" Target="header176.xml"/><Relationship Id="rId433" Type="http://schemas.openxmlformats.org/officeDocument/2006/relationships/footer" Target="footer254.xml"/><Relationship Id="rId432" Type="http://schemas.openxmlformats.org/officeDocument/2006/relationships/header" Target="header175.xml"/><Relationship Id="rId431" Type="http://schemas.openxmlformats.org/officeDocument/2006/relationships/footer" Target="footer253.xml"/><Relationship Id="rId430" Type="http://schemas.openxmlformats.org/officeDocument/2006/relationships/header" Target="header174.xml"/><Relationship Id="rId43" Type="http://schemas.openxmlformats.org/officeDocument/2006/relationships/footer" Target="footer24.xml"/><Relationship Id="rId429" Type="http://schemas.openxmlformats.org/officeDocument/2006/relationships/footer" Target="footer252.xml"/><Relationship Id="rId428" Type="http://schemas.openxmlformats.org/officeDocument/2006/relationships/footer" Target="footer251.xml"/><Relationship Id="rId427" Type="http://schemas.openxmlformats.org/officeDocument/2006/relationships/header" Target="header173.xml"/><Relationship Id="rId426" Type="http://schemas.openxmlformats.org/officeDocument/2006/relationships/footer" Target="footer250.xml"/><Relationship Id="rId425" Type="http://schemas.openxmlformats.org/officeDocument/2006/relationships/header" Target="header172.xml"/><Relationship Id="rId424" Type="http://schemas.openxmlformats.org/officeDocument/2006/relationships/footer" Target="footer249.xml"/><Relationship Id="rId423" Type="http://schemas.openxmlformats.org/officeDocument/2006/relationships/header" Target="header171.xml"/><Relationship Id="rId422" Type="http://schemas.openxmlformats.org/officeDocument/2006/relationships/footer" Target="footer248.xml"/><Relationship Id="rId421" Type="http://schemas.openxmlformats.org/officeDocument/2006/relationships/header" Target="header170.xml"/><Relationship Id="rId420" Type="http://schemas.openxmlformats.org/officeDocument/2006/relationships/footer" Target="footer247.xml"/><Relationship Id="rId42" Type="http://schemas.openxmlformats.org/officeDocument/2006/relationships/header" Target="header15.xml"/><Relationship Id="rId419" Type="http://schemas.openxmlformats.org/officeDocument/2006/relationships/header" Target="header169.xml"/><Relationship Id="rId418" Type="http://schemas.openxmlformats.org/officeDocument/2006/relationships/footer" Target="footer246.xml"/><Relationship Id="rId417" Type="http://schemas.openxmlformats.org/officeDocument/2006/relationships/header" Target="header168.xml"/><Relationship Id="rId416" Type="http://schemas.openxmlformats.org/officeDocument/2006/relationships/footer" Target="footer245.xml"/><Relationship Id="rId415" Type="http://schemas.openxmlformats.org/officeDocument/2006/relationships/footer" Target="footer244.xml"/><Relationship Id="rId414" Type="http://schemas.openxmlformats.org/officeDocument/2006/relationships/header" Target="header167.xml"/><Relationship Id="rId413" Type="http://schemas.openxmlformats.org/officeDocument/2006/relationships/footer" Target="footer243.xml"/><Relationship Id="rId412" Type="http://schemas.openxmlformats.org/officeDocument/2006/relationships/header" Target="header166.xml"/><Relationship Id="rId411" Type="http://schemas.openxmlformats.org/officeDocument/2006/relationships/footer" Target="footer242.xml"/><Relationship Id="rId410" Type="http://schemas.openxmlformats.org/officeDocument/2006/relationships/footer" Target="footer241.xml"/><Relationship Id="rId41" Type="http://schemas.openxmlformats.org/officeDocument/2006/relationships/footer" Target="footer23.xml"/><Relationship Id="rId409" Type="http://schemas.openxmlformats.org/officeDocument/2006/relationships/header" Target="header165.xml"/><Relationship Id="rId408" Type="http://schemas.openxmlformats.org/officeDocument/2006/relationships/footer" Target="footer240.xml"/><Relationship Id="rId407" Type="http://schemas.openxmlformats.org/officeDocument/2006/relationships/header" Target="header164.xml"/><Relationship Id="rId406" Type="http://schemas.openxmlformats.org/officeDocument/2006/relationships/footer" Target="footer239.xml"/><Relationship Id="rId405" Type="http://schemas.openxmlformats.org/officeDocument/2006/relationships/header" Target="header163.xml"/><Relationship Id="rId404" Type="http://schemas.openxmlformats.org/officeDocument/2006/relationships/footer" Target="footer238.xml"/><Relationship Id="rId403" Type="http://schemas.openxmlformats.org/officeDocument/2006/relationships/header" Target="header162.xml"/><Relationship Id="rId402" Type="http://schemas.openxmlformats.org/officeDocument/2006/relationships/footer" Target="footer237.xml"/><Relationship Id="rId401" Type="http://schemas.openxmlformats.org/officeDocument/2006/relationships/header" Target="header161.xml"/><Relationship Id="rId400" Type="http://schemas.openxmlformats.org/officeDocument/2006/relationships/footer" Target="footer236.xml"/><Relationship Id="rId40" Type="http://schemas.openxmlformats.org/officeDocument/2006/relationships/footer" Target="footer22.xml"/><Relationship Id="rId4" Type="http://schemas.openxmlformats.org/officeDocument/2006/relationships/endnotes" Target="endnotes.xml"/><Relationship Id="rId399" Type="http://schemas.openxmlformats.org/officeDocument/2006/relationships/header" Target="header160.xml"/><Relationship Id="rId398" Type="http://schemas.openxmlformats.org/officeDocument/2006/relationships/footer" Target="footer235.xml"/><Relationship Id="rId397" Type="http://schemas.openxmlformats.org/officeDocument/2006/relationships/header" Target="header159.xml"/><Relationship Id="rId396" Type="http://schemas.openxmlformats.org/officeDocument/2006/relationships/footer" Target="footer234.xml"/><Relationship Id="rId395" Type="http://schemas.openxmlformats.org/officeDocument/2006/relationships/footer" Target="footer233.xml"/><Relationship Id="rId394" Type="http://schemas.openxmlformats.org/officeDocument/2006/relationships/header" Target="header158.xml"/><Relationship Id="rId393" Type="http://schemas.openxmlformats.org/officeDocument/2006/relationships/footer" Target="footer232.xml"/><Relationship Id="rId392" Type="http://schemas.openxmlformats.org/officeDocument/2006/relationships/footer" Target="footer231.xml"/><Relationship Id="rId391" Type="http://schemas.openxmlformats.org/officeDocument/2006/relationships/header" Target="header157.xml"/><Relationship Id="rId390" Type="http://schemas.openxmlformats.org/officeDocument/2006/relationships/footer" Target="footer230.xml"/><Relationship Id="rId39" Type="http://schemas.openxmlformats.org/officeDocument/2006/relationships/header" Target="header14.xml"/><Relationship Id="rId389" Type="http://schemas.openxmlformats.org/officeDocument/2006/relationships/header" Target="header156.xml"/><Relationship Id="rId388" Type="http://schemas.openxmlformats.org/officeDocument/2006/relationships/footer" Target="footer229.xml"/><Relationship Id="rId387" Type="http://schemas.openxmlformats.org/officeDocument/2006/relationships/header" Target="header155.xml"/><Relationship Id="rId386" Type="http://schemas.openxmlformats.org/officeDocument/2006/relationships/footer" Target="footer228.xml"/><Relationship Id="rId385" Type="http://schemas.openxmlformats.org/officeDocument/2006/relationships/header" Target="header154.xml"/><Relationship Id="rId384" Type="http://schemas.openxmlformats.org/officeDocument/2006/relationships/footer" Target="footer227.xml"/><Relationship Id="rId383" Type="http://schemas.openxmlformats.org/officeDocument/2006/relationships/header" Target="header153.xml"/><Relationship Id="rId382" Type="http://schemas.openxmlformats.org/officeDocument/2006/relationships/footer" Target="footer226.xml"/><Relationship Id="rId381" Type="http://schemas.openxmlformats.org/officeDocument/2006/relationships/header" Target="header152.xml"/><Relationship Id="rId380" Type="http://schemas.openxmlformats.org/officeDocument/2006/relationships/footer" Target="footer225.xml"/><Relationship Id="rId38" Type="http://schemas.openxmlformats.org/officeDocument/2006/relationships/footer" Target="footer21.xml"/><Relationship Id="rId379" Type="http://schemas.openxmlformats.org/officeDocument/2006/relationships/header" Target="header151.xml"/><Relationship Id="rId378" Type="http://schemas.openxmlformats.org/officeDocument/2006/relationships/footer" Target="footer224.xml"/><Relationship Id="rId377" Type="http://schemas.openxmlformats.org/officeDocument/2006/relationships/header" Target="header150.xml"/><Relationship Id="rId376" Type="http://schemas.openxmlformats.org/officeDocument/2006/relationships/footer" Target="footer223.xml"/><Relationship Id="rId375" Type="http://schemas.openxmlformats.org/officeDocument/2006/relationships/header" Target="header149.xml"/><Relationship Id="rId374" Type="http://schemas.openxmlformats.org/officeDocument/2006/relationships/footer" Target="footer222.xml"/><Relationship Id="rId373" Type="http://schemas.openxmlformats.org/officeDocument/2006/relationships/header" Target="header148.xml"/><Relationship Id="rId372" Type="http://schemas.openxmlformats.org/officeDocument/2006/relationships/footer" Target="footer221.xml"/><Relationship Id="rId371" Type="http://schemas.openxmlformats.org/officeDocument/2006/relationships/header" Target="header147.xml"/><Relationship Id="rId370" Type="http://schemas.openxmlformats.org/officeDocument/2006/relationships/footer" Target="footer220.xml"/><Relationship Id="rId37" Type="http://schemas.openxmlformats.org/officeDocument/2006/relationships/header" Target="header13.xml"/><Relationship Id="rId369" Type="http://schemas.openxmlformats.org/officeDocument/2006/relationships/header" Target="header146.xml"/><Relationship Id="rId368" Type="http://schemas.openxmlformats.org/officeDocument/2006/relationships/footer" Target="footer219.xml"/><Relationship Id="rId367" Type="http://schemas.openxmlformats.org/officeDocument/2006/relationships/header" Target="header145.xml"/><Relationship Id="rId366" Type="http://schemas.openxmlformats.org/officeDocument/2006/relationships/footer" Target="footer218.xml"/><Relationship Id="rId365" Type="http://schemas.openxmlformats.org/officeDocument/2006/relationships/header" Target="header144.xml"/><Relationship Id="rId364" Type="http://schemas.openxmlformats.org/officeDocument/2006/relationships/footer" Target="footer217.xml"/><Relationship Id="rId363" Type="http://schemas.openxmlformats.org/officeDocument/2006/relationships/header" Target="header143.xml"/><Relationship Id="rId362" Type="http://schemas.openxmlformats.org/officeDocument/2006/relationships/footer" Target="footer216.xml"/><Relationship Id="rId361" Type="http://schemas.openxmlformats.org/officeDocument/2006/relationships/footer" Target="footer215.xml"/><Relationship Id="rId360" Type="http://schemas.openxmlformats.org/officeDocument/2006/relationships/header" Target="header142.xml"/><Relationship Id="rId36" Type="http://schemas.openxmlformats.org/officeDocument/2006/relationships/footer" Target="footer20.xml"/><Relationship Id="rId359" Type="http://schemas.openxmlformats.org/officeDocument/2006/relationships/footer" Target="footer214.xml"/><Relationship Id="rId358" Type="http://schemas.openxmlformats.org/officeDocument/2006/relationships/header" Target="header141.xml"/><Relationship Id="rId357" Type="http://schemas.openxmlformats.org/officeDocument/2006/relationships/footer" Target="footer213.xml"/><Relationship Id="rId356" Type="http://schemas.openxmlformats.org/officeDocument/2006/relationships/header" Target="header140.xml"/><Relationship Id="rId355" Type="http://schemas.openxmlformats.org/officeDocument/2006/relationships/footer" Target="footer212.xml"/><Relationship Id="rId354" Type="http://schemas.openxmlformats.org/officeDocument/2006/relationships/header" Target="header139.xml"/><Relationship Id="rId353" Type="http://schemas.openxmlformats.org/officeDocument/2006/relationships/footer" Target="footer211.xml"/><Relationship Id="rId352" Type="http://schemas.openxmlformats.org/officeDocument/2006/relationships/header" Target="header138.xml"/><Relationship Id="rId351" Type="http://schemas.openxmlformats.org/officeDocument/2006/relationships/footer" Target="footer210.xml"/><Relationship Id="rId350" Type="http://schemas.openxmlformats.org/officeDocument/2006/relationships/header" Target="header137.xml"/><Relationship Id="rId35" Type="http://schemas.openxmlformats.org/officeDocument/2006/relationships/header" Target="header12.xml"/><Relationship Id="rId349" Type="http://schemas.openxmlformats.org/officeDocument/2006/relationships/footer" Target="footer209.xml"/><Relationship Id="rId348" Type="http://schemas.openxmlformats.org/officeDocument/2006/relationships/header" Target="header136.xml"/><Relationship Id="rId347" Type="http://schemas.openxmlformats.org/officeDocument/2006/relationships/footer" Target="footer208.xml"/><Relationship Id="rId346" Type="http://schemas.openxmlformats.org/officeDocument/2006/relationships/header" Target="header135.xml"/><Relationship Id="rId345" Type="http://schemas.openxmlformats.org/officeDocument/2006/relationships/footer" Target="footer207.xml"/><Relationship Id="rId344" Type="http://schemas.openxmlformats.org/officeDocument/2006/relationships/header" Target="header134.xml"/><Relationship Id="rId343" Type="http://schemas.openxmlformats.org/officeDocument/2006/relationships/footer" Target="footer206.xml"/><Relationship Id="rId342" Type="http://schemas.openxmlformats.org/officeDocument/2006/relationships/header" Target="header133.xml"/><Relationship Id="rId341" Type="http://schemas.openxmlformats.org/officeDocument/2006/relationships/footer" Target="footer205.xml"/><Relationship Id="rId340" Type="http://schemas.openxmlformats.org/officeDocument/2006/relationships/footer" Target="footer204.xml"/><Relationship Id="rId34" Type="http://schemas.openxmlformats.org/officeDocument/2006/relationships/footer" Target="footer19.xml"/><Relationship Id="rId339" Type="http://schemas.openxmlformats.org/officeDocument/2006/relationships/header" Target="header132.xml"/><Relationship Id="rId338" Type="http://schemas.openxmlformats.org/officeDocument/2006/relationships/footer" Target="footer203.xml"/><Relationship Id="rId337" Type="http://schemas.openxmlformats.org/officeDocument/2006/relationships/header" Target="header131.xml"/><Relationship Id="rId336" Type="http://schemas.openxmlformats.org/officeDocument/2006/relationships/footer" Target="footer202.xml"/><Relationship Id="rId335" Type="http://schemas.openxmlformats.org/officeDocument/2006/relationships/header" Target="header130.xml"/><Relationship Id="rId334" Type="http://schemas.openxmlformats.org/officeDocument/2006/relationships/footer" Target="footer201.xml"/><Relationship Id="rId333" Type="http://schemas.openxmlformats.org/officeDocument/2006/relationships/header" Target="header129.xml"/><Relationship Id="rId332" Type="http://schemas.openxmlformats.org/officeDocument/2006/relationships/footer" Target="footer200.xml"/><Relationship Id="rId331" Type="http://schemas.openxmlformats.org/officeDocument/2006/relationships/header" Target="header128.xml"/><Relationship Id="rId330" Type="http://schemas.openxmlformats.org/officeDocument/2006/relationships/footer" Target="footer199.xml"/><Relationship Id="rId33" Type="http://schemas.openxmlformats.org/officeDocument/2006/relationships/header" Target="header11.xml"/><Relationship Id="rId329" Type="http://schemas.openxmlformats.org/officeDocument/2006/relationships/footer" Target="footer198.xml"/><Relationship Id="rId328" Type="http://schemas.openxmlformats.org/officeDocument/2006/relationships/header" Target="header127.xml"/><Relationship Id="rId327" Type="http://schemas.openxmlformats.org/officeDocument/2006/relationships/footer" Target="footer197.xml"/><Relationship Id="rId326" Type="http://schemas.openxmlformats.org/officeDocument/2006/relationships/footer" Target="footer196.xml"/><Relationship Id="rId325" Type="http://schemas.openxmlformats.org/officeDocument/2006/relationships/header" Target="header126.xml"/><Relationship Id="rId324" Type="http://schemas.openxmlformats.org/officeDocument/2006/relationships/footer" Target="footer195.xml"/><Relationship Id="rId323" Type="http://schemas.openxmlformats.org/officeDocument/2006/relationships/header" Target="header125.xml"/><Relationship Id="rId322" Type="http://schemas.openxmlformats.org/officeDocument/2006/relationships/footer" Target="footer194.xml"/><Relationship Id="rId321" Type="http://schemas.openxmlformats.org/officeDocument/2006/relationships/footer" Target="footer193.xml"/><Relationship Id="rId320" Type="http://schemas.openxmlformats.org/officeDocument/2006/relationships/footer" Target="footer192.xml"/><Relationship Id="rId32" Type="http://schemas.openxmlformats.org/officeDocument/2006/relationships/footer" Target="footer18.xml"/><Relationship Id="rId319" Type="http://schemas.openxmlformats.org/officeDocument/2006/relationships/footer" Target="footer191.xml"/><Relationship Id="rId318" Type="http://schemas.openxmlformats.org/officeDocument/2006/relationships/header" Target="header124.xml"/><Relationship Id="rId317" Type="http://schemas.openxmlformats.org/officeDocument/2006/relationships/footer" Target="footer190.xml"/><Relationship Id="rId316" Type="http://schemas.openxmlformats.org/officeDocument/2006/relationships/header" Target="header123.xml"/><Relationship Id="rId315" Type="http://schemas.openxmlformats.org/officeDocument/2006/relationships/footer" Target="footer189.xml"/><Relationship Id="rId314" Type="http://schemas.openxmlformats.org/officeDocument/2006/relationships/header" Target="header122.xml"/><Relationship Id="rId313" Type="http://schemas.openxmlformats.org/officeDocument/2006/relationships/footer" Target="footer188.xml"/><Relationship Id="rId312" Type="http://schemas.openxmlformats.org/officeDocument/2006/relationships/footer" Target="footer187.xml"/><Relationship Id="rId311" Type="http://schemas.openxmlformats.org/officeDocument/2006/relationships/header" Target="header121.xml"/><Relationship Id="rId310" Type="http://schemas.openxmlformats.org/officeDocument/2006/relationships/footer" Target="footer186.xml"/><Relationship Id="rId31" Type="http://schemas.openxmlformats.org/officeDocument/2006/relationships/header" Target="header10.xml"/><Relationship Id="rId309" Type="http://schemas.openxmlformats.org/officeDocument/2006/relationships/header" Target="header120.xml"/><Relationship Id="rId308" Type="http://schemas.openxmlformats.org/officeDocument/2006/relationships/footer" Target="footer185.xml"/><Relationship Id="rId307" Type="http://schemas.openxmlformats.org/officeDocument/2006/relationships/header" Target="header119.xml"/><Relationship Id="rId306" Type="http://schemas.openxmlformats.org/officeDocument/2006/relationships/footer" Target="footer184.xml"/><Relationship Id="rId305" Type="http://schemas.openxmlformats.org/officeDocument/2006/relationships/header" Target="header118.xml"/><Relationship Id="rId304" Type="http://schemas.openxmlformats.org/officeDocument/2006/relationships/footer" Target="footer183.xml"/><Relationship Id="rId303" Type="http://schemas.openxmlformats.org/officeDocument/2006/relationships/header" Target="header117.xml"/><Relationship Id="rId302" Type="http://schemas.openxmlformats.org/officeDocument/2006/relationships/footer" Target="footer182.xml"/><Relationship Id="rId301" Type="http://schemas.openxmlformats.org/officeDocument/2006/relationships/header" Target="header116.xml"/><Relationship Id="rId300" Type="http://schemas.openxmlformats.org/officeDocument/2006/relationships/footer" Target="footer181.xml"/><Relationship Id="rId30" Type="http://schemas.openxmlformats.org/officeDocument/2006/relationships/footer" Target="footer17.xml"/><Relationship Id="rId3" Type="http://schemas.openxmlformats.org/officeDocument/2006/relationships/footnotes" Target="footnotes.xml"/><Relationship Id="rId299" Type="http://schemas.openxmlformats.org/officeDocument/2006/relationships/header" Target="header115.xml"/><Relationship Id="rId298" Type="http://schemas.openxmlformats.org/officeDocument/2006/relationships/footer" Target="footer180.xml"/><Relationship Id="rId297" Type="http://schemas.openxmlformats.org/officeDocument/2006/relationships/header" Target="header114.xml"/><Relationship Id="rId296" Type="http://schemas.openxmlformats.org/officeDocument/2006/relationships/footer" Target="footer179.xml"/><Relationship Id="rId295" Type="http://schemas.openxmlformats.org/officeDocument/2006/relationships/header" Target="header113.xml"/><Relationship Id="rId294" Type="http://schemas.openxmlformats.org/officeDocument/2006/relationships/footer" Target="footer178.xml"/><Relationship Id="rId293" Type="http://schemas.openxmlformats.org/officeDocument/2006/relationships/header" Target="header112.xml"/><Relationship Id="rId292" Type="http://schemas.openxmlformats.org/officeDocument/2006/relationships/footer" Target="footer177.xml"/><Relationship Id="rId291" Type="http://schemas.openxmlformats.org/officeDocument/2006/relationships/footer" Target="footer176.xml"/><Relationship Id="rId290" Type="http://schemas.openxmlformats.org/officeDocument/2006/relationships/footer" Target="footer175.xml"/><Relationship Id="rId29" Type="http://schemas.openxmlformats.org/officeDocument/2006/relationships/header" Target="header9.xml"/><Relationship Id="rId289" Type="http://schemas.openxmlformats.org/officeDocument/2006/relationships/header" Target="header111.xml"/><Relationship Id="rId288" Type="http://schemas.openxmlformats.org/officeDocument/2006/relationships/footer" Target="footer174.xml"/><Relationship Id="rId287" Type="http://schemas.openxmlformats.org/officeDocument/2006/relationships/header" Target="header110.xml"/><Relationship Id="rId286" Type="http://schemas.openxmlformats.org/officeDocument/2006/relationships/footer" Target="footer173.xml"/><Relationship Id="rId285" Type="http://schemas.openxmlformats.org/officeDocument/2006/relationships/header" Target="header109.xml"/><Relationship Id="rId284" Type="http://schemas.openxmlformats.org/officeDocument/2006/relationships/footer" Target="footer172.xml"/><Relationship Id="rId283" Type="http://schemas.openxmlformats.org/officeDocument/2006/relationships/header" Target="header108.xml"/><Relationship Id="rId282" Type="http://schemas.openxmlformats.org/officeDocument/2006/relationships/footer" Target="footer171.xml"/><Relationship Id="rId281" Type="http://schemas.openxmlformats.org/officeDocument/2006/relationships/header" Target="header107.xml"/><Relationship Id="rId280" Type="http://schemas.openxmlformats.org/officeDocument/2006/relationships/footer" Target="footer170.xml"/><Relationship Id="rId28" Type="http://schemas.openxmlformats.org/officeDocument/2006/relationships/footer" Target="footer16.xml"/><Relationship Id="rId279" Type="http://schemas.openxmlformats.org/officeDocument/2006/relationships/header" Target="header106.xml"/><Relationship Id="rId278" Type="http://schemas.openxmlformats.org/officeDocument/2006/relationships/footer" Target="footer169.xml"/><Relationship Id="rId277" Type="http://schemas.openxmlformats.org/officeDocument/2006/relationships/header" Target="header105.xml"/><Relationship Id="rId276" Type="http://schemas.openxmlformats.org/officeDocument/2006/relationships/footer" Target="footer168.xml"/><Relationship Id="rId275" Type="http://schemas.openxmlformats.org/officeDocument/2006/relationships/header" Target="header104.xml"/><Relationship Id="rId274" Type="http://schemas.openxmlformats.org/officeDocument/2006/relationships/footer" Target="footer167.xml"/><Relationship Id="rId273" Type="http://schemas.openxmlformats.org/officeDocument/2006/relationships/header" Target="header103.xml"/><Relationship Id="rId272" Type="http://schemas.openxmlformats.org/officeDocument/2006/relationships/footer" Target="footer166.xml"/><Relationship Id="rId271" Type="http://schemas.openxmlformats.org/officeDocument/2006/relationships/header" Target="header102.xml"/><Relationship Id="rId270" Type="http://schemas.openxmlformats.org/officeDocument/2006/relationships/footer" Target="footer165.xml"/><Relationship Id="rId27" Type="http://schemas.openxmlformats.org/officeDocument/2006/relationships/footer" Target="footer15.xml"/><Relationship Id="rId269" Type="http://schemas.openxmlformats.org/officeDocument/2006/relationships/header" Target="header101.xml"/><Relationship Id="rId268" Type="http://schemas.openxmlformats.org/officeDocument/2006/relationships/footer" Target="footer164.xml"/><Relationship Id="rId267" Type="http://schemas.openxmlformats.org/officeDocument/2006/relationships/header" Target="header100.xml"/><Relationship Id="rId266" Type="http://schemas.openxmlformats.org/officeDocument/2006/relationships/footer" Target="footer163.xml"/><Relationship Id="rId265" Type="http://schemas.openxmlformats.org/officeDocument/2006/relationships/header" Target="header99.xml"/><Relationship Id="rId264" Type="http://schemas.openxmlformats.org/officeDocument/2006/relationships/footer" Target="footer162.xml"/><Relationship Id="rId263" Type="http://schemas.openxmlformats.org/officeDocument/2006/relationships/footer" Target="footer161.xml"/><Relationship Id="rId262" Type="http://schemas.openxmlformats.org/officeDocument/2006/relationships/header" Target="header98.xml"/><Relationship Id="rId261" Type="http://schemas.openxmlformats.org/officeDocument/2006/relationships/footer" Target="footer160.xml"/><Relationship Id="rId260" Type="http://schemas.openxmlformats.org/officeDocument/2006/relationships/header" Target="header97.xml"/><Relationship Id="rId26" Type="http://schemas.openxmlformats.org/officeDocument/2006/relationships/header" Target="header8.xml"/><Relationship Id="rId259" Type="http://schemas.openxmlformats.org/officeDocument/2006/relationships/footer" Target="footer159.xml"/><Relationship Id="rId258" Type="http://schemas.openxmlformats.org/officeDocument/2006/relationships/header" Target="header96.xml"/><Relationship Id="rId257" Type="http://schemas.openxmlformats.org/officeDocument/2006/relationships/footer" Target="footer158.xml"/><Relationship Id="rId256" Type="http://schemas.openxmlformats.org/officeDocument/2006/relationships/header" Target="header95.xml"/><Relationship Id="rId255" Type="http://schemas.openxmlformats.org/officeDocument/2006/relationships/footer" Target="footer157.xml"/><Relationship Id="rId254" Type="http://schemas.openxmlformats.org/officeDocument/2006/relationships/header" Target="header94.xml"/><Relationship Id="rId253" Type="http://schemas.openxmlformats.org/officeDocument/2006/relationships/footer" Target="footer156.xml"/><Relationship Id="rId252" Type="http://schemas.openxmlformats.org/officeDocument/2006/relationships/footer" Target="footer155.xml"/><Relationship Id="rId251" Type="http://schemas.openxmlformats.org/officeDocument/2006/relationships/footer" Target="footer154.xml"/><Relationship Id="rId250" Type="http://schemas.openxmlformats.org/officeDocument/2006/relationships/header" Target="header93.xml"/><Relationship Id="rId25" Type="http://schemas.openxmlformats.org/officeDocument/2006/relationships/footer" Target="footer14.xml"/><Relationship Id="rId249" Type="http://schemas.openxmlformats.org/officeDocument/2006/relationships/footer" Target="footer153.xml"/><Relationship Id="rId248" Type="http://schemas.openxmlformats.org/officeDocument/2006/relationships/header" Target="header92.xml"/><Relationship Id="rId247" Type="http://schemas.openxmlformats.org/officeDocument/2006/relationships/footer" Target="footer152.xml"/><Relationship Id="rId246" Type="http://schemas.openxmlformats.org/officeDocument/2006/relationships/header" Target="header91.xml"/><Relationship Id="rId245" Type="http://schemas.openxmlformats.org/officeDocument/2006/relationships/footer" Target="footer151.xml"/><Relationship Id="rId244" Type="http://schemas.openxmlformats.org/officeDocument/2006/relationships/header" Target="header90.xml"/><Relationship Id="rId243" Type="http://schemas.openxmlformats.org/officeDocument/2006/relationships/footer" Target="footer150.xml"/><Relationship Id="rId242" Type="http://schemas.openxmlformats.org/officeDocument/2006/relationships/header" Target="header89.xml"/><Relationship Id="rId241" Type="http://schemas.openxmlformats.org/officeDocument/2006/relationships/footer" Target="footer149.xml"/><Relationship Id="rId240" Type="http://schemas.openxmlformats.org/officeDocument/2006/relationships/footer" Target="footer148.xml"/><Relationship Id="rId24" Type="http://schemas.openxmlformats.org/officeDocument/2006/relationships/footer" Target="footer13.xml"/><Relationship Id="rId239" Type="http://schemas.openxmlformats.org/officeDocument/2006/relationships/header" Target="header88.xml"/><Relationship Id="rId238" Type="http://schemas.openxmlformats.org/officeDocument/2006/relationships/footer" Target="footer147.xml"/><Relationship Id="rId237" Type="http://schemas.openxmlformats.org/officeDocument/2006/relationships/footer" Target="footer146.xml"/><Relationship Id="rId236" Type="http://schemas.openxmlformats.org/officeDocument/2006/relationships/header" Target="header87.xml"/><Relationship Id="rId235" Type="http://schemas.openxmlformats.org/officeDocument/2006/relationships/footer" Target="footer145.xml"/><Relationship Id="rId234" Type="http://schemas.openxmlformats.org/officeDocument/2006/relationships/header" Target="header86.xml"/><Relationship Id="rId233" Type="http://schemas.openxmlformats.org/officeDocument/2006/relationships/footer" Target="footer144.xml"/><Relationship Id="rId232" Type="http://schemas.openxmlformats.org/officeDocument/2006/relationships/footer" Target="footer143.xml"/><Relationship Id="rId231" Type="http://schemas.openxmlformats.org/officeDocument/2006/relationships/footer" Target="footer142.xml"/><Relationship Id="rId230" Type="http://schemas.openxmlformats.org/officeDocument/2006/relationships/header" Target="header85.xml"/><Relationship Id="rId23" Type="http://schemas.openxmlformats.org/officeDocument/2006/relationships/header" Target="header7.xml"/><Relationship Id="rId229" Type="http://schemas.openxmlformats.org/officeDocument/2006/relationships/footer" Target="footer141.xml"/><Relationship Id="rId228" Type="http://schemas.openxmlformats.org/officeDocument/2006/relationships/header" Target="header84.xml"/><Relationship Id="rId227" Type="http://schemas.openxmlformats.org/officeDocument/2006/relationships/footer" Target="footer140.xml"/><Relationship Id="rId226" Type="http://schemas.openxmlformats.org/officeDocument/2006/relationships/header" Target="header83.xml"/><Relationship Id="rId225" Type="http://schemas.openxmlformats.org/officeDocument/2006/relationships/footer" Target="footer139.xml"/><Relationship Id="rId224" Type="http://schemas.openxmlformats.org/officeDocument/2006/relationships/footer" Target="footer138.xml"/><Relationship Id="rId223" Type="http://schemas.openxmlformats.org/officeDocument/2006/relationships/footer" Target="footer137.xml"/><Relationship Id="rId222" Type="http://schemas.openxmlformats.org/officeDocument/2006/relationships/footer" Target="footer136.xml"/><Relationship Id="rId221" Type="http://schemas.openxmlformats.org/officeDocument/2006/relationships/footer" Target="footer135.xml"/><Relationship Id="rId220" Type="http://schemas.openxmlformats.org/officeDocument/2006/relationships/header" Target="header82.xml"/><Relationship Id="rId22" Type="http://schemas.openxmlformats.org/officeDocument/2006/relationships/footer" Target="footer12.xml"/><Relationship Id="rId219" Type="http://schemas.openxmlformats.org/officeDocument/2006/relationships/footer" Target="footer134.xml"/><Relationship Id="rId218" Type="http://schemas.openxmlformats.org/officeDocument/2006/relationships/header" Target="header81.xml"/><Relationship Id="rId217" Type="http://schemas.openxmlformats.org/officeDocument/2006/relationships/footer" Target="footer133.xml"/><Relationship Id="rId216" Type="http://schemas.openxmlformats.org/officeDocument/2006/relationships/header" Target="header80.xml"/><Relationship Id="rId215" Type="http://schemas.openxmlformats.org/officeDocument/2006/relationships/footer" Target="footer132.xml"/><Relationship Id="rId214" Type="http://schemas.openxmlformats.org/officeDocument/2006/relationships/footer" Target="footer131.xml"/><Relationship Id="rId213" Type="http://schemas.openxmlformats.org/officeDocument/2006/relationships/footer" Target="footer130.xml"/><Relationship Id="rId212" Type="http://schemas.openxmlformats.org/officeDocument/2006/relationships/footer" Target="footer129.xml"/><Relationship Id="rId211" Type="http://schemas.openxmlformats.org/officeDocument/2006/relationships/header" Target="header79.xml"/><Relationship Id="rId210" Type="http://schemas.openxmlformats.org/officeDocument/2006/relationships/footer" Target="footer128.xml"/><Relationship Id="rId21" Type="http://schemas.openxmlformats.org/officeDocument/2006/relationships/header" Target="header6.xml"/><Relationship Id="rId209" Type="http://schemas.openxmlformats.org/officeDocument/2006/relationships/header" Target="header78.xml"/><Relationship Id="rId208" Type="http://schemas.openxmlformats.org/officeDocument/2006/relationships/footer" Target="footer127.xml"/><Relationship Id="rId207" Type="http://schemas.openxmlformats.org/officeDocument/2006/relationships/header" Target="header77.xml"/><Relationship Id="rId206" Type="http://schemas.openxmlformats.org/officeDocument/2006/relationships/footer" Target="footer126.xml"/><Relationship Id="rId205" Type="http://schemas.openxmlformats.org/officeDocument/2006/relationships/header" Target="header76.xml"/><Relationship Id="rId204" Type="http://schemas.openxmlformats.org/officeDocument/2006/relationships/footer" Target="footer125.xml"/><Relationship Id="rId203" Type="http://schemas.openxmlformats.org/officeDocument/2006/relationships/footer" Target="footer124.xml"/><Relationship Id="rId202" Type="http://schemas.openxmlformats.org/officeDocument/2006/relationships/header" Target="header75.xml"/><Relationship Id="rId201" Type="http://schemas.openxmlformats.org/officeDocument/2006/relationships/footer" Target="footer123.xml"/><Relationship Id="rId200" Type="http://schemas.openxmlformats.org/officeDocument/2006/relationships/header" Target="header74.xml"/><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footer" Target="footer122.xml"/><Relationship Id="rId198" Type="http://schemas.openxmlformats.org/officeDocument/2006/relationships/header" Target="header73.xml"/><Relationship Id="rId197" Type="http://schemas.openxmlformats.org/officeDocument/2006/relationships/footer" Target="footer121.xml"/><Relationship Id="rId196" Type="http://schemas.openxmlformats.org/officeDocument/2006/relationships/footer" Target="footer120.xml"/><Relationship Id="rId195" Type="http://schemas.openxmlformats.org/officeDocument/2006/relationships/header" Target="header72.xml"/><Relationship Id="rId194" Type="http://schemas.openxmlformats.org/officeDocument/2006/relationships/footer" Target="footer119.xml"/><Relationship Id="rId193" Type="http://schemas.openxmlformats.org/officeDocument/2006/relationships/footer" Target="footer118.xml"/><Relationship Id="rId192" Type="http://schemas.openxmlformats.org/officeDocument/2006/relationships/footer" Target="footer117.xml"/><Relationship Id="rId191" Type="http://schemas.openxmlformats.org/officeDocument/2006/relationships/header" Target="header71.xml"/><Relationship Id="rId190" Type="http://schemas.openxmlformats.org/officeDocument/2006/relationships/footer" Target="footer116.xml"/><Relationship Id="rId19" Type="http://schemas.openxmlformats.org/officeDocument/2006/relationships/header" Target="header5.xml"/><Relationship Id="rId189" Type="http://schemas.openxmlformats.org/officeDocument/2006/relationships/footer" Target="footer115.xml"/><Relationship Id="rId188" Type="http://schemas.openxmlformats.org/officeDocument/2006/relationships/footer" Target="footer114.xml"/><Relationship Id="rId187" Type="http://schemas.openxmlformats.org/officeDocument/2006/relationships/header" Target="header70.xml"/><Relationship Id="rId186" Type="http://schemas.openxmlformats.org/officeDocument/2006/relationships/footer" Target="footer113.xml"/><Relationship Id="rId185" Type="http://schemas.openxmlformats.org/officeDocument/2006/relationships/header" Target="header69.xml"/><Relationship Id="rId184" Type="http://schemas.openxmlformats.org/officeDocument/2006/relationships/footer" Target="footer112.xml"/><Relationship Id="rId183" Type="http://schemas.openxmlformats.org/officeDocument/2006/relationships/footer" Target="footer111.xml"/><Relationship Id="rId182" Type="http://schemas.openxmlformats.org/officeDocument/2006/relationships/footer" Target="footer110.xml"/><Relationship Id="rId181" Type="http://schemas.openxmlformats.org/officeDocument/2006/relationships/header" Target="header68.xml"/><Relationship Id="rId180" Type="http://schemas.openxmlformats.org/officeDocument/2006/relationships/footer" Target="footer109.xml"/><Relationship Id="rId18" Type="http://schemas.openxmlformats.org/officeDocument/2006/relationships/footer" Target="footer10.xml"/><Relationship Id="rId179" Type="http://schemas.openxmlformats.org/officeDocument/2006/relationships/footer" Target="footer108.xml"/><Relationship Id="rId178" Type="http://schemas.openxmlformats.org/officeDocument/2006/relationships/header" Target="header67.xml"/><Relationship Id="rId177" Type="http://schemas.openxmlformats.org/officeDocument/2006/relationships/footer" Target="footer107.xml"/><Relationship Id="rId176" Type="http://schemas.openxmlformats.org/officeDocument/2006/relationships/header" Target="header66.xml"/><Relationship Id="rId175" Type="http://schemas.openxmlformats.org/officeDocument/2006/relationships/footer" Target="footer106.xml"/><Relationship Id="rId174" Type="http://schemas.openxmlformats.org/officeDocument/2006/relationships/header" Target="header65.xml"/><Relationship Id="rId173" Type="http://schemas.openxmlformats.org/officeDocument/2006/relationships/footer" Target="footer105.xml"/><Relationship Id="rId172" Type="http://schemas.openxmlformats.org/officeDocument/2006/relationships/header" Target="header64.xml"/><Relationship Id="rId171" Type="http://schemas.openxmlformats.org/officeDocument/2006/relationships/footer" Target="footer104.xml"/><Relationship Id="rId170" Type="http://schemas.openxmlformats.org/officeDocument/2006/relationships/header" Target="header63.xml"/><Relationship Id="rId17" Type="http://schemas.openxmlformats.org/officeDocument/2006/relationships/header" Target="header4.xml"/><Relationship Id="rId169" Type="http://schemas.openxmlformats.org/officeDocument/2006/relationships/footer" Target="footer103.xml"/><Relationship Id="rId168" Type="http://schemas.openxmlformats.org/officeDocument/2006/relationships/header" Target="header62.xml"/><Relationship Id="rId167" Type="http://schemas.openxmlformats.org/officeDocument/2006/relationships/footer" Target="footer102.xml"/><Relationship Id="rId166" Type="http://schemas.openxmlformats.org/officeDocument/2006/relationships/header" Target="header61.xml"/><Relationship Id="rId165" Type="http://schemas.openxmlformats.org/officeDocument/2006/relationships/footer" Target="footer101.xml"/><Relationship Id="rId164" Type="http://schemas.openxmlformats.org/officeDocument/2006/relationships/footer" Target="footer100.xml"/><Relationship Id="rId163" Type="http://schemas.openxmlformats.org/officeDocument/2006/relationships/footer" Target="footer99.xml"/><Relationship Id="rId162" Type="http://schemas.openxmlformats.org/officeDocument/2006/relationships/footer" Target="footer98.xml"/><Relationship Id="rId161" Type="http://schemas.openxmlformats.org/officeDocument/2006/relationships/footer" Target="footer97.xml"/><Relationship Id="rId160" Type="http://schemas.openxmlformats.org/officeDocument/2006/relationships/footer" Target="footer96.xml"/><Relationship Id="rId16" Type="http://schemas.openxmlformats.org/officeDocument/2006/relationships/footer" Target="footer9.xml"/><Relationship Id="rId159" Type="http://schemas.openxmlformats.org/officeDocument/2006/relationships/header" Target="header60.xml"/><Relationship Id="rId158" Type="http://schemas.openxmlformats.org/officeDocument/2006/relationships/footer" Target="footer95.xml"/><Relationship Id="rId157" Type="http://schemas.openxmlformats.org/officeDocument/2006/relationships/header" Target="header59.xml"/><Relationship Id="rId156" Type="http://schemas.openxmlformats.org/officeDocument/2006/relationships/footer" Target="footer94.xml"/><Relationship Id="rId155" Type="http://schemas.openxmlformats.org/officeDocument/2006/relationships/header" Target="header58.xml"/><Relationship Id="rId154" Type="http://schemas.openxmlformats.org/officeDocument/2006/relationships/footer" Target="footer93.xml"/><Relationship Id="rId153" Type="http://schemas.openxmlformats.org/officeDocument/2006/relationships/header" Target="header57.xml"/><Relationship Id="rId152" Type="http://schemas.openxmlformats.org/officeDocument/2006/relationships/footer" Target="footer92.xml"/><Relationship Id="rId151" Type="http://schemas.openxmlformats.org/officeDocument/2006/relationships/footer" Target="footer91.xml"/><Relationship Id="rId150" Type="http://schemas.openxmlformats.org/officeDocument/2006/relationships/header" Target="header56.xml"/><Relationship Id="rId15" Type="http://schemas.openxmlformats.org/officeDocument/2006/relationships/header" Target="header3.xml"/><Relationship Id="rId149" Type="http://schemas.openxmlformats.org/officeDocument/2006/relationships/footer" Target="footer90.xml"/><Relationship Id="rId148" Type="http://schemas.openxmlformats.org/officeDocument/2006/relationships/footer" Target="footer89.xml"/><Relationship Id="rId147" Type="http://schemas.openxmlformats.org/officeDocument/2006/relationships/header" Target="header55.xml"/><Relationship Id="rId146" Type="http://schemas.openxmlformats.org/officeDocument/2006/relationships/footer" Target="footer88.xml"/><Relationship Id="rId145" Type="http://schemas.openxmlformats.org/officeDocument/2006/relationships/header" Target="header54.xml"/><Relationship Id="rId144" Type="http://schemas.openxmlformats.org/officeDocument/2006/relationships/footer" Target="footer87.xml"/><Relationship Id="rId143" Type="http://schemas.openxmlformats.org/officeDocument/2006/relationships/header" Target="header53.xml"/><Relationship Id="rId142" Type="http://schemas.openxmlformats.org/officeDocument/2006/relationships/footer" Target="footer86.xml"/><Relationship Id="rId141" Type="http://schemas.openxmlformats.org/officeDocument/2006/relationships/header" Target="header52.xml"/><Relationship Id="rId140" Type="http://schemas.openxmlformats.org/officeDocument/2006/relationships/footer" Target="footer85.xml"/><Relationship Id="rId14" Type="http://schemas.openxmlformats.org/officeDocument/2006/relationships/footer" Target="footer8.xml"/><Relationship Id="rId139" Type="http://schemas.openxmlformats.org/officeDocument/2006/relationships/header" Target="header51.xml"/><Relationship Id="rId138" Type="http://schemas.openxmlformats.org/officeDocument/2006/relationships/footer" Target="footer84.xml"/><Relationship Id="rId137" Type="http://schemas.openxmlformats.org/officeDocument/2006/relationships/header" Target="header50.xml"/><Relationship Id="rId136" Type="http://schemas.openxmlformats.org/officeDocument/2006/relationships/footer" Target="footer83.xml"/><Relationship Id="rId135" Type="http://schemas.openxmlformats.org/officeDocument/2006/relationships/header" Target="header49.xml"/><Relationship Id="rId134" Type="http://schemas.openxmlformats.org/officeDocument/2006/relationships/footer" Target="footer82.xml"/><Relationship Id="rId133" Type="http://schemas.openxmlformats.org/officeDocument/2006/relationships/header" Target="header48.xml"/><Relationship Id="rId132" Type="http://schemas.openxmlformats.org/officeDocument/2006/relationships/footer" Target="footer81.xml"/><Relationship Id="rId131" Type="http://schemas.openxmlformats.org/officeDocument/2006/relationships/header" Target="header47.xml"/><Relationship Id="rId130" Type="http://schemas.openxmlformats.org/officeDocument/2006/relationships/footer" Target="footer80.xml"/><Relationship Id="rId13" Type="http://schemas.openxmlformats.org/officeDocument/2006/relationships/footer" Target="footer7.xml"/><Relationship Id="rId129" Type="http://schemas.openxmlformats.org/officeDocument/2006/relationships/footer" Target="footer79.xml"/><Relationship Id="rId128" Type="http://schemas.openxmlformats.org/officeDocument/2006/relationships/footer" Target="footer78.xml"/><Relationship Id="rId127" Type="http://schemas.openxmlformats.org/officeDocument/2006/relationships/header" Target="header46.xml"/><Relationship Id="rId126" Type="http://schemas.openxmlformats.org/officeDocument/2006/relationships/footer" Target="footer77.xml"/><Relationship Id="rId125" Type="http://schemas.openxmlformats.org/officeDocument/2006/relationships/header" Target="header45.xml"/><Relationship Id="rId124" Type="http://schemas.openxmlformats.org/officeDocument/2006/relationships/footer" Target="footer76.xml"/><Relationship Id="rId123" Type="http://schemas.openxmlformats.org/officeDocument/2006/relationships/header" Target="header44.xml"/><Relationship Id="rId122" Type="http://schemas.openxmlformats.org/officeDocument/2006/relationships/footer" Target="footer75.xml"/><Relationship Id="rId121" Type="http://schemas.openxmlformats.org/officeDocument/2006/relationships/header" Target="header43.xml"/><Relationship Id="rId120" Type="http://schemas.openxmlformats.org/officeDocument/2006/relationships/footer" Target="footer74.xml"/><Relationship Id="rId12" Type="http://schemas.openxmlformats.org/officeDocument/2006/relationships/footer" Target="footer6.xml"/><Relationship Id="rId119" Type="http://schemas.openxmlformats.org/officeDocument/2006/relationships/footer" Target="footer73.xml"/><Relationship Id="rId118" Type="http://schemas.openxmlformats.org/officeDocument/2006/relationships/header" Target="header42.xml"/><Relationship Id="rId117" Type="http://schemas.openxmlformats.org/officeDocument/2006/relationships/footer" Target="footer72.xml"/><Relationship Id="rId116" Type="http://schemas.openxmlformats.org/officeDocument/2006/relationships/header" Target="header41.xml"/><Relationship Id="rId115" Type="http://schemas.openxmlformats.org/officeDocument/2006/relationships/footer" Target="footer71.xml"/><Relationship Id="rId114" Type="http://schemas.openxmlformats.org/officeDocument/2006/relationships/footer" Target="footer70.xml"/><Relationship Id="rId113" Type="http://schemas.openxmlformats.org/officeDocument/2006/relationships/header" Target="header40.xml"/><Relationship Id="rId112" Type="http://schemas.openxmlformats.org/officeDocument/2006/relationships/footer" Target="footer69.xml"/><Relationship Id="rId111" Type="http://schemas.openxmlformats.org/officeDocument/2006/relationships/header" Target="header39.xml"/><Relationship Id="rId110" Type="http://schemas.openxmlformats.org/officeDocument/2006/relationships/footer" Target="footer68.xml"/><Relationship Id="rId11" Type="http://schemas.openxmlformats.org/officeDocument/2006/relationships/footer" Target="footer5.xml"/><Relationship Id="rId109" Type="http://schemas.openxmlformats.org/officeDocument/2006/relationships/footer" Target="footer67.xml"/><Relationship Id="rId108" Type="http://schemas.openxmlformats.org/officeDocument/2006/relationships/footer" Target="footer66.xml"/><Relationship Id="rId107" Type="http://schemas.openxmlformats.org/officeDocument/2006/relationships/footer" Target="footer65.xml"/><Relationship Id="rId106" Type="http://schemas.openxmlformats.org/officeDocument/2006/relationships/footer" Target="footer64.xml"/><Relationship Id="rId105" Type="http://schemas.openxmlformats.org/officeDocument/2006/relationships/footer" Target="footer63.xml"/><Relationship Id="rId104" Type="http://schemas.openxmlformats.org/officeDocument/2006/relationships/footer" Target="footer62.xml"/><Relationship Id="rId103" Type="http://schemas.openxmlformats.org/officeDocument/2006/relationships/footer" Target="footer61.xml"/><Relationship Id="rId102" Type="http://schemas.openxmlformats.org/officeDocument/2006/relationships/header" Target="header38.xml"/><Relationship Id="rId101" Type="http://schemas.openxmlformats.org/officeDocument/2006/relationships/footer" Target="footer60.xml"/><Relationship Id="rId100" Type="http://schemas.openxmlformats.org/officeDocument/2006/relationships/header" Target="header37.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1027"/>
    <customShpInfo spid="_x0000_s1028"/>
    <customShpInfo spid="_x0000_s1026"/>
    <customShpInfo spid="_x0000_s1029"/>
    <customShpInfo spid="_x0000_s1031"/>
    <customShpInfo spid="_x0000_s1032"/>
    <customShpInfo spid="_x0000_s1030"/>
    <customShpInfo spid="_x0000_s1034"/>
    <customShpInfo spid="_x0000_s1035"/>
    <customShpInfo spid="_x0000_s1033"/>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8"/>
    <customShpInfo spid="_x0000_s1049"/>
    <customShpInfo spid="_x0000_s1047"/>
    <customShpInfo spid="_x0000_s1051"/>
    <customShpInfo spid="_x0000_s1052"/>
    <customShpInfo spid="_x0000_s1050"/>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296</Pages>
  <Words>3148</Words>
  <Characters>4218</Characters>
  <TotalTime>1</TotalTime>
  <ScaleCrop>false</ScaleCrop>
  <LinksUpToDate>false</LinksUpToDate>
  <CharactersWithSpaces>5081</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2023-08-23T18:37:00Z</dcterms:created>
  <dc:creator>lenovo</dc:creator>
  <cp:lastModifiedBy>我很好啊、</cp:lastModifiedBy>
  <dcterms:modified xsi:type="dcterms:W3CDTF">2025-07-23T08:25:28Z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2025-05-20T17:04:33Z</vt:filetime>
  </property>
  <property fmtid="{D5CDD505-2E9C-101B-9397-08002B2CF9AE}" pid="4" name="KSOTemplateDocerSaveRecord">
    <vt:lpwstr>eyJoZGlkIjoiZTVhYjNiNzE1ZTVjZDFlZTQxZjBkNWNkZmUyNThlMzAiLCJ1c2VySWQiOiIyMDcwNTkwMjcifQ==</vt:lpwstr>
  </property>
  <property fmtid="{D5CDD505-2E9C-101B-9397-08002B2CF9AE}" pid="5" name="KSOProductBuildVer">
    <vt:lpwstr>2052-12.1.0.21915</vt:lpwstr>
  </property>
  <property fmtid="{D5CDD505-2E9C-101B-9397-08002B2CF9AE}" pid="6" name="ICV">
    <vt:lpwstr>D116FB7EF2634B75B13FCE8F9615FE66_12</vt:lpwstr>
  </property>
</Properties>
</file>